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054D7" w:rsidRPr="00A25E48" w:rsidP="00A25E48" w14:paraId="679C78E4" w14:textId="77777777">
      <w:pPr>
        <w:tabs>
          <w:tab w:val="left" w:leader="underscore" w:pos="4680"/>
        </w:tabs>
        <w:spacing w:after="0"/>
        <w:jc w:val="center"/>
        <w:rPr>
          <w:sz w:val="36"/>
        </w:rPr>
      </w:pPr>
      <w:bookmarkStart w:id="0" w:name="MarkDocLoc"/>
      <w:bookmarkStart w:id="1" w:name="_Hlk96944150"/>
      <w:bookmarkStart w:id="2" w:name="_Hlk148457231"/>
      <w:bookmarkEnd w:id="0"/>
      <w:r w:rsidRPr="00A25E48">
        <w:rPr>
          <w:b/>
          <w:sz w:val="36"/>
        </w:rPr>
        <w:t>IN THE SUPREME COURT OF CALIFORNIA</w:t>
      </w:r>
    </w:p>
    <w:p w:rsidR="00A25E48" w:rsidRPr="00A25E48" w:rsidP="00A25E48" w14:paraId="679C78E5" w14:textId="77777777">
      <w:pPr>
        <w:tabs>
          <w:tab w:val="left" w:leader="underscore" w:pos="4680"/>
        </w:tabs>
        <w:spacing w:after="0"/>
        <w:jc w:val="center"/>
      </w:pPr>
    </w:p>
    <w:p w:rsidR="00A25E48" w:rsidRPr="00A25E48" w:rsidP="00A25E48" w14:paraId="679C78E6" w14:textId="77777777">
      <w:pPr>
        <w:tabs>
          <w:tab w:val="left" w:leader="underscore" w:pos="4680"/>
        </w:tabs>
        <w:spacing w:after="0"/>
        <w:jc w:val="center"/>
      </w:pPr>
      <w:r w:rsidRPr="00A25E48">
        <w:t>TRUCK INSURANCE EXCHANGE,</w:t>
      </w:r>
    </w:p>
    <w:p w:rsidR="00A25E48" w:rsidRPr="00A25E48" w:rsidP="00A25E48" w14:paraId="679C78E7" w14:textId="77777777">
      <w:pPr>
        <w:tabs>
          <w:tab w:val="left" w:leader="underscore" w:pos="4680"/>
        </w:tabs>
        <w:spacing w:after="0"/>
        <w:jc w:val="center"/>
      </w:pPr>
      <w:r w:rsidRPr="00A25E48">
        <w:t>Plaintiff and Appellant</w:t>
      </w:r>
      <w:r>
        <w:t>,</w:t>
      </w:r>
    </w:p>
    <w:p w:rsidR="00A25E48" w:rsidRPr="00A25E48" w:rsidP="00A25E48" w14:paraId="679C78E8" w14:textId="77777777">
      <w:pPr>
        <w:tabs>
          <w:tab w:val="left" w:leader="underscore" w:pos="4680"/>
        </w:tabs>
        <w:spacing w:after="0"/>
        <w:jc w:val="center"/>
      </w:pPr>
      <w:r w:rsidRPr="00A25E48">
        <w:t>v.</w:t>
      </w:r>
    </w:p>
    <w:p w:rsidR="00A25E48" w:rsidRPr="00A25E48" w:rsidP="00A25E48" w14:paraId="679C78E9" w14:textId="77777777">
      <w:pPr>
        <w:tabs>
          <w:tab w:val="left" w:leader="underscore" w:pos="4680"/>
        </w:tabs>
        <w:spacing w:after="0"/>
        <w:jc w:val="center"/>
      </w:pPr>
      <w:r w:rsidRPr="00A25E48">
        <w:t xml:space="preserve">KAISER CEMENT AND GYPSUM CORP. </w:t>
      </w:r>
      <w:r>
        <w:t>et al</w:t>
      </w:r>
      <w:r w:rsidRPr="00A25E48">
        <w:t>.,</w:t>
      </w:r>
    </w:p>
    <w:p w:rsidR="00A25E48" w:rsidP="00A25E48" w14:paraId="679C78EA" w14:textId="77777777">
      <w:pPr>
        <w:tabs>
          <w:tab w:val="left" w:leader="underscore" w:pos="4680"/>
        </w:tabs>
        <w:spacing w:after="0"/>
        <w:jc w:val="center"/>
      </w:pPr>
      <w:r>
        <w:rPr>
          <w:rFonts w:ascii="Times New Roman" w:hAnsi="Times New Roman"/>
          <w:sz w:val="26"/>
          <w:szCs w:val="26"/>
        </w:rPr>
        <w:t>Defendants, Cross-complainants and Appellants;</w:t>
      </w:r>
    </w:p>
    <w:p w:rsidR="0067767C" w:rsidP="00874285" w14:paraId="679C78EB" w14:textId="77777777">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 xml:space="preserve">LONDON MARKET INSURERS, </w:t>
      </w:r>
    </w:p>
    <w:p w:rsidR="0067767C" w:rsidP="00874285" w14:paraId="679C78EC" w14:textId="77777777">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Defendant and Appellant;</w:t>
      </w:r>
    </w:p>
    <w:p w:rsidR="0067767C" w:rsidP="00874285" w14:paraId="679C78ED" w14:textId="77777777">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INSURANCE COMPANY OF THE STATE OF PENNSYLVANIA, Cross-defendant and Appellant;</w:t>
      </w:r>
    </w:p>
    <w:p w:rsidR="0067767C" w:rsidP="00874285" w14:paraId="679C78EE" w14:textId="77777777">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 xml:space="preserve">GRANITE STATE INSURANCE COMPANY et al., </w:t>
      </w:r>
    </w:p>
    <w:p w:rsidR="0067767C" w:rsidP="00874285" w14:paraId="679C78EF" w14:textId="77777777">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 xml:space="preserve">Defendants and Respondents. </w:t>
      </w:r>
    </w:p>
    <w:p w:rsidR="00A25E48" w:rsidRPr="00A25E48" w:rsidP="00874285" w14:paraId="679C78F0" w14:textId="77777777">
      <w:pPr>
        <w:tabs>
          <w:tab w:val="left" w:leader="underscore" w:pos="4680"/>
        </w:tabs>
        <w:spacing w:after="0"/>
      </w:pPr>
    </w:p>
    <w:p w:rsidR="00A25E48" w:rsidRPr="00A25E48" w:rsidP="00A25E48" w14:paraId="679C78F1" w14:textId="77777777">
      <w:pPr>
        <w:tabs>
          <w:tab w:val="left" w:leader="underscore" w:pos="4680"/>
        </w:tabs>
        <w:spacing w:after="0"/>
        <w:jc w:val="center"/>
      </w:pPr>
      <w:r w:rsidRPr="00A25E48">
        <w:t>S273179</w:t>
      </w:r>
    </w:p>
    <w:p w:rsidR="00A25E48" w:rsidRPr="00A25E48" w:rsidP="00A25E48" w14:paraId="679C78F2" w14:textId="77777777">
      <w:pPr>
        <w:tabs>
          <w:tab w:val="left" w:leader="underscore" w:pos="4680"/>
        </w:tabs>
        <w:spacing w:after="0"/>
        <w:jc w:val="center"/>
      </w:pPr>
    </w:p>
    <w:p w:rsidR="00A25E48" w:rsidRPr="00A25E48" w:rsidP="00A25E48" w14:paraId="679C78F3" w14:textId="77777777">
      <w:pPr>
        <w:tabs>
          <w:tab w:val="left" w:leader="underscore" w:pos="4680"/>
        </w:tabs>
        <w:spacing w:after="0"/>
        <w:jc w:val="center"/>
      </w:pPr>
      <w:r w:rsidRPr="00A25E48">
        <w:t>Second Appellate District, Division Four</w:t>
      </w:r>
    </w:p>
    <w:p w:rsidR="00A25E48" w:rsidRPr="00A25E48" w:rsidP="00A25E48" w14:paraId="679C78F4" w14:textId="77777777">
      <w:pPr>
        <w:tabs>
          <w:tab w:val="left" w:leader="underscore" w:pos="4680"/>
        </w:tabs>
        <w:spacing w:after="0"/>
        <w:jc w:val="center"/>
      </w:pPr>
      <w:r w:rsidRPr="00A25E48">
        <w:t>B278091</w:t>
      </w:r>
    </w:p>
    <w:p w:rsidR="00A25E48" w:rsidRPr="00A25E48" w:rsidP="00A25E48" w14:paraId="679C78F5" w14:textId="77777777">
      <w:pPr>
        <w:tabs>
          <w:tab w:val="left" w:leader="underscore" w:pos="4680"/>
        </w:tabs>
        <w:spacing w:after="0"/>
        <w:jc w:val="center"/>
      </w:pPr>
    </w:p>
    <w:p w:rsidR="00A25E48" w:rsidRPr="00A25E48" w:rsidP="00A25E48" w14:paraId="679C78F6" w14:textId="77777777">
      <w:pPr>
        <w:tabs>
          <w:tab w:val="left" w:leader="underscore" w:pos="4680"/>
        </w:tabs>
        <w:spacing w:after="0"/>
        <w:jc w:val="center"/>
      </w:pPr>
      <w:r w:rsidRPr="00A25E48">
        <w:t>Los Angeles County</w:t>
      </w:r>
      <w:r>
        <w:t xml:space="preserve"> Superior Court</w:t>
      </w:r>
    </w:p>
    <w:p w:rsidR="00A25E48" w:rsidRPr="00A25E48" w:rsidP="00A25E48" w14:paraId="679C78F7" w14:textId="77777777">
      <w:pPr>
        <w:tabs>
          <w:tab w:val="left" w:leader="underscore" w:pos="4680"/>
        </w:tabs>
        <w:spacing w:after="0"/>
        <w:jc w:val="center"/>
      </w:pPr>
      <w:r w:rsidRPr="00A25E48">
        <w:t>BC249550</w:t>
      </w:r>
    </w:p>
    <w:p w:rsidR="00A25E48" w:rsidRPr="00A25E48" w:rsidP="00A25E48" w14:paraId="679C78F8" w14:textId="77777777">
      <w:pPr>
        <w:pBdr>
          <w:bottom w:val="single" w:sz="4" w:space="1" w:color="auto"/>
        </w:pBdr>
        <w:tabs>
          <w:tab w:val="left" w:leader="underscore" w:pos="4680"/>
        </w:tabs>
        <w:spacing w:after="0"/>
        <w:jc w:val="center"/>
      </w:pPr>
    </w:p>
    <w:p w:rsidR="00A25E48" w:rsidP="00A25E48" w14:paraId="679C78F9" w14:textId="77777777">
      <w:pPr>
        <w:tabs>
          <w:tab w:val="left" w:leader="underscore" w:pos="4680"/>
        </w:tabs>
        <w:spacing w:after="0"/>
        <w:jc w:val="center"/>
        <w:rPr>
          <w:u w:val="single"/>
        </w:rPr>
      </w:pPr>
    </w:p>
    <w:p w:rsidR="00A25E48" w:rsidRPr="00A25E48" w:rsidP="00A25E48" w14:paraId="679C78FA" w14:textId="77777777">
      <w:pPr>
        <w:tabs>
          <w:tab w:val="left" w:leader="underscore" w:pos="4680"/>
        </w:tabs>
        <w:spacing w:after="0"/>
        <w:jc w:val="center"/>
      </w:pPr>
      <w:r>
        <w:t>June 17</w:t>
      </w:r>
      <w:r w:rsidRPr="00A25E48">
        <w:t>, 2024</w:t>
      </w:r>
    </w:p>
    <w:p w:rsidR="00A25E48" w:rsidRPr="00A25E48" w:rsidP="00A25E48" w14:paraId="679C78FB" w14:textId="77777777">
      <w:pPr>
        <w:tabs>
          <w:tab w:val="left" w:leader="underscore" w:pos="4680"/>
        </w:tabs>
        <w:spacing w:after="0"/>
        <w:jc w:val="center"/>
      </w:pPr>
    </w:p>
    <w:p w:rsidR="00A25E48" w:rsidRPr="00A25E48" w:rsidP="00A25E48" w14:paraId="679C78FC" w14:textId="77777777">
      <w:pPr>
        <w:tabs>
          <w:tab w:val="left" w:leader="underscore" w:pos="4680"/>
        </w:tabs>
        <w:spacing w:after="0"/>
        <w:jc w:val="left"/>
      </w:pPr>
      <w:r w:rsidRPr="00A25E48">
        <w:t>Justice Groban authored the opinion of th</w:t>
      </w:r>
      <w:r>
        <w:t>e</w:t>
      </w:r>
      <w:r w:rsidRPr="00A25E48">
        <w:t xml:space="preserve"> </w:t>
      </w:r>
      <w:r w:rsidR="00186833">
        <w:t>C</w:t>
      </w:r>
      <w:r w:rsidRPr="00A25E48">
        <w:t xml:space="preserve">ourt, in which </w:t>
      </w:r>
      <w:r w:rsidR="00B6214D">
        <w:rPr>
          <w:szCs w:val="27"/>
        </w:rPr>
        <w:t>Chief Justice Guerrero and Justices Corrigan, Liu, Kruger, Jenkins,</w:t>
      </w:r>
      <w:r w:rsidR="00B6214D">
        <w:t xml:space="preserve"> and </w:t>
      </w:r>
      <w:r w:rsidR="00B6214D">
        <w:rPr>
          <w:szCs w:val="27"/>
        </w:rPr>
        <w:t>Evans</w:t>
      </w:r>
      <w:r w:rsidRPr="00A25E48">
        <w:t xml:space="preserve"> concurred.</w:t>
      </w:r>
    </w:p>
    <w:p w:rsidR="00A25E48" w:rsidRPr="00A25E48" w:rsidP="00A25E48" w14:paraId="679C78FE" w14:textId="77777777">
      <w:pPr>
        <w:pBdr>
          <w:bottom w:val="single" w:sz="4" w:space="1" w:color="auto"/>
        </w:pBdr>
        <w:tabs>
          <w:tab w:val="left" w:leader="underscore" w:pos="4680"/>
        </w:tabs>
        <w:spacing w:line="240" w:lineRule="atLeast"/>
        <w:jc w:val="left"/>
        <w:rPr>
          <w:u w:val="single"/>
        </w:rPr>
      </w:pPr>
      <w:bookmarkStart w:id="3" w:name="Return"/>
      <w:bookmarkEnd w:id="3"/>
    </w:p>
    <w:p w:rsidR="00A25E48" w:rsidP="006054D7" w14:paraId="679C78FF" w14:textId="77777777">
      <w:pPr>
        <w:tabs>
          <w:tab w:val="left" w:leader="underscore" w:pos="4680"/>
        </w:tabs>
        <w:spacing w:line="240" w:lineRule="atLeast"/>
        <w:rPr>
          <w:u w:val="single"/>
        </w:rPr>
        <w:sectPr w:rsidSect="00A25E48">
          <w:headerReference w:type="default" r:id="rId6"/>
          <w:footerReference w:type="default" r:id="rId7"/>
          <w:pgSz w:w="12240" w:h="15840"/>
          <w:pgMar w:top="1800" w:right="2160" w:bottom="1440" w:left="2160" w:header="720" w:footer="720" w:gutter="0"/>
          <w:cols w:space="720"/>
          <w:titlePg/>
          <w:docGrid w:linePitch="367"/>
        </w:sectPr>
      </w:pPr>
    </w:p>
    <w:p w:rsidR="00A25E48" w:rsidRPr="00A25E48" w:rsidP="00A25E48" w14:paraId="679C7900" w14:textId="77777777">
      <w:pPr>
        <w:tabs>
          <w:tab w:val="left" w:leader="underscore" w:pos="4680"/>
        </w:tabs>
        <w:jc w:val="center"/>
      </w:pPr>
      <w:r w:rsidRPr="00A25E48">
        <w:t>TRUCK INSURANCE EXCHANGE v. KAISER CEMENT AND GYPSUM CORP</w:t>
      </w:r>
      <w:r w:rsidR="00874285">
        <w:t>.</w:t>
      </w:r>
    </w:p>
    <w:p w:rsidR="00A25E48" w:rsidRPr="00A25E48" w:rsidP="00A25E48" w14:paraId="679C7901" w14:textId="77777777">
      <w:pPr>
        <w:tabs>
          <w:tab w:val="left" w:leader="underscore" w:pos="4680"/>
        </w:tabs>
        <w:jc w:val="center"/>
      </w:pPr>
      <w:r w:rsidRPr="00A25E48">
        <w:t>S273179</w:t>
      </w:r>
    </w:p>
    <w:p w:rsidR="00A25E48" w:rsidRPr="00A25E48" w:rsidP="00A25E48" w14:paraId="679C7902" w14:textId="77777777">
      <w:pPr>
        <w:tabs>
          <w:tab w:val="left" w:leader="underscore" w:pos="4680"/>
        </w:tabs>
        <w:jc w:val="center"/>
      </w:pPr>
    </w:p>
    <w:p w:rsidR="00A25E48" w:rsidRPr="00112487" w:rsidP="00A25E48" w14:paraId="679C7903" w14:textId="77777777">
      <w:pPr>
        <w:tabs>
          <w:tab w:val="left" w:leader="underscore" w:pos="4680"/>
        </w:tabs>
        <w:jc w:val="center"/>
        <w:rPr>
          <w:szCs w:val="27"/>
        </w:rPr>
      </w:pPr>
      <w:r w:rsidRPr="00112487">
        <w:rPr>
          <w:szCs w:val="27"/>
        </w:rPr>
        <w:t>Opinion of the Court by Groban, J.</w:t>
      </w:r>
    </w:p>
    <w:p w:rsidR="00A25E48" w:rsidRPr="00112487" w:rsidP="00A25E48" w14:paraId="679C7904" w14:textId="77777777">
      <w:pPr>
        <w:tabs>
          <w:tab w:val="left" w:leader="underscore" w:pos="4680"/>
        </w:tabs>
        <w:jc w:val="center"/>
        <w:rPr>
          <w:szCs w:val="27"/>
          <w:u w:val="single"/>
        </w:rPr>
      </w:pPr>
    </w:p>
    <w:p w:rsidR="006054D7" w:rsidRPr="00112487" w:rsidP="00A25E48" w14:paraId="679C7905" w14:textId="77777777">
      <w:pPr>
        <w:tabs>
          <w:tab w:val="left" w:pos="1440"/>
        </w:tabs>
        <w:ind w:firstLine="720"/>
        <w:rPr>
          <w:szCs w:val="27"/>
        </w:rPr>
      </w:pPr>
      <w:r w:rsidRPr="00112487">
        <w:rPr>
          <w:szCs w:val="27"/>
        </w:rPr>
        <w:t>This appeal</w:t>
      </w:r>
      <w:r w:rsidRPr="00112487" w:rsidR="00A90DCA">
        <w:rPr>
          <w:szCs w:val="27"/>
        </w:rPr>
        <w:t xml:space="preserve"> </w:t>
      </w:r>
      <w:r w:rsidRPr="00112487">
        <w:rPr>
          <w:szCs w:val="27"/>
        </w:rPr>
        <w:t xml:space="preserve">requires us to </w:t>
      </w:r>
      <w:r w:rsidRPr="00112487" w:rsidR="00856E18">
        <w:rPr>
          <w:szCs w:val="27"/>
        </w:rPr>
        <w:t>decide</w:t>
      </w:r>
      <w:r w:rsidRPr="00112487">
        <w:rPr>
          <w:szCs w:val="27"/>
        </w:rPr>
        <w:t xml:space="preserve"> </w:t>
      </w:r>
      <w:r w:rsidRPr="00112487" w:rsidR="00856E18">
        <w:rPr>
          <w:szCs w:val="27"/>
        </w:rPr>
        <w:t>when a first-level excess insurer</w:t>
      </w:r>
      <w:r w:rsidRPr="00112487" w:rsidR="001675A6">
        <w:rPr>
          <w:szCs w:val="27"/>
        </w:rPr>
        <w:t>’</w:t>
      </w:r>
      <w:r w:rsidRPr="00112487" w:rsidR="00856E18">
        <w:rPr>
          <w:szCs w:val="27"/>
        </w:rPr>
        <w:t xml:space="preserve">s indemnity obligations attach </w:t>
      </w:r>
      <w:r w:rsidRPr="00112487" w:rsidR="000E06B7">
        <w:rPr>
          <w:szCs w:val="27"/>
        </w:rPr>
        <w:t xml:space="preserve">in </w:t>
      </w:r>
      <w:r w:rsidRPr="00112487" w:rsidR="00CE2D01">
        <w:rPr>
          <w:szCs w:val="27"/>
        </w:rPr>
        <w:t xml:space="preserve">the context of a </w:t>
      </w:r>
      <w:r w:rsidRPr="00112487" w:rsidR="000E06B7">
        <w:rPr>
          <w:szCs w:val="27"/>
        </w:rPr>
        <w:t xml:space="preserve">continuous injury </w:t>
      </w:r>
      <w:r w:rsidRPr="00112487" w:rsidR="00CE2D01">
        <w:rPr>
          <w:szCs w:val="27"/>
        </w:rPr>
        <w:t xml:space="preserve">that triggers </w:t>
      </w:r>
      <w:r w:rsidRPr="00112487">
        <w:rPr>
          <w:szCs w:val="27"/>
        </w:rPr>
        <w:t xml:space="preserve">multiple policy periods. </w:t>
      </w:r>
      <w:r w:rsidRPr="00112487" w:rsidR="00A10837">
        <w:rPr>
          <w:szCs w:val="27"/>
        </w:rPr>
        <w:t xml:space="preserve"> </w:t>
      </w:r>
      <w:r w:rsidRPr="00112487" w:rsidR="005A20F3">
        <w:rPr>
          <w:szCs w:val="27"/>
        </w:rPr>
        <w:t xml:space="preserve">In </w:t>
      </w:r>
      <w:r w:rsidRPr="00112487" w:rsidR="005A20F3">
        <w:rPr>
          <w:i/>
          <w:iCs/>
          <w:szCs w:val="27"/>
        </w:rPr>
        <w:t>Montrose Chemical Corp. of California v. Superior Court</w:t>
      </w:r>
      <w:r w:rsidRPr="00112487" w:rsidR="005A20F3">
        <w:rPr>
          <w:szCs w:val="27"/>
        </w:rPr>
        <w:t xml:space="preserve"> (2020) 9</w:t>
      </w:r>
      <w:r w:rsidRPr="00112487" w:rsidR="00614F7D">
        <w:rPr>
          <w:szCs w:val="27"/>
        </w:rPr>
        <w:t> </w:t>
      </w:r>
      <w:r w:rsidRPr="00112487" w:rsidR="005A20F3">
        <w:rPr>
          <w:szCs w:val="27"/>
        </w:rPr>
        <w:t>Cal.5th 215 (</w:t>
      </w:r>
      <w:r w:rsidRPr="00112487" w:rsidR="00B62BB2">
        <w:rPr>
          <w:i/>
          <w:iCs/>
          <w:szCs w:val="27"/>
        </w:rPr>
        <w:t>Montrose III</w:t>
      </w:r>
      <w:r w:rsidRPr="00112487" w:rsidR="005A20F3">
        <w:rPr>
          <w:szCs w:val="27"/>
        </w:rPr>
        <w:t>),</w:t>
      </w:r>
      <w:r>
        <w:rPr>
          <w:rStyle w:val="FootnoteReference"/>
          <w:szCs w:val="27"/>
        </w:rPr>
        <w:footnoteReference w:id="3"/>
      </w:r>
      <w:r w:rsidRPr="00112487" w:rsidR="005A20F3">
        <w:rPr>
          <w:szCs w:val="27"/>
        </w:rPr>
        <w:t xml:space="preserve"> we addressed the sequence in which an insured </w:t>
      </w:r>
      <w:r w:rsidRPr="00112487" w:rsidR="000E06B7">
        <w:rPr>
          <w:szCs w:val="27"/>
        </w:rPr>
        <w:t>could</w:t>
      </w:r>
      <w:r w:rsidRPr="00112487" w:rsidR="00856E18">
        <w:rPr>
          <w:szCs w:val="27"/>
        </w:rPr>
        <w:t xml:space="preserve"> </w:t>
      </w:r>
      <w:r w:rsidRPr="00112487" w:rsidR="005A20F3">
        <w:rPr>
          <w:szCs w:val="27"/>
        </w:rPr>
        <w:t xml:space="preserve">access its excess insurance policies for continuous environmental damage </w:t>
      </w:r>
      <w:r w:rsidRPr="00112487" w:rsidR="00856E18">
        <w:rPr>
          <w:szCs w:val="27"/>
        </w:rPr>
        <w:t xml:space="preserve">that </w:t>
      </w:r>
      <w:r w:rsidRPr="00112487" w:rsidR="000E06B7">
        <w:rPr>
          <w:szCs w:val="27"/>
        </w:rPr>
        <w:t xml:space="preserve">had </w:t>
      </w:r>
      <w:r w:rsidRPr="00112487" w:rsidR="00856E18">
        <w:rPr>
          <w:szCs w:val="27"/>
        </w:rPr>
        <w:t>occurred over two</w:t>
      </w:r>
      <w:r w:rsidRPr="00112487" w:rsidR="0027670E">
        <w:rPr>
          <w:szCs w:val="27"/>
        </w:rPr>
        <w:t xml:space="preserve"> </w:t>
      </w:r>
      <w:r w:rsidRPr="00112487" w:rsidR="00856E18">
        <w:rPr>
          <w:szCs w:val="27"/>
        </w:rPr>
        <w:t>decade</w:t>
      </w:r>
      <w:r w:rsidRPr="00112487" w:rsidR="0027670E">
        <w:rPr>
          <w:szCs w:val="27"/>
        </w:rPr>
        <w:t>s</w:t>
      </w:r>
      <w:r w:rsidRPr="00112487" w:rsidR="005A20F3">
        <w:rPr>
          <w:szCs w:val="27"/>
        </w:rPr>
        <w:t xml:space="preserve">.  </w:t>
      </w:r>
      <w:r w:rsidRPr="00112487" w:rsidR="00CE364B">
        <w:rPr>
          <w:szCs w:val="27"/>
        </w:rPr>
        <w:t xml:space="preserve">The insured sought a rule of “vertical exhaustion,” which would allow it to access an excess insurance policy as soon as all the directly underlying insurance from that policy period (i.e., any primary and any excess policies with a lower attachment point) were exhausted.  </w:t>
      </w:r>
      <w:r w:rsidRPr="00112487" w:rsidR="00373204">
        <w:rPr>
          <w:szCs w:val="27"/>
        </w:rPr>
        <w:t xml:space="preserve">(See </w:t>
      </w:r>
      <w:r w:rsidRPr="00112487" w:rsidR="00373204">
        <w:rPr>
          <w:i/>
          <w:iCs/>
          <w:szCs w:val="27"/>
        </w:rPr>
        <w:t>id</w:t>
      </w:r>
      <w:r w:rsidRPr="00112487" w:rsidR="00373204">
        <w:rPr>
          <w:szCs w:val="27"/>
        </w:rPr>
        <w:t xml:space="preserve">. at p. 225.)  </w:t>
      </w:r>
      <w:r w:rsidRPr="00112487" w:rsidR="00CE364B">
        <w:rPr>
          <w:szCs w:val="27"/>
        </w:rPr>
        <w:t xml:space="preserve">The insurer sought a rule of “horizontal exhaustion,” which would not allow the insured to access an excess policy until it had exhausted every excess policy with a lower attachment point across all relevant policy periods.  </w:t>
      </w:r>
      <w:r w:rsidRPr="00112487" w:rsidR="00373204">
        <w:rPr>
          <w:szCs w:val="27"/>
        </w:rPr>
        <w:t xml:space="preserve">(See </w:t>
      </w:r>
      <w:r w:rsidRPr="00112487" w:rsidR="00373204">
        <w:rPr>
          <w:i/>
          <w:iCs/>
          <w:szCs w:val="27"/>
        </w:rPr>
        <w:t>ibid</w:t>
      </w:r>
      <w:r w:rsidRPr="00112487" w:rsidR="00373204">
        <w:rPr>
          <w:szCs w:val="27"/>
        </w:rPr>
        <w:t xml:space="preserve">.)  </w:t>
      </w:r>
      <w:r w:rsidRPr="00112487" w:rsidR="00CE364B">
        <w:rPr>
          <w:szCs w:val="27"/>
        </w:rPr>
        <w:t xml:space="preserve">The parties to </w:t>
      </w:r>
      <w:r w:rsidRPr="00112487" w:rsidR="00B62BB2">
        <w:rPr>
          <w:i/>
          <w:iCs/>
          <w:szCs w:val="27"/>
        </w:rPr>
        <w:t>Montrose III</w:t>
      </w:r>
      <w:r w:rsidRPr="00112487" w:rsidR="00CE364B">
        <w:rPr>
          <w:szCs w:val="27"/>
        </w:rPr>
        <w:t xml:space="preserve"> did not dispute that all primary policies had been exhausted.  Thus, the only issue before us was whether, upon exhaustion of all primary policies, the availability of excess policies was governed by a rule of vertical or horizontal exhaustion</w:t>
      </w:r>
      <w:r w:rsidRPr="00112487" w:rsidR="00373204">
        <w:rPr>
          <w:szCs w:val="27"/>
        </w:rPr>
        <w:t xml:space="preserve">.  (See </w:t>
      </w:r>
      <w:r w:rsidRPr="00112487" w:rsidR="00373204">
        <w:rPr>
          <w:i/>
          <w:iCs/>
          <w:szCs w:val="27"/>
        </w:rPr>
        <w:t>id</w:t>
      </w:r>
      <w:r w:rsidRPr="00112487" w:rsidR="00373204">
        <w:rPr>
          <w:szCs w:val="27"/>
        </w:rPr>
        <w:t>. at p. 226</w:t>
      </w:r>
      <w:r w:rsidR="00B6728E">
        <w:rPr>
          <w:szCs w:val="27"/>
        </w:rPr>
        <w:t>,</w:t>
      </w:r>
      <w:r w:rsidRPr="00112487" w:rsidR="00373204">
        <w:rPr>
          <w:szCs w:val="27"/>
        </w:rPr>
        <w:t xml:space="preserve"> fn. 4 [“Because the question is not presented here, we do not decide when or whether an insured may access excess policies before all primary insurance covering all relevant policy periods has been exhausted”].)</w:t>
      </w:r>
    </w:p>
    <w:p w:rsidR="006877D0" w:rsidRPr="00112487" w:rsidP="00A25E48" w14:paraId="679C7906" w14:textId="77777777">
      <w:pPr>
        <w:tabs>
          <w:tab w:val="left" w:pos="1440"/>
        </w:tabs>
        <w:ind w:firstLine="720"/>
        <w:rPr>
          <w:szCs w:val="27"/>
        </w:rPr>
      </w:pPr>
      <w:r w:rsidRPr="00112487">
        <w:rPr>
          <w:szCs w:val="27"/>
        </w:rPr>
        <w:t xml:space="preserve">This case requires us to resolve </w:t>
      </w:r>
      <w:r w:rsidRPr="00112487" w:rsidR="00835F4D">
        <w:rPr>
          <w:szCs w:val="27"/>
        </w:rPr>
        <w:t>the question</w:t>
      </w:r>
      <w:r w:rsidRPr="00112487">
        <w:rPr>
          <w:szCs w:val="27"/>
        </w:rPr>
        <w:t xml:space="preserve"> </w:t>
      </w:r>
      <w:r w:rsidRPr="00112487" w:rsidR="00E218AD">
        <w:rPr>
          <w:szCs w:val="27"/>
        </w:rPr>
        <w:t xml:space="preserve">that </w:t>
      </w:r>
      <w:r w:rsidRPr="00112487">
        <w:rPr>
          <w:szCs w:val="27"/>
        </w:rPr>
        <w:t xml:space="preserve">we left open in </w:t>
      </w:r>
      <w:r w:rsidRPr="00112487" w:rsidR="00B62BB2">
        <w:rPr>
          <w:i/>
          <w:iCs/>
          <w:szCs w:val="27"/>
        </w:rPr>
        <w:t>Montrose III</w:t>
      </w:r>
      <w:r w:rsidRPr="00112487">
        <w:rPr>
          <w:szCs w:val="27"/>
        </w:rPr>
        <w:t xml:space="preserve">:  whether standard language in </w:t>
      </w:r>
      <w:r w:rsidRPr="00112487" w:rsidR="007D6003">
        <w:rPr>
          <w:szCs w:val="27"/>
        </w:rPr>
        <w:t xml:space="preserve">commercial general liability </w:t>
      </w:r>
      <w:r w:rsidRPr="00112487">
        <w:rPr>
          <w:szCs w:val="27"/>
        </w:rPr>
        <w:t xml:space="preserve">policies that </w:t>
      </w:r>
      <w:r w:rsidRPr="00112487" w:rsidR="00835F4D">
        <w:rPr>
          <w:szCs w:val="27"/>
        </w:rPr>
        <w:t>are excess to</w:t>
      </w:r>
      <w:r w:rsidRPr="00112487">
        <w:rPr>
          <w:szCs w:val="27"/>
        </w:rPr>
        <w:t xml:space="preserve"> </w:t>
      </w:r>
      <w:r w:rsidRPr="00112487">
        <w:rPr>
          <w:i/>
          <w:iCs/>
          <w:szCs w:val="27"/>
        </w:rPr>
        <w:t>primary</w:t>
      </w:r>
      <w:r w:rsidRPr="00112487">
        <w:rPr>
          <w:szCs w:val="27"/>
        </w:rPr>
        <w:t xml:space="preserve"> insurance policies should be interpreted to require vertical or horizontal exhaustion.  In other words, </w:t>
      </w:r>
      <w:r w:rsidRPr="00112487" w:rsidR="00084D44">
        <w:rPr>
          <w:szCs w:val="27"/>
        </w:rPr>
        <w:t xml:space="preserve">can an insured access </w:t>
      </w:r>
      <w:r w:rsidRPr="00112487">
        <w:rPr>
          <w:szCs w:val="27"/>
        </w:rPr>
        <w:t xml:space="preserve">a first-level excess </w:t>
      </w:r>
      <w:r w:rsidRPr="00112487" w:rsidR="00084D44">
        <w:rPr>
          <w:szCs w:val="27"/>
        </w:rPr>
        <w:t xml:space="preserve">insurance </w:t>
      </w:r>
      <w:r w:rsidRPr="00112487">
        <w:rPr>
          <w:szCs w:val="27"/>
        </w:rPr>
        <w:t xml:space="preserve">policy upon exhaustion of underlying primary insurance </w:t>
      </w:r>
      <w:r w:rsidRPr="00112487" w:rsidR="00084D44">
        <w:rPr>
          <w:szCs w:val="27"/>
        </w:rPr>
        <w:t xml:space="preserve">obtained for </w:t>
      </w:r>
      <w:r w:rsidRPr="00112487">
        <w:rPr>
          <w:szCs w:val="27"/>
        </w:rPr>
        <w:t xml:space="preserve">the same policy period (vertical exhaustion), or </w:t>
      </w:r>
      <w:r w:rsidRPr="00112487" w:rsidR="00084D44">
        <w:rPr>
          <w:szCs w:val="27"/>
        </w:rPr>
        <w:t>is the insured required to</w:t>
      </w:r>
      <w:r w:rsidRPr="00112487">
        <w:rPr>
          <w:szCs w:val="27"/>
        </w:rPr>
        <w:t xml:space="preserve"> exhaust </w:t>
      </w:r>
      <w:r w:rsidRPr="00112487" w:rsidR="00084D44">
        <w:rPr>
          <w:i/>
          <w:iCs/>
          <w:szCs w:val="27"/>
        </w:rPr>
        <w:t>all</w:t>
      </w:r>
      <w:r w:rsidRPr="00112487">
        <w:rPr>
          <w:szCs w:val="27"/>
        </w:rPr>
        <w:t xml:space="preserve"> primary polic</w:t>
      </w:r>
      <w:r w:rsidRPr="00112487" w:rsidR="00084D44">
        <w:rPr>
          <w:szCs w:val="27"/>
        </w:rPr>
        <w:t xml:space="preserve">ies </w:t>
      </w:r>
      <w:r w:rsidRPr="00112487">
        <w:rPr>
          <w:szCs w:val="27"/>
        </w:rPr>
        <w:t>issued during the continu</w:t>
      </w:r>
      <w:r w:rsidRPr="00112487" w:rsidR="00084D44">
        <w:rPr>
          <w:szCs w:val="27"/>
        </w:rPr>
        <w:t xml:space="preserve">ous </w:t>
      </w:r>
      <w:r w:rsidRPr="00112487">
        <w:rPr>
          <w:szCs w:val="27"/>
        </w:rPr>
        <w:t>period of damage</w:t>
      </w:r>
      <w:r w:rsidRPr="00112487" w:rsidR="00084D44">
        <w:rPr>
          <w:szCs w:val="27"/>
        </w:rPr>
        <w:t xml:space="preserve"> (horizontal exhaustion)?</w:t>
      </w:r>
    </w:p>
    <w:p w:rsidR="00D22C3F" w:rsidRPr="00112487" w:rsidP="00A25E48" w14:paraId="679C7907" w14:textId="77777777">
      <w:pPr>
        <w:tabs>
          <w:tab w:val="left" w:pos="1440"/>
        </w:tabs>
        <w:ind w:firstLine="720"/>
        <w:rPr>
          <w:szCs w:val="27"/>
        </w:rPr>
      </w:pPr>
      <w:r w:rsidRPr="00112487">
        <w:rPr>
          <w:szCs w:val="27"/>
        </w:rPr>
        <w:t xml:space="preserve">The appellant </w:t>
      </w:r>
      <w:r w:rsidRPr="00112487" w:rsidR="00084D44">
        <w:rPr>
          <w:szCs w:val="27"/>
        </w:rPr>
        <w:t xml:space="preserve">in this case </w:t>
      </w:r>
      <w:r w:rsidRPr="00112487">
        <w:rPr>
          <w:szCs w:val="27"/>
        </w:rPr>
        <w:t xml:space="preserve">is </w:t>
      </w:r>
      <w:r w:rsidRPr="00112487" w:rsidR="00F20A9E">
        <w:rPr>
          <w:szCs w:val="27"/>
        </w:rPr>
        <w:t>Truck Insurance Exchange (Truck), a primary insurer for Kaiser Cement and Gypsum Corporation (Kaiser)</w:t>
      </w:r>
      <w:r w:rsidRPr="00112487">
        <w:rPr>
          <w:szCs w:val="27"/>
        </w:rPr>
        <w:t xml:space="preserve">. </w:t>
      </w:r>
      <w:r w:rsidRPr="00112487" w:rsidR="00A061BF">
        <w:rPr>
          <w:szCs w:val="27"/>
        </w:rPr>
        <w:t xml:space="preserve"> </w:t>
      </w:r>
      <w:r w:rsidRPr="00112487">
        <w:rPr>
          <w:szCs w:val="27"/>
        </w:rPr>
        <w:t>Truck filed an</w:t>
      </w:r>
      <w:r w:rsidRPr="00112487" w:rsidR="00F20A9E">
        <w:rPr>
          <w:szCs w:val="27"/>
        </w:rPr>
        <w:t xml:space="preserve"> equitable contribution </w:t>
      </w:r>
      <w:r w:rsidRPr="00112487">
        <w:rPr>
          <w:szCs w:val="27"/>
        </w:rPr>
        <w:t xml:space="preserve">claim against </w:t>
      </w:r>
      <w:r w:rsidRPr="00112487" w:rsidR="00F20A9E">
        <w:rPr>
          <w:szCs w:val="27"/>
        </w:rPr>
        <w:t xml:space="preserve">several </w:t>
      </w:r>
      <w:r w:rsidRPr="00112487" w:rsidR="0063494D">
        <w:rPr>
          <w:szCs w:val="27"/>
        </w:rPr>
        <w:t>insure</w:t>
      </w:r>
      <w:r w:rsidR="001217B2">
        <w:rPr>
          <w:szCs w:val="27"/>
        </w:rPr>
        <w:t>r</w:t>
      </w:r>
      <w:r w:rsidRPr="00112487" w:rsidR="0063494D">
        <w:rPr>
          <w:szCs w:val="27"/>
        </w:rPr>
        <w:t xml:space="preserve">s that had issued </w:t>
      </w:r>
      <w:r w:rsidRPr="00112487" w:rsidR="00F20A9E">
        <w:rPr>
          <w:szCs w:val="27"/>
        </w:rPr>
        <w:t xml:space="preserve">first-level excess </w:t>
      </w:r>
      <w:r w:rsidRPr="00112487" w:rsidR="0063494D">
        <w:rPr>
          <w:szCs w:val="27"/>
        </w:rPr>
        <w:t>policies</w:t>
      </w:r>
      <w:r w:rsidRPr="00112487" w:rsidR="00D57465">
        <w:rPr>
          <w:szCs w:val="27"/>
        </w:rPr>
        <w:t xml:space="preserve"> to Kaiser</w:t>
      </w:r>
      <w:r w:rsidRPr="00112487" w:rsidR="0063494D">
        <w:rPr>
          <w:szCs w:val="27"/>
        </w:rPr>
        <w:t xml:space="preserve"> </w:t>
      </w:r>
      <w:r w:rsidRPr="00112487" w:rsidR="00056A7A">
        <w:rPr>
          <w:szCs w:val="27"/>
        </w:rPr>
        <w:t xml:space="preserve">for </w:t>
      </w:r>
      <w:r w:rsidRPr="00112487" w:rsidR="0063494D">
        <w:rPr>
          <w:szCs w:val="27"/>
        </w:rPr>
        <w:t>polic</w:t>
      </w:r>
      <w:r w:rsidRPr="00112487" w:rsidR="000E06B7">
        <w:rPr>
          <w:szCs w:val="27"/>
        </w:rPr>
        <w:t>y</w:t>
      </w:r>
      <w:r w:rsidRPr="00112487" w:rsidR="0063494D">
        <w:rPr>
          <w:szCs w:val="27"/>
        </w:rPr>
        <w:t xml:space="preserve"> years </w:t>
      </w:r>
      <w:r w:rsidRPr="00112487" w:rsidR="00D57465">
        <w:rPr>
          <w:szCs w:val="27"/>
        </w:rPr>
        <w:t xml:space="preserve">where </w:t>
      </w:r>
      <w:r w:rsidRPr="00112487" w:rsidR="0063494D">
        <w:rPr>
          <w:szCs w:val="27"/>
        </w:rPr>
        <w:t>the directly underlying primary policy</w:t>
      </w:r>
      <w:r w:rsidRPr="00112487" w:rsidR="00664378">
        <w:rPr>
          <w:szCs w:val="27"/>
        </w:rPr>
        <w:t xml:space="preserve"> had been exhausted</w:t>
      </w:r>
      <w:r w:rsidRPr="00112487" w:rsidR="0063494D">
        <w:rPr>
          <w:szCs w:val="27"/>
        </w:rPr>
        <w:t xml:space="preserve">.  Relying on our reasoning in </w:t>
      </w:r>
      <w:r w:rsidRPr="00112487" w:rsidR="00B62BB2">
        <w:rPr>
          <w:i/>
          <w:iCs/>
          <w:szCs w:val="27"/>
        </w:rPr>
        <w:t>Montrose III</w:t>
      </w:r>
      <w:r w:rsidRPr="00112487" w:rsidR="0063494D">
        <w:rPr>
          <w:szCs w:val="27"/>
        </w:rPr>
        <w:t xml:space="preserve">, </w:t>
      </w:r>
      <w:r w:rsidRPr="00112487" w:rsidR="0063494D">
        <w:rPr>
          <w:i/>
          <w:iCs/>
          <w:szCs w:val="27"/>
        </w:rPr>
        <w:t>supra</w:t>
      </w:r>
      <w:r w:rsidRPr="00112487" w:rsidR="0063494D">
        <w:rPr>
          <w:szCs w:val="27"/>
        </w:rPr>
        <w:t xml:space="preserve">, </w:t>
      </w:r>
      <w:r w:rsidRPr="00112487" w:rsidR="00823F17">
        <w:rPr>
          <w:szCs w:val="27"/>
        </w:rPr>
        <w:t>9</w:t>
      </w:r>
      <w:r w:rsidRPr="00112487" w:rsidR="00614F7D">
        <w:rPr>
          <w:szCs w:val="27"/>
        </w:rPr>
        <w:t> </w:t>
      </w:r>
      <w:r w:rsidRPr="00112487" w:rsidR="00823F17">
        <w:rPr>
          <w:szCs w:val="27"/>
        </w:rPr>
        <w:t xml:space="preserve">Cal.5th 215, Truck argued that the excess insurers’ indemnity obligations were triggered immediately upon exhaustion of the </w:t>
      </w:r>
      <w:r w:rsidRPr="00112487" w:rsidR="004D6E55">
        <w:rPr>
          <w:szCs w:val="27"/>
        </w:rPr>
        <w:t xml:space="preserve">directly underlying </w:t>
      </w:r>
      <w:r w:rsidRPr="00112487" w:rsidR="00823F17">
        <w:rPr>
          <w:szCs w:val="27"/>
        </w:rPr>
        <w:t>primary policies</w:t>
      </w:r>
      <w:r w:rsidRPr="00112487" w:rsidR="00664378">
        <w:rPr>
          <w:szCs w:val="27"/>
        </w:rPr>
        <w:t xml:space="preserve">.  </w:t>
      </w:r>
      <w:r w:rsidRPr="00112487">
        <w:rPr>
          <w:szCs w:val="27"/>
        </w:rPr>
        <w:t xml:space="preserve">Truck </w:t>
      </w:r>
      <w:r w:rsidRPr="00112487" w:rsidR="00EA60FE">
        <w:rPr>
          <w:szCs w:val="27"/>
        </w:rPr>
        <w:t xml:space="preserve">further </w:t>
      </w:r>
      <w:r w:rsidRPr="00112487">
        <w:rPr>
          <w:szCs w:val="27"/>
        </w:rPr>
        <w:t>reasoned</w:t>
      </w:r>
      <w:r w:rsidRPr="00112487" w:rsidR="00EA60FE">
        <w:rPr>
          <w:szCs w:val="27"/>
        </w:rPr>
        <w:t xml:space="preserve"> that because</w:t>
      </w:r>
      <w:r w:rsidRPr="00112487">
        <w:rPr>
          <w:szCs w:val="27"/>
        </w:rPr>
        <w:t xml:space="preserve"> </w:t>
      </w:r>
      <w:r w:rsidRPr="00112487" w:rsidR="00664378">
        <w:rPr>
          <w:szCs w:val="27"/>
        </w:rPr>
        <w:t>the</w:t>
      </w:r>
      <w:r w:rsidRPr="00112487" w:rsidR="00412A4A">
        <w:rPr>
          <w:szCs w:val="27"/>
        </w:rPr>
        <w:t xml:space="preserve"> excess insurers</w:t>
      </w:r>
      <w:r w:rsidRPr="00112487" w:rsidR="00EA60FE">
        <w:rPr>
          <w:szCs w:val="27"/>
        </w:rPr>
        <w:t xml:space="preserve"> </w:t>
      </w:r>
      <w:r w:rsidRPr="00112487" w:rsidR="00982A7E">
        <w:rPr>
          <w:szCs w:val="27"/>
        </w:rPr>
        <w:t xml:space="preserve">owed a </w:t>
      </w:r>
      <w:r w:rsidRPr="00112487" w:rsidR="00226BF8">
        <w:rPr>
          <w:szCs w:val="27"/>
        </w:rPr>
        <w:t xml:space="preserve">coverage </w:t>
      </w:r>
      <w:r w:rsidRPr="00112487" w:rsidR="00EA60FE">
        <w:rPr>
          <w:szCs w:val="27"/>
        </w:rPr>
        <w:t>duty to Kaiser, they</w:t>
      </w:r>
      <w:r w:rsidRPr="00112487" w:rsidR="00412A4A">
        <w:rPr>
          <w:szCs w:val="27"/>
        </w:rPr>
        <w:t xml:space="preserve"> were </w:t>
      </w:r>
      <w:r w:rsidRPr="00112487" w:rsidR="00525C1E">
        <w:rPr>
          <w:szCs w:val="27"/>
        </w:rPr>
        <w:t xml:space="preserve">effectively </w:t>
      </w:r>
      <w:r w:rsidRPr="00112487" w:rsidR="00412A4A">
        <w:rPr>
          <w:szCs w:val="27"/>
        </w:rPr>
        <w:t xml:space="preserve">responsible for indemnifying the same loss as Truck and should therefore be required to </w:t>
      </w:r>
      <w:r w:rsidRPr="00112487" w:rsidR="00823F17">
        <w:rPr>
          <w:szCs w:val="27"/>
        </w:rPr>
        <w:t xml:space="preserve">contribute to Truck’s </w:t>
      </w:r>
      <w:r w:rsidRPr="00112487" w:rsidR="00D57465">
        <w:rPr>
          <w:szCs w:val="27"/>
        </w:rPr>
        <w:t>coverage</w:t>
      </w:r>
      <w:r w:rsidRPr="00112487" w:rsidR="00412A4A">
        <w:rPr>
          <w:szCs w:val="27"/>
        </w:rPr>
        <w:t xml:space="preserve"> </w:t>
      </w:r>
      <w:r w:rsidRPr="00112487" w:rsidR="00823F17">
        <w:rPr>
          <w:szCs w:val="27"/>
        </w:rPr>
        <w:t xml:space="preserve">costs. </w:t>
      </w:r>
      <w:r w:rsidRPr="00112487" w:rsidR="00FA65C0">
        <w:rPr>
          <w:szCs w:val="27"/>
        </w:rPr>
        <w:t xml:space="preserve"> </w:t>
      </w:r>
      <w:r w:rsidRPr="00112487" w:rsidR="00823F17">
        <w:rPr>
          <w:szCs w:val="27"/>
        </w:rPr>
        <w:t>The excess insurers</w:t>
      </w:r>
      <w:r w:rsidRPr="00112487" w:rsidR="00A45816">
        <w:rPr>
          <w:szCs w:val="27"/>
        </w:rPr>
        <w:t xml:space="preserve">, however, </w:t>
      </w:r>
      <w:r w:rsidRPr="00112487" w:rsidR="00823F17">
        <w:rPr>
          <w:szCs w:val="27"/>
        </w:rPr>
        <w:t>argu</w:t>
      </w:r>
      <w:r w:rsidRPr="00112487" w:rsidR="00A45816">
        <w:rPr>
          <w:szCs w:val="27"/>
        </w:rPr>
        <w:t>ed</w:t>
      </w:r>
      <w:r w:rsidRPr="00112487" w:rsidR="00823F17">
        <w:rPr>
          <w:szCs w:val="27"/>
        </w:rPr>
        <w:t xml:space="preserve"> that </w:t>
      </w:r>
      <w:r w:rsidRPr="00112487">
        <w:rPr>
          <w:szCs w:val="27"/>
        </w:rPr>
        <w:t xml:space="preserve">they </w:t>
      </w:r>
      <w:r w:rsidRPr="00112487" w:rsidR="00EA60FE">
        <w:rPr>
          <w:szCs w:val="27"/>
        </w:rPr>
        <w:t xml:space="preserve">had no duty to indemnify </w:t>
      </w:r>
      <w:r w:rsidRPr="00112487">
        <w:rPr>
          <w:szCs w:val="27"/>
        </w:rPr>
        <w:t xml:space="preserve">Kaiser until it </w:t>
      </w:r>
      <w:r w:rsidRPr="00112487" w:rsidR="00356D04">
        <w:rPr>
          <w:szCs w:val="27"/>
        </w:rPr>
        <w:t xml:space="preserve">had exhausted every </w:t>
      </w:r>
      <w:r w:rsidRPr="00112487" w:rsidR="00E127A0">
        <w:rPr>
          <w:szCs w:val="27"/>
        </w:rPr>
        <w:t xml:space="preserve">primary </w:t>
      </w:r>
      <w:r w:rsidRPr="00112487" w:rsidR="00356D04">
        <w:rPr>
          <w:szCs w:val="27"/>
        </w:rPr>
        <w:t>policy issued during the period of continuous damage</w:t>
      </w:r>
      <w:r w:rsidRPr="00112487" w:rsidR="007D6003">
        <w:rPr>
          <w:szCs w:val="27"/>
        </w:rPr>
        <w:t xml:space="preserve"> (including the policy Truck had issued)</w:t>
      </w:r>
      <w:r w:rsidRPr="00112487" w:rsidR="00356D04">
        <w:rPr>
          <w:szCs w:val="27"/>
        </w:rPr>
        <w:t xml:space="preserve">, and thus there was no possible basis for contribution.  </w:t>
      </w:r>
      <w:r w:rsidRPr="00112487" w:rsidR="00FA65C0">
        <w:rPr>
          <w:szCs w:val="27"/>
        </w:rPr>
        <w:t xml:space="preserve">According to the excess insurers, </w:t>
      </w:r>
      <w:r w:rsidRPr="00112487" w:rsidR="00B62BB2">
        <w:rPr>
          <w:i/>
          <w:iCs/>
          <w:szCs w:val="27"/>
        </w:rPr>
        <w:t>Montrose III</w:t>
      </w:r>
      <w:r w:rsidRPr="00112487" w:rsidR="00FA65C0">
        <w:rPr>
          <w:szCs w:val="27"/>
        </w:rPr>
        <w:t xml:space="preserve">’s analysis </w:t>
      </w:r>
      <w:r w:rsidRPr="00112487" w:rsidR="00982A7E">
        <w:rPr>
          <w:szCs w:val="27"/>
        </w:rPr>
        <w:t>is</w:t>
      </w:r>
      <w:r w:rsidRPr="00112487" w:rsidR="00FA65C0">
        <w:rPr>
          <w:szCs w:val="27"/>
        </w:rPr>
        <w:t xml:space="preserve"> limited </w:t>
      </w:r>
      <w:r w:rsidRPr="00112487" w:rsidR="00380FFF">
        <w:rPr>
          <w:szCs w:val="27"/>
        </w:rPr>
        <w:t xml:space="preserve">to excess policies that sit </w:t>
      </w:r>
      <w:r w:rsidRPr="00346AAF" w:rsidR="00380FFF">
        <w:rPr>
          <w:szCs w:val="27"/>
        </w:rPr>
        <w:t>over</w:t>
      </w:r>
      <w:r w:rsidRPr="00112487" w:rsidR="00380FFF">
        <w:rPr>
          <w:i/>
          <w:iCs/>
          <w:szCs w:val="27"/>
        </w:rPr>
        <w:t xml:space="preserve"> </w:t>
      </w:r>
      <w:r w:rsidRPr="00346AAF" w:rsidR="00380FFF">
        <w:rPr>
          <w:szCs w:val="27"/>
        </w:rPr>
        <w:t>other</w:t>
      </w:r>
      <w:r w:rsidRPr="00112487" w:rsidR="00380FFF">
        <w:rPr>
          <w:i/>
          <w:iCs/>
          <w:szCs w:val="27"/>
        </w:rPr>
        <w:t xml:space="preserve"> excess </w:t>
      </w:r>
      <w:r w:rsidRPr="00346AAF" w:rsidR="00380FFF">
        <w:rPr>
          <w:szCs w:val="27"/>
        </w:rPr>
        <w:t>policies</w:t>
      </w:r>
      <w:r w:rsidRPr="00112487" w:rsidR="00380FFF">
        <w:rPr>
          <w:szCs w:val="27"/>
        </w:rPr>
        <w:t xml:space="preserve">, not first-level excess policies that sit over </w:t>
      </w:r>
      <w:r w:rsidRPr="00346AAF" w:rsidR="00380FFF">
        <w:rPr>
          <w:i/>
          <w:iCs/>
          <w:szCs w:val="27"/>
        </w:rPr>
        <w:t>primary</w:t>
      </w:r>
      <w:r w:rsidRPr="00112487" w:rsidR="00380FFF">
        <w:rPr>
          <w:szCs w:val="27"/>
        </w:rPr>
        <w:t xml:space="preserve"> insurance.</w:t>
      </w:r>
      <w:r w:rsidRPr="00112487" w:rsidR="00956CED">
        <w:rPr>
          <w:szCs w:val="27"/>
        </w:rPr>
        <w:t xml:space="preserve">  </w:t>
      </w:r>
      <w:r w:rsidRPr="00112487" w:rsidR="00C339B9">
        <w:rPr>
          <w:szCs w:val="27"/>
        </w:rPr>
        <w:t xml:space="preserve">The Court of Appeal </w:t>
      </w:r>
      <w:r w:rsidRPr="00112487" w:rsidR="00115B00">
        <w:rPr>
          <w:szCs w:val="27"/>
        </w:rPr>
        <w:t>agreed</w:t>
      </w:r>
      <w:r w:rsidRPr="00112487" w:rsidR="00204781">
        <w:rPr>
          <w:szCs w:val="27"/>
        </w:rPr>
        <w:t xml:space="preserve"> that </w:t>
      </w:r>
      <w:r w:rsidRPr="00112487" w:rsidR="00B62BB2">
        <w:rPr>
          <w:i/>
          <w:iCs/>
          <w:szCs w:val="27"/>
        </w:rPr>
        <w:t>Montrose III</w:t>
      </w:r>
      <w:r w:rsidRPr="00112487" w:rsidR="00380FFF">
        <w:rPr>
          <w:szCs w:val="27"/>
        </w:rPr>
        <w:t xml:space="preserve"> </w:t>
      </w:r>
      <w:r w:rsidRPr="00112487" w:rsidR="00204781">
        <w:rPr>
          <w:szCs w:val="27"/>
        </w:rPr>
        <w:t xml:space="preserve">did not extend </w:t>
      </w:r>
      <w:r w:rsidRPr="00112487" w:rsidR="00982A7E">
        <w:rPr>
          <w:szCs w:val="27"/>
        </w:rPr>
        <w:t xml:space="preserve">to </w:t>
      </w:r>
      <w:r w:rsidRPr="00112487" w:rsidR="00226BF8">
        <w:rPr>
          <w:szCs w:val="27"/>
        </w:rPr>
        <w:t>excess policies that sit over</w:t>
      </w:r>
      <w:r w:rsidRPr="00112487">
        <w:rPr>
          <w:szCs w:val="27"/>
        </w:rPr>
        <w:t xml:space="preserve"> primary insurance, which has </w:t>
      </w:r>
      <w:r w:rsidRPr="00112487" w:rsidR="00523AD6">
        <w:rPr>
          <w:szCs w:val="27"/>
        </w:rPr>
        <w:t xml:space="preserve">characteristics that are distinct from excess </w:t>
      </w:r>
      <w:r w:rsidRPr="00112487" w:rsidR="00115B00">
        <w:rPr>
          <w:szCs w:val="27"/>
        </w:rPr>
        <w:t>insurance</w:t>
      </w:r>
      <w:r w:rsidRPr="00112487" w:rsidR="00956CED">
        <w:rPr>
          <w:szCs w:val="27"/>
        </w:rPr>
        <w:t xml:space="preserve"> including immediate </w:t>
      </w:r>
      <w:r w:rsidRPr="00112487" w:rsidR="00943370">
        <w:rPr>
          <w:szCs w:val="27"/>
        </w:rPr>
        <w:t xml:space="preserve">coverage and defense </w:t>
      </w:r>
      <w:r w:rsidRPr="00112487" w:rsidR="00956CED">
        <w:rPr>
          <w:szCs w:val="27"/>
        </w:rPr>
        <w:t>obligation</w:t>
      </w:r>
      <w:r w:rsidRPr="00112487" w:rsidR="00943370">
        <w:rPr>
          <w:szCs w:val="27"/>
        </w:rPr>
        <w:t>s</w:t>
      </w:r>
      <w:r w:rsidRPr="00112487" w:rsidR="00523AD6">
        <w:rPr>
          <w:szCs w:val="27"/>
        </w:rPr>
        <w:t xml:space="preserve">.  </w:t>
      </w:r>
      <w:r w:rsidRPr="00112487" w:rsidR="00982A7E">
        <w:rPr>
          <w:szCs w:val="27"/>
        </w:rPr>
        <w:t>In so ruling, t</w:t>
      </w:r>
      <w:r w:rsidRPr="00112487" w:rsidR="00226BF8">
        <w:rPr>
          <w:szCs w:val="27"/>
        </w:rPr>
        <w:t>he</w:t>
      </w:r>
      <w:r w:rsidRPr="00112487" w:rsidR="005F5F4C">
        <w:rPr>
          <w:szCs w:val="27"/>
        </w:rPr>
        <w:t xml:space="preserve"> court</w:t>
      </w:r>
      <w:r w:rsidRPr="00112487" w:rsidR="00226BF8">
        <w:rPr>
          <w:szCs w:val="27"/>
        </w:rPr>
        <w:t xml:space="preserve"> </w:t>
      </w:r>
      <w:r w:rsidRPr="00112487" w:rsidR="00115B00">
        <w:rPr>
          <w:szCs w:val="27"/>
        </w:rPr>
        <w:t xml:space="preserve">rejected </w:t>
      </w:r>
      <w:r w:rsidRPr="00112487" w:rsidR="005F5F4C">
        <w:rPr>
          <w:i/>
          <w:iCs/>
          <w:szCs w:val="27"/>
        </w:rPr>
        <w:t>SantaFe Braun, Inc. v. Insurance Co. of North America</w:t>
      </w:r>
      <w:r w:rsidRPr="00112487" w:rsidR="005F5F4C">
        <w:rPr>
          <w:szCs w:val="27"/>
        </w:rPr>
        <w:t xml:space="preserve"> (2020) 52 Cal.App.5th 19 (</w:t>
      </w:r>
      <w:r w:rsidRPr="00112487" w:rsidR="005F5F4C">
        <w:rPr>
          <w:i/>
          <w:iCs/>
          <w:szCs w:val="27"/>
        </w:rPr>
        <w:t>SantaFe</w:t>
      </w:r>
      <w:r w:rsidRPr="00112487" w:rsidR="005F5F4C">
        <w:rPr>
          <w:szCs w:val="27"/>
        </w:rPr>
        <w:t xml:space="preserve">), which </w:t>
      </w:r>
      <w:r w:rsidRPr="00112487" w:rsidR="006315E0">
        <w:rPr>
          <w:szCs w:val="27"/>
        </w:rPr>
        <w:t>held</w:t>
      </w:r>
      <w:r w:rsidRPr="00112487" w:rsidR="00226BF8">
        <w:rPr>
          <w:szCs w:val="27"/>
        </w:rPr>
        <w:t xml:space="preserve"> </w:t>
      </w:r>
      <w:r w:rsidRPr="00112487" w:rsidR="005F5F4C">
        <w:rPr>
          <w:szCs w:val="27"/>
        </w:rPr>
        <w:t xml:space="preserve">that </w:t>
      </w:r>
      <w:r w:rsidRPr="00112487" w:rsidR="00B62BB2">
        <w:rPr>
          <w:i/>
          <w:iCs/>
          <w:szCs w:val="27"/>
        </w:rPr>
        <w:t>Montrose III</w:t>
      </w:r>
      <w:r w:rsidRPr="00112487" w:rsidR="00436F67">
        <w:rPr>
          <w:szCs w:val="27"/>
        </w:rPr>
        <w:t xml:space="preserve">’s reasoning </w:t>
      </w:r>
      <w:r w:rsidRPr="00112487" w:rsidR="005F5F4C">
        <w:rPr>
          <w:i/>
          <w:iCs/>
          <w:szCs w:val="27"/>
        </w:rPr>
        <w:t>d</w:t>
      </w:r>
      <w:r w:rsidRPr="00112487" w:rsidR="006315E0">
        <w:rPr>
          <w:i/>
          <w:iCs/>
          <w:szCs w:val="27"/>
        </w:rPr>
        <w:t>oes</w:t>
      </w:r>
      <w:r w:rsidRPr="00112487" w:rsidR="005F5F4C">
        <w:rPr>
          <w:szCs w:val="27"/>
        </w:rPr>
        <w:t xml:space="preserve"> </w:t>
      </w:r>
      <w:r w:rsidRPr="00112487" w:rsidR="00523AD6">
        <w:rPr>
          <w:szCs w:val="27"/>
        </w:rPr>
        <w:t xml:space="preserve">apply </w:t>
      </w:r>
      <w:r w:rsidRPr="00112487" w:rsidR="00436F67">
        <w:rPr>
          <w:szCs w:val="27"/>
        </w:rPr>
        <w:t xml:space="preserve">in the context of </w:t>
      </w:r>
      <w:r w:rsidRPr="00112487" w:rsidR="005F5F4C">
        <w:rPr>
          <w:szCs w:val="27"/>
        </w:rPr>
        <w:t>first-level excess polic</w:t>
      </w:r>
      <w:r w:rsidRPr="00112487" w:rsidR="00523AD6">
        <w:rPr>
          <w:szCs w:val="27"/>
        </w:rPr>
        <w:t>ies</w:t>
      </w:r>
      <w:r w:rsidRPr="00112487" w:rsidR="00436F67">
        <w:rPr>
          <w:szCs w:val="27"/>
        </w:rPr>
        <w:t xml:space="preserve">.  </w:t>
      </w:r>
      <w:r w:rsidRPr="00112487" w:rsidR="002A77BD">
        <w:rPr>
          <w:szCs w:val="27"/>
        </w:rPr>
        <w:t xml:space="preserve">The court further concluded that because the excess insurers had no coverage </w:t>
      </w:r>
      <w:r w:rsidRPr="00112487" w:rsidR="00F862D4">
        <w:rPr>
          <w:szCs w:val="27"/>
        </w:rPr>
        <w:t>obligation</w:t>
      </w:r>
      <w:r w:rsidRPr="00112487" w:rsidR="00115B00">
        <w:rPr>
          <w:szCs w:val="27"/>
        </w:rPr>
        <w:t xml:space="preserve"> </w:t>
      </w:r>
      <w:r w:rsidRPr="00112487">
        <w:rPr>
          <w:szCs w:val="27"/>
        </w:rPr>
        <w:t>under their policies</w:t>
      </w:r>
      <w:r w:rsidRPr="00112487" w:rsidR="002A77BD">
        <w:rPr>
          <w:szCs w:val="27"/>
        </w:rPr>
        <w:t xml:space="preserve"> until </w:t>
      </w:r>
      <w:r w:rsidRPr="00112487" w:rsidR="00436F67">
        <w:rPr>
          <w:szCs w:val="27"/>
        </w:rPr>
        <w:t xml:space="preserve">all primary insurance </w:t>
      </w:r>
      <w:r w:rsidRPr="00112487">
        <w:rPr>
          <w:szCs w:val="27"/>
        </w:rPr>
        <w:t xml:space="preserve">had been </w:t>
      </w:r>
      <w:r w:rsidRPr="00112487" w:rsidR="00436F67">
        <w:rPr>
          <w:szCs w:val="27"/>
        </w:rPr>
        <w:t xml:space="preserve">exhausted (including </w:t>
      </w:r>
      <w:r w:rsidRPr="00112487" w:rsidR="002A77BD">
        <w:rPr>
          <w:szCs w:val="27"/>
        </w:rPr>
        <w:t>Truck’s primary policy</w:t>
      </w:r>
      <w:r w:rsidRPr="00112487" w:rsidR="00436F67">
        <w:rPr>
          <w:szCs w:val="27"/>
        </w:rPr>
        <w:t>)</w:t>
      </w:r>
      <w:r w:rsidRPr="00112487" w:rsidR="002A77BD">
        <w:rPr>
          <w:szCs w:val="27"/>
        </w:rPr>
        <w:t>, Truck was not entitled to contribution.</w:t>
      </w:r>
    </w:p>
    <w:p w:rsidR="00A06A5F" w:rsidRPr="00112487" w:rsidP="00A25E48" w14:paraId="679C7908" w14:textId="77777777">
      <w:pPr>
        <w:tabs>
          <w:tab w:val="left" w:pos="1440"/>
        </w:tabs>
        <w:ind w:firstLine="720"/>
        <w:rPr>
          <w:szCs w:val="27"/>
        </w:rPr>
      </w:pPr>
      <w:r w:rsidRPr="00112487">
        <w:rPr>
          <w:szCs w:val="27"/>
        </w:rPr>
        <w:t xml:space="preserve">Contrary to the </w:t>
      </w:r>
      <w:r w:rsidRPr="00112487" w:rsidR="00401224">
        <w:rPr>
          <w:szCs w:val="27"/>
        </w:rPr>
        <w:t>Court of Appeal</w:t>
      </w:r>
      <w:r w:rsidRPr="00112487">
        <w:rPr>
          <w:szCs w:val="27"/>
        </w:rPr>
        <w:t xml:space="preserve">, we conclude that </w:t>
      </w:r>
      <w:r w:rsidRPr="00112487" w:rsidR="004104EE">
        <w:rPr>
          <w:szCs w:val="27"/>
        </w:rPr>
        <w:t xml:space="preserve">our analysis </w:t>
      </w:r>
      <w:r w:rsidRPr="00112487" w:rsidR="00F862D4">
        <w:rPr>
          <w:szCs w:val="27"/>
        </w:rPr>
        <w:t xml:space="preserve">in </w:t>
      </w:r>
      <w:r w:rsidRPr="00112487" w:rsidR="00B62BB2">
        <w:rPr>
          <w:i/>
          <w:iCs/>
          <w:szCs w:val="27"/>
        </w:rPr>
        <w:t>Montrose III</w:t>
      </w:r>
      <w:r w:rsidRPr="00112487" w:rsidR="00F862D4">
        <w:rPr>
          <w:szCs w:val="27"/>
        </w:rPr>
        <w:t xml:space="preserve"> </w:t>
      </w:r>
      <w:r w:rsidRPr="00112487" w:rsidR="004104EE">
        <w:rPr>
          <w:szCs w:val="27"/>
        </w:rPr>
        <w:t>applies equally here</w:t>
      </w:r>
      <w:r w:rsidRPr="00112487" w:rsidR="00E10C0D">
        <w:rPr>
          <w:szCs w:val="27"/>
        </w:rPr>
        <w:t xml:space="preserve">.  </w:t>
      </w:r>
      <w:r w:rsidRPr="00112487" w:rsidR="00A50A0C">
        <w:rPr>
          <w:szCs w:val="27"/>
        </w:rPr>
        <w:t>T</w:t>
      </w:r>
      <w:r w:rsidRPr="00112487" w:rsidR="003953B2">
        <w:rPr>
          <w:szCs w:val="27"/>
        </w:rPr>
        <w:t>he</w:t>
      </w:r>
      <w:r w:rsidRPr="00112487" w:rsidR="0050047D">
        <w:rPr>
          <w:szCs w:val="27"/>
        </w:rPr>
        <w:t xml:space="preserve"> language of the </w:t>
      </w:r>
      <w:r w:rsidRPr="00112487" w:rsidR="003953B2">
        <w:rPr>
          <w:szCs w:val="27"/>
        </w:rPr>
        <w:t xml:space="preserve">first-level </w:t>
      </w:r>
      <w:r w:rsidRPr="00112487" w:rsidR="0050047D">
        <w:rPr>
          <w:szCs w:val="27"/>
        </w:rPr>
        <w:t xml:space="preserve">excess policies </w:t>
      </w:r>
      <w:r w:rsidRPr="00112487" w:rsidR="00E10C0D">
        <w:rPr>
          <w:szCs w:val="27"/>
        </w:rPr>
        <w:t xml:space="preserve">at issue </w:t>
      </w:r>
      <w:r w:rsidRPr="00112487" w:rsidR="00813AAD">
        <w:rPr>
          <w:szCs w:val="27"/>
        </w:rPr>
        <w:t xml:space="preserve">in this case </w:t>
      </w:r>
      <w:r w:rsidRPr="00112487" w:rsidR="003953B2">
        <w:rPr>
          <w:szCs w:val="27"/>
        </w:rPr>
        <w:t xml:space="preserve">is </w:t>
      </w:r>
      <w:r w:rsidRPr="00112487" w:rsidR="00436F67">
        <w:rPr>
          <w:szCs w:val="27"/>
        </w:rPr>
        <w:t xml:space="preserve">essentially </w:t>
      </w:r>
      <w:r w:rsidRPr="00112487" w:rsidR="003B60A8">
        <w:rPr>
          <w:szCs w:val="27"/>
        </w:rPr>
        <w:t>identical</w:t>
      </w:r>
      <w:r w:rsidRPr="00112487" w:rsidR="00436F67">
        <w:rPr>
          <w:szCs w:val="27"/>
        </w:rPr>
        <w:t xml:space="preserve"> — and in some cases </w:t>
      </w:r>
      <w:r w:rsidRPr="00112487" w:rsidR="00436F67">
        <w:rPr>
          <w:i/>
          <w:iCs/>
          <w:szCs w:val="27"/>
        </w:rPr>
        <w:t>actually</w:t>
      </w:r>
      <w:r w:rsidRPr="00112487" w:rsidR="00436F67">
        <w:rPr>
          <w:szCs w:val="27"/>
        </w:rPr>
        <w:t xml:space="preserve"> identical —</w:t>
      </w:r>
      <w:r w:rsidRPr="00112487" w:rsidR="00226BF8">
        <w:rPr>
          <w:szCs w:val="27"/>
        </w:rPr>
        <w:t xml:space="preserve"> </w:t>
      </w:r>
      <w:r w:rsidRPr="00112487" w:rsidR="003953B2">
        <w:rPr>
          <w:szCs w:val="27"/>
        </w:rPr>
        <w:t>to the</w:t>
      </w:r>
      <w:r w:rsidRPr="00112487" w:rsidR="003B60A8">
        <w:rPr>
          <w:szCs w:val="27"/>
        </w:rPr>
        <w:t xml:space="preserve"> </w:t>
      </w:r>
      <w:r w:rsidRPr="00112487" w:rsidR="00436F67">
        <w:rPr>
          <w:szCs w:val="27"/>
        </w:rPr>
        <w:t xml:space="preserve">policy </w:t>
      </w:r>
      <w:r w:rsidRPr="00112487" w:rsidR="003B60A8">
        <w:rPr>
          <w:szCs w:val="27"/>
        </w:rPr>
        <w:t>language in the</w:t>
      </w:r>
      <w:r w:rsidRPr="00112487" w:rsidR="0050047D">
        <w:rPr>
          <w:szCs w:val="27"/>
        </w:rPr>
        <w:t xml:space="preserve"> higher-level excess policies </w:t>
      </w:r>
      <w:r w:rsidRPr="00112487" w:rsidR="00614F7D">
        <w:rPr>
          <w:szCs w:val="27"/>
        </w:rPr>
        <w:t xml:space="preserve">that </w:t>
      </w:r>
      <w:r w:rsidRPr="00112487" w:rsidR="0050047D">
        <w:rPr>
          <w:szCs w:val="27"/>
        </w:rPr>
        <w:t xml:space="preserve">we considered in </w:t>
      </w:r>
      <w:r w:rsidRPr="00112487" w:rsidR="00B62BB2">
        <w:rPr>
          <w:i/>
          <w:iCs/>
          <w:szCs w:val="27"/>
        </w:rPr>
        <w:t>Montrose III</w:t>
      </w:r>
      <w:r w:rsidRPr="00112487" w:rsidR="0050047D">
        <w:rPr>
          <w:szCs w:val="27"/>
        </w:rPr>
        <w:t xml:space="preserve">.  </w:t>
      </w:r>
      <w:r w:rsidRPr="00112487" w:rsidR="003953B2">
        <w:rPr>
          <w:szCs w:val="27"/>
        </w:rPr>
        <w:t>The</w:t>
      </w:r>
      <w:r w:rsidRPr="00112487" w:rsidR="003B60A8">
        <w:rPr>
          <w:szCs w:val="27"/>
        </w:rPr>
        <w:t xml:space="preserve"> policies </w:t>
      </w:r>
      <w:r w:rsidRPr="00112487" w:rsidR="003953B2">
        <w:rPr>
          <w:szCs w:val="27"/>
        </w:rPr>
        <w:t xml:space="preserve">also </w:t>
      </w:r>
      <w:r w:rsidRPr="00112487" w:rsidR="0050047D">
        <w:rPr>
          <w:szCs w:val="27"/>
        </w:rPr>
        <w:t>share</w:t>
      </w:r>
      <w:r w:rsidRPr="00112487" w:rsidR="00E10C0D">
        <w:rPr>
          <w:szCs w:val="27"/>
        </w:rPr>
        <w:t xml:space="preserve"> </w:t>
      </w:r>
      <w:r w:rsidRPr="00112487" w:rsidR="003B60A8">
        <w:rPr>
          <w:szCs w:val="27"/>
        </w:rPr>
        <w:t xml:space="preserve">many of the </w:t>
      </w:r>
      <w:r w:rsidRPr="00112487" w:rsidR="00D57465">
        <w:rPr>
          <w:szCs w:val="27"/>
        </w:rPr>
        <w:t xml:space="preserve">same </w:t>
      </w:r>
      <w:r w:rsidRPr="00112487" w:rsidR="0050047D">
        <w:rPr>
          <w:szCs w:val="27"/>
        </w:rPr>
        <w:t xml:space="preserve">characteristics that we </w:t>
      </w:r>
      <w:r w:rsidRPr="00112487" w:rsidR="003B60A8">
        <w:rPr>
          <w:szCs w:val="27"/>
        </w:rPr>
        <w:t>found</w:t>
      </w:r>
      <w:r w:rsidRPr="00112487" w:rsidR="00D57465">
        <w:rPr>
          <w:szCs w:val="27"/>
        </w:rPr>
        <w:t xml:space="preserve"> </w:t>
      </w:r>
      <w:r w:rsidRPr="00112487" w:rsidR="0050047D">
        <w:rPr>
          <w:szCs w:val="27"/>
        </w:rPr>
        <w:t>“strongly suggest</w:t>
      </w:r>
      <w:r w:rsidRPr="00112487" w:rsidR="00614F7D">
        <w:rPr>
          <w:szCs w:val="27"/>
        </w:rPr>
        <w:t>[ive]</w:t>
      </w:r>
      <w:r w:rsidRPr="00112487" w:rsidR="003B60A8">
        <w:rPr>
          <w:szCs w:val="27"/>
        </w:rPr>
        <w:t>”</w:t>
      </w:r>
      <w:r w:rsidRPr="00112487" w:rsidR="00614F7D">
        <w:rPr>
          <w:szCs w:val="27"/>
        </w:rPr>
        <w:t xml:space="preserve"> </w:t>
      </w:r>
      <w:r w:rsidRPr="00112487" w:rsidR="00A90DCA">
        <w:rPr>
          <w:szCs w:val="27"/>
        </w:rPr>
        <w:t>(</w:t>
      </w:r>
      <w:r w:rsidRPr="00112487" w:rsidR="00B62BB2">
        <w:rPr>
          <w:i/>
          <w:iCs/>
          <w:szCs w:val="27"/>
        </w:rPr>
        <w:t>Montrose III</w:t>
      </w:r>
      <w:r w:rsidRPr="00112487" w:rsidR="00A90DCA">
        <w:rPr>
          <w:szCs w:val="27"/>
        </w:rPr>
        <w:t xml:space="preserve">, </w:t>
      </w:r>
      <w:r w:rsidRPr="00112487" w:rsidR="00A90DCA">
        <w:rPr>
          <w:i/>
          <w:iCs/>
          <w:szCs w:val="27"/>
        </w:rPr>
        <w:t>supra</w:t>
      </w:r>
      <w:r w:rsidRPr="00112487" w:rsidR="00A90DCA">
        <w:rPr>
          <w:szCs w:val="27"/>
        </w:rPr>
        <w:t xml:space="preserve">, 9 Cal.5th at p. 233) of </w:t>
      </w:r>
      <w:r w:rsidRPr="00112487" w:rsidR="00614F7D">
        <w:rPr>
          <w:szCs w:val="27"/>
        </w:rPr>
        <w:t>v</w:t>
      </w:r>
      <w:r w:rsidRPr="00112487" w:rsidR="003B60A8">
        <w:rPr>
          <w:szCs w:val="27"/>
        </w:rPr>
        <w:t>ertical</w:t>
      </w:r>
      <w:r w:rsidRPr="00112487" w:rsidR="00614F7D">
        <w:rPr>
          <w:szCs w:val="27"/>
        </w:rPr>
        <w:t xml:space="preserve">, rather than horizontal, </w:t>
      </w:r>
      <w:r w:rsidRPr="00112487" w:rsidR="00D57465">
        <w:rPr>
          <w:szCs w:val="27"/>
        </w:rPr>
        <w:t>exhaustion</w:t>
      </w:r>
      <w:r w:rsidRPr="00112487" w:rsidR="00813AAD">
        <w:rPr>
          <w:szCs w:val="27"/>
        </w:rPr>
        <w:t xml:space="preserve">.  Thus, as in </w:t>
      </w:r>
      <w:r w:rsidRPr="00112487" w:rsidR="00813AAD">
        <w:rPr>
          <w:i/>
          <w:iCs/>
          <w:szCs w:val="27"/>
        </w:rPr>
        <w:t>Montrose</w:t>
      </w:r>
      <w:r w:rsidRPr="00112487" w:rsidR="00813AAD">
        <w:rPr>
          <w:szCs w:val="27"/>
        </w:rPr>
        <w:t xml:space="preserve"> </w:t>
      </w:r>
      <w:r w:rsidRPr="00112487" w:rsidR="00813AAD">
        <w:rPr>
          <w:i/>
          <w:iCs/>
          <w:szCs w:val="27"/>
        </w:rPr>
        <w:t>I</w:t>
      </w:r>
      <w:r w:rsidRPr="00112487" w:rsidR="00DF2E08">
        <w:rPr>
          <w:i/>
          <w:iCs/>
          <w:szCs w:val="27"/>
        </w:rPr>
        <w:t>I</w:t>
      </w:r>
      <w:r w:rsidRPr="00112487" w:rsidR="00813AAD">
        <w:rPr>
          <w:i/>
          <w:iCs/>
          <w:szCs w:val="27"/>
        </w:rPr>
        <w:t>I,</w:t>
      </w:r>
      <w:r w:rsidRPr="00112487" w:rsidR="00813AAD">
        <w:rPr>
          <w:szCs w:val="27"/>
        </w:rPr>
        <w:t xml:space="preserve"> we believe the first-level excess policies are most reasonably construed as requiring only vertical exhaustion.</w:t>
      </w:r>
    </w:p>
    <w:p w:rsidR="0050047D" w:rsidRPr="00112487" w:rsidP="00A25E48" w14:paraId="679C7909" w14:textId="77777777">
      <w:pPr>
        <w:tabs>
          <w:tab w:val="left" w:pos="1440"/>
        </w:tabs>
        <w:ind w:firstLine="720"/>
        <w:rPr>
          <w:szCs w:val="27"/>
        </w:rPr>
      </w:pPr>
      <w:r w:rsidRPr="00112487">
        <w:rPr>
          <w:szCs w:val="27"/>
        </w:rPr>
        <w:t>T</w:t>
      </w:r>
      <w:r w:rsidRPr="00112487" w:rsidR="005A3CF2">
        <w:rPr>
          <w:szCs w:val="27"/>
        </w:rPr>
        <w:t xml:space="preserve">he excess insurers seem to concede — or at least do little to dispute — that the language of their policies </w:t>
      </w:r>
      <w:r w:rsidRPr="00112487" w:rsidR="00910114">
        <w:rPr>
          <w:szCs w:val="27"/>
        </w:rPr>
        <w:t xml:space="preserve">is </w:t>
      </w:r>
      <w:r w:rsidRPr="00112487" w:rsidR="005A3CF2">
        <w:rPr>
          <w:szCs w:val="27"/>
        </w:rPr>
        <w:t xml:space="preserve">substantially </w:t>
      </w:r>
      <w:r w:rsidRPr="00112487" w:rsidR="00A90DCA">
        <w:rPr>
          <w:szCs w:val="27"/>
        </w:rPr>
        <w:t>identical</w:t>
      </w:r>
      <w:r w:rsidRPr="00112487" w:rsidR="005A3CF2">
        <w:rPr>
          <w:szCs w:val="27"/>
        </w:rPr>
        <w:t xml:space="preserve"> to the policies at issue in </w:t>
      </w:r>
      <w:r w:rsidRPr="00112487" w:rsidR="00B62BB2">
        <w:rPr>
          <w:i/>
          <w:iCs/>
          <w:szCs w:val="27"/>
        </w:rPr>
        <w:t>Montrose III</w:t>
      </w:r>
      <w:r w:rsidRPr="00112487" w:rsidR="005A3CF2">
        <w:rPr>
          <w:szCs w:val="27"/>
        </w:rPr>
        <w:t xml:space="preserve">.  They argue, however, that such language should be assigned a different meaning in </w:t>
      </w:r>
      <w:r w:rsidRPr="00112487" w:rsidR="00910114">
        <w:rPr>
          <w:szCs w:val="27"/>
        </w:rPr>
        <w:t>the current</w:t>
      </w:r>
      <w:r w:rsidRPr="00112487" w:rsidR="005A3CF2">
        <w:rPr>
          <w:szCs w:val="27"/>
        </w:rPr>
        <w:t xml:space="preserve"> context given the </w:t>
      </w:r>
      <w:r w:rsidRPr="00112487" w:rsidR="007E3064">
        <w:rPr>
          <w:szCs w:val="27"/>
        </w:rPr>
        <w:t>“</w:t>
      </w:r>
      <w:r w:rsidRPr="00112487" w:rsidR="00AB1060">
        <w:rPr>
          <w:szCs w:val="27"/>
        </w:rPr>
        <w:t xml:space="preserve">qualitative </w:t>
      </w:r>
      <w:r w:rsidRPr="00112487">
        <w:rPr>
          <w:szCs w:val="27"/>
        </w:rPr>
        <w:t>distinctions</w:t>
      </w:r>
      <w:r w:rsidRPr="00112487" w:rsidR="00226BF8">
        <w:rPr>
          <w:szCs w:val="27"/>
        </w:rPr>
        <w:t>”</w:t>
      </w:r>
      <w:r w:rsidRPr="00112487">
        <w:rPr>
          <w:szCs w:val="27"/>
        </w:rPr>
        <w:t xml:space="preserve"> between primary</w:t>
      </w:r>
      <w:r w:rsidRPr="00112487" w:rsidR="00A06A5F">
        <w:rPr>
          <w:szCs w:val="27"/>
        </w:rPr>
        <w:t xml:space="preserve"> and excess insurance</w:t>
      </w:r>
      <w:r w:rsidRPr="00112487">
        <w:rPr>
          <w:szCs w:val="27"/>
        </w:rPr>
        <w:t xml:space="preserve">.  </w:t>
      </w:r>
      <w:r w:rsidRPr="00112487" w:rsidR="00A06A5F">
        <w:rPr>
          <w:szCs w:val="27"/>
        </w:rPr>
        <w:t xml:space="preserve">Specifically, they </w:t>
      </w:r>
      <w:r w:rsidRPr="00112487" w:rsidR="00A67094">
        <w:rPr>
          <w:szCs w:val="27"/>
        </w:rPr>
        <w:t>note that primary insurers generally receive higher premiums</w:t>
      </w:r>
      <w:r w:rsidRPr="00112487" w:rsidR="006A4A1F">
        <w:rPr>
          <w:szCs w:val="27"/>
        </w:rPr>
        <w:t xml:space="preserve"> and offer lower liability limits</w:t>
      </w:r>
      <w:r w:rsidRPr="00112487" w:rsidR="00A67094">
        <w:rPr>
          <w:szCs w:val="27"/>
        </w:rPr>
        <w:t xml:space="preserve"> in exchange for coverage that attaches immediately upon the happening of</w:t>
      </w:r>
      <w:r w:rsidRPr="00112487" w:rsidR="006A4A1F">
        <w:rPr>
          <w:szCs w:val="27"/>
        </w:rPr>
        <w:t xml:space="preserve"> an</w:t>
      </w:r>
      <w:r w:rsidRPr="00112487" w:rsidR="00A67094">
        <w:rPr>
          <w:szCs w:val="27"/>
        </w:rPr>
        <w:t xml:space="preserve"> </w:t>
      </w:r>
      <w:r w:rsidRPr="00112487" w:rsidR="00910114">
        <w:rPr>
          <w:szCs w:val="27"/>
        </w:rPr>
        <w:t xml:space="preserve">insurable </w:t>
      </w:r>
      <w:r w:rsidRPr="00112487" w:rsidR="00A67094">
        <w:rPr>
          <w:szCs w:val="27"/>
        </w:rPr>
        <w:t xml:space="preserve">occurrence and </w:t>
      </w:r>
      <w:r w:rsidRPr="00112487" w:rsidR="00226BF8">
        <w:rPr>
          <w:szCs w:val="27"/>
        </w:rPr>
        <w:t xml:space="preserve">provide </w:t>
      </w:r>
      <w:r w:rsidRPr="00112487" w:rsidR="006A4A1F">
        <w:rPr>
          <w:szCs w:val="27"/>
        </w:rPr>
        <w:t xml:space="preserve">defense costs.  </w:t>
      </w:r>
      <w:r w:rsidRPr="00112487">
        <w:rPr>
          <w:szCs w:val="27"/>
        </w:rPr>
        <w:t>W</w:t>
      </w:r>
      <w:r w:rsidRPr="00112487" w:rsidR="001B2BCB">
        <w:rPr>
          <w:szCs w:val="27"/>
        </w:rPr>
        <w:t>e</w:t>
      </w:r>
      <w:r w:rsidRPr="00112487" w:rsidR="00DC3E1A">
        <w:rPr>
          <w:szCs w:val="27"/>
        </w:rPr>
        <w:t xml:space="preserve"> </w:t>
      </w:r>
      <w:r w:rsidRPr="00112487">
        <w:rPr>
          <w:szCs w:val="27"/>
        </w:rPr>
        <w:t>a</w:t>
      </w:r>
      <w:r w:rsidRPr="00112487" w:rsidR="001B2BCB">
        <w:rPr>
          <w:szCs w:val="27"/>
        </w:rPr>
        <w:t>re</w:t>
      </w:r>
      <w:r w:rsidRPr="00112487">
        <w:rPr>
          <w:szCs w:val="27"/>
        </w:rPr>
        <w:t xml:space="preserve"> not persuaded that those distinctions justify </w:t>
      </w:r>
      <w:r w:rsidRPr="00112487" w:rsidR="006A4A1F">
        <w:rPr>
          <w:szCs w:val="27"/>
        </w:rPr>
        <w:t xml:space="preserve">adopting a different interpretation of </w:t>
      </w:r>
      <w:r w:rsidRPr="00112487" w:rsidR="00EC55EA">
        <w:rPr>
          <w:szCs w:val="27"/>
        </w:rPr>
        <w:t xml:space="preserve">the exact same </w:t>
      </w:r>
      <w:r w:rsidRPr="00112487" w:rsidR="006A4A1F">
        <w:rPr>
          <w:szCs w:val="27"/>
        </w:rPr>
        <w:t xml:space="preserve">policy language that we </w:t>
      </w:r>
      <w:r w:rsidRPr="00112487" w:rsidR="009766A1">
        <w:rPr>
          <w:szCs w:val="27"/>
        </w:rPr>
        <w:t xml:space="preserve">construed </w:t>
      </w:r>
      <w:r w:rsidRPr="00112487" w:rsidR="006A4A1F">
        <w:rPr>
          <w:szCs w:val="27"/>
        </w:rPr>
        <w:t xml:space="preserve">in </w:t>
      </w:r>
      <w:r w:rsidRPr="00112487" w:rsidR="00B62BB2">
        <w:rPr>
          <w:i/>
          <w:iCs/>
          <w:szCs w:val="27"/>
        </w:rPr>
        <w:t>Montrose III</w:t>
      </w:r>
      <w:r w:rsidRPr="00112487" w:rsidR="006A4A1F">
        <w:rPr>
          <w:szCs w:val="27"/>
        </w:rPr>
        <w:t>.</w:t>
      </w:r>
    </w:p>
    <w:p w:rsidR="00413578" w:rsidRPr="00112487" w:rsidP="00A25E48" w14:paraId="679C790A" w14:textId="77777777">
      <w:pPr>
        <w:tabs>
          <w:tab w:val="left" w:pos="1440"/>
        </w:tabs>
        <w:ind w:firstLine="720"/>
        <w:rPr>
          <w:szCs w:val="27"/>
        </w:rPr>
      </w:pPr>
      <w:r w:rsidRPr="00112487">
        <w:rPr>
          <w:szCs w:val="27"/>
        </w:rPr>
        <w:t>Our conclusion that the first-level excess policies only require vertical exhaustion does not, h</w:t>
      </w:r>
      <w:r w:rsidRPr="00112487" w:rsidR="00AB1060">
        <w:rPr>
          <w:szCs w:val="27"/>
        </w:rPr>
        <w:t xml:space="preserve">owever, </w:t>
      </w:r>
      <w:r w:rsidRPr="00112487">
        <w:rPr>
          <w:szCs w:val="27"/>
        </w:rPr>
        <w:t xml:space="preserve">fully resolve the </w:t>
      </w:r>
      <w:r w:rsidRPr="00112487" w:rsidR="007641DA">
        <w:rPr>
          <w:szCs w:val="27"/>
        </w:rPr>
        <w:t xml:space="preserve">questions presented in </w:t>
      </w:r>
      <w:r w:rsidRPr="00112487" w:rsidR="007567CC">
        <w:rPr>
          <w:szCs w:val="27"/>
        </w:rPr>
        <w:t xml:space="preserve">this </w:t>
      </w:r>
      <w:r w:rsidRPr="00112487" w:rsidR="00C9724D">
        <w:rPr>
          <w:szCs w:val="27"/>
        </w:rPr>
        <w:t>appeal</w:t>
      </w:r>
      <w:r w:rsidRPr="00112487" w:rsidR="006B12F3">
        <w:rPr>
          <w:szCs w:val="27"/>
        </w:rPr>
        <w:t>.  Unlike</w:t>
      </w:r>
      <w:r w:rsidRPr="00112487" w:rsidR="0018434A">
        <w:rPr>
          <w:szCs w:val="27"/>
        </w:rPr>
        <w:t xml:space="preserve"> in </w:t>
      </w:r>
      <w:r w:rsidRPr="00112487" w:rsidR="00B62BB2">
        <w:rPr>
          <w:i/>
          <w:iCs/>
          <w:szCs w:val="27"/>
        </w:rPr>
        <w:t>Montrose III</w:t>
      </w:r>
      <w:r w:rsidRPr="00112487" w:rsidR="0018434A">
        <w:rPr>
          <w:i/>
          <w:iCs/>
          <w:szCs w:val="27"/>
        </w:rPr>
        <w:t>,</w:t>
      </w:r>
      <w:r w:rsidRPr="00112487" w:rsidR="0018434A">
        <w:rPr>
          <w:szCs w:val="27"/>
        </w:rPr>
        <w:t xml:space="preserve"> </w:t>
      </w:r>
      <w:r w:rsidRPr="00112487" w:rsidR="008661EF">
        <w:rPr>
          <w:szCs w:val="27"/>
        </w:rPr>
        <w:t xml:space="preserve">which involved </w:t>
      </w:r>
      <w:r w:rsidRPr="00112487" w:rsidR="00910114">
        <w:rPr>
          <w:szCs w:val="27"/>
        </w:rPr>
        <w:t xml:space="preserve">an </w:t>
      </w:r>
      <w:r w:rsidRPr="00112487">
        <w:rPr>
          <w:szCs w:val="27"/>
        </w:rPr>
        <w:t xml:space="preserve">insurance </w:t>
      </w:r>
      <w:r w:rsidRPr="00112487" w:rsidR="006B12F3">
        <w:rPr>
          <w:szCs w:val="27"/>
        </w:rPr>
        <w:t>coverage dispute between an insured</w:t>
      </w:r>
      <w:r w:rsidRPr="00112487" w:rsidR="0018434A">
        <w:rPr>
          <w:szCs w:val="27"/>
        </w:rPr>
        <w:t xml:space="preserve"> and its insurer</w:t>
      </w:r>
      <w:r w:rsidRPr="00112487" w:rsidR="008661EF">
        <w:rPr>
          <w:szCs w:val="27"/>
        </w:rPr>
        <w:t xml:space="preserve">, this case involves a </w:t>
      </w:r>
      <w:r w:rsidRPr="00112487" w:rsidR="008661EF">
        <w:rPr>
          <w:i/>
          <w:iCs/>
          <w:szCs w:val="27"/>
        </w:rPr>
        <w:t>contribution</w:t>
      </w:r>
      <w:r w:rsidRPr="00112487" w:rsidR="008661EF">
        <w:rPr>
          <w:szCs w:val="27"/>
        </w:rPr>
        <w:t xml:space="preserve"> claim between coinsurers</w:t>
      </w:r>
      <w:r w:rsidRPr="00112487" w:rsidR="00FC19E3">
        <w:rPr>
          <w:szCs w:val="27"/>
        </w:rPr>
        <w:t>.</w:t>
      </w:r>
      <w:r w:rsidRPr="00112487" w:rsidR="0018434A">
        <w:rPr>
          <w:szCs w:val="27"/>
        </w:rPr>
        <w:t xml:space="preserve">  </w:t>
      </w:r>
      <w:r w:rsidRPr="00112487" w:rsidR="00FC19E3">
        <w:rPr>
          <w:szCs w:val="27"/>
        </w:rPr>
        <w:t xml:space="preserve">While </w:t>
      </w:r>
      <w:r w:rsidRPr="00112487" w:rsidR="0018434A">
        <w:rPr>
          <w:szCs w:val="27"/>
        </w:rPr>
        <w:t>coverage disputes</w:t>
      </w:r>
      <w:r w:rsidR="00346AAF">
        <w:rPr>
          <w:szCs w:val="27"/>
        </w:rPr>
        <w:t xml:space="preserve"> between insureds and their insurers</w:t>
      </w:r>
      <w:r w:rsidRPr="00112487" w:rsidR="0018434A">
        <w:rPr>
          <w:szCs w:val="27"/>
        </w:rPr>
        <w:t xml:space="preserve"> are a form of contract action</w:t>
      </w:r>
      <w:r w:rsidRPr="00112487" w:rsidR="00FC19E3">
        <w:rPr>
          <w:szCs w:val="27"/>
        </w:rPr>
        <w:t xml:space="preserve"> that </w:t>
      </w:r>
      <w:r w:rsidRPr="00112487" w:rsidR="009D6BDD">
        <w:rPr>
          <w:szCs w:val="27"/>
        </w:rPr>
        <w:t>turn</w:t>
      </w:r>
      <w:r w:rsidR="00263156">
        <w:rPr>
          <w:szCs w:val="27"/>
        </w:rPr>
        <w:t>s</w:t>
      </w:r>
      <w:r w:rsidRPr="00112487" w:rsidR="009D6BDD">
        <w:rPr>
          <w:szCs w:val="27"/>
        </w:rPr>
        <w:t xml:space="preserve"> </w:t>
      </w:r>
      <w:r w:rsidRPr="00112487" w:rsidR="00FC19E3">
        <w:rPr>
          <w:szCs w:val="27"/>
        </w:rPr>
        <w:t xml:space="preserve">on the </w:t>
      </w:r>
      <w:r w:rsidRPr="00112487" w:rsidR="009D6BDD">
        <w:rPr>
          <w:szCs w:val="27"/>
        </w:rPr>
        <w:t xml:space="preserve">meaning of the policy </w:t>
      </w:r>
      <w:r w:rsidRPr="00112487" w:rsidR="00FC19E3">
        <w:rPr>
          <w:szCs w:val="27"/>
        </w:rPr>
        <w:t>language,</w:t>
      </w:r>
      <w:r w:rsidRPr="00112487" w:rsidR="0018434A">
        <w:rPr>
          <w:szCs w:val="27"/>
        </w:rPr>
        <w:t xml:space="preserve"> </w:t>
      </w:r>
      <w:r w:rsidRPr="00112487" w:rsidR="006B12F3">
        <w:rPr>
          <w:szCs w:val="27"/>
        </w:rPr>
        <w:t>“</w:t>
      </w:r>
      <w:r w:rsidRPr="00112487">
        <w:rPr>
          <w:szCs w:val="27"/>
        </w:rPr>
        <w:t xml:space="preserve">an </w:t>
      </w:r>
      <w:r w:rsidRPr="00112487" w:rsidR="006B12F3">
        <w:rPr>
          <w:szCs w:val="27"/>
        </w:rPr>
        <w:t xml:space="preserve">equitable contribution claim between coinsurers </w:t>
      </w:r>
      <w:r w:rsidRPr="00112487">
        <w:rPr>
          <w:szCs w:val="27"/>
        </w:rPr>
        <w:t xml:space="preserve">is </w:t>
      </w:r>
      <w:r w:rsidRPr="00112487" w:rsidR="006B12F3">
        <w:rPr>
          <w:szCs w:val="27"/>
        </w:rPr>
        <w:t>not based upon contract, but instead involves ‘ “equitable principles designed to accomplish ultimate justice in the bearing of a specific burden.” ’ ”  (</w:t>
      </w:r>
      <w:r w:rsidRPr="00112487" w:rsidR="006B12F3">
        <w:rPr>
          <w:i/>
          <w:iCs/>
          <w:szCs w:val="27"/>
        </w:rPr>
        <w:t>Axis Surplus Ins. Co. v. Glencoe Ins. Ltd.</w:t>
      </w:r>
      <w:r w:rsidRPr="00112487" w:rsidR="006B12F3">
        <w:rPr>
          <w:szCs w:val="27"/>
        </w:rPr>
        <w:t xml:space="preserve"> (2012) 204</w:t>
      </w:r>
      <w:r w:rsidRPr="00112487" w:rsidR="00A90DCA">
        <w:rPr>
          <w:szCs w:val="27"/>
        </w:rPr>
        <w:t> </w:t>
      </w:r>
      <w:r w:rsidRPr="00112487" w:rsidR="006B12F3">
        <w:rPr>
          <w:szCs w:val="27"/>
        </w:rPr>
        <w:t>Cal.App.4th 1214, 1227–1228</w:t>
      </w:r>
      <w:r w:rsidRPr="00112487" w:rsidR="004D6E55">
        <w:rPr>
          <w:szCs w:val="27"/>
        </w:rPr>
        <w:t xml:space="preserve"> (</w:t>
      </w:r>
      <w:r w:rsidRPr="00112487" w:rsidR="004D6E55">
        <w:rPr>
          <w:i/>
          <w:iCs/>
          <w:szCs w:val="27"/>
        </w:rPr>
        <w:t>Axis</w:t>
      </w:r>
      <w:r w:rsidRPr="00112487" w:rsidR="004D6E55">
        <w:rPr>
          <w:szCs w:val="27"/>
        </w:rPr>
        <w:t>)</w:t>
      </w:r>
      <w:r w:rsidRPr="00112487">
        <w:rPr>
          <w:szCs w:val="27"/>
        </w:rPr>
        <w:t xml:space="preserve">, quoting </w:t>
      </w:r>
      <w:r w:rsidRPr="00112487">
        <w:rPr>
          <w:i/>
          <w:iCs/>
          <w:szCs w:val="27"/>
        </w:rPr>
        <w:t>Signal Companies, Inc. v. Harbor Ins. Co</w:t>
      </w:r>
      <w:r w:rsidRPr="00112487">
        <w:rPr>
          <w:szCs w:val="27"/>
        </w:rPr>
        <w:t>. (1980) 27</w:t>
      </w:r>
      <w:r w:rsidRPr="00112487" w:rsidR="00A90DCA">
        <w:rPr>
          <w:szCs w:val="27"/>
        </w:rPr>
        <w:t> </w:t>
      </w:r>
      <w:r w:rsidRPr="00112487">
        <w:rPr>
          <w:szCs w:val="27"/>
        </w:rPr>
        <w:t>Cal.3d 359, 369</w:t>
      </w:r>
      <w:r w:rsidRPr="00112487" w:rsidR="004D6E55">
        <w:rPr>
          <w:szCs w:val="27"/>
        </w:rPr>
        <w:t xml:space="preserve"> (</w:t>
      </w:r>
      <w:r w:rsidRPr="00112487" w:rsidR="004D6E55">
        <w:rPr>
          <w:i/>
          <w:iCs/>
          <w:szCs w:val="27"/>
        </w:rPr>
        <w:t>Signal</w:t>
      </w:r>
      <w:r w:rsidRPr="00112487" w:rsidR="004D6E55">
        <w:rPr>
          <w:szCs w:val="27"/>
        </w:rPr>
        <w:t>)</w:t>
      </w:r>
      <w:r w:rsidRPr="00112487" w:rsidR="006B12F3">
        <w:rPr>
          <w:szCs w:val="27"/>
        </w:rPr>
        <w:t xml:space="preserve">.)  </w:t>
      </w:r>
      <w:r w:rsidRPr="00112487" w:rsidR="00FD23D0">
        <w:rPr>
          <w:szCs w:val="27"/>
        </w:rPr>
        <w:t xml:space="preserve">Although </w:t>
      </w:r>
      <w:r w:rsidRPr="00112487">
        <w:rPr>
          <w:szCs w:val="27"/>
        </w:rPr>
        <w:t xml:space="preserve">the terms of the </w:t>
      </w:r>
      <w:r w:rsidRPr="00112487" w:rsidR="004D6E55">
        <w:rPr>
          <w:szCs w:val="27"/>
        </w:rPr>
        <w:t xml:space="preserve">relevant </w:t>
      </w:r>
      <w:r w:rsidRPr="00112487">
        <w:rPr>
          <w:szCs w:val="27"/>
        </w:rPr>
        <w:t xml:space="preserve">policies </w:t>
      </w:r>
      <w:r w:rsidRPr="00112487" w:rsidR="006B12F3">
        <w:rPr>
          <w:szCs w:val="27"/>
        </w:rPr>
        <w:t xml:space="preserve">are </w:t>
      </w:r>
      <w:r w:rsidRPr="00112487" w:rsidR="009B4B8D">
        <w:rPr>
          <w:szCs w:val="27"/>
        </w:rPr>
        <w:t xml:space="preserve">an important </w:t>
      </w:r>
      <w:r w:rsidRPr="00112487" w:rsidR="009D6BDD">
        <w:rPr>
          <w:szCs w:val="27"/>
        </w:rPr>
        <w:t xml:space="preserve">factor </w:t>
      </w:r>
      <w:r w:rsidRPr="00112487" w:rsidR="009B4B8D">
        <w:rPr>
          <w:szCs w:val="27"/>
        </w:rPr>
        <w:t xml:space="preserve">when </w:t>
      </w:r>
      <w:r w:rsidRPr="00112487" w:rsidR="006B12F3">
        <w:rPr>
          <w:szCs w:val="27"/>
        </w:rPr>
        <w:t>deciding whether contribution is appropriate</w:t>
      </w:r>
      <w:r w:rsidRPr="00112487">
        <w:rPr>
          <w:szCs w:val="27"/>
        </w:rPr>
        <w:t>, courts may consider “</w:t>
      </w:r>
      <w:r w:rsidRPr="00112487" w:rsidR="006B12F3">
        <w:rPr>
          <w:szCs w:val="27"/>
        </w:rPr>
        <w:t xml:space="preserve">a variety of </w:t>
      </w:r>
      <w:r w:rsidRPr="00112487" w:rsidR="00845414">
        <w:rPr>
          <w:szCs w:val="27"/>
        </w:rPr>
        <w:t xml:space="preserve">[other] </w:t>
      </w:r>
      <w:r w:rsidRPr="00112487" w:rsidR="006B12F3">
        <w:rPr>
          <w:szCs w:val="27"/>
        </w:rPr>
        <w:t>factors”</w:t>
      </w:r>
      <w:r w:rsidRPr="00112487" w:rsidR="000F4BC3">
        <w:rPr>
          <w:szCs w:val="27"/>
        </w:rPr>
        <w:t xml:space="preserve"> (</w:t>
      </w:r>
      <w:r w:rsidRPr="00112487" w:rsidR="000F4BC3">
        <w:rPr>
          <w:i/>
          <w:iCs/>
          <w:szCs w:val="27"/>
        </w:rPr>
        <w:t>Travelers Casualty &amp; Surety Co. v. Century Surety Co</w:t>
      </w:r>
      <w:r w:rsidRPr="00112487" w:rsidR="000F4BC3">
        <w:rPr>
          <w:szCs w:val="27"/>
        </w:rPr>
        <w:t xml:space="preserve">. (2004) 118 Cal.App.4th 1156, 1162), </w:t>
      </w:r>
      <w:r w:rsidRPr="00112487" w:rsidR="006B12F3">
        <w:rPr>
          <w:szCs w:val="27"/>
        </w:rPr>
        <w:t>including “ ‘</w:t>
      </w:r>
      <w:r w:rsidRPr="00112487" w:rsidR="000F4BC3">
        <w:rPr>
          <w:szCs w:val="27"/>
        </w:rPr>
        <w:t> “</w:t>
      </w:r>
      <w:r w:rsidRPr="00112487" w:rsidR="006B12F3">
        <w:rPr>
          <w:szCs w:val="27"/>
        </w:rPr>
        <w:t>the nature of the claim, the relation of the insured to the insurers . . . and any other equitable considerations.</w:t>
      </w:r>
      <w:r w:rsidRPr="00112487" w:rsidR="000F4BC3">
        <w:rPr>
          <w:szCs w:val="27"/>
        </w:rPr>
        <w:t>” </w:t>
      </w:r>
      <w:r w:rsidRPr="00112487" w:rsidR="006B12F3">
        <w:rPr>
          <w:szCs w:val="27"/>
        </w:rPr>
        <w:t>’ ”  (</w:t>
      </w:r>
      <w:r w:rsidRPr="00112487" w:rsidR="00D57465">
        <w:rPr>
          <w:i/>
          <w:iCs/>
          <w:szCs w:val="27"/>
        </w:rPr>
        <w:t xml:space="preserve">Truck Ins. Exchange v. Unigard Ins. Co. </w:t>
      </w:r>
      <w:r w:rsidRPr="00112487" w:rsidR="00D57465">
        <w:rPr>
          <w:szCs w:val="27"/>
        </w:rPr>
        <w:t>(2000) 79</w:t>
      </w:r>
      <w:r w:rsidRPr="00112487" w:rsidR="00A90DCA">
        <w:rPr>
          <w:szCs w:val="27"/>
        </w:rPr>
        <w:t> </w:t>
      </w:r>
      <w:r w:rsidRPr="00112487" w:rsidR="00D57465">
        <w:rPr>
          <w:szCs w:val="27"/>
        </w:rPr>
        <w:t>Cal.App.4th 966, 974 (</w:t>
      </w:r>
      <w:r w:rsidRPr="00112487" w:rsidR="00D57465">
        <w:rPr>
          <w:i/>
          <w:iCs/>
          <w:szCs w:val="27"/>
        </w:rPr>
        <w:t>Unigard</w:t>
      </w:r>
      <w:r w:rsidRPr="00112487" w:rsidR="00D57465">
        <w:rPr>
          <w:szCs w:val="27"/>
        </w:rPr>
        <w:t>);</w:t>
      </w:r>
      <w:r w:rsidRPr="00112487" w:rsidR="006B12F3">
        <w:rPr>
          <w:szCs w:val="27"/>
        </w:rPr>
        <w:t xml:space="preserve"> see </w:t>
      </w:r>
      <w:r w:rsidRPr="00112487" w:rsidR="006B12F3">
        <w:rPr>
          <w:i/>
          <w:iCs/>
          <w:szCs w:val="27"/>
        </w:rPr>
        <w:t>Signal</w:t>
      </w:r>
      <w:r w:rsidRPr="00112487" w:rsidR="006B12F3">
        <w:rPr>
          <w:szCs w:val="27"/>
        </w:rPr>
        <w:t xml:space="preserve">, at p. 369.) </w:t>
      </w:r>
      <w:r w:rsidRPr="00112487">
        <w:rPr>
          <w:szCs w:val="27"/>
        </w:rPr>
        <w:t xml:space="preserve"> Thus, our </w:t>
      </w:r>
      <w:r w:rsidRPr="00112487" w:rsidR="00F71FC1">
        <w:rPr>
          <w:szCs w:val="27"/>
        </w:rPr>
        <w:t>finding</w:t>
      </w:r>
      <w:r w:rsidRPr="00112487">
        <w:rPr>
          <w:szCs w:val="27"/>
        </w:rPr>
        <w:t xml:space="preserve"> that</w:t>
      </w:r>
      <w:r w:rsidRPr="00112487" w:rsidR="00C14B56">
        <w:rPr>
          <w:szCs w:val="27"/>
        </w:rPr>
        <w:t xml:space="preserve"> </w:t>
      </w:r>
      <w:r w:rsidRPr="00112487" w:rsidR="00FD23D0">
        <w:rPr>
          <w:szCs w:val="27"/>
        </w:rPr>
        <w:t xml:space="preserve">the first-level excess policies </w:t>
      </w:r>
      <w:r w:rsidRPr="00112487" w:rsidR="007641DA">
        <w:rPr>
          <w:szCs w:val="27"/>
        </w:rPr>
        <w:t>do not</w:t>
      </w:r>
      <w:r w:rsidRPr="00112487" w:rsidR="00C9724D">
        <w:rPr>
          <w:szCs w:val="27"/>
        </w:rPr>
        <w:t xml:space="preserve"> </w:t>
      </w:r>
      <w:r w:rsidRPr="00112487" w:rsidR="00C14B56">
        <w:rPr>
          <w:szCs w:val="27"/>
        </w:rPr>
        <w:t>require</w:t>
      </w:r>
      <w:r w:rsidRPr="00112487" w:rsidR="00B93643">
        <w:rPr>
          <w:szCs w:val="27"/>
        </w:rPr>
        <w:t xml:space="preserve"> the insured to </w:t>
      </w:r>
      <w:r w:rsidRPr="00112487" w:rsidR="007641DA">
        <w:rPr>
          <w:szCs w:val="27"/>
        </w:rPr>
        <w:t xml:space="preserve">horizontally </w:t>
      </w:r>
      <w:r w:rsidRPr="00112487" w:rsidR="00C14B56">
        <w:rPr>
          <w:szCs w:val="27"/>
        </w:rPr>
        <w:t>exhaust primary insurance</w:t>
      </w:r>
      <w:r w:rsidRPr="00112487" w:rsidR="007641DA">
        <w:rPr>
          <w:szCs w:val="27"/>
        </w:rPr>
        <w:t xml:space="preserve"> issued during different policy periods</w:t>
      </w:r>
      <w:r w:rsidRPr="00112487" w:rsidR="00727C8D">
        <w:rPr>
          <w:szCs w:val="27"/>
        </w:rPr>
        <w:t xml:space="preserve"> </w:t>
      </w:r>
      <w:r w:rsidRPr="00112487">
        <w:rPr>
          <w:szCs w:val="27"/>
        </w:rPr>
        <w:t xml:space="preserve">does not </w:t>
      </w:r>
      <w:r w:rsidRPr="00112487" w:rsidR="001E1976">
        <w:rPr>
          <w:szCs w:val="27"/>
        </w:rPr>
        <w:t xml:space="preserve">resolve whether </w:t>
      </w:r>
      <w:r w:rsidRPr="00112487">
        <w:rPr>
          <w:szCs w:val="27"/>
        </w:rPr>
        <w:t xml:space="preserve">Truck is entitled to </w:t>
      </w:r>
      <w:r w:rsidRPr="00112487">
        <w:rPr>
          <w:i/>
          <w:iCs/>
          <w:szCs w:val="27"/>
        </w:rPr>
        <w:t>contribution</w:t>
      </w:r>
      <w:r w:rsidRPr="00112487">
        <w:rPr>
          <w:szCs w:val="27"/>
        </w:rPr>
        <w:t xml:space="preserve"> from th</w:t>
      </w:r>
      <w:r w:rsidRPr="00112487" w:rsidR="00A90DCA">
        <w:rPr>
          <w:szCs w:val="27"/>
        </w:rPr>
        <w:t>e</w:t>
      </w:r>
      <w:r w:rsidRPr="00112487">
        <w:rPr>
          <w:szCs w:val="27"/>
        </w:rPr>
        <w:t xml:space="preserve"> </w:t>
      </w:r>
      <w:r w:rsidRPr="00112487" w:rsidR="00727C8D">
        <w:rPr>
          <w:szCs w:val="27"/>
        </w:rPr>
        <w:t xml:space="preserve">excess </w:t>
      </w:r>
      <w:r w:rsidRPr="00112487">
        <w:rPr>
          <w:szCs w:val="27"/>
        </w:rPr>
        <w:t>insurers.</w:t>
      </w:r>
    </w:p>
    <w:p w:rsidR="00CD39CF" w:rsidRPr="00112487" w:rsidP="00F71FC1" w14:paraId="679C790B" w14:textId="77777777">
      <w:pPr>
        <w:ind w:firstLine="720"/>
        <w:rPr>
          <w:szCs w:val="27"/>
        </w:rPr>
      </w:pPr>
      <w:r w:rsidRPr="00112487">
        <w:rPr>
          <w:szCs w:val="27"/>
        </w:rPr>
        <w:t xml:space="preserve">In the proceedings below, </w:t>
      </w:r>
      <w:r w:rsidRPr="00112487" w:rsidR="00FD23D0">
        <w:rPr>
          <w:szCs w:val="27"/>
        </w:rPr>
        <w:t>t</w:t>
      </w:r>
      <w:r w:rsidRPr="00112487" w:rsidR="009E52C0">
        <w:rPr>
          <w:szCs w:val="27"/>
        </w:rPr>
        <w:t xml:space="preserve">he excess </w:t>
      </w:r>
      <w:r w:rsidRPr="00112487" w:rsidR="0082535D">
        <w:rPr>
          <w:szCs w:val="27"/>
        </w:rPr>
        <w:t xml:space="preserve">insurers and Kaiser </w:t>
      </w:r>
      <w:r w:rsidRPr="00112487" w:rsidR="009E52C0">
        <w:rPr>
          <w:szCs w:val="27"/>
        </w:rPr>
        <w:t>argue</w:t>
      </w:r>
      <w:r w:rsidRPr="00112487">
        <w:rPr>
          <w:szCs w:val="27"/>
        </w:rPr>
        <w:t>d</w:t>
      </w:r>
      <w:r w:rsidRPr="00112487" w:rsidR="009E52C0">
        <w:rPr>
          <w:szCs w:val="27"/>
        </w:rPr>
        <w:t xml:space="preserve"> that</w:t>
      </w:r>
      <w:r w:rsidRPr="00112487" w:rsidR="00727C8D">
        <w:rPr>
          <w:szCs w:val="27"/>
        </w:rPr>
        <w:t xml:space="preserve"> </w:t>
      </w:r>
      <w:r w:rsidRPr="00112487" w:rsidR="009A1B06">
        <w:rPr>
          <w:szCs w:val="27"/>
        </w:rPr>
        <w:t>even if the policy agreements were</w:t>
      </w:r>
      <w:r w:rsidRPr="00112487" w:rsidR="001B2934">
        <w:rPr>
          <w:szCs w:val="27"/>
        </w:rPr>
        <w:t>, as a matter of contract interpretation,</w:t>
      </w:r>
      <w:r w:rsidRPr="00112487" w:rsidR="009A1B06">
        <w:rPr>
          <w:szCs w:val="27"/>
        </w:rPr>
        <w:t xml:space="preserve"> properly </w:t>
      </w:r>
      <w:r w:rsidRPr="00112487" w:rsidR="001B2934">
        <w:rPr>
          <w:szCs w:val="27"/>
        </w:rPr>
        <w:t xml:space="preserve">construed </w:t>
      </w:r>
      <w:r w:rsidRPr="00112487" w:rsidR="009A1B06">
        <w:rPr>
          <w:szCs w:val="27"/>
        </w:rPr>
        <w:t xml:space="preserve">as authorizing the insured (Kaiser) to access </w:t>
      </w:r>
      <w:r w:rsidRPr="00112487" w:rsidR="00F71FC1">
        <w:rPr>
          <w:szCs w:val="27"/>
        </w:rPr>
        <w:t xml:space="preserve">its </w:t>
      </w:r>
      <w:r w:rsidRPr="00112487" w:rsidR="009A1B06">
        <w:rPr>
          <w:szCs w:val="27"/>
        </w:rPr>
        <w:t xml:space="preserve">first-level excess insurance upon exhaustion of the directly underlying primary insurance, it would nonetheless remain unfair as a matter of </w:t>
      </w:r>
      <w:r w:rsidRPr="00112487" w:rsidR="009A1B06">
        <w:rPr>
          <w:i/>
          <w:iCs/>
          <w:szCs w:val="27"/>
        </w:rPr>
        <w:t>equity</w:t>
      </w:r>
      <w:r w:rsidRPr="00112487" w:rsidR="009A1B06">
        <w:rPr>
          <w:szCs w:val="27"/>
        </w:rPr>
        <w:t xml:space="preserve"> to allow a primary insurer to obtain contribution from an excess insurer given the distinct roles those two types of carriers play in covering a loss.  (See generally </w:t>
      </w:r>
      <w:r w:rsidRPr="00112487" w:rsidR="009A1B06">
        <w:rPr>
          <w:i/>
          <w:iCs/>
          <w:szCs w:val="27"/>
        </w:rPr>
        <w:t>Dart Industries, Inc. v. Commercial Union Ins. Co.</w:t>
      </w:r>
      <w:r w:rsidRPr="00112487" w:rsidR="009A1B06">
        <w:rPr>
          <w:szCs w:val="27"/>
        </w:rPr>
        <w:t xml:space="preserve"> (2002) 28</w:t>
      </w:r>
      <w:r w:rsidR="00F779CE">
        <w:rPr>
          <w:szCs w:val="27"/>
        </w:rPr>
        <w:t> </w:t>
      </w:r>
      <w:r w:rsidRPr="00112487" w:rsidR="009A1B06">
        <w:rPr>
          <w:szCs w:val="27"/>
        </w:rPr>
        <w:t xml:space="preserve">Cal.4th 1059, 1080 </w:t>
      </w:r>
      <w:r w:rsidRPr="00112487" w:rsidR="000C7849">
        <w:rPr>
          <w:szCs w:val="27"/>
        </w:rPr>
        <w:t>(</w:t>
      </w:r>
      <w:r w:rsidRPr="00112487" w:rsidR="000C7849">
        <w:rPr>
          <w:i/>
          <w:iCs/>
          <w:szCs w:val="27"/>
        </w:rPr>
        <w:t>Dart</w:t>
      </w:r>
      <w:r w:rsidRPr="00112487" w:rsidR="000C7849">
        <w:rPr>
          <w:szCs w:val="27"/>
        </w:rPr>
        <w:t xml:space="preserve">) </w:t>
      </w:r>
      <w:r w:rsidRPr="00112487" w:rsidR="009A1B06">
        <w:rPr>
          <w:szCs w:val="27"/>
        </w:rPr>
        <w:t>[“the obligation of successive primary insurers to cover a continuously manifesting injury is a separate issue from the obligations of the insurers to each other”].)  They further contended that ordering contribution</w:t>
      </w:r>
      <w:r w:rsidRPr="00112487" w:rsidR="00E33D46">
        <w:rPr>
          <w:szCs w:val="27"/>
        </w:rPr>
        <w:t xml:space="preserve"> would be particularly unfair </w:t>
      </w:r>
      <w:r w:rsidRPr="00112487" w:rsidR="009A1B06">
        <w:rPr>
          <w:szCs w:val="27"/>
        </w:rPr>
        <w:t>under the</w:t>
      </w:r>
      <w:r w:rsidRPr="00112487" w:rsidR="00E33D46">
        <w:rPr>
          <w:szCs w:val="27"/>
        </w:rPr>
        <w:t xml:space="preserve"> specific</w:t>
      </w:r>
      <w:r w:rsidRPr="00112487" w:rsidR="009A1B06">
        <w:rPr>
          <w:szCs w:val="27"/>
        </w:rPr>
        <w:t xml:space="preserve"> circumstances of this case </w:t>
      </w:r>
      <w:r w:rsidRPr="00112487" w:rsidR="00E33D46">
        <w:rPr>
          <w:szCs w:val="27"/>
        </w:rPr>
        <w:t xml:space="preserve">because it </w:t>
      </w:r>
      <w:r w:rsidRPr="00112487" w:rsidR="007567CC">
        <w:rPr>
          <w:szCs w:val="27"/>
        </w:rPr>
        <w:t xml:space="preserve">would effectively allow Truck to pay less insurance than it </w:t>
      </w:r>
      <w:r w:rsidRPr="00112487" w:rsidR="009A1B06">
        <w:rPr>
          <w:szCs w:val="27"/>
        </w:rPr>
        <w:t xml:space="preserve">had </w:t>
      </w:r>
      <w:r w:rsidRPr="00112487" w:rsidR="007567CC">
        <w:rPr>
          <w:szCs w:val="27"/>
        </w:rPr>
        <w:t xml:space="preserve">promised </w:t>
      </w:r>
      <w:r w:rsidRPr="00112487" w:rsidR="00E33D46">
        <w:rPr>
          <w:szCs w:val="27"/>
        </w:rPr>
        <w:t>to Kaiser, while leaving</w:t>
      </w:r>
      <w:r w:rsidRPr="00112487" w:rsidR="007567CC">
        <w:rPr>
          <w:szCs w:val="27"/>
        </w:rPr>
        <w:t xml:space="preserve"> Kaiser and injured asbestos claimants with less overall coverage. </w:t>
      </w:r>
    </w:p>
    <w:p w:rsidR="00A54E9B" w:rsidRPr="00112487" w:rsidP="00A25E48" w14:paraId="679C790C" w14:textId="77777777">
      <w:pPr>
        <w:tabs>
          <w:tab w:val="left" w:pos="1440"/>
        </w:tabs>
        <w:ind w:firstLine="720"/>
        <w:rPr>
          <w:szCs w:val="27"/>
        </w:rPr>
      </w:pPr>
      <w:r w:rsidRPr="00112487">
        <w:rPr>
          <w:szCs w:val="27"/>
        </w:rPr>
        <w:t xml:space="preserve">Because the </w:t>
      </w:r>
      <w:r w:rsidRPr="00112487" w:rsidR="00D72A3D">
        <w:rPr>
          <w:szCs w:val="27"/>
        </w:rPr>
        <w:t xml:space="preserve">Court of Appeal </w:t>
      </w:r>
      <w:r w:rsidRPr="00112487">
        <w:rPr>
          <w:szCs w:val="27"/>
        </w:rPr>
        <w:t xml:space="preserve">rejected Truck’s contribution claim </w:t>
      </w:r>
      <w:r w:rsidRPr="00112487" w:rsidR="002C5761">
        <w:rPr>
          <w:szCs w:val="27"/>
        </w:rPr>
        <w:t xml:space="preserve">based entirely on its erroneous </w:t>
      </w:r>
      <w:r w:rsidRPr="00112487" w:rsidR="00044702">
        <w:rPr>
          <w:szCs w:val="27"/>
        </w:rPr>
        <w:t>interpretation of</w:t>
      </w:r>
      <w:r w:rsidRPr="00112487" w:rsidR="00474BD0">
        <w:rPr>
          <w:szCs w:val="27"/>
        </w:rPr>
        <w:t xml:space="preserve"> </w:t>
      </w:r>
      <w:r w:rsidRPr="00112487" w:rsidR="002C5761">
        <w:rPr>
          <w:szCs w:val="27"/>
        </w:rPr>
        <w:t>the excess policies</w:t>
      </w:r>
      <w:r w:rsidRPr="00112487" w:rsidR="00474BD0">
        <w:rPr>
          <w:szCs w:val="27"/>
        </w:rPr>
        <w:t xml:space="preserve"> </w:t>
      </w:r>
      <w:r w:rsidRPr="00112487" w:rsidR="002C5761">
        <w:rPr>
          <w:szCs w:val="27"/>
        </w:rPr>
        <w:t xml:space="preserve">(i.e., </w:t>
      </w:r>
      <w:r w:rsidRPr="00112487" w:rsidR="00044702">
        <w:rPr>
          <w:szCs w:val="27"/>
        </w:rPr>
        <w:t xml:space="preserve">that </w:t>
      </w:r>
      <w:r w:rsidRPr="00112487" w:rsidR="002C5761">
        <w:rPr>
          <w:szCs w:val="27"/>
        </w:rPr>
        <w:t>the</w:t>
      </w:r>
      <w:r w:rsidRPr="00112487" w:rsidR="00044702">
        <w:rPr>
          <w:szCs w:val="27"/>
        </w:rPr>
        <w:t xml:space="preserve"> excess insurers had no coverable obligation under the policies</w:t>
      </w:r>
      <w:r w:rsidRPr="00112487" w:rsidR="002C5761">
        <w:rPr>
          <w:szCs w:val="27"/>
        </w:rPr>
        <w:t xml:space="preserve"> until </w:t>
      </w:r>
      <w:r w:rsidRPr="00112487" w:rsidR="00E33D46">
        <w:rPr>
          <w:szCs w:val="27"/>
        </w:rPr>
        <w:t xml:space="preserve">Kaiser </w:t>
      </w:r>
      <w:r w:rsidRPr="00112487" w:rsidR="00044702">
        <w:rPr>
          <w:szCs w:val="27"/>
        </w:rPr>
        <w:t xml:space="preserve">horizontally </w:t>
      </w:r>
      <w:r w:rsidRPr="00112487" w:rsidR="00E33D46">
        <w:rPr>
          <w:szCs w:val="27"/>
        </w:rPr>
        <w:t xml:space="preserve">exhausted </w:t>
      </w:r>
      <w:r w:rsidRPr="00112487" w:rsidR="002C5761">
        <w:rPr>
          <w:szCs w:val="27"/>
        </w:rPr>
        <w:t xml:space="preserve">all primary insurance), it </w:t>
      </w:r>
      <w:r w:rsidRPr="00112487" w:rsidR="00D72A3D">
        <w:rPr>
          <w:szCs w:val="27"/>
        </w:rPr>
        <w:t>did not reach</w:t>
      </w:r>
      <w:r w:rsidRPr="00112487">
        <w:rPr>
          <w:szCs w:val="27"/>
        </w:rPr>
        <w:t xml:space="preserve"> these alternative </w:t>
      </w:r>
      <w:r w:rsidRPr="00112487" w:rsidR="00CD39CF">
        <w:rPr>
          <w:szCs w:val="27"/>
        </w:rPr>
        <w:t xml:space="preserve">arguments </w:t>
      </w:r>
      <w:r w:rsidRPr="00112487" w:rsidR="00EB6470">
        <w:rPr>
          <w:szCs w:val="27"/>
        </w:rPr>
        <w:t>regarding</w:t>
      </w:r>
      <w:r w:rsidRPr="00112487" w:rsidR="00CD39CF">
        <w:rPr>
          <w:szCs w:val="27"/>
        </w:rPr>
        <w:t xml:space="preserve"> the </w:t>
      </w:r>
      <w:r w:rsidRPr="00112487">
        <w:rPr>
          <w:szCs w:val="27"/>
        </w:rPr>
        <w:t xml:space="preserve">fairness </w:t>
      </w:r>
      <w:r w:rsidRPr="00112487" w:rsidR="00CD39CF">
        <w:rPr>
          <w:szCs w:val="27"/>
        </w:rPr>
        <w:t xml:space="preserve">of </w:t>
      </w:r>
      <w:r w:rsidRPr="00112487" w:rsidR="009A046E">
        <w:rPr>
          <w:szCs w:val="27"/>
        </w:rPr>
        <w:t xml:space="preserve">ordering </w:t>
      </w:r>
      <w:r w:rsidRPr="00112487" w:rsidR="00E33D46">
        <w:rPr>
          <w:szCs w:val="27"/>
        </w:rPr>
        <w:t xml:space="preserve">the excess insurers to </w:t>
      </w:r>
      <w:r w:rsidRPr="00112487" w:rsidR="00CD39CF">
        <w:rPr>
          <w:szCs w:val="27"/>
        </w:rPr>
        <w:t>contribut</w:t>
      </w:r>
      <w:r w:rsidRPr="00112487" w:rsidR="00E33D46">
        <w:rPr>
          <w:szCs w:val="27"/>
        </w:rPr>
        <w:t>e to Truck</w:t>
      </w:r>
      <w:r w:rsidRPr="00112487" w:rsidR="002C5761">
        <w:rPr>
          <w:szCs w:val="27"/>
        </w:rPr>
        <w:t>.</w:t>
      </w:r>
      <w:r w:rsidRPr="00112487">
        <w:rPr>
          <w:szCs w:val="27"/>
        </w:rPr>
        <w:t xml:space="preserve"> </w:t>
      </w:r>
      <w:r w:rsidRPr="00112487" w:rsidR="001B59B6">
        <w:rPr>
          <w:szCs w:val="27"/>
        </w:rPr>
        <w:t xml:space="preserve"> </w:t>
      </w:r>
      <w:r w:rsidRPr="00112487" w:rsidR="001E1976">
        <w:rPr>
          <w:szCs w:val="27"/>
        </w:rPr>
        <w:t>H</w:t>
      </w:r>
      <w:r w:rsidRPr="00112487" w:rsidR="009347ED">
        <w:rPr>
          <w:szCs w:val="27"/>
        </w:rPr>
        <w:t xml:space="preserve">aving </w:t>
      </w:r>
      <w:r w:rsidRPr="00112487" w:rsidR="00EE1A69">
        <w:rPr>
          <w:szCs w:val="27"/>
        </w:rPr>
        <w:t xml:space="preserve">now </w:t>
      </w:r>
      <w:r w:rsidRPr="00112487" w:rsidR="001E1976">
        <w:rPr>
          <w:szCs w:val="27"/>
        </w:rPr>
        <w:t>concluded</w:t>
      </w:r>
      <w:r w:rsidRPr="00112487" w:rsidR="00EE1A69">
        <w:rPr>
          <w:szCs w:val="27"/>
        </w:rPr>
        <w:t xml:space="preserve"> that the </w:t>
      </w:r>
      <w:r w:rsidRPr="00112487" w:rsidR="009347ED">
        <w:rPr>
          <w:szCs w:val="27"/>
        </w:rPr>
        <w:t xml:space="preserve">excess policies </w:t>
      </w:r>
      <w:r w:rsidRPr="00112487" w:rsidR="00EE1A69">
        <w:rPr>
          <w:szCs w:val="27"/>
        </w:rPr>
        <w:t>r</w:t>
      </w:r>
      <w:r w:rsidRPr="00112487" w:rsidR="009347ED">
        <w:rPr>
          <w:szCs w:val="27"/>
        </w:rPr>
        <w:t>equir</w:t>
      </w:r>
      <w:r w:rsidRPr="00112487" w:rsidR="00EE1A69">
        <w:rPr>
          <w:szCs w:val="27"/>
        </w:rPr>
        <w:t xml:space="preserve">e </w:t>
      </w:r>
      <w:r w:rsidRPr="00112487" w:rsidR="00FD23D0">
        <w:rPr>
          <w:szCs w:val="27"/>
        </w:rPr>
        <w:t>o</w:t>
      </w:r>
      <w:r w:rsidRPr="00112487" w:rsidR="009347ED">
        <w:rPr>
          <w:szCs w:val="27"/>
        </w:rPr>
        <w:t>nly vertical exhaustion</w:t>
      </w:r>
      <w:r w:rsidRPr="00112487" w:rsidR="001E1976">
        <w:rPr>
          <w:szCs w:val="27"/>
        </w:rPr>
        <w:t>,</w:t>
      </w:r>
      <w:r w:rsidRPr="00112487" w:rsidR="009347ED">
        <w:rPr>
          <w:szCs w:val="27"/>
        </w:rPr>
        <w:t xml:space="preserve"> we </w:t>
      </w:r>
      <w:r w:rsidRPr="00112487" w:rsidR="001E1976">
        <w:rPr>
          <w:szCs w:val="27"/>
        </w:rPr>
        <w:t xml:space="preserve">remand the matter </w:t>
      </w:r>
      <w:r w:rsidRPr="00112487" w:rsidR="009347ED">
        <w:rPr>
          <w:szCs w:val="27"/>
        </w:rPr>
        <w:t xml:space="preserve">to allow the </w:t>
      </w:r>
      <w:r w:rsidRPr="00112487" w:rsidR="00FD23D0">
        <w:rPr>
          <w:szCs w:val="27"/>
        </w:rPr>
        <w:t xml:space="preserve">Court of Appeal </w:t>
      </w:r>
      <w:r w:rsidRPr="00112487" w:rsidR="009347ED">
        <w:rPr>
          <w:szCs w:val="27"/>
        </w:rPr>
        <w:t xml:space="preserve">to </w:t>
      </w:r>
      <w:r w:rsidRPr="00112487" w:rsidR="00EB6470">
        <w:rPr>
          <w:szCs w:val="27"/>
        </w:rPr>
        <w:t xml:space="preserve">address these alternative arguments in the first instance.  (See </w:t>
      </w:r>
      <w:r w:rsidRPr="00112487" w:rsidR="00EB6470">
        <w:rPr>
          <w:i/>
          <w:iCs/>
          <w:szCs w:val="27"/>
        </w:rPr>
        <w:t>Hamilton v. Asbestos Corp</w:t>
      </w:r>
      <w:r w:rsidRPr="00112487" w:rsidR="00EB6470">
        <w:rPr>
          <w:szCs w:val="27"/>
        </w:rPr>
        <w:t>. (2000) 22 Cal.4th 1127, 1149 (</w:t>
      </w:r>
      <w:r w:rsidRPr="00112487" w:rsidR="00EB6470">
        <w:rPr>
          <w:i/>
          <w:iCs/>
          <w:szCs w:val="27"/>
        </w:rPr>
        <w:t>Hamilton</w:t>
      </w:r>
      <w:r w:rsidRPr="00112487" w:rsidR="00EB6470">
        <w:rPr>
          <w:szCs w:val="27"/>
        </w:rPr>
        <w:t>) [“It is appropriate to remand for the Court of Appeal to resolve . . . in the first instance” issues that the court chose “not [to] reach because of its holdings”].)</w:t>
      </w:r>
      <w:r w:rsidRPr="00112487" w:rsidR="001B59B6">
        <w:rPr>
          <w:szCs w:val="27"/>
        </w:rPr>
        <w:t xml:space="preserve"> </w:t>
      </w:r>
      <w:r w:rsidRPr="00112487" w:rsidR="009347ED">
        <w:rPr>
          <w:szCs w:val="27"/>
        </w:rPr>
        <w:t xml:space="preserve"> </w:t>
      </w:r>
      <w:r w:rsidRPr="00112487" w:rsidR="000C7A99">
        <w:rPr>
          <w:rStyle w:val="FootnoteReference"/>
          <w:szCs w:val="27"/>
        </w:rPr>
        <w:t xml:space="preserve"> </w:t>
      </w:r>
    </w:p>
    <w:p w:rsidR="002A01AC" w:rsidRPr="00112487" w:rsidP="002E7500" w14:paraId="679C790D" w14:textId="77777777">
      <w:pPr>
        <w:pStyle w:val="Heading1"/>
        <w:spacing w:before="0" w:line="400" w:lineRule="exact"/>
        <w:rPr>
          <w:szCs w:val="27"/>
        </w:rPr>
      </w:pPr>
      <w:r w:rsidRPr="00112487">
        <w:rPr>
          <w:szCs w:val="27"/>
        </w:rPr>
        <w:t>I.</w:t>
      </w:r>
      <w:r w:rsidRPr="00112487" w:rsidR="001E4560">
        <w:rPr>
          <w:szCs w:val="27"/>
        </w:rPr>
        <w:t xml:space="preserve">  Background</w:t>
      </w:r>
    </w:p>
    <w:p w:rsidR="00E52B53" w:rsidRPr="00112487" w:rsidP="00A25E48" w14:paraId="679C790E" w14:textId="77777777">
      <w:pPr>
        <w:ind w:firstLine="720"/>
        <w:rPr>
          <w:szCs w:val="27"/>
        </w:rPr>
      </w:pPr>
      <w:r w:rsidRPr="00112487">
        <w:rPr>
          <w:szCs w:val="27"/>
        </w:rPr>
        <w:t>From 1944 through the 1970s, Kaiser manufactured asbestos-containing products at numerous different facilities.  By 2004, more than 24,000 claimants had filed product liability suits against Kaiser alleging that they had suffered bodily injury</w:t>
      </w:r>
      <w:r w:rsidRPr="00112487" w:rsidR="00FC7078">
        <w:rPr>
          <w:szCs w:val="27"/>
        </w:rPr>
        <w:t xml:space="preserve"> </w:t>
      </w:r>
      <w:r w:rsidRPr="00112487" w:rsidR="003C6FCF">
        <w:rPr>
          <w:szCs w:val="27"/>
        </w:rPr>
        <w:t xml:space="preserve">(primarily asbestosis or cancer) </w:t>
      </w:r>
      <w:r w:rsidRPr="00112487">
        <w:rPr>
          <w:szCs w:val="27"/>
        </w:rPr>
        <w:t xml:space="preserve">as a result of exposure to Kaiser’s asbestos products.  (See </w:t>
      </w:r>
      <w:r w:rsidRPr="00112487">
        <w:rPr>
          <w:i/>
          <w:iCs/>
          <w:szCs w:val="27"/>
        </w:rPr>
        <w:t>London Market Insurers v. Superior Court</w:t>
      </w:r>
      <w:r w:rsidRPr="00112487">
        <w:rPr>
          <w:szCs w:val="27"/>
        </w:rPr>
        <w:t xml:space="preserve"> (2007) 146</w:t>
      </w:r>
      <w:r w:rsidRPr="00112487" w:rsidR="00C776BC">
        <w:rPr>
          <w:szCs w:val="27"/>
        </w:rPr>
        <w:t> </w:t>
      </w:r>
      <w:r w:rsidRPr="00112487">
        <w:rPr>
          <w:szCs w:val="27"/>
        </w:rPr>
        <w:t xml:space="preserve">Cal.App.4th 648, 652.)  Kaiser tendered these claims to Truck, one of several </w:t>
      </w:r>
      <w:r w:rsidRPr="00112487" w:rsidR="004A2C0D">
        <w:rPr>
          <w:szCs w:val="27"/>
        </w:rPr>
        <w:t xml:space="preserve">primary </w:t>
      </w:r>
      <w:r w:rsidRPr="00112487">
        <w:rPr>
          <w:szCs w:val="27"/>
        </w:rPr>
        <w:t xml:space="preserve">insurers that had </w:t>
      </w:r>
      <w:r w:rsidRPr="00112487" w:rsidR="004A2C0D">
        <w:rPr>
          <w:szCs w:val="27"/>
        </w:rPr>
        <w:t xml:space="preserve">issued commercial general liability (CGL) policies to </w:t>
      </w:r>
      <w:r w:rsidRPr="00112487" w:rsidR="00FC7078">
        <w:rPr>
          <w:szCs w:val="27"/>
        </w:rPr>
        <w:t xml:space="preserve">Kaiser </w:t>
      </w:r>
      <w:r w:rsidRPr="00112487" w:rsidR="004A2C0D">
        <w:rPr>
          <w:szCs w:val="27"/>
        </w:rPr>
        <w:t>during the relevant</w:t>
      </w:r>
      <w:r w:rsidRPr="00112487">
        <w:rPr>
          <w:szCs w:val="27"/>
        </w:rPr>
        <w:t xml:space="preserve"> time period.  </w:t>
      </w:r>
    </w:p>
    <w:p w:rsidR="006F1064" w:rsidRPr="00112487" w:rsidP="00A25E48" w14:paraId="679C790F" w14:textId="77777777">
      <w:pPr>
        <w:ind w:firstLine="720"/>
        <w:rPr>
          <w:szCs w:val="27"/>
        </w:rPr>
      </w:pPr>
      <w:r w:rsidRPr="00112487">
        <w:rPr>
          <w:szCs w:val="27"/>
        </w:rPr>
        <w:t xml:space="preserve">In 2001, Truck initiated </w:t>
      </w:r>
      <w:r w:rsidRPr="00112487" w:rsidR="00E52B53">
        <w:rPr>
          <w:szCs w:val="27"/>
        </w:rPr>
        <w:t>this</w:t>
      </w:r>
      <w:r w:rsidRPr="00112487" w:rsidR="00C60F12">
        <w:rPr>
          <w:szCs w:val="27"/>
        </w:rPr>
        <w:t xml:space="preserve"> insurance coverage</w:t>
      </w:r>
      <w:r w:rsidRPr="00112487" w:rsidR="00E52B53">
        <w:rPr>
          <w:szCs w:val="27"/>
        </w:rPr>
        <w:t xml:space="preserve"> </w:t>
      </w:r>
      <w:r w:rsidRPr="00112487" w:rsidR="00F74A46">
        <w:rPr>
          <w:szCs w:val="27"/>
        </w:rPr>
        <w:t xml:space="preserve">action </w:t>
      </w:r>
      <w:r w:rsidRPr="00112487" w:rsidR="004A2C0D">
        <w:rPr>
          <w:szCs w:val="27"/>
        </w:rPr>
        <w:t>to determine</w:t>
      </w:r>
      <w:r w:rsidRPr="00112487" w:rsidR="00F74A46">
        <w:rPr>
          <w:szCs w:val="27"/>
        </w:rPr>
        <w:t xml:space="preserve"> its</w:t>
      </w:r>
      <w:r w:rsidRPr="00112487" w:rsidR="004A2C0D">
        <w:rPr>
          <w:szCs w:val="27"/>
        </w:rPr>
        <w:t xml:space="preserve"> indemnity and defense </w:t>
      </w:r>
      <w:r w:rsidRPr="00112487" w:rsidR="00F74A46">
        <w:rPr>
          <w:szCs w:val="27"/>
        </w:rPr>
        <w:t>obligations to Kaiser.</w:t>
      </w:r>
      <w:r w:rsidRPr="00112487" w:rsidR="00E52B53">
        <w:rPr>
          <w:szCs w:val="27"/>
        </w:rPr>
        <w:t xml:space="preserve">  </w:t>
      </w:r>
      <w:r w:rsidR="00F577C5">
        <w:rPr>
          <w:szCs w:val="27"/>
        </w:rPr>
        <w:t xml:space="preserve">Several years later, Truck </w:t>
      </w:r>
      <w:r w:rsidR="00F577C5">
        <w:t xml:space="preserve">amended its complaint to add a cause of action for contribution against several of Kaiser’s excess insurers.  </w:t>
      </w:r>
      <w:r w:rsidRPr="00112487" w:rsidR="00E52B53">
        <w:rPr>
          <w:szCs w:val="27"/>
        </w:rPr>
        <w:t xml:space="preserve">The litigation has generated multiple </w:t>
      </w:r>
      <w:r w:rsidRPr="00112487" w:rsidR="00FC7078">
        <w:rPr>
          <w:szCs w:val="27"/>
        </w:rPr>
        <w:t xml:space="preserve">appellate decisions </w:t>
      </w:r>
      <w:r w:rsidRPr="00112487" w:rsidR="00E52B53">
        <w:rPr>
          <w:szCs w:val="27"/>
        </w:rPr>
        <w:t xml:space="preserve">that </w:t>
      </w:r>
      <w:r w:rsidRPr="00112487" w:rsidR="003C6FCF">
        <w:rPr>
          <w:szCs w:val="27"/>
        </w:rPr>
        <w:t xml:space="preserve">have </w:t>
      </w:r>
      <w:r w:rsidRPr="00112487" w:rsidR="00E52B53">
        <w:rPr>
          <w:szCs w:val="27"/>
        </w:rPr>
        <w:t>address</w:t>
      </w:r>
      <w:r w:rsidRPr="00112487" w:rsidR="003C6FCF">
        <w:rPr>
          <w:szCs w:val="27"/>
        </w:rPr>
        <w:t>ed</w:t>
      </w:r>
      <w:r w:rsidRPr="00112487" w:rsidR="00E52B53">
        <w:rPr>
          <w:szCs w:val="27"/>
        </w:rPr>
        <w:t xml:space="preserve"> a wide range of complex questions regarding insurance coverage and policy interpretation.  </w:t>
      </w:r>
      <w:r w:rsidRPr="00112487" w:rsidR="00C60F12">
        <w:rPr>
          <w:szCs w:val="27"/>
        </w:rPr>
        <w:t xml:space="preserve">In this appeal, we </w:t>
      </w:r>
      <w:r w:rsidRPr="00112487" w:rsidR="00FC7078">
        <w:rPr>
          <w:szCs w:val="27"/>
        </w:rPr>
        <w:t xml:space="preserve">review </w:t>
      </w:r>
      <w:r w:rsidRPr="00112487" w:rsidR="00C60F12">
        <w:rPr>
          <w:szCs w:val="27"/>
        </w:rPr>
        <w:t>only one of th</w:t>
      </w:r>
      <w:r w:rsidRPr="00112487" w:rsidR="004A2C0D">
        <w:rPr>
          <w:szCs w:val="27"/>
        </w:rPr>
        <w:t>e</w:t>
      </w:r>
      <w:r w:rsidRPr="00112487" w:rsidR="00C60F12">
        <w:rPr>
          <w:szCs w:val="27"/>
        </w:rPr>
        <w:t xml:space="preserve"> issues</w:t>
      </w:r>
      <w:r w:rsidRPr="00112487" w:rsidR="004A2C0D">
        <w:rPr>
          <w:szCs w:val="27"/>
        </w:rPr>
        <w:t xml:space="preserve"> decided by the Court of Appeal</w:t>
      </w:r>
      <w:r w:rsidRPr="00112487" w:rsidR="00C60F12">
        <w:rPr>
          <w:szCs w:val="27"/>
        </w:rPr>
        <w:t xml:space="preserve">:  </w:t>
      </w:r>
      <w:r w:rsidRPr="00112487" w:rsidR="00BB1840">
        <w:rPr>
          <w:szCs w:val="27"/>
        </w:rPr>
        <w:t>W</w:t>
      </w:r>
      <w:r w:rsidRPr="00112487" w:rsidR="00FC7078">
        <w:rPr>
          <w:szCs w:val="27"/>
        </w:rPr>
        <w:t xml:space="preserve">hether </w:t>
      </w:r>
      <w:r w:rsidRPr="00112487" w:rsidR="00E52B53">
        <w:rPr>
          <w:szCs w:val="27"/>
        </w:rPr>
        <w:t xml:space="preserve">Truck </w:t>
      </w:r>
      <w:r w:rsidRPr="00112487" w:rsidR="00B90624">
        <w:rPr>
          <w:szCs w:val="27"/>
        </w:rPr>
        <w:t xml:space="preserve">is entitled to </w:t>
      </w:r>
      <w:r w:rsidRPr="00112487" w:rsidR="00E52B53">
        <w:rPr>
          <w:szCs w:val="27"/>
        </w:rPr>
        <w:t xml:space="preserve">contribution from </w:t>
      </w:r>
      <w:r w:rsidRPr="00112487" w:rsidR="004A2C0D">
        <w:rPr>
          <w:szCs w:val="27"/>
        </w:rPr>
        <w:t xml:space="preserve">various </w:t>
      </w:r>
      <w:r w:rsidRPr="00112487" w:rsidR="00E52B53">
        <w:rPr>
          <w:szCs w:val="27"/>
        </w:rPr>
        <w:t>coinsurer</w:t>
      </w:r>
      <w:r w:rsidRPr="00112487" w:rsidR="00B90624">
        <w:rPr>
          <w:szCs w:val="27"/>
        </w:rPr>
        <w:t>s</w:t>
      </w:r>
      <w:r w:rsidRPr="00112487" w:rsidR="00E52B53">
        <w:rPr>
          <w:szCs w:val="27"/>
        </w:rPr>
        <w:t xml:space="preserve"> that issued first-level excess polic</w:t>
      </w:r>
      <w:r w:rsidRPr="00112487" w:rsidR="00B90624">
        <w:rPr>
          <w:szCs w:val="27"/>
        </w:rPr>
        <w:t>ies</w:t>
      </w:r>
      <w:r w:rsidRPr="00112487" w:rsidR="00E52B53">
        <w:rPr>
          <w:szCs w:val="27"/>
        </w:rPr>
        <w:t xml:space="preserve"> to Kaiser</w:t>
      </w:r>
      <w:r w:rsidRPr="00112487" w:rsidR="00C60F12">
        <w:rPr>
          <w:szCs w:val="27"/>
        </w:rPr>
        <w:t xml:space="preserve"> during the period</w:t>
      </w:r>
      <w:r w:rsidRPr="00112487" w:rsidR="004A2C0D">
        <w:rPr>
          <w:szCs w:val="27"/>
        </w:rPr>
        <w:t xml:space="preserve"> in question</w:t>
      </w:r>
      <w:r w:rsidRPr="00112487" w:rsidR="00E52B53">
        <w:rPr>
          <w:szCs w:val="27"/>
        </w:rPr>
        <w:t xml:space="preserve">.  </w:t>
      </w:r>
    </w:p>
    <w:p w:rsidR="00651405" w:rsidRPr="00112487" w:rsidP="002E7500" w14:paraId="679C7910" w14:textId="77777777">
      <w:pPr>
        <w:pStyle w:val="Heading2"/>
        <w:numPr>
          <w:ilvl w:val="0"/>
          <w:numId w:val="12"/>
        </w:numPr>
        <w:spacing w:before="0" w:line="400" w:lineRule="exact"/>
        <w:ind w:left="1152" w:hanging="432"/>
        <w:rPr>
          <w:szCs w:val="27"/>
        </w:rPr>
      </w:pPr>
      <w:r w:rsidRPr="00112487">
        <w:rPr>
          <w:i/>
          <w:iCs/>
          <w:szCs w:val="27"/>
        </w:rPr>
        <w:t xml:space="preserve">The All Sums with Stacking Approach to </w:t>
      </w:r>
      <w:r w:rsidRPr="00112487" w:rsidR="00FB3E47">
        <w:rPr>
          <w:i/>
          <w:iCs/>
          <w:szCs w:val="27"/>
        </w:rPr>
        <w:t xml:space="preserve">Continuous Injuries </w:t>
      </w:r>
    </w:p>
    <w:p w:rsidR="005A3724" w:rsidRPr="00112487" w:rsidP="00A25E48" w14:paraId="679C7911" w14:textId="77777777">
      <w:pPr>
        <w:ind w:firstLine="720"/>
        <w:rPr>
          <w:szCs w:val="27"/>
        </w:rPr>
      </w:pPr>
      <w:r w:rsidRPr="00112487">
        <w:rPr>
          <w:szCs w:val="27"/>
        </w:rPr>
        <w:t xml:space="preserve">Before turning to the </w:t>
      </w:r>
      <w:r w:rsidRPr="00112487" w:rsidR="00C776BC">
        <w:rPr>
          <w:szCs w:val="27"/>
        </w:rPr>
        <w:t xml:space="preserve">procedural </w:t>
      </w:r>
      <w:r w:rsidRPr="00112487" w:rsidR="0060536C">
        <w:rPr>
          <w:szCs w:val="27"/>
        </w:rPr>
        <w:t xml:space="preserve">history </w:t>
      </w:r>
      <w:r w:rsidRPr="00112487" w:rsidR="00C776BC">
        <w:rPr>
          <w:szCs w:val="27"/>
        </w:rPr>
        <w:t>of</w:t>
      </w:r>
      <w:r w:rsidRPr="00112487" w:rsidR="0060536C">
        <w:rPr>
          <w:szCs w:val="27"/>
        </w:rPr>
        <w:t xml:space="preserve"> the parties’ current dispute</w:t>
      </w:r>
      <w:r w:rsidRPr="00112487">
        <w:rPr>
          <w:szCs w:val="27"/>
        </w:rPr>
        <w:t>, it is helpful to review general principles of insurance law that govern “continuous or ‘long-tail’ injury . . ., where damage occurs over multiple policy periods.”  (</w:t>
      </w:r>
      <w:r w:rsidRPr="00112487" w:rsidR="00B62BB2">
        <w:rPr>
          <w:i/>
          <w:iCs/>
          <w:szCs w:val="27"/>
        </w:rPr>
        <w:t>Montrose III</w:t>
      </w:r>
      <w:r w:rsidRPr="00112487">
        <w:rPr>
          <w:szCs w:val="27"/>
        </w:rPr>
        <w:t xml:space="preserve">, </w:t>
      </w:r>
      <w:r w:rsidRPr="00112487">
        <w:rPr>
          <w:i/>
          <w:iCs/>
          <w:szCs w:val="27"/>
        </w:rPr>
        <w:t>supra</w:t>
      </w:r>
      <w:r w:rsidRPr="00112487">
        <w:rPr>
          <w:szCs w:val="27"/>
        </w:rPr>
        <w:t xml:space="preserve">, 9 Cal.5th at pp. 226–227.)  In the context of </w:t>
      </w:r>
      <w:r w:rsidRPr="00112487" w:rsidR="00D90DD3">
        <w:rPr>
          <w:szCs w:val="27"/>
        </w:rPr>
        <w:t>standard</w:t>
      </w:r>
      <w:r w:rsidRPr="00112487">
        <w:rPr>
          <w:szCs w:val="27"/>
        </w:rPr>
        <w:t xml:space="preserve"> </w:t>
      </w:r>
      <w:r w:rsidRPr="00112487" w:rsidR="00D90DD3">
        <w:rPr>
          <w:szCs w:val="27"/>
        </w:rPr>
        <w:t>“</w:t>
      </w:r>
      <w:r w:rsidRPr="00112487">
        <w:rPr>
          <w:szCs w:val="27"/>
        </w:rPr>
        <w:t>occurrence</w:t>
      </w:r>
      <w:r w:rsidRPr="00112487" w:rsidR="002A4D6E">
        <w:rPr>
          <w:szCs w:val="27"/>
        </w:rPr>
        <w:t xml:space="preserve"> </w:t>
      </w:r>
      <w:r w:rsidRPr="00112487">
        <w:rPr>
          <w:szCs w:val="27"/>
        </w:rPr>
        <w:t>based</w:t>
      </w:r>
      <w:r w:rsidRPr="00112487" w:rsidR="00D90DD3">
        <w:rPr>
          <w:szCs w:val="27"/>
        </w:rPr>
        <w:t xml:space="preserve">” CGL </w:t>
      </w:r>
      <w:r w:rsidRPr="00112487" w:rsidR="002A4D6E">
        <w:rPr>
          <w:szCs w:val="27"/>
        </w:rPr>
        <w:t xml:space="preserve">insurance </w:t>
      </w:r>
      <w:r w:rsidRPr="00112487" w:rsidR="00D90DD3">
        <w:rPr>
          <w:szCs w:val="27"/>
        </w:rPr>
        <w:t>policies</w:t>
      </w:r>
      <w:r w:rsidRPr="00112487">
        <w:rPr>
          <w:szCs w:val="27"/>
        </w:rPr>
        <w:t>,</w:t>
      </w:r>
      <w:r>
        <w:rPr>
          <w:rStyle w:val="FootnoteReference"/>
          <w:szCs w:val="27"/>
        </w:rPr>
        <w:footnoteReference w:id="4"/>
      </w:r>
      <w:r w:rsidRPr="00112487">
        <w:rPr>
          <w:szCs w:val="27"/>
        </w:rPr>
        <w:t xml:space="preserve"> California has adopted what is known as the “all</w:t>
      </w:r>
      <w:r w:rsidRPr="00112487" w:rsidR="00C776BC">
        <w:rPr>
          <w:szCs w:val="27"/>
        </w:rPr>
        <w:t>-</w:t>
      </w:r>
      <w:r w:rsidRPr="00112487">
        <w:rPr>
          <w:szCs w:val="27"/>
        </w:rPr>
        <w:t>sums</w:t>
      </w:r>
      <w:r w:rsidRPr="00112487" w:rsidR="00C776BC">
        <w:rPr>
          <w:szCs w:val="27"/>
        </w:rPr>
        <w:t>-</w:t>
      </w:r>
      <w:r w:rsidRPr="00112487">
        <w:rPr>
          <w:szCs w:val="27"/>
        </w:rPr>
        <w:t>with</w:t>
      </w:r>
      <w:r w:rsidRPr="00112487" w:rsidR="00C776BC">
        <w:rPr>
          <w:szCs w:val="27"/>
        </w:rPr>
        <w:t>-</w:t>
      </w:r>
      <w:r w:rsidRPr="00112487">
        <w:rPr>
          <w:szCs w:val="27"/>
        </w:rPr>
        <w:t xml:space="preserve">stacking” approach to </w:t>
      </w:r>
      <w:r w:rsidRPr="00112487" w:rsidR="002A4D6E">
        <w:rPr>
          <w:szCs w:val="27"/>
        </w:rPr>
        <w:t>continuous</w:t>
      </w:r>
      <w:r w:rsidRPr="00112487">
        <w:rPr>
          <w:szCs w:val="27"/>
        </w:rPr>
        <w:t xml:space="preserve"> injuries.  This approach has three primary components.  First, in </w:t>
      </w:r>
      <w:r w:rsidRPr="00112487">
        <w:rPr>
          <w:i/>
          <w:iCs/>
          <w:szCs w:val="27"/>
        </w:rPr>
        <w:t>Montrose</w:t>
      </w:r>
      <w:r w:rsidRPr="00112487" w:rsidR="009C0266">
        <w:rPr>
          <w:i/>
          <w:iCs/>
          <w:szCs w:val="27"/>
        </w:rPr>
        <w:t xml:space="preserve"> I</w:t>
      </w:r>
      <w:r w:rsidRPr="00112487" w:rsidR="009C0266">
        <w:rPr>
          <w:szCs w:val="27"/>
        </w:rPr>
        <w:t>,</w:t>
      </w:r>
      <w:r w:rsidRPr="00112487" w:rsidR="009C0266">
        <w:rPr>
          <w:i/>
          <w:iCs/>
          <w:szCs w:val="27"/>
        </w:rPr>
        <w:t xml:space="preserve"> supra</w:t>
      </w:r>
      <w:r w:rsidRPr="00112487" w:rsidR="00BB1840">
        <w:rPr>
          <w:szCs w:val="27"/>
        </w:rPr>
        <w:t>,</w:t>
      </w:r>
      <w:r w:rsidRPr="00112487">
        <w:rPr>
          <w:szCs w:val="27"/>
        </w:rPr>
        <w:t xml:space="preserve"> 10 Cal.4th 645, we adopted the “continuous injury trigger of coverage” principle</w:t>
      </w:r>
      <w:r w:rsidRPr="00112487" w:rsidR="00313714">
        <w:rPr>
          <w:szCs w:val="27"/>
        </w:rPr>
        <w:t xml:space="preserve"> (</w:t>
      </w:r>
      <w:r w:rsidRPr="00112487" w:rsidR="00313714">
        <w:rPr>
          <w:i/>
          <w:iCs/>
          <w:szCs w:val="27"/>
        </w:rPr>
        <w:t>id</w:t>
      </w:r>
      <w:r w:rsidRPr="00112487" w:rsidR="00313714">
        <w:rPr>
          <w:szCs w:val="27"/>
        </w:rPr>
        <w:t>. at p. 685)</w:t>
      </w:r>
      <w:r w:rsidRPr="00112487">
        <w:rPr>
          <w:szCs w:val="27"/>
        </w:rPr>
        <w:t>, under which “bodily injury and property damage that is continuous or progressively deteriorating throughout several policy periods is potentially covered by all policies in effect during those periods.”  (</w:t>
      </w:r>
      <w:r w:rsidRPr="00112487">
        <w:rPr>
          <w:i/>
          <w:iCs/>
          <w:szCs w:val="27"/>
        </w:rPr>
        <w:t>Id</w:t>
      </w:r>
      <w:r w:rsidRPr="00112487">
        <w:rPr>
          <w:szCs w:val="27"/>
        </w:rPr>
        <w:t>. at p. 655.)</w:t>
      </w:r>
      <w:r w:rsidRPr="00112487" w:rsidR="00C776BC">
        <w:rPr>
          <w:szCs w:val="27"/>
        </w:rPr>
        <w:t xml:space="preserve">  </w:t>
      </w:r>
      <w:r w:rsidRPr="00112487">
        <w:rPr>
          <w:szCs w:val="27"/>
        </w:rPr>
        <w:t>In other words, the insured may call upon any policy that was in effect during the continuous period of injury.</w:t>
      </w:r>
      <w:r>
        <w:rPr>
          <w:rStyle w:val="FootnoteReference"/>
          <w:szCs w:val="27"/>
        </w:rPr>
        <w:footnoteReference w:id="5"/>
      </w:r>
    </w:p>
    <w:p w:rsidR="005A3724" w:rsidRPr="00112487" w:rsidP="00A25E48" w14:paraId="679C7912" w14:textId="77777777">
      <w:pPr>
        <w:ind w:firstLine="720"/>
        <w:rPr>
          <w:szCs w:val="27"/>
        </w:rPr>
      </w:pPr>
      <w:r w:rsidRPr="00112487">
        <w:rPr>
          <w:szCs w:val="27"/>
        </w:rPr>
        <w:t xml:space="preserve">Second, in </w:t>
      </w:r>
      <w:r w:rsidRPr="00112487">
        <w:rPr>
          <w:i/>
          <w:iCs/>
          <w:szCs w:val="27"/>
        </w:rPr>
        <w:t>Aerojet-General Corp. v. Transport Indemnity Co</w:t>
      </w:r>
      <w:r w:rsidRPr="00112487">
        <w:rPr>
          <w:szCs w:val="27"/>
        </w:rPr>
        <w:t>. (1997) 17</w:t>
      </w:r>
      <w:r w:rsidRPr="00112487" w:rsidR="002B0D34">
        <w:rPr>
          <w:szCs w:val="27"/>
        </w:rPr>
        <w:t> </w:t>
      </w:r>
      <w:r w:rsidRPr="00112487">
        <w:rPr>
          <w:szCs w:val="27"/>
        </w:rPr>
        <w:t xml:space="preserve">Cal.4th 38, we adopted </w:t>
      </w:r>
      <w:r w:rsidRPr="00112487" w:rsidR="001C75BD">
        <w:rPr>
          <w:szCs w:val="27"/>
        </w:rPr>
        <w:t>“the ‘all sums’ rule” (</w:t>
      </w:r>
      <w:r w:rsidRPr="00112487" w:rsidR="001C75BD">
        <w:rPr>
          <w:i/>
          <w:iCs/>
          <w:szCs w:val="27"/>
        </w:rPr>
        <w:t>State of California v. Continental Ins. Co</w:t>
      </w:r>
      <w:r w:rsidRPr="00112487" w:rsidR="001C75BD">
        <w:rPr>
          <w:szCs w:val="27"/>
        </w:rPr>
        <w:t>. (2012) 55</w:t>
      </w:r>
      <w:r w:rsidRPr="00112487" w:rsidR="002B0D34">
        <w:rPr>
          <w:szCs w:val="27"/>
        </w:rPr>
        <w:t> </w:t>
      </w:r>
      <w:r w:rsidRPr="00112487" w:rsidR="001C75BD">
        <w:rPr>
          <w:szCs w:val="27"/>
        </w:rPr>
        <w:t>Cal.4th 186, 191 (</w:t>
      </w:r>
      <w:r w:rsidRPr="00112487" w:rsidR="001C75BD">
        <w:rPr>
          <w:i/>
          <w:iCs/>
          <w:szCs w:val="27"/>
        </w:rPr>
        <w:t>Continental</w:t>
      </w:r>
      <w:r w:rsidRPr="00112487" w:rsidR="001C75BD">
        <w:rPr>
          <w:szCs w:val="27"/>
        </w:rPr>
        <w:t>))</w:t>
      </w:r>
      <w:r w:rsidRPr="00112487">
        <w:rPr>
          <w:szCs w:val="27"/>
        </w:rPr>
        <w:t xml:space="preserve">, pursuant to which each policy triggered </w:t>
      </w:r>
      <w:r w:rsidRPr="00112487" w:rsidR="001C75BD">
        <w:rPr>
          <w:szCs w:val="27"/>
        </w:rPr>
        <w:t>during</w:t>
      </w:r>
      <w:r w:rsidRPr="00112487">
        <w:rPr>
          <w:szCs w:val="27"/>
        </w:rPr>
        <w:t xml:space="preserve"> a long-tail injury is potentially liable for the total amount of the loss, regardless of whether a portion of the loss occurred outside the policy’s coverage period.  The rule “envisions that each successive insurer is potentially liable for the entire loss up to its policy limits. </w:t>
      </w:r>
      <w:r w:rsidRPr="00112487" w:rsidR="001C75BD">
        <w:rPr>
          <w:szCs w:val="27"/>
        </w:rPr>
        <w:t xml:space="preserve"> </w:t>
      </w:r>
      <w:r w:rsidRPr="00112487">
        <w:rPr>
          <w:szCs w:val="27"/>
        </w:rPr>
        <w:t>When the entire loss is within the limits of one policy, the insured can recover from that insurer, which may then seek contribution from the other insurers on the risk during the same loss.”  (</w:t>
      </w:r>
      <w:r w:rsidRPr="00112487" w:rsidR="001C75BD">
        <w:rPr>
          <w:i/>
          <w:iCs/>
          <w:szCs w:val="27"/>
        </w:rPr>
        <w:t>Id.</w:t>
      </w:r>
      <w:r w:rsidRPr="00112487" w:rsidR="00D23B53">
        <w:rPr>
          <w:szCs w:val="27"/>
        </w:rPr>
        <w:t xml:space="preserve"> </w:t>
      </w:r>
      <w:r w:rsidRPr="00112487" w:rsidR="001C75BD">
        <w:rPr>
          <w:szCs w:val="27"/>
        </w:rPr>
        <w:t>at p. </w:t>
      </w:r>
      <w:r w:rsidRPr="00112487" w:rsidR="00D23B53">
        <w:rPr>
          <w:szCs w:val="27"/>
        </w:rPr>
        <w:t>200</w:t>
      </w:r>
      <w:r w:rsidRPr="00112487" w:rsidR="001474D1">
        <w:rPr>
          <w:szCs w:val="27"/>
        </w:rPr>
        <w:t xml:space="preserve">.) </w:t>
      </w:r>
      <w:r w:rsidRPr="00112487">
        <w:rPr>
          <w:szCs w:val="27"/>
        </w:rPr>
        <w:t xml:space="preserve"> </w:t>
      </w:r>
    </w:p>
    <w:p w:rsidR="00193619" w:rsidRPr="00112487" w:rsidP="00A25E48" w14:paraId="679C7913" w14:textId="77777777">
      <w:pPr>
        <w:ind w:firstLine="720"/>
        <w:rPr>
          <w:szCs w:val="27"/>
        </w:rPr>
      </w:pPr>
      <w:r w:rsidRPr="00112487">
        <w:rPr>
          <w:szCs w:val="27"/>
        </w:rPr>
        <w:t>Third, in</w:t>
      </w:r>
      <w:r w:rsidRPr="00112487">
        <w:rPr>
          <w:i/>
          <w:iCs/>
          <w:szCs w:val="27"/>
        </w:rPr>
        <w:t xml:space="preserve"> Continental</w:t>
      </w:r>
      <w:r w:rsidRPr="00112487">
        <w:rPr>
          <w:szCs w:val="27"/>
        </w:rPr>
        <w:t xml:space="preserve">, </w:t>
      </w:r>
      <w:r w:rsidRPr="00112487">
        <w:rPr>
          <w:i/>
          <w:iCs/>
          <w:szCs w:val="27"/>
        </w:rPr>
        <w:t>supra</w:t>
      </w:r>
      <w:r w:rsidRPr="00112487">
        <w:rPr>
          <w:szCs w:val="27"/>
        </w:rPr>
        <w:t xml:space="preserve">, 55 Cal.4th 186, we </w:t>
      </w:r>
      <w:r w:rsidRPr="00112487" w:rsidR="005F4207">
        <w:rPr>
          <w:szCs w:val="27"/>
        </w:rPr>
        <w:t>construed language in standard CGL policies to permit</w:t>
      </w:r>
      <w:r w:rsidRPr="00112487">
        <w:rPr>
          <w:szCs w:val="27"/>
        </w:rPr>
        <w:t xml:space="preserve"> “stacking,” which</w:t>
      </w:r>
      <w:r w:rsidRPr="00112487" w:rsidR="002C340E">
        <w:rPr>
          <w:szCs w:val="27"/>
        </w:rPr>
        <w:t xml:space="preserve"> allows an insured “to add together the maximum limits of all consecutive policies that </w:t>
      </w:r>
      <w:r w:rsidRPr="00112487" w:rsidR="00BB1840">
        <w:rPr>
          <w:szCs w:val="27"/>
        </w:rPr>
        <w:t>[were]</w:t>
      </w:r>
      <w:r w:rsidRPr="00112487" w:rsidR="002C340E">
        <w:rPr>
          <w:szCs w:val="27"/>
        </w:rPr>
        <w:t xml:space="preserve"> in place during the </w:t>
      </w:r>
      <w:r w:rsidRPr="00112487" w:rsidR="00BB1840">
        <w:rPr>
          <w:szCs w:val="27"/>
        </w:rPr>
        <w:t>[period of continuous injury].</w:t>
      </w:r>
      <w:r w:rsidRPr="00112487" w:rsidR="002C340E">
        <w:rPr>
          <w:szCs w:val="27"/>
        </w:rPr>
        <w:t xml:space="preserve">” </w:t>
      </w:r>
      <w:r w:rsidRPr="00112487" w:rsidR="00BB1840">
        <w:rPr>
          <w:szCs w:val="27"/>
        </w:rPr>
        <w:t xml:space="preserve"> </w:t>
      </w:r>
      <w:r w:rsidRPr="00112487" w:rsidR="002C340E">
        <w:rPr>
          <w:szCs w:val="27"/>
        </w:rPr>
        <w:t xml:space="preserve">(12 Couch on Insurance </w:t>
      </w:r>
      <w:r w:rsidRPr="00112487" w:rsidR="00A21A0C">
        <w:rPr>
          <w:szCs w:val="27"/>
        </w:rPr>
        <w:t>(</w:t>
      </w:r>
      <w:r w:rsidRPr="00112487" w:rsidR="002C340E">
        <w:rPr>
          <w:szCs w:val="27"/>
        </w:rPr>
        <w:t>3d</w:t>
      </w:r>
      <w:r w:rsidRPr="00112487" w:rsidR="00A21A0C">
        <w:rPr>
          <w:szCs w:val="27"/>
        </w:rPr>
        <w:t xml:space="preserve"> ed. 2010)</w:t>
      </w:r>
      <w:r w:rsidRPr="00112487" w:rsidR="002C340E">
        <w:rPr>
          <w:szCs w:val="27"/>
        </w:rPr>
        <w:t xml:space="preserve"> §</w:t>
      </w:r>
      <w:r w:rsidRPr="00112487" w:rsidR="00BD3435">
        <w:rPr>
          <w:szCs w:val="27"/>
        </w:rPr>
        <w:t> </w:t>
      </w:r>
      <w:r w:rsidRPr="00112487" w:rsidR="002C340E">
        <w:rPr>
          <w:szCs w:val="27"/>
        </w:rPr>
        <w:t xml:space="preserve">169:5; see </w:t>
      </w:r>
      <w:r w:rsidRPr="00112487" w:rsidR="002C340E">
        <w:rPr>
          <w:i/>
          <w:iCs/>
          <w:szCs w:val="27"/>
        </w:rPr>
        <w:t>Continental</w:t>
      </w:r>
      <w:r w:rsidRPr="00112487" w:rsidR="002C340E">
        <w:rPr>
          <w:szCs w:val="27"/>
        </w:rPr>
        <w:t>, at p. 200 [</w:t>
      </w:r>
      <w:r w:rsidRPr="00112487" w:rsidR="00313714">
        <w:rPr>
          <w:szCs w:val="27"/>
        </w:rPr>
        <w:t>“ ‘</w:t>
      </w:r>
      <w:r w:rsidRPr="00112487" w:rsidR="002C340E">
        <w:rPr>
          <w:szCs w:val="27"/>
        </w:rPr>
        <w:t>stacking</w:t>
      </w:r>
      <w:r w:rsidRPr="00112487" w:rsidR="00313714">
        <w:rPr>
          <w:szCs w:val="27"/>
        </w:rPr>
        <w:t xml:space="preserve">’ </w:t>
      </w:r>
      <w:r w:rsidRPr="00112487" w:rsidR="002C340E">
        <w:rPr>
          <w:szCs w:val="27"/>
        </w:rPr>
        <w:t>generally refers to the stacking of policy limits across multiple policy periods that were on a particular risk”</w:t>
      </w:r>
      <w:r w:rsidRPr="00112487" w:rsidR="005F4207">
        <w:rPr>
          <w:szCs w:val="27"/>
        </w:rPr>
        <w:t>].)</w:t>
      </w:r>
      <w:r w:rsidRPr="00112487" w:rsidR="002C340E">
        <w:rPr>
          <w:szCs w:val="27"/>
        </w:rPr>
        <w:t xml:space="preserve">  In other words, “ </w:t>
      </w:r>
      <w:r w:rsidRPr="00112487">
        <w:rPr>
          <w:szCs w:val="27"/>
        </w:rPr>
        <w:t>‘</w:t>
      </w:r>
      <w:r w:rsidRPr="00112487" w:rsidR="002C340E">
        <w:rPr>
          <w:szCs w:val="27"/>
        </w:rPr>
        <w:t>[w]</w:t>
      </w:r>
      <w:r w:rsidRPr="00112487">
        <w:rPr>
          <w:szCs w:val="27"/>
        </w:rPr>
        <w:t>hen the policy limits of a given insurer are exhausted, [the insured] is entitled to seek indemnification from any of the remaining insurers [that were] on the risk</w:t>
      </w:r>
      <w:r w:rsidRPr="00112487" w:rsidR="00BB1840">
        <w:rPr>
          <w:szCs w:val="27"/>
        </w:rPr>
        <w:t xml:space="preserve"> [during the continuous period of </w:t>
      </w:r>
      <w:r w:rsidRPr="00112487" w:rsidR="004F2CED">
        <w:rPr>
          <w:szCs w:val="27"/>
        </w:rPr>
        <w:t>injury</w:t>
      </w:r>
      <w:r w:rsidRPr="00112487" w:rsidR="00BB1840">
        <w:rPr>
          <w:szCs w:val="27"/>
        </w:rPr>
        <w:t>]</w:t>
      </w:r>
      <w:r w:rsidRPr="00112487">
        <w:rPr>
          <w:szCs w:val="27"/>
        </w:rPr>
        <w:t xml:space="preserve">.’ ”  </w:t>
      </w:r>
      <w:r w:rsidRPr="00112487" w:rsidR="00275082">
        <w:rPr>
          <w:szCs w:val="27"/>
        </w:rPr>
        <w:t>(</w:t>
      </w:r>
      <w:r w:rsidRPr="00112487" w:rsidR="002C340E">
        <w:rPr>
          <w:i/>
          <w:iCs/>
          <w:szCs w:val="27"/>
        </w:rPr>
        <w:t>Continental</w:t>
      </w:r>
      <w:r w:rsidRPr="00112487" w:rsidR="002C340E">
        <w:rPr>
          <w:szCs w:val="27"/>
        </w:rPr>
        <w:t>,</w:t>
      </w:r>
      <w:r w:rsidRPr="00112487" w:rsidR="00275082">
        <w:rPr>
          <w:szCs w:val="27"/>
        </w:rPr>
        <w:t xml:space="preserve"> at p. 200.)  </w:t>
      </w:r>
      <w:r w:rsidRPr="00112487" w:rsidR="00BB1840">
        <w:rPr>
          <w:szCs w:val="27"/>
        </w:rPr>
        <w:t>If</w:t>
      </w:r>
      <w:r w:rsidRPr="00112487">
        <w:rPr>
          <w:szCs w:val="27"/>
        </w:rPr>
        <w:t>, for example,</w:t>
      </w:r>
      <w:r w:rsidRPr="00112487" w:rsidR="002C340E">
        <w:rPr>
          <w:szCs w:val="27"/>
        </w:rPr>
        <w:t xml:space="preserve"> an insured purchased 10 </w:t>
      </w:r>
      <w:r w:rsidRPr="00112487" w:rsidR="005F4207">
        <w:rPr>
          <w:szCs w:val="27"/>
        </w:rPr>
        <w:t>annual</w:t>
      </w:r>
      <w:r w:rsidRPr="00112487" w:rsidR="00347E09">
        <w:rPr>
          <w:szCs w:val="27"/>
        </w:rPr>
        <w:t xml:space="preserve"> policies </w:t>
      </w:r>
      <w:r w:rsidRPr="00112487">
        <w:rPr>
          <w:szCs w:val="27"/>
        </w:rPr>
        <w:t>that each had a</w:t>
      </w:r>
      <w:r w:rsidRPr="00112487" w:rsidR="00347E09">
        <w:rPr>
          <w:szCs w:val="27"/>
        </w:rPr>
        <w:t xml:space="preserve"> </w:t>
      </w:r>
      <w:r w:rsidRPr="00112487" w:rsidR="005F4207">
        <w:rPr>
          <w:szCs w:val="27"/>
        </w:rPr>
        <w:t xml:space="preserve">coverage limit of </w:t>
      </w:r>
      <w:r w:rsidRPr="00112487" w:rsidR="002C340E">
        <w:rPr>
          <w:szCs w:val="27"/>
        </w:rPr>
        <w:t>$1 million</w:t>
      </w:r>
      <w:r w:rsidRPr="00112487" w:rsidR="00347E09">
        <w:rPr>
          <w:szCs w:val="27"/>
        </w:rPr>
        <w:t>, and all the policies were triggered by a continuous injury,</w:t>
      </w:r>
      <w:r w:rsidRPr="00112487" w:rsidR="00BB1840">
        <w:rPr>
          <w:szCs w:val="27"/>
        </w:rPr>
        <w:t xml:space="preserve"> </w:t>
      </w:r>
      <w:r w:rsidRPr="00112487" w:rsidR="005F4207">
        <w:rPr>
          <w:szCs w:val="27"/>
        </w:rPr>
        <w:t xml:space="preserve">the insured would be permitted to </w:t>
      </w:r>
      <w:r w:rsidRPr="00112487" w:rsidR="00BB1840">
        <w:rPr>
          <w:szCs w:val="27"/>
        </w:rPr>
        <w:t>stack</w:t>
      </w:r>
      <w:r w:rsidRPr="00112487" w:rsidR="005F4207">
        <w:rPr>
          <w:szCs w:val="27"/>
        </w:rPr>
        <w:t xml:space="preserve"> all of the policies</w:t>
      </w:r>
      <w:r w:rsidRPr="00112487" w:rsidR="00347E09">
        <w:rPr>
          <w:szCs w:val="27"/>
        </w:rPr>
        <w:t xml:space="preserve"> to collect up to $10 million in </w:t>
      </w:r>
      <w:r w:rsidRPr="00112487" w:rsidR="00BB1840">
        <w:rPr>
          <w:szCs w:val="27"/>
        </w:rPr>
        <w:t xml:space="preserve">total </w:t>
      </w:r>
      <w:r w:rsidRPr="00112487" w:rsidR="00347E09">
        <w:rPr>
          <w:szCs w:val="27"/>
        </w:rPr>
        <w:t xml:space="preserve">coverage. </w:t>
      </w:r>
      <w:r w:rsidRPr="00112487" w:rsidR="00C07024">
        <w:rPr>
          <w:szCs w:val="27"/>
        </w:rPr>
        <w:t xml:space="preserve"> (See </w:t>
      </w:r>
      <w:r w:rsidRPr="00112487" w:rsidR="00C07024">
        <w:rPr>
          <w:i/>
          <w:iCs/>
          <w:szCs w:val="27"/>
        </w:rPr>
        <w:t>i</w:t>
      </w:r>
      <w:r w:rsidRPr="00112487" w:rsidR="008A10A4">
        <w:rPr>
          <w:i/>
          <w:iCs/>
          <w:szCs w:val="27"/>
        </w:rPr>
        <w:t>d</w:t>
      </w:r>
      <w:r w:rsidRPr="00112487" w:rsidR="00C07024">
        <w:rPr>
          <w:szCs w:val="27"/>
        </w:rPr>
        <w:t xml:space="preserve">. </w:t>
      </w:r>
      <w:r w:rsidRPr="00112487" w:rsidR="00313714">
        <w:rPr>
          <w:szCs w:val="27"/>
        </w:rPr>
        <w:t xml:space="preserve">at p. 201 </w:t>
      </w:r>
      <w:r w:rsidRPr="00112487" w:rsidR="00C07024">
        <w:rPr>
          <w:szCs w:val="27"/>
        </w:rPr>
        <w:t>[</w:t>
      </w:r>
      <w:r w:rsidRPr="00112487" w:rsidR="002B0D34">
        <w:rPr>
          <w:szCs w:val="27"/>
        </w:rPr>
        <w:t>t</w:t>
      </w:r>
      <w:r w:rsidRPr="00112487">
        <w:rPr>
          <w:szCs w:val="27"/>
        </w:rPr>
        <w:t>he “all-sums-with-stacking indemnity principle</w:t>
      </w:r>
      <w:r w:rsidRPr="00112487" w:rsidR="002B0D34">
        <w:rPr>
          <w:szCs w:val="27"/>
        </w:rPr>
        <w:t xml:space="preserve"> </w:t>
      </w:r>
      <w:r w:rsidRPr="00112487" w:rsidR="00C07024">
        <w:rPr>
          <w:szCs w:val="27"/>
        </w:rPr>
        <w:t>.</w:t>
      </w:r>
      <w:r w:rsidRPr="00112487" w:rsidR="00AC2375">
        <w:rPr>
          <w:szCs w:val="27"/>
        </w:rPr>
        <w:t> </w:t>
      </w:r>
      <w:r w:rsidRPr="00112487" w:rsidR="00C07024">
        <w:rPr>
          <w:szCs w:val="27"/>
        </w:rPr>
        <w:t>.</w:t>
      </w:r>
      <w:r w:rsidRPr="00112487" w:rsidR="00AC2375">
        <w:rPr>
          <w:szCs w:val="27"/>
        </w:rPr>
        <w:t> </w:t>
      </w:r>
      <w:r w:rsidRPr="00112487" w:rsidR="00C07024">
        <w:rPr>
          <w:szCs w:val="27"/>
        </w:rPr>
        <w:t xml:space="preserve">. </w:t>
      </w:r>
      <w:r w:rsidRPr="00112487" w:rsidR="00275082">
        <w:rPr>
          <w:szCs w:val="27"/>
        </w:rPr>
        <w:t>‘</w:t>
      </w:r>
      <w:r w:rsidRPr="00112487">
        <w:rPr>
          <w:szCs w:val="27"/>
        </w:rPr>
        <w:t xml:space="preserve">effectively stacks the insurance coverage from different policy periods to form one giant </w:t>
      </w:r>
      <w:r w:rsidRPr="00112487" w:rsidR="00275082">
        <w:rPr>
          <w:szCs w:val="27"/>
        </w:rPr>
        <w:t>“</w:t>
      </w:r>
      <w:r w:rsidRPr="00112487">
        <w:rPr>
          <w:szCs w:val="27"/>
        </w:rPr>
        <w:t>uber-policy</w:t>
      </w:r>
      <w:r w:rsidRPr="00112487" w:rsidR="00275082">
        <w:rPr>
          <w:szCs w:val="27"/>
        </w:rPr>
        <w:t>”</w:t>
      </w:r>
      <w:r w:rsidRPr="00112487">
        <w:rPr>
          <w:szCs w:val="27"/>
        </w:rPr>
        <w:t xml:space="preserve"> with a coverage limit equal to the sum of all purchased insurance policies</w:t>
      </w:r>
      <w:r w:rsidRPr="00112487" w:rsidR="00AC2375">
        <w:rPr>
          <w:szCs w:val="27"/>
        </w:rPr>
        <w:t>’ ”].)</w:t>
      </w:r>
      <w:r w:rsidRPr="00112487">
        <w:rPr>
          <w:szCs w:val="27"/>
        </w:rPr>
        <w:t xml:space="preserve">  </w:t>
      </w:r>
    </w:p>
    <w:p w:rsidR="00F74A46" w:rsidRPr="00112487" w:rsidP="00A25E48" w14:paraId="679C7914" w14:textId="77777777">
      <w:pPr>
        <w:ind w:firstLine="720"/>
        <w:rPr>
          <w:szCs w:val="27"/>
        </w:rPr>
      </w:pPr>
      <w:r w:rsidRPr="00112487">
        <w:rPr>
          <w:szCs w:val="27"/>
        </w:rPr>
        <w:t xml:space="preserve">In </w:t>
      </w:r>
      <w:r w:rsidRPr="00112487" w:rsidR="00543E1B">
        <w:rPr>
          <w:szCs w:val="27"/>
        </w:rPr>
        <w:t>adoptin</w:t>
      </w:r>
      <w:r w:rsidRPr="00112487">
        <w:rPr>
          <w:szCs w:val="27"/>
        </w:rPr>
        <w:t>g this</w:t>
      </w:r>
      <w:r w:rsidRPr="00112487" w:rsidR="00543E1B">
        <w:rPr>
          <w:szCs w:val="27"/>
        </w:rPr>
        <w:t xml:space="preserve"> all-sums-with-stacking approach, </w:t>
      </w:r>
      <w:r w:rsidRPr="00112487" w:rsidR="009C0266">
        <w:rPr>
          <w:szCs w:val="27"/>
        </w:rPr>
        <w:t xml:space="preserve">however, </w:t>
      </w:r>
      <w:r w:rsidRPr="00112487" w:rsidR="00543E1B">
        <w:rPr>
          <w:szCs w:val="27"/>
        </w:rPr>
        <w:t>w</w:t>
      </w:r>
      <w:r w:rsidRPr="00112487" w:rsidR="005A3724">
        <w:rPr>
          <w:szCs w:val="27"/>
        </w:rPr>
        <w:t xml:space="preserve">e </w:t>
      </w:r>
      <w:r w:rsidRPr="00112487">
        <w:rPr>
          <w:szCs w:val="27"/>
        </w:rPr>
        <w:t xml:space="preserve">have </w:t>
      </w:r>
      <w:r w:rsidRPr="00112487" w:rsidR="005A3724">
        <w:rPr>
          <w:szCs w:val="27"/>
        </w:rPr>
        <w:t>cautioned</w:t>
      </w:r>
      <w:r w:rsidRPr="00112487" w:rsidR="00543E1B">
        <w:rPr>
          <w:szCs w:val="27"/>
        </w:rPr>
        <w:t xml:space="preserve"> that “future</w:t>
      </w:r>
      <w:r w:rsidR="008777F3">
        <w:rPr>
          <w:szCs w:val="27"/>
        </w:rPr>
        <w:t xml:space="preserve"> . . .</w:t>
      </w:r>
      <w:r w:rsidRPr="00112487" w:rsidR="00543E1B">
        <w:rPr>
          <w:szCs w:val="27"/>
        </w:rPr>
        <w:t xml:space="preserve"> contracting parties can write into their policies whatever language they agree upon, including limitations on indemnity, equitable pro rata coverage allocation rules, and prohibitions on stacking</w:t>
      </w:r>
      <w:r w:rsidRPr="00112487" w:rsidR="005A3724">
        <w:rPr>
          <w:szCs w:val="27"/>
        </w:rPr>
        <w:t>.”  (</w:t>
      </w:r>
      <w:r w:rsidRPr="00112487" w:rsidR="00635215">
        <w:rPr>
          <w:i/>
          <w:iCs/>
          <w:szCs w:val="27"/>
        </w:rPr>
        <w:t>Continental</w:t>
      </w:r>
      <w:r w:rsidRPr="00112487" w:rsidR="00635215">
        <w:rPr>
          <w:szCs w:val="27"/>
        </w:rPr>
        <w:t xml:space="preserve">, </w:t>
      </w:r>
      <w:r w:rsidRPr="00112487" w:rsidR="00635215">
        <w:rPr>
          <w:i/>
          <w:iCs/>
          <w:szCs w:val="27"/>
        </w:rPr>
        <w:t>supra</w:t>
      </w:r>
      <w:r w:rsidRPr="00112487" w:rsidR="00635215">
        <w:rPr>
          <w:szCs w:val="27"/>
        </w:rPr>
        <w:t>, 55 Cal.4th a</w:t>
      </w:r>
      <w:r w:rsidRPr="00112487">
        <w:rPr>
          <w:szCs w:val="27"/>
        </w:rPr>
        <w:t>t p. </w:t>
      </w:r>
      <w:r w:rsidRPr="00112487" w:rsidR="005A3724">
        <w:rPr>
          <w:szCs w:val="27"/>
        </w:rPr>
        <w:t>202.)</w:t>
      </w:r>
    </w:p>
    <w:p w:rsidR="001E4560" w:rsidRPr="00112487" w:rsidP="002E7500" w14:paraId="679C7915" w14:textId="77777777">
      <w:pPr>
        <w:pStyle w:val="Heading2"/>
        <w:spacing w:before="0" w:line="400" w:lineRule="exact"/>
        <w:rPr>
          <w:i/>
          <w:iCs/>
          <w:szCs w:val="27"/>
        </w:rPr>
      </w:pPr>
      <w:r w:rsidRPr="00112487">
        <w:rPr>
          <w:i/>
          <w:iCs/>
          <w:szCs w:val="27"/>
        </w:rPr>
        <w:t>B.</w:t>
      </w:r>
      <w:r w:rsidRPr="00112487">
        <w:rPr>
          <w:i/>
          <w:iCs/>
          <w:szCs w:val="27"/>
        </w:rPr>
        <w:tab/>
      </w:r>
      <w:r w:rsidRPr="00112487" w:rsidR="00FB3E47">
        <w:rPr>
          <w:i/>
          <w:iCs/>
          <w:szCs w:val="27"/>
        </w:rPr>
        <w:t>Summary of Kaiser’s Insurance Policies</w:t>
      </w:r>
      <w:r w:rsidRPr="00112487" w:rsidR="00F30EBA">
        <w:rPr>
          <w:i/>
          <w:iCs/>
          <w:szCs w:val="27"/>
        </w:rPr>
        <w:t xml:space="preserve"> </w:t>
      </w:r>
    </w:p>
    <w:p w:rsidR="000326FB" w:rsidRPr="00112487" w:rsidP="00A25E48" w14:paraId="679C7916" w14:textId="77777777">
      <w:pPr>
        <w:ind w:firstLine="720"/>
        <w:rPr>
          <w:szCs w:val="27"/>
        </w:rPr>
      </w:pPr>
      <w:r w:rsidRPr="00112487">
        <w:rPr>
          <w:szCs w:val="27"/>
        </w:rPr>
        <w:t xml:space="preserve">Having summarized general principles of insurance law relating to </w:t>
      </w:r>
      <w:r w:rsidRPr="00112487" w:rsidR="00E61640">
        <w:rPr>
          <w:szCs w:val="27"/>
        </w:rPr>
        <w:t>continuous</w:t>
      </w:r>
      <w:r w:rsidRPr="00112487">
        <w:rPr>
          <w:szCs w:val="27"/>
        </w:rPr>
        <w:t xml:space="preserve"> injuries, we turn </w:t>
      </w:r>
      <w:r w:rsidRPr="00112487" w:rsidR="00FB3E47">
        <w:rPr>
          <w:szCs w:val="27"/>
        </w:rPr>
        <w:t xml:space="preserve">now </w:t>
      </w:r>
      <w:r w:rsidRPr="00112487">
        <w:rPr>
          <w:szCs w:val="27"/>
        </w:rPr>
        <w:t xml:space="preserve">to the </w:t>
      </w:r>
      <w:r w:rsidRPr="00112487" w:rsidR="00F705DE">
        <w:rPr>
          <w:szCs w:val="27"/>
        </w:rPr>
        <w:t xml:space="preserve">specific </w:t>
      </w:r>
      <w:r w:rsidRPr="00112487">
        <w:rPr>
          <w:szCs w:val="27"/>
        </w:rPr>
        <w:t xml:space="preserve">facts at issue </w:t>
      </w:r>
      <w:r w:rsidRPr="00112487" w:rsidR="00E61640">
        <w:rPr>
          <w:szCs w:val="27"/>
        </w:rPr>
        <w:t>in this appeal</w:t>
      </w:r>
      <w:r w:rsidRPr="00112487">
        <w:rPr>
          <w:szCs w:val="27"/>
        </w:rPr>
        <w:t xml:space="preserve">.  </w:t>
      </w:r>
      <w:r w:rsidRPr="00112487" w:rsidR="00FB3E47">
        <w:rPr>
          <w:szCs w:val="27"/>
        </w:rPr>
        <w:t>D</w:t>
      </w:r>
      <w:r w:rsidRPr="00112487" w:rsidR="004C648E">
        <w:rPr>
          <w:szCs w:val="27"/>
        </w:rPr>
        <w:t>uring the relevant time period</w:t>
      </w:r>
      <w:r w:rsidRPr="00112487" w:rsidR="00FB3E47">
        <w:rPr>
          <w:szCs w:val="27"/>
        </w:rPr>
        <w:t>,</w:t>
      </w:r>
      <w:r w:rsidRPr="00112487" w:rsidR="004C648E">
        <w:rPr>
          <w:szCs w:val="27"/>
        </w:rPr>
        <w:t xml:space="preserve"> Kaiser purchased primary and excess </w:t>
      </w:r>
      <w:r w:rsidRPr="00112487" w:rsidR="00811527">
        <w:rPr>
          <w:szCs w:val="27"/>
        </w:rPr>
        <w:t xml:space="preserve">CGL </w:t>
      </w:r>
      <w:r w:rsidRPr="00112487" w:rsidR="004C648E">
        <w:rPr>
          <w:szCs w:val="27"/>
        </w:rPr>
        <w:t xml:space="preserve">insurance from </w:t>
      </w:r>
      <w:r w:rsidRPr="00112487" w:rsidR="003C419D">
        <w:rPr>
          <w:szCs w:val="27"/>
        </w:rPr>
        <w:t xml:space="preserve">numerous different insurers.  </w:t>
      </w:r>
      <w:r w:rsidRPr="00112487" w:rsidR="005921FB">
        <w:rPr>
          <w:szCs w:val="27"/>
        </w:rPr>
        <w:t>“</w:t>
      </w:r>
      <w:r w:rsidRPr="00112487" w:rsidR="00275082">
        <w:rPr>
          <w:szCs w:val="27"/>
        </w:rPr>
        <w:t>P</w:t>
      </w:r>
      <w:r w:rsidRPr="00112487">
        <w:rPr>
          <w:szCs w:val="27"/>
        </w:rPr>
        <w:t xml:space="preserve">rimary insurance refers to the first layer of coverage, whereby ‘liability attaches </w:t>
      </w:r>
      <w:r w:rsidRPr="00112487">
        <w:rPr>
          <w:i/>
          <w:iCs/>
          <w:szCs w:val="27"/>
        </w:rPr>
        <w:t>immediately</w:t>
      </w:r>
      <w:r w:rsidRPr="00112487">
        <w:rPr>
          <w:szCs w:val="27"/>
        </w:rPr>
        <w:t xml:space="preserve"> upon the happening of the occurrence that gives rise to liability.</w:t>
      </w:r>
      <w:r w:rsidRPr="00112487" w:rsidR="005921FB">
        <w:rPr>
          <w:szCs w:val="27"/>
        </w:rPr>
        <w:t>’ </w:t>
      </w:r>
      <w:r w:rsidRPr="00112487" w:rsidR="00237BFD">
        <w:rPr>
          <w:szCs w:val="27"/>
        </w:rPr>
        <w:t>”</w:t>
      </w:r>
      <w:r w:rsidRPr="00112487">
        <w:rPr>
          <w:szCs w:val="27"/>
        </w:rPr>
        <w:t xml:space="preserve">  </w:t>
      </w:r>
      <w:r w:rsidRPr="00112487" w:rsidR="00237BFD">
        <w:rPr>
          <w:szCs w:val="27"/>
        </w:rPr>
        <w:t>(</w:t>
      </w:r>
      <w:r w:rsidRPr="00112487" w:rsidR="00B62BB2">
        <w:rPr>
          <w:i/>
          <w:iCs/>
          <w:szCs w:val="27"/>
        </w:rPr>
        <w:t>Montrose III</w:t>
      </w:r>
      <w:r w:rsidRPr="00112487" w:rsidR="00237BFD">
        <w:rPr>
          <w:szCs w:val="27"/>
        </w:rPr>
        <w:t xml:space="preserve">, </w:t>
      </w:r>
      <w:r w:rsidRPr="00112487" w:rsidR="00237BFD">
        <w:rPr>
          <w:i/>
          <w:iCs/>
          <w:szCs w:val="27"/>
        </w:rPr>
        <w:t>supra,</w:t>
      </w:r>
      <w:r w:rsidRPr="00112487" w:rsidR="00237BFD">
        <w:rPr>
          <w:szCs w:val="27"/>
        </w:rPr>
        <w:t xml:space="preserve"> </w:t>
      </w:r>
      <w:r w:rsidRPr="00112487" w:rsidR="00E61640">
        <w:rPr>
          <w:szCs w:val="27"/>
        </w:rPr>
        <w:t>9</w:t>
      </w:r>
      <w:r w:rsidRPr="00112487" w:rsidR="005921FB">
        <w:rPr>
          <w:szCs w:val="27"/>
        </w:rPr>
        <w:t> </w:t>
      </w:r>
      <w:r w:rsidRPr="00112487" w:rsidR="00E61640">
        <w:rPr>
          <w:szCs w:val="27"/>
        </w:rPr>
        <w:t xml:space="preserve">Cal.5th </w:t>
      </w:r>
      <w:r w:rsidRPr="00112487" w:rsidR="00237BFD">
        <w:rPr>
          <w:szCs w:val="27"/>
        </w:rPr>
        <w:t>at p. </w:t>
      </w:r>
      <w:r w:rsidRPr="00112487" w:rsidR="00E61640">
        <w:rPr>
          <w:szCs w:val="27"/>
        </w:rPr>
        <w:t>222</w:t>
      </w:r>
      <w:r w:rsidRPr="00112487" w:rsidR="00237BFD">
        <w:rPr>
          <w:szCs w:val="27"/>
        </w:rPr>
        <w:t>.)  “Primary insurers generally have the primary duty of defense.”  (</w:t>
      </w:r>
      <w:r w:rsidRPr="00112487" w:rsidR="00237BFD">
        <w:rPr>
          <w:i/>
          <w:iCs/>
          <w:szCs w:val="27"/>
        </w:rPr>
        <w:t>Olympic Ins. Co. v. Employers Surplus Lines Ins. Co</w:t>
      </w:r>
      <w:r w:rsidRPr="00112487" w:rsidR="00237BFD">
        <w:rPr>
          <w:szCs w:val="27"/>
        </w:rPr>
        <w:t>. (1981) 126</w:t>
      </w:r>
      <w:r w:rsidRPr="00112487" w:rsidR="002B0D34">
        <w:rPr>
          <w:szCs w:val="27"/>
        </w:rPr>
        <w:t> </w:t>
      </w:r>
      <w:r w:rsidRPr="00112487" w:rsidR="00237BFD">
        <w:rPr>
          <w:szCs w:val="27"/>
        </w:rPr>
        <w:t>Cal.App.3d 593, 597.)  “</w:t>
      </w:r>
      <w:r w:rsidRPr="00112487">
        <w:rPr>
          <w:szCs w:val="27"/>
        </w:rPr>
        <w:t xml:space="preserve">Excess insurance, by contrast, ‘refers to indemnity coverage that attaches upon the exhaustion of underlying insurance coverage for a claim.’ </w:t>
      </w:r>
      <w:r w:rsidRPr="00112487" w:rsidR="00237BFD">
        <w:rPr>
          <w:szCs w:val="27"/>
        </w:rPr>
        <w:t xml:space="preserve"> </w:t>
      </w:r>
      <w:r w:rsidRPr="00112487">
        <w:rPr>
          <w:szCs w:val="27"/>
        </w:rPr>
        <w:t>[Citation.]  An excess insurer’s coverage obligation begins once a certain level of loss or liability is reached; that level is generally referred to as the ‘</w:t>
      </w:r>
      <w:r w:rsidR="00E543AE">
        <w:t> “</w:t>
      </w:r>
      <w:r w:rsidRPr="00112487">
        <w:rPr>
          <w:szCs w:val="27"/>
        </w:rPr>
        <w:t>attachment point</w:t>
      </w:r>
      <w:r w:rsidR="00E543AE">
        <w:rPr>
          <w:szCs w:val="27"/>
        </w:rPr>
        <w:t>” </w:t>
      </w:r>
      <w:r w:rsidRPr="00112487">
        <w:rPr>
          <w:szCs w:val="27"/>
        </w:rPr>
        <w:t>’ of the excess policy.”  (</w:t>
      </w:r>
      <w:r w:rsidRPr="00112487" w:rsidR="00B62BB2">
        <w:rPr>
          <w:i/>
          <w:iCs/>
          <w:szCs w:val="27"/>
        </w:rPr>
        <w:t>Montrose III</w:t>
      </w:r>
      <w:r w:rsidRPr="00112487">
        <w:rPr>
          <w:szCs w:val="27"/>
        </w:rPr>
        <w:t xml:space="preserve">, </w:t>
      </w:r>
      <w:r w:rsidRPr="00112487" w:rsidR="003240B6">
        <w:rPr>
          <w:szCs w:val="27"/>
        </w:rPr>
        <w:t>at p</w:t>
      </w:r>
      <w:r w:rsidRPr="00112487" w:rsidR="005F7259">
        <w:rPr>
          <w:szCs w:val="27"/>
        </w:rPr>
        <w:t>p</w:t>
      </w:r>
      <w:r w:rsidRPr="00112487" w:rsidR="003240B6">
        <w:rPr>
          <w:szCs w:val="27"/>
        </w:rPr>
        <w:t>. </w:t>
      </w:r>
      <w:r w:rsidRPr="00112487" w:rsidR="005F7259">
        <w:rPr>
          <w:szCs w:val="27"/>
        </w:rPr>
        <w:t>222–223</w:t>
      </w:r>
      <w:r w:rsidRPr="00112487" w:rsidR="003240B6">
        <w:rPr>
          <w:szCs w:val="27"/>
        </w:rPr>
        <w:t>.)</w:t>
      </w:r>
    </w:p>
    <w:p w:rsidR="005B1AAD" w:rsidRPr="00112487" w:rsidP="00A25E48" w14:paraId="679C7917" w14:textId="77777777">
      <w:pPr>
        <w:ind w:firstLine="720"/>
        <w:rPr>
          <w:szCs w:val="27"/>
        </w:rPr>
      </w:pPr>
      <w:r w:rsidRPr="00112487">
        <w:rPr>
          <w:szCs w:val="27"/>
        </w:rPr>
        <w:t xml:space="preserve">Kaiser’s primary insurers included </w:t>
      </w:r>
      <w:r w:rsidRPr="00112487" w:rsidR="003E31EB">
        <w:rPr>
          <w:szCs w:val="27"/>
        </w:rPr>
        <w:t>Fireman’s Fund Insurance Company</w:t>
      </w:r>
      <w:r w:rsidRPr="00112487" w:rsidR="002B0D34">
        <w:rPr>
          <w:szCs w:val="27"/>
        </w:rPr>
        <w:t xml:space="preserve"> (Fireman’s Fund)</w:t>
      </w:r>
      <w:r w:rsidRPr="00112487">
        <w:rPr>
          <w:szCs w:val="27"/>
        </w:rPr>
        <w:t xml:space="preserve"> (1947</w:t>
      </w:r>
      <w:r w:rsidR="000B3428">
        <w:rPr>
          <w:szCs w:val="27"/>
        </w:rPr>
        <w:t>–</w:t>
      </w:r>
      <w:r w:rsidRPr="00112487">
        <w:rPr>
          <w:szCs w:val="27"/>
        </w:rPr>
        <w:t>1964),</w:t>
      </w:r>
      <w:r w:rsidRPr="00112487" w:rsidR="003E31EB">
        <w:rPr>
          <w:szCs w:val="27"/>
        </w:rPr>
        <w:t xml:space="preserve"> Truck (1964 to 1983)</w:t>
      </w:r>
      <w:r w:rsidRPr="00112487" w:rsidR="00F10408">
        <w:rPr>
          <w:szCs w:val="27"/>
        </w:rPr>
        <w:t>,</w:t>
      </w:r>
      <w:r w:rsidRPr="00112487" w:rsidR="003E31EB">
        <w:rPr>
          <w:szCs w:val="27"/>
        </w:rPr>
        <w:t xml:space="preserve"> Home Insurance Company</w:t>
      </w:r>
      <w:r w:rsidRPr="00112487" w:rsidR="00B76525">
        <w:rPr>
          <w:szCs w:val="27"/>
        </w:rPr>
        <w:t xml:space="preserve"> </w:t>
      </w:r>
      <w:r w:rsidRPr="00112487">
        <w:rPr>
          <w:szCs w:val="27"/>
        </w:rPr>
        <w:t>(1983</w:t>
      </w:r>
      <w:r w:rsidR="008752B0">
        <w:rPr>
          <w:szCs w:val="27"/>
        </w:rPr>
        <w:t>–</w:t>
      </w:r>
      <w:r w:rsidRPr="00112487">
        <w:rPr>
          <w:szCs w:val="27"/>
        </w:rPr>
        <w:t>1985) and National Union Fire Insurance Company (1985</w:t>
      </w:r>
      <w:r w:rsidR="008752B0">
        <w:rPr>
          <w:szCs w:val="27"/>
        </w:rPr>
        <w:t>–</w:t>
      </w:r>
      <w:r w:rsidRPr="00112487">
        <w:rPr>
          <w:szCs w:val="27"/>
        </w:rPr>
        <w:t xml:space="preserve">1987). </w:t>
      </w:r>
      <w:r w:rsidRPr="00112487" w:rsidR="00773F1A">
        <w:rPr>
          <w:szCs w:val="27"/>
        </w:rPr>
        <w:t xml:space="preserve"> </w:t>
      </w:r>
      <w:r w:rsidRPr="00112487" w:rsidR="00477B7D">
        <w:rPr>
          <w:szCs w:val="27"/>
        </w:rPr>
        <w:t xml:space="preserve">The primary policy that Truck issued for the </w:t>
      </w:r>
      <w:r w:rsidRPr="00112487" w:rsidR="00B76525">
        <w:rPr>
          <w:szCs w:val="27"/>
        </w:rPr>
        <w:t>1974–1975 p</w:t>
      </w:r>
      <w:r w:rsidRPr="00112487" w:rsidR="00F30EBA">
        <w:rPr>
          <w:szCs w:val="27"/>
        </w:rPr>
        <w:t xml:space="preserve">eriod </w:t>
      </w:r>
      <w:r w:rsidRPr="00112487" w:rsidR="00B76525">
        <w:rPr>
          <w:szCs w:val="27"/>
        </w:rPr>
        <w:t>provide</w:t>
      </w:r>
      <w:r w:rsidRPr="00112487" w:rsidR="00F30EBA">
        <w:rPr>
          <w:szCs w:val="27"/>
        </w:rPr>
        <w:t xml:space="preserve">d </w:t>
      </w:r>
      <w:r w:rsidRPr="00112487" w:rsidR="00B76525">
        <w:rPr>
          <w:szCs w:val="27"/>
        </w:rPr>
        <w:t>a “per occurrence</w:t>
      </w:r>
      <w:r w:rsidRPr="00112487" w:rsidR="000326FB">
        <w:rPr>
          <w:szCs w:val="27"/>
        </w:rPr>
        <w:t>”</w:t>
      </w:r>
      <w:r w:rsidRPr="00112487" w:rsidR="00B76525">
        <w:rPr>
          <w:szCs w:val="27"/>
        </w:rPr>
        <w:t xml:space="preserve"> limit</w:t>
      </w:r>
      <w:r w:rsidRPr="00112487" w:rsidR="00F30EBA">
        <w:rPr>
          <w:szCs w:val="27"/>
        </w:rPr>
        <w:t xml:space="preserve"> of $500,000</w:t>
      </w:r>
      <w:r w:rsidRPr="00112487" w:rsidR="009A2A4D">
        <w:rPr>
          <w:szCs w:val="27"/>
        </w:rPr>
        <w:t xml:space="preserve">, meaning that Truck would provide up to $500,000 of coverage for each claim alleging injurious exposure to asbestos. </w:t>
      </w:r>
      <w:r w:rsidRPr="00112487" w:rsidR="00477B7D">
        <w:rPr>
          <w:szCs w:val="27"/>
        </w:rPr>
        <w:t xml:space="preserve"> However, </w:t>
      </w:r>
      <w:r w:rsidRPr="00112487" w:rsidR="00F705DE">
        <w:rPr>
          <w:szCs w:val="27"/>
        </w:rPr>
        <w:t>the policy</w:t>
      </w:r>
      <w:r w:rsidRPr="00112487" w:rsidR="00477B7D">
        <w:rPr>
          <w:szCs w:val="27"/>
        </w:rPr>
        <w:t xml:space="preserve"> did not include </w:t>
      </w:r>
      <w:r w:rsidRPr="00112487" w:rsidR="00F30EBA">
        <w:rPr>
          <w:szCs w:val="27"/>
        </w:rPr>
        <w:t>any</w:t>
      </w:r>
      <w:r w:rsidRPr="00112487" w:rsidR="00B76525">
        <w:rPr>
          <w:szCs w:val="27"/>
        </w:rPr>
        <w:t xml:space="preserve"> aggregate limit of coverage.  </w:t>
      </w:r>
      <w:r w:rsidRPr="00112487" w:rsidR="00F30EBA">
        <w:rPr>
          <w:szCs w:val="27"/>
        </w:rPr>
        <w:t>In contrast, a</w:t>
      </w:r>
      <w:r w:rsidRPr="00112487" w:rsidR="00B76525">
        <w:rPr>
          <w:szCs w:val="27"/>
        </w:rPr>
        <w:t xml:space="preserve">ll </w:t>
      </w:r>
      <w:r w:rsidRPr="00112487" w:rsidR="00477B7D">
        <w:rPr>
          <w:szCs w:val="27"/>
        </w:rPr>
        <w:t xml:space="preserve">the primary policies issued by </w:t>
      </w:r>
      <w:r w:rsidRPr="00112487" w:rsidR="00B76525">
        <w:rPr>
          <w:szCs w:val="27"/>
        </w:rPr>
        <w:t xml:space="preserve">non-Truck </w:t>
      </w:r>
      <w:r w:rsidRPr="00112487" w:rsidR="00477B7D">
        <w:rPr>
          <w:szCs w:val="27"/>
        </w:rPr>
        <w:t xml:space="preserve">insurers </w:t>
      </w:r>
      <w:r w:rsidRPr="00112487" w:rsidR="00B76525">
        <w:rPr>
          <w:i/>
          <w:iCs/>
          <w:szCs w:val="27"/>
        </w:rPr>
        <w:t>did</w:t>
      </w:r>
      <w:r w:rsidRPr="00112487" w:rsidR="00B76525">
        <w:rPr>
          <w:szCs w:val="27"/>
        </w:rPr>
        <w:t xml:space="preserve"> contain an aggregate limit on coverage.  </w:t>
      </w:r>
    </w:p>
    <w:p w:rsidR="00B70BD2" w:rsidRPr="00112487" w:rsidP="00A25E48" w14:paraId="679C7918" w14:textId="77777777">
      <w:pPr>
        <w:ind w:firstLine="720"/>
        <w:rPr>
          <w:szCs w:val="27"/>
        </w:rPr>
      </w:pPr>
      <w:r w:rsidRPr="00112487">
        <w:rPr>
          <w:szCs w:val="27"/>
        </w:rPr>
        <w:t xml:space="preserve">Kaiser also </w:t>
      </w:r>
      <w:r w:rsidRPr="00112487" w:rsidR="00B17C96">
        <w:rPr>
          <w:szCs w:val="27"/>
        </w:rPr>
        <w:t xml:space="preserve">obtained </w:t>
      </w:r>
      <w:r w:rsidRPr="00112487" w:rsidR="009F3A7A">
        <w:rPr>
          <w:szCs w:val="27"/>
        </w:rPr>
        <w:t xml:space="preserve">first-level </w:t>
      </w:r>
      <w:r w:rsidRPr="00112487" w:rsidR="00B17C96">
        <w:rPr>
          <w:szCs w:val="27"/>
        </w:rPr>
        <w:t>excess policies</w:t>
      </w:r>
      <w:r w:rsidRPr="00112487" w:rsidR="003774F7">
        <w:rPr>
          <w:szCs w:val="27"/>
        </w:rPr>
        <w:t xml:space="preserve"> </w:t>
      </w:r>
      <w:r w:rsidRPr="00112487" w:rsidR="00C24618">
        <w:rPr>
          <w:szCs w:val="27"/>
        </w:rPr>
        <w:t xml:space="preserve">from </w:t>
      </w:r>
      <w:r w:rsidRPr="00112487" w:rsidR="000C75C0">
        <w:rPr>
          <w:szCs w:val="27"/>
        </w:rPr>
        <w:t xml:space="preserve">multiple </w:t>
      </w:r>
      <w:r w:rsidRPr="00112487" w:rsidR="00477B7D">
        <w:rPr>
          <w:szCs w:val="27"/>
        </w:rPr>
        <w:t>insurer</w:t>
      </w:r>
      <w:r w:rsidRPr="00112487" w:rsidR="00C24618">
        <w:rPr>
          <w:szCs w:val="27"/>
        </w:rPr>
        <w:t>s.</w:t>
      </w:r>
      <w:r w:rsidRPr="00112487" w:rsidR="004F2CED">
        <w:rPr>
          <w:szCs w:val="27"/>
        </w:rPr>
        <w:t xml:space="preserve"> </w:t>
      </w:r>
      <w:r w:rsidRPr="00112487" w:rsidR="00C24618">
        <w:rPr>
          <w:szCs w:val="27"/>
        </w:rPr>
        <w:t xml:space="preserve"> </w:t>
      </w:r>
      <w:r w:rsidRPr="00112487" w:rsidR="00E3781A">
        <w:rPr>
          <w:szCs w:val="27"/>
        </w:rPr>
        <w:t xml:space="preserve">The </w:t>
      </w:r>
      <w:r w:rsidRPr="00112487" w:rsidR="00C24618">
        <w:rPr>
          <w:szCs w:val="27"/>
        </w:rPr>
        <w:t>first-level</w:t>
      </w:r>
      <w:r w:rsidRPr="00112487" w:rsidR="00F10408">
        <w:rPr>
          <w:szCs w:val="27"/>
        </w:rPr>
        <w:t xml:space="preserve"> excess</w:t>
      </w:r>
      <w:r w:rsidRPr="00112487" w:rsidR="00C24618">
        <w:rPr>
          <w:szCs w:val="27"/>
        </w:rPr>
        <w:t xml:space="preserve"> policies</w:t>
      </w:r>
      <w:r w:rsidRPr="00112487" w:rsidR="00E3781A">
        <w:rPr>
          <w:szCs w:val="27"/>
        </w:rPr>
        <w:t xml:space="preserve"> that are</w:t>
      </w:r>
      <w:r w:rsidRPr="00112487" w:rsidR="009F3A7A">
        <w:rPr>
          <w:szCs w:val="27"/>
        </w:rPr>
        <w:t xml:space="preserve"> the subject of Truck’s contribution claim </w:t>
      </w:r>
      <w:r w:rsidRPr="00112487" w:rsidR="005F7259">
        <w:rPr>
          <w:szCs w:val="27"/>
        </w:rPr>
        <w:t xml:space="preserve">were </w:t>
      </w:r>
      <w:r w:rsidRPr="00112487" w:rsidR="00C24618">
        <w:rPr>
          <w:szCs w:val="27"/>
        </w:rPr>
        <w:t xml:space="preserve">issued </w:t>
      </w:r>
      <w:r w:rsidRPr="00112487" w:rsidR="00477B7D">
        <w:rPr>
          <w:szCs w:val="27"/>
        </w:rPr>
        <w:t xml:space="preserve">for policy </w:t>
      </w:r>
      <w:r w:rsidRPr="00112487" w:rsidR="00C24618">
        <w:rPr>
          <w:szCs w:val="27"/>
        </w:rPr>
        <w:t>year</w:t>
      </w:r>
      <w:r w:rsidRPr="00112487">
        <w:rPr>
          <w:szCs w:val="27"/>
        </w:rPr>
        <w:t>s</w:t>
      </w:r>
      <w:r w:rsidRPr="00112487" w:rsidR="00C24618">
        <w:rPr>
          <w:szCs w:val="27"/>
        </w:rPr>
        <w:t xml:space="preserve"> </w:t>
      </w:r>
      <w:r w:rsidRPr="00112487" w:rsidR="00477B7D">
        <w:rPr>
          <w:szCs w:val="27"/>
        </w:rPr>
        <w:t xml:space="preserve">in which </w:t>
      </w:r>
      <w:r w:rsidRPr="00112487" w:rsidR="003774F7">
        <w:rPr>
          <w:szCs w:val="27"/>
        </w:rPr>
        <w:t xml:space="preserve">Truck was not the primary </w:t>
      </w:r>
      <w:r w:rsidRPr="00112487" w:rsidR="00C24618">
        <w:rPr>
          <w:szCs w:val="27"/>
        </w:rPr>
        <w:t>insurer</w:t>
      </w:r>
      <w:r w:rsidRPr="00112487" w:rsidR="009F3A7A">
        <w:rPr>
          <w:szCs w:val="27"/>
        </w:rPr>
        <w:t xml:space="preserve">. </w:t>
      </w:r>
      <w:r w:rsidRPr="00112487" w:rsidR="00477B7D">
        <w:rPr>
          <w:szCs w:val="27"/>
        </w:rPr>
        <w:t xml:space="preserve"> </w:t>
      </w:r>
      <w:r w:rsidRPr="00112487">
        <w:rPr>
          <w:szCs w:val="27"/>
        </w:rPr>
        <w:t xml:space="preserve">London Market </w:t>
      </w:r>
      <w:r w:rsidRPr="00112487" w:rsidR="002B0D34">
        <w:rPr>
          <w:szCs w:val="27"/>
        </w:rPr>
        <w:t>I</w:t>
      </w:r>
      <w:r w:rsidRPr="00112487">
        <w:rPr>
          <w:szCs w:val="27"/>
        </w:rPr>
        <w:t>nsurers (LMI) provide</w:t>
      </w:r>
      <w:r w:rsidRPr="00112487" w:rsidR="00477B7D">
        <w:rPr>
          <w:szCs w:val="27"/>
        </w:rPr>
        <w:t>d</w:t>
      </w:r>
      <w:r w:rsidRPr="00112487">
        <w:rPr>
          <w:szCs w:val="27"/>
        </w:rPr>
        <w:t xml:space="preserve"> </w:t>
      </w:r>
      <w:r w:rsidRPr="00112487" w:rsidR="0088641F">
        <w:rPr>
          <w:szCs w:val="27"/>
        </w:rPr>
        <w:t>first</w:t>
      </w:r>
      <w:r w:rsidRPr="00112487" w:rsidR="00477B7D">
        <w:rPr>
          <w:szCs w:val="27"/>
        </w:rPr>
        <w:t xml:space="preserve">-level </w:t>
      </w:r>
      <w:r w:rsidRPr="00112487" w:rsidR="0088641F">
        <w:rPr>
          <w:szCs w:val="27"/>
        </w:rPr>
        <w:t xml:space="preserve">excess </w:t>
      </w:r>
      <w:r w:rsidRPr="00112487" w:rsidR="00477B7D">
        <w:rPr>
          <w:szCs w:val="27"/>
        </w:rPr>
        <w:t xml:space="preserve">policies during the years that </w:t>
      </w:r>
      <w:r w:rsidRPr="00112487" w:rsidR="0088641F">
        <w:rPr>
          <w:szCs w:val="27"/>
        </w:rPr>
        <w:t>Fireman’s Fund</w:t>
      </w:r>
      <w:r w:rsidRPr="00112487" w:rsidR="00477B7D">
        <w:rPr>
          <w:szCs w:val="27"/>
        </w:rPr>
        <w:t xml:space="preserve"> was the primary insurer (</w:t>
      </w:r>
      <w:r w:rsidRPr="00112487">
        <w:rPr>
          <w:szCs w:val="27"/>
        </w:rPr>
        <w:t>1947 to 1964</w:t>
      </w:r>
      <w:r w:rsidRPr="00112487" w:rsidR="00477B7D">
        <w:rPr>
          <w:szCs w:val="27"/>
        </w:rPr>
        <w:t>)</w:t>
      </w:r>
      <w:r w:rsidRPr="00112487" w:rsidR="00F10408">
        <w:rPr>
          <w:szCs w:val="27"/>
        </w:rPr>
        <w:t xml:space="preserve">, while </w:t>
      </w:r>
      <w:r w:rsidRPr="00112487">
        <w:rPr>
          <w:szCs w:val="27"/>
        </w:rPr>
        <w:t>First State</w:t>
      </w:r>
      <w:r w:rsidRPr="00112487" w:rsidR="008C2CE8">
        <w:rPr>
          <w:szCs w:val="27"/>
        </w:rPr>
        <w:t xml:space="preserve"> (1983</w:t>
      </w:r>
      <w:r w:rsidR="00B24FFD">
        <w:rPr>
          <w:szCs w:val="27"/>
        </w:rPr>
        <w:t>–</w:t>
      </w:r>
      <w:r w:rsidRPr="00112487" w:rsidR="008C2CE8">
        <w:rPr>
          <w:szCs w:val="27"/>
        </w:rPr>
        <w:t>1984) and Westchester Fire (1984</w:t>
      </w:r>
      <w:r w:rsidR="00B24FFD">
        <w:rPr>
          <w:szCs w:val="27"/>
        </w:rPr>
        <w:t>–</w:t>
      </w:r>
      <w:r w:rsidRPr="00112487" w:rsidR="008C2CE8">
        <w:rPr>
          <w:szCs w:val="27"/>
        </w:rPr>
        <w:t xml:space="preserve">1985) each </w:t>
      </w:r>
      <w:r w:rsidRPr="00112487">
        <w:rPr>
          <w:szCs w:val="27"/>
        </w:rPr>
        <w:t xml:space="preserve">provided a </w:t>
      </w:r>
      <w:r w:rsidRPr="00112487" w:rsidR="008C2CE8">
        <w:rPr>
          <w:szCs w:val="27"/>
        </w:rPr>
        <w:t xml:space="preserve">first-level excess </w:t>
      </w:r>
      <w:r w:rsidRPr="00112487">
        <w:rPr>
          <w:szCs w:val="27"/>
        </w:rPr>
        <w:t xml:space="preserve">policy </w:t>
      </w:r>
      <w:r w:rsidRPr="00112487" w:rsidR="00477B7D">
        <w:rPr>
          <w:szCs w:val="27"/>
        </w:rPr>
        <w:t xml:space="preserve">during the years that </w:t>
      </w:r>
      <w:r w:rsidRPr="00112487" w:rsidR="008C2CE8">
        <w:rPr>
          <w:szCs w:val="27"/>
        </w:rPr>
        <w:t>Home Insurance</w:t>
      </w:r>
      <w:r w:rsidRPr="00112487" w:rsidR="002B0D34">
        <w:rPr>
          <w:szCs w:val="27"/>
        </w:rPr>
        <w:t xml:space="preserve"> Company</w:t>
      </w:r>
      <w:r w:rsidRPr="00112487" w:rsidR="00477B7D">
        <w:rPr>
          <w:szCs w:val="27"/>
        </w:rPr>
        <w:t xml:space="preserve"> was the primary insurer</w:t>
      </w:r>
      <w:r w:rsidRPr="00112487">
        <w:rPr>
          <w:szCs w:val="27"/>
        </w:rPr>
        <w:t>.</w:t>
      </w:r>
    </w:p>
    <w:p w:rsidR="000A7312" w:rsidRPr="00112487" w:rsidP="00A25E48" w14:paraId="679C7919" w14:textId="77777777">
      <w:pPr>
        <w:ind w:firstLine="720"/>
        <w:rPr>
          <w:szCs w:val="27"/>
        </w:rPr>
      </w:pPr>
      <w:r w:rsidRPr="00112487">
        <w:rPr>
          <w:szCs w:val="27"/>
        </w:rPr>
        <w:t xml:space="preserve">Each of </w:t>
      </w:r>
      <w:r w:rsidRPr="00112487" w:rsidR="005F7259">
        <w:rPr>
          <w:szCs w:val="27"/>
        </w:rPr>
        <w:t>the first-level excess</w:t>
      </w:r>
      <w:r w:rsidRPr="00112487" w:rsidR="00B17C96">
        <w:rPr>
          <w:szCs w:val="27"/>
        </w:rPr>
        <w:t xml:space="preserve"> policies </w:t>
      </w:r>
      <w:r w:rsidRPr="00112487" w:rsidR="00ED0B87">
        <w:rPr>
          <w:szCs w:val="27"/>
        </w:rPr>
        <w:t xml:space="preserve">include language stating </w:t>
      </w:r>
      <w:r w:rsidRPr="00112487" w:rsidR="00B17C96">
        <w:rPr>
          <w:szCs w:val="27"/>
        </w:rPr>
        <w:t>that</w:t>
      </w:r>
      <w:r w:rsidRPr="00112487" w:rsidR="00EC05BC">
        <w:rPr>
          <w:szCs w:val="27"/>
        </w:rPr>
        <w:t xml:space="preserve"> coverage will not attach until</w:t>
      </w:r>
      <w:r w:rsidRPr="00112487" w:rsidR="00B17C96">
        <w:rPr>
          <w:szCs w:val="27"/>
        </w:rPr>
        <w:t xml:space="preserve"> Kaiser </w:t>
      </w:r>
      <w:r w:rsidRPr="00112487" w:rsidR="00EC05BC">
        <w:rPr>
          <w:szCs w:val="27"/>
        </w:rPr>
        <w:t xml:space="preserve">has </w:t>
      </w:r>
      <w:r w:rsidRPr="00112487" w:rsidR="00B17C96">
        <w:rPr>
          <w:szCs w:val="27"/>
        </w:rPr>
        <w:t>exhaust</w:t>
      </w:r>
      <w:r w:rsidRPr="00112487" w:rsidR="00EC05BC">
        <w:rPr>
          <w:szCs w:val="27"/>
        </w:rPr>
        <w:t>ed</w:t>
      </w:r>
      <w:r w:rsidRPr="00112487" w:rsidR="00B17C96">
        <w:rPr>
          <w:szCs w:val="27"/>
        </w:rPr>
        <w:t xml:space="preserve"> </w:t>
      </w:r>
      <w:r w:rsidRPr="00112487">
        <w:rPr>
          <w:szCs w:val="27"/>
        </w:rPr>
        <w:t xml:space="preserve">underlying </w:t>
      </w:r>
      <w:r w:rsidRPr="00112487" w:rsidR="00DD106F">
        <w:rPr>
          <w:szCs w:val="27"/>
        </w:rPr>
        <w:t xml:space="preserve">primary policies </w:t>
      </w:r>
      <w:r w:rsidRPr="00112487">
        <w:rPr>
          <w:szCs w:val="27"/>
        </w:rPr>
        <w:t xml:space="preserve">that are listed </w:t>
      </w:r>
      <w:r w:rsidRPr="00112487" w:rsidR="00DD106F">
        <w:rPr>
          <w:szCs w:val="27"/>
        </w:rPr>
        <w:t>in a schedule of underlying insurance</w:t>
      </w:r>
      <w:r w:rsidRPr="00112487" w:rsidR="00EC05BC">
        <w:rPr>
          <w:szCs w:val="27"/>
        </w:rPr>
        <w:t>.  The policies require</w:t>
      </w:r>
      <w:r w:rsidRPr="00112487" w:rsidR="00DD106F">
        <w:rPr>
          <w:szCs w:val="27"/>
        </w:rPr>
        <w:t xml:space="preserve"> Kaiser </w:t>
      </w:r>
      <w:r w:rsidRPr="00112487" w:rsidR="00EC05BC">
        <w:rPr>
          <w:szCs w:val="27"/>
        </w:rPr>
        <w:t xml:space="preserve">to </w:t>
      </w:r>
      <w:r w:rsidRPr="00112487" w:rsidR="00DD106F">
        <w:rPr>
          <w:szCs w:val="27"/>
        </w:rPr>
        <w:t>maintain those scheduled primary polic</w:t>
      </w:r>
      <w:r w:rsidR="009F6FA2">
        <w:rPr>
          <w:szCs w:val="27"/>
        </w:rPr>
        <w:t>i</w:t>
      </w:r>
      <w:r w:rsidRPr="00112487" w:rsidR="00DD106F">
        <w:rPr>
          <w:szCs w:val="27"/>
        </w:rPr>
        <w:t>es during the relevant period of coverage</w:t>
      </w:r>
      <w:r w:rsidRPr="00112487" w:rsidR="00ED0B87">
        <w:rPr>
          <w:szCs w:val="27"/>
        </w:rPr>
        <w:t>.</w:t>
      </w:r>
      <w:r w:rsidRPr="00112487" w:rsidR="00667967">
        <w:rPr>
          <w:szCs w:val="27"/>
        </w:rPr>
        <w:t xml:space="preserve">  </w:t>
      </w:r>
      <w:r w:rsidRPr="00112487">
        <w:rPr>
          <w:szCs w:val="27"/>
        </w:rPr>
        <w:t xml:space="preserve">Each </w:t>
      </w:r>
      <w:r w:rsidRPr="00112487" w:rsidR="00DD106F">
        <w:rPr>
          <w:szCs w:val="27"/>
        </w:rPr>
        <w:t>excess polic</w:t>
      </w:r>
      <w:r w:rsidRPr="00112487">
        <w:rPr>
          <w:szCs w:val="27"/>
        </w:rPr>
        <w:t xml:space="preserve">y </w:t>
      </w:r>
      <w:r w:rsidRPr="00112487" w:rsidR="00DD106F">
        <w:rPr>
          <w:szCs w:val="27"/>
        </w:rPr>
        <w:t>also</w:t>
      </w:r>
      <w:r w:rsidRPr="00112487" w:rsidR="00667967">
        <w:rPr>
          <w:szCs w:val="27"/>
        </w:rPr>
        <w:t xml:space="preserve"> include</w:t>
      </w:r>
      <w:r w:rsidRPr="00112487">
        <w:rPr>
          <w:szCs w:val="27"/>
        </w:rPr>
        <w:t>s a</w:t>
      </w:r>
      <w:r w:rsidRPr="00112487" w:rsidR="00AE1F0D">
        <w:rPr>
          <w:szCs w:val="27"/>
        </w:rPr>
        <w:t>n “other insurance”</w:t>
      </w:r>
      <w:r w:rsidRPr="00112487" w:rsidR="00667967">
        <w:rPr>
          <w:szCs w:val="27"/>
        </w:rPr>
        <w:t xml:space="preserve"> provision that</w:t>
      </w:r>
      <w:r w:rsidRPr="00112487" w:rsidR="00DD106F">
        <w:rPr>
          <w:szCs w:val="27"/>
        </w:rPr>
        <w:t xml:space="preserve"> state</w:t>
      </w:r>
      <w:r w:rsidRPr="00112487">
        <w:rPr>
          <w:szCs w:val="27"/>
        </w:rPr>
        <w:t>s</w:t>
      </w:r>
      <w:r w:rsidRPr="00112487" w:rsidR="00DD106F">
        <w:rPr>
          <w:szCs w:val="27"/>
        </w:rPr>
        <w:t xml:space="preserve">, in a variety of ways, that </w:t>
      </w:r>
      <w:r w:rsidRPr="00112487" w:rsidR="00AE1F0D">
        <w:rPr>
          <w:szCs w:val="27"/>
        </w:rPr>
        <w:t>the</w:t>
      </w:r>
      <w:r w:rsidRPr="00112487" w:rsidR="003A3DE1">
        <w:rPr>
          <w:szCs w:val="27"/>
        </w:rPr>
        <w:t xml:space="preserve"> insured must also exhaust</w:t>
      </w:r>
      <w:r w:rsidRPr="00112487" w:rsidR="00AE1F0D">
        <w:rPr>
          <w:szCs w:val="27"/>
        </w:rPr>
        <w:t xml:space="preserve"> any </w:t>
      </w:r>
      <w:r w:rsidRPr="00112487" w:rsidR="00DD106F">
        <w:rPr>
          <w:szCs w:val="27"/>
        </w:rPr>
        <w:t xml:space="preserve">“other insurance” </w:t>
      </w:r>
      <w:r w:rsidRPr="00112487" w:rsidR="00D10E58">
        <w:rPr>
          <w:szCs w:val="27"/>
        </w:rPr>
        <w:t>or “other underlying insurance</w:t>
      </w:r>
      <w:r w:rsidRPr="00112487" w:rsidR="004F2CED">
        <w:rPr>
          <w:szCs w:val="27"/>
        </w:rPr>
        <w:t>”</w:t>
      </w:r>
      <w:r w:rsidRPr="00112487" w:rsidR="00EC05BC">
        <w:rPr>
          <w:szCs w:val="27"/>
        </w:rPr>
        <w:t xml:space="preserve"> before the excess policy can be accessed</w:t>
      </w:r>
      <w:r w:rsidRPr="00112487" w:rsidR="003A3DE1">
        <w:rPr>
          <w:szCs w:val="27"/>
        </w:rPr>
        <w:t>.</w:t>
      </w:r>
      <w:r>
        <w:rPr>
          <w:rStyle w:val="FootnoteReference"/>
          <w:szCs w:val="27"/>
        </w:rPr>
        <w:footnoteReference w:id="6"/>
      </w:r>
    </w:p>
    <w:p w:rsidR="006D2879" w:rsidRPr="00112487" w:rsidP="002E7500" w14:paraId="679C791A" w14:textId="77777777">
      <w:pPr>
        <w:pStyle w:val="Heading2"/>
        <w:spacing w:before="0" w:line="400" w:lineRule="exact"/>
        <w:rPr>
          <w:szCs w:val="27"/>
        </w:rPr>
      </w:pPr>
      <w:r w:rsidRPr="00112487">
        <w:rPr>
          <w:i/>
          <w:iCs/>
          <w:szCs w:val="27"/>
        </w:rPr>
        <w:t>C.</w:t>
      </w:r>
      <w:r w:rsidRPr="00112487">
        <w:rPr>
          <w:i/>
          <w:iCs/>
          <w:szCs w:val="27"/>
        </w:rPr>
        <w:tab/>
        <w:t xml:space="preserve">Procedural History   </w:t>
      </w:r>
    </w:p>
    <w:p w:rsidR="006D3148" w:rsidRPr="00112487" w:rsidP="00A25E48" w14:paraId="679C791B" w14:textId="77777777">
      <w:pPr>
        <w:ind w:firstLine="720"/>
        <w:rPr>
          <w:szCs w:val="27"/>
        </w:rPr>
      </w:pPr>
      <w:r w:rsidRPr="00112487">
        <w:rPr>
          <w:szCs w:val="27"/>
        </w:rPr>
        <w:t xml:space="preserve">Kaiser </w:t>
      </w:r>
      <w:r w:rsidRPr="00112487" w:rsidR="00AA21D5">
        <w:rPr>
          <w:szCs w:val="27"/>
        </w:rPr>
        <w:t>assigned a</w:t>
      </w:r>
      <w:r w:rsidRPr="00112487" w:rsidR="00F77CA4">
        <w:rPr>
          <w:szCs w:val="27"/>
        </w:rPr>
        <w:t>ll</w:t>
      </w:r>
      <w:r w:rsidRPr="00112487" w:rsidR="006D2879">
        <w:rPr>
          <w:szCs w:val="27"/>
        </w:rPr>
        <w:t xml:space="preserve"> asbestos-related bodily injury</w:t>
      </w:r>
      <w:r w:rsidRPr="00112487" w:rsidR="00F77CA4">
        <w:rPr>
          <w:szCs w:val="27"/>
        </w:rPr>
        <w:t xml:space="preserve"> claims </w:t>
      </w:r>
      <w:r w:rsidRPr="00112487" w:rsidR="00D10E58">
        <w:rPr>
          <w:szCs w:val="27"/>
        </w:rPr>
        <w:t xml:space="preserve">that triggered </w:t>
      </w:r>
      <w:r w:rsidRPr="00112487" w:rsidR="00F77CA4">
        <w:rPr>
          <w:szCs w:val="27"/>
        </w:rPr>
        <w:t xml:space="preserve">Truck’s 1974 </w:t>
      </w:r>
      <w:r w:rsidRPr="00112487" w:rsidR="0088641F">
        <w:rPr>
          <w:szCs w:val="27"/>
        </w:rPr>
        <w:t xml:space="preserve">primary </w:t>
      </w:r>
      <w:r w:rsidRPr="00112487" w:rsidR="00F77CA4">
        <w:rPr>
          <w:szCs w:val="27"/>
        </w:rPr>
        <w:t>policy</w:t>
      </w:r>
      <w:r w:rsidRPr="00112487" w:rsidR="00CA5DF1">
        <w:rPr>
          <w:szCs w:val="27"/>
        </w:rPr>
        <w:t> —</w:t>
      </w:r>
      <w:r w:rsidRPr="00112487" w:rsidR="00DF31F8">
        <w:rPr>
          <w:szCs w:val="27"/>
        </w:rPr>
        <w:t xml:space="preserve"> </w:t>
      </w:r>
      <w:r w:rsidRPr="00112487" w:rsidR="006D2879">
        <w:rPr>
          <w:szCs w:val="27"/>
        </w:rPr>
        <w:t>which presum</w:t>
      </w:r>
      <w:r w:rsidRPr="00112487" w:rsidR="00F10408">
        <w:rPr>
          <w:szCs w:val="27"/>
        </w:rPr>
        <w:t>ably</w:t>
      </w:r>
      <w:r w:rsidRPr="00112487" w:rsidR="00D10E58">
        <w:rPr>
          <w:szCs w:val="27"/>
        </w:rPr>
        <w:t xml:space="preserve"> </w:t>
      </w:r>
      <w:r w:rsidRPr="00112487" w:rsidR="006D2879">
        <w:rPr>
          <w:szCs w:val="27"/>
        </w:rPr>
        <w:t>include</w:t>
      </w:r>
      <w:r w:rsidRPr="00112487" w:rsidR="00F10408">
        <w:rPr>
          <w:szCs w:val="27"/>
        </w:rPr>
        <w:t>s</w:t>
      </w:r>
      <w:r w:rsidRPr="00112487" w:rsidR="006D2879">
        <w:rPr>
          <w:szCs w:val="27"/>
        </w:rPr>
        <w:t xml:space="preserve"> </w:t>
      </w:r>
      <w:r w:rsidRPr="00112487" w:rsidR="00FE787D">
        <w:rPr>
          <w:szCs w:val="27"/>
        </w:rPr>
        <w:t>any claim</w:t>
      </w:r>
      <w:r w:rsidRPr="00112487" w:rsidR="00D10E58">
        <w:rPr>
          <w:szCs w:val="27"/>
        </w:rPr>
        <w:t>s</w:t>
      </w:r>
      <w:r w:rsidRPr="00112487" w:rsidR="00FE787D">
        <w:rPr>
          <w:szCs w:val="27"/>
        </w:rPr>
        <w:t xml:space="preserve"> alleging </w:t>
      </w:r>
      <w:r w:rsidRPr="00112487" w:rsidR="00DF31F8">
        <w:rPr>
          <w:szCs w:val="27"/>
        </w:rPr>
        <w:t xml:space="preserve">that the </w:t>
      </w:r>
      <w:r w:rsidRPr="00112487" w:rsidR="00D10E58">
        <w:rPr>
          <w:szCs w:val="27"/>
        </w:rPr>
        <w:t xml:space="preserve">claimant’s </w:t>
      </w:r>
      <w:r w:rsidRPr="00112487" w:rsidR="00E20FEB">
        <w:rPr>
          <w:szCs w:val="27"/>
        </w:rPr>
        <w:t xml:space="preserve">initial </w:t>
      </w:r>
      <w:r w:rsidRPr="00112487" w:rsidR="00DF31F8">
        <w:rPr>
          <w:szCs w:val="27"/>
        </w:rPr>
        <w:t xml:space="preserve">exposure to </w:t>
      </w:r>
      <w:r w:rsidRPr="00112487" w:rsidR="009E4BF9">
        <w:rPr>
          <w:szCs w:val="27"/>
        </w:rPr>
        <w:t xml:space="preserve">asbestos </w:t>
      </w:r>
      <w:r w:rsidRPr="00112487" w:rsidR="00DF31F8">
        <w:rPr>
          <w:szCs w:val="27"/>
        </w:rPr>
        <w:t xml:space="preserve">occurred </w:t>
      </w:r>
      <w:r w:rsidRPr="00112487">
        <w:rPr>
          <w:szCs w:val="27"/>
        </w:rPr>
        <w:t xml:space="preserve">in or before </w:t>
      </w:r>
      <w:r w:rsidRPr="00112487" w:rsidR="006D2879">
        <w:rPr>
          <w:szCs w:val="27"/>
        </w:rPr>
        <w:t>1974</w:t>
      </w:r>
      <w:r w:rsidRPr="00112487" w:rsidR="00DA2F54">
        <w:rPr>
          <w:szCs w:val="27"/>
        </w:rPr>
        <w:t xml:space="preserve"> </w:t>
      </w:r>
      <w:r w:rsidRPr="00112487" w:rsidR="005840AF">
        <w:rPr>
          <w:szCs w:val="27"/>
        </w:rPr>
        <w:t xml:space="preserve">(see </w:t>
      </w:r>
      <w:r w:rsidRPr="00112487" w:rsidR="005840AF">
        <w:rPr>
          <w:i/>
          <w:iCs/>
          <w:szCs w:val="27"/>
        </w:rPr>
        <w:t>ante</w:t>
      </w:r>
      <w:r w:rsidRPr="00112487" w:rsidR="005840AF">
        <w:rPr>
          <w:szCs w:val="27"/>
        </w:rPr>
        <w:t>, p. </w:t>
      </w:r>
      <w:r w:rsidR="00607FAF">
        <w:rPr>
          <w:szCs w:val="27"/>
        </w:rPr>
        <w:t>8</w:t>
      </w:r>
      <w:r w:rsidRPr="00112487" w:rsidR="005840AF">
        <w:rPr>
          <w:szCs w:val="27"/>
        </w:rPr>
        <w:t xml:space="preserve">, fn. </w:t>
      </w:r>
      <w:r w:rsidRPr="00112487" w:rsidR="005F3E6C">
        <w:rPr>
          <w:szCs w:val="27"/>
        </w:rPr>
        <w:t>3</w:t>
      </w:r>
      <w:r w:rsidRPr="00112487" w:rsidR="005840AF">
        <w:rPr>
          <w:szCs w:val="27"/>
        </w:rPr>
        <w:t>)</w:t>
      </w:r>
      <w:r w:rsidRPr="00112487" w:rsidR="00CA5DF1">
        <w:rPr>
          <w:szCs w:val="27"/>
        </w:rPr>
        <w:t> —</w:t>
      </w:r>
      <w:r w:rsidRPr="00112487" w:rsidR="00D10E58">
        <w:rPr>
          <w:szCs w:val="27"/>
        </w:rPr>
        <w:t xml:space="preserve"> to th</w:t>
      </w:r>
      <w:r w:rsidRPr="00112487" w:rsidR="00F10408">
        <w:rPr>
          <w:szCs w:val="27"/>
        </w:rPr>
        <w:t>e</w:t>
      </w:r>
      <w:r w:rsidRPr="00112487" w:rsidR="00D10E58">
        <w:rPr>
          <w:szCs w:val="27"/>
        </w:rPr>
        <w:t xml:space="preserve"> </w:t>
      </w:r>
      <w:r w:rsidRPr="00112487" w:rsidR="00F10408">
        <w:rPr>
          <w:szCs w:val="27"/>
        </w:rPr>
        <w:t xml:space="preserve">1974 </w:t>
      </w:r>
      <w:r w:rsidRPr="00112487" w:rsidR="00D10E58">
        <w:rPr>
          <w:szCs w:val="27"/>
        </w:rPr>
        <w:t>policy</w:t>
      </w:r>
      <w:r w:rsidRPr="00112487" w:rsidR="0088641F">
        <w:rPr>
          <w:szCs w:val="27"/>
        </w:rPr>
        <w:t>.</w:t>
      </w:r>
      <w:r w:rsidRPr="00112487">
        <w:rPr>
          <w:szCs w:val="27"/>
        </w:rPr>
        <w:t xml:space="preserve">  </w:t>
      </w:r>
      <w:r w:rsidRPr="00112487" w:rsidR="00DF31F8">
        <w:rPr>
          <w:szCs w:val="27"/>
        </w:rPr>
        <w:t xml:space="preserve">According to the excess insurers, Kaiser </w:t>
      </w:r>
      <w:r w:rsidRPr="00112487" w:rsidR="006B652D">
        <w:rPr>
          <w:szCs w:val="27"/>
        </w:rPr>
        <w:t>selected</w:t>
      </w:r>
      <w:r w:rsidRPr="00112487" w:rsidR="00DF31F8">
        <w:rPr>
          <w:szCs w:val="27"/>
        </w:rPr>
        <w:t xml:space="preserve"> Truck’s 1974 policy because it “has no aggregate limit, does not require Kaiser to pay an allocated share of defense (like Truck’s other primary policies), and . . . has the lowest deductible per occurrence ($5,000).” </w:t>
      </w:r>
      <w:r w:rsidRPr="00112487" w:rsidR="00D10E58">
        <w:rPr>
          <w:szCs w:val="27"/>
        </w:rPr>
        <w:t xml:space="preserve"> </w:t>
      </w:r>
      <w:r w:rsidRPr="00112487">
        <w:rPr>
          <w:szCs w:val="27"/>
        </w:rPr>
        <w:t xml:space="preserve">Truck subsequently entered into agreements with </w:t>
      </w:r>
      <w:r w:rsidRPr="00112487" w:rsidR="006D2879">
        <w:rPr>
          <w:szCs w:val="27"/>
        </w:rPr>
        <w:t xml:space="preserve">the other primary insurers </w:t>
      </w:r>
      <w:r w:rsidRPr="00112487">
        <w:rPr>
          <w:szCs w:val="27"/>
        </w:rPr>
        <w:t>to share defense and indemnity costs.</w:t>
      </w:r>
    </w:p>
    <w:p w:rsidR="00E26B09" w:rsidRPr="00112487" w:rsidP="002E7500" w14:paraId="679C791C" w14:textId="77777777">
      <w:pPr>
        <w:pStyle w:val="Heading3"/>
        <w:numPr>
          <w:ilvl w:val="0"/>
          <w:numId w:val="18"/>
        </w:numPr>
        <w:spacing w:before="0" w:line="400" w:lineRule="exact"/>
        <w:ind w:left="1584" w:hanging="432"/>
        <w:rPr>
          <w:szCs w:val="27"/>
        </w:rPr>
      </w:pPr>
      <w:r w:rsidRPr="002E7500">
        <w:rPr>
          <w:i w:val="0"/>
          <w:szCs w:val="27"/>
        </w:rPr>
        <w:t xml:space="preserve">Kaiser Cement </w:t>
      </w:r>
      <w:r w:rsidR="002E7500">
        <w:rPr>
          <w:i w:val="0"/>
          <w:szCs w:val="27"/>
        </w:rPr>
        <w:t>and</w:t>
      </w:r>
      <w:r w:rsidRPr="002E7500">
        <w:rPr>
          <w:i w:val="0"/>
          <w:szCs w:val="27"/>
        </w:rPr>
        <w:t xml:space="preserve"> Gypsum Corp. v. Insurance Co. of Pennsylvania</w:t>
      </w:r>
      <w:r w:rsidRPr="00112487">
        <w:rPr>
          <w:szCs w:val="27"/>
        </w:rPr>
        <w:t xml:space="preserve"> (Apr</w:t>
      </w:r>
      <w:r w:rsidR="00DA0715">
        <w:rPr>
          <w:szCs w:val="27"/>
        </w:rPr>
        <w:t>.</w:t>
      </w:r>
      <w:r w:rsidRPr="00112487">
        <w:rPr>
          <w:szCs w:val="27"/>
        </w:rPr>
        <w:t xml:space="preserve"> 8, 2013</w:t>
      </w:r>
      <w:r w:rsidR="00FB7ED3">
        <w:rPr>
          <w:szCs w:val="27"/>
        </w:rPr>
        <w:t>,</w:t>
      </w:r>
      <w:r w:rsidRPr="00112487">
        <w:rPr>
          <w:szCs w:val="27"/>
        </w:rPr>
        <w:t xml:space="preserve"> B22231</w:t>
      </w:r>
      <w:r w:rsidRPr="00112487" w:rsidR="008E203F">
        <w:rPr>
          <w:szCs w:val="27"/>
        </w:rPr>
        <w:t>0</w:t>
      </w:r>
      <w:r w:rsidR="00FB7ED3">
        <w:rPr>
          <w:szCs w:val="27"/>
        </w:rPr>
        <w:t>) (nonpub. opn.)</w:t>
      </w:r>
    </w:p>
    <w:p w:rsidR="004A05AE" w:rsidRPr="00112487" w:rsidP="00A25E48" w14:paraId="679C791D" w14:textId="77777777">
      <w:pPr>
        <w:ind w:firstLine="720"/>
        <w:rPr>
          <w:szCs w:val="27"/>
        </w:rPr>
      </w:pPr>
      <w:r w:rsidRPr="00112487">
        <w:rPr>
          <w:szCs w:val="27"/>
        </w:rPr>
        <w:t>Truck initiated this litigation in 2001</w:t>
      </w:r>
      <w:r w:rsidRPr="00112487" w:rsidR="006D2879">
        <w:rPr>
          <w:szCs w:val="27"/>
        </w:rPr>
        <w:t xml:space="preserve"> to determine its coverage obligations to Kaiser</w:t>
      </w:r>
      <w:r w:rsidRPr="00112487">
        <w:rPr>
          <w:szCs w:val="27"/>
        </w:rPr>
        <w:t xml:space="preserve">.  </w:t>
      </w:r>
      <w:r w:rsidRPr="00112487" w:rsidR="00691F4A">
        <w:rPr>
          <w:szCs w:val="27"/>
        </w:rPr>
        <w:t>In</w:t>
      </w:r>
      <w:r w:rsidRPr="00112487" w:rsidR="00DF31F8">
        <w:rPr>
          <w:szCs w:val="27"/>
        </w:rPr>
        <w:t xml:space="preserve"> a prior appeal,</w:t>
      </w:r>
      <w:r w:rsidRPr="00112487" w:rsidR="00691F4A">
        <w:rPr>
          <w:szCs w:val="27"/>
        </w:rPr>
        <w:t xml:space="preserve"> </w:t>
      </w:r>
      <w:r w:rsidRPr="00112487" w:rsidR="00691F4A">
        <w:rPr>
          <w:i/>
          <w:iCs/>
          <w:szCs w:val="27"/>
        </w:rPr>
        <w:t xml:space="preserve">Kaiser Cement </w:t>
      </w:r>
      <w:r w:rsidR="00BD06DC">
        <w:rPr>
          <w:i/>
          <w:iCs/>
          <w:szCs w:val="27"/>
        </w:rPr>
        <w:t>and</w:t>
      </w:r>
      <w:r w:rsidRPr="00112487" w:rsidR="00691F4A">
        <w:rPr>
          <w:i/>
          <w:iCs/>
          <w:szCs w:val="27"/>
        </w:rPr>
        <w:t xml:space="preserve"> Gypsum Corp. v. Insurance Co. of Pennsylvania</w:t>
      </w:r>
      <w:r w:rsidRPr="00112487" w:rsidR="005F4243">
        <w:rPr>
          <w:szCs w:val="27"/>
        </w:rPr>
        <w:t xml:space="preserve"> (Apr</w:t>
      </w:r>
      <w:r w:rsidR="001979A9">
        <w:rPr>
          <w:szCs w:val="27"/>
        </w:rPr>
        <w:t>.</w:t>
      </w:r>
      <w:r w:rsidRPr="00112487" w:rsidR="005F4243">
        <w:rPr>
          <w:szCs w:val="27"/>
        </w:rPr>
        <w:t xml:space="preserve"> 8, 2013</w:t>
      </w:r>
      <w:r w:rsidR="000C2954">
        <w:rPr>
          <w:szCs w:val="27"/>
        </w:rPr>
        <w:t>,</w:t>
      </w:r>
      <w:r w:rsidRPr="00112487" w:rsidR="005F4243">
        <w:rPr>
          <w:szCs w:val="27"/>
        </w:rPr>
        <w:t xml:space="preserve"> B22231</w:t>
      </w:r>
      <w:r w:rsidRPr="00112487" w:rsidR="003475BD">
        <w:rPr>
          <w:szCs w:val="27"/>
        </w:rPr>
        <w:t>0</w:t>
      </w:r>
      <w:r w:rsidR="000C2954">
        <w:rPr>
          <w:szCs w:val="27"/>
        </w:rPr>
        <w:t>)</w:t>
      </w:r>
      <w:r w:rsidRPr="00112487" w:rsidR="005F4243">
        <w:rPr>
          <w:szCs w:val="27"/>
        </w:rPr>
        <w:t xml:space="preserve"> </w:t>
      </w:r>
      <w:r w:rsidR="000C2954">
        <w:rPr>
          <w:szCs w:val="27"/>
        </w:rPr>
        <w:t>(</w:t>
      </w:r>
      <w:r w:rsidRPr="00112487" w:rsidR="005F4243">
        <w:rPr>
          <w:szCs w:val="27"/>
        </w:rPr>
        <w:t>review den. and opn. ordered nonpub. July 17, 20</w:t>
      </w:r>
      <w:r w:rsidR="005A582F">
        <w:rPr>
          <w:szCs w:val="27"/>
        </w:rPr>
        <w:t>1</w:t>
      </w:r>
      <w:r w:rsidRPr="00112487" w:rsidR="005F4243">
        <w:rPr>
          <w:szCs w:val="27"/>
        </w:rPr>
        <w:t>3</w:t>
      </w:r>
      <w:r w:rsidR="000C2954">
        <w:rPr>
          <w:szCs w:val="27"/>
        </w:rPr>
        <w:t>)</w:t>
      </w:r>
      <w:r w:rsidRPr="00112487" w:rsidR="005F4243">
        <w:rPr>
          <w:szCs w:val="27"/>
        </w:rPr>
        <w:t xml:space="preserve"> (</w:t>
      </w:r>
      <w:r w:rsidRPr="00112487" w:rsidR="005C7A90">
        <w:rPr>
          <w:i/>
          <w:iCs/>
          <w:szCs w:val="27"/>
        </w:rPr>
        <w:t>Kaiser Cement</w:t>
      </w:r>
      <w:r w:rsidRPr="00112487" w:rsidR="005F4243">
        <w:rPr>
          <w:szCs w:val="27"/>
        </w:rPr>
        <w:t>),</w:t>
      </w:r>
      <w:r w:rsidRPr="00112487" w:rsidR="00DF31F8">
        <w:rPr>
          <w:szCs w:val="27"/>
        </w:rPr>
        <w:t xml:space="preserve"> the </w:t>
      </w:r>
      <w:r w:rsidRPr="00112487" w:rsidR="00A076FE">
        <w:rPr>
          <w:szCs w:val="27"/>
        </w:rPr>
        <w:t xml:space="preserve">Court of Appeal </w:t>
      </w:r>
      <w:r w:rsidRPr="00112487">
        <w:rPr>
          <w:szCs w:val="27"/>
        </w:rPr>
        <w:t xml:space="preserve">decided two issues that </w:t>
      </w:r>
      <w:r w:rsidRPr="00112487" w:rsidR="00F801D2">
        <w:rPr>
          <w:szCs w:val="27"/>
        </w:rPr>
        <w:t xml:space="preserve">have relevance </w:t>
      </w:r>
      <w:r w:rsidRPr="00112487">
        <w:rPr>
          <w:szCs w:val="27"/>
        </w:rPr>
        <w:t>to the current dispute.</w:t>
      </w:r>
      <w:r>
        <w:rPr>
          <w:rStyle w:val="FootnoteReference"/>
          <w:szCs w:val="27"/>
        </w:rPr>
        <w:footnoteReference w:id="7"/>
      </w:r>
      <w:r w:rsidRPr="00112487" w:rsidR="00335936">
        <w:rPr>
          <w:szCs w:val="27"/>
        </w:rPr>
        <w:t xml:space="preserve"> </w:t>
      </w:r>
      <w:r w:rsidRPr="00112487">
        <w:rPr>
          <w:szCs w:val="27"/>
        </w:rPr>
        <w:t xml:space="preserve"> First, </w:t>
      </w:r>
      <w:r w:rsidRPr="00112487" w:rsidR="009C725E">
        <w:rPr>
          <w:szCs w:val="27"/>
        </w:rPr>
        <w:t xml:space="preserve">the court held that </w:t>
      </w:r>
      <w:r w:rsidRPr="00112487" w:rsidR="008411CA">
        <w:rPr>
          <w:szCs w:val="27"/>
        </w:rPr>
        <w:t xml:space="preserve">Kaiser </w:t>
      </w:r>
      <w:r w:rsidRPr="00112487" w:rsidR="009C725E">
        <w:rPr>
          <w:szCs w:val="27"/>
        </w:rPr>
        <w:t xml:space="preserve">could not </w:t>
      </w:r>
      <w:r w:rsidRPr="00112487" w:rsidR="008411CA">
        <w:rPr>
          <w:szCs w:val="27"/>
        </w:rPr>
        <w:t xml:space="preserve">access </w:t>
      </w:r>
      <w:r w:rsidRPr="00112487" w:rsidR="009C725E">
        <w:rPr>
          <w:szCs w:val="27"/>
        </w:rPr>
        <w:t>a 1974 first-level</w:t>
      </w:r>
      <w:r w:rsidRPr="00112487" w:rsidR="008411CA">
        <w:rPr>
          <w:szCs w:val="27"/>
        </w:rPr>
        <w:t xml:space="preserve"> </w:t>
      </w:r>
      <w:r w:rsidRPr="00112487">
        <w:rPr>
          <w:szCs w:val="27"/>
        </w:rPr>
        <w:t>excess policy</w:t>
      </w:r>
      <w:r w:rsidRPr="00112487" w:rsidR="009C725E">
        <w:rPr>
          <w:szCs w:val="27"/>
        </w:rPr>
        <w:t xml:space="preserve"> that sat over Truck’s 1974 primary policy until </w:t>
      </w:r>
      <w:r w:rsidRPr="00112487" w:rsidR="00F801D2">
        <w:rPr>
          <w:szCs w:val="27"/>
        </w:rPr>
        <w:t>Kaiser</w:t>
      </w:r>
      <w:r w:rsidRPr="00112487" w:rsidR="008411CA">
        <w:rPr>
          <w:szCs w:val="27"/>
        </w:rPr>
        <w:t xml:space="preserve"> </w:t>
      </w:r>
      <w:r w:rsidRPr="00112487">
        <w:rPr>
          <w:szCs w:val="27"/>
        </w:rPr>
        <w:t xml:space="preserve">had </w:t>
      </w:r>
      <w:r w:rsidRPr="00112487" w:rsidR="008411CA">
        <w:rPr>
          <w:szCs w:val="27"/>
        </w:rPr>
        <w:t xml:space="preserve">horizontally </w:t>
      </w:r>
      <w:r w:rsidRPr="00112487">
        <w:rPr>
          <w:szCs w:val="27"/>
        </w:rPr>
        <w:t xml:space="preserve">exhausted </w:t>
      </w:r>
      <w:r w:rsidRPr="00112487" w:rsidR="008411CA">
        <w:rPr>
          <w:szCs w:val="27"/>
        </w:rPr>
        <w:t xml:space="preserve">every </w:t>
      </w:r>
      <w:r w:rsidRPr="00112487">
        <w:rPr>
          <w:szCs w:val="27"/>
        </w:rPr>
        <w:t xml:space="preserve">primary </w:t>
      </w:r>
      <w:r w:rsidRPr="00112487" w:rsidR="008411CA">
        <w:rPr>
          <w:szCs w:val="27"/>
        </w:rPr>
        <w:t xml:space="preserve">policy issued during the </w:t>
      </w:r>
      <w:r w:rsidRPr="00112487" w:rsidR="00136D6E">
        <w:rPr>
          <w:szCs w:val="27"/>
        </w:rPr>
        <w:t xml:space="preserve">claimant’s </w:t>
      </w:r>
      <w:r w:rsidRPr="00112487" w:rsidR="008411CA">
        <w:rPr>
          <w:szCs w:val="27"/>
        </w:rPr>
        <w:t>period of continuous damage</w:t>
      </w:r>
      <w:r w:rsidRPr="00112487">
        <w:rPr>
          <w:szCs w:val="27"/>
        </w:rPr>
        <w:t xml:space="preserve">.  In support, the court relied on language in the </w:t>
      </w:r>
      <w:r w:rsidRPr="00112487" w:rsidR="00CE183D">
        <w:rPr>
          <w:szCs w:val="27"/>
        </w:rPr>
        <w:t xml:space="preserve">excess </w:t>
      </w:r>
      <w:r w:rsidRPr="00112487">
        <w:rPr>
          <w:szCs w:val="27"/>
        </w:rPr>
        <w:t xml:space="preserve">policy </w:t>
      </w:r>
      <w:r w:rsidRPr="00112487" w:rsidR="00F801D2">
        <w:rPr>
          <w:szCs w:val="27"/>
        </w:rPr>
        <w:t xml:space="preserve">stating </w:t>
      </w:r>
      <w:r w:rsidRPr="00112487" w:rsidR="00A076FE">
        <w:rPr>
          <w:szCs w:val="27"/>
        </w:rPr>
        <w:t xml:space="preserve">that </w:t>
      </w:r>
      <w:r w:rsidRPr="00112487" w:rsidR="006B652D">
        <w:rPr>
          <w:szCs w:val="27"/>
        </w:rPr>
        <w:t xml:space="preserve">the </w:t>
      </w:r>
      <w:r w:rsidRPr="00112487" w:rsidR="00F92217">
        <w:rPr>
          <w:szCs w:val="27"/>
        </w:rPr>
        <w:t xml:space="preserve">insurer’s </w:t>
      </w:r>
      <w:r w:rsidRPr="00112487" w:rsidR="00A076FE">
        <w:rPr>
          <w:szCs w:val="27"/>
        </w:rPr>
        <w:t>indemnity obligation</w:t>
      </w:r>
      <w:r w:rsidRPr="00112487" w:rsidR="006B652D">
        <w:rPr>
          <w:szCs w:val="27"/>
        </w:rPr>
        <w:t>s</w:t>
      </w:r>
      <w:r w:rsidRPr="00112487" w:rsidR="00A076FE">
        <w:rPr>
          <w:szCs w:val="27"/>
        </w:rPr>
        <w:t xml:space="preserve"> would attach upon exhaustion of Truck’s 1974 primary insurance plus the “</w:t>
      </w:r>
      <w:r w:rsidR="007138AE">
        <w:rPr>
          <w:szCs w:val="27"/>
        </w:rPr>
        <w:t> ‘ “</w:t>
      </w:r>
      <w:r w:rsidRPr="00112487" w:rsidR="00A076FE">
        <w:rPr>
          <w:szCs w:val="27"/>
        </w:rPr>
        <w:t>applicable limit(s) of any other underlying insurance collectible by the insured.</w:t>
      </w:r>
      <w:r w:rsidR="007138AE">
        <w:rPr>
          <w:szCs w:val="27"/>
        </w:rPr>
        <w:t>” ’ </w:t>
      </w:r>
      <w:r w:rsidRPr="00112487" w:rsidR="00A076FE">
        <w:rPr>
          <w:szCs w:val="27"/>
        </w:rPr>
        <w:t>”</w:t>
      </w:r>
      <w:r w:rsidR="006F0BC9">
        <w:rPr>
          <w:szCs w:val="27"/>
        </w:rPr>
        <w:t xml:space="preserve">  (Italics omitted.)</w:t>
      </w:r>
      <w:r w:rsidRPr="00112487" w:rsidR="00A076FE">
        <w:rPr>
          <w:szCs w:val="27"/>
        </w:rPr>
        <w:t xml:space="preserve">  </w:t>
      </w:r>
      <w:r w:rsidRPr="00112487" w:rsidR="000B239D">
        <w:rPr>
          <w:szCs w:val="27"/>
        </w:rPr>
        <w:t xml:space="preserve">Following the reasoning of </w:t>
      </w:r>
      <w:r w:rsidRPr="00112487" w:rsidR="00F801D2">
        <w:rPr>
          <w:i/>
          <w:iCs/>
          <w:szCs w:val="27"/>
        </w:rPr>
        <w:t>Community Redevelopment Agency v. Aetna Casualty &amp; Surety Co</w:t>
      </w:r>
      <w:r w:rsidRPr="00112487" w:rsidR="00F801D2">
        <w:rPr>
          <w:szCs w:val="27"/>
        </w:rPr>
        <w:t>. (1996) 50 Cal.App.4th 329 (</w:t>
      </w:r>
      <w:r w:rsidRPr="00112487" w:rsidR="00F801D2">
        <w:rPr>
          <w:i/>
          <w:iCs/>
          <w:szCs w:val="27"/>
        </w:rPr>
        <w:t>Community Redevelopment</w:t>
      </w:r>
      <w:r w:rsidRPr="00112487" w:rsidR="00F801D2">
        <w:rPr>
          <w:szCs w:val="27"/>
        </w:rPr>
        <w:t>)</w:t>
      </w:r>
      <w:r w:rsidRPr="00112487" w:rsidR="000B239D">
        <w:rPr>
          <w:szCs w:val="27"/>
        </w:rPr>
        <w:t xml:space="preserve"> — a case we discuss in more detail below — the court explained that the “policy’s reference to ‘any other underlying insurance’ necessarily means ‘whatever’ . . . </w:t>
      </w:r>
      <w:r w:rsidRPr="00112487" w:rsidR="00C975D5">
        <w:rPr>
          <w:szCs w:val="27"/>
        </w:rPr>
        <w:t xml:space="preserve">primary </w:t>
      </w:r>
      <w:r w:rsidRPr="00112487" w:rsidR="000B239D">
        <w:rPr>
          <w:szCs w:val="27"/>
        </w:rPr>
        <w:t>insurance is available to Kaiser — not, as Kaiser suggests, only that primary insurance that expressly covers the 1974 policy year.”</w:t>
      </w:r>
    </w:p>
    <w:p w:rsidR="00842021" w:rsidRPr="00112487" w:rsidP="00A25E48" w14:paraId="679C791E" w14:textId="77777777">
      <w:pPr>
        <w:ind w:firstLine="720"/>
        <w:rPr>
          <w:szCs w:val="27"/>
        </w:rPr>
      </w:pPr>
      <w:r w:rsidRPr="00112487">
        <w:rPr>
          <w:szCs w:val="27"/>
        </w:rPr>
        <w:t xml:space="preserve">Second, the court ruled that </w:t>
      </w:r>
      <w:r w:rsidRPr="00112487" w:rsidR="001035B1">
        <w:rPr>
          <w:szCs w:val="27"/>
        </w:rPr>
        <w:t>Truck</w:t>
      </w:r>
      <w:r w:rsidRPr="00112487">
        <w:rPr>
          <w:szCs w:val="27"/>
        </w:rPr>
        <w:t xml:space="preserve">’s 1974 primary policy included an anti-stacking provision that </w:t>
      </w:r>
      <w:r w:rsidRPr="00112487" w:rsidR="001035B1">
        <w:rPr>
          <w:szCs w:val="27"/>
        </w:rPr>
        <w:t>prohibit</w:t>
      </w:r>
      <w:r w:rsidRPr="00112487" w:rsidR="00E245AF">
        <w:rPr>
          <w:szCs w:val="27"/>
        </w:rPr>
        <w:t xml:space="preserve">ed </w:t>
      </w:r>
      <w:r w:rsidRPr="00112487" w:rsidR="001035B1">
        <w:rPr>
          <w:szCs w:val="27"/>
        </w:rPr>
        <w:t xml:space="preserve">Kaiser from obtaining coverage from any of the other primary policies </w:t>
      </w:r>
      <w:r w:rsidRPr="00112487" w:rsidR="00136D6E">
        <w:rPr>
          <w:szCs w:val="27"/>
        </w:rPr>
        <w:t xml:space="preserve">Truck had issued </w:t>
      </w:r>
      <w:r w:rsidRPr="00112487" w:rsidR="001035B1">
        <w:rPr>
          <w:szCs w:val="27"/>
        </w:rPr>
        <w:t xml:space="preserve">between 1964 </w:t>
      </w:r>
      <w:r w:rsidRPr="00112487" w:rsidR="00F92217">
        <w:rPr>
          <w:szCs w:val="27"/>
        </w:rPr>
        <w:t xml:space="preserve">and </w:t>
      </w:r>
      <w:r w:rsidRPr="00112487" w:rsidR="001035B1">
        <w:rPr>
          <w:szCs w:val="27"/>
        </w:rPr>
        <w:t>1983</w:t>
      </w:r>
      <w:r w:rsidRPr="00112487" w:rsidR="00E245AF">
        <w:rPr>
          <w:szCs w:val="27"/>
        </w:rPr>
        <w:t>.</w:t>
      </w:r>
      <w:r w:rsidRPr="00112487" w:rsidR="00DC6FC5">
        <w:rPr>
          <w:szCs w:val="27"/>
        </w:rPr>
        <w:t xml:space="preserve"> </w:t>
      </w:r>
      <w:r w:rsidRPr="00112487" w:rsidR="000B239D">
        <w:rPr>
          <w:szCs w:val="27"/>
        </w:rPr>
        <w:t xml:space="preserve"> Although the court acknowledged</w:t>
      </w:r>
      <w:r w:rsidRPr="00112487" w:rsidR="008411CA">
        <w:rPr>
          <w:szCs w:val="27"/>
        </w:rPr>
        <w:t xml:space="preserve"> </w:t>
      </w:r>
      <w:r w:rsidRPr="00112487" w:rsidR="00136D6E">
        <w:rPr>
          <w:szCs w:val="27"/>
        </w:rPr>
        <w:t xml:space="preserve">that </w:t>
      </w:r>
      <w:r w:rsidRPr="00112487" w:rsidR="008411CA">
        <w:rPr>
          <w:szCs w:val="27"/>
        </w:rPr>
        <w:t xml:space="preserve">insureds </w:t>
      </w:r>
      <w:r w:rsidRPr="00112487" w:rsidR="009C725E">
        <w:rPr>
          <w:szCs w:val="27"/>
        </w:rPr>
        <w:t xml:space="preserve">are </w:t>
      </w:r>
      <w:r w:rsidRPr="00112487" w:rsidR="008411CA">
        <w:rPr>
          <w:szCs w:val="27"/>
        </w:rPr>
        <w:t>generally</w:t>
      </w:r>
      <w:r w:rsidRPr="00112487" w:rsidR="009C725E">
        <w:rPr>
          <w:szCs w:val="27"/>
        </w:rPr>
        <w:t xml:space="preserve"> permitted to</w:t>
      </w:r>
      <w:r w:rsidRPr="00112487" w:rsidR="008411CA">
        <w:rPr>
          <w:szCs w:val="27"/>
        </w:rPr>
        <w:t xml:space="preserve"> stack successive policies</w:t>
      </w:r>
      <w:r w:rsidRPr="00112487" w:rsidR="007A5A4A">
        <w:rPr>
          <w:szCs w:val="27"/>
        </w:rPr>
        <w:t xml:space="preserve"> (see </w:t>
      </w:r>
      <w:r w:rsidRPr="00112487" w:rsidR="007A5A4A">
        <w:rPr>
          <w:i/>
          <w:iCs/>
          <w:szCs w:val="27"/>
        </w:rPr>
        <w:t>Continental</w:t>
      </w:r>
      <w:r w:rsidRPr="00112487" w:rsidR="007A5A4A">
        <w:rPr>
          <w:szCs w:val="27"/>
        </w:rPr>
        <w:t xml:space="preserve">, </w:t>
      </w:r>
      <w:r w:rsidRPr="00112487" w:rsidR="007A5A4A">
        <w:rPr>
          <w:i/>
          <w:iCs/>
          <w:szCs w:val="27"/>
        </w:rPr>
        <w:t>supra</w:t>
      </w:r>
      <w:r w:rsidRPr="00112487" w:rsidR="007A5A4A">
        <w:rPr>
          <w:szCs w:val="27"/>
        </w:rPr>
        <w:t>, 55 Cal.4th at</w:t>
      </w:r>
      <w:r w:rsidRPr="00112487" w:rsidR="00335936">
        <w:rPr>
          <w:szCs w:val="27"/>
        </w:rPr>
        <w:t xml:space="preserve"> </w:t>
      </w:r>
      <w:r w:rsidRPr="00112487" w:rsidR="007A5A4A">
        <w:rPr>
          <w:szCs w:val="27"/>
        </w:rPr>
        <w:t xml:space="preserve">p. 200; </w:t>
      </w:r>
      <w:r w:rsidRPr="00112487" w:rsidR="007A5A4A">
        <w:rPr>
          <w:i/>
          <w:iCs/>
          <w:szCs w:val="27"/>
        </w:rPr>
        <w:t>ante</w:t>
      </w:r>
      <w:r w:rsidRPr="00112487" w:rsidR="007A5A4A">
        <w:rPr>
          <w:szCs w:val="27"/>
        </w:rPr>
        <w:t>, at p</w:t>
      </w:r>
      <w:r w:rsidRPr="00112487" w:rsidR="00FE55E5">
        <w:rPr>
          <w:szCs w:val="27"/>
        </w:rPr>
        <w:t>p</w:t>
      </w:r>
      <w:r w:rsidRPr="00112487" w:rsidR="007A5A4A">
        <w:rPr>
          <w:szCs w:val="27"/>
        </w:rPr>
        <w:t>. </w:t>
      </w:r>
      <w:r w:rsidRPr="00112487" w:rsidR="005F3E6C">
        <w:rPr>
          <w:szCs w:val="27"/>
        </w:rPr>
        <w:t>8</w:t>
      </w:r>
      <w:r w:rsidRPr="00112487" w:rsidR="00FE55E5">
        <w:rPr>
          <w:szCs w:val="27"/>
        </w:rPr>
        <w:t>–</w:t>
      </w:r>
      <w:r w:rsidRPr="00112487" w:rsidR="005F3E6C">
        <w:rPr>
          <w:szCs w:val="27"/>
        </w:rPr>
        <w:t>9</w:t>
      </w:r>
      <w:r w:rsidRPr="00112487" w:rsidR="007A5A4A">
        <w:rPr>
          <w:szCs w:val="27"/>
        </w:rPr>
        <w:t>),</w:t>
      </w:r>
      <w:r w:rsidRPr="00112487" w:rsidR="008411CA">
        <w:rPr>
          <w:szCs w:val="27"/>
        </w:rPr>
        <w:t xml:space="preserve"> </w:t>
      </w:r>
      <w:r w:rsidRPr="00112487" w:rsidR="000B239D">
        <w:rPr>
          <w:szCs w:val="27"/>
        </w:rPr>
        <w:t xml:space="preserve">it reasoned that </w:t>
      </w:r>
      <w:r w:rsidRPr="00112487" w:rsidR="007A5A4A">
        <w:rPr>
          <w:szCs w:val="27"/>
        </w:rPr>
        <w:t>Truck</w:t>
      </w:r>
      <w:r w:rsidRPr="00112487" w:rsidR="009C725E">
        <w:rPr>
          <w:szCs w:val="27"/>
        </w:rPr>
        <w:t xml:space="preserve">’s </w:t>
      </w:r>
      <w:r w:rsidRPr="00112487" w:rsidR="00AC6180">
        <w:rPr>
          <w:szCs w:val="27"/>
        </w:rPr>
        <w:t>1974</w:t>
      </w:r>
      <w:r w:rsidRPr="00112487" w:rsidR="007A5A4A">
        <w:rPr>
          <w:szCs w:val="27"/>
        </w:rPr>
        <w:t xml:space="preserve"> </w:t>
      </w:r>
      <w:r w:rsidRPr="00112487" w:rsidR="008411CA">
        <w:rPr>
          <w:szCs w:val="27"/>
        </w:rPr>
        <w:t xml:space="preserve">policy </w:t>
      </w:r>
      <w:r w:rsidRPr="00112487" w:rsidR="007A5A4A">
        <w:rPr>
          <w:szCs w:val="27"/>
        </w:rPr>
        <w:t xml:space="preserve">contained language that </w:t>
      </w:r>
      <w:r w:rsidRPr="00112487" w:rsidR="008411CA">
        <w:rPr>
          <w:szCs w:val="27"/>
        </w:rPr>
        <w:t xml:space="preserve">expressly prohibited </w:t>
      </w:r>
      <w:r w:rsidRPr="00112487" w:rsidR="007A5A4A">
        <w:rPr>
          <w:szCs w:val="27"/>
        </w:rPr>
        <w:t xml:space="preserve">Kaiser from </w:t>
      </w:r>
      <w:r w:rsidRPr="00112487" w:rsidR="00F801D2">
        <w:rPr>
          <w:szCs w:val="27"/>
        </w:rPr>
        <w:t xml:space="preserve">receiving indemnification </w:t>
      </w:r>
      <w:r w:rsidRPr="00112487" w:rsidR="00CE183D">
        <w:rPr>
          <w:szCs w:val="27"/>
        </w:rPr>
        <w:t xml:space="preserve">from </w:t>
      </w:r>
      <w:r w:rsidRPr="00112487" w:rsidR="00F801D2">
        <w:rPr>
          <w:szCs w:val="27"/>
        </w:rPr>
        <w:t xml:space="preserve">any </w:t>
      </w:r>
      <w:r w:rsidRPr="00112487" w:rsidR="00136D6E">
        <w:rPr>
          <w:szCs w:val="27"/>
        </w:rPr>
        <w:t xml:space="preserve">other policy that </w:t>
      </w:r>
      <w:r w:rsidRPr="00112487" w:rsidR="007A5A4A">
        <w:rPr>
          <w:szCs w:val="27"/>
        </w:rPr>
        <w:t xml:space="preserve">Truck </w:t>
      </w:r>
      <w:r w:rsidRPr="00112487" w:rsidR="00136D6E">
        <w:rPr>
          <w:szCs w:val="27"/>
        </w:rPr>
        <w:t>had issued</w:t>
      </w:r>
      <w:r w:rsidRPr="00112487" w:rsidR="000B239D">
        <w:rPr>
          <w:szCs w:val="27"/>
        </w:rPr>
        <w:t>.</w:t>
      </w:r>
      <w:r w:rsidRPr="00112487" w:rsidR="00F801D2">
        <w:rPr>
          <w:szCs w:val="27"/>
        </w:rPr>
        <w:t xml:space="preserve">  </w:t>
      </w:r>
      <w:r w:rsidRPr="00112487" w:rsidR="00EE2D2A">
        <w:rPr>
          <w:szCs w:val="27"/>
        </w:rPr>
        <w:t xml:space="preserve">As a result of the </w:t>
      </w:r>
      <w:r w:rsidRPr="00112487" w:rsidR="00DC6FC5">
        <w:rPr>
          <w:szCs w:val="27"/>
        </w:rPr>
        <w:t xml:space="preserve">court’s </w:t>
      </w:r>
      <w:r w:rsidRPr="00112487" w:rsidR="00EE2D2A">
        <w:rPr>
          <w:szCs w:val="27"/>
        </w:rPr>
        <w:t xml:space="preserve">ruling, Truck’s total </w:t>
      </w:r>
      <w:r w:rsidRPr="00112487" w:rsidR="00FF6758">
        <w:rPr>
          <w:szCs w:val="27"/>
        </w:rPr>
        <w:t xml:space="preserve">indemnity </w:t>
      </w:r>
      <w:r w:rsidRPr="00112487" w:rsidR="00EE2D2A">
        <w:rPr>
          <w:szCs w:val="27"/>
        </w:rPr>
        <w:t>obligation</w:t>
      </w:r>
      <w:r w:rsidRPr="00112487" w:rsidR="00FF6758">
        <w:rPr>
          <w:szCs w:val="27"/>
        </w:rPr>
        <w:t xml:space="preserve"> </w:t>
      </w:r>
      <w:r w:rsidRPr="00112487" w:rsidR="00EE2D2A">
        <w:rPr>
          <w:szCs w:val="27"/>
        </w:rPr>
        <w:t>for each asbestos claim triggering the 1974 policy was</w:t>
      </w:r>
      <w:r w:rsidRPr="00112487" w:rsidR="00FF6758">
        <w:rPr>
          <w:szCs w:val="27"/>
        </w:rPr>
        <w:t xml:space="preserve"> only</w:t>
      </w:r>
      <w:r w:rsidRPr="00112487" w:rsidR="00EE2D2A">
        <w:rPr>
          <w:szCs w:val="27"/>
        </w:rPr>
        <w:t xml:space="preserve"> $500,000, which was substantially less than </w:t>
      </w:r>
      <w:r w:rsidRPr="00112487" w:rsidR="00216A7E">
        <w:rPr>
          <w:szCs w:val="27"/>
        </w:rPr>
        <w:t xml:space="preserve">the $8.3 million </w:t>
      </w:r>
      <w:r w:rsidRPr="00112487" w:rsidR="00F92217">
        <w:rPr>
          <w:szCs w:val="27"/>
        </w:rPr>
        <w:t xml:space="preserve">per claim </w:t>
      </w:r>
      <w:r w:rsidRPr="00112487" w:rsidR="00216A7E">
        <w:rPr>
          <w:szCs w:val="27"/>
        </w:rPr>
        <w:t xml:space="preserve">that the excess insurers </w:t>
      </w:r>
      <w:r w:rsidRPr="00112487" w:rsidR="00CA5DF1">
        <w:rPr>
          <w:szCs w:val="27"/>
        </w:rPr>
        <w:t>allege</w:t>
      </w:r>
      <w:r w:rsidRPr="00112487" w:rsidR="00216A7E">
        <w:rPr>
          <w:szCs w:val="27"/>
        </w:rPr>
        <w:t xml:space="preserve"> Truck </w:t>
      </w:r>
      <w:r w:rsidRPr="00112487" w:rsidR="00EE2D2A">
        <w:rPr>
          <w:szCs w:val="27"/>
        </w:rPr>
        <w:t xml:space="preserve">would have </w:t>
      </w:r>
      <w:r w:rsidRPr="00112487" w:rsidR="00216A7E">
        <w:rPr>
          <w:szCs w:val="27"/>
        </w:rPr>
        <w:t xml:space="preserve">been obligated to pay if </w:t>
      </w:r>
      <w:r w:rsidRPr="00112487" w:rsidR="00CE183D">
        <w:rPr>
          <w:szCs w:val="27"/>
        </w:rPr>
        <w:t xml:space="preserve">Kaiser was allowed to </w:t>
      </w:r>
      <w:r w:rsidRPr="00112487" w:rsidR="00216A7E">
        <w:rPr>
          <w:szCs w:val="27"/>
        </w:rPr>
        <w:t>stack</w:t>
      </w:r>
      <w:r w:rsidRPr="00112487" w:rsidR="00D37F73">
        <w:rPr>
          <w:szCs w:val="27"/>
        </w:rPr>
        <w:t xml:space="preserve"> </w:t>
      </w:r>
      <w:r w:rsidRPr="00112487" w:rsidR="00CE183D">
        <w:rPr>
          <w:szCs w:val="27"/>
        </w:rPr>
        <w:t xml:space="preserve">all 19 of </w:t>
      </w:r>
      <w:r w:rsidRPr="00112487" w:rsidR="00F801D2">
        <w:rPr>
          <w:szCs w:val="27"/>
        </w:rPr>
        <w:t>its</w:t>
      </w:r>
      <w:r w:rsidRPr="00112487" w:rsidR="00CE183D">
        <w:rPr>
          <w:szCs w:val="27"/>
        </w:rPr>
        <w:t xml:space="preserve"> </w:t>
      </w:r>
      <w:r w:rsidRPr="00112487" w:rsidR="00D37F73">
        <w:rPr>
          <w:szCs w:val="27"/>
        </w:rPr>
        <w:t>Truck policies</w:t>
      </w:r>
      <w:r w:rsidRPr="00112487" w:rsidR="00216A7E">
        <w:rPr>
          <w:szCs w:val="27"/>
        </w:rPr>
        <w:t>.</w:t>
      </w:r>
      <w:r w:rsidRPr="00112487" w:rsidR="00E05FA7">
        <w:rPr>
          <w:rStyle w:val="FootnoteReference"/>
          <w:szCs w:val="27"/>
        </w:rPr>
        <w:t xml:space="preserve"> </w:t>
      </w:r>
      <w:r w:rsidRPr="00112487" w:rsidR="00E245AF">
        <w:rPr>
          <w:szCs w:val="27"/>
        </w:rPr>
        <w:t xml:space="preserve">  </w:t>
      </w:r>
      <w:r w:rsidRPr="00112487" w:rsidR="00EE2D2A">
        <w:rPr>
          <w:szCs w:val="27"/>
        </w:rPr>
        <w:t xml:space="preserve">In subsequent litigation, it was </w:t>
      </w:r>
      <w:r w:rsidRPr="00112487" w:rsidR="00E245AF">
        <w:rPr>
          <w:szCs w:val="27"/>
        </w:rPr>
        <w:t>determined that</w:t>
      </w:r>
      <w:r w:rsidRPr="00112487">
        <w:rPr>
          <w:szCs w:val="27"/>
        </w:rPr>
        <w:t xml:space="preserve"> </w:t>
      </w:r>
      <w:r w:rsidRPr="00112487" w:rsidR="00EE2D2A">
        <w:rPr>
          <w:szCs w:val="27"/>
        </w:rPr>
        <w:t xml:space="preserve">all </w:t>
      </w:r>
      <w:r w:rsidRPr="00112487">
        <w:rPr>
          <w:szCs w:val="27"/>
        </w:rPr>
        <w:t xml:space="preserve">primary policies issued by non-Truck insurers </w:t>
      </w:r>
      <w:r w:rsidRPr="00112487" w:rsidR="00604804">
        <w:rPr>
          <w:szCs w:val="27"/>
        </w:rPr>
        <w:t xml:space="preserve">had been </w:t>
      </w:r>
      <w:r w:rsidRPr="00112487">
        <w:rPr>
          <w:szCs w:val="27"/>
        </w:rPr>
        <w:t>exhausted</w:t>
      </w:r>
      <w:r w:rsidRPr="00112487" w:rsidR="00FD03A5">
        <w:rPr>
          <w:szCs w:val="27"/>
        </w:rPr>
        <w:t xml:space="preserve"> as of 2004</w:t>
      </w:r>
      <w:r w:rsidRPr="00112487">
        <w:rPr>
          <w:szCs w:val="27"/>
        </w:rPr>
        <w:t xml:space="preserve">. </w:t>
      </w:r>
    </w:p>
    <w:p w:rsidR="003774F7" w:rsidRPr="00112487" w:rsidP="00A25E48" w14:paraId="679C791F" w14:textId="77777777">
      <w:pPr>
        <w:ind w:firstLine="720"/>
        <w:rPr>
          <w:szCs w:val="27"/>
        </w:rPr>
      </w:pPr>
      <w:r w:rsidRPr="00112487">
        <w:rPr>
          <w:szCs w:val="27"/>
        </w:rPr>
        <w:t>Thus, t</w:t>
      </w:r>
      <w:r w:rsidRPr="00112487" w:rsidR="0018386D">
        <w:rPr>
          <w:szCs w:val="27"/>
        </w:rPr>
        <w:t xml:space="preserve">he </w:t>
      </w:r>
      <w:r w:rsidRPr="00112487" w:rsidR="005C7A90">
        <w:rPr>
          <w:i/>
          <w:iCs/>
          <w:szCs w:val="27"/>
        </w:rPr>
        <w:t>Kaiser Cement</w:t>
      </w:r>
      <w:r w:rsidRPr="00112487" w:rsidR="005C7A90">
        <w:rPr>
          <w:szCs w:val="27"/>
        </w:rPr>
        <w:t xml:space="preserve"> </w:t>
      </w:r>
      <w:r w:rsidRPr="00112487" w:rsidR="00604804">
        <w:rPr>
          <w:szCs w:val="27"/>
        </w:rPr>
        <w:t>decision</w:t>
      </w:r>
      <w:r w:rsidRPr="00112487" w:rsidR="00EE6E66">
        <w:rPr>
          <w:szCs w:val="27"/>
        </w:rPr>
        <w:t xml:space="preserve"> </w:t>
      </w:r>
      <w:r w:rsidRPr="00112487">
        <w:rPr>
          <w:szCs w:val="27"/>
        </w:rPr>
        <w:t xml:space="preserve">had two important effects on the </w:t>
      </w:r>
      <w:r w:rsidRPr="00112487" w:rsidR="009766A1">
        <w:rPr>
          <w:szCs w:val="27"/>
        </w:rPr>
        <w:t>insurance coverage litigation</w:t>
      </w:r>
      <w:r w:rsidRPr="00112487">
        <w:rPr>
          <w:szCs w:val="27"/>
        </w:rPr>
        <w:t>.</w:t>
      </w:r>
      <w:r w:rsidRPr="00112487" w:rsidR="0018386D">
        <w:rPr>
          <w:szCs w:val="27"/>
        </w:rPr>
        <w:t xml:space="preserve">  First, the court’s interpretation of </w:t>
      </w:r>
      <w:r w:rsidRPr="00112487">
        <w:rPr>
          <w:szCs w:val="27"/>
        </w:rPr>
        <w:t xml:space="preserve">the “other insurance” provision in </w:t>
      </w:r>
      <w:r w:rsidRPr="00112487" w:rsidR="00F167D1">
        <w:rPr>
          <w:szCs w:val="27"/>
        </w:rPr>
        <w:t>Kaiser</w:t>
      </w:r>
      <w:r w:rsidRPr="00112487">
        <w:rPr>
          <w:szCs w:val="27"/>
        </w:rPr>
        <w:t>’</w:t>
      </w:r>
      <w:r w:rsidRPr="00112487" w:rsidR="00F167D1">
        <w:rPr>
          <w:szCs w:val="27"/>
        </w:rPr>
        <w:t xml:space="preserve">s </w:t>
      </w:r>
      <w:r w:rsidRPr="00112487" w:rsidR="0018386D">
        <w:rPr>
          <w:szCs w:val="27"/>
        </w:rPr>
        <w:t xml:space="preserve">1974 first-level excess </w:t>
      </w:r>
      <w:r w:rsidR="00FE1256">
        <w:rPr>
          <w:szCs w:val="27"/>
        </w:rPr>
        <w:t xml:space="preserve">policy </w:t>
      </w:r>
      <w:r w:rsidRPr="00112487" w:rsidR="0018386D">
        <w:rPr>
          <w:szCs w:val="27"/>
        </w:rPr>
        <w:t xml:space="preserve">effectively precluded </w:t>
      </w:r>
      <w:r w:rsidRPr="00112487">
        <w:rPr>
          <w:szCs w:val="27"/>
        </w:rPr>
        <w:t xml:space="preserve">Kaiser </w:t>
      </w:r>
      <w:r w:rsidRPr="00112487" w:rsidR="0018386D">
        <w:rPr>
          <w:szCs w:val="27"/>
        </w:rPr>
        <w:t xml:space="preserve">from accessing any </w:t>
      </w:r>
      <w:r w:rsidRPr="00112487">
        <w:rPr>
          <w:szCs w:val="27"/>
        </w:rPr>
        <w:t xml:space="preserve">of its </w:t>
      </w:r>
      <w:r w:rsidRPr="00112487" w:rsidR="0018386D">
        <w:rPr>
          <w:szCs w:val="27"/>
        </w:rPr>
        <w:t xml:space="preserve">excess insurance until it had exhausted </w:t>
      </w:r>
      <w:r w:rsidRPr="00112487">
        <w:rPr>
          <w:szCs w:val="27"/>
        </w:rPr>
        <w:t xml:space="preserve">every </w:t>
      </w:r>
      <w:r w:rsidRPr="00112487" w:rsidR="0018386D">
        <w:rPr>
          <w:szCs w:val="27"/>
        </w:rPr>
        <w:t xml:space="preserve">primary </w:t>
      </w:r>
      <w:r w:rsidRPr="00112487">
        <w:rPr>
          <w:szCs w:val="27"/>
        </w:rPr>
        <w:t xml:space="preserve">policy </w:t>
      </w:r>
      <w:r w:rsidRPr="00112487" w:rsidR="006461C0">
        <w:rPr>
          <w:szCs w:val="27"/>
        </w:rPr>
        <w:t>issued</w:t>
      </w:r>
      <w:r w:rsidRPr="00112487">
        <w:rPr>
          <w:szCs w:val="27"/>
        </w:rPr>
        <w:t xml:space="preserve"> during the period of continuous injury</w:t>
      </w:r>
      <w:r w:rsidRPr="00112487" w:rsidR="0018386D">
        <w:rPr>
          <w:szCs w:val="27"/>
        </w:rPr>
        <w:t>.  Second,</w:t>
      </w:r>
      <w:r w:rsidRPr="00112487" w:rsidR="006461C0">
        <w:rPr>
          <w:szCs w:val="27"/>
        </w:rPr>
        <w:t xml:space="preserve"> Kaiser could not obtain coverage from any of the primary policies that </w:t>
      </w:r>
      <w:r w:rsidRPr="00112487" w:rsidR="00F167D1">
        <w:rPr>
          <w:szCs w:val="27"/>
        </w:rPr>
        <w:t>Truc</w:t>
      </w:r>
      <w:r w:rsidRPr="00112487" w:rsidR="006461C0">
        <w:rPr>
          <w:szCs w:val="27"/>
        </w:rPr>
        <w:t xml:space="preserve">k had issued other than the </w:t>
      </w:r>
      <w:r w:rsidRPr="00112487" w:rsidR="00F167D1">
        <w:rPr>
          <w:szCs w:val="27"/>
        </w:rPr>
        <w:t>1974</w:t>
      </w:r>
      <w:r w:rsidRPr="00112487" w:rsidR="006461C0">
        <w:rPr>
          <w:szCs w:val="27"/>
        </w:rPr>
        <w:t xml:space="preserve"> policy</w:t>
      </w:r>
      <w:r w:rsidRPr="00112487" w:rsidR="00F167D1">
        <w:rPr>
          <w:szCs w:val="27"/>
        </w:rPr>
        <w:t xml:space="preserve">.  As a result of those rulings, </w:t>
      </w:r>
      <w:r w:rsidRPr="00112487" w:rsidR="00EE6E66">
        <w:rPr>
          <w:szCs w:val="27"/>
        </w:rPr>
        <w:t xml:space="preserve">and </w:t>
      </w:r>
      <w:r w:rsidRPr="00112487" w:rsidR="00CC2E7B">
        <w:rPr>
          <w:szCs w:val="27"/>
        </w:rPr>
        <w:t xml:space="preserve">the </w:t>
      </w:r>
      <w:r w:rsidRPr="00112487" w:rsidR="00EE6E66">
        <w:rPr>
          <w:szCs w:val="27"/>
        </w:rPr>
        <w:t>subsequent</w:t>
      </w:r>
      <w:r w:rsidRPr="00112487" w:rsidR="00CC2E7B">
        <w:rPr>
          <w:szCs w:val="27"/>
        </w:rPr>
        <w:t xml:space="preserve"> exhaustion of </w:t>
      </w:r>
      <w:r w:rsidRPr="00112487" w:rsidR="00CA5DF1">
        <w:rPr>
          <w:szCs w:val="27"/>
        </w:rPr>
        <w:t>all</w:t>
      </w:r>
      <w:r w:rsidRPr="00112487" w:rsidR="00F167D1">
        <w:rPr>
          <w:szCs w:val="27"/>
        </w:rPr>
        <w:t xml:space="preserve"> primary policies </w:t>
      </w:r>
      <w:r w:rsidRPr="00112487" w:rsidR="006461C0">
        <w:rPr>
          <w:szCs w:val="27"/>
        </w:rPr>
        <w:t xml:space="preserve">that had been </w:t>
      </w:r>
      <w:r w:rsidRPr="00112487" w:rsidR="00F167D1">
        <w:rPr>
          <w:szCs w:val="27"/>
        </w:rPr>
        <w:t>issued by</w:t>
      </w:r>
      <w:r w:rsidRPr="00112487" w:rsidR="00CA5DF1">
        <w:rPr>
          <w:szCs w:val="27"/>
        </w:rPr>
        <w:t xml:space="preserve"> non-Truck </w:t>
      </w:r>
      <w:r w:rsidRPr="00112487" w:rsidR="00F167D1">
        <w:rPr>
          <w:szCs w:val="27"/>
        </w:rPr>
        <w:t>insurers</w:t>
      </w:r>
      <w:r w:rsidRPr="00112487" w:rsidR="00604804">
        <w:rPr>
          <w:szCs w:val="27"/>
        </w:rPr>
        <w:t>, T</w:t>
      </w:r>
      <w:r w:rsidRPr="00112487" w:rsidR="00E827D4">
        <w:rPr>
          <w:szCs w:val="27"/>
        </w:rPr>
        <w:t xml:space="preserve">ruck’s </w:t>
      </w:r>
      <w:r w:rsidRPr="00112487" w:rsidR="00842021">
        <w:rPr>
          <w:szCs w:val="27"/>
        </w:rPr>
        <w:t xml:space="preserve">1974 </w:t>
      </w:r>
      <w:r w:rsidRPr="00112487" w:rsidR="00FD6ADA">
        <w:rPr>
          <w:szCs w:val="27"/>
        </w:rPr>
        <w:t>p</w:t>
      </w:r>
      <w:r w:rsidRPr="00112487" w:rsidR="00EB03FC">
        <w:rPr>
          <w:szCs w:val="27"/>
        </w:rPr>
        <w:t xml:space="preserve">olicy </w:t>
      </w:r>
      <w:r w:rsidRPr="00112487" w:rsidR="00FD6ADA">
        <w:rPr>
          <w:szCs w:val="27"/>
        </w:rPr>
        <w:t xml:space="preserve">is currently the </w:t>
      </w:r>
      <w:r w:rsidRPr="00112487" w:rsidR="00EB03FC">
        <w:rPr>
          <w:i/>
          <w:iCs/>
          <w:szCs w:val="27"/>
        </w:rPr>
        <w:t>only</w:t>
      </w:r>
      <w:r w:rsidRPr="00112487" w:rsidR="00EB03FC">
        <w:rPr>
          <w:szCs w:val="27"/>
        </w:rPr>
        <w:t xml:space="preserve"> primary insurance </w:t>
      </w:r>
      <w:r w:rsidRPr="00112487" w:rsidR="00E827D4">
        <w:rPr>
          <w:szCs w:val="27"/>
        </w:rPr>
        <w:t>that remain</w:t>
      </w:r>
      <w:r w:rsidRPr="00112487" w:rsidR="00FD6ADA">
        <w:rPr>
          <w:szCs w:val="27"/>
        </w:rPr>
        <w:t>s</w:t>
      </w:r>
      <w:r w:rsidRPr="00112487" w:rsidR="00E827D4">
        <w:rPr>
          <w:szCs w:val="27"/>
        </w:rPr>
        <w:t xml:space="preserve"> available to Kaiser</w:t>
      </w:r>
      <w:r w:rsidRPr="00112487" w:rsidR="00FD6ADA">
        <w:rPr>
          <w:szCs w:val="27"/>
        </w:rPr>
        <w:t xml:space="preserve"> for any </w:t>
      </w:r>
      <w:r w:rsidRPr="00112487" w:rsidR="00604804">
        <w:rPr>
          <w:szCs w:val="27"/>
        </w:rPr>
        <w:t xml:space="preserve">asbestos-related bodily injury </w:t>
      </w:r>
      <w:r w:rsidRPr="00112487" w:rsidR="00FD6ADA">
        <w:rPr>
          <w:szCs w:val="27"/>
        </w:rPr>
        <w:t xml:space="preserve">claim alleging initial exposure in or before </w:t>
      </w:r>
      <w:r w:rsidRPr="00112487" w:rsidR="00842021">
        <w:rPr>
          <w:szCs w:val="27"/>
        </w:rPr>
        <w:t xml:space="preserve">the </w:t>
      </w:r>
      <w:r w:rsidRPr="00112487" w:rsidR="00FD6ADA">
        <w:rPr>
          <w:szCs w:val="27"/>
        </w:rPr>
        <w:t>1974</w:t>
      </w:r>
      <w:r w:rsidRPr="00112487" w:rsidR="00842021">
        <w:rPr>
          <w:szCs w:val="27"/>
        </w:rPr>
        <w:t>–1975 policy period</w:t>
      </w:r>
      <w:r w:rsidRPr="00112487" w:rsidR="00FD6ADA">
        <w:rPr>
          <w:szCs w:val="27"/>
        </w:rPr>
        <w:t xml:space="preserve">.  </w:t>
      </w:r>
      <w:r w:rsidRPr="00112487" w:rsidR="00FD03A5">
        <w:rPr>
          <w:szCs w:val="27"/>
        </w:rPr>
        <w:t xml:space="preserve">As noted, that policy requires </w:t>
      </w:r>
      <w:r w:rsidRPr="00112487" w:rsidR="00FD6ADA">
        <w:rPr>
          <w:szCs w:val="27"/>
        </w:rPr>
        <w:t xml:space="preserve">Truck to provide </w:t>
      </w:r>
      <w:r w:rsidRPr="00112487" w:rsidR="00FD03A5">
        <w:rPr>
          <w:szCs w:val="27"/>
        </w:rPr>
        <w:t xml:space="preserve">up to $500,000 for each </w:t>
      </w:r>
      <w:r w:rsidRPr="00112487" w:rsidR="00136D6E">
        <w:rPr>
          <w:szCs w:val="27"/>
        </w:rPr>
        <w:t xml:space="preserve">asbestos </w:t>
      </w:r>
      <w:r w:rsidRPr="00112487" w:rsidR="00FD03A5">
        <w:rPr>
          <w:szCs w:val="27"/>
        </w:rPr>
        <w:t>claim, with any amounts exceeding that level going to excess insurance.</w:t>
      </w:r>
      <w:r w:rsidRPr="00112487">
        <w:rPr>
          <w:szCs w:val="27"/>
        </w:rPr>
        <w:t xml:space="preserve">  </w:t>
      </w:r>
      <w:r w:rsidRPr="00112487" w:rsidR="00FF3658">
        <w:rPr>
          <w:szCs w:val="27"/>
        </w:rPr>
        <w:t xml:space="preserve">Following </w:t>
      </w:r>
      <w:r w:rsidRPr="00112487" w:rsidR="005C7A90">
        <w:rPr>
          <w:i/>
          <w:iCs/>
          <w:szCs w:val="27"/>
        </w:rPr>
        <w:t>Kaiser Cement</w:t>
      </w:r>
      <w:r w:rsidRPr="00112487" w:rsidR="00FF3658">
        <w:rPr>
          <w:szCs w:val="27"/>
        </w:rPr>
        <w:t>, various excess insurers entered into an</w:t>
      </w:r>
      <w:r w:rsidRPr="00112487" w:rsidR="00895B9F">
        <w:rPr>
          <w:szCs w:val="27"/>
        </w:rPr>
        <w:t xml:space="preserve"> agreement </w:t>
      </w:r>
      <w:r w:rsidRPr="00112487" w:rsidR="00FF3658">
        <w:rPr>
          <w:szCs w:val="27"/>
        </w:rPr>
        <w:t xml:space="preserve">with Kaiser </w:t>
      </w:r>
      <w:r w:rsidRPr="00112487" w:rsidR="00895B9F">
        <w:rPr>
          <w:szCs w:val="27"/>
        </w:rPr>
        <w:t xml:space="preserve">regarding the </w:t>
      </w:r>
      <w:r w:rsidRPr="00112487" w:rsidR="00FF3658">
        <w:rPr>
          <w:szCs w:val="27"/>
        </w:rPr>
        <w:t>fund</w:t>
      </w:r>
      <w:r w:rsidRPr="00112487" w:rsidR="00895B9F">
        <w:rPr>
          <w:szCs w:val="27"/>
        </w:rPr>
        <w:t>ing of</w:t>
      </w:r>
      <w:r w:rsidRPr="00112487" w:rsidR="00FF3658">
        <w:rPr>
          <w:szCs w:val="27"/>
        </w:rPr>
        <w:t xml:space="preserve"> the excess portion</w:t>
      </w:r>
      <w:r w:rsidRPr="00112487" w:rsidR="00604804">
        <w:rPr>
          <w:szCs w:val="27"/>
        </w:rPr>
        <w:t xml:space="preserve"> of</w:t>
      </w:r>
      <w:r w:rsidRPr="00112487" w:rsidR="00FF3658">
        <w:rPr>
          <w:szCs w:val="27"/>
        </w:rPr>
        <w:t xml:space="preserve"> any</w:t>
      </w:r>
      <w:r w:rsidRPr="00112487" w:rsidR="00604804">
        <w:rPr>
          <w:szCs w:val="27"/>
        </w:rPr>
        <w:t xml:space="preserve"> individual</w:t>
      </w:r>
      <w:r w:rsidRPr="00112487" w:rsidR="00FF3658">
        <w:rPr>
          <w:szCs w:val="27"/>
        </w:rPr>
        <w:t xml:space="preserve"> claim</w:t>
      </w:r>
      <w:r w:rsidRPr="00112487" w:rsidR="00335936">
        <w:rPr>
          <w:szCs w:val="27"/>
        </w:rPr>
        <w:t>s</w:t>
      </w:r>
      <w:r w:rsidRPr="00112487" w:rsidR="00FF3658">
        <w:rPr>
          <w:szCs w:val="27"/>
        </w:rPr>
        <w:t xml:space="preserve"> that exceed Truck’s $500,000 obligation. </w:t>
      </w:r>
    </w:p>
    <w:p w:rsidR="00FD6ADA" w:rsidRPr="00112487" w:rsidP="00DC2DE6" w14:paraId="679C7920" w14:textId="77777777">
      <w:pPr>
        <w:pStyle w:val="Heading3"/>
        <w:numPr>
          <w:ilvl w:val="0"/>
          <w:numId w:val="18"/>
        </w:numPr>
        <w:spacing w:before="0" w:line="400" w:lineRule="exact"/>
        <w:ind w:left="1584" w:hanging="432"/>
        <w:rPr>
          <w:szCs w:val="27"/>
        </w:rPr>
      </w:pPr>
      <w:r w:rsidRPr="00112487">
        <w:rPr>
          <w:szCs w:val="27"/>
        </w:rPr>
        <w:t>Current litigation</w:t>
      </w:r>
    </w:p>
    <w:p w:rsidR="0094492C" w:rsidRPr="00112487" w:rsidP="00A25E48" w14:paraId="679C7921" w14:textId="77777777">
      <w:pPr>
        <w:ind w:firstLine="720"/>
        <w:rPr>
          <w:szCs w:val="27"/>
        </w:rPr>
      </w:pPr>
      <w:bookmarkStart w:id="5" w:name="_Hlk153185047"/>
      <w:r w:rsidRPr="00112487">
        <w:rPr>
          <w:szCs w:val="27"/>
        </w:rPr>
        <w:t xml:space="preserve">At some point </w:t>
      </w:r>
      <w:r w:rsidRPr="00112487" w:rsidR="00743EF1">
        <w:rPr>
          <w:szCs w:val="27"/>
        </w:rPr>
        <w:t xml:space="preserve">after </w:t>
      </w:r>
      <w:r w:rsidRPr="00112487" w:rsidR="0005637B">
        <w:rPr>
          <w:szCs w:val="27"/>
        </w:rPr>
        <w:t>it was determined that Truck’s 1974 policy was the only remaining primary insurance</w:t>
      </w:r>
      <w:r w:rsidRPr="00112487" w:rsidR="00DF0C6A">
        <w:rPr>
          <w:szCs w:val="27"/>
        </w:rPr>
        <w:t xml:space="preserve"> (but before we had decided </w:t>
      </w:r>
      <w:r w:rsidRPr="00112487" w:rsidR="00B62BB2">
        <w:rPr>
          <w:i/>
          <w:iCs/>
          <w:szCs w:val="27"/>
        </w:rPr>
        <w:t>Montrose III</w:t>
      </w:r>
      <w:r w:rsidRPr="00112487" w:rsidR="00DF0C6A">
        <w:rPr>
          <w:szCs w:val="27"/>
        </w:rPr>
        <w:t>)</w:t>
      </w:r>
      <w:r w:rsidRPr="00112487">
        <w:rPr>
          <w:szCs w:val="27"/>
        </w:rPr>
        <w:t>,</w:t>
      </w:r>
      <w:r w:rsidRPr="00112487" w:rsidR="00DC1AF9">
        <w:rPr>
          <w:szCs w:val="27"/>
        </w:rPr>
        <w:t xml:space="preserve"> </w:t>
      </w:r>
      <w:r w:rsidRPr="00112487" w:rsidR="00743EF1">
        <w:rPr>
          <w:szCs w:val="27"/>
        </w:rPr>
        <w:t xml:space="preserve">Truck filed </w:t>
      </w:r>
      <w:r w:rsidRPr="00112487" w:rsidR="00A005FF">
        <w:rPr>
          <w:szCs w:val="27"/>
        </w:rPr>
        <w:t xml:space="preserve">the </w:t>
      </w:r>
      <w:r w:rsidRPr="00112487" w:rsidR="00DF0C6A">
        <w:rPr>
          <w:szCs w:val="27"/>
        </w:rPr>
        <w:t xml:space="preserve">current </w:t>
      </w:r>
      <w:r w:rsidRPr="00112487" w:rsidR="00AC3AE6">
        <w:rPr>
          <w:szCs w:val="27"/>
        </w:rPr>
        <w:t xml:space="preserve">equitable contribution </w:t>
      </w:r>
      <w:r w:rsidRPr="00112487" w:rsidR="00133C4D">
        <w:rPr>
          <w:szCs w:val="27"/>
        </w:rPr>
        <w:t>claim</w:t>
      </w:r>
      <w:r w:rsidRPr="00112487" w:rsidR="00BB2320">
        <w:rPr>
          <w:szCs w:val="27"/>
        </w:rPr>
        <w:t xml:space="preserve"> against</w:t>
      </w:r>
      <w:r w:rsidRPr="00112487" w:rsidR="00136D6E">
        <w:rPr>
          <w:szCs w:val="27"/>
        </w:rPr>
        <w:t xml:space="preserve"> each of the </w:t>
      </w:r>
      <w:r w:rsidRPr="00112487" w:rsidR="00E26B09">
        <w:rPr>
          <w:szCs w:val="27"/>
        </w:rPr>
        <w:t>first-level excess insurers that</w:t>
      </w:r>
      <w:r w:rsidRPr="00112487" w:rsidR="005541B6">
        <w:rPr>
          <w:szCs w:val="27"/>
        </w:rPr>
        <w:t xml:space="preserve"> sit above </w:t>
      </w:r>
      <w:r w:rsidRPr="00112487" w:rsidR="00833EE0">
        <w:rPr>
          <w:szCs w:val="27"/>
        </w:rPr>
        <w:t xml:space="preserve">the now-exhausted </w:t>
      </w:r>
      <w:r w:rsidRPr="00112487" w:rsidR="00E26B09">
        <w:rPr>
          <w:szCs w:val="27"/>
        </w:rPr>
        <w:t xml:space="preserve">primary policies </w:t>
      </w:r>
      <w:r w:rsidRPr="00112487" w:rsidR="00136D6E">
        <w:rPr>
          <w:szCs w:val="27"/>
        </w:rPr>
        <w:t>that were i</w:t>
      </w:r>
      <w:r w:rsidRPr="00112487" w:rsidR="00E26B09">
        <w:rPr>
          <w:szCs w:val="27"/>
        </w:rPr>
        <w:t xml:space="preserve">ssued </w:t>
      </w:r>
      <w:r w:rsidRPr="00112487" w:rsidR="00E0154C">
        <w:rPr>
          <w:szCs w:val="27"/>
        </w:rPr>
        <w:t xml:space="preserve">by non-Truck insurers. </w:t>
      </w:r>
      <w:bookmarkEnd w:id="5"/>
      <w:r w:rsidRPr="00112487" w:rsidR="00EB3C3A">
        <w:rPr>
          <w:szCs w:val="27"/>
        </w:rPr>
        <w:t xml:space="preserve"> </w:t>
      </w:r>
      <w:r w:rsidRPr="00112487" w:rsidR="00EE6E66">
        <w:rPr>
          <w:szCs w:val="27"/>
        </w:rPr>
        <w:t xml:space="preserve">Presenting arguments that </w:t>
      </w:r>
      <w:r w:rsidRPr="00112487" w:rsidR="00BB2320">
        <w:rPr>
          <w:szCs w:val="27"/>
        </w:rPr>
        <w:t xml:space="preserve">are </w:t>
      </w:r>
      <w:r w:rsidRPr="00112487" w:rsidR="00EE6E66">
        <w:rPr>
          <w:szCs w:val="27"/>
        </w:rPr>
        <w:t xml:space="preserve">substantially similar to those that Kaiser had </w:t>
      </w:r>
      <w:r w:rsidRPr="00112487" w:rsidR="000B239D">
        <w:rPr>
          <w:szCs w:val="27"/>
        </w:rPr>
        <w:t xml:space="preserve">raised </w:t>
      </w:r>
      <w:r w:rsidRPr="00112487" w:rsidR="00EE6E66">
        <w:rPr>
          <w:szCs w:val="27"/>
        </w:rPr>
        <w:t xml:space="preserve">in </w:t>
      </w:r>
      <w:r w:rsidRPr="00112487" w:rsidR="005C7A90">
        <w:rPr>
          <w:i/>
          <w:iCs/>
          <w:szCs w:val="27"/>
        </w:rPr>
        <w:t>Kaiser Cement</w:t>
      </w:r>
      <w:r w:rsidRPr="00112487" w:rsidR="00EE6E66">
        <w:rPr>
          <w:szCs w:val="27"/>
        </w:rPr>
        <w:t xml:space="preserve">, </w:t>
      </w:r>
      <w:r w:rsidRPr="00112487" w:rsidR="00EB3C3A">
        <w:rPr>
          <w:szCs w:val="27"/>
        </w:rPr>
        <w:t xml:space="preserve">Truck argued that </w:t>
      </w:r>
      <w:r w:rsidRPr="00112487" w:rsidR="008C2CE8">
        <w:rPr>
          <w:szCs w:val="27"/>
        </w:rPr>
        <w:t xml:space="preserve">the </w:t>
      </w:r>
      <w:r w:rsidRPr="00112487" w:rsidR="00EE6E66">
        <w:rPr>
          <w:szCs w:val="27"/>
        </w:rPr>
        <w:t xml:space="preserve">first-level </w:t>
      </w:r>
      <w:r w:rsidRPr="00112487" w:rsidR="008C2CE8">
        <w:rPr>
          <w:szCs w:val="27"/>
        </w:rPr>
        <w:t xml:space="preserve">excess insurers’ indemnity obligations </w:t>
      </w:r>
      <w:r w:rsidRPr="00112487" w:rsidR="00136D6E">
        <w:rPr>
          <w:szCs w:val="27"/>
        </w:rPr>
        <w:t xml:space="preserve">to Kaiser </w:t>
      </w:r>
      <w:r w:rsidRPr="00112487" w:rsidR="008C2CE8">
        <w:rPr>
          <w:szCs w:val="27"/>
        </w:rPr>
        <w:t xml:space="preserve">attached upon exhaustion of the </w:t>
      </w:r>
      <w:r w:rsidRPr="00112487" w:rsidR="00335936">
        <w:rPr>
          <w:szCs w:val="27"/>
        </w:rPr>
        <w:t xml:space="preserve">directly underlying </w:t>
      </w:r>
      <w:r w:rsidRPr="00112487" w:rsidR="008C2CE8">
        <w:rPr>
          <w:szCs w:val="27"/>
        </w:rPr>
        <w:t>primary policies</w:t>
      </w:r>
      <w:r w:rsidRPr="00112487">
        <w:rPr>
          <w:szCs w:val="27"/>
        </w:rPr>
        <w:t>.  Truck further contended that because the excess insurers’ coverage obligations had been triggered</w:t>
      </w:r>
      <w:r w:rsidRPr="00112487" w:rsidR="008C2CE8">
        <w:rPr>
          <w:szCs w:val="27"/>
        </w:rPr>
        <w:t>, the</w:t>
      </w:r>
      <w:r w:rsidRPr="00112487">
        <w:rPr>
          <w:szCs w:val="27"/>
        </w:rPr>
        <w:t xml:space="preserve">y should be ordered to </w:t>
      </w:r>
      <w:r w:rsidRPr="00112487" w:rsidR="008C2CE8">
        <w:rPr>
          <w:szCs w:val="27"/>
        </w:rPr>
        <w:t xml:space="preserve">“contribute to Truck’s indemnity and defense obligations under the 1974 policy.” </w:t>
      </w:r>
      <w:r w:rsidRPr="00112487">
        <w:rPr>
          <w:szCs w:val="27"/>
        </w:rPr>
        <w:t xml:space="preserve"> </w:t>
      </w:r>
      <w:r w:rsidRPr="00112487" w:rsidR="00AD24AD">
        <w:rPr>
          <w:szCs w:val="27"/>
        </w:rPr>
        <w:t>The excess insurers</w:t>
      </w:r>
      <w:r w:rsidRPr="00112487" w:rsidR="00EE6E66">
        <w:rPr>
          <w:szCs w:val="27"/>
        </w:rPr>
        <w:t>, however,</w:t>
      </w:r>
      <w:r w:rsidRPr="00112487" w:rsidR="00AD24AD">
        <w:rPr>
          <w:szCs w:val="27"/>
        </w:rPr>
        <w:t xml:space="preserve"> argued there was no basis for contribution because all of the applicable </w:t>
      </w:r>
      <w:r w:rsidRPr="00112487" w:rsidR="00CA5DF1">
        <w:rPr>
          <w:szCs w:val="27"/>
        </w:rPr>
        <w:t xml:space="preserve">excess </w:t>
      </w:r>
      <w:r w:rsidRPr="00112487" w:rsidR="00AD24AD">
        <w:rPr>
          <w:szCs w:val="27"/>
        </w:rPr>
        <w:t>policies contained “other insurance” provisions that conditioned coverage on the exhaustion of all available underlying primary insurance</w:t>
      </w:r>
      <w:r w:rsidRPr="00112487" w:rsidR="00E5145D">
        <w:rPr>
          <w:szCs w:val="27"/>
        </w:rPr>
        <w:t xml:space="preserve"> that had been issued during the continuous period of damage, which necessarily included Truck’s 1974 primary policy.</w:t>
      </w:r>
    </w:p>
    <w:p w:rsidR="00294302" w:rsidRPr="00112487" w:rsidP="00A25E48" w14:paraId="679C7922" w14:textId="77777777">
      <w:pPr>
        <w:ind w:firstLine="720"/>
        <w:rPr>
          <w:szCs w:val="27"/>
        </w:rPr>
      </w:pPr>
      <w:r w:rsidRPr="00112487">
        <w:rPr>
          <w:szCs w:val="27"/>
        </w:rPr>
        <w:t xml:space="preserve">Following a bench trial in 2016, the trial court issued an order denying </w:t>
      </w:r>
      <w:r w:rsidRPr="00112487" w:rsidR="00923650">
        <w:rPr>
          <w:szCs w:val="27"/>
        </w:rPr>
        <w:t xml:space="preserve">Truck’s </w:t>
      </w:r>
      <w:r w:rsidRPr="00112487">
        <w:rPr>
          <w:szCs w:val="27"/>
        </w:rPr>
        <w:t>contribution</w:t>
      </w:r>
      <w:r w:rsidRPr="00112487" w:rsidR="00923650">
        <w:rPr>
          <w:szCs w:val="27"/>
        </w:rPr>
        <w:t xml:space="preserve"> request</w:t>
      </w:r>
      <w:r w:rsidRPr="00112487">
        <w:rPr>
          <w:szCs w:val="27"/>
        </w:rPr>
        <w:t xml:space="preserve">.  </w:t>
      </w:r>
      <w:r w:rsidRPr="00112487" w:rsidR="00EE6E66">
        <w:rPr>
          <w:szCs w:val="27"/>
        </w:rPr>
        <w:t xml:space="preserve">Citing </w:t>
      </w:r>
      <w:r w:rsidRPr="00112487" w:rsidR="0094492C">
        <w:rPr>
          <w:i/>
          <w:iCs/>
          <w:szCs w:val="27"/>
        </w:rPr>
        <w:t>Community Redevelopment</w:t>
      </w:r>
      <w:r w:rsidRPr="00112487" w:rsidR="0094492C">
        <w:rPr>
          <w:szCs w:val="27"/>
        </w:rPr>
        <w:t xml:space="preserve">, </w:t>
      </w:r>
      <w:r w:rsidRPr="00112487" w:rsidR="0094492C">
        <w:rPr>
          <w:i/>
          <w:iCs/>
          <w:szCs w:val="27"/>
        </w:rPr>
        <w:t>supra</w:t>
      </w:r>
      <w:r w:rsidRPr="00112487" w:rsidR="0094492C">
        <w:rPr>
          <w:szCs w:val="27"/>
        </w:rPr>
        <w:t>, 50</w:t>
      </w:r>
      <w:r w:rsidRPr="00112487" w:rsidR="00C975D5">
        <w:rPr>
          <w:szCs w:val="27"/>
        </w:rPr>
        <w:t> </w:t>
      </w:r>
      <w:r w:rsidRPr="00112487" w:rsidR="0094492C">
        <w:rPr>
          <w:szCs w:val="27"/>
        </w:rPr>
        <w:t>Cal.App.4th 329</w:t>
      </w:r>
      <w:r w:rsidRPr="00112487" w:rsidR="00923650">
        <w:rPr>
          <w:szCs w:val="27"/>
        </w:rPr>
        <w:t xml:space="preserve">, </w:t>
      </w:r>
      <w:r w:rsidRPr="00112487" w:rsidR="00D37F73">
        <w:rPr>
          <w:szCs w:val="27"/>
        </w:rPr>
        <w:t xml:space="preserve">and the </w:t>
      </w:r>
      <w:r w:rsidRPr="00112487" w:rsidR="00D37F73">
        <w:rPr>
          <w:i/>
          <w:iCs/>
          <w:szCs w:val="27"/>
        </w:rPr>
        <w:t>Kaiser Cement</w:t>
      </w:r>
      <w:r w:rsidRPr="00112487" w:rsidR="00D37F73">
        <w:rPr>
          <w:szCs w:val="27"/>
        </w:rPr>
        <w:t xml:space="preserve"> decision</w:t>
      </w:r>
      <w:r w:rsidRPr="00112487" w:rsidR="00923650">
        <w:rPr>
          <w:szCs w:val="27"/>
        </w:rPr>
        <w:t xml:space="preserve"> previously issued in this litigation</w:t>
      </w:r>
      <w:r w:rsidRPr="00112487" w:rsidR="00D37F73">
        <w:rPr>
          <w:szCs w:val="27"/>
        </w:rPr>
        <w:t xml:space="preserve"> (see </w:t>
      </w:r>
      <w:r w:rsidRPr="00112487" w:rsidR="00D37F73">
        <w:rPr>
          <w:i/>
          <w:iCs/>
          <w:szCs w:val="27"/>
        </w:rPr>
        <w:t>ante</w:t>
      </w:r>
      <w:r w:rsidRPr="00112487" w:rsidR="00D37F73">
        <w:rPr>
          <w:szCs w:val="27"/>
        </w:rPr>
        <w:t>, at pp.</w:t>
      </w:r>
      <w:r w:rsidRPr="00112487" w:rsidR="00FE55E5">
        <w:rPr>
          <w:szCs w:val="27"/>
        </w:rPr>
        <w:t> 1</w:t>
      </w:r>
      <w:r w:rsidRPr="00112487" w:rsidR="005F3E6C">
        <w:rPr>
          <w:szCs w:val="27"/>
        </w:rPr>
        <w:t>1</w:t>
      </w:r>
      <w:r w:rsidRPr="00112487" w:rsidR="00FE55E5">
        <w:rPr>
          <w:szCs w:val="27"/>
        </w:rPr>
        <w:t>–1</w:t>
      </w:r>
      <w:r w:rsidRPr="00112487" w:rsidR="005F3E6C">
        <w:rPr>
          <w:szCs w:val="27"/>
        </w:rPr>
        <w:t>3</w:t>
      </w:r>
      <w:r w:rsidRPr="00112487" w:rsidR="00D37F73">
        <w:rPr>
          <w:szCs w:val="27"/>
        </w:rPr>
        <w:t>)</w:t>
      </w:r>
      <w:r w:rsidRPr="00112487" w:rsidR="00EE6E66">
        <w:rPr>
          <w:szCs w:val="27"/>
        </w:rPr>
        <w:t xml:space="preserve">, the trial court </w:t>
      </w:r>
      <w:r w:rsidRPr="00112487" w:rsidR="00D37F73">
        <w:rPr>
          <w:szCs w:val="27"/>
        </w:rPr>
        <w:t>agreed with the excess insurers</w:t>
      </w:r>
      <w:r w:rsidRPr="00112487">
        <w:rPr>
          <w:szCs w:val="27"/>
        </w:rPr>
        <w:t xml:space="preserve"> </w:t>
      </w:r>
      <w:r w:rsidRPr="00112487" w:rsidR="00EE6E66">
        <w:rPr>
          <w:szCs w:val="27"/>
        </w:rPr>
        <w:t>that the “other insurance” provisions in the first-level excess policies called for horizontal exhaustion of all primary insurance</w:t>
      </w:r>
      <w:r w:rsidRPr="00112487" w:rsidR="00D37F73">
        <w:rPr>
          <w:szCs w:val="27"/>
        </w:rPr>
        <w:t xml:space="preserve">, </w:t>
      </w:r>
      <w:r w:rsidRPr="00112487" w:rsidR="00923650">
        <w:rPr>
          <w:szCs w:val="27"/>
        </w:rPr>
        <w:t xml:space="preserve">including </w:t>
      </w:r>
      <w:r w:rsidRPr="00112487" w:rsidR="00D37F73">
        <w:rPr>
          <w:szCs w:val="27"/>
        </w:rPr>
        <w:t xml:space="preserve">Truck’s 1974 primary policy.  </w:t>
      </w:r>
      <w:r w:rsidRPr="00112487" w:rsidR="00174E2C">
        <w:rPr>
          <w:szCs w:val="27"/>
        </w:rPr>
        <w:t>The</w:t>
      </w:r>
      <w:r w:rsidRPr="00112487" w:rsidR="00AD24AD">
        <w:rPr>
          <w:szCs w:val="27"/>
        </w:rPr>
        <w:t xml:space="preserve"> trial</w:t>
      </w:r>
      <w:r w:rsidRPr="00112487" w:rsidR="00174E2C">
        <w:rPr>
          <w:szCs w:val="27"/>
        </w:rPr>
        <w:t xml:space="preserve"> court </w:t>
      </w:r>
      <w:r w:rsidRPr="00112487" w:rsidR="00D37F73">
        <w:rPr>
          <w:szCs w:val="27"/>
        </w:rPr>
        <w:t>further reasoned that because the excess insurer</w:t>
      </w:r>
      <w:r w:rsidRPr="00112487" w:rsidR="00923650">
        <w:rPr>
          <w:szCs w:val="27"/>
        </w:rPr>
        <w:t>s</w:t>
      </w:r>
      <w:r w:rsidRPr="00112487" w:rsidR="00D37F73">
        <w:rPr>
          <w:szCs w:val="27"/>
        </w:rPr>
        <w:t>’ policies did not attach</w:t>
      </w:r>
      <w:r w:rsidRPr="00112487" w:rsidR="00923650">
        <w:rPr>
          <w:szCs w:val="27"/>
        </w:rPr>
        <w:t xml:space="preserve"> </w:t>
      </w:r>
      <w:r w:rsidRPr="00112487" w:rsidR="00D37F73">
        <w:rPr>
          <w:szCs w:val="27"/>
        </w:rPr>
        <w:t xml:space="preserve">until </w:t>
      </w:r>
      <w:r w:rsidRPr="00112487" w:rsidR="00923650">
        <w:rPr>
          <w:szCs w:val="27"/>
        </w:rPr>
        <w:t xml:space="preserve">Truck’s </w:t>
      </w:r>
      <w:r w:rsidRPr="00112487" w:rsidR="00D37F73">
        <w:rPr>
          <w:szCs w:val="27"/>
        </w:rPr>
        <w:t xml:space="preserve">1974 </w:t>
      </w:r>
      <w:r w:rsidRPr="00112487" w:rsidR="00920CBB">
        <w:rPr>
          <w:szCs w:val="27"/>
        </w:rPr>
        <w:t xml:space="preserve">primary </w:t>
      </w:r>
      <w:r w:rsidRPr="00112487" w:rsidR="00923650">
        <w:rPr>
          <w:szCs w:val="27"/>
        </w:rPr>
        <w:t xml:space="preserve">policy was </w:t>
      </w:r>
      <w:r w:rsidRPr="00112487" w:rsidR="00D37F73">
        <w:rPr>
          <w:szCs w:val="27"/>
        </w:rPr>
        <w:t>exhausted, there was no possible basis for Truck to receive contribution.</w:t>
      </w:r>
    </w:p>
    <w:p w:rsidR="00F95A7A" w:rsidRPr="00112487" w:rsidP="00A25E48" w14:paraId="679C7923" w14:textId="77777777">
      <w:pPr>
        <w:ind w:firstLine="720"/>
        <w:rPr>
          <w:szCs w:val="27"/>
        </w:rPr>
      </w:pPr>
      <w:r w:rsidRPr="00112487">
        <w:rPr>
          <w:szCs w:val="27"/>
        </w:rPr>
        <w:t>While Truck</w:t>
      </w:r>
      <w:r w:rsidRPr="00112487" w:rsidR="0076711A">
        <w:rPr>
          <w:szCs w:val="27"/>
        </w:rPr>
        <w:t xml:space="preserve">’s appeal of the </w:t>
      </w:r>
      <w:r w:rsidRPr="00112487" w:rsidR="00E5145D">
        <w:rPr>
          <w:szCs w:val="27"/>
        </w:rPr>
        <w:t>order denying contribution</w:t>
      </w:r>
      <w:r w:rsidRPr="00112487" w:rsidR="0076711A">
        <w:rPr>
          <w:szCs w:val="27"/>
        </w:rPr>
        <w:t xml:space="preserve"> </w:t>
      </w:r>
      <w:r w:rsidRPr="00112487">
        <w:rPr>
          <w:szCs w:val="27"/>
        </w:rPr>
        <w:t xml:space="preserve">was </w:t>
      </w:r>
      <w:r w:rsidRPr="00112487" w:rsidR="0076711A">
        <w:rPr>
          <w:szCs w:val="27"/>
        </w:rPr>
        <w:t>pending, w</w:t>
      </w:r>
      <w:r w:rsidRPr="00112487" w:rsidR="00CB6767">
        <w:rPr>
          <w:szCs w:val="27"/>
        </w:rPr>
        <w:t>e issued</w:t>
      </w:r>
      <w:r w:rsidRPr="00112487" w:rsidR="0076711A">
        <w:rPr>
          <w:szCs w:val="27"/>
        </w:rPr>
        <w:t xml:space="preserve"> our decision in</w:t>
      </w:r>
      <w:r w:rsidRPr="00112487" w:rsidR="00CB6767">
        <w:rPr>
          <w:szCs w:val="27"/>
        </w:rPr>
        <w:t xml:space="preserve"> </w:t>
      </w:r>
      <w:r w:rsidRPr="00112487" w:rsidR="00B62BB2">
        <w:rPr>
          <w:i/>
          <w:iCs/>
          <w:szCs w:val="27"/>
        </w:rPr>
        <w:t>Montrose III</w:t>
      </w:r>
      <w:r w:rsidRPr="00112487" w:rsidR="005A1075">
        <w:rPr>
          <w:szCs w:val="27"/>
        </w:rPr>
        <w:t xml:space="preserve">, </w:t>
      </w:r>
      <w:r w:rsidRPr="00112487" w:rsidR="005A1075">
        <w:rPr>
          <w:i/>
          <w:iCs/>
          <w:szCs w:val="27"/>
        </w:rPr>
        <w:t>supra</w:t>
      </w:r>
      <w:r w:rsidRPr="00112487" w:rsidR="005A1075">
        <w:rPr>
          <w:szCs w:val="27"/>
        </w:rPr>
        <w:t>, 9</w:t>
      </w:r>
      <w:r w:rsidRPr="00112487" w:rsidR="005541B6">
        <w:rPr>
          <w:szCs w:val="27"/>
        </w:rPr>
        <w:t> </w:t>
      </w:r>
      <w:r w:rsidRPr="00112487" w:rsidR="005A1075">
        <w:rPr>
          <w:szCs w:val="27"/>
        </w:rPr>
        <w:t>Cal.5th 215.</w:t>
      </w:r>
      <w:r w:rsidRPr="00112487">
        <w:rPr>
          <w:szCs w:val="27"/>
        </w:rPr>
        <w:t xml:space="preserve"> </w:t>
      </w:r>
      <w:r w:rsidRPr="00112487" w:rsidR="00CB6767">
        <w:rPr>
          <w:szCs w:val="27"/>
        </w:rPr>
        <w:t xml:space="preserve"> </w:t>
      </w:r>
      <w:r w:rsidRPr="00112487">
        <w:rPr>
          <w:szCs w:val="27"/>
        </w:rPr>
        <w:t>As discussed in more detail below,</w:t>
      </w:r>
      <w:r w:rsidRPr="00112487" w:rsidR="005A1075">
        <w:rPr>
          <w:szCs w:val="27"/>
        </w:rPr>
        <w:t xml:space="preserve"> </w:t>
      </w:r>
      <w:r w:rsidRPr="00112487" w:rsidR="00B62BB2">
        <w:rPr>
          <w:i/>
          <w:iCs/>
          <w:szCs w:val="27"/>
        </w:rPr>
        <w:t>Montrose III</w:t>
      </w:r>
      <w:r w:rsidRPr="00112487" w:rsidR="005A1075">
        <w:rPr>
          <w:szCs w:val="27"/>
        </w:rPr>
        <w:t xml:space="preserve"> </w:t>
      </w:r>
      <w:r w:rsidRPr="00112487" w:rsidR="0076711A">
        <w:rPr>
          <w:szCs w:val="27"/>
        </w:rPr>
        <w:t xml:space="preserve">held that </w:t>
      </w:r>
      <w:r w:rsidRPr="00112487" w:rsidR="00CB6767">
        <w:rPr>
          <w:szCs w:val="27"/>
        </w:rPr>
        <w:t>an insured</w:t>
      </w:r>
      <w:r w:rsidRPr="00112487" w:rsidR="0076711A">
        <w:rPr>
          <w:szCs w:val="27"/>
        </w:rPr>
        <w:t xml:space="preserve">’s </w:t>
      </w:r>
      <w:r w:rsidRPr="00112487" w:rsidR="00CB6767">
        <w:rPr>
          <w:szCs w:val="27"/>
        </w:rPr>
        <w:t xml:space="preserve">excess </w:t>
      </w:r>
      <w:r w:rsidRPr="00112487" w:rsidR="0076711A">
        <w:rPr>
          <w:szCs w:val="27"/>
        </w:rPr>
        <w:t xml:space="preserve">insurance </w:t>
      </w:r>
      <w:r w:rsidRPr="00112487" w:rsidR="00CB6767">
        <w:rPr>
          <w:szCs w:val="27"/>
        </w:rPr>
        <w:t>policies</w:t>
      </w:r>
      <w:r w:rsidRPr="00112487" w:rsidR="004F1561">
        <w:rPr>
          <w:szCs w:val="27"/>
        </w:rPr>
        <w:t xml:space="preserve"> required only vertical exhaustion</w:t>
      </w:r>
      <w:r w:rsidRPr="00112487">
        <w:rPr>
          <w:szCs w:val="27"/>
        </w:rPr>
        <w:t xml:space="preserve">, meaning that the </w:t>
      </w:r>
      <w:r w:rsidRPr="00112487" w:rsidR="004F1561">
        <w:rPr>
          <w:szCs w:val="27"/>
        </w:rPr>
        <w:t>insure</w:t>
      </w:r>
      <w:r w:rsidRPr="00112487" w:rsidR="005A1075">
        <w:rPr>
          <w:szCs w:val="27"/>
        </w:rPr>
        <w:t xml:space="preserve">rs’ indemnity obligations attached </w:t>
      </w:r>
      <w:r w:rsidRPr="00112487">
        <w:rPr>
          <w:szCs w:val="27"/>
        </w:rPr>
        <w:t xml:space="preserve">as soon as </w:t>
      </w:r>
      <w:r w:rsidRPr="00112487" w:rsidR="005A1075">
        <w:rPr>
          <w:szCs w:val="27"/>
        </w:rPr>
        <w:t>the insured had</w:t>
      </w:r>
      <w:r w:rsidRPr="00112487">
        <w:rPr>
          <w:szCs w:val="27"/>
        </w:rPr>
        <w:t xml:space="preserve"> </w:t>
      </w:r>
      <w:r w:rsidRPr="00112487" w:rsidR="0076711A">
        <w:rPr>
          <w:szCs w:val="27"/>
        </w:rPr>
        <w:t>exhaust</w:t>
      </w:r>
      <w:r w:rsidRPr="00112487">
        <w:rPr>
          <w:szCs w:val="27"/>
        </w:rPr>
        <w:t>ed any</w:t>
      </w:r>
      <w:r w:rsidRPr="00112487" w:rsidR="004F1561">
        <w:rPr>
          <w:szCs w:val="27"/>
        </w:rPr>
        <w:t xml:space="preserve"> ex</w:t>
      </w:r>
      <w:r w:rsidRPr="00112487" w:rsidR="0076711A">
        <w:rPr>
          <w:szCs w:val="27"/>
        </w:rPr>
        <w:t>cess policies</w:t>
      </w:r>
      <w:r w:rsidRPr="00112487">
        <w:rPr>
          <w:szCs w:val="27"/>
        </w:rPr>
        <w:t xml:space="preserve"> with lower attachment points</w:t>
      </w:r>
      <w:r w:rsidRPr="00112487" w:rsidR="0076711A">
        <w:rPr>
          <w:szCs w:val="27"/>
        </w:rPr>
        <w:t xml:space="preserve"> </w:t>
      </w:r>
      <w:r w:rsidRPr="00112487" w:rsidR="004F1561">
        <w:rPr>
          <w:szCs w:val="27"/>
        </w:rPr>
        <w:t xml:space="preserve">that had been </w:t>
      </w:r>
      <w:r w:rsidRPr="00112487" w:rsidR="00CB6767">
        <w:rPr>
          <w:szCs w:val="27"/>
        </w:rPr>
        <w:t xml:space="preserve">issued </w:t>
      </w:r>
      <w:r w:rsidRPr="00112487" w:rsidR="00D25BC7">
        <w:rPr>
          <w:szCs w:val="27"/>
        </w:rPr>
        <w:t xml:space="preserve">for </w:t>
      </w:r>
      <w:r w:rsidRPr="00112487" w:rsidR="00CB6767">
        <w:rPr>
          <w:szCs w:val="27"/>
        </w:rPr>
        <w:t xml:space="preserve">the same policy year.  In reaching that conclusion, we rejected the </w:t>
      </w:r>
      <w:r w:rsidRPr="00112487">
        <w:rPr>
          <w:szCs w:val="27"/>
        </w:rPr>
        <w:t xml:space="preserve">excess </w:t>
      </w:r>
      <w:r w:rsidRPr="00112487" w:rsidR="00CB6767">
        <w:rPr>
          <w:szCs w:val="27"/>
        </w:rPr>
        <w:t>insurers</w:t>
      </w:r>
      <w:r w:rsidRPr="00112487" w:rsidR="00D25BC7">
        <w:rPr>
          <w:szCs w:val="27"/>
        </w:rPr>
        <w:t>’</w:t>
      </w:r>
      <w:r w:rsidRPr="00112487" w:rsidR="00CB6767">
        <w:rPr>
          <w:szCs w:val="27"/>
        </w:rPr>
        <w:t xml:space="preserve"> contention that</w:t>
      </w:r>
      <w:r w:rsidRPr="00112487" w:rsidR="00A5583A">
        <w:rPr>
          <w:szCs w:val="27"/>
        </w:rPr>
        <w:t xml:space="preserve"> the </w:t>
      </w:r>
      <w:r w:rsidRPr="00112487" w:rsidR="004F1561">
        <w:rPr>
          <w:szCs w:val="27"/>
        </w:rPr>
        <w:t xml:space="preserve">policies’ </w:t>
      </w:r>
      <w:r w:rsidRPr="00112487" w:rsidR="00CB6767">
        <w:rPr>
          <w:szCs w:val="27"/>
        </w:rPr>
        <w:t xml:space="preserve">“other insurance” provisions </w:t>
      </w:r>
      <w:r w:rsidRPr="00112487" w:rsidR="0076711A">
        <w:rPr>
          <w:szCs w:val="27"/>
        </w:rPr>
        <w:t xml:space="preserve">required </w:t>
      </w:r>
      <w:r w:rsidRPr="00112487" w:rsidR="00A5583A">
        <w:rPr>
          <w:szCs w:val="27"/>
        </w:rPr>
        <w:t xml:space="preserve">horizontal exhaustion of </w:t>
      </w:r>
      <w:r w:rsidRPr="00112487" w:rsidR="00EE5969">
        <w:rPr>
          <w:szCs w:val="27"/>
        </w:rPr>
        <w:t>a</w:t>
      </w:r>
      <w:r w:rsidRPr="00112487" w:rsidR="006914AA">
        <w:rPr>
          <w:szCs w:val="27"/>
        </w:rPr>
        <w:t>ll</w:t>
      </w:r>
      <w:r w:rsidRPr="00112487" w:rsidR="00EE5969">
        <w:rPr>
          <w:szCs w:val="27"/>
        </w:rPr>
        <w:t xml:space="preserve"> </w:t>
      </w:r>
      <w:r w:rsidRPr="00112487" w:rsidR="00CB6767">
        <w:rPr>
          <w:szCs w:val="27"/>
        </w:rPr>
        <w:t xml:space="preserve">excess policies </w:t>
      </w:r>
      <w:r w:rsidRPr="00112487" w:rsidR="00111F2F">
        <w:rPr>
          <w:szCs w:val="27"/>
        </w:rPr>
        <w:t>with lower attachment points</w:t>
      </w:r>
      <w:r w:rsidRPr="00112487" w:rsidR="00EE5969">
        <w:rPr>
          <w:szCs w:val="27"/>
        </w:rPr>
        <w:t xml:space="preserve"> that had been issued during </w:t>
      </w:r>
      <w:r w:rsidRPr="00112487" w:rsidR="00920CBB">
        <w:rPr>
          <w:szCs w:val="27"/>
        </w:rPr>
        <w:t>the</w:t>
      </w:r>
      <w:r w:rsidRPr="00112487" w:rsidR="006914AA">
        <w:rPr>
          <w:szCs w:val="27"/>
        </w:rPr>
        <w:t xml:space="preserve"> period of continuous</w:t>
      </w:r>
      <w:r w:rsidRPr="00112487" w:rsidR="00EE5969">
        <w:rPr>
          <w:szCs w:val="27"/>
        </w:rPr>
        <w:t xml:space="preserve"> injury</w:t>
      </w:r>
      <w:r w:rsidRPr="00112487" w:rsidR="00111F2F">
        <w:rPr>
          <w:szCs w:val="27"/>
        </w:rPr>
        <w:t xml:space="preserve">.  </w:t>
      </w:r>
    </w:p>
    <w:p w:rsidR="00D25BC7" w:rsidRPr="00112487" w:rsidP="00A25E48" w14:paraId="679C7924" w14:textId="77777777">
      <w:pPr>
        <w:ind w:firstLine="720"/>
        <w:rPr>
          <w:szCs w:val="27"/>
        </w:rPr>
      </w:pPr>
      <w:r w:rsidRPr="00112487">
        <w:rPr>
          <w:szCs w:val="27"/>
        </w:rPr>
        <w:t xml:space="preserve">On appeal, </w:t>
      </w:r>
      <w:r w:rsidRPr="00112487" w:rsidR="00111F2F">
        <w:rPr>
          <w:szCs w:val="27"/>
        </w:rPr>
        <w:t xml:space="preserve">Truck </w:t>
      </w:r>
      <w:r w:rsidRPr="00112487">
        <w:rPr>
          <w:szCs w:val="27"/>
        </w:rPr>
        <w:t xml:space="preserve">argued that </w:t>
      </w:r>
      <w:r w:rsidRPr="00112487" w:rsidR="00B62BB2">
        <w:rPr>
          <w:i/>
          <w:iCs/>
          <w:szCs w:val="27"/>
        </w:rPr>
        <w:t>Montrose III</w:t>
      </w:r>
      <w:r w:rsidRPr="00112487">
        <w:rPr>
          <w:szCs w:val="27"/>
        </w:rPr>
        <w:t xml:space="preserve">’s interpretation of “other insurance” policies </w:t>
      </w:r>
      <w:r w:rsidRPr="00112487" w:rsidR="0076711A">
        <w:rPr>
          <w:szCs w:val="27"/>
        </w:rPr>
        <w:t xml:space="preserve">had </w:t>
      </w:r>
      <w:r w:rsidRPr="00112487">
        <w:rPr>
          <w:szCs w:val="27"/>
        </w:rPr>
        <w:t xml:space="preserve">effectively rejected (and </w:t>
      </w:r>
      <w:r w:rsidRPr="00112487" w:rsidR="004F1561">
        <w:rPr>
          <w:szCs w:val="27"/>
        </w:rPr>
        <w:t>overrule</w:t>
      </w:r>
      <w:r w:rsidRPr="00112487">
        <w:rPr>
          <w:szCs w:val="27"/>
        </w:rPr>
        <w:t>d)</w:t>
      </w:r>
      <w:r w:rsidRPr="00112487" w:rsidR="004F1561">
        <w:rPr>
          <w:szCs w:val="27"/>
        </w:rPr>
        <w:t xml:space="preserve"> </w:t>
      </w:r>
      <w:r w:rsidRPr="00112487">
        <w:rPr>
          <w:szCs w:val="27"/>
        </w:rPr>
        <w:t xml:space="preserve">the Court of Appeal’s analysis in </w:t>
      </w:r>
      <w:r w:rsidRPr="00112487">
        <w:rPr>
          <w:i/>
          <w:iCs/>
          <w:szCs w:val="27"/>
        </w:rPr>
        <w:t xml:space="preserve">Community </w:t>
      </w:r>
      <w:r w:rsidRPr="00112487" w:rsidR="00864C7C">
        <w:rPr>
          <w:i/>
          <w:iCs/>
          <w:szCs w:val="27"/>
        </w:rPr>
        <w:t>Red</w:t>
      </w:r>
      <w:r w:rsidRPr="00112487">
        <w:rPr>
          <w:i/>
          <w:iCs/>
          <w:szCs w:val="27"/>
        </w:rPr>
        <w:t>evelopment</w:t>
      </w:r>
      <w:r w:rsidRPr="00112487">
        <w:rPr>
          <w:szCs w:val="27"/>
        </w:rPr>
        <w:t xml:space="preserve"> and </w:t>
      </w:r>
      <w:r w:rsidRPr="00112487" w:rsidR="005C7A90">
        <w:rPr>
          <w:i/>
          <w:iCs/>
          <w:szCs w:val="27"/>
        </w:rPr>
        <w:t>Kaiser Cement</w:t>
      </w:r>
      <w:r w:rsidRPr="00112487">
        <w:rPr>
          <w:szCs w:val="27"/>
        </w:rPr>
        <w:t xml:space="preserve">. </w:t>
      </w:r>
      <w:r w:rsidRPr="00112487" w:rsidR="00111F2F">
        <w:rPr>
          <w:szCs w:val="27"/>
        </w:rPr>
        <w:t xml:space="preserve"> </w:t>
      </w:r>
      <w:r w:rsidRPr="00112487">
        <w:rPr>
          <w:szCs w:val="27"/>
        </w:rPr>
        <w:t>Truck noted that</w:t>
      </w:r>
      <w:r w:rsidRPr="00112487" w:rsidR="005A1075">
        <w:rPr>
          <w:szCs w:val="27"/>
        </w:rPr>
        <w:t xml:space="preserve"> a recent appellate decision,</w:t>
      </w:r>
      <w:r w:rsidRPr="00112487">
        <w:rPr>
          <w:szCs w:val="27"/>
        </w:rPr>
        <w:t xml:space="preserve"> </w:t>
      </w:r>
      <w:r w:rsidRPr="00112487">
        <w:rPr>
          <w:i/>
          <w:iCs/>
          <w:szCs w:val="27"/>
        </w:rPr>
        <w:t>SantaFe</w:t>
      </w:r>
      <w:r w:rsidRPr="00112487" w:rsidR="00CC2E7B">
        <w:rPr>
          <w:szCs w:val="27"/>
        </w:rPr>
        <w:t>,</w:t>
      </w:r>
      <w:r w:rsidRPr="00112487" w:rsidR="00CC2E7B">
        <w:rPr>
          <w:i/>
          <w:iCs/>
          <w:szCs w:val="27"/>
        </w:rPr>
        <w:t xml:space="preserve"> supra</w:t>
      </w:r>
      <w:r w:rsidRPr="00112487" w:rsidR="00CC2E7B">
        <w:rPr>
          <w:szCs w:val="27"/>
        </w:rPr>
        <w:t>,</w:t>
      </w:r>
      <w:r w:rsidRPr="00112487" w:rsidR="00CC2E7B">
        <w:rPr>
          <w:i/>
          <w:iCs/>
          <w:szCs w:val="27"/>
        </w:rPr>
        <w:t xml:space="preserve"> </w:t>
      </w:r>
      <w:r w:rsidRPr="00112487">
        <w:rPr>
          <w:szCs w:val="27"/>
        </w:rPr>
        <w:t>52</w:t>
      </w:r>
      <w:r w:rsidRPr="00112487" w:rsidR="00C975D5">
        <w:rPr>
          <w:szCs w:val="27"/>
        </w:rPr>
        <w:t> </w:t>
      </w:r>
      <w:r w:rsidRPr="00112487">
        <w:rPr>
          <w:szCs w:val="27"/>
        </w:rPr>
        <w:t>Cal.App.5th 19</w:t>
      </w:r>
      <w:r w:rsidRPr="00112487" w:rsidR="00CC2E7B">
        <w:rPr>
          <w:szCs w:val="27"/>
        </w:rPr>
        <w:t xml:space="preserve">, </w:t>
      </w:r>
      <w:r w:rsidRPr="00112487">
        <w:rPr>
          <w:szCs w:val="27"/>
        </w:rPr>
        <w:t>had reached exactly that conclusion in a</w:t>
      </w:r>
      <w:r w:rsidRPr="00112487" w:rsidR="005A1075">
        <w:rPr>
          <w:szCs w:val="27"/>
        </w:rPr>
        <w:t xml:space="preserve"> </w:t>
      </w:r>
      <w:r w:rsidRPr="00112487">
        <w:rPr>
          <w:szCs w:val="27"/>
        </w:rPr>
        <w:t xml:space="preserve">coverage </w:t>
      </w:r>
      <w:r w:rsidRPr="00112487" w:rsidR="005A1075">
        <w:rPr>
          <w:szCs w:val="27"/>
        </w:rPr>
        <w:t xml:space="preserve">dispute </w:t>
      </w:r>
      <w:r w:rsidRPr="00112487" w:rsidR="00EE5969">
        <w:rPr>
          <w:szCs w:val="27"/>
        </w:rPr>
        <w:t xml:space="preserve">in which </w:t>
      </w:r>
      <w:r w:rsidRPr="00112487" w:rsidR="00CC2E7B">
        <w:rPr>
          <w:szCs w:val="27"/>
        </w:rPr>
        <w:t xml:space="preserve">the </w:t>
      </w:r>
      <w:r w:rsidRPr="00112487">
        <w:rPr>
          <w:szCs w:val="27"/>
        </w:rPr>
        <w:t xml:space="preserve">insured </w:t>
      </w:r>
      <w:r w:rsidRPr="00112487" w:rsidR="006914AA">
        <w:rPr>
          <w:szCs w:val="27"/>
        </w:rPr>
        <w:t xml:space="preserve">had sought </w:t>
      </w:r>
      <w:r w:rsidRPr="00112487">
        <w:rPr>
          <w:szCs w:val="27"/>
        </w:rPr>
        <w:t>access</w:t>
      </w:r>
      <w:r w:rsidRPr="00112487" w:rsidR="006914AA">
        <w:rPr>
          <w:szCs w:val="27"/>
        </w:rPr>
        <w:t xml:space="preserve"> to</w:t>
      </w:r>
      <w:r w:rsidRPr="00112487">
        <w:rPr>
          <w:szCs w:val="27"/>
        </w:rPr>
        <w:t xml:space="preserve"> a first-level excess policy </w:t>
      </w:r>
      <w:r w:rsidRPr="00112487" w:rsidR="00CC2E7B">
        <w:rPr>
          <w:szCs w:val="27"/>
        </w:rPr>
        <w:t xml:space="preserve">immediately </w:t>
      </w:r>
      <w:r w:rsidRPr="00112487" w:rsidR="00A5583A">
        <w:rPr>
          <w:szCs w:val="27"/>
        </w:rPr>
        <w:t>upon exhaustion of the directly underlying primary policy</w:t>
      </w:r>
      <w:r w:rsidRPr="00112487" w:rsidR="009C38B9">
        <w:rPr>
          <w:szCs w:val="27"/>
        </w:rPr>
        <w:t xml:space="preserve">.  </w:t>
      </w:r>
      <w:r w:rsidRPr="00112487" w:rsidR="00CC6803">
        <w:rPr>
          <w:szCs w:val="27"/>
        </w:rPr>
        <w:t xml:space="preserve">The </w:t>
      </w:r>
      <w:r w:rsidRPr="00112487" w:rsidR="00CC6803">
        <w:rPr>
          <w:i/>
          <w:iCs/>
          <w:szCs w:val="27"/>
        </w:rPr>
        <w:t>SantaFe</w:t>
      </w:r>
      <w:r w:rsidRPr="00112487" w:rsidR="00CC6803">
        <w:rPr>
          <w:szCs w:val="27"/>
        </w:rPr>
        <w:t xml:space="preserve"> court </w:t>
      </w:r>
      <w:r w:rsidRPr="00112487" w:rsidR="005A1075">
        <w:rPr>
          <w:szCs w:val="27"/>
        </w:rPr>
        <w:t xml:space="preserve">held </w:t>
      </w:r>
      <w:r w:rsidRPr="00112487" w:rsidR="00CC6803">
        <w:rPr>
          <w:szCs w:val="27"/>
        </w:rPr>
        <w:t xml:space="preserve">that </w:t>
      </w:r>
      <w:r w:rsidRPr="00112487" w:rsidR="00CC6803">
        <w:rPr>
          <w:i/>
          <w:iCs/>
          <w:szCs w:val="27"/>
        </w:rPr>
        <w:t>Community Redevelopment</w:t>
      </w:r>
      <w:r w:rsidRPr="00112487" w:rsidR="00CC6803">
        <w:rPr>
          <w:szCs w:val="27"/>
        </w:rPr>
        <w:t xml:space="preserve"> and other decisions that had embraced horizontal exhaustion </w:t>
      </w:r>
      <w:r w:rsidRPr="00112487" w:rsidR="009E6D6F">
        <w:rPr>
          <w:szCs w:val="27"/>
        </w:rPr>
        <w:t>based on “other insurance” provis</w:t>
      </w:r>
      <w:r w:rsidRPr="00112487" w:rsidR="005A1075">
        <w:rPr>
          <w:szCs w:val="27"/>
        </w:rPr>
        <w:t>i</w:t>
      </w:r>
      <w:r w:rsidRPr="00112487" w:rsidR="009E6D6F">
        <w:rPr>
          <w:szCs w:val="27"/>
        </w:rPr>
        <w:t>o</w:t>
      </w:r>
      <w:r w:rsidRPr="00112487" w:rsidR="005A1075">
        <w:rPr>
          <w:szCs w:val="27"/>
        </w:rPr>
        <w:t>n</w:t>
      </w:r>
      <w:r w:rsidRPr="00112487" w:rsidR="009E6D6F">
        <w:rPr>
          <w:szCs w:val="27"/>
        </w:rPr>
        <w:t xml:space="preserve">s </w:t>
      </w:r>
      <w:r w:rsidRPr="00112487" w:rsidR="00CC6803">
        <w:rPr>
          <w:szCs w:val="27"/>
        </w:rPr>
        <w:t xml:space="preserve">had “rel[ied] on an interpretation of policy language rejected by the Supreme Court in </w:t>
      </w:r>
      <w:r w:rsidRPr="00112487" w:rsidR="00CC6803">
        <w:rPr>
          <w:i/>
          <w:iCs/>
          <w:szCs w:val="27"/>
        </w:rPr>
        <w:t xml:space="preserve">Montrose </w:t>
      </w:r>
      <w:r w:rsidR="008C0B88">
        <w:rPr>
          <w:i/>
          <w:iCs/>
          <w:szCs w:val="27"/>
        </w:rPr>
        <w:t>I</w:t>
      </w:r>
      <w:r w:rsidRPr="00112487" w:rsidR="00CC6803">
        <w:rPr>
          <w:i/>
          <w:iCs/>
          <w:szCs w:val="27"/>
        </w:rPr>
        <w:t>II</w:t>
      </w:r>
      <w:r w:rsidRPr="00112487" w:rsidR="00CC6803">
        <w:rPr>
          <w:szCs w:val="27"/>
        </w:rPr>
        <w:t>.”  (</w:t>
      </w:r>
      <w:r w:rsidRPr="00112487" w:rsidR="00CC6803">
        <w:rPr>
          <w:i/>
          <w:iCs/>
          <w:szCs w:val="27"/>
        </w:rPr>
        <w:t>SantaFe</w:t>
      </w:r>
      <w:r w:rsidRPr="00112487" w:rsidR="00CC6803">
        <w:rPr>
          <w:szCs w:val="27"/>
        </w:rPr>
        <w:t>, at p. 30.)</w:t>
      </w:r>
      <w:r w:rsidRPr="00112487" w:rsidR="005A1075">
        <w:rPr>
          <w:szCs w:val="27"/>
        </w:rPr>
        <w:t xml:space="preserve"> </w:t>
      </w:r>
    </w:p>
    <w:p w:rsidR="00D25BC7" w:rsidRPr="00112487" w:rsidP="00A25E48" w14:paraId="679C7925" w14:textId="77777777">
      <w:pPr>
        <w:ind w:firstLine="720"/>
        <w:rPr>
          <w:szCs w:val="27"/>
        </w:rPr>
      </w:pPr>
      <w:r w:rsidRPr="00112487">
        <w:rPr>
          <w:szCs w:val="27"/>
        </w:rPr>
        <w:t>The Court of Appeal</w:t>
      </w:r>
      <w:r w:rsidRPr="00112487" w:rsidR="005A1075">
        <w:rPr>
          <w:szCs w:val="27"/>
        </w:rPr>
        <w:t>, however,</w:t>
      </w:r>
      <w:r w:rsidRPr="00112487" w:rsidR="004F1561">
        <w:rPr>
          <w:szCs w:val="27"/>
        </w:rPr>
        <w:t xml:space="preserve"> disagreed with Truck and</w:t>
      </w:r>
      <w:r w:rsidRPr="00112487" w:rsidR="00A55626">
        <w:rPr>
          <w:szCs w:val="27"/>
        </w:rPr>
        <w:t xml:space="preserve"> expressly</w:t>
      </w:r>
      <w:r w:rsidRPr="00112487" w:rsidR="004F1561">
        <w:rPr>
          <w:szCs w:val="27"/>
        </w:rPr>
        <w:t xml:space="preserve"> rejected </w:t>
      </w:r>
      <w:r w:rsidRPr="00112487" w:rsidR="00A5583A">
        <w:rPr>
          <w:i/>
          <w:iCs/>
          <w:szCs w:val="27"/>
        </w:rPr>
        <w:t>SantaFe</w:t>
      </w:r>
      <w:r w:rsidRPr="00112487" w:rsidR="004F1561">
        <w:rPr>
          <w:szCs w:val="27"/>
        </w:rPr>
        <w:t xml:space="preserve">’s application of </w:t>
      </w:r>
      <w:r w:rsidRPr="00112487" w:rsidR="00B62BB2">
        <w:rPr>
          <w:i/>
          <w:iCs/>
          <w:szCs w:val="27"/>
        </w:rPr>
        <w:t>Montrose III</w:t>
      </w:r>
      <w:r w:rsidRPr="00112487" w:rsidR="004F1561">
        <w:rPr>
          <w:szCs w:val="27"/>
        </w:rPr>
        <w:t xml:space="preserve">. </w:t>
      </w:r>
      <w:r w:rsidRPr="00112487" w:rsidR="009C38B9">
        <w:rPr>
          <w:szCs w:val="27"/>
        </w:rPr>
        <w:t xml:space="preserve"> </w:t>
      </w:r>
      <w:r w:rsidRPr="00112487" w:rsidR="00374EC6">
        <w:rPr>
          <w:szCs w:val="27"/>
        </w:rPr>
        <w:t xml:space="preserve">In the court’s view, </w:t>
      </w:r>
      <w:r w:rsidRPr="00112487" w:rsidR="00B62BB2">
        <w:rPr>
          <w:i/>
          <w:iCs/>
          <w:szCs w:val="27"/>
        </w:rPr>
        <w:t>Montrose III</w:t>
      </w:r>
      <w:r w:rsidRPr="00112487" w:rsidR="00374EC6">
        <w:rPr>
          <w:szCs w:val="27"/>
        </w:rPr>
        <w:t>’s interpretation of “other insurance” provisions was limited to</w:t>
      </w:r>
      <w:r w:rsidRPr="00112487" w:rsidR="001F6961">
        <w:rPr>
          <w:szCs w:val="27"/>
        </w:rPr>
        <w:t xml:space="preserve"> situations involving</w:t>
      </w:r>
      <w:r w:rsidRPr="00112487" w:rsidR="00374EC6">
        <w:rPr>
          <w:szCs w:val="27"/>
        </w:rPr>
        <w:t xml:space="preserve"> </w:t>
      </w:r>
      <w:r w:rsidRPr="00112487" w:rsidR="001F6961">
        <w:rPr>
          <w:szCs w:val="27"/>
        </w:rPr>
        <w:t xml:space="preserve">“multiple layers of excess insurance” </w:t>
      </w:r>
      <w:r w:rsidRPr="00112487" w:rsidR="00374EC6">
        <w:rPr>
          <w:szCs w:val="27"/>
        </w:rPr>
        <w:t xml:space="preserve">and had no application </w:t>
      </w:r>
      <w:r w:rsidRPr="00112487" w:rsidR="001F6961">
        <w:rPr>
          <w:szCs w:val="27"/>
        </w:rPr>
        <w:t>to “layers of primary and excess insurance.”</w:t>
      </w:r>
      <w:r w:rsidRPr="00112487" w:rsidR="00A55626">
        <w:rPr>
          <w:szCs w:val="27"/>
        </w:rPr>
        <w:t xml:space="preserve"> </w:t>
      </w:r>
      <w:r w:rsidRPr="00112487" w:rsidR="001F6961">
        <w:rPr>
          <w:szCs w:val="27"/>
        </w:rPr>
        <w:t xml:space="preserve"> </w:t>
      </w:r>
      <w:r w:rsidRPr="00112487" w:rsidR="00374EC6">
        <w:rPr>
          <w:szCs w:val="27"/>
        </w:rPr>
        <w:t xml:space="preserve">In support, the court noted the </w:t>
      </w:r>
      <w:r w:rsidRPr="00112487">
        <w:rPr>
          <w:szCs w:val="27"/>
        </w:rPr>
        <w:t>“qualitative[]” distinctions between primary and excess insurance</w:t>
      </w:r>
      <w:r w:rsidRPr="00112487" w:rsidR="005A1075">
        <w:rPr>
          <w:szCs w:val="27"/>
        </w:rPr>
        <w:t>.</w:t>
      </w:r>
      <w:r w:rsidRPr="00112487">
        <w:rPr>
          <w:szCs w:val="27"/>
        </w:rPr>
        <w:t xml:space="preserve"> </w:t>
      </w:r>
      <w:r w:rsidRPr="00112487" w:rsidR="005A1075">
        <w:rPr>
          <w:szCs w:val="27"/>
        </w:rPr>
        <w:t xml:space="preserve"> </w:t>
      </w:r>
      <w:r w:rsidRPr="00112487" w:rsidR="00374EC6">
        <w:rPr>
          <w:szCs w:val="27"/>
        </w:rPr>
        <w:t xml:space="preserve">According to the court, whatever effect “other insurance” </w:t>
      </w:r>
      <w:r w:rsidRPr="00112487" w:rsidR="00C476EA">
        <w:rPr>
          <w:szCs w:val="27"/>
        </w:rPr>
        <w:t>clauses might have in other contexts, for purposes of first-level excess policies</w:t>
      </w:r>
      <w:r w:rsidRPr="00112487" w:rsidR="00EE5969">
        <w:rPr>
          <w:szCs w:val="27"/>
        </w:rPr>
        <w:t xml:space="preserve"> that sit over primary insurance</w:t>
      </w:r>
      <w:r w:rsidRPr="00112487" w:rsidR="00C476EA">
        <w:rPr>
          <w:szCs w:val="27"/>
        </w:rPr>
        <w:t xml:space="preserve">, such provisions were most reasonably construed to include any primary policies </w:t>
      </w:r>
      <w:r w:rsidRPr="00112487" w:rsidR="00B73967">
        <w:rPr>
          <w:szCs w:val="27"/>
        </w:rPr>
        <w:t xml:space="preserve">that had been </w:t>
      </w:r>
      <w:r w:rsidRPr="00112487" w:rsidR="00C476EA">
        <w:rPr>
          <w:szCs w:val="27"/>
        </w:rPr>
        <w:t>issued during the</w:t>
      </w:r>
      <w:r w:rsidRPr="00112487" w:rsidR="00B73967">
        <w:rPr>
          <w:szCs w:val="27"/>
        </w:rPr>
        <w:t xml:space="preserve"> relevant period of</w:t>
      </w:r>
      <w:r w:rsidRPr="00112487" w:rsidR="00C476EA">
        <w:rPr>
          <w:szCs w:val="27"/>
        </w:rPr>
        <w:t xml:space="preserve"> </w:t>
      </w:r>
      <w:r w:rsidRPr="00112487" w:rsidR="006914AA">
        <w:rPr>
          <w:szCs w:val="27"/>
        </w:rPr>
        <w:t>continuous</w:t>
      </w:r>
      <w:r w:rsidRPr="00112487" w:rsidR="00C476EA">
        <w:rPr>
          <w:szCs w:val="27"/>
        </w:rPr>
        <w:t xml:space="preserve"> injury.</w:t>
      </w:r>
    </w:p>
    <w:p w:rsidR="001F6961" w:rsidRPr="00112487" w:rsidP="00A25E48" w14:paraId="679C7926" w14:textId="77777777">
      <w:pPr>
        <w:ind w:firstLine="720"/>
        <w:rPr>
          <w:szCs w:val="27"/>
        </w:rPr>
      </w:pPr>
      <w:r w:rsidRPr="00112487">
        <w:rPr>
          <w:szCs w:val="27"/>
        </w:rPr>
        <w:t xml:space="preserve">Having concluded that the </w:t>
      </w:r>
      <w:r w:rsidRPr="00112487" w:rsidR="00B60BDF">
        <w:rPr>
          <w:szCs w:val="27"/>
        </w:rPr>
        <w:t xml:space="preserve">first-level </w:t>
      </w:r>
      <w:r w:rsidRPr="00112487">
        <w:rPr>
          <w:szCs w:val="27"/>
        </w:rPr>
        <w:t xml:space="preserve">excess </w:t>
      </w:r>
      <w:r w:rsidRPr="00112487" w:rsidR="00B73967">
        <w:rPr>
          <w:szCs w:val="27"/>
        </w:rPr>
        <w:t xml:space="preserve">insurers did </w:t>
      </w:r>
      <w:r w:rsidRPr="00112487" w:rsidR="008960CC">
        <w:rPr>
          <w:szCs w:val="27"/>
        </w:rPr>
        <w:t xml:space="preserve">not </w:t>
      </w:r>
      <w:r w:rsidRPr="00112487" w:rsidR="00B73967">
        <w:rPr>
          <w:szCs w:val="27"/>
        </w:rPr>
        <w:t xml:space="preserve">owe </w:t>
      </w:r>
      <w:r w:rsidRPr="00112487" w:rsidR="008960CC">
        <w:rPr>
          <w:szCs w:val="27"/>
        </w:rPr>
        <w:t xml:space="preserve">Kaiser any </w:t>
      </w:r>
      <w:r w:rsidRPr="00112487" w:rsidR="00B73967">
        <w:rPr>
          <w:szCs w:val="27"/>
        </w:rPr>
        <w:t xml:space="preserve">indemnity obligation </w:t>
      </w:r>
      <w:r w:rsidRPr="00112487">
        <w:rPr>
          <w:szCs w:val="27"/>
        </w:rPr>
        <w:t xml:space="preserve">until </w:t>
      </w:r>
      <w:r w:rsidRPr="00112487" w:rsidR="00A55626">
        <w:rPr>
          <w:szCs w:val="27"/>
        </w:rPr>
        <w:t xml:space="preserve">Kaiser had exhausted </w:t>
      </w:r>
      <w:r w:rsidRPr="00112487" w:rsidR="00B73967">
        <w:rPr>
          <w:szCs w:val="27"/>
        </w:rPr>
        <w:t xml:space="preserve">every </w:t>
      </w:r>
      <w:r w:rsidRPr="00112487">
        <w:rPr>
          <w:szCs w:val="27"/>
        </w:rPr>
        <w:t xml:space="preserve">primary </w:t>
      </w:r>
      <w:r w:rsidRPr="00112487" w:rsidR="00B73967">
        <w:rPr>
          <w:szCs w:val="27"/>
        </w:rPr>
        <w:t xml:space="preserve">policy </w:t>
      </w:r>
      <w:r w:rsidRPr="00112487">
        <w:rPr>
          <w:szCs w:val="27"/>
        </w:rPr>
        <w:t>issued during the period of continu</w:t>
      </w:r>
      <w:r w:rsidRPr="00112487" w:rsidR="006914AA">
        <w:rPr>
          <w:szCs w:val="27"/>
        </w:rPr>
        <w:t>ous</w:t>
      </w:r>
      <w:r w:rsidRPr="00112487">
        <w:rPr>
          <w:szCs w:val="27"/>
        </w:rPr>
        <w:t xml:space="preserve"> damage, the court concluded there was no possible basis </w:t>
      </w:r>
      <w:r w:rsidRPr="00112487" w:rsidR="00E8382C">
        <w:rPr>
          <w:szCs w:val="27"/>
        </w:rPr>
        <w:t xml:space="preserve">to award </w:t>
      </w:r>
      <w:r w:rsidRPr="00112487">
        <w:rPr>
          <w:szCs w:val="27"/>
        </w:rPr>
        <w:t>Truck</w:t>
      </w:r>
      <w:r w:rsidRPr="00112487" w:rsidR="00E8382C">
        <w:rPr>
          <w:szCs w:val="27"/>
        </w:rPr>
        <w:t xml:space="preserve"> contribution</w:t>
      </w:r>
      <w:r w:rsidRPr="00112487" w:rsidR="002F5F08">
        <w:rPr>
          <w:szCs w:val="27"/>
        </w:rPr>
        <w:t xml:space="preserve">.  </w:t>
      </w:r>
      <w:r w:rsidRPr="00112487">
        <w:rPr>
          <w:szCs w:val="27"/>
        </w:rPr>
        <w:t>We granted review.</w:t>
      </w:r>
    </w:p>
    <w:p w:rsidR="001F6961" w:rsidRPr="00112487" w:rsidP="00DC2DE6" w14:paraId="679C7927" w14:textId="77777777">
      <w:pPr>
        <w:pStyle w:val="Heading1"/>
        <w:spacing w:before="0" w:line="400" w:lineRule="exact"/>
        <w:rPr>
          <w:szCs w:val="27"/>
        </w:rPr>
      </w:pPr>
      <w:r w:rsidRPr="00112487">
        <w:rPr>
          <w:szCs w:val="27"/>
        </w:rPr>
        <w:t>II.</w:t>
      </w:r>
      <w:r w:rsidRPr="00112487">
        <w:rPr>
          <w:szCs w:val="27"/>
        </w:rPr>
        <w:tab/>
        <w:t xml:space="preserve">DISCUSSION </w:t>
      </w:r>
    </w:p>
    <w:p w:rsidR="00841B4B" w:rsidRPr="00112487" w:rsidP="00DC2DE6" w14:paraId="679C7928" w14:textId="77777777">
      <w:pPr>
        <w:pStyle w:val="Heading2"/>
        <w:spacing w:before="0" w:line="400" w:lineRule="exact"/>
        <w:rPr>
          <w:szCs w:val="27"/>
        </w:rPr>
      </w:pPr>
      <w:r w:rsidRPr="00112487">
        <w:rPr>
          <w:szCs w:val="27"/>
        </w:rPr>
        <w:t>A.</w:t>
      </w:r>
      <w:r w:rsidRPr="00112487">
        <w:rPr>
          <w:szCs w:val="27"/>
        </w:rPr>
        <w:tab/>
        <w:t>Summary of Applicable Law</w:t>
      </w:r>
    </w:p>
    <w:p w:rsidR="00C13FC9" w:rsidRPr="00112487" w:rsidP="00A25E48" w14:paraId="679C7929" w14:textId="77777777">
      <w:pPr>
        <w:ind w:firstLine="720"/>
        <w:rPr>
          <w:szCs w:val="27"/>
        </w:rPr>
      </w:pPr>
      <w:r w:rsidRPr="00112487">
        <w:rPr>
          <w:szCs w:val="27"/>
        </w:rPr>
        <w:t xml:space="preserve">We begin our analysis by </w:t>
      </w:r>
      <w:r w:rsidRPr="00112487" w:rsidR="00B73967">
        <w:rPr>
          <w:szCs w:val="27"/>
        </w:rPr>
        <w:t xml:space="preserve">summarizing </w:t>
      </w:r>
      <w:r w:rsidRPr="00112487" w:rsidR="0073220E">
        <w:rPr>
          <w:szCs w:val="27"/>
        </w:rPr>
        <w:t>legal principles</w:t>
      </w:r>
      <w:r w:rsidRPr="00112487" w:rsidR="00E00D16">
        <w:rPr>
          <w:szCs w:val="27"/>
        </w:rPr>
        <w:t xml:space="preserve"> and prior decision</w:t>
      </w:r>
      <w:r w:rsidRPr="00112487" w:rsidR="00B46CB5">
        <w:rPr>
          <w:szCs w:val="27"/>
        </w:rPr>
        <w:t>al</w:t>
      </w:r>
      <w:r w:rsidRPr="00112487" w:rsidR="00E00D16">
        <w:rPr>
          <w:szCs w:val="27"/>
        </w:rPr>
        <w:t xml:space="preserve"> law that relate to the complex questions of insurance </w:t>
      </w:r>
      <w:r w:rsidRPr="00112487" w:rsidR="00177370">
        <w:rPr>
          <w:szCs w:val="27"/>
        </w:rPr>
        <w:t>coverage</w:t>
      </w:r>
      <w:r w:rsidRPr="00112487" w:rsidR="00557379">
        <w:rPr>
          <w:szCs w:val="27"/>
        </w:rPr>
        <w:t xml:space="preserve"> </w:t>
      </w:r>
      <w:r w:rsidRPr="00112487" w:rsidR="00E00D16">
        <w:rPr>
          <w:szCs w:val="27"/>
        </w:rPr>
        <w:t xml:space="preserve">presented in this appeal.  </w:t>
      </w:r>
    </w:p>
    <w:p w:rsidR="00E20FEB" w:rsidRPr="00112487" w:rsidP="00DC2DE6" w14:paraId="679C792A" w14:textId="77777777">
      <w:pPr>
        <w:pStyle w:val="Heading3"/>
        <w:numPr>
          <w:ilvl w:val="0"/>
          <w:numId w:val="15"/>
        </w:numPr>
        <w:spacing w:before="0" w:line="400" w:lineRule="exact"/>
        <w:ind w:left="1584" w:hanging="432"/>
        <w:rPr>
          <w:szCs w:val="27"/>
        </w:rPr>
      </w:pPr>
      <w:r w:rsidRPr="00112487">
        <w:rPr>
          <w:szCs w:val="27"/>
        </w:rPr>
        <w:t>Insurance coverage actions versus contribution action</w:t>
      </w:r>
    </w:p>
    <w:p w:rsidR="00C33E13" w:rsidRPr="00112487" w:rsidP="00A25E48" w14:paraId="679C792B" w14:textId="77777777">
      <w:pPr>
        <w:ind w:firstLine="720"/>
        <w:rPr>
          <w:szCs w:val="27"/>
        </w:rPr>
      </w:pPr>
      <w:r w:rsidRPr="00112487">
        <w:rPr>
          <w:szCs w:val="27"/>
        </w:rPr>
        <w:t xml:space="preserve">We have previously </w:t>
      </w:r>
      <w:r w:rsidRPr="00112487" w:rsidR="00301509">
        <w:rPr>
          <w:szCs w:val="27"/>
        </w:rPr>
        <w:t>distinguishe</w:t>
      </w:r>
      <w:r w:rsidRPr="00112487" w:rsidR="00B60BDF">
        <w:rPr>
          <w:szCs w:val="27"/>
        </w:rPr>
        <w:t>d</w:t>
      </w:r>
      <w:r w:rsidRPr="00112487" w:rsidR="00B46CB5">
        <w:rPr>
          <w:szCs w:val="27"/>
        </w:rPr>
        <w:t xml:space="preserve"> between</w:t>
      </w:r>
      <w:r w:rsidRPr="00112487" w:rsidR="00301509">
        <w:rPr>
          <w:szCs w:val="27"/>
        </w:rPr>
        <w:t xml:space="preserve"> </w:t>
      </w:r>
      <w:r w:rsidRPr="00112487" w:rsidR="0046586D">
        <w:rPr>
          <w:szCs w:val="27"/>
        </w:rPr>
        <w:t xml:space="preserve">two forms of insurance disputes:  insurance </w:t>
      </w:r>
      <w:r w:rsidRPr="00112487" w:rsidR="00301509">
        <w:rPr>
          <w:szCs w:val="27"/>
        </w:rPr>
        <w:t xml:space="preserve">coverage </w:t>
      </w:r>
      <w:r w:rsidRPr="00112487" w:rsidR="0046586D">
        <w:rPr>
          <w:szCs w:val="27"/>
        </w:rPr>
        <w:t>actions</w:t>
      </w:r>
      <w:r w:rsidRPr="00112487" w:rsidR="00301509">
        <w:rPr>
          <w:szCs w:val="27"/>
        </w:rPr>
        <w:t xml:space="preserve">, which </w:t>
      </w:r>
      <w:r w:rsidRPr="00112487" w:rsidR="006914AA">
        <w:rPr>
          <w:szCs w:val="27"/>
        </w:rPr>
        <w:t>typically</w:t>
      </w:r>
      <w:r w:rsidRPr="00112487" w:rsidR="00A64EA3">
        <w:rPr>
          <w:szCs w:val="27"/>
        </w:rPr>
        <w:t xml:space="preserve"> </w:t>
      </w:r>
      <w:r w:rsidRPr="00112487" w:rsidR="00301509">
        <w:rPr>
          <w:szCs w:val="27"/>
        </w:rPr>
        <w:t xml:space="preserve">involve a dispute </w:t>
      </w:r>
      <w:r w:rsidRPr="00112487" w:rsidR="00A64EA3">
        <w:rPr>
          <w:szCs w:val="27"/>
        </w:rPr>
        <w:t>between an insured and an insurer regarding</w:t>
      </w:r>
      <w:r w:rsidRPr="00112487" w:rsidR="0073220E">
        <w:rPr>
          <w:szCs w:val="27"/>
        </w:rPr>
        <w:t xml:space="preserve"> the insurer’s</w:t>
      </w:r>
      <w:r w:rsidRPr="00112487" w:rsidR="00A64EA3">
        <w:rPr>
          <w:szCs w:val="27"/>
        </w:rPr>
        <w:t xml:space="preserve"> indemnity </w:t>
      </w:r>
      <w:r w:rsidR="00F577C5">
        <w:rPr>
          <w:szCs w:val="27"/>
        </w:rPr>
        <w:t xml:space="preserve">and defense </w:t>
      </w:r>
      <w:r w:rsidRPr="00112487" w:rsidR="00A64EA3">
        <w:rPr>
          <w:szCs w:val="27"/>
        </w:rPr>
        <w:t xml:space="preserve">obligations, </w:t>
      </w:r>
      <w:r w:rsidRPr="00112487" w:rsidR="00301509">
        <w:rPr>
          <w:szCs w:val="27"/>
        </w:rPr>
        <w:t xml:space="preserve">and equitable contribution claims, </w:t>
      </w:r>
      <w:r w:rsidRPr="00112487" w:rsidR="0073220E">
        <w:rPr>
          <w:szCs w:val="27"/>
        </w:rPr>
        <w:t xml:space="preserve">in which </w:t>
      </w:r>
      <w:r w:rsidRPr="00112487" w:rsidR="00301509">
        <w:rPr>
          <w:szCs w:val="27"/>
        </w:rPr>
        <w:t>one insurer seek</w:t>
      </w:r>
      <w:r w:rsidRPr="00112487" w:rsidR="00A64EA3">
        <w:rPr>
          <w:szCs w:val="27"/>
        </w:rPr>
        <w:t>s</w:t>
      </w:r>
      <w:r w:rsidRPr="00112487" w:rsidR="00301509">
        <w:rPr>
          <w:szCs w:val="27"/>
        </w:rPr>
        <w:t xml:space="preserve"> recovery from another insurer that allegedly covered the same</w:t>
      </w:r>
      <w:r w:rsidRPr="00112487">
        <w:rPr>
          <w:szCs w:val="27"/>
        </w:rPr>
        <w:t xml:space="preserve"> </w:t>
      </w:r>
      <w:r w:rsidRPr="00112487" w:rsidR="00301509">
        <w:rPr>
          <w:szCs w:val="27"/>
        </w:rPr>
        <w:t xml:space="preserve">risk and failed to pay its </w:t>
      </w:r>
      <w:r w:rsidRPr="00112487">
        <w:rPr>
          <w:szCs w:val="27"/>
        </w:rPr>
        <w:t xml:space="preserve">proportionate </w:t>
      </w:r>
      <w:r w:rsidRPr="00112487" w:rsidR="00301509">
        <w:rPr>
          <w:szCs w:val="27"/>
        </w:rPr>
        <w:t>share.  (See</w:t>
      </w:r>
      <w:r w:rsidRPr="00112487" w:rsidR="0073220E">
        <w:rPr>
          <w:szCs w:val="27"/>
        </w:rPr>
        <w:t>, e.g.,</w:t>
      </w:r>
      <w:r w:rsidRPr="00112487" w:rsidR="00301509">
        <w:rPr>
          <w:szCs w:val="27"/>
        </w:rPr>
        <w:t xml:space="preserve"> </w:t>
      </w:r>
      <w:r w:rsidRPr="00112487" w:rsidR="00301509">
        <w:rPr>
          <w:i/>
          <w:iCs/>
          <w:szCs w:val="27"/>
        </w:rPr>
        <w:t>Dart</w:t>
      </w:r>
      <w:r w:rsidRPr="00112487" w:rsidR="000C7849">
        <w:rPr>
          <w:szCs w:val="27"/>
        </w:rPr>
        <w:t xml:space="preserve">, </w:t>
      </w:r>
      <w:r w:rsidRPr="00112487" w:rsidR="000C7849">
        <w:rPr>
          <w:i/>
          <w:iCs/>
          <w:szCs w:val="27"/>
        </w:rPr>
        <w:t>supra</w:t>
      </w:r>
      <w:r w:rsidRPr="00112487" w:rsidR="000C7849">
        <w:rPr>
          <w:szCs w:val="27"/>
        </w:rPr>
        <w:t>,</w:t>
      </w:r>
      <w:r w:rsidRPr="00112487" w:rsidR="00301509">
        <w:rPr>
          <w:szCs w:val="27"/>
        </w:rPr>
        <w:t xml:space="preserve"> 28</w:t>
      </w:r>
      <w:r w:rsidRPr="00112487" w:rsidR="006914AA">
        <w:rPr>
          <w:szCs w:val="27"/>
        </w:rPr>
        <w:t> </w:t>
      </w:r>
      <w:r w:rsidRPr="00112487" w:rsidR="00301509">
        <w:rPr>
          <w:szCs w:val="27"/>
        </w:rPr>
        <w:t xml:space="preserve">Cal.4th </w:t>
      </w:r>
      <w:r w:rsidRPr="00112487" w:rsidR="000C7849">
        <w:rPr>
          <w:szCs w:val="27"/>
        </w:rPr>
        <w:t>at p. </w:t>
      </w:r>
      <w:r w:rsidRPr="00112487" w:rsidR="00301509">
        <w:rPr>
          <w:szCs w:val="27"/>
        </w:rPr>
        <w:t>1080 [“the obligation of successive . . . insurers to cover a continuously manifesting injury is a separate issue from the obligations of the insurers to each other</w:t>
      </w:r>
      <w:r w:rsidRPr="00112487" w:rsidR="00F03891">
        <w:rPr>
          <w:szCs w:val="27"/>
        </w:rPr>
        <w:t>. </w:t>
      </w:r>
      <w:r w:rsidRPr="00112487" w:rsidR="00301509">
        <w:rPr>
          <w:szCs w:val="27"/>
        </w:rPr>
        <w:t>. . .</w:t>
      </w:r>
      <w:r w:rsidRPr="00112487" w:rsidR="00177370">
        <w:rPr>
          <w:szCs w:val="27"/>
        </w:rPr>
        <w:t xml:space="preserve"> </w:t>
      </w:r>
      <w:r w:rsidRPr="00112487" w:rsidR="00301509">
        <w:rPr>
          <w:szCs w:val="27"/>
        </w:rPr>
        <w:t xml:space="preserve"> </w:t>
      </w:r>
      <w:r w:rsidRPr="00112487" w:rsidR="00F03891">
        <w:rPr>
          <w:szCs w:val="27"/>
        </w:rPr>
        <w:t>‘</w:t>
      </w:r>
      <w:r w:rsidRPr="00112487" w:rsidR="00301509">
        <w:rPr>
          <w:szCs w:val="27"/>
        </w:rPr>
        <w:t>[</w:t>
      </w:r>
      <w:r w:rsidRPr="00112487" w:rsidR="00F03891">
        <w:rPr>
          <w:szCs w:val="27"/>
        </w:rPr>
        <w:t>A</w:t>
      </w:r>
      <w:r w:rsidRPr="00112487" w:rsidR="00301509">
        <w:rPr>
          <w:szCs w:val="27"/>
        </w:rPr>
        <w:t>]pportionment among multiple insurers must be distinguished from apportionment between an insurer and its insured</w:t>
      </w:r>
      <w:r w:rsidRPr="00112487" w:rsidR="00F03891">
        <w:rPr>
          <w:szCs w:val="27"/>
        </w:rPr>
        <w:t>’ </w:t>
      </w:r>
      <w:r w:rsidRPr="00112487" w:rsidR="00301509">
        <w:rPr>
          <w:szCs w:val="27"/>
        </w:rPr>
        <w:t xml:space="preserve">”].)  </w:t>
      </w:r>
    </w:p>
    <w:p w:rsidR="003068AA" w:rsidRPr="00112487" w:rsidP="00A25E48" w14:paraId="679C792C" w14:textId="77777777">
      <w:pPr>
        <w:ind w:firstLine="720"/>
        <w:rPr>
          <w:szCs w:val="27"/>
        </w:rPr>
      </w:pPr>
      <w:r w:rsidRPr="00112487">
        <w:rPr>
          <w:szCs w:val="27"/>
        </w:rPr>
        <w:t xml:space="preserve">Insurance coverage claims between an insured and its insurer are a form of contract dispute </w:t>
      </w:r>
      <w:r w:rsidRPr="00112487" w:rsidR="00A55626">
        <w:rPr>
          <w:szCs w:val="27"/>
        </w:rPr>
        <w:t>and thus</w:t>
      </w:r>
      <w:r w:rsidRPr="00112487">
        <w:rPr>
          <w:szCs w:val="27"/>
        </w:rPr>
        <w:t xml:space="preserve"> focus on “the language of the insurance policies at issue.”  (</w:t>
      </w:r>
      <w:r w:rsidRPr="00112487" w:rsidR="00B62BB2">
        <w:rPr>
          <w:i/>
          <w:iCs/>
          <w:szCs w:val="27"/>
        </w:rPr>
        <w:t>Montrose III</w:t>
      </w:r>
      <w:r w:rsidRPr="00112487">
        <w:rPr>
          <w:szCs w:val="27"/>
        </w:rPr>
        <w:t xml:space="preserve">, </w:t>
      </w:r>
      <w:r w:rsidRPr="00112487">
        <w:rPr>
          <w:i/>
          <w:iCs/>
          <w:szCs w:val="27"/>
        </w:rPr>
        <w:t>supra</w:t>
      </w:r>
      <w:r w:rsidRPr="00112487">
        <w:rPr>
          <w:szCs w:val="27"/>
        </w:rPr>
        <w:t>, 9</w:t>
      </w:r>
      <w:r w:rsidRPr="00112487" w:rsidR="006914AA">
        <w:rPr>
          <w:szCs w:val="27"/>
        </w:rPr>
        <w:t> </w:t>
      </w:r>
      <w:r w:rsidRPr="00112487">
        <w:rPr>
          <w:szCs w:val="27"/>
        </w:rPr>
        <w:t>Cal.5th at pp. 229–230</w:t>
      </w:r>
      <w:r w:rsidRPr="00112487" w:rsidR="007738F5">
        <w:rPr>
          <w:szCs w:val="27"/>
        </w:rPr>
        <w:t>.)</w:t>
      </w:r>
      <w:r w:rsidRPr="00112487">
        <w:rPr>
          <w:szCs w:val="27"/>
        </w:rPr>
        <w:t xml:space="preserve">  “ ‘ “Our goal in construing insurance contracts, as with contracts generally, is to give effect to the parties’ mutual intentions. </w:t>
      </w:r>
      <w:r w:rsidRPr="00112487" w:rsidR="00CA7E0E">
        <w:rPr>
          <w:szCs w:val="27"/>
        </w:rPr>
        <w:t xml:space="preserve"> </w:t>
      </w:r>
      <w:r w:rsidRPr="00112487">
        <w:rPr>
          <w:szCs w:val="27"/>
        </w:rPr>
        <w:t xml:space="preserve">[Citations.] </w:t>
      </w:r>
      <w:r w:rsidRPr="00112487" w:rsidR="00CA7E0E">
        <w:rPr>
          <w:szCs w:val="27"/>
        </w:rPr>
        <w:t xml:space="preserve"> </w:t>
      </w:r>
      <w:r w:rsidRPr="00112487" w:rsidR="00412540">
        <w:rPr>
          <w:szCs w:val="27"/>
        </w:rPr>
        <w:t>‘</w:t>
      </w:r>
      <w:r w:rsidRPr="00112487">
        <w:rPr>
          <w:szCs w:val="27"/>
        </w:rPr>
        <w:t>If contractual language is clear and explicit, it governs.</w:t>
      </w:r>
      <w:r w:rsidRPr="00112487" w:rsidR="00412540">
        <w:rPr>
          <w:szCs w:val="27"/>
        </w:rPr>
        <w:t>’</w:t>
      </w:r>
      <w:r w:rsidRPr="00112487">
        <w:rPr>
          <w:szCs w:val="27"/>
        </w:rPr>
        <w:t xml:space="preserve"> </w:t>
      </w:r>
      <w:r w:rsidRPr="00112487" w:rsidR="00412540">
        <w:rPr>
          <w:szCs w:val="27"/>
        </w:rPr>
        <w:t xml:space="preserve"> </w:t>
      </w:r>
      <w:r w:rsidRPr="00112487">
        <w:rPr>
          <w:szCs w:val="27"/>
        </w:rPr>
        <w:t xml:space="preserve">[Citations.] </w:t>
      </w:r>
      <w:r w:rsidRPr="00112487" w:rsidR="00412540">
        <w:rPr>
          <w:szCs w:val="27"/>
        </w:rPr>
        <w:t xml:space="preserve"> </w:t>
      </w:r>
      <w:r w:rsidRPr="00112487">
        <w:rPr>
          <w:szCs w:val="27"/>
        </w:rPr>
        <w:t>If the terms are ambiguous [i.e., susceptible of more than one reasonable interpretation], we interpret them to protect ‘</w:t>
      </w:r>
      <w:r w:rsidRPr="00112487" w:rsidR="00412540">
        <w:rPr>
          <w:szCs w:val="27"/>
        </w:rPr>
        <w:t> “</w:t>
      </w:r>
      <w:r w:rsidRPr="00112487">
        <w:rPr>
          <w:szCs w:val="27"/>
        </w:rPr>
        <w:t>the objectively reasonable expectations of the insured.</w:t>
      </w:r>
      <w:r w:rsidRPr="00112487" w:rsidR="00412540">
        <w:rPr>
          <w:szCs w:val="27"/>
        </w:rPr>
        <w:t>” </w:t>
      </w:r>
      <w:r w:rsidRPr="00112487">
        <w:rPr>
          <w:szCs w:val="27"/>
        </w:rPr>
        <w:t>’</w:t>
      </w:r>
      <w:r w:rsidRPr="00112487" w:rsidR="00412540">
        <w:rPr>
          <w:szCs w:val="27"/>
        </w:rPr>
        <w:t> </w:t>
      </w:r>
      <w:r w:rsidRPr="00112487">
        <w:rPr>
          <w:szCs w:val="27"/>
        </w:rPr>
        <w:t>”</w:t>
      </w:r>
      <w:r w:rsidRPr="00112487" w:rsidR="00412540">
        <w:rPr>
          <w:szCs w:val="27"/>
        </w:rPr>
        <w:t> </w:t>
      </w:r>
      <w:r w:rsidRPr="00112487">
        <w:rPr>
          <w:szCs w:val="27"/>
        </w:rPr>
        <w:t>’</w:t>
      </w:r>
      <w:r w:rsidRPr="00112487" w:rsidR="00412540">
        <w:rPr>
          <w:szCs w:val="27"/>
        </w:rPr>
        <w:t xml:space="preserve"> </w:t>
      </w:r>
      <w:r w:rsidRPr="00112487" w:rsidR="00CA7E0E">
        <w:rPr>
          <w:szCs w:val="27"/>
        </w:rPr>
        <w:t xml:space="preserve"> </w:t>
      </w:r>
      <w:r w:rsidRPr="00112487" w:rsidR="00412540">
        <w:rPr>
          <w:szCs w:val="27"/>
        </w:rPr>
        <w:t xml:space="preserve">[Citation.]  </w:t>
      </w:r>
      <w:r w:rsidRPr="00112487">
        <w:rPr>
          <w:szCs w:val="27"/>
        </w:rPr>
        <w:t>If these rules do not resolve an ambiguity, we may then ‘</w:t>
      </w:r>
      <w:r w:rsidRPr="00112487" w:rsidR="00412540">
        <w:rPr>
          <w:szCs w:val="27"/>
        </w:rPr>
        <w:t> “</w:t>
      </w:r>
      <w:r w:rsidRPr="00112487">
        <w:rPr>
          <w:szCs w:val="27"/>
        </w:rPr>
        <w:t>resort to the rule that ambiguities are to be resolved against the insurer.</w:t>
      </w:r>
      <w:r w:rsidRPr="00112487" w:rsidR="00412540">
        <w:rPr>
          <w:szCs w:val="27"/>
        </w:rPr>
        <w:t>” </w:t>
      </w:r>
      <w:r w:rsidRPr="00112487">
        <w:rPr>
          <w:szCs w:val="27"/>
        </w:rPr>
        <w:t>’</w:t>
      </w:r>
      <w:r w:rsidRPr="00112487" w:rsidR="00412540">
        <w:rPr>
          <w:szCs w:val="27"/>
        </w:rPr>
        <w:t> </w:t>
      </w:r>
      <w:r w:rsidRPr="00112487">
        <w:rPr>
          <w:szCs w:val="27"/>
        </w:rPr>
        <w:t>”</w:t>
      </w:r>
      <w:r w:rsidRPr="00112487" w:rsidR="00412540">
        <w:rPr>
          <w:szCs w:val="27"/>
        </w:rPr>
        <w:t xml:space="preserve">  (</w:t>
      </w:r>
      <w:r w:rsidRPr="00112487" w:rsidR="007738F5">
        <w:rPr>
          <w:i/>
          <w:iCs/>
          <w:szCs w:val="27"/>
        </w:rPr>
        <w:t>Id.</w:t>
      </w:r>
      <w:r w:rsidRPr="00112487" w:rsidR="00412540">
        <w:rPr>
          <w:szCs w:val="27"/>
        </w:rPr>
        <w:t xml:space="preserve"> at p. 23</w:t>
      </w:r>
      <w:r w:rsidRPr="00112487" w:rsidR="005541B6">
        <w:rPr>
          <w:szCs w:val="27"/>
        </w:rPr>
        <w:t>0, bracketed text in original</w:t>
      </w:r>
      <w:r w:rsidRPr="00112487" w:rsidR="00412540">
        <w:rPr>
          <w:szCs w:val="27"/>
        </w:rPr>
        <w:t>.)</w:t>
      </w:r>
      <w:r w:rsidRPr="00112487" w:rsidR="00B45805">
        <w:rPr>
          <w:szCs w:val="27"/>
        </w:rPr>
        <w:t xml:space="preserve">  “</w:t>
      </w:r>
      <w:r w:rsidRPr="00112487" w:rsidR="006D4A56">
        <w:rPr>
          <w:szCs w:val="27"/>
        </w:rPr>
        <w:t> </w:t>
      </w:r>
      <w:r w:rsidRPr="00112487" w:rsidR="007738F5">
        <w:rPr>
          <w:szCs w:val="27"/>
        </w:rPr>
        <w:t>‘</w:t>
      </w:r>
      <w:r w:rsidRPr="00112487" w:rsidR="00B45805">
        <w:rPr>
          <w:szCs w:val="27"/>
        </w:rPr>
        <w:t xml:space="preserve">Because the insurer writes the policy, it is held </w:t>
      </w:r>
      <w:r w:rsidRPr="00112487" w:rsidR="006D4A56">
        <w:rPr>
          <w:szCs w:val="27"/>
        </w:rPr>
        <w:t>“</w:t>
      </w:r>
      <w:r w:rsidRPr="00112487" w:rsidR="00B45805">
        <w:rPr>
          <w:szCs w:val="27"/>
        </w:rPr>
        <w:t>responsible</w:t>
      </w:r>
      <w:r w:rsidRPr="00112487" w:rsidR="006D4A56">
        <w:rPr>
          <w:szCs w:val="27"/>
        </w:rPr>
        <w:t>”</w:t>
      </w:r>
      <w:r w:rsidRPr="00112487" w:rsidR="00B45805">
        <w:rPr>
          <w:szCs w:val="27"/>
        </w:rPr>
        <w:t xml:space="preserve"> for ambiguous policy language, which is therefore construed in favor of coverage.</w:t>
      </w:r>
      <w:r w:rsidRPr="00112487" w:rsidR="006D4A56">
        <w:rPr>
          <w:szCs w:val="27"/>
        </w:rPr>
        <w:t>’ </w:t>
      </w:r>
      <w:r w:rsidRPr="00112487" w:rsidR="00B45805">
        <w:rPr>
          <w:szCs w:val="27"/>
        </w:rPr>
        <w:t>”</w:t>
      </w:r>
      <w:r w:rsidRPr="00112487" w:rsidR="006D4A56">
        <w:rPr>
          <w:szCs w:val="27"/>
        </w:rPr>
        <w:t xml:space="preserve">  (</w:t>
      </w:r>
      <w:r w:rsidRPr="00112487" w:rsidR="00B45805">
        <w:rPr>
          <w:i/>
          <w:iCs/>
          <w:szCs w:val="27"/>
        </w:rPr>
        <w:t>Montrose</w:t>
      </w:r>
      <w:r w:rsidRPr="00112487" w:rsidR="00F03891">
        <w:rPr>
          <w:i/>
          <w:iCs/>
          <w:szCs w:val="27"/>
        </w:rPr>
        <w:t xml:space="preserve"> I</w:t>
      </w:r>
      <w:r w:rsidRPr="00112487" w:rsidR="006D4A56">
        <w:rPr>
          <w:szCs w:val="27"/>
        </w:rPr>
        <w:t xml:space="preserve">, </w:t>
      </w:r>
      <w:r w:rsidRPr="00112487" w:rsidR="006D4A56">
        <w:rPr>
          <w:i/>
          <w:iCs/>
          <w:szCs w:val="27"/>
        </w:rPr>
        <w:t>supra</w:t>
      </w:r>
      <w:r w:rsidRPr="00112487" w:rsidR="006D4A56">
        <w:rPr>
          <w:szCs w:val="27"/>
        </w:rPr>
        <w:t xml:space="preserve">, </w:t>
      </w:r>
      <w:r w:rsidRPr="00112487" w:rsidR="00B45805">
        <w:rPr>
          <w:szCs w:val="27"/>
        </w:rPr>
        <w:t>10</w:t>
      </w:r>
      <w:r w:rsidRPr="00112487" w:rsidR="006914AA">
        <w:rPr>
          <w:szCs w:val="27"/>
        </w:rPr>
        <w:t> </w:t>
      </w:r>
      <w:r w:rsidRPr="00112487" w:rsidR="00B45805">
        <w:rPr>
          <w:szCs w:val="27"/>
        </w:rPr>
        <w:t xml:space="preserve">Cal.4th </w:t>
      </w:r>
      <w:r w:rsidRPr="00112487" w:rsidR="006D4A56">
        <w:rPr>
          <w:szCs w:val="27"/>
        </w:rPr>
        <w:t>at p. </w:t>
      </w:r>
      <w:r w:rsidRPr="00112487" w:rsidR="00B45805">
        <w:rPr>
          <w:szCs w:val="27"/>
        </w:rPr>
        <w:t>667</w:t>
      </w:r>
      <w:r w:rsidRPr="00112487" w:rsidR="006D4A56">
        <w:rPr>
          <w:szCs w:val="27"/>
        </w:rPr>
        <w:t xml:space="preserve">.) </w:t>
      </w:r>
    </w:p>
    <w:p w:rsidR="00301509" w:rsidRPr="00112487" w:rsidP="00A25E48" w14:paraId="679C792D" w14:textId="77777777">
      <w:pPr>
        <w:ind w:firstLine="720"/>
        <w:rPr>
          <w:szCs w:val="27"/>
        </w:rPr>
      </w:pPr>
      <w:r w:rsidRPr="00112487">
        <w:rPr>
          <w:szCs w:val="27"/>
        </w:rPr>
        <w:t>“</w:t>
      </w:r>
      <w:r w:rsidRPr="00112487" w:rsidR="007740C5">
        <w:rPr>
          <w:szCs w:val="27"/>
        </w:rPr>
        <w:t>[</w:t>
      </w:r>
      <w:r w:rsidRPr="00112487">
        <w:rPr>
          <w:szCs w:val="27"/>
        </w:rPr>
        <w:t>A</w:t>
      </w:r>
      <w:r w:rsidRPr="00112487" w:rsidR="007740C5">
        <w:rPr>
          <w:szCs w:val="27"/>
        </w:rPr>
        <w:t>]n equitable contribution claim between coinsurers</w:t>
      </w:r>
      <w:r w:rsidRPr="00112487">
        <w:rPr>
          <w:szCs w:val="27"/>
        </w:rPr>
        <w:t xml:space="preserve">[, in contrast,] </w:t>
      </w:r>
      <w:r w:rsidRPr="00112487" w:rsidR="007740C5">
        <w:rPr>
          <w:szCs w:val="27"/>
        </w:rPr>
        <w:t>is not based upon contract, but instead involves ‘</w:t>
      </w:r>
      <w:r w:rsidRPr="00112487" w:rsidR="007D47D7">
        <w:rPr>
          <w:szCs w:val="27"/>
        </w:rPr>
        <w:t> </w:t>
      </w:r>
      <w:r w:rsidRPr="00112487" w:rsidR="007740C5">
        <w:rPr>
          <w:szCs w:val="27"/>
        </w:rPr>
        <w:t>“equitable principles designed to accomplish ultimate justice in the bearing of a specific burden”</w:t>
      </w:r>
      <w:r w:rsidRPr="00112487" w:rsidR="00CA7E0E">
        <w:rPr>
          <w:szCs w:val="27"/>
        </w:rPr>
        <w:t> </w:t>
      </w:r>
      <w:r w:rsidRPr="00112487" w:rsidR="007740C5">
        <w:rPr>
          <w:szCs w:val="27"/>
        </w:rPr>
        <w:t>’ ”  (</w:t>
      </w:r>
      <w:r w:rsidRPr="00112487" w:rsidR="007740C5">
        <w:rPr>
          <w:i/>
          <w:iCs/>
          <w:szCs w:val="27"/>
        </w:rPr>
        <w:t>Axis</w:t>
      </w:r>
      <w:r w:rsidRPr="00112487" w:rsidR="006D4A56">
        <w:rPr>
          <w:szCs w:val="27"/>
        </w:rPr>
        <w:t xml:space="preserve">, </w:t>
      </w:r>
      <w:r w:rsidRPr="00112487" w:rsidR="006D4A56">
        <w:rPr>
          <w:i/>
          <w:iCs/>
          <w:szCs w:val="27"/>
        </w:rPr>
        <w:t>supra</w:t>
      </w:r>
      <w:r w:rsidRPr="00112487" w:rsidR="006D4A56">
        <w:rPr>
          <w:szCs w:val="27"/>
        </w:rPr>
        <w:t xml:space="preserve">, </w:t>
      </w:r>
      <w:r w:rsidRPr="00112487" w:rsidR="007740C5">
        <w:rPr>
          <w:szCs w:val="27"/>
        </w:rPr>
        <w:t>204</w:t>
      </w:r>
      <w:r w:rsidRPr="00112487" w:rsidR="006914AA">
        <w:rPr>
          <w:szCs w:val="27"/>
        </w:rPr>
        <w:t> </w:t>
      </w:r>
      <w:r w:rsidRPr="00112487" w:rsidR="007740C5">
        <w:rPr>
          <w:szCs w:val="27"/>
        </w:rPr>
        <w:t xml:space="preserve">Cal.App.4th </w:t>
      </w:r>
      <w:r w:rsidRPr="00112487" w:rsidR="006D4A56">
        <w:rPr>
          <w:szCs w:val="27"/>
        </w:rPr>
        <w:t>at pp. </w:t>
      </w:r>
      <w:r w:rsidRPr="00112487" w:rsidR="007740C5">
        <w:rPr>
          <w:szCs w:val="27"/>
        </w:rPr>
        <w:t>1227–1228, quotin</w:t>
      </w:r>
      <w:r w:rsidRPr="00112487">
        <w:rPr>
          <w:szCs w:val="27"/>
        </w:rPr>
        <w:t>g</w:t>
      </w:r>
      <w:r w:rsidRPr="00112487" w:rsidR="007740C5">
        <w:rPr>
          <w:szCs w:val="27"/>
        </w:rPr>
        <w:t xml:space="preserve"> </w:t>
      </w:r>
      <w:r w:rsidRPr="00112487">
        <w:rPr>
          <w:i/>
          <w:iCs/>
          <w:szCs w:val="27"/>
        </w:rPr>
        <w:t>Signal</w:t>
      </w:r>
      <w:r w:rsidRPr="00112487" w:rsidR="006D4A56">
        <w:rPr>
          <w:szCs w:val="27"/>
        </w:rPr>
        <w:t xml:space="preserve">, </w:t>
      </w:r>
      <w:r w:rsidRPr="00112487" w:rsidR="006D4A56">
        <w:rPr>
          <w:i/>
          <w:iCs/>
          <w:szCs w:val="27"/>
        </w:rPr>
        <w:t>supra</w:t>
      </w:r>
      <w:r w:rsidRPr="00112487" w:rsidR="006D4A56">
        <w:rPr>
          <w:szCs w:val="27"/>
        </w:rPr>
        <w:t xml:space="preserve">, </w:t>
      </w:r>
      <w:r w:rsidRPr="00112487">
        <w:rPr>
          <w:szCs w:val="27"/>
        </w:rPr>
        <w:t>27</w:t>
      </w:r>
      <w:r w:rsidRPr="00112487" w:rsidR="006914AA">
        <w:rPr>
          <w:szCs w:val="27"/>
        </w:rPr>
        <w:t> </w:t>
      </w:r>
      <w:r w:rsidRPr="00112487">
        <w:rPr>
          <w:szCs w:val="27"/>
        </w:rPr>
        <w:t xml:space="preserve">Cal.3d </w:t>
      </w:r>
      <w:r w:rsidRPr="00112487" w:rsidR="006D4A56">
        <w:rPr>
          <w:szCs w:val="27"/>
        </w:rPr>
        <w:t>at p. </w:t>
      </w:r>
      <w:r w:rsidRPr="00112487">
        <w:rPr>
          <w:szCs w:val="27"/>
        </w:rPr>
        <w:t>369.)</w:t>
      </w:r>
      <w:r w:rsidRPr="00112487" w:rsidR="00CA7E0E">
        <w:rPr>
          <w:szCs w:val="27"/>
        </w:rPr>
        <w:t xml:space="preserve"> </w:t>
      </w:r>
      <w:r w:rsidRPr="00112487">
        <w:rPr>
          <w:szCs w:val="27"/>
        </w:rPr>
        <w:t xml:space="preserve"> “In the insurance context, the right to contribution arises when several insurers are obligated to indemnify or defend the same loss or claim, and one insurer has paid more than its share of the loss or defended the action without any participation by the others. . . .  The purpose of this rule of equity is to accomplish substantial justice by equalizing the common burden shared by coinsurers, and to prevent one insurer from profiting at the expense of others.”  (</w:t>
      </w:r>
      <w:r w:rsidRPr="00112487" w:rsidR="00890800">
        <w:rPr>
          <w:i/>
          <w:iCs/>
          <w:szCs w:val="27"/>
        </w:rPr>
        <w:t>Fireman’s Fund Ins. Co. v. Maryland Cas</w:t>
      </w:r>
      <w:r w:rsidR="00B8659B">
        <w:rPr>
          <w:i/>
          <w:iCs/>
          <w:szCs w:val="27"/>
        </w:rPr>
        <w:t>ualty</w:t>
      </w:r>
      <w:r w:rsidRPr="00112487" w:rsidR="00890800">
        <w:rPr>
          <w:i/>
          <w:iCs/>
          <w:szCs w:val="27"/>
        </w:rPr>
        <w:t xml:space="preserve"> Co</w:t>
      </w:r>
      <w:r w:rsidRPr="00112487" w:rsidR="00890800">
        <w:rPr>
          <w:szCs w:val="27"/>
        </w:rPr>
        <w:t>. (1998) 65</w:t>
      </w:r>
      <w:r w:rsidRPr="00112487" w:rsidR="006914AA">
        <w:rPr>
          <w:szCs w:val="27"/>
        </w:rPr>
        <w:t> </w:t>
      </w:r>
      <w:r w:rsidRPr="00112487" w:rsidR="00890800">
        <w:rPr>
          <w:szCs w:val="27"/>
        </w:rPr>
        <w:t>Cal.App.4th 1279, 1293</w:t>
      </w:r>
      <w:r w:rsidRPr="00112487" w:rsidR="006914AA">
        <w:rPr>
          <w:szCs w:val="27"/>
        </w:rPr>
        <w:t xml:space="preserve"> (</w:t>
      </w:r>
      <w:r w:rsidRPr="00112487" w:rsidR="006914AA">
        <w:rPr>
          <w:i/>
          <w:iCs/>
          <w:szCs w:val="27"/>
        </w:rPr>
        <w:t>Fireman’s Fund</w:t>
      </w:r>
      <w:r w:rsidRPr="00112487" w:rsidR="006914AA">
        <w:rPr>
          <w:szCs w:val="27"/>
        </w:rPr>
        <w:t>)</w:t>
      </w:r>
      <w:r w:rsidRPr="00112487">
        <w:rPr>
          <w:szCs w:val="27"/>
        </w:rPr>
        <w:t xml:space="preserve">.)  </w:t>
      </w:r>
    </w:p>
    <w:p w:rsidR="00566854" w:rsidRPr="00112487" w:rsidP="00A25E48" w14:paraId="679C792E" w14:textId="77777777">
      <w:pPr>
        <w:ind w:firstLine="720"/>
        <w:rPr>
          <w:szCs w:val="27"/>
        </w:rPr>
      </w:pPr>
      <w:r w:rsidRPr="00112487">
        <w:rPr>
          <w:szCs w:val="27"/>
        </w:rPr>
        <w:t xml:space="preserve">Under California law, there is no “definitive rule” that governs </w:t>
      </w:r>
      <w:r w:rsidRPr="00112487" w:rsidR="00890800">
        <w:rPr>
          <w:szCs w:val="27"/>
        </w:rPr>
        <w:t>e</w:t>
      </w:r>
      <w:r w:rsidRPr="00112487">
        <w:rPr>
          <w:szCs w:val="27"/>
        </w:rPr>
        <w:t>quitable contribution.  (</w:t>
      </w:r>
      <w:r w:rsidRPr="00112487">
        <w:rPr>
          <w:i/>
          <w:iCs/>
          <w:szCs w:val="27"/>
        </w:rPr>
        <w:t>Signal</w:t>
      </w:r>
      <w:r w:rsidRPr="00112487">
        <w:rPr>
          <w:szCs w:val="27"/>
        </w:rPr>
        <w:t>,</w:t>
      </w:r>
      <w:r w:rsidRPr="00112487">
        <w:rPr>
          <w:i/>
          <w:iCs/>
          <w:szCs w:val="27"/>
        </w:rPr>
        <w:t xml:space="preserve"> supra</w:t>
      </w:r>
      <w:r w:rsidRPr="00112487">
        <w:rPr>
          <w:szCs w:val="27"/>
        </w:rPr>
        <w:t>, 27</w:t>
      </w:r>
      <w:r w:rsidRPr="00112487" w:rsidR="007D47D7">
        <w:rPr>
          <w:szCs w:val="27"/>
        </w:rPr>
        <w:t> </w:t>
      </w:r>
      <w:r w:rsidRPr="00112487">
        <w:rPr>
          <w:szCs w:val="27"/>
        </w:rPr>
        <w:t xml:space="preserve">Cal.3d at p. 369.)  Rather, </w:t>
      </w:r>
      <w:r w:rsidRPr="00112487" w:rsidR="00890800">
        <w:rPr>
          <w:szCs w:val="27"/>
        </w:rPr>
        <w:t>when evaluating a contribution claim</w:t>
      </w:r>
      <w:r w:rsidRPr="00112487">
        <w:rPr>
          <w:szCs w:val="27"/>
        </w:rPr>
        <w:t>, courts should consider</w:t>
      </w:r>
      <w:r w:rsidRPr="00112487" w:rsidR="00890800">
        <w:rPr>
          <w:szCs w:val="27"/>
        </w:rPr>
        <w:t xml:space="preserve"> a variety of factors, including “the particular policies of insurance, the nature of the claim made, . . . the relation of the insured to the insurers” (</w:t>
      </w:r>
      <w:r w:rsidRPr="00112487" w:rsidR="00890800">
        <w:rPr>
          <w:i/>
          <w:iCs/>
          <w:szCs w:val="27"/>
        </w:rPr>
        <w:t>i</w:t>
      </w:r>
      <w:r w:rsidRPr="00112487" w:rsidR="00CA7E0E">
        <w:rPr>
          <w:i/>
          <w:iCs/>
          <w:szCs w:val="27"/>
        </w:rPr>
        <w:t>bi</w:t>
      </w:r>
      <w:r w:rsidRPr="00112487" w:rsidR="00890800">
        <w:rPr>
          <w:i/>
          <w:iCs/>
          <w:szCs w:val="27"/>
        </w:rPr>
        <w:t>d</w:t>
      </w:r>
      <w:r w:rsidRPr="00112487" w:rsidR="00890800">
        <w:rPr>
          <w:szCs w:val="27"/>
        </w:rPr>
        <w:t>.) and “</w:t>
      </w:r>
      <w:r w:rsidRPr="00112487" w:rsidR="0005637B">
        <w:rPr>
          <w:szCs w:val="27"/>
        </w:rPr>
        <w:t> ‘</w:t>
      </w:r>
      <w:r w:rsidRPr="00112487" w:rsidR="00890800">
        <w:rPr>
          <w:szCs w:val="27"/>
        </w:rPr>
        <w:t>a</w:t>
      </w:r>
      <w:r w:rsidRPr="00112487">
        <w:rPr>
          <w:szCs w:val="27"/>
        </w:rPr>
        <w:t>ny other equitable considerations.’ ”  (</w:t>
      </w:r>
      <w:r w:rsidRPr="00112487">
        <w:rPr>
          <w:i/>
          <w:iCs/>
          <w:szCs w:val="27"/>
        </w:rPr>
        <w:t>Unigard</w:t>
      </w:r>
      <w:r w:rsidRPr="00112487" w:rsidR="00D57465">
        <w:rPr>
          <w:szCs w:val="27"/>
        </w:rPr>
        <w:t xml:space="preserve">, </w:t>
      </w:r>
      <w:r w:rsidRPr="00112487" w:rsidR="00D57465">
        <w:rPr>
          <w:i/>
          <w:iCs/>
          <w:szCs w:val="27"/>
        </w:rPr>
        <w:t>supra</w:t>
      </w:r>
      <w:r w:rsidRPr="00112487" w:rsidR="00D57465">
        <w:rPr>
          <w:szCs w:val="27"/>
        </w:rPr>
        <w:t xml:space="preserve">, </w:t>
      </w:r>
      <w:r w:rsidRPr="00112487">
        <w:rPr>
          <w:szCs w:val="27"/>
        </w:rPr>
        <w:t>79</w:t>
      </w:r>
      <w:r w:rsidRPr="00112487" w:rsidR="00D57465">
        <w:rPr>
          <w:szCs w:val="27"/>
        </w:rPr>
        <w:t> </w:t>
      </w:r>
      <w:r w:rsidRPr="00112487">
        <w:rPr>
          <w:szCs w:val="27"/>
        </w:rPr>
        <w:t xml:space="preserve">Cal.App.4th </w:t>
      </w:r>
      <w:r w:rsidRPr="00112487" w:rsidR="00D57465">
        <w:rPr>
          <w:szCs w:val="27"/>
        </w:rPr>
        <w:t>at p. </w:t>
      </w:r>
      <w:r w:rsidRPr="00112487">
        <w:rPr>
          <w:szCs w:val="27"/>
        </w:rPr>
        <w:t>97</w:t>
      </w:r>
      <w:r w:rsidRPr="00112487" w:rsidR="00D57465">
        <w:rPr>
          <w:szCs w:val="27"/>
        </w:rPr>
        <w:t>4</w:t>
      </w:r>
      <w:r w:rsidRPr="00112487" w:rsidR="00890800">
        <w:rPr>
          <w:szCs w:val="27"/>
        </w:rPr>
        <w:t xml:space="preserve">.)  </w:t>
      </w:r>
      <w:r w:rsidRPr="00112487" w:rsidR="006D4A56">
        <w:rPr>
          <w:szCs w:val="27"/>
        </w:rPr>
        <w:t>Although</w:t>
      </w:r>
      <w:r w:rsidRPr="00112487" w:rsidR="00440383">
        <w:rPr>
          <w:szCs w:val="27"/>
        </w:rPr>
        <w:t xml:space="preserve"> </w:t>
      </w:r>
      <w:r w:rsidRPr="00112487">
        <w:rPr>
          <w:szCs w:val="27"/>
        </w:rPr>
        <w:t xml:space="preserve">equitable contribution </w:t>
      </w:r>
      <w:r w:rsidRPr="00112487" w:rsidR="00440383">
        <w:rPr>
          <w:szCs w:val="27"/>
        </w:rPr>
        <w:t xml:space="preserve">claims are not </w:t>
      </w:r>
      <w:r w:rsidRPr="00112487">
        <w:rPr>
          <w:szCs w:val="27"/>
        </w:rPr>
        <w:t>“</w:t>
      </w:r>
      <w:r w:rsidRPr="00112487" w:rsidR="00CA7E0E">
        <w:rPr>
          <w:szCs w:val="27"/>
        </w:rPr>
        <w:t> ‘</w:t>
      </w:r>
      <w:r w:rsidRPr="00112487">
        <w:rPr>
          <w:szCs w:val="27"/>
        </w:rPr>
        <w:t xml:space="preserve">controlled by </w:t>
      </w:r>
      <w:r w:rsidRPr="00112487" w:rsidR="00CA7E0E">
        <w:rPr>
          <w:szCs w:val="27"/>
        </w:rPr>
        <w:t xml:space="preserve">the </w:t>
      </w:r>
      <w:r w:rsidRPr="00112487">
        <w:rPr>
          <w:szCs w:val="27"/>
        </w:rPr>
        <w:t>language</w:t>
      </w:r>
      <w:r w:rsidRPr="00112487" w:rsidR="00CA7E0E">
        <w:rPr>
          <w:szCs w:val="27"/>
        </w:rPr>
        <w:t xml:space="preserve"> of [the insurers’] contracts with the respective policy holders’ ” (</w:t>
      </w:r>
      <w:r w:rsidRPr="00112487" w:rsidR="00CA7E0E">
        <w:rPr>
          <w:i/>
          <w:iCs/>
          <w:szCs w:val="27"/>
        </w:rPr>
        <w:t>Signal</w:t>
      </w:r>
      <w:r w:rsidRPr="00112487" w:rsidR="00CA7E0E">
        <w:rPr>
          <w:szCs w:val="27"/>
        </w:rPr>
        <w:t xml:space="preserve">, </w:t>
      </w:r>
      <w:r w:rsidRPr="00112487" w:rsidR="00FA13B6">
        <w:rPr>
          <w:szCs w:val="27"/>
        </w:rPr>
        <w:t>at p. </w:t>
      </w:r>
      <w:r w:rsidRPr="00112487" w:rsidR="00CA7E0E">
        <w:rPr>
          <w:szCs w:val="27"/>
        </w:rPr>
        <w:t>369</w:t>
      </w:r>
      <w:r w:rsidRPr="00112487" w:rsidR="00FA13B6">
        <w:rPr>
          <w:szCs w:val="27"/>
        </w:rPr>
        <w:t xml:space="preserve">), </w:t>
      </w:r>
      <w:r w:rsidRPr="00112487" w:rsidR="006D4A56">
        <w:rPr>
          <w:szCs w:val="27"/>
        </w:rPr>
        <w:t xml:space="preserve">we have emphasized that the </w:t>
      </w:r>
      <w:r w:rsidRPr="00112487" w:rsidR="00890800">
        <w:rPr>
          <w:szCs w:val="27"/>
        </w:rPr>
        <w:t xml:space="preserve">policy </w:t>
      </w:r>
      <w:r w:rsidRPr="00112487" w:rsidR="00FF481C">
        <w:rPr>
          <w:szCs w:val="27"/>
        </w:rPr>
        <w:t xml:space="preserve">language </w:t>
      </w:r>
      <w:r w:rsidRPr="00112487" w:rsidR="00440383">
        <w:rPr>
          <w:szCs w:val="27"/>
        </w:rPr>
        <w:t xml:space="preserve">nonetheless remains an important </w:t>
      </w:r>
      <w:r w:rsidRPr="00112487" w:rsidR="00FF481C">
        <w:rPr>
          <w:szCs w:val="27"/>
        </w:rPr>
        <w:t>factor</w:t>
      </w:r>
      <w:r w:rsidRPr="00112487" w:rsidR="00870211">
        <w:rPr>
          <w:szCs w:val="27"/>
        </w:rPr>
        <w:t>.</w:t>
      </w:r>
      <w:r w:rsidRPr="00112487" w:rsidR="00FF481C">
        <w:rPr>
          <w:szCs w:val="27"/>
        </w:rPr>
        <w:t xml:space="preserve"> </w:t>
      </w:r>
      <w:r w:rsidRPr="00112487" w:rsidR="00870211">
        <w:rPr>
          <w:szCs w:val="27"/>
        </w:rPr>
        <w:t xml:space="preserve"> </w:t>
      </w:r>
      <w:r w:rsidRPr="00112487" w:rsidR="00FF481C">
        <w:rPr>
          <w:szCs w:val="27"/>
        </w:rPr>
        <w:t>(</w:t>
      </w:r>
      <w:r w:rsidRPr="00112487" w:rsidR="00870211">
        <w:rPr>
          <w:szCs w:val="27"/>
        </w:rPr>
        <w:t>See</w:t>
      </w:r>
      <w:r w:rsidRPr="00112487" w:rsidR="006D4A56">
        <w:rPr>
          <w:szCs w:val="27"/>
        </w:rPr>
        <w:t xml:space="preserve"> </w:t>
      </w:r>
      <w:r w:rsidRPr="00112487" w:rsidR="00B46CB5">
        <w:rPr>
          <w:i/>
          <w:iCs/>
          <w:szCs w:val="27"/>
        </w:rPr>
        <w:t>ibid.</w:t>
      </w:r>
      <w:r w:rsidRPr="00112487" w:rsidR="006D4A56">
        <w:rPr>
          <w:szCs w:val="27"/>
        </w:rPr>
        <w:t xml:space="preserve"> [courts should not impose contribution on an insurer that “contraven[es] . . . the provisions of its policy” absent “some compelling equitable consideration”];</w:t>
      </w:r>
      <w:r w:rsidRPr="00112487" w:rsidR="00870211">
        <w:rPr>
          <w:szCs w:val="27"/>
        </w:rPr>
        <w:t xml:space="preserve"> </w:t>
      </w:r>
      <w:r w:rsidRPr="00112487" w:rsidR="00FA13B6">
        <w:rPr>
          <w:i/>
          <w:iCs/>
          <w:szCs w:val="27"/>
        </w:rPr>
        <w:t>Unigard</w:t>
      </w:r>
      <w:r w:rsidRPr="00112487" w:rsidR="00FA13B6">
        <w:rPr>
          <w:szCs w:val="27"/>
        </w:rPr>
        <w:t>, at p. </w:t>
      </w:r>
      <w:r w:rsidRPr="00112487" w:rsidR="00FF481C">
        <w:rPr>
          <w:szCs w:val="27"/>
        </w:rPr>
        <w:t>978</w:t>
      </w:r>
      <w:r w:rsidRPr="00112487" w:rsidR="005E7703">
        <w:rPr>
          <w:szCs w:val="27"/>
        </w:rPr>
        <w:t xml:space="preserve">.) </w:t>
      </w:r>
      <w:r w:rsidRPr="00112487" w:rsidR="00FF481C">
        <w:rPr>
          <w:szCs w:val="27"/>
        </w:rPr>
        <w:t xml:space="preserve"> As </w:t>
      </w:r>
      <w:r w:rsidRPr="00112487" w:rsidR="00870211">
        <w:rPr>
          <w:szCs w:val="27"/>
        </w:rPr>
        <w:t xml:space="preserve">explained by </w:t>
      </w:r>
      <w:r w:rsidRPr="00112487" w:rsidR="00C24F20">
        <w:rPr>
          <w:szCs w:val="27"/>
        </w:rPr>
        <w:t>one court</w:t>
      </w:r>
      <w:r w:rsidRPr="00112487" w:rsidR="00870211">
        <w:rPr>
          <w:szCs w:val="27"/>
        </w:rPr>
        <w:t xml:space="preserve">, </w:t>
      </w:r>
      <w:r w:rsidRPr="00112487" w:rsidR="00FF481C">
        <w:rPr>
          <w:szCs w:val="27"/>
        </w:rPr>
        <w:t xml:space="preserve">“if </w:t>
      </w:r>
      <w:r w:rsidRPr="00112487" w:rsidR="00870211">
        <w:rPr>
          <w:szCs w:val="27"/>
        </w:rPr>
        <w:t xml:space="preserve">[an] </w:t>
      </w:r>
      <w:r w:rsidRPr="00112487" w:rsidR="00FF481C">
        <w:rPr>
          <w:szCs w:val="27"/>
        </w:rPr>
        <w:t>insurer never had an obligation to provide coverage, it would be extremely unfair to enforce a contribution action.”  (</w:t>
      </w:r>
      <w:r w:rsidRPr="00112487" w:rsidR="00FF481C">
        <w:rPr>
          <w:i/>
          <w:iCs/>
          <w:szCs w:val="27"/>
        </w:rPr>
        <w:t>Axis</w:t>
      </w:r>
      <w:r w:rsidRPr="00112487" w:rsidR="00FF481C">
        <w:rPr>
          <w:szCs w:val="27"/>
        </w:rPr>
        <w:t>,</w:t>
      </w:r>
      <w:r w:rsidRPr="00112487" w:rsidR="00FF481C">
        <w:rPr>
          <w:i/>
          <w:iCs/>
          <w:szCs w:val="27"/>
        </w:rPr>
        <w:t xml:space="preserve"> supra</w:t>
      </w:r>
      <w:r w:rsidRPr="00112487" w:rsidR="00FF481C">
        <w:rPr>
          <w:szCs w:val="27"/>
        </w:rPr>
        <w:t>, 204</w:t>
      </w:r>
      <w:r w:rsidRPr="00112487" w:rsidR="006914AA">
        <w:rPr>
          <w:szCs w:val="27"/>
        </w:rPr>
        <w:t> </w:t>
      </w:r>
      <w:r w:rsidRPr="00112487" w:rsidR="00FF481C">
        <w:rPr>
          <w:szCs w:val="27"/>
        </w:rPr>
        <w:t>Cal.App.4th at p. 1228</w:t>
      </w:r>
      <w:r w:rsidRPr="00112487" w:rsidR="0005637B">
        <w:rPr>
          <w:szCs w:val="27"/>
        </w:rPr>
        <w:t>.)</w:t>
      </w:r>
    </w:p>
    <w:p w:rsidR="001F3D25" w:rsidRPr="00112487" w:rsidP="00DC2DE6" w14:paraId="679C792F" w14:textId="77777777">
      <w:pPr>
        <w:pStyle w:val="Heading3"/>
        <w:numPr>
          <w:ilvl w:val="0"/>
          <w:numId w:val="15"/>
        </w:numPr>
        <w:spacing w:before="0" w:line="400" w:lineRule="exact"/>
        <w:ind w:left="1584" w:hanging="432"/>
        <w:rPr>
          <w:szCs w:val="27"/>
        </w:rPr>
      </w:pPr>
      <w:r w:rsidRPr="00112487">
        <w:rPr>
          <w:szCs w:val="27"/>
        </w:rPr>
        <w:t>C</w:t>
      </w:r>
      <w:r w:rsidRPr="00112487" w:rsidR="00FA13B6">
        <w:rPr>
          <w:szCs w:val="27"/>
        </w:rPr>
        <w:t>ontribution between primary and excess insurers</w:t>
      </w:r>
      <w:r w:rsidRPr="00112487" w:rsidR="007459A2">
        <w:rPr>
          <w:szCs w:val="27"/>
        </w:rPr>
        <w:t xml:space="preserve"> </w:t>
      </w:r>
      <w:r w:rsidRPr="00112487" w:rsidR="00412540">
        <w:rPr>
          <w:szCs w:val="27"/>
        </w:rPr>
        <w:t xml:space="preserve"> </w:t>
      </w:r>
    </w:p>
    <w:p w:rsidR="00D35FE9" w:rsidRPr="00112487" w:rsidP="00A25E48" w14:paraId="679C7930" w14:textId="77777777">
      <w:pPr>
        <w:ind w:firstLine="720"/>
        <w:rPr>
          <w:szCs w:val="27"/>
        </w:rPr>
      </w:pPr>
      <w:r w:rsidRPr="00112487">
        <w:rPr>
          <w:szCs w:val="27"/>
        </w:rPr>
        <w:t xml:space="preserve">In the context of </w:t>
      </w:r>
      <w:r w:rsidRPr="00112487" w:rsidR="004B51BC">
        <w:rPr>
          <w:szCs w:val="27"/>
        </w:rPr>
        <w:t xml:space="preserve">traditional </w:t>
      </w:r>
      <w:r w:rsidRPr="00112487" w:rsidR="00820CA9">
        <w:rPr>
          <w:szCs w:val="27"/>
        </w:rPr>
        <w:t>“noncontinuous</w:t>
      </w:r>
      <w:r w:rsidRPr="00112487" w:rsidR="000D6158">
        <w:rPr>
          <w:szCs w:val="27"/>
        </w:rPr>
        <w:t xml:space="preserve"> injury</w:t>
      </w:r>
      <w:r w:rsidRPr="00112487" w:rsidR="00820CA9">
        <w:rPr>
          <w:szCs w:val="27"/>
        </w:rPr>
        <w:t xml:space="preserve">” </w:t>
      </w:r>
      <w:r w:rsidRPr="00112487" w:rsidR="004B51BC">
        <w:rPr>
          <w:szCs w:val="27"/>
        </w:rPr>
        <w:t xml:space="preserve">insurance </w:t>
      </w:r>
      <w:r w:rsidRPr="00112487">
        <w:rPr>
          <w:szCs w:val="27"/>
        </w:rPr>
        <w:t>claims</w:t>
      </w:r>
      <w:r w:rsidRPr="00112487" w:rsidR="00820CA9">
        <w:rPr>
          <w:szCs w:val="27"/>
        </w:rPr>
        <w:t> — mean</w:t>
      </w:r>
      <w:r w:rsidRPr="00112487" w:rsidR="005E7703">
        <w:rPr>
          <w:szCs w:val="27"/>
        </w:rPr>
        <w:t xml:space="preserve">ing </w:t>
      </w:r>
      <w:r w:rsidRPr="00112487" w:rsidR="00820CA9">
        <w:rPr>
          <w:szCs w:val="27"/>
        </w:rPr>
        <w:t>a claim</w:t>
      </w:r>
      <w:r w:rsidRPr="00112487" w:rsidR="004B51BC">
        <w:rPr>
          <w:szCs w:val="27"/>
        </w:rPr>
        <w:t xml:space="preserve"> that implicate</w:t>
      </w:r>
      <w:r w:rsidRPr="00112487" w:rsidR="00112679">
        <w:rPr>
          <w:szCs w:val="27"/>
        </w:rPr>
        <w:t>s</w:t>
      </w:r>
      <w:r w:rsidRPr="00112487" w:rsidR="004B51BC">
        <w:rPr>
          <w:szCs w:val="27"/>
        </w:rPr>
        <w:t xml:space="preserve"> only a single policy period</w:t>
      </w:r>
      <w:r w:rsidRPr="00112487" w:rsidR="00820CA9">
        <w:rPr>
          <w:szCs w:val="27"/>
        </w:rPr>
        <w:t> —</w:t>
      </w:r>
      <w:r w:rsidRPr="00112487">
        <w:rPr>
          <w:szCs w:val="27"/>
        </w:rPr>
        <w:t xml:space="preserve"> </w:t>
      </w:r>
      <w:r w:rsidRPr="00112487" w:rsidR="008C14B5">
        <w:rPr>
          <w:szCs w:val="27"/>
        </w:rPr>
        <w:t>it has long been the rule</w:t>
      </w:r>
      <w:r w:rsidRPr="00112487" w:rsidR="007B2B1A">
        <w:rPr>
          <w:szCs w:val="27"/>
        </w:rPr>
        <w:t xml:space="preserve"> that there is</w:t>
      </w:r>
      <w:r w:rsidRPr="00112487" w:rsidR="007D47D7">
        <w:rPr>
          <w:szCs w:val="27"/>
        </w:rPr>
        <w:t xml:space="preserve"> </w:t>
      </w:r>
      <w:r w:rsidRPr="00112487" w:rsidR="007B2B1A">
        <w:rPr>
          <w:szCs w:val="27"/>
        </w:rPr>
        <w:t xml:space="preserve">“no contribution between a primary and excess carrier without a specific agreement to the contrary.”  </w:t>
      </w:r>
      <w:r w:rsidRPr="00112487" w:rsidR="008C14B5">
        <w:rPr>
          <w:szCs w:val="27"/>
        </w:rPr>
        <w:t>(</w:t>
      </w:r>
      <w:r w:rsidRPr="00112487" w:rsidR="000D6158">
        <w:rPr>
          <w:i/>
          <w:iCs/>
          <w:szCs w:val="27"/>
        </w:rPr>
        <w:t>Reliance Nat. Indem</w:t>
      </w:r>
      <w:r w:rsidR="004D5E24">
        <w:rPr>
          <w:i/>
          <w:iCs/>
          <w:szCs w:val="27"/>
        </w:rPr>
        <w:t>nity</w:t>
      </w:r>
      <w:r w:rsidRPr="00112487" w:rsidR="000D6158">
        <w:rPr>
          <w:i/>
          <w:iCs/>
          <w:szCs w:val="27"/>
        </w:rPr>
        <w:t xml:space="preserve"> Co. v. General Star Indem</w:t>
      </w:r>
      <w:r w:rsidR="004D5E24">
        <w:rPr>
          <w:i/>
          <w:iCs/>
          <w:szCs w:val="27"/>
        </w:rPr>
        <w:t>nity</w:t>
      </w:r>
      <w:r w:rsidRPr="00112487" w:rsidR="000D6158">
        <w:rPr>
          <w:i/>
          <w:iCs/>
          <w:szCs w:val="27"/>
        </w:rPr>
        <w:t xml:space="preserve"> Co</w:t>
      </w:r>
      <w:r w:rsidRPr="00112487" w:rsidR="000D6158">
        <w:rPr>
          <w:szCs w:val="27"/>
        </w:rPr>
        <w:t>. (1999) 72 Cal.App.4th 1063, 1080</w:t>
      </w:r>
      <w:r w:rsidRPr="00112487">
        <w:rPr>
          <w:szCs w:val="27"/>
        </w:rPr>
        <w:t xml:space="preserve">; see </w:t>
      </w:r>
      <w:r w:rsidRPr="00112487">
        <w:rPr>
          <w:i/>
          <w:iCs/>
          <w:szCs w:val="27"/>
        </w:rPr>
        <w:t>Fireman’s Fund</w:t>
      </w:r>
      <w:r w:rsidRPr="00112487">
        <w:rPr>
          <w:szCs w:val="27"/>
        </w:rPr>
        <w:t>,</w:t>
      </w:r>
      <w:r w:rsidRPr="00112487">
        <w:rPr>
          <w:i/>
          <w:iCs/>
          <w:szCs w:val="27"/>
        </w:rPr>
        <w:t xml:space="preserve"> supra</w:t>
      </w:r>
      <w:r w:rsidRPr="00112487">
        <w:rPr>
          <w:szCs w:val="27"/>
        </w:rPr>
        <w:t>, 65</w:t>
      </w:r>
      <w:r w:rsidRPr="00112487" w:rsidR="00132F14">
        <w:rPr>
          <w:szCs w:val="27"/>
        </w:rPr>
        <w:t> </w:t>
      </w:r>
      <w:r w:rsidRPr="00112487">
        <w:rPr>
          <w:szCs w:val="27"/>
        </w:rPr>
        <w:t xml:space="preserve">Cal.App.4th at p. 1294, fn. 4.)  </w:t>
      </w:r>
      <w:r w:rsidRPr="00112487" w:rsidR="008C19FD">
        <w:rPr>
          <w:szCs w:val="27"/>
        </w:rPr>
        <w:t xml:space="preserve">The basis for that rule is rooted in the purpose of contribution, which is to </w:t>
      </w:r>
      <w:r w:rsidRPr="00112487" w:rsidR="00717B82">
        <w:rPr>
          <w:szCs w:val="27"/>
        </w:rPr>
        <w:t>“</w:t>
      </w:r>
      <w:r w:rsidRPr="00112487" w:rsidR="008C19FD">
        <w:rPr>
          <w:szCs w:val="27"/>
        </w:rPr>
        <w:t>equaliz</w:t>
      </w:r>
      <w:r w:rsidRPr="00112487" w:rsidR="00717B82">
        <w:rPr>
          <w:szCs w:val="27"/>
        </w:rPr>
        <w:t>[</w:t>
      </w:r>
      <w:r w:rsidRPr="00112487" w:rsidR="008C19FD">
        <w:rPr>
          <w:szCs w:val="27"/>
        </w:rPr>
        <w:t>e</w:t>
      </w:r>
      <w:r w:rsidRPr="00112487" w:rsidR="00717B82">
        <w:rPr>
          <w:szCs w:val="27"/>
        </w:rPr>
        <w:t>]</w:t>
      </w:r>
      <w:r w:rsidRPr="00112487" w:rsidR="008C19FD">
        <w:rPr>
          <w:szCs w:val="27"/>
        </w:rPr>
        <w:t xml:space="preserve"> the common burden” </w:t>
      </w:r>
      <w:r w:rsidRPr="00112487" w:rsidR="00132F14">
        <w:rPr>
          <w:szCs w:val="27"/>
        </w:rPr>
        <w:t>(</w:t>
      </w:r>
      <w:r w:rsidRPr="00112487" w:rsidR="00132F14">
        <w:rPr>
          <w:i/>
          <w:iCs/>
          <w:szCs w:val="27"/>
        </w:rPr>
        <w:t>Fireman’s Fund</w:t>
      </w:r>
      <w:r w:rsidRPr="00DC2DE6" w:rsidR="00132F14">
        <w:rPr>
          <w:szCs w:val="27"/>
        </w:rPr>
        <w:t>,</w:t>
      </w:r>
      <w:r w:rsidRPr="00112487" w:rsidR="00132F14">
        <w:rPr>
          <w:i/>
          <w:iCs/>
          <w:szCs w:val="27"/>
        </w:rPr>
        <w:t xml:space="preserve"> </w:t>
      </w:r>
      <w:r w:rsidRPr="00112487" w:rsidR="00132F14">
        <w:rPr>
          <w:szCs w:val="27"/>
        </w:rPr>
        <w:t xml:space="preserve">at p. 1293) </w:t>
      </w:r>
      <w:r w:rsidRPr="00112487">
        <w:rPr>
          <w:szCs w:val="27"/>
        </w:rPr>
        <w:t>shared by coinsurers</w:t>
      </w:r>
      <w:r w:rsidRPr="00112487" w:rsidR="008C19FD">
        <w:rPr>
          <w:szCs w:val="27"/>
        </w:rPr>
        <w:t xml:space="preserve"> that “share the same level of liability on the same risk as to the same insured</w:t>
      </w:r>
      <w:r w:rsidRPr="00112487" w:rsidR="00132F14">
        <w:rPr>
          <w:szCs w:val="27"/>
        </w:rPr>
        <w:t>.</w:t>
      </w:r>
      <w:r w:rsidRPr="00112487" w:rsidR="008C19FD">
        <w:rPr>
          <w:szCs w:val="27"/>
        </w:rPr>
        <w:t>”</w:t>
      </w:r>
      <w:r w:rsidRPr="00112487" w:rsidR="00132F14">
        <w:rPr>
          <w:szCs w:val="27"/>
        </w:rPr>
        <w:t xml:space="preserve"> </w:t>
      </w:r>
      <w:r w:rsidRPr="00112487">
        <w:rPr>
          <w:szCs w:val="27"/>
        </w:rPr>
        <w:t xml:space="preserve"> (</w:t>
      </w:r>
      <w:r w:rsidRPr="00112487" w:rsidR="00132F14">
        <w:rPr>
          <w:i/>
          <w:iCs/>
          <w:szCs w:val="27"/>
        </w:rPr>
        <w:t>Maryland Cas</w:t>
      </w:r>
      <w:r w:rsidR="00637D58">
        <w:rPr>
          <w:i/>
          <w:iCs/>
          <w:szCs w:val="27"/>
        </w:rPr>
        <w:t>ualty</w:t>
      </w:r>
      <w:r w:rsidRPr="00112487" w:rsidR="00132F14">
        <w:rPr>
          <w:i/>
          <w:iCs/>
          <w:szCs w:val="27"/>
        </w:rPr>
        <w:t xml:space="preserve"> Co. v. Nationwide Mutual Ins. Co. </w:t>
      </w:r>
      <w:r w:rsidRPr="00112487" w:rsidR="00132F14">
        <w:rPr>
          <w:szCs w:val="27"/>
        </w:rPr>
        <w:t>(2000) 81</w:t>
      </w:r>
      <w:r w:rsidRPr="00112487" w:rsidR="007B46DD">
        <w:rPr>
          <w:szCs w:val="27"/>
        </w:rPr>
        <w:t> </w:t>
      </w:r>
      <w:r w:rsidRPr="00112487" w:rsidR="00132F14">
        <w:rPr>
          <w:szCs w:val="27"/>
        </w:rPr>
        <w:t>Cal.App.4th 1082, 1089</w:t>
      </w:r>
      <w:r w:rsidRPr="00112487" w:rsidR="00717B82">
        <w:rPr>
          <w:szCs w:val="27"/>
        </w:rPr>
        <w:t xml:space="preserve"> (</w:t>
      </w:r>
      <w:r w:rsidRPr="00112487" w:rsidR="00717B82">
        <w:rPr>
          <w:i/>
          <w:iCs/>
          <w:szCs w:val="27"/>
        </w:rPr>
        <w:t>Maryland</w:t>
      </w:r>
      <w:r w:rsidRPr="00112487" w:rsidR="00717B82">
        <w:rPr>
          <w:szCs w:val="27"/>
        </w:rPr>
        <w:t>)</w:t>
      </w:r>
      <w:r w:rsidRPr="00112487">
        <w:rPr>
          <w:szCs w:val="27"/>
        </w:rPr>
        <w:t xml:space="preserve">; see </w:t>
      </w:r>
      <w:r w:rsidRPr="00112487">
        <w:rPr>
          <w:i/>
          <w:iCs/>
          <w:szCs w:val="27"/>
        </w:rPr>
        <w:t>Morgan Creek Residential v. Kemp</w:t>
      </w:r>
      <w:r w:rsidRPr="00112487">
        <w:rPr>
          <w:szCs w:val="27"/>
        </w:rPr>
        <w:t xml:space="preserve"> (2007) 153</w:t>
      </w:r>
      <w:r w:rsidRPr="00112487" w:rsidR="007B46DD">
        <w:rPr>
          <w:szCs w:val="27"/>
        </w:rPr>
        <w:t> </w:t>
      </w:r>
      <w:r w:rsidRPr="00112487">
        <w:rPr>
          <w:szCs w:val="27"/>
        </w:rPr>
        <w:t>Cal.App.4th 675, 684</w:t>
      </w:r>
      <w:r w:rsidRPr="00112487" w:rsidR="000D6158">
        <w:rPr>
          <w:szCs w:val="27"/>
        </w:rPr>
        <w:t xml:space="preserve"> </w:t>
      </w:r>
      <w:r w:rsidRPr="00112487">
        <w:rPr>
          <w:szCs w:val="27"/>
        </w:rPr>
        <w:t>[</w:t>
      </w:r>
      <w:r w:rsidRPr="00112487" w:rsidR="003F5F5F">
        <w:rPr>
          <w:szCs w:val="27"/>
        </w:rPr>
        <w:t>contribution</w:t>
      </w:r>
      <w:r w:rsidRPr="00112487">
        <w:rPr>
          <w:szCs w:val="27"/>
        </w:rPr>
        <w:t xml:space="preserve"> </w:t>
      </w:r>
      <w:r w:rsidRPr="00112487" w:rsidR="004B51BC">
        <w:rPr>
          <w:szCs w:val="27"/>
        </w:rPr>
        <w:t xml:space="preserve">applies only when there is </w:t>
      </w:r>
      <w:r w:rsidRPr="00112487" w:rsidR="009D4227">
        <w:rPr>
          <w:szCs w:val="27"/>
        </w:rPr>
        <w:t xml:space="preserve">a </w:t>
      </w:r>
      <w:r w:rsidRPr="00112487" w:rsidR="003F5F5F">
        <w:rPr>
          <w:szCs w:val="27"/>
        </w:rPr>
        <w:t>“</w:t>
      </w:r>
      <w:r w:rsidRPr="00112487" w:rsidR="00717B82">
        <w:rPr>
          <w:szCs w:val="27"/>
        </w:rPr>
        <w:t> ‘</w:t>
      </w:r>
      <w:r w:rsidRPr="00112487" w:rsidR="003F5F5F">
        <w:rPr>
          <w:szCs w:val="27"/>
        </w:rPr>
        <w:t>common burden of liability</w:t>
      </w:r>
      <w:r w:rsidRPr="00112487" w:rsidR="00717B82">
        <w:rPr>
          <w:szCs w:val="27"/>
        </w:rPr>
        <w:t>’ </w:t>
      </w:r>
      <w:r w:rsidRPr="00112487" w:rsidR="003F5F5F">
        <w:rPr>
          <w:szCs w:val="27"/>
        </w:rPr>
        <w:t>”</w:t>
      </w:r>
      <w:r w:rsidRPr="00112487" w:rsidR="00FA13B6">
        <w:rPr>
          <w:szCs w:val="27"/>
        </w:rPr>
        <w:t>]</w:t>
      </w:r>
      <w:r w:rsidRPr="00112487" w:rsidR="003F5F5F">
        <w:rPr>
          <w:szCs w:val="27"/>
        </w:rPr>
        <w:t xml:space="preserve">.)  </w:t>
      </w:r>
      <w:r w:rsidRPr="00112487" w:rsidR="007739FA">
        <w:rPr>
          <w:szCs w:val="27"/>
        </w:rPr>
        <w:t xml:space="preserve">When </w:t>
      </w:r>
      <w:r w:rsidRPr="00112487" w:rsidR="003F5F5F">
        <w:rPr>
          <w:szCs w:val="27"/>
        </w:rPr>
        <w:t>a claim implicates only a single policy period, and an excess policy</w:t>
      </w:r>
      <w:r w:rsidRPr="00112487" w:rsidR="007739FA">
        <w:rPr>
          <w:szCs w:val="27"/>
        </w:rPr>
        <w:t xml:space="preserve"> provides that the insurer</w:t>
      </w:r>
      <w:r w:rsidRPr="00112487" w:rsidR="00D53953">
        <w:rPr>
          <w:szCs w:val="27"/>
        </w:rPr>
        <w:t xml:space="preserve">’s coverage obligations attach upon exhaustion of the primary </w:t>
      </w:r>
      <w:r w:rsidRPr="00112487" w:rsidR="0085122F">
        <w:rPr>
          <w:szCs w:val="27"/>
        </w:rPr>
        <w:t>insurance</w:t>
      </w:r>
      <w:r w:rsidRPr="00112487" w:rsidR="00D53953">
        <w:rPr>
          <w:szCs w:val="27"/>
        </w:rPr>
        <w:t xml:space="preserve"> listed in the schedule of underlying insurance</w:t>
      </w:r>
      <w:r w:rsidRPr="00112487" w:rsidR="007739FA">
        <w:rPr>
          <w:szCs w:val="27"/>
        </w:rPr>
        <w:t>, th</w:t>
      </w:r>
      <w:r w:rsidRPr="00112487" w:rsidR="008C75CA">
        <w:rPr>
          <w:szCs w:val="27"/>
        </w:rPr>
        <w:t xml:space="preserve">e excess and primary insurer </w:t>
      </w:r>
      <w:r w:rsidRPr="00112487">
        <w:rPr>
          <w:szCs w:val="27"/>
        </w:rPr>
        <w:t>can</w:t>
      </w:r>
      <w:r w:rsidRPr="00112487" w:rsidR="007739FA">
        <w:rPr>
          <w:szCs w:val="27"/>
        </w:rPr>
        <w:t>not</w:t>
      </w:r>
      <w:r w:rsidRPr="00112487">
        <w:rPr>
          <w:szCs w:val="27"/>
        </w:rPr>
        <w:t xml:space="preserve"> be said to “share the same level of</w:t>
      </w:r>
      <w:r w:rsidRPr="00112487" w:rsidR="008C75CA">
        <w:rPr>
          <w:szCs w:val="27"/>
        </w:rPr>
        <w:t xml:space="preserve"> liability</w:t>
      </w:r>
      <w:r w:rsidRPr="00112487" w:rsidR="00B46CB5">
        <w:rPr>
          <w:szCs w:val="27"/>
        </w:rPr>
        <w:t>.</w:t>
      </w:r>
      <w:r w:rsidRPr="00112487" w:rsidR="008C75CA">
        <w:rPr>
          <w:szCs w:val="27"/>
        </w:rPr>
        <w:t>”</w:t>
      </w:r>
      <w:r w:rsidRPr="00112487" w:rsidR="009D4227">
        <w:rPr>
          <w:szCs w:val="27"/>
        </w:rPr>
        <w:t xml:space="preserve"> </w:t>
      </w:r>
      <w:r w:rsidRPr="00112487" w:rsidR="008C75CA">
        <w:rPr>
          <w:szCs w:val="27"/>
        </w:rPr>
        <w:t xml:space="preserve"> </w:t>
      </w:r>
      <w:r w:rsidRPr="00112487" w:rsidR="00D53953">
        <w:rPr>
          <w:szCs w:val="27"/>
        </w:rPr>
        <w:t>(</w:t>
      </w:r>
      <w:r w:rsidRPr="00112487" w:rsidR="007B46DD">
        <w:rPr>
          <w:i/>
          <w:iCs/>
          <w:szCs w:val="27"/>
        </w:rPr>
        <w:t>Maryland</w:t>
      </w:r>
      <w:r w:rsidRPr="00112487" w:rsidR="00D53953">
        <w:rPr>
          <w:i/>
          <w:iCs/>
          <w:szCs w:val="27"/>
        </w:rPr>
        <w:t xml:space="preserve">, </w:t>
      </w:r>
      <w:r w:rsidRPr="00112487" w:rsidR="00D53953">
        <w:rPr>
          <w:szCs w:val="27"/>
        </w:rPr>
        <w:t>at p. 1089</w:t>
      </w:r>
      <w:r w:rsidRPr="00112487" w:rsidR="00B46CB5">
        <w:rPr>
          <w:szCs w:val="27"/>
        </w:rPr>
        <w:t>.</w:t>
      </w:r>
      <w:r w:rsidRPr="00112487" w:rsidR="00D53953">
        <w:rPr>
          <w:szCs w:val="27"/>
        </w:rPr>
        <w:t>)</w:t>
      </w:r>
    </w:p>
    <w:p w:rsidR="009F3A38" w:rsidRPr="00112487" w:rsidP="00A25E48" w14:paraId="679C7931" w14:textId="77777777">
      <w:pPr>
        <w:ind w:firstLine="720"/>
        <w:rPr>
          <w:szCs w:val="27"/>
        </w:rPr>
      </w:pPr>
      <w:r w:rsidRPr="00112487">
        <w:rPr>
          <w:szCs w:val="27"/>
        </w:rPr>
        <w:t>That analysis becomes more complicated in the context of continuous injuries</w:t>
      </w:r>
      <w:r w:rsidRPr="00112487" w:rsidR="00D14F4B">
        <w:rPr>
          <w:szCs w:val="27"/>
        </w:rPr>
        <w:t xml:space="preserve">, which </w:t>
      </w:r>
      <w:r w:rsidRPr="00112487">
        <w:rPr>
          <w:szCs w:val="27"/>
        </w:rPr>
        <w:t xml:space="preserve">extend over multiple policy periods. </w:t>
      </w:r>
      <w:r w:rsidRPr="00112487" w:rsidR="00D14F4B">
        <w:rPr>
          <w:szCs w:val="27"/>
        </w:rPr>
        <w:t xml:space="preserve"> In that circumstance, the question arises whether the excess </w:t>
      </w:r>
      <w:r w:rsidRPr="00112487" w:rsidR="005243FD">
        <w:rPr>
          <w:szCs w:val="27"/>
        </w:rPr>
        <w:t xml:space="preserve">insurers’ indemnity obligations </w:t>
      </w:r>
      <w:r w:rsidRPr="00112487" w:rsidR="005E7703">
        <w:rPr>
          <w:szCs w:val="27"/>
        </w:rPr>
        <w:t xml:space="preserve">to the insured </w:t>
      </w:r>
      <w:r w:rsidRPr="00112487" w:rsidR="00D14F4B">
        <w:rPr>
          <w:szCs w:val="27"/>
        </w:rPr>
        <w:t>attach</w:t>
      </w:r>
      <w:r w:rsidRPr="00112487" w:rsidR="00112679">
        <w:rPr>
          <w:szCs w:val="27"/>
        </w:rPr>
        <w:t xml:space="preserve">: </w:t>
      </w:r>
      <w:r w:rsidRPr="00112487" w:rsidR="009D4227">
        <w:rPr>
          <w:szCs w:val="27"/>
        </w:rPr>
        <w:t xml:space="preserve"> </w:t>
      </w:r>
      <w:r w:rsidRPr="00112487" w:rsidR="00112679">
        <w:rPr>
          <w:szCs w:val="27"/>
        </w:rPr>
        <w:t>(1)</w:t>
      </w:r>
      <w:r w:rsidRPr="00112487" w:rsidR="00D14F4B">
        <w:rPr>
          <w:szCs w:val="27"/>
        </w:rPr>
        <w:t xml:space="preserve"> </w:t>
      </w:r>
      <w:r w:rsidRPr="00112487" w:rsidR="005243FD">
        <w:rPr>
          <w:szCs w:val="27"/>
        </w:rPr>
        <w:t xml:space="preserve">only after </w:t>
      </w:r>
      <w:r w:rsidRPr="00112487" w:rsidR="00EC104B">
        <w:rPr>
          <w:szCs w:val="27"/>
        </w:rPr>
        <w:t xml:space="preserve">the </w:t>
      </w:r>
      <w:r w:rsidRPr="00112487" w:rsidR="005243FD">
        <w:rPr>
          <w:szCs w:val="27"/>
        </w:rPr>
        <w:t>exhaustion of all primary layers of insurance issued during the continu</w:t>
      </w:r>
      <w:r w:rsidRPr="00112487" w:rsidR="006914AA">
        <w:rPr>
          <w:szCs w:val="27"/>
        </w:rPr>
        <w:t xml:space="preserve">ous </w:t>
      </w:r>
      <w:r w:rsidRPr="00112487" w:rsidR="005243FD">
        <w:rPr>
          <w:szCs w:val="27"/>
        </w:rPr>
        <w:t>period of injury (horizontal exhaustion)</w:t>
      </w:r>
      <w:r w:rsidRPr="00112487" w:rsidR="00112679">
        <w:rPr>
          <w:szCs w:val="27"/>
        </w:rPr>
        <w:t>;</w:t>
      </w:r>
      <w:r w:rsidRPr="00112487" w:rsidR="00EC104B">
        <w:rPr>
          <w:szCs w:val="27"/>
        </w:rPr>
        <w:t xml:space="preserve"> or </w:t>
      </w:r>
      <w:r w:rsidRPr="00112487" w:rsidR="00112679">
        <w:rPr>
          <w:szCs w:val="27"/>
        </w:rPr>
        <w:t xml:space="preserve">(2) </w:t>
      </w:r>
      <w:r w:rsidRPr="00112487" w:rsidR="00EC104B">
        <w:rPr>
          <w:szCs w:val="27"/>
        </w:rPr>
        <w:t>whether attachment occurs upon exhaustion of the directly underlying primary insurance that was issued during the same policy year (vertical exhaustion)</w:t>
      </w:r>
      <w:r w:rsidRPr="00112487" w:rsidR="00F750FE">
        <w:rPr>
          <w:szCs w:val="27"/>
        </w:rPr>
        <w:t xml:space="preserve">.  </w:t>
      </w:r>
      <w:r w:rsidRPr="00112487">
        <w:rPr>
          <w:szCs w:val="27"/>
        </w:rPr>
        <w:t xml:space="preserve">If the excess insurers have no coverage obligation until </w:t>
      </w:r>
      <w:r w:rsidRPr="00112487">
        <w:rPr>
          <w:i/>
          <w:iCs/>
          <w:szCs w:val="27"/>
        </w:rPr>
        <w:t>all</w:t>
      </w:r>
      <w:r w:rsidRPr="00112487">
        <w:rPr>
          <w:szCs w:val="27"/>
        </w:rPr>
        <w:t xml:space="preserve"> primary policies have exhausted</w:t>
      </w:r>
      <w:r w:rsidRPr="00112487" w:rsidR="0089297A">
        <w:rPr>
          <w:szCs w:val="27"/>
        </w:rPr>
        <w:t xml:space="preserve"> (horizontal exhaustion)</w:t>
      </w:r>
      <w:r w:rsidRPr="00112487">
        <w:rPr>
          <w:szCs w:val="27"/>
        </w:rPr>
        <w:t xml:space="preserve">, it follows that the excess insurer </w:t>
      </w:r>
      <w:r w:rsidRPr="00112487" w:rsidR="008E1DEF">
        <w:rPr>
          <w:szCs w:val="27"/>
        </w:rPr>
        <w:t>can</w:t>
      </w:r>
      <w:r w:rsidRPr="00112487">
        <w:rPr>
          <w:szCs w:val="27"/>
        </w:rPr>
        <w:t xml:space="preserve">not be said to be on the same level of liability as </w:t>
      </w:r>
      <w:r w:rsidRPr="00112487">
        <w:rPr>
          <w:i/>
          <w:iCs/>
          <w:szCs w:val="27"/>
        </w:rPr>
        <w:t>any</w:t>
      </w:r>
      <w:r w:rsidRPr="00112487">
        <w:rPr>
          <w:szCs w:val="27"/>
        </w:rPr>
        <w:t xml:space="preserve"> of the</w:t>
      </w:r>
      <w:r w:rsidRPr="00112487" w:rsidR="008E1DEF">
        <w:rPr>
          <w:szCs w:val="27"/>
        </w:rPr>
        <w:t xml:space="preserve"> primary insurers, thus precluding any basis for contribution between the two types of insurers.  In effect, horizontal exhaustion results in the same situation between excess and primary insurers that occurs where a claim implicates only one policy period:  the excess insurer and primary insurer remain on distinct levels of liability, with the excess insurer’s obligations </w:t>
      </w:r>
      <w:r w:rsidRPr="00112487" w:rsidR="0089297A">
        <w:rPr>
          <w:szCs w:val="27"/>
        </w:rPr>
        <w:t xml:space="preserve">being triggered </w:t>
      </w:r>
      <w:r w:rsidRPr="00112487" w:rsidR="008E1DEF">
        <w:rPr>
          <w:szCs w:val="27"/>
        </w:rPr>
        <w:t>only after the primar</w:t>
      </w:r>
      <w:r w:rsidRPr="00112487" w:rsidR="008F3680">
        <w:rPr>
          <w:szCs w:val="27"/>
        </w:rPr>
        <w:t xml:space="preserve">y </w:t>
      </w:r>
      <w:r w:rsidRPr="00112487" w:rsidR="008E1DEF">
        <w:rPr>
          <w:szCs w:val="27"/>
        </w:rPr>
        <w:t>coverage</w:t>
      </w:r>
      <w:r w:rsidRPr="00112487" w:rsidR="008F3680">
        <w:rPr>
          <w:szCs w:val="27"/>
        </w:rPr>
        <w:t xml:space="preserve"> is exhausted, thus precluding contribution.</w:t>
      </w:r>
    </w:p>
    <w:p w:rsidR="00FA13B6" w:rsidRPr="00112487" w:rsidP="00A25E48" w14:paraId="679C7932" w14:textId="77777777">
      <w:pPr>
        <w:ind w:firstLine="720"/>
        <w:rPr>
          <w:szCs w:val="27"/>
        </w:rPr>
      </w:pPr>
      <w:r w:rsidRPr="00112487">
        <w:rPr>
          <w:szCs w:val="27"/>
        </w:rPr>
        <w:t xml:space="preserve">Under </w:t>
      </w:r>
      <w:r w:rsidRPr="00112487" w:rsidR="007459A2">
        <w:rPr>
          <w:szCs w:val="27"/>
        </w:rPr>
        <w:t>vertical exhaustion,</w:t>
      </w:r>
      <w:r w:rsidRPr="00112487" w:rsidR="008F3680">
        <w:rPr>
          <w:szCs w:val="27"/>
        </w:rPr>
        <w:t xml:space="preserve"> however,</w:t>
      </w:r>
      <w:r w:rsidRPr="00112487" w:rsidR="007459A2">
        <w:rPr>
          <w:szCs w:val="27"/>
        </w:rPr>
        <w:t xml:space="preserve"> </w:t>
      </w:r>
      <w:r w:rsidRPr="00112487">
        <w:rPr>
          <w:szCs w:val="27"/>
        </w:rPr>
        <w:t>the excess insurer</w:t>
      </w:r>
      <w:r w:rsidRPr="00112487" w:rsidR="00626010">
        <w:rPr>
          <w:szCs w:val="27"/>
        </w:rPr>
        <w:t xml:space="preserve"> </w:t>
      </w:r>
      <w:r w:rsidRPr="00112487" w:rsidR="00257E85">
        <w:rPr>
          <w:szCs w:val="27"/>
        </w:rPr>
        <w:t xml:space="preserve">owes an </w:t>
      </w:r>
      <w:r w:rsidRPr="00112487" w:rsidR="00626010">
        <w:rPr>
          <w:szCs w:val="27"/>
        </w:rPr>
        <w:t xml:space="preserve">indemnity </w:t>
      </w:r>
      <w:r w:rsidRPr="00112487">
        <w:rPr>
          <w:szCs w:val="27"/>
        </w:rPr>
        <w:t xml:space="preserve">obligation </w:t>
      </w:r>
      <w:r w:rsidRPr="00112487" w:rsidR="00257E85">
        <w:rPr>
          <w:szCs w:val="27"/>
        </w:rPr>
        <w:t xml:space="preserve">to the insured </w:t>
      </w:r>
      <w:r w:rsidRPr="00112487" w:rsidR="00E11CD8">
        <w:rPr>
          <w:szCs w:val="27"/>
        </w:rPr>
        <w:t>as soon as</w:t>
      </w:r>
      <w:r w:rsidRPr="00112487" w:rsidR="007459A2">
        <w:rPr>
          <w:szCs w:val="27"/>
        </w:rPr>
        <w:t xml:space="preserve"> the </w:t>
      </w:r>
      <w:r w:rsidRPr="00112487" w:rsidR="00B46CB5">
        <w:rPr>
          <w:szCs w:val="27"/>
        </w:rPr>
        <w:t xml:space="preserve">directly </w:t>
      </w:r>
      <w:r w:rsidRPr="00112487" w:rsidR="007459A2">
        <w:rPr>
          <w:szCs w:val="27"/>
        </w:rPr>
        <w:t>underlying primary policy has exhausted</w:t>
      </w:r>
      <w:r w:rsidRPr="00112487">
        <w:rPr>
          <w:szCs w:val="27"/>
        </w:rPr>
        <w:t>.</w:t>
      </w:r>
      <w:r w:rsidRPr="00112487" w:rsidR="00E163FC">
        <w:rPr>
          <w:szCs w:val="27"/>
        </w:rPr>
        <w:t xml:space="preserve">  That is true even if primary insurance issued for a precedent or subsequent policy period</w:t>
      </w:r>
      <w:r w:rsidRPr="00112487" w:rsidR="00835ACA">
        <w:rPr>
          <w:szCs w:val="27"/>
        </w:rPr>
        <w:t xml:space="preserve"> </w:t>
      </w:r>
      <w:r w:rsidRPr="00112487" w:rsidR="00E163FC">
        <w:rPr>
          <w:szCs w:val="27"/>
        </w:rPr>
        <w:t>remains unexhausted (and thus available to the insured).</w:t>
      </w:r>
      <w:r w:rsidRPr="00112487">
        <w:rPr>
          <w:szCs w:val="27"/>
        </w:rPr>
        <w:t xml:space="preserve">  </w:t>
      </w:r>
      <w:r w:rsidRPr="00112487" w:rsidR="008F3680">
        <w:rPr>
          <w:szCs w:val="27"/>
        </w:rPr>
        <w:t xml:space="preserve">Thus, unlike </w:t>
      </w:r>
      <w:r w:rsidRPr="00112487" w:rsidR="00FC0C6C">
        <w:rPr>
          <w:szCs w:val="27"/>
        </w:rPr>
        <w:t xml:space="preserve">the situation with </w:t>
      </w:r>
      <w:r w:rsidRPr="00112487" w:rsidR="008F3680">
        <w:rPr>
          <w:szCs w:val="27"/>
        </w:rPr>
        <w:t xml:space="preserve">horizontal exhaustion, </w:t>
      </w:r>
      <w:r w:rsidRPr="00112487" w:rsidR="009D4227">
        <w:rPr>
          <w:szCs w:val="27"/>
        </w:rPr>
        <w:t xml:space="preserve">under a rule of vertical exhaustion, </w:t>
      </w:r>
      <w:r w:rsidRPr="00112487" w:rsidR="008F3680">
        <w:rPr>
          <w:szCs w:val="27"/>
        </w:rPr>
        <w:t>a</w:t>
      </w:r>
      <w:r w:rsidRPr="00112487" w:rsidR="00FC0C6C">
        <w:rPr>
          <w:szCs w:val="27"/>
        </w:rPr>
        <w:t xml:space="preserve"> first-level </w:t>
      </w:r>
      <w:r w:rsidRPr="00112487" w:rsidR="00B358C0">
        <w:rPr>
          <w:szCs w:val="27"/>
        </w:rPr>
        <w:t>excess insurer</w:t>
      </w:r>
      <w:r w:rsidRPr="00112487" w:rsidR="008F3680">
        <w:rPr>
          <w:szCs w:val="27"/>
        </w:rPr>
        <w:t xml:space="preserve"> </w:t>
      </w:r>
      <w:r w:rsidRPr="00112487" w:rsidR="00FC0C6C">
        <w:rPr>
          <w:szCs w:val="27"/>
        </w:rPr>
        <w:t xml:space="preserve">from one policy period </w:t>
      </w:r>
      <w:r w:rsidRPr="00112487" w:rsidR="008F3680">
        <w:rPr>
          <w:szCs w:val="27"/>
        </w:rPr>
        <w:t xml:space="preserve">and a primary insurer from a </w:t>
      </w:r>
      <w:r w:rsidRPr="00112487" w:rsidR="00FC393A">
        <w:rPr>
          <w:szCs w:val="27"/>
        </w:rPr>
        <w:t>different</w:t>
      </w:r>
      <w:r w:rsidRPr="00112487" w:rsidR="00BB2320">
        <w:rPr>
          <w:szCs w:val="27"/>
        </w:rPr>
        <w:t xml:space="preserve"> </w:t>
      </w:r>
      <w:r w:rsidRPr="00112487" w:rsidR="008F3680">
        <w:rPr>
          <w:szCs w:val="27"/>
        </w:rPr>
        <w:t xml:space="preserve">policy period </w:t>
      </w:r>
      <w:r w:rsidRPr="00112487" w:rsidR="00AA4EAF">
        <w:rPr>
          <w:szCs w:val="27"/>
        </w:rPr>
        <w:t>might</w:t>
      </w:r>
      <w:r w:rsidRPr="00112487" w:rsidR="00FC0C6C">
        <w:rPr>
          <w:szCs w:val="27"/>
        </w:rPr>
        <w:t xml:space="preserve"> simultaneously</w:t>
      </w:r>
      <w:r w:rsidRPr="00112487" w:rsidR="008F3680">
        <w:rPr>
          <w:szCs w:val="27"/>
        </w:rPr>
        <w:t xml:space="preserve"> owe coverage to the </w:t>
      </w:r>
      <w:r w:rsidRPr="00112487" w:rsidR="00A634DC">
        <w:rPr>
          <w:szCs w:val="27"/>
        </w:rPr>
        <w:t xml:space="preserve">same </w:t>
      </w:r>
      <w:r w:rsidRPr="00112487" w:rsidR="008F3680">
        <w:rPr>
          <w:szCs w:val="27"/>
        </w:rPr>
        <w:t>insured for the same injury.  In that situation,</w:t>
      </w:r>
      <w:r w:rsidRPr="00112487" w:rsidR="00E11CD8">
        <w:rPr>
          <w:szCs w:val="27"/>
        </w:rPr>
        <w:t xml:space="preserve"> </w:t>
      </w:r>
      <w:r w:rsidRPr="00112487" w:rsidR="007459A2">
        <w:rPr>
          <w:szCs w:val="27"/>
        </w:rPr>
        <w:t xml:space="preserve">it becomes less clear that </w:t>
      </w:r>
      <w:r w:rsidRPr="00112487" w:rsidR="00257E85">
        <w:rPr>
          <w:szCs w:val="27"/>
        </w:rPr>
        <w:t xml:space="preserve">the excess insurer </w:t>
      </w:r>
      <w:r w:rsidRPr="00112487" w:rsidR="007459A2">
        <w:rPr>
          <w:szCs w:val="27"/>
        </w:rPr>
        <w:t xml:space="preserve">remains on </w:t>
      </w:r>
      <w:r w:rsidRPr="00112487" w:rsidR="00D14940">
        <w:rPr>
          <w:szCs w:val="27"/>
        </w:rPr>
        <w:t xml:space="preserve">a different “level of liability” </w:t>
      </w:r>
      <w:r w:rsidRPr="00112487" w:rsidR="007B46DD">
        <w:rPr>
          <w:szCs w:val="27"/>
        </w:rPr>
        <w:t>(</w:t>
      </w:r>
      <w:r w:rsidRPr="00112487" w:rsidR="007B46DD">
        <w:rPr>
          <w:i/>
          <w:iCs/>
          <w:szCs w:val="27"/>
        </w:rPr>
        <w:t>Maryland</w:t>
      </w:r>
      <w:r w:rsidRPr="00112487" w:rsidR="007B46DD">
        <w:rPr>
          <w:szCs w:val="27"/>
        </w:rPr>
        <w:t xml:space="preserve">, </w:t>
      </w:r>
      <w:r w:rsidRPr="00112487" w:rsidR="007B46DD">
        <w:rPr>
          <w:i/>
          <w:iCs/>
          <w:szCs w:val="27"/>
        </w:rPr>
        <w:t>supra</w:t>
      </w:r>
      <w:r w:rsidRPr="00112487" w:rsidR="007B46DD">
        <w:rPr>
          <w:szCs w:val="27"/>
        </w:rPr>
        <w:t>, 81 Cal.App.4th at p. </w:t>
      </w:r>
      <w:r w:rsidRPr="00112487" w:rsidR="00D14940">
        <w:rPr>
          <w:szCs w:val="27"/>
        </w:rPr>
        <w:t xml:space="preserve">1089) than </w:t>
      </w:r>
      <w:r w:rsidRPr="00112487" w:rsidR="007B46DD">
        <w:rPr>
          <w:szCs w:val="27"/>
        </w:rPr>
        <w:t>primary insurers that</w:t>
      </w:r>
      <w:r w:rsidRPr="00112487" w:rsidR="003063D5">
        <w:rPr>
          <w:szCs w:val="27"/>
        </w:rPr>
        <w:t xml:space="preserve"> </w:t>
      </w:r>
      <w:r w:rsidRPr="00112487" w:rsidR="00DD7799">
        <w:rPr>
          <w:szCs w:val="27"/>
        </w:rPr>
        <w:t xml:space="preserve">issued </w:t>
      </w:r>
      <w:r w:rsidRPr="00112487" w:rsidR="00B358C0">
        <w:rPr>
          <w:szCs w:val="27"/>
        </w:rPr>
        <w:t xml:space="preserve">unexhausted </w:t>
      </w:r>
      <w:r w:rsidRPr="00112487" w:rsidR="007B46DD">
        <w:rPr>
          <w:szCs w:val="27"/>
        </w:rPr>
        <w:t xml:space="preserve">policies </w:t>
      </w:r>
      <w:r w:rsidRPr="00112487" w:rsidR="00DD7799">
        <w:rPr>
          <w:szCs w:val="27"/>
        </w:rPr>
        <w:t xml:space="preserve">during </w:t>
      </w:r>
      <w:r w:rsidRPr="00112487" w:rsidR="00FC393A">
        <w:rPr>
          <w:szCs w:val="27"/>
        </w:rPr>
        <w:t xml:space="preserve">different </w:t>
      </w:r>
      <w:r w:rsidRPr="00112487" w:rsidR="00DD7799">
        <w:rPr>
          <w:szCs w:val="27"/>
        </w:rPr>
        <w:t>periods of the continu</w:t>
      </w:r>
      <w:r w:rsidRPr="00112487" w:rsidR="006914AA">
        <w:rPr>
          <w:szCs w:val="27"/>
        </w:rPr>
        <w:t>ous</w:t>
      </w:r>
      <w:r w:rsidRPr="00112487" w:rsidR="00DD7799">
        <w:rPr>
          <w:szCs w:val="27"/>
        </w:rPr>
        <w:t xml:space="preserve"> injury</w:t>
      </w:r>
      <w:r w:rsidRPr="00112487" w:rsidR="00E11CD8">
        <w:rPr>
          <w:szCs w:val="27"/>
        </w:rPr>
        <w:t>.</w:t>
      </w:r>
      <w:r w:rsidRPr="00112487" w:rsidR="00DD7799">
        <w:rPr>
          <w:szCs w:val="27"/>
        </w:rPr>
        <w:t xml:space="preserve">  </w:t>
      </w:r>
    </w:p>
    <w:p w:rsidR="00F750FE" w:rsidRPr="00112487" w:rsidP="00A25E48" w14:paraId="679C7933" w14:textId="77777777">
      <w:pPr>
        <w:ind w:firstLine="720"/>
        <w:rPr>
          <w:szCs w:val="27"/>
        </w:rPr>
      </w:pPr>
      <w:r w:rsidRPr="00112487">
        <w:rPr>
          <w:szCs w:val="27"/>
        </w:rPr>
        <w:t xml:space="preserve">Prior to our decision in </w:t>
      </w:r>
      <w:r w:rsidRPr="00112487" w:rsidR="00B62BB2">
        <w:rPr>
          <w:i/>
          <w:iCs/>
          <w:szCs w:val="27"/>
        </w:rPr>
        <w:t>Montrose III</w:t>
      </w:r>
      <w:r w:rsidRPr="00112487">
        <w:rPr>
          <w:szCs w:val="27"/>
        </w:rPr>
        <w:t xml:space="preserve">, </w:t>
      </w:r>
      <w:r w:rsidRPr="00112487" w:rsidR="007459A2">
        <w:rPr>
          <w:i/>
          <w:iCs/>
          <w:szCs w:val="27"/>
        </w:rPr>
        <w:t>supra</w:t>
      </w:r>
      <w:r w:rsidRPr="00112487" w:rsidR="007459A2">
        <w:rPr>
          <w:szCs w:val="27"/>
        </w:rPr>
        <w:t>, 9</w:t>
      </w:r>
      <w:r w:rsidRPr="00112487" w:rsidR="00717B82">
        <w:rPr>
          <w:szCs w:val="27"/>
        </w:rPr>
        <w:t> </w:t>
      </w:r>
      <w:r w:rsidRPr="00112487" w:rsidR="007459A2">
        <w:rPr>
          <w:szCs w:val="27"/>
        </w:rPr>
        <w:t>Cal</w:t>
      </w:r>
      <w:r w:rsidRPr="00112487" w:rsidR="00C975D5">
        <w:rPr>
          <w:szCs w:val="27"/>
        </w:rPr>
        <w:t>.</w:t>
      </w:r>
      <w:r w:rsidRPr="00112487" w:rsidR="007459A2">
        <w:rPr>
          <w:szCs w:val="27"/>
        </w:rPr>
        <w:t xml:space="preserve">5th 215, </w:t>
      </w:r>
      <w:r w:rsidRPr="00112487">
        <w:rPr>
          <w:szCs w:val="27"/>
        </w:rPr>
        <w:t xml:space="preserve">the leading case addressing </w:t>
      </w:r>
      <w:r w:rsidRPr="00112487" w:rsidR="00F02D60">
        <w:rPr>
          <w:szCs w:val="27"/>
        </w:rPr>
        <w:t xml:space="preserve">contribution between primary and excess injuries in the continuous injury context </w:t>
      </w:r>
      <w:r w:rsidRPr="00112487">
        <w:rPr>
          <w:szCs w:val="27"/>
        </w:rPr>
        <w:t xml:space="preserve">was </w:t>
      </w:r>
      <w:r w:rsidRPr="00112487">
        <w:rPr>
          <w:i/>
          <w:iCs/>
          <w:szCs w:val="27"/>
        </w:rPr>
        <w:t>Community Redevelopment</w:t>
      </w:r>
      <w:r w:rsidRPr="00112487" w:rsidR="0085122F">
        <w:rPr>
          <w:szCs w:val="27"/>
        </w:rPr>
        <w:t xml:space="preserve">, </w:t>
      </w:r>
      <w:r w:rsidRPr="00112487" w:rsidR="0085122F">
        <w:rPr>
          <w:i/>
          <w:iCs/>
          <w:szCs w:val="27"/>
        </w:rPr>
        <w:t>supra</w:t>
      </w:r>
      <w:r w:rsidRPr="00112487" w:rsidR="0085122F">
        <w:rPr>
          <w:szCs w:val="27"/>
        </w:rPr>
        <w:t xml:space="preserve">, </w:t>
      </w:r>
      <w:r w:rsidRPr="00112487" w:rsidR="00071D23">
        <w:rPr>
          <w:szCs w:val="27"/>
        </w:rPr>
        <w:t>50</w:t>
      </w:r>
      <w:r w:rsidRPr="00112487" w:rsidR="003063D5">
        <w:rPr>
          <w:szCs w:val="27"/>
        </w:rPr>
        <w:t> </w:t>
      </w:r>
      <w:r w:rsidRPr="00112487" w:rsidR="00071D23">
        <w:rPr>
          <w:szCs w:val="27"/>
        </w:rPr>
        <w:t>C</w:t>
      </w:r>
      <w:r w:rsidRPr="00112487">
        <w:rPr>
          <w:szCs w:val="27"/>
        </w:rPr>
        <w:t xml:space="preserve">al.App.4th 329.  The insured in </w:t>
      </w:r>
      <w:r w:rsidRPr="00112487">
        <w:rPr>
          <w:i/>
          <w:iCs/>
          <w:szCs w:val="27"/>
        </w:rPr>
        <w:t xml:space="preserve">Community </w:t>
      </w:r>
      <w:r w:rsidRPr="00112487" w:rsidR="0085122F">
        <w:rPr>
          <w:i/>
          <w:iCs/>
          <w:szCs w:val="27"/>
        </w:rPr>
        <w:t>Red</w:t>
      </w:r>
      <w:r w:rsidRPr="00112487">
        <w:rPr>
          <w:i/>
          <w:iCs/>
          <w:szCs w:val="27"/>
        </w:rPr>
        <w:t>evelopment</w:t>
      </w:r>
      <w:r w:rsidRPr="00112487">
        <w:rPr>
          <w:szCs w:val="27"/>
        </w:rPr>
        <w:t xml:space="preserve"> obtained </w:t>
      </w:r>
      <w:r w:rsidRPr="00112487" w:rsidR="007459A2">
        <w:rPr>
          <w:szCs w:val="27"/>
        </w:rPr>
        <w:t xml:space="preserve">annual </w:t>
      </w:r>
      <w:r w:rsidRPr="00112487">
        <w:rPr>
          <w:szCs w:val="27"/>
        </w:rPr>
        <w:t>primary policies from United between 1982</w:t>
      </w:r>
      <w:r w:rsidRPr="00112487" w:rsidR="00A86826">
        <w:rPr>
          <w:szCs w:val="27"/>
        </w:rPr>
        <w:t>–</w:t>
      </w:r>
      <w:r w:rsidRPr="00112487">
        <w:rPr>
          <w:szCs w:val="27"/>
        </w:rPr>
        <w:t>1985</w:t>
      </w:r>
      <w:r w:rsidRPr="00112487" w:rsidR="00D82A11">
        <w:rPr>
          <w:szCs w:val="27"/>
        </w:rPr>
        <w:t xml:space="preserve">.  For the 1985–1986 period, the insured obtained a primary policy from </w:t>
      </w:r>
      <w:r w:rsidRPr="00112487">
        <w:rPr>
          <w:szCs w:val="27"/>
        </w:rPr>
        <w:t xml:space="preserve">State Farm </w:t>
      </w:r>
      <w:r w:rsidRPr="00112487" w:rsidR="00D82A11">
        <w:rPr>
          <w:szCs w:val="27"/>
        </w:rPr>
        <w:t>and a first-level excess</w:t>
      </w:r>
      <w:r w:rsidRPr="00112487">
        <w:rPr>
          <w:szCs w:val="27"/>
        </w:rPr>
        <w:t xml:space="preserve"> policy from Scottsdale</w:t>
      </w:r>
      <w:r w:rsidRPr="00112487" w:rsidR="00D82A11">
        <w:rPr>
          <w:szCs w:val="27"/>
        </w:rPr>
        <w:t>.  The Scottsdale policy stated that its indemn</w:t>
      </w:r>
      <w:r w:rsidRPr="00112487">
        <w:rPr>
          <w:szCs w:val="27"/>
        </w:rPr>
        <w:t>ity obligations would attach upon exhaustion of the underlying State Farm policy “</w:t>
      </w:r>
      <w:r w:rsidRPr="00112487" w:rsidR="00717B82">
        <w:rPr>
          <w:szCs w:val="27"/>
        </w:rPr>
        <w:t> ‘</w:t>
      </w:r>
      <w:r w:rsidRPr="00112487" w:rsidR="008C0F0E">
        <w:rPr>
          <w:szCs w:val="27"/>
        </w:rPr>
        <w:t>plus the applicable limits of any other underlying insurance collectible by the</w:t>
      </w:r>
      <w:r w:rsidRPr="00112487" w:rsidR="002F49ED">
        <w:rPr>
          <w:szCs w:val="27"/>
        </w:rPr>
        <w:t xml:space="preserve"> insured.</w:t>
      </w:r>
      <w:r w:rsidRPr="00112487" w:rsidR="00717B82">
        <w:rPr>
          <w:szCs w:val="27"/>
        </w:rPr>
        <w:t>’ </w:t>
      </w:r>
      <w:r w:rsidRPr="00112487" w:rsidR="002F49ED">
        <w:rPr>
          <w:szCs w:val="27"/>
        </w:rPr>
        <w:t xml:space="preserve">”  </w:t>
      </w:r>
      <w:r w:rsidRPr="00112487" w:rsidR="00A86826">
        <w:rPr>
          <w:szCs w:val="27"/>
        </w:rPr>
        <w:t>(</w:t>
      </w:r>
      <w:r w:rsidRPr="00112487" w:rsidR="00A86826">
        <w:rPr>
          <w:i/>
          <w:iCs/>
          <w:szCs w:val="27"/>
        </w:rPr>
        <w:t>Id</w:t>
      </w:r>
      <w:r w:rsidRPr="00112487" w:rsidR="00A86826">
        <w:rPr>
          <w:szCs w:val="27"/>
        </w:rPr>
        <w:t>. at p. 335</w:t>
      </w:r>
      <w:r w:rsidRPr="00112487" w:rsidR="00717B82">
        <w:rPr>
          <w:szCs w:val="27"/>
        </w:rPr>
        <w:t xml:space="preserve">, italics </w:t>
      </w:r>
      <w:r w:rsidR="00F81F4B">
        <w:rPr>
          <w:szCs w:val="27"/>
        </w:rPr>
        <w:t xml:space="preserve">and capitalization </w:t>
      </w:r>
      <w:r w:rsidRPr="00112487" w:rsidR="00717B82">
        <w:rPr>
          <w:szCs w:val="27"/>
        </w:rPr>
        <w:t>omitted</w:t>
      </w:r>
      <w:r w:rsidRPr="00112487" w:rsidR="00A86826">
        <w:rPr>
          <w:szCs w:val="27"/>
        </w:rPr>
        <w:t xml:space="preserve">.)  </w:t>
      </w:r>
    </w:p>
    <w:p w:rsidR="00F750FE" w:rsidRPr="00112487" w:rsidP="00A25E48" w14:paraId="679C7934" w14:textId="77777777">
      <w:pPr>
        <w:ind w:firstLine="720"/>
        <w:rPr>
          <w:szCs w:val="27"/>
        </w:rPr>
      </w:pPr>
      <w:r w:rsidRPr="00112487">
        <w:rPr>
          <w:szCs w:val="27"/>
        </w:rPr>
        <w:t xml:space="preserve">State Farm entered a settlement on behalf of the insured that exhausted </w:t>
      </w:r>
      <w:r w:rsidRPr="00112487" w:rsidR="00F02D60">
        <w:rPr>
          <w:szCs w:val="27"/>
        </w:rPr>
        <w:t>the limits of its 1985–1986 primary policy</w:t>
      </w:r>
      <w:r w:rsidRPr="00112487">
        <w:rPr>
          <w:szCs w:val="27"/>
        </w:rPr>
        <w:t>.  United thereafter brought a contribution action against Scottsdale, contending “that Scottsdale had a duty to</w:t>
      </w:r>
      <w:r w:rsidRPr="00112487" w:rsidR="007B46DD">
        <w:rPr>
          <w:szCs w:val="27"/>
        </w:rPr>
        <w:t xml:space="preserve"> . . </w:t>
      </w:r>
      <w:r w:rsidRPr="00112487" w:rsidR="000C216F">
        <w:rPr>
          <w:szCs w:val="27"/>
        </w:rPr>
        <w:t>.</w:t>
      </w:r>
      <w:r w:rsidRPr="00112487" w:rsidR="007B46DD">
        <w:rPr>
          <w:szCs w:val="27"/>
        </w:rPr>
        <w:t xml:space="preserve"> </w:t>
      </w:r>
      <w:r w:rsidRPr="00112487">
        <w:rPr>
          <w:szCs w:val="27"/>
        </w:rPr>
        <w:t>contribute to the primary coverage burden as soon as State Farm’s underlying primary policy was exhausted.  According to United, Scottsdale’s policy was expressly excess to State Farm’s policy; as soon as the latter was exhausted, Scottsdale’s duty arose and the existence of other primary coverage was irrelevant.”  (</w:t>
      </w:r>
      <w:r w:rsidRPr="00112487">
        <w:rPr>
          <w:i/>
          <w:iCs/>
          <w:szCs w:val="27"/>
        </w:rPr>
        <w:t>Community Redevelopment</w:t>
      </w:r>
      <w:r w:rsidRPr="00112487">
        <w:rPr>
          <w:szCs w:val="27"/>
        </w:rPr>
        <w:t xml:space="preserve">, </w:t>
      </w:r>
      <w:r w:rsidRPr="00112487">
        <w:rPr>
          <w:i/>
          <w:iCs/>
          <w:szCs w:val="27"/>
        </w:rPr>
        <w:t>supra</w:t>
      </w:r>
      <w:r w:rsidRPr="00112487">
        <w:rPr>
          <w:szCs w:val="27"/>
        </w:rPr>
        <w:t>,</w:t>
      </w:r>
      <w:r w:rsidRPr="00112487">
        <w:rPr>
          <w:i/>
          <w:iCs/>
          <w:szCs w:val="27"/>
        </w:rPr>
        <w:t xml:space="preserve"> </w:t>
      </w:r>
      <w:r w:rsidRPr="00112487">
        <w:rPr>
          <w:szCs w:val="27"/>
        </w:rPr>
        <w:t>50</w:t>
      </w:r>
      <w:r w:rsidRPr="00112487" w:rsidR="003063D5">
        <w:rPr>
          <w:szCs w:val="27"/>
        </w:rPr>
        <w:t> </w:t>
      </w:r>
      <w:r w:rsidRPr="00112487">
        <w:rPr>
          <w:szCs w:val="27"/>
        </w:rPr>
        <w:t>Cal.App.4th at p. 337.)</w:t>
      </w:r>
    </w:p>
    <w:p w:rsidR="00717B82" w:rsidRPr="00112487" w:rsidP="00A25E48" w14:paraId="679C7935" w14:textId="77777777">
      <w:pPr>
        <w:ind w:firstLine="720"/>
        <w:rPr>
          <w:szCs w:val="27"/>
        </w:rPr>
      </w:pPr>
      <w:r w:rsidRPr="00112487">
        <w:rPr>
          <w:szCs w:val="27"/>
        </w:rPr>
        <w:t xml:space="preserve">The court rejected that argument, explaining that “[i]t is settled under California law that an excess or secondary policy does not cover a loss, nor does any duty to defend the insured arise, until </w:t>
      </w:r>
      <w:r w:rsidRPr="00DC2DE6">
        <w:rPr>
          <w:i/>
          <w:iCs/>
          <w:szCs w:val="27"/>
        </w:rPr>
        <w:t>all</w:t>
      </w:r>
      <w:r w:rsidRPr="00112487">
        <w:rPr>
          <w:szCs w:val="27"/>
        </w:rPr>
        <w:t xml:space="preserve"> of the primary insurance has been exhausted.”  (</w:t>
      </w:r>
      <w:r w:rsidRPr="00112487">
        <w:rPr>
          <w:i/>
          <w:iCs/>
          <w:szCs w:val="27"/>
        </w:rPr>
        <w:t>Community Redevelopment</w:t>
      </w:r>
      <w:r w:rsidRPr="00112487">
        <w:rPr>
          <w:szCs w:val="27"/>
        </w:rPr>
        <w:t xml:space="preserve">, </w:t>
      </w:r>
      <w:r w:rsidRPr="00112487">
        <w:rPr>
          <w:i/>
          <w:iCs/>
          <w:szCs w:val="27"/>
        </w:rPr>
        <w:t>supra</w:t>
      </w:r>
      <w:r w:rsidRPr="00112487">
        <w:rPr>
          <w:szCs w:val="27"/>
        </w:rPr>
        <w:t>,</w:t>
      </w:r>
      <w:r w:rsidRPr="00112487">
        <w:rPr>
          <w:i/>
          <w:iCs/>
          <w:szCs w:val="27"/>
        </w:rPr>
        <w:t xml:space="preserve"> </w:t>
      </w:r>
      <w:r w:rsidRPr="00112487">
        <w:rPr>
          <w:szCs w:val="27"/>
        </w:rPr>
        <w:t>50 Cal.App.4th at p. 339.)  In support, the court cited case law that addressed excess coverage in the context of noncontinuous injury claims (i.e., injur</w:t>
      </w:r>
      <w:r w:rsidRPr="00112487" w:rsidR="009D4227">
        <w:rPr>
          <w:szCs w:val="27"/>
        </w:rPr>
        <w:t>ies</w:t>
      </w:r>
      <w:r w:rsidRPr="00112487">
        <w:rPr>
          <w:szCs w:val="27"/>
        </w:rPr>
        <w:t xml:space="preserve"> that triggered only one policy period).  The courts in those cases ruled that first-level excess policies containing “other insurance” provision</w:t>
      </w:r>
      <w:r w:rsidRPr="00112487" w:rsidR="009D4227">
        <w:rPr>
          <w:szCs w:val="27"/>
        </w:rPr>
        <w:t>s</w:t>
      </w:r>
      <w:r w:rsidRPr="00112487">
        <w:rPr>
          <w:szCs w:val="27"/>
        </w:rPr>
        <w:t xml:space="preserve"> required not only the exhaustion of the primary insurance expressly listed in the excess policy, but also any other primary insurance the insured </w:t>
      </w:r>
      <w:r w:rsidRPr="00112487" w:rsidR="009D4227">
        <w:rPr>
          <w:szCs w:val="27"/>
        </w:rPr>
        <w:t xml:space="preserve">had </w:t>
      </w:r>
      <w:r w:rsidRPr="00112487">
        <w:rPr>
          <w:szCs w:val="27"/>
        </w:rPr>
        <w:t xml:space="preserve">obtained for that period.  (See </w:t>
      </w:r>
      <w:r w:rsidRPr="00112487">
        <w:rPr>
          <w:i/>
          <w:iCs/>
          <w:szCs w:val="27"/>
        </w:rPr>
        <w:t>ibid</w:t>
      </w:r>
      <w:r w:rsidRPr="00112487">
        <w:rPr>
          <w:szCs w:val="27"/>
        </w:rPr>
        <w:t>.)</w:t>
      </w:r>
    </w:p>
    <w:p w:rsidR="00D85841" w:rsidRPr="00112487" w:rsidP="00A25E48" w14:paraId="679C7936" w14:textId="77777777">
      <w:pPr>
        <w:ind w:firstLine="720"/>
        <w:rPr>
          <w:szCs w:val="27"/>
        </w:rPr>
      </w:pPr>
      <w:r w:rsidRPr="00112487">
        <w:rPr>
          <w:szCs w:val="27"/>
        </w:rPr>
        <w:t xml:space="preserve">The </w:t>
      </w:r>
      <w:r w:rsidRPr="00112487">
        <w:rPr>
          <w:i/>
          <w:iCs/>
          <w:szCs w:val="27"/>
        </w:rPr>
        <w:t>Community Redevelopment</w:t>
      </w:r>
      <w:r w:rsidRPr="00112487">
        <w:rPr>
          <w:szCs w:val="27"/>
        </w:rPr>
        <w:t xml:space="preserve"> court concluded that “other insurance” provisions should apply the same way in the context of a continuous injury that triggers multiple policy periods.  According to the court, the “other insurance” provision in Scottsdale’s excess policy made clear that the coverage was purchased “as excess to the . . . primary policy issued by State Farm</w:t>
      </w:r>
      <w:r w:rsidRPr="00112487" w:rsidR="00FD34D6">
        <w:rPr>
          <w:szCs w:val="27"/>
        </w:rPr>
        <w:t xml:space="preserve">” </w:t>
      </w:r>
      <w:r w:rsidRPr="00112487">
        <w:rPr>
          <w:szCs w:val="27"/>
        </w:rPr>
        <w:t xml:space="preserve">and </w:t>
      </w:r>
      <w:r w:rsidRPr="00112487" w:rsidR="00FD34D6">
        <w:rPr>
          <w:szCs w:val="27"/>
        </w:rPr>
        <w:t>“ </w:t>
      </w:r>
      <w:r w:rsidRPr="00112487">
        <w:rPr>
          <w:szCs w:val="27"/>
        </w:rPr>
        <w:t>‘any other underlying insurance collectible by the [insured parties].</w:t>
      </w:r>
      <w:r w:rsidRPr="00112487" w:rsidR="00FD34D6">
        <w:rPr>
          <w:szCs w:val="27"/>
        </w:rPr>
        <w:t>’ </w:t>
      </w:r>
      <w:r w:rsidRPr="00112487">
        <w:rPr>
          <w:szCs w:val="27"/>
        </w:rPr>
        <w:t xml:space="preserve">”  </w:t>
      </w:r>
      <w:r w:rsidRPr="00112487" w:rsidR="00F750FE">
        <w:rPr>
          <w:szCs w:val="27"/>
        </w:rPr>
        <w:t>(</w:t>
      </w:r>
      <w:r w:rsidRPr="00112487" w:rsidR="00F750FE">
        <w:rPr>
          <w:i/>
          <w:iCs/>
          <w:szCs w:val="27"/>
        </w:rPr>
        <w:t>Community Redevelopment</w:t>
      </w:r>
      <w:r w:rsidRPr="00112487" w:rsidR="00F750FE">
        <w:rPr>
          <w:szCs w:val="27"/>
        </w:rPr>
        <w:t>,</w:t>
      </w:r>
      <w:r w:rsidRPr="00112487" w:rsidR="00F750FE">
        <w:rPr>
          <w:i/>
          <w:iCs/>
          <w:szCs w:val="27"/>
        </w:rPr>
        <w:t xml:space="preserve"> supra</w:t>
      </w:r>
      <w:r w:rsidRPr="00112487" w:rsidR="00F750FE">
        <w:rPr>
          <w:szCs w:val="27"/>
        </w:rPr>
        <w:t>, 50</w:t>
      </w:r>
      <w:r w:rsidRPr="00112487" w:rsidR="003063D5">
        <w:rPr>
          <w:szCs w:val="27"/>
        </w:rPr>
        <w:t> </w:t>
      </w:r>
      <w:r w:rsidRPr="00112487" w:rsidR="00F750FE">
        <w:rPr>
          <w:szCs w:val="27"/>
        </w:rPr>
        <w:t>Cal.App.4th at p. 33</w:t>
      </w:r>
      <w:r w:rsidRPr="00112487" w:rsidR="00FD34D6">
        <w:rPr>
          <w:szCs w:val="27"/>
        </w:rPr>
        <w:t>8, italics omitted</w:t>
      </w:r>
      <w:r w:rsidRPr="00112487" w:rsidR="00F750FE">
        <w:rPr>
          <w:szCs w:val="27"/>
        </w:rPr>
        <w:t xml:space="preserve">.)  In the </w:t>
      </w:r>
      <w:r w:rsidRPr="00112487" w:rsidR="00F86ECC">
        <w:rPr>
          <w:szCs w:val="27"/>
        </w:rPr>
        <w:t xml:space="preserve">court’s </w:t>
      </w:r>
      <w:r w:rsidRPr="00112487" w:rsidR="00F750FE">
        <w:rPr>
          <w:szCs w:val="27"/>
        </w:rPr>
        <w:t>view, “[t]he only reasonable interpretation of this policy language is that the term ‘underlying insurance’ must be read to include all available primary insurance, not just the policy expressly listed on the schedule of underlying insurance.”  (</w:t>
      </w:r>
      <w:r w:rsidRPr="00112487" w:rsidR="00F750FE">
        <w:rPr>
          <w:i/>
          <w:iCs/>
          <w:szCs w:val="27"/>
        </w:rPr>
        <w:t>Id</w:t>
      </w:r>
      <w:r w:rsidRPr="00112487" w:rsidR="00F750FE">
        <w:rPr>
          <w:szCs w:val="27"/>
        </w:rPr>
        <w:t xml:space="preserve">. at p. 341.) </w:t>
      </w:r>
      <w:r w:rsidRPr="00112487" w:rsidR="00F02D60">
        <w:rPr>
          <w:szCs w:val="27"/>
        </w:rPr>
        <w:t xml:space="preserve"> </w:t>
      </w:r>
      <w:r w:rsidRPr="00112487" w:rsidR="00D646CA">
        <w:rPr>
          <w:szCs w:val="27"/>
        </w:rPr>
        <w:t>The court reasoned that because Scottsdale’s excess policy called for horizontal exhaustion of all primary insurance, Scottsdale remained</w:t>
      </w:r>
      <w:r w:rsidRPr="00112487" w:rsidR="00A634DC">
        <w:rPr>
          <w:szCs w:val="27"/>
        </w:rPr>
        <w:t xml:space="preserve"> on</w:t>
      </w:r>
      <w:r w:rsidRPr="00112487" w:rsidR="00D646CA">
        <w:rPr>
          <w:szCs w:val="27"/>
        </w:rPr>
        <w:t xml:space="preserve"> a different level of liability than United’s primary policy, thus precluding contribution. </w:t>
      </w:r>
    </w:p>
    <w:p w:rsidR="004D11A7" w:rsidRPr="00112487" w:rsidP="00A25E48" w14:paraId="679C7937" w14:textId="77777777">
      <w:pPr>
        <w:ind w:firstLine="720"/>
        <w:rPr>
          <w:szCs w:val="27"/>
        </w:rPr>
      </w:pPr>
      <w:r w:rsidRPr="00112487">
        <w:rPr>
          <w:szCs w:val="27"/>
        </w:rPr>
        <w:t xml:space="preserve">As noted above, the Court of Appeal in this case (and in </w:t>
      </w:r>
      <w:r w:rsidRPr="00112487" w:rsidR="00D4557B">
        <w:rPr>
          <w:szCs w:val="27"/>
        </w:rPr>
        <w:t>its</w:t>
      </w:r>
      <w:r w:rsidRPr="00112487">
        <w:rPr>
          <w:szCs w:val="27"/>
        </w:rPr>
        <w:t xml:space="preserve"> prior </w:t>
      </w:r>
      <w:r w:rsidRPr="00112487" w:rsidR="005C7A90">
        <w:rPr>
          <w:i/>
          <w:iCs/>
          <w:szCs w:val="27"/>
        </w:rPr>
        <w:t>Kaiser Cement</w:t>
      </w:r>
      <w:r w:rsidRPr="00112487" w:rsidR="005C7A90">
        <w:rPr>
          <w:szCs w:val="27"/>
        </w:rPr>
        <w:t xml:space="preserve"> </w:t>
      </w:r>
      <w:r w:rsidRPr="00112487">
        <w:rPr>
          <w:szCs w:val="27"/>
        </w:rPr>
        <w:t xml:space="preserve">decision) chose to follow the reasoning of </w:t>
      </w:r>
      <w:r w:rsidRPr="00112487">
        <w:rPr>
          <w:i/>
          <w:iCs/>
          <w:szCs w:val="27"/>
        </w:rPr>
        <w:t>Community Redevelopment</w:t>
      </w:r>
      <w:r w:rsidRPr="00112487" w:rsidR="00D4557B">
        <w:rPr>
          <w:szCs w:val="27"/>
        </w:rPr>
        <w:t xml:space="preserve">, concluding both that:  (1) the “other insurance” provisions unambiguously compelled a rule of horizontal exhaustion; and (2) because the first-level excess insurers owed no coverage obligation to the insured until all primary insurance had exhausted, there was no possible basis for </w:t>
      </w:r>
      <w:r w:rsidRPr="00112487" w:rsidR="009D4227">
        <w:rPr>
          <w:szCs w:val="27"/>
        </w:rPr>
        <w:t xml:space="preserve">Truck to obtain </w:t>
      </w:r>
      <w:r w:rsidRPr="00112487" w:rsidR="00D4557B">
        <w:rPr>
          <w:szCs w:val="27"/>
        </w:rPr>
        <w:t>contribution.</w:t>
      </w:r>
      <w:r>
        <w:rPr>
          <w:rStyle w:val="FootnoteReference"/>
          <w:szCs w:val="27"/>
        </w:rPr>
        <w:footnoteReference w:id="8"/>
      </w:r>
    </w:p>
    <w:p w:rsidR="00EB7F3A" w:rsidRPr="00DC2DE6" w:rsidP="00DC2DE6" w14:paraId="679C7938" w14:textId="77777777">
      <w:pPr>
        <w:pStyle w:val="Heading3"/>
        <w:numPr>
          <w:ilvl w:val="0"/>
          <w:numId w:val="15"/>
        </w:numPr>
        <w:spacing w:before="0" w:line="400" w:lineRule="exact"/>
        <w:ind w:left="1584" w:hanging="432"/>
        <w:rPr>
          <w:i w:val="0"/>
          <w:szCs w:val="27"/>
        </w:rPr>
      </w:pPr>
      <w:r w:rsidRPr="00DC2DE6">
        <w:rPr>
          <w:i w:val="0"/>
          <w:szCs w:val="27"/>
        </w:rPr>
        <w:t xml:space="preserve">Montrose III  </w:t>
      </w:r>
    </w:p>
    <w:p w:rsidR="00220248" w:rsidRPr="00112487" w:rsidP="00A25E48" w14:paraId="679C7939" w14:textId="77777777">
      <w:pPr>
        <w:ind w:firstLine="720"/>
        <w:rPr>
          <w:szCs w:val="27"/>
        </w:rPr>
      </w:pPr>
      <w:r w:rsidRPr="00112487">
        <w:rPr>
          <w:szCs w:val="27"/>
        </w:rPr>
        <w:t xml:space="preserve">In </w:t>
      </w:r>
      <w:r w:rsidRPr="00112487" w:rsidR="00B62BB2">
        <w:rPr>
          <w:i/>
          <w:iCs/>
          <w:szCs w:val="27"/>
        </w:rPr>
        <w:t>Montrose III</w:t>
      </w:r>
      <w:r w:rsidRPr="00112487">
        <w:rPr>
          <w:szCs w:val="27"/>
        </w:rPr>
        <w:t xml:space="preserve">, </w:t>
      </w:r>
      <w:r w:rsidRPr="00112487" w:rsidR="00E26E66">
        <w:rPr>
          <w:i/>
          <w:iCs/>
          <w:szCs w:val="27"/>
        </w:rPr>
        <w:t>supra</w:t>
      </w:r>
      <w:r w:rsidRPr="00112487" w:rsidR="00E26E66">
        <w:rPr>
          <w:szCs w:val="27"/>
        </w:rPr>
        <w:t>, 9</w:t>
      </w:r>
      <w:r w:rsidRPr="00112487" w:rsidR="00FE2F1C">
        <w:rPr>
          <w:szCs w:val="27"/>
        </w:rPr>
        <w:t> </w:t>
      </w:r>
      <w:r w:rsidRPr="00112487" w:rsidR="00E26E66">
        <w:rPr>
          <w:szCs w:val="27"/>
        </w:rPr>
        <w:t xml:space="preserve">Cal.5th 215, </w:t>
      </w:r>
      <w:r w:rsidRPr="00112487">
        <w:rPr>
          <w:szCs w:val="27"/>
        </w:rPr>
        <w:t xml:space="preserve">we </w:t>
      </w:r>
      <w:r w:rsidRPr="00112487" w:rsidR="007D39B8">
        <w:rPr>
          <w:szCs w:val="27"/>
        </w:rPr>
        <w:t>addressed the application of “other insurance” provisions in the context of</w:t>
      </w:r>
      <w:r w:rsidRPr="00112487" w:rsidR="003D2545">
        <w:rPr>
          <w:szCs w:val="27"/>
        </w:rPr>
        <w:t xml:space="preserve"> excess policies issued during successive periods of a</w:t>
      </w:r>
      <w:r w:rsidRPr="00112487">
        <w:rPr>
          <w:szCs w:val="27"/>
        </w:rPr>
        <w:t xml:space="preserve"> continu</w:t>
      </w:r>
      <w:r w:rsidRPr="00112487" w:rsidR="006914AA">
        <w:rPr>
          <w:szCs w:val="27"/>
        </w:rPr>
        <w:t xml:space="preserve">ous </w:t>
      </w:r>
      <w:r w:rsidRPr="00112487">
        <w:rPr>
          <w:szCs w:val="27"/>
        </w:rPr>
        <w:t>injury</w:t>
      </w:r>
      <w:r w:rsidRPr="00112487" w:rsidR="007D39B8">
        <w:rPr>
          <w:szCs w:val="27"/>
        </w:rPr>
        <w:t xml:space="preserve">.  The insured was sued for </w:t>
      </w:r>
      <w:r w:rsidRPr="00112487">
        <w:rPr>
          <w:szCs w:val="27"/>
        </w:rPr>
        <w:t xml:space="preserve">causing continuous </w:t>
      </w:r>
      <w:r w:rsidRPr="00112487" w:rsidR="007D39B8">
        <w:rPr>
          <w:szCs w:val="27"/>
        </w:rPr>
        <w:t xml:space="preserve">environmental contamination </w:t>
      </w:r>
      <w:r w:rsidRPr="00112487">
        <w:rPr>
          <w:szCs w:val="27"/>
        </w:rPr>
        <w:t xml:space="preserve">between 1947 and 1982.  During that period, the insured obtained annual policies for primary insurance and multiple layers of excess insurance.  The parties stipulated that all primary insurance had been exhausted.  The question we had to decide was “the sequence in which [the insured could] access the excess insurance policies covering this period.”  </w:t>
      </w:r>
      <w:r w:rsidRPr="00112487" w:rsidR="00E26E66">
        <w:rPr>
          <w:szCs w:val="27"/>
        </w:rPr>
        <w:t>(</w:t>
      </w:r>
      <w:r w:rsidRPr="00112487" w:rsidR="00E26E66">
        <w:rPr>
          <w:i/>
          <w:iCs/>
          <w:szCs w:val="27"/>
        </w:rPr>
        <w:t>Id</w:t>
      </w:r>
      <w:r w:rsidRPr="00112487" w:rsidR="00E26E66">
        <w:rPr>
          <w:szCs w:val="27"/>
        </w:rPr>
        <w:t xml:space="preserve">. at p. 222.)  </w:t>
      </w:r>
      <w:r w:rsidRPr="00112487">
        <w:rPr>
          <w:szCs w:val="27"/>
        </w:rPr>
        <w:t xml:space="preserve">The insured sought a rule of vertical exhaustion, which would allow it to access an excess insurance policy </w:t>
      </w:r>
      <w:r w:rsidRPr="00112487" w:rsidR="00E26E66">
        <w:rPr>
          <w:szCs w:val="27"/>
        </w:rPr>
        <w:t xml:space="preserve">upon the exhaustion of any excess policies with lower attachment points that had been issued for the same </w:t>
      </w:r>
      <w:r w:rsidRPr="00112487">
        <w:rPr>
          <w:szCs w:val="27"/>
        </w:rPr>
        <w:t xml:space="preserve">policy period.  The insurer sought a rule of horizontal exhaustion, which would not allow the insured to access an excess policy until it had exhausted </w:t>
      </w:r>
      <w:r w:rsidRPr="00112487">
        <w:rPr>
          <w:i/>
          <w:iCs/>
          <w:szCs w:val="27"/>
        </w:rPr>
        <w:t>every</w:t>
      </w:r>
      <w:r w:rsidRPr="00112487">
        <w:rPr>
          <w:szCs w:val="27"/>
        </w:rPr>
        <w:t xml:space="preserve"> excess policy with a lower attachment point </w:t>
      </w:r>
      <w:r w:rsidRPr="00112487" w:rsidR="00E26E66">
        <w:rPr>
          <w:szCs w:val="27"/>
        </w:rPr>
        <w:t>that had been issued during the continuous period of injury</w:t>
      </w:r>
      <w:r w:rsidRPr="00112487">
        <w:rPr>
          <w:szCs w:val="27"/>
        </w:rPr>
        <w:t xml:space="preserve">.  </w:t>
      </w:r>
      <w:r w:rsidRPr="00112487" w:rsidR="00E26E66">
        <w:rPr>
          <w:szCs w:val="27"/>
        </w:rPr>
        <w:t xml:space="preserve">(See </w:t>
      </w:r>
      <w:r w:rsidRPr="00112487" w:rsidR="00E26E66">
        <w:rPr>
          <w:i/>
          <w:iCs/>
          <w:szCs w:val="27"/>
        </w:rPr>
        <w:t>id</w:t>
      </w:r>
      <w:r w:rsidRPr="00112487" w:rsidR="00E26E66">
        <w:rPr>
          <w:szCs w:val="27"/>
        </w:rPr>
        <w:t>. at p.</w:t>
      </w:r>
      <w:r w:rsidRPr="00112487" w:rsidR="001148CD">
        <w:rPr>
          <w:szCs w:val="27"/>
        </w:rPr>
        <w:t> </w:t>
      </w:r>
      <w:r w:rsidRPr="00112487" w:rsidR="00E26E66">
        <w:rPr>
          <w:szCs w:val="27"/>
        </w:rPr>
        <w:t>229.)</w:t>
      </w:r>
    </w:p>
    <w:p w:rsidR="00081F75" w:rsidRPr="002A0726" w:rsidP="00A25E48" w14:paraId="679C793A" w14:textId="77777777">
      <w:pPr>
        <w:ind w:firstLine="720"/>
        <w:rPr>
          <w:color w:val="000000" w:themeColor="text1"/>
          <w:szCs w:val="27"/>
          <w:shd w:val="clear" w:color="auto" w:fill="FFFFFF"/>
        </w:rPr>
      </w:pPr>
      <w:r w:rsidRPr="002A0726">
        <w:rPr>
          <w:color w:val="000000" w:themeColor="text1"/>
          <w:szCs w:val="27"/>
        </w:rPr>
        <w:t xml:space="preserve">The </w:t>
      </w:r>
      <w:r w:rsidRPr="002A0726" w:rsidR="00220248">
        <w:rPr>
          <w:color w:val="000000" w:themeColor="text1"/>
          <w:szCs w:val="27"/>
        </w:rPr>
        <w:t xml:space="preserve">dispute centered on the meaning of </w:t>
      </w:r>
      <w:r w:rsidRPr="002A0726" w:rsidR="00504FFE">
        <w:rPr>
          <w:color w:val="000000" w:themeColor="text1"/>
          <w:szCs w:val="27"/>
        </w:rPr>
        <w:t>“other insurance” clauses in the excess insurance policies.  Th</w:t>
      </w:r>
      <w:r w:rsidRPr="002A0726" w:rsidR="00604AF8">
        <w:rPr>
          <w:color w:val="000000" w:themeColor="text1"/>
          <w:szCs w:val="27"/>
        </w:rPr>
        <w:t>os</w:t>
      </w:r>
      <w:r w:rsidRPr="002A0726" w:rsidR="00504FFE">
        <w:rPr>
          <w:color w:val="000000" w:themeColor="text1"/>
          <w:szCs w:val="27"/>
        </w:rPr>
        <w:t xml:space="preserve">e clauses provided, in varying ways, that </w:t>
      </w:r>
      <w:r w:rsidRPr="002A0726" w:rsidR="00D85841">
        <w:rPr>
          <w:color w:val="000000" w:themeColor="text1"/>
          <w:szCs w:val="27"/>
        </w:rPr>
        <w:t xml:space="preserve">the </w:t>
      </w:r>
      <w:r w:rsidRPr="002A0726" w:rsidR="00504FFE">
        <w:rPr>
          <w:color w:val="000000" w:themeColor="text1"/>
          <w:szCs w:val="27"/>
        </w:rPr>
        <w:t>polic</w:t>
      </w:r>
      <w:r w:rsidRPr="002A0726" w:rsidR="00D85841">
        <w:rPr>
          <w:color w:val="000000" w:themeColor="text1"/>
          <w:szCs w:val="27"/>
        </w:rPr>
        <w:t xml:space="preserve">ies </w:t>
      </w:r>
      <w:r w:rsidRPr="002A0726" w:rsidR="00504FFE">
        <w:rPr>
          <w:color w:val="000000" w:themeColor="text1"/>
          <w:szCs w:val="27"/>
        </w:rPr>
        <w:t xml:space="preserve">shall be excess to </w:t>
      </w:r>
      <w:r w:rsidRPr="002A0726" w:rsidR="00D85841">
        <w:rPr>
          <w:color w:val="000000" w:themeColor="text1"/>
          <w:szCs w:val="27"/>
        </w:rPr>
        <w:t>“</w:t>
      </w:r>
      <w:r w:rsidRPr="002A0726" w:rsidR="00504FFE">
        <w:rPr>
          <w:color w:val="000000" w:themeColor="text1"/>
          <w:szCs w:val="27"/>
        </w:rPr>
        <w:t>other insurance</w:t>
      </w:r>
      <w:r w:rsidRPr="002A0726" w:rsidR="00D85841">
        <w:rPr>
          <w:color w:val="000000" w:themeColor="text1"/>
          <w:szCs w:val="27"/>
        </w:rPr>
        <w:t>” or “</w:t>
      </w:r>
      <w:r w:rsidR="00660F17">
        <w:rPr>
          <w:color w:val="000000" w:themeColor="text1"/>
          <w:szCs w:val="27"/>
        </w:rPr>
        <w:t> ‘</w:t>
      </w:r>
      <w:r w:rsidRPr="00DC2DE6" w:rsidR="00D85841">
        <w:rPr>
          <w:color w:val="000000" w:themeColor="text1"/>
          <w:szCs w:val="27"/>
        </w:rPr>
        <w:t>other underlying insurance</w:t>
      </w:r>
      <w:r w:rsidR="00660F17">
        <w:rPr>
          <w:color w:val="000000" w:themeColor="text1"/>
          <w:szCs w:val="27"/>
        </w:rPr>
        <w:t>’ </w:t>
      </w:r>
      <w:r w:rsidRPr="002A0726" w:rsidR="00D85841">
        <w:rPr>
          <w:color w:val="000000" w:themeColor="text1"/>
          <w:szCs w:val="27"/>
        </w:rPr>
        <w:t>”</w:t>
      </w:r>
      <w:r w:rsidRPr="002A0726" w:rsidR="00504FFE">
        <w:rPr>
          <w:color w:val="000000" w:themeColor="text1"/>
          <w:szCs w:val="27"/>
        </w:rPr>
        <w:t xml:space="preserve"> </w:t>
      </w:r>
      <w:r w:rsidRPr="002A0726" w:rsidR="00D85841">
        <w:rPr>
          <w:color w:val="000000" w:themeColor="text1"/>
          <w:szCs w:val="27"/>
          <w:shd w:val="clear" w:color="auto" w:fill="FFFFFF"/>
        </w:rPr>
        <w:t>(</w:t>
      </w:r>
      <w:r w:rsidRPr="002A0726" w:rsidR="00B62BB2">
        <w:rPr>
          <w:i/>
          <w:iCs/>
          <w:color w:val="000000" w:themeColor="text1"/>
          <w:szCs w:val="27"/>
        </w:rPr>
        <w:t>Montrose III</w:t>
      </w:r>
      <w:r w:rsidRPr="002A0726" w:rsidR="00D85841">
        <w:rPr>
          <w:color w:val="000000" w:themeColor="text1"/>
          <w:szCs w:val="27"/>
        </w:rPr>
        <w:t xml:space="preserve">, </w:t>
      </w:r>
      <w:r w:rsidRPr="002A0726" w:rsidR="00D85841">
        <w:rPr>
          <w:i/>
          <w:iCs/>
          <w:color w:val="000000" w:themeColor="text1"/>
          <w:szCs w:val="27"/>
        </w:rPr>
        <w:t>supra</w:t>
      </w:r>
      <w:r w:rsidRPr="002A0726" w:rsidR="00D85841">
        <w:rPr>
          <w:color w:val="000000" w:themeColor="text1"/>
          <w:szCs w:val="27"/>
        </w:rPr>
        <w:t>, 9</w:t>
      </w:r>
      <w:r w:rsidRPr="002A0726" w:rsidR="00FE2F1C">
        <w:rPr>
          <w:color w:val="000000" w:themeColor="text1"/>
          <w:szCs w:val="27"/>
        </w:rPr>
        <w:t> </w:t>
      </w:r>
      <w:r w:rsidRPr="002A0726" w:rsidR="00D85841">
        <w:rPr>
          <w:color w:val="000000" w:themeColor="text1"/>
          <w:szCs w:val="27"/>
        </w:rPr>
        <w:t>Cal.5th at p</w:t>
      </w:r>
      <w:r w:rsidRPr="002A0726" w:rsidR="00FD34D6">
        <w:rPr>
          <w:color w:val="000000" w:themeColor="text1"/>
          <w:szCs w:val="27"/>
        </w:rPr>
        <w:t>p</w:t>
      </w:r>
      <w:r w:rsidRPr="002A0726" w:rsidR="00D85841">
        <w:rPr>
          <w:color w:val="000000" w:themeColor="text1"/>
          <w:szCs w:val="27"/>
        </w:rPr>
        <w:t>. 224</w:t>
      </w:r>
      <w:r w:rsidRPr="002A0726" w:rsidR="00FD34D6">
        <w:rPr>
          <w:color w:val="000000" w:themeColor="text1"/>
          <w:szCs w:val="27"/>
        </w:rPr>
        <w:t>–225</w:t>
      </w:r>
      <w:r w:rsidR="00DC2DE6">
        <w:rPr>
          <w:color w:val="000000" w:themeColor="text1"/>
          <w:szCs w:val="27"/>
        </w:rPr>
        <w:t>, italics omitted</w:t>
      </w:r>
      <w:r w:rsidRPr="002A0726" w:rsidR="00D85841">
        <w:rPr>
          <w:color w:val="000000" w:themeColor="text1"/>
          <w:szCs w:val="27"/>
        </w:rPr>
        <w:t>) available to the insured</w:t>
      </w:r>
      <w:r w:rsidRPr="002A0726" w:rsidR="00504FFE">
        <w:rPr>
          <w:color w:val="000000" w:themeColor="text1"/>
          <w:szCs w:val="27"/>
        </w:rPr>
        <w:t xml:space="preserve">, </w:t>
      </w:r>
      <w:r w:rsidRPr="002A0726" w:rsidR="00D85841">
        <w:rPr>
          <w:color w:val="000000" w:themeColor="text1"/>
          <w:szCs w:val="27"/>
        </w:rPr>
        <w:t>“</w:t>
      </w:r>
      <w:r w:rsidRPr="002A0726" w:rsidR="00504FFE">
        <w:rPr>
          <w:color w:val="000000" w:themeColor="text1"/>
          <w:szCs w:val="27"/>
        </w:rPr>
        <w:t xml:space="preserve">whether or not the other insurance is specifically listed in the policy’s schedule of underlying insurance.”  </w:t>
      </w:r>
      <w:r w:rsidRPr="002A0726">
        <w:rPr>
          <w:color w:val="000000" w:themeColor="text1"/>
          <w:szCs w:val="27"/>
          <w:shd w:val="clear" w:color="auto" w:fill="FFFFFF"/>
        </w:rPr>
        <w:t>(</w:t>
      </w:r>
      <w:r w:rsidRPr="002A0726" w:rsidR="00D625F2">
        <w:rPr>
          <w:i/>
          <w:iCs/>
          <w:color w:val="000000" w:themeColor="text1"/>
          <w:szCs w:val="27"/>
        </w:rPr>
        <w:t>Id.</w:t>
      </w:r>
      <w:r w:rsidRPr="002A0726">
        <w:rPr>
          <w:color w:val="000000" w:themeColor="text1"/>
          <w:szCs w:val="27"/>
        </w:rPr>
        <w:t xml:space="preserve"> at p. 230.)</w:t>
      </w:r>
      <w:r w:rsidRPr="002A0726">
        <w:rPr>
          <w:color w:val="000000" w:themeColor="text1"/>
          <w:szCs w:val="27"/>
          <w:shd w:val="clear" w:color="auto" w:fill="FFFFFF"/>
        </w:rPr>
        <w:t xml:space="preserve">  Citing </w:t>
      </w:r>
      <w:r w:rsidRPr="002A0726">
        <w:rPr>
          <w:i/>
          <w:iCs/>
          <w:color w:val="000000" w:themeColor="text1"/>
          <w:szCs w:val="27"/>
          <w:shd w:val="clear" w:color="auto" w:fill="FFFFFF"/>
        </w:rPr>
        <w:t xml:space="preserve">Community </w:t>
      </w:r>
      <w:r w:rsidRPr="002A0726" w:rsidR="00864C7C">
        <w:rPr>
          <w:i/>
          <w:iCs/>
          <w:color w:val="000000" w:themeColor="text1"/>
          <w:szCs w:val="27"/>
          <w:shd w:val="clear" w:color="auto" w:fill="FFFFFF"/>
        </w:rPr>
        <w:t>Red</w:t>
      </w:r>
      <w:r w:rsidRPr="002A0726">
        <w:rPr>
          <w:i/>
          <w:iCs/>
          <w:color w:val="000000" w:themeColor="text1"/>
          <w:szCs w:val="27"/>
          <w:shd w:val="clear" w:color="auto" w:fill="FFFFFF"/>
        </w:rPr>
        <w:t>evelopment</w:t>
      </w:r>
      <w:r w:rsidRPr="002A0726">
        <w:rPr>
          <w:color w:val="000000" w:themeColor="text1"/>
          <w:szCs w:val="27"/>
          <w:shd w:val="clear" w:color="auto" w:fill="FFFFFF"/>
        </w:rPr>
        <w:t xml:space="preserve">, </w:t>
      </w:r>
      <w:r w:rsidRPr="002A0726" w:rsidR="00D85841">
        <w:rPr>
          <w:i/>
          <w:iCs/>
          <w:color w:val="000000" w:themeColor="text1"/>
          <w:szCs w:val="27"/>
        </w:rPr>
        <w:t>supra</w:t>
      </w:r>
      <w:r w:rsidRPr="002A0726" w:rsidR="00D85841">
        <w:rPr>
          <w:color w:val="000000" w:themeColor="text1"/>
          <w:szCs w:val="27"/>
        </w:rPr>
        <w:t>, 50</w:t>
      </w:r>
      <w:r w:rsidRPr="002A0726" w:rsidR="002239D0">
        <w:rPr>
          <w:color w:val="000000" w:themeColor="text1"/>
          <w:szCs w:val="27"/>
        </w:rPr>
        <w:t> </w:t>
      </w:r>
      <w:r w:rsidRPr="002A0726" w:rsidR="00D85841">
        <w:rPr>
          <w:color w:val="000000" w:themeColor="text1"/>
          <w:szCs w:val="27"/>
        </w:rPr>
        <w:t xml:space="preserve">Cal.App.4th 329, </w:t>
      </w:r>
      <w:r w:rsidRPr="002A0726">
        <w:rPr>
          <w:color w:val="000000" w:themeColor="text1"/>
          <w:szCs w:val="27"/>
          <w:shd w:val="clear" w:color="auto" w:fill="FFFFFF"/>
        </w:rPr>
        <w:t>the insu</w:t>
      </w:r>
      <w:r w:rsidRPr="002A0726" w:rsidR="001148CD">
        <w:rPr>
          <w:color w:val="000000" w:themeColor="text1"/>
          <w:szCs w:val="27"/>
          <w:shd w:val="clear" w:color="auto" w:fill="FFFFFF"/>
        </w:rPr>
        <w:t>r</w:t>
      </w:r>
      <w:r w:rsidRPr="002A0726">
        <w:rPr>
          <w:color w:val="000000" w:themeColor="text1"/>
          <w:szCs w:val="27"/>
          <w:shd w:val="clear" w:color="auto" w:fill="FFFFFF"/>
        </w:rPr>
        <w:t>ers argued that the “other insurance” clauses “call[ed] for a rule of horizonal exhaustion because they restrict indemnification from any excess policy until the insured has exhausted all other available insurance —</w:t>
      </w:r>
      <w:r w:rsidRPr="002A0726" w:rsidR="00D85841">
        <w:rPr>
          <w:color w:val="000000" w:themeColor="text1"/>
          <w:szCs w:val="27"/>
          <w:shd w:val="clear" w:color="auto" w:fill="FFFFFF"/>
        </w:rPr>
        <w:t xml:space="preserve"> </w:t>
      </w:r>
      <w:r w:rsidRPr="002A0726">
        <w:rPr>
          <w:color w:val="000000" w:themeColor="text1"/>
          <w:szCs w:val="27"/>
          <w:shd w:val="clear" w:color="auto" w:fill="FFFFFF"/>
        </w:rPr>
        <w:t>which, in a case of long-tail injury, means every policy with a lower attachment point from every policy period triggered by the continuous injury.”  (</w:t>
      </w:r>
      <w:r w:rsidRPr="002A0726" w:rsidR="00B62BB2">
        <w:rPr>
          <w:i/>
          <w:iCs/>
          <w:color w:val="000000" w:themeColor="text1"/>
          <w:szCs w:val="27"/>
        </w:rPr>
        <w:t>Montrose III</w:t>
      </w:r>
      <w:r w:rsidRPr="002A0726">
        <w:rPr>
          <w:color w:val="000000" w:themeColor="text1"/>
          <w:szCs w:val="27"/>
        </w:rPr>
        <w:t>, at p. 230.)</w:t>
      </w:r>
      <w:r w:rsidRPr="002A0726">
        <w:rPr>
          <w:color w:val="000000" w:themeColor="text1"/>
          <w:szCs w:val="27"/>
          <w:shd w:val="clear" w:color="auto" w:fill="FFFFFF"/>
        </w:rPr>
        <w:t xml:space="preserve">  The insureds, however, argued that the “other insurance” clauses were intended to refer only to “other insurance” policies</w:t>
      </w:r>
      <w:r w:rsidRPr="002A0726" w:rsidR="00D51514">
        <w:rPr>
          <w:color w:val="000000" w:themeColor="text1"/>
          <w:szCs w:val="27"/>
          <w:shd w:val="clear" w:color="auto" w:fill="FFFFFF"/>
        </w:rPr>
        <w:t xml:space="preserve"> with lower attachment points</w:t>
      </w:r>
      <w:r w:rsidRPr="002A0726">
        <w:rPr>
          <w:color w:val="000000" w:themeColor="text1"/>
          <w:szCs w:val="27"/>
          <w:shd w:val="clear" w:color="auto" w:fill="FFFFFF"/>
        </w:rPr>
        <w:t xml:space="preserve"> that were in effect </w:t>
      </w:r>
      <w:r w:rsidRPr="002A0726">
        <w:rPr>
          <w:i/>
          <w:iCs/>
          <w:color w:val="000000" w:themeColor="text1"/>
          <w:szCs w:val="27"/>
          <w:shd w:val="clear" w:color="auto" w:fill="FFFFFF"/>
        </w:rPr>
        <w:t xml:space="preserve">during the same policy period as the </w:t>
      </w:r>
      <w:r w:rsidRPr="002A0726" w:rsidR="00E26E66">
        <w:rPr>
          <w:i/>
          <w:iCs/>
          <w:color w:val="000000" w:themeColor="text1"/>
          <w:szCs w:val="27"/>
          <w:shd w:val="clear" w:color="auto" w:fill="FFFFFF"/>
        </w:rPr>
        <w:t xml:space="preserve">overlaying </w:t>
      </w:r>
      <w:r w:rsidRPr="002A0726">
        <w:rPr>
          <w:i/>
          <w:iCs/>
          <w:color w:val="000000" w:themeColor="text1"/>
          <w:szCs w:val="27"/>
          <w:shd w:val="clear" w:color="auto" w:fill="FFFFFF"/>
        </w:rPr>
        <w:t>excess policy</w:t>
      </w:r>
      <w:r w:rsidRPr="002A0726">
        <w:rPr>
          <w:color w:val="000000" w:themeColor="text1"/>
          <w:szCs w:val="27"/>
          <w:shd w:val="clear" w:color="auto" w:fill="FFFFFF"/>
        </w:rPr>
        <w:t xml:space="preserve">.  (See </w:t>
      </w:r>
      <w:r w:rsidRPr="002A0726">
        <w:rPr>
          <w:i/>
          <w:iCs/>
          <w:color w:val="000000" w:themeColor="text1"/>
          <w:szCs w:val="27"/>
          <w:shd w:val="clear" w:color="auto" w:fill="FFFFFF"/>
        </w:rPr>
        <w:t>id</w:t>
      </w:r>
      <w:r w:rsidRPr="002A0726">
        <w:rPr>
          <w:color w:val="000000" w:themeColor="text1"/>
          <w:szCs w:val="27"/>
          <w:shd w:val="clear" w:color="auto" w:fill="FFFFFF"/>
        </w:rPr>
        <w:t>. at pp. 230–231</w:t>
      </w:r>
      <w:r w:rsidRPr="002A0726" w:rsidR="00D51514">
        <w:rPr>
          <w:color w:val="000000" w:themeColor="text1"/>
          <w:szCs w:val="27"/>
          <w:shd w:val="clear" w:color="auto" w:fill="FFFFFF"/>
        </w:rPr>
        <w:t xml:space="preserve">.)  </w:t>
      </w:r>
    </w:p>
    <w:p w:rsidR="00917B19" w:rsidRPr="002A0726" w:rsidP="00A25E48" w14:paraId="679C793B" w14:textId="77777777">
      <w:pPr>
        <w:ind w:firstLine="720"/>
        <w:rPr>
          <w:color w:val="000000" w:themeColor="text1"/>
          <w:szCs w:val="27"/>
        </w:rPr>
      </w:pPr>
      <w:r w:rsidRPr="002A0726">
        <w:rPr>
          <w:color w:val="000000" w:themeColor="text1"/>
          <w:szCs w:val="27"/>
        </w:rPr>
        <w:t>While finding that both parties</w:t>
      </w:r>
      <w:r w:rsidRPr="002A0726" w:rsidR="00D85841">
        <w:rPr>
          <w:color w:val="000000" w:themeColor="text1"/>
          <w:szCs w:val="27"/>
        </w:rPr>
        <w:t xml:space="preserve"> had offered reasonable</w:t>
      </w:r>
      <w:r w:rsidRPr="002A0726">
        <w:rPr>
          <w:color w:val="000000" w:themeColor="text1"/>
          <w:szCs w:val="27"/>
        </w:rPr>
        <w:t xml:space="preserve"> interpretations of </w:t>
      </w:r>
      <w:r w:rsidRPr="002A0726" w:rsidR="004825BC">
        <w:rPr>
          <w:color w:val="000000" w:themeColor="text1"/>
          <w:szCs w:val="27"/>
        </w:rPr>
        <w:t xml:space="preserve">the “other </w:t>
      </w:r>
      <w:r w:rsidRPr="002A0726">
        <w:rPr>
          <w:color w:val="000000" w:themeColor="text1"/>
          <w:szCs w:val="27"/>
        </w:rPr>
        <w:t>insurance” p</w:t>
      </w:r>
      <w:r w:rsidRPr="002A0726" w:rsidR="004825BC">
        <w:rPr>
          <w:color w:val="000000" w:themeColor="text1"/>
          <w:szCs w:val="27"/>
        </w:rPr>
        <w:t xml:space="preserve">rovisions </w:t>
      </w:r>
      <w:r w:rsidRPr="002A0726" w:rsidR="00E26E66">
        <w:rPr>
          <w:color w:val="000000" w:themeColor="text1"/>
          <w:szCs w:val="27"/>
          <w:shd w:val="clear" w:color="auto" w:fill="FFFFFF"/>
        </w:rPr>
        <w:t>(</w:t>
      </w:r>
      <w:r w:rsidRPr="002A0726" w:rsidR="001C52D6">
        <w:rPr>
          <w:color w:val="000000" w:themeColor="text1"/>
          <w:szCs w:val="27"/>
          <w:shd w:val="clear" w:color="auto" w:fill="FFFFFF"/>
        </w:rPr>
        <w:t xml:space="preserve">see </w:t>
      </w:r>
      <w:r w:rsidRPr="002A0726" w:rsidR="00B62BB2">
        <w:rPr>
          <w:i/>
          <w:iCs/>
          <w:color w:val="000000" w:themeColor="text1"/>
          <w:szCs w:val="27"/>
        </w:rPr>
        <w:t>Montrose III</w:t>
      </w:r>
      <w:r w:rsidRPr="002A0726" w:rsidR="00E26E66">
        <w:rPr>
          <w:color w:val="000000" w:themeColor="text1"/>
          <w:szCs w:val="27"/>
        </w:rPr>
        <w:t xml:space="preserve">, </w:t>
      </w:r>
      <w:r w:rsidRPr="002A0726" w:rsidR="00E26E66">
        <w:rPr>
          <w:i/>
          <w:iCs/>
          <w:color w:val="000000" w:themeColor="text1"/>
          <w:szCs w:val="27"/>
        </w:rPr>
        <w:t>supra</w:t>
      </w:r>
      <w:r w:rsidRPr="002A0726" w:rsidR="00E26E66">
        <w:rPr>
          <w:color w:val="000000" w:themeColor="text1"/>
          <w:szCs w:val="27"/>
        </w:rPr>
        <w:t>, 9</w:t>
      </w:r>
      <w:r w:rsidRPr="002A0726" w:rsidR="00FE2F1C">
        <w:rPr>
          <w:color w:val="000000" w:themeColor="text1"/>
          <w:szCs w:val="27"/>
        </w:rPr>
        <w:t> </w:t>
      </w:r>
      <w:r w:rsidRPr="002A0726" w:rsidR="00E26E66">
        <w:rPr>
          <w:color w:val="000000" w:themeColor="text1"/>
          <w:szCs w:val="27"/>
        </w:rPr>
        <w:t>Cal.5th at p</w:t>
      </w:r>
      <w:r w:rsidRPr="002A0726" w:rsidR="001C52D6">
        <w:rPr>
          <w:color w:val="000000" w:themeColor="text1"/>
          <w:szCs w:val="27"/>
        </w:rPr>
        <w:t>p</w:t>
      </w:r>
      <w:r w:rsidRPr="002A0726" w:rsidR="00E26E66">
        <w:rPr>
          <w:color w:val="000000" w:themeColor="text1"/>
          <w:szCs w:val="27"/>
        </w:rPr>
        <w:t>. 230</w:t>
      </w:r>
      <w:r w:rsidRPr="002A0726" w:rsidR="001C52D6">
        <w:rPr>
          <w:color w:val="000000" w:themeColor="text1"/>
          <w:szCs w:val="27"/>
        </w:rPr>
        <w:t>, 234</w:t>
      </w:r>
      <w:r w:rsidRPr="002A0726" w:rsidR="00E26E66">
        <w:rPr>
          <w:color w:val="000000" w:themeColor="text1"/>
          <w:szCs w:val="27"/>
        </w:rPr>
        <w:t>)</w:t>
      </w:r>
      <w:r w:rsidRPr="002A0726">
        <w:rPr>
          <w:color w:val="000000" w:themeColor="text1"/>
          <w:szCs w:val="27"/>
        </w:rPr>
        <w:t>,</w:t>
      </w:r>
      <w:r w:rsidRPr="002A0726" w:rsidR="00E26E66">
        <w:rPr>
          <w:color w:val="000000" w:themeColor="text1"/>
          <w:szCs w:val="27"/>
          <w:shd w:val="clear" w:color="auto" w:fill="FFFFFF"/>
        </w:rPr>
        <w:t xml:space="preserve"> </w:t>
      </w:r>
      <w:r w:rsidRPr="002A0726">
        <w:rPr>
          <w:color w:val="000000" w:themeColor="text1"/>
          <w:szCs w:val="27"/>
          <w:shd w:val="clear" w:color="auto" w:fill="FFFFFF"/>
        </w:rPr>
        <w:t>we ultimately concluded that when read “in light of background principles of insurance law, and considering the reasonable expectations of the parties” (</w:t>
      </w:r>
      <w:r w:rsidRPr="002A0726">
        <w:rPr>
          <w:i/>
          <w:iCs/>
          <w:color w:val="000000" w:themeColor="text1"/>
          <w:szCs w:val="27"/>
          <w:shd w:val="clear" w:color="auto" w:fill="FFFFFF"/>
        </w:rPr>
        <w:t>id</w:t>
      </w:r>
      <w:r w:rsidRPr="002A0726">
        <w:rPr>
          <w:color w:val="000000" w:themeColor="text1"/>
          <w:szCs w:val="27"/>
          <w:shd w:val="clear" w:color="auto" w:fill="FFFFFF"/>
        </w:rPr>
        <w:t xml:space="preserve">. at p. 222), the policy language was </w:t>
      </w:r>
      <w:r w:rsidRPr="002A0726">
        <w:rPr>
          <w:color w:val="000000" w:themeColor="text1"/>
          <w:szCs w:val="27"/>
        </w:rPr>
        <w:t xml:space="preserve">“most naturally read to </w:t>
      </w:r>
      <w:r w:rsidRPr="00112487">
        <w:rPr>
          <w:szCs w:val="27"/>
        </w:rPr>
        <w:t xml:space="preserve">mean that [the insured] may access its excess insurance whenever it </w:t>
      </w:r>
      <w:r w:rsidRPr="002A0726">
        <w:rPr>
          <w:color w:val="000000" w:themeColor="text1"/>
          <w:szCs w:val="27"/>
        </w:rPr>
        <w:t>has exhausted the other directly underlying excess insurance policies that were purchased for the same policy period” (</w:t>
      </w:r>
      <w:r w:rsidRPr="002A0726" w:rsidR="00FF11E0">
        <w:rPr>
          <w:i/>
          <w:iCs/>
          <w:color w:val="000000" w:themeColor="text1"/>
          <w:szCs w:val="27"/>
          <w:shd w:val="clear" w:color="auto" w:fill="FFFFFF"/>
        </w:rPr>
        <w:t>i</w:t>
      </w:r>
      <w:r w:rsidRPr="002A0726" w:rsidR="0063733F">
        <w:rPr>
          <w:i/>
          <w:iCs/>
          <w:color w:val="000000" w:themeColor="text1"/>
          <w:szCs w:val="27"/>
          <w:shd w:val="clear" w:color="auto" w:fill="FFFFFF"/>
        </w:rPr>
        <w:t>d</w:t>
      </w:r>
      <w:r w:rsidRPr="002A0726" w:rsidR="001C52D6">
        <w:rPr>
          <w:color w:val="000000" w:themeColor="text1"/>
          <w:szCs w:val="27"/>
          <w:shd w:val="clear" w:color="auto" w:fill="FFFFFF"/>
        </w:rPr>
        <w:t>.</w:t>
      </w:r>
      <w:r w:rsidRPr="002A0726" w:rsidR="00FF11E0">
        <w:rPr>
          <w:color w:val="000000" w:themeColor="text1"/>
          <w:szCs w:val="27"/>
          <w:shd w:val="clear" w:color="auto" w:fill="FFFFFF"/>
        </w:rPr>
        <w:t xml:space="preserve"> at p. 234).</w:t>
      </w:r>
    </w:p>
    <w:p w:rsidR="0033699A" w:rsidRPr="00112487" w:rsidP="00A25E48" w14:paraId="679C793C" w14:textId="77777777">
      <w:pPr>
        <w:ind w:firstLine="720"/>
        <w:rPr>
          <w:szCs w:val="27"/>
        </w:rPr>
      </w:pPr>
      <w:r w:rsidRPr="00112487">
        <w:rPr>
          <w:szCs w:val="27"/>
        </w:rPr>
        <w:t xml:space="preserve">Turning </w:t>
      </w:r>
      <w:r w:rsidRPr="00112487" w:rsidR="001C52D6">
        <w:rPr>
          <w:szCs w:val="27"/>
        </w:rPr>
        <w:t xml:space="preserve">first </w:t>
      </w:r>
      <w:r w:rsidRPr="00112487">
        <w:rPr>
          <w:szCs w:val="27"/>
        </w:rPr>
        <w:t xml:space="preserve">to the </w:t>
      </w:r>
      <w:r w:rsidRPr="00112487" w:rsidR="001C52D6">
        <w:rPr>
          <w:szCs w:val="27"/>
        </w:rPr>
        <w:t>text o</w:t>
      </w:r>
      <w:r w:rsidRPr="00112487">
        <w:rPr>
          <w:szCs w:val="27"/>
        </w:rPr>
        <w:t xml:space="preserve">f the </w:t>
      </w:r>
      <w:r w:rsidRPr="00112487" w:rsidR="001C52D6">
        <w:rPr>
          <w:szCs w:val="27"/>
        </w:rPr>
        <w:t xml:space="preserve">“other insurance” </w:t>
      </w:r>
      <w:r w:rsidRPr="00112487" w:rsidR="00D85841">
        <w:rPr>
          <w:szCs w:val="27"/>
        </w:rPr>
        <w:t>provisions</w:t>
      </w:r>
      <w:r w:rsidRPr="00112487" w:rsidR="00D51514">
        <w:rPr>
          <w:szCs w:val="27"/>
        </w:rPr>
        <w:t>,</w:t>
      </w:r>
      <w:r w:rsidRPr="00112487" w:rsidR="00851AE1">
        <w:rPr>
          <w:szCs w:val="27"/>
        </w:rPr>
        <w:t xml:space="preserve"> </w:t>
      </w:r>
      <w:r w:rsidRPr="00112487">
        <w:rPr>
          <w:szCs w:val="27"/>
        </w:rPr>
        <w:t>we found</w:t>
      </w:r>
      <w:r w:rsidRPr="00112487" w:rsidR="002239D0">
        <w:rPr>
          <w:szCs w:val="27"/>
        </w:rPr>
        <w:t xml:space="preserve"> that</w:t>
      </w:r>
      <w:r w:rsidRPr="00112487">
        <w:rPr>
          <w:szCs w:val="27"/>
        </w:rPr>
        <w:t xml:space="preserve"> </w:t>
      </w:r>
      <w:r w:rsidRPr="00112487" w:rsidR="001C52D6">
        <w:rPr>
          <w:szCs w:val="27"/>
        </w:rPr>
        <w:t xml:space="preserve">certain characteristics </w:t>
      </w:r>
      <w:r w:rsidRPr="00112487">
        <w:rPr>
          <w:szCs w:val="27"/>
        </w:rPr>
        <w:t>weighed against</w:t>
      </w:r>
      <w:r w:rsidRPr="00112487" w:rsidR="00A33412">
        <w:rPr>
          <w:szCs w:val="27"/>
        </w:rPr>
        <w:t xml:space="preserve"> the excess insurer</w:t>
      </w:r>
      <w:r w:rsidRPr="00112487" w:rsidR="008978A0">
        <w:rPr>
          <w:szCs w:val="27"/>
        </w:rPr>
        <w:t>s</w:t>
      </w:r>
      <w:r w:rsidRPr="00112487" w:rsidR="00A33412">
        <w:rPr>
          <w:szCs w:val="27"/>
        </w:rPr>
        <w:t xml:space="preserve">’ assertion that such language unambiguously mandated a rule of </w:t>
      </w:r>
      <w:r w:rsidRPr="00112487" w:rsidR="001C52D6">
        <w:rPr>
          <w:szCs w:val="27"/>
        </w:rPr>
        <w:t>horizontal exhaustion.</w:t>
      </w:r>
      <w:r w:rsidRPr="00112487">
        <w:rPr>
          <w:szCs w:val="27"/>
        </w:rPr>
        <w:t xml:space="preserve"> </w:t>
      </w:r>
      <w:r w:rsidRPr="00112487" w:rsidR="00A33412">
        <w:rPr>
          <w:szCs w:val="27"/>
        </w:rPr>
        <w:t xml:space="preserve"> </w:t>
      </w:r>
      <w:r w:rsidRPr="00112487" w:rsidR="001C52D6">
        <w:rPr>
          <w:szCs w:val="27"/>
        </w:rPr>
        <w:t xml:space="preserve">First, none </w:t>
      </w:r>
      <w:r w:rsidRPr="00112487" w:rsidR="00F07B44">
        <w:rPr>
          <w:szCs w:val="27"/>
        </w:rPr>
        <w:t xml:space="preserve">of </w:t>
      </w:r>
      <w:r w:rsidRPr="00112487" w:rsidR="00851AE1">
        <w:rPr>
          <w:szCs w:val="27"/>
        </w:rPr>
        <w:t xml:space="preserve">the policies contained </w:t>
      </w:r>
      <w:r w:rsidRPr="00112487" w:rsidR="001C52D6">
        <w:rPr>
          <w:szCs w:val="27"/>
        </w:rPr>
        <w:t xml:space="preserve">any </w:t>
      </w:r>
      <w:r w:rsidRPr="00112487" w:rsidR="00851AE1">
        <w:rPr>
          <w:szCs w:val="27"/>
        </w:rPr>
        <w:t>language “clearly or explicitly stat</w:t>
      </w:r>
      <w:r w:rsidRPr="00112487" w:rsidR="001C52D6">
        <w:rPr>
          <w:szCs w:val="27"/>
        </w:rPr>
        <w:t>[ing]</w:t>
      </w:r>
      <w:r w:rsidRPr="00112487" w:rsidR="00851AE1">
        <w:rPr>
          <w:szCs w:val="27"/>
        </w:rPr>
        <w:t xml:space="preserve"> that </w:t>
      </w:r>
      <w:r w:rsidRPr="00112487" w:rsidR="001C52D6">
        <w:rPr>
          <w:szCs w:val="27"/>
        </w:rPr>
        <w:t xml:space="preserve">[the insured] </w:t>
      </w:r>
      <w:r w:rsidRPr="00112487" w:rsidR="00851AE1">
        <w:rPr>
          <w:szCs w:val="27"/>
        </w:rPr>
        <w:t xml:space="preserve">must exhaust insurance with lower attachment points </w:t>
      </w:r>
      <w:r w:rsidRPr="00112487" w:rsidR="00851AE1">
        <w:rPr>
          <w:i/>
          <w:iCs/>
          <w:szCs w:val="27"/>
        </w:rPr>
        <w:t>purchased for different policy periods</w:t>
      </w:r>
      <w:r w:rsidRPr="00112487" w:rsidR="00851AE1">
        <w:rPr>
          <w:szCs w:val="27"/>
        </w:rPr>
        <w:t xml:space="preserve">.” </w:t>
      </w:r>
      <w:r w:rsidRPr="00112487" w:rsidR="00EF02C5">
        <w:rPr>
          <w:szCs w:val="27"/>
        </w:rPr>
        <w:t xml:space="preserve"> </w:t>
      </w:r>
      <w:r w:rsidRPr="00112487" w:rsidR="00851AE1">
        <w:rPr>
          <w:szCs w:val="27"/>
        </w:rPr>
        <w:t>(</w:t>
      </w:r>
      <w:r w:rsidRPr="00112487" w:rsidR="00B62BB2">
        <w:rPr>
          <w:i/>
          <w:iCs/>
          <w:szCs w:val="27"/>
        </w:rPr>
        <w:t>Montrose III</w:t>
      </w:r>
      <w:r w:rsidRPr="00112487" w:rsidR="001C52D6">
        <w:rPr>
          <w:szCs w:val="27"/>
        </w:rPr>
        <w:t xml:space="preserve">, </w:t>
      </w:r>
      <w:r w:rsidRPr="00112487" w:rsidR="001C52D6">
        <w:rPr>
          <w:i/>
          <w:iCs/>
          <w:szCs w:val="27"/>
        </w:rPr>
        <w:t>supra</w:t>
      </w:r>
      <w:r w:rsidRPr="00112487" w:rsidR="001C52D6">
        <w:rPr>
          <w:szCs w:val="27"/>
        </w:rPr>
        <w:t>, 9</w:t>
      </w:r>
      <w:r w:rsidRPr="00112487" w:rsidR="002239D0">
        <w:rPr>
          <w:szCs w:val="27"/>
        </w:rPr>
        <w:t> </w:t>
      </w:r>
      <w:r w:rsidRPr="00112487" w:rsidR="001C52D6">
        <w:rPr>
          <w:szCs w:val="27"/>
        </w:rPr>
        <w:t>Cal.5th at p. 230</w:t>
      </w:r>
      <w:r w:rsidRPr="00112487" w:rsidR="00851AE1">
        <w:rPr>
          <w:szCs w:val="27"/>
        </w:rPr>
        <w:t xml:space="preserve">.)  </w:t>
      </w:r>
      <w:r w:rsidRPr="00112487" w:rsidR="001C52D6">
        <w:rPr>
          <w:szCs w:val="27"/>
        </w:rPr>
        <w:t xml:space="preserve">Second, we noted that some formulations of the “other insurance” clauses </w:t>
      </w:r>
      <w:r w:rsidRPr="00112487" w:rsidR="003C43B7">
        <w:rPr>
          <w:szCs w:val="27"/>
        </w:rPr>
        <w:t>included broad language that</w:t>
      </w:r>
      <w:r w:rsidR="003E6403">
        <w:rPr>
          <w:szCs w:val="27"/>
        </w:rPr>
        <w:t>,</w:t>
      </w:r>
      <w:r w:rsidRPr="00112487" w:rsidR="003C43B7">
        <w:rPr>
          <w:szCs w:val="27"/>
        </w:rPr>
        <w:t xml:space="preserve"> “[i]f </w:t>
      </w:r>
      <w:r w:rsidR="003E6403">
        <w:rPr>
          <w:szCs w:val="27"/>
        </w:rPr>
        <w:t xml:space="preserve">. . .  </w:t>
      </w:r>
      <w:r w:rsidRPr="00112487" w:rsidR="003C43B7">
        <w:rPr>
          <w:szCs w:val="27"/>
        </w:rPr>
        <w:t xml:space="preserve">read to apply to insurance purchased for other policy periods, . . . could fairly be understood to require the exhaustion of </w:t>
      </w:r>
      <w:r w:rsidRPr="00112487" w:rsidR="003C43B7">
        <w:rPr>
          <w:i/>
          <w:iCs/>
          <w:szCs w:val="27"/>
        </w:rPr>
        <w:t xml:space="preserve">every </w:t>
      </w:r>
      <w:r w:rsidRPr="00DC2DE6" w:rsidR="003C43B7">
        <w:rPr>
          <w:szCs w:val="27"/>
        </w:rPr>
        <w:t>other insurance policy at</w:t>
      </w:r>
      <w:r w:rsidRPr="00112487" w:rsidR="003C43B7">
        <w:rPr>
          <w:i/>
          <w:iCs/>
          <w:szCs w:val="27"/>
        </w:rPr>
        <w:t xml:space="preserve"> every </w:t>
      </w:r>
      <w:r w:rsidRPr="00DC2DE6" w:rsidR="003C43B7">
        <w:rPr>
          <w:szCs w:val="27"/>
        </w:rPr>
        <w:t>attachment point</w:t>
      </w:r>
      <w:r w:rsidRPr="00112487" w:rsidR="003C43B7">
        <w:rPr>
          <w:szCs w:val="27"/>
        </w:rPr>
        <w:t> — not merely, as the insurers’ theory of horizontal exhaustion would have it, excess policies from other policy periods that contain lower attachment points.”  (</w:t>
      </w:r>
      <w:r w:rsidRPr="00112487" w:rsidR="003C43B7">
        <w:rPr>
          <w:i/>
          <w:iCs/>
          <w:szCs w:val="27"/>
        </w:rPr>
        <w:t>Id</w:t>
      </w:r>
      <w:r w:rsidRPr="00112487" w:rsidR="003C43B7">
        <w:rPr>
          <w:szCs w:val="27"/>
        </w:rPr>
        <w:t>. at p.</w:t>
      </w:r>
      <w:r w:rsidRPr="00112487">
        <w:rPr>
          <w:szCs w:val="27"/>
        </w:rPr>
        <w:t> </w:t>
      </w:r>
      <w:r w:rsidRPr="00112487" w:rsidR="003C43B7">
        <w:rPr>
          <w:szCs w:val="27"/>
        </w:rPr>
        <w:t xml:space="preserve">231.)  </w:t>
      </w:r>
      <w:r w:rsidRPr="00112487">
        <w:rPr>
          <w:szCs w:val="27"/>
        </w:rPr>
        <w:t>Third, we explained that</w:t>
      </w:r>
      <w:r w:rsidRPr="00112487" w:rsidR="00D10897">
        <w:rPr>
          <w:szCs w:val="27"/>
        </w:rPr>
        <w:t xml:space="preserve"> contrary to the excess insurers’ proposed interpretation, our prior decisions (and the decisions of </w:t>
      </w:r>
      <w:r w:rsidRPr="00112487" w:rsidR="00D85841">
        <w:rPr>
          <w:szCs w:val="27"/>
        </w:rPr>
        <w:t xml:space="preserve">several </w:t>
      </w:r>
      <w:r w:rsidRPr="00112487" w:rsidR="00D10897">
        <w:rPr>
          <w:szCs w:val="27"/>
        </w:rPr>
        <w:t xml:space="preserve">other jurisdictions) made clear that </w:t>
      </w:r>
      <w:r w:rsidRPr="00112487">
        <w:rPr>
          <w:szCs w:val="27"/>
        </w:rPr>
        <w:t>“other insurance” provisions “have not traditionally been used to address questions concerning the obligation of successive insurers to indemnify policyholders for a continuously manifesting injury</w:t>
      </w:r>
      <w:r w:rsidRPr="00112487" w:rsidR="00D85841">
        <w:rPr>
          <w:szCs w:val="27"/>
        </w:rPr>
        <w:t>.</w:t>
      </w:r>
      <w:r w:rsidRPr="00112487">
        <w:rPr>
          <w:szCs w:val="27"/>
        </w:rPr>
        <w:t xml:space="preserve">” </w:t>
      </w:r>
      <w:r w:rsidRPr="00112487" w:rsidR="00D85841">
        <w:rPr>
          <w:szCs w:val="27"/>
        </w:rPr>
        <w:t xml:space="preserve"> </w:t>
      </w:r>
      <w:r w:rsidRPr="00112487">
        <w:rPr>
          <w:szCs w:val="27"/>
        </w:rPr>
        <w:t>(</w:t>
      </w:r>
      <w:r w:rsidRPr="00112487" w:rsidR="00D85841">
        <w:rPr>
          <w:i/>
          <w:iCs/>
          <w:szCs w:val="27"/>
        </w:rPr>
        <w:t>Id</w:t>
      </w:r>
      <w:r w:rsidRPr="00112487" w:rsidR="00D10897">
        <w:rPr>
          <w:szCs w:val="27"/>
        </w:rPr>
        <w:t>. at p. 232</w:t>
      </w:r>
      <w:r w:rsidRPr="00112487" w:rsidR="00D85841">
        <w:rPr>
          <w:szCs w:val="27"/>
        </w:rPr>
        <w:t>.</w:t>
      </w:r>
      <w:r w:rsidRPr="00112487">
        <w:rPr>
          <w:szCs w:val="27"/>
        </w:rPr>
        <w:t>)</w:t>
      </w:r>
      <w:r w:rsidRPr="00112487" w:rsidR="00D85841">
        <w:rPr>
          <w:szCs w:val="27"/>
        </w:rPr>
        <w:t xml:space="preserve">  </w:t>
      </w:r>
      <w:r w:rsidRPr="00112487" w:rsidR="001D5A85">
        <w:rPr>
          <w:szCs w:val="27"/>
        </w:rPr>
        <w:t>Instead, such clauses have historically</w:t>
      </w:r>
      <w:r w:rsidRPr="00112487" w:rsidR="00D10897">
        <w:rPr>
          <w:szCs w:val="27"/>
        </w:rPr>
        <w:t xml:space="preserve"> been understood to “address </w:t>
      </w:r>
      <w:r w:rsidRPr="00112487">
        <w:rPr>
          <w:szCs w:val="27"/>
        </w:rPr>
        <w:t xml:space="preserve">‘[a]llocation questions with respect to overlapping </w:t>
      </w:r>
      <w:r w:rsidRPr="00112487">
        <w:rPr>
          <w:i/>
          <w:iCs/>
          <w:szCs w:val="27"/>
        </w:rPr>
        <w:t>concurrent policies</w:t>
      </w:r>
      <w:r w:rsidRPr="00112487" w:rsidR="00A33412">
        <w:rPr>
          <w:szCs w:val="27"/>
        </w:rPr>
        <w:t>.</w:t>
      </w:r>
      <w:r w:rsidRPr="00112487">
        <w:rPr>
          <w:szCs w:val="27"/>
        </w:rPr>
        <w:t>’ ”</w:t>
      </w:r>
      <w:r w:rsidRPr="00112487" w:rsidR="002239D0">
        <w:rPr>
          <w:szCs w:val="27"/>
        </w:rPr>
        <w:t xml:space="preserve"> </w:t>
      </w:r>
      <w:r w:rsidRPr="00112487" w:rsidR="00D10897">
        <w:rPr>
          <w:szCs w:val="27"/>
        </w:rPr>
        <w:t xml:space="preserve"> (</w:t>
      </w:r>
      <w:r w:rsidRPr="00112487" w:rsidR="00A33412">
        <w:rPr>
          <w:i/>
          <w:iCs/>
          <w:szCs w:val="27"/>
        </w:rPr>
        <w:t>I</w:t>
      </w:r>
      <w:r w:rsidRPr="00112487" w:rsidR="00D10897">
        <w:rPr>
          <w:i/>
          <w:iCs/>
          <w:szCs w:val="27"/>
        </w:rPr>
        <w:t>bid</w:t>
      </w:r>
      <w:r w:rsidRPr="00112487" w:rsidR="00D10897">
        <w:rPr>
          <w:szCs w:val="27"/>
        </w:rPr>
        <w:t>.</w:t>
      </w:r>
      <w:r w:rsidRPr="00112487" w:rsidR="00B23606">
        <w:rPr>
          <w:szCs w:val="27"/>
        </w:rPr>
        <w:t>)</w:t>
      </w:r>
      <w:r w:rsidRPr="00112487" w:rsidR="00E039E8">
        <w:rPr>
          <w:szCs w:val="27"/>
        </w:rPr>
        <w:t xml:space="preserve"> </w:t>
      </w:r>
    </w:p>
    <w:p w:rsidR="00FE670D" w:rsidRPr="00112487" w:rsidP="00A25E48" w14:paraId="679C793D" w14:textId="77777777">
      <w:pPr>
        <w:ind w:firstLine="720"/>
        <w:rPr>
          <w:szCs w:val="27"/>
        </w:rPr>
      </w:pPr>
      <w:r w:rsidRPr="00112487">
        <w:rPr>
          <w:szCs w:val="27"/>
        </w:rPr>
        <w:t xml:space="preserve">Looking next to the text of the excess policies as a whole, we </w:t>
      </w:r>
      <w:r w:rsidRPr="00112487" w:rsidR="0001452C">
        <w:rPr>
          <w:szCs w:val="27"/>
        </w:rPr>
        <w:t xml:space="preserve">found that </w:t>
      </w:r>
      <w:r w:rsidRPr="00112487" w:rsidR="00EF02C5">
        <w:rPr>
          <w:szCs w:val="27"/>
        </w:rPr>
        <w:t>“other aspects of the insurance policies strongly suggest</w:t>
      </w:r>
      <w:r w:rsidRPr="00112487" w:rsidR="0001452C">
        <w:rPr>
          <w:szCs w:val="27"/>
        </w:rPr>
        <w:t>[ed]</w:t>
      </w:r>
      <w:r w:rsidRPr="00112487" w:rsidR="00EF02C5">
        <w:rPr>
          <w:szCs w:val="27"/>
        </w:rPr>
        <w:t xml:space="preserve"> that the </w:t>
      </w:r>
      <w:r w:rsidR="006B4797">
        <w:rPr>
          <w:szCs w:val="27"/>
        </w:rPr>
        <w:t xml:space="preserve">exhaustion </w:t>
      </w:r>
      <w:r w:rsidRPr="00112487" w:rsidR="00EF02C5">
        <w:rPr>
          <w:szCs w:val="27"/>
        </w:rPr>
        <w:t xml:space="preserve">requirements were meant to apply to directly underlying insurance and not to insurance purchased for other policy periods.”  </w:t>
      </w:r>
      <w:r w:rsidRPr="00112487" w:rsidR="0001452C">
        <w:rPr>
          <w:szCs w:val="27"/>
        </w:rPr>
        <w:t>(</w:t>
      </w:r>
      <w:r w:rsidRPr="00112487" w:rsidR="00B62BB2">
        <w:rPr>
          <w:i/>
          <w:iCs/>
          <w:szCs w:val="27"/>
        </w:rPr>
        <w:t>Montrose III</w:t>
      </w:r>
      <w:r w:rsidRPr="00112487" w:rsidR="0001452C">
        <w:rPr>
          <w:szCs w:val="27"/>
        </w:rPr>
        <w:t xml:space="preserve">, </w:t>
      </w:r>
      <w:r w:rsidRPr="00112487" w:rsidR="0001452C">
        <w:rPr>
          <w:i/>
          <w:iCs/>
          <w:szCs w:val="27"/>
        </w:rPr>
        <w:t>supra</w:t>
      </w:r>
      <w:r w:rsidRPr="00112487" w:rsidR="0001452C">
        <w:rPr>
          <w:szCs w:val="27"/>
        </w:rPr>
        <w:t>, 9</w:t>
      </w:r>
      <w:r w:rsidRPr="00112487" w:rsidR="002239D0">
        <w:rPr>
          <w:szCs w:val="27"/>
        </w:rPr>
        <w:t> </w:t>
      </w:r>
      <w:r w:rsidRPr="00112487" w:rsidR="0001452C">
        <w:rPr>
          <w:szCs w:val="27"/>
        </w:rPr>
        <w:t xml:space="preserve">Cal.5th at p. 233.)  First, we noted that many of </w:t>
      </w:r>
      <w:r w:rsidRPr="00112487" w:rsidR="003B69A8">
        <w:rPr>
          <w:szCs w:val="27"/>
        </w:rPr>
        <w:t xml:space="preserve">the policies </w:t>
      </w:r>
      <w:r w:rsidRPr="00112487" w:rsidR="0001452C">
        <w:rPr>
          <w:szCs w:val="27"/>
        </w:rPr>
        <w:t>“</w:t>
      </w:r>
      <w:r w:rsidRPr="00112487" w:rsidR="003B69A8">
        <w:rPr>
          <w:szCs w:val="27"/>
        </w:rPr>
        <w:t xml:space="preserve">explicitly state their attachment point, generally by referencing a specific dollar amount of underlying insurance in the same policy period that must be exhausted.” </w:t>
      </w:r>
      <w:r w:rsidRPr="00112487" w:rsidR="0001452C">
        <w:rPr>
          <w:szCs w:val="27"/>
        </w:rPr>
        <w:t xml:space="preserve"> (</w:t>
      </w:r>
      <w:r w:rsidRPr="00112487" w:rsidR="0001452C">
        <w:rPr>
          <w:i/>
          <w:iCs/>
          <w:szCs w:val="27"/>
        </w:rPr>
        <w:t>Ibid</w:t>
      </w:r>
      <w:r w:rsidRPr="00112487" w:rsidR="0001452C">
        <w:rPr>
          <w:szCs w:val="27"/>
        </w:rPr>
        <w:t xml:space="preserve">.)  We </w:t>
      </w:r>
      <w:r w:rsidRPr="00112487" w:rsidR="002239D0">
        <w:rPr>
          <w:szCs w:val="27"/>
        </w:rPr>
        <w:t xml:space="preserve">explained </w:t>
      </w:r>
      <w:r w:rsidRPr="00112487" w:rsidR="0001452C">
        <w:rPr>
          <w:szCs w:val="27"/>
        </w:rPr>
        <w:t xml:space="preserve">that </w:t>
      </w:r>
      <w:r w:rsidRPr="00112487" w:rsidR="003B69A8">
        <w:rPr>
          <w:szCs w:val="27"/>
        </w:rPr>
        <w:t xml:space="preserve">under the </w:t>
      </w:r>
      <w:r w:rsidRPr="00112487" w:rsidR="0001452C">
        <w:rPr>
          <w:szCs w:val="27"/>
        </w:rPr>
        <w:t>“</w:t>
      </w:r>
      <w:r w:rsidRPr="00112487" w:rsidR="003B69A8">
        <w:rPr>
          <w:szCs w:val="27"/>
        </w:rPr>
        <w:t>insurers’ theory of horizontal exhaustion</w:t>
      </w:r>
      <w:r w:rsidRPr="00112487" w:rsidR="001D5A85">
        <w:rPr>
          <w:szCs w:val="27"/>
        </w:rPr>
        <w:t>,</w:t>
      </w:r>
      <w:r w:rsidRPr="00112487" w:rsidR="0001452C">
        <w:rPr>
          <w:szCs w:val="27"/>
        </w:rPr>
        <w:t xml:space="preserve">” </w:t>
      </w:r>
      <w:r w:rsidRPr="00112487" w:rsidR="00F2581F">
        <w:rPr>
          <w:szCs w:val="27"/>
        </w:rPr>
        <w:t xml:space="preserve">there would be no coverage </w:t>
      </w:r>
      <w:r w:rsidRPr="00112487" w:rsidR="00D0743E">
        <w:rPr>
          <w:szCs w:val="27"/>
        </w:rPr>
        <w:t xml:space="preserve">until </w:t>
      </w:r>
      <w:r w:rsidRPr="00112487" w:rsidR="0001452C">
        <w:rPr>
          <w:szCs w:val="27"/>
        </w:rPr>
        <w:t xml:space="preserve">the insured </w:t>
      </w:r>
      <w:r w:rsidRPr="00112487" w:rsidR="00D0743E">
        <w:rPr>
          <w:szCs w:val="27"/>
        </w:rPr>
        <w:t xml:space="preserve">had </w:t>
      </w:r>
      <w:r w:rsidRPr="00112487" w:rsidR="0001452C">
        <w:rPr>
          <w:szCs w:val="27"/>
        </w:rPr>
        <w:t>exhaust</w:t>
      </w:r>
      <w:r w:rsidRPr="00112487" w:rsidR="00D0743E">
        <w:rPr>
          <w:szCs w:val="27"/>
        </w:rPr>
        <w:t>ed</w:t>
      </w:r>
      <w:r w:rsidRPr="00112487" w:rsidR="0001452C">
        <w:rPr>
          <w:szCs w:val="27"/>
        </w:rPr>
        <w:t xml:space="preserve"> th</w:t>
      </w:r>
      <w:r w:rsidRPr="00112487" w:rsidR="00F2581F">
        <w:rPr>
          <w:szCs w:val="27"/>
        </w:rPr>
        <w:t xml:space="preserve">at </w:t>
      </w:r>
      <w:r w:rsidRPr="00112487" w:rsidR="0001452C">
        <w:rPr>
          <w:szCs w:val="27"/>
        </w:rPr>
        <w:t xml:space="preserve">attachment </w:t>
      </w:r>
      <w:r w:rsidRPr="00112487" w:rsidR="00830BE2">
        <w:rPr>
          <w:szCs w:val="27"/>
        </w:rPr>
        <w:t>amount “</w:t>
      </w:r>
      <w:r w:rsidRPr="00112487" w:rsidR="00830BE2">
        <w:rPr>
          <w:i/>
          <w:iCs/>
          <w:szCs w:val="27"/>
        </w:rPr>
        <w:t>for every relevant policy period</w:t>
      </w:r>
      <w:r w:rsidRPr="00112487" w:rsidR="00830BE2">
        <w:rPr>
          <w:szCs w:val="27"/>
        </w:rPr>
        <w:t>”</w:t>
      </w:r>
      <w:r w:rsidRPr="00112487" w:rsidR="00D0743E">
        <w:rPr>
          <w:szCs w:val="27"/>
        </w:rPr>
        <w:t xml:space="preserve"> (</w:t>
      </w:r>
      <w:r w:rsidRPr="00112487" w:rsidR="00D0743E">
        <w:rPr>
          <w:i/>
          <w:iCs/>
          <w:szCs w:val="27"/>
        </w:rPr>
        <w:t>ibid</w:t>
      </w:r>
      <w:r w:rsidRPr="00112487" w:rsidR="00D0743E">
        <w:rPr>
          <w:szCs w:val="27"/>
        </w:rPr>
        <w:t>.), thus substantially increasing the “operative attachment point” well beyond what the terms of the policy suggested.</w:t>
      </w:r>
    </w:p>
    <w:p w:rsidR="00E57B6C" w:rsidRPr="00112487" w:rsidP="00A25E48" w14:paraId="679C793E" w14:textId="77777777">
      <w:pPr>
        <w:ind w:firstLine="720"/>
        <w:rPr>
          <w:szCs w:val="27"/>
        </w:rPr>
      </w:pPr>
      <w:r w:rsidRPr="00112487">
        <w:rPr>
          <w:szCs w:val="27"/>
        </w:rPr>
        <w:t>Second, and “[r]elatedly” (</w:t>
      </w:r>
      <w:r w:rsidRPr="00112487" w:rsidR="00B62BB2">
        <w:rPr>
          <w:i/>
          <w:iCs/>
          <w:szCs w:val="27"/>
        </w:rPr>
        <w:t>Montrose III</w:t>
      </w:r>
      <w:r w:rsidRPr="00112487" w:rsidR="00FE670D">
        <w:rPr>
          <w:szCs w:val="27"/>
        </w:rPr>
        <w:t xml:space="preserve">, </w:t>
      </w:r>
      <w:r w:rsidRPr="00112487" w:rsidR="00FE670D">
        <w:rPr>
          <w:i/>
          <w:iCs/>
          <w:szCs w:val="27"/>
        </w:rPr>
        <w:t>supra</w:t>
      </w:r>
      <w:r w:rsidRPr="00112487" w:rsidR="00FE670D">
        <w:rPr>
          <w:szCs w:val="27"/>
        </w:rPr>
        <w:t>, 9</w:t>
      </w:r>
      <w:r w:rsidRPr="00112487" w:rsidR="002239D0">
        <w:rPr>
          <w:szCs w:val="27"/>
        </w:rPr>
        <w:t> </w:t>
      </w:r>
      <w:r w:rsidRPr="00112487" w:rsidR="00FE670D">
        <w:rPr>
          <w:szCs w:val="27"/>
        </w:rPr>
        <w:t>Cal.5th at p. 234</w:t>
      </w:r>
      <w:r w:rsidRPr="00112487">
        <w:rPr>
          <w:szCs w:val="27"/>
        </w:rPr>
        <w:t>), we noted that the excess policies “regularly include or reference schedules of underlying insurance — all for the same policy period” (</w:t>
      </w:r>
      <w:r w:rsidRPr="00112487">
        <w:rPr>
          <w:i/>
          <w:iCs/>
          <w:szCs w:val="27"/>
        </w:rPr>
        <w:t>ibid</w:t>
      </w:r>
      <w:r w:rsidRPr="00112487">
        <w:rPr>
          <w:szCs w:val="27"/>
        </w:rPr>
        <w:t xml:space="preserve">.).  We </w:t>
      </w:r>
      <w:r w:rsidRPr="00112487" w:rsidR="00FE670D">
        <w:rPr>
          <w:szCs w:val="27"/>
        </w:rPr>
        <w:t>explained</w:t>
      </w:r>
      <w:r w:rsidRPr="00112487">
        <w:rPr>
          <w:szCs w:val="27"/>
        </w:rPr>
        <w:t xml:space="preserve"> that under the insured</w:t>
      </w:r>
      <w:r w:rsidRPr="00112487" w:rsidR="008978A0">
        <w:rPr>
          <w:szCs w:val="27"/>
        </w:rPr>
        <w:t>’</w:t>
      </w:r>
      <w:r w:rsidRPr="00112487">
        <w:rPr>
          <w:szCs w:val="27"/>
        </w:rPr>
        <w:t>s reading, “these schedules provide a presumptively complete list of insurance coverage that must be exhausted before the excess policy may be accessed, with the ‘other insurance’ clauses serving as a backstop to prevent double recovery in the rare circumstance where underlying coverage changes after the excess policy is written.</w:t>
      </w:r>
      <w:r w:rsidRPr="00112487" w:rsidR="002239D0">
        <w:rPr>
          <w:szCs w:val="27"/>
        </w:rPr>
        <w:t xml:space="preserve"> </w:t>
      </w:r>
      <w:r w:rsidRPr="00112487">
        <w:rPr>
          <w:szCs w:val="27"/>
        </w:rPr>
        <w:t xml:space="preserve"> [Citation.]  But under the insurers’ rule of horizontal exhaustion, these schedules would represent only a fraction —</w:t>
      </w:r>
      <w:r w:rsidRPr="00112487" w:rsidR="001D5A85">
        <w:rPr>
          <w:szCs w:val="27"/>
        </w:rPr>
        <w:t xml:space="preserve"> </w:t>
      </w:r>
      <w:r w:rsidRPr="00112487">
        <w:rPr>
          <w:szCs w:val="27"/>
        </w:rPr>
        <w:t>perhaps only a small fraction —</w:t>
      </w:r>
      <w:r w:rsidRPr="00112487" w:rsidR="001D5A85">
        <w:rPr>
          <w:szCs w:val="27"/>
        </w:rPr>
        <w:t xml:space="preserve"> </w:t>
      </w:r>
      <w:r w:rsidRPr="00112487">
        <w:rPr>
          <w:szCs w:val="27"/>
        </w:rPr>
        <w:t xml:space="preserve">of the insurance policies that must be exhausted before a given excess policy may be accessed.”  </w:t>
      </w:r>
      <w:r w:rsidRPr="00112487" w:rsidR="00FE670D">
        <w:rPr>
          <w:szCs w:val="27"/>
        </w:rPr>
        <w:t>(</w:t>
      </w:r>
      <w:r w:rsidRPr="00112487" w:rsidR="00FE670D">
        <w:rPr>
          <w:i/>
          <w:iCs/>
          <w:szCs w:val="27"/>
        </w:rPr>
        <w:t>Ibid</w:t>
      </w:r>
      <w:r w:rsidRPr="00112487" w:rsidR="00FE670D">
        <w:rPr>
          <w:szCs w:val="27"/>
        </w:rPr>
        <w:t>.)</w:t>
      </w:r>
    </w:p>
    <w:p w:rsidR="001D5A85" w:rsidRPr="00112487" w:rsidP="00A25E48" w14:paraId="679C793F" w14:textId="77777777">
      <w:pPr>
        <w:ind w:firstLine="720"/>
        <w:rPr>
          <w:szCs w:val="27"/>
        </w:rPr>
      </w:pPr>
      <w:r w:rsidRPr="00112487">
        <w:rPr>
          <w:szCs w:val="27"/>
        </w:rPr>
        <w:t xml:space="preserve">Looking beyond the </w:t>
      </w:r>
      <w:r w:rsidRPr="00112487" w:rsidR="00FE670D">
        <w:rPr>
          <w:szCs w:val="27"/>
        </w:rPr>
        <w:t xml:space="preserve">language of the </w:t>
      </w:r>
      <w:r w:rsidRPr="00112487">
        <w:rPr>
          <w:szCs w:val="27"/>
        </w:rPr>
        <w:t xml:space="preserve">parties’ </w:t>
      </w:r>
      <w:r w:rsidRPr="00112487" w:rsidR="00FE670D">
        <w:rPr>
          <w:szCs w:val="27"/>
        </w:rPr>
        <w:t>policies, we further concluded that “</w:t>
      </w:r>
      <w:r w:rsidRPr="00112487">
        <w:rPr>
          <w:szCs w:val="27"/>
        </w:rPr>
        <w:t>[c]</w:t>
      </w:r>
      <w:r w:rsidRPr="00112487" w:rsidR="00877DFA">
        <w:rPr>
          <w:szCs w:val="27"/>
        </w:rPr>
        <w:t>onsideration of the parties’ reasonable expectations favors a rule of vertical exhaustion rather than horizontal exhaustion.</w:t>
      </w:r>
      <w:r w:rsidRPr="00112487">
        <w:rPr>
          <w:szCs w:val="27"/>
        </w:rPr>
        <w:t xml:space="preserve">”  </w:t>
      </w:r>
      <w:r w:rsidRPr="00112487" w:rsidR="00FE670D">
        <w:rPr>
          <w:szCs w:val="27"/>
        </w:rPr>
        <w:t>(</w:t>
      </w:r>
      <w:r w:rsidRPr="00112487" w:rsidR="00B62BB2">
        <w:rPr>
          <w:i/>
          <w:iCs/>
          <w:szCs w:val="27"/>
        </w:rPr>
        <w:t>Montrose III</w:t>
      </w:r>
      <w:r w:rsidRPr="00112487" w:rsidR="00FE670D">
        <w:rPr>
          <w:szCs w:val="27"/>
        </w:rPr>
        <w:t xml:space="preserve">, </w:t>
      </w:r>
      <w:r w:rsidRPr="00112487" w:rsidR="00FE670D">
        <w:rPr>
          <w:i/>
          <w:iCs/>
          <w:szCs w:val="27"/>
        </w:rPr>
        <w:t>supra</w:t>
      </w:r>
      <w:r w:rsidRPr="00112487" w:rsidR="00FE670D">
        <w:rPr>
          <w:szCs w:val="27"/>
        </w:rPr>
        <w:t>, 9</w:t>
      </w:r>
      <w:r w:rsidRPr="00112487" w:rsidR="008978A0">
        <w:rPr>
          <w:szCs w:val="27"/>
        </w:rPr>
        <w:t> </w:t>
      </w:r>
      <w:r w:rsidRPr="00112487" w:rsidR="00FE670D">
        <w:rPr>
          <w:szCs w:val="27"/>
        </w:rPr>
        <w:t xml:space="preserve">Cal.5th at p. 234.)  </w:t>
      </w:r>
      <w:r w:rsidRPr="00112487" w:rsidR="00081F75">
        <w:rPr>
          <w:szCs w:val="27"/>
        </w:rPr>
        <w:t>First, we noted that</w:t>
      </w:r>
      <w:r w:rsidRPr="00112487">
        <w:rPr>
          <w:szCs w:val="27"/>
        </w:rPr>
        <w:t xml:space="preserve"> “applying the horizontal exhaustion rule would be far from straightforward” given the lack of </w:t>
      </w:r>
      <w:r w:rsidRPr="00112487" w:rsidR="002239D0">
        <w:rPr>
          <w:szCs w:val="27"/>
        </w:rPr>
        <w:t>“</w:t>
      </w:r>
      <w:r w:rsidRPr="00112487">
        <w:rPr>
          <w:szCs w:val="27"/>
        </w:rPr>
        <w:t>standardization</w:t>
      </w:r>
      <w:r w:rsidRPr="00112487" w:rsidR="002239D0">
        <w:rPr>
          <w:szCs w:val="27"/>
        </w:rPr>
        <w:t>”</w:t>
      </w:r>
      <w:r w:rsidRPr="00112487">
        <w:rPr>
          <w:szCs w:val="27"/>
        </w:rPr>
        <w:t xml:space="preserve"> between the excess policies on issues such as attachment points, level of coverage and specific terms and conditions.  </w:t>
      </w:r>
      <w:r w:rsidRPr="00112487" w:rsidR="0041274E">
        <w:rPr>
          <w:szCs w:val="27"/>
        </w:rPr>
        <w:t>(</w:t>
      </w:r>
      <w:r w:rsidRPr="00112487" w:rsidR="0041274E">
        <w:rPr>
          <w:i/>
          <w:iCs/>
          <w:szCs w:val="27"/>
        </w:rPr>
        <w:t>Ibid</w:t>
      </w:r>
      <w:r w:rsidRPr="00112487" w:rsidR="0041274E">
        <w:rPr>
          <w:szCs w:val="27"/>
        </w:rPr>
        <w:t xml:space="preserve">.)  </w:t>
      </w:r>
      <w:r w:rsidRPr="00112487">
        <w:rPr>
          <w:szCs w:val="27"/>
        </w:rPr>
        <w:t xml:space="preserve">To illustrate the complexity, we noted that “the first layer of excess insurance in 1984 . . . would appear to reach as high as the 13th layer of excess coverage in 1974.  To which horizontal layer does the 1984 policy belong? </w:t>
      </w:r>
      <w:r w:rsidRPr="00112487" w:rsidR="002239D0">
        <w:rPr>
          <w:szCs w:val="27"/>
        </w:rPr>
        <w:t xml:space="preserve"> </w:t>
      </w:r>
      <w:r w:rsidRPr="00112487">
        <w:rPr>
          <w:szCs w:val="27"/>
        </w:rPr>
        <w:t xml:space="preserve">The policies do not say. </w:t>
      </w:r>
      <w:r w:rsidRPr="00112487" w:rsidR="00027115">
        <w:rPr>
          <w:szCs w:val="27"/>
        </w:rPr>
        <w:t xml:space="preserve"> </w:t>
      </w:r>
      <w:r w:rsidRPr="00112487">
        <w:rPr>
          <w:szCs w:val="27"/>
        </w:rPr>
        <w:t>Nor does anything in the text of these policies tell us how an ‘other insurance’ clause in a policy from one period ought to apply to a policy from another period that contains both a lower attachment point and a higher coverage limit.  The policies’ silence on these basic, foundational questions tends to undermine the idea the parties expected such a rule to apply</w:t>
      </w:r>
      <w:r w:rsidRPr="00112487" w:rsidR="00027115">
        <w:rPr>
          <w:szCs w:val="27"/>
        </w:rPr>
        <w:t>.</w:t>
      </w:r>
      <w:r w:rsidRPr="00112487">
        <w:rPr>
          <w:szCs w:val="27"/>
        </w:rPr>
        <w:t>”  (</w:t>
      </w:r>
      <w:r w:rsidRPr="00112487">
        <w:rPr>
          <w:i/>
          <w:iCs/>
          <w:szCs w:val="27"/>
        </w:rPr>
        <w:t>Id</w:t>
      </w:r>
      <w:r w:rsidRPr="00112487">
        <w:rPr>
          <w:szCs w:val="27"/>
        </w:rPr>
        <w:t>. at p. 235.)</w:t>
      </w:r>
    </w:p>
    <w:p w:rsidR="00002650" w:rsidRPr="00112487" w:rsidP="00A25E48" w14:paraId="679C7940" w14:textId="77777777">
      <w:pPr>
        <w:ind w:firstLine="720"/>
        <w:rPr>
          <w:szCs w:val="27"/>
        </w:rPr>
      </w:pPr>
      <w:r w:rsidRPr="00112487">
        <w:rPr>
          <w:szCs w:val="27"/>
        </w:rPr>
        <w:t>We also noted that because “exclusions, terms, and conditions may vary from one policy to another, a rule of horizontal exhaustion would create significant practical obstacles to securing indemnification.</w:t>
      </w:r>
      <w:r w:rsidRPr="00112487" w:rsidR="00027115">
        <w:rPr>
          <w:szCs w:val="27"/>
        </w:rPr>
        <w:t> </w:t>
      </w:r>
      <w:r w:rsidRPr="00112487">
        <w:rPr>
          <w:szCs w:val="27"/>
        </w:rPr>
        <w:t>.</w:t>
      </w:r>
      <w:r w:rsidRPr="00112487" w:rsidR="00027115">
        <w:rPr>
          <w:szCs w:val="27"/>
        </w:rPr>
        <w:t> </w:t>
      </w:r>
      <w:r w:rsidRPr="00112487">
        <w:rPr>
          <w:szCs w:val="27"/>
        </w:rPr>
        <w:t>.</w:t>
      </w:r>
      <w:r w:rsidRPr="00112487" w:rsidR="00027115">
        <w:rPr>
          <w:szCs w:val="27"/>
        </w:rPr>
        <w:t> </w:t>
      </w:r>
      <w:r w:rsidRPr="00112487">
        <w:rPr>
          <w:szCs w:val="27"/>
        </w:rPr>
        <w:t xml:space="preserve">. </w:t>
      </w:r>
      <w:r w:rsidRPr="00112487" w:rsidR="00B55931">
        <w:rPr>
          <w:szCs w:val="27"/>
        </w:rPr>
        <w:t xml:space="preserve"> </w:t>
      </w:r>
      <w:r w:rsidRPr="00112487">
        <w:rPr>
          <w:szCs w:val="27"/>
        </w:rPr>
        <w:t xml:space="preserve">Such a rule would put the insured to the considerable expense of establishing a right to coverage under the definitions, terms, conditions, and exclusions from policies in every policy period triggered by the continuous injury. </w:t>
      </w:r>
      <w:r w:rsidRPr="00112487" w:rsidR="00027115">
        <w:rPr>
          <w:szCs w:val="27"/>
        </w:rPr>
        <w:t xml:space="preserve"> </w:t>
      </w:r>
      <w:r w:rsidRPr="00112487">
        <w:rPr>
          <w:szCs w:val="27"/>
        </w:rPr>
        <w:t xml:space="preserve">Coverage under less restrictive policies would be delayed until more restrictive policy terms are adjudicated. </w:t>
      </w:r>
      <w:r w:rsidRPr="00112487" w:rsidR="00027115">
        <w:rPr>
          <w:szCs w:val="27"/>
        </w:rPr>
        <w:t xml:space="preserve"> </w:t>
      </w:r>
      <w:r w:rsidRPr="00112487">
        <w:rPr>
          <w:szCs w:val="27"/>
        </w:rPr>
        <w:t xml:space="preserve">In sum, </w:t>
      </w:r>
      <w:r w:rsidRPr="00112487" w:rsidR="00027115">
        <w:rPr>
          <w:szCs w:val="27"/>
        </w:rPr>
        <w:t>‘</w:t>
      </w:r>
      <w:r w:rsidRPr="00112487">
        <w:rPr>
          <w:szCs w:val="27"/>
        </w:rPr>
        <w:t>[h]orizontal exhaustion would create as many layers of additional litigation as there are layers of policies.</w:t>
      </w:r>
      <w:r w:rsidRPr="00112487" w:rsidR="00027115">
        <w:rPr>
          <w:szCs w:val="27"/>
        </w:rPr>
        <w:t>’ </w:t>
      </w:r>
      <w:r w:rsidRPr="00112487">
        <w:rPr>
          <w:szCs w:val="27"/>
        </w:rPr>
        <w:t>”</w:t>
      </w:r>
      <w:r w:rsidRPr="00112487" w:rsidR="00027115">
        <w:rPr>
          <w:szCs w:val="27"/>
        </w:rPr>
        <w:t xml:space="preserve">  (</w:t>
      </w:r>
      <w:r w:rsidRPr="00112487" w:rsidR="00B62BB2">
        <w:rPr>
          <w:i/>
          <w:iCs/>
          <w:szCs w:val="27"/>
        </w:rPr>
        <w:t>Montrose III</w:t>
      </w:r>
      <w:r w:rsidRPr="00112487" w:rsidR="00027115">
        <w:rPr>
          <w:szCs w:val="27"/>
        </w:rPr>
        <w:t xml:space="preserve">, </w:t>
      </w:r>
      <w:r w:rsidRPr="00112487" w:rsidR="00027115">
        <w:rPr>
          <w:i/>
          <w:iCs/>
          <w:szCs w:val="27"/>
        </w:rPr>
        <w:t>supra</w:t>
      </w:r>
      <w:r w:rsidRPr="00112487" w:rsidR="00027115">
        <w:rPr>
          <w:szCs w:val="27"/>
        </w:rPr>
        <w:t>, 9</w:t>
      </w:r>
      <w:r w:rsidRPr="00112487" w:rsidR="002239D0">
        <w:rPr>
          <w:szCs w:val="27"/>
        </w:rPr>
        <w:t> </w:t>
      </w:r>
      <w:r w:rsidRPr="00112487" w:rsidR="00027115">
        <w:rPr>
          <w:szCs w:val="27"/>
        </w:rPr>
        <w:t>Cal.5th at p. 235.)</w:t>
      </w:r>
    </w:p>
    <w:p w:rsidR="009E41C1" w:rsidRPr="00112487" w:rsidP="00A25E48" w14:paraId="679C7941" w14:textId="77777777">
      <w:pPr>
        <w:ind w:firstLine="720"/>
        <w:rPr>
          <w:szCs w:val="27"/>
        </w:rPr>
      </w:pPr>
      <w:r w:rsidRPr="00112487">
        <w:rPr>
          <w:szCs w:val="27"/>
        </w:rPr>
        <w:t>We reject</w:t>
      </w:r>
      <w:r w:rsidRPr="00112487" w:rsidR="0041274E">
        <w:rPr>
          <w:szCs w:val="27"/>
        </w:rPr>
        <w:t>ed</w:t>
      </w:r>
      <w:r w:rsidRPr="00112487">
        <w:rPr>
          <w:szCs w:val="27"/>
        </w:rPr>
        <w:t xml:space="preserve"> </w:t>
      </w:r>
      <w:r w:rsidRPr="00112487" w:rsidR="00C21859">
        <w:rPr>
          <w:szCs w:val="27"/>
        </w:rPr>
        <w:t xml:space="preserve">the </w:t>
      </w:r>
      <w:r w:rsidRPr="00112487">
        <w:rPr>
          <w:szCs w:val="27"/>
        </w:rPr>
        <w:t xml:space="preserve">excess </w:t>
      </w:r>
      <w:r w:rsidRPr="00112487" w:rsidR="00C21859">
        <w:rPr>
          <w:szCs w:val="27"/>
        </w:rPr>
        <w:t>insure</w:t>
      </w:r>
      <w:r w:rsidRPr="00112487">
        <w:rPr>
          <w:szCs w:val="27"/>
        </w:rPr>
        <w:t>rs’</w:t>
      </w:r>
      <w:r w:rsidRPr="00112487" w:rsidR="00C21859">
        <w:rPr>
          <w:szCs w:val="27"/>
        </w:rPr>
        <w:t xml:space="preserve"> contention that a rule of vertical exhaustion would</w:t>
      </w:r>
      <w:r w:rsidRPr="00112487">
        <w:rPr>
          <w:szCs w:val="27"/>
        </w:rPr>
        <w:t xml:space="preserve"> frustrate the parties’ reasonable expectations by</w:t>
      </w:r>
      <w:r w:rsidRPr="00112487" w:rsidR="00C21859">
        <w:rPr>
          <w:szCs w:val="27"/>
        </w:rPr>
        <w:t xml:space="preserve"> unfairly requir</w:t>
      </w:r>
      <w:r w:rsidRPr="00112487">
        <w:rPr>
          <w:szCs w:val="27"/>
        </w:rPr>
        <w:t xml:space="preserve">ing </w:t>
      </w:r>
      <w:r w:rsidRPr="00112487" w:rsidR="00C21859">
        <w:rPr>
          <w:szCs w:val="27"/>
        </w:rPr>
        <w:t>“a single insurer to shoulder</w:t>
      </w:r>
      <w:r w:rsidRPr="00112487" w:rsidR="001F516F">
        <w:rPr>
          <w:szCs w:val="27"/>
        </w:rPr>
        <w:t xml:space="preserve"> the</w:t>
      </w:r>
      <w:r w:rsidRPr="00112487" w:rsidR="00C21859">
        <w:rPr>
          <w:szCs w:val="27"/>
        </w:rPr>
        <w:t xml:space="preserve"> burden</w:t>
      </w:r>
      <w:r w:rsidRPr="00112487" w:rsidR="001F516F">
        <w:rPr>
          <w:szCs w:val="27"/>
        </w:rPr>
        <w:t>”</w:t>
      </w:r>
      <w:r w:rsidRPr="00112487" w:rsidR="00C21859">
        <w:rPr>
          <w:szCs w:val="27"/>
        </w:rPr>
        <w:t xml:space="preserve"> of </w:t>
      </w:r>
      <w:r w:rsidRPr="00112487" w:rsidR="001F516F">
        <w:rPr>
          <w:szCs w:val="27"/>
        </w:rPr>
        <w:t>indemnifying “</w:t>
      </w:r>
      <w:r w:rsidRPr="00112487" w:rsidR="00FF11E0">
        <w:rPr>
          <w:szCs w:val="27"/>
        </w:rPr>
        <w:t> ‘</w:t>
      </w:r>
      <w:r w:rsidRPr="00112487" w:rsidR="001F516F">
        <w:rPr>
          <w:szCs w:val="27"/>
        </w:rPr>
        <w:t>decades</w:t>
      </w:r>
      <w:r w:rsidRPr="00112487" w:rsidR="00FF11E0">
        <w:rPr>
          <w:szCs w:val="27"/>
        </w:rPr>
        <w:t>’</w:t>
      </w:r>
      <w:r w:rsidRPr="00112487" w:rsidR="001F516F">
        <w:rPr>
          <w:szCs w:val="27"/>
        </w:rPr>
        <w:t xml:space="preserve"> worth of environmental damage.</w:t>
      </w:r>
      <w:r w:rsidRPr="00112487" w:rsidR="00FF11E0">
        <w:rPr>
          <w:szCs w:val="27"/>
        </w:rPr>
        <w:t>’ </w:t>
      </w:r>
      <w:r w:rsidRPr="00112487" w:rsidR="001F516F">
        <w:rPr>
          <w:szCs w:val="27"/>
        </w:rPr>
        <w:t xml:space="preserve">”  </w:t>
      </w:r>
      <w:r w:rsidRPr="00112487" w:rsidR="00C21859">
        <w:rPr>
          <w:szCs w:val="27"/>
        </w:rPr>
        <w:t>(</w:t>
      </w:r>
      <w:r w:rsidRPr="00112487" w:rsidR="00B62BB2">
        <w:rPr>
          <w:i/>
          <w:iCs/>
          <w:szCs w:val="27"/>
        </w:rPr>
        <w:t>Montrose III</w:t>
      </w:r>
      <w:r w:rsidRPr="00112487" w:rsidR="00C21859">
        <w:rPr>
          <w:szCs w:val="27"/>
        </w:rPr>
        <w:t xml:space="preserve">, </w:t>
      </w:r>
      <w:r w:rsidRPr="00112487" w:rsidR="00C21859">
        <w:rPr>
          <w:i/>
          <w:iCs/>
          <w:szCs w:val="27"/>
        </w:rPr>
        <w:t>supra</w:t>
      </w:r>
      <w:r w:rsidRPr="00112487" w:rsidR="00C21859">
        <w:rPr>
          <w:szCs w:val="27"/>
        </w:rPr>
        <w:t>, 9</w:t>
      </w:r>
      <w:r w:rsidRPr="00112487" w:rsidR="0041274E">
        <w:rPr>
          <w:szCs w:val="27"/>
        </w:rPr>
        <w:t> </w:t>
      </w:r>
      <w:r w:rsidRPr="00112487" w:rsidR="00C21859">
        <w:rPr>
          <w:szCs w:val="27"/>
        </w:rPr>
        <w:t>Cal.5th at p. 23</w:t>
      </w:r>
      <w:r w:rsidRPr="00112487" w:rsidR="00E3501B">
        <w:rPr>
          <w:szCs w:val="27"/>
        </w:rPr>
        <w:t>6</w:t>
      </w:r>
      <w:r w:rsidRPr="00112487" w:rsidR="00C76D08">
        <w:rPr>
          <w:szCs w:val="27"/>
        </w:rPr>
        <w:t>.</w:t>
      </w:r>
      <w:r w:rsidRPr="00112487" w:rsidR="00C21859">
        <w:rPr>
          <w:szCs w:val="27"/>
        </w:rPr>
        <w:t>)</w:t>
      </w:r>
      <w:r w:rsidRPr="00112487" w:rsidR="00C76D08">
        <w:rPr>
          <w:szCs w:val="27"/>
        </w:rPr>
        <w:t xml:space="preserve">  W</w:t>
      </w:r>
      <w:r w:rsidRPr="00112487" w:rsidR="00C21859">
        <w:rPr>
          <w:szCs w:val="27"/>
        </w:rPr>
        <w:t xml:space="preserve">e </w:t>
      </w:r>
      <w:r w:rsidRPr="00112487">
        <w:rPr>
          <w:szCs w:val="27"/>
        </w:rPr>
        <w:t xml:space="preserve">noted that </w:t>
      </w:r>
      <w:r w:rsidRPr="00112487" w:rsidR="001F516F">
        <w:rPr>
          <w:szCs w:val="27"/>
        </w:rPr>
        <w:t>this argument was “not different in kind from arguments we have already considered and rejected in adopt</w:t>
      </w:r>
      <w:r w:rsidRPr="00112487" w:rsidR="0041274E">
        <w:rPr>
          <w:szCs w:val="27"/>
        </w:rPr>
        <w:t>ing</w:t>
      </w:r>
      <w:r w:rsidRPr="00112487" w:rsidR="001F516F">
        <w:rPr>
          <w:szCs w:val="27"/>
        </w:rPr>
        <w:t xml:space="preserve"> the </w:t>
      </w:r>
      <w:r w:rsidRPr="00112487">
        <w:rPr>
          <w:szCs w:val="27"/>
        </w:rPr>
        <w:t>all</w:t>
      </w:r>
      <w:r w:rsidRPr="00112487" w:rsidR="001F516F">
        <w:rPr>
          <w:szCs w:val="27"/>
        </w:rPr>
        <w:t>-sums</w:t>
      </w:r>
      <w:r w:rsidRPr="00112487">
        <w:rPr>
          <w:szCs w:val="27"/>
        </w:rPr>
        <w:t>-with-stacking approach to the coverage of long</w:t>
      </w:r>
      <w:r w:rsidR="00C059E2">
        <w:rPr>
          <w:szCs w:val="27"/>
        </w:rPr>
        <w:t>-</w:t>
      </w:r>
      <w:r w:rsidRPr="00112487">
        <w:rPr>
          <w:szCs w:val="27"/>
        </w:rPr>
        <w:t>tail injuries” (</w:t>
      </w:r>
      <w:r w:rsidRPr="00112487">
        <w:rPr>
          <w:i/>
          <w:iCs/>
          <w:szCs w:val="27"/>
        </w:rPr>
        <w:t>i</w:t>
      </w:r>
      <w:r w:rsidRPr="00112487" w:rsidR="0041274E">
        <w:rPr>
          <w:i/>
          <w:iCs/>
          <w:szCs w:val="27"/>
        </w:rPr>
        <w:t>bi</w:t>
      </w:r>
      <w:r w:rsidRPr="00112487">
        <w:rPr>
          <w:i/>
          <w:iCs/>
          <w:szCs w:val="27"/>
        </w:rPr>
        <w:t>d</w:t>
      </w:r>
      <w:r w:rsidRPr="00112487">
        <w:rPr>
          <w:szCs w:val="27"/>
        </w:rPr>
        <w:t>.)</w:t>
      </w:r>
      <w:r w:rsidRPr="00112487" w:rsidR="0041274E">
        <w:rPr>
          <w:szCs w:val="27"/>
        </w:rPr>
        <w:t>,</w:t>
      </w:r>
      <w:r w:rsidRPr="00112487">
        <w:rPr>
          <w:szCs w:val="27"/>
        </w:rPr>
        <w:t xml:space="preserve"> explaining that “</w:t>
      </w:r>
      <w:r w:rsidRPr="00112487" w:rsidR="0041274E">
        <w:rPr>
          <w:szCs w:val="27"/>
        </w:rPr>
        <w:t>[</w:t>
      </w:r>
      <w:r w:rsidRPr="00112487">
        <w:rPr>
          <w:szCs w:val="27"/>
        </w:rPr>
        <w:t>t]here is no evident unfairness to insurers when their insureds incur liabilities triggering indemnity coverage under the negotiated policy contract” (</w:t>
      </w:r>
      <w:r w:rsidRPr="00112487" w:rsidR="0041274E">
        <w:rPr>
          <w:i/>
          <w:iCs/>
          <w:szCs w:val="27"/>
        </w:rPr>
        <w:t>ib</w:t>
      </w:r>
      <w:r w:rsidRPr="00112487">
        <w:rPr>
          <w:i/>
          <w:iCs/>
          <w:szCs w:val="27"/>
        </w:rPr>
        <w:t>id</w:t>
      </w:r>
      <w:r w:rsidRPr="00112487">
        <w:rPr>
          <w:szCs w:val="27"/>
        </w:rPr>
        <w:t>.)</w:t>
      </w:r>
      <w:r w:rsidRPr="00112487" w:rsidR="0041274E">
        <w:rPr>
          <w:szCs w:val="27"/>
        </w:rPr>
        <w:t>.</w:t>
      </w:r>
      <w:r w:rsidRPr="00112487">
        <w:rPr>
          <w:szCs w:val="27"/>
        </w:rPr>
        <w:t xml:space="preserve">  We further explained that </w:t>
      </w:r>
      <w:r w:rsidRPr="00112487" w:rsidR="00C76D08">
        <w:rPr>
          <w:szCs w:val="27"/>
        </w:rPr>
        <w:t xml:space="preserve">a rule of </w:t>
      </w:r>
      <w:r w:rsidRPr="00112487" w:rsidR="00047180">
        <w:rPr>
          <w:szCs w:val="27"/>
        </w:rPr>
        <w:t>vertical exhaustion “</w:t>
      </w:r>
      <w:r w:rsidRPr="00112487" w:rsidR="00081F75">
        <w:rPr>
          <w:szCs w:val="27"/>
        </w:rPr>
        <w:t>does not alter the usual rules of equitable contribution between insurers.  An insurer required to provide excess coverage for a long-tail injury may lessen its burden by seeking reimbursement from other insurers that issued policies during the relevant period</w:t>
      </w:r>
      <w:r w:rsidRPr="00112487" w:rsidR="00047180">
        <w:rPr>
          <w:szCs w:val="27"/>
        </w:rPr>
        <w:t>.”</w:t>
      </w:r>
      <w:r w:rsidRPr="00112487" w:rsidR="00081F75">
        <w:rPr>
          <w:szCs w:val="27"/>
        </w:rPr>
        <w:t xml:space="preserve">  (</w:t>
      </w:r>
      <w:r w:rsidRPr="00112487" w:rsidR="00081F75">
        <w:rPr>
          <w:i/>
          <w:iCs/>
          <w:szCs w:val="27"/>
        </w:rPr>
        <w:t>Ibid</w:t>
      </w:r>
      <w:r w:rsidRPr="00112487" w:rsidR="00081F75">
        <w:rPr>
          <w:szCs w:val="27"/>
        </w:rPr>
        <w:t>.)</w:t>
      </w:r>
      <w:r w:rsidRPr="00112487" w:rsidR="00047180">
        <w:rPr>
          <w:szCs w:val="27"/>
        </w:rPr>
        <w:t xml:space="preserve">  </w:t>
      </w:r>
    </w:p>
    <w:p w:rsidR="00081F75" w:rsidRPr="00112487" w:rsidP="00A25E48" w14:paraId="679C7942" w14:textId="77777777">
      <w:pPr>
        <w:ind w:firstLine="720"/>
        <w:rPr>
          <w:szCs w:val="27"/>
        </w:rPr>
      </w:pPr>
      <w:r w:rsidRPr="00112487">
        <w:rPr>
          <w:szCs w:val="27"/>
        </w:rPr>
        <w:t>We also rejected the insurers</w:t>
      </w:r>
      <w:r w:rsidR="00FE1256">
        <w:rPr>
          <w:szCs w:val="27"/>
        </w:rPr>
        <w:t>’</w:t>
      </w:r>
      <w:r w:rsidRPr="00112487">
        <w:rPr>
          <w:szCs w:val="27"/>
        </w:rPr>
        <w:t xml:space="preserve"> reliance on </w:t>
      </w:r>
      <w:r w:rsidRPr="00112487">
        <w:rPr>
          <w:i/>
          <w:iCs/>
          <w:szCs w:val="27"/>
        </w:rPr>
        <w:t>Community Redevelopment</w:t>
      </w:r>
      <w:r w:rsidRPr="00112487">
        <w:rPr>
          <w:szCs w:val="27"/>
        </w:rPr>
        <w:t>,</w:t>
      </w:r>
      <w:r w:rsidRPr="00112487">
        <w:rPr>
          <w:i/>
          <w:iCs/>
          <w:szCs w:val="27"/>
        </w:rPr>
        <w:t xml:space="preserve"> supra</w:t>
      </w:r>
      <w:r w:rsidRPr="00112487">
        <w:rPr>
          <w:szCs w:val="27"/>
        </w:rPr>
        <w:t>, 50</w:t>
      </w:r>
      <w:r w:rsidRPr="00112487" w:rsidR="009E41C1">
        <w:rPr>
          <w:szCs w:val="27"/>
        </w:rPr>
        <w:t> </w:t>
      </w:r>
      <w:r w:rsidRPr="00112487">
        <w:rPr>
          <w:szCs w:val="27"/>
        </w:rPr>
        <w:t xml:space="preserve">Cal.App.4th 329, explaining that a contribution action between a primary insurer and an excess insurer presented “a meaningfully different scenario” </w:t>
      </w:r>
      <w:r w:rsidRPr="00112487" w:rsidR="001C1613">
        <w:rPr>
          <w:szCs w:val="27"/>
        </w:rPr>
        <w:t xml:space="preserve">than a </w:t>
      </w:r>
      <w:r w:rsidRPr="00112487" w:rsidR="001C1613">
        <w:rPr>
          <w:i/>
          <w:iCs/>
          <w:szCs w:val="27"/>
        </w:rPr>
        <w:t>coverage</w:t>
      </w:r>
      <w:r w:rsidRPr="00112487" w:rsidR="001C1613">
        <w:rPr>
          <w:szCs w:val="27"/>
        </w:rPr>
        <w:t xml:space="preserve"> action between an insured and its excess insurers, and</w:t>
      </w:r>
      <w:r w:rsidRPr="00112487">
        <w:rPr>
          <w:szCs w:val="27"/>
        </w:rPr>
        <w:t xml:space="preserve"> thus “offer[ed] no real lessons for resolving the question now before us.”  (</w:t>
      </w:r>
      <w:r w:rsidRPr="00112487" w:rsidR="00B62BB2">
        <w:rPr>
          <w:i/>
          <w:iCs/>
          <w:szCs w:val="27"/>
        </w:rPr>
        <w:t>Montrose III</w:t>
      </w:r>
      <w:r w:rsidRPr="00112487">
        <w:rPr>
          <w:szCs w:val="27"/>
        </w:rPr>
        <w:t xml:space="preserve">, </w:t>
      </w:r>
      <w:r w:rsidRPr="00112487">
        <w:rPr>
          <w:i/>
          <w:iCs/>
          <w:szCs w:val="27"/>
        </w:rPr>
        <w:t>supra</w:t>
      </w:r>
      <w:r w:rsidRPr="00112487">
        <w:rPr>
          <w:szCs w:val="27"/>
        </w:rPr>
        <w:t>, 9</w:t>
      </w:r>
      <w:r w:rsidRPr="00112487" w:rsidR="009E41C1">
        <w:rPr>
          <w:szCs w:val="27"/>
        </w:rPr>
        <w:t> </w:t>
      </w:r>
      <w:r w:rsidRPr="00112487">
        <w:rPr>
          <w:szCs w:val="27"/>
        </w:rPr>
        <w:t xml:space="preserve">Cal.5th at p. 237.)  In a footnote, we </w:t>
      </w:r>
      <w:r w:rsidRPr="00112487" w:rsidR="006D0A44">
        <w:rPr>
          <w:szCs w:val="27"/>
        </w:rPr>
        <w:t xml:space="preserve">emphasized that </w:t>
      </w:r>
      <w:r w:rsidRPr="00112487" w:rsidR="00C76D08">
        <w:rPr>
          <w:szCs w:val="27"/>
        </w:rPr>
        <w:t>be</w:t>
      </w:r>
      <w:r w:rsidRPr="00112487" w:rsidR="006D0A44">
        <w:rPr>
          <w:szCs w:val="27"/>
        </w:rPr>
        <w:t xml:space="preserve">cause the question </w:t>
      </w:r>
      <w:r w:rsidRPr="00112487" w:rsidR="00C76D08">
        <w:rPr>
          <w:szCs w:val="27"/>
        </w:rPr>
        <w:t>had not been presented, we need not “</w:t>
      </w:r>
      <w:r w:rsidRPr="00112487" w:rsidR="006D0A44">
        <w:rPr>
          <w:szCs w:val="27"/>
        </w:rPr>
        <w:t>decide when or whether an insured may access excess policies before all primary insurance covering all relevant policy periods has been exhausted.”  (</w:t>
      </w:r>
      <w:r w:rsidRPr="00112487" w:rsidR="006D0A44">
        <w:rPr>
          <w:i/>
          <w:iCs/>
          <w:szCs w:val="27"/>
        </w:rPr>
        <w:t>Id</w:t>
      </w:r>
      <w:r w:rsidRPr="00112487" w:rsidR="006D0A44">
        <w:rPr>
          <w:szCs w:val="27"/>
        </w:rPr>
        <w:t>. at p. </w:t>
      </w:r>
      <w:r w:rsidRPr="00112487" w:rsidR="00C76D08">
        <w:rPr>
          <w:szCs w:val="27"/>
        </w:rPr>
        <w:t>226</w:t>
      </w:r>
      <w:r w:rsidRPr="00112487" w:rsidR="006D0A44">
        <w:rPr>
          <w:szCs w:val="27"/>
        </w:rPr>
        <w:t>, fn.</w:t>
      </w:r>
      <w:r w:rsidRPr="00112487" w:rsidR="00C76D08">
        <w:rPr>
          <w:szCs w:val="27"/>
        </w:rPr>
        <w:t> </w:t>
      </w:r>
      <w:r w:rsidRPr="00112487" w:rsidR="006D0A44">
        <w:rPr>
          <w:szCs w:val="27"/>
        </w:rPr>
        <w:t>4.)</w:t>
      </w:r>
    </w:p>
    <w:p w:rsidR="00EB7F3A" w:rsidRPr="00112487" w:rsidP="00DC2DE6" w14:paraId="679C7943" w14:textId="77777777">
      <w:pPr>
        <w:pStyle w:val="Heading2"/>
        <w:numPr>
          <w:ilvl w:val="0"/>
          <w:numId w:val="12"/>
        </w:numPr>
        <w:spacing w:before="0" w:line="400" w:lineRule="exact"/>
        <w:ind w:left="1152" w:hanging="432"/>
        <w:rPr>
          <w:szCs w:val="27"/>
        </w:rPr>
      </w:pPr>
      <w:r w:rsidRPr="00112487">
        <w:rPr>
          <w:szCs w:val="27"/>
        </w:rPr>
        <w:t>Analysis</w:t>
      </w:r>
    </w:p>
    <w:p w:rsidR="00BE4239" w:rsidRPr="00112487" w:rsidP="00A25E48" w14:paraId="679C7944" w14:textId="77777777">
      <w:pPr>
        <w:ind w:firstLine="720"/>
        <w:rPr>
          <w:szCs w:val="27"/>
        </w:rPr>
      </w:pPr>
      <w:r w:rsidRPr="00112487">
        <w:rPr>
          <w:szCs w:val="27"/>
        </w:rPr>
        <w:t xml:space="preserve">As in </w:t>
      </w:r>
      <w:r w:rsidRPr="00112487" w:rsidR="00B62BB2">
        <w:rPr>
          <w:i/>
          <w:iCs/>
          <w:szCs w:val="27"/>
        </w:rPr>
        <w:t>Montrose III</w:t>
      </w:r>
      <w:r w:rsidRPr="00112487">
        <w:rPr>
          <w:szCs w:val="27"/>
        </w:rPr>
        <w:t xml:space="preserve">, we are faced with </w:t>
      </w:r>
      <w:r w:rsidRPr="00112487" w:rsidR="001553DF">
        <w:rPr>
          <w:szCs w:val="27"/>
        </w:rPr>
        <w:t xml:space="preserve">questions regarding </w:t>
      </w:r>
      <w:r w:rsidRPr="00112487">
        <w:rPr>
          <w:szCs w:val="27"/>
        </w:rPr>
        <w:t>whether language in standard CGL excess insurance policies impose a rule of ver</w:t>
      </w:r>
      <w:r w:rsidRPr="00112487" w:rsidR="00877B1B">
        <w:rPr>
          <w:szCs w:val="27"/>
        </w:rPr>
        <w:t xml:space="preserve">tical </w:t>
      </w:r>
      <w:r w:rsidRPr="00112487">
        <w:rPr>
          <w:szCs w:val="27"/>
        </w:rPr>
        <w:t xml:space="preserve">or </w:t>
      </w:r>
      <w:r w:rsidRPr="00112487" w:rsidR="00877B1B">
        <w:rPr>
          <w:szCs w:val="27"/>
        </w:rPr>
        <w:t xml:space="preserve">horizontal exhaustion in the context of </w:t>
      </w:r>
      <w:r w:rsidRPr="00112487">
        <w:rPr>
          <w:szCs w:val="27"/>
        </w:rPr>
        <w:t>continuous injury insurance claims</w:t>
      </w:r>
      <w:r w:rsidRPr="00112487" w:rsidR="003E0B1D">
        <w:rPr>
          <w:szCs w:val="27"/>
        </w:rPr>
        <w:t xml:space="preserve">.  </w:t>
      </w:r>
      <w:r w:rsidRPr="00112487" w:rsidR="00F07B44">
        <w:rPr>
          <w:szCs w:val="27"/>
        </w:rPr>
        <w:t>The</w:t>
      </w:r>
      <w:r w:rsidRPr="00112487" w:rsidR="00C40933">
        <w:rPr>
          <w:szCs w:val="27"/>
        </w:rPr>
        <w:t xml:space="preserve"> Court of Appeal </w:t>
      </w:r>
      <w:r w:rsidRPr="00112487" w:rsidR="00F07B44">
        <w:rPr>
          <w:szCs w:val="27"/>
        </w:rPr>
        <w:t>concluded that because the excess policies at issue in this case s</w:t>
      </w:r>
      <w:r w:rsidRPr="00112487">
        <w:rPr>
          <w:szCs w:val="27"/>
        </w:rPr>
        <w:t>a</w:t>
      </w:r>
      <w:r w:rsidRPr="00112487" w:rsidR="00F07B44">
        <w:rPr>
          <w:szCs w:val="27"/>
        </w:rPr>
        <w:t xml:space="preserve">t above primary insurance, they were most reasonably construed as requiring </w:t>
      </w:r>
      <w:r w:rsidRPr="00112487">
        <w:rPr>
          <w:szCs w:val="27"/>
        </w:rPr>
        <w:t xml:space="preserve">the insured (Kaiser) to </w:t>
      </w:r>
      <w:r w:rsidRPr="00112487" w:rsidR="00F07B44">
        <w:rPr>
          <w:szCs w:val="27"/>
        </w:rPr>
        <w:t>horizontal</w:t>
      </w:r>
      <w:r w:rsidRPr="00112487">
        <w:rPr>
          <w:szCs w:val="27"/>
        </w:rPr>
        <w:t>ly</w:t>
      </w:r>
      <w:r w:rsidRPr="00112487" w:rsidR="00F07B44">
        <w:rPr>
          <w:szCs w:val="27"/>
        </w:rPr>
        <w:t xml:space="preserve"> </w:t>
      </w:r>
      <w:r w:rsidRPr="00112487">
        <w:rPr>
          <w:szCs w:val="27"/>
        </w:rPr>
        <w:t>exhaust</w:t>
      </w:r>
      <w:r w:rsidRPr="00112487" w:rsidR="007C7CBE">
        <w:rPr>
          <w:szCs w:val="27"/>
        </w:rPr>
        <w:t xml:space="preserve"> all primary insurance, including Truck</w:t>
      </w:r>
      <w:r w:rsidRPr="00112487">
        <w:rPr>
          <w:szCs w:val="27"/>
        </w:rPr>
        <w:t>’s 1974</w:t>
      </w:r>
      <w:r w:rsidRPr="00112487" w:rsidR="007C7CBE">
        <w:rPr>
          <w:szCs w:val="27"/>
        </w:rPr>
        <w:t xml:space="preserve"> policy</w:t>
      </w:r>
      <w:r w:rsidRPr="00112487">
        <w:rPr>
          <w:szCs w:val="27"/>
        </w:rPr>
        <w:t xml:space="preserve">.  The court further reasoned that because the excess policies did not create any coverage obligation until Truck’s policy was exhausted, </w:t>
      </w:r>
      <w:r w:rsidRPr="00112487" w:rsidR="00C40933">
        <w:rPr>
          <w:szCs w:val="27"/>
        </w:rPr>
        <w:t>the</w:t>
      </w:r>
      <w:r w:rsidRPr="00112487" w:rsidR="007C7CBE">
        <w:rPr>
          <w:szCs w:val="27"/>
        </w:rPr>
        <w:t>re was no possible basis for Truck to receive contribution.</w:t>
      </w:r>
    </w:p>
    <w:p w:rsidR="00A93612" w:rsidRPr="00112487" w:rsidP="00A25E48" w14:paraId="679C7945" w14:textId="77777777">
      <w:pPr>
        <w:ind w:firstLine="720"/>
        <w:rPr>
          <w:szCs w:val="27"/>
        </w:rPr>
      </w:pPr>
      <w:r w:rsidRPr="00112487">
        <w:rPr>
          <w:szCs w:val="27"/>
        </w:rPr>
        <w:t>Given th</w:t>
      </w:r>
      <w:r w:rsidRPr="00112487" w:rsidR="005F3796">
        <w:rPr>
          <w:szCs w:val="27"/>
        </w:rPr>
        <w:t xml:space="preserve">at the </w:t>
      </w:r>
      <w:r w:rsidRPr="00112487">
        <w:rPr>
          <w:szCs w:val="27"/>
        </w:rPr>
        <w:t>court’s</w:t>
      </w:r>
      <w:r w:rsidRPr="00112487" w:rsidR="005F3796">
        <w:rPr>
          <w:szCs w:val="27"/>
        </w:rPr>
        <w:t xml:space="preserve"> </w:t>
      </w:r>
      <w:r w:rsidRPr="00112487" w:rsidR="00BE4239">
        <w:rPr>
          <w:szCs w:val="27"/>
        </w:rPr>
        <w:t xml:space="preserve">contribution analysis </w:t>
      </w:r>
      <w:r w:rsidRPr="00112487" w:rsidR="005F3796">
        <w:rPr>
          <w:szCs w:val="27"/>
        </w:rPr>
        <w:t xml:space="preserve">turns entirely on its interpretation of the first-level excess policies, </w:t>
      </w:r>
      <w:r w:rsidRPr="00112487" w:rsidR="007C7CBE">
        <w:rPr>
          <w:szCs w:val="27"/>
        </w:rPr>
        <w:t>we will begin our review by assessing the court’s construction of th</w:t>
      </w:r>
      <w:r w:rsidRPr="00112487" w:rsidR="005F3796">
        <w:rPr>
          <w:szCs w:val="27"/>
        </w:rPr>
        <w:t>ose contracts</w:t>
      </w:r>
      <w:r w:rsidRPr="00112487" w:rsidR="007C7CBE">
        <w:rPr>
          <w:szCs w:val="27"/>
        </w:rPr>
        <w:t>, which is “a question of law” to which we apply independent review.  (</w:t>
      </w:r>
      <w:r w:rsidRPr="00112487" w:rsidR="007C7CBE">
        <w:rPr>
          <w:i/>
          <w:iCs/>
          <w:szCs w:val="27"/>
        </w:rPr>
        <w:t>E.M.M.I. Inc. v. Zurich American Ins. Co</w:t>
      </w:r>
      <w:r w:rsidRPr="00112487" w:rsidR="007C7CBE">
        <w:rPr>
          <w:szCs w:val="27"/>
        </w:rPr>
        <w:t>. (2004) 32 Cal.4th 465, 470.)</w:t>
      </w:r>
      <w:r>
        <w:rPr>
          <w:rStyle w:val="FootnoteReference"/>
          <w:szCs w:val="27"/>
        </w:rPr>
        <w:footnoteReference w:id="9"/>
      </w:r>
    </w:p>
    <w:p w:rsidR="00AE1F0D" w:rsidRPr="00112487" w:rsidP="00DC2DE6" w14:paraId="679C7946" w14:textId="77777777">
      <w:pPr>
        <w:pStyle w:val="Heading3"/>
        <w:spacing w:before="0" w:line="400" w:lineRule="exact"/>
        <w:rPr>
          <w:szCs w:val="27"/>
        </w:rPr>
      </w:pPr>
      <w:r w:rsidRPr="00112487">
        <w:rPr>
          <w:szCs w:val="27"/>
        </w:rPr>
        <w:t>1.</w:t>
      </w:r>
      <w:r w:rsidRPr="00112487">
        <w:rPr>
          <w:szCs w:val="27"/>
        </w:rPr>
        <w:tab/>
        <w:t>The Court of Appeal erred in interpreting the policy language</w:t>
      </w:r>
    </w:p>
    <w:p w:rsidR="0022105F" w:rsidRPr="00112487" w:rsidP="00A25E48" w14:paraId="679C7947" w14:textId="77777777">
      <w:pPr>
        <w:ind w:firstLine="720"/>
        <w:rPr>
          <w:szCs w:val="27"/>
        </w:rPr>
      </w:pPr>
      <w:r w:rsidRPr="00112487">
        <w:rPr>
          <w:szCs w:val="27"/>
        </w:rPr>
        <w:t xml:space="preserve">As was the case in </w:t>
      </w:r>
      <w:r w:rsidRPr="00112487" w:rsidR="00B62BB2">
        <w:rPr>
          <w:i/>
          <w:iCs/>
          <w:szCs w:val="27"/>
        </w:rPr>
        <w:t>Montrose III</w:t>
      </w:r>
      <w:r w:rsidRPr="00112487">
        <w:rPr>
          <w:szCs w:val="27"/>
        </w:rPr>
        <w:t xml:space="preserve">, the Court of Appeal’s interpretation </w:t>
      </w:r>
      <w:r w:rsidRPr="00112487" w:rsidR="00A93612">
        <w:rPr>
          <w:szCs w:val="27"/>
        </w:rPr>
        <w:t xml:space="preserve">of the excess policies </w:t>
      </w:r>
      <w:r w:rsidRPr="00112487">
        <w:rPr>
          <w:szCs w:val="27"/>
        </w:rPr>
        <w:t xml:space="preserve">centered on the meaning of the “other insurance” clauses in the excess insurance policies.  </w:t>
      </w:r>
      <w:r w:rsidRPr="00112487" w:rsidR="00AE1F0D">
        <w:rPr>
          <w:szCs w:val="27"/>
        </w:rPr>
        <w:t>The text of those clauses are as follows:</w:t>
      </w:r>
    </w:p>
    <w:p w:rsidR="0022105F" w:rsidRPr="00112487" w:rsidP="00A25E48" w14:paraId="679C7948" w14:textId="77777777">
      <w:pPr>
        <w:pStyle w:val="ListParagraph"/>
        <w:numPr>
          <w:ilvl w:val="0"/>
          <w:numId w:val="17"/>
        </w:numPr>
        <w:rPr>
          <w:rFonts w:ascii="Century Schoolbook" w:hAnsi="Century Schoolbook"/>
          <w:szCs w:val="27"/>
        </w:rPr>
      </w:pPr>
      <w:r w:rsidRPr="00112487">
        <w:rPr>
          <w:rFonts w:ascii="Century Schoolbook" w:hAnsi="Century Schoolbook"/>
          <w:szCs w:val="27"/>
        </w:rPr>
        <w:t xml:space="preserve">The LMI policies in effect from 1953–1958 provide that liability shall attach only after the primary insurers listed in the schedule of underlying insurance have paid “the full amount of their respective ultimate loss,” and then define “ultimate net loss” as “the sums paid in settlement of losses for which the Assured is liable after making deductions for all recoveries, salvages </w:t>
      </w:r>
      <w:r w:rsidRPr="00112487">
        <w:rPr>
          <w:rFonts w:ascii="Century Schoolbook" w:hAnsi="Century Schoolbook"/>
          <w:i/>
          <w:iCs/>
          <w:szCs w:val="27"/>
        </w:rPr>
        <w:t xml:space="preserve">and other insurances </w:t>
      </w:r>
      <w:r w:rsidRPr="00112487">
        <w:rPr>
          <w:rFonts w:ascii="Century Schoolbook" w:hAnsi="Century Schoolbook"/>
          <w:szCs w:val="27"/>
        </w:rPr>
        <w:t>(other than recoveries under the policy/ies of the [scheduled primary insurers]), whether recoverable or not”</w:t>
      </w:r>
      <w:r w:rsidRPr="00112487" w:rsidR="00034836">
        <w:rPr>
          <w:rFonts w:ascii="Century Schoolbook" w:hAnsi="Century Schoolbook"/>
          <w:szCs w:val="27"/>
        </w:rPr>
        <w:t xml:space="preserve"> (italics added)</w:t>
      </w:r>
      <w:r w:rsidRPr="00112487">
        <w:rPr>
          <w:rFonts w:ascii="Century Schoolbook" w:hAnsi="Century Schoolbook"/>
          <w:szCs w:val="27"/>
        </w:rPr>
        <w:t>;</w:t>
      </w:r>
    </w:p>
    <w:p w:rsidR="0022105F" w:rsidRPr="00112487" w:rsidP="00A25E48" w14:paraId="679C7949" w14:textId="77777777">
      <w:pPr>
        <w:pStyle w:val="ListParagraph"/>
        <w:numPr>
          <w:ilvl w:val="0"/>
          <w:numId w:val="17"/>
        </w:numPr>
        <w:rPr>
          <w:rFonts w:ascii="Century Schoolbook" w:hAnsi="Century Schoolbook"/>
          <w:szCs w:val="27"/>
        </w:rPr>
      </w:pPr>
      <w:r w:rsidRPr="00112487">
        <w:rPr>
          <w:rFonts w:ascii="Century Schoolbook" w:hAnsi="Century Schoolbook"/>
          <w:szCs w:val="27"/>
        </w:rPr>
        <w:t>The LMI policies in effect from 1958–1964 include an independent “Other Insurance” clause that provides:  “If other valid and collectible insurance with any other insurer is available to the Assured covering a loss also covered by this policy, other than insurance that is in excess of the insurance afforded by this policy, the insurance afforded by this policy shall be in excess of and shall not contribute with other insurance”;</w:t>
      </w:r>
    </w:p>
    <w:p w:rsidR="0022105F" w:rsidRPr="00112487" w:rsidP="00A25E48" w14:paraId="679C794A" w14:textId="77777777">
      <w:pPr>
        <w:pStyle w:val="ListParagraph"/>
        <w:numPr>
          <w:ilvl w:val="0"/>
          <w:numId w:val="17"/>
        </w:numPr>
        <w:rPr>
          <w:rFonts w:ascii="Century Schoolbook" w:hAnsi="Century Schoolbook"/>
          <w:szCs w:val="27"/>
        </w:rPr>
      </w:pPr>
      <w:r w:rsidRPr="00112487">
        <w:rPr>
          <w:rFonts w:ascii="Century Schoolbook" w:hAnsi="Century Schoolbook"/>
          <w:szCs w:val="27"/>
        </w:rPr>
        <w:t>The First State policy in effect from 1983–1984 provides that the Company shall be liable for loss in excess of “an amount equal to the limits of liability indicated beside the underlying insurance listed in the Schedule A of underlying insurance</w:t>
      </w:r>
      <w:r w:rsidRPr="00112487">
        <w:rPr>
          <w:rFonts w:ascii="Century Schoolbook" w:hAnsi="Century Schoolbook"/>
          <w:i/>
          <w:iCs/>
          <w:szCs w:val="27"/>
        </w:rPr>
        <w:t>, plus the applicable limits of any other underlying insurance collectible by the insured</w:t>
      </w:r>
      <w:r w:rsidRPr="00112487">
        <w:rPr>
          <w:rFonts w:ascii="Century Schoolbook" w:hAnsi="Century Schoolbook"/>
          <w:szCs w:val="27"/>
        </w:rPr>
        <w:t>”; “[i]f other collectible insurance with any other insurer is available to the insured covering in loss covered here [</w:t>
      </w:r>
      <w:r w:rsidRPr="00112487">
        <w:rPr>
          <w:rFonts w:ascii="Century Schoolbook" w:hAnsi="Century Schoolbook"/>
          <w:i/>
          <w:iCs/>
          <w:szCs w:val="27"/>
        </w:rPr>
        <w:t>sic</w:t>
      </w:r>
      <w:r w:rsidRPr="00112487">
        <w:rPr>
          <w:rFonts w:ascii="Century Schoolbook" w:hAnsi="Century Schoolbook"/>
          <w:szCs w:val="27"/>
        </w:rPr>
        <w:t>], except insurance purchased to apply in excess of the sum of [this policy], the insurance hereunder shall be in excess of and not contribute with such other insurance”</w:t>
      </w:r>
      <w:r w:rsidRPr="00112487" w:rsidR="00034836">
        <w:rPr>
          <w:rFonts w:ascii="Century Schoolbook" w:hAnsi="Century Schoolbook"/>
          <w:szCs w:val="27"/>
        </w:rPr>
        <w:t xml:space="preserve"> (italics added).</w:t>
      </w:r>
      <w:r>
        <w:rPr>
          <w:rStyle w:val="FootnoteReference"/>
          <w:szCs w:val="27"/>
        </w:rPr>
        <w:footnoteReference w:id="10"/>
      </w:r>
    </w:p>
    <w:p w:rsidR="00C101DD" w:rsidRPr="00112487" w:rsidP="00A25E48" w14:paraId="679C794B" w14:textId="77777777">
      <w:pPr>
        <w:ind w:firstLine="720"/>
        <w:rPr>
          <w:szCs w:val="27"/>
        </w:rPr>
      </w:pPr>
      <w:r w:rsidRPr="00112487">
        <w:rPr>
          <w:szCs w:val="27"/>
        </w:rPr>
        <w:t xml:space="preserve">Following the analysis in </w:t>
      </w:r>
      <w:r w:rsidRPr="00112487">
        <w:rPr>
          <w:i/>
          <w:iCs/>
          <w:szCs w:val="27"/>
        </w:rPr>
        <w:t>Community Redevelopment</w:t>
      </w:r>
      <w:r w:rsidRPr="00112487">
        <w:rPr>
          <w:szCs w:val="27"/>
        </w:rPr>
        <w:t>, 50</w:t>
      </w:r>
      <w:r w:rsidRPr="00112487" w:rsidR="009E41C1">
        <w:rPr>
          <w:szCs w:val="27"/>
        </w:rPr>
        <w:t> </w:t>
      </w:r>
      <w:r w:rsidRPr="00112487">
        <w:rPr>
          <w:szCs w:val="27"/>
        </w:rPr>
        <w:t>Cal.App.4th 329, the court interpreted the</w:t>
      </w:r>
      <w:r w:rsidRPr="00112487" w:rsidR="005F3796">
        <w:rPr>
          <w:szCs w:val="27"/>
        </w:rPr>
        <w:t>se</w:t>
      </w:r>
      <w:r w:rsidRPr="00112487">
        <w:rPr>
          <w:szCs w:val="27"/>
        </w:rPr>
        <w:t xml:space="preserve"> “other insurance” provisions</w:t>
      </w:r>
      <w:r w:rsidRPr="00112487" w:rsidR="001C1613">
        <w:rPr>
          <w:szCs w:val="27"/>
        </w:rPr>
        <w:t xml:space="preserve"> as unambiguously requiring </w:t>
      </w:r>
      <w:r w:rsidRPr="00112487" w:rsidR="00FE2A11">
        <w:rPr>
          <w:szCs w:val="27"/>
        </w:rPr>
        <w:t xml:space="preserve">Kaiser to exhaust all primary </w:t>
      </w:r>
      <w:r w:rsidRPr="00112487" w:rsidR="00140DC3">
        <w:rPr>
          <w:szCs w:val="27"/>
        </w:rPr>
        <w:t xml:space="preserve">policies </w:t>
      </w:r>
      <w:r w:rsidRPr="00112487" w:rsidR="00FE2A11">
        <w:rPr>
          <w:szCs w:val="27"/>
        </w:rPr>
        <w:t xml:space="preserve">that it </w:t>
      </w:r>
      <w:r w:rsidRPr="00112487" w:rsidR="0011238C">
        <w:rPr>
          <w:szCs w:val="27"/>
        </w:rPr>
        <w:t xml:space="preserve">had </w:t>
      </w:r>
      <w:r w:rsidRPr="00112487" w:rsidR="00FE2A11">
        <w:rPr>
          <w:szCs w:val="27"/>
        </w:rPr>
        <w:t xml:space="preserve">purchased </w:t>
      </w:r>
      <w:r w:rsidRPr="00112487" w:rsidR="00FE2A11">
        <w:rPr>
          <w:i/>
          <w:iCs/>
          <w:szCs w:val="27"/>
        </w:rPr>
        <w:t>for every policy period triggered by the continuous injury</w:t>
      </w:r>
      <w:r w:rsidRPr="00112487" w:rsidR="00FE2A11">
        <w:rPr>
          <w:szCs w:val="27"/>
        </w:rPr>
        <w:t xml:space="preserve">. </w:t>
      </w:r>
      <w:r w:rsidRPr="00112487" w:rsidR="00140DC3">
        <w:rPr>
          <w:szCs w:val="27"/>
        </w:rPr>
        <w:t xml:space="preserve"> </w:t>
      </w:r>
      <w:r w:rsidRPr="00112487" w:rsidR="0011238C">
        <w:rPr>
          <w:szCs w:val="27"/>
        </w:rPr>
        <w:t xml:space="preserve">Truck, however, </w:t>
      </w:r>
      <w:r w:rsidRPr="00112487" w:rsidR="00EE693C">
        <w:rPr>
          <w:szCs w:val="27"/>
        </w:rPr>
        <w:t xml:space="preserve">contends that our </w:t>
      </w:r>
      <w:r w:rsidRPr="00112487" w:rsidR="001E3841">
        <w:rPr>
          <w:szCs w:val="27"/>
        </w:rPr>
        <w:t xml:space="preserve">core holding in </w:t>
      </w:r>
      <w:r w:rsidRPr="00112487" w:rsidR="00B62BB2">
        <w:rPr>
          <w:i/>
          <w:iCs/>
          <w:szCs w:val="27"/>
        </w:rPr>
        <w:t>Montrose III</w:t>
      </w:r>
      <w:r w:rsidRPr="00112487" w:rsidR="001E3841">
        <w:rPr>
          <w:szCs w:val="27"/>
        </w:rPr>
        <w:t xml:space="preserve"> — that standard </w:t>
      </w:r>
      <w:r w:rsidRPr="00112487" w:rsidR="00EE693C">
        <w:rPr>
          <w:szCs w:val="27"/>
        </w:rPr>
        <w:t>“other insurance” provisions</w:t>
      </w:r>
      <w:r w:rsidRPr="00112487" w:rsidR="001E3841">
        <w:rPr>
          <w:szCs w:val="27"/>
        </w:rPr>
        <w:t xml:space="preserve"> </w:t>
      </w:r>
      <w:r w:rsidRPr="00112487" w:rsidR="003F149D">
        <w:rPr>
          <w:szCs w:val="27"/>
        </w:rPr>
        <w:t xml:space="preserve">appearing in excess policies are only intended to refer to insurance </w:t>
      </w:r>
      <w:r w:rsidRPr="00112487" w:rsidR="003F149D">
        <w:rPr>
          <w:i/>
          <w:iCs/>
          <w:szCs w:val="27"/>
        </w:rPr>
        <w:t>purchased for the same policy period</w:t>
      </w:r>
      <w:r w:rsidRPr="00112487" w:rsidR="003F149D">
        <w:rPr>
          <w:szCs w:val="27"/>
        </w:rPr>
        <w:t> —</w:t>
      </w:r>
      <w:r w:rsidRPr="00112487" w:rsidR="001E3841">
        <w:rPr>
          <w:szCs w:val="27"/>
        </w:rPr>
        <w:t xml:space="preserve"> </w:t>
      </w:r>
      <w:r w:rsidRPr="00112487" w:rsidR="00EE693C">
        <w:rPr>
          <w:szCs w:val="27"/>
        </w:rPr>
        <w:t xml:space="preserve">applies equally in the context of excess policies that sit over primary insurance.  </w:t>
      </w:r>
      <w:r w:rsidRPr="00112487" w:rsidR="00A93612">
        <w:rPr>
          <w:szCs w:val="27"/>
        </w:rPr>
        <w:t xml:space="preserve">As discussed </w:t>
      </w:r>
      <w:r w:rsidRPr="00112487" w:rsidR="00197095">
        <w:rPr>
          <w:szCs w:val="27"/>
        </w:rPr>
        <w:t xml:space="preserve">in more detail </w:t>
      </w:r>
      <w:r w:rsidRPr="00112487" w:rsidR="00A93612">
        <w:rPr>
          <w:szCs w:val="27"/>
        </w:rPr>
        <w:t xml:space="preserve">below, we agree with Truck that the policy language at issue here </w:t>
      </w:r>
      <w:r w:rsidRPr="00112487" w:rsidR="00144986">
        <w:rPr>
          <w:szCs w:val="27"/>
        </w:rPr>
        <w:t xml:space="preserve">cannot be meaningfully distinguished from the policies that we addressed in </w:t>
      </w:r>
      <w:r w:rsidRPr="00112487" w:rsidR="00B62BB2">
        <w:rPr>
          <w:i/>
          <w:iCs/>
          <w:szCs w:val="27"/>
        </w:rPr>
        <w:t>Montrose III</w:t>
      </w:r>
      <w:r w:rsidRPr="00112487" w:rsidR="00144986">
        <w:rPr>
          <w:szCs w:val="27"/>
        </w:rPr>
        <w:t xml:space="preserve">.  </w:t>
      </w:r>
      <w:r w:rsidRPr="00112487" w:rsidR="00A93612">
        <w:rPr>
          <w:szCs w:val="27"/>
        </w:rPr>
        <w:t>We also agree that the qualitative distinctions between pr</w:t>
      </w:r>
      <w:r w:rsidRPr="00112487" w:rsidR="00144986">
        <w:rPr>
          <w:szCs w:val="27"/>
        </w:rPr>
        <w:t>imary and excess insurance</w:t>
      </w:r>
      <w:r w:rsidRPr="00112487" w:rsidR="00A93612">
        <w:rPr>
          <w:szCs w:val="27"/>
        </w:rPr>
        <w:t xml:space="preserve"> do no</w:t>
      </w:r>
      <w:r w:rsidR="00831570">
        <w:rPr>
          <w:szCs w:val="27"/>
        </w:rPr>
        <w:t>t</w:t>
      </w:r>
      <w:r w:rsidRPr="00112487" w:rsidR="00A93612">
        <w:rPr>
          <w:szCs w:val="27"/>
        </w:rPr>
        <w:t xml:space="preserve"> justify assigning an entirely different meaning to standardized</w:t>
      </w:r>
      <w:r w:rsidRPr="00112487" w:rsidR="00144986">
        <w:rPr>
          <w:szCs w:val="27"/>
        </w:rPr>
        <w:t xml:space="preserve"> “other insurance” clauses </w:t>
      </w:r>
      <w:r w:rsidRPr="00112487" w:rsidR="00197095">
        <w:rPr>
          <w:szCs w:val="27"/>
        </w:rPr>
        <w:t xml:space="preserve">merely because the excess policy </w:t>
      </w:r>
      <w:r w:rsidRPr="00112487" w:rsidR="00A93612">
        <w:rPr>
          <w:szCs w:val="27"/>
        </w:rPr>
        <w:t>sit</w:t>
      </w:r>
      <w:r w:rsidRPr="00112487" w:rsidR="00197095">
        <w:rPr>
          <w:szCs w:val="27"/>
        </w:rPr>
        <w:t>s</w:t>
      </w:r>
      <w:r w:rsidRPr="00112487" w:rsidR="00A93612">
        <w:rPr>
          <w:szCs w:val="27"/>
        </w:rPr>
        <w:t xml:space="preserve"> over primary insurance </w:t>
      </w:r>
      <w:r w:rsidRPr="00112487" w:rsidR="00197095">
        <w:rPr>
          <w:szCs w:val="27"/>
        </w:rPr>
        <w:t xml:space="preserve">rather than another </w:t>
      </w:r>
      <w:r w:rsidRPr="00112487" w:rsidR="00144986">
        <w:rPr>
          <w:szCs w:val="27"/>
        </w:rPr>
        <w:t xml:space="preserve">level </w:t>
      </w:r>
      <w:r w:rsidRPr="00112487" w:rsidR="00197095">
        <w:rPr>
          <w:szCs w:val="27"/>
        </w:rPr>
        <w:t xml:space="preserve">of </w:t>
      </w:r>
      <w:r w:rsidRPr="00112487" w:rsidR="00144986">
        <w:rPr>
          <w:szCs w:val="27"/>
        </w:rPr>
        <w:t xml:space="preserve">excess </w:t>
      </w:r>
      <w:r w:rsidRPr="00112487" w:rsidR="00197095">
        <w:rPr>
          <w:szCs w:val="27"/>
        </w:rPr>
        <w:t>insurance</w:t>
      </w:r>
      <w:r w:rsidRPr="00112487" w:rsidR="00144986">
        <w:rPr>
          <w:szCs w:val="27"/>
        </w:rPr>
        <w:t xml:space="preserve">. </w:t>
      </w:r>
    </w:p>
    <w:p w:rsidR="003C3EF2" w:rsidRPr="00112487" w:rsidP="00A25E48" w14:paraId="679C794C" w14:textId="77777777">
      <w:pPr>
        <w:ind w:firstLine="720"/>
        <w:rPr>
          <w:szCs w:val="27"/>
        </w:rPr>
      </w:pPr>
      <w:r w:rsidRPr="00112487">
        <w:rPr>
          <w:szCs w:val="27"/>
        </w:rPr>
        <w:t xml:space="preserve">The Court of Appeal </w:t>
      </w:r>
      <w:r w:rsidRPr="00112487" w:rsidR="001C1613">
        <w:rPr>
          <w:szCs w:val="27"/>
        </w:rPr>
        <w:t xml:space="preserve">made </w:t>
      </w:r>
      <w:r w:rsidRPr="00112487">
        <w:rPr>
          <w:szCs w:val="27"/>
        </w:rPr>
        <w:t xml:space="preserve">no attempt to </w:t>
      </w:r>
      <w:r w:rsidRPr="00112487" w:rsidR="00C924BB">
        <w:rPr>
          <w:szCs w:val="27"/>
        </w:rPr>
        <w:t xml:space="preserve">differentiate </w:t>
      </w:r>
      <w:r w:rsidRPr="00112487" w:rsidR="0011238C">
        <w:rPr>
          <w:szCs w:val="27"/>
        </w:rPr>
        <w:t xml:space="preserve">the </w:t>
      </w:r>
      <w:r w:rsidRPr="00112487" w:rsidR="007003E7">
        <w:rPr>
          <w:szCs w:val="27"/>
        </w:rPr>
        <w:t xml:space="preserve">text </w:t>
      </w:r>
      <w:r w:rsidRPr="00112487" w:rsidR="0011238C">
        <w:rPr>
          <w:szCs w:val="27"/>
        </w:rPr>
        <w:t xml:space="preserve">of the “other insurance” provisions at issue here and those </w:t>
      </w:r>
      <w:r w:rsidRPr="00112487" w:rsidR="007003E7">
        <w:rPr>
          <w:szCs w:val="27"/>
        </w:rPr>
        <w:t xml:space="preserve">at issue </w:t>
      </w:r>
      <w:r w:rsidRPr="00112487" w:rsidR="0011238C">
        <w:rPr>
          <w:szCs w:val="27"/>
        </w:rPr>
        <w:t xml:space="preserve">in </w:t>
      </w:r>
      <w:r w:rsidRPr="00112487" w:rsidR="00B62BB2">
        <w:rPr>
          <w:i/>
          <w:iCs/>
          <w:szCs w:val="27"/>
        </w:rPr>
        <w:t>Montrose III</w:t>
      </w:r>
      <w:r w:rsidRPr="00112487" w:rsidR="0011238C">
        <w:rPr>
          <w:szCs w:val="27"/>
        </w:rPr>
        <w:t xml:space="preserve">.  </w:t>
      </w:r>
      <w:r w:rsidRPr="00112487">
        <w:rPr>
          <w:szCs w:val="27"/>
        </w:rPr>
        <w:t xml:space="preserve">Nor have the excess insurers attempted to do so in their briefing.  That is not </w:t>
      </w:r>
      <w:r w:rsidRPr="00112487" w:rsidR="004F1185">
        <w:rPr>
          <w:szCs w:val="27"/>
        </w:rPr>
        <w:t xml:space="preserve">particularly </w:t>
      </w:r>
      <w:r w:rsidRPr="00112487">
        <w:rPr>
          <w:szCs w:val="27"/>
        </w:rPr>
        <w:t xml:space="preserve">surprising given that the provisions are </w:t>
      </w:r>
      <w:r w:rsidRPr="00112487" w:rsidR="006808A5">
        <w:rPr>
          <w:szCs w:val="27"/>
        </w:rPr>
        <w:t xml:space="preserve">substantially </w:t>
      </w:r>
      <w:r w:rsidRPr="00112487" w:rsidR="00F329EA">
        <w:rPr>
          <w:szCs w:val="27"/>
        </w:rPr>
        <w:t>identical</w:t>
      </w:r>
      <w:r w:rsidRPr="00112487" w:rsidR="003F149D">
        <w:rPr>
          <w:szCs w:val="27"/>
        </w:rPr>
        <w:t xml:space="preserve">, and </w:t>
      </w:r>
      <w:r w:rsidRPr="00112487" w:rsidR="00E92C38">
        <w:rPr>
          <w:szCs w:val="27"/>
        </w:rPr>
        <w:t xml:space="preserve">in </w:t>
      </w:r>
      <w:r w:rsidRPr="00112487" w:rsidR="003F149D">
        <w:rPr>
          <w:szCs w:val="27"/>
        </w:rPr>
        <w:t xml:space="preserve">several </w:t>
      </w:r>
      <w:r w:rsidRPr="00112487" w:rsidR="00E92C38">
        <w:rPr>
          <w:szCs w:val="27"/>
        </w:rPr>
        <w:t xml:space="preserve">formulations </w:t>
      </w:r>
      <w:r w:rsidRPr="00112487" w:rsidR="00E92C38">
        <w:rPr>
          <w:i/>
          <w:iCs/>
          <w:szCs w:val="27"/>
        </w:rPr>
        <w:t>exactly identical</w:t>
      </w:r>
      <w:r w:rsidRPr="00112487">
        <w:rPr>
          <w:szCs w:val="27"/>
        </w:rPr>
        <w:t>,</w:t>
      </w:r>
      <w:r>
        <w:rPr>
          <w:rStyle w:val="FootnoteReference"/>
          <w:szCs w:val="27"/>
        </w:rPr>
        <w:footnoteReference w:id="11"/>
      </w:r>
      <w:r w:rsidRPr="00112487">
        <w:rPr>
          <w:szCs w:val="27"/>
        </w:rPr>
        <w:t xml:space="preserve"> </w:t>
      </w:r>
      <w:r w:rsidRPr="00112487" w:rsidR="006808A5">
        <w:rPr>
          <w:szCs w:val="27"/>
        </w:rPr>
        <w:t xml:space="preserve">each </w:t>
      </w:r>
      <w:r w:rsidRPr="00112487">
        <w:rPr>
          <w:szCs w:val="27"/>
        </w:rPr>
        <w:t>providing in various ways</w:t>
      </w:r>
      <w:r w:rsidRPr="00112487" w:rsidR="00F329EA">
        <w:rPr>
          <w:szCs w:val="27"/>
        </w:rPr>
        <w:t xml:space="preserve"> that</w:t>
      </w:r>
      <w:r w:rsidRPr="00112487">
        <w:rPr>
          <w:szCs w:val="27"/>
        </w:rPr>
        <w:t xml:space="preserve"> </w:t>
      </w:r>
      <w:r w:rsidRPr="00112487" w:rsidR="006808A5">
        <w:rPr>
          <w:szCs w:val="27"/>
        </w:rPr>
        <w:t xml:space="preserve">the </w:t>
      </w:r>
      <w:r w:rsidRPr="00112487" w:rsidR="007003E7">
        <w:rPr>
          <w:szCs w:val="27"/>
        </w:rPr>
        <w:t xml:space="preserve">excess </w:t>
      </w:r>
      <w:r w:rsidRPr="00112487">
        <w:rPr>
          <w:szCs w:val="27"/>
        </w:rPr>
        <w:t>policy shall be excess to</w:t>
      </w:r>
      <w:r w:rsidRPr="00112487" w:rsidR="00F329EA">
        <w:rPr>
          <w:szCs w:val="27"/>
        </w:rPr>
        <w:t xml:space="preserve"> the underlying primary policy identified in the schedule of underlying insurance along with any</w:t>
      </w:r>
      <w:r w:rsidRPr="00112487">
        <w:rPr>
          <w:szCs w:val="27"/>
        </w:rPr>
        <w:t xml:space="preserve"> </w:t>
      </w:r>
      <w:r w:rsidRPr="00112487" w:rsidR="006808A5">
        <w:rPr>
          <w:szCs w:val="27"/>
        </w:rPr>
        <w:t>“</w:t>
      </w:r>
      <w:r w:rsidRPr="00112487">
        <w:rPr>
          <w:szCs w:val="27"/>
        </w:rPr>
        <w:t>other insurance</w:t>
      </w:r>
      <w:r w:rsidRPr="00112487" w:rsidR="006808A5">
        <w:rPr>
          <w:szCs w:val="27"/>
        </w:rPr>
        <w:t>” or “other underlying insurance”</w:t>
      </w:r>
      <w:r w:rsidRPr="00112487">
        <w:rPr>
          <w:szCs w:val="27"/>
        </w:rPr>
        <w:t xml:space="preserve"> available to the insured.</w:t>
      </w:r>
      <w:r w:rsidRPr="00112487" w:rsidR="006808A5">
        <w:rPr>
          <w:szCs w:val="27"/>
        </w:rPr>
        <w:t xml:space="preserve"> </w:t>
      </w:r>
      <w:r w:rsidRPr="00112487" w:rsidR="00197095">
        <w:rPr>
          <w:szCs w:val="27"/>
        </w:rPr>
        <w:t xml:space="preserve"> </w:t>
      </w:r>
      <w:r w:rsidRPr="00112487" w:rsidR="001C1613">
        <w:rPr>
          <w:szCs w:val="27"/>
        </w:rPr>
        <w:t xml:space="preserve">As in </w:t>
      </w:r>
      <w:r w:rsidRPr="00112487" w:rsidR="00B62BB2">
        <w:rPr>
          <w:i/>
          <w:iCs/>
          <w:szCs w:val="27"/>
        </w:rPr>
        <w:t>Montrose III</w:t>
      </w:r>
      <w:r w:rsidRPr="00112487" w:rsidR="001C1613">
        <w:rPr>
          <w:szCs w:val="27"/>
        </w:rPr>
        <w:t>, n</w:t>
      </w:r>
      <w:r w:rsidRPr="00112487" w:rsidR="005C5181">
        <w:rPr>
          <w:szCs w:val="27"/>
        </w:rPr>
        <w:t>one of the provisions explicit</w:t>
      </w:r>
      <w:r w:rsidRPr="00112487" w:rsidR="004F1185">
        <w:rPr>
          <w:szCs w:val="27"/>
        </w:rPr>
        <w:t>ly</w:t>
      </w:r>
      <w:r w:rsidRPr="00112487" w:rsidR="005C5181">
        <w:rPr>
          <w:szCs w:val="27"/>
        </w:rPr>
        <w:t xml:space="preserve"> reference </w:t>
      </w:r>
      <w:r w:rsidRPr="00112487" w:rsidR="00197095">
        <w:rPr>
          <w:szCs w:val="27"/>
        </w:rPr>
        <w:t>“</w:t>
      </w:r>
      <w:r w:rsidRPr="00112487" w:rsidR="005C5181">
        <w:rPr>
          <w:szCs w:val="27"/>
        </w:rPr>
        <w:t>other insurance</w:t>
      </w:r>
      <w:r w:rsidRPr="00112487" w:rsidR="00197095">
        <w:rPr>
          <w:szCs w:val="27"/>
        </w:rPr>
        <w:t>”</w:t>
      </w:r>
      <w:r w:rsidRPr="00112487" w:rsidR="005C5181">
        <w:rPr>
          <w:szCs w:val="27"/>
        </w:rPr>
        <w:t xml:space="preserve"> purchased </w:t>
      </w:r>
      <w:r w:rsidRPr="00112487" w:rsidR="005C5181">
        <w:rPr>
          <w:i/>
          <w:iCs/>
          <w:szCs w:val="27"/>
        </w:rPr>
        <w:t>for different policy periods</w:t>
      </w:r>
      <w:r w:rsidRPr="00112487" w:rsidR="006620C7">
        <w:rPr>
          <w:szCs w:val="27"/>
        </w:rPr>
        <w:t>.</w:t>
      </w:r>
    </w:p>
    <w:p w:rsidR="005C5181" w:rsidRPr="00112487" w:rsidP="00A25E48" w14:paraId="679C794D" w14:textId="77777777">
      <w:pPr>
        <w:ind w:firstLine="720"/>
        <w:rPr>
          <w:szCs w:val="27"/>
        </w:rPr>
      </w:pPr>
      <w:r w:rsidRPr="00112487">
        <w:rPr>
          <w:szCs w:val="27"/>
        </w:rPr>
        <w:t>Our</w:t>
      </w:r>
      <w:r w:rsidRPr="00112487" w:rsidR="004F1185">
        <w:rPr>
          <w:szCs w:val="27"/>
        </w:rPr>
        <w:t xml:space="preserve"> observation</w:t>
      </w:r>
      <w:r w:rsidRPr="00112487" w:rsidR="003F149D">
        <w:rPr>
          <w:szCs w:val="27"/>
        </w:rPr>
        <w:t xml:space="preserve">s in </w:t>
      </w:r>
      <w:r w:rsidRPr="00112487" w:rsidR="00B62BB2">
        <w:rPr>
          <w:i/>
          <w:iCs/>
          <w:szCs w:val="27"/>
        </w:rPr>
        <w:t>Montrose III</w:t>
      </w:r>
      <w:r w:rsidRPr="00112487" w:rsidR="004F1185">
        <w:rPr>
          <w:szCs w:val="27"/>
        </w:rPr>
        <w:t xml:space="preserve"> </w:t>
      </w:r>
      <w:r w:rsidRPr="00112487" w:rsidR="003F149D">
        <w:rPr>
          <w:szCs w:val="27"/>
        </w:rPr>
        <w:t xml:space="preserve">regarding the </w:t>
      </w:r>
      <w:r w:rsidRPr="00112487" w:rsidR="00EA42E9">
        <w:rPr>
          <w:szCs w:val="27"/>
        </w:rPr>
        <w:t xml:space="preserve">historical </w:t>
      </w:r>
      <w:r w:rsidRPr="00112487" w:rsidR="003F149D">
        <w:rPr>
          <w:szCs w:val="27"/>
        </w:rPr>
        <w:t xml:space="preserve">use of </w:t>
      </w:r>
      <w:r w:rsidRPr="00112487" w:rsidR="004F1185">
        <w:rPr>
          <w:szCs w:val="27"/>
        </w:rPr>
        <w:t xml:space="preserve">“other insurance” provisions </w:t>
      </w:r>
      <w:r w:rsidRPr="00112487">
        <w:rPr>
          <w:szCs w:val="27"/>
        </w:rPr>
        <w:t>also weigh against the excess insurers</w:t>
      </w:r>
      <w:r w:rsidRPr="00112487" w:rsidR="00927E55">
        <w:rPr>
          <w:szCs w:val="27"/>
        </w:rPr>
        <w:t>’</w:t>
      </w:r>
      <w:r w:rsidRPr="00112487">
        <w:rPr>
          <w:szCs w:val="27"/>
        </w:rPr>
        <w:t xml:space="preserve"> contention that such language is most reasonably interpreted as requiring </w:t>
      </w:r>
      <w:r w:rsidRPr="00112487" w:rsidR="004F299B">
        <w:rPr>
          <w:szCs w:val="27"/>
        </w:rPr>
        <w:t xml:space="preserve">the insured to exhaust primary insurance that was issued during </w:t>
      </w:r>
      <w:r w:rsidRPr="00112487" w:rsidR="00835ACA">
        <w:rPr>
          <w:szCs w:val="27"/>
        </w:rPr>
        <w:t>precedent or succ</w:t>
      </w:r>
      <w:r w:rsidR="00AF5881">
        <w:rPr>
          <w:szCs w:val="27"/>
        </w:rPr>
        <w:t>e</w:t>
      </w:r>
      <w:r w:rsidRPr="00112487" w:rsidR="00835ACA">
        <w:rPr>
          <w:szCs w:val="27"/>
        </w:rPr>
        <w:t>ssive policy periods of a continuous injury</w:t>
      </w:r>
      <w:r w:rsidRPr="00112487" w:rsidR="004C6F0F">
        <w:rPr>
          <w:szCs w:val="27"/>
        </w:rPr>
        <w:t xml:space="preserve">.  </w:t>
      </w:r>
      <w:r w:rsidRPr="00112487">
        <w:rPr>
          <w:szCs w:val="27"/>
        </w:rPr>
        <w:t xml:space="preserve">As we explained </w:t>
      </w:r>
      <w:r w:rsidRPr="00112487" w:rsidR="00197095">
        <w:rPr>
          <w:szCs w:val="27"/>
        </w:rPr>
        <w:t xml:space="preserve">there, such </w:t>
      </w:r>
      <w:r w:rsidRPr="00112487" w:rsidR="004C6F0F">
        <w:rPr>
          <w:szCs w:val="27"/>
        </w:rPr>
        <w:t xml:space="preserve">provisions </w:t>
      </w:r>
      <w:r w:rsidRPr="00112487" w:rsidR="004F1185">
        <w:rPr>
          <w:szCs w:val="27"/>
        </w:rPr>
        <w:t>have</w:t>
      </w:r>
      <w:r w:rsidRPr="00112487" w:rsidR="003531B9">
        <w:rPr>
          <w:szCs w:val="27"/>
        </w:rPr>
        <w:t xml:space="preserve"> historically been understood as </w:t>
      </w:r>
      <w:r w:rsidRPr="00112487" w:rsidR="00EA42E9">
        <w:rPr>
          <w:szCs w:val="27"/>
        </w:rPr>
        <w:t xml:space="preserve">referring </w:t>
      </w:r>
      <w:r w:rsidRPr="00112487" w:rsidR="00314069">
        <w:rPr>
          <w:szCs w:val="27"/>
        </w:rPr>
        <w:t xml:space="preserve">only </w:t>
      </w:r>
      <w:r w:rsidRPr="00112487" w:rsidR="00EA42E9">
        <w:rPr>
          <w:szCs w:val="27"/>
        </w:rPr>
        <w:t xml:space="preserve">to “other insurance” that </w:t>
      </w:r>
      <w:r w:rsidRPr="00112487" w:rsidR="00EA42E9">
        <w:rPr>
          <w:i/>
          <w:iCs/>
          <w:szCs w:val="27"/>
        </w:rPr>
        <w:t>was issued for the same policy period</w:t>
      </w:r>
      <w:r w:rsidRPr="00112487" w:rsidR="00EA42E9">
        <w:rPr>
          <w:szCs w:val="27"/>
        </w:rPr>
        <w:t xml:space="preserve">, </w:t>
      </w:r>
      <w:r w:rsidRPr="00112487" w:rsidR="00314069">
        <w:rPr>
          <w:szCs w:val="27"/>
        </w:rPr>
        <w:t>n</w:t>
      </w:r>
      <w:r w:rsidRPr="00112487" w:rsidR="00EA42E9">
        <w:rPr>
          <w:szCs w:val="27"/>
        </w:rPr>
        <w:t>ot</w:t>
      </w:r>
      <w:r w:rsidRPr="00112487" w:rsidR="00314069">
        <w:rPr>
          <w:szCs w:val="27"/>
        </w:rPr>
        <w:t xml:space="preserve"> (as </w:t>
      </w:r>
      <w:r w:rsidR="00EA429C">
        <w:rPr>
          <w:szCs w:val="27"/>
        </w:rPr>
        <w:t>the excess insurers</w:t>
      </w:r>
      <w:r w:rsidRPr="00112487" w:rsidR="00314069">
        <w:rPr>
          <w:szCs w:val="27"/>
        </w:rPr>
        <w:t xml:space="preserve"> suggest) other insurance </w:t>
      </w:r>
      <w:r w:rsidRPr="00112487" w:rsidR="00835ACA">
        <w:rPr>
          <w:szCs w:val="27"/>
        </w:rPr>
        <w:t>issued</w:t>
      </w:r>
      <w:r w:rsidRPr="00112487" w:rsidR="00314069">
        <w:rPr>
          <w:szCs w:val="27"/>
        </w:rPr>
        <w:t xml:space="preserve"> “</w:t>
      </w:r>
      <w:r w:rsidRPr="00112487">
        <w:rPr>
          <w:i/>
          <w:iCs/>
          <w:szCs w:val="27"/>
        </w:rPr>
        <w:t>for different policy periods</w:t>
      </w:r>
      <w:r w:rsidRPr="00112487">
        <w:rPr>
          <w:szCs w:val="27"/>
        </w:rPr>
        <w:t>.”  (</w:t>
      </w:r>
      <w:r w:rsidRPr="00112487" w:rsidR="00B62BB2">
        <w:rPr>
          <w:i/>
          <w:iCs/>
          <w:szCs w:val="27"/>
        </w:rPr>
        <w:t>Montrose III</w:t>
      </w:r>
      <w:r w:rsidRPr="00112487" w:rsidR="000C7849">
        <w:rPr>
          <w:szCs w:val="27"/>
        </w:rPr>
        <w:t>,</w:t>
      </w:r>
      <w:r w:rsidRPr="00112487" w:rsidR="00314069">
        <w:rPr>
          <w:i/>
          <w:iCs/>
          <w:szCs w:val="27"/>
        </w:rPr>
        <w:t xml:space="preserve"> supra</w:t>
      </w:r>
      <w:r w:rsidRPr="00112487" w:rsidR="00314069">
        <w:rPr>
          <w:szCs w:val="27"/>
        </w:rPr>
        <w:t>,</w:t>
      </w:r>
      <w:r w:rsidRPr="00112487" w:rsidR="00314069">
        <w:rPr>
          <w:i/>
          <w:iCs/>
          <w:szCs w:val="27"/>
        </w:rPr>
        <w:t xml:space="preserve"> </w:t>
      </w:r>
      <w:r w:rsidRPr="00112487" w:rsidR="00314069">
        <w:rPr>
          <w:szCs w:val="27"/>
        </w:rPr>
        <w:t xml:space="preserve">9 Cal.5th at </w:t>
      </w:r>
      <w:r w:rsidRPr="00112487">
        <w:rPr>
          <w:szCs w:val="27"/>
        </w:rPr>
        <w:t>p. 23</w:t>
      </w:r>
      <w:r w:rsidR="00C059E2">
        <w:rPr>
          <w:szCs w:val="27"/>
        </w:rPr>
        <w:t>0</w:t>
      </w:r>
      <w:r w:rsidRPr="00112487" w:rsidR="00191F78">
        <w:rPr>
          <w:szCs w:val="27"/>
        </w:rPr>
        <w:t xml:space="preserve">; see </w:t>
      </w:r>
      <w:r w:rsidRPr="00112487" w:rsidR="00191F78">
        <w:rPr>
          <w:i/>
          <w:iCs/>
          <w:szCs w:val="27"/>
        </w:rPr>
        <w:t>id</w:t>
      </w:r>
      <w:r w:rsidRPr="00112487" w:rsidR="00191F78">
        <w:rPr>
          <w:szCs w:val="27"/>
        </w:rPr>
        <w:t>. at p. 234.)</w:t>
      </w:r>
      <w:r w:rsidRPr="00112487">
        <w:rPr>
          <w:szCs w:val="27"/>
        </w:rPr>
        <w:t xml:space="preserve"> </w:t>
      </w:r>
      <w:r w:rsidRPr="00112487" w:rsidR="00F964B5">
        <w:rPr>
          <w:szCs w:val="27"/>
        </w:rPr>
        <w:t xml:space="preserve"> </w:t>
      </w:r>
      <w:r w:rsidRPr="00112487" w:rsidR="00EA08AF">
        <w:rPr>
          <w:szCs w:val="27"/>
        </w:rPr>
        <w:t>Indeed</w:t>
      </w:r>
      <w:r w:rsidRPr="00112487" w:rsidR="00F964B5">
        <w:rPr>
          <w:szCs w:val="27"/>
        </w:rPr>
        <w:t xml:space="preserve">, as </w:t>
      </w:r>
      <w:r w:rsidRPr="00112487" w:rsidR="00B62BB2">
        <w:rPr>
          <w:i/>
          <w:iCs/>
          <w:szCs w:val="27"/>
        </w:rPr>
        <w:t>Montrose III</w:t>
      </w:r>
      <w:r w:rsidRPr="00112487" w:rsidR="00197095">
        <w:rPr>
          <w:szCs w:val="27"/>
        </w:rPr>
        <w:t xml:space="preserve"> </w:t>
      </w:r>
      <w:r w:rsidRPr="00112487" w:rsidR="00EA08AF">
        <w:rPr>
          <w:szCs w:val="27"/>
        </w:rPr>
        <w:t xml:space="preserve">noted and we </w:t>
      </w:r>
      <w:r w:rsidRPr="00112487" w:rsidR="00197095">
        <w:rPr>
          <w:szCs w:val="27"/>
        </w:rPr>
        <w:t>reiterate here</w:t>
      </w:r>
      <w:r w:rsidRPr="00112487" w:rsidR="00F964B5">
        <w:rPr>
          <w:szCs w:val="27"/>
        </w:rPr>
        <w:t xml:space="preserve">, most jurisdictions that have addressed </w:t>
      </w:r>
      <w:r w:rsidRPr="00112487" w:rsidR="00197095">
        <w:rPr>
          <w:szCs w:val="27"/>
        </w:rPr>
        <w:t xml:space="preserve">analogous arguments </w:t>
      </w:r>
      <w:r w:rsidRPr="00112487" w:rsidR="00F964B5">
        <w:rPr>
          <w:szCs w:val="27"/>
        </w:rPr>
        <w:t>have concluded that “</w:t>
      </w:r>
      <w:r w:rsidRPr="00112487" w:rsidR="00EA08AF">
        <w:rPr>
          <w:szCs w:val="27"/>
        </w:rPr>
        <w:t> ‘</w:t>
      </w:r>
      <w:r w:rsidRPr="00112487" w:rsidR="00F964B5">
        <w:rPr>
          <w:szCs w:val="27"/>
        </w:rPr>
        <w:t>other insurance</w:t>
      </w:r>
      <w:r w:rsidRPr="00112487" w:rsidR="00EA08AF">
        <w:rPr>
          <w:szCs w:val="27"/>
        </w:rPr>
        <w:t>’</w:t>
      </w:r>
      <w:r w:rsidRPr="00112487" w:rsidR="00F964B5">
        <w:rPr>
          <w:szCs w:val="27"/>
        </w:rPr>
        <w:t xml:space="preserve"> clauses” do not mandate horizontal exhaustion</w:t>
      </w:r>
      <w:r w:rsidRPr="00112487" w:rsidR="00D26122">
        <w:rPr>
          <w:szCs w:val="27"/>
        </w:rPr>
        <w:t xml:space="preserve"> nor are they otherwise relevant to policies issued during </w:t>
      </w:r>
      <w:r w:rsidRPr="00112487" w:rsidR="00191F78">
        <w:rPr>
          <w:szCs w:val="27"/>
        </w:rPr>
        <w:t>different</w:t>
      </w:r>
      <w:r w:rsidRPr="00112487" w:rsidR="00D26122">
        <w:rPr>
          <w:szCs w:val="27"/>
        </w:rPr>
        <w:t xml:space="preserve"> periods of coverage</w:t>
      </w:r>
      <w:r w:rsidRPr="00112487" w:rsidR="00F964B5">
        <w:rPr>
          <w:szCs w:val="27"/>
        </w:rPr>
        <w:t>.</w:t>
      </w:r>
      <w:r w:rsidRPr="00112487" w:rsidR="00EA08AF">
        <w:rPr>
          <w:szCs w:val="27"/>
        </w:rPr>
        <w:t xml:space="preserve">  (</w:t>
      </w:r>
      <w:r w:rsidRPr="00112487" w:rsidR="00EA08AF">
        <w:rPr>
          <w:i/>
          <w:iCs/>
          <w:szCs w:val="27"/>
        </w:rPr>
        <w:t>Id</w:t>
      </w:r>
      <w:r w:rsidRPr="00112487" w:rsidR="00EA08AF">
        <w:rPr>
          <w:szCs w:val="27"/>
        </w:rPr>
        <w:t>. at pp. 2</w:t>
      </w:r>
      <w:r w:rsidRPr="00112487" w:rsidR="008A10A4">
        <w:rPr>
          <w:szCs w:val="27"/>
        </w:rPr>
        <w:t>3</w:t>
      </w:r>
      <w:r w:rsidRPr="00112487" w:rsidR="00EA08AF">
        <w:rPr>
          <w:szCs w:val="27"/>
        </w:rPr>
        <w:t>2–23</w:t>
      </w:r>
      <w:r w:rsidRPr="00112487" w:rsidR="008A10A4">
        <w:rPr>
          <w:szCs w:val="27"/>
        </w:rPr>
        <w:t>3</w:t>
      </w:r>
      <w:r w:rsidRPr="00112487" w:rsidR="00EA08AF">
        <w:rPr>
          <w:szCs w:val="27"/>
        </w:rPr>
        <w:t>.)</w:t>
      </w:r>
      <w:r w:rsidRPr="00112487" w:rsidR="00F964B5">
        <w:rPr>
          <w:szCs w:val="27"/>
        </w:rPr>
        <w:t xml:space="preserve"> </w:t>
      </w:r>
      <w:r w:rsidRPr="00112487" w:rsidR="00D26122">
        <w:rPr>
          <w:szCs w:val="27"/>
        </w:rPr>
        <w:t xml:space="preserve"> </w:t>
      </w:r>
      <w:r w:rsidRPr="00112487" w:rsidR="009E589A">
        <w:rPr>
          <w:szCs w:val="27"/>
        </w:rPr>
        <w:t>The Restatement of Liability Insurance likewise explains that “</w:t>
      </w:r>
      <w:r w:rsidR="00E97A9B">
        <w:rPr>
          <w:szCs w:val="27"/>
        </w:rPr>
        <w:t> ‘ “</w:t>
      </w:r>
      <w:r w:rsidRPr="00112487" w:rsidR="009E589A">
        <w:rPr>
          <w:szCs w:val="27"/>
        </w:rPr>
        <w:t>other insurance”</w:t>
      </w:r>
      <w:r w:rsidR="00E97A9B">
        <w:rPr>
          <w:szCs w:val="27"/>
        </w:rPr>
        <w:t> ’</w:t>
      </w:r>
      <w:r w:rsidRPr="00112487" w:rsidR="009E589A">
        <w:rPr>
          <w:szCs w:val="27"/>
        </w:rPr>
        <w:t xml:space="preserve"> clauses have generally been used to address ‘[a]llocation questions with respect to overlapping</w:t>
      </w:r>
      <w:r w:rsidRPr="00112487" w:rsidR="009E589A">
        <w:rPr>
          <w:i/>
          <w:iCs/>
          <w:szCs w:val="27"/>
        </w:rPr>
        <w:t xml:space="preserve"> concurrent policies</w:t>
      </w:r>
      <w:r w:rsidRPr="00112487" w:rsidR="009E589A">
        <w:rPr>
          <w:szCs w:val="27"/>
        </w:rPr>
        <w:t>.’</w:t>
      </w:r>
      <w:r w:rsidRPr="00112487" w:rsidR="000D1BA5">
        <w:rPr>
          <w:szCs w:val="27"/>
        </w:rPr>
        <w:t xml:space="preserve"> ”  </w:t>
      </w:r>
      <w:r w:rsidRPr="00112487" w:rsidR="009E589A">
        <w:rPr>
          <w:szCs w:val="27"/>
        </w:rPr>
        <w:t>(</w:t>
      </w:r>
      <w:r w:rsidRPr="00112487" w:rsidR="00B62BB2">
        <w:rPr>
          <w:i/>
          <w:iCs/>
          <w:szCs w:val="27"/>
        </w:rPr>
        <w:t>Montrose III</w:t>
      </w:r>
      <w:r w:rsidRPr="00112487" w:rsidR="009E589A">
        <w:rPr>
          <w:i/>
          <w:iCs/>
          <w:szCs w:val="27"/>
        </w:rPr>
        <w:t xml:space="preserve">, </w:t>
      </w:r>
      <w:r w:rsidRPr="00112487" w:rsidR="009E589A">
        <w:rPr>
          <w:szCs w:val="27"/>
        </w:rPr>
        <w:t>at p. 232, quoting Rest., Liability Insurance, § 40, com. c, p.</w:t>
      </w:r>
      <w:r w:rsidRPr="00112487" w:rsidR="00A37E78">
        <w:rPr>
          <w:szCs w:val="27"/>
        </w:rPr>
        <w:t> </w:t>
      </w:r>
      <w:r w:rsidRPr="00112487" w:rsidR="009E589A">
        <w:rPr>
          <w:szCs w:val="27"/>
        </w:rPr>
        <w:t xml:space="preserve">345.)  </w:t>
      </w:r>
      <w:r w:rsidRPr="00112487" w:rsidR="00F964B5">
        <w:rPr>
          <w:szCs w:val="27"/>
        </w:rPr>
        <w:t>T</w:t>
      </w:r>
      <w:r w:rsidRPr="00112487" w:rsidR="00A026B3">
        <w:rPr>
          <w:szCs w:val="27"/>
        </w:rPr>
        <w:t>he excess insurers have presented no argument</w:t>
      </w:r>
      <w:r w:rsidRPr="00112487" w:rsidR="00F964B5">
        <w:rPr>
          <w:szCs w:val="27"/>
        </w:rPr>
        <w:t xml:space="preserve"> as to</w:t>
      </w:r>
      <w:r w:rsidRPr="00112487" w:rsidR="00A026B3">
        <w:rPr>
          <w:szCs w:val="27"/>
        </w:rPr>
        <w:t xml:space="preserve"> why </w:t>
      </w:r>
      <w:r w:rsidRPr="00112487" w:rsidR="00F964B5">
        <w:rPr>
          <w:szCs w:val="27"/>
        </w:rPr>
        <w:t>the historical understanding of “other insurance” clauses</w:t>
      </w:r>
      <w:r w:rsidRPr="00112487" w:rsidR="004F299B">
        <w:rPr>
          <w:szCs w:val="27"/>
        </w:rPr>
        <w:t xml:space="preserve">, which </w:t>
      </w:r>
      <w:r w:rsidRPr="00112487" w:rsidR="00D26122">
        <w:rPr>
          <w:szCs w:val="27"/>
        </w:rPr>
        <w:t xml:space="preserve">is </w:t>
      </w:r>
      <w:r w:rsidRPr="00112487" w:rsidR="004F299B">
        <w:rPr>
          <w:szCs w:val="27"/>
        </w:rPr>
        <w:t>generally</w:t>
      </w:r>
      <w:r w:rsidRPr="00112487" w:rsidR="00D26122">
        <w:rPr>
          <w:szCs w:val="27"/>
        </w:rPr>
        <w:t xml:space="preserve"> supportive of </w:t>
      </w:r>
      <w:r w:rsidRPr="00112487" w:rsidR="004F299B">
        <w:rPr>
          <w:szCs w:val="27"/>
        </w:rPr>
        <w:t>vertical rather than horizontal exhaustion</w:t>
      </w:r>
      <w:r w:rsidRPr="00112487" w:rsidR="00A575A3">
        <w:rPr>
          <w:szCs w:val="27"/>
        </w:rPr>
        <w:t>,</w:t>
      </w:r>
      <w:r w:rsidRPr="00112487" w:rsidR="00F964B5">
        <w:rPr>
          <w:szCs w:val="27"/>
        </w:rPr>
        <w:t xml:space="preserve"> is in</w:t>
      </w:r>
      <w:r w:rsidRPr="00112487" w:rsidR="00A026B3">
        <w:rPr>
          <w:szCs w:val="27"/>
        </w:rPr>
        <w:t xml:space="preserve">applicable when </w:t>
      </w:r>
      <w:r w:rsidRPr="00112487" w:rsidR="00D3674A">
        <w:rPr>
          <w:szCs w:val="27"/>
        </w:rPr>
        <w:t>t</w:t>
      </w:r>
      <w:r w:rsidRPr="00112487" w:rsidR="004F1185">
        <w:rPr>
          <w:szCs w:val="27"/>
        </w:rPr>
        <w:t xml:space="preserve">he excess </w:t>
      </w:r>
      <w:r w:rsidRPr="00112487" w:rsidR="00D3674A">
        <w:rPr>
          <w:szCs w:val="27"/>
        </w:rPr>
        <w:t xml:space="preserve">policy </w:t>
      </w:r>
      <w:r w:rsidRPr="00112487" w:rsidR="004F1185">
        <w:rPr>
          <w:szCs w:val="27"/>
        </w:rPr>
        <w:t xml:space="preserve">sits over a primary policy. </w:t>
      </w:r>
    </w:p>
    <w:p w:rsidR="004409FD" w:rsidRPr="00112487" w:rsidP="00A25E48" w14:paraId="679C794E" w14:textId="77777777">
      <w:pPr>
        <w:ind w:firstLine="720"/>
        <w:rPr>
          <w:szCs w:val="27"/>
        </w:rPr>
      </w:pPr>
      <w:r w:rsidRPr="00112487">
        <w:rPr>
          <w:szCs w:val="27"/>
        </w:rPr>
        <w:t xml:space="preserve">The first-level excess policies also share the </w:t>
      </w:r>
      <w:r w:rsidRPr="00112487" w:rsidR="009E41C1">
        <w:rPr>
          <w:szCs w:val="27"/>
        </w:rPr>
        <w:t xml:space="preserve">same </w:t>
      </w:r>
      <w:r w:rsidRPr="00112487" w:rsidR="003531B9">
        <w:rPr>
          <w:szCs w:val="27"/>
        </w:rPr>
        <w:t xml:space="preserve">general </w:t>
      </w:r>
      <w:r w:rsidRPr="00112487">
        <w:rPr>
          <w:szCs w:val="27"/>
        </w:rPr>
        <w:t xml:space="preserve">characteristics that we found </w:t>
      </w:r>
      <w:r w:rsidRPr="00112487" w:rsidR="009E41C1">
        <w:rPr>
          <w:szCs w:val="27"/>
        </w:rPr>
        <w:t xml:space="preserve">in </w:t>
      </w:r>
      <w:r w:rsidRPr="00112487" w:rsidR="00B62BB2">
        <w:rPr>
          <w:i/>
          <w:iCs/>
          <w:szCs w:val="27"/>
        </w:rPr>
        <w:t>Montrose III</w:t>
      </w:r>
      <w:r w:rsidRPr="00112487" w:rsidR="009E41C1">
        <w:rPr>
          <w:szCs w:val="27"/>
        </w:rPr>
        <w:t xml:space="preserve"> </w:t>
      </w:r>
      <w:r w:rsidRPr="00112487" w:rsidR="008621E2">
        <w:rPr>
          <w:szCs w:val="27"/>
        </w:rPr>
        <w:t xml:space="preserve">to be </w:t>
      </w:r>
      <w:r w:rsidRPr="00112487">
        <w:rPr>
          <w:szCs w:val="27"/>
        </w:rPr>
        <w:t xml:space="preserve">“strongly suggest[ive]” of requiring </w:t>
      </w:r>
      <w:r w:rsidRPr="00112487" w:rsidR="00EA08AF">
        <w:rPr>
          <w:szCs w:val="27"/>
        </w:rPr>
        <w:t xml:space="preserve">only </w:t>
      </w:r>
      <w:r w:rsidRPr="00112487">
        <w:rPr>
          <w:szCs w:val="27"/>
        </w:rPr>
        <w:t xml:space="preserve">vertical, </w:t>
      </w:r>
      <w:r w:rsidRPr="00112487" w:rsidR="00EA08AF">
        <w:rPr>
          <w:szCs w:val="27"/>
        </w:rPr>
        <w:t>not</w:t>
      </w:r>
      <w:r w:rsidRPr="00112487">
        <w:rPr>
          <w:szCs w:val="27"/>
        </w:rPr>
        <w:t xml:space="preserve"> horizontal exhaustion.  </w:t>
      </w:r>
      <w:r w:rsidRPr="00112487" w:rsidR="008621E2">
        <w:rPr>
          <w:szCs w:val="27"/>
        </w:rPr>
        <w:t>(</w:t>
      </w:r>
      <w:r w:rsidRPr="00112487" w:rsidR="00B62BB2">
        <w:rPr>
          <w:i/>
          <w:iCs/>
          <w:szCs w:val="27"/>
        </w:rPr>
        <w:t>Montrose III</w:t>
      </w:r>
      <w:r w:rsidRPr="00112487" w:rsidR="008621E2">
        <w:rPr>
          <w:szCs w:val="27"/>
        </w:rPr>
        <w:t xml:space="preserve">, </w:t>
      </w:r>
      <w:r w:rsidRPr="00112487" w:rsidR="008621E2">
        <w:rPr>
          <w:i/>
          <w:iCs/>
          <w:szCs w:val="27"/>
        </w:rPr>
        <w:t>supra</w:t>
      </w:r>
      <w:r w:rsidRPr="00112487" w:rsidR="008621E2">
        <w:rPr>
          <w:szCs w:val="27"/>
        </w:rPr>
        <w:t>, 9</w:t>
      </w:r>
      <w:r w:rsidRPr="00112487" w:rsidR="009E41C1">
        <w:rPr>
          <w:szCs w:val="27"/>
        </w:rPr>
        <w:t> </w:t>
      </w:r>
      <w:r w:rsidRPr="00112487" w:rsidR="008621E2">
        <w:rPr>
          <w:szCs w:val="27"/>
        </w:rPr>
        <w:t>Cal.5th at p. 23</w:t>
      </w:r>
      <w:r w:rsidR="00C059E2">
        <w:rPr>
          <w:szCs w:val="27"/>
        </w:rPr>
        <w:t>3</w:t>
      </w:r>
      <w:r w:rsidRPr="00112487" w:rsidR="008621E2">
        <w:rPr>
          <w:szCs w:val="27"/>
        </w:rPr>
        <w:t xml:space="preserve">.)  </w:t>
      </w:r>
      <w:r w:rsidRPr="00112487">
        <w:rPr>
          <w:szCs w:val="27"/>
        </w:rPr>
        <w:t>For example, the excess policies “include or reference schedules of underlying insurance — all for the same policy period.”  (</w:t>
      </w:r>
      <w:r w:rsidRPr="00112487" w:rsidR="008621E2">
        <w:rPr>
          <w:i/>
          <w:iCs/>
          <w:szCs w:val="27"/>
        </w:rPr>
        <w:t>Id</w:t>
      </w:r>
      <w:r w:rsidRPr="00112487">
        <w:rPr>
          <w:szCs w:val="27"/>
        </w:rPr>
        <w:t>.</w:t>
      </w:r>
      <w:r w:rsidR="00B101AA">
        <w:rPr>
          <w:szCs w:val="27"/>
        </w:rPr>
        <w:t xml:space="preserve"> at p. 234.</w:t>
      </w:r>
      <w:r w:rsidRPr="00112487">
        <w:rPr>
          <w:szCs w:val="27"/>
        </w:rPr>
        <w:t>)</w:t>
      </w:r>
      <w:r w:rsidRPr="00112487" w:rsidR="00DB67C1">
        <w:rPr>
          <w:szCs w:val="27"/>
        </w:rPr>
        <w:t xml:space="preserve">  Indeed, every single policy at issue in this case describes its attachment point by directly referencing primary insurance that was issued for the same policy period.  As in </w:t>
      </w:r>
      <w:r w:rsidRPr="00112487" w:rsidR="00B62BB2">
        <w:rPr>
          <w:i/>
          <w:iCs/>
          <w:szCs w:val="27"/>
        </w:rPr>
        <w:t>Montrose III</w:t>
      </w:r>
      <w:r w:rsidRPr="00112487" w:rsidR="00DB67C1">
        <w:rPr>
          <w:szCs w:val="27"/>
        </w:rPr>
        <w:t>, we believe these schedules are most reasonably construed as a “presumptively complete list of insurance coverage that must be exhausted before the excess policy may be accessed, with the ‘other insurance’ clauses serving as a backstop to prevent double recovery in the rare circumstance where underlying coverage changes after the excess policy is written.”  (</w:t>
      </w:r>
      <w:r w:rsidRPr="00112487" w:rsidR="00DB67C1">
        <w:rPr>
          <w:i/>
          <w:iCs/>
          <w:szCs w:val="27"/>
        </w:rPr>
        <w:t>I</w:t>
      </w:r>
      <w:r w:rsidRPr="00112487" w:rsidR="00115ECB">
        <w:rPr>
          <w:i/>
          <w:iCs/>
          <w:szCs w:val="27"/>
        </w:rPr>
        <w:t>bi</w:t>
      </w:r>
      <w:r w:rsidRPr="00112487" w:rsidR="00DB67C1">
        <w:rPr>
          <w:i/>
          <w:iCs/>
          <w:szCs w:val="27"/>
        </w:rPr>
        <w:t>d</w:t>
      </w:r>
      <w:r w:rsidRPr="00112487" w:rsidR="00DB67C1">
        <w:rPr>
          <w:szCs w:val="27"/>
        </w:rPr>
        <w:t>.)</w:t>
      </w:r>
      <w:r>
        <w:rPr>
          <w:rStyle w:val="FootnoteReference"/>
          <w:szCs w:val="27"/>
        </w:rPr>
        <w:footnoteReference w:id="12"/>
      </w:r>
    </w:p>
    <w:p w:rsidR="004F1185" w:rsidRPr="00112487" w:rsidP="00A25E48" w14:paraId="679C794F" w14:textId="77777777">
      <w:pPr>
        <w:ind w:firstLine="720"/>
        <w:rPr>
          <w:szCs w:val="27"/>
        </w:rPr>
      </w:pPr>
      <w:r w:rsidRPr="00112487">
        <w:rPr>
          <w:szCs w:val="27"/>
        </w:rPr>
        <w:t xml:space="preserve">Moreover, several of the policies not only </w:t>
      </w:r>
      <w:r w:rsidRPr="00112487" w:rsidR="000F3A18">
        <w:rPr>
          <w:szCs w:val="27"/>
        </w:rPr>
        <w:t xml:space="preserve">refer to underlying primary insurance issued during the same policy period, </w:t>
      </w:r>
      <w:r w:rsidRPr="00112487">
        <w:rPr>
          <w:szCs w:val="27"/>
        </w:rPr>
        <w:t>but also “referenc</w:t>
      </w:r>
      <w:r w:rsidRPr="00112487" w:rsidR="000F3A18">
        <w:rPr>
          <w:szCs w:val="27"/>
        </w:rPr>
        <w:t>[e]</w:t>
      </w:r>
      <w:r w:rsidRPr="00112487">
        <w:rPr>
          <w:szCs w:val="27"/>
        </w:rPr>
        <w:t xml:space="preserve"> a specific dollar amount of underlying insurance in the same policy period that must be exhausted.”  (</w:t>
      </w:r>
      <w:r w:rsidRPr="00112487" w:rsidR="00B62BB2">
        <w:rPr>
          <w:i/>
          <w:iCs/>
          <w:szCs w:val="27"/>
        </w:rPr>
        <w:t>Montrose III</w:t>
      </w:r>
      <w:r w:rsidRPr="00112487" w:rsidR="00D82983">
        <w:rPr>
          <w:szCs w:val="27"/>
        </w:rPr>
        <w:t xml:space="preserve">, </w:t>
      </w:r>
      <w:r w:rsidRPr="00112487" w:rsidR="00D82983">
        <w:rPr>
          <w:i/>
          <w:iCs/>
          <w:szCs w:val="27"/>
        </w:rPr>
        <w:t>supra</w:t>
      </w:r>
      <w:r w:rsidRPr="00112487" w:rsidR="00D82983">
        <w:rPr>
          <w:szCs w:val="27"/>
        </w:rPr>
        <w:t>, 9 Cal.5th at p. </w:t>
      </w:r>
      <w:r w:rsidRPr="00112487">
        <w:rPr>
          <w:szCs w:val="27"/>
        </w:rPr>
        <w:t>233.)  Under the excess insurers’ theory of horizontal exhaustion, however, this attachment would not occur until Kaiser had exhausted that amount, plus the limits of every other primary policy it had obtained for every relevant policy period.</w:t>
      </w:r>
    </w:p>
    <w:p w:rsidR="00051293" w:rsidRPr="00112487" w:rsidP="00A25E48" w14:paraId="679C7950" w14:textId="77777777">
      <w:pPr>
        <w:ind w:firstLine="720"/>
        <w:rPr>
          <w:szCs w:val="27"/>
        </w:rPr>
      </w:pPr>
      <w:r w:rsidRPr="00112487">
        <w:rPr>
          <w:szCs w:val="27"/>
        </w:rPr>
        <w:t>Furthermore, the</w:t>
      </w:r>
      <w:r w:rsidRPr="00112487" w:rsidR="005C5181">
        <w:rPr>
          <w:szCs w:val="27"/>
        </w:rPr>
        <w:t xml:space="preserve"> </w:t>
      </w:r>
      <w:r w:rsidRPr="00112487" w:rsidR="00C158CB">
        <w:rPr>
          <w:szCs w:val="27"/>
        </w:rPr>
        <w:t>same practical concerns with administering a rule of horizontal exhaustion that we d</w:t>
      </w:r>
      <w:r w:rsidRPr="00112487" w:rsidR="004409FD">
        <w:rPr>
          <w:szCs w:val="27"/>
        </w:rPr>
        <w:t>iscussed</w:t>
      </w:r>
      <w:r w:rsidRPr="00112487" w:rsidR="00C158CB">
        <w:rPr>
          <w:szCs w:val="27"/>
        </w:rPr>
        <w:t xml:space="preserve"> in </w:t>
      </w:r>
      <w:r w:rsidRPr="00112487" w:rsidR="00B62BB2">
        <w:rPr>
          <w:i/>
          <w:iCs/>
          <w:szCs w:val="27"/>
        </w:rPr>
        <w:t>Montrose III</w:t>
      </w:r>
      <w:r w:rsidRPr="00112487" w:rsidR="005C5181">
        <w:rPr>
          <w:szCs w:val="27"/>
        </w:rPr>
        <w:t xml:space="preserve"> </w:t>
      </w:r>
      <w:r w:rsidRPr="00112487" w:rsidR="00C158CB">
        <w:rPr>
          <w:szCs w:val="27"/>
        </w:rPr>
        <w:t xml:space="preserve">are likewise </w:t>
      </w:r>
      <w:r w:rsidRPr="00112487" w:rsidR="003531B9">
        <w:rPr>
          <w:szCs w:val="27"/>
        </w:rPr>
        <w:t xml:space="preserve">implicated </w:t>
      </w:r>
      <w:r w:rsidRPr="00112487" w:rsidR="00C158CB">
        <w:rPr>
          <w:szCs w:val="27"/>
        </w:rPr>
        <w:t xml:space="preserve">here.  </w:t>
      </w:r>
      <w:r w:rsidRPr="00112487" w:rsidR="003531B9">
        <w:rPr>
          <w:szCs w:val="27"/>
        </w:rPr>
        <w:t>W</w:t>
      </w:r>
      <w:r w:rsidRPr="00112487">
        <w:rPr>
          <w:szCs w:val="27"/>
        </w:rPr>
        <w:t xml:space="preserve">e explained, for example, that applying horizontal exhaustion would be “far from straightforward” given </w:t>
      </w:r>
      <w:r w:rsidRPr="00112487" w:rsidR="000602BD">
        <w:rPr>
          <w:szCs w:val="27"/>
        </w:rPr>
        <w:t>t</w:t>
      </w:r>
      <w:r w:rsidRPr="00112487">
        <w:rPr>
          <w:szCs w:val="27"/>
        </w:rPr>
        <w:t xml:space="preserve">hat the </w:t>
      </w:r>
      <w:r w:rsidRPr="00112487" w:rsidR="000602BD">
        <w:rPr>
          <w:szCs w:val="27"/>
        </w:rPr>
        <w:t xml:space="preserve">attachment points of the </w:t>
      </w:r>
      <w:r w:rsidRPr="00112487">
        <w:rPr>
          <w:szCs w:val="27"/>
        </w:rPr>
        <w:t>insured’s layers of excess insurance did not align</w:t>
      </w:r>
      <w:r w:rsidRPr="00112487" w:rsidR="000602BD">
        <w:rPr>
          <w:szCs w:val="27"/>
        </w:rPr>
        <w:t xml:space="preserve"> from policy year to policy year</w:t>
      </w:r>
      <w:r w:rsidRPr="00112487">
        <w:rPr>
          <w:szCs w:val="27"/>
        </w:rPr>
        <w:t>.  (</w:t>
      </w:r>
      <w:r w:rsidRPr="00112487" w:rsidR="00B62BB2">
        <w:rPr>
          <w:i/>
          <w:iCs/>
          <w:szCs w:val="27"/>
        </w:rPr>
        <w:t>Montrose III</w:t>
      </w:r>
      <w:r w:rsidRPr="00112487">
        <w:rPr>
          <w:szCs w:val="27"/>
        </w:rPr>
        <w:t xml:space="preserve">, </w:t>
      </w:r>
      <w:r w:rsidRPr="00112487">
        <w:rPr>
          <w:i/>
          <w:iCs/>
          <w:szCs w:val="27"/>
        </w:rPr>
        <w:t>supra</w:t>
      </w:r>
      <w:r w:rsidRPr="00112487">
        <w:rPr>
          <w:szCs w:val="27"/>
        </w:rPr>
        <w:t>, 9</w:t>
      </w:r>
      <w:r w:rsidRPr="00112487" w:rsidR="000602BD">
        <w:rPr>
          <w:szCs w:val="27"/>
        </w:rPr>
        <w:t> </w:t>
      </w:r>
      <w:r w:rsidRPr="00112487">
        <w:rPr>
          <w:szCs w:val="27"/>
        </w:rPr>
        <w:t xml:space="preserve">Cal.5th at p. 234.)  The Court of Appeal concluded this rationale was inapplicable </w:t>
      </w:r>
      <w:r w:rsidRPr="00112487" w:rsidR="004409FD">
        <w:rPr>
          <w:szCs w:val="27"/>
        </w:rPr>
        <w:t xml:space="preserve">in the current context </w:t>
      </w:r>
      <w:r w:rsidRPr="00112487">
        <w:rPr>
          <w:szCs w:val="27"/>
        </w:rPr>
        <w:t xml:space="preserve">because “there is only one underlying layer of insurance, namely, primary insurance and it is easy to ascertain whether that insurance has been exhausted.”  That reasoning, however, overlooks that the </w:t>
      </w:r>
      <w:r w:rsidRPr="00112487" w:rsidR="000602BD">
        <w:rPr>
          <w:szCs w:val="27"/>
        </w:rPr>
        <w:t xml:space="preserve">plain </w:t>
      </w:r>
      <w:r w:rsidRPr="00112487">
        <w:rPr>
          <w:szCs w:val="27"/>
        </w:rPr>
        <w:t xml:space="preserve">text of the first-level excess policies’ “other insurance” provisions </w:t>
      </w:r>
      <w:r w:rsidRPr="00112487" w:rsidR="009E41C1">
        <w:rPr>
          <w:szCs w:val="27"/>
        </w:rPr>
        <w:t xml:space="preserve">is </w:t>
      </w:r>
      <w:r w:rsidRPr="00112487">
        <w:rPr>
          <w:i/>
          <w:iCs/>
          <w:szCs w:val="27"/>
        </w:rPr>
        <w:t>not</w:t>
      </w:r>
      <w:r w:rsidRPr="00112487">
        <w:rPr>
          <w:szCs w:val="27"/>
        </w:rPr>
        <w:t xml:space="preserve"> limited to other underlying </w:t>
      </w:r>
      <w:r w:rsidRPr="00112487">
        <w:rPr>
          <w:i/>
          <w:iCs/>
          <w:szCs w:val="27"/>
        </w:rPr>
        <w:t>primary</w:t>
      </w:r>
      <w:r w:rsidRPr="00112487">
        <w:rPr>
          <w:szCs w:val="27"/>
        </w:rPr>
        <w:t xml:space="preserve"> insurance.  Rather, the provisions speak generally to “</w:t>
      </w:r>
      <w:r w:rsidRPr="00112487">
        <w:rPr>
          <w:i/>
          <w:iCs/>
          <w:szCs w:val="27"/>
        </w:rPr>
        <w:t>any other</w:t>
      </w:r>
      <w:r w:rsidRPr="00112487">
        <w:rPr>
          <w:szCs w:val="27"/>
        </w:rPr>
        <w:t xml:space="preserve"> insurance” or “</w:t>
      </w:r>
      <w:r w:rsidRPr="00112487">
        <w:rPr>
          <w:i/>
          <w:iCs/>
          <w:szCs w:val="27"/>
        </w:rPr>
        <w:t>any other underlying</w:t>
      </w:r>
      <w:r w:rsidRPr="00112487">
        <w:rPr>
          <w:szCs w:val="27"/>
        </w:rPr>
        <w:t xml:space="preserve"> insurance.”  </w:t>
      </w:r>
      <w:r w:rsidR="00DC2DE6">
        <w:rPr>
          <w:szCs w:val="27"/>
        </w:rPr>
        <w:t xml:space="preserve">(Italics added.)  </w:t>
      </w:r>
      <w:r w:rsidRPr="00112487">
        <w:rPr>
          <w:szCs w:val="27"/>
        </w:rPr>
        <w:t>If the excess insurers are correct that these provisions</w:t>
      </w:r>
      <w:r w:rsidRPr="00112487" w:rsidR="006B2D7A">
        <w:rPr>
          <w:szCs w:val="27"/>
        </w:rPr>
        <w:t xml:space="preserve"> were intended to</w:t>
      </w:r>
      <w:r w:rsidRPr="00112487">
        <w:rPr>
          <w:szCs w:val="27"/>
        </w:rPr>
        <w:t xml:space="preserve"> apply to insurance </w:t>
      </w:r>
      <w:r w:rsidRPr="00112487" w:rsidR="006B2D7A">
        <w:rPr>
          <w:szCs w:val="27"/>
        </w:rPr>
        <w:t>purchased for</w:t>
      </w:r>
      <w:r w:rsidRPr="00112487">
        <w:rPr>
          <w:szCs w:val="27"/>
        </w:rPr>
        <w:t xml:space="preserve"> different policy periods, their </w:t>
      </w:r>
      <w:r w:rsidRPr="00112487" w:rsidR="006B2D7A">
        <w:rPr>
          <w:szCs w:val="27"/>
        </w:rPr>
        <w:t xml:space="preserve">plain </w:t>
      </w:r>
      <w:r w:rsidRPr="00112487">
        <w:rPr>
          <w:szCs w:val="27"/>
        </w:rPr>
        <w:t xml:space="preserve">language </w:t>
      </w:r>
      <w:r w:rsidRPr="00112487" w:rsidR="006B2D7A">
        <w:rPr>
          <w:szCs w:val="27"/>
        </w:rPr>
        <w:t xml:space="preserve">indicates </w:t>
      </w:r>
      <w:r w:rsidRPr="00112487">
        <w:rPr>
          <w:szCs w:val="27"/>
        </w:rPr>
        <w:t xml:space="preserve">that Kaiser would have to exhaust </w:t>
      </w:r>
      <w:r w:rsidRPr="00112487">
        <w:rPr>
          <w:i/>
          <w:iCs/>
          <w:szCs w:val="27"/>
        </w:rPr>
        <w:t>any other underlying insurance</w:t>
      </w:r>
      <w:r w:rsidRPr="00112487">
        <w:rPr>
          <w:szCs w:val="27"/>
        </w:rPr>
        <w:t> — i.e., any policy with a lower attachment point — not merely any</w:t>
      </w:r>
      <w:r w:rsidRPr="00112487" w:rsidR="006B2D7A">
        <w:rPr>
          <w:szCs w:val="27"/>
        </w:rPr>
        <w:t xml:space="preserve"> other</w:t>
      </w:r>
      <w:r w:rsidRPr="00112487">
        <w:rPr>
          <w:szCs w:val="27"/>
        </w:rPr>
        <w:t xml:space="preserve"> underlying primary insurance.  </w:t>
      </w:r>
    </w:p>
    <w:p w:rsidR="0091566B" w:rsidRPr="00112487" w:rsidP="00A25E48" w14:paraId="679C7951" w14:textId="77777777">
      <w:pPr>
        <w:ind w:firstLine="720"/>
        <w:rPr>
          <w:szCs w:val="27"/>
        </w:rPr>
      </w:pPr>
      <w:r w:rsidRPr="00112487">
        <w:rPr>
          <w:szCs w:val="27"/>
        </w:rPr>
        <w:t>While t</w:t>
      </w:r>
      <w:r w:rsidRPr="00112487" w:rsidR="006B2D7A">
        <w:rPr>
          <w:szCs w:val="27"/>
        </w:rPr>
        <w:t>hat might not create any particular</w:t>
      </w:r>
      <w:r w:rsidRPr="00112487" w:rsidR="00615062">
        <w:rPr>
          <w:szCs w:val="27"/>
        </w:rPr>
        <w:t xml:space="preserve"> administrative</w:t>
      </w:r>
      <w:r w:rsidRPr="00112487" w:rsidR="006B2D7A">
        <w:rPr>
          <w:szCs w:val="27"/>
        </w:rPr>
        <w:t xml:space="preserve"> complication</w:t>
      </w:r>
      <w:r w:rsidRPr="00112487">
        <w:rPr>
          <w:szCs w:val="27"/>
        </w:rPr>
        <w:t>s</w:t>
      </w:r>
      <w:r w:rsidRPr="00112487" w:rsidR="006B2D7A">
        <w:rPr>
          <w:szCs w:val="27"/>
        </w:rPr>
        <w:t xml:space="preserve"> if </w:t>
      </w:r>
      <w:r w:rsidRPr="00112487" w:rsidR="006407B2">
        <w:rPr>
          <w:szCs w:val="27"/>
        </w:rPr>
        <w:t xml:space="preserve">the attachment points of </w:t>
      </w:r>
      <w:r w:rsidRPr="00112487" w:rsidR="006B2D7A">
        <w:rPr>
          <w:szCs w:val="27"/>
        </w:rPr>
        <w:t>Kaiser’s first-level excess policies were standardized across polic</w:t>
      </w:r>
      <w:r w:rsidRPr="00112487" w:rsidR="006407B2">
        <w:rPr>
          <w:szCs w:val="27"/>
        </w:rPr>
        <w:t>y years</w:t>
      </w:r>
      <w:r w:rsidRPr="00112487">
        <w:rPr>
          <w:szCs w:val="27"/>
        </w:rPr>
        <w:t>, the record shows that is not the case</w:t>
      </w:r>
      <w:r w:rsidRPr="00112487" w:rsidR="006407B2">
        <w:rPr>
          <w:szCs w:val="27"/>
        </w:rPr>
        <w:t xml:space="preserve">. </w:t>
      </w:r>
      <w:r w:rsidRPr="00112487">
        <w:rPr>
          <w:szCs w:val="27"/>
        </w:rPr>
        <w:t xml:space="preserve"> Rather, as in </w:t>
      </w:r>
      <w:r w:rsidRPr="00112487" w:rsidR="00B62BB2">
        <w:rPr>
          <w:i/>
          <w:iCs/>
          <w:szCs w:val="27"/>
        </w:rPr>
        <w:t>Montrose III</w:t>
      </w:r>
      <w:r w:rsidRPr="00112487">
        <w:rPr>
          <w:szCs w:val="27"/>
        </w:rPr>
        <w:t>, the first-level excess policies appear to come in different “shapes and sizes.”  (</w:t>
      </w:r>
      <w:r w:rsidRPr="00112487" w:rsidR="00B62BB2">
        <w:rPr>
          <w:i/>
          <w:iCs/>
          <w:szCs w:val="27"/>
        </w:rPr>
        <w:t>Montrose III</w:t>
      </w:r>
      <w:r w:rsidRPr="00112487">
        <w:rPr>
          <w:szCs w:val="27"/>
        </w:rPr>
        <w:t xml:space="preserve">, </w:t>
      </w:r>
      <w:r w:rsidRPr="00112487">
        <w:rPr>
          <w:i/>
          <w:iCs/>
          <w:szCs w:val="27"/>
        </w:rPr>
        <w:t>supra</w:t>
      </w:r>
      <w:r w:rsidRPr="00112487">
        <w:rPr>
          <w:szCs w:val="27"/>
        </w:rPr>
        <w:t xml:space="preserve">, 9 Cal.5th at p. 234.)  </w:t>
      </w:r>
      <w:r w:rsidRPr="00112487" w:rsidR="00051293">
        <w:rPr>
          <w:szCs w:val="27"/>
        </w:rPr>
        <w:t xml:space="preserve">For example, </w:t>
      </w:r>
      <w:r w:rsidRPr="00112487" w:rsidR="006407B2">
        <w:rPr>
          <w:szCs w:val="27"/>
        </w:rPr>
        <w:t xml:space="preserve">in </w:t>
      </w:r>
      <w:r w:rsidRPr="00112487">
        <w:rPr>
          <w:szCs w:val="27"/>
        </w:rPr>
        <w:t xml:space="preserve">the </w:t>
      </w:r>
      <w:r w:rsidRPr="00112487" w:rsidR="00051293">
        <w:rPr>
          <w:szCs w:val="27"/>
        </w:rPr>
        <w:t>1983</w:t>
      </w:r>
      <w:r w:rsidRPr="00112487">
        <w:rPr>
          <w:szCs w:val="27"/>
        </w:rPr>
        <w:t xml:space="preserve"> policy year</w:t>
      </w:r>
      <w:r w:rsidRPr="00112487" w:rsidR="00051293">
        <w:rPr>
          <w:szCs w:val="27"/>
        </w:rPr>
        <w:t xml:space="preserve">, Kaiser obtained primary insurance for the first $2 million of liability and obtained a first-level excess policy that attaches above that amount.  In 1958, however, </w:t>
      </w:r>
      <w:r w:rsidRPr="00112487">
        <w:rPr>
          <w:szCs w:val="27"/>
        </w:rPr>
        <w:t>Kaiser</w:t>
      </w:r>
      <w:r w:rsidRPr="00112487" w:rsidR="00051293">
        <w:rPr>
          <w:szCs w:val="27"/>
        </w:rPr>
        <w:t xml:space="preserve"> obtained only $1 million in primary insurance with a first-level excess policy for the next $2 million.  If the “other insurance” provisions truly apply across all policy periods, does Kaiser’s 1983 first-level excess policy (with an attachment point of $2 million) require Kaiser to exhaust the </w:t>
      </w:r>
      <w:r w:rsidRPr="00112487">
        <w:rPr>
          <w:szCs w:val="27"/>
        </w:rPr>
        <w:t xml:space="preserve">1958 </w:t>
      </w:r>
      <w:r w:rsidRPr="00112487" w:rsidR="00051293">
        <w:rPr>
          <w:szCs w:val="27"/>
        </w:rPr>
        <w:t xml:space="preserve">primary policy (with an attachment point of $1 million) </w:t>
      </w:r>
      <w:r w:rsidRPr="00112487" w:rsidR="00051293">
        <w:rPr>
          <w:i/>
          <w:iCs/>
          <w:szCs w:val="27"/>
        </w:rPr>
        <w:t>and</w:t>
      </w:r>
      <w:r w:rsidRPr="00112487" w:rsidR="00051293">
        <w:rPr>
          <w:szCs w:val="27"/>
        </w:rPr>
        <w:t xml:space="preserve"> the first $1 million of the 195</w:t>
      </w:r>
      <w:r w:rsidRPr="00112487" w:rsidR="008D1732">
        <w:rPr>
          <w:szCs w:val="27"/>
        </w:rPr>
        <w:t>8</w:t>
      </w:r>
      <w:r w:rsidRPr="00112487" w:rsidR="00051293">
        <w:rPr>
          <w:szCs w:val="27"/>
        </w:rPr>
        <w:t xml:space="preserve"> first-level excess policy?  </w:t>
      </w:r>
      <w:r w:rsidRPr="00112487">
        <w:rPr>
          <w:szCs w:val="27"/>
        </w:rPr>
        <w:t xml:space="preserve">Or can Kaiser access the 1983 first-level excess policy as soon as the </w:t>
      </w:r>
      <w:r w:rsidRPr="00112487" w:rsidR="00051293">
        <w:rPr>
          <w:szCs w:val="27"/>
        </w:rPr>
        <w:t xml:space="preserve">$1 million </w:t>
      </w:r>
      <w:r w:rsidRPr="00112487">
        <w:rPr>
          <w:szCs w:val="27"/>
        </w:rPr>
        <w:t xml:space="preserve">1958 </w:t>
      </w:r>
      <w:r w:rsidRPr="00112487" w:rsidR="00051293">
        <w:rPr>
          <w:szCs w:val="27"/>
        </w:rPr>
        <w:t xml:space="preserve">primary policy </w:t>
      </w:r>
      <w:r w:rsidRPr="00112487">
        <w:rPr>
          <w:szCs w:val="27"/>
        </w:rPr>
        <w:t xml:space="preserve">is exhausted?  Stated more simply, if the $1 million 1958 primary policy </w:t>
      </w:r>
      <w:r w:rsidRPr="00112487" w:rsidR="00051293">
        <w:rPr>
          <w:szCs w:val="27"/>
        </w:rPr>
        <w:t>qualifies as “other underlying insurance” to the 198</w:t>
      </w:r>
      <w:r w:rsidRPr="00112487" w:rsidR="00DB67C1">
        <w:rPr>
          <w:szCs w:val="27"/>
        </w:rPr>
        <w:t>3</w:t>
      </w:r>
      <w:r w:rsidRPr="00112487" w:rsidR="00051293">
        <w:rPr>
          <w:szCs w:val="27"/>
        </w:rPr>
        <w:t xml:space="preserve"> </w:t>
      </w:r>
      <w:r w:rsidRPr="00112487" w:rsidR="00DB67C1">
        <w:rPr>
          <w:szCs w:val="27"/>
        </w:rPr>
        <w:t xml:space="preserve">first-level </w:t>
      </w:r>
      <w:r w:rsidRPr="00112487" w:rsidR="00051293">
        <w:rPr>
          <w:szCs w:val="27"/>
        </w:rPr>
        <w:t xml:space="preserve">excess policy, why wouldn’t the initial $1 million of the 1958 first-level </w:t>
      </w:r>
      <w:r w:rsidRPr="00112487">
        <w:rPr>
          <w:szCs w:val="27"/>
        </w:rPr>
        <w:t xml:space="preserve">excess policy </w:t>
      </w:r>
      <w:r w:rsidRPr="00112487" w:rsidR="00051293">
        <w:rPr>
          <w:szCs w:val="27"/>
        </w:rPr>
        <w:t>likewise qualify</w:t>
      </w:r>
      <w:r w:rsidRPr="00112487" w:rsidR="006407B2">
        <w:rPr>
          <w:szCs w:val="27"/>
        </w:rPr>
        <w:t xml:space="preserve"> as underlying</w:t>
      </w:r>
      <w:r w:rsidRPr="00112487" w:rsidR="008D1732">
        <w:rPr>
          <w:szCs w:val="27"/>
        </w:rPr>
        <w:t xml:space="preserve"> insurance</w:t>
      </w:r>
      <w:r w:rsidRPr="00112487" w:rsidR="008E2635">
        <w:rPr>
          <w:szCs w:val="27"/>
        </w:rPr>
        <w:t xml:space="preserve"> that would have to be exhausted prior to accessing the 198</w:t>
      </w:r>
      <w:r w:rsidRPr="00112487" w:rsidR="00DB67C1">
        <w:rPr>
          <w:szCs w:val="27"/>
        </w:rPr>
        <w:t>3</w:t>
      </w:r>
      <w:r w:rsidRPr="00112487" w:rsidR="008E2635">
        <w:rPr>
          <w:szCs w:val="27"/>
        </w:rPr>
        <w:t xml:space="preserve"> </w:t>
      </w:r>
      <w:r w:rsidRPr="00112487" w:rsidR="00DB67C1">
        <w:rPr>
          <w:szCs w:val="27"/>
        </w:rPr>
        <w:t>p</w:t>
      </w:r>
      <w:r w:rsidRPr="00112487" w:rsidR="008E2635">
        <w:rPr>
          <w:szCs w:val="27"/>
        </w:rPr>
        <w:t>olicy</w:t>
      </w:r>
      <w:r w:rsidRPr="00112487" w:rsidR="00051293">
        <w:rPr>
          <w:szCs w:val="27"/>
        </w:rPr>
        <w:t xml:space="preserve">?  </w:t>
      </w:r>
      <w:r w:rsidRPr="00112487" w:rsidR="00565276">
        <w:rPr>
          <w:szCs w:val="27"/>
        </w:rPr>
        <w:t xml:space="preserve">As noted in </w:t>
      </w:r>
      <w:r w:rsidRPr="00112487" w:rsidR="00B62BB2">
        <w:rPr>
          <w:i/>
          <w:iCs/>
          <w:szCs w:val="27"/>
        </w:rPr>
        <w:t>Montrose III</w:t>
      </w:r>
      <w:r w:rsidRPr="00112487" w:rsidR="00565276">
        <w:rPr>
          <w:szCs w:val="27"/>
        </w:rPr>
        <w:t xml:space="preserve">, “[t]he policies’ silence on these basic, foundational questions tends to undermine the idea the parties expected </w:t>
      </w:r>
      <w:r w:rsidRPr="00112487" w:rsidR="006407B2">
        <w:rPr>
          <w:szCs w:val="27"/>
        </w:rPr>
        <w:t xml:space="preserve">. . . </w:t>
      </w:r>
      <w:r w:rsidRPr="00112487" w:rsidR="00565276">
        <w:rPr>
          <w:szCs w:val="27"/>
        </w:rPr>
        <w:t>a rule</w:t>
      </w:r>
      <w:r w:rsidRPr="00112487" w:rsidR="006407B2">
        <w:rPr>
          <w:szCs w:val="27"/>
        </w:rPr>
        <w:t xml:space="preserve"> [of horizontal exhaustion]</w:t>
      </w:r>
      <w:r w:rsidRPr="00112487" w:rsidR="00565276">
        <w:rPr>
          <w:szCs w:val="27"/>
        </w:rPr>
        <w:t xml:space="preserve"> to apply.”  (</w:t>
      </w:r>
      <w:r w:rsidRPr="00112487" w:rsidR="00051293">
        <w:rPr>
          <w:i/>
          <w:iCs/>
          <w:szCs w:val="27"/>
        </w:rPr>
        <w:t>I</w:t>
      </w:r>
      <w:r w:rsidRPr="00112487" w:rsidR="00565276">
        <w:rPr>
          <w:i/>
          <w:iCs/>
          <w:szCs w:val="27"/>
        </w:rPr>
        <w:t>d</w:t>
      </w:r>
      <w:r w:rsidRPr="00112487" w:rsidR="00051293">
        <w:rPr>
          <w:szCs w:val="27"/>
        </w:rPr>
        <w:t>.</w:t>
      </w:r>
      <w:r w:rsidRPr="00112487" w:rsidR="004074B1">
        <w:rPr>
          <w:szCs w:val="27"/>
        </w:rPr>
        <w:t xml:space="preserve"> at p. 235.</w:t>
      </w:r>
      <w:r w:rsidRPr="00112487" w:rsidR="00565276">
        <w:rPr>
          <w:szCs w:val="27"/>
        </w:rPr>
        <w:t>)</w:t>
      </w:r>
    </w:p>
    <w:p w:rsidR="00051293" w:rsidRPr="00112487" w:rsidP="00A25E48" w14:paraId="679C7952" w14:textId="77777777">
      <w:pPr>
        <w:ind w:firstLine="720"/>
        <w:rPr>
          <w:szCs w:val="27"/>
        </w:rPr>
      </w:pPr>
      <w:r w:rsidRPr="00112487">
        <w:rPr>
          <w:szCs w:val="27"/>
        </w:rPr>
        <w:t xml:space="preserve">Finally, </w:t>
      </w:r>
      <w:r w:rsidRPr="00112487" w:rsidR="00B62BB2">
        <w:rPr>
          <w:i/>
          <w:iCs/>
          <w:szCs w:val="27"/>
        </w:rPr>
        <w:t>Montrose III</w:t>
      </w:r>
      <w:r w:rsidRPr="00112487" w:rsidR="006B2D7A">
        <w:rPr>
          <w:szCs w:val="27"/>
        </w:rPr>
        <w:t xml:space="preserve"> expressed concern that </w:t>
      </w:r>
      <w:r w:rsidRPr="00112487">
        <w:rPr>
          <w:szCs w:val="27"/>
        </w:rPr>
        <w:t>“because the exclusions, terms, and conditions may vary from one [excess] policy to another” (</w:t>
      </w:r>
      <w:r w:rsidRPr="00112487" w:rsidR="00B62BB2">
        <w:rPr>
          <w:i/>
          <w:iCs/>
          <w:szCs w:val="27"/>
        </w:rPr>
        <w:t>Montrose III</w:t>
      </w:r>
      <w:r w:rsidRPr="00112487">
        <w:rPr>
          <w:szCs w:val="27"/>
        </w:rPr>
        <w:t xml:space="preserve">, </w:t>
      </w:r>
      <w:r w:rsidRPr="00112487">
        <w:rPr>
          <w:i/>
          <w:iCs/>
          <w:szCs w:val="27"/>
        </w:rPr>
        <w:t>supra</w:t>
      </w:r>
      <w:r w:rsidRPr="00112487">
        <w:rPr>
          <w:szCs w:val="27"/>
        </w:rPr>
        <w:t>, 9</w:t>
      </w:r>
      <w:r w:rsidRPr="00112487" w:rsidR="006150F0">
        <w:rPr>
          <w:szCs w:val="27"/>
        </w:rPr>
        <w:t> </w:t>
      </w:r>
      <w:r w:rsidRPr="00112487">
        <w:rPr>
          <w:szCs w:val="27"/>
        </w:rPr>
        <w:t>Cal.5th at p. 23</w:t>
      </w:r>
      <w:r w:rsidRPr="00112487" w:rsidR="004074B1">
        <w:rPr>
          <w:szCs w:val="27"/>
        </w:rPr>
        <w:t>5</w:t>
      </w:r>
      <w:r w:rsidRPr="00112487">
        <w:rPr>
          <w:szCs w:val="27"/>
        </w:rPr>
        <w:t xml:space="preserve">), a rule of horizontal exhaustion </w:t>
      </w:r>
      <w:r w:rsidRPr="00112487" w:rsidR="0091566B">
        <w:rPr>
          <w:szCs w:val="27"/>
        </w:rPr>
        <w:t xml:space="preserve">would “put the insured to the considerable expense of establishing a right to coverage under the definitions, terms, conditions, and exclusions from policies in every policy period triggered by the continuous injury” </w:t>
      </w:r>
      <w:r w:rsidRPr="00112487">
        <w:rPr>
          <w:szCs w:val="27"/>
        </w:rPr>
        <w:t>(</w:t>
      </w:r>
      <w:r w:rsidRPr="00112487">
        <w:rPr>
          <w:i/>
          <w:iCs/>
          <w:szCs w:val="27"/>
        </w:rPr>
        <w:t>ibid</w:t>
      </w:r>
      <w:r w:rsidRPr="00112487">
        <w:rPr>
          <w:szCs w:val="27"/>
        </w:rPr>
        <w:t>.).  Again, n</w:t>
      </w:r>
      <w:r w:rsidRPr="00112487" w:rsidR="006B2D7A">
        <w:rPr>
          <w:szCs w:val="27"/>
        </w:rPr>
        <w:t xml:space="preserve">either the Court of Appeal nor the </w:t>
      </w:r>
      <w:r w:rsidRPr="00112487" w:rsidR="0091566B">
        <w:rPr>
          <w:szCs w:val="27"/>
        </w:rPr>
        <w:t xml:space="preserve">excess insurers have provided </w:t>
      </w:r>
      <w:r w:rsidRPr="00112487" w:rsidR="006B2D7A">
        <w:rPr>
          <w:szCs w:val="27"/>
        </w:rPr>
        <w:t xml:space="preserve">any </w:t>
      </w:r>
      <w:r w:rsidRPr="00112487" w:rsidR="0091566B">
        <w:rPr>
          <w:szCs w:val="27"/>
        </w:rPr>
        <w:t xml:space="preserve">explanation as to why those concerns are </w:t>
      </w:r>
      <w:r w:rsidR="00AF5881">
        <w:rPr>
          <w:szCs w:val="27"/>
        </w:rPr>
        <w:t>in</w:t>
      </w:r>
      <w:r w:rsidRPr="00112487" w:rsidR="00615062">
        <w:rPr>
          <w:szCs w:val="27"/>
        </w:rPr>
        <w:t xml:space="preserve">applicable </w:t>
      </w:r>
      <w:r w:rsidRPr="00112487" w:rsidR="006B2D7A">
        <w:rPr>
          <w:szCs w:val="27"/>
        </w:rPr>
        <w:t xml:space="preserve">in the </w:t>
      </w:r>
      <w:r w:rsidRPr="00112487" w:rsidR="0091566B">
        <w:rPr>
          <w:szCs w:val="27"/>
        </w:rPr>
        <w:t xml:space="preserve">context of primary </w:t>
      </w:r>
      <w:r w:rsidRPr="00112487" w:rsidR="006B2D7A">
        <w:rPr>
          <w:szCs w:val="27"/>
        </w:rPr>
        <w:t>insurance</w:t>
      </w:r>
      <w:r w:rsidRPr="00112487" w:rsidR="0091566B">
        <w:rPr>
          <w:szCs w:val="27"/>
        </w:rPr>
        <w:t xml:space="preserve">.  </w:t>
      </w:r>
      <w:r w:rsidRPr="00112487">
        <w:rPr>
          <w:szCs w:val="27"/>
        </w:rPr>
        <w:t xml:space="preserve">During the relevant </w:t>
      </w:r>
      <w:r w:rsidRPr="00112487" w:rsidR="00FE6704">
        <w:rPr>
          <w:szCs w:val="27"/>
        </w:rPr>
        <w:t xml:space="preserve">time frame </w:t>
      </w:r>
      <w:r w:rsidRPr="00112487">
        <w:rPr>
          <w:szCs w:val="27"/>
        </w:rPr>
        <w:t xml:space="preserve">Kaiser bought dozens of primary policies from </w:t>
      </w:r>
      <w:r w:rsidRPr="00112487" w:rsidR="00827AF1">
        <w:rPr>
          <w:szCs w:val="27"/>
        </w:rPr>
        <w:t xml:space="preserve">multiple </w:t>
      </w:r>
      <w:r w:rsidRPr="00112487" w:rsidR="00FE6704">
        <w:rPr>
          <w:szCs w:val="27"/>
        </w:rPr>
        <w:t xml:space="preserve">insurers.  While </w:t>
      </w:r>
      <w:r w:rsidRPr="00112487" w:rsidR="0091566B">
        <w:rPr>
          <w:szCs w:val="27"/>
        </w:rPr>
        <w:t xml:space="preserve">the parties have not provided detailed information regarding the </w:t>
      </w:r>
      <w:r w:rsidRPr="00112487" w:rsidR="006B2D7A">
        <w:rPr>
          <w:szCs w:val="27"/>
        </w:rPr>
        <w:t xml:space="preserve">specific terms of </w:t>
      </w:r>
      <w:r w:rsidRPr="00112487" w:rsidR="008C43DF">
        <w:rPr>
          <w:szCs w:val="27"/>
        </w:rPr>
        <w:t xml:space="preserve">those policies, </w:t>
      </w:r>
      <w:r w:rsidRPr="00112487" w:rsidR="0091566B">
        <w:rPr>
          <w:szCs w:val="27"/>
        </w:rPr>
        <w:t xml:space="preserve">the excess insurers’ </w:t>
      </w:r>
      <w:r w:rsidRPr="00112487" w:rsidR="00E63705">
        <w:rPr>
          <w:szCs w:val="27"/>
        </w:rPr>
        <w:t xml:space="preserve">own </w:t>
      </w:r>
      <w:r w:rsidRPr="00112487" w:rsidR="0091566B">
        <w:rPr>
          <w:szCs w:val="27"/>
        </w:rPr>
        <w:t xml:space="preserve">briefing </w:t>
      </w:r>
      <w:r w:rsidRPr="00112487" w:rsidR="00E63705">
        <w:rPr>
          <w:szCs w:val="27"/>
        </w:rPr>
        <w:t>indicates</w:t>
      </w:r>
      <w:r w:rsidRPr="00112487" w:rsidR="006407B2">
        <w:rPr>
          <w:szCs w:val="27"/>
        </w:rPr>
        <w:t xml:space="preserve"> </w:t>
      </w:r>
      <w:r w:rsidRPr="00112487" w:rsidR="0091566B">
        <w:rPr>
          <w:szCs w:val="27"/>
        </w:rPr>
        <w:t>that the</w:t>
      </w:r>
      <w:r w:rsidRPr="00112487" w:rsidR="00B33377">
        <w:rPr>
          <w:szCs w:val="27"/>
        </w:rPr>
        <w:t xml:space="preserve"> </w:t>
      </w:r>
      <w:r w:rsidRPr="00112487" w:rsidR="0091566B">
        <w:rPr>
          <w:szCs w:val="27"/>
        </w:rPr>
        <w:t xml:space="preserve">terms </w:t>
      </w:r>
      <w:r w:rsidRPr="00112487" w:rsidR="00E63705">
        <w:rPr>
          <w:szCs w:val="27"/>
        </w:rPr>
        <w:t>of the prima</w:t>
      </w:r>
      <w:r w:rsidRPr="00112487" w:rsidR="00DB67C1">
        <w:rPr>
          <w:szCs w:val="27"/>
        </w:rPr>
        <w:t>r</w:t>
      </w:r>
      <w:r w:rsidRPr="00112487" w:rsidR="00E63705">
        <w:rPr>
          <w:szCs w:val="27"/>
        </w:rPr>
        <w:t xml:space="preserve">y policies </w:t>
      </w:r>
      <w:r w:rsidRPr="00112487" w:rsidR="0091566B">
        <w:rPr>
          <w:szCs w:val="27"/>
        </w:rPr>
        <w:t>vary with respect to coverage</w:t>
      </w:r>
      <w:r w:rsidRPr="00112487" w:rsidR="006407B2">
        <w:rPr>
          <w:szCs w:val="27"/>
        </w:rPr>
        <w:t xml:space="preserve"> amounts</w:t>
      </w:r>
      <w:r w:rsidRPr="00112487" w:rsidR="0091566B">
        <w:rPr>
          <w:szCs w:val="27"/>
        </w:rPr>
        <w:t>,</w:t>
      </w:r>
      <w:r w:rsidRPr="00112487" w:rsidR="008C43DF">
        <w:rPr>
          <w:szCs w:val="27"/>
        </w:rPr>
        <w:t xml:space="preserve"> aggregate limits,</w:t>
      </w:r>
      <w:r w:rsidRPr="00112487" w:rsidR="0091566B">
        <w:rPr>
          <w:szCs w:val="27"/>
        </w:rPr>
        <w:t xml:space="preserve"> allocation of defense costs and deductible requirements.  Moreover, as discussed above, Kaiser, Truck and </w:t>
      </w:r>
      <w:r w:rsidRPr="00112487" w:rsidR="008C43DF">
        <w:rPr>
          <w:szCs w:val="27"/>
        </w:rPr>
        <w:t xml:space="preserve">the </w:t>
      </w:r>
      <w:r w:rsidRPr="00112487" w:rsidR="0091566B">
        <w:rPr>
          <w:szCs w:val="27"/>
        </w:rPr>
        <w:t xml:space="preserve">excess insurers </w:t>
      </w:r>
      <w:r w:rsidRPr="00112487" w:rsidR="00827AF1">
        <w:rPr>
          <w:szCs w:val="27"/>
        </w:rPr>
        <w:t xml:space="preserve">previously </w:t>
      </w:r>
      <w:r w:rsidRPr="00112487" w:rsidR="0091566B">
        <w:rPr>
          <w:szCs w:val="27"/>
        </w:rPr>
        <w:t xml:space="preserve">spent </w:t>
      </w:r>
      <w:r w:rsidRPr="00112487" w:rsidR="0091566B">
        <w:rPr>
          <w:i/>
          <w:iCs/>
          <w:szCs w:val="27"/>
        </w:rPr>
        <w:t>years</w:t>
      </w:r>
      <w:r w:rsidRPr="00112487" w:rsidR="0091566B">
        <w:rPr>
          <w:szCs w:val="27"/>
        </w:rPr>
        <w:t xml:space="preserve"> litigating whether </w:t>
      </w:r>
      <w:r w:rsidRPr="00112487" w:rsidR="008D1732">
        <w:rPr>
          <w:szCs w:val="27"/>
        </w:rPr>
        <w:t xml:space="preserve">a specific provision in </w:t>
      </w:r>
      <w:r w:rsidRPr="00112487" w:rsidR="0091566B">
        <w:rPr>
          <w:szCs w:val="27"/>
        </w:rPr>
        <w:t xml:space="preserve">Truck’s 1974 policy barred </w:t>
      </w:r>
      <w:r w:rsidRPr="00112487" w:rsidR="008C43DF">
        <w:rPr>
          <w:szCs w:val="27"/>
        </w:rPr>
        <w:t xml:space="preserve">Kaiser </w:t>
      </w:r>
      <w:r w:rsidRPr="00112487" w:rsidR="0091566B">
        <w:rPr>
          <w:szCs w:val="27"/>
        </w:rPr>
        <w:t>from accessing any of Truck’s other 18 primary policies</w:t>
      </w:r>
      <w:r w:rsidRPr="00112487" w:rsidR="00B33377">
        <w:rPr>
          <w:szCs w:val="27"/>
        </w:rPr>
        <w:t xml:space="preserve"> (a provision apparently absent in the non-Truck primary policies)</w:t>
      </w:r>
      <w:r w:rsidRPr="00112487" w:rsidR="0091566B">
        <w:rPr>
          <w:szCs w:val="27"/>
        </w:rPr>
        <w:t xml:space="preserve">.  </w:t>
      </w:r>
      <w:r w:rsidRPr="00112487" w:rsidR="00725CDF">
        <w:rPr>
          <w:szCs w:val="27"/>
        </w:rPr>
        <w:t xml:space="preserve">Thus, </w:t>
      </w:r>
      <w:r w:rsidRPr="00112487" w:rsidR="006407B2">
        <w:rPr>
          <w:szCs w:val="27"/>
        </w:rPr>
        <w:t>b</w:t>
      </w:r>
      <w:r w:rsidRPr="00112487" w:rsidR="0091566B">
        <w:rPr>
          <w:szCs w:val="27"/>
        </w:rPr>
        <w:t xml:space="preserve">ased on the </w:t>
      </w:r>
      <w:r w:rsidRPr="00112487" w:rsidR="00B33377">
        <w:rPr>
          <w:szCs w:val="27"/>
        </w:rPr>
        <w:t xml:space="preserve">limited </w:t>
      </w:r>
      <w:r w:rsidRPr="00112487" w:rsidR="0091566B">
        <w:rPr>
          <w:szCs w:val="27"/>
        </w:rPr>
        <w:t>record</w:t>
      </w:r>
      <w:r w:rsidRPr="00112487" w:rsidR="00B33377">
        <w:rPr>
          <w:szCs w:val="27"/>
        </w:rPr>
        <w:t xml:space="preserve"> before us</w:t>
      </w:r>
      <w:r w:rsidRPr="00112487" w:rsidR="0091566B">
        <w:rPr>
          <w:szCs w:val="27"/>
        </w:rPr>
        <w:t xml:space="preserve">, </w:t>
      </w:r>
      <w:r w:rsidRPr="00112487" w:rsidR="006407B2">
        <w:rPr>
          <w:szCs w:val="27"/>
        </w:rPr>
        <w:t xml:space="preserve">it </w:t>
      </w:r>
      <w:r w:rsidRPr="00112487" w:rsidR="00827AF1">
        <w:rPr>
          <w:szCs w:val="27"/>
        </w:rPr>
        <w:t xml:space="preserve">is </w:t>
      </w:r>
      <w:r w:rsidRPr="00112487" w:rsidR="008D1732">
        <w:rPr>
          <w:szCs w:val="27"/>
        </w:rPr>
        <w:t xml:space="preserve">reasonable to assume </w:t>
      </w:r>
      <w:r w:rsidRPr="00112487" w:rsidR="00725CDF">
        <w:rPr>
          <w:szCs w:val="27"/>
        </w:rPr>
        <w:t xml:space="preserve">that </w:t>
      </w:r>
      <w:r w:rsidRPr="00112487" w:rsidR="0091566B">
        <w:rPr>
          <w:szCs w:val="27"/>
        </w:rPr>
        <w:t xml:space="preserve">the same concerns </w:t>
      </w:r>
      <w:r w:rsidRPr="00112487" w:rsidR="008D1732">
        <w:rPr>
          <w:szCs w:val="27"/>
        </w:rPr>
        <w:t xml:space="preserve">regarding </w:t>
      </w:r>
      <w:r w:rsidRPr="00112487" w:rsidR="00C804E5">
        <w:rPr>
          <w:szCs w:val="27"/>
        </w:rPr>
        <w:t xml:space="preserve">the amount of litigation a rule of horizontal exhaustion would create due to </w:t>
      </w:r>
      <w:r w:rsidRPr="00112487" w:rsidR="008C43DF">
        <w:rPr>
          <w:szCs w:val="27"/>
        </w:rPr>
        <w:t>variations in polic</w:t>
      </w:r>
      <w:r w:rsidRPr="00112487" w:rsidR="00725CDF">
        <w:rPr>
          <w:szCs w:val="27"/>
        </w:rPr>
        <w:t>y</w:t>
      </w:r>
      <w:r w:rsidRPr="00112487" w:rsidR="008C43DF">
        <w:rPr>
          <w:szCs w:val="27"/>
        </w:rPr>
        <w:t xml:space="preserve"> terms </w:t>
      </w:r>
      <w:r w:rsidRPr="00112487" w:rsidR="00C804E5">
        <w:rPr>
          <w:szCs w:val="27"/>
        </w:rPr>
        <w:t xml:space="preserve">and conditions </w:t>
      </w:r>
      <w:r w:rsidRPr="00112487" w:rsidR="0091566B">
        <w:rPr>
          <w:szCs w:val="27"/>
        </w:rPr>
        <w:t xml:space="preserve">are </w:t>
      </w:r>
      <w:r w:rsidRPr="00112487" w:rsidR="008C43DF">
        <w:rPr>
          <w:szCs w:val="27"/>
        </w:rPr>
        <w:t xml:space="preserve">equally present in the </w:t>
      </w:r>
      <w:r w:rsidRPr="00112487" w:rsidR="008D1732">
        <w:rPr>
          <w:szCs w:val="27"/>
        </w:rPr>
        <w:t xml:space="preserve">context of </w:t>
      </w:r>
      <w:r w:rsidRPr="00112487" w:rsidR="008C43DF">
        <w:rPr>
          <w:szCs w:val="27"/>
        </w:rPr>
        <w:t>primary insurance</w:t>
      </w:r>
      <w:r w:rsidRPr="00112487" w:rsidR="0091566B">
        <w:rPr>
          <w:szCs w:val="27"/>
        </w:rPr>
        <w:t>.</w:t>
      </w:r>
      <w:r>
        <w:rPr>
          <w:rStyle w:val="FootnoteReference"/>
          <w:szCs w:val="27"/>
        </w:rPr>
        <w:footnoteReference w:id="13"/>
      </w:r>
      <w:r w:rsidRPr="00112487">
        <w:rPr>
          <w:szCs w:val="27"/>
        </w:rPr>
        <w:t xml:space="preserve">  </w:t>
      </w:r>
    </w:p>
    <w:p w:rsidR="00EB27A6" w:rsidRPr="00112487" w:rsidP="00A25E48" w14:paraId="679C7953" w14:textId="77777777">
      <w:pPr>
        <w:ind w:firstLine="720"/>
        <w:rPr>
          <w:szCs w:val="27"/>
        </w:rPr>
      </w:pPr>
      <w:r w:rsidRPr="00112487">
        <w:rPr>
          <w:szCs w:val="27"/>
        </w:rPr>
        <w:t xml:space="preserve">Despite the textual </w:t>
      </w:r>
      <w:r w:rsidRPr="00112487" w:rsidR="00E63705">
        <w:rPr>
          <w:szCs w:val="27"/>
        </w:rPr>
        <w:t>overlap</w:t>
      </w:r>
      <w:r w:rsidRPr="00112487">
        <w:rPr>
          <w:szCs w:val="27"/>
        </w:rPr>
        <w:t xml:space="preserve"> between the policy language at issue here and in </w:t>
      </w:r>
      <w:r w:rsidRPr="00112487" w:rsidR="00B62BB2">
        <w:rPr>
          <w:i/>
          <w:iCs/>
          <w:szCs w:val="27"/>
        </w:rPr>
        <w:t>Montrose III</w:t>
      </w:r>
      <w:r w:rsidRPr="00112487">
        <w:rPr>
          <w:szCs w:val="27"/>
        </w:rPr>
        <w:t xml:space="preserve">, and the similar </w:t>
      </w:r>
      <w:r w:rsidRPr="00112487" w:rsidR="004A65ED">
        <w:rPr>
          <w:szCs w:val="27"/>
        </w:rPr>
        <w:t xml:space="preserve">practical complications that </w:t>
      </w:r>
      <w:r w:rsidRPr="00112487">
        <w:rPr>
          <w:szCs w:val="27"/>
        </w:rPr>
        <w:t>a rule of horizontal exhaustion would</w:t>
      </w:r>
      <w:r w:rsidRPr="00112487" w:rsidR="004A65ED">
        <w:rPr>
          <w:szCs w:val="27"/>
        </w:rPr>
        <w:t xml:space="preserve"> present to the insured</w:t>
      </w:r>
      <w:r w:rsidRPr="00112487" w:rsidR="00DA291C">
        <w:rPr>
          <w:szCs w:val="27"/>
        </w:rPr>
        <w:t xml:space="preserve"> in the context of primary insurance</w:t>
      </w:r>
      <w:r w:rsidRPr="00112487" w:rsidR="004A65ED">
        <w:rPr>
          <w:szCs w:val="27"/>
        </w:rPr>
        <w:t xml:space="preserve">, </w:t>
      </w:r>
      <w:r w:rsidRPr="00112487">
        <w:rPr>
          <w:szCs w:val="27"/>
        </w:rPr>
        <w:t xml:space="preserve">the Court of Appeal </w:t>
      </w:r>
      <w:r w:rsidRPr="00112487" w:rsidR="004A65ED">
        <w:rPr>
          <w:szCs w:val="27"/>
        </w:rPr>
        <w:t>concluded that</w:t>
      </w:r>
      <w:r w:rsidRPr="00112487" w:rsidR="00CB68FC">
        <w:rPr>
          <w:szCs w:val="27"/>
        </w:rPr>
        <w:t xml:space="preserve"> “other insurance” provisions should </w:t>
      </w:r>
      <w:r w:rsidRPr="00112487" w:rsidR="00E63705">
        <w:rPr>
          <w:szCs w:val="27"/>
        </w:rPr>
        <w:t xml:space="preserve">nonetheless </w:t>
      </w:r>
      <w:r w:rsidRPr="00112487" w:rsidR="00CB68FC">
        <w:rPr>
          <w:szCs w:val="27"/>
        </w:rPr>
        <w:t xml:space="preserve">be assigned a different meaning </w:t>
      </w:r>
      <w:r w:rsidRPr="00112487" w:rsidR="00725CDF">
        <w:rPr>
          <w:szCs w:val="27"/>
        </w:rPr>
        <w:t xml:space="preserve">when </w:t>
      </w:r>
      <w:r w:rsidRPr="00112487" w:rsidR="001A78C8">
        <w:rPr>
          <w:szCs w:val="27"/>
        </w:rPr>
        <w:t xml:space="preserve">the </w:t>
      </w:r>
      <w:r w:rsidRPr="00112487" w:rsidR="004A65ED">
        <w:rPr>
          <w:szCs w:val="27"/>
        </w:rPr>
        <w:t>excess policy sits over primary insurance.  The sole reason the court provided</w:t>
      </w:r>
      <w:r w:rsidRPr="00112487" w:rsidR="00CB68FC">
        <w:rPr>
          <w:szCs w:val="27"/>
        </w:rPr>
        <w:t xml:space="preserve"> in support </w:t>
      </w:r>
      <w:r w:rsidRPr="00112487" w:rsidR="001A78C8">
        <w:rPr>
          <w:szCs w:val="27"/>
        </w:rPr>
        <w:t xml:space="preserve">of this conclusion </w:t>
      </w:r>
      <w:r w:rsidRPr="00112487" w:rsidR="00CB68FC">
        <w:rPr>
          <w:szCs w:val="27"/>
        </w:rPr>
        <w:t xml:space="preserve">was </w:t>
      </w:r>
      <w:r w:rsidRPr="00112487" w:rsidR="004A65ED">
        <w:rPr>
          <w:szCs w:val="27"/>
        </w:rPr>
        <w:t>the “qualitative[]” distinctions between primary and excess insurance</w:t>
      </w:r>
      <w:r w:rsidRPr="00112487" w:rsidR="001A78C8">
        <w:rPr>
          <w:szCs w:val="27"/>
        </w:rPr>
        <w:t xml:space="preserve">.  As explained by the court, </w:t>
      </w:r>
      <w:r w:rsidRPr="00112487" w:rsidR="00CB68FC">
        <w:rPr>
          <w:szCs w:val="27"/>
        </w:rPr>
        <w:t xml:space="preserve">primary policies </w:t>
      </w:r>
      <w:r w:rsidRPr="00112487" w:rsidR="001A78C8">
        <w:rPr>
          <w:szCs w:val="27"/>
        </w:rPr>
        <w:t xml:space="preserve">receive higher premiums because they </w:t>
      </w:r>
      <w:r w:rsidRPr="00112487" w:rsidR="00CB68FC">
        <w:rPr>
          <w:szCs w:val="27"/>
        </w:rPr>
        <w:t>“attach as first</w:t>
      </w:r>
      <w:r w:rsidR="0039366C">
        <w:rPr>
          <w:szCs w:val="27"/>
        </w:rPr>
        <w:t>-</w:t>
      </w:r>
      <w:r w:rsidRPr="00112487" w:rsidR="00CB68FC">
        <w:rPr>
          <w:szCs w:val="27"/>
        </w:rPr>
        <w:t>dollar coverage and have an immediate obligation to respond</w:t>
      </w:r>
      <w:r w:rsidRPr="00112487" w:rsidR="001A78C8">
        <w:rPr>
          <w:szCs w:val="27"/>
        </w:rPr>
        <w:t>,</w:t>
      </w:r>
      <w:r w:rsidRPr="00112487" w:rsidR="00CB68FC">
        <w:rPr>
          <w:szCs w:val="27"/>
        </w:rPr>
        <w:t>”</w:t>
      </w:r>
      <w:r w:rsidRPr="00112487" w:rsidR="001A78C8">
        <w:rPr>
          <w:szCs w:val="27"/>
        </w:rPr>
        <w:t xml:space="preserve"> whereas excess policies may never be called upon to indemnify</w:t>
      </w:r>
      <w:r w:rsidRPr="00112487" w:rsidR="00827AF1">
        <w:rPr>
          <w:szCs w:val="27"/>
        </w:rPr>
        <w:t xml:space="preserve">.  Moreover, </w:t>
      </w:r>
      <w:r w:rsidRPr="00112487" w:rsidR="00CB68FC">
        <w:rPr>
          <w:szCs w:val="27"/>
        </w:rPr>
        <w:t xml:space="preserve">primary </w:t>
      </w:r>
      <w:r w:rsidRPr="00112487" w:rsidR="00827AF1">
        <w:rPr>
          <w:szCs w:val="27"/>
        </w:rPr>
        <w:t>insurers</w:t>
      </w:r>
      <w:r w:rsidRPr="00112487" w:rsidR="00CB68FC">
        <w:rPr>
          <w:szCs w:val="27"/>
        </w:rPr>
        <w:t xml:space="preserve"> generally have the right to control defense and settlement without input from excess insurers</w:t>
      </w:r>
      <w:r w:rsidRPr="00112487" w:rsidR="00827AF1">
        <w:rPr>
          <w:szCs w:val="27"/>
        </w:rPr>
        <w:t xml:space="preserve"> and </w:t>
      </w:r>
      <w:r w:rsidRPr="00112487" w:rsidR="00CB68FC">
        <w:rPr>
          <w:szCs w:val="27"/>
        </w:rPr>
        <w:t>“do not use defense costs to reduce limit</w:t>
      </w:r>
      <w:r w:rsidRPr="00112487" w:rsidR="00A737BF">
        <w:rPr>
          <w:szCs w:val="27"/>
        </w:rPr>
        <w:t>s</w:t>
      </w:r>
      <w:r w:rsidRPr="00112487" w:rsidR="00CB68FC">
        <w:rPr>
          <w:szCs w:val="27"/>
        </w:rPr>
        <w:t xml:space="preserve">.”  </w:t>
      </w:r>
      <w:r w:rsidRPr="00112487" w:rsidR="00F5428A">
        <w:rPr>
          <w:szCs w:val="27"/>
        </w:rPr>
        <w:t>The court</w:t>
      </w:r>
      <w:r w:rsidRPr="00112487" w:rsidR="001A78C8">
        <w:rPr>
          <w:szCs w:val="27"/>
        </w:rPr>
        <w:t xml:space="preserve"> </w:t>
      </w:r>
      <w:r w:rsidRPr="00112487" w:rsidR="00F5428A">
        <w:rPr>
          <w:szCs w:val="27"/>
        </w:rPr>
        <w:t xml:space="preserve">provided no </w:t>
      </w:r>
      <w:r w:rsidRPr="00112487" w:rsidR="00CB68FC">
        <w:rPr>
          <w:szCs w:val="27"/>
        </w:rPr>
        <w:t xml:space="preserve">further </w:t>
      </w:r>
      <w:r w:rsidRPr="00112487" w:rsidR="00D3674A">
        <w:rPr>
          <w:szCs w:val="27"/>
        </w:rPr>
        <w:t xml:space="preserve">discussion or explanation as </w:t>
      </w:r>
      <w:r w:rsidRPr="00112487" w:rsidR="001A78C8">
        <w:rPr>
          <w:szCs w:val="27"/>
        </w:rPr>
        <w:t xml:space="preserve">to </w:t>
      </w:r>
      <w:r w:rsidRPr="00112487" w:rsidR="00F5428A">
        <w:rPr>
          <w:szCs w:val="27"/>
        </w:rPr>
        <w:t xml:space="preserve">why it believed these distinctions </w:t>
      </w:r>
      <w:r w:rsidRPr="00112487" w:rsidR="001A78C8">
        <w:rPr>
          <w:szCs w:val="27"/>
        </w:rPr>
        <w:t xml:space="preserve">warranted </w:t>
      </w:r>
      <w:r w:rsidRPr="00112487" w:rsidR="00D3674A">
        <w:rPr>
          <w:szCs w:val="27"/>
        </w:rPr>
        <w:t xml:space="preserve">a </w:t>
      </w:r>
      <w:r w:rsidRPr="00112487" w:rsidR="001A78C8">
        <w:rPr>
          <w:szCs w:val="27"/>
        </w:rPr>
        <w:t xml:space="preserve">departure from the </w:t>
      </w:r>
      <w:r w:rsidRPr="00112487" w:rsidR="00D3674A">
        <w:rPr>
          <w:szCs w:val="27"/>
        </w:rPr>
        <w:t>interpretation of “other insurance” provisions tha</w:t>
      </w:r>
      <w:r w:rsidRPr="00112487" w:rsidR="001A78C8">
        <w:rPr>
          <w:szCs w:val="27"/>
        </w:rPr>
        <w:t xml:space="preserve">t we adopted in </w:t>
      </w:r>
      <w:r w:rsidRPr="00112487" w:rsidR="00B62BB2">
        <w:rPr>
          <w:i/>
          <w:iCs/>
          <w:szCs w:val="27"/>
        </w:rPr>
        <w:t>Montrose III</w:t>
      </w:r>
      <w:r w:rsidRPr="00112487" w:rsidR="00D3674A">
        <w:rPr>
          <w:szCs w:val="27"/>
        </w:rPr>
        <w:t xml:space="preserve">.  </w:t>
      </w:r>
      <w:r w:rsidRPr="00112487" w:rsidR="00E63705">
        <w:rPr>
          <w:szCs w:val="27"/>
        </w:rPr>
        <w:t xml:space="preserve">We find the Court of Appeal’s reasoning unavailing.  </w:t>
      </w:r>
      <w:r w:rsidRPr="00112487" w:rsidR="00F5428A">
        <w:rPr>
          <w:szCs w:val="27"/>
        </w:rPr>
        <w:t xml:space="preserve"> </w:t>
      </w:r>
    </w:p>
    <w:p w:rsidR="00F5428A" w:rsidRPr="00112487" w:rsidP="00A25E48" w14:paraId="679C7954" w14:textId="77777777">
      <w:pPr>
        <w:ind w:firstLine="720"/>
        <w:rPr>
          <w:szCs w:val="27"/>
        </w:rPr>
      </w:pPr>
      <w:r w:rsidRPr="00112487">
        <w:rPr>
          <w:szCs w:val="27"/>
        </w:rPr>
        <w:t xml:space="preserve">In </w:t>
      </w:r>
      <w:r w:rsidRPr="00112487">
        <w:rPr>
          <w:i/>
          <w:iCs/>
          <w:szCs w:val="27"/>
        </w:rPr>
        <w:t>SantaFe</w:t>
      </w:r>
      <w:r w:rsidRPr="00112487">
        <w:rPr>
          <w:szCs w:val="27"/>
        </w:rPr>
        <w:t xml:space="preserve">, </w:t>
      </w:r>
      <w:r w:rsidRPr="00112487">
        <w:rPr>
          <w:i/>
          <w:iCs/>
          <w:szCs w:val="27"/>
        </w:rPr>
        <w:t>supra</w:t>
      </w:r>
      <w:r w:rsidRPr="00112487">
        <w:rPr>
          <w:szCs w:val="27"/>
        </w:rPr>
        <w:t>, 52</w:t>
      </w:r>
      <w:r w:rsidRPr="00112487" w:rsidR="006150F0">
        <w:rPr>
          <w:szCs w:val="27"/>
        </w:rPr>
        <w:t> </w:t>
      </w:r>
      <w:r w:rsidRPr="00112487">
        <w:rPr>
          <w:szCs w:val="27"/>
        </w:rPr>
        <w:t xml:space="preserve">Cal.App.5th 19, the </w:t>
      </w:r>
      <w:r w:rsidRPr="00112487" w:rsidR="00E63705">
        <w:rPr>
          <w:szCs w:val="27"/>
        </w:rPr>
        <w:t>First District</w:t>
      </w:r>
      <w:r w:rsidRPr="00112487" w:rsidR="001A78C8">
        <w:rPr>
          <w:szCs w:val="27"/>
        </w:rPr>
        <w:t xml:space="preserve"> reached a </w:t>
      </w:r>
      <w:r w:rsidRPr="00112487" w:rsidR="00E63705">
        <w:rPr>
          <w:szCs w:val="27"/>
        </w:rPr>
        <w:t>contrary</w:t>
      </w:r>
      <w:r w:rsidRPr="00112487" w:rsidR="008F658B">
        <w:rPr>
          <w:szCs w:val="27"/>
        </w:rPr>
        <w:t xml:space="preserve"> conclusion</w:t>
      </w:r>
      <w:r w:rsidRPr="00112487" w:rsidR="001A78C8">
        <w:rPr>
          <w:szCs w:val="27"/>
        </w:rPr>
        <w:t xml:space="preserve">, reasoning that </w:t>
      </w:r>
      <w:r w:rsidRPr="00112487">
        <w:rPr>
          <w:szCs w:val="27"/>
        </w:rPr>
        <w:t xml:space="preserve">the distinctions between primary insurance and excess insurance “provide little justification for construing the policy language interpreted in </w:t>
      </w:r>
      <w:r w:rsidRPr="00112487">
        <w:rPr>
          <w:i/>
          <w:iCs/>
          <w:szCs w:val="27"/>
        </w:rPr>
        <w:t>Montrose II</w:t>
      </w:r>
      <w:r w:rsidR="00854DC3">
        <w:rPr>
          <w:i/>
          <w:iCs/>
          <w:szCs w:val="27"/>
        </w:rPr>
        <w:t>I</w:t>
      </w:r>
      <w:r w:rsidRPr="00112487">
        <w:rPr>
          <w:szCs w:val="27"/>
        </w:rPr>
        <w:t xml:space="preserve"> differently.”  (</w:t>
      </w:r>
      <w:r w:rsidRPr="00112487">
        <w:rPr>
          <w:i/>
          <w:iCs/>
          <w:szCs w:val="27"/>
        </w:rPr>
        <w:t>Id</w:t>
      </w:r>
      <w:r w:rsidRPr="00112487">
        <w:rPr>
          <w:szCs w:val="27"/>
        </w:rPr>
        <w:t>. at p. 2</w:t>
      </w:r>
      <w:r w:rsidRPr="00112487" w:rsidR="004074B1">
        <w:rPr>
          <w:szCs w:val="27"/>
        </w:rPr>
        <w:t>8</w:t>
      </w:r>
      <w:r w:rsidRPr="00112487">
        <w:rPr>
          <w:szCs w:val="27"/>
        </w:rPr>
        <w:t xml:space="preserve">.)  </w:t>
      </w:r>
      <w:r w:rsidRPr="00112487" w:rsidR="001A78C8">
        <w:rPr>
          <w:szCs w:val="27"/>
        </w:rPr>
        <w:t xml:space="preserve">Regarding the differences in the </w:t>
      </w:r>
      <w:r w:rsidRPr="00112487">
        <w:rPr>
          <w:szCs w:val="27"/>
        </w:rPr>
        <w:t>premiums paid</w:t>
      </w:r>
      <w:r w:rsidRPr="00112487" w:rsidR="009419E4">
        <w:rPr>
          <w:szCs w:val="27"/>
        </w:rPr>
        <w:t xml:space="preserve"> for primary and excess insurance</w:t>
      </w:r>
      <w:r w:rsidRPr="00112487" w:rsidR="00E80F6D">
        <w:rPr>
          <w:szCs w:val="27"/>
        </w:rPr>
        <w:t xml:space="preserve">, the court explained </w:t>
      </w:r>
      <w:r w:rsidRPr="00112487" w:rsidR="001A78C8">
        <w:rPr>
          <w:szCs w:val="27"/>
        </w:rPr>
        <w:t xml:space="preserve">that </w:t>
      </w:r>
      <w:r w:rsidRPr="00112487" w:rsidR="00E80F6D">
        <w:rPr>
          <w:szCs w:val="27"/>
        </w:rPr>
        <w:t xml:space="preserve">“the </w:t>
      </w:r>
      <w:r w:rsidRPr="00112487">
        <w:rPr>
          <w:szCs w:val="27"/>
        </w:rPr>
        <w:t xml:space="preserve">evaluation of risk based on the assumption of vertical exhaustion is straightforward and can be made based on known parameters. </w:t>
      </w:r>
      <w:r w:rsidRPr="00112487" w:rsidR="00E80F6D">
        <w:rPr>
          <w:szCs w:val="27"/>
        </w:rPr>
        <w:t xml:space="preserve"> </w:t>
      </w:r>
      <w:r w:rsidRPr="00112487">
        <w:rPr>
          <w:szCs w:val="27"/>
        </w:rPr>
        <w:t>However, if the risk assessment were to be made based on the assumption of horizontal exhaustion, the evaluation would be speculative and unpredictable</w:t>
      </w:r>
      <w:r w:rsidRPr="00112487" w:rsidR="00E80F6D">
        <w:rPr>
          <w:szCs w:val="27"/>
        </w:rPr>
        <w:t>” as the “</w:t>
      </w:r>
      <w:r w:rsidRPr="00112487">
        <w:rPr>
          <w:szCs w:val="27"/>
        </w:rPr>
        <w:t>level of liability at which the excess coverage would attach would be unascertainable.</w:t>
      </w:r>
      <w:r w:rsidRPr="00112487" w:rsidR="001A78C8">
        <w:rPr>
          <w:szCs w:val="27"/>
        </w:rPr>
        <w:t> </w:t>
      </w:r>
      <w:r w:rsidRPr="00112487" w:rsidR="00E80F6D">
        <w:rPr>
          <w:szCs w:val="27"/>
        </w:rPr>
        <w:t>.</w:t>
      </w:r>
      <w:r w:rsidRPr="00112487" w:rsidR="001A78C8">
        <w:rPr>
          <w:szCs w:val="27"/>
        </w:rPr>
        <w:t> </w:t>
      </w:r>
      <w:r w:rsidRPr="00112487" w:rsidR="00E80F6D">
        <w:rPr>
          <w:szCs w:val="27"/>
        </w:rPr>
        <w:t>.</w:t>
      </w:r>
      <w:r w:rsidRPr="00112487" w:rsidR="001A78C8">
        <w:rPr>
          <w:szCs w:val="27"/>
        </w:rPr>
        <w:t> </w:t>
      </w:r>
      <w:r w:rsidRPr="00112487" w:rsidR="00E80F6D">
        <w:rPr>
          <w:szCs w:val="27"/>
        </w:rPr>
        <w:t>.</w:t>
      </w:r>
      <w:r w:rsidRPr="00112487" w:rsidR="00A737BF">
        <w:rPr>
          <w:szCs w:val="27"/>
        </w:rPr>
        <w:t xml:space="preserve"> </w:t>
      </w:r>
      <w:r w:rsidRPr="00112487" w:rsidR="00E80F6D">
        <w:rPr>
          <w:szCs w:val="27"/>
        </w:rPr>
        <w:t xml:space="preserve"> </w:t>
      </w:r>
      <w:r w:rsidRPr="00112487">
        <w:rPr>
          <w:szCs w:val="27"/>
        </w:rPr>
        <w:t>The difference between premiums paid for excess and for primary policies does not justify an interpretation that renders the point of attachment so unpredictable and unascertainable when the policy is issued.</w:t>
      </w:r>
      <w:r w:rsidRPr="00112487" w:rsidR="00E80F6D">
        <w:rPr>
          <w:szCs w:val="27"/>
        </w:rPr>
        <w:t>”</w:t>
      </w:r>
      <w:r w:rsidRPr="00112487" w:rsidR="001A78C8">
        <w:rPr>
          <w:szCs w:val="27"/>
        </w:rPr>
        <w:t xml:space="preserve">  (</w:t>
      </w:r>
      <w:r w:rsidRPr="00112487" w:rsidR="001A78C8">
        <w:rPr>
          <w:i/>
          <w:iCs/>
          <w:szCs w:val="27"/>
        </w:rPr>
        <w:t>Id</w:t>
      </w:r>
      <w:r w:rsidRPr="00112487" w:rsidR="001A78C8">
        <w:rPr>
          <w:szCs w:val="27"/>
        </w:rPr>
        <w:t>.</w:t>
      </w:r>
      <w:r w:rsidRPr="00112487" w:rsidR="004074B1">
        <w:rPr>
          <w:szCs w:val="27"/>
        </w:rPr>
        <w:t xml:space="preserve"> at p. 29.</w:t>
      </w:r>
      <w:r w:rsidRPr="00112487" w:rsidR="001A78C8">
        <w:rPr>
          <w:szCs w:val="27"/>
        </w:rPr>
        <w:t>)</w:t>
      </w:r>
    </w:p>
    <w:p w:rsidR="00E80F6D" w:rsidRPr="00112487" w:rsidP="00A25E48" w14:paraId="679C7955" w14:textId="77777777">
      <w:pPr>
        <w:ind w:firstLine="720"/>
        <w:rPr>
          <w:szCs w:val="27"/>
        </w:rPr>
      </w:pPr>
      <w:r w:rsidRPr="00112487">
        <w:rPr>
          <w:szCs w:val="27"/>
        </w:rPr>
        <w:t xml:space="preserve">Regarding “the </w:t>
      </w:r>
      <w:r w:rsidRPr="00112487" w:rsidR="00F5428A">
        <w:rPr>
          <w:szCs w:val="27"/>
        </w:rPr>
        <w:t>differing defense obligations</w:t>
      </w:r>
      <w:r w:rsidRPr="00112487">
        <w:rPr>
          <w:szCs w:val="27"/>
        </w:rPr>
        <w:t>” between primary and excess insurance</w:t>
      </w:r>
      <w:r w:rsidRPr="00112487" w:rsidR="001A78C8">
        <w:rPr>
          <w:szCs w:val="27"/>
        </w:rPr>
        <w:t xml:space="preserve"> (</w:t>
      </w:r>
      <w:r w:rsidRPr="00112487" w:rsidR="001A78C8">
        <w:rPr>
          <w:i/>
          <w:iCs/>
          <w:szCs w:val="27"/>
        </w:rPr>
        <w:t>SantaFe</w:t>
      </w:r>
      <w:r w:rsidRPr="00112487" w:rsidR="001A78C8">
        <w:rPr>
          <w:szCs w:val="27"/>
        </w:rPr>
        <w:t xml:space="preserve">, </w:t>
      </w:r>
      <w:r w:rsidRPr="00112487" w:rsidR="001A78C8">
        <w:rPr>
          <w:i/>
          <w:iCs/>
          <w:szCs w:val="27"/>
        </w:rPr>
        <w:t>supra</w:t>
      </w:r>
      <w:r w:rsidRPr="00112487" w:rsidR="001A78C8">
        <w:rPr>
          <w:szCs w:val="27"/>
        </w:rPr>
        <w:t>, 52</w:t>
      </w:r>
      <w:r w:rsidRPr="00112487" w:rsidR="006150F0">
        <w:rPr>
          <w:szCs w:val="27"/>
        </w:rPr>
        <w:t> </w:t>
      </w:r>
      <w:r w:rsidRPr="00112487" w:rsidR="001A78C8">
        <w:rPr>
          <w:szCs w:val="27"/>
        </w:rPr>
        <w:t>Cal.App.5th at p</w:t>
      </w:r>
      <w:r w:rsidRPr="00112487" w:rsidR="00436958">
        <w:rPr>
          <w:szCs w:val="27"/>
        </w:rPr>
        <w:t>.</w:t>
      </w:r>
      <w:r w:rsidRPr="00112487" w:rsidR="001A78C8">
        <w:rPr>
          <w:szCs w:val="27"/>
        </w:rPr>
        <w:t> </w:t>
      </w:r>
      <w:r w:rsidRPr="00112487" w:rsidR="008F658B">
        <w:rPr>
          <w:szCs w:val="27"/>
        </w:rPr>
        <w:t>2</w:t>
      </w:r>
      <w:r w:rsidRPr="00112487" w:rsidR="001A78C8">
        <w:rPr>
          <w:szCs w:val="27"/>
        </w:rPr>
        <w:t>9</w:t>
      </w:r>
      <w:r w:rsidRPr="00112487" w:rsidR="00436958">
        <w:rPr>
          <w:szCs w:val="27"/>
        </w:rPr>
        <w:t>)</w:t>
      </w:r>
      <w:r w:rsidRPr="00112487" w:rsidR="001A78C8">
        <w:rPr>
          <w:szCs w:val="27"/>
        </w:rPr>
        <w:t xml:space="preserve">, the court explained </w:t>
      </w:r>
      <w:r w:rsidRPr="00112487" w:rsidR="008F658B">
        <w:rPr>
          <w:szCs w:val="27"/>
        </w:rPr>
        <w:t xml:space="preserve">that requiring </w:t>
      </w:r>
      <w:r w:rsidRPr="00112487" w:rsidR="00725CDF">
        <w:rPr>
          <w:szCs w:val="27"/>
        </w:rPr>
        <w:t xml:space="preserve">the insured to </w:t>
      </w:r>
      <w:r w:rsidRPr="00112487" w:rsidR="008F658B">
        <w:rPr>
          <w:szCs w:val="27"/>
        </w:rPr>
        <w:t>exhaust</w:t>
      </w:r>
      <w:r w:rsidRPr="00112487" w:rsidR="00725CDF">
        <w:rPr>
          <w:szCs w:val="27"/>
        </w:rPr>
        <w:t xml:space="preserve"> only the directly underlying primary policy does not</w:t>
      </w:r>
      <w:r w:rsidRPr="00112487" w:rsidR="008F658B">
        <w:rPr>
          <w:szCs w:val="27"/>
        </w:rPr>
        <w:t xml:space="preserve"> alter </w:t>
      </w:r>
      <w:r w:rsidRPr="00112487">
        <w:rPr>
          <w:szCs w:val="27"/>
        </w:rPr>
        <w:t>the “</w:t>
      </w:r>
      <w:r w:rsidRPr="00112487" w:rsidR="00F5428A">
        <w:rPr>
          <w:szCs w:val="27"/>
        </w:rPr>
        <w:t xml:space="preserve">well settled </w:t>
      </w:r>
      <w:r w:rsidRPr="00112487">
        <w:rPr>
          <w:szCs w:val="27"/>
        </w:rPr>
        <w:t xml:space="preserve">[rule] </w:t>
      </w:r>
      <w:r w:rsidRPr="00112487" w:rsidR="00F5428A">
        <w:rPr>
          <w:szCs w:val="27"/>
        </w:rPr>
        <w:t xml:space="preserve">that an excess insurer </w:t>
      </w:r>
      <w:r w:rsidRPr="00112487" w:rsidR="008F658B">
        <w:rPr>
          <w:szCs w:val="27"/>
        </w:rPr>
        <w:t xml:space="preserve">[generally] </w:t>
      </w:r>
      <w:r w:rsidRPr="00112487" w:rsidR="00F5428A">
        <w:rPr>
          <w:szCs w:val="27"/>
        </w:rPr>
        <w:t>has no duty to defend unless the underlying primary insurance is exhausted</w:t>
      </w:r>
      <w:r w:rsidRPr="00112487" w:rsidR="008F658B">
        <w:rPr>
          <w:szCs w:val="27"/>
        </w:rPr>
        <w:t>” (</w:t>
      </w:r>
      <w:r w:rsidRPr="00112487" w:rsidR="008F658B">
        <w:rPr>
          <w:i/>
          <w:iCs/>
          <w:szCs w:val="27"/>
        </w:rPr>
        <w:t>ibid</w:t>
      </w:r>
      <w:r w:rsidRPr="00112487" w:rsidR="008F658B">
        <w:rPr>
          <w:szCs w:val="27"/>
        </w:rPr>
        <w:t>.).  The court noted that “[f]</w:t>
      </w:r>
      <w:r w:rsidRPr="00112487" w:rsidR="00F5428A">
        <w:rPr>
          <w:szCs w:val="27"/>
        </w:rPr>
        <w:t xml:space="preserve">rom the perspective of the insured, one would reasonably expect </w:t>
      </w:r>
      <w:r w:rsidRPr="00112487" w:rsidR="008F658B">
        <w:rPr>
          <w:szCs w:val="27"/>
        </w:rPr>
        <w:t xml:space="preserve">the </w:t>
      </w:r>
      <w:r w:rsidRPr="00112487" w:rsidR="00F5428A">
        <w:rPr>
          <w:szCs w:val="27"/>
        </w:rPr>
        <w:t>excess insurer</w:t>
      </w:r>
      <w:r w:rsidRPr="00112487" w:rsidR="008F658B">
        <w:rPr>
          <w:szCs w:val="27"/>
        </w:rPr>
        <w:t xml:space="preserve"> </w:t>
      </w:r>
      <w:r w:rsidRPr="00112487" w:rsidR="00AF60F5">
        <w:rPr>
          <w:szCs w:val="27"/>
        </w:rPr>
        <w:t xml:space="preserve">to </w:t>
      </w:r>
      <w:r w:rsidRPr="00112487" w:rsidR="004E33BA">
        <w:rPr>
          <w:szCs w:val="27"/>
        </w:rPr>
        <w:t>contribute to</w:t>
      </w:r>
      <w:r w:rsidRPr="00112487" w:rsidR="00AF60F5">
        <w:rPr>
          <w:szCs w:val="27"/>
        </w:rPr>
        <w:t xml:space="preserve"> the </w:t>
      </w:r>
      <w:r w:rsidRPr="00112487" w:rsidR="008F658B">
        <w:rPr>
          <w:szCs w:val="27"/>
        </w:rPr>
        <w:t xml:space="preserve">defense once </w:t>
      </w:r>
      <w:r w:rsidRPr="00112487" w:rsidR="00F5428A">
        <w:rPr>
          <w:szCs w:val="27"/>
        </w:rPr>
        <w:t>the scheduled primary policies have been exhausted and the attachment points reached.</w:t>
      </w:r>
      <w:r w:rsidRPr="00112487">
        <w:rPr>
          <w:szCs w:val="27"/>
        </w:rPr>
        <w:t xml:space="preserve">” </w:t>
      </w:r>
      <w:r w:rsidRPr="00112487" w:rsidR="008F658B">
        <w:rPr>
          <w:szCs w:val="27"/>
        </w:rPr>
        <w:t xml:space="preserve"> (</w:t>
      </w:r>
      <w:r w:rsidRPr="00112487" w:rsidR="008F658B">
        <w:rPr>
          <w:i/>
          <w:iCs/>
          <w:szCs w:val="27"/>
        </w:rPr>
        <w:t>Ibid</w:t>
      </w:r>
      <w:r w:rsidRPr="00112487" w:rsidR="008F658B">
        <w:rPr>
          <w:szCs w:val="27"/>
        </w:rPr>
        <w:t>.)</w:t>
      </w:r>
      <w:r>
        <w:rPr>
          <w:rStyle w:val="FootnoteReference"/>
          <w:szCs w:val="27"/>
        </w:rPr>
        <w:footnoteReference w:id="14"/>
      </w:r>
      <w:r w:rsidRPr="00112487">
        <w:rPr>
          <w:szCs w:val="27"/>
        </w:rPr>
        <w:t xml:space="preserve"> </w:t>
      </w:r>
      <w:r w:rsidRPr="00112487" w:rsidR="00F5428A">
        <w:rPr>
          <w:szCs w:val="27"/>
        </w:rPr>
        <w:t xml:space="preserve"> </w:t>
      </w:r>
    </w:p>
    <w:p w:rsidR="00324071" w:rsidRPr="00112487" w:rsidP="00A25E48" w14:paraId="679C7956" w14:textId="77777777">
      <w:pPr>
        <w:ind w:firstLine="720"/>
        <w:rPr>
          <w:szCs w:val="27"/>
        </w:rPr>
      </w:pPr>
      <w:r w:rsidRPr="00112487">
        <w:rPr>
          <w:szCs w:val="27"/>
        </w:rPr>
        <w:t xml:space="preserve">We believe </w:t>
      </w:r>
      <w:r w:rsidRPr="00112487" w:rsidR="008F658B">
        <w:rPr>
          <w:szCs w:val="27"/>
        </w:rPr>
        <w:t xml:space="preserve">that </w:t>
      </w:r>
      <w:r w:rsidRPr="00112487">
        <w:rPr>
          <w:i/>
          <w:iCs/>
          <w:szCs w:val="27"/>
        </w:rPr>
        <w:t>SantaFe</w:t>
      </w:r>
      <w:r w:rsidRPr="00112487">
        <w:rPr>
          <w:szCs w:val="27"/>
        </w:rPr>
        <w:t xml:space="preserve"> has the </w:t>
      </w:r>
      <w:r w:rsidRPr="00112487" w:rsidR="001940CF">
        <w:rPr>
          <w:szCs w:val="27"/>
        </w:rPr>
        <w:t>better</w:t>
      </w:r>
      <w:r w:rsidRPr="00112487">
        <w:rPr>
          <w:szCs w:val="27"/>
        </w:rPr>
        <w:t xml:space="preserve"> view.  </w:t>
      </w:r>
      <w:r w:rsidRPr="00112487" w:rsidR="001940CF">
        <w:rPr>
          <w:szCs w:val="27"/>
        </w:rPr>
        <w:t xml:space="preserve">We are not persuaded that the </w:t>
      </w:r>
      <w:r w:rsidRPr="00112487" w:rsidR="008F658B">
        <w:rPr>
          <w:szCs w:val="27"/>
        </w:rPr>
        <w:t xml:space="preserve">differences in characteristics between </w:t>
      </w:r>
      <w:r w:rsidRPr="00112487">
        <w:rPr>
          <w:szCs w:val="27"/>
        </w:rPr>
        <w:t xml:space="preserve">primary </w:t>
      </w:r>
      <w:r w:rsidRPr="00112487" w:rsidR="001F3F40">
        <w:rPr>
          <w:szCs w:val="27"/>
        </w:rPr>
        <w:t xml:space="preserve">and excess </w:t>
      </w:r>
      <w:r w:rsidRPr="00112487" w:rsidR="001940CF">
        <w:rPr>
          <w:szCs w:val="27"/>
        </w:rPr>
        <w:t>insur</w:t>
      </w:r>
      <w:r w:rsidRPr="00112487" w:rsidR="008F658B">
        <w:rPr>
          <w:szCs w:val="27"/>
        </w:rPr>
        <w:t xml:space="preserve">ance </w:t>
      </w:r>
      <w:r w:rsidRPr="00112487" w:rsidR="008816B7">
        <w:rPr>
          <w:szCs w:val="27"/>
        </w:rPr>
        <w:t xml:space="preserve">is sufficient to </w:t>
      </w:r>
      <w:r w:rsidRPr="00112487" w:rsidR="008F658B">
        <w:rPr>
          <w:szCs w:val="27"/>
        </w:rPr>
        <w:t>demonstrate t</w:t>
      </w:r>
      <w:r w:rsidRPr="00112487" w:rsidR="001940CF">
        <w:rPr>
          <w:szCs w:val="27"/>
        </w:rPr>
        <w:t>hat</w:t>
      </w:r>
      <w:r w:rsidRPr="00112487" w:rsidR="008E5A98">
        <w:rPr>
          <w:szCs w:val="27"/>
        </w:rPr>
        <w:t xml:space="preserve"> </w:t>
      </w:r>
      <w:r w:rsidRPr="00112487" w:rsidR="001940CF">
        <w:rPr>
          <w:szCs w:val="27"/>
        </w:rPr>
        <w:t>“other insurance” provisions</w:t>
      </w:r>
      <w:r w:rsidRPr="00112487" w:rsidR="008E5A98">
        <w:rPr>
          <w:szCs w:val="27"/>
        </w:rPr>
        <w:t xml:space="preserve"> </w:t>
      </w:r>
      <w:r w:rsidRPr="00112487" w:rsidR="008816B7">
        <w:rPr>
          <w:szCs w:val="27"/>
        </w:rPr>
        <w:t xml:space="preserve">are meant to require horizontal exhaustion when used </w:t>
      </w:r>
      <w:r w:rsidRPr="00112487" w:rsidR="008E5A98">
        <w:rPr>
          <w:szCs w:val="27"/>
        </w:rPr>
        <w:t>in first-level excess policies</w:t>
      </w:r>
      <w:r w:rsidRPr="00112487" w:rsidR="001940CF">
        <w:rPr>
          <w:szCs w:val="27"/>
        </w:rPr>
        <w:t xml:space="preserve">.  </w:t>
      </w:r>
      <w:r w:rsidRPr="00112487" w:rsidR="00AB775A">
        <w:rPr>
          <w:szCs w:val="27"/>
        </w:rPr>
        <w:t xml:space="preserve">As noted, </w:t>
      </w:r>
      <w:r w:rsidRPr="00112487" w:rsidR="00B62BB2">
        <w:rPr>
          <w:i/>
          <w:iCs/>
          <w:szCs w:val="27"/>
        </w:rPr>
        <w:t>Montrose III</w:t>
      </w:r>
      <w:r w:rsidRPr="00112487" w:rsidR="008E5A98">
        <w:rPr>
          <w:szCs w:val="27"/>
        </w:rPr>
        <w:t xml:space="preserve"> </w:t>
      </w:r>
      <w:r w:rsidRPr="00112487" w:rsidR="00745951">
        <w:rPr>
          <w:szCs w:val="27"/>
        </w:rPr>
        <w:t xml:space="preserve">concluded </w:t>
      </w:r>
      <w:r w:rsidRPr="00112487" w:rsidR="008E5A98">
        <w:rPr>
          <w:szCs w:val="27"/>
        </w:rPr>
        <w:t>that identical language</w:t>
      </w:r>
      <w:r w:rsidRPr="00112487" w:rsidR="00745951">
        <w:rPr>
          <w:szCs w:val="27"/>
        </w:rPr>
        <w:t xml:space="preserve"> appearing </w:t>
      </w:r>
      <w:r w:rsidRPr="00112487" w:rsidR="008E5A98">
        <w:rPr>
          <w:szCs w:val="27"/>
        </w:rPr>
        <w:t xml:space="preserve">in higher-level excess policies </w:t>
      </w:r>
      <w:r w:rsidRPr="00112487" w:rsidR="00745951">
        <w:rPr>
          <w:szCs w:val="27"/>
        </w:rPr>
        <w:t xml:space="preserve">is most reasonably construed as applying only to underlying insurance that covers the same policy period.  </w:t>
      </w:r>
      <w:r w:rsidRPr="00112487" w:rsidR="00AB775A">
        <w:rPr>
          <w:szCs w:val="27"/>
        </w:rPr>
        <w:t xml:space="preserve">We do not believe that the </w:t>
      </w:r>
      <w:r w:rsidRPr="00112487">
        <w:rPr>
          <w:szCs w:val="27"/>
        </w:rPr>
        <w:t xml:space="preserve">meaning of the language is transformed </w:t>
      </w:r>
      <w:r w:rsidRPr="00112487" w:rsidR="00E329CE">
        <w:rPr>
          <w:szCs w:val="27"/>
        </w:rPr>
        <w:t xml:space="preserve">to </w:t>
      </w:r>
      <w:r w:rsidRPr="00112487" w:rsidR="009419E4">
        <w:rPr>
          <w:szCs w:val="27"/>
        </w:rPr>
        <w:t xml:space="preserve">say exactly what we concluded it did not say in </w:t>
      </w:r>
      <w:r w:rsidRPr="00112487" w:rsidR="00B62BB2">
        <w:rPr>
          <w:i/>
          <w:iCs/>
          <w:szCs w:val="27"/>
        </w:rPr>
        <w:t>Montrose III</w:t>
      </w:r>
      <w:r w:rsidRPr="00112487" w:rsidR="009419E4">
        <w:rPr>
          <w:szCs w:val="27"/>
        </w:rPr>
        <w:t xml:space="preserve"> </w:t>
      </w:r>
      <w:r w:rsidRPr="00112487">
        <w:rPr>
          <w:szCs w:val="27"/>
        </w:rPr>
        <w:t xml:space="preserve">merely because the </w:t>
      </w:r>
      <w:r w:rsidRPr="00112487" w:rsidR="00E329CE">
        <w:rPr>
          <w:szCs w:val="27"/>
        </w:rPr>
        <w:t>policy sits over primary insurance rather than another level of excess insurance.</w:t>
      </w:r>
    </w:p>
    <w:p w:rsidR="007C5950" w:rsidRPr="00112487" w:rsidP="00A25E48" w14:paraId="679C7957" w14:textId="77777777">
      <w:pPr>
        <w:ind w:firstLine="720"/>
        <w:rPr>
          <w:szCs w:val="27"/>
        </w:rPr>
      </w:pPr>
      <w:r w:rsidRPr="00112487">
        <w:rPr>
          <w:szCs w:val="27"/>
        </w:rPr>
        <w:t>Furthermore</w:t>
      </w:r>
      <w:r w:rsidRPr="00112487" w:rsidR="00324071">
        <w:rPr>
          <w:szCs w:val="27"/>
        </w:rPr>
        <w:t>, a</w:t>
      </w:r>
      <w:r w:rsidRPr="00112487" w:rsidR="001940CF">
        <w:rPr>
          <w:szCs w:val="27"/>
        </w:rPr>
        <w:t xml:space="preserve">s </w:t>
      </w:r>
      <w:r w:rsidRPr="00112487" w:rsidR="001940CF">
        <w:rPr>
          <w:i/>
          <w:iCs/>
          <w:szCs w:val="27"/>
        </w:rPr>
        <w:t>SantaFe</w:t>
      </w:r>
      <w:r w:rsidRPr="00112487" w:rsidR="001940CF">
        <w:rPr>
          <w:szCs w:val="27"/>
        </w:rPr>
        <w:t xml:space="preserve"> </w:t>
      </w:r>
      <w:r w:rsidRPr="00112487" w:rsidR="00934F53">
        <w:rPr>
          <w:szCs w:val="27"/>
        </w:rPr>
        <w:t>explained</w:t>
      </w:r>
      <w:r w:rsidRPr="00112487" w:rsidR="001940CF">
        <w:rPr>
          <w:szCs w:val="27"/>
        </w:rPr>
        <w:t xml:space="preserve">, </w:t>
      </w:r>
      <w:r w:rsidRPr="00112487" w:rsidR="00934F53">
        <w:rPr>
          <w:szCs w:val="27"/>
        </w:rPr>
        <w:t xml:space="preserve">even under </w:t>
      </w:r>
      <w:r w:rsidRPr="00112487" w:rsidR="00E329CE">
        <w:rPr>
          <w:szCs w:val="27"/>
        </w:rPr>
        <w:t xml:space="preserve">the </w:t>
      </w:r>
      <w:r w:rsidRPr="00112487" w:rsidR="00934F53">
        <w:rPr>
          <w:szCs w:val="27"/>
        </w:rPr>
        <w:t>rule of vertical exhaustion</w:t>
      </w:r>
      <w:r w:rsidRPr="00112487" w:rsidR="00E329CE">
        <w:rPr>
          <w:szCs w:val="27"/>
        </w:rPr>
        <w:t xml:space="preserve"> that we adopted in </w:t>
      </w:r>
      <w:r w:rsidRPr="00112487" w:rsidR="00B62BB2">
        <w:rPr>
          <w:i/>
          <w:iCs/>
          <w:szCs w:val="27"/>
        </w:rPr>
        <w:t>Montrose III</w:t>
      </w:r>
      <w:r w:rsidRPr="00112487" w:rsidR="00934F53">
        <w:rPr>
          <w:szCs w:val="27"/>
        </w:rPr>
        <w:t xml:space="preserve">, </w:t>
      </w:r>
      <w:r w:rsidRPr="00112487" w:rsidR="001940CF">
        <w:rPr>
          <w:szCs w:val="27"/>
        </w:rPr>
        <w:t>th</w:t>
      </w:r>
      <w:r w:rsidRPr="00112487" w:rsidR="00934F53">
        <w:rPr>
          <w:szCs w:val="27"/>
        </w:rPr>
        <w:t xml:space="preserve">e differences in </w:t>
      </w:r>
      <w:r w:rsidRPr="00112487" w:rsidR="001940CF">
        <w:rPr>
          <w:szCs w:val="27"/>
        </w:rPr>
        <w:t xml:space="preserve">premiums </w:t>
      </w:r>
      <w:r w:rsidRPr="00112487">
        <w:rPr>
          <w:szCs w:val="27"/>
        </w:rPr>
        <w:t xml:space="preserve">between primary and excess insurance </w:t>
      </w:r>
      <w:r w:rsidRPr="00112487" w:rsidR="00745951">
        <w:rPr>
          <w:szCs w:val="27"/>
        </w:rPr>
        <w:t xml:space="preserve">continue to </w:t>
      </w:r>
      <w:r w:rsidRPr="00112487" w:rsidR="00934F53">
        <w:rPr>
          <w:szCs w:val="27"/>
        </w:rPr>
        <w:t xml:space="preserve">reflect </w:t>
      </w:r>
      <w:r w:rsidRPr="00112487" w:rsidR="00AF60F5">
        <w:rPr>
          <w:szCs w:val="27"/>
        </w:rPr>
        <w:t xml:space="preserve">the </w:t>
      </w:r>
      <w:r w:rsidRPr="00112487" w:rsidR="00934F53">
        <w:rPr>
          <w:szCs w:val="27"/>
        </w:rPr>
        <w:t>fact that the excess insurer</w:t>
      </w:r>
      <w:r w:rsidRPr="00112487">
        <w:rPr>
          <w:szCs w:val="27"/>
        </w:rPr>
        <w:t xml:space="preserve"> still</w:t>
      </w:r>
      <w:r w:rsidRPr="00112487" w:rsidR="00934F53">
        <w:rPr>
          <w:szCs w:val="27"/>
        </w:rPr>
        <w:t xml:space="preserve"> </w:t>
      </w:r>
      <w:r w:rsidRPr="00112487" w:rsidR="00AF60F5">
        <w:rPr>
          <w:szCs w:val="27"/>
        </w:rPr>
        <w:t>h</w:t>
      </w:r>
      <w:r w:rsidRPr="00112487" w:rsidR="001940CF">
        <w:rPr>
          <w:szCs w:val="27"/>
        </w:rPr>
        <w:t>a</w:t>
      </w:r>
      <w:r w:rsidRPr="00112487" w:rsidR="00934F53">
        <w:rPr>
          <w:szCs w:val="27"/>
        </w:rPr>
        <w:t>s</w:t>
      </w:r>
      <w:r w:rsidRPr="00112487" w:rsidR="001940CF">
        <w:rPr>
          <w:szCs w:val="27"/>
        </w:rPr>
        <w:t xml:space="preserve"> no </w:t>
      </w:r>
      <w:r w:rsidRPr="00112487" w:rsidR="00934F53">
        <w:rPr>
          <w:szCs w:val="27"/>
        </w:rPr>
        <w:t xml:space="preserve">indemnity </w:t>
      </w:r>
      <w:r w:rsidRPr="00112487" w:rsidR="001940CF">
        <w:rPr>
          <w:szCs w:val="27"/>
        </w:rPr>
        <w:t>obligation</w:t>
      </w:r>
      <w:r w:rsidRPr="00112487" w:rsidR="004E33BA">
        <w:rPr>
          <w:szCs w:val="27"/>
        </w:rPr>
        <w:t>s</w:t>
      </w:r>
      <w:r w:rsidRPr="00112487" w:rsidR="001940CF">
        <w:rPr>
          <w:szCs w:val="27"/>
        </w:rPr>
        <w:t xml:space="preserve"> unless and until the insured exhaust</w:t>
      </w:r>
      <w:r w:rsidRPr="00112487" w:rsidR="00934F53">
        <w:rPr>
          <w:szCs w:val="27"/>
        </w:rPr>
        <w:t>s</w:t>
      </w:r>
      <w:r w:rsidRPr="00112487" w:rsidR="001940CF">
        <w:rPr>
          <w:szCs w:val="27"/>
        </w:rPr>
        <w:t xml:space="preserve"> the limits of the directly underlying primary policy. </w:t>
      </w:r>
      <w:r w:rsidRPr="00112487" w:rsidR="009F2A7B">
        <w:rPr>
          <w:szCs w:val="27"/>
        </w:rPr>
        <w:t xml:space="preserve"> </w:t>
      </w:r>
      <w:r w:rsidRPr="00112487" w:rsidR="00E329CE">
        <w:rPr>
          <w:szCs w:val="27"/>
        </w:rPr>
        <w:t>G</w:t>
      </w:r>
      <w:r w:rsidRPr="00112487" w:rsidR="006D1EFF">
        <w:rPr>
          <w:szCs w:val="27"/>
        </w:rPr>
        <w:t xml:space="preserve">iven that </w:t>
      </w:r>
      <w:r w:rsidRPr="00112487" w:rsidR="004E33BA">
        <w:rPr>
          <w:szCs w:val="27"/>
        </w:rPr>
        <w:t>the</w:t>
      </w:r>
      <w:r w:rsidRPr="00112487" w:rsidR="00A737BF">
        <w:rPr>
          <w:szCs w:val="27"/>
        </w:rPr>
        <w:t xml:space="preserve">se </w:t>
      </w:r>
      <w:r w:rsidRPr="00112487" w:rsidR="004E33BA">
        <w:rPr>
          <w:szCs w:val="27"/>
        </w:rPr>
        <w:t xml:space="preserve">excess </w:t>
      </w:r>
      <w:r w:rsidRPr="00112487" w:rsidR="006D1EFF">
        <w:rPr>
          <w:szCs w:val="27"/>
        </w:rPr>
        <w:t xml:space="preserve">policies were written long before </w:t>
      </w:r>
      <w:r w:rsidRPr="00112487" w:rsidR="004E33BA">
        <w:rPr>
          <w:szCs w:val="27"/>
        </w:rPr>
        <w:t xml:space="preserve">we adopted </w:t>
      </w:r>
      <w:r w:rsidRPr="00112487" w:rsidR="00B7121A">
        <w:rPr>
          <w:szCs w:val="27"/>
        </w:rPr>
        <w:t>the all-sums</w:t>
      </w:r>
      <w:r w:rsidRPr="00112487" w:rsidR="00827AF1">
        <w:rPr>
          <w:szCs w:val="27"/>
        </w:rPr>
        <w:t>-</w:t>
      </w:r>
      <w:r w:rsidRPr="00112487" w:rsidR="00B7121A">
        <w:rPr>
          <w:szCs w:val="27"/>
        </w:rPr>
        <w:t>with</w:t>
      </w:r>
      <w:r w:rsidR="00BC6E4D">
        <w:rPr>
          <w:szCs w:val="27"/>
        </w:rPr>
        <w:t>-</w:t>
      </w:r>
      <w:r w:rsidRPr="00112487" w:rsidR="00B7121A">
        <w:rPr>
          <w:szCs w:val="27"/>
        </w:rPr>
        <w:t>stacking approach to continuous injur</w:t>
      </w:r>
      <w:r w:rsidRPr="00112487" w:rsidR="004E33BA">
        <w:rPr>
          <w:szCs w:val="27"/>
        </w:rPr>
        <w:t>i</w:t>
      </w:r>
      <w:r w:rsidRPr="00112487" w:rsidR="00B7121A">
        <w:rPr>
          <w:szCs w:val="27"/>
        </w:rPr>
        <w:t>es</w:t>
      </w:r>
      <w:r w:rsidRPr="00112487" w:rsidR="004E33BA">
        <w:rPr>
          <w:szCs w:val="27"/>
        </w:rPr>
        <w:t xml:space="preserve"> </w:t>
      </w:r>
      <w:r w:rsidRPr="00112487" w:rsidR="00B7121A">
        <w:rPr>
          <w:szCs w:val="27"/>
        </w:rPr>
        <w:t xml:space="preserve">(see </w:t>
      </w:r>
      <w:r w:rsidRPr="00112487" w:rsidR="00B7121A">
        <w:rPr>
          <w:i/>
          <w:iCs/>
          <w:szCs w:val="27"/>
        </w:rPr>
        <w:t>ante</w:t>
      </w:r>
      <w:r w:rsidRPr="00112487" w:rsidR="00B7121A">
        <w:rPr>
          <w:szCs w:val="27"/>
        </w:rPr>
        <w:t>, at pp. </w:t>
      </w:r>
      <w:r w:rsidRPr="00112487" w:rsidR="00C71E1F">
        <w:rPr>
          <w:szCs w:val="27"/>
        </w:rPr>
        <w:t>7</w:t>
      </w:r>
      <w:r w:rsidRPr="00112487" w:rsidR="00FE1FB2">
        <w:rPr>
          <w:szCs w:val="27"/>
        </w:rPr>
        <w:t>–</w:t>
      </w:r>
      <w:r w:rsidRPr="00112487" w:rsidR="00C71E1F">
        <w:rPr>
          <w:szCs w:val="27"/>
        </w:rPr>
        <w:t>9</w:t>
      </w:r>
      <w:r w:rsidRPr="00112487" w:rsidR="00B7121A">
        <w:rPr>
          <w:szCs w:val="27"/>
        </w:rPr>
        <w:t xml:space="preserve">), </w:t>
      </w:r>
      <w:r w:rsidRPr="00112487" w:rsidR="006D1EFF">
        <w:rPr>
          <w:szCs w:val="27"/>
        </w:rPr>
        <w:t xml:space="preserve">we </w:t>
      </w:r>
      <w:r w:rsidRPr="00112487" w:rsidR="004E33BA">
        <w:rPr>
          <w:szCs w:val="27"/>
        </w:rPr>
        <w:t xml:space="preserve">are dubious </w:t>
      </w:r>
      <w:r w:rsidRPr="00112487" w:rsidR="006D1EFF">
        <w:rPr>
          <w:szCs w:val="27"/>
        </w:rPr>
        <w:t xml:space="preserve">that the </w:t>
      </w:r>
      <w:r w:rsidRPr="00112487" w:rsidR="00B7121A">
        <w:rPr>
          <w:szCs w:val="27"/>
        </w:rPr>
        <w:t xml:space="preserve">excess insurers </w:t>
      </w:r>
      <w:r w:rsidRPr="00112487" w:rsidR="006D1EFF">
        <w:rPr>
          <w:szCs w:val="27"/>
        </w:rPr>
        <w:t xml:space="preserve">priced </w:t>
      </w:r>
      <w:r w:rsidRPr="00112487" w:rsidR="00B7121A">
        <w:rPr>
          <w:szCs w:val="27"/>
        </w:rPr>
        <w:t xml:space="preserve">their </w:t>
      </w:r>
      <w:r w:rsidRPr="00112487" w:rsidR="006D1EFF">
        <w:rPr>
          <w:szCs w:val="27"/>
        </w:rPr>
        <w:t xml:space="preserve">premiums on the assumption that </w:t>
      </w:r>
      <w:r w:rsidRPr="00112487" w:rsidR="006033EB">
        <w:rPr>
          <w:szCs w:val="27"/>
        </w:rPr>
        <w:t xml:space="preserve">their policies would not attach until the insured had exhausted the directly underlying primary policies </w:t>
      </w:r>
      <w:r w:rsidRPr="00112487" w:rsidR="006033EB">
        <w:rPr>
          <w:i/>
          <w:iCs/>
          <w:szCs w:val="27"/>
        </w:rPr>
        <w:t xml:space="preserve">along with any </w:t>
      </w:r>
      <w:r w:rsidRPr="00112487" w:rsidR="00A737BF">
        <w:rPr>
          <w:i/>
          <w:iCs/>
          <w:szCs w:val="27"/>
        </w:rPr>
        <w:t xml:space="preserve">other </w:t>
      </w:r>
      <w:r w:rsidRPr="00112487" w:rsidR="00B7121A">
        <w:rPr>
          <w:i/>
          <w:iCs/>
          <w:szCs w:val="27"/>
        </w:rPr>
        <w:t xml:space="preserve">primary insurance </w:t>
      </w:r>
      <w:r w:rsidRPr="00112487" w:rsidR="006033EB">
        <w:rPr>
          <w:i/>
          <w:iCs/>
          <w:szCs w:val="27"/>
        </w:rPr>
        <w:t xml:space="preserve">the insured might acquire </w:t>
      </w:r>
      <w:r w:rsidRPr="00112487" w:rsidR="006D1EFF">
        <w:rPr>
          <w:i/>
          <w:iCs/>
          <w:szCs w:val="27"/>
        </w:rPr>
        <w:t>in later year</w:t>
      </w:r>
      <w:r w:rsidRPr="00112487" w:rsidR="00B7121A">
        <w:rPr>
          <w:i/>
          <w:iCs/>
          <w:szCs w:val="27"/>
        </w:rPr>
        <w:t>s</w:t>
      </w:r>
      <w:r w:rsidRPr="00112487" w:rsidR="006D1EFF">
        <w:rPr>
          <w:szCs w:val="27"/>
        </w:rPr>
        <w:t>.</w:t>
      </w:r>
      <w:r w:rsidRPr="00112487" w:rsidR="00B7121A">
        <w:rPr>
          <w:szCs w:val="27"/>
        </w:rPr>
        <w:t xml:space="preserve"> </w:t>
      </w:r>
      <w:r w:rsidRPr="00112487" w:rsidR="006D1EFF">
        <w:rPr>
          <w:szCs w:val="27"/>
        </w:rPr>
        <w:t xml:space="preserve"> </w:t>
      </w:r>
      <w:r w:rsidRPr="00112487" w:rsidR="00827AF1">
        <w:rPr>
          <w:szCs w:val="27"/>
        </w:rPr>
        <w:t xml:space="preserve">Were that truly the insurers’ intent, we would expect a clearer statement than a mere reference to “other insurance.”  (See </w:t>
      </w:r>
      <w:r w:rsidRPr="00112487" w:rsidR="00827AF1">
        <w:rPr>
          <w:i/>
          <w:iCs/>
          <w:szCs w:val="27"/>
        </w:rPr>
        <w:t>Montrose I</w:t>
      </w:r>
      <w:r w:rsidRPr="00112487" w:rsidR="00827AF1">
        <w:rPr>
          <w:szCs w:val="27"/>
        </w:rPr>
        <w:t>,</w:t>
      </w:r>
      <w:r w:rsidRPr="00112487" w:rsidR="00827AF1">
        <w:rPr>
          <w:i/>
          <w:iCs/>
          <w:szCs w:val="27"/>
        </w:rPr>
        <w:t xml:space="preserve"> supra</w:t>
      </w:r>
      <w:r w:rsidRPr="00112487" w:rsidR="006150F0">
        <w:rPr>
          <w:szCs w:val="27"/>
        </w:rPr>
        <w:t>,</w:t>
      </w:r>
      <w:r w:rsidRPr="00112487" w:rsidR="00827AF1">
        <w:rPr>
          <w:szCs w:val="27"/>
        </w:rPr>
        <w:t xml:space="preserve"> 10 Cal.4th at p. 647 [“ ‘Because the insurer writes the policy, it is held “responsible” for ambiguous policy language, which is therefore construed in favor of coverage’ ”].) </w:t>
      </w:r>
      <w:r w:rsidRPr="00112487" w:rsidR="00374742">
        <w:rPr>
          <w:szCs w:val="27"/>
        </w:rPr>
        <w:t xml:space="preserve"> </w:t>
      </w:r>
      <w:r w:rsidRPr="00112487" w:rsidR="001041A1">
        <w:rPr>
          <w:szCs w:val="27"/>
        </w:rPr>
        <w:t xml:space="preserve">While </w:t>
      </w:r>
      <w:r w:rsidRPr="00112487" w:rsidR="00827AF1">
        <w:rPr>
          <w:szCs w:val="27"/>
        </w:rPr>
        <w:t xml:space="preserve">the </w:t>
      </w:r>
      <w:r w:rsidRPr="00112487" w:rsidR="006033EB">
        <w:rPr>
          <w:szCs w:val="27"/>
        </w:rPr>
        <w:t xml:space="preserve">excess </w:t>
      </w:r>
      <w:r w:rsidRPr="00112487" w:rsidR="001041A1">
        <w:rPr>
          <w:szCs w:val="27"/>
        </w:rPr>
        <w:t xml:space="preserve">insurers may not have anticipated the </w:t>
      </w:r>
      <w:r w:rsidRPr="00112487" w:rsidR="00A737BF">
        <w:rPr>
          <w:szCs w:val="27"/>
        </w:rPr>
        <w:t xml:space="preserve">coverage and </w:t>
      </w:r>
      <w:r w:rsidRPr="00112487" w:rsidR="001041A1">
        <w:rPr>
          <w:szCs w:val="27"/>
        </w:rPr>
        <w:t xml:space="preserve">allocation rules that have emerged from the </w:t>
      </w:r>
      <w:r w:rsidRPr="00112487" w:rsidR="001041A1">
        <w:rPr>
          <w:i/>
          <w:iCs/>
          <w:szCs w:val="27"/>
        </w:rPr>
        <w:t>Montrose</w:t>
      </w:r>
      <w:r w:rsidRPr="00112487" w:rsidR="001041A1">
        <w:rPr>
          <w:szCs w:val="27"/>
        </w:rPr>
        <w:t xml:space="preserve">, </w:t>
      </w:r>
      <w:r w:rsidRPr="00112487" w:rsidR="001041A1">
        <w:rPr>
          <w:i/>
          <w:iCs/>
          <w:szCs w:val="27"/>
        </w:rPr>
        <w:t>Aerojet</w:t>
      </w:r>
      <w:r w:rsidRPr="00112487" w:rsidR="001041A1">
        <w:rPr>
          <w:szCs w:val="27"/>
        </w:rPr>
        <w:t xml:space="preserve">, and </w:t>
      </w:r>
      <w:r w:rsidRPr="00112487" w:rsidR="001041A1">
        <w:rPr>
          <w:i/>
          <w:iCs/>
          <w:szCs w:val="27"/>
        </w:rPr>
        <w:t>Continental</w:t>
      </w:r>
      <w:r w:rsidRPr="00112487" w:rsidR="001041A1">
        <w:rPr>
          <w:szCs w:val="27"/>
        </w:rPr>
        <w:t xml:space="preserve"> </w:t>
      </w:r>
      <w:r w:rsidRPr="00112487" w:rsidR="004E33BA">
        <w:rPr>
          <w:szCs w:val="27"/>
        </w:rPr>
        <w:t xml:space="preserve">line of </w:t>
      </w:r>
      <w:r w:rsidRPr="00112487" w:rsidR="001041A1">
        <w:rPr>
          <w:szCs w:val="27"/>
        </w:rPr>
        <w:t>decisions, we cannot now rewrite what they promised to the insured</w:t>
      </w:r>
      <w:r w:rsidRPr="00112487" w:rsidR="008B6C96">
        <w:rPr>
          <w:szCs w:val="27"/>
        </w:rPr>
        <w:t>.</w:t>
      </w:r>
      <w:r w:rsidRPr="00112487" w:rsidR="008D539D">
        <w:rPr>
          <w:szCs w:val="27"/>
        </w:rPr>
        <w:t xml:space="preserve"> </w:t>
      </w:r>
      <w:r w:rsidRPr="00112487" w:rsidR="008B6C96">
        <w:rPr>
          <w:szCs w:val="27"/>
        </w:rPr>
        <w:t xml:space="preserve"> </w:t>
      </w:r>
    </w:p>
    <w:p w:rsidR="00B7121A" w:rsidRPr="00112487" w:rsidP="00A25E48" w14:paraId="679C7958" w14:textId="77777777">
      <w:pPr>
        <w:ind w:firstLine="720"/>
        <w:rPr>
          <w:szCs w:val="27"/>
        </w:rPr>
      </w:pPr>
      <w:r w:rsidRPr="00112487">
        <w:rPr>
          <w:szCs w:val="27"/>
        </w:rPr>
        <w:t xml:space="preserve">We are also dubious that even </w:t>
      </w:r>
      <w:r w:rsidRPr="00112487">
        <w:rPr>
          <w:i/>
          <w:iCs/>
          <w:szCs w:val="27"/>
        </w:rPr>
        <w:t>after</w:t>
      </w:r>
      <w:r w:rsidRPr="00112487">
        <w:rPr>
          <w:szCs w:val="27"/>
        </w:rPr>
        <w:t xml:space="preserve"> our adoption of the all-sums-with-stacking approach, excess insurers would choose to price premiums — or that the insured would agree to pay premiums — based on a horizontal exhaustion approach that carries the </w:t>
      </w:r>
      <w:r w:rsidRPr="00D72008">
        <w:rPr>
          <w:szCs w:val="27"/>
        </w:rPr>
        <w:t xml:space="preserve">inherent uncertainty of what other primary insurance the insured might acquire in later years.  </w:t>
      </w:r>
      <w:r w:rsidRPr="00C63635" w:rsidR="00D72008">
        <w:rPr>
          <w:szCs w:val="27"/>
        </w:rPr>
        <w:t xml:space="preserve">By raising </w:t>
      </w:r>
      <w:r w:rsidRPr="00D72008" w:rsidR="00D72008">
        <w:rPr>
          <w:szCs w:val="27"/>
        </w:rPr>
        <w:t xml:space="preserve">the excess policy’s </w:t>
      </w:r>
      <w:r w:rsidRPr="00ED4ED0" w:rsidR="000C7849">
        <w:rPr>
          <w:szCs w:val="27"/>
        </w:rPr>
        <w:t xml:space="preserve">attachment point </w:t>
      </w:r>
      <w:r w:rsidRPr="00ED4ED0">
        <w:rPr>
          <w:szCs w:val="27"/>
        </w:rPr>
        <w:t xml:space="preserve">with </w:t>
      </w:r>
      <w:r w:rsidRPr="00ED4ED0" w:rsidR="00D72008">
        <w:rPr>
          <w:szCs w:val="27"/>
        </w:rPr>
        <w:t>each</w:t>
      </w:r>
      <w:r w:rsidRPr="00ED4ED0">
        <w:rPr>
          <w:szCs w:val="27"/>
        </w:rPr>
        <w:t xml:space="preserve"> subsequent primary policy that the insured </w:t>
      </w:r>
      <w:r w:rsidRPr="00ED4ED0" w:rsidR="00D72008">
        <w:rPr>
          <w:szCs w:val="27"/>
        </w:rPr>
        <w:t xml:space="preserve">acquires </w:t>
      </w:r>
      <w:r w:rsidRPr="00ED4ED0">
        <w:rPr>
          <w:szCs w:val="27"/>
        </w:rPr>
        <w:t xml:space="preserve">during the period of continuous injury, </w:t>
      </w:r>
      <w:r w:rsidRPr="00ED4ED0" w:rsidR="00D72008">
        <w:rPr>
          <w:szCs w:val="27"/>
        </w:rPr>
        <w:t xml:space="preserve">a rule of horizontal exhaustion </w:t>
      </w:r>
      <w:r w:rsidRPr="00D72008" w:rsidR="00D72008">
        <w:t xml:space="preserve">effectively operates to penalize the insured for obtaining </w:t>
      </w:r>
      <w:r w:rsidRPr="00D72008" w:rsidR="00D72008">
        <w:rPr>
          <w:i/>
          <w:iCs/>
        </w:rPr>
        <w:t>more</w:t>
      </w:r>
      <w:r w:rsidRPr="00D72008" w:rsidR="00D72008">
        <w:t xml:space="preserve"> insurance</w:t>
      </w:r>
      <w:r w:rsidRPr="00ED4ED0">
        <w:rPr>
          <w:szCs w:val="27"/>
        </w:rPr>
        <w:t xml:space="preserve">.  It is not clear why the insured would agree to </w:t>
      </w:r>
      <w:r w:rsidR="00ED4ED0">
        <w:rPr>
          <w:szCs w:val="27"/>
        </w:rPr>
        <w:t xml:space="preserve">such </w:t>
      </w:r>
      <w:r w:rsidRPr="00ED4ED0">
        <w:rPr>
          <w:szCs w:val="27"/>
        </w:rPr>
        <w:t>an approach</w:t>
      </w:r>
      <w:r w:rsidRPr="00D72008">
        <w:rPr>
          <w:szCs w:val="27"/>
        </w:rPr>
        <w:t>.  Thus</w:t>
      </w:r>
      <w:r w:rsidRPr="00112487">
        <w:rPr>
          <w:szCs w:val="27"/>
        </w:rPr>
        <w:t>, absent clear policy language to that effect, we decline to read “other insurance” language to reflect such an agreement between the insured and excess insurer.</w:t>
      </w:r>
    </w:p>
    <w:p w:rsidR="00DE270D" w:rsidRPr="00112487" w:rsidP="00A25E48" w14:paraId="679C7959" w14:textId="77777777">
      <w:pPr>
        <w:ind w:firstLine="720"/>
        <w:rPr>
          <w:szCs w:val="27"/>
        </w:rPr>
      </w:pPr>
      <w:r w:rsidRPr="00112487">
        <w:rPr>
          <w:szCs w:val="27"/>
        </w:rPr>
        <w:t>In sum, we believe that</w:t>
      </w:r>
      <w:r w:rsidRPr="00112487" w:rsidR="006D1EFF">
        <w:rPr>
          <w:szCs w:val="27"/>
        </w:rPr>
        <w:t xml:space="preserve"> the language of the first-level excess policies,</w:t>
      </w:r>
      <w:r w:rsidRPr="00112487">
        <w:rPr>
          <w:szCs w:val="27"/>
        </w:rPr>
        <w:t xml:space="preserve"> when considered in conjunction with the </w:t>
      </w:r>
      <w:r w:rsidRPr="00112487" w:rsidR="006D1EFF">
        <w:rPr>
          <w:szCs w:val="27"/>
        </w:rPr>
        <w:t>insured’</w:t>
      </w:r>
      <w:r w:rsidRPr="00112487">
        <w:rPr>
          <w:szCs w:val="27"/>
        </w:rPr>
        <w:t>s reasonable expectations and the historical role of “other insurance” provisions, is</w:t>
      </w:r>
      <w:r w:rsidRPr="00112487" w:rsidR="006C2501">
        <w:rPr>
          <w:szCs w:val="27"/>
        </w:rPr>
        <w:t xml:space="preserve"> </w:t>
      </w:r>
      <w:r w:rsidRPr="00112487">
        <w:rPr>
          <w:szCs w:val="27"/>
        </w:rPr>
        <w:t xml:space="preserve">most naturally read to mean that the insured may access </w:t>
      </w:r>
      <w:r w:rsidRPr="00112487" w:rsidR="006D1EFF">
        <w:rPr>
          <w:szCs w:val="27"/>
        </w:rPr>
        <w:t xml:space="preserve">the </w:t>
      </w:r>
      <w:r w:rsidRPr="00112487">
        <w:rPr>
          <w:szCs w:val="27"/>
        </w:rPr>
        <w:t xml:space="preserve">policies </w:t>
      </w:r>
      <w:r w:rsidRPr="00112487" w:rsidR="006D1EFF">
        <w:rPr>
          <w:szCs w:val="27"/>
        </w:rPr>
        <w:t xml:space="preserve">upon </w:t>
      </w:r>
      <w:r w:rsidRPr="00112487">
        <w:rPr>
          <w:szCs w:val="27"/>
        </w:rPr>
        <w:t>exhaust</w:t>
      </w:r>
      <w:r w:rsidRPr="00112487" w:rsidR="006D1EFF">
        <w:rPr>
          <w:szCs w:val="27"/>
        </w:rPr>
        <w:t xml:space="preserve">ion of </w:t>
      </w:r>
      <w:r w:rsidRPr="00112487">
        <w:rPr>
          <w:szCs w:val="27"/>
        </w:rPr>
        <w:t xml:space="preserve">the directly underlying policies that were purchased for the same period.  </w:t>
      </w:r>
      <w:r w:rsidRPr="00112487" w:rsidR="007C5950">
        <w:rPr>
          <w:szCs w:val="27"/>
        </w:rPr>
        <w:t xml:space="preserve">Excess insurers do, however, remain free to write their future excess policies in a manner that expressly requires horizontal exhaustion.  (See </w:t>
      </w:r>
      <w:r w:rsidRPr="00112487" w:rsidR="00B62BB2">
        <w:rPr>
          <w:i/>
          <w:iCs/>
          <w:szCs w:val="27"/>
        </w:rPr>
        <w:t>Montrose III</w:t>
      </w:r>
      <w:r w:rsidRPr="00112487" w:rsidR="007C5950">
        <w:rPr>
          <w:szCs w:val="27"/>
        </w:rPr>
        <w:t xml:space="preserve">, </w:t>
      </w:r>
      <w:r w:rsidRPr="00112487" w:rsidR="007C5950">
        <w:rPr>
          <w:i/>
          <w:iCs/>
          <w:szCs w:val="27"/>
        </w:rPr>
        <w:t>supra</w:t>
      </w:r>
      <w:r w:rsidRPr="00112487" w:rsidR="007C5950">
        <w:rPr>
          <w:szCs w:val="27"/>
        </w:rPr>
        <w:t>, 9 Cal.5</w:t>
      </w:r>
      <w:r w:rsidR="005D65C3">
        <w:rPr>
          <w:szCs w:val="27"/>
        </w:rPr>
        <w:t>th</w:t>
      </w:r>
      <w:r w:rsidRPr="00112487" w:rsidR="007C5950">
        <w:rPr>
          <w:szCs w:val="27"/>
        </w:rPr>
        <w:t xml:space="preserve"> at p. 237 [“Parties to insurance contracts are, of course, free to write their policies differently to establish alternative exhaustion requirements or coverage allocation rules if they so wish”].)</w:t>
      </w:r>
    </w:p>
    <w:p w:rsidR="00423992" w:rsidRPr="00112487" w:rsidP="00E90FCB" w14:paraId="679C795A" w14:textId="77777777">
      <w:pPr>
        <w:ind w:firstLine="720"/>
        <w:rPr>
          <w:szCs w:val="27"/>
        </w:rPr>
      </w:pPr>
      <w:r w:rsidRPr="00112487">
        <w:rPr>
          <w:szCs w:val="27"/>
        </w:rPr>
        <w:t xml:space="preserve">As noted above, </w:t>
      </w:r>
      <w:r w:rsidRPr="00112487" w:rsidR="009F2A7B">
        <w:rPr>
          <w:i/>
          <w:iCs/>
          <w:szCs w:val="27"/>
        </w:rPr>
        <w:t>Community Redevelopment, supra</w:t>
      </w:r>
      <w:r w:rsidRPr="00112487" w:rsidR="009F2A7B">
        <w:rPr>
          <w:szCs w:val="27"/>
        </w:rPr>
        <w:t>, 50</w:t>
      </w:r>
      <w:r w:rsidRPr="00112487" w:rsidR="006150F0">
        <w:rPr>
          <w:szCs w:val="27"/>
        </w:rPr>
        <w:t> </w:t>
      </w:r>
      <w:r w:rsidRPr="00112487" w:rsidR="009F2A7B">
        <w:rPr>
          <w:szCs w:val="27"/>
        </w:rPr>
        <w:t>Cal.App.4</w:t>
      </w:r>
      <w:r w:rsidR="005D65C3">
        <w:rPr>
          <w:szCs w:val="27"/>
        </w:rPr>
        <w:t>th</w:t>
      </w:r>
      <w:r w:rsidRPr="00112487" w:rsidR="009F2A7B">
        <w:rPr>
          <w:szCs w:val="27"/>
        </w:rPr>
        <w:t xml:space="preserve"> 329, </w:t>
      </w:r>
      <w:r w:rsidRPr="00112487" w:rsidR="006C2501">
        <w:rPr>
          <w:szCs w:val="27"/>
        </w:rPr>
        <w:t xml:space="preserve">which predates our decision in </w:t>
      </w:r>
      <w:r w:rsidRPr="00112487" w:rsidR="00B62BB2">
        <w:rPr>
          <w:i/>
          <w:iCs/>
          <w:szCs w:val="27"/>
        </w:rPr>
        <w:t>Montrose III</w:t>
      </w:r>
      <w:r w:rsidRPr="00112487" w:rsidR="006C2501">
        <w:rPr>
          <w:szCs w:val="27"/>
        </w:rPr>
        <w:t xml:space="preserve">, </w:t>
      </w:r>
      <w:r w:rsidRPr="00112487">
        <w:rPr>
          <w:szCs w:val="27"/>
        </w:rPr>
        <w:t xml:space="preserve">reached a </w:t>
      </w:r>
      <w:r w:rsidRPr="00112487" w:rsidR="00F029CA">
        <w:rPr>
          <w:szCs w:val="27"/>
        </w:rPr>
        <w:t xml:space="preserve">different </w:t>
      </w:r>
      <w:r w:rsidRPr="00112487">
        <w:rPr>
          <w:szCs w:val="27"/>
        </w:rPr>
        <w:t>conclusion</w:t>
      </w:r>
      <w:r w:rsidRPr="00112487" w:rsidR="00F029CA">
        <w:rPr>
          <w:szCs w:val="27"/>
        </w:rPr>
        <w:t>.  The cour</w:t>
      </w:r>
      <w:r w:rsidRPr="00112487" w:rsidR="00616DE4">
        <w:rPr>
          <w:szCs w:val="27"/>
        </w:rPr>
        <w:t xml:space="preserve">t there found </w:t>
      </w:r>
      <w:r w:rsidRPr="00112487" w:rsidR="00F029CA">
        <w:rPr>
          <w:szCs w:val="27"/>
        </w:rPr>
        <w:t xml:space="preserve">that similarly worded </w:t>
      </w:r>
      <w:r w:rsidRPr="00112487">
        <w:rPr>
          <w:szCs w:val="27"/>
        </w:rPr>
        <w:t xml:space="preserve">“other insurance” provisions </w:t>
      </w:r>
      <w:r w:rsidRPr="00112487" w:rsidR="00616DE4">
        <w:rPr>
          <w:szCs w:val="27"/>
        </w:rPr>
        <w:t xml:space="preserve">required </w:t>
      </w:r>
      <w:r w:rsidRPr="00112487" w:rsidR="00F029CA">
        <w:rPr>
          <w:szCs w:val="27"/>
        </w:rPr>
        <w:t xml:space="preserve">the insured to </w:t>
      </w:r>
      <w:r w:rsidRPr="00112487" w:rsidR="007153C0">
        <w:rPr>
          <w:szCs w:val="27"/>
        </w:rPr>
        <w:t xml:space="preserve">horizontally </w:t>
      </w:r>
      <w:r w:rsidRPr="00112487" w:rsidR="00F029CA">
        <w:rPr>
          <w:szCs w:val="27"/>
        </w:rPr>
        <w:t>exhaust all primary insurance</w:t>
      </w:r>
      <w:r w:rsidRPr="00112487" w:rsidR="009F2A7B">
        <w:rPr>
          <w:szCs w:val="27"/>
        </w:rPr>
        <w:t xml:space="preserve">.  </w:t>
      </w:r>
      <w:r w:rsidRPr="00112487" w:rsidR="008D539D">
        <w:rPr>
          <w:szCs w:val="27"/>
        </w:rPr>
        <w:t>As noted above, i</w:t>
      </w:r>
      <w:r w:rsidRPr="00112487" w:rsidR="00D53BE7">
        <w:rPr>
          <w:szCs w:val="27"/>
        </w:rPr>
        <w:t>n reaching that conclusion, the court</w:t>
      </w:r>
      <w:r w:rsidRPr="00112487" w:rsidR="00B71B78">
        <w:rPr>
          <w:szCs w:val="27"/>
        </w:rPr>
        <w:t xml:space="preserve"> relied</w:t>
      </w:r>
      <w:r w:rsidRPr="00112487" w:rsidR="007153C0">
        <w:rPr>
          <w:szCs w:val="27"/>
        </w:rPr>
        <w:t xml:space="preserve"> primarily</w:t>
      </w:r>
      <w:r w:rsidRPr="00112487" w:rsidR="00B71B78">
        <w:rPr>
          <w:szCs w:val="27"/>
        </w:rPr>
        <w:t xml:space="preserve"> on case law that addressed </w:t>
      </w:r>
      <w:r w:rsidRPr="00112487" w:rsidR="00B71B78">
        <w:rPr>
          <w:i/>
          <w:iCs/>
          <w:szCs w:val="27"/>
        </w:rPr>
        <w:t>noncontinuous</w:t>
      </w:r>
      <w:r w:rsidRPr="00112487" w:rsidR="00B71B78">
        <w:rPr>
          <w:szCs w:val="27"/>
        </w:rPr>
        <w:t xml:space="preserve"> injury claims (i.e., claims that triggered only one policy period)</w:t>
      </w:r>
      <w:r w:rsidRPr="00112487">
        <w:rPr>
          <w:szCs w:val="27"/>
        </w:rPr>
        <w:t>.  (See</w:t>
      </w:r>
      <w:r w:rsidRPr="00112487" w:rsidR="008D539D">
        <w:rPr>
          <w:szCs w:val="27"/>
        </w:rPr>
        <w:t xml:space="preserve"> </w:t>
      </w:r>
      <w:r w:rsidRPr="00112487" w:rsidR="008D539D">
        <w:rPr>
          <w:i/>
          <w:iCs/>
          <w:szCs w:val="27"/>
        </w:rPr>
        <w:t>ante</w:t>
      </w:r>
      <w:r w:rsidRPr="00112487" w:rsidR="008D539D">
        <w:rPr>
          <w:szCs w:val="27"/>
        </w:rPr>
        <w:t>, at p</w:t>
      </w:r>
      <w:r w:rsidRPr="00112487" w:rsidR="00C71E1F">
        <w:rPr>
          <w:szCs w:val="27"/>
        </w:rPr>
        <w:t>p</w:t>
      </w:r>
      <w:r w:rsidRPr="00112487" w:rsidR="008D539D">
        <w:rPr>
          <w:szCs w:val="27"/>
        </w:rPr>
        <w:t>. </w:t>
      </w:r>
      <w:r w:rsidRPr="00112487" w:rsidR="00C71E1F">
        <w:rPr>
          <w:szCs w:val="27"/>
        </w:rPr>
        <w:t>20–2</w:t>
      </w:r>
      <w:r w:rsidR="002F5141">
        <w:rPr>
          <w:szCs w:val="27"/>
        </w:rPr>
        <w:t>2</w:t>
      </w:r>
      <w:r w:rsidRPr="00112487" w:rsidR="008D539D">
        <w:rPr>
          <w:szCs w:val="27"/>
        </w:rPr>
        <w:t>;</w:t>
      </w:r>
      <w:r w:rsidRPr="00112487">
        <w:rPr>
          <w:szCs w:val="27"/>
        </w:rPr>
        <w:t xml:space="preserve"> </w:t>
      </w:r>
      <w:r w:rsidRPr="00112487" w:rsidR="008D539D">
        <w:rPr>
          <w:i/>
          <w:iCs/>
          <w:szCs w:val="27"/>
        </w:rPr>
        <w:t>Community Redevelopment</w:t>
      </w:r>
      <w:r w:rsidRPr="00112487" w:rsidR="008D539D">
        <w:rPr>
          <w:szCs w:val="27"/>
        </w:rPr>
        <w:t>,</w:t>
      </w:r>
      <w:r w:rsidRPr="00112487">
        <w:rPr>
          <w:szCs w:val="27"/>
        </w:rPr>
        <w:t xml:space="preserve"> at p. </w:t>
      </w:r>
      <w:r w:rsidRPr="00112487" w:rsidR="00616DE4">
        <w:rPr>
          <w:szCs w:val="27"/>
        </w:rPr>
        <w:t>339</w:t>
      </w:r>
      <w:r w:rsidRPr="00112487" w:rsidR="007153C0">
        <w:rPr>
          <w:szCs w:val="27"/>
        </w:rPr>
        <w:t xml:space="preserve">, </w:t>
      </w:r>
      <w:r w:rsidRPr="00112487">
        <w:rPr>
          <w:szCs w:val="27"/>
        </w:rPr>
        <w:t xml:space="preserve">citing </w:t>
      </w:r>
      <w:bookmarkStart w:id="7" w:name="_Hlk164252219"/>
      <w:r w:rsidRPr="00112487">
        <w:rPr>
          <w:i/>
          <w:iCs/>
          <w:szCs w:val="27"/>
        </w:rPr>
        <w:t>Olympic Ins. Co. v. Employers Surplus Lines Ins. Co.</w:t>
      </w:r>
      <w:r w:rsidRPr="00112487">
        <w:rPr>
          <w:szCs w:val="27"/>
        </w:rPr>
        <w:t xml:space="preserve"> (1981) 126</w:t>
      </w:r>
      <w:r w:rsidRPr="00112487" w:rsidR="007153C0">
        <w:rPr>
          <w:szCs w:val="27"/>
        </w:rPr>
        <w:t> </w:t>
      </w:r>
      <w:r w:rsidRPr="00112487">
        <w:rPr>
          <w:szCs w:val="27"/>
        </w:rPr>
        <w:t xml:space="preserve">Cal.App.3d 593 </w:t>
      </w:r>
      <w:bookmarkEnd w:id="7"/>
      <w:r w:rsidRPr="00112487">
        <w:rPr>
          <w:szCs w:val="27"/>
        </w:rPr>
        <w:t>[concerning an aircraft collision]</w:t>
      </w:r>
      <w:r w:rsidR="003B2077">
        <w:rPr>
          <w:szCs w:val="27"/>
        </w:rPr>
        <w:t>,</w:t>
      </w:r>
      <w:r w:rsidRPr="00112487">
        <w:rPr>
          <w:szCs w:val="27"/>
        </w:rPr>
        <w:t xml:space="preserve"> </w:t>
      </w:r>
      <w:r w:rsidRPr="00112487">
        <w:rPr>
          <w:i/>
          <w:iCs/>
          <w:szCs w:val="27"/>
        </w:rPr>
        <w:t>McConnell v. Underwriters at Lloyds</w:t>
      </w:r>
      <w:r w:rsidRPr="00112487">
        <w:rPr>
          <w:szCs w:val="27"/>
        </w:rPr>
        <w:t xml:space="preserve"> (1961) 56</w:t>
      </w:r>
      <w:r w:rsidRPr="00112487" w:rsidR="007153C0">
        <w:rPr>
          <w:szCs w:val="27"/>
        </w:rPr>
        <w:t> </w:t>
      </w:r>
      <w:r w:rsidRPr="00112487">
        <w:rPr>
          <w:szCs w:val="27"/>
        </w:rPr>
        <w:t xml:space="preserve">Cal.2d 637 [concerning an automobile collision], and </w:t>
      </w:r>
      <w:r w:rsidRPr="00112487">
        <w:rPr>
          <w:i/>
          <w:iCs/>
          <w:szCs w:val="27"/>
        </w:rPr>
        <w:t>Lamb v. Belt Cas. Co.</w:t>
      </w:r>
      <w:r w:rsidRPr="00112487">
        <w:rPr>
          <w:szCs w:val="27"/>
        </w:rPr>
        <w:t xml:space="preserve"> (1935) 3 Cal.App.2d 624 [concerning an automobile collision].) </w:t>
      </w:r>
      <w:r w:rsidRPr="00112487" w:rsidR="00B71B78">
        <w:rPr>
          <w:szCs w:val="27"/>
        </w:rPr>
        <w:t xml:space="preserve"> </w:t>
      </w:r>
      <w:r w:rsidRPr="00112487" w:rsidR="00616DE4">
        <w:rPr>
          <w:szCs w:val="27"/>
        </w:rPr>
        <w:t>The courts in those cases held that th</w:t>
      </w:r>
      <w:r w:rsidRPr="00112487" w:rsidR="009C1548">
        <w:rPr>
          <w:szCs w:val="27"/>
        </w:rPr>
        <w:t>e excess policies’</w:t>
      </w:r>
      <w:r w:rsidRPr="00112487">
        <w:rPr>
          <w:szCs w:val="27"/>
        </w:rPr>
        <w:t xml:space="preserve"> “other insurance” provisions </w:t>
      </w:r>
      <w:r w:rsidRPr="00112487" w:rsidR="009C1548">
        <w:rPr>
          <w:szCs w:val="27"/>
        </w:rPr>
        <w:t xml:space="preserve">required the insured to exhaust not only the underlying primary insurance expressly listed in the excess policy, but also any other underlying primary insurance that </w:t>
      </w:r>
      <w:r w:rsidRPr="00112487" w:rsidR="007153C0">
        <w:rPr>
          <w:szCs w:val="27"/>
        </w:rPr>
        <w:t xml:space="preserve">the insured had obtained </w:t>
      </w:r>
      <w:r w:rsidRPr="00112487" w:rsidR="009C1548">
        <w:rPr>
          <w:i/>
          <w:iCs/>
          <w:szCs w:val="27"/>
        </w:rPr>
        <w:t>for the same policy period</w:t>
      </w:r>
      <w:r w:rsidRPr="00112487" w:rsidR="009C1548">
        <w:rPr>
          <w:szCs w:val="27"/>
        </w:rPr>
        <w:t>.</w:t>
      </w:r>
      <w:r w:rsidRPr="00112487">
        <w:rPr>
          <w:szCs w:val="27"/>
        </w:rPr>
        <w:t xml:space="preserve"> </w:t>
      </w:r>
      <w:r w:rsidRPr="00112487" w:rsidR="009C1548">
        <w:rPr>
          <w:szCs w:val="27"/>
        </w:rPr>
        <w:t xml:space="preserve"> </w:t>
      </w:r>
      <w:r w:rsidRPr="00112487" w:rsidR="008D539D">
        <w:rPr>
          <w:szCs w:val="27"/>
        </w:rPr>
        <w:t xml:space="preserve">(See </w:t>
      </w:r>
      <w:r w:rsidRPr="00112487" w:rsidR="008D539D">
        <w:rPr>
          <w:i/>
          <w:iCs/>
          <w:szCs w:val="27"/>
        </w:rPr>
        <w:t>ante</w:t>
      </w:r>
      <w:r w:rsidRPr="00112487" w:rsidR="008D539D">
        <w:rPr>
          <w:szCs w:val="27"/>
        </w:rPr>
        <w:t>, at p. </w:t>
      </w:r>
      <w:r w:rsidRPr="00112487" w:rsidR="00C71E1F">
        <w:rPr>
          <w:szCs w:val="27"/>
        </w:rPr>
        <w:t>21</w:t>
      </w:r>
      <w:r w:rsidRPr="00112487" w:rsidR="008D539D">
        <w:rPr>
          <w:szCs w:val="27"/>
        </w:rPr>
        <w:t xml:space="preserve">.)  </w:t>
      </w:r>
      <w:r w:rsidRPr="00112487" w:rsidR="009C1548">
        <w:rPr>
          <w:i/>
          <w:iCs/>
          <w:szCs w:val="27"/>
        </w:rPr>
        <w:t>Community Redevelopment</w:t>
      </w:r>
      <w:r w:rsidRPr="00112487" w:rsidR="009C1548">
        <w:rPr>
          <w:szCs w:val="27"/>
        </w:rPr>
        <w:t xml:space="preserve"> concluded that “other insurance” provisions should </w:t>
      </w:r>
      <w:r w:rsidRPr="00112487" w:rsidR="00616DE4">
        <w:rPr>
          <w:szCs w:val="27"/>
        </w:rPr>
        <w:t xml:space="preserve">operate in the same manner for </w:t>
      </w:r>
      <w:r w:rsidRPr="00112487" w:rsidR="009C1548">
        <w:rPr>
          <w:szCs w:val="27"/>
        </w:rPr>
        <w:t xml:space="preserve">continuous injury </w:t>
      </w:r>
      <w:r w:rsidRPr="00112487" w:rsidR="00616DE4">
        <w:rPr>
          <w:szCs w:val="27"/>
        </w:rPr>
        <w:t xml:space="preserve">claims </w:t>
      </w:r>
      <w:r w:rsidRPr="00112487" w:rsidR="009C1548">
        <w:rPr>
          <w:szCs w:val="27"/>
        </w:rPr>
        <w:t xml:space="preserve">that trigger multiple policy periods.  </w:t>
      </w:r>
    </w:p>
    <w:p w:rsidR="00616DE4" w:rsidRPr="00112487" w:rsidP="00E90FCB" w14:paraId="679C795B" w14:textId="77777777">
      <w:pPr>
        <w:ind w:firstLine="720"/>
        <w:rPr>
          <w:szCs w:val="27"/>
        </w:rPr>
      </w:pPr>
      <w:r w:rsidRPr="00112487">
        <w:rPr>
          <w:i/>
          <w:iCs/>
          <w:szCs w:val="27"/>
        </w:rPr>
        <w:t>Community Redevelopment</w:t>
      </w:r>
      <w:r w:rsidRPr="00112487" w:rsidR="008D539D">
        <w:rPr>
          <w:szCs w:val="27"/>
        </w:rPr>
        <w:t xml:space="preserve">, however, </w:t>
      </w:r>
      <w:r w:rsidRPr="00112487" w:rsidR="006E1868">
        <w:rPr>
          <w:szCs w:val="27"/>
        </w:rPr>
        <w:t xml:space="preserve">failed to recognize </w:t>
      </w:r>
      <w:r w:rsidRPr="00112487">
        <w:rPr>
          <w:szCs w:val="27"/>
        </w:rPr>
        <w:t xml:space="preserve">that cases construing “other insurance” provisions in the context of noncontinuous injuries do not speak to the ambiguity that we address here (which was the same ambiguity at issue in </w:t>
      </w:r>
      <w:r w:rsidRPr="00112487" w:rsidR="00B62BB2">
        <w:rPr>
          <w:i/>
          <w:iCs/>
          <w:szCs w:val="27"/>
        </w:rPr>
        <w:t>Montrose III</w:t>
      </w:r>
      <w:r w:rsidRPr="00112487">
        <w:rPr>
          <w:szCs w:val="27"/>
        </w:rPr>
        <w:t xml:space="preserve">): </w:t>
      </w:r>
      <w:r w:rsidRPr="00112487" w:rsidR="006E1868">
        <w:rPr>
          <w:szCs w:val="27"/>
        </w:rPr>
        <w:t xml:space="preserve"> are “other insurance” clauses most reasonably construed as applying to other </w:t>
      </w:r>
      <w:r w:rsidRPr="00112487">
        <w:rPr>
          <w:szCs w:val="27"/>
        </w:rPr>
        <w:t xml:space="preserve">underlying </w:t>
      </w:r>
      <w:r w:rsidRPr="00112487" w:rsidR="006E1868">
        <w:rPr>
          <w:szCs w:val="27"/>
        </w:rPr>
        <w:t>insurance issued</w:t>
      </w:r>
      <w:r w:rsidRPr="00112487" w:rsidR="006E1868">
        <w:rPr>
          <w:i/>
          <w:iCs/>
          <w:szCs w:val="27"/>
        </w:rPr>
        <w:t xml:space="preserve"> during the same policy year </w:t>
      </w:r>
      <w:r w:rsidRPr="00112487" w:rsidR="006E1868">
        <w:rPr>
          <w:szCs w:val="27"/>
        </w:rPr>
        <w:t>or do such clauses extend to other underlying insurance issued during</w:t>
      </w:r>
      <w:r w:rsidRPr="00112487" w:rsidR="006E1868">
        <w:rPr>
          <w:i/>
          <w:iCs/>
          <w:szCs w:val="27"/>
        </w:rPr>
        <w:t xml:space="preserve"> different policy years </w:t>
      </w:r>
      <w:r w:rsidRPr="00112487" w:rsidR="006E1868">
        <w:rPr>
          <w:szCs w:val="27"/>
        </w:rPr>
        <w:t xml:space="preserve">within the continuous period of injury?  Because </w:t>
      </w:r>
      <w:r w:rsidRPr="00112487" w:rsidR="007153C0">
        <w:rPr>
          <w:szCs w:val="27"/>
        </w:rPr>
        <w:t xml:space="preserve">cases addressing </w:t>
      </w:r>
      <w:r w:rsidRPr="00112487" w:rsidR="006E1868">
        <w:rPr>
          <w:szCs w:val="27"/>
        </w:rPr>
        <w:t xml:space="preserve">noncontinuous injury </w:t>
      </w:r>
      <w:r w:rsidRPr="00112487" w:rsidR="007153C0">
        <w:rPr>
          <w:szCs w:val="27"/>
        </w:rPr>
        <w:t xml:space="preserve">claims do not </w:t>
      </w:r>
      <w:r w:rsidRPr="00112487" w:rsidR="006E1868">
        <w:rPr>
          <w:szCs w:val="27"/>
        </w:rPr>
        <w:t xml:space="preserve">speak to this ambiguity, </w:t>
      </w:r>
      <w:r w:rsidRPr="00112487" w:rsidR="007153C0">
        <w:rPr>
          <w:i/>
          <w:iCs/>
          <w:szCs w:val="27"/>
        </w:rPr>
        <w:t>Community Redevelopment</w:t>
      </w:r>
      <w:r w:rsidRPr="00112487" w:rsidR="007153C0">
        <w:rPr>
          <w:szCs w:val="27"/>
        </w:rPr>
        <w:t xml:space="preserve"> erred in relying on them</w:t>
      </w:r>
      <w:r w:rsidRPr="00112487" w:rsidR="006E1868">
        <w:rPr>
          <w:szCs w:val="27"/>
        </w:rPr>
        <w:t>.</w:t>
      </w:r>
      <w:r>
        <w:rPr>
          <w:rStyle w:val="FootnoteReference"/>
          <w:szCs w:val="27"/>
        </w:rPr>
        <w:footnoteReference w:id="15"/>
      </w:r>
      <w:r w:rsidRPr="00112487" w:rsidR="006E1868">
        <w:rPr>
          <w:szCs w:val="27"/>
        </w:rPr>
        <w:t xml:space="preserve">  </w:t>
      </w:r>
    </w:p>
    <w:p w:rsidR="00B71B78" w:rsidRPr="00112487" w:rsidP="00E90FCB" w14:paraId="679C795C" w14:textId="77777777">
      <w:pPr>
        <w:ind w:firstLine="720"/>
        <w:rPr>
          <w:szCs w:val="27"/>
        </w:rPr>
      </w:pPr>
      <w:r w:rsidRPr="00112487">
        <w:rPr>
          <w:szCs w:val="27"/>
        </w:rPr>
        <w:t xml:space="preserve">For the reasons </w:t>
      </w:r>
      <w:r w:rsidRPr="00112487" w:rsidR="007153C0">
        <w:rPr>
          <w:szCs w:val="27"/>
        </w:rPr>
        <w:t>explained</w:t>
      </w:r>
      <w:r w:rsidRPr="00112487">
        <w:rPr>
          <w:szCs w:val="27"/>
        </w:rPr>
        <w:t xml:space="preserve"> above, we </w:t>
      </w:r>
      <w:r w:rsidRPr="00112487" w:rsidR="00E90FCB">
        <w:rPr>
          <w:szCs w:val="27"/>
        </w:rPr>
        <w:t>disapprove</w:t>
      </w:r>
      <w:r w:rsidRPr="00112487">
        <w:rPr>
          <w:szCs w:val="27"/>
        </w:rPr>
        <w:t xml:space="preserve"> </w:t>
      </w:r>
      <w:r w:rsidRPr="00112487">
        <w:rPr>
          <w:i/>
          <w:iCs/>
          <w:szCs w:val="27"/>
        </w:rPr>
        <w:t>Community Redevelopment</w:t>
      </w:r>
      <w:r w:rsidRPr="00112487">
        <w:rPr>
          <w:szCs w:val="27"/>
        </w:rPr>
        <w:t xml:space="preserve">’s conclusion that standardized “other insurance” provisions appearing in first-level excess policies compel </w:t>
      </w:r>
      <w:r w:rsidRPr="00112487" w:rsidR="00616DE4">
        <w:rPr>
          <w:szCs w:val="27"/>
        </w:rPr>
        <w:t>a rule of horizontal exhaustion</w:t>
      </w:r>
      <w:r w:rsidRPr="00112487" w:rsidR="008E0D77">
        <w:rPr>
          <w:szCs w:val="27"/>
        </w:rPr>
        <w:t>.</w:t>
      </w:r>
      <w:r w:rsidRPr="00112487">
        <w:rPr>
          <w:szCs w:val="27"/>
        </w:rPr>
        <w:t xml:space="preserve">  </w:t>
      </w:r>
      <w:r w:rsidRPr="00112487" w:rsidR="00F35EB6">
        <w:rPr>
          <w:szCs w:val="27"/>
        </w:rPr>
        <w:t xml:space="preserve">We likewise disapprove language in </w:t>
      </w:r>
      <w:r w:rsidRPr="00112487" w:rsidR="00F35EB6">
        <w:rPr>
          <w:i/>
          <w:iCs/>
          <w:szCs w:val="27"/>
        </w:rPr>
        <w:t>Padilla Construction Co., Inc. v. Transportation Ins. Co</w:t>
      </w:r>
      <w:r w:rsidRPr="00112487" w:rsidR="00F35EB6">
        <w:rPr>
          <w:szCs w:val="27"/>
        </w:rPr>
        <w:t xml:space="preserve">. (2007) 150 Cal.App.4th 984 and </w:t>
      </w:r>
      <w:r w:rsidRPr="00112487" w:rsidR="00F35EB6">
        <w:rPr>
          <w:i/>
          <w:iCs/>
          <w:szCs w:val="27"/>
        </w:rPr>
        <w:t xml:space="preserve">Stonewall Ins. Co. v. City of Palos Verdes Estates </w:t>
      </w:r>
      <w:r w:rsidRPr="00112487" w:rsidR="00F35EB6">
        <w:rPr>
          <w:szCs w:val="27"/>
        </w:rPr>
        <w:t xml:space="preserve">(1996) 46 Cal.App.4th 1810, suggesting that California law generally requires horizontal exhaustion of all primary insurance in cases of continuous loss.  (See </w:t>
      </w:r>
      <w:r w:rsidRPr="00112487" w:rsidR="00F35EB6">
        <w:rPr>
          <w:i/>
          <w:iCs/>
          <w:szCs w:val="27"/>
        </w:rPr>
        <w:t>Padilla</w:t>
      </w:r>
      <w:r w:rsidRPr="00112487" w:rsidR="00F35EB6">
        <w:rPr>
          <w:szCs w:val="27"/>
        </w:rPr>
        <w:t xml:space="preserve">, at pp. 986–987; </w:t>
      </w:r>
      <w:r w:rsidRPr="00112487" w:rsidR="00F35EB6">
        <w:rPr>
          <w:i/>
          <w:iCs/>
          <w:szCs w:val="27"/>
        </w:rPr>
        <w:t>Stonewall</w:t>
      </w:r>
      <w:r w:rsidRPr="00112487" w:rsidR="00F35EB6">
        <w:rPr>
          <w:szCs w:val="27"/>
        </w:rPr>
        <w:t>, at pp. 1852–1853.)</w:t>
      </w:r>
    </w:p>
    <w:p w:rsidR="008A1E85" w:rsidRPr="00112487" w:rsidP="00BD06DC" w14:paraId="679C795D" w14:textId="77777777">
      <w:pPr>
        <w:pStyle w:val="Heading3"/>
        <w:spacing w:before="0" w:line="400" w:lineRule="exact"/>
        <w:rPr>
          <w:szCs w:val="27"/>
        </w:rPr>
      </w:pPr>
      <w:r w:rsidRPr="00112487">
        <w:rPr>
          <w:szCs w:val="27"/>
        </w:rPr>
        <w:t>2.</w:t>
      </w:r>
      <w:r w:rsidRPr="00112487">
        <w:rPr>
          <w:szCs w:val="27"/>
        </w:rPr>
        <w:tab/>
      </w:r>
      <w:r w:rsidRPr="00112487" w:rsidR="00991921">
        <w:rPr>
          <w:szCs w:val="27"/>
        </w:rPr>
        <w:t xml:space="preserve">Additional </w:t>
      </w:r>
      <w:r w:rsidRPr="00112487" w:rsidR="0064238E">
        <w:rPr>
          <w:szCs w:val="27"/>
        </w:rPr>
        <w:t xml:space="preserve">considerations regarding </w:t>
      </w:r>
      <w:r w:rsidRPr="00112487" w:rsidR="008816B7">
        <w:rPr>
          <w:szCs w:val="27"/>
        </w:rPr>
        <w:t>Truck’s contribution claim</w:t>
      </w:r>
    </w:p>
    <w:p w:rsidR="00AA70A6" w:rsidRPr="00112487" w:rsidP="00A25E48" w14:paraId="679C795E" w14:textId="77777777">
      <w:pPr>
        <w:rPr>
          <w:szCs w:val="27"/>
        </w:rPr>
      </w:pPr>
      <w:r w:rsidRPr="00112487">
        <w:rPr>
          <w:szCs w:val="27"/>
        </w:rPr>
        <w:tab/>
      </w:r>
      <w:r w:rsidRPr="00112487" w:rsidR="00B62BB2">
        <w:rPr>
          <w:i/>
          <w:iCs/>
          <w:szCs w:val="27"/>
        </w:rPr>
        <w:t>Montrose III</w:t>
      </w:r>
      <w:r w:rsidRPr="00112487" w:rsidR="00AA0E5A">
        <w:rPr>
          <w:szCs w:val="27"/>
        </w:rPr>
        <w:t xml:space="preserve"> </w:t>
      </w:r>
      <w:r w:rsidRPr="00112487" w:rsidR="009204D4">
        <w:rPr>
          <w:szCs w:val="27"/>
        </w:rPr>
        <w:t>was</w:t>
      </w:r>
      <w:r w:rsidRPr="00112487" w:rsidR="00AA0E5A">
        <w:rPr>
          <w:szCs w:val="27"/>
        </w:rPr>
        <w:t xml:space="preserve"> a coverage action </w:t>
      </w:r>
      <w:r w:rsidRPr="00112487" w:rsidR="008816B7">
        <w:rPr>
          <w:szCs w:val="27"/>
        </w:rPr>
        <w:t xml:space="preserve">that required us to determine </w:t>
      </w:r>
      <w:r w:rsidRPr="00112487" w:rsidR="00AA0E5A">
        <w:rPr>
          <w:szCs w:val="27"/>
        </w:rPr>
        <w:t xml:space="preserve">whether the </w:t>
      </w:r>
      <w:r w:rsidRPr="00112487" w:rsidR="00A551DE">
        <w:rPr>
          <w:szCs w:val="27"/>
        </w:rPr>
        <w:t xml:space="preserve">insured was permitted to access its higher-level </w:t>
      </w:r>
      <w:r w:rsidRPr="00112487" w:rsidR="009419E4">
        <w:rPr>
          <w:szCs w:val="27"/>
        </w:rPr>
        <w:t xml:space="preserve">excess </w:t>
      </w:r>
      <w:r w:rsidRPr="00112487" w:rsidR="00A551DE">
        <w:rPr>
          <w:szCs w:val="27"/>
        </w:rPr>
        <w:t>policies</w:t>
      </w:r>
      <w:r w:rsidRPr="00112487" w:rsidR="00AA0E5A">
        <w:rPr>
          <w:szCs w:val="27"/>
        </w:rPr>
        <w:t xml:space="preserve">.  </w:t>
      </w:r>
      <w:r w:rsidRPr="00112487" w:rsidR="00597096">
        <w:rPr>
          <w:szCs w:val="27"/>
        </w:rPr>
        <w:t xml:space="preserve">The answer to that question depended entirely on </w:t>
      </w:r>
      <w:r w:rsidRPr="00112487" w:rsidR="00AA0E5A">
        <w:rPr>
          <w:szCs w:val="27"/>
        </w:rPr>
        <w:t xml:space="preserve">our interpretation of the policies at issue in that case.  Here, however, </w:t>
      </w:r>
      <w:r w:rsidRPr="00112487" w:rsidR="00C91B1C">
        <w:rPr>
          <w:szCs w:val="27"/>
        </w:rPr>
        <w:t>we are faced with an equitable contribution claim between insurers</w:t>
      </w:r>
      <w:r w:rsidRPr="00112487" w:rsidR="004A1659">
        <w:rPr>
          <w:szCs w:val="27"/>
        </w:rPr>
        <w:t xml:space="preserve">.  </w:t>
      </w:r>
      <w:r w:rsidRPr="00112487">
        <w:rPr>
          <w:szCs w:val="27"/>
        </w:rPr>
        <w:t xml:space="preserve">As noted above, </w:t>
      </w:r>
      <w:r w:rsidRPr="00112487" w:rsidR="004E33BA">
        <w:rPr>
          <w:szCs w:val="27"/>
        </w:rPr>
        <w:t xml:space="preserve">the </w:t>
      </w:r>
      <w:r w:rsidRPr="00112487" w:rsidR="00703E9D">
        <w:rPr>
          <w:szCs w:val="27"/>
        </w:rPr>
        <w:t xml:space="preserve">terms of the insurers’ policies </w:t>
      </w:r>
      <w:r w:rsidR="00AF5881">
        <w:rPr>
          <w:szCs w:val="27"/>
        </w:rPr>
        <w:t>comprise</w:t>
      </w:r>
      <w:r w:rsidRPr="00112487">
        <w:rPr>
          <w:szCs w:val="27"/>
        </w:rPr>
        <w:t xml:space="preserve"> </w:t>
      </w:r>
      <w:r w:rsidRPr="00112487" w:rsidR="00597096">
        <w:rPr>
          <w:szCs w:val="27"/>
        </w:rPr>
        <w:t xml:space="preserve">only </w:t>
      </w:r>
      <w:r w:rsidRPr="00112487" w:rsidR="008B6C96">
        <w:rPr>
          <w:szCs w:val="27"/>
        </w:rPr>
        <w:t xml:space="preserve">one </w:t>
      </w:r>
      <w:r w:rsidRPr="00112487" w:rsidR="00597096">
        <w:rPr>
          <w:szCs w:val="27"/>
        </w:rPr>
        <w:t xml:space="preserve">of the </w:t>
      </w:r>
      <w:r w:rsidRPr="00112487" w:rsidR="008B6C96">
        <w:rPr>
          <w:szCs w:val="27"/>
        </w:rPr>
        <w:t>factor</w:t>
      </w:r>
      <w:r w:rsidRPr="00112487" w:rsidR="009204D4">
        <w:rPr>
          <w:szCs w:val="27"/>
        </w:rPr>
        <w:t>s</w:t>
      </w:r>
      <w:r w:rsidRPr="00112487" w:rsidR="008B6C96">
        <w:rPr>
          <w:szCs w:val="27"/>
        </w:rPr>
        <w:t xml:space="preserve"> courts may consider </w:t>
      </w:r>
      <w:r w:rsidRPr="00112487" w:rsidR="00374742">
        <w:rPr>
          <w:szCs w:val="27"/>
        </w:rPr>
        <w:t>when</w:t>
      </w:r>
      <w:r w:rsidRPr="00112487" w:rsidR="008B6C96">
        <w:rPr>
          <w:szCs w:val="27"/>
        </w:rPr>
        <w:t xml:space="preserve"> evaluating whether contribution </w:t>
      </w:r>
      <w:r w:rsidRPr="00112487">
        <w:rPr>
          <w:szCs w:val="27"/>
        </w:rPr>
        <w:t xml:space="preserve">would </w:t>
      </w:r>
      <w:r w:rsidRPr="00112487" w:rsidR="00BA1A6A">
        <w:rPr>
          <w:szCs w:val="27"/>
        </w:rPr>
        <w:t>“</w:t>
      </w:r>
      <w:r w:rsidRPr="00112487" w:rsidR="00BF5F78">
        <w:rPr>
          <w:szCs w:val="27"/>
        </w:rPr>
        <w:t> ‘</w:t>
      </w:r>
      <w:r w:rsidRPr="00112487" w:rsidR="00BA1A6A">
        <w:rPr>
          <w:szCs w:val="27"/>
        </w:rPr>
        <w:t>accomplish ultimate justice</w:t>
      </w:r>
      <w:r w:rsidRPr="00112487" w:rsidR="00BF5F78">
        <w:rPr>
          <w:szCs w:val="27"/>
        </w:rPr>
        <w:t>’ </w:t>
      </w:r>
      <w:r w:rsidRPr="00112487" w:rsidR="00BA1A6A">
        <w:rPr>
          <w:szCs w:val="27"/>
        </w:rPr>
        <w:t>” (</w:t>
      </w:r>
      <w:r w:rsidRPr="00112487" w:rsidR="00BA1A6A">
        <w:rPr>
          <w:i/>
          <w:iCs/>
          <w:szCs w:val="27"/>
        </w:rPr>
        <w:t>Signal</w:t>
      </w:r>
      <w:r w:rsidRPr="00112487" w:rsidR="00BA1A6A">
        <w:rPr>
          <w:szCs w:val="27"/>
        </w:rPr>
        <w:t xml:space="preserve">, </w:t>
      </w:r>
      <w:r w:rsidRPr="00112487" w:rsidR="00BA1A6A">
        <w:rPr>
          <w:i/>
          <w:iCs/>
          <w:szCs w:val="27"/>
        </w:rPr>
        <w:t>supra</w:t>
      </w:r>
      <w:r w:rsidRPr="00112487" w:rsidR="00BA1A6A">
        <w:rPr>
          <w:szCs w:val="27"/>
        </w:rPr>
        <w:t>, 27</w:t>
      </w:r>
      <w:r w:rsidRPr="00112487" w:rsidR="00374742">
        <w:rPr>
          <w:szCs w:val="27"/>
        </w:rPr>
        <w:t> </w:t>
      </w:r>
      <w:r w:rsidRPr="00112487" w:rsidR="00BA1A6A">
        <w:rPr>
          <w:szCs w:val="27"/>
        </w:rPr>
        <w:t xml:space="preserve">Cal.3d at p. 369) </w:t>
      </w:r>
      <w:r w:rsidRPr="00112487" w:rsidR="007C3150">
        <w:rPr>
          <w:szCs w:val="27"/>
        </w:rPr>
        <w:t>in a particular case</w:t>
      </w:r>
      <w:r w:rsidRPr="00112487" w:rsidR="00BA1A6A">
        <w:rPr>
          <w:szCs w:val="27"/>
        </w:rPr>
        <w:t xml:space="preserve"> (</w:t>
      </w:r>
      <w:r w:rsidRPr="00112487" w:rsidR="00813AAD">
        <w:rPr>
          <w:szCs w:val="27"/>
        </w:rPr>
        <w:t>s</w:t>
      </w:r>
      <w:r w:rsidRPr="00112487" w:rsidR="00BA1A6A">
        <w:rPr>
          <w:szCs w:val="27"/>
        </w:rPr>
        <w:t xml:space="preserve">ee </w:t>
      </w:r>
      <w:r w:rsidRPr="00112487" w:rsidR="00BA1A6A">
        <w:rPr>
          <w:i/>
          <w:iCs/>
          <w:szCs w:val="27"/>
        </w:rPr>
        <w:t>ibid</w:t>
      </w:r>
      <w:r w:rsidRPr="00112487" w:rsidR="00BA1A6A">
        <w:rPr>
          <w:szCs w:val="27"/>
        </w:rPr>
        <w:t>.;</w:t>
      </w:r>
      <w:r w:rsidRPr="00112487" w:rsidR="006315E0">
        <w:rPr>
          <w:szCs w:val="27"/>
        </w:rPr>
        <w:t xml:space="preserve"> </w:t>
      </w:r>
      <w:r w:rsidRPr="00112487" w:rsidR="00BA1A6A">
        <w:rPr>
          <w:i/>
          <w:iCs/>
          <w:szCs w:val="27"/>
        </w:rPr>
        <w:t>ante</w:t>
      </w:r>
      <w:r w:rsidRPr="00112487" w:rsidR="00BA1A6A">
        <w:rPr>
          <w:szCs w:val="27"/>
        </w:rPr>
        <w:t>, at pp.</w:t>
      </w:r>
      <w:r w:rsidRPr="00112487" w:rsidR="00FE1FB2">
        <w:rPr>
          <w:szCs w:val="27"/>
        </w:rPr>
        <w:t> </w:t>
      </w:r>
      <w:r w:rsidRPr="00112487" w:rsidR="00FE55E5">
        <w:rPr>
          <w:szCs w:val="27"/>
        </w:rPr>
        <w:t>1</w:t>
      </w:r>
      <w:r w:rsidRPr="00112487" w:rsidR="00C71E1F">
        <w:rPr>
          <w:szCs w:val="27"/>
        </w:rPr>
        <w:t>7</w:t>
      </w:r>
      <w:r w:rsidRPr="00112487" w:rsidR="00FE1FB2">
        <w:rPr>
          <w:szCs w:val="27"/>
        </w:rPr>
        <w:t>–</w:t>
      </w:r>
      <w:r w:rsidRPr="00112487" w:rsidR="00FE55E5">
        <w:rPr>
          <w:szCs w:val="27"/>
        </w:rPr>
        <w:t>1</w:t>
      </w:r>
      <w:r w:rsidRPr="00112487" w:rsidR="00C71E1F">
        <w:rPr>
          <w:szCs w:val="27"/>
        </w:rPr>
        <w:t>8</w:t>
      </w:r>
      <w:r w:rsidRPr="00112487" w:rsidR="00BA1A6A">
        <w:rPr>
          <w:szCs w:val="27"/>
        </w:rPr>
        <w:t>)</w:t>
      </w:r>
      <w:r w:rsidR="002F5141">
        <w:rPr>
          <w:szCs w:val="27"/>
        </w:rPr>
        <w:t>.</w:t>
      </w:r>
      <w:r w:rsidRPr="00112487" w:rsidR="00597096">
        <w:rPr>
          <w:szCs w:val="27"/>
        </w:rPr>
        <w:t xml:space="preserve">  Thus, the fact that we have</w:t>
      </w:r>
      <w:r w:rsidRPr="00112487" w:rsidR="009204D4">
        <w:rPr>
          <w:szCs w:val="27"/>
        </w:rPr>
        <w:t xml:space="preserve"> rejected the Court of Appeal’s conclusion that the excess policies </w:t>
      </w:r>
      <w:r w:rsidRPr="00112487" w:rsidR="004A1659">
        <w:rPr>
          <w:szCs w:val="27"/>
        </w:rPr>
        <w:t>do</w:t>
      </w:r>
      <w:r w:rsidRPr="00112487" w:rsidR="009204D4">
        <w:rPr>
          <w:szCs w:val="27"/>
        </w:rPr>
        <w:t xml:space="preserve"> not create any indemnity obligation</w:t>
      </w:r>
      <w:r w:rsidRPr="00112487" w:rsidR="00597096">
        <w:rPr>
          <w:szCs w:val="27"/>
        </w:rPr>
        <w:t xml:space="preserve"> </w:t>
      </w:r>
      <w:r w:rsidRPr="00112487" w:rsidR="009204D4">
        <w:rPr>
          <w:szCs w:val="27"/>
        </w:rPr>
        <w:t>until all primary insurance ha</w:t>
      </w:r>
      <w:r w:rsidRPr="00112487" w:rsidR="00170AE6">
        <w:rPr>
          <w:szCs w:val="27"/>
        </w:rPr>
        <w:t>s</w:t>
      </w:r>
      <w:r w:rsidRPr="00112487" w:rsidR="009204D4">
        <w:rPr>
          <w:szCs w:val="27"/>
        </w:rPr>
        <w:t xml:space="preserve"> been exhausted, and instead have </w:t>
      </w:r>
      <w:r w:rsidRPr="00112487" w:rsidR="00597096">
        <w:rPr>
          <w:szCs w:val="27"/>
        </w:rPr>
        <w:t>interpreted th</w:t>
      </w:r>
      <w:r w:rsidRPr="00112487" w:rsidR="009204D4">
        <w:rPr>
          <w:szCs w:val="27"/>
        </w:rPr>
        <w:t xml:space="preserve">ose </w:t>
      </w:r>
      <w:r w:rsidRPr="00112487" w:rsidR="00597096">
        <w:rPr>
          <w:szCs w:val="27"/>
        </w:rPr>
        <w:t xml:space="preserve">policies in a manner that would permit the insured </w:t>
      </w:r>
      <w:r w:rsidRPr="00112487" w:rsidR="009204D4">
        <w:rPr>
          <w:szCs w:val="27"/>
        </w:rPr>
        <w:t>(</w:t>
      </w:r>
      <w:r w:rsidRPr="00112487" w:rsidR="00597096">
        <w:rPr>
          <w:szCs w:val="27"/>
        </w:rPr>
        <w:t>Kaiser</w:t>
      </w:r>
      <w:r w:rsidRPr="00112487" w:rsidR="009204D4">
        <w:rPr>
          <w:szCs w:val="27"/>
        </w:rPr>
        <w:t>)</w:t>
      </w:r>
      <w:r w:rsidRPr="00112487" w:rsidR="00597096">
        <w:rPr>
          <w:szCs w:val="27"/>
        </w:rPr>
        <w:t xml:space="preserve"> to access the </w:t>
      </w:r>
      <w:r w:rsidRPr="00112487" w:rsidR="00170AE6">
        <w:rPr>
          <w:szCs w:val="27"/>
        </w:rPr>
        <w:t>p</w:t>
      </w:r>
      <w:r w:rsidRPr="00112487" w:rsidR="00597096">
        <w:rPr>
          <w:szCs w:val="27"/>
        </w:rPr>
        <w:t>olicies</w:t>
      </w:r>
      <w:r w:rsidRPr="00112487" w:rsidR="004A1659">
        <w:rPr>
          <w:szCs w:val="27"/>
        </w:rPr>
        <w:t xml:space="preserve"> upon exhaustion of the directly underlying primary policies</w:t>
      </w:r>
      <w:r w:rsidRPr="00112487" w:rsidR="009204D4">
        <w:rPr>
          <w:szCs w:val="27"/>
        </w:rPr>
        <w:t>,</w:t>
      </w:r>
      <w:r w:rsidRPr="00112487" w:rsidR="00597096">
        <w:rPr>
          <w:szCs w:val="27"/>
        </w:rPr>
        <w:t xml:space="preserve"> does not </w:t>
      </w:r>
      <w:r w:rsidRPr="00112487" w:rsidR="00367645">
        <w:rPr>
          <w:szCs w:val="27"/>
        </w:rPr>
        <w:t>resolve whether</w:t>
      </w:r>
      <w:r w:rsidRPr="00112487" w:rsidR="00597096">
        <w:rPr>
          <w:szCs w:val="27"/>
        </w:rPr>
        <w:t xml:space="preserve"> Truck is entitled to </w:t>
      </w:r>
      <w:r w:rsidRPr="00112487" w:rsidR="00597096">
        <w:rPr>
          <w:i/>
          <w:iCs/>
          <w:szCs w:val="27"/>
        </w:rPr>
        <w:t xml:space="preserve">contribution from </w:t>
      </w:r>
      <w:r w:rsidRPr="00112487" w:rsidR="009204D4">
        <w:rPr>
          <w:i/>
          <w:iCs/>
          <w:szCs w:val="27"/>
        </w:rPr>
        <w:t>the excess insurers</w:t>
      </w:r>
      <w:r w:rsidRPr="00112487" w:rsidR="00597096">
        <w:rPr>
          <w:szCs w:val="27"/>
        </w:rPr>
        <w:t>.</w:t>
      </w:r>
    </w:p>
    <w:p w:rsidR="00FF719E" w:rsidRPr="00112487" w:rsidP="00CC67F1" w14:paraId="679C795F" w14:textId="77777777">
      <w:pPr>
        <w:rPr>
          <w:szCs w:val="27"/>
        </w:rPr>
      </w:pPr>
      <w:r w:rsidRPr="00112487">
        <w:rPr>
          <w:szCs w:val="27"/>
        </w:rPr>
        <w:tab/>
      </w:r>
      <w:r w:rsidRPr="00112487" w:rsidR="00BA1A6A">
        <w:rPr>
          <w:szCs w:val="27"/>
        </w:rPr>
        <w:t>T</w:t>
      </w:r>
      <w:r w:rsidRPr="00112487" w:rsidR="00D569F4">
        <w:rPr>
          <w:szCs w:val="27"/>
        </w:rPr>
        <w:t>o that end, t</w:t>
      </w:r>
      <w:r w:rsidRPr="00112487" w:rsidR="00BA1A6A">
        <w:rPr>
          <w:szCs w:val="27"/>
        </w:rPr>
        <w:t>he excess insurers and Kaiser</w:t>
      </w:r>
      <w:r w:rsidRPr="00112487" w:rsidR="00451AD3">
        <w:rPr>
          <w:szCs w:val="27"/>
        </w:rPr>
        <w:t xml:space="preserve"> </w:t>
      </w:r>
      <w:r w:rsidRPr="00112487" w:rsidR="00E16D59">
        <w:rPr>
          <w:szCs w:val="27"/>
        </w:rPr>
        <w:t xml:space="preserve">argue that </w:t>
      </w:r>
      <w:r w:rsidRPr="00112487" w:rsidR="007C5950">
        <w:rPr>
          <w:szCs w:val="27"/>
        </w:rPr>
        <w:t xml:space="preserve">even if, as a matter of contract interpretation, </w:t>
      </w:r>
      <w:r w:rsidRPr="00112487" w:rsidR="00916E1A">
        <w:rPr>
          <w:szCs w:val="27"/>
        </w:rPr>
        <w:t xml:space="preserve"> </w:t>
      </w:r>
      <w:r w:rsidRPr="00112487" w:rsidR="007C5950">
        <w:rPr>
          <w:szCs w:val="27"/>
        </w:rPr>
        <w:t xml:space="preserve">the </w:t>
      </w:r>
      <w:r w:rsidRPr="00112487" w:rsidR="00643DDB">
        <w:rPr>
          <w:szCs w:val="27"/>
        </w:rPr>
        <w:t xml:space="preserve">policies are most reasonably construed as allowing </w:t>
      </w:r>
      <w:r w:rsidRPr="00112487" w:rsidR="007C5950">
        <w:rPr>
          <w:szCs w:val="27"/>
        </w:rPr>
        <w:t>the insured (</w:t>
      </w:r>
      <w:r w:rsidRPr="00112487" w:rsidR="00451AD3">
        <w:rPr>
          <w:szCs w:val="27"/>
        </w:rPr>
        <w:t>K</w:t>
      </w:r>
      <w:r w:rsidRPr="00112487" w:rsidR="00E16D59">
        <w:rPr>
          <w:szCs w:val="27"/>
        </w:rPr>
        <w:t>aiser</w:t>
      </w:r>
      <w:r w:rsidRPr="00112487" w:rsidR="007C5950">
        <w:rPr>
          <w:szCs w:val="27"/>
        </w:rPr>
        <w:t>)</w:t>
      </w:r>
      <w:r w:rsidRPr="00112487" w:rsidR="00E16D59">
        <w:rPr>
          <w:szCs w:val="27"/>
        </w:rPr>
        <w:t xml:space="preserve"> to access </w:t>
      </w:r>
      <w:r w:rsidRPr="00112487" w:rsidR="00597096">
        <w:rPr>
          <w:szCs w:val="27"/>
        </w:rPr>
        <w:t xml:space="preserve">the </w:t>
      </w:r>
      <w:r w:rsidRPr="00112487" w:rsidR="001E5127">
        <w:rPr>
          <w:szCs w:val="27"/>
        </w:rPr>
        <w:t xml:space="preserve">first-level </w:t>
      </w:r>
      <w:r w:rsidRPr="00112487" w:rsidR="00E16D59">
        <w:rPr>
          <w:szCs w:val="27"/>
        </w:rPr>
        <w:t>excess policies</w:t>
      </w:r>
      <w:r w:rsidRPr="00112487" w:rsidR="00256C13">
        <w:rPr>
          <w:szCs w:val="27"/>
        </w:rPr>
        <w:t xml:space="preserve"> </w:t>
      </w:r>
      <w:r w:rsidRPr="00112487" w:rsidR="007C5950">
        <w:rPr>
          <w:szCs w:val="27"/>
        </w:rPr>
        <w:t xml:space="preserve">upon exhaustion of the </w:t>
      </w:r>
      <w:r w:rsidRPr="00112487" w:rsidR="0075124B">
        <w:rPr>
          <w:szCs w:val="27"/>
        </w:rPr>
        <w:t xml:space="preserve">directly </w:t>
      </w:r>
      <w:r w:rsidRPr="00112487" w:rsidR="007C5950">
        <w:rPr>
          <w:szCs w:val="27"/>
        </w:rPr>
        <w:t xml:space="preserve">underlying </w:t>
      </w:r>
      <w:r w:rsidRPr="00112487" w:rsidR="0075124B">
        <w:rPr>
          <w:szCs w:val="27"/>
        </w:rPr>
        <w:t xml:space="preserve">primary insurance, it would nonetheless remain unfair as a matter of </w:t>
      </w:r>
      <w:r w:rsidRPr="00112487" w:rsidR="0075124B">
        <w:rPr>
          <w:i/>
          <w:iCs/>
          <w:szCs w:val="27"/>
        </w:rPr>
        <w:t>equity</w:t>
      </w:r>
      <w:r w:rsidRPr="00112487" w:rsidR="0075124B">
        <w:rPr>
          <w:szCs w:val="27"/>
        </w:rPr>
        <w:t xml:space="preserve"> to </w:t>
      </w:r>
      <w:r w:rsidRPr="00112487" w:rsidR="00240F03">
        <w:rPr>
          <w:szCs w:val="27"/>
        </w:rPr>
        <w:t xml:space="preserve">ever </w:t>
      </w:r>
      <w:r w:rsidRPr="00112487" w:rsidR="0075124B">
        <w:rPr>
          <w:szCs w:val="27"/>
        </w:rPr>
        <w:t xml:space="preserve">order an excess insurer to contribute to a primary insurer given the distinct role those two types of carriers play in covering a loss.  </w:t>
      </w:r>
      <w:r w:rsidRPr="00112487" w:rsidR="00D135DB">
        <w:rPr>
          <w:szCs w:val="27"/>
        </w:rPr>
        <w:t xml:space="preserve">Although </w:t>
      </w:r>
      <w:r w:rsidRPr="00112487" w:rsidR="001739E8">
        <w:rPr>
          <w:szCs w:val="27"/>
        </w:rPr>
        <w:t xml:space="preserve">we have concluded that the </w:t>
      </w:r>
      <w:r w:rsidRPr="00112487" w:rsidR="00256C13">
        <w:rPr>
          <w:szCs w:val="27"/>
        </w:rPr>
        <w:t xml:space="preserve">qualitative </w:t>
      </w:r>
      <w:r w:rsidRPr="00112487" w:rsidR="001739E8">
        <w:rPr>
          <w:szCs w:val="27"/>
        </w:rPr>
        <w:t xml:space="preserve">distinctions </w:t>
      </w:r>
      <w:r w:rsidRPr="00112487" w:rsidR="00643DDB">
        <w:rPr>
          <w:szCs w:val="27"/>
        </w:rPr>
        <w:t xml:space="preserve">between primary and excess insurance </w:t>
      </w:r>
      <w:r w:rsidRPr="00112487" w:rsidR="00D135DB">
        <w:rPr>
          <w:szCs w:val="27"/>
        </w:rPr>
        <w:t xml:space="preserve">do not present a </w:t>
      </w:r>
      <w:r w:rsidRPr="00112487" w:rsidR="00D60E4C">
        <w:rPr>
          <w:szCs w:val="27"/>
        </w:rPr>
        <w:t xml:space="preserve">sufficient </w:t>
      </w:r>
      <w:r w:rsidRPr="00112487" w:rsidR="00D135DB">
        <w:rPr>
          <w:szCs w:val="27"/>
        </w:rPr>
        <w:t xml:space="preserve">basis </w:t>
      </w:r>
      <w:r w:rsidRPr="00112487" w:rsidR="00D60E4C">
        <w:rPr>
          <w:szCs w:val="27"/>
        </w:rPr>
        <w:t xml:space="preserve">to depart from the </w:t>
      </w:r>
      <w:r w:rsidRPr="00112487" w:rsidR="00643DDB">
        <w:rPr>
          <w:szCs w:val="27"/>
        </w:rPr>
        <w:t xml:space="preserve">interpretation of the “other insurance” provisions </w:t>
      </w:r>
      <w:r w:rsidRPr="00112487" w:rsidR="001739E8">
        <w:rPr>
          <w:szCs w:val="27"/>
        </w:rPr>
        <w:t xml:space="preserve">that </w:t>
      </w:r>
      <w:r w:rsidRPr="00112487" w:rsidR="00D60E4C">
        <w:rPr>
          <w:szCs w:val="27"/>
        </w:rPr>
        <w:t xml:space="preserve">we adopted in </w:t>
      </w:r>
      <w:r w:rsidRPr="00112487" w:rsidR="00B62BB2">
        <w:rPr>
          <w:i/>
          <w:iCs/>
          <w:szCs w:val="27"/>
        </w:rPr>
        <w:t>Montrose III</w:t>
      </w:r>
      <w:r w:rsidRPr="00112487" w:rsidR="00DC753A">
        <w:rPr>
          <w:szCs w:val="27"/>
        </w:rPr>
        <w:t xml:space="preserve"> (</w:t>
      </w:r>
      <w:r w:rsidRPr="00112487" w:rsidR="00643DDB">
        <w:rPr>
          <w:szCs w:val="27"/>
        </w:rPr>
        <w:t>i.e.</w:t>
      </w:r>
      <w:r w:rsidRPr="00112487" w:rsidR="00D13E6F">
        <w:rPr>
          <w:szCs w:val="27"/>
        </w:rPr>
        <w:t>,</w:t>
      </w:r>
      <w:r w:rsidRPr="00112487" w:rsidR="00643DDB">
        <w:rPr>
          <w:szCs w:val="27"/>
        </w:rPr>
        <w:t xml:space="preserve"> that </w:t>
      </w:r>
      <w:r w:rsidRPr="00112487" w:rsidR="00AD5032">
        <w:rPr>
          <w:szCs w:val="27"/>
        </w:rPr>
        <w:t xml:space="preserve">such </w:t>
      </w:r>
      <w:r w:rsidRPr="00112487" w:rsidR="00884506">
        <w:rPr>
          <w:szCs w:val="27"/>
        </w:rPr>
        <w:t xml:space="preserve">provisions </w:t>
      </w:r>
      <w:r w:rsidRPr="00112487" w:rsidR="00643DDB">
        <w:rPr>
          <w:szCs w:val="27"/>
        </w:rPr>
        <w:t>impose only a rule of vertical exhaustion on the insured</w:t>
      </w:r>
      <w:r w:rsidRPr="00112487" w:rsidR="00DC753A">
        <w:rPr>
          <w:szCs w:val="27"/>
        </w:rPr>
        <w:t>),</w:t>
      </w:r>
      <w:r w:rsidRPr="00112487" w:rsidR="00D60E4C">
        <w:rPr>
          <w:szCs w:val="27"/>
        </w:rPr>
        <w:t xml:space="preserve"> whether </w:t>
      </w:r>
      <w:r w:rsidRPr="00112487" w:rsidR="00D135DB">
        <w:rPr>
          <w:szCs w:val="27"/>
        </w:rPr>
        <w:t xml:space="preserve">those distinctions </w:t>
      </w:r>
      <w:r w:rsidRPr="00112487" w:rsidR="00643DDB">
        <w:rPr>
          <w:szCs w:val="27"/>
        </w:rPr>
        <w:t xml:space="preserve">might </w:t>
      </w:r>
      <w:r w:rsidRPr="00112487" w:rsidR="00D135DB">
        <w:rPr>
          <w:szCs w:val="27"/>
        </w:rPr>
        <w:t xml:space="preserve">have more salience in the context of equitable contribution </w:t>
      </w:r>
      <w:r w:rsidRPr="00112487" w:rsidR="003F1D3D">
        <w:rPr>
          <w:szCs w:val="27"/>
        </w:rPr>
        <w:t xml:space="preserve">between insurers </w:t>
      </w:r>
      <w:r w:rsidRPr="00112487" w:rsidR="00D135DB">
        <w:rPr>
          <w:szCs w:val="27"/>
        </w:rPr>
        <w:t xml:space="preserve">remains an open question.  </w:t>
      </w:r>
      <w:r w:rsidRPr="00112487" w:rsidR="001739E8">
        <w:rPr>
          <w:szCs w:val="27"/>
        </w:rPr>
        <w:t xml:space="preserve">(See generally </w:t>
      </w:r>
      <w:r w:rsidRPr="00112487">
        <w:rPr>
          <w:i/>
          <w:iCs/>
          <w:szCs w:val="27"/>
        </w:rPr>
        <w:t>Dart</w:t>
      </w:r>
      <w:r w:rsidRPr="00112487" w:rsidR="0075124B">
        <w:rPr>
          <w:szCs w:val="27"/>
        </w:rPr>
        <w:t xml:space="preserve">, </w:t>
      </w:r>
      <w:r w:rsidRPr="00112487" w:rsidR="0075124B">
        <w:rPr>
          <w:i/>
          <w:iCs/>
          <w:szCs w:val="27"/>
        </w:rPr>
        <w:t>supra</w:t>
      </w:r>
      <w:r w:rsidRPr="00112487" w:rsidR="0075124B">
        <w:rPr>
          <w:szCs w:val="27"/>
        </w:rPr>
        <w:t xml:space="preserve">, </w:t>
      </w:r>
      <w:r w:rsidRPr="00112487">
        <w:rPr>
          <w:szCs w:val="27"/>
        </w:rPr>
        <w:t xml:space="preserve">28 Cal.4th </w:t>
      </w:r>
      <w:r w:rsidR="002F5141">
        <w:rPr>
          <w:szCs w:val="27"/>
        </w:rPr>
        <w:t>at p. </w:t>
      </w:r>
      <w:r w:rsidRPr="00112487">
        <w:rPr>
          <w:szCs w:val="27"/>
        </w:rPr>
        <w:t xml:space="preserve">1080 [“the obligation of successive primary insurers to cover a continuously manifesting injury is a separate issue from the obligations of the insurers to each other”]; </w:t>
      </w:r>
      <w:r w:rsidRPr="00112487">
        <w:rPr>
          <w:i/>
          <w:iCs/>
          <w:szCs w:val="27"/>
        </w:rPr>
        <w:t>SantaFe</w:t>
      </w:r>
      <w:r w:rsidRPr="00112487">
        <w:rPr>
          <w:szCs w:val="27"/>
        </w:rPr>
        <w:t>,</w:t>
      </w:r>
      <w:r w:rsidRPr="00112487">
        <w:rPr>
          <w:i/>
          <w:iCs/>
          <w:szCs w:val="27"/>
        </w:rPr>
        <w:t xml:space="preserve"> supra</w:t>
      </w:r>
      <w:r w:rsidRPr="00112487">
        <w:rPr>
          <w:szCs w:val="27"/>
        </w:rPr>
        <w:t>, 52</w:t>
      </w:r>
      <w:r w:rsidRPr="00112487" w:rsidR="0030056C">
        <w:rPr>
          <w:szCs w:val="27"/>
        </w:rPr>
        <w:t> </w:t>
      </w:r>
      <w:r w:rsidRPr="00112487">
        <w:rPr>
          <w:szCs w:val="27"/>
        </w:rPr>
        <w:t>Cal.App.5th at p. 29 [</w:t>
      </w:r>
      <w:r w:rsidRPr="00112487" w:rsidR="00CC67F1">
        <w:rPr>
          <w:szCs w:val="27"/>
        </w:rPr>
        <w:t>whether a policy requires horizontal</w:t>
      </w:r>
      <w:r w:rsidRPr="00112487" w:rsidR="000D1BA5">
        <w:rPr>
          <w:szCs w:val="27"/>
        </w:rPr>
        <w:t xml:space="preserve"> or vertical</w:t>
      </w:r>
      <w:r w:rsidRPr="00112487" w:rsidR="00CC67F1">
        <w:rPr>
          <w:szCs w:val="27"/>
        </w:rPr>
        <w:t xml:space="preserve"> exhaustion presents “a different question” than determining “</w:t>
      </w:r>
      <w:r w:rsidRPr="00112487">
        <w:rPr>
          <w:szCs w:val="27"/>
        </w:rPr>
        <w:t xml:space="preserve">the rights of </w:t>
      </w:r>
      <w:r w:rsidRPr="00112487" w:rsidR="00CC67F1">
        <w:rPr>
          <w:szCs w:val="27"/>
        </w:rPr>
        <w:t xml:space="preserve">. . . </w:t>
      </w:r>
      <w:r w:rsidRPr="00112487">
        <w:rPr>
          <w:szCs w:val="27"/>
        </w:rPr>
        <w:t>carriers</w:t>
      </w:r>
      <w:r w:rsidRPr="00112487" w:rsidR="00CC67F1">
        <w:rPr>
          <w:szCs w:val="27"/>
        </w:rPr>
        <w:t xml:space="preserve"> . . . </w:t>
      </w:r>
      <w:r w:rsidRPr="00112487">
        <w:rPr>
          <w:szCs w:val="27"/>
        </w:rPr>
        <w:t>to contribution</w:t>
      </w:r>
      <w:r w:rsidRPr="00112487" w:rsidR="00CC67F1">
        <w:rPr>
          <w:szCs w:val="27"/>
        </w:rPr>
        <w:t xml:space="preserve">”].) </w:t>
      </w:r>
      <w:r w:rsidRPr="00112487">
        <w:rPr>
          <w:szCs w:val="27"/>
        </w:rPr>
        <w:t xml:space="preserve"> </w:t>
      </w:r>
    </w:p>
    <w:p w:rsidR="001E5127" w:rsidRPr="00112487" w:rsidP="00A25E48" w14:paraId="679C7960" w14:textId="77777777">
      <w:pPr>
        <w:rPr>
          <w:szCs w:val="27"/>
        </w:rPr>
      </w:pPr>
      <w:r w:rsidRPr="00112487">
        <w:rPr>
          <w:szCs w:val="27"/>
        </w:rPr>
        <w:tab/>
      </w:r>
      <w:r w:rsidRPr="00112487" w:rsidR="0075124B">
        <w:rPr>
          <w:szCs w:val="27"/>
        </w:rPr>
        <w:t>T</w:t>
      </w:r>
      <w:r w:rsidRPr="00112487">
        <w:rPr>
          <w:szCs w:val="27"/>
        </w:rPr>
        <w:t xml:space="preserve">he excess insurers and Kaiser </w:t>
      </w:r>
      <w:r w:rsidRPr="00112487" w:rsidR="0075124B">
        <w:rPr>
          <w:szCs w:val="27"/>
        </w:rPr>
        <w:t xml:space="preserve">further </w:t>
      </w:r>
      <w:r w:rsidRPr="00112487">
        <w:rPr>
          <w:szCs w:val="27"/>
        </w:rPr>
        <w:t xml:space="preserve">argue that </w:t>
      </w:r>
      <w:r w:rsidRPr="00112487" w:rsidR="00CC67F1">
        <w:rPr>
          <w:szCs w:val="27"/>
        </w:rPr>
        <w:t xml:space="preserve">even if </w:t>
      </w:r>
      <w:r w:rsidRPr="00112487">
        <w:rPr>
          <w:szCs w:val="27"/>
        </w:rPr>
        <w:t xml:space="preserve">there </w:t>
      </w:r>
      <w:r w:rsidRPr="00112487" w:rsidR="00A569A2">
        <w:rPr>
          <w:szCs w:val="27"/>
        </w:rPr>
        <w:t xml:space="preserve">might be </w:t>
      </w:r>
      <w:r w:rsidRPr="00112487" w:rsidR="00256C13">
        <w:rPr>
          <w:szCs w:val="27"/>
        </w:rPr>
        <w:t xml:space="preserve">some </w:t>
      </w:r>
      <w:r w:rsidRPr="00112487" w:rsidR="00A569A2">
        <w:rPr>
          <w:szCs w:val="27"/>
        </w:rPr>
        <w:t>circumstance</w:t>
      </w:r>
      <w:r w:rsidRPr="00112487" w:rsidR="0030056C">
        <w:rPr>
          <w:szCs w:val="27"/>
        </w:rPr>
        <w:t>s</w:t>
      </w:r>
      <w:r w:rsidRPr="00112487" w:rsidR="00A569A2">
        <w:rPr>
          <w:szCs w:val="27"/>
        </w:rPr>
        <w:t xml:space="preserve"> where it would be appropriate to order contribution </w:t>
      </w:r>
      <w:r w:rsidRPr="00112487" w:rsidR="00CC67F1">
        <w:rPr>
          <w:szCs w:val="27"/>
        </w:rPr>
        <w:t xml:space="preserve">between primary </w:t>
      </w:r>
      <w:r w:rsidRPr="00112487" w:rsidR="00A569A2">
        <w:rPr>
          <w:szCs w:val="27"/>
        </w:rPr>
        <w:t xml:space="preserve">and excess insurers, such an order would be unjust under the facts presented </w:t>
      </w:r>
      <w:r w:rsidRPr="00112487" w:rsidR="00674E55">
        <w:rPr>
          <w:szCs w:val="27"/>
        </w:rPr>
        <w:t>in this case</w:t>
      </w:r>
      <w:r w:rsidRPr="00112487" w:rsidR="00A569A2">
        <w:rPr>
          <w:szCs w:val="27"/>
        </w:rPr>
        <w:t>.</w:t>
      </w:r>
      <w:r w:rsidRPr="00112487" w:rsidR="0075124B">
        <w:rPr>
          <w:szCs w:val="27"/>
        </w:rPr>
        <w:t xml:space="preserve">  </w:t>
      </w:r>
      <w:r w:rsidRPr="00112487" w:rsidR="00AC10A9">
        <w:rPr>
          <w:szCs w:val="27"/>
        </w:rPr>
        <w:t>T</w:t>
      </w:r>
      <w:r w:rsidRPr="00112487">
        <w:rPr>
          <w:szCs w:val="27"/>
        </w:rPr>
        <w:t>hey</w:t>
      </w:r>
      <w:r w:rsidRPr="00112487" w:rsidR="00EC058D">
        <w:rPr>
          <w:szCs w:val="27"/>
        </w:rPr>
        <w:t xml:space="preserve"> </w:t>
      </w:r>
      <w:r w:rsidRPr="00112487" w:rsidR="00AC10A9">
        <w:rPr>
          <w:szCs w:val="27"/>
        </w:rPr>
        <w:t xml:space="preserve">explain </w:t>
      </w:r>
      <w:r w:rsidRPr="00112487">
        <w:rPr>
          <w:szCs w:val="27"/>
        </w:rPr>
        <w:t xml:space="preserve">that because Truck agreed to </w:t>
      </w:r>
      <w:r w:rsidRPr="00112487" w:rsidR="00992115">
        <w:rPr>
          <w:szCs w:val="27"/>
        </w:rPr>
        <w:t xml:space="preserve">indemnify Kaiser up to </w:t>
      </w:r>
      <w:r w:rsidRPr="00112487">
        <w:rPr>
          <w:szCs w:val="27"/>
        </w:rPr>
        <w:t xml:space="preserve">$500,000 for each </w:t>
      </w:r>
      <w:r w:rsidRPr="00112487" w:rsidR="00A551DE">
        <w:rPr>
          <w:szCs w:val="27"/>
        </w:rPr>
        <w:t xml:space="preserve">asbestos-related bodily injury claim </w:t>
      </w:r>
      <w:r w:rsidRPr="00112487">
        <w:rPr>
          <w:szCs w:val="27"/>
        </w:rPr>
        <w:t>but</w:t>
      </w:r>
      <w:r w:rsidRPr="00112487" w:rsidR="00992115">
        <w:rPr>
          <w:szCs w:val="27"/>
        </w:rPr>
        <w:t xml:space="preserve"> placed no</w:t>
      </w:r>
      <w:r w:rsidRPr="00112487">
        <w:rPr>
          <w:szCs w:val="27"/>
        </w:rPr>
        <w:t xml:space="preserve"> aggregate limit</w:t>
      </w:r>
      <w:r w:rsidRPr="00112487" w:rsidR="00992115">
        <w:rPr>
          <w:szCs w:val="27"/>
        </w:rPr>
        <w:t xml:space="preserve"> on coverage</w:t>
      </w:r>
      <w:r w:rsidRPr="00112487" w:rsidR="00703E9D">
        <w:rPr>
          <w:szCs w:val="27"/>
        </w:rPr>
        <w:t xml:space="preserve"> (something no other primary insurer did)</w:t>
      </w:r>
      <w:r w:rsidRPr="00112487">
        <w:rPr>
          <w:szCs w:val="27"/>
        </w:rPr>
        <w:t xml:space="preserve">, </w:t>
      </w:r>
      <w:r w:rsidRPr="00112487" w:rsidR="003C5BE9">
        <w:rPr>
          <w:szCs w:val="27"/>
        </w:rPr>
        <w:t xml:space="preserve">ordering </w:t>
      </w:r>
      <w:r w:rsidRPr="00112487" w:rsidR="008D4C44">
        <w:rPr>
          <w:szCs w:val="27"/>
        </w:rPr>
        <w:t xml:space="preserve">the excess insurers to </w:t>
      </w:r>
      <w:r w:rsidRPr="00112487">
        <w:rPr>
          <w:szCs w:val="27"/>
        </w:rPr>
        <w:t>contribut</w:t>
      </w:r>
      <w:r w:rsidRPr="00112487" w:rsidR="008D4C44">
        <w:rPr>
          <w:szCs w:val="27"/>
        </w:rPr>
        <w:t xml:space="preserve">e to that initial $500,000 in coverage </w:t>
      </w:r>
      <w:r w:rsidRPr="00112487">
        <w:rPr>
          <w:szCs w:val="27"/>
        </w:rPr>
        <w:t xml:space="preserve">would effectively allow </w:t>
      </w:r>
      <w:r w:rsidRPr="00112487" w:rsidR="00992115">
        <w:rPr>
          <w:szCs w:val="27"/>
        </w:rPr>
        <w:t xml:space="preserve">Truck to pay less </w:t>
      </w:r>
      <w:r w:rsidRPr="00112487" w:rsidR="00E7183A">
        <w:rPr>
          <w:szCs w:val="27"/>
        </w:rPr>
        <w:t xml:space="preserve">coverage </w:t>
      </w:r>
      <w:r w:rsidRPr="00112487" w:rsidR="00992115">
        <w:rPr>
          <w:szCs w:val="27"/>
        </w:rPr>
        <w:t>than it promised</w:t>
      </w:r>
      <w:r w:rsidRPr="00112487" w:rsidR="00537163">
        <w:rPr>
          <w:szCs w:val="27"/>
        </w:rPr>
        <w:t xml:space="preserve"> under its </w:t>
      </w:r>
      <w:r w:rsidRPr="00112487" w:rsidR="008D4C44">
        <w:rPr>
          <w:szCs w:val="27"/>
        </w:rPr>
        <w:t xml:space="preserve">1974 </w:t>
      </w:r>
      <w:r w:rsidRPr="00112487" w:rsidR="00537163">
        <w:rPr>
          <w:szCs w:val="27"/>
        </w:rPr>
        <w:t>policy</w:t>
      </w:r>
      <w:r w:rsidRPr="00112487" w:rsidR="00992115">
        <w:rPr>
          <w:szCs w:val="27"/>
        </w:rPr>
        <w:t xml:space="preserve">.  </w:t>
      </w:r>
      <w:r w:rsidRPr="00112487" w:rsidR="008D4C44">
        <w:rPr>
          <w:szCs w:val="27"/>
        </w:rPr>
        <w:t>They</w:t>
      </w:r>
      <w:r w:rsidRPr="00112487" w:rsidR="00537163">
        <w:rPr>
          <w:szCs w:val="27"/>
        </w:rPr>
        <w:t xml:space="preserve"> </w:t>
      </w:r>
      <w:r w:rsidRPr="00112487" w:rsidR="00A551DE">
        <w:rPr>
          <w:szCs w:val="27"/>
        </w:rPr>
        <w:t xml:space="preserve">further </w:t>
      </w:r>
      <w:r w:rsidRPr="00112487" w:rsidR="00537163">
        <w:rPr>
          <w:szCs w:val="27"/>
        </w:rPr>
        <w:t xml:space="preserve">contend that </w:t>
      </w:r>
      <w:r w:rsidR="003040E3">
        <w:rPr>
          <w:szCs w:val="27"/>
        </w:rPr>
        <w:t xml:space="preserve">ordering </w:t>
      </w:r>
      <w:r w:rsidRPr="00112487" w:rsidR="00992115">
        <w:rPr>
          <w:szCs w:val="27"/>
        </w:rPr>
        <w:t xml:space="preserve">contribution would </w:t>
      </w:r>
      <w:r w:rsidRPr="00112487" w:rsidR="00537163">
        <w:rPr>
          <w:szCs w:val="27"/>
        </w:rPr>
        <w:t xml:space="preserve">simultaneously </w:t>
      </w:r>
      <w:r w:rsidRPr="00112487" w:rsidR="00992115">
        <w:rPr>
          <w:szCs w:val="27"/>
        </w:rPr>
        <w:t xml:space="preserve">leave Kaiser (and asbestos claimants) with less overall coverage by </w:t>
      </w:r>
      <w:r w:rsidRPr="00112487" w:rsidR="0075124B">
        <w:rPr>
          <w:szCs w:val="27"/>
        </w:rPr>
        <w:t>prematurely exhausting</w:t>
      </w:r>
      <w:r w:rsidRPr="00112487" w:rsidR="00992115">
        <w:rPr>
          <w:szCs w:val="27"/>
        </w:rPr>
        <w:t xml:space="preserve"> excess insurance that </w:t>
      </w:r>
      <w:r w:rsidRPr="00112487" w:rsidR="00643DDB">
        <w:rPr>
          <w:szCs w:val="27"/>
        </w:rPr>
        <w:t>c</w:t>
      </w:r>
      <w:r w:rsidRPr="00112487" w:rsidR="00992115">
        <w:rPr>
          <w:szCs w:val="27"/>
        </w:rPr>
        <w:t xml:space="preserve">ould otherwise be used to cover </w:t>
      </w:r>
      <w:r w:rsidRPr="00112487" w:rsidR="006315E0">
        <w:rPr>
          <w:szCs w:val="27"/>
        </w:rPr>
        <w:t xml:space="preserve">individual </w:t>
      </w:r>
      <w:r w:rsidRPr="00112487" w:rsidR="00992115">
        <w:rPr>
          <w:szCs w:val="27"/>
        </w:rPr>
        <w:t>asbestos claims that exceed Truck’s $500,000 per occurrence limit</w:t>
      </w:r>
      <w:r w:rsidRPr="00112487" w:rsidR="00537163">
        <w:rPr>
          <w:szCs w:val="27"/>
        </w:rPr>
        <w:t xml:space="preserve"> or claims that do not trigger Truck’s 1974 policy (i.e., claims in which initial exposure occurred after the 1974 policy </w:t>
      </w:r>
      <w:r w:rsidRPr="00112487" w:rsidR="006315E0">
        <w:rPr>
          <w:szCs w:val="27"/>
        </w:rPr>
        <w:t>period</w:t>
      </w:r>
      <w:r w:rsidRPr="00112487" w:rsidR="00537163">
        <w:rPr>
          <w:szCs w:val="27"/>
        </w:rPr>
        <w:t>)</w:t>
      </w:r>
      <w:r w:rsidRPr="00112487" w:rsidR="00992115">
        <w:rPr>
          <w:szCs w:val="27"/>
        </w:rPr>
        <w:t xml:space="preserve">. </w:t>
      </w:r>
      <w:r w:rsidRPr="00112487">
        <w:rPr>
          <w:szCs w:val="27"/>
        </w:rPr>
        <w:t xml:space="preserve"> </w:t>
      </w:r>
      <w:r w:rsidRPr="00112487" w:rsidR="004009FA">
        <w:rPr>
          <w:szCs w:val="27"/>
        </w:rPr>
        <w:t xml:space="preserve">In support of these arguments, Kaiser </w:t>
      </w:r>
      <w:r w:rsidRPr="00112487" w:rsidR="008D4C44">
        <w:rPr>
          <w:szCs w:val="27"/>
        </w:rPr>
        <w:t xml:space="preserve">and the excess insurers </w:t>
      </w:r>
      <w:r w:rsidRPr="00112487" w:rsidR="004009FA">
        <w:rPr>
          <w:szCs w:val="27"/>
        </w:rPr>
        <w:t xml:space="preserve">cite </w:t>
      </w:r>
      <w:r w:rsidRPr="00112487" w:rsidR="00537163">
        <w:rPr>
          <w:szCs w:val="27"/>
        </w:rPr>
        <w:t xml:space="preserve">expert testimony and other </w:t>
      </w:r>
      <w:r w:rsidRPr="00112487" w:rsidR="004009FA">
        <w:rPr>
          <w:szCs w:val="27"/>
        </w:rPr>
        <w:t>evidence</w:t>
      </w:r>
      <w:r w:rsidRPr="00112487" w:rsidR="00170AE6">
        <w:rPr>
          <w:szCs w:val="27"/>
        </w:rPr>
        <w:t xml:space="preserve"> </w:t>
      </w:r>
      <w:r w:rsidRPr="00112487" w:rsidR="00185605">
        <w:rPr>
          <w:szCs w:val="27"/>
        </w:rPr>
        <w:t xml:space="preserve">regarding claims allocation </w:t>
      </w:r>
      <w:r w:rsidRPr="00112487" w:rsidR="008D4C44">
        <w:rPr>
          <w:szCs w:val="27"/>
        </w:rPr>
        <w:t>that was presented during the bench trial</w:t>
      </w:r>
      <w:r w:rsidRPr="00112487" w:rsidR="00185605">
        <w:rPr>
          <w:szCs w:val="27"/>
        </w:rPr>
        <w:t xml:space="preserve">. </w:t>
      </w:r>
      <w:r w:rsidRPr="00112487">
        <w:rPr>
          <w:szCs w:val="27"/>
        </w:rPr>
        <w:t xml:space="preserve"> </w:t>
      </w:r>
    </w:p>
    <w:p w:rsidR="00AC10A9" w:rsidRPr="00112487" w:rsidP="00A25E48" w14:paraId="679C7961" w14:textId="77777777">
      <w:pPr>
        <w:rPr>
          <w:szCs w:val="27"/>
        </w:rPr>
      </w:pPr>
      <w:r w:rsidRPr="00112487">
        <w:rPr>
          <w:szCs w:val="27"/>
        </w:rPr>
        <w:tab/>
      </w:r>
      <w:r w:rsidRPr="00112487" w:rsidR="001052F5">
        <w:rPr>
          <w:szCs w:val="27"/>
        </w:rPr>
        <w:t xml:space="preserve">Because the Court of Appeal </w:t>
      </w:r>
      <w:r w:rsidRPr="00112487" w:rsidR="00E375F0">
        <w:rPr>
          <w:szCs w:val="27"/>
        </w:rPr>
        <w:t xml:space="preserve">denied contribution based solely on its erroneous interpretation of the first-level excess policies, </w:t>
      </w:r>
      <w:r w:rsidRPr="00112487" w:rsidR="001052F5">
        <w:rPr>
          <w:szCs w:val="27"/>
        </w:rPr>
        <w:t xml:space="preserve">it </w:t>
      </w:r>
      <w:r w:rsidRPr="00112487">
        <w:rPr>
          <w:szCs w:val="27"/>
        </w:rPr>
        <w:t xml:space="preserve">did not </w:t>
      </w:r>
      <w:r w:rsidRPr="00112487" w:rsidR="00AD021F">
        <w:rPr>
          <w:szCs w:val="27"/>
        </w:rPr>
        <w:t xml:space="preserve">consider </w:t>
      </w:r>
      <w:r w:rsidRPr="00112487" w:rsidR="00992115">
        <w:rPr>
          <w:szCs w:val="27"/>
        </w:rPr>
        <w:t>these</w:t>
      </w:r>
      <w:r w:rsidRPr="00112487" w:rsidR="00537163">
        <w:rPr>
          <w:szCs w:val="27"/>
        </w:rPr>
        <w:t xml:space="preserve"> or any other</w:t>
      </w:r>
      <w:r w:rsidRPr="00112487" w:rsidR="00992115">
        <w:rPr>
          <w:szCs w:val="27"/>
        </w:rPr>
        <w:t xml:space="preserve"> </w:t>
      </w:r>
      <w:r w:rsidRPr="00112487" w:rsidR="001052F5">
        <w:rPr>
          <w:szCs w:val="27"/>
        </w:rPr>
        <w:t xml:space="preserve">alternative </w:t>
      </w:r>
      <w:r w:rsidRPr="00112487" w:rsidR="00992115">
        <w:rPr>
          <w:szCs w:val="27"/>
        </w:rPr>
        <w:t>arguments</w:t>
      </w:r>
      <w:r w:rsidRPr="00112487" w:rsidR="00185605">
        <w:rPr>
          <w:szCs w:val="27"/>
        </w:rPr>
        <w:t xml:space="preserve"> </w:t>
      </w:r>
      <w:r w:rsidRPr="00112487">
        <w:rPr>
          <w:szCs w:val="27"/>
        </w:rPr>
        <w:t>related to</w:t>
      </w:r>
      <w:r w:rsidRPr="00112487" w:rsidR="00ED441A">
        <w:rPr>
          <w:szCs w:val="27"/>
        </w:rPr>
        <w:t xml:space="preserve"> </w:t>
      </w:r>
      <w:r w:rsidRPr="00112487" w:rsidR="0075124B">
        <w:rPr>
          <w:szCs w:val="27"/>
        </w:rPr>
        <w:t xml:space="preserve">the question of </w:t>
      </w:r>
      <w:r w:rsidRPr="00112487" w:rsidR="00AD021F">
        <w:rPr>
          <w:szCs w:val="27"/>
        </w:rPr>
        <w:t>contribution</w:t>
      </w:r>
      <w:r w:rsidRPr="00112487" w:rsidR="00992115">
        <w:rPr>
          <w:szCs w:val="27"/>
        </w:rPr>
        <w:t>.</w:t>
      </w:r>
      <w:r w:rsidRPr="00112487" w:rsidR="00E375F0">
        <w:rPr>
          <w:szCs w:val="27"/>
        </w:rPr>
        <w:t xml:space="preserve">  Having now </w:t>
      </w:r>
      <w:r w:rsidRPr="00112487" w:rsidR="00E7183A">
        <w:rPr>
          <w:szCs w:val="27"/>
        </w:rPr>
        <w:t xml:space="preserve">clarified that the </w:t>
      </w:r>
      <w:r w:rsidRPr="00112487" w:rsidR="00E375F0">
        <w:rPr>
          <w:szCs w:val="27"/>
        </w:rPr>
        <w:t xml:space="preserve">first-level excess </w:t>
      </w:r>
      <w:r w:rsidRPr="00112487" w:rsidR="00F92A42">
        <w:rPr>
          <w:szCs w:val="27"/>
        </w:rPr>
        <w:t xml:space="preserve">insurers’ </w:t>
      </w:r>
      <w:r w:rsidRPr="00112487" w:rsidR="000C40D7">
        <w:rPr>
          <w:szCs w:val="27"/>
        </w:rPr>
        <w:t>indemnity</w:t>
      </w:r>
      <w:r w:rsidRPr="00112487" w:rsidR="00922BAF">
        <w:rPr>
          <w:szCs w:val="27"/>
        </w:rPr>
        <w:t xml:space="preserve"> </w:t>
      </w:r>
      <w:r w:rsidRPr="00112487" w:rsidR="00F92A42">
        <w:rPr>
          <w:szCs w:val="27"/>
        </w:rPr>
        <w:t xml:space="preserve">obligations to Kaiser </w:t>
      </w:r>
      <w:r w:rsidRPr="00112487" w:rsidR="00E7183A">
        <w:rPr>
          <w:szCs w:val="27"/>
        </w:rPr>
        <w:t>attach upon exhaustion of the directly underlying primary policies</w:t>
      </w:r>
      <w:r w:rsidRPr="00112487" w:rsidR="00864BDB">
        <w:rPr>
          <w:szCs w:val="27"/>
        </w:rPr>
        <w:t>, we find it appropriate to remand the matter for the court to</w:t>
      </w:r>
      <w:r w:rsidRPr="00112487" w:rsidR="00E7183A">
        <w:rPr>
          <w:szCs w:val="27"/>
        </w:rPr>
        <w:t xml:space="preserve"> </w:t>
      </w:r>
      <w:r w:rsidRPr="00112487" w:rsidR="00F656C3">
        <w:rPr>
          <w:szCs w:val="27"/>
        </w:rPr>
        <w:t>reevaluate whether</w:t>
      </w:r>
      <w:r w:rsidRPr="00112487" w:rsidR="008860B8">
        <w:rPr>
          <w:szCs w:val="27"/>
        </w:rPr>
        <w:t xml:space="preserve"> contribution </w:t>
      </w:r>
      <w:r w:rsidRPr="00112487" w:rsidR="00F656C3">
        <w:rPr>
          <w:szCs w:val="27"/>
        </w:rPr>
        <w:t xml:space="preserve">would </w:t>
      </w:r>
      <w:r w:rsidRPr="00112487" w:rsidR="00F92A42">
        <w:rPr>
          <w:szCs w:val="27"/>
        </w:rPr>
        <w:t>“</w:t>
      </w:r>
      <w:r w:rsidRPr="00112487" w:rsidR="00A34005">
        <w:rPr>
          <w:szCs w:val="27"/>
        </w:rPr>
        <w:t> ‘</w:t>
      </w:r>
      <w:r w:rsidRPr="00112487" w:rsidR="00F92A42">
        <w:rPr>
          <w:szCs w:val="27"/>
        </w:rPr>
        <w:t xml:space="preserve">accomplish </w:t>
      </w:r>
      <w:r w:rsidRPr="00112487" w:rsidR="00A34005">
        <w:rPr>
          <w:szCs w:val="27"/>
        </w:rPr>
        <w:t>ultimate</w:t>
      </w:r>
      <w:r w:rsidRPr="00112487" w:rsidR="00F92A42">
        <w:rPr>
          <w:szCs w:val="27"/>
        </w:rPr>
        <w:t xml:space="preserve"> justice</w:t>
      </w:r>
      <w:r w:rsidRPr="00112487" w:rsidR="00A34005">
        <w:rPr>
          <w:szCs w:val="27"/>
        </w:rPr>
        <w:t>’ </w:t>
      </w:r>
      <w:r w:rsidRPr="00112487" w:rsidR="00F92A42">
        <w:rPr>
          <w:szCs w:val="27"/>
        </w:rPr>
        <w:t xml:space="preserve">” </w:t>
      </w:r>
      <w:r w:rsidRPr="00112487" w:rsidR="00A34005">
        <w:rPr>
          <w:szCs w:val="27"/>
        </w:rPr>
        <w:t>(</w:t>
      </w:r>
      <w:r w:rsidRPr="00112487" w:rsidR="00A34005">
        <w:rPr>
          <w:i/>
          <w:iCs/>
          <w:szCs w:val="27"/>
        </w:rPr>
        <w:t>Signal</w:t>
      </w:r>
      <w:r w:rsidRPr="00112487" w:rsidR="00A34005">
        <w:rPr>
          <w:szCs w:val="27"/>
        </w:rPr>
        <w:t xml:space="preserve">, </w:t>
      </w:r>
      <w:r w:rsidRPr="00112487" w:rsidR="00A34005">
        <w:rPr>
          <w:i/>
          <w:iCs/>
          <w:szCs w:val="27"/>
        </w:rPr>
        <w:t>supra</w:t>
      </w:r>
      <w:r w:rsidRPr="00112487" w:rsidR="00A34005">
        <w:rPr>
          <w:szCs w:val="27"/>
        </w:rPr>
        <w:t>, 27</w:t>
      </w:r>
      <w:r w:rsidRPr="00112487" w:rsidR="00D82983">
        <w:rPr>
          <w:szCs w:val="27"/>
        </w:rPr>
        <w:t> </w:t>
      </w:r>
      <w:r w:rsidRPr="00112487" w:rsidR="00A34005">
        <w:rPr>
          <w:szCs w:val="27"/>
        </w:rPr>
        <w:t xml:space="preserve">Cal.3d </w:t>
      </w:r>
      <w:r w:rsidRPr="00112487" w:rsidR="00BF5F78">
        <w:rPr>
          <w:szCs w:val="27"/>
        </w:rPr>
        <w:t>at p. 369</w:t>
      </w:r>
      <w:r w:rsidRPr="00112487" w:rsidR="00A34005">
        <w:rPr>
          <w:szCs w:val="27"/>
        </w:rPr>
        <w:t xml:space="preserve">) among the </w:t>
      </w:r>
      <w:r w:rsidRPr="00112487" w:rsidR="00C05CE4">
        <w:rPr>
          <w:szCs w:val="27"/>
        </w:rPr>
        <w:t>insurers and their policy</w:t>
      </w:r>
      <w:r w:rsidRPr="00112487" w:rsidR="001273C2">
        <w:rPr>
          <w:szCs w:val="27"/>
        </w:rPr>
        <w:t xml:space="preserve"> </w:t>
      </w:r>
      <w:r w:rsidRPr="00112487" w:rsidR="00C05CE4">
        <w:rPr>
          <w:szCs w:val="27"/>
        </w:rPr>
        <w:t>holder</w:t>
      </w:r>
      <w:r w:rsidRPr="00112487" w:rsidR="00864BDB">
        <w:rPr>
          <w:szCs w:val="27"/>
        </w:rPr>
        <w:t>.  (See</w:t>
      </w:r>
      <w:r w:rsidRPr="00112487" w:rsidR="00F656C3">
        <w:rPr>
          <w:szCs w:val="27"/>
        </w:rPr>
        <w:t>, e.g.,</w:t>
      </w:r>
      <w:r w:rsidRPr="00112487" w:rsidR="00864BDB">
        <w:rPr>
          <w:szCs w:val="27"/>
        </w:rPr>
        <w:t xml:space="preserve"> </w:t>
      </w:r>
      <w:r w:rsidRPr="00112487" w:rsidR="00864BDB">
        <w:rPr>
          <w:i/>
          <w:iCs/>
          <w:szCs w:val="27"/>
        </w:rPr>
        <w:t>Coast Community College Dist. v. Commission on State Mandates</w:t>
      </w:r>
      <w:r w:rsidRPr="00112487" w:rsidR="00864BDB">
        <w:rPr>
          <w:szCs w:val="27"/>
        </w:rPr>
        <w:t xml:space="preserve"> (2022) 13</w:t>
      </w:r>
      <w:r w:rsidRPr="00112487" w:rsidR="00D82983">
        <w:rPr>
          <w:szCs w:val="27"/>
        </w:rPr>
        <w:t> </w:t>
      </w:r>
      <w:r w:rsidRPr="00112487" w:rsidR="00864BDB">
        <w:rPr>
          <w:szCs w:val="27"/>
        </w:rPr>
        <w:t xml:space="preserve">Cal.5th 800, 822 [remanding to allow the court to “ ‘resolve [unexamined issues] . . . in the first instance’ ”]; </w:t>
      </w:r>
      <w:r w:rsidRPr="00112487" w:rsidR="00864BDB">
        <w:rPr>
          <w:i/>
          <w:iCs/>
          <w:szCs w:val="27"/>
        </w:rPr>
        <w:t>Hamilton</w:t>
      </w:r>
      <w:r w:rsidRPr="00112487" w:rsidR="00EB6470">
        <w:rPr>
          <w:szCs w:val="27"/>
        </w:rPr>
        <w:t xml:space="preserve">, </w:t>
      </w:r>
      <w:r w:rsidRPr="007C6BD5" w:rsidR="00EB6470">
        <w:rPr>
          <w:i/>
          <w:iCs/>
          <w:szCs w:val="27"/>
        </w:rPr>
        <w:t>supra</w:t>
      </w:r>
      <w:r w:rsidRPr="00112487" w:rsidR="00EB6470">
        <w:rPr>
          <w:szCs w:val="27"/>
        </w:rPr>
        <w:t xml:space="preserve">, </w:t>
      </w:r>
      <w:r w:rsidRPr="00112487" w:rsidR="00864BDB">
        <w:rPr>
          <w:szCs w:val="27"/>
        </w:rPr>
        <w:t>22</w:t>
      </w:r>
      <w:r w:rsidRPr="00112487" w:rsidR="00D82983">
        <w:rPr>
          <w:szCs w:val="27"/>
        </w:rPr>
        <w:t> </w:t>
      </w:r>
      <w:r w:rsidRPr="00112487" w:rsidR="00864BDB">
        <w:rPr>
          <w:szCs w:val="27"/>
        </w:rPr>
        <w:t xml:space="preserve">Cal.4th </w:t>
      </w:r>
      <w:r w:rsidRPr="00112487" w:rsidR="00EB6470">
        <w:rPr>
          <w:szCs w:val="27"/>
        </w:rPr>
        <w:t>at p. </w:t>
      </w:r>
      <w:r w:rsidRPr="00112487" w:rsidR="00864BDB">
        <w:rPr>
          <w:szCs w:val="27"/>
        </w:rPr>
        <w:t>1149 [“It is appropriate to remand for the Court of Appeal to resolve . . . in the first instance” issues that the court chose “not [to] reach because of its holdings”].)</w:t>
      </w:r>
    </w:p>
    <w:p w:rsidR="00756B3E" w:rsidRPr="00112487" w:rsidP="00A25E48" w14:paraId="679C7962" w14:textId="77777777">
      <w:pPr>
        <w:rPr>
          <w:szCs w:val="27"/>
        </w:rPr>
      </w:pPr>
      <w:r w:rsidRPr="00112487">
        <w:rPr>
          <w:szCs w:val="27"/>
        </w:rPr>
        <w:tab/>
        <w:t xml:space="preserve">On remand, the parties </w:t>
      </w:r>
      <w:r w:rsidRPr="00112487" w:rsidR="0024154F">
        <w:rPr>
          <w:szCs w:val="27"/>
        </w:rPr>
        <w:t>are free to</w:t>
      </w:r>
      <w:r w:rsidRPr="00112487">
        <w:rPr>
          <w:szCs w:val="27"/>
        </w:rPr>
        <w:t xml:space="preserve"> raise any arguments they believe </w:t>
      </w:r>
      <w:r w:rsidRPr="00112487" w:rsidR="00206514">
        <w:rPr>
          <w:szCs w:val="27"/>
        </w:rPr>
        <w:t xml:space="preserve">may aid the court in deciding </w:t>
      </w:r>
      <w:r w:rsidRPr="00112487" w:rsidR="00A569A2">
        <w:rPr>
          <w:szCs w:val="27"/>
        </w:rPr>
        <w:t>w</w:t>
      </w:r>
      <w:r w:rsidRPr="00112487">
        <w:rPr>
          <w:szCs w:val="27"/>
        </w:rPr>
        <w:t xml:space="preserve">hether </w:t>
      </w:r>
      <w:r w:rsidRPr="00112487" w:rsidR="005F3E6C">
        <w:rPr>
          <w:szCs w:val="27"/>
        </w:rPr>
        <w:t xml:space="preserve">contribution is ever appropriate between primary and excess insurers </w:t>
      </w:r>
      <w:r w:rsidRPr="00112487" w:rsidR="009A4520">
        <w:rPr>
          <w:szCs w:val="27"/>
        </w:rPr>
        <w:t>and</w:t>
      </w:r>
      <w:r w:rsidRPr="00112487" w:rsidR="00884506">
        <w:rPr>
          <w:szCs w:val="27"/>
        </w:rPr>
        <w:t>, if so, whether contribution would be appropriate under the circumstances of this case</w:t>
      </w:r>
      <w:r w:rsidRPr="00112487">
        <w:rPr>
          <w:szCs w:val="27"/>
        </w:rPr>
        <w:t>.  The Court of Appeal, in turn, retains discretion to</w:t>
      </w:r>
      <w:r w:rsidRPr="00112487" w:rsidR="005663B3">
        <w:rPr>
          <w:szCs w:val="27"/>
        </w:rPr>
        <w:t xml:space="preserve"> make a further remand </w:t>
      </w:r>
      <w:r w:rsidRPr="00112487" w:rsidR="00206514">
        <w:rPr>
          <w:szCs w:val="27"/>
        </w:rPr>
        <w:t xml:space="preserve">to the trial court </w:t>
      </w:r>
      <w:r w:rsidRPr="00112487" w:rsidR="00842B0C">
        <w:rPr>
          <w:szCs w:val="27"/>
        </w:rPr>
        <w:t xml:space="preserve">if it </w:t>
      </w:r>
      <w:r w:rsidRPr="00112487" w:rsidR="00206514">
        <w:rPr>
          <w:szCs w:val="27"/>
        </w:rPr>
        <w:t>concludes</w:t>
      </w:r>
      <w:r w:rsidRPr="00112487" w:rsidR="00842B0C">
        <w:rPr>
          <w:szCs w:val="27"/>
        </w:rPr>
        <w:t xml:space="preserve"> that </w:t>
      </w:r>
      <w:r w:rsidRPr="00112487" w:rsidR="00916E1A">
        <w:rPr>
          <w:szCs w:val="27"/>
        </w:rPr>
        <w:t xml:space="preserve">the trial </w:t>
      </w:r>
      <w:r w:rsidRPr="00112487" w:rsidR="00842B0C">
        <w:rPr>
          <w:szCs w:val="27"/>
        </w:rPr>
        <w:t xml:space="preserve">court is better positioned to </w:t>
      </w:r>
      <w:r w:rsidRPr="00112487" w:rsidR="005663B3">
        <w:rPr>
          <w:szCs w:val="27"/>
        </w:rPr>
        <w:t xml:space="preserve">address </w:t>
      </w:r>
      <w:r w:rsidRPr="00112487" w:rsidR="00842B0C">
        <w:rPr>
          <w:szCs w:val="27"/>
        </w:rPr>
        <w:t xml:space="preserve">any </w:t>
      </w:r>
      <w:r w:rsidRPr="00112487" w:rsidR="0024154F">
        <w:rPr>
          <w:szCs w:val="27"/>
        </w:rPr>
        <w:t>question</w:t>
      </w:r>
      <w:r w:rsidRPr="00112487" w:rsidR="00842B0C">
        <w:rPr>
          <w:szCs w:val="27"/>
        </w:rPr>
        <w:t>s</w:t>
      </w:r>
      <w:r w:rsidRPr="00112487" w:rsidR="0024154F">
        <w:rPr>
          <w:szCs w:val="27"/>
        </w:rPr>
        <w:t xml:space="preserve"> </w:t>
      </w:r>
      <w:r w:rsidRPr="00112487" w:rsidR="00842B0C">
        <w:rPr>
          <w:szCs w:val="27"/>
        </w:rPr>
        <w:t xml:space="preserve">of </w:t>
      </w:r>
      <w:r w:rsidRPr="00112487" w:rsidR="00A569A2">
        <w:rPr>
          <w:szCs w:val="27"/>
        </w:rPr>
        <w:t>contribution</w:t>
      </w:r>
      <w:r w:rsidRPr="00112487" w:rsidR="00842B0C">
        <w:rPr>
          <w:szCs w:val="27"/>
        </w:rPr>
        <w:t xml:space="preserve"> that may arise</w:t>
      </w:r>
      <w:r w:rsidRPr="00112487" w:rsidR="00206514">
        <w:rPr>
          <w:szCs w:val="27"/>
        </w:rPr>
        <w:t xml:space="preserve"> in the </w:t>
      </w:r>
      <w:r w:rsidRPr="00112487" w:rsidR="0030056C">
        <w:rPr>
          <w:szCs w:val="27"/>
        </w:rPr>
        <w:t xml:space="preserve">further </w:t>
      </w:r>
      <w:r w:rsidRPr="00112487" w:rsidR="00206514">
        <w:rPr>
          <w:szCs w:val="27"/>
        </w:rPr>
        <w:t>proceedings</w:t>
      </w:r>
      <w:r w:rsidRPr="00112487" w:rsidR="005663B3">
        <w:rPr>
          <w:szCs w:val="27"/>
        </w:rPr>
        <w:t>.</w:t>
      </w:r>
      <w:r>
        <w:rPr>
          <w:rStyle w:val="FootnoteReference"/>
          <w:szCs w:val="27"/>
        </w:rPr>
        <w:footnoteReference w:id="16"/>
      </w:r>
    </w:p>
    <w:p w:rsidR="00EC61DA" w:rsidRPr="00112487" w:rsidP="00E05FA7" w14:paraId="679C7963" w14:textId="77777777">
      <w:pPr>
        <w:tabs>
          <w:tab w:val="left" w:pos="1440"/>
        </w:tabs>
        <w:jc w:val="center"/>
        <w:rPr>
          <w:b/>
          <w:smallCaps/>
          <w:szCs w:val="27"/>
        </w:rPr>
      </w:pPr>
      <w:r w:rsidRPr="00112487">
        <w:rPr>
          <w:b/>
          <w:smallCaps/>
          <w:szCs w:val="27"/>
        </w:rPr>
        <w:t>III.  Disposition</w:t>
      </w:r>
    </w:p>
    <w:p w:rsidR="00EC61DA" w:rsidRPr="00112487" w:rsidP="00A25E48" w14:paraId="679C7964" w14:textId="77777777">
      <w:pPr>
        <w:tabs>
          <w:tab w:val="left" w:pos="1440"/>
        </w:tabs>
        <w:ind w:firstLine="720"/>
        <w:rPr>
          <w:szCs w:val="27"/>
        </w:rPr>
      </w:pPr>
      <w:r w:rsidRPr="00112487">
        <w:rPr>
          <w:szCs w:val="27"/>
        </w:rPr>
        <w:t>The Court of Appeal’s judgment is reversed</w:t>
      </w:r>
      <w:r w:rsidR="00186833">
        <w:rPr>
          <w:szCs w:val="27"/>
        </w:rPr>
        <w:t>,</w:t>
      </w:r>
      <w:r w:rsidRPr="00112487">
        <w:rPr>
          <w:szCs w:val="27"/>
        </w:rPr>
        <w:t xml:space="preserve"> and the matter is remanded for further proceedings consistent with this opinion. </w:t>
      </w:r>
    </w:p>
    <w:p w:rsidR="00C50995" w:rsidRPr="00A25E48" w:rsidP="00A25E48" w14:paraId="679C7965" w14:textId="77777777">
      <w:pPr>
        <w:tabs>
          <w:tab w:val="left" w:pos="1440"/>
        </w:tabs>
        <w:ind w:firstLine="720"/>
        <w:rPr>
          <w:szCs w:val="26"/>
        </w:rPr>
      </w:pPr>
    </w:p>
    <w:p w:rsidR="00B6214D" w:rsidP="00A25E48" w14:paraId="679C7966" w14:textId="77777777">
      <w:pPr>
        <w:ind w:left="3600" w:firstLine="1800"/>
        <w:rPr>
          <w:b/>
          <w:szCs w:val="26"/>
        </w:rPr>
      </w:pPr>
    </w:p>
    <w:p w:rsidR="00B6214D" w:rsidP="00A25E48" w14:paraId="679C7967" w14:textId="77777777">
      <w:pPr>
        <w:ind w:left="3600" w:firstLine="1800"/>
        <w:rPr>
          <w:b/>
          <w:szCs w:val="26"/>
        </w:rPr>
      </w:pPr>
    </w:p>
    <w:p w:rsidR="00B6214D" w:rsidP="00A25E48" w14:paraId="679C7968" w14:textId="77777777">
      <w:pPr>
        <w:ind w:left="3600" w:firstLine="1800"/>
        <w:rPr>
          <w:b/>
          <w:szCs w:val="26"/>
        </w:rPr>
      </w:pPr>
    </w:p>
    <w:p w:rsidR="00185605" w:rsidRPr="00A25E48" w:rsidP="00A25E48" w14:paraId="679C7969" w14:textId="77777777">
      <w:pPr>
        <w:ind w:left="3600" w:firstLine="1800"/>
        <w:rPr>
          <w:b/>
          <w:szCs w:val="26"/>
        </w:rPr>
      </w:pPr>
      <w:r w:rsidRPr="00A25E48">
        <w:rPr>
          <w:b/>
          <w:szCs w:val="26"/>
        </w:rPr>
        <w:t>GROBAN, J.</w:t>
      </w:r>
      <w:bookmarkEnd w:id="1"/>
    </w:p>
    <w:p w:rsidR="00A25E48" w:rsidRPr="00994D80" w:rsidP="00A25E48" w14:paraId="679C796B" w14:textId="77777777">
      <w:pPr>
        <w:rPr>
          <w:b/>
          <w:bCs/>
        </w:rPr>
      </w:pPr>
      <w:r w:rsidRPr="00994D80">
        <w:rPr>
          <w:b/>
          <w:bCs/>
        </w:rPr>
        <w:t>We Concur:</w:t>
      </w:r>
    </w:p>
    <w:bookmarkEnd w:id="2"/>
    <w:p w:rsidR="00B6214D" w:rsidP="00B6214D" w14:paraId="679C796C" w14:textId="77777777">
      <w:pPr>
        <w:spacing w:after="0" w:line="240" w:lineRule="auto"/>
        <w:jc w:val="left"/>
        <w:rPr>
          <w:b/>
        </w:rPr>
      </w:pPr>
      <w:r>
        <w:rPr>
          <w:b/>
        </w:rPr>
        <w:t>GUERRERO, C. J.</w:t>
      </w:r>
    </w:p>
    <w:p w:rsidR="00B6214D" w:rsidP="00B6214D" w14:paraId="679C796D" w14:textId="77777777">
      <w:pPr>
        <w:spacing w:after="0" w:line="240" w:lineRule="auto"/>
        <w:rPr>
          <w:b/>
          <w:lang w:val="it-IT"/>
        </w:rPr>
      </w:pPr>
      <w:r>
        <w:rPr>
          <w:b/>
          <w:lang w:val="it-IT"/>
        </w:rPr>
        <w:t>CORRIGAN, J.</w:t>
      </w:r>
    </w:p>
    <w:p w:rsidR="00B6214D" w:rsidP="00B6214D" w14:paraId="679C796E" w14:textId="77777777">
      <w:pPr>
        <w:spacing w:after="0" w:line="240" w:lineRule="auto"/>
        <w:jc w:val="left"/>
        <w:rPr>
          <w:b/>
        </w:rPr>
      </w:pPr>
      <w:r>
        <w:rPr>
          <w:b/>
        </w:rPr>
        <w:t>LIU, J.</w:t>
      </w:r>
    </w:p>
    <w:p w:rsidR="00B6214D" w:rsidP="00B6214D" w14:paraId="679C796F" w14:textId="77777777">
      <w:pPr>
        <w:spacing w:after="0" w:line="240" w:lineRule="auto"/>
        <w:jc w:val="left"/>
        <w:rPr>
          <w:b/>
          <w:lang w:val="it-IT"/>
        </w:rPr>
      </w:pPr>
      <w:r>
        <w:rPr>
          <w:b/>
          <w:lang w:val="it-IT"/>
        </w:rPr>
        <w:t>KRUGER, J.</w:t>
      </w:r>
    </w:p>
    <w:p w:rsidR="00B6214D" w:rsidP="00B6214D" w14:paraId="679C7970" w14:textId="77777777">
      <w:pPr>
        <w:spacing w:after="0" w:line="240" w:lineRule="auto"/>
        <w:jc w:val="left"/>
        <w:rPr>
          <w:b/>
        </w:rPr>
      </w:pPr>
      <w:r>
        <w:rPr>
          <w:b/>
        </w:rPr>
        <w:t>JENKINS, J.</w:t>
      </w:r>
    </w:p>
    <w:p w:rsidR="00B6214D" w:rsidP="00B6214D" w14:paraId="679C7971" w14:textId="77777777">
      <w:pPr>
        <w:pStyle w:val="Text"/>
        <w:spacing w:line="400" w:lineRule="exact"/>
        <w:ind w:firstLine="0"/>
      </w:pPr>
      <w:r>
        <w:rPr>
          <w:b/>
          <w:lang w:val="it-IT"/>
        </w:rPr>
        <w:t>EVANS</w:t>
      </w:r>
      <w:r>
        <w:rPr>
          <w:b/>
        </w:rPr>
        <w:t>, J.</w:t>
      </w:r>
    </w:p>
    <w:p w:rsidR="0086064B" w:rsidP="00A25E48" w14:paraId="6E3B4D61" w14:textId="77777777">
      <w:pPr>
        <w:sectPr w:rsidSect="00A25E48">
          <w:footerReference w:type="first" r:id="rId8"/>
          <w:pgSz w:w="12240" w:h="15840"/>
          <w:pgMar w:top="1800" w:right="2160" w:bottom="1440" w:left="2160" w:header="720" w:footer="720" w:gutter="0"/>
          <w:pgNumType w:start="1"/>
          <w:cols w:space="720"/>
          <w:titlePg/>
          <w:docGrid w:linePitch="367"/>
        </w:sectPr>
      </w:pPr>
    </w:p>
    <w:p w:rsidR="0086064B" w:rsidRPr="0086064B" w:rsidP="0086064B" w14:paraId="276B1398" w14:textId="77777777">
      <w:pPr>
        <w:spacing w:after="0" w:line="240" w:lineRule="auto"/>
        <w:jc w:val="left"/>
        <w:rPr>
          <w:i/>
          <w:sz w:val="24"/>
          <w:szCs w:val="24"/>
        </w:rPr>
      </w:pPr>
      <w:bookmarkStart w:id="8" w:name="_Hlk105508284"/>
      <w:r w:rsidRPr="0086064B">
        <w:rPr>
          <w:i/>
          <w:sz w:val="24"/>
          <w:szCs w:val="24"/>
        </w:rPr>
        <w:t>See next page for addresses and telephone numbers for counsel who argued in Supreme Court.</w:t>
      </w:r>
    </w:p>
    <w:p w:rsidR="0086064B" w:rsidRPr="0086064B" w:rsidP="0086064B" w14:paraId="51DB76C0" w14:textId="77777777">
      <w:pPr>
        <w:spacing w:after="0" w:line="240" w:lineRule="auto"/>
        <w:jc w:val="left"/>
        <w:rPr>
          <w:i/>
          <w:sz w:val="24"/>
          <w:szCs w:val="24"/>
        </w:rPr>
      </w:pPr>
    </w:p>
    <w:p w:rsidR="0086064B" w:rsidRPr="0086064B" w:rsidP="0086064B" w14:paraId="6B6776FE" w14:textId="77777777">
      <w:pPr>
        <w:spacing w:after="0" w:line="240" w:lineRule="auto"/>
        <w:jc w:val="left"/>
        <w:rPr>
          <w:bCs/>
          <w:sz w:val="24"/>
          <w:szCs w:val="24"/>
        </w:rPr>
      </w:pPr>
      <w:r w:rsidRPr="0086064B">
        <w:rPr>
          <w:b/>
          <w:sz w:val="24"/>
          <w:szCs w:val="24"/>
        </w:rPr>
        <w:t xml:space="preserve">Name of Opinion </w:t>
      </w:r>
      <w:r w:rsidRPr="0086064B">
        <w:rPr>
          <w:bCs/>
          <w:sz w:val="24"/>
          <w:szCs w:val="24"/>
        </w:rPr>
        <w:t xml:space="preserve"> Truck Insurance Exchange v. Kaiser Cement and Gypsum Corp.</w:t>
      </w:r>
    </w:p>
    <w:p w:rsidR="0086064B" w:rsidRPr="0086064B" w:rsidP="0086064B" w14:paraId="7B4CE6E8" w14:textId="77777777">
      <w:pPr>
        <w:spacing w:after="0" w:line="240" w:lineRule="auto"/>
        <w:jc w:val="left"/>
        <w:rPr>
          <w:b/>
          <w:sz w:val="24"/>
          <w:szCs w:val="24"/>
        </w:rPr>
      </w:pPr>
      <w:r w:rsidRPr="0086064B">
        <w:rPr>
          <w:b/>
          <w:sz w:val="24"/>
          <w:szCs w:val="24"/>
        </w:rPr>
        <w:t xml:space="preserve">__________________________________________________________ </w:t>
      </w:r>
    </w:p>
    <w:p w:rsidR="0086064B" w:rsidRPr="0086064B" w:rsidP="0086064B" w14:paraId="50433D34" w14:textId="77777777">
      <w:pPr>
        <w:spacing w:after="0" w:line="240" w:lineRule="auto"/>
        <w:jc w:val="left"/>
        <w:rPr>
          <w:b/>
          <w:sz w:val="24"/>
          <w:szCs w:val="24"/>
        </w:rPr>
      </w:pPr>
    </w:p>
    <w:p w:rsidR="0086064B" w:rsidRPr="0086064B" w:rsidP="0086064B" w14:paraId="3E8FD586" w14:textId="77777777">
      <w:pPr>
        <w:spacing w:after="0" w:line="240" w:lineRule="auto"/>
        <w:jc w:val="left"/>
        <w:rPr>
          <w:sz w:val="24"/>
          <w:szCs w:val="24"/>
        </w:rPr>
      </w:pPr>
      <w:r w:rsidRPr="0086064B">
        <w:rPr>
          <w:b/>
          <w:bCs/>
          <w:sz w:val="24"/>
          <w:szCs w:val="24"/>
          <w:u w:val="single"/>
        </w:rPr>
        <w:t>Procedural Posture</w:t>
      </w:r>
      <w:r w:rsidRPr="0086064B">
        <w:rPr>
          <w:b/>
          <w:bCs/>
          <w:sz w:val="24"/>
          <w:szCs w:val="24"/>
        </w:rPr>
        <w:t xml:space="preserve"> </w:t>
      </w:r>
      <w:r w:rsidRPr="0086064B">
        <w:rPr>
          <w:sz w:val="24"/>
          <w:szCs w:val="24"/>
        </w:rPr>
        <w:t>(see XX below)</w:t>
      </w:r>
    </w:p>
    <w:p w:rsidR="0086064B" w:rsidRPr="0086064B" w:rsidP="0086064B" w14:paraId="2EFF4328" w14:textId="77777777">
      <w:pPr>
        <w:spacing w:after="0" w:line="240" w:lineRule="auto"/>
        <w:jc w:val="left"/>
        <w:rPr>
          <w:sz w:val="24"/>
          <w:szCs w:val="24"/>
        </w:rPr>
      </w:pPr>
      <w:r w:rsidRPr="0086064B">
        <w:rPr>
          <w:b/>
          <w:bCs/>
          <w:sz w:val="24"/>
          <w:szCs w:val="24"/>
        </w:rPr>
        <w:t>Original Appeal</w:t>
      </w:r>
      <w:r w:rsidRPr="0086064B">
        <w:rPr>
          <w:sz w:val="24"/>
          <w:szCs w:val="24"/>
        </w:rPr>
        <w:t xml:space="preserve"> </w:t>
      </w:r>
    </w:p>
    <w:p w:rsidR="0086064B" w:rsidRPr="0086064B" w:rsidP="0086064B" w14:paraId="11C02855" w14:textId="77777777">
      <w:pPr>
        <w:spacing w:after="0" w:line="240" w:lineRule="auto"/>
        <w:jc w:val="left"/>
        <w:rPr>
          <w:b/>
          <w:bCs/>
          <w:sz w:val="24"/>
          <w:szCs w:val="24"/>
        </w:rPr>
      </w:pPr>
      <w:r w:rsidRPr="0086064B">
        <w:rPr>
          <w:b/>
          <w:bCs/>
          <w:sz w:val="24"/>
          <w:szCs w:val="24"/>
        </w:rPr>
        <w:t>Original Proceeding</w:t>
      </w:r>
    </w:p>
    <w:p w:rsidR="0086064B" w:rsidRPr="0086064B" w:rsidP="0086064B" w14:paraId="13D7ED58" w14:textId="77777777">
      <w:pPr>
        <w:spacing w:after="0" w:line="240" w:lineRule="auto"/>
        <w:jc w:val="left"/>
        <w:rPr>
          <w:sz w:val="24"/>
          <w:szCs w:val="24"/>
        </w:rPr>
      </w:pPr>
      <w:r w:rsidRPr="0086064B">
        <w:rPr>
          <w:b/>
          <w:bCs/>
          <w:sz w:val="24"/>
          <w:szCs w:val="24"/>
        </w:rPr>
        <w:t>Review Granted</w:t>
      </w:r>
      <w:r w:rsidRPr="0086064B">
        <w:rPr>
          <w:sz w:val="24"/>
          <w:szCs w:val="24"/>
        </w:rPr>
        <w:t xml:space="preserve"> </w:t>
      </w:r>
      <w:r w:rsidRPr="0086064B">
        <w:rPr>
          <w:b/>
          <w:bCs/>
          <w:sz w:val="24"/>
          <w:szCs w:val="24"/>
        </w:rPr>
        <w:t xml:space="preserve">(published) </w:t>
      </w:r>
    </w:p>
    <w:p w:rsidR="0086064B" w:rsidRPr="0086064B" w:rsidP="0086064B" w14:paraId="5DB8FFBD" w14:textId="77777777">
      <w:pPr>
        <w:spacing w:after="0" w:line="240" w:lineRule="auto"/>
        <w:jc w:val="left"/>
        <w:rPr>
          <w:sz w:val="24"/>
          <w:szCs w:val="24"/>
        </w:rPr>
      </w:pPr>
      <w:r w:rsidRPr="0086064B">
        <w:rPr>
          <w:b/>
          <w:bCs/>
          <w:sz w:val="24"/>
          <w:szCs w:val="24"/>
        </w:rPr>
        <w:t xml:space="preserve">Review Granted (unpublished) </w:t>
      </w:r>
      <w:r w:rsidRPr="0086064B">
        <w:rPr>
          <w:sz w:val="24"/>
          <w:szCs w:val="24"/>
        </w:rPr>
        <w:t>XX NP opn. filed 1/7/22 – 2d Dist., Div. 4</w:t>
      </w:r>
    </w:p>
    <w:p w:rsidR="0086064B" w:rsidRPr="0086064B" w:rsidP="0086064B" w14:paraId="1D37ED66" w14:textId="77777777">
      <w:pPr>
        <w:spacing w:after="0" w:line="240" w:lineRule="auto"/>
        <w:jc w:val="left"/>
        <w:rPr>
          <w:b/>
          <w:bCs/>
          <w:sz w:val="24"/>
          <w:szCs w:val="24"/>
        </w:rPr>
      </w:pPr>
      <w:r w:rsidRPr="0086064B">
        <w:rPr>
          <w:b/>
          <w:bCs/>
          <w:sz w:val="24"/>
          <w:szCs w:val="24"/>
        </w:rPr>
        <w:t>Rehearing Granted</w:t>
      </w:r>
    </w:p>
    <w:p w:rsidR="0086064B" w:rsidRPr="0086064B" w:rsidP="0086064B" w14:paraId="059B1F93" w14:textId="77777777">
      <w:pPr>
        <w:spacing w:after="0" w:line="240" w:lineRule="auto"/>
        <w:jc w:val="left"/>
        <w:rPr>
          <w:b/>
          <w:sz w:val="24"/>
          <w:szCs w:val="24"/>
        </w:rPr>
      </w:pPr>
      <w:r w:rsidRPr="0086064B">
        <w:rPr>
          <w:b/>
          <w:sz w:val="24"/>
          <w:szCs w:val="24"/>
        </w:rPr>
        <w:t xml:space="preserve">__________________________________________________________ </w:t>
      </w:r>
    </w:p>
    <w:p w:rsidR="0086064B" w:rsidRPr="0086064B" w:rsidP="0086064B" w14:paraId="2B1702C0" w14:textId="77777777">
      <w:pPr>
        <w:spacing w:after="0" w:line="240" w:lineRule="auto"/>
        <w:jc w:val="left"/>
        <w:rPr>
          <w:b/>
          <w:sz w:val="24"/>
          <w:szCs w:val="24"/>
        </w:rPr>
      </w:pPr>
    </w:p>
    <w:p w:rsidR="0086064B" w:rsidRPr="0086064B" w:rsidP="0086064B" w14:paraId="2CD14A01" w14:textId="77777777">
      <w:pPr>
        <w:spacing w:after="0" w:line="240" w:lineRule="auto"/>
        <w:jc w:val="left"/>
        <w:rPr>
          <w:bCs/>
          <w:sz w:val="24"/>
          <w:szCs w:val="24"/>
        </w:rPr>
      </w:pPr>
      <w:r w:rsidRPr="0086064B">
        <w:rPr>
          <w:b/>
          <w:sz w:val="24"/>
          <w:szCs w:val="24"/>
        </w:rPr>
        <w:t>Opinion No.</w:t>
      </w:r>
      <w:r w:rsidRPr="0086064B">
        <w:rPr>
          <w:sz w:val="24"/>
          <w:szCs w:val="24"/>
        </w:rPr>
        <w:t xml:space="preserve"> S273179</w:t>
      </w:r>
    </w:p>
    <w:p w:rsidR="0086064B" w:rsidRPr="0086064B" w:rsidP="0086064B" w14:paraId="7410E26D" w14:textId="77777777">
      <w:pPr>
        <w:spacing w:after="0" w:line="240" w:lineRule="auto"/>
        <w:jc w:val="left"/>
        <w:rPr>
          <w:bCs/>
          <w:sz w:val="24"/>
          <w:szCs w:val="24"/>
        </w:rPr>
      </w:pPr>
      <w:r w:rsidRPr="0086064B">
        <w:rPr>
          <w:b/>
          <w:sz w:val="24"/>
          <w:szCs w:val="24"/>
        </w:rPr>
        <w:t>Date Filed:</w:t>
      </w:r>
      <w:r w:rsidRPr="0086064B">
        <w:rPr>
          <w:sz w:val="24"/>
          <w:szCs w:val="24"/>
        </w:rPr>
        <w:t xml:space="preserve">  June 17, 2024</w:t>
      </w:r>
    </w:p>
    <w:p w:rsidR="0086064B" w:rsidRPr="0086064B" w:rsidP="0086064B" w14:paraId="46CB562D" w14:textId="77777777">
      <w:pPr>
        <w:spacing w:after="0" w:line="240" w:lineRule="auto"/>
        <w:jc w:val="left"/>
        <w:rPr>
          <w:b/>
          <w:sz w:val="24"/>
          <w:szCs w:val="24"/>
        </w:rPr>
      </w:pPr>
      <w:r w:rsidRPr="0086064B">
        <w:rPr>
          <w:b/>
          <w:sz w:val="24"/>
          <w:szCs w:val="24"/>
        </w:rPr>
        <w:t xml:space="preserve">__________________________________________________________ </w:t>
      </w:r>
    </w:p>
    <w:p w:rsidR="0086064B" w:rsidRPr="0086064B" w:rsidP="0086064B" w14:paraId="01B5C974" w14:textId="77777777">
      <w:pPr>
        <w:spacing w:after="0" w:line="240" w:lineRule="auto"/>
        <w:jc w:val="left"/>
        <w:rPr>
          <w:b/>
          <w:sz w:val="24"/>
          <w:szCs w:val="24"/>
        </w:rPr>
      </w:pPr>
    </w:p>
    <w:p w:rsidR="0086064B" w:rsidRPr="0086064B" w:rsidP="0086064B" w14:paraId="35FE1718" w14:textId="77777777">
      <w:pPr>
        <w:spacing w:after="0" w:line="240" w:lineRule="auto"/>
        <w:jc w:val="left"/>
        <w:rPr>
          <w:bCs/>
          <w:sz w:val="24"/>
          <w:szCs w:val="24"/>
        </w:rPr>
      </w:pPr>
      <w:r w:rsidRPr="0086064B">
        <w:rPr>
          <w:b/>
          <w:sz w:val="24"/>
          <w:szCs w:val="24"/>
        </w:rPr>
        <w:t xml:space="preserve">Court:  </w:t>
      </w:r>
      <w:r w:rsidRPr="0086064B">
        <w:rPr>
          <w:bCs/>
          <w:sz w:val="24"/>
          <w:szCs w:val="24"/>
        </w:rPr>
        <w:t>Superior</w:t>
      </w:r>
      <w:r w:rsidRPr="0086064B">
        <w:rPr>
          <w:b/>
          <w:sz w:val="24"/>
          <w:szCs w:val="24"/>
        </w:rPr>
        <w:t xml:space="preserve"> </w:t>
      </w:r>
    </w:p>
    <w:p w:rsidR="0086064B" w:rsidRPr="0086064B" w:rsidP="0086064B" w14:paraId="6FC8D726" w14:textId="77777777">
      <w:pPr>
        <w:spacing w:after="0" w:line="240" w:lineRule="auto"/>
        <w:jc w:val="left"/>
        <w:rPr>
          <w:bCs/>
          <w:sz w:val="24"/>
          <w:szCs w:val="24"/>
        </w:rPr>
      </w:pPr>
      <w:r w:rsidRPr="0086064B">
        <w:rPr>
          <w:b/>
          <w:sz w:val="24"/>
          <w:szCs w:val="24"/>
        </w:rPr>
        <w:t xml:space="preserve">County:  </w:t>
      </w:r>
      <w:r w:rsidRPr="0086064B">
        <w:rPr>
          <w:bCs/>
          <w:sz w:val="24"/>
          <w:szCs w:val="24"/>
        </w:rPr>
        <w:t>Los Angeles</w:t>
      </w:r>
    </w:p>
    <w:p w:rsidR="0086064B" w:rsidRPr="0086064B" w:rsidP="0086064B" w14:paraId="06F2BF13" w14:textId="77777777">
      <w:pPr>
        <w:spacing w:after="0" w:line="240" w:lineRule="auto"/>
        <w:ind w:left="720" w:hanging="720"/>
        <w:jc w:val="left"/>
        <w:rPr>
          <w:bCs/>
          <w:sz w:val="24"/>
          <w:szCs w:val="24"/>
        </w:rPr>
      </w:pPr>
      <w:r w:rsidRPr="0086064B">
        <w:rPr>
          <w:b/>
          <w:sz w:val="24"/>
          <w:szCs w:val="24"/>
        </w:rPr>
        <w:t xml:space="preserve">Judge:  </w:t>
      </w:r>
      <w:r w:rsidRPr="0086064B">
        <w:rPr>
          <w:bCs/>
          <w:sz w:val="24"/>
          <w:szCs w:val="24"/>
        </w:rPr>
        <w:t>Kenneth R. Freeman</w:t>
      </w:r>
    </w:p>
    <w:p w:rsidR="0086064B" w:rsidRPr="0086064B" w:rsidP="0086064B" w14:paraId="2998EF88" w14:textId="77777777">
      <w:pPr>
        <w:spacing w:after="0" w:line="240" w:lineRule="auto"/>
        <w:jc w:val="left"/>
        <w:rPr>
          <w:b/>
          <w:sz w:val="24"/>
          <w:szCs w:val="24"/>
        </w:rPr>
      </w:pPr>
      <w:r w:rsidRPr="0086064B">
        <w:rPr>
          <w:b/>
          <w:sz w:val="24"/>
          <w:szCs w:val="24"/>
        </w:rPr>
        <w:t xml:space="preserve">__________________________________________________________  </w:t>
      </w:r>
    </w:p>
    <w:p w:rsidR="0086064B" w:rsidRPr="0086064B" w:rsidP="0086064B" w14:paraId="6B29EDA6" w14:textId="77777777">
      <w:pPr>
        <w:spacing w:after="0" w:line="240" w:lineRule="auto"/>
        <w:jc w:val="left"/>
        <w:rPr>
          <w:b/>
          <w:sz w:val="24"/>
          <w:szCs w:val="24"/>
        </w:rPr>
      </w:pPr>
    </w:p>
    <w:p w:rsidR="0086064B" w:rsidRPr="0086064B" w:rsidP="0086064B" w14:paraId="428EF0D1" w14:textId="77777777">
      <w:pPr>
        <w:spacing w:after="0" w:line="240" w:lineRule="auto"/>
        <w:jc w:val="left"/>
        <w:rPr>
          <w:b/>
          <w:sz w:val="24"/>
          <w:szCs w:val="24"/>
        </w:rPr>
      </w:pPr>
      <w:r w:rsidRPr="0086064B">
        <w:rPr>
          <w:b/>
          <w:sz w:val="24"/>
          <w:szCs w:val="24"/>
        </w:rPr>
        <w:t>Counsel:</w:t>
      </w:r>
    </w:p>
    <w:p w:rsidR="0086064B" w:rsidRPr="0086064B" w:rsidP="0086064B" w14:paraId="00B950FB" w14:textId="77777777">
      <w:pPr>
        <w:spacing w:after="0" w:line="240" w:lineRule="auto"/>
        <w:jc w:val="left"/>
        <w:rPr>
          <w:b/>
          <w:sz w:val="24"/>
          <w:szCs w:val="24"/>
        </w:rPr>
      </w:pPr>
    </w:p>
    <w:p w:rsidR="0086064B" w:rsidRPr="0086064B" w:rsidP="0086064B" w14:paraId="6064527F"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Pia Anderson Moss Hoyt, Scott R. Hoyt, Adam L. Hoyt; Greines, Martin, Stein &amp; Richland, Robert A. Olson, Jonathan H. Eisenman and Edward L. Xanders for Plaintiff and Appellant.</w:t>
      </w:r>
    </w:p>
    <w:p w:rsidR="0086064B" w:rsidRPr="0086064B" w:rsidP="0086064B" w14:paraId="03BDBD84" w14:textId="77777777">
      <w:pPr>
        <w:spacing w:after="0" w:line="240" w:lineRule="auto"/>
        <w:jc w:val="left"/>
        <w:rPr>
          <w:bCs/>
          <w:color w:val="212121"/>
          <w:sz w:val="24"/>
          <w:szCs w:val="24"/>
          <w:shd w:val="clear" w:color="auto" w:fill="FFFFFF"/>
        </w:rPr>
      </w:pPr>
    </w:p>
    <w:p w:rsidR="0086064B" w:rsidRPr="0086064B" w:rsidP="0086064B" w14:paraId="211C14B2"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The Cook Law Firm, Philip E. Cook and Brian J. Wright for Defendant, Cross-complainant and Appellant Kaiser Cement and Gypsum Corporation.</w:t>
      </w:r>
    </w:p>
    <w:p w:rsidR="0086064B" w:rsidRPr="0086064B" w:rsidP="0086064B" w14:paraId="4D52BCCA" w14:textId="77777777">
      <w:pPr>
        <w:spacing w:after="0" w:line="240" w:lineRule="auto"/>
        <w:jc w:val="left"/>
        <w:rPr>
          <w:bCs/>
          <w:color w:val="212121"/>
          <w:sz w:val="24"/>
          <w:szCs w:val="24"/>
          <w:shd w:val="clear" w:color="auto" w:fill="FFFFFF"/>
        </w:rPr>
      </w:pPr>
    </w:p>
    <w:p w:rsidR="0086064B" w:rsidRPr="0086064B" w:rsidP="0086064B" w14:paraId="7A218033"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Covington &amp; Burling, David B. Goodwin, Breanna K. Jones and Billie T.H. Mandelbaum for United Policyholders as Amicus Curiae on behalf of Defendant, Cross-complainant and Appellant Kaiser Cement and Gypsum Corporation.</w:t>
      </w:r>
    </w:p>
    <w:p w:rsidR="0086064B" w:rsidRPr="0086064B" w:rsidP="0086064B" w14:paraId="7240172A" w14:textId="77777777">
      <w:pPr>
        <w:spacing w:after="0" w:line="240" w:lineRule="auto"/>
        <w:jc w:val="left"/>
        <w:rPr>
          <w:bCs/>
          <w:color w:val="212121"/>
          <w:sz w:val="24"/>
          <w:szCs w:val="24"/>
          <w:shd w:val="clear" w:color="auto" w:fill="FFFFFF"/>
        </w:rPr>
      </w:pPr>
    </w:p>
    <w:p w:rsidR="0086064B" w:rsidRPr="0086064B" w:rsidP="0086064B" w14:paraId="1FC5A32A"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Morgan, Lewis &amp; Bockius and Jeffrey S. Raskin for Santa Fe Braun, Inc., as Amicus Curiae on behalf of Defendant, Cross-complainant and Appellant.</w:t>
      </w:r>
    </w:p>
    <w:p w:rsidR="0086064B" w:rsidRPr="0086064B" w:rsidP="0086064B" w14:paraId="7C11544D"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Duane Morris, Brian A. Kelly, Paul J. Killion and Kathryn T.K. Schultz for Defendant and Appellant.</w:t>
      </w:r>
    </w:p>
    <w:p w:rsidR="0086064B" w:rsidRPr="0086064B" w:rsidP="0086064B" w14:paraId="3FDC0A34" w14:textId="77777777">
      <w:pPr>
        <w:spacing w:after="0" w:line="240" w:lineRule="auto"/>
        <w:jc w:val="left"/>
        <w:rPr>
          <w:bCs/>
          <w:color w:val="212121"/>
          <w:sz w:val="24"/>
          <w:szCs w:val="24"/>
          <w:shd w:val="clear" w:color="auto" w:fill="FFFFFF"/>
        </w:rPr>
      </w:pPr>
    </w:p>
    <w:p w:rsidR="0086064B" w:rsidRPr="0086064B" w:rsidP="0086064B" w14:paraId="77804D05"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Lynberg &amp; Watkins, Sinnott, Puebla, Campagne &amp; Curet and Wendy E. Schultz for Cross-defendant and Appellant and Defendant and Respondent.</w:t>
      </w:r>
    </w:p>
    <w:p w:rsidR="0086064B" w:rsidRPr="0086064B" w:rsidP="0086064B" w14:paraId="1017BABF" w14:textId="77777777">
      <w:pPr>
        <w:spacing w:after="0" w:line="240" w:lineRule="auto"/>
        <w:jc w:val="left"/>
        <w:rPr>
          <w:bCs/>
          <w:color w:val="212121"/>
          <w:sz w:val="24"/>
          <w:szCs w:val="24"/>
          <w:shd w:val="clear" w:color="auto" w:fill="FFFFFF"/>
        </w:rPr>
      </w:pPr>
    </w:p>
    <w:p w:rsidR="0086064B" w:rsidRPr="0086064B" w:rsidP="0086064B" w14:paraId="7963E3A9"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Squire Patton Boggs, G. David Godwin and Tania L. Rice for Defendant and Respondent The Continental Insurance Company.</w:t>
      </w:r>
    </w:p>
    <w:p w:rsidR="0086064B" w:rsidRPr="0086064B" w:rsidP="0086064B" w14:paraId="0821C608" w14:textId="77777777">
      <w:pPr>
        <w:spacing w:after="0" w:line="240" w:lineRule="auto"/>
        <w:jc w:val="left"/>
        <w:rPr>
          <w:bCs/>
          <w:color w:val="212121"/>
          <w:sz w:val="24"/>
          <w:szCs w:val="24"/>
          <w:shd w:val="clear" w:color="auto" w:fill="FFFFFF"/>
        </w:rPr>
      </w:pPr>
    </w:p>
    <w:p w:rsidR="0086064B" w:rsidRPr="0086064B" w:rsidP="0086064B" w14:paraId="12B6C94C"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Selman Breitman, Elizabeth M. Brockman and Calvin S. Whang for Defendants and Respondents National Casualty Company and Sentry Insurance a Mutual Company.</w:t>
      </w:r>
    </w:p>
    <w:p w:rsidR="0086064B" w:rsidRPr="0086064B" w:rsidP="0086064B" w14:paraId="0955186B" w14:textId="77777777">
      <w:pPr>
        <w:spacing w:after="0" w:line="240" w:lineRule="auto"/>
        <w:jc w:val="left"/>
        <w:rPr>
          <w:bCs/>
          <w:color w:val="212121"/>
          <w:sz w:val="24"/>
          <w:szCs w:val="24"/>
          <w:shd w:val="clear" w:color="auto" w:fill="FFFFFF"/>
        </w:rPr>
      </w:pPr>
    </w:p>
    <w:p w:rsidR="0086064B" w:rsidRPr="0086064B" w:rsidP="0086064B" w14:paraId="20967001"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Crowell &amp; Moring, Mark D. Plevin and Christine E. Cwiertny for Defendants and Respondents Fireman’s Fund Insurance Company and Allianz Underwriters Insurance Company.</w:t>
      </w:r>
    </w:p>
    <w:p w:rsidR="0086064B" w:rsidRPr="0086064B" w:rsidP="0086064B" w14:paraId="46539381" w14:textId="77777777">
      <w:pPr>
        <w:spacing w:after="0" w:line="240" w:lineRule="auto"/>
        <w:jc w:val="left"/>
        <w:rPr>
          <w:bCs/>
          <w:color w:val="212121"/>
          <w:sz w:val="24"/>
          <w:szCs w:val="24"/>
          <w:shd w:val="clear" w:color="auto" w:fill="FFFFFF"/>
        </w:rPr>
      </w:pPr>
    </w:p>
    <w:p w:rsidR="0086064B" w:rsidRPr="0086064B" w:rsidP="0086064B" w14:paraId="0F4E9E19"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Kendall Brill &amp; Kelly, Alan Jay Weil; Shipman &amp; Goodwin, Ruggeri Parks Weinberg, James P. Ruggeri, Katherine M. Hance and Edward B. Parks II for Defendant and Respondent First State Insurance Company.</w:t>
      </w:r>
    </w:p>
    <w:p w:rsidR="0086064B" w:rsidRPr="0086064B" w:rsidP="0086064B" w14:paraId="5613DD94" w14:textId="77777777">
      <w:pPr>
        <w:spacing w:after="0" w:line="240" w:lineRule="auto"/>
        <w:jc w:val="left"/>
        <w:rPr>
          <w:bCs/>
          <w:color w:val="212121"/>
          <w:sz w:val="24"/>
          <w:szCs w:val="24"/>
          <w:shd w:val="clear" w:color="auto" w:fill="FFFFFF"/>
        </w:rPr>
      </w:pPr>
    </w:p>
    <w:p w:rsidR="0086064B" w:rsidRPr="0086064B" w:rsidP="0086064B" w14:paraId="53284EF5"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Aiwasian &amp; Associates and Deborah A. Aiwasian for Defendant and Respondent Westchester Fire Insurance Company.</w:t>
      </w:r>
    </w:p>
    <w:p w:rsidR="0086064B" w:rsidRPr="0086064B" w:rsidP="0086064B" w14:paraId="4C69DED3" w14:textId="77777777">
      <w:pPr>
        <w:spacing w:after="0" w:line="240" w:lineRule="auto"/>
        <w:jc w:val="left"/>
        <w:rPr>
          <w:bCs/>
          <w:color w:val="212121"/>
          <w:sz w:val="24"/>
          <w:szCs w:val="24"/>
          <w:shd w:val="clear" w:color="auto" w:fill="FFFFFF"/>
        </w:rPr>
      </w:pPr>
    </w:p>
    <w:p w:rsidR="0086064B" w:rsidRPr="0086064B" w:rsidP="0086064B" w14:paraId="14962BFB"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Davis Wright Tremaine, Everett W. Jack, Jr., and Lawrence B. Burke for Defendant and Respondent Transport Insurance Company.</w:t>
      </w:r>
    </w:p>
    <w:p w:rsidR="0086064B" w:rsidRPr="0086064B" w:rsidP="0086064B" w14:paraId="6022022A" w14:textId="77777777">
      <w:pPr>
        <w:spacing w:after="0" w:line="240" w:lineRule="auto"/>
        <w:jc w:val="left"/>
        <w:rPr>
          <w:bCs/>
          <w:color w:val="212121"/>
          <w:sz w:val="24"/>
          <w:szCs w:val="24"/>
          <w:shd w:val="clear" w:color="auto" w:fill="FFFFFF"/>
        </w:rPr>
      </w:pPr>
    </w:p>
    <w:p w:rsidR="0086064B" w:rsidRPr="0086064B" w:rsidP="0086064B" w14:paraId="13B9F820"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Traub Lieberman Straus &amp; Shrewsberry, Robert Dennison, Kevin P. McNamara, Giuseppe Castaldi and Laura Siegel-Puhala for Defendant and Respondent Evanston Insurance Company.</w:t>
      </w:r>
      <w:r w:rsidRPr="0086064B">
        <w:rPr>
          <w:bCs/>
          <w:color w:val="212121"/>
          <w:sz w:val="24"/>
          <w:szCs w:val="24"/>
          <w:shd w:val="clear" w:color="auto" w:fill="FFFFFF"/>
        </w:rPr>
        <w:br w:type="page"/>
      </w:r>
      <w:r w:rsidRPr="0086064B">
        <w:rPr>
          <w:b/>
          <w:sz w:val="24"/>
          <w:szCs w:val="24"/>
        </w:rPr>
        <w:t>Counsel who argued in Supreme Court (not intended for publication with opinion):</w:t>
      </w:r>
    </w:p>
    <w:p w:rsidR="0086064B" w:rsidRPr="0086064B" w:rsidP="0086064B" w14:paraId="6070A88F" w14:textId="77777777">
      <w:pPr>
        <w:spacing w:after="0" w:line="240" w:lineRule="auto"/>
        <w:jc w:val="left"/>
        <w:rPr>
          <w:b/>
          <w:sz w:val="24"/>
          <w:szCs w:val="24"/>
        </w:rPr>
      </w:pPr>
    </w:p>
    <w:bookmarkEnd w:id="8"/>
    <w:p w:rsidR="0086064B" w:rsidRPr="0086064B" w:rsidP="0086064B" w14:paraId="5CFF53FC"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Robert A. Olson</w:t>
      </w:r>
    </w:p>
    <w:p w:rsidR="0086064B" w:rsidRPr="0086064B" w:rsidP="0086064B" w14:paraId="4A45C2D0"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Greines, Martin, Stein &amp; Richland LLP</w:t>
      </w:r>
    </w:p>
    <w:p w:rsidR="0086064B" w:rsidRPr="0086064B" w:rsidP="0086064B" w14:paraId="714F7E5A"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6420 Wilshire Boulevard, Suite 1100</w:t>
      </w:r>
    </w:p>
    <w:p w:rsidR="0086064B" w:rsidRPr="0086064B" w:rsidP="0086064B" w14:paraId="11AF25E7"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Los Angeles, CA 90048</w:t>
      </w:r>
    </w:p>
    <w:p w:rsidR="0086064B" w:rsidRPr="0086064B" w:rsidP="0086064B" w14:paraId="074DD548"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(310) 859-7811</w:t>
      </w:r>
    </w:p>
    <w:p w:rsidR="0086064B" w:rsidRPr="0086064B" w:rsidP="0086064B" w14:paraId="4FFBCDC6" w14:textId="77777777">
      <w:pPr>
        <w:spacing w:after="0" w:line="240" w:lineRule="auto"/>
        <w:jc w:val="left"/>
        <w:rPr>
          <w:bCs/>
          <w:color w:val="212121"/>
          <w:sz w:val="24"/>
          <w:szCs w:val="24"/>
          <w:shd w:val="clear" w:color="auto" w:fill="FFFFFF"/>
        </w:rPr>
      </w:pPr>
    </w:p>
    <w:p w:rsidR="0086064B" w:rsidRPr="0086064B" w:rsidP="0086064B" w14:paraId="0A11FBA0"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Brian A. Kelly</w:t>
      </w:r>
    </w:p>
    <w:p w:rsidR="0086064B" w:rsidRPr="0086064B" w:rsidP="0086064B" w14:paraId="6EEEE2AB"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Duane Morris LLP</w:t>
      </w:r>
    </w:p>
    <w:p w:rsidR="0086064B" w:rsidRPr="0086064B" w:rsidP="0086064B" w14:paraId="5D7AA724"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Spear Tower, One Market Plaza, Suite 2200</w:t>
      </w:r>
    </w:p>
    <w:p w:rsidR="0086064B" w:rsidRPr="0086064B" w:rsidP="0086064B" w14:paraId="456AF502"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San Francisco, CA 94105-1127</w:t>
      </w:r>
    </w:p>
    <w:p w:rsidR="0086064B" w:rsidRPr="0086064B" w:rsidP="0086064B" w14:paraId="33461AE7"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(415) 957-3213</w:t>
      </w:r>
    </w:p>
    <w:p w:rsidR="0086064B" w:rsidRPr="0086064B" w:rsidP="0086064B" w14:paraId="2382ED35" w14:textId="77777777">
      <w:pPr>
        <w:spacing w:after="0" w:line="240" w:lineRule="auto"/>
        <w:jc w:val="left"/>
        <w:rPr>
          <w:bCs/>
          <w:color w:val="212121"/>
          <w:sz w:val="24"/>
          <w:szCs w:val="24"/>
          <w:shd w:val="clear" w:color="auto" w:fill="FFFFFF"/>
        </w:rPr>
      </w:pPr>
    </w:p>
    <w:p w:rsidR="0086064B" w:rsidRPr="0086064B" w:rsidP="0086064B" w14:paraId="70D2C332"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Philip E. Cook</w:t>
      </w:r>
    </w:p>
    <w:p w:rsidR="0086064B" w:rsidRPr="0086064B" w:rsidP="0086064B" w14:paraId="6097572A"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The Cook Law Firm, P.C.</w:t>
      </w:r>
    </w:p>
    <w:p w:rsidR="0086064B" w:rsidRPr="0086064B" w:rsidP="0086064B" w14:paraId="28F7C5CB"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601 S. Figueroa Boulevard, Suite 2050</w:t>
      </w:r>
    </w:p>
    <w:p w:rsidR="0086064B" w:rsidRPr="0086064B" w:rsidP="0086064B" w14:paraId="446BC6ED"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Los Angeles, CA 90017</w:t>
      </w:r>
    </w:p>
    <w:p w:rsidR="0086064B" w:rsidRPr="0086064B" w:rsidP="0086064B" w14:paraId="75BB4531" w14:textId="77777777">
      <w:pPr>
        <w:spacing w:after="0" w:line="240" w:lineRule="auto"/>
        <w:jc w:val="left"/>
        <w:rPr>
          <w:bCs/>
          <w:color w:val="212121"/>
          <w:sz w:val="24"/>
          <w:szCs w:val="24"/>
          <w:shd w:val="clear" w:color="auto" w:fill="FFFFFF"/>
        </w:rPr>
      </w:pPr>
      <w:r w:rsidRPr="0086064B">
        <w:rPr>
          <w:bCs/>
          <w:color w:val="212121"/>
          <w:sz w:val="24"/>
          <w:szCs w:val="24"/>
          <w:shd w:val="clear" w:color="auto" w:fill="FFFFFF"/>
        </w:rPr>
        <w:t>(213) 988-6100</w:t>
      </w:r>
    </w:p>
    <w:p w:rsidR="00444F67" w:rsidRPr="00A25E48" w:rsidP="00A25E48" w14:paraId="679C7972" w14:textId="77777777"/>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E3C" w14:paraId="679C797A"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E48" w14:paraId="679C797B"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64B" w:rsidRPr="0086064B" w:rsidP="0086064B" w14:paraId="12F61794" w14:textId="05F3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2FAE" w14:paraId="679C7973" w14:textId="77777777">
      <w:r>
        <w:separator/>
      </w:r>
    </w:p>
  </w:footnote>
  <w:footnote w:type="continuationSeparator" w:id="1">
    <w:p w:rsidR="007B2FAE" w14:paraId="679C7974" w14:textId="77777777">
      <w:pPr>
        <w:rPr>
          <w:sz w:val="22"/>
        </w:rPr>
      </w:pPr>
      <w:r>
        <w:continuationSeparator/>
      </w:r>
    </w:p>
  </w:footnote>
  <w:footnote w:type="continuationNotice" w:id="2">
    <w:p w:rsidR="007B2FAE" w14:paraId="679C7975" w14:textId="77777777">
      <w:pPr>
        <w:jc w:val="right"/>
        <w:rPr>
          <w:i/>
          <w:sz w:val="20"/>
        </w:rPr>
      </w:pPr>
    </w:p>
  </w:footnote>
  <w:footnote w:id="3">
    <w:p w:rsidR="0077408E" w:rsidP="002E7500" w14:paraId="679C797C" w14:textId="77777777">
      <w:pPr>
        <w:widowControl w:val="0"/>
        <w:autoSpaceDE w:val="0"/>
        <w:autoSpaceDN w:val="0"/>
        <w:adjustRightInd w:val="0"/>
        <w:spacing w:line="300" w:lineRule="exact"/>
      </w:pPr>
      <w:r w:rsidRPr="00D13E6F">
        <w:rPr>
          <w:rStyle w:val="FootnoteReference"/>
        </w:rPr>
        <w:footnoteRef/>
      </w:r>
      <w:r w:rsidRPr="00D13E6F">
        <w:rPr>
          <w:b/>
        </w:rPr>
        <w:t xml:space="preserve"> </w:t>
      </w:r>
      <w:r>
        <w:tab/>
      </w:r>
      <w:r w:rsidR="00B62BB2">
        <w:t xml:space="preserve">Because </w:t>
      </w:r>
      <w:r w:rsidRPr="00A25E48" w:rsidR="00B62BB2">
        <w:rPr>
          <w:i/>
          <w:iCs/>
        </w:rPr>
        <w:t>Montrose Chemical Corp. of California v. Superior Court</w:t>
      </w:r>
      <w:r w:rsidRPr="00A25E48" w:rsidR="00B62BB2">
        <w:t xml:space="preserve"> (2020) 9 Cal.5th 215</w:t>
      </w:r>
      <w:r w:rsidR="00B62BB2">
        <w:t>, is the third and most recent decision in a series of cases involving the Montrose litigation, the Court of Appeal and the parties refer to it as “</w:t>
      </w:r>
      <w:r w:rsidRPr="00B62BB2" w:rsidR="00B62BB2">
        <w:rPr>
          <w:i/>
          <w:iCs/>
        </w:rPr>
        <w:t>Montrose III</w:t>
      </w:r>
      <w:r w:rsidR="00B62BB2">
        <w:t>.”  We will use the same short form here.</w:t>
      </w:r>
    </w:p>
  </w:footnote>
  <w:footnote w:id="4">
    <w:p w:rsidR="002A4D6E" w:rsidP="00A25E48" w14:paraId="679C797D" w14:textId="77777777">
      <w:pPr>
        <w:pStyle w:val="FootnoteText"/>
      </w:pPr>
      <w:r>
        <w:rPr>
          <w:rStyle w:val="FootnoteReference"/>
        </w:rPr>
        <w:footnoteRef/>
      </w:r>
      <w:r>
        <w:t xml:space="preserve"> </w:t>
      </w:r>
      <w:r>
        <w:tab/>
        <w:t xml:space="preserve">While </w:t>
      </w:r>
      <w:r w:rsidR="00C776BC">
        <w:t xml:space="preserve">the </w:t>
      </w:r>
      <w:r w:rsidR="009C0266">
        <w:t xml:space="preserve">specifics of </w:t>
      </w:r>
      <w:r>
        <w:t xml:space="preserve">their language may vary, traditional “occurrence based” </w:t>
      </w:r>
      <w:r w:rsidR="00C776BC">
        <w:t xml:space="preserve">CGL </w:t>
      </w:r>
      <w:r>
        <w:t xml:space="preserve">policies </w:t>
      </w:r>
      <w:r w:rsidR="00C776BC">
        <w:t>g</w:t>
      </w:r>
      <w:r>
        <w:t xml:space="preserve">enerally insure the policyholder for “ ‘all sums which the insured shall become legally obligated to pay as damages because of . . . bodily injury, or . . . property damage to which this insurance applies, caused by an occurrence.’ ” </w:t>
      </w:r>
      <w:r w:rsidR="004F2CED">
        <w:t xml:space="preserve"> </w:t>
      </w:r>
      <w:r>
        <w:t>(</w:t>
      </w:r>
      <w:r w:rsidRPr="009B7D51">
        <w:rPr>
          <w:i/>
          <w:iCs/>
        </w:rPr>
        <w:t>Montrose Chemical Corp. v. Admiral Ins. Co</w:t>
      </w:r>
      <w:r>
        <w:t>. (1995) 10 Cal.4th 645, 6</w:t>
      </w:r>
      <w:r w:rsidR="00313714">
        <w:t>56</w:t>
      </w:r>
      <w:r>
        <w:t xml:space="preserve"> (</w:t>
      </w:r>
      <w:r w:rsidRPr="00094742">
        <w:rPr>
          <w:i/>
          <w:iCs/>
        </w:rPr>
        <w:t>Montrose I</w:t>
      </w:r>
      <w:r>
        <w:t xml:space="preserve">); see </w:t>
      </w:r>
      <w:r w:rsidRPr="002A4D6E">
        <w:rPr>
          <w:i/>
          <w:iCs/>
        </w:rPr>
        <w:t>id</w:t>
      </w:r>
      <w:r>
        <w:t>. at p</w:t>
      </w:r>
      <w:r w:rsidR="001C75BD">
        <w:t>p</w:t>
      </w:r>
      <w:r>
        <w:t>. </w:t>
      </w:r>
      <w:r w:rsidR="001C75BD">
        <w:t>669–670 [discussing d</w:t>
      </w:r>
      <w:r w:rsidRPr="001C75BD" w:rsidR="001C75BD">
        <w:t>rafting history of standardized CGL policy language</w:t>
      </w:r>
      <w:r w:rsidR="001C75BD">
        <w:t>]</w:t>
      </w:r>
      <w:r>
        <w:t xml:space="preserve">.)  </w:t>
      </w:r>
    </w:p>
  </w:footnote>
  <w:footnote w:id="5">
    <w:p w:rsidR="00DA2F54" w:rsidP="00A25E48" w14:paraId="679C797E" w14:textId="77777777">
      <w:pPr>
        <w:pStyle w:val="FootnoteText"/>
      </w:pPr>
      <w:r>
        <w:rPr>
          <w:rStyle w:val="FootnoteReference"/>
        </w:rPr>
        <w:footnoteRef/>
      </w:r>
      <w:r>
        <w:t xml:space="preserve"> </w:t>
      </w:r>
      <w:r>
        <w:tab/>
        <w:t xml:space="preserve">In </w:t>
      </w:r>
      <w:r w:rsidRPr="00535772">
        <w:rPr>
          <w:i/>
          <w:iCs/>
        </w:rPr>
        <w:t>Armstrong World Industries, Inc. v. Aetna Casualty &amp; Surety Co</w:t>
      </w:r>
      <w:r>
        <w:t>. (1996) 45 Cal.App.4th 1, the court held that asbestos-related bodily injury claim</w:t>
      </w:r>
      <w:r w:rsidR="00177370">
        <w:t>s</w:t>
      </w:r>
      <w:r>
        <w:t xml:space="preserve"> qualif</w:t>
      </w:r>
      <w:r w:rsidR="00177370">
        <w:t xml:space="preserve">y </w:t>
      </w:r>
      <w:r>
        <w:t>as a form of continuing injury that triggers all policies “ ‘</w:t>
      </w:r>
      <w:r w:rsidRPr="00535772">
        <w:t xml:space="preserve">in effect from </w:t>
      </w:r>
      <w:r>
        <w:t xml:space="preserve">[the claimant’s] </w:t>
      </w:r>
      <w:r w:rsidRPr="00535772">
        <w:t>first exposure to asbestos or asbestos-containing products until date of death or date of claim, whichever occurs first</w:t>
      </w:r>
      <w:r>
        <w:t>[.]’ ”  (</w:t>
      </w:r>
      <w:r w:rsidRPr="000D4CE5">
        <w:rPr>
          <w:i/>
          <w:iCs/>
        </w:rPr>
        <w:t>Id</w:t>
      </w:r>
      <w:r>
        <w:t xml:space="preserve">. at p. 43.)  The parties appear to assume (at least for the purposes of this appeal) that </w:t>
      </w:r>
      <w:r w:rsidRPr="002718C1">
        <w:rPr>
          <w:i/>
          <w:iCs/>
        </w:rPr>
        <w:t>Armstrong</w:t>
      </w:r>
      <w:r>
        <w:t xml:space="preserve"> states the proper trigger rule for asbestos-related injury claims.  We will do the same. </w:t>
      </w:r>
    </w:p>
  </w:footnote>
  <w:footnote w:id="6">
    <w:p w:rsidR="00AC2375" w14:paraId="679C797F" w14:textId="77777777">
      <w:pPr>
        <w:pStyle w:val="FootnoteText"/>
      </w:pPr>
      <w:r>
        <w:rPr>
          <w:rStyle w:val="FootnoteReference"/>
        </w:rPr>
        <w:footnoteRef/>
      </w:r>
      <w:r>
        <w:t xml:space="preserve"> </w:t>
      </w:r>
      <w:r>
        <w:tab/>
        <w:t xml:space="preserve">The specific wording of these “other insurance” clauses is explored in more detail below. </w:t>
      </w:r>
    </w:p>
  </w:footnote>
  <w:footnote w:id="7">
    <w:p w:rsidR="00335936" w:rsidP="00A25E48" w14:paraId="679C7980" w14:textId="77777777">
      <w:pPr>
        <w:pStyle w:val="FootnoteText"/>
      </w:pPr>
      <w:r>
        <w:rPr>
          <w:rStyle w:val="FootnoteReference"/>
        </w:rPr>
        <w:footnoteRef/>
      </w:r>
      <w:r>
        <w:t xml:space="preserve"> </w:t>
      </w:r>
      <w:r>
        <w:tab/>
        <w:t xml:space="preserve">An unpublished decision may be cited “[w]hen the opinion is relevant under the doctrines of law of the case, res judicata, or collateral estoppel.”  (Cal. Rules of Court, rule 8.1115(b)(1).)  </w:t>
      </w:r>
      <w:r w:rsidRPr="005C7A90">
        <w:rPr>
          <w:i/>
          <w:iCs/>
        </w:rPr>
        <w:t>Kaiser Cement</w:t>
      </w:r>
      <w:r>
        <w:t xml:space="preserve"> is relevant here as law of the case and we cite it solely for that reason.</w:t>
      </w:r>
      <w:r w:rsidR="00C975D5">
        <w:t xml:space="preserve">  </w:t>
      </w:r>
    </w:p>
  </w:footnote>
  <w:footnote w:id="8">
    <w:p w:rsidR="003063D5" w:rsidP="00A25E48" w14:paraId="679C7981" w14:textId="77777777">
      <w:pPr>
        <w:pStyle w:val="FootnoteText"/>
      </w:pPr>
      <w:r>
        <w:rPr>
          <w:rStyle w:val="FootnoteReference"/>
        </w:rPr>
        <w:footnoteRef/>
      </w:r>
      <w:r>
        <w:t xml:space="preserve"> </w:t>
      </w:r>
      <w:r>
        <w:tab/>
        <w:t>Although the Court of Appeal</w:t>
      </w:r>
      <w:r w:rsidR="001148CD">
        <w:t>’s</w:t>
      </w:r>
      <w:r>
        <w:t xml:space="preserve"> </w:t>
      </w:r>
      <w:r w:rsidR="001148CD">
        <w:t xml:space="preserve">decision </w:t>
      </w:r>
      <w:r w:rsidR="00FE2F1C">
        <w:t xml:space="preserve">denying contribution </w:t>
      </w:r>
      <w:r w:rsidR="00B23606">
        <w:t xml:space="preserve">in the </w:t>
      </w:r>
      <w:r w:rsidR="00A2501D">
        <w:t xml:space="preserve">instant </w:t>
      </w:r>
      <w:r w:rsidR="00B23606">
        <w:t xml:space="preserve">matter </w:t>
      </w:r>
      <w:r>
        <w:t xml:space="preserve">did not rely on </w:t>
      </w:r>
      <w:r w:rsidR="001148CD">
        <w:t xml:space="preserve">its </w:t>
      </w:r>
      <w:r>
        <w:t xml:space="preserve">prior ruling regarding horizontal exhaustion </w:t>
      </w:r>
      <w:r w:rsidR="00FE2F1C">
        <w:t xml:space="preserve">set forth in </w:t>
      </w:r>
      <w:r>
        <w:t xml:space="preserve">the </w:t>
      </w:r>
      <w:r w:rsidRPr="005C7A90" w:rsidR="005C7A90">
        <w:rPr>
          <w:i/>
          <w:iCs/>
        </w:rPr>
        <w:t>Kaiser Cement</w:t>
      </w:r>
      <w:r w:rsidR="005C7A90">
        <w:t xml:space="preserve"> </w:t>
      </w:r>
      <w:r>
        <w:t xml:space="preserve">appeal, the excess insurers </w:t>
      </w:r>
      <w:r w:rsidR="001148CD">
        <w:t xml:space="preserve">nonetheless </w:t>
      </w:r>
      <w:r>
        <w:t xml:space="preserve">contend that </w:t>
      </w:r>
      <w:r w:rsidRPr="005C7A90" w:rsidR="005C7A90">
        <w:rPr>
          <w:i/>
          <w:iCs/>
        </w:rPr>
        <w:t>Kaiser Cement</w:t>
      </w:r>
      <w:r w:rsidR="005C7A90">
        <w:t xml:space="preserve">’s </w:t>
      </w:r>
      <w:r>
        <w:t xml:space="preserve">ruling on </w:t>
      </w:r>
      <w:r w:rsidR="00FE2F1C">
        <w:t xml:space="preserve">horizontal exhaustion </w:t>
      </w:r>
      <w:r>
        <w:t>is now “law of the case” and cannot be relitigated</w:t>
      </w:r>
      <w:r w:rsidR="001148CD">
        <w:t xml:space="preserve"> here</w:t>
      </w:r>
      <w:r>
        <w:t>.  The law of the case doctrine generally “</w:t>
      </w:r>
      <w:r w:rsidRPr="00A0716A">
        <w:t xml:space="preserve">precludes a party from obtaining appellate review of the same issue more than once in a single action.” </w:t>
      </w:r>
      <w:r>
        <w:t xml:space="preserve"> </w:t>
      </w:r>
      <w:r w:rsidRPr="00A0716A">
        <w:t>(</w:t>
      </w:r>
      <w:r w:rsidRPr="00EE16D2">
        <w:rPr>
          <w:i/>
          <w:iCs/>
        </w:rPr>
        <w:t>Katz v. Los Gatos-Saratoga Joint Union High School Dist</w:t>
      </w:r>
      <w:r w:rsidRPr="00A0716A">
        <w:t>. (2004) 117</w:t>
      </w:r>
      <w:r w:rsidR="0063733F">
        <w:t> </w:t>
      </w:r>
      <w:r w:rsidRPr="00A0716A">
        <w:t>Cal.App.4th 47, 62</w:t>
      </w:r>
      <w:r>
        <w:t>.)  It is well-settled, however, that the doctrine may be disregarded where the “controlling rules of law have been altered or clarified by a decision intervening between the first and second appellate determinations.”  (</w:t>
      </w:r>
      <w:r w:rsidRPr="00D34B0D">
        <w:rPr>
          <w:i/>
          <w:iCs/>
        </w:rPr>
        <w:t>People v. Stanley</w:t>
      </w:r>
      <w:r>
        <w:t xml:space="preserve"> (1995) 10</w:t>
      </w:r>
      <w:r w:rsidR="00F07B44">
        <w:t> </w:t>
      </w:r>
      <w:r>
        <w:t xml:space="preserve">Cal.4th 764, 787.)  </w:t>
      </w:r>
      <w:r w:rsidR="00FE2F1C">
        <w:t>Even assuming that application of law of the case would otherwise be appropriate, w</w:t>
      </w:r>
      <w:r>
        <w:t>e are satisfied </w:t>
      </w:r>
      <w:r w:rsidR="001148CD">
        <w:t>—</w:t>
      </w:r>
      <w:r>
        <w:t xml:space="preserve"> as apparently was the Court of Appeal — that our intervening decision in </w:t>
      </w:r>
      <w:r w:rsidRPr="004E42FE">
        <w:rPr>
          <w:i/>
          <w:iCs/>
        </w:rPr>
        <w:t xml:space="preserve">Montrose </w:t>
      </w:r>
      <w:r w:rsidR="00DF2E08">
        <w:rPr>
          <w:i/>
          <w:iCs/>
        </w:rPr>
        <w:t>I</w:t>
      </w:r>
      <w:r w:rsidRPr="004E42FE">
        <w:rPr>
          <w:i/>
          <w:iCs/>
        </w:rPr>
        <w:t>II</w:t>
      </w:r>
      <w:r>
        <w:t xml:space="preserve">, </w:t>
      </w:r>
      <w:r w:rsidRPr="00D34B0D">
        <w:rPr>
          <w:i/>
          <w:iCs/>
        </w:rPr>
        <w:t>supra</w:t>
      </w:r>
      <w:r>
        <w:t xml:space="preserve">, </w:t>
      </w:r>
      <w:r w:rsidRPr="00A62A56">
        <w:t>9</w:t>
      </w:r>
      <w:r w:rsidR="00F07B44">
        <w:t> </w:t>
      </w:r>
      <w:r w:rsidRPr="00A62A56">
        <w:t>Cal.5th 215</w:t>
      </w:r>
      <w:r>
        <w:t>,</w:t>
      </w:r>
      <w:r w:rsidRPr="00A62A56">
        <w:t xml:space="preserve"> </w:t>
      </w:r>
      <w:r>
        <w:t xml:space="preserve">justifies departure from the </w:t>
      </w:r>
      <w:r w:rsidR="00FE2F1C">
        <w:t>doctrine</w:t>
      </w:r>
      <w:r w:rsidR="009D4227">
        <w:t xml:space="preserve"> here</w:t>
      </w:r>
      <w:r>
        <w:t xml:space="preserve">.  </w:t>
      </w:r>
    </w:p>
    <w:p w:rsidR="003063D5" w:rsidP="00A25E48" w14:paraId="679C7982" w14:textId="77777777">
      <w:pPr>
        <w:pStyle w:val="FootnoteText"/>
      </w:pPr>
      <w:r>
        <w:tab/>
        <w:t xml:space="preserve">We also find no merit in the excess insurers’ contention that various arguments and admissions Truck made in the </w:t>
      </w:r>
      <w:r w:rsidRPr="005C7A90" w:rsidR="005C7A90">
        <w:rPr>
          <w:i/>
          <w:iCs/>
        </w:rPr>
        <w:t>Kaiser Cement</w:t>
      </w:r>
      <w:r w:rsidR="005C7A90">
        <w:t xml:space="preserve"> </w:t>
      </w:r>
      <w:r>
        <w:t xml:space="preserve">appeal regarding the anti-stacking issue judicially estop Truck from now arguing that under </w:t>
      </w:r>
      <w:r w:rsidRPr="00557379">
        <w:rPr>
          <w:i/>
          <w:iCs/>
        </w:rPr>
        <w:t xml:space="preserve">Montrose </w:t>
      </w:r>
      <w:r w:rsidR="00DF2E08">
        <w:rPr>
          <w:i/>
          <w:iCs/>
        </w:rPr>
        <w:t>I</w:t>
      </w:r>
      <w:r w:rsidR="00A72D34">
        <w:rPr>
          <w:i/>
          <w:iCs/>
        </w:rPr>
        <w:t>I</w:t>
      </w:r>
      <w:r w:rsidRPr="00557379">
        <w:rPr>
          <w:i/>
          <w:iCs/>
        </w:rPr>
        <w:t>I</w:t>
      </w:r>
      <w:r>
        <w:t xml:space="preserve">, </w:t>
      </w:r>
      <w:r w:rsidRPr="00D34B0D">
        <w:rPr>
          <w:i/>
          <w:iCs/>
        </w:rPr>
        <w:t>supra</w:t>
      </w:r>
      <w:r>
        <w:t xml:space="preserve">, </w:t>
      </w:r>
      <w:r w:rsidRPr="00A62A56">
        <w:t>9 Cal.5th 215</w:t>
      </w:r>
      <w:r>
        <w:t>, the first-level excess policies should be construed as attaching upon exhaustion of the directly underlying primary policy.</w:t>
      </w:r>
    </w:p>
  </w:footnote>
  <w:footnote w:id="9">
    <w:p w:rsidR="007C7CBE" w:rsidP="00A25E48" w14:paraId="679C7983" w14:textId="77777777">
      <w:pPr>
        <w:pStyle w:val="FootnoteText"/>
      </w:pPr>
      <w:r>
        <w:rPr>
          <w:rStyle w:val="FootnoteReference"/>
        </w:rPr>
        <w:footnoteRef/>
      </w:r>
      <w:r>
        <w:t xml:space="preserve"> </w:t>
      </w:r>
      <w:r>
        <w:tab/>
        <w:t>The excess insurers argue that because this case involves a claim for equitable contribution, we should apply an abuse of discretion standard of review.  While it is true that our courts have applied a</w:t>
      </w:r>
      <w:r w:rsidR="008978A0">
        <w:t xml:space="preserve"> deferential </w:t>
      </w:r>
      <w:r>
        <w:t xml:space="preserve">standard to some aspects of equitable contribution awards that are not at issue in this case (such as the trial court’s chosen method for allocating a loss among insurers), the Court of Appeal’s interpretation of the excess policies remains a question of law to which we apply de novo review.  (Compare </w:t>
      </w:r>
      <w:r w:rsidRPr="00407FFA">
        <w:rPr>
          <w:i/>
          <w:iCs/>
        </w:rPr>
        <w:t>Fireman</w:t>
      </w:r>
      <w:r>
        <w:rPr>
          <w:i/>
          <w:iCs/>
        </w:rPr>
        <w:t>’</w:t>
      </w:r>
      <w:r w:rsidRPr="00407FFA">
        <w:rPr>
          <w:i/>
          <w:iCs/>
        </w:rPr>
        <w:t>s Fund</w:t>
      </w:r>
      <w:r w:rsidRPr="00FF11E0">
        <w:t>,</w:t>
      </w:r>
      <w:r w:rsidRPr="00407FFA">
        <w:rPr>
          <w:i/>
          <w:iCs/>
        </w:rPr>
        <w:t xml:space="preserve"> supra</w:t>
      </w:r>
      <w:r>
        <w:t>, 65 Cal.App.4th at p. </w:t>
      </w:r>
      <w:r w:rsidR="004074B1">
        <w:t>1308</w:t>
      </w:r>
      <w:r w:rsidRPr="00B24A8F">
        <w:t xml:space="preserve"> </w:t>
      </w:r>
      <w:r>
        <w:t>[“</w:t>
      </w:r>
      <w:r w:rsidRPr="00D53F43">
        <w:t>trial court</w:t>
      </w:r>
      <w:r>
        <w:t>’</w:t>
      </w:r>
      <w:r w:rsidRPr="00D53F43">
        <w:t xml:space="preserve">s determination of the correct allocation </w:t>
      </w:r>
      <w:r>
        <w:t xml:space="preserve">[method] . . . </w:t>
      </w:r>
      <w:r w:rsidRPr="00D53F43">
        <w:t>for purposes of contribution</w:t>
      </w:r>
      <w:r>
        <w:t xml:space="preserve">” is reviewed for abuse of discretion] with </w:t>
      </w:r>
      <w:r w:rsidRPr="00E60358">
        <w:rPr>
          <w:i/>
          <w:iCs/>
        </w:rPr>
        <w:t>Truck Ins</w:t>
      </w:r>
      <w:r w:rsidR="00BB46B7">
        <w:rPr>
          <w:i/>
          <w:iCs/>
        </w:rPr>
        <w:t>.</w:t>
      </w:r>
      <w:r w:rsidRPr="00E60358">
        <w:rPr>
          <w:i/>
          <w:iCs/>
        </w:rPr>
        <w:t xml:space="preserve"> Exchange v. AMCO Ins</w:t>
      </w:r>
      <w:r w:rsidR="004E3D51">
        <w:rPr>
          <w:i/>
          <w:iCs/>
        </w:rPr>
        <w:t>.</w:t>
      </w:r>
      <w:r w:rsidRPr="00E60358">
        <w:rPr>
          <w:i/>
          <w:iCs/>
        </w:rPr>
        <w:t xml:space="preserve"> Co</w:t>
      </w:r>
      <w:r w:rsidR="004E3D51">
        <w:rPr>
          <w:i/>
          <w:iCs/>
        </w:rPr>
        <w:t>.</w:t>
      </w:r>
      <w:r>
        <w:t xml:space="preserve"> (2020) 56 Cal.App.5th 619, 629 [applying de novo review where contribution claim turned on interpretation of insurance policies];</w:t>
      </w:r>
      <w:r w:rsidR="004E3D51">
        <w:t xml:space="preserve"> </w:t>
      </w:r>
      <w:r w:rsidRPr="00B24A8F">
        <w:rPr>
          <w:i/>
          <w:iCs/>
        </w:rPr>
        <w:t>Certain Underwriters at Lloyds, London v. Arch Specialty Ins. Co.</w:t>
      </w:r>
      <w:r w:rsidRPr="00B24A8F">
        <w:t xml:space="preserve"> (2016) 246</w:t>
      </w:r>
      <w:r>
        <w:t> </w:t>
      </w:r>
      <w:r w:rsidRPr="00B24A8F">
        <w:t>Cal.App.4th 418, 429 [“Although equitable contribution may call for judicial discretion, here the trial court expressly stated it decided the matter as a question of law, and our review is de novo”]</w:t>
      </w:r>
      <w:r>
        <w:t>.)</w:t>
      </w:r>
      <w:r w:rsidRPr="00B24A8F">
        <w:t xml:space="preserve"> </w:t>
      </w:r>
    </w:p>
  </w:footnote>
  <w:footnote w:id="10">
    <w:p w:rsidR="00927E55" w:rsidP="00A25E48" w14:paraId="679C7984" w14:textId="77777777">
      <w:pPr>
        <w:pStyle w:val="FootnoteText"/>
      </w:pPr>
      <w:r>
        <w:rPr>
          <w:rStyle w:val="FootnoteReference"/>
        </w:rPr>
        <w:footnoteRef/>
      </w:r>
      <w:r>
        <w:t xml:space="preserve"> </w:t>
      </w:r>
      <w:r>
        <w:tab/>
        <w:t>The W</w:t>
      </w:r>
      <w:r w:rsidRPr="00935D59">
        <w:t xml:space="preserve">estchester policy in effect from 1984–1985 </w:t>
      </w:r>
      <w:r>
        <w:t xml:space="preserve">includes language that is essentially identical to the First State policy.  </w:t>
      </w:r>
    </w:p>
  </w:footnote>
  <w:footnote w:id="11">
    <w:p w:rsidR="00927E55" w:rsidP="00A25E48" w14:paraId="679C7985" w14:textId="77777777">
      <w:pPr>
        <w:pStyle w:val="FootnoteText"/>
      </w:pPr>
      <w:r>
        <w:rPr>
          <w:rStyle w:val="FootnoteReference"/>
        </w:rPr>
        <w:footnoteRef/>
      </w:r>
      <w:r>
        <w:t xml:space="preserve"> </w:t>
      </w:r>
      <w:r>
        <w:tab/>
        <w:t xml:space="preserve">For example, one of formulations at issue in </w:t>
      </w:r>
      <w:r w:rsidRPr="008E6C93">
        <w:rPr>
          <w:i/>
          <w:iCs/>
        </w:rPr>
        <w:t xml:space="preserve">Montrose </w:t>
      </w:r>
      <w:r w:rsidR="00DF2E08">
        <w:rPr>
          <w:i/>
          <w:iCs/>
        </w:rPr>
        <w:t>I</w:t>
      </w:r>
      <w:r w:rsidRPr="008E6C93">
        <w:rPr>
          <w:i/>
          <w:iCs/>
        </w:rPr>
        <w:t>II</w:t>
      </w:r>
      <w:r>
        <w:t xml:space="preserve"> provided that </w:t>
      </w:r>
      <w:r w:rsidRPr="008E6C93">
        <w:t>“</w:t>
      </w:r>
      <w:r>
        <w:t> ‘</w:t>
      </w:r>
      <w:r w:rsidRPr="008E6C93">
        <w:t xml:space="preserve">[i]f </w:t>
      </w:r>
      <w:r w:rsidRPr="00DC2DE6">
        <w:rPr>
          <w:i/>
          <w:iCs/>
        </w:rPr>
        <w:t>other valid and collectible insurance</w:t>
      </w:r>
      <w:r w:rsidRPr="008E6C93">
        <w:t xml:space="preserve"> with any other insurer is available to the Insured covering a loss also covered by this policy, other than insurance that is in excess of the insurance afforded by this policy, the insurance afforded by this policy shall be in excess of and shall not contribute with such other insurance</w:t>
      </w:r>
      <w:r>
        <w:t>.’ ”  (</w:t>
      </w:r>
      <w:r w:rsidRPr="008E6C93">
        <w:rPr>
          <w:i/>
          <w:iCs/>
        </w:rPr>
        <w:t>Montrose I</w:t>
      </w:r>
      <w:r w:rsidR="00DF2E08">
        <w:rPr>
          <w:i/>
          <w:iCs/>
        </w:rPr>
        <w:t>I</w:t>
      </w:r>
      <w:r w:rsidRPr="008E6C93">
        <w:rPr>
          <w:i/>
          <w:iCs/>
        </w:rPr>
        <w:t>I</w:t>
      </w:r>
      <w:r>
        <w:t xml:space="preserve">, </w:t>
      </w:r>
      <w:r w:rsidRPr="00115ECB">
        <w:rPr>
          <w:i/>
          <w:iCs/>
        </w:rPr>
        <w:t>supra</w:t>
      </w:r>
      <w:r>
        <w:t>, 9 Cal.5</w:t>
      </w:r>
      <w:r w:rsidRPr="0044795C">
        <w:t>th</w:t>
      </w:r>
      <w:r>
        <w:t xml:space="preserve"> at pp. 224</w:t>
      </w:r>
      <w:r w:rsidR="005D65C3">
        <w:t>–</w:t>
      </w:r>
      <w:r>
        <w:softHyphen/>
        <w:t xml:space="preserve">225.)  Several of the </w:t>
      </w:r>
      <w:r w:rsidRPr="00D10E58">
        <w:t xml:space="preserve">LMI policies </w:t>
      </w:r>
      <w:r>
        <w:t xml:space="preserve">at issue in this case include an identically worded provision.  (See </w:t>
      </w:r>
      <w:r w:rsidRPr="001944EE">
        <w:rPr>
          <w:i/>
          <w:iCs/>
        </w:rPr>
        <w:t>ante</w:t>
      </w:r>
      <w:r>
        <w:t>, at p. </w:t>
      </w:r>
      <w:r w:rsidR="005F3E6C">
        <w:t>30</w:t>
      </w:r>
      <w:r>
        <w:t xml:space="preserve">.)  A second formulation in </w:t>
      </w:r>
      <w:r w:rsidRPr="001944EE">
        <w:rPr>
          <w:i/>
          <w:iCs/>
        </w:rPr>
        <w:t>Montrose I</w:t>
      </w:r>
      <w:r w:rsidR="00DF2E08">
        <w:rPr>
          <w:i/>
          <w:iCs/>
        </w:rPr>
        <w:t>I</w:t>
      </w:r>
      <w:r w:rsidRPr="001944EE">
        <w:rPr>
          <w:i/>
          <w:iCs/>
        </w:rPr>
        <w:t>I</w:t>
      </w:r>
      <w:r>
        <w:t xml:space="preserve"> defined the excess insurer’s attachment point as the </w:t>
      </w:r>
      <w:r w:rsidRPr="00851B3F">
        <w:t xml:space="preserve">total of </w:t>
      </w:r>
      <w:r>
        <w:t xml:space="preserve">the liability limits set forth in the excess policy listed in the schedule of underlying insurance plus </w:t>
      </w:r>
      <w:r w:rsidRPr="000C092C">
        <w:t>“</w:t>
      </w:r>
      <w:r>
        <w:t> ‘</w:t>
      </w:r>
      <w:r w:rsidRPr="00DC2DE6">
        <w:t xml:space="preserve">the applicable limits of </w:t>
      </w:r>
      <w:r w:rsidRPr="000C092C">
        <w:rPr>
          <w:i/>
          <w:iCs/>
        </w:rPr>
        <w:t>any other underlying insurance collectible by the insured</w:t>
      </w:r>
      <w:r w:rsidRPr="000C092C">
        <w:t>.’ ”</w:t>
      </w:r>
      <w:r>
        <w:t xml:space="preserve">  (</w:t>
      </w:r>
      <w:r w:rsidRPr="000C092C">
        <w:rPr>
          <w:i/>
          <w:iCs/>
        </w:rPr>
        <w:t xml:space="preserve">Montrose </w:t>
      </w:r>
      <w:r w:rsidR="00DF2E08">
        <w:rPr>
          <w:i/>
          <w:iCs/>
        </w:rPr>
        <w:t>I</w:t>
      </w:r>
      <w:r w:rsidRPr="000C092C">
        <w:rPr>
          <w:i/>
          <w:iCs/>
        </w:rPr>
        <w:t>II</w:t>
      </w:r>
      <w:r>
        <w:t xml:space="preserve">, at p. 224.)  The First State policy at issue in this case likewise defines the attachment point as the total of the liability limit set forth in the primary policy listed in the schedule of </w:t>
      </w:r>
      <w:r w:rsidRPr="00935D59">
        <w:t>underlying</w:t>
      </w:r>
      <w:r>
        <w:t xml:space="preserve"> insurance</w:t>
      </w:r>
      <w:r w:rsidRPr="00935D59">
        <w:t xml:space="preserve"> </w:t>
      </w:r>
      <w:r>
        <w:t>plus “</w:t>
      </w:r>
      <w:r w:rsidRPr="00AE1F0D">
        <w:rPr>
          <w:i/>
          <w:iCs/>
        </w:rPr>
        <w:t>the applicable limits of any other underlying insurance collectible by the insured</w:t>
      </w:r>
      <w:r>
        <w:rPr>
          <w:i/>
          <w:iCs/>
        </w:rPr>
        <w:t>.</w:t>
      </w:r>
      <w:r w:rsidRPr="00935D59">
        <w:t>”</w:t>
      </w:r>
      <w:r>
        <w:t xml:space="preserve">  (See </w:t>
      </w:r>
      <w:r w:rsidRPr="000C092C">
        <w:rPr>
          <w:i/>
          <w:iCs/>
        </w:rPr>
        <w:t>ante</w:t>
      </w:r>
      <w:r>
        <w:t>, at p</w:t>
      </w:r>
      <w:r w:rsidR="000E1895">
        <w:t>p</w:t>
      </w:r>
      <w:r>
        <w:t>. </w:t>
      </w:r>
      <w:r w:rsidR="000E1895">
        <w:t>30–</w:t>
      </w:r>
      <w:r>
        <w:t>3</w:t>
      </w:r>
      <w:r w:rsidR="005F3E6C">
        <w:t>1</w:t>
      </w:r>
      <w:r>
        <w:t>.)</w:t>
      </w:r>
    </w:p>
  </w:footnote>
  <w:footnote w:id="12">
    <w:p w:rsidR="004F1185" w:rsidP="00A25E48" w14:paraId="679C7986" w14:textId="77777777">
      <w:pPr>
        <w:pStyle w:val="FootnoteText"/>
      </w:pPr>
      <w:r>
        <w:rPr>
          <w:rStyle w:val="FootnoteReference"/>
        </w:rPr>
        <w:footnoteRef/>
      </w:r>
      <w:r>
        <w:t xml:space="preserve"> </w:t>
      </w:r>
      <w:r>
        <w:tab/>
      </w:r>
      <w:r w:rsidR="000602BD">
        <w:t>T</w:t>
      </w:r>
      <w:r>
        <w:t xml:space="preserve">he first-level excess policies </w:t>
      </w:r>
      <w:r w:rsidR="008621E2">
        <w:t xml:space="preserve">also </w:t>
      </w:r>
      <w:r>
        <w:t>include</w:t>
      </w:r>
      <w:r w:rsidR="007F0999">
        <w:t xml:space="preserve"> provisions </w:t>
      </w:r>
      <w:r w:rsidR="008621E2">
        <w:t xml:space="preserve">stating </w:t>
      </w:r>
      <w:r w:rsidR="007F0999">
        <w:t>that upon exhaustion of those scheduled underlying policies, the excess policy shall</w:t>
      </w:r>
      <w:r>
        <w:t xml:space="preserve"> “continue in force</w:t>
      </w:r>
      <w:r w:rsidR="007F0999">
        <w:t xml:space="preserve"> as underlying insurance.</w:t>
      </w:r>
      <w:r>
        <w:t>”</w:t>
      </w:r>
      <w:r w:rsidR="007F0999">
        <w:t xml:space="preserve">  A</w:t>
      </w:r>
      <w:r>
        <w:t xml:space="preserve">gain, these express references to </w:t>
      </w:r>
      <w:r w:rsidR="008621E2">
        <w:t xml:space="preserve">the directly underlying primary policies </w:t>
      </w:r>
      <w:r w:rsidR="009E41C1">
        <w:t>tend to</w:t>
      </w:r>
      <w:r w:rsidR="008621E2">
        <w:t xml:space="preserve"> </w:t>
      </w:r>
      <w:r>
        <w:t>support a view of vertical, rather than horizontal exhaustion</w:t>
      </w:r>
      <w:r w:rsidR="00D26122">
        <w:t>.</w:t>
      </w:r>
    </w:p>
  </w:footnote>
  <w:footnote w:id="13">
    <w:p w:rsidR="00051293" w:rsidP="00A25E48" w14:paraId="679C7987" w14:textId="77777777">
      <w:pPr>
        <w:spacing w:line="300" w:lineRule="exact"/>
      </w:pPr>
      <w:r>
        <w:rPr>
          <w:rStyle w:val="FootnoteReference"/>
        </w:rPr>
        <w:footnoteRef/>
      </w:r>
      <w:r>
        <w:t xml:space="preserve"> </w:t>
      </w:r>
      <w:r>
        <w:tab/>
      </w:r>
      <w:r w:rsidR="008C43DF">
        <w:t xml:space="preserve">Although </w:t>
      </w:r>
      <w:r w:rsidRPr="000D3554">
        <w:t xml:space="preserve">Kaiser </w:t>
      </w:r>
      <w:r w:rsidR="006407B2">
        <w:t xml:space="preserve">has joined the </w:t>
      </w:r>
      <w:r w:rsidR="00073BC4">
        <w:t xml:space="preserve">excess insurers </w:t>
      </w:r>
      <w:r w:rsidR="006407B2">
        <w:t xml:space="preserve">in arguing </w:t>
      </w:r>
      <w:r w:rsidR="00073BC4">
        <w:t xml:space="preserve">that </w:t>
      </w:r>
      <w:r w:rsidR="006407B2">
        <w:t xml:space="preserve">Truck’s contribution claim should be denied on </w:t>
      </w:r>
      <w:r w:rsidR="008D1732">
        <w:t>un</w:t>
      </w:r>
      <w:r w:rsidR="006407B2">
        <w:t xml:space="preserve">fairness grounds, </w:t>
      </w:r>
      <w:r w:rsidR="00073BC4">
        <w:t xml:space="preserve">it has notably declined to take a position as to whether the Court of Appeal properly interpreted the first-level excess policies as requiring horizontal exhaustion. </w:t>
      </w:r>
      <w:r w:rsidR="0033197C">
        <w:t xml:space="preserve"> </w:t>
      </w:r>
      <w:r w:rsidR="00073BC4">
        <w:t>I</w:t>
      </w:r>
      <w:r w:rsidR="008C43DF">
        <w:t>n</w:t>
      </w:r>
      <w:r w:rsidR="0049761A">
        <w:t xml:space="preserve"> </w:t>
      </w:r>
      <w:r w:rsidR="008C43DF">
        <w:t>the</w:t>
      </w:r>
      <w:r w:rsidR="00073BC4">
        <w:t xml:space="preserve"> prior</w:t>
      </w:r>
      <w:r w:rsidR="008C43DF">
        <w:t xml:space="preserve"> </w:t>
      </w:r>
      <w:r w:rsidRPr="005C7A90" w:rsidR="005C7A90">
        <w:rPr>
          <w:i/>
          <w:iCs/>
        </w:rPr>
        <w:t>Kaiser Cement</w:t>
      </w:r>
      <w:r w:rsidR="005C7A90">
        <w:t xml:space="preserve"> </w:t>
      </w:r>
      <w:r w:rsidR="008C43DF">
        <w:t>appeal,</w:t>
      </w:r>
      <w:r w:rsidR="00073BC4">
        <w:t xml:space="preserve"> however, </w:t>
      </w:r>
      <w:r w:rsidR="0049761A">
        <w:t xml:space="preserve">Kaiser </w:t>
      </w:r>
      <w:r w:rsidR="00073BC4">
        <w:t xml:space="preserve">specifically argued </w:t>
      </w:r>
      <w:r w:rsidRPr="00073BC4" w:rsidR="00073BC4">
        <w:rPr>
          <w:i/>
          <w:iCs/>
        </w:rPr>
        <w:t>against</w:t>
      </w:r>
      <w:r w:rsidR="00073BC4">
        <w:t xml:space="preserve"> such a rule, contending that </w:t>
      </w:r>
      <w:r w:rsidR="0049761A">
        <w:t xml:space="preserve">it </w:t>
      </w:r>
      <w:r w:rsidRPr="0049761A" w:rsidR="0049761A">
        <w:t xml:space="preserve">was “objectively reasonable” to expect </w:t>
      </w:r>
      <w:r w:rsidR="0033197C">
        <w:t xml:space="preserve">that its </w:t>
      </w:r>
      <w:r w:rsidR="0049761A">
        <w:t xml:space="preserve">1974 first-level excess policy </w:t>
      </w:r>
      <w:r w:rsidRPr="0049761A" w:rsidR="0049761A">
        <w:t>would be</w:t>
      </w:r>
      <w:r w:rsidR="008D1732">
        <w:t>come</w:t>
      </w:r>
      <w:r w:rsidRPr="0049761A" w:rsidR="0049761A">
        <w:t xml:space="preserve"> </w:t>
      </w:r>
      <w:r w:rsidR="0049761A">
        <w:t xml:space="preserve">available </w:t>
      </w:r>
      <w:r w:rsidR="0033197C">
        <w:t xml:space="preserve">immediately </w:t>
      </w:r>
      <w:r w:rsidR="0049761A">
        <w:t xml:space="preserve">upon exhaustion of the underlying 1974 Truck primary policy. </w:t>
      </w:r>
      <w:bookmarkStart w:id="6" w:name="_Hlk152145544"/>
      <w:r w:rsidRPr="000C216F" w:rsidR="000C216F">
        <w:t xml:space="preserve"> </w:t>
      </w:r>
      <w:bookmarkEnd w:id="6"/>
    </w:p>
  </w:footnote>
  <w:footnote w:id="14">
    <w:p w:rsidR="00AF60F5" w:rsidP="00A25E48" w14:paraId="679C7988" w14:textId="77777777">
      <w:pPr>
        <w:pStyle w:val="FootnoteText"/>
      </w:pPr>
      <w:r>
        <w:rPr>
          <w:rStyle w:val="FootnoteReference"/>
        </w:rPr>
        <w:footnoteRef/>
      </w:r>
      <w:r>
        <w:t xml:space="preserve"> </w:t>
      </w:r>
      <w:r>
        <w:tab/>
      </w:r>
      <w:r w:rsidR="004E33BA">
        <w:t xml:space="preserve">The specific defense obligations that a first-level excess </w:t>
      </w:r>
      <w:r w:rsidR="00F577C5">
        <w:t xml:space="preserve">insurer </w:t>
      </w:r>
      <w:r w:rsidR="004E33BA">
        <w:t>owes to the insured</w:t>
      </w:r>
      <w:r>
        <w:t xml:space="preserve">, and whether defense costs </w:t>
      </w:r>
      <w:r w:rsidR="00A737BF">
        <w:t xml:space="preserve">are included in the </w:t>
      </w:r>
      <w:r>
        <w:t>aggregate limits of the excess policy, w</w:t>
      </w:r>
      <w:r w:rsidR="00A737BF">
        <w:t xml:space="preserve">ill </w:t>
      </w:r>
      <w:r>
        <w:t>of course turn on the</w:t>
      </w:r>
      <w:r w:rsidR="00A737BF">
        <w:t xml:space="preserve"> specific</w:t>
      </w:r>
      <w:r>
        <w:t xml:space="preserve"> terms of </w:t>
      </w:r>
      <w:r w:rsidR="00A737BF">
        <w:t xml:space="preserve">each excess </w:t>
      </w:r>
      <w:r>
        <w:t>polic</w:t>
      </w:r>
      <w:r w:rsidR="00A737BF">
        <w:t>y</w:t>
      </w:r>
      <w:r>
        <w:t xml:space="preserve">.  </w:t>
      </w:r>
    </w:p>
  </w:footnote>
  <w:footnote w:id="15">
    <w:p w:rsidR="002F5141" w:rsidP="002F5141" w14:paraId="679C7989" w14:textId="77777777">
      <w:pPr>
        <w:pStyle w:val="FootnoteText"/>
      </w:pPr>
      <w:r>
        <w:rPr>
          <w:rStyle w:val="FootnoteReference"/>
        </w:rPr>
        <w:footnoteRef/>
      </w:r>
      <w:r>
        <w:t xml:space="preserve"> </w:t>
      </w:r>
      <w:r>
        <w:tab/>
        <w:t xml:space="preserve">In addition to finding that the “other insurance” provisions compelled a rule of horizontal exhaustion, the </w:t>
      </w:r>
      <w:r w:rsidRPr="008E0D77">
        <w:rPr>
          <w:i/>
          <w:iCs/>
        </w:rPr>
        <w:t>Community Redevelopment</w:t>
      </w:r>
      <w:r>
        <w:t xml:space="preserve"> court believed that </w:t>
      </w:r>
      <w:r w:rsidRPr="008E0D77">
        <w:t xml:space="preserve">“a horizontal exhaustion rule . . . is most consistent with the [all-sums] principles enunciated in </w:t>
      </w:r>
      <w:r w:rsidRPr="008E0D77">
        <w:rPr>
          <w:i/>
          <w:iCs/>
        </w:rPr>
        <w:t>Montrose</w:t>
      </w:r>
      <w:r w:rsidRPr="008E0D77">
        <w:t xml:space="preserve"> [</w:t>
      </w:r>
      <w:r w:rsidRPr="00E90FCB">
        <w:rPr>
          <w:i/>
          <w:iCs/>
        </w:rPr>
        <w:t>I</w:t>
      </w:r>
      <w:r>
        <w:t xml:space="preserve">, </w:t>
      </w:r>
      <w:r w:rsidRPr="00616DE4">
        <w:rPr>
          <w:i/>
          <w:iCs/>
        </w:rPr>
        <w:t>supra</w:t>
      </w:r>
      <w:r>
        <w:t xml:space="preserve">, </w:t>
      </w:r>
      <w:r w:rsidRPr="008E0D77">
        <w:t>10 Cal.4th 645]</w:t>
      </w:r>
      <w:r>
        <w:t>.</w:t>
      </w:r>
      <w:r w:rsidRPr="008E0D77">
        <w:t xml:space="preserve">”  </w:t>
      </w:r>
      <w:r>
        <w:t>(</w:t>
      </w:r>
      <w:r w:rsidRPr="008E0D77">
        <w:rPr>
          <w:i/>
          <w:iCs/>
        </w:rPr>
        <w:t>Community Redevelopment</w:t>
      </w:r>
      <w:r w:rsidRPr="008E0D77">
        <w:t xml:space="preserve">, </w:t>
      </w:r>
      <w:r w:rsidRPr="008E0D77">
        <w:rPr>
          <w:i/>
        </w:rPr>
        <w:t>supra</w:t>
      </w:r>
      <w:r w:rsidRPr="008E0D77">
        <w:t>, 50 Cal.App.4th at p. 340</w:t>
      </w:r>
      <w:r>
        <w:t>.</w:t>
      </w:r>
      <w:r w:rsidRPr="008E0D77">
        <w:t xml:space="preserve">) </w:t>
      </w:r>
      <w:r>
        <w:t>However, w</w:t>
      </w:r>
      <w:r w:rsidRPr="008E0D77">
        <w:t xml:space="preserve">e rejected an essentially identical argument in </w:t>
      </w:r>
      <w:r w:rsidRPr="008E0D77">
        <w:rPr>
          <w:i/>
          <w:iCs/>
        </w:rPr>
        <w:t>Montrose I</w:t>
      </w:r>
      <w:r>
        <w:rPr>
          <w:i/>
          <w:iCs/>
        </w:rPr>
        <w:t>I</w:t>
      </w:r>
      <w:r w:rsidRPr="008E0D77">
        <w:rPr>
          <w:i/>
          <w:iCs/>
        </w:rPr>
        <w:t>I</w:t>
      </w:r>
      <w:r w:rsidRPr="008E0D77">
        <w:t xml:space="preserve">.  (See </w:t>
      </w:r>
      <w:r w:rsidRPr="008E0D77">
        <w:rPr>
          <w:i/>
          <w:iCs/>
        </w:rPr>
        <w:t>Montrose I</w:t>
      </w:r>
      <w:r>
        <w:rPr>
          <w:i/>
          <w:iCs/>
        </w:rPr>
        <w:t>I</w:t>
      </w:r>
      <w:r w:rsidRPr="008E0D77">
        <w:rPr>
          <w:i/>
          <w:iCs/>
        </w:rPr>
        <w:t>I</w:t>
      </w:r>
      <w:r w:rsidRPr="008E0D77">
        <w:t xml:space="preserve">, </w:t>
      </w:r>
      <w:r w:rsidRPr="008E0D77">
        <w:rPr>
          <w:i/>
          <w:iCs/>
        </w:rPr>
        <w:t>supra</w:t>
      </w:r>
      <w:r w:rsidRPr="008E0D77">
        <w:t>, 9 Cal.5th at pp. 235–236 [rejecting insurers’ assertion that a “rule of horizontal exhaustion is logically compelled by our adoption of an all-sums-with-stacking approach to liability for long-tail injuries”; “There is no evident inconsistency between an all</w:t>
      </w:r>
      <w:r w:rsidR="005D65C3">
        <w:t xml:space="preserve"> </w:t>
      </w:r>
      <w:r w:rsidRPr="008E0D77">
        <w:t>sums approach and [vertical exhaustion]”].)</w:t>
      </w:r>
    </w:p>
  </w:footnote>
  <w:footnote w:id="16">
    <w:p w:rsidR="00B36379" w:rsidP="00A25E48" w14:paraId="679C798A" w14:textId="77777777">
      <w:pPr>
        <w:pStyle w:val="FootnoteText"/>
      </w:pPr>
      <w:r>
        <w:rPr>
          <w:rStyle w:val="FootnoteReference"/>
        </w:rPr>
        <w:footnoteRef/>
      </w:r>
      <w:r>
        <w:t xml:space="preserve"> </w:t>
      </w:r>
      <w:r>
        <w:tab/>
      </w:r>
      <w:r w:rsidR="00A569A2">
        <w:t>L</w:t>
      </w:r>
      <w:r w:rsidR="005663B3">
        <w:t xml:space="preserve">ike the Court of Appeal, the trial court’s decision to deny contribution was predicated </w:t>
      </w:r>
      <w:r w:rsidR="00A569A2">
        <w:t xml:space="preserve">exclusively </w:t>
      </w:r>
      <w:r w:rsidR="005663B3">
        <w:t xml:space="preserve">on its </w:t>
      </w:r>
      <w:r w:rsidR="00A569A2">
        <w:t xml:space="preserve">finding </w:t>
      </w:r>
      <w:r w:rsidR="005663B3">
        <w:t xml:space="preserve">that the excess </w:t>
      </w:r>
      <w:r w:rsidR="00A569A2">
        <w:t>policies required horizontal exhaustion</w:t>
      </w:r>
      <w:r>
        <w:t xml:space="preserve">.  </w:t>
      </w:r>
      <w:r w:rsidR="00842B0C">
        <w:t xml:space="preserve">(See </w:t>
      </w:r>
      <w:r w:rsidRPr="00842B0C" w:rsidR="00842B0C">
        <w:rPr>
          <w:i/>
          <w:iCs/>
        </w:rPr>
        <w:t>ante</w:t>
      </w:r>
      <w:r w:rsidR="00842B0C">
        <w:t>, at p</w:t>
      </w:r>
      <w:r w:rsidR="000E1895">
        <w:t>p</w:t>
      </w:r>
      <w:r w:rsidR="00842B0C">
        <w:t>. </w:t>
      </w:r>
      <w:r w:rsidR="00240F03">
        <w:t>14</w:t>
      </w:r>
      <w:r w:rsidR="000E1895">
        <w:t>–15</w:t>
      </w:r>
      <w:r w:rsidR="00842B0C">
        <w:t xml:space="preserve">.)  </w:t>
      </w:r>
      <w:r>
        <w:t xml:space="preserve">As a result, the trial court did not address any of the parties’ </w:t>
      </w:r>
      <w:r w:rsidR="00813AAD">
        <w:t xml:space="preserve">other arguments regarding </w:t>
      </w:r>
      <w:r>
        <w:t xml:space="preserve">contribution, much of which was presented through expert testimony </w:t>
      </w:r>
      <w:r w:rsidR="00256C13">
        <w:t xml:space="preserve">at </w:t>
      </w:r>
      <w:r w:rsidR="00813AAD">
        <w:t>trial</w:t>
      </w:r>
      <w:r>
        <w:t xml:space="preserve">.  Thus, to the extent the Court of Appeal concludes that Truck is potentially eligible for contribution, it may </w:t>
      </w:r>
      <w:r w:rsidR="00DC753A">
        <w:t xml:space="preserve">further conclude that </w:t>
      </w:r>
      <w:r>
        <w:t xml:space="preserve">the trial court </w:t>
      </w:r>
      <w:r w:rsidR="00813AAD">
        <w:t xml:space="preserve">is </w:t>
      </w:r>
      <w:r>
        <w:t xml:space="preserve">in </w:t>
      </w:r>
      <w:r w:rsidR="00813AAD">
        <w:t xml:space="preserve">a </w:t>
      </w:r>
      <w:r>
        <w:t>be</w:t>
      </w:r>
      <w:r w:rsidR="00813AAD">
        <w:t xml:space="preserve">tter </w:t>
      </w:r>
      <w:r>
        <w:t>position to weigh the equities at stake given its familiarity with the parties and their relative positions</w:t>
      </w:r>
      <w:r w:rsidR="00813AAD">
        <w:t xml:space="preserve"> in this long-running litigation</w:t>
      </w:r>
      <w:r>
        <w:t xml:space="preserve">.  </w:t>
      </w:r>
      <w:r w:rsidR="00DC753A">
        <w:t xml:space="preserve">(See </w:t>
      </w:r>
      <w:r w:rsidRPr="00A25E48" w:rsidR="00DC753A">
        <w:rPr>
          <w:i/>
          <w:iCs/>
        </w:rPr>
        <w:t>Hartford Casualty Ins. Co. v. Travelers Indemnity Co</w:t>
      </w:r>
      <w:r w:rsidRPr="00A25E48" w:rsidR="00DC753A">
        <w:t>. (2003) 110 Cal.App.4th 710, 724 [“In evaluating competing claims for equitable contribution, the trial court exercises its discretion to weigh the equities to ‘ “ ‘accomplish ultimate justice’ ” ’ ”]</w:t>
      </w:r>
      <w:r w:rsidR="00813AAD">
        <w:t xml:space="preserve">; </w:t>
      </w:r>
      <w:r w:rsidRPr="00A25E48" w:rsidR="00813AAD">
        <w:rPr>
          <w:i/>
          <w:iCs/>
        </w:rPr>
        <w:t>Axis</w:t>
      </w:r>
      <w:r w:rsidRPr="00A25E48" w:rsidR="00813AAD">
        <w:t xml:space="preserve">, </w:t>
      </w:r>
      <w:r w:rsidRPr="00A25E48" w:rsidR="00813AAD">
        <w:rPr>
          <w:i/>
          <w:iCs/>
        </w:rPr>
        <w:t>supra</w:t>
      </w:r>
      <w:r w:rsidRPr="00A25E48" w:rsidR="00813AAD">
        <w:t>, 204 Cal.App.4th at p. 1228 [“in an equitable contribution action, a court reviews the applicable facts and policies and decides what is fair between the potential coinsurers”]</w:t>
      </w:r>
      <w:r w:rsidRPr="00A25E48" w:rsidR="00DC753A">
        <w:t xml:space="preserve">.)  </w:t>
      </w:r>
      <w:r w:rsidR="00DC753A">
        <w:t>We leave those determinations to the Court of Appeal.</w:t>
      </w:r>
    </w:p>
    <w:p w:rsidR="00DC0947" w:rsidP="00A25E48" w14:paraId="679C798B"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E48" w14:paraId="679C7976" w14:textId="77777777">
    <w:pPr>
      <w:pStyle w:val="Header"/>
    </w:pPr>
    <w:bookmarkStart w:id="4" w:name="_Hlk165377538"/>
    <w:r>
      <w:t xml:space="preserve">TRUCK INSURANCE EXCHANGE v. KAISER CEMENT </w:t>
    </w:r>
  </w:p>
  <w:p w:rsidR="00A25E48" w:rsidP="00A25E48" w14:paraId="679C7977" w14:textId="77777777">
    <w:pPr>
      <w:pStyle w:val="Header"/>
    </w:pPr>
    <w:r>
      <w:t>AND GYPSUM CORP.</w:t>
    </w:r>
  </w:p>
  <w:p w:rsidR="00A25E48" w14:paraId="679C7978" w14:textId="77777777">
    <w:pPr>
      <w:pStyle w:val="Header"/>
    </w:pPr>
    <w:r>
      <w:t>Opinion of the Court by Groban, J.</w:t>
    </w:r>
  </w:p>
  <w:bookmarkEnd w:id="4"/>
  <w:p w:rsidR="00A25E48" w14:paraId="679C79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64B" w:rsidRPr="0086064B" w:rsidP="0086064B" w14:paraId="30E623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1E2760"/>
    <w:multiLevelType w:val="hybridMultilevel"/>
    <w:tmpl w:val="7AD49F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03F3E12"/>
    <w:multiLevelType w:val="hybridMultilevel"/>
    <w:tmpl w:val="4FA03A9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
    <w:nsid w:val="21A86FD3"/>
    <w:multiLevelType w:val="hybridMultilevel"/>
    <w:tmpl w:val="53AAF93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7BF02C5"/>
    <w:multiLevelType w:val="hybridMultilevel"/>
    <w:tmpl w:val="B93242CA"/>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4">
    <w:nsid w:val="2DFE334A"/>
    <w:multiLevelType w:val="hybridMultilevel"/>
    <w:tmpl w:val="ED74122E"/>
    <w:lvl w:ilvl="0">
      <w:start w:val="1"/>
      <w:numFmt w:val="bullet"/>
      <w:lvlText w:val=""/>
      <w:lvlJc w:val="left"/>
      <w:pPr>
        <w:ind w:left="1458" w:hanging="360"/>
      </w:pPr>
      <w:rPr>
        <w:rFonts w:ascii="Symbol" w:hAnsi="Symbol" w:hint="default"/>
      </w:rPr>
    </w:lvl>
    <w:lvl w:ilvl="1" w:tentative="1">
      <w:start w:val="1"/>
      <w:numFmt w:val="bullet"/>
      <w:lvlText w:val="o"/>
      <w:lvlJc w:val="left"/>
      <w:pPr>
        <w:ind w:left="2178" w:hanging="360"/>
      </w:pPr>
      <w:rPr>
        <w:rFonts w:ascii="Courier New" w:hAnsi="Courier New" w:cs="Courier New" w:hint="default"/>
      </w:rPr>
    </w:lvl>
    <w:lvl w:ilvl="2" w:tentative="1">
      <w:start w:val="1"/>
      <w:numFmt w:val="bullet"/>
      <w:lvlText w:val=""/>
      <w:lvlJc w:val="left"/>
      <w:pPr>
        <w:ind w:left="2898" w:hanging="360"/>
      </w:pPr>
      <w:rPr>
        <w:rFonts w:ascii="Wingdings" w:hAnsi="Wingdings" w:hint="default"/>
      </w:rPr>
    </w:lvl>
    <w:lvl w:ilvl="3">
      <w:start w:val="1"/>
      <w:numFmt w:val="bullet"/>
      <w:lvlText w:val=""/>
      <w:lvlJc w:val="left"/>
      <w:pPr>
        <w:ind w:left="3618" w:hanging="360"/>
      </w:pPr>
      <w:rPr>
        <w:rFonts w:ascii="Symbol" w:hAnsi="Symbol" w:hint="default"/>
      </w:rPr>
    </w:lvl>
    <w:lvl w:ilvl="4" w:tentative="1">
      <w:start w:val="1"/>
      <w:numFmt w:val="bullet"/>
      <w:lvlText w:val="o"/>
      <w:lvlJc w:val="left"/>
      <w:pPr>
        <w:ind w:left="4338" w:hanging="360"/>
      </w:pPr>
      <w:rPr>
        <w:rFonts w:ascii="Courier New" w:hAnsi="Courier New" w:cs="Courier New" w:hint="default"/>
      </w:rPr>
    </w:lvl>
    <w:lvl w:ilvl="5" w:tentative="1">
      <w:start w:val="1"/>
      <w:numFmt w:val="bullet"/>
      <w:lvlText w:val=""/>
      <w:lvlJc w:val="left"/>
      <w:pPr>
        <w:ind w:left="5058" w:hanging="360"/>
      </w:pPr>
      <w:rPr>
        <w:rFonts w:ascii="Wingdings" w:hAnsi="Wingdings" w:hint="default"/>
      </w:rPr>
    </w:lvl>
    <w:lvl w:ilvl="6" w:tentative="1">
      <w:start w:val="1"/>
      <w:numFmt w:val="bullet"/>
      <w:lvlText w:val=""/>
      <w:lvlJc w:val="left"/>
      <w:pPr>
        <w:ind w:left="5778" w:hanging="360"/>
      </w:pPr>
      <w:rPr>
        <w:rFonts w:ascii="Symbol" w:hAnsi="Symbol" w:hint="default"/>
      </w:rPr>
    </w:lvl>
    <w:lvl w:ilvl="7" w:tentative="1">
      <w:start w:val="1"/>
      <w:numFmt w:val="bullet"/>
      <w:lvlText w:val="o"/>
      <w:lvlJc w:val="left"/>
      <w:pPr>
        <w:ind w:left="6498" w:hanging="360"/>
      </w:pPr>
      <w:rPr>
        <w:rFonts w:ascii="Courier New" w:hAnsi="Courier New" w:cs="Courier New" w:hint="default"/>
      </w:rPr>
    </w:lvl>
    <w:lvl w:ilvl="8" w:tentative="1">
      <w:start w:val="1"/>
      <w:numFmt w:val="bullet"/>
      <w:lvlText w:val=""/>
      <w:lvlJc w:val="left"/>
      <w:pPr>
        <w:ind w:left="7218" w:hanging="360"/>
      </w:pPr>
      <w:rPr>
        <w:rFonts w:ascii="Wingdings" w:hAnsi="Wingdings" w:hint="default"/>
      </w:rPr>
    </w:lvl>
  </w:abstractNum>
  <w:abstractNum w:abstractNumId="5">
    <w:nsid w:val="34666C59"/>
    <w:multiLevelType w:val="hybridMultilevel"/>
    <w:tmpl w:val="E5601444"/>
    <w:lvl w:ilvl="0">
      <w:start w:val="1"/>
      <w:numFmt w:val="lowerLetter"/>
      <w:lvlText w:val="%1."/>
      <w:lvlJc w:val="left"/>
      <w:pPr>
        <w:ind w:left="2520" w:hanging="360"/>
      </w:pPr>
      <w:rPr>
        <w:rFonts w:hint="default"/>
        <w:i/>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37BB4114"/>
    <w:multiLevelType w:val="hybridMultilevel"/>
    <w:tmpl w:val="A1DA97E2"/>
    <w:lvl w:ilvl="0">
      <w:start w:val="1"/>
      <w:numFmt w:val="upp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0B81BF5"/>
    <w:multiLevelType w:val="hybridMultilevel"/>
    <w:tmpl w:val="9686286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412D10D4"/>
    <w:multiLevelType w:val="hybridMultilevel"/>
    <w:tmpl w:val="2878E9F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9">
    <w:nsid w:val="4F401A4A"/>
    <w:multiLevelType w:val="hybridMultilevel"/>
    <w:tmpl w:val="19CAC006"/>
    <w:lvl w:ilvl="0">
      <w:start w:val="0"/>
      <w:numFmt w:val="bullet"/>
      <w:lvlText w:val="-"/>
      <w:lvlJc w:val="left"/>
      <w:pPr>
        <w:ind w:left="720" w:hanging="360"/>
      </w:pPr>
      <w:rPr>
        <w:rFonts w:ascii="Times New Roman" w:eastAsia="Times New Roman" w:hAnsi="Times New Roman" w:cs="Times New Roman"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28633FD"/>
    <w:multiLevelType w:val="hybridMultilevel"/>
    <w:tmpl w:val="2878E9F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1">
    <w:nsid w:val="53AB7E30"/>
    <w:multiLevelType w:val="hybridMultilevel"/>
    <w:tmpl w:val="3ACC194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C4B00EC"/>
    <w:multiLevelType w:val="hybridMultilevel"/>
    <w:tmpl w:val="09B84F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CF27FAB"/>
    <w:multiLevelType w:val="hybridMultilevel"/>
    <w:tmpl w:val="B93242CA"/>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4">
    <w:nsid w:val="5E5A0057"/>
    <w:multiLevelType w:val="hybridMultilevel"/>
    <w:tmpl w:val="A53EA838"/>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6E1279"/>
    <w:multiLevelType w:val="hybridMultilevel"/>
    <w:tmpl w:val="61C2AD9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6">
    <w:nsid w:val="64833B84"/>
    <w:multiLevelType w:val="hybridMultilevel"/>
    <w:tmpl w:val="2878E9F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7">
    <w:nsid w:val="657217CA"/>
    <w:multiLevelType w:val="hybridMultilevel"/>
    <w:tmpl w:val="E064151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76E4169"/>
    <w:multiLevelType w:val="hybridMultilevel"/>
    <w:tmpl w:val="A61C31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D680952"/>
    <w:multiLevelType w:val="hybridMultilevel"/>
    <w:tmpl w:val="2878E9F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num w:numId="1">
    <w:abstractNumId w:val="12"/>
  </w:num>
  <w:num w:numId="2">
    <w:abstractNumId w:val="17"/>
  </w:num>
  <w:num w:numId="3">
    <w:abstractNumId w:val="9"/>
  </w:num>
  <w:num w:numId="4">
    <w:abstractNumId w:val="5"/>
  </w:num>
  <w:num w:numId="5">
    <w:abstractNumId w:val="4"/>
  </w:num>
  <w:num w:numId="6">
    <w:abstractNumId w:val="16"/>
  </w:num>
  <w:num w:numId="7">
    <w:abstractNumId w:val="8"/>
  </w:num>
  <w:num w:numId="8">
    <w:abstractNumId w:val="19"/>
  </w:num>
  <w:num w:numId="9">
    <w:abstractNumId w:val="7"/>
  </w:num>
  <w:num w:numId="10">
    <w:abstractNumId w:val="11"/>
  </w:num>
  <w:num w:numId="11">
    <w:abstractNumId w:val="10"/>
  </w:num>
  <w:num w:numId="12">
    <w:abstractNumId w:val="6"/>
  </w:num>
  <w:num w:numId="13">
    <w:abstractNumId w:val="18"/>
  </w:num>
  <w:num w:numId="14">
    <w:abstractNumId w:val="15"/>
  </w:num>
  <w:num w:numId="15">
    <w:abstractNumId w:val="3"/>
  </w:num>
  <w:num w:numId="16">
    <w:abstractNumId w:val="0"/>
  </w:num>
  <w:num w:numId="17">
    <w:abstractNumId w:val="2"/>
  </w:num>
  <w:num w:numId="18">
    <w:abstractNumId w:val="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F8"/>
    <w:rsid w:val="00000313"/>
    <w:rsid w:val="000012E4"/>
    <w:rsid w:val="000014AA"/>
    <w:rsid w:val="00001BE3"/>
    <w:rsid w:val="000024F1"/>
    <w:rsid w:val="000025D9"/>
    <w:rsid w:val="00002650"/>
    <w:rsid w:val="00002AF9"/>
    <w:rsid w:val="000030F5"/>
    <w:rsid w:val="0000404F"/>
    <w:rsid w:val="00004365"/>
    <w:rsid w:val="00004485"/>
    <w:rsid w:val="00006378"/>
    <w:rsid w:val="00006A6A"/>
    <w:rsid w:val="00007356"/>
    <w:rsid w:val="000079DC"/>
    <w:rsid w:val="00010032"/>
    <w:rsid w:val="000100F7"/>
    <w:rsid w:val="00010DCF"/>
    <w:rsid w:val="00010EA9"/>
    <w:rsid w:val="000123C7"/>
    <w:rsid w:val="000123DE"/>
    <w:rsid w:val="0001287E"/>
    <w:rsid w:val="00012B3C"/>
    <w:rsid w:val="00013646"/>
    <w:rsid w:val="000140E7"/>
    <w:rsid w:val="0001452C"/>
    <w:rsid w:val="000153A2"/>
    <w:rsid w:val="00015BFE"/>
    <w:rsid w:val="000170BF"/>
    <w:rsid w:val="0001781C"/>
    <w:rsid w:val="00017E77"/>
    <w:rsid w:val="00017FB2"/>
    <w:rsid w:val="00020B89"/>
    <w:rsid w:val="00021D92"/>
    <w:rsid w:val="000227A1"/>
    <w:rsid w:val="00022E04"/>
    <w:rsid w:val="00023831"/>
    <w:rsid w:val="00024E8F"/>
    <w:rsid w:val="000264A7"/>
    <w:rsid w:val="00027115"/>
    <w:rsid w:val="00027179"/>
    <w:rsid w:val="000277C3"/>
    <w:rsid w:val="000305A6"/>
    <w:rsid w:val="00030E48"/>
    <w:rsid w:val="00030EFF"/>
    <w:rsid w:val="000326FB"/>
    <w:rsid w:val="00032FF8"/>
    <w:rsid w:val="000331AC"/>
    <w:rsid w:val="00033273"/>
    <w:rsid w:val="00033ED6"/>
    <w:rsid w:val="00034615"/>
    <w:rsid w:val="00034836"/>
    <w:rsid w:val="000360BB"/>
    <w:rsid w:val="00036118"/>
    <w:rsid w:val="0003661D"/>
    <w:rsid w:val="00036CCA"/>
    <w:rsid w:val="0003707A"/>
    <w:rsid w:val="00040329"/>
    <w:rsid w:val="000405E2"/>
    <w:rsid w:val="00040E1F"/>
    <w:rsid w:val="000417EA"/>
    <w:rsid w:val="00041E3B"/>
    <w:rsid w:val="000420E6"/>
    <w:rsid w:val="00042A67"/>
    <w:rsid w:val="00042F48"/>
    <w:rsid w:val="00044123"/>
    <w:rsid w:val="00044702"/>
    <w:rsid w:val="0004541E"/>
    <w:rsid w:val="00045700"/>
    <w:rsid w:val="00046B61"/>
    <w:rsid w:val="00046C45"/>
    <w:rsid w:val="00047180"/>
    <w:rsid w:val="000511A1"/>
    <w:rsid w:val="00051293"/>
    <w:rsid w:val="000516DF"/>
    <w:rsid w:val="000527B9"/>
    <w:rsid w:val="00052FBE"/>
    <w:rsid w:val="000530FF"/>
    <w:rsid w:val="00053149"/>
    <w:rsid w:val="00053444"/>
    <w:rsid w:val="00053C94"/>
    <w:rsid w:val="0005480D"/>
    <w:rsid w:val="000550AD"/>
    <w:rsid w:val="00055F6B"/>
    <w:rsid w:val="00055FE0"/>
    <w:rsid w:val="00055FE4"/>
    <w:rsid w:val="00056269"/>
    <w:rsid w:val="0005637B"/>
    <w:rsid w:val="0005685F"/>
    <w:rsid w:val="00056885"/>
    <w:rsid w:val="00056A7A"/>
    <w:rsid w:val="000575F9"/>
    <w:rsid w:val="00060048"/>
    <w:rsid w:val="000602BD"/>
    <w:rsid w:val="00060314"/>
    <w:rsid w:val="00060548"/>
    <w:rsid w:val="00060A91"/>
    <w:rsid w:val="00060DB6"/>
    <w:rsid w:val="000611F7"/>
    <w:rsid w:val="00061C87"/>
    <w:rsid w:val="000626A3"/>
    <w:rsid w:val="00062A28"/>
    <w:rsid w:val="00063208"/>
    <w:rsid w:val="0006381E"/>
    <w:rsid w:val="00063C97"/>
    <w:rsid w:val="00064866"/>
    <w:rsid w:val="000652A0"/>
    <w:rsid w:val="000653E1"/>
    <w:rsid w:val="000667D1"/>
    <w:rsid w:val="00066C12"/>
    <w:rsid w:val="00067431"/>
    <w:rsid w:val="00070DAF"/>
    <w:rsid w:val="000715F9"/>
    <w:rsid w:val="00071911"/>
    <w:rsid w:val="00071D23"/>
    <w:rsid w:val="0007254F"/>
    <w:rsid w:val="000727F5"/>
    <w:rsid w:val="00072C8F"/>
    <w:rsid w:val="00072D9A"/>
    <w:rsid w:val="00072F86"/>
    <w:rsid w:val="000730AE"/>
    <w:rsid w:val="00073BC4"/>
    <w:rsid w:val="00073D1E"/>
    <w:rsid w:val="00074190"/>
    <w:rsid w:val="00074646"/>
    <w:rsid w:val="00075257"/>
    <w:rsid w:val="000762E9"/>
    <w:rsid w:val="0007630E"/>
    <w:rsid w:val="000766A7"/>
    <w:rsid w:val="00076EC8"/>
    <w:rsid w:val="00077F56"/>
    <w:rsid w:val="000803A3"/>
    <w:rsid w:val="000804CA"/>
    <w:rsid w:val="00080C2D"/>
    <w:rsid w:val="00081228"/>
    <w:rsid w:val="0008127E"/>
    <w:rsid w:val="00081340"/>
    <w:rsid w:val="00081683"/>
    <w:rsid w:val="00081811"/>
    <w:rsid w:val="00081A96"/>
    <w:rsid w:val="00081F75"/>
    <w:rsid w:val="000831AA"/>
    <w:rsid w:val="00083492"/>
    <w:rsid w:val="00083E9D"/>
    <w:rsid w:val="000849E8"/>
    <w:rsid w:val="00084D44"/>
    <w:rsid w:val="000850DA"/>
    <w:rsid w:val="0008597C"/>
    <w:rsid w:val="000859F5"/>
    <w:rsid w:val="000860D5"/>
    <w:rsid w:val="0008615D"/>
    <w:rsid w:val="000864C3"/>
    <w:rsid w:val="00086660"/>
    <w:rsid w:val="0008692C"/>
    <w:rsid w:val="00087E3A"/>
    <w:rsid w:val="000907DF"/>
    <w:rsid w:val="00090A39"/>
    <w:rsid w:val="00090E56"/>
    <w:rsid w:val="000911CF"/>
    <w:rsid w:val="00091860"/>
    <w:rsid w:val="00091B65"/>
    <w:rsid w:val="00092747"/>
    <w:rsid w:val="0009336A"/>
    <w:rsid w:val="00093AB9"/>
    <w:rsid w:val="00093C3C"/>
    <w:rsid w:val="00093F52"/>
    <w:rsid w:val="00094742"/>
    <w:rsid w:val="0009594E"/>
    <w:rsid w:val="00095A82"/>
    <w:rsid w:val="00095E33"/>
    <w:rsid w:val="000966D8"/>
    <w:rsid w:val="00096B9C"/>
    <w:rsid w:val="00096E67"/>
    <w:rsid w:val="000979DD"/>
    <w:rsid w:val="00097D65"/>
    <w:rsid w:val="000A0548"/>
    <w:rsid w:val="000A06CF"/>
    <w:rsid w:val="000A0B2C"/>
    <w:rsid w:val="000A0D21"/>
    <w:rsid w:val="000A0DB1"/>
    <w:rsid w:val="000A0ED6"/>
    <w:rsid w:val="000A2382"/>
    <w:rsid w:val="000A2831"/>
    <w:rsid w:val="000A2B48"/>
    <w:rsid w:val="000A2D6E"/>
    <w:rsid w:val="000A2D98"/>
    <w:rsid w:val="000A2EC6"/>
    <w:rsid w:val="000A3211"/>
    <w:rsid w:val="000A3701"/>
    <w:rsid w:val="000A3F0E"/>
    <w:rsid w:val="000A45F5"/>
    <w:rsid w:val="000A472B"/>
    <w:rsid w:val="000A4F87"/>
    <w:rsid w:val="000A5005"/>
    <w:rsid w:val="000A512D"/>
    <w:rsid w:val="000A5939"/>
    <w:rsid w:val="000A5A96"/>
    <w:rsid w:val="000A7312"/>
    <w:rsid w:val="000A7341"/>
    <w:rsid w:val="000A74A7"/>
    <w:rsid w:val="000A79FF"/>
    <w:rsid w:val="000A7B90"/>
    <w:rsid w:val="000A7FE9"/>
    <w:rsid w:val="000B1294"/>
    <w:rsid w:val="000B1539"/>
    <w:rsid w:val="000B239D"/>
    <w:rsid w:val="000B2AD3"/>
    <w:rsid w:val="000B2BCD"/>
    <w:rsid w:val="000B3428"/>
    <w:rsid w:val="000B34E2"/>
    <w:rsid w:val="000B3EED"/>
    <w:rsid w:val="000B3F21"/>
    <w:rsid w:val="000B41A5"/>
    <w:rsid w:val="000B4DBD"/>
    <w:rsid w:val="000B5632"/>
    <w:rsid w:val="000B60B1"/>
    <w:rsid w:val="000B6273"/>
    <w:rsid w:val="000B72F4"/>
    <w:rsid w:val="000B7A55"/>
    <w:rsid w:val="000B7B5E"/>
    <w:rsid w:val="000C086E"/>
    <w:rsid w:val="000C092C"/>
    <w:rsid w:val="000C0A7A"/>
    <w:rsid w:val="000C0D3C"/>
    <w:rsid w:val="000C12E2"/>
    <w:rsid w:val="000C1420"/>
    <w:rsid w:val="000C1964"/>
    <w:rsid w:val="000C216F"/>
    <w:rsid w:val="000C2304"/>
    <w:rsid w:val="000C2553"/>
    <w:rsid w:val="000C2954"/>
    <w:rsid w:val="000C308D"/>
    <w:rsid w:val="000C36C8"/>
    <w:rsid w:val="000C40D7"/>
    <w:rsid w:val="000C449B"/>
    <w:rsid w:val="000C457A"/>
    <w:rsid w:val="000C574E"/>
    <w:rsid w:val="000C5D99"/>
    <w:rsid w:val="000C603C"/>
    <w:rsid w:val="000C636A"/>
    <w:rsid w:val="000C672F"/>
    <w:rsid w:val="000C6BA0"/>
    <w:rsid w:val="000C74AE"/>
    <w:rsid w:val="000C75C0"/>
    <w:rsid w:val="000C7849"/>
    <w:rsid w:val="000C7A99"/>
    <w:rsid w:val="000C7C47"/>
    <w:rsid w:val="000C7F6A"/>
    <w:rsid w:val="000D07F6"/>
    <w:rsid w:val="000D0A91"/>
    <w:rsid w:val="000D14AA"/>
    <w:rsid w:val="000D1545"/>
    <w:rsid w:val="000D1BA5"/>
    <w:rsid w:val="000D270A"/>
    <w:rsid w:val="000D2A1B"/>
    <w:rsid w:val="000D2A37"/>
    <w:rsid w:val="000D303A"/>
    <w:rsid w:val="000D3554"/>
    <w:rsid w:val="000D3771"/>
    <w:rsid w:val="000D3DC6"/>
    <w:rsid w:val="000D4722"/>
    <w:rsid w:val="000D4CE5"/>
    <w:rsid w:val="000D54A0"/>
    <w:rsid w:val="000D5C87"/>
    <w:rsid w:val="000D6158"/>
    <w:rsid w:val="000D68E9"/>
    <w:rsid w:val="000D6911"/>
    <w:rsid w:val="000D6A46"/>
    <w:rsid w:val="000D6ADA"/>
    <w:rsid w:val="000D7315"/>
    <w:rsid w:val="000D7DE8"/>
    <w:rsid w:val="000E0229"/>
    <w:rsid w:val="000E0296"/>
    <w:rsid w:val="000E06B7"/>
    <w:rsid w:val="000E0CCC"/>
    <w:rsid w:val="000E0EDB"/>
    <w:rsid w:val="000E1895"/>
    <w:rsid w:val="000E1958"/>
    <w:rsid w:val="000E1EC6"/>
    <w:rsid w:val="000E1ECD"/>
    <w:rsid w:val="000E240A"/>
    <w:rsid w:val="000E2EBB"/>
    <w:rsid w:val="000E3587"/>
    <w:rsid w:val="000E5620"/>
    <w:rsid w:val="000E566F"/>
    <w:rsid w:val="000E5703"/>
    <w:rsid w:val="000E5DCD"/>
    <w:rsid w:val="000E610E"/>
    <w:rsid w:val="000E6151"/>
    <w:rsid w:val="000E67B5"/>
    <w:rsid w:val="000E691D"/>
    <w:rsid w:val="000E7071"/>
    <w:rsid w:val="000E7251"/>
    <w:rsid w:val="000E72EC"/>
    <w:rsid w:val="000E75AE"/>
    <w:rsid w:val="000E7AE9"/>
    <w:rsid w:val="000E7C3C"/>
    <w:rsid w:val="000F0230"/>
    <w:rsid w:val="000F222B"/>
    <w:rsid w:val="000F2704"/>
    <w:rsid w:val="000F2F86"/>
    <w:rsid w:val="000F3719"/>
    <w:rsid w:val="000F3885"/>
    <w:rsid w:val="000F38E7"/>
    <w:rsid w:val="000F3A18"/>
    <w:rsid w:val="000F3A61"/>
    <w:rsid w:val="000F3A6C"/>
    <w:rsid w:val="000F4BC3"/>
    <w:rsid w:val="000F4E14"/>
    <w:rsid w:val="000F512F"/>
    <w:rsid w:val="000F5640"/>
    <w:rsid w:val="000F5AA2"/>
    <w:rsid w:val="000F67A6"/>
    <w:rsid w:val="000F78AC"/>
    <w:rsid w:val="0010056A"/>
    <w:rsid w:val="0010059E"/>
    <w:rsid w:val="00100C5F"/>
    <w:rsid w:val="00100DB6"/>
    <w:rsid w:val="001012CA"/>
    <w:rsid w:val="0010191E"/>
    <w:rsid w:val="00102033"/>
    <w:rsid w:val="001025C7"/>
    <w:rsid w:val="00102779"/>
    <w:rsid w:val="001035B1"/>
    <w:rsid w:val="001041A1"/>
    <w:rsid w:val="00104F5F"/>
    <w:rsid w:val="001050D0"/>
    <w:rsid w:val="001052F5"/>
    <w:rsid w:val="00105972"/>
    <w:rsid w:val="001068E4"/>
    <w:rsid w:val="0010716B"/>
    <w:rsid w:val="001079DE"/>
    <w:rsid w:val="00107E69"/>
    <w:rsid w:val="0011011E"/>
    <w:rsid w:val="00111190"/>
    <w:rsid w:val="00111B05"/>
    <w:rsid w:val="00111F2F"/>
    <w:rsid w:val="00111FAF"/>
    <w:rsid w:val="0011238C"/>
    <w:rsid w:val="00112487"/>
    <w:rsid w:val="00112559"/>
    <w:rsid w:val="00112679"/>
    <w:rsid w:val="0011279D"/>
    <w:rsid w:val="00112BEF"/>
    <w:rsid w:val="001138AA"/>
    <w:rsid w:val="00113F19"/>
    <w:rsid w:val="001148CD"/>
    <w:rsid w:val="001155ED"/>
    <w:rsid w:val="00115B00"/>
    <w:rsid w:val="00115B25"/>
    <w:rsid w:val="00115CF8"/>
    <w:rsid w:val="00115ECB"/>
    <w:rsid w:val="001167D1"/>
    <w:rsid w:val="00116BC9"/>
    <w:rsid w:val="00116C15"/>
    <w:rsid w:val="00116F3E"/>
    <w:rsid w:val="00117687"/>
    <w:rsid w:val="001179CA"/>
    <w:rsid w:val="00117CAD"/>
    <w:rsid w:val="00117CEC"/>
    <w:rsid w:val="00117E59"/>
    <w:rsid w:val="00120D88"/>
    <w:rsid w:val="001217B2"/>
    <w:rsid w:val="001220F7"/>
    <w:rsid w:val="00122268"/>
    <w:rsid w:val="001226C0"/>
    <w:rsid w:val="00122D36"/>
    <w:rsid w:val="00122EE2"/>
    <w:rsid w:val="00123B8C"/>
    <w:rsid w:val="00123C25"/>
    <w:rsid w:val="0012425E"/>
    <w:rsid w:val="00124343"/>
    <w:rsid w:val="00125308"/>
    <w:rsid w:val="00125EB3"/>
    <w:rsid w:val="0012628A"/>
    <w:rsid w:val="00126502"/>
    <w:rsid w:val="001273C2"/>
    <w:rsid w:val="001276C6"/>
    <w:rsid w:val="00127779"/>
    <w:rsid w:val="00132468"/>
    <w:rsid w:val="00132B1B"/>
    <w:rsid w:val="00132F14"/>
    <w:rsid w:val="00133001"/>
    <w:rsid w:val="00133421"/>
    <w:rsid w:val="00133972"/>
    <w:rsid w:val="00133BE6"/>
    <w:rsid w:val="00133C4D"/>
    <w:rsid w:val="00133DFA"/>
    <w:rsid w:val="00134490"/>
    <w:rsid w:val="00134516"/>
    <w:rsid w:val="0013463E"/>
    <w:rsid w:val="00134679"/>
    <w:rsid w:val="001348C6"/>
    <w:rsid w:val="0013497A"/>
    <w:rsid w:val="00134B31"/>
    <w:rsid w:val="00134E0F"/>
    <w:rsid w:val="001351D3"/>
    <w:rsid w:val="001358D1"/>
    <w:rsid w:val="00135A09"/>
    <w:rsid w:val="00135F05"/>
    <w:rsid w:val="00136006"/>
    <w:rsid w:val="00136312"/>
    <w:rsid w:val="00136D6E"/>
    <w:rsid w:val="00137A36"/>
    <w:rsid w:val="00137CAA"/>
    <w:rsid w:val="001402DF"/>
    <w:rsid w:val="00140DC3"/>
    <w:rsid w:val="00141064"/>
    <w:rsid w:val="0014107C"/>
    <w:rsid w:val="001413CE"/>
    <w:rsid w:val="001421BC"/>
    <w:rsid w:val="001429F6"/>
    <w:rsid w:val="00142BB2"/>
    <w:rsid w:val="00144888"/>
    <w:rsid w:val="00144986"/>
    <w:rsid w:val="00144A25"/>
    <w:rsid w:val="00144C91"/>
    <w:rsid w:val="00145379"/>
    <w:rsid w:val="001455A9"/>
    <w:rsid w:val="00146C40"/>
    <w:rsid w:val="00146D70"/>
    <w:rsid w:val="00146F12"/>
    <w:rsid w:val="0014707F"/>
    <w:rsid w:val="00147153"/>
    <w:rsid w:val="001474D1"/>
    <w:rsid w:val="00147899"/>
    <w:rsid w:val="00147C94"/>
    <w:rsid w:val="00147E85"/>
    <w:rsid w:val="00150DA4"/>
    <w:rsid w:val="001512E9"/>
    <w:rsid w:val="00151B0E"/>
    <w:rsid w:val="00151C43"/>
    <w:rsid w:val="00152736"/>
    <w:rsid w:val="00152EC5"/>
    <w:rsid w:val="00153A6F"/>
    <w:rsid w:val="00155082"/>
    <w:rsid w:val="001551A9"/>
    <w:rsid w:val="001553DF"/>
    <w:rsid w:val="001557E1"/>
    <w:rsid w:val="00155939"/>
    <w:rsid w:val="0015696E"/>
    <w:rsid w:val="00156D76"/>
    <w:rsid w:val="00157742"/>
    <w:rsid w:val="00157D6C"/>
    <w:rsid w:val="00160491"/>
    <w:rsid w:val="001613E3"/>
    <w:rsid w:val="00161BF7"/>
    <w:rsid w:val="00161F05"/>
    <w:rsid w:val="001622B9"/>
    <w:rsid w:val="00162419"/>
    <w:rsid w:val="00162AB9"/>
    <w:rsid w:val="001632C0"/>
    <w:rsid w:val="00163D97"/>
    <w:rsid w:val="0016404C"/>
    <w:rsid w:val="001660EA"/>
    <w:rsid w:val="001670D1"/>
    <w:rsid w:val="001671F6"/>
    <w:rsid w:val="00167571"/>
    <w:rsid w:val="001675A6"/>
    <w:rsid w:val="001679F4"/>
    <w:rsid w:val="00167A6E"/>
    <w:rsid w:val="0017042B"/>
    <w:rsid w:val="00170553"/>
    <w:rsid w:val="00170ACD"/>
    <w:rsid w:val="00170AE6"/>
    <w:rsid w:val="00170E3C"/>
    <w:rsid w:val="001710CD"/>
    <w:rsid w:val="001729CD"/>
    <w:rsid w:val="001738BE"/>
    <w:rsid w:val="001739E8"/>
    <w:rsid w:val="00173A92"/>
    <w:rsid w:val="00174E2C"/>
    <w:rsid w:val="00174E5D"/>
    <w:rsid w:val="001752A0"/>
    <w:rsid w:val="00175BDB"/>
    <w:rsid w:val="00175E28"/>
    <w:rsid w:val="00176442"/>
    <w:rsid w:val="00176C3B"/>
    <w:rsid w:val="00177370"/>
    <w:rsid w:val="00177AEB"/>
    <w:rsid w:val="001809C0"/>
    <w:rsid w:val="001809FB"/>
    <w:rsid w:val="00180A31"/>
    <w:rsid w:val="001821DA"/>
    <w:rsid w:val="0018228E"/>
    <w:rsid w:val="00182BD6"/>
    <w:rsid w:val="00182BEA"/>
    <w:rsid w:val="0018386D"/>
    <w:rsid w:val="0018397C"/>
    <w:rsid w:val="0018434A"/>
    <w:rsid w:val="00184599"/>
    <w:rsid w:val="001846AC"/>
    <w:rsid w:val="001848E5"/>
    <w:rsid w:val="00184B30"/>
    <w:rsid w:val="00184DFB"/>
    <w:rsid w:val="00185503"/>
    <w:rsid w:val="00185605"/>
    <w:rsid w:val="001860E9"/>
    <w:rsid w:val="00186833"/>
    <w:rsid w:val="001869D1"/>
    <w:rsid w:val="00186BC2"/>
    <w:rsid w:val="00186E2E"/>
    <w:rsid w:val="00187B52"/>
    <w:rsid w:val="0019054C"/>
    <w:rsid w:val="001909CA"/>
    <w:rsid w:val="0019139A"/>
    <w:rsid w:val="00191F78"/>
    <w:rsid w:val="001925D8"/>
    <w:rsid w:val="00192893"/>
    <w:rsid w:val="001935DC"/>
    <w:rsid w:val="00193619"/>
    <w:rsid w:val="001938AA"/>
    <w:rsid w:val="001938C0"/>
    <w:rsid w:val="001940CF"/>
    <w:rsid w:val="0019423B"/>
    <w:rsid w:val="001944EE"/>
    <w:rsid w:val="00194BDF"/>
    <w:rsid w:val="001950B6"/>
    <w:rsid w:val="0019597C"/>
    <w:rsid w:val="00195B9B"/>
    <w:rsid w:val="0019627C"/>
    <w:rsid w:val="001965C2"/>
    <w:rsid w:val="00196D1D"/>
    <w:rsid w:val="00197095"/>
    <w:rsid w:val="001979A9"/>
    <w:rsid w:val="001A0AFE"/>
    <w:rsid w:val="001A0C96"/>
    <w:rsid w:val="001A0F34"/>
    <w:rsid w:val="001A16C9"/>
    <w:rsid w:val="001A195B"/>
    <w:rsid w:val="001A1A70"/>
    <w:rsid w:val="001A1AE9"/>
    <w:rsid w:val="001A2E11"/>
    <w:rsid w:val="001A337A"/>
    <w:rsid w:val="001A3FA8"/>
    <w:rsid w:val="001A460F"/>
    <w:rsid w:val="001A484C"/>
    <w:rsid w:val="001A4E75"/>
    <w:rsid w:val="001A4FFD"/>
    <w:rsid w:val="001A5348"/>
    <w:rsid w:val="001A5840"/>
    <w:rsid w:val="001A648E"/>
    <w:rsid w:val="001A6941"/>
    <w:rsid w:val="001A6C8A"/>
    <w:rsid w:val="001A7498"/>
    <w:rsid w:val="001A78C8"/>
    <w:rsid w:val="001A7A2A"/>
    <w:rsid w:val="001B041D"/>
    <w:rsid w:val="001B1123"/>
    <w:rsid w:val="001B127A"/>
    <w:rsid w:val="001B231A"/>
    <w:rsid w:val="001B27D2"/>
    <w:rsid w:val="001B2934"/>
    <w:rsid w:val="001B2BCB"/>
    <w:rsid w:val="001B3456"/>
    <w:rsid w:val="001B3A4D"/>
    <w:rsid w:val="001B5410"/>
    <w:rsid w:val="001B5554"/>
    <w:rsid w:val="001B59B6"/>
    <w:rsid w:val="001B5ED8"/>
    <w:rsid w:val="001B65D4"/>
    <w:rsid w:val="001B6737"/>
    <w:rsid w:val="001B7083"/>
    <w:rsid w:val="001B73A8"/>
    <w:rsid w:val="001C0897"/>
    <w:rsid w:val="001C1358"/>
    <w:rsid w:val="001C1613"/>
    <w:rsid w:val="001C163F"/>
    <w:rsid w:val="001C25BA"/>
    <w:rsid w:val="001C28F1"/>
    <w:rsid w:val="001C2949"/>
    <w:rsid w:val="001C2A7E"/>
    <w:rsid w:val="001C3380"/>
    <w:rsid w:val="001C3540"/>
    <w:rsid w:val="001C3EB4"/>
    <w:rsid w:val="001C40EA"/>
    <w:rsid w:val="001C4615"/>
    <w:rsid w:val="001C48A6"/>
    <w:rsid w:val="001C4BA5"/>
    <w:rsid w:val="001C52D6"/>
    <w:rsid w:val="001C55DD"/>
    <w:rsid w:val="001C5787"/>
    <w:rsid w:val="001C5B57"/>
    <w:rsid w:val="001C5D45"/>
    <w:rsid w:val="001C7309"/>
    <w:rsid w:val="001C7439"/>
    <w:rsid w:val="001C75BD"/>
    <w:rsid w:val="001C7F66"/>
    <w:rsid w:val="001D0323"/>
    <w:rsid w:val="001D0D39"/>
    <w:rsid w:val="001D14DA"/>
    <w:rsid w:val="001D1983"/>
    <w:rsid w:val="001D1F41"/>
    <w:rsid w:val="001D2685"/>
    <w:rsid w:val="001D2945"/>
    <w:rsid w:val="001D3AB3"/>
    <w:rsid w:val="001D3BBB"/>
    <w:rsid w:val="001D4292"/>
    <w:rsid w:val="001D441A"/>
    <w:rsid w:val="001D469D"/>
    <w:rsid w:val="001D4C79"/>
    <w:rsid w:val="001D50BA"/>
    <w:rsid w:val="001D5229"/>
    <w:rsid w:val="001D538D"/>
    <w:rsid w:val="001D58B4"/>
    <w:rsid w:val="001D5A85"/>
    <w:rsid w:val="001D5AEB"/>
    <w:rsid w:val="001D6362"/>
    <w:rsid w:val="001D655D"/>
    <w:rsid w:val="001D66BB"/>
    <w:rsid w:val="001D67C9"/>
    <w:rsid w:val="001D6DA1"/>
    <w:rsid w:val="001D6ED1"/>
    <w:rsid w:val="001D7F66"/>
    <w:rsid w:val="001E02FB"/>
    <w:rsid w:val="001E15F1"/>
    <w:rsid w:val="001E1976"/>
    <w:rsid w:val="001E1EA9"/>
    <w:rsid w:val="001E1EF1"/>
    <w:rsid w:val="001E2035"/>
    <w:rsid w:val="001E238E"/>
    <w:rsid w:val="001E2924"/>
    <w:rsid w:val="001E35A9"/>
    <w:rsid w:val="001E3841"/>
    <w:rsid w:val="001E3F46"/>
    <w:rsid w:val="001E4560"/>
    <w:rsid w:val="001E4621"/>
    <w:rsid w:val="001E5127"/>
    <w:rsid w:val="001E53A1"/>
    <w:rsid w:val="001E583F"/>
    <w:rsid w:val="001E5C4C"/>
    <w:rsid w:val="001E5D5B"/>
    <w:rsid w:val="001E62AF"/>
    <w:rsid w:val="001E673B"/>
    <w:rsid w:val="001E7438"/>
    <w:rsid w:val="001F0E13"/>
    <w:rsid w:val="001F0F34"/>
    <w:rsid w:val="001F1179"/>
    <w:rsid w:val="001F1622"/>
    <w:rsid w:val="001F170E"/>
    <w:rsid w:val="001F1C75"/>
    <w:rsid w:val="001F287F"/>
    <w:rsid w:val="001F2E0B"/>
    <w:rsid w:val="001F325B"/>
    <w:rsid w:val="001F3477"/>
    <w:rsid w:val="001F3BB3"/>
    <w:rsid w:val="001F3D25"/>
    <w:rsid w:val="001F3F40"/>
    <w:rsid w:val="001F415A"/>
    <w:rsid w:val="001F4E0F"/>
    <w:rsid w:val="001F4EC3"/>
    <w:rsid w:val="001F4F98"/>
    <w:rsid w:val="001F516F"/>
    <w:rsid w:val="001F6741"/>
    <w:rsid w:val="001F6961"/>
    <w:rsid w:val="001F7394"/>
    <w:rsid w:val="0020001B"/>
    <w:rsid w:val="002008B2"/>
    <w:rsid w:val="00200B8E"/>
    <w:rsid w:val="00200C63"/>
    <w:rsid w:val="00200E0B"/>
    <w:rsid w:val="00200F3C"/>
    <w:rsid w:val="0020140E"/>
    <w:rsid w:val="00201838"/>
    <w:rsid w:val="00201E94"/>
    <w:rsid w:val="00203484"/>
    <w:rsid w:val="0020412C"/>
    <w:rsid w:val="002045AD"/>
    <w:rsid w:val="00204781"/>
    <w:rsid w:val="0020501C"/>
    <w:rsid w:val="00205184"/>
    <w:rsid w:val="00205B54"/>
    <w:rsid w:val="002060CF"/>
    <w:rsid w:val="00206490"/>
    <w:rsid w:val="00206514"/>
    <w:rsid w:val="00206CC2"/>
    <w:rsid w:val="00206E5B"/>
    <w:rsid w:val="002079C9"/>
    <w:rsid w:val="00207BDB"/>
    <w:rsid w:val="00211B40"/>
    <w:rsid w:val="00211B51"/>
    <w:rsid w:val="002125F6"/>
    <w:rsid w:val="002127BD"/>
    <w:rsid w:val="00212B52"/>
    <w:rsid w:val="00212FF5"/>
    <w:rsid w:val="00214592"/>
    <w:rsid w:val="00215BE5"/>
    <w:rsid w:val="00215D9D"/>
    <w:rsid w:val="002161E7"/>
    <w:rsid w:val="002165A4"/>
    <w:rsid w:val="00216A7E"/>
    <w:rsid w:val="0021758C"/>
    <w:rsid w:val="00217B0C"/>
    <w:rsid w:val="00220248"/>
    <w:rsid w:val="0022105F"/>
    <w:rsid w:val="002212F4"/>
    <w:rsid w:val="002213E7"/>
    <w:rsid w:val="0022237B"/>
    <w:rsid w:val="00222A59"/>
    <w:rsid w:val="00222F2B"/>
    <w:rsid w:val="002239D0"/>
    <w:rsid w:val="00223CFD"/>
    <w:rsid w:val="002241C5"/>
    <w:rsid w:val="002241CD"/>
    <w:rsid w:val="00224CF8"/>
    <w:rsid w:val="00225444"/>
    <w:rsid w:val="0022550C"/>
    <w:rsid w:val="00225776"/>
    <w:rsid w:val="00225F34"/>
    <w:rsid w:val="0022668D"/>
    <w:rsid w:val="00226BF8"/>
    <w:rsid w:val="00227D78"/>
    <w:rsid w:val="00230050"/>
    <w:rsid w:val="00230A2B"/>
    <w:rsid w:val="00230A44"/>
    <w:rsid w:val="00232436"/>
    <w:rsid w:val="0023283A"/>
    <w:rsid w:val="002328C1"/>
    <w:rsid w:val="0023318D"/>
    <w:rsid w:val="00233A51"/>
    <w:rsid w:val="0023527E"/>
    <w:rsid w:val="002363E3"/>
    <w:rsid w:val="00236839"/>
    <w:rsid w:val="0023727A"/>
    <w:rsid w:val="00237878"/>
    <w:rsid w:val="00237BFD"/>
    <w:rsid w:val="00240181"/>
    <w:rsid w:val="002401D2"/>
    <w:rsid w:val="00240F03"/>
    <w:rsid w:val="002412E6"/>
    <w:rsid w:val="0024154F"/>
    <w:rsid w:val="00241D2C"/>
    <w:rsid w:val="00242D3D"/>
    <w:rsid w:val="00242F6E"/>
    <w:rsid w:val="00244E01"/>
    <w:rsid w:val="00244F24"/>
    <w:rsid w:val="002450FC"/>
    <w:rsid w:val="002451D0"/>
    <w:rsid w:val="00245202"/>
    <w:rsid w:val="0024599E"/>
    <w:rsid w:val="00245F8C"/>
    <w:rsid w:val="00246496"/>
    <w:rsid w:val="00246589"/>
    <w:rsid w:val="002472E5"/>
    <w:rsid w:val="00247A14"/>
    <w:rsid w:val="00250882"/>
    <w:rsid w:val="002508D7"/>
    <w:rsid w:val="00250A04"/>
    <w:rsid w:val="00250A19"/>
    <w:rsid w:val="0025132E"/>
    <w:rsid w:val="00251C68"/>
    <w:rsid w:val="0025268E"/>
    <w:rsid w:val="002526B1"/>
    <w:rsid w:val="00252A86"/>
    <w:rsid w:val="00252EA1"/>
    <w:rsid w:val="00253111"/>
    <w:rsid w:val="00253520"/>
    <w:rsid w:val="00253C46"/>
    <w:rsid w:val="00254657"/>
    <w:rsid w:val="002555E7"/>
    <w:rsid w:val="00256138"/>
    <w:rsid w:val="00256C13"/>
    <w:rsid w:val="00257104"/>
    <w:rsid w:val="00257739"/>
    <w:rsid w:val="0025791D"/>
    <w:rsid w:val="00257E5D"/>
    <w:rsid w:val="00257E85"/>
    <w:rsid w:val="00260276"/>
    <w:rsid w:val="0026068F"/>
    <w:rsid w:val="002610A2"/>
    <w:rsid w:val="002614AC"/>
    <w:rsid w:val="002616DE"/>
    <w:rsid w:val="0026179E"/>
    <w:rsid w:val="00261932"/>
    <w:rsid w:val="00261C66"/>
    <w:rsid w:val="002620B7"/>
    <w:rsid w:val="00262809"/>
    <w:rsid w:val="00263156"/>
    <w:rsid w:val="0026408E"/>
    <w:rsid w:val="002642DF"/>
    <w:rsid w:val="00264511"/>
    <w:rsid w:val="002648BF"/>
    <w:rsid w:val="00265772"/>
    <w:rsid w:val="002658C9"/>
    <w:rsid w:val="00265E9A"/>
    <w:rsid w:val="00266083"/>
    <w:rsid w:val="00266187"/>
    <w:rsid w:val="00266242"/>
    <w:rsid w:val="002666A0"/>
    <w:rsid w:val="00266947"/>
    <w:rsid w:val="002704D9"/>
    <w:rsid w:val="0027055D"/>
    <w:rsid w:val="00270957"/>
    <w:rsid w:val="002718C1"/>
    <w:rsid w:val="00271A0A"/>
    <w:rsid w:val="002736F8"/>
    <w:rsid w:val="00273930"/>
    <w:rsid w:val="002747BB"/>
    <w:rsid w:val="00274A64"/>
    <w:rsid w:val="00274DDE"/>
    <w:rsid w:val="0027506F"/>
    <w:rsid w:val="00275082"/>
    <w:rsid w:val="0027530E"/>
    <w:rsid w:val="00275487"/>
    <w:rsid w:val="00275FFC"/>
    <w:rsid w:val="002761AC"/>
    <w:rsid w:val="0027670E"/>
    <w:rsid w:val="00276C1B"/>
    <w:rsid w:val="00277E92"/>
    <w:rsid w:val="002801D4"/>
    <w:rsid w:val="00280FC3"/>
    <w:rsid w:val="00281240"/>
    <w:rsid w:val="0028142D"/>
    <w:rsid w:val="00281578"/>
    <w:rsid w:val="00281839"/>
    <w:rsid w:val="00282406"/>
    <w:rsid w:val="00282A34"/>
    <w:rsid w:val="00283D9C"/>
    <w:rsid w:val="002842E3"/>
    <w:rsid w:val="0028475B"/>
    <w:rsid w:val="00284CA9"/>
    <w:rsid w:val="00285919"/>
    <w:rsid w:val="00285AFE"/>
    <w:rsid w:val="00285C61"/>
    <w:rsid w:val="00286DA9"/>
    <w:rsid w:val="00287048"/>
    <w:rsid w:val="00290207"/>
    <w:rsid w:val="00290378"/>
    <w:rsid w:val="0029041B"/>
    <w:rsid w:val="0029047B"/>
    <w:rsid w:val="00290A75"/>
    <w:rsid w:val="00290D5F"/>
    <w:rsid w:val="002921F2"/>
    <w:rsid w:val="00292C06"/>
    <w:rsid w:val="00294302"/>
    <w:rsid w:val="00294E5A"/>
    <w:rsid w:val="0029507C"/>
    <w:rsid w:val="00296052"/>
    <w:rsid w:val="00296377"/>
    <w:rsid w:val="0029651E"/>
    <w:rsid w:val="00296FE5"/>
    <w:rsid w:val="00297160"/>
    <w:rsid w:val="002A01AC"/>
    <w:rsid w:val="002A03A3"/>
    <w:rsid w:val="002A058B"/>
    <w:rsid w:val="002A0726"/>
    <w:rsid w:val="002A0B57"/>
    <w:rsid w:val="002A0E3E"/>
    <w:rsid w:val="002A1680"/>
    <w:rsid w:val="002A1849"/>
    <w:rsid w:val="002A231E"/>
    <w:rsid w:val="002A3163"/>
    <w:rsid w:val="002A318D"/>
    <w:rsid w:val="002A46BB"/>
    <w:rsid w:val="002A4D6E"/>
    <w:rsid w:val="002A4E68"/>
    <w:rsid w:val="002A4EC7"/>
    <w:rsid w:val="002A595D"/>
    <w:rsid w:val="002A59B6"/>
    <w:rsid w:val="002A5C7A"/>
    <w:rsid w:val="002A6542"/>
    <w:rsid w:val="002A672F"/>
    <w:rsid w:val="002A6799"/>
    <w:rsid w:val="002A70AF"/>
    <w:rsid w:val="002A77BD"/>
    <w:rsid w:val="002A78E4"/>
    <w:rsid w:val="002A79EE"/>
    <w:rsid w:val="002A7C99"/>
    <w:rsid w:val="002B0D34"/>
    <w:rsid w:val="002B0DE6"/>
    <w:rsid w:val="002B0ECE"/>
    <w:rsid w:val="002B0EF6"/>
    <w:rsid w:val="002B2445"/>
    <w:rsid w:val="002B302D"/>
    <w:rsid w:val="002B335D"/>
    <w:rsid w:val="002B3C26"/>
    <w:rsid w:val="002B546F"/>
    <w:rsid w:val="002B56BA"/>
    <w:rsid w:val="002B5B3D"/>
    <w:rsid w:val="002B5E34"/>
    <w:rsid w:val="002B62A3"/>
    <w:rsid w:val="002B6BA3"/>
    <w:rsid w:val="002B7407"/>
    <w:rsid w:val="002B7FA1"/>
    <w:rsid w:val="002C05C4"/>
    <w:rsid w:val="002C09B1"/>
    <w:rsid w:val="002C0A58"/>
    <w:rsid w:val="002C0B30"/>
    <w:rsid w:val="002C0BCA"/>
    <w:rsid w:val="002C0CEB"/>
    <w:rsid w:val="002C1F19"/>
    <w:rsid w:val="002C29F9"/>
    <w:rsid w:val="002C2F98"/>
    <w:rsid w:val="002C340E"/>
    <w:rsid w:val="002C47E4"/>
    <w:rsid w:val="002C4C60"/>
    <w:rsid w:val="002C5761"/>
    <w:rsid w:val="002C5980"/>
    <w:rsid w:val="002C5C1A"/>
    <w:rsid w:val="002C5CF3"/>
    <w:rsid w:val="002C6A49"/>
    <w:rsid w:val="002C70BF"/>
    <w:rsid w:val="002C73A6"/>
    <w:rsid w:val="002C7442"/>
    <w:rsid w:val="002C7504"/>
    <w:rsid w:val="002C7C8D"/>
    <w:rsid w:val="002C7CBE"/>
    <w:rsid w:val="002C7D61"/>
    <w:rsid w:val="002C7FB5"/>
    <w:rsid w:val="002D01EF"/>
    <w:rsid w:val="002D0629"/>
    <w:rsid w:val="002D0DA2"/>
    <w:rsid w:val="002D11C3"/>
    <w:rsid w:val="002D1555"/>
    <w:rsid w:val="002D1B5A"/>
    <w:rsid w:val="002D2B4C"/>
    <w:rsid w:val="002D399E"/>
    <w:rsid w:val="002D3B23"/>
    <w:rsid w:val="002D3C6D"/>
    <w:rsid w:val="002D4A38"/>
    <w:rsid w:val="002D58D4"/>
    <w:rsid w:val="002D5B6F"/>
    <w:rsid w:val="002D7425"/>
    <w:rsid w:val="002D76A6"/>
    <w:rsid w:val="002D785F"/>
    <w:rsid w:val="002D79F5"/>
    <w:rsid w:val="002E0CC9"/>
    <w:rsid w:val="002E0F0E"/>
    <w:rsid w:val="002E1718"/>
    <w:rsid w:val="002E1B27"/>
    <w:rsid w:val="002E1DE2"/>
    <w:rsid w:val="002E34E1"/>
    <w:rsid w:val="002E40EC"/>
    <w:rsid w:val="002E4C46"/>
    <w:rsid w:val="002E51D3"/>
    <w:rsid w:val="002E65D5"/>
    <w:rsid w:val="002E68F4"/>
    <w:rsid w:val="002E7122"/>
    <w:rsid w:val="002E7247"/>
    <w:rsid w:val="002E7500"/>
    <w:rsid w:val="002F07F9"/>
    <w:rsid w:val="002F15AE"/>
    <w:rsid w:val="002F18D5"/>
    <w:rsid w:val="002F1CD2"/>
    <w:rsid w:val="002F1CEA"/>
    <w:rsid w:val="002F2186"/>
    <w:rsid w:val="002F22C7"/>
    <w:rsid w:val="002F2E7A"/>
    <w:rsid w:val="002F3A6B"/>
    <w:rsid w:val="002F49ED"/>
    <w:rsid w:val="002F4C4B"/>
    <w:rsid w:val="002F4D0C"/>
    <w:rsid w:val="002F4EE7"/>
    <w:rsid w:val="002F4F4D"/>
    <w:rsid w:val="002F5141"/>
    <w:rsid w:val="002F53E4"/>
    <w:rsid w:val="002F5957"/>
    <w:rsid w:val="002F5F08"/>
    <w:rsid w:val="002F624B"/>
    <w:rsid w:val="002F68DA"/>
    <w:rsid w:val="002F6B0A"/>
    <w:rsid w:val="002F6B3D"/>
    <w:rsid w:val="002F73B1"/>
    <w:rsid w:val="002F7486"/>
    <w:rsid w:val="002F7F51"/>
    <w:rsid w:val="0030008C"/>
    <w:rsid w:val="003003CB"/>
    <w:rsid w:val="0030056C"/>
    <w:rsid w:val="0030093D"/>
    <w:rsid w:val="00301224"/>
    <w:rsid w:val="00301353"/>
    <w:rsid w:val="00301409"/>
    <w:rsid w:val="00301509"/>
    <w:rsid w:val="00301571"/>
    <w:rsid w:val="00301C09"/>
    <w:rsid w:val="00301FBE"/>
    <w:rsid w:val="00302A00"/>
    <w:rsid w:val="00302AE9"/>
    <w:rsid w:val="00302D2E"/>
    <w:rsid w:val="003031D5"/>
    <w:rsid w:val="003032C9"/>
    <w:rsid w:val="00303B81"/>
    <w:rsid w:val="003040E3"/>
    <w:rsid w:val="003042AD"/>
    <w:rsid w:val="003054A8"/>
    <w:rsid w:val="00305FF8"/>
    <w:rsid w:val="00306119"/>
    <w:rsid w:val="00306183"/>
    <w:rsid w:val="003063D5"/>
    <w:rsid w:val="003065C5"/>
    <w:rsid w:val="003068AA"/>
    <w:rsid w:val="003068F1"/>
    <w:rsid w:val="00307722"/>
    <w:rsid w:val="003103BB"/>
    <w:rsid w:val="003106AF"/>
    <w:rsid w:val="00311710"/>
    <w:rsid w:val="00311999"/>
    <w:rsid w:val="003127B1"/>
    <w:rsid w:val="00312BE8"/>
    <w:rsid w:val="003130DA"/>
    <w:rsid w:val="00313714"/>
    <w:rsid w:val="00313CEC"/>
    <w:rsid w:val="00314036"/>
    <w:rsid w:val="00314069"/>
    <w:rsid w:val="00314C50"/>
    <w:rsid w:val="0031590A"/>
    <w:rsid w:val="00315DC4"/>
    <w:rsid w:val="00315E98"/>
    <w:rsid w:val="003160C7"/>
    <w:rsid w:val="00316961"/>
    <w:rsid w:val="00316BDB"/>
    <w:rsid w:val="00316F79"/>
    <w:rsid w:val="003177AC"/>
    <w:rsid w:val="00317ACD"/>
    <w:rsid w:val="00317F8B"/>
    <w:rsid w:val="00320229"/>
    <w:rsid w:val="0032066D"/>
    <w:rsid w:val="00320AE6"/>
    <w:rsid w:val="003211E3"/>
    <w:rsid w:val="00321D7B"/>
    <w:rsid w:val="00322214"/>
    <w:rsid w:val="00322275"/>
    <w:rsid w:val="003222CD"/>
    <w:rsid w:val="003224B1"/>
    <w:rsid w:val="00322703"/>
    <w:rsid w:val="0032296A"/>
    <w:rsid w:val="0032332D"/>
    <w:rsid w:val="00324071"/>
    <w:rsid w:val="003240B6"/>
    <w:rsid w:val="00324C65"/>
    <w:rsid w:val="00324F50"/>
    <w:rsid w:val="00325224"/>
    <w:rsid w:val="00325955"/>
    <w:rsid w:val="00325D6F"/>
    <w:rsid w:val="00327013"/>
    <w:rsid w:val="00327211"/>
    <w:rsid w:val="003272A3"/>
    <w:rsid w:val="003274B5"/>
    <w:rsid w:val="00327713"/>
    <w:rsid w:val="00327AF9"/>
    <w:rsid w:val="00330082"/>
    <w:rsid w:val="003301F2"/>
    <w:rsid w:val="0033070C"/>
    <w:rsid w:val="003308AC"/>
    <w:rsid w:val="00330950"/>
    <w:rsid w:val="0033103F"/>
    <w:rsid w:val="0033197C"/>
    <w:rsid w:val="00331A4B"/>
    <w:rsid w:val="00331E8C"/>
    <w:rsid w:val="00332480"/>
    <w:rsid w:val="00332BD9"/>
    <w:rsid w:val="00333E34"/>
    <w:rsid w:val="003343DC"/>
    <w:rsid w:val="00334F90"/>
    <w:rsid w:val="00335936"/>
    <w:rsid w:val="00335A34"/>
    <w:rsid w:val="00335B31"/>
    <w:rsid w:val="00335DA5"/>
    <w:rsid w:val="003367E1"/>
    <w:rsid w:val="0033699A"/>
    <w:rsid w:val="00336EF3"/>
    <w:rsid w:val="003370B2"/>
    <w:rsid w:val="0033760A"/>
    <w:rsid w:val="00337BC0"/>
    <w:rsid w:val="00337C00"/>
    <w:rsid w:val="00340551"/>
    <w:rsid w:val="003409E5"/>
    <w:rsid w:val="00340C59"/>
    <w:rsid w:val="0034156B"/>
    <w:rsid w:val="0034180A"/>
    <w:rsid w:val="00341C66"/>
    <w:rsid w:val="0034208A"/>
    <w:rsid w:val="003420DE"/>
    <w:rsid w:val="003420FC"/>
    <w:rsid w:val="0034297F"/>
    <w:rsid w:val="0034370C"/>
    <w:rsid w:val="00344086"/>
    <w:rsid w:val="00345C45"/>
    <w:rsid w:val="00345EC9"/>
    <w:rsid w:val="00346435"/>
    <w:rsid w:val="00346446"/>
    <w:rsid w:val="00346AAF"/>
    <w:rsid w:val="00347119"/>
    <w:rsid w:val="003475BD"/>
    <w:rsid w:val="00347845"/>
    <w:rsid w:val="003479F5"/>
    <w:rsid w:val="00347E09"/>
    <w:rsid w:val="0035000D"/>
    <w:rsid w:val="00350445"/>
    <w:rsid w:val="00351ECA"/>
    <w:rsid w:val="00352368"/>
    <w:rsid w:val="003525C5"/>
    <w:rsid w:val="00352E0A"/>
    <w:rsid w:val="003531B9"/>
    <w:rsid w:val="00353D26"/>
    <w:rsid w:val="00354085"/>
    <w:rsid w:val="00354EC6"/>
    <w:rsid w:val="0035533B"/>
    <w:rsid w:val="00355D5B"/>
    <w:rsid w:val="00356221"/>
    <w:rsid w:val="003565DD"/>
    <w:rsid w:val="00356C61"/>
    <w:rsid w:val="00356D04"/>
    <w:rsid w:val="00357BCC"/>
    <w:rsid w:val="003603D1"/>
    <w:rsid w:val="00360D8A"/>
    <w:rsid w:val="00361313"/>
    <w:rsid w:val="00361817"/>
    <w:rsid w:val="0036331E"/>
    <w:rsid w:val="003641FC"/>
    <w:rsid w:val="00364339"/>
    <w:rsid w:val="00364B2B"/>
    <w:rsid w:val="00364F5B"/>
    <w:rsid w:val="0036512D"/>
    <w:rsid w:val="00365732"/>
    <w:rsid w:val="0036684B"/>
    <w:rsid w:val="00367645"/>
    <w:rsid w:val="00367809"/>
    <w:rsid w:val="00367836"/>
    <w:rsid w:val="00367EA8"/>
    <w:rsid w:val="003702D9"/>
    <w:rsid w:val="003724C1"/>
    <w:rsid w:val="0037290D"/>
    <w:rsid w:val="0037293A"/>
    <w:rsid w:val="00372987"/>
    <w:rsid w:val="003731E3"/>
    <w:rsid w:val="00373204"/>
    <w:rsid w:val="00373559"/>
    <w:rsid w:val="0037372D"/>
    <w:rsid w:val="00373D9C"/>
    <w:rsid w:val="003742FE"/>
    <w:rsid w:val="00374696"/>
    <w:rsid w:val="00374742"/>
    <w:rsid w:val="00374785"/>
    <w:rsid w:val="00374C6B"/>
    <w:rsid w:val="00374EC6"/>
    <w:rsid w:val="0037504E"/>
    <w:rsid w:val="00375618"/>
    <w:rsid w:val="0037592D"/>
    <w:rsid w:val="00375E42"/>
    <w:rsid w:val="00375F0E"/>
    <w:rsid w:val="003760B4"/>
    <w:rsid w:val="0037614E"/>
    <w:rsid w:val="003765EB"/>
    <w:rsid w:val="003769BE"/>
    <w:rsid w:val="00376BE6"/>
    <w:rsid w:val="00376E85"/>
    <w:rsid w:val="00376FF8"/>
    <w:rsid w:val="003774F7"/>
    <w:rsid w:val="00377658"/>
    <w:rsid w:val="0038034F"/>
    <w:rsid w:val="003809EE"/>
    <w:rsid w:val="00380FFF"/>
    <w:rsid w:val="00381B37"/>
    <w:rsid w:val="00382F84"/>
    <w:rsid w:val="00383673"/>
    <w:rsid w:val="00383E06"/>
    <w:rsid w:val="00384003"/>
    <w:rsid w:val="0038435F"/>
    <w:rsid w:val="003845A0"/>
    <w:rsid w:val="00384B6A"/>
    <w:rsid w:val="00384F10"/>
    <w:rsid w:val="00385DAA"/>
    <w:rsid w:val="00386438"/>
    <w:rsid w:val="00386931"/>
    <w:rsid w:val="00387DB6"/>
    <w:rsid w:val="003900F3"/>
    <w:rsid w:val="003905A6"/>
    <w:rsid w:val="003908AF"/>
    <w:rsid w:val="00390DC3"/>
    <w:rsid w:val="003913EE"/>
    <w:rsid w:val="00391494"/>
    <w:rsid w:val="003916FC"/>
    <w:rsid w:val="003931F8"/>
    <w:rsid w:val="0039366C"/>
    <w:rsid w:val="00393AC4"/>
    <w:rsid w:val="00393C3F"/>
    <w:rsid w:val="00393DF1"/>
    <w:rsid w:val="00393E60"/>
    <w:rsid w:val="003940C2"/>
    <w:rsid w:val="003943F8"/>
    <w:rsid w:val="003946F4"/>
    <w:rsid w:val="00394A30"/>
    <w:rsid w:val="00394A3E"/>
    <w:rsid w:val="00394D99"/>
    <w:rsid w:val="0039534C"/>
    <w:rsid w:val="003953B2"/>
    <w:rsid w:val="003954DE"/>
    <w:rsid w:val="003956F3"/>
    <w:rsid w:val="0039574C"/>
    <w:rsid w:val="00396450"/>
    <w:rsid w:val="0039697B"/>
    <w:rsid w:val="00396DAB"/>
    <w:rsid w:val="00397DF3"/>
    <w:rsid w:val="00397F0F"/>
    <w:rsid w:val="00397F24"/>
    <w:rsid w:val="003A01A1"/>
    <w:rsid w:val="003A045C"/>
    <w:rsid w:val="003A0FBC"/>
    <w:rsid w:val="003A20B0"/>
    <w:rsid w:val="003A3203"/>
    <w:rsid w:val="003A3565"/>
    <w:rsid w:val="003A3609"/>
    <w:rsid w:val="003A368B"/>
    <w:rsid w:val="003A3B4A"/>
    <w:rsid w:val="003A3DE1"/>
    <w:rsid w:val="003A3E1D"/>
    <w:rsid w:val="003A4A10"/>
    <w:rsid w:val="003A4AA2"/>
    <w:rsid w:val="003A6BCE"/>
    <w:rsid w:val="003A7163"/>
    <w:rsid w:val="003A7203"/>
    <w:rsid w:val="003A7B6F"/>
    <w:rsid w:val="003B2077"/>
    <w:rsid w:val="003B2423"/>
    <w:rsid w:val="003B26EC"/>
    <w:rsid w:val="003B4319"/>
    <w:rsid w:val="003B58CA"/>
    <w:rsid w:val="003B60A8"/>
    <w:rsid w:val="003B625F"/>
    <w:rsid w:val="003B63A1"/>
    <w:rsid w:val="003B63AD"/>
    <w:rsid w:val="003B69A8"/>
    <w:rsid w:val="003B7299"/>
    <w:rsid w:val="003B72BF"/>
    <w:rsid w:val="003C0F10"/>
    <w:rsid w:val="003C18C9"/>
    <w:rsid w:val="003C19BF"/>
    <w:rsid w:val="003C1A57"/>
    <w:rsid w:val="003C23B3"/>
    <w:rsid w:val="003C2436"/>
    <w:rsid w:val="003C2CFB"/>
    <w:rsid w:val="003C2EEC"/>
    <w:rsid w:val="003C313C"/>
    <w:rsid w:val="003C3AF3"/>
    <w:rsid w:val="003C3B81"/>
    <w:rsid w:val="003C3DA8"/>
    <w:rsid w:val="003C3EF2"/>
    <w:rsid w:val="003C419D"/>
    <w:rsid w:val="003C43B7"/>
    <w:rsid w:val="003C4510"/>
    <w:rsid w:val="003C4B53"/>
    <w:rsid w:val="003C53FB"/>
    <w:rsid w:val="003C5696"/>
    <w:rsid w:val="003C5BE9"/>
    <w:rsid w:val="003C5E04"/>
    <w:rsid w:val="003C6DF7"/>
    <w:rsid w:val="003C6FCF"/>
    <w:rsid w:val="003C71AE"/>
    <w:rsid w:val="003D08DD"/>
    <w:rsid w:val="003D0E16"/>
    <w:rsid w:val="003D1AD2"/>
    <w:rsid w:val="003D1CB1"/>
    <w:rsid w:val="003D24BF"/>
    <w:rsid w:val="003D2545"/>
    <w:rsid w:val="003D2BD9"/>
    <w:rsid w:val="003D2C13"/>
    <w:rsid w:val="003D2FA0"/>
    <w:rsid w:val="003D3069"/>
    <w:rsid w:val="003D4B1A"/>
    <w:rsid w:val="003D4BE3"/>
    <w:rsid w:val="003D5B75"/>
    <w:rsid w:val="003D61D4"/>
    <w:rsid w:val="003D620A"/>
    <w:rsid w:val="003D62DD"/>
    <w:rsid w:val="003D630C"/>
    <w:rsid w:val="003D6622"/>
    <w:rsid w:val="003D6849"/>
    <w:rsid w:val="003D6AD4"/>
    <w:rsid w:val="003D6CFC"/>
    <w:rsid w:val="003D7C12"/>
    <w:rsid w:val="003D7D72"/>
    <w:rsid w:val="003E03A1"/>
    <w:rsid w:val="003E0B1D"/>
    <w:rsid w:val="003E10C4"/>
    <w:rsid w:val="003E11C1"/>
    <w:rsid w:val="003E1C8B"/>
    <w:rsid w:val="003E2309"/>
    <w:rsid w:val="003E31EB"/>
    <w:rsid w:val="003E3A12"/>
    <w:rsid w:val="003E53AD"/>
    <w:rsid w:val="003E5B26"/>
    <w:rsid w:val="003E5D61"/>
    <w:rsid w:val="003E6403"/>
    <w:rsid w:val="003E68D7"/>
    <w:rsid w:val="003E68F8"/>
    <w:rsid w:val="003E6A7A"/>
    <w:rsid w:val="003E7C65"/>
    <w:rsid w:val="003E7E2C"/>
    <w:rsid w:val="003F0136"/>
    <w:rsid w:val="003F04FD"/>
    <w:rsid w:val="003F05A6"/>
    <w:rsid w:val="003F0774"/>
    <w:rsid w:val="003F0B79"/>
    <w:rsid w:val="003F0EB5"/>
    <w:rsid w:val="003F0F9F"/>
    <w:rsid w:val="003F149D"/>
    <w:rsid w:val="003F14F1"/>
    <w:rsid w:val="003F1D3D"/>
    <w:rsid w:val="003F1D84"/>
    <w:rsid w:val="003F3064"/>
    <w:rsid w:val="003F3687"/>
    <w:rsid w:val="003F38CB"/>
    <w:rsid w:val="003F3CAB"/>
    <w:rsid w:val="003F4053"/>
    <w:rsid w:val="003F413E"/>
    <w:rsid w:val="003F45DD"/>
    <w:rsid w:val="003F526B"/>
    <w:rsid w:val="003F530C"/>
    <w:rsid w:val="003F57F4"/>
    <w:rsid w:val="003F5813"/>
    <w:rsid w:val="003F5F5F"/>
    <w:rsid w:val="003F64A1"/>
    <w:rsid w:val="003F6D62"/>
    <w:rsid w:val="003F750F"/>
    <w:rsid w:val="003F7939"/>
    <w:rsid w:val="004009FA"/>
    <w:rsid w:val="00401205"/>
    <w:rsid w:val="00401224"/>
    <w:rsid w:val="00401C2C"/>
    <w:rsid w:val="00401DC0"/>
    <w:rsid w:val="004022B8"/>
    <w:rsid w:val="004029BA"/>
    <w:rsid w:val="00404917"/>
    <w:rsid w:val="00405581"/>
    <w:rsid w:val="0040598F"/>
    <w:rsid w:val="0040604D"/>
    <w:rsid w:val="004069E3"/>
    <w:rsid w:val="00406DC9"/>
    <w:rsid w:val="00406EC5"/>
    <w:rsid w:val="00407413"/>
    <w:rsid w:val="004074B1"/>
    <w:rsid w:val="00407FFA"/>
    <w:rsid w:val="0041029F"/>
    <w:rsid w:val="004104EE"/>
    <w:rsid w:val="00410CC6"/>
    <w:rsid w:val="00410F8E"/>
    <w:rsid w:val="004114B1"/>
    <w:rsid w:val="00411808"/>
    <w:rsid w:val="004118BF"/>
    <w:rsid w:val="00411DA1"/>
    <w:rsid w:val="004123F9"/>
    <w:rsid w:val="00412540"/>
    <w:rsid w:val="004126CF"/>
    <w:rsid w:val="0041274E"/>
    <w:rsid w:val="00412A4A"/>
    <w:rsid w:val="00413578"/>
    <w:rsid w:val="00414273"/>
    <w:rsid w:val="004148E5"/>
    <w:rsid w:val="004153B9"/>
    <w:rsid w:val="0041567E"/>
    <w:rsid w:val="0041574F"/>
    <w:rsid w:val="00415990"/>
    <w:rsid w:val="00415CF5"/>
    <w:rsid w:val="00416257"/>
    <w:rsid w:val="004164EB"/>
    <w:rsid w:val="004166B2"/>
    <w:rsid w:val="00416838"/>
    <w:rsid w:val="00417005"/>
    <w:rsid w:val="0041711C"/>
    <w:rsid w:val="004179F7"/>
    <w:rsid w:val="00420454"/>
    <w:rsid w:val="00420742"/>
    <w:rsid w:val="0042078A"/>
    <w:rsid w:val="00420EB5"/>
    <w:rsid w:val="00421339"/>
    <w:rsid w:val="00421543"/>
    <w:rsid w:val="0042177E"/>
    <w:rsid w:val="004220A2"/>
    <w:rsid w:val="00423992"/>
    <w:rsid w:val="00423CF8"/>
    <w:rsid w:val="00424259"/>
    <w:rsid w:val="004246B7"/>
    <w:rsid w:val="0042549B"/>
    <w:rsid w:val="004257D2"/>
    <w:rsid w:val="00426752"/>
    <w:rsid w:val="004268A1"/>
    <w:rsid w:val="00426F02"/>
    <w:rsid w:val="00427322"/>
    <w:rsid w:val="004276B6"/>
    <w:rsid w:val="0042790B"/>
    <w:rsid w:val="00427971"/>
    <w:rsid w:val="00427CDF"/>
    <w:rsid w:val="0043106F"/>
    <w:rsid w:val="004310D9"/>
    <w:rsid w:val="00431E97"/>
    <w:rsid w:val="00432A5C"/>
    <w:rsid w:val="00433BE8"/>
    <w:rsid w:val="004344E4"/>
    <w:rsid w:val="00435C1C"/>
    <w:rsid w:val="0043667E"/>
    <w:rsid w:val="00436958"/>
    <w:rsid w:val="004369AD"/>
    <w:rsid w:val="00436F67"/>
    <w:rsid w:val="00440383"/>
    <w:rsid w:val="004408D3"/>
    <w:rsid w:val="004409FD"/>
    <w:rsid w:val="004410A8"/>
    <w:rsid w:val="004421A4"/>
    <w:rsid w:val="0044233B"/>
    <w:rsid w:val="004424A0"/>
    <w:rsid w:val="00442781"/>
    <w:rsid w:val="00442991"/>
    <w:rsid w:val="004430F8"/>
    <w:rsid w:val="00443C7E"/>
    <w:rsid w:val="00444591"/>
    <w:rsid w:val="00444E30"/>
    <w:rsid w:val="00444F67"/>
    <w:rsid w:val="00445419"/>
    <w:rsid w:val="00445A09"/>
    <w:rsid w:val="00445FB3"/>
    <w:rsid w:val="00446EA3"/>
    <w:rsid w:val="00447541"/>
    <w:rsid w:val="0044795C"/>
    <w:rsid w:val="0045024B"/>
    <w:rsid w:val="004504E8"/>
    <w:rsid w:val="00450BEE"/>
    <w:rsid w:val="00450F77"/>
    <w:rsid w:val="00451AD3"/>
    <w:rsid w:val="00451E9C"/>
    <w:rsid w:val="00453A93"/>
    <w:rsid w:val="00454876"/>
    <w:rsid w:val="004549BF"/>
    <w:rsid w:val="00454B9C"/>
    <w:rsid w:val="00454D03"/>
    <w:rsid w:val="00454DE0"/>
    <w:rsid w:val="004553A1"/>
    <w:rsid w:val="004557B8"/>
    <w:rsid w:val="00456429"/>
    <w:rsid w:val="0045693F"/>
    <w:rsid w:val="00456C2C"/>
    <w:rsid w:val="00456D87"/>
    <w:rsid w:val="00456FDF"/>
    <w:rsid w:val="004570A2"/>
    <w:rsid w:val="004573B1"/>
    <w:rsid w:val="0045784C"/>
    <w:rsid w:val="0045787D"/>
    <w:rsid w:val="00457B33"/>
    <w:rsid w:val="00457DE0"/>
    <w:rsid w:val="00460188"/>
    <w:rsid w:val="004606A7"/>
    <w:rsid w:val="004607D6"/>
    <w:rsid w:val="004612F3"/>
    <w:rsid w:val="004627F3"/>
    <w:rsid w:val="00462CD1"/>
    <w:rsid w:val="00462FFC"/>
    <w:rsid w:val="00464628"/>
    <w:rsid w:val="0046586D"/>
    <w:rsid w:val="004658CE"/>
    <w:rsid w:val="004669BC"/>
    <w:rsid w:val="0046722A"/>
    <w:rsid w:val="00467681"/>
    <w:rsid w:val="00467A3D"/>
    <w:rsid w:val="00467FE6"/>
    <w:rsid w:val="004705E7"/>
    <w:rsid w:val="00470706"/>
    <w:rsid w:val="00470C2C"/>
    <w:rsid w:val="00470E23"/>
    <w:rsid w:val="004710FB"/>
    <w:rsid w:val="00471443"/>
    <w:rsid w:val="00471962"/>
    <w:rsid w:val="00471D81"/>
    <w:rsid w:val="00472192"/>
    <w:rsid w:val="00472514"/>
    <w:rsid w:val="00472595"/>
    <w:rsid w:val="00472A82"/>
    <w:rsid w:val="00472AAF"/>
    <w:rsid w:val="00473EAA"/>
    <w:rsid w:val="0047400D"/>
    <w:rsid w:val="004740E6"/>
    <w:rsid w:val="00474136"/>
    <w:rsid w:val="00474526"/>
    <w:rsid w:val="00474949"/>
    <w:rsid w:val="00474BD0"/>
    <w:rsid w:val="004751BA"/>
    <w:rsid w:val="0047585D"/>
    <w:rsid w:val="00475B6E"/>
    <w:rsid w:val="00475B70"/>
    <w:rsid w:val="004762E8"/>
    <w:rsid w:val="004772E0"/>
    <w:rsid w:val="00477349"/>
    <w:rsid w:val="0047740C"/>
    <w:rsid w:val="0047742B"/>
    <w:rsid w:val="00477686"/>
    <w:rsid w:val="004778F0"/>
    <w:rsid w:val="00477B7D"/>
    <w:rsid w:val="00477C3F"/>
    <w:rsid w:val="0048195D"/>
    <w:rsid w:val="004820FF"/>
    <w:rsid w:val="004825BC"/>
    <w:rsid w:val="0048356B"/>
    <w:rsid w:val="004847E1"/>
    <w:rsid w:val="00484D52"/>
    <w:rsid w:val="00484FB8"/>
    <w:rsid w:val="004850F1"/>
    <w:rsid w:val="00485313"/>
    <w:rsid w:val="00485F65"/>
    <w:rsid w:val="00490053"/>
    <w:rsid w:val="00490789"/>
    <w:rsid w:val="00490D41"/>
    <w:rsid w:val="0049115F"/>
    <w:rsid w:val="00491BB1"/>
    <w:rsid w:val="004925B6"/>
    <w:rsid w:val="00492D23"/>
    <w:rsid w:val="00492F4E"/>
    <w:rsid w:val="0049352F"/>
    <w:rsid w:val="00494145"/>
    <w:rsid w:val="004943C3"/>
    <w:rsid w:val="00494727"/>
    <w:rsid w:val="00494BF7"/>
    <w:rsid w:val="0049505A"/>
    <w:rsid w:val="004952DC"/>
    <w:rsid w:val="00495848"/>
    <w:rsid w:val="004974D4"/>
    <w:rsid w:val="00497602"/>
    <w:rsid w:val="0049761A"/>
    <w:rsid w:val="00497904"/>
    <w:rsid w:val="00497A15"/>
    <w:rsid w:val="004A05AE"/>
    <w:rsid w:val="004A0860"/>
    <w:rsid w:val="004A09D1"/>
    <w:rsid w:val="004A1659"/>
    <w:rsid w:val="004A1CA8"/>
    <w:rsid w:val="004A2386"/>
    <w:rsid w:val="004A2C0D"/>
    <w:rsid w:val="004A2D56"/>
    <w:rsid w:val="004A35B1"/>
    <w:rsid w:val="004A3F74"/>
    <w:rsid w:val="004A4143"/>
    <w:rsid w:val="004A45CC"/>
    <w:rsid w:val="004A4CD2"/>
    <w:rsid w:val="004A65ED"/>
    <w:rsid w:val="004A7548"/>
    <w:rsid w:val="004A7F38"/>
    <w:rsid w:val="004B02C4"/>
    <w:rsid w:val="004B170F"/>
    <w:rsid w:val="004B2CF7"/>
    <w:rsid w:val="004B2D40"/>
    <w:rsid w:val="004B3009"/>
    <w:rsid w:val="004B3498"/>
    <w:rsid w:val="004B3E18"/>
    <w:rsid w:val="004B420F"/>
    <w:rsid w:val="004B44D6"/>
    <w:rsid w:val="004B468E"/>
    <w:rsid w:val="004B46D5"/>
    <w:rsid w:val="004B4841"/>
    <w:rsid w:val="004B51BC"/>
    <w:rsid w:val="004B596C"/>
    <w:rsid w:val="004B5C51"/>
    <w:rsid w:val="004B6A32"/>
    <w:rsid w:val="004B7406"/>
    <w:rsid w:val="004B79F0"/>
    <w:rsid w:val="004B7A2B"/>
    <w:rsid w:val="004C005F"/>
    <w:rsid w:val="004C0E6A"/>
    <w:rsid w:val="004C0F25"/>
    <w:rsid w:val="004C1C4A"/>
    <w:rsid w:val="004C2BA5"/>
    <w:rsid w:val="004C3389"/>
    <w:rsid w:val="004C3977"/>
    <w:rsid w:val="004C3C56"/>
    <w:rsid w:val="004C3D0B"/>
    <w:rsid w:val="004C45FA"/>
    <w:rsid w:val="004C464C"/>
    <w:rsid w:val="004C4D4A"/>
    <w:rsid w:val="004C5316"/>
    <w:rsid w:val="004C570A"/>
    <w:rsid w:val="004C5DFA"/>
    <w:rsid w:val="004C5F0B"/>
    <w:rsid w:val="004C648E"/>
    <w:rsid w:val="004C6744"/>
    <w:rsid w:val="004C6D2C"/>
    <w:rsid w:val="004C6F0F"/>
    <w:rsid w:val="004C7195"/>
    <w:rsid w:val="004C7FBB"/>
    <w:rsid w:val="004D11A7"/>
    <w:rsid w:val="004D1D37"/>
    <w:rsid w:val="004D25FD"/>
    <w:rsid w:val="004D2A5C"/>
    <w:rsid w:val="004D3AB8"/>
    <w:rsid w:val="004D3F93"/>
    <w:rsid w:val="004D405E"/>
    <w:rsid w:val="004D5E24"/>
    <w:rsid w:val="004D68A2"/>
    <w:rsid w:val="004D6E55"/>
    <w:rsid w:val="004D72CB"/>
    <w:rsid w:val="004D758D"/>
    <w:rsid w:val="004D7908"/>
    <w:rsid w:val="004E1188"/>
    <w:rsid w:val="004E166E"/>
    <w:rsid w:val="004E1869"/>
    <w:rsid w:val="004E1ADD"/>
    <w:rsid w:val="004E33BA"/>
    <w:rsid w:val="004E36E9"/>
    <w:rsid w:val="004E3D51"/>
    <w:rsid w:val="004E3DDF"/>
    <w:rsid w:val="004E3EF8"/>
    <w:rsid w:val="004E4197"/>
    <w:rsid w:val="004E42FE"/>
    <w:rsid w:val="004E55D5"/>
    <w:rsid w:val="004E57E9"/>
    <w:rsid w:val="004E625F"/>
    <w:rsid w:val="004E6320"/>
    <w:rsid w:val="004E6CAD"/>
    <w:rsid w:val="004E6DC5"/>
    <w:rsid w:val="004E74A8"/>
    <w:rsid w:val="004E75D1"/>
    <w:rsid w:val="004E76C8"/>
    <w:rsid w:val="004E796F"/>
    <w:rsid w:val="004F012F"/>
    <w:rsid w:val="004F06B3"/>
    <w:rsid w:val="004F1185"/>
    <w:rsid w:val="004F1561"/>
    <w:rsid w:val="004F2082"/>
    <w:rsid w:val="004F27A0"/>
    <w:rsid w:val="004F2839"/>
    <w:rsid w:val="004F299B"/>
    <w:rsid w:val="004F2CED"/>
    <w:rsid w:val="004F3975"/>
    <w:rsid w:val="004F3B86"/>
    <w:rsid w:val="004F427E"/>
    <w:rsid w:val="004F49D7"/>
    <w:rsid w:val="004F5196"/>
    <w:rsid w:val="004F5794"/>
    <w:rsid w:val="004F5AEB"/>
    <w:rsid w:val="004F60CB"/>
    <w:rsid w:val="004F71EF"/>
    <w:rsid w:val="004F7449"/>
    <w:rsid w:val="004F7C7B"/>
    <w:rsid w:val="0050047D"/>
    <w:rsid w:val="00500549"/>
    <w:rsid w:val="00500AC4"/>
    <w:rsid w:val="005016ED"/>
    <w:rsid w:val="00501858"/>
    <w:rsid w:val="0050211F"/>
    <w:rsid w:val="005025B3"/>
    <w:rsid w:val="00502CA3"/>
    <w:rsid w:val="00502FE1"/>
    <w:rsid w:val="0050314B"/>
    <w:rsid w:val="00503252"/>
    <w:rsid w:val="00504378"/>
    <w:rsid w:val="00504553"/>
    <w:rsid w:val="0050499A"/>
    <w:rsid w:val="00504FFE"/>
    <w:rsid w:val="0050548C"/>
    <w:rsid w:val="00505E9B"/>
    <w:rsid w:val="00505F86"/>
    <w:rsid w:val="00506DEE"/>
    <w:rsid w:val="00507437"/>
    <w:rsid w:val="00507545"/>
    <w:rsid w:val="00507617"/>
    <w:rsid w:val="00507B8B"/>
    <w:rsid w:val="00507BF9"/>
    <w:rsid w:val="00507E0B"/>
    <w:rsid w:val="0051006C"/>
    <w:rsid w:val="00512B68"/>
    <w:rsid w:val="00512F7B"/>
    <w:rsid w:val="0051386A"/>
    <w:rsid w:val="00513B58"/>
    <w:rsid w:val="005142AE"/>
    <w:rsid w:val="00514339"/>
    <w:rsid w:val="005150B1"/>
    <w:rsid w:val="00515CCA"/>
    <w:rsid w:val="00516A45"/>
    <w:rsid w:val="00516AEE"/>
    <w:rsid w:val="00516E54"/>
    <w:rsid w:val="005171E4"/>
    <w:rsid w:val="00517963"/>
    <w:rsid w:val="00520D63"/>
    <w:rsid w:val="00521314"/>
    <w:rsid w:val="005214F4"/>
    <w:rsid w:val="00521564"/>
    <w:rsid w:val="005218EC"/>
    <w:rsid w:val="00522BC7"/>
    <w:rsid w:val="00523671"/>
    <w:rsid w:val="00523A0F"/>
    <w:rsid w:val="00523AD6"/>
    <w:rsid w:val="00523D69"/>
    <w:rsid w:val="0052438A"/>
    <w:rsid w:val="005243FD"/>
    <w:rsid w:val="00524DCC"/>
    <w:rsid w:val="00525067"/>
    <w:rsid w:val="00525B4E"/>
    <w:rsid w:val="00525C1E"/>
    <w:rsid w:val="005260AE"/>
    <w:rsid w:val="0052625E"/>
    <w:rsid w:val="00526B1E"/>
    <w:rsid w:val="00526BDB"/>
    <w:rsid w:val="0052709D"/>
    <w:rsid w:val="00527299"/>
    <w:rsid w:val="005272CC"/>
    <w:rsid w:val="00527348"/>
    <w:rsid w:val="00527AA7"/>
    <w:rsid w:val="00527E70"/>
    <w:rsid w:val="00530FB4"/>
    <w:rsid w:val="0053115B"/>
    <w:rsid w:val="005316E2"/>
    <w:rsid w:val="00531EBF"/>
    <w:rsid w:val="0053212C"/>
    <w:rsid w:val="005322E7"/>
    <w:rsid w:val="0053336B"/>
    <w:rsid w:val="00534388"/>
    <w:rsid w:val="005345F6"/>
    <w:rsid w:val="00534BC2"/>
    <w:rsid w:val="00534C10"/>
    <w:rsid w:val="00535374"/>
    <w:rsid w:val="005356CD"/>
    <w:rsid w:val="00535772"/>
    <w:rsid w:val="00537163"/>
    <w:rsid w:val="0053732A"/>
    <w:rsid w:val="00537887"/>
    <w:rsid w:val="00537B1E"/>
    <w:rsid w:val="00537B54"/>
    <w:rsid w:val="0054018D"/>
    <w:rsid w:val="00540AF2"/>
    <w:rsid w:val="0054136F"/>
    <w:rsid w:val="005425C5"/>
    <w:rsid w:val="00543BA7"/>
    <w:rsid w:val="00543E1B"/>
    <w:rsid w:val="0054406A"/>
    <w:rsid w:val="00544F8D"/>
    <w:rsid w:val="00545012"/>
    <w:rsid w:val="005453E4"/>
    <w:rsid w:val="00545C06"/>
    <w:rsid w:val="0054700C"/>
    <w:rsid w:val="0054702B"/>
    <w:rsid w:val="00547A16"/>
    <w:rsid w:val="00547CF6"/>
    <w:rsid w:val="00547FE3"/>
    <w:rsid w:val="005501D4"/>
    <w:rsid w:val="005503F7"/>
    <w:rsid w:val="00550572"/>
    <w:rsid w:val="0055091E"/>
    <w:rsid w:val="00550DF4"/>
    <w:rsid w:val="005510F5"/>
    <w:rsid w:val="00551647"/>
    <w:rsid w:val="005518A7"/>
    <w:rsid w:val="005518E5"/>
    <w:rsid w:val="005518E6"/>
    <w:rsid w:val="005530C5"/>
    <w:rsid w:val="005537EC"/>
    <w:rsid w:val="00553DE0"/>
    <w:rsid w:val="00553E97"/>
    <w:rsid w:val="00553F3B"/>
    <w:rsid w:val="005541B6"/>
    <w:rsid w:val="00554294"/>
    <w:rsid w:val="0055466D"/>
    <w:rsid w:val="005553E9"/>
    <w:rsid w:val="005554D1"/>
    <w:rsid w:val="0055586C"/>
    <w:rsid w:val="00555FDB"/>
    <w:rsid w:val="00556063"/>
    <w:rsid w:val="0055645D"/>
    <w:rsid w:val="00556C73"/>
    <w:rsid w:val="00557379"/>
    <w:rsid w:val="005576F2"/>
    <w:rsid w:val="00557C76"/>
    <w:rsid w:val="00560901"/>
    <w:rsid w:val="00561230"/>
    <w:rsid w:val="00561CE7"/>
    <w:rsid w:val="00561D29"/>
    <w:rsid w:val="00561F35"/>
    <w:rsid w:val="00561FA2"/>
    <w:rsid w:val="00562404"/>
    <w:rsid w:val="00562508"/>
    <w:rsid w:val="00563DE5"/>
    <w:rsid w:val="00565101"/>
    <w:rsid w:val="00565276"/>
    <w:rsid w:val="005656E1"/>
    <w:rsid w:val="00565869"/>
    <w:rsid w:val="00565C89"/>
    <w:rsid w:val="005661A8"/>
    <w:rsid w:val="005663B3"/>
    <w:rsid w:val="00566854"/>
    <w:rsid w:val="0056686D"/>
    <w:rsid w:val="005668C3"/>
    <w:rsid w:val="00566F47"/>
    <w:rsid w:val="005671AB"/>
    <w:rsid w:val="00567C9D"/>
    <w:rsid w:val="00567F0C"/>
    <w:rsid w:val="00570475"/>
    <w:rsid w:val="005706E2"/>
    <w:rsid w:val="00570D8E"/>
    <w:rsid w:val="00571383"/>
    <w:rsid w:val="00571BCA"/>
    <w:rsid w:val="00571C0A"/>
    <w:rsid w:val="00572B71"/>
    <w:rsid w:val="00572E66"/>
    <w:rsid w:val="00573C66"/>
    <w:rsid w:val="005755AF"/>
    <w:rsid w:val="00575D56"/>
    <w:rsid w:val="00575D7B"/>
    <w:rsid w:val="00577D14"/>
    <w:rsid w:val="00577D77"/>
    <w:rsid w:val="00580E03"/>
    <w:rsid w:val="0058126C"/>
    <w:rsid w:val="00581406"/>
    <w:rsid w:val="00581A73"/>
    <w:rsid w:val="0058226C"/>
    <w:rsid w:val="005824E8"/>
    <w:rsid w:val="0058255F"/>
    <w:rsid w:val="005840AF"/>
    <w:rsid w:val="005849E0"/>
    <w:rsid w:val="00584C64"/>
    <w:rsid w:val="00584DFC"/>
    <w:rsid w:val="00585825"/>
    <w:rsid w:val="005858F9"/>
    <w:rsid w:val="00585D33"/>
    <w:rsid w:val="005864C1"/>
    <w:rsid w:val="00586980"/>
    <w:rsid w:val="00586FAF"/>
    <w:rsid w:val="00590276"/>
    <w:rsid w:val="00590590"/>
    <w:rsid w:val="0059098B"/>
    <w:rsid w:val="005911BB"/>
    <w:rsid w:val="0059152A"/>
    <w:rsid w:val="00591D97"/>
    <w:rsid w:val="005921FB"/>
    <w:rsid w:val="0059232C"/>
    <w:rsid w:val="00592694"/>
    <w:rsid w:val="0059273D"/>
    <w:rsid w:val="00592FD0"/>
    <w:rsid w:val="00593282"/>
    <w:rsid w:val="00593B87"/>
    <w:rsid w:val="0059483F"/>
    <w:rsid w:val="005948F0"/>
    <w:rsid w:val="00594B5D"/>
    <w:rsid w:val="005950A1"/>
    <w:rsid w:val="00595153"/>
    <w:rsid w:val="0059528B"/>
    <w:rsid w:val="005956D6"/>
    <w:rsid w:val="00595736"/>
    <w:rsid w:val="00595B99"/>
    <w:rsid w:val="00596651"/>
    <w:rsid w:val="00596908"/>
    <w:rsid w:val="00597096"/>
    <w:rsid w:val="005978CE"/>
    <w:rsid w:val="005978FA"/>
    <w:rsid w:val="005A1075"/>
    <w:rsid w:val="005A1539"/>
    <w:rsid w:val="005A1702"/>
    <w:rsid w:val="005A191F"/>
    <w:rsid w:val="005A1AA0"/>
    <w:rsid w:val="005A1D07"/>
    <w:rsid w:val="005A1E58"/>
    <w:rsid w:val="005A20F3"/>
    <w:rsid w:val="005A2A78"/>
    <w:rsid w:val="005A2E8D"/>
    <w:rsid w:val="005A3724"/>
    <w:rsid w:val="005A392F"/>
    <w:rsid w:val="005A3A43"/>
    <w:rsid w:val="005A3CF2"/>
    <w:rsid w:val="005A405D"/>
    <w:rsid w:val="005A4539"/>
    <w:rsid w:val="005A4F92"/>
    <w:rsid w:val="005A4FBB"/>
    <w:rsid w:val="005A5667"/>
    <w:rsid w:val="005A582F"/>
    <w:rsid w:val="005A6ADB"/>
    <w:rsid w:val="005A6F34"/>
    <w:rsid w:val="005A6F44"/>
    <w:rsid w:val="005A71B2"/>
    <w:rsid w:val="005A732F"/>
    <w:rsid w:val="005A7644"/>
    <w:rsid w:val="005A7AAE"/>
    <w:rsid w:val="005A7DB5"/>
    <w:rsid w:val="005B1328"/>
    <w:rsid w:val="005B13B4"/>
    <w:rsid w:val="005B17AF"/>
    <w:rsid w:val="005B1AAD"/>
    <w:rsid w:val="005B279F"/>
    <w:rsid w:val="005B28AC"/>
    <w:rsid w:val="005B3078"/>
    <w:rsid w:val="005B329A"/>
    <w:rsid w:val="005B471F"/>
    <w:rsid w:val="005B472B"/>
    <w:rsid w:val="005B51DE"/>
    <w:rsid w:val="005B52A6"/>
    <w:rsid w:val="005B566B"/>
    <w:rsid w:val="005B57EF"/>
    <w:rsid w:val="005B7173"/>
    <w:rsid w:val="005C04E5"/>
    <w:rsid w:val="005C0A36"/>
    <w:rsid w:val="005C1258"/>
    <w:rsid w:val="005C1291"/>
    <w:rsid w:val="005C138D"/>
    <w:rsid w:val="005C1C46"/>
    <w:rsid w:val="005C1DBB"/>
    <w:rsid w:val="005C201D"/>
    <w:rsid w:val="005C22BA"/>
    <w:rsid w:val="005C24D1"/>
    <w:rsid w:val="005C28FB"/>
    <w:rsid w:val="005C2E3C"/>
    <w:rsid w:val="005C30A5"/>
    <w:rsid w:val="005C34D8"/>
    <w:rsid w:val="005C4593"/>
    <w:rsid w:val="005C5181"/>
    <w:rsid w:val="005C560B"/>
    <w:rsid w:val="005C6038"/>
    <w:rsid w:val="005C60D7"/>
    <w:rsid w:val="005C6470"/>
    <w:rsid w:val="005C660B"/>
    <w:rsid w:val="005C6B16"/>
    <w:rsid w:val="005C6FA9"/>
    <w:rsid w:val="005C7A90"/>
    <w:rsid w:val="005D046C"/>
    <w:rsid w:val="005D2175"/>
    <w:rsid w:val="005D21FF"/>
    <w:rsid w:val="005D2EB8"/>
    <w:rsid w:val="005D2F9E"/>
    <w:rsid w:val="005D3198"/>
    <w:rsid w:val="005D359E"/>
    <w:rsid w:val="005D3FDE"/>
    <w:rsid w:val="005D4019"/>
    <w:rsid w:val="005D4BFB"/>
    <w:rsid w:val="005D5FF5"/>
    <w:rsid w:val="005D65C3"/>
    <w:rsid w:val="005D6811"/>
    <w:rsid w:val="005D69C2"/>
    <w:rsid w:val="005D6F27"/>
    <w:rsid w:val="005D73A4"/>
    <w:rsid w:val="005D795E"/>
    <w:rsid w:val="005D7A0D"/>
    <w:rsid w:val="005E0051"/>
    <w:rsid w:val="005E0138"/>
    <w:rsid w:val="005E05CA"/>
    <w:rsid w:val="005E22A1"/>
    <w:rsid w:val="005E28B0"/>
    <w:rsid w:val="005E2900"/>
    <w:rsid w:val="005E295A"/>
    <w:rsid w:val="005E30BE"/>
    <w:rsid w:val="005E33C9"/>
    <w:rsid w:val="005E432E"/>
    <w:rsid w:val="005E45AC"/>
    <w:rsid w:val="005E47F0"/>
    <w:rsid w:val="005E4B42"/>
    <w:rsid w:val="005E4DFF"/>
    <w:rsid w:val="005E50E5"/>
    <w:rsid w:val="005E5223"/>
    <w:rsid w:val="005E5443"/>
    <w:rsid w:val="005E66BC"/>
    <w:rsid w:val="005E7703"/>
    <w:rsid w:val="005E7EE7"/>
    <w:rsid w:val="005F04E5"/>
    <w:rsid w:val="005F0911"/>
    <w:rsid w:val="005F0B08"/>
    <w:rsid w:val="005F1547"/>
    <w:rsid w:val="005F1F82"/>
    <w:rsid w:val="005F20BF"/>
    <w:rsid w:val="005F23DD"/>
    <w:rsid w:val="005F2762"/>
    <w:rsid w:val="005F2A3A"/>
    <w:rsid w:val="005F2BB8"/>
    <w:rsid w:val="005F2E71"/>
    <w:rsid w:val="005F30D7"/>
    <w:rsid w:val="005F35FD"/>
    <w:rsid w:val="005F3796"/>
    <w:rsid w:val="005F3E6C"/>
    <w:rsid w:val="005F4207"/>
    <w:rsid w:val="005F4243"/>
    <w:rsid w:val="005F4674"/>
    <w:rsid w:val="005F48E1"/>
    <w:rsid w:val="005F4E06"/>
    <w:rsid w:val="005F4F0D"/>
    <w:rsid w:val="005F51DB"/>
    <w:rsid w:val="005F59DF"/>
    <w:rsid w:val="005F5F4C"/>
    <w:rsid w:val="005F7259"/>
    <w:rsid w:val="00601092"/>
    <w:rsid w:val="006033EB"/>
    <w:rsid w:val="00603487"/>
    <w:rsid w:val="00603EBF"/>
    <w:rsid w:val="00604110"/>
    <w:rsid w:val="00604637"/>
    <w:rsid w:val="00604804"/>
    <w:rsid w:val="00604AF8"/>
    <w:rsid w:val="00604E8F"/>
    <w:rsid w:val="006051D0"/>
    <w:rsid w:val="00605215"/>
    <w:rsid w:val="0060527C"/>
    <w:rsid w:val="0060536C"/>
    <w:rsid w:val="006054D7"/>
    <w:rsid w:val="00605E5C"/>
    <w:rsid w:val="0060628C"/>
    <w:rsid w:val="006067AC"/>
    <w:rsid w:val="00607653"/>
    <w:rsid w:val="0060784A"/>
    <w:rsid w:val="006079BE"/>
    <w:rsid w:val="00607FAF"/>
    <w:rsid w:val="006102BC"/>
    <w:rsid w:val="0061086F"/>
    <w:rsid w:val="00610B2C"/>
    <w:rsid w:val="00610BE5"/>
    <w:rsid w:val="00610CC1"/>
    <w:rsid w:val="00610DB3"/>
    <w:rsid w:val="00610EE9"/>
    <w:rsid w:val="00611BE0"/>
    <w:rsid w:val="0061249E"/>
    <w:rsid w:val="006134D5"/>
    <w:rsid w:val="006137FE"/>
    <w:rsid w:val="00614118"/>
    <w:rsid w:val="00614486"/>
    <w:rsid w:val="00614D39"/>
    <w:rsid w:val="00614F7D"/>
    <w:rsid w:val="00615062"/>
    <w:rsid w:val="006150F0"/>
    <w:rsid w:val="0061540A"/>
    <w:rsid w:val="006157E0"/>
    <w:rsid w:val="00616DE4"/>
    <w:rsid w:val="006172FE"/>
    <w:rsid w:val="0061781C"/>
    <w:rsid w:val="006178A7"/>
    <w:rsid w:val="006213F8"/>
    <w:rsid w:val="00623322"/>
    <w:rsid w:val="006238EC"/>
    <w:rsid w:val="0062396C"/>
    <w:rsid w:val="00624609"/>
    <w:rsid w:val="006255C8"/>
    <w:rsid w:val="00625708"/>
    <w:rsid w:val="00625D58"/>
    <w:rsid w:val="00626010"/>
    <w:rsid w:val="00626106"/>
    <w:rsid w:val="00626920"/>
    <w:rsid w:val="006270D7"/>
    <w:rsid w:val="00627A89"/>
    <w:rsid w:val="00627CDE"/>
    <w:rsid w:val="00627DF6"/>
    <w:rsid w:val="006300EC"/>
    <w:rsid w:val="006308A4"/>
    <w:rsid w:val="00630B27"/>
    <w:rsid w:val="00630F82"/>
    <w:rsid w:val="00631105"/>
    <w:rsid w:val="006314D6"/>
    <w:rsid w:val="006315E0"/>
    <w:rsid w:val="00631741"/>
    <w:rsid w:val="00631CEF"/>
    <w:rsid w:val="0063208B"/>
    <w:rsid w:val="00632110"/>
    <w:rsid w:val="006323B7"/>
    <w:rsid w:val="00633252"/>
    <w:rsid w:val="00633529"/>
    <w:rsid w:val="0063378D"/>
    <w:rsid w:val="0063380C"/>
    <w:rsid w:val="00633AF9"/>
    <w:rsid w:val="0063494D"/>
    <w:rsid w:val="00634F28"/>
    <w:rsid w:val="00635215"/>
    <w:rsid w:val="0063526C"/>
    <w:rsid w:val="00635714"/>
    <w:rsid w:val="00635EAB"/>
    <w:rsid w:val="0063618C"/>
    <w:rsid w:val="00636251"/>
    <w:rsid w:val="006362D8"/>
    <w:rsid w:val="0063733F"/>
    <w:rsid w:val="00637645"/>
    <w:rsid w:val="00637B97"/>
    <w:rsid w:val="00637CDB"/>
    <w:rsid w:val="00637D58"/>
    <w:rsid w:val="00637F52"/>
    <w:rsid w:val="00640196"/>
    <w:rsid w:val="006407B2"/>
    <w:rsid w:val="006408BE"/>
    <w:rsid w:val="00641D80"/>
    <w:rsid w:val="00641EB0"/>
    <w:rsid w:val="006420F7"/>
    <w:rsid w:val="006420FB"/>
    <w:rsid w:val="0064238E"/>
    <w:rsid w:val="00642836"/>
    <w:rsid w:val="00642D5A"/>
    <w:rsid w:val="00643531"/>
    <w:rsid w:val="00643C4C"/>
    <w:rsid w:val="00643DDB"/>
    <w:rsid w:val="0064435A"/>
    <w:rsid w:val="0064460B"/>
    <w:rsid w:val="00644795"/>
    <w:rsid w:val="0064558F"/>
    <w:rsid w:val="006461C0"/>
    <w:rsid w:val="00646405"/>
    <w:rsid w:val="006466D7"/>
    <w:rsid w:val="00646966"/>
    <w:rsid w:val="0064718A"/>
    <w:rsid w:val="00647693"/>
    <w:rsid w:val="0064789B"/>
    <w:rsid w:val="00650032"/>
    <w:rsid w:val="00650047"/>
    <w:rsid w:val="00650343"/>
    <w:rsid w:val="0065110C"/>
    <w:rsid w:val="00651405"/>
    <w:rsid w:val="00651620"/>
    <w:rsid w:val="00651A8F"/>
    <w:rsid w:val="0065218C"/>
    <w:rsid w:val="006527B7"/>
    <w:rsid w:val="00652A02"/>
    <w:rsid w:val="00653442"/>
    <w:rsid w:val="00653972"/>
    <w:rsid w:val="00653F18"/>
    <w:rsid w:val="00654192"/>
    <w:rsid w:val="00654752"/>
    <w:rsid w:val="00654DD7"/>
    <w:rsid w:val="00655264"/>
    <w:rsid w:val="006552F2"/>
    <w:rsid w:val="006556A5"/>
    <w:rsid w:val="00655709"/>
    <w:rsid w:val="006559FE"/>
    <w:rsid w:val="006562AF"/>
    <w:rsid w:val="00656C23"/>
    <w:rsid w:val="00656D84"/>
    <w:rsid w:val="006573F0"/>
    <w:rsid w:val="00657848"/>
    <w:rsid w:val="00657A36"/>
    <w:rsid w:val="00660222"/>
    <w:rsid w:val="0066095A"/>
    <w:rsid w:val="00660BD8"/>
    <w:rsid w:val="00660D3E"/>
    <w:rsid w:val="00660F17"/>
    <w:rsid w:val="0066121A"/>
    <w:rsid w:val="00661596"/>
    <w:rsid w:val="00661644"/>
    <w:rsid w:val="006620C7"/>
    <w:rsid w:val="0066234A"/>
    <w:rsid w:val="006624A8"/>
    <w:rsid w:val="00662BCC"/>
    <w:rsid w:val="00664378"/>
    <w:rsid w:val="006647F3"/>
    <w:rsid w:val="00665111"/>
    <w:rsid w:val="006656C8"/>
    <w:rsid w:val="00665DB1"/>
    <w:rsid w:val="0066610B"/>
    <w:rsid w:val="006669B0"/>
    <w:rsid w:val="00666A98"/>
    <w:rsid w:val="00667967"/>
    <w:rsid w:val="00667A26"/>
    <w:rsid w:val="00667D16"/>
    <w:rsid w:val="00667EB5"/>
    <w:rsid w:val="006707C7"/>
    <w:rsid w:val="00670D90"/>
    <w:rsid w:val="006717C5"/>
    <w:rsid w:val="00671C99"/>
    <w:rsid w:val="0067212B"/>
    <w:rsid w:val="006724D7"/>
    <w:rsid w:val="0067251B"/>
    <w:rsid w:val="00672751"/>
    <w:rsid w:val="00672FA7"/>
    <w:rsid w:val="00673344"/>
    <w:rsid w:val="00673A93"/>
    <w:rsid w:val="00673EE6"/>
    <w:rsid w:val="006746E9"/>
    <w:rsid w:val="00674E55"/>
    <w:rsid w:val="00675AC8"/>
    <w:rsid w:val="00675C89"/>
    <w:rsid w:val="00675E08"/>
    <w:rsid w:val="00675FA6"/>
    <w:rsid w:val="006762B7"/>
    <w:rsid w:val="00676576"/>
    <w:rsid w:val="0067703C"/>
    <w:rsid w:val="0067767C"/>
    <w:rsid w:val="00680878"/>
    <w:rsid w:val="006808A5"/>
    <w:rsid w:val="00680AA5"/>
    <w:rsid w:val="0068108B"/>
    <w:rsid w:val="006812A7"/>
    <w:rsid w:val="0068154C"/>
    <w:rsid w:val="00682448"/>
    <w:rsid w:val="00682852"/>
    <w:rsid w:val="006832C3"/>
    <w:rsid w:val="00683429"/>
    <w:rsid w:val="006834BA"/>
    <w:rsid w:val="00683848"/>
    <w:rsid w:val="006839BF"/>
    <w:rsid w:val="00683CB7"/>
    <w:rsid w:val="00685592"/>
    <w:rsid w:val="006859E7"/>
    <w:rsid w:val="0068654D"/>
    <w:rsid w:val="0068673B"/>
    <w:rsid w:val="006868D4"/>
    <w:rsid w:val="006869DE"/>
    <w:rsid w:val="006871AF"/>
    <w:rsid w:val="006876C7"/>
    <w:rsid w:val="006877D0"/>
    <w:rsid w:val="00687F67"/>
    <w:rsid w:val="0069103C"/>
    <w:rsid w:val="006914AA"/>
    <w:rsid w:val="00691B8C"/>
    <w:rsid w:val="00691F4A"/>
    <w:rsid w:val="00691F8E"/>
    <w:rsid w:val="0069281D"/>
    <w:rsid w:val="00692BED"/>
    <w:rsid w:val="00692C34"/>
    <w:rsid w:val="00693046"/>
    <w:rsid w:val="00694095"/>
    <w:rsid w:val="006944CB"/>
    <w:rsid w:val="006946DC"/>
    <w:rsid w:val="00694873"/>
    <w:rsid w:val="00694EA0"/>
    <w:rsid w:val="00695212"/>
    <w:rsid w:val="00696C76"/>
    <w:rsid w:val="006A0778"/>
    <w:rsid w:val="006A08AA"/>
    <w:rsid w:val="006A099C"/>
    <w:rsid w:val="006A0A8F"/>
    <w:rsid w:val="006A139C"/>
    <w:rsid w:val="006A149E"/>
    <w:rsid w:val="006A1C77"/>
    <w:rsid w:val="006A1F04"/>
    <w:rsid w:val="006A202A"/>
    <w:rsid w:val="006A21A3"/>
    <w:rsid w:val="006A2E60"/>
    <w:rsid w:val="006A312F"/>
    <w:rsid w:val="006A3C6B"/>
    <w:rsid w:val="006A4594"/>
    <w:rsid w:val="006A476D"/>
    <w:rsid w:val="006A4A1F"/>
    <w:rsid w:val="006A4C13"/>
    <w:rsid w:val="006A5220"/>
    <w:rsid w:val="006A57A8"/>
    <w:rsid w:val="006A57AF"/>
    <w:rsid w:val="006A61C0"/>
    <w:rsid w:val="006A67A6"/>
    <w:rsid w:val="006A6A02"/>
    <w:rsid w:val="006A6FB3"/>
    <w:rsid w:val="006A7199"/>
    <w:rsid w:val="006A74CC"/>
    <w:rsid w:val="006A7567"/>
    <w:rsid w:val="006B07C5"/>
    <w:rsid w:val="006B12F3"/>
    <w:rsid w:val="006B14DB"/>
    <w:rsid w:val="006B1AB4"/>
    <w:rsid w:val="006B2350"/>
    <w:rsid w:val="006B2519"/>
    <w:rsid w:val="006B28C4"/>
    <w:rsid w:val="006B2A7F"/>
    <w:rsid w:val="006B2D7A"/>
    <w:rsid w:val="006B34F3"/>
    <w:rsid w:val="006B3C8C"/>
    <w:rsid w:val="006B3E24"/>
    <w:rsid w:val="006B445E"/>
    <w:rsid w:val="006B4797"/>
    <w:rsid w:val="006B51DD"/>
    <w:rsid w:val="006B548A"/>
    <w:rsid w:val="006B6088"/>
    <w:rsid w:val="006B652D"/>
    <w:rsid w:val="006B662D"/>
    <w:rsid w:val="006B6A81"/>
    <w:rsid w:val="006B6C51"/>
    <w:rsid w:val="006B727B"/>
    <w:rsid w:val="006C03AC"/>
    <w:rsid w:val="006C13C6"/>
    <w:rsid w:val="006C1AEC"/>
    <w:rsid w:val="006C21EE"/>
    <w:rsid w:val="006C2501"/>
    <w:rsid w:val="006C350E"/>
    <w:rsid w:val="006C365E"/>
    <w:rsid w:val="006C37BF"/>
    <w:rsid w:val="006C3936"/>
    <w:rsid w:val="006C4056"/>
    <w:rsid w:val="006C4224"/>
    <w:rsid w:val="006C4407"/>
    <w:rsid w:val="006C56DA"/>
    <w:rsid w:val="006C5E9D"/>
    <w:rsid w:val="006C6BCD"/>
    <w:rsid w:val="006C71CF"/>
    <w:rsid w:val="006C7295"/>
    <w:rsid w:val="006C7768"/>
    <w:rsid w:val="006C7C5C"/>
    <w:rsid w:val="006C7E77"/>
    <w:rsid w:val="006D0A44"/>
    <w:rsid w:val="006D0ED6"/>
    <w:rsid w:val="006D108C"/>
    <w:rsid w:val="006D1245"/>
    <w:rsid w:val="006D1B1D"/>
    <w:rsid w:val="006D1B85"/>
    <w:rsid w:val="006D1E19"/>
    <w:rsid w:val="006D1EFF"/>
    <w:rsid w:val="006D21B2"/>
    <w:rsid w:val="006D2227"/>
    <w:rsid w:val="006D271B"/>
    <w:rsid w:val="006D2879"/>
    <w:rsid w:val="006D29E5"/>
    <w:rsid w:val="006D312E"/>
    <w:rsid w:val="006D3148"/>
    <w:rsid w:val="006D3376"/>
    <w:rsid w:val="006D351F"/>
    <w:rsid w:val="006D35A6"/>
    <w:rsid w:val="006D38C0"/>
    <w:rsid w:val="006D4325"/>
    <w:rsid w:val="006D452F"/>
    <w:rsid w:val="006D4A56"/>
    <w:rsid w:val="006D5074"/>
    <w:rsid w:val="006D530D"/>
    <w:rsid w:val="006D54E1"/>
    <w:rsid w:val="006D6317"/>
    <w:rsid w:val="006D70C6"/>
    <w:rsid w:val="006E0251"/>
    <w:rsid w:val="006E1854"/>
    <w:rsid w:val="006E1868"/>
    <w:rsid w:val="006E2130"/>
    <w:rsid w:val="006E21CC"/>
    <w:rsid w:val="006E388D"/>
    <w:rsid w:val="006E3C66"/>
    <w:rsid w:val="006E4EAD"/>
    <w:rsid w:val="006E4F62"/>
    <w:rsid w:val="006E5389"/>
    <w:rsid w:val="006E599B"/>
    <w:rsid w:val="006E6598"/>
    <w:rsid w:val="006E6826"/>
    <w:rsid w:val="006E7E35"/>
    <w:rsid w:val="006F00C3"/>
    <w:rsid w:val="006F0BC9"/>
    <w:rsid w:val="006F1064"/>
    <w:rsid w:val="006F16C9"/>
    <w:rsid w:val="006F34BF"/>
    <w:rsid w:val="006F38D0"/>
    <w:rsid w:val="006F3F01"/>
    <w:rsid w:val="006F412D"/>
    <w:rsid w:val="006F41C6"/>
    <w:rsid w:val="006F4FC0"/>
    <w:rsid w:val="006F5487"/>
    <w:rsid w:val="006F5736"/>
    <w:rsid w:val="006F62DA"/>
    <w:rsid w:val="006F630D"/>
    <w:rsid w:val="006F6565"/>
    <w:rsid w:val="006F6A63"/>
    <w:rsid w:val="006F7367"/>
    <w:rsid w:val="006F7A7A"/>
    <w:rsid w:val="006F7EE2"/>
    <w:rsid w:val="007003E7"/>
    <w:rsid w:val="007004F9"/>
    <w:rsid w:val="007009A7"/>
    <w:rsid w:val="00700D9D"/>
    <w:rsid w:val="00701028"/>
    <w:rsid w:val="00701065"/>
    <w:rsid w:val="007013E6"/>
    <w:rsid w:val="00701DEF"/>
    <w:rsid w:val="00701DF1"/>
    <w:rsid w:val="007025AE"/>
    <w:rsid w:val="00702BDE"/>
    <w:rsid w:val="007036A7"/>
    <w:rsid w:val="007036D1"/>
    <w:rsid w:val="00703939"/>
    <w:rsid w:val="00703E9D"/>
    <w:rsid w:val="007040F2"/>
    <w:rsid w:val="0070489B"/>
    <w:rsid w:val="00704D67"/>
    <w:rsid w:val="00705311"/>
    <w:rsid w:val="00706A26"/>
    <w:rsid w:val="00706E4C"/>
    <w:rsid w:val="007075FF"/>
    <w:rsid w:val="007103E7"/>
    <w:rsid w:val="00711038"/>
    <w:rsid w:val="007112FA"/>
    <w:rsid w:val="007114F8"/>
    <w:rsid w:val="00711695"/>
    <w:rsid w:val="00711FB9"/>
    <w:rsid w:val="0071291A"/>
    <w:rsid w:val="00712CE3"/>
    <w:rsid w:val="00712EDC"/>
    <w:rsid w:val="007138AE"/>
    <w:rsid w:val="00713C10"/>
    <w:rsid w:val="00713EDC"/>
    <w:rsid w:val="007144FE"/>
    <w:rsid w:val="007149E0"/>
    <w:rsid w:val="00714F09"/>
    <w:rsid w:val="007153C0"/>
    <w:rsid w:val="00716833"/>
    <w:rsid w:val="00716896"/>
    <w:rsid w:val="0071690F"/>
    <w:rsid w:val="00716B89"/>
    <w:rsid w:val="00717B82"/>
    <w:rsid w:val="00717D20"/>
    <w:rsid w:val="007204AF"/>
    <w:rsid w:val="00720AC4"/>
    <w:rsid w:val="00720F12"/>
    <w:rsid w:val="00721FB8"/>
    <w:rsid w:val="00722D33"/>
    <w:rsid w:val="00723493"/>
    <w:rsid w:val="007240FD"/>
    <w:rsid w:val="00724856"/>
    <w:rsid w:val="00724C7F"/>
    <w:rsid w:val="00725ABC"/>
    <w:rsid w:val="00725CDF"/>
    <w:rsid w:val="00725E44"/>
    <w:rsid w:val="00726027"/>
    <w:rsid w:val="0072603E"/>
    <w:rsid w:val="0072625B"/>
    <w:rsid w:val="00726D53"/>
    <w:rsid w:val="00726FE3"/>
    <w:rsid w:val="00727211"/>
    <w:rsid w:val="007275CE"/>
    <w:rsid w:val="00727C8D"/>
    <w:rsid w:val="00727CCA"/>
    <w:rsid w:val="0073000B"/>
    <w:rsid w:val="0073084E"/>
    <w:rsid w:val="00731295"/>
    <w:rsid w:val="00731381"/>
    <w:rsid w:val="00731631"/>
    <w:rsid w:val="0073220E"/>
    <w:rsid w:val="007334FE"/>
    <w:rsid w:val="0073467D"/>
    <w:rsid w:val="007352B9"/>
    <w:rsid w:val="00736BC2"/>
    <w:rsid w:val="00736CE6"/>
    <w:rsid w:val="0073791E"/>
    <w:rsid w:val="00737D87"/>
    <w:rsid w:val="0074024E"/>
    <w:rsid w:val="00741729"/>
    <w:rsid w:val="00741EBA"/>
    <w:rsid w:val="00742521"/>
    <w:rsid w:val="00743790"/>
    <w:rsid w:val="00743A23"/>
    <w:rsid w:val="00743B62"/>
    <w:rsid w:val="00743EF1"/>
    <w:rsid w:val="00744807"/>
    <w:rsid w:val="0074529F"/>
    <w:rsid w:val="0074571F"/>
    <w:rsid w:val="00745951"/>
    <w:rsid w:val="007459A2"/>
    <w:rsid w:val="00745C53"/>
    <w:rsid w:val="00745E2F"/>
    <w:rsid w:val="00746C07"/>
    <w:rsid w:val="00746D22"/>
    <w:rsid w:val="00746F59"/>
    <w:rsid w:val="00747875"/>
    <w:rsid w:val="007500CA"/>
    <w:rsid w:val="00750538"/>
    <w:rsid w:val="00750628"/>
    <w:rsid w:val="0075064D"/>
    <w:rsid w:val="00750A4A"/>
    <w:rsid w:val="00750C1C"/>
    <w:rsid w:val="00750EE4"/>
    <w:rsid w:val="0075124B"/>
    <w:rsid w:val="00751622"/>
    <w:rsid w:val="007516AB"/>
    <w:rsid w:val="00751700"/>
    <w:rsid w:val="00751E1D"/>
    <w:rsid w:val="00752412"/>
    <w:rsid w:val="00752531"/>
    <w:rsid w:val="007525C7"/>
    <w:rsid w:val="0075265C"/>
    <w:rsid w:val="007527CE"/>
    <w:rsid w:val="007528EA"/>
    <w:rsid w:val="00753536"/>
    <w:rsid w:val="00754A11"/>
    <w:rsid w:val="0075507C"/>
    <w:rsid w:val="00755B89"/>
    <w:rsid w:val="00756744"/>
    <w:rsid w:val="007567CC"/>
    <w:rsid w:val="00756B3E"/>
    <w:rsid w:val="007575BC"/>
    <w:rsid w:val="007577C1"/>
    <w:rsid w:val="00757DFC"/>
    <w:rsid w:val="007602BC"/>
    <w:rsid w:val="007606AD"/>
    <w:rsid w:val="00760FC9"/>
    <w:rsid w:val="00761729"/>
    <w:rsid w:val="00762EBE"/>
    <w:rsid w:val="007637C1"/>
    <w:rsid w:val="0076392E"/>
    <w:rsid w:val="00763DB2"/>
    <w:rsid w:val="00763EED"/>
    <w:rsid w:val="007641DA"/>
    <w:rsid w:val="007648EB"/>
    <w:rsid w:val="0076496E"/>
    <w:rsid w:val="00764AD6"/>
    <w:rsid w:val="00764BDC"/>
    <w:rsid w:val="0076549C"/>
    <w:rsid w:val="00765B69"/>
    <w:rsid w:val="00765DFE"/>
    <w:rsid w:val="00766237"/>
    <w:rsid w:val="00766322"/>
    <w:rsid w:val="007665E9"/>
    <w:rsid w:val="0076711A"/>
    <w:rsid w:val="00767576"/>
    <w:rsid w:val="00767CB6"/>
    <w:rsid w:val="007703B4"/>
    <w:rsid w:val="00771499"/>
    <w:rsid w:val="00771668"/>
    <w:rsid w:val="00771855"/>
    <w:rsid w:val="00772FAE"/>
    <w:rsid w:val="00772FB7"/>
    <w:rsid w:val="007733C9"/>
    <w:rsid w:val="0077379A"/>
    <w:rsid w:val="007738F5"/>
    <w:rsid w:val="007739FA"/>
    <w:rsid w:val="00773E12"/>
    <w:rsid w:val="00773F1A"/>
    <w:rsid w:val="0077408E"/>
    <w:rsid w:val="007740C5"/>
    <w:rsid w:val="00774401"/>
    <w:rsid w:val="007746AD"/>
    <w:rsid w:val="00774A39"/>
    <w:rsid w:val="007754A4"/>
    <w:rsid w:val="00775736"/>
    <w:rsid w:val="00775739"/>
    <w:rsid w:val="007760AE"/>
    <w:rsid w:val="007768EB"/>
    <w:rsid w:val="0077692C"/>
    <w:rsid w:val="00776BA5"/>
    <w:rsid w:val="00776C77"/>
    <w:rsid w:val="00777284"/>
    <w:rsid w:val="0078083A"/>
    <w:rsid w:val="00780974"/>
    <w:rsid w:val="00780CC1"/>
    <w:rsid w:val="007812C7"/>
    <w:rsid w:val="00781C17"/>
    <w:rsid w:val="007821E9"/>
    <w:rsid w:val="0078312B"/>
    <w:rsid w:val="007835EF"/>
    <w:rsid w:val="00783DAA"/>
    <w:rsid w:val="00783F78"/>
    <w:rsid w:val="007841E8"/>
    <w:rsid w:val="007844DB"/>
    <w:rsid w:val="00784536"/>
    <w:rsid w:val="00785595"/>
    <w:rsid w:val="0078632C"/>
    <w:rsid w:val="007875DE"/>
    <w:rsid w:val="00787726"/>
    <w:rsid w:val="00787CE1"/>
    <w:rsid w:val="00790614"/>
    <w:rsid w:val="00791570"/>
    <w:rsid w:val="00791CD5"/>
    <w:rsid w:val="00792533"/>
    <w:rsid w:val="00793046"/>
    <w:rsid w:val="00793940"/>
    <w:rsid w:val="00793E9C"/>
    <w:rsid w:val="00794286"/>
    <w:rsid w:val="0079534B"/>
    <w:rsid w:val="00795FEB"/>
    <w:rsid w:val="00796028"/>
    <w:rsid w:val="007966B3"/>
    <w:rsid w:val="00796A47"/>
    <w:rsid w:val="00796D1B"/>
    <w:rsid w:val="00797D7C"/>
    <w:rsid w:val="007A0214"/>
    <w:rsid w:val="007A094E"/>
    <w:rsid w:val="007A11F9"/>
    <w:rsid w:val="007A1819"/>
    <w:rsid w:val="007A1A83"/>
    <w:rsid w:val="007A1E1C"/>
    <w:rsid w:val="007A35DC"/>
    <w:rsid w:val="007A3FA4"/>
    <w:rsid w:val="007A42D1"/>
    <w:rsid w:val="007A4F36"/>
    <w:rsid w:val="007A5A4A"/>
    <w:rsid w:val="007A5B83"/>
    <w:rsid w:val="007A5D20"/>
    <w:rsid w:val="007A61AC"/>
    <w:rsid w:val="007A6E31"/>
    <w:rsid w:val="007A7814"/>
    <w:rsid w:val="007B0691"/>
    <w:rsid w:val="007B0827"/>
    <w:rsid w:val="007B1B2F"/>
    <w:rsid w:val="007B206E"/>
    <w:rsid w:val="007B222A"/>
    <w:rsid w:val="007B2266"/>
    <w:rsid w:val="007B2B1A"/>
    <w:rsid w:val="007B2E1F"/>
    <w:rsid w:val="007B2EC7"/>
    <w:rsid w:val="007B2FAE"/>
    <w:rsid w:val="007B3098"/>
    <w:rsid w:val="007B362A"/>
    <w:rsid w:val="007B3DFE"/>
    <w:rsid w:val="007B46DD"/>
    <w:rsid w:val="007B48AE"/>
    <w:rsid w:val="007B4C25"/>
    <w:rsid w:val="007B59AE"/>
    <w:rsid w:val="007B625C"/>
    <w:rsid w:val="007B6660"/>
    <w:rsid w:val="007B7F7E"/>
    <w:rsid w:val="007C0163"/>
    <w:rsid w:val="007C0AE2"/>
    <w:rsid w:val="007C13A6"/>
    <w:rsid w:val="007C1B68"/>
    <w:rsid w:val="007C2318"/>
    <w:rsid w:val="007C243D"/>
    <w:rsid w:val="007C2DA9"/>
    <w:rsid w:val="007C3030"/>
    <w:rsid w:val="007C3150"/>
    <w:rsid w:val="007C3392"/>
    <w:rsid w:val="007C38B4"/>
    <w:rsid w:val="007C4760"/>
    <w:rsid w:val="007C5950"/>
    <w:rsid w:val="007C5CB8"/>
    <w:rsid w:val="007C5E6A"/>
    <w:rsid w:val="007C611A"/>
    <w:rsid w:val="007C6A69"/>
    <w:rsid w:val="007C6BD5"/>
    <w:rsid w:val="007C6D2C"/>
    <w:rsid w:val="007C6EE3"/>
    <w:rsid w:val="007C711C"/>
    <w:rsid w:val="007C78A5"/>
    <w:rsid w:val="007C7CBE"/>
    <w:rsid w:val="007C7DB7"/>
    <w:rsid w:val="007D028B"/>
    <w:rsid w:val="007D032D"/>
    <w:rsid w:val="007D03CB"/>
    <w:rsid w:val="007D0D53"/>
    <w:rsid w:val="007D1023"/>
    <w:rsid w:val="007D12E7"/>
    <w:rsid w:val="007D1FCF"/>
    <w:rsid w:val="007D211E"/>
    <w:rsid w:val="007D2C1C"/>
    <w:rsid w:val="007D31C9"/>
    <w:rsid w:val="007D3417"/>
    <w:rsid w:val="007D3970"/>
    <w:rsid w:val="007D39B8"/>
    <w:rsid w:val="007D3B23"/>
    <w:rsid w:val="007D47D7"/>
    <w:rsid w:val="007D4872"/>
    <w:rsid w:val="007D4D70"/>
    <w:rsid w:val="007D4F8E"/>
    <w:rsid w:val="007D56AD"/>
    <w:rsid w:val="007D59F8"/>
    <w:rsid w:val="007D6003"/>
    <w:rsid w:val="007D6029"/>
    <w:rsid w:val="007D7487"/>
    <w:rsid w:val="007D7584"/>
    <w:rsid w:val="007D768A"/>
    <w:rsid w:val="007E0422"/>
    <w:rsid w:val="007E046C"/>
    <w:rsid w:val="007E193D"/>
    <w:rsid w:val="007E2284"/>
    <w:rsid w:val="007E2B90"/>
    <w:rsid w:val="007E2C3F"/>
    <w:rsid w:val="007E3064"/>
    <w:rsid w:val="007E328C"/>
    <w:rsid w:val="007E374F"/>
    <w:rsid w:val="007E37F0"/>
    <w:rsid w:val="007E3A0B"/>
    <w:rsid w:val="007E4186"/>
    <w:rsid w:val="007E4243"/>
    <w:rsid w:val="007E4D8A"/>
    <w:rsid w:val="007E5611"/>
    <w:rsid w:val="007E7253"/>
    <w:rsid w:val="007E7774"/>
    <w:rsid w:val="007F081F"/>
    <w:rsid w:val="007F0999"/>
    <w:rsid w:val="007F0A9B"/>
    <w:rsid w:val="007F12C3"/>
    <w:rsid w:val="007F1F79"/>
    <w:rsid w:val="007F2423"/>
    <w:rsid w:val="007F25D6"/>
    <w:rsid w:val="007F37B2"/>
    <w:rsid w:val="007F3A72"/>
    <w:rsid w:val="007F3D20"/>
    <w:rsid w:val="007F4CF7"/>
    <w:rsid w:val="007F5AC7"/>
    <w:rsid w:val="007F6149"/>
    <w:rsid w:val="007F656E"/>
    <w:rsid w:val="007F6690"/>
    <w:rsid w:val="007F66D1"/>
    <w:rsid w:val="007F67EC"/>
    <w:rsid w:val="007F6920"/>
    <w:rsid w:val="007F6BB7"/>
    <w:rsid w:val="007F70EF"/>
    <w:rsid w:val="007F7150"/>
    <w:rsid w:val="007F76CA"/>
    <w:rsid w:val="007F7E58"/>
    <w:rsid w:val="008000F7"/>
    <w:rsid w:val="008004B6"/>
    <w:rsid w:val="00800B1C"/>
    <w:rsid w:val="00801C82"/>
    <w:rsid w:val="00801D77"/>
    <w:rsid w:val="0080209A"/>
    <w:rsid w:val="0080214E"/>
    <w:rsid w:val="008037AF"/>
    <w:rsid w:val="008039A2"/>
    <w:rsid w:val="00804D00"/>
    <w:rsid w:val="00805A64"/>
    <w:rsid w:val="00806F0C"/>
    <w:rsid w:val="00807155"/>
    <w:rsid w:val="0080739C"/>
    <w:rsid w:val="00807724"/>
    <w:rsid w:val="008107CB"/>
    <w:rsid w:val="00810B82"/>
    <w:rsid w:val="00810BFF"/>
    <w:rsid w:val="00810CD2"/>
    <w:rsid w:val="00811099"/>
    <w:rsid w:val="008112B9"/>
    <w:rsid w:val="00811527"/>
    <w:rsid w:val="00811763"/>
    <w:rsid w:val="00811818"/>
    <w:rsid w:val="00812890"/>
    <w:rsid w:val="008128CB"/>
    <w:rsid w:val="00812F6E"/>
    <w:rsid w:val="00812FD3"/>
    <w:rsid w:val="008133C0"/>
    <w:rsid w:val="00813AAD"/>
    <w:rsid w:val="00813C3E"/>
    <w:rsid w:val="00813E4A"/>
    <w:rsid w:val="00814740"/>
    <w:rsid w:val="0081480B"/>
    <w:rsid w:val="0081536F"/>
    <w:rsid w:val="0081556A"/>
    <w:rsid w:val="00815911"/>
    <w:rsid w:val="00815B78"/>
    <w:rsid w:val="00815E93"/>
    <w:rsid w:val="008162EB"/>
    <w:rsid w:val="0081664A"/>
    <w:rsid w:val="00816864"/>
    <w:rsid w:val="00817416"/>
    <w:rsid w:val="00820473"/>
    <w:rsid w:val="00820CA9"/>
    <w:rsid w:val="00821475"/>
    <w:rsid w:val="00821D37"/>
    <w:rsid w:val="00822D55"/>
    <w:rsid w:val="00822DF0"/>
    <w:rsid w:val="00823D5B"/>
    <w:rsid w:val="00823F17"/>
    <w:rsid w:val="008244A0"/>
    <w:rsid w:val="008248EB"/>
    <w:rsid w:val="00824E3F"/>
    <w:rsid w:val="0082535D"/>
    <w:rsid w:val="00825727"/>
    <w:rsid w:val="008258F2"/>
    <w:rsid w:val="00825A1D"/>
    <w:rsid w:val="00825CD7"/>
    <w:rsid w:val="0082613C"/>
    <w:rsid w:val="00826A00"/>
    <w:rsid w:val="00826B65"/>
    <w:rsid w:val="00826CF9"/>
    <w:rsid w:val="00826E3F"/>
    <w:rsid w:val="00826F3A"/>
    <w:rsid w:val="00827008"/>
    <w:rsid w:val="00827AF1"/>
    <w:rsid w:val="00827CD7"/>
    <w:rsid w:val="00827E2A"/>
    <w:rsid w:val="00827F34"/>
    <w:rsid w:val="0083027B"/>
    <w:rsid w:val="00830465"/>
    <w:rsid w:val="008305E2"/>
    <w:rsid w:val="00830BE2"/>
    <w:rsid w:val="00830C45"/>
    <w:rsid w:val="00831140"/>
    <w:rsid w:val="00831570"/>
    <w:rsid w:val="008323AE"/>
    <w:rsid w:val="00832B3B"/>
    <w:rsid w:val="00832F06"/>
    <w:rsid w:val="008330B1"/>
    <w:rsid w:val="0083321B"/>
    <w:rsid w:val="00833EE0"/>
    <w:rsid w:val="00834B06"/>
    <w:rsid w:val="00835138"/>
    <w:rsid w:val="00835250"/>
    <w:rsid w:val="00835ACA"/>
    <w:rsid w:val="00835EE0"/>
    <w:rsid w:val="00835F4D"/>
    <w:rsid w:val="008362F6"/>
    <w:rsid w:val="00836FA4"/>
    <w:rsid w:val="00837B6A"/>
    <w:rsid w:val="008401D5"/>
    <w:rsid w:val="00840595"/>
    <w:rsid w:val="00840762"/>
    <w:rsid w:val="00840A80"/>
    <w:rsid w:val="00840F66"/>
    <w:rsid w:val="008411CA"/>
    <w:rsid w:val="00841327"/>
    <w:rsid w:val="008417AF"/>
    <w:rsid w:val="00841B4B"/>
    <w:rsid w:val="00841CF3"/>
    <w:rsid w:val="00841E3C"/>
    <w:rsid w:val="00842021"/>
    <w:rsid w:val="0084286E"/>
    <w:rsid w:val="00842B0C"/>
    <w:rsid w:val="008432AC"/>
    <w:rsid w:val="0084445A"/>
    <w:rsid w:val="0084482B"/>
    <w:rsid w:val="00844FD3"/>
    <w:rsid w:val="00845414"/>
    <w:rsid w:val="00845B54"/>
    <w:rsid w:val="008463A0"/>
    <w:rsid w:val="008478E4"/>
    <w:rsid w:val="008501E9"/>
    <w:rsid w:val="0085034A"/>
    <w:rsid w:val="0085095E"/>
    <w:rsid w:val="0085122F"/>
    <w:rsid w:val="00851AE1"/>
    <w:rsid w:val="00851B2E"/>
    <w:rsid w:val="00851B3F"/>
    <w:rsid w:val="00851BB3"/>
    <w:rsid w:val="00851CF3"/>
    <w:rsid w:val="008526AF"/>
    <w:rsid w:val="008528BD"/>
    <w:rsid w:val="00852A1B"/>
    <w:rsid w:val="00854B38"/>
    <w:rsid w:val="00854DC3"/>
    <w:rsid w:val="0085517B"/>
    <w:rsid w:val="008561BD"/>
    <w:rsid w:val="00856E18"/>
    <w:rsid w:val="0085710D"/>
    <w:rsid w:val="0085730B"/>
    <w:rsid w:val="00857A79"/>
    <w:rsid w:val="008605B2"/>
    <w:rsid w:val="0086064B"/>
    <w:rsid w:val="008606FF"/>
    <w:rsid w:val="00860AC7"/>
    <w:rsid w:val="00860F79"/>
    <w:rsid w:val="00861B9C"/>
    <w:rsid w:val="00861BF2"/>
    <w:rsid w:val="008621E2"/>
    <w:rsid w:val="0086225F"/>
    <w:rsid w:val="008623AA"/>
    <w:rsid w:val="00862C60"/>
    <w:rsid w:val="00862ECF"/>
    <w:rsid w:val="0086333F"/>
    <w:rsid w:val="00863341"/>
    <w:rsid w:val="00863433"/>
    <w:rsid w:val="008636D3"/>
    <w:rsid w:val="00863A36"/>
    <w:rsid w:val="00864048"/>
    <w:rsid w:val="008641EB"/>
    <w:rsid w:val="0086450E"/>
    <w:rsid w:val="00864553"/>
    <w:rsid w:val="008646F6"/>
    <w:rsid w:val="008649F0"/>
    <w:rsid w:val="00864BDB"/>
    <w:rsid w:val="00864C17"/>
    <w:rsid w:val="00864C7C"/>
    <w:rsid w:val="0086590B"/>
    <w:rsid w:val="008659D5"/>
    <w:rsid w:val="00865F24"/>
    <w:rsid w:val="0086601E"/>
    <w:rsid w:val="008661EF"/>
    <w:rsid w:val="0086662F"/>
    <w:rsid w:val="00866C0A"/>
    <w:rsid w:val="00867A73"/>
    <w:rsid w:val="00867D27"/>
    <w:rsid w:val="00870211"/>
    <w:rsid w:val="008703C6"/>
    <w:rsid w:val="00870EFE"/>
    <w:rsid w:val="008712F5"/>
    <w:rsid w:val="00872202"/>
    <w:rsid w:val="00872809"/>
    <w:rsid w:val="00872BE5"/>
    <w:rsid w:val="00872ECF"/>
    <w:rsid w:val="00873B7C"/>
    <w:rsid w:val="00874285"/>
    <w:rsid w:val="008752B0"/>
    <w:rsid w:val="00875500"/>
    <w:rsid w:val="00875FC4"/>
    <w:rsid w:val="00876851"/>
    <w:rsid w:val="00876966"/>
    <w:rsid w:val="00877719"/>
    <w:rsid w:val="008777F3"/>
    <w:rsid w:val="00877B1B"/>
    <w:rsid w:val="00877C76"/>
    <w:rsid w:val="00877DFA"/>
    <w:rsid w:val="00880085"/>
    <w:rsid w:val="0088048D"/>
    <w:rsid w:val="00881486"/>
    <w:rsid w:val="008816B7"/>
    <w:rsid w:val="00881F8D"/>
    <w:rsid w:val="008824BB"/>
    <w:rsid w:val="00883F1E"/>
    <w:rsid w:val="0088409B"/>
    <w:rsid w:val="00884419"/>
    <w:rsid w:val="00884506"/>
    <w:rsid w:val="008845F4"/>
    <w:rsid w:val="00884767"/>
    <w:rsid w:val="008848A1"/>
    <w:rsid w:val="008860B8"/>
    <w:rsid w:val="0088641F"/>
    <w:rsid w:val="008866AB"/>
    <w:rsid w:val="008866C4"/>
    <w:rsid w:val="00887031"/>
    <w:rsid w:val="008876AD"/>
    <w:rsid w:val="00887924"/>
    <w:rsid w:val="00887B25"/>
    <w:rsid w:val="00887F92"/>
    <w:rsid w:val="00890800"/>
    <w:rsid w:val="00890B00"/>
    <w:rsid w:val="00890DD7"/>
    <w:rsid w:val="00890FC9"/>
    <w:rsid w:val="0089244F"/>
    <w:rsid w:val="0089252B"/>
    <w:rsid w:val="00892625"/>
    <w:rsid w:val="0089297A"/>
    <w:rsid w:val="00892A80"/>
    <w:rsid w:val="00892FE8"/>
    <w:rsid w:val="00893245"/>
    <w:rsid w:val="00893733"/>
    <w:rsid w:val="00893EA4"/>
    <w:rsid w:val="00893F9C"/>
    <w:rsid w:val="0089468E"/>
    <w:rsid w:val="008946F8"/>
    <w:rsid w:val="00895202"/>
    <w:rsid w:val="0089548D"/>
    <w:rsid w:val="008954E8"/>
    <w:rsid w:val="00895863"/>
    <w:rsid w:val="0089594A"/>
    <w:rsid w:val="00895B9F"/>
    <w:rsid w:val="00895E24"/>
    <w:rsid w:val="008960CC"/>
    <w:rsid w:val="00896700"/>
    <w:rsid w:val="008978A0"/>
    <w:rsid w:val="00897ECA"/>
    <w:rsid w:val="008A0668"/>
    <w:rsid w:val="008A095F"/>
    <w:rsid w:val="008A10A4"/>
    <w:rsid w:val="008A143F"/>
    <w:rsid w:val="008A1E85"/>
    <w:rsid w:val="008A2494"/>
    <w:rsid w:val="008A2903"/>
    <w:rsid w:val="008A2978"/>
    <w:rsid w:val="008A29A1"/>
    <w:rsid w:val="008A2BA5"/>
    <w:rsid w:val="008A31ED"/>
    <w:rsid w:val="008A38B0"/>
    <w:rsid w:val="008A4665"/>
    <w:rsid w:val="008A4CFA"/>
    <w:rsid w:val="008A5444"/>
    <w:rsid w:val="008A645A"/>
    <w:rsid w:val="008A6770"/>
    <w:rsid w:val="008A67DC"/>
    <w:rsid w:val="008A7C40"/>
    <w:rsid w:val="008A7E16"/>
    <w:rsid w:val="008B0B11"/>
    <w:rsid w:val="008B15AB"/>
    <w:rsid w:val="008B18E5"/>
    <w:rsid w:val="008B1C34"/>
    <w:rsid w:val="008B23EE"/>
    <w:rsid w:val="008B27AB"/>
    <w:rsid w:val="008B3016"/>
    <w:rsid w:val="008B3534"/>
    <w:rsid w:val="008B35E2"/>
    <w:rsid w:val="008B4695"/>
    <w:rsid w:val="008B53CC"/>
    <w:rsid w:val="008B5D51"/>
    <w:rsid w:val="008B6C96"/>
    <w:rsid w:val="008B700A"/>
    <w:rsid w:val="008B72FA"/>
    <w:rsid w:val="008B7D7F"/>
    <w:rsid w:val="008C00CF"/>
    <w:rsid w:val="008C0426"/>
    <w:rsid w:val="008C0B88"/>
    <w:rsid w:val="008C0F0E"/>
    <w:rsid w:val="008C1327"/>
    <w:rsid w:val="008C14B5"/>
    <w:rsid w:val="008C19FD"/>
    <w:rsid w:val="008C23FF"/>
    <w:rsid w:val="008C2CE8"/>
    <w:rsid w:val="008C34D0"/>
    <w:rsid w:val="008C43DF"/>
    <w:rsid w:val="008C4468"/>
    <w:rsid w:val="008C47E3"/>
    <w:rsid w:val="008C4E0C"/>
    <w:rsid w:val="008C50AD"/>
    <w:rsid w:val="008C55C0"/>
    <w:rsid w:val="008C5773"/>
    <w:rsid w:val="008C5C3F"/>
    <w:rsid w:val="008C5FAF"/>
    <w:rsid w:val="008C63BC"/>
    <w:rsid w:val="008C6764"/>
    <w:rsid w:val="008C75CA"/>
    <w:rsid w:val="008D084F"/>
    <w:rsid w:val="008D0B69"/>
    <w:rsid w:val="008D0C35"/>
    <w:rsid w:val="008D1732"/>
    <w:rsid w:val="008D2845"/>
    <w:rsid w:val="008D30C7"/>
    <w:rsid w:val="008D404A"/>
    <w:rsid w:val="008D46C7"/>
    <w:rsid w:val="008D489D"/>
    <w:rsid w:val="008D4C44"/>
    <w:rsid w:val="008D539D"/>
    <w:rsid w:val="008D5542"/>
    <w:rsid w:val="008D58B7"/>
    <w:rsid w:val="008D62C8"/>
    <w:rsid w:val="008D64E3"/>
    <w:rsid w:val="008D6990"/>
    <w:rsid w:val="008D740F"/>
    <w:rsid w:val="008D7F6B"/>
    <w:rsid w:val="008D7F88"/>
    <w:rsid w:val="008E034E"/>
    <w:rsid w:val="008E0813"/>
    <w:rsid w:val="008E0D77"/>
    <w:rsid w:val="008E1036"/>
    <w:rsid w:val="008E1DEF"/>
    <w:rsid w:val="008E203F"/>
    <w:rsid w:val="008E2335"/>
    <w:rsid w:val="008E2635"/>
    <w:rsid w:val="008E3401"/>
    <w:rsid w:val="008E48AE"/>
    <w:rsid w:val="008E4C8A"/>
    <w:rsid w:val="008E5A98"/>
    <w:rsid w:val="008E5DA9"/>
    <w:rsid w:val="008E5DF0"/>
    <w:rsid w:val="008E5FE5"/>
    <w:rsid w:val="008E6511"/>
    <w:rsid w:val="008E6C93"/>
    <w:rsid w:val="008E6E41"/>
    <w:rsid w:val="008E7642"/>
    <w:rsid w:val="008E7789"/>
    <w:rsid w:val="008E7E9C"/>
    <w:rsid w:val="008F0043"/>
    <w:rsid w:val="008F03CE"/>
    <w:rsid w:val="008F3680"/>
    <w:rsid w:val="008F391F"/>
    <w:rsid w:val="008F48C2"/>
    <w:rsid w:val="008F4E19"/>
    <w:rsid w:val="008F531B"/>
    <w:rsid w:val="008F568F"/>
    <w:rsid w:val="008F578D"/>
    <w:rsid w:val="008F63AB"/>
    <w:rsid w:val="008F658B"/>
    <w:rsid w:val="008F6A30"/>
    <w:rsid w:val="008F6A41"/>
    <w:rsid w:val="008F6CEB"/>
    <w:rsid w:val="008F6E49"/>
    <w:rsid w:val="008F6F48"/>
    <w:rsid w:val="008F727C"/>
    <w:rsid w:val="008F7D82"/>
    <w:rsid w:val="0090003F"/>
    <w:rsid w:val="00900264"/>
    <w:rsid w:val="009018C2"/>
    <w:rsid w:val="00901B62"/>
    <w:rsid w:val="00902190"/>
    <w:rsid w:val="009029E6"/>
    <w:rsid w:val="009031F7"/>
    <w:rsid w:val="009032C8"/>
    <w:rsid w:val="00903D7F"/>
    <w:rsid w:val="0090452D"/>
    <w:rsid w:val="009045A6"/>
    <w:rsid w:val="00905811"/>
    <w:rsid w:val="00906242"/>
    <w:rsid w:val="00906641"/>
    <w:rsid w:val="009069B3"/>
    <w:rsid w:val="009072B2"/>
    <w:rsid w:val="0090758C"/>
    <w:rsid w:val="00907A31"/>
    <w:rsid w:val="00910114"/>
    <w:rsid w:val="0091037F"/>
    <w:rsid w:val="0091047B"/>
    <w:rsid w:val="009108E0"/>
    <w:rsid w:val="00910EBD"/>
    <w:rsid w:val="009120FC"/>
    <w:rsid w:val="009122C0"/>
    <w:rsid w:val="009123A1"/>
    <w:rsid w:val="00912650"/>
    <w:rsid w:val="00912795"/>
    <w:rsid w:val="00912F5F"/>
    <w:rsid w:val="00912F71"/>
    <w:rsid w:val="009135ED"/>
    <w:rsid w:val="00913A4B"/>
    <w:rsid w:val="00914102"/>
    <w:rsid w:val="00914634"/>
    <w:rsid w:val="00914706"/>
    <w:rsid w:val="009150B2"/>
    <w:rsid w:val="00915182"/>
    <w:rsid w:val="00915600"/>
    <w:rsid w:val="0091566B"/>
    <w:rsid w:val="00915E67"/>
    <w:rsid w:val="00916E1A"/>
    <w:rsid w:val="00917247"/>
    <w:rsid w:val="0091797B"/>
    <w:rsid w:val="00917B19"/>
    <w:rsid w:val="00920158"/>
    <w:rsid w:val="00920220"/>
    <w:rsid w:val="0092029E"/>
    <w:rsid w:val="009204D4"/>
    <w:rsid w:val="00920568"/>
    <w:rsid w:val="00920CBB"/>
    <w:rsid w:val="00921319"/>
    <w:rsid w:val="00921512"/>
    <w:rsid w:val="00921785"/>
    <w:rsid w:val="00921AEA"/>
    <w:rsid w:val="00921D60"/>
    <w:rsid w:val="00922682"/>
    <w:rsid w:val="009226F7"/>
    <w:rsid w:val="00922BAF"/>
    <w:rsid w:val="00923487"/>
    <w:rsid w:val="00923650"/>
    <w:rsid w:val="009238B5"/>
    <w:rsid w:val="00924561"/>
    <w:rsid w:val="00924AB1"/>
    <w:rsid w:val="00924F3B"/>
    <w:rsid w:val="00925032"/>
    <w:rsid w:val="009255C0"/>
    <w:rsid w:val="0092595F"/>
    <w:rsid w:val="00925CFB"/>
    <w:rsid w:val="0092602C"/>
    <w:rsid w:val="00926A0F"/>
    <w:rsid w:val="00927281"/>
    <w:rsid w:val="009276EC"/>
    <w:rsid w:val="009277E4"/>
    <w:rsid w:val="00927E20"/>
    <w:rsid w:val="00927E55"/>
    <w:rsid w:val="00927FDC"/>
    <w:rsid w:val="00930189"/>
    <w:rsid w:val="00930498"/>
    <w:rsid w:val="009305F8"/>
    <w:rsid w:val="00930D1F"/>
    <w:rsid w:val="009311EA"/>
    <w:rsid w:val="009312C3"/>
    <w:rsid w:val="00931B42"/>
    <w:rsid w:val="00931DB5"/>
    <w:rsid w:val="00933E2A"/>
    <w:rsid w:val="009340C8"/>
    <w:rsid w:val="0093448D"/>
    <w:rsid w:val="009346F9"/>
    <w:rsid w:val="0093470F"/>
    <w:rsid w:val="00934740"/>
    <w:rsid w:val="009347ED"/>
    <w:rsid w:val="00934962"/>
    <w:rsid w:val="00934F53"/>
    <w:rsid w:val="00934F7D"/>
    <w:rsid w:val="00935D59"/>
    <w:rsid w:val="00936012"/>
    <w:rsid w:val="00936050"/>
    <w:rsid w:val="00936062"/>
    <w:rsid w:val="0093650B"/>
    <w:rsid w:val="00936AA2"/>
    <w:rsid w:val="00936C98"/>
    <w:rsid w:val="00937457"/>
    <w:rsid w:val="00937628"/>
    <w:rsid w:val="009407B4"/>
    <w:rsid w:val="00941560"/>
    <w:rsid w:val="009419E4"/>
    <w:rsid w:val="00941CB1"/>
    <w:rsid w:val="0094283F"/>
    <w:rsid w:val="009429CF"/>
    <w:rsid w:val="009429FD"/>
    <w:rsid w:val="00943370"/>
    <w:rsid w:val="009439A6"/>
    <w:rsid w:val="00943B2B"/>
    <w:rsid w:val="0094479B"/>
    <w:rsid w:val="0094492C"/>
    <w:rsid w:val="00944A85"/>
    <w:rsid w:val="009451DF"/>
    <w:rsid w:val="0094591B"/>
    <w:rsid w:val="009459DF"/>
    <w:rsid w:val="00945C8B"/>
    <w:rsid w:val="00946234"/>
    <w:rsid w:val="00946874"/>
    <w:rsid w:val="00946AAD"/>
    <w:rsid w:val="00946C90"/>
    <w:rsid w:val="009470F5"/>
    <w:rsid w:val="00947804"/>
    <w:rsid w:val="00950272"/>
    <w:rsid w:val="009502CD"/>
    <w:rsid w:val="00950E69"/>
    <w:rsid w:val="00950EE2"/>
    <w:rsid w:val="00951078"/>
    <w:rsid w:val="00951536"/>
    <w:rsid w:val="0095155F"/>
    <w:rsid w:val="009520AC"/>
    <w:rsid w:val="0095223C"/>
    <w:rsid w:val="00952689"/>
    <w:rsid w:val="0095318B"/>
    <w:rsid w:val="009536C1"/>
    <w:rsid w:val="00953FD0"/>
    <w:rsid w:val="00953FD2"/>
    <w:rsid w:val="00955228"/>
    <w:rsid w:val="00955F3E"/>
    <w:rsid w:val="009562B8"/>
    <w:rsid w:val="009564F3"/>
    <w:rsid w:val="00956939"/>
    <w:rsid w:val="00956CED"/>
    <w:rsid w:val="009571CD"/>
    <w:rsid w:val="00957A23"/>
    <w:rsid w:val="009603DF"/>
    <w:rsid w:val="00961113"/>
    <w:rsid w:val="00961483"/>
    <w:rsid w:val="00961792"/>
    <w:rsid w:val="00961A91"/>
    <w:rsid w:val="009636A4"/>
    <w:rsid w:val="00963742"/>
    <w:rsid w:val="0096417E"/>
    <w:rsid w:val="009642BB"/>
    <w:rsid w:val="009643B3"/>
    <w:rsid w:val="009646F6"/>
    <w:rsid w:val="00964E9D"/>
    <w:rsid w:val="00966D0E"/>
    <w:rsid w:val="00967325"/>
    <w:rsid w:val="00967813"/>
    <w:rsid w:val="0097128C"/>
    <w:rsid w:val="00972099"/>
    <w:rsid w:val="009724A8"/>
    <w:rsid w:val="0097283C"/>
    <w:rsid w:val="00972A81"/>
    <w:rsid w:val="00972BB0"/>
    <w:rsid w:val="00972F37"/>
    <w:rsid w:val="009757D6"/>
    <w:rsid w:val="00975A8F"/>
    <w:rsid w:val="00975F9F"/>
    <w:rsid w:val="0097608D"/>
    <w:rsid w:val="009764A4"/>
    <w:rsid w:val="009766A1"/>
    <w:rsid w:val="009766BF"/>
    <w:rsid w:val="0097759B"/>
    <w:rsid w:val="009801F3"/>
    <w:rsid w:val="00980487"/>
    <w:rsid w:val="00980523"/>
    <w:rsid w:val="00980766"/>
    <w:rsid w:val="009808D3"/>
    <w:rsid w:val="00980ACA"/>
    <w:rsid w:val="00980BB8"/>
    <w:rsid w:val="00980F2C"/>
    <w:rsid w:val="009812FE"/>
    <w:rsid w:val="00981C7B"/>
    <w:rsid w:val="0098237D"/>
    <w:rsid w:val="00982A7E"/>
    <w:rsid w:val="009833A3"/>
    <w:rsid w:val="00983866"/>
    <w:rsid w:val="00983C5F"/>
    <w:rsid w:val="00984283"/>
    <w:rsid w:val="00984E17"/>
    <w:rsid w:val="009851D4"/>
    <w:rsid w:val="00985275"/>
    <w:rsid w:val="00985722"/>
    <w:rsid w:val="0098596D"/>
    <w:rsid w:val="00986ADB"/>
    <w:rsid w:val="00986B3B"/>
    <w:rsid w:val="00986D24"/>
    <w:rsid w:val="009870A7"/>
    <w:rsid w:val="0099079E"/>
    <w:rsid w:val="009907DA"/>
    <w:rsid w:val="00991409"/>
    <w:rsid w:val="009916C5"/>
    <w:rsid w:val="00991892"/>
    <w:rsid w:val="00991921"/>
    <w:rsid w:val="00991D0B"/>
    <w:rsid w:val="00991E22"/>
    <w:rsid w:val="00992115"/>
    <w:rsid w:val="00992913"/>
    <w:rsid w:val="0099431F"/>
    <w:rsid w:val="0099482B"/>
    <w:rsid w:val="00994B52"/>
    <w:rsid w:val="00994D80"/>
    <w:rsid w:val="00995E25"/>
    <w:rsid w:val="00996033"/>
    <w:rsid w:val="00996F2E"/>
    <w:rsid w:val="00997D22"/>
    <w:rsid w:val="00997D49"/>
    <w:rsid w:val="009A0260"/>
    <w:rsid w:val="009A046E"/>
    <w:rsid w:val="009A0884"/>
    <w:rsid w:val="009A14E5"/>
    <w:rsid w:val="009A1B06"/>
    <w:rsid w:val="009A2716"/>
    <w:rsid w:val="009A2A4D"/>
    <w:rsid w:val="009A2D06"/>
    <w:rsid w:val="009A3298"/>
    <w:rsid w:val="009A3316"/>
    <w:rsid w:val="009A333D"/>
    <w:rsid w:val="009A34E2"/>
    <w:rsid w:val="009A4520"/>
    <w:rsid w:val="009A45C1"/>
    <w:rsid w:val="009A4D42"/>
    <w:rsid w:val="009A533D"/>
    <w:rsid w:val="009A5E81"/>
    <w:rsid w:val="009A6ECB"/>
    <w:rsid w:val="009A6F18"/>
    <w:rsid w:val="009B0121"/>
    <w:rsid w:val="009B0B4A"/>
    <w:rsid w:val="009B181D"/>
    <w:rsid w:val="009B195E"/>
    <w:rsid w:val="009B1B08"/>
    <w:rsid w:val="009B25C0"/>
    <w:rsid w:val="009B2A0F"/>
    <w:rsid w:val="009B2E1F"/>
    <w:rsid w:val="009B32C8"/>
    <w:rsid w:val="009B3662"/>
    <w:rsid w:val="009B3DF5"/>
    <w:rsid w:val="009B3FF7"/>
    <w:rsid w:val="009B4B8D"/>
    <w:rsid w:val="009B5A5C"/>
    <w:rsid w:val="009B68AC"/>
    <w:rsid w:val="009B6D62"/>
    <w:rsid w:val="009B771B"/>
    <w:rsid w:val="009B7772"/>
    <w:rsid w:val="009B7D51"/>
    <w:rsid w:val="009C0144"/>
    <w:rsid w:val="009C0266"/>
    <w:rsid w:val="009C0E48"/>
    <w:rsid w:val="009C0F06"/>
    <w:rsid w:val="009C143F"/>
    <w:rsid w:val="009C1548"/>
    <w:rsid w:val="009C1829"/>
    <w:rsid w:val="009C1C8C"/>
    <w:rsid w:val="009C1CE1"/>
    <w:rsid w:val="009C1FB2"/>
    <w:rsid w:val="009C2E3D"/>
    <w:rsid w:val="009C366A"/>
    <w:rsid w:val="009C38B9"/>
    <w:rsid w:val="009C3EA4"/>
    <w:rsid w:val="009C4869"/>
    <w:rsid w:val="009C5130"/>
    <w:rsid w:val="009C5B46"/>
    <w:rsid w:val="009C60B6"/>
    <w:rsid w:val="009C64EF"/>
    <w:rsid w:val="009C662B"/>
    <w:rsid w:val="009C6B7D"/>
    <w:rsid w:val="009C725E"/>
    <w:rsid w:val="009C7896"/>
    <w:rsid w:val="009C7CA8"/>
    <w:rsid w:val="009D0449"/>
    <w:rsid w:val="009D0716"/>
    <w:rsid w:val="009D0D6A"/>
    <w:rsid w:val="009D1196"/>
    <w:rsid w:val="009D187A"/>
    <w:rsid w:val="009D206B"/>
    <w:rsid w:val="009D2B5E"/>
    <w:rsid w:val="009D390C"/>
    <w:rsid w:val="009D4227"/>
    <w:rsid w:val="009D433E"/>
    <w:rsid w:val="009D4B69"/>
    <w:rsid w:val="009D4BE7"/>
    <w:rsid w:val="009D4C7D"/>
    <w:rsid w:val="009D5056"/>
    <w:rsid w:val="009D5E64"/>
    <w:rsid w:val="009D5F62"/>
    <w:rsid w:val="009D6BDD"/>
    <w:rsid w:val="009D6CD4"/>
    <w:rsid w:val="009E008B"/>
    <w:rsid w:val="009E062D"/>
    <w:rsid w:val="009E09D4"/>
    <w:rsid w:val="009E0D0C"/>
    <w:rsid w:val="009E1300"/>
    <w:rsid w:val="009E22F6"/>
    <w:rsid w:val="009E2351"/>
    <w:rsid w:val="009E2475"/>
    <w:rsid w:val="009E2664"/>
    <w:rsid w:val="009E30CF"/>
    <w:rsid w:val="009E3A22"/>
    <w:rsid w:val="009E41C1"/>
    <w:rsid w:val="009E4503"/>
    <w:rsid w:val="009E4B7F"/>
    <w:rsid w:val="009E4BF9"/>
    <w:rsid w:val="009E4FB7"/>
    <w:rsid w:val="009E4FCF"/>
    <w:rsid w:val="009E52C0"/>
    <w:rsid w:val="009E5675"/>
    <w:rsid w:val="009E589A"/>
    <w:rsid w:val="009E5D30"/>
    <w:rsid w:val="009E5EE9"/>
    <w:rsid w:val="009E623D"/>
    <w:rsid w:val="009E644D"/>
    <w:rsid w:val="009E648F"/>
    <w:rsid w:val="009E6D6F"/>
    <w:rsid w:val="009E6F4C"/>
    <w:rsid w:val="009E7D67"/>
    <w:rsid w:val="009E7E0D"/>
    <w:rsid w:val="009F013E"/>
    <w:rsid w:val="009F06D3"/>
    <w:rsid w:val="009F0C9C"/>
    <w:rsid w:val="009F0D4E"/>
    <w:rsid w:val="009F1017"/>
    <w:rsid w:val="009F21A6"/>
    <w:rsid w:val="009F245C"/>
    <w:rsid w:val="009F2A7B"/>
    <w:rsid w:val="009F31CC"/>
    <w:rsid w:val="009F33EB"/>
    <w:rsid w:val="009F3A38"/>
    <w:rsid w:val="009F3A7A"/>
    <w:rsid w:val="009F3D89"/>
    <w:rsid w:val="009F4596"/>
    <w:rsid w:val="009F4681"/>
    <w:rsid w:val="009F4787"/>
    <w:rsid w:val="009F4916"/>
    <w:rsid w:val="009F51EF"/>
    <w:rsid w:val="009F5431"/>
    <w:rsid w:val="009F568E"/>
    <w:rsid w:val="009F6321"/>
    <w:rsid w:val="009F655F"/>
    <w:rsid w:val="009F679A"/>
    <w:rsid w:val="009F6A0A"/>
    <w:rsid w:val="009F6FA2"/>
    <w:rsid w:val="009F78AA"/>
    <w:rsid w:val="009F7D5A"/>
    <w:rsid w:val="00A005FF"/>
    <w:rsid w:val="00A006E3"/>
    <w:rsid w:val="00A0095C"/>
    <w:rsid w:val="00A01AA9"/>
    <w:rsid w:val="00A01E3C"/>
    <w:rsid w:val="00A021F7"/>
    <w:rsid w:val="00A02234"/>
    <w:rsid w:val="00A02388"/>
    <w:rsid w:val="00A026B3"/>
    <w:rsid w:val="00A0272B"/>
    <w:rsid w:val="00A03C46"/>
    <w:rsid w:val="00A045AA"/>
    <w:rsid w:val="00A045E8"/>
    <w:rsid w:val="00A04757"/>
    <w:rsid w:val="00A06000"/>
    <w:rsid w:val="00A061BF"/>
    <w:rsid w:val="00A062F3"/>
    <w:rsid w:val="00A06690"/>
    <w:rsid w:val="00A068B0"/>
    <w:rsid w:val="00A06A5F"/>
    <w:rsid w:val="00A0716A"/>
    <w:rsid w:val="00A076FE"/>
    <w:rsid w:val="00A10837"/>
    <w:rsid w:val="00A10B0D"/>
    <w:rsid w:val="00A11096"/>
    <w:rsid w:val="00A1110B"/>
    <w:rsid w:val="00A112B2"/>
    <w:rsid w:val="00A119D4"/>
    <w:rsid w:val="00A11E84"/>
    <w:rsid w:val="00A13487"/>
    <w:rsid w:val="00A139E4"/>
    <w:rsid w:val="00A13B73"/>
    <w:rsid w:val="00A13D14"/>
    <w:rsid w:val="00A14666"/>
    <w:rsid w:val="00A148C8"/>
    <w:rsid w:val="00A155CB"/>
    <w:rsid w:val="00A15AB4"/>
    <w:rsid w:val="00A164FB"/>
    <w:rsid w:val="00A1666A"/>
    <w:rsid w:val="00A172D7"/>
    <w:rsid w:val="00A174AC"/>
    <w:rsid w:val="00A20422"/>
    <w:rsid w:val="00A208CA"/>
    <w:rsid w:val="00A218F0"/>
    <w:rsid w:val="00A21A0C"/>
    <w:rsid w:val="00A21C49"/>
    <w:rsid w:val="00A22293"/>
    <w:rsid w:val="00A22D76"/>
    <w:rsid w:val="00A22F83"/>
    <w:rsid w:val="00A23044"/>
    <w:rsid w:val="00A23A45"/>
    <w:rsid w:val="00A2421A"/>
    <w:rsid w:val="00A24707"/>
    <w:rsid w:val="00A24867"/>
    <w:rsid w:val="00A24915"/>
    <w:rsid w:val="00A2501D"/>
    <w:rsid w:val="00A25174"/>
    <w:rsid w:val="00A252EB"/>
    <w:rsid w:val="00A25E48"/>
    <w:rsid w:val="00A2607F"/>
    <w:rsid w:val="00A26550"/>
    <w:rsid w:val="00A26D78"/>
    <w:rsid w:val="00A27BF7"/>
    <w:rsid w:val="00A305FA"/>
    <w:rsid w:val="00A3086A"/>
    <w:rsid w:val="00A30BC6"/>
    <w:rsid w:val="00A31CE0"/>
    <w:rsid w:val="00A32CA3"/>
    <w:rsid w:val="00A33245"/>
    <w:rsid w:val="00A33412"/>
    <w:rsid w:val="00A338E7"/>
    <w:rsid w:val="00A33960"/>
    <w:rsid w:val="00A33BB4"/>
    <w:rsid w:val="00A34005"/>
    <w:rsid w:val="00A346FF"/>
    <w:rsid w:val="00A34E05"/>
    <w:rsid w:val="00A3756B"/>
    <w:rsid w:val="00A37E78"/>
    <w:rsid w:val="00A37FE5"/>
    <w:rsid w:val="00A4098B"/>
    <w:rsid w:val="00A409B1"/>
    <w:rsid w:val="00A412D0"/>
    <w:rsid w:val="00A41506"/>
    <w:rsid w:val="00A415BC"/>
    <w:rsid w:val="00A4181C"/>
    <w:rsid w:val="00A41A0E"/>
    <w:rsid w:val="00A425E6"/>
    <w:rsid w:val="00A429C9"/>
    <w:rsid w:val="00A42DF6"/>
    <w:rsid w:val="00A42FC3"/>
    <w:rsid w:val="00A436E4"/>
    <w:rsid w:val="00A44A2C"/>
    <w:rsid w:val="00A45268"/>
    <w:rsid w:val="00A456F3"/>
    <w:rsid w:val="00A45816"/>
    <w:rsid w:val="00A4592C"/>
    <w:rsid w:val="00A4632D"/>
    <w:rsid w:val="00A46426"/>
    <w:rsid w:val="00A46956"/>
    <w:rsid w:val="00A47028"/>
    <w:rsid w:val="00A47218"/>
    <w:rsid w:val="00A4740C"/>
    <w:rsid w:val="00A50157"/>
    <w:rsid w:val="00A501EF"/>
    <w:rsid w:val="00A503F2"/>
    <w:rsid w:val="00A50A0C"/>
    <w:rsid w:val="00A51C0C"/>
    <w:rsid w:val="00A51FE2"/>
    <w:rsid w:val="00A52749"/>
    <w:rsid w:val="00A535B7"/>
    <w:rsid w:val="00A53C1F"/>
    <w:rsid w:val="00A54D51"/>
    <w:rsid w:val="00A54D62"/>
    <w:rsid w:val="00A54E51"/>
    <w:rsid w:val="00A54E9B"/>
    <w:rsid w:val="00A551DE"/>
    <w:rsid w:val="00A55626"/>
    <w:rsid w:val="00A55642"/>
    <w:rsid w:val="00A55672"/>
    <w:rsid w:val="00A55794"/>
    <w:rsid w:val="00A5583A"/>
    <w:rsid w:val="00A565CF"/>
    <w:rsid w:val="00A569A2"/>
    <w:rsid w:val="00A56E9D"/>
    <w:rsid w:val="00A575A3"/>
    <w:rsid w:val="00A5787A"/>
    <w:rsid w:val="00A578C8"/>
    <w:rsid w:val="00A57AA4"/>
    <w:rsid w:val="00A57B11"/>
    <w:rsid w:val="00A57B84"/>
    <w:rsid w:val="00A57CEA"/>
    <w:rsid w:val="00A60318"/>
    <w:rsid w:val="00A608F5"/>
    <w:rsid w:val="00A60955"/>
    <w:rsid w:val="00A60A6F"/>
    <w:rsid w:val="00A61190"/>
    <w:rsid w:val="00A611B5"/>
    <w:rsid w:val="00A61BAF"/>
    <w:rsid w:val="00A62456"/>
    <w:rsid w:val="00A6287C"/>
    <w:rsid w:val="00A62A56"/>
    <w:rsid w:val="00A62B96"/>
    <w:rsid w:val="00A62C0C"/>
    <w:rsid w:val="00A634DC"/>
    <w:rsid w:val="00A63E2C"/>
    <w:rsid w:val="00A64EA3"/>
    <w:rsid w:val="00A650F3"/>
    <w:rsid w:val="00A656D6"/>
    <w:rsid w:val="00A65FDF"/>
    <w:rsid w:val="00A66B1F"/>
    <w:rsid w:val="00A66C49"/>
    <w:rsid w:val="00A66E18"/>
    <w:rsid w:val="00A67094"/>
    <w:rsid w:val="00A679FF"/>
    <w:rsid w:val="00A67D21"/>
    <w:rsid w:val="00A7079F"/>
    <w:rsid w:val="00A71B06"/>
    <w:rsid w:val="00A72548"/>
    <w:rsid w:val="00A72778"/>
    <w:rsid w:val="00A7295F"/>
    <w:rsid w:val="00A72D34"/>
    <w:rsid w:val="00A733CF"/>
    <w:rsid w:val="00A737BF"/>
    <w:rsid w:val="00A74149"/>
    <w:rsid w:val="00A75314"/>
    <w:rsid w:val="00A753CE"/>
    <w:rsid w:val="00A75CE3"/>
    <w:rsid w:val="00A75E43"/>
    <w:rsid w:val="00A76130"/>
    <w:rsid w:val="00A76775"/>
    <w:rsid w:val="00A76A6D"/>
    <w:rsid w:val="00A777C4"/>
    <w:rsid w:val="00A80277"/>
    <w:rsid w:val="00A81116"/>
    <w:rsid w:val="00A81B86"/>
    <w:rsid w:val="00A822E9"/>
    <w:rsid w:val="00A8237E"/>
    <w:rsid w:val="00A82529"/>
    <w:rsid w:val="00A825F0"/>
    <w:rsid w:val="00A8296A"/>
    <w:rsid w:val="00A829FB"/>
    <w:rsid w:val="00A82EED"/>
    <w:rsid w:val="00A831DD"/>
    <w:rsid w:val="00A8321B"/>
    <w:rsid w:val="00A854A6"/>
    <w:rsid w:val="00A85AEF"/>
    <w:rsid w:val="00A863DA"/>
    <w:rsid w:val="00A86492"/>
    <w:rsid w:val="00A86826"/>
    <w:rsid w:val="00A86FF2"/>
    <w:rsid w:val="00A8708F"/>
    <w:rsid w:val="00A87224"/>
    <w:rsid w:val="00A8743B"/>
    <w:rsid w:val="00A9065F"/>
    <w:rsid w:val="00A90711"/>
    <w:rsid w:val="00A90798"/>
    <w:rsid w:val="00A90A52"/>
    <w:rsid w:val="00A90DCA"/>
    <w:rsid w:val="00A90F0F"/>
    <w:rsid w:val="00A91F4C"/>
    <w:rsid w:val="00A91F53"/>
    <w:rsid w:val="00A923D0"/>
    <w:rsid w:val="00A924E2"/>
    <w:rsid w:val="00A926A7"/>
    <w:rsid w:val="00A93612"/>
    <w:rsid w:val="00A939DD"/>
    <w:rsid w:val="00A93B84"/>
    <w:rsid w:val="00A95032"/>
    <w:rsid w:val="00A951AC"/>
    <w:rsid w:val="00A956B2"/>
    <w:rsid w:val="00A961ED"/>
    <w:rsid w:val="00AA06B5"/>
    <w:rsid w:val="00AA0E5A"/>
    <w:rsid w:val="00AA21D5"/>
    <w:rsid w:val="00AA2576"/>
    <w:rsid w:val="00AA2AC0"/>
    <w:rsid w:val="00AA2D3C"/>
    <w:rsid w:val="00AA344D"/>
    <w:rsid w:val="00AA3A82"/>
    <w:rsid w:val="00AA4107"/>
    <w:rsid w:val="00AA4EAF"/>
    <w:rsid w:val="00AA5593"/>
    <w:rsid w:val="00AA639D"/>
    <w:rsid w:val="00AA6696"/>
    <w:rsid w:val="00AA671F"/>
    <w:rsid w:val="00AA681B"/>
    <w:rsid w:val="00AA69FA"/>
    <w:rsid w:val="00AA69FE"/>
    <w:rsid w:val="00AA70A6"/>
    <w:rsid w:val="00AA745E"/>
    <w:rsid w:val="00AA75E2"/>
    <w:rsid w:val="00AA79E8"/>
    <w:rsid w:val="00AA7C62"/>
    <w:rsid w:val="00AB0371"/>
    <w:rsid w:val="00AB0C52"/>
    <w:rsid w:val="00AB0FB6"/>
    <w:rsid w:val="00AB1060"/>
    <w:rsid w:val="00AB1C53"/>
    <w:rsid w:val="00AB1FAF"/>
    <w:rsid w:val="00AB2467"/>
    <w:rsid w:val="00AB24FE"/>
    <w:rsid w:val="00AB2907"/>
    <w:rsid w:val="00AB2ACA"/>
    <w:rsid w:val="00AB347E"/>
    <w:rsid w:val="00AB3AA0"/>
    <w:rsid w:val="00AB3B8E"/>
    <w:rsid w:val="00AB3DAF"/>
    <w:rsid w:val="00AB421C"/>
    <w:rsid w:val="00AB434A"/>
    <w:rsid w:val="00AB479A"/>
    <w:rsid w:val="00AB4D5F"/>
    <w:rsid w:val="00AB5081"/>
    <w:rsid w:val="00AB54DB"/>
    <w:rsid w:val="00AB584A"/>
    <w:rsid w:val="00AB5E23"/>
    <w:rsid w:val="00AB6E2C"/>
    <w:rsid w:val="00AB73AC"/>
    <w:rsid w:val="00AB775A"/>
    <w:rsid w:val="00AB7762"/>
    <w:rsid w:val="00AB7CA5"/>
    <w:rsid w:val="00AC0A04"/>
    <w:rsid w:val="00AC0B92"/>
    <w:rsid w:val="00AC10A9"/>
    <w:rsid w:val="00AC13C1"/>
    <w:rsid w:val="00AC1CAE"/>
    <w:rsid w:val="00AC2375"/>
    <w:rsid w:val="00AC3328"/>
    <w:rsid w:val="00AC3568"/>
    <w:rsid w:val="00AC3AE6"/>
    <w:rsid w:val="00AC3B71"/>
    <w:rsid w:val="00AC3BA4"/>
    <w:rsid w:val="00AC410F"/>
    <w:rsid w:val="00AC51D2"/>
    <w:rsid w:val="00AC58DD"/>
    <w:rsid w:val="00AC609D"/>
    <w:rsid w:val="00AC6180"/>
    <w:rsid w:val="00AC651C"/>
    <w:rsid w:val="00AC652F"/>
    <w:rsid w:val="00AC67F1"/>
    <w:rsid w:val="00AD021F"/>
    <w:rsid w:val="00AD1239"/>
    <w:rsid w:val="00AD1B30"/>
    <w:rsid w:val="00AD2376"/>
    <w:rsid w:val="00AD24AD"/>
    <w:rsid w:val="00AD2645"/>
    <w:rsid w:val="00AD272F"/>
    <w:rsid w:val="00AD3273"/>
    <w:rsid w:val="00AD3C13"/>
    <w:rsid w:val="00AD3ECF"/>
    <w:rsid w:val="00AD4ECE"/>
    <w:rsid w:val="00AD4FDB"/>
    <w:rsid w:val="00AD5032"/>
    <w:rsid w:val="00AD516C"/>
    <w:rsid w:val="00AD53CD"/>
    <w:rsid w:val="00AD68E3"/>
    <w:rsid w:val="00AD6C65"/>
    <w:rsid w:val="00AD768A"/>
    <w:rsid w:val="00AD7DBD"/>
    <w:rsid w:val="00AE0152"/>
    <w:rsid w:val="00AE0493"/>
    <w:rsid w:val="00AE06D3"/>
    <w:rsid w:val="00AE0D3A"/>
    <w:rsid w:val="00AE129B"/>
    <w:rsid w:val="00AE1EC3"/>
    <w:rsid w:val="00AE1F0D"/>
    <w:rsid w:val="00AE20F6"/>
    <w:rsid w:val="00AE32A2"/>
    <w:rsid w:val="00AE363D"/>
    <w:rsid w:val="00AE5823"/>
    <w:rsid w:val="00AE599D"/>
    <w:rsid w:val="00AE6786"/>
    <w:rsid w:val="00AE6D0F"/>
    <w:rsid w:val="00AE76D7"/>
    <w:rsid w:val="00AE79FA"/>
    <w:rsid w:val="00AF0103"/>
    <w:rsid w:val="00AF08FA"/>
    <w:rsid w:val="00AF08FC"/>
    <w:rsid w:val="00AF0BCD"/>
    <w:rsid w:val="00AF1F29"/>
    <w:rsid w:val="00AF32BE"/>
    <w:rsid w:val="00AF3727"/>
    <w:rsid w:val="00AF37C1"/>
    <w:rsid w:val="00AF48EE"/>
    <w:rsid w:val="00AF4AC7"/>
    <w:rsid w:val="00AF5881"/>
    <w:rsid w:val="00AF5B8A"/>
    <w:rsid w:val="00AF5E83"/>
    <w:rsid w:val="00AF60F5"/>
    <w:rsid w:val="00AF627B"/>
    <w:rsid w:val="00AF69E3"/>
    <w:rsid w:val="00AF706D"/>
    <w:rsid w:val="00AF7F32"/>
    <w:rsid w:val="00B019F5"/>
    <w:rsid w:val="00B01A5C"/>
    <w:rsid w:val="00B02370"/>
    <w:rsid w:val="00B025E7"/>
    <w:rsid w:val="00B03639"/>
    <w:rsid w:val="00B0396D"/>
    <w:rsid w:val="00B039CA"/>
    <w:rsid w:val="00B03B3E"/>
    <w:rsid w:val="00B03BB9"/>
    <w:rsid w:val="00B04695"/>
    <w:rsid w:val="00B054F2"/>
    <w:rsid w:val="00B05F0E"/>
    <w:rsid w:val="00B061D4"/>
    <w:rsid w:val="00B06DD0"/>
    <w:rsid w:val="00B070C4"/>
    <w:rsid w:val="00B078C3"/>
    <w:rsid w:val="00B07E4D"/>
    <w:rsid w:val="00B101AA"/>
    <w:rsid w:val="00B10E9E"/>
    <w:rsid w:val="00B11555"/>
    <w:rsid w:val="00B11573"/>
    <w:rsid w:val="00B117E4"/>
    <w:rsid w:val="00B12218"/>
    <w:rsid w:val="00B127E5"/>
    <w:rsid w:val="00B1349C"/>
    <w:rsid w:val="00B140DE"/>
    <w:rsid w:val="00B142CE"/>
    <w:rsid w:val="00B15675"/>
    <w:rsid w:val="00B1590C"/>
    <w:rsid w:val="00B15A70"/>
    <w:rsid w:val="00B15D3B"/>
    <w:rsid w:val="00B1686A"/>
    <w:rsid w:val="00B16E21"/>
    <w:rsid w:val="00B1729A"/>
    <w:rsid w:val="00B175BF"/>
    <w:rsid w:val="00B17730"/>
    <w:rsid w:val="00B1788F"/>
    <w:rsid w:val="00B17C96"/>
    <w:rsid w:val="00B211FC"/>
    <w:rsid w:val="00B214BE"/>
    <w:rsid w:val="00B21AB6"/>
    <w:rsid w:val="00B21CF8"/>
    <w:rsid w:val="00B21E09"/>
    <w:rsid w:val="00B22B48"/>
    <w:rsid w:val="00B22D96"/>
    <w:rsid w:val="00B23606"/>
    <w:rsid w:val="00B24258"/>
    <w:rsid w:val="00B245B3"/>
    <w:rsid w:val="00B24789"/>
    <w:rsid w:val="00B24A8F"/>
    <w:rsid w:val="00B24FFD"/>
    <w:rsid w:val="00B25060"/>
    <w:rsid w:val="00B250EC"/>
    <w:rsid w:val="00B2543F"/>
    <w:rsid w:val="00B25A27"/>
    <w:rsid w:val="00B25DF4"/>
    <w:rsid w:val="00B2600D"/>
    <w:rsid w:val="00B26682"/>
    <w:rsid w:val="00B27BDF"/>
    <w:rsid w:val="00B300BC"/>
    <w:rsid w:val="00B302E4"/>
    <w:rsid w:val="00B304ED"/>
    <w:rsid w:val="00B3073F"/>
    <w:rsid w:val="00B307AA"/>
    <w:rsid w:val="00B31773"/>
    <w:rsid w:val="00B31C12"/>
    <w:rsid w:val="00B32C19"/>
    <w:rsid w:val="00B32D9B"/>
    <w:rsid w:val="00B33377"/>
    <w:rsid w:val="00B3378C"/>
    <w:rsid w:val="00B33A07"/>
    <w:rsid w:val="00B33BFC"/>
    <w:rsid w:val="00B34780"/>
    <w:rsid w:val="00B35182"/>
    <w:rsid w:val="00B35884"/>
    <w:rsid w:val="00B358C0"/>
    <w:rsid w:val="00B35E05"/>
    <w:rsid w:val="00B3612F"/>
    <w:rsid w:val="00B3618A"/>
    <w:rsid w:val="00B36379"/>
    <w:rsid w:val="00B366D3"/>
    <w:rsid w:val="00B36D92"/>
    <w:rsid w:val="00B36F04"/>
    <w:rsid w:val="00B379C5"/>
    <w:rsid w:val="00B41274"/>
    <w:rsid w:val="00B415D7"/>
    <w:rsid w:val="00B41A08"/>
    <w:rsid w:val="00B41FFE"/>
    <w:rsid w:val="00B42C02"/>
    <w:rsid w:val="00B42D4F"/>
    <w:rsid w:val="00B4360D"/>
    <w:rsid w:val="00B4373A"/>
    <w:rsid w:val="00B43E29"/>
    <w:rsid w:val="00B44ECF"/>
    <w:rsid w:val="00B45653"/>
    <w:rsid w:val="00B45805"/>
    <w:rsid w:val="00B458B6"/>
    <w:rsid w:val="00B45C64"/>
    <w:rsid w:val="00B461C9"/>
    <w:rsid w:val="00B461E3"/>
    <w:rsid w:val="00B4699D"/>
    <w:rsid w:val="00B46C83"/>
    <w:rsid w:val="00B46CB5"/>
    <w:rsid w:val="00B4780A"/>
    <w:rsid w:val="00B479A2"/>
    <w:rsid w:val="00B47D6B"/>
    <w:rsid w:val="00B47F03"/>
    <w:rsid w:val="00B504CB"/>
    <w:rsid w:val="00B51689"/>
    <w:rsid w:val="00B52497"/>
    <w:rsid w:val="00B52CAC"/>
    <w:rsid w:val="00B5312E"/>
    <w:rsid w:val="00B53D6A"/>
    <w:rsid w:val="00B54027"/>
    <w:rsid w:val="00B54CA1"/>
    <w:rsid w:val="00B55931"/>
    <w:rsid w:val="00B55B9A"/>
    <w:rsid w:val="00B569DD"/>
    <w:rsid w:val="00B56CC0"/>
    <w:rsid w:val="00B56D7E"/>
    <w:rsid w:val="00B56ED1"/>
    <w:rsid w:val="00B578E3"/>
    <w:rsid w:val="00B60BDF"/>
    <w:rsid w:val="00B61041"/>
    <w:rsid w:val="00B61057"/>
    <w:rsid w:val="00B61191"/>
    <w:rsid w:val="00B619F8"/>
    <w:rsid w:val="00B6214D"/>
    <w:rsid w:val="00B625E0"/>
    <w:rsid w:val="00B62773"/>
    <w:rsid w:val="00B62BB2"/>
    <w:rsid w:val="00B62E4A"/>
    <w:rsid w:val="00B63276"/>
    <w:rsid w:val="00B6352D"/>
    <w:rsid w:val="00B6389B"/>
    <w:rsid w:val="00B658F4"/>
    <w:rsid w:val="00B65DCB"/>
    <w:rsid w:val="00B667D1"/>
    <w:rsid w:val="00B66E2A"/>
    <w:rsid w:val="00B671FA"/>
    <w:rsid w:val="00B6728E"/>
    <w:rsid w:val="00B6741D"/>
    <w:rsid w:val="00B7008F"/>
    <w:rsid w:val="00B70BD2"/>
    <w:rsid w:val="00B7121A"/>
    <w:rsid w:val="00B71B78"/>
    <w:rsid w:val="00B72B31"/>
    <w:rsid w:val="00B730CB"/>
    <w:rsid w:val="00B7325F"/>
    <w:rsid w:val="00B73489"/>
    <w:rsid w:val="00B73967"/>
    <w:rsid w:val="00B747B1"/>
    <w:rsid w:val="00B74A2D"/>
    <w:rsid w:val="00B750AA"/>
    <w:rsid w:val="00B755D1"/>
    <w:rsid w:val="00B76391"/>
    <w:rsid w:val="00B76525"/>
    <w:rsid w:val="00B76A5C"/>
    <w:rsid w:val="00B76B03"/>
    <w:rsid w:val="00B76B3C"/>
    <w:rsid w:val="00B76E32"/>
    <w:rsid w:val="00B77BF4"/>
    <w:rsid w:val="00B80B0B"/>
    <w:rsid w:val="00B81710"/>
    <w:rsid w:val="00B826B8"/>
    <w:rsid w:val="00B82854"/>
    <w:rsid w:val="00B82B3A"/>
    <w:rsid w:val="00B82E46"/>
    <w:rsid w:val="00B8339E"/>
    <w:rsid w:val="00B83C9E"/>
    <w:rsid w:val="00B842DB"/>
    <w:rsid w:val="00B84E6F"/>
    <w:rsid w:val="00B853F2"/>
    <w:rsid w:val="00B85A4C"/>
    <w:rsid w:val="00B85D2D"/>
    <w:rsid w:val="00B85E28"/>
    <w:rsid w:val="00B8659B"/>
    <w:rsid w:val="00B8667C"/>
    <w:rsid w:val="00B87B93"/>
    <w:rsid w:val="00B87D7E"/>
    <w:rsid w:val="00B87DE6"/>
    <w:rsid w:val="00B90624"/>
    <w:rsid w:val="00B906E0"/>
    <w:rsid w:val="00B91203"/>
    <w:rsid w:val="00B912BB"/>
    <w:rsid w:val="00B913CE"/>
    <w:rsid w:val="00B91929"/>
    <w:rsid w:val="00B92128"/>
    <w:rsid w:val="00B93541"/>
    <w:rsid w:val="00B93643"/>
    <w:rsid w:val="00B93997"/>
    <w:rsid w:val="00B93C5B"/>
    <w:rsid w:val="00B94689"/>
    <w:rsid w:val="00B94736"/>
    <w:rsid w:val="00B94AB1"/>
    <w:rsid w:val="00B94FCA"/>
    <w:rsid w:val="00B9530C"/>
    <w:rsid w:val="00B96322"/>
    <w:rsid w:val="00B97130"/>
    <w:rsid w:val="00B9757C"/>
    <w:rsid w:val="00BA08EB"/>
    <w:rsid w:val="00BA1473"/>
    <w:rsid w:val="00BA1926"/>
    <w:rsid w:val="00BA1A6A"/>
    <w:rsid w:val="00BA1E7F"/>
    <w:rsid w:val="00BA27F9"/>
    <w:rsid w:val="00BA2E71"/>
    <w:rsid w:val="00BA3540"/>
    <w:rsid w:val="00BA3938"/>
    <w:rsid w:val="00BA3A49"/>
    <w:rsid w:val="00BA3C34"/>
    <w:rsid w:val="00BA3F42"/>
    <w:rsid w:val="00BA43A2"/>
    <w:rsid w:val="00BA4B6E"/>
    <w:rsid w:val="00BA59BA"/>
    <w:rsid w:val="00BA61B5"/>
    <w:rsid w:val="00BA6F3E"/>
    <w:rsid w:val="00BA774E"/>
    <w:rsid w:val="00BA7B7B"/>
    <w:rsid w:val="00BB060F"/>
    <w:rsid w:val="00BB0887"/>
    <w:rsid w:val="00BB0DF4"/>
    <w:rsid w:val="00BB0E75"/>
    <w:rsid w:val="00BB1840"/>
    <w:rsid w:val="00BB1D80"/>
    <w:rsid w:val="00BB1DFE"/>
    <w:rsid w:val="00BB1E77"/>
    <w:rsid w:val="00BB2301"/>
    <w:rsid w:val="00BB2320"/>
    <w:rsid w:val="00BB2468"/>
    <w:rsid w:val="00BB3284"/>
    <w:rsid w:val="00BB443F"/>
    <w:rsid w:val="00BB46B7"/>
    <w:rsid w:val="00BB4BF0"/>
    <w:rsid w:val="00BB4DE7"/>
    <w:rsid w:val="00BB5AA1"/>
    <w:rsid w:val="00BB6650"/>
    <w:rsid w:val="00BB667C"/>
    <w:rsid w:val="00BB6E4F"/>
    <w:rsid w:val="00BB71A4"/>
    <w:rsid w:val="00BB72B0"/>
    <w:rsid w:val="00BB75E9"/>
    <w:rsid w:val="00BB77D0"/>
    <w:rsid w:val="00BC0816"/>
    <w:rsid w:val="00BC0AA1"/>
    <w:rsid w:val="00BC0EA8"/>
    <w:rsid w:val="00BC1634"/>
    <w:rsid w:val="00BC169F"/>
    <w:rsid w:val="00BC27FA"/>
    <w:rsid w:val="00BC2871"/>
    <w:rsid w:val="00BC2921"/>
    <w:rsid w:val="00BC2D7B"/>
    <w:rsid w:val="00BC3230"/>
    <w:rsid w:val="00BC4223"/>
    <w:rsid w:val="00BC48B4"/>
    <w:rsid w:val="00BC549F"/>
    <w:rsid w:val="00BC5891"/>
    <w:rsid w:val="00BC5AE9"/>
    <w:rsid w:val="00BC69FA"/>
    <w:rsid w:val="00BC6D2A"/>
    <w:rsid w:val="00BC6E4D"/>
    <w:rsid w:val="00BC714E"/>
    <w:rsid w:val="00BC71BA"/>
    <w:rsid w:val="00BC734D"/>
    <w:rsid w:val="00BC7ACB"/>
    <w:rsid w:val="00BC7E0A"/>
    <w:rsid w:val="00BC7E4A"/>
    <w:rsid w:val="00BD04FB"/>
    <w:rsid w:val="00BD06DC"/>
    <w:rsid w:val="00BD1284"/>
    <w:rsid w:val="00BD1ACB"/>
    <w:rsid w:val="00BD24C0"/>
    <w:rsid w:val="00BD3435"/>
    <w:rsid w:val="00BD34BD"/>
    <w:rsid w:val="00BD4483"/>
    <w:rsid w:val="00BD49CA"/>
    <w:rsid w:val="00BD4FEE"/>
    <w:rsid w:val="00BD5DF3"/>
    <w:rsid w:val="00BD6085"/>
    <w:rsid w:val="00BD6908"/>
    <w:rsid w:val="00BE089F"/>
    <w:rsid w:val="00BE10C3"/>
    <w:rsid w:val="00BE119B"/>
    <w:rsid w:val="00BE1291"/>
    <w:rsid w:val="00BE1351"/>
    <w:rsid w:val="00BE16C6"/>
    <w:rsid w:val="00BE2DF8"/>
    <w:rsid w:val="00BE2F68"/>
    <w:rsid w:val="00BE2FE2"/>
    <w:rsid w:val="00BE327E"/>
    <w:rsid w:val="00BE3347"/>
    <w:rsid w:val="00BE3CE4"/>
    <w:rsid w:val="00BE4239"/>
    <w:rsid w:val="00BE4C3D"/>
    <w:rsid w:val="00BE50BE"/>
    <w:rsid w:val="00BE511A"/>
    <w:rsid w:val="00BE580C"/>
    <w:rsid w:val="00BE59B8"/>
    <w:rsid w:val="00BE69D5"/>
    <w:rsid w:val="00BE7987"/>
    <w:rsid w:val="00BE7AC9"/>
    <w:rsid w:val="00BF020F"/>
    <w:rsid w:val="00BF0C07"/>
    <w:rsid w:val="00BF1195"/>
    <w:rsid w:val="00BF14BB"/>
    <w:rsid w:val="00BF167A"/>
    <w:rsid w:val="00BF18EC"/>
    <w:rsid w:val="00BF1B38"/>
    <w:rsid w:val="00BF36E2"/>
    <w:rsid w:val="00BF4014"/>
    <w:rsid w:val="00BF50D3"/>
    <w:rsid w:val="00BF54B4"/>
    <w:rsid w:val="00BF5507"/>
    <w:rsid w:val="00BF5841"/>
    <w:rsid w:val="00BF58B3"/>
    <w:rsid w:val="00BF5F78"/>
    <w:rsid w:val="00BF6A29"/>
    <w:rsid w:val="00BF7BDA"/>
    <w:rsid w:val="00C00481"/>
    <w:rsid w:val="00C007B8"/>
    <w:rsid w:val="00C013AA"/>
    <w:rsid w:val="00C01C00"/>
    <w:rsid w:val="00C03343"/>
    <w:rsid w:val="00C034D7"/>
    <w:rsid w:val="00C038F0"/>
    <w:rsid w:val="00C0394C"/>
    <w:rsid w:val="00C03FF5"/>
    <w:rsid w:val="00C041DC"/>
    <w:rsid w:val="00C04DB7"/>
    <w:rsid w:val="00C056FD"/>
    <w:rsid w:val="00C059E2"/>
    <w:rsid w:val="00C05CE4"/>
    <w:rsid w:val="00C065B9"/>
    <w:rsid w:val="00C06F56"/>
    <w:rsid w:val="00C07024"/>
    <w:rsid w:val="00C07037"/>
    <w:rsid w:val="00C07F47"/>
    <w:rsid w:val="00C101DD"/>
    <w:rsid w:val="00C1046E"/>
    <w:rsid w:val="00C1138C"/>
    <w:rsid w:val="00C12288"/>
    <w:rsid w:val="00C12440"/>
    <w:rsid w:val="00C131B6"/>
    <w:rsid w:val="00C13B0F"/>
    <w:rsid w:val="00C13FC9"/>
    <w:rsid w:val="00C140F2"/>
    <w:rsid w:val="00C14B56"/>
    <w:rsid w:val="00C15291"/>
    <w:rsid w:val="00C152AB"/>
    <w:rsid w:val="00C158CB"/>
    <w:rsid w:val="00C159CE"/>
    <w:rsid w:val="00C16C96"/>
    <w:rsid w:val="00C1798D"/>
    <w:rsid w:val="00C20D68"/>
    <w:rsid w:val="00C210D6"/>
    <w:rsid w:val="00C21859"/>
    <w:rsid w:val="00C221FB"/>
    <w:rsid w:val="00C230F9"/>
    <w:rsid w:val="00C23293"/>
    <w:rsid w:val="00C23964"/>
    <w:rsid w:val="00C23AEF"/>
    <w:rsid w:val="00C23EFD"/>
    <w:rsid w:val="00C2407D"/>
    <w:rsid w:val="00C2447F"/>
    <w:rsid w:val="00C24618"/>
    <w:rsid w:val="00C24EF1"/>
    <w:rsid w:val="00C24F20"/>
    <w:rsid w:val="00C255DD"/>
    <w:rsid w:val="00C25757"/>
    <w:rsid w:val="00C2576A"/>
    <w:rsid w:val="00C25CAB"/>
    <w:rsid w:val="00C25DB2"/>
    <w:rsid w:val="00C25EDA"/>
    <w:rsid w:val="00C25F0A"/>
    <w:rsid w:val="00C26C75"/>
    <w:rsid w:val="00C273B4"/>
    <w:rsid w:val="00C2752D"/>
    <w:rsid w:val="00C27AB6"/>
    <w:rsid w:val="00C27B7F"/>
    <w:rsid w:val="00C301FF"/>
    <w:rsid w:val="00C3123A"/>
    <w:rsid w:val="00C31431"/>
    <w:rsid w:val="00C31441"/>
    <w:rsid w:val="00C3167C"/>
    <w:rsid w:val="00C31C4C"/>
    <w:rsid w:val="00C31DD1"/>
    <w:rsid w:val="00C32036"/>
    <w:rsid w:val="00C325EE"/>
    <w:rsid w:val="00C32695"/>
    <w:rsid w:val="00C326F2"/>
    <w:rsid w:val="00C338ED"/>
    <w:rsid w:val="00C339B9"/>
    <w:rsid w:val="00C33E13"/>
    <w:rsid w:val="00C3432F"/>
    <w:rsid w:val="00C343DB"/>
    <w:rsid w:val="00C366DB"/>
    <w:rsid w:val="00C36802"/>
    <w:rsid w:val="00C37F5E"/>
    <w:rsid w:val="00C40384"/>
    <w:rsid w:val="00C40933"/>
    <w:rsid w:val="00C409E7"/>
    <w:rsid w:val="00C409F7"/>
    <w:rsid w:val="00C40AAD"/>
    <w:rsid w:val="00C40DD1"/>
    <w:rsid w:val="00C40FF6"/>
    <w:rsid w:val="00C416DD"/>
    <w:rsid w:val="00C41F94"/>
    <w:rsid w:val="00C420EB"/>
    <w:rsid w:val="00C42639"/>
    <w:rsid w:val="00C43210"/>
    <w:rsid w:val="00C43AB0"/>
    <w:rsid w:val="00C442AE"/>
    <w:rsid w:val="00C4438D"/>
    <w:rsid w:val="00C4454D"/>
    <w:rsid w:val="00C4466E"/>
    <w:rsid w:val="00C45131"/>
    <w:rsid w:val="00C46455"/>
    <w:rsid w:val="00C467A4"/>
    <w:rsid w:val="00C476EA"/>
    <w:rsid w:val="00C47925"/>
    <w:rsid w:val="00C50024"/>
    <w:rsid w:val="00C50262"/>
    <w:rsid w:val="00C50380"/>
    <w:rsid w:val="00C50995"/>
    <w:rsid w:val="00C51267"/>
    <w:rsid w:val="00C51E4A"/>
    <w:rsid w:val="00C52508"/>
    <w:rsid w:val="00C52884"/>
    <w:rsid w:val="00C52C56"/>
    <w:rsid w:val="00C52CE2"/>
    <w:rsid w:val="00C53113"/>
    <w:rsid w:val="00C53321"/>
    <w:rsid w:val="00C53730"/>
    <w:rsid w:val="00C53BCD"/>
    <w:rsid w:val="00C54331"/>
    <w:rsid w:val="00C543E5"/>
    <w:rsid w:val="00C553DA"/>
    <w:rsid w:val="00C558DC"/>
    <w:rsid w:val="00C5592C"/>
    <w:rsid w:val="00C5592D"/>
    <w:rsid w:val="00C56525"/>
    <w:rsid w:val="00C56C12"/>
    <w:rsid w:val="00C572BD"/>
    <w:rsid w:val="00C57F88"/>
    <w:rsid w:val="00C60213"/>
    <w:rsid w:val="00C602A7"/>
    <w:rsid w:val="00C60445"/>
    <w:rsid w:val="00C604A1"/>
    <w:rsid w:val="00C60EA7"/>
    <w:rsid w:val="00C60F12"/>
    <w:rsid w:val="00C61852"/>
    <w:rsid w:val="00C62398"/>
    <w:rsid w:val="00C62583"/>
    <w:rsid w:val="00C62614"/>
    <w:rsid w:val="00C6261D"/>
    <w:rsid w:val="00C63122"/>
    <w:rsid w:val="00C634BD"/>
    <w:rsid w:val="00C63635"/>
    <w:rsid w:val="00C642E9"/>
    <w:rsid w:val="00C64998"/>
    <w:rsid w:val="00C64AE7"/>
    <w:rsid w:val="00C64EA5"/>
    <w:rsid w:val="00C654C4"/>
    <w:rsid w:val="00C65D58"/>
    <w:rsid w:val="00C65E69"/>
    <w:rsid w:val="00C6649B"/>
    <w:rsid w:val="00C6776D"/>
    <w:rsid w:val="00C70074"/>
    <w:rsid w:val="00C709A0"/>
    <w:rsid w:val="00C711FB"/>
    <w:rsid w:val="00C7132D"/>
    <w:rsid w:val="00C71414"/>
    <w:rsid w:val="00C715BF"/>
    <w:rsid w:val="00C71710"/>
    <w:rsid w:val="00C71E1F"/>
    <w:rsid w:val="00C71F47"/>
    <w:rsid w:val="00C720E7"/>
    <w:rsid w:val="00C72376"/>
    <w:rsid w:val="00C7413F"/>
    <w:rsid w:val="00C74419"/>
    <w:rsid w:val="00C7608F"/>
    <w:rsid w:val="00C768C7"/>
    <w:rsid w:val="00C7692E"/>
    <w:rsid w:val="00C76D08"/>
    <w:rsid w:val="00C776BC"/>
    <w:rsid w:val="00C77918"/>
    <w:rsid w:val="00C804E5"/>
    <w:rsid w:val="00C8054F"/>
    <w:rsid w:val="00C80CA8"/>
    <w:rsid w:val="00C80CC4"/>
    <w:rsid w:val="00C80EC0"/>
    <w:rsid w:val="00C8135C"/>
    <w:rsid w:val="00C81852"/>
    <w:rsid w:val="00C81AFF"/>
    <w:rsid w:val="00C81BC4"/>
    <w:rsid w:val="00C81FE5"/>
    <w:rsid w:val="00C8247B"/>
    <w:rsid w:val="00C829AA"/>
    <w:rsid w:val="00C8313F"/>
    <w:rsid w:val="00C845FD"/>
    <w:rsid w:val="00C84A9A"/>
    <w:rsid w:val="00C8511B"/>
    <w:rsid w:val="00C8544D"/>
    <w:rsid w:val="00C8556F"/>
    <w:rsid w:val="00C858F8"/>
    <w:rsid w:val="00C865A5"/>
    <w:rsid w:val="00C86941"/>
    <w:rsid w:val="00C86D2F"/>
    <w:rsid w:val="00C876F6"/>
    <w:rsid w:val="00C87CCD"/>
    <w:rsid w:val="00C909BE"/>
    <w:rsid w:val="00C90BF3"/>
    <w:rsid w:val="00C90DEF"/>
    <w:rsid w:val="00C91AFF"/>
    <w:rsid w:val="00C91B1C"/>
    <w:rsid w:val="00C91B5C"/>
    <w:rsid w:val="00C91BAD"/>
    <w:rsid w:val="00C92326"/>
    <w:rsid w:val="00C924BB"/>
    <w:rsid w:val="00C92AE5"/>
    <w:rsid w:val="00C92D33"/>
    <w:rsid w:val="00C9401E"/>
    <w:rsid w:val="00C94994"/>
    <w:rsid w:val="00C94D87"/>
    <w:rsid w:val="00C952CF"/>
    <w:rsid w:val="00C962A0"/>
    <w:rsid w:val="00C964B2"/>
    <w:rsid w:val="00C96F9F"/>
    <w:rsid w:val="00C9724D"/>
    <w:rsid w:val="00C974BA"/>
    <w:rsid w:val="00C975D5"/>
    <w:rsid w:val="00C97832"/>
    <w:rsid w:val="00CA0300"/>
    <w:rsid w:val="00CA033F"/>
    <w:rsid w:val="00CA037D"/>
    <w:rsid w:val="00CA04A6"/>
    <w:rsid w:val="00CA058D"/>
    <w:rsid w:val="00CA1153"/>
    <w:rsid w:val="00CA1BC3"/>
    <w:rsid w:val="00CA2438"/>
    <w:rsid w:val="00CA2BCB"/>
    <w:rsid w:val="00CA30E6"/>
    <w:rsid w:val="00CA3889"/>
    <w:rsid w:val="00CA3AC8"/>
    <w:rsid w:val="00CA42F8"/>
    <w:rsid w:val="00CA4695"/>
    <w:rsid w:val="00CA4A5C"/>
    <w:rsid w:val="00CA4B23"/>
    <w:rsid w:val="00CA4D11"/>
    <w:rsid w:val="00CA5361"/>
    <w:rsid w:val="00CA56BD"/>
    <w:rsid w:val="00CA5751"/>
    <w:rsid w:val="00CA5915"/>
    <w:rsid w:val="00CA5DF1"/>
    <w:rsid w:val="00CA5F98"/>
    <w:rsid w:val="00CA6022"/>
    <w:rsid w:val="00CA7E0E"/>
    <w:rsid w:val="00CB1001"/>
    <w:rsid w:val="00CB1412"/>
    <w:rsid w:val="00CB1818"/>
    <w:rsid w:val="00CB26DD"/>
    <w:rsid w:val="00CB2D03"/>
    <w:rsid w:val="00CB2F85"/>
    <w:rsid w:val="00CB334A"/>
    <w:rsid w:val="00CB3400"/>
    <w:rsid w:val="00CB3470"/>
    <w:rsid w:val="00CB3813"/>
    <w:rsid w:val="00CB3C19"/>
    <w:rsid w:val="00CB3EF3"/>
    <w:rsid w:val="00CB4B78"/>
    <w:rsid w:val="00CB4BE5"/>
    <w:rsid w:val="00CB56F5"/>
    <w:rsid w:val="00CB59EC"/>
    <w:rsid w:val="00CB5B0D"/>
    <w:rsid w:val="00CB5DDF"/>
    <w:rsid w:val="00CB5DFF"/>
    <w:rsid w:val="00CB6767"/>
    <w:rsid w:val="00CB68FC"/>
    <w:rsid w:val="00CB6997"/>
    <w:rsid w:val="00CB6B78"/>
    <w:rsid w:val="00CB6D12"/>
    <w:rsid w:val="00CB7202"/>
    <w:rsid w:val="00CB7D96"/>
    <w:rsid w:val="00CC02E3"/>
    <w:rsid w:val="00CC0728"/>
    <w:rsid w:val="00CC1065"/>
    <w:rsid w:val="00CC16DC"/>
    <w:rsid w:val="00CC1D25"/>
    <w:rsid w:val="00CC210A"/>
    <w:rsid w:val="00CC23C4"/>
    <w:rsid w:val="00CC2495"/>
    <w:rsid w:val="00CC2905"/>
    <w:rsid w:val="00CC2E7B"/>
    <w:rsid w:val="00CC31FE"/>
    <w:rsid w:val="00CC3500"/>
    <w:rsid w:val="00CC38D9"/>
    <w:rsid w:val="00CC3CEB"/>
    <w:rsid w:val="00CC464C"/>
    <w:rsid w:val="00CC4DCD"/>
    <w:rsid w:val="00CC55D5"/>
    <w:rsid w:val="00CC63F3"/>
    <w:rsid w:val="00CC65F6"/>
    <w:rsid w:val="00CC67F1"/>
    <w:rsid w:val="00CC6803"/>
    <w:rsid w:val="00CC6B0D"/>
    <w:rsid w:val="00CC7242"/>
    <w:rsid w:val="00CC7E91"/>
    <w:rsid w:val="00CD04DB"/>
    <w:rsid w:val="00CD1835"/>
    <w:rsid w:val="00CD2066"/>
    <w:rsid w:val="00CD2882"/>
    <w:rsid w:val="00CD2FCC"/>
    <w:rsid w:val="00CD3378"/>
    <w:rsid w:val="00CD38A0"/>
    <w:rsid w:val="00CD39CF"/>
    <w:rsid w:val="00CD3B73"/>
    <w:rsid w:val="00CD3BD0"/>
    <w:rsid w:val="00CD4024"/>
    <w:rsid w:val="00CD4AAD"/>
    <w:rsid w:val="00CD4F22"/>
    <w:rsid w:val="00CD537C"/>
    <w:rsid w:val="00CD5A1F"/>
    <w:rsid w:val="00CD60AF"/>
    <w:rsid w:val="00CD7153"/>
    <w:rsid w:val="00CD7A47"/>
    <w:rsid w:val="00CD7C8C"/>
    <w:rsid w:val="00CE011E"/>
    <w:rsid w:val="00CE02A1"/>
    <w:rsid w:val="00CE0ABC"/>
    <w:rsid w:val="00CE14A1"/>
    <w:rsid w:val="00CE183D"/>
    <w:rsid w:val="00CE24C3"/>
    <w:rsid w:val="00CE2D01"/>
    <w:rsid w:val="00CE364B"/>
    <w:rsid w:val="00CE3C87"/>
    <w:rsid w:val="00CE4680"/>
    <w:rsid w:val="00CE5453"/>
    <w:rsid w:val="00CE54BF"/>
    <w:rsid w:val="00CE5C49"/>
    <w:rsid w:val="00CE6066"/>
    <w:rsid w:val="00CE6220"/>
    <w:rsid w:val="00CE64BC"/>
    <w:rsid w:val="00CE747E"/>
    <w:rsid w:val="00CE7955"/>
    <w:rsid w:val="00CE7E0F"/>
    <w:rsid w:val="00CF00A1"/>
    <w:rsid w:val="00CF0368"/>
    <w:rsid w:val="00CF0623"/>
    <w:rsid w:val="00CF0F08"/>
    <w:rsid w:val="00CF0F95"/>
    <w:rsid w:val="00CF1D4B"/>
    <w:rsid w:val="00CF21F5"/>
    <w:rsid w:val="00CF3800"/>
    <w:rsid w:val="00CF4748"/>
    <w:rsid w:val="00CF6A8B"/>
    <w:rsid w:val="00CF6B22"/>
    <w:rsid w:val="00CF765C"/>
    <w:rsid w:val="00CF77DE"/>
    <w:rsid w:val="00CF78A1"/>
    <w:rsid w:val="00D00860"/>
    <w:rsid w:val="00D01737"/>
    <w:rsid w:val="00D0179C"/>
    <w:rsid w:val="00D01F6F"/>
    <w:rsid w:val="00D033F5"/>
    <w:rsid w:val="00D03541"/>
    <w:rsid w:val="00D036DA"/>
    <w:rsid w:val="00D03932"/>
    <w:rsid w:val="00D03A02"/>
    <w:rsid w:val="00D05E36"/>
    <w:rsid w:val="00D06008"/>
    <w:rsid w:val="00D068FB"/>
    <w:rsid w:val="00D06EAA"/>
    <w:rsid w:val="00D0743E"/>
    <w:rsid w:val="00D0767B"/>
    <w:rsid w:val="00D100E8"/>
    <w:rsid w:val="00D10145"/>
    <w:rsid w:val="00D10897"/>
    <w:rsid w:val="00D109CA"/>
    <w:rsid w:val="00D10DE2"/>
    <w:rsid w:val="00D10E58"/>
    <w:rsid w:val="00D119CF"/>
    <w:rsid w:val="00D11C7E"/>
    <w:rsid w:val="00D1202C"/>
    <w:rsid w:val="00D1216B"/>
    <w:rsid w:val="00D12D7B"/>
    <w:rsid w:val="00D13395"/>
    <w:rsid w:val="00D135DB"/>
    <w:rsid w:val="00D13AE0"/>
    <w:rsid w:val="00D13E6F"/>
    <w:rsid w:val="00D13E77"/>
    <w:rsid w:val="00D13EDA"/>
    <w:rsid w:val="00D1410A"/>
    <w:rsid w:val="00D14940"/>
    <w:rsid w:val="00D14D55"/>
    <w:rsid w:val="00D14E99"/>
    <w:rsid w:val="00D14F4B"/>
    <w:rsid w:val="00D15670"/>
    <w:rsid w:val="00D15AD6"/>
    <w:rsid w:val="00D163EB"/>
    <w:rsid w:val="00D164DF"/>
    <w:rsid w:val="00D16F86"/>
    <w:rsid w:val="00D16F9F"/>
    <w:rsid w:val="00D17A97"/>
    <w:rsid w:val="00D21093"/>
    <w:rsid w:val="00D211E7"/>
    <w:rsid w:val="00D212C0"/>
    <w:rsid w:val="00D22C3F"/>
    <w:rsid w:val="00D23B53"/>
    <w:rsid w:val="00D248B9"/>
    <w:rsid w:val="00D25799"/>
    <w:rsid w:val="00D25BC7"/>
    <w:rsid w:val="00D25D8B"/>
    <w:rsid w:val="00D26122"/>
    <w:rsid w:val="00D26A2D"/>
    <w:rsid w:val="00D26ABD"/>
    <w:rsid w:val="00D26CDA"/>
    <w:rsid w:val="00D26D3E"/>
    <w:rsid w:val="00D30381"/>
    <w:rsid w:val="00D3045A"/>
    <w:rsid w:val="00D30629"/>
    <w:rsid w:val="00D3078E"/>
    <w:rsid w:val="00D307B1"/>
    <w:rsid w:val="00D3222A"/>
    <w:rsid w:val="00D32512"/>
    <w:rsid w:val="00D3342B"/>
    <w:rsid w:val="00D33627"/>
    <w:rsid w:val="00D33762"/>
    <w:rsid w:val="00D33922"/>
    <w:rsid w:val="00D33E18"/>
    <w:rsid w:val="00D33E32"/>
    <w:rsid w:val="00D349B2"/>
    <w:rsid w:val="00D34B0D"/>
    <w:rsid w:val="00D35655"/>
    <w:rsid w:val="00D35FE9"/>
    <w:rsid w:val="00D361A7"/>
    <w:rsid w:val="00D36748"/>
    <w:rsid w:val="00D3674A"/>
    <w:rsid w:val="00D3724A"/>
    <w:rsid w:val="00D37ADC"/>
    <w:rsid w:val="00D37F73"/>
    <w:rsid w:val="00D4048A"/>
    <w:rsid w:val="00D40B51"/>
    <w:rsid w:val="00D40C2C"/>
    <w:rsid w:val="00D4124B"/>
    <w:rsid w:val="00D413F9"/>
    <w:rsid w:val="00D418B8"/>
    <w:rsid w:val="00D42DD8"/>
    <w:rsid w:val="00D4316A"/>
    <w:rsid w:val="00D43BDA"/>
    <w:rsid w:val="00D43C03"/>
    <w:rsid w:val="00D44347"/>
    <w:rsid w:val="00D44916"/>
    <w:rsid w:val="00D44F60"/>
    <w:rsid w:val="00D4528D"/>
    <w:rsid w:val="00D4557B"/>
    <w:rsid w:val="00D455D6"/>
    <w:rsid w:val="00D46257"/>
    <w:rsid w:val="00D46C6A"/>
    <w:rsid w:val="00D46DF3"/>
    <w:rsid w:val="00D46F9C"/>
    <w:rsid w:val="00D46FC1"/>
    <w:rsid w:val="00D47214"/>
    <w:rsid w:val="00D47A7B"/>
    <w:rsid w:val="00D47C41"/>
    <w:rsid w:val="00D5039C"/>
    <w:rsid w:val="00D5053F"/>
    <w:rsid w:val="00D5075A"/>
    <w:rsid w:val="00D50F4C"/>
    <w:rsid w:val="00D511FC"/>
    <w:rsid w:val="00D51514"/>
    <w:rsid w:val="00D51833"/>
    <w:rsid w:val="00D51C59"/>
    <w:rsid w:val="00D5224F"/>
    <w:rsid w:val="00D523BA"/>
    <w:rsid w:val="00D52766"/>
    <w:rsid w:val="00D52C54"/>
    <w:rsid w:val="00D52D2A"/>
    <w:rsid w:val="00D535BA"/>
    <w:rsid w:val="00D53953"/>
    <w:rsid w:val="00D53BE7"/>
    <w:rsid w:val="00D53F43"/>
    <w:rsid w:val="00D542ED"/>
    <w:rsid w:val="00D5451E"/>
    <w:rsid w:val="00D54799"/>
    <w:rsid w:val="00D548E2"/>
    <w:rsid w:val="00D55078"/>
    <w:rsid w:val="00D55A0E"/>
    <w:rsid w:val="00D55BE0"/>
    <w:rsid w:val="00D5626F"/>
    <w:rsid w:val="00D5656C"/>
    <w:rsid w:val="00D569F4"/>
    <w:rsid w:val="00D56C01"/>
    <w:rsid w:val="00D56F83"/>
    <w:rsid w:val="00D57465"/>
    <w:rsid w:val="00D601E6"/>
    <w:rsid w:val="00D6023A"/>
    <w:rsid w:val="00D60604"/>
    <w:rsid w:val="00D607E6"/>
    <w:rsid w:val="00D60AB9"/>
    <w:rsid w:val="00D60E4C"/>
    <w:rsid w:val="00D61019"/>
    <w:rsid w:val="00D6193A"/>
    <w:rsid w:val="00D61BEE"/>
    <w:rsid w:val="00D61CFE"/>
    <w:rsid w:val="00D625F2"/>
    <w:rsid w:val="00D635EE"/>
    <w:rsid w:val="00D63B11"/>
    <w:rsid w:val="00D63E79"/>
    <w:rsid w:val="00D63ED7"/>
    <w:rsid w:val="00D64151"/>
    <w:rsid w:val="00D646CA"/>
    <w:rsid w:val="00D66C87"/>
    <w:rsid w:val="00D66F56"/>
    <w:rsid w:val="00D676BC"/>
    <w:rsid w:val="00D67885"/>
    <w:rsid w:val="00D67E42"/>
    <w:rsid w:val="00D70154"/>
    <w:rsid w:val="00D701A2"/>
    <w:rsid w:val="00D701B2"/>
    <w:rsid w:val="00D7086D"/>
    <w:rsid w:val="00D70FB4"/>
    <w:rsid w:val="00D7118A"/>
    <w:rsid w:val="00D72008"/>
    <w:rsid w:val="00D720A4"/>
    <w:rsid w:val="00D727A9"/>
    <w:rsid w:val="00D72A3D"/>
    <w:rsid w:val="00D72A8A"/>
    <w:rsid w:val="00D72BD9"/>
    <w:rsid w:val="00D72D3B"/>
    <w:rsid w:val="00D73403"/>
    <w:rsid w:val="00D73D40"/>
    <w:rsid w:val="00D74BB7"/>
    <w:rsid w:val="00D74EDC"/>
    <w:rsid w:val="00D74FA3"/>
    <w:rsid w:val="00D7518F"/>
    <w:rsid w:val="00D75687"/>
    <w:rsid w:val="00D75705"/>
    <w:rsid w:val="00D75A52"/>
    <w:rsid w:val="00D770E5"/>
    <w:rsid w:val="00D77630"/>
    <w:rsid w:val="00D77E3C"/>
    <w:rsid w:val="00D8000D"/>
    <w:rsid w:val="00D8033C"/>
    <w:rsid w:val="00D80A83"/>
    <w:rsid w:val="00D8109D"/>
    <w:rsid w:val="00D8129F"/>
    <w:rsid w:val="00D814EF"/>
    <w:rsid w:val="00D81EA3"/>
    <w:rsid w:val="00D828E0"/>
    <w:rsid w:val="00D82983"/>
    <w:rsid w:val="00D82A11"/>
    <w:rsid w:val="00D82ABD"/>
    <w:rsid w:val="00D82D19"/>
    <w:rsid w:val="00D83137"/>
    <w:rsid w:val="00D83207"/>
    <w:rsid w:val="00D8432B"/>
    <w:rsid w:val="00D84A8E"/>
    <w:rsid w:val="00D84B00"/>
    <w:rsid w:val="00D84E41"/>
    <w:rsid w:val="00D84FFB"/>
    <w:rsid w:val="00D857F4"/>
    <w:rsid w:val="00D85841"/>
    <w:rsid w:val="00D85C8C"/>
    <w:rsid w:val="00D85FAC"/>
    <w:rsid w:val="00D86885"/>
    <w:rsid w:val="00D86AC1"/>
    <w:rsid w:val="00D86BFF"/>
    <w:rsid w:val="00D8730B"/>
    <w:rsid w:val="00D876C3"/>
    <w:rsid w:val="00D87891"/>
    <w:rsid w:val="00D87D72"/>
    <w:rsid w:val="00D90DD3"/>
    <w:rsid w:val="00D916F2"/>
    <w:rsid w:val="00D91815"/>
    <w:rsid w:val="00D91B82"/>
    <w:rsid w:val="00D92751"/>
    <w:rsid w:val="00D92CBB"/>
    <w:rsid w:val="00D931A3"/>
    <w:rsid w:val="00D93379"/>
    <w:rsid w:val="00D93ABF"/>
    <w:rsid w:val="00D93E00"/>
    <w:rsid w:val="00D93FF5"/>
    <w:rsid w:val="00D94A49"/>
    <w:rsid w:val="00D95E10"/>
    <w:rsid w:val="00D966A4"/>
    <w:rsid w:val="00D96A0C"/>
    <w:rsid w:val="00D97781"/>
    <w:rsid w:val="00D97A03"/>
    <w:rsid w:val="00DA01EB"/>
    <w:rsid w:val="00DA0715"/>
    <w:rsid w:val="00DA0D3D"/>
    <w:rsid w:val="00DA10CF"/>
    <w:rsid w:val="00DA1483"/>
    <w:rsid w:val="00DA18E9"/>
    <w:rsid w:val="00DA1C9A"/>
    <w:rsid w:val="00DA291C"/>
    <w:rsid w:val="00DA2D4E"/>
    <w:rsid w:val="00DA2F54"/>
    <w:rsid w:val="00DA3CCF"/>
    <w:rsid w:val="00DA43DC"/>
    <w:rsid w:val="00DA4D2D"/>
    <w:rsid w:val="00DA4EB0"/>
    <w:rsid w:val="00DA5130"/>
    <w:rsid w:val="00DA5A2F"/>
    <w:rsid w:val="00DA6741"/>
    <w:rsid w:val="00DA68D8"/>
    <w:rsid w:val="00DA74FF"/>
    <w:rsid w:val="00DA77F5"/>
    <w:rsid w:val="00DB0123"/>
    <w:rsid w:val="00DB0303"/>
    <w:rsid w:val="00DB04AE"/>
    <w:rsid w:val="00DB0ADA"/>
    <w:rsid w:val="00DB25E3"/>
    <w:rsid w:val="00DB2EC9"/>
    <w:rsid w:val="00DB3829"/>
    <w:rsid w:val="00DB4710"/>
    <w:rsid w:val="00DB5D18"/>
    <w:rsid w:val="00DB5E60"/>
    <w:rsid w:val="00DB63EF"/>
    <w:rsid w:val="00DB67C1"/>
    <w:rsid w:val="00DB71A0"/>
    <w:rsid w:val="00DB74E7"/>
    <w:rsid w:val="00DB7A23"/>
    <w:rsid w:val="00DB7E19"/>
    <w:rsid w:val="00DC06E5"/>
    <w:rsid w:val="00DC0947"/>
    <w:rsid w:val="00DC0A84"/>
    <w:rsid w:val="00DC138D"/>
    <w:rsid w:val="00DC192B"/>
    <w:rsid w:val="00DC1959"/>
    <w:rsid w:val="00DC1AF9"/>
    <w:rsid w:val="00DC2DE6"/>
    <w:rsid w:val="00DC34A6"/>
    <w:rsid w:val="00DC3533"/>
    <w:rsid w:val="00DC3E1A"/>
    <w:rsid w:val="00DC4413"/>
    <w:rsid w:val="00DC4DE9"/>
    <w:rsid w:val="00DC5182"/>
    <w:rsid w:val="00DC55A8"/>
    <w:rsid w:val="00DC5AD9"/>
    <w:rsid w:val="00DC5EAF"/>
    <w:rsid w:val="00DC5EBF"/>
    <w:rsid w:val="00DC6734"/>
    <w:rsid w:val="00DC68B7"/>
    <w:rsid w:val="00DC6BF4"/>
    <w:rsid w:val="00DC6FC5"/>
    <w:rsid w:val="00DC753A"/>
    <w:rsid w:val="00DD0111"/>
    <w:rsid w:val="00DD0D0D"/>
    <w:rsid w:val="00DD106F"/>
    <w:rsid w:val="00DD16A4"/>
    <w:rsid w:val="00DD1835"/>
    <w:rsid w:val="00DD1F60"/>
    <w:rsid w:val="00DD2AB9"/>
    <w:rsid w:val="00DD4147"/>
    <w:rsid w:val="00DD42E4"/>
    <w:rsid w:val="00DD45E8"/>
    <w:rsid w:val="00DD49BF"/>
    <w:rsid w:val="00DD4B8A"/>
    <w:rsid w:val="00DD5688"/>
    <w:rsid w:val="00DD640D"/>
    <w:rsid w:val="00DD645B"/>
    <w:rsid w:val="00DD6E02"/>
    <w:rsid w:val="00DD71F4"/>
    <w:rsid w:val="00DD754E"/>
    <w:rsid w:val="00DD7799"/>
    <w:rsid w:val="00DE03B7"/>
    <w:rsid w:val="00DE0908"/>
    <w:rsid w:val="00DE1110"/>
    <w:rsid w:val="00DE1569"/>
    <w:rsid w:val="00DE211D"/>
    <w:rsid w:val="00DE26EE"/>
    <w:rsid w:val="00DE270D"/>
    <w:rsid w:val="00DE3457"/>
    <w:rsid w:val="00DE356D"/>
    <w:rsid w:val="00DE382E"/>
    <w:rsid w:val="00DE4647"/>
    <w:rsid w:val="00DE4B7E"/>
    <w:rsid w:val="00DE519A"/>
    <w:rsid w:val="00DE565B"/>
    <w:rsid w:val="00DE5852"/>
    <w:rsid w:val="00DE5C0B"/>
    <w:rsid w:val="00DE681A"/>
    <w:rsid w:val="00DE6A3D"/>
    <w:rsid w:val="00DE6A5D"/>
    <w:rsid w:val="00DE6D38"/>
    <w:rsid w:val="00DE7FA0"/>
    <w:rsid w:val="00DF046D"/>
    <w:rsid w:val="00DF06ED"/>
    <w:rsid w:val="00DF0AFA"/>
    <w:rsid w:val="00DF0C6A"/>
    <w:rsid w:val="00DF0E22"/>
    <w:rsid w:val="00DF1130"/>
    <w:rsid w:val="00DF1A9F"/>
    <w:rsid w:val="00DF2221"/>
    <w:rsid w:val="00DF2B86"/>
    <w:rsid w:val="00DF2E08"/>
    <w:rsid w:val="00DF31F8"/>
    <w:rsid w:val="00DF3549"/>
    <w:rsid w:val="00DF36CA"/>
    <w:rsid w:val="00DF4901"/>
    <w:rsid w:val="00DF4ADB"/>
    <w:rsid w:val="00DF6E51"/>
    <w:rsid w:val="00DF707A"/>
    <w:rsid w:val="00DF73F7"/>
    <w:rsid w:val="00DF7B6F"/>
    <w:rsid w:val="00E00536"/>
    <w:rsid w:val="00E00D16"/>
    <w:rsid w:val="00E00E21"/>
    <w:rsid w:val="00E0154C"/>
    <w:rsid w:val="00E0165B"/>
    <w:rsid w:val="00E029CD"/>
    <w:rsid w:val="00E02C30"/>
    <w:rsid w:val="00E036B5"/>
    <w:rsid w:val="00E039E8"/>
    <w:rsid w:val="00E03BE3"/>
    <w:rsid w:val="00E03FB5"/>
    <w:rsid w:val="00E040E6"/>
    <w:rsid w:val="00E045CF"/>
    <w:rsid w:val="00E04A0C"/>
    <w:rsid w:val="00E053D7"/>
    <w:rsid w:val="00E057F2"/>
    <w:rsid w:val="00E05FA7"/>
    <w:rsid w:val="00E061E1"/>
    <w:rsid w:val="00E067B3"/>
    <w:rsid w:val="00E06B9A"/>
    <w:rsid w:val="00E06C17"/>
    <w:rsid w:val="00E075A3"/>
    <w:rsid w:val="00E0769B"/>
    <w:rsid w:val="00E07BA7"/>
    <w:rsid w:val="00E1089C"/>
    <w:rsid w:val="00E10973"/>
    <w:rsid w:val="00E10C0D"/>
    <w:rsid w:val="00E11350"/>
    <w:rsid w:val="00E1137B"/>
    <w:rsid w:val="00E11A62"/>
    <w:rsid w:val="00E11ABD"/>
    <w:rsid w:val="00E11CD8"/>
    <w:rsid w:val="00E127A0"/>
    <w:rsid w:val="00E12EDF"/>
    <w:rsid w:val="00E136A2"/>
    <w:rsid w:val="00E15230"/>
    <w:rsid w:val="00E1543E"/>
    <w:rsid w:val="00E1592B"/>
    <w:rsid w:val="00E15A31"/>
    <w:rsid w:val="00E15D4C"/>
    <w:rsid w:val="00E163FC"/>
    <w:rsid w:val="00E16AB3"/>
    <w:rsid w:val="00E16D59"/>
    <w:rsid w:val="00E16EE5"/>
    <w:rsid w:val="00E17138"/>
    <w:rsid w:val="00E17388"/>
    <w:rsid w:val="00E175FF"/>
    <w:rsid w:val="00E205F4"/>
    <w:rsid w:val="00E208EC"/>
    <w:rsid w:val="00E20947"/>
    <w:rsid w:val="00E20FEB"/>
    <w:rsid w:val="00E21538"/>
    <w:rsid w:val="00E217AB"/>
    <w:rsid w:val="00E218AD"/>
    <w:rsid w:val="00E222C9"/>
    <w:rsid w:val="00E22432"/>
    <w:rsid w:val="00E229BA"/>
    <w:rsid w:val="00E23362"/>
    <w:rsid w:val="00E23C79"/>
    <w:rsid w:val="00E245AF"/>
    <w:rsid w:val="00E24867"/>
    <w:rsid w:val="00E24BB8"/>
    <w:rsid w:val="00E25870"/>
    <w:rsid w:val="00E25A44"/>
    <w:rsid w:val="00E26B09"/>
    <w:rsid w:val="00E26DD7"/>
    <w:rsid w:val="00E26E66"/>
    <w:rsid w:val="00E27C77"/>
    <w:rsid w:val="00E307D0"/>
    <w:rsid w:val="00E3088E"/>
    <w:rsid w:val="00E329CE"/>
    <w:rsid w:val="00E32F79"/>
    <w:rsid w:val="00E33534"/>
    <w:rsid w:val="00E335DB"/>
    <w:rsid w:val="00E33D46"/>
    <w:rsid w:val="00E33E49"/>
    <w:rsid w:val="00E348FB"/>
    <w:rsid w:val="00E3501B"/>
    <w:rsid w:val="00E355D3"/>
    <w:rsid w:val="00E35BA0"/>
    <w:rsid w:val="00E35D84"/>
    <w:rsid w:val="00E36095"/>
    <w:rsid w:val="00E364BF"/>
    <w:rsid w:val="00E3680B"/>
    <w:rsid w:val="00E3687E"/>
    <w:rsid w:val="00E368F8"/>
    <w:rsid w:val="00E36D75"/>
    <w:rsid w:val="00E375F0"/>
    <w:rsid w:val="00E377DD"/>
    <w:rsid w:val="00E3781A"/>
    <w:rsid w:val="00E37D08"/>
    <w:rsid w:val="00E4020D"/>
    <w:rsid w:val="00E408E2"/>
    <w:rsid w:val="00E408E5"/>
    <w:rsid w:val="00E40958"/>
    <w:rsid w:val="00E40DB2"/>
    <w:rsid w:val="00E42419"/>
    <w:rsid w:val="00E42B09"/>
    <w:rsid w:val="00E42B67"/>
    <w:rsid w:val="00E43391"/>
    <w:rsid w:val="00E4351B"/>
    <w:rsid w:val="00E437CE"/>
    <w:rsid w:val="00E43900"/>
    <w:rsid w:val="00E43E28"/>
    <w:rsid w:val="00E44673"/>
    <w:rsid w:val="00E45255"/>
    <w:rsid w:val="00E45C2B"/>
    <w:rsid w:val="00E468B7"/>
    <w:rsid w:val="00E472DE"/>
    <w:rsid w:val="00E4764B"/>
    <w:rsid w:val="00E4784B"/>
    <w:rsid w:val="00E50220"/>
    <w:rsid w:val="00E50C95"/>
    <w:rsid w:val="00E5145D"/>
    <w:rsid w:val="00E51CE5"/>
    <w:rsid w:val="00E51E54"/>
    <w:rsid w:val="00E520CC"/>
    <w:rsid w:val="00E5233A"/>
    <w:rsid w:val="00E52B53"/>
    <w:rsid w:val="00E53378"/>
    <w:rsid w:val="00E5378A"/>
    <w:rsid w:val="00E543AE"/>
    <w:rsid w:val="00E54B86"/>
    <w:rsid w:val="00E55121"/>
    <w:rsid w:val="00E558D6"/>
    <w:rsid w:val="00E565E4"/>
    <w:rsid w:val="00E56FD2"/>
    <w:rsid w:val="00E57682"/>
    <w:rsid w:val="00E57B6C"/>
    <w:rsid w:val="00E57B91"/>
    <w:rsid w:val="00E60358"/>
    <w:rsid w:val="00E60785"/>
    <w:rsid w:val="00E61200"/>
    <w:rsid w:val="00E613F9"/>
    <w:rsid w:val="00E61640"/>
    <w:rsid w:val="00E61896"/>
    <w:rsid w:val="00E62569"/>
    <w:rsid w:val="00E6278B"/>
    <w:rsid w:val="00E63705"/>
    <w:rsid w:val="00E64DF8"/>
    <w:rsid w:val="00E64ED5"/>
    <w:rsid w:val="00E652ED"/>
    <w:rsid w:val="00E656B3"/>
    <w:rsid w:val="00E6664F"/>
    <w:rsid w:val="00E669DD"/>
    <w:rsid w:val="00E66C41"/>
    <w:rsid w:val="00E6760A"/>
    <w:rsid w:val="00E67D4A"/>
    <w:rsid w:val="00E7020E"/>
    <w:rsid w:val="00E70C62"/>
    <w:rsid w:val="00E71321"/>
    <w:rsid w:val="00E71444"/>
    <w:rsid w:val="00E716E2"/>
    <w:rsid w:val="00E7183A"/>
    <w:rsid w:val="00E72496"/>
    <w:rsid w:val="00E724FD"/>
    <w:rsid w:val="00E728DD"/>
    <w:rsid w:val="00E7300D"/>
    <w:rsid w:val="00E7363D"/>
    <w:rsid w:val="00E73BA1"/>
    <w:rsid w:val="00E73EE0"/>
    <w:rsid w:val="00E74195"/>
    <w:rsid w:val="00E744EA"/>
    <w:rsid w:val="00E74964"/>
    <w:rsid w:val="00E74F5B"/>
    <w:rsid w:val="00E773FA"/>
    <w:rsid w:val="00E77C05"/>
    <w:rsid w:val="00E77FF6"/>
    <w:rsid w:val="00E804C0"/>
    <w:rsid w:val="00E80C31"/>
    <w:rsid w:val="00E80E31"/>
    <w:rsid w:val="00E80F6D"/>
    <w:rsid w:val="00E817E2"/>
    <w:rsid w:val="00E825BE"/>
    <w:rsid w:val="00E82628"/>
    <w:rsid w:val="00E827C2"/>
    <w:rsid w:val="00E827D4"/>
    <w:rsid w:val="00E82C5B"/>
    <w:rsid w:val="00E82D46"/>
    <w:rsid w:val="00E8349F"/>
    <w:rsid w:val="00E8382C"/>
    <w:rsid w:val="00E8390F"/>
    <w:rsid w:val="00E83CEF"/>
    <w:rsid w:val="00E849D6"/>
    <w:rsid w:val="00E84AFD"/>
    <w:rsid w:val="00E84D5F"/>
    <w:rsid w:val="00E85AC5"/>
    <w:rsid w:val="00E85DBE"/>
    <w:rsid w:val="00E87002"/>
    <w:rsid w:val="00E90A10"/>
    <w:rsid w:val="00E90D01"/>
    <w:rsid w:val="00E90FCB"/>
    <w:rsid w:val="00E9167C"/>
    <w:rsid w:val="00E917DB"/>
    <w:rsid w:val="00E91BE1"/>
    <w:rsid w:val="00E9278B"/>
    <w:rsid w:val="00E92C38"/>
    <w:rsid w:val="00E92FD6"/>
    <w:rsid w:val="00E931C1"/>
    <w:rsid w:val="00E936D1"/>
    <w:rsid w:val="00E94AC0"/>
    <w:rsid w:val="00E950D6"/>
    <w:rsid w:val="00E9511A"/>
    <w:rsid w:val="00E95162"/>
    <w:rsid w:val="00E95676"/>
    <w:rsid w:val="00E956AC"/>
    <w:rsid w:val="00E95798"/>
    <w:rsid w:val="00E9588A"/>
    <w:rsid w:val="00E959DB"/>
    <w:rsid w:val="00E95CDF"/>
    <w:rsid w:val="00E95EE1"/>
    <w:rsid w:val="00E96954"/>
    <w:rsid w:val="00E96C5A"/>
    <w:rsid w:val="00E96D2D"/>
    <w:rsid w:val="00E96DCE"/>
    <w:rsid w:val="00E96E7B"/>
    <w:rsid w:val="00E979CB"/>
    <w:rsid w:val="00E97A9B"/>
    <w:rsid w:val="00E97ED8"/>
    <w:rsid w:val="00EA009C"/>
    <w:rsid w:val="00EA071E"/>
    <w:rsid w:val="00EA08AF"/>
    <w:rsid w:val="00EA0FF0"/>
    <w:rsid w:val="00EA159C"/>
    <w:rsid w:val="00EA1EB0"/>
    <w:rsid w:val="00EA26FF"/>
    <w:rsid w:val="00EA2A89"/>
    <w:rsid w:val="00EA2D0E"/>
    <w:rsid w:val="00EA3490"/>
    <w:rsid w:val="00EA429C"/>
    <w:rsid w:val="00EA42E9"/>
    <w:rsid w:val="00EA49B7"/>
    <w:rsid w:val="00EA4DF5"/>
    <w:rsid w:val="00EA4EF9"/>
    <w:rsid w:val="00EA5304"/>
    <w:rsid w:val="00EA5FF8"/>
    <w:rsid w:val="00EA60FE"/>
    <w:rsid w:val="00EA6501"/>
    <w:rsid w:val="00EA65BC"/>
    <w:rsid w:val="00EA686A"/>
    <w:rsid w:val="00EA6ACF"/>
    <w:rsid w:val="00EA6D02"/>
    <w:rsid w:val="00EA6E04"/>
    <w:rsid w:val="00EA7A34"/>
    <w:rsid w:val="00EA7B98"/>
    <w:rsid w:val="00EA7FC4"/>
    <w:rsid w:val="00EB03FC"/>
    <w:rsid w:val="00EB0AC2"/>
    <w:rsid w:val="00EB0D3C"/>
    <w:rsid w:val="00EB168B"/>
    <w:rsid w:val="00EB1B75"/>
    <w:rsid w:val="00EB1E72"/>
    <w:rsid w:val="00EB1EA8"/>
    <w:rsid w:val="00EB2349"/>
    <w:rsid w:val="00EB26A6"/>
    <w:rsid w:val="00EB27A6"/>
    <w:rsid w:val="00EB27FD"/>
    <w:rsid w:val="00EB3060"/>
    <w:rsid w:val="00EB3C3A"/>
    <w:rsid w:val="00EB4080"/>
    <w:rsid w:val="00EB4156"/>
    <w:rsid w:val="00EB45B2"/>
    <w:rsid w:val="00EB4977"/>
    <w:rsid w:val="00EB4C12"/>
    <w:rsid w:val="00EB5537"/>
    <w:rsid w:val="00EB5F1E"/>
    <w:rsid w:val="00EB629B"/>
    <w:rsid w:val="00EB6468"/>
    <w:rsid w:val="00EB6470"/>
    <w:rsid w:val="00EB6945"/>
    <w:rsid w:val="00EB6CBC"/>
    <w:rsid w:val="00EB6DB8"/>
    <w:rsid w:val="00EB7F3A"/>
    <w:rsid w:val="00EC058D"/>
    <w:rsid w:val="00EC05BC"/>
    <w:rsid w:val="00EC0873"/>
    <w:rsid w:val="00EC104B"/>
    <w:rsid w:val="00EC10D0"/>
    <w:rsid w:val="00EC13E5"/>
    <w:rsid w:val="00EC3427"/>
    <w:rsid w:val="00EC36B6"/>
    <w:rsid w:val="00EC3C44"/>
    <w:rsid w:val="00EC3E02"/>
    <w:rsid w:val="00EC4041"/>
    <w:rsid w:val="00EC42FC"/>
    <w:rsid w:val="00EC4615"/>
    <w:rsid w:val="00EC477E"/>
    <w:rsid w:val="00EC4CAD"/>
    <w:rsid w:val="00EC4F2F"/>
    <w:rsid w:val="00EC55EA"/>
    <w:rsid w:val="00EC5663"/>
    <w:rsid w:val="00EC5831"/>
    <w:rsid w:val="00EC5BFB"/>
    <w:rsid w:val="00EC5DD5"/>
    <w:rsid w:val="00EC61DA"/>
    <w:rsid w:val="00EC62B6"/>
    <w:rsid w:val="00EC6477"/>
    <w:rsid w:val="00EC67C8"/>
    <w:rsid w:val="00ED0005"/>
    <w:rsid w:val="00ED0923"/>
    <w:rsid w:val="00ED0B87"/>
    <w:rsid w:val="00ED0C35"/>
    <w:rsid w:val="00ED0F5A"/>
    <w:rsid w:val="00ED1570"/>
    <w:rsid w:val="00ED1D9C"/>
    <w:rsid w:val="00ED21D8"/>
    <w:rsid w:val="00ED23B1"/>
    <w:rsid w:val="00ED2683"/>
    <w:rsid w:val="00ED352A"/>
    <w:rsid w:val="00ED39BB"/>
    <w:rsid w:val="00ED3CA9"/>
    <w:rsid w:val="00ED3D47"/>
    <w:rsid w:val="00ED441A"/>
    <w:rsid w:val="00ED44EA"/>
    <w:rsid w:val="00ED44F6"/>
    <w:rsid w:val="00ED47C7"/>
    <w:rsid w:val="00ED4ED0"/>
    <w:rsid w:val="00ED52D6"/>
    <w:rsid w:val="00ED5B27"/>
    <w:rsid w:val="00ED5EA2"/>
    <w:rsid w:val="00ED62F8"/>
    <w:rsid w:val="00ED73D7"/>
    <w:rsid w:val="00ED7E15"/>
    <w:rsid w:val="00EE0842"/>
    <w:rsid w:val="00EE1308"/>
    <w:rsid w:val="00EE1630"/>
    <w:rsid w:val="00EE168B"/>
    <w:rsid w:val="00EE16D2"/>
    <w:rsid w:val="00EE17C3"/>
    <w:rsid w:val="00EE1A5F"/>
    <w:rsid w:val="00EE1A69"/>
    <w:rsid w:val="00EE1B0B"/>
    <w:rsid w:val="00EE20D7"/>
    <w:rsid w:val="00EE2424"/>
    <w:rsid w:val="00EE2597"/>
    <w:rsid w:val="00EE2D2A"/>
    <w:rsid w:val="00EE305C"/>
    <w:rsid w:val="00EE38E4"/>
    <w:rsid w:val="00EE4261"/>
    <w:rsid w:val="00EE4973"/>
    <w:rsid w:val="00EE4F6E"/>
    <w:rsid w:val="00EE50F6"/>
    <w:rsid w:val="00EE51A4"/>
    <w:rsid w:val="00EE55C9"/>
    <w:rsid w:val="00EE5969"/>
    <w:rsid w:val="00EE5D76"/>
    <w:rsid w:val="00EE62E2"/>
    <w:rsid w:val="00EE693C"/>
    <w:rsid w:val="00EE6A77"/>
    <w:rsid w:val="00EE6D7D"/>
    <w:rsid w:val="00EE6E66"/>
    <w:rsid w:val="00EF02C5"/>
    <w:rsid w:val="00EF052A"/>
    <w:rsid w:val="00EF0822"/>
    <w:rsid w:val="00EF0DA9"/>
    <w:rsid w:val="00EF151B"/>
    <w:rsid w:val="00EF17E2"/>
    <w:rsid w:val="00EF2081"/>
    <w:rsid w:val="00EF327C"/>
    <w:rsid w:val="00EF3683"/>
    <w:rsid w:val="00EF3A9D"/>
    <w:rsid w:val="00EF3D40"/>
    <w:rsid w:val="00EF426F"/>
    <w:rsid w:val="00EF4AD5"/>
    <w:rsid w:val="00EF4FDA"/>
    <w:rsid w:val="00EF5E2F"/>
    <w:rsid w:val="00EF703A"/>
    <w:rsid w:val="00F0034A"/>
    <w:rsid w:val="00F00AB3"/>
    <w:rsid w:val="00F00AB6"/>
    <w:rsid w:val="00F0241C"/>
    <w:rsid w:val="00F029CA"/>
    <w:rsid w:val="00F02D60"/>
    <w:rsid w:val="00F02F8C"/>
    <w:rsid w:val="00F03891"/>
    <w:rsid w:val="00F03A22"/>
    <w:rsid w:val="00F03A2B"/>
    <w:rsid w:val="00F03AB7"/>
    <w:rsid w:val="00F03BE4"/>
    <w:rsid w:val="00F03C3E"/>
    <w:rsid w:val="00F04909"/>
    <w:rsid w:val="00F04AB4"/>
    <w:rsid w:val="00F04E19"/>
    <w:rsid w:val="00F04F4E"/>
    <w:rsid w:val="00F054C8"/>
    <w:rsid w:val="00F05603"/>
    <w:rsid w:val="00F057C8"/>
    <w:rsid w:val="00F05A26"/>
    <w:rsid w:val="00F061C3"/>
    <w:rsid w:val="00F065ED"/>
    <w:rsid w:val="00F0695C"/>
    <w:rsid w:val="00F0727E"/>
    <w:rsid w:val="00F07705"/>
    <w:rsid w:val="00F07B44"/>
    <w:rsid w:val="00F07F9C"/>
    <w:rsid w:val="00F07FE8"/>
    <w:rsid w:val="00F10408"/>
    <w:rsid w:val="00F129FA"/>
    <w:rsid w:val="00F12B37"/>
    <w:rsid w:val="00F13303"/>
    <w:rsid w:val="00F148DC"/>
    <w:rsid w:val="00F151DC"/>
    <w:rsid w:val="00F1545D"/>
    <w:rsid w:val="00F16448"/>
    <w:rsid w:val="00F167D1"/>
    <w:rsid w:val="00F16B5E"/>
    <w:rsid w:val="00F16EB7"/>
    <w:rsid w:val="00F16F04"/>
    <w:rsid w:val="00F1799A"/>
    <w:rsid w:val="00F179CE"/>
    <w:rsid w:val="00F17C10"/>
    <w:rsid w:val="00F2018A"/>
    <w:rsid w:val="00F205BC"/>
    <w:rsid w:val="00F20A9E"/>
    <w:rsid w:val="00F20B27"/>
    <w:rsid w:val="00F20C6F"/>
    <w:rsid w:val="00F212EC"/>
    <w:rsid w:val="00F21393"/>
    <w:rsid w:val="00F21D65"/>
    <w:rsid w:val="00F22611"/>
    <w:rsid w:val="00F2267A"/>
    <w:rsid w:val="00F22CEE"/>
    <w:rsid w:val="00F236D5"/>
    <w:rsid w:val="00F2382B"/>
    <w:rsid w:val="00F23C52"/>
    <w:rsid w:val="00F2500D"/>
    <w:rsid w:val="00F2581F"/>
    <w:rsid w:val="00F275D0"/>
    <w:rsid w:val="00F30465"/>
    <w:rsid w:val="00F3051F"/>
    <w:rsid w:val="00F305D7"/>
    <w:rsid w:val="00F306E6"/>
    <w:rsid w:val="00F30CC7"/>
    <w:rsid w:val="00F30EBA"/>
    <w:rsid w:val="00F311EE"/>
    <w:rsid w:val="00F31507"/>
    <w:rsid w:val="00F31686"/>
    <w:rsid w:val="00F317F5"/>
    <w:rsid w:val="00F31ECA"/>
    <w:rsid w:val="00F32006"/>
    <w:rsid w:val="00F329EA"/>
    <w:rsid w:val="00F33235"/>
    <w:rsid w:val="00F3434A"/>
    <w:rsid w:val="00F34379"/>
    <w:rsid w:val="00F346C3"/>
    <w:rsid w:val="00F359B2"/>
    <w:rsid w:val="00F35E01"/>
    <w:rsid w:val="00F35EB6"/>
    <w:rsid w:val="00F36A8D"/>
    <w:rsid w:val="00F36BBD"/>
    <w:rsid w:val="00F37357"/>
    <w:rsid w:val="00F3762C"/>
    <w:rsid w:val="00F37DE6"/>
    <w:rsid w:val="00F40B64"/>
    <w:rsid w:val="00F412DA"/>
    <w:rsid w:val="00F4269A"/>
    <w:rsid w:val="00F4283B"/>
    <w:rsid w:val="00F42CFF"/>
    <w:rsid w:val="00F43094"/>
    <w:rsid w:val="00F4328F"/>
    <w:rsid w:val="00F43C58"/>
    <w:rsid w:val="00F44301"/>
    <w:rsid w:val="00F446C8"/>
    <w:rsid w:val="00F44BE1"/>
    <w:rsid w:val="00F44C26"/>
    <w:rsid w:val="00F450DC"/>
    <w:rsid w:val="00F45A12"/>
    <w:rsid w:val="00F45B52"/>
    <w:rsid w:val="00F4610B"/>
    <w:rsid w:val="00F4645D"/>
    <w:rsid w:val="00F464DF"/>
    <w:rsid w:val="00F46C94"/>
    <w:rsid w:val="00F50306"/>
    <w:rsid w:val="00F504B5"/>
    <w:rsid w:val="00F51416"/>
    <w:rsid w:val="00F515A7"/>
    <w:rsid w:val="00F51659"/>
    <w:rsid w:val="00F5167E"/>
    <w:rsid w:val="00F51F80"/>
    <w:rsid w:val="00F529EE"/>
    <w:rsid w:val="00F52A3C"/>
    <w:rsid w:val="00F52CE1"/>
    <w:rsid w:val="00F540A0"/>
    <w:rsid w:val="00F54277"/>
    <w:rsid w:val="00F5428A"/>
    <w:rsid w:val="00F54B77"/>
    <w:rsid w:val="00F56A1C"/>
    <w:rsid w:val="00F57141"/>
    <w:rsid w:val="00F577C5"/>
    <w:rsid w:val="00F57A98"/>
    <w:rsid w:val="00F57BFA"/>
    <w:rsid w:val="00F6006B"/>
    <w:rsid w:val="00F60242"/>
    <w:rsid w:val="00F6066A"/>
    <w:rsid w:val="00F60790"/>
    <w:rsid w:val="00F61353"/>
    <w:rsid w:val="00F61E3B"/>
    <w:rsid w:val="00F62710"/>
    <w:rsid w:val="00F62748"/>
    <w:rsid w:val="00F628B1"/>
    <w:rsid w:val="00F62CA0"/>
    <w:rsid w:val="00F63DC9"/>
    <w:rsid w:val="00F64EA0"/>
    <w:rsid w:val="00F653A9"/>
    <w:rsid w:val="00F656C3"/>
    <w:rsid w:val="00F65EC1"/>
    <w:rsid w:val="00F66FAE"/>
    <w:rsid w:val="00F700B6"/>
    <w:rsid w:val="00F705CF"/>
    <w:rsid w:val="00F705DE"/>
    <w:rsid w:val="00F705E6"/>
    <w:rsid w:val="00F7189F"/>
    <w:rsid w:val="00F71C22"/>
    <w:rsid w:val="00F71D79"/>
    <w:rsid w:val="00F71FC1"/>
    <w:rsid w:val="00F7381E"/>
    <w:rsid w:val="00F73943"/>
    <w:rsid w:val="00F740D0"/>
    <w:rsid w:val="00F7436D"/>
    <w:rsid w:val="00F74384"/>
    <w:rsid w:val="00F74A46"/>
    <w:rsid w:val="00F750FE"/>
    <w:rsid w:val="00F754EB"/>
    <w:rsid w:val="00F75DD5"/>
    <w:rsid w:val="00F774A2"/>
    <w:rsid w:val="00F77540"/>
    <w:rsid w:val="00F779CE"/>
    <w:rsid w:val="00F77CA4"/>
    <w:rsid w:val="00F77CE9"/>
    <w:rsid w:val="00F801D2"/>
    <w:rsid w:val="00F804A6"/>
    <w:rsid w:val="00F81CD8"/>
    <w:rsid w:val="00F81F4B"/>
    <w:rsid w:val="00F84135"/>
    <w:rsid w:val="00F849EF"/>
    <w:rsid w:val="00F84A3B"/>
    <w:rsid w:val="00F85510"/>
    <w:rsid w:val="00F85BBF"/>
    <w:rsid w:val="00F86104"/>
    <w:rsid w:val="00F862D4"/>
    <w:rsid w:val="00F864F9"/>
    <w:rsid w:val="00F86A6D"/>
    <w:rsid w:val="00F86ECC"/>
    <w:rsid w:val="00F871AB"/>
    <w:rsid w:val="00F87B40"/>
    <w:rsid w:val="00F87B5F"/>
    <w:rsid w:val="00F87DEE"/>
    <w:rsid w:val="00F9134E"/>
    <w:rsid w:val="00F91443"/>
    <w:rsid w:val="00F91EFE"/>
    <w:rsid w:val="00F92217"/>
    <w:rsid w:val="00F92378"/>
    <w:rsid w:val="00F92A42"/>
    <w:rsid w:val="00F93092"/>
    <w:rsid w:val="00F93EDF"/>
    <w:rsid w:val="00F9480E"/>
    <w:rsid w:val="00F95761"/>
    <w:rsid w:val="00F95A7A"/>
    <w:rsid w:val="00F964B5"/>
    <w:rsid w:val="00F97680"/>
    <w:rsid w:val="00F97C43"/>
    <w:rsid w:val="00F97CA0"/>
    <w:rsid w:val="00FA00A6"/>
    <w:rsid w:val="00FA0939"/>
    <w:rsid w:val="00FA13B6"/>
    <w:rsid w:val="00FA1CBA"/>
    <w:rsid w:val="00FA2435"/>
    <w:rsid w:val="00FA3BC1"/>
    <w:rsid w:val="00FA40CB"/>
    <w:rsid w:val="00FA41F8"/>
    <w:rsid w:val="00FA4340"/>
    <w:rsid w:val="00FA462D"/>
    <w:rsid w:val="00FA4CCB"/>
    <w:rsid w:val="00FA5477"/>
    <w:rsid w:val="00FA6041"/>
    <w:rsid w:val="00FA6274"/>
    <w:rsid w:val="00FA65C0"/>
    <w:rsid w:val="00FA7422"/>
    <w:rsid w:val="00FA764B"/>
    <w:rsid w:val="00FA766E"/>
    <w:rsid w:val="00FA7EB4"/>
    <w:rsid w:val="00FB059E"/>
    <w:rsid w:val="00FB09DC"/>
    <w:rsid w:val="00FB1A08"/>
    <w:rsid w:val="00FB22F6"/>
    <w:rsid w:val="00FB2303"/>
    <w:rsid w:val="00FB2EE1"/>
    <w:rsid w:val="00FB323D"/>
    <w:rsid w:val="00FB3353"/>
    <w:rsid w:val="00FB3613"/>
    <w:rsid w:val="00FB3E47"/>
    <w:rsid w:val="00FB3FC4"/>
    <w:rsid w:val="00FB43E5"/>
    <w:rsid w:val="00FB44ED"/>
    <w:rsid w:val="00FB5538"/>
    <w:rsid w:val="00FB6F86"/>
    <w:rsid w:val="00FB7428"/>
    <w:rsid w:val="00FB7ED3"/>
    <w:rsid w:val="00FC0309"/>
    <w:rsid w:val="00FC084E"/>
    <w:rsid w:val="00FC0C6C"/>
    <w:rsid w:val="00FC1054"/>
    <w:rsid w:val="00FC19E3"/>
    <w:rsid w:val="00FC1DD6"/>
    <w:rsid w:val="00FC2317"/>
    <w:rsid w:val="00FC2B14"/>
    <w:rsid w:val="00FC2C8C"/>
    <w:rsid w:val="00FC31E7"/>
    <w:rsid w:val="00FC393A"/>
    <w:rsid w:val="00FC5369"/>
    <w:rsid w:val="00FC5388"/>
    <w:rsid w:val="00FC5C5E"/>
    <w:rsid w:val="00FC605F"/>
    <w:rsid w:val="00FC622C"/>
    <w:rsid w:val="00FC7078"/>
    <w:rsid w:val="00FC7552"/>
    <w:rsid w:val="00FD03A5"/>
    <w:rsid w:val="00FD03B2"/>
    <w:rsid w:val="00FD03DB"/>
    <w:rsid w:val="00FD103F"/>
    <w:rsid w:val="00FD2273"/>
    <w:rsid w:val="00FD23D0"/>
    <w:rsid w:val="00FD2B12"/>
    <w:rsid w:val="00FD2BD4"/>
    <w:rsid w:val="00FD327C"/>
    <w:rsid w:val="00FD34D6"/>
    <w:rsid w:val="00FD37A4"/>
    <w:rsid w:val="00FD3AF1"/>
    <w:rsid w:val="00FD40B9"/>
    <w:rsid w:val="00FD4A4B"/>
    <w:rsid w:val="00FD50FA"/>
    <w:rsid w:val="00FD528C"/>
    <w:rsid w:val="00FD5D9E"/>
    <w:rsid w:val="00FD627D"/>
    <w:rsid w:val="00FD64EC"/>
    <w:rsid w:val="00FD6ADA"/>
    <w:rsid w:val="00FD7DA7"/>
    <w:rsid w:val="00FE017C"/>
    <w:rsid w:val="00FE0610"/>
    <w:rsid w:val="00FE0874"/>
    <w:rsid w:val="00FE0B9A"/>
    <w:rsid w:val="00FE1256"/>
    <w:rsid w:val="00FE1C22"/>
    <w:rsid w:val="00FE1E60"/>
    <w:rsid w:val="00FE1FB2"/>
    <w:rsid w:val="00FE2A11"/>
    <w:rsid w:val="00FE2F1C"/>
    <w:rsid w:val="00FE3BBD"/>
    <w:rsid w:val="00FE4616"/>
    <w:rsid w:val="00FE47A0"/>
    <w:rsid w:val="00FE4CEF"/>
    <w:rsid w:val="00FE55E5"/>
    <w:rsid w:val="00FE6704"/>
    <w:rsid w:val="00FE670D"/>
    <w:rsid w:val="00FE68B6"/>
    <w:rsid w:val="00FE702E"/>
    <w:rsid w:val="00FE787D"/>
    <w:rsid w:val="00FE787E"/>
    <w:rsid w:val="00FF0043"/>
    <w:rsid w:val="00FF11E0"/>
    <w:rsid w:val="00FF1D50"/>
    <w:rsid w:val="00FF1F66"/>
    <w:rsid w:val="00FF251A"/>
    <w:rsid w:val="00FF2CEA"/>
    <w:rsid w:val="00FF308D"/>
    <w:rsid w:val="00FF3658"/>
    <w:rsid w:val="00FF3B5B"/>
    <w:rsid w:val="00FF4499"/>
    <w:rsid w:val="00FF481C"/>
    <w:rsid w:val="00FF4EC8"/>
    <w:rsid w:val="00FF6505"/>
    <w:rsid w:val="00FF6758"/>
    <w:rsid w:val="00FF6DD2"/>
    <w:rsid w:val="00FF719E"/>
    <w:rsid w:val="00FF7A6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48"/>
    <w:pPr>
      <w:spacing w:after="100" w:line="400" w:lineRule="exact"/>
      <w:jc w:val="both"/>
    </w:pPr>
    <w:rPr>
      <w:rFonts w:ascii="Century Schoolbook" w:hAnsi="Century Schoolbook"/>
      <w:sz w:val="27"/>
    </w:rPr>
  </w:style>
  <w:style w:type="paragraph" w:styleId="Heading1">
    <w:name w:val="heading 1"/>
    <w:basedOn w:val="Normal"/>
    <w:next w:val="Normal"/>
    <w:qFormat/>
    <w:rsid w:val="00A25E48"/>
    <w:pPr>
      <w:keepNext/>
      <w:spacing w:before="140" w:line="240" w:lineRule="atLeast"/>
      <w:jc w:val="center"/>
      <w:outlineLvl w:val="0"/>
    </w:pPr>
    <w:rPr>
      <w:b/>
      <w:smallCaps/>
    </w:rPr>
  </w:style>
  <w:style w:type="paragraph" w:styleId="Heading2">
    <w:name w:val="heading 2"/>
    <w:basedOn w:val="Normal"/>
    <w:next w:val="Normal"/>
    <w:link w:val="Heading2Char"/>
    <w:qFormat/>
    <w:rsid w:val="00A25E4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25E48"/>
    <w:pPr>
      <w:keepNext/>
      <w:tabs>
        <w:tab w:val="left" w:pos="1584"/>
      </w:tabs>
      <w:spacing w:before="140" w:line="240" w:lineRule="atLeast"/>
      <w:ind w:left="1584" w:hanging="432"/>
      <w:jc w:val="left"/>
      <w:outlineLvl w:val="2"/>
    </w:pPr>
    <w:rPr>
      <w:i/>
    </w:rPr>
  </w:style>
  <w:style w:type="paragraph" w:styleId="Heading4">
    <w:name w:val="heading 4"/>
    <w:basedOn w:val="Normal"/>
    <w:rsid w:val="00A25E48"/>
    <w:pPr>
      <w:keepNext/>
      <w:tabs>
        <w:tab w:val="left" w:pos="2016"/>
      </w:tabs>
      <w:spacing w:before="140" w:line="240" w:lineRule="atLeast"/>
      <w:ind w:left="2016" w:hanging="432"/>
      <w:jc w:val="left"/>
      <w:outlineLvl w:val="3"/>
    </w:pPr>
    <w:rPr>
      <w:i/>
    </w:rPr>
  </w:style>
  <w:style w:type="paragraph" w:styleId="Heading5">
    <w:name w:val="heading 5"/>
    <w:basedOn w:val="Normal"/>
    <w:rsid w:val="00A25E4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25E48"/>
    <w:pPr>
      <w:ind w:left="720"/>
    </w:pPr>
  </w:style>
  <w:style w:type="paragraph" w:styleId="Footer">
    <w:name w:val="footer"/>
    <w:basedOn w:val="Normal"/>
    <w:qFormat/>
    <w:rsid w:val="00A25E48"/>
    <w:pPr>
      <w:tabs>
        <w:tab w:val="center" w:pos="3960"/>
        <w:tab w:val="right" w:pos="10080"/>
      </w:tabs>
      <w:spacing w:after="0" w:line="240" w:lineRule="auto"/>
      <w:jc w:val="center"/>
    </w:pPr>
    <w:rPr>
      <w:sz w:val="22"/>
    </w:rPr>
  </w:style>
  <w:style w:type="paragraph" w:styleId="Header">
    <w:name w:val="header"/>
    <w:basedOn w:val="Normal"/>
    <w:qFormat/>
    <w:rsid w:val="00A25E4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25E48"/>
    <w:rPr>
      <w:rFonts w:ascii="Century Schoolbook" w:hAnsi="Century Schoolbook"/>
      <w:b/>
      <w:i w:val="0"/>
      <w:position w:val="4"/>
      <w:sz w:val="27"/>
      <w:vertAlign w:val="superscript"/>
    </w:rPr>
  </w:style>
  <w:style w:type="paragraph" w:styleId="FootnoteText">
    <w:name w:val="footnote text"/>
    <w:basedOn w:val="Normal"/>
    <w:link w:val="FootnoteTextChar"/>
    <w:rsid w:val="00A25E48"/>
    <w:pPr>
      <w:spacing w:line="300" w:lineRule="exact"/>
    </w:pPr>
  </w:style>
  <w:style w:type="paragraph" w:customStyle="1" w:styleId="Title1">
    <w:name w:val="Title1"/>
    <w:basedOn w:val="Normal"/>
    <w:rsid w:val="00A25E48"/>
    <w:pPr>
      <w:tabs>
        <w:tab w:val="left" w:pos="5760"/>
        <w:tab w:val="left" w:pos="6480"/>
      </w:tabs>
      <w:spacing w:line="240" w:lineRule="atLeast"/>
    </w:pPr>
  </w:style>
  <w:style w:type="paragraph" w:customStyle="1" w:styleId="Recommend">
    <w:name w:val="Recommend"/>
    <w:basedOn w:val="Normal"/>
    <w:rsid w:val="00A25E48"/>
  </w:style>
  <w:style w:type="paragraph" w:customStyle="1" w:styleId="Summary">
    <w:name w:val="Summary"/>
    <w:basedOn w:val="Normal"/>
    <w:rsid w:val="00A25E48"/>
    <w:pPr>
      <w:ind w:left="2160" w:hanging="2160"/>
    </w:pPr>
  </w:style>
  <w:style w:type="paragraph" w:customStyle="1" w:styleId="Text">
    <w:name w:val="Text"/>
    <w:basedOn w:val="Normal"/>
    <w:link w:val="TextChar"/>
    <w:rsid w:val="00A25E48"/>
    <w:pPr>
      <w:tabs>
        <w:tab w:val="left" w:pos="720"/>
        <w:tab w:val="left" w:pos="1440"/>
        <w:tab w:val="left" w:pos="2160"/>
        <w:tab w:val="center" w:pos="4320"/>
      </w:tabs>
      <w:spacing w:line="480" w:lineRule="atLeast"/>
      <w:ind w:firstLine="540"/>
    </w:pPr>
  </w:style>
  <w:style w:type="paragraph" w:styleId="Date">
    <w:name w:val="Date"/>
    <w:basedOn w:val="Normal"/>
    <w:semiHidden/>
    <w:rsid w:val="00A25E48"/>
    <w:pPr>
      <w:jc w:val="right"/>
    </w:pPr>
  </w:style>
  <w:style w:type="character" w:styleId="PageNumber">
    <w:name w:val="page number"/>
    <w:basedOn w:val="DefaultParagraphFont"/>
    <w:semiHidden/>
    <w:rsid w:val="00A25E48"/>
  </w:style>
  <w:style w:type="paragraph" w:customStyle="1" w:styleId="subject">
    <w:name w:val="subject"/>
    <w:basedOn w:val="Normal"/>
    <w:rsid w:val="00A25E48"/>
    <w:pPr>
      <w:tabs>
        <w:tab w:val="left" w:pos="1008"/>
      </w:tabs>
      <w:ind w:left="990" w:hanging="990"/>
    </w:pPr>
    <w:rPr>
      <w:b/>
    </w:rPr>
  </w:style>
  <w:style w:type="paragraph" w:customStyle="1" w:styleId="Titles">
    <w:name w:val="Titles"/>
    <w:basedOn w:val="Normal"/>
    <w:rsid w:val="00A25E48"/>
    <w:pPr>
      <w:tabs>
        <w:tab w:val="left" w:pos="2160"/>
      </w:tabs>
      <w:ind w:left="2160" w:hanging="2160"/>
    </w:pPr>
    <w:rPr>
      <w:b/>
    </w:rPr>
  </w:style>
  <w:style w:type="paragraph" w:styleId="TOAHeading">
    <w:name w:val="toa heading"/>
    <w:basedOn w:val="Normal"/>
    <w:next w:val="Normal"/>
    <w:semiHidden/>
    <w:rsid w:val="00A25E48"/>
    <w:pPr>
      <w:spacing w:before="120"/>
    </w:pPr>
    <w:rPr>
      <w:b/>
    </w:rPr>
  </w:style>
  <w:style w:type="paragraph" w:styleId="TOC1">
    <w:name w:val="toc 1"/>
    <w:basedOn w:val="Normal"/>
    <w:next w:val="Normal"/>
    <w:autoRedefine/>
    <w:semiHidden/>
    <w:rsid w:val="00A25E48"/>
  </w:style>
  <w:style w:type="paragraph" w:styleId="TOC2">
    <w:name w:val="toc 2"/>
    <w:basedOn w:val="Normal"/>
    <w:next w:val="Normal"/>
    <w:autoRedefine/>
    <w:semiHidden/>
    <w:rsid w:val="00A25E48"/>
    <w:pPr>
      <w:ind w:left="259"/>
    </w:pPr>
  </w:style>
  <w:style w:type="paragraph" w:styleId="TOC3">
    <w:name w:val="toc 3"/>
    <w:basedOn w:val="Normal"/>
    <w:next w:val="Normal"/>
    <w:autoRedefine/>
    <w:semiHidden/>
    <w:rsid w:val="00A25E48"/>
    <w:pPr>
      <w:ind w:left="520"/>
    </w:pPr>
  </w:style>
  <w:style w:type="paragraph" w:styleId="TOC4">
    <w:name w:val="toc 4"/>
    <w:basedOn w:val="Normal"/>
    <w:next w:val="Normal"/>
    <w:autoRedefine/>
    <w:semiHidden/>
    <w:rsid w:val="00A25E48"/>
    <w:pPr>
      <w:ind w:left="780"/>
    </w:pPr>
  </w:style>
  <w:style w:type="paragraph" w:styleId="TOC5">
    <w:name w:val="toc 5"/>
    <w:basedOn w:val="Normal"/>
    <w:next w:val="Normal"/>
    <w:autoRedefine/>
    <w:semiHidden/>
    <w:rsid w:val="00A25E48"/>
    <w:pPr>
      <w:ind w:left="1040"/>
    </w:pPr>
  </w:style>
  <w:style w:type="paragraph" w:styleId="TOC6">
    <w:name w:val="toc 6"/>
    <w:basedOn w:val="Normal"/>
    <w:next w:val="Normal"/>
    <w:autoRedefine/>
    <w:semiHidden/>
    <w:rsid w:val="00A25E48"/>
    <w:pPr>
      <w:ind w:left="1300"/>
    </w:pPr>
  </w:style>
  <w:style w:type="paragraph" w:styleId="TOC7">
    <w:name w:val="toc 7"/>
    <w:basedOn w:val="Normal"/>
    <w:next w:val="Normal"/>
    <w:autoRedefine/>
    <w:semiHidden/>
    <w:rsid w:val="00A25E48"/>
    <w:pPr>
      <w:ind w:left="1560"/>
    </w:pPr>
  </w:style>
  <w:style w:type="paragraph" w:styleId="TOC8">
    <w:name w:val="toc 8"/>
    <w:basedOn w:val="Normal"/>
    <w:next w:val="Normal"/>
    <w:autoRedefine/>
    <w:semiHidden/>
    <w:rsid w:val="00A25E48"/>
    <w:pPr>
      <w:ind w:left="1820"/>
    </w:pPr>
  </w:style>
  <w:style w:type="paragraph" w:styleId="TOC9">
    <w:name w:val="toc 9"/>
    <w:basedOn w:val="Normal"/>
    <w:next w:val="Normal"/>
    <w:autoRedefine/>
    <w:semiHidden/>
    <w:rsid w:val="00A25E48"/>
    <w:pPr>
      <w:ind w:left="2080"/>
    </w:pPr>
  </w:style>
  <w:style w:type="paragraph" w:customStyle="1" w:styleId="Contents">
    <w:name w:val="Contents"/>
    <w:basedOn w:val="Normal"/>
    <w:rsid w:val="00A25E48"/>
    <w:pPr>
      <w:jc w:val="center"/>
    </w:pPr>
    <w:rPr>
      <w:b/>
      <w:spacing w:val="100"/>
    </w:rPr>
  </w:style>
  <w:style w:type="paragraph" w:styleId="ListParagraph">
    <w:name w:val="List Paragraph"/>
    <w:basedOn w:val="Normal"/>
    <w:uiPriority w:val="34"/>
    <w:qFormat/>
    <w:rsid w:val="00596651"/>
    <w:pPr>
      <w:ind w:left="720"/>
      <w:contextualSpacing/>
    </w:pPr>
    <w:rPr>
      <w:rFonts w:asciiTheme="minorHAnsi" w:eastAsiaTheme="minorHAnsi" w:hAnsiTheme="minorHAnsi"/>
      <w:szCs w:val="24"/>
    </w:rPr>
  </w:style>
  <w:style w:type="character" w:styleId="CommentReference">
    <w:name w:val="annotation reference"/>
    <w:basedOn w:val="DefaultParagraphFont"/>
    <w:uiPriority w:val="99"/>
    <w:semiHidden/>
    <w:unhideWhenUsed/>
    <w:rsid w:val="003C5696"/>
    <w:rPr>
      <w:sz w:val="16"/>
      <w:szCs w:val="16"/>
    </w:rPr>
  </w:style>
  <w:style w:type="paragraph" w:styleId="CommentText">
    <w:name w:val="annotation text"/>
    <w:basedOn w:val="Normal"/>
    <w:link w:val="CommentTextChar"/>
    <w:uiPriority w:val="99"/>
    <w:unhideWhenUsed/>
    <w:rsid w:val="003C5696"/>
    <w:rPr>
      <w:sz w:val="20"/>
    </w:rPr>
  </w:style>
  <w:style w:type="character" w:customStyle="1" w:styleId="CommentTextChar">
    <w:name w:val="Comment Text Char"/>
    <w:basedOn w:val="DefaultParagraphFont"/>
    <w:link w:val="CommentText"/>
    <w:uiPriority w:val="99"/>
    <w:rsid w:val="003C5696"/>
  </w:style>
  <w:style w:type="paragraph" w:styleId="CommentSubject">
    <w:name w:val="annotation subject"/>
    <w:basedOn w:val="CommentText"/>
    <w:next w:val="CommentText"/>
    <w:link w:val="CommentSubjectChar"/>
    <w:uiPriority w:val="99"/>
    <w:semiHidden/>
    <w:unhideWhenUsed/>
    <w:rsid w:val="003C5696"/>
    <w:rPr>
      <w:b/>
      <w:bCs/>
    </w:rPr>
  </w:style>
  <w:style w:type="character" w:customStyle="1" w:styleId="CommentSubjectChar">
    <w:name w:val="Comment Subject Char"/>
    <w:basedOn w:val="CommentTextChar"/>
    <w:link w:val="CommentSubject"/>
    <w:uiPriority w:val="99"/>
    <w:semiHidden/>
    <w:rsid w:val="003C5696"/>
    <w:rPr>
      <w:b/>
      <w:bCs/>
    </w:rPr>
  </w:style>
  <w:style w:type="paragraph" w:styleId="Revision">
    <w:name w:val="Revision"/>
    <w:hidden/>
    <w:uiPriority w:val="99"/>
    <w:semiHidden/>
    <w:rsid w:val="00DC3533"/>
    <w:rPr>
      <w:sz w:val="26"/>
    </w:rPr>
  </w:style>
  <w:style w:type="character" w:customStyle="1" w:styleId="FootnoteTextChar">
    <w:name w:val="Footnote Text Char"/>
    <w:basedOn w:val="DefaultParagraphFont"/>
    <w:link w:val="FootnoteText"/>
    <w:rsid w:val="00BD4483"/>
    <w:rPr>
      <w:rFonts w:ascii="Century Schoolbook" w:hAnsi="Century Schoolbook"/>
      <w:sz w:val="27"/>
    </w:rPr>
  </w:style>
  <w:style w:type="paragraph" w:styleId="BalloonText">
    <w:name w:val="Balloon Text"/>
    <w:basedOn w:val="Normal"/>
    <w:link w:val="BalloonTextChar"/>
    <w:uiPriority w:val="99"/>
    <w:semiHidden/>
    <w:unhideWhenUsed/>
    <w:rsid w:val="00376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B4"/>
    <w:rPr>
      <w:rFonts w:ascii="Segoe UI" w:hAnsi="Segoe UI" w:cs="Segoe UI"/>
      <w:sz w:val="18"/>
      <w:szCs w:val="18"/>
    </w:rPr>
  </w:style>
  <w:style w:type="character" w:styleId="Hyperlink">
    <w:name w:val="Hyperlink"/>
    <w:basedOn w:val="DefaultParagraphFont"/>
    <w:uiPriority w:val="99"/>
    <w:unhideWhenUsed/>
    <w:rsid w:val="003F4053"/>
    <w:rPr>
      <w:color w:val="0000FF" w:themeColor="hyperlink"/>
      <w:u w:val="single"/>
    </w:rPr>
  </w:style>
  <w:style w:type="character" w:customStyle="1" w:styleId="UnresolvedMention1">
    <w:name w:val="Unresolved Mention1"/>
    <w:basedOn w:val="DefaultParagraphFont"/>
    <w:uiPriority w:val="99"/>
    <w:semiHidden/>
    <w:unhideWhenUsed/>
    <w:rsid w:val="003F4053"/>
    <w:rPr>
      <w:color w:val="605E5C"/>
      <w:shd w:val="clear" w:color="auto" w:fill="E1DFDD"/>
    </w:rPr>
  </w:style>
  <w:style w:type="character" w:styleId="FollowedHyperlink">
    <w:name w:val="FollowedHyperlink"/>
    <w:basedOn w:val="DefaultParagraphFont"/>
    <w:uiPriority w:val="99"/>
    <w:semiHidden/>
    <w:unhideWhenUsed/>
    <w:rsid w:val="003F4053"/>
    <w:rPr>
      <w:color w:val="800080" w:themeColor="followedHyperlink"/>
      <w:u w:val="single"/>
    </w:rPr>
  </w:style>
  <w:style w:type="character" w:customStyle="1" w:styleId="TextChar">
    <w:name w:val="Text Char"/>
    <w:link w:val="Text"/>
    <w:rsid w:val="001E4560"/>
    <w:rPr>
      <w:rFonts w:ascii="Century Schoolbook" w:hAnsi="Century Schoolbook"/>
      <w:sz w:val="27"/>
    </w:rPr>
  </w:style>
  <w:style w:type="character" w:customStyle="1" w:styleId="Heading2Char">
    <w:name w:val="Heading 2 Char"/>
    <w:basedOn w:val="DefaultParagraphFont"/>
    <w:link w:val="Heading2"/>
    <w:rsid w:val="00AB0FB6"/>
    <w:rPr>
      <w:rFonts w:ascii="Century Schoolbook" w:hAnsi="Century Schoolbook"/>
      <w:b/>
      <w:sz w:val="27"/>
    </w:rPr>
  </w:style>
  <w:style w:type="character" w:styleId="Emphasis">
    <w:name w:val="Emphasis"/>
    <w:basedOn w:val="DefaultParagraphFont"/>
    <w:uiPriority w:val="20"/>
    <w:qFormat/>
    <w:rsid w:val="00347E09"/>
    <w:rPr>
      <w:i/>
      <w:iCs/>
    </w:rPr>
  </w:style>
  <w:style w:type="paragraph" w:styleId="BodyText">
    <w:name w:val="Body Text"/>
    <w:basedOn w:val="Normal"/>
    <w:link w:val="BodyTextChar"/>
    <w:qFormat/>
    <w:rsid w:val="00A25E48"/>
  </w:style>
  <w:style w:type="character" w:customStyle="1" w:styleId="BodyTextChar">
    <w:name w:val="Body Text Char"/>
    <w:basedOn w:val="DefaultParagraphFont"/>
    <w:link w:val="BodyText"/>
    <w:rsid w:val="00A25E48"/>
    <w:rPr>
      <w:rFonts w:ascii="Century Schoolbook" w:hAnsi="Century Schoolbook"/>
      <w:sz w:val="27"/>
    </w:rPr>
  </w:style>
  <w:style w:type="character" w:customStyle="1" w:styleId="cosearchterm">
    <w:name w:val="co_searchterm"/>
    <w:basedOn w:val="DefaultParagraphFont"/>
    <w:rsid w:val="009C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9F2C-1018-4282-811F-3B8F8681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11405</Words>
  <Characters>65013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2024-06-17T16:47:37Z</dcterms:created>
  <dcterms:modified xsi:type="dcterms:W3CDTF">2024-06-17T16:47:37Z</dcterms:modified>
</cp:coreProperties>
</file>