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919A7" w:rsidP="00CA1A65" w14:paraId="1DF10649" w14:textId="77777777">
      <w:pPr>
        <w:tabs>
          <w:tab w:val="left" w:pos="1440"/>
        </w:tabs>
        <w:spacing w:after="0"/>
        <w:jc w:val="center"/>
        <w:rPr>
          <w:caps/>
          <w:sz w:val="36"/>
          <w:szCs w:val="26"/>
        </w:rPr>
      </w:pPr>
      <w:bookmarkStart w:id="0" w:name="justice"/>
      <w:bookmarkStart w:id="1" w:name="MarkDocLoc"/>
      <w:bookmarkStart w:id="2" w:name="_Hlk167459900"/>
      <w:bookmarkEnd w:id="0"/>
      <w:bookmarkEnd w:id="1"/>
      <w:r>
        <w:rPr>
          <w:b/>
          <w:caps/>
          <w:sz w:val="36"/>
          <w:szCs w:val="26"/>
        </w:rPr>
        <w:t>IN THE SUPREME COURT OF CALIFORNIA</w:t>
      </w:r>
    </w:p>
    <w:p w:rsidR="00CA1A65" w:rsidP="00CA1A65" w14:paraId="1DF1064A" w14:textId="77777777">
      <w:pPr>
        <w:tabs>
          <w:tab w:val="left" w:pos="1440"/>
        </w:tabs>
        <w:spacing w:after="0"/>
        <w:jc w:val="center"/>
        <w:rPr>
          <w:caps/>
          <w:szCs w:val="26"/>
        </w:rPr>
      </w:pPr>
    </w:p>
    <w:p w:rsidR="00CA1A65" w:rsidP="00CA1A65" w14:paraId="1DF1064B" w14:textId="77777777">
      <w:pPr>
        <w:tabs>
          <w:tab w:val="left" w:pos="1440"/>
        </w:tabs>
        <w:spacing w:after="0"/>
        <w:jc w:val="center"/>
        <w:rPr>
          <w:caps/>
          <w:szCs w:val="26"/>
        </w:rPr>
      </w:pPr>
      <w:r>
        <w:rPr>
          <w:caps/>
          <w:szCs w:val="26"/>
        </w:rPr>
        <w:t>EMILY WHEELER,</w:t>
      </w:r>
    </w:p>
    <w:p w:rsidR="00CA1A65" w:rsidRPr="00521BF3" w:rsidP="00CA1A65" w14:paraId="1DF1064C" w14:textId="77777777">
      <w:pPr>
        <w:tabs>
          <w:tab w:val="left" w:pos="1440"/>
        </w:tabs>
        <w:spacing w:after="0"/>
        <w:jc w:val="center"/>
        <w:rPr>
          <w:szCs w:val="26"/>
        </w:rPr>
      </w:pPr>
      <w:r w:rsidRPr="00521BF3">
        <w:rPr>
          <w:szCs w:val="26"/>
        </w:rPr>
        <w:t>Petitioner</w:t>
      </w:r>
      <w:r w:rsidR="00521BF3">
        <w:rPr>
          <w:szCs w:val="26"/>
        </w:rPr>
        <w:t>,</w:t>
      </w:r>
    </w:p>
    <w:p w:rsidR="00CA1A65" w:rsidP="00CA1A65" w14:paraId="1DF1064D" w14:textId="77777777">
      <w:pPr>
        <w:tabs>
          <w:tab w:val="left" w:pos="1440"/>
        </w:tabs>
        <w:spacing w:after="0"/>
        <w:jc w:val="center"/>
        <w:rPr>
          <w:caps/>
          <w:szCs w:val="26"/>
        </w:rPr>
      </w:pPr>
      <w:r w:rsidRPr="00521BF3">
        <w:rPr>
          <w:szCs w:val="26"/>
        </w:rPr>
        <w:t>v</w:t>
      </w:r>
      <w:r>
        <w:rPr>
          <w:caps/>
          <w:szCs w:val="26"/>
        </w:rPr>
        <w:t>.</w:t>
      </w:r>
    </w:p>
    <w:p w:rsidR="00CA1A65" w:rsidP="00CA1A65" w14:paraId="1DF1064E" w14:textId="77777777">
      <w:pPr>
        <w:tabs>
          <w:tab w:val="left" w:pos="1440"/>
        </w:tabs>
        <w:spacing w:after="0"/>
        <w:jc w:val="center"/>
        <w:rPr>
          <w:caps/>
          <w:szCs w:val="26"/>
        </w:rPr>
      </w:pPr>
      <w:r>
        <w:rPr>
          <w:caps/>
          <w:szCs w:val="26"/>
        </w:rPr>
        <w:t>APPELLATE DIVISION OF THE SUPERIOR COURT OF LOS ANGELES COUNTY,</w:t>
      </w:r>
    </w:p>
    <w:p w:rsidR="003448F3" w:rsidP="003448F3" w14:paraId="1DF1064F" w14:textId="77777777">
      <w:pPr>
        <w:tabs>
          <w:tab w:val="left" w:pos="1440"/>
        </w:tabs>
        <w:spacing w:after="0"/>
        <w:jc w:val="center"/>
        <w:rPr>
          <w:szCs w:val="26"/>
        </w:rPr>
      </w:pPr>
      <w:r w:rsidRPr="00521BF3">
        <w:rPr>
          <w:szCs w:val="26"/>
        </w:rPr>
        <w:t>Respondent</w:t>
      </w:r>
      <w:r>
        <w:rPr>
          <w:szCs w:val="26"/>
        </w:rPr>
        <w:t>;</w:t>
      </w:r>
    </w:p>
    <w:p w:rsidR="003448F3" w:rsidP="003448F3" w14:paraId="1DF10650" w14:textId="77777777">
      <w:pPr>
        <w:tabs>
          <w:tab w:val="left" w:pos="1440"/>
        </w:tabs>
        <w:spacing w:after="0"/>
        <w:jc w:val="center"/>
        <w:rPr>
          <w:szCs w:val="26"/>
        </w:rPr>
      </w:pPr>
      <w:r>
        <w:rPr>
          <w:szCs w:val="26"/>
        </w:rPr>
        <w:t>THE PEOPLE,</w:t>
      </w:r>
    </w:p>
    <w:p w:rsidR="00CA1A65" w:rsidP="003448F3" w14:paraId="1DF10651" w14:textId="77777777">
      <w:pPr>
        <w:tabs>
          <w:tab w:val="left" w:pos="1440"/>
        </w:tabs>
        <w:spacing w:after="0"/>
        <w:jc w:val="center"/>
        <w:rPr>
          <w:caps/>
          <w:szCs w:val="26"/>
        </w:rPr>
      </w:pPr>
      <w:r>
        <w:rPr>
          <w:szCs w:val="26"/>
        </w:rPr>
        <w:t>Real Party in Interest</w:t>
      </w:r>
      <w:r>
        <w:rPr>
          <w:caps/>
          <w:szCs w:val="26"/>
        </w:rPr>
        <w:t>.</w:t>
      </w:r>
    </w:p>
    <w:p w:rsidR="00CA1A65" w:rsidP="00CA1A65" w14:paraId="1DF10652" w14:textId="77777777">
      <w:pPr>
        <w:tabs>
          <w:tab w:val="left" w:pos="1440"/>
        </w:tabs>
        <w:spacing w:after="0"/>
        <w:jc w:val="center"/>
        <w:rPr>
          <w:caps/>
          <w:szCs w:val="26"/>
        </w:rPr>
      </w:pPr>
    </w:p>
    <w:p w:rsidR="00CA1A65" w:rsidP="00CA1A65" w14:paraId="1DF10653" w14:textId="77777777">
      <w:pPr>
        <w:tabs>
          <w:tab w:val="left" w:pos="1440"/>
        </w:tabs>
        <w:spacing w:after="0"/>
        <w:jc w:val="center"/>
        <w:rPr>
          <w:caps/>
          <w:szCs w:val="26"/>
        </w:rPr>
      </w:pPr>
      <w:r>
        <w:rPr>
          <w:caps/>
          <w:szCs w:val="26"/>
        </w:rPr>
        <w:t>S272850</w:t>
      </w:r>
    </w:p>
    <w:p w:rsidR="00CA1A65" w:rsidP="00CA1A65" w14:paraId="1DF10654" w14:textId="77777777">
      <w:pPr>
        <w:tabs>
          <w:tab w:val="left" w:pos="1440"/>
        </w:tabs>
        <w:spacing w:after="0"/>
        <w:jc w:val="center"/>
        <w:rPr>
          <w:caps/>
          <w:szCs w:val="26"/>
        </w:rPr>
      </w:pPr>
    </w:p>
    <w:p w:rsidR="00CA1A65" w:rsidRPr="00521BF3" w:rsidP="00CA1A65" w14:paraId="1DF10655" w14:textId="77777777">
      <w:pPr>
        <w:tabs>
          <w:tab w:val="left" w:pos="1440"/>
        </w:tabs>
        <w:spacing w:after="0"/>
        <w:jc w:val="center"/>
        <w:rPr>
          <w:szCs w:val="26"/>
        </w:rPr>
      </w:pPr>
      <w:r w:rsidRPr="00521BF3">
        <w:rPr>
          <w:szCs w:val="26"/>
        </w:rPr>
        <w:t>Second Appellate District, Division Three</w:t>
      </w:r>
    </w:p>
    <w:p w:rsidR="00CA1A65" w:rsidP="00CA1A65" w14:paraId="1DF10656" w14:textId="77777777">
      <w:pPr>
        <w:tabs>
          <w:tab w:val="left" w:pos="1440"/>
        </w:tabs>
        <w:spacing w:after="0"/>
        <w:jc w:val="center"/>
        <w:rPr>
          <w:caps/>
          <w:szCs w:val="26"/>
        </w:rPr>
      </w:pPr>
      <w:r>
        <w:rPr>
          <w:caps/>
          <w:szCs w:val="26"/>
        </w:rPr>
        <w:t>B310024</w:t>
      </w:r>
    </w:p>
    <w:p w:rsidR="00CA1A65" w:rsidP="00CA1A65" w14:paraId="1DF10657" w14:textId="77777777">
      <w:pPr>
        <w:tabs>
          <w:tab w:val="left" w:pos="1440"/>
        </w:tabs>
        <w:spacing w:after="0"/>
        <w:jc w:val="center"/>
        <w:rPr>
          <w:caps/>
          <w:szCs w:val="26"/>
        </w:rPr>
      </w:pPr>
    </w:p>
    <w:p w:rsidR="00CA1A65" w:rsidRPr="00521BF3" w:rsidP="00CA1A65" w14:paraId="1DF10658" w14:textId="77777777">
      <w:pPr>
        <w:tabs>
          <w:tab w:val="left" w:pos="1440"/>
        </w:tabs>
        <w:spacing w:after="0"/>
        <w:jc w:val="center"/>
        <w:rPr>
          <w:szCs w:val="26"/>
        </w:rPr>
      </w:pPr>
      <w:r w:rsidRPr="00521BF3">
        <w:rPr>
          <w:szCs w:val="26"/>
        </w:rPr>
        <w:t>L</w:t>
      </w:r>
      <w:r w:rsidR="00521BF3">
        <w:rPr>
          <w:szCs w:val="26"/>
        </w:rPr>
        <w:t xml:space="preserve">os Angeles </w:t>
      </w:r>
      <w:r w:rsidR="00065727">
        <w:rPr>
          <w:szCs w:val="26"/>
        </w:rPr>
        <w:t xml:space="preserve">County </w:t>
      </w:r>
      <w:r w:rsidR="00521BF3">
        <w:rPr>
          <w:szCs w:val="26"/>
        </w:rPr>
        <w:t>Superior Court</w:t>
      </w:r>
    </w:p>
    <w:p w:rsidR="00CA1A65" w:rsidP="00CA1A65" w14:paraId="1DF10659" w14:textId="753F89F0">
      <w:pPr>
        <w:tabs>
          <w:tab w:val="left" w:pos="1440"/>
        </w:tabs>
        <w:spacing w:after="0"/>
        <w:jc w:val="center"/>
        <w:rPr>
          <w:caps/>
          <w:szCs w:val="26"/>
        </w:rPr>
      </w:pPr>
      <w:r>
        <w:rPr>
          <w:caps/>
          <w:szCs w:val="26"/>
        </w:rPr>
        <w:t>9CJ00315, BR0548</w:t>
      </w:r>
      <w:r w:rsidR="0019297B">
        <w:rPr>
          <w:caps/>
          <w:szCs w:val="26"/>
        </w:rPr>
        <w:t>5</w:t>
      </w:r>
      <w:r>
        <w:rPr>
          <w:caps/>
          <w:szCs w:val="26"/>
        </w:rPr>
        <w:t>1</w:t>
      </w:r>
    </w:p>
    <w:p w:rsidR="00CA1A65" w:rsidP="00CA1A65" w14:paraId="1DF1065A" w14:textId="77777777">
      <w:pPr>
        <w:pBdr>
          <w:bottom w:val="single" w:sz="4" w:space="1" w:color="auto"/>
        </w:pBdr>
        <w:tabs>
          <w:tab w:val="left" w:pos="1440"/>
        </w:tabs>
        <w:spacing w:after="0"/>
        <w:jc w:val="center"/>
        <w:rPr>
          <w:caps/>
          <w:szCs w:val="26"/>
        </w:rPr>
      </w:pPr>
    </w:p>
    <w:p w:rsidR="00CA1A65" w:rsidP="00CA1A65" w14:paraId="1DF1065B" w14:textId="77777777">
      <w:pPr>
        <w:tabs>
          <w:tab w:val="left" w:pos="1440"/>
        </w:tabs>
        <w:spacing w:after="0"/>
        <w:jc w:val="center"/>
        <w:rPr>
          <w:caps/>
          <w:szCs w:val="26"/>
        </w:rPr>
      </w:pPr>
    </w:p>
    <w:p w:rsidR="007F034A" w:rsidP="007F034A" w14:paraId="1DF1065C" w14:textId="77777777">
      <w:pPr>
        <w:tabs>
          <w:tab w:val="left" w:pos="1440"/>
          <w:tab w:val="left" w:pos="4680"/>
          <w:tab w:val="center" w:pos="7200"/>
        </w:tabs>
        <w:spacing w:after="0"/>
        <w:jc w:val="center"/>
      </w:pPr>
      <w:bookmarkStart w:id="3" w:name="Return"/>
      <w:bookmarkEnd w:id="3"/>
      <w:r>
        <w:t>May 30, 2024</w:t>
      </w:r>
    </w:p>
    <w:p w:rsidR="007F034A" w:rsidP="007F034A" w14:paraId="1DF1065D" w14:textId="77777777">
      <w:pPr>
        <w:tabs>
          <w:tab w:val="left" w:pos="1440"/>
          <w:tab w:val="left" w:pos="4680"/>
          <w:tab w:val="center" w:pos="7200"/>
        </w:tabs>
        <w:spacing w:after="0"/>
        <w:jc w:val="center"/>
      </w:pPr>
    </w:p>
    <w:p w:rsidR="00AB38AB" w:rsidP="00AB38AB" w14:paraId="1DF1065E" w14:textId="77777777">
      <w:pPr>
        <w:pBdr>
          <w:bottom w:val="single" w:sz="4" w:space="1" w:color="auto"/>
        </w:pBdr>
        <w:tabs>
          <w:tab w:val="left" w:pos="1440"/>
          <w:tab w:val="left" w:pos="4680"/>
          <w:tab w:val="center" w:pos="7200"/>
        </w:tabs>
        <w:spacing w:after="0"/>
        <w:jc w:val="left"/>
      </w:pPr>
      <w:r w:rsidRPr="006A434A">
        <w:t xml:space="preserve">Justice </w:t>
      </w:r>
      <w:r>
        <w:t>Jenkins</w:t>
      </w:r>
      <w:r w:rsidRPr="006A434A">
        <w:t xml:space="preserve"> authored the opinion of the Court, </w:t>
      </w:r>
      <w:r>
        <w:t>in which Chief Justice Guerrero and Justices Corrigan, Liu, Kruger, Groban, and Evans concurred.</w:t>
      </w:r>
    </w:p>
    <w:p w:rsidR="00CA1A65" w:rsidRPr="00CA1A65" w:rsidP="00CA1A65" w14:paraId="1DF1065F" w14:textId="77777777">
      <w:pPr>
        <w:pBdr>
          <w:bottom w:val="single" w:sz="4" w:space="1" w:color="auto"/>
        </w:pBdr>
        <w:tabs>
          <w:tab w:val="left" w:pos="1440"/>
        </w:tabs>
        <w:spacing w:line="480" w:lineRule="atLeast"/>
        <w:jc w:val="left"/>
        <w:rPr>
          <w:caps/>
          <w:szCs w:val="26"/>
        </w:rPr>
      </w:pPr>
    </w:p>
    <w:p w:rsidR="00CA1A65" w:rsidP="008919A7" w14:paraId="1DF10660" w14:textId="77777777">
      <w:pPr>
        <w:tabs>
          <w:tab w:val="left" w:pos="1440"/>
        </w:tabs>
        <w:spacing w:line="480" w:lineRule="atLeast"/>
        <w:jc w:val="center"/>
        <w:rPr>
          <w:b/>
          <w:caps/>
          <w:sz w:val="26"/>
          <w:szCs w:val="26"/>
        </w:rPr>
        <w:sectPr w:rsidSect="00CA1A65">
          <w:headerReference w:type="default" r:id="rId6"/>
          <w:footerReference w:type="default" r:id="rId7"/>
          <w:pgSz w:w="12240" w:h="15840"/>
          <w:pgMar w:top="1800" w:right="2160" w:bottom="1440" w:left="2160" w:header="720" w:footer="720" w:gutter="0"/>
          <w:cols w:space="720"/>
          <w:titlePg/>
          <w:docGrid w:linePitch="367"/>
        </w:sectPr>
      </w:pPr>
    </w:p>
    <w:p w:rsidR="00CA1A65" w:rsidRPr="00422155" w:rsidP="00CA1A65" w14:paraId="1DF10661" w14:textId="77777777">
      <w:pPr>
        <w:tabs>
          <w:tab w:val="left" w:pos="1440"/>
        </w:tabs>
        <w:jc w:val="center"/>
        <w:rPr>
          <w:bCs/>
          <w:caps/>
          <w:szCs w:val="26"/>
        </w:rPr>
      </w:pPr>
      <w:r w:rsidRPr="00422155">
        <w:rPr>
          <w:bCs/>
          <w:caps/>
          <w:szCs w:val="26"/>
        </w:rPr>
        <w:t xml:space="preserve">WHEELER </w:t>
      </w:r>
      <w:r w:rsidRPr="00422155">
        <w:rPr>
          <w:bCs/>
          <w:szCs w:val="26"/>
        </w:rPr>
        <w:t>v</w:t>
      </w:r>
      <w:r w:rsidRPr="00422155">
        <w:rPr>
          <w:bCs/>
          <w:caps/>
          <w:szCs w:val="26"/>
        </w:rPr>
        <w:t>. APPELLATE DIVISION</w:t>
      </w:r>
      <w:r w:rsidR="00F86C1F">
        <w:rPr>
          <w:bCs/>
          <w:caps/>
          <w:szCs w:val="26"/>
        </w:rPr>
        <w:t xml:space="preserve"> OF SUPERIOR COURT</w:t>
      </w:r>
    </w:p>
    <w:p w:rsidR="00CA1A65" w:rsidRPr="00422155" w:rsidP="00CA1A65" w14:paraId="1DF10662" w14:textId="77777777">
      <w:pPr>
        <w:tabs>
          <w:tab w:val="left" w:pos="1440"/>
        </w:tabs>
        <w:jc w:val="center"/>
        <w:rPr>
          <w:bCs/>
          <w:caps/>
          <w:szCs w:val="26"/>
        </w:rPr>
      </w:pPr>
      <w:r w:rsidRPr="00422155">
        <w:rPr>
          <w:bCs/>
          <w:caps/>
          <w:szCs w:val="26"/>
        </w:rPr>
        <w:t>S272850</w:t>
      </w:r>
    </w:p>
    <w:p w:rsidR="00CA1A65" w:rsidRPr="00422155" w:rsidP="00CA1A65" w14:paraId="1DF10663" w14:textId="77777777">
      <w:pPr>
        <w:tabs>
          <w:tab w:val="left" w:pos="1440"/>
        </w:tabs>
        <w:jc w:val="center"/>
        <w:rPr>
          <w:bCs/>
          <w:caps/>
          <w:szCs w:val="26"/>
        </w:rPr>
      </w:pPr>
    </w:p>
    <w:p w:rsidR="00CA1A65" w:rsidRPr="00422155" w:rsidP="00CA1A65" w14:paraId="1DF10664" w14:textId="77777777">
      <w:pPr>
        <w:tabs>
          <w:tab w:val="left" w:pos="1440"/>
        </w:tabs>
        <w:jc w:val="center"/>
        <w:rPr>
          <w:bCs/>
          <w:szCs w:val="26"/>
        </w:rPr>
      </w:pPr>
      <w:r w:rsidRPr="00422155">
        <w:rPr>
          <w:bCs/>
          <w:szCs w:val="26"/>
        </w:rPr>
        <w:t>Opinion of the Court by J</w:t>
      </w:r>
      <w:r w:rsidR="001B20D8">
        <w:rPr>
          <w:bCs/>
          <w:szCs w:val="26"/>
        </w:rPr>
        <w:t>enkins</w:t>
      </w:r>
      <w:r w:rsidRPr="00422155">
        <w:rPr>
          <w:bCs/>
          <w:szCs w:val="26"/>
        </w:rPr>
        <w:t>, J.</w:t>
      </w:r>
    </w:p>
    <w:p w:rsidR="00CA1A65" w:rsidRPr="00CA1A65" w:rsidP="00CA1A65" w14:paraId="1DF10665" w14:textId="77777777">
      <w:pPr>
        <w:tabs>
          <w:tab w:val="left" w:pos="1440"/>
        </w:tabs>
        <w:jc w:val="center"/>
        <w:rPr>
          <w:b/>
          <w:caps/>
          <w:szCs w:val="26"/>
        </w:rPr>
      </w:pPr>
    </w:p>
    <w:p w:rsidR="00DE7BC1" w:rsidRPr="00CA1A65" w:rsidP="00CA1A65" w14:paraId="1DF10666" w14:textId="77777777">
      <w:pPr>
        <w:rPr>
          <w:szCs w:val="26"/>
        </w:rPr>
      </w:pPr>
      <w:r w:rsidRPr="00CA1A65">
        <w:rPr>
          <w:szCs w:val="26"/>
        </w:rPr>
        <w:tab/>
        <w:t>Dismissals of criminal actions are permitted “in furtherance of justice.”  (Pen. Code, § 1385, subd. (a).)</w:t>
      </w:r>
      <w:r>
        <w:rPr>
          <w:rStyle w:val="FootnoteReference"/>
          <w:szCs w:val="26"/>
        </w:rPr>
        <w:footnoteReference w:id="3"/>
      </w:r>
      <w:r w:rsidRPr="00CA1A65">
        <w:rPr>
          <w:szCs w:val="26"/>
        </w:rPr>
        <w:t xml:space="preserve">  We have held that trial courts evaluating </w:t>
      </w:r>
      <w:r w:rsidRPr="00CA1A65" w:rsidR="00184D2D">
        <w:rPr>
          <w:szCs w:val="26"/>
        </w:rPr>
        <w:t xml:space="preserve">an “in furtherance of justice” </w:t>
      </w:r>
      <w:r w:rsidRPr="00CA1A65">
        <w:rPr>
          <w:szCs w:val="26"/>
        </w:rPr>
        <w:t xml:space="preserve">dismissal may consider a charged crime’s characteristics.  </w:t>
      </w:r>
      <w:r w:rsidR="00EE48DC">
        <w:rPr>
          <w:szCs w:val="26"/>
        </w:rPr>
        <w:t>Here, we conclude t</w:t>
      </w:r>
      <w:r w:rsidRPr="00CA1A65">
        <w:rPr>
          <w:szCs w:val="26"/>
        </w:rPr>
        <w:t>he trial court did not err in considering</w:t>
      </w:r>
      <w:r w:rsidRPr="00CA1A65" w:rsidR="007D195E">
        <w:rPr>
          <w:szCs w:val="26"/>
        </w:rPr>
        <w:t>, amongst other circumstances,</w:t>
      </w:r>
      <w:r w:rsidRPr="00CA1A65">
        <w:rPr>
          <w:szCs w:val="26"/>
        </w:rPr>
        <w:t xml:space="preserve"> defendant </w:t>
      </w:r>
      <w:r w:rsidR="00984314">
        <w:rPr>
          <w:szCs w:val="26"/>
        </w:rPr>
        <w:t xml:space="preserve">and petitioner </w:t>
      </w:r>
      <w:r w:rsidRPr="00CA1A65">
        <w:rPr>
          <w:szCs w:val="26"/>
        </w:rPr>
        <w:t xml:space="preserve">Emily Wheeler’s </w:t>
      </w:r>
      <w:r w:rsidRPr="00CA1A65" w:rsidR="007D195E">
        <w:rPr>
          <w:szCs w:val="26"/>
        </w:rPr>
        <w:t>innocent</w:t>
      </w:r>
      <w:r w:rsidRPr="00CA1A65">
        <w:rPr>
          <w:szCs w:val="26"/>
        </w:rPr>
        <w:t xml:space="preserve"> state of mind when it dismissed misdemeanor charges the parties agree would impose strict liability</w:t>
      </w:r>
      <w:r w:rsidRPr="00CA1A65" w:rsidR="00B31124">
        <w:rPr>
          <w:szCs w:val="26"/>
        </w:rPr>
        <w:t xml:space="preserve"> and which were premised on municipal law that permitted noncriminal sanctions for the least culpable violators.</w:t>
      </w:r>
      <w:r w:rsidRPr="00CA1A65">
        <w:rPr>
          <w:szCs w:val="26"/>
        </w:rPr>
        <w:t xml:space="preserve">  </w:t>
      </w:r>
      <w:r w:rsidRPr="00CA1A65" w:rsidR="005E71D6">
        <w:rPr>
          <w:szCs w:val="26"/>
        </w:rPr>
        <w:t>W</w:t>
      </w:r>
      <w:r w:rsidRPr="00CA1A65">
        <w:rPr>
          <w:szCs w:val="26"/>
        </w:rPr>
        <w:t xml:space="preserve">e </w:t>
      </w:r>
      <w:r w:rsidRPr="00CA1A65" w:rsidR="005E71D6">
        <w:rPr>
          <w:szCs w:val="26"/>
        </w:rPr>
        <w:t xml:space="preserve">therefore </w:t>
      </w:r>
      <w:r w:rsidRPr="00CA1A65">
        <w:rPr>
          <w:szCs w:val="26"/>
        </w:rPr>
        <w:t xml:space="preserve">reverse the </w:t>
      </w:r>
      <w:r w:rsidR="00471282">
        <w:rPr>
          <w:szCs w:val="26"/>
        </w:rPr>
        <w:t>judgment</w:t>
      </w:r>
      <w:r w:rsidRPr="00CA1A65" w:rsidR="00471282">
        <w:rPr>
          <w:szCs w:val="26"/>
        </w:rPr>
        <w:t xml:space="preserve"> </w:t>
      </w:r>
      <w:r w:rsidRPr="00CA1A65">
        <w:rPr>
          <w:szCs w:val="26"/>
        </w:rPr>
        <w:t xml:space="preserve">of </w:t>
      </w:r>
      <w:r w:rsidR="00503066">
        <w:rPr>
          <w:szCs w:val="26"/>
        </w:rPr>
        <w:t xml:space="preserve">the </w:t>
      </w:r>
      <w:r w:rsidRPr="00CA1A65">
        <w:rPr>
          <w:szCs w:val="26"/>
        </w:rPr>
        <w:t>Court of Appeal, which concluded otherwise</w:t>
      </w:r>
      <w:r w:rsidR="00042B92">
        <w:rPr>
          <w:szCs w:val="26"/>
        </w:rPr>
        <w:t xml:space="preserve">, and </w:t>
      </w:r>
      <w:r w:rsidR="00934E07">
        <w:rPr>
          <w:szCs w:val="26"/>
        </w:rPr>
        <w:t xml:space="preserve">direct that </w:t>
      </w:r>
      <w:r w:rsidR="00042B92">
        <w:rPr>
          <w:szCs w:val="26"/>
        </w:rPr>
        <w:t>the dismissal should stand</w:t>
      </w:r>
      <w:r w:rsidRPr="00CA1A65">
        <w:rPr>
          <w:szCs w:val="26"/>
        </w:rPr>
        <w:t>.</w:t>
      </w:r>
    </w:p>
    <w:p w:rsidR="00CA1A65" w:rsidP="00CA1A65" w14:paraId="1DF10667" w14:textId="77777777">
      <w:pPr>
        <w:rPr>
          <w:szCs w:val="26"/>
        </w:rPr>
        <w:sectPr w:rsidSect="00CA1A65">
          <w:footerReference w:type="first" r:id="rId8"/>
          <w:pgSz w:w="12240" w:h="15840"/>
          <w:pgMar w:top="1800" w:right="2160" w:bottom="1440" w:left="2160" w:header="720" w:footer="720" w:gutter="0"/>
          <w:pgNumType w:start="1"/>
          <w:cols w:space="720"/>
          <w:titlePg/>
          <w:docGrid w:linePitch="367"/>
        </w:sectPr>
      </w:pPr>
    </w:p>
    <w:p w:rsidR="00A757EB" w:rsidRPr="00CA1A65" w:rsidP="00CA1A65" w14:paraId="1DF10668" w14:textId="77777777">
      <w:pPr>
        <w:outlineLvl w:val="0"/>
        <w:rPr>
          <w:b/>
          <w:bCs/>
          <w:szCs w:val="26"/>
        </w:rPr>
      </w:pPr>
      <w:r w:rsidRPr="00CA1A65">
        <w:rPr>
          <w:b/>
          <w:bCs/>
          <w:szCs w:val="26"/>
        </w:rPr>
        <w:t>I.  BACKGROUND</w:t>
      </w:r>
    </w:p>
    <w:p w:rsidR="00F72BD0" w:rsidRPr="00CA1A65" w:rsidP="00CA1A65" w14:paraId="1DF10669" w14:textId="69FF42D7">
      <w:pPr>
        <w:outlineLvl w:val="1"/>
        <w:rPr>
          <w:b/>
          <w:bCs/>
          <w:szCs w:val="26"/>
        </w:rPr>
      </w:pPr>
      <w:r w:rsidRPr="00CA1A65">
        <w:rPr>
          <w:b/>
          <w:bCs/>
          <w:szCs w:val="26"/>
        </w:rPr>
        <w:t>A.</w:t>
      </w:r>
      <w:r w:rsidR="005014AC">
        <w:rPr>
          <w:b/>
          <w:bCs/>
          <w:szCs w:val="26"/>
        </w:rPr>
        <w:tab/>
      </w:r>
      <w:r w:rsidRPr="00CA1A65">
        <w:rPr>
          <w:b/>
          <w:bCs/>
          <w:szCs w:val="26"/>
        </w:rPr>
        <w:t>Charges Against Defendant</w:t>
      </w:r>
    </w:p>
    <w:p w:rsidR="00D117A5" w:rsidRPr="00CA1A65" w:rsidP="00CA1A65" w14:paraId="1DF1066A" w14:textId="77777777">
      <w:pPr>
        <w:ind w:firstLine="720"/>
        <w:rPr>
          <w:szCs w:val="26"/>
        </w:rPr>
      </w:pPr>
      <w:r w:rsidRPr="00CA1A65">
        <w:rPr>
          <w:szCs w:val="26"/>
        </w:rPr>
        <w:t xml:space="preserve">In 2019, the City of Los Angeles, acting for the People of the State of California, issued a misdemeanor criminal complaint alleging unlicensed cannabis activity on property within city limits.  The complaint charged </w:t>
      </w:r>
      <w:r w:rsidR="00984314">
        <w:rPr>
          <w:szCs w:val="26"/>
        </w:rPr>
        <w:t xml:space="preserve">defendant and petitioner </w:t>
      </w:r>
      <w:r w:rsidRPr="00CA1A65">
        <w:rPr>
          <w:szCs w:val="26"/>
        </w:rPr>
        <w:t>Wheeler, the property owner, and her son, Aaron Wheeler, with various Los Angeles Municipal Code (Municipal Code) violations.</w:t>
      </w:r>
    </w:p>
    <w:p w:rsidR="00227641" w:rsidRPr="00CA1A65" w:rsidP="00CA1A65" w14:paraId="1DF1066B" w14:textId="77777777">
      <w:pPr>
        <w:ind w:firstLine="720"/>
        <w:rPr>
          <w:szCs w:val="26"/>
        </w:rPr>
      </w:pPr>
      <w:r w:rsidRPr="00CA1A65">
        <w:rPr>
          <w:szCs w:val="26"/>
        </w:rPr>
        <w:t xml:space="preserve">Counts 6 and 8 charged the Wheelers with violating </w:t>
      </w:r>
      <w:r w:rsidRPr="00CA1A65" w:rsidR="00CA41C3">
        <w:rPr>
          <w:szCs w:val="26"/>
        </w:rPr>
        <w:t xml:space="preserve">two subdivisions of </w:t>
      </w:r>
      <w:r w:rsidRPr="00CA1A65">
        <w:rPr>
          <w:szCs w:val="26"/>
        </w:rPr>
        <w:t>Municipal Code section 104.15</w:t>
      </w:r>
      <w:r w:rsidRPr="00CA1A65" w:rsidR="00CA41C3">
        <w:rPr>
          <w:szCs w:val="26"/>
        </w:rPr>
        <w:t>,</w:t>
      </w:r>
      <w:r>
        <w:rPr>
          <w:rStyle w:val="FootnoteReference"/>
          <w:szCs w:val="26"/>
        </w:rPr>
        <w:footnoteReference w:id="4"/>
      </w:r>
      <w:r w:rsidRPr="00CA1A65" w:rsidR="00CA41C3">
        <w:rPr>
          <w:szCs w:val="26"/>
        </w:rPr>
        <w:t xml:space="preserve"> one targeting </w:t>
      </w:r>
      <w:r w:rsidRPr="00CA1A65">
        <w:rPr>
          <w:szCs w:val="26"/>
        </w:rPr>
        <w:t>“unlicensed Commercial Cannabis Activity”</w:t>
      </w:r>
      <w:r>
        <w:rPr>
          <w:rStyle w:val="FootnoteReference"/>
          <w:szCs w:val="26"/>
        </w:rPr>
        <w:footnoteReference w:id="5"/>
      </w:r>
      <w:r w:rsidRPr="00CA1A65">
        <w:rPr>
          <w:szCs w:val="26"/>
        </w:rPr>
        <w:t xml:space="preserve"> </w:t>
      </w:r>
      <w:r w:rsidRPr="00CA1A65" w:rsidR="00CA41C3">
        <w:rPr>
          <w:szCs w:val="26"/>
        </w:rPr>
        <w:t xml:space="preserve">and the other targeting </w:t>
      </w:r>
      <w:r w:rsidRPr="00CA1A65">
        <w:rPr>
          <w:szCs w:val="26"/>
        </w:rPr>
        <w:t xml:space="preserve">“Unlawful Establishments,” meaning individuals or entities engaged in such </w:t>
      </w:r>
      <w:r w:rsidRPr="00CA1A65" w:rsidR="002F7825">
        <w:rPr>
          <w:szCs w:val="26"/>
        </w:rPr>
        <w:t xml:space="preserve">unlicensed </w:t>
      </w:r>
      <w:r w:rsidRPr="00CA1A65">
        <w:rPr>
          <w:szCs w:val="26"/>
        </w:rPr>
        <w:t>activity.</w:t>
      </w:r>
      <w:r>
        <w:rPr>
          <w:rStyle w:val="FootnoteReference"/>
          <w:szCs w:val="26"/>
        </w:rPr>
        <w:footnoteReference w:id="6"/>
      </w:r>
      <w:r w:rsidRPr="00CA1A65">
        <w:rPr>
          <w:szCs w:val="26"/>
        </w:rPr>
        <w:t xml:space="preserve">  (</w:t>
      </w:r>
      <w:r w:rsidR="000F15F5">
        <w:rPr>
          <w:szCs w:val="26"/>
        </w:rPr>
        <w:t>Mun. Code,</w:t>
      </w:r>
      <w:r w:rsidRPr="00CA1A65">
        <w:rPr>
          <w:szCs w:val="26"/>
        </w:rPr>
        <w:t xml:space="preserve"> § 104.15</w:t>
      </w:r>
      <w:r w:rsidR="00065727">
        <w:rPr>
          <w:szCs w:val="26"/>
        </w:rPr>
        <w:t>(a) &amp; (b)</w:t>
      </w:r>
      <w:r w:rsidRPr="00CA1A65">
        <w:rPr>
          <w:szCs w:val="26"/>
        </w:rPr>
        <w:t>.)  Count 6 charged a violation of subdivision (a)(1), which makes it unlawful “to establish, operate, or participate as an Employee, contractor, agent or volunteer, in any unlicensed Commercial Cannabis Activity in the City.”  (</w:t>
      </w:r>
      <w:r w:rsidR="000F15F5">
        <w:rPr>
          <w:szCs w:val="26"/>
        </w:rPr>
        <w:t>Mun. Code,</w:t>
      </w:r>
      <w:r w:rsidRPr="00CA1A65" w:rsidR="000F15F5">
        <w:rPr>
          <w:szCs w:val="26"/>
        </w:rPr>
        <w:t xml:space="preserve"> </w:t>
      </w:r>
      <w:r w:rsidRPr="00CA1A65">
        <w:rPr>
          <w:szCs w:val="26"/>
        </w:rPr>
        <w:t>§ 104.15(a)(1).)  This prohibition “include[s] renting, leasing to or otherwise allowing any unlicensed Commercial Cannabis Activity . . . to occupy or use any building or land.”  (</w:t>
      </w:r>
      <w:r w:rsidR="000F15F5">
        <w:rPr>
          <w:szCs w:val="26"/>
        </w:rPr>
        <w:t>Mun. Code,</w:t>
      </w:r>
      <w:r w:rsidRPr="00CA1A65">
        <w:rPr>
          <w:szCs w:val="26"/>
        </w:rPr>
        <w:t xml:space="preserve"> § 104.15(a)(3).)  Count 8, in turn, charged a violation of subdivision (b), which makes it “unlawful to: [</w:t>
      </w:r>
      <w:r w:rsidR="00621EBD">
        <w:rPr>
          <w:szCs w:val="26"/>
        </w:rPr>
        <w:t xml:space="preserve"> </w:t>
      </w:r>
      <w:r w:rsidRPr="00CA1A65">
        <w:rPr>
          <w:szCs w:val="26"/>
        </w:rPr>
        <w:t>¶] 1. Own or operate an Unlawful Establishment; [¶] 2. Participate as an Employee, contractor, agent or volunteer or in any other capacity in an Unlawful Establishment; [¶] 3. Use any portion of any parcel of land as an Unlawful Establishment; or [¶] 4. Lease, rent to, or otherwise allow an Unlawful Establishment to occupy any portion of parcel of land.”  (</w:t>
      </w:r>
      <w:r w:rsidR="000F15F5">
        <w:rPr>
          <w:szCs w:val="26"/>
        </w:rPr>
        <w:t>Mun. Code,</w:t>
      </w:r>
      <w:r w:rsidRPr="00CA1A65">
        <w:rPr>
          <w:szCs w:val="26"/>
        </w:rPr>
        <w:t xml:space="preserve"> § 104.15(b).)</w:t>
      </w:r>
    </w:p>
    <w:p w:rsidR="00F2681A" w:rsidRPr="00CA1A65" w:rsidP="00CA1A65" w14:paraId="1DF1066C" w14:textId="77777777">
      <w:pPr>
        <w:ind w:firstLine="720"/>
        <w:rPr>
          <w:szCs w:val="26"/>
        </w:rPr>
      </w:pPr>
      <w:r w:rsidRPr="00CA1A65">
        <w:rPr>
          <w:szCs w:val="26"/>
        </w:rPr>
        <w:t xml:space="preserve">In addition to the counts under section 104.15, count 9 charged the Wheelers with violating Municipal Code section 12.21(A)(1)(a).  This provision more generally prohibits, among other things, erecting, reconstructing, maintaining, or using or designing for use </w:t>
      </w:r>
      <w:r w:rsidRPr="00CA1A65" w:rsidR="00DD23CB">
        <w:rPr>
          <w:szCs w:val="26"/>
        </w:rPr>
        <w:t xml:space="preserve">a </w:t>
      </w:r>
      <w:r w:rsidRPr="00CA1A65">
        <w:rPr>
          <w:szCs w:val="26"/>
        </w:rPr>
        <w:t>structure or land without “applying for and securing all permits and licenses required by all laws and ordinances.”  (</w:t>
      </w:r>
      <w:r w:rsidR="00B7791A">
        <w:rPr>
          <w:i/>
          <w:iCs/>
          <w:szCs w:val="26"/>
        </w:rPr>
        <w:t>Ibid.</w:t>
      </w:r>
      <w:r w:rsidRPr="00CA1A65">
        <w:rPr>
          <w:szCs w:val="26"/>
        </w:rPr>
        <w:t>)</w:t>
      </w:r>
    </w:p>
    <w:p w:rsidR="00F2681A" w:rsidRPr="00CA1A65" w:rsidP="00CA1A65" w14:paraId="1DF1066D" w14:textId="77777777">
      <w:pPr>
        <w:ind w:firstLine="720"/>
        <w:rPr>
          <w:szCs w:val="26"/>
        </w:rPr>
      </w:pPr>
      <w:r w:rsidRPr="00CA1A65">
        <w:rPr>
          <w:szCs w:val="26"/>
        </w:rPr>
        <w:t xml:space="preserve">Violators of </w:t>
      </w:r>
      <w:r w:rsidRPr="00CA1A65" w:rsidR="00DD23CB">
        <w:rPr>
          <w:szCs w:val="26"/>
        </w:rPr>
        <w:t xml:space="preserve">Municipal Code </w:t>
      </w:r>
      <w:r w:rsidRPr="00CA1A65">
        <w:rPr>
          <w:szCs w:val="26"/>
        </w:rPr>
        <w:t>section 104.15, whether breaching sub</w:t>
      </w:r>
      <w:r w:rsidR="00CD1CF0">
        <w:rPr>
          <w:szCs w:val="26"/>
        </w:rPr>
        <w:t>division</w:t>
      </w:r>
      <w:r w:rsidRPr="00CA1A65">
        <w:rPr>
          <w:szCs w:val="26"/>
        </w:rPr>
        <w:t xml:space="preserve"> (a) or (b), “shall be guilty of a misdemeanor punishable by a fine of not more than $1,000 or by imprisonment in the County Jail for a period of not more than six months, or by both a fine and imprisonment.”  (</w:t>
      </w:r>
      <w:r w:rsidR="000F15F5">
        <w:rPr>
          <w:szCs w:val="26"/>
        </w:rPr>
        <w:t>Mun. Code,</w:t>
      </w:r>
      <w:r w:rsidRPr="00CA1A65">
        <w:rPr>
          <w:szCs w:val="26"/>
        </w:rPr>
        <w:t xml:space="preserve"> § 104.15(d).)  However, violations “of this section by an Employee, contractor, agent or volunteer, who has no financial interest in the Unlawful Establishment, may be punishable by means of a citation issued under the City</w:t>
      </w:r>
      <w:r w:rsidR="004C4BB8">
        <w:rPr>
          <w:szCs w:val="26"/>
        </w:rPr>
        <w:t>’</w:t>
      </w:r>
      <w:r w:rsidRPr="00CA1A65">
        <w:rPr>
          <w:szCs w:val="26"/>
        </w:rPr>
        <w:t>s Administrative Citation Enforcement Program.”  (</w:t>
      </w:r>
      <w:r w:rsidRPr="00CA1A65">
        <w:rPr>
          <w:i/>
          <w:iCs/>
          <w:szCs w:val="26"/>
        </w:rPr>
        <w:t>Ibid.</w:t>
      </w:r>
      <w:r w:rsidR="00B7791A">
        <w:rPr>
          <w:szCs w:val="26"/>
        </w:rPr>
        <w:t>)</w:t>
      </w:r>
      <w:r>
        <w:rPr>
          <w:rStyle w:val="FootnoteReference"/>
          <w:szCs w:val="26"/>
        </w:rPr>
        <w:footnoteReference w:id="7"/>
      </w:r>
      <w:r w:rsidRPr="00CA1A65">
        <w:rPr>
          <w:szCs w:val="26"/>
        </w:rPr>
        <w:t xml:space="preserve">  The citation system address</w:t>
      </w:r>
      <w:r w:rsidRPr="00CA1A65" w:rsidR="00DD23CB">
        <w:rPr>
          <w:szCs w:val="26"/>
        </w:rPr>
        <w:t>es</w:t>
      </w:r>
      <w:r w:rsidRPr="00CA1A65">
        <w:rPr>
          <w:szCs w:val="26"/>
        </w:rPr>
        <w:t xml:space="preserve"> the “need for an alternative method of enforcement for violations of this Code,” aside from criminal and civil penalties.  (</w:t>
      </w:r>
      <w:r w:rsidR="000F15F5">
        <w:rPr>
          <w:szCs w:val="26"/>
        </w:rPr>
        <w:t>Mun. Code,</w:t>
      </w:r>
      <w:r w:rsidRPr="00CA1A65">
        <w:rPr>
          <w:szCs w:val="26"/>
        </w:rPr>
        <w:t xml:space="preserve"> § 11.2.01(a).)</w:t>
      </w:r>
    </w:p>
    <w:p w:rsidR="00EC4C25" w:rsidRPr="00CA1A65" w:rsidP="00CA1A65" w14:paraId="1DF1066E" w14:textId="77777777">
      <w:pPr>
        <w:ind w:firstLine="720"/>
        <w:rPr>
          <w:szCs w:val="26"/>
        </w:rPr>
      </w:pPr>
      <w:r w:rsidRPr="00CA1A65">
        <w:rPr>
          <w:szCs w:val="26"/>
        </w:rPr>
        <w:t>Municipal Code section 12.21, in contrast</w:t>
      </w:r>
      <w:r w:rsidRPr="00CA1A65" w:rsidR="00DD23CB">
        <w:rPr>
          <w:szCs w:val="26"/>
        </w:rPr>
        <w:t xml:space="preserve"> to section 104.15</w:t>
      </w:r>
      <w:r w:rsidRPr="00CA1A65">
        <w:rPr>
          <w:szCs w:val="26"/>
        </w:rPr>
        <w:t>, does not expressly assign criminality to its violation; however, a more general provision with broad sweep states “[e]very violation of this Code is punishable as a misdemeanor unless provision is otherwise made, and shall be punishable by a fine of not more than $1,000.00 or by imprisonment in the County Jail for a period of not more than six months, or by both a fine and imprisonment.”  (</w:t>
      </w:r>
      <w:r w:rsidR="000F15F5">
        <w:rPr>
          <w:szCs w:val="26"/>
        </w:rPr>
        <w:t>Mun. Code,</w:t>
      </w:r>
      <w:r w:rsidRPr="00CA1A65">
        <w:rPr>
          <w:szCs w:val="26"/>
        </w:rPr>
        <w:t xml:space="preserve"> § 11.00(m).)  This general provision also allows violations to be “charged as an infraction” or “addressed through the use of an Administrative Citation.”  (</w:t>
      </w:r>
      <w:r w:rsidRPr="00CA1A65">
        <w:rPr>
          <w:i/>
          <w:iCs/>
          <w:szCs w:val="26"/>
        </w:rPr>
        <w:t>Ibid.</w:t>
      </w:r>
      <w:r w:rsidRPr="00CA1A65">
        <w:rPr>
          <w:szCs w:val="26"/>
        </w:rPr>
        <w:t xml:space="preserve">)  </w:t>
      </w:r>
    </w:p>
    <w:p w:rsidR="00BB3259" w:rsidRPr="00CA1A65" w:rsidP="00CA1A65" w14:paraId="1DF1066F" w14:textId="77777777">
      <w:pPr>
        <w:ind w:firstLine="720"/>
        <w:rPr>
          <w:szCs w:val="26"/>
        </w:rPr>
      </w:pPr>
      <w:r w:rsidRPr="00CA1A65">
        <w:rPr>
          <w:szCs w:val="26"/>
        </w:rPr>
        <w:t xml:space="preserve">The criminal complaint in this action charged another defendant, Omar Quartez Brown, with the same offenses under Municipal Code sections 104.15 and 12.21 as the Wheelers.  </w:t>
      </w:r>
      <w:r w:rsidRPr="00CA1A65" w:rsidR="00154F3D">
        <w:rPr>
          <w:szCs w:val="26"/>
        </w:rPr>
        <w:t>I</w:t>
      </w:r>
      <w:r w:rsidRPr="00CA1A65">
        <w:rPr>
          <w:szCs w:val="26"/>
        </w:rPr>
        <w:t xml:space="preserve">t </w:t>
      </w:r>
      <w:r w:rsidRPr="00CA1A65" w:rsidR="00682CB9">
        <w:rPr>
          <w:szCs w:val="26"/>
        </w:rPr>
        <w:t>also</w:t>
      </w:r>
      <w:r w:rsidRPr="00CA1A65">
        <w:rPr>
          <w:szCs w:val="26"/>
        </w:rPr>
        <w:t xml:space="preserve"> charged Brown, in count 5, with selling cannabis in violation of Health and Safety Code section 11360, subd. (a)(2), and, in count 7, with violating Municipal Code section 104.15(b)(2), which, like section 104.15(a)(1), prohibits participation in unlicensed or unapproved cannabis activities.</w:t>
      </w:r>
      <w:r>
        <w:rPr>
          <w:rStyle w:val="FootnoteReference"/>
          <w:szCs w:val="26"/>
        </w:rPr>
        <w:footnoteReference w:id="8"/>
      </w:r>
      <w:r w:rsidRPr="00CA1A65">
        <w:rPr>
          <w:szCs w:val="26"/>
        </w:rPr>
        <w:t xml:space="preserve"> </w:t>
      </w:r>
    </w:p>
    <w:p w:rsidR="00F72BD0" w:rsidRPr="00CA1A65" w:rsidP="008B7C13" w14:paraId="1DF10670" w14:textId="56FF4D47">
      <w:pPr>
        <w:keepNext/>
        <w:outlineLvl w:val="1"/>
        <w:rPr>
          <w:b/>
          <w:bCs/>
          <w:szCs w:val="26"/>
        </w:rPr>
      </w:pPr>
      <w:r w:rsidRPr="00CA1A65">
        <w:rPr>
          <w:b/>
          <w:bCs/>
          <w:szCs w:val="26"/>
        </w:rPr>
        <w:t>B.</w:t>
      </w:r>
      <w:r w:rsidR="005014AC">
        <w:rPr>
          <w:b/>
          <w:bCs/>
          <w:szCs w:val="26"/>
        </w:rPr>
        <w:tab/>
      </w:r>
      <w:r w:rsidRPr="00CA1A65">
        <w:rPr>
          <w:b/>
          <w:bCs/>
          <w:szCs w:val="26"/>
        </w:rPr>
        <w:t>Dismissal Proceedings</w:t>
      </w:r>
    </w:p>
    <w:p w:rsidR="0062532C" w:rsidRPr="00CA1A65" w:rsidP="00CA1A65" w14:paraId="1DF10671" w14:textId="77777777">
      <w:pPr>
        <w:ind w:firstLine="720"/>
        <w:rPr>
          <w:szCs w:val="26"/>
        </w:rPr>
      </w:pPr>
      <w:r w:rsidRPr="00CA1A65">
        <w:rPr>
          <w:szCs w:val="26"/>
        </w:rPr>
        <w:t>After pleading not guilty to the charges against her,</w:t>
      </w:r>
      <w:r w:rsidR="00984314">
        <w:rPr>
          <w:szCs w:val="26"/>
        </w:rPr>
        <w:t xml:space="preserve"> </w:t>
      </w:r>
      <w:r w:rsidRPr="00CA1A65">
        <w:rPr>
          <w:szCs w:val="26"/>
        </w:rPr>
        <w:t xml:space="preserve">Wheeler filed a motion to dismiss them.  </w:t>
      </w:r>
      <w:r w:rsidRPr="00CA1A65" w:rsidR="003374FA">
        <w:rPr>
          <w:szCs w:val="26"/>
        </w:rPr>
        <w:t>T</w:t>
      </w:r>
      <w:r w:rsidRPr="00CA1A65" w:rsidR="00DC7FE5">
        <w:rPr>
          <w:szCs w:val="26"/>
        </w:rPr>
        <w:t xml:space="preserve">he motion asserted </w:t>
      </w:r>
      <w:r w:rsidRPr="00CA1A65">
        <w:rPr>
          <w:szCs w:val="26"/>
        </w:rPr>
        <w:t xml:space="preserve">the </w:t>
      </w:r>
      <w:r w:rsidR="00C3286E">
        <w:rPr>
          <w:szCs w:val="26"/>
        </w:rPr>
        <w:t>M</w:t>
      </w:r>
      <w:r w:rsidRPr="00CA1A65">
        <w:rPr>
          <w:szCs w:val="26"/>
        </w:rPr>
        <w:t xml:space="preserve">unicipal </w:t>
      </w:r>
      <w:r w:rsidR="00C3286E">
        <w:rPr>
          <w:szCs w:val="26"/>
        </w:rPr>
        <w:t>C</w:t>
      </w:r>
      <w:r w:rsidRPr="00CA1A65">
        <w:rPr>
          <w:szCs w:val="26"/>
        </w:rPr>
        <w:t xml:space="preserve">ode </w:t>
      </w:r>
      <w:r w:rsidRPr="00CA1A65" w:rsidR="00262871">
        <w:rPr>
          <w:szCs w:val="26"/>
        </w:rPr>
        <w:t xml:space="preserve">provisions </w:t>
      </w:r>
      <w:r w:rsidRPr="00CA1A65">
        <w:rPr>
          <w:szCs w:val="26"/>
        </w:rPr>
        <w:t xml:space="preserve">underlying </w:t>
      </w:r>
      <w:r w:rsidRPr="00CA1A65" w:rsidR="00DC7FE5">
        <w:rPr>
          <w:szCs w:val="26"/>
        </w:rPr>
        <w:t xml:space="preserve">the </w:t>
      </w:r>
      <w:r w:rsidRPr="00CA1A65">
        <w:rPr>
          <w:szCs w:val="26"/>
        </w:rPr>
        <w:t xml:space="preserve">charges </w:t>
      </w:r>
      <w:r w:rsidRPr="00CA1A65" w:rsidR="007622C4">
        <w:rPr>
          <w:szCs w:val="26"/>
        </w:rPr>
        <w:t>were vague and overbroad</w:t>
      </w:r>
      <w:r w:rsidRPr="00CA1A65" w:rsidR="0010559F">
        <w:rPr>
          <w:szCs w:val="26"/>
        </w:rPr>
        <w:t>.</w:t>
      </w:r>
      <w:r w:rsidRPr="00CA1A65">
        <w:rPr>
          <w:szCs w:val="26"/>
        </w:rPr>
        <w:t xml:space="preserve"> </w:t>
      </w:r>
      <w:r w:rsidRPr="00CA1A65" w:rsidR="0010559F">
        <w:rPr>
          <w:szCs w:val="26"/>
        </w:rPr>
        <w:t xml:space="preserve"> I</w:t>
      </w:r>
      <w:r w:rsidRPr="00CA1A65" w:rsidR="003374FA">
        <w:rPr>
          <w:szCs w:val="26"/>
        </w:rPr>
        <w:t xml:space="preserve">t also, </w:t>
      </w:r>
      <w:r w:rsidRPr="00CA1A65" w:rsidR="007622C4">
        <w:rPr>
          <w:szCs w:val="26"/>
        </w:rPr>
        <w:t xml:space="preserve">as relevant here, </w:t>
      </w:r>
      <w:r w:rsidRPr="00CA1A65" w:rsidR="003374FA">
        <w:rPr>
          <w:szCs w:val="26"/>
        </w:rPr>
        <w:t>referenced</w:t>
      </w:r>
      <w:r w:rsidRPr="00CA1A65" w:rsidR="007622C4">
        <w:rPr>
          <w:szCs w:val="26"/>
        </w:rPr>
        <w:t xml:space="preserve"> a court’s authority</w:t>
      </w:r>
      <w:r w:rsidRPr="00CA1A65" w:rsidR="003374FA">
        <w:rPr>
          <w:szCs w:val="26"/>
        </w:rPr>
        <w:t xml:space="preserve"> </w:t>
      </w:r>
      <w:r w:rsidRPr="00CA1A65" w:rsidR="007622C4">
        <w:rPr>
          <w:szCs w:val="26"/>
        </w:rPr>
        <w:t xml:space="preserve">under Penal Code section 1385, subdivision (a), </w:t>
      </w:r>
      <w:r w:rsidRPr="00CA1A65" w:rsidR="003374FA">
        <w:rPr>
          <w:szCs w:val="26"/>
        </w:rPr>
        <w:t>“</w:t>
      </w:r>
      <w:r w:rsidRPr="00CA1A65" w:rsidR="007622C4">
        <w:rPr>
          <w:szCs w:val="26"/>
        </w:rPr>
        <w:t>to dismiss an action on its own motion”</w:t>
      </w:r>
      <w:r w:rsidRPr="00CA1A65" w:rsidR="003374FA">
        <w:rPr>
          <w:szCs w:val="26"/>
        </w:rPr>
        <w:t xml:space="preserve"> in furtherance of justice.</w:t>
      </w:r>
      <w:r w:rsidRPr="00CA1A65" w:rsidR="007622C4">
        <w:rPr>
          <w:szCs w:val="26"/>
        </w:rPr>
        <w:t xml:space="preserve"> </w:t>
      </w:r>
      <w:r w:rsidRPr="00CA1A65" w:rsidR="003374FA">
        <w:rPr>
          <w:szCs w:val="26"/>
        </w:rPr>
        <w:t xml:space="preserve"> It </w:t>
      </w:r>
      <w:r w:rsidRPr="00CA1A65" w:rsidR="007622C4">
        <w:rPr>
          <w:szCs w:val="26"/>
        </w:rPr>
        <w:t xml:space="preserve">“respectfully invite[d]” </w:t>
      </w:r>
      <w:r w:rsidRPr="00CA1A65">
        <w:rPr>
          <w:szCs w:val="26"/>
        </w:rPr>
        <w:t xml:space="preserve">the trial court to dismiss the charges </w:t>
      </w:r>
      <w:r w:rsidRPr="00CA1A65" w:rsidR="007622C4">
        <w:rPr>
          <w:szCs w:val="26"/>
        </w:rPr>
        <w:t>on that basis</w:t>
      </w:r>
      <w:r w:rsidRPr="00CA1A65">
        <w:rPr>
          <w:szCs w:val="26"/>
        </w:rPr>
        <w:t xml:space="preserve">.  Wheeler’s papers </w:t>
      </w:r>
      <w:r w:rsidRPr="00CA1A65" w:rsidR="001C4858">
        <w:rPr>
          <w:szCs w:val="26"/>
        </w:rPr>
        <w:t>stated</w:t>
      </w:r>
      <w:r w:rsidRPr="00CA1A65">
        <w:rPr>
          <w:szCs w:val="26"/>
        </w:rPr>
        <w:t xml:space="preserve"> facts </w:t>
      </w:r>
      <w:r w:rsidRPr="00CA1A65" w:rsidR="003374FA">
        <w:rPr>
          <w:szCs w:val="26"/>
        </w:rPr>
        <w:t xml:space="preserve">favoring </w:t>
      </w:r>
      <w:r w:rsidRPr="00CA1A65">
        <w:rPr>
          <w:szCs w:val="26"/>
        </w:rPr>
        <w:t xml:space="preserve">dismissal, </w:t>
      </w:r>
      <w:r w:rsidRPr="00CA1A65" w:rsidR="00D51E45">
        <w:rPr>
          <w:szCs w:val="26"/>
        </w:rPr>
        <w:t xml:space="preserve">including </w:t>
      </w:r>
      <w:r w:rsidRPr="00CA1A65">
        <w:rPr>
          <w:szCs w:val="26"/>
        </w:rPr>
        <w:t>that</w:t>
      </w:r>
      <w:r w:rsidRPr="00CA1A65" w:rsidR="00776885">
        <w:rPr>
          <w:szCs w:val="26"/>
        </w:rPr>
        <w:t>, at age 85 and with a blemish-free record,</w:t>
      </w:r>
      <w:r w:rsidRPr="00CA1A65">
        <w:rPr>
          <w:szCs w:val="26"/>
        </w:rPr>
        <w:t xml:space="preserve"> she merely owned the premises at issue and lacked a “direct or even indirect connection” to or knowledge of the cannabis enterprise allegedly occurring there, which was “covert.” </w:t>
      </w:r>
      <w:r w:rsidRPr="00CA1A65" w:rsidR="00332137">
        <w:rPr>
          <w:szCs w:val="26"/>
        </w:rPr>
        <w:t xml:space="preserve"> </w:t>
      </w:r>
      <w:r w:rsidRPr="00CA1A65">
        <w:rPr>
          <w:szCs w:val="26"/>
        </w:rPr>
        <w:t xml:space="preserve">Wheeler’s attorney </w:t>
      </w:r>
      <w:r w:rsidRPr="00CA1A65" w:rsidR="009553A1">
        <w:rPr>
          <w:szCs w:val="26"/>
        </w:rPr>
        <w:t>provided</w:t>
      </w:r>
      <w:r w:rsidRPr="00CA1A65" w:rsidR="0010559F">
        <w:rPr>
          <w:szCs w:val="26"/>
        </w:rPr>
        <w:t xml:space="preserve"> a statement </w:t>
      </w:r>
      <w:r w:rsidRPr="00CA1A65" w:rsidR="009553A1">
        <w:rPr>
          <w:szCs w:val="26"/>
        </w:rPr>
        <w:t xml:space="preserve">in which he </w:t>
      </w:r>
      <w:r w:rsidRPr="00CA1A65">
        <w:rPr>
          <w:szCs w:val="26"/>
        </w:rPr>
        <w:t>“declare[d] under penalty of perjury that</w:t>
      </w:r>
      <w:r w:rsidRPr="00CA1A65" w:rsidR="0010559F">
        <w:rPr>
          <w:szCs w:val="26"/>
        </w:rPr>
        <w:t>”</w:t>
      </w:r>
      <w:r w:rsidRPr="00CA1A65">
        <w:rPr>
          <w:szCs w:val="26"/>
        </w:rPr>
        <w:t xml:space="preserve"> the</w:t>
      </w:r>
      <w:r w:rsidRPr="00CA1A65" w:rsidR="0010559F">
        <w:rPr>
          <w:szCs w:val="26"/>
        </w:rPr>
        <w:t>se</w:t>
      </w:r>
      <w:r w:rsidRPr="00CA1A65">
        <w:rPr>
          <w:szCs w:val="26"/>
        </w:rPr>
        <w:t xml:space="preserve"> facts </w:t>
      </w:r>
      <w:r w:rsidRPr="00CA1A65" w:rsidR="009553A1">
        <w:rPr>
          <w:szCs w:val="26"/>
        </w:rPr>
        <w:t xml:space="preserve">favoring dismissal </w:t>
      </w:r>
      <w:r w:rsidRPr="00CA1A65">
        <w:rPr>
          <w:szCs w:val="26"/>
        </w:rPr>
        <w:t>were “true and correct.”</w:t>
      </w:r>
    </w:p>
    <w:p w:rsidR="006D39B9" w:rsidRPr="00CA1A65" w:rsidP="00CA1A65" w14:paraId="1DF10672" w14:textId="77777777">
      <w:pPr>
        <w:ind w:firstLine="720"/>
        <w:rPr>
          <w:szCs w:val="26"/>
        </w:rPr>
      </w:pPr>
      <w:r w:rsidRPr="00CA1A65">
        <w:rPr>
          <w:szCs w:val="26"/>
        </w:rPr>
        <w:t>The People opposed dismissal.  Regarding section 1385, the People argued the statute did not allow defense-originated motions to dismiss</w:t>
      </w:r>
      <w:r w:rsidRPr="00CA1A65" w:rsidR="00C52C84">
        <w:rPr>
          <w:szCs w:val="26"/>
        </w:rPr>
        <w:t xml:space="preserve"> and that dismissal would not further justice</w:t>
      </w:r>
      <w:r w:rsidRPr="00CA1A65">
        <w:rPr>
          <w:szCs w:val="26"/>
        </w:rPr>
        <w:t xml:space="preserve">.  The People argued a </w:t>
      </w:r>
      <w:r w:rsidRPr="00CA1A65" w:rsidR="00C52C84">
        <w:rPr>
          <w:szCs w:val="26"/>
        </w:rPr>
        <w:t xml:space="preserve">section 1385 </w:t>
      </w:r>
      <w:r w:rsidRPr="00CA1A65">
        <w:rPr>
          <w:szCs w:val="26"/>
        </w:rPr>
        <w:t xml:space="preserve">dismissal </w:t>
      </w:r>
      <w:r w:rsidRPr="00CA1A65" w:rsidR="00262871">
        <w:rPr>
          <w:szCs w:val="26"/>
        </w:rPr>
        <w:t xml:space="preserve">based on lack of knowledge would be “contrary” to the strict liability nature of the charged </w:t>
      </w:r>
      <w:r w:rsidR="00A347E4">
        <w:rPr>
          <w:szCs w:val="26"/>
        </w:rPr>
        <w:t>M</w:t>
      </w:r>
      <w:r w:rsidRPr="00CA1A65" w:rsidR="00262871">
        <w:rPr>
          <w:szCs w:val="26"/>
        </w:rPr>
        <w:t xml:space="preserve">unicipal </w:t>
      </w:r>
      <w:r w:rsidR="00A347E4">
        <w:rPr>
          <w:szCs w:val="26"/>
        </w:rPr>
        <w:t>C</w:t>
      </w:r>
      <w:r w:rsidRPr="00CA1A65" w:rsidR="00262871">
        <w:rPr>
          <w:szCs w:val="26"/>
        </w:rPr>
        <w:t xml:space="preserve">ode offenses </w:t>
      </w:r>
      <w:r w:rsidRPr="00CA1A65">
        <w:rPr>
          <w:szCs w:val="26"/>
        </w:rPr>
        <w:t xml:space="preserve">and would impair the city’s efforts to “mitigate the negative impacts” arising from the unregulated commercialization of cannabis.  The People’s opposition proffered </w:t>
      </w:r>
      <w:r w:rsidRPr="00CA1A65" w:rsidR="00332137">
        <w:rPr>
          <w:szCs w:val="26"/>
        </w:rPr>
        <w:t xml:space="preserve">factual </w:t>
      </w:r>
      <w:r w:rsidRPr="00CA1A65">
        <w:rPr>
          <w:szCs w:val="26"/>
        </w:rPr>
        <w:t xml:space="preserve">allegations about the charged offenses </w:t>
      </w:r>
      <w:r w:rsidRPr="00CA1A65" w:rsidR="009553A1">
        <w:rPr>
          <w:szCs w:val="26"/>
        </w:rPr>
        <w:t>derived</w:t>
      </w:r>
      <w:r w:rsidRPr="00CA1A65" w:rsidR="00E47902">
        <w:rPr>
          <w:szCs w:val="26"/>
        </w:rPr>
        <w:t xml:space="preserve"> </w:t>
      </w:r>
      <w:r w:rsidRPr="00CA1A65">
        <w:rPr>
          <w:szCs w:val="26"/>
        </w:rPr>
        <w:t xml:space="preserve">from </w:t>
      </w:r>
      <w:r w:rsidRPr="00CA1A65" w:rsidR="009553A1">
        <w:rPr>
          <w:szCs w:val="26"/>
        </w:rPr>
        <w:t>their investigation</w:t>
      </w:r>
      <w:r w:rsidRPr="00CA1A65">
        <w:rPr>
          <w:szCs w:val="26"/>
        </w:rPr>
        <w:t>.  In particular, the People explained that city police, responding to complaints about cannabis sales on Wheeler’s property, had an informant purchase drugs from codefendant Brown.  After confirming the absence of a cannabis license, the police returned to Wheeler’s property and arrested Brown.  The People did not set forth any facts disputing Wheeler’s claimed lack of knowledge.  Instead, the People argued that Wheeler had only offered mere “unsupported assertions,” and “no evidence,” of her claimed innocen</w:t>
      </w:r>
      <w:r w:rsidRPr="00CA1A65" w:rsidR="00C023F9">
        <w:rPr>
          <w:szCs w:val="26"/>
        </w:rPr>
        <w:t>t mental state</w:t>
      </w:r>
      <w:r w:rsidRPr="00CA1A65">
        <w:rPr>
          <w:szCs w:val="26"/>
        </w:rPr>
        <w:t xml:space="preserve"> and good standing in the community.</w:t>
      </w:r>
    </w:p>
    <w:p w:rsidR="0062532C" w:rsidRPr="00CA1A65" w:rsidP="00CA1A65" w14:paraId="1DF10673" w14:textId="77777777">
      <w:pPr>
        <w:ind w:firstLine="720"/>
        <w:rPr>
          <w:szCs w:val="26"/>
        </w:rPr>
      </w:pPr>
      <w:r w:rsidRPr="00CA1A65">
        <w:rPr>
          <w:szCs w:val="26"/>
        </w:rPr>
        <w:t xml:space="preserve">At the motion hearing, Wheeler appeared in a wheelchair.  </w:t>
      </w:r>
      <w:r w:rsidRPr="00CA1A65" w:rsidR="004B765C">
        <w:rPr>
          <w:szCs w:val="26"/>
        </w:rPr>
        <w:t xml:space="preserve">In exploring the People’s </w:t>
      </w:r>
      <w:r w:rsidRPr="00CA1A65" w:rsidR="00050419">
        <w:rPr>
          <w:szCs w:val="26"/>
        </w:rPr>
        <w:t xml:space="preserve">opposition </w:t>
      </w:r>
      <w:r w:rsidRPr="00CA1A65" w:rsidR="004B765C">
        <w:rPr>
          <w:szCs w:val="26"/>
        </w:rPr>
        <w:t>to dismissal, t</w:t>
      </w:r>
      <w:r w:rsidRPr="00CA1A65">
        <w:rPr>
          <w:szCs w:val="26"/>
        </w:rPr>
        <w:t>he trial court directed the following question to the People:  “now, your position is that all Ms. Wheeler has done is be the owner of the property?”  The People answered, “your honor, Ms. Wheeler is the owner of the property.”  The trial court then asked, “you’re not suggesting that she has any contact with or any business position in running this illegal dispensary?”  The People answered, “right.”</w:t>
      </w:r>
    </w:p>
    <w:p w:rsidR="004963A3" w:rsidRPr="00CA1A65" w:rsidP="00CA1A65" w14:paraId="1DF10674" w14:textId="77777777">
      <w:pPr>
        <w:ind w:firstLine="720"/>
        <w:rPr>
          <w:szCs w:val="28"/>
        </w:rPr>
      </w:pPr>
      <w:r w:rsidRPr="00CA1A65">
        <w:rPr>
          <w:szCs w:val="26"/>
        </w:rPr>
        <w:t xml:space="preserve">The trial court denied </w:t>
      </w:r>
      <w:r w:rsidRPr="00CA1A65" w:rsidR="00317397">
        <w:rPr>
          <w:szCs w:val="26"/>
        </w:rPr>
        <w:t xml:space="preserve">Wheeler’s </w:t>
      </w:r>
      <w:r w:rsidRPr="00CA1A65">
        <w:rPr>
          <w:szCs w:val="26"/>
        </w:rPr>
        <w:t>motion for dismissal, agreeing with the People that she could</w:t>
      </w:r>
      <w:r w:rsidRPr="00CA1A65" w:rsidR="003778C1">
        <w:rPr>
          <w:szCs w:val="26"/>
        </w:rPr>
        <w:t xml:space="preserve"> not</w:t>
      </w:r>
      <w:r w:rsidRPr="00CA1A65">
        <w:rPr>
          <w:szCs w:val="26"/>
        </w:rPr>
        <w:t xml:space="preserve"> </w:t>
      </w:r>
      <w:r w:rsidRPr="00CA1A65" w:rsidR="00134410">
        <w:rPr>
          <w:szCs w:val="26"/>
        </w:rPr>
        <w:t>move for dismissal “in furtherance of justice” under section 1385</w:t>
      </w:r>
      <w:r w:rsidRPr="00CA1A65">
        <w:rPr>
          <w:szCs w:val="26"/>
        </w:rPr>
        <w:t xml:space="preserve">.  However, the trial court granted dismissal “on its own motion.”  </w:t>
      </w:r>
      <w:r w:rsidR="00A347E4">
        <w:rPr>
          <w:szCs w:val="26"/>
        </w:rPr>
        <w:t xml:space="preserve">(See </w:t>
      </w:r>
      <w:r w:rsidR="00A347E4">
        <w:rPr>
          <w:i/>
          <w:iCs/>
          <w:szCs w:val="26"/>
        </w:rPr>
        <w:t>ibid.</w:t>
      </w:r>
      <w:r w:rsidR="00A347E4">
        <w:rPr>
          <w:szCs w:val="26"/>
        </w:rPr>
        <w:t>)</w:t>
      </w:r>
      <w:r w:rsidR="00A347E4">
        <w:rPr>
          <w:i/>
          <w:iCs/>
          <w:szCs w:val="26"/>
        </w:rPr>
        <w:t xml:space="preserve"> </w:t>
      </w:r>
      <w:r w:rsidR="00A347E4">
        <w:rPr>
          <w:szCs w:val="26"/>
        </w:rPr>
        <w:t xml:space="preserve"> </w:t>
      </w:r>
      <w:r w:rsidRPr="00CA1A65">
        <w:rPr>
          <w:szCs w:val="26"/>
        </w:rPr>
        <w:t>In doing so, it repeated it was acting “on the court’s motion” and it “want[ed] to make that clear.”  The trial court articulated several reasons for the dismissal</w:t>
      </w:r>
      <w:r w:rsidRPr="00CA1A65" w:rsidR="004B4E14">
        <w:rPr>
          <w:szCs w:val="26"/>
        </w:rPr>
        <w:t xml:space="preserve">, mentioning not only matters such as </w:t>
      </w:r>
      <w:r w:rsidRPr="00CA1A65" w:rsidR="00CF7BC0">
        <w:rPr>
          <w:szCs w:val="26"/>
        </w:rPr>
        <w:t>Wheeler’s age</w:t>
      </w:r>
      <w:r w:rsidRPr="00CA1A65" w:rsidR="004B4E14">
        <w:rPr>
          <w:szCs w:val="26"/>
        </w:rPr>
        <w:t xml:space="preserve"> and</w:t>
      </w:r>
      <w:r w:rsidRPr="00CA1A65" w:rsidR="00CF7BC0">
        <w:rPr>
          <w:szCs w:val="26"/>
        </w:rPr>
        <w:t xml:space="preserve"> exemplary </w:t>
      </w:r>
      <w:r w:rsidRPr="00CA1A65" w:rsidR="004B4E14">
        <w:rPr>
          <w:szCs w:val="26"/>
        </w:rPr>
        <w:t>record</w:t>
      </w:r>
      <w:r w:rsidRPr="00CA1A65" w:rsidR="00CF7BC0">
        <w:rPr>
          <w:szCs w:val="26"/>
        </w:rPr>
        <w:t xml:space="preserve">, </w:t>
      </w:r>
      <w:r w:rsidRPr="00CA1A65" w:rsidR="004B4E14">
        <w:rPr>
          <w:szCs w:val="26"/>
        </w:rPr>
        <w:t xml:space="preserve">but also </w:t>
      </w:r>
      <w:r w:rsidRPr="00CA1A65">
        <w:rPr>
          <w:szCs w:val="26"/>
        </w:rPr>
        <w:t xml:space="preserve">the absence of anything “to suggest that </w:t>
      </w:r>
      <w:r w:rsidRPr="00CA1A65" w:rsidR="00CF7BC0">
        <w:rPr>
          <w:szCs w:val="26"/>
        </w:rPr>
        <w:t>she</w:t>
      </w:r>
      <w:r w:rsidRPr="00CA1A65">
        <w:rPr>
          <w:szCs w:val="26"/>
        </w:rPr>
        <w:t xml:space="preserve"> knows anything about this, other than the fact that she owns</w:t>
      </w:r>
      <w:r w:rsidR="00631C93">
        <w:rPr>
          <w:szCs w:val="26"/>
        </w:rPr>
        <w:t xml:space="preserve"> </w:t>
      </w:r>
      <w:r w:rsidRPr="00CA1A65">
        <w:rPr>
          <w:szCs w:val="26"/>
        </w:rPr>
        <w:t>the property.”</w:t>
      </w:r>
    </w:p>
    <w:p w:rsidR="00134410" w:rsidRPr="00CA1A65" w:rsidP="00362FAC" w14:paraId="1DF10675" w14:textId="77777777">
      <w:pPr>
        <w:ind w:firstLine="720"/>
        <w:rPr>
          <w:szCs w:val="26"/>
        </w:rPr>
      </w:pPr>
      <w:r w:rsidRPr="00CA1A65">
        <w:rPr>
          <w:szCs w:val="26"/>
        </w:rPr>
        <w:t xml:space="preserve">The People appealed to the </w:t>
      </w:r>
      <w:r w:rsidR="006F1BBF">
        <w:rPr>
          <w:szCs w:val="26"/>
        </w:rPr>
        <w:t>a</w:t>
      </w:r>
      <w:r w:rsidRPr="00CA1A65">
        <w:rPr>
          <w:szCs w:val="26"/>
        </w:rPr>
        <w:t xml:space="preserve">ppellate </w:t>
      </w:r>
      <w:r w:rsidR="006F1BBF">
        <w:rPr>
          <w:szCs w:val="26"/>
        </w:rPr>
        <w:t>d</w:t>
      </w:r>
      <w:r w:rsidRPr="00CA1A65">
        <w:rPr>
          <w:szCs w:val="26"/>
        </w:rPr>
        <w:t xml:space="preserve">ivision of the </w:t>
      </w:r>
      <w:r w:rsidR="006F1BBF">
        <w:rPr>
          <w:szCs w:val="26"/>
        </w:rPr>
        <w:t>s</w:t>
      </w:r>
      <w:r w:rsidRPr="00CA1A65">
        <w:rPr>
          <w:szCs w:val="26"/>
        </w:rPr>
        <w:t xml:space="preserve">uperior </w:t>
      </w:r>
      <w:r w:rsidR="006F1BBF">
        <w:rPr>
          <w:szCs w:val="26"/>
        </w:rPr>
        <w:t>c</w:t>
      </w:r>
      <w:r w:rsidRPr="00CA1A65">
        <w:rPr>
          <w:szCs w:val="26"/>
        </w:rPr>
        <w:t xml:space="preserve">ourt, asserting the trial court erred by favorably considering Wheeler’s lack of knowledge, failing to consider the city’s interests in enforcing its cannabis laws, and relying on claims about Wheeler’s background and the alleged offense that were insufficiently supported by </w:t>
      </w:r>
      <w:r w:rsidRPr="00CA1A65" w:rsidR="00E47902">
        <w:rPr>
          <w:szCs w:val="26"/>
        </w:rPr>
        <w:t xml:space="preserve">the </w:t>
      </w:r>
      <w:r w:rsidRPr="00CA1A65">
        <w:rPr>
          <w:szCs w:val="26"/>
        </w:rPr>
        <w:t>evidence.  The People also asserted that the trial court, though permitted to act on its own motion under section 1385 had improperly granted a defense motion</w:t>
      </w:r>
      <w:r w:rsidRPr="00CA1A65" w:rsidR="00E47902">
        <w:rPr>
          <w:szCs w:val="26"/>
        </w:rPr>
        <w:t xml:space="preserve"> to dismiss under the section. </w:t>
      </w:r>
      <w:r w:rsidRPr="00CA1A65">
        <w:rPr>
          <w:szCs w:val="26"/>
        </w:rPr>
        <w:t xml:space="preserve"> Wheeler, requesting affirmance, </w:t>
      </w:r>
      <w:r w:rsidRPr="00CA1A65" w:rsidR="00E47902">
        <w:rPr>
          <w:szCs w:val="26"/>
        </w:rPr>
        <w:t xml:space="preserve">argued </w:t>
      </w:r>
      <w:r w:rsidRPr="00CA1A65">
        <w:rPr>
          <w:szCs w:val="26"/>
        </w:rPr>
        <w:t>the trial court</w:t>
      </w:r>
      <w:r w:rsidRPr="00CA1A65" w:rsidR="00E235BC">
        <w:rPr>
          <w:szCs w:val="26"/>
        </w:rPr>
        <w:t>’s section 1385 dismissal was</w:t>
      </w:r>
      <w:r w:rsidRPr="00CA1A65">
        <w:rPr>
          <w:szCs w:val="26"/>
        </w:rPr>
        <w:t xml:space="preserve"> appropriate.</w:t>
      </w:r>
      <w:r>
        <w:rPr>
          <w:rStyle w:val="FootnoteReference"/>
          <w:szCs w:val="26"/>
        </w:rPr>
        <w:footnoteReference w:id="9"/>
      </w:r>
      <w:r w:rsidRPr="00CA1A65">
        <w:rPr>
          <w:szCs w:val="26"/>
        </w:rPr>
        <w:t xml:space="preserve">  </w:t>
      </w:r>
    </w:p>
    <w:p w:rsidR="00546DA0" w:rsidRPr="00CA1A65" w:rsidP="00CA1A65" w14:paraId="1DF10676" w14:textId="77777777">
      <w:pPr>
        <w:ind w:firstLine="720"/>
        <w:rPr>
          <w:szCs w:val="26"/>
        </w:rPr>
      </w:pPr>
      <w:r w:rsidRPr="00CA1A65">
        <w:rPr>
          <w:szCs w:val="26"/>
        </w:rPr>
        <w:t xml:space="preserve">The </w:t>
      </w:r>
      <w:r w:rsidR="00362FAC">
        <w:rPr>
          <w:szCs w:val="26"/>
        </w:rPr>
        <w:t>a</w:t>
      </w:r>
      <w:r w:rsidRPr="00CA1A65">
        <w:rPr>
          <w:szCs w:val="26"/>
        </w:rPr>
        <w:t xml:space="preserve">ppellate </w:t>
      </w:r>
      <w:r w:rsidR="00362FAC">
        <w:rPr>
          <w:szCs w:val="26"/>
        </w:rPr>
        <w:t>d</w:t>
      </w:r>
      <w:r w:rsidRPr="00CA1A65">
        <w:rPr>
          <w:szCs w:val="26"/>
        </w:rPr>
        <w:t>ivision reversed the section 1385 dismissal.</w:t>
      </w:r>
      <w:r w:rsidRPr="00CA1A65" w:rsidR="00134410">
        <w:rPr>
          <w:szCs w:val="26"/>
        </w:rPr>
        <w:t xml:space="preserve">  It </w:t>
      </w:r>
      <w:r w:rsidRPr="00CA1A65" w:rsidR="00F27356">
        <w:rPr>
          <w:szCs w:val="26"/>
        </w:rPr>
        <w:t xml:space="preserve">first </w:t>
      </w:r>
      <w:r w:rsidRPr="00CA1A65" w:rsidR="00A56097">
        <w:rPr>
          <w:szCs w:val="26"/>
        </w:rPr>
        <w:t>determined</w:t>
      </w:r>
      <w:r w:rsidRPr="00CA1A65" w:rsidR="00F27356">
        <w:rPr>
          <w:szCs w:val="26"/>
        </w:rPr>
        <w:t xml:space="preserve"> that the trial court had adequately considered the People’s law enforcement interests and that the People’s evidentiary concerns were unwarranted.  Nevertheless, it concluded that the trial court erroneously viewed Wheeler’s lack of knowledge as mitigating her culpability</w:t>
      </w:r>
      <w:r w:rsidRPr="00CA1A65" w:rsidR="00E47902">
        <w:rPr>
          <w:szCs w:val="26"/>
        </w:rPr>
        <w:t xml:space="preserve"> because the charged offenses imposed strict liability</w:t>
      </w:r>
      <w:r w:rsidRPr="00CA1A65" w:rsidR="00F27356">
        <w:rPr>
          <w:szCs w:val="26"/>
        </w:rPr>
        <w:t xml:space="preserve">.  The </w:t>
      </w:r>
      <w:r w:rsidR="00362FAC">
        <w:rPr>
          <w:szCs w:val="26"/>
        </w:rPr>
        <w:t>a</w:t>
      </w:r>
      <w:r w:rsidRPr="00CA1A65" w:rsidR="00F27356">
        <w:rPr>
          <w:szCs w:val="26"/>
        </w:rPr>
        <w:t xml:space="preserve">ppellate </w:t>
      </w:r>
      <w:r w:rsidR="00362FAC">
        <w:rPr>
          <w:szCs w:val="26"/>
        </w:rPr>
        <w:t>d</w:t>
      </w:r>
      <w:r w:rsidRPr="00CA1A65" w:rsidR="00F27356">
        <w:rPr>
          <w:szCs w:val="26"/>
        </w:rPr>
        <w:t>ivision explained, “</w:t>
      </w:r>
      <w:r w:rsidRPr="002A4581" w:rsidR="00F27356">
        <w:rPr>
          <w:szCs w:val="26"/>
        </w:rPr>
        <w:t xml:space="preserve">It would be reasonable to conclude that a person </w:t>
      </w:r>
      <w:r w:rsidRPr="002A4581" w:rsidR="00F27356">
        <w:rPr>
          <w:i/>
          <w:iCs/>
          <w:szCs w:val="26"/>
        </w:rPr>
        <w:t>having knowledge</w:t>
      </w:r>
      <w:r w:rsidRPr="002A4581" w:rsidR="00F27356">
        <w:rPr>
          <w:szCs w:val="26"/>
        </w:rPr>
        <w:t xml:space="preserve"> that criminal activity is afoot in committing a strict liability crime is aggravating.  But, since the legislative scheme requires no proof of knowledge for a conviction, the </w:t>
      </w:r>
      <w:r w:rsidRPr="002A4581" w:rsidR="00F27356">
        <w:rPr>
          <w:i/>
          <w:iCs/>
          <w:szCs w:val="26"/>
        </w:rPr>
        <w:t>lack of knowledge</w:t>
      </w:r>
      <w:r w:rsidRPr="002A4581" w:rsidR="00F27356">
        <w:rPr>
          <w:szCs w:val="26"/>
        </w:rPr>
        <w:t xml:space="preserve"> of a person engaged in committing such an offense is not mitigating</w:t>
      </w:r>
      <w:r w:rsidRPr="00CA1A65" w:rsidR="00F27356">
        <w:rPr>
          <w:szCs w:val="26"/>
        </w:rPr>
        <w:t xml:space="preserve">.”  </w:t>
      </w:r>
      <w:r w:rsidRPr="00CA1A65" w:rsidR="00BB030F">
        <w:rPr>
          <w:szCs w:val="26"/>
        </w:rPr>
        <w:t xml:space="preserve">According to the </w:t>
      </w:r>
      <w:r w:rsidR="00362FAC">
        <w:rPr>
          <w:szCs w:val="26"/>
        </w:rPr>
        <w:t>a</w:t>
      </w:r>
      <w:r w:rsidRPr="00CA1A65" w:rsidR="00BB030F">
        <w:rPr>
          <w:szCs w:val="26"/>
        </w:rPr>
        <w:t xml:space="preserve">ppellate </w:t>
      </w:r>
      <w:r w:rsidR="00362FAC">
        <w:rPr>
          <w:szCs w:val="26"/>
        </w:rPr>
        <w:t>d</w:t>
      </w:r>
      <w:r w:rsidRPr="00CA1A65" w:rsidR="00BB030F">
        <w:rPr>
          <w:szCs w:val="26"/>
        </w:rPr>
        <w:t xml:space="preserve">ivision, the trial court’s consideration of lack of knowledge under these circumstances amounted to an impermissible “disagreement with the law” or a “disapproval of the impact” of the law on defendant.  </w:t>
      </w:r>
      <w:r w:rsidRPr="00CA1A65" w:rsidR="002F3130">
        <w:rPr>
          <w:szCs w:val="26"/>
        </w:rPr>
        <w:t xml:space="preserve">Despite </w:t>
      </w:r>
      <w:r w:rsidRPr="00CA1A65" w:rsidR="009D4635">
        <w:rPr>
          <w:szCs w:val="26"/>
        </w:rPr>
        <w:t xml:space="preserve">viewing the </w:t>
      </w:r>
      <w:r w:rsidRPr="00CA1A65" w:rsidR="002F3130">
        <w:rPr>
          <w:szCs w:val="26"/>
        </w:rPr>
        <w:t xml:space="preserve">trial court’s other </w:t>
      </w:r>
      <w:r w:rsidRPr="00CA1A65" w:rsidR="009D4635">
        <w:rPr>
          <w:szCs w:val="26"/>
        </w:rPr>
        <w:t xml:space="preserve">reasons </w:t>
      </w:r>
      <w:r w:rsidRPr="00CA1A65" w:rsidR="002F3130">
        <w:rPr>
          <w:szCs w:val="26"/>
        </w:rPr>
        <w:t xml:space="preserve">for dismissal </w:t>
      </w:r>
      <w:r w:rsidRPr="00CA1A65" w:rsidR="009D4635">
        <w:rPr>
          <w:szCs w:val="26"/>
        </w:rPr>
        <w:t xml:space="preserve">as </w:t>
      </w:r>
      <w:r w:rsidRPr="00CA1A65" w:rsidR="002F3130">
        <w:rPr>
          <w:szCs w:val="26"/>
        </w:rPr>
        <w:t xml:space="preserve">“proper,” </w:t>
      </w:r>
      <w:r w:rsidRPr="00CA1A65" w:rsidR="00F27356">
        <w:rPr>
          <w:szCs w:val="26"/>
        </w:rPr>
        <w:t xml:space="preserve">the </w:t>
      </w:r>
      <w:r w:rsidR="00362FAC">
        <w:rPr>
          <w:szCs w:val="26"/>
        </w:rPr>
        <w:t>a</w:t>
      </w:r>
      <w:r w:rsidRPr="00CA1A65" w:rsidR="00F27356">
        <w:rPr>
          <w:szCs w:val="26"/>
        </w:rPr>
        <w:t xml:space="preserve">ppellate </w:t>
      </w:r>
      <w:r w:rsidR="00362FAC">
        <w:rPr>
          <w:szCs w:val="26"/>
        </w:rPr>
        <w:t>d</w:t>
      </w:r>
      <w:r w:rsidRPr="00CA1A65" w:rsidR="00F27356">
        <w:rPr>
          <w:szCs w:val="26"/>
        </w:rPr>
        <w:t>ivision reversed the dismissal and remanded</w:t>
      </w:r>
      <w:r w:rsidRPr="00CA1A65" w:rsidR="009D4635">
        <w:rPr>
          <w:szCs w:val="26"/>
        </w:rPr>
        <w:t xml:space="preserve"> given the seeming centrality of Wheeler’s lack of knowledge to the trial court</w:t>
      </w:r>
      <w:r w:rsidRPr="00CA1A65" w:rsidR="00F27356">
        <w:rPr>
          <w:szCs w:val="26"/>
        </w:rPr>
        <w:t>.  It “</w:t>
      </w:r>
      <w:r w:rsidRPr="002A4581" w:rsidR="00F27356">
        <w:rPr>
          <w:szCs w:val="26"/>
        </w:rPr>
        <w:t>express[ed] no opinion whether, on remand, the court should again consider using its Penal Code section 1385 discretion, and taking into account only appropriate considerations, the court should dismiss the action.”</w:t>
      </w:r>
      <w:r w:rsidRPr="00CA1A65" w:rsidR="00F27356">
        <w:rPr>
          <w:szCs w:val="26"/>
        </w:rPr>
        <w:t xml:space="preserve">  It also stated it had, in light of the</w:t>
      </w:r>
      <w:r w:rsidRPr="00CA1A65" w:rsidR="002F3130">
        <w:rPr>
          <w:szCs w:val="26"/>
        </w:rPr>
        <w:t xml:space="preserve"> contemplated</w:t>
      </w:r>
      <w:r w:rsidRPr="00CA1A65" w:rsidR="00F27356">
        <w:rPr>
          <w:szCs w:val="26"/>
        </w:rPr>
        <w:t xml:space="preserve"> remand, no need to address whether the court adequately acted on its own motion.</w:t>
      </w:r>
    </w:p>
    <w:p w:rsidR="00A56353" w:rsidRPr="00CA1A65" w:rsidP="00CA1A65" w14:paraId="1DF10677" w14:textId="77777777">
      <w:pPr>
        <w:rPr>
          <w:szCs w:val="26"/>
        </w:rPr>
      </w:pPr>
      <w:r w:rsidRPr="00CA1A65">
        <w:rPr>
          <w:szCs w:val="26"/>
        </w:rPr>
        <w:tab/>
        <w:t xml:space="preserve">Wheeler petitioned the </w:t>
      </w:r>
      <w:r w:rsidR="000F15F5">
        <w:rPr>
          <w:szCs w:val="26"/>
        </w:rPr>
        <w:t>a</w:t>
      </w:r>
      <w:r w:rsidRPr="00CA1A65">
        <w:rPr>
          <w:szCs w:val="26"/>
        </w:rPr>
        <w:t xml:space="preserve">ppellate </w:t>
      </w:r>
      <w:r w:rsidR="000F15F5">
        <w:rPr>
          <w:szCs w:val="26"/>
        </w:rPr>
        <w:t>d</w:t>
      </w:r>
      <w:r w:rsidRPr="00CA1A65">
        <w:rPr>
          <w:szCs w:val="26"/>
        </w:rPr>
        <w:t>ivision for rehearing or, in the alternative, to certify the case for discretionary transfer to the Cour</w:t>
      </w:r>
      <w:bookmarkStart w:id="5" w:name="_Hlk159515102"/>
      <w:r w:rsidRPr="00CA1A65">
        <w:rPr>
          <w:szCs w:val="26"/>
        </w:rPr>
        <w:t>t of Appeal “to secure uniformity of decision or to settle an important question of law.”  (</w:t>
      </w:r>
      <w:r w:rsidRPr="00CA1A65" w:rsidR="00AC19F5">
        <w:rPr>
          <w:szCs w:val="26"/>
        </w:rPr>
        <w:t>Cal</w:t>
      </w:r>
      <w:r w:rsidR="000613E5">
        <w:rPr>
          <w:szCs w:val="26"/>
        </w:rPr>
        <w:t>.</w:t>
      </w:r>
      <w:r w:rsidRPr="00CA1A65" w:rsidR="00AC19F5">
        <w:rPr>
          <w:szCs w:val="26"/>
        </w:rPr>
        <w:t xml:space="preserve"> </w:t>
      </w:r>
      <w:r w:rsidRPr="00CA1A65">
        <w:rPr>
          <w:szCs w:val="26"/>
        </w:rPr>
        <w:t>Rules of Court, rule 8.1005</w:t>
      </w:r>
      <w:r w:rsidR="006076EF">
        <w:rPr>
          <w:szCs w:val="26"/>
        </w:rPr>
        <w:t>(a)(1)</w:t>
      </w:r>
      <w:r w:rsidRPr="00CA1A65">
        <w:rPr>
          <w:szCs w:val="26"/>
        </w:rPr>
        <w:t>;</w:t>
      </w:r>
      <w:bookmarkEnd w:id="5"/>
      <w:r w:rsidRPr="00CA1A65">
        <w:rPr>
          <w:szCs w:val="26"/>
        </w:rPr>
        <w:t xml:space="preserve"> see </w:t>
      </w:r>
      <w:r w:rsidRPr="00CA1A65" w:rsidR="00E919D8">
        <w:rPr>
          <w:szCs w:val="26"/>
        </w:rPr>
        <w:t xml:space="preserve">generally </w:t>
      </w:r>
      <w:r w:rsidRPr="00CA1A65">
        <w:rPr>
          <w:i/>
          <w:iCs/>
          <w:szCs w:val="26"/>
        </w:rPr>
        <w:t>Snukal v. Flightways Manufacturing, Inc.</w:t>
      </w:r>
      <w:r w:rsidRPr="00CA1A65">
        <w:rPr>
          <w:szCs w:val="26"/>
        </w:rPr>
        <w:t xml:space="preserve"> (2000) 23 Cal.4th 754, 762–76</w:t>
      </w:r>
      <w:r w:rsidRPr="00CA1A65" w:rsidR="00E919D8">
        <w:rPr>
          <w:szCs w:val="26"/>
        </w:rPr>
        <w:t>4 &amp; fn.</w:t>
      </w:r>
      <w:r w:rsidR="00413C6A">
        <w:rPr>
          <w:szCs w:val="26"/>
        </w:rPr>
        <w:t xml:space="preserve"> </w:t>
      </w:r>
      <w:r w:rsidRPr="00CA1A65" w:rsidR="00E919D8">
        <w:rPr>
          <w:szCs w:val="26"/>
        </w:rPr>
        <w:t>2 [discussing this process in the context of rules and statutes</w:t>
      </w:r>
      <w:r w:rsidRPr="00CA1A65" w:rsidR="009154BD">
        <w:rPr>
          <w:szCs w:val="26"/>
        </w:rPr>
        <w:t xml:space="preserve"> applicable prior to unification of the municipal and superior courts</w:t>
      </w:r>
      <w:r w:rsidRPr="00CA1A65" w:rsidR="00E919D8">
        <w:rPr>
          <w:szCs w:val="26"/>
        </w:rPr>
        <w:t>]</w:t>
      </w:r>
      <w:r w:rsidRPr="00CA1A65">
        <w:rPr>
          <w:szCs w:val="26"/>
        </w:rPr>
        <w:t xml:space="preserve">.)  She asserted that the </w:t>
      </w:r>
      <w:r w:rsidR="000F15F5">
        <w:rPr>
          <w:szCs w:val="26"/>
        </w:rPr>
        <w:t>a</w:t>
      </w:r>
      <w:r w:rsidRPr="00CA1A65">
        <w:rPr>
          <w:szCs w:val="26"/>
        </w:rPr>
        <w:t xml:space="preserve">ppellate </w:t>
      </w:r>
      <w:r w:rsidR="000F15F5">
        <w:rPr>
          <w:szCs w:val="26"/>
        </w:rPr>
        <w:t>d</w:t>
      </w:r>
      <w:r w:rsidRPr="00CA1A65">
        <w:rPr>
          <w:szCs w:val="26"/>
        </w:rPr>
        <w:t>ivision erroneously embraced the “novel” legal theory that lack of knowledge could not be a dismissal factor under section 1385</w:t>
      </w:r>
      <w:r w:rsidRPr="00CA1A65" w:rsidR="00744546">
        <w:rPr>
          <w:szCs w:val="26"/>
        </w:rPr>
        <w:t>.</w:t>
      </w:r>
      <w:r w:rsidRPr="00CA1A65">
        <w:rPr>
          <w:szCs w:val="26"/>
        </w:rPr>
        <w:t xml:space="preserve">  Her requests were denied.  Wheeler</w:t>
      </w:r>
      <w:r w:rsidRPr="00CA1A65" w:rsidR="00607B7E">
        <w:rPr>
          <w:szCs w:val="26"/>
        </w:rPr>
        <w:t xml:space="preserve"> </w:t>
      </w:r>
      <w:r w:rsidRPr="00CA1A65">
        <w:rPr>
          <w:szCs w:val="26"/>
        </w:rPr>
        <w:t xml:space="preserve">then asked the Court of Appeal to directly accept discretionary transfer pursuant to </w:t>
      </w:r>
      <w:r w:rsidRPr="00CA1A65" w:rsidR="00AC19F5">
        <w:rPr>
          <w:szCs w:val="26"/>
        </w:rPr>
        <w:t xml:space="preserve">California </w:t>
      </w:r>
      <w:r w:rsidRPr="00CA1A65">
        <w:rPr>
          <w:szCs w:val="26"/>
        </w:rPr>
        <w:t>Rule</w:t>
      </w:r>
      <w:r w:rsidRPr="00CA1A65" w:rsidR="00AC19F5">
        <w:rPr>
          <w:szCs w:val="26"/>
        </w:rPr>
        <w:t>s</w:t>
      </w:r>
      <w:r w:rsidRPr="00CA1A65">
        <w:rPr>
          <w:szCs w:val="26"/>
        </w:rPr>
        <w:t xml:space="preserve"> of Court, rule 8.1006.  This request</w:t>
      </w:r>
      <w:r w:rsidRPr="00CA1A65" w:rsidR="00607B7E">
        <w:rPr>
          <w:szCs w:val="26"/>
        </w:rPr>
        <w:t>, too,</w:t>
      </w:r>
      <w:r w:rsidRPr="00CA1A65">
        <w:rPr>
          <w:szCs w:val="26"/>
        </w:rPr>
        <w:t xml:space="preserve"> was denied.  </w:t>
      </w:r>
    </w:p>
    <w:p w:rsidR="00B1523D" w:rsidRPr="00CA1A65" w:rsidP="00CA1A65" w14:paraId="1DF10678" w14:textId="77777777">
      <w:pPr>
        <w:rPr>
          <w:szCs w:val="26"/>
        </w:rPr>
      </w:pPr>
      <w:r w:rsidRPr="00CA1A65">
        <w:rPr>
          <w:szCs w:val="26"/>
        </w:rPr>
        <w:tab/>
        <w:t>Thereafter, Wheeler, petition</w:t>
      </w:r>
      <w:r w:rsidR="00DD13CA">
        <w:rPr>
          <w:szCs w:val="26"/>
        </w:rPr>
        <w:t>ed the Court of Appeal</w:t>
      </w:r>
      <w:r w:rsidRPr="00CA1A65">
        <w:rPr>
          <w:szCs w:val="26"/>
        </w:rPr>
        <w:t xml:space="preserve"> for </w:t>
      </w:r>
      <w:r w:rsidR="00DD13CA">
        <w:rPr>
          <w:szCs w:val="26"/>
        </w:rPr>
        <w:t xml:space="preserve">a </w:t>
      </w:r>
      <w:r w:rsidRPr="00CA1A65">
        <w:rPr>
          <w:szCs w:val="26"/>
        </w:rPr>
        <w:t xml:space="preserve">writ of mandate </w:t>
      </w:r>
      <w:r w:rsidR="00A010AD">
        <w:rPr>
          <w:szCs w:val="26"/>
        </w:rPr>
        <w:t xml:space="preserve">that would direct the appellate division to “set aside its opinion” and affirm the </w:t>
      </w:r>
      <w:r w:rsidR="00DD13CA">
        <w:rPr>
          <w:szCs w:val="26"/>
        </w:rPr>
        <w:t>trial court’</w:t>
      </w:r>
      <w:r w:rsidR="004A2449">
        <w:rPr>
          <w:szCs w:val="26"/>
        </w:rPr>
        <w:t xml:space="preserve">s </w:t>
      </w:r>
      <w:r w:rsidR="00A010AD">
        <w:rPr>
          <w:szCs w:val="26"/>
        </w:rPr>
        <w:t>dismissal</w:t>
      </w:r>
      <w:r w:rsidRPr="00CA1A65">
        <w:rPr>
          <w:szCs w:val="26"/>
        </w:rPr>
        <w:t xml:space="preserve">.  After a summary denial, we granted review.  </w:t>
      </w:r>
      <w:r w:rsidRPr="00CA1A65" w:rsidR="00D853EA">
        <w:rPr>
          <w:szCs w:val="26"/>
        </w:rPr>
        <w:t xml:space="preserve">(See generally </w:t>
      </w:r>
      <w:r w:rsidRPr="00CA1A65" w:rsidR="00D853EA">
        <w:rPr>
          <w:i/>
          <w:iCs/>
          <w:szCs w:val="26"/>
        </w:rPr>
        <w:t>Randone v. Appellate Department</w:t>
      </w:r>
      <w:r w:rsidRPr="00CA1A65" w:rsidR="00D853EA">
        <w:rPr>
          <w:szCs w:val="26"/>
        </w:rPr>
        <w:t xml:space="preserve"> (1971) 5 Cal.3d 536, 542–543.)  </w:t>
      </w:r>
      <w:r w:rsidRPr="00CA1A65">
        <w:rPr>
          <w:szCs w:val="26"/>
        </w:rPr>
        <w:t xml:space="preserve">We transferred the case back to the Court of Appeal, instructing it to vacate its summary denial and issue an order to show cause, </w:t>
      </w:r>
      <w:r w:rsidRPr="00CA1A65" w:rsidR="007651C8">
        <w:rPr>
          <w:szCs w:val="26"/>
        </w:rPr>
        <w:t xml:space="preserve">facilitating </w:t>
      </w:r>
      <w:r w:rsidRPr="00CA1A65">
        <w:rPr>
          <w:szCs w:val="26"/>
        </w:rPr>
        <w:t xml:space="preserve">a written opinion on the </w:t>
      </w:r>
      <w:r w:rsidRPr="00CA1A65" w:rsidR="00607B7E">
        <w:rPr>
          <w:szCs w:val="26"/>
        </w:rPr>
        <w:t>scope of section 1385</w:t>
      </w:r>
      <w:r w:rsidRPr="00CA1A65">
        <w:rPr>
          <w:szCs w:val="26"/>
        </w:rPr>
        <w:t xml:space="preserve">.  The Court of Appeal </w:t>
      </w:r>
      <w:r w:rsidRPr="00CA1A65" w:rsidR="007E0153">
        <w:rPr>
          <w:szCs w:val="26"/>
        </w:rPr>
        <w:t xml:space="preserve">ultimately affirmed the </w:t>
      </w:r>
      <w:r w:rsidR="000F15F5">
        <w:rPr>
          <w:szCs w:val="26"/>
        </w:rPr>
        <w:t>a</w:t>
      </w:r>
      <w:r w:rsidRPr="00CA1A65" w:rsidR="007E0153">
        <w:rPr>
          <w:szCs w:val="26"/>
        </w:rPr>
        <w:t xml:space="preserve">ppellate </w:t>
      </w:r>
      <w:r w:rsidR="000F15F5">
        <w:rPr>
          <w:szCs w:val="26"/>
        </w:rPr>
        <w:t>d</w:t>
      </w:r>
      <w:r w:rsidRPr="00CA1A65" w:rsidR="007E0153">
        <w:rPr>
          <w:szCs w:val="26"/>
        </w:rPr>
        <w:t xml:space="preserve">ivision, </w:t>
      </w:r>
      <w:r w:rsidRPr="00CA1A65">
        <w:rPr>
          <w:szCs w:val="26"/>
        </w:rPr>
        <w:t xml:space="preserve">agreeing that dismissal </w:t>
      </w:r>
      <w:r w:rsidRPr="00CA1A65" w:rsidR="007651C8">
        <w:rPr>
          <w:szCs w:val="26"/>
        </w:rPr>
        <w:t xml:space="preserve">could </w:t>
      </w:r>
      <w:r w:rsidRPr="00CA1A65">
        <w:rPr>
          <w:szCs w:val="26"/>
        </w:rPr>
        <w:t>not be premised on Wheeler’s lack of knowledge.  (</w:t>
      </w:r>
      <w:bookmarkStart w:id="6" w:name="_Hlk164201365"/>
      <w:r w:rsidRPr="00CA1A65">
        <w:rPr>
          <w:i/>
          <w:iCs/>
          <w:szCs w:val="26"/>
        </w:rPr>
        <w:t>Wheeler v. Appellate Division</w:t>
      </w:r>
      <w:r w:rsidR="00631C93">
        <w:rPr>
          <w:i/>
          <w:iCs/>
          <w:szCs w:val="26"/>
        </w:rPr>
        <w:t xml:space="preserve"> of Superior Court</w:t>
      </w:r>
      <w:r w:rsidRPr="00CA1A65">
        <w:rPr>
          <w:i/>
          <w:iCs/>
          <w:szCs w:val="26"/>
        </w:rPr>
        <w:t xml:space="preserve"> </w:t>
      </w:r>
      <w:r w:rsidRPr="00CA1A65">
        <w:rPr>
          <w:szCs w:val="26"/>
        </w:rPr>
        <w:t xml:space="preserve">(2021) 72 Cal.App.5th 824.)  </w:t>
      </w:r>
      <w:bookmarkEnd w:id="6"/>
      <w:r w:rsidRPr="00CA1A65" w:rsidR="00E235BC">
        <w:rPr>
          <w:szCs w:val="26"/>
        </w:rPr>
        <w:t>T</w:t>
      </w:r>
      <w:r w:rsidRPr="00CA1A65">
        <w:rPr>
          <w:szCs w:val="26"/>
        </w:rPr>
        <w:t xml:space="preserve">he Court of Appeal </w:t>
      </w:r>
      <w:r w:rsidRPr="00CA1A65" w:rsidR="007E0153">
        <w:rPr>
          <w:szCs w:val="26"/>
        </w:rPr>
        <w:t xml:space="preserve">also </w:t>
      </w:r>
      <w:r w:rsidRPr="00CA1A65">
        <w:rPr>
          <w:szCs w:val="26"/>
        </w:rPr>
        <w:t xml:space="preserve">agreed with the </w:t>
      </w:r>
      <w:r w:rsidR="000F15F5">
        <w:rPr>
          <w:szCs w:val="26"/>
        </w:rPr>
        <w:t>a</w:t>
      </w:r>
      <w:r w:rsidRPr="00CA1A65">
        <w:rPr>
          <w:szCs w:val="26"/>
        </w:rPr>
        <w:t xml:space="preserve">ppellate </w:t>
      </w:r>
      <w:r w:rsidR="000F15F5">
        <w:rPr>
          <w:szCs w:val="26"/>
        </w:rPr>
        <w:t>d</w:t>
      </w:r>
      <w:r w:rsidRPr="00CA1A65">
        <w:rPr>
          <w:szCs w:val="26"/>
        </w:rPr>
        <w:t>ivision that remand to the trial court was appropriate for consideration of dismissal under appropriate factors.  (</w:t>
      </w:r>
      <w:r w:rsidRPr="00CA1A65">
        <w:rPr>
          <w:i/>
          <w:iCs/>
          <w:szCs w:val="26"/>
        </w:rPr>
        <w:t>Id.</w:t>
      </w:r>
      <w:r w:rsidRPr="00CA1A65">
        <w:rPr>
          <w:szCs w:val="26"/>
        </w:rPr>
        <w:t xml:space="preserve"> at p. 843.)  We </w:t>
      </w:r>
      <w:r w:rsidRPr="00CA1A65" w:rsidR="003815E2">
        <w:rPr>
          <w:szCs w:val="26"/>
        </w:rPr>
        <w:t xml:space="preserve">then </w:t>
      </w:r>
      <w:r w:rsidRPr="00CA1A65">
        <w:rPr>
          <w:szCs w:val="26"/>
        </w:rPr>
        <w:t xml:space="preserve">granted review </w:t>
      </w:r>
      <w:r w:rsidRPr="00CA1A65" w:rsidR="003815E2">
        <w:rPr>
          <w:szCs w:val="26"/>
        </w:rPr>
        <w:t>outright</w:t>
      </w:r>
      <w:r w:rsidRPr="00CA1A65">
        <w:rPr>
          <w:szCs w:val="26"/>
        </w:rPr>
        <w:t>.</w:t>
      </w:r>
      <w:r w:rsidRPr="00CA1A65" w:rsidR="00607B7E">
        <w:rPr>
          <w:rStyle w:val="FootnoteReference"/>
          <w:szCs w:val="26"/>
        </w:rPr>
        <w:t xml:space="preserve"> </w:t>
      </w:r>
    </w:p>
    <w:p w:rsidR="00033506" w:rsidRPr="00CA1A65" w:rsidP="00CA1A65" w14:paraId="1DF10679" w14:textId="77777777">
      <w:pPr>
        <w:outlineLvl w:val="0"/>
        <w:rPr>
          <w:b/>
          <w:bCs/>
          <w:szCs w:val="26"/>
        </w:rPr>
      </w:pPr>
      <w:r w:rsidRPr="00CA1A65">
        <w:rPr>
          <w:b/>
          <w:bCs/>
          <w:szCs w:val="26"/>
        </w:rPr>
        <w:t>II.  DISCUSSION</w:t>
      </w:r>
    </w:p>
    <w:p w:rsidR="00A757EB" w:rsidRPr="00CA1A65" w:rsidP="00CA1A65" w14:paraId="1DF1067A" w14:textId="77777777">
      <w:pPr>
        <w:outlineLvl w:val="1"/>
        <w:rPr>
          <w:b/>
          <w:bCs/>
          <w:szCs w:val="26"/>
        </w:rPr>
      </w:pPr>
      <w:r w:rsidRPr="00CA1A65">
        <w:rPr>
          <w:b/>
          <w:bCs/>
          <w:szCs w:val="26"/>
        </w:rPr>
        <w:t>A.</w:t>
      </w:r>
      <w:r w:rsidRPr="00CA1A65">
        <w:rPr>
          <w:b/>
          <w:bCs/>
          <w:szCs w:val="26"/>
        </w:rPr>
        <w:tab/>
        <w:t>Penal Code Section 1385 and its Origins</w:t>
      </w:r>
    </w:p>
    <w:p w:rsidR="00440BDD" w:rsidRPr="00CA1A65" w:rsidP="00CA1A65" w14:paraId="1DF1067B" w14:textId="77777777">
      <w:pPr>
        <w:rPr>
          <w:szCs w:val="26"/>
        </w:rPr>
      </w:pPr>
      <w:r w:rsidRPr="00CA1A65">
        <w:rPr>
          <w:szCs w:val="26"/>
        </w:rPr>
        <w:tab/>
        <w:t>The trial court’s power to dismiss a criminal action “in furtherance of justice” has been “recognized by statute since the first session of the Legislature in 1850.”  (</w:t>
      </w:r>
      <w:r w:rsidRPr="00CA1A65">
        <w:rPr>
          <w:i/>
          <w:iCs/>
          <w:szCs w:val="26"/>
        </w:rPr>
        <w:t>People v. Williams</w:t>
      </w:r>
      <w:r w:rsidRPr="00CA1A65">
        <w:rPr>
          <w:szCs w:val="26"/>
        </w:rPr>
        <w:t xml:space="preserve"> (1981) 30 Cal.3d 470, 478</w:t>
      </w:r>
      <w:r w:rsidR="00F33C94">
        <w:rPr>
          <w:szCs w:val="26"/>
        </w:rPr>
        <w:t xml:space="preserve"> (</w:t>
      </w:r>
      <w:r w:rsidRPr="00984314" w:rsidR="00F33C94">
        <w:rPr>
          <w:i/>
          <w:iCs/>
          <w:szCs w:val="26"/>
        </w:rPr>
        <w:t>Williams I</w:t>
      </w:r>
      <w:r w:rsidR="00F33C94">
        <w:rPr>
          <w:szCs w:val="26"/>
        </w:rPr>
        <w:t>)</w:t>
      </w:r>
      <w:r w:rsidRPr="00CA1A65">
        <w:rPr>
          <w:szCs w:val="26"/>
        </w:rPr>
        <w:t>; see Stats. 1850, ch. 119, § 629</w:t>
      </w:r>
      <w:r w:rsidR="00631C93">
        <w:rPr>
          <w:szCs w:val="26"/>
        </w:rPr>
        <w:t xml:space="preserve">, p. </w:t>
      </w:r>
      <w:r w:rsidR="006A573F">
        <w:rPr>
          <w:szCs w:val="26"/>
        </w:rPr>
        <w:t>323</w:t>
      </w:r>
      <w:r w:rsidRPr="00CA1A65">
        <w:rPr>
          <w:szCs w:val="26"/>
        </w:rPr>
        <w:t>; see also Stats. 1851, ch. 29, § 597</w:t>
      </w:r>
      <w:r w:rsidR="00631C93">
        <w:rPr>
          <w:szCs w:val="26"/>
        </w:rPr>
        <w:t xml:space="preserve">, p. </w:t>
      </w:r>
      <w:r w:rsidR="00FC7025">
        <w:rPr>
          <w:szCs w:val="26"/>
        </w:rPr>
        <w:t>279</w:t>
      </w:r>
      <w:r w:rsidRPr="00CA1A65">
        <w:rPr>
          <w:szCs w:val="26"/>
        </w:rPr>
        <w:t>.)  Legislators at that first session borrowed dismissal provisions from a draft of the</w:t>
      </w:r>
      <w:r w:rsidR="0052219A">
        <w:rPr>
          <w:szCs w:val="26"/>
        </w:rPr>
        <w:t xml:space="preserve"> </w:t>
      </w:r>
      <w:r w:rsidRPr="00CA1A65">
        <w:rPr>
          <w:szCs w:val="26"/>
        </w:rPr>
        <w:t xml:space="preserve">Field Code of Criminal Procedure prepared for the State of New York.  (Kleps, </w:t>
      </w:r>
      <w:r w:rsidRPr="00CA1A65">
        <w:rPr>
          <w:i/>
          <w:iCs/>
          <w:szCs w:val="26"/>
        </w:rPr>
        <w:t>The Revision and Codification of California Statutes 1849–1953</w:t>
      </w:r>
      <w:r w:rsidRPr="00CA1A65">
        <w:rPr>
          <w:szCs w:val="26"/>
        </w:rPr>
        <w:t xml:space="preserve"> </w:t>
      </w:r>
      <w:r w:rsidR="009A3612">
        <w:rPr>
          <w:szCs w:val="26"/>
        </w:rPr>
        <w:t xml:space="preserve">(1954) </w:t>
      </w:r>
      <w:r w:rsidRPr="00CA1A65">
        <w:rPr>
          <w:szCs w:val="26"/>
        </w:rPr>
        <w:t>42 Cal. L.Rev</w:t>
      </w:r>
      <w:r w:rsidR="009A3612">
        <w:rPr>
          <w:szCs w:val="26"/>
        </w:rPr>
        <w:t>.</w:t>
      </w:r>
      <w:r w:rsidRPr="00CA1A65">
        <w:rPr>
          <w:szCs w:val="26"/>
        </w:rPr>
        <w:t xml:space="preserve"> 766, 766</w:t>
      </w:r>
      <w:r w:rsidR="009A3612">
        <w:rPr>
          <w:szCs w:val="26"/>
        </w:rPr>
        <w:t>,</w:t>
      </w:r>
      <w:r w:rsidRPr="00CA1A65">
        <w:rPr>
          <w:szCs w:val="26"/>
        </w:rPr>
        <w:t xml:space="preserve"> fn. 4; </w:t>
      </w:r>
      <w:r w:rsidRPr="009F5616">
        <w:rPr>
          <w:szCs w:val="26"/>
        </w:rPr>
        <w:t>Commissioners on Practice and Pleading</w:t>
      </w:r>
      <w:r w:rsidRPr="00FC7025" w:rsidR="00E32CCE">
        <w:rPr>
          <w:szCs w:val="26"/>
        </w:rPr>
        <w:t>s</w:t>
      </w:r>
      <w:r w:rsidRPr="009F5616">
        <w:rPr>
          <w:szCs w:val="26"/>
        </w:rPr>
        <w:t xml:space="preserve">, </w:t>
      </w:r>
      <w:r w:rsidRPr="009F5616" w:rsidR="00115D29">
        <w:rPr>
          <w:szCs w:val="26"/>
        </w:rPr>
        <w:t>The</w:t>
      </w:r>
      <w:r w:rsidRPr="009F5616">
        <w:rPr>
          <w:szCs w:val="26"/>
        </w:rPr>
        <w:t xml:space="preserve"> Code of Criminal Procedure </w:t>
      </w:r>
      <w:r w:rsidRPr="009F5616" w:rsidR="00115D29">
        <w:rPr>
          <w:szCs w:val="26"/>
        </w:rPr>
        <w:t xml:space="preserve">of the State of New York </w:t>
      </w:r>
      <w:r w:rsidRPr="009F5616">
        <w:rPr>
          <w:szCs w:val="26"/>
        </w:rPr>
        <w:t>(1850) pp. 344–345 (</w:t>
      </w:r>
      <w:r w:rsidRPr="00FC7025">
        <w:rPr>
          <w:szCs w:val="26"/>
        </w:rPr>
        <w:t>Commissioners’ Report</w:t>
      </w:r>
      <w:r w:rsidRPr="00CA1A65">
        <w:rPr>
          <w:szCs w:val="26"/>
        </w:rPr>
        <w:t xml:space="preserve">); </w:t>
      </w:r>
      <w:r w:rsidRPr="00CA1A65">
        <w:rPr>
          <w:i/>
          <w:iCs/>
          <w:szCs w:val="26"/>
        </w:rPr>
        <w:t>People v. Douglass</w:t>
      </w:r>
      <w:r w:rsidRPr="00CA1A65">
        <w:rPr>
          <w:szCs w:val="26"/>
        </w:rPr>
        <w:t xml:space="preserve"> (1983) 60 N.Y.2d 194, 202–204.)  The Field Code’s proposed dismissal provisions, sections 739 and 740, sought to abolish the practice of nolle prosequi, inherited from England, under which prosecutors had the prerogative to abandon a prosecution.</w:t>
      </w:r>
      <w:r>
        <w:rPr>
          <w:rStyle w:val="FootnoteReference"/>
          <w:szCs w:val="26"/>
        </w:rPr>
        <w:footnoteReference w:id="10"/>
      </w:r>
      <w:r w:rsidRPr="00CA1A65">
        <w:rPr>
          <w:szCs w:val="26"/>
        </w:rPr>
        <w:t xml:space="preserve">  Instead, the code would authorize courts to dismiss in the furtherance of justice, either on the motion of a prosecutor or on their own motion.  (</w:t>
      </w:r>
      <w:r w:rsidRPr="00FC7025">
        <w:rPr>
          <w:szCs w:val="26"/>
        </w:rPr>
        <w:t>Commissioners’ Rep</w:t>
      </w:r>
      <w:r w:rsidR="000613E5">
        <w:rPr>
          <w:szCs w:val="26"/>
        </w:rPr>
        <w:t>.</w:t>
      </w:r>
      <w:r w:rsidRPr="00CA1A65">
        <w:rPr>
          <w:szCs w:val="26"/>
        </w:rPr>
        <w:t>, at p. 343.)  The code’s authors believed that without these innovations, courts would be “unable, no matter how unjust may be the continuance of the indictment against the defendant, to relieve him from that injustice.”  (</w:t>
      </w:r>
      <w:r w:rsidRPr="00CA1A65">
        <w:rPr>
          <w:i/>
          <w:iCs/>
          <w:szCs w:val="26"/>
        </w:rPr>
        <w:t>Ibid.</w:t>
      </w:r>
      <w:r w:rsidRPr="00CA1A65">
        <w:rPr>
          <w:szCs w:val="26"/>
        </w:rPr>
        <w:t>)  California was the first state to adopt an “in furtherance of justice” dismissal statute.  New York itself followed in 1881, and, today, just shy of one-third of the states have such statutes.  (</w:t>
      </w:r>
      <w:r w:rsidRPr="00CA1A65">
        <w:rPr>
          <w:i/>
          <w:iCs/>
          <w:szCs w:val="26"/>
        </w:rPr>
        <w:t>People v. Douglass</w:t>
      </w:r>
      <w:r w:rsidRPr="00CA1A65">
        <w:rPr>
          <w:szCs w:val="26"/>
        </w:rPr>
        <w:t xml:space="preserve">, </w:t>
      </w:r>
      <w:r w:rsidRPr="00CA1A65">
        <w:rPr>
          <w:i/>
          <w:iCs/>
          <w:szCs w:val="26"/>
        </w:rPr>
        <w:t>supra</w:t>
      </w:r>
      <w:r w:rsidRPr="00CA1A65">
        <w:rPr>
          <w:szCs w:val="26"/>
        </w:rPr>
        <w:t xml:space="preserve">, 60 N.Y.2d </w:t>
      </w:r>
      <w:r w:rsidR="000613E5">
        <w:rPr>
          <w:szCs w:val="26"/>
        </w:rPr>
        <w:t>at pp.</w:t>
      </w:r>
      <w:r w:rsidRPr="00CA1A65">
        <w:rPr>
          <w:szCs w:val="26"/>
        </w:rPr>
        <w:t xml:space="preserve"> 202–204; Roberts, </w:t>
      </w:r>
      <w:r w:rsidRPr="00CA1A65">
        <w:rPr>
          <w:i/>
          <w:iCs/>
          <w:szCs w:val="26"/>
        </w:rPr>
        <w:t>Dismissals as Justice</w:t>
      </w:r>
      <w:r w:rsidRPr="00CA1A65">
        <w:rPr>
          <w:szCs w:val="26"/>
        </w:rPr>
        <w:t xml:space="preserve">, 69 Ala. L.Rev. 327, 332 &amp; fn. 21 (2017) [collecting state statutes]; Wirenius, </w:t>
      </w:r>
      <w:r w:rsidRPr="00CA1A65">
        <w:rPr>
          <w:i/>
          <w:iCs/>
          <w:szCs w:val="26"/>
        </w:rPr>
        <w:t>Legal Developments: A Model of Discretion: New York</w:t>
      </w:r>
      <w:r w:rsidR="003A5F03">
        <w:rPr>
          <w:i/>
          <w:iCs/>
          <w:szCs w:val="26"/>
        </w:rPr>
        <w:t>’</w:t>
      </w:r>
      <w:r w:rsidRPr="00CA1A65">
        <w:rPr>
          <w:i/>
          <w:iCs/>
          <w:szCs w:val="26"/>
        </w:rPr>
        <w:t>s “Interests Of Justice” Dismissal Statute</w:t>
      </w:r>
      <w:r w:rsidRPr="00CA1A65">
        <w:rPr>
          <w:szCs w:val="26"/>
        </w:rPr>
        <w:t xml:space="preserve"> </w:t>
      </w:r>
      <w:r w:rsidR="00B66715">
        <w:rPr>
          <w:szCs w:val="26"/>
        </w:rPr>
        <w:t xml:space="preserve">(1984) </w:t>
      </w:r>
      <w:r w:rsidRPr="00CA1A65">
        <w:rPr>
          <w:szCs w:val="26"/>
        </w:rPr>
        <w:t>58 Alb. L.Rev. 175, 178.)</w:t>
      </w:r>
    </w:p>
    <w:p w:rsidR="00FB6E1C" w:rsidRPr="00CA1A65" w:rsidP="00CA1A65" w14:paraId="1DF1067C" w14:textId="77777777">
      <w:pPr>
        <w:ind w:firstLine="720"/>
        <w:rPr>
          <w:szCs w:val="26"/>
        </w:rPr>
      </w:pPr>
      <w:r w:rsidRPr="00CA1A65">
        <w:rPr>
          <w:szCs w:val="26"/>
        </w:rPr>
        <w:t xml:space="preserve">Penal Code section 1385, </w:t>
      </w:r>
      <w:r w:rsidRPr="00CA1A65" w:rsidR="007C0ECF">
        <w:rPr>
          <w:szCs w:val="26"/>
        </w:rPr>
        <w:t>subdivision (a),</w:t>
      </w:r>
      <w:r>
        <w:rPr>
          <w:rStyle w:val="FootnoteReference"/>
          <w:szCs w:val="26"/>
        </w:rPr>
        <w:footnoteReference w:id="11"/>
      </w:r>
      <w:r w:rsidRPr="00CA1A65" w:rsidR="007C0ECF">
        <w:rPr>
          <w:szCs w:val="26"/>
        </w:rPr>
        <w:t xml:space="preserve"> </w:t>
      </w:r>
      <w:r w:rsidRPr="00CA1A65">
        <w:rPr>
          <w:szCs w:val="26"/>
        </w:rPr>
        <w:t xml:space="preserve">in language essentially unchanged since 1850, authorizes a trial judge, “either on motion of the court or upon the application of the prosecuting attorney, and in furtherance of justice, [to] order an action to be dismissed.”  (§ 1385, subd. (a); see </w:t>
      </w:r>
      <w:r w:rsidRPr="00CA1A65">
        <w:rPr>
          <w:i/>
          <w:iCs/>
          <w:szCs w:val="26"/>
        </w:rPr>
        <w:t>Williams</w:t>
      </w:r>
      <w:r w:rsidR="00F33C94">
        <w:rPr>
          <w:i/>
          <w:iCs/>
          <w:szCs w:val="26"/>
        </w:rPr>
        <w:t xml:space="preserve"> I</w:t>
      </w:r>
      <w:r w:rsidRPr="00CA1A65">
        <w:rPr>
          <w:szCs w:val="26"/>
        </w:rPr>
        <w:t xml:space="preserve">, </w:t>
      </w:r>
      <w:r w:rsidRPr="00CA1A65">
        <w:rPr>
          <w:i/>
          <w:iCs/>
          <w:szCs w:val="26"/>
        </w:rPr>
        <w:t>supra</w:t>
      </w:r>
      <w:r w:rsidRPr="00CA1A65">
        <w:rPr>
          <w:szCs w:val="26"/>
        </w:rPr>
        <w:t>, 30 Cal.3d at p. 478 &amp; fn. 5.)  The statute allows a court, postindictment, to “take[] charge of the prosecution</w:t>
      </w:r>
      <w:r w:rsidR="00F26836">
        <w:rPr>
          <w:szCs w:val="26"/>
        </w:rPr>
        <w:t>,</w:t>
      </w:r>
      <w:r w:rsidRPr="00CA1A65">
        <w:rPr>
          <w:szCs w:val="26"/>
        </w:rPr>
        <w:t xml:space="preserve"> and act[] for the people,” bestowing on the court “power to dismiss, as the attorney-general in England holds the power to enter a </w:t>
      </w:r>
      <w:r w:rsidRPr="00FC7025">
        <w:rPr>
          <w:i/>
          <w:iCs/>
          <w:szCs w:val="26"/>
        </w:rPr>
        <w:t>nolle prosequi</w:t>
      </w:r>
      <w:r w:rsidRPr="00CA1A65">
        <w:rPr>
          <w:szCs w:val="26"/>
        </w:rPr>
        <w:t>, by virtue of the office and the law.”  (</w:t>
      </w:r>
      <w:r w:rsidRPr="00CA1A65">
        <w:rPr>
          <w:i/>
          <w:iCs/>
          <w:szCs w:val="26"/>
        </w:rPr>
        <w:t>People v. More</w:t>
      </w:r>
      <w:r w:rsidRPr="00CA1A65">
        <w:rPr>
          <w:szCs w:val="26"/>
        </w:rPr>
        <w:t xml:space="preserve"> (1887) 71 Cal. 546, 547; see </w:t>
      </w:r>
      <w:r w:rsidRPr="00CA1A65">
        <w:rPr>
          <w:i/>
          <w:iCs/>
          <w:szCs w:val="26"/>
        </w:rPr>
        <w:t>People v. Bonnetta</w:t>
      </w:r>
      <w:r w:rsidR="00631C93">
        <w:rPr>
          <w:szCs w:val="26"/>
        </w:rPr>
        <w:t xml:space="preserve">, </w:t>
      </w:r>
      <w:r w:rsidR="00631C93">
        <w:rPr>
          <w:i/>
          <w:iCs/>
          <w:szCs w:val="26"/>
        </w:rPr>
        <w:t>supra</w:t>
      </w:r>
      <w:r w:rsidR="00631C93">
        <w:rPr>
          <w:szCs w:val="26"/>
        </w:rPr>
        <w:t>,</w:t>
      </w:r>
      <w:r w:rsidRPr="00CA1A65">
        <w:rPr>
          <w:szCs w:val="26"/>
        </w:rPr>
        <w:t xml:space="preserve"> 46 Cal.4th 143, 149; see also § 1386 [abolishing nolle prosequi and stating prosecutors may not discontinue prosecution except pursuant to </w:t>
      </w:r>
      <w:r w:rsidRPr="00CA1A65" w:rsidR="000613E5">
        <w:rPr>
          <w:szCs w:val="26"/>
        </w:rPr>
        <w:t>§</w:t>
      </w:r>
      <w:r w:rsidRPr="00CA1A65">
        <w:rPr>
          <w:szCs w:val="26"/>
        </w:rPr>
        <w:t xml:space="preserve"> 1385].)  To prevent abuse of the dismissal power, the Legislature requires courts to specify the reasons for any dismissal in court minutes for public scrutiny.  (</w:t>
      </w:r>
      <w:r w:rsidRPr="00CA1A65">
        <w:rPr>
          <w:i/>
          <w:iCs/>
          <w:szCs w:val="26"/>
        </w:rPr>
        <w:t>Bonnetta</w:t>
      </w:r>
      <w:r w:rsidRPr="00CA1A65">
        <w:rPr>
          <w:szCs w:val="26"/>
        </w:rPr>
        <w:t>, at pp. 149–150.)  A dismissal without reasons is invalid.  (</w:t>
      </w:r>
      <w:r w:rsidRPr="00CA1A65">
        <w:rPr>
          <w:i/>
          <w:iCs/>
          <w:szCs w:val="26"/>
        </w:rPr>
        <w:t>Ibid.</w:t>
      </w:r>
      <w:r w:rsidRPr="00CA1A65">
        <w:rPr>
          <w:szCs w:val="26"/>
        </w:rPr>
        <w:t>)</w:t>
      </w:r>
    </w:p>
    <w:p w:rsidR="00552FB6" w:rsidRPr="00CA1A65" w:rsidP="00CA1A65" w14:paraId="1DF1067D" w14:textId="77777777">
      <w:pPr>
        <w:ind w:firstLine="720"/>
        <w:rPr>
          <w:szCs w:val="26"/>
        </w:rPr>
      </w:pPr>
      <w:r w:rsidRPr="00CA1A65">
        <w:rPr>
          <w:szCs w:val="26"/>
        </w:rPr>
        <w:t>“[I]t is well established that a court may exercise its power to strike under section 1385 ‘before, during or after trial,’ up to the time judgment is pronounced.”  (</w:t>
      </w:r>
      <w:r w:rsidRPr="00CA1A65">
        <w:rPr>
          <w:i/>
          <w:iCs/>
          <w:szCs w:val="26"/>
        </w:rPr>
        <w:t>People v. Superior Court</w:t>
      </w:r>
      <w:r w:rsidRPr="00CA1A65">
        <w:rPr>
          <w:szCs w:val="26"/>
        </w:rPr>
        <w:t xml:space="preserve"> (</w:t>
      </w:r>
      <w:r w:rsidRPr="00CA1A65">
        <w:rPr>
          <w:i/>
          <w:iCs/>
          <w:szCs w:val="26"/>
        </w:rPr>
        <w:t>Romero</w:t>
      </w:r>
      <w:r w:rsidRPr="00CA1A65">
        <w:rPr>
          <w:szCs w:val="26"/>
        </w:rPr>
        <w:t>) (1996) 13 Cal.4th 497, 524, fn. 11 (</w:t>
      </w:r>
      <w:r w:rsidRPr="00CA1A65">
        <w:rPr>
          <w:i/>
          <w:iCs/>
          <w:szCs w:val="26"/>
        </w:rPr>
        <w:t>Romero</w:t>
      </w:r>
      <w:r w:rsidRPr="00CA1A65">
        <w:rPr>
          <w:szCs w:val="26"/>
        </w:rPr>
        <w:t>).)  Although “the power to dismiss an action includes the lesser power to strike factual allegations relevant to sentencing, such as the allegation that a defendant has prior felony convictions” (</w:t>
      </w:r>
      <w:r w:rsidR="00C95D4C">
        <w:rPr>
          <w:i/>
          <w:iCs/>
          <w:szCs w:val="26"/>
        </w:rPr>
        <w:t>Id. </w:t>
      </w:r>
      <w:r w:rsidRPr="00CA1A65">
        <w:rPr>
          <w:szCs w:val="26"/>
        </w:rPr>
        <w:t>at p.</w:t>
      </w:r>
      <w:r w:rsidRPr="00CA1A65">
        <w:rPr>
          <w:i/>
          <w:iCs/>
          <w:szCs w:val="26"/>
        </w:rPr>
        <w:t xml:space="preserve"> </w:t>
      </w:r>
      <w:r w:rsidRPr="00CA1A65">
        <w:rPr>
          <w:szCs w:val="26"/>
        </w:rPr>
        <w:t>504), this case concerns the power to dismiss “an action” in full.  A trial court has broad, though not absolute, discretion to dismiss under section 1385.  (</w:t>
      </w:r>
      <w:r w:rsidRPr="00CA1A65">
        <w:rPr>
          <w:i/>
          <w:iCs/>
          <w:szCs w:val="26"/>
        </w:rPr>
        <w:t>Romero</w:t>
      </w:r>
      <w:r w:rsidRPr="00CA1A65">
        <w:rPr>
          <w:szCs w:val="26"/>
        </w:rPr>
        <w:t xml:space="preserve">, at p. 530.)  On appeal, a reviewing court </w:t>
      </w:r>
      <w:r w:rsidRPr="00CA1A65" w:rsidR="0038116C">
        <w:rPr>
          <w:szCs w:val="26"/>
        </w:rPr>
        <w:t xml:space="preserve">typically </w:t>
      </w:r>
      <w:r w:rsidRPr="00CA1A65">
        <w:rPr>
          <w:szCs w:val="26"/>
        </w:rPr>
        <w:t>asks whether dismissal was an abuse of discretion.  (</w:t>
      </w:r>
      <w:r w:rsidRPr="00CA1A65">
        <w:rPr>
          <w:i/>
          <w:iCs/>
          <w:szCs w:val="26"/>
        </w:rPr>
        <w:t>People v. Memro</w:t>
      </w:r>
      <w:r w:rsidRPr="00CA1A65">
        <w:rPr>
          <w:szCs w:val="26"/>
        </w:rPr>
        <w:t xml:space="preserve"> (1995) 11 Cal.4th 786, 835–836, citing </w:t>
      </w:r>
      <w:r w:rsidRPr="00CA1A65">
        <w:rPr>
          <w:i/>
          <w:iCs/>
          <w:szCs w:val="26"/>
        </w:rPr>
        <w:t>People v. Superior Court</w:t>
      </w:r>
      <w:r w:rsidRPr="00CA1A65">
        <w:rPr>
          <w:szCs w:val="26"/>
        </w:rPr>
        <w:t xml:space="preserve"> (</w:t>
      </w:r>
      <w:r w:rsidRPr="00CA1A65">
        <w:rPr>
          <w:i/>
          <w:iCs/>
          <w:szCs w:val="26"/>
        </w:rPr>
        <w:t>Howard</w:t>
      </w:r>
      <w:r w:rsidRPr="00CA1A65">
        <w:rPr>
          <w:szCs w:val="26"/>
        </w:rPr>
        <w:t>) (1968) 69 Cal.2d 491, 502</w:t>
      </w:r>
      <w:r w:rsidR="00631C93">
        <w:rPr>
          <w:szCs w:val="26"/>
        </w:rPr>
        <w:t xml:space="preserve"> (</w:t>
      </w:r>
      <w:r w:rsidR="00631C93">
        <w:rPr>
          <w:i/>
          <w:iCs/>
          <w:szCs w:val="26"/>
        </w:rPr>
        <w:t>Howard</w:t>
      </w:r>
      <w:r w:rsidR="00631C93">
        <w:rPr>
          <w:szCs w:val="26"/>
        </w:rPr>
        <w:t>)</w:t>
      </w:r>
      <w:r w:rsidRPr="00CA1A65">
        <w:rPr>
          <w:szCs w:val="26"/>
        </w:rPr>
        <w:t>.)  But the interpretation of a statute remains a question of law subject to de novo review.  (</w:t>
      </w:r>
      <w:r w:rsidRPr="00CA1A65">
        <w:rPr>
          <w:i/>
          <w:iCs/>
          <w:szCs w:val="26"/>
        </w:rPr>
        <w:t>People v. Lewis</w:t>
      </w:r>
      <w:r w:rsidRPr="00CA1A65">
        <w:rPr>
          <w:szCs w:val="26"/>
        </w:rPr>
        <w:t xml:space="preserve"> (2021) 11 Cal.5th 952, 961.)</w:t>
      </w:r>
    </w:p>
    <w:p w:rsidR="00552FB6" w:rsidRPr="00CA1A65" w:rsidP="00CA05BE" w14:paraId="1DF1067E" w14:textId="77777777">
      <w:pPr>
        <w:keepNext/>
        <w:outlineLvl w:val="1"/>
        <w:rPr>
          <w:b/>
          <w:bCs/>
          <w:szCs w:val="26"/>
        </w:rPr>
      </w:pPr>
      <w:r w:rsidRPr="00CA1A65">
        <w:rPr>
          <w:b/>
          <w:bCs/>
          <w:szCs w:val="26"/>
        </w:rPr>
        <w:t>B.</w:t>
      </w:r>
      <w:r w:rsidRPr="00CA1A65">
        <w:rPr>
          <w:b/>
          <w:bCs/>
          <w:szCs w:val="26"/>
        </w:rPr>
        <w:tab/>
        <w:t xml:space="preserve">“In </w:t>
      </w:r>
      <w:r w:rsidR="00C04D71">
        <w:rPr>
          <w:b/>
          <w:bCs/>
          <w:szCs w:val="26"/>
        </w:rPr>
        <w:t>F</w:t>
      </w:r>
      <w:r w:rsidRPr="00CA1A65">
        <w:rPr>
          <w:b/>
          <w:bCs/>
          <w:szCs w:val="26"/>
        </w:rPr>
        <w:t xml:space="preserve">urtherance of </w:t>
      </w:r>
      <w:r w:rsidR="00C04D71">
        <w:rPr>
          <w:b/>
          <w:bCs/>
          <w:szCs w:val="26"/>
        </w:rPr>
        <w:t>J</w:t>
      </w:r>
      <w:r w:rsidRPr="00CA1A65">
        <w:rPr>
          <w:b/>
          <w:bCs/>
          <w:szCs w:val="26"/>
        </w:rPr>
        <w:t>ustice” and Consideration of Culpability</w:t>
      </w:r>
    </w:p>
    <w:p w:rsidR="009557C2" w:rsidRPr="00CA1A65" w:rsidP="00CA1A65" w14:paraId="1DF1067F" w14:textId="77777777">
      <w:pPr>
        <w:rPr>
          <w:szCs w:val="26"/>
        </w:rPr>
      </w:pPr>
      <w:r w:rsidRPr="00CA1A65">
        <w:rPr>
          <w:szCs w:val="26"/>
        </w:rPr>
        <w:t xml:space="preserve"> </w:t>
      </w:r>
      <w:r w:rsidRPr="00CA1A65">
        <w:rPr>
          <w:szCs w:val="26"/>
        </w:rPr>
        <w:tab/>
        <w:t xml:space="preserve">Section 1385 </w:t>
      </w:r>
      <w:r w:rsidR="00B37523">
        <w:rPr>
          <w:szCs w:val="26"/>
        </w:rPr>
        <w:t xml:space="preserve">broadly </w:t>
      </w:r>
      <w:r w:rsidRPr="00CA1A65">
        <w:rPr>
          <w:szCs w:val="26"/>
        </w:rPr>
        <w:t>“</w:t>
      </w:r>
      <w:r w:rsidR="00D03364">
        <w:rPr>
          <w:szCs w:val="26"/>
        </w:rPr>
        <w:t> ‘</w:t>
      </w:r>
      <w:r w:rsidRPr="00CA1A65">
        <w:rPr>
          <w:szCs w:val="26"/>
        </w:rPr>
        <w:t>permits dismissals in the interest of justice in any situation where the Legislature has not clearly evidenced a contrary intent.</w:t>
      </w:r>
      <w:r w:rsidR="00D03364">
        <w:rPr>
          <w:szCs w:val="26"/>
        </w:rPr>
        <w:t>’ </w:t>
      </w:r>
      <w:r w:rsidRPr="00CA1A65">
        <w:rPr>
          <w:szCs w:val="26"/>
        </w:rPr>
        <w:t>”  (</w:t>
      </w:r>
      <w:r w:rsidRPr="00CA1A65">
        <w:rPr>
          <w:i/>
          <w:iCs/>
          <w:szCs w:val="26"/>
        </w:rPr>
        <w:t>People v. Tirado</w:t>
      </w:r>
      <w:r w:rsidRPr="00CA1A65">
        <w:rPr>
          <w:szCs w:val="26"/>
        </w:rPr>
        <w:t xml:space="preserve"> (2022) 12 Cal.5th 688, 696.)  Yet the statutory requirement that a dismissal be “in furtherance of justice” </w:t>
      </w:r>
      <w:r w:rsidRPr="00CA1A65" w:rsidR="00EF1542">
        <w:rPr>
          <w:szCs w:val="26"/>
        </w:rPr>
        <w:t xml:space="preserve">still </w:t>
      </w:r>
      <w:r w:rsidRPr="00CA1A65">
        <w:rPr>
          <w:szCs w:val="26"/>
        </w:rPr>
        <w:t>cabins a trial court’s authority.  (</w:t>
      </w:r>
      <w:r w:rsidRPr="00CA1A65">
        <w:rPr>
          <w:i/>
          <w:iCs/>
          <w:szCs w:val="26"/>
        </w:rPr>
        <w:t>People v. Orin</w:t>
      </w:r>
      <w:r w:rsidRPr="00CA1A65">
        <w:rPr>
          <w:szCs w:val="26"/>
        </w:rPr>
        <w:t xml:space="preserve"> (1975) 13 Cal.3d 937, 945 (</w:t>
      </w:r>
      <w:r w:rsidRPr="00CA1A65">
        <w:rPr>
          <w:i/>
          <w:iCs/>
          <w:szCs w:val="26"/>
        </w:rPr>
        <w:t>Orin</w:t>
      </w:r>
      <w:r w:rsidRPr="00CA1A65">
        <w:rPr>
          <w:szCs w:val="26"/>
        </w:rPr>
        <w:t>).)  “As the Legislature has provided no statutory definition of this [requirement], appellate courts have been faced with the task of establishing the boundaries of the judicial power conferred by the statute as cases have arisen challenging its exercise.”</w:t>
      </w:r>
      <w:r>
        <w:rPr>
          <w:rStyle w:val="FootnoteReference"/>
          <w:szCs w:val="26"/>
        </w:rPr>
        <w:footnoteReference w:id="12"/>
      </w:r>
      <w:r w:rsidRPr="00CA1A65">
        <w:rPr>
          <w:szCs w:val="26"/>
        </w:rPr>
        <w:t xml:space="preserve">  (</w:t>
      </w:r>
      <w:r w:rsidRPr="000613E5" w:rsidR="000613E5">
        <w:rPr>
          <w:i/>
          <w:iCs/>
          <w:szCs w:val="26"/>
        </w:rPr>
        <w:t>Orin</w:t>
      </w:r>
      <w:r w:rsidR="000613E5">
        <w:rPr>
          <w:szCs w:val="26"/>
        </w:rPr>
        <w:t>, at p. 945</w:t>
      </w:r>
      <w:r w:rsidRPr="00CA1A65">
        <w:rPr>
          <w:szCs w:val="26"/>
        </w:rPr>
        <w:t xml:space="preserve">.)  </w:t>
      </w:r>
      <w:r w:rsidRPr="00CA1A65" w:rsidR="003A398E">
        <w:rPr>
          <w:szCs w:val="26"/>
        </w:rPr>
        <w:t xml:space="preserve">We have held that </w:t>
      </w:r>
      <w:r w:rsidR="000613E5">
        <w:rPr>
          <w:szCs w:val="26"/>
        </w:rPr>
        <w:t>s</w:t>
      </w:r>
      <w:r w:rsidRPr="00CA1A65" w:rsidR="003A398E">
        <w:rPr>
          <w:szCs w:val="26"/>
        </w:rPr>
        <w:t>ection 1385’s reference to “in furtherance of justice” requires “</w:t>
      </w:r>
      <w:r w:rsidR="000166C8">
        <w:rPr>
          <w:szCs w:val="26"/>
        </w:rPr>
        <w:t> ‘</w:t>
      </w:r>
      <w:r w:rsidRPr="00CA1A65" w:rsidR="003A398E">
        <w:rPr>
          <w:szCs w:val="26"/>
        </w:rPr>
        <w:t>consideration both of the constitutional rights of the defendant and the interests of society represented by the People.</w:t>
      </w:r>
      <w:r w:rsidR="000166C8">
        <w:rPr>
          <w:szCs w:val="26"/>
        </w:rPr>
        <w:t>’ </w:t>
      </w:r>
      <w:r w:rsidRPr="00CA1A65" w:rsidR="003A398E">
        <w:rPr>
          <w:szCs w:val="26"/>
        </w:rPr>
        <w:t>”  (</w:t>
      </w:r>
      <w:r w:rsidRPr="000613E5" w:rsidR="000166C8">
        <w:rPr>
          <w:i/>
          <w:iCs/>
          <w:szCs w:val="26"/>
        </w:rPr>
        <w:t>Orin</w:t>
      </w:r>
      <w:r w:rsidR="000166C8">
        <w:rPr>
          <w:szCs w:val="26"/>
        </w:rPr>
        <w:t>, at p. 945</w:t>
      </w:r>
      <w:r w:rsidRPr="00CA1A65" w:rsidR="003A398E">
        <w:rPr>
          <w:szCs w:val="26"/>
        </w:rPr>
        <w:t>.)  “At the very least, the reason for dismissal must be ‘that which would motivate a reasonable judge.”  (</w:t>
      </w:r>
      <w:r w:rsidRPr="00CA1A65" w:rsidR="003A398E">
        <w:rPr>
          <w:i/>
          <w:iCs/>
          <w:szCs w:val="26"/>
        </w:rPr>
        <w:t>Ibid.</w:t>
      </w:r>
      <w:r w:rsidRPr="00CA1A65" w:rsidR="003A398E">
        <w:rPr>
          <w:szCs w:val="26"/>
        </w:rPr>
        <w:t>)  “The basic ground involved, furtherance of justice, is the same whether the court acts on motion of the prosecution or its own motion</w:t>
      </w:r>
      <w:r w:rsidR="00E76FB1">
        <w:rPr>
          <w:szCs w:val="26"/>
        </w:rPr>
        <w:t xml:space="preserve"> . . . </w:t>
      </w:r>
      <w:r w:rsidRPr="00CA1A65" w:rsidR="003A398E">
        <w:rPr>
          <w:szCs w:val="26"/>
        </w:rPr>
        <w:t>.”  (</w:t>
      </w:r>
      <w:r w:rsidRPr="00CA1A65" w:rsidR="003A398E">
        <w:rPr>
          <w:i/>
          <w:iCs/>
          <w:szCs w:val="26"/>
        </w:rPr>
        <w:t>Howard</w:t>
      </w:r>
      <w:r w:rsidRPr="00CA1A65" w:rsidR="003A398E">
        <w:rPr>
          <w:szCs w:val="26"/>
        </w:rPr>
        <w:t xml:space="preserve">, </w:t>
      </w:r>
      <w:r w:rsidRPr="00CA1A65" w:rsidR="003A398E">
        <w:rPr>
          <w:i/>
          <w:iCs/>
          <w:szCs w:val="26"/>
        </w:rPr>
        <w:t>supra</w:t>
      </w:r>
      <w:r w:rsidRPr="00CA1A65" w:rsidR="003A398E">
        <w:rPr>
          <w:szCs w:val="26"/>
        </w:rPr>
        <w:t xml:space="preserve">, 69 Cal.2d at p. 503.)  </w:t>
      </w:r>
    </w:p>
    <w:p w:rsidR="009C61C5" w:rsidRPr="00CA1A65" w:rsidP="00CA1A65" w14:paraId="1DF10680" w14:textId="77777777">
      <w:pPr>
        <w:ind w:firstLine="720"/>
        <w:rPr>
          <w:szCs w:val="26"/>
        </w:rPr>
      </w:pPr>
      <w:r w:rsidRPr="00CA1A65">
        <w:rPr>
          <w:szCs w:val="26"/>
        </w:rPr>
        <w:t>In our attempt to</w:t>
      </w:r>
      <w:r w:rsidRPr="00CA1A65" w:rsidR="00A00060">
        <w:rPr>
          <w:szCs w:val="26"/>
        </w:rPr>
        <w:t xml:space="preserve"> </w:t>
      </w:r>
      <w:r w:rsidRPr="00CA1A65" w:rsidR="00456743">
        <w:rPr>
          <w:szCs w:val="26"/>
        </w:rPr>
        <w:t xml:space="preserve">render </w:t>
      </w:r>
      <w:r w:rsidRPr="00CA1A65" w:rsidR="00912649">
        <w:rPr>
          <w:szCs w:val="26"/>
        </w:rPr>
        <w:t xml:space="preserve">section 1385’s </w:t>
      </w:r>
      <w:r w:rsidRPr="00CA1A65">
        <w:rPr>
          <w:szCs w:val="26"/>
        </w:rPr>
        <w:t>in</w:t>
      </w:r>
      <w:r w:rsidRPr="00CA1A65" w:rsidR="00912649">
        <w:rPr>
          <w:szCs w:val="26"/>
        </w:rPr>
        <w:t>-</w:t>
      </w:r>
      <w:r w:rsidRPr="00CA1A65">
        <w:rPr>
          <w:szCs w:val="26"/>
        </w:rPr>
        <w:t>furtherance</w:t>
      </w:r>
      <w:r w:rsidRPr="00CA1A65" w:rsidR="00912649">
        <w:rPr>
          <w:szCs w:val="26"/>
        </w:rPr>
        <w:t>-</w:t>
      </w:r>
      <w:r w:rsidRPr="00CA1A65">
        <w:rPr>
          <w:szCs w:val="26"/>
        </w:rPr>
        <w:t>of</w:t>
      </w:r>
      <w:r w:rsidRPr="00CA1A65" w:rsidR="00912649">
        <w:rPr>
          <w:szCs w:val="26"/>
        </w:rPr>
        <w:t>-</w:t>
      </w:r>
      <w:r w:rsidRPr="00CA1A65">
        <w:rPr>
          <w:szCs w:val="26"/>
        </w:rPr>
        <w:t xml:space="preserve">justice requirement </w:t>
      </w:r>
      <w:r w:rsidRPr="00CA1A65" w:rsidR="00456743">
        <w:rPr>
          <w:szCs w:val="26"/>
        </w:rPr>
        <w:t>“more determinate</w:t>
      </w:r>
      <w:r w:rsidRPr="00CA1A65">
        <w:rPr>
          <w:szCs w:val="26"/>
        </w:rPr>
        <w:t>,</w:t>
      </w:r>
      <w:r w:rsidRPr="00CA1A65" w:rsidR="00456743">
        <w:rPr>
          <w:szCs w:val="26"/>
        </w:rPr>
        <w:t>”</w:t>
      </w:r>
      <w:r w:rsidRPr="00CA1A65">
        <w:rPr>
          <w:szCs w:val="26"/>
        </w:rPr>
        <w:t xml:space="preserve"> we have interpreted the term “justice” to refer to</w:t>
      </w:r>
      <w:r w:rsidRPr="00CA1A65" w:rsidR="00456743">
        <w:rPr>
          <w:szCs w:val="26"/>
        </w:rPr>
        <w:t xml:space="preserve"> the</w:t>
      </w:r>
      <w:r w:rsidRPr="00CA1A65">
        <w:rPr>
          <w:szCs w:val="26"/>
        </w:rPr>
        <w:t xml:space="preserve"> justice </w:t>
      </w:r>
      <w:r w:rsidRPr="00CA1A65" w:rsidR="00456743">
        <w:rPr>
          <w:szCs w:val="26"/>
        </w:rPr>
        <w:t xml:space="preserve">“within” or “intrinsic” </w:t>
      </w:r>
      <w:r w:rsidRPr="00CA1A65">
        <w:rPr>
          <w:szCs w:val="26"/>
        </w:rPr>
        <w:t>to the legal “scheme to which the defendant is subject.”  (</w:t>
      </w:r>
      <w:r w:rsidRPr="00CA1A65">
        <w:rPr>
          <w:i/>
          <w:iCs/>
          <w:szCs w:val="26"/>
        </w:rPr>
        <w:t xml:space="preserve">People v. Williams </w:t>
      </w:r>
      <w:r w:rsidRPr="00CA1A65">
        <w:rPr>
          <w:szCs w:val="26"/>
        </w:rPr>
        <w:t>(1998) 17 Cal.4th 148, 160</w:t>
      </w:r>
      <w:r w:rsidRPr="00CA1A65" w:rsidR="00456743">
        <w:rPr>
          <w:szCs w:val="26"/>
        </w:rPr>
        <w:t>–161</w:t>
      </w:r>
      <w:r w:rsidR="00F33C94">
        <w:rPr>
          <w:szCs w:val="26"/>
        </w:rPr>
        <w:t xml:space="preserve"> (</w:t>
      </w:r>
      <w:r w:rsidRPr="00984314" w:rsidR="00F33C94">
        <w:rPr>
          <w:i/>
          <w:iCs/>
          <w:szCs w:val="26"/>
        </w:rPr>
        <w:t>Williams II</w:t>
      </w:r>
      <w:r w:rsidR="00F33C94">
        <w:rPr>
          <w:szCs w:val="26"/>
        </w:rPr>
        <w:t>)</w:t>
      </w:r>
      <w:r w:rsidRPr="00CA1A65" w:rsidR="00456743">
        <w:rPr>
          <w:szCs w:val="26"/>
        </w:rPr>
        <w:t>.</w:t>
      </w:r>
      <w:r w:rsidRPr="00CA1A65">
        <w:rPr>
          <w:szCs w:val="26"/>
        </w:rPr>
        <w:t>)  To look outside the scheme would more greatly risk elevating idiosyncratic views of justice above the duly</w:t>
      </w:r>
      <w:r w:rsidRPr="00CA1A65" w:rsidR="00FB4A94">
        <w:rPr>
          <w:szCs w:val="26"/>
        </w:rPr>
        <w:t xml:space="preserve"> </w:t>
      </w:r>
      <w:r w:rsidRPr="00CA1A65">
        <w:rPr>
          <w:szCs w:val="26"/>
        </w:rPr>
        <w:t>enacted laws of our chosen representatives.  (</w:t>
      </w:r>
      <w:r w:rsidRPr="00CA1A65">
        <w:rPr>
          <w:i/>
          <w:iCs/>
          <w:szCs w:val="26"/>
        </w:rPr>
        <w:t>I</w:t>
      </w:r>
      <w:r w:rsidR="00B40486">
        <w:rPr>
          <w:i/>
          <w:iCs/>
          <w:szCs w:val="26"/>
        </w:rPr>
        <w:t>bi</w:t>
      </w:r>
      <w:r w:rsidRPr="00CA1A65">
        <w:rPr>
          <w:i/>
          <w:iCs/>
          <w:szCs w:val="26"/>
        </w:rPr>
        <w:t>d.</w:t>
      </w:r>
      <w:r w:rsidRPr="00CA1A65">
        <w:rPr>
          <w:szCs w:val="26"/>
        </w:rPr>
        <w:t xml:space="preserve">; see </w:t>
      </w:r>
      <w:r w:rsidRPr="00CA1A65">
        <w:rPr>
          <w:i/>
          <w:iCs/>
          <w:szCs w:val="26"/>
        </w:rPr>
        <w:t>People v. Wallace</w:t>
      </w:r>
      <w:r w:rsidRPr="00CA1A65">
        <w:rPr>
          <w:szCs w:val="26"/>
        </w:rPr>
        <w:t xml:space="preserve"> (2004) 33 Cal.4th 738, 747</w:t>
      </w:r>
      <w:r w:rsidR="00631C93">
        <w:rPr>
          <w:szCs w:val="26"/>
        </w:rPr>
        <w:t xml:space="preserve"> (</w:t>
      </w:r>
      <w:r w:rsidR="00631C93">
        <w:rPr>
          <w:i/>
          <w:iCs/>
          <w:szCs w:val="26"/>
        </w:rPr>
        <w:t>Wallace</w:t>
      </w:r>
      <w:r w:rsidR="00631C93">
        <w:rPr>
          <w:szCs w:val="26"/>
        </w:rPr>
        <w:t>)</w:t>
      </w:r>
      <w:r w:rsidRPr="00CA1A65">
        <w:rPr>
          <w:szCs w:val="26"/>
        </w:rPr>
        <w:t>.)  “</w:t>
      </w:r>
      <w:r w:rsidRPr="00CA1A65" w:rsidR="00027058">
        <w:rPr>
          <w:szCs w:val="26"/>
        </w:rPr>
        <w:t xml:space="preserve">The scheme itself constitutes the ‘letter’ of the law.  </w:t>
      </w:r>
      <w:r w:rsidRPr="00CA1A65">
        <w:rPr>
          <w:szCs w:val="26"/>
        </w:rPr>
        <w:t>More than perhaps any other source</w:t>
      </w:r>
      <w:r w:rsidRPr="00CA1A65" w:rsidR="00027058">
        <w:rPr>
          <w:szCs w:val="26"/>
        </w:rPr>
        <w:t xml:space="preserve"> it may also </w:t>
      </w:r>
      <w:r w:rsidRPr="00CA1A65">
        <w:rPr>
          <w:szCs w:val="26"/>
        </w:rPr>
        <w:t xml:space="preserve">suggest its ‘spirit.’  For even when </w:t>
      </w:r>
      <w:r w:rsidRPr="00CA1A65" w:rsidR="00027058">
        <w:rPr>
          <w:szCs w:val="26"/>
        </w:rPr>
        <w:t>it</w:t>
      </w:r>
      <w:r w:rsidRPr="00CA1A65">
        <w:rPr>
          <w:szCs w:val="26"/>
        </w:rPr>
        <w:t xml:space="preserve"> does not declare its purpose in </w:t>
      </w:r>
      <w:r w:rsidRPr="00FC7025">
        <w:rPr>
          <w:i/>
          <w:iCs/>
          <w:szCs w:val="26"/>
        </w:rPr>
        <w:t>ipsissimis verbis</w:t>
      </w:r>
      <w:r w:rsidRPr="00CA1A65">
        <w:rPr>
          <w:szCs w:val="26"/>
        </w:rPr>
        <w:t>, it indicates its objective through its scope and operative terms.”  (</w:t>
      </w:r>
      <w:r w:rsidRPr="00CA1A65">
        <w:rPr>
          <w:i/>
          <w:iCs/>
          <w:szCs w:val="26"/>
        </w:rPr>
        <w:t>Williams</w:t>
      </w:r>
      <w:r w:rsidR="00F33C94">
        <w:rPr>
          <w:i/>
          <w:iCs/>
          <w:szCs w:val="26"/>
        </w:rPr>
        <w:t xml:space="preserve"> II</w:t>
      </w:r>
      <w:r w:rsidRPr="00CA1A65">
        <w:rPr>
          <w:szCs w:val="26"/>
        </w:rPr>
        <w:t xml:space="preserve">, at p. 160.)  </w:t>
      </w:r>
    </w:p>
    <w:p w:rsidR="002027A3" w:rsidRPr="00CA1A65" w:rsidP="00CA1A65" w14:paraId="1DF10681" w14:textId="77777777">
      <w:pPr>
        <w:ind w:firstLine="720"/>
        <w:rPr>
          <w:szCs w:val="26"/>
        </w:rPr>
      </w:pPr>
      <w:r w:rsidRPr="00CA1A65">
        <w:rPr>
          <w:szCs w:val="26"/>
        </w:rPr>
        <w:t>To illustrate</w:t>
      </w:r>
      <w:r w:rsidRPr="00CA1A65" w:rsidR="007E0F59">
        <w:rPr>
          <w:szCs w:val="26"/>
        </w:rPr>
        <w:t xml:space="preserve"> this limiting principle</w:t>
      </w:r>
      <w:r w:rsidRPr="00CA1A65" w:rsidR="00441F0B">
        <w:rPr>
          <w:szCs w:val="26"/>
        </w:rPr>
        <w:t xml:space="preserve">, courts asked to dismiss a prior conviction at sentencing that would significantly enhance punishment under California’s three strikes law may not rely on factors extrinsic to </w:t>
      </w:r>
      <w:r w:rsidRPr="00CA1A65" w:rsidR="00912649">
        <w:rPr>
          <w:szCs w:val="26"/>
        </w:rPr>
        <w:t>that</w:t>
      </w:r>
      <w:r w:rsidRPr="00CA1A65" w:rsidR="00441F0B">
        <w:rPr>
          <w:szCs w:val="26"/>
        </w:rPr>
        <w:t xml:space="preserve"> sentencing scheme, “such as the mere desire to ease court congestion” or “bare antipathy” for the three strikes law or the sentences it prescribes.  (</w:t>
      </w:r>
      <w:r w:rsidRPr="00CA1A65" w:rsidR="00441F0B">
        <w:rPr>
          <w:i/>
          <w:iCs/>
          <w:szCs w:val="26"/>
        </w:rPr>
        <w:t>Williams</w:t>
      </w:r>
      <w:r w:rsidR="00F33C94">
        <w:rPr>
          <w:i/>
          <w:iCs/>
          <w:szCs w:val="26"/>
        </w:rPr>
        <w:t xml:space="preserve"> II</w:t>
      </w:r>
      <w:r w:rsidRPr="00CA1A65" w:rsidR="00441F0B">
        <w:rPr>
          <w:szCs w:val="26"/>
        </w:rPr>
        <w:t xml:space="preserve">, </w:t>
      </w:r>
      <w:r w:rsidRPr="00CA1A65" w:rsidR="00441F0B">
        <w:rPr>
          <w:i/>
          <w:iCs/>
          <w:szCs w:val="26"/>
        </w:rPr>
        <w:t>supra</w:t>
      </w:r>
      <w:r w:rsidRPr="00CA1A65" w:rsidR="00441F0B">
        <w:rPr>
          <w:szCs w:val="26"/>
        </w:rPr>
        <w:t xml:space="preserve">, 17 Cal.4th at p. 161; see </w:t>
      </w:r>
      <w:r w:rsidRPr="00CA1A65" w:rsidR="00441F0B">
        <w:rPr>
          <w:i/>
          <w:iCs/>
          <w:szCs w:val="26"/>
        </w:rPr>
        <w:t>Wallace</w:t>
      </w:r>
      <w:r w:rsidRPr="00CA1A65" w:rsidR="00441F0B">
        <w:rPr>
          <w:szCs w:val="26"/>
        </w:rPr>
        <w:t xml:space="preserve">, </w:t>
      </w:r>
      <w:r w:rsidRPr="00CA1A65" w:rsidR="00441F0B">
        <w:rPr>
          <w:i/>
          <w:iCs/>
          <w:szCs w:val="26"/>
        </w:rPr>
        <w:t>supra</w:t>
      </w:r>
      <w:r w:rsidRPr="00CA1A65" w:rsidR="00441F0B">
        <w:rPr>
          <w:szCs w:val="26"/>
        </w:rPr>
        <w:t xml:space="preserve">, 33 Cal.4th at p. 747; see also </w:t>
      </w:r>
      <w:r w:rsidRPr="00CA1A65" w:rsidR="00441F0B">
        <w:rPr>
          <w:i/>
          <w:iCs/>
          <w:szCs w:val="26"/>
        </w:rPr>
        <w:t>People v. Curtiss</w:t>
      </w:r>
      <w:r w:rsidRPr="00CA1A65" w:rsidR="00441F0B">
        <w:rPr>
          <w:szCs w:val="26"/>
        </w:rPr>
        <w:t xml:space="preserve"> (1970) 4 Cal.App.3d 123, 126.)  Instead, sentencing courts consider factors intrinsic to that scheme, </w:t>
      </w:r>
      <w:r w:rsidRPr="00CA1A65" w:rsidR="00936B9E">
        <w:rPr>
          <w:szCs w:val="26"/>
        </w:rPr>
        <w:t xml:space="preserve">“as informed by generally applicable </w:t>
      </w:r>
      <w:r w:rsidRPr="00CA1A65" w:rsidR="00AA4B1B">
        <w:rPr>
          <w:szCs w:val="26"/>
        </w:rPr>
        <w:t>sentencing</w:t>
      </w:r>
      <w:r w:rsidRPr="00CA1A65" w:rsidR="00936B9E">
        <w:rPr>
          <w:szCs w:val="26"/>
        </w:rPr>
        <w:t xml:space="preserve"> principles,” </w:t>
      </w:r>
      <w:r w:rsidRPr="00CA1A65" w:rsidR="00441F0B">
        <w:rPr>
          <w:szCs w:val="26"/>
        </w:rPr>
        <w:t>such as the nature of the charged and prior offenses and the defendant’s “background, character, and prospects.”  (</w:t>
      </w:r>
      <w:r w:rsidRPr="00CA1A65" w:rsidR="00441F0B">
        <w:rPr>
          <w:i/>
          <w:iCs/>
          <w:szCs w:val="26"/>
        </w:rPr>
        <w:t>Williams</w:t>
      </w:r>
      <w:r w:rsidR="00F33C94">
        <w:rPr>
          <w:i/>
          <w:iCs/>
          <w:szCs w:val="26"/>
        </w:rPr>
        <w:t xml:space="preserve"> II</w:t>
      </w:r>
      <w:r w:rsidRPr="00CA1A65" w:rsidR="00441F0B">
        <w:rPr>
          <w:szCs w:val="26"/>
        </w:rPr>
        <w:t xml:space="preserve">, at p. </w:t>
      </w:r>
      <w:r w:rsidRPr="00CA1A65" w:rsidR="00936B9E">
        <w:rPr>
          <w:szCs w:val="26"/>
        </w:rPr>
        <w:t>160</w:t>
      </w:r>
      <w:r w:rsidRPr="00CA1A65" w:rsidR="00441F0B">
        <w:rPr>
          <w:szCs w:val="26"/>
        </w:rPr>
        <w:t>.)</w:t>
      </w:r>
    </w:p>
    <w:p w:rsidR="00EB59A9" w:rsidRPr="00CA1A65" w:rsidP="00CA1A65" w14:paraId="1DF10682" w14:textId="77777777">
      <w:pPr>
        <w:ind w:firstLine="720"/>
        <w:rPr>
          <w:szCs w:val="26"/>
        </w:rPr>
      </w:pPr>
      <w:r w:rsidRPr="00CA1A65">
        <w:rPr>
          <w:szCs w:val="26"/>
        </w:rPr>
        <w:t>Here, we address not a sentencing scheme but</w:t>
      </w:r>
      <w:r w:rsidRPr="00CA1A65" w:rsidR="009348BE">
        <w:rPr>
          <w:szCs w:val="26"/>
        </w:rPr>
        <w:t xml:space="preserve"> “the statutory scheme which has been established for the prosecution of crimes</w:t>
      </w:r>
      <w:r w:rsidRPr="00CA1A65">
        <w:rPr>
          <w:szCs w:val="26"/>
        </w:rPr>
        <w:t>.</w:t>
      </w:r>
      <w:r w:rsidRPr="00CA1A65" w:rsidR="009348BE">
        <w:rPr>
          <w:szCs w:val="26"/>
        </w:rPr>
        <w:t xml:space="preserve">” </w:t>
      </w:r>
      <w:r w:rsidRPr="00CA1A65">
        <w:rPr>
          <w:szCs w:val="26"/>
        </w:rPr>
        <w:t xml:space="preserve"> (</w:t>
      </w:r>
      <w:r w:rsidRPr="00CA1A65">
        <w:rPr>
          <w:i/>
          <w:iCs/>
          <w:szCs w:val="26"/>
        </w:rPr>
        <w:t>Orin</w:t>
      </w:r>
      <w:r w:rsidRPr="00CA1A65">
        <w:rPr>
          <w:szCs w:val="26"/>
        </w:rPr>
        <w:t xml:space="preserve">, </w:t>
      </w:r>
      <w:r w:rsidRPr="00CA1A65">
        <w:rPr>
          <w:i/>
          <w:iCs/>
          <w:szCs w:val="26"/>
        </w:rPr>
        <w:t>supra</w:t>
      </w:r>
      <w:r w:rsidRPr="00CA1A65">
        <w:rPr>
          <w:szCs w:val="26"/>
        </w:rPr>
        <w:t xml:space="preserve">, 13 Cal.3d at p. 947.)  In this context, </w:t>
      </w:r>
      <w:r w:rsidRPr="00CA1A65" w:rsidR="009348BE">
        <w:rPr>
          <w:szCs w:val="26"/>
        </w:rPr>
        <w:t xml:space="preserve">we have noted the People’s “legitimate interest in </w:t>
      </w:r>
      <w:r w:rsidR="00974B36">
        <w:rPr>
          <w:szCs w:val="26"/>
        </w:rPr>
        <w:t>‘</w:t>
      </w:r>
      <w:r w:rsidRPr="00CA1A65" w:rsidR="009348BE">
        <w:rPr>
          <w:szCs w:val="26"/>
        </w:rPr>
        <w:t>the fair prosecution of crimes properly alleged.’</w:t>
      </w:r>
      <w:r w:rsidR="00974B36">
        <w:rPr>
          <w:szCs w:val="26"/>
        </w:rPr>
        <w:t> </w:t>
      </w:r>
      <w:r w:rsidRPr="00CA1A65" w:rsidR="009348BE">
        <w:rPr>
          <w:szCs w:val="26"/>
        </w:rPr>
        <w:t>”  (</w:t>
      </w:r>
      <w:r w:rsidRPr="00CA1A65">
        <w:rPr>
          <w:i/>
          <w:iCs/>
          <w:szCs w:val="26"/>
        </w:rPr>
        <w:t>Ibid</w:t>
      </w:r>
      <w:r w:rsidRPr="00CA1A65" w:rsidR="009348BE">
        <w:rPr>
          <w:szCs w:val="26"/>
        </w:rPr>
        <w:t>.)  “ ‘ “[A] dismissal which arbitrarily cuts those rights without a showing of detriment to the defendant is an abuse of discretion.” ’ ”  (</w:t>
      </w:r>
      <w:r w:rsidRPr="00CA1A65" w:rsidR="009348BE">
        <w:rPr>
          <w:i/>
          <w:iCs/>
          <w:szCs w:val="26"/>
        </w:rPr>
        <w:t>Ibid</w:t>
      </w:r>
      <w:r w:rsidRPr="00CA1A65" w:rsidR="009348BE">
        <w:rPr>
          <w:szCs w:val="26"/>
        </w:rPr>
        <w:t>.)  Put another way, “[p]ermitting trial judges to make liberal use of section 1385 to avoid criminal prosecutions where probable cause exists to believe conviction is warranted would be contrary to the adversary nature of our criminal procedure as prescribed by the Legislature.”  (</w:t>
      </w:r>
      <w:r w:rsidRPr="00CA1A65" w:rsidR="009348BE">
        <w:rPr>
          <w:i/>
          <w:iCs/>
          <w:szCs w:val="26"/>
        </w:rPr>
        <w:t>Ibid.</w:t>
      </w:r>
      <w:r w:rsidRPr="00CA1A65" w:rsidR="009348BE">
        <w:rPr>
          <w:szCs w:val="26"/>
        </w:rPr>
        <w:t>)  “Under ordinary circumstances, it would frustrate the orderly and effective operation of our criminal procedure as envisioned by the Legislature if without proper and adequate reason section 1385 were used to terminate the prosecution of defendants for crimes properly charged in accordance with legal procedure.”  (</w:t>
      </w:r>
      <w:r w:rsidRPr="00CA1A65" w:rsidR="009348BE">
        <w:rPr>
          <w:i/>
          <w:iCs/>
          <w:szCs w:val="26"/>
        </w:rPr>
        <w:t>Ibid.</w:t>
      </w:r>
      <w:r w:rsidRPr="00CA1A65" w:rsidR="009348BE">
        <w:rPr>
          <w:szCs w:val="26"/>
        </w:rPr>
        <w:t>)</w:t>
      </w:r>
      <w:r w:rsidRPr="00CA1A65" w:rsidR="00C9275D">
        <w:rPr>
          <w:szCs w:val="26"/>
        </w:rPr>
        <w:t xml:space="preserve">  </w:t>
      </w:r>
      <w:r w:rsidRPr="00CA1A65" w:rsidR="00CB1C6F">
        <w:rPr>
          <w:szCs w:val="26"/>
        </w:rPr>
        <w:t>And yet, we have also recognized that discretionary dismissal under section 1385 operates independently of a “prosecutor</w:t>
      </w:r>
      <w:r w:rsidRPr="00CA1A65" w:rsidR="00AD787C">
        <w:rPr>
          <w:szCs w:val="26"/>
        </w:rPr>
        <w:t>’</w:t>
      </w:r>
      <w:r w:rsidRPr="00CA1A65" w:rsidR="00CB1C6F">
        <w:rPr>
          <w:szCs w:val="26"/>
        </w:rPr>
        <w:t>s charging decisions,” for “[a]ny decision to dismiss is necessarily made after the prosecutor has invoked the court</w:t>
      </w:r>
      <w:r w:rsidRPr="00CA1A65" w:rsidR="00AD787C">
        <w:rPr>
          <w:szCs w:val="26"/>
        </w:rPr>
        <w:t>’</w:t>
      </w:r>
      <w:r w:rsidRPr="00CA1A65" w:rsidR="00CB1C6F">
        <w:rPr>
          <w:szCs w:val="26"/>
        </w:rPr>
        <w:t>s jurisdiction by filing criminal charges.  ‘[O]nce the state is ready to present its case in a judicial setting, “the prosecutorial die has long since been cast.”</w:t>
      </w:r>
      <w:r w:rsidR="00631C93">
        <w:rPr>
          <w:szCs w:val="26"/>
        </w:rPr>
        <w:t> </w:t>
      </w:r>
      <w:r w:rsidRPr="00CA1A65" w:rsidR="00CB1C6F">
        <w:rPr>
          <w:szCs w:val="26"/>
        </w:rPr>
        <w:t>’</w:t>
      </w:r>
      <w:r w:rsidR="00631C93">
        <w:rPr>
          <w:szCs w:val="26"/>
        </w:rPr>
        <w:t> </w:t>
      </w:r>
      <w:r w:rsidRPr="00CA1A65" w:rsidR="00CB1C6F">
        <w:rPr>
          <w:szCs w:val="26"/>
        </w:rPr>
        <w:t>”  (</w:t>
      </w:r>
      <w:r w:rsidRPr="00CA1A65" w:rsidR="00CB1C6F">
        <w:rPr>
          <w:i/>
          <w:iCs/>
          <w:szCs w:val="26"/>
        </w:rPr>
        <w:t>Romero</w:t>
      </w:r>
      <w:r w:rsidRPr="00CA1A65" w:rsidR="00CB1C6F">
        <w:rPr>
          <w:szCs w:val="26"/>
        </w:rPr>
        <w:t xml:space="preserve">, </w:t>
      </w:r>
      <w:r w:rsidRPr="00CA1A65" w:rsidR="00CB1C6F">
        <w:rPr>
          <w:i/>
          <w:iCs/>
          <w:szCs w:val="26"/>
        </w:rPr>
        <w:t>supra</w:t>
      </w:r>
      <w:r w:rsidRPr="00CA1A65" w:rsidR="00CB1C6F">
        <w:rPr>
          <w:szCs w:val="26"/>
        </w:rPr>
        <w:t>, 13 Cal.4</w:t>
      </w:r>
      <w:r w:rsidRPr="00CA1A65" w:rsidR="00CB1C6F">
        <w:t>th</w:t>
      </w:r>
      <w:r w:rsidRPr="00CA1A65" w:rsidR="00CB1C6F">
        <w:rPr>
          <w:szCs w:val="26"/>
        </w:rPr>
        <w:t xml:space="preserve"> at p. 514</w:t>
      </w:r>
      <w:r w:rsidR="00974B36">
        <w:rPr>
          <w:szCs w:val="26"/>
        </w:rPr>
        <w:t>, italics omitted</w:t>
      </w:r>
      <w:r w:rsidRPr="00CA1A65" w:rsidR="00CB1C6F">
        <w:rPr>
          <w:szCs w:val="26"/>
        </w:rPr>
        <w:t xml:space="preserve">.)  </w:t>
      </w:r>
    </w:p>
    <w:p w:rsidR="00817FB0" w:rsidRPr="00CA1A65" w:rsidP="00CA1A65" w14:paraId="1DF10683" w14:textId="77777777">
      <w:pPr>
        <w:ind w:firstLine="720"/>
        <w:rPr>
          <w:szCs w:val="26"/>
        </w:rPr>
      </w:pPr>
      <w:r>
        <w:rPr>
          <w:szCs w:val="26"/>
        </w:rPr>
        <w:t>Moreover</w:t>
      </w:r>
      <w:r w:rsidRPr="00CA1A65" w:rsidR="00EB59A9">
        <w:rPr>
          <w:szCs w:val="26"/>
        </w:rPr>
        <w:t>, evidence that a defendant is guilty of a charge, or even the rendering of a guilty verdict on that charge, does not preclude dismissal under section 1385.  A “proper and adequate reason</w:t>
      </w:r>
      <w:r w:rsidRPr="00CA1A65" w:rsidR="00DB434D">
        <w:rPr>
          <w:szCs w:val="26"/>
        </w:rPr>
        <w:t>,</w:t>
      </w:r>
      <w:r w:rsidRPr="00CA1A65" w:rsidR="00EB59A9">
        <w:rPr>
          <w:szCs w:val="26"/>
        </w:rPr>
        <w:t>”</w:t>
      </w:r>
      <w:r w:rsidRPr="00CA1A65" w:rsidR="00AD787C">
        <w:rPr>
          <w:szCs w:val="26"/>
        </w:rPr>
        <w:t xml:space="preserve"> as noted above, </w:t>
      </w:r>
      <w:r w:rsidRPr="00CA1A65" w:rsidR="00EB59A9">
        <w:rPr>
          <w:szCs w:val="26"/>
        </w:rPr>
        <w:t>could make such dismissals appropriate, taking the case out of the “ordinary</w:t>
      </w:r>
      <w:r>
        <w:rPr>
          <w:szCs w:val="26"/>
        </w:rPr>
        <w:t xml:space="preserve"> circumstances</w:t>
      </w:r>
      <w:r w:rsidRPr="00CA1A65" w:rsidR="00EB59A9">
        <w:rPr>
          <w:szCs w:val="26"/>
        </w:rPr>
        <w:t>”</w:t>
      </w:r>
      <w:r>
        <w:rPr>
          <w:szCs w:val="26"/>
        </w:rPr>
        <w:t xml:space="preserve"> applicable to properly charged crimes.</w:t>
      </w:r>
      <w:r w:rsidRPr="00CA1A65" w:rsidR="00EB59A9">
        <w:rPr>
          <w:szCs w:val="26"/>
        </w:rPr>
        <w:t xml:space="preserve">  (</w:t>
      </w:r>
      <w:r w:rsidRPr="00CA1A65" w:rsidR="00EB59A9">
        <w:rPr>
          <w:i/>
          <w:iCs/>
          <w:szCs w:val="26"/>
        </w:rPr>
        <w:t>Orin</w:t>
      </w:r>
      <w:r w:rsidRPr="00CA1A65" w:rsidR="00EB59A9">
        <w:rPr>
          <w:szCs w:val="26"/>
        </w:rPr>
        <w:t xml:space="preserve">, </w:t>
      </w:r>
      <w:r w:rsidRPr="00CA1A65" w:rsidR="00EB59A9">
        <w:rPr>
          <w:i/>
          <w:iCs/>
          <w:szCs w:val="26"/>
        </w:rPr>
        <w:t>supra</w:t>
      </w:r>
      <w:r w:rsidRPr="00CA1A65" w:rsidR="00EB59A9">
        <w:rPr>
          <w:szCs w:val="26"/>
        </w:rPr>
        <w:t>, 13 Cal.3d at p. 947.)  “[A] section 1385 dismissal may not even ‘involve a consideration of the merits of the cause’</w:t>
      </w:r>
      <w:r w:rsidR="00974B36">
        <w:rPr>
          <w:szCs w:val="26"/>
        </w:rPr>
        <w:t> </w:t>
      </w:r>
      <w:r w:rsidRPr="00CA1A65" w:rsidR="00EB59A9">
        <w:rPr>
          <w:szCs w:val="26"/>
        </w:rPr>
        <w:t>” and “often [is] not based on the insufficiency of the evidence as a matter of law.”  (</w:t>
      </w:r>
      <w:r w:rsidRPr="00CA1A65" w:rsidR="00EB59A9">
        <w:rPr>
          <w:i/>
          <w:iCs/>
          <w:szCs w:val="26"/>
        </w:rPr>
        <w:t>People v. Hatch</w:t>
      </w:r>
      <w:r w:rsidR="004A6B59">
        <w:rPr>
          <w:i/>
          <w:iCs/>
          <w:szCs w:val="26"/>
        </w:rPr>
        <w:t xml:space="preserve"> </w:t>
      </w:r>
      <w:r w:rsidR="004A6B59">
        <w:rPr>
          <w:szCs w:val="26"/>
        </w:rPr>
        <w:t>(2000)</w:t>
      </w:r>
      <w:r w:rsidRPr="00CA1A65" w:rsidR="00EB59A9">
        <w:rPr>
          <w:szCs w:val="26"/>
        </w:rPr>
        <w:t xml:space="preserve"> 22 Cal.4th 260, 273.)</w:t>
      </w:r>
      <w:r>
        <w:rPr>
          <w:rStyle w:val="FootnoteReference"/>
          <w:szCs w:val="26"/>
        </w:rPr>
        <w:footnoteReference w:id="13"/>
      </w:r>
      <w:r w:rsidRPr="00CA1A65" w:rsidR="00EB59A9">
        <w:rPr>
          <w:szCs w:val="26"/>
        </w:rPr>
        <w:t xml:space="preserve">  “Many cases might arise when in furtherance of justice we would be called upon to dismiss a good indictment.”  (</w:t>
      </w:r>
      <w:r w:rsidRPr="00CA1A65" w:rsidR="00EB59A9">
        <w:rPr>
          <w:i/>
          <w:iCs/>
          <w:szCs w:val="26"/>
        </w:rPr>
        <w:t>People v. March</w:t>
      </w:r>
      <w:r w:rsidRPr="00CA1A65" w:rsidR="00EB59A9">
        <w:rPr>
          <w:szCs w:val="26"/>
        </w:rPr>
        <w:t xml:space="preserve"> (1856) 6 Cal. 543, 546.)</w:t>
      </w:r>
      <w:r>
        <w:rPr>
          <w:rStyle w:val="FootnoteReference"/>
          <w:szCs w:val="26"/>
        </w:rPr>
        <w:footnoteReference w:id="14"/>
      </w:r>
      <w:r w:rsidRPr="00CA1A65" w:rsidR="00EB59A9">
        <w:rPr>
          <w:szCs w:val="26"/>
        </w:rPr>
        <w:t xml:space="preserve"> </w:t>
      </w:r>
    </w:p>
    <w:p w:rsidR="00CB1C6F" w:rsidRPr="00CA1A65" w:rsidP="00CA1A65" w14:paraId="1DF10684" w14:textId="77777777">
      <w:pPr>
        <w:ind w:firstLine="720"/>
        <w:rPr>
          <w:szCs w:val="26"/>
        </w:rPr>
      </w:pPr>
      <w:r w:rsidRPr="00CA1A65">
        <w:rPr>
          <w:szCs w:val="26"/>
        </w:rPr>
        <w:t xml:space="preserve">Indeed, </w:t>
      </w:r>
      <w:r w:rsidRPr="00CA1A65" w:rsidR="00DB434D">
        <w:rPr>
          <w:szCs w:val="26"/>
        </w:rPr>
        <w:t>i</w:t>
      </w:r>
      <w:r w:rsidRPr="00CA1A65" w:rsidR="00EB03CD">
        <w:rPr>
          <w:szCs w:val="26"/>
        </w:rPr>
        <w:t xml:space="preserve">n </w:t>
      </w:r>
      <w:r w:rsidRPr="00CA1A65" w:rsidR="00EB03CD">
        <w:rPr>
          <w:i/>
          <w:iCs/>
          <w:szCs w:val="26"/>
        </w:rPr>
        <w:t>Howard</w:t>
      </w:r>
      <w:r w:rsidRPr="00CA1A65" w:rsidR="00EB03CD">
        <w:rPr>
          <w:szCs w:val="26"/>
        </w:rPr>
        <w:t xml:space="preserve">, </w:t>
      </w:r>
      <w:r w:rsidRPr="00CA1A65" w:rsidR="00EB03CD">
        <w:rPr>
          <w:i/>
          <w:iCs/>
          <w:szCs w:val="26"/>
        </w:rPr>
        <w:t>supra</w:t>
      </w:r>
      <w:r w:rsidRPr="00CA1A65" w:rsidR="00EB03CD">
        <w:rPr>
          <w:szCs w:val="26"/>
        </w:rPr>
        <w:t xml:space="preserve">, 69 Cal.2d 491, we addressed a court’s power to dismiss a charge following a guilty verdict where the </w:t>
      </w:r>
      <w:r w:rsidRPr="00CA1A65" w:rsidR="000346EE">
        <w:rPr>
          <w:szCs w:val="26"/>
        </w:rPr>
        <w:t>tr</w:t>
      </w:r>
      <w:r w:rsidRPr="00CA1A65" w:rsidR="000B1B91">
        <w:rPr>
          <w:szCs w:val="26"/>
        </w:rPr>
        <w:t>ial</w:t>
      </w:r>
      <w:r w:rsidRPr="00CA1A65" w:rsidR="000346EE">
        <w:rPr>
          <w:szCs w:val="26"/>
        </w:rPr>
        <w:t xml:space="preserve"> </w:t>
      </w:r>
      <w:r w:rsidRPr="00CA1A65" w:rsidR="00EB03CD">
        <w:rPr>
          <w:szCs w:val="26"/>
        </w:rPr>
        <w:t>evidence</w:t>
      </w:r>
      <w:r w:rsidRPr="00CA1A65" w:rsidR="00872BD7">
        <w:rPr>
          <w:szCs w:val="26"/>
        </w:rPr>
        <w:t xml:space="preserve">, though </w:t>
      </w:r>
      <w:r w:rsidRPr="00CA1A65" w:rsidR="00EB03CD">
        <w:rPr>
          <w:szCs w:val="26"/>
        </w:rPr>
        <w:t>in conflict</w:t>
      </w:r>
      <w:r w:rsidRPr="00CA1A65" w:rsidR="00872BD7">
        <w:rPr>
          <w:szCs w:val="26"/>
        </w:rPr>
        <w:t>, supported conviction</w:t>
      </w:r>
      <w:r w:rsidRPr="00CA1A65" w:rsidR="00EB03CD">
        <w:rPr>
          <w:szCs w:val="26"/>
        </w:rPr>
        <w:t>.  We said, “[i]f a trial judge is convinced that the only purpose to be served by a trial or a retrial is harassment of the defendant,” that judge “should be permitted to dismiss notwithstanding the fact that there is sufficient evidence of guilt, however weak, to sustain a conviction on appeal.”  (</w:t>
      </w:r>
      <w:r w:rsidRPr="00CA1A65" w:rsidR="00EB03CD">
        <w:rPr>
          <w:i/>
          <w:iCs/>
          <w:szCs w:val="26"/>
        </w:rPr>
        <w:t xml:space="preserve">Id. </w:t>
      </w:r>
      <w:r w:rsidRPr="00CA1A65" w:rsidR="00EB03CD">
        <w:rPr>
          <w:szCs w:val="26"/>
        </w:rPr>
        <w:t>at p.</w:t>
      </w:r>
      <w:r w:rsidRPr="00CA1A65" w:rsidR="00EB03CD">
        <w:rPr>
          <w:i/>
          <w:iCs/>
          <w:szCs w:val="26"/>
        </w:rPr>
        <w:t xml:space="preserve"> </w:t>
      </w:r>
      <w:r w:rsidRPr="00CA1A65" w:rsidR="00EB03CD">
        <w:rPr>
          <w:szCs w:val="26"/>
        </w:rPr>
        <w:t>504.)  We continued, “[t]he Legislature has given the trial court the power to dismiss under the broad standard of justice, and in view of the high caliber of our trial judges and their responsibility to the electorate we believe that recognition of such power in cases of conflicting evidence will not result in abuse but to the contrary believe that the due exercise of the power to dismiss in proper cases of conflicting evidence will further justice.”  (</w:t>
      </w:r>
      <w:r w:rsidRPr="00CA1A65" w:rsidR="00EB03CD">
        <w:rPr>
          <w:i/>
          <w:iCs/>
          <w:szCs w:val="26"/>
        </w:rPr>
        <w:t>Ibid.</w:t>
      </w:r>
      <w:r w:rsidRPr="00CA1A65" w:rsidR="00EB03CD">
        <w:rPr>
          <w:szCs w:val="26"/>
        </w:rPr>
        <w:t>)  We then offered case-specific and defendant-specific factors for trial courts to consider when contemplating dismissal in these circumstances.  (</w:t>
      </w:r>
      <w:r w:rsidRPr="00CA1A65" w:rsidR="00EB03CD">
        <w:rPr>
          <w:i/>
          <w:iCs/>
          <w:szCs w:val="26"/>
        </w:rPr>
        <w:t>Id.</w:t>
      </w:r>
      <w:r w:rsidRPr="00CA1A65" w:rsidR="00EB03CD">
        <w:rPr>
          <w:szCs w:val="26"/>
        </w:rPr>
        <w:t xml:space="preserve"> at p. 505.)  These factors include “the evidence indicative of guilt or innocence, the nature of the crime involved, the fact that the defendant has or has not been incarcerated in prison awaiting trial and the length of such incarceration, the possible harassment and burdens imposed upon the defendant by a retrial, and the likelihood, if any, that additional evidence will be presented upon a retrial.  When the balance falls clearly in favor of the defendant, a trial court not only may but should exercise the powers granted . . . by the Legislature and grant a dismissal in the interests of justice.”  (</w:t>
      </w:r>
      <w:r w:rsidRPr="00CA1A65" w:rsidR="00EB03CD">
        <w:rPr>
          <w:i/>
          <w:iCs/>
          <w:szCs w:val="26"/>
        </w:rPr>
        <w:t>Ibid.</w:t>
      </w:r>
      <w:r w:rsidRPr="00CA1A65" w:rsidR="00EB03CD">
        <w:rPr>
          <w:szCs w:val="26"/>
        </w:rPr>
        <w:t xml:space="preserve">)  </w:t>
      </w:r>
      <w:r w:rsidR="00EE48DC">
        <w:rPr>
          <w:szCs w:val="26"/>
        </w:rPr>
        <w:t xml:space="preserve">Later, in </w:t>
      </w:r>
      <w:r w:rsidRPr="00BE4185" w:rsidR="00EE48DC">
        <w:rPr>
          <w:i/>
          <w:iCs/>
          <w:szCs w:val="26"/>
        </w:rPr>
        <w:t>Orin</w:t>
      </w:r>
      <w:r w:rsidR="00EE48DC">
        <w:rPr>
          <w:szCs w:val="26"/>
        </w:rPr>
        <w:t xml:space="preserve">, we noted </w:t>
      </w:r>
      <w:r w:rsidRPr="00CA1A65" w:rsidR="00EB03CD">
        <w:rPr>
          <w:szCs w:val="26"/>
        </w:rPr>
        <w:t>“</w:t>
      </w:r>
      <w:r w:rsidR="00EE48DC">
        <w:rPr>
          <w:szCs w:val="26"/>
        </w:rPr>
        <w:t>[i</w:t>
      </w:r>
      <w:r w:rsidR="00410C7E">
        <w:rPr>
          <w:szCs w:val="26"/>
        </w:rPr>
        <w:t>]</w:t>
      </w:r>
      <w:r w:rsidRPr="00CA1A65" w:rsidR="00EB03CD">
        <w:rPr>
          <w:szCs w:val="26"/>
        </w:rPr>
        <w:t>t has been said that some of these factors apply as well to dismissals before trial.”  (</w:t>
      </w:r>
      <w:r w:rsidRPr="00CA1A65" w:rsidR="00EB03CD">
        <w:rPr>
          <w:i/>
          <w:iCs/>
          <w:szCs w:val="26"/>
        </w:rPr>
        <w:t>Orin</w:t>
      </w:r>
      <w:r w:rsidRPr="00CA1A65" w:rsidR="00EB03CD">
        <w:rPr>
          <w:szCs w:val="26"/>
        </w:rPr>
        <w:t xml:space="preserve">, </w:t>
      </w:r>
      <w:r w:rsidRPr="00CA1A65" w:rsidR="00EB03CD">
        <w:rPr>
          <w:i/>
          <w:iCs/>
          <w:szCs w:val="26"/>
        </w:rPr>
        <w:t>supra</w:t>
      </w:r>
      <w:r w:rsidRPr="00CA1A65" w:rsidR="00EB03CD">
        <w:rPr>
          <w:szCs w:val="26"/>
        </w:rPr>
        <w:t xml:space="preserve">, 13 Cal.3d at </w:t>
      </w:r>
      <w:r w:rsidRPr="00FC7025" w:rsidR="00EB03CD">
        <w:rPr>
          <w:szCs w:val="26"/>
        </w:rPr>
        <w:t>p. 946, citing</w:t>
      </w:r>
      <w:r w:rsidRPr="00FC7025" w:rsidR="00FC7025">
        <w:rPr>
          <w:i/>
          <w:iCs/>
          <w:szCs w:val="26"/>
        </w:rPr>
        <w:t xml:space="preserve"> People v. Ritchie</w:t>
      </w:r>
      <w:r w:rsidRPr="00FC7025" w:rsidR="00FC7025">
        <w:rPr>
          <w:szCs w:val="26"/>
        </w:rPr>
        <w:t xml:space="preserve"> (1971) 17 Cal.App.3d 1098, 1105</w:t>
      </w:r>
      <w:r w:rsidRPr="00FC7025" w:rsidR="00EB03CD">
        <w:rPr>
          <w:szCs w:val="26"/>
        </w:rPr>
        <w:t>.)</w:t>
      </w:r>
      <w:r w:rsidRPr="00CA1A65" w:rsidR="00EB03CD">
        <w:rPr>
          <w:szCs w:val="26"/>
        </w:rPr>
        <w:t xml:space="preserve">  </w:t>
      </w:r>
      <w:r w:rsidRPr="00CA1A65" w:rsidR="00343A26">
        <w:rPr>
          <w:szCs w:val="26"/>
        </w:rPr>
        <w:t xml:space="preserve">In </w:t>
      </w:r>
      <w:r w:rsidRPr="00CA1A65" w:rsidR="00343A26">
        <w:rPr>
          <w:i/>
          <w:iCs/>
          <w:szCs w:val="26"/>
        </w:rPr>
        <w:t>Orin</w:t>
      </w:r>
      <w:r w:rsidRPr="00CA1A65" w:rsidR="00343A26">
        <w:rPr>
          <w:szCs w:val="26"/>
        </w:rPr>
        <w:t xml:space="preserve">, we rejected a trial court’s </w:t>
      </w:r>
      <w:r w:rsidRPr="00CA1A65" w:rsidR="002038F7">
        <w:rPr>
          <w:szCs w:val="26"/>
        </w:rPr>
        <w:t xml:space="preserve">unexplained </w:t>
      </w:r>
      <w:r w:rsidRPr="00CA1A65" w:rsidR="00343A26">
        <w:rPr>
          <w:szCs w:val="26"/>
        </w:rPr>
        <w:t xml:space="preserve">use of section 1385 to dismiss </w:t>
      </w:r>
      <w:r w:rsidRPr="00CA1A65" w:rsidR="002038F7">
        <w:rPr>
          <w:szCs w:val="26"/>
        </w:rPr>
        <w:t>two</w:t>
      </w:r>
      <w:r w:rsidRPr="00CA1A65" w:rsidR="00343A26">
        <w:rPr>
          <w:szCs w:val="26"/>
        </w:rPr>
        <w:t xml:space="preserve"> </w:t>
      </w:r>
      <w:r w:rsidRPr="00CA1A65" w:rsidR="000C727E">
        <w:rPr>
          <w:szCs w:val="26"/>
        </w:rPr>
        <w:t xml:space="preserve">properly charged </w:t>
      </w:r>
      <w:r w:rsidRPr="00CA1A65" w:rsidR="00343A26">
        <w:rPr>
          <w:szCs w:val="26"/>
        </w:rPr>
        <w:t>criminal count</w:t>
      </w:r>
      <w:r w:rsidRPr="00CA1A65" w:rsidR="002038F7">
        <w:rPr>
          <w:szCs w:val="26"/>
        </w:rPr>
        <w:t>s</w:t>
      </w:r>
      <w:r w:rsidRPr="00CA1A65" w:rsidR="00343A26">
        <w:rPr>
          <w:szCs w:val="26"/>
        </w:rPr>
        <w:t xml:space="preserve"> </w:t>
      </w:r>
      <w:r w:rsidRPr="00CA1A65" w:rsidR="00F07E81">
        <w:rPr>
          <w:szCs w:val="26"/>
        </w:rPr>
        <w:t xml:space="preserve">where there was probable cause of guilt </w:t>
      </w:r>
      <w:r w:rsidRPr="00CA1A65" w:rsidR="002038F7">
        <w:rPr>
          <w:szCs w:val="26"/>
        </w:rPr>
        <w:t>“simply because defendant entered a plea of guilty to” another count.  (</w:t>
      </w:r>
      <w:r w:rsidRPr="00CA1A65" w:rsidR="002038F7">
        <w:rPr>
          <w:i/>
          <w:iCs/>
          <w:szCs w:val="26"/>
        </w:rPr>
        <w:t>Orin</w:t>
      </w:r>
      <w:r w:rsidRPr="00CA1A65" w:rsidR="002038F7">
        <w:rPr>
          <w:szCs w:val="26"/>
        </w:rPr>
        <w:t>, at p</w:t>
      </w:r>
      <w:r w:rsidRPr="00CA1A65" w:rsidR="00F07E81">
        <w:rPr>
          <w:szCs w:val="26"/>
        </w:rPr>
        <w:t>p</w:t>
      </w:r>
      <w:r w:rsidRPr="00CA1A65" w:rsidR="002038F7">
        <w:rPr>
          <w:szCs w:val="26"/>
        </w:rPr>
        <w:t xml:space="preserve">. </w:t>
      </w:r>
      <w:r w:rsidRPr="00CA1A65" w:rsidR="00F07E81">
        <w:rPr>
          <w:szCs w:val="26"/>
        </w:rPr>
        <w:t>947–</w:t>
      </w:r>
      <w:r w:rsidRPr="00CA1A65" w:rsidR="002038F7">
        <w:rPr>
          <w:szCs w:val="26"/>
        </w:rPr>
        <w:t xml:space="preserve">948.)  </w:t>
      </w:r>
      <w:r w:rsidR="00EE48DC">
        <w:rPr>
          <w:szCs w:val="26"/>
        </w:rPr>
        <w:t>However, i</w:t>
      </w:r>
      <w:r w:rsidRPr="00CA1A65">
        <w:rPr>
          <w:szCs w:val="26"/>
        </w:rPr>
        <w:t xml:space="preserve">n reaching our conclusion we </w:t>
      </w:r>
      <w:r w:rsidRPr="00CA1A65" w:rsidR="00DB434D">
        <w:rPr>
          <w:szCs w:val="26"/>
        </w:rPr>
        <w:t xml:space="preserve">nonetheless </w:t>
      </w:r>
      <w:r w:rsidRPr="00CA1A65">
        <w:rPr>
          <w:szCs w:val="26"/>
        </w:rPr>
        <w:t>noted</w:t>
      </w:r>
      <w:r w:rsidRPr="00CA1A65" w:rsidR="00DB434D">
        <w:rPr>
          <w:szCs w:val="26"/>
        </w:rPr>
        <w:t xml:space="preserve"> </w:t>
      </w:r>
      <w:r w:rsidRPr="00CA1A65" w:rsidR="006C54A4">
        <w:rPr>
          <w:szCs w:val="26"/>
        </w:rPr>
        <w:t xml:space="preserve">that </w:t>
      </w:r>
      <w:r w:rsidRPr="00CA1A65" w:rsidR="00987FE0">
        <w:rPr>
          <w:szCs w:val="26"/>
        </w:rPr>
        <w:t>dismissal</w:t>
      </w:r>
      <w:r w:rsidRPr="00CA1A65" w:rsidR="00C00769">
        <w:rPr>
          <w:szCs w:val="26"/>
        </w:rPr>
        <w:t>s</w:t>
      </w:r>
      <w:r w:rsidRPr="00CA1A65" w:rsidR="00987FE0">
        <w:rPr>
          <w:szCs w:val="26"/>
        </w:rPr>
        <w:t xml:space="preserve"> </w:t>
      </w:r>
      <w:r w:rsidRPr="00CA1A65" w:rsidR="00F07E81">
        <w:rPr>
          <w:szCs w:val="26"/>
        </w:rPr>
        <w:t>in th</w:t>
      </w:r>
      <w:r w:rsidRPr="00CA1A65" w:rsidR="008E7B8A">
        <w:rPr>
          <w:szCs w:val="26"/>
        </w:rPr>
        <w:t>at</w:t>
      </w:r>
      <w:r w:rsidRPr="00CA1A65" w:rsidR="00F07E81">
        <w:rPr>
          <w:szCs w:val="26"/>
        </w:rPr>
        <w:t xml:space="preserve"> context </w:t>
      </w:r>
      <w:r w:rsidRPr="00CA1A65" w:rsidR="00987FE0">
        <w:rPr>
          <w:szCs w:val="26"/>
        </w:rPr>
        <w:t>could be appropriate if a trial court’s discretion were “reasonably exercised” and “in the furtherance of justice.”  (</w:t>
      </w:r>
      <w:r w:rsidRPr="00CA1A65" w:rsidR="00987FE0">
        <w:rPr>
          <w:i/>
          <w:iCs/>
          <w:szCs w:val="26"/>
        </w:rPr>
        <w:t>Id.</w:t>
      </w:r>
      <w:r w:rsidRPr="00CA1A65" w:rsidR="00987FE0">
        <w:rPr>
          <w:szCs w:val="26"/>
        </w:rPr>
        <w:t xml:space="preserve"> at p. 949.)</w:t>
      </w:r>
    </w:p>
    <w:p w:rsidR="0045795E" w:rsidRPr="00CA1A65" w:rsidP="00CA1A65" w14:paraId="1DF10685" w14:textId="77777777">
      <w:pPr>
        <w:rPr>
          <w:szCs w:val="26"/>
        </w:rPr>
      </w:pPr>
      <w:r w:rsidRPr="00CA1A65">
        <w:rPr>
          <w:szCs w:val="26"/>
        </w:rPr>
        <w:tab/>
      </w:r>
      <w:r w:rsidR="00EE48DC">
        <w:rPr>
          <w:szCs w:val="26"/>
        </w:rPr>
        <w:t>In</w:t>
      </w:r>
      <w:r w:rsidRPr="00CA1A65" w:rsidR="00EE48DC">
        <w:rPr>
          <w:szCs w:val="26"/>
        </w:rPr>
        <w:t xml:space="preserve"> </w:t>
      </w:r>
      <w:r w:rsidRPr="00CA1A65" w:rsidR="00F76E5D">
        <w:rPr>
          <w:szCs w:val="26"/>
        </w:rPr>
        <w:t xml:space="preserve">evaluating evidence of guilt and the nature of a defendant’s criminal activity in the context of a section 1385 dismissal, a defendant’s level of culpability </w:t>
      </w:r>
      <w:r w:rsidRPr="00CA1A65">
        <w:rPr>
          <w:szCs w:val="26"/>
        </w:rPr>
        <w:t>is relevant</w:t>
      </w:r>
      <w:r w:rsidRPr="00CA1A65" w:rsidR="00F76E5D">
        <w:rPr>
          <w:szCs w:val="26"/>
        </w:rPr>
        <w:t>.  Indeed, “</w:t>
      </w:r>
      <w:r w:rsidR="00AC071A">
        <w:rPr>
          <w:szCs w:val="26"/>
        </w:rPr>
        <w:t> ‘[</w:t>
      </w:r>
      <w:r w:rsidRPr="00CA1A65" w:rsidR="00F76E5D">
        <w:rPr>
          <w:szCs w:val="26"/>
        </w:rPr>
        <w:t>m</w:t>
      </w:r>
      <w:r w:rsidR="00AC071A">
        <w:rPr>
          <w:szCs w:val="26"/>
        </w:rPr>
        <w:t>]</w:t>
      </w:r>
      <w:r w:rsidRPr="00CA1A65" w:rsidR="00F76E5D">
        <w:rPr>
          <w:szCs w:val="26"/>
        </w:rPr>
        <w:t>odern penal law is founded on moral culpability” and “</w:t>
      </w:r>
      <w:r w:rsidR="00AC071A">
        <w:rPr>
          <w:szCs w:val="26"/>
        </w:rPr>
        <w:t> </w:t>
      </w:r>
      <w:r w:rsidRPr="00CA1A65" w:rsidR="00F76E5D">
        <w:rPr>
          <w:szCs w:val="26"/>
        </w:rPr>
        <w:t>‘[o]ur collective conscience does not allow punishment where it cannot impose blame.’</w:t>
      </w:r>
      <w:r w:rsidR="00AC071A">
        <w:rPr>
          <w:szCs w:val="26"/>
        </w:rPr>
        <w:t> </w:t>
      </w:r>
      <w:r w:rsidRPr="00CA1A65" w:rsidR="00F76E5D">
        <w:rPr>
          <w:szCs w:val="26"/>
        </w:rPr>
        <w:t>”  (</w:t>
      </w:r>
      <w:r w:rsidRPr="00CA1A65" w:rsidR="00F76E5D">
        <w:rPr>
          <w:i/>
          <w:iCs/>
          <w:szCs w:val="26"/>
        </w:rPr>
        <w:t>People v. Roberts</w:t>
      </w:r>
      <w:r w:rsidRPr="00CA1A65" w:rsidR="00F76E5D">
        <w:rPr>
          <w:szCs w:val="26"/>
        </w:rPr>
        <w:t xml:space="preserve"> (1992) 2 Cal.4th 271, 316.)  </w:t>
      </w:r>
      <w:r w:rsidRPr="00CA1A65" w:rsidR="002C7620">
        <w:rPr>
          <w:szCs w:val="26"/>
        </w:rPr>
        <w:t>W</w:t>
      </w:r>
      <w:r w:rsidRPr="00CA1A65" w:rsidR="000752EF">
        <w:rPr>
          <w:szCs w:val="26"/>
        </w:rPr>
        <w:t xml:space="preserve">e </w:t>
      </w:r>
      <w:r w:rsidRPr="00CA1A65" w:rsidR="002C7620">
        <w:rPr>
          <w:szCs w:val="26"/>
        </w:rPr>
        <w:t xml:space="preserve">have </w:t>
      </w:r>
      <w:r w:rsidRPr="00CA1A65" w:rsidR="000752EF">
        <w:rPr>
          <w:szCs w:val="26"/>
        </w:rPr>
        <w:t xml:space="preserve">remarked that </w:t>
      </w:r>
      <w:r w:rsidRPr="00CA1A65">
        <w:rPr>
          <w:szCs w:val="26"/>
        </w:rPr>
        <w:t xml:space="preserve">many of the </w:t>
      </w:r>
      <w:r w:rsidRPr="00CA1A65">
        <w:rPr>
          <w:i/>
          <w:iCs/>
          <w:szCs w:val="26"/>
        </w:rPr>
        <w:t>Howard</w:t>
      </w:r>
      <w:r w:rsidRPr="00CA1A65">
        <w:rPr>
          <w:szCs w:val="26"/>
        </w:rPr>
        <w:t xml:space="preserve"> </w:t>
      </w:r>
      <w:r w:rsidRPr="00CA1A65" w:rsidR="000752EF">
        <w:rPr>
          <w:szCs w:val="26"/>
        </w:rPr>
        <w:t xml:space="preserve">factors are “mirror[ed]” by </w:t>
      </w:r>
      <w:r w:rsidRPr="00CA1A65" w:rsidR="001D74DF">
        <w:rPr>
          <w:szCs w:val="26"/>
        </w:rPr>
        <w:t>the mitigating circumstances set forth in the California Rules of Court, rule 4.423, that might appropriately permit a trial court, at sentencing after a finding of guilt, to select and impose a lesser term of confinement.  (</w:t>
      </w:r>
      <w:r w:rsidRPr="00CA1A65" w:rsidR="002C7620">
        <w:rPr>
          <w:i/>
          <w:iCs/>
          <w:szCs w:val="26"/>
        </w:rPr>
        <w:t>People v. Thomas</w:t>
      </w:r>
      <w:r w:rsidRPr="00CA1A65" w:rsidR="002C7620">
        <w:rPr>
          <w:szCs w:val="26"/>
        </w:rPr>
        <w:t xml:space="preserve"> (1992) 4 Cal.4th 206, </w:t>
      </w:r>
      <w:r w:rsidR="00B40F51">
        <w:rPr>
          <w:szCs w:val="26"/>
        </w:rPr>
        <w:t xml:space="preserve">212; see </w:t>
      </w:r>
      <w:r w:rsidR="00B40F51">
        <w:rPr>
          <w:i/>
          <w:iCs/>
          <w:szCs w:val="26"/>
        </w:rPr>
        <w:t>id.</w:t>
      </w:r>
      <w:r w:rsidR="00B40F51">
        <w:rPr>
          <w:szCs w:val="26"/>
        </w:rPr>
        <w:t xml:space="preserve"> at pp.</w:t>
      </w:r>
      <w:r w:rsidR="00B40F51">
        <w:rPr>
          <w:i/>
          <w:iCs/>
          <w:szCs w:val="26"/>
        </w:rPr>
        <w:t xml:space="preserve"> </w:t>
      </w:r>
      <w:r w:rsidRPr="00CA1A65" w:rsidR="002C7620">
        <w:rPr>
          <w:szCs w:val="26"/>
        </w:rPr>
        <w:t>211–212 [</w:t>
      </w:r>
      <w:r w:rsidRPr="00CA1A65" w:rsidR="001D74DF">
        <w:rPr>
          <w:szCs w:val="26"/>
        </w:rPr>
        <w:t xml:space="preserve">referring to the previous rule on this topic, </w:t>
      </w:r>
      <w:r w:rsidR="004213A1">
        <w:rPr>
          <w:szCs w:val="26"/>
        </w:rPr>
        <w:t xml:space="preserve">Cal. Rules of Court, </w:t>
      </w:r>
      <w:r w:rsidRPr="00CA1A65" w:rsidR="001D74DF">
        <w:rPr>
          <w:szCs w:val="26"/>
        </w:rPr>
        <w:t xml:space="preserve">former rule 423].)  </w:t>
      </w:r>
      <w:r w:rsidRPr="00CA1A65">
        <w:rPr>
          <w:szCs w:val="26"/>
        </w:rPr>
        <w:t>These rule-based mitigating circumstances included</w:t>
      </w:r>
      <w:r w:rsidRPr="00CA1A65" w:rsidR="002C7620">
        <w:rPr>
          <w:szCs w:val="26"/>
        </w:rPr>
        <w:t xml:space="preserve"> matters tied to culpability, including</w:t>
      </w:r>
      <w:r w:rsidRPr="00CA1A65">
        <w:rPr>
          <w:szCs w:val="26"/>
        </w:rPr>
        <w:t xml:space="preserve"> “facts relating to the crime (such as defendant’s minor role or laudable motive in the offense, the small likelihood of its recurrence, the presence of duress or coercion by others, or a mistaken claim of right by the defendant), and facts relating to the defendant (including [an] insignificant prior record, mental or physical condition reducing </w:t>
      </w:r>
      <w:r w:rsidR="000613E5">
        <w:rPr>
          <w:szCs w:val="26"/>
        </w:rPr>
        <w:t>. . .</w:t>
      </w:r>
      <w:r w:rsidRPr="00CA1A65">
        <w:rPr>
          <w:szCs w:val="26"/>
        </w:rPr>
        <w:t xml:space="preserve"> culpability, or restitution or satisfactory performance on probation or parole).”  (</w:t>
      </w:r>
      <w:r w:rsidR="009F0A50">
        <w:rPr>
          <w:i/>
          <w:iCs/>
          <w:szCs w:val="26"/>
        </w:rPr>
        <w:t>Thomas</w:t>
      </w:r>
      <w:r w:rsidR="009F0A50">
        <w:rPr>
          <w:szCs w:val="26"/>
        </w:rPr>
        <w:t>,</w:t>
      </w:r>
      <w:r w:rsidRPr="00CA1A65">
        <w:rPr>
          <w:szCs w:val="26"/>
        </w:rPr>
        <w:t xml:space="preserve"> at pp. 211–212; cf. Cal. Rules of Court, rule 4.423(a)(1) [a mitigating circumstance includes when “[t]he defendant was a passive participant or played a minor role in the crime”].)  </w:t>
      </w:r>
    </w:p>
    <w:p w:rsidR="00D949DD" w:rsidRPr="00CA1A65" w:rsidP="00CA1A65" w14:paraId="1DF10686" w14:textId="77777777">
      <w:pPr>
        <w:rPr>
          <w:szCs w:val="26"/>
        </w:rPr>
      </w:pPr>
      <w:r w:rsidRPr="00CA1A65">
        <w:rPr>
          <w:szCs w:val="26"/>
        </w:rPr>
        <w:tab/>
      </w:r>
      <w:r w:rsidRPr="00CA1A65" w:rsidR="00916885">
        <w:rPr>
          <w:szCs w:val="26"/>
        </w:rPr>
        <w:t>C</w:t>
      </w:r>
      <w:r w:rsidRPr="00CA1A65">
        <w:rPr>
          <w:szCs w:val="26"/>
        </w:rPr>
        <w:t>ulpability has</w:t>
      </w:r>
      <w:r w:rsidRPr="00CA1A65" w:rsidR="00916885">
        <w:rPr>
          <w:szCs w:val="26"/>
        </w:rPr>
        <w:t>, in practice,</w:t>
      </w:r>
      <w:r w:rsidRPr="00CA1A65">
        <w:rPr>
          <w:szCs w:val="26"/>
        </w:rPr>
        <w:t xml:space="preserve"> played a role in our section 1385 cases considering evidence of guilt or the nature of an offense.  </w:t>
      </w:r>
      <w:r w:rsidRPr="00CA1A65" w:rsidR="00F76E5D">
        <w:rPr>
          <w:szCs w:val="26"/>
        </w:rPr>
        <w:t xml:space="preserve">In </w:t>
      </w:r>
      <w:r w:rsidRPr="00CA1A65" w:rsidR="00F76E5D">
        <w:rPr>
          <w:i/>
          <w:iCs/>
          <w:szCs w:val="26"/>
        </w:rPr>
        <w:t>Williams</w:t>
      </w:r>
      <w:r w:rsidR="00F33C94">
        <w:rPr>
          <w:i/>
          <w:iCs/>
          <w:szCs w:val="26"/>
        </w:rPr>
        <w:t xml:space="preserve"> I</w:t>
      </w:r>
      <w:r w:rsidRPr="00CA1A65" w:rsidR="00F76E5D">
        <w:rPr>
          <w:szCs w:val="26"/>
        </w:rPr>
        <w:t>,</w:t>
      </w:r>
      <w:r w:rsidRPr="00CA1A65" w:rsidR="00F76E5D">
        <w:rPr>
          <w:i/>
          <w:iCs/>
          <w:szCs w:val="26"/>
        </w:rPr>
        <w:t xml:space="preserve"> supra</w:t>
      </w:r>
      <w:r w:rsidRPr="00CA1A65" w:rsidR="00F76E5D">
        <w:rPr>
          <w:szCs w:val="26"/>
        </w:rPr>
        <w:t>, 30 Cal.3d 470, we held a trial court could dismiss, after trial in a murder case, an evidence-supported special circumstance finding that would have subjected a defendant to a mandatory life sentence without the possibility of parole.  The trial court could consider the “facts of the offense,” such as the defendant’s reduced culpability and criminal intent as compared to codefendants, so that “the punishment [could] fit the crime as well as the perpetrator.”  (</w:t>
      </w:r>
      <w:r w:rsidRPr="00CA1A65" w:rsidR="00F76E5D">
        <w:rPr>
          <w:i/>
          <w:iCs/>
          <w:szCs w:val="26"/>
        </w:rPr>
        <w:t>Id.</w:t>
      </w:r>
      <w:r w:rsidRPr="00CA1A65" w:rsidR="00F76E5D">
        <w:rPr>
          <w:szCs w:val="26"/>
        </w:rPr>
        <w:t xml:space="preserve"> at p. 489</w:t>
      </w:r>
      <w:r w:rsidR="00825597">
        <w:rPr>
          <w:szCs w:val="26"/>
        </w:rPr>
        <w:t xml:space="preserve">; see </w:t>
      </w:r>
      <w:r w:rsidR="00825597">
        <w:rPr>
          <w:i/>
          <w:iCs/>
          <w:szCs w:val="26"/>
        </w:rPr>
        <w:t>id</w:t>
      </w:r>
      <w:r w:rsidR="00825597">
        <w:rPr>
          <w:szCs w:val="26"/>
        </w:rPr>
        <w:t xml:space="preserve">. at pp. </w:t>
      </w:r>
      <w:r w:rsidRPr="00CA1A65" w:rsidR="00825597">
        <w:rPr>
          <w:szCs w:val="26"/>
        </w:rPr>
        <w:t>485, 489–490</w:t>
      </w:r>
      <w:r w:rsidRPr="00CA1A65" w:rsidR="00F76E5D">
        <w:rPr>
          <w:szCs w:val="26"/>
        </w:rPr>
        <w:t>.)</w:t>
      </w:r>
      <w:r>
        <w:rPr>
          <w:rStyle w:val="FootnoteReference"/>
          <w:szCs w:val="26"/>
        </w:rPr>
        <w:footnoteReference w:id="15"/>
      </w:r>
      <w:r w:rsidRPr="00CA1A65" w:rsidR="00F76E5D">
        <w:rPr>
          <w:szCs w:val="26"/>
        </w:rPr>
        <w:t xml:space="preserve">  Likewise, in </w:t>
      </w:r>
      <w:r w:rsidRPr="00CA1A65" w:rsidR="00806EE0">
        <w:rPr>
          <w:szCs w:val="26"/>
        </w:rPr>
        <w:t xml:space="preserve">cases involving the </w:t>
      </w:r>
      <w:r w:rsidRPr="00CA1A65" w:rsidR="006C227B">
        <w:rPr>
          <w:szCs w:val="26"/>
        </w:rPr>
        <w:t>previously</w:t>
      </w:r>
      <w:r w:rsidR="003978AB">
        <w:rPr>
          <w:szCs w:val="26"/>
        </w:rPr>
        <w:t xml:space="preserve"> </w:t>
      </w:r>
      <w:r w:rsidRPr="00CA1A65" w:rsidR="006C227B">
        <w:rPr>
          <w:szCs w:val="26"/>
        </w:rPr>
        <w:t xml:space="preserve">mentioned </w:t>
      </w:r>
      <w:r w:rsidRPr="00CA1A65" w:rsidR="00806EE0">
        <w:rPr>
          <w:szCs w:val="26"/>
        </w:rPr>
        <w:t>three strikes law, “generally applicable sentencing principles,” including culpability, may inform the trial court’s discretion</w:t>
      </w:r>
      <w:r w:rsidRPr="00CA1A65" w:rsidR="006C227B">
        <w:rPr>
          <w:szCs w:val="26"/>
        </w:rPr>
        <w:t xml:space="preserve"> to dismiss prior strike convictions that would otherwise enhance a sentence</w:t>
      </w:r>
      <w:r w:rsidRPr="00CA1A65" w:rsidR="00806EE0">
        <w:rPr>
          <w:szCs w:val="26"/>
        </w:rPr>
        <w:t>.  (</w:t>
      </w:r>
      <w:r w:rsidRPr="00CA1A65" w:rsidR="00806EE0">
        <w:rPr>
          <w:i/>
          <w:iCs/>
          <w:szCs w:val="26"/>
        </w:rPr>
        <w:t>Williams</w:t>
      </w:r>
      <w:r w:rsidR="00F33C94">
        <w:rPr>
          <w:i/>
          <w:iCs/>
          <w:szCs w:val="26"/>
        </w:rPr>
        <w:t xml:space="preserve"> II</w:t>
      </w:r>
      <w:r w:rsidRPr="00CA1A65" w:rsidR="00806EE0">
        <w:rPr>
          <w:szCs w:val="26"/>
        </w:rPr>
        <w:t xml:space="preserve">, </w:t>
      </w:r>
      <w:r w:rsidRPr="00CA1A65" w:rsidR="00806EE0">
        <w:rPr>
          <w:i/>
          <w:iCs/>
          <w:szCs w:val="26"/>
        </w:rPr>
        <w:t>supra</w:t>
      </w:r>
      <w:r w:rsidRPr="00CA1A65" w:rsidR="00806EE0">
        <w:rPr>
          <w:szCs w:val="26"/>
        </w:rPr>
        <w:t xml:space="preserve">, 17 Cal.4th at pp. 160–161.)  </w:t>
      </w:r>
      <w:r w:rsidRPr="00CA1A65" w:rsidR="006C227B">
        <w:rPr>
          <w:szCs w:val="26"/>
        </w:rPr>
        <w:t>Thus, i</w:t>
      </w:r>
      <w:r w:rsidRPr="00CA1A65" w:rsidR="00C01670">
        <w:rPr>
          <w:szCs w:val="26"/>
        </w:rPr>
        <w:t xml:space="preserve">n </w:t>
      </w:r>
      <w:r w:rsidRPr="00CA1A65" w:rsidR="00C01670">
        <w:rPr>
          <w:i/>
          <w:iCs/>
          <w:szCs w:val="26"/>
        </w:rPr>
        <w:t>Williams</w:t>
      </w:r>
      <w:r w:rsidR="00F33C94">
        <w:rPr>
          <w:i/>
          <w:iCs/>
          <w:szCs w:val="26"/>
        </w:rPr>
        <w:t xml:space="preserve"> II</w:t>
      </w:r>
      <w:r w:rsidRPr="00CA1A65" w:rsidR="00C01670">
        <w:rPr>
          <w:szCs w:val="26"/>
        </w:rPr>
        <w:t xml:space="preserve">, </w:t>
      </w:r>
      <w:r w:rsidRPr="00CA1A65" w:rsidR="00AD787C">
        <w:rPr>
          <w:szCs w:val="26"/>
        </w:rPr>
        <w:t xml:space="preserve">declining </w:t>
      </w:r>
      <w:r w:rsidRPr="00CA1A65" w:rsidR="00C01670">
        <w:rPr>
          <w:szCs w:val="26"/>
        </w:rPr>
        <w:t>to dismiss a prior strike conviction was appropriate when the record “was devoid of mitigation.”  (</w:t>
      </w:r>
      <w:r w:rsidRPr="00CA1A65" w:rsidR="00C01670">
        <w:rPr>
          <w:i/>
          <w:iCs/>
          <w:szCs w:val="26"/>
        </w:rPr>
        <w:t>Id.</w:t>
      </w:r>
      <w:r w:rsidRPr="00CA1A65" w:rsidR="00C01670">
        <w:rPr>
          <w:szCs w:val="26"/>
        </w:rPr>
        <w:t xml:space="preserve"> at p. 163.)  </w:t>
      </w:r>
      <w:r w:rsidRPr="00CA1A65" w:rsidR="00806EE0">
        <w:rPr>
          <w:szCs w:val="26"/>
        </w:rPr>
        <w:t xml:space="preserve">In </w:t>
      </w:r>
      <w:r w:rsidRPr="00CA1A65" w:rsidR="00F76E5D">
        <w:rPr>
          <w:i/>
          <w:iCs/>
          <w:szCs w:val="26"/>
        </w:rPr>
        <w:t>Romero</w:t>
      </w:r>
      <w:r w:rsidRPr="00CA1A65" w:rsidR="00F76E5D">
        <w:rPr>
          <w:szCs w:val="26"/>
        </w:rPr>
        <w:t xml:space="preserve">, we </w:t>
      </w:r>
      <w:r w:rsidRPr="00CA1A65" w:rsidR="00C01670">
        <w:rPr>
          <w:szCs w:val="26"/>
        </w:rPr>
        <w:t xml:space="preserve">noted that “evidence relevant to the defendant’s culpability” would aid courts’ </w:t>
      </w:r>
      <w:r w:rsidRPr="00CA1A65" w:rsidR="001B00C5">
        <w:rPr>
          <w:szCs w:val="26"/>
        </w:rPr>
        <w:t>decisionmaking</w:t>
      </w:r>
      <w:r w:rsidRPr="00CA1A65" w:rsidR="00C01670">
        <w:rPr>
          <w:szCs w:val="26"/>
        </w:rPr>
        <w:t xml:space="preserve"> regarding dismissal of a prior strike conviction.  </w:t>
      </w:r>
      <w:r w:rsidRPr="00CA1A65" w:rsidR="00F76E5D">
        <w:rPr>
          <w:szCs w:val="26"/>
        </w:rPr>
        <w:t>(</w:t>
      </w:r>
      <w:r w:rsidRPr="00CA1A65" w:rsidR="00F76E5D">
        <w:rPr>
          <w:i/>
          <w:iCs/>
          <w:szCs w:val="26"/>
        </w:rPr>
        <w:t>Romero</w:t>
      </w:r>
      <w:r w:rsidRPr="00CA1A65" w:rsidR="00F76E5D">
        <w:rPr>
          <w:szCs w:val="26"/>
        </w:rPr>
        <w:t xml:space="preserve">, </w:t>
      </w:r>
      <w:r w:rsidRPr="00CA1A65" w:rsidR="00F76E5D">
        <w:rPr>
          <w:i/>
          <w:iCs/>
          <w:szCs w:val="26"/>
        </w:rPr>
        <w:t>supra</w:t>
      </w:r>
      <w:r w:rsidRPr="00CA1A65" w:rsidR="00F76E5D">
        <w:rPr>
          <w:szCs w:val="26"/>
        </w:rPr>
        <w:t xml:space="preserve">, 13 Cal.4th 497, 524, fn. 11.)  And in </w:t>
      </w:r>
      <w:r w:rsidRPr="00CA1A65" w:rsidR="00F76E5D">
        <w:rPr>
          <w:i/>
          <w:iCs/>
          <w:szCs w:val="26"/>
        </w:rPr>
        <w:t>People v. Vargas</w:t>
      </w:r>
      <w:r w:rsidRPr="00CA1A65" w:rsidR="00F76E5D">
        <w:rPr>
          <w:szCs w:val="26"/>
        </w:rPr>
        <w:t xml:space="preserve"> (2014) 59 Cal.4th 635, 648, we explained courts sentencing under the three strikes law could employ section 1385 dismissals to align punishment under that law with the “relative moral blameworthiness” of prior offenses.  </w:t>
      </w:r>
    </w:p>
    <w:p w:rsidR="00A41F75" w:rsidRPr="00CA1A65" w:rsidP="00CA1A65" w14:paraId="1DF10687" w14:textId="77777777">
      <w:pPr>
        <w:rPr>
          <w:szCs w:val="26"/>
        </w:rPr>
      </w:pPr>
      <w:r w:rsidRPr="00CA1A65">
        <w:rPr>
          <w:szCs w:val="26"/>
        </w:rPr>
        <w:tab/>
      </w:r>
      <w:r w:rsidRPr="00CA1A65">
        <w:rPr>
          <w:i/>
          <w:iCs/>
          <w:szCs w:val="26"/>
        </w:rPr>
        <w:t>Williams</w:t>
      </w:r>
      <w:r w:rsidR="00F33C94">
        <w:rPr>
          <w:i/>
          <w:iCs/>
          <w:szCs w:val="26"/>
        </w:rPr>
        <w:t xml:space="preserve"> I</w:t>
      </w:r>
      <w:r w:rsidRPr="00CA1A65">
        <w:rPr>
          <w:szCs w:val="26"/>
        </w:rPr>
        <w:t>,</w:t>
      </w:r>
      <w:r w:rsidRPr="00CA1A65">
        <w:rPr>
          <w:i/>
          <w:iCs/>
          <w:szCs w:val="26"/>
        </w:rPr>
        <w:t xml:space="preserve"> </w:t>
      </w:r>
      <w:r w:rsidR="00F33C94">
        <w:rPr>
          <w:i/>
          <w:iCs/>
          <w:szCs w:val="26"/>
        </w:rPr>
        <w:t xml:space="preserve">Williams II, </w:t>
      </w:r>
      <w:r w:rsidRPr="00CA1A65">
        <w:rPr>
          <w:i/>
          <w:iCs/>
          <w:szCs w:val="26"/>
        </w:rPr>
        <w:t>Romero</w:t>
      </w:r>
      <w:r w:rsidRPr="00CA1A65">
        <w:rPr>
          <w:szCs w:val="26"/>
        </w:rPr>
        <w:t xml:space="preserve">, and </w:t>
      </w:r>
      <w:r w:rsidRPr="00CA1A65">
        <w:rPr>
          <w:i/>
          <w:iCs/>
          <w:szCs w:val="26"/>
        </w:rPr>
        <w:t xml:space="preserve">Vargas </w:t>
      </w:r>
      <w:r w:rsidRPr="00CA1A65" w:rsidR="00EA056D">
        <w:rPr>
          <w:szCs w:val="26"/>
        </w:rPr>
        <w:t xml:space="preserve">considered culpability in the context of </w:t>
      </w:r>
      <w:r w:rsidRPr="00CA1A65">
        <w:rPr>
          <w:szCs w:val="26"/>
        </w:rPr>
        <w:t xml:space="preserve">striking special circumstance or enhancements at sentencing, while </w:t>
      </w:r>
      <w:r w:rsidRPr="00CA1A65">
        <w:rPr>
          <w:i/>
          <w:iCs/>
          <w:szCs w:val="26"/>
        </w:rPr>
        <w:t>Howard</w:t>
      </w:r>
      <w:r w:rsidRPr="00CA1A65">
        <w:rPr>
          <w:szCs w:val="26"/>
        </w:rPr>
        <w:t xml:space="preserve"> involved dismissal of an entire </w:t>
      </w:r>
      <w:r w:rsidR="00EE48DC">
        <w:rPr>
          <w:szCs w:val="26"/>
        </w:rPr>
        <w:t xml:space="preserve">criminal </w:t>
      </w:r>
      <w:r w:rsidRPr="00CA1A65">
        <w:rPr>
          <w:szCs w:val="26"/>
        </w:rPr>
        <w:t xml:space="preserve">charge after an initial trial with </w:t>
      </w:r>
      <w:r w:rsidRPr="00CA1A65" w:rsidR="00CB602B">
        <w:rPr>
          <w:szCs w:val="26"/>
        </w:rPr>
        <w:t xml:space="preserve">a guilty verdict but </w:t>
      </w:r>
      <w:r w:rsidRPr="00CA1A65">
        <w:rPr>
          <w:szCs w:val="26"/>
        </w:rPr>
        <w:t xml:space="preserve">conflicting evidence.  </w:t>
      </w:r>
      <w:r w:rsidRPr="00CA1A65" w:rsidR="00AF4378">
        <w:rPr>
          <w:szCs w:val="26"/>
        </w:rPr>
        <w:t>Additionally</w:t>
      </w:r>
      <w:r w:rsidRPr="00CA1A65" w:rsidR="00912649">
        <w:rPr>
          <w:szCs w:val="26"/>
        </w:rPr>
        <w:t>,</w:t>
      </w:r>
      <w:r w:rsidRPr="00CA1A65" w:rsidR="00AF4378">
        <w:rPr>
          <w:szCs w:val="26"/>
        </w:rPr>
        <w:t xml:space="preserve"> </w:t>
      </w:r>
      <w:r w:rsidRPr="00CA1A65">
        <w:rPr>
          <w:szCs w:val="26"/>
        </w:rPr>
        <w:t>our Courts of Appeal have long envisioned dismissals</w:t>
      </w:r>
      <w:r w:rsidRPr="00CA1A65" w:rsidR="00D1546A">
        <w:rPr>
          <w:szCs w:val="26"/>
        </w:rPr>
        <w:t xml:space="preserve"> of entire charges</w:t>
      </w:r>
      <w:r w:rsidRPr="00CA1A65">
        <w:rPr>
          <w:szCs w:val="26"/>
        </w:rPr>
        <w:t>, including</w:t>
      </w:r>
      <w:r w:rsidRPr="00CA1A65">
        <w:rPr>
          <w:i/>
          <w:iCs/>
          <w:szCs w:val="26"/>
        </w:rPr>
        <w:t xml:space="preserve"> </w:t>
      </w:r>
      <w:r w:rsidRPr="00BE4185" w:rsidR="00EE48DC">
        <w:rPr>
          <w:szCs w:val="26"/>
        </w:rPr>
        <w:t>dismissals</w:t>
      </w:r>
      <w:r w:rsidR="00EE48DC">
        <w:rPr>
          <w:i/>
          <w:iCs/>
          <w:szCs w:val="26"/>
        </w:rPr>
        <w:t xml:space="preserve"> </w:t>
      </w:r>
      <w:r w:rsidRPr="00CA1A65">
        <w:rPr>
          <w:szCs w:val="26"/>
        </w:rPr>
        <w:t>before trial</w:t>
      </w:r>
      <w:r w:rsidRPr="00CA1A65" w:rsidR="00CB5AD9">
        <w:rPr>
          <w:szCs w:val="26"/>
        </w:rPr>
        <w:t xml:space="preserve"> as </w:t>
      </w:r>
      <w:r w:rsidRPr="00CA1A65" w:rsidR="00CB5AD9">
        <w:rPr>
          <w:i/>
          <w:iCs/>
          <w:szCs w:val="26"/>
        </w:rPr>
        <w:t xml:space="preserve">Orin </w:t>
      </w:r>
      <w:r w:rsidRPr="00CA1A65" w:rsidR="00CB5AD9">
        <w:rPr>
          <w:szCs w:val="26"/>
        </w:rPr>
        <w:t>permits</w:t>
      </w:r>
      <w:r w:rsidRPr="00CA1A65">
        <w:rPr>
          <w:szCs w:val="26"/>
        </w:rPr>
        <w:t xml:space="preserve">, </w:t>
      </w:r>
      <w:r w:rsidRPr="00CA1A65" w:rsidR="003815E2">
        <w:rPr>
          <w:szCs w:val="26"/>
        </w:rPr>
        <w:t xml:space="preserve">that account </w:t>
      </w:r>
      <w:r w:rsidRPr="00CA1A65" w:rsidR="00D1546A">
        <w:rPr>
          <w:szCs w:val="26"/>
        </w:rPr>
        <w:t xml:space="preserve">for </w:t>
      </w:r>
      <w:r w:rsidRPr="00CA1A65">
        <w:rPr>
          <w:szCs w:val="26"/>
        </w:rPr>
        <w:t xml:space="preserve">individualized considerations </w:t>
      </w:r>
      <w:r w:rsidRPr="00CA1A65" w:rsidR="0023177E">
        <w:rPr>
          <w:szCs w:val="26"/>
        </w:rPr>
        <w:t xml:space="preserve">including </w:t>
      </w:r>
      <w:r w:rsidRPr="00CA1A65">
        <w:rPr>
          <w:szCs w:val="26"/>
        </w:rPr>
        <w:t xml:space="preserve">reduced culpability, despite </w:t>
      </w:r>
      <w:r w:rsidR="00EE48DC">
        <w:rPr>
          <w:szCs w:val="26"/>
        </w:rPr>
        <w:t xml:space="preserve">indications of </w:t>
      </w:r>
      <w:r w:rsidRPr="00CA1A65">
        <w:rPr>
          <w:szCs w:val="26"/>
        </w:rPr>
        <w:t>guilt.  (See</w:t>
      </w:r>
      <w:r w:rsidRPr="00CA1A65">
        <w:rPr>
          <w:i/>
          <w:iCs/>
          <w:szCs w:val="26"/>
        </w:rPr>
        <w:t xml:space="preserve"> Orin, supra, </w:t>
      </w:r>
      <w:r w:rsidRPr="00CA1A65">
        <w:rPr>
          <w:szCs w:val="26"/>
        </w:rPr>
        <w:t>13</w:t>
      </w:r>
      <w:r w:rsidRPr="00CA1A65">
        <w:rPr>
          <w:i/>
          <w:iCs/>
          <w:szCs w:val="26"/>
        </w:rPr>
        <w:t xml:space="preserve"> </w:t>
      </w:r>
      <w:r w:rsidRPr="00CA1A65">
        <w:rPr>
          <w:szCs w:val="26"/>
        </w:rPr>
        <w:t>Cal.3d</w:t>
      </w:r>
      <w:r w:rsidRPr="00CA1A65">
        <w:rPr>
          <w:i/>
          <w:iCs/>
          <w:szCs w:val="26"/>
        </w:rPr>
        <w:t xml:space="preserve"> </w:t>
      </w:r>
      <w:r w:rsidRPr="00CA1A65">
        <w:rPr>
          <w:szCs w:val="26"/>
        </w:rPr>
        <w:t xml:space="preserve">at p. 946 [noting application of the </w:t>
      </w:r>
      <w:r w:rsidRPr="00CA1A65">
        <w:rPr>
          <w:i/>
          <w:iCs/>
          <w:szCs w:val="26"/>
        </w:rPr>
        <w:t>Howard</w:t>
      </w:r>
      <w:r w:rsidRPr="00CA1A65">
        <w:rPr>
          <w:szCs w:val="26"/>
        </w:rPr>
        <w:t xml:space="preserve"> factors pretrial, before any determination of guilt].)  For example, in </w:t>
      </w:r>
      <w:r w:rsidRPr="00CA1A65">
        <w:rPr>
          <w:i/>
          <w:iCs/>
          <w:szCs w:val="26"/>
        </w:rPr>
        <w:t>People v. Cina</w:t>
      </w:r>
      <w:r w:rsidRPr="00CA1A65">
        <w:rPr>
          <w:szCs w:val="26"/>
        </w:rPr>
        <w:t xml:space="preserve"> (1974) 41 Cal.App.3d 136, the court suggested a trial court could consider, either before or after trial, dismissal of a marijuana cultivation charge </w:t>
      </w:r>
      <w:r w:rsidRPr="00CA1A65" w:rsidR="003815E2">
        <w:rPr>
          <w:szCs w:val="26"/>
        </w:rPr>
        <w:t>when</w:t>
      </w:r>
      <w:r w:rsidRPr="00CA1A65">
        <w:rPr>
          <w:szCs w:val="26"/>
        </w:rPr>
        <w:t xml:space="preserve"> the defendant grew only three plants in a backyard garden, which the appellate court deemed “petty when viewed in the total context of drug trafficking.”  (</w:t>
      </w:r>
      <w:r w:rsidRPr="00CA1A65">
        <w:rPr>
          <w:i/>
          <w:iCs/>
          <w:szCs w:val="26"/>
        </w:rPr>
        <w:t>Id.</w:t>
      </w:r>
      <w:r w:rsidRPr="00CA1A65">
        <w:rPr>
          <w:szCs w:val="26"/>
        </w:rPr>
        <w:t xml:space="preserve"> at p. 140.)  In </w:t>
      </w:r>
      <w:r w:rsidRPr="00CA1A65">
        <w:rPr>
          <w:i/>
          <w:iCs/>
          <w:szCs w:val="26"/>
        </w:rPr>
        <w:t>Bosco v. Justice Court</w:t>
      </w:r>
      <w:r w:rsidRPr="00CA1A65">
        <w:rPr>
          <w:szCs w:val="26"/>
        </w:rPr>
        <w:t xml:space="preserve"> (1978) 77 Cal.App.3d 179, the court stated that although a dental patient</w:t>
      </w:r>
      <w:r w:rsidRPr="00CA1A65" w:rsidR="00A25B09">
        <w:rPr>
          <w:szCs w:val="26"/>
        </w:rPr>
        <w:t>’s spouse</w:t>
      </w:r>
      <w:r w:rsidRPr="00CA1A65">
        <w:rPr>
          <w:szCs w:val="26"/>
        </w:rPr>
        <w:t xml:space="preserve"> who ingests one of the patient’s prescribed codeine tablets might violate a misdemeanor state drug law, “a judge would probably choose to dismiss the complaint in the interests of justice as being de minimis.”  (</w:t>
      </w:r>
      <w:r w:rsidRPr="00CA1A65">
        <w:rPr>
          <w:i/>
          <w:iCs/>
          <w:szCs w:val="26"/>
        </w:rPr>
        <w:t>Id.</w:t>
      </w:r>
      <w:r w:rsidRPr="00CA1A65">
        <w:rPr>
          <w:szCs w:val="26"/>
        </w:rPr>
        <w:t xml:space="preserve"> at p. 184.)  In </w:t>
      </w:r>
      <w:r w:rsidRPr="00CA1A65">
        <w:rPr>
          <w:i/>
          <w:iCs/>
          <w:szCs w:val="26"/>
        </w:rPr>
        <w:t>People v. Orabuena</w:t>
      </w:r>
      <w:r w:rsidRPr="00CA1A65">
        <w:rPr>
          <w:szCs w:val="26"/>
        </w:rPr>
        <w:t xml:space="preserve"> (2004) 116 Cal.App.4th 84, the court asked a lower court, on remand, to look at individualized considerations</w:t>
      </w:r>
      <w:r w:rsidRPr="00CA1A65" w:rsidR="00A25B09">
        <w:rPr>
          <w:szCs w:val="26"/>
        </w:rPr>
        <w:t xml:space="preserve"> </w:t>
      </w:r>
      <w:r w:rsidRPr="00CA1A65">
        <w:rPr>
          <w:szCs w:val="26"/>
        </w:rPr>
        <w:t xml:space="preserve">and decide whether to dismiss a Vehicle Code misdemeanor conviction when dismissal would allow the defendant to access a diversion program to </w:t>
      </w:r>
      <w:r w:rsidRPr="00CA1A65" w:rsidR="00A25B09">
        <w:rPr>
          <w:szCs w:val="26"/>
        </w:rPr>
        <w:t xml:space="preserve">address </w:t>
      </w:r>
      <w:r w:rsidRPr="00CA1A65">
        <w:rPr>
          <w:szCs w:val="26"/>
        </w:rPr>
        <w:t>convictions in the same proceeding for nonserious, nonviolent drug charges.  (</w:t>
      </w:r>
      <w:r w:rsidRPr="00CA1A65">
        <w:rPr>
          <w:i/>
          <w:iCs/>
          <w:szCs w:val="26"/>
        </w:rPr>
        <w:t>Id.</w:t>
      </w:r>
      <w:r w:rsidRPr="00CA1A65">
        <w:rPr>
          <w:szCs w:val="26"/>
        </w:rPr>
        <w:t xml:space="preserve"> at pp. 88, 99.)  And more recently, in </w:t>
      </w:r>
      <w:r w:rsidRPr="00CA1A65">
        <w:rPr>
          <w:i/>
          <w:iCs/>
          <w:szCs w:val="26"/>
        </w:rPr>
        <w:t>People v. S.M.</w:t>
      </w:r>
      <w:r w:rsidRPr="00CA1A65">
        <w:rPr>
          <w:szCs w:val="26"/>
        </w:rPr>
        <w:t xml:space="preserve"> (2017) 9 Cal.App.5th 210, the court affirmed dismissal of felony and misdemeanor fraud charges “allegedly arising out of the submission of a single false insurance claim to [an] automobile insurer in the amount of $360.”  (</w:t>
      </w:r>
      <w:r w:rsidRPr="00CA1A65">
        <w:rPr>
          <w:i/>
          <w:iCs/>
          <w:szCs w:val="26"/>
        </w:rPr>
        <w:t>Id.</w:t>
      </w:r>
      <w:r w:rsidRPr="00CA1A65">
        <w:rPr>
          <w:szCs w:val="26"/>
        </w:rPr>
        <w:t xml:space="preserve"> at p. </w:t>
      </w:r>
      <w:r w:rsidR="00BA19E6">
        <w:rPr>
          <w:szCs w:val="26"/>
        </w:rPr>
        <w:t>2</w:t>
      </w:r>
      <w:r w:rsidRPr="00CA1A65">
        <w:rPr>
          <w:szCs w:val="26"/>
        </w:rPr>
        <w:t>13.)  The dismissal was seen as permissible given the small amount at issue; the lack of actual loss to the insurer; defendant’s age, lack of criminal history, and good behavior during the pendency of the case; and the impact a conviction would have on the defendant’s professional career.  (</w:t>
      </w:r>
      <w:r w:rsidRPr="00CA1A65">
        <w:rPr>
          <w:i/>
          <w:iCs/>
          <w:szCs w:val="26"/>
        </w:rPr>
        <w:t>Id.</w:t>
      </w:r>
      <w:r w:rsidRPr="00CA1A65">
        <w:rPr>
          <w:szCs w:val="26"/>
        </w:rPr>
        <w:t xml:space="preserve"> at pp. 218–219.)</w:t>
      </w:r>
    </w:p>
    <w:p w:rsidR="0005498A" w:rsidP="00CA1A65" w14:paraId="1DF10688" w14:textId="77777777">
      <w:pPr>
        <w:rPr>
          <w:szCs w:val="26"/>
        </w:rPr>
      </w:pPr>
      <w:r w:rsidRPr="00CA1A65">
        <w:rPr>
          <w:szCs w:val="26"/>
        </w:rPr>
        <w:tab/>
        <w:t>In contrast with these decisions, two decisions from the Fourth District Court of Appeal, Division One</w:t>
      </w:r>
      <w:r w:rsidR="00BA19E6">
        <w:rPr>
          <w:szCs w:val="26"/>
        </w:rPr>
        <w:t> </w:t>
      </w:r>
      <w:r w:rsidRPr="00CA1A65">
        <w:rPr>
          <w:szCs w:val="26"/>
        </w:rPr>
        <w:t>— both from 1972</w:t>
      </w:r>
      <w:r w:rsidR="00E90B4C">
        <w:rPr>
          <w:szCs w:val="26"/>
        </w:rPr>
        <w:t> </w:t>
      </w:r>
      <w:r w:rsidRPr="00CA1A65">
        <w:rPr>
          <w:szCs w:val="26"/>
        </w:rPr>
        <w:t xml:space="preserve">— reversed section 1385 dismissals of charges when </w:t>
      </w:r>
      <w:r w:rsidRPr="00CA1A65" w:rsidR="00273284">
        <w:rPr>
          <w:szCs w:val="26"/>
        </w:rPr>
        <w:t xml:space="preserve">guilt was uncontested and </w:t>
      </w:r>
      <w:r w:rsidRPr="00CA1A65" w:rsidR="00271009">
        <w:rPr>
          <w:szCs w:val="26"/>
        </w:rPr>
        <w:t xml:space="preserve">the trial court </w:t>
      </w:r>
      <w:r w:rsidRPr="00CA1A65" w:rsidR="00273284">
        <w:rPr>
          <w:szCs w:val="26"/>
        </w:rPr>
        <w:t xml:space="preserve">acted on </w:t>
      </w:r>
      <w:r w:rsidRPr="00CA1A65" w:rsidR="00271009">
        <w:rPr>
          <w:szCs w:val="26"/>
        </w:rPr>
        <w:t>concerns about the law’s impact on the particular defendan</w:t>
      </w:r>
      <w:r w:rsidRPr="00934E07" w:rsidR="00271009">
        <w:rPr>
          <w:szCs w:val="26"/>
        </w:rPr>
        <w:t>t</w:t>
      </w:r>
      <w:r w:rsidRPr="00934E07">
        <w:rPr>
          <w:szCs w:val="26"/>
        </w:rPr>
        <w:t xml:space="preserve"> without due concern for the legal scheme at issue.  The Court of Appeal expressed misgivings about the practice, fearing it could el</w:t>
      </w:r>
      <w:r w:rsidRPr="00CA1A65">
        <w:rPr>
          <w:szCs w:val="26"/>
        </w:rPr>
        <w:t>evate “the rule of men above the rule of law” or “stultify [a] statutory scheme.”  (</w:t>
      </w:r>
      <w:r w:rsidRPr="00CA1A65">
        <w:rPr>
          <w:i/>
          <w:iCs/>
          <w:szCs w:val="26"/>
        </w:rPr>
        <w:t>People v. McAlonan</w:t>
      </w:r>
      <w:r w:rsidRPr="00CA1A65">
        <w:rPr>
          <w:szCs w:val="26"/>
        </w:rPr>
        <w:t xml:space="preserve"> (1972) 22 Cal.App.3d 982, 987</w:t>
      </w:r>
      <w:r w:rsidRPr="00CA1A65" w:rsidR="000125F5">
        <w:rPr>
          <w:szCs w:val="26"/>
        </w:rPr>
        <w:t xml:space="preserve"> (</w:t>
      </w:r>
      <w:r w:rsidRPr="00CA1A65" w:rsidR="000125F5">
        <w:rPr>
          <w:i/>
          <w:iCs/>
          <w:szCs w:val="26"/>
        </w:rPr>
        <w:t>McAlonan</w:t>
      </w:r>
      <w:r w:rsidRPr="00CA1A65" w:rsidR="000125F5">
        <w:rPr>
          <w:szCs w:val="26"/>
        </w:rPr>
        <w:t xml:space="preserve">); </w:t>
      </w:r>
      <w:r w:rsidR="00BA19E6">
        <w:rPr>
          <w:szCs w:val="26"/>
        </w:rPr>
        <w:t xml:space="preserve">see </w:t>
      </w:r>
      <w:r w:rsidRPr="00CA1A65" w:rsidR="000125F5">
        <w:rPr>
          <w:i/>
          <w:iCs/>
          <w:szCs w:val="26"/>
        </w:rPr>
        <w:t>People v. Superior Court</w:t>
      </w:r>
      <w:r w:rsidRPr="00CA1A65" w:rsidR="000125F5">
        <w:rPr>
          <w:szCs w:val="26"/>
        </w:rPr>
        <w:t xml:space="preserve"> (1972) 26 Cal.App.3d 668, 671 (</w:t>
      </w:r>
      <w:r w:rsidRPr="00CA1A65" w:rsidR="000125F5">
        <w:rPr>
          <w:i/>
          <w:iCs/>
          <w:szCs w:val="26"/>
        </w:rPr>
        <w:t>Montano</w:t>
      </w:r>
      <w:r w:rsidRPr="00CA1A65" w:rsidR="000125F5">
        <w:rPr>
          <w:szCs w:val="26"/>
        </w:rPr>
        <w:t>).</w:t>
      </w:r>
      <w:r w:rsidRPr="00CA1A65">
        <w:rPr>
          <w:szCs w:val="26"/>
        </w:rPr>
        <w:t xml:space="preserve">)  </w:t>
      </w:r>
      <w:r w:rsidRPr="00CA1A65" w:rsidR="000125F5">
        <w:rPr>
          <w:szCs w:val="26"/>
        </w:rPr>
        <w:t xml:space="preserve">In </w:t>
      </w:r>
      <w:r w:rsidRPr="00CA1A65" w:rsidR="000125F5">
        <w:rPr>
          <w:i/>
          <w:iCs/>
          <w:szCs w:val="26"/>
        </w:rPr>
        <w:t>Orin</w:t>
      </w:r>
      <w:r w:rsidRPr="00CA1A65" w:rsidR="000125F5">
        <w:rPr>
          <w:szCs w:val="26"/>
        </w:rPr>
        <w:t>, w</w:t>
      </w:r>
      <w:r w:rsidRPr="00CA1A65">
        <w:rPr>
          <w:szCs w:val="26"/>
        </w:rPr>
        <w:t>e characterized decisions</w:t>
      </w:r>
      <w:r w:rsidRPr="00CA1A65" w:rsidR="000125F5">
        <w:rPr>
          <w:szCs w:val="26"/>
        </w:rPr>
        <w:t xml:space="preserve"> such as these </w:t>
      </w:r>
      <w:r w:rsidRPr="00CA1A65">
        <w:rPr>
          <w:szCs w:val="26"/>
        </w:rPr>
        <w:t>as reflecting the appellate courts’ “considerable opposition to the granting of dismissals under section 1385 in instances where the People are thereby prevented from prosecuting defendants for offenses of which there is probable cause to believe they are guilty as charged.”  (</w:t>
      </w:r>
      <w:r w:rsidRPr="00CA1A65">
        <w:rPr>
          <w:i/>
          <w:iCs/>
          <w:szCs w:val="26"/>
        </w:rPr>
        <w:t>Orin</w:t>
      </w:r>
      <w:r w:rsidRPr="00CA1A65">
        <w:rPr>
          <w:szCs w:val="26"/>
        </w:rPr>
        <w:t xml:space="preserve">, </w:t>
      </w:r>
      <w:r w:rsidRPr="00CA1A65">
        <w:rPr>
          <w:i/>
          <w:iCs/>
          <w:szCs w:val="26"/>
        </w:rPr>
        <w:t>supra</w:t>
      </w:r>
      <w:r w:rsidRPr="00CA1A65">
        <w:rPr>
          <w:szCs w:val="26"/>
        </w:rPr>
        <w:t xml:space="preserve">, 13 Cal.3d at pp. 946–947.)  </w:t>
      </w:r>
    </w:p>
    <w:p w:rsidR="00220F6E" w:rsidRPr="00CA1A65" w:rsidP="00107D79" w14:paraId="1DF10689" w14:textId="77777777">
      <w:pPr>
        <w:ind w:firstLine="720"/>
        <w:rPr>
          <w:szCs w:val="26"/>
        </w:rPr>
      </w:pPr>
      <w:r w:rsidRPr="00CA1A65">
        <w:rPr>
          <w:szCs w:val="26"/>
        </w:rPr>
        <w:t>But</w:t>
      </w:r>
      <w:r w:rsidR="000B70C2">
        <w:rPr>
          <w:szCs w:val="26"/>
        </w:rPr>
        <w:t xml:space="preserve"> </w:t>
      </w:r>
      <w:r w:rsidRPr="00CA1A65">
        <w:rPr>
          <w:szCs w:val="26"/>
        </w:rPr>
        <w:t xml:space="preserve">these </w:t>
      </w:r>
      <w:r w:rsidRPr="00CA1A65" w:rsidR="000125F5">
        <w:rPr>
          <w:szCs w:val="26"/>
        </w:rPr>
        <w:t xml:space="preserve">Fourth District </w:t>
      </w:r>
      <w:r w:rsidRPr="00CA1A65">
        <w:rPr>
          <w:szCs w:val="26"/>
        </w:rPr>
        <w:t>decisions</w:t>
      </w:r>
      <w:r w:rsidR="000B70C2">
        <w:rPr>
          <w:szCs w:val="26"/>
        </w:rPr>
        <w:t xml:space="preserve"> </w:t>
      </w:r>
      <w:r w:rsidRPr="00CA1A65">
        <w:rPr>
          <w:szCs w:val="26"/>
        </w:rPr>
        <w:t>s</w:t>
      </w:r>
      <w:r w:rsidRPr="00934E07">
        <w:rPr>
          <w:szCs w:val="26"/>
        </w:rPr>
        <w:t>topp</w:t>
      </w:r>
      <w:r w:rsidRPr="00934E07" w:rsidR="000B70C2">
        <w:rPr>
          <w:szCs w:val="26"/>
        </w:rPr>
        <w:t>ed</w:t>
      </w:r>
      <w:r w:rsidRPr="00934E07">
        <w:rPr>
          <w:szCs w:val="26"/>
        </w:rPr>
        <w:t xml:space="preserve"> short of forbidding </w:t>
      </w:r>
      <w:r w:rsidRPr="00934E07" w:rsidR="00D24ED9">
        <w:rPr>
          <w:szCs w:val="26"/>
        </w:rPr>
        <w:t xml:space="preserve">consideration of </w:t>
      </w:r>
      <w:r w:rsidRPr="00934E07" w:rsidR="00271009">
        <w:rPr>
          <w:szCs w:val="26"/>
        </w:rPr>
        <w:t xml:space="preserve">matters such </w:t>
      </w:r>
      <w:r w:rsidRPr="00934E07" w:rsidR="00D24ED9">
        <w:rPr>
          <w:szCs w:val="26"/>
        </w:rPr>
        <w:t>a</w:t>
      </w:r>
      <w:r w:rsidRPr="00934E07" w:rsidR="00271009">
        <w:rPr>
          <w:szCs w:val="26"/>
        </w:rPr>
        <w:t>s</w:t>
      </w:r>
      <w:r w:rsidRPr="00934E07" w:rsidR="00D24ED9">
        <w:rPr>
          <w:szCs w:val="26"/>
        </w:rPr>
        <w:t xml:space="preserve"> </w:t>
      </w:r>
      <w:r w:rsidRPr="00934E07" w:rsidR="00271009">
        <w:rPr>
          <w:szCs w:val="26"/>
        </w:rPr>
        <w:t xml:space="preserve">a </w:t>
      </w:r>
      <w:r w:rsidRPr="00934E07" w:rsidR="00D24ED9">
        <w:rPr>
          <w:szCs w:val="26"/>
        </w:rPr>
        <w:t>defendant’s culpability</w:t>
      </w:r>
      <w:r w:rsidRPr="00934E07">
        <w:rPr>
          <w:szCs w:val="26"/>
        </w:rPr>
        <w:t xml:space="preserve">.  </w:t>
      </w:r>
      <w:r w:rsidRPr="00934E07" w:rsidR="00A067E1">
        <w:rPr>
          <w:i/>
          <w:iCs/>
          <w:szCs w:val="26"/>
        </w:rPr>
        <w:t>McAlonan</w:t>
      </w:r>
      <w:r w:rsidRPr="00934E07" w:rsidR="00A067E1">
        <w:rPr>
          <w:szCs w:val="26"/>
        </w:rPr>
        <w:t xml:space="preserve">, </w:t>
      </w:r>
      <w:r w:rsidRPr="00934E07" w:rsidR="00934E07">
        <w:rPr>
          <w:i/>
          <w:iCs/>
          <w:szCs w:val="26"/>
        </w:rPr>
        <w:t>supra</w:t>
      </w:r>
      <w:r w:rsidR="00934E07">
        <w:rPr>
          <w:szCs w:val="26"/>
        </w:rPr>
        <w:t xml:space="preserve">, 22 Cal.App.3d </w:t>
      </w:r>
      <w:r w:rsidRPr="00934E07" w:rsidR="00A067E1">
        <w:rPr>
          <w:szCs w:val="26"/>
        </w:rPr>
        <w:t>at p</w:t>
      </w:r>
      <w:r w:rsidRPr="00934E07" w:rsidR="00BA19E6">
        <w:rPr>
          <w:szCs w:val="26"/>
        </w:rPr>
        <w:t>age</w:t>
      </w:r>
      <w:r w:rsidRPr="00934E07" w:rsidR="00A067E1">
        <w:rPr>
          <w:szCs w:val="26"/>
        </w:rPr>
        <w:t xml:space="preserve"> 987, held that dismissal could not “be used for rehabilitative purposes” divorced from a consideration of </w:t>
      </w:r>
      <w:r w:rsidRPr="00934E07" w:rsidR="0005498A">
        <w:rPr>
          <w:szCs w:val="26"/>
        </w:rPr>
        <w:t xml:space="preserve">the circumstances of the case, </w:t>
      </w:r>
      <w:r w:rsidRPr="00934E07" w:rsidR="004A6B59">
        <w:rPr>
          <w:szCs w:val="26"/>
        </w:rPr>
        <w:t>the law at issue</w:t>
      </w:r>
      <w:r w:rsidRPr="00934E07" w:rsidR="0005498A">
        <w:rPr>
          <w:szCs w:val="26"/>
        </w:rPr>
        <w:t xml:space="preserve">, </w:t>
      </w:r>
      <w:r w:rsidRPr="00934E07" w:rsidR="004A6B59">
        <w:rPr>
          <w:szCs w:val="26"/>
        </w:rPr>
        <w:t xml:space="preserve">and </w:t>
      </w:r>
      <w:r w:rsidRPr="00934E07" w:rsidR="00A067E1">
        <w:rPr>
          <w:szCs w:val="26"/>
        </w:rPr>
        <w:t>the interests of both society and the defendant</w:t>
      </w:r>
      <w:r w:rsidRPr="00934E07" w:rsidR="00AD1130">
        <w:rPr>
          <w:szCs w:val="26"/>
        </w:rPr>
        <w:t xml:space="preserve">.  </w:t>
      </w:r>
      <w:r w:rsidRPr="00934E07" w:rsidR="00F8768F">
        <w:rPr>
          <w:szCs w:val="26"/>
        </w:rPr>
        <w:t>T</w:t>
      </w:r>
      <w:r w:rsidRPr="00934E07" w:rsidR="00FC2462">
        <w:rPr>
          <w:szCs w:val="26"/>
        </w:rPr>
        <w:t>he appellate court</w:t>
      </w:r>
      <w:r w:rsidRPr="00934E07" w:rsidR="0032790C">
        <w:rPr>
          <w:szCs w:val="26"/>
        </w:rPr>
        <w:t xml:space="preserve"> </w:t>
      </w:r>
      <w:r w:rsidRPr="00934E07" w:rsidR="00FC2462">
        <w:rPr>
          <w:szCs w:val="26"/>
        </w:rPr>
        <w:t>held</w:t>
      </w:r>
      <w:r w:rsidRPr="00934E07" w:rsidR="0005498A">
        <w:rPr>
          <w:szCs w:val="26"/>
        </w:rPr>
        <w:t xml:space="preserve"> </w:t>
      </w:r>
      <w:r w:rsidRPr="00934E07" w:rsidR="0032790C">
        <w:rPr>
          <w:szCs w:val="26"/>
        </w:rPr>
        <w:t xml:space="preserve">it was error to </w:t>
      </w:r>
      <w:r w:rsidRPr="00934E07" w:rsidR="00AD1130">
        <w:rPr>
          <w:szCs w:val="26"/>
        </w:rPr>
        <w:t xml:space="preserve">dismiss a charge </w:t>
      </w:r>
      <w:r w:rsidRPr="00934E07" w:rsidR="004A6B59">
        <w:rPr>
          <w:szCs w:val="26"/>
        </w:rPr>
        <w:t xml:space="preserve">solely to obtain </w:t>
      </w:r>
      <w:r w:rsidRPr="00934E07" w:rsidR="0005498A">
        <w:rPr>
          <w:szCs w:val="26"/>
        </w:rPr>
        <w:t xml:space="preserve">a </w:t>
      </w:r>
      <w:r w:rsidRPr="00934E07" w:rsidR="004A6B59">
        <w:rPr>
          <w:szCs w:val="26"/>
        </w:rPr>
        <w:t>preferred rehabilitative outcome</w:t>
      </w:r>
      <w:r w:rsidRPr="00934E07" w:rsidR="0005498A">
        <w:rPr>
          <w:szCs w:val="26"/>
        </w:rPr>
        <w:t>,</w:t>
      </w:r>
      <w:r w:rsidRPr="00934E07" w:rsidR="004A6B59">
        <w:rPr>
          <w:szCs w:val="26"/>
        </w:rPr>
        <w:t xml:space="preserve"> defendant’s </w:t>
      </w:r>
      <w:r w:rsidRPr="00934E07" w:rsidR="00AD1130">
        <w:rPr>
          <w:szCs w:val="26"/>
        </w:rPr>
        <w:t>enlist</w:t>
      </w:r>
      <w:r w:rsidRPr="00934E07" w:rsidR="0090300B">
        <w:rPr>
          <w:szCs w:val="26"/>
        </w:rPr>
        <w:t>ment</w:t>
      </w:r>
      <w:r w:rsidRPr="00934E07" w:rsidR="00AD1130">
        <w:rPr>
          <w:szCs w:val="26"/>
        </w:rPr>
        <w:t xml:space="preserve"> in the Navy</w:t>
      </w:r>
      <w:r w:rsidRPr="00934E07" w:rsidR="0005498A">
        <w:rPr>
          <w:szCs w:val="26"/>
        </w:rPr>
        <w:t>, which the trial court believed a conviction would prevent.</w:t>
      </w:r>
      <w:r w:rsidRPr="00934E07" w:rsidR="00AD1130">
        <w:rPr>
          <w:szCs w:val="26"/>
        </w:rPr>
        <w:t xml:space="preserve"> </w:t>
      </w:r>
      <w:r w:rsidRPr="00934E07" w:rsidR="0005498A">
        <w:rPr>
          <w:szCs w:val="26"/>
        </w:rPr>
        <w:t xml:space="preserve"> </w:t>
      </w:r>
      <w:r w:rsidRPr="00934E07" w:rsidR="00AD1130">
        <w:rPr>
          <w:szCs w:val="26"/>
        </w:rPr>
        <w:t>(</w:t>
      </w:r>
      <w:r w:rsidRPr="00934E07" w:rsidR="0005498A">
        <w:rPr>
          <w:i/>
          <w:iCs/>
          <w:szCs w:val="26"/>
        </w:rPr>
        <w:t>Id</w:t>
      </w:r>
      <w:r w:rsidRPr="00934E07" w:rsidR="00AD1130">
        <w:rPr>
          <w:i/>
          <w:iCs/>
          <w:szCs w:val="26"/>
        </w:rPr>
        <w:t>.</w:t>
      </w:r>
      <w:r w:rsidRPr="00934E07" w:rsidR="00AD1130">
        <w:rPr>
          <w:szCs w:val="26"/>
        </w:rPr>
        <w:t xml:space="preserve"> at pp. 984–985</w:t>
      </w:r>
      <w:r w:rsidRPr="00934E07" w:rsidR="0005498A">
        <w:rPr>
          <w:szCs w:val="26"/>
        </w:rPr>
        <w:t>, 987.</w:t>
      </w:r>
      <w:r w:rsidRPr="00934E07" w:rsidR="00AD1130">
        <w:rPr>
          <w:szCs w:val="26"/>
        </w:rPr>
        <w:t xml:space="preserve">)  </w:t>
      </w:r>
      <w:r w:rsidRPr="00934E07" w:rsidR="00A97F09">
        <w:rPr>
          <w:szCs w:val="26"/>
        </w:rPr>
        <w:t xml:space="preserve">Likewise, in </w:t>
      </w:r>
      <w:r w:rsidRPr="00934E07" w:rsidR="00E1798C">
        <w:rPr>
          <w:i/>
          <w:iCs/>
          <w:szCs w:val="26"/>
        </w:rPr>
        <w:t>Montano</w:t>
      </w:r>
      <w:r w:rsidRPr="00934E07" w:rsidR="00AD1130">
        <w:rPr>
          <w:szCs w:val="26"/>
        </w:rPr>
        <w:t xml:space="preserve">, </w:t>
      </w:r>
      <w:r w:rsidRPr="00934E07" w:rsidR="00934E07">
        <w:rPr>
          <w:i/>
          <w:iCs/>
          <w:szCs w:val="26"/>
        </w:rPr>
        <w:t>supra</w:t>
      </w:r>
      <w:r w:rsidR="00934E07">
        <w:rPr>
          <w:szCs w:val="26"/>
        </w:rPr>
        <w:t xml:space="preserve">, 26 Cal.App.3d </w:t>
      </w:r>
      <w:r w:rsidRPr="00934E07" w:rsidR="000125F5">
        <w:rPr>
          <w:szCs w:val="26"/>
        </w:rPr>
        <w:t>at p</w:t>
      </w:r>
      <w:r w:rsidRPr="00934E07" w:rsidR="00BA19E6">
        <w:rPr>
          <w:szCs w:val="26"/>
        </w:rPr>
        <w:t>age</w:t>
      </w:r>
      <w:r w:rsidRPr="00934E07" w:rsidR="000125F5">
        <w:rPr>
          <w:szCs w:val="26"/>
        </w:rPr>
        <w:t xml:space="preserve"> 671, </w:t>
      </w:r>
      <w:r w:rsidRPr="00934E07" w:rsidR="00A97F09">
        <w:rPr>
          <w:szCs w:val="26"/>
        </w:rPr>
        <w:t xml:space="preserve">the appellate court </w:t>
      </w:r>
      <w:r w:rsidRPr="00934E07" w:rsidR="00D24ED9">
        <w:rPr>
          <w:szCs w:val="26"/>
        </w:rPr>
        <w:t xml:space="preserve">rejected a dismissal made for “purely subjective” reasons </w:t>
      </w:r>
      <w:r w:rsidR="00934E07">
        <w:rPr>
          <w:szCs w:val="26"/>
        </w:rPr>
        <w:t xml:space="preserve">to avoid the “heavy processes of the law” </w:t>
      </w:r>
      <w:r w:rsidRPr="00934E07" w:rsidR="00D24ED9">
        <w:rPr>
          <w:szCs w:val="26"/>
        </w:rPr>
        <w:t xml:space="preserve">when there was no question as to the fairness of trial proceedings </w:t>
      </w:r>
      <w:r w:rsidRPr="00934E07" w:rsidR="00B32D45">
        <w:rPr>
          <w:szCs w:val="26"/>
        </w:rPr>
        <w:t xml:space="preserve">or defendant’s </w:t>
      </w:r>
      <w:r w:rsidRPr="00934E07" w:rsidR="00D24ED9">
        <w:rPr>
          <w:szCs w:val="26"/>
        </w:rPr>
        <w:t xml:space="preserve">guilt.  </w:t>
      </w:r>
      <w:r w:rsidRPr="00934E07" w:rsidR="00650C55">
        <w:rPr>
          <w:szCs w:val="26"/>
        </w:rPr>
        <w:t>T</w:t>
      </w:r>
      <w:r w:rsidRPr="00934E07" w:rsidR="00A97F09">
        <w:rPr>
          <w:szCs w:val="26"/>
        </w:rPr>
        <w:t xml:space="preserve">he resolution reached in </w:t>
      </w:r>
      <w:r w:rsidRPr="00934E07" w:rsidR="000125F5">
        <w:rPr>
          <w:i/>
          <w:iCs/>
          <w:szCs w:val="26"/>
        </w:rPr>
        <w:t>McAlonan</w:t>
      </w:r>
      <w:r w:rsidRPr="00934E07" w:rsidR="000125F5">
        <w:rPr>
          <w:szCs w:val="26"/>
        </w:rPr>
        <w:t xml:space="preserve"> and </w:t>
      </w:r>
      <w:r w:rsidRPr="00934E07" w:rsidR="000125F5">
        <w:rPr>
          <w:i/>
          <w:iCs/>
          <w:szCs w:val="26"/>
        </w:rPr>
        <w:t>Montano</w:t>
      </w:r>
      <w:r w:rsidRPr="00934E07" w:rsidR="000125F5">
        <w:rPr>
          <w:szCs w:val="26"/>
        </w:rPr>
        <w:t xml:space="preserve"> </w:t>
      </w:r>
      <w:r w:rsidRPr="00934E07" w:rsidR="00A97F09">
        <w:rPr>
          <w:szCs w:val="26"/>
        </w:rPr>
        <w:t>tur</w:t>
      </w:r>
      <w:r w:rsidRPr="00CA1A65" w:rsidR="00A97F09">
        <w:rPr>
          <w:szCs w:val="26"/>
        </w:rPr>
        <w:t xml:space="preserve">ned on </w:t>
      </w:r>
      <w:r w:rsidRPr="00CA1A65" w:rsidR="000125F5">
        <w:rPr>
          <w:szCs w:val="26"/>
        </w:rPr>
        <w:t xml:space="preserve">each appellate </w:t>
      </w:r>
      <w:r w:rsidRPr="00CA1A65" w:rsidR="00A97F09">
        <w:rPr>
          <w:szCs w:val="26"/>
        </w:rPr>
        <w:t>court’s inability to</w:t>
      </w:r>
      <w:r w:rsidRPr="00CA1A65" w:rsidR="00FC2462">
        <w:rPr>
          <w:szCs w:val="26"/>
        </w:rPr>
        <w:t xml:space="preserve"> identify</w:t>
      </w:r>
      <w:r w:rsidRPr="00CA1A65" w:rsidR="00204377">
        <w:rPr>
          <w:szCs w:val="26"/>
        </w:rPr>
        <w:t xml:space="preserve"> a </w:t>
      </w:r>
      <w:r w:rsidRPr="00CA1A65">
        <w:rPr>
          <w:szCs w:val="26"/>
        </w:rPr>
        <w:t xml:space="preserve">“proper and adequate reason” </w:t>
      </w:r>
      <w:r w:rsidRPr="00CA1A65" w:rsidR="004B573E">
        <w:rPr>
          <w:szCs w:val="26"/>
        </w:rPr>
        <w:t xml:space="preserve">that might have weighed in favor of </w:t>
      </w:r>
      <w:r w:rsidRPr="00CA1A65">
        <w:rPr>
          <w:szCs w:val="26"/>
        </w:rPr>
        <w:t xml:space="preserve">dismissal on the </w:t>
      </w:r>
      <w:r w:rsidRPr="00CA1A65" w:rsidR="00204377">
        <w:rPr>
          <w:szCs w:val="26"/>
        </w:rPr>
        <w:t>records</w:t>
      </w:r>
      <w:r w:rsidRPr="00CA1A65">
        <w:rPr>
          <w:szCs w:val="26"/>
        </w:rPr>
        <w:t xml:space="preserve"> presented.  (</w:t>
      </w:r>
      <w:r w:rsidRPr="00CA1A65" w:rsidR="000125F5">
        <w:rPr>
          <w:szCs w:val="26"/>
        </w:rPr>
        <w:t xml:space="preserve">See </w:t>
      </w:r>
      <w:r w:rsidRPr="00CA1A65">
        <w:rPr>
          <w:i/>
          <w:iCs/>
          <w:szCs w:val="26"/>
        </w:rPr>
        <w:t>Orin</w:t>
      </w:r>
      <w:r w:rsidRPr="00CA1A65">
        <w:rPr>
          <w:szCs w:val="26"/>
        </w:rPr>
        <w:t xml:space="preserve">, </w:t>
      </w:r>
      <w:r w:rsidRPr="00CA1A65">
        <w:rPr>
          <w:i/>
          <w:iCs/>
          <w:szCs w:val="26"/>
        </w:rPr>
        <w:t>supra</w:t>
      </w:r>
      <w:r w:rsidRPr="00CA1A65">
        <w:rPr>
          <w:szCs w:val="26"/>
        </w:rPr>
        <w:t xml:space="preserve">, 13 Cal.3d at p. 947.)  </w:t>
      </w:r>
      <w:r w:rsidR="004A6B59">
        <w:rPr>
          <w:szCs w:val="26"/>
        </w:rPr>
        <w:t>Critically</w:t>
      </w:r>
      <w:r w:rsidRPr="00CA1A65" w:rsidR="004A6B59">
        <w:rPr>
          <w:szCs w:val="26"/>
        </w:rPr>
        <w:t xml:space="preserve"> </w:t>
      </w:r>
      <w:r w:rsidRPr="00CA1A65" w:rsidR="00650C55">
        <w:rPr>
          <w:szCs w:val="26"/>
        </w:rPr>
        <w:t xml:space="preserve">missing </w:t>
      </w:r>
      <w:r w:rsidRPr="00CA1A65">
        <w:rPr>
          <w:szCs w:val="26"/>
        </w:rPr>
        <w:t xml:space="preserve">from the trial courts’ </w:t>
      </w:r>
      <w:r w:rsidRPr="00CA1A65" w:rsidR="00E1798C">
        <w:rPr>
          <w:szCs w:val="26"/>
        </w:rPr>
        <w:t>brief statements of reasons</w:t>
      </w:r>
      <w:r w:rsidRPr="00CA1A65" w:rsidR="00204377">
        <w:rPr>
          <w:szCs w:val="26"/>
        </w:rPr>
        <w:t xml:space="preserve"> </w:t>
      </w:r>
      <w:r w:rsidRPr="00CA1A65" w:rsidR="00B32D45">
        <w:rPr>
          <w:szCs w:val="26"/>
        </w:rPr>
        <w:t xml:space="preserve">for dismissal </w:t>
      </w:r>
      <w:r w:rsidRPr="00CA1A65" w:rsidR="00204377">
        <w:rPr>
          <w:szCs w:val="26"/>
        </w:rPr>
        <w:t>in these cases</w:t>
      </w:r>
      <w:r w:rsidRPr="00CA1A65">
        <w:rPr>
          <w:szCs w:val="26"/>
        </w:rPr>
        <w:t xml:space="preserve">, and thus </w:t>
      </w:r>
      <w:r w:rsidRPr="00CA1A65" w:rsidR="00204377">
        <w:rPr>
          <w:szCs w:val="26"/>
        </w:rPr>
        <w:t xml:space="preserve">escaping </w:t>
      </w:r>
      <w:r w:rsidRPr="00CA1A65">
        <w:rPr>
          <w:szCs w:val="26"/>
        </w:rPr>
        <w:t xml:space="preserve">appellate review, was </w:t>
      </w:r>
      <w:r w:rsidRPr="00CA1A65" w:rsidR="00E1798C">
        <w:rPr>
          <w:szCs w:val="26"/>
        </w:rPr>
        <w:t>consideration</w:t>
      </w:r>
      <w:r w:rsidRPr="00CA1A65" w:rsidR="00CB602B">
        <w:rPr>
          <w:szCs w:val="26"/>
        </w:rPr>
        <w:t xml:space="preserve"> </w:t>
      </w:r>
      <w:r w:rsidRPr="00CA1A65">
        <w:rPr>
          <w:szCs w:val="26"/>
        </w:rPr>
        <w:t>of the charged conduct</w:t>
      </w:r>
      <w:r w:rsidRPr="00CA1A65" w:rsidR="00E1798C">
        <w:rPr>
          <w:szCs w:val="26"/>
        </w:rPr>
        <w:t>’s</w:t>
      </w:r>
      <w:r w:rsidRPr="00CA1A65">
        <w:rPr>
          <w:szCs w:val="26"/>
        </w:rPr>
        <w:t xml:space="preserve"> </w:t>
      </w:r>
      <w:r w:rsidRPr="00CA1A65" w:rsidR="00E1798C">
        <w:rPr>
          <w:szCs w:val="26"/>
        </w:rPr>
        <w:t xml:space="preserve">relationship </w:t>
      </w:r>
      <w:r w:rsidRPr="00CA1A65">
        <w:rPr>
          <w:szCs w:val="26"/>
        </w:rPr>
        <w:t>to the “scheme to which the defendant [was] subject” (</w:t>
      </w:r>
      <w:r w:rsidRPr="00CA1A65">
        <w:rPr>
          <w:i/>
          <w:iCs/>
          <w:szCs w:val="26"/>
        </w:rPr>
        <w:t>Williams</w:t>
      </w:r>
      <w:r w:rsidR="00904F58">
        <w:rPr>
          <w:i/>
          <w:iCs/>
          <w:szCs w:val="26"/>
        </w:rPr>
        <w:t xml:space="preserve"> II</w:t>
      </w:r>
      <w:r w:rsidRPr="00CA1A65">
        <w:rPr>
          <w:szCs w:val="26"/>
        </w:rPr>
        <w:t xml:space="preserve">, </w:t>
      </w:r>
      <w:r w:rsidRPr="00CA1A65">
        <w:rPr>
          <w:i/>
          <w:iCs/>
          <w:szCs w:val="26"/>
        </w:rPr>
        <w:t>supra</w:t>
      </w:r>
      <w:r w:rsidRPr="00CA1A65">
        <w:rPr>
          <w:szCs w:val="26"/>
        </w:rPr>
        <w:t>, 17 Cal.4th at p. 160)</w:t>
      </w:r>
      <w:r w:rsidRPr="00CA1A65" w:rsidR="00CB602B">
        <w:rPr>
          <w:szCs w:val="26"/>
        </w:rPr>
        <w:t>, and, for instance, defendant’s culpability in relation to that scheme.</w:t>
      </w:r>
    </w:p>
    <w:p w:rsidR="009862AF" w:rsidRPr="00CA1A65" w:rsidP="00CA1A65" w14:paraId="1DF1068A" w14:textId="77777777">
      <w:pPr>
        <w:ind w:firstLine="720"/>
        <w:rPr>
          <w:szCs w:val="26"/>
        </w:rPr>
      </w:pPr>
      <w:r w:rsidRPr="00CA1A65">
        <w:rPr>
          <w:szCs w:val="26"/>
        </w:rPr>
        <w:t>K</w:t>
      </w:r>
      <w:r w:rsidRPr="00CA1A65" w:rsidR="00392CF1">
        <w:rPr>
          <w:szCs w:val="26"/>
        </w:rPr>
        <w:t xml:space="preserve">eeping with our </w:t>
      </w:r>
      <w:r w:rsidRPr="00CA1A65" w:rsidR="00FF3803">
        <w:rPr>
          <w:szCs w:val="26"/>
        </w:rPr>
        <w:t xml:space="preserve">decisions </w:t>
      </w:r>
      <w:r w:rsidRPr="00CA1A65" w:rsidR="00392CF1">
        <w:rPr>
          <w:szCs w:val="26"/>
        </w:rPr>
        <w:t xml:space="preserve">and </w:t>
      </w:r>
      <w:r w:rsidRPr="00CA1A65" w:rsidR="00321DC7">
        <w:rPr>
          <w:szCs w:val="26"/>
        </w:rPr>
        <w:t xml:space="preserve">the general approach </w:t>
      </w:r>
      <w:r w:rsidRPr="00CA1A65" w:rsidR="00FF3803">
        <w:rPr>
          <w:szCs w:val="26"/>
        </w:rPr>
        <w:t>of the</w:t>
      </w:r>
      <w:r w:rsidRPr="00CA1A65" w:rsidR="00392CF1">
        <w:rPr>
          <w:szCs w:val="26"/>
        </w:rPr>
        <w:t xml:space="preserve"> appellate courts, </w:t>
      </w:r>
      <w:r w:rsidRPr="00CA1A65" w:rsidR="00313D7C">
        <w:rPr>
          <w:szCs w:val="26"/>
        </w:rPr>
        <w:t xml:space="preserve">we </w:t>
      </w:r>
      <w:r w:rsidRPr="00CA1A65">
        <w:rPr>
          <w:szCs w:val="26"/>
        </w:rPr>
        <w:t xml:space="preserve">do not </w:t>
      </w:r>
      <w:r w:rsidRPr="00CA1A65" w:rsidR="001D0C49">
        <w:rPr>
          <w:szCs w:val="26"/>
        </w:rPr>
        <w:t xml:space="preserve">foreclose trial </w:t>
      </w:r>
      <w:r w:rsidRPr="00CA1A65" w:rsidR="00313D7C">
        <w:rPr>
          <w:szCs w:val="26"/>
        </w:rPr>
        <w:t>courts from considering</w:t>
      </w:r>
      <w:r w:rsidR="006107A7">
        <w:rPr>
          <w:szCs w:val="26"/>
        </w:rPr>
        <w:t xml:space="preserve"> among </w:t>
      </w:r>
      <w:r w:rsidRPr="00CA1A65" w:rsidR="00D2791D">
        <w:rPr>
          <w:szCs w:val="26"/>
        </w:rPr>
        <w:t xml:space="preserve">the </w:t>
      </w:r>
      <w:r w:rsidRPr="00CA1A65" w:rsidR="001D0C49">
        <w:rPr>
          <w:szCs w:val="26"/>
        </w:rPr>
        <w:t>dismissal considerations</w:t>
      </w:r>
      <w:r w:rsidRPr="00CA1A65" w:rsidR="00313D7C">
        <w:rPr>
          <w:szCs w:val="26"/>
        </w:rPr>
        <w:t xml:space="preserve"> the nature of a charged offense, </w:t>
      </w:r>
      <w:r w:rsidRPr="00CA1A65" w:rsidR="00FF3803">
        <w:rPr>
          <w:szCs w:val="26"/>
        </w:rPr>
        <w:t xml:space="preserve">and specifically </w:t>
      </w:r>
      <w:r w:rsidRPr="00CA1A65" w:rsidR="00313D7C">
        <w:rPr>
          <w:szCs w:val="26"/>
        </w:rPr>
        <w:t>a defendant’s minimal culpability</w:t>
      </w:r>
      <w:r w:rsidRPr="00CA1A65" w:rsidR="00201617">
        <w:rPr>
          <w:szCs w:val="26"/>
        </w:rPr>
        <w:t>, despite indications of guilt</w:t>
      </w:r>
      <w:r w:rsidRPr="00CA1A65">
        <w:rPr>
          <w:szCs w:val="26"/>
        </w:rPr>
        <w:t xml:space="preserve">.  </w:t>
      </w:r>
      <w:r w:rsidRPr="00CA1A65" w:rsidR="00392CF1">
        <w:rPr>
          <w:szCs w:val="26"/>
        </w:rPr>
        <w:t xml:space="preserve">Instead, we clarify that trial courts may, </w:t>
      </w:r>
      <w:r w:rsidRPr="00CA1A65" w:rsidR="00715936">
        <w:rPr>
          <w:szCs w:val="26"/>
        </w:rPr>
        <w:t>as appropriate</w:t>
      </w:r>
      <w:r w:rsidRPr="00CA1A65" w:rsidR="00392CF1">
        <w:rPr>
          <w:szCs w:val="26"/>
        </w:rPr>
        <w:t xml:space="preserve">, consider </w:t>
      </w:r>
      <w:r w:rsidRPr="00CA1A65" w:rsidR="002130FC">
        <w:rPr>
          <w:szCs w:val="26"/>
        </w:rPr>
        <w:t xml:space="preserve">the nature of a charged offense and a defendant’s minimal culpability </w:t>
      </w:r>
      <w:r w:rsidRPr="00CA1A65" w:rsidR="00D1546A">
        <w:rPr>
          <w:szCs w:val="26"/>
        </w:rPr>
        <w:t>in weighing all the considerations for and against dismissal in furtherance of justice under section 1385, subdivision (a),</w:t>
      </w:r>
      <w:r w:rsidRPr="00CA1A65" w:rsidR="008251FD">
        <w:rPr>
          <w:szCs w:val="26"/>
        </w:rPr>
        <w:t xml:space="preserve"> </w:t>
      </w:r>
      <w:r w:rsidRPr="00CA1A65" w:rsidR="00392CF1">
        <w:rPr>
          <w:szCs w:val="26"/>
        </w:rPr>
        <w:t>whether before or after trial.</w:t>
      </w:r>
    </w:p>
    <w:p w:rsidR="00620ED5" w:rsidRPr="00CA1A65" w:rsidP="00CA1A65" w14:paraId="1DF1068B" w14:textId="77777777">
      <w:pPr>
        <w:ind w:firstLine="720"/>
        <w:rPr>
          <w:szCs w:val="26"/>
        </w:rPr>
      </w:pPr>
      <w:r w:rsidRPr="00CA1A65">
        <w:rPr>
          <w:szCs w:val="26"/>
        </w:rPr>
        <w:t xml:space="preserve">Still, </w:t>
      </w:r>
      <w:r w:rsidRPr="00CA1A65" w:rsidR="00FC2462">
        <w:rPr>
          <w:szCs w:val="26"/>
        </w:rPr>
        <w:t xml:space="preserve">we hasten to </w:t>
      </w:r>
      <w:r w:rsidR="00D23553">
        <w:rPr>
          <w:szCs w:val="26"/>
        </w:rPr>
        <w:t>reiterate</w:t>
      </w:r>
      <w:r w:rsidRPr="00CA1A65" w:rsidR="00D23553">
        <w:rPr>
          <w:szCs w:val="26"/>
        </w:rPr>
        <w:t xml:space="preserve"> </w:t>
      </w:r>
      <w:r w:rsidRPr="00CA1A65">
        <w:rPr>
          <w:szCs w:val="26"/>
        </w:rPr>
        <w:t>t</w:t>
      </w:r>
      <w:r w:rsidRPr="00CA1A65" w:rsidR="00F76E5D">
        <w:rPr>
          <w:szCs w:val="26"/>
        </w:rPr>
        <w:t xml:space="preserve">he </w:t>
      </w:r>
      <w:r w:rsidR="00D23553">
        <w:rPr>
          <w:szCs w:val="26"/>
        </w:rPr>
        <w:t xml:space="preserve">proper </w:t>
      </w:r>
      <w:r w:rsidRPr="00CA1A65" w:rsidR="00F76E5D">
        <w:rPr>
          <w:szCs w:val="26"/>
        </w:rPr>
        <w:t>concern expressed in the Fourth District decisions</w:t>
      </w:r>
      <w:r w:rsidRPr="00CA1A65" w:rsidR="00E93D20">
        <w:rPr>
          <w:szCs w:val="26"/>
        </w:rPr>
        <w:t xml:space="preserve">, </w:t>
      </w:r>
      <w:r w:rsidRPr="00CA1A65" w:rsidR="00E93D20">
        <w:rPr>
          <w:i/>
          <w:iCs/>
          <w:szCs w:val="26"/>
        </w:rPr>
        <w:t>McAlonan</w:t>
      </w:r>
      <w:r w:rsidRPr="00CA1A65" w:rsidR="00E93D20">
        <w:rPr>
          <w:szCs w:val="26"/>
        </w:rPr>
        <w:t xml:space="preserve"> and </w:t>
      </w:r>
      <w:r w:rsidRPr="00CA1A65" w:rsidR="00E93D20">
        <w:rPr>
          <w:i/>
          <w:iCs/>
          <w:szCs w:val="26"/>
        </w:rPr>
        <w:t>Montano</w:t>
      </w:r>
      <w:r w:rsidRPr="00CA1A65" w:rsidR="00E93D20">
        <w:rPr>
          <w:szCs w:val="26"/>
        </w:rPr>
        <w:t>,</w:t>
      </w:r>
      <w:r w:rsidRPr="00CA1A65" w:rsidR="00F76E5D">
        <w:rPr>
          <w:szCs w:val="26"/>
        </w:rPr>
        <w:t xml:space="preserve"> for </w:t>
      </w:r>
      <w:r w:rsidR="00B86E81">
        <w:rPr>
          <w:szCs w:val="26"/>
        </w:rPr>
        <w:t xml:space="preserve">the evenhanded </w:t>
      </w:r>
      <w:r w:rsidRPr="00CA1A65" w:rsidR="00F76E5D">
        <w:rPr>
          <w:szCs w:val="26"/>
        </w:rPr>
        <w:t xml:space="preserve">rule of law </w:t>
      </w:r>
      <w:r w:rsidR="00B86E81">
        <w:rPr>
          <w:szCs w:val="26"/>
        </w:rPr>
        <w:t>in criminal prosecutions</w:t>
      </w:r>
      <w:r w:rsidRPr="00CA1A65" w:rsidR="00F76E5D">
        <w:rPr>
          <w:szCs w:val="26"/>
        </w:rPr>
        <w:t xml:space="preserve">.  </w:t>
      </w:r>
      <w:r w:rsidRPr="00CA1A65" w:rsidR="00775FD2">
        <w:rPr>
          <w:szCs w:val="26"/>
        </w:rPr>
        <w:t xml:space="preserve">Section 1385 </w:t>
      </w:r>
      <w:r w:rsidR="00B86E81">
        <w:rPr>
          <w:szCs w:val="26"/>
        </w:rPr>
        <w:t xml:space="preserve">dismissals must avoid </w:t>
      </w:r>
      <w:r w:rsidRPr="00CA1A65" w:rsidR="00775FD2">
        <w:rPr>
          <w:szCs w:val="26"/>
        </w:rPr>
        <w:t>subjective judgments, a “formless” justice, or the retooling of disfavored statutes based on antipathy for legislative choices.  (</w:t>
      </w:r>
      <w:r w:rsidRPr="00CA1A65" w:rsidR="00775FD2">
        <w:rPr>
          <w:i/>
          <w:iCs/>
          <w:szCs w:val="26"/>
        </w:rPr>
        <w:t>Williams</w:t>
      </w:r>
      <w:r w:rsidR="00904F58">
        <w:rPr>
          <w:i/>
          <w:iCs/>
          <w:szCs w:val="26"/>
        </w:rPr>
        <w:t xml:space="preserve"> II</w:t>
      </w:r>
      <w:r w:rsidRPr="00CA1A65" w:rsidR="00775FD2">
        <w:rPr>
          <w:szCs w:val="26"/>
        </w:rPr>
        <w:t xml:space="preserve">, </w:t>
      </w:r>
      <w:r w:rsidRPr="00CA1A65" w:rsidR="00775FD2">
        <w:rPr>
          <w:i/>
          <w:iCs/>
          <w:szCs w:val="26"/>
        </w:rPr>
        <w:t>supra</w:t>
      </w:r>
      <w:r w:rsidRPr="00CA1A65" w:rsidR="00775FD2">
        <w:rPr>
          <w:szCs w:val="26"/>
        </w:rPr>
        <w:t xml:space="preserve">, 17 Cal.4th at </w:t>
      </w:r>
      <w:r w:rsidR="002E7C48">
        <w:rPr>
          <w:szCs w:val="26"/>
        </w:rPr>
        <w:t xml:space="preserve">p. 160; see </w:t>
      </w:r>
      <w:r w:rsidR="002E7C48">
        <w:rPr>
          <w:i/>
          <w:iCs/>
          <w:szCs w:val="26"/>
        </w:rPr>
        <w:t xml:space="preserve">id. </w:t>
      </w:r>
      <w:r w:rsidR="002E7C48">
        <w:rPr>
          <w:szCs w:val="26"/>
        </w:rPr>
        <w:t xml:space="preserve">at </w:t>
      </w:r>
      <w:r w:rsidRPr="00CA1A65" w:rsidR="00775FD2">
        <w:rPr>
          <w:szCs w:val="26"/>
        </w:rPr>
        <w:t xml:space="preserve">pp. 160–161.) </w:t>
      </w:r>
      <w:r w:rsidRPr="00CA1A65" w:rsidR="00D2791D">
        <w:rPr>
          <w:szCs w:val="26"/>
        </w:rPr>
        <w:t xml:space="preserve"> </w:t>
      </w:r>
      <w:r w:rsidRPr="00CA1A65" w:rsidR="00204377">
        <w:rPr>
          <w:szCs w:val="26"/>
        </w:rPr>
        <w:t xml:space="preserve">We have abjured “liberal use” of the dismissal power to halt prosecutions where probable cause exists to proceed, and stated </w:t>
      </w:r>
      <w:r w:rsidRPr="00CA1A65" w:rsidR="00985035">
        <w:rPr>
          <w:szCs w:val="26"/>
        </w:rPr>
        <w:t xml:space="preserve">such </w:t>
      </w:r>
      <w:r w:rsidRPr="00CA1A65" w:rsidR="00204377">
        <w:rPr>
          <w:szCs w:val="26"/>
        </w:rPr>
        <w:t>prosecutions should</w:t>
      </w:r>
      <w:r w:rsidRPr="00CA1A65" w:rsidR="00985035">
        <w:rPr>
          <w:szCs w:val="26"/>
        </w:rPr>
        <w:t xml:space="preserve">, “[u]nder </w:t>
      </w:r>
      <w:r w:rsidRPr="00CA1A65" w:rsidR="00204377">
        <w:rPr>
          <w:szCs w:val="26"/>
        </w:rPr>
        <w:t xml:space="preserve">ordinary </w:t>
      </w:r>
      <w:r w:rsidRPr="00CA1A65" w:rsidR="00985035">
        <w:rPr>
          <w:szCs w:val="26"/>
        </w:rPr>
        <w:t xml:space="preserve">circumstances,” </w:t>
      </w:r>
      <w:r w:rsidRPr="00CA1A65" w:rsidR="00204377">
        <w:rPr>
          <w:szCs w:val="26"/>
        </w:rPr>
        <w:t>proceed.  (</w:t>
      </w:r>
      <w:r w:rsidRPr="00CA1A65" w:rsidR="00204377">
        <w:rPr>
          <w:i/>
          <w:iCs/>
          <w:szCs w:val="26"/>
        </w:rPr>
        <w:t>Orin</w:t>
      </w:r>
      <w:r w:rsidRPr="00CA1A65" w:rsidR="00204377">
        <w:rPr>
          <w:szCs w:val="26"/>
        </w:rPr>
        <w:t xml:space="preserve">, </w:t>
      </w:r>
      <w:r w:rsidRPr="00CA1A65" w:rsidR="00204377">
        <w:rPr>
          <w:i/>
          <w:iCs/>
          <w:szCs w:val="26"/>
        </w:rPr>
        <w:t>supra</w:t>
      </w:r>
      <w:r w:rsidRPr="00CA1A65" w:rsidR="00204377">
        <w:rPr>
          <w:szCs w:val="26"/>
        </w:rPr>
        <w:t>, 13 Cal.3d at p. 947.)</w:t>
      </w:r>
      <w:r w:rsidRPr="00CA1A65" w:rsidR="00985035">
        <w:rPr>
          <w:szCs w:val="26"/>
        </w:rPr>
        <w:t xml:space="preserve">  We have also said</w:t>
      </w:r>
      <w:r w:rsidRPr="00CA1A65" w:rsidR="00201617">
        <w:rPr>
          <w:szCs w:val="26"/>
        </w:rPr>
        <w:t xml:space="preserve"> </w:t>
      </w:r>
      <w:r w:rsidRPr="00CA1A65" w:rsidR="00985035">
        <w:rPr>
          <w:szCs w:val="26"/>
        </w:rPr>
        <w:t>th</w:t>
      </w:r>
      <w:r w:rsidRPr="00CA1A65" w:rsidR="00D85FE1">
        <w:rPr>
          <w:szCs w:val="26"/>
        </w:rPr>
        <w:t>e circumstances must be “</w:t>
      </w:r>
      <w:r w:rsidR="00D23553">
        <w:rPr>
          <w:szCs w:val="26"/>
        </w:rPr>
        <w:t> </w:t>
      </w:r>
      <w:r w:rsidRPr="00CA1A65" w:rsidR="00D85FE1">
        <w:rPr>
          <w:szCs w:val="26"/>
        </w:rPr>
        <w:t>‘</w:t>
      </w:r>
      <w:r w:rsidRPr="00CA1A65" w:rsidR="00985035">
        <w:rPr>
          <w:szCs w:val="26"/>
        </w:rPr>
        <w:t>extraordinary</w:t>
      </w:r>
      <w:r w:rsidRPr="00CA1A65" w:rsidR="00D85FE1">
        <w:rPr>
          <w:szCs w:val="26"/>
        </w:rPr>
        <w:t>’</w:t>
      </w:r>
      <w:r w:rsidR="00D23553">
        <w:rPr>
          <w:szCs w:val="26"/>
        </w:rPr>
        <w:t> </w:t>
      </w:r>
      <w:r w:rsidRPr="00CA1A65" w:rsidR="00D85FE1">
        <w:rPr>
          <w:szCs w:val="26"/>
        </w:rPr>
        <w:t xml:space="preserve">” </w:t>
      </w:r>
      <w:r w:rsidRPr="00CA1A65" w:rsidR="00201617">
        <w:rPr>
          <w:szCs w:val="26"/>
        </w:rPr>
        <w:t>that would take a defendant “</w:t>
      </w:r>
      <w:r w:rsidR="00E112CD">
        <w:rPr>
          <w:szCs w:val="26"/>
        </w:rPr>
        <w:t> </w:t>
      </w:r>
      <w:r w:rsidRPr="00CA1A65" w:rsidR="00D85FE1">
        <w:rPr>
          <w:szCs w:val="26"/>
        </w:rPr>
        <w:t>‘</w:t>
      </w:r>
      <w:r w:rsidRPr="00CA1A65" w:rsidR="00985035">
        <w:rPr>
          <w:szCs w:val="26"/>
        </w:rPr>
        <w:t xml:space="preserve">outside the spirit of the very </w:t>
      </w:r>
      <w:r w:rsidRPr="00CA1A65" w:rsidR="00D85FE1">
        <w:rPr>
          <w:szCs w:val="26"/>
        </w:rPr>
        <w:t>[</w:t>
      </w:r>
      <w:r w:rsidRPr="00CA1A65" w:rsidR="00985035">
        <w:rPr>
          <w:szCs w:val="26"/>
        </w:rPr>
        <w:t>statutory</w:t>
      </w:r>
      <w:r w:rsidRPr="00CA1A65" w:rsidR="00D85FE1">
        <w:rPr>
          <w:szCs w:val="26"/>
        </w:rPr>
        <w:t>]</w:t>
      </w:r>
      <w:r w:rsidRPr="00CA1A65" w:rsidR="00985035">
        <w:rPr>
          <w:szCs w:val="26"/>
        </w:rPr>
        <w:t xml:space="preserve"> scheme within which he squarely falls.</w:t>
      </w:r>
      <w:r w:rsidRPr="00CA1A65" w:rsidR="00D85FE1">
        <w:rPr>
          <w:szCs w:val="26"/>
        </w:rPr>
        <w:t>’</w:t>
      </w:r>
      <w:r w:rsidR="00E112CD">
        <w:rPr>
          <w:szCs w:val="26"/>
        </w:rPr>
        <w:t> </w:t>
      </w:r>
      <w:r w:rsidRPr="00CA1A65" w:rsidR="00985035">
        <w:rPr>
          <w:szCs w:val="26"/>
        </w:rPr>
        <w:t>”  (</w:t>
      </w:r>
      <w:r w:rsidRPr="00CA1A65" w:rsidR="00D85FE1">
        <w:rPr>
          <w:i/>
          <w:iCs/>
          <w:szCs w:val="26"/>
        </w:rPr>
        <w:t>People v. Carmony</w:t>
      </w:r>
      <w:r w:rsidRPr="00CA1A65" w:rsidR="00D85FE1">
        <w:rPr>
          <w:szCs w:val="26"/>
        </w:rPr>
        <w:t xml:space="preserve"> (2004) 33 Cal.4th 367, 378</w:t>
      </w:r>
      <w:r w:rsidRPr="00CA1A65" w:rsidR="00985035">
        <w:rPr>
          <w:szCs w:val="26"/>
        </w:rPr>
        <w:t>.)</w:t>
      </w:r>
      <w:r>
        <w:rPr>
          <w:rStyle w:val="FootnoteReference"/>
          <w:szCs w:val="26"/>
        </w:rPr>
        <w:footnoteReference w:id="16"/>
      </w:r>
      <w:r w:rsidRPr="00CA1A65" w:rsidR="004B660D">
        <w:rPr>
          <w:szCs w:val="26"/>
        </w:rPr>
        <w:t xml:space="preserve">  </w:t>
      </w:r>
    </w:p>
    <w:p w:rsidR="005E1709" w:rsidRPr="00CA1A65" w:rsidP="00CA1A65" w14:paraId="1DF1068C" w14:textId="77777777">
      <w:pPr>
        <w:ind w:firstLine="720"/>
        <w:rPr>
          <w:szCs w:val="26"/>
        </w:rPr>
      </w:pPr>
      <w:r>
        <w:rPr>
          <w:szCs w:val="26"/>
        </w:rPr>
        <w:t xml:space="preserve">Before concluding this discussion, we note </w:t>
      </w:r>
      <w:r w:rsidRPr="00CA1A65" w:rsidR="00271AEC">
        <w:rPr>
          <w:szCs w:val="26"/>
        </w:rPr>
        <w:t xml:space="preserve">New York courts </w:t>
      </w:r>
      <w:r w:rsidR="004F4958">
        <w:rPr>
          <w:szCs w:val="26"/>
        </w:rPr>
        <w:t xml:space="preserve">have </w:t>
      </w:r>
      <w:r w:rsidRPr="00CA1A65" w:rsidR="00271AEC">
        <w:rPr>
          <w:szCs w:val="26"/>
        </w:rPr>
        <w:t>viewed that state’s former</w:t>
      </w:r>
      <w:r>
        <w:rPr>
          <w:rStyle w:val="FootnoteReference"/>
          <w:szCs w:val="26"/>
        </w:rPr>
        <w:footnoteReference w:id="17"/>
      </w:r>
      <w:r w:rsidRPr="00CA1A65" w:rsidR="00271AEC">
        <w:rPr>
          <w:szCs w:val="26"/>
        </w:rPr>
        <w:t xml:space="preserve"> “in furtherance of justice” dismissal statute, </w:t>
      </w:r>
      <w:r w:rsidR="00960431">
        <w:rPr>
          <w:szCs w:val="26"/>
        </w:rPr>
        <w:t xml:space="preserve">New York </w:t>
      </w:r>
      <w:r w:rsidRPr="00CA1A65" w:rsidR="00271AEC">
        <w:rPr>
          <w:szCs w:val="26"/>
        </w:rPr>
        <w:t>Criminal Procedure Law section 671</w:t>
      </w:r>
      <w:r w:rsidR="004F4958">
        <w:rPr>
          <w:szCs w:val="26"/>
        </w:rPr>
        <w:t>, as allowing culpability considerations</w:t>
      </w:r>
      <w:r w:rsidRPr="00CA1A65" w:rsidR="00271AEC">
        <w:rPr>
          <w:szCs w:val="26"/>
        </w:rPr>
        <w:t xml:space="preserve">.  That section, as </w:t>
      </w:r>
      <w:r>
        <w:rPr>
          <w:szCs w:val="26"/>
        </w:rPr>
        <w:t>discussed</w:t>
      </w:r>
      <w:r w:rsidRPr="00CA1A65" w:rsidR="00271AEC">
        <w:rPr>
          <w:szCs w:val="26"/>
        </w:rPr>
        <w:t>, derived from the same proposed Field Code as section 1385.  It permitted a New York court to, “</w:t>
      </w:r>
      <w:r w:rsidR="00960431">
        <w:rPr>
          <w:szCs w:val="26"/>
        </w:rPr>
        <w:t> ‘</w:t>
      </w:r>
      <w:r w:rsidRPr="00CA1A65" w:rsidR="00271AEC">
        <w:rPr>
          <w:szCs w:val="26"/>
        </w:rPr>
        <w:t>either of its own motion, or upon the application of the district attorney, and in furtherance of justice, order an action, after indictment, to be dismissed.</w:t>
      </w:r>
      <w:r w:rsidR="00960431">
        <w:rPr>
          <w:szCs w:val="26"/>
        </w:rPr>
        <w:t>’ </w:t>
      </w:r>
      <w:r w:rsidRPr="00CA1A65" w:rsidR="00271AEC">
        <w:rPr>
          <w:szCs w:val="26"/>
        </w:rPr>
        <w:t>”  (</w:t>
      </w:r>
      <w:r w:rsidRPr="00CA1A65" w:rsidR="00271AEC">
        <w:rPr>
          <w:i/>
          <w:iCs/>
          <w:szCs w:val="26"/>
        </w:rPr>
        <w:t>People v. Douglass</w:t>
      </w:r>
      <w:r w:rsidRPr="00CA1A65" w:rsidR="00271AEC">
        <w:rPr>
          <w:szCs w:val="26"/>
        </w:rPr>
        <w:t xml:space="preserve">, </w:t>
      </w:r>
      <w:r w:rsidRPr="00CA1A65" w:rsidR="00271AEC">
        <w:rPr>
          <w:i/>
          <w:iCs/>
          <w:szCs w:val="26"/>
        </w:rPr>
        <w:t>supra</w:t>
      </w:r>
      <w:r w:rsidRPr="00CA1A65" w:rsidR="00271AEC">
        <w:rPr>
          <w:szCs w:val="26"/>
        </w:rPr>
        <w:t xml:space="preserve">, 60 N.Y.2d </w:t>
      </w:r>
      <w:r w:rsidR="00367A54">
        <w:rPr>
          <w:szCs w:val="26"/>
        </w:rPr>
        <w:t>at p</w:t>
      </w:r>
      <w:r w:rsidR="00960431">
        <w:rPr>
          <w:szCs w:val="26"/>
        </w:rPr>
        <w:t xml:space="preserve">. 204; see </w:t>
      </w:r>
      <w:r w:rsidR="00960431">
        <w:rPr>
          <w:i/>
          <w:iCs/>
          <w:szCs w:val="26"/>
        </w:rPr>
        <w:t xml:space="preserve">id. </w:t>
      </w:r>
      <w:r w:rsidR="00960431">
        <w:rPr>
          <w:szCs w:val="26"/>
        </w:rPr>
        <w:t>at p</w:t>
      </w:r>
      <w:r w:rsidR="00367A54">
        <w:rPr>
          <w:szCs w:val="26"/>
        </w:rPr>
        <w:t>p.</w:t>
      </w:r>
      <w:r w:rsidRPr="00CA1A65" w:rsidR="00271AEC">
        <w:rPr>
          <w:szCs w:val="26"/>
        </w:rPr>
        <w:t xml:space="preserve"> 202</w:t>
      </w:r>
      <w:r w:rsidRPr="00CA1A65" w:rsidR="00367A54">
        <w:rPr>
          <w:szCs w:val="26"/>
        </w:rPr>
        <w:t>–</w:t>
      </w:r>
      <w:r w:rsidRPr="00CA1A65" w:rsidR="00271AEC">
        <w:rPr>
          <w:szCs w:val="26"/>
        </w:rPr>
        <w:t xml:space="preserve">204.)  When California statutes have shared text and origins with New York statutes in this way, we have previously found New York decisional law interpreting its statutes to be “persuasive” </w:t>
      </w:r>
      <w:r w:rsidRPr="00CA1A65" w:rsidR="00960431">
        <w:rPr>
          <w:szCs w:val="26"/>
        </w:rPr>
        <w:t>(</w:t>
      </w:r>
      <w:r w:rsidRPr="00CA1A65" w:rsidR="00960431">
        <w:rPr>
          <w:i/>
          <w:iCs/>
          <w:szCs w:val="26"/>
        </w:rPr>
        <w:t>Estate of Howell</w:t>
      </w:r>
      <w:r w:rsidRPr="00CA1A65" w:rsidR="00960431">
        <w:rPr>
          <w:szCs w:val="26"/>
        </w:rPr>
        <w:t xml:space="preserve"> (1958) 50 Cal.2d 211, 215</w:t>
      </w:r>
      <w:r w:rsidR="00960431">
        <w:rPr>
          <w:szCs w:val="26"/>
        </w:rPr>
        <w:t>;</w:t>
      </w:r>
      <w:r w:rsidRPr="00CA1A65" w:rsidR="00960431">
        <w:rPr>
          <w:szCs w:val="26"/>
        </w:rPr>
        <w:t xml:space="preserve"> </w:t>
      </w:r>
      <w:r w:rsidRPr="00CA1A65" w:rsidR="00960431">
        <w:rPr>
          <w:i/>
          <w:iCs/>
          <w:szCs w:val="26"/>
        </w:rPr>
        <w:t>Estate of Willis</w:t>
      </w:r>
      <w:r w:rsidRPr="00CA1A65" w:rsidR="00960431">
        <w:rPr>
          <w:szCs w:val="26"/>
        </w:rPr>
        <w:t xml:space="preserve"> (1950) 34 Cal.2d 782, 787</w:t>
      </w:r>
      <w:r w:rsidR="00960431">
        <w:rPr>
          <w:szCs w:val="26"/>
        </w:rPr>
        <w:t xml:space="preserve">) </w:t>
      </w:r>
      <w:r w:rsidRPr="00CA1A65" w:rsidR="00271AEC">
        <w:rPr>
          <w:szCs w:val="26"/>
        </w:rPr>
        <w:t>and worthy of “great weight” (</w:t>
      </w:r>
      <w:r w:rsidRPr="00CA1A65" w:rsidR="00271AEC">
        <w:rPr>
          <w:i/>
          <w:iCs/>
          <w:szCs w:val="26"/>
        </w:rPr>
        <w:t>Harrison v. Sutter S. R. Co.</w:t>
      </w:r>
      <w:r w:rsidRPr="00CA1A65" w:rsidR="00271AEC">
        <w:rPr>
          <w:szCs w:val="26"/>
        </w:rPr>
        <w:t xml:space="preserve"> (1897) 116 Cal. 156, 168), even if not controlling (</w:t>
      </w:r>
      <w:r w:rsidRPr="00CA1A65" w:rsidR="00271AEC">
        <w:rPr>
          <w:i/>
          <w:iCs/>
          <w:szCs w:val="26"/>
        </w:rPr>
        <w:t>Milgate v. Wraith</w:t>
      </w:r>
      <w:r w:rsidRPr="00CA1A65" w:rsidR="00271AEC">
        <w:rPr>
          <w:szCs w:val="26"/>
        </w:rPr>
        <w:t xml:space="preserve"> (1942) 19 Cal.2d 297, 300).</w:t>
      </w:r>
    </w:p>
    <w:p w:rsidR="00E06731" w:rsidRPr="00CA1A65" w:rsidP="00CA1A65" w14:paraId="1DF1068D" w14:textId="77777777">
      <w:pPr>
        <w:ind w:firstLine="720"/>
        <w:rPr>
          <w:szCs w:val="26"/>
        </w:rPr>
      </w:pPr>
      <w:r w:rsidRPr="00CA1A65">
        <w:rPr>
          <w:szCs w:val="26"/>
        </w:rPr>
        <w:t xml:space="preserve">New York’s highest court stated that the power to dismiss an action in furtherance of justice under former section 671 </w:t>
      </w:r>
      <w:bookmarkStart w:id="8" w:name="_Hlk159520496"/>
      <w:r w:rsidRPr="00CA1A65">
        <w:rPr>
          <w:szCs w:val="26"/>
        </w:rPr>
        <w:t>“</w:t>
      </w:r>
      <w:r w:rsidR="00960431">
        <w:rPr>
          <w:szCs w:val="26"/>
        </w:rPr>
        <w:t> ‘</w:t>
      </w:r>
      <w:r w:rsidRPr="00CA1A65">
        <w:rPr>
          <w:szCs w:val="26"/>
        </w:rPr>
        <w:t>allow[ed] the letter of the law gracefully and charitably to succumb to the spirit of justice,</w:t>
      </w:r>
      <w:r w:rsidR="00960431">
        <w:rPr>
          <w:szCs w:val="26"/>
        </w:rPr>
        <w:t>’ </w:t>
      </w:r>
      <w:r w:rsidRPr="00CA1A65">
        <w:rPr>
          <w:szCs w:val="26"/>
        </w:rPr>
        <w:t>” “even to the disregard of legal or factual merit” of the prosecution.  (</w:t>
      </w:r>
      <w:r w:rsidRPr="00CA1A65">
        <w:rPr>
          <w:i/>
          <w:iCs/>
          <w:szCs w:val="26"/>
        </w:rPr>
        <w:t>People v. Rickert</w:t>
      </w:r>
      <w:r w:rsidR="00367A54">
        <w:rPr>
          <w:szCs w:val="26"/>
        </w:rPr>
        <w:t xml:space="preserve">, </w:t>
      </w:r>
      <w:r w:rsidR="00367A54">
        <w:rPr>
          <w:i/>
          <w:iCs/>
          <w:szCs w:val="26"/>
        </w:rPr>
        <w:t>supra</w:t>
      </w:r>
      <w:r w:rsidR="00367A54">
        <w:rPr>
          <w:szCs w:val="26"/>
        </w:rPr>
        <w:t>,</w:t>
      </w:r>
      <w:r w:rsidRPr="00CA1A65">
        <w:rPr>
          <w:szCs w:val="26"/>
        </w:rPr>
        <w:t xml:space="preserve"> 58 N.Y.2d </w:t>
      </w:r>
      <w:r w:rsidR="00960431">
        <w:rPr>
          <w:szCs w:val="26"/>
        </w:rPr>
        <w:t>at p.</w:t>
      </w:r>
      <w:r w:rsidRPr="00CA1A65">
        <w:rPr>
          <w:szCs w:val="26"/>
        </w:rPr>
        <w:t xml:space="preserve"> 126.)</w:t>
      </w:r>
      <w:bookmarkEnd w:id="8"/>
      <w:r w:rsidRPr="00CA1A65">
        <w:rPr>
          <w:szCs w:val="26"/>
        </w:rPr>
        <w:t xml:space="preserve">  It </w:t>
      </w:r>
      <w:r w:rsidR="00FD79F3">
        <w:rPr>
          <w:szCs w:val="26"/>
        </w:rPr>
        <w:t xml:space="preserve">noted </w:t>
      </w:r>
      <w:r w:rsidRPr="00CA1A65">
        <w:rPr>
          <w:szCs w:val="26"/>
        </w:rPr>
        <w:t xml:space="preserve">trial court decisions under that statute in which </w:t>
      </w:r>
      <w:r w:rsidR="00D32ACF">
        <w:rPr>
          <w:szCs w:val="26"/>
        </w:rPr>
        <w:t xml:space="preserve">reduced </w:t>
      </w:r>
      <w:r w:rsidRPr="00CA1A65">
        <w:rPr>
          <w:szCs w:val="26"/>
        </w:rPr>
        <w:t xml:space="preserve">culpability </w:t>
      </w:r>
      <w:r w:rsidR="00D32ACF">
        <w:rPr>
          <w:szCs w:val="26"/>
        </w:rPr>
        <w:t>played a part</w:t>
      </w:r>
      <w:r w:rsidRPr="00CA1A65">
        <w:rPr>
          <w:szCs w:val="26"/>
        </w:rPr>
        <w:t>.  (</w:t>
      </w:r>
      <w:r w:rsidRPr="00CA1A65">
        <w:rPr>
          <w:i/>
          <w:iCs/>
          <w:szCs w:val="26"/>
        </w:rPr>
        <w:t>Id.</w:t>
      </w:r>
      <w:r w:rsidRPr="00CA1A65">
        <w:rPr>
          <w:szCs w:val="26"/>
        </w:rPr>
        <w:t xml:space="preserve"> at p. 132, citing </w:t>
      </w:r>
      <w:r w:rsidRPr="00CA1A65">
        <w:rPr>
          <w:i/>
          <w:iCs/>
          <w:szCs w:val="26"/>
        </w:rPr>
        <w:t>People v. Davis</w:t>
      </w:r>
      <w:r w:rsidRPr="00CA1A65">
        <w:rPr>
          <w:szCs w:val="26"/>
        </w:rPr>
        <w:t xml:space="preserve"> (Sup</w:t>
      </w:r>
      <w:r w:rsidR="00993767">
        <w:rPr>
          <w:szCs w:val="26"/>
        </w:rPr>
        <w:t>er</w:t>
      </w:r>
      <w:r w:rsidRPr="00CA1A65">
        <w:rPr>
          <w:szCs w:val="26"/>
        </w:rPr>
        <w:t xml:space="preserve">.Ct. 1967) 286 N.Y.S.2d 396, 397 [college student charged with a felony for possessing one ounce of marijuana]; </w:t>
      </w:r>
      <w:r w:rsidRPr="00CA1A65">
        <w:rPr>
          <w:i/>
          <w:iCs/>
          <w:szCs w:val="26"/>
        </w:rPr>
        <w:t>People v. Campbell</w:t>
      </w:r>
      <w:r w:rsidRPr="00CA1A65">
        <w:rPr>
          <w:szCs w:val="26"/>
        </w:rPr>
        <w:t xml:space="preserve"> (Sup</w:t>
      </w:r>
      <w:r w:rsidR="00993767">
        <w:rPr>
          <w:szCs w:val="26"/>
        </w:rPr>
        <w:t>er</w:t>
      </w:r>
      <w:r w:rsidRPr="00CA1A65">
        <w:rPr>
          <w:szCs w:val="26"/>
        </w:rPr>
        <w:t>.Ct. 1966) 267 N.Y.S.2d 5, 6 [then-husband charged with abducting a woman two months before her 18th birthday when the two of them decided to drive out of state to wed].)</w:t>
      </w:r>
    </w:p>
    <w:p w:rsidR="007D5A8C" w:rsidRPr="00CA1A65" w:rsidP="00CA1A65" w14:paraId="1DF1068E" w14:textId="77777777">
      <w:pPr>
        <w:ind w:firstLine="720"/>
        <w:rPr>
          <w:szCs w:val="26"/>
        </w:rPr>
      </w:pPr>
      <w:r w:rsidRPr="00CA1A65">
        <w:rPr>
          <w:szCs w:val="26"/>
        </w:rPr>
        <w:t xml:space="preserve">It might be possible, as have some courts in other states, to read the “furtherance of justice” statutes more narrowly as allowing dismissals only in the face of arbitrary or nefarious acts by the government.  (See </w:t>
      </w:r>
      <w:r w:rsidRPr="00CA1A65">
        <w:rPr>
          <w:i/>
          <w:iCs/>
          <w:szCs w:val="26"/>
        </w:rPr>
        <w:t>State v. Brumage</w:t>
      </w:r>
      <w:r w:rsidRPr="00CA1A65">
        <w:rPr>
          <w:szCs w:val="26"/>
        </w:rPr>
        <w:t xml:space="preserve"> (Iowa 1989) 435 N.W.2d 337, 340 [comparing more restrictive jurisprudence on the topic to New York’s and California’s].)  But such a narrow reading would be inconsistent with the origins of section 1385, and, importantly, with our long-standing interpretation of that statute as permitting a range of considerations to be part of the dismissal calculus.  </w:t>
      </w:r>
      <w:r w:rsidR="006107A7">
        <w:rPr>
          <w:szCs w:val="26"/>
        </w:rPr>
        <w:t xml:space="preserve">In sum, and as explained above, we conclude that </w:t>
      </w:r>
      <w:r w:rsidR="005A2B9E">
        <w:rPr>
          <w:szCs w:val="26"/>
        </w:rPr>
        <w:t>a defendant</w:t>
      </w:r>
      <w:r w:rsidR="00410C7E">
        <w:rPr>
          <w:szCs w:val="26"/>
        </w:rPr>
        <w:t>’</w:t>
      </w:r>
      <w:r w:rsidR="005A2B9E">
        <w:rPr>
          <w:szCs w:val="26"/>
        </w:rPr>
        <w:t>s reduced culpability may be a proper section 1385 dismissal consideration.</w:t>
      </w:r>
    </w:p>
    <w:p w:rsidR="003D4815" w:rsidRPr="00CA1A65" w:rsidP="00CA1A65" w14:paraId="1DF1068F" w14:textId="77777777">
      <w:pPr>
        <w:outlineLvl w:val="1"/>
        <w:rPr>
          <w:b/>
          <w:bCs/>
          <w:szCs w:val="26"/>
        </w:rPr>
      </w:pPr>
      <w:r w:rsidRPr="00CA1A65">
        <w:rPr>
          <w:b/>
          <w:bCs/>
          <w:szCs w:val="26"/>
        </w:rPr>
        <w:t>C.</w:t>
      </w:r>
      <w:r w:rsidRPr="00CA1A65">
        <w:rPr>
          <w:b/>
          <w:bCs/>
          <w:szCs w:val="26"/>
        </w:rPr>
        <w:tab/>
        <w:t>Culpability and the City’s Ordinances</w:t>
      </w:r>
    </w:p>
    <w:p w:rsidR="00EC5B89" w:rsidRPr="00CA1A65" w:rsidP="00CA1A65" w14:paraId="1DF10690" w14:textId="77777777">
      <w:pPr>
        <w:rPr>
          <w:szCs w:val="26"/>
        </w:rPr>
      </w:pPr>
      <w:r w:rsidRPr="00CA1A65">
        <w:rPr>
          <w:szCs w:val="26"/>
        </w:rPr>
        <w:tab/>
        <w:t>To resolve this case, we need not address the full extent of a trial court’s discretion to dismiss a charge under section 1385 based in part on a defendant’s reduced culpability.  Nor need we</w:t>
      </w:r>
      <w:r w:rsidR="000E4C70">
        <w:rPr>
          <w:szCs w:val="26"/>
        </w:rPr>
        <w:t xml:space="preserve"> </w:t>
      </w:r>
      <w:r w:rsidRPr="00CA1A65">
        <w:rPr>
          <w:szCs w:val="26"/>
        </w:rPr>
        <w:t xml:space="preserve">evaluate the correctness of each Court of Appeal decision permitting a 1385 dismissal </w:t>
      </w:r>
      <w:r w:rsidRPr="00CA1A65" w:rsidR="00BB5CAD">
        <w:rPr>
          <w:szCs w:val="26"/>
        </w:rPr>
        <w:t xml:space="preserve">discussed in the previous section </w:t>
      </w:r>
      <w:r w:rsidRPr="00CA1A65">
        <w:rPr>
          <w:szCs w:val="26"/>
        </w:rPr>
        <w:t xml:space="preserve">or </w:t>
      </w:r>
      <w:r w:rsidR="00901D32">
        <w:rPr>
          <w:szCs w:val="26"/>
        </w:rPr>
        <w:t>fully align ourselves with</w:t>
      </w:r>
      <w:r w:rsidRPr="00CA1A65">
        <w:rPr>
          <w:szCs w:val="26"/>
        </w:rPr>
        <w:t xml:space="preserve"> the New York </w:t>
      </w:r>
      <w:r w:rsidR="00901D32">
        <w:rPr>
          <w:szCs w:val="26"/>
        </w:rPr>
        <w:t>dismissal regime</w:t>
      </w:r>
      <w:r w:rsidRPr="00CA1A65">
        <w:rPr>
          <w:szCs w:val="26"/>
        </w:rPr>
        <w:t>.  This is</w:t>
      </w:r>
      <w:r w:rsidRPr="00CA1A65" w:rsidR="00A965AB">
        <w:rPr>
          <w:szCs w:val="26"/>
        </w:rPr>
        <w:t xml:space="preserve"> in large part</w:t>
      </w:r>
      <w:r w:rsidRPr="00CA1A65">
        <w:rPr>
          <w:szCs w:val="26"/>
        </w:rPr>
        <w:t xml:space="preserve"> because the municipal enactments at issue here at most authorize </w:t>
      </w:r>
      <w:r w:rsidRPr="00CA1A65">
        <w:rPr>
          <w:i/>
          <w:iCs/>
          <w:szCs w:val="26"/>
        </w:rPr>
        <w:t>misdemeanor</w:t>
      </w:r>
      <w:r w:rsidRPr="00CA1A65">
        <w:rPr>
          <w:szCs w:val="26"/>
        </w:rPr>
        <w:t xml:space="preserve"> prosecutions</w:t>
      </w:r>
      <w:r w:rsidR="00E84E2A">
        <w:rPr>
          <w:szCs w:val="26"/>
        </w:rPr>
        <w:t xml:space="preserve"> and</w:t>
      </w:r>
      <w:r w:rsidRPr="00CA1A65">
        <w:rPr>
          <w:szCs w:val="26"/>
        </w:rPr>
        <w:t xml:space="preserve"> are clear in contemplating </w:t>
      </w:r>
      <w:r w:rsidRPr="00CA1A65">
        <w:rPr>
          <w:i/>
          <w:iCs/>
          <w:szCs w:val="26"/>
        </w:rPr>
        <w:t>noncriminal</w:t>
      </w:r>
      <w:r w:rsidRPr="00CA1A65">
        <w:rPr>
          <w:szCs w:val="26"/>
        </w:rPr>
        <w:t xml:space="preserve"> treatment for </w:t>
      </w:r>
      <w:r w:rsidRPr="00CA1A65" w:rsidR="00086C0D">
        <w:rPr>
          <w:szCs w:val="26"/>
        </w:rPr>
        <w:t xml:space="preserve">the least culpable </w:t>
      </w:r>
      <w:r w:rsidRPr="00CA1A65" w:rsidR="00D150F7">
        <w:rPr>
          <w:szCs w:val="26"/>
        </w:rPr>
        <w:t>violators</w:t>
      </w:r>
      <w:r w:rsidRPr="00CA1A65" w:rsidR="00086C0D">
        <w:rPr>
          <w:szCs w:val="26"/>
        </w:rPr>
        <w:t xml:space="preserve"> such as Wheeler</w:t>
      </w:r>
      <w:r w:rsidRPr="00CA1A65">
        <w:rPr>
          <w:szCs w:val="26"/>
        </w:rPr>
        <w:t>.</w:t>
      </w:r>
      <w:r w:rsidRPr="00CA1A65" w:rsidR="004674DB">
        <w:rPr>
          <w:szCs w:val="26"/>
        </w:rPr>
        <w:t xml:space="preserve">  As explained</w:t>
      </w:r>
      <w:r w:rsidR="00137C42">
        <w:rPr>
          <w:szCs w:val="26"/>
        </w:rPr>
        <w:t xml:space="preserve"> below</w:t>
      </w:r>
      <w:r w:rsidRPr="00CA1A65" w:rsidR="004674DB">
        <w:rPr>
          <w:szCs w:val="26"/>
        </w:rPr>
        <w:t xml:space="preserve">, this affects </w:t>
      </w:r>
      <w:r w:rsidR="000E4C70">
        <w:rPr>
          <w:szCs w:val="26"/>
        </w:rPr>
        <w:t>how</w:t>
      </w:r>
      <w:r w:rsidRPr="00CA1A65" w:rsidR="004674DB">
        <w:rPr>
          <w:szCs w:val="26"/>
        </w:rPr>
        <w:t xml:space="preserve"> we view the consideration of Wheeler’s mental state</w:t>
      </w:r>
      <w:r w:rsidR="000E4C70">
        <w:rPr>
          <w:szCs w:val="26"/>
        </w:rPr>
        <w:t xml:space="preserve"> as part of the section 1385 dismissal inquiry</w:t>
      </w:r>
      <w:r w:rsidRPr="00CA1A65" w:rsidR="004674DB">
        <w:rPr>
          <w:szCs w:val="26"/>
        </w:rPr>
        <w:t>.</w:t>
      </w:r>
    </w:p>
    <w:p w:rsidR="00D210F5" w:rsidRPr="00CA1A65" w:rsidP="00CA1A65" w14:paraId="1DF10691" w14:textId="77777777">
      <w:pPr>
        <w:ind w:firstLine="720"/>
        <w:rPr>
          <w:szCs w:val="26"/>
        </w:rPr>
      </w:pPr>
      <w:r w:rsidRPr="00CA1A65">
        <w:rPr>
          <w:szCs w:val="26"/>
        </w:rPr>
        <w:t xml:space="preserve">Here, the People charged Wheeler with violating three </w:t>
      </w:r>
      <w:r w:rsidR="00960431">
        <w:rPr>
          <w:szCs w:val="26"/>
        </w:rPr>
        <w:t>M</w:t>
      </w:r>
      <w:r w:rsidRPr="00CA1A65">
        <w:rPr>
          <w:szCs w:val="26"/>
        </w:rPr>
        <w:t xml:space="preserve">unicipal </w:t>
      </w:r>
      <w:r w:rsidR="00960431">
        <w:rPr>
          <w:szCs w:val="26"/>
        </w:rPr>
        <w:t>C</w:t>
      </w:r>
      <w:r w:rsidRPr="00CA1A65">
        <w:rPr>
          <w:szCs w:val="26"/>
        </w:rPr>
        <w:t xml:space="preserve">ode provisions.  Each provision reaches a wide range of conduct, some significantly more culpable than others.  First, </w:t>
      </w:r>
      <w:r w:rsidRPr="00CA1A65" w:rsidR="008B4666">
        <w:rPr>
          <w:szCs w:val="26"/>
        </w:rPr>
        <w:t xml:space="preserve">Municipal Code </w:t>
      </w:r>
      <w:r w:rsidRPr="00CA1A65">
        <w:rPr>
          <w:szCs w:val="26"/>
        </w:rPr>
        <w:t xml:space="preserve">section 104.15(a) reaches those who “establish” or “operate” </w:t>
      </w:r>
      <w:r w:rsidR="00960431">
        <w:rPr>
          <w:szCs w:val="26"/>
        </w:rPr>
        <w:t>(</w:t>
      </w:r>
      <w:r w:rsidR="00960431">
        <w:rPr>
          <w:i/>
          <w:iCs/>
          <w:szCs w:val="26"/>
        </w:rPr>
        <w:t>id.</w:t>
      </w:r>
      <w:r w:rsidR="00960431">
        <w:rPr>
          <w:szCs w:val="26"/>
        </w:rPr>
        <w:t xml:space="preserve">, </w:t>
      </w:r>
      <w:r w:rsidRPr="00CA1A65" w:rsidR="00960431">
        <w:rPr>
          <w:szCs w:val="26"/>
        </w:rPr>
        <w:t xml:space="preserve">§ </w:t>
      </w:r>
      <w:r w:rsidR="00960431">
        <w:rPr>
          <w:szCs w:val="26"/>
        </w:rPr>
        <w:t xml:space="preserve">104.15(a)(1)) </w:t>
      </w:r>
      <w:r w:rsidRPr="00CA1A65">
        <w:rPr>
          <w:szCs w:val="26"/>
        </w:rPr>
        <w:t xml:space="preserve">unlicensed commercial cannabis activity, but it also reaches, without regard to mental state, those who “participate” in that activity and those “renting, leasing to or otherwise allowing” </w:t>
      </w:r>
      <w:r w:rsidR="00960431">
        <w:rPr>
          <w:szCs w:val="26"/>
        </w:rPr>
        <w:t>(</w:t>
      </w:r>
      <w:r w:rsidR="00960431">
        <w:rPr>
          <w:i/>
          <w:iCs/>
          <w:szCs w:val="26"/>
        </w:rPr>
        <w:t>id.</w:t>
      </w:r>
      <w:r w:rsidR="00960431">
        <w:rPr>
          <w:szCs w:val="26"/>
        </w:rPr>
        <w:t xml:space="preserve">, </w:t>
      </w:r>
      <w:r w:rsidRPr="00CA1A65" w:rsidR="00960431">
        <w:rPr>
          <w:szCs w:val="26"/>
        </w:rPr>
        <w:t xml:space="preserve">§ </w:t>
      </w:r>
      <w:r w:rsidR="00960431">
        <w:rPr>
          <w:szCs w:val="26"/>
        </w:rPr>
        <w:t xml:space="preserve">104.15(a)(3)) </w:t>
      </w:r>
      <w:r w:rsidRPr="00CA1A65">
        <w:rPr>
          <w:szCs w:val="26"/>
        </w:rPr>
        <w:t xml:space="preserve">that activity.  Second, </w:t>
      </w:r>
      <w:r w:rsidR="00960431">
        <w:rPr>
          <w:szCs w:val="26"/>
        </w:rPr>
        <w:t xml:space="preserve">Municipal Code </w:t>
      </w:r>
      <w:r w:rsidRPr="00CA1A65">
        <w:rPr>
          <w:szCs w:val="26"/>
        </w:rPr>
        <w:t xml:space="preserve">section 104.15(b) reaches at least as broad a swath of behavior, including, again without regard to mental state, those who own, operate, participate in, and lease to, or allow land use by, an unlicensed cannabis establishment.  The third provision, </w:t>
      </w:r>
      <w:r w:rsidR="00960431">
        <w:rPr>
          <w:szCs w:val="26"/>
        </w:rPr>
        <w:t xml:space="preserve">Municipal Code </w:t>
      </w:r>
      <w:r w:rsidRPr="00CA1A65">
        <w:rPr>
          <w:szCs w:val="26"/>
        </w:rPr>
        <w:t xml:space="preserve">section 12.21, falls under the city’s comprehensive zoning plan (see </w:t>
      </w:r>
      <w:r w:rsidRPr="00A70481" w:rsidR="00A70481">
        <w:rPr>
          <w:i/>
          <w:iCs/>
          <w:szCs w:val="26"/>
        </w:rPr>
        <w:t>id</w:t>
      </w:r>
      <w:r w:rsidR="00A70481">
        <w:rPr>
          <w:szCs w:val="26"/>
        </w:rPr>
        <w:t>.</w:t>
      </w:r>
      <w:r w:rsidR="000F15F5">
        <w:rPr>
          <w:szCs w:val="26"/>
        </w:rPr>
        <w:t>,</w:t>
      </w:r>
      <w:r w:rsidRPr="00CA1A65" w:rsidR="008B4666">
        <w:rPr>
          <w:szCs w:val="26"/>
        </w:rPr>
        <w:t xml:space="preserve"> </w:t>
      </w:r>
      <w:r w:rsidRPr="00CA1A65">
        <w:rPr>
          <w:szCs w:val="26"/>
        </w:rPr>
        <w:t>§ 12.00) and prohibits essentially any building, and land development, or use that has been undertaken without “all permits and licenses required by all laws and ordinances.”</w:t>
      </w:r>
      <w:r>
        <w:rPr>
          <w:rStyle w:val="FootnoteReference"/>
          <w:szCs w:val="26"/>
        </w:rPr>
        <w:footnoteReference w:id="18"/>
      </w:r>
    </w:p>
    <w:p w:rsidR="00D86970" w:rsidRPr="00CA1A65" w:rsidP="00CA1A65" w14:paraId="1DF10692" w14:textId="77777777">
      <w:pPr>
        <w:ind w:firstLine="720"/>
        <w:rPr>
          <w:szCs w:val="26"/>
        </w:rPr>
      </w:pPr>
      <w:r w:rsidRPr="00CA1A65">
        <w:rPr>
          <w:szCs w:val="26"/>
        </w:rPr>
        <w:t xml:space="preserve">Each of these municipal code provisions subjects violators to the same maximum misdemeanor penalty of up to six months in county jail and up to a $1,000 fine.  And, just as these provisions contemplate a wide range of culpability, they contemplate a correspondingly wide range of potential consequences, including, as noted, noncriminal sanctions.  Though the municipal provisions authorize treatment of violators as misdemeanants, violators lacking a “financial interest” in the unlicensed cannabis </w:t>
      </w:r>
      <w:r w:rsidRPr="00CA1A65" w:rsidR="006C42FF">
        <w:rPr>
          <w:szCs w:val="26"/>
        </w:rPr>
        <w:t xml:space="preserve">establishment </w:t>
      </w:r>
      <w:r w:rsidRPr="00CA1A65">
        <w:rPr>
          <w:szCs w:val="26"/>
        </w:rPr>
        <w:t>may face only “a citation issued under the City’s Administrative Citation Enforcement Program.”  (</w:t>
      </w:r>
      <w:r w:rsidR="000F15F5">
        <w:rPr>
          <w:szCs w:val="26"/>
        </w:rPr>
        <w:t>Mun. Code,</w:t>
      </w:r>
      <w:r w:rsidRPr="00CA1A65">
        <w:rPr>
          <w:szCs w:val="26"/>
        </w:rPr>
        <w:t xml:space="preserve"> § 104.15(d); cf. </w:t>
      </w:r>
      <w:r w:rsidR="000613E5">
        <w:rPr>
          <w:i/>
          <w:iCs/>
          <w:szCs w:val="26"/>
        </w:rPr>
        <w:t>id.</w:t>
      </w:r>
      <w:r w:rsidR="000613E5">
        <w:rPr>
          <w:szCs w:val="26"/>
        </w:rPr>
        <w:t xml:space="preserve">, </w:t>
      </w:r>
      <w:r w:rsidRPr="00CA1A65">
        <w:rPr>
          <w:szCs w:val="26"/>
        </w:rPr>
        <w:t>§ 11.00(m) [allowing, more broadly, municipal code violation</w:t>
      </w:r>
      <w:r w:rsidRPr="00CA1A65" w:rsidR="00BB5CAD">
        <w:rPr>
          <w:szCs w:val="26"/>
        </w:rPr>
        <w:t>s</w:t>
      </w:r>
      <w:r w:rsidRPr="00CA1A65">
        <w:rPr>
          <w:szCs w:val="26"/>
        </w:rPr>
        <w:t xml:space="preserve"> to be addressed as infraction</w:t>
      </w:r>
      <w:r w:rsidRPr="00CA1A65" w:rsidR="00BB5CAD">
        <w:rPr>
          <w:szCs w:val="26"/>
        </w:rPr>
        <w:t>s</w:t>
      </w:r>
      <w:r w:rsidRPr="00CA1A65">
        <w:rPr>
          <w:szCs w:val="26"/>
        </w:rPr>
        <w:t xml:space="preserve"> or with noncriminal administrative citation</w:t>
      </w:r>
      <w:r w:rsidRPr="00CA1A65" w:rsidR="00BB5CAD">
        <w:rPr>
          <w:szCs w:val="26"/>
        </w:rPr>
        <w:t>s</w:t>
      </w:r>
      <w:r w:rsidRPr="00CA1A65">
        <w:rPr>
          <w:szCs w:val="26"/>
        </w:rPr>
        <w:t xml:space="preserve">]; </w:t>
      </w:r>
      <w:r w:rsidRPr="00CA1A65">
        <w:rPr>
          <w:i/>
          <w:iCs/>
          <w:szCs w:val="26"/>
        </w:rPr>
        <w:t>id.</w:t>
      </w:r>
      <w:r w:rsidRPr="00CA1A65">
        <w:rPr>
          <w:szCs w:val="26"/>
        </w:rPr>
        <w:t xml:space="preserve">, § 11.2.01 [noting the alternative, noncriminal </w:t>
      </w:r>
      <w:r w:rsidRPr="00605A7C">
        <w:rPr>
          <w:szCs w:val="26"/>
        </w:rPr>
        <w:t>nature</w:t>
      </w:r>
      <w:r w:rsidRPr="00CA1A65">
        <w:rPr>
          <w:szCs w:val="26"/>
        </w:rPr>
        <w:t xml:space="preserve"> of the citation process].)  </w:t>
      </w:r>
      <w:r w:rsidRPr="00CA1A65" w:rsidR="00351279">
        <w:rPr>
          <w:szCs w:val="26"/>
        </w:rPr>
        <w:t xml:space="preserve">Thus </w:t>
      </w:r>
      <w:r w:rsidRPr="00CA1A65">
        <w:rPr>
          <w:szCs w:val="26"/>
        </w:rPr>
        <w:t>the text of the municipal code</w:t>
      </w:r>
      <w:r w:rsidRPr="00CA1A65" w:rsidR="00351279">
        <w:rPr>
          <w:szCs w:val="26"/>
        </w:rPr>
        <w:t xml:space="preserve"> itself</w:t>
      </w:r>
      <w:r w:rsidRPr="00CA1A65">
        <w:rPr>
          <w:szCs w:val="26"/>
        </w:rPr>
        <w:t xml:space="preserve"> contemplate</w:t>
      </w:r>
      <w:r w:rsidRPr="00CA1A65" w:rsidR="00351279">
        <w:rPr>
          <w:szCs w:val="26"/>
        </w:rPr>
        <w:t>s</w:t>
      </w:r>
      <w:r w:rsidRPr="00CA1A65">
        <w:rPr>
          <w:szCs w:val="26"/>
        </w:rPr>
        <w:t xml:space="preserve"> that </w:t>
      </w:r>
      <w:r w:rsidR="0084545F">
        <w:rPr>
          <w:szCs w:val="26"/>
        </w:rPr>
        <w:t>some</w:t>
      </w:r>
      <w:r w:rsidRPr="00CA1A65" w:rsidR="0084545F">
        <w:rPr>
          <w:szCs w:val="26"/>
        </w:rPr>
        <w:t xml:space="preserve"> </w:t>
      </w:r>
      <w:r w:rsidRPr="00CA1A65">
        <w:rPr>
          <w:szCs w:val="26"/>
        </w:rPr>
        <w:t>violations pertaining to unlicensed cannabis activity would not merit invoking the criminal justice system and its sanctions</w:t>
      </w:r>
      <w:r w:rsidRPr="00CA1A65" w:rsidR="005911C7">
        <w:rPr>
          <w:szCs w:val="26"/>
        </w:rPr>
        <w:t>.</w:t>
      </w:r>
      <w:r>
        <w:rPr>
          <w:rStyle w:val="FootnoteReference"/>
          <w:szCs w:val="26"/>
        </w:rPr>
        <w:footnoteReference w:id="19"/>
      </w:r>
    </w:p>
    <w:p w:rsidR="00351279" w:rsidRPr="00CA1A65" w:rsidP="00CA1A65" w14:paraId="1DF10693" w14:textId="77777777">
      <w:pPr>
        <w:ind w:firstLine="720"/>
        <w:rPr>
          <w:szCs w:val="26"/>
        </w:rPr>
      </w:pPr>
      <w:r w:rsidRPr="00CA1A65">
        <w:rPr>
          <w:szCs w:val="26"/>
        </w:rPr>
        <w:t xml:space="preserve">Wheeler’s alleged involvement in the crimes charged relates to her ownership of the property; she lacked “any contact with or any business position in running [the] illegal dispensary.”  We can readily envision myriad ways in which a defendant landlord might be viewed as more culpable while still lacking knowledge of unlicensed cannabis activity occurring on its property.  For instance, a defendant could be aware its tenant sells cannabis at other locations.  Or </w:t>
      </w:r>
      <w:r w:rsidRPr="00CA1A65" w:rsidR="00D73488">
        <w:rPr>
          <w:szCs w:val="26"/>
        </w:rPr>
        <w:t xml:space="preserve">a defendant could be aware of </w:t>
      </w:r>
      <w:r w:rsidRPr="00CA1A65">
        <w:rPr>
          <w:szCs w:val="26"/>
        </w:rPr>
        <w:t>cannabis sales at the defendant’s property</w:t>
      </w:r>
      <w:r w:rsidRPr="00CA1A65" w:rsidR="00D73488">
        <w:rPr>
          <w:szCs w:val="26"/>
        </w:rPr>
        <w:t xml:space="preserve">, perhaps </w:t>
      </w:r>
      <w:r w:rsidRPr="00CA1A65">
        <w:rPr>
          <w:szCs w:val="26"/>
        </w:rPr>
        <w:t xml:space="preserve">within a storefront bearing signs </w:t>
      </w:r>
      <w:r w:rsidRPr="00CA1A65" w:rsidR="003030E9">
        <w:rPr>
          <w:szCs w:val="26"/>
        </w:rPr>
        <w:t xml:space="preserve">advertising </w:t>
      </w:r>
      <w:r w:rsidRPr="00CA1A65">
        <w:rPr>
          <w:szCs w:val="26"/>
        </w:rPr>
        <w:t xml:space="preserve">cannabis.  Or </w:t>
      </w:r>
      <w:r w:rsidRPr="00CA1A65" w:rsidR="00D73488">
        <w:rPr>
          <w:szCs w:val="26"/>
        </w:rPr>
        <w:t xml:space="preserve">a </w:t>
      </w:r>
      <w:r w:rsidRPr="00CA1A65">
        <w:rPr>
          <w:szCs w:val="26"/>
        </w:rPr>
        <w:t xml:space="preserve">defendant might have some role in the business without being aware of its unlicensed status.  The trial court could </w:t>
      </w:r>
      <w:r w:rsidRPr="00CA1A65" w:rsidR="00652A34">
        <w:rPr>
          <w:szCs w:val="26"/>
        </w:rPr>
        <w:t xml:space="preserve">reasonably </w:t>
      </w:r>
      <w:r w:rsidRPr="00CA1A65">
        <w:rPr>
          <w:szCs w:val="26"/>
        </w:rPr>
        <w:t xml:space="preserve">locate Wheeler’s place </w:t>
      </w:r>
      <w:r w:rsidRPr="00CA1A65" w:rsidR="00FB4491">
        <w:rPr>
          <w:szCs w:val="26"/>
        </w:rPr>
        <w:t xml:space="preserve">at the bottom end of </w:t>
      </w:r>
      <w:r w:rsidRPr="00CA1A65" w:rsidR="00AC7A2B">
        <w:rPr>
          <w:szCs w:val="26"/>
        </w:rPr>
        <w:t xml:space="preserve">the </w:t>
      </w:r>
      <w:r w:rsidRPr="00CA1A65">
        <w:rPr>
          <w:szCs w:val="26"/>
        </w:rPr>
        <w:t xml:space="preserve">spectrum </w:t>
      </w:r>
      <w:r w:rsidRPr="00CA1A65" w:rsidR="00AC7A2B">
        <w:rPr>
          <w:szCs w:val="26"/>
        </w:rPr>
        <w:t xml:space="preserve">of unknowing but violative conduct </w:t>
      </w:r>
      <w:r w:rsidRPr="00CA1A65">
        <w:rPr>
          <w:szCs w:val="26"/>
        </w:rPr>
        <w:t>when considering “the nature of the crime” and the “</w:t>
      </w:r>
      <w:r w:rsidR="004A7FB6">
        <w:rPr>
          <w:szCs w:val="26"/>
        </w:rPr>
        <w:t> ‘</w:t>
      </w:r>
      <w:r w:rsidRPr="00CA1A65">
        <w:rPr>
          <w:szCs w:val="26"/>
        </w:rPr>
        <w:t>evidence indicative of guilt or innocence.</w:t>
      </w:r>
      <w:r w:rsidR="004A7FB6">
        <w:rPr>
          <w:szCs w:val="26"/>
        </w:rPr>
        <w:t>’ </w:t>
      </w:r>
      <w:r w:rsidRPr="00CA1A65">
        <w:rPr>
          <w:szCs w:val="26"/>
        </w:rPr>
        <w:t>”  (</w:t>
      </w:r>
      <w:r w:rsidRPr="00CA1A65">
        <w:rPr>
          <w:i/>
          <w:iCs/>
          <w:szCs w:val="26"/>
        </w:rPr>
        <w:t>Orin</w:t>
      </w:r>
      <w:r w:rsidRPr="00CA1A65">
        <w:rPr>
          <w:szCs w:val="26"/>
        </w:rPr>
        <w:t xml:space="preserve">, </w:t>
      </w:r>
      <w:r w:rsidRPr="00CA1A65">
        <w:rPr>
          <w:i/>
          <w:iCs/>
          <w:szCs w:val="26"/>
        </w:rPr>
        <w:t>supra</w:t>
      </w:r>
      <w:r w:rsidRPr="00CA1A65">
        <w:rPr>
          <w:szCs w:val="26"/>
        </w:rPr>
        <w:t xml:space="preserve">, 13 Cal.3d at p. 946.)  </w:t>
      </w:r>
      <w:r w:rsidRPr="00CA1A65" w:rsidR="00FD3092">
        <w:rPr>
          <w:szCs w:val="26"/>
        </w:rPr>
        <w:t>W</w:t>
      </w:r>
      <w:r w:rsidRPr="00CA1A65" w:rsidR="0068696F">
        <w:rPr>
          <w:szCs w:val="26"/>
        </w:rPr>
        <w:t>here</w:t>
      </w:r>
      <w:r w:rsidRPr="00CA1A65" w:rsidR="00FD3092">
        <w:rPr>
          <w:szCs w:val="26"/>
        </w:rPr>
        <w:t>, as here,</w:t>
      </w:r>
      <w:r w:rsidRPr="00CA1A65" w:rsidR="0068696F">
        <w:rPr>
          <w:szCs w:val="26"/>
        </w:rPr>
        <w:t xml:space="preserve"> </w:t>
      </w:r>
      <w:r w:rsidRPr="00CA1A65">
        <w:rPr>
          <w:szCs w:val="26"/>
        </w:rPr>
        <w:t xml:space="preserve">the laws at issue </w:t>
      </w:r>
      <w:r w:rsidRPr="00CA1A65" w:rsidR="00FD3092">
        <w:rPr>
          <w:szCs w:val="26"/>
        </w:rPr>
        <w:t xml:space="preserve">permit </w:t>
      </w:r>
      <w:r w:rsidRPr="00CA1A65">
        <w:rPr>
          <w:szCs w:val="26"/>
        </w:rPr>
        <w:t xml:space="preserve">noncriminal treatment </w:t>
      </w:r>
      <w:r w:rsidRPr="00CA1A65" w:rsidR="00B153C0">
        <w:rPr>
          <w:szCs w:val="26"/>
        </w:rPr>
        <w:t>of the</w:t>
      </w:r>
      <w:r w:rsidRPr="00CA1A65" w:rsidR="00FD3092">
        <w:rPr>
          <w:szCs w:val="26"/>
        </w:rPr>
        <w:t xml:space="preserve"> </w:t>
      </w:r>
      <w:r w:rsidRPr="00CA1A65">
        <w:rPr>
          <w:szCs w:val="26"/>
        </w:rPr>
        <w:t xml:space="preserve">least culpable violators, a dismissal under section 1385 that </w:t>
      </w:r>
      <w:r w:rsidRPr="00CA1A65" w:rsidR="00BC0C4D">
        <w:rPr>
          <w:szCs w:val="26"/>
        </w:rPr>
        <w:t>references</w:t>
      </w:r>
      <w:r w:rsidRPr="00CA1A65" w:rsidR="00B153C0">
        <w:rPr>
          <w:szCs w:val="26"/>
        </w:rPr>
        <w:t xml:space="preserve"> </w:t>
      </w:r>
      <w:r w:rsidRPr="00CA1A65" w:rsidR="00FD3092">
        <w:rPr>
          <w:szCs w:val="26"/>
        </w:rPr>
        <w:t>a defendant’s</w:t>
      </w:r>
      <w:r w:rsidRPr="00CA1A65">
        <w:rPr>
          <w:szCs w:val="26"/>
        </w:rPr>
        <w:t xml:space="preserve"> </w:t>
      </w:r>
      <w:r w:rsidRPr="00CA1A65" w:rsidR="007961D4">
        <w:rPr>
          <w:szCs w:val="26"/>
        </w:rPr>
        <w:t>minimal</w:t>
      </w:r>
      <w:r w:rsidRPr="00CA1A65" w:rsidR="00FD3092">
        <w:rPr>
          <w:szCs w:val="26"/>
        </w:rPr>
        <w:t>, bottom-of-the-spectrum</w:t>
      </w:r>
      <w:r w:rsidRPr="00CA1A65">
        <w:rPr>
          <w:szCs w:val="26"/>
        </w:rPr>
        <w:t xml:space="preserve"> culpability</w:t>
      </w:r>
      <w:r w:rsidRPr="00CA1A65" w:rsidR="000E5E7A">
        <w:rPr>
          <w:szCs w:val="26"/>
        </w:rPr>
        <w:t xml:space="preserve"> as one of the dismissal considerations</w:t>
      </w:r>
      <w:r w:rsidRPr="00CA1A65" w:rsidR="00FD3092">
        <w:rPr>
          <w:szCs w:val="26"/>
        </w:rPr>
        <w:t xml:space="preserve"> </w:t>
      </w:r>
      <w:r w:rsidRPr="00CA1A65">
        <w:rPr>
          <w:szCs w:val="26"/>
        </w:rPr>
        <w:t>does not</w:t>
      </w:r>
      <w:r w:rsidRPr="00CA1A65" w:rsidR="00EF2A0C">
        <w:rPr>
          <w:szCs w:val="26"/>
        </w:rPr>
        <w:t xml:space="preserve">, </w:t>
      </w:r>
      <w:r w:rsidR="000E5F00">
        <w:rPr>
          <w:szCs w:val="26"/>
        </w:rPr>
        <w:t>simply by</w:t>
      </w:r>
      <w:r w:rsidRPr="00CA1A65" w:rsidR="000E5F00">
        <w:rPr>
          <w:szCs w:val="26"/>
        </w:rPr>
        <w:t xml:space="preserve"> </w:t>
      </w:r>
      <w:r w:rsidRPr="00CA1A65" w:rsidR="00EF2A0C">
        <w:rPr>
          <w:szCs w:val="26"/>
        </w:rPr>
        <w:t>doing so,</w:t>
      </w:r>
      <w:r w:rsidRPr="00CA1A65">
        <w:rPr>
          <w:szCs w:val="26"/>
        </w:rPr>
        <w:t xml:space="preserve"> go beyond the justice internal to the laws or evince bare antipathy for them.</w:t>
      </w:r>
    </w:p>
    <w:p w:rsidR="0036494E" w:rsidRPr="00CA1A65" w:rsidP="00CA1A65" w14:paraId="1DF10694" w14:textId="77777777">
      <w:pPr>
        <w:ind w:firstLine="720"/>
        <w:rPr>
          <w:szCs w:val="26"/>
        </w:rPr>
      </w:pPr>
      <w:r w:rsidRPr="00CA1A65">
        <w:rPr>
          <w:szCs w:val="26"/>
        </w:rPr>
        <w:t xml:space="preserve">According to the </w:t>
      </w:r>
      <w:r w:rsidR="000F15F5">
        <w:rPr>
          <w:szCs w:val="26"/>
        </w:rPr>
        <w:t>a</w:t>
      </w:r>
      <w:r w:rsidRPr="00CA1A65">
        <w:rPr>
          <w:szCs w:val="26"/>
        </w:rPr>
        <w:t xml:space="preserve">ppellate </w:t>
      </w:r>
      <w:r w:rsidR="000F15F5">
        <w:rPr>
          <w:szCs w:val="26"/>
        </w:rPr>
        <w:t>d</w:t>
      </w:r>
      <w:r w:rsidRPr="00CA1A65">
        <w:rPr>
          <w:szCs w:val="26"/>
        </w:rPr>
        <w:t xml:space="preserve">ivision, the trial court should not have considered Wheeler’s lack of knowledge </w:t>
      </w:r>
      <w:r w:rsidRPr="00CA1A65" w:rsidR="00CE62AC">
        <w:rPr>
          <w:szCs w:val="26"/>
        </w:rPr>
        <w:t xml:space="preserve">at all </w:t>
      </w:r>
      <w:r w:rsidRPr="00CA1A65">
        <w:rPr>
          <w:szCs w:val="26"/>
        </w:rPr>
        <w:t xml:space="preserve">because she was accused of a strict liability offense and her lack of knowledge, therefore, neither rendered her innocent nor was it “mitigating.”  But any circumstance of a </w:t>
      </w:r>
      <w:r w:rsidRPr="00CA1A65">
        <w:rPr>
          <w:i/>
          <w:iCs/>
          <w:szCs w:val="26"/>
        </w:rPr>
        <w:t>crime</w:t>
      </w:r>
      <w:r w:rsidRPr="00CA1A65">
        <w:rPr>
          <w:szCs w:val="26"/>
        </w:rPr>
        <w:t xml:space="preserve">, whether or not necessary to prove an element of the crime, might render a defendant less culpable without rendering her innocent.  And “mitigating” circumstances, to use the language of the </w:t>
      </w:r>
      <w:r w:rsidR="000F15F5">
        <w:rPr>
          <w:szCs w:val="26"/>
        </w:rPr>
        <w:t>a</w:t>
      </w:r>
      <w:r w:rsidRPr="00CA1A65">
        <w:rPr>
          <w:szCs w:val="26"/>
        </w:rPr>
        <w:t xml:space="preserve">ppellate </w:t>
      </w:r>
      <w:r w:rsidR="000F15F5">
        <w:rPr>
          <w:szCs w:val="26"/>
        </w:rPr>
        <w:t>d</w:t>
      </w:r>
      <w:r w:rsidRPr="00CA1A65">
        <w:rPr>
          <w:szCs w:val="26"/>
        </w:rPr>
        <w:t>ivision, are ordinarily thought to include circumstances of the crime itself that, although not proving innocence, lessen culpability.  (</w:t>
      </w:r>
      <w:r w:rsidRPr="00CA1A65">
        <w:rPr>
          <w:i/>
          <w:iCs/>
          <w:szCs w:val="26"/>
        </w:rPr>
        <w:t>People v. Gonzalez</w:t>
      </w:r>
      <w:r w:rsidRPr="00CA1A65">
        <w:rPr>
          <w:szCs w:val="26"/>
        </w:rPr>
        <w:t xml:space="preserve"> (1990) 51 Cal.3d 1179, 1232 [“factor (a) of section 190.3 allows the sentencer to evaluate all aggravating and mitigating aspects of the capital crime itself”</w:t>
      </w:r>
      <w:r w:rsidR="00BE7A49">
        <w:rPr>
          <w:szCs w:val="26"/>
        </w:rPr>
        <w:t xml:space="preserve"> (italics omitted)</w:t>
      </w:r>
      <w:r w:rsidRPr="00CA1A65">
        <w:rPr>
          <w:szCs w:val="26"/>
        </w:rPr>
        <w:t xml:space="preserve">]; Cal. Rules of Court, rule 4.423 [“Circumstances in mitigation include factors relating to the crime and factors relating to the defendant”]; </w:t>
      </w:r>
      <w:r w:rsidRPr="00CA1A65">
        <w:rPr>
          <w:i/>
          <w:iCs/>
          <w:szCs w:val="26"/>
        </w:rPr>
        <w:t>People v. Thomas</w:t>
      </w:r>
      <w:r w:rsidRPr="00CA1A65">
        <w:rPr>
          <w:szCs w:val="26"/>
        </w:rPr>
        <w:t xml:space="preserve">, </w:t>
      </w:r>
      <w:r w:rsidRPr="00CA1A65">
        <w:rPr>
          <w:i/>
          <w:iCs/>
          <w:szCs w:val="26"/>
        </w:rPr>
        <w:t>supra</w:t>
      </w:r>
      <w:r w:rsidRPr="00CA1A65">
        <w:rPr>
          <w:szCs w:val="26"/>
        </w:rPr>
        <w:t>, 4 Cal.4</w:t>
      </w:r>
      <w:r w:rsidRPr="00CA1A65" w:rsidR="00B5548D">
        <w:rPr>
          <w:szCs w:val="26"/>
        </w:rPr>
        <w:t>th</w:t>
      </w:r>
      <w:r w:rsidRPr="00CA1A65">
        <w:rPr>
          <w:szCs w:val="26"/>
        </w:rPr>
        <w:t xml:space="preserve"> at p. 212 [mitigation factors at sentencing mirror those at play in a section 1385 dismissal decision].)  As noted </w:t>
      </w:r>
      <w:r w:rsidRPr="00CA1A65" w:rsidR="00A965AB">
        <w:rPr>
          <w:szCs w:val="26"/>
        </w:rPr>
        <w:t>in the previous section</w:t>
      </w:r>
      <w:r w:rsidRPr="00CA1A65">
        <w:rPr>
          <w:szCs w:val="26"/>
        </w:rPr>
        <w:t xml:space="preserve">, </w:t>
      </w:r>
      <w:r w:rsidRPr="00CA1A65" w:rsidR="00B5548D">
        <w:rPr>
          <w:szCs w:val="26"/>
        </w:rPr>
        <w:t xml:space="preserve">dismissal despite </w:t>
      </w:r>
      <w:r w:rsidRPr="00CA1A65" w:rsidR="00201617">
        <w:rPr>
          <w:szCs w:val="26"/>
        </w:rPr>
        <w:t xml:space="preserve">indications </w:t>
      </w:r>
      <w:r w:rsidRPr="00CA1A65">
        <w:rPr>
          <w:szCs w:val="26"/>
        </w:rPr>
        <w:t xml:space="preserve">of guilt </w:t>
      </w:r>
      <w:r w:rsidRPr="00CA1A65" w:rsidR="00B5548D">
        <w:rPr>
          <w:szCs w:val="26"/>
        </w:rPr>
        <w:t xml:space="preserve">does </w:t>
      </w:r>
      <w:r w:rsidRPr="00CA1A65">
        <w:rPr>
          <w:szCs w:val="26"/>
        </w:rPr>
        <w:t>not</w:t>
      </w:r>
      <w:r w:rsidRPr="00CA1A65" w:rsidR="00B5548D">
        <w:rPr>
          <w:szCs w:val="26"/>
        </w:rPr>
        <w:t xml:space="preserve"> </w:t>
      </w:r>
      <w:r w:rsidRPr="00CA1A65" w:rsidR="00CD4517">
        <w:rPr>
          <w:szCs w:val="26"/>
        </w:rPr>
        <w:t xml:space="preserve">inexorably </w:t>
      </w:r>
      <w:r w:rsidRPr="00CA1A65" w:rsidR="00B5548D">
        <w:rPr>
          <w:szCs w:val="26"/>
        </w:rPr>
        <w:t xml:space="preserve">equate with a bare antipathy for the law </w:t>
      </w:r>
      <w:r w:rsidRPr="00CA1A65" w:rsidR="00CD4517">
        <w:rPr>
          <w:szCs w:val="26"/>
        </w:rPr>
        <w:t xml:space="preserve">that </w:t>
      </w:r>
      <w:r w:rsidRPr="00CA1A65" w:rsidR="00B5548D">
        <w:rPr>
          <w:szCs w:val="26"/>
        </w:rPr>
        <w:t>would</w:t>
      </w:r>
      <w:r w:rsidRPr="00CA1A65">
        <w:rPr>
          <w:szCs w:val="26"/>
        </w:rPr>
        <w:t xml:space="preserve"> </w:t>
      </w:r>
      <w:r w:rsidRPr="00CA1A65" w:rsidR="00B5548D">
        <w:rPr>
          <w:szCs w:val="26"/>
        </w:rPr>
        <w:t>invalidate</w:t>
      </w:r>
      <w:r w:rsidRPr="00CA1A65">
        <w:rPr>
          <w:szCs w:val="26"/>
        </w:rPr>
        <w:t xml:space="preserve"> section 1385 relief</w:t>
      </w:r>
      <w:r w:rsidRPr="00CA1A65" w:rsidR="00B5548D">
        <w:rPr>
          <w:szCs w:val="26"/>
        </w:rPr>
        <w:t>.  (See</w:t>
      </w:r>
      <w:r w:rsidRPr="00CA1A65" w:rsidR="00B5548D">
        <w:rPr>
          <w:i/>
          <w:iCs/>
          <w:szCs w:val="26"/>
        </w:rPr>
        <w:t xml:space="preserve"> </w:t>
      </w:r>
      <w:r w:rsidR="008D7D02">
        <w:rPr>
          <w:i/>
          <w:iCs/>
          <w:szCs w:val="26"/>
        </w:rPr>
        <w:t>ante</w:t>
      </w:r>
      <w:r w:rsidRPr="00CA1A65" w:rsidR="00B5548D">
        <w:rPr>
          <w:szCs w:val="26"/>
        </w:rPr>
        <w:t>, pt</w:t>
      </w:r>
      <w:r w:rsidR="008D7D02">
        <w:rPr>
          <w:szCs w:val="26"/>
        </w:rPr>
        <w:t>.</w:t>
      </w:r>
      <w:r w:rsidRPr="00CA1A65" w:rsidR="00B5548D">
        <w:rPr>
          <w:szCs w:val="26"/>
        </w:rPr>
        <w:t xml:space="preserve"> II.B.)  Further, </w:t>
      </w:r>
      <w:r w:rsidRPr="00CA1A65">
        <w:rPr>
          <w:szCs w:val="26"/>
        </w:rPr>
        <w:t xml:space="preserve">innocence, or failure of evidence on a crime’s element, may be better addressed through </w:t>
      </w:r>
      <w:r w:rsidRPr="00CA1A65" w:rsidR="00925130">
        <w:rPr>
          <w:szCs w:val="26"/>
        </w:rPr>
        <w:t>non</w:t>
      </w:r>
      <w:r w:rsidRPr="00CA1A65">
        <w:rPr>
          <w:szCs w:val="26"/>
        </w:rPr>
        <w:t>discretionary procedures</w:t>
      </w:r>
      <w:r w:rsidRPr="00CA1A65" w:rsidR="00B5548D">
        <w:rPr>
          <w:szCs w:val="26"/>
        </w:rPr>
        <w:t xml:space="preserve">. </w:t>
      </w:r>
      <w:r w:rsidRPr="00CA1A65">
        <w:rPr>
          <w:szCs w:val="26"/>
        </w:rPr>
        <w:t xml:space="preserve"> (</w:t>
      </w:r>
      <w:r w:rsidRPr="00CA1A65" w:rsidR="00B5548D">
        <w:rPr>
          <w:szCs w:val="26"/>
        </w:rPr>
        <w:t>S</w:t>
      </w:r>
      <w:r w:rsidRPr="00CA1A65">
        <w:rPr>
          <w:szCs w:val="26"/>
        </w:rPr>
        <w:t xml:space="preserve">ee </w:t>
      </w:r>
      <w:r w:rsidR="000613E5">
        <w:rPr>
          <w:i/>
          <w:iCs/>
          <w:szCs w:val="26"/>
        </w:rPr>
        <w:t>ante</w:t>
      </w:r>
      <w:r w:rsidRPr="00CA1A65">
        <w:rPr>
          <w:szCs w:val="26"/>
        </w:rPr>
        <w:t xml:space="preserve">, </w:t>
      </w:r>
      <w:r w:rsidR="000613E5">
        <w:rPr>
          <w:szCs w:val="26"/>
        </w:rPr>
        <w:t>fn.</w:t>
      </w:r>
      <w:r w:rsidRPr="00CA1A65">
        <w:rPr>
          <w:szCs w:val="26"/>
        </w:rPr>
        <w:t xml:space="preserve"> 1</w:t>
      </w:r>
      <w:r w:rsidRPr="00CA1A65" w:rsidR="00702147">
        <w:rPr>
          <w:szCs w:val="26"/>
        </w:rPr>
        <w:t>2</w:t>
      </w:r>
      <w:r w:rsidRPr="00CA1A65">
        <w:rPr>
          <w:szCs w:val="26"/>
        </w:rPr>
        <w:t>, noting statutes authorizing dismissal for failure to state an offense or for the absence of probable cause.</w:t>
      </w:r>
      <w:r w:rsidRPr="00CA1A65" w:rsidR="00B5548D">
        <w:rPr>
          <w:szCs w:val="26"/>
        </w:rPr>
        <w:t>)</w:t>
      </w:r>
    </w:p>
    <w:p w:rsidR="00F02F1E" w:rsidRPr="00CA1A65" w:rsidP="00CA1A65" w14:paraId="1DF10695" w14:textId="77777777">
      <w:pPr>
        <w:ind w:firstLine="720"/>
        <w:rPr>
          <w:szCs w:val="26"/>
        </w:rPr>
      </w:pPr>
      <w:r w:rsidRPr="00CA1A65">
        <w:rPr>
          <w:szCs w:val="26"/>
        </w:rPr>
        <w:t xml:space="preserve">Though Wheeler has not disputed her </w:t>
      </w:r>
      <w:r w:rsidRPr="00CA1A65" w:rsidR="007A2029">
        <w:rPr>
          <w:szCs w:val="26"/>
        </w:rPr>
        <w:t>technical violations of the municipal laws</w:t>
      </w:r>
      <w:r w:rsidRPr="00CA1A65">
        <w:rPr>
          <w:szCs w:val="26"/>
        </w:rPr>
        <w:t>, we hold</w:t>
      </w:r>
      <w:r w:rsidRPr="00CA1A65" w:rsidR="00A03878">
        <w:rPr>
          <w:szCs w:val="26"/>
        </w:rPr>
        <w:t xml:space="preserve"> that</w:t>
      </w:r>
      <w:r w:rsidRPr="00CA1A65">
        <w:rPr>
          <w:szCs w:val="26"/>
        </w:rPr>
        <w:t xml:space="preserve">, given the </w:t>
      </w:r>
      <w:r w:rsidRPr="00CA1A65" w:rsidR="007A2029">
        <w:rPr>
          <w:szCs w:val="26"/>
        </w:rPr>
        <w:t>nature of those laws</w:t>
      </w:r>
      <w:r w:rsidRPr="00CA1A65">
        <w:rPr>
          <w:szCs w:val="26"/>
        </w:rPr>
        <w:t xml:space="preserve">, </w:t>
      </w:r>
      <w:r w:rsidRPr="00CA1A65" w:rsidR="00575F3B">
        <w:rPr>
          <w:szCs w:val="26"/>
        </w:rPr>
        <w:t xml:space="preserve">the trial court had discretion to consider </w:t>
      </w:r>
      <w:r w:rsidRPr="00CA1A65">
        <w:rPr>
          <w:szCs w:val="26"/>
        </w:rPr>
        <w:t xml:space="preserve">the nature of the alleged violations and </w:t>
      </w:r>
      <w:r w:rsidRPr="00CA1A65" w:rsidR="00575F3B">
        <w:rPr>
          <w:szCs w:val="26"/>
        </w:rPr>
        <w:t xml:space="preserve">Wheeler’s lack of knowledge in weighing </w:t>
      </w:r>
      <w:r w:rsidRPr="00CA1A65" w:rsidR="00FB4491">
        <w:rPr>
          <w:szCs w:val="26"/>
        </w:rPr>
        <w:t xml:space="preserve">all </w:t>
      </w:r>
      <w:r w:rsidRPr="00CA1A65" w:rsidR="00575F3B">
        <w:rPr>
          <w:szCs w:val="26"/>
        </w:rPr>
        <w:t>the considerations for and against dismissal in furtherance of justice under section 1385.</w:t>
      </w:r>
    </w:p>
    <w:p w:rsidR="00466DE1" w:rsidRPr="00CA1A65" w:rsidP="00CA1A65" w14:paraId="1DF10696" w14:textId="77777777">
      <w:pPr>
        <w:outlineLvl w:val="1"/>
        <w:rPr>
          <w:b/>
          <w:bCs/>
          <w:szCs w:val="26"/>
        </w:rPr>
      </w:pPr>
      <w:r w:rsidRPr="00CA1A65">
        <w:rPr>
          <w:b/>
          <w:bCs/>
          <w:szCs w:val="26"/>
        </w:rPr>
        <w:t>D.</w:t>
      </w:r>
      <w:r w:rsidRPr="00CA1A65">
        <w:rPr>
          <w:b/>
          <w:bCs/>
          <w:szCs w:val="26"/>
        </w:rPr>
        <w:tab/>
        <w:t>Remaining Matters</w:t>
      </w:r>
    </w:p>
    <w:p w:rsidR="000A07F5" w:rsidRPr="00CA1A65" w:rsidP="00CA1A65" w14:paraId="1DF10697" w14:textId="77777777">
      <w:pPr>
        <w:ind w:firstLine="720"/>
        <w:rPr>
          <w:szCs w:val="26"/>
        </w:rPr>
      </w:pPr>
      <w:r w:rsidRPr="00CA1A65">
        <w:rPr>
          <w:szCs w:val="26"/>
        </w:rPr>
        <w:t xml:space="preserve">The People </w:t>
      </w:r>
      <w:r w:rsidRPr="00CA1A65" w:rsidR="007B0125">
        <w:rPr>
          <w:szCs w:val="26"/>
        </w:rPr>
        <w:t xml:space="preserve">advance additional arguments </w:t>
      </w:r>
      <w:r w:rsidRPr="00CA1A65" w:rsidR="00A64109">
        <w:rPr>
          <w:szCs w:val="26"/>
        </w:rPr>
        <w:t>against dismissal</w:t>
      </w:r>
      <w:r w:rsidRPr="00CA1A65" w:rsidR="007B0125">
        <w:rPr>
          <w:szCs w:val="26"/>
        </w:rPr>
        <w:t xml:space="preserve">.  First, they </w:t>
      </w:r>
      <w:r w:rsidRPr="00CA1A65">
        <w:rPr>
          <w:szCs w:val="26"/>
        </w:rPr>
        <w:t xml:space="preserve">argue that even if the trial court </w:t>
      </w:r>
      <w:r w:rsidRPr="00CA1A65">
        <w:rPr>
          <w:i/>
          <w:iCs/>
          <w:szCs w:val="26"/>
        </w:rPr>
        <w:t>could</w:t>
      </w:r>
      <w:r w:rsidRPr="00CA1A65">
        <w:rPr>
          <w:szCs w:val="26"/>
        </w:rPr>
        <w:t xml:space="preserve"> consider Wheeler’s lack of knowledge</w:t>
      </w:r>
      <w:r w:rsidRPr="00CA1A65" w:rsidR="006A7B6A">
        <w:rPr>
          <w:szCs w:val="26"/>
        </w:rPr>
        <w:t xml:space="preserve"> in the exercise of its discretion</w:t>
      </w:r>
      <w:r w:rsidRPr="00CA1A65">
        <w:rPr>
          <w:szCs w:val="26"/>
        </w:rPr>
        <w:t xml:space="preserve">, the </w:t>
      </w:r>
      <w:r w:rsidR="000F15F5">
        <w:rPr>
          <w:szCs w:val="26"/>
        </w:rPr>
        <w:t>a</w:t>
      </w:r>
      <w:r w:rsidRPr="00CA1A65">
        <w:rPr>
          <w:szCs w:val="26"/>
        </w:rPr>
        <w:t xml:space="preserve">ppellate </w:t>
      </w:r>
      <w:r w:rsidR="000F15F5">
        <w:rPr>
          <w:szCs w:val="26"/>
        </w:rPr>
        <w:t>d</w:t>
      </w:r>
      <w:r w:rsidRPr="00CA1A65">
        <w:rPr>
          <w:szCs w:val="26"/>
        </w:rPr>
        <w:t>ivision</w:t>
      </w:r>
      <w:r w:rsidRPr="00CA1A65" w:rsidR="00FB4491">
        <w:rPr>
          <w:szCs w:val="26"/>
        </w:rPr>
        <w:t>’s</w:t>
      </w:r>
      <w:r w:rsidRPr="00CA1A65">
        <w:rPr>
          <w:szCs w:val="26"/>
        </w:rPr>
        <w:t xml:space="preserve"> revers</w:t>
      </w:r>
      <w:r w:rsidRPr="00CA1A65" w:rsidR="00FB4491">
        <w:rPr>
          <w:szCs w:val="26"/>
        </w:rPr>
        <w:t>al</w:t>
      </w:r>
      <w:r w:rsidRPr="00CA1A65">
        <w:rPr>
          <w:szCs w:val="26"/>
        </w:rPr>
        <w:t xml:space="preserve"> </w:t>
      </w:r>
      <w:r w:rsidRPr="00CA1A65" w:rsidR="00FB4491">
        <w:rPr>
          <w:szCs w:val="26"/>
        </w:rPr>
        <w:t xml:space="preserve">of </w:t>
      </w:r>
      <w:r w:rsidRPr="00CA1A65">
        <w:rPr>
          <w:szCs w:val="26"/>
        </w:rPr>
        <w:t xml:space="preserve">the dismissal </w:t>
      </w:r>
      <w:r w:rsidRPr="00CA1A65" w:rsidR="00FB4491">
        <w:rPr>
          <w:szCs w:val="26"/>
        </w:rPr>
        <w:t xml:space="preserve">should stand </w:t>
      </w:r>
      <w:r w:rsidRPr="00CA1A65">
        <w:rPr>
          <w:szCs w:val="26"/>
        </w:rPr>
        <w:t xml:space="preserve">because “[t]here was no substantial evidence to support the assertion [Wheeler] lacked knowledge of the unlicensed commercial cannabis activity on her property, and the trial court’s subsequent dismissal on that basis was an abuse of discretion.”  In particular, the People fault the trial court’s reliance on </w:t>
      </w:r>
      <w:r w:rsidRPr="00CA1A65" w:rsidR="006A6FCE">
        <w:rPr>
          <w:szCs w:val="26"/>
        </w:rPr>
        <w:t xml:space="preserve">sworn </w:t>
      </w:r>
      <w:r w:rsidRPr="00CA1A65">
        <w:rPr>
          <w:szCs w:val="26"/>
        </w:rPr>
        <w:t xml:space="preserve">representations </w:t>
      </w:r>
      <w:r w:rsidRPr="00CA1A65">
        <w:rPr>
          <w:i/>
          <w:iCs/>
          <w:szCs w:val="26"/>
        </w:rPr>
        <w:t>from defense counsel</w:t>
      </w:r>
      <w:r w:rsidRPr="00CA1A65">
        <w:rPr>
          <w:szCs w:val="26"/>
        </w:rPr>
        <w:t xml:space="preserve">, rather than from Wheeler herself, regarding her mental state.  </w:t>
      </w:r>
      <w:r w:rsidRPr="00CA1A65" w:rsidR="00341013">
        <w:rPr>
          <w:szCs w:val="26"/>
        </w:rPr>
        <w:t xml:space="preserve">Wheeler responds that the People forfeited this argument by not objecting to the materials before the court and by conceding Wheeler’s lack of knowledge.  </w:t>
      </w:r>
    </w:p>
    <w:p w:rsidR="00317397" w:rsidRPr="00CA1A65" w:rsidP="00CA1A65" w14:paraId="1DF10698" w14:textId="77777777">
      <w:pPr>
        <w:ind w:firstLine="720"/>
        <w:rPr>
          <w:szCs w:val="26"/>
        </w:rPr>
      </w:pPr>
      <w:r w:rsidRPr="00CA1A65">
        <w:rPr>
          <w:szCs w:val="26"/>
        </w:rPr>
        <w:t xml:space="preserve">Our view of the record better coincides with Wheeler’s.  </w:t>
      </w:r>
      <w:r w:rsidRPr="00CA1A65" w:rsidR="0094123C">
        <w:rPr>
          <w:szCs w:val="26"/>
        </w:rPr>
        <w:t>The</w:t>
      </w:r>
      <w:r w:rsidRPr="00CA1A65" w:rsidR="00632B5F">
        <w:rPr>
          <w:szCs w:val="26"/>
        </w:rPr>
        <w:t xml:space="preserve"> People’s written opposition</w:t>
      </w:r>
      <w:r w:rsidRPr="00CA1A65" w:rsidR="0094123C">
        <w:rPr>
          <w:szCs w:val="26"/>
        </w:rPr>
        <w:t xml:space="preserve"> to Wheeler’s dismissal invitation </w:t>
      </w:r>
      <w:r w:rsidRPr="00CA1A65" w:rsidR="002A2CC0">
        <w:rPr>
          <w:szCs w:val="26"/>
        </w:rPr>
        <w:t xml:space="preserve">did not alert the court to specific evidentiary concerns </w:t>
      </w:r>
      <w:r w:rsidRPr="00CA1A65" w:rsidR="0094123C">
        <w:rPr>
          <w:szCs w:val="26"/>
        </w:rPr>
        <w:t xml:space="preserve">to </w:t>
      </w:r>
      <w:r w:rsidRPr="00CA1A65" w:rsidR="00FB4491">
        <w:rPr>
          <w:szCs w:val="26"/>
        </w:rPr>
        <w:t>her</w:t>
      </w:r>
      <w:r w:rsidRPr="00CA1A65" w:rsidR="0094123C">
        <w:rPr>
          <w:szCs w:val="26"/>
        </w:rPr>
        <w:t xml:space="preserve"> asserted lack of knowledge</w:t>
      </w:r>
      <w:r w:rsidRPr="00CA1A65" w:rsidR="002A2CC0">
        <w:rPr>
          <w:szCs w:val="26"/>
        </w:rPr>
        <w:t xml:space="preserve"> or offer contradictory facts</w:t>
      </w:r>
      <w:r w:rsidRPr="00CA1A65" w:rsidR="00976DA2">
        <w:rPr>
          <w:szCs w:val="26"/>
        </w:rPr>
        <w:t xml:space="preserve"> to rebut Wheeler’s contention the dispensary’s operation was “covert</w:t>
      </w:r>
      <w:r w:rsidRPr="00CA1A65" w:rsidR="0094123C">
        <w:rPr>
          <w:szCs w:val="26"/>
        </w:rPr>
        <w:t>.</w:t>
      </w:r>
      <w:r w:rsidRPr="00CA1A65" w:rsidR="00976DA2">
        <w:rPr>
          <w:szCs w:val="26"/>
        </w:rPr>
        <w:t>”</w:t>
      </w:r>
      <w:r w:rsidRPr="00CA1A65" w:rsidR="0094123C">
        <w:rPr>
          <w:szCs w:val="26"/>
        </w:rPr>
        <w:t xml:space="preserve">  Rather</w:t>
      </w:r>
      <w:r w:rsidRPr="00CA1A65" w:rsidR="002A2CC0">
        <w:rPr>
          <w:szCs w:val="26"/>
        </w:rPr>
        <w:t xml:space="preserve">, </w:t>
      </w:r>
      <w:r w:rsidRPr="00CA1A65" w:rsidR="0094123C">
        <w:rPr>
          <w:szCs w:val="26"/>
        </w:rPr>
        <w:t>the People</w:t>
      </w:r>
      <w:r w:rsidRPr="00CA1A65" w:rsidR="00632B5F">
        <w:rPr>
          <w:szCs w:val="26"/>
        </w:rPr>
        <w:t xml:space="preserve"> argued </w:t>
      </w:r>
      <w:r w:rsidRPr="00CA1A65" w:rsidR="0094123C">
        <w:rPr>
          <w:szCs w:val="26"/>
        </w:rPr>
        <w:t>Wheeler</w:t>
      </w:r>
      <w:r w:rsidRPr="00CA1A65" w:rsidR="00632B5F">
        <w:rPr>
          <w:szCs w:val="26"/>
        </w:rPr>
        <w:t xml:space="preserve"> “has presented </w:t>
      </w:r>
      <w:r w:rsidRPr="00CA1A65" w:rsidR="00632B5F">
        <w:rPr>
          <w:szCs w:val="26"/>
          <w:u w:val="single"/>
        </w:rPr>
        <w:t>no evidence</w:t>
      </w:r>
      <w:r w:rsidRPr="00CA1A65" w:rsidR="0094123C">
        <w:rPr>
          <w:szCs w:val="26"/>
        </w:rPr>
        <w:t>” and “</w:t>
      </w:r>
      <w:r w:rsidRPr="00CA1A65" w:rsidR="00632B5F">
        <w:rPr>
          <w:szCs w:val="26"/>
        </w:rPr>
        <w:t>simply makes a number of unsupported assertions.</w:t>
      </w:r>
      <w:r w:rsidRPr="00CA1A65" w:rsidR="002A2CC0">
        <w:rPr>
          <w:szCs w:val="26"/>
        </w:rPr>
        <w:t>”  The People continued,</w:t>
      </w:r>
      <w:r w:rsidRPr="00CA1A65" w:rsidR="00632B5F">
        <w:rPr>
          <w:szCs w:val="26"/>
        </w:rPr>
        <w:t xml:space="preserve"> </w:t>
      </w:r>
      <w:r w:rsidRPr="00CA1A65" w:rsidR="002A2CC0">
        <w:rPr>
          <w:szCs w:val="26"/>
        </w:rPr>
        <w:t>“</w:t>
      </w:r>
      <w:r w:rsidRPr="00CA1A65" w:rsidR="00632B5F">
        <w:rPr>
          <w:szCs w:val="26"/>
        </w:rPr>
        <w:t xml:space="preserve">there is no evidence that she had no connection to the illegal cannabis business; and no evidence that she did not know that the activity was occurring on her property.”  </w:t>
      </w:r>
      <w:r w:rsidRPr="00CA1A65" w:rsidR="004B765C">
        <w:rPr>
          <w:szCs w:val="26"/>
        </w:rPr>
        <w:t>Later, a</w:t>
      </w:r>
      <w:r w:rsidRPr="00CA1A65">
        <w:rPr>
          <w:szCs w:val="26"/>
        </w:rPr>
        <w:t>t the hearing</w:t>
      </w:r>
      <w:r w:rsidRPr="00CA1A65" w:rsidR="004B765C">
        <w:rPr>
          <w:szCs w:val="26"/>
        </w:rPr>
        <w:t xml:space="preserve"> where the trial court granted dismissal</w:t>
      </w:r>
      <w:r w:rsidRPr="00CA1A65" w:rsidR="00100714">
        <w:rPr>
          <w:szCs w:val="26"/>
        </w:rPr>
        <w:t xml:space="preserve"> on its own motion, the court cited Wheeler</w:t>
      </w:r>
      <w:r w:rsidR="00413C6A">
        <w:rPr>
          <w:szCs w:val="26"/>
        </w:rPr>
        <w:t>’</w:t>
      </w:r>
      <w:r w:rsidRPr="00CA1A65" w:rsidR="00100714">
        <w:rPr>
          <w:szCs w:val="26"/>
        </w:rPr>
        <w:t>s lack of any knowledge</w:t>
      </w:r>
      <w:r w:rsidRPr="00CA1A65" w:rsidR="0072000F">
        <w:rPr>
          <w:szCs w:val="26"/>
        </w:rPr>
        <w:t xml:space="preserve"> as a factor </w:t>
      </w:r>
      <w:r w:rsidRPr="00CA1A65">
        <w:rPr>
          <w:szCs w:val="26"/>
        </w:rPr>
        <w:t>favoring</w:t>
      </w:r>
      <w:r w:rsidRPr="00CA1A65" w:rsidR="0072000F">
        <w:rPr>
          <w:szCs w:val="26"/>
        </w:rPr>
        <w:t xml:space="preserve"> dismissal. </w:t>
      </w:r>
      <w:r w:rsidRPr="00CA1A65">
        <w:rPr>
          <w:szCs w:val="26"/>
        </w:rPr>
        <w:t xml:space="preserve"> </w:t>
      </w:r>
      <w:r w:rsidRPr="00CA1A65" w:rsidR="0072000F">
        <w:rPr>
          <w:szCs w:val="26"/>
        </w:rPr>
        <w:t>Significantly,</w:t>
      </w:r>
      <w:r w:rsidRPr="00CA1A65" w:rsidR="004B765C">
        <w:rPr>
          <w:szCs w:val="26"/>
        </w:rPr>
        <w:t xml:space="preserve"> the People offered no </w:t>
      </w:r>
      <w:r w:rsidRPr="00CA1A65" w:rsidR="00100714">
        <w:rPr>
          <w:szCs w:val="26"/>
        </w:rPr>
        <w:t xml:space="preserve">challenge to that assertion nor any further contention regarding </w:t>
      </w:r>
      <w:r w:rsidRPr="00CA1A65" w:rsidR="004B765C">
        <w:rPr>
          <w:szCs w:val="26"/>
        </w:rPr>
        <w:t xml:space="preserve">Wheeler’s </w:t>
      </w:r>
      <w:r w:rsidRPr="00CA1A65" w:rsidR="00FB4491">
        <w:rPr>
          <w:szCs w:val="26"/>
        </w:rPr>
        <w:t>mental state</w:t>
      </w:r>
      <w:r w:rsidRPr="00CA1A65" w:rsidR="004B765C">
        <w:rPr>
          <w:szCs w:val="26"/>
        </w:rPr>
        <w:t xml:space="preserve">.  </w:t>
      </w:r>
      <w:r w:rsidRPr="00CA1A65" w:rsidR="00B51C39">
        <w:rPr>
          <w:szCs w:val="26"/>
        </w:rPr>
        <w:t>Nor did the People request an opportunity to test Wheeler</w:t>
      </w:r>
      <w:r w:rsidR="00413C6A">
        <w:rPr>
          <w:szCs w:val="26"/>
        </w:rPr>
        <w:t>’</w:t>
      </w:r>
      <w:r w:rsidRPr="00CA1A65" w:rsidR="00B51C39">
        <w:rPr>
          <w:szCs w:val="26"/>
        </w:rPr>
        <w:t xml:space="preserve">s claims.  </w:t>
      </w:r>
      <w:r w:rsidRPr="00CA1A65" w:rsidR="004B765C">
        <w:rPr>
          <w:szCs w:val="26"/>
        </w:rPr>
        <w:t>Instead, despite lodging other objections to the court’s dismissal, the People conceded that Wheeler was nothing more than a property owner and the People were “not suggesting she has any contact with or any business position in running [the] illegal dispensary.”</w:t>
      </w:r>
    </w:p>
    <w:p w:rsidR="00632B5F" w:rsidRPr="00CA1A65" w:rsidP="00CA1A65" w14:paraId="1DF10699" w14:textId="77777777">
      <w:pPr>
        <w:ind w:firstLine="720"/>
        <w:rPr>
          <w:szCs w:val="26"/>
        </w:rPr>
      </w:pPr>
      <w:r w:rsidRPr="00CA1A65">
        <w:rPr>
          <w:szCs w:val="26"/>
        </w:rPr>
        <w:t>A “finding shall not be set aside, nor shall [a] judgment or decision based thereon be reversed, by reason of the erroneous admission of evidence unless</w:t>
      </w:r>
      <w:r w:rsidRPr="00CA1A65" w:rsidR="008808FD">
        <w:rPr>
          <w:szCs w:val="26"/>
        </w:rPr>
        <w:t xml:space="preserve"> .</w:t>
      </w:r>
      <w:r w:rsidR="008808FD">
        <w:rPr>
          <w:szCs w:val="26"/>
        </w:rPr>
        <w:t> </w:t>
      </w:r>
      <w:r w:rsidRPr="00CA1A65" w:rsidR="008808FD">
        <w:rPr>
          <w:szCs w:val="26"/>
        </w:rPr>
        <w:t>.</w:t>
      </w:r>
      <w:r w:rsidR="008808FD">
        <w:rPr>
          <w:szCs w:val="26"/>
        </w:rPr>
        <w:t> </w:t>
      </w:r>
      <w:r w:rsidRPr="00CA1A65" w:rsidR="008808FD">
        <w:rPr>
          <w:szCs w:val="26"/>
        </w:rPr>
        <w:t>.</w:t>
      </w:r>
      <w:r w:rsidR="008808FD">
        <w:rPr>
          <w:szCs w:val="26"/>
        </w:rPr>
        <w:t> </w:t>
      </w:r>
      <w:r w:rsidR="008808FD">
        <w:rPr>
          <w:color w:val="000000"/>
        </w:rPr>
        <w:t>[¶] . . . </w:t>
      </w:r>
      <w:r w:rsidRPr="00CA1A65">
        <w:rPr>
          <w:szCs w:val="26"/>
        </w:rPr>
        <w:t xml:space="preserve">[t]here appears of record an objection to or a motion to exclude or to strike the evidence that was timely made and so stated as to make clear the specific ground of the objection or motion.”  (Evid. Code, § 353, subd. (a).)  </w:t>
      </w:r>
      <w:r w:rsidRPr="00CA1A65" w:rsidR="008808FD">
        <w:rPr>
          <w:szCs w:val="26"/>
        </w:rPr>
        <w:t>“</w:t>
      </w:r>
      <w:r w:rsidR="008808FD">
        <w:rPr>
          <w:szCs w:val="26"/>
        </w:rPr>
        <w:t>   </w:t>
      </w:r>
      <w:r w:rsidRPr="00CA1A65" w:rsidR="008808FD">
        <w:rPr>
          <w:szCs w:val="26"/>
        </w:rPr>
        <w:t>‘</w:t>
      </w:r>
      <w:r w:rsidR="008808FD">
        <w:rPr>
          <w:szCs w:val="26"/>
        </w:rPr>
        <w:t> </w:t>
      </w:r>
      <w:r w:rsidRPr="00CA1A65" w:rsidR="008808FD">
        <w:rPr>
          <w:szCs w:val="26"/>
        </w:rPr>
        <w:t>“</w:t>
      </w:r>
      <w:r w:rsidR="008808FD">
        <w:rPr>
          <w:szCs w:val="26"/>
        </w:rPr>
        <w:t> </w:t>
      </w:r>
      <w:r w:rsidRPr="00CA1A65" w:rsidR="008808FD">
        <w:rPr>
          <w:szCs w:val="26"/>
        </w:rPr>
        <w:t>‘</w:t>
      </w:r>
      <w:r w:rsidRPr="00CA1A65">
        <w:rPr>
          <w:szCs w:val="26"/>
        </w:rPr>
        <w:t>Specificity is required both to enable the court to make an informed ruling on the . . . objection and to enable the party proffering the evidence to cure the defect in the evidence.’</w:t>
      </w:r>
      <w:r w:rsidR="000613E5">
        <w:rPr>
          <w:szCs w:val="26"/>
        </w:rPr>
        <w:t> </w:t>
      </w:r>
      <w:r w:rsidRPr="00CA1A65">
        <w:rPr>
          <w:szCs w:val="26"/>
        </w:rPr>
        <w:t>”</w:t>
      </w:r>
      <w:r w:rsidR="000613E5">
        <w:rPr>
          <w:szCs w:val="26"/>
        </w:rPr>
        <w:t> </w:t>
      </w:r>
      <w:r w:rsidRPr="00CA1A65">
        <w:rPr>
          <w:szCs w:val="26"/>
        </w:rPr>
        <w:t>’</w:t>
      </w:r>
      <w:r w:rsidR="000613E5">
        <w:rPr>
          <w:szCs w:val="26"/>
        </w:rPr>
        <w:t> </w:t>
      </w:r>
      <w:r w:rsidRPr="00CA1A65">
        <w:rPr>
          <w:szCs w:val="26"/>
        </w:rPr>
        <w:t>”  (</w:t>
      </w:r>
      <w:r w:rsidRPr="00CA1A65">
        <w:rPr>
          <w:i/>
          <w:iCs/>
          <w:szCs w:val="26"/>
        </w:rPr>
        <w:t>People v. Jones</w:t>
      </w:r>
      <w:r w:rsidRPr="00CA1A65">
        <w:rPr>
          <w:szCs w:val="26"/>
        </w:rPr>
        <w:t xml:space="preserve"> (2013) 57 Cal.4th 899, 977.)  “</w:t>
      </w:r>
      <w:r w:rsidR="00940353">
        <w:rPr>
          <w:szCs w:val="26"/>
        </w:rPr>
        <w:t> </w:t>
      </w:r>
      <w:r w:rsidRPr="00CA1A65">
        <w:rPr>
          <w:szCs w:val="26"/>
        </w:rPr>
        <w:t xml:space="preserve">‘[T]he objection must be made in such a way as to alert the trial court to the nature of the anticipated evidence and the basis on which exclusion is sought, and to afford the </w:t>
      </w:r>
      <w:r w:rsidRPr="00CA1A65" w:rsidR="008933CD">
        <w:rPr>
          <w:szCs w:val="26"/>
        </w:rPr>
        <w:t xml:space="preserve">[party offering evidence] </w:t>
      </w:r>
      <w:r w:rsidRPr="00CA1A65">
        <w:rPr>
          <w:szCs w:val="26"/>
        </w:rPr>
        <w:t>an opportunity to establish its admissibility.’</w:t>
      </w:r>
      <w:r w:rsidR="00940353">
        <w:rPr>
          <w:szCs w:val="26"/>
        </w:rPr>
        <w:t> </w:t>
      </w:r>
      <w:r w:rsidRPr="00CA1A65">
        <w:rPr>
          <w:szCs w:val="26"/>
        </w:rPr>
        <w:t>”  (</w:t>
      </w:r>
      <w:r w:rsidRPr="00CA1A65">
        <w:rPr>
          <w:i/>
          <w:iCs/>
          <w:szCs w:val="26"/>
        </w:rPr>
        <w:t>People v. Partida</w:t>
      </w:r>
      <w:r w:rsidRPr="00CA1A65">
        <w:rPr>
          <w:szCs w:val="26"/>
        </w:rPr>
        <w:t xml:space="preserve"> (2005) 37 Cal.4th 428, 435.)  A generic objection that fails to specify particular grounds for exclusion is insufficient.  (</w:t>
      </w:r>
      <w:r w:rsidRPr="00CA1A65">
        <w:rPr>
          <w:i/>
          <w:iCs/>
          <w:szCs w:val="26"/>
        </w:rPr>
        <w:t>People v. Rundle</w:t>
      </w:r>
      <w:r w:rsidRPr="00CA1A65">
        <w:rPr>
          <w:szCs w:val="26"/>
        </w:rPr>
        <w:t xml:space="preserve"> (2008) 43 Cal.4th 76, 115, overruled on other grounds in </w:t>
      </w:r>
      <w:r w:rsidRPr="00CA1A65">
        <w:rPr>
          <w:i/>
          <w:iCs/>
          <w:szCs w:val="26"/>
        </w:rPr>
        <w:t>People v. Doolin</w:t>
      </w:r>
      <w:r w:rsidRPr="00CA1A65">
        <w:rPr>
          <w:szCs w:val="26"/>
        </w:rPr>
        <w:t xml:space="preserve"> (2009) 45 Cal.4th 390.)  Even a “bare reference” to a specific objection may fall short.  (</w:t>
      </w:r>
      <w:r w:rsidRPr="00CA1A65">
        <w:rPr>
          <w:i/>
          <w:iCs/>
          <w:szCs w:val="26"/>
        </w:rPr>
        <w:t>People v. Alvarez</w:t>
      </w:r>
      <w:r w:rsidRPr="00CA1A65">
        <w:rPr>
          <w:szCs w:val="26"/>
        </w:rPr>
        <w:t xml:space="preserve"> (1996) 14 Cal.4th 155, 186.) </w:t>
      </w:r>
      <w:r w:rsidRPr="00CA1A65" w:rsidR="004B765C">
        <w:rPr>
          <w:szCs w:val="26"/>
        </w:rPr>
        <w:t xml:space="preserve"> </w:t>
      </w:r>
    </w:p>
    <w:p w:rsidR="001C5525" w:rsidRPr="00CA1A65" w:rsidP="00CA1A65" w14:paraId="1DF1069A" w14:textId="77777777">
      <w:pPr>
        <w:ind w:firstLine="720"/>
        <w:rPr>
          <w:szCs w:val="26"/>
        </w:rPr>
      </w:pPr>
      <w:r w:rsidRPr="00CA1A65">
        <w:rPr>
          <w:szCs w:val="26"/>
        </w:rPr>
        <w:t xml:space="preserve">Although a party may challenge the sufficiency of the evidence supporting a trial court’s ruling for the first time on appeal (see </w:t>
      </w:r>
      <w:r w:rsidRPr="00CA1A65">
        <w:rPr>
          <w:i/>
          <w:iCs/>
          <w:szCs w:val="26"/>
        </w:rPr>
        <w:t>People v. Butler</w:t>
      </w:r>
      <w:r w:rsidRPr="00CA1A65">
        <w:rPr>
          <w:szCs w:val="26"/>
        </w:rPr>
        <w:t xml:space="preserve"> (2003) 31 Cal.4th 1119, 1126), that party may not, under the guise of a substantial evidence challenge, newly contest what materials the trial court should have considered.  “[E]vidence which is admitted in the trial court without objection, although incompetent, should be considered in support of that court</w:t>
      </w:r>
      <w:r w:rsidR="00021BA7">
        <w:rPr>
          <w:szCs w:val="26"/>
        </w:rPr>
        <w:t>’</w:t>
      </w:r>
      <w:r w:rsidRPr="00CA1A65">
        <w:rPr>
          <w:szCs w:val="26"/>
        </w:rPr>
        <w:t>s action [citations]</w:t>
      </w:r>
      <w:r w:rsidR="000E55D5">
        <w:rPr>
          <w:szCs w:val="26"/>
        </w:rPr>
        <w:t>,</w:t>
      </w:r>
      <w:r w:rsidRPr="00CA1A65">
        <w:rPr>
          <w:szCs w:val="26"/>
        </w:rPr>
        <w:t xml:space="preserve"> and objection may not be first raised at the appellate level.”  (</w:t>
      </w:r>
      <w:r w:rsidRPr="00CA1A65">
        <w:rPr>
          <w:i/>
          <w:iCs/>
          <w:szCs w:val="26"/>
        </w:rPr>
        <w:t>Estate of Fraysher</w:t>
      </w:r>
      <w:r w:rsidRPr="00CA1A65">
        <w:rPr>
          <w:szCs w:val="26"/>
        </w:rPr>
        <w:t xml:space="preserve"> (1956) 47 Cal.2d 131, 135.)  “ ‘ “[I]ncompetent testimony . . . if received without objection takes on the attributes of competent proof when considered upon the question of sufficiency of the evidence to support a finding.” ’ ”  (</w:t>
      </w:r>
      <w:r w:rsidRPr="00CA1A65">
        <w:rPr>
          <w:i/>
          <w:iCs/>
          <w:szCs w:val="26"/>
        </w:rPr>
        <w:t>People v. Panah</w:t>
      </w:r>
      <w:r w:rsidRPr="00CA1A65">
        <w:rPr>
          <w:szCs w:val="26"/>
        </w:rPr>
        <w:t xml:space="preserve"> (2005) 35 Cal.4th 395, 476; accord</w:t>
      </w:r>
      <w:r w:rsidR="000613E5">
        <w:rPr>
          <w:szCs w:val="26"/>
        </w:rPr>
        <w:t>,</w:t>
      </w:r>
      <w:r w:rsidRPr="00CA1A65">
        <w:rPr>
          <w:szCs w:val="26"/>
        </w:rPr>
        <w:t xml:space="preserve"> </w:t>
      </w:r>
      <w:r w:rsidRPr="00CA1A65">
        <w:rPr>
          <w:i/>
          <w:iCs/>
          <w:szCs w:val="26"/>
        </w:rPr>
        <w:t>People v. Pierce</w:t>
      </w:r>
      <w:r w:rsidRPr="00CA1A65">
        <w:rPr>
          <w:szCs w:val="26"/>
        </w:rPr>
        <w:t xml:space="preserve"> (1979) 24 Cal.3d 199, 206, fn. 3.)</w:t>
      </w:r>
      <w:r w:rsidRPr="00CA1A65" w:rsidR="004C4610">
        <w:rPr>
          <w:szCs w:val="26"/>
        </w:rPr>
        <w:t xml:space="preserve">  We also keep in mind that</w:t>
      </w:r>
      <w:r w:rsidRPr="00CA1A65" w:rsidR="007B0506">
        <w:rPr>
          <w:szCs w:val="26"/>
        </w:rPr>
        <w:t>, when a defendant invites dismissal under section 1385, the trial court “must consider evidence offered by the defendant in support of his assertion that the dismissal would be in furtherance of justice.”  (</w:t>
      </w:r>
      <w:r w:rsidRPr="00CA1A65" w:rsidR="007B0506">
        <w:rPr>
          <w:i/>
          <w:iCs/>
          <w:szCs w:val="26"/>
        </w:rPr>
        <w:t>Rockwell v. Superior Court</w:t>
      </w:r>
      <w:r w:rsidRPr="00CA1A65" w:rsidR="007B0506">
        <w:rPr>
          <w:szCs w:val="26"/>
        </w:rPr>
        <w:t xml:space="preserve"> (1976) 18 Cal.3d 420, 441–442</w:t>
      </w:r>
      <w:r w:rsidRPr="00CA1A65" w:rsidR="007163CB">
        <w:rPr>
          <w:szCs w:val="26"/>
        </w:rPr>
        <w:t>.)</w:t>
      </w:r>
    </w:p>
    <w:p w:rsidR="00345B8E" w:rsidRPr="00CA1A65" w:rsidP="00CA1A65" w14:paraId="1DF1069B" w14:textId="77777777">
      <w:pPr>
        <w:ind w:firstLine="720"/>
        <w:rPr>
          <w:szCs w:val="26"/>
        </w:rPr>
      </w:pPr>
      <w:r w:rsidRPr="00CA1A65">
        <w:rPr>
          <w:szCs w:val="26"/>
        </w:rPr>
        <w:t xml:space="preserve">In spite of the </w:t>
      </w:r>
      <w:r w:rsidRPr="00CA1A65" w:rsidR="00100714">
        <w:rPr>
          <w:szCs w:val="26"/>
        </w:rPr>
        <w:t>People’s repeated claim in their written opposition that there was “no evidence</w:t>
      </w:r>
      <w:r w:rsidRPr="00CA1A65" w:rsidR="00685A17">
        <w:rPr>
          <w:szCs w:val="26"/>
        </w:rPr>
        <w:t>,</w:t>
      </w:r>
      <w:r w:rsidRPr="00CA1A65" w:rsidR="00100714">
        <w:rPr>
          <w:szCs w:val="26"/>
        </w:rPr>
        <w:t>”</w:t>
      </w:r>
      <w:r w:rsidRPr="00CA1A65">
        <w:rPr>
          <w:szCs w:val="26"/>
        </w:rPr>
        <w:t xml:space="preserve"> their pleading </w:t>
      </w:r>
      <w:r w:rsidRPr="00CA1A65" w:rsidR="00100714">
        <w:rPr>
          <w:szCs w:val="26"/>
        </w:rPr>
        <w:t>offer</w:t>
      </w:r>
      <w:r w:rsidRPr="00CA1A65" w:rsidR="00685A17">
        <w:rPr>
          <w:szCs w:val="26"/>
        </w:rPr>
        <w:t>ed neither</w:t>
      </w:r>
      <w:r w:rsidRPr="00CA1A65" w:rsidR="00100714">
        <w:rPr>
          <w:szCs w:val="26"/>
        </w:rPr>
        <w:t xml:space="preserve"> a specific objection to particular evidence</w:t>
      </w:r>
      <w:r w:rsidRPr="00CA1A65">
        <w:rPr>
          <w:szCs w:val="26"/>
        </w:rPr>
        <w:t xml:space="preserve"> nor an </w:t>
      </w:r>
      <w:r w:rsidRPr="00CA1A65" w:rsidR="00C62228">
        <w:rPr>
          <w:szCs w:val="26"/>
        </w:rPr>
        <w:t xml:space="preserve">alternative version of facts </w:t>
      </w:r>
      <w:r w:rsidRPr="00CA1A65">
        <w:rPr>
          <w:szCs w:val="26"/>
        </w:rPr>
        <w:t xml:space="preserve">for the trial court </w:t>
      </w:r>
      <w:r w:rsidRPr="00CA1A65" w:rsidR="00C62228">
        <w:rPr>
          <w:szCs w:val="26"/>
        </w:rPr>
        <w:t>to consider</w:t>
      </w:r>
      <w:r w:rsidRPr="00CA1A65" w:rsidR="00100714">
        <w:rPr>
          <w:szCs w:val="26"/>
        </w:rPr>
        <w:t xml:space="preserve">.  </w:t>
      </w:r>
      <w:r w:rsidRPr="00CA1A65">
        <w:rPr>
          <w:szCs w:val="26"/>
        </w:rPr>
        <w:t xml:space="preserve">In addition, </w:t>
      </w:r>
      <w:r w:rsidRPr="00CA1A65" w:rsidR="00100714">
        <w:rPr>
          <w:szCs w:val="26"/>
        </w:rPr>
        <w:t>at the hearing</w:t>
      </w:r>
      <w:r w:rsidRPr="00CA1A65" w:rsidR="00883018">
        <w:rPr>
          <w:szCs w:val="26"/>
        </w:rPr>
        <w:t xml:space="preserve"> </w:t>
      </w:r>
      <w:r w:rsidRPr="00CA1A65" w:rsidR="00100714">
        <w:rPr>
          <w:szCs w:val="26"/>
        </w:rPr>
        <w:t xml:space="preserve">when the trial court </w:t>
      </w:r>
      <w:r w:rsidRPr="00CA1A65">
        <w:rPr>
          <w:szCs w:val="26"/>
        </w:rPr>
        <w:t xml:space="preserve">announced its intention to </w:t>
      </w:r>
      <w:r w:rsidRPr="00CA1A65" w:rsidR="00100714">
        <w:rPr>
          <w:szCs w:val="26"/>
        </w:rPr>
        <w:t>dismiss on its own motion</w:t>
      </w:r>
      <w:r w:rsidRPr="00CA1A65" w:rsidR="00685A17">
        <w:rPr>
          <w:szCs w:val="26"/>
        </w:rPr>
        <w:t xml:space="preserve">, </w:t>
      </w:r>
      <w:r w:rsidRPr="00CA1A65">
        <w:rPr>
          <w:szCs w:val="26"/>
        </w:rPr>
        <w:t>citing</w:t>
      </w:r>
      <w:r w:rsidRPr="00CA1A65" w:rsidR="00100714">
        <w:rPr>
          <w:szCs w:val="26"/>
        </w:rPr>
        <w:t xml:space="preserve"> Wheeler’s lack of any knowledge</w:t>
      </w:r>
      <w:r w:rsidRPr="00CA1A65">
        <w:rPr>
          <w:szCs w:val="26"/>
        </w:rPr>
        <w:t xml:space="preserve"> as a factor</w:t>
      </w:r>
      <w:r w:rsidRPr="00CA1A65" w:rsidR="00100714">
        <w:rPr>
          <w:szCs w:val="26"/>
        </w:rPr>
        <w:t>, the People offered no</w:t>
      </w:r>
      <w:r w:rsidRPr="00CA1A65" w:rsidR="00685A17">
        <w:rPr>
          <w:szCs w:val="26"/>
        </w:rPr>
        <w:t xml:space="preserve"> evidentiary</w:t>
      </w:r>
      <w:r w:rsidRPr="00CA1A65" w:rsidR="00100714">
        <w:rPr>
          <w:szCs w:val="26"/>
        </w:rPr>
        <w:t xml:space="preserve"> objection</w:t>
      </w:r>
      <w:r w:rsidRPr="00CA1A65">
        <w:rPr>
          <w:szCs w:val="26"/>
        </w:rPr>
        <w:t xml:space="preserve">.  To the contrary, </w:t>
      </w:r>
      <w:r w:rsidRPr="00CA1A65" w:rsidR="007703C5">
        <w:rPr>
          <w:szCs w:val="26"/>
        </w:rPr>
        <w:t xml:space="preserve">as noted above, </w:t>
      </w:r>
      <w:r w:rsidRPr="00CA1A65">
        <w:rPr>
          <w:szCs w:val="26"/>
        </w:rPr>
        <w:t xml:space="preserve">the </w:t>
      </w:r>
      <w:r w:rsidRPr="00CA1A65" w:rsidR="00224F2B">
        <w:rPr>
          <w:szCs w:val="26"/>
        </w:rPr>
        <w:t>People</w:t>
      </w:r>
      <w:r w:rsidRPr="00CA1A65">
        <w:rPr>
          <w:szCs w:val="26"/>
        </w:rPr>
        <w:t xml:space="preserve"> </w:t>
      </w:r>
      <w:r w:rsidRPr="00CA1A65" w:rsidR="00B51C39">
        <w:rPr>
          <w:szCs w:val="26"/>
        </w:rPr>
        <w:t xml:space="preserve">agreed with the court’s </w:t>
      </w:r>
      <w:r w:rsidRPr="00CA1A65">
        <w:rPr>
          <w:szCs w:val="26"/>
        </w:rPr>
        <w:t xml:space="preserve">statement regarding Wheeler’s lack of </w:t>
      </w:r>
      <w:r w:rsidRPr="00CA1A65" w:rsidR="00685A17">
        <w:rPr>
          <w:szCs w:val="26"/>
        </w:rPr>
        <w:t xml:space="preserve">any </w:t>
      </w:r>
      <w:r w:rsidRPr="00CA1A65">
        <w:rPr>
          <w:szCs w:val="26"/>
        </w:rPr>
        <w:t xml:space="preserve">knowledge </w:t>
      </w:r>
      <w:r w:rsidRPr="00CA1A65" w:rsidR="00685A17">
        <w:rPr>
          <w:szCs w:val="26"/>
        </w:rPr>
        <w:t>regarding the dispensary</w:t>
      </w:r>
      <w:r w:rsidRPr="00CA1A65">
        <w:rPr>
          <w:szCs w:val="26"/>
        </w:rPr>
        <w:t>.</w:t>
      </w:r>
      <w:r w:rsidRPr="00CA1A65" w:rsidR="000D319A">
        <w:rPr>
          <w:szCs w:val="26"/>
        </w:rPr>
        <w:t xml:space="preserve">  </w:t>
      </w:r>
    </w:p>
    <w:p w:rsidR="00594941" w:rsidRPr="00CA1A65" w:rsidP="00CA1A65" w14:paraId="1DF1069C" w14:textId="1D0B55DE">
      <w:pPr>
        <w:ind w:firstLine="720"/>
        <w:rPr>
          <w:szCs w:val="26"/>
        </w:rPr>
      </w:pPr>
      <w:r w:rsidRPr="00CA1A65">
        <w:rPr>
          <w:szCs w:val="26"/>
        </w:rPr>
        <w:t>On this record,</w:t>
      </w:r>
      <w:r w:rsidRPr="00CA1A65" w:rsidR="007703C5">
        <w:rPr>
          <w:szCs w:val="26"/>
        </w:rPr>
        <w:t xml:space="preserve"> we </w:t>
      </w:r>
      <w:r w:rsidRPr="00CA1A65" w:rsidR="00DC4DFF">
        <w:rPr>
          <w:szCs w:val="26"/>
        </w:rPr>
        <w:t xml:space="preserve">doubt </w:t>
      </w:r>
      <w:r w:rsidRPr="00CA1A65" w:rsidR="00C62228">
        <w:rPr>
          <w:szCs w:val="26"/>
        </w:rPr>
        <w:t>the People sufficient</w:t>
      </w:r>
      <w:r w:rsidRPr="00CA1A65" w:rsidR="00224F2B">
        <w:rPr>
          <w:szCs w:val="26"/>
        </w:rPr>
        <w:t>ly</w:t>
      </w:r>
      <w:r w:rsidRPr="00CA1A65" w:rsidR="00C62228">
        <w:rPr>
          <w:szCs w:val="26"/>
        </w:rPr>
        <w:t xml:space="preserve"> object</w:t>
      </w:r>
      <w:r w:rsidRPr="00CA1A65" w:rsidR="00DC4DFF">
        <w:rPr>
          <w:szCs w:val="26"/>
        </w:rPr>
        <w:t>ed</w:t>
      </w:r>
      <w:r w:rsidRPr="00CA1A65" w:rsidR="00C62228">
        <w:rPr>
          <w:szCs w:val="26"/>
        </w:rPr>
        <w:t xml:space="preserve"> </w:t>
      </w:r>
      <w:r w:rsidRPr="00CA1A65" w:rsidR="009C3D9D">
        <w:rPr>
          <w:szCs w:val="26"/>
        </w:rPr>
        <w:t>to the factual basis underlying the trial court’s own dismissal motion</w:t>
      </w:r>
      <w:r w:rsidRPr="00CA1A65" w:rsidR="000B0CC8">
        <w:rPr>
          <w:szCs w:val="26"/>
        </w:rPr>
        <w:t xml:space="preserve">. </w:t>
      </w:r>
      <w:r w:rsidRPr="00CA1A65" w:rsidR="00345B8E">
        <w:rPr>
          <w:szCs w:val="26"/>
        </w:rPr>
        <w:t xml:space="preserve"> </w:t>
      </w:r>
      <w:r w:rsidRPr="00CA1A65" w:rsidR="00DC4DFF">
        <w:rPr>
          <w:szCs w:val="26"/>
        </w:rPr>
        <w:t>But e</w:t>
      </w:r>
      <w:r w:rsidRPr="00CA1A65" w:rsidR="005A278D">
        <w:rPr>
          <w:szCs w:val="26"/>
        </w:rPr>
        <w:t xml:space="preserve">ven assuming </w:t>
      </w:r>
      <w:r w:rsidRPr="00CA1A65" w:rsidR="00464C7A">
        <w:rPr>
          <w:szCs w:val="26"/>
        </w:rPr>
        <w:t xml:space="preserve">the trial court erred by considering counsel’s </w:t>
      </w:r>
      <w:r w:rsidRPr="00CA1A65" w:rsidR="00C62228">
        <w:rPr>
          <w:szCs w:val="26"/>
        </w:rPr>
        <w:t xml:space="preserve">sworn </w:t>
      </w:r>
      <w:r w:rsidRPr="00CA1A65" w:rsidR="00464C7A">
        <w:rPr>
          <w:szCs w:val="26"/>
        </w:rPr>
        <w:t xml:space="preserve">representations about Wheeler’s mental state (see </w:t>
      </w:r>
      <w:r w:rsidRPr="00CA1A65" w:rsidR="00464C7A">
        <w:rPr>
          <w:i/>
          <w:iCs/>
          <w:szCs w:val="26"/>
        </w:rPr>
        <w:t>In re Zeth S.</w:t>
      </w:r>
      <w:r w:rsidRPr="00CA1A65" w:rsidR="00464C7A">
        <w:rPr>
          <w:szCs w:val="26"/>
        </w:rPr>
        <w:t xml:space="preserve"> (2003) 31 Cal.4th 396, 413, fn. 11)</w:t>
      </w:r>
      <w:r w:rsidR="00027943">
        <w:rPr>
          <w:szCs w:val="26"/>
        </w:rPr>
        <w:t> </w:t>
      </w:r>
      <w:r w:rsidRPr="00CA1A65" w:rsidR="00464C7A">
        <w:rPr>
          <w:szCs w:val="26"/>
        </w:rPr>
        <w:t xml:space="preserve">— a question we </w:t>
      </w:r>
      <w:r w:rsidRPr="00CA1A65" w:rsidR="005A278D">
        <w:rPr>
          <w:szCs w:val="26"/>
        </w:rPr>
        <w:t xml:space="preserve">need </w:t>
      </w:r>
      <w:r w:rsidRPr="00CA1A65" w:rsidR="00464C7A">
        <w:rPr>
          <w:szCs w:val="26"/>
        </w:rPr>
        <w:t>not decide</w:t>
      </w:r>
      <w:r w:rsidR="00027943">
        <w:rPr>
          <w:szCs w:val="26"/>
        </w:rPr>
        <w:t> </w:t>
      </w:r>
      <w:r w:rsidRPr="00CA1A65" w:rsidR="00464C7A">
        <w:rPr>
          <w:szCs w:val="26"/>
        </w:rPr>
        <w:t>—</w:t>
      </w:r>
      <w:r w:rsidR="00A6151B">
        <w:rPr>
          <w:szCs w:val="26"/>
        </w:rPr>
        <w:t xml:space="preserve"> </w:t>
      </w:r>
      <w:r w:rsidRPr="00CA1A65" w:rsidR="00464C7A">
        <w:rPr>
          <w:szCs w:val="26"/>
        </w:rPr>
        <w:t>the People</w:t>
      </w:r>
      <w:r w:rsidRPr="00CA1A65" w:rsidR="00730367">
        <w:rPr>
          <w:szCs w:val="26"/>
        </w:rPr>
        <w:t>’s</w:t>
      </w:r>
      <w:r w:rsidRPr="00CA1A65" w:rsidR="00464C7A">
        <w:rPr>
          <w:szCs w:val="26"/>
        </w:rPr>
        <w:t xml:space="preserve"> conce</w:t>
      </w:r>
      <w:r w:rsidRPr="00CA1A65" w:rsidR="00730367">
        <w:rPr>
          <w:szCs w:val="26"/>
        </w:rPr>
        <w:t xml:space="preserve">ssion regarding </w:t>
      </w:r>
      <w:r w:rsidRPr="00CA1A65" w:rsidR="00464C7A">
        <w:rPr>
          <w:szCs w:val="26"/>
        </w:rPr>
        <w:t xml:space="preserve">Wheeler’s asserted lack of </w:t>
      </w:r>
      <w:r w:rsidRPr="00CA1A65" w:rsidR="00224F2B">
        <w:rPr>
          <w:szCs w:val="26"/>
        </w:rPr>
        <w:t xml:space="preserve">any </w:t>
      </w:r>
      <w:r w:rsidRPr="00CA1A65" w:rsidR="00464C7A">
        <w:rPr>
          <w:szCs w:val="26"/>
        </w:rPr>
        <w:t xml:space="preserve">knowledge </w:t>
      </w:r>
      <w:r w:rsidRPr="00CA1A65" w:rsidR="00730367">
        <w:rPr>
          <w:szCs w:val="26"/>
        </w:rPr>
        <w:t xml:space="preserve">renders any error harmless </w:t>
      </w:r>
      <w:r w:rsidRPr="00CA1A65" w:rsidR="00464C7A">
        <w:rPr>
          <w:szCs w:val="26"/>
        </w:rPr>
        <w:t xml:space="preserve">(see </w:t>
      </w:r>
      <w:r w:rsidRPr="00CA1A65" w:rsidR="00464C7A">
        <w:rPr>
          <w:i/>
          <w:iCs/>
          <w:szCs w:val="26"/>
        </w:rPr>
        <w:t>People v. Morris</w:t>
      </w:r>
      <w:r w:rsidRPr="00CA1A65" w:rsidR="00464C7A">
        <w:rPr>
          <w:szCs w:val="26"/>
        </w:rPr>
        <w:t xml:space="preserve"> (1991) 53 Cal.3d 152, 198, disapproved on other grounds by </w:t>
      </w:r>
      <w:r w:rsidRPr="00CA1A65" w:rsidR="00464C7A">
        <w:rPr>
          <w:i/>
          <w:iCs/>
          <w:szCs w:val="26"/>
        </w:rPr>
        <w:t>People v. Stansbury</w:t>
      </w:r>
      <w:r w:rsidRPr="00CA1A65" w:rsidR="00464C7A">
        <w:rPr>
          <w:szCs w:val="26"/>
        </w:rPr>
        <w:t xml:space="preserve"> (1995) 9 Cal.4th 824, 830).  Given the People’s </w:t>
      </w:r>
      <w:r w:rsidRPr="00CA1A65" w:rsidR="00176D84">
        <w:rPr>
          <w:szCs w:val="26"/>
        </w:rPr>
        <w:t xml:space="preserve">ultimate </w:t>
      </w:r>
      <w:r w:rsidRPr="00CA1A65" w:rsidR="00464C7A">
        <w:rPr>
          <w:szCs w:val="26"/>
        </w:rPr>
        <w:t xml:space="preserve">willingness to concede, without reservation or qualification, Wheeler’s lack of any contact whatsoever with the dispensary, we see no </w:t>
      </w:r>
      <w:r w:rsidRPr="00CA1A65" w:rsidR="00224F2B">
        <w:rPr>
          <w:szCs w:val="26"/>
        </w:rPr>
        <w:t xml:space="preserve">prejudice </w:t>
      </w:r>
      <w:r w:rsidRPr="00CA1A65" w:rsidR="00464C7A">
        <w:rPr>
          <w:szCs w:val="26"/>
        </w:rPr>
        <w:t xml:space="preserve">in the trial court’s assumptions regarding her </w:t>
      </w:r>
      <w:r w:rsidRPr="00CA1A65" w:rsidR="00224F2B">
        <w:rPr>
          <w:szCs w:val="26"/>
        </w:rPr>
        <w:t>mental state</w:t>
      </w:r>
      <w:r w:rsidRPr="00CA1A65" w:rsidR="00464C7A">
        <w:rPr>
          <w:szCs w:val="26"/>
        </w:rPr>
        <w:t>.</w:t>
      </w:r>
      <w:r>
        <w:rPr>
          <w:rStyle w:val="FootnoteReference"/>
          <w:szCs w:val="26"/>
        </w:rPr>
        <w:footnoteReference w:id="20"/>
      </w:r>
    </w:p>
    <w:p w:rsidR="00B25844" w:rsidRPr="00CA1A65" w:rsidP="00CA1A65" w14:paraId="1DF1069D" w14:textId="231B6101">
      <w:pPr>
        <w:ind w:firstLine="720"/>
        <w:rPr>
          <w:szCs w:val="26"/>
        </w:rPr>
      </w:pPr>
      <w:r w:rsidRPr="00CA1A65">
        <w:rPr>
          <w:szCs w:val="26"/>
        </w:rPr>
        <w:t xml:space="preserve">Finally, and for the sake of concluding this case, we </w:t>
      </w:r>
      <w:r w:rsidRPr="00CA1A65" w:rsidR="00CD4517">
        <w:rPr>
          <w:szCs w:val="26"/>
        </w:rPr>
        <w:t xml:space="preserve">consider </w:t>
      </w:r>
      <w:r w:rsidRPr="00CA1A65">
        <w:rPr>
          <w:szCs w:val="26"/>
        </w:rPr>
        <w:t xml:space="preserve">an </w:t>
      </w:r>
      <w:r w:rsidRPr="00CA1A65" w:rsidR="00176D84">
        <w:rPr>
          <w:szCs w:val="26"/>
        </w:rPr>
        <w:t xml:space="preserve">issue </w:t>
      </w:r>
      <w:r w:rsidRPr="00CA1A65">
        <w:rPr>
          <w:szCs w:val="26"/>
        </w:rPr>
        <w:t xml:space="preserve">the People </w:t>
      </w:r>
      <w:r w:rsidRPr="00CA1A65" w:rsidR="00176D84">
        <w:rPr>
          <w:szCs w:val="26"/>
        </w:rPr>
        <w:t xml:space="preserve">raised in </w:t>
      </w:r>
      <w:r w:rsidRPr="00CA1A65">
        <w:rPr>
          <w:szCs w:val="26"/>
        </w:rPr>
        <w:t xml:space="preserve">the </w:t>
      </w:r>
      <w:r w:rsidR="000F15F5">
        <w:rPr>
          <w:szCs w:val="26"/>
        </w:rPr>
        <w:t>a</w:t>
      </w:r>
      <w:r w:rsidRPr="00CA1A65">
        <w:rPr>
          <w:szCs w:val="26"/>
        </w:rPr>
        <w:t xml:space="preserve">ppellate </w:t>
      </w:r>
      <w:r w:rsidR="000F15F5">
        <w:rPr>
          <w:szCs w:val="26"/>
        </w:rPr>
        <w:t>d</w:t>
      </w:r>
      <w:r w:rsidRPr="00CA1A65">
        <w:rPr>
          <w:szCs w:val="26"/>
        </w:rPr>
        <w:t xml:space="preserve">ivision </w:t>
      </w:r>
      <w:r w:rsidRPr="00CA1A65" w:rsidR="00176D84">
        <w:rPr>
          <w:szCs w:val="26"/>
        </w:rPr>
        <w:t xml:space="preserve">that the court </w:t>
      </w:r>
      <w:r w:rsidRPr="00CA1A65">
        <w:rPr>
          <w:szCs w:val="26"/>
        </w:rPr>
        <w:t xml:space="preserve">expressly left unresolved:  </w:t>
      </w:r>
      <w:r w:rsidRPr="00CA1A65" w:rsidR="000B0CC8">
        <w:rPr>
          <w:szCs w:val="26"/>
        </w:rPr>
        <w:t xml:space="preserve">Whether </w:t>
      </w:r>
      <w:r w:rsidRPr="00CA1A65">
        <w:rPr>
          <w:szCs w:val="26"/>
        </w:rPr>
        <w:t>the trial court failed to act sufficiently on its own motion in light of Wheeler’s initiati</w:t>
      </w:r>
      <w:r w:rsidRPr="00CA1A65" w:rsidR="007B2969">
        <w:rPr>
          <w:szCs w:val="26"/>
        </w:rPr>
        <w:t>ng</w:t>
      </w:r>
      <w:r w:rsidRPr="00CA1A65">
        <w:rPr>
          <w:szCs w:val="26"/>
        </w:rPr>
        <w:t xml:space="preserve"> the request for dismissal </w:t>
      </w:r>
      <w:r w:rsidRPr="00CA1A65" w:rsidR="007B2969">
        <w:rPr>
          <w:szCs w:val="26"/>
        </w:rPr>
        <w:t>through</w:t>
      </w:r>
      <w:r w:rsidRPr="00CA1A65">
        <w:rPr>
          <w:szCs w:val="26"/>
        </w:rPr>
        <w:t xml:space="preserve"> a written pleading styled as a “motion.”</w:t>
      </w:r>
      <w:r w:rsidRPr="00CA1A65" w:rsidR="00240A73">
        <w:rPr>
          <w:szCs w:val="26"/>
        </w:rPr>
        <w:t xml:space="preserve">  (§ 1385, subd. (a) [allowing dismissal “on motion of the court or upon the application of the prosecuting attorney”].)</w:t>
      </w:r>
      <w:r w:rsidRPr="00CA1A65">
        <w:rPr>
          <w:szCs w:val="26"/>
        </w:rPr>
        <w:t xml:space="preserve"> </w:t>
      </w:r>
      <w:r w:rsidRPr="00CA1A65" w:rsidR="00240A73">
        <w:rPr>
          <w:szCs w:val="26"/>
        </w:rPr>
        <w:t xml:space="preserve"> </w:t>
      </w:r>
      <w:r w:rsidRPr="00CA1A65" w:rsidR="00E72E5D">
        <w:rPr>
          <w:szCs w:val="26"/>
        </w:rPr>
        <w:t xml:space="preserve">Wheeler did submit a dismissal request, but </w:t>
      </w:r>
      <w:r w:rsidRPr="00CA1A65" w:rsidR="008050A9">
        <w:rPr>
          <w:szCs w:val="26"/>
        </w:rPr>
        <w:t>the request “invite[d]” court action.  T</w:t>
      </w:r>
      <w:r w:rsidRPr="00CA1A65" w:rsidR="007B2969">
        <w:rPr>
          <w:szCs w:val="26"/>
        </w:rPr>
        <w:t>he t</w:t>
      </w:r>
      <w:r w:rsidRPr="00CA1A65" w:rsidR="00E72E5D">
        <w:rPr>
          <w:szCs w:val="26"/>
        </w:rPr>
        <w:t xml:space="preserve">rial court </w:t>
      </w:r>
      <w:r w:rsidRPr="00CA1A65" w:rsidR="00240A73">
        <w:rPr>
          <w:szCs w:val="26"/>
        </w:rPr>
        <w:t xml:space="preserve">expressly </w:t>
      </w:r>
      <w:r w:rsidRPr="00CA1A65" w:rsidR="00E72E5D">
        <w:rPr>
          <w:szCs w:val="26"/>
        </w:rPr>
        <w:t xml:space="preserve">denied </w:t>
      </w:r>
      <w:r w:rsidRPr="00CA1A65" w:rsidR="008050A9">
        <w:rPr>
          <w:szCs w:val="26"/>
        </w:rPr>
        <w:t xml:space="preserve">Wheeler’s </w:t>
      </w:r>
      <w:r w:rsidRPr="00CA1A65" w:rsidR="00E72E5D">
        <w:rPr>
          <w:szCs w:val="26"/>
        </w:rPr>
        <w:t xml:space="preserve">request and twice stated it was acting on its own motion and wanted “to make that clear.”  </w:t>
      </w:r>
      <w:r w:rsidRPr="00CA1A65">
        <w:rPr>
          <w:szCs w:val="26"/>
        </w:rPr>
        <w:t xml:space="preserve">We have previously deemed </w:t>
      </w:r>
      <w:r w:rsidRPr="00CA1A65" w:rsidR="00E72E5D">
        <w:rPr>
          <w:szCs w:val="26"/>
        </w:rPr>
        <w:t xml:space="preserve">requests </w:t>
      </w:r>
      <w:r w:rsidRPr="00CA1A65" w:rsidR="00C71E14">
        <w:rPr>
          <w:szCs w:val="26"/>
        </w:rPr>
        <w:t xml:space="preserve">such </w:t>
      </w:r>
      <w:r w:rsidRPr="00CA1A65" w:rsidR="00E72E5D">
        <w:rPr>
          <w:szCs w:val="26"/>
        </w:rPr>
        <w:t xml:space="preserve">as Wheeler’s </w:t>
      </w:r>
      <w:r w:rsidRPr="00CA1A65">
        <w:rPr>
          <w:szCs w:val="26"/>
        </w:rPr>
        <w:t>as a means of inviting trial court action.  (</w:t>
      </w:r>
      <w:r w:rsidRPr="00CA1A65">
        <w:rPr>
          <w:i/>
          <w:iCs/>
          <w:szCs w:val="26"/>
        </w:rPr>
        <w:t>People v. Carmony</w:t>
      </w:r>
      <w:r w:rsidRPr="00CA1A65" w:rsidR="00D85FE1">
        <w:rPr>
          <w:szCs w:val="26"/>
        </w:rPr>
        <w:t xml:space="preserve">, </w:t>
      </w:r>
      <w:r w:rsidRPr="00CA1A65" w:rsidR="00D85FE1">
        <w:rPr>
          <w:i/>
          <w:iCs/>
          <w:szCs w:val="26"/>
        </w:rPr>
        <w:t>supra</w:t>
      </w:r>
      <w:r w:rsidRPr="00CA1A65" w:rsidR="00D85FE1">
        <w:rPr>
          <w:szCs w:val="26"/>
        </w:rPr>
        <w:t>,</w:t>
      </w:r>
      <w:r w:rsidRPr="00CA1A65">
        <w:rPr>
          <w:szCs w:val="26"/>
        </w:rPr>
        <w:t xml:space="preserve"> 33 Cal.4th </w:t>
      </w:r>
      <w:r w:rsidRPr="00CA1A65" w:rsidR="00D85FE1">
        <w:rPr>
          <w:szCs w:val="26"/>
        </w:rPr>
        <w:t xml:space="preserve">at p. </w:t>
      </w:r>
      <w:r w:rsidRPr="00CA1A65">
        <w:rPr>
          <w:szCs w:val="26"/>
        </w:rPr>
        <w:t xml:space="preserve">375 [“A defendant has no right to make a motion, and the trial court has no obligation to make a ruling, under section 1385. </w:t>
      </w:r>
      <w:r w:rsidRPr="00CA1A65" w:rsidR="002C37CD">
        <w:rPr>
          <w:szCs w:val="26"/>
        </w:rPr>
        <w:t xml:space="preserve"> </w:t>
      </w:r>
      <w:r w:rsidRPr="00CA1A65">
        <w:rPr>
          <w:szCs w:val="26"/>
        </w:rPr>
        <w:t>But [</w:t>
      </w:r>
      <w:r w:rsidRPr="00CA1A65" w:rsidR="00176D84">
        <w:rPr>
          <w:szCs w:val="26"/>
        </w:rPr>
        <w:t xml:space="preserve">a </w:t>
      </w:r>
      <w:r w:rsidRPr="00CA1A65">
        <w:rPr>
          <w:szCs w:val="26"/>
        </w:rPr>
        <w:t>defendant] does have the right to ‘invite the court to exercise its power by an application . . .</w:t>
      </w:r>
      <w:r w:rsidRPr="00CA1A65" w:rsidR="002C37CD">
        <w:rPr>
          <w:szCs w:val="26"/>
        </w:rPr>
        <w:t xml:space="preserve"> and the court must consider evidence offered by the defendant . . . </w:t>
      </w:r>
      <w:r w:rsidRPr="00CA1A65">
        <w:rPr>
          <w:szCs w:val="26"/>
        </w:rPr>
        <w:t>.’</w:t>
      </w:r>
      <w:r w:rsidR="00D36784">
        <w:rPr>
          <w:szCs w:val="26"/>
        </w:rPr>
        <w:t> </w:t>
      </w:r>
      <w:r w:rsidRPr="00CA1A65">
        <w:rPr>
          <w:szCs w:val="26"/>
        </w:rPr>
        <w:t xml:space="preserve">”]; </w:t>
      </w:r>
      <w:r w:rsidRPr="00CA1A65">
        <w:rPr>
          <w:i/>
          <w:iCs/>
          <w:szCs w:val="26"/>
        </w:rPr>
        <w:t xml:space="preserve">People v. Brooks </w:t>
      </w:r>
      <w:r w:rsidRPr="00CA1A65">
        <w:rPr>
          <w:szCs w:val="26"/>
        </w:rPr>
        <w:t xml:space="preserve">(1980) 26 Cal.3d 471, 475, fn. 2 [deeming a defendant’s motion as a suggestion that the court take independent action]; </w:t>
      </w:r>
      <w:r w:rsidRPr="00CA1A65">
        <w:rPr>
          <w:i/>
          <w:iCs/>
          <w:szCs w:val="26"/>
        </w:rPr>
        <w:t>Rockwell v. Superior Court</w:t>
      </w:r>
      <w:r w:rsidRPr="00CA1A65">
        <w:rPr>
          <w:szCs w:val="26"/>
        </w:rPr>
        <w:t xml:space="preserve">, </w:t>
      </w:r>
      <w:r w:rsidRPr="00CA1A65">
        <w:rPr>
          <w:i/>
          <w:iCs/>
          <w:szCs w:val="26"/>
        </w:rPr>
        <w:t>supra</w:t>
      </w:r>
      <w:r w:rsidRPr="00CA1A65">
        <w:rPr>
          <w:szCs w:val="26"/>
        </w:rPr>
        <w:t>, 18 Cal.3d 420, 441 [“a defendant may invite the court to exercise its power by an application”].)</w:t>
      </w:r>
      <w:r w:rsidRPr="00CA1A65" w:rsidR="007B2969">
        <w:rPr>
          <w:szCs w:val="26"/>
        </w:rPr>
        <w:t xml:space="preserve">  Here, the </w:t>
      </w:r>
      <w:r w:rsidRPr="00CA1A65" w:rsidR="000B0CC8">
        <w:rPr>
          <w:szCs w:val="26"/>
        </w:rPr>
        <w:t xml:space="preserve">record clearly </w:t>
      </w:r>
      <w:r w:rsidRPr="00CA1A65" w:rsidR="00176D84">
        <w:rPr>
          <w:szCs w:val="26"/>
        </w:rPr>
        <w:t xml:space="preserve">shows </w:t>
      </w:r>
      <w:r w:rsidRPr="00CA1A65" w:rsidR="000B0CC8">
        <w:rPr>
          <w:szCs w:val="26"/>
        </w:rPr>
        <w:t xml:space="preserve">the </w:t>
      </w:r>
      <w:r w:rsidRPr="00CA1A65" w:rsidR="007B2969">
        <w:rPr>
          <w:szCs w:val="26"/>
        </w:rPr>
        <w:t xml:space="preserve">trial court sufficiently acted on its own accord in </w:t>
      </w:r>
      <w:r w:rsidRPr="00CA1A65" w:rsidR="000B0CC8">
        <w:rPr>
          <w:szCs w:val="26"/>
        </w:rPr>
        <w:t xml:space="preserve">dismissing the </w:t>
      </w:r>
      <w:r w:rsidRPr="00CA1A65" w:rsidR="00176D84">
        <w:rPr>
          <w:szCs w:val="26"/>
        </w:rPr>
        <w:t xml:space="preserve">action </w:t>
      </w:r>
      <w:r w:rsidRPr="00CA1A65" w:rsidR="000B0CC8">
        <w:rPr>
          <w:szCs w:val="26"/>
        </w:rPr>
        <w:t xml:space="preserve">against Wheeler </w:t>
      </w:r>
      <w:r w:rsidRPr="00CA1A65" w:rsidR="00176D84">
        <w:rPr>
          <w:szCs w:val="26"/>
        </w:rPr>
        <w:t>pursuant to</w:t>
      </w:r>
      <w:r w:rsidRPr="00CA1A65" w:rsidR="007B2969">
        <w:rPr>
          <w:szCs w:val="26"/>
        </w:rPr>
        <w:t xml:space="preserve"> section 1385.</w:t>
      </w:r>
    </w:p>
    <w:p w:rsidR="004D31D5" w:rsidRPr="00CA1A65" w:rsidP="00CA1A65" w14:paraId="1DF1069E" w14:textId="77777777">
      <w:pPr>
        <w:keepNext/>
        <w:outlineLvl w:val="0"/>
        <w:rPr>
          <w:b/>
          <w:bCs/>
          <w:szCs w:val="26"/>
        </w:rPr>
      </w:pPr>
      <w:r w:rsidRPr="00CA1A65">
        <w:rPr>
          <w:b/>
          <w:bCs/>
          <w:szCs w:val="26"/>
        </w:rPr>
        <w:t>III.  DISPOSITION</w:t>
      </w:r>
    </w:p>
    <w:p w:rsidR="00F2338A" w:rsidP="00042B92" w14:paraId="1DF1069F" w14:textId="77777777">
      <w:pPr>
        <w:ind w:firstLine="720"/>
        <w:rPr>
          <w:szCs w:val="26"/>
        </w:rPr>
      </w:pPr>
      <w:r w:rsidRPr="00CA1A65">
        <w:rPr>
          <w:szCs w:val="26"/>
        </w:rPr>
        <w:t xml:space="preserve">Because the trial court had discretion to consider  Wheeler’s lack of knowledge under section 1385, we reverse the Court of Appeal’s </w:t>
      </w:r>
      <w:r>
        <w:rPr>
          <w:szCs w:val="26"/>
        </w:rPr>
        <w:t>judgment</w:t>
      </w:r>
      <w:r w:rsidRPr="00CA1A65">
        <w:rPr>
          <w:szCs w:val="26"/>
        </w:rPr>
        <w:t xml:space="preserve"> </w:t>
      </w:r>
      <w:r>
        <w:rPr>
          <w:szCs w:val="26"/>
        </w:rPr>
        <w:t>denying</w:t>
      </w:r>
      <w:r w:rsidRPr="00CA1A65">
        <w:rPr>
          <w:szCs w:val="26"/>
        </w:rPr>
        <w:t xml:space="preserve"> the petition for writ of mandate</w:t>
      </w:r>
      <w:r>
        <w:rPr>
          <w:szCs w:val="26"/>
        </w:rPr>
        <w:t>.</w:t>
      </w:r>
      <w:r w:rsidRPr="00CA1A65">
        <w:rPr>
          <w:szCs w:val="26"/>
        </w:rPr>
        <w:t xml:space="preserve"> </w:t>
      </w:r>
      <w:r>
        <w:rPr>
          <w:szCs w:val="26"/>
        </w:rPr>
        <w:t xml:space="preserve"> Also, g</w:t>
      </w:r>
      <w:r w:rsidRPr="00CA1A65">
        <w:rPr>
          <w:szCs w:val="26"/>
        </w:rPr>
        <w:t xml:space="preserve">iven the </w:t>
      </w:r>
      <w:r>
        <w:rPr>
          <w:szCs w:val="26"/>
        </w:rPr>
        <w:t>a</w:t>
      </w:r>
      <w:r w:rsidRPr="00CA1A65">
        <w:rPr>
          <w:szCs w:val="26"/>
        </w:rPr>
        <w:t xml:space="preserve">ppellate </w:t>
      </w:r>
      <w:r>
        <w:rPr>
          <w:szCs w:val="26"/>
        </w:rPr>
        <w:t>d</w:t>
      </w:r>
      <w:r w:rsidRPr="00CA1A65">
        <w:rPr>
          <w:szCs w:val="26"/>
        </w:rPr>
        <w:t xml:space="preserve">ivision’s thorough opinion, specifying which issues it was resolving, it is clear that court found fault solely with the trial court’s dismissal under section 1385 insofar as it rested on Wheeler’s lack of knowledge.  In the interests of judicial economy and for the sake of concluding this case, we have resolved the one outstanding issue related to section 1385 that the People brought before the </w:t>
      </w:r>
      <w:r>
        <w:rPr>
          <w:szCs w:val="26"/>
        </w:rPr>
        <w:t>a</w:t>
      </w:r>
      <w:r w:rsidRPr="00CA1A65">
        <w:rPr>
          <w:szCs w:val="26"/>
        </w:rPr>
        <w:t xml:space="preserve">ppellate </w:t>
      </w:r>
      <w:r>
        <w:rPr>
          <w:szCs w:val="26"/>
        </w:rPr>
        <w:t>d</w:t>
      </w:r>
      <w:r w:rsidRPr="00CA1A65">
        <w:rPr>
          <w:szCs w:val="26"/>
        </w:rPr>
        <w:t xml:space="preserve">ivision and which that court identified in its opinion — whether the trial court acted sufficiently of its own accord.  </w:t>
      </w:r>
      <w:r>
        <w:rPr>
          <w:szCs w:val="26"/>
        </w:rPr>
        <w:t>I</w:t>
      </w:r>
      <w:r w:rsidRPr="00CA1A65">
        <w:rPr>
          <w:szCs w:val="26"/>
        </w:rPr>
        <w:t xml:space="preserve">n this instance, </w:t>
      </w:r>
      <w:r>
        <w:rPr>
          <w:szCs w:val="26"/>
        </w:rPr>
        <w:t>and given the posture of this case</w:t>
      </w:r>
      <w:r w:rsidRPr="00CA1A65">
        <w:rPr>
          <w:szCs w:val="26"/>
        </w:rPr>
        <w:t>, we conclude</w:t>
      </w:r>
      <w:r>
        <w:rPr>
          <w:szCs w:val="26"/>
        </w:rPr>
        <w:t xml:space="preserve">, </w:t>
      </w:r>
      <w:r w:rsidRPr="00CA1A65">
        <w:rPr>
          <w:szCs w:val="26"/>
        </w:rPr>
        <w:t>without opining on any other issues the lower court decisions might implicate</w:t>
      </w:r>
      <w:r>
        <w:rPr>
          <w:szCs w:val="26"/>
        </w:rPr>
        <w:t>,</w:t>
      </w:r>
      <w:r w:rsidRPr="00CA1A65">
        <w:rPr>
          <w:szCs w:val="26"/>
        </w:rPr>
        <w:t xml:space="preserve"> </w:t>
      </w:r>
      <w:r>
        <w:rPr>
          <w:szCs w:val="26"/>
        </w:rPr>
        <w:t xml:space="preserve">that </w:t>
      </w:r>
      <w:r w:rsidRPr="00CA1A65">
        <w:rPr>
          <w:szCs w:val="26"/>
        </w:rPr>
        <w:t>the trial court’s dismissal order should stand.</w:t>
      </w:r>
      <w:r>
        <w:rPr>
          <w:szCs w:val="26"/>
        </w:rPr>
        <w:t xml:space="preserve">  Accordingly, we remand to the Court of Appeal with instructions to issue a writ of mandate that directs the appellate </w:t>
      </w:r>
      <w:r>
        <w:rPr>
          <w:szCs w:val="26"/>
        </w:rPr>
        <w:br w:type="page"/>
      </w:r>
    </w:p>
    <w:p w:rsidR="00042B92" w:rsidP="00F2338A" w14:paraId="1DF106A0" w14:textId="77777777">
      <w:pPr>
        <w:rPr>
          <w:szCs w:val="26"/>
        </w:rPr>
      </w:pPr>
      <w:r>
        <w:rPr>
          <w:szCs w:val="26"/>
        </w:rPr>
        <w:t>division to set aside its ruling and to instead issue a ruling affirming dismissal.</w:t>
      </w:r>
    </w:p>
    <w:p w:rsidR="00AB38AB" w:rsidRPr="006E05DF" w:rsidP="00AB38AB" w14:paraId="1DF106A1" w14:textId="77777777">
      <w:pPr>
        <w:spacing w:before="320"/>
        <w:ind w:left="5040"/>
        <w:rPr>
          <w:b/>
          <w:bCs/>
          <w:color w:val="212121"/>
          <w:szCs w:val="26"/>
        </w:rPr>
      </w:pPr>
      <w:r w:rsidRPr="006E05DF">
        <w:rPr>
          <w:b/>
          <w:bCs/>
          <w:color w:val="212121"/>
          <w:szCs w:val="26"/>
        </w:rPr>
        <w:t>JENKINS, J.</w:t>
      </w:r>
    </w:p>
    <w:p w:rsidR="00AB38AB" w:rsidP="000A5569" w14:paraId="1DF106A2" w14:textId="77777777">
      <w:pPr>
        <w:tabs>
          <w:tab w:val="left" w:pos="1440"/>
        </w:tabs>
        <w:rPr>
          <w:b/>
          <w:bCs/>
        </w:rPr>
      </w:pPr>
      <w:r w:rsidRPr="00DA7ADF">
        <w:rPr>
          <w:b/>
          <w:bCs/>
        </w:rPr>
        <w:t>We Concur:</w:t>
      </w:r>
    </w:p>
    <w:p w:rsidR="00AB38AB" w:rsidP="00AB38AB" w14:paraId="1DF106A3" w14:textId="7691CF80">
      <w:pPr>
        <w:tabs>
          <w:tab w:val="left" w:pos="1440"/>
        </w:tabs>
        <w:spacing w:after="0" w:line="240" w:lineRule="auto"/>
        <w:rPr>
          <w:b/>
          <w:bCs/>
        </w:rPr>
      </w:pPr>
      <w:r>
        <w:rPr>
          <w:b/>
          <w:bCs/>
        </w:rPr>
        <w:t>GUERRERO, C.</w:t>
      </w:r>
      <w:r w:rsidR="00E2740C">
        <w:rPr>
          <w:b/>
          <w:bCs/>
        </w:rPr>
        <w:t> </w:t>
      </w:r>
      <w:r>
        <w:rPr>
          <w:b/>
          <w:bCs/>
        </w:rPr>
        <w:t>J.</w:t>
      </w:r>
    </w:p>
    <w:p w:rsidR="00AB38AB" w:rsidP="00AB38AB" w14:paraId="1DF106A4" w14:textId="77777777">
      <w:pPr>
        <w:tabs>
          <w:tab w:val="left" w:pos="1440"/>
        </w:tabs>
        <w:spacing w:after="0" w:line="240" w:lineRule="auto"/>
        <w:rPr>
          <w:b/>
          <w:bCs/>
        </w:rPr>
      </w:pPr>
      <w:r>
        <w:rPr>
          <w:b/>
          <w:bCs/>
        </w:rPr>
        <w:t>CORRIGAN, J.</w:t>
      </w:r>
    </w:p>
    <w:p w:rsidR="00AB38AB" w:rsidP="00AB38AB" w14:paraId="1DF106A5" w14:textId="77777777">
      <w:pPr>
        <w:tabs>
          <w:tab w:val="left" w:pos="1440"/>
        </w:tabs>
        <w:spacing w:after="0" w:line="240" w:lineRule="auto"/>
        <w:rPr>
          <w:b/>
          <w:bCs/>
        </w:rPr>
      </w:pPr>
      <w:r>
        <w:rPr>
          <w:b/>
          <w:bCs/>
        </w:rPr>
        <w:t>LIU, J.</w:t>
      </w:r>
    </w:p>
    <w:p w:rsidR="00AB38AB" w:rsidP="00AB38AB" w14:paraId="1DF106A6" w14:textId="77777777">
      <w:pPr>
        <w:tabs>
          <w:tab w:val="left" w:pos="1440"/>
        </w:tabs>
        <w:spacing w:after="0" w:line="240" w:lineRule="auto"/>
        <w:rPr>
          <w:b/>
          <w:bCs/>
        </w:rPr>
      </w:pPr>
      <w:r>
        <w:rPr>
          <w:b/>
          <w:bCs/>
        </w:rPr>
        <w:t>KRUGER, J.</w:t>
      </w:r>
    </w:p>
    <w:p w:rsidR="00AB38AB" w:rsidP="00AB38AB" w14:paraId="1DF106A7" w14:textId="77777777">
      <w:pPr>
        <w:tabs>
          <w:tab w:val="left" w:pos="1440"/>
        </w:tabs>
        <w:spacing w:after="0" w:line="240" w:lineRule="auto"/>
        <w:rPr>
          <w:b/>
          <w:bCs/>
        </w:rPr>
      </w:pPr>
      <w:r>
        <w:rPr>
          <w:b/>
          <w:bCs/>
        </w:rPr>
        <w:t>GROBAN, J.</w:t>
      </w:r>
    </w:p>
    <w:p w:rsidR="00AB38AB" w:rsidRPr="00B5115D" w:rsidP="00AB38AB" w14:paraId="1DF106A8" w14:textId="77777777">
      <w:pPr>
        <w:tabs>
          <w:tab w:val="left" w:pos="1440"/>
        </w:tabs>
        <w:spacing w:after="0" w:line="240" w:lineRule="auto"/>
        <w:rPr>
          <w:color w:val="212121"/>
          <w:szCs w:val="27"/>
        </w:rPr>
      </w:pPr>
      <w:r>
        <w:rPr>
          <w:b/>
          <w:bCs/>
        </w:rPr>
        <w:t>EVANS, J.</w:t>
      </w:r>
    </w:p>
    <w:bookmarkEnd w:id="2"/>
    <w:p w:rsidR="00E2740C" w:rsidP="00E2740C" w14:paraId="7356E13A" w14:textId="77777777">
      <w:pPr>
        <w:rPr>
          <w:szCs w:val="26"/>
        </w:rPr>
        <w:sectPr w:rsidSect="00CA1A65">
          <w:pgSz w:w="12240" w:h="15840"/>
          <w:pgMar w:top="1800" w:right="2160" w:bottom="1440" w:left="2160" w:header="720" w:footer="720" w:gutter="0"/>
          <w:cols w:space="720"/>
          <w:docGrid w:linePitch="367"/>
        </w:sectPr>
      </w:pPr>
    </w:p>
    <w:p w:rsidR="00E2740C" w:rsidRPr="00E2740C" w:rsidP="00E2740C" w14:paraId="29E57392" w14:textId="77777777">
      <w:pPr>
        <w:spacing w:after="0" w:line="240" w:lineRule="auto"/>
        <w:jc w:val="left"/>
        <w:rPr>
          <w:i/>
          <w:sz w:val="24"/>
          <w:szCs w:val="24"/>
        </w:rPr>
      </w:pPr>
      <w:r w:rsidRPr="00E2740C">
        <w:rPr>
          <w:i/>
          <w:sz w:val="24"/>
          <w:szCs w:val="24"/>
        </w:rPr>
        <w:t>See next page for addresses and telephone numbers for counsel who argued in Supreme Court.</w:t>
      </w:r>
    </w:p>
    <w:p w:rsidR="00E2740C" w:rsidRPr="00E2740C" w:rsidP="00E2740C" w14:paraId="628F64CE" w14:textId="77777777">
      <w:pPr>
        <w:spacing w:after="0" w:line="240" w:lineRule="auto"/>
        <w:jc w:val="left"/>
        <w:rPr>
          <w:i/>
          <w:sz w:val="24"/>
          <w:szCs w:val="24"/>
        </w:rPr>
      </w:pPr>
    </w:p>
    <w:p w:rsidR="00E2740C" w:rsidRPr="00E2740C" w:rsidP="00E2740C" w14:paraId="321B1897" w14:textId="77777777">
      <w:pPr>
        <w:spacing w:after="0" w:line="240" w:lineRule="auto"/>
        <w:jc w:val="left"/>
        <w:rPr>
          <w:bCs/>
          <w:sz w:val="24"/>
          <w:szCs w:val="24"/>
        </w:rPr>
      </w:pPr>
      <w:r w:rsidRPr="00E2740C">
        <w:rPr>
          <w:b/>
          <w:sz w:val="24"/>
          <w:szCs w:val="24"/>
        </w:rPr>
        <w:t xml:space="preserve">Name of Opinion  </w:t>
      </w:r>
      <w:r w:rsidRPr="00E2740C">
        <w:rPr>
          <w:bCs/>
          <w:sz w:val="24"/>
          <w:szCs w:val="24"/>
        </w:rPr>
        <w:t>Wheeler v. Appellate Division of Superior Court</w:t>
      </w:r>
    </w:p>
    <w:p w:rsidR="00E2740C" w:rsidRPr="00E2740C" w:rsidP="00E2740C" w14:paraId="548B25F5" w14:textId="77777777">
      <w:pPr>
        <w:spacing w:after="0" w:line="240" w:lineRule="auto"/>
        <w:jc w:val="left"/>
        <w:rPr>
          <w:b/>
          <w:sz w:val="24"/>
          <w:szCs w:val="24"/>
        </w:rPr>
      </w:pPr>
      <w:r w:rsidRPr="00E2740C">
        <w:rPr>
          <w:b/>
          <w:sz w:val="24"/>
          <w:szCs w:val="24"/>
        </w:rPr>
        <w:t xml:space="preserve">__________________________________________________________ </w:t>
      </w:r>
    </w:p>
    <w:p w:rsidR="00E2740C" w:rsidRPr="00E2740C" w:rsidP="00E2740C" w14:paraId="793BFE51" w14:textId="77777777">
      <w:pPr>
        <w:spacing w:after="0" w:line="240" w:lineRule="auto"/>
        <w:jc w:val="left"/>
        <w:rPr>
          <w:b/>
          <w:sz w:val="24"/>
          <w:szCs w:val="24"/>
        </w:rPr>
      </w:pPr>
    </w:p>
    <w:p w:rsidR="00E2740C" w:rsidRPr="00E2740C" w:rsidP="00E2740C" w14:paraId="0D987339" w14:textId="77777777">
      <w:pPr>
        <w:spacing w:after="0" w:line="240" w:lineRule="auto"/>
        <w:jc w:val="left"/>
        <w:rPr>
          <w:sz w:val="24"/>
          <w:szCs w:val="24"/>
        </w:rPr>
      </w:pPr>
      <w:r w:rsidRPr="00E2740C">
        <w:rPr>
          <w:b/>
          <w:bCs/>
          <w:sz w:val="24"/>
          <w:szCs w:val="24"/>
          <w:u w:val="single"/>
        </w:rPr>
        <w:t>Procedural Posture</w:t>
      </w:r>
      <w:r w:rsidRPr="00E2740C">
        <w:rPr>
          <w:b/>
          <w:bCs/>
          <w:sz w:val="24"/>
          <w:szCs w:val="24"/>
        </w:rPr>
        <w:t xml:space="preserve"> </w:t>
      </w:r>
      <w:r w:rsidRPr="00E2740C">
        <w:rPr>
          <w:sz w:val="24"/>
          <w:szCs w:val="24"/>
        </w:rPr>
        <w:t>(see XX below)</w:t>
      </w:r>
    </w:p>
    <w:p w:rsidR="00E2740C" w:rsidRPr="00E2740C" w:rsidP="00E2740C" w14:paraId="2C8906AF" w14:textId="77777777">
      <w:pPr>
        <w:spacing w:after="0" w:line="240" w:lineRule="auto"/>
        <w:jc w:val="left"/>
        <w:rPr>
          <w:sz w:val="24"/>
          <w:szCs w:val="24"/>
        </w:rPr>
      </w:pPr>
      <w:r w:rsidRPr="00E2740C">
        <w:rPr>
          <w:b/>
          <w:bCs/>
          <w:sz w:val="24"/>
          <w:szCs w:val="24"/>
        </w:rPr>
        <w:t>Original Appeal</w:t>
      </w:r>
      <w:r w:rsidRPr="00E2740C">
        <w:rPr>
          <w:sz w:val="24"/>
          <w:szCs w:val="24"/>
        </w:rPr>
        <w:t xml:space="preserve"> </w:t>
      </w:r>
    </w:p>
    <w:p w:rsidR="00E2740C" w:rsidRPr="00E2740C" w:rsidP="00E2740C" w14:paraId="1FD22B29" w14:textId="77777777">
      <w:pPr>
        <w:spacing w:after="0" w:line="240" w:lineRule="auto"/>
        <w:jc w:val="left"/>
        <w:rPr>
          <w:b/>
          <w:bCs/>
          <w:sz w:val="24"/>
          <w:szCs w:val="24"/>
        </w:rPr>
      </w:pPr>
      <w:r w:rsidRPr="00E2740C">
        <w:rPr>
          <w:b/>
          <w:bCs/>
          <w:sz w:val="24"/>
          <w:szCs w:val="24"/>
        </w:rPr>
        <w:t>Original Proceeding</w:t>
      </w:r>
    </w:p>
    <w:p w:rsidR="00E2740C" w:rsidRPr="00E2740C" w:rsidP="00E2740C" w14:paraId="5CCE9797" w14:textId="77777777">
      <w:pPr>
        <w:spacing w:after="0" w:line="240" w:lineRule="auto"/>
        <w:jc w:val="left"/>
        <w:rPr>
          <w:sz w:val="24"/>
          <w:szCs w:val="24"/>
        </w:rPr>
      </w:pPr>
      <w:r w:rsidRPr="00E2740C">
        <w:rPr>
          <w:b/>
          <w:bCs/>
          <w:sz w:val="24"/>
          <w:szCs w:val="24"/>
        </w:rPr>
        <w:t>Review Granted</w:t>
      </w:r>
      <w:r w:rsidRPr="00E2740C">
        <w:rPr>
          <w:sz w:val="24"/>
          <w:szCs w:val="24"/>
        </w:rPr>
        <w:t xml:space="preserve"> </w:t>
      </w:r>
      <w:r w:rsidRPr="00E2740C">
        <w:rPr>
          <w:b/>
          <w:bCs/>
          <w:sz w:val="24"/>
          <w:szCs w:val="24"/>
        </w:rPr>
        <w:t xml:space="preserve">(published) </w:t>
      </w:r>
      <w:r w:rsidRPr="00E2740C">
        <w:rPr>
          <w:sz w:val="24"/>
          <w:szCs w:val="24"/>
        </w:rPr>
        <w:t>XX 72 Cal.App.5th 824</w:t>
      </w:r>
    </w:p>
    <w:p w:rsidR="00E2740C" w:rsidRPr="00E2740C" w:rsidP="00E2740C" w14:paraId="7C9A5192" w14:textId="77777777">
      <w:pPr>
        <w:spacing w:after="0" w:line="240" w:lineRule="auto"/>
        <w:jc w:val="left"/>
        <w:rPr>
          <w:sz w:val="24"/>
          <w:szCs w:val="24"/>
        </w:rPr>
      </w:pPr>
      <w:r w:rsidRPr="00E2740C">
        <w:rPr>
          <w:b/>
          <w:bCs/>
          <w:sz w:val="24"/>
          <w:szCs w:val="24"/>
        </w:rPr>
        <w:t xml:space="preserve">Review Granted (unpublished) </w:t>
      </w:r>
    </w:p>
    <w:p w:rsidR="00E2740C" w:rsidRPr="00E2740C" w:rsidP="00E2740C" w14:paraId="47384673" w14:textId="77777777">
      <w:pPr>
        <w:spacing w:after="0" w:line="240" w:lineRule="auto"/>
        <w:jc w:val="left"/>
        <w:rPr>
          <w:b/>
          <w:bCs/>
          <w:sz w:val="24"/>
          <w:szCs w:val="24"/>
        </w:rPr>
      </w:pPr>
      <w:r w:rsidRPr="00E2740C">
        <w:rPr>
          <w:b/>
          <w:bCs/>
          <w:sz w:val="24"/>
          <w:szCs w:val="24"/>
        </w:rPr>
        <w:t>Rehearing Granted</w:t>
      </w:r>
    </w:p>
    <w:p w:rsidR="00E2740C" w:rsidRPr="00E2740C" w:rsidP="00E2740C" w14:paraId="54F37FB8" w14:textId="77777777">
      <w:pPr>
        <w:spacing w:after="0" w:line="240" w:lineRule="auto"/>
        <w:jc w:val="left"/>
        <w:rPr>
          <w:b/>
          <w:sz w:val="24"/>
          <w:szCs w:val="24"/>
        </w:rPr>
      </w:pPr>
      <w:r w:rsidRPr="00E2740C">
        <w:rPr>
          <w:b/>
          <w:sz w:val="24"/>
          <w:szCs w:val="24"/>
        </w:rPr>
        <w:t xml:space="preserve">__________________________________________________________ </w:t>
      </w:r>
    </w:p>
    <w:p w:rsidR="00E2740C" w:rsidRPr="00E2740C" w:rsidP="00E2740C" w14:paraId="1C779CCC" w14:textId="77777777">
      <w:pPr>
        <w:spacing w:after="0" w:line="240" w:lineRule="auto"/>
        <w:jc w:val="left"/>
        <w:rPr>
          <w:b/>
          <w:sz w:val="24"/>
          <w:szCs w:val="24"/>
        </w:rPr>
      </w:pPr>
    </w:p>
    <w:p w:rsidR="00E2740C" w:rsidRPr="00E2740C" w:rsidP="00E2740C" w14:paraId="33C7079D" w14:textId="77777777">
      <w:pPr>
        <w:spacing w:after="0" w:line="240" w:lineRule="auto"/>
        <w:jc w:val="left"/>
        <w:rPr>
          <w:bCs/>
          <w:sz w:val="24"/>
          <w:szCs w:val="24"/>
        </w:rPr>
      </w:pPr>
      <w:r w:rsidRPr="00E2740C">
        <w:rPr>
          <w:b/>
          <w:sz w:val="24"/>
          <w:szCs w:val="24"/>
        </w:rPr>
        <w:t>Opinion No.</w:t>
      </w:r>
      <w:r w:rsidRPr="00E2740C">
        <w:rPr>
          <w:sz w:val="24"/>
          <w:szCs w:val="24"/>
        </w:rPr>
        <w:t xml:space="preserve"> S272850</w:t>
      </w:r>
    </w:p>
    <w:p w:rsidR="00E2740C" w:rsidRPr="00E2740C" w:rsidP="00E2740C" w14:paraId="757BF324" w14:textId="77777777">
      <w:pPr>
        <w:spacing w:after="0" w:line="240" w:lineRule="auto"/>
        <w:jc w:val="left"/>
        <w:rPr>
          <w:bCs/>
          <w:sz w:val="24"/>
          <w:szCs w:val="24"/>
        </w:rPr>
      </w:pPr>
      <w:r w:rsidRPr="00E2740C">
        <w:rPr>
          <w:b/>
          <w:sz w:val="24"/>
          <w:szCs w:val="24"/>
        </w:rPr>
        <w:t>Date Filed:</w:t>
      </w:r>
      <w:r w:rsidRPr="00E2740C">
        <w:rPr>
          <w:sz w:val="24"/>
          <w:szCs w:val="24"/>
        </w:rPr>
        <w:t xml:space="preserve">  May 30, 2024</w:t>
      </w:r>
    </w:p>
    <w:p w:rsidR="00E2740C" w:rsidRPr="00E2740C" w:rsidP="00E2740C" w14:paraId="2F2B9581" w14:textId="77777777">
      <w:pPr>
        <w:spacing w:after="0" w:line="240" w:lineRule="auto"/>
        <w:jc w:val="left"/>
        <w:rPr>
          <w:b/>
          <w:sz w:val="24"/>
          <w:szCs w:val="24"/>
        </w:rPr>
      </w:pPr>
      <w:r w:rsidRPr="00E2740C">
        <w:rPr>
          <w:b/>
          <w:sz w:val="24"/>
          <w:szCs w:val="24"/>
        </w:rPr>
        <w:t xml:space="preserve">__________________________________________________________ </w:t>
      </w:r>
    </w:p>
    <w:p w:rsidR="00E2740C" w:rsidRPr="00E2740C" w:rsidP="00E2740C" w14:paraId="36133F38" w14:textId="77777777">
      <w:pPr>
        <w:spacing w:after="0" w:line="240" w:lineRule="auto"/>
        <w:jc w:val="left"/>
        <w:rPr>
          <w:b/>
          <w:sz w:val="24"/>
          <w:szCs w:val="24"/>
        </w:rPr>
      </w:pPr>
    </w:p>
    <w:p w:rsidR="00E2740C" w:rsidRPr="00E2740C" w:rsidP="00E2740C" w14:paraId="1B6D1A84" w14:textId="77777777">
      <w:pPr>
        <w:spacing w:after="0" w:line="240" w:lineRule="auto"/>
        <w:jc w:val="left"/>
        <w:rPr>
          <w:bCs/>
          <w:sz w:val="24"/>
          <w:szCs w:val="24"/>
        </w:rPr>
      </w:pPr>
      <w:r w:rsidRPr="00E2740C">
        <w:rPr>
          <w:b/>
          <w:sz w:val="24"/>
          <w:szCs w:val="24"/>
        </w:rPr>
        <w:t xml:space="preserve">Court:  </w:t>
      </w:r>
      <w:r w:rsidRPr="00E2740C">
        <w:rPr>
          <w:bCs/>
          <w:sz w:val="24"/>
          <w:szCs w:val="24"/>
        </w:rPr>
        <w:t>Superior</w:t>
      </w:r>
      <w:r w:rsidRPr="00E2740C">
        <w:rPr>
          <w:b/>
          <w:sz w:val="24"/>
          <w:szCs w:val="24"/>
        </w:rPr>
        <w:t xml:space="preserve"> </w:t>
      </w:r>
    </w:p>
    <w:p w:rsidR="00E2740C" w:rsidRPr="00E2740C" w:rsidP="00E2740C" w14:paraId="439F0542" w14:textId="77777777">
      <w:pPr>
        <w:spacing w:after="0" w:line="240" w:lineRule="auto"/>
        <w:jc w:val="left"/>
        <w:rPr>
          <w:bCs/>
          <w:sz w:val="24"/>
          <w:szCs w:val="24"/>
        </w:rPr>
      </w:pPr>
      <w:r w:rsidRPr="00E2740C">
        <w:rPr>
          <w:b/>
          <w:sz w:val="24"/>
          <w:szCs w:val="24"/>
        </w:rPr>
        <w:t xml:space="preserve">County:  </w:t>
      </w:r>
      <w:r w:rsidRPr="00E2740C">
        <w:rPr>
          <w:bCs/>
          <w:sz w:val="24"/>
          <w:szCs w:val="24"/>
        </w:rPr>
        <w:t>Los Angeles</w:t>
      </w:r>
    </w:p>
    <w:p w:rsidR="00E2740C" w:rsidRPr="00E2740C" w:rsidP="00E2740C" w14:paraId="46997D82" w14:textId="77777777">
      <w:pPr>
        <w:spacing w:after="0" w:line="240" w:lineRule="auto"/>
        <w:ind w:left="720" w:hanging="720"/>
        <w:jc w:val="left"/>
        <w:rPr>
          <w:bCs/>
          <w:sz w:val="24"/>
          <w:szCs w:val="24"/>
        </w:rPr>
      </w:pPr>
      <w:r w:rsidRPr="00E2740C">
        <w:rPr>
          <w:b/>
          <w:sz w:val="24"/>
          <w:szCs w:val="24"/>
        </w:rPr>
        <w:t xml:space="preserve">Commissioner: </w:t>
      </w:r>
      <w:r w:rsidRPr="00E2740C">
        <w:rPr>
          <w:bCs/>
          <w:sz w:val="24"/>
          <w:szCs w:val="24"/>
        </w:rPr>
        <w:t xml:space="preserve"> H. Elizabeth Harris</w:t>
      </w:r>
    </w:p>
    <w:p w:rsidR="00E2740C" w:rsidRPr="00E2740C" w:rsidP="00E2740C" w14:paraId="0970B77A" w14:textId="77777777">
      <w:pPr>
        <w:spacing w:after="0" w:line="240" w:lineRule="auto"/>
        <w:jc w:val="left"/>
        <w:rPr>
          <w:b/>
          <w:sz w:val="24"/>
          <w:szCs w:val="24"/>
        </w:rPr>
      </w:pPr>
      <w:r w:rsidRPr="00E2740C">
        <w:rPr>
          <w:b/>
          <w:sz w:val="24"/>
          <w:szCs w:val="24"/>
        </w:rPr>
        <w:t xml:space="preserve">__________________________________________________________  </w:t>
      </w:r>
    </w:p>
    <w:p w:rsidR="00E2740C" w:rsidRPr="00E2740C" w:rsidP="00E2740C" w14:paraId="443B6F3A" w14:textId="77777777">
      <w:pPr>
        <w:spacing w:after="0" w:line="240" w:lineRule="auto"/>
        <w:jc w:val="left"/>
        <w:rPr>
          <w:b/>
          <w:sz w:val="24"/>
          <w:szCs w:val="24"/>
        </w:rPr>
      </w:pPr>
    </w:p>
    <w:p w:rsidR="00E2740C" w:rsidRPr="00E2740C" w:rsidP="00E2740C" w14:paraId="3726EED8" w14:textId="77777777">
      <w:pPr>
        <w:spacing w:after="0" w:line="240" w:lineRule="auto"/>
        <w:jc w:val="left"/>
        <w:rPr>
          <w:b/>
          <w:sz w:val="24"/>
          <w:szCs w:val="24"/>
        </w:rPr>
      </w:pPr>
      <w:r w:rsidRPr="00E2740C">
        <w:rPr>
          <w:b/>
          <w:sz w:val="24"/>
          <w:szCs w:val="24"/>
        </w:rPr>
        <w:t>Counsel:</w:t>
      </w:r>
    </w:p>
    <w:p w:rsidR="00E2740C" w:rsidRPr="00E2740C" w:rsidP="00E2740C" w14:paraId="6BA5A816" w14:textId="77777777">
      <w:pPr>
        <w:spacing w:after="0" w:line="240" w:lineRule="auto"/>
        <w:jc w:val="left"/>
        <w:rPr>
          <w:b/>
          <w:sz w:val="24"/>
          <w:szCs w:val="24"/>
        </w:rPr>
      </w:pPr>
    </w:p>
    <w:p w:rsidR="00E2740C" w:rsidRPr="00E2740C" w:rsidP="00E2740C" w14:paraId="4D2E491B"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Erika C. Anzoategui, Alternate Public Defender, Reid S. Honjiyo, Brock Hammond, Alvin Yu and Megan N. Gallow, Deputy Alternate Public Defenders, for Petitioner.</w:t>
      </w:r>
    </w:p>
    <w:p w:rsidR="00E2740C" w:rsidRPr="00E2740C" w:rsidP="00E2740C" w14:paraId="03B7670E" w14:textId="77777777">
      <w:pPr>
        <w:spacing w:after="0" w:line="240" w:lineRule="auto"/>
        <w:jc w:val="left"/>
        <w:rPr>
          <w:color w:val="212121"/>
          <w:sz w:val="24"/>
          <w:szCs w:val="24"/>
          <w:shd w:val="clear" w:color="auto" w:fill="FFFFFF"/>
        </w:rPr>
      </w:pPr>
    </w:p>
    <w:p w:rsidR="00E2740C" w:rsidRPr="00E2740C" w:rsidP="00E2740C" w14:paraId="2DF93A30"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Ricardo D. Garcia, Public Defender (Los Angeles), Albert J. Menaster, Head Deputy Public Defender, and Nick Stewart-Oaten, Deputy Public Defender, for the California Public Defenders Association and Law Offices of the Public Defender as Amici Curiae on behalf of Petitioner.</w:t>
      </w:r>
    </w:p>
    <w:p w:rsidR="00E2740C" w:rsidRPr="00E2740C" w:rsidP="00E2740C" w14:paraId="4D39FC75" w14:textId="77777777">
      <w:pPr>
        <w:spacing w:after="0" w:line="240" w:lineRule="auto"/>
        <w:jc w:val="left"/>
        <w:rPr>
          <w:color w:val="212121"/>
          <w:sz w:val="24"/>
          <w:szCs w:val="24"/>
          <w:shd w:val="clear" w:color="auto" w:fill="FFFFFF"/>
        </w:rPr>
      </w:pPr>
    </w:p>
    <w:p w:rsidR="00E2740C" w:rsidRPr="00E2740C" w:rsidP="00E2740C" w14:paraId="4496F71C"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No appearance for Respondent.</w:t>
      </w:r>
    </w:p>
    <w:p w:rsidR="00E2740C" w:rsidRPr="00E2740C" w:rsidP="00E2740C" w14:paraId="6E92C882" w14:textId="77777777">
      <w:pPr>
        <w:spacing w:after="0" w:line="240" w:lineRule="auto"/>
        <w:jc w:val="left"/>
        <w:rPr>
          <w:color w:val="212121"/>
          <w:sz w:val="24"/>
          <w:szCs w:val="24"/>
          <w:shd w:val="clear" w:color="auto" w:fill="FFFFFF"/>
        </w:rPr>
      </w:pPr>
    </w:p>
    <w:p w:rsidR="00E2740C" w:rsidRPr="00E2740C" w:rsidP="00E2740C" w14:paraId="10230D2E"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Michael N. Feuer and Hydee Feldstein Soto, City Attorneys, Kent J. Bullard, Assistant City Attorney, Meredith A. McKittrick, Hannah M. Barker, Sydney M. Mehringer, John R. Prosser and Zachary T. Fanselow, Deputy City Attorneys, for Real Party in Interest.</w:t>
      </w:r>
    </w:p>
    <w:p w:rsidR="00E2740C" w:rsidRPr="00E2740C" w:rsidP="00E2740C" w14:paraId="2BBD4B32" w14:textId="77777777">
      <w:pPr>
        <w:spacing w:after="0" w:line="240" w:lineRule="auto"/>
        <w:jc w:val="left"/>
        <w:rPr>
          <w:color w:val="212121"/>
          <w:sz w:val="24"/>
          <w:szCs w:val="24"/>
          <w:shd w:val="clear" w:color="auto" w:fill="FFFFFF"/>
        </w:rPr>
      </w:pPr>
    </w:p>
    <w:p w:rsidR="00E2740C" w:rsidRPr="00E2740C" w:rsidP="00E2740C" w14:paraId="17FA7A75"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Michael N. Feuer, City Attorney (Los Angeles), David J. Michaelson, Chief Assistant City Attorney, Taylor C. Wagniere and Kabir Chopra, Deputy City Attorneys, for the Los Angeles Department of Cannabis Regulation as Amicus Curiae on behalf of Real Party in Interest.</w:t>
      </w:r>
    </w:p>
    <w:p w:rsidR="00E2740C" w:rsidRPr="00E2740C" w:rsidP="00E2740C" w14:paraId="7F38A44E" w14:textId="77777777">
      <w:pPr>
        <w:spacing w:after="0" w:line="240" w:lineRule="auto"/>
        <w:jc w:val="left"/>
        <w:rPr>
          <w:color w:val="212121"/>
          <w:sz w:val="24"/>
          <w:szCs w:val="24"/>
          <w:shd w:val="clear" w:color="auto" w:fill="FFFFFF"/>
        </w:rPr>
      </w:pPr>
    </w:p>
    <w:p w:rsidR="00E2740C" w:rsidRPr="00E2740C" w:rsidP="00E2740C" w14:paraId="3B044151"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Susana Alcala Wood and David S. Kim, City Attorneys (Sacramento), for City of Sacramento as Amicus Curiae on behalf of Real Party in Interest.</w:t>
      </w:r>
    </w:p>
    <w:p w:rsidR="00E2740C" w:rsidRPr="00E2740C" w:rsidP="00E2740C" w14:paraId="2D4A995E" w14:textId="77777777">
      <w:pPr>
        <w:spacing w:after="0" w:line="240" w:lineRule="auto"/>
        <w:jc w:val="left"/>
        <w:rPr>
          <w:color w:val="212121"/>
          <w:sz w:val="24"/>
          <w:szCs w:val="24"/>
          <w:shd w:val="clear" w:color="auto" w:fill="FFFFFF"/>
        </w:rPr>
      </w:pPr>
    </w:p>
    <w:p w:rsidR="00E2740C" w:rsidRPr="00E2740C" w:rsidP="00E2740C" w14:paraId="21EA75EE"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 xml:space="preserve">Best Best &amp; Krieger, Jeffrey V. Dunn and Carl C. Jones for League of California Cities and California State Association of Counties as Amici Curiae on behalf of Real Party in Interest. </w:t>
      </w:r>
      <w:r w:rsidRPr="00E2740C">
        <w:rPr>
          <w:color w:val="212121"/>
          <w:sz w:val="24"/>
          <w:szCs w:val="24"/>
          <w:shd w:val="clear" w:color="auto" w:fill="FFFFFF"/>
        </w:rPr>
        <w:br w:type="page"/>
      </w:r>
      <w:r w:rsidRPr="00E2740C">
        <w:rPr>
          <w:b/>
          <w:sz w:val="24"/>
          <w:szCs w:val="24"/>
        </w:rPr>
        <w:t xml:space="preserve">Counsel who argued in Supreme Court (not intended for publication with opinion): </w:t>
      </w:r>
    </w:p>
    <w:p w:rsidR="00E2740C" w:rsidRPr="00E2740C" w:rsidP="00E2740C" w14:paraId="3ABAE994" w14:textId="77777777">
      <w:pPr>
        <w:spacing w:after="0" w:line="240" w:lineRule="auto"/>
        <w:jc w:val="left"/>
        <w:rPr>
          <w:sz w:val="24"/>
          <w:szCs w:val="24"/>
        </w:rPr>
      </w:pPr>
    </w:p>
    <w:p w:rsidR="00E2740C" w:rsidRPr="00E2740C" w:rsidP="00E2740C" w14:paraId="2F9F9C7F" w14:textId="77777777">
      <w:pPr>
        <w:spacing w:after="0" w:line="240" w:lineRule="auto"/>
        <w:jc w:val="left"/>
        <w:rPr>
          <w:sz w:val="24"/>
          <w:szCs w:val="24"/>
        </w:rPr>
      </w:pPr>
      <w:r w:rsidRPr="00E2740C">
        <w:rPr>
          <w:sz w:val="24"/>
          <w:szCs w:val="24"/>
        </w:rPr>
        <w:t>Megan N. Gallow</w:t>
      </w:r>
    </w:p>
    <w:p w:rsidR="00E2740C" w:rsidRPr="00E2740C" w:rsidP="00E2740C" w14:paraId="194383CA"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Deputy Alternate Public Defender</w:t>
      </w:r>
    </w:p>
    <w:p w:rsidR="00E2740C" w:rsidRPr="00E2740C" w:rsidP="00E2740C" w14:paraId="4E239314"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210 West Temple Street, 18th Floor</w:t>
      </w:r>
    </w:p>
    <w:p w:rsidR="00E2740C" w:rsidRPr="00E2740C" w:rsidP="00E2740C" w14:paraId="45CE5708" w14:textId="77777777">
      <w:pPr>
        <w:spacing w:after="0" w:line="240" w:lineRule="auto"/>
        <w:jc w:val="left"/>
        <w:rPr>
          <w:sz w:val="24"/>
          <w:szCs w:val="24"/>
        </w:rPr>
      </w:pPr>
      <w:r w:rsidRPr="00E2740C">
        <w:rPr>
          <w:sz w:val="24"/>
          <w:szCs w:val="24"/>
        </w:rPr>
        <w:t>Los Angeles, CA 90012</w:t>
      </w:r>
    </w:p>
    <w:p w:rsidR="00E2740C" w:rsidRPr="00E2740C" w:rsidP="00E2740C" w14:paraId="17EDB5E9" w14:textId="77777777">
      <w:pPr>
        <w:spacing w:after="0" w:line="240" w:lineRule="auto"/>
        <w:jc w:val="left"/>
        <w:rPr>
          <w:sz w:val="24"/>
          <w:szCs w:val="24"/>
        </w:rPr>
      </w:pPr>
      <w:r w:rsidRPr="00E2740C">
        <w:rPr>
          <w:sz w:val="24"/>
          <w:szCs w:val="24"/>
        </w:rPr>
        <w:t>(213) 893-1074</w:t>
      </w:r>
    </w:p>
    <w:p w:rsidR="00E2740C" w:rsidRPr="00E2740C" w:rsidP="00E2740C" w14:paraId="1568639E" w14:textId="77777777">
      <w:pPr>
        <w:spacing w:after="0" w:line="240" w:lineRule="auto"/>
        <w:jc w:val="left"/>
        <w:rPr>
          <w:sz w:val="24"/>
          <w:szCs w:val="24"/>
        </w:rPr>
      </w:pPr>
    </w:p>
    <w:p w:rsidR="00E2740C" w:rsidRPr="00E2740C" w:rsidP="00E2740C" w14:paraId="60C2722C"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Zachary T. Fanselow</w:t>
      </w:r>
    </w:p>
    <w:p w:rsidR="00E2740C" w:rsidRPr="00E2740C" w:rsidP="00E2740C" w14:paraId="1EA2F0A8" w14:textId="77777777">
      <w:pPr>
        <w:spacing w:after="0" w:line="240" w:lineRule="auto"/>
        <w:jc w:val="left"/>
        <w:rPr>
          <w:color w:val="212121"/>
          <w:sz w:val="24"/>
          <w:szCs w:val="24"/>
          <w:shd w:val="clear" w:color="auto" w:fill="FFFFFF"/>
        </w:rPr>
      </w:pPr>
      <w:r w:rsidRPr="00E2740C">
        <w:rPr>
          <w:color w:val="212121"/>
          <w:sz w:val="24"/>
          <w:szCs w:val="24"/>
          <w:shd w:val="clear" w:color="auto" w:fill="FFFFFF"/>
        </w:rPr>
        <w:t>Deputy City Attorney</w:t>
      </w:r>
    </w:p>
    <w:p w:rsidR="00E2740C" w:rsidRPr="00E2740C" w:rsidP="00E2740C" w14:paraId="6BF71B5F" w14:textId="77777777">
      <w:pPr>
        <w:spacing w:after="0" w:line="240" w:lineRule="auto"/>
        <w:jc w:val="left"/>
        <w:rPr>
          <w:sz w:val="24"/>
          <w:szCs w:val="24"/>
        </w:rPr>
      </w:pPr>
      <w:r w:rsidRPr="00E2740C">
        <w:rPr>
          <w:sz w:val="24"/>
          <w:szCs w:val="24"/>
        </w:rPr>
        <w:t>200 North Main Street, Suite 916</w:t>
      </w:r>
    </w:p>
    <w:p w:rsidR="00E2740C" w:rsidRPr="00E2740C" w:rsidP="00E2740C" w14:paraId="01E1EA26" w14:textId="77777777">
      <w:pPr>
        <w:spacing w:after="0" w:line="240" w:lineRule="auto"/>
        <w:jc w:val="left"/>
        <w:rPr>
          <w:sz w:val="24"/>
          <w:szCs w:val="24"/>
        </w:rPr>
      </w:pPr>
      <w:r w:rsidRPr="00E2740C">
        <w:rPr>
          <w:sz w:val="24"/>
          <w:szCs w:val="24"/>
        </w:rPr>
        <w:t>Los Angeles, CA 90012</w:t>
      </w:r>
    </w:p>
    <w:p w:rsidR="00E2740C" w:rsidRPr="00E2740C" w:rsidP="00E2740C" w14:paraId="52E0772A" w14:textId="77777777">
      <w:pPr>
        <w:spacing w:after="0" w:line="240" w:lineRule="auto"/>
        <w:jc w:val="left"/>
        <w:rPr>
          <w:sz w:val="24"/>
          <w:szCs w:val="24"/>
        </w:rPr>
      </w:pPr>
      <w:r w:rsidRPr="00E2740C">
        <w:rPr>
          <w:sz w:val="24"/>
          <w:szCs w:val="24"/>
        </w:rPr>
        <w:t>(213) 473-6900</w:t>
      </w:r>
    </w:p>
    <w:p w:rsidR="00CA05BE" w:rsidRPr="00CA1A65" w:rsidP="00E2740C" w14:paraId="1DF106A9" w14:textId="77777777">
      <w:pPr>
        <w:rPr>
          <w:szCs w:val="26"/>
        </w:rPr>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8259047"/>
      <w:docPartObj>
        <w:docPartGallery w:val="Page Numbers (Bottom of Page)"/>
        <w:docPartUnique/>
      </w:docPartObj>
    </w:sdtPr>
    <w:sdtEndPr>
      <w:rPr>
        <w:noProof/>
      </w:rPr>
    </w:sdtEndPr>
    <w:sdtContent>
      <w:p w:rsidR="00DB06F4" w14:paraId="1DF106B0"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1A65" w14:paraId="1DF106B1"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40C" w:rsidRPr="00E2740C" w:rsidP="00E2740C" w14:paraId="347D71E5" w14:textId="79797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410F" w:rsidP="00C3514D" w14:paraId="1DF106AA" w14:textId="77777777">
      <w:r>
        <w:separator/>
      </w:r>
    </w:p>
  </w:footnote>
  <w:footnote w:type="continuationSeparator" w:id="1">
    <w:p w:rsidR="0017410F" w:rsidP="00C3514D" w14:paraId="1DF106AB" w14:textId="77777777">
      <w:r>
        <w:continuationSeparator/>
      </w:r>
    </w:p>
  </w:footnote>
  <w:footnote w:type="continuationNotice" w:id="2">
    <w:p w:rsidR="0017410F" w14:paraId="1DF106AC" w14:textId="77777777"/>
  </w:footnote>
  <w:footnote w:id="3">
    <w:p w:rsidR="00184D2D" w:rsidRPr="00E611FE" w:rsidP="00CA1A65" w14:paraId="1DF106B2" w14:textId="77777777">
      <w:pPr>
        <w:pStyle w:val="FootnoteText"/>
        <w:rPr>
          <w:sz w:val="26"/>
          <w:szCs w:val="26"/>
        </w:rPr>
      </w:pPr>
      <w:r>
        <w:rPr>
          <w:rStyle w:val="FootnoteReference"/>
          <w:sz w:val="26"/>
          <w:szCs w:val="26"/>
        </w:rPr>
        <w:footnoteRef/>
      </w:r>
      <w:r>
        <w:rPr>
          <w:sz w:val="26"/>
          <w:szCs w:val="26"/>
        </w:rPr>
        <w:t xml:space="preserve"> </w:t>
      </w:r>
      <w:r>
        <w:rPr>
          <w:sz w:val="26"/>
          <w:szCs w:val="26"/>
        </w:rPr>
        <w:tab/>
        <w:t xml:space="preserve">Subsequent statutory references are to the Penal Code unless otherwise noted.  </w:t>
      </w:r>
    </w:p>
  </w:footnote>
  <w:footnote w:id="4">
    <w:p w:rsidR="009E564B" w:rsidRPr="009E564B" w:rsidP="00CA1A65" w14:paraId="1DF106B3" w14:textId="77777777">
      <w:pPr>
        <w:pStyle w:val="FootnoteText"/>
        <w:rPr>
          <w:sz w:val="26"/>
          <w:szCs w:val="26"/>
        </w:rPr>
      </w:pPr>
      <w:r>
        <w:rPr>
          <w:rStyle w:val="FootnoteReference"/>
          <w:sz w:val="26"/>
          <w:szCs w:val="26"/>
        </w:rPr>
        <w:footnoteRef/>
      </w:r>
      <w:r>
        <w:rPr>
          <w:sz w:val="26"/>
          <w:szCs w:val="26"/>
        </w:rPr>
        <w:t xml:space="preserve"> </w:t>
      </w:r>
      <w:r>
        <w:rPr>
          <w:sz w:val="26"/>
          <w:szCs w:val="26"/>
        </w:rPr>
        <w:tab/>
      </w:r>
      <w:r w:rsidR="008B4666">
        <w:rPr>
          <w:sz w:val="26"/>
          <w:szCs w:val="26"/>
        </w:rPr>
        <w:t>Municipal Code s</w:t>
      </w:r>
      <w:r>
        <w:rPr>
          <w:sz w:val="26"/>
          <w:szCs w:val="26"/>
        </w:rPr>
        <w:t xml:space="preserve">ection 104.15 was enacted by </w:t>
      </w:r>
      <w:r w:rsidR="00631C93">
        <w:rPr>
          <w:sz w:val="26"/>
          <w:szCs w:val="26"/>
        </w:rPr>
        <w:t xml:space="preserve">City of Los Angeles </w:t>
      </w:r>
      <w:r>
        <w:rPr>
          <w:sz w:val="26"/>
          <w:szCs w:val="26"/>
        </w:rPr>
        <w:t>Ordinance No. 185</w:t>
      </w:r>
      <w:r w:rsidR="00065727">
        <w:rPr>
          <w:sz w:val="26"/>
          <w:szCs w:val="26"/>
        </w:rPr>
        <w:t>,</w:t>
      </w:r>
      <w:r>
        <w:rPr>
          <w:sz w:val="26"/>
          <w:szCs w:val="26"/>
        </w:rPr>
        <w:t>343 in 2017.</w:t>
      </w:r>
    </w:p>
  </w:footnote>
  <w:footnote w:id="5">
    <w:p w:rsidR="00EA29B7" w:rsidRPr="009E564B" w:rsidP="00CA1A65" w14:paraId="1DF106B4" w14:textId="2A7556A4">
      <w:pPr>
        <w:pStyle w:val="FootnoteText"/>
        <w:rPr>
          <w:sz w:val="26"/>
          <w:szCs w:val="26"/>
        </w:rPr>
      </w:pPr>
      <w:r>
        <w:rPr>
          <w:rStyle w:val="FootnoteReference"/>
          <w:sz w:val="26"/>
          <w:szCs w:val="26"/>
        </w:rPr>
        <w:footnoteRef/>
      </w:r>
      <w:r>
        <w:rPr>
          <w:sz w:val="26"/>
          <w:szCs w:val="26"/>
        </w:rPr>
        <w:t xml:space="preserve"> </w:t>
      </w:r>
      <w:r>
        <w:rPr>
          <w:sz w:val="26"/>
          <w:szCs w:val="26"/>
        </w:rPr>
        <w:tab/>
        <w:t>“</w:t>
      </w:r>
      <w:r w:rsidR="00D36784">
        <w:rPr>
          <w:sz w:val="26"/>
          <w:szCs w:val="26"/>
        </w:rPr>
        <w:t> </w:t>
      </w:r>
      <w:r>
        <w:rPr>
          <w:sz w:val="26"/>
          <w:szCs w:val="26"/>
        </w:rPr>
        <w:t>‘Commercial Cannabis Activity’ includes the cultivation, possession, manufacture, distribution, processing, storing, laboratory testing, packaging, labeling, transportation, delivery or sale of Cannabis or Cannabis products in the City as provided for in Division 10 of the California Business and Professions Code and the California Code of Regulations, as currently defined or as may be amended.”  (</w:t>
      </w:r>
      <w:r w:rsidR="000F15F5">
        <w:rPr>
          <w:sz w:val="26"/>
          <w:szCs w:val="26"/>
        </w:rPr>
        <w:t>Mun. Code,</w:t>
      </w:r>
      <w:r>
        <w:rPr>
          <w:sz w:val="26"/>
          <w:szCs w:val="26"/>
        </w:rPr>
        <w:t xml:space="preserve"> § 104.01(10).)</w:t>
      </w:r>
    </w:p>
  </w:footnote>
  <w:footnote w:id="6">
    <w:p w:rsidR="005B5424" w:rsidRPr="009E564B" w:rsidP="00CA1A65" w14:paraId="1DF106B5" w14:textId="2254A9A8">
      <w:pPr>
        <w:pStyle w:val="FootnoteText"/>
        <w:rPr>
          <w:sz w:val="26"/>
          <w:szCs w:val="26"/>
        </w:rPr>
      </w:pPr>
      <w:r>
        <w:rPr>
          <w:rStyle w:val="FootnoteReference"/>
          <w:sz w:val="26"/>
          <w:szCs w:val="26"/>
        </w:rPr>
        <w:footnoteRef/>
      </w:r>
      <w:r>
        <w:rPr>
          <w:sz w:val="26"/>
          <w:szCs w:val="26"/>
        </w:rPr>
        <w:t xml:space="preserve"> </w:t>
      </w:r>
      <w:r>
        <w:rPr>
          <w:sz w:val="26"/>
          <w:szCs w:val="26"/>
        </w:rPr>
        <w:tab/>
        <w:t>“</w:t>
      </w:r>
      <w:r w:rsidR="00D36784">
        <w:rPr>
          <w:sz w:val="26"/>
          <w:szCs w:val="26"/>
        </w:rPr>
        <w:t> </w:t>
      </w:r>
      <w:r>
        <w:rPr>
          <w:sz w:val="26"/>
          <w:szCs w:val="26"/>
        </w:rPr>
        <w:t>‘Unlawful Establishment’ means any Person engaged in Commercial Cannabis Activity if the Person does not have a City</w:t>
      </w:r>
      <w:r w:rsidR="00065727">
        <w:rPr>
          <w:sz w:val="26"/>
          <w:szCs w:val="26"/>
        </w:rPr>
        <w:t>-</w:t>
      </w:r>
      <w:r>
        <w:rPr>
          <w:sz w:val="26"/>
          <w:szCs w:val="26"/>
        </w:rPr>
        <w:t>issued Temporary Approval or License.”  (</w:t>
      </w:r>
      <w:r w:rsidR="000F15F5">
        <w:rPr>
          <w:sz w:val="26"/>
          <w:szCs w:val="26"/>
        </w:rPr>
        <w:t>Mun. Code,</w:t>
      </w:r>
      <w:r>
        <w:rPr>
          <w:sz w:val="26"/>
          <w:szCs w:val="26"/>
        </w:rPr>
        <w:t xml:space="preserve"> § 104.01(41).)</w:t>
      </w:r>
    </w:p>
  </w:footnote>
  <w:footnote w:id="7">
    <w:p w:rsidR="009E564B" w:rsidRPr="009E564B" w:rsidP="00CA1A65" w14:paraId="1DF106B6" w14:textId="77777777">
      <w:pPr>
        <w:pStyle w:val="FootnoteText"/>
        <w:rPr>
          <w:sz w:val="26"/>
          <w:szCs w:val="26"/>
        </w:rPr>
      </w:pPr>
      <w:r>
        <w:rPr>
          <w:rStyle w:val="FootnoteReference"/>
          <w:sz w:val="26"/>
          <w:szCs w:val="26"/>
        </w:rPr>
        <w:footnoteRef/>
      </w:r>
      <w:r>
        <w:rPr>
          <w:sz w:val="26"/>
          <w:szCs w:val="26"/>
        </w:rPr>
        <w:t xml:space="preserve"> </w:t>
      </w:r>
      <w:r>
        <w:rPr>
          <w:sz w:val="26"/>
          <w:szCs w:val="26"/>
        </w:rPr>
        <w:tab/>
        <w:t>This citation-authorizing provision was added by</w:t>
      </w:r>
      <w:r w:rsidR="00631C93">
        <w:rPr>
          <w:sz w:val="26"/>
          <w:szCs w:val="26"/>
        </w:rPr>
        <w:t xml:space="preserve"> </w:t>
      </w:r>
      <w:bookmarkStart w:id="4" w:name="_Hlk164199588"/>
      <w:r w:rsidR="00631C93">
        <w:rPr>
          <w:sz w:val="26"/>
          <w:szCs w:val="26"/>
        </w:rPr>
        <w:t>Los Angeles</w:t>
      </w:r>
      <w:r>
        <w:rPr>
          <w:sz w:val="26"/>
          <w:szCs w:val="26"/>
        </w:rPr>
        <w:t xml:space="preserve"> Ordinance </w:t>
      </w:r>
      <w:r w:rsidR="00631C93">
        <w:rPr>
          <w:sz w:val="26"/>
          <w:szCs w:val="26"/>
        </w:rPr>
        <w:t xml:space="preserve">No. </w:t>
      </w:r>
      <w:r>
        <w:rPr>
          <w:sz w:val="26"/>
          <w:szCs w:val="26"/>
        </w:rPr>
        <w:t>185,850, effective November 28, 2018.</w:t>
      </w:r>
      <w:bookmarkEnd w:id="4"/>
    </w:p>
  </w:footnote>
  <w:footnote w:id="8">
    <w:p w:rsidR="00BB3259" w:rsidRPr="009E564B" w:rsidP="00CA1A65" w14:paraId="1DF106B7" w14:textId="77777777">
      <w:pPr>
        <w:pStyle w:val="FootnoteText"/>
        <w:rPr>
          <w:sz w:val="26"/>
          <w:szCs w:val="26"/>
        </w:rPr>
      </w:pPr>
      <w:r>
        <w:rPr>
          <w:rStyle w:val="FootnoteReference"/>
          <w:sz w:val="26"/>
          <w:szCs w:val="26"/>
        </w:rPr>
        <w:footnoteRef/>
      </w:r>
      <w:r>
        <w:rPr>
          <w:sz w:val="26"/>
          <w:szCs w:val="26"/>
        </w:rPr>
        <w:t xml:space="preserve"> </w:t>
      </w:r>
      <w:r>
        <w:rPr>
          <w:sz w:val="26"/>
          <w:szCs w:val="26"/>
        </w:rPr>
        <w:tab/>
        <w:t xml:space="preserve">Counts 1 through 4 of the complaint, which the People later characterized as </w:t>
      </w:r>
      <w:r w:rsidR="00D44718">
        <w:rPr>
          <w:sz w:val="26"/>
          <w:szCs w:val="26"/>
        </w:rPr>
        <w:t xml:space="preserve">a </w:t>
      </w:r>
      <w:r>
        <w:rPr>
          <w:sz w:val="26"/>
          <w:szCs w:val="26"/>
        </w:rPr>
        <w:t xml:space="preserve">clerical error, were dismissed without objection. </w:t>
      </w:r>
    </w:p>
  </w:footnote>
  <w:footnote w:id="9">
    <w:p w:rsidR="00114B40" w:rsidRPr="009E564B" w:rsidP="00CA1A65" w14:paraId="1DF106B8" w14:textId="77777777">
      <w:pPr>
        <w:pStyle w:val="FootnoteText"/>
        <w:rPr>
          <w:sz w:val="26"/>
          <w:szCs w:val="26"/>
        </w:rPr>
      </w:pPr>
      <w:r>
        <w:rPr>
          <w:rStyle w:val="FootnoteReference"/>
          <w:sz w:val="26"/>
          <w:szCs w:val="26"/>
        </w:rPr>
        <w:footnoteRef/>
      </w:r>
      <w:r>
        <w:rPr>
          <w:sz w:val="26"/>
          <w:szCs w:val="26"/>
        </w:rPr>
        <w:t xml:space="preserve"> </w:t>
      </w:r>
      <w:r>
        <w:rPr>
          <w:sz w:val="26"/>
          <w:szCs w:val="26"/>
        </w:rPr>
        <w:tab/>
      </w:r>
      <w:r w:rsidRPr="00134410" w:rsidR="00134410">
        <w:rPr>
          <w:sz w:val="26"/>
          <w:szCs w:val="26"/>
        </w:rPr>
        <w:t xml:space="preserve">In addition, </w:t>
      </w:r>
      <w:r w:rsidR="00134410">
        <w:rPr>
          <w:sz w:val="26"/>
          <w:szCs w:val="26"/>
        </w:rPr>
        <w:t>Wheeler</w:t>
      </w:r>
      <w:r w:rsidRPr="00134410" w:rsidR="00134410">
        <w:rPr>
          <w:sz w:val="26"/>
          <w:szCs w:val="26"/>
        </w:rPr>
        <w:t xml:space="preserve"> argued for the first time that a state law prohibiting the knowing rental of premises for the purpose of unlawful drug activities (Health &amp; Saf. Code, § 11366.5, subd. (a)) preempted the municipal criminal prohibitions the city had invoked against her.</w:t>
      </w:r>
      <w:r w:rsidR="00134410">
        <w:rPr>
          <w:sz w:val="26"/>
          <w:szCs w:val="26"/>
        </w:rPr>
        <w:t xml:space="preserve">  The </w:t>
      </w:r>
      <w:r w:rsidR="000F15F5">
        <w:rPr>
          <w:sz w:val="26"/>
          <w:szCs w:val="26"/>
        </w:rPr>
        <w:t>a</w:t>
      </w:r>
      <w:r w:rsidR="00134410">
        <w:rPr>
          <w:sz w:val="26"/>
          <w:szCs w:val="26"/>
        </w:rPr>
        <w:t xml:space="preserve">ppellate </w:t>
      </w:r>
      <w:r w:rsidR="000F15F5">
        <w:rPr>
          <w:sz w:val="26"/>
          <w:szCs w:val="26"/>
        </w:rPr>
        <w:t>d</w:t>
      </w:r>
      <w:r w:rsidR="00134410">
        <w:rPr>
          <w:sz w:val="26"/>
          <w:szCs w:val="26"/>
        </w:rPr>
        <w:t xml:space="preserve">ivision, and the Court of Appeal after it, rejected this argument.  </w:t>
      </w:r>
      <w:r w:rsidR="00AC19F5">
        <w:rPr>
          <w:sz w:val="26"/>
          <w:szCs w:val="26"/>
        </w:rPr>
        <w:t>Although our grant of review included th</w:t>
      </w:r>
      <w:r w:rsidR="00770B4F">
        <w:rPr>
          <w:sz w:val="26"/>
          <w:szCs w:val="26"/>
        </w:rPr>
        <w:t>is</w:t>
      </w:r>
      <w:r w:rsidR="00AC19F5">
        <w:rPr>
          <w:sz w:val="26"/>
          <w:szCs w:val="26"/>
        </w:rPr>
        <w:t xml:space="preserve"> preemption issue, we </w:t>
      </w:r>
      <w:r w:rsidR="00134410">
        <w:rPr>
          <w:sz w:val="26"/>
          <w:szCs w:val="26"/>
        </w:rPr>
        <w:t xml:space="preserve">express no opinion </w:t>
      </w:r>
      <w:r w:rsidR="00AC19F5">
        <w:rPr>
          <w:sz w:val="26"/>
          <w:szCs w:val="26"/>
        </w:rPr>
        <w:t>on it given our disposition, in which we remand for dismissal under section 1385, and in light of our prerogative to “</w:t>
      </w:r>
      <w:r w:rsidRPr="00AC19F5" w:rsidR="00AC19F5">
        <w:rPr>
          <w:sz w:val="26"/>
          <w:szCs w:val="26"/>
        </w:rPr>
        <w:t>not decide every issue the parties raise or the court specifies</w:t>
      </w:r>
      <w:r w:rsidR="00AC19F5">
        <w:rPr>
          <w:sz w:val="26"/>
          <w:szCs w:val="26"/>
        </w:rPr>
        <w:t xml:space="preserve">.” </w:t>
      </w:r>
      <w:r w:rsidR="00770B4F">
        <w:rPr>
          <w:sz w:val="26"/>
          <w:szCs w:val="26"/>
        </w:rPr>
        <w:t xml:space="preserve"> </w:t>
      </w:r>
      <w:r w:rsidR="00AC19F5">
        <w:rPr>
          <w:sz w:val="26"/>
          <w:szCs w:val="26"/>
        </w:rPr>
        <w:t>(Cal. Rules of C</w:t>
      </w:r>
      <w:r w:rsidR="00F93DBB">
        <w:rPr>
          <w:sz w:val="26"/>
          <w:szCs w:val="26"/>
        </w:rPr>
        <w:t>ourt</w:t>
      </w:r>
      <w:r w:rsidR="00AC19F5">
        <w:rPr>
          <w:sz w:val="26"/>
          <w:szCs w:val="26"/>
        </w:rPr>
        <w:t>, r</w:t>
      </w:r>
      <w:r w:rsidR="00F93DBB">
        <w:rPr>
          <w:sz w:val="26"/>
          <w:szCs w:val="26"/>
        </w:rPr>
        <w:t>ule</w:t>
      </w:r>
      <w:r w:rsidR="00AC19F5">
        <w:rPr>
          <w:sz w:val="26"/>
          <w:szCs w:val="26"/>
        </w:rPr>
        <w:t xml:space="preserve"> 8.516(b)(3).)</w:t>
      </w:r>
    </w:p>
  </w:footnote>
  <w:footnote w:id="10">
    <w:p w:rsidR="00714772" w:rsidRPr="009E564B" w:rsidP="00CA1A65" w14:paraId="1DF106B9" w14:textId="77777777">
      <w:pPr>
        <w:pStyle w:val="FootnoteText"/>
        <w:rPr>
          <w:sz w:val="26"/>
          <w:szCs w:val="26"/>
        </w:rPr>
      </w:pPr>
      <w:r>
        <w:rPr>
          <w:rStyle w:val="FootnoteReference"/>
          <w:sz w:val="26"/>
          <w:szCs w:val="26"/>
        </w:rPr>
        <w:footnoteRef/>
      </w:r>
      <w:r>
        <w:rPr>
          <w:sz w:val="26"/>
          <w:szCs w:val="26"/>
        </w:rPr>
        <w:t xml:space="preserve"> </w:t>
      </w:r>
      <w:r>
        <w:rPr>
          <w:sz w:val="26"/>
          <w:szCs w:val="26"/>
        </w:rPr>
        <w:tab/>
        <w:t>See 16 The American and English Encyclopedia of Law (1891) p</w:t>
      </w:r>
      <w:r w:rsidR="007910F8">
        <w:rPr>
          <w:sz w:val="26"/>
          <w:szCs w:val="26"/>
        </w:rPr>
        <w:t>age</w:t>
      </w:r>
      <w:r>
        <w:rPr>
          <w:sz w:val="26"/>
          <w:szCs w:val="26"/>
        </w:rPr>
        <w:t xml:space="preserve"> 713, for one definition of nolle prosequi in criminal prosecutions: </w:t>
      </w:r>
      <w:r w:rsidR="003A5F03">
        <w:rPr>
          <w:sz w:val="26"/>
          <w:szCs w:val="26"/>
        </w:rPr>
        <w:t xml:space="preserve"> </w:t>
      </w:r>
      <w:r>
        <w:rPr>
          <w:sz w:val="26"/>
          <w:szCs w:val="26"/>
        </w:rPr>
        <w:t>“</w:t>
      </w:r>
      <w:r w:rsidRPr="00373A0A">
        <w:rPr>
          <w:sz w:val="26"/>
          <w:szCs w:val="26"/>
        </w:rPr>
        <w:t>A nolle prosequi in criminal proceedings is the voluntary withdrawal by the prosecuting authority of present proceedings on a particular bill or information. Many reasons may arise which make it desirable to enter it before trial, and the practice is usual after verdict to enter it upon objectionable counts or parts of counts, so as to disencumber the record and confine the verdict to those which are good.  Nolle prosequi after verdict is sometimes used as a method for recording executive clemency</w:t>
      </w:r>
      <w:r>
        <w:rPr>
          <w:sz w:val="26"/>
          <w:szCs w:val="26"/>
        </w:rPr>
        <w:t>.”</w:t>
      </w:r>
    </w:p>
  </w:footnote>
  <w:footnote w:id="11">
    <w:p w:rsidR="007C0ECF" w:rsidRPr="00702147" w:rsidP="00CA1A65" w14:paraId="1DF106BA" w14:textId="77777777">
      <w:pPr>
        <w:pStyle w:val="FootnoteText"/>
        <w:rPr>
          <w:sz w:val="26"/>
          <w:szCs w:val="26"/>
        </w:rPr>
      </w:pPr>
      <w:r>
        <w:rPr>
          <w:rStyle w:val="FootnoteReference"/>
        </w:rPr>
        <w:footnoteRef/>
      </w:r>
      <w:r>
        <w:t xml:space="preserve"> </w:t>
      </w:r>
      <w:r>
        <w:tab/>
      </w:r>
      <w:r>
        <w:rPr>
          <w:sz w:val="26"/>
          <w:szCs w:val="26"/>
        </w:rPr>
        <w:t xml:space="preserve">The provision governing dismissals “in furtherance of justice” now resides in subdivision (a) of section 1385.  It was placed into </w:t>
      </w:r>
      <w:r w:rsidR="005D7216">
        <w:rPr>
          <w:sz w:val="26"/>
          <w:szCs w:val="26"/>
        </w:rPr>
        <w:t>a</w:t>
      </w:r>
      <w:r>
        <w:rPr>
          <w:sz w:val="26"/>
          <w:szCs w:val="26"/>
        </w:rPr>
        <w:t xml:space="preserve"> subdivision </w:t>
      </w:r>
      <w:r w:rsidR="005D7216">
        <w:rPr>
          <w:sz w:val="26"/>
          <w:szCs w:val="26"/>
        </w:rPr>
        <w:t xml:space="preserve">in 1986 </w:t>
      </w:r>
      <w:r w:rsidR="003E06F8">
        <w:rPr>
          <w:sz w:val="26"/>
          <w:szCs w:val="26"/>
        </w:rPr>
        <w:t xml:space="preserve">(Stats. 1986, ch. 85, </w:t>
      </w:r>
      <w:r w:rsidRPr="00CA1A65" w:rsidR="003E06F8">
        <w:rPr>
          <w:szCs w:val="26"/>
        </w:rPr>
        <w:t>§</w:t>
      </w:r>
      <w:r w:rsidR="003E06F8">
        <w:rPr>
          <w:szCs w:val="26"/>
        </w:rPr>
        <w:t xml:space="preserve"> 2, p. </w:t>
      </w:r>
      <w:r w:rsidR="00FC7025">
        <w:rPr>
          <w:szCs w:val="26"/>
        </w:rPr>
        <w:t>211</w:t>
      </w:r>
      <w:r w:rsidR="003E06F8">
        <w:rPr>
          <w:szCs w:val="26"/>
        </w:rPr>
        <w:t xml:space="preserve">) </w:t>
      </w:r>
      <w:r w:rsidR="005D7216">
        <w:rPr>
          <w:sz w:val="26"/>
          <w:szCs w:val="26"/>
        </w:rPr>
        <w:t xml:space="preserve">and other provisions not at issue here were added </w:t>
      </w:r>
      <w:r w:rsidR="00FC7025">
        <w:rPr>
          <w:sz w:val="26"/>
          <w:szCs w:val="26"/>
        </w:rPr>
        <w:t xml:space="preserve">later </w:t>
      </w:r>
      <w:r w:rsidR="005D7216">
        <w:rPr>
          <w:sz w:val="26"/>
          <w:szCs w:val="26"/>
        </w:rPr>
        <w:t>(</w:t>
      </w:r>
      <w:r w:rsidRPr="00702147" w:rsidR="005D7216">
        <w:rPr>
          <w:i/>
          <w:iCs/>
          <w:sz w:val="26"/>
          <w:szCs w:val="26"/>
        </w:rPr>
        <w:t>People v. Bonnetta</w:t>
      </w:r>
      <w:r w:rsidRPr="005D7216" w:rsidR="005D7216">
        <w:rPr>
          <w:sz w:val="26"/>
          <w:szCs w:val="26"/>
        </w:rPr>
        <w:t xml:space="preserve"> (2009) 46 Cal.4th 143, 151, fn. </w:t>
      </w:r>
      <w:r w:rsidR="005D7216">
        <w:rPr>
          <w:sz w:val="26"/>
          <w:szCs w:val="26"/>
        </w:rPr>
        <w:t>4)</w:t>
      </w:r>
      <w:r w:rsidR="00FC7025">
        <w:rPr>
          <w:sz w:val="26"/>
          <w:szCs w:val="26"/>
        </w:rPr>
        <w:t>.</w:t>
      </w:r>
      <w:r w:rsidR="005D7216">
        <w:rPr>
          <w:sz w:val="26"/>
          <w:szCs w:val="26"/>
        </w:rPr>
        <w:t xml:space="preserve">  When we refer to section 1385 or quote cases that refer to section 1385, </w:t>
      </w:r>
      <w:r w:rsidR="000077EA">
        <w:rPr>
          <w:sz w:val="26"/>
          <w:szCs w:val="26"/>
        </w:rPr>
        <w:t xml:space="preserve">this indicates a reference to </w:t>
      </w:r>
      <w:r w:rsidR="005D7216">
        <w:rPr>
          <w:sz w:val="26"/>
          <w:szCs w:val="26"/>
        </w:rPr>
        <w:t>the provision now found in subdivision (a).</w:t>
      </w:r>
    </w:p>
  </w:footnote>
  <w:footnote w:id="12">
    <w:p w:rsidR="00FB6E1C" w:rsidRPr="009E564B" w:rsidP="00CA1A65" w14:paraId="1DF106BB" w14:textId="77777777">
      <w:pPr>
        <w:pStyle w:val="FootnoteText"/>
        <w:rPr>
          <w:sz w:val="26"/>
          <w:szCs w:val="26"/>
        </w:rPr>
      </w:pPr>
      <w:r>
        <w:rPr>
          <w:rStyle w:val="FootnoteReference"/>
          <w:sz w:val="26"/>
          <w:szCs w:val="26"/>
        </w:rPr>
        <w:footnoteRef/>
      </w:r>
      <w:r>
        <w:rPr>
          <w:sz w:val="26"/>
          <w:szCs w:val="26"/>
        </w:rPr>
        <w:t xml:space="preserve"> </w:t>
      </w:r>
      <w:r>
        <w:rPr>
          <w:sz w:val="26"/>
          <w:szCs w:val="26"/>
        </w:rPr>
        <w:tab/>
        <w:t xml:space="preserve">In comparison, New York amended its “in furtherance of justice” dismissal statutes in the latter part of the 20th century to list a variety of pertinent factors.  These are “(a) the seriousness and circumstances of the offense; </w:t>
      </w:r>
      <w:bookmarkStart w:id="7" w:name="_Hlk59458163"/>
      <w:r w:rsidR="00872672">
        <w:rPr>
          <w:color w:val="000000"/>
        </w:rPr>
        <w:t>[¶]</w:t>
      </w:r>
      <w:bookmarkEnd w:id="7"/>
      <w:r w:rsidR="00872672">
        <w:rPr>
          <w:rFonts w:asciiTheme="majorHAnsi" w:hAnsiTheme="majorHAnsi" w:cstheme="majorHAnsi"/>
          <w:szCs w:val="27"/>
        </w:rPr>
        <w:t xml:space="preserve"> </w:t>
      </w:r>
      <w:r>
        <w:rPr>
          <w:sz w:val="26"/>
          <w:szCs w:val="26"/>
        </w:rPr>
        <w:t xml:space="preserve">(b) the extent of harm caused by the offense; </w:t>
      </w:r>
      <w:r w:rsidR="00872672">
        <w:rPr>
          <w:color w:val="000000"/>
        </w:rPr>
        <w:t>[¶]</w:t>
      </w:r>
      <w:r w:rsidR="00872672">
        <w:rPr>
          <w:rFonts w:asciiTheme="majorHAnsi" w:hAnsiTheme="majorHAnsi" w:cstheme="majorHAnsi"/>
          <w:szCs w:val="27"/>
        </w:rPr>
        <w:t xml:space="preserve"> </w:t>
      </w:r>
      <w:r>
        <w:rPr>
          <w:sz w:val="26"/>
          <w:szCs w:val="26"/>
        </w:rPr>
        <w:t xml:space="preserve">(c) the evidence of guilt, whether admissible or inadmissible at trial; </w:t>
      </w:r>
      <w:r w:rsidR="00872672">
        <w:rPr>
          <w:color w:val="000000"/>
        </w:rPr>
        <w:t>[¶]</w:t>
      </w:r>
      <w:r w:rsidR="00872672">
        <w:rPr>
          <w:rFonts w:asciiTheme="majorHAnsi" w:hAnsiTheme="majorHAnsi" w:cstheme="majorHAnsi"/>
          <w:szCs w:val="27"/>
        </w:rPr>
        <w:t xml:space="preserve"> </w:t>
      </w:r>
      <w:r>
        <w:rPr>
          <w:sz w:val="26"/>
          <w:szCs w:val="26"/>
        </w:rPr>
        <w:t xml:space="preserve">(d) the history, character and condition of the defendant; </w:t>
      </w:r>
      <w:r w:rsidR="00872672">
        <w:rPr>
          <w:color w:val="000000"/>
        </w:rPr>
        <w:t>[¶]</w:t>
      </w:r>
      <w:r w:rsidR="00872672">
        <w:rPr>
          <w:rFonts w:asciiTheme="majorHAnsi" w:hAnsiTheme="majorHAnsi" w:cstheme="majorHAnsi"/>
          <w:szCs w:val="27"/>
        </w:rPr>
        <w:t xml:space="preserve"> </w:t>
      </w:r>
      <w:r>
        <w:rPr>
          <w:sz w:val="26"/>
          <w:szCs w:val="26"/>
        </w:rPr>
        <w:t xml:space="preserve">(e) any exceptionally serious misconduct of law enforcement personnel in the investigation, arrest and prosecution of the defendant; </w:t>
      </w:r>
      <w:r w:rsidR="00872672">
        <w:rPr>
          <w:color w:val="000000"/>
        </w:rPr>
        <w:t>[¶]</w:t>
      </w:r>
      <w:r w:rsidR="00872672">
        <w:rPr>
          <w:rFonts w:asciiTheme="majorHAnsi" w:hAnsiTheme="majorHAnsi" w:cstheme="majorHAnsi"/>
          <w:szCs w:val="27"/>
        </w:rPr>
        <w:t xml:space="preserve"> </w:t>
      </w:r>
      <w:r>
        <w:rPr>
          <w:sz w:val="26"/>
          <w:szCs w:val="26"/>
        </w:rPr>
        <w:t xml:space="preserve">(f) the purpose and effect of imposing upon the defendant a sentence authorized for the offense; </w:t>
      </w:r>
      <w:r w:rsidR="00872672">
        <w:rPr>
          <w:color w:val="000000"/>
        </w:rPr>
        <w:t>[¶]</w:t>
      </w:r>
      <w:r w:rsidR="00872672">
        <w:rPr>
          <w:rFonts w:asciiTheme="majorHAnsi" w:hAnsiTheme="majorHAnsi" w:cstheme="majorHAnsi"/>
          <w:szCs w:val="27"/>
        </w:rPr>
        <w:t xml:space="preserve"> </w:t>
      </w:r>
      <w:r>
        <w:rPr>
          <w:sz w:val="26"/>
          <w:szCs w:val="26"/>
        </w:rPr>
        <w:t xml:space="preserve">(g) the impact of a dismissal on the safety or welfare of the community; </w:t>
      </w:r>
      <w:r w:rsidR="00872672">
        <w:rPr>
          <w:color w:val="000000"/>
        </w:rPr>
        <w:t>[¶]</w:t>
      </w:r>
      <w:r w:rsidR="00872672">
        <w:rPr>
          <w:rFonts w:asciiTheme="majorHAnsi" w:hAnsiTheme="majorHAnsi" w:cstheme="majorHAnsi"/>
          <w:szCs w:val="27"/>
        </w:rPr>
        <w:t xml:space="preserve"> </w:t>
      </w:r>
      <w:r>
        <w:rPr>
          <w:sz w:val="26"/>
          <w:szCs w:val="26"/>
        </w:rPr>
        <w:t xml:space="preserve">(h) the impact of a dismissal upon the confidence of the public in the criminal justice system; </w:t>
      </w:r>
      <w:r w:rsidR="00872672">
        <w:rPr>
          <w:color w:val="000000"/>
        </w:rPr>
        <w:t>[¶]</w:t>
      </w:r>
      <w:r w:rsidR="00872672">
        <w:rPr>
          <w:rFonts w:asciiTheme="majorHAnsi" w:hAnsiTheme="majorHAnsi" w:cstheme="majorHAnsi"/>
          <w:szCs w:val="27"/>
        </w:rPr>
        <w:t xml:space="preserve"> </w:t>
      </w:r>
      <w:r>
        <w:rPr>
          <w:sz w:val="26"/>
          <w:szCs w:val="26"/>
        </w:rPr>
        <w:t xml:space="preserve">(i) where the court deems it appropriate, the attitude of the complainant or victim with respect to the motion; </w:t>
      </w:r>
      <w:r w:rsidR="00872672">
        <w:rPr>
          <w:color w:val="000000"/>
        </w:rPr>
        <w:t>[¶]</w:t>
      </w:r>
      <w:r w:rsidR="00872672">
        <w:rPr>
          <w:rFonts w:asciiTheme="majorHAnsi" w:hAnsiTheme="majorHAnsi" w:cstheme="majorHAnsi"/>
          <w:szCs w:val="27"/>
        </w:rPr>
        <w:t xml:space="preserve"> </w:t>
      </w:r>
      <w:r>
        <w:rPr>
          <w:sz w:val="26"/>
          <w:szCs w:val="26"/>
        </w:rPr>
        <w:t>(j) any other relevant fact indicating that a judgment of conviction would serve no useful purpose.”  (N.Y. Crim. Proc. Law § 170.40 [governing misdemeanors and infractions]; accord</w:t>
      </w:r>
      <w:r w:rsidR="000613E5">
        <w:rPr>
          <w:sz w:val="26"/>
          <w:szCs w:val="26"/>
        </w:rPr>
        <w:t>,</w:t>
      </w:r>
      <w:r>
        <w:rPr>
          <w:sz w:val="26"/>
          <w:szCs w:val="26"/>
        </w:rPr>
        <w:t xml:space="preserve"> </w:t>
      </w:r>
      <w:r>
        <w:rPr>
          <w:i/>
          <w:iCs/>
          <w:sz w:val="26"/>
          <w:szCs w:val="26"/>
        </w:rPr>
        <w:t>id.</w:t>
      </w:r>
      <w:r w:rsidR="000613E5">
        <w:rPr>
          <w:sz w:val="26"/>
          <w:szCs w:val="26"/>
        </w:rPr>
        <w:t>,</w:t>
      </w:r>
      <w:r>
        <w:rPr>
          <w:sz w:val="26"/>
          <w:szCs w:val="26"/>
        </w:rPr>
        <w:t xml:space="preserve"> § 210.40 [governing felonies]; see generally </w:t>
      </w:r>
      <w:r>
        <w:rPr>
          <w:i/>
          <w:iCs/>
          <w:sz w:val="26"/>
          <w:szCs w:val="26"/>
        </w:rPr>
        <w:t>People v. Rickert</w:t>
      </w:r>
      <w:r>
        <w:rPr>
          <w:sz w:val="26"/>
          <w:szCs w:val="26"/>
        </w:rPr>
        <w:t xml:space="preserve"> (1983) 58 N.Y.2d 122, 127 [discussing the development of these laws and the then-recent amendments].)</w:t>
      </w:r>
    </w:p>
  </w:footnote>
  <w:footnote w:id="13">
    <w:p w:rsidR="004A6B59" w:rsidRPr="009E564B" w:rsidP="004A6B59" w14:paraId="1DF106BC" w14:textId="77777777">
      <w:pPr>
        <w:pStyle w:val="FootnoteText"/>
        <w:rPr>
          <w:sz w:val="26"/>
          <w:szCs w:val="26"/>
        </w:rPr>
      </w:pPr>
      <w:r>
        <w:rPr>
          <w:rStyle w:val="FootnoteReference"/>
          <w:sz w:val="26"/>
          <w:szCs w:val="26"/>
        </w:rPr>
        <w:footnoteRef/>
      </w:r>
      <w:r>
        <w:rPr>
          <w:sz w:val="26"/>
          <w:szCs w:val="26"/>
        </w:rPr>
        <w:t xml:space="preserve"> </w:t>
      </w:r>
      <w:r>
        <w:rPr>
          <w:sz w:val="26"/>
          <w:szCs w:val="26"/>
        </w:rPr>
        <w:tab/>
        <w:t>Thus, it is well established that section 1385 dismissals are not generally construed as “an acquittal for legal insufficiency” of the evidence.  (</w:t>
      </w:r>
      <w:r>
        <w:rPr>
          <w:i/>
          <w:iCs/>
          <w:sz w:val="26"/>
          <w:szCs w:val="26"/>
        </w:rPr>
        <w:t>People v. Hatch</w:t>
      </w:r>
      <w:r w:rsidRPr="004A6B59">
        <w:rPr>
          <w:i/>
          <w:iCs/>
          <w:sz w:val="26"/>
          <w:szCs w:val="26"/>
        </w:rPr>
        <w:t>,</w:t>
      </w:r>
      <w:r>
        <w:rPr>
          <w:i/>
          <w:iCs/>
          <w:sz w:val="26"/>
          <w:szCs w:val="26"/>
        </w:rPr>
        <w:t xml:space="preserve"> supra</w:t>
      </w:r>
      <w:r w:rsidRPr="00984314">
        <w:rPr>
          <w:sz w:val="26"/>
          <w:szCs w:val="26"/>
        </w:rPr>
        <w:t>,</w:t>
      </w:r>
      <w:r>
        <w:rPr>
          <w:sz w:val="26"/>
          <w:szCs w:val="26"/>
        </w:rPr>
        <w:t xml:space="preserve"> 22 Cal.4th at p. 273.)</w:t>
      </w:r>
    </w:p>
  </w:footnote>
  <w:footnote w:id="14">
    <w:p w:rsidR="00EB59A9" w:rsidRPr="00EB59A9" w:rsidP="00CA1A65" w14:paraId="1DF106BD" w14:textId="77777777">
      <w:pPr>
        <w:pStyle w:val="FootnoteText"/>
        <w:rPr>
          <w:sz w:val="26"/>
          <w:szCs w:val="26"/>
        </w:rPr>
      </w:pPr>
      <w:r>
        <w:rPr>
          <w:rStyle w:val="FootnoteReference"/>
          <w:sz w:val="26"/>
          <w:szCs w:val="26"/>
        </w:rPr>
        <w:footnoteRef/>
      </w:r>
      <w:r>
        <w:rPr>
          <w:sz w:val="26"/>
          <w:szCs w:val="26"/>
        </w:rPr>
        <w:t xml:space="preserve"> </w:t>
      </w:r>
      <w:r>
        <w:rPr>
          <w:sz w:val="26"/>
          <w:szCs w:val="26"/>
        </w:rPr>
        <w:tab/>
        <w:t xml:space="preserve">Other </w:t>
      </w:r>
      <w:r w:rsidR="008251FD">
        <w:rPr>
          <w:sz w:val="26"/>
          <w:szCs w:val="26"/>
        </w:rPr>
        <w:t xml:space="preserve">Penal Code </w:t>
      </w:r>
      <w:r>
        <w:rPr>
          <w:sz w:val="26"/>
          <w:szCs w:val="26"/>
        </w:rPr>
        <w:t xml:space="preserve">provisions </w:t>
      </w:r>
      <w:r w:rsidR="008251FD">
        <w:rPr>
          <w:sz w:val="26"/>
          <w:szCs w:val="26"/>
        </w:rPr>
        <w:t xml:space="preserve">allow </w:t>
      </w:r>
      <w:r>
        <w:rPr>
          <w:sz w:val="26"/>
          <w:szCs w:val="26"/>
        </w:rPr>
        <w:t xml:space="preserve">dismissal </w:t>
      </w:r>
      <w:r w:rsidR="008251FD">
        <w:rPr>
          <w:sz w:val="26"/>
          <w:szCs w:val="26"/>
        </w:rPr>
        <w:t xml:space="preserve">for </w:t>
      </w:r>
      <w:r>
        <w:rPr>
          <w:sz w:val="26"/>
          <w:szCs w:val="26"/>
        </w:rPr>
        <w:t xml:space="preserve">an indictment’s failure to state an offense or </w:t>
      </w:r>
      <w:r w:rsidR="008251FD">
        <w:rPr>
          <w:sz w:val="26"/>
          <w:szCs w:val="26"/>
        </w:rPr>
        <w:t xml:space="preserve">for </w:t>
      </w:r>
      <w:r>
        <w:rPr>
          <w:sz w:val="26"/>
          <w:szCs w:val="26"/>
        </w:rPr>
        <w:t xml:space="preserve">the absence of probable cause to believe </w:t>
      </w:r>
      <w:r w:rsidR="008251FD">
        <w:rPr>
          <w:sz w:val="26"/>
          <w:szCs w:val="26"/>
        </w:rPr>
        <w:t xml:space="preserve">a </w:t>
      </w:r>
      <w:r>
        <w:rPr>
          <w:sz w:val="26"/>
          <w:szCs w:val="26"/>
        </w:rPr>
        <w:t>defendant has committed an offense</w:t>
      </w:r>
      <w:r w:rsidR="008251FD">
        <w:rPr>
          <w:sz w:val="26"/>
          <w:szCs w:val="26"/>
        </w:rPr>
        <w:t xml:space="preserve">. </w:t>
      </w:r>
      <w:r>
        <w:rPr>
          <w:sz w:val="26"/>
          <w:szCs w:val="26"/>
        </w:rPr>
        <w:t xml:space="preserve"> (</w:t>
      </w:r>
      <w:r w:rsidR="008251FD">
        <w:rPr>
          <w:sz w:val="26"/>
          <w:szCs w:val="26"/>
        </w:rPr>
        <w:t xml:space="preserve">See </w:t>
      </w:r>
      <w:r>
        <w:rPr>
          <w:sz w:val="26"/>
          <w:szCs w:val="26"/>
        </w:rPr>
        <w:t>§§ 1004, subd. (4), 991, subd. (d)</w:t>
      </w:r>
      <w:r w:rsidR="008251FD">
        <w:rPr>
          <w:sz w:val="26"/>
          <w:szCs w:val="26"/>
        </w:rPr>
        <w:t>.</w:t>
      </w:r>
      <w:r>
        <w:rPr>
          <w:sz w:val="26"/>
          <w:szCs w:val="26"/>
        </w:rPr>
        <w:t xml:space="preserve">) </w:t>
      </w:r>
      <w:r w:rsidR="008251FD">
        <w:rPr>
          <w:sz w:val="26"/>
          <w:szCs w:val="26"/>
        </w:rPr>
        <w:t xml:space="preserve"> S</w:t>
      </w:r>
      <w:r>
        <w:rPr>
          <w:sz w:val="26"/>
          <w:szCs w:val="26"/>
        </w:rPr>
        <w:t>ince the 1951 amendments to section 1385, it has provided that “[a] dismissal shall not be made for any cause that would be ground of demurrer to the accusatory pleading</w:t>
      </w:r>
      <w:r w:rsidR="008251FD">
        <w:rPr>
          <w:sz w:val="26"/>
          <w:szCs w:val="26"/>
        </w:rPr>
        <w:t>.</w:t>
      </w:r>
      <w:r>
        <w:rPr>
          <w:sz w:val="26"/>
          <w:szCs w:val="26"/>
        </w:rPr>
        <w:t xml:space="preserve">” </w:t>
      </w:r>
      <w:r w:rsidR="008251FD">
        <w:rPr>
          <w:sz w:val="26"/>
          <w:szCs w:val="26"/>
        </w:rPr>
        <w:t xml:space="preserve"> </w:t>
      </w:r>
      <w:r>
        <w:rPr>
          <w:sz w:val="26"/>
          <w:szCs w:val="26"/>
        </w:rPr>
        <w:t>(§ 1385, subd. (a); Stats. 1951, ch. 1674, § 141</w:t>
      </w:r>
      <w:r w:rsidR="000613E5">
        <w:rPr>
          <w:sz w:val="26"/>
          <w:szCs w:val="26"/>
        </w:rPr>
        <w:t>, p.</w:t>
      </w:r>
      <w:r w:rsidR="00FC7025">
        <w:rPr>
          <w:sz w:val="26"/>
          <w:szCs w:val="26"/>
        </w:rPr>
        <w:t xml:space="preserve"> 3857</w:t>
      </w:r>
      <w:r w:rsidR="008251FD">
        <w:rPr>
          <w:sz w:val="26"/>
          <w:szCs w:val="26"/>
        </w:rPr>
        <w:t>.</w:t>
      </w:r>
      <w:r>
        <w:rPr>
          <w:sz w:val="26"/>
          <w:szCs w:val="26"/>
        </w:rPr>
        <w:t>)</w:t>
      </w:r>
    </w:p>
  </w:footnote>
  <w:footnote w:id="15">
    <w:p w:rsidR="00F33C94" w:rsidP="00F33C94" w14:paraId="1DF106BE" w14:textId="77777777">
      <w:pPr>
        <w:pStyle w:val="FootnoteText"/>
      </w:pPr>
      <w:r>
        <w:rPr>
          <w:rStyle w:val="FootnoteReference"/>
        </w:rPr>
        <w:footnoteRef/>
      </w:r>
      <w:r>
        <w:t xml:space="preserve"> </w:t>
      </w:r>
      <w:r>
        <w:tab/>
      </w:r>
      <w:r w:rsidRPr="00F33C94">
        <w:t xml:space="preserve">Almost a decade </w:t>
      </w:r>
      <w:r>
        <w:t xml:space="preserve">after </w:t>
      </w:r>
      <w:r w:rsidRPr="00F33C94">
        <w:rPr>
          <w:i/>
          <w:iCs/>
        </w:rPr>
        <w:t>Williams I</w:t>
      </w:r>
      <w:r>
        <w:t xml:space="preserve">, </w:t>
      </w:r>
      <w:r w:rsidRPr="00F33C94">
        <w:t xml:space="preserve">the electorate </w:t>
      </w:r>
      <w:r>
        <w:t xml:space="preserve">enacted section </w:t>
      </w:r>
      <w:r w:rsidRPr="00F33C94">
        <w:t>1385.1</w:t>
      </w:r>
      <w:r>
        <w:t>, which states</w:t>
      </w:r>
      <w:r w:rsidR="003A5F03">
        <w:t>,</w:t>
      </w:r>
      <w:r>
        <w:t xml:space="preserve"> “[n]</w:t>
      </w:r>
      <w:r w:rsidRPr="00F33C94">
        <w:t>otwithstanding Section 1385 or any other provision of law, a judge shall not strike or dismiss any special circumstance</w:t>
      </w:r>
      <w:r w:rsidR="00AB38AB">
        <w:t> </w:t>
      </w:r>
      <w:r w:rsidR="008808FD">
        <w:t>. . . .</w:t>
      </w:r>
      <w:r>
        <w:t xml:space="preserve">”  (§ 1385.1; </w:t>
      </w:r>
      <w:r w:rsidRPr="00F33C94">
        <w:rPr>
          <w:i/>
          <w:iCs/>
        </w:rPr>
        <w:t>People v. Fuentes</w:t>
      </w:r>
      <w:r>
        <w:t xml:space="preserve"> (2016) 1 Cal.5th 218, 230, fn. 9.)</w:t>
      </w:r>
    </w:p>
  </w:footnote>
  <w:footnote w:id="16">
    <w:p w:rsidR="004B660D" w:rsidRPr="009E564B" w:rsidP="00CA1A65" w14:paraId="1DF106BF" w14:textId="77777777">
      <w:pPr>
        <w:pStyle w:val="FootnoteText"/>
        <w:rPr>
          <w:sz w:val="26"/>
          <w:szCs w:val="26"/>
        </w:rPr>
      </w:pPr>
      <w:r>
        <w:rPr>
          <w:rStyle w:val="FootnoteReference"/>
          <w:sz w:val="26"/>
          <w:szCs w:val="26"/>
        </w:rPr>
        <w:footnoteRef/>
      </w:r>
      <w:r>
        <w:rPr>
          <w:sz w:val="26"/>
          <w:szCs w:val="26"/>
        </w:rPr>
        <w:t xml:space="preserve"> </w:t>
      </w:r>
      <w:r>
        <w:rPr>
          <w:sz w:val="26"/>
          <w:szCs w:val="26"/>
        </w:rPr>
        <w:tab/>
      </w:r>
      <w:r w:rsidR="00984314">
        <w:rPr>
          <w:sz w:val="26"/>
          <w:szCs w:val="26"/>
        </w:rPr>
        <w:t>Prosecutors, i</w:t>
      </w:r>
      <w:r w:rsidRPr="00984314" w:rsidR="00984314">
        <w:rPr>
          <w:sz w:val="26"/>
          <w:szCs w:val="26"/>
        </w:rPr>
        <w:t>n exercising their discretion, may also keep, as appropriate, some potential defendants with minimal culpability from facing criminal processes that would not further justice</w:t>
      </w:r>
      <w:r w:rsidR="00984314">
        <w:rPr>
          <w:sz w:val="26"/>
          <w:szCs w:val="26"/>
        </w:rPr>
        <w:t>.</w:t>
      </w:r>
      <w:r w:rsidRPr="00984314" w:rsidR="00984314">
        <w:rPr>
          <w:sz w:val="26"/>
          <w:szCs w:val="26"/>
        </w:rPr>
        <w:t xml:space="preserve"> </w:t>
      </w:r>
      <w:r>
        <w:rPr>
          <w:sz w:val="26"/>
          <w:szCs w:val="26"/>
        </w:rPr>
        <w:t>“</w:t>
      </w:r>
      <w:r w:rsidR="00960431">
        <w:rPr>
          <w:sz w:val="26"/>
          <w:szCs w:val="26"/>
        </w:rPr>
        <w:t>[</w:t>
      </w:r>
      <w:r>
        <w:rPr>
          <w:sz w:val="26"/>
          <w:szCs w:val="26"/>
        </w:rPr>
        <w:t>N</w:t>
      </w:r>
      <w:r w:rsidR="00960431">
        <w:rPr>
          <w:sz w:val="26"/>
          <w:szCs w:val="26"/>
        </w:rPr>
        <w:t>]</w:t>
      </w:r>
      <w:r>
        <w:rPr>
          <w:sz w:val="26"/>
          <w:szCs w:val="26"/>
        </w:rPr>
        <w:t>umerous factors properly may enter into a prosecutor’s [charging] decision[s] . . , such as a defendant</w:t>
      </w:r>
      <w:r w:rsidR="00A72A87">
        <w:rPr>
          <w:sz w:val="26"/>
          <w:szCs w:val="26"/>
        </w:rPr>
        <w:t>’</w:t>
      </w:r>
      <w:r>
        <w:rPr>
          <w:sz w:val="26"/>
          <w:szCs w:val="26"/>
        </w:rPr>
        <w:t>s background and the severity of the crime</w:t>
      </w:r>
      <w:r w:rsidR="008808FD">
        <w:rPr>
          <w:sz w:val="26"/>
          <w:szCs w:val="26"/>
        </w:rPr>
        <w:t xml:space="preserve">, . . . </w:t>
      </w:r>
      <w:r>
        <w:rPr>
          <w:sz w:val="26"/>
          <w:szCs w:val="26"/>
        </w:rPr>
        <w:t>so long as there is no showing that a defendant ‘has been singled out deliberately for prosecution on the basis of some invidious criterion.’</w:t>
      </w:r>
      <w:r w:rsidR="00960431">
        <w:rPr>
          <w:sz w:val="26"/>
          <w:szCs w:val="26"/>
        </w:rPr>
        <w:t> </w:t>
      </w:r>
      <w:r>
        <w:rPr>
          <w:sz w:val="26"/>
          <w:szCs w:val="26"/>
        </w:rPr>
        <w:t>”  (</w:t>
      </w:r>
      <w:r>
        <w:rPr>
          <w:i/>
          <w:iCs/>
          <w:sz w:val="26"/>
          <w:szCs w:val="26"/>
        </w:rPr>
        <w:t>People v. Wilkinson</w:t>
      </w:r>
      <w:r>
        <w:rPr>
          <w:sz w:val="26"/>
          <w:szCs w:val="26"/>
        </w:rPr>
        <w:t xml:space="preserve"> (2004) 33 Cal.4th 821, 838</w:t>
      </w:r>
      <w:r w:rsidR="003A5F03">
        <w:rPr>
          <w:sz w:val="26"/>
          <w:szCs w:val="26"/>
        </w:rPr>
        <w:t>–</w:t>
      </w:r>
      <w:r>
        <w:rPr>
          <w:sz w:val="26"/>
          <w:szCs w:val="26"/>
        </w:rPr>
        <w:t>839.)</w:t>
      </w:r>
    </w:p>
  </w:footnote>
  <w:footnote w:id="17">
    <w:p w:rsidR="001C68BC" w:rsidRPr="009E564B" w:rsidP="00CA1A65" w14:paraId="1DF106C0" w14:textId="77777777">
      <w:pPr>
        <w:pStyle w:val="FootnoteText"/>
        <w:rPr>
          <w:sz w:val="26"/>
          <w:szCs w:val="26"/>
        </w:rPr>
      </w:pPr>
      <w:r>
        <w:rPr>
          <w:rStyle w:val="FootnoteReference"/>
          <w:sz w:val="26"/>
          <w:szCs w:val="26"/>
        </w:rPr>
        <w:footnoteRef/>
      </w:r>
      <w:r>
        <w:rPr>
          <w:sz w:val="26"/>
          <w:szCs w:val="26"/>
        </w:rPr>
        <w:t xml:space="preserve"> </w:t>
      </w:r>
      <w:r>
        <w:rPr>
          <w:sz w:val="26"/>
          <w:szCs w:val="26"/>
        </w:rPr>
        <w:tab/>
        <w:t>As noted (</w:t>
      </w:r>
      <w:r w:rsidR="000613E5">
        <w:rPr>
          <w:sz w:val="26"/>
          <w:szCs w:val="26"/>
        </w:rPr>
        <w:t>fn.</w:t>
      </w:r>
      <w:r w:rsidRPr="00223921">
        <w:rPr>
          <w:sz w:val="26"/>
          <w:szCs w:val="26"/>
        </w:rPr>
        <w:t xml:space="preserve"> 1</w:t>
      </w:r>
      <w:r w:rsidR="00702147">
        <w:rPr>
          <w:sz w:val="26"/>
          <w:szCs w:val="26"/>
        </w:rPr>
        <w:t>0</w:t>
      </w:r>
      <w:r w:rsidRPr="00223921">
        <w:rPr>
          <w:sz w:val="26"/>
          <w:szCs w:val="26"/>
        </w:rPr>
        <w:t xml:space="preserve">, </w:t>
      </w:r>
      <w:r w:rsidR="000613E5">
        <w:rPr>
          <w:i/>
          <w:iCs/>
          <w:sz w:val="26"/>
          <w:szCs w:val="26"/>
        </w:rPr>
        <w:t>ante</w:t>
      </w:r>
      <w:r>
        <w:rPr>
          <w:sz w:val="26"/>
          <w:szCs w:val="26"/>
        </w:rPr>
        <w:t xml:space="preserve">), New York amended its “in furtherance of justice” dismissal statutes, which now articulate a variety of factors for courts to consider when weighing dismissal, including the circumstances of the offense. </w:t>
      </w:r>
    </w:p>
  </w:footnote>
  <w:footnote w:id="18">
    <w:p w:rsidR="00176281" w:rsidRPr="00265D9D" w:rsidP="00CA1A65" w14:paraId="1DF106C1" w14:textId="77777777">
      <w:pPr>
        <w:pStyle w:val="FootnoteText"/>
        <w:rPr>
          <w:sz w:val="26"/>
          <w:szCs w:val="26"/>
        </w:rPr>
      </w:pPr>
      <w:r>
        <w:rPr>
          <w:rStyle w:val="FootnoteReference"/>
          <w:sz w:val="26"/>
          <w:szCs w:val="26"/>
        </w:rPr>
        <w:footnoteRef/>
      </w:r>
      <w:r>
        <w:rPr>
          <w:sz w:val="26"/>
          <w:szCs w:val="26"/>
        </w:rPr>
        <w:t xml:space="preserve"> </w:t>
      </w:r>
      <w:r>
        <w:rPr>
          <w:sz w:val="26"/>
          <w:szCs w:val="26"/>
        </w:rPr>
        <w:tab/>
        <w:t xml:space="preserve">The parties, before us, agree the ordinances create strict liability offenses with no mens rea requirements.  We </w:t>
      </w:r>
      <w:r w:rsidR="00956A02">
        <w:rPr>
          <w:sz w:val="26"/>
          <w:szCs w:val="26"/>
        </w:rPr>
        <w:t xml:space="preserve">assume for purposes of our analysis that the parties are correct.  </w:t>
      </w:r>
    </w:p>
  </w:footnote>
  <w:footnote w:id="19">
    <w:p w:rsidR="00C550A9" w:rsidRPr="009E564B" w:rsidP="00CA1A65" w14:paraId="1DF106C2" w14:textId="77777777">
      <w:pPr>
        <w:pStyle w:val="FootnoteText"/>
        <w:rPr>
          <w:sz w:val="26"/>
          <w:szCs w:val="26"/>
        </w:rPr>
      </w:pPr>
      <w:r>
        <w:rPr>
          <w:rStyle w:val="FootnoteReference"/>
          <w:sz w:val="26"/>
          <w:szCs w:val="26"/>
        </w:rPr>
        <w:footnoteRef/>
      </w:r>
      <w:r>
        <w:rPr>
          <w:sz w:val="26"/>
          <w:szCs w:val="26"/>
        </w:rPr>
        <w:t xml:space="preserve"> </w:t>
      </w:r>
      <w:r>
        <w:rPr>
          <w:sz w:val="26"/>
          <w:szCs w:val="26"/>
        </w:rPr>
        <w:tab/>
        <w:t xml:space="preserve">Sometime after dismissal of Wheeler’s charges, the Legislature conferred on trial courts discretion to offer defendants charged with misdemeanors a diversion program, which, if successfully completed, would result in dismissal.  (See § 1001.95, subds. (a)–(c); Stats. 2020, ch. 334, § 1; </w:t>
      </w:r>
      <w:r>
        <w:rPr>
          <w:i/>
          <w:iCs/>
          <w:sz w:val="26"/>
          <w:szCs w:val="26"/>
        </w:rPr>
        <w:t>Islas v. Appellate Division</w:t>
      </w:r>
      <w:r w:rsidR="00993767">
        <w:rPr>
          <w:i/>
          <w:iCs/>
          <w:sz w:val="26"/>
          <w:szCs w:val="26"/>
        </w:rPr>
        <w:t xml:space="preserve"> of Superior Court</w:t>
      </w:r>
      <w:r>
        <w:rPr>
          <w:sz w:val="26"/>
          <w:szCs w:val="26"/>
        </w:rPr>
        <w:t xml:space="preserve"> (2022) 78 Cal.App.5th 1104, 1110</w:t>
      </w:r>
      <w:r w:rsidR="000F15F5">
        <w:rPr>
          <w:sz w:val="26"/>
          <w:szCs w:val="26"/>
        </w:rPr>
        <w:t>,</w:t>
      </w:r>
      <w:r>
        <w:rPr>
          <w:sz w:val="26"/>
          <w:szCs w:val="26"/>
        </w:rPr>
        <w:t xml:space="preserve"> fn. 1.)  No party here argues the new diversion statute applies at this time; although the People state that, should we affirm and remand the case, the trial court would “have the opportunity to apply the judicial diversion statute.”  The diversion statute plainly offers a path to dismissal that is more roundabout than the path available under section 1385</w:t>
      </w:r>
      <w:r w:rsidR="008A4388">
        <w:rPr>
          <w:sz w:val="26"/>
          <w:szCs w:val="26"/>
        </w:rPr>
        <w:t>, subdivision (a)</w:t>
      </w:r>
      <w:r>
        <w:rPr>
          <w:sz w:val="26"/>
          <w:szCs w:val="26"/>
        </w:rPr>
        <w:t>.  But it suggests the Legislature’s ultimate comfort with not imposing criminal sanctions for some class of misdemeanor defendants.  The People do not argue the diversion statute in any way limits section 1385</w:t>
      </w:r>
      <w:r w:rsidR="008A4388">
        <w:rPr>
          <w:sz w:val="26"/>
          <w:szCs w:val="26"/>
        </w:rPr>
        <w:t>, subdivision (a)</w:t>
      </w:r>
      <w:r>
        <w:rPr>
          <w:sz w:val="26"/>
          <w:szCs w:val="26"/>
        </w:rPr>
        <w:t xml:space="preserve">’s </w:t>
      </w:r>
      <w:r w:rsidR="00176281">
        <w:rPr>
          <w:sz w:val="26"/>
          <w:szCs w:val="26"/>
        </w:rPr>
        <w:t xml:space="preserve">availability </w:t>
      </w:r>
      <w:r>
        <w:rPr>
          <w:sz w:val="26"/>
          <w:szCs w:val="26"/>
        </w:rPr>
        <w:t>to dismiss misdemeanors, and in particular, Wheeler’s.</w:t>
      </w:r>
    </w:p>
  </w:footnote>
  <w:footnote w:id="20">
    <w:p w:rsidR="00224F2B" w:rsidRPr="00EE3020" w:rsidP="00CA1A65" w14:paraId="1DF106C3" w14:textId="77777777">
      <w:pPr>
        <w:pStyle w:val="FootnoteText"/>
        <w:rPr>
          <w:sz w:val="26"/>
          <w:szCs w:val="26"/>
        </w:rPr>
      </w:pPr>
      <w:r w:rsidRPr="00EE3020">
        <w:rPr>
          <w:rStyle w:val="FootnoteReference"/>
          <w:sz w:val="26"/>
          <w:szCs w:val="26"/>
        </w:rPr>
        <w:footnoteRef/>
      </w:r>
      <w:r w:rsidRPr="00EE3020">
        <w:rPr>
          <w:sz w:val="26"/>
          <w:szCs w:val="26"/>
        </w:rPr>
        <w:t xml:space="preserve"> </w:t>
      </w:r>
      <w:r>
        <w:rPr>
          <w:sz w:val="26"/>
          <w:szCs w:val="26"/>
        </w:rPr>
        <w:tab/>
      </w:r>
      <w:r w:rsidRPr="00EE3020">
        <w:rPr>
          <w:sz w:val="26"/>
          <w:szCs w:val="26"/>
        </w:rPr>
        <w:t>Our conclusions regarding the evidentiary record here should not be read as an endorsement of off-the-cuff pretrial dismissals based on information that subsequent evidence may prove incomplete or inaccurate.  We caution, as we have before, that “prior to the conclusion of the trial there is always the possibility that in the absence of dismissal more evidence may be received.”  (</w:t>
      </w:r>
      <w:r w:rsidRPr="00EE3020">
        <w:rPr>
          <w:i/>
          <w:iCs/>
          <w:sz w:val="26"/>
          <w:szCs w:val="26"/>
        </w:rPr>
        <w:t>Howard</w:t>
      </w:r>
      <w:r w:rsidRPr="00EE3020">
        <w:rPr>
          <w:sz w:val="26"/>
          <w:szCs w:val="26"/>
        </w:rPr>
        <w:t xml:space="preserve">, </w:t>
      </w:r>
      <w:r w:rsidRPr="00EE3020">
        <w:rPr>
          <w:i/>
          <w:iCs/>
          <w:sz w:val="26"/>
          <w:szCs w:val="26"/>
        </w:rPr>
        <w:t>supra</w:t>
      </w:r>
      <w:r w:rsidRPr="00EE3020">
        <w:rPr>
          <w:sz w:val="26"/>
          <w:szCs w:val="26"/>
        </w:rPr>
        <w:t>, 69 Cal.2d at p. 503.)  After trial, the court “has heard the evidence relevant to the defendant</w:t>
      </w:r>
      <w:r w:rsidR="00413C6A">
        <w:rPr>
          <w:sz w:val="26"/>
          <w:szCs w:val="26"/>
        </w:rPr>
        <w:t>’</w:t>
      </w:r>
      <w:r w:rsidRPr="00EE3020">
        <w:rPr>
          <w:sz w:val="26"/>
          <w:szCs w:val="26"/>
        </w:rPr>
        <w:t>s culpability and, thus, is better prepared to decide whether the interests of justice”</w:t>
      </w:r>
      <w:r w:rsidR="00A55B34">
        <w:rPr>
          <w:sz w:val="26"/>
          <w:szCs w:val="26"/>
        </w:rPr>
        <w:t xml:space="preserve"> favor dismissal.</w:t>
      </w:r>
      <w:r w:rsidRPr="00EE3020">
        <w:rPr>
          <w:sz w:val="26"/>
          <w:szCs w:val="26"/>
        </w:rPr>
        <w:t xml:space="preserve">  (</w:t>
      </w:r>
      <w:r w:rsidRPr="00EE3020">
        <w:rPr>
          <w:i/>
          <w:iCs/>
          <w:sz w:val="26"/>
          <w:szCs w:val="26"/>
        </w:rPr>
        <w:t>Romero</w:t>
      </w:r>
      <w:r w:rsidRPr="00EE3020">
        <w:rPr>
          <w:sz w:val="26"/>
          <w:szCs w:val="26"/>
        </w:rPr>
        <w:t xml:space="preserve">, </w:t>
      </w:r>
      <w:r w:rsidRPr="00EE3020">
        <w:rPr>
          <w:i/>
          <w:iCs/>
          <w:sz w:val="26"/>
          <w:szCs w:val="26"/>
        </w:rPr>
        <w:t>supra</w:t>
      </w:r>
      <w:r w:rsidRPr="00EE3020">
        <w:rPr>
          <w:sz w:val="26"/>
          <w:szCs w:val="26"/>
        </w:rPr>
        <w:t xml:space="preserve">, 13 Cal.4th at p. 524, fn. 11; see </w:t>
      </w:r>
      <w:r w:rsidRPr="00EE3020">
        <w:rPr>
          <w:i/>
          <w:iCs/>
          <w:sz w:val="26"/>
          <w:szCs w:val="26"/>
        </w:rPr>
        <w:t>People v. Fretwell</w:t>
      </w:r>
      <w:r w:rsidRPr="00EE3020">
        <w:rPr>
          <w:sz w:val="26"/>
          <w:szCs w:val="26"/>
        </w:rPr>
        <w:t xml:space="preserve"> (1970) 8 Cal.App.3d Supp. 37, 41; </w:t>
      </w:r>
      <w:r w:rsidRPr="00EE3020">
        <w:rPr>
          <w:i/>
          <w:iCs/>
          <w:sz w:val="26"/>
          <w:szCs w:val="26"/>
        </w:rPr>
        <w:t xml:space="preserve">People v. Gonzales </w:t>
      </w:r>
      <w:r w:rsidRPr="00EE3020">
        <w:rPr>
          <w:sz w:val="26"/>
          <w:szCs w:val="26"/>
        </w:rPr>
        <w:t>(1965) 235 Cal.App.2d Supp. 887, 891.)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1E6" w14:paraId="1DF106AD" w14:textId="77777777">
    <w:pPr>
      <w:pStyle w:val="Header"/>
    </w:pPr>
    <w:r>
      <w:t>WHEELER v. APPELLATE DIVISION</w:t>
    </w:r>
    <w:r w:rsidR="00F86C1F">
      <w:t xml:space="preserve"> OF SUPERIOR COURT</w:t>
    </w:r>
  </w:p>
  <w:p w:rsidR="00CA1A65" w14:paraId="1DF106AE" w14:textId="77777777">
    <w:pPr>
      <w:pStyle w:val="Header"/>
    </w:pPr>
    <w:r>
      <w:t>Opinion of the Court by J</w:t>
    </w:r>
    <w:r w:rsidR="001B20D8">
      <w:t>enkins</w:t>
    </w:r>
    <w:r>
      <w:t>, J.</w:t>
    </w:r>
  </w:p>
  <w:p w:rsidR="00CA1A65" w14:paraId="1DF106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40C" w:rsidRPr="00E2740C" w:rsidP="00E2740C" w14:paraId="350805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77300"/>
    <w:multiLevelType w:val="hybridMultilevel"/>
    <w:tmpl w:val="FEE894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1DB04CB"/>
    <w:multiLevelType w:val="multilevel"/>
    <w:tmpl w:val="F88A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1329C"/>
    <w:multiLevelType w:val="multilevel"/>
    <w:tmpl w:val="99365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920DE"/>
    <w:multiLevelType w:val="multilevel"/>
    <w:tmpl w:val="44E6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E1D40"/>
    <w:multiLevelType w:val="hybridMultilevel"/>
    <w:tmpl w:val="7876C0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7222F87"/>
    <w:multiLevelType w:val="hybridMultilevel"/>
    <w:tmpl w:val="BE3A4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CA92C55"/>
    <w:multiLevelType w:val="hybridMultilevel"/>
    <w:tmpl w:val="CB088CAC"/>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31"/>
    <w:rsid w:val="000015B2"/>
    <w:rsid w:val="000024B3"/>
    <w:rsid w:val="00004E74"/>
    <w:rsid w:val="00005879"/>
    <w:rsid w:val="00005CBC"/>
    <w:rsid w:val="00005D70"/>
    <w:rsid w:val="00006249"/>
    <w:rsid w:val="00006F5C"/>
    <w:rsid w:val="00007339"/>
    <w:rsid w:val="0000777A"/>
    <w:rsid w:val="000077EA"/>
    <w:rsid w:val="00010FAF"/>
    <w:rsid w:val="000125F5"/>
    <w:rsid w:val="00015D23"/>
    <w:rsid w:val="000166C8"/>
    <w:rsid w:val="0001723C"/>
    <w:rsid w:val="000200A8"/>
    <w:rsid w:val="00021BA7"/>
    <w:rsid w:val="00022334"/>
    <w:rsid w:val="00022CF4"/>
    <w:rsid w:val="00022D6B"/>
    <w:rsid w:val="0002301C"/>
    <w:rsid w:val="00023399"/>
    <w:rsid w:val="00023D62"/>
    <w:rsid w:val="00024847"/>
    <w:rsid w:val="00024A0E"/>
    <w:rsid w:val="00025927"/>
    <w:rsid w:val="00025D86"/>
    <w:rsid w:val="00027058"/>
    <w:rsid w:val="000270CF"/>
    <w:rsid w:val="00027943"/>
    <w:rsid w:val="00030177"/>
    <w:rsid w:val="0003111E"/>
    <w:rsid w:val="000312D2"/>
    <w:rsid w:val="00031846"/>
    <w:rsid w:val="00033506"/>
    <w:rsid w:val="000346EE"/>
    <w:rsid w:val="0003476C"/>
    <w:rsid w:val="00040419"/>
    <w:rsid w:val="000408C9"/>
    <w:rsid w:val="00040D55"/>
    <w:rsid w:val="00042B92"/>
    <w:rsid w:val="0004301F"/>
    <w:rsid w:val="000449EE"/>
    <w:rsid w:val="00045290"/>
    <w:rsid w:val="00045585"/>
    <w:rsid w:val="000471D4"/>
    <w:rsid w:val="00050419"/>
    <w:rsid w:val="00050C3A"/>
    <w:rsid w:val="00053E32"/>
    <w:rsid w:val="0005498A"/>
    <w:rsid w:val="00056D88"/>
    <w:rsid w:val="000613E5"/>
    <w:rsid w:val="000613FC"/>
    <w:rsid w:val="00063432"/>
    <w:rsid w:val="000655A2"/>
    <w:rsid w:val="00065727"/>
    <w:rsid w:val="000661BF"/>
    <w:rsid w:val="00066FD0"/>
    <w:rsid w:val="00067389"/>
    <w:rsid w:val="000703F2"/>
    <w:rsid w:val="00071F93"/>
    <w:rsid w:val="00072C2C"/>
    <w:rsid w:val="000732FD"/>
    <w:rsid w:val="000744BD"/>
    <w:rsid w:val="000752EF"/>
    <w:rsid w:val="00075559"/>
    <w:rsid w:val="00076129"/>
    <w:rsid w:val="00076B98"/>
    <w:rsid w:val="00077770"/>
    <w:rsid w:val="00080828"/>
    <w:rsid w:val="00082E90"/>
    <w:rsid w:val="000847F7"/>
    <w:rsid w:val="00085CC3"/>
    <w:rsid w:val="000869F7"/>
    <w:rsid w:val="00086C0D"/>
    <w:rsid w:val="00092F40"/>
    <w:rsid w:val="000948AB"/>
    <w:rsid w:val="000A0416"/>
    <w:rsid w:val="000A07F5"/>
    <w:rsid w:val="000A1776"/>
    <w:rsid w:val="000A3543"/>
    <w:rsid w:val="000A4442"/>
    <w:rsid w:val="000A5291"/>
    <w:rsid w:val="000A5569"/>
    <w:rsid w:val="000A7DC0"/>
    <w:rsid w:val="000A7FE2"/>
    <w:rsid w:val="000B0CC8"/>
    <w:rsid w:val="000B0EB3"/>
    <w:rsid w:val="000B1A90"/>
    <w:rsid w:val="000B1B91"/>
    <w:rsid w:val="000B2AF2"/>
    <w:rsid w:val="000B3EBE"/>
    <w:rsid w:val="000B43D6"/>
    <w:rsid w:val="000B4E82"/>
    <w:rsid w:val="000B5D80"/>
    <w:rsid w:val="000B70C2"/>
    <w:rsid w:val="000C16B2"/>
    <w:rsid w:val="000C20F5"/>
    <w:rsid w:val="000C36B0"/>
    <w:rsid w:val="000C3835"/>
    <w:rsid w:val="000C4FEE"/>
    <w:rsid w:val="000C5371"/>
    <w:rsid w:val="000C680C"/>
    <w:rsid w:val="000C727E"/>
    <w:rsid w:val="000D0CDC"/>
    <w:rsid w:val="000D319A"/>
    <w:rsid w:val="000D548B"/>
    <w:rsid w:val="000D61BC"/>
    <w:rsid w:val="000D6A79"/>
    <w:rsid w:val="000D73AF"/>
    <w:rsid w:val="000D76C8"/>
    <w:rsid w:val="000E3C4F"/>
    <w:rsid w:val="000E3D01"/>
    <w:rsid w:val="000E4C70"/>
    <w:rsid w:val="000E4DF9"/>
    <w:rsid w:val="000E4E9E"/>
    <w:rsid w:val="000E55D5"/>
    <w:rsid w:val="000E5E7A"/>
    <w:rsid w:val="000E5F00"/>
    <w:rsid w:val="000E73FA"/>
    <w:rsid w:val="000F15F5"/>
    <w:rsid w:val="000F3B4A"/>
    <w:rsid w:val="000F416B"/>
    <w:rsid w:val="000F5DA3"/>
    <w:rsid w:val="000F63BF"/>
    <w:rsid w:val="000F68E8"/>
    <w:rsid w:val="000F6E09"/>
    <w:rsid w:val="000F78B8"/>
    <w:rsid w:val="00100714"/>
    <w:rsid w:val="0010392C"/>
    <w:rsid w:val="00103F69"/>
    <w:rsid w:val="0010559F"/>
    <w:rsid w:val="001078A4"/>
    <w:rsid w:val="00107D79"/>
    <w:rsid w:val="00111361"/>
    <w:rsid w:val="001117E9"/>
    <w:rsid w:val="001118BC"/>
    <w:rsid w:val="0011227E"/>
    <w:rsid w:val="0011307E"/>
    <w:rsid w:val="001131CC"/>
    <w:rsid w:val="001145AF"/>
    <w:rsid w:val="00114B40"/>
    <w:rsid w:val="00115254"/>
    <w:rsid w:val="00115D29"/>
    <w:rsid w:val="00115FDF"/>
    <w:rsid w:val="00116162"/>
    <w:rsid w:val="00116234"/>
    <w:rsid w:val="0011692E"/>
    <w:rsid w:val="001200F9"/>
    <w:rsid w:val="0012134D"/>
    <w:rsid w:val="00122957"/>
    <w:rsid w:val="001234E7"/>
    <w:rsid w:val="00123EA3"/>
    <w:rsid w:val="00124AEE"/>
    <w:rsid w:val="00124EB5"/>
    <w:rsid w:val="00127AC3"/>
    <w:rsid w:val="001303D6"/>
    <w:rsid w:val="00130953"/>
    <w:rsid w:val="00132C51"/>
    <w:rsid w:val="001330F6"/>
    <w:rsid w:val="001334EF"/>
    <w:rsid w:val="00133742"/>
    <w:rsid w:val="00134410"/>
    <w:rsid w:val="00135CD8"/>
    <w:rsid w:val="001367F0"/>
    <w:rsid w:val="00137369"/>
    <w:rsid w:val="00137968"/>
    <w:rsid w:val="00137C42"/>
    <w:rsid w:val="00141A2B"/>
    <w:rsid w:val="0014302C"/>
    <w:rsid w:val="00143AC1"/>
    <w:rsid w:val="00144A91"/>
    <w:rsid w:val="001469EA"/>
    <w:rsid w:val="00147882"/>
    <w:rsid w:val="00147FFA"/>
    <w:rsid w:val="00153EA1"/>
    <w:rsid w:val="00154F3D"/>
    <w:rsid w:val="00155A59"/>
    <w:rsid w:val="001601CD"/>
    <w:rsid w:val="0016069B"/>
    <w:rsid w:val="00160839"/>
    <w:rsid w:val="0016134A"/>
    <w:rsid w:val="0016153A"/>
    <w:rsid w:val="001616B0"/>
    <w:rsid w:val="00163BE0"/>
    <w:rsid w:val="00165533"/>
    <w:rsid w:val="00166473"/>
    <w:rsid w:val="00166A10"/>
    <w:rsid w:val="001737F7"/>
    <w:rsid w:val="0017410F"/>
    <w:rsid w:val="00175C23"/>
    <w:rsid w:val="00176281"/>
    <w:rsid w:val="00176A3E"/>
    <w:rsid w:val="00176D84"/>
    <w:rsid w:val="00176FA8"/>
    <w:rsid w:val="00177072"/>
    <w:rsid w:val="0018229D"/>
    <w:rsid w:val="00184D2D"/>
    <w:rsid w:val="00186E46"/>
    <w:rsid w:val="00190FA9"/>
    <w:rsid w:val="00191F8D"/>
    <w:rsid w:val="001923E2"/>
    <w:rsid w:val="0019297B"/>
    <w:rsid w:val="00193CC7"/>
    <w:rsid w:val="00194895"/>
    <w:rsid w:val="0019512F"/>
    <w:rsid w:val="001971FC"/>
    <w:rsid w:val="001977F5"/>
    <w:rsid w:val="001A066B"/>
    <w:rsid w:val="001A1821"/>
    <w:rsid w:val="001A2613"/>
    <w:rsid w:val="001A2FA1"/>
    <w:rsid w:val="001A3973"/>
    <w:rsid w:val="001A65F0"/>
    <w:rsid w:val="001A6B93"/>
    <w:rsid w:val="001A6EDD"/>
    <w:rsid w:val="001A7983"/>
    <w:rsid w:val="001A7C9B"/>
    <w:rsid w:val="001B0097"/>
    <w:rsid w:val="001B00C5"/>
    <w:rsid w:val="001B07AE"/>
    <w:rsid w:val="001B0D83"/>
    <w:rsid w:val="001B1F30"/>
    <w:rsid w:val="001B20D8"/>
    <w:rsid w:val="001B2AEC"/>
    <w:rsid w:val="001B2D18"/>
    <w:rsid w:val="001B5DBE"/>
    <w:rsid w:val="001C0604"/>
    <w:rsid w:val="001C4858"/>
    <w:rsid w:val="001C5525"/>
    <w:rsid w:val="001C61F8"/>
    <w:rsid w:val="001C67A5"/>
    <w:rsid w:val="001C683A"/>
    <w:rsid w:val="001C68AD"/>
    <w:rsid w:val="001C68BC"/>
    <w:rsid w:val="001C6E76"/>
    <w:rsid w:val="001D0C49"/>
    <w:rsid w:val="001D1F99"/>
    <w:rsid w:val="001D2142"/>
    <w:rsid w:val="001D4934"/>
    <w:rsid w:val="001D558E"/>
    <w:rsid w:val="001D5A74"/>
    <w:rsid w:val="001D62E7"/>
    <w:rsid w:val="001D74DF"/>
    <w:rsid w:val="001D77ED"/>
    <w:rsid w:val="001E0B33"/>
    <w:rsid w:val="001E1858"/>
    <w:rsid w:val="001E2110"/>
    <w:rsid w:val="001E3994"/>
    <w:rsid w:val="001E3D2F"/>
    <w:rsid w:val="001E6786"/>
    <w:rsid w:val="001E6830"/>
    <w:rsid w:val="001E7B71"/>
    <w:rsid w:val="001F0C5D"/>
    <w:rsid w:val="001F122C"/>
    <w:rsid w:val="001F2B61"/>
    <w:rsid w:val="001F2E99"/>
    <w:rsid w:val="001F31E1"/>
    <w:rsid w:val="001F3255"/>
    <w:rsid w:val="001F3B5E"/>
    <w:rsid w:val="001F7628"/>
    <w:rsid w:val="001F770A"/>
    <w:rsid w:val="00201617"/>
    <w:rsid w:val="002027A3"/>
    <w:rsid w:val="002038F7"/>
    <w:rsid w:val="00203D5F"/>
    <w:rsid w:val="00204377"/>
    <w:rsid w:val="00206171"/>
    <w:rsid w:val="002078BF"/>
    <w:rsid w:val="00207F84"/>
    <w:rsid w:val="00210363"/>
    <w:rsid w:val="00210474"/>
    <w:rsid w:val="0021072A"/>
    <w:rsid w:val="0021168F"/>
    <w:rsid w:val="00211D74"/>
    <w:rsid w:val="002121E0"/>
    <w:rsid w:val="002122AC"/>
    <w:rsid w:val="00212B99"/>
    <w:rsid w:val="002130FC"/>
    <w:rsid w:val="00213B36"/>
    <w:rsid w:val="002152A5"/>
    <w:rsid w:val="002177D3"/>
    <w:rsid w:val="00220C94"/>
    <w:rsid w:val="00220F6E"/>
    <w:rsid w:val="0022142E"/>
    <w:rsid w:val="002227BB"/>
    <w:rsid w:val="00223921"/>
    <w:rsid w:val="00224F2B"/>
    <w:rsid w:val="002263E1"/>
    <w:rsid w:val="00227641"/>
    <w:rsid w:val="00230301"/>
    <w:rsid w:val="0023177E"/>
    <w:rsid w:val="00232032"/>
    <w:rsid w:val="00232B93"/>
    <w:rsid w:val="00235C13"/>
    <w:rsid w:val="00237040"/>
    <w:rsid w:val="0024005D"/>
    <w:rsid w:val="00240A73"/>
    <w:rsid w:val="002419E0"/>
    <w:rsid w:val="00241A97"/>
    <w:rsid w:val="00242608"/>
    <w:rsid w:val="0024374B"/>
    <w:rsid w:val="00243F12"/>
    <w:rsid w:val="00244C21"/>
    <w:rsid w:val="0024552F"/>
    <w:rsid w:val="00246D6A"/>
    <w:rsid w:val="00250673"/>
    <w:rsid w:val="002510E0"/>
    <w:rsid w:val="00251E18"/>
    <w:rsid w:val="00252CAC"/>
    <w:rsid w:val="00252E78"/>
    <w:rsid w:val="00253D49"/>
    <w:rsid w:val="002551E5"/>
    <w:rsid w:val="002553CF"/>
    <w:rsid w:val="0025663E"/>
    <w:rsid w:val="0025735B"/>
    <w:rsid w:val="002601D1"/>
    <w:rsid w:val="00260D71"/>
    <w:rsid w:val="00261A66"/>
    <w:rsid w:val="00262540"/>
    <w:rsid w:val="00262871"/>
    <w:rsid w:val="00264B1B"/>
    <w:rsid w:val="00265A53"/>
    <w:rsid w:val="00265B15"/>
    <w:rsid w:val="00265D9D"/>
    <w:rsid w:val="00265EBF"/>
    <w:rsid w:val="00270803"/>
    <w:rsid w:val="00271009"/>
    <w:rsid w:val="00271AEC"/>
    <w:rsid w:val="00272D2D"/>
    <w:rsid w:val="00273284"/>
    <w:rsid w:val="00274175"/>
    <w:rsid w:val="002743DF"/>
    <w:rsid w:val="0027468D"/>
    <w:rsid w:val="002752C5"/>
    <w:rsid w:val="002766D9"/>
    <w:rsid w:val="002769EE"/>
    <w:rsid w:val="00277785"/>
    <w:rsid w:val="00277B27"/>
    <w:rsid w:val="00281BE4"/>
    <w:rsid w:val="00281C7C"/>
    <w:rsid w:val="00284D40"/>
    <w:rsid w:val="00285B5B"/>
    <w:rsid w:val="00285E55"/>
    <w:rsid w:val="00285EF2"/>
    <w:rsid w:val="00286F8A"/>
    <w:rsid w:val="00287BC1"/>
    <w:rsid w:val="00290FCE"/>
    <w:rsid w:val="00291406"/>
    <w:rsid w:val="00291ECA"/>
    <w:rsid w:val="002922B6"/>
    <w:rsid w:val="00293FC8"/>
    <w:rsid w:val="00296FED"/>
    <w:rsid w:val="002972AF"/>
    <w:rsid w:val="002975D6"/>
    <w:rsid w:val="002A21E3"/>
    <w:rsid w:val="002A2AD4"/>
    <w:rsid w:val="002A2CC0"/>
    <w:rsid w:val="002A4581"/>
    <w:rsid w:val="002A4F8B"/>
    <w:rsid w:val="002A5325"/>
    <w:rsid w:val="002A6391"/>
    <w:rsid w:val="002A7271"/>
    <w:rsid w:val="002B1007"/>
    <w:rsid w:val="002B24FE"/>
    <w:rsid w:val="002B3DC1"/>
    <w:rsid w:val="002B57AD"/>
    <w:rsid w:val="002B6006"/>
    <w:rsid w:val="002B6249"/>
    <w:rsid w:val="002B6926"/>
    <w:rsid w:val="002B6A47"/>
    <w:rsid w:val="002B7234"/>
    <w:rsid w:val="002C01AC"/>
    <w:rsid w:val="002C1738"/>
    <w:rsid w:val="002C1EB3"/>
    <w:rsid w:val="002C37CD"/>
    <w:rsid w:val="002C52A5"/>
    <w:rsid w:val="002C56F9"/>
    <w:rsid w:val="002C5CAE"/>
    <w:rsid w:val="002C7620"/>
    <w:rsid w:val="002D0DD5"/>
    <w:rsid w:val="002D19E1"/>
    <w:rsid w:val="002D1AD6"/>
    <w:rsid w:val="002D5794"/>
    <w:rsid w:val="002D5889"/>
    <w:rsid w:val="002D5C6D"/>
    <w:rsid w:val="002D616E"/>
    <w:rsid w:val="002D7545"/>
    <w:rsid w:val="002D79D0"/>
    <w:rsid w:val="002E0788"/>
    <w:rsid w:val="002E09D2"/>
    <w:rsid w:val="002E1CE7"/>
    <w:rsid w:val="002E238E"/>
    <w:rsid w:val="002E4B2E"/>
    <w:rsid w:val="002E6C57"/>
    <w:rsid w:val="002E6F7D"/>
    <w:rsid w:val="002E7A74"/>
    <w:rsid w:val="002E7C48"/>
    <w:rsid w:val="002F04E8"/>
    <w:rsid w:val="002F1C32"/>
    <w:rsid w:val="002F3130"/>
    <w:rsid w:val="002F33A3"/>
    <w:rsid w:val="002F4E23"/>
    <w:rsid w:val="002F5ADF"/>
    <w:rsid w:val="002F759B"/>
    <w:rsid w:val="002F7825"/>
    <w:rsid w:val="00300240"/>
    <w:rsid w:val="003030E9"/>
    <w:rsid w:val="003031D1"/>
    <w:rsid w:val="00303655"/>
    <w:rsid w:val="00303B1C"/>
    <w:rsid w:val="00304066"/>
    <w:rsid w:val="0030416B"/>
    <w:rsid w:val="00304A9E"/>
    <w:rsid w:val="00305DFA"/>
    <w:rsid w:val="00312312"/>
    <w:rsid w:val="00313D7C"/>
    <w:rsid w:val="00314842"/>
    <w:rsid w:val="0031609D"/>
    <w:rsid w:val="00316ACC"/>
    <w:rsid w:val="00317397"/>
    <w:rsid w:val="00317F6F"/>
    <w:rsid w:val="00321DC7"/>
    <w:rsid w:val="00321E09"/>
    <w:rsid w:val="003222CB"/>
    <w:rsid w:val="00324189"/>
    <w:rsid w:val="00324A55"/>
    <w:rsid w:val="003263E3"/>
    <w:rsid w:val="00326719"/>
    <w:rsid w:val="00326C52"/>
    <w:rsid w:val="0032790C"/>
    <w:rsid w:val="00327D7F"/>
    <w:rsid w:val="003306E5"/>
    <w:rsid w:val="00331E46"/>
    <w:rsid w:val="00332137"/>
    <w:rsid w:val="003326FC"/>
    <w:rsid w:val="003374FA"/>
    <w:rsid w:val="00341013"/>
    <w:rsid w:val="003419EE"/>
    <w:rsid w:val="00342397"/>
    <w:rsid w:val="00342F0F"/>
    <w:rsid w:val="003438E7"/>
    <w:rsid w:val="00343A26"/>
    <w:rsid w:val="003448F3"/>
    <w:rsid w:val="00345B8E"/>
    <w:rsid w:val="00346E84"/>
    <w:rsid w:val="00347A7E"/>
    <w:rsid w:val="00351279"/>
    <w:rsid w:val="00351EC3"/>
    <w:rsid w:val="003574D5"/>
    <w:rsid w:val="0036145C"/>
    <w:rsid w:val="00361C79"/>
    <w:rsid w:val="00361FBA"/>
    <w:rsid w:val="00362FAC"/>
    <w:rsid w:val="003648AE"/>
    <w:rsid w:val="0036494E"/>
    <w:rsid w:val="00364957"/>
    <w:rsid w:val="00367A54"/>
    <w:rsid w:val="00370626"/>
    <w:rsid w:val="00373A0A"/>
    <w:rsid w:val="00376B88"/>
    <w:rsid w:val="003770DE"/>
    <w:rsid w:val="00377393"/>
    <w:rsid w:val="003778C1"/>
    <w:rsid w:val="00377A42"/>
    <w:rsid w:val="0038116C"/>
    <w:rsid w:val="003815E2"/>
    <w:rsid w:val="00381FEA"/>
    <w:rsid w:val="003823BB"/>
    <w:rsid w:val="00383524"/>
    <w:rsid w:val="00385595"/>
    <w:rsid w:val="003855D5"/>
    <w:rsid w:val="003872FD"/>
    <w:rsid w:val="00387D30"/>
    <w:rsid w:val="00390D92"/>
    <w:rsid w:val="00390E37"/>
    <w:rsid w:val="00392471"/>
    <w:rsid w:val="0039296C"/>
    <w:rsid w:val="00392CF1"/>
    <w:rsid w:val="00393140"/>
    <w:rsid w:val="00393C52"/>
    <w:rsid w:val="003940C8"/>
    <w:rsid w:val="00394790"/>
    <w:rsid w:val="003948D5"/>
    <w:rsid w:val="00395272"/>
    <w:rsid w:val="003978AB"/>
    <w:rsid w:val="003A00D5"/>
    <w:rsid w:val="003A06E8"/>
    <w:rsid w:val="003A1A95"/>
    <w:rsid w:val="003A1BBF"/>
    <w:rsid w:val="003A2701"/>
    <w:rsid w:val="003A38A6"/>
    <w:rsid w:val="003A398E"/>
    <w:rsid w:val="003A4444"/>
    <w:rsid w:val="003A5F03"/>
    <w:rsid w:val="003B1DB9"/>
    <w:rsid w:val="003B3B9F"/>
    <w:rsid w:val="003B4642"/>
    <w:rsid w:val="003B4FC0"/>
    <w:rsid w:val="003B764D"/>
    <w:rsid w:val="003C04DF"/>
    <w:rsid w:val="003C0E78"/>
    <w:rsid w:val="003C25A8"/>
    <w:rsid w:val="003C25BD"/>
    <w:rsid w:val="003C55EF"/>
    <w:rsid w:val="003C5ABF"/>
    <w:rsid w:val="003C7FF8"/>
    <w:rsid w:val="003D15F4"/>
    <w:rsid w:val="003D2E77"/>
    <w:rsid w:val="003D35B1"/>
    <w:rsid w:val="003D4307"/>
    <w:rsid w:val="003D4815"/>
    <w:rsid w:val="003D5FD1"/>
    <w:rsid w:val="003D7FD6"/>
    <w:rsid w:val="003E06F8"/>
    <w:rsid w:val="003E118F"/>
    <w:rsid w:val="003E238D"/>
    <w:rsid w:val="003E4859"/>
    <w:rsid w:val="003E70B1"/>
    <w:rsid w:val="003E7694"/>
    <w:rsid w:val="003F0917"/>
    <w:rsid w:val="003F2C00"/>
    <w:rsid w:val="003F3F87"/>
    <w:rsid w:val="0040192A"/>
    <w:rsid w:val="004027FA"/>
    <w:rsid w:val="00402E23"/>
    <w:rsid w:val="004042A4"/>
    <w:rsid w:val="00406165"/>
    <w:rsid w:val="00410C7E"/>
    <w:rsid w:val="00412ECF"/>
    <w:rsid w:val="00413C6A"/>
    <w:rsid w:val="0041497D"/>
    <w:rsid w:val="00414A40"/>
    <w:rsid w:val="0041500E"/>
    <w:rsid w:val="004213A1"/>
    <w:rsid w:val="00421EAD"/>
    <w:rsid w:val="00422155"/>
    <w:rsid w:val="004227CB"/>
    <w:rsid w:val="00423AA4"/>
    <w:rsid w:val="00427938"/>
    <w:rsid w:val="00427A63"/>
    <w:rsid w:val="00427AC4"/>
    <w:rsid w:val="00431CE9"/>
    <w:rsid w:val="004320B2"/>
    <w:rsid w:val="004323CD"/>
    <w:rsid w:val="00440729"/>
    <w:rsid w:val="00440BDD"/>
    <w:rsid w:val="00441F0B"/>
    <w:rsid w:val="004439ED"/>
    <w:rsid w:val="00446E0B"/>
    <w:rsid w:val="004501AF"/>
    <w:rsid w:val="00452AB3"/>
    <w:rsid w:val="00453184"/>
    <w:rsid w:val="00456743"/>
    <w:rsid w:val="00456E9D"/>
    <w:rsid w:val="0045795E"/>
    <w:rsid w:val="00461988"/>
    <w:rsid w:val="00462A6C"/>
    <w:rsid w:val="00462C29"/>
    <w:rsid w:val="00463B8A"/>
    <w:rsid w:val="00464C7A"/>
    <w:rsid w:val="00465F99"/>
    <w:rsid w:val="00466DE1"/>
    <w:rsid w:val="004674DB"/>
    <w:rsid w:val="0046763B"/>
    <w:rsid w:val="004679EE"/>
    <w:rsid w:val="00467ECC"/>
    <w:rsid w:val="00470F1B"/>
    <w:rsid w:val="00471282"/>
    <w:rsid w:val="0047165B"/>
    <w:rsid w:val="00472CA3"/>
    <w:rsid w:val="004731A0"/>
    <w:rsid w:val="004732F9"/>
    <w:rsid w:val="004744D1"/>
    <w:rsid w:val="00474AD1"/>
    <w:rsid w:val="0047510E"/>
    <w:rsid w:val="00475E77"/>
    <w:rsid w:val="00480F9D"/>
    <w:rsid w:val="004827FD"/>
    <w:rsid w:val="00483D82"/>
    <w:rsid w:val="00484486"/>
    <w:rsid w:val="00484A4C"/>
    <w:rsid w:val="00490979"/>
    <w:rsid w:val="00492B24"/>
    <w:rsid w:val="0049441D"/>
    <w:rsid w:val="0049497D"/>
    <w:rsid w:val="00494E8B"/>
    <w:rsid w:val="004963A3"/>
    <w:rsid w:val="004A03AE"/>
    <w:rsid w:val="004A0605"/>
    <w:rsid w:val="004A1847"/>
    <w:rsid w:val="004A21BA"/>
    <w:rsid w:val="004A2449"/>
    <w:rsid w:val="004A3407"/>
    <w:rsid w:val="004A436B"/>
    <w:rsid w:val="004A5732"/>
    <w:rsid w:val="004A6B59"/>
    <w:rsid w:val="004A6D73"/>
    <w:rsid w:val="004A7899"/>
    <w:rsid w:val="004A7FB6"/>
    <w:rsid w:val="004B1152"/>
    <w:rsid w:val="004B21D2"/>
    <w:rsid w:val="004B29F2"/>
    <w:rsid w:val="004B3679"/>
    <w:rsid w:val="004B4E14"/>
    <w:rsid w:val="004B4FE2"/>
    <w:rsid w:val="004B573E"/>
    <w:rsid w:val="004B660D"/>
    <w:rsid w:val="004B765C"/>
    <w:rsid w:val="004B7B89"/>
    <w:rsid w:val="004C1582"/>
    <w:rsid w:val="004C1EBB"/>
    <w:rsid w:val="004C27B5"/>
    <w:rsid w:val="004C4610"/>
    <w:rsid w:val="004C4BB8"/>
    <w:rsid w:val="004C4DB8"/>
    <w:rsid w:val="004C6739"/>
    <w:rsid w:val="004D18F8"/>
    <w:rsid w:val="004D2776"/>
    <w:rsid w:val="004D31D5"/>
    <w:rsid w:val="004D4A1A"/>
    <w:rsid w:val="004D5274"/>
    <w:rsid w:val="004D5561"/>
    <w:rsid w:val="004D6906"/>
    <w:rsid w:val="004D7259"/>
    <w:rsid w:val="004E0915"/>
    <w:rsid w:val="004E1CA4"/>
    <w:rsid w:val="004E2F0B"/>
    <w:rsid w:val="004E2F5A"/>
    <w:rsid w:val="004E36A8"/>
    <w:rsid w:val="004E6496"/>
    <w:rsid w:val="004E7A50"/>
    <w:rsid w:val="004F225F"/>
    <w:rsid w:val="004F2689"/>
    <w:rsid w:val="004F3B46"/>
    <w:rsid w:val="004F3BCF"/>
    <w:rsid w:val="004F3F94"/>
    <w:rsid w:val="004F439A"/>
    <w:rsid w:val="004F4958"/>
    <w:rsid w:val="004F4E30"/>
    <w:rsid w:val="004F4EDA"/>
    <w:rsid w:val="004F67D9"/>
    <w:rsid w:val="004F7E32"/>
    <w:rsid w:val="00500577"/>
    <w:rsid w:val="005007D1"/>
    <w:rsid w:val="005011D1"/>
    <w:rsid w:val="005014AC"/>
    <w:rsid w:val="00503066"/>
    <w:rsid w:val="005031E4"/>
    <w:rsid w:val="005032E0"/>
    <w:rsid w:val="005049BC"/>
    <w:rsid w:val="00504C71"/>
    <w:rsid w:val="005119D6"/>
    <w:rsid w:val="00512479"/>
    <w:rsid w:val="00512789"/>
    <w:rsid w:val="00512AA7"/>
    <w:rsid w:val="00512E40"/>
    <w:rsid w:val="00513126"/>
    <w:rsid w:val="00513735"/>
    <w:rsid w:val="00513B4B"/>
    <w:rsid w:val="00516717"/>
    <w:rsid w:val="00517E4C"/>
    <w:rsid w:val="00520BD1"/>
    <w:rsid w:val="00521BF3"/>
    <w:rsid w:val="00521E6F"/>
    <w:rsid w:val="0052219A"/>
    <w:rsid w:val="00527FAE"/>
    <w:rsid w:val="00532068"/>
    <w:rsid w:val="00534C83"/>
    <w:rsid w:val="00534F78"/>
    <w:rsid w:val="00535855"/>
    <w:rsid w:val="00537F01"/>
    <w:rsid w:val="0054245C"/>
    <w:rsid w:val="00543234"/>
    <w:rsid w:val="005432DE"/>
    <w:rsid w:val="00545CFA"/>
    <w:rsid w:val="00546DA0"/>
    <w:rsid w:val="005478C3"/>
    <w:rsid w:val="00550FF0"/>
    <w:rsid w:val="005510BA"/>
    <w:rsid w:val="00552FB6"/>
    <w:rsid w:val="005550E6"/>
    <w:rsid w:val="00560219"/>
    <w:rsid w:val="005604D2"/>
    <w:rsid w:val="00561EE5"/>
    <w:rsid w:val="00562DB0"/>
    <w:rsid w:val="00563511"/>
    <w:rsid w:val="0056445A"/>
    <w:rsid w:val="00565742"/>
    <w:rsid w:val="005661A8"/>
    <w:rsid w:val="00566450"/>
    <w:rsid w:val="0057074E"/>
    <w:rsid w:val="00570F17"/>
    <w:rsid w:val="00573835"/>
    <w:rsid w:val="00574AAA"/>
    <w:rsid w:val="00575A89"/>
    <w:rsid w:val="00575B4F"/>
    <w:rsid w:val="00575F3B"/>
    <w:rsid w:val="00576ABC"/>
    <w:rsid w:val="005770C9"/>
    <w:rsid w:val="005771ED"/>
    <w:rsid w:val="005800DA"/>
    <w:rsid w:val="005809A0"/>
    <w:rsid w:val="00580C7A"/>
    <w:rsid w:val="00581D0D"/>
    <w:rsid w:val="00581E6D"/>
    <w:rsid w:val="00582E25"/>
    <w:rsid w:val="005837A4"/>
    <w:rsid w:val="005855B7"/>
    <w:rsid w:val="005858D1"/>
    <w:rsid w:val="00586906"/>
    <w:rsid w:val="00590A0E"/>
    <w:rsid w:val="005911C7"/>
    <w:rsid w:val="00591BCE"/>
    <w:rsid w:val="005938A0"/>
    <w:rsid w:val="00594240"/>
    <w:rsid w:val="00594941"/>
    <w:rsid w:val="00594C8D"/>
    <w:rsid w:val="0059633C"/>
    <w:rsid w:val="005971E3"/>
    <w:rsid w:val="005A1BFB"/>
    <w:rsid w:val="005A278D"/>
    <w:rsid w:val="005A2B9E"/>
    <w:rsid w:val="005A3094"/>
    <w:rsid w:val="005A4DA0"/>
    <w:rsid w:val="005A606E"/>
    <w:rsid w:val="005A6D0F"/>
    <w:rsid w:val="005A78E3"/>
    <w:rsid w:val="005B0182"/>
    <w:rsid w:val="005B0D78"/>
    <w:rsid w:val="005B1E9F"/>
    <w:rsid w:val="005B2497"/>
    <w:rsid w:val="005B3298"/>
    <w:rsid w:val="005B3CEC"/>
    <w:rsid w:val="005B461C"/>
    <w:rsid w:val="005B5424"/>
    <w:rsid w:val="005B5A61"/>
    <w:rsid w:val="005B605B"/>
    <w:rsid w:val="005B72D3"/>
    <w:rsid w:val="005C17DE"/>
    <w:rsid w:val="005C2ACF"/>
    <w:rsid w:val="005C3DF7"/>
    <w:rsid w:val="005C45C0"/>
    <w:rsid w:val="005C4A53"/>
    <w:rsid w:val="005C5C60"/>
    <w:rsid w:val="005C6901"/>
    <w:rsid w:val="005C7300"/>
    <w:rsid w:val="005D1F59"/>
    <w:rsid w:val="005D3DE8"/>
    <w:rsid w:val="005D5FCE"/>
    <w:rsid w:val="005D7216"/>
    <w:rsid w:val="005D7BC4"/>
    <w:rsid w:val="005E0EE4"/>
    <w:rsid w:val="005E1005"/>
    <w:rsid w:val="005E1709"/>
    <w:rsid w:val="005E534A"/>
    <w:rsid w:val="005E5E7E"/>
    <w:rsid w:val="005E71D6"/>
    <w:rsid w:val="005F1CC8"/>
    <w:rsid w:val="005F5055"/>
    <w:rsid w:val="005F5A97"/>
    <w:rsid w:val="0060144D"/>
    <w:rsid w:val="006018E9"/>
    <w:rsid w:val="00601A18"/>
    <w:rsid w:val="00603B19"/>
    <w:rsid w:val="00603DEB"/>
    <w:rsid w:val="00604A15"/>
    <w:rsid w:val="006050C0"/>
    <w:rsid w:val="006055AF"/>
    <w:rsid w:val="00605763"/>
    <w:rsid w:val="00605A7C"/>
    <w:rsid w:val="00606E6A"/>
    <w:rsid w:val="00606F55"/>
    <w:rsid w:val="006076EF"/>
    <w:rsid w:val="00607B7E"/>
    <w:rsid w:val="00607FF5"/>
    <w:rsid w:val="006107A7"/>
    <w:rsid w:val="00610BD3"/>
    <w:rsid w:val="00613DD1"/>
    <w:rsid w:val="00615C51"/>
    <w:rsid w:val="00620ED5"/>
    <w:rsid w:val="00621EBD"/>
    <w:rsid w:val="0062253A"/>
    <w:rsid w:val="0062313B"/>
    <w:rsid w:val="0062532C"/>
    <w:rsid w:val="00626DA0"/>
    <w:rsid w:val="00631C93"/>
    <w:rsid w:val="00631F49"/>
    <w:rsid w:val="006328EB"/>
    <w:rsid w:val="00632B5F"/>
    <w:rsid w:val="00633557"/>
    <w:rsid w:val="00634A86"/>
    <w:rsid w:val="006369C7"/>
    <w:rsid w:val="00636A2B"/>
    <w:rsid w:val="00636E70"/>
    <w:rsid w:val="006379E8"/>
    <w:rsid w:val="006441F0"/>
    <w:rsid w:val="00644EA1"/>
    <w:rsid w:val="00644F48"/>
    <w:rsid w:val="00645931"/>
    <w:rsid w:val="0064634D"/>
    <w:rsid w:val="00646590"/>
    <w:rsid w:val="0064691B"/>
    <w:rsid w:val="00646AEB"/>
    <w:rsid w:val="00650C55"/>
    <w:rsid w:val="00651C8E"/>
    <w:rsid w:val="00652A34"/>
    <w:rsid w:val="006547BE"/>
    <w:rsid w:val="00654B45"/>
    <w:rsid w:val="00655BEF"/>
    <w:rsid w:val="0065756F"/>
    <w:rsid w:val="00657E44"/>
    <w:rsid w:val="0066231A"/>
    <w:rsid w:val="006648D2"/>
    <w:rsid w:val="0066728D"/>
    <w:rsid w:val="00667610"/>
    <w:rsid w:val="00671376"/>
    <w:rsid w:val="006725C9"/>
    <w:rsid w:val="0067409C"/>
    <w:rsid w:val="00676A4A"/>
    <w:rsid w:val="00676D7B"/>
    <w:rsid w:val="0068019F"/>
    <w:rsid w:val="00681E5F"/>
    <w:rsid w:val="00681EF6"/>
    <w:rsid w:val="00682CB9"/>
    <w:rsid w:val="006842B4"/>
    <w:rsid w:val="006849B1"/>
    <w:rsid w:val="00684A9A"/>
    <w:rsid w:val="00685A17"/>
    <w:rsid w:val="0068696F"/>
    <w:rsid w:val="006870AF"/>
    <w:rsid w:val="00690C7F"/>
    <w:rsid w:val="006953DD"/>
    <w:rsid w:val="00696485"/>
    <w:rsid w:val="006A18AD"/>
    <w:rsid w:val="006A2319"/>
    <w:rsid w:val="006A434A"/>
    <w:rsid w:val="006A4E4F"/>
    <w:rsid w:val="006A573F"/>
    <w:rsid w:val="006A6B7C"/>
    <w:rsid w:val="006A6FCE"/>
    <w:rsid w:val="006A7B6A"/>
    <w:rsid w:val="006B0652"/>
    <w:rsid w:val="006B4990"/>
    <w:rsid w:val="006B4F67"/>
    <w:rsid w:val="006B788A"/>
    <w:rsid w:val="006B796B"/>
    <w:rsid w:val="006B7AC8"/>
    <w:rsid w:val="006C07A1"/>
    <w:rsid w:val="006C10A2"/>
    <w:rsid w:val="006C18D9"/>
    <w:rsid w:val="006C227B"/>
    <w:rsid w:val="006C2432"/>
    <w:rsid w:val="006C3040"/>
    <w:rsid w:val="006C42FF"/>
    <w:rsid w:val="006C473F"/>
    <w:rsid w:val="006C47B2"/>
    <w:rsid w:val="006C54A4"/>
    <w:rsid w:val="006C5632"/>
    <w:rsid w:val="006C64D6"/>
    <w:rsid w:val="006C6D83"/>
    <w:rsid w:val="006D12C1"/>
    <w:rsid w:val="006D12F3"/>
    <w:rsid w:val="006D1CCD"/>
    <w:rsid w:val="006D39B9"/>
    <w:rsid w:val="006D506F"/>
    <w:rsid w:val="006D53F8"/>
    <w:rsid w:val="006D77AE"/>
    <w:rsid w:val="006D7F92"/>
    <w:rsid w:val="006E01B1"/>
    <w:rsid w:val="006E05DF"/>
    <w:rsid w:val="006E0817"/>
    <w:rsid w:val="006E56BA"/>
    <w:rsid w:val="006E5F9F"/>
    <w:rsid w:val="006E6949"/>
    <w:rsid w:val="006E6A75"/>
    <w:rsid w:val="006F0006"/>
    <w:rsid w:val="006F1BBF"/>
    <w:rsid w:val="006F34BC"/>
    <w:rsid w:val="006F42C1"/>
    <w:rsid w:val="006F63DC"/>
    <w:rsid w:val="006F7CE5"/>
    <w:rsid w:val="00702147"/>
    <w:rsid w:val="007028BF"/>
    <w:rsid w:val="00706306"/>
    <w:rsid w:val="00706977"/>
    <w:rsid w:val="007072DC"/>
    <w:rsid w:val="007075DE"/>
    <w:rsid w:val="00711A84"/>
    <w:rsid w:val="00711FE5"/>
    <w:rsid w:val="00714772"/>
    <w:rsid w:val="007154BC"/>
    <w:rsid w:val="00715936"/>
    <w:rsid w:val="007163CB"/>
    <w:rsid w:val="00717260"/>
    <w:rsid w:val="007178B3"/>
    <w:rsid w:val="0072000F"/>
    <w:rsid w:val="00721ADA"/>
    <w:rsid w:val="007256AB"/>
    <w:rsid w:val="00725FD7"/>
    <w:rsid w:val="0072795C"/>
    <w:rsid w:val="00730367"/>
    <w:rsid w:val="00731D0E"/>
    <w:rsid w:val="00733C45"/>
    <w:rsid w:val="00735705"/>
    <w:rsid w:val="0074111E"/>
    <w:rsid w:val="007415B2"/>
    <w:rsid w:val="0074183C"/>
    <w:rsid w:val="00743FE4"/>
    <w:rsid w:val="00744546"/>
    <w:rsid w:val="00745A48"/>
    <w:rsid w:val="00746A82"/>
    <w:rsid w:val="00747312"/>
    <w:rsid w:val="00750270"/>
    <w:rsid w:val="00750DBC"/>
    <w:rsid w:val="00751CCE"/>
    <w:rsid w:val="00754494"/>
    <w:rsid w:val="00754713"/>
    <w:rsid w:val="00754AE4"/>
    <w:rsid w:val="007557EC"/>
    <w:rsid w:val="00756273"/>
    <w:rsid w:val="00757A36"/>
    <w:rsid w:val="00757BCB"/>
    <w:rsid w:val="007601A4"/>
    <w:rsid w:val="0076025E"/>
    <w:rsid w:val="007622C4"/>
    <w:rsid w:val="00762F82"/>
    <w:rsid w:val="007651C8"/>
    <w:rsid w:val="00765356"/>
    <w:rsid w:val="007655C0"/>
    <w:rsid w:val="00765916"/>
    <w:rsid w:val="00766570"/>
    <w:rsid w:val="007665E6"/>
    <w:rsid w:val="0076670D"/>
    <w:rsid w:val="007667BB"/>
    <w:rsid w:val="007675D4"/>
    <w:rsid w:val="007703C5"/>
    <w:rsid w:val="0077084B"/>
    <w:rsid w:val="00770B4F"/>
    <w:rsid w:val="00770E59"/>
    <w:rsid w:val="007717E9"/>
    <w:rsid w:val="00772013"/>
    <w:rsid w:val="00774C8A"/>
    <w:rsid w:val="00775832"/>
    <w:rsid w:val="00775FD2"/>
    <w:rsid w:val="00776885"/>
    <w:rsid w:val="007770EC"/>
    <w:rsid w:val="00777481"/>
    <w:rsid w:val="007816C7"/>
    <w:rsid w:val="00784ABA"/>
    <w:rsid w:val="007909C0"/>
    <w:rsid w:val="00790D7D"/>
    <w:rsid w:val="007910F8"/>
    <w:rsid w:val="00791A4D"/>
    <w:rsid w:val="00791ADB"/>
    <w:rsid w:val="00792322"/>
    <w:rsid w:val="00793294"/>
    <w:rsid w:val="00795FFD"/>
    <w:rsid w:val="007961D4"/>
    <w:rsid w:val="007963A7"/>
    <w:rsid w:val="007A0833"/>
    <w:rsid w:val="007A1A5F"/>
    <w:rsid w:val="007A2029"/>
    <w:rsid w:val="007A765D"/>
    <w:rsid w:val="007B0080"/>
    <w:rsid w:val="007B0125"/>
    <w:rsid w:val="007B0506"/>
    <w:rsid w:val="007B2969"/>
    <w:rsid w:val="007B2C6D"/>
    <w:rsid w:val="007B344C"/>
    <w:rsid w:val="007B3AFA"/>
    <w:rsid w:val="007B41AD"/>
    <w:rsid w:val="007B4E98"/>
    <w:rsid w:val="007B5F17"/>
    <w:rsid w:val="007B6336"/>
    <w:rsid w:val="007B7359"/>
    <w:rsid w:val="007B7594"/>
    <w:rsid w:val="007C0B72"/>
    <w:rsid w:val="007C0C28"/>
    <w:rsid w:val="007C0ECF"/>
    <w:rsid w:val="007C382B"/>
    <w:rsid w:val="007C49BD"/>
    <w:rsid w:val="007C53E3"/>
    <w:rsid w:val="007D1850"/>
    <w:rsid w:val="007D1915"/>
    <w:rsid w:val="007D195E"/>
    <w:rsid w:val="007D31BC"/>
    <w:rsid w:val="007D3EC1"/>
    <w:rsid w:val="007D5079"/>
    <w:rsid w:val="007D5A8C"/>
    <w:rsid w:val="007D6E6B"/>
    <w:rsid w:val="007D73E3"/>
    <w:rsid w:val="007E0153"/>
    <w:rsid w:val="007E066D"/>
    <w:rsid w:val="007E0F59"/>
    <w:rsid w:val="007E1E25"/>
    <w:rsid w:val="007E1FAA"/>
    <w:rsid w:val="007E3F5B"/>
    <w:rsid w:val="007E52C5"/>
    <w:rsid w:val="007E5A0B"/>
    <w:rsid w:val="007E5BAF"/>
    <w:rsid w:val="007E639F"/>
    <w:rsid w:val="007E6CE3"/>
    <w:rsid w:val="007E6EA6"/>
    <w:rsid w:val="007E7FC6"/>
    <w:rsid w:val="007F034A"/>
    <w:rsid w:val="007F03DB"/>
    <w:rsid w:val="007F04EF"/>
    <w:rsid w:val="007F1313"/>
    <w:rsid w:val="007F1F4C"/>
    <w:rsid w:val="007F4354"/>
    <w:rsid w:val="007F63A1"/>
    <w:rsid w:val="007F64A7"/>
    <w:rsid w:val="007F76D4"/>
    <w:rsid w:val="007F7EB7"/>
    <w:rsid w:val="0080021A"/>
    <w:rsid w:val="008050A9"/>
    <w:rsid w:val="00806A90"/>
    <w:rsid w:val="00806E6C"/>
    <w:rsid w:val="00806EE0"/>
    <w:rsid w:val="00807783"/>
    <w:rsid w:val="00814C8A"/>
    <w:rsid w:val="0081664E"/>
    <w:rsid w:val="00817FB0"/>
    <w:rsid w:val="00820238"/>
    <w:rsid w:val="00822DA0"/>
    <w:rsid w:val="008251FD"/>
    <w:rsid w:val="00825379"/>
    <w:rsid w:val="008254E7"/>
    <w:rsid w:val="00825597"/>
    <w:rsid w:val="008268C8"/>
    <w:rsid w:val="00826F40"/>
    <w:rsid w:val="008324C6"/>
    <w:rsid w:val="00835520"/>
    <w:rsid w:val="00844035"/>
    <w:rsid w:val="008446FD"/>
    <w:rsid w:val="0084545F"/>
    <w:rsid w:val="00847D7C"/>
    <w:rsid w:val="0085323A"/>
    <w:rsid w:val="008577A2"/>
    <w:rsid w:val="00857B4B"/>
    <w:rsid w:val="00857EA3"/>
    <w:rsid w:val="00857FEE"/>
    <w:rsid w:val="0086075F"/>
    <w:rsid w:val="0086143B"/>
    <w:rsid w:val="008631B1"/>
    <w:rsid w:val="00865454"/>
    <w:rsid w:val="00865728"/>
    <w:rsid w:val="00866F59"/>
    <w:rsid w:val="00867638"/>
    <w:rsid w:val="008708D8"/>
    <w:rsid w:val="00870B74"/>
    <w:rsid w:val="008715C0"/>
    <w:rsid w:val="00871ADE"/>
    <w:rsid w:val="00872483"/>
    <w:rsid w:val="00872672"/>
    <w:rsid w:val="00872BD7"/>
    <w:rsid w:val="00874B6C"/>
    <w:rsid w:val="0087520E"/>
    <w:rsid w:val="00875789"/>
    <w:rsid w:val="008759BF"/>
    <w:rsid w:val="00876910"/>
    <w:rsid w:val="00876CC1"/>
    <w:rsid w:val="008770F4"/>
    <w:rsid w:val="008777BE"/>
    <w:rsid w:val="008808FD"/>
    <w:rsid w:val="0088191B"/>
    <w:rsid w:val="00883018"/>
    <w:rsid w:val="00884283"/>
    <w:rsid w:val="00885EA2"/>
    <w:rsid w:val="00886DB8"/>
    <w:rsid w:val="00886F31"/>
    <w:rsid w:val="00886F79"/>
    <w:rsid w:val="00887157"/>
    <w:rsid w:val="008872B4"/>
    <w:rsid w:val="00890275"/>
    <w:rsid w:val="00890B92"/>
    <w:rsid w:val="008919A7"/>
    <w:rsid w:val="00891C64"/>
    <w:rsid w:val="008920D3"/>
    <w:rsid w:val="008924BF"/>
    <w:rsid w:val="00892955"/>
    <w:rsid w:val="008933CD"/>
    <w:rsid w:val="00893585"/>
    <w:rsid w:val="0089385A"/>
    <w:rsid w:val="00894AB5"/>
    <w:rsid w:val="0089697C"/>
    <w:rsid w:val="00897FF3"/>
    <w:rsid w:val="008A0181"/>
    <w:rsid w:val="008A0D40"/>
    <w:rsid w:val="008A1136"/>
    <w:rsid w:val="008A1BD6"/>
    <w:rsid w:val="008A1F06"/>
    <w:rsid w:val="008A3590"/>
    <w:rsid w:val="008A4388"/>
    <w:rsid w:val="008A5BB4"/>
    <w:rsid w:val="008B020F"/>
    <w:rsid w:val="008B11DE"/>
    <w:rsid w:val="008B3033"/>
    <w:rsid w:val="008B371C"/>
    <w:rsid w:val="008B3B50"/>
    <w:rsid w:val="008B3ED1"/>
    <w:rsid w:val="008B4579"/>
    <w:rsid w:val="008B4666"/>
    <w:rsid w:val="008B4ECF"/>
    <w:rsid w:val="008B5055"/>
    <w:rsid w:val="008B7C13"/>
    <w:rsid w:val="008C205F"/>
    <w:rsid w:val="008C38AC"/>
    <w:rsid w:val="008C4148"/>
    <w:rsid w:val="008C6615"/>
    <w:rsid w:val="008C7B2D"/>
    <w:rsid w:val="008C7C53"/>
    <w:rsid w:val="008C7F52"/>
    <w:rsid w:val="008D45A5"/>
    <w:rsid w:val="008D5AF7"/>
    <w:rsid w:val="008D67FC"/>
    <w:rsid w:val="008D759B"/>
    <w:rsid w:val="008D7D02"/>
    <w:rsid w:val="008E3C74"/>
    <w:rsid w:val="008E4D9E"/>
    <w:rsid w:val="008E5919"/>
    <w:rsid w:val="008E79F5"/>
    <w:rsid w:val="008E7B8A"/>
    <w:rsid w:val="008F0486"/>
    <w:rsid w:val="008F21F5"/>
    <w:rsid w:val="008F22A5"/>
    <w:rsid w:val="008F24DB"/>
    <w:rsid w:val="008F6811"/>
    <w:rsid w:val="009017D0"/>
    <w:rsid w:val="00901D32"/>
    <w:rsid w:val="00902930"/>
    <w:rsid w:val="0090300B"/>
    <w:rsid w:val="00904F58"/>
    <w:rsid w:val="0090500D"/>
    <w:rsid w:val="009051F7"/>
    <w:rsid w:val="009061A5"/>
    <w:rsid w:val="00906C88"/>
    <w:rsid w:val="0091108D"/>
    <w:rsid w:val="00912649"/>
    <w:rsid w:val="00914CB6"/>
    <w:rsid w:val="009154BD"/>
    <w:rsid w:val="00915687"/>
    <w:rsid w:val="00915FC4"/>
    <w:rsid w:val="009165A4"/>
    <w:rsid w:val="00916885"/>
    <w:rsid w:val="00916F65"/>
    <w:rsid w:val="0092052B"/>
    <w:rsid w:val="00920A67"/>
    <w:rsid w:val="00921E4A"/>
    <w:rsid w:val="00922DB3"/>
    <w:rsid w:val="00923BF7"/>
    <w:rsid w:val="0092423F"/>
    <w:rsid w:val="0092496C"/>
    <w:rsid w:val="00925130"/>
    <w:rsid w:val="0092566A"/>
    <w:rsid w:val="0092697C"/>
    <w:rsid w:val="00931139"/>
    <w:rsid w:val="00931FDE"/>
    <w:rsid w:val="00933435"/>
    <w:rsid w:val="00933922"/>
    <w:rsid w:val="009348BE"/>
    <w:rsid w:val="00934E07"/>
    <w:rsid w:val="009354F8"/>
    <w:rsid w:val="00936284"/>
    <w:rsid w:val="00936B9E"/>
    <w:rsid w:val="00940353"/>
    <w:rsid w:val="009407E0"/>
    <w:rsid w:val="00940875"/>
    <w:rsid w:val="009411BE"/>
    <w:rsid w:val="0094123C"/>
    <w:rsid w:val="00941A90"/>
    <w:rsid w:val="0094276A"/>
    <w:rsid w:val="00943084"/>
    <w:rsid w:val="00943FD5"/>
    <w:rsid w:val="00947EB2"/>
    <w:rsid w:val="00950B09"/>
    <w:rsid w:val="00952787"/>
    <w:rsid w:val="00953DCF"/>
    <w:rsid w:val="009553A1"/>
    <w:rsid w:val="009557C2"/>
    <w:rsid w:val="00955A80"/>
    <w:rsid w:val="00956A02"/>
    <w:rsid w:val="00957414"/>
    <w:rsid w:val="00960431"/>
    <w:rsid w:val="00960AE0"/>
    <w:rsid w:val="00961691"/>
    <w:rsid w:val="00961C90"/>
    <w:rsid w:val="009622D7"/>
    <w:rsid w:val="009647DE"/>
    <w:rsid w:val="00964B11"/>
    <w:rsid w:val="00967727"/>
    <w:rsid w:val="009702D4"/>
    <w:rsid w:val="009715C9"/>
    <w:rsid w:val="00972FF3"/>
    <w:rsid w:val="00974B36"/>
    <w:rsid w:val="00976DA2"/>
    <w:rsid w:val="009809DD"/>
    <w:rsid w:val="009811B1"/>
    <w:rsid w:val="00981BCC"/>
    <w:rsid w:val="009821DA"/>
    <w:rsid w:val="00984314"/>
    <w:rsid w:val="00985035"/>
    <w:rsid w:val="00985FA2"/>
    <w:rsid w:val="009862AF"/>
    <w:rsid w:val="00986920"/>
    <w:rsid w:val="009869F3"/>
    <w:rsid w:val="00986C76"/>
    <w:rsid w:val="0098786C"/>
    <w:rsid w:val="00987FE0"/>
    <w:rsid w:val="00991D46"/>
    <w:rsid w:val="00993767"/>
    <w:rsid w:val="00993A66"/>
    <w:rsid w:val="00995371"/>
    <w:rsid w:val="009959EF"/>
    <w:rsid w:val="009A00E1"/>
    <w:rsid w:val="009A013B"/>
    <w:rsid w:val="009A1336"/>
    <w:rsid w:val="009A2214"/>
    <w:rsid w:val="009A3612"/>
    <w:rsid w:val="009A3DEC"/>
    <w:rsid w:val="009A3E78"/>
    <w:rsid w:val="009A59C4"/>
    <w:rsid w:val="009B2CC0"/>
    <w:rsid w:val="009B518E"/>
    <w:rsid w:val="009B73BE"/>
    <w:rsid w:val="009C0A15"/>
    <w:rsid w:val="009C219C"/>
    <w:rsid w:val="009C3D9D"/>
    <w:rsid w:val="009C4C39"/>
    <w:rsid w:val="009C53F7"/>
    <w:rsid w:val="009C5D20"/>
    <w:rsid w:val="009C61C5"/>
    <w:rsid w:val="009C630B"/>
    <w:rsid w:val="009C6C85"/>
    <w:rsid w:val="009C719E"/>
    <w:rsid w:val="009C76F9"/>
    <w:rsid w:val="009D3B5A"/>
    <w:rsid w:val="009D3CEC"/>
    <w:rsid w:val="009D45C9"/>
    <w:rsid w:val="009D4635"/>
    <w:rsid w:val="009D4C46"/>
    <w:rsid w:val="009D4F62"/>
    <w:rsid w:val="009D7CB1"/>
    <w:rsid w:val="009E139B"/>
    <w:rsid w:val="009E17E5"/>
    <w:rsid w:val="009E564B"/>
    <w:rsid w:val="009E5755"/>
    <w:rsid w:val="009F0A50"/>
    <w:rsid w:val="009F0E99"/>
    <w:rsid w:val="009F1898"/>
    <w:rsid w:val="009F2A55"/>
    <w:rsid w:val="009F45DD"/>
    <w:rsid w:val="009F4E42"/>
    <w:rsid w:val="009F5616"/>
    <w:rsid w:val="009F5E1E"/>
    <w:rsid w:val="009F5E63"/>
    <w:rsid w:val="009F6714"/>
    <w:rsid w:val="00A00060"/>
    <w:rsid w:val="00A00B28"/>
    <w:rsid w:val="00A00B76"/>
    <w:rsid w:val="00A010AD"/>
    <w:rsid w:val="00A03878"/>
    <w:rsid w:val="00A04819"/>
    <w:rsid w:val="00A050C0"/>
    <w:rsid w:val="00A067E1"/>
    <w:rsid w:val="00A0711D"/>
    <w:rsid w:val="00A07874"/>
    <w:rsid w:val="00A11402"/>
    <w:rsid w:val="00A1194E"/>
    <w:rsid w:val="00A1211C"/>
    <w:rsid w:val="00A130BA"/>
    <w:rsid w:val="00A1372C"/>
    <w:rsid w:val="00A13A73"/>
    <w:rsid w:val="00A13D14"/>
    <w:rsid w:val="00A13F73"/>
    <w:rsid w:val="00A14AF2"/>
    <w:rsid w:val="00A15679"/>
    <w:rsid w:val="00A1682A"/>
    <w:rsid w:val="00A16A2B"/>
    <w:rsid w:val="00A216F2"/>
    <w:rsid w:val="00A21C58"/>
    <w:rsid w:val="00A229E1"/>
    <w:rsid w:val="00A23E3E"/>
    <w:rsid w:val="00A243BF"/>
    <w:rsid w:val="00A25B09"/>
    <w:rsid w:val="00A304A0"/>
    <w:rsid w:val="00A33D9B"/>
    <w:rsid w:val="00A3462A"/>
    <w:rsid w:val="00A347E4"/>
    <w:rsid w:val="00A35800"/>
    <w:rsid w:val="00A35AB1"/>
    <w:rsid w:val="00A35AC7"/>
    <w:rsid w:val="00A35B5E"/>
    <w:rsid w:val="00A37966"/>
    <w:rsid w:val="00A37DCF"/>
    <w:rsid w:val="00A402C4"/>
    <w:rsid w:val="00A4133D"/>
    <w:rsid w:val="00A41814"/>
    <w:rsid w:val="00A41F75"/>
    <w:rsid w:val="00A41FCE"/>
    <w:rsid w:val="00A4206F"/>
    <w:rsid w:val="00A422C1"/>
    <w:rsid w:val="00A44230"/>
    <w:rsid w:val="00A4485B"/>
    <w:rsid w:val="00A45DBE"/>
    <w:rsid w:val="00A47815"/>
    <w:rsid w:val="00A50475"/>
    <w:rsid w:val="00A50914"/>
    <w:rsid w:val="00A5096A"/>
    <w:rsid w:val="00A51AA6"/>
    <w:rsid w:val="00A55B34"/>
    <w:rsid w:val="00A56097"/>
    <w:rsid w:val="00A56353"/>
    <w:rsid w:val="00A56E10"/>
    <w:rsid w:val="00A56EBD"/>
    <w:rsid w:val="00A56EBE"/>
    <w:rsid w:val="00A60D4E"/>
    <w:rsid w:val="00A6151B"/>
    <w:rsid w:val="00A620C4"/>
    <w:rsid w:val="00A637F4"/>
    <w:rsid w:val="00A64109"/>
    <w:rsid w:val="00A64E95"/>
    <w:rsid w:val="00A67EFD"/>
    <w:rsid w:val="00A70481"/>
    <w:rsid w:val="00A70F8A"/>
    <w:rsid w:val="00A71D85"/>
    <w:rsid w:val="00A72A87"/>
    <w:rsid w:val="00A72E65"/>
    <w:rsid w:val="00A73C9A"/>
    <w:rsid w:val="00A749E6"/>
    <w:rsid w:val="00A74C17"/>
    <w:rsid w:val="00A757EB"/>
    <w:rsid w:val="00A80D94"/>
    <w:rsid w:val="00A8163C"/>
    <w:rsid w:val="00A841D3"/>
    <w:rsid w:val="00A84729"/>
    <w:rsid w:val="00A84CB6"/>
    <w:rsid w:val="00A8552A"/>
    <w:rsid w:val="00A85599"/>
    <w:rsid w:val="00A86220"/>
    <w:rsid w:val="00A86FED"/>
    <w:rsid w:val="00A87B2A"/>
    <w:rsid w:val="00A90E6D"/>
    <w:rsid w:val="00A95123"/>
    <w:rsid w:val="00A965AB"/>
    <w:rsid w:val="00A96EE7"/>
    <w:rsid w:val="00A97F09"/>
    <w:rsid w:val="00AA2479"/>
    <w:rsid w:val="00AA454B"/>
    <w:rsid w:val="00AA4B1B"/>
    <w:rsid w:val="00AA4C0A"/>
    <w:rsid w:val="00AA67EF"/>
    <w:rsid w:val="00AB2C14"/>
    <w:rsid w:val="00AB38AB"/>
    <w:rsid w:val="00AB54DB"/>
    <w:rsid w:val="00AB64E4"/>
    <w:rsid w:val="00AB6D04"/>
    <w:rsid w:val="00AB7DAC"/>
    <w:rsid w:val="00AC071A"/>
    <w:rsid w:val="00AC19F5"/>
    <w:rsid w:val="00AC6C72"/>
    <w:rsid w:val="00AC7A2B"/>
    <w:rsid w:val="00AD02D1"/>
    <w:rsid w:val="00AD03D6"/>
    <w:rsid w:val="00AD0CF7"/>
    <w:rsid w:val="00AD10FA"/>
    <w:rsid w:val="00AD1130"/>
    <w:rsid w:val="00AD4966"/>
    <w:rsid w:val="00AD4FF6"/>
    <w:rsid w:val="00AD503A"/>
    <w:rsid w:val="00AD559F"/>
    <w:rsid w:val="00AD76F0"/>
    <w:rsid w:val="00AD787C"/>
    <w:rsid w:val="00AE3C72"/>
    <w:rsid w:val="00AE400D"/>
    <w:rsid w:val="00AE5F55"/>
    <w:rsid w:val="00AE66C5"/>
    <w:rsid w:val="00AE7AA4"/>
    <w:rsid w:val="00AE7D2D"/>
    <w:rsid w:val="00AF053B"/>
    <w:rsid w:val="00AF0845"/>
    <w:rsid w:val="00AF1B2F"/>
    <w:rsid w:val="00AF2343"/>
    <w:rsid w:val="00AF4378"/>
    <w:rsid w:val="00AF6873"/>
    <w:rsid w:val="00AF7C21"/>
    <w:rsid w:val="00B01EE9"/>
    <w:rsid w:val="00B04C33"/>
    <w:rsid w:val="00B0577C"/>
    <w:rsid w:val="00B07A3C"/>
    <w:rsid w:val="00B11F11"/>
    <w:rsid w:val="00B13F53"/>
    <w:rsid w:val="00B13FC7"/>
    <w:rsid w:val="00B1523D"/>
    <w:rsid w:val="00B153C0"/>
    <w:rsid w:val="00B15815"/>
    <w:rsid w:val="00B16658"/>
    <w:rsid w:val="00B174FD"/>
    <w:rsid w:val="00B21306"/>
    <w:rsid w:val="00B21540"/>
    <w:rsid w:val="00B217CB"/>
    <w:rsid w:val="00B21C3C"/>
    <w:rsid w:val="00B21ECF"/>
    <w:rsid w:val="00B22B7C"/>
    <w:rsid w:val="00B22B8F"/>
    <w:rsid w:val="00B24E86"/>
    <w:rsid w:val="00B25844"/>
    <w:rsid w:val="00B30E11"/>
    <w:rsid w:val="00B31124"/>
    <w:rsid w:val="00B3183B"/>
    <w:rsid w:val="00B32D45"/>
    <w:rsid w:val="00B3384E"/>
    <w:rsid w:val="00B33D75"/>
    <w:rsid w:val="00B34300"/>
    <w:rsid w:val="00B35248"/>
    <w:rsid w:val="00B35DE1"/>
    <w:rsid w:val="00B37523"/>
    <w:rsid w:val="00B37E5D"/>
    <w:rsid w:val="00B40486"/>
    <w:rsid w:val="00B40F51"/>
    <w:rsid w:val="00B429E9"/>
    <w:rsid w:val="00B42E9E"/>
    <w:rsid w:val="00B43507"/>
    <w:rsid w:val="00B4428B"/>
    <w:rsid w:val="00B4504D"/>
    <w:rsid w:val="00B47450"/>
    <w:rsid w:val="00B47B51"/>
    <w:rsid w:val="00B50647"/>
    <w:rsid w:val="00B5115D"/>
    <w:rsid w:val="00B51C39"/>
    <w:rsid w:val="00B521D9"/>
    <w:rsid w:val="00B54A7B"/>
    <w:rsid w:val="00B5548D"/>
    <w:rsid w:val="00B56BC3"/>
    <w:rsid w:val="00B57B17"/>
    <w:rsid w:val="00B60246"/>
    <w:rsid w:val="00B6541A"/>
    <w:rsid w:val="00B66715"/>
    <w:rsid w:val="00B6705A"/>
    <w:rsid w:val="00B7023F"/>
    <w:rsid w:val="00B7033E"/>
    <w:rsid w:val="00B70B23"/>
    <w:rsid w:val="00B71A62"/>
    <w:rsid w:val="00B731E6"/>
    <w:rsid w:val="00B74FD7"/>
    <w:rsid w:val="00B753CF"/>
    <w:rsid w:val="00B75B3A"/>
    <w:rsid w:val="00B771B8"/>
    <w:rsid w:val="00B7791A"/>
    <w:rsid w:val="00B81870"/>
    <w:rsid w:val="00B81972"/>
    <w:rsid w:val="00B83EDE"/>
    <w:rsid w:val="00B84029"/>
    <w:rsid w:val="00B85207"/>
    <w:rsid w:val="00B854F3"/>
    <w:rsid w:val="00B863F1"/>
    <w:rsid w:val="00B86C1F"/>
    <w:rsid w:val="00B86E81"/>
    <w:rsid w:val="00B87B13"/>
    <w:rsid w:val="00B92196"/>
    <w:rsid w:val="00B93678"/>
    <w:rsid w:val="00B93BAB"/>
    <w:rsid w:val="00B9410B"/>
    <w:rsid w:val="00B95FDE"/>
    <w:rsid w:val="00B97240"/>
    <w:rsid w:val="00B977FD"/>
    <w:rsid w:val="00BA0342"/>
    <w:rsid w:val="00BA149D"/>
    <w:rsid w:val="00BA1653"/>
    <w:rsid w:val="00BA17AD"/>
    <w:rsid w:val="00BA19E6"/>
    <w:rsid w:val="00BA247F"/>
    <w:rsid w:val="00BA3899"/>
    <w:rsid w:val="00BA6163"/>
    <w:rsid w:val="00BA6F8A"/>
    <w:rsid w:val="00BA7B38"/>
    <w:rsid w:val="00BB030F"/>
    <w:rsid w:val="00BB1866"/>
    <w:rsid w:val="00BB3259"/>
    <w:rsid w:val="00BB5CAD"/>
    <w:rsid w:val="00BB7E2C"/>
    <w:rsid w:val="00BC0A2C"/>
    <w:rsid w:val="00BC0C4D"/>
    <w:rsid w:val="00BC134A"/>
    <w:rsid w:val="00BC41D9"/>
    <w:rsid w:val="00BC48B6"/>
    <w:rsid w:val="00BC4C01"/>
    <w:rsid w:val="00BC5EC2"/>
    <w:rsid w:val="00BC6AA7"/>
    <w:rsid w:val="00BD452F"/>
    <w:rsid w:val="00BD56BB"/>
    <w:rsid w:val="00BD6976"/>
    <w:rsid w:val="00BD709A"/>
    <w:rsid w:val="00BE0174"/>
    <w:rsid w:val="00BE04C3"/>
    <w:rsid w:val="00BE3826"/>
    <w:rsid w:val="00BE4185"/>
    <w:rsid w:val="00BE424E"/>
    <w:rsid w:val="00BE42FA"/>
    <w:rsid w:val="00BE54B2"/>
    <w:rsid w:val="00BE7293"/>
    <w:rsid w:val="00BE7A49"/>
    <w:rsid w:val="00BF0207"/>
    <w:rsid w:val="00BF140D"/>
    <w:rsid w:val="00BF187B"/>
    <w:rsid w:val="00BF18D2"/>
    <w:rsid w:val="00BF20A8"/>
    <w:rsid w:val="00BF3BDE"/>
    <w:rsid w:val="00BF440C"/>
    <w:rsid w:val="00BF49C0"/>
    <w:rsid w:val="00BF5D97"/>
    <w:rsid w:val="00BF6531"/>
    <w:rsid w:val="00BF6B8F"/>
    <w:rsid w:val="00BF716A"/>
    <w:rsid w:val="00BF743B"/>
    <w:rsid w:val="00BF7C80"/>
    <w:rsid w:val="00BF7D4C"/>
    <w:rsid w:val="00C00769"/>
    <w:rsid w:val="00C00B4D"/>
    <w:rsid w:val="00C01670"/>
    <w:rsid w:val="00C0178B"/>
    <w:rsid w:val="00C023F9"/>
    <w:rsid w:val="00C02D63"/>
    <w:rsid w:val="00C049B6"/>
    <w:rsid w:val="00C04D71"/>
    <w:rsid w:val="00C10321"/>
    <w:rsid w:val="00C10627"/>
    <w:rsid w:val="00C107BF"/>
    <w:rsid w:val="00C1097C"/>
    <w:rsid w:val="00C112B8"/>
    <w:rsid w:val="00C122B1"/>
    <w:rsid w:val="00C13B9B"/>
    <w:rsid w:val="00C144CF"/>
    <w:rsid w:val="00C1568C"/>
    <w:rsid w:val="00C159D3"/>
    <w:rsid w:val="00C16C9D"/>
    <w:rsid w:val="00C20CB0"/>
    <w:rsid w:val="00C22451"/>
    <w:rsid w:val="00C24D40"/>
    <w:rsid w:val="00C25DE1"/>
    <w:rsid w:val="00C26EA8"/>
    <w:rsid w:val="00C27429"/>
    <w:rsid w:val="00C30D4E"/>
    <w:rsid w:val="00C31422"/>
    <w:rsid w:val="00C3227A"/>
    <w:rsid w:val="00C3286E"/>
    <w:rsid w:val="00C32F30"/>
    <w:rsid w:val="00C33B2C"/>
    <w:rsid w:val="00C33C36"/>
    <w:rsid w:val="00C3514D"/>
    <w:rsid w:val="00C358E1"/>
    <w:rsid w:val="00C37056"/>
    <w:rsid w:val="00C408FF"/>
    <w:rsid w:val="00C41AAF"/>
    <w:rsid w:val="00C42B13"/>
    <w:rsid w:val="00C42E7F"/>
    <w:rsid w:val="00C4424D"/>
    <w:rsid w:val="00C4487A"/>
    <w:rsid w:val="00C50674"/>
    <w:rsid w:val="00C51740"/>
    <w:rsid w:val="00C51E2A"/>
    <w:rsid w:val="00C52C84"/>
    <w:rsid w:val="00C52D49"/>
    <w:rsid w:val="00C5323C"/>
    <w:rsid w:val="00C546DD"/>
    <w:rsid w:val="00C550A9"/>
    <w:rsid w:val="00C55469"/>
    <w:rsid w:val="00C61308"/>
    <w:rsid w:val="00C61A54"/>
    <w:rsid w:val="00C62228"/>
    <w:rsid w:val="00C63586"/>
    <w:rsid w:val="00C63FA3"/>
    <w:rsid w:val="00C700FC"/>
    <w:rsid w:val="00C70A49"/>
    <w:rsid w:val="00C718A7"/>
    <w:rsid w:val="00C71E14"/>
    <w:rsid w:val="00C74D8B"/>
    <w:rsid w:val="00C75A37"/>
    <w:rsid w:val="00C82347"/>
    <w:rsid w:val="00C82E8D"/>
    <w:rsid w:val="00C83776"/>
    <w:rsid w:val="00C83855"/>
    <w:rsid w:val="00C84505"/>
    <w:rsid w:val="00C864FB"/>
    <w:rsid w:val="00C87894"/>
    <w:rsid w:val="00C9275D"/>
    <w:rsid w:val="00C93E8B"/>
    <w:rsid w:val="00C95D4C"/>
    <w:rsid w:val="00C95EE8"/>
    <w:rsid w:val="00CA0044"/>
    <w:rsid w:val="00CA05BE"/>
    <w:rsid w:val="00CA1A65"/>
    <w:rsid w:val="00CA2985"/>
    <w:rsid w:val="00CA31F3"/>
    <w:rsid w:val="00CA35C1"/>
    <w:rsid w:val="00CA36F0"/>
    <w:rsid w:val="00CA41C3"/>
    <w:rsid w:val="00CA49B7"/>
    <w:rsid w:val="00CA4D8B"/>
    <w:rsid w:val="00CB089A"/>
    <w:rsid w:val="00CB1C6F"/>
    <w:rsid w:val="00CB1D6A"/>
    <w:rsid w:val="00CB2DE0"/>
    <w:rsid w:val="00CB3554"/>
    <w:rsid w:val="00CB3A64"/>
    <w:rsid w:val="00CB5AD9"/>
    <w:rsid w:val="00CB602B"/>
    <w:rsid w:val="00CB69C1"/>
    <w:rsid w:val="00CB796A"/>
    <w:rsid w:val="00CC0679"/>
    <w:rsid w:val="00CC2EDD"/>
    <w:rsid w:val="00CC33EA"/>
    <w:rsid w:val="00CC4860"/>
    <w:rsid w:val="00CC641F"/>
    <w:rsid w:val="00CC6A2E"/>
    <w:rsid w:val="00CD0A48"/>
    <w:rsid w:val="00CD1795"/>
    <w:rsid w:val="00CD1CF0"/>
    <w:rsid w:val="00CD2F0D"/>
    <w:rsid w:val="00CD32FC"/>
    <w:rsid w:val="00CD4517"/>
    <w:rsid w:val="00CD4F3A"/>
    <w:rsid w:val="00CD5B13"/>
    <w:rsid w:val="00CD670F"/>
    <w:rsid w:val="00CD7064"/>
    <w:rsid w:val="00CE1009"/>
    <w:rsid w:val="00CE1189"/>
    <w:rsid w:val="00CE1799"/>
    <w:rsid w:val="00CE2164"/>
    <w:rsid w:val="00CE3750"/>
    <w:rsid w:val="00CE3F6F"/>
    <w:rsid w:val="00CE4AEE"/>
    <w:rsid w:val="00CE5F5A"/>
    <w:rsid w:val="00CE62AC"/>
    <w:rsid w:val="00CE6D71"/>
    <w:rsid w:val="00CE7E31"/>
    <w:rsid w:val="00CF1AD6"/>
    <w:rsid w:val="00CF1B76"/>
    <w:rsid w:val="00CF24C2"/>
    <w:rsid w:val="00CF2D52"/>
    <w:rsid w:val="00CF7ABB"/>
    <w:rsid w:val="00CF7BC0"/>
    <w:rsid w:val="00D005BB"/>
    <w:rsid w:val="00D00674"/>
    <w:rsid w:val="00D01574"/>
    <w:rsid w:val="00D0162F"/>
    <w:rsid w:val="00D023DC"/>
    <w:rsid w:val="00D03364"/>
    <w:rsid w:val="00D06802"/>
    <w:rsid w:val="00D07548"/>
    <w:rsid w:val="00D11305"/>
    <w:rsid w:val="00D117A5"/>
    <w:rsid w:val="00D11D08"/>
    <w:rsid w:val="00D126C4"/>
    <w:rsid w:val="00D12712"/>
    <w:rsid w:val="00D128B3"/>
    <w:rsid w:val="00D13038"/>
    <w:rsid w:val="00D13E9F"/>
    <w:rsid w:val="00D14871"/>
    <w:rsid w:val="00D150F7"/>
    <w:rsid w:val="00D1546A"/>
    <w:rsid w:val="00D161C0"/>
    <w:rsid w:val="00D16EDA"/>
    <w:rsid w:val="00D17F44"/>
    <w:rsid w:val="00D210F5"/>
    <w:rsid w:val="00D23553"/>
    <w:rsid w:val="00D241C6"/>
    <w:rsid w:val="00D24747"/>
    <w:rsid w:val="00D24ED9"/>
    <w:rsid w:val="00D25020"/>
    <w:rsid w:val="00D251E6"/>
    <w:rsid w:val="00D25916"/>
    <w:rsid w:val="00D2791D"/>
    <w:rsid w:val="00D32ACF"/>
    <w:rsid w:val="00D348E0"/>
    <w:rsid w:val="00D36784"/>
    <w:rsid w:val="00D44718"/>
    <w:rsid w:val="00D46C91"/>
    <w:rsid w:val="00D50099"/>
    <w:rsid w:val="00D502D0"/>
    <w:rsid w:val="00D50491"/>
    <w:rsid w:val="00D51E45"/>
    <w:rsid w:val="00D52C9F"/>
    <w:rsid w:val="00D53807"/>
    <w:rsid w:val="00D538F8"/>
    <w:rsid w:val="00D55C4C"/>
    <w:rsid w:val="00D56016"/>
    <w:rsid w:val="00D61EDC"/>
    <w:rsid w:val="00D627F3"/>
    <w:rsid w:val="00D63468"/>
    <w:rsid w:val="00D64425"/>
    <w:rsid w:val="00D64D5C"/>
    <w:rsid w:val="00D65431"/>
    <w:rsid w:val="00D65C55"/>
    <w:rsid w:val="00D669C1"/>
    <w:rsid w:val="00D70E5E"/>
    <w:rsid w:val="00D7231C"/>
    <w:rsid w:val="00D73488"/>
    <w:rsid w:val="00D73859"/>
    <w:rsid w:val="00D74310"/>
    <w:rsid w:val="00D7617A"/>
    <w:rsid w:val="00D7660E"/>
    <w:rsid w:val="00D77605"/>
    <w:rsid w:val="00D777E4"/>
    <w:rsid w:val="00D83473"/>
    <w:rsid w:val="00D839F1"/>
    <w:rsid w:val="00D83BED"/>
    <w:rsid w:val="00D853EA"/>
    <w:rsid w:val="00D85FE1"/>
    <w:rsid w:val="00D86970"/>
    <w:rsid w:val="00D87C1A"/>
    <w:rsid w:val="00D90A65"/>
    <w:rsid w:val="00D91145"/>
    <w:rsid w:val="00D918D2"/>
    <w:rsid w:val="00D93162"/>
    <w:rsid w:val="00D949DD"/>
    <w:rsid w:val="00DA04A3"/>
    <w:rsid w:val="00DA2618"/>
    <w:rsid w:val="00DA26E6"/>
    <w:rsid w:val="00DA7ADF"/>
    <w:rsid w:val="00DB06F4"/>
    <w:rsid w:val="00DB0E26"/>
    <w:rsid w:val="00DB2D9B"/>
    <w:rsid w:val="00DB434D"/>
    <w:rsid w:val="00DB5F77"/>
    <w:rsid w:val="00DB6B96"/>
    <w:rsid w:val="00DB7DA3"/>
    <w:rsid w:val="00DC0646"/>
    <w:rsid w:val="00DC0FDF"/>
    <w:rsid w:val="00DC2487"/>
    <w:rsid w:val="00DC27E5"/>
    <w:rsid w:val="00DC464D"/>
    <w:rsid w:val="00DC4DFF"/>
    <w:rsid w:val="00DC5382"/>
    <w:rsid w:val="00DC68A2"/>
    <w:rsid w:val="00DC7C47"/>
    <w:rsid w:val="00DC7FE5"/>
    <w:rsid w:val="00DD0B54"/>
    <w:rsid w:val="00DD13CA"/>
    <w:rsid w:val="00DD1DC3"/>
    <w:rsid w:val="00DD23CB"/>
    <w:rsid w:val="00DE0991"/>
    <w:rsid w:val="00DE3172"/>
    <w:rsid w:val="00DE4111"/>
    <w:rsid w:val="00DE6573"/>
    <w:rsid w:val="00DE6A25"/>
    <w:rsid w:val="00DE6E95"/>
    <w:rsid w:val="00DE7BC1"/>
    <w:rsid w:val="00DF133C"/>
    <w:rsid w:val="00DF2D13"/>
    <w:rsid w:val="00DF3677"/>
    <w:rsid w:val="00DF66E6"/>
    <w:rsid w:val="00DF687A"/>
    <w:rsid w:val="00DF6C02"/>
    <w:rsid w:val="00E01C9F"/>
    <w:rsid w:val="00E03ECB"/>
    <w:rsid w:val="00E05991"/>
    <w:rsid w:val="00E05E41"/>
    <w:rsid w:val="00E05ECA"/>
    <w:rsid w:val="00E063F7"/>
    <w:rsid w:val="00E06731"/>
    <w:rsid w:val="00E0698B"/>
    <w:rsid w:val="00E112CD"/>
    <w:rsid w:val="00E12792"/>
    <w:rsid w:val="00E1359A"/>
    <w:rsid w:val="00E142FD"/>
    <w:rsid w:val="00E1453C"/>
    <w:rsid w:val="00E14E49"/>
    <w:rsid w:val="00E16DB4"/>
    <w:rsid w:val="00E16E65"/>
    <w:rsid w:val="00E1798C"/>
    <w:rsid w:val="00E2227B"/>
    <w:rsid w:val="00E22C57"/>
    <w:rsid w:val="00E235BC"/>
    <w:rsid w:val="00E23889"/>
    <w:rsid w:val="00E25289"/>
    <w:rsid w:val="00E2628E"/>
    <w:rsid w:val="00E26D6B"/>
    <w:rsid w:val="00E26EAA"/>
    <w:rsid w:val="00E2740C"/>
    <w:rsid w:val="00E31FC7"/>
    <w:rsid w:val="00E321CD"/>
    <w:rsid w:val="00E32CCE"/>
    <w:rsid w:val="00E33F3A"/>
    <w:rsid w:val="00E33FB0"/>
    <w:rsid w:val="00E34A22"/>
    <w:rsid w:val="00E36FAE"/>
    <w:rsid w:val="00E37D49"/>
    <w:rsid w:val="00E40A64"/>
    <w:rsid w:val="00E42EBF"/>
    <w:rsid w:val="00E43085"/>
    <w:rsid w:val="00E43EEB"/>
    <w:rsid w:val="00E449A0"/>
    <w:rsid w:val="00E46A62"/>
    <w:rsid w:val="00E47902"/>
    <w:rsid w:val="00E51773"/>
    <w:rsid w:val="00E52300"/>
    <w:rsid w:val="00E529C1"/>
    <w:rsid w:val="00E56159"/>
    <w:rsid w:val="00E566B9"/>
    <w:rsid w:val="00E56BCA"/>
    <w:rsid w:val="00E60FAE"/>
    <w:rsid w:val="00E611FE"/>
    <w:rsid w:val="00E637F4"/>
    <w:rsid w:val="00E63B37"/>
    <w:rsid w:val="00E648BE"/>
    <w:rsid w:val="00E65B3B"/>
    <w:rsid w:val="00E67F14"/>
    <w:rsid w:val="00E71A26"/>
    <w:rsid w:val="00E72E11"/>
    <w:rsid w:val="00E72E5D"/>
    <w:rsid w:val="00E7313D"/>
    <w:rsid w:val="00E731AA"/>
    <w:rsid w:val="00E74158"/>
    <w:rsid w:val="00E7602B"/>
    <w:rsid w:val="00E76B1B"/>
    <w:rsid w:val="00E76FB1"/>
    <w:rsid w:val="00E83FFC"/>
    <w:rsid w:val="00E84688"/>
    <w:rsid w:val="00E84E2A"/>
    <w:rsid w:val="00E85317"/>
    <w:rsid w:val="00E865A8"/>
    <w:rsid w:val="00E90B4C"/>
    <w:rsid w:val="00E915C4"/>
    <w:rsid w:val="00E919D8"/>
    <w:rsid w:val="00E92053"/>
    <w:rsid w:val="00E93D20"/>
    <w:rsid w:val="00E95B14"/>
    <w:rsid w:val="00EA01EA"/>
    <w:rsid w:val="00EA056D"/>
    <w:rsid w:val="00EA19AC"/>
    <w:rsid w:val="00EA29B7"/>
    <w:rsid w:val="00EA3730"/>
    <w:rsid w:val="00EA3CF4"/>
    <w:rsid w:val="00EA3F36"/>
    <w:rsid w:val="00EA668E"/>
    <w:rsid w:val="00EA66F1"/>
    <w:rsid w:val="00EB03CD"/>
    <w:rsid w:val="00EB12CE"/>
    <w:rsid w:val="00EB2E0B"/>
    <w:rsid w:val="00EB3DA7"/>
    <w:rsid w:val="00EB4EBF"/>
    <w:rsid w:val="00EB59A9"/>
    <w:rsid w:val="00EC22F0"/>
    <w:rsid w:val="00EC2FEA"/>
    <w:rsid w:val="00EC3134"/>
    <w:rsid w:val="00EC3483"/>
    <w:rsid w:val="00EC37BF"/>
    <w:rsid w:val="00EC46DE"/>
    <w:rsid w:val="00EC4C25"/>
    <w:rsid w:val="00EC5402"/>
    <w:rsid w:val="00EC5B89"/>
    <w:rsid w:val="00EC5D76"/>
    <w:rsid w:val="00EC61D2"/>
    <w:rsid w:val="00EC6DE0"/>
    <w:rsid w:val="00EC6E0D"/>
    <w:rsid w:val="00ED1D1C"/>
    <w:rsid w:val="00ED28A9"/>
    <w:rsid w:val="00ED50D7"/>
    <w:rsid w:val="00EE2699"/>
    <w:rsid w:val="00EE3020"/>
    <w:rsid w:val="00EE3A2A"/>
    <w:rsid w:val="00EE4578"/>
    <w:rsid w:val="00EE48DC"/>
    <w:rsid w:val="00EE715F"/>
    <w:rsid w:val="00EF1542"/>
    <w:rsid w:val="00EF28C7"/>
    <w:rsid w:val="00EF2A0C"/>
    <w:rsid w:val="00EF47F9"/>
    <w:rsid w:val="00EF5F58"/>
    <w:rsid w:val="00EF72F2"/>
    <w:rsid w:val="00F00CD9"/>
    <w:rsid w:val="00F02F1E"/>
    <w:rsid w:val="00F03142"/>
    <w:rsid w:val="00F0390C"/>
    <w:rsid w:val="00F047F7"/>
    <w:rsid w:val="00F07924"/>
    <w:rsid w:val="00F07E81"/>
    <w:rsid w:val="00F108FC"/>
    <w:rsid w:val="00F11697"/>
    <w:rsid w:val="00F124F4"/>
    <w:rsid w:val="00F139B8"/>
    <w:rsid w:val="00F145E9"/>
    <w:rsid w:val="00F15D6E"/>
    <w:rsid w:val="00F17671"/>
    <w:rsid w:val="00F21BB1"/>
    <w:rsid w:val="00F22940"/>
    <w:rsid w:val="00F2338A"/>
    <w:rsid w:val="00F25B37"/>
    <w:rsid w:val="00F2681A"/>
    <w:rsid w:val="00F26836"/>
    <w:rsid w:val="00F27356"/>
    <w:rsid w:val="00F311D8"/>
    <w:rsid w:val="00F317F8"/>
    <w:rsid w:val="00F31A6A"/>
    <w:rsid w:val="00F31AED"/>
    <w:rsid w:val="00F338A1"/>
    <w:rsid w:val="00F33B47"/>
    <w:rsid w:val="00F33C56"/>
    <w:rsid w:val="00F33C94"/>
    <w:rsid w:val="00F355B5"/>
    <w:rsid w:val="00F37712"/>
    <w:rsid w:val="00F40D84"/>
    <w:rsid w:val="00F42500"/>
    <w:rsid w:val="00F428C1"/>
    <w:rsid w:val="00F42E13"/>
    <w:rsid w:val="00F43F00"/>
    <w:rsid w:val="00F44FE9"/>
    <w:rsid w:val="00F45647"/>
    <w:rsid w:val="00F46005"/>
    <w:rsid w:val="00F4648C"/>
    <w:rsid w:val="00F50380"/>
    <w:rsid w:val="00F55551"/>
    <w:rsid w:val="00F55559"/>
    <w:rsid w:val="00F555BB"/>
    <w:rsid w:val="00F570F8"/>
    <w:rsid w:val="00F60358"/>
    <w:rsid w:val="00F61E61"/>
    <w:rsid w:val="00F67578"/>
    <w:rsid w:val="00F67F1C"/>
    <w:rsid w:val="00F70856"/>
    <w:rsid w:val="00F71218"/>
    <w:rsid w:val="00F7228A"/>
    <w:rsid w:val="00F72BD0"/>
    <w:rsid w:val="00F73EDC"/>
    <w:rsid w:val="00F752AB"/>
    <w:rsid w:val="00F752F6"/>
    <w:rsid w:val="00F76E5D"/>
    <w:rsid w:val="00F77B7B"/>
    <w:rsid w:val="00F83F4B"/>
    <w:rsid w:val="00F84517"/>
    <w:rsid w:val="00F84A51"/>
    <w:rsid w:val="00F866DA"/>
    <w:rsid w:val="00F86C1F"/>
    <w:rsid w:val="00F8768F"/>
    <w:rsid w:val="00F87B71"/>
    <w:rsid w:val="00F907E1"/>
    <w:rsid w:val="00F91810"/>
    <w:rsid w:val="00F921E4"/>
    <w:rsid w:val="00F924FE"/>
    <w:rsid w:val="00F93DBB"/>
    <w:rsid w:val="00F9559A"/>
    <w:rsid w:val="00F97388"/>
    <w:rsid w:val="00FA1653"/>
    <w:rsid w:val="00FA20C4"/>
    <w:rsid w:val="00FA2C2E"/>
    <w:rsid w:val="00FA3502"/>
    <w:rsid w:val="00FA62A2"/>
    <w:rsid w:val="00FA672F"/>
    <w:rsid w:val="00FB018B"/>
    <w:rsid w:val="00FB0B5A"/>
    <w:rsid w:val="00FB245E"/>
    <w:rsid w:val="00FB3F4A"/>
    <w:rsid w:val="00FB4491"/>
    <w:rsid w:val="00FB4A94"/>
    <w:rsid w:val="00FB56CF"/>
    <w:rsid w:val="00FB5DD2"/>
    <w:rsid w:val="00FB5FA9"/>
    <w:rsid w:val="00FB66A1"/>
    <w:rsid w:val="00FB6E1C"/>
    <w:rsid w:val="00FB75F9"/>
    <w:rsid w:val="00FB7631"/>
    <w:rsid w:val="00FC0BA0"/>
    <w:rsid w:val="00FC0BB1"/>
    <w:rsid w:val="00FC2462"/>
    <w:rsid w:val="00FC36E9"/>
    <w:rsid w:val="00FC3AF7"/>
    <w:rsid w:val="00FC4C15"/>
    <w:rsid w:val="00FC5518"/>
    <w:rsid w:val="00FC5BBB"/>
    <w:rsid w:val="00FC5DEA"/>
    <w:rsid w:val="00FC7025"/>
    <w:rsid w:val="00FC7B8D"/>
    <w:rsid w:val="00FD0D44"/>
    <w:rsid w:val="00FD2329"/>
    <w:rsid w:val="00FD2E04"/>
    <w:rsid w:val="00FD3092"/>
    <w:rsid w:val="00FD358F"/>
    <w:rsid w:val="00FD3D9E"/>
    <w:rsid w:val="00FD7517"/>
    <w:rsid w:val="00FD79F3"/>
    <w:rsid w:val="00FE18A3"/>
    <w:rsid w:val="00FE3271"/>
    <w:rsid w:val="00FE470E"/>
    <w:rsid w:val="00FE50C4"/>
    <w:rsid w:val="00FE5CCB"/>
    <w:rsid w:val="00FE6B97"/>
    <w:rsid w:val="00FE764D"/>
    <w:rsid w:val="00FE7A7B"/>
    <w:rsid w:val="00FE7BE3"/>
    <w:rsid w:val="00FF0C52"/>
    <w:rsid w:val="00FF3803"/>
    <w:rsid w:val="00FF383D"/>
    <w:rsid w:val="00FF4844"/>
    <w:rsid w:val="00FF4D3E"/>
    <w:rsid w:val="00FF4FBF"/>
    <w:rsid w:val="00FF6043"/>
    <w:rsid w:val="00FF6CEE"/>
    <w:rsid w:val="244045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65"/>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CA1A65"/>
    <w:pPr>
      <w:keepNext/>
      <w:spacing w:before="140" w:line="240" w:lineRule="atLeast"/>
      <w:jc w:val="center"/>
      <w:outlineLvl w:val="0"/>
    </w:pPr>
    <w:rPr>
      <w:b/>
      <w:smallCaps/>
    </w:rPr>
  </w:style>
  <w:style w:type="paragraph" w:styleId="Heading2">
    <w:name w:val="heading 2"/>
    <w:basedOn w:val="Normal"/>
    <w:next w:val="Normal"/>
    <w:link w:val="Heading2Char"/>
    <w:qFormat/>
    <w:rsid w:val="00CA1A6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A1A65"/>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CA1A65"/>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CA1A65"/>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0C5371"/>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C5371"/>
    <w:pPr>
      <w:spacing w:before="240" w:after="60"/>
      <w:outlineLvl w:val="6"/>
    </w:pPr>
  </w:style>
  <w:style w:type="paragraph" w:styleId="Heading8">
    <w:name w:val="heading 8"/>
    <w:basedOn w:val="Normal"/>
    <w:next w:val="Normal"/>
    <w:link w:val="Heading8Char"/>
    <w:uiPriority w:val="9"/>
    <w:semiHidden/>
    <w:unhideWhenUsed/>
    <w:qFormat/>
    <w:rsid w:val="000C5371"/>
    <w:pPr>
      <w:spacing w:before="240" w:after="60"/>
      <w:outlineLvl w:val="7"/>
    </w:pPr>
    <w:rPr>
      <w:i/>
      <w:iCs/>
    </w:rPr>
  </w:style>
  <w:style w:type="paragraph" w:styleId="Heading9">
    <w:name w:val="heading 9"/>
    <w:basedOn w:val="Normal"/>
    <w:next w:val="Normal"/>
    <w:link w:val="Heading9Char"/>
    <w:uiPriority w:val="9"/>
    <w:semiHidden/>
    <w:unhideWhenUsed/>
    <w:qFormat/>
    <w:rsid w:val="000C5371"/>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71"/>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0C5371"/>
    <w:rPr>
      <w:rFonts w:ascii="Century Schoolbook" w:eastAsia="Times New Roman" w:hAnsi="Century Schoolbook"/>
      <w:b/>
      <w:sz w:val="27"/>
      <w:szCs w:val="20"/>
    </w:rPr>
  </w:style>
  <w:style w:type="character" w:customStyle="1" w:styleId="Heading3Char">
    <w:name w:val="Heading 3 Char"/>
    <w:basedOn w:val="DefaultParagraphFont"/>
    <w:link w:val="Heading3"/>
    <w:rsid w:val="000C5371"/>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0C5371"/>
    <w:rPr>
      <w:b/>
      <w:bCs/>
    </w:rPr>
  </w:style>
  <w:style w:type="character" w:customStyle="1" w:styleId="Heading7Char">
    <w:name w:val="Heading 7 Char"/>
    <w:basedOn w:val="DefaultParagraphFont"/>
    <w:link w:val="Heading7"/>
    <w:uiPriority w:val="9"/>
    <w:semiHidden/>
    <w:rsid w:val="000C5371"/>
    <w:rPr>
      <w:sz w:val="24"/>
      <w:szCs w:val="24"/>
    </w:rPr>
  </w:style>
  <w:style w:type="character" w:customStyle="1" w:styleId="Heading8Char">
    <w:name w:val="Heading 8 Char"/>
    <w:basedOn w:val="DefaultParagraphFont"/>
    <w:link w:val="Heading8"/>
    <w:uiPriority w:val="9"/>
    <w:semiHidden/>
    <w:rsid w:val="000C5371"/>
    <w:rPr>
      <w:i/>
      <w:iCs/>
      <w:sz w:val="24"/>
      <w:szCs w:val="24"/>
    </w:rPr>
  </w:style>
  <w:style w:type="character" w:customStyle="1" w:styleId="Heading9Char">
    <w:name w:val="Heading 9 Char"/>
    <w:basedOn w:val="DefaultParagraphFont"/>
    <w:link w:val="Heading9"/>
    <w:uiPriority w:val="9"/>
    <w:semiHidden/>
    <w:rsid w:val="000C5371"/>
    <w:rPr>
      <w:rFonts w:asciiTheme="majorHAnsi" w:eastAsiaTheme="majorEastAsia" w:hAnsiTheme="majorHAnsi"/>
    </w:rPr>
  </w:style>
  <w:style w:type="paragraph" w:styleId="Title">
    <w:name w:val="Title"/>
    <w:basedOn w:val="Normal"/>
    <w:next w:val="Normal"/>
    <w:link w:val="TitleChar"/>
    <w:uiPriority w:val="10"/>
    <w:qFormat/>
    <w:rsid w:val="000C53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53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53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537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C5371"/>
    <w:pPr>
      <w:outlineLvl w:val="9"/>
    </w:pPr>
  </w:style>
  <w:style w:type="character" w:customStyle="1" w:styleId="ssit">
    <w:name w:val="ss_it"/>
    <w:basedOn w:val="DefaultParagraphFont"/>
    <w:rsid w:val="00606E6A"/>
  </w:style>
  <w:style w:type="character" w:customStyle="1" w:styleId="ssrfcpassagedeactivated">
    <w:name w:val="ss_rfcpassage_deactivated"/>
    <w:basedOn w:val="DefaultParagraphFont"/>
    <w:rsid w:val="00606E6A"/>
  </w:style>
  <w:style w:type="character" w:customStyle="1" w:styleId="ssrfcsection">
    <w:name w:val="ss_rfcsection"/>
    <w:basedOn w:val="DefaultParagraphFont"/>
    <w:rsid w:val="00606E6A"/>
  </w:style>
  <w:style w:type="character" w:customStyle="1" w:styleId="sssh">
    <w:name w:val="ss_sh"/>
    <w:basedOn w:val="DefaultParagraphFont"/>
    <w:rsid w:val="00D161C0"/>
  </w:style>
  <w:style w:type="character" w:customStyle="1" w:styleId="ssheadnotelink">
    <w:name w:val="ss_headnotelink"/>
    <w:basedOn w:val="DefaultParagraphFont"/>
    <w:rsid w:val="00D161C0"/>
  </w:style>
  <w:style w:type="character" w:customStyle="1" w:styleId="ssbf">
    <w:name w:val="ss_bf"/>
    <w:basedOn w:val="DefaultParagraphFont"/>
    <w:rsid w:val="00D161C0"/>
  </w:style>
  <w:style w:type="character" w:customStyle="1" w:styleId="ssparalabel">
    <w:name w:val="ss_paralabel"/>
    <w:basedOn w:val="DefaultParagraphFont"/>
    <w:rsid w:val="00490979"/>
  </w:style>
  <w:style w:type="character" w:customStyle="1" w:styleId="ssparacontent">
    <w:name w:val="ss_paracontent"/>
    <w:basedOn w:val="DefaultParagraphFont"/>
    <w:rsid w:val="00490979"/>
  </w:style>
  <w:style w:type="paragraph" w:styleId="NormalWeb">
    <w:name w:val="Normal (Web)"/>
    <w:basedOn w:val="Normal"/>
    <w:uiPriority w:val="99"/>
    <w:unhideWhenUsed/>
    <w:rsid w:val="00516717"/>
    <w:pPr>
      <w:spacing w:before="100" w:beforeAutospacing="1" w:afterAutospacing="1"/>
    </w:pPr>
  </w:style>
  <w:style w:type="paragraph" w:styleId="FootnoteText">
    <w:name w:val="footnote text"/>
    <w:basedOn w:val="Normal"/>
    <w:link w:val="FootnoteTextChar"/>
    <w:rsid w:val="00CA1A65"/>
    <w:pPr>
      <w:spacing w:line="300" w:lineRule="exact"/>
    </w:pPr>
  </w:style>
  <w:style w:type="character" w:customStyle="1" w:styleId="FootnoteTextChar">
    <w:name w:val="Footnote Text Char"/>
    <w:basedOn w:val="DefaultParagraphFont"/>
    <w:link w:val="FootnoteText"/>
    <w:rsid w:val="00C3514D"/>
    <w:rPr>
      <w:rFonts w:ascii="Century Schoolbook" w:eastAsia="Times New Roman" w:hAnsi="Century Schoolbook"/>
      <w:sz w:val="27"/>
      <w:szCs w:val="20"/>
    </w:rPr>
  </w:style>
  <w:style w:type="character" w:styleId="FootnoteReference">
    <w:name w:val="footnote reference"/>
    <w:basedOn w:val="DefaultParagraphFont"/>
    <w:rsid w:val="00CA1A65"/>
    <w:rPr>
      <w:rFonts w:ascii="Century Schoolbook" w:hAnsi="Century Schoolbook"/>
      <w:b/>
      <w:i w:val="0"/>
      <w:position w:val="4"/>
      <w:sz w:val="27"/>
      <w:vertAlign w:val="superscript"/>
    </w:rPr>
  </w:style>
  <w:style w:type="character" w:customStyle="1" w:styleId="ssun">
    <w:name w:val="ss_un"/>
    <w:basedOn w:val="DefaultParagraphFont"/>
    <w:rsid w:val="00F67F1C"/>
  </w:style>
  <w:style w:type="paragraph" w:customStyle="1" w:styleId="Default">
    <w:name w:val="Default"/>
    <w:rsid w:val="004732F9"/>
    <w:pPr>
      <w:autoSpaceDE w:val="0"/>
      <w:autoSpaceDN w:val="0"/>
      <w:adjustRightInd w:val="0"/>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9C76F9"/>
    <w:rPr>
      <w:color w:val="0000FF"/>
      <w:u w:val="single"/>
    </w:rPr>
  </w:style>
  <w:style w:type="paragraph" w:customStyle="1" w:styleId="Text">
    <w:name w:val="Text"/>
    <w:basedOn w:val="Normal"/>
    <w:rsid w:val="00CA1A65"/>
    <w:pPr>
      <w:tabs>
        <w:tab w:val="left" w:pos="720"/>
        <w:tab w:val="left" w:pos="1440"/>
        <w:tab w:val="left" w:pos="2160"/>
        <w:tab w:val="center" w:pos="4320"/>
      </w:tabs>
      <w:spacing w:line="480" w:lineRule="atLeast"/>
      <w:ind w:firstLine="540"/>
    </w:pPr>
  </w:style>
  <w:style w:type="paragraph" w:styleId="ListParagraph">
    <w:name w:val="List Paragraph"/>
    <w:basedOn w:val="Normal"/>
    <w:uiPriority w:val="34"/>
    <w:rsid w:val="00A757EB"/>
    <w:pPr>
      <w:ind w:left="720"/>
      <w:contextualSpacing/>
    </w:pPr>
  </w:style>
  <w:style w:type="character" w:customStyle="1" w:styleId="title-text">
    <w:name w:val="title-text"/>
    <w:basedOn w:val="DefaultParagraphFont"/>
    <w:rsid w:val="00885EA2"/>
  </w:style>
  <w:style w:type="character" w:customStyle="1" w:styleId="active-reporter">
    <w:name w:val="active-reporter"/>
    <w:basedOn w:val="DefaultParagraphFont"/>
    <w:rsid w:val="00885EA2"/>
  </w:style>
  <w:style w:type="character" w:customStyle="1" w:styleId="UnresolvedMention1">
    <w:name w:val="Unresolved Mention1"/>
    <w:basedOn w:val="DefaultParagraphFont"/>
    <w:uiPriority w:val="99"/>
    <w:semiHidden/>
    <w:unhideWhenUsed/>
    <w:rsid w:val="0003476C"/>
    <w:rPr>
      <w:color w:val="605E5C"/>
      <w:shd w:val="clear" w:color="auto" w:fill="E1DFDD"/>
    </w:rPr>
  </w:style>
  <w:style w:type="character" w:styleId="FollowedHyperlink">
    <w:name w:val="FollowedHyperlink"/>
    <w:basedOn w:val="DefaultParagraphFont"/>
    <w:uiPriority w:val="99"/>
    <w:semiHidden/>
    <w:unhideWhenUsed/>
    <w:rsid w:val="00DF133C"/>
    <w:rPr>
      <w:color w:val="800080" w:themeColor="followedHyperlink"/>
      <w:u w:val="single"/>
    </w:rPr>
  </w:style>
  <w:style w:type="paragraph" w:styleId="HTMLPreformatted">
    <w:name w:val="HTML Preformatted"/>
    <w:basedOn w:val="Normal"/>
    <w:link w:val="HTMLPreformattedChar"/>
    <w:uiPriority w:val="99"/>
    <w:semiHidden/>
    <w:unhideWhenUsed/>
    <w:rsid w:val="000A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A0416"/>
    <w:rPr>
      <w:rFonts w:ascii="Courier New" w:eastAsia="Times New Roman" w:hAnsi="Courier New" w:cs="Courier New"/>
      <w:sz w:val="20"/>
      <w:szCs w:val="20"/>
    </w:rPr>
  </w:style>
  <w:style w:type="paragraph" w:customStyle="1" w:styleId="rteindent1">
    <w:name w:val="rteindent1"/>
    <w:basedOn w:val="Normal"/>
    <w:rsid w:val="005432DE"/>
    <w:pPr>
      <w:spacing w:before="100" w:beforeAutospacing="1" w:afterAutospacing="1"/>
    </w:pPr>
  </w:style>
  <w:style w:type="character" w:styleId="Emphasis">
    <w:name w:val="Emphasis"/>
    <w:basedOn w:val="DefaultParagraphFont"/>
    <w:uiPriority w:val="20"/>
    <w:qFormat/>
    <w:rsid w:val="005432DE"/>
    <w:rPr>
      <w:i/>
      <w:iCs/>
    </w:rPr>
  </w:style>
  <w:style w:type="paragraph" w:styleId="Header">
    <w:name w:val="header"/>
    <w:basedOn w:val="Normal"/>
    <w:link w:val="HeaderChar"/>
    <w:qFormat/>
    <w:rsid w:val="00CA1A65"/>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A637F4"/>
    <w:rPr>
      <w:rFonts w:ascii="Century Schoolbook" w:eastAsia="Times New Roman" w:hAnsi="Century Schoolbook"/>
      <w:sz w:val="22"/>
      <w:szCs w:val="20"/>
    </w:rPr>
  </w:style>
  <w:style w:type="paragraph" w:styleId="Footer">
    <w:name w:val="footer"/>
    <w:basedOn w:val="Normal"/>
    <w:link w:val="FooterChar"/>
    <w:qFormat/>
    <w:rsid w:val="00CA1A65"/>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A637F4"/>
    <w:rPr>
      <w:rFonts w:ascii="Century Schoolbook" w:eastAsia="Times New Roman" w:hAnsi="Century Schoolbook"/>
      <w:sz w:val="22"/>
      <w:szCs w:val="20"/>
    </w:rPr>
  </w:style>
  <w:style w:type="character" w:styleId="CommentReference">
    <w:name w:val="annotation reference"/>
    <w:basedOn w:val="DefaultParagraphFont"/>
    <w:uiPriority w:val="99"/>
    <w:semiHidden/>
    <w:unhideWhenUsed/>
    <w:rsid w:val="003D35B1"/>
    <w:rPr>
      <w:sz w:val="16"/>
      <w:szCs w:val="16"/>
    </w:rPr>
  </w:style>
  <w:style w:type="paragraph" w:styleId="CommentText">
    <w:name w:val="annotation text"/>
    <w:basedOn w:val="Normal"/>
    <w:link w:val="CommentTextChar"/>
    <w:uiPriority w:val="99"/>
    <w:unhideWhenUsed/>
    <w:rsid w:val="003D35B1"/>
    <w:rPr>
      <w:sz w:val="20"/>
    </w:rPr>
  </w:style>
  <w:style w:type="character" w:customStyle="1" w:styleId="CommentTextChar">
    <w:name w:val="Comment Text Char"/>
    <w:basedOn w:val="DefaultParagraphFont"/>
    <w:link w:val="CommentText"/>
    <w:uiPriority w:val="99"/>
    <w:rsid w:val="003D35B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35B1"/>
    <w:rPr>
      <w:b/>
      <w:bCs/>
    </w:rPr>
  </w:style>
  <w:style w:type="character" w:customStyle="1" w:styleId="CommentSubjectChar">
    <w:name w:val="Comment Subject Char"/>
    <w:basedOn w:val="CommentTextChar"/>
    <w:link w:val="CommentSubject"/>
    <w:uiPriority w:val="99"/>
    <w:semiHidden/>
    <w:rsid w:val="003D35B1"/>
    <w:rPr>
      <w:rFonts w:ascii="Times New Roman" w:eastAsia="Times New Roman" w:hAnsi="Times New Roman"/>
      <w:b/>
      <w:bCs/>
      <w:sz w:val="20"/>
      <w:szCs w:val="20"/>
    </w:rPr>
  </w:style>
  <w:style w:type="paragraph" w:styleId="Revision">
    <w:name w:val="Revision"/>
    <w:hidden/>
    <w:uiPriority w:val="99"/>
    <w:semiHidden/>
    <w:rsid w:val="00CE1009"/>
    <w:rPr>
      <w:rFonts w:ascii="Times New Roman" w:eastAsia="Times New Roman" w:hAnsi="Times New Roman"/>
      <w:sz w:val="24"/>
      <w:szCs w:val="24"/>
    </w:rPr>
  </w:style>
  <w:style w:type="character" w:customStyle="1" w:styleId="Heading4Char">
    <w:name w:val="Heading 4 Char"/>
    <w:basedOn w:val="DefaultParagraphFont"/>
    <w:link w:val="Heading4"/>
    <w:rsid w:val="00CA1A65"/>
    <w:rPr>
      <w:rFonts w:ascii="Century Schoolbook" w:eastAsia="Times New Roman" w:hAnsi="Century Schoolbook"/>
      <w:i/>
      <w:sz w:val="27"/>
      <w:szCs w:val="20"/>
    </w:rPr>
  </w:style>
  <w:style w:type="character" w:customStyle="1" w:styleId="Heading5Char">
    <w:name w:val="Heading 5 Char"/>
    <w:basedOn w:val="DefaultParagraphFont"/>
    <w:link w:val="Heading5"/>
    <w:rsid w:val="00CA1A65"/>
    <w:rPr>
      <w:rFonts w:ascii="Century Schoolbook" w:eastAsia="Times New Roman" w:hAnsi="Century Schoolbook"/>
      <w:i/>
      <w:sz w:val="27"/>
      <w:szCs w:val="20"/>
    </w:rPr>
  </w:style>
  <w:style w:type="paragraph" w:styleId="Date">
    <w:name w:val="Date"/>
    <w:basedOn w:val="Normal"/>
    <w:link w:val="DateChar"/>
    <w:semiHidden/>
    <w:rsid w:val="00CA1A65"/>
    <w:pPr>
      <w:jc w:val="right"/>
    </w:pPr>
  </w:style>
  <w:style w:type="character" w:customStyle="1" w:styleId="DateChar">
    <w:name w:val="Date Char"/>
    <w:basedOn w:val="DefaultParagraphFont"/>
    <w:link w:val="Date"/>
    <w:semiHidden/>
    <w:rsid w:val="00CA1A65"/>
    <w:rPr>
      <w:rFonts w:ascii="Century Schoolbook" w:eastAsia="Times New Roman" w:hAnsi="Century Schoolbook"/>
      <w:sz w:val="27"/>
      <w:szCs w:val="20"/>
    </w:rPr>
  </w:style>
  <w:style w:type="paragraph" w:styleId="NormalIndent">
    <w:name w:val="Normal Indent"/>
    <w:basedOn w:val="Normal"/>
    <w:semiHidden/>
    <w:rsid w:val="00CA1A65"/>
    <w:pPr>
      <w:ind w:left="720"/>
    </w:pPr>
  </w:style>
  <w:style w:type="character" w:styleId="PageNumber">
    <w:name w:val="page number"/>
    <w:basedOn w:val="DefaultParagraphFont"/>
    <w:semiHidden/>
    <w:rsid w:val="00CA1A65"/>
  </w:style>
  <w:style w:type="paragraph" w:customStyle="1" w:styleId="Recommend">
    <w:name w:val="Recommend"/>
    <w:basedOn w:val="Normal"/>
    <w:rsid w:val="00CA1A65"/>
  </w:style>
  <w:style w:type="paragraph" w:customStyle="1" w:styleId="subject">
    <w:name w:val="subject"/>
    <w:basedOn w:val="Normal"/>
    <w:rsid w:val="00CA1A65"/>
    <w:pPr>
      <w:tabs>
        <w:tab w:val="left" w:pos="1008"/>
      </w:tabs>
      <w:ind w:left="990" w:hanging="990"/>
    </w:pPr>
    <w:rPr>
      <w:b/>
    </w:rPr>
  </w:style>
  <w:style w:type="paragraph" w:customStyle="1" w:styleId="Summary">
    <w:name w:val="Summary"/>
    <w:basedOn w:val="Normal"/>
    <w:rsid w:val="00CA1A65"/>
    <w:pPr>
      <w:ind w:left="2160" w:hanging="2160"/>
    </w:pPr>
  </w:style>
  <w:style w:type="paragraph" w:customStyle="1" w:styleId="Title1">
    <w:name w:val="Title1"/>
    <w:basedOn w:val="Normal"/>
    <w:rsid w:val="00CA1A65"/>
    <w:pPr>
      <w:tabs>
        <w:tab w:val="left" w:pos="5760"/>
        <w:tab w:val="left" w:pos="6480"/>
      </w:tabs>
      <w:spacing w:line="240" w:lineRule="atLeast"/>
    </w:pPr>
  </w:style>
  <w:style w:type="paragraph" w:customStyle="1" w:styleId="Titles">
    <w:name w:val="Titles"/>
    <w:basedOn w:val="Normal"/>
    <w:rsid w:val="00CA1A65"/>
    <w:pPr>
      <w:tabs>
        <w:tab w:val="left" w:pos="2160"/>
      </w:tabs>
      <w:ind w:left="2160" w:hanging="2160"/>
    </w:pPr>
    <w:rPr>
      <w:b/>
    </w:rPr>
  </w:style>
  <w:style w:type="paragraph" w:styleId="TOAHeading">
    <w:name w:val="toa heading"/>
    <w:basedOn w:val="Normal"/>
    <w:next w:val="Normal"/>
    <w:semiHidden/>
    <w:rsid w:val="00CA1A65"/>
    <w:pPr>
      <w:spacing w:before="120"/>
    </w:pPr>
    <w:rPr>
      <w:b/>
    </w:rPr>
  </w:style>
  <w:style w:type="paragraph" w:styleId="TOC1">
    <w:name w:val="toc 1"/>
    <w:basedOn w:val="Normal"/>
    <w:next w:val="Normal"/>
    <w:autoRedefine/>
    <w:semiHidden/>
    <w:rsid w:val="00CA1A65"/>
  </w:style>
  <w:style w:type="paragraph" w:styleId="TOC2">
    <w:name w:val="toc 2"/>
    <w:basedOn w:val="Normal"/>
    <w:next w:val="Normal"/>
    <w:autoRedefine/>
    <w:semiHidden/>
    <w:rsid w:val="00CA1A65"/>
    <w:pPr>
      <w:ind w:left="259"/>
    </w:pPr>
  </w:style>
  <w:style w:type="paragraph" w:styleId="TOC3">
    <w:name w:val="toc 3"/>
    <w:basedOn w:val="Normal"/>
    <w:next w:val="Normal"/>
    <w:autoRedefine/>
    <w:semiHidden/>
    <w:rsid w:val="00CA1A65"/>
    <w:pPr>
      <w:ind w:left="520"/>
    </w:pPr>
  </w:style>
  <w:style w:type="paragraph" w:styleId="TOC4">
    <w:name w:val="toc 4"/>
    <w:basedOn w:val="Normal"/>
    <w:next w:val="Normal"/>
    <w:autoRedefine/>
    <w:semiHidden/>
    <w:rsid w:val="00CA1A65"/>
    <w:pPr>
      <w:ind w:left="780"/>
    </w:pPr>
  </w:style>
  <w:style w:type="paragraph" w:styleId="TOC5">
    <w:name w:val="toc 5"/>
    <w:basedOn w:val="Normal"/>
    <w:next w:val="Normal"/>
    <w:autoRedefine/>
    <w:semiHidden/>
    <w:rsid w:val="00CA1A65"/>
    <w:pPr>
      <w:ind w:left="1040"/>
    </w:pPr>
  </w:style>
  <w:style w:type="paragraph" w:styleId="TOC6">
    <w:name w:val="toc 6"/>
    <w:basedOn w:val="Normal"/>
    <w:next w:val="Normal"/>
    <w:autoRedefine/>
    <w:semiHidden/>
    <w:rsid w:val="00CA1A65"/>
    <w:pPr>
      <w:ind w:left="1300"/>
    </w:pPr>
  </w:style>
  <w:style w:type="paragraph" w:styleId="TOC7">
    <w:name w:val="toc 7"/>
    <w:basedOn w:val="Normal"/>
    <w:next w:val="Normal"/>
    <w:autoRedefine/>
    <w:semiHidden/>
    <w:rsid w:val="00CA1A65"/>
    <w:pPr>
      <w:ind w:left="1560"/>
    </w:pPr>
  </w:style>
  <w:style w:type="paragraph" w:styleId="TOC8">
    <w:name w:val="toc 8"/>
    <w:basedOn w:val="Normal"/>
    <w:next w:val="Normal"/>
    <w:autoRedefine/>
    <w:semiHidden/>
    <w:rsid w:val="00CA1A65"/>
    <w:pPr>
      <w:ind w:left="1820"/>
    </w:pPr>
  </w:style>
  <w:style w:type="paragraph" w:styleId="TOC9">
    <w:name w:val="toc 9"/>
    <w:basedOn w:val="Normal"/>
    <w:next w:val="Normal"/>
    <w:autoRedefine/>
    <w:semiHidden/>
    <w:rsid w:val="00CA1A65"/>
    <w:pPr>
      <w:ind w:left="2080"/>
    </w:pPr>
  </w:style>
  <w:style w:type="paragraph" w:customStyle="1" w:styleId="Contents">
    <w:name w:val="Contents"/>
    <w:basedOn w:val="Normal"/>
    <w:rsid w:val="00CA1A65"/>
    <w:pPr>
      <w:jc w:val="center"/>
    </w:pPr>
    <w:rPr>
      <w:b/>
      <w:spacing w:val="100"/>
    </w:rPr>
  </w:style>
  <w:style w:type="paragraph" w:styleId="BodyText">
    <w:name w:val="Body Text"/>
    <w:basedOn w:val="Normal"/>
    <w:link w:val="BodyTextChar"/>
    <w:qFormat/>
    <w:rsid w:val="00CA1A65"/>
  </w:style>
  <w:style w:type="character" w:customStyle="1" w:styleId="BodyTextChar">
    <w:name w:val="Body Text Char"/>
    <w:basedOn w:val="DefaultParagraphFont"/>
    <w:link w:val="BodyText"/>
    <w:rsid w:val="00CA1A65"/>
    <w:rPr>
      <w:rFonts w:ascii="Century Schoolbook" w:eastAsia="Times New Roman"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B67D-BB92-4851-96A6-4B567A2E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7911</Words>
  <Characters>45094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2024-05-30T15:12:20Z</dcterms:created>
  <dcterms:modified xsi:type="dcterms:W3CDTF">2024-05-30T15:12:20Z</dcterms:modified>
</cp:coreProperties>
</file>