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143F08" w:rsidP="00143F08" w14:paraId="43638E7B" w14:textId="77777777">
      <w:pPr>
        <w:tabs>
          <w:tab w:val="left" w:pos="1440"/>
        </w:tabs>
        <w:spacing w:after="0"/>
        <w:jc w:val="center"/>
        <w:rPr>
          <w:caps/>
          <w:sz w:val="36"/>
        </w:rPr>
      </w:pPr>
      <w:bookmarkStart w:id="0" w:name="_Hlk161846959"/>
      <w:r>
        <w:rPr>
          <w:b/>
          <w:caps/>
          <w:sz w:val="36"/>
        </w:rPr>
        <w:t>IN THE SUPREME COURT OF CALIFORNIA</w:t>
      </w:r>
    </w:p>
    <w:p w:rsidR="00143F08" w:rsidP="00143F08" w14:paraId="43638E7C" w14:textId="77777777">
      <w:pPr>
        <w:tabs>
          <w:tab w:val="left" w:pos="1440"/>
        </w:tabs>
        <w:spacing w:after="0"/>
        <w:jc w:val="center"/>
        <w:rPr>
          <w:caps/>
        </w:rPr>
      </w:pPr>
    </w:p>
    <w:p w:rsidR="00143F08" w:rsidP="00143F08" w14:paraId="43638E7D" w14:textId="77777777">
      <w:pPr>
        <w:tabs>
          <w:tab w:val="left" w:pos="1440"/>
        </w:tabs>
        <w:spacing w:after="0"/>
        <w:jc w:val="center"/>
        <w:rPr>
          <w:caps/>
        </w:rPr>
      </w:pPr>
      <w:r>
        <w:rPr>
          <w:caps/>
        </w:rPr>
        <w:t>GOLDEN STATE WATER COMPANY,</w:t>
      </w:r>
    </w:p>
    <w:p w:rsidR="00143F08" w:rsidP="00143F08" w14:paraId="43638E7E" w14:textId="77777777">
      <w:pPr>
        <w:tabs>
          <w:tab w:val="left" w:pos="1440"/>
        </w:tabs>
        <w:spacing w:after="0"/>
        <w:jc w:val="center"/>
      </w:pPr>
      <w:r>
        <w:t>Petitioner,</w:t>
      </w:r>
    </w:p>
    <w:p w:rsidR="00143F08" w:rsidRPr="00143F08" w:rsidP="00143F08" w14:paraId="43638E7F" w14:textId="77777777">
      <w:pPr>
        <w:tabs>
          <w:tab w:val="left" w:pos="1440"/>
        </w:tabs>
        <w:spacing w:after="0"/>
        <w:jc w:val="center"/>
      </w:pPr>
      <w:r>
        <w:t>v.</w:t>
      </w:r>
    </w:p>
    <w:p w:rsidR="00143F08" w:rsidP="00143F08" w14:paraId="43638E80" w14:textId="77777777">
      <w:pPr>
        <w:tabs>
          <w:tab w:val="left" w:pos="1440"/>
        </w:tabs>
        <w:spacing w:after="0"/>
        <w:jc w:val="center"/>
        <w:rPr>
          <w:caps/>
        </w:rPr>
      </w:pPr>
      <w:r>
        <w:rPr>
          <w:caps/>
        </w:rPr>
        <w:t>PUBLIC UTILITIES COM</w:t>
      </w:r>
      <w:r w:rsidR="00BE581A">
        <w:rPr>
          <w:caps/>
        </w:rPr>
        <w:t>M</w:t>
      </w:r>
      <w:r>
        <w:rPr>
          <w:caps/>
        </w:rPr>
        <w:t>ISSION,</w:t>
      </w:r>
    </w:p>
    <w:p w:rsidR="00143F08" w:rsidRPr="00143F08" w:rsidP="00143F08" w14:paraId="43638E81" w14:textId="77777777">
      <w:pPr>
        <w:tabs>
          <w:tab w:val="left" w:pos="1440"/>
        </w:tabs>
        <w:spacing w:after="0"/>
        <w:jc w:val="center"/>
      </w:pPr>
      <w:r>
        <w:t>Respondent.</w:t>
      </w:r>
    </w:p>
    <w:p w:rsidR="00143F08" w:rsidP="00143F08" w14:paraId="43638E82" w14:textId="77777777">
      <w:pPr>
        <w:tabs>
          <w:tab w:val="left" w:pos="1440"/>
        </w:tabs>
        <w:spacing w:after="0"/>
        <w:jc w:val="center"/>
        <w:rPr>
          <w:caps/>
        </w:rPr>
      </w:pPr>
    </w:p>
    <w:p w:rsidR="00143F08" w:rsidP="00143F08" w14:paraId="43638E83" w14:textId="77777777">
      <w:pPr>
        <w:tabs>
          <w:tab w:val="left" w:pos="1440"/>
        </w:tabs>
        <w:spacing w:after="0"/>
        <w:jc w:val="center"/>
        <w:rPr>
          <w:caps/>
        </w:rPr>
      </w:pPr>
      <w:r>
        <w:rPr>
          <w:caps/>
        </w:rPr>
        <w:t>S269099</w:t>
      </w:r>
    </w:p>
    <w:p w:rsidR="00143F08" w:rsidP="00143F08" w14:paraId="43638E84" w14:textId="77777777">
      <w:pPr>
        <w:tabs>
          <w:tab w:val="left" w:pos="1440"/>
        </w:tabs>
        <w:spacing w:after="0"/>
        <w:jc w:val="center"/>
      </w:pPr>
    </w:p>
    <w:p w:rsidR="00143F08" w:rsidP="00143F08" w14:paraId="43638E85" w14:textId="77777777">
      <w:pPr>
        <w:tabs>
          <w:tab w:val="left" w:pos="1440"/>
        </w:tabs>
        <w:spacing w:after="0"/>
        <w:jc w:val="center"/>
      </w:pPr>
      <w:r>
        <w:t>Cal.P.U.C. Decision No. 20-08-047</w:t>
      </w:r>
    </w:p>
    <w:p w:rsidR="00BE581A" w:rsidP="00143F08" w14:paraId="43638E86" w14:textId="77777777">
      <w:pPr>
        <w:tabs>
          <w:tab w:val="left" w:pos="1440"/>
        </w:tabs>
        <w:spacing w:after="0"/>
        <w:jc w:val="center"/>
      </w:pPr>
      <w:r>
        <w:t>__________________________________________________</w:t>
      </w:r>
    </w:p>
    <w:p w:rsidR="00143F08" w:rsidP="00143F08" w14:paraId="43638E87" w14:textId="77777777">
      <w:pPr>
        <w:tabs>
          <w:tab w:val="left" w:pos="1440"/>
        </w:tabs>
        <w:spacing w:after="0"/>
        <w:jc w:val="center"/>
      </w:pPr>
    </w:p>
    <w:p w:rsidR="00143F08" w:rsidP="00143F08" w14:paraId="43638E88" w14:textId="77777777">
      <w:pPr>
        <w:tabs>
          <w:tab w:val="left" w:pos="1440"/>
        </w:tabs>
        <w:spacing w:after="0"/>
        <w:jc w:val="center"/>
      </w:pPr>
      <w:r>
        <w:t>CALIFORNIA-AMERICAN WATER COMPANY et al.,</w:t>
      </w:r>
    </w:p>
    <w:p w:rsidR="00143F08" w:rsidP="00143F08" w14:paraId="43638E89" w14:textId="77777777">
      <w:pPr>
        <w:tabs>
          <w:tab w:val="left" w:pos="1440"/>
        </w:tabs>
        <w:spacing w:after="0"/>
        <w:jc w:val="center"/>
        <w:rPr>
          <w:caps/>
        </w:rPr>
      </w:pPr>
      <w:r w:rsidRPr="000040BD">
        <w:t>Petitioner</w:t>
      </w:r>
      <w:r>
        <w:t>s</w:t>
      </w:r>
      <w:r>
        <w:rPr>
          <w:caps/>
        </w:rPr>
        <w:t>,</w:t>
      </w:r>
    </w:p>
    <w:p w:rsidR="00143F08" w:rsidRPr="005F008A" w:rsidP="00143F08" w14:paraId="43638E8A" w14:textId="77777777">
      <w:pPr>
        <w:tabs>
          <w:tab w:val="left" w:pos="1440"/>
        </w:tabs>
        <w:spacing w:after="0"/>
        <w:jc w:val="center"/>
      </w:pPr>
      <w:r w:rsidRPr="005F008A">
        <w:t>v.</w:t>
      </w:r>
    </w:p>
    <w:p w:rsidR="00143F08" w:rsidP="00143F08" w14:paraId="43638E8B" w14:textId="77777777">
      <w:pPr>
        <w:tabs>
          <w:tab w:val="left" w:pos="1440"/>
        </w:tabs>
        <w:spacing w:after="0"/>
        <w:jc w:val="center"/>
        <w:rPr>
          <w:caps/>
        </w:rPr>
      </w:pPr>
      <w:r>
        <w:rPr>
          <w:caps/>
        </w:rPr>
        <w:t>PUBLIC UTILITIES COMMISSION,</w:t>
      </w:r>
    </w:p>
    <w:p w:rsidR="00143F08" w:rsidP="00143F08" w14:paraId="43638E8C" w14:textId="77777777">
      <w:pPr>
        <w:tabs>
          <w:tab w:val="left" w:pos="1440"/>
        </w:tabs>
        <w:spacing w:after="0"/>
        <w:jc w:val="center"/>
      </w:pPr>
      <w:r>
        <w:t>Respondent.</w:t>
      </w:r>
    </w:p>
    <w:p w:rsidR="00143F08" w:rsidRPr="00143F08" w:rsidP="00143F08" w14:paraId="43638E8D" w14:textId="77777777">
      <w:pPr>
        <w:tabs>
          <w:tab w:val="left" w:pos="1440"/>
        </w:tabs>
        <w:spacing w:after="0"/>
        <w:jc w:val="center"/>
      </w:pPr>
    </w:p>
    <w:p w:rsidR="00143F08" w:rsidP="00143F08" w14:paraId="43638E8E" w14:textId="77777777">
      <w:pPr>
        <w:tabs>
          <w:tab w:val="left" w:pos="1440"/>
        </w:tabs>
        <w:spacing w:after="0"/>
        <w:jc w:val="center"/>
        <w:rPr>
          <w:caps/>
        </w:rPr>
      </w:pPr>
      <w:r>
        <w:rPr>
          <w:caps/>
        </w:rPr>
        <w:t>s271493</w:t>
      </w:r>
    </w:p>
    <w:p w:rsidR="00143F08" w:rsidP="00143F08" w14:paraId="43638E8F" w14:textId="77777777">
      <w:pPr>
        <w:tabs>
          <w:tab w:val="left" w:pos="1440"/>
        </w:tabs>
        <w:spacing w:after="0"/>
        <w:jc w:val="center"/>
        <w:rPr>
          <w:caps/>
        </w:rPr>
      </w:pPr>
    </w:p>
    <w:p w:rsidR="00143F08" w:rsidP="00143F08" w14:paraId="43638E90" w14:textId="77777777">
      <w:pPr>
        <w:tabs>
          <w:tab w:val="left" w:pos="1440"/>
        </w:tabs>
        <w:spacing w:after="0"/>
        <w:jc w:val="center"/>
      </w:pPr>
      <w:r>
        <w:rPr>
          <w:caps/>
        </w:rPr>
        <w:t>C</w:t>
      </w:r>
      <w:r w:rsidRPr="00915957">
        <w:t>al.</w:t>
      </w:r>
      <w:r>
        <w:rPr>
          <w:caps/>
        </w:rPr>
        <w:t>P.U.C. D</w:t>
      </w:r>
      <w:r>
        <w:t>ecision Nos. 20-08-047 and 21-09-047</w:t>
      </w:r>
    </w:p>
    <w:p w:rsidR="00143F08" w:rsidP="00143F08" w14:paraId="43638E91" w14:textId="77777777">
      <w:pPr>
        <w:pBdr>
          <w:bottom w:val="single" w:sz="4" w:space="1" w:color="auto"/>
        </w:pBdr>
        <w:tabs>
          <w:tab w:val="left" w:pos="1440"/>
        </w:tabs>
        <w:spacing w:after="0"/>
        <w:jc w:val="center"/>
        <w:rPr>
          <w:caps/>
        </w:rPr>
      </w:pPr>
    </w:p>
    <w:p w:rsidR="00143F08" w:rsidP="00143F08" w14:paraId="43638E92" w14:textId="77777777">
      <w:pPr>
        <w:tabs>
          <w:tab w:val="left" w:pos="1440"/>
        </w:tabs>
        <w:spacing w:after="0"/>
        <w:jc w:val="center"/>
        <w:rPr>
          <w:caps/>
        </w:rPr>
      </w:pPr>
    </w:p>
    <w:p w:rsidR="00143F08" w:rsidP="00143F08" w14:paraId="43638E93" w14:textId="77777777">
      <w:pPr>
        <w:tabs>
          <w:tab w:val="left" w:pos="1440"/>
        </w:tabs>
        <w:spacing w:after="0"/>
        <w:jc w:val="center"/>
        <w:rPr>
          <w:caps/>
        </w:rPr>
      </w:pPr>
      <w:r>
        <w:rPr>
          <w:caps/>
        </w:rPr>
        <w:t>J</w:t>
      </w:r>
      <w:r w:rsidRPr="00D0296C">
        <w:t>uly</w:t>
      </w:r>
      <w:r>
        <w:rPr>
          <w:caps/>
        </w:rPr>
        <w:t xml:space="preserve"> 8, 202</w:t>
      </w:r>
      <w:r w:rsidR="00497390">
        <w:rPr>
          <w:caps/>
        </w:rPr>
        <w:t>4</w:t>
      </w:r>
    </w:p>
    <w:p w:rsidR="00143F08" w:rsidP="00143F08" w14:paraId="43638E94" w14:textId="77777777">
      <w:pPr>
        <w:tabs>
          <w:tab w:val="left" w:pos="1440"/>
        </w:tabs>
        <w:spacing w:after="0"/>
        <w:jc w:val="center"/>
        <w:rPr>
          <w:caps/>
        </w:rPr>
      </w:pPr>
    </w:p>
    <w:p w:rsidR="00143F08" w:rsidRPr="005F008A" w:rsidP="00143F08" w14:paraId="43638E95" w14:textId="77777777">
      <w:pPr>
        <w:tabs>
          <w:tab w:val="left" w:pos="1440"/>
        </w:tabs>
        <w:spacing w:after="0"/>
        <w:jc w:val="left"/>
      </w:pPr>
      <w:r w:rsidRPr="005F008A">
        <w:t xml:space="preserve">Justice Kruger authored the opinion of the Court, in which </w:t>
      </w:r>
      <w:r w:rsidR="00D0296C">
        <w:t>Chief Justice Guerrero and Justices Corrigan, Liu, Groban, Jenkins, and Evans</w:t>
      </w:r>
      <w:r w:rsidRPr="005F008A">
        <w:t xml:space="preserve"> concurred.</w:t>
      </w:r>
    </w:p>
    <w:p w:rsidR="00143F08" w:rsidRPr="005F008A" w:rsidP="00143F08" w14:paraId="43638E96" w14:textId="77777777">
      <w:pPr>
        <w:pBdr>
          <w:bottom w:val="single" w:sz="4" w:space="1" w:color="auto"/>
        </w:pBdr>
        <w:tabs>
          <w:tab w:val="left" w:pos="1440"/>
        </w:tabs>
        <w:spacing w:line="480" w:lineRule="atLeast"/>
        <w:jc w:val="left"/>
        <w:rPr>
          <w:caps/>
        </w:rPr>
      </w:pPr>
      <w:bookmarkStart w:id="1" w:name="Return"/>
      <w:bookmarkEnd w:id="1"/>
    </w:p>
    <w:p w:rsidR="00143F08" w:rsidP="00143F08" w14:paraId="43638E97" w14:textId="77777777">
      <w:pPr>
        <w:tabs>
          <w:tab w:val="left" w:pos="1440"/>
        </w:tabs>
        <w:spacing w:line="480" w:lineRule="atLeast"/>
        <w:jc w:val="center"/>
        <w:rPr>
          <w:b/>
          <w:caps/>
        </w:rPr>
        <w:sectPr w:rsidSect="008A6284">
          <w:headerReference w:type="default" r:id="rId6"/>
          <w:footerReference w:type="default" r:id="rId7"/>
          <w:footerReference w:type="first" r:id="rId8"/>
          <w:pgSz w:w="12240" w:h="15840"/>
          <w:pgMar w:top="1800" w:right="2160" w:bottom="1440" w:left="2160" w:header="720" w:footer="720" w:gutter="0"/>
          <w:cols w:space="720"/>
          <w:titlePg/>
          <w:docGrid w:linePitch="367"/>
        </w:sectPr>
      </w:pPr>
    </w:p>
    <w:p w:rsidR="00227905" w:rsidP="00143F08" w14:paraId="43638E98" w14:textId="77777777">
      <w:pPr>
        <w:tabs>
          <w:tab w:val="left" w:pos="1440"/>
        </w:tabs>
        <w:jc w:val="center"/>
        <w:rPr>
          <w:bCs/>
          <w:caps/>
        </w:rPr>
        <w:sectPr w:rsidSect="00F11413">
          <w:headerReference w:type="default" r:id="rId9"/>
          <w:footerReference w:type="default" r:id="rId10"/>
          <w:footerReference w:type="first" r:id="rId11"/>
          <w:footnotePr>
            <w:numFmt w:val="chicago"/>
          </w:footnotePr>
          <w:pgSz w:w="12240" w:h="15840"/>
          <w:pgMar w:top="1800" w:right="2160" w:bottom="1440" w:left="2160" w:header="720" w:footer="720" w:gutter="0"/>
          <w:pgNumType w:start="1"/>
          <w:cols w:space="720"/>
          <w:titlePg/>
          <w:docGrid w:linePitch="367"/>
        </w:sectPr>
      </w:pPr>
      <w:r>
        <w:rPr>
          <w:bCs/>
          <w:caps/>
        </w:rPr>
        <w:t xml:space="preserve">GOLDEN STATE WATER COMPANY </w:t>
      </w:r>
      <w:r w:rsidRPr="00143F08">
        <w:rPr>
          <w:bCs/>
        </w:rPr>
        <w:t>v.</w:t>
      </w:r>
      <w:r>
        <w:rPr>
          <w:bCs/>
          <w:caps/>
        </w:rPr>
        <w:t xml:space="preserve"> PubLIC </w:t>
      </w:r>
      <w:r w:rsidR="00A64574">
        <w:rPr>
          <w:bCs/>
          <w:caps/>
        </w:rPr>
        <w:br/>
      </w:r>
      <w:r>
        <w:rPr>
          <w:bCs/>
          <w:caps/>
        </w:rPr>
        <w:t>UTILITIES COMMISSION</w:t>
      </w:r>
      <w:r>
        <w:rPr>
          <w:rStyle w:val="FootnoteReference"/>
          <w:bCs/>
          <w:caps/>
        </w:rPr>
        <w:footnoteReference w:id="3"/>
      </w:r>
    </w:p>
    <w:p w:rsidR="00A64574" w:rsidP="00143F08" w14:paraId="43638E99" w14:textId="77777777">
      <w:pPr>
        <w:tabs>
          <w:tab w:val="left" w:pos="1440"/>
        </w:tabs>
        <w:jc w:val="center"/>
        <w:rPr>
          <w:bCs/>
          <w:caps/>
        </w:rPr>
      </w:pPr>
      <w:r>
        <w:rPr>
          <w:bCs/>
          <w:caps/>
        </w:rPr>
        <w:t>S269099</w:t>
      </w:r>
    </w:p>
    <w:p w:rsidR="00143F08" w:rsidRPr="00CA7C41" w:rsidP="00151BE6" w14:paraId="43638E9A" w14:textId="77777777">
      <w:pPr>
        <w:tabs>
          <w:tab w:val="left" w:pos="1440"/>
        </w:tabs>
        <w:rPr>
          <w:bCs/>
          <w:caps/>
        </w:rPr>
      </w:pPr>
    </w:p>
    <w:p w:rsidR="00143F08" w:rsidP="00143F08" w14:paraId="43638E9B" w14:textId="77777777">
      <w:pPr>
        <w:tabs>
          <w:tab w:val="left" w:pos="1440"/>
        </w:tabs>
        <w:jc w:val="center"/>
        <w:rPr>
          <w:bCs/>
        </w:rPr>
      </w:pPr>
      <w:r w:rsidRPr="00CA7C41">
        <w:rPr>
          <w:bCs/>
        </w:rPr>
        <w:t>Opinion of the Court by Kruger, J.</w:t>
      </w:r>
    </w:p>
    <w:p w:rsidR="00A64574" w:rsidRPr="00CA7C41" w:rsidP="00143F08" w14:paraId="43638E9C" w14:textId="77777777">
      <w:pPr>
        <w:tabs>
          <w:tab w:val="left" w:pos="1440"/>
        </w:tabs>
        <w:jc w:val="center"/>
        <w:rPr>
          <w:bCs/>
        </w:rPr>
      </w:pPr>
    </w:p>
    <w:p w:rsidR="00D9063F" w:rsidP="00D66C37" w14:paraId="43638E9D" w14:textId="77777777">
      <w:pPr>
        <w:pStyle w:val="MemoText"/>
        <w:spacing w:line="400" w:lineRule="exact"/>
      </w:pPr>
      <w:bookmarkStart w:id="2" w:name="MarkDocLoc"/>
      <w:bookmarkStart w:id="3" w:name="mainstory"/>
      <w:bookmarkEnd w:id="2"/>
      <w:bookmarkEnd w:id="3"/>
      <w:r>
        <w:t xml:space="preserve">In </w:t>
      </w:r>
      <w:r w:rsidR="005355FD">
        <w:t xml:space="preserve">recent decades, </w:t>
      </w:r>
      <w:r w:rsidRPr="0009679D" w:rsidR="006724C1">
        <w:t xml:space="preserve">California has experienced </w:t>
      </w:r>
      <w:r w:rsidRPr="0009679D" w:rsidR="00DF11E4">
        <w:t xml:space="preserve">severe </w:t>
      </w:r>
      <w:r w:rsidR="00983871">
        <w:t xml:space="preserve">and recurring </w:t>
      </w:r>
      <w:r w:rsidRPr="0009679D" w:rsidR="00DF11E4">
        <w:t>drought conditions</w:t>
      </w:r>
      <w:r>
        <w:t xml:space="preserve"> that have </w:t>
      </w:r>
      <w:r w:rsidR="00BD1D64">
        <w:t>heightened</w:t>
      </w:r>
      <w:r>
        <w:t xml:space="preserve"> concerns about how water is sold</w:t>
      </w:r>
      <w:r w:rsidRPr="0009679D" w:rsidR="00DF11E4">
        <w:t xml:space="preserve">.  </w:t>
      </w:r>
      <w:r w:rsidR="005355FD">
        <w:t xml:space="preserve">Like any other service provider, water companies typically have a financial incentive to </w:t>
      </w:r>
      <w:r w:rsidR="007A7274">
        <w:t xml:space="preserve">sell </w:t>
      </w:r>
      <w:r w:rsidR="00BD1D64">
        <w:t xml:space="preserve">more of </w:t>
      </w:r>
      <w:r w:rsidR="009B5511">
        <w:t>their service</w:t>
      </w:r>
      <w:r w:rsidR="005355FD">
        <w:t xml:space="preserve">.  To reduce that </w:t>
      </w:r>
      <w:r w:rsidR="00245A6F">
        <w:t xml:space="preserve">financial </w:t>
      </w:r>
      <w:r w:rsidR="005355FD">
        <w:t>incentive</w:t>
      </w:r>
      <w:r w:rsidR="007A7274">
        <w:t xml:space="preserve"> to sell more water to more consumers</w:t>
      </w:r>
      <w:r w:rsidR="005355FD">
        <w:t>, and thus t</w:t>
      </w:r>
      <w:r w:rsidRPr="00143F08" w:rsidR="0053550F">
        <w:t xml:space="preserve">o </w:t>
      </w:r>
      <w:r w:rsidRPr="00143F08" w:rsidR="00E279EF">
        <w:t xml:space="preserve">encourage </w:t>
      </w:r>
      <w:r w:rsidR="00D66C37">
        <w:t xml:space="preserve">water </w:t>
      </w:r>
      <w:r w:rsidRPr="00143F08" w:rsidR="0053550F">
        <w:t>conservation, t</w:t>
      </w:r>
      <w:r w:rsidRPr="00143F08" w:rsidR="00C565AA">
        <w:t xml:space="preserve">he </w:t>
      </w:r>
      <w:r w:rsidRPr="00143F08" w:rsidR="00206736">
        <w:t xml:space="preserve">Public Utilities </w:t>
      </w:r>
      <w:r w:rsidRPr="00143F08" w:rsidR="00C565AA">
        <w:t xml:space="preserve">Commission </w:t>
      </w:r>
      <w:r w:rsidR="005355FD">
        <w:t xml:space="preserve">in 2008 </w:t>
      </w:r>
      <w:r w:rsidRPr="00143F08" w:rsidR="004010D1">
        <w:t xml:space="preserve">allowed </w:t>
      </w:r>
      <w:r w:rsidR="005355FD">
        <w:t xml:space="preserve">certain </w:t>
      </w:r>
      <w:r w:rsidRPr="00143F08" w:rsidR="00094BAD">
        <w:t xml:space="preserve">water companies </w:t>
      </w:r>
      <w:r w:rsidRPr="00143F08" w:rsidR="003F6A67">
        <w:t xml:space="preserve">to </w:t>
      </w:r>
      <w:r w:rsidRPr="00143F08" w:rsidR="00684306">
        <w:t xml:space="preserve">structure </w:t>
      </w:r>
      <w:r w:rsidR="000B075B">
        <w:t xml:space="preserve">their </w:t>
      </w:r>
      <w:r w:rsidRPr="00143F08" w:rsidR="00684306">
        <w:t xml:space="preserve">rates in a way </w:t>
      </w:r>
      <w:r>
        <w:t xml:space="preserve">that </w:t>
      </w:r>
      <w:r w:rsidRPr="00143F08" w:rsidR="00E17768">
        <w:t>“decouple</w:t>
      </w:r>
      <w:r>
        <w:t>s</w:t>
      </w:r>
      <w:r w:rsidRPr="00143F08" w:rsidR="00E17768">
        <w:t xml:space="preserve">” </w:t>
      </w:r>
      <w:r w:rsidR="005355FD">
        <w:t xml:space="preserve">revenue from the amount of water </w:t>
      </w:r>
      <w:r>
        <w:t>sold</w:t>
      </w:r>
      <w:r w:rsidR="005355FD">
        <w:t>.</w:t>
      </w:r>
      <w:r w:rsidR="0057050F">
        <w:t xml:space="preserve">  </w:t>
      </w:r>
      <w:r w:rsidR="005355FD">
        <w:t>More than a decade later, i</w:t>
      </w:r>
      <w:r w:rsidRPr="00143F08" w:rsidR="00553F73">
        <w:t xml:space="preserve">n a proceeding </w:t>
      </w:r>
      <w:r w:rsidR="005355FD">
        <w:t xml:space="preserve">ostensibly </w:t>
      </w:r>
      <w:r w:rsidR="00A51B73">
        <w:t>focused on</w:t>
      </w:r>
      <w:r w:rsidRPr="00143F08" w:rsidR="000A57B2">
        <w:t xml:space="preserve"> improving the accuracy of water sales forecas</w:t>
      </w:r>
      <w:r w:rsidRPr="00143F08" w:rsidR="00DF2523">
        <w:t xml:space="preserve">ts </w:t>
      </w:r>
      <w:r w:rsidRPr="00143F08" w:rsidR="00853EDA">
        <w:t xml:space="preserve">necessary for use of this </w:t>
      </w:r>
      <w:r>
        <w:t xml:space="preserve">decoupling </w:t>
      </w:r>
      <w:r w:rsidRPr="00143F08" w:rsidR="00853EDA">
        <w:t xml:space="preserve">mechanism, the Commission </w:t>
      </w:r>
      <w:r w:rsidR="003B022B">
        <w:t xml:space="preserve">ordered that the </w:t>
      </w:r>
      <w:r w:rsidRPr="00143F08" w:rsidR="00853EDA">
        <w:t xml:space="preserve">mechanism </w:t>
      </w:r>
      <w:r w:rsidR="003B022B">
        <w:t xml:space="preserve">be eliminated </w:t>
      </w:r>
      <w:r w:rsidRPr="00143F08" w:rsidR="00853EDA">
        <w:t xml:space="preserve">altogether.  </w:t>
      </w:r>
    </w:p>
    <w:p w:rsidR="00A135F1" w:rsidP="008331FD" w14:paraId="43638E9E" w14:textId="77777777">
      <w:pPr>
        <w:pStyle w:val="MemoText"/>
        <w:spacing w:line="400" w:lineRule="exact"/>
      </w:pPr>
      <w:r>
        <w:t xml:space="preserve">The issue before us does not concern the </w:t>
      </w:r>
      <w:r w:rsidR="0057050F">
        <w:t xml:space="preserve">merits of </w:t>
      </w:r>
      <w:r>
        <w:t xml:space="preserve">this decision, but the process that led </w:t>
      </w:r>
      <w:r w:rsidR="007A7274">
        <w:t xml:space="preserve">up </w:t>
      </w:r>
      <w:r>
        <w:t>to it</w:t>
      </w:r>
      <w:r w:rsidR="0057050F">
        <w:t xml:space="preserve">.  </w:t>
      </w:r>
      <w:r w:rsidR="00AA5635">
        <w:t xml:space="preserve">The question is whether </w:t>
      </w:r>
      <w:r>
        <w:t xml:space="preserve">the </w:t>
      </w:r>
      <w:r w:rsidRPr="00143F08" w:rsidR="00853EDA">
        <w:t xml:space="preserve">Commission gave adequate notice that </w:t>
      </w:r>
      <w:r>
        <w:t xml:space="preserve">the elimination of the decoupling mechanism was one of the issues </w:t>
      </w:r>
      <w:r w:rsidRPr="00143F08" w:rsidR="00853EDA">
        <w:t xml:space="preserve">to be considered in the proceeding.  </w:t>
      </w:r>
      <w:r w:rsidR="004C5E0A">
        <w:t>We</w:t>
      </w:r>
      <w:r w:rsidRPr="00143F08" w:rsidR="00853EDA">
        <w:t xml:space="preserve"> conclude that the answer is no</w:t>
      </w:r>
      <w:r w:rsidR="007A7274">
        <w:t>.  We further conclude that t</w:t>
      </w:r>
      <w:r w:rsidRPr="00143F08" w:rsidR="00347B52">
        <w:t>he Commission’s failure to give adequate notice requires us to set the order aside.</w:t>
      </w:r>
    </w:p>
    <w:bookmarkEnd w:id="0"/>
    <w:p w:rsidR="005A4AD6" w:rsidRPr="00143F08" w:rsidP="00151BE6" w14:paraId="43638E9F" w14:textId="77777777">
      <w:pPr>
        <w:pStyle w:val="Heading1"/>
      </w:pPr>
      <w:r w:rsidRPr="003F0F1F">
        <w:t>I.</w:t>
      </w:r>
    </w:p>
    <w:p w:rsidR="004F7755" w:rsidRPr="00143F08" w:rsidP="00143F08" w14:paraId="43638EA0" w14:textId="77777777">
      <w:pPr>
        <w:pStyle w:val="MemoText"/>
        <w:spacing w:line="400" w:lineRule="exact"/>
      </w:pPr>
      <w:r w:rsidRPr="00143F08">
        <w:t>Petitioners are five large water utilities and an association that represents investor-owned water utilities’ interests</w:t>
      </w:r>
      <w:r w:rsidR="00350349">
        <w:t>; for simplicity’s sake, we refer to the</w:t>
      </w:r>
      <w:r w:rsidR="007A7274">
        <w:t xml:space="preserve"> </w:t>
      </w:r>
      <w:r w:rsidR="008843AB">
        <w:t>utilities</w:t>
      </w:r>
      <w:r w:rsidR="00350349">
        <w:t xml:space="preserve"> collectively as </w:t>
      </w:r>
      <w:r w:rsidRPr="00143F08">
        <w:t xml:space="preserve">the Water Companies.  They seek to set aside an order of the </w:t>
      </w:r>
      <w:r w:rsidRPr="00143F08" w:rsidR="006C5F09">
        <w:t xml:space="preserve">Public Utilities </w:t>
      </w:r>
      <w:r w:rsidRPr="00143F08">
        <w:t xml:space="preserve">Commission </w:t>
      </w:r>
      <w:r w:rsidRPr="00143F08" w:rsidR="003E1531">
        <w:t xml:space="preserve">eliminating </w:t>
      </w:r>
      <w:r w:rsidRPr="00143F08" w:rsidR="00E75E8B">
        <w:t xml:space="preserve">a </w:t>
      </w:r>
      <w:r w:rsidRPr="00143F08" w:rsidR="00342008">
        <w:t xml:space="preserve">type of </w:t>
      </w:r>
      <w:r w:rsidRPr="00143F08" w:rsidR="00E75E8B">
        <w:t xml:space="preserve">conservation-focused ratesetting mechanism known as </w:t>
      </w:r>
      <w:r w:rsidRPr="00143F08" w:rsidR="005A08E7">
        <w:t>the</w:t>
      </w:r>
      <w:r w:rsidRPr="00143F08" w:rsidR="00342008">
        <w:t xml:space="preserve"> </w:t>
      </w:r>
      <w:r w:rsidRPr="00143F08" w:rsidR="00E75E8B">
        <w:t>Water Revenue Adjustment Mechanism</w:t>
      </w:r>
      <w:r w:rsidRPr="00143F08" w:rsidR="006F4974">
        <w:t>, based on defects in the proceedings that led to the issuance of the order</w:t>
      </w:r>
      <w:r w:rsidRPr="00143F08" w:rsidR="00342008">
        <w:t>.</w:t>
      </w:r>
      <w:r w:rsidRPr="00143F08" w:rsidR="006E4EDB">
        <w:t xml:space="preserve">  </w:t>
      </w:r>
      <w:r w:rsidRPr="00143F08" w:rsidR="00DD3D65">
        <w:t>T</w:t>
      </w:r>
      <w:r w:rsidRPr="00143F08" w:rsidR="003E6CCF">
        <w:t xml:space="preserve">his case does not concern the substance of the Commission’s decision, </w:t>
      </w:r>
      <w:r w:rsidRPr="00143F08" w:rsidR="00DD3D65">
        <w:t xml:space="preserve">but some </w:t>
      </w:r>
      <w:r w:rsidRPr="00143F08" w:rsidR="00224688">
        <w:t>understanding of the substan</w:t>
      </w:r>
      <w:r w:rsidR="008B6278">
        <w:t>ce</w:t>
      </w:r>
      <w:r w:rsidRPr="00143F08" w:rsidR="00224688">
        <w:t xml:space="preserve"> helps to explain </w:t>
      </w:r>
      <w:r w:rsidRPr="00143F08" w:rsidR="006767DD">
        <w:t>the nature of the procedural dispute now before u</w:t>
      </w:r>
      <w:r w:rsidRPr="00143F08" w:rsidR="000475AB">
        <w:t>s.</w:t>
      </w:r>
      <w:r w:rsidRPr="00143F08" w:rsidR="00493133">
        <w:t xml:space="preserve">  </w:t>
      </w:r>
      <w:r w:rsidR="00257460">
        <w:t>We</w:t>
      </w:r>
      <w:r w:rsidRPr="00143F08" w:rsidR="00493133">
        <w:t xml:space="preserve"> therefore begin by offering a brief overview of the mechanisms at issue in the challenged order before turning to the history of how that order came to be.</w:t>
      </w:r>
      <w:r w:rsidRPr="00143F08" w:rsidR="006349B4">
        <w:t xml:space="preserve">  </w:t>
      </w:r>
    </w:p>
    <w:p w:rsidR="0030383B" w:rsidRPr="00143F08" w:rsidP="00E26656" w14:paraId="43638EA1" w14:textId="77777777">
      <w:pPr>
        <w:pStyle w:val="Heading2"/>
        <w:tabs>
          <w:tab w:val="clear" w:pos="1152"/>
        </w:tabs>
        <w:ind w:left="0" w:firstLine="0"/>
        <w:jc w:val="center"/>
      </w:pPr>
      <w:r w:rsidRPr="00143F08">
        <w:t>A.</w:t>
      </w:r>
      <w:r w:rsidRPr="00143F08" w:rsidR="00D60C4A">
        <w:t xml:space="preserve"> </w:t>
      </w:r>
      <w:r w:rsidRPr="00143F08" w:rsidR="00C257DC">
        <w:t xml:space="preserve"> </w:t>
      </w:r>
      <w:r w:rsidRPr="00143F08" w:rsidR="005C74A0">
        <w:t>Water Revenue Adjustment Mechanism</w:t>
      </w:r>
      <w:r w:rsidRPr="00143F08" w:rsidR="00C64ECD">
        <w:t xml:space="preserve"> </w:t>
      </w:r>
      <w:r w:rsidRPr="00143F08" w:rsidR="005C74A0">
        <w:br/>
        <w:t>and Modified Cost Balancing Account</w:t>
      </w:r>
    </w:p>
    <w:p w:rsidR="008F5206" w:rsidRPr="00143F08" w:rsidP="00143F08" w14:paraId="43638EA2" w14:textId="77777777">
      <w:pPr>
        <w:pStyle w:val="MemoText"/>
        <w:tabs>
          <w:tab w:val="left" w:pos="720"/>
          <w:tab w:val="clear" w:pos="1440"/>
        </w:tabs>
        <w:spacing w:line="400" w:lineRule="exact"/>
        <w:ind w:firstLine="0"/>
      </w:pPr>
      <w:r w:rsidRPr="00143F08">
        <w:tab/>
        <w:t>The</w:t>
      </w:r>
      <w:r w:rsidRPr="00143F08" w:rsidR="00A95DD7">
        <w:t xml:space="preserve"> </w:t>
      </w:r>
      <w:r w:rsidRPr="00143F08">
        <w:t xml:space="preserve">Water Companies are what is known as Class A water utilities, </w:t>
      </w:r>
      <w:r w:rsidRPr="00143F08" w:rsidR="00E42849">
        <w:t xml:space="preserve">a term the Commission uses to refer to water utilities with </w:t>
      </w:r>
      <w:r w:rsidRPr="00143F08">
        <w:t xml:space="preserve">more than 10,000 service connections.  </w:t>
      </w:r>
      <w:r w:rsidRPr="00143F08" w:rsidR="00091BEE">
        <w:t>U</w:t>
      </w:r>
      <w:r w:rsidRPr="00143F08">
        <w:t xml:space="preserve">nder the Public Utilities Code, </w:t>
      </w:r>
      <w:r w:rsidRPr="00143F08" w:rsidR="00C02856">
        <w:t xml:space="preserve">these </w:t>
      </w:r>
      <w:r w:rsidRPr="00143F08">
        <w:t xml:space="preserve">large water utilities must periodically seek the Commission’s approval of future rates </w:t>
      </w:r>
      <w:r w:rsidRPr="00143F08" w:rsidR="00AD5467">
        <w:t xml:space="preserve">through </w:t>
      </w:r>
      <w:r w:rsidRPr="00143F08">
        <w:t>a formal “general rate case” (</w:t>
      </w:r>
      <w:r w:rsidRPr="00143F08" w:rsidR="00357E62">
        <w:t>often abbreviated as “</w:t>
      </w:r>
      <w:r w:rsidRPr="00143F08">
        <w:t>GRC</w:t>
      </w:r>
      <w:r w:rsidRPr="00143F08" w:rsidR="00357E62">
        <w:t>”</w:t>
      </w:r>
      <w:r w:rsidRPr="00143F08">
        <w:t>) application process.  (See Pub. Util. Code, § 455.2</w:t>
      </w:r>
      <w:r w:rsidRPr="00143F08" w:rsidR="00894A0B">
        <w:t>, subd. (c)</w:t>
      </w:r>
      <w:r w:rsidRPr="00143F08">
        <w:t>.)</w:t>
      </w:r>
      <w:r>
        <w:rPr>
          <w:rStyle w:val="FootnoteReference"/>
        </w:rPr>
        <w:footnoteReference w:id="4"/>
      </w:r>
      <w:r w:rsidRPr="00143F08">
        <w:t xml:space="preserve">  </w:t>
      </w:r>
    </w:p>
    <w:p w:rsidR="00285D66" w:rsidRPr="00143F08" w:rsidP="00143F08" w14:paraId="43638EA3" w14:textId="77777777">
      <w:pPr>
        <w:pStyle w:val="MemoText"/>
        <w:tabs>
          <w:tab w:val="left" w:pos="720"/>
          <w:tab w:val="clear" w:pos="1440"/>
        </w:tabs>
        <w:spacing w:line="400" w:lineRule="exact"/>
        <w:ind w:firstLine="0"/>
      </w:pPr>
      <w:r w:rsidRPr="00143F08">
        <w:tab/>
      </w:r>
      <w:r w:rsidRPr="00143F08" w:rsidR="004A7F01">
        <w:t xml:space="preserve">One issue </w:t>
      </w:r>
      <w:r w:rsidRPr="00143F08" w:rsidR="00C7369C">
        <w:t xml:space="preserve">relevant to </w:t>
      </w:r>
      <w:r w:rsidRPr="00143F08" w:rsidR="004A7F01">
        <w:t xml:space="preserve">the amount and structure of rates is </w:t>
      </w:r>
      <w:r w:rsidRPr="00143F08" w:rsidR="00C7369C">
        <w:t xml:space="preserve">California’s interest in water </w:t>
      </w:r>
      <w:r w:rsidRPr="00143F08" w:rsidR="004A7F01">
        <w:t>conservation.</w:t>
      </w:r>
      <w:r w:rsidRPr="00143F08" w:rsidR="00896A89">
        <w:t xml:space="preserve">  </w:t>
      </w:r>
      <w:r w:rsidRPr="00143F08" w:rsidR="003D643C">
        <w:t>Because water utilities’ revenue comes in part from quantity charges</w:t>
      </w:r>
      <w:r w:rsidRPr="00143F08" w:rsidR="00C257DC">
        <w:t> </w:t>
      </w:r>
      <w:r w:rsidRPr="00143F08" w:rsidR="003D643C">
        <w:t>— that is, charges based on the amount of water sold to customers</w:t>
      </w:r>
      <w:r w:rsidR="008843AB">
        <w:t> </w:t>
      </w:r>
      <w:r w:rsidRPr="00143F08" w:rsidR="003D643C">
        <w:t>— c</w:t>
      </w:r>
      <w:r w:rsidRPr="00143F08" w:rsidR="001335D8">
        <w:t xml:space="preserve">ompanies in the business of selling water </w:t>
      </w:r>
      <w:r w:rsidRPr="00143F08" w:rsidR="00577A3F">
        <w:t xml:space="preserve">generally </w:t>
      </w:r>
      <w:r w:rsidRPr="00143F08" w:rsidR="001335D8">
        <w:t xml:space="preserve">have a financial incentive </w:t>
      </w:r>
      <w:r w:rsidRPr="00143F08" w:rsidR="00112199">
        <w:t>to sell more water.</w:t>
      </w:r>
      <w:r w:rsidRPr="00143F08" w:rsidR="00DB1271">
        <w:t xml:space="preserve">  That incentive is in tension with California’s interest in </w:t>
      </w:r>
      <w:r w:rsidRPr="00143F08" w:rsidR="005D531C">
        <w:t>reducing water consumption</w:t>
      </w:r>
      <w:r w:rsidRPr="00143F08" w:rsidR="00C257DC">
        <w:t> </w:t>
      </w:r>
      <w:r w:rsidRPr="00143F08" w:rsidR="000901E4">
        <w:t>— an interest that is particularly acute in</w:t>
      </w:r>
      <w:r w:rsidRPr="00143F08" w:rsidR="00E56F0B">
        <w:t xml:space="preserve"> an era marked by </w:t>
      </w:r>
      <w:r w:rsidR="003B022B">
        <w:t xml:space="preserve">frequent and sustained </w:t>
      </w:r>
      <w:r w:rsidRPr="00143F08" w:rsidR="00E56F0B">
        <w:t>periods of drought</w:t>
      </w:r>
      <w:r w:rsidRPr="00143F08" w:rsidR="005D531C">
        <w:t xml:space="preserve">. </w:t>
      </w:r>
      <w:r w:rsidRPr="00143F08" w:rsidR="00DF24D5">
        <w:t xml:space="preserve"> </w:t>
      </w:r>
    </w:p>
    <w:p w:rsidR="00A15078" w:rsidP="00CE6CA3" w14:paraId="43638EA4" w14:textId="77777777">
      <w:pPr>
        <w:pStyle w:val="MemoText"/>
        <w:spacing w:line="400" w:lineRule="exact"/>
      </w:pPr>
      <w:r w:rsidRPr="00143F08">
        <w:t>Seeking to alleviate tha</w:t>
      </w:r>
      <w:r w:rsidRPr="00143F08" w:rsidR="00DF24D5">
        <w:t xml:space="preserve">t tension, the Commission </w:t>
      </w:r>
      <w:r w:rsidRPr="00143F08">
        <w:t xml:space="preserve">in 2008 </w:t>
      </w:r>
      <w:r w:rsidRPr="00143F08" w:rsidR="00DF24D5">
        <w:t xml:space="preserve">authorized certain utilities to implement </w:t>
      </w:r>
      <w:r w:rsidR="009A5157">
        <w:t xml:space="preserve">concepts </w:t>
      </w:r>
      <w:r>
        <w:t xml:space="preserve">known </w:t>
      </w:r>
      <w:r w:rsidRPr="00143F08" w:rsidR="005676D8">
        <w:t>as</w:t>
      </w:r>
      <w:r w:rsidRPr="00143F08" w:rsidR="00DF24D5">
        <w:t xml:space="preserve"> </w:t>
      </w:r>
      <w:r w:rsidRPr="00143F08" w:rsidR="005676D8">
        <w:t xml:space="preserve">the </w:t>
      </w:r>
      <w:r w:rsidRPr="00143F08" w:rsidR="00DF24D5">
        <w:t>Water Revenue Adjustment Mechanism</w:t>
      </w:r>
      <w:r w:rsidRPr="00143F08" w:rsidR="00E4429E">
        <w:t xml:space="preserve"> </w:t>
      </w:r>
      <w:r w:rsidRPr="00143F08" w:rsidR="00DF24D5">
        <w:t xml:space="preserve">and </w:t>
      </w:r>
      <w:r>
        <w:t xml:space="preserve">the </w:t>
      </w:r>
      <w:r w:rsidRPr="00143F08" w:rsidR="00DF24D5">
        <w:t xml:space="preserve">Modified Cost Balancing Account.  </w:t>
      </w:r>
      <w:r w:rsidRPr="00143F08" w:rsidR="00194F76">
        <w:t>A</w:t>
      </w:r>
      <w:r w:rsidRPr="00143F08" w:rsidR="007C14F7">
        <w:t xml:space="preserve"> </w:t>
      </w:r>
      <w:r w:rsidRPr="00143F08" w:rsidR="0094619E">
        <w:t xml:space="preserve">Water </w:t>
      </w:r>
      <w:r w:rsidRPr="00143F08" w:rsidR="007C14F7">
        <w:t>Revenue</w:t>
      </w:r>
      <w:r w:rsidRPr="00143F08" w:rsidR="009D2A02">
        <w:t xml:space="preserve"> </w:t>
      </w:r>
      <w:r w:rsidRPr="00143F08" w:rsidR="00B8175A">
        <w:t xml:space="preserve">Adjustment Mechanism </w:t>
      </w:r>
      <w:r w:rsidRPr="00143F08" w:rsidR="00E4429E">
        <w:t xml:space="preserve">(WRAM) </w:t>
      </w:r>
      <w:r w:rsidRPr="00143F08" w:rsidR="009D753C">
        <w:t xml:space="preserve">works by </w:t>
      </w:r>
      <w:r w:rsidRPr="00143F08" w:rsidR="00B76ED4">
        <w:t>track</w:t>
      </w:r>
      <w:r w:rsidRPr="00143F08" w:rsidR="009D753C">
        <w:t>ing</w:t>
      </w:r>
      <w:r w:rsidRPr="00143F08" w:rsidR="00B76ED4">
        <w:t xml:space="preserve"> </w:t>
      </w:r>
      <w:r w:rsidRPr="00143F08" w:rsidR="000A4922">
        <w:t xml:space="preserve">the difference between </w:t>
      </w:r>
      <w:r w:rsidRPr="00143F08" w:rsidR="00321A27">
        <w:t xml:space="preserve">quantity-rate revenues </w:t>
      </w:r>
      <w:r w:rsidRPr="00143F08" w:rsidR="00093CC2">
        <w:t xml:space="preserve">authorized by the Commission </w:t>
      </w:r>
      <w:r w:rsidRPr="00143F08" w:rsidR="00321A27">
        <w:t>and</w:t>
      </w:r>
      <w:r w:rsidRPr="00143F08" w:rsidR="00D37C4E">
        <w:t xml:space="preserve"> </w:t>
      </w:r>
      <w:r w:rsidRPr="00143F08" w:rsidR="00321A27">
        <w:t>quantity-rate revenues</w:t>
      </w:r>
      <w:r w:rsidRPr="00143F08" w:rsidR="00093CC2">
        <w:t xml:space="preserve"> billed by a utility</w:t>
      </w:r>
      <w:r w:rsidRPr="00143F08" w:rsidR="00CE0E4E">
        <w:t xml:space="preserve">.  </w:t>
      </w:r>
      <w:r w:rsidRPr="00143F08" w:rsidR="004D3AF1">
        <w:t xml:space="preserve">If the Commission authorizes more quantity-rate revenue than the utility </w:t>
      </w:r>
      <w:r w:rsidRPr="00143F08" w:rsidR="0061052A">
        <w:t>bills</w:t>
      </w:r>
      <w:r w:rsidRPr="00143F08" w:rsidR="004D3AF1">
        <w:t xml:space="preserve">, </w:t>
      </w:r>
      <w:r w:rsidRPr="00143F08" w:rsidR="00595EE3">
        <w:t>the utility may be able to surcharge customers</w:t>
      </w:r>
      <w:r w:rsidRPr="00143F08" w:rsidR="00DF71C3">
        <w:t xml:space="preserve">.  </w:t>
      </w:r>
      <w:r w:rsidRPr="00143F08" w:rsidR="004D3AF1">
        <w:t xml:space="preserve">If the Commission authorizes less </w:t>
      </w:r>
      <w:r w:rsidRPr="00143F08" w:rsidR="00A22435">
        <w:t xml:space="preserve">quantity-rate revenue than the utility </w:t>
      </w:r>
      <w:r w:rsidRPr="00143F08" w:rsidR="009C2FE1">
        <w:t>bills</w:t>
      </w:r>
      <w:r w:rsidRPr="00143F08" w:rsidR="00A22435">
        <w:t xml:space="preserve">, </w:t>
      </w:r>
      <w:r w:rsidRPr="00143F08" w:rsidR="00792621">
        <w:t>a credit to customers might instead be appropriate</w:t>
      </w:r>
      <w:r w:rsidRPr="00143F08" w:rsidR="00595EE3">
        <w:t xml:space="preserve">.  </w:t>
      </w:r>
      <w:r w:rsidRPr="00143F08" w:rsidR="00DD5D19">
        <w:t xml:space="preserve">To determine </w:t>
      </w:r>
      <w:r w:rsidRPr="00143F08" w:rsidR="00E4429E">
        <w:t xml:space="preserve">whether a </w:t>
      </w:r>
      <w:r w:rsidRPr="00143F08" w:rsidR="00DD5D19">
        <w:t>surcharge or credit</w:t>
      </w:r>
      <w:r w:rsidRPr="00143F08" w:rsidR="00E4429E">
        <w:t xml:space="preserve"> is warranted, and in what amount, the </w:t>
      </w:r>
      <w:r w:rsidRPr="00143F08" w:rsidR="00DD5D19">
        <w:t xml:space="preserve">difference between </w:t>
      </w:r>
      <w:r w:rsidRPr="00143F08" w:rsidR="00A166F9">
        <w:t xml:space="preserve">authorized and actual quantity-rate revenue is netted against </w:t>
      </w:r>
      <w:r w:rsidRPr="00143F08" w:rsidR="00194F76">
        <w:t>a</w:t>
      </w:r>
      <w:r w:rsidRPr="00143F08" w:rsidR="00A166F9">
        <w:t xml:space="preserve"> Modified Cost Balancing Account </w:t>
      </w:r>
      <w:r w:rsidRPr="00143F08" w:rsidR="00E4429E">
        <w:t xml:space="preserve">(MCBA), which </w:t>
      </w:r>
      <w:r w:rsidRPr="00143F08" w:rsidR="0062404D">
        <w:t xml:space="preserve">tracks the difference </w:t>
      </w:r>
      <w:r w:rsidRPr="00143F08" w:rsidR="00F6708E">
        <w:t xml:space="preserve">between certain authorized and actual water </w:t>
      </w:r>
      <w:r w:rsidRPr="00143F08" w:rsidR="00083506">
        <w:t>provision</w:t>
      </w:r>
      <w:r w:rsidRPr="00143F08" w:rsidR="0084335C">
        <w:t xml:space="preserve"> costs</w:t>
      </w:r>
      <w:r w:rsidRPr="00143F08" w:rsidR="0062404D">
        <w:t>.</w:t>
      </w:r>
      <w:r w:rsidR="007E7DD9">
        <w:t xml:space="preserve">  </w:t>
      </w:r>
    </w:p>
    <w:p w:rsidR="005A266C" w:rsidP="005A266C" w14:paraId="43638EA5" w14:textId="77777777">
      <w:pPr>
        <w:pStyle w:val="MemoText"/>
        <w:spacing w:line="400" w:lineRule="exact"/>
      </w:pPr>
      <w:r w:rsidRPr="00143F08">
        <w:t xml:space="preserve">As the Commission </w:t>
      </w:r>
      <w:r w:rsidRPr="00143F08" w:rsidR="00E80707">
        <w:t>has</w:t>
      </w:r>
      <w:r w:rsidRPr="00143F08">
        <w:t xml:space="preserve"> </w:t>
      </w:r>
      <w:r w:rsidRPr="00143F08" w:rsidR="002478B0">
        <w:t>explained</w:t>
      </w:r>
      <w:r w:rsidRPr="00143F08">
        <w:t xml:space="preserve">, “[t]he major purpose” of adopting this approach “was to decouple sales from revenues and thus promote conservation.”  </w:t>
      </w:r>
      <w:r w:rsidRPr="00143F08" w:rsidR="00895293">
        <w:t>Th</w:t>
      </w:r>
      <w:r w:rsidRPr="00143F08" w:rsidR="00FD6092">
        <w:t xml:space="preserve">e incentive to sell more water is </w:t>
      </w:r>
      <w:r w:rsidRPr="00143F08" w:rsidR="00EF5BA7">
        <w:t>reduced</w:t>
      </w:r>
      <w:r w:rsidRPr="00143F08" w:rsidR="00FD6092">
        <w:t xml:space="preserve"> if revenues above those authorized must be returned to customers and revenues below those authorized can be surcharged.</w:t>
      </w:r>
      <w:r w:rsidR="00A15078">
        <w:t xml:space="preserve">  Because </w:t>
      </w:r>
      <w:r w:rsidRPr="00143F08" w:rsidR="00A15078">
        <w:t>the WRAM approach depends on tracking the difference between actual quantity</w:t>
      </w:r>
      <w:r w:rsidR="00471378">
        <w:t>-rate</w:t>
      </w:r>
      <w:r w:rsidR="00D86907">
        <w:t xml:space="preserve"> </w:t>
      </w:r>
      <w:r w:rsidRPr="00143F08" w:rsidR="00A15078">
        <w:t>revenues and revenues approved by the Commission, the mechanism depends on forecasting water sales.  Forecasts affect the quantity</w:t>
      </w:r>
      <w:r w:rsidR="00D86907">
        <w:t xml:space="preserve"> </w:t>
      </w:r>
      <w:r w:rsidRPr="00143F08" w:rsidR="00A15078">
        <w:t>revenue rates approved by the Commission and thus</w:t>
      </w:r>
      <w:r>
        <w:t xml:space="preserve"> </w:t>
      </w:r>
      <w:r w:rsidR="00C54511">
        <w:t xml:space="preserve">whether customers will have to pay </w:t>
      </w:r>
      <w:r>
        <w:t xml:space="preserve">WRAM </w:t>
      </w:r>
      <w:r w:rsidR="00C54511">
        <w:t>surcharges</w:t>
      </w:r>
      <w:r>
        <w:t xml:space="preserve"> on their water bills.</w:t>
      </w:r>
    </w:p>
    <w:p w:rsidR="005A003A" w:rsidRPr="00143F08" w:rsidP="00AF1DC7" w14:paraId="43638EA6" w14:textId="77777777">
      <w:pPr>
        <w:pStyle w:val="MemoText"/>
        <w:spacing w:line="400" w:lineRule="exact"/>
      </w:pPr>
      <w:r>
        <w:t xml:space="preserve">In the 2020 order challenged here, the Commission </w:t>
      </w:r>
      <w:r w:rsidR="001A3DA6">
        <w:t xml:space="preserve">prohibited the water companies from proposing </w:t>
      </w:r>
      <w:r>
        <w:t xml:space="preserve">the WRAM/MCBA approach but allowed water companies to </w:t>
      </w:r>
      <w:r w:rsidR="00E6118C">
        <w:t xml:space="preserve">instead </w:t>
      </w:r>
      <w:r>
        <w:t xml:space="preserve">propose using </w:t>
      </w:r>
      <w:r w:rsidR="00A744E1">
        <w:t xml:space="preserve">something </w:t>
      </w:r>
      <w:r>
        <w:t xml:space="preserve">known as a Monterey-style WRAM </w:t>
      </w:r>
      <w:r w:rsidR="00A744E1">
        <w:t xml:space="preserve">(M-WRAM) </w:t>
      </w:r>
      <w:r>
        <w:t>with an Incremental Cost Balancing Account</w:t>
      </w:r>
      <w:r w:rsidR="00AF1DC7">
        <w:t xml:space="preserve"> (ICBA)</w:t>
      </w:r>
      <w:r>
        <w:t>.  Although the names are similar, the mechanisms are meaningfully different</w:t>
      </w:r>
      <w:r w:rsidR="00C9411F">
        <w:t>.</w:t>
      </w:r>
      <w:r>
        <w:t xml:space="preserve">  The Monterey-</w:t>
      </w:r>
      <w:r w:rsidR="00F4027C">
        <w:t>s</w:t>
      </w:r>
      <w:r>
        <w:t>tyle WRAM</w:t>
      </w:r>
      <w:r w:rsidR="00AF1DC7">
        <w:t xml:space="preserve"> with ICBA</w:t>
      </w:r>
      <w:r>
        <w:t xml:space="preserve"> is also a revenue adjustment mechanism, but </w:t>
      </w:r>
      <w:r w:rsidRPr="00143F08">
        <w:t xml:space="preserve">in contrast to a WRAM, </w:t>
      </w:r>
      <w:r>
        <w:t xml:space="preserve">it is not a full decoupling mechanism; </w:t>
      </w:r>
      <w:r w:rsidR="004D48CE">
        <w:t xml:space="preserve">the M-WRAM </w:t>
      </w:r>
      <w:r>
        <w:t xml:space="preserve">instead </w:t>
      </w:r>
      <w:r w:rsidR="002377DC">
        <w:t>adjusts</w:t>
      </w:r>
      <w:r w:rsidR="009D736E">
        <w:t xml:space="preserve"> for </w:t>
      </w:r>
      <w:r>
        <w:t>the difference between revenue collected under a tiered “conservation” rate structure</w:t>
      </w:r>
      <w:r w:rsidR="00B73DEC">
        <w:t xml:space="preserve">, designed to impose increased costs for use of water exceeding </w:t>
      </w:r>
      <w:r w:rsidR="00134933">
        <w:t>certain thresholds</w:t>
      </w:r>
      <w:r w:rsidR="00B73DEC">
        <w:t>,</w:t>
      </w:r>
      <w:r>
        <w:t xml:space="preserve"> and the revenue that would have been collected</w:t>
      </w:r>
      <w:r w:rsidR="007B1AD4">
        <w:t>, at actual sales levels,</w:t>
      </w:r>
      <w:r>
        <w:t xml:space="preserve"> with </w:t>
      </w:r>
      <w:r w:rsidR="00945736">
        <w:t xml:space="preserve">a uniform rather than </w:t>
      </w:r>
      <w:r w:rsidR="00B73DEC">
        <w:t xml:space="preserve">tiered </w:t>
      </w:r>
      <w:r>
        <w:t xml:space="preserve">structure in place.  </w:t>
      </w:r>
    </w:p>
    <w:p w:rsidR="00AC4BD7" w:rsidRPr="00143F08" w:rsidP="007F1E36" w14:paraId="43638EA7" w14:textId="504C8021">
      <w:pPr>
        <w:pStyle w:val="Heading2"/>
        <w:tabs>
          <w:tab w:val="clear" w:pos="1152"/>
        </w:tabs>
        <w:ind w:left="0" w:firstLine="0"/>
        <w:jc w:val="center"/>
      </w:pPr>
      <w:r w:rsidRPr="00143F08">
        <w:t xml:space="preserve">B. </w:t>
      </w:r>
      <w:r w:rsidRPr="00143F08" w:rsidR="00C64ECD">
        <w:t xml:space="preserve"> </w:t>
      </w:r>
      <w:r w:rsidRPr="00143F08" w:rsidR="00484FAF">
        <w:t>Prior Commission Proceedings</w:t>
      </w:r>
      <w:r w:rsidR="00CE1261">
        <w:t xml:space="preserve"> Addressing</w:t>
      </w:r>
      <w:r w:rsidR="001652FB">
        <w:t xml:space="preserve"> </w:t>
      </w:r>
      <w:r w:rsidR="001652FB">
        <w:br/>
      </w:r>
      <w:r w:rsidR="00CE1261">
        <w:t>Water Revenue Adjustment Mechanism</w:t>
      </w:r>
      <w:r w:rsidR="00432045">
        <w:t>s</w:t>
      </w:r>
      <w:r w:rsidR="003B62D6">
        <w:t xml:space="preserve"> </w:t>
      </w:r>
      <w:r w:rsidR="001652FB">
        <w:br/>
      </w:r>
      <w:r w:rsidR="00CE1261">
        <w:t>and Modified Cost Balancing Account</w:t>
      </w:r>
      <w:r w:rsidR="00432045">
        <w:t>s</w:t>
      </w:r>
    </w:p>
    <w:p w:rsidR="0072560E" w:rsidRPr="00143F08" w:rsidP="00143F08" w14:paraId="43638EA8" w14:textId="77777777">
      <w:pPr>
        <w:pStyle w:val="MemoText"/>
        <w:spacing w:line="400" w:lineRule="exact"/>
      </w:pPr>
      <w:r>
        <w:t xml:space="preserve">After </w:t>
      </w:r>
      <w:r w:rsidR="00CE1261">
        <w:t xml:space="preserve">approving the </w:t>
      </w:r>
      <w:r w:rsidRPr="00143F08" w:rsidR="008F24AA">
        <w:t>Water Revenue Adjustment Mechanism</w:t>
      </w:r>
      <w:r w:rsidR="00651CCC">
        <w:t>/</w:t>
      </w:r>
      <w:r w:rsidRPr="00143F08" w:rsidR="00DD4DBB">
        <w:t>Modified Cost Balancing Account</w:t>
      </w:r>
      <w:r w:rsidR="00651CCC">
        <w:t xml:space="preserve"> approach</w:t>
      </w:r>
      <w:r w:rsidR="00CE1261">
        <w:t xml:space="preserve"> in 2008, the Commission</w:t>
      </w:r>
      <w:r w:rsidR="00D01A43">
        <w:t xml:space="preserve"> conducted various proceedings </w:t>
      </w:r>
      <w:r w:rsidR="00C62BF6">
        <w:t xml:space="preserve">addressing the </w:t>
      </w:r>
      <w:r w:rsidR="00CE1261">
        <w:t xml:space="preserve">efficacy </w:t>
      </w:r>
      <w:r w:rsidR="00D01A43">
        <w:t xml:space="preserve">and advisability </w:t>
      </w:r>
      <w:r w:rsidR="00CE1261">
        <w:t xml:space="preserve">of </w:t>
      </w:r>
      <w:r w:rsidR="00D01A43">
        <w:t xml:space="preserve">maintaining </w:t>
      </w:r>
      <w:r w:rsidR="00CE1261">
        <w:t>th</w:t>
      </w:r>
      <w:r w:rsidR="00D01A43">
        <w:t>at</w:t>
      </w:r>
      <w:r w:rsidR="00CE1261">
        <w:t xml:space="preserve"> approach.  </w:t>
      </w:r>
    </w:p>
    <w:p w:rsidR="00B158C3" w:rsidP="00473186" w14:paraId="43638EA9" w14:textId="77777777">
      <w:pPr>
        <w:pStyle w:val="MemoText"/>
        <w:spacing w:line="400" w:lineRule="exact"/>
      </w:pPr>
      <w:r w:rsidRPr="00143F08">
        <w:t xml:space="preserve">In 2012, </w:t>
      </w:r>
      <w:r w:rsidRPr="00143F08" w:rsidR="00116B94">
        <w:t xml:space="preserve">the Commission </w:t>
      </w:r>
      <w:r w:rsidRPr="00143F08" w:rsidR="00060939">
        <w:t>concluded</w:t>
      </w:r>
      <w:r w:rsidRPr="00143F08" w:rsidR="009D79B9">
        <w:t xml:space="preserve"> that it “require[d] a more vigorous review of the Water Revenue Adjustment Mechanism/</w:t>
      </w:r>
      <w:r w:rsidRPr="00143F08" w:rsidR="00256231">
        <w:t xml:space="preserve">Modified </w:t>
      </w:r>
      <w:r w:rsidRPr="00143F08" w:rsidR="009D79B9">
        <w:t xml:space="preserve">Cost Balancing Account (WRAM/MCBA) mechanisms </w:t>
      </w:r>
      <w:r w:rsidRPr="00143F08" w:rsidR="00256231">
        <w:t>and options to the mechanisms, as well as sales forecasting,</w:t>
      </w:r>
      <w:r w:rsidR="005074EE">
        <w:t>” to be conducted in pending and future general rate case proceedings.</w:t>
      </w:r>
      <w:r w:rsidRPr="00143F08" w:rsidR="00350630">
        <w:t xml:space="preserve"> </w:t>
      </w:r>
      <w:r w:rsidR="00B20760">
        <w:t xml:space="preserve"> </w:t>
      </w:r>
      <w:r w:rsidRPr="00143F08" w:rsidR="004F4CEA">
        <w:t>(</w:t>
      </w:r>
      <w:r w:rsidRPr="00143F08" w:rsidR="00E151ED">
        <w:rPr>
          <w:i/>
          <w:iCs/>
        </w:rPr>
        <w:t>Decision Addressing Amortization of Water Revenue Adjustment Mechanism Related Accounts and Granting in Part Modification to Decision</w:t>
      </w:r>
      <w:r w:rsidRPr="00143F08" w:rsidR="00E151ED">
        <w:t xml:space="preserve"> (Apr. 19, 2012) </w:t>
      </w:r>
      <w:r w:rsidR="00B20760">
        <w:t xml:space="preserve">Cal.P.U.C. </w:t>
      </w:r>
      <w:r w:rsidR="003B62D6">
        <w:t xml:space="preserve">Dec. </w:t>
      </w:r>
      <w:r w:rsidRPr="00143F08" w:rsidR="00E151ED">
        <w:t>No.</w:t>
      </w:r>
      <w:r w:rsidRPr="00143F08" w:rsidR="005D1C16">
        <w:t> </w:t>
      </w:r>
      <w:r w:rsidRPr="00143F08" w:rsidR="00E151ED">
        <w:t>12-04-048</w:t>
      </w:r>
      <w:r w:rsidR="00B20760">
        <w:t xml:space="preserve"> [</w:t>
      </w:r>
      <w:r w:rsidRPr="00143F08" w:rsidR="00E151ED">
        <w:t xml:space="preserve">2012 Cal.P.U.C. </w:t>
      </w:r>
      <w:r w:rsidRPr="00143F08" w:rsidR="003D6789">
        <w:t xml:space="preserve">Lexis </w:t>
      </w:r>
      <w:r w:rsidRPr="00143F08" w:rsidR="00E151ED">
        <w:t>191, *60–*61</w:t>
      </w:r>
      <w:r w:rsidR="00B20760">
        <w:t>]</w:t>
      </w:r>
      <w:r w:rsidRPr="00143F08" w:rsidR="006C4FCD">
        <w:t xml:space="preserve"> (</w:t>
      </w:r>
      <w:r w:rsidRPr="00143F08" w:rsidR="006C4FCD">
        <w:rPr>
          <w:i/>
          <w:iCs/>
        </w:rPr>
        <w:t xml:space="preserve">Decision </w:t>
      </w:r>
      <w:r w:rsidRPr="00143F08" w:rsidR="00F742AB">
        <w:rPr>
          <w:i/>
          <w:iCs/>
        </w:rPr>
        <w:t>12-04-048</w:t>
      </w:r>
      <w:r w:rsidRPr="00143F08" w:rsidR="004F4CEA">
        <w:t>)</w:t>
      </w:r>
      <w:r w:rsidRPr="00143F08" w:rsidR="00F742AB">
        <w:t>.)</w:t>
      </w:r>
      <w:r w:rsidRPr="00143F08" w:rsidR="00D94981">
        <w:t xml:space="preserve">  </w:t>
      </w:r>
      <w:r w:rsidR="00CE1261">
        <w:t xml:space="preserve">The Commission ordered that in </w:t>
      </w:r>
      <w:r w:rsidR="004D00A9">
        <w:t xml:space="preserve">these </w:t>
      </w:r>
      <w:r w:rsidR="00CE1261">
        <w:t xml:space="preserve">upcoming </w:t>
      </w:r>
      <w:r w:rsidR="004D00A9">
        <w:t xml:space="preserve">general rate case </w:t>
      </w:r>
      <w:r w:rsidR="00CE1261">
        <w:t xml:space="preserve">proceedings, applicants should provide testimony addressing various </w:t>
      </w:r>
      <w:r w:rsidR="00C62BF6">
        <w:t>alternatives</w:t>
      </w:r>
      <w:r w:rsidR="00F46989">
        <w:t>, including “eliminat[ing] the WRAM mechanism” and “adopt[ing] a Monterey-style WRAM</w:t>
      </w:r>
      <w:r w:rsidR="001500DB">
        <w:t xml:space="preserve"> </w:t>
      </w:r>
      <w:r w:rsidR="00F46989">
        <w:t>rather than the existing full WRAM.”</w:t>
      </w:r>
      <w:r w:rsidR="001500DB">
        <w:t xml:space="preserve">  </w:t>
      </w:r>
      <w:r w:rsidR="0068435E">
        <w:t>(</w:t>
      </w:r>
      <w:r w:rsidRPr="00F11413" w:rsidR="0068435E">
        <w:rPr>
          <w:i/>
          <w:iCs/>
        </w:rPr>
        <w:t>Id.</w:t>
      </w:r>
      <w:r w:rsidR="00025FDD">
        <w:t xml:space="preserve">, </w:t>
      </w:r>
      <w:r w:rsidR="0068435E">
        <w:t>at pp. *62, *61.)</w:t>
      </w:r>
    </w:p>
    <w:p w:rsidR="00AC1522" w:rsidRPr="00143F08" w:rsidP="00C62BF6" w14:paraId="43638EAA" w14:textId="77777777">
      <w:pPr>
        <w:pStyle w:val="MemoText"/>
        <w:spacing w:line="400" w:lineRule="exact"/>
        <w:rPr>
          <w:rStyle w:val="acy"/>
          <w:color w:val="000000"/>
          <w:bdr w:val="none" w:sz="0" w:space="0" w:color="auto" w:frame="1"/>
          <w:shd w:val="clear" w:color="auto" w:fill="FFFFFF"/>
        </w:rPr>
      </w:pPr>
      <w:r w:rsidRPr="00143F08">
        <w:t xml:space="preserve">In 2013, in connection with Golden State Water Company’s general rate case, </w:t>
      </w:r>
      <w:r w:rsidRPr="00143F08" w:rsidR="00A06876">
        <w:t>the Commission issued a decision addressing “the first review of Golden State’s conservation rate pilot programs</w:t>
      </w:r>
      <w:r w:rsidRPr="00143F08" w:rsidR="00C94239">
        <w:t xml:space="preserve"> . . .</w:t>
      </w:r>
      <w:r w:rsidRPr="00143F08" w:rsidR="00C257DC">
        <w:t> </w:t>
      </w:r>
      <w:r w:rsidRPr="00143F08" w:rsidR="00C94239">
        <w:t>, including a review of the Water Revenue Adjustment Mechanism</w:t>
      </w:r>
      <w:r w:rsidRPr="00143F08" w:rsidR="00711FDA">
        <w:t xml:space="preserve"> (WRAM)</w:t>
      </w:r>
      <w:r w:rsidRPr="00143F08" w:rsidR="00C94239">
        <w:t xml:space="preserve"> and Modified Cost Balancing Account</w:t>
      </w:r>
      <w:r w:rsidRPr="00143F08" w:rsidR="00711FDA">
        <w:t xml:space="preserve"> (MCBA)</w:t>
      </w:r>
      <w:r w:rsidRPr="00143F08" w:rsidR="00C94239">
        <w:t>.</w:t>
      </w:r>
      <w:r w:rsidRPr="00143F08" w:rsidR="00A73991">
        <w:t>”</w:t>
      </w:r>
      <w:r w:rsidRPr="00143F08" w:rsidR="00A73991">
        <w:rPr>
          <w:szCs w:val="22"/>
        </w:rPr>
        <w:t xml:space="preserve">  (</w:t>
      </w:r>
      <w:r w:rsidRPr="00143F08" w:rsidR="003D6789">
        <w:rPr>
          <w:i/>
          <w:iCs/>
          <w:szCs w:val="22"/>
        </w:rPr>
        <w:t>Decision on the 2011 General Rate Case for Golden State Water Company</w:t>
      </w:r>
      <w:r w:rsidRPr="00143F08" w:rsidR="003D6789">
        <w:rPr>
          <w:szCs w:val="22"/>
        </w:rPr>
        <w:t xml:space="preserve"> (May 9, 2013) </w:t>
      </w:r>
      <w:r w:rsidR="00B20760">
        <w:rPr>
          <w:szCs w:val="22"/>
        </w:rPr>
        <w:t xml:space="preserve">Cal.P.U.C. Dec. </w:t>
      </w:r>
      <w:r w:rsidRPr="00143F08" w:rsidR="003D6789">
        <w:rPr>
          <w:szCs w:val="22"/>
        </w:rPr>
        <w:t>No.</w:t>
      </w:r>
      <w:r w:rsidRPr="00143F08" w:rsidR="005D1C16">
        <w:rPr>
          <w:szCs w:val="22"/>
        </w:rPr>
        <w:t> </w:t>
      </w:r>
      <w:r w:rsidRPr="00143F08" w:rsidR="003D6789">
        <w:rPr>
          <w:szCs w:val="22"/>
        </w:rPr>
        <w:t>13-05-</w:t>
      </w:r>
      <w:r w:rsidRPr="00143F08" w:rsidR="00D148A9">
        <w:rPr>
          <w:szCs w:val="22"/>
        </w:rPr>
        <w:t>0</w:t>
      </w:r>
      <w:r w:rsidRPr="00143F08" w:rsidR="003D6789">
        <w:rPr>
          <w:szCs w:val="22"/>
        </w:rPr>
        <w:t>11</w:t>
      </w:r>
      <w:r w:rsidR="00B20760">
        <w:rPr>
          <w:szCs w:val="22"/>
        </w:rPr>
        <w:t xml:space="preserve"> [</w:t>
      </w:r>
      <w:r w:rsidRPr="00143F08" w:rsidR="003D6789">
        <w:rPr>
          <w:szCs w:val="22"/>
        </w:rPr>
        <w:t>2013 Cal.P.U.C. Lexis 221, *2</w:t>
      </w:r>
      <w:r w:rsidR="00B20760">
        <w:rPr>
          <w:szCs w:val="22"/>
        </w:rPr>
        <w:t>]</w:t>
      </w:r>
      <w:r w:rsidRPr="00143F08" w:rsidR="003D6789">
        <w:rPr>
          <w:szCs w:val="22"/>
        </w:rPr>
        <w:t xml:space="preserve">.)  </w:t>
      </w:r>
      <w:r w:rsidRPr="00143F08" w:rsidR="00711FDA">
        <w:rPr>
          <w:rStyle w:val="acy"/>
          <w:color w:val="000000"/>
          <w:bdr w:val="none" w:sz="0" w:space="0" w:color="auto" w:frame="1"/>
          <w:shd w:val="clear" w:color="auto" w:fill="FFFFFF"/>
        </w:rPr>
        <w:t>The decision found “that the WRAMs/MCBAs are achieving their stated purpose by severing the relationship between sales and revenue and removing most disincentives for Golden State to implement conservation rates and conservation programs.”  (</w:t>
      </w:r>
      <w:r w:rsidRPr="00143F08" w:rsidR="00711FDA">
        <w:rPr>
          <w:rStyle w:val="acy"/>
          <w:i/>
          <w:iCs/>
          <w:color w:val="000000"/>
          <w:bdr w:val="none" w:sz="0" w:space="0" w:color="auto" w:frame="1"/>
          <w:shd w:val="clear" w:color="auto" w:fill="FFFFFF"/>
        </w:rPr>
        <w:t>Id.</w:t>
      </w:r>
      <w:r w:rsidRPr="00143F08" w:rsidR="00276298">
        <w:rPr>
          <w:rStyle w:val="acy"/>
          <w:color w:val="000000"/>
          <w:bdr w:val="none" w:sz="0" w:space="0" w:color="auto" w:frame="1"/>
          <w:shd w:val="clear" w:color="auto" w:fill="FFFFFF"/>
        </w:rPr>
        <w:t>,</w:t>
      </w:r>
      <w:r w:rsidRPr="00143F08" w:rsidR="00711FDA">
        <w:rPr>
          <w:rStyle w:val="acy"/>
          <w:color w:val="000000"/>
          <w:bdr w:val="none" w:sz="0" w:space="0" w:color="auto" w:frame="1"/>
          <w:shd w:val="clear" w:color="auto" w:fill="FFFFFF"/>
        </w:rPr>
        <w:t xml:space="preserve"> at pp. *2–</w:t>
      </w:r>
      <w:r w:rsidRPr="00143F08" w:rsidR="00C257DC">
        <w:rPr>
          <w:rStyle w:val="acy"/>
          <w:color w:val="000000"/>
          <w:bdr w:val="none" w:sz="0" w:space="0" w:color="auto" w:frame="1"/>
          <w:shd w:val="clear" w:color="auto" w:fill="FFFFFF"/>
        </w:rPr>
        <w:t>*</w:t>
      </w:r>
      <w:r w:rsidRPr="00143F08" w:rsidR="00711FDA">
        <w:rPr>
          <w:rStyle w:val="acy"/>
          <w:color w:val="000000"/>
          <w:bdr w:val="none" w:sz="0" w:space="0" w:color="auto" w:frame="1"/>
          <w:shd w:val="clear" w:color="auto" w:fill="FFFFFF"/>
        </w:rPr>
        <w:t>3</w:t>
      </w:r>
      <w:r w:rsidRPr="00143F08" w:rsidR="00CE4F63">
        <w:rPr>
          <w:rStyle w:val="acy"/>
          <w:color w:val="000000"/>
          <w:bdr w:val="none" w:sz="0" w:space="0" w:color="auto" w:frame="1"/>
          <w:shd w:val="clear" w:color="auto" w:fill="FFFFFF"/>
        </w:rPr>
        <w:t>.)</w:t>
      </w:r>
      <w:r w:rsidRPr="00143F08" w:rsidR="00427AC4">
        <w:rPr>
          <w:rStyle w:val="acy"/>
          <w:color w:val="000000"/>
          <w:bdr w:val="none" w:sz="0" w:space="0" w:color="auto" w:frame="1"/>
          <w:shd w:val="clear" w:color="auto" w:fill="FFFFFF"/>
        </w:rPr>
        <w:t xml:space="preserve">  The decision acknowledged</w:t>
      </w:r>
      <w:r w:rsidRPr="00143F08" w:rsidR="00A05354">
        <w:rPr>
          <w:rStyle w:val="acy"/>
          <w:color w:val="000000"/>
          <w:bdr w:val="none" w:sz="0" w:space="0" w:color="auto" w:frame="1"/>
          <w:shd w:val="clear" w:color="auto" w:fill="FFFFFF"/>
        </w:rPr>
        <w:t xml:space="preserve"> </w:t>
      </w:r>
      <w:r w:rsidR="001327DA">
        <w:rPr>
          <w:rStyle w:val="acy"/>
          <w:color w:val="000000"/>
          <w:bdr w:val="none" w:sz="0" w:space="0" w:color="auto" w:frame="1"/>
          <w:shd w:val="clear" w:color="auto" w:fill="FFFFFF"/>
        </w:rPr>
        <w:t xml:space="preserve">difficulties with implementation:  </w:t>
      </w:r>
      <w:r w:rsidRPr="00143F08" w:rsidR="004E41D5">
        <w:rPr>
          <w:rStyle w:val="acy"/>
          <w:color w:val="000000"/>
          <w:bdr w:val="none" w:sz="0" w:space="0" w:color="auto" w:frame="1"/>
          <w:shd w:val="clear" w:color="auto" w:fill="FFFFFF"/>
        </w:rPr>
        <w:t>“</w:t>
      </w:r>
      <w:r w:rsidR="001327DA">
        <w:rPr>
          <w:rStyle w:val="acy"/>
          <w:color w:val="000000"/>
          <w:bdr w:val="none" w:sz="0" w:space="0" w:color="auto" w:frame="1"/>
          <w:shd w:val="clear" w:color="auto" w:fill="FFFFFF"/>
        </w:rPr>
        <w:t>B</w:t>
      </w:r>
      <w:r w:rsidRPr="00143F08" w:rsidR="004E41D5">
        <w:rPr>
          <w:rStyle w:val="acy"/>
          <w:color w:val="000000"/>
          <w:bdr w:val="none" w:sz="0" w:space="0" w:color="auto" w:frame="1"/>
          <w:shd w:val="clear" w:color="auto" w:fill="FFFFFF"/>
        </w:rPr>
        <w:t>ecause Golden State is authorized to collect via the WRAM the difference between its authorized and actual revenues, the over-estimate of forecasted water consumption has resulted in substantial under-collection of authorized revenues.</w:t>
      </w:r>
      <w:r w:rsidRPr="00143F08" w:rsidR="00AA715C">
        <w:rPr>
          <w:rStyle w:val="acy"/>
          <w:color w:val="000000"/>
          <w:bdr w:val="none" w:sz="0" w:space="0" w:color="auto" w:frame="1"/>
          <w:shd w:val="clear" w:color="auto" w:fill="FFFFFF"/>
        </w:rPr>
        <w:t xml:space="preserve">  Parties identify the sales forecasting methodology as a factor leading to large WRAM balances but state that other factors such as weather, the economy, drought declarations, or community involvement in conservation programs also reduce consumption and thereby affect WRAM balances.  Whatever the cause, the large revenue under-collections result in large WRAM surcharges that customers perceive as punishment for conserving water.”  (</w:t>
      </w:r>
      <w:r w:rsidRPr="00143F08" w:rsidR="00AA715C">
        <w:rPr>
          <w:rStyle w:val="acy"/>
          <w:i/>
          <w:iCs/>
          <w:color w:val="000000"/>
          <w:bdr w:val="none" w:sz="0" w:space="0" w:color="auto" w:frame="1"/>
          <w:shd w:val="clear" w:color="auto" w:fill="FFFFFF"/>
        </w:rPr>
        <w:t>Id.</w:t>
      </w:r>
      <w:r w:rsidRPr="00143F08" w:rsidR="005D1C16">
        <w:rPr>
          <w:rStyle w:val="acy"/>
          <w:color w:val="000000"/>
          <w:bdr w:val="none" w:sz="0" w:space="0" w:color="auto" w:frame="1"/>
          <w:shd w:val="clear" w:color="auto" w:fill="FFFFFF"/>
        </w:rPr>
        <w:t>,</w:t>
      </w:r>
      <w:r w:rsidRPr="00143F08" w:rsidR="00AA715C">
        <w:rPr>
          <w:rStyle w:val="acy"/>
          <w:color w:val="000000"/>
          <w:bdr w:val="none" w:sz="0" w:space="0" w:color="auto" w:frame="1"/>
          <w:shd w:val="clear" w:color="auto" w:fill="FFFFFF"/>
        </w:rPr>
        <w:t xml:space="preserve"> at p. *102, f</w:t>
      </w:r>
      <w:r w:rsidRPr="00143F08" w:rsidR="00C257DC">
        <w:rPr>
          <w:rStyle w:val="acy"/>
          <w:color w:val="000000"/>
          <w:bdr w:val="none" w:sz="0" w:space="0" w:color="auto" w:frame="1"/>
          <w:shd w:val="clear" w:color="auto" w:fill="FFFFFF"/>
        </w:rPr>
        <w:t>n.</w:t>
      </w:r>
      <w:r w:rsidRPr="00143F08" w:rsidR="00AA715C">
        <w:rPr>
          <w:rStyle w:val="acy"/>
          <w:color w:val="000000"/>
          <w:bdr w:val="none" w:sz="0" w:space="0" w:color="auto" w:frame="1"/>
          <w:shd w:val="clear" w:color="auto" w:fill="FFFFFF"/>
        </w:rPr>
        <w:t xml:space="preserve"> omitted.)</w:t>
      </w:r>
      <w:r w:rsidRPr="00143F08" w:rsidR="00E576C9">
        <w:rPr>
          <w:rStyle w:val="acy"/>
          <w:color w:val="000000"/>
          <w:bdr w:val="none" w:sz="0" w:space="0" w:color="auto" w:frame="1"/>
          <w:shd w:val="clear" w:color="auto" w:fill="FFFFFF"/>
        </w:rPr>
        <w:t xml:space="preserve">  Nevertheless, </w:t>
      </w:r>
      <w:r w:rsidRPr="00143F08" w:rsidR="00FA0394">
        <w:rPr>
          <w:rStyle w:val="acy"/>
          <w:color w:val="000000"/>
          <w:bdr w:val="none" w:sz="0" w:space="0" w:color="auto" w:frame="1"/>
          <w:shd w:val="clear" w:color="auto" w:fill="FFFFFF"/>
        </w:rPr>
        <w:t>“[b]ecause the WRAMs/MCBAs established for Golden State are functioning as intended,</w:t>
      </w:r>
      <w:r w:rsidR="00C62BF6">
        <w:rPr>
          <w:rStyle w:val="acy"/>
          <w:color w:val="000000"/>
          <w:bdr w:val="none" w:sz="0" w:space="0" w:color="auto" w:frame="1"/>
          <w:shd w:val="clear" w:color="auto" w:fill="FFFFFF"/>
        </w:rPr>
        <w:t xml:space="preserve">” the Commission determined that none of the alternatives </w:t>
      </w:r>
      <w:r w:rsidR="001327DA">
        <w:rPr>
          <w:rStyle w:val="acy"/>
          <w:color w:val="000000"/>
          <w:bdr w:val="none" w:sz="0" w:space="0" w:color="auto" w:frame="1"/>
          <w:shd w:val="clear" w:color="auto" w:fill="FFFFFF"/>
        </w:rPr>
        <w:t xml:space="preserve">described </w:t>
      </w:r>
      <w:r w:rsidR="00C62BF6">
        <w:rPr>
          <w:rStyle w:val="acy"/>
          <w:color w:val="000000"/>
          <w:bdr w:val="none" w:sz="0" w:space="0" w:color="auto" w:frame="1"/>
          <w:shd w:val="clear" w:color="auto" w:fill="FFFFFF"/>
        </w:rPr>
        <w:t>in the 2012 order</w:t>
      </w:r>
      <w:r w:rsidR="001327DA">
        <w:rPr>
          <w:rStyle w:val="acy"/>
          <w:color w:val="000000"/>
          <w:bdr w:val="none" w:sz="0" w:space="0" w:color="auto" w:frame="1"/>
          <w:shd w:val="clear" w:color="auto" w:fill="FFFFFF"/>
        </w:rPr>
        <w:t xml:space="preserve"> </w:t>
      </w:r>
      <w:r w:rsidRPr="00143F08" w:rsidR="007A5395">
        <w:rPr>
          <w:rStyle w:val="acy"/>
          <w:color w:val="000000"/>
          <w:bdr w:val="none" w:sz="0" w:space="0" w:color="auto" w:frame="1"/>
          <w:shd w:val="clear" w:color="auto" w:fill="FFFFFF"/>
        </w:rPr>
        <w:t>“should be adopted at this time.”  (</w:t>
      </w:r>
      <w:r w:rsidRPr="00143F08" w:rsidR="007A5395">
        <w:rPr>
          <w:rStyle w:val="acy"/>
          <w:i/>
          <w:iCs/>
          <w:color w:val="000000"/>
          <w:bdr w:val="none" w:sz="0" w:space="0" w:color="auto" w:frame="1"/>
          <w:shd w:val="clear" w:color="auto" w:fill="FFFFFF"/>
        </w:rPr>
        <w:t>Id.</w:t>
      </w:r>
      <w:r w:rsidRPr="00143F08" w:rsidR="005D1C16">
        <w:rPr>
          <w:rStyle w:val="acy"/>
          <w:color w:val="000000"/>
          <w:bdr w:val="none" w:sz="0" w:space="0" w:color="auto" w:frame="1"/>
          <w:shd w:val="clear" w:color="auto" w:fill="FFFFFF"/>
        </w:rPr>
        <w:t>,</w:t>
      </w:r>
      <w:r w:rsidRPr="00143F08" w:rsidR="007A5395">
        <w:rPr>
          <w:rStyle w:val="acy"/>
          <w:color w:val="000000"/>
          <w:bdr w:val="none" w:sz="0" w:space="0" w:color="auto" w:frame="1"/>
          <w:shd w:val="clear" w:color="auto" w:fill="FFFFFF"/>
        </w:rPr>
        <w:t xml:space="preserve"> at p. *110.)</w:t>
      </w:r>
      <w:r w:rsidRPr="00143F08" w:rsidR="00795848">
        <w:rPr>
          <w:rStyle w:val="acy"/>
          <w:color w:val="000000"/>
          <w:bdr w:val="none" w:sz="0" w:space="0" w:color="auto" w:frame="1"/>
          <w:shd w:val="clear" w:color="auto" w:fill="FFFFFF"/>
        </w:rPr>
        <w:t xml:space="preserve">  </w:t>
      </w:r>
      <w:r w:rsidRPr="00143F08" w:rsidR="0059421C">
        <w:rPr>
          <w:rStyle w:val="acy"/>
          <w:color w:val="000000"/>
          <w:bdr w:val="none" w:sz="0" w:space="0" w:color="auto" w:frame="1"/>
          <w:shd w:val="clear" w:color="auto" w:fill="FFFFFF"/>
        </w:rPr>
        <w:t>T</w:t>
      </w:r>
      <w:r w:rsidRPr="00143F08" w:rsidR="00795848">
        <w:rPr>
          <w:rStyle w:val="acy"/>
          <w:color w:val="000000"/>
          <w:bdr w:val="none" w:sz="0" w:space="0" w:color="auto" w:frame="1"/>
          <w:shd w:val="clear" w:color="auto" w:fill="FFFFFF"/>
        </w:rPr>
        <w:t xml:space="preserve">he Commission </w:t>
      </w:r>
      <w:r w:rsidR="001327DA">
        <w:rPr>
          <w:rStyle w:val="acy"/>
          <w:color w:val="000000"/>
          <w:bdr w:val="none" w:sz="0" w:space="0" w:color="auto" w:frame="1"/>
          <w:shd w:val="clear" w:color="auto" w:fill="FFFFFF"/>
        </w:rPr>
        <w:t>thus declined to either eliminate the WRAM or switch to a Monterey-style WRAM.  The latter option, the Commission concluded, “</w:t>
      </w:r>
      <w:r w:rsidRPr="00143F08" w:rsidR="00E36F99">
        <w:rPr>
          <w:rStyle w:val="acy"/>
          <w:color w:val="000000"/>
          <w:bdr w:val="none" w:sz="0" w:space="0" w:color="auto" w:frame="1"/>
          <w:shd w:val="clear" w:color="auto" w:fill="FFFFFF"/>
        </w:rPr>
        <w:t>should not be adopted because [it] would tie sales to revenues, and, as a result, could discourage Golden State from offering conservation rates and conservation programs, and undermine efforts to reduce water consumption.”  (</w:t>
      </w:r>
      <w:r w:rsidRPr="00143F08" w:rsidR="00E36F99">
        <w:rPr>
          <w:rStyle w:val="acy"/>
          <w:i/>
          <w:iCs/>
          <w:color w:val="000000"/>
          <w:bdr w:val="none" w:sz="0" w:space="0" w:color="auto" w:frame="1"/>
          <w:shd w:val="clear" w:color="auto" w:fill="FFFFFF"/>
        </w:rPr>
        <w:t>Id.</w:t>
      </w:r>
      <w:r w:rsidRPr="00143F08" w:rsidR="005D1C16">
        <w:rPr>
          <w:rStyle w:val="acy"/>
          <w:color w:val="000000"/>
          <w:bdr w:val="none" w:sz="0" w:space="0" w:color="auto" w:frame="1"/>
          <w:shd w:val="clear" w:color="auto" w:fill="FFFFFF"/>
        </w:rPr>
        <w:t>,</w:t>
      </w:r>
      <w:r w:rsidRPr="00143F08" w:rsidR="00E36F99">
        <w:rPr>
          <w:rStyle w:val="acy"/>
          <w:color w:val="000000"/>
          <w:bdr w:val="none" w:sz="0" w:space="0" w:color="auto" w:frame="1"/>
          <w:shd w:val="clear" w:color="auto" w:fill="FFFFFF"/>
        </w:rPr>
        <w:t xml:space="preserve"> at p. *113.)</w:t>
      </w:r>
    </w:p>
    <w:p w:rsidR="00F65AAD" w:rsidRPr="00143F08" w:rsidP="00143F08" w14:paraId="43638EAB" w14:textId="77777777">
      <w:pPr>
        <w:pStyle w:val="MemoText"/>
        <w:spacing w:line="400" w:lineRule="exact"/>
        <w:rPr>
          <w:rStyle w:val="acy"/>
          <w:color w:val="000000"/>
          <w:bdr w:val="none" w:sz="0" w:space="0" w:color="auto" w:frame="1"/>
          <w:shd w:val="clear" w:color="auto" w:fill="FFFFFF"/>
        </w:rPr>
      </w:pPr>
      <w:r w:rsidRPr="00143F08">
        <w:rPr>
          <w:rStyle w:val="acy"/>
          <w:color w:val="000000"/>
          <w:bdr w:val="none" w:sz="0" w:space="0" w:color="auto" w:frame="1"/>
          <w:shd w:val="clear" w:color="auto" w:fill="FFFFFF"/>
        </w:rPr>
        <w:t xml:space="preserve">In 2015, </w:t>
      </w:r>
      <w:r w:rsidRPr="00143F08" w:rsidR="0067704C">
        <w:rPr>
          <w:rStyle w:val="acy"/>
          <w:color w:val="000000"/>
          <w:bdr w:val="none" w:sz="0" w:space="0" w:color="auto" w:frame="1"/>
          <w:shd w:val="clear" w:color="auto" w:fill="FFFFFF"/>
        </w:rPr>
        <w:t xml:space="preserve">the </w:t>
      </w:r>
      <w:r w:rsidRPr="00143F08" w:rsidR="00395DB3">
        <w:rPr>
          <w:rStyle w:val="acy"/>
          <w:color w:val="000000"/>
          <w:bdr w:val="none" w:sz="0" w:space="0" w:color="auto" w:frame="1"/>
          <w:shd w:val="clear" w:color="auto" w:fill="FFFFFF"/>
        </w:rPr>
        <w:t>Commission issued a scoping memo</w:t>
      </w:r>
      <w:r w:rsidR="00432045">
        <w:rPr>
          <w:rStyle w:val="acy"/>
          <w:color w:val="000000"/>
          <w:bdr w:val="none" w:sz="0" w:space="0" w:color="auto" w:frame="1"/>
          <w:shd w:val="clear" w:color="auto" w:fill="FFFFFF"/>
        </w:rPr>
        <w:t xml:space="preserve"> </w:t>
      </w:r>
      <w:r w:rsidRPr="00143F08" w:rsidR="00432045">
        <w:rPr>
          <w:rStyle w:val="acy"/>
          <w:color w:val="000000"/>
          <w:bdr w:val="none" w:sz="0" w:space="0" w:color="auto" w:frame="1"/>
          <w:shd w:val="clear" w:color="auto" w:fill="FFFFFF"/>
        </w:rPr>
        <w:t>in connection with a rulemaking</w:t>
      </w:r>
      <w:r w:rsidR="00432045">
        <w:rPr>
          <w:rStyle w:val="acy"/>
          <w:color w:val="000000"/>
          <w:bdr w:val="none" w:sz="0" w:space="0" w:color="auto" w:frame="1"/>
          <w:shd w:val="clear" w:color="auto" w:fill="FFFFFF"/>
        </w:rPr>
        <w:t xml:space="preserve"> proceeding</w:t>
      </w:r>
      <w:r w:rsidRPr="00143F08" w:rsidR="005A6BEB">
        <w:rPr>
          <w:rStyle w:val="acy"/>
          <w:color w:val="000000"/>
          <w:bdr w:val="none" w:sz="0" w:space="0" w:color="auto" w:frame="1"/>
          <w:shd w:val="clear" w:color="auto" w:fill="FFFFFF"/>
        </w:rPr>
        <w:t xml:space="preserve">.  By </w:t>
      </w:r>
      <w:r w:rsidR="00432045">
        <w:rPr>
          <w:rStyle w:val="acy"/>
          <w:color w:val="000000"/>
          <w:bdr w:val="none" w:sz="0" w:space="0" w:color="auto" w:frame="1"/>
          <w:shd w:val="clear" w:color="auto" w:fill="FFFFFF"/>
        </w:rPr>
        <w:t>statute</w:t>
      </w:r>
      <w:r w:rsidRPr="00143F08" w:rsidR="005A6BEB">
        <w:rPr>
          <w:rStyle w:val="acy"/>
          <w:color w:val="000000"/>
          <w:bdr w:val="none" w:sz="0" w:space="0" w:color="auto" w:frame="1"/>
          <w:shd w:val="clear" w:color="auto" w:fill="FFFFFF"/>
        </w:rPr>
        <w:t xml:space="preserve">, a scoping memo issues after the start of a proceeding and, among other things, “describes the issues to be considered” in that proceeding.  (Pub. Util. Code, § 1701.1, subds. (b)(1), (c).)  </w:t>
      </w:r>
      <w:r w:rsidRPr="00143F08" w:rsidR="000C0658">
        <w:rPr>
          <w:rStyle w:val="acy"/>
          <w:color w:val="000000"/>
          <w:bdr w:val="none" w:sz="0" w:space="0" w:color="auto" w:frame="1"/>
          <w:shd w:val="clear" w:color="auto" w:fill="FFFFFF"/>
        </w:rPr>
        <w:t>Th</w:t>
      </w:r>
      <w:r w:rsidR="00432045">
        <w:rPr>
          <w:rStyle w:val="acy"/>
          <w:color w:val="000000"/>
          <w:bdr w:val="none" w:sz="0" w:space="0" w:color="auto" w:frame="1"/>
          <w:shd w:val="clear" w:color="auto" w:fill="FFFFFF"/>
        </w:rPr>
        <w:t xml:space="preserve">e 2015 </w:t>
      </w:r>
      <w:r w:rsidRPr="00143F08" w:rsidR="005A6BEB">
        <w:rPr>
          <w:rStyle w:val="acy"/>
          <w:color w:val="000000"/>
          <w:bdr w:val="none" w:sz="0" w:space="0" w:color="auto" w:frame="1"/>
          <w:shd w:val="clear" w:color="auto" w:fill="FFFFFF"/>
        </w:rPr>
        <w:t xml:space="preserve">scoping memo solicited </w:t>
      </w:r>
      <w:r w:rsidRPr="00143F08" w:rsidR="00CF2D9C">
        <w:rPr>
          <w:rStyle w:val="acy"/>
          <w:color w:val="000000"/>
          <w:bdr w:val="none" w:sz="0" w:space="0" w:color="auto" w:frame="1"/>
          <w:shd w:val="clear" w:color="auto" w:fill="FFFFFF"/>
        </w:rPr>
        <w:t xml:space="preserve">feedback on </w:t>
      </w:r>
      <w:r w:rsidRPr="00143F08" w:rsidR="003D6789">
        <w:rPr>
          <w:rStyle w:val="acy"/>
          <w:color w:val="000000"/>
          <w:bdr w:val="none" w:sz="0" w:space="0" w:color="auto" w:frame="1"/>
          <w:shd w:val="clear" w:color="auto" w:fill="FFFFFF"/>
        </w:rPr>
        <w:t>16</w:t>
      </w:r>
      <w:r w:rsidRPr="00143F08" w:rsidR="00CF2D9C">
        <w:rPr>
          <w:rStyle w:val="acy"/>
          <w:color w:val="000000"/>
          <w:bdr w:val="none" w:sz="0" w:space="0" w:color="auto" w:frame="1"/>
          <w:shd w:val="clear" w:color="auto" w:fill="FFFFFF"/>
        </w:rPr>
        <w:t xml:space="preserve"> </w:t>
      </w:r>
      <w:r w:rsidRPr="00143F08" w:rsidR="00A7566F">
        <w:rPr>
          <w:rStyle w:val="acy"/>
          <w:color w:val="000000"/>
          <w:bdr w:val="none" w:sz="0" w:space="0" w:color="auto" w:frame="1"/>
          <w:shd w:val="clear" w:color="auto" w:fill="FFFFFF"/>
        </w:rPr>
        <w:t>topics, several of which</w:t>
      </w:r>
      <w:r w:rsidRPr="00143F08" w:rsidR="005A6BEB">
        <w:rPr>
          <w:rStyle w:val="acy"/>
          <w:color w:val="000000"/>
          <w:bdr w:val="none" w:sz="0" w:space="0" w:color="auto" w:frame="1"/>
          <w:shd w:val="clear" w:color="auto" w:fill="FFFFFF"/>
        </w:rPr>
        <w:t xml:space="preserve"> centered on</w:t>
      </w:r>
      <w:r w:rsidRPr="00143F08" w:rsidR="00A7566F">
        <w:rPr>
          <w:rStyle w:val="acy"/>
          <w:color w:val="000000"/>
          <w:bdr w:val="none" w:sz="0" w:space="0" w:color="auto" w:frame="1"/>
          <w:shd w:val="clear" w:color="auto" w:fill="FFFFFF"/>
        </w:rPr>
        <w:t xml:space="preserve"> </w:t>
      </w:r>
      <w:r w:rsidRPr="00143F08" w:rsidR="005A6BEB">
        <w:rPr>
          <w:rStyle w:val="acy"/>
          <w:color w:val="000000"/>
          <w:bdr w:val="none" w:sz="0" w:space="0" w:color="auto" w:frame="1"/>
          <w:shd w:val="clear" w:color="auto" w:fill="FFFFFF"/>
        </w:rPr>
        <w:t xml:space="preserve">Water </w:t>
      </w:r>
      <w:r w:rsidRPr="00143F08" w:rsidR="00A7566F">
        <w:rPr>
          <w:rStyle w:val="acy"/>
          <w:color w:val="000000"/>
          <w:bdr w:val="none" w:sz="0" w:space="0" w:color="auto" w:frame="1"/>
          <w:shd w:val="clear" w:color="auto" w:fill="FFFFFF"/>
        </w:rPr>
        <w:t>Revenue Adjustment Mechanism</w:t>
      </w:r>
      <w:r w:rsidRPr="00143F08" w:rsidR="00273F19">
        <w:rPr>
          <w:rStyle w:val="acy"/>
          <w:color w:val="000000"/>
          <w:bdr w:val="none" w:sz="0" w:space="0" w:color="auto" w:frame="1"/>
          <w:shd w:val="clear" w:color="auto" w:fill="FFFFFF"/>
        </w:rPr>
        <w:t>s and Modified Cost Balancing Accounts</w:t>
      </w:r>
      <w:r w:rsidRPr="00143F08" w:rsidR="005A6BEB">
        <w:rPr>
          <w:rStyle w:val="acy"/>
          <w:color w:val="000000"/>
          <w:bdr w:val="none" w:sz="0" w:space="0" w:color="auto" w:frame="1"/>
          <w:shd w:val="clear" w:color="auto" w:fill="FFFFFF"/>
        </w:rPr>
        <w:t>.  Among other things, the scoping memo asked whether these mechanisms</w:t>
      </w:r>
      <w:r w:rsidRPr="00143F08" w:rsidR="00656067">
        <w:rPr>
          <w:rStyle w:val="acy"/>
          <w:color w:val="000000"/>
          <w:bdr w:val="none" w:sz="0" w:space="0" w:color="auto" w:frame="1"/>
          <w:shd w:val="clear" w:color="auto" w:fill="FFFFFF"/>
        </w:rPr>
        <w:t xml:space="preserve"> encourage conservation and how they might be refined</w:t>
      </w:r>
      <w:r w:rsidRPr="00143F08" w:rsidR="00CF2D9C">
        <w:rPr>
          <w:rStyle w:val="acy"/>
          <w:color w:val="000000"/>
          <w:bdr w:val="none" w:sz="0" w:space="0" w:color="auto" w:frame="1"/>
          <w:shd w:val="clear" w:color="auto" w:fill="FFFFFF"/>
        </w:rPr>
        <w:t xml:space="preserve">.  </w:t>
      </w:r>
    </w:p>
    <w:p w:rsidR="009E375D" w:rsidRPr="00143F08" w:rsidP="00143F08" w14:paraId="43638EAC" w14:textId="77777777">
      <w:pPr>
        <w:pStyle w:val="MemoText"/>
        <w:spacing w:line="400" w:lineRule="exact"/>
        <w:rPr>
          <w:color w:val="000000"/>
          <w:bdr w:val="none" w:sz="0" w:space="0" w:color="auto" w:frame="1"/>
          <w:shd w:val="clear" w:color="auto" w:fill="FFFFFF"/>
        </w:rPr>
      </w:pPr>
      <w:r>
        <w:rPr>
          <w:rStyle w:val="acy"/>
          <w:color w:val="000000"/>
          <w:bdr w:val="none" w:sz="0" w:space="0" w:color="auto" w:frame="1"/>
          <w:shd w:val="clear" w:color="auto" w:fill="FFFFFF"/>
        </w:rPr>
        <w:t>I</w:t>
      </w:r>
      <w:r w:rsidRPr="00143F08" w:rsidR="00F21368">
        <w:rPr>
          <w:rStyle w:val="acy"/>
          <w:color w:val="000000"/>
          <w:bdr w:val="none" w:sz="0" w:space="0" w:color="auto" w:frame="1"/>
          <w:shd w:val="clear" w:color="auto" w:fill="FFFFFF"/>
        </w:rPr>
        <w:t xml:space="preserve">n December 2016, </w:t>
      </w:r>
      <w:r w:rsidRPr="00143F08" w:rsidR="00A4152A">
        <w:rPr>
          <w:rStyle w:val="acy"/>
          <w:color w:val="000000"/>
          <w:bdr w:val="none" w:sz="0" w:space="0" w:color="auto" w:frame="1"/>
          <w:shd w:val="clear" w:color="auto" w:fill="FFFFFF"/>
        </w:rPr>
        <w:t>the Commission</w:t>
      </w:r>
      <w:r w:rsidRPr="00143F08" w:rsidR="00F4717C">
        <w:rPr>
          <w:rStyle w:val="acy"/>
          <w:color w:val="000000"/>
          <w:bdr w:val="none" w:sz="0" w:space="0" w:color="auto" w:frame="1"/>
          <w:shd w:val="clear" w:color="auto" w:fill="FFFFFF"/>
        </w:rPr>
        <w:t xml:space="preserve"> considered </w:t>
      </w:r>
      <w:r w:rsidRPr="00143F08" w:rsidR="00E268F0">
        <w:rPr>
          <w:rStyle w:val="acy"/>
          <w:color w:val="000000"/>
          <w:bdr w:val="none" w:sz="0" w:space="0" w:color="auto" w:frame="1"/>
          <w:shd w:val="clear" w:color="auto" w:fill="FFFFFF"/>
        </w:rPr>
        <w:t xml:space="preserve">evidence </w:t>
      </w:r>
      <w:r w:rsidRPr="00143F08" w:rsidR="009C4A62">
        <w:rPr>
          <w:rStyle w:val="acy"/>
          <w:color w:val="000000"/>
          <w:bdr w:val="none" w:sz="0" w:space="0" w:color="auto" w:frame="1"/>
          <w:shd w:val="clear" w:color="auto" w:fill="FFFFFF"/>
        </w:rPr>
        <w:t>collected</w:t>
      </w:r>
      <w:r w:rsidRPr="00143F08" w:rsidR="00E268F0">
        <w:rPr>
          <w:rStyle w:val="acy"/>
          <w:color w:val="000000"/>
          <w:bdr w:val="none" w:sz="0" w:space="0" w:color="auto" w:frame="1"/>
          <w:shd w:val="clear" w:color="auto" w:fill="FFFFFF"/>
        </w:rPr>
        <w:t xml:space="preserve"> in response to that scoping memo</w:t>
      </w:r>
      <w:r w:rsidRPr="00143F08" w:rsidR="001A01FF">
        <w:rPr>
          <w:rStyle w:val="acy"/>
          <w:color w:val="000000"/>
          <w:bdr w:val="none" w:sz="0" w:space="0" w:color="auto" w:frame="1"/>
          <w:shd w:val="clear" w:color="auto" w:fill="FFFFFF"/>
        </w:rPr>
        <w:t xml:space="preserve"> and a related workshop</w:t>
      </w:r>
      <w:r w:rsidRPr="00143F08" w:rsidR="00D21DAE">
        <w:rPr>
          <w:rStyle w:val="acy"/>
          <w:color w:val="000000"/>
          <w:bdr w:val="none" w:sz="0" w:space="0" w:color="auto" w:frame="1"/>
          <w:shd w:val="clear" w:color="auto" w:fill="FFFFFF"/>
        </w:rPr>
        <w:t>.</w:t>
      </w:r>
      <w:r w:rsidRPr="00143F08" w:rsidR="009522AE">
        <w:rPr>
          <w:rStyle w:val="acy"/>
          <w:color w:val="000000"/>
          <w:bdr w:val="none" w:sz="0" w:space="0" w:color="auto" w:frame="1"/>
          <w:shd w:val="clear" w:color="auto" w:fill="FFFFFF"/>
        </w:rPr>
        <w:t xml:space="preserve">  (See </w:t>
      </w:r>
      <w:r w:rsidRPr="00143F08" w:rsidR="003D6789">
        <w:rPr>
          <w:rStyle w:val="acy"/>
          <w:i/>
          <w:iCs/>
          <w:color w:val="000000"/>
          <w:bdr w:val="none" w:sz="0" w:space="0" w:color="auto" w:frame="1"/>
          <w:shd w:val="clear" w:color="auto" w:fill="FFFFFF"/>
        </w:rPr>
        <w:t>Decision Providing Guidance on Water Rate Structure and Tiered Rates</w:t>
      </w:r>
      <w:r w:rsidRPr="00143F08" w:rsidR="003D6789">
        <w:rPr>
          <w:rStyle w:val="acy"/>
          <w:color w:val="000000"/>
          <w:bdr w:val="none" w:sz="0" w:space="0" w:color="auto" w:frame="1"/>
          <w:shd w:val="clear" w:color="auto" w:fill="FFFFFF"/>
        </w:rPr>
        <w:t xml:space="preserve"> (Dec. 1, 2016) </w:t>
      </w:r>
      <w:r w:rsidR="00B20760">
        <w:rPr>
          <w:rStyle w:val="acy"/>
          <w:color w:val="000000"/>
          <w:bdr w:val="none" w:sz="0" w:space="0" w:color="auto" w:frame="1"/>
          <w:shd w:val="clear" w:color="auto" w:fill="FFFFFF"/>
        </w:rPr>
        <w:t xml:space="preserve">Cal.P.U.C. Dec. </w:t>
      </w:r>
      <w:r w:rsidRPr="00143F08" w:rsidR="003D6789">
        <w:rPr>
          <w:rStyle w:val="acy"/>
          <w:color w:val="000000"/>
          <w:bdr w:val="none" w:sz="0" w:space="0" w:color="auto" w:frame="1"/>
          <w:shd w:val="clear" w:color="auto" w:fill="FFFFFF"/>
        </w:rPr>
        <w:t>No.</w:t>
      </w:r>
      <w:r w:rsidRPr="00143F08" w:rsidR="005D1C16">
        <w:rPr>
          <w:rStyle w:val="acy"/>
          <w:color w:val="000000"/>
          <w:bdr w:val="none" w:sz="0" w:space="0" w:color="auto" w:frame="1"/>
          <w:shd w:val="clear" w:color="auto" w:fill="FFFFFF"/>
        </w:rPr>
        <w:t> </w:t>
      </w:r>
      <w:r w:rsidRPr="00143F08" w:rsidR="003D6789">
        <w:rPr>
          <w:rStyle w:val="acy"/>
          <w:color w:val="000000"/>
          <w:bdr w:val="none" w:sz="0" w:space="0" w:color="auto" w:frame="1"/>
          <w:shd w:val="clear" w:color="auto" w:fill="FFFFFF"/>
        </w:rPr>
        <w:t>16-12-026</w:t>
      </w:r>
      <w:r w:rsidR="00B20760">
        <w:rPr>
          <w:rStyle w:val="acy"/>
          <w:color w:val="000000"/>
          <w:bdr w:val="none" w:sz="0" w:space="0" w:color="auto" w:frame="1"/>
          <w:shd w:val="clear" w:color="auto" w:fill="FFFFFF"/>
        </w:rPr>
        <w:t xml:space="preserve"> [</w:t>
      </w:r>
      <w:r w:rsidRPr="00143F08" w:rsidR="003D6789">
        <w:rPr>
          <w:rStyle w:val="acy"/>
          <w:color w:val="000000"/>
          <w:bdr w:val="none" w:sz="0" w:space="0" w:color="auto" w:frame="1"/>
          <w:shd w:val="clear" w:color="auto" w:fill="FFFFFF"/>
        </w:rPr>
        <w:t xml:space="preserve">2016 Cal.P.U.C. Lexis 682, </w:t>
      </w:r>
      <w:r w:rsidRPr="00143F08" w:rsidR="009522AE">
        <w:rPr>
          <w:color w:val="000000"/>
          <w:shd w:val="clear" w:color="auto" w:fill="FFFFFF"/>
        </w:rPr>
        <w:t>*1</w:t>
      </w:r>
      <w:r w:rsidRPr="00143F08" w:rsidR="00AF5048">
        <w:rPr>
          <w:color w:val="000000"/>
          <w:shd w:val="clear" w:color="auto" w:fill="FFFFFF"/>
        </w:rPr>
        <w:t>, </w:t>
      </w:r>
      <w:r w:rsidRPr="00143F08" w:rsidR="00C257DC">
        <w:rPr>
          <w:color w:val="000000"/>
          <w:shd w:val="clear" w:color="auto" w:fill="FFFFFF"/>
        </w:rPr>
        <w:t>*</w:t>
      </w:r>
      <w:r w:rsidRPr="00143F08" w:rsidR="00F838D7">
        <w:rPr>
          <w:color w:val="000000"/>
          <w:shd w:val="clear" w:color="auto" w:fill="FFFFFF"/>
        </w:rPr>
        <w:t>17–</w:t>
      </w:r>
      <w:r w:rsidRPr="00143F08" w:rsidR="00C257DC">
        <w:rPr>
          <w:color w:val="000000"/>
          <w:shd w:val="clear" w:color="auto" w:fill="FFFFFF"/>
        </w:rPr>
        <w:t>*</w:t>
      </w:r>
      <w:r w:rsidRPr="00143F08" w:rsidR="00F838D7">
        <w:rPr>
          <w:color w:val="000000"/>
          <w:shd w:val="clear" w:color="auto" w:fill="FFFFFF"/>
        </w:rPr>
        <w:t xml:space="preserve">24, </w:t>
      </w:r>
      <w:r w:rsidRPr="00143F08" w:rsidR="00C257DC">
        <w:rPr>
          <w:color w:val="000000"/>
          <w:shd w:val="clear" w:color="auto" w:fill="FFFFFF"/>
        </w:rPr>
        <w:t>*</w:t>
      </w:r>
      <w:r w:rsidRPr="00143F08" w:rsidR="00AF5048">
        <w:rPr>
          <w:color w:val="000000"/>
          <w:shd w:val="clear" w:color="auto" w:fill="FFFFFF"/>
        </w:rPr>
        <w:t>128</w:t>
      </w:r>
      <w:r w:rsidR="00B20760">
        <w:rPr>
          <w:color w:val="000000"/>
          <w:shd w:val="clear" w:color="auto" w:fill="FFFFFF"/>
        </w:rPr>
        <w:t>]</w:t>
      </w:r>
      <w:r w:rsidRPr="00143F08" w:rsidR="002930FF">
        <w:rPr>
          <w:color w:val="000000"/>
          <w:shd w:val="clear" w:color="auto" w:fill="FFFFFF"/>
        </w:rPr>
        <w:t xml:space="preserve"> (</w:t>
      </w:r>
      <w:r w:rsidRPr="00143F08" w:rsidR="002930FF">
        <w:rPr>
          <w:i/>
          <w:iCs/>
          <w:color w:val="000000"/>
          <w:shd w:val="clear" w:color="auto" w:fill="FFFFFF"/>
        </w:rPr>
        <w:t>Decision 16-12-026</w:t>
      </w:r>
      <w:r w:rsidRPr="00143F08" w:rsidR="002930FF">
        <w:rPr>
          <w:color w:val="000000"/>
          <w:shd w:val="clear" w:color="auto" w:fill="FFFFFF"/>
        </w:rPr>
        <w:t>)</w:t>
      </w:r>
      <w:r w:rsidRPr="00143F08" w:rsidR="009522AE">
        <w:rPr>
          <w:color w:val="000000"/>
          <w:shd w:val="clear" w:color="auto" w:fill="FFFFFF"/>
        </w:rPr>
        <w:t>.)</w:t>
      </w:r>
      <w:r w:rsidRPr="00143F08" w:rsidR="0009042A">
        <w:rPr>
          <w:color w:val="000000"/>
          <w:shd w:val="clear" w:color="auto" w:fill="FFFFFF"/>
        </w:rPr>
        <w:t xml:space="preserve">  The Commission “conclude[d] that, at this time, the WRAM mechanism should be maintained.</w:t>
      </w:r>
      <w:r w:rsidRPr="00143F08" w:rsidR="009A08F7">
        <w:rPr>
          <w:color w:val="000000"/>
          <w:shd w:val="clear" w:color="auto" w:fill="FFFFFF"/>
        </w:rPr>
        <w:t>”  (</w:t>
      </w:r>
      <w:r w:rsidRPr="00143F08" w:rsidR="009A08F7">
        <w:rPr>
          <w:i/>
          <w:iCs/>
          <w:color w:val="000000"/>
          <w:shd w:val="clear" w:color="auto" w:fill="FFFFFF"/>
        </w:rPr>
        <w:t>Id.</w:t>
      </w:r>
      <w:r w:rsidRPr="00143F08" w:rsidR="00293FE8">
        <w:rPr>
          <w:color w:val="000000"/>
          <w:shd w:val="clear" w:color="auto" w:fill="FFFFFF"/>
        </w:rPr>
        <w:t>,</w:t>
      </w:r>
      <w:r w:rsidRPr="00143F08" w:rsidR="0049392F">
        <w:rPr>
          <w:color w:val="000000"/>
          <w:shd w:val="clear" w:color="auto" w:fill="FFFFFF"/>
        </w:rPr>
        <w:t xml:space="preserve"> at p. *63.)  But “to lessen resort to and impact of WRAMs” (</w:t>
      </w:r>
      <w:r w:rsidRPr="00143F08" w:rsidR="0049392F">
        <w:rPr>
          <w:i/>
          <w:iCs/>
          <w:color w:val="000000"/>
          <w:shd w:val="clear" w:color="auto" w:fill="FFFFFF"/>
        </w:rPr>
        <w:t>ibid.</w:t>
      </w:r>
      <w:r w:rsidRPr="00143F08" w:rsidR="0049392F">
        <w:rPr>
          <w:color w:val="000000"/>
          <w:shd w:val="clear" w:color="auto" w:fill="FFFFFF"/>
        </w:rPr>
        <w:t xml:space="preserve">), the Commission </w:t>
      </w:r>
      <w:r w:rsidRPr="00143F08" w:rsidR="00A964F3">
        <w:rPr>
          <w:color w:val="000000"/>
          <w:shd w:val="clear" w:color="auto" w:fill="FFFFFF"/>
        </w:rPr>
        <w:t>ordered investor-owned Class A water utilities to “propose improved forecast methodologies in their General Rate Case application, or in standalone, separate</w:t>
      </w:r>
      <w:r w:rsidRPr="00143F08" w:rsidR="00DE52E5">
        <w:rPr>
          <w:color w:val="000000"/>
          <w:shd w:val="clear" w:color="auto" w:fill="FFFFFF"/>
        </w:rPr>
        <w:t xml:space="preserve"> applicatio</w:t>
      </w:r>
      <w:r w:rsidRPr="00143F08" w:rsidR="00C70C22">
        <w:rPr>
          <w:color w:val="000000"/>
          <w:shd w:val="clear" w:color="auto" w:fill="FFFFFF"/>
        </w:rPr>
        <w:t>ns</w:t>
      </w:r>
      <w:r w:rsidRPr="00143F08" w:rsidR="00455B5D">
        <w:rPr>
          <w:color w:val="000000"/>
          <w:shd w:val="clear" w:color="auto" w:fill="FFFFFF"/>
        </w:rPr>
        <w:t>” (</w:t>
      </w:r>
      <w:r w:rsidRPr="00143F08" w:rsidR="00455B5D">
        <w:rPr>
          <w:i/>
          <w:iCs/>
          <w:color w:val="000000"/>
          <w:shd w:val="clear" w:color="auto" w:fill="FFFFFF"/>
        </w:rPr>
        <w:t>id.</w:t>
      </w:r>
      <w:r w:rsidRPr="00143F08" w:rsidR="00276298">
        <w:rPr>
          <w:color w:val="000000"/>
          <w:shd w:val="clear" w:color="auto" w:fill="FFFFFF"/>
        </w:rPr>
        <w:t>,</w:t>
      </w:r>
      <w:r w:rsidRPr="00143F08" w:rsidR="00455B5D">
        <w:rPr>
          <w:color w:val="000000"/>
          <w:shd w:val="clear" w:color="auto" w:fill="FFFFFF"/>
        </w:rPr>
        <w:t xml:space="preserve"> at p. </w:t>
      </w:r>
      <w:r w:rsidRPr="00143F08" w:rsidR="00127ED9">
        <w:rPr>
          <w:color w:val="000000"/>
          <w:shd w:val="clear" w:color="auto" w:fill="FFFFFF"/>
        </w:rPr>
        <w:t>*13</w:t>
      </w:r>
      <w:r w:rsidRPr="00143F08" w:rsidR="003D6789">
        <w:rPr>
          <w:color w:val="000000"/>
          <w:shd w:val="clear" w:color="auto" w:fill="FFFFFF"/>
        </w:rPr>
        <w:t>0</w:t>
      </w:r>
      <w:r w:rsidRPr="00143F08" w:rsidR="00127ED9">
        <w:rPr>
          <w:color w:val="000000"/>
          <w:shd w:val="clear" w:color="auto" w:fill="FFFFFF"/>
        </w:rPr>
        <w:t>).  Th</w:t>
      </w:r>
      <w:r w:rsidRPr="00143F08" w:rsidR="00F5052C">
        <w:rPr>
          <w:color w:val="000000"/>
          <w:shd w:val="clear" w:color="auto" w:fill="FFFFFF"/>
        </w:rPr>
        <w:t>at</w:t>
      </w:r>
      <w:r w:rsidRPr="00143F08" w:rsidR="00127ED9">
        <w:rPr>
          <w:color w:val="000000"/>
          <w:shd w:val="clear" w:color="auto" w:fill="FFFFFF"/>
        </w:rPr>
        <w:t xml:space="preserve"> decision (</w:t>
      </w:r>
      <w:r w:rsidRPr="00143F08" w:rsidR="00B41B41">
        <w:rPr>
          <w:color w:val="000000"/>
          <w:shd w:val="clear" w:color="auto" w:fill="FFFFFF"/>
        </w:rPr>
        <w:t>D</w:t>
      </w:r>
      <w:r w:rsidRPr="00143F08" w:rsidR="006869E0">
        <w:rPr>
          <w:color w:val="000000"/>
          <w:shd w:val="clear" w:color="auto" w:fill="FFFFFF"/>
        </w:rPr>
        <w:t>.16-12-026) and the rulemaking in connection with which it was issued (</w:t>
      </w:r>
      <w:r w:rsidRPr="00143F08" w:rsidR="00B41B41">
        <w:rPr>
          <w:color w:val="000000"/>
          <w:shd w:val="clear" w:color="auto" w:fill="FFFFFF"/>
        </w:rPr>
        <w:t>R</w:t>
      </w:r>
      <w:r w:rsidRPr="00143F08" w:rsidR="006869E0">
        <w:rPr>
          <w:color w:val="000000"/>
          <w:shd w:val="clear" w:color="auto" w:fill="FFFFFF"/>
        </w:rPr>
        <w:t xml:space="preserve">.11-11-008) are </w:t>
      </w:r>
      <w:r w:rsidRPr="00143F08" w:rsidR="000E30A2">
        <w:rPr>
          <w:color w:val="000000"/>
          <w:shd w:val="clear" w:color="auto" w:fill="FFFFFF"/>
        </w:rPr>
        <w:t>cited in the initial scoping memo for the proceeding at issue here</w:t>
      </w:r>
      <w:r w:rsidRPr="00143F08" w:rsidR="005B7EA3">
        <w:rPr>
          <w:color w:val="000000"/>
          <w:shd w:val="clear" w:color="auto" w:fill="FFFFFF"/>
        </w:rPr>
        <w:t xml:space="preserve">, which began about </w:t>
      </w:r>
      <w:r w:rsidRPr="00143F08" w:rsidR="002930FF">
        <w:rPr>
          <w:color w:val="000000"/>
          <w:shd w:val="clear" w:color="auto" w:fill="FFFFFF"/>
        </w:rPr>
        <w:t>seven</w:t>
      </w:r>
      <w:r w:rsidRPr="00143F08" w:rsidR="005B7EA3">
        <w:rPr>
          <w:color w:val="000000"/>
          <w:shd w:val="clear" w:color="auto" w:fill="FFFFFF"/>
        </w:rPr>
        <w:t xml:space="preserve"> months later.</w:t>
      </w:r>
    </w:p>
    <w:p w:rsidR="00FB4FA1" w:rsidRPr="00143F08" w:rsidP="003B62D6" w14:paraId="43638EAD" w14:textId="77777777">
      <w:pPr>
        <w:pStyle w:val="Heading2"/>
        <w:tabs>
          <w:tab w:val="clear" w:pos="1152"/>
        </w:tabs>
        <w:ind w:left="0" w:firstLine="0"/>
        <w:jc w:val="center"/>
      </w:pPr>
      <w:r w:rsidRPr="00143F08">
        <w:t>C</w:t>
      </w:r>
      <w:r w:rsidRPr="00143F08" w:rsidR="00734ED6">
        <w:t>.</w:t>
      </w:r>
      <w:r w:rsidRPr="00143F08" w:rsidR="00CA1E4E">
        <w:t xml:space="preserve"> </w:t>
      </w:r>
      <w:r w:rsidRPr="00143F08" w:rsidR="00C257DC">
        <w:t xml:space="preserve"> </w:t>
      </w:r>
      <w:r w:rsidRPr="00143F08" w:rsidR="00DB7AD0">
        <w:t xml:space="preserve">Proceedings in </w:t>
      </w:r>
      <w:r w:rsidRPr="00143F08" w:rsidR="00EA77E5">
        <w:t>T</w:t>
      </w:r>
      <w:r w:rsidRPr="00143F08" w:rsidR="00DB7AD0">
        <w:t xml:space="preserve">his Rulemaking Before </w:t>
      </w:r>
      <w:r w:rsidR="001652FB">
        <w:br/>
      </w:r>
      <w:r w:rsidRPr="00143F08" w:rsidR="00DB7AD0">
        <w:t>Issuance of the P</w:t>
      </w:r>
      <w:r w:rsidRPr="00143F08" w:rsidR="00ED70BA">
        <w:t>roposed D</w:t>
      </w:r>
      <w:r w:rsidRPr="00143F08" w:rsidR="00CA1E4E">
        <w:t>ecision</w:t>
      </w:r>
    </w:p>
    <w:p w:rsidR="007C7831" w:rsidP="007C7831" w14:paraId="43638EAE" w14:textId="77777777">
      <w:pPr>
        <w:pStyle w:val="MemoText"/>
        <w:spacing w:line="400" w:lineRule="exact"/>
      </w:pPr>
      <w:r>
        <w:t xml:space="preserve">In </w:t>
      </w:r>
      <w:r w:rsidRPr="00B27015">
        <w:t>July 2017</w:t>
      </w:r>
      <w:r>
        <w:t>, the Commission commenced the rulemaking that culminated in the order challenged here</w:t>
      </w:r>
      <w:r w:rsidR="002B0123">
        <w:t>.  Among other things, that order</w:t>
      </w:r>
      <w:r>
        <w:t xml:space="preserve"> requires </w:t>
      </w:r>
      <w:r w:rsidR="00F3148B">
        <w:t xml:space="preserve">the </w:t>
      </w:r>
      <w:r w:rsidR="005A266C">
        <w:t xml:space="preserve">discontinuation of WRAMs/MCBAs.  </w:t>
      </w:r>
    </w:p>
    <w:p w:rsidR="007A0176" w:rsidRPr="00143F08" w:rsidP="001500DB" w14:paraId="43638EAF" w14:textId="77777777">
      <w:pPr>
        <w:pStyle w:val="MemoText"/>
        <w:spacing w:line="400" w:lineRule="exact"/>
      </w:pPr>
      <w:r>
        <w:t>The central question now before us is whether the Commission gave adequate notice that eliminating the WRAMs/M</w:t>
      </w:r>
      <w:r w:rsidR="00F11413">
        <w:t>C</w:t>
      </w:r>
      <w:r>
        <w:t xml:space="preserve">BAs was on the table, so our recitation of the relevant background focuses on the notice the parties received with respect to that issue.  We focus in particular on </w:t>
      </w:r>
      <w:r w:rsidRPr="00143F08">
        <w:t>four memos or rulings of note:</w:t>
      </w:r>
      <w:r w:rsidRPr="00143F08" w:rsidR="00C257DC">
        <w:t xml:space="preserve"> </w:t>
      </w:r>
      <w:r w:rsidRPr="00143F08">
        <w:t xml:space="preserve"> (1)</w:t>
      </w:r>
      <w:r w:rsidR="00B229C3">
        <w:t> </w:t>
      </w:r>
      <w:r w:rsidRPr="00143F08">
        <w:t>the initial scoping memo; (2)</w:t>
      </w:r>
      <w:r w:rsidR="00B229C3">
        <w:t> </w:t>
      </w:r>
      <w:r w:rsidRPr="00143F08">
        <w:t>an amended scoping memo; (3) a June 2019 Administrative Law Judge (ALJ) ruling; and (4) a September 2019 ALJ ruling.</w:t>
      </w:r>
      <w:r w:rsidRPr="00143F08" w:rsidR="00F47FFD">
        <w:t xml:space="preserve">  </w:t>
      </w:r>
    </w:p>
    <w:p w:rsidR="007F5B3C" w:rsidRPr="00143F08" w:rsidP="004C194D" w14:paraId="43638EB0" w14:textId="77777777">
      <w:pPr>
        <w:pStyle w:val="Heading3"/>
        <w:tabs>
          <w:tab w:val="clear" w:pos="1584"/>
        </w:tabs>
        <w:ind w:left="0" w:firstLine="0"/>
        <w:jc w:val="center"/>
      </w:pPr>
      <w:r w:rsidRPr="00143F08">
        <w:t>1.</w:t>
      </w:r>
      <w:r w:rsidRPr="00143F08" w:rsidR="0083475D">
        <w:t xml:space="preserve"> </w:t>
      </w:r>
      <w:r w:rsidRPr="00143F08" w:rsidR="00C257DC">
        <w:t xml:space="preserve"> </w:t>
      </w:r>
      <w:r w:rsidRPr="00143F08" w:rsidR="0083475D">
        <w:t>Initial Scoping Memo</w:t>
      </w:r>
    </w:p>
    <w:p w:rsidR="00A75AAE" w:rsidRPr="00143F08" w:rsidP="00143F08" w14:paraId="43638EB1" w14:textId="77777777">
      <w:pPr>
        <w:pStyle w:val="MemoText"/>
        <w:spacing w:line="400" w:lineRule="exact"/>
      </w:pPr>
      <w:r w:rsidRPr="00143F08">
        <w:t>The Commission entered an order instituting rulemaking</w:t>
      </w:r>
      <w:r w:rsidR="00E94744">
        <w:t xml:space="preserve"> </w:t>
      </w:r>
      <w:r w:rsidRPr="007459AE" w:rsidR="00E94744">
        <w:t xml:space="preserve">on </w:t>
      </w:r>
      <w:r w:rsidR="007459AE">
        <w:t>July 10, 2017</w:t>
      </w:r>
      <w:r w:rsidRPr="007459AE">
        <w:t xml:space="preserve">.  </w:t>
      </w:r>
      <w:r w:rsidRPr="007459AE" w:rsidR="00D82A7F">
        <w:t>After a prehearing conference</w:t>
      </w:r>
      <w:r w:rsidRPr="007459AE" w:rsidR="000004A7">
        <w:t xml:space="preserve"> and two workshops</w:t>
      </w:r>
      <w:r w:rsidRPr="007459AE" w:rsidR="00D82A7F">
        <w:t xml:space="preserve">, the </w:t>
      </w:r>
      <w:r w:rsidR="001D6E16">
        <w:t>a</w:t>
      </w:r>
      <w:r w:rsidRPr="007459AE" w:rsidR="00D82A7F">
        <w:t>ssign</w:t>
      </w:r>
      <w:r w:rsidRPr="00143F08" w:rsidR="00D82A7F">
        <w:t xml:space="preserve">ed </w:t>
      </w:r>
      <w:r w:rsidR="001D6E16">
        <w:t>c</w:t>
      </w:r>
      <w:r w:rsidRPr="00143F08" w:rsidR="00D82A7F">
        <w:t xml:space="preserve">ommissioner </w:t>
      </w:r>
      <w:r w:rsidRPr="00143F08" w:rsidR="000004A7">
        <w:t>issued a scoping memo</w:t>
      </w:r>
      <w:r w:rsidRPr="00143F08" w:rsidR="00F24AC2">
        <w:t xml:space="preserve"> </w:t>
      </w:r>
      <w:r w:rsidRPr="00143F08" w:rsidR="004661FC">
        <w:t xml:space="preserve">stating </w:t>
      </w:r>
      <w:r w:rsidRPr="00143F08" w:rsidR="00AB6392">
        <w:t>that “[t]he issues to be addressed in this proceeding relate to a review of low-income rate assistance programs for water utilities</w:t>
      </w:r>
      <w:r w:rsidRPr="00143F08" w:rsidR="006D585F">
        <w:t>.</w:t>
      </w:r>
      <w:r w:rsidR="007E7DD9">
        <w:t>”</w:t>
      </w:r>
      <w:r w:rsidRPr="00143F08" w:rsidR="004C39F7">
        <w:t xml:space="preserve">  </w:t>
      </w:r>
    </w:p>
    <w:p w:rsidR="009E66B7" w:rsidRPr="00143F08" w:rsidP="00143F08" w14:paraId="43638EB2" w14:textId="77777777">
      <w:pPr>
        <w:pStyle w:val="MemoText"/>
        <w:spacing w:line="400" w:lineRule="exact"/>
      </w:pPr>
      <w:r w:rsidRPr="00143F08">
        <w:t>The proceeding was to be divided into two phases</w:t>
      </w:r>
      <w:r w:rsidRPr="00143F08" w:rsidR="00A75AAE">
        <w:t>.</w:t>
      </w:r>
      <w:r w:rsidRPr="00143F08" w:rsidR="00276298">
        <w:t xml:space="preserve"> </w:t>
      </w:r>
      <w:r w:rsidRPr="00143F08">
        <w:t xml:space="preserve"> The first phase was to address the following issues:</w:t>
      </w:r>
    </w:p>
    <w:p w:rsidR="004C39F7" w:rsidRPr="00143F08" w:rsidP="00143F08" w14:paraId="43638EB3" w14:textId="77777777">
      <w:pPr>
        <w:pStyle w:val="MemoText"/>
        <w:spacing w:line="400" w:lineRule="exact"/>
      </w:pPr>
      <w:r w:rsidRPr="00143F08">
        <w:t>“1.  Consolidation of at risk water systems by regulated water utilities.  [¶]</w:t>
      </w:r>
      <w:r w:rsidRPr="00143F08" w:rsidR="00235992">
        <w:t xml:space="preserve"> </w:t>
      </w:r>
      <w:r w:rsidRPr="00143F08" w:rsidR="00C257DC">
        <w:t xml:space="preserve"> </w:t>
      </w:r>
      <w:r w:rsidRPr="00143F08">
        <w:t xml:space="preserve">a.  How could the </w:t>
      </w:r>
      <w:r w:rsidRPr="00143F08" w:rsidR="000F3A74">
        <w:t>Commission</w:t>
      </w:r>
      <w:r w:rsidRPr="00143F08">
        <w:t xml:space="preserve"> work with the </w:t>
      </w:r>
      <w:r w:rsidRPr="00143F08" w:rsidR="000F3A74">
        <w:t>[State Water Resources Control Board]</w:t>
      </w:r>
      <w:r w:rsidRPr="00143F08" w:rsidR="00821372">
        <w:t xml:space="preserve"> and Class A and B water utilities to identify opportunities for consolidating small non-regulated systems within or adjacent to their service territories that are not able to provide safe, reliable and affordable drinking water?  Should the Commission address consolidation outside of each utility’s general rate case (GRC)?</w:t>
      </w:r>
      <w:r w:rsidRPr="00143F08" w:rsidR="00224892">
        <w:t xml:space="preserve">  [¶] </w:t>
      </w:r>
      <w:r w:rsidRPr="00143F08" w:rsidR="00C257DC">
        <w:t xml:space="preserve"> </w:t>
      </w:r>
      <w:r w:rsidRPr="00143F08" w:rsidR="00224892">
        <w:t>b.</w:t>
      </w:r>
      <w:r w:rsidRPr="00143F08" w:rsidR="007530A8">
        <w:t xml:space="preserve">  In what ways can the Commission assist Class A and B utilities that provide unregulated affiliate and franchise services to serve </w:t>
      </w:r>
      <w:r w:rsidRPr="00143F08" w:rsidR="00864932">
        <w:t>as administrators for small water systems that need operations &amp; maintenance support as proscribed</w:t>
      </w:r>
      <w:r w:rsidRPr="00143F08" w:rsidR="00CA2C7A">
        <w:t xml:space="preserve"> [</w:t>
      </w:r>
      <w:r w:rsidRPr="00143F08" w:rsidR="00CA2C7A">
        <w:rPr>
          <w:i/>
          <w:iCs/>
        </w:rPr>
        <w:t>sic</w:t>
      </w:r>
      <w:r w:rsidRPr="00143F08" w:rsidR="00CA2C7A">
        <w:t>]</w:t>
      </w:r>
      <w:r w:rsidRPr="00143F08" w:rsidR="00864932">
        <w:t xml:space="preserve"> by Senate Bill (SB) 552 (2016)?</w:t>
      </w:r>
      <w:r w:rsidRPr="00143F08" w:rsidR="00224892">
        <w:t xml:space="preserve"> </w:t>
      </w:r>
    </w:p>
    <w:p w:rsidR="00CA2C7A" w:rsidRPr="00143F08" w:rsidP="00143F08" w14:paraId="43638EB4" w14:textId="77777777">
      <w:pPr>
        <w:pStyle w:val="MemoText"/>
        <w:spacing w:line="400" w:lineRule="exact"/>
      </w:pPr>
      <w:r w:rsidRPr="00143F08">
        <w:t>“2.  Forecasting Water Sales</w:t>
      </w:r>
      <w:r w:rsidRPr="00143F08" w:rsidR="00235992">
        <w:t xml:space="preserve"> </w:t>
      </w:r>
      <w:r w:rsidRPr="00143F08" w:rsidR="00C257DC">
        <w:t xml:space="preserve"> </w:t>
      </w:r>
      <w:r w:rsidRPr="00143F08" w:rsidR="00235992">
        <w:t xml:space="preserve">[¶] </w:t>
      </w:r>
      <w:r w:rsidRPr="00143F08" w:rsidR="00C257DC">
        <w:t xml:space="preserve"> </w:t>
      </w:r>
      <w:r w:rsidRPr="00143F08" w:rsidR="00235992">
        <w:t xml:space="preserve">a.  How should the Commission address forecasts of sales in a manner that avoids regressive rates that adversely impact particularly low-income or moderate income </w:t>
      </w:r>
      <w:r w:rsidRPr="00143F08" w:rsidR="00D041A3">
        <w:t>[</w:t>
      </w:r>
      <w:r w:rsidRPr="00143F08" w:rsidR="00D041A3">
        <w:rPr>
          <w:i/>
          <w:iCs/>
        </w:rPr>
        <w:t>sic</w:t>
      </w:r>
      <w:r w:rsidRPr="00143F08" w:rsidR="00D041A3">
        <w:t xml:space="preserve">] </w:t>
      </w:r>
      <w:r w:rsidRPr="00143F08" w:rsidR="00235992">
        <w:t>customers?</w:t>
      </w:r>
      <w:r w:rsidRPr="00143F08" w:rsidR="00875EF2">
        <w:t xml:space="preserve"> </w:t>
      </w:r>
      <w:r w:rsidRPr="00143F08" w:rsidR="00C257DC">
        <w:t xml:space="preserve"> </w:t>
      </w:r>
      <w:r w:rsidRPr="00143F08" w:rsidR="00875EF2">
        <w:t xml:space="preserve">[¶] </w:t>
      </w:r>
      <w:r w:rsidRPr="00143F08" w:rsidR="00C257DC">
        <w:t xml:space="preserve"> </w:t>
      </w:r>
      <w:r w:rsidRPr="00143F08" w:rsidR="00875EF2">
        <w:t>b.  In Decision (D.)16</w:t>
      </w:r>
      <w:r w:rsidRPr="00143F08" w:rsidR="00EC66F6">
        <w:t xml:space="preserve">-12-026, adopted in Rulemaking 11-11-008, the Commission addressed the importance of forecasting sales and therefore revenues.  The Commission, in D.16-12-026, directed Class A and B water utilities to propose improved forecast methodologies in their GRC application.  However, given the significant length of time between Class A water utility GRC filings, and the potential for different forecasting methodologies proposals in individual GRCs, the Commission will examine </w:t>
      </w:r>
      <w:r w:rsidRPr="00143F08" w:rsidR="002830F8">
        <w:t xml:space="preserve">how to improve water sales forecasting as part of this phase of the proceeding.  What guidelines or mechanisms can the Commission </w:t>
      </w:r>
      <w:r w:rsidRPr="00143F08" w:rsidR="0088209B">
        <w:t>put</w:t>
      </w:r>
      <w:r w:rsidRPr="00143F08" w:rsidR="002830F8">
        <w:t xml:space="preserve"> in place to improve or standardize water sales forecasting for Class A water utilities</w:t>
      </w:r>
      <w:r w:rsidRPr="00143F08" w:rsidR="00E31753">
        <w:t>?</w:t>
      </w:r>
    </w:p>
    <w:p w:rsidR="0088209B" w:rsidRPr="00143F08" w:rsidP="00143F08" w14:paraId="43638EB5" w14:textId="77777777">
      <w:pPr>
        <w:pStyle w:val="MemoText"/>
        <w:spacing w:line="400" w:lineRule="exact"/>
      </w:pPr>
      <w:r w:rsidRPr="00143F08">
        <w:t xml:space="preserve">“3.  What regulatory changes </w:t>
      </w:r>
      <w:r w:rsidRPr="00143F08" w:rsidR="006600F2">
        <w:t>should the Commission consider to lower rates and improve access to safe quality drinking water for disadvantaged communities?</w:t>
      </w:r>
    </w:p>
    <w:p w:rsidR="00075579" w:rsidRPr="00143F08" w:rsidP="007E7DD9" w14:paraId="43638EB6" w14:textId="77777777">
      <w:pPr>
        <w:pStyle w:val="MemoText"/>
        <w:spacing w:line="400" w:lineRule="exact"/>
      </w:pPr>
      <w:r w:rsidRPr="00143F08">
        <w:t xml:space="preserve">“4.  What if any regulatory changes should the Commission consider </w:t>
      </w:r>
      <w:r w:rsidRPr="00143F08" w:rsidR="00057114">
        <w:t>that would ensure and/or improve the health and safety of regulated water systems?”</w:t>
      </w:r>
    </w:p>
    <w:p w:rsidR="005B6F62" w:rsidRPr="00143F08" w:rsidP="00143F08" w14:paraId="43638EB7" w14:textId="77777777">
      <w:pPr>
        <w:pStyle w:val="MemoText"/>
        <w:tabs>
          <w:tab w:val="left" w:pos="720"/>
          <w:tab w:val="clear" w:pos="1440"/>
        </w:tabs>
        <w:spacing w:line="400" w:lineRule="exact"/>
        <w:ind w:firstLine="0"/>
      </w:pPr>
      <w:r w:rsidRPr="00143F08">
        <w:tab/>
      </w:r>
      <w:r w:rsidRPr="00143F08" w:rsidR="009E66B7">
        <w:t xml:space="preserve">The scoping memo further specified that the issues to </w:t>
      </w:r>
      <w:r w:rsidRPr="00143F08" w:rsidR="00F23CB2">
        <w:t xml:space="preserve">be addressed “in Phase II or if necessary a Phase III” were as follows: </w:t>
      </w:r>
      <w:r w:rsidRPr="00143F08" w:rsidR="00DA6153">
        <w:t xml:space="preserve"> </w:t>
      </w:r>
      <w:r w:rsidRPr="00143F08" w:rsidR="00F23CB2">
        <w:t>“5.</w:t>
      </w:r>
      <w:r w:rsidR="009F12F4">
        <w:t> </w:t>
      </w:r>
      <w:r w:rsidRPr="00143F08" w:rsidR="00F23CB2">
        <w:t xml:space="preserve">Program Name; </w:t>
      </w:r>
      <w:r w:rsidRPr="00143F08" w:rsidR="00DA6153">
        <w:t xml:space="preserve"> </w:t>
      </w:r>
      <w:r w:rsidRPr="00143F08" w:rsidR="00F23CB2">
        <w:t xml:space="preserve">[¶] </w:t>
      </w:r>
      <w:r w:rsidRPr="00143F08" w:rsidR="00DA6153">
        <w:t xml:space="preserve"> </w:t>
      </w:r>
      <w:r w:rsidRPr="00143F08" w:rsidR="00F23CB2">
        <w:t>6.</w:t>
      </w:r>
      <w:r w:rsidRPr="00143F08" w:rsidR="00DA6153">
        <w:t> </w:t>
      </w:r>
      <w:r w:rsidRPr="00143F08" w:rsidR="00F23CB2">
        <w:t xml:space="preserve">Effectiveness of [Low </w:t>
      </w:r>
      <w:r w:rsidRPr="00143F08" w:rsidR="001A427B">
        <w:t>Income Rate Assistance</w:t>
      </w:r>
      <w:r w:rsidRPr="00143F08" w:rsidR="00276298">
        <w:t xml:space="preserve"> (LIRA)</w:t>
      </w:r>
      <w:r w:rsidRPr="00143F08" w:rsidR="001A427B">
        <w:t xml:space="preserve">] </w:t>
      </w:r>
      <w:r w:rsidRPr="00143F08" w:rsidR="003B2A99">
        <w:t xml:space="preserve">Programs; </w:t>
      </w:r>
      <w:r w:rsidRPr="00143F08" w:rsidR="00C257DC">
        <w:t xml:space="preserve"> </w:t>
      </w:r>
      <w:r w:rsidRPr="00143F08" w:rsidR="003B2A99">
        <w:t>[¶]</w:t>
      </w:r>
      <w:r w:rsidRPr="00143F08" w:rsidR="00C257DC">
        <w:t xml:space="preserve"> </w:t>
      </w:r>
      <w:r w:rsidRPr="00143F08" w:rsidR="003B2A99">
        <w:t xml:space="preserve"> 7.</w:t>
      </w:r>
      <w:r w:rsidRPr="00143F08" w:rsidR="00C257DC">
        <w:t> </w:t>
      </w:r>
      <w:r w:rsidRPr="00143F08" w:rsidR="003B2A99">
        <w:t>Monthly Discounts</w:t>
      </w:r>
      <w:r w:rsidRPr="00143F08" w:rsidR="009748BA">
        <w:t>;</w:t>
      </w:r>
      <w:r w:rsidRPr="00143F08" w:rsidR="00C257DC">
        <w:t xml:space="preserve"> </w:t>
      </w:r>
      <w:r w:rsidRPr="00143F08" w:rsidR="009748BA">
        <w:t xml:space="preserve"> [¶]</w:t>
      </w:r>
      <w:r w:rsidRPr="00143F08" w:rsidR="00C257DC">
        <w:t xml:space="preserve"> </w:t>
      </w:r>
      <w:r w:rsidRPr="00143F08" w:rsidR="009748BA">
        <w:t xml:space="preserve"> 8.</w:t>
      </w:r>
      <w:r w:rsidR="00B7019F">
        <w:t> </w:t>
      </w:r>
      <w:r w:rsidRPr="00143F08" w:rsidR="009748BA">
        <w:t>Program Cost Recovery;</w:t>
      </w:r>
      <w:r w:rsidRPr="00143F08" w:rsidR="00C257DC">
        <w:t xml:space="preserve"> </w:t>
      </w:r>
      <w:r w:rsidRPr="00143F08" w:rsidR="009748BA">
        <w:t xml:space="preserve"> [¶]</w:t>
      </w:r>
      <w:r w:rsidRPr="00143F08" w:rsidR="00C257DC">
        <w:t xml:space="preserve"> </w:t>
      </w:r>
      <w:r w:rsidRPr="00143F08" w:rsidR="009748BA">
        <w:t xml:space="preserve"> 9.</w:t>
      </w:r>
      <w:r w:rsidR="00B7019F">
        <w:t> </w:t>
      </w:r>
      <w:r w:rsidRPr="00143F08" w:rsidR="009748BA">
        <w:t>Commission Jurisdiction Over Other Water Companies; and</w:t>
      </w:r>
      <w:r w:rsidRPr="00143F08" w:rsidR="00C257DC">
        <w:t xml:space="preserve"> </w:t>
      </w:r>
      <w:r w:rsidRPr="00143F08" w:rsidR="009748BA">
        <w:t xml:space="preserve"> [¶]</w:t>
      </w:r>
      <w:r w:rsidRPr="00143F08" w:rsidR="00C257DC">
        <w:t xml:space="preserve"> </w:t>
      </w:r>
      <w:r w:rsidRPr="00143F08" w:rsidR="009748BA">
        <w:t xml:space="preserve"> 10.</w:t>
      </w:r>
      <w:r w:rsidR="00B7019F">
        <w:t> </w:t>
      </w:r>
      <w:r w:rsidRPr="00143F08" w:rsidR="009748BA">
        <w:t xml:space="preserve">Implementation of Any Changes to Existing LIRA Programs.”  </w:t>
      </w:r>
    </w:p>
    <w:p w:rsidR="004A06C5" w:rsidRPr="00143F08" w:rsidP="00143F08" w14:paraId="43638EB8" w14:textId="77777777">
      <w:pPr>
        <w:pStyle w:val="MemoText"/>
        <w:spacing w:line="400" w:lineRule="exact"/>
      </w:pPr>
      <w:r w:rsidRPr="00143F08">
        <w:t xml:space="preserve">The </w:t>
      </w:r>
      <w:r w:rsidRPr="00143F08" w:rsidR="00A91454">
        <w:t>California Water Association, among others, filed comments addressing these issues.</w:t>
      </w:r>
      <w:r w:rsidRPr="00143F08" w:rsidR="00E31753">
        <w:t xml:space="preserve">  </w:t>
      </w:r>
      <w:r w:rsidRPr="00143F08" w:rsidR="00AB1EFB">
        <w:t>I</w:t>
      </w:r>
      <w:r w:rsidRPr="00143F08" w:rsidR="00E31753">
        <w:t xml:space="preserve">n response to </w:t>
      </w:r>
      <w:r w:rsidRPr="00143F08" w:rsidR="00B814E2">
        <w:t xml:space="preserve">the </w:t>
      </w:r>
      <w:r w:rsidRPr="00143F08" w:rsidR="00AB1EFB">
        <w:t xml:space="preserve">sales forecasting </w:t>
      </w:r>
      <w:r w:rsidRPr="00143F08" w:rsidR="00B814E2">
        <w:t xml:space="preserve">question, the Association </w:t>
      </w:r>
      <w:r w:rsidRPr="00143F08">
        <w:t xml:space="preserve">argued that </w:t>
      </w:r>
      <w:r w:rsidRPr="00143F08" w:rsidR="00F8473C">
        <w:t>“the Commission should also consider folding the Water Revenue Adjustment Mechanism/Modified Cost Balancing Account</w:t>
      </w:r>
      <w:r w:rsidRPr="00143F08" w:rsidR="000E28C4">
        <w:t xml:space="preserve"> . . . </w:t>
      </w:r>
      <w:r w:rsidRPr="00143F08" w:rsidR="00F8473C">
        <w:t>recovery into base rates instead of surcharges.</w:t>
      </w:r>
      <w:r w:rsidRPr="00143F08">
        <w:t>”</w:t>
      </w:r>
      <w:r w:rsidR="007E7DD9">
        <w:t xml:space="preserve">  </w:t>
      </w:r>
      <w:r w:rsidRPr="00143F08" w:rsidR="002075D2">
        <w:t xml:space="preserve">“Approving mechanisms to update forecasts between general rate cases,” it added, “is the best way to minimize the need for surcharges that alienate all customers, including low-income or moderate-income customers.”  </w:t>
      </w:r>
    </w:p>
    <w:p w:rsidR="007F5B3C" w:rsidRPr="00143F08" w:rsidP="002F5CF2" w14:paraId="43638EB9" w14:textId="77777777">
      <w:pPr>
        <w:pStyle w:val="Heading3"/>
        <w:tabs>
          <w:tab w:val="clear" w:pos="1584"/>
        </w:tabs>
        <w:ind w:left="0" w:firstLine="0"/>
        <w:jc w:val="center"/>
      </w:pPr>
      <w:r w:rsidRPr="00143F08">
        <w:t>2.</w:t>
      </w:r>
      <w:r w:rsidRPr="00143F08" w:rsidR="00D36EDD">
        <w:t xml:space="preserve"> </w:t>
      </w:r>
      <w:r w:rsidRPr="00143F08" w:rsidR="00260C43">
        <w:t xml:space="preserve"> </w:t>
      </w:r>
      <w:r w:rsidRPr="00143F08" w:rsidR="00D36EDD">
        <w:t>Amended Scoping Memo</w:t>
      </w:r>
    </w:p>
    <w:p w:rsidR="004C39F7" w:rsidRPr="00143F08" w:rsidP="00143F08" w14:paraId="43638EBA" w14:textId="77777777">
      <w:pPr>
        <w:pStyle w:val="MemoText"/>
        <w:spacing w:line="400" w:lineRule="exact"/>
      </w:pPr>
      <w:r w:rsidRPr="00143F08">
        <w:t xml:space="preserve">Several months later, </w:t>
      </w:r>
      <w:r w:rsidR="00FF6256">
        <w:t xml:space="preserve">in </w:t>
      </w:r>
      <w:r w:rsidR="007D1652">
        <w:t xml:space="preserve">July </w:t>
      </w:r>
      <w:r w:rsidR="00FF6256">
        <w:t xml:space="preserve">2018, </w:t>
      </w:r>
      <w:r w:rsidRPr="00143F08">
        <w:t xml:space="preserve">the </w:t>
      </w:r>
      <w:r w:rsidR="00646E25">
        <w:t>a</w:t>
      </w:r>
      <w:r w:rsidRPr="00143F08">
        <w:t xml:space="preserve">ssigned </w:t>
      </w:r>
      <w:r w:rsidR="00646E25">
        <w:t>c</w:t>
      </w:r>
      <w:r w:rsidRPr="00143F08">
        <w:t>ommissioner issued an amended scoping memo.</w:t>
      </w:r>
      <w:r w:rsidRPr="00143F08" w:rsidR="004A261E">
        <w:t xml:space="preserve"> </w:t>
      </w:r>
      <w:r w:rsidR="007E7DD9">
        <w:t xml:space="preserve"> </w:t>
      </w:r>
      <w:r w:rsidRPr="00143F08" w:rsidR="00281F9D">
        <w:t xml:space="preserve">Citing developments </w:t>
      </w:r>
      <w:r w:rsidR="00FF6256">
        <w:t xml:space="preserve">since the </w:t>
      </w:r>
      <w:r w:rsidRPr="00143F08" w:rsidR="00281F9D">
        <w:t>issuance of the first scoping memo in Jan</w:t>
      </w:r>
      <w:r w:rsidRPr="00143F08" w:rsidR="002930FF">
        <w:t>uary</w:t>
      </w:r>
      <w:r w:rsidRPr="00143F08" w:rsidR="00281F9D">
        <w:t xml:space="preserve"> 2018</w:t>
      </w:r>
      <w:r w:rsidR="00FF6256">
        <w:t xml:space="preserve">, </w:t>
      </w:r>
      <w:r w:rsidRPr="00143F08" w:rsidR="00281F9D">
        <w:t xml:space="preserve">the </w:t>
      </w:r>
      <w:r w:rsidR="00FF6256">
        <w:t xml:space="preserve">amended scoping memo </w:t>
      </w:r>
      <w:r w:rsidRPr="00143F08" w:rsidR="00341097">
        <w:t>a</w:t>
      </w:r>
      <w:r w:rsidRPr="00143F08" w:rsidR="00D41977">
        <w:t>dded two issues to th</w:t>
      </w:r>
      <w:r w:rsidRPr="00143F08" w:rsidR="00A06BF4">
        <w:t xml:space="preserve">e </w:t>
      </w:r>
      <w:r w:rsidRPr="00143F08" w:rsidR="00D41977">
        <w:t>proceeding:</w:t>
      </w:r>
      <w:r w:rsidRPr="00143F08" w:rsidR="00DA6153">
        <w:t xml:space="preserve"> </w:t>
      </w:r>
      <w:r w:rsidRPr="00143F08" w:rsidR="00D41977">
        <w:t xml:space="preserve"> “1. How best to consider potential changes in rate design such that there is a basic amount of water that customers receive at a low quantity rate; and</w:t>
      </w:r>
      <w:r w:rsidRPr="00143F08" w:rsidR="00497930">
        <w:t xml:space="preserve"> </w:t>
      </w:r>
      <w:r w:rsidRPr="00143F08" w:rsidR="00D41977">
        <w:t xml:space="preserve">[¶] </w:t>
      </w:r>
      <w:r w:rsidRPr="00143F08" w:rsidR="00DA6153">
        <w:t xml:space="preserve"> </w:t>
      </w:r>
      <w:r w:rsidRPr="00143F08" w:rsidR="00D41977">
        <w:t xml:space="preserve">2. Whether the [Commission] should adopt criteria to allow for sharing of </w:t>
      </w:r>
      <w:r w:rsidRPr="00143F08" w:rsidR="00B96744">
        <w:t xml:space="preserve">low-income customer data by regulated investor-owned energy utilities </w:t>
      </w:r>
      <w:r w:rsidRPr="00143F08" w:rsidR="00DA2481">
        <w:t xml:space="preserve">with municipal water utilities.” </w:t>
      </w:r>
    </w:p>
    <w:p w:rsidR="00B250C4" w:rsidRPr="00143F08" w:rsidP="002F5CF2" w14:paraId="43638EBB" w14:textId="77777777">
      <w:pPr>
        <w:pStyle w:val="Heading3"/>
        <w:tabs>
          <w:tab w:val="clear" w:pos="1584"/>
        </w:tabs>
        <w:ind w:left="0" w:firstLine="0"/>
        <w:jc w:val="center"/>
      </w:pPr>
      <w:r w:rsidRPr="00143F08">
        <w:t xml:space="preserve">3. </w:t>
      </w:r>
      <w:r w:rsidRPr="00143F08" w:rsidR="00DD64CD">
        <w:t xml:space="preserve"> </w:t>
      </w:r>
      <w:r w:rsidRPr="00143F08" w:rsidR="00C95A20">
        <w:t>June 2019 ALJ Ruling</w:t>
      </w:r>
    </w:p>
    <w:p w:rsidR="00C3045B" w:rsidRPr="00143F08" w:rsidP="00143F08" w14:paraId="43638EBC" w14:textId="77777777">
      <w:pPr>
        <w:pStyle w:val="MemoText"/>
        <w:spacing w:line="400" w:lineRule="exact"/>
      </w:pPr>
      <w:r w:rsidRPr="00143F08">
        <w:t xml:space="preserve">A </w:t>
      </w:r>
      <w:r w:rsidRPr="00143F08" w:rsidR="00EA1BE6">
        <w:t xml:space="preserve">workshop </w:t>
      </w:r>
      <w:r w:rsidRPr="00143F08">
        <w:t xml:space="preserve">about </w:t>
      </w:r>
      <w:r w:rsidRPr="00143F08" w:rsidR="00EA1BE6">
        <w:t>rate design followed nearly a year later.</w:t>
      </w:r>
      <w:r w:rsidR="007E7DD9">
        <w:t xml:space="preserve">  </w:t>
      </w:r>
      <w:r w:rsidR="00F2799C">
        <w:t xml:space="preserve">In June 2019, after </w:t>
      </w:r>
      <w:r w:rsidRPr="00143F08">
        <w:t>Commission staff prepared a report summarizing the workshop</w:t>
      </w:r>
      <w:r w:rsidR="00FF6256">
        <w:t xml:space="preserve">, an ALJ </w:t>
      </w:r>
      <w:r w:rsidR="00F2799C">
        <w:t xml:space="preserve">issued a ruling that </w:t>
      </w:r>
      <w:r w:rsidR="00FF6256">
        <w:t xml:space="preserve">called for comments on the report and </w:t>
      </w:r>
      <w:r w:rsidR="00F2799C">
        <w:t xml:space="preserve">that </w:t>
      </w:r>
      <w:r w:rsidRPr="00143F08" w:rsidR="001847D9">
        <w:t xml:space="preserve">scheduled an </w:t>
      </w:r>
      <w:r w:rsidRPr="00143F08" w:rsidR="00FB4066">
        <w:t>August 2019</w:t>
      </w:r>
      <w:r w:rsidRPr="00143F08" w:rsidR="001847D9">
        <w:t xml:space="preserve"> </w:t>
      </w:r>
      <w:r w:rsidRPr="00143F08" w:rsidR="00483746">
        <w:t>workshop “to discuss potential changes to enhance water affordability, including the existing low-income programs</w:t>
      </w:r>
      <w:r w:rsidR="00FF6256">
        <w:t>.</w:t>
      </w:r>
      <w:r w:rsidRPr="00143F08" w:rsidR="00483746">
        <w:t>”</w:t>
      </w:r>
      <w:r w:rsidR="00FF6256">
        <w:t xml:space="preserve"> </w:t>
      </w:r>
      <w:r w:rsidRPr="00143F08" w:rsidR="00483746">
        <w:t xml:space="preserve"> </w:t>
      </w:r>
      <w:r w:rsidR="00FF6256">
        <w:t xml:space="preserve">The </w:t>
      </w:r>
      <w:r w:rsidR="00F2799C">
        <w:t xml:space="preserve">June 2019 ruling also </w:t>
      </w:r>
      <w:r w:rsidRPr="00143F08" w:rsidR="00995444">
        <w:t xml:space="preserve">posed several questions </w:t>
      </w:r>
      <w:r w:rsidRPr="00143F08" w:rsidR="00BF0DDD">
        <w:t>to be discussed at that future workshop</w:t>
      </w:r>
      <w:r w:rsidRPr="00143F08" w:rsidR="00575ECF">
        <w:t>.</w:t>
      </w:r>
      <w:r w:rsidRPr="00143F08" w:rsidR="00D935A5">
        <w:t xml:space="preserve">  None of the </w:t>
      </w:r>
      <w:r w:rsidRPr="00143F08" w:rsidR="004A4275">
        <w:t>11</w:t>
      </w:r>
      <w:r w:rsidRPr="00143F08" w:rsidR="00D935A5">
        <w:t xml:space="preserve"> enumerated questions (nor any of </w:t>
      </w:r>
      <w:r w:rsidRPr="00143F08" w:rsidR="00AB2111">
        <w:t xml:space="preserve">their subquestions) mentioned the </w:t>
      </w:r>
      <w:r w:rsidR="00000335">
        <w:t>WRAM/MCBA</w:t>
      </w:r>
      <w:r w:rsidRPr="00143F08" w:rsidR="00AB2111">
        <w:t>.</w:t>
      </w:r>
      <w:r w:rsidRPr="00143F08" w:rsidR="00E11AA4">
        <w:t xml:space="preserve">  </w:t>
      </w:r>
      <w:r w:rsidRPr="00143F08" w:rsidR="007E75B7">
        <w:t>The questions included:</w:t>
      </w:r>
      <w:r w:rsidRPr="00143F08" w:rsidR="00DA6153">
        <w:t xml:space="preserve"> </w:t>
      </w:r>
      <w:r w:rsidRPr="00143F08" w:rsidR="007E75B7">
        <w:t xml:space="preserve"> “What if any changes should the Commission consider as to its water forecasting?  How do we include the potential for drought in forecasting future sales, or what other mechanism can be implemented to ensure a more accurate forecast?  [¶]</w:t>
      </w:r>
      <w:r w:rsidRPr="00143F08" w:rsidR="00DD64CD">
        <w:t xml:space="preserve"> </w:t>
      </w:r>
      <w:r w:rsidRPr="00143F08" w:rsidR="007E75B7">
        <w:t xml:space="preserve"> . . . Should there be a mechanism to adjust rates mid-year or end of year as the shortfalls occur, especially during drought years?”  </w:t>
      </w:r>
    </w:p>
    <w:p w:rsidR="003B575B" w:rsidRPr="00143F08" w:rsidP="00143F08" w14:paraId="43638EBD" w14:textId="77777777">
      <w:pPr>
        <w:pStyle w:val="MemoText"/>
        <w:spacing w:line="400" w:lineRule="exact"/>
        <w:rPr>
          <w:b/>
          <w:bCs/>
        </w:rPr>
      </w:pPr>
      <w:r w:rsidRPr="00143F08">
        <w:t xml:space="preserve">The issue of eliminating the WRAM/MCBA was raised in </w:t>
      </w:r>
      <w:r w:rsidRPr="0048259C" w:rsidR="00B802F7">
        <w:t>comment</w:t>
      </w:r>
      <w:r w:rsidR="0048259C">
        <w:t xml:space="preserve">s </w:t>
      </w:r>
      <w:r w:rsidRPr="00143F08" w:rsidR="00B802F7">
        <w:t>submitted in response to the ALJ’s ruling</w:t>
      </w:r>
      <w:r w:rsidRPr="00143F08">
        <w:t xml:space="preserve">.  Specifically, </w:t>
      </w:r>
      <w:r w:rsidR="00471302">
        <w:t xml:space="preserve">in response to the question </w:t>
      </w:r>
      <w:r w:rsidRPr="00143F08">
        <w:t xml:space="preserve">whether there should be a mechanism to adjust rates </w:t>
      </w:r>
      <w:r w:rsidRPr="00143F08" w:rsidR="00407B14">
        <w:t>in the middle or at the end of the year</w:t>
      </w:r>
      <w:r w:rsidRPr="00143F08" w:rsidR="00706C9E">
        <w:t xml:space="preserve"> as water shortfalls occur</w:t>
      </w:r>
      <w:r w:rsidRPr="00143F08" w:rsidR="00407B14">
        <w:t xml:space="preserve">, </w:t>
      </w:r>
      <w:r w:rsidRPr="00143F08" w:rsidR="00B802F7">
        <w:t xml:space="preserve">the </w:t>
      </w:r>
      <w:r w:rsidRPr="00143F08" w:rsidR="00C00485">
        <w:t xml:space="preserve">Public Advocates Office </w:t>
      </w:r>
      <w:r w:rsidRPr="00143F08" w:rsidR="00D416E4">
        <w:t>at the Commission</w:t>
      </w:r>
      <w:r w:rsidRPr="00143F08" w:rsidR="00B802F7">
        <w:t xml:space="preserve"> </w:t>
      </w:r>
      <w:r w:rsidRPr="00143F08" w:rsidR="00407B14">
        <w:t xml:space="preserve">took the view that </w:t>
      </w:r>
      <w:r w:rsidRPr="00143F08" w:rsidR="00A62814">
        <w:t>it would be better to adopt</w:t>
      </w:r>
      <w:r w:rsidRPr="00143F08" w:rsidR="00F27CC9">
        <w:t xml:space="preserve"> a different approach to water revenue adjustment</w:t>
      </w:r>
      <w:r w:rsidR="00100489">
        <w:t xml:space="preserve"> altogether.  The Office explained:</w:t>
      </w:r>
      <w:r w:rsidRPr="00143F08" w:rsidR="00F27CC9">
        <w:t xml:space="preserve">  </w:t>
      </w:r>
      <w:r w:rsidRPr="00143F08" w:rsidR="00276C4D">
        <w:t>“</w:t>
      </w:r>
      <w:r w:rsidRPr="00143F08" w:rsidR="00F27CC9">
        <w:t>T</w:t>
      </w:r>
      <w:r w:rsidRPr="00143F08" w:rsidR="00276C4D">
        <w:t>he Commission should</w:t>
      </w:r>
      <w:r w:rsidRPr="00143F08" w:rsidR="00517953">
        <w:t xml:space="preserve"> . . . </w:t>
      </w:r>
      <w:r w:rsidRPr="00143F08" w:rsidR="00276C4D">
        <w:t xml:space="preserve">order conversion of full Water Revenue Adjustment Mechanisms (WRAMs) to Monterey-style WRAMS, which are directly tied to the impact of conservation efforts on water consumption.  The Commission should then explore eliminating any and all decoupling mechanisms because </w:t>
      </w:r>
      <w:r w:rsidRPr="00143F08" w:rsidR="000F4C6C">
        <w:t>compliance</w:t>
      </w:r>
      <w:r w:rsidRPr="00143F08" w:rsidR="00276C4D">
        <w:t xml:space="preserve"> to conservation </w:t>
      </w:r>
      <w:r w:rsidRPr="00143F08" w:rsidR="000F4C6C">
        <w:t>mandates</w:t>
      </w:r>
      <w:r w:rsidRPr="00143F08" w:rsidR="00276C4D">
        <w:t xml:space="preserve"> is now required by law, addressing any disincentives utilities might have to achieve conservation outcomes.”</w:t>
      </w:r>
      <w:r w:rsidR="007E7DD9">
        <w:t xml:space="preserve">  </w:t>
      </w:r>
    </w:p>
    <w:p w:rsidR="00CE3769" w:rsidRPr="00143F08" w:rsidP="00143F08" w14:paraId="43638EBE" w14:textId="77777777">
      <w:pPr>
        <w:pStyle w:val="MemoText"/>
        <w:spacing w:line="400" w:lineRule="exact"/>
      </w:pPr>
      <w:r w:rsidRPr="00143F08">
        <w:t xml:space="preserve">The California Water Association filed a </w:t>
      </w:r>
      <w:r w:rsidRPr="009A3897">
        <w:t>reply</w:t>
      </w:r>
      <w:r w:rsidRPr="00143F08">
        <w:t xml:space="preserve">.  </w:t>
      </w:r>
      <w:r w:rsidRPr="00143F08" w:rsidR="007850EC">
        <w:t xml:space="preserve">The Association objected that </w:t>
      </w:r>
      <w:r w:rsidRPr="00143F08" w:rsidR="001465F2">
        <w:t xml:space="preserve">the </w:t>
      </w:r>
      <w:r w:rsidR="003846B1">
        <w:t xml:space="preserve">Public Advocates </w:t>
      </w:r>
      <w:r w:rsidR="000946B6">
        <w:t xml:space="preserve">Office’s </w:t>
      </w:r>
      <w:r w:rsidRPr="00143F08" w:rsidR="001465F2">
        <w:t>suggestion to abandon decoupling mechanisms went “</w:t>
      </w:r>
      <w:r w:rsidRPr="00143F08" w:rsidR="00824353">
        <w:t>well beyond the appropriate scope of the questions presented”</w:t>
      </w:r>
      <w:r w:rsidR="004F59E1">
        <w:t xml:space="preserve"> and</w:t>
      </w:r>
      <w:r w:rsidR="007E7DD9">
        <w:t xml:space="preserve"> </w:t>
      </w:r>
      <w:r w:rsidR="004F59E1">
        <w:t>“</w:t>
      </w:r>
      <w:r w:rsidRPr="00143F08" w:rsidR="00824353">
        <w:t xml:space="preserve">falls well outside the scope of this proceeding.”  </w:t>
      </w:r>
      <w:r w:rsidRPr="00143F08" w:rsidR="00630F6C">
        <w:t xml:space="preserve">The Association also disagreed with </w:t>
      </w:r>
      <w:r w:rsidRPr="00143F08" w:rsidR="00661DE0">
        <w:t>the Office’s</w:t>
      </w:r>
      <w:r w:rsidRPr="00143F08" w:rsidR="00630F6C">
        <w:t xml:space="preserve"> proposal on the merits.  </w:t>
      </w:r>
    </w:p>
    <w:p w:rsidR="0042351F" w:rsidRPr="00143F08" w:rsidP="002F5CF2" w14:paraId="43638EBF" w14:textId="77777777">
      <w:pPr>
        <w:pStyle w:val="Heading3"/>
        <w:tabs>
          <w:tab w:val="clear" w:pos="1584"/>
        </w:tabs>
        <w:ind w:left="0" w:firstLine="0"/>
        <w:jc w:val="center"/>
      </w:pPr>
      <w:r w:rsidRPr="00143F08">
        <w:t xml:space="preserve">4. </w:t>
      </w:r>
      <w:r w:rsidR="00E65334">
        <w:t xml:space="preserve"> </w:t>
      </w:r>
      <w:r w:rsidRPr="00143F08">
        <w:t>September 2019 ALJ Ruling</w:t>
      </w:r>
    </w:p>
    <w:p w:rsidR="00E06D13" w:rsidRPr="00143F08" w:rsidP="00143F08" w14:paraId="43638EC0" w14:textId="77777777">
      <w:pPr>
        <w:pStyle w:val="MemoText"/>
        <w:spacing w:line="400" w:lineRule="exact"/>
      </w:pPr>
      <w:r w:rsidRPr="00143F08">
        <w:t xml:space="preserve">The Commission held the August workshop “to address outstanding issues and party comments received on the following topics: </w:t>
      </w:r>
      <w:r w:rsidRPr="00143F08" w:rsidR="00DA6153">
        <w:t xml:space="preserve"> </w:t>
      </w:r>
      <w:r w:rsidRPr="00143F08">
        <w:t>1) consolidation of at-risk systems; 2) forecasting/drought; and 3) rate design.”</w:t>
      </w:r>
      <w:r w:rsidRPr="00143F08" w:rsidR="005B2933">
        <w:t xml:space="preserve">  </w:t>
      </w:r>
      <w:r w:rsidRPr="00143F08" w:rsidR="004C630F">
        <w:t xml:space="preserve">Commission staff prepared a report </w:t>
      </w:r>
      <w:r w:rsidRPr="00143F08" w:rsidR="00934FE7">
        <w:t xml:space="preserve">about </w:t>
      </w:r>
      <w:r w:rsidRPr="00143F08" w:rsidR="004C630F">
        <w:t xml:space="preserve">that workshop as well.  </w:t>
      </w:r>
      <w:r w:rsidRPr="00143F08" w:rsidR="00E34490">
        <w:t xml:space="preserve">An ALJ </w:t>
      </w:r>
      <w:r w:rsidRPr="00143F08" w:rsidR="00AE35B2">
        <w:t xml:space="preserve">ruling </w:t>
      </w:r>
      <w:r w:rsidRPr="00143F08" w:rsidR="00BE4026">
        <w:t xml:space="preserve">followed </w:t>
      </w:r>
      <w:r w:rsidR="000946B6">
        <w:t>in September 2019</w:t>
      </w:r>
      <w:r w:rsidRPr="00143F08" w:rsidR="00BE4026">
        <w:t>, noting that “the proposed decision in this proceeding may include amendments to the Commission’s program rules in the areas of consolidation, forecasting, rate design, and other implementation measures to enhance water affordability, including low-income programs.”</w:t>
      </w:r>
      <w:r w:rsidRPr="00143F08" w:rsidR="004C630F">
        <w:t xml:space="preserve">  “In order to ensure a complete record for consideration in this proceeding the parties, in addition</w:t>
      </w:r>
      <w:r w:rsidRPr="00143F08" w:rsidR="00E34490">
        <w:t xml:space="preserve"> to commenting on the . . . Staff</w:t>
      </w:r>
      <w:r w:rsidRPr="00143F08" w:rsidR="00145BCB">
        <w:t xml:space="preserve"> Report, are to respond to the questions set out below.”  </w:t>
      </w:r>
      <w:r w:rsidRPr="00143F08" w:rsidR="00A20C70">
        <w:t xml:space="preserve">The ruling </w:t>
      </w:r>
      <w:r w:rsidRPr="00143F08">
        <w:t xml:space="preserve">then enumerated 18 </w:t>
      </w:r>
      <w:r w:rsidRPr="00143F08" w:rsidR="0011475A">
        <w:t xml:space="preserve">sets of </w:t>
      </w:r>
      <w:r w:rsidRPr="00143F08">
        <w:t>questions, most notably:</w:t>
      </w:r>
      <w:r w:rsidRPr="00143F08" w:rsidR="00DD64CD">
        <w:t xml:space="preserve"> </w:t>
      </w:r>
      <w:r w:rsidRPr="00143F08">
        <w:t xml:space="preserve"> “6. For utilities with a full Water Revenue Adjustment Mechanism (WRAM)/Modified Cost Balancing Account (MCBA), should the Commission consider converting to Monterey-style WRAM with an incremental cost balancing account?  Should this consideration occur in the context of each utility’s GRC?  [¶] </w:t>
      </w:r>
      <w:r w:rsidRPr="00143F08" w:rsidR="00DD64CD">
        <w:t xml:space="preserve"> </w:t>
      </w:r>
      <w:r w:rsidRPr="00143F08">
        <w:t xml:space="preserve">7. Should any amortizations required of the Monterey-style WRAM and incremental cost balancing accounts be done in the context of the GRC and attrition filings?”  </w:t>
      </w:r>
    </w:p>
    <w:p w:rsidR="0056221A" w:rsidRPr="00143F08" w:rsidP="00143F08" w14:paraId="43638EC1" w14:textId="77777777">
      <w:pPr>
        <w:pStyle w:val="MemoText"/>
        <w:spacing w:line="400" w:lineRule="exact"/>
      </w:pPr>
      <w:r w:rsidRPr="00143F08">
        <w:t xml:space="preserve">The record prepared by the parties </w:t>
      </w:r>
      <w:r w:rsidRPr="00143F08" w:rsidR="00026AFD">
        <w:t>in this case</w:t>
      </w:r>
      <w:r w:rsidRPr="00143F08">
        <w:t xml:space="preserve"> </w:t>
      </w:r>
      <w:r w:rsidRPr="00143F08" w:rsidR="00760225">
        <w:t xml:space="preserve">includes </w:t>
      </w:r>
      <w:r w:rsidRPr="00143F08" w:rsidR="00B96DA0">
        <w:t xml:space="preserve">excerpts or </w:t>
      </w:r>
      <w:r w:rsidRPr="00143F08" w:rsidR="00D81ED7">
        <w:t xml:space="preserve">complete </w:t>
      </w:r>
      <w:r w:rsidRPr="00143F08" w:rsidR="00B96DA0">
        <w:t xml:space="preserve">copies of </w:t>
      </w:r>
      <w:r w:rsidRPr="00143F08" w:rsidR="00760225">
        <w:t xml:space="preserve">comments </w:t>
      </w:r>
      <w:r w:rsidRPr="00143F08" w:rsidR="006C3DC1">
        <w:t xml:space="preserve">and reply comments </w:t>
      </w:r>
      <w:r w:rsidRPr="00143F08" w:rsidR="00760225">
        <w:t>filed by the California Water Association</w:t>
      </w:r>
      <w:r w:rsidRPr="00143F08" w:rsidR="006C3DC1">
        <w:t xml:space="preserve"> and </w:t>
      </w:r>
      <w:r w:rsidRPr="00143F08" w:rsidR="00760225">
        <w:t>the Public Advocates Office</w:t>
      </w:r>
      <w:r w:rsidRPr="00143F08" w:rsidR="006C3DC1">
        <w:t xml:space="preserve">.  </w:t>
      </w:r>
      <w:r w:rsidRPr="00143F08" w:rsidR="003767B3">
        <w:t xml:space="preserve">The most notable of those comments addressed question </w:t>
      </w:r>
      <w:r w:rsidRPr="00143F08" w:rsidR="00A8674E">
        <w:t>six</w:t>
      </w:r>
      <w:r w:rsidRPr="00143F08" w:rsidR="003767B3">
        <w:t xml:space="preserve">, </w:t>
      </w:r>
      <w:r w:rsidRPr="00143F08" w:rsidR="00E0741C">
        <w:t xml:space="preserve">regarding whether the Commission should “consider converting to Monterey-style WRAM.”  </w:t>
      </w:r>
    </w:p>
    <w:p w:rsidR="00071A1C" w:rsidRPr="00143F08" w:rsidP="00143F08" w14:paraId="43638EC2" w14:textId="77777777">
      <w:pPr>
        <w:pStyle w:val="MemoText"/>
        <w:spacing w:line="400" w:lineRule="exact"/>
      </w:pPr>
      <w:r w:rsidRPr="00143F08">
        <w:t xml:space="preserve">The Public Advocates Office answered “Yes.”  It elaborated: “[T]he Commission should provide the clear and unambiguous policy direction in this Rulemaking that utilities should convert full WRAMs to Monterey-style WRAMs.  Implementation of this policy can then proceed efficiently in pending and future GRCs of all Class A water utilities.”  </w:t>
      </w:r>
    </w:p>
    <w:p w:rsidR="00E91D67" w:rsidRPr="00143F08" w:rsidP="00143F08" w14:paraId="43638EC3" w14:textId="77777777">
      <w:pPr>
        <w:pStyle w:val="MemoText"/>
        <w:tabs>
          <w:tab w:val="left" w:pos="720"/>
          <w:tab w:val="clear" w:pos="1440"/>
        </w:tabs>
        <w:spacing w:line="400" w:lineRule="exact"/>
        <w:ind w:firstLine="0"/>
      </w:pPr>
      <w:r w:rsidRPr="00143F08">
        <w:tab/>
      </w:r>
      <w:r w:rsidRPr="00143F08" w:rsidR="00D04EEB">
        <w:t>The California Water Association’s reply expressed “vehement[]” disagreement</w:t>
      </w:r>
      <w:r w:rsidRPr="00143F08" w:rsidR="000E116C">
        <w:t xml:space="preserve"> with the proposal to convert to M</w:t>
      </w:r>
      <w:r w:rsidRPr="00143F08" w:rsidR="000A2509">
        <w:t>-</w:t>
      </w:r>
      <w:r w:rsidRPr="00143F08" w:rsidR="000E116C">
        <w:t>WRAMs</w:t>
      </w:r>
      <w:r w:rsidRPr="00143F08" w:rsidR="00D04EEB">
        <w:t xml:space="preserve">.  </w:t>
      </w:r>
      <w:r w:rsidRPr="00143F08" w:rsidR="00681308">
        <w:t>In its initial comments</w:t>
      </w:r>
      <w:r w:rsidRPr="00143F08" w:rsidR="006B1ECB">
        <w:t xml:space="preserve">, </w:t>
      </w:r>
      <w:r w:rsidRPr="00143F08" w:rsidR="00681308">
        <w:t xml:space="preserve">the Association </w:t>
      </w:r>
      <w:r w:rsidRPr="00143F08" w:rsidR="00873449">
        <w:t xml:space="preserve">argued that </w:t>
      </w:r>
      <w:r w:rsidRPr="00143F08" w:rsidR="00405845">
        <w:t xml:space="preserve">converting “to Monterey-style WRAMs in this rulemaking proceeding is a procedurally improper method </w:t>
      </w:r>
      <w:r w:rsidRPr="00143F08" w:rsidR="00474F4B">
        <w:t xml:space="preserve">for seeking to modify several final Commission Decisions and falls well outside the scope of this proceeding.  These mechanisms do not have anything to do with providing assistance to low-income customers.”  </w:t>
      </w:r>
      <w:r w:rsidRPr="00143F08" w:rsidR="0041634B">
        <w:t>On the merits, the Association also argued</w:t>
      </w:r>
      <w:r w:rsidRPr="00143F08" w:rsidR="00455236">
        <w:t xml:space="preserve">, among other things, that “the Monterey-style WRAM does not decouple sales from revenues and therefore fails to address the perverse incentive for water utilities to increase water sales and discount conservation efforts.”  </w:t>
      </w:r>
    </w:p>
    <w:p w:rsidR="002134E0" w:rsidRPr="00143F08" w:rsidP="00143F08" w14:paraId="43638EC4" w14:textId="77777777">
      <w:pPr>
        <w:pStyle w:val="MemoText"/>
        <w:spacing w:line="400" w:lineRule="exact"/>
      </w:pPr>
      <w:r w:rsidRPr="00143F08">
        <w:t xml:space="preserve">Responding to this latter claim, the Public Advocates Office </w:t>
      </w:r>
      <w:r w:rsidRPr="00143F08" w:rsidR="00624046">
        <w:t>contended that the “statement is not supported by actual data.”</w:t>
      </w:r>
      <w:r w:rsidR="007E7DD9">
        <w:t xml:space="preserve">  </w:t>
      </w:r>
      <w:r w:rsidRPr="00143F08" w:rsidR="00624046">
        <w:t xml:space="preserve">The Office included a graph </w:t>
      </w:r>
      <w:r w:rsidRPr="00143F08" w:rsidR="00E6196F">
        <w:t>that</w:t>
      </w:r>
      <w:r w:rsidRPr="00143F08" w:rsidR="0061576A">
        <w:t xml:space="preserve"> it described as </w:t>
      </w:r>
      <w:r w:rsidRPr="00143F08" w:rsidR="000D1C52">
        <w:t>showing that “water utilities with and without full decoupling WRAM have shown almost identical trends in annual sales fluctuations.”</w:t>
      </w:r>
      <w:r>
        <w:rPr>
          <w:rStyle w:val="FootnoteReference"/>
        </w:rPr>
        <w:footnoteReference w:id="5"/>
      </w:r>
      <w:r w:rsidRPr="00143F08" w:rsidR="006D17A5">
        <w:t xml:space="preserve">  </w:t>
      </w:r>
    </w:p>
    <w:p w:rsidR="00887A6B" w:rsidRPr="00143F08" w:rsidP="003B62D6" w14:paraId="43638EC5" w14:textId="77777777">
      <w:pPr>
        <w:pStyle w:val="Heading2"/>
        <w:tabs>
          <w:tab w:val="clear" w:pos="1152"/>
        </w:tabs>
        <w:ind w:left="0" w:firstLine="0"/>
        <w:jc w:val="center"/>
      </w:pPr>
      <w:r w:rsidRPr="00143F08">
        <w:t>D</w:t>
      </w:r>
      <w:r w:rsidRPr="00143F08" w:rsidR="00734ED6">
        <w:t>.</w:t>
      </w:r>
      <w:r w:rsidRPr="00143F08" w:rsidR="00D55DE7">
        <w:t xml:space="preserve"> </w:t>
      </w:r>
      <w:r w:rsidRPr="00143F08" w:rsidR="00DD64CD">
        <w:t xml:space="preserve"> </w:t>
      </w:r>
      <w:r w:rsidRPr="00143F08" w:rsidR="00D55DE7">
        <w:t>Proposed Decision</w:t>
      </w:r>
    </w:p>
    <w:p w:rsidR="00253562" w:rsidRPr="00143F08" w:rsidP="00143F08" w14:paraId="43638EC6" w14:textId="77777777">
      <w:pPr>
        <w:pStyle w:val="MemoText"/>
        <w:spacing w:line="400" w:lineRule="exact"/>
      </w:pPr>
      <w:r w:rsidRPr="00143F08">
        <w:t xml:space="preserve">The </w:t>
      </w:r>
      <w:r w:rsidR="00646E25">
        <w:t>a</w:t>
      </w:r>
      <w:r w:rsidRPr="00143F08">
        <w:t xml:space="preserve">ssigned </w:t>
      </w:r>
      <w:r w:rsidR="00646E25">
        <w:t>c</w:t>
      </w:r>
      <w:r w:rsidRPr="00143F08">
        <w:t xml:space="preserve">ommissioner issued a </w:t>
      </w:r>
      <w:r w:rsidRPr="009A3897">
        <w:t>proposed decision</w:t>
      </w:r>
      <w:r w:rsidRPr="00143F08">
        <w:t xml:space="preserve"> in July 2020.</w:t>
      </w:r>
      <w:r w:rsidRPr="00143F08" w:rsidR="002941D8">
        <w:t xml:space="preserve">  </w:t>
      </w:r>
      <w:r w:rsidR="00F72E83">
        <w:t xml:space="preserve">The decision proposed to order, among other things, </w:t>
      </w:r>
      <w:r w:rsidRPr="00143F08" w:rsidR="002D25A2">
        <w:t xml:space="preserve">that several water companies, “in their next general rate case applications, shall transition existing Water Revenue Adjustment Mechanisms to Monterey-Style </w:t>
      </w:r>
      <w:r w:rsidRPr="00143F08" w:rsidR="004A4275">
        <w:t xml:space="preserve">Water Revenue </w:t>
      </w:r>
      <w:r w:rsidRPr="00143F08" w:rsidR="002D25A2">
        <w:t>Adjustment Mechanisms.”</w:t>
      </w:r>
    </w:p>
    <w:p w:rsidR="007E5F11" w:rsidRPr="00143F08" w:rsidP="00143F08" w14:paraId="43638EC7" w14:textId="77777777">
      <w:pPr>
        <w:pStyle w:val="MemoText"/>
        <w:spacing w:line="400" w:lineRule="exact"/>
      </w:pPr>
      <w:r w:rsidRPr="00143F08">
        <w:t xml:space="preserve">Several water companies objected to the proposed decision.  </w:t>
      </w:r>
      <w:r w:rsidRPr="00143F08" w:rsidR="00566BD5">
        <w:t xml:space="preserve">In addition to </w:t>
      </w:r>
      <w:r w:rsidRPr="00143F08" w:rsidR="00485993">
        <w:t xml:space="preserve">concerns about the merits of requiring such a transition, </w:t>
      </w:r>
      <w:r w:rsidRPr="00143F08" w:rsidR="00A0432C">
        <w:t>the</w:t>
      </w:r>
      <w:r w:rsidRPr="00143F08" w:rsidR="00485993">
        <w:t xml:space="preserve"> companies expressed concerns about the procedures leading up to the proposed decision.</w:t>
      </w:r>
      <w:r w:rsidRPr="00143F08" w:rsidR="00650F6D">
        <w:t xml:space="preserve">  </w:t>
      </w:r>
    </w:p>
    <w:p w:rsidR="001C54E5" w:rsidRPr="00143F08" w:rsidP="000709A8" w14:paraId="43638EC8" w14:textId="77777777">
      <w:pPr>
        <w:pStyle w:val="MemoText"/>
        <w:spacing w:line="400" w:lineRule="exact"/>
      </w:pPr>
      <w:r w:rsidRPr="00143F08">
        <w:t>The California-American Water Company</w:t>
      </w:r>
      <w:r w:rsidRPr="00143F08" w:rsidR="00C200C9">
        <w:t>, for example,</w:t>
      </w:r>
      <w:r w:rsidRPr="00143F08">
        <w:t xml:space="preserve"> argued</w:t>
      </w:r>
      <w:r w:rsidRPr="00143F08" w:rsidR="00C200C9">
        <w:t xml:space="preserve"> </w:t>
      </w:r>
      <w:r w:rsidRPr="00143F08">
        <w:t xml:space="preserve">that “[t]he issue of elimination of the WRAM/MCBA is outside the scope of the proceeding and was never explicitly identified in the scoping memos.  If the </w:t>
      </w:r>
      <w:r w:rsidR="00750F79">
        <w:t>[Commission]</w:t>
      </w:r>
      <w:r w:rsidRPr="00143F08">
        <w:t xml:space="preserve"> intends to address this issue, it should do so in a separate proceeding that would provide parties, particularly those interested in conservation issues, a fair and full opportunity to participate.”</w:t>
      </w:r>
      <w:r w:rsidR="000709A8">
        <w:t xml:space="preserve">  </w:t>
      </w:r>
      <w:r w:rsidRPr="00143F08" w:rsidR="00AF4B62">
        <w:t>The Company further argued that “[t]he record in this proceeding on the conservation impact of the decoupling WRAM/MCBA is incomplete and ignores the significant conservation achievements of the utilities with WRAM/MCBAs.”</w:t>
      </w:r>
      <w:r w:rsidR="007E7DD9">
        <w:t xml:space="preserve">  </w:t>
      </w:r>
      <w:r w:rsidRPr="00143F08" w:rsidR="0093492A">
        <w:t xml:space="preserve">Others </w:t>
      </w:r>
      <w:r w:rsidRPr="00143F08" w:rsidR="008F267F">
        <w:t xml:space="preserve">similarly </w:t>
      </w:r>
      <w:r w:rsidRPr="00143F08" w:rsidR="00514E43">
        <w:t>contended</w:t>
      </w:r>
      <w:r w:rsidRPr="00143F08" w:rsidR="0093492A">
        <w:t xml:space="preserve"> that </w:t>
      </w:r>
      <w:r w:rsidRPr="00143F08" w:rsidR="00D70BF4">
        <w:t xml:space="preserve">the proposed decision contained factual errors </w:t>
      </w:r>
      <w:r w:rsidRPr="00143F08" w:rsidR="008F267F">
        <w:t xml:space="preserve">related to </w:t>
      </w:r>
      <w:r w:rsidRPr="00143F08" w:rsidR="00D70BF4">
        <w:t xml:space="preserve">the limited procedures leading up to the decision.  </w:t>
      </w:r>
    </w:p>
    <w:p w:rsidR="00E64EB4" w:rsidRPr="00143F08" w:rsidP="00143F08" w14:paraId="43638EC9" w14:textId="77777777">
      <w:pPr>
        <w:pStyle w:val="MemoText"/>
        <w:spacing w:line="400" w:lineRule="exact"/>
      </w:pPr>
      <w:r w:rsidRPr="00143F08">
        <w:t>A former</w:t>
      </w:r>
      <w:r w:rsidRPr="00143F08" w:rsidR="00192CAE">
        <w:t xml:space="preserve"> </w:t>
      </w:r>
      <w:r w:rsidR="00787D45">
        <w:t>c</w:t>
      </w:r>
      <w:r w:rsidRPr="00143F08" w:rsidR="00192CAE">
        <w:t xml:space="preserve">ommissioner </w:t>
      </w:r>
      <w:r w:rsidRPr="00143F08" w:rsidR="003D1D13">
        <w:t>submitted a letter in her personal capacity</w:t>
      </w:r>
      <w:r w:rsidRPr="00143F08" w:rsidR="003E0AA9">
        <w:t>.  She wrote</w:t>
      </w:r>
      <w:r w:rsidRPr="00143F08" w:rsidR="003D1D13">
        <w:t xml:space="preserve">, among other things, that </w:t>
      </w:r>
      <w:r w:rsidRPr="00143F08" w:rsidR="00CD4ED1">
        <w:t xml:space="preserve">the </w:t>
      </w:r>
      <w:r w:rsidRPr="00143F08" w:rsidR="00013EDB">
        <w:t xml:space="preserve">proposal </w:t>
      </w:r>
      <w:r w:rsidRPr="00143F08" w:rsidR="00037850">
        <w:t>to order</w:t>
      </w:r>
      <w:r w:rsidRPr="00143F08" w:rsidR="00013EDB">
        <w:t xml:space="preserve"> utilities to </w:t>
      </w:r>
      <w:r w:rsidRPr="00143F08" w:rsidR="00037850">
        <w:t xml:space="preserve">abandon </w:t>
      </w:r>
      <w:r w:rsidRPr="00143F08" w:rsidR="00013EDB">
        <w:t xml:space="preserve">Water Revenue Adjustment Mechanisms was “not within this proceeding’s scope and thus not fully litigated in this proceeding.”  </w:t>
      </w:r>
      <w:r w:rsidRPr="00143F08" w:rsidR="004E09CE">
        <w:t xml:space="preserve">She explained that the </w:t>
      </w:r>
      <w:r w:rsidR="00CA4AB8">
        <w:t>p</w:t>
      </w:r>
      <w:r w:rsidRPr="00143F08" w:rsidR="004E09CE">
        <w:t xml:space="preserve">roposed </w:t>
      </w:r>
      <w:r w:rsidR="00CA4AB8">
        <w:t>d</w:t>
      </w:r>
      <w:r w:rsidRPr="00143F08" w:rsidR="004E09CE">
        <w:t>ecision “fail[ed] to recognize the functional difference between forecasting (a set of tools used to project water consumption and assist</w:t>
      </w:r>
      <w:r w:rsidRPr="00143F08" w:rsidR="0048581C">
        <w:t xml:space="preserve"> in rate-setting</w:t>
      </w:r>
      <w:r w:rsidRPr="00143F08" w:rsidR="009743E0">
        <w:t>)</w:t>
      </w:r>
      <w:r w:rsidRPr="00143F08" w:rsidR="0048581C">
        <w:t xml:space="preserve"> [and</w:t>
      </w:r>
      <w:r w:rsidRPr="00143F08" w:rsidR="00877D19">
        <w:t>]</w:t>
      </w:r>
      <w:r w:rsidRPr="00143F08" w:rsidR="0048581C">
        <w:t xml:space="preserve"> the WRAM and MCBA</w:t>
      </w:r>
      <w:r w:rsidRPr="00143F08" w:rsidR="00530685">
        <w:t xml:space="preserve"> (mechanisms to collect rates and track the difference between authorized rates and revenues)</w:t>
      </w:r>
      <w:r w:rsidRPr="00143F08" w:rsidR="0048581C">
        <w:t xml:space="preserve">.”  </w:t>
      </w:r>
    </w:p>
    <w:p w:rsidR="00734ED6" w:rsidRPr="00143F08" w:rsidP="00E65334" w14:paraId="43638ECA" w14:textId="77777777">
      <w:pPr>
        <w:pStyle w:val="Heading2"/>
        <w:tabs>
          <w:tab w:val="clear" w:pos="1152"/>
          <w:tab w:val="left" w:pos="1440"/>
        </w:tabs>
        <w:ind w:left="0" w:firstLine="0"/>
        <w:jc w:val="center"/>
      </w:pPr>
      <w:r w:rsidRPr="00143F08">
        <w:t xml:space="preserve">E.  </w:t>
      </w:r>
      <w:r w:rsidRPr="00143F08" w:rsidR="00D55DE7">
        <w:t>Decision and Order</w:t>
      </w:r>
    </w:p>
    <w:p w:rsidR="001B1C40" w:rsidP="00143F08" w14:paraId="43638ECB" w14:textId="77777777">
      <w:pPr>
        <w:pStyle w:val="MemoText"/>
        <w:spacing w:line="400" w:lineRule="exact"/>
      </w:pPr>
      <w:r w:rsidRPr="00143F08">
        <w:t xml:space="preserve">A few weeks after receiving comments on the proposed decision, the Commission entered </w:t>
      </w:r>
      <w:r w:rsidRPr="00143F08" w:rsidR="005676F4">
        <w:t xml:space="preserve">its </w:t>
      </w:r>
      <w:r w:rsidRPr="009A3897" w:rsidR="006B58B3">
        <w:t xml:space="preserve">Decision </w:t>
      </w:r>
      <w:r w:rsidR="00A336FF">
        <w:t xml:space="preserve">No. </w:t>
      </w:r>
      <w:r w:rsidRPr="009A3897" w:rsidR="006B58B3">
        <w:t>20-08-047</w:t>
      </w:r>
      <w:r w:rsidRPr="00143F08">
        <w:t xml:space="preserve"> and </w:t>
      </w:r>
      <w:r w:rsidRPr="00143F08" w:rsidR="005676F4">
        <w:t xml:space="preserve">accompanying </w:t>
      </w:r>
      <w:r w:rsidRPr="003105BF">
        <w:t>order</w:t>
      </w:r>
      <w:r w:rsidRPr="003105BF" w:rsidR="007F48B1">
        <w:t>.</w:t>
      </w:r>
      <w:r w:rsidRPr="003105BF" w:rsidR="004512DA">
        <w:t xml:space="preserve">  </w:t>
      </w:r>
      <w:r>
        <w:t xml:space="preserve">Among other things, the decision and order mandated a shift </w:t>
      </w:r>
      <w:r w:rsidR="00A91162">
        <w:t xml:space="preserve">away </w:t>
      </w:r>
      <w:r>
        <w:t>from use of WRAMs.</w:t>
      </w:r>
    </w:p>
    <w:p w:rsidR="00DC79CF" w:rsidRPr="00143F08" w:rsidP="00143F08" w14:paraId="43638ECC" w14:textId="77777777">
      <w:pPr>
        <w:pStyle w:val="MemoText"/>
        <w:spacing w:line="400" w:lineRule="exact"/>
      </w:pPr>
      <w:r>
        <w:t xml:space="preserve">The Commission explained that its </w:t>
      </w:r>
      <w:r w:rsidRPr="00143F08" w:rsidR="00196A4C">
        <w:t>“decision evaluates the sales forecasting processes used by water utilities and concludes that, after years as a pilot program, the Water Revenue Adjustment Mechanisms have proven to be ineffective in achieving its</w:t>
      </w:r>
      <w:r w:rsidRPr="00143F08" w:rsidR="00B05E7E">
        <w:t xml:space="preserve"> [</w:t>
      </w:r>
      <w:r w:rsidRPr="00143F08" w:rsidR="00B05E7E">
        <w:rPr>
          <w:i/>
          <w:iCs/>
        </w:rPr>
        <w:t>sic</w:t>
      </w:r>
      <w:r w:rsidRPr="00143F08" w:rsidR="00B05E7E">
        <w:t>]</w:t>
      </w:r>
      <w:r w:rsidRPr="00143F08" w:rsidR="00196A4C">
        <w:t xml:space="preserve"> primary goal of conservation.  This decision therefore identifies other benefits the Water Revenue Adjustment Mechanisms provide that are better achieved through the Monterey-Style Water Revenue Adjustment Mechanisms and requires water utilities to propose Monterey-Style Water Revenue Adjustment Mechanisms in future general rate cases.”  </w:t>
      </w:r>
      <w:r w:rsidRPr="00143F08" w:rsidR="00144798">
        <w:t xml:space="preserve">The Commission </w:t>
      </w:r>
      <w:r w:rsidRPr="00143F08" w:rsidR="00F91CFE">
        <w:t>ordered that</w:t>
      </w:r>
      <w:r w:rsidRPr="00143F08" w:rsidR="00EC7F90">
        <w:t xml:space="preserve"> the </w:t>
      </w:r>
      <w:r w:rsidRPr="00143F08" w:rsidR="00647D0A">
        <w:t xml:space="preserve">Water Companies </w:t>
      </w:r>
      <w:r w:rsidRPr="00143F08" w:rsidR="00F91CFE">
        <w:t xml:space="preserve">“shall not propose continuing existing Water Revenue Adjustment Mechanisms/Modified Cost Balancing Accounts but may propose to use Monterey-Style Water Revenue Adjustment Mechanisms and Incremental Cost Balancing Accounts.”  </w:t>
      </w:r>
    </w:p>
    <w:p w:rsidR="00764401" w:rsidRPr="00143F08" w:rsidP="00005A29" w14:paraId="43638ECD" w14:textId="77777777">
      <w:pPr>
        <w:pStyle w:val="MemoText"/>
        <w:spacing w:line="400" w:lineRule="exact"/>
        <w:rPr>
          <w:szCs w:val="26"/>
        </w:rPr>
      </w:pPr>
      <w:r w:rsidRPr="00143F08">
        <w:t>Re</w:t>
      </w:r>
      <w:r w:rsidRPr="00143F08" w:rsidR="0053722E">
        <w:t xml:space="preserve">sponding </w:t>
      </w:r>
      <w:r w:rsidRPr="00143F08">
        <w:t>to</w:t>
      </w:r>
      <w:r w:rsidRPr="00143F08" w:rsidR="00916E4F">
        <w:t xml:space="preserve"> the objection that </w:t>
      </w:r>
      <w:r w:rsidRPr="00143F08" w:rsidR="00A804F2">
        <w:t xml:space="preserve">terminating WRAMs was outside the scope of the proceeding, the Commission </w:t>
      </w:r>
      <w:r w:rsidR="001B1C40">
        <w:t>stated</w:t>
      </w:r>
      <w:r w:rsidRPr="00143F08" w:rsidR="00A804F2">
        <w:t>:</w:t>
      </w:r>
      <w:r w:rsidRPr="00143F08" w:rsidR="00DD64CD">
        <w:t xml:space="preserve"> </w:t>
      </w:r>
      <w:r w:rsidRPr="00143F08" w:rsidR="00A804F2">
        <w:t xml:space="preserve"> “</w:t>
      </w:r>
      <w:r w:rsidRPr="00143F08" w:rsidR="00F01B28">
        <w:t xml:space="preserve">Consideration of changes to the WRAM/MCBA is and </w:t>
      </w:r>
      <w:r w:rsidRPr="00143F08" w:rsidR="001313D8">
        <w:t xml:space="preserve">has </w:t>
      </w:r>
      <w:r w:rsidRPr="00143F08" w:rsidR="00F01B28">
        <w:t xml:space="preserve">always been within the scope of this proceeding as part of our review of how to improve water sales forecasting.”  </w:t>
      </w:r>
      <w:r w:rsidRPr="00143F08" w:rsidR="006E25C0">
        <w:t>The</w:t>
      </w:r>
      <w:r w:rsidR="001F48A6">
        <w:t xml:space="preserve"> Commission noted that its decision was supported by evidence presented by the Public Advocates Office</w:t>
      </w:r>
      <w:r w:rsidR="002B715C">
        <w:t xml:space="preserve"> reply comments to the September 2019 ALJ ruling</w:t>
      </w:r>
      <w:r w:rsidR="00F37076">
        <w:t xml:space="preserve"> (</w:t>
      </w:r>
      <w:r w:rsidR="00F41A69">
        <w:t xml:space="preserve">comments </w:t>
      </w:r>
      <w:r w:rsidR="00262708">
        <w:t xml:space="preserve">which included </w:t>
      </w:r>
      <w:r w:rsidR="0053530E">
        <w:t>the aforementioned</w:t>
      </w:r>
      <w:r w:rsidR="00262708">
        <w:t xml:space="preserve"> graph</w:t>
      </w:r>
      <w:r w:rsidR="00F37076">
        <w:t>)</w:t>
      </w:r>
      <w:r w:rsidR="002B715C">
        <w:t xml:space="preserve"> and emphasized </w:t>
      </w:r>
      <w:r w:rsidRPr="00143F08" w:rsidR="007036E9">
        <w:t>“the fundamental point that no party has presented evidence or arguments that persuade us that the pilot WRAM/MC</w:t>
      </w:r>
      <w:r w:rsidRPr="00143F08" w:rsidR="001313D8">
        <w:t>BA</w:t>
      </w:r>
      <w:r w:rsidRPr="00143F08" w:rsidR="007036E9">
        <w:t xml:space="preserve"> mechanism provides discernable benefits that merit its continuation.”</w:t>
      </w:r>
      <w:r w:rsidR="00653F7F">
        <w:t xml:space="preserve">  </w:t>
      </w:r>
      <w:r w:rsidR="001F48A6">
        <w:rPr>
          <w:szCs w:val="26"/>
        </w:rPr>
        <w:t xml:space="preserve">Further, the Commission stated, </w:t>
      </w:r>
      <w:r w:rsidRPr="00143F08">
        <w:rPr>
          <w:szCs w:val="26"/>
        </w:rPr>
        <w:t xml:space="preserve">“no water company or any other party offered any alternative to the WRAM/MCBA process other than allowing companies to use a Monterey-Style WRAM in future GRCs.”  The decision and order does not </w:t>
      </w:r>
      <w:r w:rsidR="00C56C04">
        <w:rPr>
          <w:szCs w:val="26"/>
        </w:rPr>
        <w:t xml:space="preserve">explicitly respond to objections that the </w:t>
      </w:r>
      <w:r w:rsidR="00653F7F">
        <w:rPr>
          <w:szCs w:val="26"/>
        </w:rPr>
        <w:t xml:space="preserve">record </w:t>
      </w:r>
      <w:r w:rsidR="00C56C04">
        <w:rPr>
          <w:szCs w:val="26"/>
        </w:rPr>
        <w:t xml:space="preserve">was insufficient to </w:t>
      </w:r>
      <w:r w:rsidR="00873511">
        <w:rPr>
          <w:szCs w:val="26"/>
        </w:rPr>
        <w:t xml:space="preserve">decide whether to </w:t>
      </w:r>
      <w:r w:rsidR="00C56C04">
        <w:rPr>
          <w:szCs w:val="26"/>
        </w:rPr>
        <w:t xml:space="preserve">prohibit future use of WRAMs, nor does </w:t>
      </w:r>
      <w:r w:rsidR="00873511">
        <w:rPr>
          <w:szCs w:val="26"/>
        </w:rPr>
        <w:t xml:space="preserve">the decision and order </w:t>
      </w:r>
      <w:r w:rsidRPr="00143F08">
        <w:rPr>
          <w:szCs w:val="26"/>
        </w:rPr>
        <w:t>explicitly respond</w:t>
      </w:r>
      <w:r w:rsidR="00C56C04">
        <w:rPr>
          <w:szCs w:val="26"/>
        </w:rPr>
        <w:t xml:space="preserve"> </w:t>
      </w:r>
      <w:r w:rsidRPr="00143F08" w:rsidR="00DD0006">
        <w:rPr>
          <w:szCs w:val="26"/>
        </w:rPr>
        <w:t>to some of the examples of</w:t>
      </w:r>
      <w:r w:rsidRPr="00143F08" w:rsidR="007A314E">
        <w:rPr>
          <w:szCs w:val="26"/>
        </w:rPr>
        <w:t xml:space="preserve">fered by the California Water Service Company, in response to the </w:t>
      </w:r>
      <w:r w:rsidR="00CA4AB8">
        <w:rPr>
          <w:szCs w:val="26"/>
        </w:rPr>
        <w:t>p</w:t>
      </w:r>
      <w:r w:rsidRPr="00143F08" w:rsidR="007A314E">
        <w:rPr>
          <w:szCs w:val="26"/>
        </w:rPr>
        <w:t xml:space="preserve">roposed </w:t>
      </w:r>
      <w:r w:rsidR="00CA4AB8">
        <w:rPr>
          <w:szCs w:val="26"/>
        </w:rPr>
        <w:t>d</w:t>
      </w:r>
      <w:r w:rsidRPr="00143F08" w:rsidR="007A314E">
        <w:rPr>
          <w:szCs w:val="26"/>
        </w:rPr>
        <w:t xml:space="preserve">ecision, as </w:t>
      </w:r>
      <w:r w:rsidRPr="00143F08" w:rsidR="0067023D">
        <w:rPr>
          <w:szCs w:val="26"/>
        </w:rPr>
        <w:t xml:space="preserve">alternative </w:t>
      </w:r>
      <w:r w:rsidRPr="00143F08" w:rsidR="007A314E">
        <w:rPr>
          <w:szCs w:val="26"/>
        </w:rPr>
        <w:t>ways to “minimize WRAM balances and/or recover under-collected revenues relat</w:t>
      </w:r>
      <w:r w:rsidRPr="00143F08" w:rsidR="001313D8">
        <w:rPr>
          <w:szCs w:val="26"/>
        </w:rPr>
        <w:t>ing</w:t>
      </w:r>
      <w:r w:rsidRPr="00143F08" w:rsidR="007A314E">
        <w:rPr>
          <w:szCs w:val="26"/>
        </w:rPr>
        <w:t xml:space="preserve"> to decoupling</w:t>
      </w:r>
      <w:r w:rsidRPr="00143F08" w:rsidR="00B067AE">
        <w:rPr>
          <w:szCs w:val="26"/>
        </w:rPr>
        <w:t xml:space="preserve">.” </w:t>
      </w:r>
      <w:r w:rsidRPr="00143F08" w:rsidR="00BB4685">
        <w:rPr>
          <w:szCs w:val="26"/>
        </w:rPr>
        <w:t xml:space="preserve"> (Fn. omitted.)</w:t>
      </w:r>
    </w:p>
    <w:p w:rsidR="00081FB6" w:rsidRPr="00143F08" w:rsidP="00143F08" w14:paraId="43638ECE" w14:textId="77777777">
      <w:pPr>
        <w:pStyle w:val="MemoText"/>
        <w:spacing w:line="400" w:lineRule="exact"/>
      </w:pPr>
      <w:r w:rsidRPr="00143F08">
        <w:rPr>
          <w:szCs w:val="26"/>
        </w:rPr>
        <w:t>Commissioner Randolph dissented</w:t>
      </w:r>
      <w:r w:rsidRPr="00143F08" w:rsidR="00000DCD">
        <w:rPr>
          <w:szCs w:val="26"/>
        </w:rPr>
        <w:t xml:space="preserve">, faulting the majority for eliminating the </w:t>
      </w:r>
      <w:r w:rsidRPr="00143F08" w:rsidR="00D1466F">
        <w:rPr>
          <w:szCs w:val="26"/>
        </w:rPr>
        <w:t xml:space="preserve">Water Revenue </w:t>
      </w:r>
      <w:r w:rsidRPr="00143F08" w:rsidR="00000DCD">
        <w:rPr>
          <w:szCs w:val="26"/>
        </w:rPr>
        <w:t>Adjustment Mechanism “instead of focusing on improving sales forecast</w:t>
      </w:r>
      <w:r w:rsidRPr="00143F08" w:rsidR="00FA0234">
        <w:rPr>
          <w:szCs w:val="26"/>
        </w:rPr>
        <w:t>s</w:t>
      </w:r>
      <w:r w:rsidRPr="00143F08" w:rsidR="00000DCD">
        <w:rPr>
          <w:szCs w:val="26"/>
        </w:rPr>
        <w:t>”</w:t>
      </w:r>
      <w:r w:rsidR="00873511">
        <w:rPr>
          <w:szCs w:val="26"/>
        </w:rPr>
        <w:t xml:space="preserve"> to decrease WRAM balances.</w:t>
      </w:r>
    </w:p>
    <w:p w:rsidR="00D55DE7" w:rsidRPr="00143F08" w:rsidP="00E65334" w14:paraId="43638ECF" w14:textId="77777777">
      <w:pPr>
        <w:pStyle w:val="Heading2"/>
        <w:tabs>
          <w:tab w:val="clear" w:pos="1152"/>
          <w:tab w:val="left" w:pos="1260"/>
        </w:tabs>
        <w:ind w:left="0" w:firstLine="0"/>
        <w:jc w:val="center"/>
      </w:pPr>
      <w:r w:rsidRPr="00143F08">
        <w:t>F.</w:t>
      </w:r>
      <w:r w:rsidRPr="00143F08" w:rsidR="00DD64CD">
        <w:t xml:space="preserve"> </w:t>
      </w:r>
      <w:r w:rsidRPr="00143F08">
        <w:t xml:space="preserve"> Rehearing</w:t>
      </w:r>
    </w:p>
    <w:p w:rsidR="008A0FD7" w:rsidRPr="00143F08" w:rsidP="00143F08" w14:paraId="43638ED0" w14:textId="77777777">
      <w:pPr>
        <w:pStyle w:val="MemoText"/>
        <w:spacing w:line="400" w:lineRule="exact"/>
      </w:pPr>
      <w:r w:rsidRPr="00143F08">
        <w:t xml:space="preserve">Several </w:t>
      </w:r>
      <w:r w:rsidRPr="00143F08" w:rsidR="00D6709D">
        <w:t>w</w:t>
      </w:r>
      <w:r w:rsidRPr="00143F08">
        <w:t xml:space="preserve">ater </w:t>
      </w:r>
      <w:r w:rsidRPr="00143F08" w:rsidR="00D6709D">
        <w:t>c</w:t>
      </w:r>
      <w:r w:rsidRPr="00143F08">
        <w:t>ompanies sought rehearing</w:t>
      </w:r>
      <w:r w:rsidRPr="00143F08" w:rsidR="00FC6DF4">
        <w:t xml:space="preserve">, raising a litany of </w:t>
      </w:r>
      <w:r w:rsidRPr="00143F08" w:rsidR="00EA60E5">
        <w:t xml:space="preserve">procedural and substantive </w:t>
      </w:r>
      <w:r w:rsidRPr="00143F08" w:rsidR="00FC6DF4">
        <w:t xml:space="preserve">concerns.  </w:t>
      </w:r>
      <w:r w:rsidRPr="00143F08">
        <w:t xml:space="preserve">The Commission denied rehearing.  </w:t>
      </w:r>
      <w:r w:rsidRPr="00143F08" w:rsidR="00B967FC">
        <w:t xml:space="preserve">As in the </w:t>
      </w:r>
      <w:r w:rsidRPr="00143F08" w:rsidR="00A32380">
        <w:t xml:space="preserve">original </w:t>
      </w:r>
      <w:r w:rsidRPr="00143F08" w:rsidR="00B967FC">
        <w:t xml:space="preserve">decision, the Commission </w:t>
      </w:r>
      <w:r w:rsidR="00AC2AF9">
        <w:t xml:space="preserve">rejected the idea that </w:t>
      </w:r>
      <w:r w:rsidR="00695677">
        <w:t>parties lacked notice that the Commission was considering eliminating the WRAM/MCBA approach</w:t>
      </w:r>
      <w:r w:rsidR="00B85158">
        <w:t xml:space="preserve"> in this proceeding.  The Commission reasoned that </w:t>
      </w:r>
      <w:r w:rsidRPr="00143F08" w:rsidR="008221DB">
        <w:t>“[t]he issue of the decoupling WRAM was included in the original Scoping Memo as part of the water sales forecasting issue.”</w:t>
      </w:r>
      <w:r w:rsidR="007E7DD9">
        <w:t xml:space="preserve">  </w:t>
      </w:r>
      <w:r w:rsidRPr="00143F08">
        <w:t xml:space="preserve">It elaborated: </w:t>
      </w:r>
      <w:r w:rsidRPr="00143F08" w:rsidR="00DD64CD">
        <w:t xml:space="preserve"> </w:t>
      </w:r>
      <w:r w:rsidRPr="00143F08">
        <w:t>“One of the main reasons that water sales forecasting is important to the Commission is that when forecast sales are higher than actual sales, the WRAM utilities recover that difference in revenue through surcharges on customer’s bills.  Therefore, the risk of inaccurate forecasting is</w:t>
      </w:r>
      <w:r w:rsidRPr="00143F08" w:rsidR="00195BFE">
        <w:t xml:space="preserve"> borne by the ratepayers.  For non-WRAM utilities, if the water sales forecast is higher than actual sales, there is no mechanism to true-up the difference, therefore the risk is borne by the utility.  Our concern about water sales forecasting and its effect on rates is, therefore, heightened because of the WRAM.”  </w:t>
      </w:r>
    </w:p>
    <w:p w:rsidR="00F823C6" w:rsidRPr="00143F08" w:rsidP="00143F08" w14:paraId="43638ED1" w14:textId="77777777">
      <w:pPr>
        <w:pStyle w:val="MemoText"/>
        <w:spacing w:line="400" w:lineRule="exact"/>
      </w:pPr>
      <w:r w:rsidRPr="00143F08">
        <w:t xml:space="preserve">The </w:t>
      </w:r>
      <w:r w:rsidR="00B85158">
        <w:t xml:space="preserve">Commission </w:t>
      </w:r>
      <w:r w:rsidR="00B76ED8">
        <w:t xml:space="preserve">further addressed </w:t>
      </w:r>
      <w:r w:rsidR="00514496">
        <w:t xml:space="preserve">objections </w:t>
      </w:r>
      <w:r w:rsidR="00B76ED8">
        <w:t xml:space="preserve">concerning the </w:t>
      </w:r>
      <w:r w:rsidR="00514496">
        <w:t>evidence supporting its decision</w:t>
      </w:r>
      <w:r w:rsidR="00B76ED8">
        <w:t xml:space="preserve">.  It </w:t>
      </w:r>
      <w:r w:rsidRPr="00143F08">
        <w:t>acknowledge</w:t>
      </w:r>
      <w:r w:rsidR="00B85158">
        <w:t>d</w:t>
      </w:r>
      <w:r w:rsidRPr="00143F08">
        <w:t xml:space="preserve"> that “Golden State argues that Finding of Fact #11, which states that the WRAM/MCBA has led to substantial under-collections and subsequent increases in quantity rates, is unsupported by current data</w:t>
      </w:r>
      <w:r w:rsidR="007E7DD9">
        <w:t>,</w:t>
      </w:r>
      <w:r w:rsidRPr="00143F08">
        <w:t>”</w:t>
      </w:r>
      <w:r w:rsidRPr="00143F08" w:rsidR="00746855">
        <w:t xml:space="preserve"> and </w:t>
      </w:r>
      <w:r w:rsidRPr="00143F08" w:rsidR="00EA60E5">
        <w:t xml:space="preserve">that Golden State </w:t>
      </w:r>
      <w:r w:rsidRPr="00143F08" w:rsidR="00746855">
        <w:t>“allege</w:t>
      </w:r>
      <w:r w:rsidRPr="00143F08" w:rsidR="00EA60E5">
        <w:t>s</w:t>
      </w:r>
      <w:r w:rsidRPr="00143F08" w:rsidR="00746855">
        <w:t xml:space="preserve"> that its comments on the </w:t>
      </w:r>
      <w:r w:rsidR="00B85158">
        <w:t>[proposed decision]</w:t>
      </w:r>
      <w:r w:rsidRPr="00143F08" w:rsidR="00B85158">
        <w:t xml:space="preserve"> </w:t>
      </w:r>
      <w:r w:rsidRPr="00143F08" w:rsidR="00746855">
        <w:t>provided more current data reflecting it had over-collections in two of its service areas in recent years</w:t>
      </w:r>
      <w:r w:rsidR="007E7DD9">
        <w:t>.”</w:t>
      </w:r>
      <w:r w:rsidRPr="00143F08" w:rsidR="00746855">
        <w:t xml:space="preserve">  The Commission reject</w:t>
      </w:r>
      <w:r w:rsidRPr="00143F08" w:rsidR="00EA60E5">
        <w:t>ed</w:t>
      </w:r>
      <w:r w:rsidRPr="00143F08" w:rsidR="00746855">
        <w:t xml:space="preserve"> this argument because “comments on the </w:t>
      </w:r>
      <w:r w:rsidR="00B85158">
        <w:t>[proposed decision]</w:t>
      </w:r>
      <w:r w:rsidRPr="00143F08" w:rsidR="00746855">
        <w:t xml:space="preserve"> are not included in the evidentiary record</w:t>
      </w:r>
      <w:r w:rsidR="0068435E">
        <w:t>.</w:t>
      </w:r>
      <w:r w:rsidRPr="00143F08" w:rsidR="00746855">
        <w:t>”</w:t>
      </w:r>
      <w:r w:rsidR="007E7DD9">
        <w:t xml:space="preserve">  </w:t>
      </w:r>
      <w:r w:rsidRPr="00143F08" w:rsidR="0014398E">
        <w:t>T</w:t>
      </w:r>
      <w:r w:rsidRPr="00143F08" w:rsidR="003B5BFB">
        <w:t xml:space="preserve">he Commission also concluded that the </w:t>
      </w:r>
      <w:r w:rsidRPr="00143F08" w:rsidR="00120DA7">
        <w:t>d</w:t>
      </w:r>
      <w:r w:rsidRPr="00143F08" w:rsidR="003B5BFB">
        <w:t xml:space="preserve">ecision </w:t>
      </w:r>
      <w:r w:rsidR="00BF58E3">
        <w:t xml:space="preserve">to eliminate the WRAM </w:t>
      </w:r>
      <w:r w:rsidRPr="00143F08" w:rsidR="003B5BFB">
        <w:t>was supported by record evidence</w:t>
      </w:r>
      <w:r w:rsidRPr="00143F08" w:rsidR="00F875DA">
        <w:t xml:space="preserve">, relying </w:t>
      </w:r>
      <w:r w:rsidR="00B85158">
        <w:t xml:space="preserve">again </w:t>
      </w:r>
      <w:r w:rsidRPr="00143F08" w:rsidR="00F875DA">
        <w:t xml:space="preserve">in part on the graph </w:t>
      </w:r>
      <w:r w:rsidR="00B85158">
        <w:t xml:space="preserve">the Public Advocates Office </w:t>
      </w:r>
      <w:r w:rsidRPr="00143F08" w:rsidR="00F875DA">
        <w:t xml:space="preserve">submitted in reply comments, </w:t>
      </w:r>
      <w:r w:rsidRPr="00143F08" w:rsidR="00DD7B17">
        <w:t xml:space="preserve">and </w:t>
      </w:r>
      <w:r w:rsidRPr="00143F08" w:rsidR="00F875DA">
        <w:t xml:space="preserve">faulting </w:t>
      </w:r>
      <w:r w:rsidRPr="00143F08" w:rsidR="0036111D">
        <w:t>the parties for not seeking “permission to respond to the graph they now dispute or to have the graph stricken from the record.”</w:t>
      </w:r>
      <w:r w:rsidR="007E7DD9">
        <w:t xml:space="preserve">  </w:t>
      </w:r>
      <w:r w:rsidRPr="00143F08" w:rsidR="00996DBF">
        <w:t xml:space="preserve">The Commission </w:t>
      </w:r>
      <w:r w:rsidRPr="00143F08" w:rsidR="00B034DC">
        <w:t xml:space="preserve">further </w:t>
      </w:r>
      <w:r w:rsidRPr="00143F08" w:rsidR="00996DBF">
        <w:t xml:space="preserve">argued that </w:t>
      </w:r>
      <w:r w:rsidRPr="00143F08" w:rsidR="009813B7">
        <w:t xml:space="preserve">the problems certain utilities identified with the graph </w:t>
      </w:r>
      <w:r w:rsidRPr="00143F08" w:rsidR="007E6893">
        <w:t xml:space="preserve">“related to the measurement or interpretation of the data provided in” the graph, rather than </w:t>
      </w:r>
      <w:r w:rsidRPr="00143F08" w:rsidR="0043538B">
        <w:t>contending</w:t>
      </w:r>
      <w:r w:rsidRPr="00143F08" w:rsidR="007E6893">
        <w:t xml:space="preserve"> “that the data are inaccurate.”   </w:t>
      </w:r>
    </w:p>
    <w:p w:rsidR="00F32635" w:rsidRPr="00143F08" w:rsidP="00143F08" w14:paraId="43638ED2" w14:textId="77777777">
      <w:pPr>
        <w:pStyle w:val="Heading1"/>
      </w:pPr>
      <w:r w:rsidRPr="00143F08">
        <w:t>II.</w:t>
      </w:r>
    </w:p>
    <w:p w:rsidR="005C367D" w:rsidP="00143F08" w14:paraId="43638ED3" w14:textId="77777777">
      <w:pPr>
        <w:pStyle w:val="MemoText"/>
        <w:spacing w:line="400" w:lineRule="exact"/>
      </w:pPr>
      <w:r w:rsidRPr="00143F08">
        <w:t>We issued writ</w:t>
      </w:r>
      <w:r w:rsidRPr="00143F08" w:rsidR="00EB7BC6">
        <w:t>s</w:t>
      </w:r>
      <w:r w:rsidRPr="00143F08">
        <w:t xml:space="preserve"> of review in May 2022</w:t>
      </w:r>
      <w:r w:rsidRPr="00143F08" w:rsidR="00EB7BC6">
        <w:t xml:space="preserve"> </w:t>
      </w:r>
      <w:r w:rsidRPr="00143F08" w:rsidR="0067464D">
        <w:t>and consolidated these cases soon after.</w:t>
      </w:r>
      <w:r w:rsidRPr="00143F08" w:rsidR="009C3C2C">
        <w:t xml:space="preserve">  </w:t>
      </w:r>
      <w:r w:rsidRPr="00143F08" w:rsidR="0022468F">
        <w:t>(</w:t>
      </w:r>
      <w:r w:rsidRPr="00143F08" w:rsidR="00210DF7">
        <w:t xml:space="preserve">See </w:t>
      </w:r>
      <w:r w:rsidRPr="00143F08" w:rsidR="0022468F">
        <w:t>Pub. Util. Code, § 1756</w:t>
      </w:r>
      <w:r w:rsidRPr="00143F08" w:rsidR="000D3B0B">
        <w:t>, subd. (f).)</w:t>
      </w:r>
      <w:r w:rsidR="007E7DD9">
        <w:t xml:space="preserve">  </w:t>
      </w:r>
      <w:r w:rsidRPr="00143F08" w:rsidR="00A32A95">
        <w:t>That September, the Governor signed Senate Bill No.</w:t>
      </w:r>
      <w:r w:rsidRPr="00143F08" w:rsidR="00B5706D">
        <w:t> </w:t>
      </w:r>
      <w:r w:rsidRPr="00143F08" w:rsidR="00A32A95">
        <w:t>1469</w:t>
      </w:r>
      <w:r w:rsidR="004E3A9C">
        <w:t xml:space="preserve"> </w:t>
      </w:r>
      <w:r w:rsidRPr="00143F08" w:rsidR="004E3A9C">
        <w:t>(2021–2022 Reg. Sess.)</w:t>
      </w:r>
      <w:r w:rsidR="00DA0F16">
        <w:t xml:space="preserve"> (Senate Bill No. 1469)</w:t>
      </w:r>
      <w:r w:rsidRPr="00143F08" w:rsidR="00210DF7">
        <w:t>, concern</w:t>
      </w:r>
      <w:r w:rsidRPr="00143F08" w:rsidR="002E2913">
        <w:t>ing conservation-related</w:t>
      </w:r>
      <w:r w:rsidRPr="00143F08" w:rsidR="00210DF7">
        <w:t xml:space="preserve"> decoupling mechanisms</w:t>
      </w:r>
      <w:r w:rsidRPr="00143F08" w:rsidR="007A47DB">
        <w:t>.</w:t>
      </w:r>
      <w:r w:rsidRPr="00143F08" w:rsidR="00C53CD8">
        <w:t xml:space="preserve">  </w:t>
      </w:r>
      <w:r w:rsidR="00770FD1">
        <w:t>T</w:t>
      </w:r>
      <w:r>
        <w:t xml:space="preserve">he Commission </w:t>
      </w:r>
      <w:r w:rsidR="00770FD1">
        <w:t xml:space="preserve">has asked us to </w:t>
      </w:r>
      <w:r>
        <w:t xml:space="preserve">dismiss review </w:t>
      </w:r>
      <w:r w:rsidR="00770FD1">
        <w:t xml:space="preserve">on grounds that </w:t>
      </w:r>
      <w:r>
        <w:t xml:space="preserve">the </w:t>
      </w:r>
      <w:r w:rsidR="001E372A">
        <w:t xml:space="preserve">new </w:t>
      </w:r>
      <w:r>
        <w:t>legislation render</w:t>
      </w:r>
      <w:r w:rsidR="00770FD1">
        <w:t>s</w:t>
      </w:r>
      <w:r>
        <w:t xml:space="preserve"> the case moot.  We</w:t>
      </w:r>
      <w:r w:rsidR="00770FD1">
        <w:t xml:space="preserve"> will begin with that threshold issue.</w:t>
      </w:r>
    </w:p>
    <w:p w:rsidR="00F32635" w:rsidRPr="00143F08" w:rsidP="00143F08" w14:paraId="43638ED4" w14:textId="77777777">
      <w:pPr>
        <w:pStyle w:val="MemoText"/>
        <w:spacing w:line="400" w:lineRule="exact"/>
      </w:pPr>
      <w:r w:rsidRPr="00143F08">
        <w:t xml:space="preserve">In enacting </w:t>
      </w:r>
      <w:r w:rsidR="00F771D0">
        <w:t>Senate Bill No. 1469</w:t>
      </w:r>
      <w:r w:rsidRPr="00143F08">
        <w:t xml:space="preserve">, the Legislature found </w:t>
      </w:r>
      <w:r w:rsidRPr="00143F08" w:rsidR="00C53CD8">
        <w:t>that “[b]ecause water suppliers have very significant fixed costs that do not fluctuate with changes in consumption patterns, they have a financial disincentive to encourage water conservation as reductions in water consumption directly translate into cost recovery challenges</w:t>
      </w:r>
      <w:r w:rsidRPr="00143F08" w:rsidR="009A5DF6">
        <w:t>.</w:t>
      </w:r>
      <w:r w:rsidRPr="00143F08" w:rsidR="00C53CD8">
        <w:t>”</w:t>
      </w:r>
      <w:r w:rsidRPr="00143F08" w:rsidR="009A5DF6">
        <w:t xml:space="preserve">  (</w:t>
      </w:r>
      <w:r w:rsidRPr="00143F08" w:rsidR="001313D8">
        <w:t>Sen. Bill No.</w:t>
      </w:r>
      <w:r w:rsidRPr="00143F08" w:rsidR="00276298">
        <w:t> </w:t>
      </w:r>
      <w:r w:rsidRPr="00143F08" w:rsidR="001313D8">
        <w:t xml:space="preserve">1469 (2021–2022 Reg. Sess.) § 1, subd. (a)(5).)  </w:t>
      </w:r>
      <w:r w:rsidRPr="00143F08" w:rsidR="00E328EA">
        <w:t>T</w:t>
      </w:r>
      <w:r w:rsidR="00B63F94">
        <w:t>o address this concern, t</w:t>
      </w:r>
      <w:r w:rsidRPr="00143F08" w:rsidR="00E328EA">
        <w:t>he Legislature announced its intention “to ensure that water corporations are authorized to establish revenue adjustment mechanisms that provide for a full decoupling of sales and revenue in order to further incentivize water conservation efforts.”  (</w:t>
      </w:r>
      <w:r w:rsidRPr="00143F08" w:rsidR="001313D8">
        <w:rPr>
          <w:i/>
          <w:iCs/>
        </w:rPr>
        <w:t>Id.</w:t>
      </w:r>
      <w:r w:rsidRPr="00143F08" w:rsidR="001313D8">
        <w:t xml:space="preserve">, </w:t>
      </w:r>
      <w:r w:rsidRPr="00143F08" w:rsidR="00E328EA">
        <w:t>§ 1, subd. (b).)</w:t>
      </w:r>
      <w:r w:rsidRPr="00143F08" w:rsidR="00C725A4">
        <w:t xml:space="preserve">  </w:t>
      </w:r>
      <w:r w:rsidRPr="00143F08" w:rsidR="0095059B">
        <w:t xml:space="preserve">As amended, the Public Utilities Code now </w:t>
      </w:r>
      <w:r w:rsidRPr="00143F08" w:rsidR="00056499">
        <w:t>instruct</w:t>
      </w:r>
      <w:r w:rsidRPr="00143F08" w:rsidR="0095059B">
        <w:t>s</w:t>
      </w:r>
      <w:r w:rsidRPr="00143F08" w:rsidR="00056499">
        <w:t xml:space="preserve"> that “[u]pon application by a water corporation with more than 10,000 service connections, the commission shall consider, and may authorize, the implementation of a mechanism that separates the water corporation’s revenues and its water sales, commonly referred to as a ‘decoupling mechanism.’ ”  (</w:t>
      </w:r>
      <w:r w:rsidR="00A238C8">
        <w:t xml:space="preserve">Pub. Util. Code, </w:t>
      </w:r>
      <w:r w:rsidRPr="00143F08" w:rsidR="006865AC">
        <w:t>§ 727.5, subd. (d)(2)(A).)</w:t>
      </w:r>
    </w:p>
    <w:p w:rsidR="00187A4A" w:rsidRPr="00143F08" w:rsidP="00143F08" w14:paraId="43638ED5" w14:textId="77777777">
      <w:pPr>
        <w:pStyle w:val="MemoText"/>
        <w:spacing w:line="400" w:lineRule="exact"/>
      </w:pPr>
      <w:r>
        <w:t xml:space="preserve">Shortly after </w:t>
      </w:r>
      <w:r w:rsidRPr="00143F08" w:rsidR="00A928AE">
        <w:t>S</w:t>
      </w:r>
      <w:r w:rsidRPr="00143F08" w:rsidR="001313D8">
        <w:t>enate Bill No. </w:t>
      </w:r>
      <w:r w:rsidRPr="00143F08" w:rsidR="00A928AE">
        <w:t>1469</w:t>
      </w:r>
      <w:r>
        <w:t xml:space="preserve"> was enacted</w:t>
      </w:r>
      <w:r w:rsidRPr="00143F08" w:rsidR="00A928AE">
        <w:t xml:space="preserve">, the Commission </w:t>
      </w:r>
      <w:r w:rsidRPr="00143F08" w:rsidR="00D90E3A">
        <w:t xml:space="preserve">moved for dismissal </w:t>
      </w:r>
      <w:r w:rsidRPr="00143F08" w:rsidR="00BE592A">
        <w:t xml:space="preserve">on grounds of mootness </w:t>
      </w:r>
      <w:r w:rsidRPr="00143F08" w:rsidR="00D90E3A">
        <w:t>or else reconsideration of our initial issuance of the writs of review</w:t>
      </w:r>
      <w:r w:rsidRPr="00143F08" w:rsidR="00A928AE">
        <w:t>.</w:t>
      </w:r>
      <w:r w:rsidRPr="00143F08" w:rsidR="002F7D7B">
        <w:t xml:space="preserve">  We denied the motion </w:t>
      </w:r>
      <w:r w:rsidRPr="00143F08" w:rsidR="00BA57DF">
        <w:t>without prejudice to the Commission “raising arguments concerning mootness in its answer brief”</w:t>
      </w:r>
      <w:r w:rsidR="002F1DA0">
        <w:t xml:space="preserve"> in this court.</w:t>
      </w:r>
      <w:r w:rsidR="007E7DD9">
        <w:t xml:space="preserve">  </w:t>
      </w:r>
      <w:r w:rsidRPr="00143F08" w:rsidR="00082E50">
        <w:t xml:space="preserve">In its answer brief, the Commission renewed </w:t>
      </w:r>
      <w:r w:rsidRPr="00143F08" w:rsidR="00C92D76">
        <w:t>those arguments.</w:t>
      </w:r>
      <w:r w:rsidRPr="00143F08">
        <w:t xml:space="preserve">  </w:t>
      </w:r>
    </w:p>
    <w:p w:rsidR="007518CA" w:rsidP="00905877" w14:paraId="43638ED6" w14:textId="77777777">
      <w:pPr>
        <w:pStyle w:val="MemoText"/>
        <w:spacing w:line="400" w:lineRule="exact"/>
      </w:pPr>
      <w:r w:rsidRPr="00143F08">
        <w:t>A case becomes moot when events “</w:t>
      </w:r>
      <w:r w:rsidR="00206DE8">
        <w:t> ‘</w:t>
      </w:r>
      <w:r w:rsidRPr="00143F08">
        <w:t>render[] it impossible for [a] court, if it should decide the case in favor of plaintiff, to grant him any effect[ive] relief</w:t>
      </w:r>
      <w:r w:rsidR="00206DE8">
        <w:t xml:space="preserve"> whatever</w:t>
      </w:r>
      <w:r w:rsidRPr="00143F08">
        <w:t>.’</w:t>
      </w:r>
      <w:r w:rsidRPr="00143F08" w:rsidR="00782205">
        <w:t> </w:t>
      </w:r>
      <w:r w:rsidRPr="00143F08">
        <w:t xml:space="preserve">”  </w:t>
      </w:r>
      <w:r w:rsidRPr="00143F08" w:rsidR="00015895">
        <w:t>(</w:t>
      </w:r>
      <w:r w:rsidR="00206DE8">
        <w:rPr>
          <w:i/>
          <w:iCs/>
        </w:rPr>
        <w:t xml:space="preserve">Paul v. Milk Depots, Inc. </w:t>
      </w:r>
      <w:r w:rsidR="00206DE8">
        <w:t>(1964) 62 Cal.2d 129, 132; accord</w:t>
      </w:r>
      <w:r w:rsidR="00B4269C">
        <w:t>,</w:t>
      </w:r>
      <w:r w:rsidR="00206DE8">
        <w:t xml:space="preserve"> </w:t>
      </w:r>
      <w:r w:rsidRPr="00143F08" w:rsidR="001008FE">
        <w:rPr>
          <w:i/>
          <w:iCs/>
        </w:rPr>
        <w:t>In re D.P.</w:t>
      </w:r>
      <w:r w:rsidRPr="00143F08" w:rsidR="001008FE">
        <w:t xml:space="preserve"> (2023) 14 Cal.</w:t>
      </w:r>
      <w:r w:rsidRPr="00143F08" w:rsidR="001313D8">
        <w:t>5</w:t>
      </w:r>
      <w:r w:rsidRPr="00143F08" w:rsidR="001008FE">
        <w:t xml:space="preserve">th 266, 276.)  </w:t>
      </w:r>
      <w:r w:rsidR="00254DBD">
        <w:t xml:space="preserve">A case is not moot if the parties retain a concrete interest in the outcome.  </w:t>
      </w:r>
      <w:r w:rsidRPr="00143F08" w:rsidR="00380EC7">
        <w:t>(</w:t>
      </w:r>
      <w:r w:rsidRPr="00143F08" w:rsidR="00380EC7">
        <w:rPr>
          <w:i/>
          <w:iCs/>
        </w:rPr>
        <w:t xml:space="preserve">Ellis v. </w:t>
      </w:r>
      <w:r w:rsidRPr="00143F08" w:rsidR="001313D8">
        <w:rPr>
          <w:i/>
          <w:iCs/>
        </w:rPr>
        <w:t>Railway Clerks</w:t>
      </w:r>
      <w:r w:rsidRPr="00143F08" w:rsidR="00380EC7">
        <w:t xml:space="preserve"> (1984) 4</w:t>
      </w:r>
      <w:r w:rsidRPr="00143F08" w:rsidR="001313D8">
        <w:t>6</w:t>
      </w:r>
      <w:r w:rsidRPr="00143F08" w:rsidR="00380EC7">
        <w:t>6 U.S. 435, 442; accord</w:t>
      </w:r>
      <w:r w:rsidRPr="00143F08" w:rsidR="00782205">
        <w:t>,</w:t>
      </w:r>
      <w:r w:rsidRPr="00143F08" w:rsidR="00380EC7">
        <w:t xml:space="preserve"> </w:t>
      </w:r>
      <w:r w:rsidRPr="00143F08" w:rsidR="00380EC7">
        <w:rPr>
          <w:i/>
          <w:iCs/>
        </w:rPr>
        <w:t>Chafin v. Chafin</w:t>
      </w:r>
      <w:r w:rsidRPr="00143F08" w:rsidR="00380EC7">
        <w:t xml:space="preserve"> (2013) 568 U.S. 165, 172</w:t>
      </w:r>
      <w:r w:rsidR="0068435E">
        <w:t xml:space="preserve"> (</w:t>
      </w:r>
      <w:r w:rsidRPr="0068435E" w:rsidR="0068435E">
        <w:rPr>
          <w:i/>
          <w:iCs/>
        </w:rPr>
        <w:t>Chafin</w:t>
      </w:r>
      <w:r w:rsidR="0068435E">
        <w:t>)</w:t>
      </w:r>
      <w:r w:rsidRPr="00143F08" w:rsidR="00380EC7">
        <w:t xml:space="preserve">.)  </w:t>
      </w:r>
    </w:p>
    <w:p w:rsidR="00CC692A" w:rsidRPr="00143F08" w:rsidP="00542080" w14:paraId="43638ED7" w14:textId="77777777">
      <w:pPr>
        <w:pStyle w:val="MemoText"/>
        <w:spacing w:line="400" w:lineRule="exact"/>
      </w:pPr>
      <w:r>
        <w:t>Here, the Commission argues that Senate Bill No.</w:t>
      </w:r>
      <w:r w:rsidR="00B20760">
        <w:t> </w:t>
      </w:r>
      <w:r>
        <w:t xml:space="preserve">1469 gives </w:t>
      </w:r>
      <w:r w:rsidRPr="00143F08">
        <w:t>the Water Companies everything they seek in this action — namely, a full opportunity to address the merits of WRAM</w:t>
      </w:r>
      <w:r w:rsidR="000A0F14">
        <w:t>s</w:t>
      </w:r>
      <w:r w:rsidRPr="00143F08">
        <w:t xml:space="preserve"> and MCBA</w:t>
      </w:r>
      <w:r w:rsidR="000A0F14">
        <w:t>s</w:t>
      </w:r>
      <w:r w:rsidRPr="00143F08">
        <w:t>.</w:t>
      </w:r>
      <w:r w:rsidR="00A0528A">
        <w:t xml:space="preserve"> </w:t>
      </w:r>
      <w:r w:rsidR="00961FD3">
        <w:t xml:space="preserve"> </w:t>
      </w:r>
      <w:r w:rsidR="00A0528A">
        <w:t>But the statute</w:t>
      </w:r>
      <w:r w:rsidR="00961FD3">
        <w:t xml:space="preserve"> refers only to consideration of a mechanism for decoupling revenue from sales</w:t>
      </w:r>
      <w:r w:rsidR="008843AB">
        <w:t> </w:t>
      </w:r>
      <w:r w:rsidR="00961FD3">
        <w:t>— that is, a WRAM</w:t>
      </w:r>
      <w:r w:rsidR="00F628DC">
        <w:t xml:space="preserve">.  It does not, at least in terms, </w:t>
      </w:r>
      <w:r w:rsidR="00961FD3">
        <w:t xml:space="preserve">address the MCBA, </w:t>
      </w:r>
      <w:r w:rsidR="00905877">
        <w:t>which</w:t>
      </w:r>
      <w:r w:rsidR="00961FD3">
        <w:t xml:space="preserve"> concerns </w:t>
      </w:r>
      <w:r w:rsidR="00907F48">
        <w:t>costs rather than revenues</w:t>
      </w:r>
      <w:r w:rsidR="00210302">
        <w:t>.</w:t>
      </w:r>
      <w:r>
        <w:rPr>
          <w:rStyle w:val="FootnoteReference"/>
        </w:rPr>
        <w:footnoteReference w:id="6"/>
      </w:r>
      <w:r w:rsidR="00D507D6">
        <w:t xml:space="preserve">  N</w:t>
      </w:r>
      <w:r w:rsidR="00DD10D4">
        <w:t xml:space="preserve">or is </w:t>
      </w:r>
      <w:r w:rsidR="00210302">
        <w:t xml:space="preserve">the statute’s </w:t>
      </w:r>
      <w:r w:rsidR="00DD10D4">
        <w:t xml:space="preserve">requirement to </w:t>
      </w:r>
      <w:r w:rsidR="00700321">
        <w:t>“</w:t>
      </w:r>
      <w:r w:rsidRPr="00D507D6" w:rsidR="00DD10D4">
        <w:t>consider</w:t>
      </w:r>
      <w:r w:rsidR="00700321">
        <w:t>”</w:t>
      </w:r>
      <w:r w:rsidR="00DD10D4">
        <w:t xml:space="preserve"> authorizing </w:t>
      </w:r>
      <w:r w:rsidR="00F039EA">
        <w:t>“a mechanism”</w:t>
      </w:r>
      <w:r w:rsidR="00DD10D4">
        <w:t xml:space="preserve"> </w:t>
      </w:r>
      <w:r w:rsidR="006A7264">
        <w:t xml:space="preserve">to decouple sales </w:t>
      </w:r>
      <w:r w:rsidR="00F816D9">
        <w:t>from</w:t>
      </w:r>
      <w:r w:rsidR="006A7264">
        <w:t xml:space="preserve"> revenues</w:t>
      </w:r>
      <w:r w:rsidR="003D3A61">
        <w:t xml:space="preserve"> (Pub. Util. Code, § 727.5, subd. (d)(2)(A)) </w:t>
      </w:r>
      <w:r w:rsidR="00304D1E">
        <w:t>necessarily</w:t>
      </w:r>
      <w:r w:rsidR="00DD10D4">
        <w:t xml:space="preserve"> equivalent </w:t>
      </w:r>
      <w:r w:rsidR="00E433F8">
        <w:t xml:space="preserve">to </w:t>
      </w:r>
      <w:r w:rsidR="00DD10D4">
        <w:t xml:space="preserve">what the Water Companies are asking for here, which is to </w:t>
      </w:r>
      <w:r w:rsidRPr="00700321" w:rsidR="00DD10D4">
        <w:t>vacate</w:t>
      </w:r>
      <w:r w:rsidR="00DD10D4">
        <w:t xml:space="preserve"> the Commission’s </w:t>
      </w:r>
      <w:r w:rsidR="00CE4885">
        <w:t xml:space="preserve">past </w:t>
      </w:r>
      <w:r w:rsidR="00DD10D4">
        <w:t xml:space="preserve">decision </w:t>
      </w:r>
      <w:r w:rsidR="00EF05FA">
        <w:t xml:space="preserve">forbidding them from proposing continuation of their </w:t>
      </w:r>
      <w:r w:rsidR="00677634">
        <w:t>“existing Water Revenue Adjustment Mechanisms/Modified Cost Balancing Accounts</w:t>
      </w:r>
      <w:r w:rsidR="002F30CF">
        <w:t>.</w:t>
      </w:r>
      <w:r w:rsidR="00677634">
        <w:t>”</w:t>
      </w:r>
      <w:r w:rsidR="00784107">
        <w:t xml:space="preserve">  The practical difference between </w:t>
      </w:r>
      <w:r w:rsidR="000072F2">
        <w:t xml:space="preserve">these remedies </w:t>
      </w:r>
      <w:r w:rsidR="00784107">
        <w:t xml:space="preserve">may well be </w:t>
      </w:r>
      <w:r w:rsidR="008C0FDD">
        <w:t>limited</w:t>
      </w:r>
      <w:r w:rsidR="00784107">
        <w:t xml:space="preserve">, but </w:t>
      </w:r>
      <w:r w:rsidR="008C0FDD">
        <w:t xml:space="preserve">we consider it </w:t>
      </w:r>
      <w:r w:rsidR="00784107">
        <w:t>“enough to save this case from mootness.”  (</w:t>
      </w:r>
      <w:r w:rsidR="00784107">
        <w:rPr>
          <w:i/>
          <w:iCs/>
        </w:rPr>
        <w:t>Chafin</w:t>
      </w:r>
      <w:r w:rsidR="00784107">
        <w:t xml:space="preserve">, </w:t>
      </w:r>
      <w:r w:rsidR="00784107">
        <w:rPr>
          <w:i/>
          <w:iCs/>
        </w:rPr>
        <w:t>supra</w:t>
      </w:r>
      <w:r w:rsidR="00784107">
        <w:t xml:space="preserve">, </w:t>
      </w:r>
      <w:r w:rsidR="00C25A5E">
        <w:t>568 U.S. at p.</w:t>
      </w:r>
      <w:r w:rsidR="008843AB">
        <w:t> </w:t>
      </w:r>
      <w:r w:rsidR="00C25A5E">
        <w:t>176.)</w:t>
      </w:r>
      <w:r w:rsidR="00BE739E">
        <w:t xml:space="preserve">  </w:t>
      </w:r>
      <w:r w:rsidR="00A1669D">
        <w:t xml:space="preserve">And even if </w:t>
      </w:r>
      <w:r w:rsidR="00303D12">
        <w:t xml:space="preserve">the case were technically moot, </w:t>
      </w:r>
      <w:r w:rsidR="00EF101A">
        <w:t xml:space="preserve">we may </w:t>
      </w:r>
      <w:r w:rsidR="003920B7">
        <w:t>decide a case on the merits</w:t>
      </w:r>
      <w:r w:rsidR="00EF101A">
        <w:t xml:space="preserve"> when, as here, the public interest favors </w:t>
      </w:r>
      <w:r w:rsidR="00A0098C">
        <w:t xml:space="preserve">resolution of </w:t>
      </w:r>
      <w:r w:rsidR="00E57E84">
        <w:t>an important question</w:t>
      </w:r>
      <w:r w:rsidR="00EF101A">
        <w:t xml:space="preserve">. </w:t>
      </w:r>
      <w:r w:rsidR="00303D12">
        <w:t xml:space="preserve"> </w:t>
      </w:r>
      <w:r w:rsidR="0038533B">
        <w:t>(</w:t>
      </w:r>
      <w:r w:rsidR="00534871">
        <w:rPr>
          <w:i/>
          <w:iCs/>
        </w:rPr>
        <w:t>In re D.P.</w:t>
      </w:r>
      <w:r w:rsidR="0068435E">
        <w:t xml:space="preserve">, </w:t>
      </w:r>
      <w:r w:rsidRPr="0068435E" w:rsidR="0068435E">
        <w:rPr>
          <w:i/>
          <w:iCs/>
        </w:rPr>
        <w:t>supra</w:t>
      </w:r>
      <w:r w:rsidR="0068435E">
        <w:t>,</w:t>
      </w:r>
      <w:r w:rsidR="00534871">
        <w:t xml:space="preserve"> 14 Cal.5th </w:t>
      </w:r>
      <w:r w:rsidR="0068435E">
        <w:t>at p. </w:t>
      </w:r>
      <w:r w:rsidR="00534871">
        <w:t xml:space="preserve">282.)  </w:t>
      </w:r>
      <w:r w:rsidRPr="00143F08" w:rsidR="00A40A90">
        <w:t>We therefore proceed to the substance of the Water Companies’ challenge to the Commission’s decision.</w:t>
      </w:r>
      <w:r>
        <w:rPr>
          <w:rStyle w:val="FootnoteReference"/>
        </w:rPr>
        <w:footnoteReference w:id="7"/>
      </w:r>
    </w:p>
    <w:p w:rsidR="00997294" w:rsidRPr="00143F08" w:rsidP="00143F08" w14:paraId="43638ED8" w14:textId="77777777">
      <w:pPr>
        <w:pStyle w:val="Heading1"/>
      </w:pPr>
      <w:r w:rsidRPr="00143F08">
        <w:t>II</w:t>
      </w:r>
      <w:r w:rsidRPr="00143F08" w:rsidR="001A3A99">
        <w:t>I</w:t>
      </w:r>
      <w:r w:rsidRPr="00143F08">
        <w:t>.</w:t>
      </w:r>
    </w:p>
    <w:p w:rsidR="00964626" w:rsidRPr="00143F08" w:rsidP="007C1722" w14:paraId="43638ED9" w14:textId="77777777">
      <w:pPr>
        <w:pStyle w:val="MemoText"/>
        <w:spacing w:line="400" w:lineRule="exact"/>
      </w:pPr>
      <w:r w:rsidRPr="00143F08">
        <w:t>The Public Utilities Code instructs that “[i]n reviewing decisions pertaining solely to water corporations,</w:t>
      </w:r>
      <w:r w:rsidRPr="00143F08" w:rsidR="0042621F">
        <w:t>” our review is limited to determining “</w:t>
      </w:r>
      <w:r w:rsidRPr="00143F08">
        <w:t>whether the commission has regularly pursued its authority, including a determination whether the order or decision under review violates any right of the petitioner under the Constitution of the United States or this state.”  (</w:t>
      </w:r>
      <w:r w:rsidRPr="00143F08" w:rsidR="008B6468">
        <w:t>Pub. Util. Code</w:t>
      </w:r>
      <w:r w:rsidRPr="00143F08">
        <w:t xml:space="preserve">, § 1757.1, subd. (b); see also </w:t>
      </w:r>
      <w:r w:rsidRPr="00143F08">
        <w:rPr>
          <w:i/>
          <w:iCs/>
        </w:rPr>
        <w:t>id.</w:t>
      </w:r>
      <w:r w:rsidRPr="00143F08">
        <w:t xml:space="preserve">, </w:t>
      </w:r>
      <w:r w:rsidRPr="00143F08" w:rsidR="008B6468">
        <w:t>§</w:t>
      </w:r>
      <w:r w:rsidRPr="00143F08">
        <w:t>§</w:t>
      </w:r>
      <w:r w:rsidRPr="00143F08" w:rsidR="008B6468">
        <w:t> </w:t>
      </w:r>
      <w:r w:rsidRPr="00143F08">
        <w:t>1757.1, subd. (c), 1760.)</w:t>
      </w:r>
      <w:r w:rsidR="004C5E0A">
        <w:t xml:space="preserve">  </w:t>
      </w:r>
      <w:r w:rsidR="00385436">
        <w:t>W</w:t>
      </w:r>
      <w:r w:rsidRPr="00143F08" w:rsidR="00385436">
        <w:t xml:space="preserve">e conclude that the Commission </w:t>
      </w:r>
      <w:r w:rsidR="00385436">
        <w:t>failed to regularly pursue its authority</w:t>
      </w:r>
      <w:r w:rsidRPr="00143F08" w:rsidR="00385436">
        <w:t xml:space="preserve"> when it ordered the Water Companies not to “propose continuing existing Water Revenue Adjustment Mechanisms</w:t>
      </w:r>
      <w:r w:rsidR="008843AB">
        <w:t>‌</w:t>
      </w:r>
      <w:r w:rsidRPr="00143F08" w:rsidR="00385436">
        <w:t>/</w:t>
      </w:r>
      <w:r w:rsidR="00384DF2">
        <w:t>‌</w:t>
      </w:r>
      <w:r w:rsidRPr="00143F08" w:rsidR="00385436">
        <w:t xml:space="preserve">Modified Cost Balancing Accounts” “in their next general rate case applications” because the scoping memos do not fairly include the issue whether the Water Companies should be permitted to continue using these mechanisms.  </w:t>
      </w:r>
    </w:p>
    <w:p w:rsidR="009E0120" w:rsidP="00143F08" w14:paraId="43638EDA" w14:textId="77777777">
      <w:pPr>
        <w:pStyle w:val="MemoText"/>
        <w:spacing w:line="400" w:lineRule="exact"/>
      </w:pPr>
      <w:r w:rsidRPr="00143F08">
        <w:t>A</w:t>
      </w:r>
      <w:r w:rsidRPr="00143F08" w:rsidR="006A0A23">
        <w:t xml:space="preserve">t the outset of a quasi-legislative proceeding, </w:t>
      </w:r>
      <w:r w:rsidRPr="00143F08">
        <w:t xml:space="preserve">the Public Utilities Code and Commission rules alike require </w:t>
      </w:r>
      <w:r w:rsidRPr="00143F08" w:rsidR="006A0A23">
        <w:t xml:space="preserve">the assigned commissioner </w:t>
      </w:r>
      <w:r w:rsidRPr="00143F08">
        <w:t xml:space="preserve">to </w:t>
      </w:r>
      <w:r w:rsidRPr="00143F08" w:rsidR="006A0A23">
        <w:t xml:space="preserve">issue a </w:t>
      </w:r>
      <w:r w:rsidRPr="00143F08" w:rsidR="00AD5D08">
        <w:t xml:space="preserve">scoping memo </w:t>
      </w:r>
      <w:r w:rsidRPr="00143F08" w:rsidR="006A0A23">
        <w:t xml:space="preserve">that </w:t>
      </w:r>
      <w:r w:rsidRPr="00143F08" w:rsidR="00AD5D08">
        <w:t>identif</w:t>
      </w:r>
      <w:r w:rsidRPr="00143F08" w:rsidR="006A0A23">
        <w:t>ies</w:t>
      </w:r>
      <w:r w:rsidRPr="00143F08" w:rsidR="00AD5D08">
        <w:t xml:space="preserve"> the issues under consideration.</w:t>
      </w:r>
      <w:r w:rsidRPr="00143F08" w:rsidR="00D77B86">
        <w:t xml:space="preserve">  (See Pub. Util. Code, § 1701.1, subd</w:t>
      </w:r>
      <w:r w:rsidR="00A25E7F">
        <w:t>s</w:t>
      </w:r>
      <w:r w:rsidRPr="00143F08" w:rsidR="00D77B86">
        <w:t xml:space="preserve">. (c) [requiring, in quasi-legislative proceedings, </w:t>
      </w:r>
      <w:r w:rsidRPr="00143F08" w:rsidR="003B3385">
        <w:t>that “[t]he assigned commissioner shall</w:t>
      </w:r>
      <w:r w:rsidRPr="00143F08" w:rsidR="00071BDC">
        <w:t xml:space="preserve"> . . . </w:t>
      </w:r>
      <w:r w:rsidRPr="00143F08" w:rsidR="003B3385">
        <w:t>issue . . . a scoping memo that describes the issues to be considered”]</w:t>
      </w:r>
      <w:r w:rsidR="00A25E7F">
        <w:t>,</w:t>
      </w:r>
      <w:r w:rsidRPr="00143F08" w:rsidR="003B3385">
        <w:t xml:space="preserve"> (b) [same for adjudication and ratesetting proceedings]; </w:t>
      </w:r>
      <w:r w:rsidRPr="00143F08" w:rsidR="00386D3D">
        <w:t xml:space="preserve">Cal. Code Regs., tit. 20, § 7.3 [“The assigned Commissioner shall issue the scoping memo for the proceeding, which shall determine </w:t>
      </w:r>
      <w:r w:rsidRPr="00143F08" w:rsidR="00D6709D">
        <w:t xml:space="preserve">the </w:t>
      </w:r>
      <w:r w:rsidRPr="00143F08" w:rsidR="00386D3D">
        <w:t>. . . issues to be addressed”].</w:t>
      </w:r>
      <w:r w:rsidRPr="00143F08">
        <w:t>)</w:t>
      </w:r>
      <w:r w:rsidRPr="00143F08" w:rsidR="00B96C8A">
        <w:t xml:space="preserve">  Identifying the issues under consideration facilitates informed participation</w:t>
      </w:r>
      <w:r w:rsidRPr="00143F08" w:rsidR="00782205">
        <w:t> </w:t>
      </w:r>
      <w:r w:rsidRPr="00143F08" w:rsidR="00DB3AAA">
        <w:t>— including presentation of argument</w:t>
      </w:r>
      <w:r w:rsidRPr="00143F08" w:rsidR="00E80935">
        <w:t>s</w:t>
      </w:r>
      <w:r w:rsidRPr="00143F08" w:rsidR="00DB3AAA">
        <w:t xml:space="preserve"> and evidence</w:t>
      </w:r>
      <w:r w:rsidRPr="00143F08" w:rsidR="00782205">
        <w:t> </w:t>
      </w:r>
      <w:r w:rsidRPr="00143F08" w:rsidR="00DB3AAA">
        <w:t xml:space="preserve">— </w:t>
      </w:r>
      <w:r w:rsidRPr="00143F08" w:rsidR="00B96C8A">
        <w:t>by those who may have a stake in the resolution of those issues.</w:t>
      </w:r>
    </w:p>
    <w:p w:rsidR="00E71B60" w:rsidP="00E71B60" w14:paraId="43638EDB" w14:textId="77777777">
      <w:pPr>
        <w:pStyle w:val="MemoText"/>
        <w:spacing w:line="400" w:lineRule="exact"/>
      </w:pPr>
      <w:r>
        <w:t>I</w:t>
      </w:r>
      <w:r w:rsidRPr="004C5E0A" w:rsidR="00EC602D">
        <w:t xml:space="preserve">f </w:t>
      </w:r>
      <w:r>
        <w:t xml:space="preserve">the Commission </w:t>
      </w:r>
      <w:r w:rsidRPr="004C5E0A" w:rsidR="00EC602D">
        <w:t>cannot fairly be said to have complied with the statutory scoping memo requirement</w:t>
      </w:r>
      <w:r>
        <w:t>, it has failed to regularly pursue its authority</w:t>
      </w:r>
      <w:r w:rsidRPr="004C5E0A" w:rsidR="00EC602D">
        <w:t xml:space="preserve">.  (See </w:t>
      </w:r>
      <w:r w:rsidR="0068435E">
        <w:t xml:space="preserve">Pub. Util. Code, </w:t>
      </w:r>
      <w:r w:rsidRPr="004C5E0A" w:rsidR="00EC602D">
        <w:t>§</w:t>
      </w:r>
      <w:r w:rsidR="008843AB">
        <w:t> </w:t>
      </w:r>
      <w:r w:rsidRPr="004C5E0A" w:rsidR="00EC602D">
        <w:t xml:space="preserve">1701.1; cf. </w:t>
      </w:r>
      <w:r w:rsidRPr="004C5E0A" w:rsidR="00EC602D">
        <w:rPr>
          <w:i/>
          <w:iCs/>
        </w:rPr>
        <w:t>California Trucking Assn. v. Public Utilities Com.</w:t>
      </w:r>
      <w:r w:rsidRPr="004C5E0A" w:rsidR="00EC602D">
        <w:t xml:space="preserve"> (1977) 19 Cal.3d 240 [annulling orders issued without statutorily required opportunity to be heard]; </w:t>
      </w:r>
      <w:r w:rsidRPr="004C5E0A" w:rsidR="00EC602D">
        <w:rPr>
          <w:i/>
          <w:iCs/>
        </w:rPr>
        <w:t>Greyhound Lines, Inc. v. Public Utilities Com.</w:t>
      </w:r>
      <w:r w:rsidRPr="004C5E0A" w:rsidR="00EC602D">
        <w:t xml:space="preserve"> (1967) 65 Cal.2d 811 [annulling order issued without statutorily required findings].)</w:t>
      </w:r>
      <w:r w:rsidR="00EC602D">
        <w:t xml:space="preserve"> </w:t>
      </w:r>
      <w:r>
        <w:t xml:space="preserve"> </w:t>
      </w:r>
      <w:r w:rsidR="00416043">
        <w:t xml:space="preserve">The Commission does not dispute the point.  </w:t>
      </w:r>
      <w:r>
        <w:t xml:space="preserve">Nor does the Commission dispute that, to comply with the requirement, the scoping memos should have given </w:t>
      </w:r>
      <w:r w:rsidRPr="00143F08" w:rsidR="009E0120">
        <w:t xml:space="preserve">notice of the issues under consideration in the proceeding.  </w:t>
      </w:r>
    </w:p>
    <w:p w:rsidR="00117303" w:rsidRPr="00143F08" w:rsidP="00E71B60" w14:paraId="43638EDC" w14:textId="77777777">
      <w:pPr>
        <w:pStyle w:val="MemoText"/>
        <w:spacing w:line="400" w:lineRule="exact"/>
      </w:pPr>
      <w:r>
        <w:t>T</w:t>
      </w:r>
      <w:r w:rsidRPr="00143F08" w:rsidR="00A873E8">
        <w:t>he Commission</w:t>
      </w:r>
      <w:r>
        <w:t xml:space="preserve">’s central argument, rather, is that </w:t>
      </w:r>
      <w:r w:rsidRPr="00143F08" w:rsidR="00A873E8">
        <w:t xml:space="preserve">the </w:t>
      </w:r>
      <w:r w:rsidRPr="00143F08" w:rsidR="00B449BF">
        <w:t>initial</w:t>
      </w:r>
      <w:r w:rsidRPr="00143F08" w:rsidR="008503AB">
        <w:t xml:space="preserve"> scoping</w:t>
      </w:r>
      <w:r w:rsidRPr="00143F08" w:rsidR="00A873E8">
        <w:t xml:space="preserve"> memo </w:t>
      </w:r>
      <w:r>
        <w:t xml:space="preserve">did, in fact, give </w:t>
      </w:r>
      <w:r w:rsidRPr="00143F08" w:rsidR="00A873E8">
        <w:t xml:space="preserve">adequate notice </w:t>
      </w:r>
      <w:r w:rsidRPr="00143F08" w:rsidR="00B53671">
        <w:t xml:space="preserve">of </w:t>
      </w:r>
      <w:r w:rsidRPr="00143F08" w:rsidR="005A4175">
        <w:t xml:space="preserve">the issues relevant to </w:t>
      </w:r>
      <w:r w:rsidRPr="00143F08" w:rsidR="00B53671">
        <w:t xml:space="preserve">its order regarding the </w:t>
      </w:r>
      <w:r w:rsidR="00837557">
        <w:t xml:space="preserve">Water Revenue </w:t>
      </w:r>
      <w:r w:rsidRPr="00143F08" w:rsidR="00B53671">
        <w:t xml:space="preserve">Adjustment Mechanisms and </w:t>
      </w:r>
      <w:r w:rsidRPr="00143F08" w:rsidR="005D1474">
        <w:t xml:space="preserve">Modified Cost </w:t>
      </w:r>
      <w:r w:rsidRPr="00143F08" w:rsidR="00B53671">
        <w:t xml:space="preserve">Balancing Accounts.  </w:t>
      </w:r>
      <w:r w:rsidRPr="00143F08" w:rsidR="002B7B83">
        <w:t xml:space="preserve">The Commission summed up this view in its original decision, which asserted </w:t>
      </w:r>
      <w:r w:rsidRPr="00143F08" w:rsidR="00B527D1">
        <w:t xml:space="preserve">that “[c]onsideration of changes to the WRAM/MCBA is and </w:t>
      </w:r>
      <w:r w:rsidRPr="00143F08" w:rsidR="0095715E">
        <w:t xml:space="preserve">has </w:t>
      </w:r>
      <w:r w:rsidRPr="00143F08" w:rsidR="00B527D1">
        <w:t xml:space="preserve">always been within the scope of this proceeding as part of our review of how to improve water sales forecasting.”  </w:t>
      </w:r>
      <w:r w:rsidRPr="00143F08" w:rsidR="00D27E28">
        <w:t xml:space="preserve">On rehearing, the Commission reiterated that “[t]he issue of the decoupling WRAM was included in the original Scoping Memo as part of the water sales forecasting issue.”  </w:t>
      </w:r>
    </w:p>
    <w:p w:rsidR="00270D36" w:rsidRPr="00143F08" w:rsidP="00143F08" w14:paraId="43638EDD" w14:textId="77777777">
      <w:pPr>
        <w:pStyle w:val="MemoText"/>
        <w:spacing w:line="400" w:lineRule="exact"/>
      </w:pPr>
      <w:r>
        <w:t>We are</w:t>
      </w:r>
      <w:r w:rsidRPr="00143F08" w:rsidR="008863A5">
        <w:t xml:space="preserve"> unpersuaded.  </w:t>
      </w:r>
      <w:r w:rsidRPr="00143F08" w:rsidR="0081666B">
        <w:t xml:space="preserve">The </w:t>
      </w:r>
      <w:r w:rsidRPr="00143F08" w:rsidR="00B449BF">
        <w:t>initial</w:t>
      </w:r>
      <w:r w:rsidRPr="00143F08" w:rsidR="0081666B">
        <w:t xml:space="preserve"> scoping </w:t>
      </w:r>
      <w:r w:rsidRPr="00143F08" w:rsidR="00911C06">
        <w:t>memo described the forecasting issues as follows:</w:t>
      </w:r>
      <w:r w:rsidRPr="00143F08" w:rsidR="00782205">
        <w:t xml:space="preserve"> </w:t>
      </w:r>
      <w:r w:rsidRPr="00143F08" w:rsidR="00911C06">
        <w:t xml:space="preserve"> “</w:t>
      </w:r>
      <w:r w:rsidRPr="00143F08" w:rsidR="00117303">
        <w:t xml:space="preserve">Forecasting Water Sales </w:t>
      </w:r>
      <w:r w:rsidRPr="00143F08" w:rsidR="00782205">
        <w:t xml:space="preserve"> </w:t>
      </w:r>
      <w:r w:rsidRPr="00143F08" w:rsidR="00117303">
        <w:t>[¶]</w:t>
      </w:r>
      <w:r w:rsidRPr="00143F08" w:rsidR="00782205">
        <w:t xml:space="preserve"> </w:t>
      </w:r>
      <w:r w:rsidRPr="00143F08" w:rsidR="00117303">
        <w:t xml:space="preserve"> a.  How should the Commission address forecasts of sales in a manner that avoids regressive rates that adversely impact particularly low-income or moderate income [</w:t>
      </w:r>
      <w:r w:rsidRPr="00143F08" w:rsidR="00117303">
        <w:rPr>
          <w:i/>
          <w:iCs/>
        </w:rPr>
        <w:t>sic</w:t>
      </w:r>
      <w:r w:rsidRPr="00143F08" w:rsidR="00117303">
        <w:t xml:space="preserve">] customers? </w:t>
      </w:r>
      <w:r w:rsidRPr="00143F08" w:rsidR="00782205">
        <w:t xml:space="preserve"> </w:t>
      </w:r>
      <w:r w:rsidRPr="00143F08" w:rsidR="00117303">
        <w:t>[¶]</w:t>
      </w:r>
      <w:r w:rsidRPr="00143F08" w:rsidR="00782205">
        <w:t> </w:t>
      </w:r>
      <w:r w:rsidRPr="00143F08" w:rsidR="00117303">
        <w:t xml:space="preserve"> b.  In Decision (D.)16-12-026, adopted in Rulemaking 11-11-008, the Commission addressed the importance of forecasting sales and therefore revenues.  The Commission, in D.16-12-026, directed Class A and B water utilities to propose improved forecast methodologies in their GRC application.  However, given the significant length of time between Class A water utility GRC filings, and the potential for different forecasting methodologies proposals in individual GRCs, the Commission will examine how to improve water sales forecasting as part of this phase of the proceeding.  What guidelines or mechanisms can the Commission put in place to improve or standardize water sales forecasting for Class A water utilities?”  </w:t>
      </w:r>
      <w:r w:rsidRPr="00143F08">
        <w:t xml:space="preserve">In the </w:t>
      </w:r>
      <w:r w:rsidRPr="00143F08" w:rsidR="006D1376">
        <w:t>cited decision</w:t>
      </w:r>
      <w:r w:rsidRPr="00143F08">
        <w:t xml:space="preserve">, the Commission had “conclude[d] that, at this time, the WRAM mechanism should be maintained.”  </w:t>
      </w:r>
      <w:r w:rsidRPr="00143F08">
        <w:rPr>
          <w:rStyle w:val="acy"/>
          <w:color w:val="000000"/>
          <w:bdr w:val="none" w:sz="0" w:space="0" w:color="auto" w:frame="1"/>
          <w:shd w:val="clear" w:color="auto" w:fill="FFFFFF"/>
        </w:rPr>
        <w:t>(</w:t>
      </w:r>
      <w:r w:rsidRPr="00143F08" w:rsidR="0095715E">
        <w:rPr>
          <w:rStyle w:val="acy"/>
          <w:i/>
          <w:iCs/>
          <w:color w:val="000000"/>
          <w:bdr w:val="none" w:sz="0" w:space="0" w:color="auto" w:frame="1"/>
          <w:shd w:val="clear" w:color="auto" w:fill="FFFFFF"/>
        </w:rPr>
        <w:t xml:space="preserve">Decision </w:t>
      </w:r>
      <w:r w:rsidRPr="00143F08" w:rsidR="00D6709D">
        <w:rPr>
          <w:rStyle w:val="acy"/>
          <w:i/>
          <w:iCs/>
          <w:color w:val="000000"/>
          <w:bdr w:val="none" w:sz="0" w:space="0" w:color="auto" w:frame="1"/>
          <w:shd w:val="clear" w:color="auto" w:fill="FFFFFF"/>
        </w:rPr>
        <w:t>16-12-026</w:t>
      </w:r>
      <w:r w:rsidRPr="00143F08" w:rsidR="0095715E">
        <w:rPr>
          <w:rStyle w:val="acy"/>
          <w:color w:val="000000"/>
          <w:bdr w:val="none" w:sz="0" w:space="0" w:color="auto" w:frame="1"/>
          <w:shd w:val="clear" w:color="auto" w:fill="FFFFFF"/>
        </w:rPr>
        <w:t xml:space="preserve">, </w:t>
      </w:r>
      <w:r w:rsidRPr="00143F08" w:rsidR="0095715E">
        <w:rPr>
          <w:rStyle w:val="acy"/>
          <w:i/>
          <w:iCs/>
          <w:color w:val="000000"/>
          <w:bdr w:val="none" w:sz="0" w:space="0" w:color="auto" w:frame="1"/>
          <w:shd w:val="clear" w:color="auto" w:fill="FFFFFF"/>
        </w:rPr>
        <w:t>supra</w:t>
      </w:r>
      <w:r w:rsidRPr="00143F08" w:rsidR="0095715E">
        <w:rPr>
          <w:rStyle w:val="acy"/>
          <w:color w:val="000000"/>
          <w:bdr w:val="none" w:sz="0" w:space="0" w:color="auto" w:frame="1"/>
          <w:shd w:val="clear" w:color="auto" w:fill="FFFFFF"/>
        </w:rPr>
        <w:t xml:space="preserve">, 2016 Cal.P.U.C. Lexis </w:t>
      </w:r>
      <w:r w:rsidR="00211D35">
        <w:rPr>
          <w:rStyle w:val="acy"/>
          <w:color w:val="000000"/>
          <w:bdr w:val="none" w:sz="0" w:space="0" w:color="auto" w:frame="1"/>
          <w:shd w:val="clear" w:color="auto" w:fill="FFFFFF"/>
        </w:rPr>
        <w:t xml:space="preserve">682 at </w:t>
      </w:r>
      <w:r w:rsidRPr="00143F08" w:rsidR="0095715E">
        <w:rPr>
          <w:rStyle w:val="acy"/>
          <w:color w:val="000000"/>
          <w:bdr w:val="none" w:sz="0" w:space="0" w:color="auto" w:frame="1"/>
          <w:shd w:val="clear" w:color="auto" w:fill="FFFFFF"/>
        </w:rPr>
        <w:t xml:space="preserve">p. *63.) </w:t>
      </w:r>
      <w:r w:rsidRPr="00143F08" w:rsidR="00825851">
        <w:rPr>
          <w:color w:val="000000"/>
          <w:shd w:val="clear" w:color="auto" w:fill="FFFFFF"/>
        </w:rPr>
        <w:t xml:space="preserve"> </w:t>
      </w:r>
      <w:r w:rsidRPr="00143F08" w:rsidR="00483526">
        <w:rPr>
          <w:color w:val="000000"/>
          <w:shd w:val="clear" w:color="auto" w:fill="FFFFFF"/>
        </w:rPr>
        <w:t>It was in that context that the</w:t>
      </w:r>
      <w:r w:rsidRPr="00143F08" w:rsidR="00B43D67">
        <w:rPr>
          <w:color w:val="000000"/>
          <w:shd w:val="clear" w:color="auto" w:fill="FFFFFF"/>
        </w:rPr>
        <w:t xml:space="preserve"> Commission</w:t>
      </w:r>
      <w:r w:rsidRPr="00143F08" w:rsidR="00825851">
        <w:rPr>
          <w:color w:val="000000"/>
          <w:shd w:val="clear" w:color="auto" w:fill="FFFFFF"/>
        </w:rPr>
        <w:t xml:space="preserve"> ordered water utilities to “propose improved forecast methodologies in their General Rate Case application, or in standalone, separate applications” (</w:t>
      </w:r>
      <w:r w:rsidRPr="00143F08" w:rsidR="00825851">
        <w:rPr>
          <w:i/>
          <w:iCs/>
          <w:color w:val="000000"/>
          <w:shd w:val="clear" w:color="auto" w:fill="FFFFFF"/>
        </w:rPr>
        <w:t>id.</w:t>
      </w:r>
      <w:r w:rsidRPr="00143F08" w:rsidR="00825851">
        <w:rPr>
          <w:color w:val="000000"/>
          <w:shd w:val="clear" w:color="auto" w:fill="FFFFFF"/>
        </w:rPr>
        <w:t>, at p. *13</w:t>
      </w:r>
      <w:r w:rsidRPr="00143F08" w:rsidR="0095715E">
        <w:rPr>
          <w:color w:val="000000"/>
          <w:shd w:val="clear" w:color="auto" w:fill="FFFFFF"/>
        </w:rPr>
        <w:t>0</w:t>
      </w:r>
      <w:r w:rsidRPr="00143F08" w:rsidR="00825851">
        <w:rPr>
          <w:color w:val="000000"/>
          <w:shd w:val="clear" w:color="auto" w:fill="FFFFFF"/>
        </w:rPr>
        <w:t>)</w:t>
      </w:r>
      <w:r w:rsidRPr="00143F08" w:rsidR="00B64324">
        <w:rPr>
          <w:color w:val="000000"/>
          <w:shd w:val="clear" w:color="auto" w:fill="FFFFFF"/>
        </w:rPr>
        <w:t xml:space="preserve"> “to lessen resort to and impact of WRAMs” (</w:t>
      </w:r>
      <w:r w:rsidRPr="00143F08" w:rsidR="00B64324">
        <w:rPr>
          <w:i/>
          <w:iCs/>
          <w:color w:val="000000"/>
          <w:shd w:val="clear" w:color="auto" w:fill="FFFFFF"/>
        </w:rPr>
        <w:t>id.</w:t>
      </w:r>
      <w:r w:rsidRPr="00143F08" w:rsidR="00B64324">
        <w:rPr>
          <w:color w:val="000000"/>
          <w:shd w:val="clear" w:color="auto" w:fill="FFFFFF"/>
        </w:rPr>
        <w:t>, at p. *63</w:t>
      </w:r>
      <w:r w:rsidRPr="00143F08" w:rsidR="009849A4">
        <w:rPr>
          <w:color w:val="000000"/>
          <w:shd w:val="clear" w:color="auto" w:fill="FFFFFF"/>
        </w:rPr>
        <w:t>).</w:t>
      </w:r>
    </w:p>
    <w:p w:rsidR="007C2046" w:rsidRPr="00143F08" w:rsidP="007C2046" w14:paraId="43638EDE" w14:textId="77777777">
      <w:pPr>
        <w:pStyle w:val="MemoText"/>
        <w:spacing w:line="400" w:lineRule="exact"/>
      </w:pPr>
      <w:r w:rsidRPr="00143F08">
        <w:t xml:space="preserve">This forecasting issue </w:t>
      </w:r>
      <w:r w:rsidRPr="00143F08" w:rsidR="00911C06">
        <w:t>do</w:t>
      </w:r>
      <w:r w:rsidRPr="00143F08">
        <w:t>es</w:t>
      </w:r>
      <w:r w:rsidRPr="00143F08" w:rsidR="00911C06">
        <w:t xml:space="preserve"> not fairly include </w:t>
      </w:r>
      <w:r w:rsidRPr="00143F08" w:rsidR="00122B63">
        <w:t>the possibility that the Commission would order the Water Companies not</w:t>
      </w:r>
      <w:r w:rsidRPr="00143F08" w:rsidR="00D87C77">
        <w:t xml:space="preserve"> to</w:t>
      </w:r>
      <w:r w:rsidRPr="00143F08" w:rsidR="00122B63">
        <w:t xml:space="preserve"> “propose continuing existing Water Revenue Adjustment Mechanisms/</w:t>
      </w:r>
      <w:r w:rsidR="00A27020">
        <w:t>‌</w:t>
      </w:r>
      <w:r w:rsidRPr="00143F08" w:rsidR="00122B63">
        <w:t>Modified Cost Balancing Accounts” “in their next general rate case applications.”</w:t>
      </w:r>
      <w:r w:rsidR="007E7DD9">
        <w:t xml:space="preserve">  </w:t>
      </w:r>
      <w:r w:rsidRPr="00143F08" w:rsidR="00E84D96">
        <w:t xml:space="preserve">Even if, as the Commission’s original decision and decision on rehearing </w:t>
      </w:r>
      <w:r w:rsidR="00EE4FB1">
        <w:t>conveyed</w:t>
      </w:r>
      <w:r w:rsidRPr="00143F08" w:rsidR="00E84D96">
        <w:t>, the scoping memo suggested that some issues relevant to the WRAM</w:t>
      </w:r>
      <w:r w:rsidR="008571C7">
        <w:t>/</w:t>
      </w:r>
      <w:r w:rsidRPr="00143F08" w:rsidR="00E84D96">
        <w:t xml:space="preserve">MCBA </w:t>
      </w:r>
      <w:r w:rsidR="008571C7">
        <w:t xml:space="preserve">approach </w:t>
      </w:r>
      <w:r w:rsidRPr="00143F08" w:rsidR="00E84D96">
        <w:t xml:space="preserve">might be addressed, </w:t>
      </w:r>
      <w:r w:rsidRPr="00143F08" w:rsidR="00977EB9">
        <w:t xml:space="preserve">the scoping memos gave no </w:t>
      </w:r>
      <w:r w:rsidRPr="00143F08" w:rsidR="004A7BAD">
        <w:t xml:space="preserve">signal that </w:t>
      </w:r>
      <w:r w:rsidRPr="00143F08" w:rsidR="003406B7">
        <w:t>the forecasting issue included</w:t>
      </w:r>
      <w:r w:rsidRPr="00143F08" w:rsidR="0065614E">
        <w:t xml:space="preserve"> </w:t>
      </w:r>
      <w:r w:rsidRPr="00143F08" w:rsidR="0065614E">
        <w:rPr>
          <w:i/>
          <w:iCs/>
        </w:rPr>
        <w:t>elimination</w:t>
      </w:r>
      <w:r w:rsidRPr="00143F08" w:rsidR="0065614E">
        <w:t xml:space="preserve"> of </w:t>
      </w:r>
      <w:r w:rsidRPr="00143F08" w:rsidR="00B53671">
        <w:t xml:space="preserve">the </w:t>
      </w:r>
      <w:r w:rsidR="001477D5">
        <w:t xml:space="preserve">Water Revenue </w:t>
      </w:r>
      <w:r w:rsidRPr="00143F08" w:rsidR="00B53671">
        <w:t xml:space="preserve">Adjustment Mechanisms and </w:t>
      </w:r>
      <w:r w:rsidR="001477D5">
        <w:t xml:space="preserve">Modified Cost </w:t>
      </w:r>
      <w:r w:rsidRPr="00143F08" w:rsidR="00B53671">
        <w:t>Balancing Accounts</w:t>
      </w:r>
      <w:r w:rsidRPr="00143F08" w:rsidR="00782205">
        <w:t> </w:t>
      </w:r>
      <w:r w:rsidRPr="00143F08" w:rsidR="00205C6A">
        <w:t xml:space="preserve">— as opposed to, for example, “improved forecast methodologies” </w:t>
      </w:r>
      <w:r w:rsidRPr="00143F08" w:rsidR="00293FE8">
        <w:t>(</w:t>
      </w:r>
      <w:r w:rsidRPr="00143F08" w:rsidR="00293FE8">
        <w:rPr>
          <w:rStyle w:val="acy"/>
          <w:i/>
          <w:iCs/>
          <w:color w:val="000000"/>
          <w:bdr w:val="none" w:sz="0" w:space="0" w:color="auto" w:frame="1"/>
          <w:shd w:val="clear" w:color="auto" w:fill="FFFFFF"/>
        </w:rPr>
        <w:t>Decision 16-12-026</w:t>
      </w:r>
      <w:r w:rsidRPr="00143F08" w:rsidR="00293FE8">
        <w:rPr>
          <w:rStyle w:val="acy"/>
          <w:color w:val="000000"/>
          <w:bdr w:val="none" w:sz="0" w:space="0" w:color="auto" w:frame="1"/>
          <w:shd w:val="clear" w:color="auto" w:fill="FFFFFF"/>
        </w:rPr>
        <w:t xml:space="preserve">, </w:t>
      </w:r>
      <w:r w:rsidRPr="00143F08" w:rsidR="00293FE8">
        <w:rPr>
          <w:rStyle w:val="acy"/>
          <w:i/>
          <w:iCs/>
          <w:color w:val="000000"/>
          <w:bdr w:val="none" w:sz="0" w:space="0" w:color="auto" w:frame="1"/>
          <w:shd w:val="clear" w:color="auto" w:fill="FFFFFF"/>
        </w:rPr>
        <w:t>supra</w:t>
      </w:r>
      <w:r w:rsidRPr="00143F08" w:rsidR="00293FE8">
        <w:rPr>
          <w:rStyle w:val="acy"/>
          <w:color w:val="000000"/>
          <w:bdr w:val="none" w:sz="0" w:space="0" w:color="auto" w:frame="1"/>
          <w:shd w:val="clear" w:color="auto" w:fill="FFFFFF"/>
        </w:rPr>
        <w:t xml:space="preserve">, 2016 Cal.P.U.C. Lexis </w:t>
      </w:r>
      <w:r w:rsidR="00211D35">
        <w:rPr>
          <w:rStyle w:val="acy"/>
          <w:color w:val="000000"/>
          <w:bdr w:val="none" w:sz="0" w:space="0" w:color="auto" w:frame="1"/>
          <w:shd w:val="clear" w:color="auto" w:fill="FFFFFF"/>
        </w:rPr>
        <w:t xml:space="preserve">682 </w:t>
      </w:r>
      <w:r w:rsidRPr="00143F08" w:rsidR="00293FE8">
        <w:rPr>
          <w:rStyle w:val="acy"/>
          <w:color w:val="000000"/>
          <w:bdr w:val="none" w:sz="0" w:space="0" w:color="auto" w:frame="1"/>
          <w:shd w:val="clear" w:color="auto" w:fill="FFFFFF"/>
        </w:rPr>
        <w:t>at p. </w:t>
      </w:r>
      <w:r w:rsidRPr="00143F08" w:rsidR="00260C43">
        <w:rPr>
          <w:rStyle w:val="acy"/>
          <w:color w:val="000000"/>
          <w:bdr w:val="none" w:sz="0" w:space="0" w:color="auto" w:frame="1"/>
          <w:shd w:val="clear" w:color="auto" w:fill="FFFFFF"/>
        </w:rPr>
        <w:t>*</w:t>
      </w:r>
      <w:r w:rsidRPr="00143F08" w:rsidR="00293FE8">
        <w:rPr>
          <w:rStyle w:val="acy"/>
          <w:color w:val="000000"/>
          <w:bdr w:val="none" w:sz="0" w:space="0" w:color="auto" w:frame="1"/>
          <w:shd w:val="clear" w:color="auto" w:fill="FFFFFF"/>
        </w:rPr>
        <w:t xml:space="preserve">130) </w:t>
      </w:r>
      <w:r w:rsidRPr="00143F08" w:rsidR="00205C6A">
        <w:t>that might “lessen resort to and impact of WRAMs”</w:t>
      </w:r>
      <w:r w:rsidRPr="00143F08" w:rsidR="00205C6A">
        <w:rPr>
          <w:color w:val="000000"/>
          <w:bdr w:val="none" w:sz="0" w:space="0" w:color="auto" w:frame="1"/>
          <w:shd w:val="clear" w:color="auto" w:fill="FFFFFF"/>
        </w:rPr>
        <w:t xml:space="preserve"> </w:t>
      </w:r>
      <w:r w:rsidRPr="00143F08" w:rsidR="0095715E">
        <w:rPr>
          <w:rStyle w:val="acy"/>
          <w:color w:val="000000"/>
          <w:bdr w:val="none" w:sz="0" w:space="0" w:color="auto" w:frame="1"/>
          <w:shd w:val="clear" w:color="auto" w:fill="FFFFFF"/>
        </w:rPr>
        <w:t>(</w:t>
      </w:r>
      <w:r w:rsidRPr="00143F08" w:rsidR="00293FE8">
        <w:rPr>
          <w:rStyle w:val="acy"/>
          <w:i/>
          <w:iCs/>
          <w:color w:val="000000"/>
          <w:bdr w:val="none" w:sz="0" w:space="0" w:color="auto" w:frame="1"/>
          <w:shd w:val="clear" w:color="auto" w:fill="FFFFFF"/>
        </w:rPr>
        <w:t>id.</w:t>
      </w:r>
      <w:r w:rsidRPr="00143F08" w:rsidR="00293FE8">
        <w:rPr>
          <w:rStyle w:val="acy"/>
          <w:color w:val="000000"/>
          <w:bdr w:val="none" w:sz="0" w:space="0" w:color="auto" w:frame="1"/>
          <w:shd w:val="clear" w:color="auto" w:fill="FFFFFF"/>
        </w:rPr>
        <w:t>, at p. </w:t>
      </w:r>
      <w:r w:rsidRPr="00143F08" w:rsidR="0095715E">
        <w:rPr>
          <w:rStyle w:val="acy"/>
          <w:color w:val="000000"/>
          <w:bdr w:val="none" w:sz="0" w:space="0" w:color="auto" w:frame="1"/>
          <w:shd w:val="clear" w:color="auto" w:fill="FFFFFF"/>
        </w:rPr>
        <w:t>*63)</w:t>
      </w:r>
      <w:r w:rsidRPr="00143F08" w:rsidR="00293FE8">
        <w:rPr>
          <w:rStyle w:val="acy"/>
          <w:color w:val="000000"/>
          <w:bdr w:val="none" w:sz="0" w:space="0" w:color="auto" w:frame="1"/>
          <w:shd w:val="clear" w:color="auto" w:fill="FFFFFF"/>
        </w:rPr>
        <w:t>.</w:t>
      </w:r>
      <w:r w:rsidRPr="00143F08" w:rsidR="00205C6A">
        <w:rPr>
          <w:color w:val="000000"/>
          <w:shd w:val="clear" w:color="auto" w:fill="FFFFFF"/>
        </w:rPr>
        <w:t xml:space="preserve">  </w:t>
      </w:r>
      <w:r w:rsidRPr="00143F08" w:rsidR="00A17DEE">
        <w:rPr>
          <w:color w:val="000000"/>
          <w:shd w:val="clear" w:color="auto" w:fill="FFFFFF"/>
        </w:rPr>
        <w:t>T</w:t>
      </w:r>
      <w:r w:rsidRPr="00143F08" w:rsidR="00C95A0F">
        <w:t xml:space="preserve">he connection between those </w:t>
      </w:r>
      <w:r w:rsidR="00194B0D">
        <w:t>approaches</w:t>
      </w:r>
      <w:r w:rsidRPr="00143F08" w:rsidR="00194B0D">
        <w:t xml:space="preserve"> </w:t>
      </w:r>
      <w:r w:rsidRPr="00143F08" w:rsidR="00FE7518">
        <w:t xml:space="preserve">and questions about how to improve forecasting is simply too attenuated to have given fair </w:t>
      </w:r>
      <w:r w:rsidRPr="00143F08" w:rsidR="00143A45">
        <w:t xml:space="preserve">notice that the </w:t>
      </w:r>
      <w:r w:rsidRPr="00143F08" w:rsidR="00400F03">
        <w:t xml:space="preserve">potential </w:t>
      </w:r>
      <w:r w:rsidRPr="00143F08" w:rsidR="00143A45">
        <w:t xml:space="preserve">elimination of these </w:t>
      </w:r>
      <w:r w:rsidR="00194B0D">
        <w:t>approaches</w:t>
      </w:r>
      <w:r w:rsidRPr="00143F08" w:rsidR="00194B0D">
        <w:t xml:space="preserve"> </w:t>
      </w:r>
      <w:r w:rsidRPr="00143F08" w:rsidR="00143A45">
        <w:t xml:space="preserve">was </w:t>
      </w:r>
      <w:r w:rsidRPr="00143F08" w:rsidR="006E2F07">
        <w:t xml:space="preserve">within the scope </w:t>
      </w:r>
      <w:r w:rsidRPr="00143F08" w:rsidR="00143A45">
        <w:t>of the proceeding.</w:t>
      </w:r>
      <w:r>
        <w:rPr>
          <w:rStyle w:val="FootnoteReference"/>
        </w:rPr>
        <w:footnoteReference w:id="8"/>
      </w:r>
      <w:r w:rsidRPr="00143F08" w:rsidR="005C2DB4">
        <w:t xml:space="preserve">  </w:t>
      </w:r>
    </w:p>
    <w:p w:rsidR="00132297" w:rsidP="00143F08" w14:paraId="43638EDF" w14:textId="77777777">
      <w:pPr>
        <w:pStyle w:val="MemoText"/>
        <w:spacing w:line="400" w:lineRule="exact"/>
      </w:pPr>
      <w:r w:rsidRPr="00143F08">
        <w:t>This</w:t>
      </w:r>
      <w:r w:rsidRPr="00143F08" w:rsidR="003F2F98">
        <w:t xml:space="preserve"> is not to say</w:t>
      </w:r>
      <w:r w:rsidRPr="00143F08" w:rsidR="005C2DB4">
        <w:t xml:space="preserve"> that a scoping memo must detail every possible outcome of a proceeding</w:t>
      </w:r>
      <w:r>
        <w:t xml:space="preserve">.  </w:t>
      </w:r>
      <w:r w:rsidR="00701FBC">
        <w:t xml:space="preserve">But that is not the nature of the deficiency here.  Rather, </w:t>
      </w:r>
      <w:r w:rsidRPr="00143F08" w:rsidR="005C2DB4">
        <w:t xml:space="preserve">the scoping memo </w:t>
      </w:r>
      <w:r w:rsidRPr="00143F08" w:rsidR="0049263B">
        <w:t xml:space="preserve">at issue </w:t>
      </w:r>
      <w:r w:rsidRPr="00143F08" w:rsidR="005C2DB4">
        <w:t>cannot fairly be said to</w:t>
      </w:r>
      <w:r w:rsidRPr="00143F08" w:rsidR="00786384">
        <w:t xml:space="preserve"> have</w:t>
      </w:r>
      <w:r w:rsidRPr="00143F08" w:rsidR="005C2DB4">
        <w:t xml:space="preserve"> “describe</w:t>
      </w:r>
      <w:r w:rsidRPr="00143F08" w:rsidR="00786384">
        <w:t>[d]</w:t>
      </w:r>
      <w:r w:rsidRPr="00143F08" w:rsidR="005C2DB4">
        <w:t xml:space="preserve"> the issues to be considered” </w:t>
      </w:r>
      <w:r w:rsidR="00FB5FDF">
        <w:t>at a basic level</w:t>
      </w:r>
      <w:r w:rsidRPr="00143F08" w:rsidR="005C2DB4">
        <w:t>.  (Pub. Util. Code, § 1701.1, subd. (c).)</w:t>
      </w:r>
      <w:r w:rsidRPr="00143F08" w:rsidR="00442E21">
        <w:t xml:space="preserve">  </w:t>
      </w:r>
    </w:p>
    <w:p w:rsidR="00DF7887" w:rsidP="00132297" w14:paraId="43638EE0" w14:textId="77777777">
      <w:pPr>
        <w:pStyle w:val="MemoText"/>
        <w:spacing w:line="400" w:lineRule="exact"/>
        <w:rPr>
          <w:rStyle w:val="acy"/>
          <w:color w:val="000000"/>
          <w:bdr w:val="none" w:sz="0" w:space="0" w:color="auto" w:frame="1"/>
          <w:shd w:val="clear" w:color="auto" w:fill="FFFFFF"/>
        </w:rPr>
      </w:pPr>
      <w:r w:rsidRPr="00143F08">
        <w:t xml:space="preserve">Consideration of the history of this proceeding reinforces the conclusion.  </w:t>
      </w:r>
      <w:r w:rsidRPr="00143F08" w:rsidR="00D277C9">
        <w:t xml:space="preserve">As </w:t>
      </w:r>
      <w:r w:rsidRPr="00143F08" w:rsidR="009373B2">
        <w:t>mentioned</w:t>
      </w:r>
      <w:r w:rsidRPr="00143F08" w:rsidR="00D277C9">
        <w:t xml:space="preserve">, the Commission had recently approved the use </w:t>
      </w:r>
      <w:r w:rsidRPr="00143F08" w:rsidR="00674B20">
        <w:t>of Water Revenue Adjustment Mechanisms and Modified Cost Balancing Accounts</w:t>
      </w:r>
      <w:r w:rsidR="008C75AE">
        <w:t xml:space="preserve">, </w:t>
      </w:r>
      <w:r w:rsidRPr="00143F08" w:rsidR="00674B20">
        <w:t xml:space="preserve">following </w:t>
      </w:r>
      <w:r w:rsidRPr="00143F08" w:rsidR="00477053">
        <w:t xml:space="preserve">proceedings </w:t>
      </w:r>
      <w:r w:rsidRPr="00143F08" w:rsidR="00674B20">
        <w:t xml:space="preserve">that quite explicitly conveyed that </w:t>
      </w:r>
      <w:r w:rsidRPr="00143F08" w:rsidR="0012213A">
        <w:t xml:space="preserve">the viability of </w:t>
      </w:r>
      <w:r w:rsidRPr="00143F08" w:rsidR="0053267C">
        <w:t xml:space="preserve">those mechanisms </w:t>
      </w:r>
      <w:r w:rsidRPr="00143F08" w:rsidR="00FC1F2B">
        <w:t>was</w:t>
      </w:r>
      <w:r w:rsidRPr="00143F08" w:rsidR="0053267C">
        <w:t xml:space="preserve"> at issue.</w:t>
      </w:r>
      <w:r w:rsidR="008C75AE">
        <w:t xml:space="preserve">  </w:t>
      </w:r>
      <w:r w:rsidRPr="00143F08" w:rsidR="008C75AE">
        <w:t xml:space="preserve">(See pt. I.B., </w:t>
      </w:r>
      <w:r w:rsidRPr="00143F08" w:rsidR="008C75AE">
        <w:rPr>
          <w:i/>
          <w:iCs/>
        </w:rPr>
        <w:t>ante</w:t>
      </w:r>
      <w:r w:rsidRPr="00143F08" w:rsidR="008C75AE">
        <w:t>.)</w:t>
      </w:r>
      <w:r w:rsidR="00132297">
        <w:t xml:space="preserve">  </w:t>
      </w:r>
      <w:r w:rsidRPr="007C2046" w:rsidR="007C2046">
        <w:rPr>
          <w:rStyle w:val="acy"/>
          <w:color w:val="000000"/>
          <w:bdr w:val="none" w:sz="0" w:space="0" w:color="auto" w:frame="1"/>
          <w:shd w:val="clear" w:color="auto" w:fill="FFFFFF"/>
        </w:rPr>
        <w:t xml:space="preserve">For example, a list of questions issued in connection with a 2015 scoping memo included:  </w:t>
      </w:r>
    </w:p>
    <w:p w:rsidR="00DF7887" w:rsidRPr="00DF7887" w:rsidP="00DF7887" w14:paraId="43638EE1" w14:textId="77777777">
      <w:pPr>
        <w:pStyle w:val="MemoText"/>
        <w:numPr>
          <w:ilvl w:val="0"/>
          <w:numId w:val="8"/>
        </w:numPr>
        <w:spacing w:line="400" w:lineRule="exact"/>
        <w:rPr>
          <w:rStyle w:val="acy"/>
        </w:rPr>
      </w:pPr>
      <w:r w:rsidRPr="007C2046">
        <w:rPr>
          <w:rStyle w:val="acy"/>
          <w:color w:val="000000"/>
          <w:bdr w:val="none" w:sz="0" w:space="0" w:color="auto" w:frame="1"/>
          <w:shd w:val="clear" w:color="auto" w:fill="FFFFFF"/>
        </w:rPr>
        <w:t xml:space="preserve">“Should the Commission consider a tiered inclining block pricing structure that would be designed to recover the full revenue requirement of utilities within the revenue collected from the lower tiers, with the revenues from the highest tier designated for the purpose of recovering the balances in the WRAMs and the MCBAs and/or to fund conservation programs or provide rebates to customers?”; </w:t>
      </w:r>
    </w:p>
    <w:p w:rsidR="00DF7887" w:rsidRPr="00DF7887" w:rsidP="00DF7887" w14:paraId="43638EE2" w14:textId="77777777">
      <w:pPr>
        <w:pStyle w:val="MemoText"/>
        <w:numPr>
          <w:ilvl w:val="0"/>
          <w:numId w:val="8"/>
        </w:numPr>
        <w:spacing w:line="400" w:lineRule="exact"/>
        <w:rPr>
          <w:rStyle w:val="acy"/>
        </w:rPr>
      </w:pPr>
      <w:r w:rsidRPr="007C2046">
        <w:rPr>
          <w:rStyle w:val="acy"/>
          <w:color w:val="000000"/>
          <w:bdr w:val="none" w:sz="0" w:space="0" w:color="auto" w:frame="1"/>
          <w:shd w:val="clear" w:color="auto" w:fill="FFFFFF"/>
        </w:rPr>
        <w:t xml:space="preserve">“What rate structure and accounting mechanisms are best suited to offer safe, reliable water service at just and reasonable rates, provide incentives to conserve, and provide sufficient revenue for water system operation and investment needs?”; </w:t>
      </w:r>
    </w:p>
    <w:p w:rsidR="00DF7887" w:rsidRPr="00DF7887" w:rsidP="00DF7887" w14:paraId="43638EE3" w14:textId="77777777">
      <w:pPr>
        <w:pStyle w:val="MemoText"/>
        <w:numPr>
          <w:ilvl w:val="0"/>
          <w:numId w:val="8"/>
        </w:numPr>
        <w:spacing w:line="400" w:lineRule="exact"/>
        <w:rPr>
          <w:rStyle w:val="acy"/>
        </w:rPr>
      </w:pPr>
      <w:r w:rsidRPr="007C2046">
        <w:rPr>
          <w:rStyle w:val="acy"/>
          <w:color w:val="000000"/>
          <w:bdr w:val="none" w:sz="0" w:space="0" w:color="auto" w:frame="1"/>
          <w:shd w:val="clear" w:color="auto" w:fill="FFFFFF"/>
        </w:rPr>
        <w:t xml:space="preserve">“Do WRAMs and MCBAs, by decoupling the utilities’ revenue functions from changes in sales, succeed in neutralizing the utilities’ incentive to increase sales?  Is there a better way?”; </w:t>
      </w:r>
    </w:p>
    <w:p w:rsidR="00DF7887" w:rsidRPr="00DF7887" w:rsidP="00DF7887" w14:paraId="43638EE4" w14:textId="77777777">
      <w:pPr>
        <w:pStyle w:val="MemoText"/>
        <w:numPr>
          <w:ilvl w:val="0"/>
          <w:numId w:val="8"/>
        </w:numPr>
        <w:spacing w:line="400" w:lineRule="exact"/>
        <w:rPr>
          <w:rStyle w:val="acy"/>
        </w:rPr>
      </w:pPr>
      <w:r w:rsidRPr="007C2046">
        <w:rPr>
          <w:rStyle w:val="acy"/>
          <w:color w:val="000000"/>
          <w:bdr w:val="none" w:sz="0" w:space="0" w:color="auto" w:frame="1"/>
          <w:shd w:val="clear" w:color="auto" w:fill="FFFFFF"/>
        </w:rPr>
        <w:t xml:space="preserve">“Are WRAMs and MCBAs effective mechanism[s] to collect authorized revenue in light of tiered inclining block conservation rates?”; </w:t>
      </w:r>
    </w:p>
    <w:p w:rsidR="00DF7887" w:rsidRPr="00DF7887" w:rsidP="00DF7887" w14:paraId="43638EE5" w14:textId="77777777">
      <w:pPr>
        <w:pStyle w:val="MemoText"/>
        <w:numPr>
          <w:ilvl w:val="0"/>
          <w:numId w:val="8"/>
        </w:numPr>
        <w:spacing w:line="400" w:lineRule="exact"/>
        <w:rPr>
          <w:rStyle w:val="acy"/>
        </w:rPr>
      </w:pPr>
      <w:r w:rsidRPr="007C2046">
        <w:rPr>
          <w:rStyle w:val="acy"/>
          <w:color w:val="000000"/>
          <w:bdr w:val="none" w:sz="0" w:space="0" w:color="auto" w:frame="1"/>
          <w:shd w:val="clear" w:color="auto" w:fill="FFFFFF"/>
        </w:rPr>
        <w:t>“Do WRAMs and MCBAs appropriately incentivize consumer conservation?  Are adjustments needed?  Would another mechanism be better suited for the utility to collect authorized revenue for water system needs and encourage conservation .</w:t>
      </w:r>
      <w:r w:rsidR="008843AB">
        <w:rPr>
          <w:rStyle w:val="acy"/>
          <w:color w:val="000000"/>
          <w:bdr w:val="none" w:sz="0" w:space="0" w:color="auto" w:frame="1"/>
          <w:shd w:val="clear" w:color="auto" w:fill="FFFFFF"/>
        </w:rPr>
        <w:t> </w:t>
      </w:r>
      <w:r w:rsidRPr="007C2046">
        <w:rPr>
          <w:rStyle w:val="acy"/>
          <w:color w:val="000000"/>
          <w:bdr w:val="none" w:sz="0" w:space="0" w:color="auto" w:frame="1"/>
          <w:shd w:val="clear" w:color="auto" w:fill="FFFFFF"/>
        </w:rPr>
        <w:t>.</w:t>
      </w:r>
      <w:r w:rsidR="008843AB">
        <w:rPr>
          <w:rStyle w:val="acy"/>
          <w:color w:val="000000"/>
          <w:bdr w:val="none" w:sz="0" w:space="0" w:color="auto" w:frame="1"/>
          <w:shd w:val="clear" w:color="auto" w:fill="FFFFFF"/>
        </w:rPr>
        <w:t> </w:t>
      </w:r>
      <w:r w:rsidRPr="007C2046">
        <w:rPr>
          <w:rStyle w:val="acy"/>
          <w:color w:val="000000"/>
          <w:bdr w:val="none" w:sz="0" w:space="0" w:color="auto" w:frame="1"/>
          <w:shd w:val="clear" w:color="auto" w:fill="FFFFFF"/>
        </w:rPr>
        <w:t>.</w:t>
      </w:r>
      <w:r w:rsidR="008843AB">
        <w:rPr>
          <w:rStyle w:val="acy"/>
          <w:color w:val="000000"/>
          <w:bdr w:val="none" w:sz="0" w:space="0" w:color="auto" w:frame="1"/>
          <w:shd w:val="clear" w:color="auto" w:fill="FFFFFF"/>
        </w:rPr>
        <w:t> </w:t>
      </w:r>
      <w:r w:rsidRPr="007C2046">
        <w:rPr>
          <w:rStyle w:val="acy"/>
          <w:color w:val="000000"/>
          <w:bdr w:val="none" w:sz="0" w:space="0" w:color="auto" w:frame="1"/>
          <w:shd w:val="clear" w:color="auto" w:fill="FFFFFF"/>
        </w:rPr>
        <w:t xml:space="preserve">?”; </w:t>
      </w:r>
    </w:p>
    <w:p w:rsidR="00DF7887" w:rsidRPr="00DF7887" w:rsidP="00DF7887" w14:paraId="43638EE6" w14:textId="77777777">
      <w:pPr>
        <w:pStyle w:val="MemoText"/>
        <w:numPr>
          <w:ilvl w:val="0"/>
          <w:numId w:val="8"/>
        </w:numPr>
        <w:spacing w:line="400" w:lineRule="exact"/>
        <w:rPr>
          <w:rStyle w:val="acy"/>
        </w:rPr>
      </w:pPr>
      <w:r w:rsidRPr="007C2046">
        <w:rPr>
          <w:rStyle w:val="acy"/>
          <w:color w:val="000000"/>
          <w:bdr w:val="none" w:sz="0" w:space="0" w:color="auto" w:frame="1"/>
          <w:shd w:val="clear" w:color="auto" w:fill="FFFFFF"/>
        </w:rPr>
        <w:t xml:space="preserve">“Are WRAMs and MCBAs effective at encouraging conservation when decreases in volumetric consumption by some or all consumers lead to large balances in WRAMs and MCBAs being assessed on all ratepayers?  What adjustments in the WRAM or MCBA mechanisms are needed to encourage conservation?”; </w:t>
      </w:r>
    </w:p>
    <w:p w:rsidR="00DF7887" w:rsidRPr="00DF7887" w:rsidP="00DF7887" w14:paraId="43638EE7" w14:textId="77777777">
      <w:pPr>
        <w:pStyle w:val="MemoText"/>
        <w:numPr>
          <w:ilvl w:val="0"/>
          <w:numId w:val="8"/>
        </w:numPr>
        <w:spacing w:line="400" w:lineRule="exact"/>
        <w:rPr>
          <w:rStyle w:val="acy"/>
        </w:rPr>
      </w:pPr>
      <w:r w:rsidRPr="007C2046">
        <w:rPr>
          <w:rStyle w:val="acy"/>
          <w:color w:val="000000"/>
          <w:bdr w:val="none" w:sz="0" w:space="0" w:color="auto" w:frame="1"/>
          <w:shd w:val="clear" w:color="auto" w:fill="FFFFFF"/>
        </w:rPr>
        <w:t xml:space="preserve">“Do WRAMs and MCBAs achieve the statutory objective of safe, reliable water service at just and reasonable rates?”; </w:t>
      </w:r>
    </w:p>
    <w:p w:rsidR="00DF7887" w:rsidRPr="00DF7887" w:rsidP="00DF7887" w14:paraId="43638EE8" w14:textId="77777777">
      <w:pPr>
        <w:pStyle w:val="MemoText"/>
        <w:numPr>
          <w:ilvl w:val="0"/>
          <w:numId w:val="8"/>
        </w:numPr>
        <w:spacing w:line="400" w:lineRule="exact"/>
        <w:rPr>
          <w:rStyle w:val="acy"/>
        </w:rPr>
      </w:pPr>
      <w:r w:rsidRPr="007C2046">
        <w:rPr>
          <w:rStyle w:val="acy"/>
          <w:color w:val="000000"/>
          <w:bdr w:val="none" w:sz="0" w:space="0" w:color="auto" w:frame="1"/>
          <w:shd w:val="clear" w:color="auto" w:fill="FFFFFF"/>
        </w:rPr>
        <w:t xml:space="preserve">“What changes, if any, should be made to the Revised Rate Case Plan adopted by D.07-05-062 or other Commission policies adopted to reduce the balances in WRAMs and MCBAs and reduce the degree of inter-generational transfers and/or rate shock?”; </w:t>
      </w:r>
    </w:p>
    <w:p w:rsidR="00DF7887" w:rsidRPr="00DF7887" w:rsidP="00DF7887" w14:paraId="43638EE9" w14:textId="77777777">
      <w:pPr>
        <w:pStyle w:val="MemoText"/>
        <w:numPr>
          <w:ilvl w:val="0"/>
          <w:numId w:val="8"/>
        </w:numPr>
        <w:spacing w:line="400" w:lineRule="exact"/>
        <w:rPr>
          <w:rStyle w:val="acy"/>
        </w:rPr>
      </w:pPr>
      <w:r w:rsidRPr="007C2046">
        <w:rPr>
          <w:rStyle w:val="acy"/>
          <w:color w:val="000000"/>
          <w:bdr w:val="none" w:sz="0" w:space="0" w:color="auto" w:frame="1"/>
          <w:shd w:val="clear" w:color="auto" w:fill="FFFFFF"/>
        </w:rPr>
        <w:t xml:space="preserve">“Is there a policy or procedure that would accomplish the same results as the WRAM and MCBAs without the attendant issues discussed” elsewhere in the memo?; </w:t>
      </w:r>
    </w:p>
    <w:p w:rsidR="00DF7887" w:rsidRPr="00DF7887" w:rsidP="00DF7887" w14:paraId="43638EEA" w14:textId="77777777">
      <w:pPr>
        <w:pStyle w:val="MemoText"/>
        <w:numPr>
          <w:ilvl w:val="0"/>
          <w:numId w:val="8"/>
        </w:numPr>
        <w:spacing w:line="400" w:lineRule="exact"/>
        <w:rPr>
          <w:rStyle w:val="acy"/>
        </w:rPr>
      </w:pPr>
      <w:r w:rsidRPr="007C2046">
        <w:rPr>
          <w:rStyle w:val="acy"/>
          <w:color w:val="000000"/>
          <w:bdr w:val="none" w:sz="0" w:space="0" w:color="auto" w:frame="1"/>
          <w:shd w:val="clear" w:color="auto" w:fill="FFFFFF"/>
        </w:rPr>
        <w:t xml:space="preserve">“Should the WRAM and MCBAs account for changes in sales generally, or should its effect be limited to changes in sales induced by the CPUC and other government agents?”; and </w:t>
      </w:r>
    </w:p>
    <w:p w:rsidR="007C2046" w:rsidRPr="00132297" w:rsidP="00DF7887" w14:paraId="43638EEB" w14:textId="77777777">
      <w:pPr>
        <w:pStyle w:val="MemoText"/>
        <w:numPr>
          <w:ilvl w:val="0"/>
          <w:numId w:val="8"/>
        </w:numPr>
        <w:spacing w:line="400" w:lineRule="exact"/>
        <w:rPr>
          <w:rStyle w:val="acy"/>
        </w:rPr>
      </w:pPr>
      <w:r w:rsidRPr="007C2046">
        <w:rPr>
          <w:rStyle w:val="acy"/>
          <w:color w:val="000000"/>
          <w:bdr w:val="none" w:sz="0" w:space="0" w:color="auto" w:frame="1"/>
          <w:shd w:val="clear" w:color="auto" w:fill="FFFFFF"/>
        </w:rPr>
        <w:t>“Should WRAM and MCBA balances continue to be collected through surcharges on quantity sales?  Would other forms of surcharge be more efficient or equitable, or better accomplish safe, reliable service, at just and reasonable rates and incentivize conservation?  Such other methods could include, but are not limited to, a minimum quantity charge, a minimum bill, or a fixed surcharge that does not vary with quantity consumed</w:t>
      </w:r>
      <w:r w:rsidR="007E7DD9">
        <w:rPr>
          <w:rStyle w:val="acy"/>
          <w:color w:val="000000"/>
          <w:bdr w:val="none" w:sz="0" w:space="0" w:color="auto" w:frame="1"/>
          <w:shd w:val="clear" w:color="auto" w:fill="FFFFFF"/>
        </w:rPr>
        <w:t>.”</w:t>
      </w:r>
      <w:r w:rsidR="008C75AE">
        <w:rPr>
          <w:rStyle w:val="acy"/>
          <w:color w:val="000000"/>
          <w:bdr w:val="none" w:sz="0" w:space="0" w:color="auto" w:frame="1"/>
          <w:shd w:val="clear" w:color="auto" w:fill="FFFFFF"/>
        </w:rPr>
        <w:t xml:space="preserve">  </w:t>
      </w:r>
    </w:p>
    <w:p w:rsidR="00C06183" w:rsidP="003F1FFC" w14:paraId="43638EEC" w14:textId="77777777">
      <w:pPr>
        <w:pStyle w:val="MemoText"/>
        <w:spacing w:line="400" w:lineRule="exact"/>
      </w:pPr>
      <w:r>
        <w:t xml:space="preserve">After this detailed and recent </w:t>
      </w:r>
      <w:r w:rsidR="00706344">
        <w:t>inquiry</w:t>
      </w:r>
      <w:r>
        <w:t>, the</w:t>
      </w:r>
      <w:r w:rsidRPr="00143F08">
        <w:t xml:space="preserve"> Commission “conclude[d] that, at this time, the WRAM mechanism should be maintained.”  </w:t>
      </w:r>
      <w:r w:rsidRPr="00143F08">
        <w:rPr>
          <w:rStyle w:val="acy"/>
          <w:color w:val="000000"/>
          <w:bdr w:val="none" w:sz="0" w:space="0" w:color="auto" w:frame="1"/>
          <w:shd w:val="clear" w:color="auto" w:fill="FFFFFF"/>
        </w:rPr>
        <w:t>(</w:t>
      </w:r>
      <w:r w:rsidRPr="00143F08">
        <w:rPr>
          <w:rStyle w:val="acy"/>
          <w:i/>
          <w:iCs/>
          <w:color w:val="000000"/>
          <w:bdr w:val="none" w:sz="0" w:space="0" w:color="auto" w:frame="1"/>
          <w:shd w:val="clear" w:color="auto" w:fill="FFFFFF"/>
        </w:rPr>
        <w:t>Decision 16-12-026</w:t>
      </w:r>
      <w:r w:rsidRPr="00143F08">
        <w:rPr>
          <w:rStyle w:val="acy"/>
          <w:color w:val="000000"/>
          <w:bdr w:val="none" w:sz="0" w:space="0" w:color="auto" w:frame="1"/>
          <w:shd w:val="clear" w:color="auto" w:fill="FFFFFF"/>
        </w:rPr>
        <w:t xml:space="preserve">, </w:t>
      </w:r>
      <w:r w:rsidRPr="00143F08">
        <w:rPr>
          <w:rStyle w:val="acy"/>
          <w:i/>
          <w:iCs/>
          <w:color w:val="000000"/>
          <w:bdr w:val="none" w:sz="0" w:space="0" w:color="auto" w:frame="1"/>
          <w:shd w:val="clear" w:color="auto" w:fill="FFFFFF"/>
        </w:rPr>
        <w:t>supra</w:t>
      </w:r>
      <w:r w:rsidRPr="00143F08">
        <w:rPr>
          <w:rStyle w:val="acy"/>
          <w:color w:val="000000"/>
          <w:bdr w:val="none" w:sz="0" w:space="0" w:color="auto" w:frame="1"/>
          <w:shd w:val="clear" w:color="auto" w:fill="FFFFFF"/>
        </w:rPr>
        <w:t xml:space="preserve">, 2016 Cal.P.U.C. Lexis </w:t>
      </w:r>
      <w:r w:rsidR="00211D35">
        <w:rPr>
          <w:rStyle w:val="acy"/>
          <w:color w:val="000000"/>
          <w:bdr w:val="none" w:sz="0" w:space="0" w:color="auto" w:frame="1"/>
          <w:shd w:val="clear" w:color="auto" w:fill="FFFFFF"/>
        </w:rPr>
        <w:t xml:space="preserve">682 </w:t>
      </w:r>
      <w:r w:rsidRPr="00143F08">
        <w:rPr>
          <w:rStyle w:val="acy"/>
          <w:color w:val="000000"/>
          <w:bdr w:val="none" w:sz="0" w:space="0" w:color="auto" w:frame="1"/>
          <w:shd w:val="clear" w:color="auto" w:fill="FFFFFF"/>
        </w:rPr>
        <w:t>at p. *63.)</w:t>
      </w:r>
      <w:r w:rsidRPr="00143F08">
        <w:rPr>
          <w:color w:val="000000"/>
          <w:shd w:val="clear" w:color="auto" w:fill="FFFFFF"/>
        </w:rPr>
        <w:t xml:space="preserve"> </w:t>
      </w:r>
      <w:r w:rsidR="008843AB">
        <w:rPr>
          <w:color w:val="000000"/>
          <w:shd w:val="clear" w:color="auto" w:fill="FFFFFF"/>
        </w:rPr>
        <w:t xml:space="preserve"> </w:t>
      </w:r>
      <w:r w:rsidR="00DF7887">
        <w:rPr>
          <w:rStyle w:val="acy"/>
          <w:color w:val="000000"/>
          <w:bdr w:val="none" w:sz="0" w:space="0" w:color="auto" w:frame="1"/>
          <w:shd w:val="clear" w:color="auto" w:fill="FFFFFF"/>
        </w:rPr>
        <w:t>With this context in mind</w:t>
      </w:r>
      <w:r w:rsidRPr="00143F08" w:rsidR="00F74D0F">
        <w:rPr>
          <w:rStyle w:val="acy"/>
          <w:color w:val="000000"/>
          <w:bdr w:val="none" w:sz="0" w:space="0" w:color="auto" w:frame="1"/>
          <w:shd w:val="clear" w:color="auto" w:fill="FFFFFF"/>
        </w:rPr>
        <w:t>, an informed observer would not reasonably have understood from the scoping memos in this proceeding</w:t>
      </w:r>
      <w:r w:rsidRPr="00143F08" w:rsidR="008D08CC">
        <w:rPr>
          <w:rStyle w:val="acy"/>
          <w:color w:val="000000"/>
          <w:bdr w:val="none" w:sz="0" w:space="0" w:color="auto" w:frame="1"/>
          <w:shd w:val="clear" w:color="auto" w:fill="FFFFFF"/>
        </w:rPr>
        <w:t xml:space="preserve"> </w:t>
      </w:r>
      <w:r w:rsidRPr="00143F08" w:rsidR="00F74D0F">
        <w:rPr>
          <w:rStyle w:val="acy"/>
          <w:color w:val="000000"/>
          <w:bdr w:val="none" w:sz="0" w:space="0" w:color="auto" w:frame="1"/>
          <w:shd w:val="clear" w:color="auto" w:fill="FFFFFF"/>
        </w:rPr>
        <w:t xml:space="preserve">that </w:t>
      </w:r>
      <w:r w:rsidRPr="00143F08" w:rsidR="008D08CC">
        <w:rPr>
          <w:rStyle w:val="acy"/>
          <w:color w:val="000000"/>
          <w:bdr w:val="none" w:sz="0" w:space="0" w:color="auto" w:frame="1"/>
          <w:shd w:val="clear" w:color="auto" w:fill="FFFFFF"/>
        </w:rPr>
        <w:t xml:space="preserve">the Commission was contemplating the elimination of the </w:t>
      </w:r>
      <w:r w:rsidR="001630A4">
        <w:rPr>
          <w:rStyle w:val="acy"/>
          <w:color w:val="000000"/>
          <w:bdr w:val="none" w:sz="0" w:space="0" w:color="auto" w:frame="1"/>
          <w:shd w:val="clear" w:color="auto" w:fill="FFFFFF"/>
        </w:rPr>
        <w:t>Water Revenue Adjustment Mechanisms</w:t>
      </w:r>
      <w:r w:rsidRPr="00143F08" w:rsidR="008D08CC">
        <w:rPr>
          <w:rStyle w:val="acy"/>
          <w:color w:val="000000"/>
          <w:bdr w:val="none" w:sz="0" w:space="0" w:color="auto" w:frame="1"/>
          <w:shd w:val="clear" w:color="auto" w:fill="FFFFFF"/>
        </w:rPr>
        <w:t xml:space="preserve"> and </w:t>
      </w:r>
      <w:r w:rsidR="001630A4">
        <w:rPr>
          <w:rStyle w:val="acy"/>
          <w:color w:val="000000"/>
          <w:bdr w:val="none" w:sz="0" w:space="0" w:color="auto" w:frame="1"/>
          <w:shd w:val="clear" w:color="auto" w:fill="FFFFFF"/>
        </w:rPr>
        <w:t>Modified Cost Balancing Accounts.</w:t>
      </w:r>
    </w:p>
    <w:p w:rsidR="00706344" w:rsidP="00726236" w14:paraId="43638EED" w14:textId="77777777">
      <w:pPr>
        <w:pStyle w:val="MemoText"/>
        <w:spacing w:line="400" w:lineRule="exact"/>
      </w:pPr>
      <w:r>
        <w:t>T</w:t>
      </w:r>
      <w:r w:rsidRPr="00143F08" w:rsidR="00755D06">
        <w:t>he</w:t>
      </w:r>
      <w:r w:rsidRPr="00143F08" w:rsidR="00A9046F">
        <w:t xml:space="preserve"> Commission </w:t>
      </w:r>
      <w:r w:rsidR="00C06183">
        <w:t>also</w:t>
      </w:r>
      <w:r>
        <w:t xml:space="preserve"> </w:t>
      </w:r>
      <w:r w:rsidRPr="00143F08" w:rsidR="00275A01">
        <w:t>argues that “the parties had notice that changes to the WRAM/MCBA would be considered in the proceeding because, as a pilot program, the continuation of the WRAM and MCBA was regularly under consideration.”</w:t>
      </w:r>
      <w:r w:rsidR="007E7DD9">
        <w:t xml:space="preserve">  </w:t>
      </w:r>
      <w:r w:rsidRPr="00143F08" w:rsidR="004857D1">
        <w:t xml:space="preserve">That </w:t>
      </w:r>
      <w:r w:rsidRPr="00143F08" w:rsidR="00275A01">
        <w:t xml:space="preserve">argument </w:t>
      </w:r>
      <w:r w:rsidR="001774CB">
        <w:t>misses the mark</w:t>
      </w:r>
      <w:r w:rsidRPr="00143F08" w:rsidR="00F22205">
        <w:t>.</w:t>
      </w:r>
      <w:r w:rsidRPr="00143F08" w:rsidR="008E4314">
        <w:t xml:space="preserve">  This case is about whether </w:t>
      </w:r>
      <w:r w:rsidRPr="00143F08" w:rsidR="00276298">
        <w:t>p</w:t>
      </w:r>
      <w:r w:rsidRPr="00143F08" w:rsidR="008E4314">
        <w:t xml:space="preserve">etitioners had notice that </w:t>
      </w:r>
      <w:r w:rsidRPr="00143F08" w:rsidR="004857D1">
        <w:t>the</w:t>
      </w:r>
      <w:r w:rsidR="003A05B7">
        <w:t>ir</w:t>
      </w:r>
      <w:r w:rsidRPr="00143F08" w:rsidR="004857D1">
        <w:t xml:space="preserve"> WRAM</w:t>
      </w:r>
      <w:r w:rsidR="003A05B7">
        <w:t>s</w:t>
      </w:r>
      <w:r w:rsidRPr="00143F08" w:rsidR="004857D1">
        <w:t xml:space="preserve"> and MCBA</w:t>
      </w:r>
      <w:r w:rsidR="003A05B7">
        <w:t>s</w:t>
      </w:r>
      <w:r w:rsidRPr="00143F08" w:rsidR="004857D1">
        <w:t xml:space="preserve"> were </w:t>
      </w:r>
      <w:r w:rsidRPr="00143F08" w:rsidR="005157E6">
        <w:t xml:space="preserve">under consideration </w:t>
      </w:r>
      <w:r w:rsidRPr="00143F08" w:rsidR="004857D1">
        <w:t xml:space="preserve">in </w:t>
      </w:r>
      <w:r w:rsidRPr="00143F08" w:rsidR="004857D1">
        <w:rPr>
          <w:i/>
          <w:iCs/>
        </w:rPr>
        <w:t>this</w:t>
      </w:r>
      <w:r w:rsidRPr="00143F08" w:rsidR="004857D1">
        <w:t xml:space="preserve"> proceeding, not whether they had notice that the mechanisms could </w:t>
      </w:r>
      <w:r w:rsidRPr="00143F08" w:rsidR="00C30FB3">
        <w:t xml:space="preserve">or even would </w:t>
      </w:r>
      <w:r w:rsidRPr="00143F08" w:rsidR="004857D1">
        <w:t xml:space="preserve">be </w:t>
      </w:r>
      <w:r w:rsidRPr="00143F08" w:rsidR="005157E6">
        <w:t xml:space="preserve">under </w:t>
      </w:r>
      <w:r w:rsidRPr="00143F08" w:rsidR="00F2293B">
        <w:t>frequent re</w:t>
      </w:r>
      <w:r w:rsidRPr="00143F08" w:rsidR="005157E6">
        <w:t>consideration</w:t>
      </w:r>
      <w:r w:rsidRPr="00143F08" w:rsidR="008E6EDB">
        <w:t xml:space="preserve"> in the future</w:t>
      </w:r>
      <w:r w:rsidRPr="00143F08" w:rsidR="00C30FB3">
        <w:t>.</w:t>
      </w:r>
      <w:r w:rsidRPr="00143F08" w:rsidR="00AF62A1">
        <w:t xml:space="preserve">  </w:t>
      </w:r>
      <w:r w:rsidR="00C06183">
        <w:t>Especially when viewed in the context just discussed, such notice was lacking here.</w:t>
      </w:r>
      <w:r>
        <w:t xml:space="preserve">  Likewise, it appears undisputed that each WRAM had been authorized in connection with proceedings in which all relevant information was considered.</w:t>
      </w:r>
      <w:r w:rsidR="007E7DD9">
        <w:t xml:space="preserve">  </w:t>
      </w:r>
      <w:r w:rsidR="00726236">
        <w:t>The absence of a request for such information in the scoping memos is striking.</w:t>
      </w:r>
      <w:r>
        <w:t xml:space="preserve">  </w:t>
      </w:r>
      <w:r w:rsidR="00726236">
        <w:t xml:space="preserve"> </w:t>
      </w:r>
    </w:p>
    <w:p w:rsidR="005B5E55" w:rsidP="00C06183" w14:paraId="43638EEE" w14:textId="77777777">
      <w:pPr>
        <w:pStyle w:val="MemoText"/>
        <w:spacing w:line="400" w:lineRule="exact"/>
      </w:pPr>
      <w:r>
        <w:t>To be sure, i</w:t>
      </w:r>
      <w:r w:rsidRPr="00143F08" w:rsidR="00AF62A1">
        <w:t xml:space="preserve">t would not have been </w:t>
      </w:r>
      <w:r>
        <w:t>improper</w:t>
      </w:r>
      <w:r w:rsidRPr="00143F08" w:rsidR="00AF62A1">
        <w:t xml:space="preserve"> for the Commission to </w:t>
      </w:r>
      <w:r w:rsidR="00974137">
        <w:t>reassess</w:t>
      </w:r>
      <w:r w:rsidRPr="00143F08" w:rsidR="00974137">
        <w:t xml:space="preserve"> </w:t>
      </w:r>
      <w:r w:rsidRPr="00143F08" w:rsidR="0084426F">
        <w:t xml:space="preserve">whether policy considerations supported ending use of </w:t>
      </w:r>
      <w:r w:rsidR="00DD0C66">
        <w:t>the WRAM/MCBA approach</w:t>
      </w:r>
      <w:r w:rsidRPr="00143F08" w:rsidR="00323B90">
        <w:t>, much as it did in the early 2010</w:t>
      </w:r>
      <w:r w:rsidRPr="00143F08" w:rsidR="00276298">
        <w:t>’</w:t>
      </w:r>
      <w:r w:rsidRPr="00143F08" w:rsidR="00323B90">
        <w:t>s, after ordering some of the Water Companies, in upcoming general rate case proceedings, to address whether the WRAM should be eliminated or replaced with an M-WRAM</w:t>
      </w:r>
      <w:r w:rsidRPr="00143F08" w:rsidR="0084426F">
        <w:t xml:space="preserve">.  </w:t>
      </w:r>
      <w:r w:rsidRPr="00143F08" w:rsidR="00323B90">
        <w:t>(</w:t>
      </w:r>
      <w:r w:rsidRPr="00143F08" w:rsidR="0095715E">
        <w:rPr>
          <w:i/>
          <w:iCs/>
        </w:rPr>
        <w:t xml:space="preserve">Decision </w:t>
      </w:r>
      <w:r w:rsidRPr="00143F08" w:rsidR="00FC1F2B">
        <w:rPr>
          <w:i/>
          <w:iCs/>
        </w:rPr>
        <w:t>12-04-048</w:t>
      </w:r>
      <w:r w:rsidRPr="00143F08" w:rsidR="004564BE">
        <w:t xml:space="preserve">, </w:t>
      </w:r>
      <w:r w:rsidRPr="00143F08" w:rsidR="004564BE">
        <w:rPr>
          <w:i/>
          <w:iCs/>
        </w:rPr>
        <w:t>supra</w:t>
      </w:r>
      <w:r w:rsidRPr="00143F08" w:rsidR="004564BE">
        <w:t xml:space="preserve">, 2012 Cal.P.U.C. Lexis </w:t>
      </w:r>
      <w:r w:rsidR="00211D35">
        <w:t xml:space="preserve">191 </w:t>
      </w:r>
      <w:r w:rsidRPr="00143F08" w:rsidR="004564BE">
        <w:t xml:space="preserve">at pp. *61–*62.)  </w:t>
      </w:r>
      <w:r w:rsidRPr="00143F08" w:rsidR="00323B90">
        <w:t>But i</w:t>
      </w:r>
      <w:r w:rsidRPr="00143F08" w:rsidR="0084426F">
        <w:t xml:space="preserve">t was </w:t>
      </w:r>
      <w:r>
        <w:t>improper</w:t>
      </w:r>
      <w:r w:rsidRPr="00143F08" w:rsidR="0084426F">
        <w:t xml:space="preserve"> </w:t>
      </w:r>
      <w:r w:rsidRPr="00143F08" w:rsidR="003D1775">
        <w:t xml:space="preserve">for the Commission </w:t>
      </w:r>
      <w:r w:rsidRPr="00143F08" w:rsidR="0084426F">
        <w:t xml:space="preserve">to do so under the </w:t>
      </w:r>
      <w:r w:rsidRPr="00143F08" w:rsidR="009D4E27">
        <w:t>auspices of the first scoping memo</w:t>
      </w:r>
      <w:r w:rsidRPr="00143F08" w:rsidR="00A17DEE">
        <w:t>, which referred</w:t>
      </w:r>
      <w:r w:rsidRPr="00143F08" w:rsidR="00A828C2">
        <w:t xml:space="preserve"> </w:t>
      </w:r>
      <w:r w:rsidRPr="00143F08" w:rsidR="009D4E27">
        <w:t xml:space="preserve">to </w:t>
      </w:r>
      <w:r w:rsidRPr="00143F08" w:rsidR="008F22D3">
        <w:t xml:space="preserve">improving </w:t>
      </w:r>
      <w:r w:rsidRPr="00143F08" w:rsidR="009D4E27">
        <w:t>forecasting</w:t>
      </w:r>
      <w:r w:rsidRPr="00143F08" w:rsidR="008F22D3">
        <w:t xml:space="preserve"> methodologies</w:t>
      </w:r>
      <w:r w:rsidRPr="00143F08" w:rsidR="00A17DEE">
        <w:t xml:space="preserve"> without making any reference to potential changes </w:t>
      </w:r>
      <w:r w:rsidRPr="00143F08" w:rsidR="00B43636">
        <w:t>to</w:t>
      </w:r>
      <w:r w:rsidR="008843AB">
        <w:t> </w:t>
      </w:r>
      <w:r w:rsidR="001774CB">
        <w:t xml:space="preserve">— </w:t>
      </w:r>
      <w:r w:rsidR="00B16631">
        <w:t>let alone</w:t>
      </w:r>
      <w:r w:rsidRPr="00143F08" w:rsidR="00A17DEE">
        <w:t xml:space="preserve"> wholesale elimination </w:t>
      </w:r>
      <w:r w:rsidRPr="00143F08" w:rsidR="00B43636">
        <w:t>of</w:t>
      </w:r>
      <w:r w:rsidR="008843AB">
        <w:t> </w:t>
      </w:r>
      <w:r w:rsidR="001774CB">
        <w:t xml:space="preserve">— </w:t>
      </w:r>
      <w:r w:rsidR="00D674C8">
        <w:t>that approach</w:t>
      </w:r>
      <w:r w:rsidRPr="00143F08" w:rsidR="009D4E27">
        <w:t>.</w:t>
      </w:r>
    </w:p>
    <w:p w:rsidR="00010C3D" w:rsidRPr="00010C3D" w:rsidP="0055151F" w14:paraId="43638EEF" w14:textId="77777777">
      <w:pPr>
        <w:pStyle w:val="MemoText"/>
        <w:spacing w:line="400" w:lineRule="exact"/>
      </w:pPr>
      <w:r>
        <w:t xml:space="preserve">Finally, </w:t>
      </w:r>
      <w:r w:rsidR="00116A86">
        <w:t xml:space="preserve">the Commission argues that even if </w:t>
      </w:r>
      <w:r w:rsidR="00B30646">
        <w:t xml:space="preserve">the scoping memos were deficient, the </w:t>
      </w:r>
      <w:r w:rsidR="00B64E45">
        <w:t xml:space="preserve">Water Companies </w:t>
      </w:r>
      <w:r w:rsidR="00F658A3">
        <w:t xml:space="preserve">have failed to show that they were prejudiced by the deficiency.  </w:t>
      </w:r>
      <w:r w:rsidR="00512F33">
        <w:t>A</w:t>
      </w:r>
      <w:r w:rsidR="00F658A3">
        <w:t xml:space="preserve">ssuming a showing of prejudice is </w:t>
      </w:r>
      <w:r w:rsidR="00512F33">
        <w:t xml:space="preserve">in fact </w:t>
      </w:r>
      <w:r w:rsidR="00F658A3">
        <w:t xml:space="preserve">required, we disagree; </w:t>
      </w:r>
      <w:r w:rsidR="00EE4D00">
        <w:t>th</w:t>
      </w:r>
      <w:r w:rsidR="00F658A3">
        <w:t>e</w:t>
      </w:r>
      <w:r w:rsidR="00EE4D00">
        <w:t xml:space="preserve"> lack of notice prejudiced the Water Companies</w:t>
      </w:r>
      <w:r w:rsidR="00F4036B">
        <w:t xml:space="preserve"> by depriving them of an adequate opportunity to present their case for preserving the use of decoupling mechanisms</w:t>
      </w:r>
      <w:r w:rsidR="00C06183">
        <w:t>.</w:t>
      </w:r>
      <w:r>
        <w:t xml:space="preserve">  </w:t>
      </w:r>
      <w:r w:rsidR="00B30673">
        <w:t>It is true that once the Public Advocates Office first raised the issue of eliminating use of the WRAM/MCBA, the ALJ posed certain questions on that subject.  But t</w:t>
      </w:r>
      <w:r>
        <w:t xml:space="preserve">he ALJ’s questions, posed years into this proceeding, </w:t>
      </w:r>
      <w:r w:rsidR="00047385">
        <w:t xml:space="preserve">could not and </w:t>
      </w:r>
      <w:r>
        <w:t>did not cure the lack of notice provided by the scoping memos</w:t>
      </w:r>
      <w:r w:rsidR="00B30673">
        <w:t xml:space="preserve">.  </w:t>
      </w:r>
      <w:r w:rsidR="00517DEA">
        <w:t>There is no argument</w:t>
      </w:r>
      <w:r w:rsidR="00B30673">
        <w:t xml:space="preserve"> that the ALJ could expand the scope of the proceeding, and </w:t>
      </w:r>
      <w:r>
        <w:t>the most relevant questions posed</w:t>
      </w:r>
      <w:r w:rsidR="008843AB">
        <w:t> </w:t>
      </w:r>
      <w:r>
        <w:t xml:space="preserve">— “should the Commission </w:t>
      </w:r>
      <w:r w:rsidRPr="009A3EFF">
        <w:t>consider</w:t>
      </w:r>
      <w:r>
        <w:t xml:space="preserve"> converting to </w:t>
      </w:r>
      <w:r w:rsidR="00A959F3">
        <w:t xml:space="preserve">[a] </w:t>
      </w:r>
      <w:r>
        <w:t>Monterey-style WRAM . .</w:t>
      </w:r>
      <w:r w:rsidR="0068435E">
        <w:t> .</w:t>
      </w:r>
      <w:r w:rsidR="00FE7CE9">
        <w:t> </w:t>
      </w:r>
      <w:r>
        <w:t>?  Should this consideration occur in the context of each utility’s GRC?</w:t>
      </w:r>
      <w:r w:rsidR="00B307E7">
        <w:t>”</w:t>
      </w:r>
      <w:r w:rsidR="008843AB">
        <w:t> </w:t>
      </w:r>
      <w:r>
        <w:t xml:space="preserve">— </w:t>
      </w:r>
      <w:r w:rsidR="009A3EFF">
        <w:t xml:space="preserve">are reasonably understood to </w:t>
      </w:r>
      <w:r w:rsidR="00B307E7">
        <w:t>contemplate</w:t>
      </w:r>
      <w:r w:rsidR="009A3EFF">
        <w:t xml:space="preserve"> a separate, future proceeding.</w:t>
      </w:r>
      <w:r w:rsidR="00B64F18">
        <w:t xml:space="preserve">  </w:t>
      </w:r>
      <w:r w:rsidR="009A3EFF">
        <w:t xml:space="preserve">Finally, the record </w:t>
      </w:r>
      <w:r w:rsidR="00F4036B">
        <w:t xml:space="preserve">indicates </w:t>
      </w:r>
      <w:r w:rsidR="009A3EFF">
        <w:t xml:space="preserve">that the lack of notice hampered the Water Companies’ efforts to submit and contest evidence relevant to whether the mechanisms </w:t>
      </w:r>
      <w:r w:rsidR="00FD51FF">
        <w:t xml:space="preserve">at issue </w:t>
      </w:r>
      <w:r w:rsidR="009A3EFF">
        <w:t>should be maintained.</w:t>
      </w:r>
      <w:r w:rsidR="007E7DD9">
        <w:t xml:space="preserve">  </w:t>
      </w:r>
      <w:r w:rsidR="00B81FBB">
        <w:t xml:space="preserve">The Commission was not required to agree with the Water Companies, but its failure to issue an adequate scoping memo frustrated the Water Companies’ ability to </w:t>
      </w:r>
      <w:r w:rsidR="0011387C">
        <w:t xml:space="preserve">advocate </w:t>
      </w:r>
      <w:r w:rsidR="001F254C">
        <w:t xml:space="preserve">effectively </w:t>
      </w:r>
      <w:r w:rsidR="0011387C">
        <w:t>for their position</w:t>
      </w:r>
      <w:r w:rsidR="00B81FBB">
        <w:t>.</w:t>
      </w:r>
      <w:r w:rsidR="00273A5F">
        <w:t xml:space="preserve"> </w:t>
      </w:r>
    </w:p>
    <w:p w:rsidR="00E478C3" w:rsidRPr="00143F08" w:rsidP="00143F08" w14:paraId="43638EF0" w14:textId="77777777">
      <w:pPr>
        <w:pStyle w:val="Heading1"/>
      </w:pPr>
      <w:r w:rsidRPr="00143F08">
        <w:t>I</w:t>
      </w:r>
      <w:r w:rsidRPr="00143F08" w:rsidR="001A3A99">
        <w:t>V</w:t>
      </w:r>
      <w:r w:rsidRPr="00143F08">
        <w:t>.</w:t>
      </w:r>
    </w:p>
    <w:p w:rsidR="00245A46" w:rsidP="003F1FFC" w14:paraId="43638EF1" w14:textId="77777777">
      <w:pPr>
        <w:pStyle w:val="MemoText"/>
        <w:spacing w:line="400" w:lineRule="exact"/>
      </w:pPr>
      <w:r>
        <w:t>We</w:t>
      </w:r>
      <w:r w:rsidRPr="00143F08" w:rsidR="00EB3199">
        <w:t xml:space="preserve"> set aside the </w:t>
      </w:r>
      <w:r w:rsidR="00BE0535">
        <w:t xml:space="preserve">portion of the </w:t>
      </w:r>
      <w:r>
        <w:t>Commission’s order</w:t>
      </w:r>
      <w:r w:rsidR="008337A2">
        <w:t xml:space="preserve">, and the </w:t>
      </w:r>
      <w:r w:rsidR="00AF43C8">
        <w:t xml:space="preserve">accompanying </w:t>
      </w:r>
      <w:r w:rsidR="008337A2">
        <w:t xml:space="preserve">findings </w:t>
      </w:r>
      <w:r w:rsidR="00E90538">
        <w:t>and conclusions</w:t>
      </w:r>
      <w:r w:rsidR="008337A2">
        <w:t>,</w:t>
      </w:r>
      <w:r>
        <w:t xml:space="preserve"> </w:t>
      </w:r>
      <w:r w:rsidR="00AF43C8">
        <w:t xml:space="preserve">directing </w:t>
      </w:r>
      <w:r w:rsidRPr="00143F08">
        <w:t>that the Water Companies, “in their next general rate case applications, shall not propose continuing</w:t>
      </w:r>
      <w:r w:rsidR="00721164">
        <w:t xml:space="preserve"> </w:t>
      </w:r>
      <w:r w:rsidRPr="00143F08">
        <w:t xml:space="preserve">existing Water Revenue Adjustment Mechanisms/Modified Cost Balancing Accounts.”  </w:t>
      </w:r>
      <w:r w:rsidRPr="00143F08" w:rsidR="00EB3199">
        <w:t>(</w:t>
      </w:r>
      <w:r>
        <w:t xml:space="preserve">See </w:t>
      </w:r>
      <w:r w:rsidRPr="00143F08" w:rsidR="00EB3199">
        <w:t>Pub. Util. Code, § 1758.)</w:t>
      </w:r>
      <w:r w:rsidRPr="00143F08" w:rsidR="0020347D">
        <w:t xml:space="preserve">  </w:t>
      </w:r>
    </w:p>
    <w:p w:rsidR="00845E73" w:rsidRPr="00143F08" w:rsidP="00845E73" w14:paraId="43638EF2" w14:textId="77777777">
      <w:pPr>
        <w:pStyle w:val="MemoText"/>
        <w:spacing w:line="400" w:lineRule="exact"/>
      </w:pPr>
    </w:p>
    <w:p w:rsidR="00845E73" w:rsidRPr="00845E73" w:rsidP="00845E73" w14:paraId="43638EF3" w14:textId="77777777">
      <w:pPr>
        <w:pStyle w:val="MemoText"/>
        <w:spacing w:line="400" w:lineRule="exact"/>
        <w:rPr>
          <w:b/>
          <w:bCs/>
        </w:rPr>
      </w:pPr>
      <w:r w:rsidRPr="00143F08">
        <w:tab/>
      </w:r>
      <w:r w:rsidRPr="00143F08">
        <w:tab/>
      </w:r>
      <w:r w:rsidRPr="00143F08">
        <w:tab/>
      </w:r>
      <w:r w:rsidRPr="00143F08">
        <w:tab/>
      </w:r>
      <w:r w:rsidRPr="00143F08">
        <w:tab/>
      </w:r>
      <w:r w:rsidRPr="00143F08">
        <w:tab/>
      </w:r>
      <w:r>
        <w:tab/>
        <w:t xml:space="preserve">   </w:t>
      </w:r>
      <w:r w:rsidR="00B4269C">
        <w:t xml:space="preserve"> </w:t>
      </w:r>
      <w:r>
        <w:t xml:space="preserve">  </w:t>
      </w:r>
      <w:r w:rsidRPr="00845E73">
        <w:rPr>
          <w:b/>
          <w:bCs/>
        </w:rPr>
        <w:t>KRUGER, J.</w:t>
      </w:r>
    </w:p>
    <w:p w:rsidR="00220EE5" w:rsidP="00996824" w14:paraId="43638EF4" w14:textId="77777777">
      <w:pPr>
        <w:pStyle w:val="MemoText"/>
        <w:spacing w:line="400" w:lineRule="exact"/>
        <w:ind w:firstLine="0"/>
        <w:rPr>
          <w:b/>
          <w:bCs/>
        </w:rPr>
      </w:pPr>
      <w:r w:rsidRPr="00BE581A">
        <w:rPr>
          <w:b/>
          <w:bCs/>
        </w:rPr>
        <w:t>We Concur:</w:t>
      </w:r>
    </w:p>
    <w:p w:rsidR="00D0296C" w:rsidP="00D0296C" w14:paraId="43638EF5" w14:textId="4785CA2B">
      <w:pPr>
        <w:pStyle w:val="MemoText"/>
        <w:spacing w:after="0" w:line="240" w:lineRule="auto"/>
        <w:ind w:firstLine="0"/>
        <w:rPr>
          <w:b/>
          <w:bCs/>
        </w:rPr>
      </w:pPr>
      <w:r>
        <w:rPr>
          <w:b/>
          <w:bCs/>
        </w:rPr>
        <w:t>GUERRERO, C.</w:t>
      </w:r>
      <w:r w:rsidR="00ED7F06">
        <w:rPr>
          <w:b/>
          <w:bCs/>
        </w:rPr>
        <w:t> </w:t>
      </w:r>
      <w:r>
        <w:rPr>
          <w:b/>
          <w:bCs/>
        </w:rPr>
        <w:t>J.</w:t>
      </w:r>
    </w:p>
    <w:p w:rsidR="00D0296C" w:rsidP="00D0296C" w14:paraId="43638EF6" w14:textId="77777777">
      <w:pPr>
        <w:pStyle w:val="MemoText"/>
        <w:spacing w:after="0" w:line="240" w:lineRule="auto"/>
        <w:ind w:firstLine="0"/>
        <w:rPr>
          <w:b/>
          <w:bCs/>
        </w:rPr>
      </w:pPr>
      <w:r>
        <w:rPr>
          <w:b/>
          <w:bCs/>
        </w:rPr>
        <w:t>CORRIGAN, J.</w:t>
      </w:r>
    </w:p>
    <w:p w:rsidR="00D0296C" w:rsidP="00D0296C" w14:paraId="43638EF7" w14:textId="77777777">
      <w:pPr>
        <w:pStyle w:val="MemoText"/>
        <w:spacing w:after="0" w:line="240" w:lineRule="auto"/>
        <w:ind w:firstLine="0"/>
        <w:rPr>
          <w:b/>
          <w:bCs/>
        </w:rPr>
      </w:pPr>
      <w:r>
        <w:rPr>
          <w:b/>
          <w:bCs/>
        </w:rPr>
        <w:t>LIU, J.</w:t>
      </w:r>
    </w:p>
    <w:p w:rsidR="00D0296C" w:rsidP="00D0296C" w14:paraId="43638EF8" w14:textId="77777777">
      <w:pPr>
        <w:pStyle w:val="MemoText"/>
        <w:spacing w:after="0" w:line="240" w:lineRule="auto"/>
        <w:ind w:firstLine="0"/>
        <w:rPr>
          <w:b/>
          <w:bCs/>
        </w:rPr>
      </w:pPr>
      <w:r>
        <w:rPr>
          <w:b/>
          <w:bCs/>
        </w:rPr>
        <w:t>GROBAN, J.</w:t>
      </w:r>
    </w:p>
    <w:p w:rsidR="00D0296C" w:rsidP="00D0296C" w14:paraId="43638EF9" w14:textId="77777777">
      <w:pPr>
        <w:pStyle w:val="MemoText"/>
        <w:spacing w:after="0" w:line="240" w:lineRule="auto"/>
        <w:ind w:firstLine="0"/>
        <w:rPr>
          <w:b/>
          <w:bCs/>
        </w:rPr>
      </w:pPr>
      <w:r>
        <w:rPr>
          <w:b/>
          <w:bCs/>
        </w:rPr>
        <w:t>JENKINS, J.</w:t>
      </w:r>
    </w:p>
    <w:p w:rsidR="00D0296C" w:rsidP="00D0296C" w14:paraId="43638EFA" w14:textId="77777777">
      <w:pPr>
        <w:pStyle w:val="MemoText"/>
        <w:spacing w:after="0" w:line="240" w:lineRule="auto"/>
        <w:ind w:firstLine="0"/>
        <w:rPr>
          <w:b/>
          <w:bCs/>
        </w:rPr>
      </w:pPr>
      <w:r>
        <w:rPr>
          <w:b/>
          <w:bCs/>
        </w:rPr>
        <w:t>EVANS, J.</w:t>
      </w:r>
    </w:p>
    <w:p w:rsidR="00216E4F" w:rsidP="00D0296C" w14:paraId="61ED701A" w14:textId="77777777">
      <w:pPr>
        <w:pStyle w:val="MemoText"/>
        <w:spacing w:after="0" w:line="240" w:lineRule="auto"/>
        <w:ind w:firstLine="0"/>
        <w:rPr>
          <w:b/>
          <w:bCs/>
        </w:rPr>
        <w:sectPr w:rsidSect="00151BE6">
          <w:footnotePr>
            <w:numRestart w:val="eachSect"/>
          </w:footnotePr>
          <w:type w:val="continuous"/>
          <w:pgSz w:w="12240" w:h="15840"/>
          <w:pgMar w:top="1800" w:right="2160" w:bottom="1440" w:left="2160" w:header="720" w:footer="720" w:gutter="0"/>
          <w:pgNumType w:start="1"/>
          <w:cols w:space="720"/>
          <w:titlePg/>
          <w:docGrid w:linePitch="367"/>
        </w:sectPr>
      </w:pPr>
    </w:p>
    <w:p w:rsidR="00216E4F" w:rsidRPr="00216E4F" w:rsidP="00216E4F" w14:paraId="65936E9B" w14:textId="77777777">
      <w:pPr>
        <w:spacing w:after="0" w:line="240" w:lineRule="auto"/>
        <w:jc w:val="left"/>
        <w:rPr>
          <w:i/>
          <w:sz w:val="24"/>
          <w:szCs w:val="24"/>
        </w:rPr>
      </w:pPr>
      <w:r w:rsidRPr="00216E4F">
        <w:rPr>
          <w:i/>
          <w:sz w:val="24"/>
          <w:szCs w:val="24"/>
        </w:rPr>
        <w:t>See next page for addresses and telephone numbers for counsel who argued in Supreme Court.</w:t>
      </w:r>
    </w:p>
    <w:p w:rsidR="00216E4F" w:rsidRPr="00216E4F" w:rsidP="00216E4F" w14:paraId="6407190E" w14:textId="77777777">
      <w:pPr>
        <w:spacing w:after="0" w:line="240" w:lineRule="auto"/>
        <w:jc w:val="left"/>
        <w:rPr>
          <w:i/>
          <w:sz w:val="24"/>
          <w:szCs w:val="24"/>
        </w:rPr>
      </w:pPr>
    </w:p>
    <w:p w:rsidR="00216E4F" w:rsidRPr="00216E4F" w:rsidP="00216E4F" w14:paraId="7F592BBD" w14:textId="77777777">
      <w:pPr>
        <w:spacing w:after="0" w:line="240" w:lineRule="auto"/>
        <w:jc w:val="left"/>
        <w:rPr>
          <w:bCs/>
          <w:sz w:val="24"/>
          <w:szCs w:val="24"/>
        </w:rPr>
      </w:pPr>
      <w:r w:rsidRPr="00216E4F">
        <w:rPr>
          <w:b/>
          <w:sz w:val="24"/>
          <w:szCs w:val="24"/>
        </w:rPr>
        <w:t xml:space="preserve">Name of Opinion  </w:t>
      </w:r>
      <w:r w:rsidRPr="00216E4F">
        <w:rPr>
          <w:bCs/>
          <w:sz w:val="24"/>
          <w:szCs w:val="24"/>
        </w:rPr>
        <w:t>Golden State Water Company v. Public Utilities Commission</w:t>
      </w:r>
    </w:p>
    <w:p w:rsidR="00216E4F" w:rsidRPr="00216E4F" w:rsidP="00216E4F" w14:paraId="1AEFE2F4" w14:textId="77777777">
      <w:pPr>
        <w:spacing w:after="0" w:line="240" w:lineRule="auto"/>
        <w:jc w:val="left"/>
        <w:rPr>
          <w:b/>
          <w:sz w:val="24"/>
          <w:szCs w:val="24"/>
        </w:rPr>
      </w:pPr>
      <w:r w:rsidRPr="00216E4F">
        <w:rPr>
          <w:b/>
          <w:sz w:val="24"/>
          <w:szCs w:val="24"/>
        </w:rPr>
        <w:t xml:space="preserve">__________________________________________________________ </w:t>
      </w:r>
    </w:p>
    <w:p w:rsidR="00216E4F" w:rsidRPr="00216E4F" w:rsidP="00216E4F" w14:paraId="7FE276B0" w14:textId="77777777">
      <w:pPr>
        <w:spacing w:after="0" w:line="240" w:lineRule="auto"/>
        <w:jc w:val="left"/>
        <w:rPr>
          <w:b/>
          <w:sz w:val="24"/>
          <w:szCs w:val="24"/>
        </w:rPr>
      </w:pPr>
    </w:p>
    <w:p w:rsidR="00216E4F" w:rsidRPr="00216E4F" w:rsidP="00216E4F" w14:paraId="2DF04C27" w14:textId="77777777">
      <w:pPr>
        <w:spacing w:after="0" w:line="240" w:lineRule="auto"/>
        <w:jc w:val="left"/>
        <w:rPr>
          <w:sz w:val="24"/>
          <w:szCs w:val="24"/>
        </w:rPr>
      </w:pPr>
      <w:r w:rsidRPr="00216E4F">
        <w:rPr>
          <w:b/>
          <w:bCs/>
          <w:sz w:val="24"/>
          <w:szCs w:val="24"/>
          <w:u w:val="single"/>
        </w:rPr>
        <w:t>Procedural Posture</w:t>
      </w:r>
      <w:r w:rsidRPr="00216E4F">
        <w:rPr>
          <w:b/>
          <w:bCs/>
          <w:sz w:val="24"/>
          <w:szCs w:val="24"/>
        </w:rPr>
        <w:t xml:space="preserve"> </w:t>
      </w:r>
      <w:r w:rsidRPr="00216E4F">
        <w:rPr>
          <w:sz w:val="24"/>
          <w:szCs w:val="24"/>
        </w:rPr>
        <w:t>(see XX below)</w:t>
      </w:r>
    </w:p>
    <w:p w:rsidR="00216E4F" w:rsidRPr="00216E4F" w:rsidP="00216E4F" w14:paraId="76A644B6" w14:textId="77777777">
      <w:pPr>
        <w:spacing w:after="0" w:line="240" w:lineRule="auto"/>
        <w:jc w:val="left"/>
        <w:rPr>
          <w:sz w:val="24"/>
          <w:szCs w:val="24"/>
        </w:rPr>
      </w:pPr>
      <w:r w:rsidRPr="00216E4F">
        <w:rPr>
          <w:b/>
          <w:bCs/>
          <w:sz w:val="24"/>
          <w:szCs w:val="24"/>
        </w:rPr>
        <w:t>Original Appeal</w:t>
      </w:r>
      <w:r w:rsidRPr="00216E4F">
        <w:rPr>
          <w:sz w:val="24"/>
          <w:szCs w:val="24"/>
        </w:rPr>
        <w:t xml:space="preserve"> </w:t>
      </w:r>
    </w:p>
    <w:p w:rsidR="00216E4F" w:rsidRPr="00216E4F" w:rsidP="00216E4F" w14:paraId="63A7046F" w14:textId="77777777">
      <w:pPr>
        <w:spacing w:after="0" w:line="240" w:lineRule="auto"/>
        <w:jc w:val="left"/>
        <w:rPr>
          <w:b/>
          <w:bCs/>
          <w:sz w:val="24"/>
          <w:szCs w:val="24"/>
        </w:rPr>
      </w:pPr>
      <w:r w:rsidRPr="00216E4F">
        <w:rPr>
          <w:b/>
          <w:bCs/>
          <w:sz w:val="24"/>
          <w:szCs w:val="24"/>
        </w:rPr>
        <w:t xml:space="preserve">Original Proceeding </w:t>
      </w:r>
      <w:r w:rsidRPr="00216E4F">
        <w:rPr>
          <w:sz w:val="24"/>
          <w:szCs w:val="24"/>
        </w:rPr>
        <w:t>XX</w:t>
      </w:r>
    </w:p>
    <w:p w:rsidR="00216E4F" w:rsidRPr="00216E4F" w:rsidP="00216E4F" w14:paraId="1961FC28" w14:textId="77777777">
      <w:pPr>
        <w:spacing w:after="0" w:line="240" w:lineRule="auto"/>
        <w:jc w:val="left"/>
        <w:rPr>
          <w:sz w:val="24"/>
          <w:szCs w:val="24"/>
        </w:rPr>
      </w:pPr>
      <w:r w:rsidRPr="00216E4F">
        <w:rPr>
          <w:b/>
          <w:bCs/>
          <w:sz w:val="24"/>
          <w:szCs w:val="24"/>
        </w:rPr>
        <w:t>Review Granted</w:t>
      </w:r>
      <w:r w:rsidRPr="00216E4F">
        <w:rPr>
          <w:sz w:val="24"/>
          <w:szCs w:val="24"/>
        </w:rPr>
        <w:t xml:space="preserve"> </w:t>
      </w:r>
      <w:r w:rsidRPr="00216E4F">
        <w:rPr>
          <w:b/>
          <w:bCs/>
          <w:sz w:val="24"/>
          <w:szCs w:val="24"/>
        </w:rPr>
        <w:t>(published)</w:t>
      </w:r>
    </w:p>
    <w:p w:rsidR="00216E4F" w:rsidRPr="00216E4F" w:rsidP="00216E4F" w14:paraId="5F13383C" w14:textId="77777777">
      <w:pPr>
        <w:spacing w:after="0" w:line="240" w:lineRule="auto"/>
        <w:jc w:val="left"/>
        <w:rPr>
          <w:sz w:val="24"/>
          <w:szCs w:val="24"/>
        </w:rPr>
      </w:pPr>
      <w:r w:rsidRPr="00216E4F">
        <w:rPr>
          <w:b/>
          <w:bCs/>
          <w:sz w:val="24"/>
          <w:szCs w:val="24"/>
        </w:rPr>
        <w:t xml:space="preserve">Review Granted (unpublished) </w:t>
      </w:r>
    </w:p>
    <w:p w:rsidR="00216E4F" w:rsidRPr="00216E4F" w:rsidP="00216E4F" w14:paraId="7F614E5A" w14:textId="77777777">
      <w:pPr>
        <w:spacing w:after="0" w:line="240" w:lineRule="auto"/>
        <w:jc w:val="left"/>
        <w:rPr>
          <w:b/>
          <w:bCs/>
          <w:sz w:val="24"/>
          <w:szCs w:val="24"/>
        </w:rPr>
      </w:pPr>
      <w:r w:rsidRPr="00216E4F">
        <w:rPr>
          <w:b/>
          <w:bCs/>
          <w:sz w:val="24"/>
          <w:szCs w:val="24"/>
        </w:rPr>
        <w:t>Rehearing Granted</w:t>
      </w:r>
    </w:p>
    <w:p w:rsidR="00216E4F" w:rsidRPr="00216E4F" w:rsidP="00216E4F" w14:paraId="5307DCDD" w14:textId="77777777">
      <w:pPr>
        <w:spacing w:after="0" w:line="240" w:lineRule="auto"/>
        <w:jc w:val="left"/>
        <w:rPr>
          <w:b/>
          <w:sz w:val="24"/>
          <w:szCs w:val="24"/>
        </w:rPr>
      </w:pPr>
      <w:r w:rsidRPr="00216E4F">
        <w:rPr>
          <w:b/>
          <w:sz w:val="24"/>
          <w:szCs w:val="24"/>
        </w:rPr>
        <w:t xml:space="preserve">__________________________________________________________ </w:t>
      </w:r>
    </w:p>
    <w:p w:rsidR="00216E4F" w:rsidRPr="00216E4F" w:rsidP="00216E4F" w14:paraId="6FB0E206" w14:textId="77777777">
      <w:pPr>
        <w:spacing w:after="0" w:line="240" w:lineRule="auto"/>
        <w:jc w:val="left"/>
        <w:rPr>
          <w:b/>
          <w:sz w:val="24"/>
          <w:szCs w:val="24"/>
        </w:rPr>
      </w:pPr>
    </w:p>
    <w:p w:rsidR="00216E4F" w:rsidRPr="00216E4F" w:rsidP="00216E4F" w14:paraId="6FDBF4EA" w14:textId="77777777">
      <w:pPr>
        <w:spacing w:after="0" w:line="240" w:lineRule="auto"/>
        <w:jc w:val="left"/>
        <w:rPr>
          <w:bCs/>
          <w:sz w:val="24"/>
          <w:szCs w:val="24"/>
        </w:rPr>
      </w:pPr>
      <w:r w:rsidRPr="00216E4F">
        <w:rPr>
          <w:b/>
          <w:sz w:val="24"/>
          <w:szCs w:val="24"/>
        </w:rPr>
        <w:t>Opinion Nos.</w:t>
      </w:r>
      <w:r w:rsidRPr="00216E4F">
        <w:rPr>
          <w:sz w:val="24"/>
          <w:szCs w:val="24"/>
        </w:rPr>
        <w:t xml:space="preserve"> S269099, S271493</w:t>
      </w:r>
    </w:p>
    <w:p w:rsidR="00216E4F" w:rsidRPr="00216E4F" w:rsidP="00216E4F" w14:paraId="644FB535" w14:textId="77777777">
      <w:pPr>
        <w:spacing w:after="0" w:line="240" w:lineRule="auto"/>
        <w:jc w:val="left"/>
        <w:rPr>
          <w:bCs/>
          <w:sz w:val="24"/>
          <w:szCs w:val="24"/>
        </w:rPr>
      </w:pPr>
      <w:r w:rsidRPr="00216E4F">
        <w:rPr>
          <w:b/>
          <w:sz w:val="24"/>
          <w:szCs w:val="24"/>
        </w:rPr>
        <w:t>Date Filed:</w:t>
      </w:r>
      <w:r w:rsidRPr="00216E4F">
        <w:rPr>
          <w:sz w:val="24"/>
          <w:szCs w:val="24"/>
        </w:rPr>
        <w:t xml:space="preserve">  July 8, 2024</w:t>
      </w:r>
    </w:p>
    <w:p w:rsidR="00216E4F" w:rsidRPr="00216E4F" w:rsidP="00216E4F" w14:paraId="60E7AA5D" w14:textId="77777777">
      <w:pPr>
        <w:spacing w:after="0" w:line="240" w:lineRule="auto"/>
        <w:jc w:val="left"/>
        <w:rPr>
          <w:b/>
          <w:sz w:val="24"/>
          <w:szCs w:val="24"/>
        </w:rPr>
      </w:pPr>
      <w:r w:rsidRPr="00216E4F">
        <w:rPr>
          <w:b/>
          <w:sz w:val="24"/>
          <w:szCs w:val="24"/>
        </w:rPr>
        <w:t xml:space="preserve">__________________________________________________________ </w:t>
      </w:r>
    </w:p>
    <w:p w:rsidR="00216E4F" w:rsidRPr="00216E4F" w:rsidP="00216E4F" w14:paraId="327F9225" w14:textId="77777777">
      <w:pPr>
        <w:spacing w:after="0" w:line="240" w:lineRule="auto"/>
        <w:jc w:val="left"/>
        <w:rPr>
          <w:b/>
          <w:sz w:val="24"/>
          <w:szCs w:val="24"/>
        </w:rPr>
      </w:pPr>
    </w:p>
    <w:p w:rsidR="00216E4F" w:rsidRPr="00216E4F" w:rsidP="00216E4F" w14:paraId="63165F8B" w14:textId="77777777">
      <w:pPr>
        <w:spacing w:after="0" w:line="240" w:lineRule="auto"/>
        <w:jc w:val="left"/>
        <w:rPr>
          <w:bCs/>
          <w:sz w:val="24"/>
          <w:szCs w:val="24"/>
        </w:rPr>
      </w:pPr>
      <w:r w:rsidRPr="00216E4F">
        <w:rPr>
          <w:b/>
          <w:sz w:val="24"/>
          <w:szCs w:val="24"/>
        </w:rPr>
        <w:t xml:space="preserve">Court:  </w:t>
      </w:r>
    </w:p>
    <w:p w:rsidR="00216E4F" w:rsidRPr="00216E4F" w:rsidP="00216E4F" w14:paraId="6C5C49FC" w14:textId="77777777">
      <w:pPr>
        <w:spacing w:after="0" w:line="240" w:lineRule="auto"/>
        <w:jc w:val="left"/>
        <w:rPr>
          <w:bCs/>
          <w:sz w:val="24"/>
          <w:szCs w:val="24"/>
        </w:rPr>
      </w:pPr>
      <w:r w:rsidRPr="00216E4F">
        <w:rPr>
          <w:b/>
          <w:sz w:val="24"/>
          <w:szCs w:val="24"/>
        </w:rPr>
        <w:t xml:space="preserve">County:  </w:t>
      </w:r>
    </w:p>
    <w:p w:rsidR="00216E4F" w:rsidRPr="00216E4F" w:rsidP="00216E4F" w14:paraId="2B8F375E" w14:textId="77777777">
      <w:pPr>
        <w:spacing w:after="0" w:line="240" w:lineRule="auto"/>
        <w:ind w:left="720" w:hanging="720"/>
        <w:jc w:val="left"/>
        <w:rPr>
          <w:bCs/>
          <w:sz w:val="24"/>
          <w:szCs w:val="24"/>
        </w:rPr>
      </w:pPr>
      <w:r w:rsidRPr="00216E4F">
        <w:rPr>
          <w:b/>
          <w:sz w:val="24"/>
          <w:szCs w:val="24"/>
        </w:rPr>
        <w:t xml:space="preserve">Judge: </w:t>
      </w:r>
      <w:r w:rsidRPr="00216E4F">
        <w:rPr>
          <w:bCs/>
          <w:sz w:val="24"/>
          <w:szCs w:val="24"/>
        </w:rPr>
        <w:t xml:space="preserve"> </w:t>
      </w:r>
    </w:p>
    <w:p w:rsidR="00216E4F" w:rsidRPr="00216E4F" w:rsidP="00216E4F" w14:paraId="304BDD80" w14:textId="77777777">
      <w:pPr>
        <w:spacing w:after="0" w:line="240" w:lineRule="auto"/>
        <w:jc w:val="left"/>
        <w:rPr>
          <w:b/>
          <w:sz w:val="24"/>
          <w:szCs w:val="24"/>
        </w:rPr>
      </w:pPr>
      <w:r w:rsidRPr="00216E4F">
        <w:rPr>
          <w:b/>
          <w:sz w:val="24"/>
          <w:szCs w:val="24"/>
        </w:rPr>
        <w:t xml:space="preserve">__________________________________________________________  </w:t>
      </w:r>
    </w:p>
    <w:p w:rsidR="00216E4F" w:rsidRPr="00216E4F" w:rsidP="00216E4F" w14:paraId="697D54DC" w14:textId="77777777">
      <w:pPr>
        <w:spacing w:after="0" w:line="240" w:lineRule="auto"/>
        <w:jc w:val="left"/>
        <w:rPr>
          <w:b/>
          <w:sz w:val="24"/>
          <w:szCs w:val="24"/>
        </w:rPr>
      </w:pPr>
    </w:p>
    <w:p w:rsidR="00216E4F" w:rsidRPr="00216E4F" w:rsidP="00216E4F" w14:paraId="082D6234" w14:textId="77777777">
      <w:pPr>
        <w:spacing w:after="0" w:line="240" w:lineRule="auto"/>
        <w:jc w:val="left"/>
        <w:rPr>
          <w:b/>
          <w:sz w:val="24"/>
          <w:szCs w:val="24"/>
        </w:rPr>
      </w:pPr>
      <w:r w:rsidRPr="00216E4F">
        <w:rPr>
          <w:b/>
          <w:sz w:val="24"/>
          <w:szCs w:val="24"/>
        </w:rPr>
        <w:t>Counsel:</w:t>
      </w:r>
    </w:p>
    <w:p w:rsidR="00216E4F" w:rsidRPr="00216E4F" w:rsidP="00216E4F" w14:paraId="501D160B" w14:textId="77777777">
      <w:pPr>
        <w:spacing w:after="0" w:line="240" w:lineRule="auto"/>
        <w:jc w:val="left"/>
        <w:rPr>
          <w:b/>
          <w:sz w:val="24"/>
          <w:szCs w:val="24"/>
        </w:rPr>
      </w:pPr>
    </w:p>
    <w:p w:rsidR="00216E4F" w:rsidRPr="00216E4F" w:rsidP="00216E4F" w14:paraId="06E383D5" w14:textId="77777777">
      <w:pPr>
        <w:spacing w:after="0" w:line="240" w:lineRule="auto"/>
        <w:jc w:val="left"/>
        <w:rPr>
          <w:bCs/>
          <w:sz w:val="24"/>
          <w:szCs w:val="24"/>
        </w:rPr>
      </w:pPr>
      <w:r w:rsidRPr="00216E4F">
        <w:rPr>
          <w:bCs/>
          <w:sz w:val="24"/>
          <w:szCs w:val="24"/>
        </w:rPr>
        <w:t>Sheppard, Mullin, Richter &amp; Hampton, Joseph M. Karp, Christine A. Kolosov, Robert J. Stumpf, Jr., John D. Ellis; Nossaman, Lori Anne Dolqueist, Willis Hon, Martin A. Mattes, Alexander J. Van Roekel; California-American Water Company, Sarah E. Leeper; Prospera Law, Victor T. Fu and Joni A. Templeton for Petitioners.</w:t>
      </w:r>
    </w:p>
    <w:p w:rsidR="00216E4F" w:rsidRPr="00216E4F" w:rsidP="00216E4F" w14:paraId="61454211" w14:textId="77777777">
      <w:pPr>
        <w:spacing w:after="0" w:line="240" w:lineRule="auto"/>
        <w:jc w:val="left"/>
        <w:rPr>
          <w:bCs/>
          <w:sz w:val="24"/>
          <w:szCs w:val="24"/>
        </w:rPr>
      </w:pPr>
    </w:p>
    <w:p w:rsidR="00216E4F" w:rsidRPr="00216E4F" w:rsidP="00216E4F" w14:paraId="39046F27" w14:textId="77777777">
      <w:pPr>
        <w:spacing w:after="0" w:line="240" w:lineRule="auto"/>
        <w:jc w:val="left"/>
        <w:rPr>
          <w:bCs/>
          <w:sz w:val="24"/>
          <w:szCs w:val="24"/>
        </w:rPr>
      </w:pPr>
      <w:r w:rsidRPr="00216E4F">
        <w:rPr>
          <w:bCs/>
          <w:sz w:val="24"/>
          <w:szCs w:val="24"/>
        </w:rPr>
        <w:t>BRB Law, Patrick M. Rosvall and Sarah J. Banola for National Association of Water Companies as Amicus Curiae on behalf of Petitioners.</w:t>
      </w:r>
    </w:p>
    <w:p w:rsidR="00216E4F" w:rsidRPr="00216E4F" w:rsidP="00216E4F" w14:paraId="7A28F0FF" w14:textId="77777777">
      <w:pPr>
        <w:spacing w:after="0" w:line="240" w:lineRule="auto"/>
        <w:jc w:val="left"/>
        <w:rPr>
          <w:bCs/>
          <w:sz w:val="24"/>
          <w:szCs w:val="24"/>
        </w:rPr>
      </w:pPr>
    </w:p>
    <w:p w:rsidR="00216E4F" w:rsidRPr="00216E4F" w:rsidP="00216E4F" w14:paraId="0FB271EF" w14:textId="77777777">
      <w:pPr>
        <w:spacing w:after="0" w:line="240" w:lineRule="auto"/>
        <w:jc w:val="left"/>
        <w:rPr>
          <w:bCs/>
          <w:sz w:val="24"/>
          <w:szCs w:val="24"/>
        </w:rPr>
      </w:pPr>
      <w:r w:rsidRPr="00216E4F">
        <w:rPr>
          <w:bCs/>
          <w:sz w:val="24"/>
          <w:szCs w:val="24"/>
        </w:rPr>
        <w:t>Christine Hammond, Dale Holzschuh and Darlene M. Clark for Respondent.</w:t>
      </w:r>
    </w:p>
    <w:p w:rsidR="00216E4F" w:rsidRPr="00216E4F" w:rsidP="00216E4F" w14:paraId="4BC984B6" w14:textId="77777777">
      <w:pPr>
        <w:spacing w:after="0" w:line="240" w:lineRule="auto"/>
        <w:jc w:val="left"/>
        <w:rPr>
          <w:color w:val="212121"/>
          <w:sz w:val="24"/>
          <w:szCs w:val="24"/>
          <w:shd w:val="clear" w:color="auto" w:fill="FFFFFF"/>
        </w:rPr>
      </w:pPr>
      <w:r w:rsidRPr="00216E4F">
        <w:rPr>
          <w:color w:val="212121"/>
          <w:sz w:val="24"/>
          <w:szCs w:val="24"/>
          <w:shd w:val="clear" w:color="auto" w:fill="FFFFFF"/>
        </w:rPr>
        <w:br w:type="page"/>
      </w:r>
      <w:r w:rsidRPr="00216E4F">
        <w:rPr>
          <w:b/>
          <w:sz w:val="24"/>
          <w:szCs w:val="24"/>
        </w:rPr>
        <w:t xml:space="preserve">Counsel who argued in Supreme Court (not intended for publication with opinion): </w:t>
      </w:r>
    </w:p>
    <w:p w:rsidR="00216E4F" w:rsidRPr="00216E4F" w:rsidP="00216E4F" w14:paraId="0CF51E60" w14:textId="77777777">
      <w:pPr>
        <w:spacing w:after="0" w:line="240" w:lineRule="auto"/>
        <w:jc w:val="left"/>
        <w:rPr>
          <w:sz w:val="24"/>
          <w:szCs w:val="24"/>
        </w:rPr>
      </w:pPr>
    </w:p>
    <w:p w:rsidR="00216E4F" w:rsidRPr="00216E4F" w:rsidP="00216E4F" w14:paraId="329AFDB3" w14:textId="77777777">
      <w:pPr>
        <w:spacing w:after="0" w:line="240" w:lineRule="auto"/>
        <w:jc w:val="left"/>
        <w:rPr>
          <w:bCs/>
          <w:sz w:val="24"/>
          <w:szCs w:val="24"/>
        </w:rPr>
      </w:pPr>
      <w:r w:rsidRPr="00216E4F">
        <w:rPr>
          <w:bCs/>
          <w:sz w:val="24"/>
          <w:szCs w:val="24"/>
        </w:rPr>
        <w:t>Sheppard, Mullin, Richter &amp; Hampton LLP</w:t>
      </w:r>
    </w:p>
    <w:p w:rsidR="00216E4F" w:rsidRPr="00216E4F" w:rsidP="00216E4F" w14:paraId="7F039809" w14:textId="77777777">
      <w:pPr>
        <w:spacing w:after="0" w:line="240" w:lineRule="auto"/>
        <w:jc w:val="left"/>
        <w:rPr>
          <w:bCs/>
          <w:sz w:val="24"/>
          <w:szCs w:val="24"/>
        </w:rPr>
      </w:pPr>
      <w:r w:rsidRPr="00216E4F">
        <w:rPr>
          <w:bCs/>
          <w:sz w:val="24"/>
          <w:szCs w:val="24"/>
        </w:rPr>
        <w:t>Joseph M. Karp</w:t>
      </w:r>
    </w:p>
    <w:p w:rsidR="00216E4F" w:rsidRPr="00216E4F" w:rsidP="00216E4F" w14:paraId="47EC9392" w14:textId="77777777">
      <w:pPr>
        <w:spacing w:after="0" w:line="240" w:lineRule="auto"/>
        <w:jc w:val="left"/>
        <w:rPr>
          <w:bCs/>
          <w:sz w:val="24"/>
          <w:szCs w:val="24"/>
        </w:rPr>
      </w:pPr>
      <w:r w:rsidRPr="00216E4F">
        <w:rPr>
          <w:bCs/>
          <w:sz w:val="24"/>
          <w:szCs w:val="24"/>
        </w:rPr>
        <w:t>Four Embarcadero Center, 17th Floor</w:t>
      </w:r>
    </w:p>
    <w:p w:rsidR="00216E4F" w:rsidRPr="00216E4F" w:rsidP="00216E4F" w14:paraId="59E61D15" w14:textId="77777777">
      <w:pPr>
        <w:spacing w:after="0" w:line="240" w:lineRule="auto"/>
        <w:jc w:val="left"/>
        <w:rPr>
          <w:sz w:val="24"/>
          <w:szCs w:val="24"/>
        </w:rPr>
      </w:pPr>
      <w:r w:rsidRPr="00216E4F">
        <w:rPr>
          <w:sz w:val="24"/>
          <w:szCs w:val="24"/>
        </w:rPr>
        <w:t>San Francisco, CA 94111</w:t>
      </w:r>
    </w:p>
    <w:p w:rsidR="00216E4F" w:rsidRPr="00216E4F" w:rsidP="00216E4F" w14:paraId="6BF68EAF" w14:textId="77777777">
      <w:pPr>
        <w:spacing w:after="0" w:line="240" w:lineRule="auto"/>
        <w:jc w:val="left"/>
        <w:rPr>
          <w:sz w:val="24"/>
          <w:szCs w:val="24"/>
        </w:rPr>
      </w:pPr>
      <w:r w:rsidRPr="00216E4F">
        <w:rPr>
          <w:sz w:val="24"/>
          <w:szCs w:val="24"/>
        </w:rPr>
        <w:t>(415) 774-3118</w:t>
      </w:r>
    </w:p>
    <w:p w:rsidR="00216E4F" w:rsidRPr="00216E4F" w:rsidP="00216E4F" w14:paraId="6CCCCA87" w14:textId="77777777">
      <w:pPr>
        <w:spacing w:after="0" w:line="240" w:lineRule="auto"/>
        <w:jc w:val="left"/>
        <w:rPr>
          <w:sz w:val="24"/>
          <w:szCs w:val="24"/>
        </w:rPr>
      </w:pPr>
    </w:p>
    <w:p w:rsidR="00216E4F" w:rsidRPr="00216E4F" w:rsidP="00216E4F" w14:paraId="0782A019" w14:textId="77777777">
      <w:pPr>
        <w:spacing w:after="0" w:line="240" w:lineRule="auto"/>
        <w:jc w:val="left"/>
        <w:rPr>
          <w:sz w:val="24"/>
          <w:szCs w:val="24"/>
        </w:rPr>
      </w:pPr>
      <w:r w:rsidRPr="00216E4F">
        <w:rPr>
          <w:sz w:val="24"/>
          <w:szCs w:val="24"/>
        </w:rPr>
        <w:t>Darlene M. Clark</w:t>
      </w:r>
    </w:p>
    <w:p w:rsidR="00216E4F" w:rsidRPr="00216E4F" w:rsidP="00216E4F" w14:paraId="394486B8" w14:textId="77777777">
      <w:pPr>
        <w:spacing w:after="0" w:line="240" w:lineRule="auto"/>
        <w:jc w:val="left"/>
        <w:rPr>
          <w:sz w:val="24"/>
          <w:szCs w:val="24"/>
        </w:rPr>
      </w:pPr>
      <w:r w:rsidRPr="00216E4F">
        <w:rPr>
          <w:sz w:val="24"/>
          <w:szCs w:val="24"/>
        </w:rPr>
        <w:t>505 Van Ness Avenue</w:t>
      </w:r>
    </w:p>
    <w:p w:rsidR="00216E4F" w:rsidRPr="00216E4F" w:rsidP="00216E4F" w14:paraId="14F11E0F" w14:textId="77777777">
      <w:pPr>
        <w:spacing w:after="0" w:line="240" w:lineRule="auto"/>
        <w:jc w:val="left"/>
        <w:rPr>
          <w:sz w:val="24"/>
          <w:szCs w:val="24"/>
        </w:rPr>
      </w:pPr>
      <w:r w:rsidRPr="00216E4F">
        <w:rPr>
          <w:sz w:val="24"/>
          <w:szCs w:val="24"/>
        </w:rPr>
        <w:t>San Francisco, CA 94102</w:t>
      </w:r>
    </w:p>
    <w:p w:rsidR="00216E4F" w:rsidRPr="00216E4F" w:rsidP="00216E4F" w14:paraId="011AD76E" w14:textId="77777777">
      <w:pPr>
        <w:spacing w:after="0" w:line="240" w:lineRule="auto"/>
        <w:jc w:val="left"/>
        <w:rPr>
          <w:sz w:val="24"/>
          <w:szCs w:val="24"/>
        </w:rPr>
      </w:pPr>
      <w:r w:rsidRPr="00216E4F">
        <w:rPr>
          <w:sz w:val="24"/>
          <w:szCs w:val="24"/>
        </w:rPr>
        <w:t>(415) 703-1650</w:t>
      </w:r>
    </w:p>
    <w:p w:rsidR="004958A4" w:rsidRPr="00996824" w:rsidP="00D0296C" w14:paraId="72EFE2E2" w14:textId="77777777">
      <w:pPr>
        <w:pStyle w:val="MemoText"/>
        <w:spacing w:after="0" w:line="240" w:lineRule="auto"/>
        <w:ind w:firstLine="0"/>
        <w:rPr>
          <w:b/>
          <w:bCs/>
        </w:rPr>
      </w:pPr>
    </w:p>
    <w:sectPr w:rsidSect="00EC2BB8">
      <w:headerReference w:type="default" r:id="rId12"/>
      <w:footerReference w:type="default" r:id="rId13"/>
      <w:pgSz w:w="12240" w:h="15840"/>
      <w:pgMar w:top="1800" w:right="2160" w:bottom="1440" w:left="2160" w:header="720" w:footer="720" w:gutter="0"/>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43F08" w14:paraId="43638F01" w14:textId="77777777">
    <w:pPr>
      <w:pStyle w:val="Footer"/>
    </w:pPr>
    <w:r>
      <w:fldChar w:fldCharType="begin"/>
    </w:r>
    <w:r>
      <w:instrText>PAGE</w:instrText>
    </w:r>
    <w:r>
      <w:fldChar w:fldCharType="separate"/>
    </w:r>
    <w:r>
      <w:rPr>
        <w:noProof/>
      </w:rPr>
      <w:t>47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11413" w14:paraId="43638F02" w14:textId="77777777">
    <w:pPr>
      <w:pStyle w:val="Footer"/>
    </w:pPr>
  </w:p>
  <w:p w:rsidR="00F11413" w14:paraId="43638F0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221D" w:rsidP="00E478C3" w14:paraId="43638F07" w14:textId="77777777">
    <w:pPr>
      <w:pStyle w:val="Footer"/>
    </w:pPr>
    <w:r>
      <w:br/>
    </w:r>
    <w:r>
      <w:fldChar w:fldCharType="begin"/>
    </w:r>
    <w:r>
      <w:instrText>PAGE</w:instrText>
    </w:r>
    <w:r>
      <w:fldChar w:fldCharType="separate"/>
    </w:r>
    <w:r>
      <w:rPr>
        <w:noProof/>
      </w:rPr>
      <w:t>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0E41" w14:paraId="022FBE9D" w14:textId="77777777">
    <w:pPr>
      <w:pStyle w:val="Footer"/>
    </w:pPr>
  </w:p>
  <w:p w:rsidR="008A6284" w14:paraId="43638F08" w14:textId="7EC90E1F">
    <w:pPr>
      <w:pStyle w:val="Footer"/>
    </w:pPr>
    <w: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6E4F" w:rsidRPr="00216E4F" w:rsidP="00216E4F" w14:paraId="1EFE3D76" w14:textId="03989D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E31CA" w14:paraId="49F8380F" w14:textId="77777777">
      <w:r>
        <w:separator/>
      </w:r>
    </w:p>
  </w:footnote>
  <w:footnote w:type="continuationSeparator" w:id="1">
    <w:p w:rsidR="007E31CA" w14:paraId="4B5AABFC" w14:textId="77777777">
      <w:r>
        <w:continuationSeparator/>
      </w:r>
    </w:p>
  </w:footnote>
  <w:footnote w:type="continuationNotice" w:id="2">
    <w:p w:rsidR="007E31CA" w14:paraId="2F75710D" w14:textId="77777777"/>
  </w:footnote>
  <w:footnote w:id="3">
    <w:p w:rsidR="008D7013" w:rsidRPr="003108AF" w14:paraId="43638F0A" w14:textId="77777777">
      <w:pPr>
        <w:pStyle w:val="FootnoteText"/>
      </w:pPr>
      <w:r>
        <w:rPr>
          <w:rStyle w:val="FootnoteReference"/>
        </w:rPr>
        <w:footnoteRef/>
      </w:r>
      <w:r>
        <w:t xml:space="preserve"> </w:t>
      </w:r>
      <w:r w:rsidR="00B4269C">
        <w:tab/>
      </w:r>
      <w:r>
        <w:t xml:space="preserve">Consolidated with </w:t>
      </w:r>
      <w:r>
        <w:rPr>
          <w:i/>
          <w:iCs/>
        </w:rPr>
        <w:t>California-American Water Company</w:t>
      </w:r>
      <w:r w:rsidR="003108AF">
        <w:rPr>
          <w:i/>
          <w:iCs/>
        </w:rPr>
        <w:t xml:space="preserve"> </w:t>
      </w:r>
      <w:r w:rsidR="004D0F09">
        <w:rPr>
          <w:i/>
          <w:iCs/>
        </w:rPr>
        <w:t xml:space="preserve">et al. </w:t>
      </w:r>
      <w:r w:rsidR="003108AF">
        <w:rPr>
          <w:i/>
          <w:iCs/>
        </w:rPr>
        <w:t>v. Public Utilities Commission</w:t>
      </w:r>
      <w:r w:rsidR="003108AF">
        <w:t xml:space="preserve"> (S271493)</w:t>
      </w:r>
      <w:r w:rsidR="00813DAA">
        <w:t>.</w:t>
      </w:r>
    </w:p>
  </w:footnote>
  <w:footnote w:id="4">
    <w:p w:rsidR="0032750E" w:rsidP="00143F08" w14:paraId="43638F0B" w14:textId="77777777">
      <w:pPr>
        <w:pStyle w:val="FootnoteText"/>
      </w:pPr>
      <w:r>
        <w:rPr>
          <w:rStyle w:val="FootnoteReference"/>
        </w:rPr>
        <w:footnoteRef/>
      </w:r>
      <w:r>
        <w:t xml:space="preserve"> </w:t>
      </w:r>
      <w:r w:rsidR="00E96A53">
        <w:tab/>
        <w:t xml:space="preserve">Other, smaller utilities must also seek the Commission’s approval to change </w:t>
      </w:r>
      <w:r w:rsidR="00497C04">
        <w:t xml:space="preserve">the </w:t>
      </w:r>
      <w:r w:rsidR="00E96A53">
        <w:t>rates</w:t>
      </w:r>
      <w:r w:rsidR="00497C04">
        <w:t xml:space="preserve"> they charge customers</w:t>
      </w:r>
      <w:r w:rsidR="00E96A53">
        <w:t>.</w:t>
      </w:r>
      <w:r w:rsidR="0006527B">
        <w:t xml:space="preserve">  (See, e.g., Pub. Util. Code, § 454, subd. (b).)</w:t>
      </w:r>
    </w:p>
  </w:footnote>
  <w:footnote w:id="5">
    <w:p w:rsidR="00773D72" w:rsidP="006D6DBF" w14:paraId="43638F0C" w14:textId="77777777">
      <w:pPr>
        <w:pStyle w:val="FootnoteText"/>
      </w:pPr>
      <w:r>
        <w:rPr>
          <w:rStyle w:val="FootnoteReference"/>
        </w:rPr>
        <w:footnoteRef/>
      </w:r>
      <w:r>
        <w:t xml:space="preserve"> </w:t>
      </w:r>
      <w:r>
        <w:tab/>
      </w:r>
      <w:r w:rsidRPr="00D75840">
        <w:t xml:space="preserve">Several months later, the </w:t>
      </w:r>
      <w:r w:rsidR="00646E25">
        <w:t>a</w:t>
      </w:r>
      <w:r w:rsidRPr="00D75840">
        <w:t xml:space="preserve">ssigned </w:t>
      </w:r>
      <w:r w:rsidR="00646E25">
        <w:t>c</w:t>
      </w:r>
      <w:r w:rsidRPr="00D75840">
        <w:t>ommissioner issued a second amended scoping memo “to request comments to consider potential Commission response to the COVID-19 pandemic and initiate[] Phase II” of the rulemaking.  The additional questions set out in the ruling concern Phase II of the rulemaking and are not at issue here.</w:t>
      </w:r>
    </w:p>
  </w:footnote>
  <w:footnote w:id="6">
    <w:p w:rsidR="00210302" w:rsidRPr="00816400" w:rsidP="00210302" w14:paraId="43638F0D" w14:textId="77777777">
      <w:pPr>
        <w:pStyle w:val="FootnoteText"/>
      </w:pPr>
      <w:r>
        <w:rPr>
          <w:rStyle w:val="FootnoteReference"/>
        </w:rPr>
        <w:footnoteRef/>
      </w:r>
      <w:r>
        <w:t xml:space="preserve"> </w:t>
      </w:r>
      <w:r>
        <w:tab/>
        <w:t xml:space="preserve">Indeed, even the Commission’s position on what the legislation requires appears to have evolved.  In its motion to dismiss, the Commission argued that “[a]s a result of SB 1469, the water companies are now authorized to file for </w:t>
      </w:r>
      <w:r>
        <w:rPr>
          <w:i/>
          <w:iCs/>
        </w:rPr>
        <w:t>WRAM/MCBA</w:t>
      </w:r>
      <w:r>
        <w:t xml:space="preserve"> protection in their future general rate case applications.”  (Italics added.)  By contrast, in its merits brief, the Commission described the companies as “now authorized to file for </w:t>
      </w:r>
      <w:r>
        <w:rPr>
          <w:i/>
          <w:iCs/>
        </w:rPr>
        <w:t>WRAM</w:t>
      </w:r>
      <w:r>
        <w:t xml:space="preserve"> protection.”  (Italics added.)</w:t>
      </w:r>
    </w:p>
  </w:footnote>
  <w:footnote w:id="7">
    <w:p w:rsidR="0066777A" w14:paraId="43638F0E" w14:textId="77777777">
      <w:pPr>
        <w:pStyle w:val="FootnoteText"/>
      </w:pPr>
      <w:r>
        <w:rPr>
          <w:rStyle w:val="FootnoteReference"/>
        </w:rPr>
        <w:footnoteRef/>
      </w:r>
      <w:r>
        <w:t xml:space="preserve"> </w:t>
      </w:r>
      <w:r>
        <w:tab/>
        <w:t>Unfortunately, to address that substance, the Commission’s merits brief purports to incorporate by reference portions of the Commission’s earlier briefing</w:t>
      </w:r>
      <w:r w:rsidR="00E93C06">
        <w:t>, which makes the merits briefing less helpful to the court than it might have been.  We caution litigants to avoid this practice in the future.</w:t>
      </w:r>
    </w:p>
  </w:footnote>
  <w:footnote w:id="8">
    <w:p w:rsidR="007C2046" w:rsidRPr="007C2046" w14:paraId="43638F0F" w14:textId="77777777">
      <w:pPr>
        <w:pStyle w:val="FootnoteText"/>
      </w:pPr>
      <w:r>
        <w:rPr>
          <w:rStyle w:val="FootnoteReference"/>
        </w:rPr>
        <w:footnoteRef/>
      </w:r>
      <w:r>
        <w:t xml:space="preserve"> </w:t>
      </w:r>
      <w:r>
        <w:tab/>
        <w:t xml:space="preserve">Likewise, the Commission’s claim that “comments made by parties throughout the proceeding show the parties understood that the WRAM and sales forecasting were to be </w:t>
      </w:r>
      <w:r w:rsidRPr="007C2046">
        <w:rPr>
          <w:i/>
          <w:iCs/>
        </w:rPr>
        <w:t>addressed</w:t>
      </w:r>
      <w:r>
        <w:t xml:space="preserve"> by the Rulemaking” (italics added) does not demonstrate that </w:t>
      </w:r>
      <w:r w:rsidR="002E5DED">
        <w:t>the Water Companies</w:t>
      </w:r>
      <w:r>
        <w:t xml:space="preserve"> understood </w:t>
      </w:r>
      <w:r w:rsidRPr="00FC5776">
        <w:t>elimination</w:t>
      </w:r>
      <w:r>
        <w:t xml:space="preserve"> of these mechanisms to be within the scope of the proceeding.  For example, the California Water Association’s comments on the original scoping memo addressed how WRAM/M</w:t>
      </w:r>
      <w:r w:rsidR="0068435E">
        <w:t>C</w:t>
      </w:r>
      <w:r>
        <w:t>BA recovery could be modified to reduce surcharges</w:t>
      </w:r>
      <w:r w:rsidR="008843AB">
        <w:t> </w:t>
      </w:r>
      <w:r>
        <w:t>— reflecting an understanding that the WRAM</w:t>
      </w:r>
      <w:r w:rsidR="002E5DED">
        <w:t xml:space="preserve"> and </w:t>
      </w:r>
      <w:r>
        <w:t xml:space="preserve">MCBA </w:t>
      </w:r>
      <w:r w:rsidR="002E5DED">
        <w:t xml:space="preserve">mechanisms </w:t>
      </w:r>
      <w:r>
        <w:t>would continue to be used.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43F08" w14:paraId="43638EFE" w14:textId="77777777">
    <w:pPr>
      <w:pStyle w:val="Header"/>
    </w:pPr>
    <w:r>
      <w:t>GOLDEN STATE WATER COMPANY v. PUBLIC UTILITIES COMMISSION</w:t>
    </w:r>
  </w:p>
  <w:p w:rsidR="00143F08" w14:paraId="43638EFF" w14:textId="77777777">
    <w:pPr>
      <w:pStyle w:val="Header"/>
    </w:pPr>
    <w:r>
      <w:t>Opinion of the Court by Kruger, J.</w:t>
    </w:r>
  </w:p>
  <w:p w:rsidR="00143F08" w14:paraId="43638F0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7A6D" w14:paraId="43638F04" w14:textId="77777777">
    <w:pPr>
      <w:pStyle w:val="Header"/>
    </w:pPr>
    <w:r>
      <w:t>GOLDEN STATE WATER COMPANY v. PUBLIC UTILITIES COMMISSION</w:t>
    </w:r>
  </w:p>
  <w:p w:rsidR="00907A6D" w14:paraId="43638F05" w14:textId="77777777">
    <w:pPr>
      <w:pStyle w:val="Header"/>
    </w:pPr>
    <w:r>
      <w:t>Opinion of the Court by Kruger, J.</w:t>
    </w:r>
  </w:p>
  <w:p w:rsidR="00907A6D" w14:paraId="43638F0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6E4F" w:rsidRPr="00216E4F" w:rsidP="00216E4F" w14:paraId="1D6D4C1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A4742FF"/>
    <w:multiLevelType w:val="hybridMultilevel"/>
    <w:tmpl w:val="C4988CF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236625ED"/>
    <w:multiLevelType w:val="hybridMultilevel"/>
    <w:tmpl w:val="C0DC6CA4"/>
    <w:lvl w:ilvl="0">
      <w:start w:val="1"/>
      <w:numFmt w:val="upperLetter"/>
      <w:lvlText w:val="%1."/>
      <w:lvlJc w:val="left"/>
      <w:pPr>
        <w:ind w:left="1100" w:hanging="38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4CD1283C"/>
    <w:multiLevelType w:val="hybridMultilevel"/>
    <w:tmpl w:val="212A9782"/>
    <w:lvl w:ilvl="0">
      <w:start w:val="2"/>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5F4F2D8D"/>
    <w:multiLevelType w:val="hybridMultilevel"/>
    <w:tmpl w:val="A30E0382"/>
    <w:lvl w:ilvl="0">
      <w:start w:val="1"/>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4">
    <w:nsid w:val="5FF91169"/>
    <w:multiLevelType w:val="hybridMultilevel"/>
    <w:tmpl w:val="C33E9A42"/>
    <w:lvl w:ilvl="0">
      <w:start w:val="2"/>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648B6836"/>
    <w:multiLevelType w:val="hybridMultilevel"/>
    <w:tmpl w:val="3C562310"/>
    <w:lvl w:ilvl="0">
      <w:start w:val="4"/>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6F7660B9"/>
    <w:multiLevelType w:val="hybridMultilevel"/>
    <w:tmpl w:val="86F60DEC"/>
    <w:lvl w:ilvl="0">
      <w:start w:val="2"/>
      <w:numFmt w:val="upperLetter"/>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71DF511C"/>
    <w:multiLevelType w:val="hybridMultilevel"/>
    <w:tmpl w:val="D2DCED5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6"/>
  </w:num>
  <w:num w:numId="4">
    <w:abstractNumId w:val="3"/>
  </w:num>
  <w:num w:numId="5">
    <w:abstractNumId w:val="2"/>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intFractionalCharacterWidth/>
  <w:defaultTabStop w:val="720"/>
  <w:doNotHyphenateCaps/>
  <w:displayHorizontalDrawingGridEvery w:val="0"/>
  <w:displayVerticalDrawingGridEvery w:val="0"/>
  <w:doNotUseMarginsForDrawingGridOrigin/>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026"/>
    <w:rsid w:val="00000335"/>
    <w:rsid w:val="000004A7"/>
    <w:rsid w:val="00000941"/>
    <w:rsid w:val="00000DCD"/>
    <w:rsid w:val="00002AFF"/>
    <w:rsid w:val="000039EF"/>
    <w:rsid w:val="000040BD"/>
    <w:rsid w:val="00004E34"/>
    <w:rsid w:val="0000580E"/>
    <w:rsid w:val="00005A20"/>
    <w:rsid w:val="00005A29"/>
    <w:rsid w:val="00005EA9"/>
    <w:rsid w:val="00006465"/>
    <w:rsid w:val="00006622"/>
    <w:rsid w:val="000068C1"/>
    <w:rsid w:val="00006E5D"/>
    <w:rsid w:val="000070DB"/>
    <w:rsid w:val="000072F2"/>
    <w:rsid w:val="00007A6F"/>
    <w:rsid w:val="00010BEA"/>
    <w:rsid w:val="00010C3D"/>
    <w:rsid w:val="00010EF3"/>
    <w:rsid w:val="00011647"/>
    <w:rsid w:val="00011B52"/>
    <w:rsid w:val="00011F94"/>
    <w:rsid w:val="00012D1C"/>
    <w:rsid w:val="00012E66"/>
    <w:rsid w:val="000130C3"/>
    <w:rsid w:val="000137B7"/>
    <w:rsid w:val="00013EDB"/>
    <w:rsid w:val="00014080"/>
    <w:rsid w:val="00014323"/>
    <w:rsid w:val="00015540"/>
    <w:rsid w:val="000155F8"/>
    <w:rsid w:val="000156AE"/>
    <w:rsid w:val="00015895"/>
    <w:rsid w:val="00015ECF"/>
    <w:rsid w:val="00016B44"/>
    <w:rsid w:val="00016D44"/>
    <w:rsid w:val="0001707A"/>
    <w:rsid w:val="000170F6"/>
    <w:rsid w:val="000171A3"/>
    <w:rsid w:val="0002043C"/>
    <w:rsid w:val="00020599"/>
    <w:rsid w:val="00020B22"/>
    <w:rsid w:val="00020C29"/>
    <w:rsid w:val="000215BE"/>
    <w:rsid w:val="00024062"/>
    <w:rsid w:val="000244D0"/>
    <w:rsid w:val="00024D12"/>
    <w:rsid w:val="00024D48"/>
    <w:rsid w:val="00025406"/>
    <w:rsid w:val="000254CB"/>
    <w:rsid w:val="000257AF"/>
    <w:rsid w:val="00025B31"/>
    <w:rsid w:val="00025FDD"/>
    <w:rsid w:val="000269E5"/>
    <w:rsid w:val="00026AFD"/>
    <w:rsid w:val="00027788"/>
    <w:rsid w:val="00027BBF"/>
    <w:rsid w:val="000300DB"/>
    <w:rsid w:val="00030BA6"/>
    <w:rsid w:val="00030C34"/>
    <w:rsid w:val="00031A26"/>
    <w:rsid w:val="00031DF2"/>
    <w:rsid w:val="00031F13"/>
    <w:rsid w:val="000340EE"/>
    <w:rsid w:val="000348B3"/>
    <w:rsid w:val="00034F1D"/>
    <w:rsid w:val="0003695E"/>
    <w:rsid w:val="00036DB4"/>
    <w:rsid w:val="00036E0A"/>
    <w:rsid w:val="00037138"/>
    <w:rsid w:val="00037841"/>
    <w:rsid w:val="00037850"/>
    <w:rsid w:val="00037A7D"/>
    <w:rsid w:val="00037E62"/>
    <w:rsid w:val="000407DC"/>
    <w:rsid w:val="00040AF1"/>
    <w:rsid w:val="000437AA"/>
    <w:rsid w:val="00043D18"/>
    <w:rsid w:val="00043F68"/>
    <w:rsid w:val="00044158"/>
    <w:rsid w:val="00044477"/>
    <w:rsid w:val="000450F2"/>
    <w:rsid w:val="00045657"/>
    <w:rsid w:val="000461C2"/>
    <w:rsid w:val="000461D8"/>
    <w:rsid w:val="00046704"/>
    <w:rsid w:val="00047385"/>
    <w:rsid w:val="000475AB"/>
    <w:rsid w:val="0005009A"/>
    <w:rsid w:val="0005110B"/>
    <w:rsid w:val="00051F82"/>
    <w:rsid w:val="0005208E"/>
    <w:rsid w:val="000531DC"/>
    <w:rsid w:val="00053B6C"/>
    <w:rsid w:val="00053D87"/>
    <w:rsid w:val="00054230"/>
    <w:rsid w:val="000547A6"/>
    <w:rsid w:val="00054BC7"/>
    <w:rsid w:val="00054DC4"/>
    <w:rsid w:val="00055FCE"/>
    <w:rsid w:val="000563ED"/>
    <w:rsid w:val="00056499"/>
    <w:rsid w:val="000565D2"/>
    <w:rsid w:val="00056772"/>
    <w:rsid w:val="00056C51"/>
    <w:rsid w:val="00057114"/>
    <w:rsid w:val="0006062F"/>
    <w:rsid w:val="00060939"/>
    <w:rsid w:val="00060A34"/>
    <w:rsid w:val="00060C98"/>
    <w:rsid w:val="00061387"/>
    <w:rsid w:val="00061C12"/>
    <w:rsid w:val="000623F5"/>
    <w:rsid w:val="00062F40"/>
    <w:rsid w:val="00062FB2"/>
    <w:rsid w:val="0006378E"/>
    <w:rsid w:val="0006527B"/>
    <w:rsid w:val="00065419"/>
    <w:rsid w:val="00065CC3"/>
    <w:rsid w:val="0006621A"/>
    <w:rsid w:val="000668EC"/>
    <w:rsid w:val="00066A82"/>
    <w:rsid w:val="00066B01"/>
    <w:rsid w:val="0006738E"/>
    <w:rsid w:val="0006786B"/>
    <w:rsid w:val="00067D6A"/>
    <w:rsid w:val="0007059A"/>
    <w:rsid w:val="000709A8"/>
    <w:rsid w:val="00070AD7"/>
    <w:rsid w:val="00070B8E"/>
    <w:rsid w:val="00071571"/>
    <w:rsid w:val="000717A5"/>
    <w:rsid w:val="000717B7"/>
    <w:rsid w:val="00071A1C"/>
    <w:rsid w:val="00071BDC"/>
    <w:rsid w:val="00072BDD"/>
    <w:rsid w:val="00072C08"/>
    <w:rsid w:val="00073296"/>
    <w:rsid w:val="00073BB1"/>
    <w:rsid w:val="0007443A"/>
    <w:rsid w:val="00074868"/>
    <w:rsid w:val="00074D77"/>
    <w:rsid w:val="00074ECC"/>
    <w:rsid w:val="00075579"/>
    <w:rsid w:val="0007561E"/>
    <w:rsid w:val="000769DB"/>
    <w:rsid w:val="00076D12"/>
    <w:rsid w:val="00076DD0"/>
    <w:rsid w:val="0007787A"/>
    <w:rsid w:val="000778D3"/>
    <w:rsid w:val="000778D6"/>
    <w:rsid w:val="00077DA1"/>
    <w:rsid w:val="00080452"/>
    <w:rsid w:val="000804D2"/>
    <w:rsid w:val="000807CE"/>
    <w:rsid w:val="00080E7F"/>
    <w:rsid w:val="00081000"/>
    <w:rsid w:val="0008186E"/>
    <w:rsid w:val="00081FB6"/>
    <w:rsid w:val="000827BE"/>
    <w:rsid w:val="00082971"/>
    <w:rsid w:val="00082A35"/>
    <w:rsid w:val="00082E50"/>
    <w:rsid w:val="00083255"/>
    <w:rsid w:val="00083506"/>
    <w:rsid w:val="00083724"/>
    <w:rsid w:val="00083F6E"/>
    <w:rsid w:val="0008446C"/>
    <w:rsid w:val="0008488B"/>
    <w:rsid w:val="000859C6"/>
    <w:rsid w:val="000864AE"/>
    <w:rsid w:val="000865C5"/>
    <w:rsid w:val="0008752E"/>
    <w:rsid w:val="00087E10"/>
    <w:rsid w:val="000901AA"/>
    <w:rsid w:val="000901E4"/>
    <w:rsid w:val="0009042A"/>
    <w:rsid w:val="00090E59"/>
    <w:rsid w:val="00090EDF"/>
    <w:rsid w:val="00091BEE"/>
    <w:rsid w:val="00091C6D"/>
    <w:rsid w:val="00091D70"/>
    <w:rsid w:val="00092C7F"/>
    <w:rsid w:val="00092FE6"/>
    <w:rsid w:val="00093CC2"/>
    <w:rsid w:val="000942F8"/>
    <w:rsid w:val="000946B6"/>
    <w:rsid w:val="00094B8D"/>
    <w:rsid w:val="00094BAD"/>
    <w:rsid w:val="0009578A"/>
    <w:rsid w:val="00095AC0"/>
    <w:rsid w:val="00095B78"/>
    <w:rsid w:val="00096644"/>
    <w:rsid w:val="0009679D"/>
    <w:rsid w:val="00096A45"/>
    <w:rsid w:val="000974D9"/>
    <w:rsid w:val="000A0F14"/>
    <w:rsid w:val="000A1138"/>
    <w:rsid w:val="000A182E"/>
    <w:rsid w:val="000A197F"/>
    <w:rsid w:val="000A1E17"/>
    <w:rsid w:val="000A2509"/>
    <w:rsid w:val="000A3786"/>
    <w:rsid w:val="000A3A21"/>
    <w:rsid w:val="000A4389"/>
    <w:rsid w:val="000A47A3"/>
    <w:rsid w:val="000A4922"/>
    <w:rsid w:val="000A4FEE"/>
    <w:rsid w:val="000A516C"/>
    <w:rsid w:val="000A57B2"/>
    <w:rsid w:val="000A667F"/>
    <w:rsid w:val="000A7449"/>
    <w:rsid w:val="000A7C2D"/>
    <w:rsid w:val="000A7DE9"/>
    <w:rsid w:val="000B023C"/>
    <w:rsid w:val="000B03A8"/>
    <w:rsid w:val="000B075B"/>
    <w:rsid w:val="000B12B0"/>
    <w:rsid w:val="000B12D4"/>
    <w:rsid w:val="000B1DF8"/>
    <w:rsid w:val="000B1F56"/>
    <w:rsid w:val="000B225E"/>
    <w:rsid w:val="000B2C52"/>
    <w:rsid w:val="000B34A6"/>
    <w:rsid w:val="000B402C"/>
    <w:rsid w:val="000B4112"/>
    <w:rsid w:val="000B57A5"/>
    <w:rsid w:val="000B5F1C"/>
    <w:rsid w:val="000B62EF"/>
    <w:rsid w:val="000B7073"/>
    <w:rsid w:val="000B748A"/>
    <w:rsid w:val="000B7CE0"/>
    <w:rsid w:val="000B7D34"/>
    <w:rsid w:val="000C0414"/>
    <w:rsid w:val="000C0658"/>
    <w:rsid w:val="000C107A"/>
    <w:rsid w:val="000C4065"/>
    <w:rsid w:val="000C40A6"/>
    <w:rsid w:val="000C6403"/>
    <w:rsid w:val="000C75BB"/>
    <w:rsid w:val="000C7699"/>
    <w:rsid w:val="000C783E"/>
    <w:rsid w:val="000C7FE7"/>
    <w:rsid w:val="000D0433"/>
    <w:rsid w:val="000D098F"/>
    <w:rsid w:val="000D0CFC"/>
    <w:rsid w:val="000D1C52"/>
    <w:rsid w:val="000D20AA"/>
    <w:rsid w:val="000D222E"/>
    <w:rsid w:val="000D2D02"/>
    <w:rsid w:val="000D3B0B"/>
    <w:rsid w:val="000D3DBA"/>
    <w:rsid w:val="000D4BDA"/>
    <w:rsid w:val="000D53BD"/>
    <w:rsid w:val="000D7420"/>
    <w:rsid w:val="000D7EEE"/>
    <w:rsid w:val="000E0074"/>
    <w:rsid w:val="000E0858"/>
    <w:rsid w:val="000E0A23"/>
    <w:rsid w:val="000E116C"/>
    <w:rsid w:val="000E11DF"/>
    <w:rsid w:val="000E13FD"/>
    <w:rsid w:val="000E1653"/>
    <w:rsid w:val="000E1814"/>
    <w:rsid w:val="000E28C4"/>
    <w:rsid w:val="000E2E5F"/>
    <w:rsid w:val="000E2ECA"/>
    <w:rsid w:val="000E2FBF"/>
    <w:rsid w:val="000E3021"/>
    <w:rsid w:val="000E30A2"/>
    <w:rsid w:val="000E30CD"/>
    <w:rsid w:val="000E3D84"/>
    <w:rsid w:val="000E406C"/>
    <w:rsid w:val="000E4DD8"/>
    <w:rsid w:val="000E61BB"/>
    <w:rsid w:val="000E6C1A"/>
    <w:rsid w:val="000E7CD0"/>
    <w:rsid w:val="000F0325"/>
    <w:rsid w:val="000F227A"/>
    <w:rsid w:val="000F3A74"/>
    <w:rsid w:val="000F43E7"/>
    <w:rsid w:val="000F45B0"/>
    <w:rsid w:val="000F4C6C"/>
    <w:rsid w:val="000F5359"/>
    <w:rsid w:val="000F585D"/>
    <w:rsid w:val="000F5ABD"/>
    <w:rsid w:val="000F5EDB"/>
    <w:rsid w:val="000F66E4"/>
    <w:rsid w:val="000F67DA"/>
    <w:rsid w:val="000F67FE"/>
    <w:rsid w:val="000F6D6E"/>
    <w:rsid w:val="00100489"/>
    <w:rsid w:val="00100838"/>
    <w:rsid w:val="001008FE"/>
    <w:rsid w:val="001015EC"/>
    <w:rsid w:val="00102248"/>
    <w:rsid w:val="001025DD"/>
    <w:rsid w:val="00102778"/>
    <w:rsid w:val="00103011"/>
    <w:rsid w:val="00103BD6"/>
    <w:rsid w:val="001048E2"/>
    <w:rsid w:val="001059E1"/>
    <w:rsid w:val="00106333"/>
    <w:rsid w:val="00106A46"/>
    <w:rsid w:val="00107A6D"/>
    <w:rsid w:val="00107B9E"/>
    <w:rsid w:val="00107EFD"/>
    <w:rsid w:val="0011092A"/>
    <w:rsid w:val="00110941"/>
    <w:rsid w:val="001117BF"/>
    <w:rsid w:val="00112199"/>
    <w:rsid w:val="0011254A"/>
    <w:rsid w:val="00112A3D"/>
    <w:rsid w:val="0011378C"/>
    <w:rsid w:val="0011387C"/>
    <w:rsid w:val="0011475A"/>
    <w:rsid w:val="00114A15"/>
    <w:rsid w:val="00114E67"/>
    <w:rsid w:val="00115B3E"/>
    <w:rsid w:val="00116933"/>
    <w:rsid w:val="00116944"/>
    <w:rsid w:val="00116A86"/>
    <w:rsid w:val="00116AB0"/>
    <w:rsid w:val="00116B94"/>
    <w:rsid w:val="0011702F"/>
    <w:rsid w:val="00117174"/>
    <w:rsid w:val="00117303"/>
    <w:rsid w:val="00117A22"/>
    <w:rsid w:val="001207B3"/>
    <w:rsid w:val="00120DA7"/>
    <w:rsid w:val="00120DB8"/>
    <w:rsid w:val="00121895"/>
    <w:rsid w:val="0012213A"/>
    <w:rsid w:val="001225BA"/>
    <w:rsid w:val="00122B63"/>
    <w:rsid w:val="00123A9D"/>
    <w:rsid w:val="00124170"/>
    <w:rsid w:val="001243AA"/>
    <w:rsid w:val="0012470F"/>
    <w:rsid w:val="0012499F"/>
    <w:rsid w:val="0012578C"/>
    <w:rsid w:val="00125BAB"/>
    <w:rsid w:val="00125DAA"/>
    <w:rsid w:val="00125E59"/>
    <w:rsid w:val="00126072"/>
    <w:rsid w:val="001260B6"/>
    <w:rsid w:val="001260D8"/>
    <w:rsid w:val="0012635E"/>
    <w:rsid w:val="0012666F"/>
    <w:rsid w:val="00126731"/>
    <w:rsid w:val="00127ED9"/>
    <w:rsid w:val="00130265"/>
    <w:rsid w:val="001303B5"/>
    <w:rsid w:val="00130C80"/>
    <w:rsid w:val="001313D8"/>
    <w:rsid w:val="00132297"/>
    <w:rsid w:val="001327DA"/>
    <w:rsid w:val="00132815"/>
    <w:rsid w:val="00132E1A"/>
    <w:rsid w:val="001335D8"/>
    <w:rsid w:val="0013369A"/>
    <w:rsid w:val="0013374D"/>
    <w:rsid w:val="00133D06"/>
    <w:rsid w:val="00134933"/>
    <w:rsid w:val="00134E6B"/>
    <w:rsid w:val="00134F33"/>
    <w:rsid w:val="00135EB6"/>
    <w:rsid w:val="00136B59"/>
    <w:rsid w:val="00137563"/>
    <w:rsid w:val="001377B7"/>
    <w:rsid w:val="00137A5E"/>
    <w:rsid w:val="00137BA2"/>
    <w:rsid w:val="00137E3F"/>
    <w:rsid w:val="001403C4"/>
    <w:rsid w:val="00140520"/>
    <w:rsid w:val="00140F38"/>
    <w:rsid w:val="001411D5"/>
    <w:rsid w:val="001415C2"/>
    <w:rsid w:val="001416A9"/>
    <w:rsid w:val="00141DA1"/>
    <w:rsid w:val="00141DAE"/>
    <w:rsid w:val="0014398E"/>
    <w:rsid w:val="0014399D"/>
    <w:rsid w:val="00143A45"/>
    <w:rsid w:val="00143F08"/>
    <w:rsid w:val="00144045"/>
    <w:rsid w:val="0014427C"/>
    <w:rsid w:val="00144327"/>
    <w:rsid w:val="00144798"/>
    <w:rsid w:val="00144D10"/>
    <w:rsid w:val="00144E53"/>
    <w:rsid w:val="0014569B"/>
    <w:rsid w:val="001457C4"/>
    <w:rsid w:val="00145BCB"/>
    <w:rsid w:val="00145F38"/>
    <w:rsid w:val="001463E2"/>
    <w:rsid w:val="0014658D"/>
    <w:rsid w:val="001465F2"/>
    <w:rsid w:val="00146608"/>
    <w:rsid w:val="00146909"/>
    <w:rsid w:val="0014752F"/>
    <w:rsid w:val="001477D5"/>
    <w:rsid w:val="001500DB"/>
    <w:rsid w:val="00150140"/>
    <w:rsid w:val="001509E1"/>
    <w:rsid w:val="00150A67"/>
    <w:rsid w:val="00151571"/>
    <w:rsid w:val="00151BE6"/>
    <w:rsid w:val="00151DC2"/>
    <w:rsid w:val="0015226D"/>
    <w:rsid w:val="001524EF"/>
    <w:rsid w:val="0015320B"/>
    <w:rsid w:val="001532A2"/>
    <w:rsid w:val="00153681"/>
    <w:rsid w:val="00154236"/>
    <w:rsid w:val="001542C8"/>
    <w:rsid w:val="00154819"/>
    <w:rsid w:val="001557DF"/>
    <w:rsid w:val="001559B2"/>
    <w:rsid w:val="00155E7E"/>
    <w:rsid w:val="001562EF"/>
    <w:rsid w:val="001568C4"/>
    <w:rsid w:val="0015704A"/>
    <w:rsid w:val="0015781C"/>
    <w:rsid w:val="00157979"/>
    <w:rsid w:val="0016096F"/>
    <w:rsid w:val="001614E1"/>
    <w:rsid w:val="00161DC5"/>
    <w:rsid w:val="00162A87"/>
    <w:rsid w:val="00162EE2"/>
    <w:rsid w:val="001630A4"/>
    <w:rsid w:val="00163587"/>
    <w:rsid w:val="00163E30"/>
    <w:rsid w:val="00163F5A"/>
    <w:rsid w:val="001649AE"/>
    <w:rsid w:val="001651C3"/>
    <w:rsid w:val="001652FB"/>
    <w:rsid w:val="00165AF7"/>
    <w:rsid w:val="00165EA5"/>
    <w:rsid w:val="00166013"/>
    <w:rsid w:val="0016653B"/>
    <w:rsid w:val="00167494"/>
    <w:rsid w:val="001700A7"/>
    <w:rsid w:val="0017043F"/>
    <w:rsid w:val="001704B3"/>
    <w:rsid w:val="0017209B"/>
    <w:rsid w:val="00172165"/>
    <w:rsid w:val="00172601"/>
    <w:rsid w:val="001727BF"/>
    <w:rsid w:val="00173CBC"/>
    <w:rsid w:val="00173D44"/>
    <w:rsid w:val="00173ED9"/>
    <w:rsid w:val="001740EF"/>
    <w:rsid w:val="00174D36"/>
    <w:rsid w:val="00175407"/>
    <w:rsid w:val="001754F2"/>
    <w:rsid w:val="001763A9"/>
    <w:rsid w:val="0017730C"/>
    <w:rsid w:val="001774CB"/>
    <w:rsid w:val="001817CA"/>
    <w:rsid w:val="00182300"/>
    <w:rsid w:val="00182ACD"/>
    <w:rsid w:val="0018337D"/>
    <w:rsid w:val="001835E7"/>
    <w:rsid w:val="001847D9"/>
    <w:rsid w:val="00184F9C"/>
    <w:rsid w:val="00186CE2"/>
    <w:rsid w:val="00186DF9"/>
    <w:rsid w:val="0018727B"/>
    <w:rsid w:val="00187A4A"/>
    <w:rsid w:val="00187EA9"/>
    <w:rsid w:val="0019013B"/>
    <w:rsid w:val="00190E0B"/>
    <w:rsid w:val="001915BD"/>
    <w:rsid w:val="001920DD"/>
    <w:rsid w:val="00192CAE"/>
    <w:rsid w:val="0019312D"/>
    <w:rsid w:val="001931F9"/>
    <w:rsid w:val="001938C1"/>
    <w:rsid w:val="00193FF5"/>
    <w:rsid w:val="001941DD"/>
    <w:rsid w:val="00194554"/>
    <w:rsid w:val="0019466A"/>
    <w:rsid w:val="00194B0D"/>
    <w:rsid w:val="00194F55"/>
    <w:rsid w:val="00194F76"/>
    <w:rsid w:val="00195BFE"/>
    <w:rsid w:val="00196696"/>
    <w:rsid w:val="00196A4C"/>
    <w:rsid w:val="00196AE8"/>
    <w:rsid w:val="00196ED6"/>
    <w:rsid w:val="00196F44"/>
    <w:rsid w:val="0019702A"/>
    <w:rsid w:val="00197A1C"/>
    <w:rsid w:val="00197BDB"/>
    <w:rsid w:val="001A016C"/>
    <w:rsid w:val="001A01FF"/>
    <w:rsid w:val="001A0929"/>
    <w:rsid w:val="001A271C"/>
    <w:rsid w:val="001A3A99"/>
    <w:rsid w:val="001A3DA6"/>
    <w:rsid w:val="001A427B"/>
    <w:rsid w:val="001A43C9"/>
    <w:rsid w:val="001A4C9F"/>
    <w:rsid w:val="001A5CD8"/>
    <w:rsid w:val="001A5F1E"/>
    <w:rsid w:val="001A60E6"/>
    <w:rsid w:val="001A6E8B"/>
    <w:rsid w:val="001A76F1"/>
    <w:rsid w:val="001A7FC5"/>
    <w:rsid w:val="001B0334"/>
    <w:rsid w:val="001B1C40"/>
    <w:rsid w:val="001B2231"/>
    <w:rsid w:val="001B3736"/>
    <w:rsid w:val="001B3C98"/>
    <w:rsid w:val="001B415C"/>
    <w:rsid w:val="001B42E3"/>
    <w:rsid w:val="001B65E1"/>
    <w:rsid w:val="001B7670"/>
    <w:rsid w:val="001B7C6E"/>
    <w:rsid w:val="001C03A4"/>
    <w:rsid w:val="001C1231"/>
    <w:rsid w:val="001C1553"/>
    <w:rsid w:val="001C1AA9"/>
    <w:rsid w:val="001C261B"/>
    <w:rsid w:val="001C2AF0"/>
    <w:rsid w:val="001C3665"/>
    <w:rsid w:val="001C4133"/>
    <w:rsid w:val="001C43C8"/>
    <w:rsid w:val="001C54E5"/>
    <w:rsid w:val="001C6205"/>
    <w:rsid w:val="001C7117"/>
    <w:rsid w:val="001C7697"/>
    <w:rsid w:val="001C77DE"/>
    <w:rsid w:val="001C78F8"/>
    <w:rsid w:val="001C7B37"/>
    <w:rsid w:val="001C7D0D"/>
    <w:rsid w:val="001D0785"/>
    <w:rsid w:val="001D09FF"/>
    <w:rsid w:val="001D0BCD"/>
    <w:rsid w:val="001D1AD4"/>
    <w:rsid w:val="001D25D9"/>
    <w:rsid w:val="001D281F"/>
    <w:rsid w:val="001D3729"/>
    <w:rsid w:val="001D4388"/>
    <w:rsid w:val="001D6A91"/>
    <w:rsid w:val="001D6AF8"/>
    <w:rsid w:val="001D6E16"/>
    <w:rsid w:val="001D76AB"/>
    <w:rsid w:val="001D7AB1"/>
    <w:rsid w:val="001E14A3"/>
    <w:rsid w:val="001E1A3D"/>
    <w:rsid w:val="001E2149"/>
    <w:rsid w:val="001E2167"/>
    <w:rsid w:val="001E228B"/>
    <w:rsid w:val="001E2942"/>
    <w:rsid w:val="001E2E1F"/>
    <w:rsid w:val="001E303D"/>
    <w:rsid w:val="001E3497"/>
    <w:rsid w:val="001E35F7"/>
    <w:rsid w:val="001E372A"/>
    <w:rsid w:val="001E3D77"/>
    <w:rsid w:val="001E43E7"/>
    <w:rsid w:val="001E44D5"/>
    <w:rsid w:val="001E4917"/>
    <w:rsid w:val="001E4E54"/>
    <w:rsid w:val="001E4FCE"/>
    <w:rsid w:val="001E5EBF"/>
    <w:rsid w:val="001E5FB3"/>
    <w:rsid w:val="001E672B"/>
    <w:rsid w:val="001E6B23"/>
    <w:rsid w:val="001E746F"/>
    <w:rsid w:val="001E7747"/>
    <w:rsid w:val="001E7778"/>
    <w:rsid w:val="001F0852"/>
    <w:rsid w:val="001F08EC"/>
    <w:rsid w:val="001F0FB6"/>
    <w:rsid w:val="001F13B7"/>
    <w:rsid w:val="001F1795"/>
    <w:rsid w:val="001F24F0"/>
    <w:rsid w:val="001F254C"/>
    <w:rsid w:val="001F29D2"/>
    <w:rsid w:val="001F3017"/>
    <w:rsid w:val="001F3B9A"/>
    <w:rsid w:val="001F432D"/>
    <w:rsid w:val="001F48A6"/>
    <w:rsid w:val="001F4E0A"/>
    <w:rsid w:val="001F5324"/>
    <w:rsid w:val="001F796B"/>
    <w:rsid w:val="001F7A85"/>
    <w:rsid w:val="001F7EDA"/>
    <w:rsid w:val="00200428"/>
    <w:rsid w:val="002012B1"/>
    <w:rsid w:val="00201531"/>
    <w:rsid w:val="002017BA"/>
    <w:rsid w:val="00201BB3"/>
    <w:rsid w:val="00201E90"/>
    <w:rsid w:val="00202B5D"/>
    <w:rsid w:val="00203000"/>
    <w:rsid w:val="0020347D"/>
    <w:rsid w:val="00203767"/>
    <w:rsid w:val="00203984"/>
    <w:rsid w:val="0020415C"/>
    <w:rsid w:val="00204424"/>
    <w:rsid w:val="002046ED"/>
    <w:rsid w:val="00205449"/>
    <w:rsid w:val="00205C6A"/>
    <w:rsid w:val="00206476"/>
    <w:rsid w:val="002065CF"/>
    <w:rsid w:val="00206736"/>
    <w:rsid w:val="00206DE8"/>
    <w:rsid w:val="002075D2"/>
    <w:rsid w:val="00210087"/>
    <w:rsid w:val="00210302"/>
    <w:rsid w:val="0021030D"/>
    <w:rsid w:val="002105AC"/>
    <w:rsid w:val="00210782"/>
    <w:rsid w:val="00210BFC"/>
    <w:rsid w:val="00210DF7"/>
    <w:rsid w:val="0021162E"/>
    <w:rsid w:val="00211D35"/>
    <w:rsid w:val="00212854"/>
    <w:rsid w:val="002134E0"/>
    <w:rsid w:val="002137C2"/>
    <w:rsid w:val="00215A8E"/>
    <w:rsid w:val="00215E6D"/>
    <w:rsid w:val="0021642C"/>
    <w:rsid w:val="002167BD"/>
    <w:rsid w:val="002169D7"/>
    <w:rsid w:val="00216E4F"/>
    <w:rsid w:val="002177D8"/>
    <w:rsid w:val="002206AA"/>
    <w:rsid w:val="002207F6"/>
    <w:rsid w:val="00220CA3"/>
    <w:rsid w:val="00220EE5"/>
    <w:rsid w:val="00221960"/>
    <w:rsid w:val="0022263F"/>
    <w:rsid w:val="00222C4A"/>
    <w:rsid w:val="0022338B"/>
    <w:rsid w:val="002241ED"/>
    <w:rsid w:val="00224688"/>
    <w:rsid w:val="0022468F"/>
    <w:rsid w:val="00224892"/>
    <w:rsid w:val="00225064"/>
    <w:rsid w:val="0022576B"/>
    <w:rsid w:val="00225A89"/>
    <w:rsid w:val="00226400"/>
    <w:rsid w:val="0022647C"/>
    <w:rsid w:val="0022737E"/>
    <w:rsid w:val="002278FF"/>
    <w:rsid w:val="00227905"/>
    <w:rsid w:val="00230A98"/>
    <w:rsid w:val="00230FF4"/>
    <w:rsid w:val="00231B1B"/>
    <w:rsid w:val="00232FC8"/>
    <w:rsid w:val="00234456"/>
    <w:rsid w:val="00234C62"/>
    <w:rsid w:val="00234D7E"/>
    <w:rsid w:val="002353B6"/>
    <w:rsid w:val="00235992"/>
    <w:rsid w:val="00236962"/>
    <w:rsid w:val="00237676"/>
    <w:rsid w:val="002377DC"/>
    <w:rsid w:val="00237A7F"/>
    <w:rsid w:val="00237CB0"/>
    <w:rsid w:val="00237F41"/>
    <w:rsid w:val="002403D2"/>
    <w:rsid w:val="00240AD0"/>
    <w:rsid w:val="0024115C"/>
    <w:rsid w:val="00242ABF"/>
    <w:rsid w:val="0024499E"/>
    <w:rsid w:val="00244CB4"/>
    <w:rsid w:val="00244F0A"/>
    <w:rsid w:val="00245A46"/>
    <w:rsid w:val="00245A6F"/>
    <w:rsid w:val="00245F53"/>
    <w:rsid w:val="0024626B"/>
    <w:rsid w:val="00246562"/>
    <w:rsid w:val="00247412"/>
    <w:rsid w:val="002474FF"/>
    <w:rsid w:val="002478B0"/>
    <w:rsid w:val="00247920"/>
    <w:rsid w:val="00250DAF"/>
    <w:rsid w:val="00252118"/>
    <w:rsid w:val="002521DB"/>
    <w:rsid w:val="002522AD"/>
    <w:rsid w:val="002522F0"/>
    <w:rsid w:val="00252521"/>
    <w:rsid w:val="0025280C"/>
    <w:rsid w:val="00253562"/>
    <w:rsid w:val="00253634"/>
    <w:rsid w:val="00253C6D"/>
    <w:rsid w:val="00254DBD"/>
    <w:rsid w:val="00255DFD"/>
    <w:rsid w:val="00256231"/>
    <w:rsid w:val="00257460"/>
    <w:rsid w:val="00257CA6"/>
    <w:rsid w:val="002608C8"/>
    <w:rsid w:val="002608F8"/>
    <w:rsid w:val="002609CD"/>
    <w:rsid w:val="00260C43"/>
    <w:rsid w:val="00261133"/>
    <w:rsid w:val="0026145F"/>
    <w:rsid w:val="002616CC"/>
    <w:rsid w:val="00261832"/>
    <w:rsid w:val="00261B08"/>
    <w:rsid w:val="0026218E"/>
    <w:rsid w:val="002623BB"/>
    <w:rsid w:val="00262708"/>
    <w:rsid w:val="0026337A"/>
    <w:rsid w:val="00263579"/>
    <w:rsid w:val="00263EE4"/>
    <w:rsid w:val="0026464C"/>
    <w:rsid w:val="002649C1"/>
    <w:rsid w:val="00264F69"/>
    <w:rsid w:val="00265172"/>
    <w:rsid w:val="00265AFA"/>
    <w:rsid w:val="0026622C"/>
    <w:rsid w:val="0026669A"/>
    <w:rsid w:val="00266A30"/>
    <w:rsid w:val="00266C62"/>
    <w:rsid w:val="0026720D"/>
    <w:rsid w:val="00267290"/>
    <w:rsid w:val="00270D36"/>
    <w:rsid w:val="002729E6"/>
    <w:rsid w:val="00272D29"/>
    <w:rsid w:val="00273110"/>
    <w:rsid w:val="00273529"/>
    <w:rsid w:val="00273A44"/>
    <w:rsid w:val="00273A5F"/>
    <w:rsid w:val="00273C75"/>
    <w:rsid w:val="00273CF9"/>
    <w:rsid w:val="00273F19"/>
    <w:rsid w:val="00273FC1"/>
    <w:rsid w:val="002748D7"/>
    <w:rsid w:val="00275A01"/>
    <w:rsid w:val="00276298"/>
    <w:rsid w:val="002763BE"/>
    <w:rsid w:val="002765EC"/>
    <w:rsid w:val="0027672D"/>
    <w:rsid w:val="00276C4D"/>
    <w:rsid w:val="00277948"/>
    <w:rsid w:val="00277DB2"/>
    <w:rsid w:val="00277F60"/>
    <w:rsid w:val="00280473"/>
    <w:rsid w:val="00280E7A"/>
    <w:rsid w:val="00281547"/>
    <w:rsid w:val="00281F13"/>
    <w:rsid w:val="00281F9D"/>
    <w:rsid w:val="002826D1"/>
    <w:rsid w:val="00282E43"/>
    <w:rsid w:val="00282EBE"/>
    <w:rsid w:val="002830F8"/>
    <w:rsid w:val="00283772"/>
    <w:rsid w:val="00283A65"/>
    <w:rsid w:val="00283E73"/>
    <w:rsid w:val="0028472B"/>
    <w:rsid w:val="002855B7"/>
    <w:rsid w:val="00285D66"/>
    <w:rsid w:val="00285F31"/>
    <w:rsid w:val="002868FC"/>
    <w:rsid w:val="00287EAB"/>
    <w:rsid w:val="002909F3"/>
    <w:rsid w:val="00290A8D"/>
    <w:rsid w:val="00291152"/>
    <w:rsid w:val="002912C9"/>
    <w:rsid w:val="002922FD"/>
    <w:rsid w:val="0029259B"/>
    <w:rsid w:val="002930FF"/>
    <w:rsid w:val="00293E82"/>
    <w:rsid w:val="00293FE8"/>
    <w:rsid w:val="002941D8"/>
    <w:rsid w:val="00294BA6"/>
    <w:rsid w:val="002971A2"/>
    <w:rsid w:val="00297451"/>
    <w:rsid w:val="002A081C"/>
    <w:rsid w:val="002A15D8"/>
    <w:rsid w:val="002A1614"/>
    <w:rsid w:val="002A17B2"/>
    <w:rsid w:val="002A249F"/>
    <w:rsid w:val="002A3E24"/>
    <w:rsid w:val="002A493A"/>
    <w:rsid w:val="002A4BFC"/>
    <w:rsid w:val="002A5571"/>
    <w:rsid w:val="002A5993"/>
    <w:rsid w:val="002A6C6A"/>
    <w:rsid w:val="002A6D3C"/>
    <w:rsid w:val="002A7692"/>
    <w:rsid w:val="002B0123"/>
    <w:rsid w:val="002B0AB3"/>
    <w:rsid w:val="002B0C7E"/>
    <w:rsid w:val="002B1E2F"/>
    <w:rsid w:val="002B22F7"/>
    <w:rsid w:val="002B2592"/>
    <w:rsid w:val="002B3295"/>
    <w:rsid w:val="002B3B60"/>
    <w:rsid w:val="002B4546"/>
    <w:rsid w:val="002B6059"/>
    <w:rsid w:val="002B61BA"/>
    <w:rsid w:val="002B68A0"/>
    <w:rsid w:val="002B715C"/>
    <w:rsid w:val="002B7261"/>
    <w:rsid w:val="002B790F"/>
    <w:rsid w:val="002B7B83"/>
    <w:rsid w:val="002C02E3"/>
    <w:rsid w:val="002C09FA"/>
    <w:rsid w:val="002C1607"/>
    <w:rsid w:val="002C16E6"/>
    <w:rsid w:val="002C1BCE"/>
    <w:rsid w:val="002C215E"/>
    <w:rsid w:val="002C2511"/>
    <w:rsid w:val="002C25C6"/>
    <w:rsid w:val="002C26FF"/>
    <w:rsid w:val="002C2DD3"/>
    <w:rsid w:val="002C2F5B"/>
    <w:rsid w:val="002C30C8"/>
    <w:rsid w:val="002C4336"/>
    <w:rsid w:val="002C447B"/>
    <w:rsid w:val="002C45A1"/>
    <w:rsid w:val="002C4F5A"/>
    <w:rsid w:val="002C5530"/>
    <w:rsid w:val="002C5F76"/>
    <w:rsid w:val="002C61AB"/>
    <w:rsid w:val="002C621D"/>
    <w:rsid w:val="002C69F9"/>
    <w:rsid w:val="002C6F10"/>
    <w:rsid w:val="002C702A"/>
    <w:rsid w:val="002C7140"/>
    <w:rsid w:val="002C7365"/>
    <w:rsid w:val="002C7CE3"/>
    <w:rsid w:val="002D01AB"/>
    <w:rsid w:val="002D0AEE"/>
    <w:rsid w:val="002D11DC"/>
    <w:rsid w:val="002D15E9"/>
    <w:rsid w:val="002D22B1"/>
    <w:rsid w:val="002D25A2"/>
    <w:rsid w:val="002D27A0"/>
    <w:rsid w:val="002D2DA7"/>
    <w:rsid w:val="002D3C58"/>
    <w:rsid w:val="002D40A0"/>
    <w:rsid w:val="002D4275"/>
    <w:rsid w:val="002D44A6"/>
    <w:rsid w:val="002D49D8"/>
    <w:rsid w:val="002D5838"/>
    <w:rsid w:val="002D5BD0"/>
    <w:rsid w:val="002D5FF0"/>
    <w:rsid w:val="002D6033"/>
    <w:rsid w:val="002D64D6"/>
    <w:rsid w:val="002E0058"/>
    <w:rsid w:val="002E064A"/>
    <w:rsid w:val="002E0F90"/>
    <w:rsid w:val="002E17EC"/>
    <w:rsid w:val="002E180E"/>
    <w:rsid w:val="002E1FEA"/>
    <w:rsid w:val="002E2913"/>
    <w:rsid w:val="002E2B34"/>
    <w:rsid w:val="002E4137"/>
    <w:rsid w:val="002E425D"/>
    <w:rsid w:val="002E51B5"/>
    <w:rsid w:val="002E5511"/>
    <w:rsid w:val="002E5DED"/>
    <w:rsid w:val="002E696E"/>
    <w:rsid w:val="002E7149"/>
    <w:rsid w:val="002E716E"/>
    <w:rsid w:val="002E71DA"/>
    <w:rsid w:val="002E729D"/>
    <w:rsid w:val="002E77DF"/>
    <w:rsid w:val="002F0504"/>
    <w:rsid w:val="002F0631"/>
    <w:rsid w:val="002F097E"/>
    <w:rsid w:val="002F1DA0"/>
    <w:rsid w:val="002F2445"/>
    <w:rsid w:val="002F270D"/>
    <w:rsid w:val="002F2813"/>
    <w:rsid w:val="002F30CF"/>
    <w:rsid w:val="002F3839"/>
    <w:rsid w:val="002F3AD1"/>
    <w:rsid w:val="002F3EBF"/>
    <w:rsid w:val="002F3F42"/>
    <w:rsid w:val="002F42D3"/>
    <w:rsid w:val="002F447D"/>
    <w:rsid w:val="002F4E6F"/>
    <w:rsid w:val="002F5CF2"/>
    <w:rsid w:val="002F5D93"/>
    <w:rsid w:val="002F6150"/>
    <w:rsid w:val="002F6B4B"/>
    <w:rsid w:val="002F7D7B"/>
    <w:rsid w:val="00300EEF"/>
    <w:rsid w:val="00301072"/>
    <w:rsid w:val="003012DF"/>
    <w:rsid w:val="00301392"/>
    <w:rsid w:val="003019E9"/>
    <w:rsid w:val="0030265F"/>
    <w:rsid w:val="0030279C"/>
    <w:rsid w:val="0030383B"/>
    <w:rsid w:val="00303D12"/>
    <w:rsid w:val="00304D1E"/>
    <w:rsid w:val="00305452"/>
    <w:rsid w:val="003058AA"/>
    <w:rsid w:val="00306A1C"/>
    <w:rsid w:val="00306A5D"/>
    <w:rsid w:val="00306F47"/>
    <w:rsid w:val="003070F5"/>
    <w:rsid w:val="00307525"/>
    <w:rsid w:val="0030778C"/>
    <w:rsid w:val="00307844"/>
    <w:rsid w:val="00307A7E"/>
    <w:rsid w:val="00307B16"/>
    <w:rsid w:val="00307B67"/>
    <w:rsid w:val="00307C94"/>
    <w:rsid w:val="003104C0"/>
    <w:rsid w:val="003105BF"/>
    <w:rsid w:val="003105E1"/>
    <w:rsid w:val="003108AF"/>
    <w:rsid w:val="00310F3A"/>
    <w:rsid w:val="0031126F"/>
    <w:rsid w:val="0031175C"/>
    <w:rsid w:val="003121FE"/>
    <w:rsid w:val="00312767"/>
    <w:rsid w:val="00312DD6"/>
    <w:rsid w:val="003143F2"/>
    <w:rsid w:val="00314925"/>
    <w:rsid w:val="00314DBC"/>
    <w:rsid w:val="0031545C"/>
    <w:rsid w:val="0031595D"/>
    <w:rsid w:val="00316015"/>
    <w:rsid w:val="003161CF"/>
    <w:rsid w:val="00316B67"/>
    <w:rsid w:val="0031769D"/>
    <w:rsid w:val="00320193"/>
    <w:rsid w:val="00320D45"/>
    <w:rsid w:val="00320E22"/>
    <w:rsid w:val="00321A27"/>
    <w:rsid w:val="00321A2C"/>
    <w:rsid w:val="00321A6F"/>
    <w:rsid w:val="0032221D"/>
    <w:rsid w:val="0032239A"/>
    <w:rsid w:val="00323229"/>
    <w:rsid w:val="00323B90"/>
    <w:rsid w:val="00323E48"/>
    <w:rsid w:val="00324AD1"/>
    <w:rsid w:val="003250E0"/>
    <w:rsid w:val="00325158"/>
    <w:rsid w:val="003251DF"/>
    <w:rsid w:val="003253F5"/>
    <w:rsid w:val="00326843"/>
    <w:rsid w:val="00326A29"/>
    <w:rsid w:val="00326F30"/>
    <w:rsid w:val="00327323"/>
    <w:rsid w:val="0032750E"/>
    <w:rsid w:val="0033082F"/>
    <w:rsid w:val="00330C7D"/>
    <w:rsid w:val="00330E58"/>
    <w:rsid w:val="003310D5"/>
    <w:rsid w:val="00332030"/>
    <w:rsid w:val="00332192"/>
    <w:rsid w:val="00332261"/>
    <w:rsid w:val="0033231C"/>
    <w:rsid w:val="00332BDE"/>
    <w:rsid w:val="00333A8E"/>
    <w:rsid w:val="00333E21"/>
    <w:rsid w:val="00334632"/>
    <w:rsid w:val="00334680"/>
    <w:rsid w:val="00334DFE"/>
    <w:rsid w:val="0033552A"/>
    <w:rsid w:val="00335F90"/>
    <w:rsid w:val="003375C8"/>
    <w:rsid w:val="00337E98"/>
    <w:rsid w:val="003406B7"/>
    <w:rsid w:val="00340A63"/>
    <w:rsid w:val="00340D71"/>
    <w:rsid w:val="00341097"/>
    <w:rsid w:val="00342008"/>
    <w:rsid w:val="00342598"/>
    <w:rsid w:val="00342BE7"/>
    <w:rsid w:val="0034391D"/>
    <w:rsid w:val="003448CE"/>
    <w:rsid w:val="00344A11"/>
    <w:rsid w:val="00344AFB"/>
    <w:rsid w:val="00344F56"/>
    <w:rsid w:val="0034511D"/>
    <w:rsid w:val="00345CEC"/>
    <w:rsid w:val="00346B6C"/>
    <w:rsid w:val="00346D3E"/>
    <w:rsid w:val="00347128"/>
    <w:rsid w:val="003476F1"/>
    <w:rsid w:val="00347837"/>
    <w:rsid w:val="00347B52"/>
    <w:rsid w:val="00347D3B"/>
    <w:rsid w:val="003500A2"/>
    <w:rsid w:val="0035018B"/>
    <w:rsid w:val="00350349"/>
    <w:rsid w:val="00350630"/>
    <w:rsid w:val="0035081A"/>
    <w:rsid w:val="00350F2A"/>
    <w:rsid w:val="00351073"/>
    <w:rsid w:val="00351A91"/>
    <w:rsid w:val="003530FB"/>
    <w:rsid w:val="003531B3"/>
    <w:rsid w:val="00353623"/>
    <w:rsid w:val="00353BD2"/>
    <w:rsid w:val="00353C8E"/>
    <w:rsid w:val="00353E90"/>
    <w:rsid w:val="00353F93"/>
    <w:rsid w:val="00354D8B"/>
    <w:rsid w:val="00354EC2"/>
    <w:rsid w:val="00354EDF"/>
    <w:rsid w:val="00355F18"/>
    <w:rsid w:val="003560B2"/>
    <w:rsid w:val="00357221"/>
    <w:rsid w:val="00357E62"/>
    <w:rsid w:val="0036089E"/>
    <w:rsid w:val="0036111D"/>
    <w:rsid w:val="00361763"/>
    <w:rsid w:val="003618A1"/>
    <w:rsid w:val="00361950"/>
    <w:rsid w:val="00361D64"/>
    <w:rsid w:val="00361E44"/>
    <w:rsid w:val="00363395"/>
    <w:rsid w:val="003637E1"/>
    <w:rsid w:val="00363D8E"/>
    <w:rsid w:val="00363E13"/>
    <w:rsid w:val="00363E2D"/>
    <w:rsid w:val="00364B9B"/>
    <w:rsid w:val="00365233"/>
    <w:rsid w:val="00366CFC"/>
    <w:rsid w:val="00366DAF"/>
    <w:rsid w:val="00367380"/>
    <w:rsid w:val="00367F55"/>
    <w:rsid w:val="003708BE"/>
    <w:rsid w:val="00370BD7"/>
    <w:rsid w:val="00370FE9"/>
    <w:rsid w:val="00371008"/>
    <w:rsid w:val="00371FED"/>
    <w:rsid w:val="0037296B"/>
    <w:rsid w:val="00372C47"/>
    <w:rsid w:val="003730CE"/>
    <w:rsid w:val="003734A0"/>
    <w:rsid w:val="00373AB6"/>
    <w:rsid w:val="00374064"/>
    <w:rsid w:val="00375E6D"/>
    <w:rsid w:val="0037626F"/>
    <w:rsid w:val="00376693"/>
    <w:rsid w:val="003767B3"/>
    <w:rsid w:val="003768BA"/>
    <w:rsid w:val="00376CC7"/>
    <w:rsid w:val="00377DD2"/>
    <w:rsid w:val="00377F94"/>
    <w:rsid w:val="00380EC7"/>
    <w:rsid w:val="0038431C"/>
    <w:rsid w:val="003845CE"/>
    <w:rsid w:val="003846B1"/>
    <w:rsid w:val="003847E6"/>
    <w:rsid w:val="0038498F"/>
    <w:rsid w:val="00384DF2"/>
    <w:rsid w:val="0038533B"/>
    <w:rsid w:val="00385436"/>
    <w:rsid w:val="00385511"/>
    <w:rsid w:val="00386A8D"/>
    <w:rsid w:val="00386D3D"/>
    <w:rsid w:val="00386D68"/>
    <w:rsid w:val="00387197"/>
    <w:rsid w:val="00387D5B"/>
    <w:rsid w:val="00387EC2"/>
    <w:rsid w:val="00390336"/>
    <w:rsid w:val="003920B7"/>
    <w:rsid w:val="003923FE"/>
    <w:rsid w:val="003927F6"/>
    <w:rsid w:val="00392B2B"/>
    <w:rsid w:val="00392C4E"/>
    <w:rsid w:val="00393146"/>
    <w:rsid w:val="00393231"/>
    <w:rsid w:val="0039330E"/>
    <w:rsid w:val="00393CFB"/>
    <w:rsid w:val="0039562A"/>
    <w:rsid w:val="00395CEB"/>
    <w:rsid w:val="00395DB3"/>
    <w:rsid w:val="00395EE5"/>
    <w:rsid w:val="0039607A"/>
    <w:rsid w:val="0039669E"/>
    <w:rsid w:val="003977C3"/>
    <w:rsid w:val="00397D46"/>
    <w:rsid w:val="00397ED8"/>
    <w:rsid w:val="003A05B7"/>
    <w:rsid w:val="003A0AC6"/>
    <w:rsid w:val="003A1CC0"/>
    <w:rsid w:val="003A350F"/>
    <w:rsid w:val="003A3A0F"/>
    <w:rsid w:val="003A421B"/>
    <w:rsid w:val="003A4546"/>
    <w:rsid w:val="003A5503"/>
    <w:rsid w:val="003A6050"/>
    <w:rsid w:val="003A6939"/>
    <w:rsid w:val="003A69F5"/>
    <w:rsid w:val="003B022B"/>
    <w:rsid w:val="003B1544"/>
    <w:rsid w:val="003B2A99"/>
    <w:rsid w:val="003B2F63"/>
    <w:rsid w:val="003B3385"/>
    <w:rsid w:val="003B4119"/>
    <w:rsid w:val="003B46B5"/>
    <w:rsid w:val="003B575B"/>
    <w:rsid w:val="003B588B"/>
    <w:rsid w:val="003B5BFB"/>
    <w:rsid w:val="003B62D6"/>
    <w:rsid w:val="003B6436"/>
    <w:rsid w:val="003B6516"/>
    <w:rsid w:val="003B6631"/>
    <w:rsid w:val="003B7645"/>
    <w:rsid w:val="003B790C"/>
    <w:rsid w:val="003C1B13"/>
    <w:rsid w:val="003C23D0"/>
    <w:rsid w:val="003C3449"/>
    <w:rsid w:val="003C39EA"/>
    <w:rsid w:val="003C41BE"/>
    <w:rsid w:val="003C4279"/>
    <w:rsid w:val="003C4B50"/>
    <w:rsid w:val="003C4FF3"/>
    <w:rsid w:val="003C550D"/>
    <w:rsid w:val="003C5FC1"/>
    <w:rsid w:val="003C6ADD"/>
    <w:rsid w:val="003C79DD"/>
    <w:rsid w:val="003C7A29"/>
    <w:rsid w:val="003C7D82"/>
    <w:rsid w:val="003D09B8"/>
    <w:rsid w:val="003D0A0F"/>
    <w:rsid w:val="003D1775"/>
    <w:rsid w:val="003D18E8"/>
    <w:rsid w:val="003D1D13"/>
    <w:rsid w:val="003D231F"/>
    <w:rsid w:val="003D25C9"/>
    <w:rsid w:val="003D2C2B"/>
    <w:rsid w:val="003D3717"/>
    <w:rsid w:val="003D3A61"/>
    <w:rsid w:val="003D3B9D"/>
    <w:rsid w:val="003D4224"/>
    <w:rsid w:val="003D462E"/>
    <w:rsid w:val="003D4B52"/>
    <w:rsid w:val="003D50A4"/>
    <w:rsid w:val="003D643C"/>
    <w:rsid w:val="003D6789"/>
    <w:rsid w:val="003D6C51"/>
    <w:rsid w:val="003D6C5A"/>
    <w:rsid w:val="003D7015"/>
    <w:rsid w:val="003D7326"/>
    <w:rsid w:val="003D7614"/>
    <w:rsid w:val="003D76AB"/>
    <w:rsid w:val="003D7A46"/>
    <w:rsid w:val="003E07AA"/>
    <w:rsid w:val="003E0AA9"/>
    <w:rsid w:val="003E12A9"/>
    <w:rsid w:val="003E1531"/>
    <w:rsid w:val="003E19A2"/>
    <w:rsid w:val="003E3003"/>
    <w:rsid w:val="003E3561"/>
    <w:rsid w:val="003E3754"/>
    <w:rsid w:val="003E5736"/>
    <w:rsid w:val="003E6CCF"/>
    <w:rsid w:val="003E74B2"/>
    <w:rsid w:val="003E7C51"/>
    <w:rsid w:val="003E7F6A"/>
    <w:rsid w:val="003F00A9"/>
    <w:rsid w:val="003F0F1F"/>
    <w:rsid w:val="003F1A83"/>
    <w:rsid w:val="003F1FFC"/>
    <w:rsid w:val="003F2F98"/>
    <w:rsid w:val="003F3573"/>
    <w:rsid w:val="003F4367"/>
    <w:rsid w:val="003F4960"/>
    <w:rsid w:val="003F497E"/>
    <w:rsid w:val="003F5AEC"/>
    <w:rsid w:val="003F5C38"/>
    <w:rsid w:val="003F6063"/>
    <w:rsid w:val="003F606E"/>
    <w:rsid w:val="003F6A67"/>
    <w:rsid w:val="003F6CAE"/>
    <w:rsid w:val="003F7631"/>
    <w:rsid w:val="003F7BDB"/>
    <w:rsid w:val="00400393"/>
    <w:rsid w:val="004003EA"/>
    <w:rsid w:val="00400F03"/>
    <w:rsid w:val="004010D1"/>
    <w:rsid w:val="00402184"/>
    <w:rsid w:val="00402D8D"/>
    <w:rsid w:val="00402DE9"/>
    <w:rsid w:val="004033D5"/>
    <w:rsid w:val="00403A73"/>
    <w:rsid w:val="00403C47"/>
    <w:rsid w:val="00404582"/>
    <w:rsid w:val="004045F6"/>
    <w:rsid w:val="00405673"/>
    <w:rsid w:val="00405845"/>
    <w:rsid w:val="00406898"/>
    <w:rsid w:val="00406CB2"/>
    <w:rsid w:val="00406FA1"/>
    <w:rsid w:val="00407769"/>
    <w:rsid w:val="00407B14"/>
    <w:rsid w:val="00410502"/>
    <w:rsid w:val="004111C2"/>
    <w:rsid w:val="0041248C"/>
    <w:rsid w:val="00412757"/>
    <w:rsid w:val="00412BE2"/>
    <w:rsid w:val="004132EA"/>
    <w:rsid w:val="0041405C"/>
    <w:rsid w:val="0041420E"/>
    <w:rsid w:val="00414B5B"/>
    <w:rsid w:val="00414C11"/>
    <w:rsid w:val="00414DC4"/>
    <w:rsid w:val="00414FCF"/>
    <w:rsid w:val="00415331"/>
    <w:rsid w:val="0041535C"/>
    <w:rsid w:val="00415631"/>
    <w:rsid w:val="00416043"/>
    <w:rsid w:val="0041634B"/>
    <w:rsid w:val="00416E67"/>
    <w:rsid w:val="004171C7"/>
    <w:rsid w:val="0041728C"/>
    <w:rsid w:val="004173B7"/>
    <w:rsid w:val="00417D07"/>
    <w:rsid w:val="0042006E"/>
    <w:rsid w:val="0042145D"/>
    <w:rsid w:val="00422022"/>
    <w:rsid w:val="00422097"/>
    <w:rsid w:val="00422965"/>
    <w:rsid w:val="00422B69"/>
    <w:rsid w:val="0042326E"/>
    <w:rsid w:val="0042332F"/>
    <w:rsid w:val="0042351F"/>
    <w:rsid w:val="00423733"/>
    <w:rsid w:val="00423BF5"/>
    <w:rsid w:val="0042491F"/>
    <w:rsid w:val="00424AAB"/>
    <w:rsid w:val="0042507D"/>
    <w:rsid w:val="004254CA"/>
    <w:rsid w:val="004256C7"/>
    <w:rsid w:val="0042605F"/>
    <w:rsid w:val="0042621F"/>
    <w:rsid w:val="00426A5C"/>
    <w:rsid w:val="00426F58"/>
    <w:rsid w:val="004270AB"/>
    <w:rsid w:val="00427257"/>
    <w:rsid w:val="00427A54"/>
    <w:rsid w:val="00427AC4"/>
    <w:rsid w:val="00427C8C"/>
    <w:rsid w:val="00427FF6"/>
    <w:rsid w:val="00430A74"/>
    <w:rsid w:val="00430D2E"/>
    <w:rsid w:val="00432045"/>
    <w:rsid w:val="00432D3B"/>
    <w:rsid w:val="00432F60"/>
    <w:rsid w:val="0043405B"/>
    <w:rsid w:val="004340E3"/>
    <w:rsid w:val="00434303"/>
    <w:rsid w:val="0043479E"/>
    <w:rsid w:val="00434E5F"/>
    <w:rsid w:val="00435196"/>
    <w:rsid w:val="0043538B"/>
    <w:rsid w:val="004359CC"/>
    <w:rsid w:val="0043619C"/>
    <w:rsid w:val="00436EF7"/>
    <w:rsid w:val="00436F36"/>
    <w:rsid w:val="00436F9E"/>
    <w:rsid w:val="00437931"/>
    <w:rsid w:val="00440C6D"/>
    <w:rsid w:val="00441B32"/>
    <w:rsid w:val="00442347"/>
    <w:rsid w:val="004425F4"/>
    <w:rsid w:val="00442E21"/>
    <w:rsid w:val="004430A7"/>
    <w:rsid w:val="00443ECF"/>
    <w:rsid w:val="00443FAD"/>
    <w:rsid w:val="00444FA1"/>
    <w:rsid w:val="00445E49"/>
    <w:rsid w:val="00446820"/>
    <w:rsid w:val="00447D4A"/>
    <w:rsid w:val="0045048A"/>
    <w:rsid w:val="00450C19"/>
    <w:rsid w:val="004512DA"/>
    <w:rsid w:val="00451F5D"/>
    <w:rsid w:val="004532EA"/>
    <w:rsid w:val="0045344B"/>
    <w:rsid w:val="004534DC"/>
    <w:rsid w:val="00455236"/>
    <w:rsid w:val="00455B5D"/>
    <w:rsid w:val="00455E26"/>
    <w:rsid w:val="00455E36"/>
    <w:rsid w:val="004564BE"/>
    <w:rsid w:val="0045722D"/>
    <w:rsid w:val="0045727B"/>
    <w:rsid w:val="00457622"/>
    <w:rsid w:val="00457691"/>
    <w:rsid w:val="00457A0C"/>
    <w:rsid w:val="00457D86"/>
    <w:rsid w:val="00460474"/>
    <w:rsid w:val="004605B3"/>
    <w:rsid w:val="004607A5"/>
    <w:rsid w:val="0046097E"/>
    <w:rsid w:val="00461623"/>
    <w:rsid w:val="00461C3B"/>
    <w:rsid w:val="004623B7"/>
    <w:rsid w:val="00462739"/>
    <w:rsid w:val="00463652"/>
    <w:rsid w:val="00463BAC"/>
    <w:rsid w:val="00464533"/>
    <w:rsid w:val="00464BD0"/>
    <w:rsid w:val="00465171"/>
    <w:rsid w:val="004661FC"/>
    <w:rsid w:val="004662C1"/>
    <w:rsid w:val="00466831"/>
    <w:rsid w:val="00467047"/>
    <w:rsid w:val="0047057D"/>
    <w:rsid w:val="00470A55"/>
    <w:rsid w:val="00470D21"/>
    <w:rsid w:val="00471302"/>
    <w:rsid w:val="00471378"/>
    <w:rsid w:val="0047188E"/>
    <w:rsid w:val="00471F72"/>
    <w:rsid w:val="0047283F"/>
    <w:rsid w:val="00472CFD"/>
    <w:rsid w:val="00472E0F"/>
    <w:rsid w:val="00472EDB"/>
    <w:rsid w:val="00472FBB"/>
    <w:rsid w:val="00473186"/>
    <w:rsid w:val="0047398B"/>
    <w:rsid w:val="00473C8F"/>
    <w:rsid w:val="00473EEA"/>
    <w:rsid w:val="00474F4B"/>
    <w:rsid w:val="00475107"/>
    <w:rsid w:val="00475BD6"/>
    <w:rsid w:val="00476BF5"/>
    <w:rsid w:val="00477053"/>
    <w:rsid w:val="004802BC"/>
    <w:rsid w:val="00480F1E"/>
    <w:rsid w:val="00481287"/>
    <w:rsid w:val="0048259C"/>
    <w:rsid w:val="00482A58"/>
    <w:rsid w:val="00482EE9"/>
    <w:rsid w:val="00483526"/>
    <w:rsid w:val="00483746"/>
    <w:rsid w:val="004837ED"/>
    <w:rsid w:val="0048404C"/>
    <w:rsid w:val="00484222"/>
    <w:rsid w:val="00484A21"/>
    <w:rsid w:val="00484FAF"/>
    <w:rsid w:val="004850C3"/>
    <w:rsid w:val="00485250"/>
    <w:rsid w:val="004857D1"/>
    <w:rsid w:val="0048581C"/>
    <w:rsid w:val="00485993"/>
    <w:rsid w:val="00485C7C"/>
    <w:rsid w:val="004861B7"/>
    <w:rsid w:val="004876DF"/>
    <w:rsid w:val="00487CA4"/>
    <w:rsid w:val="00487F66"/>
    <w:rsid w:val="00490D9D"/>
    <w:rsid w:val="004912DD"/>
    <w:rsid w:val="0049143D"/>
    <w:rsid w:val="00491D96"/>
    <w:rsid w:val="0049263B"/>
    <w:rsid w:val="00493133"/>
    <w:rsid w:val="0049387B"/>
    <w:rsid w:val="0049392F"/>
    <w:rsid w:val="00493EFD"/>
    <w:rsid w:val="00493FF1"/>
    <w:rsid w:val="0049439C"/>
    <w:rsid w:val="00494CF4"/>
    <w:rsid w:val="004951D1"/>
    <w:rsid w:val="004958A4"/>
    <w:rsid w:val="004958DF"/>
    <w:rsid w:val="00495FC6"/>
    <w:rsid w:val="004960E6"/>
    <w:rsid w:val="00496835"/>
    <w:rsid w:val="00496B27"/>
    <w:rsid w:val="00497390"/>
    <w:rsid w:val="00497930"/>
    <w:rsid w:val="00497C04"/>
    <w:rsid w:val="00497DF4"/>
    <w:rsid w:val="004A06C5"/>
    <w:rsid w:val="004A0E21"/>
    <w:rsid w:val="004A20E5"/>
    <w:rsid w:val="004A261E"/>
    <w:rsid w:val="004A2FF6"/>
    <w:rsid w:val="004A322F"/>
    <w:rsid w:val="004A338B"/>
    <w:rsid w:val="004A36D1"/>
    <w:rsid w:val="004A3949"/>
    <w:rsid w:val="004A3A47"/>
    <w:rsid w:val="004A3CCE"/>
    <w:rsid w:val="004A4275"/>
    <w:rsid w:val="004A51A5"/>
    <w:rsid w:val="004A565F"/>
    <w:rsid w:val="004A5686"/>
    <w:rsid w:val="004A5F45"/>
    <w:rsid w:val="004A6032"/>
    <w:rsid w:val="004A6356"/>
    <w:rsid w:val="004A653E"/>
    <w:rsid w:val="004A6767"/>
    <w:rsid w:val="004A7BAD"/>
    <w:rsid w:val="004A7CFB"/>
    <w:rsid w:val="004A7F01"/>
    <w:rsid w:val="004B0576"/>
    <w:rsid w:val="004B0BAB"/>
    <w:rsid w:val="004B0F18"/>
    <w:rsid w:val="004B1088"/>
    <w:rsid w:val="004B15B1"/>
    <w:rsid w:val="004B2258"/>
    <w:rsid w:val="004B2364"/>
    <w:rsid w:val="004B2B92"/>
    <w:rsid w:val="004B3B31"/>
    <w:rsid w:val="004B446F"/>
    <w:rsid w:val="004B6220"/>
    <w:rsid w:val="004B635D"/>
    <w:rsid w:val="004B6A5A"/>
    <w:rsid w:val="004B76C8"/>
    <w:rsid w:val="004B78E6"/>
    <w:rsid w:val="004B7F49"/>
    <w:rsid w:val="004B7F82"/>
    <w:rsid w:val="004C0010"/>
    <w:rsid w:val="004C0429"/>
    <w:rsid w:val="004C1091"/>
    <w:rsid w:val="004C194D"/>
    <w:rsid w:val="004C1AFF"/>
    <w:rsid w:val="004C2C9C"/>
    <w:rsid w:val="004C363A"/>
    <w:rsid w:val="004C39F7"/>
    <w:rsid w:val="004C449F"/>
    <w:rsid w:val="004C5E0A"/>
    <w:rsid w:val="004C630F"/>
    <w:rsid w:val="004C6CA8"/>
    <w:rsid w:val="004C77EB"/>
    <w:rsid w:val="004C7C20"/>
    <w:rsid w:val="004D0026"/>
    <w:rsid w:val="004D00A9"/>
    <w:rsid w:val="004D013A"/>
    <w:rsid w:val="004D03D7"/>
    <w:rsid w:val="004D0978"/>
    <w:rsid w:val="004D0F09"/>
    <w:rsid w:val="004D15A5"/>
    <w:rsid w:val="004D1CB6"/>
    <w:rsid w:val="004D21EF"/>
    <w:rsid w:val="004D2E8A"/>
    <w:rsid w:val="004D3ABA"/>
    <w:rsid w:val="004D3AF1"/>
    <w:rsid w:val="004D48CE"/>
    <w:rsid w:val="004D4DDB"/>
    <w:rsid w:val="004D4EEB"/>
    <w:rsid w:val="004D617C"/>
    <w:rsid w:val="004D68C8"/>
    <w:rsid w:val="004D69CC"/>
    <w:rsid w:val="004D7733"/>
    <w:rsid w:val="004D7A6F"/>
    <w:rsid w:val="004D7AC9"/>
    <w:rsid w:val="004D7B5C"/>
    <w:rsid w:val="004E0073"/>
    <w:rsid w:val="004E026A"/>
    <w:rsid w:val="004E0630"/>
    <w:rsid w:val="004E064B"/>
    <w:rsid w:val="004E09CE"/>
    <w:rsid w:val="004E3053"/>
    <w:rsid w:val="004E35BE"/>
    <w:rsid w:val="004E3A9C"/>
    <w:rsid w:val="004E41D5"/>
    <w:rsid w:val="004E4A9A"/>
    <w:rsid w:val="004E4D01"/>
    <w:rsid w:val="004E4E0D"/>
    <w:rsid w:val="004E5941"/>
    <w:rsid w:val="004E76E7"/>
    <w:rsid w:val="004E79E3"/>
    <w:rsid w:val="004E7B9B"/>
    <w:rsid w:val="004F008D"/>
    <w:rsid w:val="004F0CC9"/>
    <w:rsid w:val="004F1276"/>
    <w:rsid w:val="004F136F"/>
    <w:rsid w:val="004F1A43"/>
    <w:rsid w:val="004F2553"/>
    <w:rsid w:val="004F2E95"/>
    <w:rsid w:val="004F48BD"/>
    <w:rsid w:val="004F4CEA"/>
    <w:rsid w:val="004F59E1"/>
    <w:rsid w:val="004F5C90"/>
    <w:rsid w:val="004F5FB1"/>
    <w:rsid w:val="004F6211"/>
    <w:rsid w:val="004F6490"/>
    <w:rsid w:val="004F65A8"/>
    <w:rsid w:val="004F6F01"/>
    <w:rsid w:val="004F71DB"/>
    <w:rsid w:val="004F7225"/>
    <w:rsid w:val="004F7755"/>
    <w:rsid w:val="004F7CF6"/>
    <w:rsid w:val="004F7D06"/>
    <w:rsid w:val="0050012A"/>
    <w:rsid w:val="00501A7C"/>
    <w:rsid w:val="005030B1"/>
    <w:rsid w:val="00503910"/>
    <w:rsid w:val="0050393D"/>
    <w:rsid w:val="00503C96"/>
    <w:rsid w:val="00503F54"/>
    <w:rsid w:val="00503F95"/>
    <w:rsid w:val="0050492B"/>
    <w:rsid w:val="00505777"/>
    <w:rsid w:val="00505801"/>
    <w:rsid w:val="0050615E"/>
    <w:rsid w:val="005074EE"/>
    <w:rsid w:val="005103C2"/>
    <w:rsid w:val="0051056F"/>
    <w:rsid w:val="005108C9"/>
    <w:rsid w:val="00510E2E"/>
    <w:rsid w:val="00510E33"/>
    <w:rsid w:val="00510F2D"/>
    <w:rsid w:val="005117E7"/>
    <w:rsid w:val="005117E9"/>
    <w:rsid w:val="00511952"/>
    <w:rsid w:val="0051215C"/>
    <w:rsid w:val="00512F33"/>
    <w:rsid w:val="005136A5"/>
    <w:rsid w:val="00513A0C"/>
    <w:rsid w:val="00514496"/>
    <w:rsid w:val="005149E7"/>
    <w:rsid w:val="00514A9D"/>
    <w:rsid w:val="00514E43"/>
    <w:rsid w:val="005157E6"/>
    <w:rsid w:val="00515BCF"/>
    <w:rsid w:val="00515D28"/>
    <w:rsid w:val="00516A40"/>
    <w:rsid w:val="00517953"/>
    <w:rsid w:val="005179D8"/>
    <w:rsid w:val="00517DEA"/>
    <w:rsid w:val="00520368"/>
    <w:rsid w:val="00521264"/>
    <w:rsid w:val="00521A8D"/>
    <w:rsid w:val="005228B5"/>
    <w:rsid w:val="00522983"/>
    <w:rsid w:val="00523AC3"/>
    <w:rsid w:val="00523CCF"/>
    <w:rsid w:val="00523EC6"/>
    <w:rsid w:val="0052466B"/>
    <w:rsid w:val="005247B7"/>
    <w:rsid w:val="00525ADE"/>
    <w:rsid w:val="00526525"/>
    <w:rsid w:val="00526571"/>
    <w:rsid w:val="00526E6C"/>
    <w:rsid w:val="00527917"/>
    <w:rsid w:val="00530056"/>
    <w:rsid w:val="00530524"/>
    <w:rsid w:val="00530685"/>
    <w:rsid w:val="00530D78"/>
    <w:rsid w:val="00530F46"/>
    <w:rsid w:val="00532220"/>
    <w:rsid w:val="0053267C"/>
    <w:rsid w:val="00532AD5"/>
    <w:rsid w:val="005331B2"/>
    <w:rsid w:val="00533423"/>
    <w:rsid w:val="00533DC4"/>
    <w:rsid w:val="005341AA"/>
    <w:rsid w:val="00534871"/>
    <w:rsid w:val="0053530E"/>
    <w:rsid w:val="0053550F"/>
    <w:rsid w:val="005355FD"/>
    <w:rsid w:val="00535753"/>
    <w:rsid w:val="00535A9B"/>
    <w:rsid w:val="00535E25"/>
    <w:rsid w:val="0053722E"/>
    <w:rsid w:val="005377A7"/>
    <w:rsid w:val="00537AFE"/>
    <w:rsid w:val="00540074"/>
    <w:rsid w:val="00540595"/>
    <w:rsid w:val="00541B5E"/>
    <w:rsid w:val="00542080"/>
    <w:rsid w:val="00543C7D"/>
    <w:rsid w:val="005445F8"/>
    <w:rsid w:val="00544683"/>
    <w:rsid w:val="005446DF"/>
    <w:rsid w:val="00545827"/>
    <w:rsid w:val="0054582D"/>
    <w:rsid w:val="005459C0"/>
    <w:rsid w:val="005465D5"/>
    <w:rsid w:val="005466C5"/>
    <w:rsid w:val="00546898"/>
    <w:rsid w:val="0054769E"/>
    <w:rsid w:val="00547825"/>
    <w:rsid w:val="00547DD1"/>
    <w:rsid w:val="00547ED9"/>
    <w:rsid w:val="00550E05"/>
    <w:rsid w:val="005510B0"/>
    <w:rsid w:val="0055151F"/>
    <w:rsid w:val="0055237E"/>
    <w:rsid w:val="00552F18"/>
    <w:rsid w:val="00553D15"/>
    <w:rsid w:val="00553F73"/>
    <w:rsid w:val="0055437C"/>
    <w:rsid w:val="00554E66"/>
    <w:rsid w:val="0055536F"/>
    <w:rsid w:val="00555397"/>
    <w:rsid w:val="005554C5"/>
    <w:rsid w:val="005560B0"/>
    <w:rsid w:val="00556871"/>
    <w:rsid w:val="00556C41"/>
    <w:rsid w:val="005576B7"/>
    <w:rsid w:val="005576EE"/>
    <w:rsid w:val="005607C6"/>
    <w:rsid w:val="0056091A"/>
    <w:rsid w:val="005610EA"/>
    <w:rsid w:val="005611C7"/>
    <w:rsid w:val="0056221A"/>
    <w:rsid w:val="005627B8"/>
    <w:rsid w:val="00563083"/>
    <w:rsid w:val="005639E1"/>
    <w:rsid w:val="00563E1F"/>
    <w:rsid w:val="00566BD5"/>
    <w:rsid w:val="005676D8"/>
    <w:rsid w:val="005676F4"/>
    <w:rsid w:val="00570140"/>
    <w:rsid w:val="0057050F"/>
    <w:rsid w:val="005706E9"/>
    <w:rsid w:val="00570772"/>
    <w:rsid w:val="00570C53"/>
    <w:rsid w:val="00570DF5"/>
    <w:rsid w:val="0057121D"/>
    <w:rsid w:val="00571768"/>
    <w:rsid w:val="00571828"/>
    <w:rsid w:val="00571DA7"/>
    <w:rsid w:val="005723E6"/>
    <w:rsid w:val="00572588"/>
    <w:rsid w:val="00572C48"/>
    <w:rsid w:val="00573042"/>
    <w:rsid w:val="0057330B"/>
    <w:rsid w:val="005738A0"/>
    <w:rsid w:val="00573ACE"/>
    <w:rsid w:val="00573F43"/>
    <w:rsid w:val="005747F2"/>
    <w:rsid w:val="005748AF"/>
    <w:rsid w:val="00574E10"/>
    <w:rsid w:val="00574F13"/>
    <w:rsid w:val="00575593"/>
    <w:rsid w:val="00575ECF"/>
    <w:rsid w:val="005764F9"/>
    <w:rsid w:val="00576A64"/>
    <w:rsid w:val="00576E3E"/>
    <w:rsid w:val="00577250"/>
    <w:rsid w:val="00577A3F"/>
    <w:rsid w:val="00581434"/>
    <w:rsid w:val="00581497"/>
    <w:rsid w:val="0058149E"/>
    <w:rsid w:val="00581AB7"/>
    <w:rsid w:val="00581F00"/>
    <w:rsid w:val="00582314"/>
    <w:rsid w:val="00582CEE"/>
    <w:rsid w:val="005830B7"/>
    <w:rsid w:val="005836F7"/>
    <w:rsid w:val="0058396C"/>
    <w:rsid w:val="00584805"/>
    <w:rsid w:val="00584849"/>
    <w:rsid w:val="00584BE5"/>
    <w:rsid w:val="00584E6B"/>
    <w:rsid w:val="005850A7"/>
    <w:rsid w:val="0058586A"/>
    <w:rsid w:val="00585BF5"/>
    <w:rsid w:val="00585CCE"/>
    <w:rsid w:val="00586316"/>
    <w:rsid w:val="00586703"/>
    <w:rsid w:val="00586D98"/>
    <w:rsid w:val="00587569"/>
    <w:rsid w:val="00587E48"/>
    <w:rsid w:val="00590087"/>
    <w:rsid w:val="00590444"/>
    <w:rsid w:val="00590BF6"/>
    <w:rsid w:val="0059129F"/>
    <w:rsid w:val="00593876"/>
    <w:rsid w:val="0059421C"/>
    <w:rsid w:val="00594638"/>
    <w:rsid w:val="00594C26"/>
    <w:rsid w:val="00595502"/>
    <w:rsid w:val="00595A86"/>
    <w:rsid w:val="00595EE3"/>
    <w:rsid w:val="00597D9E"/>
    <w:rsid w:val="005A003A"/>
    <w:rsid w:val="005A064A"/>
    <w:rsid w:val="005A08E7"/>
    <w:rsid w:val="005A0EAB"/>
    <w:rsid w:val="005A22B5"/>
    <w:rsid w:val="005A266C"/>
    <w:rsid w:val="005A2D9E"/>
    <w:rsid w:val="005A2FF5"/>
    <w:rsid w:val="005A3A41"/>
    <w:rsid w:val="005A3C96"/>
    <w:rsid w:val="005A4175"/>
    <w:rsid w:val="005A44DD"/>
    <w:rsid w:val="005A4AD6"/>
    <w:rsid w:val="005A4B59"/>
    <w:rsid w:val="005A5543"/>
    <w:rsid w:val="005A5802"/>
    <w:rsid w:val="005A61B2"/>
    <w:rsid w:val="005A64FD"/>
    <w:rsid w:val="005A6BEB"/>
    <w:rsid w:val="005A7817"/>
    <w:rsid w:val="005B0079"/>
    <w:rsid w:val="005B0B3A"/>
    <w:rsid w:val="005B0DB3"/>
    <w:rsid w:val="005B130F"/>
    <w:rsid w:val="005B141D"/>
    <w:rsid w:val="005B184E"/>
    <w:rsid w:val="005B2301"/>
    <w:rsid w:val="005B2933"/>
    <w:rsid w:val="005B2F13"/>
    <w:rsid w:val="005B2F62"/>
    <w:rsid w:val="005B3044"/>
    <w:rsid w:val="005B34BF"/>
    <w:rsid w:val="005B3C5F"/>
    <w:rsid w:val="005B3CEC"/>
    <w:rsid w:val="005B4018"/>
    <w:rsid w:val="005B4743"/>
    <w:rsid w:val="005B51D3"/>
    <w:rsid w:val="005B5506"/>
    <w:rsid w:val="005B5A6A"/>
    <w:rsid w:val="005B5C76"/>
    <w:rsid w:val="005B5E55"/>
    <w:rsid w:val="005B6F62"/>
    <w:rsid w:val="005B7557"/>
    <w:rsid w:val="005B7C6E"/>
    <w:rsid w:val="005B7EA3"/>
    <w:rsid w:val="005C029B"/>
    <w:rsid w:val="005C04BB"/>
    <w:rsid w:val="005C08C3"/>
    <w:rsid w:val="005C1307"/>
    <w:rsid w:val="005C1842"/>
    <w:rsid w:val="005C1FEF"/>
    <w:rsid w:val="005C2C94"/>
    <w:rsid w:val="005C2DB4"/>
    <w:rsid w:val="005C31E9"/>
    <w:rsid w:val="005C367D"/>
    <w:rsid w:val="005C3A0B"/>
    <w:rsid w:val="005C3A68"/>
    <w:rsid w:val="005C3E73"/>
    <w:rsid w:val="005C4625"/>
    <w:rsid w:val="005C48AD"/>
    <w:rsid w:val="005C508E"/>
    <w:rsid w:val="005C544E"/>
    <w:rsid w:val="005C55E7"/>
    <w:rsid w:val="005C56CB"/>
    <w:rsid w:val="005C5BD6"/>
    <w:rsid w:val="005C65D9"/>
    <w:rsid w:val="005C67F7"/>
    <w:rsid w:val="005C6F9C"/>
    <w:rsid w:val="005C7341"/>
    <w:rsid w:val="005C74A0"/>
    <w:rsid w:val="005C7538"/>
    <w:rsid w:val="005C77FF"/>
    <w:rsid w:val="005C7A8B"/>
    <w:rsid w:val="005C7CD0"/>
    <w:rsid w:val="005D028D"/>
    <w:rsid w:val="005D0A83"/>
    <w:rsid w:val="005D0AF6"/>
    <w:rsid w:val="005D13AF"/>
    <w:rsid w:val="005D1474"/>
    <w:rsid w:val="005D1C16"/>
    <w:rsid w:val="005D29F7"/>
    <w:rsid w:val="005D2BBC"/>
    <w:rsid w:val="005D2D5E"/>
    <w:rsid w:val="005D330A"/>
    <w:rsid w:val="005D4674"/>
    <w:rsid w:val="005D469F"/>
    <w:rsid w:val="005D4C10"/>
    <w:rsid w:val="005D531C"/>
    <w:rsid w:val="005D59D6"/>
    <w:rsid w:val="005D5D35"/>
    <w:rsid w:val="005D670F"/>
    <w:rsid w:val="005D6858"/>
    <w:rsid w:val="005D6F25"/>
    <w:rsid w:val="005D7174"/>
    <w:rsid w:val="005E0911"/>
    <w:rsid w:val="005E0C40"/>
    <w:rsid w:val="005E14F9"/>
    <w:rsid w:val="005E1C77"/>
    <w:rsid w:val="005E1F26"/>
    <w:rsid w:val="005E29A6"/>
    <w:rsid w:val="005E2AAA"/>
    <w:rsid w:val="005E2C56"/>
    <w:rsid w:val="005E38F4"/>
    <w:rsid w:val="005E3ADE"/>
    <w:rsid w:val="005E3F81"/>
    <w:rsid w:val="005E4AF7"/>
    <w:rsid w:val="005E4DCC"/>
    <w:rsid w:val="005E5427"/>
    <w:rsid w:val="005E5A1F"/>
    <w:rsid w:val="005E654F"/>
    <w:rsid w:val="005F008A"/>
    <w:rsid w:val="005F0500"/>
    <w:rsid w:val="005F05B1"/>
    <w:rsid w:val="005F061B"/>
    <w:rsid w:val="005F0635"/>
    <w:rsid w:val="005F07FF"/>
    <w:rsid w:val="005F0A11"/>
    <w:rsid w:val="005F0ADA"/>
    <w:rsid w:val="005F0F9D"/>
    <w:rsid w:val="005F1082"/>
    <w:rsid w:val="005F1F02"/>
    <w:rsid w:val="005F21EF"/>
    <w:rsid w:val="005F316C"/>
    <w:rsid w:val="005F3176"/>
    <w:rsid w:val="005F3FD0"/>
    <w:rsid w:val="005F48CB"/>
    <w:rsid w:val="005F5D9D"/>
    <w:rsid w:val="005F77BF"/>
    <w:rsid w:val="005F79DE"/>
    <w:rsid w:val="00600084"/>
    <w:rsid w:val="0060032C"/>
    <w:rsid w:val="00600516"/>
    <w:rsid w:val="006008D8"/>
    <w:rsid w:val="00600CDF"/>
    <w:rsid w:val="00600F8B"/>
    <w:rsid w:val="00601A99"/>
    <w:rsid w:val="00602387"/>
    <w:rsid w:val="00602FB1"/>
    <w:rsid w:val="0060344D"/>
    <w:rsid w:val="0060399E"/>
    <w:rsid w:val="00604A3A"/>
    <w:rsid w:val="006050A0"/>
    <w:rsid w:val="00607125"/>
    <w:rsid w:val="0060715B"/>
    <w:rsid w:val="00610044"/>
    <w:rsid w:val="0061052A"/>
    <w:rsid w:val="00610639"/>
    <w:rsid w:val="006123B0"/>
    <w:rsid w:val="006134AA"/>
    <w:rsid w:val="00613E22"/>
    <w:rsid w:val="006142C2"/>
    <w:rsid w:val="0061576A"/>
    <w:rsid w:val="00617199"/>
    <w:rsid w:val="006178B3"/>
    <w:rsid w:val="00617EBE"/>
    <w:rsid w:val="00620D32"/>
    <w:rsid w:val="00621133"/>
    <w:rsid w:val="006213C3"/>
    <w:rsid w:val="006214B7"/>
    <w:rsid w:val="00621707"/>
    <w:rsid w:val="00621AF9"/>
    <w:rsid w:val="00621D24"/>
    <w:rsid w:val="00622954"/>
    <w:rsid w:val="00622C57"/>
    <w:rsid w:val="00622F25"/>
    <w:rsid w:val="0062374B"/>
    <w:rsid w:val="00623AAD"/>
    <w:rsid w:val="00624046"/>
    <w:rsid w:val="0062404D"/>
    <w:rsid w:val="00624079"/>
    <w:rsid w:val="006248F5"/>
    <w:rsid w:val="00624E7F"/>
    <w:rsid w:val="00624EDC"/>
    <w:rsid w:val="006260C9"/>
    <w:rsid w:val="00627D0E"/>
    <w:rsid w:val="00630435"/>
    <w:rsid w:val="00630924"/>
    <w:rsid w:val="00630CD4"/>
    <w:rsid w:val="00630F6C"/>
    <w:rsid w:val="00632492"/>
    <w:rsid w:val="00632F85"/>
    <w:rsid w:val="006334D1"/>
    <w:rsid w:val="00633BDE"/>
    <w:rsid w:val="006349B4"/>
    <w:rsid w:val="00635B24"/>
    <w:rsid w:val="00635FB2"/>
    <w:rsid w:val="00636661"/>
    <w:rsid w:val="0063704C"/>
    <w:rsid w:val="00637335"/>
    <w:rsid w:val="00637C89"/>
    <w:rsid w:val="006400F6"/>
    <w:rsid w:val="00640C4B"/>
    <w:rsid w:val="0064107D"/>
    <w:rsid w:val="0064116B"/>
    <w:rsid w:val="006411BD"/>
    <w:rsid w:val="00641BEC"/>
    <w:rsid w:val="00643657"/>
    <w:rsid w:val="00643678"/>
    <w:rsid w:val="00643A86"/>
    <w:rsid w:val="00644616"/>
    <w:rsid w:val="0064503D"/>
    <w:rsid w:val="00645609"/>
    <w:rsid w:val="0064573E"/>
    <w:rsid w:val="00645AE5"/>
    <w:rsid w:val="00646608"/>
    <w:rsid w:val="00646E25"/>
    <w:rsid w:val="00647521"/>
    <w:rsid w:val="00647D0A"/>
    <w:rsid w:val="00650770"/>
    <w:rsid w:val="006507F2"/>
    <w:rsid w:val="00650D54"/>
    <w:rsid w:val="00650F6D"/>
    <w:rsid w:val="00651CCC"/>
    <w:rsid w:val="006526D0"/>
    <w:rsid w:val="00652993"/>
    <w:rsid w:val="006537D2"/>
    <w:rsid w:val="00653F7F"/>
    <w:rsid w:val="00654316"/>
    <w:rsid w:val="00654B86"/>
    <w:rsid w:val="00654D94"/>
    <w:rsid w:val="00654DD9"/>
    <w:rsid w:val="00654E05"/>
    <w:rsid w:val="0065513D"/>
    <w:rsid w:val="0065534A"/>
    <w:rsid w:val="00655A82"/>
    <w:rsid w:val="00656067"/>
    <w:rsid w:val="0065614E"/>
    <w:rsid w:val="00656DFA"/>
    <w:rsid w:val="00656FD2"/>
    <w:rsid w:val="00657132"/>
    <w:rsid w:val="0065717B"/>
    <w:rsid w:val="006571E7"/>
    <w:rsid w:val="00657531"/>
    <w:rsid w:val="00657702"/>
    <w:rsid w:val="00657894"/>
    <w:rsid w:val="00657C24"/>
    <w:rsid w:val="00657CDF"/>
    <w:rsid w:val="00657D80"/>
    <w:rsid w:val="006600F2"/>
    <w:rsid w:val="00660B69"/>
    <w:rsid w:val="00660E84"/>
    <w:rsid w:val="00661DE0"/>
    <w:rsid w:val="00662BB7"/>
    <w:rsid w:val="006632A4"/>
    <w:rsid w:val="006641E3"/>
    <w:rsid w:val="006643E4"/>
    <w:rsid w:val="0066452C"/>
    <w:rsid w:val="0066516C"/>
    <w:rsid w:val="006651A1"/>
    <w:rsid w:val="00665B0B"/>
    <w:rsid w:val="00665C7B"/>
    <w:rsid w:val="00666D5A"/>
    <w:rsid w:val="006672A1"/>
    <w:rsid w:val="0066777A"/>
    <w:rsid w:val="0067023D"/>
    <w:rsid w:val="0067077A"/>
    <w:rsid w:val="0067102A"/>
    <w:rsid w:val="00671A44"/>
    <w:rsid w:val="00671CEC"/>
    <w:rsid w:val="0067240C"/>
    <w:rsid w:val="006724C1"/>
    <w:rsid w:val="00672E69"/>
    <w:rsid w:val="00672F38"/>
    <w:rsid w:val="00673D73"/>
    <w:rsid w:val="00674348"/>
    <w:rsid w:val="0067464D"/>
    <w:rsid w:val="00674699"/>
    <w:rsid w:val="00674B20"/>
    <w:rsid w:val="00675041"/>
    <w:rsid w:val="006767DD"/>
    <w:rsid w:val="00676C9E"/>
    <w:rsid w:val="0067704C"/>
    <w:rsid w:val="00677601"/>
    <w:rsid w:val="00677634"/>
    <w:rsid w:val="00677C8C"/>
    <w:rsid w:val="00681308"/>
    <w:rsid w:val="0068170D"/>
    <w:rsid w:val="00681D4D"/>
    <w:rsid w:val="00682BE8"/>
    <w:rsid w:val="00682DF7"/>
    <w:rsid w:val="00683585"/>
    <w:rsid w:val="00683C56"/>
    <w:rsid w:val="00684306"/>
    <w:rsid w:val="0068435E"/>
    <w:rsid w:val="00684608"/>
    <w:rsid w:val="00684AB0"/>
    <w:rsid w:val="00684B03"/>
    <w:rsid w:val="00686143"/>
    <w:rsid w:val="0068617D"/>
    <w:rsid w:val="006861BC"/>
    <w:rsid w:val="006865AC"/>
    <w:rsid w:val="0068679C"/>
    <w:rsid w:val="006869E0"/>
    <w:rsid w:val="00687E70"/>
    <w:rsid w:val="00690050"/>
    <w:rsid w:val="0069078A"/>
    <w:rsid w:val="006917E4"/>
    <w:rsid w:val="00691892"/>
    <w:rsid w:val="00691DF1"/>
    <w:rsid w:val="00691F34"/>
    <w:rsid w:val="006921B1"/>
    <w:rsid w:val="006923FD"/>
    <w:rsid w:val="006926CB"/>
    <w:rsid w:val="006928D0"/>
    <w:rsid w:val="00693206"/>
    <w:rsid w:val="00693B28"/>
    <w:rsid w:val="00693E57"/>
    <w:rsid w:val="00695507"/>
    <w:rsid w:val="00695677"/>
    <w:rsid w:val="006959A2"/>
    <w:rsid w:val="006962E2"/>
    <w:rsid w:val="00696634"/>
    <w:rsid w:val="0069718B"/>
    <w:rsid w:val="00697BF7"/>
    <w:rsid w:val="006A02E1"/>
    <w:rsid w:val="006A04AF"/>
    <w:rsid w:val="006A0A23"/>
    <w:rsid w:val="006A10FE"/>
    <w:rsid w:val="006A19CD"/>
    <w:rsid w:val="006A1B1D"/>
    <w:rsid w:val="006A2078"/>
    <w:rsid w:val="006A20EA"/>
    <w:rsid w:val="006A2137"/>
    <w:rsid w:val="006A3D31"/>
    <w:rsid w:val="006A45D5"/>
    <w:rsid w:val="006A53A8"/>
    <w:rsid w:val="006A59EA"/>
    <w:rsid w:val="006A6EB2"/>
    <w:rsid w:val="006A7264"/>
    <w:rsid w:val="006B03E8"/>
    <w:rsid w:val="006B08FD"/>
    <w:rsid w:val="006B0C46"/>
    <w:rsid w:val="006B0F31"/>
    <w:rsid w:val="006B1305"/>
    <w:rsid w:val="006B1731"/>
    <w:rsid w:val="006B1A07"/>
    <w:rsid w:val="006B1ECB"/>
    <w:rsid w:val="006B2394"/>
    <w:rsid w:val="006B3739"/>
    <w:rsid w:val="006B4837"/>
    <w:rsid w:val="006B5263"/>
    <w:rsid w:val="006B5418"/>
    <w:rsid w:val="006B54E8"/>
    <w:rsid w:val="006B58B3"/>
    <w:rsid w:val="006B6826"/>
    <w:rsid w:val="006B683C"/>
    <w:rsid w:val="006B701C"/>
    <w:rsid w:val="006B7303"/>
    <w:rsid w:val="006B7440"/>
    <w:rsid w:val="006B75F0"/>
    <w:rsid w:val="006B78C6"/>
    <w:rsid w:val="006C0D31"/>
    <w:rsid w:val="006C1043"/>
    <w:rsid w:val="006C1630"/>
    <w:rsid w:val="006C1A18"/>
    <w:rsid w:val="006C1C72"/>
    <w:rsid w:val="006C2481"/>
    <w:rsid w:val="006C2644"/>
    <w:rsid w:val="006C281E"/>
    <w:rsid w:val="006C300F"/>
    <w:rsid w:val="006C30B0"/>
    <w:rsid w:val="006C3DC1"/>
    <w:rsid w:val="006C4636"/>
    <w:rsid w:val="006C4FCD"/>
    <w:rsid w:val="006C5F09"/>
    <w:rsid w:val="006C7198"/>
    <w:rsid w:val="006C75C7"/>
    <w:rsid w:val="006D0088"/>
    <w:rsid w:val="006D1376"/>
    <w:rsid w:val="006D17A5"/>
    <w:rsid w:val="006D26CF"/>
    <w:rsid w:val="006D2775"/>
    <w:rsid w:val="006D28A9"/>
    <w:rsid w:val="006D2F98"/>
    <w:rsid w:val="006D3318"/>
    <w:rsid w:val="006D3639"/>
    <w:rsid w:val="006D472D"/>
    <w:rsid w:val="006D4957"/>
    <w:rsid w:val="006D5773"/>
    <w:rsid w:val="006D585F"/>
    <w:rsid w:val="006D5935"/>
    <w:rsid w:val="006D5D81"/>
    <w:rsid w:val="006D6802"/>
    <w:rsid w:val="006D6DBF"/>
    <w:rsid w:val="006E05F9"/>
    <w:rsid w:val="006E0C10"/>
    <w:rsid w:val="006E0C8A"/>
    <w:rsid w:val="006E2072"/>
    <w:rsid w:val="006E25C0"/>
    <w:rsid w:val="006E2668"/>
    <w:rsid w:val="006E292C"/>
    <w:rsid w:val="006E2F07"/>
    <w:rsid w:val="006E307C"/>
    <w:rsid w:val="006E35E5"/>
    <w:rsid w:val="006E3708"/>
    <w:rsid w:val="006E3735"/>
    <w:rsid w:val="006E3ACD"/>
    <w:rsid w:val="006E3DF6"/>
    <w:rsid w:val="006E467E"/>
    <w:rsid w:val="006E4BBE"/>
    <w:rsid w:val="006E4EDB"/>
    <w:rsid w:val="006E592E"/>
    <w:rsid w:val="006E5B05"/>
    <w:rsid w:val="006E5B82"/>
    <w:rsid w:val="006E6414"/>
    <w:rsid w:val="006E670D"/>
    <w:rsid w:val="006F07A4"/>
    <w:rsid w:val="006F105A"/>
    <w:rsid w:val="006F1A4D"/>
    <w:rsid w:val="006F1AAB"/>
    <w:rsid w:val="006F1FA1"/>
    <w:rsid w:val="006F315B"/>
    <w:rsid w:val="006F34FF"/>
    <w:rsid w:val="006F39CB"/>
    <w:rsid w:val="006F4974"/>
    <w:rsid w:val="006F4D08"/>
    <w:rsid w:val="006F5A4A"/>
    <w:rsid w:val="006F5D65"/>
    <w:rsid w:val="006F627D"/>
    <w:rsid w:val="006F67B5"/>
    <w:rsid w:val="006F6951"/>
    <w:rsid w:val="006F6E9B"/>
    <w:rsid w:val="006F7789"/>
    <w:rsid w:val="00700321"/>
    <w:rsid w:val="00701548"/>
    <w:rsid w:val="007016DE"/>
    <w:rsid w:val="00701795"/>
    <w:rsid w:val="00701F3B"/>
    <w:rsid w:val="00701FBC"/>
    <w:rsid w:val="00703205"/>
    <w:rsid w:val="00703563"/>
    <w:rsid w:val="007036E9"/>
    <w:rsid w:val="0070390D"/>
    <w:rsid w:val="00703B8C"/>
    <w:rsid w:val="007042CC"/>
    <w:rsid w:val="00706194"/>
    <w:rsid w:val="00706344"/>
    <w:rsid w:val="00706C9E"/>
    <w:rsid w:val="00706EA5"/>
    <w:rsid w:val="007071F4"/>
    <w:rsid w:val="00710588"/>
    <w:rsid w:val="00711709"/>
    <w:rsid w:val="007118F1"/>
    <w:rsid w:val="00711FDA"/>
    <w:rsid w:val="00712415"/>
    <w:rsid w:val="00712F61"/>
    <w:rsid w:val="00714389"/>
    <w:rsid w:val="00714EEA"/>
    <w:rsid w:val="00715490"/>
    <w:rsid w:val="007159BB"/>
    <w:rsid w:val="00715C27"/>
    <w:rsid w:val="00716832"/>
    <w:rsid w:val="00716AFB"/>
    <w:rsid w:val="007173A6"/>
    <w:rsid w:val="0071793A"/>
    <w:rsid w:val="00717C1F"/>
    <w:rsid w:val="00717E06"/>
    <w:rsid w:val="00717E52"/>
    <w:rsid w:val="00720208"/>
    <w:rsid w:val="0072105C"/>
    <w:rsid w:val="00721164"/>
    <w:rsid w:val="0072161B"/>
    <w:rsid w:val="0072441B"/>
    <w:rsid w:val="007248EE"/>
    <w:rsid w:val="00724E7D"/>
    <w:rsid w:val="0072560E"/>
    <w:rsid w:val="007257BA"/>
    <w:rsid w:val="00726236"/>
    <w:rsid w:val="0072737B"/>
    <w:rsid w:val="00727B04"/>
    <w:rsid w:val="00730ADC"/>
    <w:rsid w:val="00731450"/>
    <w:rsid w:val="007314A3"/>
    <w:rsid w:val="007318F9"/>
    <w:rsid w:val="00731DB2"/>
    <w:rsid w:val="007320CA"/>
    <w:rsid w:val="0073232C"/>
    <w:rsid w:val="00732AF5"/>
    <w:rsid w:val="007337C6"/>
    <w:rsid w:val="00733E85"/>
    <w:rsid w:val="00734239"/>
    <w:rsid w:val="007342DB"/>
    <w:rsid w:val="00734531"/>
    <w:rsid w:val="00734ED6"/>
    <w:rsid w:val="00735146"/>
    <w:rsid w:val="00735D49"/>
    <w:rsid w:val="00736B33"/>
    <w:rsid w:val="00736BA2"/>
    <w:rsid w:val="00736C5A"/>
    <w:rsid w:val="00736EB3"/>
    <w:rsid w:val="0073768F"/>
    <w:rsid w:val="00740180"/>
    <w:rsid w:val="00740DE4"/>
    <w:rsid w:val="00741884"/>
    <w:rsid w:val="00743DA1"/>
    <w:rsid w:val="0074464B"/>
    <w:rsid w:val="0074475A"/>
    <w:rsid w:val="0074497B"/>
    <w:rsid w:val="00744BF2"/>
    <w:rsid w:val="007458F0"/>
    <w:rsid w:val="007459AE"/>
    <w:rsid w:val="00745DA8"/>
    <w:rsid w:val="007465D9"/>
    <w:rsid w:val="00746855"/>
    <w:rsid w:val="00746D23"/>
    <w:rsid w:val="007470B5"/>
    <w:rsid w:val="007471F8"/>
    <w:rsid w:val="00747701"/>
    <w:rsid w:val="00747B21"/>
    <w:rsid w:val="007502A3"/>
    <w:rsid w:val="007503DF"/>
    <w:rsid w:val="00750C2A"/>
    <w:rsid w:val="00750F79"/>
    <w:rsid w:val="007518CA"/>
    <w:rsid w:val="00751C54"/>
    <w:rsid w:val="007530A8"/>
    <w:rsid w:val="00753392"/>
    <w:rsid w:val="007534B1"/>
    <w:rsid w:val="00754573"/>
    <w:rsid w:val="00754E05"/>
    <w:rsid w:val="00754FB0"/>
    <w:rsid w:val="00755C36"/>
    <w:rsid w:val="00755D06"/>
    <w:rsid w:val="00756C62"/>
    <w:rsid w:val="00757930"/>
    <w:rsid w:val="007600B5"/>
    <w:rsid w:val="00760225"/>
    <w:rsid w:val="00760817"/>
    <w:rsid w:val="00762086"/>
    <w:rsid w:val="00763091"/>
    <w:rsid w:val="00763278"/>
    <w:rsid w:val="007637C7"/>
    <w:rsid w:val="0076389B"/>
    <w:rsid w:val="007638D8"/>
    <w:rsid w:val="00764029"/>
    <w:rsid w:val="00764074"/>
    <w:rsid w:val="00764306"/>
    <w:rsid w:val="00764401"/>
    <w:rsid w:val="007646CB"/>
    <w:rsid w:val="00765996"/>
    <w:rsid w:val="007659B3"/>
    <w:rsid w:val="0076677F"/>
    <w:rsid w:val="007674E5"/>
    <w:rsid w:val="0077099E"/>
    <w:rsid w:val="00770BF7"/>
    <w:rsid w:val="00770D73"/>
    <w:rsid w:val="00770FD1"/>
    <w:rsid w:val="00770FDB"/>
    <w:rsid w:val="007716CB"/>
    <w:rsid w:val="00772C23"/>
    <w:rsid w:val="00772C96"/>
    <w:rsid w:val="007731C2"/>
    <w:rsid w:val="00773987"/>
    <w:rsid w:val="00773D72"/>
    <w:rsid w:val="007747F3"/>
    <w:rsid w:val="00775F1B"/>
    <w:rsid w:val="00776104"/>
    <w:rsid w:val="00776642"/>
    <w:rsid w:val="007769FA"/>
    <w:rsid w:val="007775BA"/>
    <w:rsid w:val="007777D3"/>
    <w:rsid w:val="007778AA"/>
    <w:rsid w:val="00777AA6"/>
    <w:rsid w:val="007809FA"/>
    <w:rsid w:val="00781DE1"/>
    <w:rsid w:val="0078205F"/>
    <w:rsid w:val="00782205"/>
    <w:rsid w:val="00782F89"/>
    <w:rsid w:val="00784107"/>
    <w:rsid w:val="007848AB"/>
    <w:rsid w:val="007848B9"/>
    <w:rsid w:val="00784BCC"/>
    <w:rsid w:val="007850EC"/>
    <w:rsid w:val="00785C98"/>
    <w:rsid w:val="00785EE5"/>
    <w:rsid w:val="00785F81"/>
    <w:rsid w:val="007861A4"/>
    <w:rsid w:val="00786384"/>
    <w:rsid w:val="00786A0A"/>
    <w:rsid w:val="00786B8A"/>
    <w:rsid w:val="00787D45"/>
    <w:rsid w:val="007901FE"/>
    <w:rsid w:val="0079079F"/>
    <w:rsid w:val="00790F77"/>
    <w:rsid w:val="00791C52"/>
    <w:rsid w:val="00792621"/>
    <w:rsid w:val="007937AE"/>
    <w:rsid w:val="00793D5E"/>
    <w:rsid w:val="00793DDA"/>
    <w:rsid w:val="0079435E"/>
    <w:rsid w:val="00794B2F"/>
    <w:rsid w:val="00794DEC"/>
    <w:rsid w:val="00795416"/>
    <w:rsid w:val="00795848"/>
    <w:rsid w:val="00795C37"/>
    <w:rsid w:val="00795D1B"/>
    <w:rsid w:val="00796E05"/>
    <w:rsid w:val="00797BB4"/>
    <w:rsid w:val="007A002D"/>
    <w:rsid w:val="007A0176"/>
    <w:rsid w:val="007A032A"/>
    <w:rsid w:val="007A0AE3"/>
    <w:rsid w:val="007A22B6"/>
    <w:rsid w:val="007A2F5D"/>
    <w:rsid w:val="007A314E"/>
    <w:rsid w:val="007A3350"/>
    <w:rsid w:val="007A3549"/>
    <w:rsid w:val="007A3D9A"/>
    <w:rsid w:val="007A47DB"/>
    <w:rsid w:val="007A510E"/>
    <w:rsid w:val="007A5395"/>
    <w:rsid w:val="007A553C"/>
    <w:rsid w:val="007A5B2E"/>
    <w:rsid w:val="007A5C7E"/>
    <w:rsid w:val="007A6B5C"/>
    <w:rsid w:val="007A6B9E"/>
    <w:rsid w:val="007A6BEB"/>
    <w:rsid w:val="007A7274"/>
    <w:rsid w:val="007A7550"/>
    <w:rsid w:val="007A763E"/>
    <w:rsid w:val="007A7C7C"/>
    <w:rsid w:val="007A7ECB"/>
    <w:rsid w:val="007B0FC0"/>
    <w:rsid w:val="007B1326"/>
    <w:rsid w:val="007B1670"/>
    <w:rsid w:val="007B17C2"/>
    <w:rsid w:val="007B1A5A"/>
    <w:rsid w:val="007B1AD4"/>
    <w:rsid w:val="007B2163"/>
    <w:rsid w:val="007B335D"/>
    <w:rsid w:val="007B410D"/>
    <w:rsid w:val="007B58EC"/>
    <w:rsid w:val="007B5DB2"/>
    <w:rsid w:val="007B6455"/>
    <w:rsid w:val="007B64D1"/>
    <w:rsid w:val="007B69B0"/>
    <w:rsid w:val="007B6C35"/>
    <w:rsid w:val="007B6D12"/>
    <w:rsid w:val="007C0A3A"/>
    <w:rsid w:val="007C14F7"/>
    <w:rsid w:val="007C1722"/>
    <w:rsid w:val="007C1D3B"/>
    <w:rsid w:val="007C2046"/>
    <w:rsid w:val="007C2337"/>
    <w:rsid w:val="007C30E4"/>
    <w:rsid w:val="007C4791"/>
    <w:rsid w:val="007C552E"/>
    <w:rsid w:val="007C5B36"/>
    <w:rsid w:val="007C6329"/>
    <w:rsid w:val="007C632A"/>
    <w:rsid w:val="007C6750"/>
    <w:rsid w:val="007C6837"/>
    <w:rsid w:val="007C7831"/>
    <w:rsid w:val="007C7D31"/>
    <w:rsid w:val="007D00EC"/>
    <w:rsid w:val="007D0403"/>
    <w:rsid w:val="007D09AA"/>
    <w:rsid w:val="007D0F00"/>
    <w:rsid w:val="007D1277"/>
    <w:rsid w:val="007D1378"/>
    <w:rsid w:val="007D1652"/>
    <w:rsid w:val="007D166F"/>
    <w:rsid w:val="007D1BFF"/>
    <w:rsid w:val="007D1D70"/>
    <w:rsid w:val="007D2236"/>
    <w:rsid w:val="007D2786"/>
    <w:rsid w:val="007D2C3F"/>
    <w:rsid w:val="007D3176"/>
    <w:rsid w:val="007D35DB"/>
    <w:rsid w:val="007D3904"/>
    <w:rsid w:val="007D3E98"/>
    <w:rsid w:val="007D45DD"/>
    <w:rsid w:val="007D4C1E"/>
    <w:rsid w:val="007D4F54"/>
    <w:rsid w:val="007D54B6"/>
    <w:rsid w:val="007D6FC4"/>
    <w:rsid w:val="007D7471"/>
    <w:rsid w:val="007E0160"/>
    <w:rsid w:val="007E041B"/>
    <w:rsid w:val="007E0AD9"/>
    <w:rsid w:val="007E150B"/>
    <w:rsid w:val="007E2D36"/>
    <w:rsid w:val="007E2E39"/>
    <w:rsid w:val="007E2F85"/>
    <w:rsid w:val="007E31CA"/>
    <w:rsid w:val="007E33EE"/>
    <w:rsid w:val="007E3540"/>
    <w:rsid w:val="007E3AA8"/>
    <w:rsid w:val="007E4375"/>
    <w:rsid w:val="007E4DB2"/>
    <w:rsid w:val="007E51E7"/>
    <w:rsid w:val="007E5383"/>
    <w:rsid w:val="007E5F11"/>
    <w:rsid w:val="007E612E"/>
    <w:rsid w:val="007E616D"/>
    <w:rsid w:val="007E6551"/>
    <w:rsid w:val="007E6893"/>
    <w:rsid w:val="007E75B7"/>
    <w:rsid w:val="007E7DAA"/>
    <w:rsid w:val="007E7DD9"/>
    <w:rsid w:val="007E7DDE"/>
    <w:rsid w:val="007F07A7"/>
    <w:rsid w:val="007F0AC7"/>
    <w:rsid w:val="007F0AF1"/>
    <w:rsid w:val="007F1C17"/>
    <w:rsid w:val="007F1E36"/>
    <w:rsid w:val="007F2421"/>
    <w:rsid w:val="007F2AE7"/>
    <w:rsid w:val="007F2C6E"/>
    <w:rsid w:val="007F48B1"/>
    <w:rsid w:val="007F59F1"/>
    <w:rsid w:val="007F5B3C"/>
    <w:rsid w:val="007F5E6F"/>
    <w:rsid w:val="007F614C"/>
    <w:rsid w:val="007F654B"/>
    <w:rsid w:val="007F6C7A"/>
    <w:rsid w:val="007F71D6"/>
    <w:rsid w:val="0080057C"/>
    <w:rsid w:val="00801272"/>
    <w:rsid w:val="00801C71"/>
    <w:rsid w:val="00802967"/>
    <w:rsid w:val="00802A5B"/>
    <w:rsid w:val="00802B3B"/>
    <w:rsid w:val="00802C5D"/>
    <w:rsid w:val="00802DA2"/>
    <w:rsid w:val="008033C7"/>
    <w:rsid w:val="0080348A"/>
    <w:rsid w:val="008041F9"/>
    <w:rsid w:val="00804292"/>
    <w:rsid w:val="0080450C"/>
    <w:rsid w:val="00806DD6"/>
    <w:rsid w:val="008075AB"/>
    <w:rsid w:val="00810AF2"/>
    <w:rsid w:val="00810EB3"/>
    <w:rsid w:val="00811326"/>
    <w:rsid w:val="00813172"/>
    <w:rsid w:val="00813322"/>
    <w:rsid w:val="0081366F"/>
    <w:rsid w:val="0081368B"/>
    <w:rsid w:val="00813DAA"/>
    <w:rsid w:val="00815167"/>
    <w:rsid w:val="00815190"/>
    <w:rsid w:val="008153F3"/>
    <w:rsid w:val="00816400"/>
    <w:rsid w:val="0081666B"/>
    <w:rsid w:val="008201BB"/>
    <w:rsid w:val="00820BD9"/>
    <w:rsid w:val="00820F0D"/>
    <w:rsid w:val="00821156"/>
    <w:rsid w:val="0082130D"/>
    <w:rsid w:val="00821372"/>
    <w:rsid w:val="00821836"/>
    <w:rsid w:val="00821DB7"/>
    <w:rsid w:val="008221DB"/>
    <w:rsid w:val="008236E0"/>
    <w:rsid w:val="00823BBB"/>
    <w:rsid w:val="00824353"/>
    <w:rsid w:val="008249CF"/>
    <w:rsid w:val="00825851"/>
    <w:rsid w:val="00825CF2"/>
    <w:rsid w:val="00827250"/>
    <w:rsid w:val="0082734D"/>
    <w:rsid w:val="00827353"/>
    <w:rsid w:val="0082757F"/>
    <w:rsid w:val="00827668"/>
    <w:rsid w:val="00827853"/>
    <w:rsid w:val="00827D6B"/>
    <w:rsid w:val="008301E6"/>
    <w:rsid w:val="008303F1"/>
    <w:rsid w:val="00830BAF"/>
    <w:rsid w:val="00830BE2"/>
    <w:rsid w:val="00830EAC"/>
    <w:rsid w:val="008325BA"/>
    <w:rsid w:val="008329BD"/>
    <w:rsid w:val="0083302F"/>
    <w:rsid w:val="008331FD"/>
    <w:rsid w:val="008337A2"/>
    <w:rsid w:val="00833E7F"/>
    <w:rsid w:val="00834090"/>
    <w:rsid w:val="008341FB"/>
    <w:rsid w:val="00834335"/>
    <w:rsid w:val="0083475D"/>
    <w:rsid w:val="008349C4"/>
    <w:rsid w:val="00836432"/>
    <w:rsid w:val="00836603"/>
    <w:rsid w:val="00836672"/>
    <w:rsid w:val="00837557"/>
    <w:rsid w:val="00837AEB"/>
    <w:rsid w:val="008404A5"/>
    <w:rsid w:val="0084058E"/>
    <w:rsid w:val="00840ACD"/>
    <w:rsid w:val="00841682"/>
    <w:rsid w:val="00841689"/>
    <w:rsid w:val="008419AB"/>
    <w:rsid w:val="00841E27"/>
    <w:rsid w:val="00842D2D"/>
    <w:rsid w:val="0084335C"/>
    <w:rsid w:val="0084344C"/>
    <w:rsid w:val="0084353B"/>
    <w:rsid w:val="0084426F"/>
    <w:rsid w:val="008452EB"/>
    <w:rsid w:val="008454A7"/>
    <w:rsid w:val="0084554A"/>
    <w:rsid w:val="008457EF"/>
    <w:rsid w:val="00845BDC"/>
    <w:rsid w:val="00845E73"/>
    <w:rsid w:val="00845F9E"/>
    <w:rsid w:val="00846AB7"/>
    <w:rsid w:val="0084774C"/>
    <w:rsid w:val="00850156"/>
    <w:rsid w:val="008503AB"/>
    <w:rsid w:val="008503C0"/>
    <w:rsid w:val="00850859"/>
    <w:rsid w:val="0085118A"/>
    <w:rsid w:val="0085173E"/>
    <w:rsid w:val="0085264D"/>
    <w:rsid w:val="00852710"/>
    <w:rsid w:val="00852E30"/>
    <w:rsid w:val="00852EFE"/>
    <w:rsid w:val="00853757"/>
    <w:rsid w:val="00853EDA"/>
    <w:rsid w:val="008544FC"/>
    <w:rsid w:val="00854ADE"/>
    <w:rsid w:val="0085533F"/>
    <w:rsid w:val="008556AE"/>
    <w:rsid w:val="0085640E"/>
    <w:rsid w:val="00856D74"/>
    <w:rsid w:val="008571C7"/>
    <w:rsid w:val="00861052"/>
    <w:rsid w:val="008614A3"/>
    <w:rsid w:val="00862D9C"/>
    <w:rsid w:val="00862F01"/>
    <w:rsid w:val="0086368B"/>
    <w:rsid w:val="00863F5E"/>
    <w:rsid w:val="0086407D"/>
    <w:rsid w:val="00864932"/>
    <w:rsid w:val="00866F06"/>
    <w:rsid w:val="00866F76"/>
    <w:rsid w:val="00867F0B"/>
    <w:rsid w:val="00870412"/>
    <w:rsid w:val="008706F4"/>
    <w:rsid w:val="00872D2B"/>
    <w:rsid w:val="00873067"/>
    <w:rsid w:val="00873449"/>
    <w:rsid w:val="00873459"/>
    <w:rsid w:val="00873511"/>
    <w:rsid w:val="0087356B"/>
    <w:rsid w:val="0087409D"/>
    <w:rsid w:val="008740C1"/>
    <w:rsid w:val="00874699"/>
    <w:rsid w:val="00874E76"/>
    <w:rsid w:val="00874ECF"/>
    <w:rsid w:val="008757A2"/>
    <w:rsid w:val="00875EF2"/>
    <w:rsid w:val="00875F3F"/>
    <w:rsid w:val="008779B0"/>
    <w:rsid w:val="00877C2D"/>
    <w:rsid w:val="00877D19"/>
    <w:rsid w:val="00877DEC"/>
    <w:rsid w:val="00880DCA"/>
    <w:rsid w:val="0088209B"/>
    <w:rsid w:val="0088218A"/>
    <w:rsid w:val="008832CA"/>
    <w:rsid w:val="008835F6"/>
    <w:rsid w:val="00883BA6"/>
    <w:rsid w:val="00883C48"/>
    <w:rsid w:val="008843AB"/>
    <w:rsid w:val="008845FE"/>
    <w:rsid w:val="008849C4"/>
    <w:rsid w:val="008863A5"/>
    <w:rsid w:val="00887151"/>
    <w:rsid w:val="00887A6B"/>
    <w:rsid w:val="0089107C"/>
    <w:rsid w:val="0089143B"/>
    <w:rsid w:val="008922B0"/>
    <w:rsid w:val="008928A4"/>
    <w:rsid w:val="00892A79"/>
    <w:rsid w:val="00893B18"/>
    <w:rsid w:val="00893B96"/>
    <w:rsid w:val="008940E1"/>
    <w:rsid w:val="0089415C"/>
    <w:rsid w:val="0089447F"/>
    <w:rsid w:val="00894A0B"/>
    <w:rsid w:val="00894F0B"/>
    <w:rsid w:val="00894F3B"/>
    <w:rsid w:val="00895293"/>
    <w:rsid w:val="0089587F"/>
    <w:rsid w:val="00895A63"/>
    <w:rsid w:val="008966CB"/>
    <w:rsid w:val="00896802"/>
    <w:rsid w:val="00896A89"/>
    <w:rsid w:val="00896AD3"/>
    <w:rsid w:val="00896B42"/>
    <w:rsid w:val="00897522"/>
    <w:rsid w:val="00897674"/>
    <w:rsid w:val="008A0D01"/>
    <w:rsid w:val="008A0FD7"/>
    <w:rsid w:val="008A130F"/>
    <w:rsid w:val="008A197D"/>
    <w:rsid w:val="008A1F98"/>
    <w:rsid w:val="008A2872"/>
    <w:rsid w:val="008A2E4F"/>
    <w:rsid w:val="008A2EF4"/>
    <w:rsid w:val="008A31D7"/>
    <w:rsid w:val="008A32B3"/>
    <w:rsid w:val="008A4BE4"/>
    <w:rsid w:val="008A4CFB"/>
    <w:rsid w:val="008A51C8"/>
    <w:rsid w:val="008A6284"/>
    <w:rsid w:val="008A63B7"/>
    <w:rsid w:val="008A6DBD"/>
    <w:rsid w:val="008A7072"/>
    <w:rsid w:val="008A799A"/>
    <w:rsid w:val="008B0260"/>
    <w:rsid w:val="008B04D9"/>
    <w:rsid w:val="008B0D27"/>
    <w:rsid w:val="008B1758"/>
    <w:rsid w:val="008B2B7D"/>
    <w:rsid w:val="008B4566"/>
    <w:rsid w:val="008B492F"/>
    <w:rsid w:val="008B4CFF"/>
    <w:rsid w:val="008B6235"/>
    <w:rsid w:val="008B6278"/>
    <w:rsid w:val="008B6468"/>
    <w:rsid w:val="008C0E4C"/>
    <w:rsid w:val="008C0F33"/>
    <w:rsid w:val="008C0FDD"/>
    <w:rsid w:val="008C21C2"/>
    <w:rsid w:val="008C2330"/>
    <w:rsid w:val="008C307B"/>
    <w:rsid w:val="008C3906"/>
    <w:rsid w:val="008C3B27"/>
    <w:rsid w:val="008C49BA"/>
    <w:rsid w:val="008C4DAD"/>
    <w:rsid w:val="008C4EA4"/>
    <w:rsid w:val="008C504A"/>
    <w:rsid w:val="008C55EC"/>
    <w:rsid w:val="008C5A29"/>
    <w:rsid w:val="008C6B06"/>
    <w:rsid w:val="008C6D43"/>
    <w:rsid w:val="008C75AE"/>
    <w:rsid w:val="008C7B37"/>
    <w:rsid w:val="008D0002"/>
    <w:rsid w:val="008D08CC"/>
    <w:rsid w:val="008D0DC7"/>
    <w:rsid w:val="008D18AA"/>
    <w:rsid w:val="008D23D0"/>
    <w:rsid w:val="008D2C7C"/>
    <w:rsid w:val="008D3662"/>
    <w:rsid w:val="008D3827"/>
    <w:rsid w:val="008D3AFA"/>
    <w:rsid w:val="008D3DC1"/>
    <w:rsid w:val="008D5BD4"/>
    <w:rsid w:val="008D61CC"/>
    <w:rsid w:val="008D67B0"/>
    <w:rsid w:val="008D6F09"/>
    <w:rsid w:val="008D6F79"/>
    <w:rsid w:val="008D7013"/>
    <w:rsid w:val="008D70C6"/>
    <w:rsid w:val="008D7489"/>
    <w:rsid w:val="008D7F4E"/>
    <w:rsid w:val="008E142F"/>
    <w:rsid w:val="008E1482"/>
    <w:rsid w:val="008E20D2"/>
    <w:rsid w:val="008E210F"/>
    <w:rsid w:val="008E2407"/>
    <w:rsid w:val="008E28C3"/>
    <w:rsid w:val="008E294C"/>
    <w:rsid w:val="008E4314"/>
    <w:rsid w:val="008E451A"/>
    <w:rsid w:val="008E500C"/>
    <w:rsid w:val="008E6339"/>
    <w:rsid w:val="008E6889"/>
    <w:rsid w:val="008E6EDB"/>
    <w:rsid w:val="008E7235"/>
    <w:rsid w:val="008E78FB"/>
    <w:rsid w:val="008F022A"/>
    <w:rsid w:val="008F0892"/>
    <w:rsid w:val="008F08AA"/>
    <w:rsid w:val="008F200F"/>
    <w:rsid w:val="008F22D3"/>
    <w:rsid w:val="008F2384"/>
    <w:rsid w:val="008F24AA"/>
    <w:rsid w:val="008F267F"/>
    <w:rsid w:val="008F26E6"/>
    <w:rsid w:val="008F2D6E"/>
    <w:rsid w:val="008F3333"/>
    <w:rsid w:val="008F3537"/>
    <w:rsid w:val="008F3539"/>
    <w:rsid w:val="008F39AD"/>
    <w:rsid w:val="008F44FA"/>
    <w:rsid w:val="008F4B5D"/>
    <w:rsid w:val="008F4DAF"/>
    <w:rsid w:val="008F507F"/>
    <w:rsid w:val="008F5206"/>
    <w:rsid w:val="008F5CEB"/>
    <w:rsid w:val="008F6AA5"/>
    <w:rsid w:val="008F749D"/>
    <w:rsid w:val="008F7C0E"/>
    <w:rsid w:val="00900748"/>
    <w:rsid w:val="00900D92"/>
    <w:rsid w:val="009016D2"/>
    <w:rsid w:val="009017A6"/>
    <w:rsid w:val="00901F60"/>
    <w:rsid w:val="00903401"/>
    <w:rsid w:val="00905486"/>
    <w:rsid w:val="00905673"/>
    <w:rsid w:val="00905877"/>
    <w:rsid w:val="00905DCA"/>
    <w:rsid w:val="00906080"/>
    <w:rsid w:val="00907A6D"/>
    <w:rsid w:val="00907F48"/>
    <w:rsid w:val="009106EF"/>
    <w:rsid w:val="00910BF9"/>
    <w:rsid w:val="00911132"/>
    <w:rsid w:val="009112E6"/>
    <w:rsid w:val="00911C06"/>
    <w:rsid w:val="00912888"/>
    <w:rsid w:val="00912D0E"/>
    <w:rsid w:val="009132A4"/>
    <w:rsid w:val="00913339"/>
    <w:rsid w:val="00913402"/>
    <w:rsid w:val="00913BA8"/>
    <w:rsid w:val="00914599"/>
    <w:rsid w:val="00914AD0"/>
    <w:rsid w:val="00914B9D"/>
    <w:rsid w:val="009155B7"/>
    <w:rsid w:val="00915957"/>
    <w:rsid w:val="00915F33"/>
    <w:rsid w:val="009161D3"/>
    <w:rsid w:val="00916A06"/>
    <w:rsid w:val="00916E4F"/>
    <w:rsid w:val="00917D85"/>
    <w:rsid w:val="009203EB"/>
    <w:rsid w:val="0092094A"/>
    <w:rsid w:val="00922971"/>
    <w:rsid w:val="00923055"/>
    <w:rsid w:val="0092352C"/>
    <w:rsid w:val="00923B22"/>
    <w:rsid w:val="00923BB8"/>
    <w:rsid w:val="00924426"/>
    <w:rsid w:val="00924C87"/>
    <w:rsid w:val="00925980"/>
    <w:rsid w:val="00926820"/>
    <w:rsid w:val="00927A68"/>
    <w:rsid w:val="00930545"/>
    <w:rsid w:val="0093054A"/>
    <w:rsid w:val="00930943"/>
    <w:rsid w:val="00930AA0"/>
    <w:rsid w:val="00931C78"/>
    <w:rsid w:val="00931E6B"/>
    <w:rsid w:val="00932078"/>
    <w:rsid w:val="00932227"/>
    <w:rsid w:val="009340F7"/>
    <w:rsid w:val="0093492A"/>
    <w:rsid w:val="00934FE7"/>
    <w:rsid w:val="00935CD7"/>
    <w:rsid w:val="00936C22"/>
    <w:rsid w:val="009373B2"/>
    <w:rsid w:val="009377D5"/>
    <w:rsid w:val="00937C27"/>
    <w:rsid w:val="00937D68"/>
    <w:rsid w:val="0094161A"/>
    <w:rsid w:val="0094283C"/>
    <w:rsid w:val="00942A29"/>
    <w:rsid w:val="00942B93"/>
    <w:rsid w:val="009439FE"/>
    <w:rsid w:val="0094417F"/>
    <w:rsid w:val="00945736"/>
    <w:rsid w:val="00945D02"/>
    <w:rsid w:val="0094619E"/>
    <w:rsid w:val="009468CE"/>
    <w:rsid w:val="00947238"/>
    <w:rsid w:val="00947746"/>
    <w:rsid w:val="0095059B"/>
    <w:rsid w:val="00950ACA"/>
    <w:rsid w:val="00950E9B"/>
    <w:rsid w:val="009521F2"/>
    <w:rsid w:val="009522AE"/>
    <w:rsid w:val="00952918"/>
    <w:rsid w:val="00952A55"/>
    <w:rsid w:val="00952E05"/>
    <w:rsid w:val="00953596"/>
    <w:rsid w:val="00953921"/>
    <w:rsid w:val="0095398B"/>
    <w:rsid w:val="00953CA6"/>
    <w:rsid w:val="00953FB2"/>
    <w:rsid w:val="0095430C"/>
    <w:rsid w:val="00955B61"/>
    <w:rsid w:val="00955DA1"/>
    <w:rsid w:val="00955ED0"/>
    <w:rsid w:val="00956146"/>
    <w:rsid w:val="009565FB"/>
    <w:rsid w:val="009565FE"/>
    <w:rsid w:val="00956C0B"/>
    <w:rsid w:val="00956F04"/>
    <w:rsid w:val="0095715E"/>
    <w:rsid w:val="00957658"/>
    <w:rsid w:val="00960C5B"/>
    <w:rsid w:val="00960F37"/>
    <w:rsid w:val="009613A9"/>
    <w:rsid w:val="009614F1"/>
    <w:rsid w:val="0096150D"/>
    <w:rsid w:val="00961D15"/>
    <w:rsid w:val="00961FD3"/>
    <w:rsid w:val="0096247B"/>
    <w:rsid w:val="00962C7D"/>
    <w:rsid w:val="0096312F"/>
    <w:rsid w:val="00963479"/>
    <w:rsid w:val="00964626"/>
    <w:rsid w:val="009649E7"/>
    <w:rsid w:val="00964B66"/>
    <w:rsid w:val="009655E0"/>
    <w:rsid w:val="00965CCF"/>
    <w:rsid w:val="00965F4C"/>
    <w:rsid w:val="0096661A"/>
    <w:rsid w:val="00966AF1"/>
    <w:rsid w:val="00966CD9"/>
    <w:rsid w:val="00966CF2"/>
    <w:rsid w:val="00966DE2"/>
    <w:rsid w:val="00966EF7"/>
    <w:rsid w:val="009671F4"/>
    <w:rsid w:val="00967347"/>
    <w:rsid w:val="0096764C"/>
    <w:rsid w:val="00967C8A"/>
    <w:rsid w:val="00970723"/>
    <w:rsid w:val="0097074E"/>
    <w:rsid w:val="009713A8"/>
    <w:rsid w:val="009713D5"/>
    <w:rsid w:val="009724C1"/>
    <w:rsid w:val="009729D9"/>
    <w:rsid w:val="00973E2F"/>
    <w:rsid w:val="0097401D"/>
    <w:rsid w:val="00974137"/>
    <w:rsid w:val="009743E0"/>
    <w:rsid w:val="0097463D"/>
    <w:rsid w:val="00974668"/>
    <w:rsid w:val="0097484A"/>
    <w:rsid w:val="009748BA"/>
    <w:rsid w:val="00974C88"/>
    <w:rsid w:val="00975079"/>
    <w:rsid w:val="00976BD2"/>
    <w:rsid w:val="009771C3"/>
    <w:rsid w:val="009778A9"/>
    <w:rsid w:val="00977E2E"/>
    <w:rsid w:val="00977EB9"/>
    <w:rsid w:val="00980253"/>
    <w:rsid w:val="00980545"/>
    <w:rsid w:val="009808EF"/>
    <w:rsid w:val="00981141"/>
    <w:rsid w:val="009813B7"/>
    <w:rsid w:val="00982E44"/>
    <w:rsid w:val="00983266"/>
    <w:rsid w:val="00983871"/>
    <w:rsid w:val="009838B4"/>
    <w:rsid w:val="0098414A"/>
    <w:rsid w:val="009849A4"/>
    <w:rsid w:val="00984D2B"/>
    <w:rsid w:val="009850D9"/>
    <w:rsid w:val="00985102"/>
    <w:rsid w:val="0098553C"/>
    <w:rsid w:val="00985816"/>
    <w:rsid w:val="00985CAE"/>
    <w:rsid w:val="009863AA"/>
    <w:rsid w:val="009864F0"/>
    <w:rsid w:val="00986AC0"/>
    <w:rsid w:val="00986D70"/>
    <w:rsid w:val="00991854"/>
    <w:rsid w:val="00991B8F"/>
    <w:rsid w:val="009929FC"/>
    <w:rsid w:val="00992C9D"/>
    <w:rsid w:val="0099304D"/>
    <w:rsid w:val="00993860"/>
    <w:rsid w:val="0099390D"/>
    <w:rsid w:val="00993FF1"/>
    <w:rsid w:val="00994284"/>
    <w:rsid w:val="00994736"/>
    <w:rsid w:val="00994BA7"/>
    <w:rsid w:val="00994C8F"/>
    <w:rsid w:val="00994E23"/>
    <w:rsid w:val="00994FC5"/>
    <w:rsid w:val="0099530D"/>
    <w:rsid w:val="00995444"/>
    <w:rsid w:val="009956E4"/>
    <w:rsid w:val="00996824"/>
    <w:rsid w:val="00996933"/>
    <w:rsid w:val="00996DBF"/>
    <w:rsid w:val="00997294"/>
    <w:rsid w:val="009972A7"/>
    <w:rsid w:val="00997358"/>
    <w:rsid w:val="009975F6"/>
    <w:rsid w:val="009976BF"/>
    <w:rsid w:val="00997BB2"/>
    <w:rsid w:val="00997E01"/>
    <w:rsid w:val="009A05A0"/>
    <w:rsid w:val="009A08F7"/>
    <w:rsid w:val="009A1A90"/>
    <w:rsid w:val="009A334A"/>
    <w:rsid w:val="009A3897"/>
    <w:rsid w:val="009A3EFF"/>
    <w:rsid w:val="009A453C"/>
    <w:rsid w:val="009A4ED7"/>
    <w:rsid w:val="009A5157"/>
    <w:rsid w:val="009A5C4E"/>
    <w:rsid w:val="009A5DF6"/>
    <w:rsid w:val="009A6D21"/>
    <w:rsid w:val="009A7802"/>
    <w:rsid w:val="009B0226"/>
    <w:rsid w:val="009B03DA"/>
    <w:rsid w:val="009B1A66"/>
    <w:rsid w:val="009B1ADC"/>
    <w:rsid w:val="009B1F83"/>
    <w:rsid w:val="009B269D"/>
    <w:rsid w:val="009B2735"/>
    <w:rsid w:val="009B3243"/>
    <w:rsid w:val="009B3309"/>
    <w:rsid w:val="009B380D"/>
    <w:rsid w:val="009B3B77"/>
    <w:rsid w:val="009B5511"/>
    <w:rsid w:val="009B7090"/>
    <w:rsid w:val="009B7448"/>
    <w:rsid w:val="009B74AB"/>
    <w:rsid w:val="009B760F"/>
    <w:rsid w:val="009B7653"/>
    <w:rsid w:val="009B7DAB"/>
    <w:rsid w:val="009C100E"/>
    <w:rsid w:val="009C2129"/>
    <w:rsid w:val="009C289E"/>
    <w:rsid w:val="009C2FE1"/>
    <w:rsid w:val="009C389B"/>
    <w:rsid w:val="009C3C2C"/>
    <w:rsid w:val="009C3EE8"/>
    <w:rsid w:val="009C4A62"/>
    <w:rsid w:val="009C4A79"/>
    <w:rsid w:val="009C4D45"/>
    <w:rsid w:val="009C4F0F"/>
    <w:rsid w:val="009C506B"/>
    <w:rsid w:val="009C52DC"/>
    <w:rsid w:val="009C534E"/>
    <w:rsid w:val="009C5F0A"/>
    <w:rsid w:val="009C6268"/>
    <w:rsid w:val="009C6DEC"/>
    <w:rsid w:val="009C72E4"/>
    <w:rsid w:val="009C79EF"/>
    <w:rsid w:val="009D0467"/>
    <w:rsid w:val="009D0597"/>
    <w:rsid w:val="009D1640"/>
    <w:rsid w:val="009D1C71"/>
    <w:rsid w:val="009D1C7B"/>
    <w:rsid w:val="009D1F12"/>
    <w:rsid w:val="009D2A02"/>
    <w:rsid w:val="009D2AFB"/>
    <w:rsid w:val="009D306B"/>
    <w:rsid w:val="009D362B"/>
    <w:rsid w:val="009D39FB"/>
    <w:rsid w:val="009D3D1D"/>
    <w:rsid w:val="009D3F11"/>
    <w:rsid w:val="009D41B7"/>
    <w:rsid w:val="009D460E"/>
    <w:rsid w:val="009D4662"/>
    <w:rsid w:val="009D4919"/>
    <w:rsid w:val="009D4A71"/>
    <w:rsid w:val="009D4E27"/>
    <w:rsid w:val="009D60E9"/>
    <w:rsid w:val="009D6E62"/>
    <w:rsid w:val="009D7164"/>
    <w:rsid w:val="009D736E"/>
    <w:rsid w:val="009D753C"/>
    <w:rsid w:val="009D79B9"/>
    <w:rsid w:val="009E0120"/>
    <w:rsid w:val="009E0A2B"/>
    <w:rsid w:val="009E1DD7"/>
    <w:rsid w:val="009E2B42"/>
    <w:rsid w:val="009E375D"/>
    <w:rsid w:val="009E38CC"/>
    <w:rsid w:val="009E3C13"/>
    <w:rsid w:val="009E4690"/>
    <w:rsid w:val="009E56E5"/>
    <w:rsid w:val="009E5CC7"/>
    <w:rsid w:val="009E66B7"/>
    <w:rsid w:val="009E6A57"/>
    <w:rsid w:val="009E7843"/>
    <w:rsid w:val="009E7A7E"/>
    <w:rsid w:val="009E7A87"/>
    <w:rsid w:val="009F0FB9"/>
    <w:rsid w:val="009F12F4"/>
    <w:rsid w:val="009F136E"/>
    <w:rsid w:val="009F1A86"/>
    <w:rsid w:val="009F2429"/>
    <w:rsid w:val="009F31A1"/>
    <w:rsid w:val="009F34AF"/>
    <w:rsid w:val="009F392E"/>
    <w:rsid w:val="009F3D12"/>
    <w:rsid w:val="009F41EE"/>
    <w:rsid w:val="009F4259"/>
    <w:rsid w:val="009F45F1"/>
    <w:rsid w:val="009F54E2"/>
    <w:rsid w:val="009F5571"/>
    <w:rsid w:val="009F5579"/>
    <w:rsid w:val="009F5742"/>
    <w:rsid w:val="009F5AC3"/>
    <w:rsid w:val="009F65FC"/>
    <w:rsid w:val="009F6718"/>
    <w:rsid w:val="009F7990"/>
    <w:rsid w:val="009F7F70"/>
    <w:rsid w:val="00A001AB"/>
    <w:rsid w:val="00A0098C"/>
    <w:rsid w:val="00A00A90"/>
    <w:rsid w:val="00A00B54"/>
    <w:rsid w:val="00A0191F"/>
    <w:rsid w:val="00A01D6B"/>
    <w:rsid w:val="00A0234B"/>
    <w:rsid w:val="00A02D49"/>
    <w:rsid w:val="00A037B7"/>
    <w:rsid w:val="00A03B85"/>
    <w:rsid w:val="00A0432C"/>
    <w:rsid w:val="00A0528A"/>
    <w:rsid w:val="00A05354"/>
    <w:rsid w:val="00A05516"/>
    <w:rsid w:val="00A05C78"/>
    <w:rsid w:val="00A06836"/>
    <w:rsid w:val="00A06876"/>
    <w:rsid w:val="00A068D9"/>
    <w:rsid w:val="00A06BF4"/>
    <w:rsid w:val="00A06FBC"/>
    <w:rsid w:val="00A07516"/>
    <w:rsid w:val="00A075CB"/>
    <w:rsid w:val="00A0767D"/>
    <w:rsid w:val="00A1080A"/>
    <w:rsid w:val="00A11849"/>
    <w:rsid w:val="00A127E0"/>
    <w:rsid w:val="00A1306A"/>
    <w:rsid w:val="00A13190"/>
    <w:rsid w:val="00A135F1"/>
    <w:rsid w:val="00A13687"/>
    <w:rsid w:val="00A137EB"/>
    <w:rsid w:val="00A1503F"/>
    <w:rsid w:val="00A15078"/>
    <w:rsid w:val="00A153B8"/>
    <w:rsid w:val="00A15AE1"/>
    <w:rsid w:val="00A15AF6"/>
    <w:rsid w:val="00A1665F"/>
    <w:rsid w:val="00A1669D"/>
    <w:rsid w:val="00A166F9"/>
    <w:rsid w:val="00A16ADC"/>
    <w:rsid w:val="00A1772C"/>
    <w:rsid w:val="00A17A2F"/>
    <w:rsid w:val="00A17DEE"/>
    <w:rsid w:val="00A20C70"/>
    <w:rsid w:val="00A20DE7"/>
    <w:rsid w:val="00A220E2"/>
    <w:rsid w:val="00A22435"/>
    <w:rsid w:val="00A226ED"/>
    <w:rsid w:val="00A22C48"/>
    <w:rsid w:val="00A23787"/>
    <w:rsid w:val="00A238C8"/>
    <w:rsid w:val="00A24378"/>
    <w:rsid w:val="00A24388"/>
    <w:rsid w:val="00A2449C"/>
    <w:rsid w:val="00A24557"/>
    <w:rsid w:val="00A2467A"/>
    <w:rsid w:val="00A246DA"/>
    <w:rsid w:val="00A2524A"/>
    <w:rsid w:val="00A259A1"/>
    <w:rsid w:val="00A25A6B"/>
    <w:rsid w:val="00A25E7F"/>
    <w:rsid w:val="00A2623F"/>
    <w:rsid w:val="00A2635C"/>
    <w:rsid w:val="00A27020"/>
    <w:rsid w:val="00A27418"/>
    <w:rsid w:val="00A27772"/>
    <w:rsid w:val="00A27FE8"/>
    <w:rsid w:val="00A300CB"/>
    <w:rsid w:val="00A30324"/>
    <w:rsid w:val="00A31820"/>
    <w:rsid w:val="00A31D62"/>
    <w:rsid w:val="00A31EC5"/>
    <w:rsid w:val="00A32380"/>
    <w:rsid w:val="00A325A0"/>
    <w:rsid w:val="00A32A95"/>
    <w:rsid w:val="00A330D3"/>
    <w:rsid w:val="00A336FF"/>
    <w:rsid w:val="00A337DB"/>
    <w:rsid w:val="00A33AC9"/>
    <w:rsid w:val="00A33CBC"/>
    <w:rsid w:val="00A33D9A"/>
    <w:rsid w:val="00A3459C"/>
    <w:rsid w:val="00A34A34"/>
    <w:rsid w:val="00A3509B"/>
    <w:rsid w:val="00A350E9"/>
    <w:rsid w:val="00A36249"/>
    <w:rsid w:val="00A365F8"/>
    <w:rsid w:val="00A367BB"/>
    <w:rsid w:val="00A36C5F"/>
    <w:rsid w:val="00A36EE1"/>
    <w:rsid w:val="00A37073"/>
    <w:rsid w:val="00A3708F"/>
    <w:rsid w:val="00A37103"/>
    <w:rsid w:val="00A37D52"/>
    <w:rsid w:val="00A40150"/>
    <w:rsid w:val="00A403FE"/>
    <w:rsid w:val="00A40A90"/>
    <w:rsid w:val="00A40F88"/>
    <w:rsid w:val="00A4152A"/>
    <w:rsid w:val="00A41687"/>
    <w:rsid w:val="00A4290D"/>
    <w:rsid w:val="00A42E78"/>
    <w:rsid w:val="00A437DB"/>
    <w:rsid w:val="00A43C45"/>
    <w:rsid w:val="00A441C0"/>
    <w:rsid w:val="00A4437C"/>
    <w:rsid w:val="00A446DD"/>
    <w:rsid w:val="00A446F9"/>
    <w:rsid w:val="00A44ED4"/>
    <w:rsid w:val="00A45E7E"/>
    <w:rsid w:val="00A46333"/>
    <w:rsid w:val="00A46EBE"/>
    <w:rsid w:val="00A51404"/>
    <w:rsid w:val="00A51B73"/>
    <w:rsid w:val="00A51C66"/>
    <w:rsid w:val="00A51CCC"/>
    <w:rsid w:val="00A53224"/>
    <w:rsid w:val="00A53EAA"/>
    <w:rsid w:val="00A53ECC"/>
    <w:rsid w:val="00A54965"/>
    <w:rsid w:val="00A54D15"/>
    <w:rsid w:val="00A55837"/>
    <w:rsid w:val="00A55C36"/>
    <w:rsid w:val="00A562DC"/>
    <w:rsid w:val="00A564CB"/>
    <w:rsid w:val="00A57756"/>
    <w:rsid w:val="00A57A75"/>
    <w:rsid w:val="00A60583"/>
    <w:rsid w:val="00A605D4"/>
    <w:rsid w:val="00A60B6B"/>
    <w:rsid w:val="00A6188F"/>
    <w:rsid w:val="00A61992"/>
    <w:rsid w:val="00A619F1"/>
    <w:rsid w:val="00A61FB2"/>
    <w:rsid w:val="00A62232"/>
    <w:rsid w:val="00A6242F"/>
    <w:rsid w:val="00A62772"/>
    <w:rsid w:val="00A62814"/>
    <w:rsid w:val="00A62E45"/>
    <w:rsid w:val="00A6323F"/>
    <w:rsid w:val="00A63E31"/>
    <w:rsid w:val="00A6430B"/>
    <w:rsid w:val="00A64574"/>
    <w:rsid w:val="00A64DEE"/>
    <w:rsid w:val="00A65725"/>
    <w:rsid w:val="00A657F0"/>
    <w:rsid w:val="00A659CE"/>
    <w:rsid w:val="00A65AF8"/>
    <w:rsid w:val="00A65CCD"/>
    <w:rsid w:val="00A6728C"/>
    <w:rsid w:val="00A7165F"/>
    <w:rsid w:val="00A71928"/>
    <w:rsid w:val="00A72832"/>
    <w:rsid w:val="00A72E1F"/>
    <w:rsid w:val="00A73041"/>
    <w:rsid w:val="00A7310B"/>
    <w:rsid w:val="00A73991"/>
    <w:rsid w:val="00A73CAF"/>
    <w:rsid w:val="00A73D71"/>
    <w:rsid w:val="00A744E1"/>
    <w:rsid w:val="00A74A4A"/>
    <w:rsid w:val="00A75627"/>
    <w:rsid w:val="00A7566F"/>
    <w:rsid w:val="00A7596D"/>
    <w:rsid w:val="00A75AAE"/>
    <w:rsid w:val="00A75AF1"/>
    <w:rsid w:val="00A75C7A"/>
    <w:rsid w:val="00A75D16"/>
    <w:rsid w:val="00A75DD4"/>
    <w:rsid w:val="00A76E13"/>
    <w:rsid w:val="00A77233"/>
    <w:rsid w:val="00A776C0"/>
    <w:rsid w:val="00A777BC"/>
    <w:rsid w:val="00A804F2"/>
    <w:rsid w:val="00A812B3"/>
    <w:rsid w:val="00A81580"/>
    <w:rsid w:val="00A81FB5"/>
    <w:rsid w:val="00A81FDB"/>
    <w:rsid w:val="00A828C2"/>
    <w:rsid w:val="00A828DD"/>
    <w:rsid w:val="00A82E63"/>
    <w:rsid w:val="00A8393C"/>
    <w:rsid w:val="00A83A30"/>
    <w:rsid w:val="00A83A99"/>
    <w:rsid w:val="00A84490"/>
    <w:rsid w:val="00A844D1"/>
    <w:rsid w:val="00A84528"/>
    <w:rsid w:val="00A84A72"/>
    <w:rsid w:val="00A84DCE"/>
    <w:rsid w:val="00A851CF"/>
    <w:rsid w:val="00A854A9"/>
    <w:rsid w:val="00A85D3C"/>
    <w:rsid w:val="00A8614D"/>
    <w:rsid w:val="00A8674E"/>
    <w:rsid w:val="00A8689E"/>
    <w:rsid w:val="00A873E8"/>
    <w:rsid w:val="00A87D1F"/>
    <w:rsid w:val="00A9046F"/>
    <w:rsid w:val="00A90B43"/>
    <w:rsid w:val="00A91162"/>
    <w:rsid w:val="00A91454"/>
    <w:rsid w:val="00A928AE"/>
    <w:rsid w:val="00A9323A"/>
    <w:rsid w:val="00A947ED"/>
    <w:rsid w:val="00A959F3"/>
    <w:rsid w:val="00A95A04"/>
    <w:rsid w:val="00A95DD7"/>
    <w:rsid w:val="00A96055"/>
    <w:rsid w:val="00A96453"/>
    <w:rsid w:val="00A964F3"/>
    <w:rsid w:val="00A97F05"/>
    <w:rsid w:val="00A97FA1"/>
    <w:rsid w:val="00AA09A0"/>
    <w:rsid w:val="00AA1162"/>
    <w:rsid w:val="00AA18A7"/>
    <w:rsid w:val="00AA1A28"/>
    <w:rsid w:val="00AA28E2"/>
    <w:rsid w:val="00AA2A18"/>
    <w:rsid w:val="00AA44AC"/>
    <w:rsid w:val="00AA47F2"/>
    <w:rsid w:val="00AA4922"/>
    <w:rsid w:val="00AA5635"/>
    <w:rsid w:val="00AA65A8"/>
    <w:rsid w:val="00AA6CBA"/>
    <w:rsid w:val="00AA7135"/>
    <w:rsid w:val="00AA7146"/>
    <w:rsid w:val="00AA715C"/>
    <w:rsid w:val="00AA74F5"/>
    <w:rsid w:val="00AA7DD7"/>
    <w:rsid w:val="00AB0ACC"/>
    <w:rsid w:val="00AB0D22"/>
    <w:rsid w:val="00AB0D7D"/>
    <w:rsid w:val="00AB0DD1"/>
    <w:rsid w:val="00AB1EFB"/>
    <w:rsid w:val="00AB2111"/>
    <w:rsid w:val="00AB23E5"/>
    <w:rsid w:val="00AB28CD"/>
    <w:rsid w:val="00AB3B83"/>
    <w:rsid w:val="00AB4E4F"/>
    <w:rsid w:val="00AB500F"/>
    <w:rsid w:val="00AB5560"/>
    <w:rsid w:val="00AB5DF6"/>
    <w:rsid w:val="00AB6392"/>
    <w:rsid w:val="00AB6989"/>
    <w:rsid w:val="00AB6B11"/>
    <w:rsid w:val="00AB709B"/>
    <w:rsid w:val="00AB78B1"/>
    <w:rsid w:val="00AB79AC"/>
    <w:rsid w:val="00AC0388"/>
    <w:rsid w:val="00AC057A"/>
    <w:rsid w:val="00AC0B05"/>
    <w:rsid w:val="00AC0B44"/>
    <w:rsid w:val="00AC0E33"/>
    <w:rsid w:val="00AC1107"/>
    <w:rsid w:val="00AC1522"/>
    <w:rsid w:val="00AC1902"/>
    <w:rsid w:val="00AC211D"/>
    <w:rsid w:val="00AC2AF9"/>
    <w:rsid w:val="00AC3CA5"/>
    <w:rsid w:val="00AC3DD1"/>
    <w:rsid w:val="00AC3F59"/>
    <w:rsid w:val="00AC40AD"/>
    <w:rsid w:val="00AC4951"/>
    <w:rsid w:val="00AC4BD7"/>
    <w:rsid w:val="00AC5C22"/>
    <w:rsid w:val="00AC5DDA"/>
    <w:rsid w:val="00AC60B9"/>
    <w:rsid w:val="00AC620E"/>
    <w:rsid w:val="00AC6910"/>
    <w:rsid w:val="00AC7C50"/>
    <w:rsid w:val="00AD0977"/>
    <w:rsid w:val="00AD159E"/>
    <w:rsid w:val="00AD2115"/>
    <w:rsid w:val="00AD2BBB"/>
    <w:rsid w:val="00AD2ED6"/>
    <w:rsid w:val="00AD37BE"/>
    <w:rsid w:val="00AD3C02"/>
    <w:rsid w:val="00AD4102"/>
    <w:rsid w:val="00AD4269"/>
    <w:rsid w:val="00AD47E6"/>
    <w:rsid w:val="00AD4C61"/>
    <w:rsid w:val="00AD5276"/>
    <w:rsid w:val="00AD5467"/>
    <w:rsid w:val="00AD54AF"/>
    <w:rsid w:val="00AD5D08"/>
    <w:rsid w:val="00AD795A"/>
    <w:rsid w:val="00AE00CC"/>
    <w:rsid w:val="00AE0FCF"/>
    <w:rsid w:val="00AE191C"/>
    <w:rsid w:val="00AE245A"/>
    <w:rsid w:val="00AE2807"/>
    <w:rsid w:val="00AE35B2"/>
    <w:rsid w:val="00AE3B6A"/>
    <w:rsid w:val="00AE4476"/>
    <w:rsid w:val="00AE4A22"/>
    <w:rsid w:val="00AE57B4"/>
    <w:rsid w:val="00AE5D87"/>
    <w:rsid w:val="00AE6462"/>
    <w:rsid w:val="00AE6D54"/>
    <w:rsid w:val="00AE6E2B"/>
    <w:rsid w:val="00AE7967"/>
    <w:rsid w:val="00AE7C08"/>
    <w:rsid w:val="00AF0B06"/>
    <w:rsid w:val="00AF0C0D"/>
    <w:rsid w:val="00AF0C95"/>
    <w:rsid w:val="00AF1DC7"/>
    <w:rsid w:val="00AF20EF"/>
    <w:rsid w:val="00AF2A00"/>
    <w:rsid w:val="00AF36DE"/>
    <w:rsid w:val="00AF36FC"/>
    <w:rsid w:val="00AF3E9F"/>
    <w:rsid w:val="00AF43C8"/>
    <w:rsid w:val="00AF4B62"/>
    <w:rsid w:val="00AF5040"/>
    <w:rsid w:val="00AF5048"/>
    <w:rsid w:val="00AF5556"/>
    <w:rsid w:val="00AF55E0"/>
    <w:rsid w:val="00AF5979"/>
    <w:rsid w:val="00AF62A1"/>
    <w:rsid w:val="00AF6B1A"/>
    <w:rsid w:val="00AF7D1D"/>
    <w:rsid w:val="00AF7F1D"/>
    <w:rsid w:val="00AF7F79"/>
    <w:rsid w:val="00B00267"/>
    <w:rsid w:val="00B005E4"/>
    <w:rsid w:val="00B0067F"/>
    <w:rsid w:val="00B00A07"/>
    <w:rsid w:val="00B00B2E"/>
    <w:rsid w:val="00B01C6E"/>
    <w:rsid w:val="00B01D92"/>
    <w:rsid w:val="00B01F47"/>
    <w:rsid w:val="00B02105"/>
    <w:rsid w:val="00B025DA"/>
    <w:rsid w:val="00B02880"/>
    <w:rsid w:val="00B034DC"/>
    <w:rsid w:val="00B037B8"/>
    <w:rsid w:val="00B044D2"/>
    <w:rsid w:val="00B049BB"/>
    <w:rsid w:val="00B05375"/>
    <w:rsid w:val="00B053D2"/>
    <w:rsid w:val="00B05E7E"/>
    <w:rsid w:val="00B061CB"/>
    <w:rsid w:val="00B067AE"/>
    <w:rsid w:val="00B06829"/>
    <w:rsid w:val="00B07668"/>
    <w:rsid w:val="00B077A7"/>
    <w:rsid w:val="00B07E3F"/>
    <w:rsid w:val="00B1015D"/>
    <w:rsid w:val="00B113E3"/>
    <w:rsid w:val="00B11563"/>
    <w:rsid w:val="00B11B58"/>
    <w:rsid w:val="00B11EB4"/>
    <w:rsid w:val="00B11FF9"/>
    <w:rsid w:val="00B12340"/>
    <w:rsid w:val="00B123AC"/>
    <w:rsid w:val="00B12E5E"/>
    <w:rsid w:val="00B13102"/>
    <w:rsid w:val="00B13BEF"/>
    <w:rsid w:val="00B14C23"/>
    <w:rsid w:val="00B158C3"/>
    <w:rsid w:val="00B1616E"/>
    <w:rsid w:val="00B1660F"/>
    <w:rsid w:val="00B16631"/>
    <w:rsid w:val="00B16B6F"/>
    <w:rsid w:val="00B1714D"/>
    <w:rsid w:val="00B20760"/>
    <w:rsid w:val="00B2198E"/>
    <w:rsid w:val="00B21A11"/>
    <w:rsid w:val="00B2205F"/>
    <w:rsid w:val="00B220C7"/>
    <w:rsid w:val="00B22593"/>
    <w:rsid w:val="00B229C3"/>
    <w:rsid w:val="00B22A95"/>
    <w:rsid w:val="00B234FE"/>
    <w:rsid w:val="00B23B56"/>
    <w:rsid w:val="00B245FC"/>
    <w:rsid w:val="00B250C4"/>
    <w:rsid w:val="00B252FF"/>
    <w:rsid w:val="00B25711"/>
    <w:rsid w:val="00B25824"/>
    <w:rsid w:val="00B2604D"/>
    <w:rsid w:val="00B26181"/>
    <w:rsid w:val="00B26496"/>
    <w:rsid w:val="00B2690F"/>
    <w:rsid w:val="00B27015"/>
    <w:rsid w:val="00B2767E"/>
    <w:rsid w:val="00B30646"/>
    <w:rsid w:val="00B30673"/>
    <w:rsid w:val="00B307E7"/>
    <w:rsid w:val="00B308DF"/>
    <w:rsid w:val="00B30C97"/>
    <w:rsid w:val="00B31309"/>
    <w:rsid w:val="00B317B1"/>
    <w:rsid w:val="00B32124"/>
    <w:rsid w:val="00B32E77"/>
    <w:rsid w:val="00B33095"/>
    <w:rsid w:val="00B332C0"/>
    <w:rsid w:val="00B334F5"/>
    <w:rsid w:val="00B3470D"/>
    <w:rsid w:val="00B374D9"/>
    <w:rsid w:val="00B37AFE"/>
    <w:rsid w:val="00B37B68"/>
    <w:rsid w:val="00B40460"/>
    <w:rsid w:val="00B4108B"/>
    <w:rsid w:val="00B41A46"/>
    <w:rsid w:val="00B41B41"/>
    <w:rsid w:val="00B41C7D"/>
    <w:rsid w:val="00B41DA7"/>
    <w:rsid w:val="00B42222"/>
    <w:rsid w:val="00B4269C"/>
    <w:rsid w:val="00B42CC9"/>
    <w:rsid w:val="00B431B3"/>
    <w:rsid w:val="00B43636"/>
    <w:rsid w:val="00B43D67"/>
    <w:rsid w:val="00B449BF"/>
    <w:rsid w:val="00B453F1"/>
    <w:rsid w:val="00B45AFD"/>
    <w:rsid w:val="00B4602A"/>
    <w:rsid w:val="00B463B0"/>
    <w:rsid w:val="00B46873"/>
    <w:rsid w:val="00B46F53"/>
    <w:rsid w:val="00B476B3"/>
    <w:rsid w:val="00B478D7"/>
    <w:rsid w:val="00B500B4"/>
    <w:rsid w:val="00B50A2B"/>
    <w:rsid w:val="00B50C31"/>
    <w:rsid w:val="00B50FC8"/>
    <w:rsid w:val="00B51BBA"/>
    <w:rsid w:val="00B527D1"/>
    <w:rsid w:val="00B53125"/>
    <w:rsid w:val="00B53671"/>
    <w:rsid w:val="00B539C3"/>
    <w:rsid w:val="00B5436B"/>
    <w:rsid w:val="00B54537"/>
    <w:rsid w:val="00B553E9"/>
    <w:rsid w:val="00B56F11"/>
    <w:rsid w:val="00B5706D"/>
    <w:rsid w:val="00B578F4"/>
    <w:rsid w:val="00B60330"/>
    <w:rsid w:val="00B60958"/>
    <w:rsid w:val="00B61110"/>
    <w:rsid w:val="00B61E2D"/>
    <w:rsid w:val="00B6236B"/>
    <w:rsid w:val="00B624C9"/>
    <w:rsid w:val="00B626E1"/>
    <w:rsid w:val="00B62B22"/>
    <w:rsid w:val="00B63682"/>
    <w:rsid w:val="00B63EC9"/>
    <w:rsid w:val="00B63F94"/>
    <w:rsid w:val="00B640DD"/>
    <w:rsid w:val="00B64324"/>
    <w:rsid w:val="00B6480B"/>
    <w:rsid w:val="00B64E45"/>
    <w:rsid w:val="00B64F18"/>
    <w:rsid w:val="00B64F99"/>
    <w:rsid w:val="00B66557"/>
    <w:rsid w:val="00B66E9B"/>
    <w:rsid w:val="00B6744D"/>
    <w:rsid w:val="00B67CA6"/>
    <w:rsid w:val="00B700F9"/>
    <w:rsid w:val="00B7019F"/>
    <w:rsid w:val="00B70CA7"/>
    <w:rsid w:val="00B7238E"/>
    <w:rsid w:val="00B738FC"/>
    <w:rsid w:val="00B73DEC"/>
    <w:rsid w:val="00B73EBB"/>
    <w:rsid w:val="00B744D4"/>
    <w:rsid w:val="00B74997"/>
    <w:rsid w:val="00B758A8"/>
    <w:rsid w:val="00B75BC7"/>
    <w:rsid w:val="00B76ED4"/>
    <w:rsid w:val="00B76ED8"/>
    <w:rsid w:val="00B76EEC"/>
    <w:rsid w:val="00B802F7"/>
    <w:rsid w:val="00B804F0"/>
    <w:rsid w:val="00B80BDE"/>
    <w:rsid w:val="00B80C55"/>
    <w:rsid w:val="00B812C5"/>
    <w:rsid w:val="00B814E2"/>
    <w:rsid w:val="00B8175A"/>
    <w:rsid w:val="00B81FBB"/>
    <w:rsid w:val="00B82AD8"/>
    <w:rsid w:val="00B837F5"/>
    <w:rsid w:val="00B84241"/>
    <w:rsid w:val="00B85158"/>
    <w:rsid w:val="00B85D55"/>
    <w:rsid w:val="00B86415"/>
    <w:rsid w:val="00B866DD"/>
    <w:rsid w:val="00B867B4"/>
    <w:rsid w:val="00B869E7"/>
    <w:rsid w:val="00B87130"/>
    <w:rsid w:val="00B87A2A"/>
    <w:rsid w:val="00B87E3E"/>
    <w:rsid w:val="00B87FDD"/>
    <w:rsid w:val="00B907DD"/>
    <w:rsid w:val="00B90CCC"/>
    <w:rsid w:val="00B91657"/>
    <w:rsid w:val="00B92670"/>
    <w:rsid w:val="00B934EB"/>
    <w:rsid w:val="00B951F9"/>
    <w:rsid w:val="00B95B1F"/>
    <w:rsid w:val="00B9621C"/>
    <w:rsid w:val="00B966ED"/>
    <w:rsid w:val="00B96744"/>
    <w:rsid w:val="00B967FC"/>
    <w:rsid w:val="00B96C8A"/>
    <w:rsid w:val="00B96DA0"/>
    <w:rsid w:val="00B97B0E"/>
    <w:rsid w:val="00B97D7E"/>
    <w:rsid w:val="00B97F2B"/>
    <w:rsid w:val="00BA0122"/>
    <w:rsid w:val="00BA059D"/>
    <w:rsid w:val="00BA0E1F"/>
    <w:rsid w:val="00BA12FC"/>
    <w:rsid w:val="00BA1520"/>
    <w:rsid w:val="00BA3D39"/>
    <w:rsid w:val="00BA3E26"/>
    <w:rsid w:val="00BA42E6"/>
    <w:rsid w:val="00BA4E97"/>
    <w:rsid w:val="00BA53D5"/>
    <w:rsid w:val="00BA5509"/>
    <w:rsid w:val="00BA554E"/>
    <w:rsid w:val="00BA57DF"/>
    <w:rsid w:val="00BA587C"/>
    <w:rsid w:val="00BA6141"/>
    <w:rsid w:val="00BA6D83"/>
    <w:rsid w:val="00BA6F9F"/>
    <w:rsid w:val="00BA727B"/>
    <w:rsid w:val="00BA7813"/>
    <w:rsid w:val="00BB0310"/>
    <w:rsid w:val="00BB0E04"/>
    <w:rsid w:val="00BB10AC"/>
    <w:rsid w:val="00BB1155"/>
    <w:rsid w:val="00BB1FBD"/>
    <w:rsid w:val="00BB2CDC"/>
    <w:rsid w:val="00BB2D5D"/>
    <w:rsid w:val="00BB3167"/>
    <w:rsid w:val="00BB3FBA"/>
    <w:rsid w:val="00BB40D1"/>
    <w:rsid w:val="00BB436B"/>
    <w:rsid w:val="00BB4685"/>
    <w:rsid w:val="00BB51FF"/>
    <w:rsid w:val="00BB6FC1"/>
    <w:rsid w:val="00BB72D2"/>
    <w:rsid w:val="00BB7B8B"/>
    <w:rsid w:val="00BC054A"/>
    <w:rsid w:val="00BC0E78"/>
    <w:rsid w:val="00BC0FF3"/>
    <w:rsid w:val="00BC1404"/>
    <w:rsid w:val="00BC1902"/>
    <w:rsid w:val="00BC192C"/>
    <w:rsid w:val="00BC1A31"/>
    <w:rsid w:val="00BC202E"/>
    <w:rsid w:val="00BC24CF"/>
    <w:rsid w:val="00BC375F"/>
    <w:rsid w:val="00BC37E5"/>
    <w:rsid w:val="00BC38BC"/>
    <w:rsid w:val="00BC3DE8"/>
    <w:rsid w:val="00BC4625"/>
    <w:rsid w:val="00BC4789"/>
    <w:rsid w:val="00BC5AE0"/>
    <w:rsid w:val="00BC6909"/>
    <w:rsid w:val="00BD128A"/>
    <w:rsid w:val="00BD12EC"/>
    <w:rsid w:val="00BD170F"/>
    <w:rsid w:val="00BD1D64"/>
    <w:rsid w:val="00BD22AD"/>
    <w:rsid w:val="00BD2AEA"/>
    <w:rsid w:val="00BD3650"/>
    <w:rsid w:val="00BD3BA0"/>
    <w:rsid w:val="00BD434E"/>
    <w:rsid w:val="00BD520E"/>
    <w:rsid w:val="00BD557A"/>
    <w:rsid w:val="00BD57D6"/>
    <w:rsid w:val="00BD61FB"/>
    <w:rsid w:val="00BD62D1"/>
    <w:rsid w:val="00BD75FC"/>
    <w:rsid w:val="00BE0535"/>
    <w:rsid w:val="00BE0B6E"/>
    <w:rsid w:val="00BE1C18"/>
    <w:rsid w:val="00BE1CC4"/>
    <w:rsid w:val="00BE2538"/>
    <w:rsid w:val="00BE2FE4"/>
    <w:rsid w:val="00BE3099"/>
    <w:rsid w:val="00BE4026"/>
    <w:rsid w:val="00BE4567"/>
    <w:rsid w:val="00BE581A"/>
    <w:rsid w:val="00BE592A"/>
    <w:rsid w:val="00BE70CA"/>
    <w:rsid w:val="00BE739E"/>
    <w:rsid w:val="00BE7401"/>
    <w:rsid w:val="00BE7565"/>
    <w:rsid w:val="00BE76D0"/>
    <w:rsid w:val="00BE77DF"/>
    <w:rsid w:val="00BE792C"/>
    <w:rsid w:val="00BF0105"/>
    <w:rsid w:val="00BF01CF"/>
    <w:rsid w:val="00BF0809"/>
    <w:rsid w:val="00BF0D21"/>
    <w:rsid w:val="00BF0DDD"/>
    <w:rsid w:val="00BF0F67"/>
    <w:rsid w:val="00BF134E"/>
    <w:rsid w:val="00BF1571"/>
    <w:rsid w:val="00BF19DE"/>
    <w:rsid w:val="00BF1A26"/>
    <w:rsid w:val="00BF1B2D"/>
    <w:rsid w:val="00BF1C2C"/>
    <w:rsid w:val="00BF1F65"/>
    <w:rsid w:val="00BF33B0"/>
    <w:rsid w:val="00BF421D"/>
    <w:rsid w:val="00BF4925"/>
    <w:rsid w:val="00BF4CED"/>
    <w:rsid w:val="00BF4D62"/>
    <w:rsid w:val="00BF58E3"/>
    <w:rsid w:val="00BF73F9"/>
    <w:rsid w:val="00BF7892"/>
    <w:rsid w:val="00C000F7"/>
    <w:rsid w:val="00C002E4"/>
    <w:rsid w:val="00C00485"/>
    <w:rsid w:val="00C004C3"/>
    <w:rsid w:val="00C00A96"/>
    <w:rsid w:val="00C00B40"/>
    <w:rsid w:val="00C016DA"/>
    <w:rsid w:val="00C02856"/>
    <w:rsid w:val="00C0381B"/>
    <w:rsid w:val="00C03C81"/>
    <w:rsid w:val="00C03C97"/>
    <w:rsid w:val="00C04289"/>
    <w:rsid w:val="00C04D07"/>
    <w:rsid w:val="00C05894"/>
    <w:rsid w:val="00C05BB4"/>
    <w:rsid w:val="00C06183"/>
    <w:rsid w:val="00C0648B"/>
    <w:rsid w:val="00C0737A"/>
    <w:rsid w:val="00C105C0"/>
    <w:rsid w:val="00C1167B"/>
    <w:rsid w:val="00C118E3"/>
    <w:rsid w:val="00C12276"/>
    <w:rsid w:val="00C1238C"/>
    <w:rsid w:val="00C12F28"/>
    <w:rsid w:val="00C1573D"/>
    <w:rsid w:val="00C15AE4"/>
    <w:rsid w:val="00C15AF9"/>
    <w:rsid w:val="00C1648A"/>
    <w:rsid w:val="00C17023"/>
    <w:rsid w:val="00C17B3B"/>
    <w:rsid w:val="00C2006E"/>
    <w:rsid w:val="00C200C9"/>
    <w:rsid w:val="00C20629"/>
    <w:rsid w:val="00C208C6"/>
    <w:rsid w:val="00C2117F"/>
    <w:rsid w:val="00C21284"/>
    <w:rsid w:val="00C22114"/>
    <w:rsid w:val="00C22A22"/>
    <w:rsid w:val="00C23C07"/>
    <w:rsid w:val="00C24991"/>
    <w:rsid w:val="00C25188"/>
    <w:rsid w:val="00C257DC"/>
    <w:rsid w:val="00C259B5"/>
    <w:rsid w:val="00C25A5E"/>
    <w:rsid w:val="00C2695E"/>
    <w:rsid w:val="00C270A4"/>
    <w:rsid w:val="00C276E7"/>
    <w:rsid w:val="00C27C91"/>
    <w:rsid w:val="00C3014A"/>
    <w:rsid w:val="00C3045B"/>
    <w:rsid w:val="00C30840"/>
    <w:rsid w:val="00C30BA7"/>
    <w:rsid w:val="00C30FB3"/>
    <w:rsid w:val="00C31082"/>
    <w:rsid w:val="00C318AD"/>
    <w:rsid w:val="00C31D65"/>
    <w:rsid w:val="00C330C8"/>
    <w:rsid w:val="00C33781"/>
    <w:rsid w:val="00C33821"/>
    <w:rsid w:val="00C33899"/>
    <w:rsid w:val="00C3438A"/>
    <w:rsid w:val="00C35037"/>
    <w:rsid w:val="00C35091"/>
    <w:rsid w:val="00C3543A"/>
    <w:rsid w:val="00C36774"/>
    <w:rsid w:val="00C3688B"/>
    <w:rsid w:val="00C3766E"/>
    <w:rsid w:val="00C3770F"/>
    <w:rsid w:val="00C37B5E"/>
    <w:rsid w:val="00C40447"/>
    <w:rsid w:val="00C407F4"/>
    <w:rsid w:val="00C40C47"/>
    <w:rsid w:val="00C40DD5"/>
    <w:rsid w:val="00C413E8"/>
    <w:rsid w:val="00C414E7"/>
    <w:rsid w:val="00C41FDF"/>
    <w:rsid w:val="00C42068"/>
    <w:rsid w:val="00C4257D"/>
    <w:rsid w:val="00C42E83"/>
    <w:rsid w:val="00C42F73"/>
    <w:rsid w:val="00C43B64"/>
    <w:rsid w:val="00C43BD9"/>
    <w:rsid w:val="00C441E9"/>
    <w:rsid w:val="00C44237"/>
    <w:rsid w:val="00C444D2"/>
    <w:rsid w:val="00C447A7"/>
    <w:rsid w:val="00C44DA2"/>
    <w:rsid w:val="00C4508B"/>
    <w:rsid w:val="00C4537A"/>
    <w:rsid w:val="00C456C4"/>
    <w:rsid w:val="00C462A0"/>
    <w:rsid w:val="00C4670A"/>
    <w:rsid w:val="00C46869"/>
    <w:rsid w:val="00C469F3"/>
    <w:rsid w:val="00C46E22"/>
    <w:rsid w:val="00C478A7"/>
    <w:rsid w:val="00C50603"/>
    <w:rsid w:val="00C5196F"/>
    <w:rsid w:val="00C52E70"/>
    <w:rsid w:val="00C52FD1"/>
    <w:rsid w:val="00C53CD8"/>
    <w:rsid w:val="00C53EAC"/>
    <w:rsid w:val="00C54511"/>
    <w:rsid w:val="00C546B8"/>
    <w:rsid w:val="00C54FA7"/>
    <w:rsid w:val="00C55B66"/>
    <w:rsid w:val="00C55D23"/>
    <w:rsid w:val="00C565AA"/>
    <w:rsid w:val="00C56C04"/>
    <w:rsid w:val="00C57AFD"/>
    <w:rsid w:val="00C60ECC"/>
    <w:rsid w:val="00C611CA"/>
    <w:rsid w:val="00C614EB"/>
    <w:rsid w:val="00C615D1"/>
    <w:rsid w:val="00C6160A"/>
    <w:rsid w:val="00C61816"/>
    <w:rsid w:val="00C61F5B"/>
    <w:rsid w:val="00C62001"/>
    <w:rsid w:val="00C62884"/>
    <w:rsid w:val="00C62BF6"/>
    <w:rsid w:val="00C632CB"/>
    <w:rsid w:val="00C6376A"/>
    <w:rsid w:val="00C64ECD"/>
    <w:rsid w:val="00C65178"/>
    <w:rsid w:val="00C6551E"/>
    <w:rsid w:val="00C65B8A"/>
    <w:rsid w:val="00C661E5"/>
    <w:rsid w:val="00C6759F"/>
    <w:rsid w:val="00C679B8"/>
    <w:rsid w:val="00C67EC2"/>
    <w:rsid w:val="00C702E6"/>
    <w:rsid w:val="00C70C22"/>
    <w:rsid w:val="00C71157"/>
    <w:rsid w:val="00C725A4"/>
    <w:rsid w:val="00C7286A"/>
    <w:rsid w:val="00C72A46"/>
    <w:rsid w:val="00C72E71"/>
    <w:rsid w:val="00C7345C"/>
    <w:rsid w:val="00C73561"/>
    <w:rsid w:val="00C7369C"/>
    <w:rsid w:val="00C73E33"/>
    <w:rsid w:val="00C73F7E"/>
    <w:rsid w:val="00C74486"/>
    <w:rsid w:val="00C74BC9"/>
    <w:rsid w:val="00C74D13"/>
    <w:rsid w:val="00C74DDC"/>
    <w:rsid w:val="00C759B5"/>
    <w:rsid w:val="00C75BE8"/>
    <w:rsid w:val="00C75D56"/>
    <w:rsid w:val="00C761B4"/>
    <w:rsid w:val="00C76378"/>
    <w:rsid w:val="00C76581"/>
    <w:rsid w:val="00C80575"/>
    <w:rsid w:val="00C808BE"/>
    <w:rsid w:val="00C8139E"/>
    <w:rsid w:val="00C81C3A"/>
    <w:rsid w:val="00C81DCE"/>
    <w:rsid w:val="00C82345"/>
    <w:rsid w:val="00C82AE0"/>
    <w:rsid w:val="00C83043"/>
    <w:rsid w:val="00C8323A"/>
    <w:rsid w:val="00C83453"/>
    <w:rsid w:val="00C84554"/>
    <w:rsid w:val="00C84FCB"/>
    <w:rsid w:val="00C85255"/>
    <w:rsid w:val="00C85769"/>
    <w:rsid w:val="00C8597A"/>
    <w:rsid w:val="00C8597B"/>
    <w:rsid w:val="00C859DF"/>
    <w:rsid w:val="00C86434"/>
    <w:rsid w:val="00C8670A"/>
    <w:rsid w:val="00C8675D"/>
    <w:rsid w:val="00C868E8"/>
    <w:rsid w:val="00C86BF9"/>
    <w:rsid w:val="00C871AB"/>
    <w:rsid w:val="00C87B2C"/>
    <w:rsid w:val="00C90430"/>
    <w:rsid w:val="00C90ECE"/>
    <w:rsid w:val="00C91426"/>
    <w:rsid w:val="00C9160D"/>
    <w:rsid w:val="00C9214C"/>
    <w:rsid w:val="00C9282D"/>
    <w:rsid w:val="00C92A38"/>
    <w:rsid w:val="00C92ACF"/>
    <w:rsid w:val="00C92D32"/>
    <w:rsid w:val="00C92D76"/>
    <w:rsid w:val="00C92F06"/>
    <w:rsid w:val="00C930AE"/>
    <w:rsid w:val="00C93686"/>
    <w:rsid w:val="00C93AF3"/>
    <w:rsid w:val="00C93CB3"/>
    <w:rsid w:val="00C940B3"/>
    <w:rsid w:val="00C9411F"/>
    <w:rsid w:val="00C94239"/>
    <w:rsid w:val="00C946FF"/>
    <w:rsid w:val="00C94B78"/>
    <w:rsid w:val="00C95160"/>
    <w:rsid w:val="00C95223"/>
    <w:rsid w:val="00C95A0F"/>
    <w:rsid w:val="00C95A20"/>
    <w:rsid w:val="00C95C42"/>
    <w:rsid w:val="00C96E61"/>
    <w:rsid w:val="00C96E74"/>
    <w:rsid w:val="00C9739E"/>
    <w:rsid w:val="00C975A2"/>
    <w:rsid w:val="00C97EB3"/>
    <w:rsid w:val="00CA030B"/>
    <w:rsid w:val="00CA0CF6"/>
    <w:rsid w:val="00CA1E4E"/>
    <w:rsid w:val="00CA2C7A"/>
    <w:rsid w:val="00CA35AB"/>
    <w:rsid w:val="00CA36B3"/>
    <w:rsid w:val="00CA4AB8"/>
    <w:rsid w:val="00CA6A1F"/>
    <w:rsid w:val="00CA6FE8"/>
    <w:rsid w:val="00CA72E3"/>
    <w:rsid w:val="00CA7C41"/>
    <w:rsid w:val="00CA7CEA"/>
    <w:rsid w:val="00CB0077"/>
    <w:rsid w:val="00CB029A"/>
    <w:rsid w:val="00CB05AC"/>
    <w:rsid w:val="00CB1215"/>
    <w:rsid w:val="00CB1D07"/>
    <w:rsid w:val="00CB25E8"/>
    <w:rsid w:val="00CB34D2"/>
    <w:rsid w:val="00CB4EDB"/>
    <w:rsid w:val="00CB5874"/>
    <w:rsid w:val="00CB625A"/>
    <w:rsid w:val="00CB6A54"/>
    <w:rsid w:val="00CB7778"/>
    <w:rsid w:val="00CC0537"/>
    <w:rsid w:val="00CC08A9"/>
    <w:rsid w:val="00CC08BF"/>
    <w:rsid w:val="00CC1646"/>
    <w:rsid w:val="00CC1D2C"/>
    <w:rsid w:val="00CC21E9"/>
    <w:rsid w:val="00CC2497"/>
    <w:rsid w:val="00CC25EF"/>
    <w:rsid w:val="00CC27B0"/>
    <w:rsid w:val="00CC2D97"/>
    <w:rsid w:val="00CC45A2"/>
    <w:rsid w:val="00CC4C12"/>
    <w:rsid w:val="00CC54FD"/>
    <w:rsid w:val="00CC5652"/>
    <w:rsid w:val="00CC5C21"/>
    <w:rsid w:val="00CC606F"/>
    <w:rsid w:val="00CC692A"/>
    <w:rsid w:val="00CC6A5E"/>
    <w:rsid w:val="00CC701E"/>
    <w:rsid w:val="00CC7642"/>
    <w:rsid w:val="00CD08BB"/>
    <w:rsid w:val="00CD1B2C"/>
    <w:rsid w:val="00CD2EED"/>
    <w:rsid w:val="00CD376F"/>
    <w:rsid w:val="00CD3E92"/>
    <w:rsid w:val="00CD4233"/>
    <w:rsid w:val="00CD4A0B"/>
    <w:rsid w:val="00CD4B0C"/>
    <w:rsid w:val="00CD4E0F"/>
    <w:rsid w:val="00CD4ED1"/>
    <w:rsid w:val="00CD521D"/>
    <w:rsid w:val="00CD5472"/>
    <w:rsid w:val="00CD58BA"/>
    <w:rsid w:val="00CD5B4F"/>
    <w:rsid w:val="00CD60DA"/>
    <w:rsid w:val="00CD6FE2"/>
    <w:rsid w:val="00CD72E6"/>
    <w:rsid w:val="00CD7CD1"/>
    <w:rsid w:val="00CD7D3B"/>
    <w:rsid w:val="00CE04FA"/>
    <w:rsid w:val="00CE083B"/>
    <w:rsid w:val="00CE08EA"/>
    <w:rsid w:val="00CE0E4E"/>
    <w:rsid w:val="00CE1261"/>
    <w:rsid w:val="00CE193E"/>
    <w:rsid w:val="00CE1CF6"/>
    <w:rsid w:val="00CE2120"/>
    <w:rsid w:val="00CE2800"/>
    <w:rsid w:val="00CE3769"/>
    <w:rsid w:val="00CE4885"/>
    <w:rsid w:val="00CE496B"/>
    <w:rsid w:val="00CE4A0C"/>
    <w:rsid w:val="00CE4F63"/>
    <w:rsid w:val="00CE5E7F"/>
    <w:rsid w:val="00CE61D5"/>
    <w:rsid w:val="00CE65B3"/>
    <w:rsid w:val="00CE65E8"/>
    <w:rsid w:val="00CE66C6"/>
    <w:rsid w:val="00CE6862"/>
    <w:rsid w:val="00CE6CA3"/>
    <w:rsid w:val="00CE6CAD"/>
    <w:rsid w:val="00CE7872"/>
    <w:rsid w:val="00CE7BF9"/>
    <w:rsid w:val="00CF0467"/>
    <w:rsid w:val="00CF1592"/>
    <w:rsid w:val="00CF160D"/>
    <w:rsid w:val="00CF1729"/>
    <w:rsid w:val="00CF25FA"/>
    <w:rsid w:val="00CF2B6E"/>
    <w:rsid w:val="00CF2D9C"/>
    <w:rsid w:val="00CF480F"/>
    <w:rsid w:val="00CF4A72"/>
    <w:rsid w:val="00CF5598"/>
    <w:rsid w:val="00CF6294"/>
    <w:rsid w:val="00CF663C"/>
    <w:rsid w:val="00CF6CC4"/>
    <w:rsid w:val="00CF7906"/>
    <w:rsid w:val="00CF7F9E"/>
    <w:rsid w:val="00D00296"/>
    <w:rsid w:val="00D00B99"/>
    <w:rsid w:val="00D01553"/>
    <w:rsid w:val="00D0195F"/>
    <w:rsid w:val="00D01A43"/>
    <w:rsid w:val="00D023A1"/>
    <w:rsid w:val="00D0296C"/>
    <w:rsid w:val="00D034C8"/>
    <w:rsid w:val="00D03735"/>
    <w:rsid w:val="00D03CC4"/>
    <w:rsid w:val="00D041A3"/>
    <w:rsid w:val="00D04534"/>
    <w:rsid w:val="00D04672"/>
    <w:rsid w:val="00D04EEB"/>
    <w:rsid w:val="00D05623"/>
    <w:rsid w:val="00D05E74"/>
    <w:rsid w:val="00D06334"/>
    <w:rsid w:val="00D0647F"/>
    <w:rsid w:val="00D066F1"/>
    <w:rsid w:val="00D073A2"/>
    <w:rsid w:val="00D10487"/>
    <w:rsid w:val="00D10CAB"/>
    <w:rsid w:val="00D112E2"/>
    <w:rsid w:val="00D117AE"/>
    <w:rsid w:val="00D11D54"/>
    <w:rsid w:val="00D121C0"/>
    <w:rsid w:val="00D12C84"/>
    <w:rsid w:val="00D12DFD"/>
    <w:rsid w:val="00D13255"/>
    <w:rsid w:val="00D1329D"/>
    <w:rsid w:val="00D13EA3"/>
    <w:rsid w:val="00D1466F"/>
    <w:rsid w:val="00D148A6"/>
    <w:rsid w:val="00D148A9"/>
    <w:rsid w:val="00D153CC"/>
    <w:rsid w:val="00D16769"/>
    <w:rsid w:val="00D16F76"/>
    <w:rsid w:val="00D16FA6"/>
    <w:rsid w:val="00D1787C"/>
    <w:rsid w:val="00D17E75"/>
    <w:rsid w:val="00D205EB"/>
    <w:rsid w:val="00D206C2"/>
    <w:rsid w:val="00D213FC"/>
    <w:rsid w:val="00D21B39"/>
    <w:rsid w:val="00D21DAE"/>
    <w:rsid w:val="00D22394"/>
    <w:rsid w:val="00D229D5"/>
    <w:rsid w:val="00D230E7"/>
    <w:rsid w:val="00D2328B"/>
    <w:rsid w:val="00D2454D"/>
    <w:rsid w:val="00D24735"/>
    <w:rsid w:val="00D24F4B"/>
    <w:rsid w:val="00D25BC9"/>
    <w:rsid w:val="00D25F30"/>
    <w:rsid w:val="00D2650D"/>
    <w:rsid w:val="00D265B9"/>
    <w:rsid w:val="00D2669C"/>
    <w:rsid w:val="00D27044"/>
    <w:rsid w:val="00D27676"/>
    <w:rsid w:val="00D277C9"/>
    <w:rsid w:val="00D2792D"/>
    <w:rsid w:val="00D27E28"/>
    <w:rsid w:val="00D30035"/>
    <w:rsid w:val="00D30C39"/>
    <w:rsid w:val="00D315CF"/>
    <w:rsid w:val="00D31A6D"/>
    <w:rsid w:val="00D31AAB"/>
    <w:rsid w:val="00D31D77"/>
    <w:rsid w:val="00D32950"/>
    <w:rsid w:val="00D32EFC"/>
    <w:rsid w:val="00D330B5"/>
    <w:rsid w:val="00D34F1E"/>
    <w:rsid w:val="00D35DAC"/>
    <w:rsid w:val="00D364EF"/>
    <w:rsid w:val="00D366D9"/>
    <w:rsid w:val="00D3672C"/>
    <w:rsid w:val="00D3698C"/>
    <w:rsid w:val="00D36CA5"/>
    <w:rsid w:val="00D36EDD"/>
    <w:rsid w:val="00D3715F"/>
    <w:rsid w:val="00D37800"/>
    <w:rsid w:val="00D37C4E"/>
    <w:rsid w:val="00D40C06"/>
    <w:rsid w:val="00D40F8F"/>
    <w:rsid w:val="00D41268"/>
    <w:rsid w:val="00D416E4"/>
    <w:rsid w:val="00D4177F"/>
    <w:rsid w:val="00D41977"/>
    <w:rsid w:val="00D41AD0"/>
    <w:rsid w:val="00D426A7"/>
    <w:rsid w:val="00D42D31"/>
    <w:rsid w:val="00D43159"/>
    <w:rsid w:val="00D44690"/>
    <w:rsid w:val="00D44D7A"/>
    <w:rsid w:val="00D44FF8"/>
    <w:rsid w:val="00D45086"/>
    <w:rsid w:val="00D45CDA"/>
    <w:rsid w:val="00D46235"/>
    <w:rsid w:val="00D46520"/>
    <w:rsid w:val="00D468A0"/>
    <w:rsid w:val="00D46ED9"/>
    <w:rsid w:val="00D46FC0"/>
    <w:rsid w:val="00D47470"/>
    <w:rsid w:val="00D47855"/>
    <w:rsid w:val="00D50209"/>
    <w:rsid w:val="00D507D6"/>
    <w:rsid w:val="00D51147"/>
    <w:rsid w:val="00D51D8E"/>
    <w:rsid w:val="00D522A5"/>
    <w:rsid w:val="00D525AB"/>
    <w:rsid w:val="00D526EE"/>
    <w:rsid w:val="00D52CF8"/>
    <w:rsid w:val="00D53310"/>
    <w:rsid w:val="00D5398D"/>
    <w:rsid w:val="00D53C3A"/>
    <w:rsid w:val="00D53C3D"/>
    <w:rsid w:val="00D54125"/>
    <w:rsid w:val="00D54DDD"/>
    <w:rsid w:val="00D55449"/>
    <w:rsid w:val="00D5592F"/>
    <w:rsid w:val="00D55DE7"/>
    <w:rsid w:val="00D57150"/>
    <w:rsid w:val="00D57C54"/>
    <w:rsid w:val="00D6010F"/>
    <w:rsid w:val="00D60812"/>
    <w:rsid w:val="00D60A01"/>
    <w:rsid w:val="00D60C4A"/>
    <w:rsid w:val="00D61B77"/>
    <w:rsid w:val="00D6217F"/>
    <w:rsid w:val="00D62267"/>
    <w:rsid w:val="00D625A1"/>
    <w:rsid w:val="00D629F6"/>
    <w:rsid w:val="00D631AC"/>
    <w:rsid w:val="00D647AD"/>
    <w:rsid w:val="00D6532E"/>
    <w:rsid w:val="00D65A62"/>
    <w:rsid w:val="00D66024"/>
    <w:rsid w:val="00D6642A"/>
    <w:rsid w:val="00D665B4"/>
    <w:rsid w:val="00D66C37"/>
    <w:rsid w:val="00D66D49"/>
    <w:rsid w:val="00D6709D"/>
    <w:rsid w:val="00D674B9"/>
    <w:rsid w:val="00D674C8"/>
    <w:rsid w:val="00D70009"/>
    <w:rsid w:val="00D7032F"/>
    <w:rsid w:val="00D704D4"/>
    <w:rsid w:val="00D709B0"/>
    <w:rsid w:val="00D70B89"/>
    <w:rsid w:val="00D70BF4"/>
    <w:rsid w:val="00D717FC"/>
    <w:rsid w:val="00D71D4A"/>
    <w:rsid w:val="00D71DB5"/>
    <w:rsid w:val="00D72234"/>
    <w:rsid w:val="00D72ADE"/>
    <w:rsid w:val="00D72BF6"/>
    <w:rsid w:val="00D72F59"/>
    <w:rsid w:val="00D753D6"/>
    <w:rsid w:val="00D75840"/>
    <w:rsid w:val="00D76148"/>
    <w:rsid w:val="00D76A8F"/>
    <w:rsid w:val="00D76ED5"/>
    <w:rsid w:val="00D77B7A"/>
    <w:rsid w:val="00D77B86"/>
    <w:rsid w:val="00D77E2F"/>
    <w:rsid w:val="00D810A5"/>
    <w:rsid w:val="00D81594"/>
    <w:rsid w:val="00D81E39"/>
    <w:rsid w:val="00D81ED7"/>
    <w:rsid w:val="00D82661"/>
    <w:rsid w:val="00D826DF"/>
    <w:rsid w:val="00D82A7F"/>
    <w:rsid w:val="00D82B42"/>
    <w:rsid w:val="00D837DE"/>
    <w:rsid w:val="00D83C3C"/>
    <w:rsid w:val="00D841BC"/>
    <w:rsid w:val="00D85008"/>
    <w:rsid w:val="00D852D8"/>
    <w:rsid w:val="00D85403"/>
    <w:rsid w:val="00D86907"/>
    <w:rsid w:val="00D87B26"/>
    <w:rsid w:val="00D87C77"/>
    <w:rsid w:val="00D902A1"/>
    <w:rsid w:val="00D9063F"/>
    <w:rsid w:val="00D90E3A"/>
    <w:rsid w:val="00D912FF"/>
    <w:rsid w:val="00D91F95"/>
    <w:rsid w:val="00D935A5"/>
    <w:rsid w:val="00D93A27"/>
    <w:rsid w:val="00D94050"/>
    <w:rsid w:val="00D94981"/>
    <w:rsid w:val="00D95DEB"/>
    <w:rsid w:val="00D9604E"/>
    <w:rsid w:val="00D96C32"/>
    <w:rsid w:val="00D9703F"/>
    <w:rsid w:val="00DA092B"/>
    <w:rsid w:val="00DA0E74"/>
    <w:rsid w:val="00DA0F16"/>
    <w:rsid w:val="00DA1D50"/>
    <w:rsid w:val="00DA2481"/>
    <w:rsid w:val="00DA25B1"/>
    <w:rsid w:val="00DA33C6"/>
    <w:rsid w:val="00DA4171"/>
    <w:rsid w:val="00DA437B"/>
    <w:rsid w:val="00DA5324"/>
    <w:rsid w:val="00DA602A"/>
    <w:rsid w:val="00DA6153"/>
    <w:rsid w:val="00DA6170"/>
    <w:rsid w:val="00DA72EF"/>
    <w:rsid w:val="00DA751B"/>
    <w:rsid w:val="00DA7A5C"/>
    <w:rsid w:val="00DA7DB8"/>
    <w:rsid w:val="00DB0613"/>
    <w:rsid w:val="00DB0C58"/>
    <w:rsid w:val="00DB1271"/>
    <w:rsid w:val="00DB23D1"/>
    <w:rsid w:val="00DB26F9"/>
    <w:rsid w:val="00DB29D1"/>
    <w:rsid w:val="00DB2C15"/>
    <w:rsid w:val="00DB34D5"/>
    <w:rsid w:val="00DB3AAA"/>
    <w:rsid w:val="00DB3ED8"/>
    <w:rsid w:val="00DB40CB"/>
    <w:rsid w:val="00DB49E7"/>
    <w:rsid w:val="00DB4DD3"/>
    <w:rsid w:val="00DB4EAD"/>
    <w:rsid w:val="00DB5338"/>
    <w:rsid w:val="00DB5843"/>
    <w:rsid w:val="00DB5977"/>
    <w:rsid w:val="00DB6008"/>
    <w:rsid w:val="00DB702D"/>
    <w:rsid w:val="00DB730D"/>
    <w:rsid w:val="00DB735A"/>
    <w:rsid w:val="00DB7858"/>
    <w:rsid w:val="00DB7AD0"/>
    <w:rsid w:val="00DC0A89"/>
    <w:rsid w:val="00DC189E"/>
    <w:rsid w:val="00DC20C0"/>
    <w:rsid w:val="00DC21E7"/>
    <w:rsid w:val="00DC27B3"/>
    <w:rsid w:val="00DC29BB"/>
    <w:rsid w:val="00DC386F"/>
    <w:rsid w:val="00DC3C62"/>
    <w:rsid w:val="00DC42B6"/>
    <w:rsid w:val="00DC4848"/>
    <w:rsid w:val="00DC4865"/>
    <w:rsid w:val="00DC4AC9"/>
    <w:rsid w:val="00DC4CEE"/>
    <w:rsid w:val="00DC5616"/>
    <w:rsid w:val="00DC5987"/>
    <w:rsid w:val="00DC74EC"/>
    <w:rsid w:val="00DC79CF"/>
    <w:rsid w:val="00DD0006"/>
    <w:rsid w:val="00DD0C66"/>
    <w:rsid w:val="00DD10D4"/>
    <w:rsid w:val="00DD11F3"/>
    <w:rsid w:val="00DD2479"/>
    <w:rsid w:val="00DD26DA"/>
    <w:rsid w:val="00DD2997"/>
    <w:rsid w:val="00DD2A41"/>
    <w:rsid w:val="00DD2DF5"/>
    <w:rsid w:val="00DD2ECC"/>
    <w:rsid w:val="00DD3035"/>
    <w:rsid w:val="00DD3523"/>
    <w:rsid w:val="00DD366B"/>
    <w:rsid w:val="00DD3D65"/>
    <w:rsid w:val="00DD47D0"/>
    <w:rsid w:val="00DD4989"/>
    <w:rsid w:val="00DD4DBB"/>
    <w:rsid w:val="00DD5D19"/>
    <w:rsid w:val="00DD5E80"/>
    <w:rsid w:val="00DD64CD"/>
    <w:rsid w:val="00DD7B17"/>
    <w:rsid w:val="00DD7EDE"/>
    <w:rsid w:val="00DE05C6"/>
    <w:rsid w:val="00DE0857"/>
    <w:rsid w:val="00DE1289"/>
    <w:rsid w:val="00DE15D7"/>
    <w:rsid w:val="00DE16E5"/>
    <w:rsid w:val="00DE221A"/>
    <w:rsid w:val="00DE4101"/>
    <w:rsid w:val="00DE414F"/>
    <w:rsid w:val="00DE4157"/>
    <w:rsid w:val="00DE4771"/>
    <w:rsid w:val="00DE52E5"/>
    <w:rsid w:val="00DE5E57"/>
    <w:rsid w:val="00DE64F0"/>
    <w:rsid w:val="00DE782E"/>
    <w:rsid w:val="00DF0177"/>
    <w:rsid w:val="00DF04C3"/>
    <w:rsid w:val="00DF0EFD"/>
    <w:rsid w:val="00DF11E4"/>
    <w:rsid w:val="00DF13A5"/>
    <w:rsid w:val="00DF24D5"/>
    <w:rsid w:val="00DF2523"/>
    <w:rsid w:val="00DF29D6"/>
    <w:rsid w:val="00DF34A5"/>
    <w:rsid w:val="00DF3CE4"/>
    <w:rsid w:val="00DF4C5E"/>
    <w:rsid w:val="00DF4D8E"/>
    <w:rsid w:val="00DF4E11"/>
    <w:rsid w:val="00DF5F17"/>
    <w:rsid w:val="00DF5F30"/>
    <w:rsid w:val="00DF661B"/>
    <w:rsid w:val="00DF6F1D"/>
    <w:rsid w:val="00DF71C3"/>
    <w:rsid w:val="00DF7237"/>
    <w:rsid w:val="00DF72ED"/>
    <w:rsid w:val="00DF736E"/>
    <w:rsid w:val="00DF7790"/>
    <w:rsid w:val="00DF7887"/>
    <w:rsid w:val="00E01121"/>
    <w:rsid w:val="00E01685"/>
    <w:rsid w:val="00E030DA"/>
    <w:rsid w:val="00E030E0"/>
    <w:rsid w:val="00E03854"/>
    <w:rsid w:val="00E0400B"/>
    <w:rsid w:val="00E048EA"/>
    <w:rsid w:val="00E0547D"/>
    <w:rsid w:val="00E06181"/>
    <w:rsid w:val="00E0645C"/>
    <w:rsid w:val="00E06745"/>
    <w:rsid w:val="00E06B9E"/>
    <w:rsid w:val="00E06D13"/>
    <w:rsid w:val="00E0719A"/>
    <w:rsid w:val="00E07349"/>
    <w:rsid w:val="00E0741C"/>
    <w:rsid w:val="00E0774E"/>
    <w:rsid w:val="00E10B0E"/>
    <w:rsid w:val="00E10BBC"/>
    <w:rsid w:val="00E11AA4"/>
    <w:rsid w:val="00E11B6F"/>
    <w:rsid w:val="00E1209B"/>
    <w:rsid w:val="00E133CC"/>
    <w:rsid w:val="00E14E62"/>
    <w:rsid w:val="00E151ED"/>
    <w:rsid w:val="00E15426"/>
    <w:rsid w:val="00E154A9"/>
    <w:rsid w:val="00E15738"/>
    <w:rsid w:val="00E1609F"/>
    <w:rsid w:val="00E16FF4"/>
    <w:rsid w:val="00E17768"/>
    <w:rsid w:val="00E17CA2"/>
    <w:rsid w:val="00E17EB5"/>
    <w:rsid w:val="00E20CC3"/>
    <w:rsid w:val="00E23102"/>
    <w:rsid w:val="00E23D2C"/>
    <w:rsid w:val="00E2473D"/>
    <w:rsid w:val="00E24E1C"/>
    <w:rsid w:val="00E2516F"/>
    <w:rsid w:val="00E2553B"/>
    <w:rsid w:val="00E259F4"/>
    <w:rsid w:val="00E25A74"/>
    <w:rsid w:val="00E26656"/>
    <w:rsid w:val="00E268F0"/>
    <w:rsid w:val="00E279EF"/>
    <w:rsid w:val="00E27E61"/>
    <w:rsid w:val="00E30B5D"/>
    <w:rsid w:val="00E30E41"/>
    <w:rsid w:val="00E30EAF"/>
    <w:rsid w:val="00E31015"/>
    <w:rsid w:val="00E31753"/>
    <w:rsid w:val="00E328EA"/>
    <w:rsid w:val="00E332CA"/>
    <w:rsid w:val="00E33301"/>
    <w:rsid w:val="00E3384A"/>
    <w:rsid w:val="00E33CEE"/>
    <w:rsid w:val="00E342A7"/>
    <w:rsid w:val="00E34490"/>
    <w:rsid w:val="00E347A7"/>
    <w:rsid w:val="00E351AE"/>
    <w:rsid w:val="00E35343"/>
    <w:rsid w:val="00E362EE"/>
    <w:rsid w:val="00E36F99"/>
    <w:rsid w:val="00E37246"/>
    <w:rsid w:val="00E412C9"/>
    <w:rsid w:val="00E41570"/>
    <w:rsid w:val="00E417F0"/>
    <w:rsid w:val="00E419B3"/>
    <w:rsid w:val="00E42849"/>
    <w:rsid w:val="00E433F8"/>
    <w:rsid w:val="00E43885"/>
    <w:rsid w:val="00E4393C"/>
    <w:rsid w:val="00E43DFF"/>
    <w:rsid w:val="00E4429E"/>
    <w:rsid w:val="00E44E6A"/>
    <w:rsid w:val="00E45E66"/>
    <w:rsid w:val="00E45E85"/>
    <w:rsid w:val="00E45F0C"/>
    <w:rsid w:val="00E46B7A"/>
    <w:rsid w:val="00E470D4"/>
    <w:rsid w:val="00E473AA"/>
    <w:rsid w:val="00E478C3"/>
    <w:rsid w:val="00E47F8D"/>
    <w:rsid w:val="00E50B03"/>
    <w:rsid w:val="00E513D0"/>
    <w:rsid w:val="00E5146C"/>
    <w:rsid w:val="00E5249E"/>
    <w:rsid w:val="00E525DD"/>
    <w:rsid w:val="00E52CA8"/>
    <w:rsid w:val="00E52CBF"/>
    <w:rsid w:val="00E52F2D"/>
    <w:rsid w:val="00E53351"/>
    <w:rsid w:val="00E533A4"/>
    <w:rsid w:val="00E535A8"/>
    <w:rsid w:val="00E53CD4"/>
    <w:rsid w:val="00E55164"/>
    <w:rsid w:val="00E555E1"/>
    <w:rsid w:val="00E55FD0"/>
    <w:rsid w:val="00E5656B"/>
    <w:rsid w:val="00E56F0B"/>
    <w:rsid w:val="00E576C9"/>
    <w:rsid w:val="00E57B6A"/>
    <w:rsid w:val="00E57E84"/>
    <w:rsid w:val="00E60026"/>
    <w:rsid w:val="00E6077A"/>
    <w:rsid w:val="00E60A99"/>
    <w:rsid w:val="00E6118C"/>
    <w:rsid w:val="00E61554"/>
    <w:rsid w:val="00E6196F"/>
    <w:rsid w:val="00E629AE"/>
    <w:rsid w:val="00E62C04"/>
    <w:rsid w:val="00E62C77"/>
    <w:rsid w:val="00E62CF0"/>
    <w:rsid w:val="00E63ABB"/>
    <w:rsid w:val="00E63B43"/>
    <w:rsid w:val="00E64128"/>
    <w:rsid w:val="00E64315"/>
    <w:rsid w:val="00E645F9"/>
    <w:rsid w:val="00E646ED"/>
    <w:rsid w:val="00E64836"/>
    <w:rsid w:val="00E6492B"/>
    <w:rsid w:val="00E64987"/>
    <w:rsid w:val="00E64B9A"/>
    <w:rsid w:val="00E64EB4"/>
    <w:rsid w:val="00E652D0"/>
    <w:rsid w:val="00E65334"/>
    <w:rsid w:val="00E65884"/>
    <w:rsid w:val="00E65C4E"/>
    <w:rsid w:val="00E65F8B"/>
    <w:rsid w:val="00E660F6"/>
    <w:rsid w:val="00E66361"/>
    <w:rsid w:val="00E6691D"/>
    <w:rsid w:val="00E70DD3"/>
    <w:rsid w:val="00E71477"/>
    <w:rsid w:val="00E715B4"/>
    <w:rsid w:val="00E71B60"/>
    <w:rsid w:val="00E72552"/>
    <w:rsid w:val="00E72A33"/>
    <w:rsid w:val="00E72A34"/>
    <w:rsid w:val="00E72AD4"/>
    <w:rsid w:val="00E73539"/>
    <w:rsid w:val="00E736F3"/>
    <w:rsid w:val="00E737E4"/>
    <w:rsid w:val="00E73CFD"/>
    <w:rsid w:val="00E73FD3"/>
    <w:rsid w:val="00E741A8"/>
    <w:rsid w:val="00E7454F"/>
    <w:rsid w:val="00E749A0"/>
    <w:rsid w:val="00E74BDF"/>
    <w:rsid w:val="00E74C4A"/>
    <w:rsid w:val="00E74C56"/>
    <w:rsid w:val="00E7539F"/>
    <w:rsid w:val="00E755A9"/>
    <w:rsid w:val="00E75B32"/>
    <w:rsid w:val="00E75E65"/>
    <w:rsid w:val="00E75E8B"/>
    <w:rsid w:val="00E763F1"/>
    <w:rsid w:val="00E7666A"/>
    <w:rsid w:val="00E76908"/>
    <w:rsid w:val="00E76D8C"/>
    <w:rsid w:val="00E8061B"/>
    <w:rsid w:val="00E80707"/>
    <w:rsid w:val="00E80935"/>
    <w:rsid w:val="00E80D8B"/>
    <w:rsid w:val="00E80E5E"/>
    <w:rsid w:val="00E811CD"/>
    <w:rsid w:val="00E81CC5"/>
    <w:rsid w:val="00E81D36"/>
    <w:rsid w:val="00E81D39"/>
    <w:rsid w:val="00E81E9D"/>
    <w:rsid w:val="00E82C66"/>
    <w:rsid w:val="00E82FA2"/>
    <w:rsid w:val="00E831EA"/>
    <w:rsid w:val="00E8341D"/>
    <w:rsid w:val="00E84697"/>
    <w:rsid w:val="00E84D96"/>
    <w:rsid w:val="00E851F5"/>
    <w:rsid w:val="00E86854"/>
    <w:rsid w:val="00E86C63"/>
    <w:rsid w:val="00E87CE9"/>
    <w:rsid w:val="00E90530"/>
    <w:rsid w:val="00E90538"/>
    <w:rsid w:val="00E91098"/>
    <w:rsid w:val="00E911AE"/>
    <w:rsid w:val="00E91D67"/>
    <w:rsid w:val="00E92643"/>
    <w:rsid w:val="00E9341B"/>
    <w:rsid w:val="00E93C06"/>
    <w:rsid w:val="00E946BC"/>
    <w:rsid w:val="00E94744"/>
    <w:rsid w:val="00E952D3"/>
    <w:rsid w:val="00E9629A"/>
    <w:rsid w:val="00E963CF"/>
    <w:rsid w:val="00E96678"/>
    <w:rsid w:val="00E96820"/>
    <w:rsid w:val="00E96A53"/>
    <w:rsid w:val="00E97EC2"/>
    <w:rsid w:val="00EA0474"/>
    <w:rsid w:val="00EA04E9"/>
    <w:rsid w:val="00EA0505"/>
    <w:rsid w:val="00EA0B7E"/>
    <w:rsid w:val="00EA0EF2"/>
    <w:rsid w:val="00EA14B3"/>
    <w:rsid w:val="00EA16B8"/>
    <w:rsid w:val="00EA1BE6"/>
    <w:rsid w:val="00EA2D6A"/>
    <w:rsid w:val="00EA3139"/>
    <w:rsid w:val="00EA364C"/>
    <w:rsid w:val="00EA365D"/>
    <w:rsid w:val="00EA48FB"/>
    <w:rsid w:val="00EA4ECA"/>
    <w:rsid w:val="00EA5C7B"/>
    <w:rsid w:val="00EA5C9E"/>
    <w:rsid w:val="00EA5D56"/>
    <w:rsid w:val="00EA60E5"/>
    <w:rsid w:val="00EA6329"/>
    <w:rsid w:val="00EA68B1"/>
    <w:rsid w:val="00EA72BF"/>
    <w:rsid w:val="00EA77E5"/>
    <w:rsid w:val="00EA7FBF"/>
    <w:rsid w:val="00EB01A7"/>
    <w:rsid w:val="00EB0297"/>
    <w:rsid w:val="00EB0586"/>
    <w:rsid w:val="00EB1554"/>
    <w:rsid w:val="00EB18FD"/>
    <w:rsid w:val="00EB195A"/>
    <w:rsid w:val="00EB23DB"/>
    <w:rsid w:val="00EB2810"/>
    <w:rsid w:val="00EB3199"/>
    <w:rsid w:val="00EB3BA5"/>
    <w:rsid w:val="00EB3E1E"/>
    <w:rsid w:val="00EB4121"/>
    <w:rsid w:val="00EB4E8B"/>
    <w:rsid w:val="00EB604E"/>
    <w:rsid w:val="00EB6C3A"/>
    <w:rsid w:val="00EB7862"/>
    <w:rsid w:val="00EB7BC6"/>
    <w:rsid w:val="00EC05F5"/>
    <w:rsid w:val="00EC06FA"/>
    <w:rsid w:val="00EC0892"/>
    <w:rsid w:val="00EC0A94"/>
    <w:rsid w:val="00EC1134"/>
    <w:rsid w:val="00EC14C8"/>
    <w:rsid w:val="00EC53F5"/>
    <w:rsid w:val="00EC599E"/>
    <w:rsid w:val="00EC602D"/>
    <w:rsid w:val="00EC66F6"/>
    <w:rsid w:val="00EC72CD"/>
    <w:rsid w:val="00EC72E2"/>
    <w:rsid w:val="00EC7A61"/>
    <w:rsid w:val="00EC7F90"/>
    <w:rsid w:val="00ED1F63"/>
    <w:rsid w:val="00ED2531"/>
    <w:rsid w:val="00ED3BB8"/>
    <w:rsid w:val="00ED47FB"/>
    <w:rsid w:val="00ED5461"/>
    <w:rsid w:val="00ED5881"/>
    <w:rsid w:val="00ED60E9"/>
    <w:rsid w:val="00ED6157"/>
    <w:rsid w:val="00ED6372"/>
    <w:rsid w:val="00ED6B54"/>
    <w:rsid w:val="00ED6E07"/>
    <w:rsid w:val="00ED70BA"/>
    <w:rsid w:val="00ED7151"/>
    <w:rsid w:val="00ED7F06"/>
    <w:rsid w:val="00EE1BF8"/>
    <w:rsid w:val="00EE1D27"/>
    <w:rsid w:val="00EE3497"/>
    <w:rsid w:val="00EE37EA"/>
    <w:rsid w:val="00EE496A"/>
    <w:rsid w:val="00EE4D00"/>
    <w:rsid w:val="00EE4EDC"/>
    <w:rsid w:val="00EE4FB1"/>
    <w:rsid w:val="00EE547E"/>
    <w:rsid w:val="00EE54A0"/>
    <w:rsid w:val="00EE650D"/>
    <w:rsid w:val="00EE6A38"/>
    <w:rsid w:val="00EE7201"/>
    <w:rsid w:val="00EE7448"/>
    <w:rsid w:val="00EE7A40"/>
    <w:rsid w:val="00EF0062"/>
    <w:rsid w:val="00EF025C"/>
    <w:rsid w:val="00EF05FA"/>
    <w:rsid w:val="00EF0896"/>
    <w:rsid w:val="00EF101A"/>
    <w:rsid w:val="00EF1B55"/>
    <w:rsid w:val="00EF1D8F"/>
    <w:rsid w:val="00EF3361"/>
    <w:rsid w:val="00EF3DC0"/>
    <w:rsid w:val="00EF3E21"/>
    <w:rsid w:val="00EF41AF"/>
    <w:rsid w:val="00EF4251"/>
    <w:rsid w:val="00EF466B"/>
    <w:rsid w:val="00EF50F4"/>
    <w:rsid w:val="00EF5BA7"/>
    <w:rsid w:val="00EF6098"/>
    <w:rsid w:val="00EF6A85"/>
    <w:rsid w:val="00EF700A"/>
    <w:rsid w:val="00EF7463"/>
    <w:rsid w:val="00F00372"/>
    <w:rsid w:val="00F003BD"/>
    <w:rsid w:val="00F00578"/>
    <w:rsid w:val="00F0088B"/>
    <w:rsid w:val="00F00D4F"/>
    <w:rsid w:val="00F015C9"/>
    <w:rsid w:val="00F01B28"/>
    <w:rsid w:val="00F0222B"/>
    <w:rsid w:val="00F028FC"/>
    <w:rsid w:val="00F039EA"/>
    <w:rsid w:val="00F039F3"/>
    <w:rsid w:val="00F04F81"/>
    <w:rsid w:val="00F05C71"/>
    <w:rsid w:val="00F0604F"/>
    <w:rsid w:val="00F06683"/>
    <w:rsid w:val="00F067D0"/>
    <w:rsid w:val="00F06AB5"/>
    <w:rsid w:val="00F06F58"/>
    <w:rsid w:val="00F103A3"/>
    <w:rsid w:val="00F104FC"/>
    <w:rsid w:val="00F10B96"/>
    <w:rsid w:val="00F11413"/>
    <w:rsid w:val="00F12057"/>
    <w:rsid w:val="00F13355"/>
    <w:rsid w:val="00F14189"/>
    <w:rsid w:val="00F1574C"/>
    <w:rsid w:val="00F15C20"/>
    <w:rsid w:val="00F15D1A"/>
    <w:rsid w:val="00F16F84"/>
    <w:rsid w:val="00F17E6D"/>
    <w:rsid w:val="00F17E83"/>
    <w:rsid w:val="00F20796"/>
    <w:rsid w:val="00F20AB6"/>
    <w:rsid w:val="00F21368"/>
    <w:rsid w:val="00F21AB8"/>
    <w:rsid w:val="00F21CFD"/>
    <w:rsid w:val="00F22205"/>
    <w:rsid w:val="00F2293B"/>
    <w:rsid w:val="00F22A6B"/>
    <w:rsid w:val="00F22F96"/>
    <w:rsid w:val="00F23CB2"/>
    <w:rsid w:val="00F2430B"/>
    <w:rsid w:val="00F24AC2"/>
    <w:rsid w:val="00F25109"/>
    <w:rsid w:val="00F2526B"/>
    <w:rsid w:val="00F256DA"/>
    <w:rsid w:val="00F258F8"/>
    <w:rsid w:val="00F25CEC"/>
    <w:rsid w:val="00F26290"/>
    <w:rsid w:val="00F269B9"/>
    <w:rsid w:val="00F27026"/>
    <w:rsid w:val="00F27205"/>
    <w:rsid w:val="00F2731A"/>
    <w:rsid w:val="00F2799C"/>
    <w:rsid w:val="00F27CC9"/>
    <w:rsid w:val="00F30000"/>
    <w:rsid w:val="00F30F40"/>
    <w:rsid w:val="00F3148B"/>
    <w:rsid w:val="00F3165D"/>
    <w:rsid w:val="00F31816"/>
    <w:rsid w:val="00F3212C"/>
    <w:rsid w:val="00F32635"/>
    <w:rsid w:val="00F32A31"/>
    <w:rsid w:val="00F33082"/>
    <w:rsid w:val="00F33C35"/>
    <w:rsid w:val="00F347BA"/>
    <w:rsid w:val="00F34B2B"/>
    <w:rsid w:val="00F34BD3"/>
    <w:rsid w:val="00F34EF9"/>
    <w:rsid w:val="00F3509E"/>
    <w:rsid w:val="00F354E3"/>
    <w:rsid w:val="00F36EBB"/>
    <w:rsid w:val="00F37076"/>
    <w:rsid w:val="00F3746D"/>
    <w:rsid w:val="00F4027C"/>
    <w:rsid w:val="00F4036B"/>
    <w:rsid w:val="00F405CF"/>
    <w:rsid w:val="00F41911"/>
    <w:rsid w:val="00F41A69"/>
    <w:rsid w:val="00F41E66"/>
    <w:rsid w:val="00F43755"/>
    <w:rsid w:val="00F44B08"/>
    <w:rsid w:val="00F462F0"/>
    <w:rsid w:val="00F46989"/>
    <w:rsid w:val="00F46E87"/>
    <w:rsid w:val="00F4717C"/>
    <w:rsid w:val="00F4747D"/>
    <w:rsid w:val="00F47B0D"/>
    <w:rsid w:val="00F47BA3"/>
    <w:rsid w:val="00F47FFD"/>
    <w:rsid w:val="00F5027C"/>
    <w:rsid w:val="00F5052C"/>
    <w:rsid w:val="00F50930"/>
    <w:rsid w:val="00F50987"/>
    <w:rsid w:val="00F52327"/>
    <w:rsid w:val="00F52839"/>
    <w:rsid w:val="00F53005"/>
    <w:rsid w:val="00F53172"/>
    <w:rsid w:val="00F5364B"/>
    <w:rsid w:val="00F55601"/>
    <w:rsid w:val="00F55882"/>
    <w:rsid w:val="00F55FC6"/>
    <w:rsid w:val="00F56A35"/>
    <w:rsid w:val="00F56F2B"/>
    <w:rsid w:val="00F576A9"/>
    <w:rsid w:val="00F57872"/>
    <w:rsid w:val="00F602E3"/>
    <w:rsid w:val="00F60ABD"/>
    <w:rsid w:val="00F60E56"/>
    <w:rsid w:val="00F61599"/>
    <w:rsid w:val="00F621DE"/>
    <w:rsid w:val="00F6230B"/>
    <w:rsid w:val="00F6256F"/>
    <w:rsid w:val="00F628DC"/>
    <w:rsid w:val="00F62A1A"/>
    <w:rsid w:val="00F62A94"/>
    <w:rsid w:val="00F630A7"/>
    <w:rsid w:val="00F6387E"/>
    <w:rsid w:val="00F63B4A"/>
    <w:rsid w:val="00F63E16"/>
    <w:rsid w:val="00F6558F"/>
    <w:rsid w:val="00F658A3"/>
    <w:rsid w:val="00F65AAD"/>
    <w:rsid w:val="00F6692F"/>
    <w:rsid w:val="00F6708E"/>
    <w:rsid w:val="00F6711C"/>
    <w:rsid w:val="00F67521"/>
    <w:rsid w:val="00F677D2"/>
    <w:rsid w:val="00F70716"/>
    <w:rsid w:val="00F7091F"/>
    <w:rsid w:val="00F70A56"/>
    <w:rsid w:val="00F70E1B"/>
    <w:rsid w:val="00F71873"/>
    <w:rsid w:val="00F72666"/>
    <w:rsid w:val="00F72E83"/>
    <w:rsid w:val="00F737E0"/>
    <w:rsid w:val="00F73A28"/>
    <w:rsid w:val="00F73DA5"/>
    <w:rsid w:val="00F741E8"/>
    <w:rsid w:val="00F742AB"/>
    <w:rsid w:val="00F74CCB"/>
    <w:rsid w:val="00F74D0F"/>
    <w:rsid w:val="00F74FA9"/>
    <w:rsid w:val="00F750E4"/>
    <w:rsid w:val="00F7574E"/>
    <w:rsid w:val="00F76AB1"/>
    <w:rsid w:val="00F771D0"/>
    <w:rsid w:val="00F77339"/>
    <w:rsid w:val="00F7748F"/>
    <w:rsid w:val="00F777AB"/>
    <w:rsid w:val="00F8027F"/>
    <w:rsid w:val="00F809CF"/>
    <w:rsid w:val="00F80E37"/>
    <w:rsid w:val="00F8111E"/>
    <w:rsid w:val="00F813E5"/>
    <w:rsid w:val="00F814AD"/>
    <w:rsid w:val="00F816D9"/>
    <w:rsid w:val="00F823C6"/>
    <w:rsid w:val="00F82D53"/>
    <w:rsid w:val="00F83397"/>
    <w:rsid w:val="00F83507"/>
    <w:rsid w:val="00F838D7"/>
    <w:rsid w:val="00F8473C"/>
    <w:rsid w:val="00F84F96"/>
    <w:rsid w:val="00F8519D"/>
    <w:rsid w:val="00F85663"/>
    <w:rsid w:val="00F866B0"/>
    <w:rsid w:val="00F86B2F"/>
    <w:rsid w:val="00F86DB3"/>
    <w:rsid w:val="00F86E8A"/>
    <w:rsid w:val="00F875DA"/>
    <w:rsid w:val="00F8779F"/>
    <w:rsid w:val="00F87883"/>
    <w:rsid w:val="00F903EB"/>
    <w:rsid w:val="00F90E02"/>
    <w:rsid w:val="00F91CFE"/>
    <w:rsid w:val="00F92220"/>
    <w:rsid w:val="00F92A49"/>
    <w:rsid w:val="00F93854"/>
    <w:rsid w:val="00F949B7"/>
    <w:rsid w:val="00F94C9C"/>
    <w:rsid w:val="00F94CC8"/>
    <w:rsid w:val="00F95198"/>
    <w:rsid w:val="00F95453"/>
    <w:rsid w:val="00F95E16"/>
    <w:rsid w:val="00F9641A"/>
    <w:rsid w:val="00F969E3"/>
    <w:rsid w:val="00F969EF"/>
    <w:rsid w:val="00F97439"/>
    <w:rsid w:val="00F97708"/>
    <w:rsid w:val="00FA0234"/>
    <w:rsid w:val="00FA0394"/>
    <w:rsid w:val="00FA0844"/>
    <w:rsid w:val="00FA2601"/>
    <w:rsid w:val="00FA262B"/>
    <w:rsid w:val="00FA28AC"/>
    <w:rsid w:val="00FA2B4E"/>
    <w:rsid w:val="00FA3332"/>
    <w:rsid w:val="00FA42C5"/>
    <w:rsid w:val="00FA554E"/>
    <w:rsid w:val="00FA7155"/>
    <w:rsid w:val="00FA799C"/>
    <w:rsid w:val="00FB0367"/>
    <w:rsid w:val="00FB0A04"/>
    <w:rsid w:val="00FB0B40"/>
    <w:rsid w:val="00FB1B04"/>
    <w:rsid w:val="00FB2B5F"/>
    <w:rsid w:val="00FB3AFE"/>
    <w:rsid w:val="00FB4066"/>
    <w:rsid w:val="00FB40D5"/>
    <w:rsid w:val="00FB41B0"/>
    <w:rsid w:val="00FB4DC9"/>
    <w:rsid w:val="00FB4FA1"/>
    <w:rsid w:val="00FB53E3"/>
    <w:rsid w:val="00FB5FDF"/>
    <w:rsid w:val="00FB63C8"/>
    <w:rsid w:val="00FB762A"/>
    <w:rsid w:val="00FB79E4"/>
    <w:rsid w:val="00FB7DC4"/>
    <w:rsid w:val="00FB7E30"/>
    <w:rsid w:val="00FB7F6E"/>
    <w:rsid w:val="00FC05B0"/>
    <w:rsid w:val="00FC160A"/>
    <w:rsid w:val="00FC1F2B"/>
    <w:rsid w:val="00FC26CB"/>
    <w:rsid w:val="00FC2820"/>
    <w:rsid w:val="00FC33B3"/>
    <w:rsid w:val="00FC3AE9"/>
    <w:rsid w:val="00FC403F"/>
    <w:rsid w:val="00FC41F5"/>
    <w:rsid w:val="00FC4369"/>
    <w:rsid w:val="00FC48C1"/>
    <w:rsid w:val="00FC499F"/>
    <w:rsid w:val="00FC4E02"/>
    <w:rsid w:val="00FC50E2"/>
    <w:rsid w:val="00FC5776"/>
    <w:rsid w:val="00FC5B3E"/>
    <w:rsid w:val="00FC6DF4"/>
    <w:rsid w:val="00FC7991"/>
    <w:rsid w:val="00FD11E7"/>
    <w:rsid w:val="00FD18C1"/>
    <w:rsid w:val="00FD2464"/>
    <w:rsid w:val="00FD2671"/>
    <w:rsid w:val="00FD2AAF"/>
    <w:rsid w:val="00FD32AA"/>
    <w:rsid w:val="00FD43E2"/>
    <w:rsid w:val="00FD4519"/>
    <w:rsid w:val="00FD4715"/>
    <w:rsid w:val="00FD4868"/>
    <w:rsid w:val="00FD48BA"/>
    <w:rsid w:val="00FD493C"/>
    <w:rsid w:val="00FD4CF2"/>
    <w:rsid w:val="00FD51FF"/>
    <w:rsid w:val="00FD58F5"/>
    <w:rsid w:val="00FD5C0F"/>
    <w:rsid w:val="00FD608D"/>
    <w:rsid w:val="00FD6092"/>
    <w:rsid w:val="00FD65E9"/>
    <w:rsid w:val="00FD6A03"/>
    <w:rsid w:val="00FD70CC"/>
    <w:rsid w:val="00FE015D"/>
    <w:rsid w:val="00FE0378"/>
    <w:rsid w:val="00FE094C"/>
    <w:rsid w:val="00FE1041"/>
    <w:rsid w:val="00FE379B"/>
    <w:rsid w:val="00FE43B4"/>
    <w:rsid w:val="00FE447C"/>
    <w:rsid w:val="00FE4677"/>
    <w:rsid w:val="00FE5BE2"/>
    <w:rsid w:val="00FE63A1"/>
    <w:rsid w:val="00FE6924"/>
    <w:rsid w:val="00FE6DC3"/>
    <w:rsid w:val="00FE7518"/>
    <w:rsid w:val="00FE7CE9"/>
    <w:rsid w:val="00FF0038"/>
    <w:rsid w:val="00FF01A2"/>
    <w:rsid w:val="00FF06AB"/>
    <w:rsid w:val="00FF16A4"/>
    <w:rsid w:val="00FF1FDC"/>
    <w:rsid w:val="00FF2282"/>
    <w:rsid w:val="00FF2C3D"/>
    <w:rsid w:val="00FF32D7"/>
    <w:rsid w:val="00FF43F8"/>
    <w:rsid w:val="00FF4804"/>
    <w:rsid w:val="00FF4C68"/>
    <w:rsid w:val="00FF4E3D"/>
    <w:rsid w:val="00FF51F5"/>
    <w:rsid w:val="00FF592D"/>
    <w:rsid w:val="00FF5AEF"/>
    <w:rsid w:val="00FF625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F08"/>
    <w:pPr>
      <w:spacing w:after="100" w:line="400" w:lineRule="exact"/>
      <w:jc w:val="both"/>
    </w:pPr>
    <w:rPr>
      <w:rFonts w:ascii="Century Schoolbook" w:hAnsi="Century Schoolbook"/>
      <w:sz w:val="27"/>
    </w:rPr>
  </w:style>
  <w:style w:type="paragraph" w:styleId="Heading1">
    <w:name w:val="heading 1"/>
    <w:basedOn w:val="Normal"/>
    <w:next w:val="Normal"/>
    <w:link w:val="Heading1Char"/>
    <w:qFormat/>
    <w:rsid w:val="00143F08"/>
    <w:pPr>
      <w:keepNext/>
      <w:spacing w:before="140" w:line="240" w:lineRule="atLeast"/>
      <w:jc w:val="center"/>
      <w:outlineLvl w:val="0"/>
    </w:pPr>
    <w:rPr>
      <w:b/>
      <w:smallCaps/>
    </w:rPr>
  </w:style>
  <w:style w:type="paragraph" w:styleId="Heading2">
    <w:name w:val="heading 2"/>
    <w:basedOn w:val="Normal"/>
    <w:next w:val="Normal"/>
    <w:link w:val="Heading2Char"/>
    <w:qFormat/>
    <w:rsid w:val="00F22A6B"/>
    <w:pPr>
      <w:keepNext/>
      <w:tabs>
        <w:tab w:val="left" w:pos="1152"/>
      </w:tabs>
      <w:spacing w:before="140" w:line="240" w:lineRule="atLeast"/>
      <w:ind w:left="1152" w:hanging="432"/>
      <w:jc w:val="left"/>
      <w:outlineLvl w:val="1"/>
    </w:pPr>
    <w:rPr>
      <w:b/>
    </w:rPr>
  </w:style>
  <w:style w:type="paragraph" w:styleId="Heading3">
    <w:name w:val="heading 3"/>
    <w:basedOn w:val="Normal"/>
    <w:next w:val="NormalIndent"/>
    <w:link w:val="Heading3Char"/>
    <w:qFormat/>
    <w:rsid w:val="00143F08"/>
    <w:pPr>
      <w:keepNext/>
      <w:tabs>
        <w:tab w:val="left" w:pos="1584"/>
      </w:tabs>
      <w:spacing w:before="140" w:line="240" w:lineRule="atLeast"/>
      <w:ind w:left="1584" w:hanging="432"/>
      <w:jc w:val="left"/>
      <w:outlineLvl w:val="2"/>
    </w:pPr>
    <w:rPr>
      <w:i/>
    </w:rPr>
  </w:style>
  <w:style w:type="paragraph" w:styleId="Heading4">
    <w:name w:val="heading 4"/>
    <w:basedOn w:val="Normal"/>
    <w:rsid w:val="00143F08"/>
    <w:pPr>
      <w:keepNext/>
      <w:tabs>
        <w:tab w:val="left" w:pos="2016"/>
      </w:tabs>
      <w:spacing w:before="140" w:line="240" w:lineRule="atLeast"/>
      <w:ind w:left="2016" w:hanging="432"/>
      <w:jc w:val="left"/>
      <w:outlineLvl w:val="3"/>
    </w:pPr>
    <w:rPr>
      <w:i/>
    </w:rPr>
  </w:style>
  <w:style w:type="paragraph" w:styleId="Heading5">
    <w:name w:val="heading 5"/>
    <w:basedOn w:val="Normal"/>
    <w:rsid w:val="00143F08"/>
    <w:pPr>
      <w:keepNext/>
      <w:tabs>
        <w:tab w:val="left" w:pos="2448"/>
      </w:tabs>
      <w:spacing w:before="140" w:line="240" w:lineRule="atLeast"/>
      <w:ind w:left="2448" w:hanging="432"/>
      <w:jc w:val="left"/>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rsid w:val="00143F08"/>
    <w:pPr>
      <w:ind w:left="720"/>
    </w:pPr>
  </w:style>
  <w:style w:type="paragraph" w:styleId="Footer">
    <w:name w:val="footer"/>
    <w:basedOn w:val="Normal"/>
    <w:link w:val="FooterChar"/>
    <w:uiPriority w:val="99"/>
    <w:qFormat/>
    <w:rsid w:val="00143F08"/>
    <w:pPr>
      <w:tabs>
        <w:tab w:val="center" w:pos="3960"/>
        <w:tab w:val="right" w:pos="10080"/>
      </w:tabs>
      <w:spacing w:after="0" w:line="240" w:lineRule="auto"/>
      <w:jc w:val="center"/>
    </w:pPr>
    <w:rPr>
      <w:sz w:val="22"/>
    </w:rPr>
  </w:style>
  <w:style w:type="paragraph" w:styleId="Header">
    <w:name w:val="header"/>
    <w:basedOn w:val="Normal"/>
    <w:link w:val="HeaderChar"/>
    <w:uiPriority w:val="99"/>
    <w:qFormat/>
    <w:rsid w:val="00143F08"/>
    <w:pPr>
      <w:tabs>
        <w:tab w:val="center" w:pos="3960"/>
        <w:tab w:val="right" w:pos="10080"/>
      </w:tabs>
      <w:spacing w:after="80" w:line="240" w:lineRule="auto"/>
      <w:jc w:val="center"/>
    </w:pPr>
    <w:rPr>
      <w:sz w:val="22"/>
    </w:rPr>
  </w:style>
  <w:style w:type="character" w:styleId="FootnoteReference">
    <w:name w:val="footnote reference"/>
    <w:basedOn w:val="DefaultParagraphFont"/>
    <w:rsid w:val="00143F08"/>
    <w:rPr>
      <w:rFonts w:ascii="Century Schoolbook" w:hAnsi="Century Schoolbook"/>
      <w:b/>
      <w:i w:val="0"/>
      <w:position w:val="4"/>
      <w:sz w:val="27"/>
      <w:vertAlign w:val="superscript"/>
    </w:rPr>
  </w:style>
  <w:style w:type="paragraph" w:styleId="FootnoteText">
    <w:name w:val="footnote text"/>
    <w:basedOn w:val="Normal"/>
    <w:link w:val="FootnoteTextChar"/>
    <w:rsid w:val="00143F08"/>
    <w:pPr>
      <w:spacing w:line="300" w:lineRule="exact"/>
    </w:pPr>
  </w:style>
  <w:style w:type="paragraph" w:customStyle="1" w:styleId="Title1">
    <w:name w:val="Title1"/>
    <w:basedOn w:val="Normal"/>
    <w:rsid w:val="00143F08"/>
    <w:pPr>
      <w:tabs>
        <w:tab w:val="left" w:pos="5760"/>
        <w:tab w:val="left" w:pos="6480"/>
      </w:tabs>
      <w:spacing w:line="240" w:lineRule="atLeast"/>
    </w:pPr>
  </w:style>
  <w:style w:type="paragraph" w:customStyle="1" w:styleId="Recommend">
    <w:name w:val="Recommend"/>
    <w:basedOn w:val="Normal"/>
    <w:rsid w:val="00143F08"/>
  </w:style>
  <w:style w:type="paragraph" w:customStyle="1" w:styleId="Summary">
    <w:name w:val="Summary"/>
    <w:basedOn w:val="Normal"/>
    <w:rsid w:val="00143F08"/>
    <w:pPr>
      <w:ind w:left="2160" w:hanging="2160"/>
    </w:pPr>
  </w:style>
  <w:style w:type="paragraph" w:customStyle="1" w:styleId="Text">
    <w:name w:val="Text"/>
    <w:basedOn w:val="Normal"/>
    <w:rsid w:val="00143F08"/>
    <w:pPr>
      <w:tabs>
        <w:tab w:val="left" w:pos="720"/>
        <w:tab w:val="left" w:pos="1440"/>
        <w:tab w:val="left" w:pos="2160"/>
        <w:tab w:val="center" w:pos="4320"/>
      </w:tabs>
      <w:spacing w:line="480" w:lineRule="atLeast"/>
      <w:ind w:firstLine="540"/>
    </w:pPr>
  </w:style>
  <w:style w:type="paragraph" w:styleId="Date">
    <w:name w:val="Date"/>
    <w:basedOn w:val="Normal"/>
    <w:semiHidden/>
    <w:rsid w:val="00143F08"/>
    <w:pPr>
      <w:jc w:val="right"/>
    </w:pPr>
  </w:style>
  <w:style w:type="character" w:styleId="PageNumber">
    <w:name w:val="page number"/>
    <w:basedOn w:val="DefaultParagraphFont"/>
    <w:semiHidden/>
    <w:rsid w:val="00143F08"/>
  </w:style>
  <w:style w:type="paragraph" w:customStyle="1" w:styleId="subject">
    <w:name w:val="subject"/>
    <w:basedOn w:val="Normal"/>
    <w:rsid w:val="00143F08"/>
    <w:pPr>
      <w:tabs>
        <w:tab w:val="left" w:pos="1008"/>
      </w:tabs>
      <w:ind w:left="990" w:hanging="990"/>
    </w:pPr>
    <w:rPr>
      <w:b/>
    </w:rPr>
  </w:style>
  <w:style w:type="paragraph" w:customStyle="1" w:styleId="Titles">
    <w:name w:val="Titles"/>
    <w:basedOn w:val="Normal"/>
    <w:rsid w:val="00143F08"/>
    <w:pPr>
      <w:tabs>
        <w:tab w:val="left" w:pos="2160"/>
      </w:tabs>
      <w:ind w:left="2160" w:hanging="2160"/>
    </w:pPr>
    <w:rPr>
      <w:b/>
    </w:rPr>
  </w:style>
  <w:style w:type="paragraph" w:styleId="TOAHeading">
    <w:name w:val="toa heading"/>
    <w:basedOn w:val="Normal"/>
    <w:next w:val="Normal"/>
    <w:semiHidden/>
    <w:rsid w:val="00143F08"/>
    <w:pPr>
      <w:spacing w:before="120"/>
    </w:pPr>
    <w:rPr>
      <w:b/>
    </w:rPr>
  </w:style>
  <w:style w:type="paragraph" w:styleId="TOC1">
    <w:name w:val="toc 1"/>
    <w:basedOn w:val="Normal"/>
    <w:next w:val="Normal"/>
    <w:autoRedefine/>
    <w:semiHidden/>
    <w:rsid w:val="00143F08"/>
  </w:style>
  <w:style w:type="paragraph" w:styleId="TOC2">
    <w:name w:val="toc 2"/>
    <w:basedOn w:val="Normal"/>
    <w:next w:val="Normal"/>
    <w:autoRedefine/>
    <w:semiHidden/>
    <w:rsid w:val="00143F08"/>
    <w:pPr>
      <w:ind w:left="259"/>
    </w:pPr>
  </w:style>
  <w:style w:type="paragraph" w:styleId="TOC3">
    <w:name w:val="toc 3"/>
    <w:basedOn w:val="Normal"/>
    <w:next w:val="Normal"/>
    <w:autoRedefine/>
    <w:semiHidden/>
    <w:rsid w:val="00143F08"/>
    <w:pPr>
      <w:ind w:left="520"/>
    </w:pPr>
  </w:style>
  <w:style w:type="paragraph" w:styleId="TOC4">
    <w:name w:val="toc 4"/>
    <w:basedOn w:val="Normal"/>
    <w:next w:val="Normal"/>
    <w:autoRedefine/>
    <w:semiHidden/>
    <w:rsid w:val="00143F08"/>
    <w:pPr>
      <w:ind w:left="780"/>
    </w:pPr>
  </w:style>
  <w:style w:type="paragraph" w:styleId="TOC5">
    <w:name w:val="toc 5"/>
    <w:basedOn w:val="Normal"/>
    <w:next w:val="Normal"/>
    <w:autoRedefine/>
    <w:semiHidden/>
    <w:rsid w:val="00143F08"/>
    <w:pPr>
      <w:ind w:left="1040"/>
    </w:pPr>
  </w:style>
  <w:style w:type="paragraph" w:styleId="TOC6">
    <w:name w:val="toc 6"/>
    <w:basedOn w:val="Normal"/>
    <w:next w:val="Normal"/>
    <w:autoRedefine/>
    <w:semiHidden/>
    <w:rsid w:val="00143F08"/>
    <w:pPr>
      <w:ind w:left="1300"/>
    </w:pPr>
  </w:style>
  <w:style w:type="paragraph" w:styleId="TOC7">
    <w:name w:val="toc 7"/>
    <w:basedOn w:val="Normal"/>
    <w:next w:val="Normal"/>
    <w:autoRedefine/>
    <w:semiHidden/>
    <w:rsid w:val="00143F08"/>
    <w:pPr>
      <w:ind w:left="1560"/>
    </w:pPr>
  </w:style>
  <w:style w:type="paragraph" w:styleId="TOC8">
    <w:name w:val="toc 8"/>
    <w:basedOn w:val="Normal"/>
    <w:next w:val="Normal"/>
    <w:autoRedefine/>
    <w:semiHidden/>
    <w:rsid w:val="00143F08"/>
    <w:pPr>
      <w:ind w:left="1820"/>
    </w:pPr>
  </w:style>
  <w:style w:type="paragraph" w:styleId="TOC9">
    <w:name w:val="toc 9"/>
    <w:basedOn w:val="Normal"/>
    <w:next w:val="Normal"/>
    <w:autoRedefine/>
    <w:semiHidden/>
    <w:rsid w:val="00143F08"/>
    <w:pPr>
      <w:ind w:left="2080"/>
    </w:pPr>
  </w:style>
  <w:style w:type="paragraph" w:customStyle="1" w:styleId="Contents">
    <w:name w:val="Contents"/>
    <w:basedOn w:val="Normal"/>
    <w:rsid w:val="00143F08"/>
    <w:pPr>
      <w:jc w:val="center"/>
    </w:pPr>
    <w:rPr>
      <w:b/>
      <w:spacing w:val="100"/>
    </w:rPr>
  </w:style>
  <w:style w:type="character" w:customStyle="1" w:styleId="Heading1Char">
    <w:name w:val="Heading 1 Char"/>
    <w:basedOn w:val="DefaultParagraphFont"/>
    <w:link w:val="Heading1"/>
    <w:rsid w:val="001C43C8"/>
    <w:rPr>
      <w:rFonts w:ascii="Century Schoolbook" w:hAnsi="Century Schoolbook"/>
      <w:b/>
      <w:smallCaps/>
      <w:sz w:val="27"/>
    </w:rPr>
  </w:style>
  <w:style w:type="character" w:customStyle="1" w:styleId="Heading2Char">
    <w:name w:val="Heading 2 Char"/>
    <w:basedOn w:val="DefaultParagraphFont"/>
    <w:link w:val="Heading2"/>
    <w:rsid w:val="00F22A6B"/>
    <w:rPr>
      <w:rFonts w:ascii="Century Schoolbook" w:hAnsi="Century Schoolbook"/>
      <w:b/>
      <w:sz w:val="27"/>
    </w:rPr>
  </w:style>
  <w:style w:type="character" w:customStyle="1" w:styleId="Heading3Char">
    <w:name w:val="Heading 3 Char"/>
    <w:basedOn w:val="DefaultParagraphFont"/>
    <w:link w:val="Heading3"/>
    <w:rsid w:val="0030383B"/>
    <w:rPr>
      <w:rFonts w:ascii="Century Schoolbook" w:hAnsi="Century Schoolbook"/>
      <w:i/>
      <w:sz w:val="27"/>
    </w:rPr>
  </w:style>
  <w:style w:type="paragraph" w:customStyle="1" w:styleId="MemoText">
    <w:name w:val="MemoText"/>
    <w:basedOn w:val="Normal"/>
    <w:link w:val="MemoTextChar"/>
    <w:qFormat/>
    <w:rsid w:val="00734ED6"/>
    <w:pPr>
      <w:tabs>
        <w:tab w:val="left" w:pos="1440"/>
      </w:tabs>
      <w:spacing w:line="480" w:lineRule="atLeast"/>
      <w:ind w:firstLine="720"/>
    </w:pPr>
  </w:style>
  <w:style w:type="character" w:styleId="Hyperlink">
    <w:name w:val="Hyperlink"/>
    <w:basedOn w:val="DefaultParagraphFont"/>
    <w:uiPriority w:val="99"/>
    <w:unhideWhenUsed/>
    <w:rsid w:val="0026218E"/>
    <w:rPr>
      <w:color w:val="0000FF" w:themeColor="hyperlink"/>
      <w:u w:val="single"/>
    </w:rPr>
  </w:style>
  <w:style w:type="character" w:customStyle="1" w:styleId="MemoTextChar">
    <w:name w:val="MemoText Char"/>
    <w:basedOn w:val="DefaultParagraphFont"/>
    <w:link w:val="MemoText"/>
    <w:rsid w:val="00734ED6"/>
    <w:rPr>
      <w:sz w:val="26"/>
    </w:rPr>
  </w:style>
  <w:style w:type="character" w:customStyle="1" w:styleId="UnresolvedMention1">
    <w:name w:val="Unresolved Mention1"/>
    <w:basedOn w:val="DefaultParagraphFont"/>
    <w:uiPriority w:val="99"/>
    <w:semiHidden/>
    <w:unhideWhenUsed/>
    <w:rsid w:val="0026218E"/>
    <w:rPr>
      <w:color w:val="605E5C"/>
      <w:shd w:val="clear" w:color="auto" w:fill="E1DFDD"/>
    </w:rPr>
  </w:style>
  <w:style w:type="character" w:styleId="FollowedHyperlink">
    <w:name w:val="FollowedHyperlink"/>
    <w:basedOn w:val="DefaultParagraphFont"/>
    <w:uiPriority w:val="99"/>
    <w:semiHidden/>
    <w:unhideWhenUsed/>
    <w:rsid w:val="008C4EA4"/>
    <w:rPr>
      <w:color w:val="800080" w:themeColor="followedHyperlink"/>
      <w:u w:val="single"/>
    </w:rPr>
  </w:style>
  <w:style w:type="character" w:styleId="CommentReference">
    <w:name w:val="annotation reference"/>
    <w:basedOn w:val="DefaultParagraphFont"/>
    <w:uiPriority w:val="99"/>
    <w:semiHidden/>
    <w:unhideWhenUsed/>
    <w:rsid w:val="004D0978"/>
    <w:rPr>
      <w:sz w:val="16"/>
      <w:szCs w:val="16"/>
    </w:rPr>
  </w:style>
  <w:style w:type="paragraph" w:styleId="CommentText">
    <w:name w:val="annotation text"/>
    <w:basedOn w:val="Normal"/>
    <w:link w:val="CommentTextChar"/>
    <w:uiPriority w:val="99"/>
    <w:unhideWhenUsed/>
    <w:rsid w:val="004D0978"/>
    <w:rPr>
      <w:sz w:val="20"/>
    </w:rPr>
  </w:style>
  <w:style w:type="character" w:customStyle="1" w:styleId="CommentTextChar">
    <w:name w:val="Comment Text Char"/>
    <w:basedOn w:val="DefaultParagraphFont"/>
    <w:link w:val="CommentText"/>
    <w:uiPriority w:val="99"/>
    <w:rsid w:val="004D0978"/>
  </w:style>
  <w:style w:type="paragraph" w:styleId="CommentSubject">
    <w:name w:val="annotation subject"/>
    <w:basedOn w:val="CommentText"/>
    <w:next w:val="CommentText"/>
    <w:link w:val="CommentSubjectChar"/>
    <w:uiPriority w:val="99"/>
    <w:semiHidden/>
    <w:unhideWhenUsed/>
    <w:rsid w:val="004D0978"/>
    <w:rPr>
      <w:b/>
      <w:bCs/>
    </w:rPr>
  </w:style>
  <w:style w:type="character" w:customStyle="1" w:styleId="CommentSubjectChar">
    <w:name w:val="Comment Subject Char"/>
    <w:basedOn w:val="CommentTextChar"/>
    <w:link w:val="CommentSubject"/>
    <w:uiPriority w:val="99"/>
    <w:semiHidden/>
    <w:rsid w:val="004D0978"/>
    <w:rPr>
      <w:b/>
      <w:bCs/>
    </w:rPr>
  </w:style>
  <w:style w:type="character" w:customStyle="1" w:styleId="FootnoteTextChar">
    <w:name w:val="Footnote Text Char"/>
    <w:basedOn w:val="DefaultParagraphFont"/>
    <w:link w:val="FootnoteText"/>
    <w:rsid w:val="00867F0B"/>
    <w:rPr>
      <w:rFonts w:ascii="Century Schoolbook" w:hAnsi="Century Schoolbook"/>
      <w:sz w:val="27"/>
    </w:rPr>
  </w:style>
  <w:style w:type="paragraph" w:styleId="NormalWeb">
    <w:name w:val="Normal (Web)"/>
    <w:basedOn w:val="Normal"/>
    <w:uiPriority w:val="99"/>
    <w:unhideWhenUsed/>
    <w:rsid w:val="00D53C3A"/>
    <w:pPr>
      <w:spacing w:before="100" w:beforeAutospacing="1" w:afterAutospacing="1"/>
    </w:pPr>
    <w:rPr>
      <w:sz w:val="24"/>
      <w:szCs w:val="24"/>
    </w:rPr>
  </w:style>
  <w:style w:type="character" w:customStyle="1" w:styleId="acy">
    <w:name w:val="acy"/>
    <w:basedOn w:val="DefaultParagraphFont"/>
    <w:rsid w:val="00D53C3A"/>
  </w:style>
  <w:style w:type="character" w:customStyle="1" w:styleId="coconcept3235">
    <w:name w:val="co_concept_32_35"/>
    <w:basedOn w:val="DefaultParagraphFont"/>
    <w:rsid w:val="00C52FD1"/>
  </w:style>
  <w:style w:type="character" w:customStyle="1" w:styleId="coconcept4045">
    <w:name w:val="co_concept_40_45"/>
    <w:basedOn w:val="DefaultParagraphFont"/>
    <w:rsid w:val="00C52FD1"/>
  </w:style>
  <w:style w:type="character" w:customStyle="1" w:styleId="coconcept5056">
    <w:name w:val="co_concept_50_56"/>
    <w:basedOn w:val="DefaultParagraphFont"/>
    <w:rsid w:val="00C52FD1"/>
  </w:style>
  <w:style w:type="character" w:customStyle="1" w:styleId="coconcept27">
    <w:name w:val="co_concept_2_7"/>
    <w:basedOn w:val="DefaultParagraphFont"/>
    <w:rsid w:val="006260C9"/>
  </w:style>
  <w:style w:type="character" w:customStyle="1" w:styleId="coconcept1216">
    <w:name w:val="co_concept_12_16"/>
    <w:basedOn w:val="DefaultParagraphFont"/>
    <w:rsid w:val="006260C9"/>
  </w:style>
  <w:style w:type="character" w:customStyle="1" w:styleId="coconcept2124">
    <w:name w:val="co_concept_21_24"/>
    <w:basedOn w:val="DefaultParagraphFont"/>
    <w:rsid w:val="006260C9"/>
  </w:style>
  <w:style w:type="character" w:customStyle="1" w:styleId="coconcept133">
    <w:name w:val="co_concept_1_33"/>
    <w:basedOn w:val="DefaultParagraphFont"/>
    <w:rsid w:val="00B049BB"/>
  </w:style>
  <w:style w:type="character" w:customStyle="1" w:styleId="costarpage">
    <w:name w:val="co_starpage"/>
    <w:basedOn w:val="DefaultParagraphFont"/>
    <w:rsid w:val="00B049BB"/>
  </w:style>
  <w:style w:type="character" w:customStyle="1" w:styleId="copywithrefreference">
    <w:name w:val="copywithrefreference"/>
    <w:basedOn w:val="DefaultParagraphFont"/>
    <w:rsid w:val="00523EC6"/>
  </w:style>
  <w:style w:type="character" w:customStyle="1" w:styleId="coparagraphtext">
    <w:name w:val="co_paragraphtext"/>
    <w:basedOn w:val="DefaultParagraphFont"/>
    <w:rsid w:val="00523EC6"/>
  </w:style>
  <w:style w:type="character" w:styleId="Emphasis">
    <w:name w:val="Emphasis"/>
    <w:basedOn w:val="DefaultParagraphFont"/>
    <w:uiPriority w:val="20"/>
    <w:qFormat/>
    <w:rsid w:val="00523EC6"/>
    <w:rPr>
      <w:i/>
      <w:iCs/>
    </w:rPr>
  </w:style>
  <w:style w:type="character" w:styleId="PlaceholderText">
    <w:name w:val="Placeholder Text"/>
    <w:basedOn w:val="DefaultParagraphFont"/>
    <w:uiPriority w:val="99"/>
    <w:semiHidden/>
    <w:rsid w:val="00D62267"/>
    <w:rPr>
      <w:color w:val="666666"/>
    </w:rPr>
  </w:style>
  <w:style w:type="paragraph" w:styleId="Revision">
    <w:name w:val="Revision"/>
    <w:hidden/>
    <w:uiPriority w:val="99"/>
    <w:semiHidden/>
    <w:rsid w:val="001A3A99"/>
    <w:rPr>
      <w:sz w:val="26"/>
    </w:rPr>
  </w:style>
  <w:style w:type="paragraph" w:styleId="BodyText">
    <w:name w:val="Body Text"/>
    <w:basedOn w:val="Normal"/>
    <w:link w:val="BodyTextChar"/>
    <w:qFormat/>
    <w:rsid w:val="00143F08"/>
  </w:style>
  <w:style w:type="character" w:customStyle="1" w:styleId="BodyTextChar">
    <w:name w:val="Body Text Char"/>
    <w:basedOn w:val="DefaultParagraphFont"/>
    <w:link w:val="BodyText"/>
    <w:rsid w:val="00143F08"/>
    <w:rPr>
      <w:rFonts w:ascii="Century Schoolbook" w:hAnsi="Century Schoolbook"/>
      <w:sz w:val="27"/>
    </w:rPr>
  </w:style>
  <w:style w:type="character" w:customStyle="1" w:styleId="HeaderChar">
    <w:name w:val="Header Char"/>
    <w:basedOn w:val="DefaultParagraphFont"/>
    <w:link w:val="Header"/>
    <w:uiPriority w:val="99"/>
    <w:rsid w:val="00A64574"/>
    <w:rPr>
      <w:rFonts w:ascii="Century Schoolbook" w:hAnsi="Century Schoolbook"/>
      <w:sz w:val="22"/>
    </w:rPr>
  </w:style>
  <w:style w:type="character" w:customStyle="1" w:styleId="FooterChar">
    <w:name w:val="Footer Char"/>
    <w:basedOn w:val="DefaultParagraphFont"/>
    <w:link w:val="Footer"/>
    <w:uiPriority w:val="99"/>
    <w:rsid w:val="00F11413"/>
    <w:rPr>
      <w:rFonts w:ascii="Century Schoolbook" w:hAnsi="Century Schoolbook"/>
      <w:sz w:val="22"/>
    </w:rPr>
  </w:style>
  <w:style w:type="paragraph" w:styleId="EndnoteText">
    <w:name w:val="endnote text"/>
    <w:basedOn w:val="Normal"/>
    <w:link w:val="EndnoteTextChar"/>
    <w:uiPriority w:val="99"/>
    <w:semiHidden/>
    <w:unhideWhenUsed/>
    <w:rsid w:val="008D7013"/>
    <w:pPr>
      <w:spacing w:after="0" w:line="240" w:lineRule="auto"/>
    </w:pPr>
    <w:rPr>
      <w:sz w:val="20"/>
    </w:rPr>
  </w:style>
  <w:style w:type="character" w:customStyle="1" w:styleId="EndnoteTextChar">
    <w:name w:val="Endnote Text Char"/>
    <w:basedOn w:val="DefaultParagraphFont"/>
    <w:link w:val="EndnoteText"/>
    <w:uiPriority w:val="99"/>
    <w:semiHidden/>
    <w:rsid w:val="008D7013"/>
    <w:rPr>
      <w:rFonts w:ascii="Century Schoolbook" w:hAnsi="Century Schoolbook"/>
    </w:rPr>
  </w:style>
  <w:style w:type="character" w:styleId="EndnoteReference">
    <w:name w:val="endnote reference"/>
    <w:basedOn w:val="DefaultParagraphFont"/>
    <w:uiPriority w:val="99"/>
    <w:semiHidden/>
    <w:unhideWhenUsed/>
    <w:rsid w:val="008D7013"/>
    <w:rPr>
      <w:vertAlign w:val="superscript"/>
    </w:rPr>
  </w:style>
  <w:style w:type="paragraph" w:customStyle="1" w:styleId="pf0">
    <w:name w:val="pf0"/>
    <w:basedOn w:val="Normal"/>
    <w:rsid w:val="00146608"/>
    <w:pPr>
      <w:spacing w:before="100" w:beforeAutospacing="1" w:afterAutospacing="1" w:line="240" w:lineRule="auto"/>
      <w:jc w:val="left"/>
    </w:pPr>
    <w:rPr>
      <w:rFonts w:ascii="Times New Roman" w:hAnsi="Times New Roman"/>
      <w:sz w:val="24"/>
      <w:szCs w:val="24"/>
    </w:rPr>
  </w:style>
  <w:style w:type="character" w:customStyle="1" w:styleId="cf01">
    <w:name w:val="cf01"/>
    <w:basedOn w:val="DefaultParagraphFont"/>
    <w:rsid w:val="00146608"/>
    <w:rPr>
      <w:rFonts w:ascii="Segoe UI" w:hAnsi="Segoe UI" w:cs="Segoe UI" w:hint="default"/>
      <w:b/>
      <w:bCs/>
      <w:sz w:val="18"/>
      <w:szCs w:val="18"/>
    </w:rPr>
  </w:style>
  <w:style w:type="character" w:customStyle="1" w:styleId="cf11">
    <w:name w:val="cf11"/>
    <w:basedOn w:val="DefaultParagraphFont"/>
    <w:rsid w:val="00146608"/>
    <w:rPr>
      <w:rFonts w:ascii="Segoe UI" w:hAnsi="Segoe UI" w:cs="Segoe UI" w:hint="default"/>
      <w:sz w:val="18"/>
      <w:szCs w:val="18"/>
    </w:rPr>
  </w:style>
  <w:style w:type="character" w:customStyle="1" w:styleId="cf21">
    <w:name w:val="cf21"/>
    <w:basedOn w:val="DefaultParagraphFont"/>
    <w:rsid w:val="00C65B8A"/>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header" Target="header3.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8A353-FED8-43DE-834C-33D0363B1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6811</Words>
  <Characters>38824</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2024-07-08T16:05:29Z</dcterms:created>
  <dcterms:modified xsi:type="dcterms:W3CDTF">2024-07-08T16:05:29Z</dcterms:modified>
</cp:coreProperties>
</file>