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077AA9" w:rsidP="00901DF7" w14:paraId="274649C0" w14:textId="57E8731A">
      <w:pPr>
        <w:tabs>
          <w:tab w:val="left" w:pos="1440"/>
          <w:tab w:val="left" w:pos="4680"/>
          <w:tab w:val="center" w:pos="7200"/>
        </w:tabs>
        <w:spacing w:after="0"/>
        <w:jc w:val="center"/>
        <w:rPr>
          <w:sz w:val="36"/>
        </w:rPr>
      </w:pPr>
      <w:bookmarkStart w:id="0" w:name="MarkDocLoc"/>
      <w:bookmarkEnd w:id="0"/>
      <w:r>
        <w:rPr>
          <w:b/>
          <w:sz w:val="36"/>
        </w:rPr>
        <w:t>IN THE SUPREME COURT OF CALIFORNIA</w:t>
      </w:r>
    </w:p>
    <w:p w:rsidR="00901DF7" w:rsidP="00901DF7" w14:paraId="5C01AF6A" w14:textId="77777777">
      <w:pPr>
        <w:tabs>
          <w:tab w:val="left" w:pos="1440"/>
          <w:tab w:val="left" w:pos="4680"/>
          <w:tab w:val="center" w:pos="7200"/>
        </w:tabs>
        <w:spacing w:after="0"/>
        <w:jc w:val="center"/>
      </w:pPr>
    </w:p>
    <w:p w:rsidR="00901DF7" w:rsidP="00901DF7" w14:paraId="46F1C43E" w14:textId="0157B3F9">
      <w:pPr>
        <w:tabs>
          <w:tab w:val="left" w:pos="1440"/>
          <w:tab w:val="left" w:pos="4680"/>
          <w:tab w:val="center" w:pos="7200"/>
        </w:tabs>
        <w:spacing w:after="0"/>
        <w:jc w:val="center"/>
      </w:pPr>
      <w:r>
        <w:t>THE PEOPLE</w:t>
      </w:r>
      <w:r w:rsidR="00763B31">
        <w:t>,</w:t>
      </w:r>
    </w:p>
    <w:p w:rsidR="00901DF7" w:rsidP="00901DF7" w14:paraId="4CD8F64D" w14:textId="721138A9">
      <w:pPr>
        <w:tabs>
          <w:tab w:val="left" w:pos="1440"/>
          <w:tab w:val="left" w:pos="4680"/>
          <w:tab w:val="center" w:pos="7200"/>
        </w:tabs>
        <w:spacing w:after="0"/>
        <w:jc w:val="center"/>
      </w:pPr>
      <w:r>
        <w:t>Plaintiff and Respondent</w:t>
      </w:r>
      <w:r w:rsidR="00763B31">
        <w:t>,</w:t>
      </w:r>
    </w:p>
    <w:p w:rsidR="00901DF7" w:rsidP="00901DF7" w14:paraId="1969092D" w14:textId="6D91BFD0">
      <w:pPr>
        <w:tabs>
          <w:tab w:val="left" w:pos="1440"/>
          <w:tab w:val="left" w:pos="4680"/>
          <w:tab w:val="center" w:pos="7200"/>
        </w:tabs>
        <w:spacing w:after="0"/>
        <w:jc w:val="center"/>
      </w:pPr>
      <w:r>
        <w:t>v.</w:t>
      </w:r>
    </w:p>
    <w:p w:rsidR="00901DF7" w:rsidP="00901DF7" w14:paraId="28A58293" w14:textId="135BEE8F">
      <w:pPr>
        <w:tabs>
          <w:tab w:val="left" w:pos="1440"/>
          <w:tab w:val="left" w:pos="4680"/>
          <w:tab w:val="center" w:pos="7200"/>
        </w:tabs>
        <w:spacing w:after="0"/>
        <w:jc w:val="center"/>
      </w:pPr>
      <w:r>
        <w:t>JEREMIAH IRA WILLIAMS</w:t>
      </w:r>
      <w:r w:rsidR="00763B31">
        <w:t>,</w:t>
      </w:r>
    </w:p>
    <w:p w:rsidR="00901DF7" w:rsidP="00901DF7" w14:paraId="1C77279A" w14:textId="2236F3FF">
      <w:pPr>
        <w:tabs>
          <w:tab w:val="left" w:pos="1440"/>
          <w:tab w:val="left" w:pos="4680"/>
          <w:tab w:val="center" w:pos="7200"/>
        </w:tabs>
        <w:spacing w:after="0"/>
        <w:jc w:val="center"/>
      </w:pPr>
      <w:r>
        <w:t>Defendant and Appellant.</w:t>
      </w:r>
    </w:p>
    <w:p w:rsidR="00901DF7" w:rsidP="00901DF7" w14:paraId="4A4D4F60" w14:textId="77777777">
      <w:pPr>
        <w:tabs>
          <w:tab w:val="left" w:pos="1440"/>
          <w:tab w:val="left" w:pos="4680"/>
          <w:tab w:val="center" w:pos="7200"/>
        </w:tabs>
        <w:spacing w:after="0"/>
        <w:jc w:val="center"/>
      </w:pPr>
    </w:p>
    <w:p w:rsidR="00901DF7" w:rsidP="00901DF7" w14:paraId="596B579E" w14:textId="060D3007">
      <w:pPr>
        <w:tabs>
          <w:tab w:val="left" w:pos="1440"/>
          <w:tab w:val="left" w:pos="4680"/>
          <w:tab w:val="center" w:pos="7200"/>
        </w:tabs>
        <w:spacing w:after="0"/>
        <w:jc w:val="center"/>
      </w:pPr>
      <w:r>
        <w:t>S262229</w:t>
      </w:r>
    </w:p>
    <w:p w:rsidR="00901DF7" w:rsidP="00901DF7" w14:paraId="478A93A6" w14:textId="77777777">
      <w:pPr>
        <w:tabs>
          <w:tab w:val="left" w:pos="1440"/>
          <w:tab w:val="left" w:pos="4680"/>
          <w:tab w:val="center" w:pos="7200"/>
        </w:tabs>
        <w:spacing w:after="0"/>
        <w:jc w:val="center"/>
      </w:pPr>
    </w:p>
    <w:p w:rsidR="00901DF7" w:rsidP="00901DF7" w14:paraId="3B8E9965" w14:textId="689F8A43">
      <w:pPr>
        <w:tabs>
          <w:tab w:val="left" w:pos="1440"/>
          <w:tab w:val="left" w:pos="4680"/>
          <w:tab w:val="center" w:pos="7200"/>
        </w:tabs>
        <w:spacing w:after="0"/>
        <w:jc w:val="center"/>
      </w:pPr>
      <w:r>
        <w:t>Fourth Appellate District, Division One</w:t>
      </w:r>
    </w:p>
    <w:p w:rsidR="00901DF7" w:rsidP="00901DF7" w14:paraId="3D591943" w14:textId="1E2AEF97">
      <w:pPr>
        <w:tabs>
          <w:tab w:val="left" w:pos="1440"/>
          <w:tab w:val="left" w:pos="4680"/>
          <w:tab w:val="center" w:pos="7200"/>
        </w:tabs>
        <w:spacing w:after="0"/>
        <w:jc w:val="center"/>
      </w:pPr>
      <w:r>
        <w:t>D074098</w:t>
      </w:r>
    </w:p>
    <w:p w:rsidR="00901DF7" w:rsidP="00901DF7" w14:paraId="6BA635FC" w14:textId="77777777">
      <w:pPr>
        <w:tabs>
          <w:tab w:val="left" w:pos="1440"/>
          <w:tab w:val="left" w:pos="4680"/>
          <w:tab w:val="center" w:pos="7200"/>
        </w:tabs>
        <w:spacing w:after="0"/>
        <w:jc w:val="center"/>
      </w:pPr>
    </w:p>
    <w:p w:rsidR="00901DF7" w:rsidP="00901DF7" w14:paraId="48026FF7" w14:textId="0E72ACDF">
      <w:pPr>
        <w:tabs>
          <w:tab w:val="left" w:pos="1440"/>
          <w:tab w:val="left" w:pos="4680"/>
          <w:tab w:val="center" w:pos="7200"/>
        </w:tabs>
        <w:spacing w:after="0"/>
        <w:jc w:val="center"/>
      </w:pPr>
      <w:r>
        <w:t>San Diego County</w:t>
      </w:r>
      <w:r w:rsidR="00763B31">
        <w:t xml:space="preserve"> Superior Court</w:t>
      </w:r>
    </w:p>
    <w:p w:rsidR="00901DF7" w:rsidP="00901DF7" w14:paraId="0D728199" w14:textId="7CE27E81">
      <w:pPr>
        <w:tabs>
          <w:tab w:val="left" w:pos="1440"/>
          <w:tab w:val="left" w:pos="4680"/>
          <w:tab w:val="center" w:pos="7200"/>
        </w:tabs>
        <w:spacing w:after="0"/>
        <w:jc w:val="center"/>
      </w:pPr>
      <w:r>
        <w:t>SCD268493</w:t>
      </w:r>
    </w:p>
    <w:p w:rsidR="00901DF7" w:rsidP="00901DF7" w14:paraId="08921500" w14:textId="77777777">
      <w:pPr>
        <w:pBdr>
          <w:bottom w:val="single" w:sz="4" w:space="1" w:color="auto"/>
        </w:pBdr>
        <w:tabs>
          <w:tab w:val="left" w:pos="1440"/>
          <w:tab w:val="left" w:pos="4680"/>
          <w:tab w:val="center" w:pos="7200"/>
        </w:tabs>
        <w:spacing w:after="0"/>
        <w:jc w:val="center"/>
      </w:pPr>
    </w:p>
    <w:p w:rsidR="00901DF7" w:rsidP="00901DF7" w14:paraId="4E337C27" w14:textId="77777777">
      <w:pPr>
        <w:tabs>
          <w:tab w:val="left" w:pos="1440"/>
          <w:tab w:val="left" w:pos="4680"/>
          <w:tab w:val="center" w:pos="7200"/>
        </w:tabs>
        <w:spacing w:after="0"/>
        <w:jc w:val="center"/>
      </w:pPr>
      <w:bookmarkStart w:id="1" w:name="Return"/>
      <w:bookmarkEnd w:id="1"/>
    </w:p>
    <w:p w:rsidR="00800FBD" w:rsidP="00800FBD" w14:paraId="31173361" w14:textId="34F72200">
      <w:pPr>
        <w:tabs>
          <w:tab w:val="left" w:pos="1440"/>
          <w:tab w:val="left" w:pos="4680"/>
          <w:tab w:val="center" w:pos="7200"/>
        </w:tabs>
        <w:spacing w:after="0"/>
        <w:jc w:val="center"/>
      </w:pPr>
      <w:r>
        <w:t>August 29, 2024</w:t>
      </w:r>
    </w:p>
    <w:p w:rsidR="00800FBD" w:rsidP="00800FBD" w14:paraId="621AD6F8" w14:textId="77777777">
      <w:pPr>
        <w:tabs>
          <w:tab w:val="left" w:pos="1440"/>
          <w:tab w:val="left" w:pos="4680"/>
          <w:tab w:val="center" w:pos="7200"/>
        </w:tabs>
        <w:spacing w:after="0"/>
        <w:jc w:val="center"/>
      </w:pPr>
    </w:p>
    <w:p w:rsidR="00800FBD" w:rsidP="00800FBD" w14:paraId="3AB5D3EB" w14:textId="2CEA4008">
      <w:pPr>
        <w:pBdr>
          <w:bottom w:val="single" w:sz="4" w:space="1" w:color="auto"/>
        </w:pBdr>
        <w:tabs>
          <w:tab w:val="left" w:pos="1440"/>
          <w:tab w:val="left" w:pos="4680"/>
          <w:tab w:val="center" w:pos="7200"/>
        </w:tabs>
        <w:spacing w:after="0"/>
        <w:jc w:val="left"/>
      </w:pPr>
      <w:r w:rsidRPr="006A434A">
        <w:t xml:space="preserve">Justice </w:t>
      </w:r>
      <w:r>
        <w:t>Jenkins</w:t>
      </w:r>
      <w:r w:rsidRPr="006A434A">
        <w:t xml:space="preserve"> authored the opinion of the Court, </w:t>
      </w:r>
      <w:r>
        <w:t>in which Chief Justice Guerrero and Justices Corrigan, Kruger, Groban, and Smith concurred.</w:t>
      </w:r>
      <w:r>
        <w:rPr>
          <w:rStyle w:val="FootnoteReference"/>
        </w:rPr>
        <w:footnoteReference w:id="3"/>
      </w:r>
    </w:p>
    <w:p w:rsidR="00F27C5D" w:rsidP="00800FBD" w14:paraId="5B694381" w14:textId="77777777">
      <w:pPr>
        <w:pBdr>
          <w:bottom w:val="single" w:sz="4" w:space="1" w:color="auto"/>
        </w:pBdr>
        <w:tabs>
          <w:tab w:val="left" w:pos="1440"/>
          <w:tab w:val="left" w:pos="4680"/>
          <w:tab w:val="center" w:pos="7200"/>
        </w:tabs>
        <w:spacing w:after="0"/>
        <w:jc w:val="left"/>
      </w:pPr>
    </w:p>
    <w:p w:rsidR="00901DF7" w:rsidP="007747B5" w14:paraId="2BF570E9" w14:textId="2B507991">
      <w:pPr>
        <w:pBdr>
          <w:bottom w:val="single" w:sz="4" w:space="1" w:color="auto"/>
        </w:pBdr>
        <w:tabs>
          <w:tab w:val="left" w:pos="1440"/>
          <w:tab w:val="left" w:pos="4680"/>
          <w:tab w:val="center" w:pos="7200"/>
        </w:tabs>
        <w:spacing w:after="0"/>
        <w:jc w:val="left"/>
      </w:pPr>
      <w:r>
        <w:t>Justice Liu filed a dissenting opinion.</w:t>
      </w:r>
    </w:p>
    <w:p w:rsidR="007747B5" w:rsidRPr="00901DF7" w:rsidP="007747B5" w14:paraId="532AC83C" w14:textId="77777777">
      <w:pPr>
        <w:pBdr>
          <w:bottom w:val="single" w:sz="4" w:space="1" w:color="auto"/>
        </w:pBdr>
        <w:tabs>
          <w:tab w:val="left" w:pos="1440"/>
          <w:tab w:val="left" w:pos="4680"/>
          <w:tab w:val="center" w:pos="7200"/>
        </w:tabs>
        <w:spacing w:after="0"/>
        <w:jc w:val="left"/>
      </w:pPr>
    </w:p>
    <w:p w:rsidR="00901DF7" w14:paraId="56EF3B85" w14:textId="77777777">
      <w:pPr>
        <w:tabs>
          <w:tab w:val="left" w:pos="1440"/>
          <w:tab w:val="left" w:pos="4680"/>
          <w:tab w:val="center" w:pos="7200"/>
        </w:tabs>
        <w:spacing w:line="480" w:lineRule="atLeast"/>
        <w:sectPr w:rsidSect="00901DF7">
          <w:headerReference w:type="default" r:id="rId6"/>
          <w:footerReference w:type="default" r:id="rId7"/>
          <w:footnotePr>
            <w:numFmt w:val="chicago"/>
          </w:footnotePr>
          <w:pgSz w:w="12240" w:h="15840"/>
          <w:pgMar w:top="1800" w:right="2160" w:bottom="1440" w:left="2160" w:header="720" w:footer="720" w:gutter="0"/>
          <w:cols w:space="720"/>
          <w:titlePg/>
          <w:docGrid w:linePitch="367"/>
        </w:sectPr>
      </w:pPr>
    </w:p>
    <w:p w:rsidR="005E73C1" w:rsidRPr="0014471D" w:rsidP="00704C61" w14:paraId="7E6A21F6" w14:textId="77777777">
      <w:pPr>
        <w:pStyle w:val="Header"/>
        <w:spacing w:after="100" w:line="400" w:lineRule="exact"/>
        <w:rPr>
          <w:sz w:val="27"/>
          <w:szCs w:val="27"/>
        </w:rPr>
      </w:pPr>
      <w:r w:rsidRPr="0014471D">
        <w:rPr>
          <w:sz w:val="27"/>
          <w:szCs w:val="27"/>
        </w:rPr>
        <w:t>PEOPLE v. WILLIAMS</w:t>
      </w:r>
    </w:p>
    <w:p w:rsidR="00901DF7" w:rsidP="00901DF7" w14:paraId="1F1A89EB" w14:textId="5829B64A">
      <w:pPr>
        <w:tabs>
          <w:tab w:val="left" w:pos="1440"/>
          <w:tab w:val="left" w:pos="4680"/>
          <w:tab w:val="center" w:pos="7200"/>
        </w:tabs>
        <w:jc w:val="center"/>
      </w:pPr>
      <w:r>
        <w:t>S262229</w:t>
      </w:r>
    </w:p>
    <w:p w:rsidR="00901DF7" w:rsidP="00901DF7" w14:paraId="50F165D9" w14:textId="77777777">
      <w:pPr>
        <w:tabs>
          <w:tab w:val="left" w:pos="1440"/>
          <w:tab w:val="left" w:pos="4680"/>
          <w:tab w:val="center" w:pos="7200"/>
        </w:tabs>
        <w:jc w:val="center"/>
      </w:pPr>
    </w:p>
    <w:p w:rsidR="00901DF7" w:rsidP="00901DF7" w14:paraId="59C58797" w14:textId="09EF96DB">
      <w:pPr>
        <w:tabs>
          <w:tab w:val="left" w:pos="1440"/>
          <w:tab w:val="left" w:pos="4680"/>
          <w:tab w:val="center" w:pos="7200"/>
        </w:tabs>
        <w:jc w:val="center"/>
      </w:pPr>
      <w:r>
        <w:t>Opinion of the Court by Jenkins, J.</w:t>
      </w:r>
    </w:p>
    <w:p w:rsidR="00901DF7" w:rsidRPr="00901DF7" w:rsidP="00901DF7" w14:paraId="5763A898" w14:textId="77777777">
      <w:pPr>
        <w:tabs>
          <w:tab w:val="left" w:pos="1440"/>
          <w:tab w:val="left" w:pos="4680"/>
          <w:tab w:val="center" w:pos="7200"/>
        </w:tabs>
        <w:jc w:val="center"/>
      </w:pPr>
    </w:p>
    <w:p w:rsidR="00D25EEC" w:rsidRPr="00901DF7" w:rsidP="00901DF7" w14:paraId="22E9FADA" w14:textId="521DACF4">
      <w:pPr>
        <w:rPr>
          <w:szCs w:val="26"/>
        </w:rPr>
      </w:pPr>
      <w:bookmarkStart w:id="2" w:name="mainstory"/>
      <w:bookmarkEnd w:id="2"/>
      <w:r w:rsidRPr="00901DF7">
        <w:tab/>
        <w:t xml:space="preserve">Under </w:t>
      </w:r>
      <w:r w:rsidRPr="00901DF7" w:rsidR="00A279D7">
        <w:t xml:space="preserve">California’s </w:t>
      </w:r>
      <w:r w:rsidRPr="00901DF7">
        <w:t>youth offender parole statute (</w:t>
      </w:r>
      <w:r w:rsidRPr="00901DF7">
        <w:rPr>
          <w:szCs w:val="26"/>
        </w:rPr>
        <w:t>P</w:t>
      </w:r>
      <w:r w:rsidRPr="00901DF7" w:rsidR="00E273D9">
        <w:rPr>
          <w:szCs w:val="26"/>
        </w:rPr>
        <w:t>en</w:t>
      </w:r>
      <w:r w:rsidRPr="00901DF7">
        <w:rPr>
          <w:szCs w:val="26"/>
        </w:rPr>
        <w:t>.</w:t>
      </w:r>
      <w:r w:rsidRPr="00901DF7" w:rsidR="00E273D9">
        <w:rPr>
          <w:szCs w:val="26"/>
        </w:rPr>
        <w:t xml:space="preserve"> Code</w:t>
      </w:r>
      <w:r w:rsidRPr="00901DF7">
        <w:rPr>
          <w:szCs w:val="26"/>
        </w:rPr>
        <w:t>,</w:t>
      </w:r>
      <w:r>
        <w:rPr>
          <w:rStyle w:val="FootnoteReference"/>
          <w:szCs w:val="26"/>
        </w:rPr>
        <w:footnoteReference w:id="4"/>
      </w:r>
      <w:r w:rsidRPr="00901DF7" w:rsidR="00056682">
        <w:rPr>
          <w:szCs w:val="26"/>
        </w:rPr>
        <w:t xml:space="preserve"> </w:t>
      </w:r>
      <w:r w:rsidR="007B112D">
        <w:rPr>
          <w:szCs w:val="26"/>
        </w:rPr>
        <w:t>§ </w:t>
      </w:r>
      <w:r w:rsidRPr="00901DF7">
        <w:rPr>
          <w:szCs w:val="26"/>
        </w:rPr>
        <w:t xml:space="preserve">3051), certain persons incarcerated for crimes committed at a young age may be eligible for early release on parole. </w:t>
      </w:r>
      <w:r w:rsidRPr="00901DF7" w:rsidR="002D26B9">
        <w:rPr>
          <w:szCs w:val="26"/>
        </w:rPr>
        <w:t xml:space="preserve"> </w:t>
      </w:r>
      <w:r w:rsidRPr="00901DF7" w:rsidR="00895C3E">
        <w:rPr>
          <w:szCs w:val="26"/>
        </w:rPr>
        <w:t xml:space="preserve">One factor relevant to the decision to release is the </w:t>
      </w:r>
      <w:r w:rsidRPr="00901DF7" w:rsidR="002D26B9">
        <w:rPr>
          <w:szCs w:val="26"/>
        </w:rPr>
        <w:t xml:space="preserve">offender’s amenability to rehabilitation </w:t>
      </w:r>
      <w:r w:rsidRPr="00901DF7" w:rsidR="00A7307A">
        <w:rPr>
          <w:szCs w:val="26"/>
        </w:rPr>
        <w:t>based on</w:t>
      </w:r>
      <w:r w:rsidRPr="00901DF7" w:rsidR="00043A74">
        <w:rPr>
          <w:szCs w:val="26"/>
        </w:rPr>
        <w:t xml:space="preserve"> recognized </w:t>
      </w:r>
      <w:r w:rsidRPr="00901DF7" w:rsidR="00E40554">
        <w:rPr>
          <w:szCs w:val="26"/>
        </w:rPr>
        <w:t>attributes</w:t>
      </w:r>
      <w:r w:rsidRPr="00901DF7" w:rsidR="007F56AC">
        <w:rPr>
          <w:szCs w:val="26"/>
        </w:rPr>
        <w:t xml:space="preserve"> </w:t>
      </w:r>
      <w:r w:rsidRPr="00901DF7" w:rsidR="00C65107">
        <w:rPr>
          <w:szCs w:val="26"/>
        </w:rPr>
        <w:t>of youth</w:t>
      </w:r>
      <w:r w:rsidRPr="00901DF7" w:rsidR="002D26B9">
        <w:rPr>
          <w:szCs w:val="26"/>
        </w:rPr>
        <w:t xml:space="preserve">. </w:t>
      </w:r>
      <w:r w:rsidRPr="00901DF7" w:rsidR="005F78E4">
        <w:rPr>
          <w:szCs w:val="26"/>
        </w:rPr>
        <w:t xml:space="preserve"> </w:t>
      </w:r>
      <w:r w:rsidRPr="00901DF7" w:rsidR="008124B9">
        <w:rPr>
          <w:szCs w:val="26"/>
        </w:rPr>
        <w:t>S</w:t>
      </w:r>
      <w:r w:rsidRPr="00901DF7" w:rsidR="005F78E4">
        <w:rPr>
          <w:szCs w:val="26"/>
        </w:rPr>
        <w:t>ection 3051</w:t>
      </w:r>
      <w:r w:rsidRPr="00901DF7" w:rsidR="00A7307A">
        <w:rPr>
          <w:szCs w:val="26"/>
        </w:rPr>
        <w:t>, however,</w:t>
      </w:r>
      <w:r w:rsidRPr="00901DF7">
        <w:rPr>
          <w:szCs w:val="26"/>
        </w:rPr>
        <w:t xml:space="preserve"> expressly excludes certain groups from its purview, including </w:t>
      </w:r>
      <w:r w:rsidRPr="00901DF7" w:rsidR="00A00134">
        <w:rPr>
          <w:szCs w:val="26"/>
        </w:rPr>
        <w:t xml:space="preserve">defendants </w:t>
      </w:r>
      <w:r w:rsidRPr="00901DF7" w:rsidR="008124B9">
        <w:rPr>
          <w:szCs w:val="26"/>
        </w:rPr>
        <w:t xml:space="preserve">convicted of </w:t>
      </w:r>
      <w:r w:rsidRPr="00901DF7" w:rsidR="001421AA">
        <w:rPr>
          <w:szCs w:val="26"/>
        </w:rPr>
        <w:t xml:space="preserve">forcible </w:t>
      </w:r>
      <w:r w:rsidRPr="00901DF7" w:rsidR="00BC0DBB">
        <w:rPr>
          <w:szCs w:val="26"/>
        </w:rPr>
        <w:t>sexual</w:t>
      </w:r>
      <w:r w:rsidRPr="00901DF7" w:rsidR="001538CA">
        <w:rPr>
          <w:szCs w:val="26"/>
        </w:rPr>
        <w:t xml:space="preserve"> </w:t>
      </w:r>
      <w:r w:rsidRPr="00901DF7" w:rsidR="0054465F">
        <w:rPr>
          <w:szCs w:val="26"/>
        </w:rPr>
        <w:t>offenses</w:t>
      </w:r>
      <w:r w:rsidRPr="00901DF7" w:rsidR="00895C3E">
        <w:rPr>
          <w:szCs w:val="26"/>
        </w:rPr>
        <w:t xml:space="preserve"> and sentenced under the One Strike law</w:t>
      </w:r>
      <w:r w:rsidRPr="00901DF7" w:rsidR="0054465F">
        <w:rPr>
          <w:szCs w:val="26"/>
        </w:rPr>
        <w:t xml:space="preserve"> </w:t>
      </w:r>
      <w:r w:rsidRPr="00901DF7" w:rsidR="001538CA">
        <w:rPr>
          <w:szCs w:val="26"/>
        </w:rPr>
        <w:t>(</w:t>
      </w:r>
      <w:r w:rsidR="007B112D">
        <w:rPr>
          <w:szCs w:val="26"/>
        </w:rPr>
        <w:t>§ </w:t>
      </w:r>
      <w:r w:rsidRPr="00901DF7" w:rsidR="001538CA">
        <w:rPr>
          <w:szCs w:val="26"/>
        </w:rPr>
        <w:t>667.61)</w:t>
      </w:r>
      <w:r w:rsidRPr="00901DF7">
        <w:rPr>
          <w:szCs w:val="26"/>
        </w:rPr>
        <w:t>.</w:t>
      </w:r>
      <w:r w:rsidRPr="00901DF7" w:rsidR="00856B43">
        <w:rPr>
          <w:szCs w:val="26"/>
        </w:rPr>
        <w:t xml:space="preserve"> </w:t>
      </w:r>
      <w:r w:rsidRPr="00901DF7">
        <w:rPr>
          <w:szCs w:val="26"/>
        </w:rPr>
        <w:t xml:space="preserve"> (</w:t>
      </w:r>
      <w:r w:rsidR="007B112D">
        <w:rPr>
          <w:szCs w:val="26"/>
        </w:rPr>
        <w:t>§ </w:t>
      </w:r>
      <w:r w:rsidRPr="00901DF7">
        <w:rPr>
          <w:szCs w:val="26"/>
        </w:rPr>
        <w:t>3051, subd. (h)</w:t>
      </w:r>
      <w:r w:rsidRPr="00901DF7" w:rsidR="00DF2874">
        <w:rPr>
          <w:szCs w:val="26"/>
        </w:rPr>
        <w:t xml:space="preserve"> (</w:t>
      </w:r>
      <w:r w:rsidR="007B112D">
        <w:rPr>
          <w:szCs w:val="26"/>
        </w:rPr>
        <w:t>§ </w:t>
      </w:r>
      <w:r w:rsidRPr="00901DF7" w:rsidR="00DF2874">
        <w:rPr>
          <w:szCs w:val="26"/>
        </w:rPr>
        <w:t>3051(h))</w:t>
      </w:r>
      <w:r w:rsidRPr="00901DF7">
        <w:rPr>
          <w:szCs w:val="26"/>
        </w:rPr>
        <w:t xml:space="preserve">.) </w:t>
      </w:r>
      <w:r w:rsidRPr="00901DF7" w:rsidR="00FF03FA">
        <w:rPr>
          <w:szCs w:val="26"/>
        </w:rPr>
        <w:t xml:space="preserve"> </w:t>
      </w:r>
      <w:r w:rsidR="000527FE">
        <w:rPr>
          <w:szCs w:val="26"/>
        </w:rPr>
        <w:t>By contrast, t</w:t>
      </w:r>
      <w:r w:rsidRPr="00901DF7" w:rsidR="00754E54">
        <w:rPr>
          <w:szCs w:val="26"/>
        </w:rPr>
        <w:t>hose convicted of murder</w:t>
      </w:r>
      <w:r w:rsidR="000527FE">
        <w:rPr>
          <w:szCs w:val="26"/>
        </w:rPr>
        <w:t xml:space="preserve"> (aside from young adults convicted of special circumstance murder)</w:t>
      </w:r>
      <w:r w:rsidRPr="00901DF7" w:rsidR="008124B9">
        <w:rPr>
          <w:szCs w:val="26"/>
        </w:rPr>
        <w:t xml:space="preserve"> </w:t>
      </w:r>
      <w:r w:rsidRPr="00901DF7" w:rsidR="001538CA">
        <w:rPr>
          <w:szCs w:val="26"/>
        </w:rPr>
        <w:t>are not categorically excluded.</w:t>
      </w:r>
      <w:r w:rsidR="000527FE">
        <w:rPr>
          <w:szCs w:val="26"/>
        </w:rPr>
        <w:t xml:space="preserve">  (</w:t>
      </w:r>
      <w:r w:rsidRPr="0014471D" w:rsidR="000527FE">
        <w:rPr>
          <w:i/>
          <w:iCs/>
          <w:szCs w:val="26"/>
        </w:rPr>
        <w:t>People v. Hardin</w:t>
      </w:r>
      <w:r w:rsidR="000527FE">
        <w:rPr>
          <w:szCs w:val="26"/>
        </w:rPr>
        <w:t xml:space="preserve"> (2024) 15 Cal.5th 834, 843 (</w:t>
      </w:r>
      <w:r w:rsidRPr="0014471D" w:rsidR="000527FE">
        <w:rPr>
          <w:i/>
          <w:iCs/>
          <w:szCs w:val="26"/>
        </w:rPr>
        <w:t>Hardin</w:t>
      </w:r>
      <w:r w:rsidR="000527FE">
        <w:rPr>
          <w:szCs w:val="26"/>
        </w:rPr>
        <w:t xml:space="preserve">).) </w:t>
      </w:r>
      <w:r w:rsidR="00E418EB">
        <w:rPr>
          <w:szCs w:val="26"/>
        </w:rPr>
        <w:t xml:space="preserve">  </w:t>
      </w:r>
    </w:p>
    <w:p w:rsidR="00F83C1F" w:rsidRPr="00901DF7" w:rsidP="00901DF7" w14:paraId="49D498A9" w14:textId="417C7CFB">
      <w:pPr>
        <w:rPr>
          <w:szCs w:val="26"/>
        </w:rPr>
      </w:pPr>
      <w:r w:rsidRPr="00901DF7">
        <w:rPr>
          <w:szCs w:val="26"/>
        </w:rPr>
        <w:tab/>
        <w:t xml:space="preserve">Defendant Jeremiah Ira Williams </w:t>
      </w:r>
      <w:r w:rsidR="00B7480E">
        <w:rPr>
          <w:szCs w:val="26"/>
        </w:rPr>
        <w:t>was sentenced to</w:t>
      </w:r>
      <w:r w:rsidRPr="00901DF7">
        <w:rPr>
          <w:szCs w:val="26"/>
        </w:rPr>
        <w:t xml:space="preserve"> a</w:t>
      </w:r>
      <w:r w:rsidRPr="00901DF7" w:rsidR="00412221">
        <w:rPr>
          <w:szCs w:val="26"/>
        </w:rPr>
        <w:t>n indeterminate</w:t>
      </w:r>
      <w:r w:rsidRPr="00901DF7" w:rsidR="007026DC">
        <w:rPr>
          <w:szCs w:val="26"/>
        </w:rPr>
        <w:t xml:space="preserve"> prison</w:t>
      </w:r>
      <w:r w:rsidRPr="00901DF7">
        <w:rPr>
          <w:szCs w:val="26"/>
        </w:rPr>
        <w:t xml:space="preserve"> term of 100 years to life plus 86 years two months for One Strike offenses he committed when he was 24 years old.  </w:t>
      </w:r>
      <w:r w:rsidRPr="00901DF7" w:rsidR="00692543">
        <w:rPr>
          <w:szCs w:val="26"/>
        </w:rPr>
        <w:t>Defendant</w:t>
      </w:r>
      <w:r w:rsidRPr="00901DF7" w:rsidR="000A157F">
        <w:rPr>
          <w:szCs w:val="26"/>
        </w:rPr>
        <w:t xml:space="preserve"> contends</w:t>
      </w:r>
      <w:r w:rsidRPr="00901DF7">
        <w:rPr>
          <w:szCs w:val="26"/>
        </w:rPr>
        <w:t xml:space="preserve"> that </w:t>
      </w:r>
      <w:r w:rsidRPr="00901DF7" w:rsidR="00FE2E22">
        <w:rPr>
          <w:szCs w:val="26"/>
        </w:rPr>
        <w:t xml:space="preserve">by </w:t>
      </w:r>
      <w:r w:rsidRPr="00901DF7" w:rsidR="007026DC">
        <w:rPr>
          <w:szCs w:val="26"/>
        </w:rPr>
        <w:t xml:space="preserve">categorically </w:t>
      </w:r>
      <w:r w:rsidRPr="00901DF7" w:rsidR="00FE2E22">
        <w:rPr>
          <w:szCs w:val="26"/>
        </w:rPr>
        <w:t xml:space="preserve">excluding </w:t>
      </w:r>
      <w:r w:rsidRPr="00901DF7" w:rsidR="00EB2578">
        <w:rPr>
          <w:szCs w:val="26"/>
        </w:rPr>
        <w:t>young adult</w:t>
      </w:r>
      <w:r w:rsidRPr="00901DF7" w:rsidR="00DC178F">
        <w:rPr>
          <w:szCs w:val="26"/>
        </w:rPr>
        <w:t>s convicted of One Strike offenses</w:t>
      </w:r>
      <w:r w:rsidRPr="00901DF7" w:rsidR="000A157F">
        <w:rPr>
          <w:szCs w:val="26"/>
        </w:rPr>
        <w:t>,</w:t>
      </w:r>
      <w:r w:rsidRPr="00901DF7" w:rsidR="00FE2E22">
        <w:rPr>
          <w:szCs w:val="26"/>
        </w:rPr>
        <w:t xml:space="preserve"> but not </w:t>
      </w:r>
      <w:r w:rsidRPr="00901DF7" w:rsidR="00412221">
        <w:rPr>
          <w:szCs w:val="26"/>
        </w:rPr>
        <w:t xml:space="preserve">young adults convicted of </w:t>
      </w:r>
      <w:r w:rsidRPr="00901DF7" w:rsidR="00FE2E22">
        <w:rPr>
          <w:szCs w:val="26"/>
        </w:rPr>
        <w:t>murder</w:t>
      </w:r>
      <w:r w:rsidR="000527FE">
        <w:rPr>
          <w:szCs w:val="26"/>
        </w:rPr>
        <w:t xml:space="preserve"> without special circumstance</w:t>
      </w:r>
      <w:r w:rsidRPr="00901DF7" w:rsidR="000A157F">
        <w:rPr>
          <w:szCs w:val="26"/>
        </w:rPr>
        <w:t>,</w:t>
      </w:r>
      <w:r w:rsidRPr="00901DF7" w:rsidR="00FE2E22">
        <w:rPr>
          <w:szCs w:val="26"/>
        </w:rPr>
        <w:t xml:space="preserve"> </w:t>
      </w:r>
      <w:r w:rsidRPr="00901DF7" w:rsidR="00027315">
        <w:rPr>
          <w:szCs w:val="26"/>
        </w:rPr>
        <w:t xml:space="preserve">from </w:t>
      </w:r>
      <w:r w:rsidR="00D46058">
        <w:rPr>
          <w:szCs w:val="26"/>
        </w:rPr>
        <w:t xml:space="preserve">the possibility of </w:t>
      </w:r>
      <w:r w:rsidRPr="00901DF7" w:rsidR="00FE2E22">
        <w:rPr>
          <w:szCs w:val="26"/>
        </w:rPr>
        <w:t xml:space="preserve">early release, </w:t>
      </w:r>
      <w:r w:rsidRPr="00901DF7" w:rsidR="007C7CCD">
        <w:rPr>
          <w:szCs w:val="26"/>
        </w:rPr>
        <w:t xml:space="preserve">section 3051 </w:t>
      </w:r>
      <w:r w:rsidRPr="00901DF7" w:rsidR="007026DC">
        <w:rPr>
          <w:szCs w:val="26"/>
        </w:rPr>
        <w:t xml:space="preserve">violates the </w:t>
      </w:r>
      <w:r w:rsidRPr="00901DF7" w:rsidR="00A7307A">
        <w:rPr>
          <w:szCs w:val="26"/>
        </w:rPr>
        <w:t>equal protection guarantee</w:t>
      </w:r>
      <w:r w:rsidRPr="00901DF7" w:rsidR="007026DC">
        <w:rPr>
          <w:szCs w:val="26"/>
        </w:rPr>
        <w:t xml:space="preserve"> of the federal Constitution</w:t>
      </w:r>
      <w:r w:rsidRPr="00901DF7" w:rsidR="00FE2E22">
        <w:rPr>
          <w:szCs w:val="26"/>
        </w:rPr>
        <w:t>.</w:t>
      </w:r>
      <w:r w:rsidRPr="00901DF7" w:rsidR="006F1C53">
        <w:rPr>
          <w:szCs w:val="26"/>
        </w:rPr>
        <w:t xml:space="preserve"> </w:t>
      </w:r>
      <w:r w:rsidRPr="00901DF7" w:rsidR="00856B43">
        <w:rPr>
          <w:szCs w:val="26"/>
        </w:rPr>
        <w:t xml:space="preserve"> </w:t>
      </w:r>
      <w:r w:rsidRPr="00901DF7" w:rsidR="007026DC">
        <w:rPr>
          <w:szCs w:val="26"/>
        </w:rPr>
        <w:t>T</w:t>
      </w:r>
      <w:r w:rsidRPr="00901DF7" w:rsidR="00856B43">
        <w:rPr>
          <w:szCs w:val="26"/>
        </w:rPr>
        <w:t>his unequal treatment</w:t>
      </w:r>
      <w:r w:rsidRPr="00901DF7" w:rsidR="007026DC">
        <w:rPr>
          <w:szCs w:val="26"/>
        </w:rPr>
        <w:t>, he asserts,</w:t>
      </w:r>
      <w:r w:rsidRPr="00901DF7" w:rsidR="00856B43">
        <w:rPr>
          <w:szCs w:val="26"/>
        </w:rPr>
        <w:t xml:space="preserve"> is </w:t>
      </w:r>
      <w:r w:rsidRPr="00901DF7" w:rsidR="007026DC">
        <w:rPr>
          <w:szCs w:val="26"/>
        </w:rPr>
        <w:t xml:space="preserve">irrational </w:t>
      </w:r>
      <w:r w:rsidRPr="00901DF7" w:rsidR="00D4435E">
        <w:rPr>
          <w:szCs w:val="26"/>
        </w:rPr>
        <w:t>based</w:t>
      </w:r>
      <w:r w:rsidRPr="00901DF7" w:rsidR="00AC7121">
        <w:rPr>
          <w:szCs w:val="26"/>
        </w:rPr>
        <w:t>, in part,</w:t>
      </w:r>
      <w:r w:rsidRPr="00901DF7" w:rsidR="00D4435E">
        <w:rPr>
          <w:szCs w:val="26"/>
        </w:rPr>
        <w:t xml:space="preserve"> on </w:t>
      </w:r>
      <w:r w:rsidRPr="00901DF7" w:rsidR="00856B43">
        <w:rPr>
          <w:szCs w:val="26"/>
        </w:rPr>
        <w:t xml:space="preserve">the </w:t>
      </w:r>
      <w:r w:rsidRPr="00901DF7" w:rsidR="00B13A07">
        <w:rPr>
          <w:szCs w:val="26"/>
        </w:rPr>
        <w:t xml:space="preserve">high court’s </w:t>
      </w:r>
      <w:r w:rsidRPr="00901DF7" w:rsidR="001421AA">
        <w:rPr>
          <w:szCs w:val="26"/>
        </w:rPr>
        <w:t>recognition</w:t>
      </w:r>
      <w:r w:rsidR="00D46058">
        <w:rPr>
          <w:szCs w:val="26"/>
        </w:rPr>
        <w:t xml:space="preserve"> in the Eighth Amendment context</w:t>
      </w:r>
      <w:r w:rsidRPr="00901DF7" w:rsidR="001421AA">
        <w:rPr>
          <w:szCs w:val="26"/>
        </w:rPr>
        <w:t xml:space="preserve"> that </w:t>
      </w:r>
      <w:r w:rsidRPr="00901DF7" w:rsidR="001421AA">
        <w:rPr>
          <w:szCs w:val="26"/>
        </w:rPr>
        <w:t>“defendants who do not kill, intend to kill, or foresee that life will be taken are categorically les</w:t>
      </w:r>
      <w:r w:rsidRPr="00901DF7" w:rsidR="00305699">
        <w:rPr>
          <w:szCs w:val="26"/>
        </w:rPr>
        <w:t>s</w:t>
      </w:r>
      <w:r w:rsidRPr="00901DF7" w:rsidR="001421AA">
        <w:rPr>
          <w:szCs w:val="26"/>
        </w:rPr>
        <w:t xml:space="preserve"> deserving of the most serious forms of punishment than are murderers.”  (</w:t>
      </w:r>
      <w:r w:rsidRPr="00901DF7" w:rsidR="001421AA">
        <w:rPr>
          <w:i/>
          <w:iCs/>
          <w:szCs w:val="26"/>
        </w:rPr>
        <w:t>Graham v. Florida</w:t>
      </w:r>
      <w:r w:rsidRPr="00901DF7" w:rsidR="001421AA">
        <w:rPr>
          <w:szCs w:val="26"/>
        </w:rPr>
        <w:t xml:space="preserve"> (2010) 560 U.S. 48, 69 (</w:t>
      </w:r>
      <w:r w:rsidRPr="00901DF7" w:rsidR="001421AA">
        <w:rPr>
          <w:i/>
          <w:iCs/>
          <w:szCs w:val="26"/>
        </w:rPr>
        <w:t>Graham</w:t>
      </w:r>
      <w:r w:rsidRPr="00901DF7" w:rsidR="001421AA">
        <w:rPr>
          <w:szCs w:val="26"/>
        </w:rPr>
        <w:t xml:space="preserve">).) </w:t>
      </w:r>
      <w:r w:rsidRPr="00901DF7" w:rsidR="00CF7DC8">
        <w:rPr>
          <w:szCs w:val="26"/>
        </w:rPr>
        <w:t xml:space="preserve"> </w:t>
      </w:r>
    </w:p>
    <w:p w:rsidR="00AF3D00" w:rsidRPr="00901DF7" w:rsidP="00901DF7" w14:paraId="560D9C41" w14:textId="15C53EC2">
      <w:r w:rsidRPr="00901DF7">
        <w:rPr>
          <w:szCs w:val="26"/>
        </w:rPr>
        <w:tab/>
      </w:r>
      <w:r w:rsidRPr="00901DF7" w:rsidR="00CF7DC8">
        <w:rPr>
          <w:szCs w:val="26"/>
        </w:rPr>
        <w:t xml:space="preserve">The Court of Appeal </w:t>
      </w:r>
      <w:r w:rsidRPr="00901DF7" w:rsidR="00931862">
        <w:rPr>
          <w:szCs w:val="26"/>
        </w:rPr>
        <w:t>rejected defendant’s equal protection challenge, finding a rational basis for the differential treatment.</w:t>
      </w:r>
      <w:r w:rsidRPr="00901DF7">
        <w:rPr>
          <w:vertAlign w:val="superscript"/>
        </w:rPr>
        <w:t xml:space="preserve"> </w:t>
      </w:r>
      <w:r w:rsidRPr="00901DF7">
        <w:t xml:space="preserve"> </w:t>
      </w:r>
      <w:r w:rsidRPr="00901DF7" w:rsidR="0056617C">
        <w:t>For reasons that follow,</w:t>
      </w:r>
      <w:r w:rsidRPr="00901DF7" w:rsidR="00CF7DC8">
        <w:t xml:space="preserve"> we affirm the Court of Appeal’s judgment.</w:t>
      </w:r>
    </w:p>
    <w:p w:rsidR="00077AA9" w:rsidRPr="00901DF7" w:rsidP="00901DF7" w14:paraId="44C7C0B4" w14:textId="65D40078">
      <w:pPr>
        <w:pStyle w:val="Heading1"/>
      </w:pPr>
      <w:r w:rsidRPr="00901DF7">
        <w:t>Factual and Procedural Background</w:t>
      </w:r>
    </w:p>
    <w:p w:rsidR="00AF3D00" w:rsidRPr="00901DF7" w:rsidP="00901DF7" w14:paraId="1122F9B4" w14:textId="140FCC89">
      <w:pPr>
        <w:tabs>
          <w:tab w:val="left" w:pos="1440"/>
        </w:tabs>
        <w:ind w:firstLine="720"/>
      </w:pPr>
      <w:r w:rsidRPr="00901DF7">
        <w:t>Over</w:t>
      </w:r>
      <w:r w:rsidRPr="00901DF7" w:rsidR="00620704">
        <w:t xml:space="preserve"> two days </w:t>
      </w:r>
      <w:r w:rsidRPr="00901DF7" w:rsidR="00401008">
        <w:t>in</w:t>
      </w:r>
      <w:r w:rsidRPr="00901DF7" w:rsidR="00834C13">
        <w:t xml:space="preserve"> the summer of</w:t>
      </w:r>
      <w:r w:rsidRPr="00901DF7" w:rsidR="00401008">
        <w:t xml:space="preserve"> </w:t>
      </w:r>
      <w:r w:rsidRPr="00901DF7">
        <w:t>2016,</w:t>
      </w:r>
      <w:r w:rsidRPr="00901DF7" w:rsidR="002726BB">
        <w:t xml:space="preserve"> then 24-year-old</w:t>
      </w:r>
      <w:r w:rsidRPr="00901DF7">
        <w:t xml:space="preserve"> </w:t>
      </w:r>
      <w:r w:rsidRPr="00901DF7" w:rsidR="00AB541B">
        <w:t xml:space="preserve">defendant </w:t>
      </w:r>
      <w:r w:rsidRPr="00901DF7">
        <w:t>committed numerous sexual offenses</w:t>
      </w:r>
      <w:r w:rsidRPr="00901DF7" w:rsidR="002726BB">
        <w:t xml:space="preserve"> </w:t>
      </w:r>
      <w:r w:rsidRPr="00901DF7" w:rsidR="00D02ED2">
        <w:t>against</w:t>
      </w:r>
      <w:r w:rsidRPr="00901DF7">
        <w:t xml:space="preserve"> two female victims in two separate incidents</w:t>
      </w:r>
      <w:r w:rsidRPr="00901DF7" w:rsidR="00DF33B6">
        <w:t xml:space="preserve"> in San Diego</w:t>
      </w:r>
      <w:r w:rsidRPr="00901DF7">
        <w:t>.</w:t>
      </w:r>
    </w:p>
    <w:p w:rsidR="002726BB" w:rsidRPr="00901DF7" w:rsidP="00901DF7" w14:paraId="0399875A" w14:textId="74A60AFF">
      <w:pPr>
        <w:tabs>
          <w:tab w:val="left" w:pos="1440"/>
        </w:tabs>
        <w:ind w:firstLine="720"/>
      </w:pPr>
      <w:r w:rsidRPr="00901DF7">
        <w:t xml:space="preserve">On </w:t>
      </w:r>
      <w:r w:rsidRPr="00901DF7" w:rsidR="00401008">
        <w:t>the evening of August 13, Doe 1 returned</w:t>
      </w:r>
      <w:r w:rsidRPr="00901DF7" w:rsidR="00DF33B6">
        <w:t xml:space="preserve"> home </w:t>
      </w:r>
      <w:r w:rsidRPr="00901DF7" w:rsidR="00401008">
        <w:t>after spending the day with friends.  As she headed from the garage to her</w:t>
      </w:r>
      <w:r w:rsidRPr="00901DF7" w:rsidR="00620704">
        <w:t xml:space="preserve"> </w:t>
      </w:r>
      <w:r w:rsidRPr="00901DF7" w:rsidR="00401008">
        <w:t xml:space="preserve">apartment, a man approached her and asked if she needed help </w:t>
      </w:r>
      <w:r w:rsidRPr="00901DF7" w:rsidR="00E3328A">
        <w:t>carrying the items in her hands</w:t>
      </w:r>
      <w:r w:rsidRPr="00901DF7" w:rsidR="0068028A">
        <w:t>.</w:t>
      </w:r>
      <w:r w:rsidRPr="00901DF7" w:rsidR="00081D7F">
        <w:t xml:space="preserve"> </w:t>
      </w:r>
      <w:r w:rsidRPr="00901DF7" w:rsidR="0068028A">
        <w:t xml:space="preserve"> </w:t>
      </w:r>
      <w:r w:rsidRPr="00901DF7" w:rsidR="00401008">
        <w:t>She replied</w:t>
      </w:r>
      <w:r w:rsidR="000675D8">
        <w:t>,</w:t>
      </w:r>
      <w:r w:rsidRPr="00901DF7" w:rsidR="00401008">
        <w:t xml:space="preserve"> </w:t>
      </w:r>
      <w:r w:rsidRPr="00901DF7" w:rsidR="007A0439">
        <w:t>“</w:t>
      </w:r>
      <w:r w:rsidR="00763B31">
        <w:t>N</w:t>
      </w:r>
      <w:r w:rsidRPr="00901DF7" w:rsidR="00401008">
        <w:t>o</w:t>
      </w:r>
      <w:r w:rsidR="00763B31">
        <w:t>.</w:t>
      </w:r>
      <w:r w:rsidRPr="00901DF7" w:rsidR="007A0439">
        <w:t>”</w:t>
      </w:r>
      <w:r w:rsidRPr="00901DF7" w:rsidR="00401008">
        <w:t xml:space="preserve"> </w:t>
      </w:r>
      <w:r w:rsidR="00763B31">
        <w:t xml:space="preserve"> B</w:t>
      </w:r>
      <w:r w:rsidRPr="00901DF7" w:rsidR="00763B31">
        <w:t xml:space="preserve">ut </w:t>
      </w:r>
      <w:r w:rsidRPr="00901DF7" w:rsidR="00401008">
        <w:t>he followed her</w:t>
      </w:r>
      <w:r w:rsidRPr="00901DF7" w:rsidR="00A3440B">
        <w:t>,</w:t>
      </w:r>
      <w:r w:rsidRPr="00901DF7" w:rsidR="00401008">
        <w:t xml:space="preserve"> claiming </w:t>
      </w:r>
      <w:r w:rsidRPr="00901DF7" w:rsidR="0051603E">
        <w:t>he was</w:t>
      </w:r>
      <w:r w:rsidRPr="00901DF7" w:rsidR="00401008">
        <w:t xml:space="preserve"> look</w:t>
      </w:r>
      <w:r w:rsidRPr="00901DF7" w:rsidR="0051603E">
        <w:t>ing</w:t>
      </w:r>
      <w:r w:rsidRPr="00901DF7" w:rsidR="00401008">
        <w:t xml:space="preserve"> for a friend’s apartment.  As Doe 1 unlocked her front door, the man rushed </w:t>
      </w:r>
      <w:r w:rsidRPr="00901DF7" w:rsidR="000A157F">
        <w:t xml:space="preserve">toward </w:t>
      </w:r>
      <w:r w:rsidRPr="00901DF7" w:rsidR="00401008">
        <w:t>her</w:t>
      </w:r>
      <w:r w:rsidRPr="00901DF7" w:rsidR="000671DA">
        <w:t xml:space="preserve">, </w:t>
      </w:r>
      <w:r w:rsidRPr="00901DF7" w:rsidR="00401008">
        <w:t>knocked her down</w:t>
      </w:r>
      <w:r w:rsidRPr="00901DF7" w:rsidR="000671DA">
        <w:t xml:space="preserve">, </w:t>
      </w:r>
      <w:r w:rsidRPr="00901DF7" w:rsidR="006A30B0">
        <w:t xml:space="preserve">and </w:t>
      </w:r>
      <w:r w:rsidRPr="00901DF7" w:rsidR="00401008">
        <w:t>held a gun to her head</w:t>
      </w:r>
      <w:r w:rsidRPr="00901DF7" w:rsidR="006A30B0">
        <w:t xml:space="preserve"> while demanding </w:t>
      </w:r>
      <w:r w:rsidRPr="00901DF7" w:rsidR="00401008">
        <w:t xml:space="preserve">money.  Doe 1 gave </w:t>
      </w:r>
      <w:r w:rsidRPr="00901DF7" w:rsidR="000671DA">
        <w:t xml:space="preserve">him </w:t>
      </w:r>
      <w:r w:rsidRPr="00901DF7" w:rsidR="00401008">
        <w:t xml:space="preserve">a necklace, </w:t>
      </w:r>
      <w:r w:rsidRPr="00901DF7" w:rsidR="00EC4C55">
        <w:t>her wallet, and cell phone</w:t>
      </w:r>
      <w:r w:rsidRPr="00901DF7" w:rsidR="000A157F">
        <w:t>.</w:t>
      </w:r>
      <w:r w:rsidRPr="00901DF7" w:rsidR="00EC4C55">
        <w:t xml:space="preserve"> </w:t>
      </w:r>
      <w:r w:rsidRPr="00901DF7" w:rsidR="000A157F">
        <w:t xml:space="preserve"> He then</w:t>
      </w:r>
      <w:r w:rsidRPr="00901DF7" w:rsidR="00EC4C55">
        <w:t xml:space="preserve"> forced her </w:t>
      </w:r>
      <w:r w:rsidRPr="00901DF7" w:rsidR="000671DA">
        <w:t xml:space="preserve">into </w:t>
      </w:r>
      <w:r w:rsidRPr="00901DF7" w:rsidR="00EC4C55">
        <w:t>her apartment,</w:t>
      </w:r>
      <w:r w:rsidRPr="00901DF7" w:rsidR="000A157F">
        <w:t xml:space="preserve"> where</w:t>
      </w:r>
      <w:r w:rsidRPr="00901DF7" w:rsidR="00EC4C55">
        <w:t xml:space="preserve"> </w:t>
      </w:r>
      <w:r w:rsidRPr="00901DF7" w:rsidR="00027315">
        <w:t xml:space="preserve">he </w:t>
      </w:r>
      <w:r w:rsidRPr="00901DF7" w:rsidR="00EC4C55">
        <w:t xml:space="preserve">choked her and </w:t>
      </w:r>
      <w:r w:rsidRPr="00901DF7" w:rsidR="000A157F">
        <w:t>demanded</w:t>
      </w:r>
      <w:r w:rsidRPr="00901DF7" w:rsidR="00EC4C55">
        <w:t xml:space="preserve"> money and </w:t>
      </w:r>
      <w:r w:rsidRPr="00901DF7" w:rsidR="000A157F">
        <w:t>other</w:t>
      </w:r>
      <w:r w:rsidRPr="00901DF7" w:rsidR="006A30B0">
        <w:t xml:space="preserve"> </w:t>
      </w:r>
      <w:r w:rsidRPr="00901DF7" w:rsidR="00EC4C55">
        <w:t>valuables.</w:t>
      </w:r>
      <w:r w:rsidRPr="00901DF7" w:rsidR="00081D7F">
        <w:t xml:space="preserve">  </w:t>
      </w:r>
    </w:p>
    <w:p w:rsidR="00B35664" w:rsidRPr="00901DF7" w:rsidP="00901DF7" w14:paraId="6F6510F0" w14:textId="16AC3FBE">
      <w:pPr>
        <w:tabs>
          <w:tab w:val="left" w:pos="720"/>
          <w:tab w:val="left" w:pos="1440"/>
        </w:tabs>
        <w:ind w:firstLine="720"/>
      </w:pPr>
      <w:r w:rsidRPr="00901DF7">
        <w:t xml:space="preserve">The man punched Doe 1 in the face, </w:t>
      </w:r>
      <w:r w:rsidRPr="00901DF7" w:rsidR="000671DA">
        <w:t xml:space="preserve">causing </w:t>
      </w:r>
      <w:r w:rsidRPr="00901DF7">
        <w:t xml:space="preserve">her to fall and fracture her face.  He then removed her </w:t>
      </w:r>
      <w:r w:rsidRPr="00901DF7" w:rsidR="00E3328A">
        <w:t xml:space="preserve">pants </w:t>
      </w:r>
      <w:r w:rsidRPr="00901DF7">
        <w:t xml:space="preserve">and dragged her to the bedroom, where </w:t>
      </w:r>
      <w:r w:rsidRPr="00901DF7" w:rsidR="00D261D8">
        <w:t>h</w:t>
      </w:r>
      <w:r w:rsidRPr="00901DF7" w:rsidR="00107E3C">
        <w:t xml:space="preserve">e </w:t>
      </w:r>
      <w:r w:rsidRPr="00901DF7" w:rsidR="001A43FC">
        <w:t>penetrated her vagina with h</w:t>
      </w:r>
      <w:r w:rsidRPr="00901DF7" w:rsidR="00681E6E">
        <w:t>is</w:t>
      </w:r>
      <w:r w:rsidRPr="00901DF7" w:rsidR="001A43FC">
        <w:t xml:space="preserve"> penis, </w:t>
      </w:r>
      <w:r w:rsidRPr="00901DF7" w:rsidR="00E3328A">
        <w:t xml:space="preserve">digitally penetrated </w:t>
      </w:r>
      <w:r w:rsidRPr="00901DF7">
        <w:t>her</w:t>
      </w:r>
      <w:r w:rsidRPr="00901DF7" w:rsidR="000D6526">
        <w:t xml:space="preserve"> vagina</w:t>
      </w:r>
      <w:r w:rsidRPr="00901DF7" w:rsidR="0051603E">
        <w:t>,</w:t>
      </w:r>
      <w:r w:rsidRPr="00901DF7">
        <w:t xml:space="preserve"> and forced her to orally copulate him.  </w:t>
      </w:r>
      <w:r w:rsidRPr="00901DF7" w:rsidR="00C70166">
        <w:t>T</w:t>
      </w:r>
      <w:r w:rsidRPr="00901DF7" w:rsidR="00C26D03">
        <w:t>hereafter, h</w:t>
      </w:r>
      <w:r w:rsidRPr="00901DF7">
        <w:t xml:space="preserve">e </w:t>
      </w:r>
      <w:r w:rsidRPr="00901DF7" w:rsidR="00107E3C">
        <w:t>forced</w:t>
      </w:r>
      <w:r w:rsidRPr="00901DF7">
        <w:t xml:space="preserve"> Doe 1 </w:t>
      </w:r>
      <w:r w:rsidRPr="00901DF7" w:rsidR="00AF0342">
        <w:t>into her shower where he wiped her bleeding face and vagina with a washcloth.</w:t>
      </w:r>
      <w:r w:rsidRPr="00901DF7">
        <w:t xml:space="preserve"> </w:t>
      </w:r>
      <w:r w:rsidRPr="00901DF7" w:rsidR="00FD2BDF">
        <w:t xml:space="preserve"> </w:t>
      </w:r>
      <w:r w:rsidRPr="00901DF7" w:rsidR="000A157F">
        <w:t xml:space="preserve">At some point, </w:t>
      </w:r>
      <w:r w:rsidRPr="00901DF7" w:rsidR="00B10698">
        <w:t xml:space="preserve">the man closed the shower curtain and </w:t>
      </w:r>
      <w:r w:rsidRPr="00901DF7" w:rsidR="00292B48">
        <w:t xml:space="preserve">left </w:t>
      </w:r>
      <w:r w:rsidRPr="00901DF7" w:rsidR="000A157F">
        <w:t xml:space="preserve">the apartment. </w:t>
      </w:r>
      <w:r w:rsidRPr="00901DF7" w:rsidR="00692543">
        <w:t xml:space="preserve"> </w:t>
      </w:r>
      <w:r w:rsidRPr="00901DF7">
        <w:t xml:space="preserve">Doe 1 </w:t>
      </w:r>
      <w:r w:rsidRPr="00901DF7" w:rsidR="004008C4">
        <w:t xml:space="preserve">remained in </w:t>
      </w:r>
      <w:r w:rsidRPr="00901DF7">
        <w:t xml:space="preserve">the shower for </w:t>
      </w:r>
      <w:r w:rsidRPr="00901DF7" w:rsidR="000A157F">
        <w:t xml:space="preserve">about </w:t>
      </w:r>
      <w:r w:rsidRPr="00901DF7">
        <w:t xml:space="preserve">20 minutes, not knowing if </w:t>
      </w:r>
      <w:r w:rsidRPr="00901DF7" w:rsidR="00027315">
        <w:t>t</w:t>
      </w:r>
      <w:r w:rsidRPr="00901DF7" w:rsidR="004008C4">
        <w:t>he</w:t>
      </w:r>
      <w:r w:rsidRPr="00901DF7" w:rsidR="00027315">
        <w:t xml:space="preserve"> man</w:t>
      </w:r>
      <w:r w:rsidRPr="00901DF7" w:rsidR="004008C4">
        <w:t xml:space="preserve"> </w:t>
      </w:r>
      <w:r w:rsidRPr="00901DF7">
        <w:t xml:space="preserve">was still inside her apartment.  She </w:t>
      </w:r>
      <w:r w:rsidRPr="00901DF7" w:rsidR="004008C4">
        <w:t xml:space="preserve">then </w:t>
      </w:r>
      <w:r w:rsidRPr="00901DF7">
        <w:t>got out of the shower, and went to a neighbors</w:t>
      </w:r>
      <w:r w:rsidRPr="00901DF7" w:rsidR="00292B48">
        <w:t>’</w:t>
      </w:r>
      <w:r w:rsidRPr="00901DF7">
        <w:t xml:space="preserve"> apartment.</w:t>
      </w:r>
      <w:r w:rsidR="00E418EB">
        <w:t xml:space="preserve">  </w:t>
      </w:r>
      <w:r w:rsidRPr="00901DF7">
        <w:t xml:space="preserve">She told her neighbors about the </w:t>
      </w:r>
      <w:r w:rsidRPr="00901DF7" w:rsidR="00B90983">
        <w:t>attack,</w:t>
      </w:r>
      <w:r w:rsidRPr="00901DF7">
        <w:t xml:space="preserve"> and they drove her to the hospital.  </w:t>
      </w:r>
      <w:r w:rsidRPr="00901DF7" w:rsidR="00107E3C">
        <w:t>Doe 1</w:t>
      </w:r>
      <w:r w:rsidRPr="00901DF7">
        <w:t xml:space="preserve"> suffered severe physical </w:t>
      </w:r>
      <w:r w:rsidRPr="00901DF7" w:rsidR="00AA6222">
        <w:t xml:space="preserve">and psychological </w:t>
      </w:r>
      <w:r w:rsidRPr="00901DF7">
        <w:t>trauma</w:t>
      </w:r>
      <w:r w:rsidRPr="00901DF7" w:rsidR="00AA6222">
        <w:t>.</w:t>
      </w:r>
      <w:r w:rsidR="00E418EB">
        <w:t xml:space="preserve">  </w:t>
      </w:r>
    </w:p>
    <w:p w:rsidR="00EC4C55" w:rsidRPr="00901DF7" w:rsidP="00901DF7" w14:paraId="72356937" w14:textId="0D7706A9">
      <w:pPr>
        <w:tabs>
          <w:tab w:val="left" w:pos="720"/>
          <w:tab w:val="left" w:pos="1440"/>
        </w:tabs>
        <w:ind w:firstLine="720"/>
      </w:pPr>
      <w:r w:rsidRPr="00901DF7">
        <w:t xml:space="preserve">During the </w:t>
      </w:r>
      <w:r w:rsidRPr="00901DF7" w:rsidR="00027315">
        <w:t>ensuing</w:t>
      </w:r>
      <w:r w:rsidRPr="00901DF7">
        <w:t xml:space="preserve"> police investigation, </w:t>
      </w:r>
      <w:r w:rsidRPr="00901DF7" w:rsidR="00027315">
        <w:t xml:space="preserve">Doe 1 </w:t>
      </w:r>
      <w:r w:rsidRPr="00901DF7" w:rsidR="00B01A43">
        <w:t xml:space="preserve">viewed </w:t>
      </w:r>
      <w:r w:rsidRPr="00901DF7">
        <w:t>individuals at a physical lineup but</w:t>
      </w:r>
      <w:r w:rsidRPr="00901DF7" w:rsidR="00E25CF8">
        <w:t xml:space="preserve"> was unable to identify defendant</w:t>
      </w:r>
      <w:r w:rsidRPr="00901DF7" w:rsidR="00692543">
        <w:t xml:space="preserve">. </w:t>
      </w:r>
      <w:r w:rsidRPr="00901DF7">
        <w:t xml:space="preserve"> She subsequently</w:t>
      </w:r>
      <w:r w:rsidRPr="00901DF7" w:rsidR="00E25CF8">
        <w:t xml:space="preserve"> identified him at the preliminary hearing</w:t>
      </w:r>
      <w:r w:rsidRPr="00901DF7" w:rsidR="00692543">
        <w:t xml:space="preserve"> as her assailant</w:t>
      </w:r>
      <w:r w:rsidRPr="00901DF7" w:rsidR="00E25CF8">
        <w:t xml:space="preserve">. </w:t>
      </w:r>
      <w:r w:rsidRPr="00901DF7" w:rsidR="0068028A">
        <w:t xml:space="preserve"> </w:t>
      </w:r>
      <w:r w:rsidRPr="00901DF7" w:rsidR="008F385C">
        <w:t>In</w:t>
      </w:r>
      <w:r w:rsidRPr="00901DF7" w:rsidR="00E80089">
        <w:t xml:space="preserve">vestigators </w:t>
      </w:r>
      <w:r w:rsidRPr="00901DF7" w:rsidR="008F385C">
        <w:t xml:space="preserve">were also able to </w:t>
      </w:r>
      <w:r w:rsidRPr="00901DF7" w:rsidR="00E80089">
        <w:t>match d</w:t>
      </w:r>
      <w:r w:rsidRPr="00901DF7" w:rsidR="00B4462B">
        <w:t xml:space="preserve">efendant’s DNA </w:t>
      </w:r>
      <w:r w:rsidRPr="00901DF7" w:rsidR="00E80089">
        <w:t>to</w:t>
      </w:r>
      <w:r w:rsidRPr="00901DF7" w:rsidR="00B4462B">
        <w:t xml:space="preserve"> a sample recovered from Doe 1’s bedroom comforter.</w:t>
      </w:r>
      <w:r w:rsidR="00E418EB">
        <w:t xml:space="preserve">  </w:t>
      </w:r>
    </w:p>
    <w:p w:rsidR="00EC4C55" w:rsidRPr="00901DF7" w:rsidP="00901DF7" w14:paraId="5128DB29" w14:textId="062297BB">
      <w:pPr>
        <w:tabs>
          <w:tab w:val="left" w:pos="1440"/>
        </w:tabs>
        <w:ind w:firstLine="720"/>
      </w:pPr>
      <w:r w:rsidRPr="00901DF7">
        <w:t xml:space="preserve">On August 14, the day after </w:t>
      </w:r>
      <w:r w:rsidRPr="00901DF7" w:rsidR="00751AF3">
        <w:t xml:space="preserve">Doe 1 was </w:t>
      </w:r>
      <w:r w:rsidRPr="00901DF7">
        <w:t>attack</w:t>
      </w:r>
      <w:r w:rsidRPr="00901DF7" w:rsidR="00751AF3">
        <w:t>ed</w:t>
      </w:r>
      <w:r w:rsidRPr="00901DF7">
        <w:t xml:space="preserve">, Doe 2 was working as a prostitute at a San Diego motel.  She had </w:t>
      </w:r>
      <w:r w:rsidRPr="00901DF7" w:rsidR="008F385C">
        <w:t xml:space="preserve">previously </w:t>
      </w:r>
      <w:r w:rsidRPr="00901DF7">
        <w:t xml:space="preserve">posted an “ad” on the Internet notifying potential “clients” of her general location.  </w:t>
      </w:r>
      <w:r w:rsidRPr="00901DF7" w:rsidR="00B01A43">
        <w:t>A</w:t>
      </w:r>
      <w:r w:rsidRPr="00901DF7">
        <w:t xml:space="preserve"> man </w:t>
      </w:r>
      <w:r w:rsidRPr="00901DF7" w:rsidR="00B01A43">
        <w:t xml:space="preserve">contacted Doe 2 and </w:t>
      </w:r>
      <w:r w:rsidRPr="00901DF7">
        <w:t xml:space="preserve">said he had $200 and wanted an hour of her time. </w:t>
      </w:r>
      <w:r w:rsidRPr="00901DF7" w:rsidR="00733D98">
        <w:t xml:space="preserve"> </w:t>
      </w:r>
      <w:r w:rsidRPr="00901DF7" w:rsidR="00663680">
        <w:t xml:space="preserve">They </w:t>
      </w:r>
      <w:r w:rsidRPr="00901DF7" w:rsidR="00692543">
        <w:t>agreed</w:t>
      </w:r>
      <w:r w:rsidRPr="00901DF7" w:rsidR="00663680">
        <w:t xml:space="preserve"> to meet </w:t>
      </w:r>
      <w:r w:rsidRPr="00901DF7" w:rsidR="008F385C">
        <w:t xml:space="preserve">that day </w:t>
      </w:r>
      <w:r w:rsidRPr="00901DF7" w:rsidR="00663680">
        <w:t xml:space="preserve">at Doe 2’s motel room.  </w:t>
      </w:r>
      <w:r w:rsidRPr="00901DF7" w:rsidR="00DE24E1">
        <w:t>When he arrived later that day,</w:t>
      </w:r>
      <w:r w:rsidRPr="00901DF7" w:rsidR="008F385C">
        <w:t xml:space="preserve"> he entered Doe 2’s motel room </w:t>
      </w:r>
      <w:r w:rsidRPr="00901DF7" w:rsidR="00DE24E1">
        <w:t>and immediately asked to use the restroom</w:t>
      </w:r>
      <w:r w:rsidRPr="00901DF7" w:rsidR="00663680">
        <w:t xml:space="preserve">. </w:t>
      </w:r>
      <w:r w:rsidRPr="00901DF7" w:rsidR="00692543">
        <w:t xml:space="preserve"> </w:t>
      </w:r>
      <w:r w:rsidRPr="00901DF7" w:rsidR="006359EA">
        <w:t xml:space="preserve">When he came out of the bathroom, he threatened her, asking if she “wanted to die.”  </w:t>
      </w:r>
      <w:r w:rsidRPr="00901DF7" w:rsidR="00663680">
        <w:t>At some point,</w:t>
      </w:r>
      <w:r w:rsidRPr="00901DF7" w:rsidR="009036E7">
        <w:t xml:space="preserve"> he </w:t>
      </w:r>
      <w:r w:rsidRPr="00901DF7" w:rsidR="00751AF3">
        <w:t>grabbed her neck and choked her repeatedly</w:t>
      </w:r>
      <w:r w:rsidRPr="00901DF7" w:rsidR="009036E7">
        <w:t>.</w:t>
      </w:r>
      <w:r w:rsidRPr="00901DF7" w:rsidR="00751AF3">
        <w:t xml:space="preserve"> </w:t>
      </w:r>
      <w:r w:rsidRPr="00901DF7" w:rsidR="009036E7">
        <w:t xml:space="preserve"> </w:t>
      </w:r>
      <w:r w:rsidRPr="00901DF7" w:rsidR="00751AF3">
        <w:t>Doe 2 lost consciousness</w:t>
      </w:r>
      <w:r w:rsidRPr="00901DF7" w:rsidR="004008C4">
        <w:t>.</w:t>
      </w:r>
      <w:r w:rsidRPr="00901DF7" w:rsidR="00751AF3">
        <w:t xml:space="preserve"> </w:t>
      </w:r>
      <w:r w:rsidRPr="00901DF7" w:rsidR="004008C4">
        <w:t xml:space="preserve"> W</w:t>
      </w:r>
      <w:r w:rsidRPr="00901DF7" w:rsidR="00751AF3">
        <w:t xml:space="preserve">hen she </w:t>
      </w:r>
      <w:r w:rsidRPr="00901DF7" w:rsidR="00B01A43">
        <w:t>awoke</w:t>
      </w:r>
      <w:r w:rsidRPr="00901DF7" w:rsidR="00751AF3">
        <w:t>, she was bent over on the side of the bed and felt the man’s penis inside her</w:t>
      </w:r>
      <w:r w:rsidRPr="00901DF7" w:rsidR="003A58C4">
        <w:t xml:space="preserve"> anus</w:t>
      </w:r>
      <w:r w:rsidRPr="00901DF7" w:rsidR="00751AF3">
        <w:t>.</w:t>
      </w:r>
      <w:r w:rsidR="00E418EB">
        <w:t xml:space="preserve">  </w:t>
      </w:r>
    </w:p>
    <w:p w:rsidR="00EC4C55" w:rsidRPr="00901DF7" w:rsidP="00901DF7" w14:paraId="3ADC1B09" w14:textId="7C948CB9">
      <w:pPr>
        <w:tabs>
          <w:tab w:val="left" w:pos="1440"/>
        </w:tabs>
        <w:ind w:firstLine="720"/>
      </w:pPr>
      <w:r w:rsidRPr="00901DF7">
        <w:t xml:space="preserve">She </w:t>
      </w:r>
      <w:r w:rsidRPr="00901DF7" w:rsidR="003A58C4">
        <w:t>tried to fight the man</w:t>
      </w:r>
      <w:r w:rsidR="008E1320">
        <w:t xml:space="preserve"> off</w:t>
      </w:r>
      <w:r w:rsidRPr="00901DF7" w:rsidR="003A58C4">
        <w:t xml:space="preserve">, </w:t>
      </w:r>
      <w:r w:rsidRPr="00901DF7" w:rsidR="004008C4">
        <w:t xml:space="preserve">but </w:t>
      </w:r>
      <w:r w:rsidRPr="00901DF7" w:rsidR="003A58C4">
        <w:t>he</w:t>
      </w:r>
      <w:r w:rsidRPr="00901DF7" w:rsidR="009036E7">
        <w:t xml:space="preserve"> continued to </w:t>
      </w:r>
      <w:r w:rsidRPr="00901DF7" w:rsidR="003A58C4">
        <w:t xml:space="preserve">choke her. </w:t>
      </w:r>
      <w:r w:rsidRPr="00901DF7" w:rsidR="00264CE7">
        <w:t xml:space="preserve"> </w:t>
      </w:r>
      <w:r w:rsidRPr="00901DF7" w:rsidR="003A58C4">
        <w:t>At one point</w:t>
      </w:r>
      <w:r w:rsidRPr="00901DF7" w:rsidR="008F385C">
        <w:t xml:space="preserve"> during the assault</w:t>
      </w:r>
      <w:r w:rsidRPr="00901DF7" w:rsidR="003A58C4">
        <w:t xml:space="preserve">, </w:t>
      </w:r>
      <w:r w:rsidRPr="00901DF7" w:rsidR="004008C4">
        <w:t>he</w:t>
      </w:r>
      <w:r w:rsidRPr="00901DF7" w:rsidR="003A58C4">
        <w:t xml:space="preserve"> pulled out a handgun and </w:t>
      </w:r>
      <w:r w:rsidRPr="00901DF7" w:rsidR="004008C4">
        <w:t xml:space="preserve">struck </w:t>
      </w:r>
      <w:r w:rsidRPr="00901DF7" w:rsidR="003A58C4">
        <w:t>Doe 2 on the head</w:t>
      </w:r>
      <w:r w:rsidRPr="00901DF7" w:rsidR="004008C4">
        <w:t xml:space="preserve"> with it</w:t>
      </w:r>
      <w:r w:rsidRPr="00901DF7" w:rsidR="003A58C4">
        <w:t>.</w:t>
      </w:r>
      <w:r w:rsidR="00E418EB">
        <w:t xml:space="preserve">  </w:t>
      </w:r>
      <w:r w:rsidRPr="00901DF7">
        <w:t xml:space="preserve">She </w:t>
      </w:r>
      <w:r w:rsidRPr="00901DF7" w:rsidR="00292B48">
        <w:t>broke</w:t>
      </w:r>
      <w:r w:rsidRPr="00901DF7">
        <w:t xml:space="preserve"> free and </w:t>
      </w:r>
      <w:r w:rsidRPr="00901DF7" w:rsidR="003A58C4">
        <w:t>ran to the window</w:t>
      </w:r>
      <w:r w:rsidRPr="00901DF7" w:rsidR="004008C4">
        <w:t>,</w:t>
      </w:r>
      <w:r w:rsidRPr="00901DF7" w:rsidR="003A58C4">
        <w:t xml:space="preserve"> </w:t>
      </w:r>
      <w:r w:rsidRPr="00901DF7">
        <w:t>which she opened</w:t>
      </w:r>
      <w:r w:rsidRPr="00901DF7" w:rsidR="003A58C4">
        <w:t xml:space="preserve"> and </w:t>
      </w:r>
      <w:r w:rsidRPr="00901DF7">
        <w:t xml:space="preserve">then </w:t>
      </w:r>
      <w:r w:rsidRPr="00901DF7" w:rsidR="003A58C4">
        <w:t>screamed for help</w:t>
      </w:r>
      <w:r w:rsidRPr="00901DF7" w:rsidR="0068028A">
        <w:t>.</w:t>
      </w:r>
      <w:r w:rsidRPr="00901DF7" w:rsidR="009036E7">
        <w:t xml:space="preserve">  </w:t>
      </w:r>
      <w:r w:rsidRPr="00901DF7" w:rsidR="00266943">
        <w:t xml:space="preserve">The man grabbed some of his belongings </w:t>
      </w:r>
      <w:r w:rsidRPr="00901DF7" w:rsidR="008D10AD">
        <w:t>and fled the scene</w:t>
      </w:r>
      <w:r w:rsidRPr="00901DF7" w:rsidR="0068028A">
        <w:t>.</w:t>
      </w:r>
      <w:r w:rsidRPr="00901DF7" w:rsidR="008D10AD">
        <w:t xml:space="preserve"> </w:t>
      </w:r>
      <w:r w:rsidRPr="00901DF7" w:rsidR="00266943">
        <w:t xml:space="preserve"> Doe 2 </w:t>
      </w:r>
      <w:r w:rsidRPr="00901DF7" w:rsidR="00B64A73">
        <w:t>climbed out the window and called</w:t>
      </w:r>
      <w:r w:rsidRPr="00901DF7" w:rsidR="00DE24E1">
        <w:t xml:space="preserve"> an acquaintance</w:t>
      </w:r>
      <w:r w:rsidRPr="00901DF7" w:rsidR="00B64A73">
        <w:t xml:space="preserve">, Henry C., for help. </w:t>
      </w:r>
      <w:r w:rsidRPr="00901DF7" w:rsidR="00266943">
        <w:t xml:space="preserve"> Henry C. picked her up from the motel and drove her back to her apartment.</w:t>
      </w:r>
      <w:r w:rsidRPr="00901DF7" w:rsidR="00C8013B">
        <w:t xml:space="preserve"> </w:t>
      </w:r>
      <w:r w:rsidRPr="00901DF7" w:rsidR="00266943">
        <w:t xml:space="preserve"> </w:t>
      </w:r>
      <w:r w:rsidRPr="00901DF7" w:rsidR="004008C4">
        <w:t>She</w:t>
      </w:r>
      <w:r w:rsidRPr="00901DF7" w:rsidR="00266943">
        <w:t xml:space="preserve"> </w:t>
      </w:r>
      <w:r w:rsidRPr="00901DF7">
        <w:t xml:space="preserve">initially </w:t>
      </w:r>
      <w:r w:rsidRPr="00901DF7" w:rsidR="00266943">
        <w:t xml:space="preserve">declined to go to the hospital because she believed she would get in “trouble” for engaging in prostitution. </w:t>
      </w:r>
      <w:r w:rsidRPr="00901DF7" w:rsidR="008D10AD">
        <w:t xml:space="preserve"> </w:t>
      </w:r>
      <w:r w:rsidRPr="00901DF7">
        <w:t xml:space="preserve">However, two days after the attack, </w:t>
      </w:r>
      <w:r w:rsidRPr="00901DF7" w:rsidR="00901F5D">
        <w:t xml:space="preserve">she went with </w:t>
      </w:r>
      <w:r w:rsidRPr="00901DF7" w:rsidR="00266943">
        <w:t>Henry C.</w:t>
      </w:r>
      <w:r w:rsidRPr="00901DF7">
        <w:t xml:space="preserve"> </w:t>
      </w:r>
      <w:r w:rsidRPr="00901DF7" w:rsidR="00266943">
        <w:t xml:space="preserve">to the </w:t>
      </w:r>
      <w:r w:rsidRPr="00901DF7">
        <w:t>hospital</w:t>
      </w:r>
      <w:r w:rsidRPr="00901DF7" w:rsidR="00DE24E1">
        <w:t>, where she received treatment and spoke to a police officer about the attack.</w:t>
      </w:r>
      <w:r w:rsidR="00E418EB">
        <w:t xml:space="preserve">  </w:t>
      </w:r>
    </w:p>
    <w:p w:rsidR="004008C4" w:rsidRPr="00901DF7" w:rsidP="00901DF7" w14:paraId="5DB297E3" w14:textId="6B0DADA9">
      <w:pPr>
        <w:tabs>
          <w:tab w:val="left" w:pos="1440"/>
        </w:tabs>
        <w:ind w:firstLine="720"/>
      </w:pPr>
      <w:r w:rsidRPr="00901DF7">
        <w:t xml:space="preserve">Doe 2 </w:t>
      </w:r>
      <w:r w:rsidRPr="00901DF7" w:rsidR="00C26D03">
        <w:t xml:space="preserve">later </w:t>
      </w:r>
      <w:r w:rsidRPr="00901DF7">
        <w:t xml:space="preserve">identified defendant in a photographic lineup as </w:t>
      </w:r>
      <w:r w:rsidRPr="00901DF7" w:rsidR="005756A7">
        <w:t>her attacker</w:t>
      </w:r>
      <w:r w:rsidR="008B0390">
        <w:t>.</w:t>
      </w:r>
      <w:r w:rsidRPr="00901DF7">
        <w:t xml:space="preserve"> </w:t>
      </w:r>
      <w:r w:rsidR="008B0390">
        <w:t xml:space="preserve"> </w:t>
      </w:r>
      <w:r w:rsidRPr="00901DF7" w:rsidR="00D37143">
        <w:t>The DNA of b</w:t>
      </w:r>
      <w:r w:rsidRPr="00901DF7" w:rsidR="00083900">
        <w:t>lood samples taken from defendant’s handgun and from his chest matched Doe 2’s DNA.</w:t>
      </w:r>
      <w:r w:rsidRPr="00901DF7" w:rsidR="00BB349B">
        <w:t xml:space="preserve"> </w:t>
      </w:r>
      <w:r w:rsidRPr="00901DF7" w:rsidR="00E25CF8">
        <w:t xml:space="preserve"> </w:t>
      </w:r>
      <w:r w:rsidRPr="00901DF7" w:rsidR="00BB349B">
        <w:t>A jewelry box missing from Doe 1’s apartment was found in a backpack left in Doe 2’s motel room.</w:t>
      </w:r>
      <w:r w:rsidR="00E418EB">
        <w:t xml:space="preserve">  </w:t>
      </w:r>
    </w:p>
    <w:p w:rsidR="00C9316D" w:rsidRPr="00901DF7" w:rsidP="00901DF7" w14:paraId="5C770112" w14:textId="2E8F32B5">
      <w:pPr>
        <w:tabs>
          <w:tab w:val="left" w:pos="1440"/>
        </w:tabs>
        <w:ind w:firstLine="720"/>
      </w:pPr>
      <w:r w:rsidRPr="00901DF7">
        <w:t>After concluding its investigation of the assaults against Doe 1 and Doe 2, t</w:t>
      </w:r>
      <w:r w:rsidRPr="00901DF7" w:rsidR="00663680">
        <w:t>he prosecution filed a</w:t>
      </w:r>
      <w:r w:rsidRPr="00901DF7" w:rsidR="001C1276">
        <w:t xml:space="preserve"> </w:t>
      </w:r>
      <w:r w:rsidRPr="00901DF7" w:rsidR="002726BB">
        <w:t xml:space="preserve">13-count </w:t>
      </w:r>
      <w:r w:rsidRPr="00901DF7" w:rsidR="00F54E6A">
        <w:t xml:space="preserve">information </w:t>
      </w:r>
      <w:r w:rsidRPr="00901DF7" w:rsidR="00663680">
        <w:t xml:space="preserve">charging </w:t>
      </w:r>
      <w:r w:rsidRPr="00901DF7" w:rsidR="00AB541B">
        <w:t>defendant</w:t>
      </w:r>
      <w:r w:rsidRPr="00901DF7" w:rsidR="002726BB">
        <w:t xml:space="preserve"> </w:t>
      </w:r>
      <w:r w:rsidRPr="00901DF7" w:rsidR="00663680">
        <w:t xml:space="preserve">for offenses perpetrated against both </w:t>
      </w:r>
      <w:r w:rsidRPr="00901DF7" w:rsidR="00C26D03">
        <w:t>victims</w:t>
      </w:r>
      <w:r w:rsidRPr="00901DF7" w:rsidR="00663680">
        <w:t xml:space="preserve">.  </w:t>
      </w:r>
      <w:r w:rsidRPr="00901DF7">
        <w:t xml:space="preserve">The information </w:t>
      </w:r>
      <w:r w:rsidRPr="00901DF7" w:rsidR="00663680">
        <w:t xml:space="preserve">alleged counts for </w:t>
      </w:r>
      <w:r w:rsidRPr="00901DF7" w:rsidR="009369BE">
        <w:t>robbery (</w:t>
      </w:r>
      <w:r w:rsidR="007B112D">
        <w:t>§ </w:t>
      </w:r>
      <w:r w:rsidRPr="00901DF7" w:rsidR="009369BE">
        <w:t xml:space="preserve">211; count 1); </w:t>
      </w:r>
      <w:r w:rsidRPr="00901DF7">
        <w:t xml:space="preserve">making </w:t>
      </w:r>
      <w:r w:rsidRPr="00901DF7" w:rsidR="002726BB">
        <w:t>criminal threats (</w:t>
      </w:r>
      <w:r w:rsidR="007B112D">
        <w:t>§ </w:t>
      </w:r>
      <w:r w:rsidRPr="00901DF7" w:rsidR="002726BB">
        <w:t>422; count</w:t>
      </w:r>
      <w:r w:rsidRPr="00901DF7" w:rsidR="00F54E6A">
        <w:t>s</w:t>
      </w:r>
      <w:r w:rsidRPr="00901DF7" w:rsidR="002726BB">
        <w:t xml:space="preserve"> </w:t>
      </w:r>
      <w:r w:rsidRPr="00901DF7" w:rsidR="009369BE">
        <w:t>2, 8, 9, 11</w:t>
      </w:r>
      <w:r w:rsidRPr="00901DF7" w:rsidR="002726BB">
        <w:t>)</w:t>
      </w:r>
      <w:r w:rsidRPr="00901DF7" w:rsidR="009369BE">
        <w:t>;</w:t>
      </w:r>
      <w:r w:rsidRPr="00901DF7" w:rsidR="002726BB">
        <w:t xml:space="preserve"> forcible rape (</w:t>
      </w:r>
      <w:r w:rsidR="007B112D">
        <w:t>§ </w:t>
      </w:r>
      <w:r w:rsidRPr="00901DF7" w:rsidR="002726BB">
        <w:t xml:space="preserve">261, subd. (a)(2); counts </w:t>
      </w:r>
      <w:r w:rsidRPr="00901DF7" w:rsidR="009369BE">
        <w:t>3, 6</w:t>
      </w:r>
      <w:r w:rsidRPr="00901DF7" w:rsidR="002726BB">
        <w:t>)</w:t>
      </w:r>
      <w:r w:rsidRPr="00901DF7" w:rsidR="009369BE">
        <w:t xml:space="preserve">; </w:t>
      </w:r>
      <w:r w:rsidRPr="00901DF7" w:rsidR="002726BB">
        <w:t>forcible penet</w:t>
      </w:r>
      <w:r w:rsidRPr="00901DF7" w:rsidR="009369BE">
        <w:t>r</w:t>
      </w:r>
      <w:r w:rsidRPr="00901DF7" w:rsidR="002726BB">
        <w:t>ation (</w:t>
      </w:r>
      <w:r w:rsidR="007B112D">
        <w:t>§ </w:t>
      </w:r>
      <w:r w:rsidRPr="00901DF7" w:rsidR="002726BB">
        <w:t>289, subd. (a)</w:t>
      </w:r>
      <w:r w:rsidRPr="00901DF7" w:rsidR="009369BE">
        <w:t>;</w:t>
      </w:r>
      <w:r w:rsidRPr="00901DF7" w:rsidR="002726BB">
        <w:t xml:space="preserve"> count 4); </w:t>
      </w:r>
      <w:r w:rsidRPr="00901DF7" w:rsidR="009369BE">
        <w:t>forcible oral copulation (</w:t>
      </w:r>
      <w:r w:rsidR="007B112D">
        <w:t>§ </w:t>
      </w:r>
      <w:r w:rsidRPr="00901DF7" w:rsidR="009369BE">
        <w:t>288a, subd. (c)(2)(A); count 5); burglary (</w:t>
      </w:r>
      <w:r w:rsidR="007B112D">
        <w:t>§ </w:t>
      </w:r>
      <w:r w:rsidRPr="00901DF7" w:rsidR="009369BE">
        <w:t>459; count 7); sodomy by use of force (</w:t>
      </w:r>
      <w:r w:rsidR="007B112D">
        <w:t>§ </w:t>
      </w:r>
      <w:r w:rsidRPr="00901DF7" w:rsidR="009369BE">
        <w:t>286, subd. (c)(2)(A); count 10); assault with a firearm (</w:t>
      </w:r>
      <w:r w:rsidR="007B112D">
        <w:t>§ </w:t>
      </w:r>
      <w:r w:rsidRPr="00901DF7" w:rsidR="009369BE">
        <w:t>245, subd. (a)(2); count 12); and false imprisonment by violence, menace, fraud</w:t>
      </w:r>
      <w:r w:rsidR="006215A6">
        <w:t>,</w:t>
      </w:r>
      <w:r w:rsidRPr="00901DF7" w:rsidR="009369BE">
        <w:t xml:space="preserve"> and deceit (§</w:t>
      </w:r>
      <w:r w:rsidR="007B112D">
        <w:t>§ </w:t>
      </w:r>
      <w:r w:rsidRPr="00901DF7" w:rsidR="009369BE">
        <w:t xml:space="preserve">236, 237, subd (a); count 13). </w:t>
      </w:r>
      <w:r w:rsidRPr="00901DF7" w:rsidR="00F54E6A">
        <w:t xml:space="preserve"> </w:t>
      </w:r>
      <w:r w:rsidRPr="00901DF7" w:rsidR="000A1BB0">
        <w:t>Counts 1 t</w:t>
      </w:r>
      <w:r w:rsidRPr="00901DF7" w:rsidR="00D37143">
        <w:t>hrough</w:t>
      </w:r>
      <w:r w:rsidRPr="00901DF7" w:rsidR="000A1BB0">
        <w:t xml:space="preserve"> 8 were</w:t>
      </w:r>
      <w:r w:rsidRPr="00901DF7" w:rsidR="004008C4">
        <w:t xml:space="preserve"> alleged to have been</w:t>
      </w:r>
      <w:r w:rsidRPr="00901DF7" w:rsidR="000A1BB0">
        <w:t xml:space="preserve"> committed against Doe 1, and counts 9 t</w:t>
      </w:r>
      <w:r w:rsidRPr="00901DF7" w:rsidR="00D37143">
        <w:t>hrough</w:t>
      </w:r>
      <w:r w:rsidRPr="00901DF7" w:rsidR="000A1BB0">
        <w:t xml:space="preserve"> 13 were</w:t>
      </w:r>
      <w:r w:rsidRPr="00901DF7" w:rsidR="004008C4">
        <w:t xml:space="preserve"> alleged to have been</w:t>
      </w:r>
      <w:r w:rsidRPr="00901DF7" w:rsidR="000A1BB0">
        <w:t xml:space="preserve"> committed against Doe 2.</w:t>
      </w:r>
    </w:p>
    <w:p w:rsidR="00081D7F" w:rsidRPr="00901DF7" w:rsidP="00901DF7" w14:paraId="283C850F" w14:textId="046CB2B4">
      <w:pPr>
        <w:tabs>
          <w:tab w:val="left" w:pos="1440"/>
        </w:tabs>
        <w:ind w:firstLine="720"/>
      </w:pPr>
      <w:r w:rsidRPr="00901DF7">
        <w:t>After</w:t>
      </w:r>
      <w:r w:rsidRPr="00901DF7" w:rsidR="00412C6B">
        <w:t xml:space="preserve"> presentation of evidence and</w:t>
      </w:r>
      <w:r w:rsidRPr="00901DF7">
        <w:t xml:space="preserve"> </w:t>
      </w:r>
      <w:r w:rsidRPr="00901DF7" w:rsidR="00310D5E">
        <w:t xml:space="preserve">jury </w:t>
      </w:r>
      <w:r w:rsidRPr="00901DF7" w:rsidR="00412C6B">
        <w:t>deliberations,</w:t>
      </w:r>
      <w:r w:rsidRPr="00901DF7" w:rsidR="00310D5E">
        <w:t xml:space="preserve"> </w:t>
      </w:r>
      <w:r w:rsidRPr="00901DF7" w:rsidR="00901F5D">
        <w:t xml:space="preserve">the jury found </w:t>
      </w:r>
      <w:r w:rsidRPr="00901DF7" w:rsidR="00310D5E">
        <w:t>defendant</w:t>
      </w:r>
      <w:r w:rsidRPr="00901DF7" w:rsidR="00901F5D">
        <w:t xml:space="preserve"> </w:t>
      </w:r>
      <w:r w:rsidRPr="00901DF7" w:rsidR="001C0019">
        <w:t xml:space="preserve">guilty </w:t>
      </w:r>
      <w:r w:rsidRPr="00901DF7" w:rsidR="00E67725">
        <w:t xml:space="preserve">as charged on counts 1 to 9 and 11 to 13, and </w:t>
      </w:r>
      <w:r w:rsidR="006215A6">
        <w:t xml:space="preserve">it </w:t>
      </w:r>
      <w:r w:rsidRPr="00901DF7" w:rsidR="00E67725">
        <w:t>found him guilty as to count 10 on the lesser</w:t>
      </w:r>
      <w:r w:rsidRPr="00901DF7" w:rsidR="007A03D6">
        <w:t xml:space="preserve"> included offenses of battery and assault (§</w:t>
      </w:r>
      <w:r w:rsidR="007B112D">
        <w:t>§ </w:t>
      </w:r>
      <w:r w:rsidRPr="00901DF7" w:rsidR="007A03D6">
        <w:t xml:space="preserve">240, 242). </w:t>
      </w:r>
      <w:r w:rsidRPr="00901DF7" w:rsidR="0068028A">
        <w:t xml:space="preserve"> </w:t>
      </w:r>
      <w:r w:rsidRPr="00901DF7" w:rsidR="00D37143">
        <w:t>It</w:t>
      </w:r>
      <w:r w:rsidRPr="00901DF7" w:rsidR="0056464F">
        <w:t xml:space="preserve"> also found that </w:t>
      </w:r>
      <w:r w:rsidRPr="00901DF7" w:rsidR="00E67725">
        <w:t>he</w:t>
      </w:r>
      <w:r w:rsidRPr="00901DF7" w:rsidR="00D37143">
        <w:t>: (1)</w:t>
      </w:r>
      <w:r w:rsidRPr="00901DF7" w:rsidR="0056464F">
        <w:t xml:space="preserve"> personally used a firearm as to counts 1, 3, 4, 5, and </w:t>
      </w:r>
      <w:r w:rsidRPr="00901DF7" w:rsidR="007A03D6">
        <w:t>6</w:t>
      </w:r>
      <w:r w:rsidRPr="00901DF7" w:rsidR="0056464F">
        <w:t xml:space="preserve"> (</w:t>
      </w:r>
      <w:r w:rsidR="007B112D">
        <w:t>§ </w:t>
      </w:r>
      <w:r w:rsidRPr="00901DF7" w:rsidR="0056464F">
        <w:t xml:space="preserve">12022.53, subd. (b)), and personally used a firearm </w:t>
      </w:r>
      <w:r w:rsidRPr="00901DF7" w:rsidR="00D37143">
        <w:t xml:space="preserve">as to </w:t>
      </w:r>
      <w:r w:rsidRPr="00901DF7" w:rsidR="0056464F">
        <w:t>counts 2, 7, and 11 (</w:t>
      </w:r>
      <w:r w:rsidR="007B112D">
        <w:t>§ </w:t>
      </w:r>
      <w:r w:rsidRPr="00901DF7" w:rsidR="0056464F">
        <w:t>12022.5, subd. (a))</w:t>
      </w:r>
      <w:r w:rsidRPr="00901DF7" w:rsidR="00D37143">
        <w:t xml:space="preserve">; (2) </w:t>
      </w:r>
      <w:r w:rsidRPr="00901DF7" w:rsidR="0056464F">
        <w:t>kidnapped Doe 1</w:t>
      </w:r>
      <w:r w:rsidRPr="00901DF7" w:rsidR="007A03D6">
        <w:t>,</w:t>
      </w:r>
      <w:r w:rsidRPr="00901DF7" w:rsidR="0056464F">
        <w:t xml:space="preserve"> committed the offenses </w:t>
      </w:r>
      <w:r w:rsidRPr="00901DF7" w:rsidR="00E67725">
        <w:t xml:space="preserve">against her </w:t>
      </w:r>
      <w:r w:rsidRPr="00901DF7" w:rsidR="0056464F">
        <w:t xml:space="preserve">in the commission of a burglary, and inflicted great bodily </w:t>
      </w:r>
      <w:r w:rsidRPr="00901DF7" w:rsidR="00E67725">
        <w:t>injury on her</w:t>
      </w:r>
      <w:r w:rsidRPr="00901DF7" w:rsidR="0056464F">
        <w:t xml:space="preserve"> </w:t>
      </w:r>
      <w:r w:rsidRPr="00901DF7" w:rsidR="00D37143">
        <w:t>as to</w:t>
      </w:r>
      <w:r w:rsidRPr="00901DF7" w:rsidR="0056464F">
        <w:t xml:space="preserve"> </w:t>
      </w:r>
      <w:r w:rsidRPr="00901DF7" w:rsidR="00DF33B6">
        <w:t xml:space="preserve">counts </w:t>
      </w:r>
      <w:r w:rsidRPr="00901DF7" w:rsidR="0056464F">
        <w:t xml:space="preserve">3, 4, 5, </w:t>
      </w:r>
      <w:r w:rsidRPr="00901DF7" w:rsidR="007A03D6">
        <w:t xml:space="preserve">and </w:t>
      </w:r>
      <w:r w:rsidRPr="00901DF7" w:rsidR="0056464F">
        <w:t>6 (§</w:t>
      </w:r>
      <w:r w:rsidR="007B112D">
        <w:t>§ </w:t>
      </w:r>
      <w:r w:rsidRPr="00901DF7" w:rsidR="0056464F">
        <w:t>667.61, subds. (a), (c), (d), &amp; (e) &amp; 667.5</w:t>
      </w:r>
      <w:r w:rsidRPr="00901DF7" w:rsidR="00D37143">
        <w:t xml:space="preserve">); </w:t>
      </w:r>
      <w:r w:rsidRPr="00901DF7" w:rsidR="000417FF">
        <w:t xml:space="preserve">and </w:t>
      </w:r>
      <w:r w:rsidRPr="00901DF7" w:rsidR="00D37143">
        <w:t>(3)</w:t>
      </w:r>
      <w:r w:rsidRPr="00901DF7" w:rsidR="007A03D6">
        <w:t xml:space="preserve"> committed the burglary in count 7 with another person present other than an accomplice (</w:t>
      </w:r>
      <w:r w:rsidR="007B112D">
        <w:t>§ </w:t>
      </w:r>
      <w:r w:rsidRPr="00901DF7" w:rsidR="007A03D6">
        <w:t xml:space="preserve">667.5, subd. (c)(21)). </w:t>
      </w:r>
      <w:r w:rsidRPr="00901DF7" w:rsidR="00F9499C">
        <w:t xml:space="preserve"> </w:t>
      </w:r>
      <w:r w:rsidRPr="00901DF7" w:rsidR="00D37143">
        <w:t xml:space="preserve">The jury </w:t>
      </w:r>
      <w:r w:rsidRPr="00901DF7" w:rsidR="007A03D6">
        <w:t>did not find true the multiple victim allegations attached to counts 3 through 6.</w:t>
      </w:r>
      <w:r w:rsidR="00E418EB">
        <w:t xml:space="preserve">  </w:t>
      </w:r>
      <w:r w:rsidR="00380758">
        <w:t>When he committed the offenses against Doe 1 and Doe 2, defendant was on felony probation for a 2013 offense of inflicting corporal injury on an intimate partner.  (</w:t>
      </w:r>
      <w:r w:rsidR="007B112D">
        <w:t>§ </w:t>
      </w:r>
      <w:r w:rsidR="00380758">
        <w:t xml:space="preserve">273.5, subd. (a).) </w:t>
      </w:r>
    </w:p>
    <w:p w:rsidR="00081D7F" w:rsidRPr="00901DF7" w:rsidP="00901DF7" w14:paraId="65E40A33" w14:textId="0854CE6F">
      <w:pPr>
        <w:tabs>
          <w:tab w:val="left" w:pos="1440"/>
        </w:tabs>
        <w:ind w:firstLine="720"/>
      </w:pPr>
      <w:r w:rsidRPr="00901DF7">
        <w:t>Given the nature of counts 3, 4, 5, and 6 as One Strike offenses under section 667.61, t</w:t>
      </w:r>
      <w:r w:rsidRPr="00901DF7" w:rsidR="005A515C">
        <w:t xml:space="preserve">he trial court sentenced </w:t>
      </w:r>
      <w:r w:rsidRPr="00901DF7" w:rsidR="00F7437B">
        <w:t>defendant</w:t>
      </w:r>
      <w:r w:rsidRPr="00901DF7" w:rsidR="005A515C">
        <w:t xml:space="preserve"> to </w:t>
      </w:r>
      <w:r w:rsidRPr="00901DF7" w:rsidR="00BB391C">
        <w:t xml:space="preserve">four </w:t>
      </w:r>
      <w:r w:rsidRPr="00901DF7" w:rsidR="005A515C">
        <w:t xml:space="preserve">consecutive terms of 25 years to life for </w:t>
      </w:r>
      <w:r w:rsidRPr="00901DF7">
        <w:t xml:space="preserve">each of those </w:t>
      </w:r>
      <w:r w:rsidRPr="00901DF7" w:rsidR="005A515C">
        <w:t>counts.</w:t>
      </w:r>
      <w:r w:rsidRPr="00901DF7" w:rsidR="00AC344A">
        <w:t xml:space="preserve"> </w:t>
      </w:r>
      <w:r w:rsidRPr="00901DF7" w:rsidR="00AC7DC9">
        <w:t xml:space="preserve"> </w:t>
      </w:r>
      <w:r w:rsidRPr="00901DF7" w:rsidR="004008C4">
        <w:t>It</w:t>
      </w:r>
      <w:r w:rsidRPr="00901DF7" w:rsidR="00964C7B">
        <w:t xml:space="preserve"> imposed an additional 10 years</w:t>
      </w:r>
      <w:r w:rsidRPr="00901DF7" w:rsidR="00E52AE1">
        <w:t xml:space="preserve"> pursuant to section 12022.53, subdivision (b) and 5 years pursuant to section </w:t>
      </w:r>
      <w:r w:rsidRPr="00901DF7" w:rsidR="00D86401">
        <w:t xml:space="preserve">12022.8, for a total of 15 additional years on counts 3 through 6.  </w:t>
      </w:r>
      <w:r w:rsidRPr="00901DF7" w:rsidR="000A1BB0">
        <w:t xml:space="preserve">With the </w:t>
      </w:r>
      <w:r w:rsidRPr="00901DF7" w:rsidR="00E762EF">
        <w:t xml:space="preserve">remaining determinate </w:t>
      </w:r>
      <w:r w:rsidRPr="00901DF7">
        <w:t>terms</w:t>
      </w:r>
      <w:r w:rsidRPr="00901DF7" w:rsidR="000A1BB0">
        <w:t>, d</w:t>
      </w:r>
      <w:r w:rsidRPr="00901DF7" w:rsidR="00B66AC3">
        <w:t>efendant’s total sentence was 100 years to life plus 86 years two months.</w:t>
      </w:r>
      <w:r w:rsidR="00E418EB">
        <w:t xml:space="preserve">  </w:t>
      </w:r>
      <w:r w:rsidRPr="00901DF7" w:rsidR="004008C4">
        <w:t>T</w:t>
      </w:r>
      <w:r w:rsidRPr="00901DF7" w:rsidR="00E25CF8">
        <w:t xml:space="preserve">he court </w:t>
      </w:r>
      <w:r w:rsidRPr="00901DF7" w:rsidR="004008C4">
        <w:t xml:space="preserve">also </w:t>
      </w:r>
      <w:r w:rsidRPr="00901DF7" w:rsidR="00E25CF8">
        <w:t>imposed fines and fees, including restitution to the two victims</w:t>
      </w:r>
      <w:r w:rsidRPr="00901DF7" w:rsidR="00C70166">
        <w:t>.</w:t>
      </w:r>
      <w:r w:rsidRPr="00901DF7" w:rsidR="0068028A">
        <w:t xml:space="preserve"> </w:t>
      </w:r>
    </w:p>
    <w:p w:rsidR="007F405E" w:rsidRPr="00901DF7" w:rsidP="00901DF7" w14:paraId="581A8706" w14:textId="549EC3A7">
      <w:pPr>
        <w:tabs>
          <w:tab w:val="left" w:pos="1440"/>
        </w:tabs>
        <w:ind w:firstLine="720"/>
      </w:pPr>
      <w:r w:rsidRPr="00901DF7">
        <w:t xml:space="preserve">Defendant appealed, arguing </w:t>
      </w:r>
      <w:r w:rsidRPr="00901DF7" w:rsidR="00F27B75">
        <w:t xml:space="preserve">in part </w:t>
      </w:r>
      <w:r w:rsidRPr="00901DF7">
        <w:t>that</w:t>
      </w:r>
      <w:r w:rsidRPr="00901DF7" w:rsidR="00F27B75">
        <w:t xml:space="preserve"> </w:t>
      </w:r>
      <w:r w:rsidRPr="00901DF7" w:rsidR="002443BC">
        <w:t xml:space="preserve">section 3051’s categorical exclusion of One Strike offenders, which rendered him </w:t>
      </w:r>
      <w:r w:rsidRPr="00901DF7" w:rsidR="00F27B75">
        <w:t>ineligible for a youth offender parole hearing</w:t>
      </w:r>
      <w:r w:rsidRPr="00901DF7" w:rsidR="002443BC">
        <w:t>,</w:t>
      </w:r>
      <w:r w:rsidRPr="00901DF7" w:rsidR="00F27B75">
        <w:t xml:space="preserve"> violated his equal protection rights</w:t>
      </w:r>
      <w:r w:rsidRPr="00901DF7" w:rsidR="00081D7F">
        <w:t xml:space="preserve"> under the Fourteenth Amendment to the federal Constitution</w:t>
      </w:r>
      <w:r w:rsidRPr="00901DF7" w:rsidR="00F27B75">
        <w:t>.</w:t>
      </w:r>
      <w:r w:rsidRPr="00901DF7" w:rsidR="00081D7F">
        <w:t xml:space="preserve">  </w:t>
      </w:r>
      <w:r w:rsidRPr="00901DF7" w:rsidR="001D0EEF">
        <w:t>T</w:t>
      </w:r>
      <w:r w:rsidRPr="00901DF7" w:rsidR="00E203E3">
        <w:rPr>
          <w:szCs w:val="26"/>
        </w:rPr>
        <w:t xml:space="preserve">he </w:t>
      </w:r>
      <w:r w:rsidRPr="00901DF7" w:rsidR="003E50ED">
        <w:rPr>
          <w:szCs w:val="26"/>
        </w:rPr>
        <w:t>Court of Appeal</w:t>
      </w:r>
      <w:r w:rsidRPr="00901DF7" w:rsidR="00081D7F">
        <w:rPr>
          <w:szCs w:val="26"/>
        </w:rPr>
        <w:t xml:space="preserve"> </w:t>
      </w:r>
      <w:r w:rsidRPr="00901DF7" w:rsidR="003E50ED">
        <w:rPr>
          <w:szCs w:val="26"/>
        </w:rPr>
        <w:t xml:space="preserve">rejected defendant’s </w:t>
      </w:r>
      <w:r w:rsidRPr="00901DF7" w:rsidR="004008C4">
        <w:rPr>
          <w:szCs w:val="26"/>
        </w:rPr>
        <w:t xml:space="preserve">claim, finding that </w:t>
      </w:r>
      <w:r w:rsidRPr="00901DF7" w:rsidR="003E50ED">
        <w:rPr>
          <w:szCs w:val="26"/>
        </w:rPr>
        <w:t xml:space="preserve">the “threat of recidivism by violent sexual offenders” </w:t>
      </w:r>
      <w:r w:rsidRPr="00901DF7" w:rsidR="008F385C">
        <w:rPr>
          <w:szCs w:val="26"/>
        </w:rPr>
        <w:t xml:space="preserve">provides </w:t>
      </w:r>
      <w:r w:rsidRPr="00901DF7" w:rsidR="003E50ED">
        <w:rPr>
          <w:szCs w:val="26"/>
        </w:rPr>
        <w:t>a rational basis for the Legislature to exclude One Strike offenders</w:t>
      </w:r>
      <w:r w:rsidRPr="00901DF7" w:rsidR="004008C4">
        <w:rPr>
          <w:szCs w:val="26"/>
        </w:rPr>
        <w:t xml:space="preserve"> from section 3051’s early release provisions</w:t>
      </w:r>
      <w:r w:rsidRPr="00901DF7" w:rsidR="003E50ED">
        <w:rPr>
          <w:szCs w:val="26"/>
        </w:rPr>
        <w:t xml:space="preserve">.  </w:t>
      </w:r>
      <w:r w:rsidRPr="00901DF7" w:rsidR="00DC178F">
        <w:t xml:space="preserve">At least one </w:t>
      </w:r>
      <w:r w:rsidRPr="00901DF7" w:rsidR="002443BC">
        <w:t xml:space="preserve">Court of Appeal </w:t>
      </w:r>
      <w:r w:rsidRPr="00901DF7" w:rsidR="00CC1C58">
        <w:t xml:space="preserve">has reached the opposite conclusion, </w:t>
      </w:r>
      <w:r w:rsidRPr="00901DF7" w:rsidR="002D48B3">
        <w:t>sustain</w:t>
      </w:r>
      <w:r w:rsidRPr="00901DF7" w:rsidR="00CC1C58">
        <w:t>ing</w:t>
      </w:r>
      <w:r w:rsidRPr="00901DF7" w:rsidR="002443BC">
        <w:t xml:space="preserve"> </w:t>
      </w:r>
      <w:r w:rsidRPr="00901DF7" w:rsidR="00DC178F">
        <w:t xml:space="preserve">an </w:t>
      </w:r>
      <w:r w:rsidRPr="00901DF7" w:rsidR="002443BC">
        <w:t>equal protection challenge to section 3051’s exclusion of One Strike offenders.</w:t>
      </w:r>
      <w:r w:rsidRPr="00901DF7" w:rsidR="00CC1BF6">
        <w:t xml:space="preserve">  (</w:t>
      </w:r>
      <w:r w:rsidRPr="00901DF7" w:rsidR="001D0EEF">
        <w:t>See</w:t>
      </w:r>
      <w:r w:rsidRPr="00901DF7" w:rsidR="002D48B3">
        <w:rPr>
          <w:szCs w:val="26"/>
        </w:rPr>
        <w:t xml:space="preserve"> </w:t>
      </w:r>
      <w:r w:rsidRPr="00901DF7" w:rsidR="00CC1BF6">
        <w:rPr>
          <w:i/>
          <w:iCs/>
        </w:rPr>
        <w:t>People v. Edwards</w:t>
      </w:r>
      <w:r w:rsidRPr="00901DF7" w:rsidR="00CC1BF6">
        <w:t xml:space="preserve"> (2019) 34 Cal.App.5th 18</w:t>
      </w:r>
      <w:r w:rsidRPr="00901DF7" w:rsidR="005E3A1E">
        <w:t>3</w:t>
      </w:r>
      <w:r w:rsidRPr="00901DF7" w:rsidR="00CC1BF6">
        <w:t>.)</w:t>
      </w:r>
      <w:r w:rsidRPr="00901DF7" w:rsidR="0075440A">
        <w:t xml:space="preserve">  </w:t>
      </w:r>
    </w:p>
    <w:p w:rsidR="0075440A" w:rsidRPr="00901DF7" w:rsidP="00901DF7" w14:paraId="7687F0F4" w14:textId="34C79572">
      <w:pPr>
        <w:tabs>
          <w:tab w:val="left" w:pos="1440"/>
        </w:tabs>
        <w:ind w:firstLine="720"/>
      </w:pPr>
      <w:r w:rsidRPr="00901DF7">
        <w:t>We granted review to resolve this split of authority.</w:t>
      </w:r>
    </w:p>
    <w:p w:rsidR="00AF3D00" w:rsidRPr="00901DF7" w:rsidP="00901DF7" w14:paraId="29D1D109" w14:textId="18DD22AC">
      <w:pPr>
        <w:pStyle w:val="Heading1"/>
      </w:pPr>
      <w:r w:rsidRPr="00901DF7">
        <w:t>Discussion</w:t>
      </w:r>
    </w:p>
    <w:p w:rsidR="00AF3D00" w:rsidRPr="00901DF7" w:rsidP="00901DF7" w14:paraId="7851BBAC" w14:textId="29B38516">
      <w:pPr>
        <w:pStyle w:val="Heading2"/>
        <w:numPr>
          <w:ilvl w:val="0"/>
          <w:numId w:val="2"/>
        </w:numPr>
      </w:pPr>
      <w:r w:rsidRPr="00901DF7">
        <w:t>Section 3051</w:t>
      </w:r>
      <w:r w:rsidRPr="00901DF7" w:rsidR="00AE4376">
        <w:t xml:space="preserve"> </w:t>
      </w:r>
      <w:r w:rsidRPr="00901DF7">
        <w:tab/>
      </w:r>
    </w:p>
    <w:p w:rsidR="009710D1" w:rsidRPr="00901DF7" w:rsidP="00901DF7" w14:paraId="5CD421C3" w14:textId="444BFD84">
      <w:pPr>
        <w:tabs>
          <w:tab w:val="left" w:pos="720"/>
          <w:tab w:val="left" w:pos="1440"/>
        </w:tabs>
      </w:pPr>
      <w:r w:rsidRPr="00901DF7">
        <w:tab/>
        <w:t xml:space="preserve">Section 3051 </w:t>
      </w:r>
      <w:r w:rsidRPr="00901DF7" w:rsidR="00D73441">
        <w:t>offers</w:t>
      </w:r>
      <w:r w:rsidRPr="00901DF7">
        <w:t xml:space="preserve"> youth offenders committed </w:t>
      </w:r>
      <w:r w:rsidRPr="00901DF7" w:rsidR="00CC1C58">
        <w:t xml:space="preserve">for </w:t>
      </w:r>
      <w:r w:rsidRPr="00901DF7">
        <w:t xml:space="preserve">long prison terms </w:t>
      </w:r>
      <w:r w:rsidRPr="00901DF7" w:rsidR="003B6BD4">
        <w:t>an opportunity for early release on parole.</w:t>
      </w:r>
      <w:r w:rsidRPr="00901DF7" w:rsidR="00515BDE">
        <w:t xml:space="preserve"> </w:t>
      </w:r>
      <w:r w:rsidRPr="00901DF7" w:rsidR="00326C6C">
        <w:t xml:space="preserve"> </w:t>
      </w:r>
      <w:r w:rsidRPr="00901DF7" w:rsidR="001B69FB">
        <w:rPr>
          <w:szCs w:val="26"/>
        </w:rPr>
        <w:t xml:space="preserve">It requires the Board of Parole Hearings </w:t>
      </w:r>
      <w:r w:rsidRPr="00901DF7" w:rsidR="002D02C2">
        <w:rPr>
          <w:szCs w:val="26"/>
        </w:rPr>
        <w:t xml:space="preserve">(Board) </w:t>
      </w:r>
      <w:r w:rsidRPr="00901DF7" w:rsidR="001B69FB">
        <w:rPr>
          <w:szCs w:val="26"/>
        </w:rPr>
        <w:t xml:space="preserve">to conduct a youth offender parole </w:t>
      </w:r>
      <w:r w:rsidRPr="00901DF7" w:rsidR="0054465F">
        <w:rPr>
          <w:szCs w:val="26"/>
        </w:rPr>
        <w:t xml:space="preserve">eligibility </w:t>
      </w:r>
      <w:r w:rsidRPr="00901DF7" w:rsidR="001B69FB">
        <w:rPr>
          <w:szCs w:val="26"/>
        </w:rPr>
        <w:t>hearing to determine if, based on certain criteria involving the “</w:t>
      </w:r>
      <w:r w:rsidRPr="00901DF7" w:rsidR="00E43E15">
        <w:rPr>
          <w:szCs w:val="26"/>
        </w:rPr>
        <w:t>[</w:t>
      </w:r>
      <w:r w:rsidRPr="00901DF7" w:rsidR="001B69FB">
        <w:rPr>
          <w:szCs w:val="26"/>
        </w:rPr>
        <w:t>c</w:t>
      </w:r>
      <w:r w:rsidRPr="00901DF7" w:rsidR="00E43E15">
        <w:rPr>
          <w:szCs w:val="26"/>
        </w:rPr>
        <w:t>]</w:t>
      </w:r>
      <w:r w:rsidRPr="00901DF7" w:rsidR="001B69FB">
        <w:rPr>
          <w:szCs w:val="26"/>
        </w:rPr>
        <w:t>ontrolling offense,”</w:t>
      </w:r>
      <w:r>
        <w:rPr>
          <w:rStyle w:val="FootnoteReference"/>
          <w:szCs w:val="26"/>
        </w:rPr>
        <w:footnoteReference w:id="5"/>
      </w:r>
      <w:r w:rsidRPr="00901DF7" w:rsidR="001B69FB">
        <w:rPr>
          <w:szCs w:val="26"/>
        </w:rPr>
        <w:t xml:space="preserve"> the offender is eligible for parole during the 15th, 20th, or 25th year of incarceration.  (</w:t>
      </w:r>
      <w:r w:rsidR="007B112D">
        <w:rPr>
          <w:szCs w:val="26"/>
        </w:rPr>
        <w:t>§ </w:t>
      </w:r>
      <w:r w:rsidRPr="00901DF7" w:rsidR="001B69FB">
        <w:rPr>
          <w:szCs w:val="26"/>
        </w:rPr>
        <w:t>3051, subd. (b)(1</w:t>
      </w:r>
      <w:r w:rsidRPr="00901DF7" w:rsidR="00A000B7">
        <w:rPr>
          <w:szCs w:val="26"/>
        </w:rPr>
        <w:t>)–(</w:t>
      </w:r>
      <w:r w:rsidRPr="00901DF7" w:rsidR="001B69FB">
        <w:rPr>
          <w:szCs w:val="26"/>
        </w:rPr>
        <w:t xml:space="preserve">4).)  </w:t>
      </w:r>
      <w:r w:rsidRPr="00901DF7" w:rsidR="00D73441">
        <w:rPr>
          <w:szCs w:val="26"/>
        </w:rPr>
        <w:t xml:space="preserve">The </w:t>
      </w:r>
      <w:r w:rsidRPr="00901DF7" w:rsidR="001B69FB">
        <w:rPr>
          <w:szCs w:val="26"/>
        </w:rPr>
        <w:t>hearing must “provide for a meaningful opportunity to obtain release” (</w:t>
      </w:r>
      <w:r w:rsidRPr="00901DF7" w:rsidR="00D73441">
        <w:rPr>
          <w:i/>
          <w:iCs/>
          <w:szCs w:val="26"/>
        </w:rPr>
        <w:t>i</w:t>
      </w:r>
      <w:r w:rsidRPr="00901DF7" w:rsidR="001B69FB">
        <w:rPr>
          <w:i/>
          <w:iCs/>
          <w:szCs w:val="26"/>
        </w:rPr>
        <w:t>d</w:t>
      </w:r>
      <w:r w:rsidRPr="00901DF7" w:rsidR="001B69FB">
        <w:rPr>
          <w:szCs w:val="26"/>
        </w:rPr>
        <w:t>., subd. (e))</w:t>
      </w:r>
      <w:r w:rsidRPr="00901DF7" w:rsidR="00D73441">
        <w:rPr>
          <w:szCs w:val="26"/>
        </w:rPr>
        <w:t>, and include</w:t>
      </w:r>
      <w:r w:rsidRPr="00901DF7" w:rsidR="004C2A73">
        <w:rPr>
          <w:szCs w:val="26"/>
        </w:rPr>
        <w:t>s</w:t>
      </w:r>
      <w:r w:rsidRPr="00901DF7" w:rsidR="00D73441">
        <w:rPr>
          <w:szCs w:val="26"/>
        </w:rPr>
        <w:t xml:space="preserve"> an assessment of the offender’s “</w:t>
      </w:r>
      <w:r w:rsidRPr="00901DF7" w:rsidR="001B69FB">
        <w:rPr>
          <w:szCs w:val="26"/>
        </w:rPr>
        <w:t xml:space="preserve">growth and maturity” </w:t>
      </w:r>
      <w:r w:rsidRPr="00901DF7" w:rsidR="004C2A73">
        <w:rPr>
          <w:szCs w:val="26"/>
        </w:rPr>
        <w:t xml:space="preserve">that </w:t>
      </w:r>
      <w:r w:rsidRPr="00901DF7" w:rsidR="00FD2BDF">
        <w:rPr>
          <w:szCs w:val="26"/>
        </w:rPr>
        <w:t>“tak</w:t>
      </w:r>
      <w:r w:rsidRPr="00901DF7" w:rsidR="004C2A73">
        <w:rPr>
          <w:szCs w:val="26"/>
        </w:rPr>
        <w:t>e</w:t>
      </w:r>
      <w:r w:rsidRPr="00901DF7" w:rsidR="00FD2BDF">
        <w:rPr>
          <w:szCs w:val="26"/>
        </w:rPr>
        <w:t>[</w:t>
      </w:r>
      <w:r w:rsidRPr="00901DF7" w:rsidR="004C2A73">
        <w:rPr>
          <w:szCs w:val="26"/>
        </w:rPr>
        <w:t>s</w:t>
      </w:r>
      <w:r w:rsidRPr="00901DF7" w:rsidR="00FD2BDF">
        <w:rPr>
          <w:szCs w:val="26"/>
        </w:rPr>
        <w:t>]</w:t>
      </w:r>
      <w:r w:rsidRPr="00901DF7" w:rsidR="001B69FB">
        <w:rPr>
          <w:szCs w:val="26"/>
        </w:rPr>
        <w:t xml:space="preserve"> into consideration the diminished culpability of youth as compared to that of adults</w:t>
      </w:r>
      <w:r w:rsidRPr="00901DF7" w:rsidR="00FD2BDF">
        <w:rPr>
          <w:szCs w:val="26"/>
        </w:rPr>
        <w:t xml:space="preserve"> [and] </w:t>
      </w:r>
      <w:r w:rsidRPr="00901DF7" w:rsidR="001B69FB">
        <w:rPr>
          <w:szCs w:val="26"/>
        </w:rPr>
        <w:t>the hallmark features of youth</w:t>
      </w:r>
      <w:r w:rsidRPr="00901DF7" w:rsidR="00D73441">
        <w:rPr>
          <w:szCs w:val="26"/>
        </w:rPr>
        <w:t xml:space="preserve">.” </w:t>
      </w:r>
      <w:r w:rsidRPr="00901DF7" w:rsidR="001B69FB">
        <w:rPr>
          <w:szCs w:val="26"/>
        </w:rPr>
        <w:t xml:space="preserve"> (</w:t>
      </w:r>
      <w:r w:rsidRPr="00901DF7" w:rsidR="00247926">
        <w:rPr>
          <w:i/>
          <w:iCs/>
          <w:szCs w:val="26"/>
        </w:rPr>
        <w:t>Id</w:t>
      </w:r>
      <w:r w:rsidRPr="00901DF7" w:rsidR="00247926">
        <w:rPr>
          <w:szCs w:val="26"/>
        </w:rPr>
        <w:t>.</w:t>
      </w:r>
      <w:r w:rsidRPr="00901DF7" w:rsidR="001B69FB">
        <w:rPr>
          <w:szCs w:val="26"/>
        </w:rPr>
        <w:t>, subd. (f)(1)</w:t>
      </w:r>
      <w:r w:rsidRPr="00901DF7" w:rsidR="00156940">
        <w:rPr>
          <w:szCs w:val="26"/>
        </w:rPr>
        <w:t xml:space="preserve">; </w:t>
      </w:r>
      <w:r w:rsidR="00C126CB">
        <w:rPr>
          <w:szCs w:val="26"/>
        </w:rPr>
        <w:t xml:space="preserve">see </w:t>
      </w:r>
      <w:r w:rsidRPr="00901DF7" w:rsidR="00156940">
        <w:rPr>
          <w:szCs w:val="26"/>
        </w:rPr>
        <w:t>15 Cal. Code Regs. §</w:t>
      </w:r>
      <w:r w:rsidR="007B112D">
        <w:rPr>
          <w:szCs w:val="26"/>
        </w:rPr>
        <w:t>§ </w:t>
      </w:r>
      <w:r w:rsidRPr="00901DF7" w:rsidR="00156940">
        <w:rPr>
          <w:szCs w:val="26"/>
        </w:rPr>
        <w:t>2440–2448</w:t>
      </w:r>
      <w:r w:rsidRPr="00901DF7" w:rsidR="00200B90">
        <w:rPr>
          <w:szCs w:val="26"/>
        </w:rPr>
        <w:t xml:space="preserve">; </w:t>
      </w:r>
      <w:r w:rsidR="007B112D">
        <w:rPr>
          <w:szCs w:val="26"/>
        </w:rPr>
        <w:t>§ </w:t>
      </w:r>
      <w:r w:rsidRPr="00901DF7" w:rsidR="00200B90">
        <w:rPr>
          <w:szCs w:val="26"/>
        </w:rPr>
        <w:t>4801, subd. (c)</w:t>
      </w:r>
      <w:r w:rsidRPr="00901DF7" w:rsidR="00156940">
        <w:rPr>
          <w:szCs w:val="26"/>
        </w:rPr>
        <w:t>.</w:t>
      </w:r>
      <w:r w:rsidRPr="00901DF7" w:rsidR="001B69FB">
        <w:rPr>
          <w:szCs w:val="26"/>
        </w:rPr>
        <w:t xml:space="preserve">) </w:t>
      </w:r>
    </w:p>
    <w:p w:rsidR="00CF0261" w:rsidRPr="00901DF7" w:rsidP="00901DF7" w14:paraId="6A4189CF" w14:textId="0D4C744D">
      <w:pPr>
        <w:tabs>
          <w:tab w:val="left" w:pos="720"/>
          <w:tab w:val="left" w:pos="1440"/>
        </w:tabs>
      </w:pPr>
      <w:r w:rsidRPr="00901DF7">
        <w:tab/>
      </w:r>
      <w:r w:rsidRPr="00901DF7" w:rsidR="00DA15D8">
        <w:t xml:space="preserve">As we recently explained in </w:t>
      </w:r>
      <w:r w:rsidRPr="00901DF7" w:rsidR="00A033C7">
        <w:rPr>
          <w:i/>
          <w:iCs/>
        </w:rPr>
        <w:t>H</w:t>
      </w:r>
      <w:r w:rsidRPr="00901DF7" w:rsidR="00DA15D8">
        <w:rPr>
          <w:i/>
          <w:iCs/>
        </w:rPr>
        <w:t>ardin</w:t>
      </w:r>
      <w:r w:rsidR="00D46058">
        <w:t xml:space="preserve">, </w:t>
      </w:r>
      <w:r w:rsidRPr="0014471D" w:rsidR="00D46058">
        <w:rPr>
          <w:i/>
          <w:iCs/>
        </w:rPr>
        <w:t>supra</w:t>
      </w:r>
      <w:r w:rsidR="00D46058">
        <w:t>,</w:t>
      </w:r>
      <w:r w:rsidRPr="00901DF7" w:rsidR="00A033C7">
        <w:t xml:space="preserve"> 15 Cal.5</w:t>
      </w:r>
      <w:r w:rsidR="00871E69">
        <w:t xml:space="preserve">th </w:t>
      </w:r>
      <w:r w:rsidR="00D46058">
        <w:t>at pages</w:t>
      </w:r>
      <w:r w:rsidRPr="00901DF7" w:rsidR="004276CE">
        <w:t xml:space="preserve"> 843–</w:t>
      </w:r>
      <w:r w:rsidRPr="00901DF7" w:rsidR="003C5E75">
        <w:t>845</w:t>
      </w:r>
      <w:r w:rsidRPr="00901DF7" w:rsidR="00A033C7">
        <w:t>,</w:t>
      </w:r>
      <w:r w:rsidRPr="00901DF7" w:rsidR="00DA15D8">
        <w:t xml:space="preserve"> the </w:t>
      </w:r>
      <w:r w:rsidRPr="00901DF7" w:rsidR="00247926">
        <w:t xml:space="preserve">Legislature </w:t>
      </w:r>
      <w:r w:rsidR="00D46058">
        <w:t xml:space="preserve">initially </w:t>
      </w:r>
      <w:r w:rsidRPr="00901DF7" w:rsidR="00247926">
        <w:t xml:space="preserve">crafted </w:t>
      </w:r>
      <w:r w:rsidRPr="00901DF7" w:rsidR="0060430C">
        <w:t>this</w:t>
      </w:r>
      <w:r w:rsidRPr="00901DF7" w:rsidR="00972552">
        <w:t xml:space="preserve"> </w:t>
      </w:r>
      <w:r w:rsidRPr="00901DF7" w:rsidR="00CC1C58">
        <w:t xml:space="preserve">early </w:t>
      </w:r>
      <w:r w:rsidRPr="00901DF7" w:rsidR="00972552">
        <w:t>parole eligibility mechanism for youth offenders</w:t>
      </w:r>
      <w:r w:rsidRPr="00901DF7" w:rsidR="00F14421">
        <w:t xml:space="preserve"> </w:t>
      </w:r>
      <w:r w:rsidR="00D46058">
        <w:t>in response to</w:t>
      </w:r>
      <w:r w:rsidRPr="00901DF7" w:rsidR="001E044D">
        <w:t xml:space="preserve"> </w:t>
      </w:r>
      <w:r w:rsidRPr="00901DF7" w:rsidR="00E36A30">
        <w:rPr>
          <w:i/>
          <w:iCs/>
        </w:rPr>
        <w:t>Graham</w:t>
      </w:r>
      <w:r w:rsidRPr="00901DF7" w:rsidR="001421AA">
        <w:t>,</w:t>
      </w:r>
      <w:r w:rsidRPr="00901DF7" w:rsidR="001421AA">
        <w:rPr>
          <w:i/>
          <w:iCs/>
        </w:rPr>
        <w:t xml:space="preserve"> supra</w:t>
      </w:r>
      <w:r w:rsidRPr="00901DF7" w:rsidR="001421AA">
        <w:t>,</w:t>
      </w:r>
      <w:r w:rsidRPr="00901DF7" w:rsidR="001421AA">
        <w:rPr>
          <w:i/>
          <w:iCs/>
        </w:rPr>
        <w:t xml:space="preserve"> </w:t>
      </w:r>
      <w:r w:rsidRPr="00901DF7" w:rsidR="00AA6222">
        <w:t>560 U.S. 48</w:t>
      </w:r>
      <w:r w:rsidRPr="00901DF7" w:rsidR="00802642">
        <w:t>,</w:t>
      </w:r>
      <w:r w:rsidRPr="00901DF7" w:rsidR="00FD1787">
        <w:t xml:space="preserve"> </w:t>
      </w:r>
      <w:r w:rsidRPr="00901DF7" w:rsidR="00E36A30">
        <w:rPr>
          <w:i/>
          <w:iCs/>
        </w:rPr>
        <w:t>Miller</w:t>
      </w:r>
      <w:r w:rsidRPr="00901DF7" w:rsidR="00AA6222">
        <w:rPr>
          <w:i/>
          <w:iCs/>
        </w:rPr>
        <w:t xml:space="preserve"> v. Alabama</w:t>
      </w:r>
      <w:r w:rsidRPr="00901DF7" w:rsidR="00AA6222">
        <w:t xml:space="preserve"> (2012) 567 U.S. 460 (</w:t>
      </w:r>
      <w:r w:rsidRPr="00901DF7" w:rsidR="00AA6222">
        <w:rPr>
          <w:i/>
          <w:iCs/>
        </w:rPr>
        <w:t>Miller</w:t>
      </w:r>
      <w:r w:rsidRPr="00901DF7" w:rsidR="00AA6222">
        <w:t>)</w:t>
      </w:r>
      <w:r w:rsidR="00C126CB">
        <w:t>,</w:t>
      </w:r>
      <w:r w:rsidRPr="00901DF7" w:rsidR="00AA6222">
        <w:t xml:space="preserve"> </w:t>
      </w:r>
      <w:r w:rsidRPr="00901DF7" w:rsidR="001E044D">
        <w:t>and</w:t>
      </w:r>
      <w:r w:rsidRPr="00901DF7" w:rsidR="00E6798D">
        <w:t xml:space="preserve"> </w:t>
      </w:r>
      <w:r w:rsidRPr="00901DF7" w:rsidR="00AA6222">
        <w:rPr>
          <w:i/>
          <w:iCs/>
        </w:rPr>
        <w:t xml:space="preserve">People v. </w:t>
      </w:r>
      <w:r w:rsidRPr="00901DF7" w:rsidR="00E6798D">
        <w:rPr>
          <w:i/>
          <w:iCs/>
        </w:rPr>
        <w:t>Caballero</w:t>
      </w:r>
      <w:r w:rsidRPr="00901DF7" w:rsidR="00AA6222">
        <w:t xml:space="preserve"> (2012) 55 Cal.4th 262 (</w:t>
      </w:r>
      <w:r w:rsidRPr="00901DF7" w:rsidR="00AA6222">
        <w:rPr>
          <w:i/>
          <w:iCs/>
        </w:rPr>
        <w:t>Caballero</w:t>
      </w:r>
      <w:r w:rsidRPr="00901DF7" w:rsidR="00AA6222">
        <w:t>)</w:t>
      </w:r>
      <w:r w:rsidRPr="00901DF7" w:rsidR="00802642">
        <w:t>.</w:t>
      </w:r>
      <w:r w:rsidRPr="00901DF7" w:rsidR="00E36A30">
        <w:t xml:space="preserve">  </w:t>
      </w:r>
      <w:r w:rsidRPr="00901DF7" w:rsidR="0038722A">
        <w:t xml:space="preserve">(Stats. 2013, ch. 312, </w:t>
      </w:r>
      <w:r w:rsidR="007B112D">
        <w:t>§ </w:t>
      </w:r>
      <w:r w:rsidRPr="00901DF7" w:rsidR="0038722A">
        <w:t xml:space="preserve">1; see generally </w:t>
      </w:r>
      <w:r w:rsidRPr="00901DF7" w:rsidR="0000391A">
        <w:rPr>
          <w:i/>
          <w:iCs/>
        </w:rPr>
        <w:t>People v. F</w:t>
      </w:r>
      <w:r w:rsidRPr="00901DF7" w:rsidR="0038722A">
        <w:rPr>
          <w:i/>
          <w:iCs/>
        </w:rPr>
        <w:t>ranklin</w:t>
      </w:r>
      <w:r w:rsidRPr="00901DF7" w:rsidR="0000391A">
        <w:t xml:space="preserve"> (2016) </w:t>
      </w:r>
      <w:r w:rsidRPr="00901DF7" w:rsidR="0038722A">
        <w:t xml:space="preserve">63 Cal.4th </w:t>
      </w:r>
      <w:r w:rsidRPr="00901DF7" w:rsidR="0000391A">
        <w:t>261,</w:t>
      </w:r>
      <w:r w:rsidR="008C0510">
        <w:t xml:space="preserve"> </w:t>
      </w:r>
      <w:r w:rsidRPr="00901DF7" w:rsidR="0038722A">
        <w:t>277</w:t>
      </w:r>
      <w:r w:rsidRPr="00901DF7" w:rsidR="0000391A">
        <w:t xml:space="preserve"> (</w:t>
      </w:r>
      <w:r w:rsidRPr="00901DF7" w:rsidR="0000391A">
        <w:rPr>
          <w:i/>
          <w:iCs/>
        </w:rPr>
        <w:t>Franklin</w:t>
      </w:r>
      <w:r w:rsidRPr="00901DF7" w:rsidR="0000391A">
        <w:t>)</w:t>
      </w:r>
      <w:r w:rsidRPr="00901DF7" w:rsidR="0038722A">
        <w:t xml:space="preserve">.) </w:t>
      </w:r>
      <w:r w:rsidRPr="00901DF7" w:rsidR="00372A2C">
        <w:t xml:space="preserve"> </w:t>
      </w:r>
      <w:r w:rsidRPr="00901DF7" w:rsidR="00A0262C">
        <w:t xml:space="preserve">In </w:t>
      </w:r>
      <w:r w:rsidRPr="00901DF7" w:rsidR="00A0262C">
        <w:rPr>
          <w:i/>
          <w:iCs/>
        </w:rPr>
        <w:t>Graham</w:t>
      </w:r>
      <w:r w:rsidRPr="00901DF7" w:rsidR="00A0262C">
        <w:t xml:space="preserve">, the high court </w:t>
      </w:r>
      <w:r w:rsidRPr="00901DF7" w:rsidR="005F0A72">
        <w:t>held that the Eighth Amendment</w:t>
      </w:r>
      <w:r w:rsidRPr="00901DF7" w:rsidR="00950D52">
        <w:t xml:space="preserve"> protection against cruel and unusual punishment</w:t>
      </w:r>
      <w:r w:rsidRPr="00901DF7" w:rsidR="005F0A72">
        <w:t xml:space="preserve"> prohibits </w:t>
      </w:r>
      <w:r w:rsidRPr="00901DF7" w:rsidR="00247926">
        <w:t xml:space="preserve">life without the possibility of parole (LWOP) </w:t>
      </w:r>
      <w:r w:rsidRPr="00901DF7" w:rsidR="005F0A72">
        <w:t>sentences for juveniles who commit nonhomicide crimes</w:t>
      </w:r>
      <w:r w:rsidRPr="00901DF7" w:rsidR="00FB0C36">
        <w:t xml:space="preserve"> before the age of 18.  </w:t>
      </w:r>
      <w:r w:rsidRPr="00901DF7" w:rsidR="002E3A2C">
        <w:t>(</w:t>
      </w:r>
      <w:r w:rsidRPr="00901DF7" w:rsidR="002E3A2C">
        <w:rPr>
          <w:i/>
          <w:iCs/>
        </w:rPr>
        <w:t>Graham</w:t>
      </w:r>
      <w:r w:rsidRPr="00901DF7" w:rsidR="002E3A2C">
        <w:t xml:space="preserve">, </w:t>
      </w:r>
      <w:r w:rsidRPr="00901DF7" w:rsidR="002E3A2C">
        <w:rPr>
          <w:i/>
          <w:iCs/>
        </w:rPr>
        <w:t>supra</w:t>
      </w:r>
      <w:r w:rsidRPr="00901DF7" w:rsidR="002E3A2C">
        <w:t xml:space="preserve">, 560 U.S. at p. 82.) </w:t>
      </w:r>
      <w:r w:rsidRPr="00901DF7">
        <w:t xml:space="preserve"> </w:t>
      </w:r>
      <w:r w:rsidRPr="00901DF7" w:rsidR="00526E52">
        <w:t xml:space="preserve">In reaching this conclusion, the court recognized that </w:t>
      </w:r>
      <w:r w:rsidRPr="00901DF7" w:rsidR="00F456A3">
        <w:t xml:space="preserve">“defendants who do not kill, intend to kill, or foresee that life will be taken are categorically less deserving of the most serious forms of punishment than </w:t>
      </w:r>
      <w:r w:rsidRPr="00901DF7" w:rsidR="008814C0">
        <w:t xml:space="preserve">are </w:t>
      </w:r>
      <w:r w:rsidRPr="00901DF7" w:rsidR="00F456A3">
        <w:t>murderers</w:t>
      </w:r>
      <w:r w:rsidRPr="00901DF7" w:rsidR="002E3A2C">
        <w:t>,</w:t>
      </w:r>
      <w:r w:rsidRPr="00901DF7" w:rsidR="00F456A3">
        <w:t xml:space="preserve">” </w:t>
      </w:r>
      <w:r w:rsidRPr="00901DF7" w:rsidR="002E3A2C">
        <w:t>and that h</w:t>
      </w:r>
      <w:r w:rsidRPr="00901DF7" w:rsidR="00F456A3">
        <w:t>omicide offenses differ “in a moral sense” from nonhomicide offenses in terms of “</w:t>
      </w:r>
      <w:r w:rsidR="0074534C">
        <w:t> </w:t>
      </w:r>
      <w:r w:rsidRPr="00901DF7" w:rsidR="00A57218">
        <w:t>‘</w:t>
      </w:r>
      <w:r w:rsidRPr="00901DF7" w:rsidR="00F456A3">
        <w:t xml:space="preserve">their </w:t>
      </w:r>
      <w:r w:rsidRPr="00901DF7" w:rsidR="00A57218">
        <w:t>“</w:t>
      </w:r>
      <w:r w:rsidRPr="00901DF7" w:rsidR="00F456A3">
        <w:t>severity and irrevocability</w:t>
      </w:r>
      <w:r w:rsidRPr="00901DF7" w:rsidR="0001438E">
        <w:t>.</w:t>
      </w:r>
      <w:r w:rsidRPr="00901DF7" w:rsidR="00A57218">
        <w:t>”</w:t>
      </w:r>
      <w:r w:rsidR="008C0510">
        <w:t> </w:t>
      </w:r>
      <w:r w:rsidRPr="00901DF7" w:rsidR="00F456A3">
        <w:t>’</w:t>
      </w:r>
      <w:r w:rsidR="008C0510">
        <w:t> </w:t>
      </w:r>
      <w:r w:rsidRPr="00901DF7" w:rsidR="00F456A3">
        <w:t>”</w:t>
      </w:r>
      <w:r w:rsidRPr="00901DF7" w:rsidR="002E3A2C">
        <w:t xml:space="preserve"> </w:t>
      </w:r>
      <w:r w:rsidRPr="00901DF7">
        <w:t xml:space="preserve"> </w:t>
      </w:r>
      <w:r w:rsidRPr="00901DF7" w:rsidR="002E3A2C">
        <w:t>(</w:t>
      </w:r>
      <w:r w:rsidRPr="00901DF7" w:rsidR="002E3A2C">
        <w:rPr>
          <w:i/>
          <w:iCs/>
        </w:rPr>
        <w:t>Id</w:t>
      </w:r>
      <w:r w:rsidRPr="00901DF7" w:rsidR="002E3A2C">
        <w:t xml:space="preserve">. at p. 69.) </w:t>
      </w:r>
      <w:r w:rsidRPr="00901DF7" w:rsidR="0001438E">
        <w:t xml:space="preserve"> </w:t>
      </w:r>
      <w:r w:rsidRPr="00901DF7" w:rsidR="005945C3">
        <w:t xml:space="preserve">The high court concluded that </w:t>
      </w:r>
      <w:r w:rsidRPr="00901DF7" w:rsidR="00247926">
        <w:t xml:space="preserve">although </w:t>
      </w:r>
      <w:r w:rsidRPr="00901DF7" w:rsidR="005945C3">
        <w:t>a state need not “guarantee eventual freedom” to such juvenile offenders, it must provide “some meaningful opportunity to obtain release based on demonstrated maturity and rehabilitation.”  (</w:t>
      </w:r>
      <w:r w:rsidRPr="00901DF7" w:rsidR="005945C3">
        <w:rPr>
          <w:i/>
          <w:iCs/>
        </w:rPr>
        <w:t>Id</w:t>
      </w:r>
      <w:r w:rsidRPr="00901DF7" w:rsidR="005945C3">
        <w:t xml:space="preserve">. at p. 75.) </w:t>
      </w:r>
      <w:r w:rsidRPr="00901DF7">
        <w:t xml:space="preserve"> </w:t>
      </w:r>
    </w:p>
    <w:p w:rsidR="002E69D7" w:rsidRPr="00901DF7" w:rsidP="00901DF7" w14:paraId="26E02DC2" w14:textId="63AF454A">
      <w:pPr>
        <w:tabs>
          <w:tab w:val="left" w:pos="720"/>
          <w:tab w:val="left" w:pos="1440"/>
        </w:tabs>
        <w:rPr>
          <w:szCs w:val="26"/>
        </w:rPr>
      </w:pPr>
      <w:r w:rsidRPr="00901DF7">
        <w:tab/>
      </w:r>
      <w:r w:rsidRPr="00901DF7" w:rsidR="00A75881">
        <w:t>T</w:t>
      </w:r>
      <w:r w:rsidRPr="00901DF7" w:rsidR="001A31F5">
        <w:t>wo years later</w:t>
      </w:r>
      <w:r w:rsidRPr="00901DF7">
        <w:t>, i</w:t>
      </w:r>
      <w:r w:rsidRPr="00901DF7" w:rsidR="005C1F29">
        <w:t xml:space="preserve">n </w:t>
      </w:r>
      <w:r w:rsidRPr="00901DF7" w:rsidR="005C1F29">
        <w:rPr>
          <w:i/>
          <w:iCs/>
        </w:rPr>
        <w:t>Miller</w:t>
      </w:r>
      <w:r w:rsidRPr="00901DF7" w:rsidR="005C1F29">
        <w:t xml:space="preserve">, </w:t>
      </w:r>
      <w:r w:rsidR="00380758">
        <w:t xml:space="preserve">a homicide case involving two 14-year-old </w:t>
      </w:r>
      <w:r w:rsidR="005B1099">
        <w:t xml:space="preserve">defendants, </w:t>
      </w:r>
      <w:r w:rsidRPr="00901DF7" w:rsidR="005C1F29">
        <w:t>t</w:t>
      </w:r>
      <w:r w:rsidRPr="00901DF7" w:rsidR="00247926">
        <w:t>he</w:t>
      </w:r>
      <w:r w:rsidRPr="00901DF7" w:rsidR="007A0ECA">
        <w:t xml:space="preserve"> high</w:t>
      </w:r>
      <w:r w:rsidRPr="00901DF7" w:rsidR="00247926">
        <w:t xml:space="preserve"> court </w:t>
      </w:r>
      <w:r w:rsidRPr="00901DF7" w:rsidR="007A0ECA">
        <w:t>held</w:t>
      </w:r>
      <w:r w:rsidRPr="00901DF7" w:rsidR="00247926">
        <w:t xml:space="preserve"> </w:t>
      </w:r>
      <w:r w:rsidRPr="00901DF7" w:rsidR="007A0ECA">
        <w:t>“</w:t>
      </w:r>
      <w:r w:rsidRPr="00901DF7" w:rsidR="005C0BDC">
        <w:rPr>
          <w:szCs w:val="26"/>
        </w:rPr>
        <w:t>that imposition of a State’s most severe penalties on juvenile offenders cannot proceed as though they were not children.”  (</w:t>
      </w:r>
      <w:r w:rsidRPr="00901DF7" w:rsidR="005C0BDC">
        <w:rPr>
          <w:i/>
          <w:iCs/>
          <w:szCs w:val="26"/>
        </w:rPr>
        <w:t>Miller</w:t>
      </w:r>
      <w:r w:rsidRPr="00901DF7" w:rsidR="005C0BDC">
        <w:rPr>
          <w:szCs w:val="26"/>
        </w:rPr>
        <w:t xml:space="preserve">, </w:t>
      </w:r>
      <w:r w:rsidRPr="00901DF7" w:rsidR="005C0BDC">
        <w:rPr>
          <w:i/>
          <w:iCs/>
          <w:szCs w:val="26"/>
        </w:rPr>
        <w:t>supra</w:t>
      </w:r>
      <w:r w:rsidRPr="00901DF7" w:rsidR="005C0BDC">
        <w:rPr>
          <w:szCs w:val="26"/>
        </w:rPr>
        <w:t>, 567 U.S. at p. 474.)</w:t>
      </w:r>
      <w:r w:rsidRPr="00901DF7" w:rsidR="005322C5">
        <w:rPr>
          <w:szCs w:val="26"/>
        </w:rPr>
        <w:t xml:space="preserve">  Although rejecting a categorical bar on LWOP sentences for juveniles</w:t>
      </w:r>
      <w:r w:rsidR="00D46058">
        <w:rPr>
          <w:szCs w:val="26"/>
        </w:rPr>
        <w:t xml:space="preserve"> convicted of homicide offenses</w:t>
      </w:r>
      <w:r w:rsidRPr="00901DF7" w:rsidR="005322C5">
        <w:rPr>
          <w:szCs w:val="26"/>
        </w:rPr>
        <w:t xml:space="preserve">, </w:t>
      </w:r>
      <w:r w:rsidRPr="00901DF7" w:rsidR="00B43DBB">
        <w:rPr>
          <w:szCs w:val="26"/>
        </w:rPr>
        <w:t xml:space="preserve">the court equated </w:t>
      </w:r>
      <w:r w:rsidRPr="00901DF7" w:rsidR="00D752B5">
        <w:rPr>
          <w:szCs w:val="26"/>
        </w:rPr>
        <w:t xml:space="preserve">such </w:t>
      </w:r>
      <w:r w:rsidRPr="00901DF7" w:rsidR="00FF5B72">
        <w:rPr>
          <w:szCs w:val="26"/>
        </w:rPr>
        <w:t xml:space="preserve">severe </w:t>
      </w:r>
      <w:r w:rsidRPr="00901DF7" w:rsidR="00B43DBB">
        <w:rPr>
          <w:szCs w:val="26"/>
        </w:rPr>
        <w:t xml:space="preserve">sentences </w:t>
      </w:r>
      <w:r w:rsidR="00D46058">
        <w:rPr>
          <w:szCs w:val="26"/>
        </w:rPr>
        <w:t xml:space="preserve">for juveniles </w:t>
      </w:r>
      <w:r w:rsidRPr="00901DF7" w:rsidR="00B43DBB">
        <w:rPr>
          <w:szCs w:val="26"/>
        </w:rPr>
        <w:t xml:space="preserve">to the death penalty </w:t>
      </w:r>
      <w:r w:rsidRPr="00901DF7" w:rsidR="005B0C99">
        <w:rPr>
          <w:szCs w:val="26"/>
        </w:rPr>
        <w:t xml:space="preserve">and reaffirmed </w:t>
      </w:r>
      <w:r w:rsidRPr="00901DF7" w:rsidR="00FF5B72">
        <w:rPr>
          <w:szCs w:val="26"/>
        </w:rPr>
        <w:t xml:space="preserve">the principle </w:t>
      </w:r>
      <w:r w:rsidRPr="00901DF7" w:rsidR="005B0C99">
        <w:rPr>
          <w:szCs w:val="26"/>
        </w:rPr>
        <w:t>that i</w:t>
      </w:r>
      <w:r w:rsidRPr="00901DF7" w:rsidR="00B43DBB">
        <w:rPr>
          <w:szCs w:val="26"/>
        </w:rPr>
        <w:t>ndividualized sentencing</w:t>
      </w:r>
      <w:r w:rsidRPr="00901DF7" w:rsidR="00EB50A9">
        <w:rPr>
          <w:szCs w:val="26"/>
        </w:rPr>
        <w:t xml:space="preserve"> when meting out a state’s harshest penalties</w:t>
      </w:r>
      <w:r w:rsidRPr="00901DF7" w:rsidR="005B0C99">
        <w:rPr>
          <w:szCs w:val="26"/>
        </w:rPr>
        <w:t xml:space="preserve"> is </w:t>
      </w:r>
      <w:r w:rsidRPr="00901DF7" w:rsidR="00763A4F">
        <w:rPr>
          <w:szCs w:val="26"/>
        </w:rPr>
        <w:t xml:space="preserve">not only </w:t>
      </w:r>
      <w:r w:rsidRPr="00901DF7" w:rsidR="005B0C99">
        <w:rPr>
          <w:szCs w:val="26"/>
        </w:rPr>
        <w:t>paramount</w:t>
      </w:r>
      <w:r w:rsidRPr="00901DF7" w:rsidR="00763A4F">
        <w:rPr>
          <w:szCs w:val="26"/>
        </w:rPr>
        <w:t xml:space="preserve"> but </w:t>
      </w:r>
      <w:r w:rsidR="009359E8">
        <w:rPr>
          <w:szCs w:val="26"/>
        </w:rPr>
        <w:t xml:space="preserve">is </w:t>
      </w:r>
      <w:r w:rsidRPr="00901DF7" w:rsidR="00763A4F">
        <w:rPr>
          <w:szCs w:val="26"/>
        </w:rPr>
        <w:t>compelled by the Eighth Amendment</w:t>
      </w:r>
      <w:r w:rsidRPr="00901DF7" w:rsidR="00B43DBB">
        <w:rPr>
          <w:szCs w:val="26"/>
        </w:rPr>
        <w:t xml:space="preserve">. </w:t>
      </w:r>
      <w:r w:rsidRPr="00901DF7" w:rsidR="00301A6F">
        <w:rPr>
          <w:szCs w:val="26"/>
        </w:rPr>
        <w:t xml:space="preserve"> (</w:t>
      </w:r>
      <w:r w:rsidR="009359E8">
        <w:rPr>
          <w:i/>
          <w:iCs/>
          <w:szCs w:val="26"/>
        </w:rPr>
        <w:t>Miller</w:t>
      </w:r>
      <w:r w:rsidR="009359E8">
        <w:rPr>
          <w:szCs w:val="26"/>
        </w:rPr>
        <w:t>,</w:t>
      </w:r>
      <w:r w:rsidRPr="00901DF7" w:rsidR="00301A6F">
        <w:rPr>
          <w:szCs w:val="26"/>
        </w:rPr>
        <w:t xml:space="preserve"> at </w:t>
      </w:r>
      <w:r w:rsidRPr="00901DF7" w:rsidR="009623CB">
        <w:rPr>
          <w:szCs w:val="26"/>
        </w:rPr>
        <w:t>p</w:t>
      </w:r>
      <w:r w:rsidRPr="00901DF7" w:rsidR="00301A6F">
        <w:rPr>
          <w:szCs w:val="26"/>
        </w:rPr>
        <w:t xml:space="preserve">p. </w:t>
      </w:r>
      <w:r w:rsidRPr="00901DF7" w:rsidR="009623CB">
        <w:rPr>
          <w:szCs w:val="26"/>
        </w:rPr>
        <w:t>474–475</w:t>
      </w:r>
      <w:r w:rsidRPr="00901DF7" w:rsidR="00301A6F">
        <w:rPr>
          <w:szCs w:val="26"/>
        </w:rPr>
        <w:t xml:space="preserve">.) </w:t>
      </w:r>
      <w:r w:rsidRPr="00901DF7" w:rsidR="00CE64A2">
        <w:rPr>
          <w:szCs w:val="26"/>
        </w:rPr>
        <w:t xml:space="preserve"> </w:t>
      </w:r>
      <w:r w:rsidRPr="00901DF7">
        <w:rPr>
          <w:szCs w:val="26"/>
        </w:rPr>
        <w:t xml:space="preserve">Accordingly, before imposing </w:t>
      </w:r>
      <w:r w:rsidRPr="00901DF7" w:rsidR="00FE3E84">
        <w:rPr>
          <w:szCs w:val="26"/>
        </w:rPr>
        <w:t xml:space="preserve">an LWOP sentence on </w:t>
      </w:r>
      <w:r w:rsidRPr="00901DF7">
        <w:rPr>
          <w:szCs w:val="26"/>
        </w:rPr>
        <w:t>a juvenile</w:t>
      </w:r>
      <w:r w:rsidR="00B7581F">
        <w:rPr>
          <w:szCs w:val="26"/>
        </w:rPr>
        <w:t xml:space="preserve"> convicted of a homicide offense</w:t>
      </w:r>
      <w:r w:rsidRPr="00901DF7">
        <w:rPr>
          <w:szCs w:val="26"/>
        </w:rPr>
        <w:t xml:space="preserve">, “a judge or jury must have the opportunity to consider mitigating circumstances,” </w:t>
      </w:r>
      <w:r w:rsidRPr="00901DF7" w:rsidR="008A4EDC">
        <w:rPr>
          <w:szCs w:val="26"/>
        </w:rPr>
        <w:t xml:space="preserve">including </w:t>
      </w:r>
      <w:r w:rsidRPr="00901DF7" w:rsidR="00FE3E84">
        <w:rPr>
          <w:szCs w:val="26"/>
        </w:rPr>
        <w:t>the juvenile’s “chronological age and its hallmark features</w:t>
      </w:r>
      <w:r w:rsidRPr="00901DF7" w:rsidR="008A4EDC">
        <w:rPr>
          <w:szCs w:val="26"/>
        </w:rPr>
        <w:t xml:space="preserve">” </w:t>
      </w:r>
      <w:r w:rsidRPr="00901DF7" w:rsidR="00F9573D">
        <w:rPr>
          <w:szCs w:val="26"/>
        </w:rPr>
        <w:t>such as</w:t>
      </w:r>
      <w:r w:rsidRPr="00901DF7" w:rsidR="00FE3E84">
        <w:rPr>
          <w:szCs w:val="26"/>
        </w:rPr>
        <w:t xml:space="preserve"> </w:t>
      </w:r>
      <w:r w:rsidRPr="00901DF7" w:rsidR="008A4EDC">
        <w:rPr>
          <w:szCs w:val="26"/>
        </w:rPr>
        <w:t>“</w:t>
      </w:r>
      <w:r w:rsidRPr="00901DF7" w:rsidR="00FE3E84">
        <w:rPr>
          <w:szCs w:val="26"/>
        </w:rPr>
        <w:t>immaturity, impetuosity, and failure to appreciate risks and consequences.”</w:t>
      </w:r>
      <w:r w:rsidRPr="00901DF7">
        <w:rPr>
          <w:szCs w:val="26"/>
        </w:rPr>
        <w:t xml:space="preserve">  (</w:t>
      </w:r>
      <w:r w:rsidRPr="00901DF7">
        <w:rPr>
          <w:i/>
          <w:iCs/>
          <w:szCs w:val="26"/>
        </w:rPr>
        <w:t>Id</w:t>
      </w:r>
      <w:r w:rsidRPr="00901DF7">
        <w:rPr>
          <w:szCs w:val="26"/>
        </w:rPr>
        <w:t>. at p</w:t>
      </w:r>
      <w:r w:rsidRPr="00901DF7" w:rsidR="002E053F">
        <w:rPr>
          <w:szCs w:val="26"/>
        </w:rPr>
        <w:t>p</w:t>
      </w:r>
      <w:r w:rsidRPr="00901DF7">
        <w:rPr>
          <w:szCs w:val="26"/>
        </w:rPr>
        <w:t xml:space="preserve">. </w:t>
      </w:r>
      <w:r w:rsidRPr="00901DF7" w:rsidR="002E053F">
        <w:rPr>
          <w:szCs w:val="26"/>
        </w:rPr>
        <w:t xml:space="preserve">477, </w:t>
      </w:r>
      <w:r w:rsidRPr="00901DF7">
        <w:rPr>
          <w:szCs w:val="26"/>
        </w:rPr>
        <w:t xml:space="preserve">489.) </w:t>
      </w:r>
      <w:r w:rsidRPr="00901DF7" w:rsidR="00D563D1">
        <w:rPr>
          <w:szCs w:val="26"/>
        </w:rPr>
        <w:t xml:space="preserve"> </w:t>
      </w:r>
    </w:p>
    <w:p w:rsidR="00A37A6F" w:rsidRPr="00901DF7" w:rsidP="00901DF7" w14:paraId="3876B9DC" w14:textId="0A31D5D8">
      <w:pPr>
        <w:tabs>
          <w:tab w:val="left" w:pos="720"/>
          <w:tab w:val="left" w:pos="1440"/>
        </w:tabs>
        <w:rPr>
          <w:szCs w:val="26"/>
        </w:rPr>
      </w:pPr>
      <w:r w:rsidRPr="00901DF7">
        <w:rPr>
          <w:szCs w:val="26"/>
        </w:rPr>
        <w:tab/>
      </w:r>
      <w:r w:rsidRPr="00901DF7" w:rsidR="00475F35">
        <w:rPr>
          <w:szCs w:val="26"/>
        </w:rPr>
        <w:t>Within months after the high court</w:t>
      </w:r>
      <w:r w:rsidRPr="00901DF7" w:rsidR="00F9573D">
        <w:rPr>
          <w:szCs w:val="26"/>
        </w:rPr>
        <w:t>’s</w:t>
      </w:r>
      <w:r w:rsidRPr="00901DF7" w:rsidR="00475F35">
        <w:rPr>
          <w:szCs w:val="26"/>
        </w:rPr>
        <w:t xml:space="preserve"> </w:t>
      </w:r>
      <w:r w:rsidRPr="00901DF7" w:rsidR="00920724">
        <w:rPr>
          <w:i/>
          <w:iCs/>
          <w:szCs w:val="26"/>
        </w:rPr>
        <w:t>Miller</w:t>
      </w:r>
      <w:r w:rsidRPr="00901DF7" w:rsidR="00F9573D">
        <w:rPr>
          <w:szCs w:val="26"/>
        </w:rPr>
        <w:t xml:space="preserve"> decision</w:t>
      </w:r>
      <w:r w:rsidRPr="00901DF7" w:rsidR="005A2F35">
        <w:rPr>
          <w:szCs w:val="26"/>
        </w:rPr>
        <w:t xml:space="preserve">, </w:t>
      </w:r>
      <w:r w:rsidRPr="00901DF7" w:rsidR="00475F35">
        <w:rPr>
          <w:szCs w:val="26"/>
        </w:rPr>
        <w:t>we considered</w:t>
      </w:r>
      <w:r w:rsidRPr="00901DF7" w:rsidR="00D066AA">
        <w:rPr>
          <w:szCs w:val="26"/>
        </w:rPr>
        <w:t xml:space="preserve"> whether</w:t>
      </w:r>
      <w:r w:rsidRPr="00901DF7" w:rsidR="00475F35">
        <w:rPr>
          <w:szCs w:val="26"/>
        </w:rPr>
        <w:t xml:space="preserve"> under </w:t>
      </w:r>
      <w:r w:rsidRPr="00901DF7" w:rsidR="00475F35">
        <w:rPr>
          <w:i/>
          <w:iCs/>
          <w:szCs w:val="26"/>
        </w:rPr>
        <w:t>Graham</w:t>
      </w:r>
      <w:r w:rsidRPr="00901DF7" w:rsidR="00D066AA">
        <w:rPr>
          <w:szCs w:val="26"/>
        </w:rPr>
        <w:t xml:space="preserve"> a 110-year-to-life sentence imposed on a 16-year-old defendant for nonhomicide offenses violate</w:t>
      </w:r>
      <w:r w:rsidRPr="00901DF7" w:rsidR="00AF35D5">
        <w:rPr>
          <w:szCs w:val="26"/>
        </w:rPr>
        <w:t>d</w:t>
      </w:r>
      <w:r w:rsidRPr="00901DF7" w:rsidR="00D066AA">
        <w:rPr>
          <w:szCs w:val="26"/>
        </w:rPr>
        <w:t xml:space="preserve"> </w:t>
      </w:r>
      <w:r w:rsidRPr="00901DF7" w:rsidR="00E72517">
        <w:rPr>
          <w:szCs w:val="26"/>
        </w:rPr>
        <w:t xml:space="preserve">the </w:t>
      </w:r>
      <w:r w:rsidRPr="00901DF7" w:rsidR="00AF67D7">
        <w:rPr>
          <w:szCs w:val="26"/>
        </w:rPr>
        <w:t>Eighth Amendment’s</w:t>
      </w:r>
      <w:r w:rsidRPr="00901DF7" w:rsidR="006E43B9">
        <w:rPr>
          <w:szCs w:val="26"/>
        </w:rPr>
        <w:t xml:space="preserve"> prohibition against cruel and unusual punishment</w:t>
      </w:r>
      <w:r w:rsidRPr="00901DF7" w:rsidR="00475F35">
        <w:rPr>
          <w:szCs w:val="26"/>
        </w:rPr>
        <w:t>.</w:t>
      </w:r>
      <w:r w:rsidRPr="00901DF7" w:rsidR="006E43B9">
        <w:rPr>
          <w:szCs w:val="26"/>
        </w:rPr>
        <w:t xml:space="preserve">  </w:t>
      </w:r>
      <w:r w:rsidRPr="00901DF7" w:rsidR="001A0AC3">
        <w:rPr>
          <w:szCs w:val="26"/>
        </w:rPr>
        <w:t>(</w:t>
      </w:r>
      <w:r w:rsidRPr="00901DF7" w:rsidR="00576ACF">
        <w:rPr>
          <w:i/>
          <w:iCs/>
          <w:szCs w:val="26"/>
        </w:rPr>
        <w:t>C</w:t>
      </w:r>
      <w:r w:rsidRPr="00901DF7" w:rsidR="001A0AC3">
        <w:rPr>
          <w:i/>
          <w:iCs/>
          <w:szCs w:val="26"/>
        </w:rPr>
        <w:t>aballero</w:t>
      </w:r>
      <w:r w:rsidRPr="00901DF7" w:rsidR="00A3440B">
        <w:rPr>
          <w:szCs w:val="26"/>
        </w:rPr>
        <w:t xml:space="preserve">, </w:t>
      </w:r>
      <w:r w:rsidRPr="00901DF7" w:rsidR="00A3440B">
        <w:rPr>
          <w:i/>
          <w:iCs/>
          <w:szCs w:val="26"/>
        </w:rPr>
        <w:t>supra</w:t>
      </w:r>
      <w:r w:rsidRPr="00901DF7" w:rsidR="00A3440B">
        <w:rPr>
          <w:szCs w:val="26"/>
        </w:rPr>
        <w:t>,</w:t>
      </w:r>
      <w:r w:rsidRPr="00901DF7" w:rsidR="00576ACF">
        <w:rPr>
          <w:szCs w:val="26"/>
        </w:rPr>
        <w:t xml:space="preserve"> </w:t>
      </w:r>
      <w:r w:rsidRPr="00901DF7" w:rsidR="001A0AC3">
        <w:rPr>
          <w:szCs w:val="26"/>
        </w:rPr>
        <w:t>55 Cal.4th</w:t>
      </w:r>
      <w:r w:rsidRPr="00901DF7" w:rsidR="00576ACF">
        <w:rPr>
          <w:szCs w:val="26"/>
        </w:rPr>
        <w:t xml:space="preserve"> </w:t>
      </w:r>
      <w:r w:rsidRPr="00901DF7" w:rsidR="00A3440B">
        <w:rPr>
          <w:szCs w:val="26"/>
        </w:rPr>
        <w:t>at p.</w:t>
      </w:r>
      <w:r w:rsidRPr="00901DF7" w:rsidR="00576ACF">
        <w:rPr>
          <w:szCs w:val="26"/>
        </w:rPr>
        <w:t xml:space="preserve"> </w:t>
      </w:r>
      <w:r w:rsidRPr="00901DF7" w:rsidR="00AF67D7">
        <w:rPr>
          <w:szCs w:val="26"/>
        </w:rPr>
        <w:t>265.</w:t>
      </w:r>
      <w:r w:rsidRPr="00901DF7" w:rsidR="001A0AC3">
        <w:rPr>
          <w:szCs w:val="26"/>
        </w:rPr>
        <w:t xml:space="preserve">) </w:t>
      </w:r>
      <w:r w:rsidRPr="00901DF7" w:rsidR="006E43B9">
        <w:rPr>
          <w:szCs w:val="26"/>
        </w:rPr>
        <w:t xml:space="preserve"> </w:t>
      </w:r>
      <w:r w:rsidRPr="00901DF7" w:rsidR="0006347F">
        <w:rPr>
          <w:szCs w:val="26"/>
        </w:rPr>
        <w:t>W</w:t>
      </w:r>
      <w:r w:rsidRPr="00901DF7" w:rsidR="002B0A7D">
        <w:rPr>
          <w:szCs w:val="26"/>
        </w:rPr>
        <w:t>e observed that the juvenile</w:t>
      </w:r>
      <w:r w:rsidRPr="00901DF7" w:rsidR="0006347F">
        <w:rPr>
          <w:szCs w:val="26"/>
        </w:rPr>
        <w:t>’s</w:t>
      </w:r>
      <w:r w:rsidRPr="00901DF7" w:rsidR="008B3BB8">
        <w:rPr>
          <w:szCs w:val="26"/>
        </w:rPr>
        <w:t xml:space="preserve"> </w:t>
      </w:r>
      <w:r w:rsidRPr="00901DF7" w:rsidR="00F56A98">
        <w:rPr>
          <w:szCs w:val="26"/>
        </w:rPr>
        <w:t xml:space="preserve">lengthy </w:t>
      </w:r>
      <w:r w:rsidRPr="00901DF7" w:rsidR="00AB74AB">
        <w:rPr>
          <w:szCs w:val="26"/>
        </w:rPr>
        <w:t xml:space="preserve">“term-of-years” </w:t>
      </w:r>
      <w:r w:rsidRPr="00901DF7" w:rsidR="002B0A7D">
        <w:rPr>
          <w:szCs w:val="26"/>
        </w:rPr>
        <w:t>sentence</w:t>
      </w:r>
      <w:r w:rsidRPr="00901DF7" w:rsidR="00861D07">
        <w:rPr>
          <w:szCs w:val="26"/>
        </w:rPr>
        <w:t xml:space="preserve"> </w:t>
      </w:r>
      <w:r w:rsidRPr="00901DF7" w:rsidR="00022033">
        <w:rPr>
          <w:szCs w:val="26"/>
        </w:rPr>
        <w:t>“amount[ed] to the functional equivalent of a life without parole sentence</w:t>
      </w:r>
      <w:r w:rsidRPr="00901DF7" w:rsidR="00AF35D5">
        <w:rPr>
          <w:szCs w:val="26"/>
        </w:rPr>
        <w:t xml:space="preserve">” </w:t>
      </w:r>
      <w:r w:rsidRPr="00901DF7" w:rsidR="00AB74AB">
        <w:rPr>
          <w:szCs w:val="26"/>
        </w:rPr>
        <w:t>(</w:t>
      </w:r>
      <w:r w:rsidRPr="00901DF7" w:rsidR="002C6403">
        <w:rPr>
          <w:i/>
          <w:iCs/>
          <w:szCs w:val="26"/>
        </w:rPr>
        <w:t>i</w:t>
      </w:r>
      <w:r w:rsidRPr="00901DF7" w:rsidR="00AB74AB">
        <w:rPr>
          <w:i/>
          <w:iCs/>
          <w:szCs w:val="26"/>
        </w:rPr>
        <w:t>d</w:t>
      </w:r>
      <w:r w:rsidRPr="00901DF7" w:rsidR="00AB74AB">
        <w:rPr>
          <w:szCs w:val="26"/>
        </w:rPr>
        <w:t>.</w:t>
      </w:r>
      <w:r w:rsidRPr="00901DF7" w:rsidR="00A57218">
        <w:rPr>
          <w:szCs w:val="26"/>
        </w:rPr>
        <w:t xml:space="preserve"> at 268</w:t>
      </w:r>
      <w:r w:rsidRPr="00901DF7" w:rsidR="00AB74AB">
        <w:rPr>
          <w:szCs w:val="26"/>
        </w:rPr>
        <w:t>)</w:t>
      </w:r>
      <w:r w:rsidRPr="00901DF7" w:rsidR="002C6403">
        <w:rPr>
          <w:szCs w:val="26"/>
        </w:rPr>
        <w:t xml:space="preserve">, </w:t>
      </w:r>
      <w:r w:rsidRPr="00901DF7" w:rsidR="00500DF9">
        <w:rPr>
          <w:szCs w:val="26"/>
        </w:rPr>
        <w:t>and</w:t>
      </w:r>
      <w:r w:rsidR="000675D8">
        <w:rPr>
          <w:szCs w:val="26"/>
        </w:rPr>
        <w:t xml:space="preserve"> we</w:t>
      </w:r>
      <w:r w:rsidRPr="00901DF7" w:rsidR="002C6403">
        <w:rPr>
          <w:szCs w:val="26"/>
        </w:rPr>
        <w:t xml:space="preserve"> </w:t>
      </w:r>
      <w:r w:rsidR="00B7581F">
        <w:rPr>
          <w:szCs w:val="26"/>
        </w:rPr>
        <w:t xml:space="preserve">held </w:t>
      </w:r>
      <w:r w:rsidRPr="00901DF7" w:rsidR="002C6403">
        <w:rPr>
          <w:szCs w:val="26"/>
        </w:rPr>
        <w:t>that</w:t>
      </w:r>
      <w:r w:rsidRPr="00901DF7" w:rsidR="0072497D">
        <w:rPr>
          <w:szCs w:val="26"/>
        </w:rPr>
        <w:t xml:space="preserve"> it constituted cruel and unusual punishment</w:t>
      </w:r>
      <w:r w:rsidRPr="00901DF7" w:rsidR="00500DF9">
        <w:rPr>
          <w:szCs w:val="26"/>
        </w:rPr>
        <w:t xml:space="preserve">. </w:t>
      </w:r>
      <w:r w:rsidRPr="00901DF7" w:rsidR="002C6403">
        <w:rPr>
          <w:szCs w:val="26"/>
        </w:rPr>
        <w:t xml:space="preserve"> </w:t>
      </w:r>
      <w:r w:rsidRPr="00901DF7" w:rsidR="00475F35">
        <w:rPr>
          <w:szCs w:val="26"/>
        </w:rPr>
        <w:t xml:space="preserve">We </w:t>
      </w:r>
      <w:r w:rsidRPr="00901DF7" w:rsidR="00576D2D">
        <w:rPr>
          <w:szCs w:val="26"/>
        </w:rPr>
        <w:t xml:space="preserve">therefore </w:t>
      </w:r>
      <w:r w:rsidRPr="00901DF7" w:rsidR="00475F35">
        <w:rPr>
          <w:szCs w:val="26"/>
        </w:rPr>
        <w:t xml:space="preserve">reversed </w:t>
      </w:r>
      <w:r w:rsidRPr="00901DF7" w:rsidR="00576D2D">
        <w:rPr>
          <w:szCs w:val="26"/>
        </w:rPr>
        <w:t>the defendant’s</w:t>
      </w:r>
      <w:r w:rsidRPr="00901DF7" w:rsidR="00475F35">
        <w:rPr>
          <w:szCs w:val="26"/>
        </w:rPr>
        <w:t xml:space="preserve"> sentence</w:t>
      </w:r>
      <w:r w:rsidRPr="00901DF7" w:rsidR="00763A4F">
        <w:rPr>
          <w:szCs w:val="26"/>
        </w:rPr>
        <w:t xml:space="preserve"> </w:t>
      </w:r>
      <w:r w:rsidRPr="00901DF7" w:rsidR="00576D2D">
        <w:rPr>
          <w:szCs w:val="26"/>
        </w:rPr>
        <w:t xml:space="preserve">and </w:t>
      </w:r>
      <w:r w:rsidRPr="00901DF7" w:rsidR="00763A4F">
        <w:rPr>
          <w:szCs w:val="26"/>
        </w:rPr>
        <w:t>direct</w:t>
      </w:r>
      <w:r w:rsidRPr="00901DF7" w:rsidR="00576D2D">
        <w:rPr>
          <w:szCs w:val="26"/>
        </w:rPr>
        <w:t>ed</w:t>
      </w:r>
      <w:r w:rsidRPr="00901DF7" w:rsidR="00763A4F">
        <w:rPr>
          <w:szCs w:val="26"/>
        </w:rPr>
        <w:t xml:space="preserve"> </w:t>
      </w:r>
      <w:r w:rsidRPr="00901DF7" w:rsidR="00AF7A55">
        <w:rPr>
          <w:szCs w:val="26"/>
        </w:rPr>
        <w:t>the</w:t>
      </w:r>
      <w:r w:rsidRPr="00901DF7" w:rsidR="00576D2D">
        <w:rPr>
          <w:szCs w:val="26"/>
        </w:rPr>
        <w:t xml:space="preserve"> </w:t>
      </w:r>
      <w:r w:rsidRPr="00901DF7" w:rsidR="00A57218">
        <w:rPr>
          <w:szCs w:val="26"/>
        </w:rPr>
        <w:t xml:space="preserve">sentencing </w:t>
      </w:r>
      <w:r w:rsidRPr="00901DF7" w:rsidR="00AF7A55">
        <w:rPr>
          <w:szCs w:val="26"/>
        </w:rPr>
        <w:t xml:space="preserve">court to “consider all mitigating circumstances attendant in the juvenile’s crime and life,” </w:t>
      </w:r>
      <w:r w:rsidRPr="00901DF7" w:rsidR="00EB50A9">
        <w:rPr>
          <w:szCs w:val="26"/>
        </w:rPr>
        <w:t xml:space="preserve">including </w:t>
      </w:r>
      <w:r w:rsidRPr="00901DF7" w:rsidR="00AF7A55">
        <w:rPr>
          <w:szCs w:val="26"/>
        </w:rPr>
        <w:t>the</w:t>
      </w:r>
      <w:r w:rsidRPr="00901DF7" w:rsidR="003F27AB">
        <w:rPr>
          <w:szCs w:val="26"/>
        </w:rPr>
        <w:t xml:space="preserve"> juvenile’s</w:t>
      </w:r>
      <w:r w:rsidRPr="00901DF7" w:rsidR="00AF7A55">
        <w:rPr>
          <w:szCs w:val="26"/>
        </w:rPr>
        <w:t xml:space="preserve"> chronological age and physical and mental maturity.  (</w:t>
      </w:r>
      <w:r w:rsidRPr="00901DF7" w:rsidR="004C2A73">
        <w:rPr>
          <w:i/>
          <w:iCs/>
          <w:szCs w:val="26"/>
        </w:rPr>
        <w:t>Id.</w:t>
      </w:r>
      <w:r w:rsidRPr="00901DF7" w:rsidR="00AF7A55">
        <w:rPr>
          <w:szCs w:val="26"/>
        </w:rPr>
        <w:t xml:space="preserve"> at pp. 268–269.)  </w:t>
      </w:r>
    </w:p>
    <w:p w:rsidR="00667A43" w:rsidRPr="00901DF7" w:rsidP="00901DF7" w14:paraId="3BB76AFD" w14:textId="7339D8C8">
      <w:pPr>
        <w:tabs>
          <w:tab w:val="left" w:pos="720"/>
          <w:tab w:val="left" w:pos="1440"/>
        </w:tabs>
        <w:rPr>
          <w:szCs w:val="26"/>
        </w:rPr>
      </w:pPr>
      <w:r w:rsidRPr="00901DF7">
        <w:rPr>
          <w:szCs w:val="26"/>
        </w:rPr>
        <w:tab/>
      </w:r>
      <w:r w:rsidRPr="00901DF7" w:rsidR="00BF06DB">
        <w:rPr>
          <w:szCs w:val="26"/>
        </w:rPr>
        <w:t>At the same time</w:t>
      </w:r>
      <w:r w:rsidRPr="00901DF7" w:rsidR="00894FCF">
        <w:rPr>
          <w:szCs w:val="26"/>
        </w:rPr>
        <w:t xml:space="preserve">, </w:t>
      </w:r>
      <w:r w:rsidRPr="00901DF7" w:rsidR="002E053F">
        <w:rPr>
          <w:szCs w:val="26"/>
        </w:rPr>
        <w:t>“</w:t>
      </w:r>
      <w:r w:rsidRPr="00901DF7" w:rsidR="00F525CC">
        <w:rPr>
          <w:szCs w:val="26"/>
        </w:rPr>
        <w:t>we urge</w:t>
      </w:r>
      <w:r w:rsidRPr="00901DF7" w:rsidR="002E053F">
        <w:rPr>
          <w:szCs w:val="26"/>
        </w:rPr>
        <w:t>[</w:t>
      </w:r>
      <w:r w:rsidRPr="00901DF7" w:rsidR="00F525CC">
        <w:rPr>
          <w:szCs w:val="26"/>
        </w:rPr>
        <w:t>d</w:t>
      </w:r>
      <w:r w:rsidRPr="00901DF7" w:rsidR="002E053F">
        <w:rPr>
          <w:szCs w:val="26"/>
        </w:rPr>
        <w:t>]</w:t>
      </w:r>
      <w:r w:rsidRPr="00901DF7" w:rsidR="00F525CC">
        <w:rPr>
          <w:szCs w:val="26"/>
        </w:rPr>
        <w:t xml:space="preserve"> the Legislature to enact legislation establishing a parole eligibility mechanism” that would afford defendant</w:t>
      </w:r>
      <w:r w:rsidRPr="00901DF7" w:rsidR="00A937B5">
        <w:rPr>
          <w:szCs w:val="26"/>
        </w:rPr>
        <w:t>s</w:t>
      </w:r>
      <w:r w:rsidRPr="00901DF7" w:rsidR="00F525CC">
        <w:rPr>
          <w:szCs w:val="26"/>
        </w:rPr>
        <w:t xml:space="preserve"> who </w:t>
      </w:r>
      <w:r w:rsidRPr="00901DF7" w:rsidR="00A937B5">
        <w:rPr>
          <w:szCs w:val="26"/>
        </w:rPr>
        <w:t>are</w:t>
      </w:r>
      <w:r w:rsidRPr="00901DF7" w:rsidR="00F525CC">
        <w:rPr>
          <w:szCs w:val="26"/>
        </w:rPr>
        <w:t xml:space="preserve"> effectively serving an LWOP sentence for nonhomicide offenses committed as a juvenile “with </w:t>
      </w:r>
      <w:r w:rsidRPr="00901DF7" w:rsidR="00A57218">
        <w:rPr>
          <w:szCs w:val="26"/>
        </w:rPr>
        <w:t xml:space="preserve">the </w:t>
      </w:r>
      <w:r w:rsidRPr="00901DF7" w:rsidR="00F525CC">
        <w:rPr>
          <w:szCs w:val="26"/>
        </w:rPr>
        <w:t>opportunity to obtain release on a showing of rehabilitation and maturity”</w:t>
      </w:r>
      <w:r w:rsidRPr="00901DF7" w:rsidR="00763A4F">
        <w:rPr>
          <w:szCs w:val="26"/>
        </w:rPr>
        <w:t xml:space="preserve"> consistent with the high court’s Eighth Amendment jurisprudence.</w:t>
      </w:r>
      <w:r w:rsidRPr="00901DF7" w:rsidR="00F525CC">
        <w:rPr>
          <w:szCs w:val="26"/>
        </w:rPr>
        <w:t xml:space="preserve">  (</w:t>
      </w:r>
      <w:r w:rsidRPr="00901DF7" w:rsidR="00F525CC">
        <w:rPr>
          <w:i/>
          <w:iCs/>
          <w:szCs w:val="26"/>
        </w:rPr>
        <w:t>Caballero</w:t>
      </w:r>
      <w:r w:rsidRPr="00901DF7" w:rsidR="00F525CC">
        <w:rPr>
          <w:szCs w:val="26"/>
        </w:rPr>
        <w:t xml:space="preserve">, </w:t>
      </w:r>
      <w:r w:rsidRPr="00901DF7" w:rsidR="00F525CC">
        <w:rPr>
          <w:i/>
          <w:iCs/>
          <w:szCs w:val="26"/>
        </w:rPr>
        <w:t>supra</w:t>
      </w:r>
      <w:r w:rsidRPr="00901DF7" w:rsidR="00F525CC">
        <w:rPr>
          <w:szCs w:val="26"/>
        </w:rPr>
        <w:t>, 55 Cal.4th at p. 269, fn. 5.)</w:t>
      </w:r>
      <w:r w:rsidRPr="00901DF7">
        <w:rPr>
          <w:szCs w:val="26"/>
        </w:rPr>
        <w:t xml:space="preserve">  </w:t>
      </w:r>
      <w:r w:rsidRPr="00901DF7" w:rsidR="0039220D">
        <w:rPr>
          <w:szCs w:val="26"/>
        </w:rPr>
        <w:t>The Legislature</w:t>
      </w:r>
      <w:r w:rsidRPr="00901DF7" w:rsidR="00BF06DB">
        <w:rPr>
          <w:szCs w:val="26"/>
        </w:rPr>
        <w:t xml:space="preserve"> responded</w:t>
      </w:r>
      <w:r w:rsidRPr="00901DF7" w:rsidR="00756A05">
        <w:rPr>
          <w:szCs w:val="26"/>
        </w:rPr>
        <w:t xml:space="preserve"> to our entreaty</w:t>
      </w:r>
      <w:r w:rsidRPr="00901DF7" w:rsidR="00261975">
        <w:rPr>
          <w:szCs w:val="26"/>
        </w:rPr>
        <w:t xml:space="preserve"> </w:t>
      </w:r>
      <w:r w:rsidRPr="00901DF7" w:rsidR="00BF06DB">
        <w:rPr>
          <w:szCs w:val="26"/>
        </w:rPr>
        <w:t xml:space="preserve">by enacting </w:t>
      </w:r>
      <w:r w:rsidRPr="00901DF7" w:rsidR="0039220D">
        <w:rPr>
          <w:szCs w:val="26"/>
        </w:rPr>
        <w:t>section 3051</w:t>
      </w:r>
      <w:r w:rsidRPr="00901DF7" w:rsidR="00BF06DB">
        <w:rPr>
          <w:szCs w:val="26"/>
        </w:rPr>
        <w:t xml:space="preserve"> in 2013</w:t>
      </w:r>
      <w:r w:rsidRPr="00901DF7" w:rsidR="00F92CD1">
        <w:rPr>
          <w:szCs w:val="26"/>
        </w:rPr>
        <w:t xml:space="preserve">. </w:t>
      </w:r>
      <w:r w:rsidRPr="00901DF7" w:rsidR="002F1150">
        <w:rPr>
          <w:szCs w:val="26"/>
        </w:rPr>
        <w:t xml:space="preserve"> (Stats. </w:t>
      </w:r>
      <w:r w:rsidRPr="00901DF7" w:rsidR="00025C9C">
        <w:rPr>
          <w:szCs w:val="26"/>
        </w:rPr>
        <w:t xml:space="preserve">2013, ch. 312, </w:t>
      </w:r>
      <w:r w:rsidR="007B112D">
        <w:rPr>
          <w:szCs w:val="26"/>
        </w:rPr>
        <w:t>§ </w:t>
      </w:r>
      <w:r w:rsidRPr="00901DF7" w:rsidR="00025C9C">
        <w:rPr>
          <w:szCs w:val="26"/>
        </w:rPr>
        <w:t>4</w:t>
      </w:r>
      <w:r w:rsidRPr="00901DF7" w:rsidR="00B66FFE">
        <w:rPr>
          <w:szCs w:val="26"/>
        </w:rPr>
        <w:t xml:space="preserve">; </w:t>
      </w:r>
      <w:r w:rsidRPr="00901DF7" w:rsidR="00C61F3E">
        <w:rPr>
          <w:szCs w:val="26"/>
        </w:rPr>
        <w:t xml:space="preserve">see </w:t>
      </w:r>
      <w:r w:rsidRPr="00901DF7" w:rsidR="00B66FFE">
        <w:rPr>
          <w:i/>
          <w:iCs/>
          <w:szCs w:val="26"/>
        </w:rPr>
        <w:t>Franklin</w:t>
      </w:r>
      <w:r w:rsidRPr="00901DF7" w:rsidR="00B66FFE">
        <w:rPr>
          <w:szCs w:val="26"/>
        </w:rPr>
        <w:t>,</w:t>
      </w:r>
      <w:r w:rsidRPr="00901DF7" w:rsidR="00B66FFE">
        <w:rPr>
          <w:i/>
          <w:iCs/>
          <w:szCs w:val="26"/>
        </w:rPr>
        <w:t xml:space="preserve"> supra</w:t>
      </w:r>
      <w:r w:rsidRPr="00901DF7" w:rsidR="00B66FFE">
        <w:rPr>
          <w:szCs w:val="26"/>
        </w:rPr>
        <w:t xml:space="preserve">, 63 Cal.4th at p. 277 [Legislature sought to “bring juvenile sentencing into conformity with </w:t>
      </w:r>
      <w:r w:rsidRPr="00901DF7" w:rsidR="00B66FFE">
        <w:rPr>
          <w:i/>
          <w:iCs/>
          <w:szCs w:val="26"/>
        </w:rPr>
        <w:t>Graham</w:t>
      </w:r>
      <w:r w:rsidRPr="00901DF7" w:rsidR="00B66FFE">
        <w:rPr>
          <w:szCs w:val="26"/>
        </w:rPr>
        <w:t xml:space="preserve">, </w:t>
      </w:r>
      <w:r w:rsidRPr="00901DF7" w:rsidR="00B66FFE">
        <w:rPr>
          <w:i/>
          <w:iCs/>
          <w:szCs w:val="26"/>
        </w:rPr>
        <w:t>Miller</w:t>
      </w:r>
      <w:r w:rsidRPr="00901DF7" w:rsidR="00B66FFE">
        <w:rPr>
          <w:szCs w:val="26"/>
        </w:rPr>
        <w:t xml:space="preserve">, and </w:t>
      </w:r>
      <w:r w:rsidRPr="00901DF7" w:rsidR="00B66FFE">
        <w:rPr>
          <w:i/>
          <w:iCs/>
          <w:szCs w:val="26"/>
        </w:rPr>
        <w:t>Caballero</w:t>
      </w:r>
      <w:r w:rsidRPr="00901DF7" w:rsidR="00B66FFE">
        <w:rPr>
          <w:szCs w:val="26"/>
        </w:rPr>
        <w:t>”]</w:t>
      </w:r>
      <w:r w:rsidRPr="00901DF7" w:rsidR="00025C9C">
        <w:rPr>
          <w:szCs w:val="26"/>
        </w:rPr>
        <w:t>.</w:t>
      </w:r>
      <w:r w:rsidRPr="00901DF7" w:rsidR="002F1150">
        <w:rPr>
          <w:szCs w:val="26"/>
        </w:rPr>
        <w:t xml:space="preserve">) </w:t>
      </w:r>
      <w:r w:rsidRPr="00901DF7" w:rsidR="009F6884">
        <w:rPr>
          <w:szCs w:val="26"/>
        </w:rPr>
        <w:t xml:space="preserve"> The enactment </w:t>
      </w:r>
      <w:r w:rsidRPr="00901DF7" w:rsidR="00CC1C58">
        <w:rPr>
          <w:szCs w:val="26"/>
        </w:rPr>
        <w:t xml:space="preserve">expressly declared </w:t>
      </w:r>
      <w:r w:rsidRPr="00901DF7" w:rsidR="00ED3901">
        <w:rPr>
          <w:szCs w:val="26"/>
        </w:rPr>
        <w:t xml:space="preserve">the </w:t>
      </w:r>
      <w:r w:rsidRPr="00901DF7" w:rsidR="00CC1C58">
        <w:rPr>
          <w:szCs w:val="26"/>
        </w:rPr>
        <w:t>“</w:t>
      </w:r>
      <w:r w:rsidRPr="00901DF7" w:rsidR="009F6884">
        <w:rPr>
          <w:szCs w:val="26"/>
        </w:rPr>
        <w:t xml:space="preserve">intent of the Legislature to create a process by which growth and maturity </w:t>
      </w:r>
      <w:r w:rsidRPr="00901DF7" w:rsidR="0030733D">
        <w:rPr>
          <w:szCs w:val="26"/>
        </w:rPr>
        <w:t xml:space="preserve">of youthful offenders can be assessed and a meaningful opportunity for release established.”  (Stats. 2013, ch. 312, </w:t>
      </w:r>
      <w:r w:rsidR="007B112D">
        <w:rPr>
          <w:szCs w:val="26"/>
        </w:rPr>
        <w:t>§ </w:t>
      </w:r>
      <w:r w:rsidRPr="00901DF7" w:rsidR="0030733D">
        <w:rPr>
          <w:szCs w:val="26"/>
        </w:rPr>
        <w:t xml:space="preserve">1.)  </w:t>
      </w:r>
    </w:p>
    <w:p w:rsidR="001679F0" w:rsidP="00901DF7" w14:paraId="2AA50A30" w14:textId="7D90A8D2">
      <w:pPr>
        <w:tabs>
          <w:tab w:val="left" w:pos="720"/>
          <w:tab w:val="left" w:pos="1440"/>
        </w:tabs>
        <w:rPr>
          <w:szCs w:val="26"/>
        </w:rPr>
      </w:pPr>
      <w:r w:rsidRPr="00901DF7">
        <w:tab/>
      </w:r>
      <w:r w:rsidRPr="00901DF7" w:rsidR="0041797B">
        <w:rPr>
          <w:szCs w:val="26"/>
        </w:rPr>
        <w:t>As originally enacted</w:t>
      </w:r>
      <w:r w:rsidRPr="00901DF7" w:rsidR="00BF06DB">
        <w:rPr>
          <w:szCs w:val="26"/>
        </w:rPr>
        <w:t xml:space="preserve">, section 3051 </w:t>
      </w:r>
      <w:r w:rsidRPr="00901DF7" w:rsidR="001D2F84">
        <w:rPr>
          <w:szCs w:val="26"/>
        </w:rPr>
        <w:t>provided youth offender parole hearings</w:t>
      </w:r>
      <w:r w:rsidRPr="00901DF7" w:rsidR="00A937B5">
        <w:rPr>
          <w:szCs w:val="26"/>
        </w:rPr>
        <w:t xml:space="preserve"> </w:t>
      </w:r>
      <w:r w:rsidRPr="00901DF7" w:rsidR="001D2F84">
        <w:rPr>
          <w:szCs w:val="26"/>
        </w:rPr>
        <w:t>for</w:t>
      </w:r>
      <w:r w:rsidRPr="00901DF7" w:rsidR="00D63AE5">
        <w:rPr>
          <w:szCs w:val="26"/>
        </w:rPr>
        <w:t xml:space="preserve"> </w:t>
      </w:r>
      <w:r w:rsidRPr="00901DF7" w:rsidR="00980CDB">
        <w:rPr>
          <w:szCs w:val="26"/>
        </w:rPr>
        <w:t xml:space="preserve">offenders </w:t>
      </w:r>
      <w:r w:rsidRPr="00901DF7" w:rsidR="001D2F84">
        <w:rPr>
          <w:szCs w:val="26"/>
        </w:rPr>
        <w:t xml:space="preserve">who were incarcerated for crimes committed </w:t>
      </w:r>
      <w:r w:rsidRPr="00901DF7" w:rsidR="00FD1787">
        <w:rPr>
          <w:szCs w:val="26"/>
        </w:rPr>
        <w:t>as</w:t>
      </w:r>
      <w:r w:rsidRPr="00901DF7" w:rsidR="006975CF">
        <w:rPr>
          <w:szCs w:val="26"/>
        </w:rPr>
        <w:t xml:space="preserve"> juveniles</w:t>
      </w:r>
      <w:r w:rsidRPr="00901DF7" w:rsidR="008F1971">
        <w:rPr>
          <w:szCs w:val="26"/>
        </w:rPr>
        <w:t xml:space="preserve"> under 18 years old</w:t>
      </w:r>
      <w:r w:rsidRPr="00901DF7" w:rsidR="006975CF">
        <w:rPr>
          <w:szCs w:val="26"/>
        </w:rPr>
        <w:t>.</w:t>
      </w:r>
      <w:r w:rsidRPr="00901DF7" w:rsidR="001D2F84">
        <w:rPr>
          <w:szCs w:val="26"/>
        </w:rPr>
        <w:t xml:space="preserve">  (Former </w:t>
      </w:r>
      <w:r w:rsidR="007B112D">
        <w:rPr>
          <w:szCs w:val="26"/>
        </w:rPr>
        <w:t>§ </w:t>
      </w:r>
      <w:r w:rsidRPr="00901DF7" w:rsidR="001D2F84">
        <w:rPr>
          <w:szCs w:val="26"/>
        </w:rPr>
        <w:t xml:space="preserve">3051, subd. (a)(1), added by Stats. 2013, ch. 312, </w:t>
      </w:r>
      <w:r w:rsidR="007B112D">
        <w:rPr>
          <w:szCs w:val="26"/>
        </w:rPr>
        <w:t>§ </w:t>
      </w:r>
      <w:r w:rsidRPr="00901DF7" w:rsidR="001D2F84">
        <w:rPr>
          <w:szCs w:val="26"/>
        </w:rPr>
        <w:t xml:space="preserve">4.) </w:t>
      </w:r>
      <w:r w:rsidRPr="00901DF7" w:rsidR="006B4EE3">
        <w:rPr>
          <w:szCs w:val="26"/>
        </w:rPr>
        <w:t xml:space="preserve"> This</w:t>
      </w:r>
      <w:r w:rsidRPr="00901DF7" w:rsidR="00E67725">
        <w:rPr>
          <w:szCs w:val="26"/>
        </w:rPr>
        <w:t xml:space="preserve"> ceiling</w:t>
      </w:r>
      <w:r w:rsidRPr="00901DF7" w:rsidR="006B4EE3">
        <w:rPr>
          <w:szCs w:val="26"/>
        </w:rPr>
        <w:t xml:space="preserve"> tracked the </w:t>
      </w:r>
      <w:r w:rsidRPr="00901DF7" w:rsidR="009A28F8">
        <w:rPr>
          <w:szCs w:val="26"/>
        </w:rPr>
        <w:t xml:space="preserve">age </w:t>
      </w:r>
      <w:r w:rsidRPr="00901DF7" w:rsidR="00B61809">
        <w:rPr>
          <w:szCs w:val="26"/>
        </w:rPr>
        <w:t>limitation</w:t>
      </w:r>
      <w:r w:rsidRPr="00901DF7" w:rsidR="006B4EE3">
        <w:rPr>
          <w:szCs w:val="26"/>
        </w:rPr>
        <w:t xml:space="preserve"> the high court</w:t>
      </w:r>
      <w:r w:rsidRPr="00901DF7" w:rsidR="00B61809">
        <w:rPr>
          <w:szCs w:val="26"/>
        </w:rPr>
        <w:t xml:space="preserve"> </w:t>
      </w:r>
      <w:r w:rsidRPr="00901DF7" w:rsidR="00BF06DB">
        <w:rPr>
          <w:szCs w:val="26"/>
        </w:rPr>
        <w:t xml:space="preserve">had imposed </w:t>
      </w:r>
      <w:r w:rsidRPr="00901DF7" w:rsidR="00B61809">
        <w:rPr>
          <w:szCs w:val="26"/>
        </w:rPr>
        <w:t>in juvenile sentencing cases</w:t>
      </w:r>
      <w:r w:rsidRPr="00901DF7" w:rsidR="006B4EE3">
        <w:rPr>
          <w:szCs w:val="26"/>
        </w:rPr>
        <w:t>.</w:t>
      </w:r>
      <w:r w:rsidRPr="00901DF7" w:rsidR="008C40CB">
        <w:rPr>
          <w:szCs w:val="26"/>
        </w:rPr>
        <w:t xml:space="preserve">  (See </w:t>
      </w:r>
      <w:r w:rsidRPr="00901DF7" w:rsidR="008C40CB">
        <w:rPr>
          <w:i/>
          <w:iCs/>
          <w:szCs w:val="26"/>
        </w:rPr>
        <w:t>Graham</w:t>
      </w:r>
      <w:r w:rsidRPr="00901DF7" w:rsidR="008C40CB">
        <w:rPr>
          <w:szCs w:val="26"/>
        </w:rPr>
        <w:t xml:space="preserve">, </w:t>
      </w:r>
      <w:r w:rsidRPr="00901DF7" w:rsidR="008C40CB">
        <w:rPr>
          <w:i/>
          <w:iCs/>
          <w:szCs w:val="26"/>
        </w:rPr>
        <w:t>supra</w:t>
      </w:r>
      <w:r w:rsidRPr="00901DF7" w:rsidR="008C40CB">
        <w:rPr>
          <w:szCs w:val="26"/>
        </w:rPr>
        <w:t xml:space="preserve">, </w:t>
      </w:r>
      <w:r w:rsidRPr="00901DF7" w:rsidR="00E82446">
        <w:rPr>
          <w:szCs w:val="26"/>
        </w:rPr>
        <w:t>560 U.S. at p. 74</w:t>
      </w:r>
      <w:r w:rsidRPr="00901DF7" w:rsidR="00484ABA">
        <w:rPr>
          <w:szCs w:val="26"/>
        </w:rPr>
        <w:t xml:space="preserve">, quoting </w:t>
      </w:r>
      <w:r w:rsidRPr="00901DF7" w:rsidR="00484ABA">
        <w:rPr>
          <w:i/>
          <w:iCs/>
          <w:szCs w:val="26"/>
        </w:rPr>
        <w:t>Roper</w:t>
      </w:r>
      <w:r w:rsidRPr="00901DF7" w:rsidR="00B24E6F">
        <w:rPr>
          <w:i/>
          <w:iCs/>
          <w:szCs w:val="26"/>
        </w:rPr>
        <w:t xml:space="preserve"> v. Simmons</w:t>
      </w:r>
      <w:r w:rsidRPr="00901DF7" w:rsidR="00A57218">
        <w:rPr>
          <w:szCs w:val="26"/>
        </w:rPr>
        <w:t xml:space="preserve"> (2005)</w:t>
      </w:r>
      <w:r w:rsidRPr="00901DF7" w:rsidR="00D476B5">
        <w:rPr>
          <w:szCs w:val="26"/>
        </w:rPr>
        <w:t xml:space="preserve"> </w:t>
      </w:r>
      <w:r w:rsidRPr="00901DF7" w:rsidR="00484ABA">
        <w:rPr>
          <w:szCs w:val="26"/>
        </w:rPr>
        <w:t>543 U.S.</w:t>
      </w:r>
      <w:r w:rsidRPr="00901DF7" w:rsidR="00A57218">
        <w:rPr>
          <w:szCs w:val="26"/>
        </w:rPr>
        <w:t xml:space="preserve"> 551,</w:t>
      </w:r>
      <w:r w:rsidRPr="00901DF7" w:rsidR="00484ABA">
        <w:rPr>
          <w:szCs w:val="26"/>
        </w:rPr>
        <w:t xml:space="preserve"> 574</w:t>
      </w:r>
      <w:r w:rsidRPr="00901DF7" w:rsidR="00E82446">
        <w:rPr>
          <w:szCs w:val="26"/>
        </w:rPr>
        <w:t xml:space="preserve"> </w:t>
      </w:r>
      <w:r w:rsidRPr="00901DF7" w:rsidR="00B24E6F">
        <w:rPr>
          <w:szCs w:val="26"/>
        </w:rPr>
        <w:t>(</w:t>
      </w:r>
      <w:r w:rsidRPr="00901DF7" w:rsidR="00B24E6F">
        <w:rPr>
          <w:i/>
          <w:iCs/>
          <w:szCs w:val="26"/>
        </w:rPr>
        <w:t>Roper</w:t>
      </w:r>
      <w:r w:rsidRPr="00901DF7" w:rsidR="00B24E6F">
        <w:rPr>
          <w:szCs w:val="26"/>
        </w:rPr>
        <w:t xml:space="preserve">) </w:t>
      </w:r>
      <w:r w:rsidRPr="00901DF7" w:rsidR="00E82446">
        <w:rPr>
          <w:szCs w:val="26"/>
        </w:rPr>
        <w:t>[“</w:t>
      </w:r>
      <w:r w:rsidR="0074534C">
        <w:rPr>
          <w:szCs w:val="26"/>
        </w:rPr>
        <w:t> </w:t>
      </w:r>
      <w:r w:rsidRPr="00901DF7" w:rsidR="00E82446">
        <w:rPr>
          <w:szCs w:val="26"/>
        </w:rPr>
        <w:t>‘[t]he age of 18 is the point where society draws the line for many purposes between childhood and adulthood’</w:t>
      </w:r>
      <w:r w:rsidRPr="00901DF7" w:rsidR="009A28F8">
        <w:rPr>
          <w:szCs w:val="26"/>
        </w:rPr>
        <w:t> </w:t>
      </w:r>
      <w:r w:rsidRPr="00901DF7" w:rsidR="00E82446">
        <w:rPr>
          <w:szCs w:val="26"/>
        </w:rPr>
        <w:t>”]</w:t>
      </w:r>
      <w:r w:rsidRPr="00901DF7" w:rsidR="00A86243">
        <w:rPr>
          <w:szCs w:val="26"/>
        </w:rPr>
        <w:t xml:space="preserve">; </w:t>
      </w:r>
      <w:r w:rsidRPr="00901DF7" w:rsidR="00A86243">
        <w:rPr>
          <w:i/>
          <w:iCs/>
          <w:szCs w:val="26"/>
        </w:rPr>
        <w:t>Roper</w:t>
      </w:r>
      <w:r w:rsidRPr="00901DF7" w:rsidR="00A86243">
        <w:rPr>
          <w:szCs w:val="26"/>
        </w:rPr>
        <w:t>, at p. 574 [18 years is</w:t>
      </w:r>
      <w:r w:rsidRPr="00901DF7" w:rsidR="00B2222E">
        <w:rPr>
          <w:szCs w:val="26"/>
        </w:rPr>
        <w:t xml:space="preserve"> </w:t>
      </w:r>
      <w:r w:rsidRPr="00901DF7" w:rsidR="00A83686">
        <w:rPr>
          <w:szCs w:val="26"/>
        </w:rPr>
        <w:t>“the age at which the line for death eligibility ought to rest”</w:t>
      </w:r>
      <w:r w:rsidRPr="00901DF7" w:rsidR="00A86243">
        <w:rPr>
          <w:szCs w:val="26"/>
        </w:rPr>
        <w:t>].)</w:t>
      </w:r>
      <w:r w:rsidRPr="00901DF7" w:rsidR="00A83686">
        <w:rPr>
          <w:szCs w:val="26"/>
        </w:rPr>
        <w:t xml:space="preserve"> </w:t>
      </w:r>
      <w:r w:rsidRPr="00901DF7" w:rsidR="00434573">
        <w:rPr>
          <w:szCs w:val="26"/>
        </w:rPr>
        <w:t xml:space="preserve"> </w:t>
      </w:r>
    </w:p>
    <w:p w:rsidR="009E7BC2" w:rsidRPr="00901DF7" w:rsidP="00901DF7" w14:paraId="0E977A17" w14:textId="5BF0FE09">
      <w:pPr>
        <w:tabs>
          <w:tab w:val="left" w:pos="720"/>
          <w:tab w:val="left" w:pos="1440"/>
        </w:tabs>
        <w:rPr>
          <w:szCs w:val="26"/>
        </w:rPr>
      </w:pPr>
      <w:r>
        <w:rPr>
          <w:szCs w:val="26"/>
        </w:rPr>
        <w:tab/>
      </w:r>
      <w:r w:rsidRPr="00901DF7" w:rsidR="00434573">
        <w:rPr>
          <w:szCs w:val="26"/>
        </w:rPr>
        <w:t>Although the</w:t>
      </w:r>
      <w:r w:rsidRPr="00901DF7" w:rsidR="00FA0EF7">
        <w:rPr>
          <w:szCs w:val="26"/>
        </w:rPr>
        <w:t xml:space="preserve"> </w:t>
      </w:r>
      <w:r w:rsidRPr="00901DF7" w:rsidR="00434573">
        <w:rPr>
          <w:szCs w:val="26"/>
        </w:rPr>
        <w:t xml:space="preserve">high court has not extended these </w:t>
      </w:r>
      <w:r w:rsidRPr="00901DF7" w:rsidR="00D714DF">
        <w:rPr>
          <w:szCs w:val="26"/>
        </w:rPr>
        <w:t>parole opportunities</w:t>
      </w:r>
      <w:r w:rsidRPr="00901DF7" w:rsidR="00434573">
        <w:rPr>
          <w:szCs w:val="26"/>
        </w:rPr>
        <w:t xml:space="preserve"> to youthful offenders 18 years and older </w:t>
      </w:r>
      <w:r w:rsidRPr="00901DF7" w:rsidR="0005716E">
        <w:rPr>
          <w:szCs w:val="26"/>
        </w:rPr>
        <w:t xml:space="preserve">as a matter of constitutional law </w:t>
      </w:r>
      <w:r w:rsidRPr="00901DF7" w:rsidR="00434573">
        <w:rPr>
          <w:szCs w:val="26"/>
        </w:rPr>
        <w:t xml:space="preserve">(see </w:t>
      </w:r>
      <w:r w:rsidRPr="00901DF7" w:rsidR="00434573">
        <w:rPr>
          <w:i/>
          <w:iCs/>
          <w:szCs w:val="26"/>
        </w:rPr>
        <w:t>United States v. Gates</w:t>
      </w:r>
      <w:r w:rsidRPr="00901DF7" w:rsidR="00434573">
        <w:rPr>
          <w:szCs w:val="26"/>
        </w:rPr>
        <w:t xml:space="preserve"> (6th Cir. 2022) 48 F.4th 463, 476), our Legislature has done so twice</w:t>
      </w:r>
      <w:r w:rsidR="00B7581F">
        <w:rPr>
          <w:szCs w:val="26"/>
        </w:rPr>
        <w:t>, as a matter of statutory law,</w:t>
      </w:r>
      <w:r w:rsidRPr="00901DF7" w:rsidR="0005716E">
        <w:rPr>
          <w:szCs w:val="26"/>
        </w:rPr>
        <w:t xml:space="preserve"> in amendments to section 3051</w:t>
      </w:r>
      <w:r w:rsidRPr="00901DF7" w:rsidR="00434573">
        <w:rPr>
          <w:szCs w:val="26"/>
        </w:rPr>
        <w:t xml:space="preserve">.  In 2015, it raised the age of eligibility for youth offender parole hearings to </w:t>
      </w:r>
      <w:r w:rsidR="00B7581F">
        <w:rPr>
          <w:szCs w:val="26"/>
        </w:rPr>
        <w:t xml:space="preserve">most </w:t>
      </w:r>
      <w:r w:rsidRPr="00901DF7" w:rsidR="005C1F29">
        <w:rPr>
          <w:szCs w:val="26"/>
        </w:rPr>
        <w:t xml:space="preserve">offenders </w:t>
      </w:r>
      <w:r w:rsidRPr="00901DF7" w:rsidR="00434573">
        <w:rPr>
          <w:szCs w:val="26"/>
        </w:rPr>
        <w:t xml:space="preserve">under </w:t>
      </w:r>
      <w:r w:rsidRPr="00901DF7" w:rsidR="00656541">
        <w:rPr>
          <w:szCs w:val="26"/>
        </w:rPr>
        <w:t>23</w:t>
      </w:r>
      <w:r w:rsidRPr="00901DF7" w:rsidR="00434573">
        <w:rPr>
          <w:szCs w:val="26"/>
        </w:rPr>
        <w:t xml:space="preserve"> years old (Stats. 2015, ch. 471, </w:t>
      </w:r>
      <w:r w:rsidR="007B112D">
        <w:rPr>
          <w:szCs w:val="26"/>
        </w:rPr>
        <w:t>§ </w:t>
      </w:r>
      <w:r w:rsidRPr="00901DF7" w:rsidR="00434573">
        <w:rPr>
          <w:szCs w:val="26"/>
        </w:rPr>
        <w:t>1)</w:t>
      </w:r>
      <w:r w:rsidRPr="00901DF7" w:rsidR="00656541">
        <w:rPr>
          <w:szCs w:val="26"/>
        </w:rPr>
        <w:t xml:space="preserve">, based on </w:t>
      </w:r>
      <w:r w:rsidRPr="00901DF7" w:rsidR="00E67725">
        <w:rPr>
          <w:szCs w:val="26"/>
        </w:rPr>
        <w:t>then</w:t>
      </w:r>
      <w:r w:rsidRPr="00901DF7" w:rsidR="00656541">
        <w:rPr>
          <w:szCs w:val="26"/>
        </w:rPr>
        <w:t xml:space="preserve"> </w:t>
      </w:r>
      <w:r w:rsidRPr="00901DF7" w:rsidR="009520BD">
        <w:rPr>
          <w:szCs w:val="26"/>
        </w:rPr>
        <w:t>“</w:t>
      </w:r>
      <w:r>
        <w:rPr>
          <w:szCs w:val="26"/>
        </w:rPr>
        <w:t> </w:t>
      </w:r>
      <w:r w:rsidRPr="00901DF7" w:rsidR="008C70B9">
        <w:rPr>
          <w:szCs w:val="26"/>
        </w:rPr>
        <w:t>‘</w:t>
      </w:r>
      <w:r w:rsidRPr="00901DF7" w:rsidR="002E053F">
        <w:rPr>
          <w:szCs w:val="26"/>
        </w:rPr>
        <w:t>[</w:t>
      </w:r>
      <w:r w:rsidRPr="00901DF7" w:rsidR="00656541">
        <w:rPr>
          <w:szCs w:val="26"/>
        </w:rPr>
        <w:t>r</w:t>
      </w:r>
      <w:r w:rsidRPr="00901DF7" w:rsidR="002E053F">
        <w:rPr>
          <w:szCs w:val="26"/>
        </w:rPr>
        <w:t>]</w:t>
      </w:r>
      <w:r w:rsidRPr="00901DF7" w:rsidR="009520BD">
        <w:rPr>
          <w:szCs w:val="26"/>
        </w:rPr>
        <w:t>ecent neurological research</w:t>
      </w:r>
      <w:r w:rsidRPr="00901DF7" w:rsidR="002E053F">
        <w:rPr>
          <w:szCs w:val="26"/>
        </w:rPr>
        <w:t xml:space="preserve"> </w:t>
      </w:r>
      <w:r w:rsidRPr="00901DF7" w:rsidR="009520BD">
        <w:rPr>
          <w:szCs w:val="26"/>
        </w:rPr>
        <w:t>show</w:t>
      </w:r>
      <w:r w:rsidRPr="00901DF7" w:rsidR="007C21D9">
        <w:rPr>
          <w:szCs w:val="26"/>
        </w:rPr>
        <w:t>[ing]</w:t>
      </w:r>
      <w:r w:rsidRPr="00901DF7" w:rsidR="009520BD">
        <w:rPr>
          <w:szCs w:val="26"/>
        </w:rPr>
        <w:t xml:space="preserve"> that cognitive brain development continues well beyond age 18 and into early adulthood</w:t>
      </w:r>
      <w:r w:rsidRPr="00901DF7" w:rsidR="00F9573D">
        <w:rPr>
          <w:szCs w:val="26"/>
        </w:rPr>
        <w:t>.</w:t>
      </w:r>
      <w:r w:rsidRPr="00901DF7" w:rsidR="008C70B9">
        <w:rPr>
          <w:szCs w:val="26"/>
        </w:rPr>
        <w:t>’</w:t>
      </w:r>
      <w:r>
        <w:rPr>
          <w:szCs w:val="26"/>
        </w:rPr>
        <w:t> </w:t>
      </w:r>
      <w:r w:rsidRPr="00901DF7" w:rsidR="009520BD">
        <w:rPr>
          <w:szCs w:val="26"/>
        </w:rPr>
        <w:t>”</w:t>
      </w:r>
      <w:r w:rsidRPr="00901DF7" w:rsidR="00B628A0">
        <w:rPr>
          <w:szCs w:val="26"/>
        </w:rPr>
        <w:t xml:space="preserve"> </w:t>
      </w:r>
      <w:r w:rsidRPr="00901DF7" w:rsidR="000D3A01">
        <w:rPr>
          <w:szCs w:val="26"/>
        </w:rPr>
        <w:t xml:space="preserve"> </w:t>
      </w:r>
      <w:r w:rsidRPr="00901DF7" w:rsidR="008C70B9">
        <w:rPr>
          <w:szCs w:val="26"/>
        </w:rPr>
        <w:t>(</w:t>
      </w:r>
      <w:r w:rsidRPr="00901DF7" w:rsidR="0054215E">
        <w:rPr>
          <w:szCs w:val="26"/>
        </w:rPr>
        <w:t>Assem. C</w:t>
      </w:r>
      <w:r w:rsidRPr="00901DF7" w:rsidR="0034077F">
        <w:rPr>
          <w:szCs w:val="26"/>
        </w:rPr>
        <w:t>o</w:t>
      </w:r>
      <w:r w:rsidRPr="00901DF7" w:rsidR="0054215E">
        <w:rPr>
          <w:szCs w:val="26"/>
        </w:rPr>
        <w:t xml:space="preserve">m. on Public Safety, </w:t>
      </w:r>
      <w:r w:rsidRPr="00901DF7" w:rsidR="008C70B9">
        <w:rPr>
          <w:szCs w:val="26"/>
        </w:rPr>
        <w:t>Report on Sen. Bill No. 261</w:t>
      </w:r>
      <w:r w:rsidRPr="00901DF7" w:rsidR="0034077F">
        <w:rPr>
          <w:szCs w:val="26"/>
        </w:rPr>
        <w:t xml:space="preserve"> (2015–2016 Reg. Sess.)</w:t>
      </w:r>
      <w:r w:rsidRPr="00901DF7" w:rsidR="008C70B9">
        <w:rPr>
          <w:szCs w:val="26"/>
        </w:rPr>
        <w:t xml:space="preserve">, as amended June </w:t>
      </w:r>
      <w:r w:rsidR="00EE6056">
        <w:rPr>
          <w:szCs w:val="26"/>
        </w:rPr>
        <w:t>1</w:t>
      </w:r>
      <w:r w:rsidRPr="00901DF7" w:rsidR="008C70B9">
        <w:rPr>
          <w:szCs w:val="26"/>
        </w:rPr>
        <w:t xml:space="preserve">, 2015, p. </w:t>
      </w:r>
      <w:r w:rsidR="00EE6056">
        <w:rPr>
          <w:szCs w:val="26"/>
        </w:rPr>
        <w:t xml:space="preserve">2; see </w:t>
      </w:r>
      <w:r w:rsidRPr="0014471D" w:rsidR="00EE6056">
        <w:rPr>
          <w:i/>
          <w:iCs/>
          <w:szCs w:val="26"/>
        </w:rPr>
        <w:t>ibid</w:t>
      </w:r>
      <w:r w:rsidR="00EE6056">
        <w:rPr>
          <w:szCs w:val="26"/>
        </w:rPr>
        <w:t>.</w:t>
      </w:r>
      <w:r w:rsidRPr="00901DF7" w:rsidR="007471E6">
        <w:rPr>
          <w:szCs w:val="26"/>
        </w:rPr>
        <w:t xml:space="preserve"> [“</w:t>
      </w:r>
      <w:r w:rsidR="0074534C">
        <w:rPr>
          <w:szCs w:val="26"/>
        </w:rPr>
        <w:t> </w:t>
      </w:r>
      <w:r w:rsidRPr="00901DF7" w:rsidR="002108D8">
        <w:rPr>
          <w:szCs w:val="26"/>
        </w:rPr>
        <w:t>‘</w:t>
      </w:r>
      <w:r w:rsidRPr="00901DF7" w:rsidR="007471E6">
        <w:rPr>
          <w:szCs w:val="26"/>
        </w:rPr>
        <w:t>For boys and young men in particular, this process [of development] continues into the mid-20s</w:t>
      </w:r>
      <w:r w:rsidRPr="00901DF7" w:rsidR="002108D8">
        <w:rPr>
          <w:szCs w:val="26"/>
        </w:rPr>
        <w:t>’</w:t>
      </w:r>
      <w:r w:rsidR="0074534C">
        <w:rPr>
          <w:szCs w:val="26"/>
        </w:rPr>
        <w:t> </w:t>
      </w:r>
      <w:r w:rsidRPr="00901DF7" w:rsidR="007471E6">
        <w:rPr>
          <w:szCs w:val="26"/>
        </w:rPr>
        <w:t xml:space="preserve">”].) </w:t>
      </w:r>
      <w:r w:rsidRPr="00901DF7" w:rsidR="0054215E">
        <w:rPr>
          <w:szCs w:val="26"/>
        </w:rPr>
        <w:t xml:space="preserve"> </w:t>
      </w:r>
      <w:r w:rsidRPr="00901DF7" w:rsidR="00656541">
        <w:rPr>
          <w:szCs w:val="26"/>
        </w:rPr>
        <w:t xml:space="preserve">The Legislature </w:t>
      </w:r>
      <w:r w:rsidRPr="00901DF7" w:rsidR="002108D8">
        <w:rPr>
          <w:szCs w:val="26"/>
        </w:rPr>
        <w:t>raised</w:t>
      </w:r>
      <w:r w:rsidRPr="00901DF7" w:rsidR="007C21D9">
        <w:rPr>
          <w:szCs w:val="26"/>
        </w:rPr>
        <w:t xml:space="preserve"> the </w:t>
      </w:r>
      <w:r w:rsidRPr="00901DF7" w:rsidR="00AC0CDD">
        <w:rPr>
          <w:szCs w:val="26"/>
        </w:rPr>
        <w:t xml:space="preserve">age </w:t>
      </w:r>
      <w:r w:rsidRPr="00901DF7" w:rsidR="007C21D9">
        <w:rPr>
          <w:szCs w:val="26"/>
        </w:rPr>
        <w:t>limit</w:t>
      </w:r>
      <w:r w:rsidRPr="00901DF7" w:rsidR="00656541">
        <w:rPr>
          <w:szCs w:val="26"/>
        </w:rPr>
        <w:t xml:space="preserve"> again in 2017</w:t>
      </w:r>
      <w:r w:rsidRPr="00901DF7" w:rsidR="00A925F2">
        <w:rPr>
          <w:szCs w:val="26"/>
        </w:rPr>
        <w:t xml:space="preserve"> </w:t>
      </w:r>
      <w:r w:rsidRPr="00901DF7" w:rsidR="00FA79BF">
        <w:rPr>
          <w:szCs w:val="26"/>
        </w:rPr>
        <w:t xml:space="preserve">to </w:t>
      </w:r>
      <w:r w:rsidRPr="00901DF7" w:rsidR="005C1F29">
        <w:rPr>
          <w:szCs w:val="26"/>
        </w:rPr>
        <w:t xml:space="preserve">include </w:t>
      </w:r>
      <w:r w:rsidR="00B7581F">
        <w:rPr>
          <w:szCs w:val="26"/>
        </w:rPr>
        <w:t xml:space="preserve">most </w:t>
      </w:r>
      <w:r w:rsidRPr="00901DF7" w:rsidR="005C1F29">
        <w:rPr>
          <w:szCs w:val="26"/>
        </w:rPr>
        <w:t xml:space="preserve">offenders </w:t>
      </w:r>
      <w:r w:rsidRPr="00901DF7" w:rsidR="00FA79BF">
        <w:rPr>
          <w:szCs w:val="26"/>
        </w:rPr>
        <w:t>25</w:t>
      </w:r>
      <w:r w:rsidRPr="00901DF7" w:rsidR="00526B69">
        <w:rPr>
          <w:szCs w:val="26"/>
        </w:rPr>
        <w:t xml:space="preserve"> years old</w:t>
      </w:r>
      <w:r w:rsidRPr="00901DF7" w:rsidR="0093273F">
        <w:rPr>
          <w:szCs w:val="26"/>
        </w:rPr>
        <w:t xml:space="preserve"> or younger</w:t>
      </w:r>
      <w:r w:rsidRPr="00901DF7" w:rsidR="00B628A0">
        <w:rPr>
          <w:szCs w:val="26"/>
        </w:rPr>
        <w:t xml:space="preserve">.  </w:t>
      </w:r>
      <w:r w:rsidRPr="00901DF7" w:rsidR="008A7636">
        <w:rPr>
          <w:szCs w:val="26"/>
        </w:rPr>
        <w:t>(Stats. 2017, ch. 675</w:t>
      </w:r>
      <w:r w:rsidRPr="00901DF7" w:rsidR="00980CDB">
        <w:rPr>
          <w:szCs w:val="26"/>
        </w:rPr>
        <w:t xml:space="preserve">, </w:t>
      </w:r>
      <w:r w:rsidR="007B112D">
        <w:rPr>
          <w:szCs w:val="26"/>
        </w:rPr>
        <w:t>§ </w:t>
      </w:r>
      <w:r w:rsidRPr="00901DF7" w:rsidR="00980CDB">
        <w:rPr>
          <w:szCs w:val="26"/>
        </w:rPr>
        <w:t>1</w:t>
      </w:r>
      <w:r w:rsidRPr="00901DF7" w:rsidR="0054215E">
        <w:rPr>
          <w:szCs w:val="26"/>
        </w:rPr>
        <w:t>.)</w:t>
      </w:r>
      <w:r w:rsidR="006D253B">
        <w:rPr>
          <w:szCs w:val="26"/>
        </w:rPr>
        <w:t xml:space="preserve"> </w:t>
      </w:r>
    </w:p>
    <w:p w:rsidR="00A865EA" w:rsidRPr="00901DF7" w:rsidP="00901DF7" w14:paraId="17DBE62A" w14:textId="368B6370">
      <w:pPr>
        <w:tabs>
          <w:tab w:val="left" w:pos="720"/>
          <w:tab w:val="left" w:pos="1440"/>
        </w:tabs>
        <w:rPr>
          <w:szCs w:val="26"/>
        </w:rPr>
      </w:pPr>
      <w:r w:rsidRPr="00901DF7">
        <w:rPr>
          <w:szCs w:val="26"/>
        </w:rPr>
        <w:tab/>
      </w:r>
      <w:r w:rsidRPr="00901DF7" w:rsidR="001F7DA3">
        <w:rPr>
          <w:szCs w:val="26"/>
        </w:rPr>
        <w:t xml:space="preserve">Section 3051 “reflects the Legislature’s judgment that 25 years is the maximum amount of time that </w:t>
      </w:r>
      <w:r w:rsidRPr="00901DF7" w:rsidR="00454CD8">
        <w:rPr>
          <w:szCs w:val="26"/>
        </w:rPr>
        <w:t>[</w:t>
      </w:r>
      <w:r w:rsidRPr="00901DF7" w:rsidR="00E67725">
        <w:rPr>
          <w:szCs w:val="26"/>
        </w:rPr>
        <w:t xml:space="preserve">most </w:t>
      </w:r>
      <w:r w:rsidRPr="00901DF7" w:rsidR="00454CD8">
        <w:rPr>
          <w:szCs w:val="26"/>
        </w:rPr>
        <w:t xml:space="preserve">youth] </w:t>
      </w:r>
      <w:r w:rsidRPr="00901DF7" w:rsidR="001F7DA3">
        <w:rPr>
          <w:szCs w:val="26"/>
        </w:rPr>
        <w:t>offender</w:t>
      </w:r>
      <w:r w:rsidRPr="00901DF7" w:rsidR="00E67725">
        <w:rPr>
          <w:szCs w:val="26"/>
        </w:rPr>
        <w:t>[s]</w:t>
      </w:r>
      <w:r w:rsidRPr="00901DF7" w:rsidR="001F7DA3">
        <w:rPr>
          <w:szCs w:val="26"/>
        </w:rPr>
        <w:t xml:space="preserve"> may serve before becoming eligible for parole.” </w:t>
      </w:r>
      <w:r w:rsidRPr="00901DF7" w:rsidR="00F22FDF">
        <w:rPr>
          <w:szCs w:val="26"/>
        </w:rPr>
        <w:t xml:space="preserve"> (</w:t>
      </w:r>
      <w:r w:rsidRPr="00901DF7" w:rsidR="00F22FDF">
        <w:rPr>
          <w:i/>
          <w:iCs/>
          <w:szCs w:val="26"/>
        </w:rPr>
        <w:t>Franklin</w:t>
      </w:r>
      <w:r w:rsidRPr="00901DF7" w:rsidR="00D166FF">
        <w:rPr>
          <w:szCs w:val="26"/>
        </w:rPr>
        <w:t xml:space="preserve">, </w:t>
      </w:r>
      <w:r w:rsidRPr="00901DF7" w:rsidR="00D166FF">
        <w:rPr>
          <w:i/>
          <w:iCs/>
          <w:szCs w:val="26"/>
        </w:rPr>
        <w:t>supra</w:t>
      </w:r>
      <w:r w:rsidRPr="00901DF7" w:rsidR="00D166FF">
        <w:rPr>
          <w:szCs w:val="26"/>
        </w:rPr>
        <w:t xml:space="preserve">, </w:t>
      </w:r>
      <w:r w:rsidRPr="00901DF7" w:rsidR="00F22FDF">
        <w:rPr>
          <w:szCs w:val="26"/>
        </w:rPr>
        <w:t xml:space="preserve">63 Cal.4th </w:t>
      </w:r>
      <w:r w:rsidRPr="00901DF7" w:rsidR="00D166FF">
        <w:rPr>
          <w:szCs w:val="26"/>
        </w:rPr>
        <w:t>at p.</w:t>
      </w:r>
      <w:r w:rsidRPr="00901DF7" w:rsidR="00F22FDF">
        <w:rPr>
          <w:szCs w:val="26"/>
        </w:rPr>
        <w:t xml:space="preserve"> 278</w:t>
      </w:r>
      <w:r w:rsidR="00EE6056">
        <w:rPr>
          <w:szCs w:val="26"/>
        </w:rPr>
        <w:t xml:space="preserve">; see </w:t>
      </w:r>
      <w:r w:rsidRPr="0014471D" w:rsidR="00EE6056">
        <w:rPr>
          <w:i/>
          <w:iCs/>
          <w:szCs w:val="26"/>
        </w:rPr>
        <w:t>id</w:t>
      </w:r>
      <w:r w:rsidR="00EE6056">
        <w:rPr>
          <w:szCs w:val="26"/>
        </w:rPr>
        <w:t>. at</w:t>
      </w:r>
      <w:r w:rsidRPr="00901DF7" w:rsidR="00282BFA">
        <w:rPr>
          <w:szCs w:val="26"/>
        </w:rPr>
        <w:t xml:space="preserve"> </w:t>
      </w:r>
      <w:r w:rsidR="003D70FB">
        <w:rPr>
          <w:szCs w:val="26"/>
        </w:rPr>
        <w:t xml:space="preserve">p. </w:t>
      </w:r>
      <w:r w:rsidRPr="00901DF7" w:rsidR="00282BFA">
        <w:rPr>
          <w:szCs w:val="26"/>
        </w:rPr>
        <w:t>281 [</w:t>
      </w:r>
      <w:r w:rsidR="007B112D">
        <w:rPr>
          <w:szCs w:val="26"/>
        </w:rPr>
        <w:t>§ </w:t>
      </w:r>
      <w:r w:rsidRPr="00901DF7" w:rsidR="00282BFA">
        <w:rPr>
          <w:szCs w:val="26"/>
        </w:rPr>
        <w:t xml:space="preserve">3051 “effectively reforms the parole eligibility date of a </w:t>
      </w:r>
      <w:r w:rsidRPr="00901DF7" w:rsidR="00742E07">
        <w:rPr>
          <w:szCs w:val="26"/>
        </w:rPr>
        <w:t>[youth]</w:t>
      </w:r>
      <w:r w:rsidRPr="00901DF7" w:rsidR="00282BFA">
        <w:rPr>
          <w:szCs w:val="26"/>
        </w:rPr>
        <w:t xml:space="preserve"> offender’s original sentence”]</w:t>
      </w:r>
      <w:r w:rsidRPr="00901DF7" w:rsidR="00F22FDF">
        <w:rPr>
          <w:szCs w:val="26"/>
        </w:rPr>
        <w:t xml:space="preserve">.) </w:t>
      </w:r>
      <w:r w:rsidRPr="00901DF7" w:rsidR="001F7DA3">
        <w:rPr>
          <w:szCs w:val="26"/>
        </w:rPr>
        <w:t xml:space="preserve"> By superseding the statutorily mandated sentences of </w:t>
      </w:r>
      <w:r w:rsidRPr="00901DF7" w:rsidR="00E67725">
        <w:rPr>
          <w:szCs w:val="26"/>
        </w:rPr>
        <w:t xml:space="preserve">most </w:t>
      </w:r>
      <w:r w:rsidRPr="00901DF7" w:rsidR="001F7DA3">
        <w:rPr>
          <w:szCs w:val="26"/>
        </w:rPr>
        <w:t>prisoners who committed their controlling offense before the age of 2</w:t>
      </w:r>
      <w:r w:rsidRPr="00901DF7" w:rsidR="00F636C8">
        <w:rPr>
          <w:szCs w:val="26"/>
        </w:rPr>
        <w:t>6</w:t>
      </w:r>
      <w:r w:rsidRPr="00901DF7" w:rsidR="001F7DA3">
        <w:rPr>
          <w:szCs w:val="26"/>
        </w:rPr>
        <w:t xml:space="preserve">, section 3051 “changed the manner in which the </w:t>
      </w:r>
      <w:r w:rsidRPr="00901DF7" w:rsidR="00454CD8">
        <w:rPr>
          <w:szCs w:val="26"/>
        </w:rPr>
        <w:t>[youth]</w:t>
      </w:r>
      <w:r w:rsidRPr="00901DF7" w:rsidR="001F7DA3">
        <w:rPr>
          <w:szCs w:val="26"/>
        </w:rPr>
        <w:t xml:space="preserve"> offender’s original sentence operates by capping the number of years that he or she may be imprisoned before becoming eligible for release on parole.” </w:t>
      </w:r>
      <w:r w:rsidRPr="00901DF7" w:rsidR="00F22FDF">
        <w:rPr>
          <w:szCs w:val="26"/>
        </w:rPr>
        <w:t xml:space="preserve"> (</w:t>
      </w:r>
      <w:r w:rsidR="00EE6056">
        <w:rPr>
          <w:i/>
          <w:iCs/>
          <w:szCs w:val="26"/>
        </w:rPr>
        <w:t>Franklin,</w:t>
      </w:r>
      <w:r w:rsidRPr="00901DF7" w:rsidR="00F22FDF">
        <w:rPr>
          <w:szCs w:val="26"/>
        </w:rPr>
        <w:t xml:space="preserve"> at p. 278.)</w:t>
      </w:r>
      <w:r w:rsidRPr="00901DF7" w:rsidR="00756BC0">
        <w:rPr>
          <w:szCs w:val="26"/>
        </w:rPr>
        <w:t xml:space="preserve">  </w:t>
      </w:r>
    </w:p>
    <w:p w:rsidR="00795731" w:rsidRPr="00901DF7" w:rsidP="00901DF7" w14:paraId="02793D11" w14:textId="0D626804">
      <w:pPr>
        <w:tabs>
          <w:tab w:val="left" w:pos="720"/>
          <w:tab w:val="left" w:pos="1440"/>
        </w:tabs>
        <w:rPr>
          <w:szCs w:val="26"/>
        </w:rPr>
      </w:pPr>
      <w:r w:rsidRPr="00901DF7">
        <w:rPr>
          <w:szCs w:val="26"/>
        </w:rPr>
        <w:tab/>
      </w:r>
      <w:r w:rsidRPr="00901DF7" w:rsidR="00F23FCE">
        <w:rPr>
          <w:szCs w:val="26"/>
        </w:rPr>
        <w:t xml:space="preserve">Here, defendant </w:t>
      </w:r>
      <w:r w:rsidRPr="00901DF7" w:rsidR="00B7401C">
        <w:rPr>
          <w:szCs w:val="26"/>
        </w:rPr>
        <w:t xml:space="preserve">was sentenced to </w:t>
      </w:r>
      <w:r w:rsidRPr="00901DF7" w:rsidR="00C50A43">
        <w:rPr>
          <w:szCs w:val="26"/>
        </w:rPr>
        <w:t xml:space="preserve">an indeterminate term of </w:t>
      </w:r>
      <w:r w:rsidRPr="00901DF7" w:rsidR="005C5D46">
        <w:rPr>
          <w:szCs w:val="26"/>
        </w:rPr>
        <w:t xml:space="preserve">100 years to life plus </w:t>
      </w:r>
      <w:r w:rsidRPr="00901DF7" w:rsidR="00C50A43">
        <w:rPr>
          <w:szCs w:val="26"/>
        </w:rPr>
        <w:t xml:space="preserve">a </w:t>
      </w:r>
      <w:r w:rsidRPr="00901DF7" w:rsidR="00EB50A9">
        <w:rPr>
          <w:szCs w:val="26"/>
        </w:rPr>
        <w:t xml:space="preserve">consecutive </w:t>
      </w:r>
      <w:r w:rsidRPr="00901DF7" w:rsidR="00C50A43">
        <w:rPr>
          <w:szCs w:val="26"/>
        </w:rPr>
        <w:t xml:space="preserve">determinate term of </w:t>
      </w:r>
      <w:r w:rsidRPr="00901DF7" w:rsidR="005C5D46">
        <w:rPr>
          <w:szCs w:val="26"/>
        </w:rPr>
        <w:t xml:space="preserve">86 years and </w:t>
      </w:r>
      <w:r w:rsidR="00EE6056">
        <w:rPr>
          <w:szCs w:val="26"/>
        </w:rPr>
        <w:t>two</w:t>
      </w:r>
      <w:r w:rsidRPr="00901DF7" w:rsidR="00EE6056">
        <w:rPr>
          <w:szCs w:val="26"/>
        </w:rPr>
        <w:t xml:space="preserve"> </w:t>
      </w:r>
      <w:r w:rsidRPr="00901DF7" w:rsidR="005C5D46">
        <w:rPr>
          <w:szCs w:val="26"/>
        </w:rPr>
        <w:t>months</w:t>
      </w:r>
      <w:r w:rsidRPr="00901DF7" w:rsidR="00500DF9">
        <w:rPr>
          <w:szCs w:val="26"/>
        </w:rPr>
        <w:t xml:space="preserve"> </w:t>
      </w:r>
      <w:r w:rsidRPr="00901DF7" w:rsidR="00357C7B">
        <w:rPr>
          <w:szCs w:val="26"/>
        </w:rPr>
        <w:t>(</w:t>
      </w:r>
      <w:r w:rsidRPr="00901DF7" w:rsidR="00500DF9">
        <w:rPr>
          <w:szCs w:val="26"/>
        </w:rPr>
        <w:t>s</w:t>
      </w:r>
      <w:r w:rsidRPr="00901DF7" w:rsidR="00357C7B">
        <w:rPr>
          <w:szCs w:val="26"/>
        </w:rPr>
        <w:t>ee §</w:t>
      </w:r>
      <w:r w:rsidR="007B112D">
        <w:rPr>
          <w:szCs w:val="26"/>
        </w:rPr>
        <w:t>§ </w:t>
      </w:r>
      <w:r w:rsidRPr="00901DF7" w:rsidR="00357C7B">
        <w:rPr>
          <w:szCs w:val="26"/>
        </w:rPr>
        <w:t>669, subd. (a); 3046, subd. (b))</w:t>
      </w:r>
      <w:r w:rsidRPr="00901DF7" w:rsidR="00500DF9">
        <w:rPr>
          <w:szCs w:val="26"/>
        </w:rPr>
        <w:t xml:space="preserve">, making him </w:t>
      </w:r>
      <w:r w:rsidRPr="00901DF7">
        <w:rPr>
          <w:szCs w:val="26"/>
        </w:rPr>
        <w:t xml:space="preserve">eligible for parole after </w:t>
      </w:r>
      <w:r w:rsidRPr="00901DF7" w:rsidR="005C1F29">
        <w:rPr>
          <w:szCs w:val="26"/>
        </w:rPr>
        <w:t xml:space="preserve">serving </w:t>
      </w:r>
      <w:r w:rsidRPr="00901DF7" w:rsidR="00C22E16">
        <w:rPr>
          <w:szCs w:val="26"/>
        </w:rPr>
        <w:t>186</w:t>
      </w:r>
      <w:r w:rsidRPr="00901DF7">
        <w:rPr>
          <w:szCs w:val="26"/>
        </w:rPr>
        <w:t xml:space="preserve"> years of imprisonment</w:t>
      </w:r>
      <w:r w:rsidRPr="00901DF7" w:rsidR="001C457B">
        <w:rPr>
          <w:szCs w:val="26"/>
        </w:rPr>
        <w:t xml:space="preserve">, </w:t>
      </w:r>
      <w:r w:rsidRPr="00901DF7" w:rsidR="006E44E8">
        <w:rPr>
          <w:szCs w:val="26"/>
        </w:rPr>
        <w:t xml:space="preserve">a term </w:t>
      </w:r>
      <w:r w:rsidRPr="00901DF7" w:rsidR="002D02C2">
        <w:rPr>
          <w:szCs w:val="26"/>
        </w:rPr>
        <w:t xml:space="preserve">greatly </w:t>
      </w:r>
      <w:r w:rsidRPr="00901DF7" w:rsidR="00C61F7E">
        <w:rPr>
          <w:szCs w:val="26"/>
        </w:rPr>
        <w:t>exceeding his life expectancy</w:t>
      </w:r>
      <w:r w:rsidRPr="00901DF7" w:rsidR="001C457B">
        <w:rPr>
          <w:szCs w:val="26"/>
        </w:rPr>
        <w:t>.</w:t>
      </w:r>
      <w:r w:rsidRPr="00901DF7" w:rsidR="00D95673">
        <w:rPr>
          <w:szCs w:val="26"/>
        </w:rPr>
        <w:t xml:space="preserve">  </w:t>
      </w:r>
      <w:r w:rsidRPr="00901DF7" w:rsidR="00590060">
        <w:rPr>
          <w:szCs w:val="26"/>
        </w:rPr>
        <w:t xml:space="preserve">If eligible under </w:t>
      </w:r>
      <w:r w:rsidRPr="00901DF7" w:rsidR="005C1F29">
        <w:rPr>
          <w:szCs w:val="26"/>
        </w:rPr>
        <w:t xml:space="preserve">section 3051, defendant </w:t>
      </w:r>
      <w:r w:rsidRPr="00901DF7" w:rsidR="00D95673">
        <w:rPr>
          <w:szCs w:val="26"/>
        </w:rPr>
        <w:t xml:space="preserve">could seek parole </w:t>
      </w:r>
      <w:r w:rsidRPr="00901DF7" w:rsidR="00C22E16">
        <w:rPr>
          <w:szCs w:val="26"/>
        </w:rPr>
        <w:t>after 25 years of incarceration</w:t>
      </w:r>
      <w:r w:rsidRPr="00901DF7" w:rsidR="00D95673">
        <w:rPr>
          <w:szCs w:val="26"/>
        </w:rPr>
        <w:t xml:space="preserve">. </w:t>
      </w:r>
      <w:r w:rsidRPr="00901DF7" w:rsidR="0087550B">
        <w:rPr>
          <w:szCs w:val="26"/>
        </w:rPr>
        <w:t xml:space="preserve"> </w:t>
      </w:r>
      <w:r w:rsidRPr="00901DF7" w:rsidR="00C22E16">
        <w:rPr>
          <w:szCs w:val="26"/>
        </w:rPr>
        <w:t xml:space="preserve">(See </w:t>
      </w:r>
      <w:r w:rsidR="007B112D">
        <w:rPr>
          <w:szCs w:val="26"/>
        </w:rPr>
        <w:t>§ </w:t>
      </w:r>
      <w:r w:rsidRPr="00901DF7" w:rsidR="00C22E16">
        <w:rPr>
          <w:szCs w:val="26"/>
        </w:rPr>
        <w:t xml:space="preserve">3051, subd. (b)(3).)  </w:t>
      </w:r>
      <w:r w:rsidRPr="00901DF7" w:rsidR="00A000B7">
        <w:rPr>
          <w:szCs w:val="26"/>
        </w:rPr>
        <w:t xml:space="preserve">However, </w:t>
      </w:r>
      <w:r w:rsidRPr="00901DF7" w:rsidR="00921D05">
        <w:rPr>
          <w:szCs w:val="26"/>
        </w:rPr>
        <w:t>b</w:t>
      </w:r>
      <w:r w:rsidRPr="00901DF7" w:rsidR="009100C6">
        <w:rPr>
          <w:szCs w:val="26"/>
        </w:rPr>
        <w:t xml:space="preserve">ecause </w:t>
      </w:r>
      <w:r w:rsidRPr="00901DF7" w:rsidR="006F4ABE">
        <w:rPr>
          <w:szCs w:val="26"/>
        </w:rPr>
        <w:t>he</w:t>
      </w:r>
      <w:r w:rsidRPr="00901DF7" w:rsidR="009100C6">
        <w:rPr>
          <w:szCs w:val="26"/>
        </w:rPr>
        <w:t xml:space="preserve"> was</w:t>
      </w:r>
      <w:r w:rsidRPr="00901DF7" w:rsidR="008B31F7">
        <w:rPr>
          <w:szCs w:val="26"/>
        </w:rPr>
        <w:t xml:space="preserve"> </w:t>
      </w:r>
      <w:r w:rsidRPr="00901DF7" w:rsidR="005756A7">
        <w:rPr>
          <w:szCs w:val="26"/>
        </w:rPr>
        <w:t xml:space="preserve">sentenced under the </w:t>
      </w:r>
      <w:r w:rsidRPr="00901DF7" w:rsidR="009100C6">
        <w:rPr>
          <w:szCs w:val="26"/>
        </w:rPr>
        <w:t xml:space="preserve">One Strike </w:t>
      </w:r>
      <w:r w:rsidRPr="00901DF7" w:rsidR="005756A7">
        <w:rPr>
          <w:szCs w:val="26"/>
        </w:rPr>
        <w:t>law</w:t>
      </w:r>
      <w:r w:rsidRPr="00901DF7" w:rsidR="009100C6">
        <w:rPr>
          <w:szCs w:val="26"/>
        </w:rPr>
        <w:t>,</w:t>
      </w:r>
      <w:r w:rsidRPr="00901DF7" w:rsidR="002D4735">
        <w:rPr>
          <w:szCs w:val="26"/>
        </w:rPr>
        <w:t xml:space="preserve"> </w:t>
      </w:r>
      <w:r w:rsidRPr="00901DF7" w:rsidR="009100C6">
        <w:rPr>
          <w:szCs w:val="26"/>
        </w:rPr>
        <w:t xml:space="preserve">he is </w:t>
      </w:r>
      <w:r w:rsidRPr="00901DF7" w:rsidR="0087550B">
        <w:rPr>
          <w:szCs w:val="26"/>
        </w:rPr>
        <w:t xml:space="preserve">categorically </w:t>
      </w:r>
      <w:r w:rsidRPr="00901DF7" w:rsidR="009100C6">
        <w:rPr>
          <w:szCs w:val="26"/>
        </w:rPr>
        <w:t>excluded from</w:t>
      </w:r>
      <w:r w:rsidRPr="00901DF7" w:rsidR="00576D2D">
        <w:rPr>
          <w:szCs w:val="26"/>
        </w:rPr>
        <w:t xml:space="preserve"> seeking early parole </w:t>
      </w:r>
      <w:r w:rsidRPr="00901DF7" w:rsidR="009100C6">
        <w:rPr>
          <w:szCs w:val="26"/>
        </w:rPr>
        <w:t>under section 3051</w:t>
      </w:r>
      <w:r w:rsidRPr="00901DF7" w:rsidR="0087550B">
        <w:rPr>
          <w:szCs w:val="26"/>
        </w:rPr>
        <w:t xml:space="preserve">(h), </w:t>
      </w:r>
      <w:r w:rsidRPr="00901DF7" w:rsidR="00576D2D">
        <w:rPr>
          <w:szCs w:val="26"/>
        </w:rPr>
        <w:t>while</w:t>
      </w:r>
      <w:r w:rsidRPr="00901DF7" w:rsidR="0087550B">
        <w:rPr>
          <w:szCs w:val="26"/>
        </w:rPr>
        <w:t xml:space="preserve"> </w:t>
      </w:r>
      <w:r w:rsidR="00B7581F">
        <w:rPr>
          <w:szCs w:val="26"/>
        </w:rPr>
        <w:t xml:space="preserve">some </w:t>
      </w:r>
      <w:r w:rsidRPr="00901DF7" w:rsidR="00576D2D">
        <w:rPr>
          <w:szCs w:val="26"/>
        </w:rPr>
        <w:t>young adult offenders</w:t>
      </w:r>
      <w:r w:rsidRPr="00901DF7" w:rsidR="00DC178F">
        <w:rPr>
          <w:szCs w:val="26"/>
        </w:rPr>
        <w:t xml:space="preserve"> convicted of murder </w:t>
      </w:r>
      <w:r w:rsidRPr="00901DF7" w:rsidR="00576D2D">
        <w:rPr>
          <w:szCs w:val="26"/>
        </w:rPr>
        <w:t>remain eligible for parole after serving 25 years</w:t>
      </w:r>
      <w:r w:rsidRPr="00901DF7" w:rsidR="0087550B">
        <w:rPr>
          <w:szCs w:val="26"/>
        </w:rPr>
        <w:t>.  Defendant</w:t>
      </w:r>
      <w:r w:rsidRPr="00901DF7" w:rsidR="00500DF9">
        <w:rPr>
          <w:szCs w:val="26"/>
        </w:rPr>
        <w:t xml:space="preserve"> </w:t>
      </w:r>
      <w:r w:rsidRPr="00901DF7" w:rsidR="0087550B">
        <w:rPr>
          <w:szCs w:val="26"/>
        </w:rPr>
        <w:t>maintains this unequal treatment</w:t>
      </w:r>
      <w:r w:rsidRPr="00901DF7" w:rsidR="00944B42">
        <w:rPr>
          <w:szCs w:val="26"/>
        </w:rPr>
        <w:t xml:space="preserve"> </w:t>
      </w:r>
      <w:r w:rsidRPr="00901DF7" w:rsidR="00023225">
        <w:rPr>
          <w:szCs w:val="26"/>
        </w:rPr>
        <w:t xml:space="preserve">of </w:t>
      </w:r>
      <w:r w:rsidRPr="00901DF7" w:rsidR="00344B6D">
        <w:rPr>
          <w:szCs w:val="26"/>
        </w:rPr>
        <w:t xml:space="preserve">the two types of offenders has no rational basis and therefore </w:t>
      </w:r>
      <w:r w:rsidRPr="00901DF7" w:rsidR="00944B42">
        <w:rPr>
          <w:szCs w:val="26"/>
        </w:rPr>
        <w:t>violates the Fourteenth Amendment</w:t>
      </w:r>
      <w:r w:rsidRPr="00901DF7" w:rsidR="00A000B7">
        <w:rPr>
          <w:szCs w:val="26"/>
        </w:rPr>
        <w:t>’s guarantee of equal protection</w:t>
      </w:r>
      <w:r w:rsidRPr="00901DF7" w:rsidR="00944B42">
        <w:rPr>
          <w:szCs w:val="26"/>
        </w:rPr>
        <w:t>.</w:t>
      </w:r>
      <w:r>
        <w:rPr>
          <w:rStyle w:val="FootnoteReference"/>
          <w:szCs w:val="26"/>
        </w:rPr>
        <w:footnoteReference w:id="6"/>
      </w:r>
    </w:p>
    <w:p w:rsidR="00F676E6" w:rsidRPr="00901DF7" w:rsidP="00F676E6" w14:paraId="42B814C9" w14:textId="72CDDB4A">
      <w:pPr>
        <w:tabs>
          <w:tab w:val="left" w:pos="720"/>
          <w:tab w:val="left" w:pos="1440"/>
        </w:tabs>
        <w:rPr>
          <w:szCs w:val="26"/>
        </w:rPr>
      </w:pPr>
      <w:r w:rsidRPr="00901DF7">
        <w:rPr>
          <w:szCs w:val="26"/>
        </w:rPr>
        <w:tab/>
      </w:r>
      <w:r w:rsidRPr="00901DF7" w:rsidR="00DC2F99">
        <w:rPr>
          <w:szCs w:val="26"/>
        </w:rPr>
        <w:t xml:space="preserve"> </w:t>
      </w:r>
      <w:r w:rsidRPr="00901DF7" w:rsidR="00FC0926">
        <w:rPr>
          <w:szCs w:val="26"/>
        </w:rPr>
        <w:t xml:space="preserve">Subdivision </w:t>
      </w:r>
      <w:r w:rsidRPr="00901DF7" w:rsidR="00656541">
        <w:rPr>
          <w:szCs w:val="26"/>
        </w:rPr>
        <w:t xml:space="preserve">(h) of section 3051 </w:t>
      </w:r>
      <w:r w:rsidRPr="00901DF7" w:rsidR="00DA2857">
        <w:t xml:space="preserve">categorically excludes certain persons from consideration for youth offender parole hearings. </w:t>
      </w:r>
      <w:r w:rsidRPr="00901DF7" w:rsidR="00251299">
        <w:t xml:space="preserve"> </w:t>
      </w:r>
      <w:r w:rsidRPr="00901DF7" w:rsidR="008B533D">
        <w:t xml:space="preserve">Those ineligible for early parole include </w:t>
      </w:r>
      <w:r w:rsidRPr="00901DF7" w:rsidR="00FC0926">
        <w:t>offenders who</w:t>
      </w:r>
      <w:r w:rsidRPr="00901DF7" w:rsidR="006F4ABE">
        <w:t>,</w:t>
      </w:r>
      <w:r w:rsidRPr="00901DF7" w:rsidR="00FC0926">
        <w:t xml:space="preserve"> like defendant, are sentenced for felony sex crimes under the One Strike law (</w:t>
      </w:r>
      <w:r w:rsidR="007B112D">
        <w:t>§ </w:t>
      </w:r>
      <w:r w:rsidRPr="00901DF7" w:rsidR="00FC0926">
        <w:t xml:space="preserve">667.61); </w:t>
      </w:r>
      <w:r w:rsidRPr="00901DF7" w:rsidR="00DA2857">
        <w:t xml:space="preserve">offenders </w:t>
      </w:r>
      <w:r w:rsidRPr="00901DF7" w:rsidR="00FC0926">
        <w:t xml:space="preserve">who are </w:t>
      </w:r>
      <w:r w:rsidRPr="00901DF7" w:rsidR="00DA2857">
        <w:t>sentenced under the Three Strikes law (§</w:t>
      </w:r>
      <w:r w:rsidR="007B112D">
        <w:t>§ </w:t>
      </w:r>
      <w:r w:rsidRPr="00901DF7" w:rsidR="00DA2857">
        <w:t>667, subd</w:t>
      </w:r>
      <w:r w:rsidR="009A56DC">
        <w:t>s</w:t>
      </w:r>
      <w:r w:rsidRPr="00901DF7" w:rsidR="00DA2857">
        <w:t>. (b)</w:t>
      </w:r>
      <w:r w:rsidR="005F1A4F">
        <w:t>–</w:t>
      </w:r>
      <w:r w:rsidRPr="00901DF7" w:rsidR="00DA2857">
        <w:t>(i), 1170.</w:t>
      </w:r>
      <w:r w:rsidRPr="00901DF7" w:rsidR="00A57218">
        <w:t>1</w:t>
      </w:r>
      <w:r w:rsidRPr="00901DF7" w:rsidR="00DA2857">
        <w:t>2); offenders who are sentenced to life without parole for an offense committed after turning 18 year</w:t>
      </w:r>
      <w:r w:rsidRPr="00901DF7" w:rsidR="005D2050">
        <w:t>s</w:t>
      </w:r>
      <w:r w:rsidRPr="00901DF7" w:rsidR="00DA2857">
        <w:t xml:space="preserve"> old;</w:t>
      </w:r>
      <w:r>
        <w:rPr>
          <w:rStyle w:val="FootnoteReference"/>
        </w:rPr>
        <w:footnoteReference w:id="7"/>
      </w:r>
      <w:r w:rsidRPr="00901DF7" w:rsidR="00DA2857">
        <w:t xml:space="preserve"> and offenders who, “subsequent to attaining 26 years of age, commit[] an additional crime for which malice aforethought is a necessary element of the crime or for which the individual is sentenced to life in prison.”  (</w:t>
      </w:r>
      <w:r w:rsidR="007B112D">
        <w:t>§ </w:t>
      </w:r>
      <w:r w:rsidRPr="00901DF7" w:rsidR="00DA2857">
        <w:t>3051(h).)</w:t>
      </w:r>
      <w:r w:rsidRPr="00901DF7" w:rsidR="008B533D">
        <w:t xml:space="preserve">  </w:t>
      </w:r>
      <w:r w:rsidR="00B7581F">
        <w:t>Although the life without parole exclusion applies to persons convicted of special circumstance murder committed after the age of 18, other i</w:t>
      </w:r>
      <w:r w:rsidRPr="00901DF7" w:rsidR="00F64DA3">
        <w:t xml:space="preserve">ndividuals </w:t>
      </w:r>
      <w:r w:rsidRPr="00901DF7" w:rsidR="00F94113">
        <w:t>who are convicted of</w:t>
      </w:r>
      <w:r w:rsidRPr="00901DF7" w:rsidR="00FD5832">
        <w:t xml:space="preserve"> </w:t>
      </w:r>
      <w:r w:rsidRPr="00901DF7" w:rsidR="00F94113">
        <w:t>murder are not categorically excluded</w:t>
      </w:r>
      <w:r w:rsidRPr="00901DF7" w:rsidR="00F64DA3">
        <w:t>; neither are those who are sentenced under the habitual</w:t>
      </w:r>
      <w:r w:rsidRPr="00901DF7" w:rsidR="00FD5832">
        <w:t xml:space="preserve"> sexual offender act (</w:t>
      </w:r>
      <w:r w:rsidR="007B112D">
        <w:t>§ </w:t>
      </w:r>
      <w:r w:rsidRPr="00901DF7" w:rsidR="00FD5832">
        <w:t>667.71)</w:t>
      </w:r>
      <w:r w:rsidRPr="00901DF7" w:rsidR="00F94113">
        <w:t>.</w:t>
      </w:r>
      <w:r w:rsidRPr="00901DF7" w:rsidR="009F6884">
        <w:t xml:space="preserve">  </w:t>
      </w:r>
      <w:r w:rsidRPr="00901DF7" w:rsidR="0030733D">
        <w:t xml:space="preserve">The </w:t>
      </w:r>
      <w:r w:rsidRPr="00901DF7" w:rsidR="00E67725">
        <w:t xml:space="preserve">statute itself </w:t>
      </w:r>
      <w:r w:rsidRPr="00901DF7" w:rsidR="0030733D">
        <w:t xml:space="preserve">does not </w:t>
      </w:r>
      <w:r w:rsidR="004D0D30">
        <w:t>explicitly describe</w:t>
      </w:r>
      <w:r w:rsidRPr="00901DF7" w:rsidR="004D0D30">
        <w:t xml:space="preserve"> </w:t>
      </w:r>
      <w:r w:rsidRPr="00901DF7" w:rsidR="0030733D">
        <w:t xml:space="preserve">the underlying </w:t>
      </w:r>
      <w:r w:rsidRPr="00901DF7" w:rsidR="009F6884">
        <w:t>purpose for section 3051’s enumerated exclusions (</w:t>
      </w:r>
      <w:r w:rsidR="007B112D">
        <w:t>§ </w:t>
      </w:r>
      <w:r w:rsidRPr="00901DF7" w:rsidR="009F6884">
        <w:t>3051(h))</w:t>
      </w:r>
      <w:r w:rsidRPr="00901DF7" w:rsidR="00E67725">
        <w:t xml:space="preserve">.  </w:t>
      </w:r>
      <w:r>
        <w:rPr>
          <w:szCs w:val="26"/>
        </w:rPr>
        <w:t xml:space="preserve">Although the Legislature has amended section 3051 </w:t>
      </w:r>
      <w:r w:rsidR="005F1A4F">
        <w:rPr>
          <w:szCs w:val="26"/>
        </w:rPr>
        <w:t>several</w:t>
      </w:r>
      <w:r>
        <w:rPr>
          <w:szCs w:val="26"/>
        </w:rPr>
        <w:t xml:space="preserve"> times, it has maintained the One Strike exclusion since </w:t>
      </w:r>
      <w:r w:rsidR="00C11658">
        <w:rPr>
          <w:szCs w:val="26"/>
        </w:rPr>
        <w:t>the section’s</w:t>
      </w:r>
      <w:r>
        <w:rPr>
          <w:szCs w:val="26"/>
        </w:rPr>
        <w:t xml:space="preserve"> enactment in 2013.  (See </w:t>
      </w:r>
      <w:r w:rsidRPr="00F676E6">
        <w:rPr>
          <w:i/>
          <w:iCs/>
          <w:szCs w:val="26"/>
        </w:rPr>
        <w:t>Hardin</w:t>
      </w:r>
      <w:r>
        <w:rPr>
          <w:szCs w:val="26"/>
        </w:rPr>
        <w:t xml:space="preserve">, </w:t>
      </w:r>
      <w:r w:rsidRPr="00F676E6">
        <w:rPr>
          <w:i/>
          <w:iCs/>
          <w:szCs w:val="26"/>
        </w:rPr>
        <w:t>supra</w:t>
      </w:r>
      <w:r>
        <w:rPr>
          <w:szCs w:val="26"/>
        </w:rPr>
        <w:t xml:space="preserve">, 15 Cal.5th at p. 846.) </w:t>
      </w:r>
    </w:p>
    <w:p w:rsidR="00C70166" w:rsidRPr="00901DF7" w:rsidP="00901DF7" w14:paraId="112A662C" w14:textId="177ADE3B">
      <w:pPr>
        <w:tabs>
          <w:tab w:val="left" w:pos="720"/>
          <w:tab w:val="left" w:pos="1440"/>
        </w:tabs>
      </w:pPr>
      <w:r w:rsidRPr="00901DF7">
        <w:tab/>
      </w:r>
      <w:r w:rsidRPr="00901DF7" w:rsidR="006B44F1">
        <w:t>A</w:t>
      </w:r>
      <w:r w:rsidRPr="00901DF7" w:rsidR="009F285B">
        <w:rPr>
          <w:szCs w:val="26"/>
        </w:rPr>
        <w:t>lthough</w:t>
      </w:r>
      <w:r w:rsidRPr="00901DF7" w:rsidR="006926AE">
        <w:rPr>
          <w:szCs w:val="26"/>
        </w:rPr>
        <w:t xml:space="preserve"> </w:t>
      </w:r>
      <w:r w:rsidRPr="00901DF7" w:rsidR="009F285B">
        <w:rPr>
          <w:szCs w:val="26"/>
        </w:rPr>
        <w:t>“parole is a form of punishment accruing directly from the underlying conviction” (</w:t>
      </w:r>
      <w:r w:rsidRPr="00901DF7" w:rsidR="009F285B">
        <w:rPr>
          <w:i/>
          <w:iCs/>
          <w:szCs w:val="26"/>
        </w:rPr>
        <w:t xml:space="preserve">People v. Nuckles </w:t>
      </w:r>
      <w:r w:rsidRPr="00901DF7" w:rsidR="009F285B">
        <w:rPr>
          <w:szCs w:val="26"/>
        </w:rPr>
        <w:t>(2013) 56 Cal.4th 601, 609</w:t>
      </w:r>
      <w:r w:rsidRPr="00901DF7" w:rsidR="00E43E15">
        <w:rPr>
          <w:szCs w:val="26"/>
        </w:rPr>
        <w:t>)</w:t>
      </w:r>
      <w:r w:rsidRPr="00901DF7" w:rsidR="009F285B">
        <w:rPr>
          <w:szCs w:val="26"/>
        </w:rPr>
        <w:t>, t</w:t>
      </w:r>
      <w:r w:rsidRPr="00901DF7" w:rsidR="00FA0EF7">
        <w:rPr>
          <w:szCs w:val="26"/>
        </w:rPr>
        <w:t>o a youth offender seeking early release under section 3051</w:t>
      </w:r>
      <w:r w:rsidRPr="00901DF7" w:rsidR="004F230E">
        <w:rPr>
          <w:szCs w:val="26"/>
        </w:rPr>
        <w:t>,</w:t>
      </w:r>
      <w:r w:rsidRPr="00901DF7" w:rsidR="008F5C05">
        <w:rPr>
          <w:szCs w:val="26"/>
        </w:rPr>
        <w:t xml:space="preserve"> the prospect of </w:t>
      </w:r>
      <w:r w:rsidRPr="00901DF7" w:rsidR="006B44F1">
        <w:rPr>
          <w:szCs w:val="26"/>
        </w:rPr>
        <w:t xml:space="preserve">parole </w:t>
      </w:r>
      <w:r w:rsidRPr="00901DF7" w:rsidR="00F2123C">
        <w:rPr>
          <w:szCs w:val="26"/>
        </w:rPr>
        <w:t xml:space="preserve">serves as </w:t>
      </w:r>
      <w:r w:rsidRPr="00901DF7" w:rsidR="00FA0EF7">
        <w:rPr>
          <w:szCs w:val="26"/>
        </w:rPr>
        <w:t>a form of dispensation</w:t>
      </w:r>
      <w:r w:rsidRPr="00901DF7" w:rsidR="00570A4A">
        <w:rPr>
          <w:szCs w:val="26"/>
        </w:rPr>
        <w:t xml:space="preserve"> allowing the offender to</w:t>
      </w:r>
      <w:r w:rsidRPr="00901DF7" w:rsidR="00FA0EF7">
        <w:rPr>
          <w:szCs w:val="26"/>
        </w:rPr>
        <w:t xml:space="preserve"> </w:t>
      </w:r>
      <w:r w:rsidRPr="00901DF7" w:rsidR="00570A4A">
        <w:rPr>
          <w:szCs w:val="26"/>
        </w:rPr>
        <w:t xml:space="preserve">demonstrate </w:t>
      </w:r>
      <w:r w:rsidRPr="00901DF7" w:rsidR="00FA0EF7">
        <w:rPr>
          <w:szCs w:val="26"/>
        </w:rPr>
        <w:t>the requisite maturity and rehabilitation</w:t>
      </w:r>
      <w:r w:rsidRPr="00901DF7" w:rsidR="00134FC3">
        <w:rPr>
          <w:szCs w:val="26"/>
        </w:rPr>
        <w:t xml:space="preserve"> to return to society after years of incarceration</w:t>
      </w:r>
      <w:r w:rsidRPr="00901DF7" w:rsidR="00FA0EF7">
        <w:rPr>
          <w:szCs w:val="26"/>
        </w:rPr>
        <w:t xml:space="preserve">.  </w:t>
      </w:r>
      <w:r w:rsidRPr="00901DF7" w:rsidR="007508B5">
        <w:rPr>
          <w:szCs w:val="26"/>
        </w:rPr>
        <w:t>Specifically, s</w:t>
      </w:r>
      <w:r w:rsidRPr="00901DF7" w:rsidR="00A217CA">
        <w:rPr>
          <w:szCs w:val="26"/>
        </w:rPr>
        <w:t>ection 3051 offers</w:t>
      </w:r>
      <w:r w:rsidRPr="00901DF7" w:rsidR="00A1550A">
        <w:rPr>
          <w:szCs w:val="26"/>
        </w:rPr>
        <w:t xml:space="preserve"> youth offenders</w:t>
      </w:r>
      <w:r w:rsidRPr="00901DF7">
        <w:t xml:space="preserve"> “a meaningful opportunity” for release</w:t>
      </w:r>
      <w:r w:rsidR="005F1A4F">
        <w:t xml:space="preserve"> (</w:t>
      </w:r>
      <w:r w:rsidR="007B112D">
        <w:t>§ </w:t>
      </w:r>
      <w:r w:rsidR="005F1A4F">
        <w:t>3051, subd. (e)),</w:t>
      </w:r>
      <w:r w:rsidRPr="00901DF7">
        <w:t xml:space="preserve"> </w:t>
      </w:r>
      <w:r w:rsidRPr="00901DF7" w:rsidR="00A1550A">
        <w:t>requiring th</w:t>
      </w:r>
      <w:r w:rsidRPr="00901DF7" w:rsidR="004F21EB">
        <w:t xml:space="preserve">e Board </w:t>
      </w:r>
      <w:r w:rsidRPr="00901DF7" w:rsidR="00A1550A">
        <w:t>to</w:t>
      </w:r>
      <w:r w:rsidRPr="00901DF7" w:rsidR="004F21EB">
        <w:t xml:space="preserve"> give</w:t>
      </w:r>
      <w:r w:rsidRPr="00901DF7">
        <w:t xml:space="preserve"> “great weight to the diminished culpability of youth as compared to adults, the hallmark features of youth, and any subsequent growth and increased maturity”</w:t>
      </w:r>
      <w:r w:rsidRPr="00901DF7" w:rsidR="007B6065">
        <w:t xml:space="preserve"> </w:t>
      </w:r>
      <w:r w:rsidRPr="00901DF7" w:rsidR="000834AF">
        <w:t>(</w:t>
      </w:r>
      <w:r w:rsidR="007B112D">
        <w:t>§ </w:t>
      </w:r>
      <w:r w:rsidRPr="00901DF7">
        <w:t>4801, subd. (c);</w:t>
      </w:r>
      <w:r w:rsidRPr="00901DF7" w:rsidR="000834AF">
        <w:t xml:space="preserve"> see</w:t>
      </w:r>
      <w:r w:rsidRPr="00901DF7">
        <w:t xml:space="preserve"> </w:t>
      </w:r>
      <w:r w:rsidR="007B112D">
        <w:t>§ </w:t>
      </w:r>
      <w:r w:rsidRPr="00901DF7" w:rsidR="000834AF">
        <w:t xml:space="preserve">3051, subd. (e); </w:t>
      </w:r>
      <w:r w:rsidRPr="00901DF7">
        <w:t>see also 15 Cal. Code Regs. §</w:t>
      </w:r>
      <w:r w:rsidR="007B112D">
        <w:t>§ </w:t>
      </w:r>
      <w:r w:rsidRPr="00901DF7">
        <w:t>2440–2448 [Regulations on “Parole Consideration Hearings for Youth Offenders”]</w:t>
      </w:r>
      <w:r w:rsidRPr="00901DF7" w:rsidR="00445A6F">
        <w:t xml:space="preserve">; see </w:t>
      </w:r>
      <w:r w:rsidRPr="00901DF7" w:rsidR="00445A6F">
        <w:rPr>
          <w:i/>
          <w:iCs/>
        </w:rPr>
        <w:t>ante</w:t>
      </w:r>
      <w:r w:rsidRPr="00901DF7" w:rsidR="00445A6F">
        <w:t xml:space="preserve">, at p. </w:t>
      </w:r>
      <w:r w:rsidR="00103EF7">
        <w:t>6</w:t>
      </w:r>
      <w:r w:rsidRPr="00901DF7">
        <w:t>.)</w:t>
      </w:r>
      <w:r w:rsidRPr="00901DF7" w:rsidR="004F21EB">
        <w:t xml:space="preserve"> </w:t>
      </w:r>
    </w:p>
    <w:p w:rsidR="000C6964" w:rsidP="00901DF7" w14:paraId="32488BB6" w14:textId="6DA637C0">
      <w:pPr>
        <w:tabs>
          <w:tab w:val="left" w:pos="720"/>
          <w:tab w:val="left" w:pos="1440"/>
        </w:tabs>
      </w:pPr>
      <w:r w:rsidRPr="00901DF7">
        <w:tab/>
      </w:r>
      <w:r w:rsidRPr="00901DF7" w:rsidR="00FF387C">
        <w:t>Because section 3051 “create[s] a process by which growth and maturity of youthful offenders can be assessed and a meaning</w:t>
      </w:r>
      <w:r w:rsidRPr="00901DF7" w:rsidR="00FF4F34">
        <w:t xml:space="preserve">ful opportunity for release established” (Stats. 2013, ch. 312, </w:t>
      </w:r>
      <w:r w:rsidR="007B112D">
        <w:t>§ </w:t>
      </w:r>
      <w:r w:rsidRPr="00901DF7" w:rsidR="00FF4F34">
        <w:t>1),</w:t>
      </w:r>
      <w:r w:rsidRPr="00901DF7" w:rsidR="00DE1703">
        <w:t xml:space="preserve"> a denial of parole after a section 3051 proceeding</w:t>
      </w:r>
      <w:r w:rsidRPr="00901DF7" w:rsidR="00FF4F34">
        <w:t xml:space="preserve"> </w:t>
      </w:r>
      <w:r w:rsidRPr="00901DF7" w:rsidR="00DE1703">
        <w:t>reflects a determination that</w:t>
      </w:r>
      <w:r w:rsidRPr="00901DF7" w:rsidR="00FF4F34">
        <w:t>, among other things,</w:t>
      </w:r>
      <w:r w:rsidRPr="00901DF7" w:rsidR="00B45106">
        <w:t xml:space="preserve"> the </w:t>
      </w:r>
      <w:r w:rsidRPr="00901DF7" w:rsidR="00DE1703">
        <w:t xml:space="preserve">youthful </w:t>
      </w:r>
      <w:r w:rsidRPr="00901DF7" w:rsidR="00B45106">
        <w:t xml:space="preserve">offender has not sufficiently matured </w:t>
      </w:r>
      <w:r w:rsidRPr="00901DF7" w:rsidR="00BC0451">
        <w:t>and</w:t>
      </w:r>
      <w:r w:rsidRPr="00901DF7" w:rsidR="00B45106">
        <w:t xml:space="preserve"> rehabilitated</w:t>
      </w:r>
      <w:r w:rsidRPr="00901DF7" w:rsidR="00562668">
        <w:t xml:space="preserve"> to warrant release</w:t>
      </w:r>
      <w:r w:rsidRPr="00901DF7" w:rsidR="00B45106">
        <w:t xml:space="preserve">. </w:t>
      </w:r>
      <w:r w:rsidRPr="00901DF7" w:rsidR="00BD7A29">
        <w:t xml:space="preserve"> </w:t>
      </w:r>
      <w:r w:rsidRPr="00901DF7" w:rsidR="007543E5">
        <w:t>(</w:t>
      </w:r>
      <w:r w:rsidR="005F1A4F">
        <w:t xml:space="preserve">See </w:t>
      </w:r>
      <w:r w:rsidRPr="00901DF7" w:rsidR="007543E5">
        <w:rPr>
          <w:i/>
          <w:iCs/>
        </w:rPr>
        <w:t>Franklin</w:t>
      </w:r>
      <w:r w:rsidRPr="00901DF7" w:rsidR="007543E5">
        <w:t xml:space="preserve">, </w:t>
      </w:r>
      <w:r w:rsidRPr="00901DF7" w:rsidR="007543E5">
        <w:rPr>
          <w:i/>
          <w:iCs/>
        </w:rPr>
        <w:t>supra</w:t>
      </w:r>
      <w:r w:rsidRPr="00901DF7" w:rsidR="007543E5">
        <w:t>, 63 Cal.4th at p. 284</w:t>
      </w:r>
      <w:r w:rsidRPr="00901DF7" w:rsidR="00795731">
        <w:t xml:space="preserve"> [Board must determine if youth offender is “</w:t>
      </w:r>
      <w:r w:rsidR="00581DA9">
        <w:t> </w:t>
      </w:r>
      <w:r w:rsidRPr="00901DF7" w:rsidR="005D225A">
        <w:t>‘</w:t>
      </w:r>
      <w:r w:rsidRPr="00901DF7" w:rsidR="00795731">
        <w:t>fit to rejoin society’ despite having committed a serious</w:t>
      </w:r>
      <w:r w:rsidR="00581DA9">
        <w:t xml:space="preserve"> crime</w:t>
      </w:r>
      <w:r w:rsidRPr="00901DF7" w:rsidR="00795731">
        <w:t xml:space="preserve"> ‘while he was a child in the eyes of the law’</w:t>
      </w:r>
      <w:r w:rsidR="00581DA9">
        <w:t> </w:t>
      </w:r>
      <w:r w:rsidRPr="00901DF7" w:rsidR="00795731">
        <w:t>”].</w:t>
      </w:r>
      <w:r w:rsidRPr="00901DF7" w:rsidR="00332361">
        <w:t xml:space="preserve">)  </w:t>
      </w:r>
      <w:r w:rsidRPr="00901DF7" w:rsidR="00280E4D">
        <w:t xml:space="preserve">It follows that </w:t>
      </w:r>
      <w:r w:rsidRPr="00901DF7" w:rsidR="00A30E65">
        <w:t xml:space="preserve">the </w:t>
      </w:r>
      <w:r w:rsidRPr="00901DF7" w:rsidR="00356A00">
        <w:t>Legislature</w:t>
      </w:r>
      <w:r w:rsidRPr="00901DF7" w:rsidR="00A30E65">
        <w:t>’s decision to categorically exclude a class of youth offenders from such parole</w:t>
      </w:r>
      <w:r w:rsidRPr="00901DF7" w:rsidR="00023225">
        <w:t xml:space="preserve"> </w:t>
      </w:r>
      <w:r w:rsidRPr="00901DF7" w:rsidR="00BC0451">
        <w:t>reflect</w:t>
      </w:r>
      <w:r w:rsidRPr="00901DF7" w:rsidR="00A30E65">
        <w:t>s</w:t>
      </w:r>
      <w:r w:rsidRPr="00901DF7" w:rsidR="00E2770C">
        <w:t>, in part,</w:t>
      </w:r>
      <w:r w:rsidRPr="00901DF7" w:rsidR="00BC0451">
        <w:t xml:space="preserve"> </w:t>
      </w:r>
      <w:r w:rsidRPr="00901DF7" w:rsidR="00A30E65">
        <w:t>it</w:t>
      </w:r>
      <w:r w:rsidRPr="00901DF7" w:rsidR="00BC0451">
        <w:t xml:space="preserve">s judgment that </w:t>
      </w:r>
      <w:r w:rsidRPr="00901DF7" w:rsidR="00A30E65">
        <w:t xml:space="preserve">the excluded offenders </w:t>
      </w:r>
      <w:r w:rsidRPr="00901DF7" w:rsidR="002955E4">
        <w:rPr>
          <w:szCs w:val="26"/>
        </w:rPr>
        <w:t>do</w:t>
      </w:r>
      <w:r w:rsidRPr="00901DF7" w:rsidR="00A30E65">
        <w:rPr>
          <w:szCs w:val="26"/>
        </w:rPr>
        <w:t xml:space="preserve"> </w:t>
      </w:r>
      <w:r w:rsidRPr="00901DF7" w:rsidR="002955E4">
        <w:rPr>
          <w:szCs w:val="26"/>
        </w:rPr>
        <w:t>not have “greater prospects for reform” (</w:t>
      </w:r>
      <w:r w:rsidRPr="00901DF7" w:rsidR="002955E4">
        <w:rPr>
          <w:i/>
          <w:iCs/>
          <w:szCs w:val="26"/>
        </w:rPr>
        <w:t>Miller</w:t>
      </w:r>
      <w:r w:rsidRPr="00901DF7" w:rsidR="002955E4">
        <w:rPr>
          <w:szCs w:val="26"/>
        </w:rPr>
        <w:t xml:space="preserve">, </w:t>
      </w:r>
      <w:r w:rsidRPr="00901DF7" w:rsidR="002955E4">
        <w:rPr>
          <w:i/>
          <w:iCs/>
          <w:szCs w:val="26"/>
        </w:rPr>
        <w:t>supra</w:t>
      </w:r>
      <w:r w:rsidRPr="00901DF7" w:rsidR="002955E4">
        <w:rPr>
          <w:szCs w:val="26"/>
        </w:rPr>
        <w:t>, 567 U.S. at p. 471</w:t>
      </w:r>
      <w:r w:rsidRPr="00901DF7" w:rsidR="002955E4">
        <w:t xml:space="preserve">) and </w:t>
      </w:r>
      <w:r w:rsidRPr="00901DF7" w:rsidR="00A30E65">
        <w:t xml:space="preserve">are, </w:t>
      </w:r>
      <w:r w:rsidRPr="00901DF7" w:rsidR="00B52A3E">
        <w:t>therefore</w:t>
      </w:r>
      <w:r w:rsidRPr="00901DF7" w:rsidR="00A30E65">
        <w:t>,</w:t>
      </w:r>
      <w:r w:rsidRPr="00901DF7" w:rsidR="00B52A3E">
        <w:t xml:space="preserve"> </w:t>
      </w:r>
      <w:r w:rsidRPr="00901DF7" w:rsidR="00854A4A">
        <w:t xml:space="preserve">not amenable </w:t>
      </w:r>
      <w:r w:rsidRPr="00901DF7" w:rsidR="00890AC6">
        <w:t>for early release</w:t>
      </w:r>
      <w:r w:rsidRPr="00901DF7" w:rsidR="002955E4">
        <w:rPr>
          <w:szCs w:val="26"/>
        </w:rPr>
        <w:t>.</w:t>
      </w:r>
      <w:r w:rsidRPr="00901DF7" w:rsidR="002F2623">
        <w:t xml:space="preserve"> </w:t>
      </w:r>
    </w:p>
    <w:p w:rsidR="00D45451" w:rsidRPr="00901DF7" w:rsidP="00901DF7" w14:paraId="31342C3F" w14:textId="45E7C97B">
      <w:pPr>
        <w:tabs>
          <w:tab w:val="left" w:pos="720"/>
          <w:tab w:val="left" w:pos="1440"/>
        </w:tabs>
      </w:pPr>
      <w:r>
        <w:rPr>
          <w:szCs w:val="26"/>
        </w:rPr>
        <w:tab/>
      </w:r>
      <w:r w:rsidR="002C04F4">
        <w:rPr>
          <w:szCs w:val="26"/>
        </w:rPr>
        <w:t xml:space="preserve">We </w:t>
      </w:r>
      <w:r w:rsidR="00F906A3">
        <w:rPr>
          <w:szCs w:val="26"/>
        </w:rPr>
        <w:t>bear</w:t>
      </w:r>
      <w:r w:rsidR="002C04F4">
        <w:rPr>
          <w:szCs w:val="26"/>
        </w:rPr>
        <w:t xml:space="preserve"> in mind, however, that </w:t>
      </w:r>
      <w:r>
        <w:rPr>
          <w:szCs w:val="26"/>
        </w:rPr>
        <w:t>while the Legislature’s primary purpose in expanding youth offender parole eligibility was to offer certain young adult offenders “the opportunity to obtain release based on demonstrated growth and rehabilitation</w:t>
      </w:r>
      <w:r w:rsidR="00F906A3">
        <w:rPr>
          <w:szCs w:val="26"/>
        </w:rPr>
        <w:t>,</w:t>
      </w:r>
      <w:r>
        <w:rPr>
          <w:szCs w:val="26"/>
        </w:rPr>
        <w:t>” the Legislature also had “other, sometimes competing, concerns, including concerns about culpability and the appropriate level of punishment for certain very serious crimes” that informed the statutory framework</w:t>
      </w:r>
      <w:r w:rsidR="00F906A3">
        <w:rPr>
          <w:szCs w:val="26"/>
        </w:rPr>
        <w:t>.</w:t>
      </w:r>
      <w:r>
        <w:rPr>
          <w:szCs w:val="26"/>
        </w:rPr>
        <w:t xml:space="preserve"> </w:t>
      </w:r>
      <w:r w:rsidR="00F906A3">
        <w:rPr>
          <w:szCs w:val="26"/>
        </w:rPr>
        <w:t xml:space="preserve"> (</w:t>
      </w:r>
      <w:r w:rsidRPr="00EF5ECE" w:rsidR="00F906A3">
        <w:rPr>
          <w:i/>
          <w:iCs/>
          <w:szCs w:val="26"/>
        </w:rPr>
        <w:t>Hardin</w:t>
      </w:r>
      <w:r w:rsidR="00F906A3">
        <w:rPr>
          <w:szCs w:val="26"/>
        </w:rPr>
        <w:t xml:space="preserve">, </w:t>
      </w:r>
      <w:r w:rsidRPr="00EF5ECE" w:rsidR="00F906A3">
        <w:rPr>
          <w:i/>
          <w:iCs/>
          <w:szCs w:val="26"/>
        </w:rPr>
        <w:t>supra</w:t>
      </w:r>
      <w:r w:rsidR="00F906A3">
        <w:rPr>
          <w:szCs w:val="26"/>
        </w:rPr>
        <w:t>, 15 Cal.5th at p. 854.)</w:t>
      </w:r>
      <w:r>
        <w:rPr>
          <w:szCs w:val="26"/>
        </w:rPr>
        <w:t xml:space="preserve">  </w:t>
      </w:r>
      <w:r>
        <w:t>Here, we consider the exclusion of youth offenders sentenced for a One Strike offense, which may similarly reflect a range of “penological considerations, including rehabilitative and retributive purposes.”  (</w:t>
      </w:r>
      <w:r>
        <w:rPr>
          <w:i/>
          <w:iCs/>
        </w:rPr>
        <w:t>Hardin</w:t>
      </w:r>
      <w:r w:rsidR="00DB6097">
        <w:rPr>
          <w:i/>
          <w:iCs/>
        </w:rPr>
        <w:t>,</w:t>
      </w:r>
      <w:r>
        <w:t xml:space="preserve"> at p. 857.) </w:t>
      </w:r>
      <w:r w:rsidRPr="00901DF7" w:rsidR="002F2623">
        <w:t xml:space="preserve"> </w:t>
      </w:r>
    </w:p>
    <w:p w:rsidR="00144659" w:rsidRPr="00901DF7" w:rsidP="00901DF7" w14:paraId="42C834B5" w14:textId="2ED6FF82">
      <w:pPr>
        <w:tabs>
          <w:tab w:val="left" w:pos="720"/>
          <w:tab w:val="left" w:pos="1440"/>
        </w:tabs>
      </w:pPr>
      <w:r w:rsidRPr="00901DF7">
        <w:tab/>
        <w:t>W</w:t>
      </w:r>
      <w:r w:rsidRPr="00901DF7" w:rsidR="00FA0EF7">
        <w:rPr>
          <w:szCs w:val="26"/>
        </w:rPr>
        <w:t xml:space="preserve">ith this understanding </w:t>
      </w:r>
      <w:r w:rsidRPr="00901DF7" w:rsidR="009E5142">
        <w:rPr>
          <w:szCs w:val="26"/>
        </w:rPr>
        <w:t>of</w:t>
      </w:r>
      <w:r w:rsidRPr="00901DF7" w:rsidR="00560886">
        <w:rPr>
          <w:szCs w:val="26"/>
        </w:rPr>
        <w:t xml:space="preserve"> the nature of</w:t>
      </w:r>
      <w:r w:rsidRPr="00901DF7" w:rsidR="009E5142">
        <w:rPr>
          <w:szCs w:val="26"/>
        </w:rPr>
        <w:t xml:space="preserve"> parole eligibility</w:t>
      </w:r>
      <w:r w:rsidRPr="00901DF7" w:rsidR="00991CC4">
        <w:rPr>
          <w:szCs w:val="26"/>
        </w:rPr>
        <w:t xml:space="preserve"> under </w:t>
      </w:r>
      <w:r w:rsidRPr="00901DF7" w:rsidR="004F21EB">
        <w:rPr>
          <w:szCs w:val="26"/>
        </w:rPr>
        <w:t>section</w:t>
      </w:r>
      <w:r w:rsidRPr="00901DF7" w:rsidR="00991CC4">
        <w:rPr>
          <w:szCs w:val="26"/>
        </w:rPr>
        <w:t xml:space="preserve"> 3051</w:t>
      </w:r>
      <w:r w:rsidRPr="00901DF7" w:rsidR="00FA0EF7">
        <w:rPr>
          <w:szCs w:val="26"/>
        </w:rPr>
        <w:t xml:space="preserve">, </w:t>
      </w:r>
      <w:r w:rsidRPr="00901DF7" w:rsidR="00FA0EF7">
        <w:t>w</w:t>
      </w:r>
      <w:r w:rsidRPr="00901DF7" w:rsidR="00055BF2">
        <w:t>e</w:t>
      </w:r>
      <w:r w:rsidRPr="00901DF7" w:rsidR="00296E3D">
        <w:t xml:space="preserve"> </w:t>
      </w:r>
      <w:r w:rsidRPr="00901DF7" w:rsidR="008A1C9C">
        <w:t xml:space="preserve">now address </w:t>
      </w:r>
      <w:r w:rsidRPr="00901DF7" w:rsidR="00113FC5">
        <w:t>the One Strike law and its amendments</w:t>
      </w:r>
      <w:r w:rsidRPr="00901DF7" w:rsidR="008A1C9C">
        <w:t xml:space="preserve"> and explain</w:t>
      </w:r>
      <w:r w:rsidRPr="00901DF7" w:rsidR="00DE1703">
        <w:t xml:space="preserve"> </w:t>
      </w:r>
      <w:r w:rsidRPr="00901DF7" w:rsidR="008A1C9C">
        <w:t xml:space="preserve">how young adults sentenced under that law are precluded </w:t>
      </w:r>
      <w:r w:rsidRPr="00901DF7" w:rsidR="00113FC5">
        <w:t>from seeking relief under section 3051.</w:t>
      </w:r>
      <w:r w:rsidRPr="00901DF7" w:rsidR="008B533D">
        <w:t xml:space="preserve">  </w:t>
      </w:r>
    </w:p>
    <w:p w:rsidR="00204886" w:rsidRPr="00901DF7" w:rsidP="00901DF7" w14:paraId="0C0CE13D" w14:textId="151FDF66">
      <w:pPr>
        <w:pStyle w:val="ListParagraph"/>
        <w:numPr>
          <w:ilvl w:val="0"/>
          <w:numId w:val="2"/>
        </w:numPr>
        <w:tabs>
          <w:tab w:val="left" w:pos="720"/>
          <w:tab w:val="left" w:pos="1440"/>
        </w:tabs>
        <w:rPr>
          <w:b/>
          <w:bCs/>
        </w:rPr>
      </w:pPr>
      <w:r w:rsidRPr="00901DF7">
        <w:rPr>
          <w:b/>
          <w:bCs/>
        </w:rPr>
        <w:t xml:space="preserve">One Strike </w:t>
      </w:r>
      <w:r w:rsidRPr="00901DF7" w:rsidR="00C9037A">
        <w:rPr>
          <w:b/>
          <w:bCs/>
        </w:rPr>
        <w:t>Law and Its Amendments</w:t>
      </w:r>
    </w:p>
    <w:p w:rsidR="00642C07" w:rsidRPr="00901DF7" w:rsidP="00901DF7" w14:paraId="3B65250D" w14:textId="4291E6D7">
      <w:pPr>
        <w:tabs>
          <w:tab w:val="left" w:pos="720"/>
          <w:tab w:val="left" w:pos="1440"/>
        </w:tabs>
      </w:pPr>
      <w:r w:rsidRPr="00901DF7">
        <w:tab/>
      </w:r>
      <w:r w:rsidRPr="00901DF7" w:rsidR="008B533D">
        <w:t xml:space="preserve">The One Strike law </w:t>
      </w:r>
      <w:r w:rsidRPr="00901DF7" w:rsidR="00DA2857">
        <w:t xml:space="preserve">provides an alternative, harsher sentencing scheme for enumerated </w:t>
      </w:r>
      <w:r w:rsidRPr="00901DF7" w:rsidR="00C9533E">
        <w:t>forcible</w:t>
      </w:r>
      <w:r w:rsidRPr="00901DF7" w:rsidR="00DA2857">
        <w:t xml:space="preserve"> sex offenses</w:t>
      </w:r>
      <w:r w:rsidR="00834C3C">
        <w:t> </w:t>
      </w:r>
      <w:r w:rsidRPr="00901DF7" w:rsidR="000670C1">
        <w:t>—</w:t>
      </w:r>
      <w:r w:rsidRPr="00901DF7" w:rsidR="00DA2857">
        <w:t xml:space="preserve"> </w:t>
      </w:r>
      <w:r w:rsidR="00834C3C">
        <w:t xml:space="preserve"> </w:t>
      </w:r>
      <w:r w:rsidRPr="00901DF7" w:rsidR="00E67725">
        <w:t>including</w:t>
      </w:r>
      <w:r w:rsidRPr="00901DF7" w:rsidR="00FF6A85">
        <w:t xml:space="preserve"> rape</w:t>
      </w:r>
      <w:r w:rsidRPr="00901DF7" w:rsidR="008F49DB">
        <w:t xml:space="preserve">, </w:t>
      </w:r>
      <w:r w:rsidRPr="00901DF7" w:rsidR="00777A62">
        <w:t xml:space="preserve">rape or sexual penetration in concert, </w:t>
      </w:r>
      <w:r w:rsidRPr="00901DF7" w:rsidR="005A6702">
        <w:t xml:space="preserve">lewd </w:t>
      </w:r>
      <w:r w:rsidRPr="00901DF7" w:rsidR="008F49DB">
        <w:t>or</w:t>
      </w:r>
      <w:r w:rsidRPr="00901DF7" w:rsidR="005A6702">
        <w:t xml:space="preserve"> lascivious act</w:t>
      </w:r>
      <w:r w:rsidR="00451B92">
        <w:t>s</w:t>
      </w:r>
      <w:r w:rsidRPr="00901DF7" w:rsidR="005A6702">
        <w:t xml:space="preserve">, </w:t>
      </w:r>
      <w:r w:rsidRPr="00901DF7" w:rsidR="008F49DB">
        <w:t>forcible</w:t>
      </w:r>
      <w:r w:rsidRPr="00901DF7" w:rsidR="005A6702">
        <w:t xml:space="preserve"> sexual penetration, sodomy</w:t>
      </w:r>
      <w:r w:rsidRPr="00901DF7" w:rsidR="005C0ED4">
        <w:t xml:space="preserve">, </w:t>
      </w:r>
      <w:r w:rsidRPr="00901DF7" w:rsidR="005A6702">
        <w:t>oral copulation</w:t>
      </w:r>
      <w:r w:rsidRPr="00901DF7" w:rsidR="004C662A">
        <w:t>,</w:t>
      </w:r>
      <w:r w:rsidRPr="00901DF7" w:rsidR="005C0ED4">
        <w:t xml:space="preserve"> or continuous sexual abuse of a child</w:t>
      </w:r>
      <w:r w:rsidR="00581DA9">
        <w:t> </w:t>
      </w:r>
      <w:r w:rsidRPr="00901DF7" w:rsidR="000670C1">
        <w:t>—</w:t>
      </w:r>
      <w:r w:rsidRPr="00901DF7" w:rsidR="004C662A">
        <w:t xml:space="preserve"> that are</w:t>
      </w:r>
      <w:r w:rsidRPr="00901DF7" w:rsidR="005A6702">
        <w:t xml:space="preserve"> </w:t>
      </w:r>
      <w:r w:rsidRPr="00901DF7" w:rsidR="00DA2857">
        <w:t>committed under specified circumstances.  (</w:t>
      </w:r>
      <w:r w:rsidR="007B112D">
        <w:t>§ </w:t>
      </w:r>
      <w:r w:rsidRPr="00901DF7" w:rsidR="00EF2E3D">
        <w:t>667.61</w:t>
      </w:r>
      <w:r w:rsidRPr="00901DF7" w:rsidR="00156522">
        <w:t xml:space="preserve">, as amended by </w:t>
      </w:r>
      <w:r w:rsidRPr="00901DF7" w:rsidR="00156522">
        <w:rPr>
          <w:color w:val="000000"/>
          <w:szCs w:val="26"/>
        </w:rPr>
        <w:t xml:space="preserve">Prop. 83, </w:t>
      </w:r>
      <w:r w:rsidR="007B112D">
        <w:rPr>
          <w:color w:val="000000"/>
          <w:szCs w:val="26"/>
        </w:rPr>
        <w:t>§ </w:t>
      </w:r>
      <w:r w:rsidRPr="00901DF7" w:rsidR="00156522">
        <w:rPr>
          <w:color w:val="000000"/>
          <w:szCs w:val="26"/>
        </w:rPr>
        <w:t xml:space="preserve">12, </w:t>
      </w:r>
      <w:r w:rsidR="00581DA9">
        <w:rPr>
          <w:color w:val="000000"/>
          <w:szCs w:val="26"/>
        </w:rPr>
        <w:t xml:space="preserve">as </w:t>
      </w:r>
      <w:r w:rsidRPr="00901DF7" w:rsidR="00156522">
        <w:rPr>
          <w:color w:val="000000"/>
          <w:szCs w:val="26"/>
        </w:rPr>
        <w:t xml:space="preserve">approved </w:t>
      </w:r>
      <w:r w:rsidR="00581DA9">
        <w:rPr>
          <w:color w:val="000000"/>
          <w:szCs w:val="26"/>
        </w:rPr>
        <w:t>by voters, Gen. Elec. (</w:t>
      </w:r>
      <w:r w:rsidRPr="00901DF7" w:rsidR="00156522">
        <w:rPr>
          <w:color w:val="000000"/>
          <w:szCs w:val="26"/>
        </w:rPr>
        <w:t>Nov. 7, 2006</w:t>
      </w:r>
      <w:r w:rsidR="00581DA9">
        <w:rPr>
          <w:color w:val="000000"/>
          <w:szCs w:val="26"/>
        </w:rPr>
        <w:t>)</w:t>
      </w:r>
      <w:r w:rsidRPr="00901DF7" w:rsidR="00156522">
        <w:rPr>
          <w:color w:val="000000"/>
          <w:szCs w:val="26"/>
        </w:rPr>
        <w:t>, eff. Nov. 8, 2006</w:t>
      </w:r>
      <w:r w:rsidRPr="00901DF7" w:rsidR="00EF2E3D">
        <w:t xml:space="preserve">; see </w:t>
      </w:r>
      <w:r w:rsidRPr="00901DF7" w:rsidR="00EC081F">
        <w:rPr>
          <w:i/>
          <w:iCs/>
        </w:rPr>
        <w:t>People v. Acosta</w:t>
      </w:r>
      <w:r w:rsidRPr="00901DF7" w:rsidR="00EC081F">
        <w:t xml:space="preserve"> (2002) 29 Cal.4th 105, 118</w:t>
      </w:r>
      <w:r w:rsidRPr="00901DF7" w:rsidR="00A36CCE">
        <w:t xml:space="preserve"> (</w:t>
      </w:r>
      <w:r w:rsidRPr="00901DF7" w:rsidR="00A36CCE">
        <w:rPr>
          <w:i/>
          <w:iCs/>
        </w:rPr>
        <w:t>Acosta</w:t>
      </w:r>
      <w:r w:rsidRPr="00901DF7" w:rsidR="00A36CCE">
        <w:t>)</w:t>
      </w:r>
      <w:r w:rsidRPr="00901DF7" w:rsidR="00EC081F">
        <w:t xml:space="preserve">; </w:t>
      </w:r>
      <w:r w:rsidRPr="00901DF7" w:rsidR="00DA2857">
        <w:rPr>
          <w:i/>
          <w:iCs/>
        </w:rPr>
        <w:t>People v. Anderson</w:t>
      </w:r>
      <w:r w:rsidRPr="00901DF7" w:rsidR="00DA2857">
        <w:t xml:space="preserve"> (2009) 47 Cal.4th 92, 102</w:t>
      </w:r>
      <w:r w:rsidRPr="00901DF7" w:rsidR="00E16A5B">
        <w:t>, 108</w:t>
      </w:r>
      <w:r w:rsidRPr="00901DF7" w:rsidR="005E0DF1">
        <w:t xml:space="preserve"> </w:t>
      </w:r>
      <w:r w:rsidRPr="00901DF7" w:rsidR="00E16A5B">
        <w:t>[</w:t>
      </w:r>
      <w:r w:rsidRPr="00901DF7" w:rsidR="005E0DF1">
        <w:t>“</w:t>
      </w:r>
      <w:r w:rsidR="00F906A3">
        <w:t>a</w:t>
      </w:r>
      <w:r w:rsidR="00886976">
        <w:t xml:space="preserve"> </w:t>
      </w:r>
      <w:r w:rsidRPr="00901DF7" w:rsidR="005E0DF1">
        <w:t>One Strike allegation exposes a defendant to greater punishment than would be authorized by a verdict on the offense alone”</w:t>
      </w:r>
      <w:r w:rsidRPr="00901DF7" w:rsidR="00E16A5B">
        <w:t xml:space="preserve">].) </w:t>
      </w:r>
      <w:r w:rsidRPr="00901DF7" w:rsidR="005E0DF1">
        <w:t xml:space="preserve"> </w:t>
      </w:r>
    </w:p>
    <w:p w:rsidR="00B52929" w:rsidRPr="00901DF7" w:rsidP="00901DF7" w14:paraId="6CE5D2A2" w14:textId="27E52038">
      <w:pPr>
        <w:tabs>
          <w:tab w:val="left" w:pos="720"/>
          <w:tab w:val="left" w:pos="1440"/>
        </w:tabs>
      </w:pPr>
      <w:r w:rsidRPr="00901DF7">
        <w:tab/>
      </w:r>
      <w:r w:rsidRPr="00901DF7" w:rsidR="00A82B3C">
        <w:t>E</w:t>
      </w:r>
      <w:r w:rsidRPr="00901DF7" w:rsidR="009334EA">
        <w:t>nacted</w:t>
      </w:r>
      <w:r w:rsidRPr="00901DF7" w:rsidR="001E1DB4">
        <w:t xml:space="preserve"> in 1994</w:t>
      </w:r>
      <w:r w:rsidRPr="00901DF7" w:rsidR="00A82B3C">
        <w:t xml:space="preserve">, </w:t>
      </w:r>
      <w:r w:rsidRPr="00901DF7">
        <w:t xml:space="preserve">the One Strike </w:t>
      </w:r>
      <w:r w:rsidRPr="00901DF7" w:rsidR="00A82B3C">
        <w:t xml:space="preserve">law sought </w:t>
      </w:r>
      <w:r w:rsidRPr="00901DF7" w:rsidR="001E1DB4">
        <w:t>“</w:t>
      </w:r>
      <w:r w:rsidRPr="00901DF7" w:rsidR="009334EA">
        <w:t>to ensure serious and dangerous sex offenders would receive lengthy prison sentences upon their first conviction</w:t>
      </w:r>
      <w:r w:rsidR="00795A03">
        <w:t> . . .</w:t>
      </w:r>
      <w:r w:rsidRPr="00901DF7" w:rsidR="009334EA">
        <w:t xml:space="preserve"> where the nature or </w:t>
      </w:r>
      <w:r w:rsidRPr="00901DF7" w:rsidR="00977D98">
        <w:t>method</w:t>
      </w:r>
      <w:r w:rsidRPr="00901DF7" w:rsidR="009334EA">
        <w:t xml:space="preserve"> of the sex offense </w:t>
      </w:r>
      <w:r w:rsidRPr="00901DF7" w:rsidR="001E1DB4">
        <w:t xml:space="preserve">‘place[d] the victim in a position of </w:t>
      </w:r>
      <w:r w:rsidRPr="00901DF7" w:rsidR="001E1DB4">
        <w:rPr>
          <w:i/>
          <w:iCs/>
        </w:rPr>
        <w:t>elevated vulnerability</w:t>
      </w:r>
      <w:r w:rsidRPr="00901DF7" w:rsidR="001E1DB4">
        <w:t>.</w:t>
      </w:r>
      <w:r w:rsidRPr="00901DF7" w:rsidR="00204886">
        <w:t>’</w:t>
      </w:r>
      <w:r w:rsidR="005733D3">
        <w:t> </w:t>
      </w:r>
      <w:r w:rsidRPr="00901DF7" w:rsidR="001E1DB4">
        <w:t>”  (</w:t>
      </w:r>
      <w:r w:rsidRPr="00901DF7" w:rsidR="001E1DB4">
        <w:rPr>
          <w:i/>
          <w:iCs/>
        </w:rPr>
        <w:t>People v. Palmore</w:t>
      </w:r>
      <w:r w:rsidRPr="00901DF7" w:rsidR="001E1DB4">
        <w:t xml:space="preserve"> (2000) 79 Cal.App.4th 1290, 1296, quoting </w:t>
      </w:r>
      <w:r w:rsidRPr="00901DF7" w:rsidR="001E1DB4">
        <w:rPr>
          <w:color w:val="000000"/>
          <w:szCs w:val="26"/>
        </w:rPr>
        <w:t>Assem. Com. on Pub. Safety, Analysis of Sen. Bill No. 26 (1993–1994 1st Ex.</w:t>
      </w:r>
      <w:r w:rsidRPr="00901DF7" w:rsidR="00C36CF6">
        <w:rPr>
          <w:color w:val="000000"/>
          <w:szCs w:val="26"/>
        </w:rPr>
        <w:t xml:space="preserve"> </w:t>
      </w:r>
      <w:r w:rsidRPr="00901DF7" w:rsidR="001E1DB4">
        <w:rPr>
          <w:color w:val="000000"/>
          <w:szCs w:val="26"/>
        </w:rPr>
        <w:t>Sess.) as amended May 25, 1994, pp. 2–3.)</w:t>
      </w:r>
      <w:r w:rsidRPr="00901DF7" w:rsidR="001E1DB4">
        <w:t xml:space="preserve">  </w:t>
      </w:r>
      <w:r w:rsidRPr="00901DF7" w:rsidR="00061683">
        <w:t>“ ‘Violent sexual predators should not be given the opportunity to repeat their crimes.</w:t>
      </w:r>
      <w:r w:rsidR="002A3B02">
        <w:t xml:space="preserve"> </w:t>
      </w:r>
      <w:r w:rsidRPr="00901DF7" w:rsidR="00061683">
        <w:t xml:space="preserve"> Since most rapists and child molesters cannot be cured of the aberrant compulsions, they should not be eligible for probation under any circumstances, and their punishment must be separation from society for life without the possibility of parole.’</w:t>
      </w:r>
      <w:r w:rsidR="0074534C">
        <w:t> </w:t>
      </w:r>
      <w:r w:rsidRPr="00901DF7" w:rsidR="00061683">
        <w:t>”</w:t>
      </w:r>
      <w:r w:rsidRPr="00901DF7" w:rsidR="0035429F">
        <w:t xml:space="preserve">  (</w:t>
      </w:r>
      <w:r w:rsidRPr="00901DF7" w:rsidR="00A57218">
        <w:t>S</w:t>
      </w:r>
      <w:r w:rsidRPr="00901DF7" w:rsidR="00342E2F">
        <w:t>en. Com. on Judiciary, Analysis of Sen. Bill No. 26 (1993–1994 1st Ex. Sess.) as introduced Feb. 2, 1994</w:t>
      </w:r>
      <w:r w:rsidRPr="00901DF7" w:rsidR="00061683">
        <w:t xml:space="preserve">; see </w:t>
      </w:r>
      <w:r w:rsidRPr="00901DF7" w:rsidR="00061683">
        <w:rPr>
          <w:i/>
          <w:iCs/>
        </w:rPr>
        <w:t>People v. Wutzke</w:t>
      </w:r>
      <w:r w:rsidRPr="00901DF7" w:rsidR="00061683">
        <w:t xml:space="preserve"> (2002) 28 Cal.4th 923, 929–930</w:t>
      </w:r>
      <w:r w:rsidRPr="00901DF7" w:rsidR="0035429F">
        <w:t xml:space="preserve"> (</w:t>
      </w:r>
      <w:r w:rsidRPr="00901DF7" w:rsidR="0035429F">
        <w:rPr>
          <w:i/>
          <w:iCs/>
        </w:rPr>
        <w:t>Wutzke</w:t>
      </w:r>
      <w:r w:rsidRPr="00901DF7" w:rsidR="0035429F">
        <w:t>).</w:t>
      </w:r>
      <w:r w:rsidRPr="00901DF7" w:rsidR="001E1DB4">
        <w:t xml:space="preserve">) </w:t>
      </w:r>
      <w:r w:rsidRPr="00901DF7" w:rsidR="00740AC1">
        <w:t xml:space="preserve"> T</w:t>
      </w:r>
      <w:r w:rsidRPr="00901DF7" w:rsidR="00C76EB5">
        <w:t>o implement this purpose, t</w:t>
      </w:r>
      <w:r w:rsidRPr="00901DF7" w:rsidR="00740AC1">
        <w:t>he One Strike law authorize</w:t>
      </w:r>
      <w:r w:rsidRPr="00901DF7" w:rsidR="00974651">
        <w:t>s</w:t>
      </w:r>
      <w:r w:rsidRPr="00901DF7" w:rsidR="00740AC1">
        <w:t xml:space="preserve"> lengthy sentences for both “recidivist sexual offenders </w:t>
      </w:r>
      <w:r w:rsidRPr="00901DF7" w:rsidR="00740AC1">
        <w:rPr>
          <w:i/>
          <w:iCs/>
        </w:rPr>
        <w:t>and</w:t>
      </w:r>
      <w:r w:rsidRPr="00901DF7" w:rsidR="00740AC1">
        <w:t xml:space="preserve"> first time offenders who commit certain sexual offenses under aggravated circumstances.”  (</w:t>
      </w:r>
      <w:r w:rsidRPr="00901DF7" w:rsidR="00740AC1">
        <w:rPr>
          <w:i/>
          <w:iCs/>
        </w:rPr>
        <w:t>People v. Hammer</w:t>
      </w:r>
      <w:r w:rsidRPr="00901DF7" w:rsidR="00740AC1">
        <w:t xml:space="preserve"> (2003) 30 Cal.4th 756, 768</w:t>
      </w:r>
      <w:r w:rsidRPr="00901DF7" w:rsidR="00120D6A">
        <w:t xml:space="preserve"> (</w:t>
      </w:r>
      <w:r w:rsidRPr="00901DF7" w:rsidR="00120D6A">
        <w:rPr>
          <w:i/>
          <w:iCs/>
        </w:rPr>
        <w:t>Hammer</w:t>
      </w:r>
      <w:r w:rsidRPr="00901DF7" w:rsidR="00120D6A">
        <w:t>)</w:t>
      </w:r>
      <w:r w:rsidRPr="00901DF7" w:rsidR="00740AC1">
        <w:t xml:space="preserve">.) </w:t>
      </w:r>
      <w:r w:rsidRPr="00901DF7" w:rsidR="00E34570">
        <w:t xml:space="preserve"> </w:t>
      </w:r>
    </w:p>
    <w:p w:rsidR="00DA2857" w:rsidRPr="00901DF7" w:rsidP="00901DF7" w14:paraId="282F0ABA" w14:textId="0C498A4C">
      <w:pPr>
        <w:tabs>
          <w:tab w:val="left" w:pos="720"/>
          <w:tab w:val="left" w:pos="1440"/>
        </w:tabs>
      </w:pPr>
      <w:r w:rsidRPr="00901DF7">
        <w:tab/>
      </w:r>
      <w:r w:rsidRPr="00901DF7" w:rsidR="00C76EB5">
        <w:t>The One Strike law applies if a trier of fact, upon convicting a defendant of</w:t>
      </w:r>
      <w:r w:rsidRPr="00901DF7" w:rsidR="00F45905">
        <w:t xml:space="preserve"> a</w:t>
      </w:r>
      <w:r w:rsidRPr="00901DF7" w:rsidR="001F0866">
        <w:t xml:space="preserve"> triggering</w:t>
      </w:r>
      <w:r w:rsidRPr="00901DF7" w:rsidR="00F45905">
        <w:t xml:space="preserve"> offense</w:t>
      </w:r>
      <w:r w:rsidRPr="00901DF7" w:rsidR="005466DE">
        <w:t>,</w:t>
      </w:r>
      <w:r w:rsidRPr="00901DF7" w:rsidR="0028211A">
        <w:t xml:space="preserve"> also </w:t>
      </w:r>
      <w:r w:rsidRPr="00901DF7" w:rsidR="00010592">
        <w:t>find</w:t>
      </w:r>
      <w:r w:rsidRPr="00901DF7" w:rsidR="0028211A">
        <w:t>s</w:t>
      </w:r>
      <w:r w:rsidRPr="00901DF7" w:rsidR="00010592">
        <w:t xml:space="preserve"> true at least one circumstance</w:t>
      </w:r>
      <w:r w:rsidRPr="00901DF7" w:rsidR="0028211A">
        <w:t xml:space="preserve"> specified in</w:t>
      </w:r>
      <w:r w:rsidRPr="00901DF7" w:rsidR="00010592">
        <w:t xml:space="preserve"> subdivision</w:t>
      </w:r>
      <w:r w:rsidRPr="00901DF7" w:rsidR="00A30E65">
        <w:t>s</w:t>
      </w:r>
      <w:r w:rsidRPr="00901DF7" w:rsidR="00010592">
        <w:t xml:space="preserve"> (d) or (e) of section 667.61.</w:t>
      </w:r>
      <w:bookmarkStart w:id="3" w:name="_Hlk156382125"/>
      <w:r w:rsidRPr="00901DF7" w:rsidR="00010592">
        <w:t xml:space="preserve"> </w:t>
      </w:r>
      <w:r w:rsidRPr="00901DF7" w:rsidR="005466DE">
        <w:t xml:space="preserve"> </w:t>
      </w:r>
      <w:r w:rsidRPr="00901DF7" w:rsidR="0028211A">
        <w:t xml:space="preserve">The specified circumstances, other than </w:t>
      </w:r>
      <w:r w:rsidRPr="00901DF7" w:rsidR="00B6199F">
        <w:t>prior convictions (</w:t>
      </w:r>
      <w:r w:rsidR="007B112D">
        <w:t>§ </w:t>
      </w:r>
      <w:r w:rsidRPr="00901DF7" w:rsidR="00B6199F">
        <w:t xml:space="preserve">667.61, subd. (d)(1)), </w:t>
      </w:r>
      <w:r w:rsidRPr="00901DF7" w:rsidR="00010592">
        <w:t xml:space="preserve">relate to the manner in which the </w:t>
      </w:r>
      <w:r w:rsidRPr="00901DF7" w:rsidR="00381CF6">
        <w:t xml:space="preserve">defendant committed the </w:t>
      </w:r>
      <w:r w:rsidRPr="00901DF7" w:rsidR="00010592">
        <w:t>present offense.  (See</w:t>
      </w:r>
      <w:r w:rsidRPr="00901DF7" w:rsidR="00EF1A42">
        <w:t>, e.g.,</w:t>
      </w:r>
      <w:r w:rsidRPr="00901DF7" w:rsidR="00010592">
        <w:t xml:space="preserve"> </w:t>
      </w:r>
      <w:r w:rsidR="007B112D">
        <w:t>§ </w:t>
      </w:r>
      <w:r w:rsidRPr="00901DF7" w:rsidR="00F2125D">
        <w:t>667</w:t>
      </w:r>
      <w:r w:rsidRPr="00901DF7" w:rsidR="0055037E">
        <w:t>.61</w:t>
      </w:r>
      <w:r w:rsidRPr="00901DF7" w:rsidR="00F2125D">
        <w:t>, subd</w:t>
      </w:r>
      <w:r w:rsidRPr="00901DF7" w:rsidR="00B27415">
        <w:t>s</w:t>
      </w:r>
      <w:r w:rsidRPr="00901DF7" w:rsidR="00F2125D">
        <w:t>. (d)(</w:t>
      </w:r>
      <w:r w:rsidRPr="00901DF7" w:rsidR="00B52929">
        <w:t>2)</w:t>
      </w:r>
      <w:r w:rsidRPr="00901DF7" w:rsidR="005466DE">
        <w:t>–</w:t>
      </w:r>
      <w:r w:rsidRPr="00901DF7" w:rsidR="00DB683E">
        <w:t>(d)(</w:t>
      </w:r>
      <w:r w:rsidRPr="00901DF7" w:rsidR="00B52929">
        <w:t>7)</w:t>
      </w:r>
      <w:r w:rsidR="000675D8">
        <w:t xml:space="preserve"> &amp;</w:t>
      </w:r>
      <w:r w:rsidRPr="00901DF7" w:rsidR="00F2125D">
        <w:t xml:space="preserve"> (e)(1)</w:t>
      </w:r>
      <w:r w:rsidRPr="00901DF7" w:rsidR="0015694C">
        <w:t>–</w:t>
      </w:r>
      <w:r w:rsidRPr="00901DF7" w:rsidR="007972E8">
        <w:t>(e)(7)</w:t>
      </w:r>
      <w:r w:rsidRPr="00901DF7" w:rsidR="00B27415">
        <w:t>;</w:t>
      </w:r>
      <w:r w:rsidRPr="00901DF7" w:rsidR="00B52929">
        <w:t xml:space="preserve"> </w:t>
      </w:r>
      <w:r w:rsidRPr="00901DF7" w:rsidR="00CA324A">
        <w:t xml:space="preserve">see </w:t>
      </w:r>
      <w:r w:rsidRPr="00901DF7" w:rsidR="00CA324A">
        <w:rPr>
          <w:i/>
          <w:iCs/>
        </w:rPr>
        <w:t>Wutzke</w:t>
      </w:r>
      <w:r w:rsidRPr="00901DF7" w:rsidR="00CA324A">
        <w:t xml:space="preserve">, </w:t>
      </w:r>
      <w:r w:rsidRPr="00901DF7" w:rsidR="00CA324A">
        <w:rPr>
          <w:i/>
          <w:iCs/>
        </w:rPr>
        <w:t>supra</w:t>
      </w:r>
      <w:r w:rsidRPr="00901DF7" w:rsidR="00CA324A">
        <w:t>, 28 Cal.4th at p. 930 [“Many of the</w:t>
      </w:r>
      <w:r w:rsidRPr="00901DF7" w:rsidR="00342E2F">
        <w:t>se</w:t>
      </w:r>
      <w:r w:rsidRPr="00901DF7" w:rsidR="00CA324A">
        <w:t xml:space="preserve"> circumstances reflect the use of violent or predatory means that increase the victim’s ‘vulnerability’</w:t>
      </w:r>
      <w:r w:rsidR="00834C3C">
        <w:t> </w:t>
      </w:r>
      <w:r w:rsidRPr="00901DF7" w:rsidR="00CA324A">
        <w:t xml:space="preserve">”]; </w:t>
      </w:r>
      <w:r w:rsidRPr="00901DF7" w:rsidR="00327F74">
        <w:t>see</w:t>
      </w:r>
      <w:r w:rsidRPr="00901DF7" w:rsidR="00CA324A">
        <w:t xml:space="preserve"> also</w:t>
      </w:r>
      <w:r w:rsidRPr="00901DF7" w:rsidR="00E501AE">
        <w:rPr>
          <w:i/>
          <w:iCs/>
          <w:color w:val="000000"/>
          <w:szCs w:val="26"/>
        </w:rPr>
        <w:t xml:space="preserve"> </w:t>
      </w:r>
      <w:r w:rsidRPr="00901DF7" w:rsidR="00327F74">
        <w:rPr>
          <w:i/>
          <w:iCs/>
          <w:color w:val="000000"/>
          <w:szCs w:val="26"/>
        </w:rPr>
        <w:t>Acosta</w:t>
      </w:r>
      <w:r w:rsidRPr="00901DF7" w:rsidR="00E501AE">
        <w:rPr>
          <w:color w:val="000000"/>
          <w:szCs w:val="26"/>
        </w:rPr>
        <w:t xml:space="preserve">, </w:t>
      </w:r>
      <w:r w:rsidRPr="00901DF7" w:rsidR="00E501AE">
        <w:rPr>
          <w:i/>
          <w:iCs/>
          <w:color w:val="000000"/>
          <w:szCs w:val="26"/>
        </w:rPr>
        <w:t>supra,</w:t>
      </w:r>
      <w:r w:rsidRPr="00901DF7" w:rsidR="00E501AE">
        <w:rPr>
          <w:color w:val="000000"/>
          <w:szCs w:val="26"/>
        </w:rPr>
        <w:t xml:space="preserve"> </w:t>
      </w:r>
      <w:r w:rsidRPr="00901DF7" w:rsidR="00327F74">
        <w:rPr>
          <w:color w:val="000000"/>
          <w:szCs w:val="26"/>
        </w:rPr>
        <w:t xml:space="preserve">29 Cal.4th </w:t>
      </w:r>
      <w:r w:rsidRPr="00901DF7" w:rsidR="00E501AE">
        <w:rPr>
          <w:color w:val="000000"/>
          <w:szCs w:val="26"/>
        </w:rPr>
        <w:t>at p.</w:t>
      </w:r>
      <w:r w:rsidRPr="00901DF7" w:rsidR="00327F74">
        <w:rPr>
          <w:color w:val="000000"/>
          <w:szCs w:val="26"/>
        </w:rPr>
        <w:t xml:space="preserve"> </w:t>
      </w:r>
      <w:r w:rsidRPr="00901DF7" w:rsidR="008C45D3">
        <w:rPr>
          <w:color w:val="000000"/>
          <w:szCs w:val="26"/>
        </w:rPr>
        <w:t>127</w:t>
      </w:r>
      <w:r w:rsidRPr="00901DF7" w:rsidR="00327F74">
        <w:rPr>
          <w:color w:val="000000"/>
          <w:szCs w:val="26"/>
        </w:rPr>
        <w:t>.</w:t>
      </w:r>
      <w:r w:rsidRPr="00901DF7" w:rsidR="00010592">
        <w:t xml:space="preserve">) </w:t>
      </w:r>
    </w:p>
    <w:bookmarkEnd w:id="3"/>
    <w:p w:rsidR="00802115" w:rsidRPr="00901DF7" w:rsidP="00901DF7" w14:paraId="211AB997" w14:textId="34A5F138">
      <w:pPr>
        <w:tabs>
          <w:tab w:val="left" w:pos="720"/>
          <w:tab w:val="left" w:pos="1440"/>
        </w:tabs>
        <w:rPr>
          <w:color w:val="000000"/>
          <w:szCs w:val="26"/>
        </w:rPr>
      </w:pPr>
      <w:r w:rsidRPr="00901DF7">
        <w:tab/>
      </w:r>
      <w:r w:rsidRPr="00901DF7" w:rsidR="00A46136">
        <w:t>In general, t</w:t>
      </w:r>
      <w:r w:rsidRPr="00901DF7" w:rsidR="00D70D98">
        <w:t xml:space="preserve">he length of a One Strike </w:t>
      </w:r>
      <w:r w:rsidRPr="00901DF7" w:rsidR="0079349D">
        <w:t>term</w:t>
      </w:r>
      <w:r w:rsidRPr="00901DF7" w:rsidR="0089178F">
        <w:t xml:space="preserve"> </w:t>
      </w:r>
      <w:r w:rsidRPr="00901DF7" w:rsidR="0028211A">
        <w:t>depends</w:t>
      </w:r>
      <w:r w:rsidRPr="00901DF7" w:rsidR="0079349D">
        <w:t xml:space="preserve"> on the number and nature of applicable aggravating circumstances</w:t>
      </w:r>
      <w:r w:rsidRPr="00901DF7" w:rsidR="00693812">
        <w:t xml:space="preserve"> found by the trier of fact</w:t>
      </w:r>
      <w:r w:rsidRPr="00901DF7" w:rsidR="004F76D5">
        <w:t xml:space="preserve">. </w:t>
      </w:r>
      <w:r w:rsidRPr="00901DF7" w:rsidR="00023225">
        <w:t xml:space="preserve"> </w:t>
      </w:r>
      <w:r w:rsidRPr="00901DF7" w:rsidR="00D4148B">
        <w:t>(</w:t>
      </w:r>
      <w:r w:rsidRPr="00901DF7" w:rsidR="005466DE">
        <w:t xml:space="preserve">See </w:t>
      </w:r>
      <w:r w:rsidR="007B112D">
        <w:t>§ </w:t>
      </w:r>
      <w:r w:rsidRPr="00901DF7" w:rsidR="00D4148B">
        <w:t>661.67, subds. (a), (b)</w:t>
      </w:r>
      <w:r w:rsidRPr="00901DF7" w:rsidR="001D718C">
        <w:t>, (j), (</w:t>
      </w:r>
      <w:r w:rsidRPr="0018394E" w:rsidR="001D718C">
        <w:rPr>
          <w:i/>
          <w:iCs/>
        </w:rPr>
        <w:t>l</w:t>
      </w:r>
      <w:r w:rsidRPr="00901DF7" w:rsidR="001D718C">
        <w:t>), (m)</w:t>
      </w:r>
      <w:r w:rsidRPr="00901DF7" w:rsidR="00D4148B">
        <w:rPr>
          <w:color w:val="000000"/>
          <w:szCs w:val="26"/>
        </w:rPr>
        <w:t xml:space="preserve">.)  </w:t>
      </w:r>
      <w:r w:rsidRPr="00901DF7" w:rsidR="008D232F">
        <w:t xml:space="preserve">For instance, a </w:t>
      </w:r>
      <w:r w:rsidRPr="00901DF7" w:rsidR="0079349D">
        <w:t xml:space="preserve">defendant who commits a </w:t>
      </w:r>
      <w:r w:rsidR="00834C3C">
        <w:t>particular</w:t>
      </w:r>
      <w:r w:rsidRPr="00901DF7" w:rsidR="00834C3C">
        <w:t xml:space="preserve"> </w:t>
      </w:r>
      <w:r w:rsidRPr="00901DF7" w:rsidR="0079349D">
        <w:t>offense “under one or more of the circumstances specified in subdivision (d)” of section 667.61 or “under two or more of the circumstances specifi</w:t>
      </w:r>
      <w:r w:rsidRPr="00901DF7" w:rsidR="00B52929">
        <w:t>ed</w:t>
      </w:r>
      <w:r w:rsidRPr="00901DF7" w:rsidR="0079349D">
        <w:t xml:space="preserve"> in subdivision (e)” of that section, </w:t>
      </w:r>
      <w:r w:rsidRPr="00901DF7" w:rsidR="0098683F">
        <w:t xml:space="preserve">is </w:t>
      </w:r>
      <w:r w:rsidRPr="00901DF7" w:rsidR="004A69DF">
        <w:t>s</w:t>
      </w:r>
      <w:r w:rsidRPr="00901DF7" w:rsidR="00B0546D">
        <w:t>entenced</w:t>
      </w:r>
      <w:r w:rsidRPr="00901DF7" w:rsidR="00B52929">
        <w:t xml:space="preserve"> </w:t>
      </w:r>
      <w:r w:rsidR="0018394E">
        <w:t xml:space="preserve">to </w:t>
      </w:r>
      <w:r w:rsidRPr="00901DF7" w:rsidR="00B52929">
        <w:t xml:space="preserve">25 years to life.  </w:t>
      </w:r>
      <w:r w:rsidRPr="00901DF7" w:rsidR="0079349D">
        <w:t>(</w:t>
      </w:r>
      <w:r w:rsidR="007B112D">
        <w:t>§ </w:t>
      </w:r>
      <w:r w:rsidRPr="00901DF7" w:rsidR="000A0FCC">
        <w:t xml:space="preserve">667.61, subd. (a); see </w:t>
      </w:r>
      <w:r w:rsidRPr="00901DF7" w:rsidR="000A0FCC">
        <w:rPr>
          <w:i/>
          <w:iCs/>
          <w:color w:val="000000"/>
          <w:szCs w:val="26"/>
        </w:rPr>
        <w:t>Acosta</w:t>
      </w:r>
      <w:r w:rsidRPr="00901DF7" w:rsidR="00327F74">
        <w:rPr>
          <w:color w:val="000000"/>
          <w:szCs w:val="26"/>
        </w:rPr>
        <w:t xml:space="preserve">, </w:t>
      </w:r>
      <w:r w:rsidRPr="00901DF7" w:rsidR="00327F74">
        <w:rPr>
          <w:i/>
          <w:iCs/>
          <w:color w:val="000000"/>
          <w:szCs w:val="26"/>
        </w:rPr>
        <w:t>supra</w:t>
      </w:r>
      <w:r w:rsidRPr="00901DF7" w:rsidR="00327F74">
        <w:rPr>
          <w:color w:val="000000"/>
          <w:szCs w:val="26"/>
        </w:rPr>
        <w:t xml:space="preserve">, </w:t>
      </w:r>
      <w:r w:rsidRPr="00901DF7" w:rsidR="000A0FCC">
        <w:rPr>
          <w:color w:val="000000"/>
          <w:szCs w:val="26"/>
        </w:rPr>
        <w:t xml:space="preserve">29 Cal.4th </w:t>
      </w:r>
      <w:r w:rsidRPr="00901DF7" w:rsidR="00327F74">
        <w:rPr>
          <w:color w:val="000000"/>
          <w:szCs w:val="26"/>
        </w:rPr>
        <w:t xml:space="preserve">at p. </w:t>
      </w:r>
      <w:r w:rsidRPr="00901DF7" w:rsidR="000A0FCC">
        <w:rPr>
          <w:color w:val="000000"/>
          <w:szCs w:val="26"/>
        </w:rPr>
        <w:t>111.)</w:t>
      </w:r>
      <w:r w:rsidRPr="00901DF7" w:rsidR="0079349D">
        <w:t xml:space="preserve">  A</w:t>
      </w:r>
      <w:r w:rsidRPr="00901DF7" w:rsidR="0048309D">
        <w:t>lternatively, a</w:t>
      </w:r>
      <w:r w:rsidRPr="00901DF7" w:rsidR="0079349D">
        <w:t xml:space="preserve"> defendant </w:t>
      </w:r>
      <w:r w:rsidRPr="00901DF7" w:rsidR="000A0FCC">
        <w:t xml:space="preserve">who </w:t>
      </w:r>
      <w:r w:rsidRPr="00901DF7" w:rsidR="0079349D">
        <w:t xml:space="preserve">commits </w:t>
      </w:r>
      <w:r w:rsidRPr="00901DF7" w:rsidR="00A30E65">
        <w:t xml:space="preserve">a </w:t>
      </w:r>
      <w:r w:rsidR="00834C3C">
        <w:t>particular</w:t>
      </w:r>
      <w:r w:rsidRPr="00901DF7" w:rsidR="00834C3C">
        <w:t xml:space="preserve"> </w:t>
      </w:r>
      <w:r w:rsidRPr="00901DF7" w:rsidR="00A30E65">
        <w:t xml:space="preserve">offense under </w:t>
      </w:r>
      <w:r w:rsidRPr="00901DF7" w:rsidR="0079349D">
        <w:t>only “one of the circumstances specified in subdivision (e)”</w:t>
      </w:r>
      <w:r w:rsidRPr="00901DF7" w:rsidR="00B52929">
        <w:rPr>
          <w:color w:val="000000"/>
          <w:szCs w:val="26"/>
        </w:rPr>
        <w:t xml:space="preserve"> </w:t>
      </w:r>
      <w:r w:rsidRPr="00901DF7" w:rsidR="0098683F">
        <w:rPr>
          <w:color w:val="000000"/>
          <w:szCs w:val="26"/>
        </w:rPr>
        <w:t xml:space="preserve">is </w:t>
      </w:r>
      <w:r w:rsidRPr="00901DF7" w:rsidR="00B0546D">
        <w:rPr>
          <w:color w:val="000000"/>
          <w:szCs w:val="26"/>
        </w:rPr>
        <w:t>sentenced to</w:t>
      </w:r>
      <w:r w:rsidRPr="00901DF7" w:rsidR="00B52929">
        <w:rPr>
          <w:color w:val="000000"/>
          <w:szCs w:val="26"/>
        </w:rPr>
        <w:t xml:space="preserve"> 15 years to life. </w:t>
      </w:r>
      <w:r w:rsidRPr="00901DF7" w:rsidR="0079349D">
        <w:rPr>
          <w:color w:val="000000"/>
          <w:szCs w:val="26"/>
        </w:rPr>
        <w:t xml:space="preserve"> (</w:t>
      </w:r>
      <w:r w:rsidR="007B112D">
        <w:rPr>
          <w:color w:val="000000"/>
          <w:szCs w:val="26"/>
        </w:rPr>
        <w:t>§ </w:t>
      </w:r>
      <w:r w:rsidRPr="00901DF7" w:rsidR="0079349D">
        <w:rPr>
          <w:color w:val="000000"/>
          <w:szCs w:val="26"/>
        </w:rPr>
        <w:t>667.61, subd. (b)</w:t>
      </w:r>
      <w:r w:rsidRPr="00901DF7" w:rsidR="000A0FCC">
        <w:rPr>
          <w:color w:val="000000"/>
          <w:szCs w:val="26"/>
        </w:rPr>
        <w:t xml:space="preserve">; see </w:t>
      </w:r>
      <w:r w:rsidRPr="00901DF7" w:rsidR="000A0FCC">
        <w:rPr>
          <w:i/>
          <w:iCs/>
          <w:color w:val="000000"/>
          <w:szCs w:val="26"/>
        </w:rPr>
        <w:t>Acosta</w:t>
      </w:r>
      <w:r w:rsidRPr="00901DF7" w:rsidR="000A0FCC">
        <w:rPr>
          <w:color w:val="000000"/>
          <w:szCs w:val="26"/>
        </w:rPr>
        <w:t>, at p. 111.)</w:t>
      </w:r>
      <w:r>
        <w:rPr>
          <w:rStyle w:val="FootnoteReference"/>
          <w:color w:val="000000"/>
          <w:szCs w:val="26"/>
        </w:rPr>
        <w:footnoteReference w:id="8"/>
      </w:r>
      <w:r w:rsidRPr="00901DF7" w:rsidR="00E55A35">
        <w:rPr>
          <w:color w:val="000000"/>
          <w:szCs w:val="26"/>
        </w:rPr>
        <w:t xml:space="preserve"> </w:t>
      </w:r>
      <w:r w:rsidRPr="00901DF7" w:rsidR="0098683F">
        <w:rPr>
          <w:color w:val="000000"/>
          <w:szCs w:val="26"/>
        </w:rPr>
        <w:t xml:space="preserve"> </w:t>
      </w:r>
      <w:r w:rsidRPr="00901DF7" w:rsidR="0089178F">
        <w:rPr>
          <w:color w:val="000000"/>
          <w:szCs w:val="26"/>
        </w:rPr>
        <w:t xml:space="preserve">Through the years, the electorate and </w:t>
      </w:r>
      <w:r w:rsidRPr="00901DF7" w:rsidR="00A30E65">
        <w:rPr>
          <w:color w:val="000000"/>
          <w:szCs w:val="26"/>
        </w:rPr>
        <w:t xml:space="preserve">the </w:t>
      </w:r>
      <w:r w:rsidRPr="00901DF7" w:rsidR="0089178F">
        <w:rPr>
          <w:color w:val="000000"/>
          <w:szCs w:val="26"/>
        </w:rPr>
        <w:t>Legislature</w:t>
      </w:r>
      <w:r w:rsidR="00834C3C">
        <w:rPr>
          <w:color w:val="000000"/>
          <w:szCs w:val="26"/>
        </w:rPr>
        <w:t> </w:t>
      </w:r>
      <w:r w:rsidRPr="00901DF7" w:rsidR="00916EDD">
        <w:rPr>
          <w:color w:val="000000"/>
          <w:szCs w:val="26"/>
        </w:rPr>
        <w:t>—</w:t>
      </w:r>
      <w:r w:rsidRPr="00901DF7" w:rsidR="0048309D">
        <w:rPr>
          <w:color w:val="000000"/>
          <w:szCs w:val="26"/>
        </w:rPr>
        <w:t xml:space="preserve"> </w:t>
      </w:r>
      <w:r w:rsidRPr="00901DF7" w:rsidR="00A30E65">
        <w:rPr>
          <w:color w:val="000000"/>
          <w:szCs w:val="26"/>
        </w:rPr>
        <w:t xml:space="preserve">concerned about </w:t>
      </w:r>
      <w:r w:rsidRPr="00901DF7" w:rsidR="00916EDD">
        <w:rPr>
          <w:color w:val="000000"/>
          <w:szCs w:val="26"/>
        </w:rPr>
        <w:t xml:space="preserve">the </w:t>
      </w:r>
      <w:r w:rsidRPr="00901DF7" w:rsidR="00A30E65">
        <w:rPr>
          <w:color w:val="000000"/>
          <w:szCs w:val="26"/>
        </w:rPr>
        <w:t xml:space="preserve">high </w:t>
      </w:r>
      <w:r w:rsidRPr="00901DF7" w:rsidR="00916EDD">
        <w:rPr>
          <w:color w:val="000000"/>
          <w:szCs w:val="26"/>
        </w:rPr>
        <w:t>rate of recidivism among sex offenders</w:t>
      </w:r>
      <w:r w:rsidR="00834C3C">
        <w:rPr>
          <w:color w:val="000000"/>
          <w:szCs w:val="26"/>
        </w:rPr>
        <w:t> </w:t>
      </w:r>
      <w:r w:rsidRPr="00901DF7" w:rsidR="00916EDD">
        <w:rPr>
          <w:color w:val="000000"/>
          <w:szCs w:val="26"/>
        </w:rPr>
        <w:t>—</w:t>
      </w:r>
      <w:r w:rsidRPr="00901DF7" w:rsidR="0048309D">
        <w:rPr>
          <w:color w:val="000000"/>
          <w:szCs w:val="26"/>
        </w:rPr>
        <w:t xml:space="preserve"> have </w:t>
      </w:r>
      <w:r w:rsidRPr="00901DF7" w:rsidR="0089178F">
        <w:rPr>
          <w:color w:val="000000"/>
          <w:szCs w:val="26"/>
        </w:rPr>
        <w:t>increase</w:t>
      </w:r>
      <w:r w:rsidRPr="00901DF7" w:rsidR="0048309D">
        <w:rPr>
          <w:color w:val="000000"/>
          <w:szCs w:val="26"/>
        </w:rPr>
        <w:t>d</w:t>
      </w:r>
      <w:r w:rsidRPr="00901DF7" w:rsidR="0089178F">
        <w:rPr>
          <w:color w:val="000000"/>
          <w:szCs w:val="26"/>
        </w:rPr>
        <w:t xml:space="preserve"> the penalties and expand</w:t>
      </w:r>
      <w:r w:rsidRPr="00901DF7" w:rsidR="0048309D">
        <w:rPr>
          <w:color w:val="000000"/>
          <w:szCs w:val="26"/>
        </w:rPr>
        <w:t>ed</w:t>
      </w:r>
      <w:r w:rsidRPr="00901DF7" w:rsidR="0089178F">
        <w:rPr>
          <w:color w:val="000000"/>
          <w:szCs w:val="26"/>
        </w:rPr>
        <w:t xml:space="preserve"> the scope </w:t>
      </w:r>
      <w:r w:rsidRPr="00901DF7" w:rsidR="0048309D">
        <w:rPr>
          <w:color w:val="000000"/>
          <w:szCs w:val="26"/>
        </w:rPr>
        <w:t>of those eligible to be sentenced</w:t>
      </w:r>
      <w:r w:rsidRPr="00901DF7" w:rsidR="0089178F">
        <w:rPr>
          <w:color w:val="000000"/>
          <w:szCs w:val="26"/>
        </w:rPr>
        <w:t xml:space="preserve"> </w:t>
      </w:r>
      <w:r w:rsidRPr="00901DF7" w:rsidR="0098683F">
        <w:rPr>
          <w:color w:val="000000"/>
          <w:szCs w:val="26"/>
        </w:rPr>
        <w:t xml:space="preserve">under </w:t>
      </w:r>
      <w:r w:rsidRPr="00901DF7" w:rsidR="0089178F">
        <w:rPr>
          <w:color w:val="000000"/>
          <w:szCs w:val="26"/>
        </w:rPr>
        <w:t>the One Strike law</w:t>
      </w:r>
      <w:r w:rsidRPr="00901DF7" w:rsidR="00D33444">
        <w:rPr>
          <w:color w:val="000000"/>
          <w:szCs w:val="26"/>
        </w:rPr>
        <w:t>.</w:t>
      </w:r>
      <w:r w:rsidRPr="00901DF7" w:rsidR="00F2361B">
        <w:rPr>
          <w:color w:val="000000"/>
          <w:szCs w:val="26"/>
        </w:rPr>
        <w:t xml:space="preserve"> </w:t>
      </w:r>
    </w:p>
    <w:p w:rsidR="0045373C" w:rsidRPr="00901DF7" w:rsidP="00901DF7" w14:paraId="702BDD87" w14:textId="1BE3561A">
      <w:pPr>
        <w:tabs>
          <w:tab w:val="left" w:pos="720"/>
          <w:tab w:val="left" w:pos="1440"/>
        </w:tabs>
        <w:rPr>
          <w:color w:val="000000"/>
          <w:szCs w:val="26"/>
        </w:rPr>
      </w:pPr>
      <w:r w:rsidRPr="00901DF7">
        <w:rPr>
          <w:color w:val="000000"/>
          <w:szCs w:val="26"/>
        </w:rPr>
        <w:tab/>
      </w:r>
      <w:r w:rsidRPr="00901DF7" w:rsidR="00B834FE">
        <w:rPr>
          <w:color w:val="000000"/>
          <w:szCs w:val="26"/>
        </w:rPr>
        <w:t>For example, i</w:t>
      </w:r>
      <w:r w:rsidRPr="00901DF7" w:rsidR="0089178F">
        <w:rPr>
          <w:color w:val="000000"/>
          <w:szCs w:val="26"/>
        </w:rPr>
        <w:t>n 2006, the electorate passed Proposition 83, which amended</w:t>
      </w:r>
      <w:r w:rsidRPr="00901DF7" w:rsidR="0098683F">
        <w:rPr>
          <w:color w:val="000000"/>
          <w:szCs w:val="26"/>
        </w:rPr>
        <w:t>,</w:t>
      </w:r>
      <w:r w:rsidRPr="00901DF7" w:rsidR="0089178F">
        <w:rPr>
          <w:color w:val="000000"/>
          <w:szCs w:val="26"/>
        </w:rPr>
        <w:t xml:space="preserve"> </w:t>
      </w:r>
      <w:r w:rsidRPr="00901DF7" w:rsidR="00B840C2">
        <w:rPr>
          <w:color w:val="000000"/>
          <w:szCs w:val="26"/>
        </w:rPr>
        <w:t>among other statutes,</w:t>
      </w:r>
      <w:r w:rsidRPr="00901DF7" w:rsidR="00D33B09">
        <w:rPr>
          <w:color w:val="000000"/>
          <w:szCs w:val="26"/>
        </w:rPr>
        <w:t xml:space="preserve"> the S</w:t>
      </w:r>
      <w:r w:rsidRPr="00901DF7" w:rsidR="005A6035">
        <w:rPr>
          <w:color w:val="000000"/>
          <w:szCs w:val="26"/>
        </w:rPr>
        <w:t xml:space="preserve">exually </w:t>
      </w:r>
      <w:r w:rsidRPr="00901DF7" w:rsidR="00D33B09">
        <w:rPr>
          <w:color w:val="000000"/>
          <w:szCs w:val="26"/>
        </w:rPr>
        <w:t>V</w:t>
      </w:r>
      <w:r w:rsidRPr="00901DF7" w:rsidR="005A6035">
        <w:rPr>
          <w:color w:val="000000"/>
          <w:szCs w:val="26"/>
        </w:rPr>
        <w:t xml:space="preserve">iolent </w:t>
      </w:r>
      <w:r w:rsidRPr="00901DF7" w:rsidR="00D33B09">
        <w:rPr>
          <w:color w:val="000000"/>
          <w:szCs w:val="26"/>
        </w:rPr>
        <w:t>P</w:t>
      </w:r>
      <w:r w:rsidRPr="00901DF7" w:rsidR="005A6035">
        <w:rPr>
          <w:color w:val="000000"/>
          <w:szCs w:val="26"/>
        </w:rPr>
        <w:t xml:space="preserve">redator </w:t>
      </w:r>
      <w:r w:rsidRPr="00901DF7" w:rsidR="00D33B09">
        <w:rPr>
          <w:color w:val="000000"/>
          <w:szCs w:val="26"/>
        </w:rPr>
        <w:t>A</w:t>
      </w:r>
      <w:r w:rsidRPr="00901DF7" w:rsidR="005A6035">
        <w:rPr>
          <w:color w:val="000000"/>
          <w:szCs w:val="26"/>
        </w:rPr>
        <w:t>ct (SVPA)</w:t>
      </w:r>
      <w:r w:rsidRPr="00901DF7" w:rsidR="00D33B09">
        <w:rPr>
          <w:color w:val="000000"/>
          <w:szCs w:val="26"/>
        </w:rPr>
        <w:t xml:space="preserve"> and the One Strike law.</w:t>
      </w:r>
      <w:r>
        <w:rPr>
          <w:rStyle w:val="FootnoteReference"/>
          <w:color w:val="000000"/>
          <w:szCs w:val="26"/>
        </w:rPr>
        <w:footnoteReference w:id="9"/>
      </w:r>
      <w:r w:rsidRPr="00901DF7" w:rsidR="0089178F">
        <w:rPr>
          <w:color w:val="000000"/>
          <w:szCs w:val="26"/>
        </w:rPr>
        <w:t xml:space="preserve">  </w:t>
      </w:r>
      <w:r w:rsidRPr="00901DF7" w:rsidR="003E0A23">
        <w:rPr>
          <w:color w:val="000000"/>
          <w:szCs w:val="26"/>
        </w:rPr>
        <w:t xml:space="preserve">(Prop. 83, </w:t>
      </w:r>
      <w:r w:rsidR="007B112D">
        <w:rPr>
          <w:color w:val="000000"/>
          <w:szCs w:val="26"/>
        </w:rPr>
        <w:t>§ </w:t>
      </w:r>
      <w:r w:rsidRPr="00901DF7" w:rsidR="00735524">
        <w:rPr>
          <w:color w:val="000000"/>
          <w:szCs w:val="26"/>
        </w:rPr>
        <w:t>12</w:t>
      </w:r>
      <w:r w:rsidRPr="00901DF7" w:rsidR="003E0A23">
        <w:rPr>
          <w:color w:val="000000"/>
          <w:szCs w:val="26"/>
        </w:rPr>
        <w:t>,</w:t>
      </w:r>
      <w:r w:rsidRPr="00901DF7" w:rsidR="00735524">
        <w:rPr>
          <w:color w:val="000000"/>
          <w:szCs w:val="26"/>
        </w:rPr>
        <w:t xml:space="preserve"> </w:t>
      </w:r>
      <w:r w:rsidRPr="00704C61" w:rsidR="00834C3C">
        <w:rPr>
          <w:i/>
          <w:iCs/>
          <w:color w:val="000000"/>
          <w:szCs w:val="26"/>
        </w:rPr>
        <w:t>supra</w:t>
      </w:r>
      <w:r w:rsidRPr="00901DF7" w:rsidR="003E0A23">
        <w:rPr>
          <w:color w:val="000000"/>
          <w:szCs w:val="26"/>
        </w:rPr>
        <w:t xml:space="preserve">.)  </w:t>
      </w:r>
      <w:r w:rsidRPr="00901DF7" w:rsidR="00256971">
        <w:rPr>
          <w:color w:val="000000"/>
          <w:szCs w:val="26"/>
        </w:rPr>
        <w:t>The initiative was t</w:t>
      </w:r>
      <w:r w:rsidRPr="00901DF7" w:rsidR="002F2858">
        <w:rPr>
          <w:color w:val="000000"/>
          <w:szCs w:val="26"/>
        </w:rPr>
        <w:t>itled</w:t>
      </w:r>
      <w:r w:rsidRPr="00901DF7" w:rsidR="0089178F">
        <w:rPr>
          <w:color w:val="000000"/>
          <w:szCs w:val="26"/>
        </w:rPr>
        <w:t xml:space="preserve"> “The Sexual Predator Punishment and Control Act:  Jessica’s Law”</w:t>
      </w:r>
      <w:r w:rsidRPr="00901DF7" w:rsidR="00A93CE2">
        <w:rPr>
          <w:color w:val="000000"/>
          <w:szCs w:val="26"/>
        </w:rPr>
        <w:t xml:space="preserve"> (</w:t>
      </w:r>
      <w:r w:rsidRPr="00901DF7" w:rsidR="00A36CCE">
        <w:rPr>
          <w:color w:val="000000"/>
          <w:szCs w:val="26"/>
        </w:rPr>
        <w:t xml:space="preserve">Proposition 83 or </w:t>
      </w:r>
      <w:r w:rsidRPr="00901DF7" w:rsidR="00A93CE2">
        <w:rPr>
          <w:color w:val="000000"/>
          <w:szCs w:val="26"/>
        </w:rPr>
        <w:t>Jessica’s Law)</w:t>
      </w:r>
      <w:r w:rsidRPr="00901DF7" w:rsidR="00A000B7">
        <w:rPr>
          <w:color w:val="000000"/>
          <w:szCs w:val="26"/>
        </w:rPr>
        <w:t xml:space="preserve">. </w:t>
      </w:r>
      <w:r w:rsidRPr="00901DF7" w:rsidR="004B2596">
        <w:rPr>
          <w:color w:val="000000"/>
          <w:szCs w:val="26"/>
        </w:rPr>
        <w:t xml:space="preserve"> </w:t>
      </w:r>
      <w:r w:rsidRPr="00901DF7" w:rsidR="00A000B7">
        <w:rPr>
          <w:color w:val="000000"/>
          <w:szCs w:val="26"/>
        </w:rPr>
        <w:t>I</w:t>
      </w:r>
      <w:r w:rsidRPr="00901DF7" w:rsidR="00256971">
        <w:rPr>
          <w:color w:val="000000"/>
          <w:szCs w:val="26"/>
        </w:rPr>
        <w:t xml:space="preserve">ts </w:t>
      </w:r>
      <w:r w:rsidRPr="00901DF7" w:rsidR="00A37580">
        <w:rPr>
          <w:color w:val="000000"/>
          <w:szCs w:val="26"/>
        </w:rPr>
        <w:t>Findings and Declarations</w:t>
      </w:r>
      <w:r w:rsidRPr="00901DF7" w:rsidR="0089178F">
        <w:rPr>
          <w:color w:val="000000"/>
          <w:szCs w:val="26"/>
        </w:rPr>
        <w:t xml:space="preserve"> </w:t>
      </w:r>
      <w:r w:rsidRPr="00901DF7" w:rsidR="00A37580">
        <w:rPr>
          <w:color w:val="000000"/>
          <w:szCs w:val="26"/>
        </w:rPr>
        <w:t>explained</w:t>
      </w:r>
      <w:r w:rsidRPr="00901DF7" w:rsidR="00256971">
        <w:rPr>
          <w:color w:val="000000"/>
          <w:szCs w:val="26"/>
        </w:rPr>
        <w:t xml:space="preserve">: </w:t>
      </w:r>
      <w:r w:rsidRPr="00901DF7" w:rsidR="00A37580">
        <w:rPr>
          <w:color w:val="000000"/>
          <w:szCs w:val="26"/>
        </w:rPr>
        <w:t xml:space="preserve"> “</w:t>
      </w:r>
      <w:r w:rsidRPr="00901DF7" w:rsidR="00256971">
        <w:rPr>
          <w:color w:val="000000"/>
          <w:szCs w:val="26"/>
        </w:rPr>
        <w:t>S</w:t>
      </w:r>
      <w:r w:rsidRPr="00901DF7" w:rsidR="00A37580">
        <w:rPr>
          <w:color w:val="000000"/>
          <w:szCs w:val="26"/>
        </w:rPr>
        <w:t>ex offenders have very high recidivism rates.</w:t>
      </w:r>
      <w:r w:rsidR="0018394E">
        <w:rPr>
          <w:color w:val="000000"/>
          <w:szCs w:val="26"/>
        </w:rPr>
        <w:t> </w:t>
      </w:r>
      <w:r w:rsidRPr="00901DF7" w:rsidR="0089178F">
        <w:rPr>
          <w:color w:val="000000"/>
          <w:szCs w:val="26"/>
        </w:rPr>
        <w:t>.</w:t>
      </w:r>
      <w:r w:rsidRPr="00901DF7" w:rsidR="004E5EB8">
        <w:rPr>
          <w:color w:val="000000"/>
          <w:szCs w:val="26"/>
        </w:rPr>
        <w:t> </w:t>
      </w:r>
      <w:r w:rsidRPr="00901DF7" w:rsidR="0089178F">
        <w:rPr>
          <w:color w:val="000000"/>
          <w:szCs w:val="26"/>
        </w:rPr>
        <w:t>.</w:t>
      </w:r>
      <w:r w:rsidR="0018394E">
        <w:rPr>
          <w:color w:val="000000"/>
          <w:szCs w:val="26"/>
        </w:rPr>
        <w:t> </w:t>
      </w:r>
      <w:r w:rsidRPr="00901DF7" w:rsidR="0089178F">
        <w:rPr>
          <w:color w:val="000000"/>
          <w:szCs w:val="26"/>
        </w:rPr>
        <w:t xml:space="preserve">. </w:t>
      </w:r>
      <w:r w:rsidRPr="00901DF7" w:rsidR="004E5EB8">
        <w:rPr>
          <w:color w:val="000000"/>
          <w:szCs w:val="26"/>
        </w:rPr>
        <w:t xml:space="preserve"> </w:t>
      </w:r>
      <w:r w:rsidRPr="00901DF7" w:rsidR="0098683F">
        <w:rPr>
          <w:color w:val="000000"/>
          <w:szCs w:val="26"/>
        </w:rPr>
        <w:t xml:space="preserve">[They] </w:t>
      </w:r>
      <w:r w:rsidRPr="00901DF7" w:rsidR="00A37580">
        <w:rPr>
          <w:color w:val="000000"/>
          <w:szCs w:val="26"/>
        </w:rPr>
        <w:t xml:space="preserve">are the least likely to be cured and the most likely to reoffend, and they prey on the most innocent members of our society.  More than two-thirds of the victims of rape and sexual assault are under the age of 18.  Sex offenders have a dramatically higher recidivism rate for their crimes than any other type of violent felon.”  </w:t>
      </w:r>
      <w:r w:rsidRPr="00901DF7" w:rsidR="00557A68">
        <w:rPr>
          <w:color w:val="000000"/>
          <w:szCs w:val="26"/>
        </w:rPr>
        <w:t>(</w:t>
      </w:r>
      <w:r w:rsidRPr="00901DF7" w:rsidR="00A36CCE">
        <w:rPr>
          <w:color w:val="000000"/>
          <w:szCs w:val="26"/>
        </w:rPr>
        <w:t xml:space="preserve">Voter Information </w:t>
      </w:r>
      <w:r w:rsidRPr="00901DF7" w:rsidR="0061169D">
        <w:rPr>
          <w:color w:val="000000"/>
          <w:szCs w:val="26"/>
        </w:rPr>
        <w:t>Guide</w:t>
      </w:r>
      <w:r w:rsidRPr="00901DF7" w:rsidR="00A36CCE">
        <w:rPr>
          <w:color w:val="000000"/>
          <w:szCs w:val="26"/>
        </w:rPr>
        <w:t>, Gen. Elec. (Nov. 7, 2006) text of Prop. 83, p. 127</w:t>
      </w:r>
      <w:r w:rsidRPr="00901DF7" w:rsidR="00FA6181">
        <w:rPr>
          <w:color w:val="000000"/>
          <w:szCs w:val="26"/>
        </w:rPr>
        <w:t xml:space="preserve"> (Voter </w:t>
      </w:r>
      <w:r w:rsidR="00834C3C">
        <w:rPr>
          <w:color w:val="000000"/>
          <w:szCs w:val="26"/>
        </w:rPr>
        <w:t xml:space="preserve">Information </w:t>
      </w:r>
      <w:r w:rsidRPr="00901DF7" w:rsidR="00FA6181">
        <w:rPr>
          <w:color w:val="000000"/>
          <w:szCs w:val="26"/>
        </w:rPr>
        <w:t>Guide</w:t>
      </w:r>
      <w:r w:rsidRPr="00901DF7" w:rsidR="004C7F1F">
        <w:rPr>
          <w:color w:val="000000"/>
          <w:szCs w:val="26"/>
        </w:rPr>
        <w:t xml:space="preserve"> on Prop. 83</w:t>
      </w:r>
      <w:r w:rsidRPr="00901DF7" w:rsidR="00FA6181">
        <w:rPr>
          <w:color w:val="000000"/>
          <w:szCs w:val="26"/>
        </w:rPr>
        <w:t>)</w:t>
      </w:r>
      <w:r w:rsidRPr="00901DF7" w:rsidR="003E0A23">
        <w:rPr>
          <w:color w:val="000000"/>
          <w:szCs w:val="26"/>
        </w:rPr>
        <w:t>.</w:t>
      </w:r>
      <w:r w:rsidRPr="00901DF7" w:rsidR="00F2361B">
        <w:rPr>
          <w:color w:val="000000"/>
          <w:szCs w:val="26"/>
        </w:rPr>
        <w:t xml:space="preserve">) </w:t>
      </w:r>
      <w:r w:rsidRPr="00901DF7" w:rsidR="00390CC8">
        <w:rPr>
          <w:color w:val="000000"/>
          <w:szCs w:val="26"/>
        </w:rPr>
        <w:t xml:space="preserve"> </w:t>
      </w:r>
    </w:p>
    <w:p w:rsidR="00500DF9" w:rsidRPr="00901DF7" w:rsidP="00901DF7" w14:paraId="16C5F642" w14:textId="047CF2C3">
      <w:pPr>
        <w:tabs>
          <w:tab w:val="left" w:pos="720"/>
          <w:tab w:val="left" w:pos="1440"/>
        </w:tabs>
        <w:rPr>
          <w:color w:val="000000"/>
          <w:szCs w:val="26"/>
        </w:rPr>
      </w:pPr>
      <w:r w:rsidRPr="00901DF7">
        <w:rPr>
          <w:color w:val="000000"/>
          <w:szCs w:val="26"/>
        </w:rPr>
        <w:tab/>
      </w:r>
      <w:r w:rsidRPr="00901DF7" w:rsidR="008A1C9C">
        <w:rPr>
          <w:color w:val="000000"/>
          <w:szCs w:val="26"/>
        </w:rPr>
        <w:t>Regarding the One Strike law</w:t>
      </w:r>
      <w:r w:rsidRPr="00901DF7" w:rsidR="004C7D3B">
        <w:rPr>
          <w:color w:val="000000"/>
          <w:szCs w:val="26"/>
        </w:rPr>
        <w:t>,</w:t>
      </w:r>
      <w:r w:rsidRPr="00901DF7" w:rsidR="00C70166">
        <w:rPr>
          <w:color w:val="000000"/>
          <w:szCs w:val="26"/>
        </w:rPr>
        <w:t xml:space="preserve"> </w:t>
      </w:r>
      <w:r w:rsidRPr="00901DF7" w:rsidR="00D33B09">
        <w:rPr>
          <w:color w:val="000000"/>
          <w:szCs w:val="26"/>
        </w:rPr>
        <w:t>Proposition 83</w:t>
      </w:r>
      <w:r w:rsidRPr="00901DF7" w:rsidR="00134D0A">
        <w:rPr>
          <w:color w:val="000000"/>
          <w:szCs w:val="26"/>
        </w:rPr>
        <w:t xml:space="preserve"> </w:t>
      </w:r>
      <w:r w:rsidRPr="00901DF7" w:rsidR="004C7D3B">
        <w:rPr>
          <w:color w:val="000000"/>
          <w:szCs w:val="26"/>
        </w:rPr>
        <w:t xml:space="preserve">expanded </w:t>
      </w:r>
      <w:r w:rsidRPr="00901DF7" w:rsidR="008A1C9C">
        <w:rPr>
          <w:color w:val="000000"/>
          <w:szCs w:val="26"/>
        </w:rPr>
        <w:t xml:space="preserve">its </w:t>
      </w:r>
      <w:r w:rsidRPr="00901DF7" w:rsidR="004C7D3B">
        <w:rPr>
          <w:color w:val="000000"/>
          <w:szCs w:val="26"/>
        </w:rPr>
        <w:t>scope</w:t>
      </w:r>
      <w:r w:rsidRPr="00901DF7" w:rsidR="008A1C9C">
        <w:rPr>
          <w:color w:val="000000"/>
          <w:szCs w:val="26"/>
        </w:rPr>
        <w:t xml:space="preserve"> </w:t>
      </w:r>
      <w:r w:rsidRPr="00901DF7" w:rsidR="004C7D3B">
        <w:rPr>
          <w:color w:val="000000"/>
          <w:szCs w:val="26"/>
        </w:rPr>
        <w:t xml:space="preserve">by adding </w:t>
      </w:r>
      <w:r w:rsidRPr="00901DF7" w:rsidR="00F760F6">
        <w:rPr>
          <w:color w:val="000000"/>
          <w:szCs w:val="26"/>
        </w:rPr>
        <w:t xml:space="preserve">the </w:t>
      </w:r>
      <w:r w:rsidRPr="00901DF7" w:rsidR="009D48A0">
        <w:rPr>
          <w:color w:val="000000"/>
          <w:szCs w:val="26"/>
        </w:rPr>
        <w:t xml:space="preserve">offense of </w:t>
      </w:r>
      <w:r w:rsidRPr="00901DF7" w:rsidR="00F760F6">
        <w:rPr>
          <w:color w:val="000000"/>
          <w:szCs w:val="26"/>
        </w:rPr>
        <w:t>continuous sexual abuse of a child (</w:t>
      </w:r>
      <w:r w:rsidR="007B112D">
        <w:rPr>
          <w:color w:val="000000"/>
          <w:szCs w:val="26"/>
        </w:rPr>
        <w:t>§ </w:t>
      </w:r>
      <w:r w:rsidRPr="00901DF7" w:rsidR="00F760F6">
        <w:rPr>
          <w:color w:val="000000"/>
          <w:szCs w:val="26"/>
        </w:rPr>
        <w:t>288</w:t>
      </w:r>
      <w:r w:rsidR="00886976">
        <w:rPr>
          <w:color w:val="000000"/>
          <w:szCs w:val="26"/>
        </w:rPr>
        <w:t>.5</w:t>
      </w:r>
      <w:r w:rsidRPr="00901DF7" w:rsidR="00F760F6">
        <w:rPr>
          <w:color w:val="000000"/>
          <w:szCs w:val="26"/>
        </w:rPr>
        <w:t>) to the list of offenses eligible for One Strike sentencing (</w:t>
      </w:r>
      <w:r w:rsidR="007B112D">
        <w:rPr>
          <w:color w:val="000000"/>
          <w:szCs w:val="26"/>
        </w:rPr>
        <w:t>§ </w:t>
      </w:r>
      <w:r w:rsidRPr="00901DF7" w:rsidR="00F760F6">
        <w:rPr>
          <w:color w:val="000000"/>
          <w:szCs w:val="26"/>
        </w:rPr>
        <w:t>667.61, subd. (c)(9)</w:t>
      </w:r>
      <w:r w:rsidRPr="00901DF7" w:rsidR="003A78FC">
        <w:rPr>
          <w:color w:val="000000"/>
          <w:szCs w:val="26"/>
        </w:rPr>
        <w:t>, as amended by</w:t>
      </w:r>
      <w:r w:rsidRPr="00901DF7" w:rsidR="00C23824">
        <w:t xml:space="preserve"> </w:t>
      </w:r>
      <w:r w:rsidRPr="00901DF7" w:rsidR="00C23824">
        <w:rPr>
          <w:color w:val="000000"/>
          <w:szCs w:val="26"/>
        </w:rPr>
        <w:t xml:space="preserve">Prop. 83, </w:t>
      </w:r>
      <w:r w:rsidR="007B112D">
        <w:rPr>
          <w:color w:val="000000"/>
          <w:szCs w:val="26"/>
        </w:rPr>
        <w:t>§ </w:t>
      </w:r>
      <w:r w:rsidRPr="00901DF7" w:rsidR="00C23824">
        <w:rPr>
          <w:color w:val="000000"/>
          <w:szCs w:val="26"/>
        </w:rPr>
        <w:t xml:space="preserve">12, </w:t>
      </w:r>
      <w:r w:rsidRPr="00704C61" w:rsidR="00834C3C">
        <w:rPr>
          <w:i/>
          <w:iCs/>
          <w:color w:val="000000"/>
          <w:szCs w:val="26"/>
        </w:rPr>
        <w:t>supra</w:t>
      </w:r>
      <w:r w:rsidRPr="00901DF7" w:rsidR="00F760F6">
        <w:rPr>
          <w:color w:val="000000"/>
          <w:szCs w:val="26"/>
        </w:rPr>
        <w:t>)</w:t>
      </w:r>
      <w:r w:rsidRPr="00901DF7" w:rsidR="00023225">
        <w:rPr>
          <w:color w:val="000000"/>
          <w:szCs w:val="26"/>
        </w:rPr>
        <w:t>.</w:t>
      </w:r>
      <w:r w:rsidRPr="00901DF7" w:rsidR="00752CD4">
        <w:rPr>
          <w:color w:val="000000"/>
          <w:szCs w:val="26"/>
        </w:rPr>
        <w:t xml:space="preserve"> </w:t>
      </w:r>
      <w:r w:rsidRPr="00901DF7" w:rsidR="00F760F6">
        <w:rPr>
          <w:color w:val="000000"/>
          <w:szCs w:val="26"/>
        </w:rPr>
        <w:t xml:space="preserve"> </w:t>
      </w:r>
      <w:r w:rsidRPr="00901DF7" w:rsidR="008D3CE0">
        <w:rPr>
          <w:color w:val="000000"/>
          <w:szCs w:val="26"/>
        </w:rPr>
        <w:t xml:space="preserve">It also added two new circumstances to subdivisions (d) and (e), respectively, to enhance a defendant’s sentence under the One Strike law.  </w:t>
      </w:r>
      <w:r w:rsidRPr="00901DF7" w:rsidR="00DC60DF">
        <w:rPr>
          <w:color w:val="000000"/>
          <w:szCs w:val="26"/>
        </w:rPr>
        <w:t>(</w:t>
      </w:r>
      <w:r w:rsidRPr="00901DF7" w:rsidR="00020632">
        <w:rPr>
          <w:color w:val="000000"/>
          <w:szCs w:val="26"/>
        </w:rPr>
        <w:t xml:space="preserve">Former </w:t>
      </w:r>
      <w:r w:rsidR="007B112D">
        <w:rPr>
          <w:color w:val="000000"/>
          <w:szCs w:val="26"/>
        </w:rPr>
        <w:t>§ </w:t>
      </w:r>
      <w:r w:rsidRPr="00901DF7" w:rsidR="00DC60DF">
        <w:rPr>
          <w:color w:val="000000"/>
          <w:szCs w:val="26"/>
        </w:rPr>
        <w:t>667.61, subds. (d)(5) [defendant committed violation of §</w:t>
      </w:r>
      <w:r w:rsidR="007B112D">
        <w:rPr>
          <w:color w:val="000000"/>
          <w:szCs w:val="26"/>
        </w:rPr>
        <w:t>§ </w:t>
      </w:r>
      <w:r w:rsidRPr="00901DF7" w:rsidR="00DC60DF">
        <w:rPr>
          <w:color w:val="000000"/>
          <w:szCs w:val="26"/>
        </w:rPr>
        <w:t xml:space="preserve">264.1, 286, subd. (d), or former </w:t>
      </w:r>
      <w:r w:rsidR="007B112D">
        <w:rPr>
          <w:color w:val="000000"/>
          <w:szCs w:val="26"/>
        </w:rPr>
        <w:t>§ </w:t>
      </w:r>
      <w:r w:rsidRPr="00901DF7" w:rsidR="00DC60DF">
        <w:rPr>
          <w:color w:val="000000"/>
          <w:szCs w:val="26"/>
        </w:rPr>
        <w:t xml:space="preserve">288a, subd. (d), and in </w:t>
      </w:r>
      <w:r w:rsidRPr="00901DF7" w:rsidR="00F51E39">
        <w:rPr>
          <w:color w:val="000000"/>
          <w:szCs w:val="26"/>
        </w:rPr>
        <w:t>committing</w:t>
      </w:r>
      <w:r w:rsidRPr="00901DF7" w:rsidR="00DC60DF">
        <w:rPr>
          <w:color w:val="000000"/>
          <w:szCs w:val="26"/>
        </w:rPr>
        <w:t xml:space="preserve"> that offense, </w:t>
      </w:r>
      <w:r w:rsidRPr="00901DF7" w:rsidR="00F51E39">
        <w:rPr>
          <w:color w:val="000000"/>
          <w:szCs w:val="26"/>
        </w:rPr>
        <w:t xml:space="preserve">also </w:t>
      </w:r>
      <w:r w:rsidRPr="00901DF7" w:rsidR="00DC60DF">
        <w:rPr>
          <w:color w:val="000000"/>
          <w:szCs w:val="26"/>
        </w:rPr>
        <w:t>committed any act described in (2), (3), or (4) of this subdivision]; (e)(8) [defendant committed violation of §</w:t>
      </w:r>
      <w:r w:rsidR="007B112D">
        <w:rPr>
          <w:color w:val="000000"/>
          <w:szCs w:val="26"/>
        </w:rPr>
        <w:t>§ </w:t>
      </w:r>
      <w:r w:rsidRPr="00901DF7" w:rsidR="00DC60DF">
        <w:rPr>
          <w:color w:val="000000"/>
          <w:szCs w:val="26"/>
        </w:rPr>
        <w:t xml:space="preserve">264.1, 286, subd. (d), or former </w:t>
      </w:r>
      <w:r w:rsidR="007B112D">
        <w:rPr>
          <w:color w:val="000000"/>
          <w:szCs w:val="26"/>
        </w:rPr>
        <w:t>§ </w:t>
      </w:r>
      <w:r w:rsidRPr="00901DF7" w:rsidR="00DC60DF">
        <w:rPr>
          <w:color w:val="000000"/>
          <w:szCs w:val="26"/>
        </w:rPr>
        <w:t xml:space="preserve">288a, subd. (d), and in </w:t>
      </w:r>
      <w:r w:rsidRPr="00901DF7" w:rsidR="00F51E39">
        <w:rPr>
          <w:color w:val="000000"/>
          <w:szCs w:val="26"/>
        </w:rPr>
        <w:t>committing</w:t>
      </w:r>
      <w:r w:rsidRPr="00901DF7" w:rsidR="00DC60DF">
        <w:rPr>
          <w:color w:val="000000"/>
          <w:szCs w:val="26"/>
        </w:rPr>
        <w:t xml:space="preserve"> that offense, </w:t>
      </w:r>
      <w:r w:rsidRPr="00901DF7" w:rsidR="00F51E39">
        <w:rPr>
          <w:color w:val="000000"/>
          <w:szCs w:val="26"/>
        </w:rPr>
        <w:t xml:space="preserve">also </w:t>
      </w:r>
      <w:r w:rsidRPr="00901DF7" w:rsidR="00DC60DF">
        <w:rPr>
          <w:color w:val="000000"/>
          <w:szCs w:val="26"/>
        </w:rPr>
        <w:t xml:space="preserve">committed any act described in (1), (2), (3), (4), (6) or (7) of this subdivision].)  </w:t>
      </w:r>
    </w:p>
    <w:p w:rsidR="008D7F94" w:rsidRPr="00901DF7" w:rsidP="00901DF7" w14:paraId="3CDE99D3" w14:textId="76484BF7">
      <w:pPr>
        <w:tabs>
          <w:tab w:val="left" w:pos="720"/>
          <w:tab w:val="left" w:pos="1440"/>
        </w:tabs>
        <w:rPr>
          <w:color w:val="000000"/>
          <w:szCs w:val="26"/>
        </w:rPr>
      </w:pPr>
      <w:r w:rsidRPr="00901DF7">
        <w:rPr>
          <w:color w:val="000000"/>
          <w:szCs w:val="26"/>
        </w:rPr>
        <w:tab/>
      </w:r>
      <w:r w:rsidRPr="00901DF7" w:rsidR="0089178F">
        <w:rPr>
          <w:color w:val="000000"/>
          <w:szCs w:val="26"/>
        </w:rPr>
        <w:t>Several years</w:t>
      </w:r>
      <w:r w:rsidRPr="00901DF7" w:rsidR="005C1F29">
        <w:rPr>
          <w:color w:val="000000"/>
          <w:szCs w:val="26"/>
        </w:rPr>
        <w:t xml:space="preserve"> after the </w:t>
      </w:r>
      <w:r w:rsidRPr="00901DF7" w:rsidR="00F5116A">
        <w:rPr>
          <w:color w:val="000000"/>
          <w:szCs w:val="26"/>
        </w:rPr>
        <w:t xml:space="preserve">voters’ passage </w:t>
      </w:r>
      <w:r w:rsidRPr="00901DF7" w:rsidR="005C1F29">
        <w:rPr>
          <w:color w:val="000000"/>
          <w:szCs w:val="26"/>
        </w:rPr>
        <w:t>of Jessica’s Law</w:t>
      </w:r>
      <w:r w:rsidRPr="00901DF7" w:rsidR="0089178F">
        <w:rPr>
          <w:color w:val="000000"/>
          <w:szCs w:val="26"/>
        </w:rPr>
        <w:t xml:space="preserve">, the Legislature passed the </w:t>
      </w:r>
      <w:r w:rsidRPr="00901DF7" w:rsidR="009F22A1">
        <w:rPr>
          <w:color w:val="000000"/>
          <w:szCs w:val="26"/>
        </w:rPr>
        <w:t>“Chelsea King Child Predator Prevention Act of 2010”</w:t>
      </w:r>
      <w:r w:rsidRPr="00901DF7" w:rsidR="00C519FA">
        <w:rPr>
          <w:color w:val="000000"/>
          <w:szCs w:val="26"/>
        </w:rPr>
        <w:t xml:space="preserve"> (Chelsea’s </w:t>
      </w:r>
      <w:r w:rsidRPr="00901DF7" w:rsidR="00AD7623">
        <w:rPr>
          <w:color w:val="000000"/>
          <w:szCs w:val="26"/>
        </w:rPr>
        <w:t>L</w:t>
      </w:r>
      <w:r w:rsidRPr="00901DF7" w:rsidR="00C519FA">
        <w:rPr>
          <w:color w:val="000000"/>
          <w:szCs w:val="26"/>
        </w:rPr>
        <w:t>aw)</w:t>
      </w:r>
      <w:r w:rsidRPr="00901DF7" w:rsidR="00B52929">
        <w:rPr>
          <w:color w:val="000000"/>
          <w:szCs w:val="26"/>
        </w:rPr>
        <w:t xml:space="preserve">, making </w:t>
      </w:r>
      <w:r w:rsidRPr="00901DF7" w:rsidR="00FE05B8">
        <w:rPr>
          <w:color w:val="000000"/>
          <w:szCs w:val="26"/>
        </w:rPr>
        <w:t xml:space="preserve">more significant </w:t>
      </w:r>
      <w:r w:rsidRPr="00901DF7" w:rsidR="00B52929">
        <w:rPr>
          <w:color w:val="000000"/>
          <w:szCs w:val="26"/>
        </w:rPr>
        <w:t>changes to the One Strike law</w:t>
      </w:r>
      <w:r w:rsidRPr="00901DF7" w:rsidR="00C109A3">
        <w:rPr>
          <w:color w:val="000000"/>
          <w:szCs w:val="26"/>
        </w:rPr>
        <w:t xml:space="preserve"> </w:t>
      </w:r>
      <w:r w:rsidRPr="00901DF7" w:rsidR="00B356C5">
        <w:rPr>
          <w:color w:val="000000"/>
          <w:szCs w:val="26"/>
        </w:rPr>
        <w:t xml:space="preserve">and </w:t>
      </w:r>
      <w:r w:rsidRPr="00901DF7" w:rsidR="00C109A3">
        <w:rPr>
          <w:color w:val="000000"/>
          <w:szCs w:val="26"/>
        </w:rPr>
        <w:t>other statutes governing sex offenses</w:t>
      </w:r>
      <w:r w:rsidRPr="00901DF7" w:rsidR="00C519FA">
        <w:rPr>
          <w:color w:val="000000"/>
          <w:szCs w:val="26"/>
        </w:rPr>
        <w:t>.</w:t>
      </w:r>
      <w:r w:rsidRPr="00901DF7" w:rsidR="009F22A1">
        <w:rPr>
          <w:color w:val="000000"/>
          <w:szCs w:val="26"/>
        </w:rPr>
        <w:t xml:space="preserve">  </w:t>
      </w:r>
      <w:r w:rsidRPr="00901DF7" w:rsidR="0089178F">
        <w:rPr>
          <w:color w:val="000000"/>
          <w:szCs w:val="26"/>
        </w:rPr>
        <w:t>(</w:t>
      </w:r>
      <w:r w:rsidRPr="00901DF7" w:rsidR="009F22A1">
        <w:rPr>
          <w:color w:val="000000"/>
          <w:szCs w:val="26"/>
        </w:rPr>
        <w:t>Stats.</w:t>
      </w:r>
      <w:r w:rsidRPr="00901DF7" w:rsidR="00557A68">
        <w:rPr>
          <w:color w:val="000000"/>
          <w:szCs w:val="26"/>
        </w:rPr>
        <w:t xml:space="preserve"> 2010, ch. 219, §</w:t>
      </w:r>
      <w:r w:rsidR="007B112D">
        <w:rPr>
          <w:color w:val="000000"/>
          <w:szCs w:val="26"/>
        </w:rPr>
        <w:t>§ </w:t>
      </w:r>
      <w:r w:rsidRPr="00901DF7" w:rsidR="00557A68">
        <w:rPr>
          <w:color w:val="000000"/>
          <w:szCs w:val="26"/>
        </w:rPr>
        <w:t>1, 16</w:t>
      </w:r>
      <w:r w:rsidRPr="00901DF7" w:rsidR="00012B1B">
        <w:rPr>
          <w:color w:val="000000"/>
          <w:szCs w:val="26"/>
        </w:rPr>
        <w:t xml:space="preserve">; </w:t>
      </w:r>
      <w:bookmarkStart w:id="4" w:name="_Hlk146767432"/>
      <w:r w:rsidRPr="00901DF7" w:rsidR="00557A68">
        <w:rPr>
          <w:color w:val="000000"/>
          <w:szCs w:val="26"/>
        </w:rPr>
        <w:t xml:space="preserve">see </w:t>
      </w:r>
      <w:r w:rsidRPr="00901DF7" w:rsidR="003338B5">
        <w:rPr>
          <w:i/>
          <w:iCs/>
          <w:color w:val="000000"/>
          <w:szCs w:val="26"/>
        </w:rPr>
        <w:t>People v. Soto</w:t>
      </w:r>
      <w:r w:rsidRPr="00901DF7" w:rsidR="003338B5">
        <w:rPr>
          <w:color w:val="000000"/>
          <w:szCs w:val="26"/>
        </w:rPr>
        <w:t xml:space="preserve"> (2011) 51 Cal.4th 229, 237, fn. 4</w:t>
      </w:r>
      <w:r w:rsidRPr="00901DF7" w:rsidR="00012B1B">
        <w:rPr>
          <w:color w:val="000000"/>
          <w:szCs w:val="26"/>
        </w:rPr>
        <w:t>.)</w:t>
      </w:r>
      <w:r w:rsidRPr="00901DF7" w:rsidR="00AD7623">
        <w:rPr>
          <w:color w:val="000000"/>
          <w:szCs w:val="26"/>
        </w:rPr>
        <w:t xml:space="preserve"> </w:t>
      </w:r>
      <w:r w:rsidRPr="00901DF7" w:rsidR="00D74EFC">
        <w:rPr>
          <w:color w:val="000000"/>
          <w:szCs w:val="26"/>
        </w:rPr>
        <w:t xml:space="preserve"> </w:t>
      </w:r>
      <w:r w:rsidRPr="00901DF7" w:rsidR="00A864FC">
        <w:rPr>
          <w:color w:val="000000"/>
          <w:szCs w:val="26"/>
        </w:rPr>
        <w:t>Chelsea’s Law</w:t>
      </w:r>
      <w:r w:rsidRPr="00901DF7" w:rsidR="005C1F29">
        <w:rPr>
          <w:color w:val="000000"/>
          <w:szCs w:val="26"/>
        </w:rPr>
        <w:t xml:space="preserve"> </w:t>
      </w:r>
      <w:r w:rsidRPr="00901DF7" w:rsidR="00384589">
        <w:rPr>
          <w:color w:val="000000"/>
          <w:szCs w:val="26"/>
        </w:rPr>
        <w:t xml:space="preserve">greatly </w:t>
      </w:r>
      <w:r w:rsidRPr="00901DF7" w:rsidR="0068092D">
        <w:rPr>
          <w:color w:val="000000"/>
          <w:szCs w:val="26"/>
        </w:rPr>
        <w:t xml:space="preserve">enhanced </w:t>
      </w:r>
      <w:r w:rsidRPr="00901DF7" w:rsidR="0098683F">
        <w:rPr>
          <w:color w:val="000000"/>
          <w:szCs w:val="26"/>
        </w:rPr>
        <w:t xml:space="preserve">One Strike </w:t>
      </w:r>
      <w:r w:rsidRPr="00901DF7" w:rsidR="00736534">
        <w:rPr>
          <w:color w:val="000000"/>
          <w:szCs w:val="26"/>
        </w:rPr>
        <w:t xml:space="preserve">sentences for </w:t>
      </w:r>
      <w:r w:rsidRPr="00901DF7" w:rsidR="00582A07">
        <w:rPr>
          <w:color w:val="000000"/>
          <w:szCs w:val="26"/>
        </w:rPr>
        <w:t xml:space="preserve">all </w:t>
      </w:r>
      <w:r w:rsidRPr="00901DF7" w:rsidR="0009531A">
        <w:rPr>
          <w:color w:val="000000"/>
          <w:szCs w:val="26"/>
        </w:rPr>
        <w:t>nine</w:t>
      </w:r>
      <w:r w:rsidRPr="00901DF7" w:rsidR="00A864FC">
        <w:rPr>
          <w:color w:val="000000"/>
          <w:szCs w:val="26"/>
        </w:rPr>
        <w:t xml:space="preserve"> </w:t>
      </w:r>
      <w:r w:rsidRPr="00901DF7" w:rsidR="00872B82">
        <w:rPr>
          <w:color w:val="000000"/>
          <w:szCs w:val="26"/>
        </w:rPr>
        <w:t xml:space="preserve">triggering </w:t>
      </w:r>
      <w:r w:rsidRPr="00901DF7" w:rsidR="00A864FC">
        <w:rPr>
          <w:color w:val="000000"/>
          <w:szCs w:val="26"/>
        </w:rPr>
        <w:t>offenses</w:t>
      </w:r>
      <w:r w:rsidRPr="00901DF7" w:rsidR="0009531A">
        <w:rPr>
          <w:color w:val="000000"/>
          <w:szCs w:val="26"/>
        </w:rPr>
        <w:t>,</w:t>
      </w:r>
      <w:r w:rsidRPr="00901DF7" w:rsidR="005756A7">
        <w:rPr>
          <w:color w:val="000000"/>
          <w:szCs w:val="26"/>
        </w:rPr>
        <w:t xml:space="preserve"> except a </w:t>
      </w:r>
      <w:r w:rsidRPr="00901DF7" w:rsidR="00FA1877">
        <w:rPr>
          <w:color w:val="000000"/>
          <w:szCs w:val="26"/>
        </w:rPr>
        <w:t>lewd and lascivious act</w:t>
      </w:r>
      <w:r w:rsidRPr="00901DF7" w:rsidR="00707395">
        <w:rPr>
          <w:color w:val="000000"/>
          <w:szCs w:val="26"/>
        </w:rPr>
        <w:t xml:space="preserve"> </w:t>
      </w:r>
      <w:r w:rsidR="00A85FC3">
        <w:rPr>
          <w:color w:val="000000"/>
          <w:szCs w:val="26"/>
        </w:rPr>
        <w:t xml:space="preserve">on a child </w:t>
      </w:r>
      <w:r w:rsidRPr="00901DF7" w:rsidR="00FA1877">
        <w:rPr>
          <w:color w:val="000000"/>
          <w:szCs w:val="26"/>
        </w:rPr>
        <w:t>(</w:t>
      </w:r>
      <w:r w:rsidR="007B112D">
        <w:rPr>
          <w:color w:val="000000"/>
          <w:szCs w:val="26"/>
        </w:rPr>
        <w:t>§ </w:t>
      </w:r>
      <w:r w:rsidRPr="00901DF7" w:rsidR="0009531A">
        <w:rPr>
          <w:color w:val="000000"/>
          <w:szCs w:val="26"/>
        </w:rPr>
        <w:t xml:space="preserve">288, </w:t>
      </w:r>
      <w:r w:rsidRPr="00901DF7" w:rsidR="00FA1877">
        <w:rPr>
          <w:color w:val="000000"/>
          <w:szCs w:val="26"/>
        </w:rPr>
        <w:t xml:space="preserve">subd. </w:t>
      </w:r>
      <w:r w:rsidRPr="00901DF7" w:rsidR="0009531A">
        <w:rPr>
          <w:color w:val="000000"/>
          <w:szCs w:val="26"/>
        </w:rPr>
        <w:t>(a)</w:t>
      </w:r>
      <w:r w:rsidRPr="00901DF7" w:rsidR="00FA1877">
        <w:rPr>
          <w:color w:val="000000"/>
          <w:szCs w:val="26"/>
        </w:rPr>
        <w:t>)</w:t>
      </w:r>
      <w:r w:rsidRPr="00901DF7" w:rsidR="00B834FE">
        <w:rPr>
          <w:color w:val="000000"/>
          <w:szCs w:val="26"/>
        </w:rPr>
        <w:t>, based on the victim’s age</w:t>
      </w:r>
      <w:r w:rsidRPr="00901DF7" w:rsidR="00736534">
        <w:rPr>
          <w:color w:val="000000"/>
          <w:szCs w:val="26"/>
        </w:rPr>
        <w:t>.</w:t>
      </w:r>
      <w:r w:rsidRPr="00901DF7" w:rsidR="00F71B4B">
        <w:rPr>
          <w:color w:val="000000"/>
          <w:szCs w:val="26"/>
        </w:rPr>
        <w:t xml:space="preserve"> </w:t>
      </w:r>
      <w:r w:rsidRPr="00901DF7" w:rsidR="00DD4E7D">
        <w:rPr>
          <w:color w:val="000000"/>
          <w:szCs w:val="26"/>
        </w:rPr>
        <w:t xml:space="preserve"> (See </w:t>
      </w:r>
      <w:r w:rsidR="007B112D">
        <w:rPr>
          <w:color w:val="000000"/>
          <w:szCs w:val="26"/>
        </w:rPr>
        <w:t>§ </w:t>
      </w:r>
      <w:r w:rsidRPr="00901DF7" w:rsidR="00DD4E7D">
        <w:rPr>
          <w:color w:val="000000"/>
          <w:szCs w:val="26"/>
        </w:rPr>
        <w:t xml:space="preserve">667.61, subd. (j)(1) </w:t>
      </w:r>
      <w:r w:rsidRPr="00901DF7" w:rsidR="00FB1823">
        <w:rPr>
          <w:color w:val="000000"/>
          <w:szCs w:val="26"/>
        </w:rPr>
        <w:t xml:space="preserve">&amp; </w:t>
      </w:r>
      <w:r w:rsidRPr="00901DF7" w:rsidR="00DD4E7D">
        <w:rPr>
          <w:color w:val="000000"/>
          <w:szCs w:val="26"/>
        </w:rPr>
        <w:t>(2).)</w:t>
      </w:r>
      <w:r w:rsidRPr="00901DF7" w:rsidR="00736534">
        <w:rPr>
          <w:color w:val="000000"/>
          <w:szCs w:val="26"/>
        </w:rPr>
        <w:t xml:space="preserve"> </w:t>
      </w:r>
      <w:r w:rsidRPr="00901DF7" w:rsidR="00DD4E7D">
        <w:rPr>
          <w:color w:val="000000"/>
          <w:szCs w:val="26"/>
        </w:rPr>
        <w:t xml:space="preserve"> </w:t>
      </w:r>
      <w:r w:rsidRPr="00901DF7" w:rsidR="005C1F29">
        <w:rPr>
          <w:color w:val="000000"/>
          <w:szCs w:val="26"/>
        </w:rPr>
        <w:t>Accordingly, under Chelsea’s Law</w:t>
      </w:r>
      <w:r w:rsidRPr="00901DF7" w:rsidR="00582A07">
        <w:rPr>
          <w:color w:val="000000"/>
          <w:szCs w:val="26"/>
        </w:rPr>
        <w:t>, i</w:t>
      </w:r>
      <w:r w:rsidRPr="00901DF7" w:rsidR="00F71B4B">
        <w:rPr>
          <w:color w:val="000000"/>
          <w:szCs w:val="26"/>
        </w:rPr>
        <w:t xml:space="preserve">f the victim </w:t>
      </w:r>
      <w:r w:rsidRPr="00901DF7" w:rsidR="00FC7822">
        <w:rPr>
          <w:color w:val="000000"/>
          <w:szCs w:val="26"/>
        </w:rPr>
        <w:t>was a minor</w:t>
      </w:r>
      <w:r w:rsidRPr="00901DF7" w:rsidR="00BA375C">
        <w:rPr>
          <w:color w:val="000000"/>
          <w:szCs w:val="26"/>
        </w:rPr>
        <w:t xml:space="preserve"> under 14 years </w:t>
      </w:r>
      <w:r w:rsidRPr="00901DF7" w:rsidR="0098592A">
        <w:rPr>
          <w:color w:val="000000"/>
          <w:szCs w:val="26"/>
        </w:rPr>
        <w:t>of age</w:t>
      </w:r>
      <w:r w:rsidRPr="00901DF7" w:rsidR="00EA23BC">
        <w:rPr>
          <w:color w:val="000000"/>
          <w:szCs w:val="26"/>
        </w:rPr>
        <w:t xml:space="preserve"> at the time of the offense</w:t>
      </w:r>
      <w:r w:rsidRPr="00901DF7" w:rsidR="0025565D">
        <w:rPr>
          <w:color w:val="000000"/>
          <w:szCs w:val="26"/>
        </w:rPr>
        <w:t xml:space="preserve">, </w:t>
      </w:r>
      <w:r w:rsidRPr="00901DF7" w:rsidR="00BA375C">
        <w:rPr>
          <w:color w:val="000000"/>
          <w:szCs w:val="26"/>
        </w:rPr>
        <w:t xml:space="preserve">the </w:t>
      </w:r>
      <w:r w:rsidRPr="00901DF7" w:rsidR="00F71B4B">
        <w:rPr>
          <w:color w:val="000000"/>
          <w:szCs w:val="26"/>
        </w:rPr>
        <w:t xml:space="preserve">perpetrator’s </w:t>
      </w:r>
      <w:r w:rsidRPr="00901DF7" w:rsidR="00BA375C">
        <w:rPr>
          <w:color w:val="000000"/>
          <w:szCs w:val="26"/>
        </w:rPr>
        <w:t>sentence</w:t>
      </w:r>
      <w:r w:rsidRPr="00901DF7" w:rsidR="00D96EC2">
        <w:rPr>
          <w:color w:val="000000"/>
          <w:szCs w:val="26"/>
        </w:rPr>
        <w:t xml:space="preserve"> </w:t>
      </w:r>
      <w:r w:rsidRPr="00901DF7" w:rsidR="0068092D">
        <w:rPr>
          <w:color w:val="000000"/>
          <w:szCs w:val="26"/>
        </w:rPr>
        <w:t xml:space="preserve">would </w:t>
      </w:r>
      <w:r w:rsidRPr="00901DF7" w:rsidR="00BA375C">
        <w:rPr>
          <w:color w:val="000000"/>
          <w:szCs w:val="26"/>
        </w:rPr>
        <w:t>increase to either 25 years to life or LWOP</w:t>
      </w:r>
      <w:r w:rsidRPr="00901DF7" w:rsidR="0025565D">
        <w:rPr>
          <w:color w:val="000000"/>
          <w:szCs w:val="26"/>
        </w:rPr>
        <w:t xml:space="preserve"> depending on the nature and number of the aggravating circumstances</w:t>
      </w:r>
      <w:r w:rsidRPr="00901DF7" w:rsidR="00F378DB">
        <w:rPr>
          <w:color w:val="000000"/>
          <w:szCs w:val="26"/>
        </w:rPr>
        <w:t xml:space="preserve"> and the </w:t>
      </w:r>
      <w:r w:rsidRPr="00901DF7" w:rsidR="00023225">
        <w:rPr>
          <w:color w:val="000000"/>
          <w:szCs w:val="26"/>
        </w:rPr>
        <w:t xml:space="preserve">defendant’s </w:t>
      </w:r>
      <w:r w:rsidRPr="00901DF7" w:rsidR="00F378DB">
        <w:rPr>
          <w:color w:val="000000"/>
          <w:szCs w:val="26"/>
        </w:rPr>
        <w:t>age</w:t>
      </w:r>
      <w:r w:rsidRPr="00901DF7" w:rsidR="0025565D">
        <w:rPr>
          <w:color w:val="000000"/>
          <w:szCs w:val="26"/>
        </w:rPr>
        <w:t>.</w:t>
      </w:r>
      <w:r w:rsidRPr="00901DF7" w:rsidR="00FC7822">
        <w:rPr>
          <w:color w:val="000000"/>
          <w:szCs w:val="26"/>
        </w:rPr>
        <w:t xml:space="preserve"> </w:t>
      </w:r>
      <w:r w:rsidRPr="00901DF7" w:rsidR="00935C85">
        <w:rPr>
          <w:color w:val="000000"/>
          <w:szCs w:val="26"/>
        </w:rPr>
        <w:t xml:space="preserve"> </w:t>
      </w:r>
      <w:r w:rsidRPr="00901DF7" w:rsidR="008D7E25">
        <w:rPr>
          <w:color w:val="000000"/>
          <w:szCs w:val="26"/>
        </w:rPr>
        <w:t>(</w:t>
      </w:r>
      <w:r w:rsidRPr="00901DF7" w:rsidR="004A17D2">
        <w:rPr>
          <w:color w:val="000000"/>
          <w:szCs w:val="26"/>
        </w:rPr>
        <w:t xml:space="preserve">Compare </w:t>
      </w:r>
      <w:r w:rsidR="007B112D">
        <w:rPr>
          <w:color w:val="000000"/>
          <w:szCs w:val="26"/>
        </w:rPr>
        <w:t>§ </w:t>
      </w:r>
      <w:r w:rsidRPr="00901DF7" w:rsidR="008D7E25">
        <w:rPr>
          <w:color w:val="000000"/>
          <w:szCs w:val="26"/>
        </w:rPr>
        <w:t>667.61, subd. (j)(1)</w:t>
      </w:r>
      <w:r w:rsidRPr="00901DF7" w:rsidR="00692543">
        <w:rPr>
          <w:color w:val="000000"/>
          <w:szCs w:val="26"/>
        </w:rPr>
        <w:t xml:space="preserve"> </w:t>
      </w:r>
      <w:r w:rsidRPr="00901DF7" w:rsidR="00FB1823">
        <w:rPr>
          <w:color w:val="000000"/>
          <w:szCs w:val="26"/>
        </w:rPr>
        <w:t xml:space="preserve">&amp; </w:t>
      </w:r>
      <w:r w:rsidRPr="00901DF7" w:rsidR="008D7E25">
        <w:rPr>
          <w:color w:val="000000"/>
          <w:szCs w:val="26"/>
        </w:rPr>
        <w:t>(2)</w:t>
      </w:r>
      <w:r w:rsidRPr="00901DF7" w:rsidR="00935C85">
        <w:rPr>
          <w:color w:val="000000"/>
          <w:szCs w:val="26"/>
        </w:rPr>
        <w:t xml:space="preserve"> </w:t>
      </w:r>
      <w:r w:rsidRPr="00901DF7" w:rsidR="004A17D2">
        <w:rPr>
          <w:color w:val="000000"/>
          <w:szCs w:val="26"/>
        </w:rPr>
        <w:t xml:space="preserve">with </w:t>
      </w:r>
      <w:r w:rsidR="007B112D">
        <w:rPr>
          <w:color w:val="000000"/>
          <w:szCs w:val="26"/>
        </w:rPr>
        <w:t>§ </w:t>
      </w:r>
      <w:r w:rsidRPr="00901DF7" w:rsidR="004A17D2">
        <w:rPr>
          <w:color w:val="000000"/>
          <w:szCs w:val="26"/>
        </w:rPr>
        <w:t>667.61, subds. (a), (b)</w:t>
      </w:r>
      <w:r w:rsidRPr="00901DF7" w:rsidR="00A33AB0">
        <w:rPr>
          <w:color w:val="000000"/>
          <w:szCs w:val="26"/>
        </w:rPr>
        <w:t xml:space="preserve">; see </w:t>
      </w:r>
      <w:r w:rsidRPr="00901DF7" w:rsidR="00200B90">
        <w:rPr>
          <w:i/>
          <w:iCs/>
          <w:color w:val="000000"/>
          <w:szCs w:val="26"/>
        </w:rPr>
        <w:t>People v. Betts</w:t>
      </w:r>
      <w:r w:rsidRPr="00901DF7" w:rsidR="00200B90">
        <w:rPr>
          <w:color w:val="000000"/>
          <w:szCs w:val="26"/>
        </w:rPr>
        <w:t xml:space="preserve"> (2020) 55 Cal.App.5th 294, </w:t>
      </w:r>
      <w:r w:rsidRPr="00901DF7" w:rsidR="00A33AB0">
        <w:rPr>
          <w:color w:val="000000"/>
          <w:szCs w:val="26"/>
        </w:rPr>
        <w:t>301 [</w:t>
      </w:r>
      <w:r w:rsidR="007B112D">
        <w:rPr>
          <w:color w:val="000000"/>
          <w:szCs w:val="26"/>
        </w:rPr>
        <w:t>§ </w:t>
      </w:r>
      <w:r w:rsidRPr="00901DF7" w:rsidR="00A33AB0">
        <w:rPr>
          <w:color w:val="000000"/>
          <w:szCs w:val="26"/>
        </w:rPr>
        <w:t xml:space="preserve"> 667.61 is </w:t>
      </w:r>
      <w:r w:rsidR="00886976">
        <w:rPr>
          <w:color w:val="000000"/>
          <w:szCs w:val="26"/>
        </w:rPr>
        <w:t xml:space="preserve">a </w:t>
      </w:r>
      <w:r w:rsidRPr="00901DF7" w:rsidR="00A33AB0">
        <w:rPr>
          <w:color w:val="000000"/>
          <w:szCs w:val="26"/>
        </w:rPr>
        <w:t>“multitiered</w:t>
      </w:r>
      <w:r w:rsidRPr="00901DF7" w:rsidR="00F378DB">
        <w:rPr>
          <w:color w:val="000000"/>
          <w:szCs w:val="26"/>
        </w:rPr>
        <w:t xml:space="preserve"> </w:t>
      </w:r>
      <w:r w:rsidRPr="00901DF7" w:rsidR="00A33AB0">
        <w:rPr>
          <w:color w:val="000000"/>
          <w:szCs w:val="26"/>
        </w:rPr>
        <w:t>sentencing scheme”]</w:t>
      </w:r>
      <w:r w:rsidRPr="00901DF7" w:rsidR="001D718C">
        <w:rPr>
          <w:color w:val="000000"/>
          <w:szCs w:val="26"/>
        </w:rPr>
        <w:t>.</w:t>
      </w:r>
      <w:r w:rsidRPr="00901DF7" w:rsidR="008D7E25">
        <w:rPr>
          <w:color w:val="000000"/>
          <w:szCs w:val="26"/>
        </w:rPr>
        <w:t xml:space="preserve">) </w:t>
      </w:r>
      <w:r w:rsidRPr="00901DF7" w:rsidR="00A33AB0">
        <w:rPr>
          <w:color w:val="000000"/>
          <w:szCs w:val="26"/>
        </w:rPr>
        <w:t xml:space="preserve"> </w:t>
      </w:r>
      <w:r w:rsidRPr="00901DF7" w:rsidR="00935C85">
        <w:rPr>
          <w:color w:val="000000"/>
          <w:szCs w:val="26"/>
        </w:rPr>
        <w:t xml:space="preserve">If </w:t>
      </w:r>
      <w:r w:rsidRPr="00901DF7" w:rsidR="00917DB8">
        <w:rPr>
          <w:color w:val="000000"/>
          <w:szCs w:val="26"/>
        </w:rPr>
        <w:t>the</w:t>
      </w:r>
      <w:r w:rsidRPr="00901DF7" w:rsidR="00935C85">
        <w:rPr>
          <w:color w:val="000000"/>
          <w:szCs w:val="26"/>
        </w:rPr>
        <w:t xml:space="preserve"> victim </w:t>
      </w:r>
      <w:r w:rsidRPr="00901DF7" w:rsidR="00C109A3">
        <w:rPr>
          <w:color w:val="000000"/>
          <w:szCs w:val="26"/>
        </w:rPr>
        <w:t xml:space="preserve">was </w:t>
      </w:r>
      <w:r w:rsidRPr="00901DF7" w:rsidR="00F378DB">
        <w:rPr>
          <w:color w:val="000000"/>
          <w:szCs w:val="26"/>
        </w:rPr>
        <w:t xml:space="preserve">a minor </w:t>
      </w:r>
      <w:r w:rsidRPr="00901DF7" w:rsidR="00935C85">
        <w:rPr>
          <w:color w:val="000000"/>
          <w:szCs w:val="26"/>
        </w:rPr>
        <w:t xml:space="preserve">14 years </w:t>
      </w:r>
      <w:r w:rsidRPr="00901DF7" w:rsidR="00935C85">
        <w:rPr>
          <w:i/>
          <w:iCs/>
          <w:color w:val="000000"/>
          <w:szCs w:val="26"/>
        </w:rPr>
        <w:t>or older</w:t>
      </w:r>
      <w:r w:rsidRPr="00901DF7" w:rsidR="00935C85">
        <w:rPr>
          <w:color w:val="000000"/>
          <w:szCs w:val="26"/>
        </w:rPr>
        <w:t xml:space="preserve">, </w:t>
      </w:r>
      <w:r w:rsidRPr="00901DF7" w:rsidR="004F3281">
        <w:rPr>
          <w:color w:val="000000"/>
          <w:szCs w:val="26"/>
        </w:rPr>
        <w:t xml:space="preserve">the defendant likewise </w:t>
      </w:r>
      <w:r w:rsidRPr="00901DF7" w:rsidR="001D0244">
        <w:rPr>
          <w:color w:val="000000"/>
          <w:szCs w:val="26"/>
        </w:rPr>
        <w:t xml:space="preserve">was </w:t>
      </w:r>
      <w:r w:rsidRPr="00901DF7" w:rsidR="004F3281">
        <w:rPr>
          <w:color w:val="000000"/>
          <w:szCs w:val="26"/>
        </w:rPr>
        <w:t xml:space="preserve">subject to </w:t>
      </w:r>
      <w:r w:rsidR="005B1099">
        <w:rPr>
          <w:color w:val="000000"/>
          <w:szCs w:val="26"/>
        </w:rPr>
        <w:t>25 years to life or LWOP</w:t>
      </w:r>
      <w:r w:rsidRPr="00901DF7" w:rsidR="00A84A25">
        <w:rPr>
          <w:color w:val="000000"/>
          <w:szCs w:val="26"/>
        </w:rPr>
        <w:t xml:space="preserve"> for certain types of offenses</w:t>
      </w:r>
      <w:r w:rsidRPr="00901DF7" w:rsidR="00917DB8">
        <w:rPr>
          <w:color w:val="000000"/>
          <w:szCs w:val="26"/>
        </w:rPr>
        <w:t>.  (</w:t>
      </w:r>
      <w:r w:rsidR="007B112D">
        <w:rPr>
          <w:color w:val="000000"/>
          <w:szCs w:val="26"/>
        </w:rPr>
        <w:t>§ </w:t>
      </w:r>
      <w:r w:rsidRPr="00901DF7" w:rsidR="00917DB8">
        <w:rPr>
          <w:color w:val="000000"/>
          <w:szCs w:val="26"/>
        </w:rPr>
        <w:t>667.61, subds. (</w:t>
      </w:r>
      <w:r w:rsidRPr="0014471D" w:rsidR="00917DB8">
        <w:rPr>
          <w:i/>
          <w:iCs/>
          <w:color w:val="000000"/>
          <w:szCs w:val="26"/>
        </w:rPr>
        <w:t>l</w:t>
      </w:r>
      <w:r w:rsidRPr="00901DF7" w:rsidR="00917DB8">
        <w:rPr>
          <w:color w:val="000000"/>
          <w:szCs w:val="26"/>
        </w:rPr>
        <w:t>), (m)</w:t>
      </w:r>
      <w:r w:rsidRPr="00901DF7" w:rsidR="00682A1B">
        <w:rPr>
          <w:color w:val="000000"/>
          <w:szCs w:val="26"/>
        </w:rPr>
        <w:t>, (n)</w:t>
      </w:r>
      <w:r w:rsidRPr="00901DF7" w:rsidR="00917DB8">
        <w:rPr>
          <w:color w:val="000000"/>
          <w:szCs w:val="26"/>
        </w:rPr>
        <w:t xml:space="preserve">.)  </w:t>
      </w:r>
      <w:r w:rsidRPr="00901DF7" w:rsidR="00030DA9">
        <w:rPr>
          <w:color w:val="000000"/>
          <w:szCs w:val="26"/>
        </w:rPr>
        <w:t>In addition to these increased sentences</w:t>
      </w:r>
      <w:r w:rsidRPr="00901DF7" w:rsidR="00A33AB0">
        <w:rPr>
          <w:color w:val="000000"/>
          <w:szCs w:val="26"/>
        </w:rPr>
        <w:t xml:space="preserve">, Chelsea’s Law </w:t>
      </w:r>
      <w:r w:rsidRPr="00901DF7" w:rsidR="007A3C0D">
        <w:rPr>
          <w:color w:val="000000"/>
          <w:szCs w:val="26"/>
        </w:rPr>
        <w:t xml:space="preserve">added </w:t>
      </w:r>
      <w:r w:rsidRPr="00901DF7" w:rsidR="00A33AB0">
        <w:rPr>
          <w:color w:val="000000"/>
          <w:szCs w:val="26"/>
        </w:rPr>
        <w:t xml:space="preserve">two new circumstances to </w:t>
      </w:r>
      <w:r w:rsidRPr="00901DF7" w:rsidR="00030DA9">
        <w:rPr>
          <w:color w:val="000000"/>
          <w:szCs w:val="26"/>
        </w:rPr>
        <w:t>subdivision (d)’s</w:t>
      </w:r>
      <w:r w:rsidRPr="00901DF7" w:rsidR="00A33AB0">
        <w:rPr>
          <w:color w:val="000000"/>
          <w:szCs w:val="26"/>
        </w:rPr>
        <w:t xml:space="preserve"> list of aggravating factors.  (</w:t>
      </w:r>
      <w:r w:rsidR="007B112D">
        <w:rPr>
          <w:color w:val="000000"/>
          <w:szCs w:val="26"/>
        </w:rPr>
        <w:t>§ </w:t>
      </w:r>
      <w:r w:rsidRPr="00901DF7" w:rsidR="00A33AB0">
        <w:rPr>
          <w:color w:val="000000"/>
          <w:szCs w:val="26"/>
        </w:rPr>
        <w:t>667.61, subd. (d)(6) [</w:t>
      </w:r>
      <w:r w:rsidRPr="00901DF7" w:rsidR="00884230">
        <w:rPr>
          <w:color w:val="000000"/>
          <w:szCs w:val="26"/>
        </w:rPr>
        <w:t xml:space="preserve">personal </w:t>
      </w:r>
      <w:r w:rsidRPr="00901DF7" w:rsidR="00A33AB0">
        <w:rPr>
          <w:color w:val="000000"/>
          <w:szCs w:val="26"/>
        </w:rPr>
        <w:t xml:space="preserve">infliction of </w:t>
      </w:r>
      <w:r w:rsidRPr="00901DF7" w:rsidR="00884230">
        <w:rPr>
          <w:color w:val="000000"/>
          <w:szCs w:val="26"/>
        </w:rPr>
        <w:t>“</w:t>
      </w:r>
      <w:r w:rsidRPr="00901DF7" w:rsidR="00A33AB0">
        <w:rPr>
          <w:color w:val="000000"/>
          <w:szCs w:val="26"/>
        </w:rPr>
        <w:t>great bodily</w:t>
      </w:r>
      <w:r w:rsidRPr="00901DF7" w:rsidR="00884230">
        <w:rPr>
          <w:color w:val="000000"/>
          <w:szCs w:val="26"/>
        </w:rPr>
        <w:t xml:space="preserve"> injury”</w:t>
      </w:r>
      <w:r w:rsidRPr="00901DF7" w:rsidR="00A33AB0">
        <w:rPr>
          <w:color w:val="000000"/>
          <w:szCs w:val="26"/>
        </w:rPr>
        <w:t>], (d)(7) [</w:t>
      </w:r>
      <w:r w:rsidRPr="00901DF7" w:rsidR="00884230">
        <w:rPr>
          <w:color w:val="000000"/>
          <w:szCs w:val="26"/>
        </w:rPr>
        <w:t xml:space="preserve">personal infliction of </w:t>
      </w:r>
      <w:r w:rsidRPr="00901DF7" w:rsidR="00A33AB0">
        <w:rPr>
          <w:color w:val="000000"/>
          <w:szCs w:val="26"/>
        </w:rPr>
        <w:t>“bodily harm” against a minor under age 14].)</w:t>
      </w:r>
      <w:bookmarkEnd w:id="4"/>
    </w:p>
    <w:p w:rsidR="00275295" w:rsidRPr="00901DF7" w:rsidP="00901DF7" w14:paraId="2F896F4F" w14:textId="3123C61A">
      <w:pPr>
        <w:tabs>
          <w:tab w:val="left" w:pos="720"/>
          <w:tab w:val="left" w:pos="1440"/>
        </w:tabs>
        <w:rPr>
          <w:szCs w:val="26"/>
        </w:rPr>
      </w:pPr>
      <w:r w:rsidRPr="00901DF7">
        <w:rPr>
          <w:color w:val="000000"/>
          <w:szCs w:val="26"/>
        </w:rPr>
        <w:tab/>
        <w:t xml:space="preserve">Observing that “current California law does not acknowledge or adjust for the true nature of the sexual violent predator that attacks children,” </w:t>
      </w:r>
      <w:r w:rsidRPr="00901DF7" w:rsidR="00A000B7">
        <w:rPr>
          <w:color w:val="000000"/>
          <w:szCs w:val="26"/>
        </w:rPr>
        <w:t xml:space="preserve">the legislative history of </w:t>
      </w:r>
      <w:r w:rsidRPr="00901DF7" w:rsidR="00837166">
        <w:rPr>
          <w:color w:val="000000"/>
          <w:szCs w:val="26"/>
        </w:rPr>
        <w:t xml:space="preserve">Chelsea’s Law </w:t>
      </w:r>
      <w:r w:rsidRPr="00901DF7">
        <w:rPr>
          <w:color w:val="000000"/>
          <w:szCs w:val="26"/>
        </w:rPr>
        <w:t xml:space="preserve">explained that </w:t>
      </w:r>
      <w:r w:rsidRPr="00901DF7" w:rsidR="00BF2534">
        <w:rPr>
          <w:color w:val="000000"/>
          <w:szCs w:val="26"/>
        </w:rPr>
        <w:t xml:space="preserve">One Strike </w:t>
      </w:r>
      <w:r w:rsidRPr="00901DF7">
        <w:rPr>
          <w:color w:val="000000"/>
          <w:szCs w:val="26"/>
        </w:rPr>
        <w:t xml:space="preserve">offenders who commit “the most serious and heinous sex crimes against children are not able to be rehabilitated” and that these crimes “are a red flag that the perpetrator is capable of much, much worse.”  </w:t>
      </w:r>
      <w:r w:rsidRPr="00901DF7" w:rsidR="003E137F">
        <w:rPr>
          <w:color w:val="000000"/>
          <w:szCs w:val="26"/>
        </w:rPr>
        <w:t>(</w:t>
      </w:r>
      <w:r w:rsidRPr="00901DF7" w:rsidR="005D2AF2">
        <w:rPr>
          <w:color w:val="000000"/>
          <w:szCs w:val="26"/>
        </w:rPr>
        <w:t xml:space="preserve">Assem. </w:t>
      </w:r>
      <w:r w:rsidRPr="00901DF7" w:rsidR="003E137F">
        <w:rPr>
          <w:color w:val="000000"/>
          <w:szCs w:val="26"/>
        </w:rPr>
        <w:t>Com. on Public Safety, Analysis of Assem. Bill No. 1844</w:t>
      </w:r>
      <w:r w:rsidR="00423331">
        <w:rPr>
          <w:color w:val="000000"/>
          <w:szCs w:val="26"/>
        </w:rPr>
        <w:t xml:space="preserve"> (2009–2010 Reg. Sess.)</w:t>
      </w:r>
      <w:r w:rsidRPr="00901DF7" w:rsidR="003E137F">
        <w:rPr>
          <w:color w:val="000000"/>
          <w:szCs w:val="26"/>
        </w:rPr>
        <w:t>, as amended Apr</w:t>
      </w:r>
      <w:r w:rsidR="00423331">
        <w:rPr>
          <w:color w:val="000000"/>
          <w:szCs w:val="26"/>
        </w:rPr>
        <w:t>.</w:t>
      </w:r>
      <w:r w:rsidRPr="00901DF7" w:rsidR="003E137F">
        <w:rPr>
          <w:color w:val="000000"/>
          <w:szCs w:val="26"/>
        </w:rPr>
        <w:t xml:space="preserve"> 13, 2010, p</w:t>
      </w:r>
      <w:r w:rsidRPr="00901DF7" w:rsidR="00A57218">
        <w:rPr>
          <w:color w:val="000000"/>
          <w:szCs w:val="26"/>
        </w:rPr>
        <w:t>p</w:t>
      </w:r>
      <w:r w:rsidRPr="00901DF7" w:rsidR="003E137F">
        <w:rPr>
          <w:color w:val="000000"/>
          <w:szCs w:val="26"/>
        </w:rPr>
        <w:t>. 1</w:t>
      </w:r>
      <w:r w:rsidR="00423331">
        <w:rPr>
          <w:color w:val="000000"/>
          <w:szCs w:val="26"/>
        </w:rPr>
        <w:t>3</w:t>
      </w:r>
      <w:r w:rsidRPr="00901DF7" w:rsidR="00702CA9">
        <w:rPr>
          <w:color w:val="000000"/>
          <w:szCs w:val="26"/>
        </w:rPr>
        <w:t>; see Sen. Com. on Public Safety, Analysis of Assem. Bill No. 1844</w:t>
      </w:r>
      <w:r w:rsidR="00423331">
        <w:rPr>
          <w:color w:val="000000"/>
          <w:szCs w:val="26"/>
        </w:rPr>
        <w:t xml:space="preserve"> (2009–2010 Reg. Sess.)</w:t>
      </w:r>
      <w:r w:rsidRPr="00901DF7" w:rsidR="00702CA9">
        <w:rPr>
          <w:color w:val="000000"/>
          <w:szCs w:val="26"/>
        </w:rPr>
        <w:t>, as amended June 2, 2010, p. 17 [offenders should be “locked up for life without the possibility of parole”]</w:t>
      </w:r>
      <w:r w:rsidRPr="00901DF7" w:rsidR="003E137F">
        <w:rPr>
          <w:color w:val="000000"/>
          <w:szCs w:val="26"/>
        </w:rPr>
        <w:t xml:space="preserve">.) </w:t>
      </w:r>
      <w:r w:rsidRPr="00901DF7" w:rsidR="00837166">
        <w:rPr>
          <w:color w:val="000000"/>
          <w:szCs w:val="26"/>
        </w:rPr>
        <w:t xml:space="preserve"> </w:t>
      </w:r>
      <w:r w:rsidRPr="00901DF7" w:rsidR="002D6594">
        <w:t>Significantly, t</w:t>
      </w:r>
      <w:r w:rsidRPr="00901DF7" w:rsidR="005F37C9">
        <w:rPr>
          <w:szCs w:val="26"/>
        </w:rPr>
        <w:t xml:space="preserve">he Legislature recognized that Chelsea’s Law </w:t>
      </w:r>
      <w:r w:rsidRPr="00901DF7" w:rsidR="00791A23">
        <w:rPr>
          <w:szCs w:val="26"/>
        </w:rPr>
        <w:t>would</w:t>
      </w:r>
      <w:r w:rsidRPr="00901DF7" w:rsidR="005F37C9">
        <w:rPr>
          <w:szCs w:val="26"/>
        </w:rPr>
        <w:t xml:space="preserve"> </w:t>
      </w:r>
      <w:r w:rsidRPr="00901DF7" w:rsidR="00791A23">
        <w:rPr>
          <w:szCs w:val="26"/>
        </w:rPr>
        <w:t>“</w:t>
      </w:r>
      <w:r w:rsidRPr="00901DF7" w:rsidR="005F37C9">
        <w:rPr>
          <w:szCs w:val="26"/>
        </w:rPr>
        <w:t>punish specified sex offenders more severely than individuals convicted of first</w:t>
      </w:r>
      <w:r w:rsidR="00423331">
        <w:rPr>
          <w:szCs w:val="26"/>
        </w:rPr>
        <w:t>-</w:t>
      </w:r>
      <w:r w:rsidRPr="00901DF7" w:rsidR="005F37C9">
        <w:rPr>
          <w:szCs w:val="26"/>
        </w:rPr>
        <w:t>degree, premeditated murder.”  (Assem. Com. on Public Safety, Analysis of Assem. Bill No. 1844,</w:t>
      </w:r>
      <w:r w:rsidRPr="00704C61" w:rsidR="00423331">
        <w:rPr>
          <w:i/>
          <w:iCs/>
          <w:szCs w:val="26"/>
        </w:rPr>
        <w:t xml:space="preserve"> supra</w:t>
      </w:r>
      <w:r w:rsidRPr="00901DF7" w:rsidR="005F37C9">
        <w:rPr>
          <w:szCs w:val="26"/>
        </w:rPr>
        <w:t xml:space="preserve">, p. </w:t>
      </w:r>
      <w:r w:rsidR="00423331">
        <w:rPr>
          <w:szCs w:val="26"/>
        </w:rPr>
        <w:t>14</w:t>
      </w:r>
      <w:r w:rsidRPr="00901DF7" w:rsidR="005F37C9">
        <w:rPr>
          <w:szCs w:val="26"/>
        </w:rPr>
        <w:t>.)</w:t>
      </w:r>
    </w:p>
    <w:p w:rsidR="00296E3D" w:rsidRPr="00901DF7" w:rsidP="009E5089" w14:paraId="31EE0E5E" w14:textId="5DF92C82">
      <w:pPr>
        <w:pStyle w:val="Heading2"/>
        <w:numPr>
          <w:ilvl w:val="0"/>
          <w:numId w:val="2"/>
        </w:numPr>
      </w:pPr>
      <w:r w:rsidRPr="00901DF7">
        <w:t>Facial or As-Applied Challenge</w:t>
      </w:r>
    </w:p>
    <w:p w:rsidR="00296E3D" w:rsidRPr="00901DF7" w:rsidP="00901DF7" w14:paraId="02216A71" w14:textId="7D408491">
      <w:pPr>
        <w:tabs>
          <w:tab w:val="left" w:pos="720"/>
          <w:tab w:val="left" w:pos="1440"/>
        </w:tabs>
        <w:rPr>
          <w:color w:val="000000"/>
          <w:szCs w:val="26"/>
        </w:rPr>
      </w:pPr>
      <w:r w:rsidRPr="00901DF7">
        <w:rPr>
          <w:szCs w:val="26"/>
        </w:rPr>
        <w:tab/>
        <w:t xml:space="preserve">As a threshold matter, </w:t>
      </w:r>
      <w:r w:rsidRPr="00901DF7" w:rsidR="00B26A2E">
        <w:rPr>
          <w:color w:val="000000"/>
          <w:szCs w:val="26"/>
        </w:rPr>
        <w:t>we address</w:t>
      </w:r>
      <w:r w:rsidRPr="00901DF7">
        <w:rPr>
          <w:color w:val="000000"/>
          <w:szCs w:val="26"/>
        </w:rPr>
        <w:t xml:space="preserve"> whether defendant is contesting the constitutionality of section 3051 as applied or on its face.  </w:t>
      </w:r>
      <w:r w:rsidRPr="00901DF7" w:rsidR="00B26A2E">
        <w:rPr>
          <w:color w:val="000000"/>
          <w:szCs w:val="26"/>
        </w:rPr>
        <w:t>Consistent with our grant of review, d</w:t>
      </w:r>
      <w:r w:rsidRPr="00901DF7" w:rsidR="00B26A2E">
        <w:rPr>
          <w:szCs w:val="26"/>
        </w:rPr>
        <w:t xml:space="preserve">efendant </w:t>
      </w:r>
      <w:r w:rsidRPr="00901DF7">
        <w:rPr>
          <w:szCs w:val="26"/>
        </w:rPr>
        <w:t xml:space="preserve">challenges section 3051 insofar as it excludes </w:t>
      </w:r>
      <w:r w:rsidRPr="00901DF7">
        <w:rPr>
          <w:i/>
          <w:iCs/>
          <w:szCs w:val="26"/>
        </w:rPr>
        <w:t>young adults</w:t>
      </w:r>
      <w:r w:rsidRPr="00901DF7">
        <w:rPr>
          <w:szCs w:val="26"/>
        </w:rPr>
        <w:t xml:space="preserve"> sentenced under the One Strike law.  In this regard, he appears to be making an </w:t>
      </w:r>
      <w:r w:rsidRPr="00901DF7">
        <w:rPr>
          <w:color w:val="000000"/>
          <w:szCs w:val="26"/>
        </w:rPr>
        <w:t xml:space="preserve">as-applied challenge, which seeks “relief from a specific application of a facially valid statute or ordinance to an individual </w:t>
      </w:r>
      <w:r w:rsidRPr="00901DF7">
        <w:rPr>
          <w:i/>
          <w:iCs/>
          <w:color w:val="000000"/>
          <w:szCs w:val="26"/>
        </w:rPr>
        <w:t>or class of individuals</w:t>
      </w:r>
      <w:r w:rsidRPr="00901DF7">
        <w:rPr>
          <w:color w:val="000000"/>
          <w:szCs w:val="26"/>
        </w:rPr>
        <w:t xml:space="preserve"> who are under allegedly impermissible present restraint or disability as a result of the manner or circumstances in which the statute or ordinance has been applied.”  (</w:t>
      </w:r>
      <w:r w:rsidRPr="00901DF7">
        <w:rPr>
          <w:i/>
          <w:iCs/>
          <w:color w:val="000000"/>
          <w:szCs w:val="26"/>
        </w:rPr>
        <w:t>Tobe v. City of Santa Ana</w:t>
      </w:r>
      <w:r w:rsidRPr="00901DF7">
        <w:rPr>
          <w:color w:val="000000"/>
          <w:szCs w:val="26"/>
        </w:rPr>
        <w:t xml:space="preserve"> (1995) 9 Cal.4th 1069, 1084 </w:t>
      </w:r>
      <w:r w:rsidRPr="00901DF7" w:rsidR="00CB0BC7">
        <w:rPr>
          <w:color w:val="000000"/>
          <w:szCs w:val="26"/>
        </w:rPr>
        <w:t>(</w:t>
      </w:r>
      <w:r w:rsidRPr="00901DF7" w:rsidR="00CB0BC7">
        <w:rPr>
          <w:i/>
          <w:iCs/>
          <w:color w:val="000000"/>
          <w:szCs w:val="26"/>
        </w:rPr>
        <w:t>Tobe</w:t>
      </w:r>
      <w:r w:rsidRPr="00901DF7" w:rsidR="00CB0BC7">
        <w:rPr>
          <w:color w:val="000000"/>
          <w:szCs w:val="26"/>
        </w:rPr>
        <w:t>)</w:t>
      </w:r>
      <w:r w:rsidRPr="00901DF7" w:rsidR="002D5AD9">
        <w:rPr>
          <w:color w:val="000000"/>
          <w:szCs w:val="26"/>
        </w:rPr>
        <w:t>,</w:t>
      </w:r>
      <w:r w:rsidRPr="00901DF7" w:rsidR="00E43E15">
        <w:rPr>
          <w:color w:val="000000"/>
          <w:szCs w:val="26"/>
        </w:rPr>
        <w:t xml:space="preserve"> </w:t>
      </w:r>
      <w:r w:rsidRPr="00901DF7">
        <w:rPr>
          <w:color w:val="000000"/>
          <w:szCs w:val="26"/>
        </w:rPr>
        <w:t xml:space="preserve">italics added.)  </w:t>
      </w:r>
    </w:p>
    <w:p w:rsidR="00B701BE" w:rsidRPr="00901DF7" w:rsidP="00901DF7" w14:paraId="5CE852FD" w14:textId="7A5878C7">
      <w:pPr>
        <w:tabs>
          <w:tab w:val="left" w:pos="720"/>
          <w:tab w:val="left" w:pos="1440"/>
        </w:tabs>
      </w:pPr>
      <w:r w:rsidRPr="00901DF7">
        <w:rPr>
          <w:color w:val="000000"/>
          <w:szCs w:val="26"/>
        </w:rPr>
        <w:tab/>
        <w:t xml:space="preserve">However, defendant’s </w:t>
      </w:r>
      <w:r w:rsidRPr="00901DF7">
        <w:rPr>
          <w:szCs w:val="26"/>
        </w:rPr>
        <w:t xml:space="preserve">counsel asserted at oral argument that defendant is making a facial challenge to section 3051.  </w:t>
      </w:r>
      <w:r w:rsidRPr="00901DF7">
        <w:t>“A</w:t>
      </w:r>
      <w:r w:rsidRPr="00901DF7">
        <w:rPr>
          <w:color w:val="000000"/>
          <w:szCs w:val="26"/>
        </w:rPr>
        <w:t xml:space="preserve"> facial challenge </w:t>
      </w:r>
      <w:r w:rsidRPr="00901DF7" w:rsidR="00A57218">
        <w:rPr>
          <w:color w:val="000000"/>
          <w:szCs w:val="26"/>
        </w:rPr>
        <w:t xml:space="preserve">to the constitutional validity of a statute or ordinance </w:t>
      </w:r>
      <w:r w:rsidRPr="00901DF7">
        <w:rPr>
          <w:color w:val="000000"/>
          <w:szCs w:val="26"/>
        </w:rPr>
        <w:t>considers only the text of the measure itself, not its application to the particular circumstances of an individual.”  (</w:t>
      </w:r>
      <w:r w:rsidRPr="00901DF7" w:rsidR="009B1EDA">
        <w:rPr>
          <w:i/>
          <w:iCs/>
          <w:color w:val="000000"/>
          <w:szCs w:val="26"/>
        </w:rPr>
        <w:t>Tobe, supra,</w:t>
      </w:r>
      <w:r w:rsidRPr="00901DF7">
        <w:rPr>
          <w:i/>
          <w:iCs/>
          <w:color w:val="000000"/>
          <w:szCs w:val="26"/>
        </w:rPr>
        <w:t xml:space="preserve"> </w:t>
      </w:r>
      <w:r w:rsidRPr="00901DF7" w:rsidR="009B1EDA">
        <w:rPr>
          <w:color w:val="000000"/>
          <w:szCs w:val="26"/>
        </w:rPr>
        <w:t>9 Cal.4</w:t>
      </w:r>
      <w:r w:rsidRPr="00901DF7" w:rsidR="00A57218">
        <w:rPr>
          <w:color w:val="000000"/>
          <w:szCs w:val="26"/>
        </w:rPr>
        <w:t>th</w:t>
      </w:r>
      <w:r w:rsidRPr="00901DF7" w:rsidR="009B1EDA">
        <w:rPr>
          <w:color w:val="000000"/>
          <w:szCs w:val="26"/>
        </w:rPr>
        <w:t xml:space="preserve"> </w:t>
      </w:r>
      <w:r w:rsidRPr="00901DF7">
        <w:rPr>
          <w:color w:val="000000"/>
          <w:szCs w:val="26"/>
        </w:rPr>
        <w:t>at p</w:t>
      </w:r>
      <w:r w:rsidRPr="00901DF7" w:rsidR="009B1EDA">
        <w:rPr>
          <w:color w:val="000000"/>
          <w:szCs w:val="26"/>
        </w:rPr>
        <w:t>.</w:t>
      </w:r>
      <w:r w:rsidRPr="00901DF7">
        <w:rPr>
          <w:color w:val="000000"/>
          <w:szCs w:val="26"/>
        </w:rPr>
        <w:t xml:space="preserve"> 108</w:t>
      </w:r>
      <w:r w:rsidRPr="00901DF7" w:rsidR="00A57218">
        <w:rPr>
          <w:color w:val="000000"/>
          <w:szCs w:val="26"/>
        </w:rPr>
        <w:t>4</w:t>
      </w:r>
      <w:r w:rsidRPr="00901DF7">
        <w:rPr>
          <w:color w:val="000000"/>
          <w:szCs w:val="26"/>
        </w:rPr>
        <w:t xml:space="preserve">.)  To succeed on such a challenge, and thus void the statute as a whole, it is not enough to show “ ‘ “that in some future hypothetical situation constitutional problems may possibly arise as to the particular </w:t>
      </w:r>
      <w:r w:rsidRPr="00901DF7">
        <w:rPr>
          <w:i/>
          <w:iCs/>
          <w:color w:val="3D3D3D"/>
          <w:szCs w:val="26"/>
          <w:bdr w:val="none" w:sz="0" w:space="0" w:color="auto" w:frame="1"/>
        </w:rPr>
        <w:t>application</w:t>
      </w:r>
      <w:r w:rsidRPr="00901DF7">
        <w:rPr>
          <w:color w:val="000000"/>
          <w:szCs w:val="26"/>
        </w:rPr>
        <w:t xml:space="preserve"> of the statute</w:t>
      </w:r>
      <w:r w:rsidR="00795A03">
        <w:rPr>
          <w:color w:val="000000"/>
          <w:szCs w:val="26"/>
        </w:rPr>
        <w:t> . . . .</w:t>
      </w:r>
      <w:r w:rsidRPr="00901DF7">
        <w:rPr>
          <w:color w:val="000000"/>
          <w:szCs w:val="26"/>
        </w:rPr>
        <w:t xml:space="preserve">  Rather, petitioners must demonstrate that the act’s provisions inevitably pose a present total and fatal conflict with applicable constitutional prohibitions.” ’ ”  (</w:t>
      </w:r>
      <w:r w:rsidRPr="00901DF7">
        <w:rPr>
          <w:i/>
          <w:iCs/>
          <w:color w:val="000000"/>
          <w:szCs w:val="26"/>
        </w:rPr>
        <w:t>Ibid</w:t>
      </w:r>
      <w:r w:rsidR="00871E69">
        <w:rPr>
          <w:i/>
          <w:iCs/>
          <w:color w:val="000000"/>
          <w:szCs w:val="26"/>
        </w:rPr>
        <w:t>.</w:t>
      </w:r>
      <w:r w:rsidRPr="00901DF7">
        <w:rPr>
          <w:color w:val="000000"/>
          <w:szCs w:val="26"/>
        </w:rPr>
        <w:t xml:space="preserve">; see </w:t>
      </w:r>
      <w:r w:rsidRPr="00901DF7">
        <w:rPr>
          <w:i/>
          <w:iCs/>
        </w:rPr>
        <w:t>People v. Martinez</w:t>
      </w:r>
      <w:r w:rsidRPr="00901DF7">
        <w:t xml:space="preserve"> (2023) 15 Cal.5</w:t>
      </w:r>
      <w:r w:rsidRPr="00901DF7" w:rsidR="0035429F">
        <w:t>th</w:t>
      </w:r>
      <w:r w:rsidRPr="00901DF7">
        <w:t xml:space="preserve"> 326, 338 [“To prevail on a facial challenge, litigants must show that the challenged rule creates constitutional problems in ‘at least “</w:t>
      </w:r>
      <w:r w:rsidR="00083111">
        <w:t> </w:t>
      </w:r>
      <w:r w:rsidRPr="00901DF7">
        <w:t>‘the generality’</w:t>
      </w:r>
      <w:r w:rsidR="00083111">
        <w:t> </w:t>
      </w:r>
      <w:r w:rsidRPr="00901DF7">
        <w:t>” [citation] or “vast majority”</w:t>
      </w:r>
      <w:r w:rsidR="00083111">
        <w:t> </w:t>
      </w:r>
      <w:r w:rsidRPr="00901DF7">
        <w:t xml:space="preserve">’ of cases”].)  </w:t>
      </w:r>
    </w:p>
    <w:p w:rsidR="00B701BE" w:rsidRPr="00901DF7" w:rsidP="00901DF7" w14:paraId="57C49371" w14:textId="5C609EC0">
      <w:pPr>
        <w:tabs>
          <w:tab w:val="left" w:pos="720"/>
          <w:tab w:val="left" w:pos="1440"/>
        </w:tabs>
        <w:rPr>
          <w:color w:val="000000"/>
          <w:szCs w:val="26"/>
        </w:rPr>
      </w:pPr>
      <w:r w:rsidRPr="00901DF7">
        <w:tab/>
      </w:r>
      <w:r w:rsidRPr="00901DF7" w:rsidR="00B26A2E">
        <w:t xml:space="preserve">Ultimately, even if defendant </w:t>
      </w:r>
      <w:r w:rsidRPr="00901DF7" w:rsidR="002D5AD9">
        <w:t xml:space="preserve">is making </w:t>
      </w:r>
      <w:r w:rsidRPr="00901DF7" w:rsidR="00B26A2E">
        <w:t>a facial claim in addition to an as</w:t>
      </w:r>
      <w:r w:rsidRPr="00901DF7" w:rsidR="00F86D74">
        <w:t>-</w:t>
      </w:r>
      <w:r w:rsidRPr="00901DF7" w:rsidR="00B26A2E">
        <w:t xml:space="preserve">applied claim, our resolution of the latter may dispose of the former. </w:t>
      </w:r>
      <w:r w:rsidR="00886976">
        <w:t xml:space="preserve"> If defendant cannot demonstrate that the law is unconstitutional as applied to him and others similarly situated, he has necessarily failed to demonstrate that the law is unconstitutional on its face.</w:t>
      </w:r>
      <w:r w:rsidRPr="00901DF7" w:rsidR="00F7428D">
        <w:t xml:space="preserve">  (</w:t>
      </w:r>
      <w:r w:rsidR="004802B4">
        <w:rPr>
          <w:color w:val="000000"/>
          <w:szCs w:val="26"/>
        </w:rPr>
        <w:t xml:space="preserve">Cf. </w:t>
      </w:r>
      <w:r w:rsidRPr="00901DF7" w:rsidR="00A02624">
        <w:rPr>
          <w:i/>
          <w:iCs/>
          <w:color w:val="000000"/>
          <w:szCs w:val="26"/>
        </w:rPr>
        <w:t>Fusaro v. Howard</w:t>
      </w:r>
      <w:r w:rsidRPr="00901DF7" w:rsidR="00A02624">
        <w:rPr>
          <w:color w:val="000000"/>
          <w:szCs w:val="26"/>
        </w:rPr>
        <w:t xml:space="preserve"> (4th</w:t>
      </w:r>
      <w:r w:rsidRPr="00901DF7" w:rsidR="00A57218">
        <w:rPr>
          <w:color w:val="000000"/>
          <w:szCs w:val="26"/>
        </w:rPr>
        <w:t xml:space="preserve"> </w:t>
      </w:r>
      <w:r w:rsidRPr="00901DF7" w:rsidR="00A02624">
        <w:rPr>
          <w:color w:val="000000"/>
          <w:szCs w:val="26"/>
        </w:rPr>
        <w:t>Cir. 2021) 19 F.4</w:t>
      </w:r>
      <w:r w:rsidRPr="00901DF7" w:rsidR="0035429F">
        <w:rPr>
          <w:color w:val="000000"/>
          <w:szCs w:val="26"/>
        </w:rPr>
        <w:t>th</w:t>
      </w:r>
      <w:r w:rsidRPr="00901DF7" w:rsidR="00A02624">
        <w:rPr>
          <w:color w:val="000000"/>
          <w:szCs w:val="26"/>
        </w:rPr>
        <w:t xml:space="preserve"> 357, 373–374;</w:t>
      </w:r>
      <w:r w:rsidRPr="00901DF7" w:rsidR="00CC4128">
        <w:rPr>
          <w:color w:val="000000"/>
          <w:szCs w:val="26"/>
        </w:rPr>
        <w:t xml:space="preserve"> </w:t>
      </w:r>
      <w:r w:rsidRPr="00901DF7" w:rsidR="004802B4">
        <w:rPr>
          <w:i/>
          <w:iCs/>
        </w:rPr>
        <w:t>U</w:t>
      </w:r>
      <w:r w:rsidR="004802B4">
        <w:rPr>
          <w:i/>
          <w:iCs/>
        </w:rPr>
        <w:t xml:space="preserve">nited </w:t>
      </w:r>
      <w:r w:rsidRPr="00901DF7" w:rsidR="004802B4">
        <w:rPr>
          <w:i/>
          <w:iCs/>
        </w:rPr>
        <w:t>S</w:t>
      </w:r>
      <w:r w:rsidR="004802B4">
        <w:rPr>
          <w:i/>
          <w:iCs/>
        </w:rPr>
        <w:t>tates</w:t>
      </w:r>
      <w:r w:rsidRPr="00901DF7" w:rsidR="004802B4">
        <w:rPr>
          <w:i/>
          <w:iCs/>
        </w:rPr>
        <w:t xml:space="preserve"> v. Decastro</w:t>
      </w:r>
      <w:r w:rsidRPr="00901DF7" w:rsidR="004802B4">
        <w:t xml:space="preserve"> (2d Cir. 2012) 682 F.3d 160, 163</w:t>
      </w:r>
      <w:r w:rsidR="004802B4">
        <w:t xml:space="preserve">; </w:t>
      </w:r>
      <w:r w:rsidRPr="00901DF7" w:rsidR="00CC4128">
        <w:rPr>
          <w:i/>
          <w:iCs/>
          <w:color w:val="000000"/>
          <w:szCs w:val="26"/>
        </w:rPr>
        <w:t>Harris v. Mexican Specialty Foods, Inc.</w:t>
      </w:r>
      <w:r w:rsidRPr="00901DF7" w:rsidR="00CC4128">
        <w:rPr>
          <w:color w:val="000000"/>
          <w:szCs w:val="26"/>
        </w:rPr>
        <w:t xml:space="preserve"> (11th Cir. 2009) 564 F.3d 1301, 1313 [“Th[e] mere possibility of a constitutional application is enough to defeat a facial challenge to [a] statute”].) </w:t>
      </w:r>
    </w:p>
    <w:p w:rsidR="00DF73D8" w:rsidRPr="00901DF7" w:rsidP="00901DF7" w14:paraId="698C9AC5" w14:textId="3A02618E">
      <w:pPr>
        <w:tabs>
          <w:tab w:val="left" w:pos="720"/>
          <w:tab w:val="left" w:pos="1440"/>
        </w:tabs>
      </w:pPr>
      <w:r w:rsidRPr="00901DF7">
        <w:rPr>
          <w:szCs w:val="26"/>
        </w:rPr>
        <w:tab/>
      </w:r>
      <w:r w:rsidR="0014471D">
        <w:rPr>
          <w:szCs w:val="26"/>
        </w:rPr>
        <w:t>B</w:t>
      </w:r>
      <w:r w:rsidR="00C77ACE">
        <w:rPr>
          <w:szCs w:val="26"/>
        </w:rPr>
        <w:t xml:space="preserve">ecause </w:t>
      </w:r>
      <w:r w:rsidR="00871E69">
        <w:rPr>
          <w:szCs w:val="26"/>
        </w:rPr>
        <w:t>consideration of defendant’s claim as a</w:t>
      </w:r>
      <w:r w:rsidR="00C77ACE">
        <w:rPr>
          <w:szCs w:val="26"/>
        </w:rPr>
        <w:t xml:space="preserve"> facial or as-applied challenge</w:t>
      </w:r>
      <w:r w:rsidR="00871E69">
        <w:rPr>
          <w:szCs w:val="26"/>
        </w:rPr>
        <w:t xml:space="preserve"> does not determine the outcome here</w:t>
      </w:r>
      <w:r w:rsidRPr="00901DF7" w:rsidR="00CC50A4">
        <w:rPr>
          <w:szCs w:val="26"/>
        </w:rPr>
        <w:t xml:space="preserve">, we </w:t>
      </w:r>
      <w:r w:rsidR="00A85FC3">
        <w:rPr>
          <w:szCs w:val="26"/>
        </w:rPr>
        <w:t>proceed</w:t>
      </w:r>
      <w:r w:rsidRPr="00901DF7" w:rsidR="004A0391">
        <w:rPr>
          <w:szCs w:val="26"/>
        </w:rPr>
        <w:t xml:space="preserve"> to the </w:t>
      </w:r>
      <w:r w:rsidR="00054299">
        <w:rPr>
          <w:szCs w:val="26"/>
        </w:rPr>
        <w:t>substance of defendant’s equal protection claim.</w:t>
      </w:r>
      <w:r w:rsidR="00C77ACE">
        <w:rPr>
          <w:szCs w:val="26"/>
        </w:rPr>
        <w:t xml:space="preserve"> </w:t>
      </w:r>
    </w:p>
    <w:p w:rsidR="005F62B0" w:rsidRPr="00901DF7" w:rsidP="009E5089" w14:paraId="3873426C" w14:textId="0E72C04D">
      <w:pPr>
        <w:pStyle w:val="Heading2"/>
        <w:ind w:left="1080" w:hanging="360"/>
      </w:pPr>
      <w:r w:rsidRPr="00901DF7">
        <w:t>D</w:t>
      </w:r>
      <w:r w:rsidRPr="00901DF7" w:rsidR="0099018B">
        <w:t>.</w:t>
      </w:r>
      <w:r w:rsidRPr="00901DF7" w:rsidR="0099018B">
        <w:tab/>
      </w:r>
      <w:r w:rsidRPr="00901DF7" w:rsidR="00EC0CCC">
        <w:t xml:space="preserve">The Applicable </w:t>
      </w:r>
      <w:r w:rsidRPr="00901DF7" w:rsidR="0099018B">
        <w:t>Equal Protection</w:t>
      </w:r>
      <w:r w:rsidRPr="00901DF7" w:rsidR="00EC0CCC">
        <w:t xml:space="preserve"> Framework</w:t>
      </w:r>
    </w:p>
    <w:p w:rsidR="002770BB" w:rsidRPr="00901DF7" w:rsidP="00901DF7" w14:paraId="7AF6B25C" w14:textId="0058ABE0">
      <w:pPr>
        <w:tabs>
          <w:tab w:val="left" w:pos="720"/>
          <w:tab w:val="left" w:pos="1440"/>
        </w:tabs>
        <w:rPr>
          <w:szCs w:val="26"/>
        </w:rPr>
      </w:pPr>
      <w:r w:rsidRPr="00901DF7">
        <w:rPr>
          <w:color w:val="000000"/>
          <w:szCs w:val="26"/>
        </w:rPr>
        <w:tab/>
      </w:r>
      <w:r w:rsidRPr="00901DF7" w:rsidR="00A40D82">
        <w:rPr>
          <w:color w:val="000000"/>
          <w:szCs w:val="26"/>
        </w:rPr>
        <w:t>D</w:t>
      </w:r>
      <w:r w:rsidRPr="00901DF7" w:rsidR="00DD5EE4">
        <w:rPr>
          <w:szCs w:val="26"/>
        </w:rPr>
        <w:t xml:space="preserve">efendant </w:t>
      </w:r>
      <w:r w:rsidRPr="00901DF7" w:rsidR="0099018B">
        <w:rPr>
          <w:szCs w:val="26"/>
        </w:rPr>
        <w:t xml:space="preserve">asserts that section 3051’s </w:t>
      </w:r>
      <w:r w:rsidRPr="00901DF7" w:rsidR="00857768">
        <w:rPr>
          <w:szCs w:val="26"/>
        </w:rPr>
        <w:t>exclusion of young adults sentenced under the One Strike law</w:t>
      </w:r>
      <w:r w:rsidRPr="00901DF7" w:rsidR="0099018B">
        <w:rPr>
          <w:szCs w:val="26"/>
        </w:rPr>
        <w:t xml:space="preserve"> violates</w:t>
      </w:r>
      <w:r w:rsidRPr="00901DF7" w:rsidR="00857768">
        <w:rPr>
          <w:szCs w:val="26"/>
        </w:rPr>
        <w:t xml:space="preserve"> equal protection.</w:t>
      </w:r>
      <w:r w:rsidRPr="00901DF7" w:rsidR="00453247">
        <w:rPr>
          <w:szCs w:val="26"/>
        </w:rPr>
        <w:t xml:space="preserve"> </w:t>
      </w:r>
      <w:r w:rsidRPr="00901DF7" w:rsidR="00144659">
        <w:rPr>
          <w:szCs w:val="26"/>
        </w:rPr>
        <w:t xml:space="preserve"> </w:t>
      </w:r>
      <w:r w:rsidRPr="00901DF7" w:rsidR="0048595E">
        <w:rPr>
          <w:szCs w:val="26"/>
        </w:rPr>
        <w:t xml:space="preserve">He </w:t>
      </w:r>
      <w:r w:rsidRPr="00901DF7" w:rsidR="00857768">
        <w:rPr>
          <w:szCs w:val="26"/>
        </w:rPr>
        <w:t>maintains that there is</w:t>
      </w:r>
      <w:r w:rsidRPr="00901DF7" w:rsidR="00704A21">
        <w:rPr>
          <w:szCs w:val="26"/>
        </w:rPr>
        <w:t xml:space="preserve"> </w:t>
      </w:r>
      <w:r w:rsidRPr="00901DF7" w:rsidR="00DD5EE4">
        <w:rPr>
          <w:szCs w:val="26"/>
        </w:rPr>
        <w:t xml:space="preserve">neither a </w:t>
      </w:r>
      <w:r w:rsidRPr="00901DF7" w:rsidR="0099018B">
        <w:rPr>
          <w:szCs w:val="26"/>
        </w:rPr>
        <w:t>rational basis</w:t>
      </w:r>
      <w:r w:rsidRPr="00901DF7" w:rsidR="00DD5EE4">
        <w:rPr>
          <w:szCs w:val="26"/>
        </w:rPr>
        <w:t xml:space="preserve"> nor a </w:t>
      </w:r>
      <w:r w:rsidRPr="00901DF7" w:rsidR="0099018B">
        <w:rPr>
          <w:szCs w:val="26"/>
        </w:rPr>
        <w:t>compelling</w:t>
      </w:r>
      <w:r w:rsidRPr="00901DF7" w:rsidR="00DD5EE4">
        <w:rPr>
          <w:szCs w:val="26"/>
        </w:rPr>
        <w:t xml:space="preserve"> state interest </w:t>
      </w:r>
      <w:r w:rsidRPr="00901DF7" w:rsidR="0099018B">
        <w:rPr>
          <w:szCs w:val="26"/>
        </w:rPr>
        <w:t xml:space="preserve">for </w:t>
      </w:r>
      <w:r w:rsidRPr="00901DF7" w:rsidR="00857768">
        <w:rPr>
          <w:szCs w:val="26"/>
        </w:rPr>
        <w:t>exclud</w:t>
      </w:r>
      <w:r w:rsidRPr="00901DF7" w:rsidR="0099018B">
        <w:rPr>
          <w:szCs w:val="26"/>
        </w:rPr>
        <w:t>ing</w:t>
      </w:r>
      <w:r w:rsidRPr="00901DF7" w:rsidR="00857768">
        <w:rPr>
          <w:szCs w:val="26"/>
        </w:rPr>
        <w:t xml:space="preserve"> </w:t>
      </w:r>
      <w:r w:rsidRPr="00901DF7" w:rsidR="00F5203F">
        <w:rPr>
          <w:szCs w:val="26"/>
        </w:rPr>
        <w:t>young adult</w:t>
      </w:r>
      <w:r w:rsidRPr="00901DF7" w:rsidR="00DC178F">
        <w:rPr>
          <w:szCs w:val="26"/>
        </w:rPr>
        <w:t>s sentenced under the</w:t>
      </w:r>
      <w:r w:rsidRPr="00901DF7" w:rsidR="00F5203F">
        <w:rPr>
          <w:szCs w:val="26"/>
        </w:rPr>
        <w:t xml:space="preserve"> </w:t>
      </w:r>
      <w:r w:rsidRPr="00901DF7" w:rsidR="00857768">
        <w:rPr>
          <w:szCs w:val="26"/>
        </w:rPr>
        <w:t xml:space="preserve">One </w:t>
      </w:r>
      <w:r w:rsidRPr="00901DF7" w:rsidR="00DC178F">
        <w:rPr>
          <w:szCs w:val="26"/>
        </w:rPr>
        <w:t xml:space="preserve">Strike law </w:t>
      </w:r>
      <w:r w:rsidRPr="00901DF7" w:rsidR="00857768">
        <w:rPr>
          <w:szCs w:val="26"/>
        </w:rPr>
        <w:t>but not</w:t>
      </w:r>
      <w:r w:rsidRPr="00901DF7" w:rsidR="00E33590">
        <w:rPr>
          <w:szCs w:val="26"/>
        </w:rPr>
        <w:t xml:space="preserve"> </w:t>
      </w:r>
      <w:r w:rsidRPr="00901DF7" w:rsidR="002D5AD9">
        <w:rPr>
          <w:szCs w:val="26"/>
        </w:rPr>
        <w:t xml:space="preserve">excluding </w:t>
      </w:r>
      <w:r w:rsidRPr="00901DF7" w:rsidR="00BB4D40">
        <w:rPr>
          <w:szCs w:val="26"/>
        </w:rPr>
        <w:t>young adult</w:t>
      </w:r>
      <w:r w:rsidRPr="00901DF7" w:rsidR="00DC178F">
        <w:rPr>
          <w:szCs w:val="26"/>
        </w:rPr>
        <w:t>s convicted of murder</w:t>
      </w:r>
      <w:r w:rsidR="00C64C6C">
        <w:rPr>
          <w:szCs w:val="26"/>
        </w:rPr>
        <w:t xml:space="preserve"> without special circumstance</w:t>
      </w:r>
      <w:r w:rsidRPr="00901DF7" w:rsidR="007A3C0D">
        <w:rPr>
          <w:szCs w:val="26"/>
        </w:rPr>
        <w:t xml:space="preserve"> from youth offender parole hearings</w:t>
      </w:r>
      <w:r w:rsidRPr="00901DF7" w:rsidR="006923C8">
        <w:rPr>
          <w:szCs w:val="26"/>
        </w:rPr>
        <w:t xml:space="preserve"> provided by section 3051</w:t>
      </w:r>
      <w:r w:rsidRPr="00901DF7" w:rsidR="00857768">
        <w:rPr>
          <w:szCs w:val="26"/>
        </w:rPr>
        <w:t xml:space="preserve">. </w:t>
      </w:r>
      <w:r w:rsidRPr="00901DF7" w:rsidR="00067B7C">
        <w:rPr>
          <w:szCs w:val="26"/>
        </w:rPr>
        <w:t xml:space="preserve"> </w:t>
      </w:r>
      <w:r w:rsidRPr="00901DF7" w:rsidR="007718C3">
        <w:rPr>
          <w:szCs w:val="26"/>
        </w:rPr>
        <w:t xml:space="preserve">In support of his </w:t>
      </w:r>
      <w:r w:rsidRPr="00901DF7" w:rsidR="00B701BE">
        <w:rPr>
          <w:szCs w:val="26"/>
        </w:rPr>
        <w:t>claim</w:t>
      </w:r>
      <w:r w:rsidRPr="00901DF7" w:rsidR="00C24188">
        <w:rPr>
          <w:szCs w:val="26"/>
        </w:rPr>
        <w:t xml:space="preserve">, </w:t>
      </w:r>
      <w:r w:rsidRPr="00901DF7" w:rsidR="00B701BE">
        <w:rPr>
          <w:szCs w:val="26"/>
        </w:rPr>
        <w:t xml:space="preserve">he </w:t>
      </w:r>
      <w:r w:rsidRPr="00901DF7" w:rsidR="007718C3">
        <w:rPr>
          <w:szCs w:val="26"/>
        </w:rPr>
        <w:t>leverages</w:t>
      </w:r>
      <w:r w:rsidRPr="00901DF7" w:rsidR="00857768">
        <w:rPr>
          <w:szCs w:val="26"/>
        </w:rPr>
        <w:t xml:space="preserve"> the high court’s </w:t>
      </w:r>
      <w:r w:rsidRPr="00901DF7" w:rsidR="00716FD6">
        <w:rPr>
          <w:szCs w:val="26"/>
        </w:rPr>
        <w:t xml:space="preserve">pronouncement </w:t>
      </w:r>
      <w:r w:rsidRPr="00901DF7" w:rsidR="00D06C68">
        <w:rPr>
          <w:szCs w:val="26"/>
        </w:rPr>
        <w:t>made in the context of a</w:t>
      </w:r>
      <w:r w:rsidRPr="00901DF7" w:rsidR="00B701BE">
        <w:rPr>
          <w:szCs w:val="26"/>
        </w:rPr>
        <w:t>n Eighth Amendment</w:t>
      </w:r>
      <w:r w:rsidRPr="00901DF7" w:rsidR="00D06C68">
        <w:rPr>
          <w:szCs w:val="26"/>
        </w:rPr>
        <w:t xml:space="preserve"> cruel and unusual punishment challenge</w:t>
      </w:r>
      <w:r w:rsidRPr="00901DF7" w:rsidR="00C468A8">
        <w:rPr>
          <w:szCs w:val="26"/>
        </w:rPr>
        <w:t xml:space="preserve"> </w:t>
      </w:r>
      <w:r w:rsidRPr="00901DF7" w:rsidR="00857768">
        <w:rPr>
          <w:szCs w:val="26"/>
        </w:rPr>
        <w:t>that “defendants who do not kill, intend to kill, or foresee that life will be taken are categorically less deserving of the most serious forms of punishment than are murderers.”  (</w:t>
      </w:r>
      <w:r w:rsidRPr="00901DF7" w:rsidR="00857768">
        <w:rPr>
          <w:i/>
          <w:iCs/>
          <w:szCs w:val="26"/>
        </w:rPr>
        <w:t>Graham</w:t>
      </w:r>
      <w:r w:rsidRPr="00901DF7" w:rsidR="00857768">
        <w:rPr>
          <w:szCs w:val="26"/>
        </w:rPr>
        <w:t xml:space="preserve">, </w:t>
      </w:r>
      <w:r w:rsidRPr="00901DF7" w:rsidR="00857768">
        <w:rPr>
          <w:i/>
          <w:iCs/>
          <w:szCs w:val="26"/>
        </w:rPr>
        <w:t>supra</w:t>
      </w:r>
      <w:r w:rsidRPr="00901DF7" w:rsidR="00857768">
        <w:rPr>
          <w:szCs w:val="26"/>
        </w:rPr>
        <w:t xml:space="preserve">, 560 U.S. at p. 69.) </w:t>
      </w:r>
      <w:r w:rsidRPr="00901DF7" w:rsidR="007A5942">
        <w:rPr>
          <w:szCs w:val="26"/>
        </w:rPr>
        <w:t xml:space="preserve"> </w:t>
      </w:r>
      <w:r w:rsidRPr="00901DF7" w:rsidR="00B834FE">
        <w:rPr>
          <w:szCs w:val="26"/>
        </w:rPr>
        <w:t>Defendant</w:t>
      </w:r>
      <w:r w:rsidRPr="00901DF7" w:rsidR="00B701BE">
        <w:rPr>
          <w:szCs w:val="26"/>
        </w:rPr>
        <w:t xml:space="preserve"> </w:t>
      </w:r>
      <w:r w:rsidR="00C64C6C">
        <w:rPr>
          <w:szCs w:val="26"/>
        </w:rPr>
        <w:t>observes</w:t>
      </w:r>
      <w:r w:rsidRPr="00901DF7" w:rsidR="00C64C6C">
        <w:rPr>
          <w:szCs w:val="26"/>
        </w:rPr>
        <w:t xml:space="preserve"> </w:t>
      </w:r>
      <w:r w:rsidRPr="00901DF7" w:rsidR="00ED3901">
        <w:rPr>
          <w:szCs w:val="26"/>
        </w:rPr>
        <w:t>that b</w:t>
      </w:r>
      <w:r w:rsidRPr="00901DF7" w:rsidR="00F347F0">
        <w:rPr>
          <w:szCs w:val="26"/>
        </w:rPr>
        <w:t>ecause</w:t>
      </w:r>
      <w:r w:rsidRPr="00901DF7" w:rsidR="004577EE">
        <w:rPr>
          <w:szCs w:val="26"/>
        </w:rPr>
        <w:t xml:space="preserve"> he </w:t>
      </w:r>
      <w:r w:rsidRPr="00901DF7" w:rsidR="00F347F0">
        <w:rPr>
          <w:szCs w:val="26"/>
        </w:rPr>
        <w:t xml:space="preserve">was convicted of sexual offenses </w:t>
      </w:r>
      <w:r w:rsidRPr="00901DF7" w:rsidR="00C46785">
        <w:rPr>
          <w:szCs w:val="26"/>
        </w:rPr>
        <w:t xml:space="preserve">and sentenced </w:t>
      </w:r>
      <w:r w:rsidRPr="00901DF7" w:rsidR="00F347F0">
        <w:rPr>
          <w:szCs w:val="26"/>
        </w:rPr>
        <w:t>under the One Strike law, he is categorically ineligible for a youth offender parole hearing.  (</w:t>
      </w:r>
      <w:r w:rsidR="007B112D">
        <w:rPr>
          <w:szCs w:val="26"/>
        </w:rPr>
        <w:t>§ </w:t>
      </w:r>
      <w:r w:rsidRPr="00901DF7" w:rsidR="00F347F0">
        <w:rPr>
          <w:szCs w:val="26"/>
        </w:rPr>
        <w:t xml:space="preserve">3051(h).)  </w:t>
      </w:r>
      <w:r w:rsidRPr="00901DF7" w:rsidR="00256971">
        <w:rPr>
          <w:szCs w:val="26"/>
        </w:rPr>
        <w:t>H</w:t>
      </w:r>
      <w:r w:rsidRPr="00901DF7" w:rsidR="00B834FE">
        <w:rPr>
          <w:szCs w:val="26"/>
        </w:rPr>
        <w:t xml:space="preserve">ad </w:t>
      </w:r>
      <w:r w:rsidRPr="00901DF7" w:rsidR="00C46785">
        <w:rPr>
          <w:szCs w:val="26"/>
        </w:rPr>
        <w:t xml:space="preserve">he </w:t>
      </w:r>
      <w:r w:rsidRPr="00901DF7" w:rsidR="00B834FE">
        <w:rPr>
          <w:szCs w:val="26"/>
        </w:rPr>
        <w:t xml:space="preserve">been convicted of </w:t>
      </w:r>
      <w:r w:rsidRPr="00901DF7" w:rsidR="00942ED6">
        <w:rPr>
          <w:szCs w:val="26"/>
        </w:rPr>
        <w:t>murder</w:t>
      </w:r>
      <w:r w:rsidRPr="00901DF7" w:rsidR="00F347F0">
        <w:rPr>
          <w:szCs w:val="26"/>
        </w:rPr>
        <w:t xml:space="preserve"> instead of</w:t>
      </w:r>
      <w:r w:rsidRPr="00901DF7" w:rsidR="00B834FE">
        <w:rPr>
          <w:szCs w:val="26"/>
        </w:rPr>
        <w:t xml:space="preserve"> </w:t>
      </w:r>
      <w:r w:rsidRPr="00901DF7" w:rsidR="00942ED6">
        <w:rPr>
          <w:szCs w:val="26"/>
        </w:rPr>
        <w:t>One Strike sexual offenses</w:t>
      </w:r>
      <w:r w:rsidRPr="00901DF7" w:rsidR="00F347F0">
        <w:rPr>
          <w:szCs w:val="26"/>
        </w:rPr>
        <w:t xml:space="preserve">, and assuming no other exclusions applied, he would have been eligible for such a hearing after 25 years of incarceration.  </w:t>
      </w:r>
      <w:r w:rsidRPr="00901DF7" w:rsidR="009F03A3">
        <w:rPr>
          <w:szCs w:val="26"/>
        </w:rPr>
        <w:t>This unequal treatment, d</w:t>
      </w:r>
      <w:r w:rsidRPr="00901DF7" w:rsidR="00F347F0">
        <w:rPr>
          <w:szCs w:val="26"/>
        </w:rPr>
        <w:t xml:space="preserve">efendant </w:t>
      </w:r>
      <w:r w:rsidRPr="00901DF7" w:rsidR="005D51A6">
        <w:rPr>
          <w:szCs w:val="26"/>
        </w:rPr>
        <w:t>asserts</w:t>
      </w:r>
      <w:r w:rsidRPr="00901DF7" w:rsidR="009F03A3">
        <w:rPr>
          <w:szCs w:val="26"/>
        </w:rPr>
        <w:t xml:space="preserve">, </w:t>
      </w:r>
      <w:r w:rsidRPr="00901DF7" w:rsidR="005D51A6">
        <w:rPr>
          <w:szCs w:val="26"/>
        </w:rPr>
        <w:t xml:space="preserve">is in direct tension with </w:t>
      </w:r>
      <w:r w:rsidRPr="00901DF7" w:rsidR="00F347F0">
        <w:rPr>
          <w:szCs w:val="26"/>
        </w:rPr>
        <w:t xml:space="preserve">the high court’s </w:t>
      </w:r>
      <w:r w:rsidRPr="00901DF7" w:rsidR="00B701BE">
        <w:rPr>
          <w:szCs w:val="26"/>
        </w:rPr>
        <w:t xml:space="preserve">statement </w:t>
      </w:r>
      <w:r w:rsidRPr="00901DF7" w:rsidR="00F347F0">
        <w:rPr>
          <w:szCs w:val="26"/>
        </w:rPr>
        <w:t xml:space="preserve">in </w:t>
      </w:r>
      <w:r w:rsidRPr="00901DF7" w:rsidR="00F347F0">
        <w:rPr>
          <w:i/>
          <w:iCs/>
          <w:szCs w:val="26"/>
        </w:rPr>
        <w:t>Graham</w:t>
      </w:r>
      <w:r w:rsidRPr="00901DF7" w:rsidR="00F347F0">
        <w:rPr>
          <w:szCs w:val="26"/>
        </w:rPr>
        <w:t>.</w:t>
      </w:r>
      <w:r w:rsidRPr="00901DF7" w:rsidR="00F347F0">
        <w:rPr>
          <w:szCs w:val="26"/>
        </w:rPr>
        <w:tab/>
      </w:r>
    </w:p>
    <w:p w:rsidR="00B701BE" w:rsidRPr="00901DF7" w:rsidP="00901DF7" w14:paraId="209A8E5E" w14:textId="03E56954">
      <w:pPr>
        <w:tabs>
          <w:tab w:val="left" w:pos="720"/>
          <w:tab w:val="left" w:pos="1440"/>
        </w:tabs>
        <w:rPr>
          <w:szCs w:val="26"/>
        </w:rPr>
      </w:pPr>
      <w:r w:rsidRPr="00901DF7">
        <w:rPr>
          <w:szCs w:val="26"/>
        </w:rPr>
        <w:tab/>
      </w:r>
      <w:r w:rsidRPr="00901DF7" w:rsidR="00A852DB">
        <w:rPr>
          <w:szCs w:val="26"/>
        </w:rPr>
        <w:t xml:space="preserve">The Attorney General counters that </w:t>
      </w:r>
      <w:r w:rsidRPr="00901DF7">
        <w:rPr>
          <w:szCs w:val="26"/>
        </w:rPr>
        <w:t xml:space="preserve">a plausible basis for a legislative classification is sufficient to overcome an equal protection challenge and that </w:t>
      </w:r>
      <w:r w:rsidRPr="00901DF7" w:rsidR="0074362E">
        <w:rPr>
          <w:szCs w:val="26"/>
        </w:rPr>
        <w:t>the Legislature</w:t>
      </w:r>
      <w:r w:rsidRPr="00901DF7" w:rsidR="00DD5EE4">
        <w:rPr>
          <w:szCs w:val="26"/>
        </w:rPr>
        <w:t xml:space="preserve"> </w:t>
      </w:r>
      <w:r w:rsidRPr="00901DF7">
        <w:rPr>
          <w:szCs w:val="26"/>
        </w:rPr>
        <w:t>could rationally exclude</w:t>
      </w:r>
      <w:r w:rsidRPr="00901DF7" w:rsidR="0074362E">
        <w:rPr>
          <w:szCs w:val="26"/>
        </w:rPr>
        <w:t xml:space="preserve"> One Strike offenders from early release under section 305</w:t>
      </w:r>
      <w:r w:rsidRPr="00901DF7" w:rsidR="005466DE">
        <w:rPr>
          <w:szCs w:val="26"/>
        </w:rPr>
        <w:t>1</w:t>
      </w:r>
      <w:r w:rsidRPr="00901DF7">
        <w:rPr>
          <w:szCs w:val="26"/>
        </w:rPr>
        <w:t xml:space="preserve"> based on a combination of factors</w:t>
      </w:r>
      <w:r w:rsidRPr="00901DF7" w:rsidR="005466DE">
        <w:rPr>
          <w:szCs w:val="26"/>
        </w:rPr>
        <w:t xml:space="preserve">: </w:t>
      </w:r>
      <w:r w:rsidRPr="00901DF7" w:rsidR="00161685">
        <w:rPr>
          <w:szCs w:val="26"/>
        </w:rPr>
        <w:t xml:space="preserve"> the</w:t>
      </w:r>
      <w:r w:rsidRPr="00901DF7" w:rsidR="00704A21">
        <w:rPr>
          <w:szCs w:val="26"/>
        </w:rPr>
        <w:t xml:space="preserve"> increased</w:t>
      </w:r>
      <w:r w:rsidRPr="00901DF7" w:rsidR="00161685">
        <w:rPr>
          <w:szCs w:val="26"/>
        </w:rPr>
        <w:t xml:space="preserve"> risk of recidivism </w:t>
      </w:r>
      <w:r w:rsidRPr="00901DF7" w:rsidR="00704A21">
        <w:rPr>
          <w:szCs w:val="26"/>
        </w:rPr>
        <w:t xml:space="preserve">that One Strike </w:t>
      </w:r>
      <w:r w:rsidRPr="00901DF7" w:rsidR="00161685">
        <w:rPr>
          <w:szCs w:val="26"/>
        </w:rPr>
        <w:t xml:space="preserve">offenders </w:t>
      </w:r>
      <w:r w:rsidRPr="00901DF7" w:rsidR="00704A21">
        <w:rPr>
          <w:szCs w:val="26"/>
        </w:rPr>
        <w:t xml:space="preserve">pose </w:t>
      </w:r>
      <w:r w:rsidRPr="00901DF7" w:rsidR="00161685">
        <w:rPr>
          <w:szCs w:val="26"/>
        </w:rPr>
        <w:t xml:space="preserve">and the aggravated nature of their offenses.  (See </w:t>
      </w:r>
      <w:r w:rsidRPr="00901DF7" w:rsidR="00161685">
        <w:rPr>
          <w:i/>
          <w:iCs/>
          <w:szCs w:val="26"/>
        </w:rPr>
        <w:t>Hammer</w:t>
      </w:r>
      <w:r w:rsidRPr="00901DF7" w:rsidR="00161685">
        <w:rPr>
          <w:szCs w:val="26"/>
        </w:rPr>
        <w:t xml:space="preserve">, </w:t>
      </w:r>
      <w:r w:rsidRPr="00901DF7" w:rsidR="00161685">
        <w:rPr>
          <w:i/>
          <w:iCs/>
          <w:szCs w:val="26"/>
        </w:rPr>
        <w:t>supra</w:t>
      </w:r>
      <w:r w:rsidRPr="00901DF7" w:rsidR="00161685">
        <w:rPr>
          <w:szCs w:val="26"/>
        </w:rPr>
        <w:t>, 30 Cal.4</w:t>
      </w:r>
      <w:r w:rsidRPr="00901DF7" w:rsidR="00A57218">
        <w:rPr>
          <w:szCs w:val="26"/>
        </w:rPr>
        <w:t>th</w:t>
      </w:r>
      <w:r w:rsidRPr="00901DF7" w:rsidR="00161685">
        <w:rPr>
          <w:szCs w:val="26"/>
        </w:rPr>
        <w:t xml:space="preserve"> at p. 768.)  </w:t>
      </w:r>
      <w:r w:rsidRPr="00901DF7" w:rsidR="00704A21">
        <w:rPr>
          <w:szCs w:val="26"/>
        </w:rPr>
        <w:t>T</w:t>
      </w:r>
      <w:r w:rsidRPr="00901DF7" w:rsidR="00517AA1">
        <w:rPr>
          <w:szCs w:val="26"/>
        </w:rPr>
        <w:t xml:space="preserve">hese </w:t>
      </w:r>
      <w:r w:rsidRPr="00901DF7">
        <w:rPr>
          <w:szCs w:val="26"/>
        </w:rPr>
        <w:t>concerns</w:t>
      </w:r>
      <w:r w:rsidRPr="00901DF7" w:rsidR="00704A21">
        <w:rPr>
          <w:szCs w:val="26"/>
        </w:rPr>
        <w:t xml:space="preserve">, the Attorney General asserts, provide </w:t>
      </w:r>
      <w:r w:rsidRPr="00901DF7" w:rsidR="00517AA1">
        <w:rPr>
          <w:szCs w:val="26"/>
        </w:rPr>
        <w:t xml:space="preserve">at least a “plausible” basis for the disparity </w:t>
      </w:r>
      <w:r w:rsidRPr="00901DF7" w:rsidR="00C650A4">
        <w:rPr>
          <w:szCs w:val="26"/>
        </w:rPr>
        <w:t>in treatment</w:t>
      </w:r>
      <w:r w:rsidRPr="00901DF7" w:rsidR="00DB71B1">
        <w:rPr>
          <w:szCs w:val="26"/>
        </w:rPr>
        <w:t xml:space="preserve">, </w:t>
      </w:r>
      <w:r w:rsidRPr="00901DF7" w:rsidR="00DF1288">
        <w:rPr>
          <w:szCs w:val="26"/>
        </w:rPr>
        <w:t>“</w:t>
      </w:r>
      <w:r w:rsidR="0074534C">
        <w:rPr>
          <w:szCs w:val="26"/>
        </w:rPr>
        <w:t> </w:t>
      </w:r>
      <w:r w:rsidRPr="00901DF7" w:rsidR="00DF1288">
        <w:rPr>
          <w:szCs w:val="26"/>
        </w:rPr>
        <w:t>‘</w:t>
      </w:r>
      <w:r w:rsidR="0074534C">
        <w:rPr>
          <w:szCs w:val="26"/>
        </w:rPr>
        <w:t> </w:t>
      </w:r>
      <w:r w:rsidRPr="00901DF7" w:rsidR="00DF1288">
        <w:rPr>
          <w:szCs w:val="26"/>
        </w:rPr>
        <w:t>“</w:t>
      </w:r>
      <w:r w:rsidRPr="00901DF7" w:rsidR="00DB71B1">
        <w:rPr>
          <w:szCs w:val="26"/>
        </w:rPr>
        <w:t>the wisdom, fairness or logic</w:t>
      </w:r>
      <w:r w:rsidRPr="00901DF7" w:rsidR="00DF1288">
        <w:rPr>
          <w:szCs w:val="26"/>
        </w:rPr>
        <w:t>”</w:t>
      </w:r>
      <w:r w:rsidR="0074534C">
        <w:rPr>
          <w:szCs w:val="26"/>
        </w:rPr>
        <w:t> </w:t>
      </w:r>
      <w:r w:rsidRPr="00901DF7" w:rsidR="00DF1288">
        <w:rPr>
          <w:szCs w:val="26"/>
        </w:rPr>
        <w:t>’</w:t>
      </w:r>
      <w:r w:rsidR="0074534C">
        <w:rPr>
          <w:szCs w:val="26"/>
        </w:rPr>
        <w:t> </w:t>
      </w:r>
      <w:r w:rsidRPr="00901DF7" w:rsidR="00DF1288">
        <w:rPr>
          <w:szCs w:val="26"/>
        </w:rPr>
        <w:t>”</w:t>
      </w:r>
      <w:r w:rsidRPr="00901DF7" w:rsidR="00DB71B1">
        <w:rPr>
          <w:szCs w:val="26"/>
        </w:rPr>
        <w:t xml:space="preserve"> of which </w:t>
      </w:r>
      <w:r w:rsidRPr="00901DF7">
        <w:rPr>
          <w:szCs w:val="26"/>
        </w:rPr>
        <w:t xml:space="preserve">a court </w:t>
      </w:r>
      <w:r w:rsidRPr="00901DF7" w:rsidR="00DF1288">
        <w:rPr>
          <w:szCs w:val="26"/>
        </w:rPr>
        <w:t>“</w:t>
      </w:r>
      <w:r w:rsidRPr="00901DF7" w:rsidR="00DB71B1">
        <w:rPr>
          <w:szCs w:val="26"/>
        </w:rPr>
        <w:t>may not second-guess.</w:t>
      </w:r>
      <w:r w:rsidRPr="00901DF7" w:rsidR="00DF1288">
        <w:rPr>
          <w:szCs w:val="26"/>
        </w:rPr>
        <w:t>”</w:t>
      </w:r>
      <w:r w:rsidRPr="00901DF7" w:rsidR="00DB71B1">
        <w:rPr>
          <w:szCs w:val="26"/>
        </w:rPr>
        <w:t xml:space="preserve"> </w:t>
      </w:r>
      <w:r w:rsidRPr="00901DF7" w:rsidR="00517AA1">
        <w:rPr>
          <w:szCs w:val="26"/>
        </w:rPr>
        <w:t xml:space="preserve"> </w:t>
      </w:r>
      <w:r w:rsidRPr="00901DF7" w:rsidR="00F028BD">
        <w:rPr>
          <w:szCs w:val="26"/>
        </w:rPr>
        <w:t>(</w:t>
      </w:r>
      <w:r w:rsidRPr="00901DF7" w:rsidR="00F028BD">
        <w:rPr>
          <w:i/>
          <w:iCs/>
          <w:szCs w:val="26"/>
        </w:rPr>
        <w:t>J</w:t>
      </w:r>
      <w:r w:rsidRPr="00901DF7" w:rsidR="00517AA1">
        <w:rPr>
          <w:i/>
          <w:iCs/>
          <w:szCs w:val="26"/>
        </w:rPr>
        <w:t>ohnson</w:t>
      </w:r>
      <w:r w:rsidRPr="00901DF7" w:rsidR="00F028BD">
        <w:rPr>
          <w:i/>
          <w:iCs/>
          <w:szCs w:val="26"/>
        </w:rPr>
        <w:t xml:space="preserve"> v. Department of Justice</w:t>
      </w:r>
      <w:r w:rsidRPr="00901DF7" w:rsidR="00F028BD">
        <w:rPr>
          <w:szCs w:val="26"/>
        </w:rPr>
        <w:t xml:space="preserve"> (2015)</w:t>
      </w:r>
      <w:r w:rsidRPr="00901DF7" w:rsidR="00517AA1">
        <w:rPr>
          <w:szCs w:val="26"/>
        </w:rPr>
        <w:t xml:space="preserve"> 60 Cal.4</w:t>
      </w:r>
      <w:r w:rsidRPr="00901DF7" w:rsidR="00D476B5">
        <w:rPr>
          <w:szCs w:val="26"/>
        </w:rPr>
        <w:t>th</w:t>
      </w:r>
      <w:r w:rsidRPr="00901DF7" w:rsidR="00F028BD">
        <w:rPr>
          <w:szCs w:val="26"/>
        </w:rPr>
        <w:t xml:space="preserve"> 871, </w:t>
      </w:r>
      <w:r w:rsidRPr="00901DF7" w:rsidR="00517AA1">
        <w:rPr>
          <w:szCs w:val="26"/>
        </w:rPr>
        <w:t>881</w:t>
      </w:r>
      <w:r w:rsidRPr="00901DF7" w:rsidR="00F028BD">
        <w:rPr>
          <w:szCs w:val="26"/>
        </w:rPr>
        <w:t xml:space="preserve"> (</w:t>
      </w:r>
      <w:r w:rsidRPr="00901DF7" w:rsidR="00F028BD">
        <w:rPr>
          <w:i/>
          <w:iCs/>
          <w:szCs w:val="26"/>
        </w:rPr>
        <w:t>Johnson</w:t>
      </w:r>
      <w:r w:rsidRPr="00901DF7" w:rsidR="00F028BD">
        <w:rPr>
          <w:szCs w:val="26"/>
        </w:rPr>
        <w:t>)</w:t>
      </w:r>
      <w:r w:rsidRPr="00901DF7" w:rsidR="00517AA1">
        <w:rPr>
          <w:szCs w:val="26"/>
        </w:rPr>
        <w:t xml:space="preserve">.) </w:t>
      </w:r>
      <w:r w:rsidRPr="00901DF7" w:rsidR="005D51A6">
        <w:rPr>
          <w:szCs w:val="26"/>
        </w:rPr>
        <w:t xml:space="preserve"> Because these rationales plausibly support the Legislature’s exclusion of One Strike offenders from the youth offender parole statute, the Attorney General argues that defendant’s equal protection challenge to section 3051(h) must fail.</w:t>
      </w:r>
    </w:p>
    <w:p w:rsidR="00987D5B" w:rsidRPr="00901DF7" w:rsidP="00901DF7" w14:paraId="6858BC01" w14:textId="0DB5E04B">
      <w:pPr>
        <w:tabs>
          <w:tab w:val="left" w:pos="720"/>
          <w:tab w:val="left" w:pos="1440"/>
        </w:tabs>
      </w:pPr>
      <w:r w:rsidRPr="00901DF7">
        <w:rPr>
          <w:szCs w:val="26"/>
        </w:rPr>
        <w:tab/>
      </w:r>
      <w:r w:rsidRPr="00901DF7" w:rsidR="00414466">
        <w:rPr>
          <w:szCs w:val="26"/>
        </w:rPr>
        <w:t>Under t</w:t>
      </w:r>
      <w:r w:rsidRPr="00901DF7" w:rsidR="001C674A">
        <w:rPr>
          <w:szCs w:val="26"/>
        </w:rPr>
        <w:t>he Equal Protection clause of the</w:t>
      </w:r>
      <w:r w:rsidRPr="00901DF7" w:rsidR="005E4D79">
        <w:rPr>
          <w:szCs w:val="26"/>
        </w:rPr>
        <w:t xml:space="preserve"> Fourteenth Amendment to the federal Constitution</w:t>
      </w:r>
      <w:r w:rsidRPr="00901DF7" w:rsidR="00414466">
        <w:rPr>
          <w:szCs w:val="26"/>
        </w:rPr>
        <w:t>,</w:t>
      </w:r>
      <w:r w:rsidRPr="00901DF7" w:rsidR="005E4D79">
        <w:rPr>
          <w:szCs w:val="26"/>
        </w:rPr>
        <w:t xml:space="preserve"> no state may “deny to any person within its jurisdiction the equal protection of the laws.”  (U.S. Const., 14</w:t>
      </w:r>
      <w:r w:rsidRPr="00901DF7" w:rsidR="00A57218">
        <w:rPr>
          <w:szCs w:val="26"/>
        </w:rPr>
        <w:t>th</w:t>
      </w:r>
      <w:r w:rsidRPr="00901DF7" w:rsidR="005E4D79">
        <w:rPr>
          <w:szCs w:val="26"/>
        </w:rPr>
        <w:t xml:space="preserve"> Amend.)  “[T]he requirement of equal protection ensures that the government does not treat a group of people unequally without some justification.”  (</w:t>
      </w:r>
      <w:r w:rsidRPr="00901DF7" w:rsidR="005E4D79">
        <w:rPr>
          <w:i/>
          <w:iCs/>
          <w:szCs w:val="26"/>
        </w:rPr>
        <w:t>People v. Chatman</w:t>
      </w:r>
      <w:r w:rsidRPr="00901DF7" w:rsidR="005E4D79">
        <w:rPr>
          <w:szCs w:val="26"/>
        </w:rPr>
        <w:t xml:space="preserve"> (2018) 4 Cal.5</w:t>
      </w:r>
      <w:r w:rsidRPr="00901DF7" w:rsidR="00D476B5">
        <w:rPr>
          <w:szCs w:val="26"/>
        </w:rPr>
        <w:t>th</w:t>
      </w:r>
      <w:r w:rsidRPr="00901DF7" w:rsidR="005E4D79">
        <w:rPr>
          <w:szCs w:val="26"/>
        </w:rPr>
        <w:t xml:space="preserve"> 277, 288</w:t>
      </w:r>
      <w:r w:rsidRPr="00901DF7" w:rsidR="00CD52C4">
        <w:rPr>
          <w:szCs w:val="26"/>
        </w:rPr>
        <w:t xml:space="preserve"> (</w:t>
      </w:r>
      <w:r w:rsidRPr="00901DF7" w:rsidR="00CD52C4">
        <w:rPr>
          <w:i/>
          <w:iCs/>
          <w:szCs w:val="26"/>
        </w:rPr>
        <w:t>Chatman</w:t>
      </w:r>
      <w:r w:rsidRPr="00901DF7" w:rsidR="00CD52C4">
        <w:rPr>
          <w:szCs w:val="26"/>
        </w:rPr>
        <w:t>)</w:t>
      </w:r>
      <w:r w:rsidRPr="00901DF7" w:rsidR="005E4D79">
        <w:rPr>
          <w:szCs w:val="26"/>
        </w:rPr>
        <w:t>.)</w:t>
      </w:r>
      <w:r w:rsidRPr="00901DF7" w:rsidR="00284AFF">
        <w:rPr>
          <w:szCs w:val="26"/>
        </w:rPr>
        <w:t xml:space="preserve"> </w:t>
      </w:r>
      <w:r w:rsidRPr="00901DF7" w:rsidR="00164D02">
        <w:rPr>
          <w:szCs w:val="26"/>
        </w:rPr>
        <w:t xml:space="preserve"> </w:t>
      </w:r>
      <w:r w:rsidRPr="00901DF7" w:rsidR="00DB4ACA">
        <w:t>“Equal protection does not require that all persons be dealt with identically, but it does require that a distinction made have some relevance to the purpose for which the classification is made.”  (</w:t>
      </w:r>
      <w:r w:rsidRPr="00901DF7" w:rsidR="00DB4ACA">
        <w:rPr>
          <w:i/>
          <w:iCs/>
        </w:rPr>
        <w:t>Baxtrom v. Herold</w:t>
      </w:r>
      <w:r w:rsidRPr="00901DF7" w:rsidR="00DB4ACA">
        <w:t xml:space="preserve"> (1966) 383 U.S. 107, 11</w:t>
      </w:r>
      <w:r w:rsidRPr="00901DF7" w:rsidR="0035429F">
        <w:t>1</w:t>
      </w:r>
      <w:r w:rsidRPr="00901DF7" w:rsidR="00DB4ACA">
        <w:t>.)</w:t>
      </w:r>
      <w:r w:rsidRPr="00901DF7" w:rsidR="00C701C8">
        <w:t xml:space="preserve"> </w:t>
      </w:r>
      <w:r w:rsidRPr="00901DF7" w:rsidR="00FF72AC">
        <w:t xml:space="preserve"> “Unlike other provisions of the Constitution, the Equal Protection Clause confers no substantive rights and creates no substantive liberties.  The function of the Equal Protection Clause, rather, is simply to measure the validity of classifications created by state laws.”  (</w:t>
      </w:r>
      <w:r w:rsidRPr="00901DF7" w:rsidR="00FF72AC">
        <w:rPr>
          <w:i/>
          <w:iCs/>
        </w:rPr>
        <w:t>San Antonio Indep. School Dist. v. Rodriguez</w:t>
      </w:r>
      <w:r w:rsidRPr="00901DF7" w:rsidR="00FF72AC">
        <w:t xml:space="preserve"> (1973) 411 U.S. 1, 59 (conc. opn. of Stewart, J.) (</w:t>
      </w:r>
      <w:r w:rsidRPr="00901DF7" w:rsidR="00FF72AC">
        <w:rPr>
          <w:i/>
          <w:iCs/>
        </w:rPr>
        <w:t>Rodriguez</w:t>
      </w:r>
      <w:r w:rsidRPr="00901DF7" w:rsidR="00FF72AC">
        <w:t>)</w:t>
      </w:r>
      <w:r w:rsidRPr="00901DF7" w:rsidR="0035429F">
        <w:t>, fn. omitted</w:t>
      </w:r>
      <w:r w:rsidRPr="00901DF7" w:rsidR="00FF72AC">
        <w:t xml:space="preserve">.)  </w:t>
      </w:r>
    </w:p>
    <w:p w:rsidR="00C05840" w:rsidRPr="00901DF7" w:rsidP="00901DF7" w14:paraId="48A41D1A" w14:textId="1071DC9C">
      <w:pPr>
        <w:tabs>
          <w:tab w:val="left" w:pos="720"/>
          <w:tab w:val="left" w:pos="1440"/>
        </w:tabs>
        <w:rPr>
          <w:szCs w:val="26"/>
        </w:rPr>
      </w:pPr>
      <w:r w:rsidRPr="00901DF7">
        <w:rPr>
          <w:szCs w:val="26"/>
        </w:rPr>
        <w:tab/>
      </w:r>
      <w:r w:rsidRPr="00901DF7" w:rsidR="00D756A1">
        <w:rPr>
          <w:szCs w:val="26"/>
        </w:rPr>
        <w:t>In resolving an equal protection challenge</w:t>
      </w:r>
      <w:r w:rsidRPr="00901DF7" w:rsidR="003F6C0B">
        <w:rPr>
          <w:szCs w:val="26"/>
        </w:rPr>
        <w:t xml:space="preserve">, we apply different levels of scrutiny depending on the </w:t>
      </w:r>
      <w:r w:rsidRPr="00901DF7" w:rsidR="00200407">
        <w:rPr>
          <w:szCs w:val="26"/>
        </w:rPr>
        <w:t>type</w:t>
      </w:r>
      <w:r w:rsidRPr="00901DF7" w:rsidR="003F6C0B">
        <w:rPr>
          <w:szCs w:val="26"/>
        </w:rPr>
        <w:t xml:space="preserve"> of classification</w:t>
      </w:r>
      <w:r w:rsidRPr="00901DF7" w:rsidR="00E02BCB">
        <w:rPr>
          <w:szCs w:val="26"/>
        </w:rPr>
        <w:t xml:space="preserve"> involved</w:t>
      </w:r>
      <w:r w:rsidRPr="00901DF7" w:rsidR="003F6C0B">
        <w:rPr>
          <w:szCs w:val="26"/>
        </w:rPr>
        <w:t>.  (</w:t>
      </w:r>
      <w:r w:rsidRPr="00901DF7" w:rsidR="003F6C0B">
        <w:rPr>
          <w:i/>
          <w:iCs/>
          <w:szCs w:val="26"/>
        </w:rPr>
        <w:t>People v. Wilkinson</w:t>
      </w:r>
      <w:r w:rsidRPr="00901DF7" w:rsidR="003F6C0B">
        <w:rPr>
          <w:szCs w:val="26"/>
        </w:rPr>
        <w:t xml:space="preserve"> (2004) 33 Cal.4</w:t>
      </w:r>
      <w:r w:rsidRPr="00901DF7" w:rsidR="00BD75BA">
        <w:rPr>
          <w:szCs w:val="26"/>
        </w:rPr>
        <w:t>th</w:t>
      </w:r>
      <w:r w:rsidRPr="00901DF7" w:rsidR="003F6C0B">
        <w:rPr>
          <w:szCs w:val="26"/>
        </w:rPr>
        <w:t xml:space="preserve"> 821, 836</w:t>
      </w:r>
      <w:r w:rsidRPr="00901DF7" w:rsidR="00127552">
        <w:rPr>
          <w:szCs w:val="26"/>
        </w:rPr>
        <w:t xml:space="preserve"> (</w:t>
      </w:r>
      <w:r w:rsidRPr="00901DF7" w:rsidR="00127552">
        <w:rPr>
          <w:i/>
          <w:iCs/>
          <w:szCs w:val="26"/>
        </w:rPr>
        <w:t>Wilkinson</w:t>
      </w:r>
      <w:r w:rsidRPr="00901DF7" w:rsidR="00127552">
        <w:rPr>
          <w:szCs w:val="26"/>
        </w:rPr>
        <w:t>)</w:t>
      </w:r>
      <w:r w:rsidRPr="00901DF7" w:rsidR="003F6C0B">
        <w:rPr>
          <w:szCs w:val="26"/>
        </w:rPr>
        <w:t>.)</w:t>
      </w:r>
      <w:r w:rsidR="00E418EB">
        <w:rPr>
          <w:szCs w:val="26"/>
        </w:rPr>
        <w:t xml:space="preserve">  </w:t>
      </w:r>
      <w:r w:rsidR="00871E69">
        <w:rPr>
          <w:szCs w:val="26"/>
        </w:rPr>
        <w:t>“ ‘</w:t>
      </w:r>
      <w:r w:rsidRPr="00901DF7">
        <w:rPr>
          <w:szCs w:val="26"/>
        </w:rPr>
        <w:t>At a minimum, a statutory classification must be rationally related to a legitimate governmental</w:t>
      </w:r>
      <w:r w:rsidRPr="00901DF7" w:rsidR="00DA1053">
        <w:rPr>
          <w:szCs w:val="26"/>
        </w:rPr>
        <w:t xml:space="preserve"> purpose</w:t>
      </w:r>
      <w:r w:rsidRPr="00901DF7" w:rsidR="003570D1">
        <w:rPr>
          <w:szCs w:val="26"/>
        </w:rPr>
        <w:t>.</w:t>
      </w:r>
      <w:r w:rsidRPr="00901DF7" w:rsidR="0053641C">
        <w:rPr>
          <w:szCs w:val="26"/>
        </w:rPr>
        <w:t>’</w:t>
      </w:r>
      <w:r w:rsidR="004F5D0F">
        <w:rPr>
          <w:szCs w:val="26"/>
        </w:rPr>
        <w:t> </w:t>
      </w:r>
      <w:r w:rsidRPr="00901DF7" w:rsidR="00DA1053">
        <w:rPr>
          <w:szCs w:val="26"/>
        </w:rPr>
        <w:t>”  (</w:t>
      </w:r>
      <w:r w:rsidRPr="00901DF7" w:rsidR="00DA1053">
        <w:rPr>
          <w:i/>
          <w:iCs/>
          <w:szCs w:val="26"/>
        </w:rPr>
        <w:t>Ibid</w:t>
      </w:r>
      <w:r w:rsidRPr="00901DF7" w:rsidR="00DA1053">
        <w:rPr>
          <w:szCs w:val="26"/>
        </w:rPr>
        <w:t>.)</w:t>
      </w:r>
      <w:r w:rsidRPr="00901DF7" w:rsidR="003570D1">
        <w:rPr>
          <w:szCs w:val="26"/>
        </w:rPr>
        <w:t xml:space="preserve"> </w:t>
      </w:r>
      <w:r w:rsidRPr="00901DF7">
        <w:rPr>
          <w:szCs w:val="26"/>
        </w:rPr>
        <w:t xml:space="preserve"> </w:t>
      </w:r>
      <w:r w:rsidRPr="00901DF7" w:rsidR="00164D02">
        <w:rPr>
          <w:szCs w:val="26"/>
        </w:rPr>
        <w:t>If the unequal treatment involves</w:t>
      </w:r>
      <w:r w:rsidRPr="00901DF7" w:rsidR="007A0D54">
        <w:rPr>
          <w:szCs w:val="26"/>
        </w:rPr>
        <w:t xml:space="preserve"> </w:t>
      </w:r>
      <w:r w:rsidRPr="00901DF7" w:rsidR="00164D02">
        <w:rPr>
          <w:szCs w:val="26"/>
        </w:rPr>
        <w:t>a suspect class or fundamental right,</w:t>
      </w:r>
      <w:r w:rsidRPr="00901DF7" w:rsidR="0011491A">
        <w:rPr>
          <w:szCs w:val="26"/>
        </w:rPr>
        <w:t xml:space="preserve"> then we apply</w:t>
      </w:r>
      <w:r w:rsidRPr="00901DF7" w:rsidR="007A0D54">
        <w:rPr>
          <w:szCs w:val="26"/>
        </w:rPr>
        <w:t xml:space="preserve"> strict scrutiny </w:t>
      </w:r>
      <w:r w:rsidRPr="00901DF7" w:rsidR="000522CD">
        <w:rPr>
          <w:szCs w:val="26"/>
        </w:rPr>
        <w:t>and</w:t>
      </w:r>
      <w:r w:rsidRPr="00901DF7" w:rsidR="007A0D54">
        <w:rPr>
          <w:szCs w:val="26"/>
        </w:rPr>
        <w:t xml:space="preserve"> “</w:t>
      </w:r>
      <w:r w:rsidR="004F5D0F">
        <w:rPr>
          <w:szCs w:val="26"/>
        </w:rPr>
        <w:t> </w:t>
      </w:r>
      <w:r w:rsidRPr="00901DF7" w:rsidR="0053641C">
        <w:rPr>
          <w:szCs w:val="26"/>
        </w:rPr>
        <w:t>‘</w:t>
      </w:r>
      <w:r w:rsidR="004F5D0F">
        <w:rPr>
          <w:szCs w:val="26"/>
        </w:rPr>
        <w:t> </w:t>
      </w:r>
      <w:r w:rsidRPr="00901DF7" w:rsidR="0053641C">
        <w:rPr>
          <w:szCs w:val="26"/>
        </w:rPr>
        <w:t>“</w:t>
      </w:r>
      <w:r w:rsidRPr="00901DF7" w:rsidR="0053641C">
        <w:rPr>
          <w:i/>
          <w:iCs/>
          <w:szCs w:val="26"/>
        </w:rPr>
        <w:t>th</w:t>
      </w:r>
      <w:r w:rsidRPr="00901DF7" w:rsidR="007A0D54">
        <w:rPr>
          <w:i/>
          <w:iCs/>
          <w:szCs w:val="26"/>
        </w:rPr>
        <w:t>e state</w:t>
      </w:r>
      <w:r w:rsidRPr="00901DF7" w:rsidR="007A0D54">
        <w:rPr>
          <w:szCs w:val="26"/>
        </w:rPr>
        <w:t xml:space="preserve"> bears the burden of establishing not only that it has a </w:t>
      </w:r>
      <w:r w:rsidRPr="00901DF7" w:rsidR="007A0D54">
        <w:rPr>
          <w:i/>
          <w:iCs/>
          <w:szCs w:val="26"/>
        </w:rPr>
        <w:t>compelling</w:t>
      </w:r>
      <w:r w:rsidRPr="00901DF7" w:rsidR="007A0D54">
        <w:rPr>
          <w:szCs w:val="26"/>
        </w:rPr>
        <w:t xml:space="preserve"> interest which justifies the law but that the distinctions drawn by the law are </w:t>
      </w:r>
      <w:r w:rsidRPr="00901DF7" w:rsidR="007A0D54">
        <w:rPr>
          <w:i/>
          <w:iCs/>
          <w:szCs w:val="26"/>
        </w:rPr>
        <w:t xml:space="preserve">necessary </w:t>
      </w:r>
      <w:r w:rsidRPr="00901DF7" w:rsidR="007A0D54">
        <w:rPr>
          <w:szCs w:val="26"/>
        </w:rPr>
        <w:t>to further its purpose.</w:t>
      </w:r>
      <w:r w:rsidRPr="00901DF7" w:rsidR="0053641C">
        <w:rPr>
          <w:szCs w:val="26"/>
        </w:rPr>
        <w:t>”  [Citation.]’</w:t>
      </w:r>
      <w:r w:rsidR="004F5D0F">
        <w:rPr>
          <w:szCs w:val="26"/>
        </w:rPr>
        <w:t> </w:t>
      </w:r>
      <w:r w:rsidRPr="00901DF7" w:rsidR="007A0D54">
        <w:rPr>
          <w:szCs w:val="26"/>
        </w:rPr>
        <w:t>”  (</w:t>
      </w:r>
      <w:r w:rsidRPr="00901DF7" w:rsidR="00241E8A">
        <w:rPr>
          <w:i/>
          <w:iCs/>
          <w:szCs w:val="26"/>
        </w:rPr>
        <w:t>Warden v. State Bar</w:t>
      </w:r>
      <w:r w:rsidRPr="00901DF7" w:rsidR="00241E8A">
        <w:rPr>
          <w:szCs w:val="26"/>
        </w:rPr>
        <w:t xml:space="preserve"> (1999) 21 Cal.4</w:t>
      </w:r>
      <w:r w:rsidRPr="00901DF7" w:rsidR="00BD75BA">
        <w:rPr>
          <w:szCs w:val="26"/>
        </w:rPr>
        <w:t>th</w:t>
      </w:r>
      <w:r w:rsidRPr="00901DF7" w:rsidR="00241E8A">
        <w:rPr>
          <w:szCs w:val="26"/>
        </w:rPr>
        <w:t xml:space="preserve"> 628, 641.)</w:t>
      </w:r>
      <w:r w:rsidRPr="00901DF7">
        <w:rPr>
          <w:szCs w:val="26"/>
        </w:rPr>
        <w:t xml:space="preserve"> </w:t>
      </w:r>
      <w:r w:rsidR="00C64C6C">
        <w:rPr>
          <w:szCs w:val="26"/>
        </w:rPr>
        <w:t xml:space="preserve"> </w:t>
      </w:r>
      <w:r w:rsidRPr="00901DF7" w:rsidR="00C64C6C">
        <w:t>“The general rule is that legislation is presumed to be valid and will be sustained if the classification drawn by the statute is rationally related to a legitimate state interest.”  (</w:t>
      </w:r>
      <w:r w:rsidRPr="00901DF7" w:rsidR="00C64C6C">
        <w:rPr>
          <w:i/>
          <w:iCs/>
        </w:rPr>
        <w:t>City of Cleburne, Tex. v. Cleburne Living Center</w:t>
      </w:r>
      <w:r w:rsidRPr="00901DF7" w:rsidR="00C64C6C">
        <w:t xml:space="preserve"> (1985) 473 U.S. 432, 440.)  The question we must answer is “whether a statutory distinction is so devoid of even minimal rationality that it is unconstitutional as a matter of equal protection.”  (</w:t>
      </w:r>
      <w:r w:rsidRPr="00901DF7" w:rsidR="00C64C6C">
        <w:rPr>
          <w:i/>
          <w:iCs/>
        </w:rPr>
        <w:t>Chatman</w:t>
      </w:r>
      <w:r w:rsidRPr="00901DF7" w:rsidR="00C64C6C">
        <w:t xml:space="preserve">, </w:t>
      </w:r>
      <w:r w:rsidRPr="00901DF7" w:rsidR="00C64C6C">
        <w:rPr>
          <w:i/>
          <w:iCs/>
        </w:rPr>
        <w:t>supra</w:t>
      </w:r>
      <w:r w:rsidRPr="00901DF7" w:rsidR="00C64C6C">
        <w:t>, 4 Cal.5th at p. 289.)</w:t>
      </w:r>
    </w:p>
    <w:p w:rsidR="00CA324A" w:rsidRPr="00901DF7" w:rsidP="00901DF7" w14:paraId="3C4C2690" w14:textId="075E49DC">
      <w:pPr>
        <w:tabs>
          <w:tab w:val="left" w:pos="720"/>
          <w:tab w:val="left" w:pos="1440"/>
        </w:tabs>
        <w:rPr>
          <w:color w:val="000000"/>
          <w:szCs w:val="26"/>
        </w:rPr>
      </w:pPr>
      <w:r w:rsidRPr="00901DF7">
        <w:rPr>
          <w:szCs w:val="26"/>
        </w:rPr>
        <w:tab/>
      </w:r>
      <w:r w:rsidRPr="00901DF7" w:rsidR="00504B80">
        <w:rPr>
          <w:szCs w:val="26"/>
        </w:rPr>
        <w:t xml:space="preserve">Defendant </w:t>
      </w:r>
      <w:r w:rsidRPr="00901DF7" w:rsidR="00900ABC">
        <w:rPr>
          <w:szCs w:val="26"/>
        </w:rPr>
        <w:t>d</w:t>
      </w:r>
      <w:r w:rsidRPr="00901DF7" w:rsidR="00504B80">
        <w:rPr>
          <w:szCs w:val="26"/>
        </w:rPr>
        <w:t xml:space="preserve">oes not contend that offenders </w:t>
      </w:r>
      <w:r w:rsidRPr="00901DF7" w:rsidR="00B701BE">
        <w:rPr>
          <w:szCs w:val="26"/>
        </w:rPr>
        <w:t xml:space="preserve">sentenced under the </w:t>
      </w:r>
      <w:r w:rsidRPr="00901DF7" w:rsidR="00504B80">
        <w:rPr>
          <w:szCs w:val="26"/>
        </w:rPr>
        <w:t xml:space="preserve">One Strike </w:t>
      </w:r>
      <w:r w:rsidRPr="00901DF7" w:rsidR="00B701BE">
        <w:rPr>
          <w:szCs w:val="26"/>
        </w:rPr>
        <w:t>law</w:t>
      </w:r>
      <w:r w:rsidRPr="00901DF7" w:rsidR="00504B80">
        <w:rPr>
          <w:szCs w:val="26"/>
        </w:rPr>
        <w:t xml:space="preserve"> constitute a suspect class; nor does the right to early release on parole involve a fundamental </w:t>
      </w:r>
      <w:r w:rsidRPr="00901DF7" w:rsidR="00B701BE">
        <w:rPr>
          <w:szCs w:val="26"/>
        </w:rPr>
        <w:t xml:space="preserve">constitutional </w:t>
      </w:r>
      <w:r w:rsidRPr="00901DF7" w:rsidR="00504B80">
        <w:rPr>
          <w:szCs w:val="26"/>
        </w:rPr>
        <w:t>right.  (</w:t>
      </w:r>
      <w:r w:rsidRPr="00901DF7" w:rsidR="00213C93">
        <w:rPr>
          <w:szCs w:val="26"/>
        </w:rPr>
        <w:t xml:space="preserve">See </w:t>
      </w:r>
      <w:r w:rsidRPr="00901DF7" w:rsidR="00504B80">
        <w:rPr>
          <w:i/>
          <w:iCs/>
          <w:szCs w:val="26"/>
        </w:rPr>
        <w:t xml:space="preserve">Jackson v. Jamrog </w:t>
      </w:r>
      <w:r w:rsidRPr="00901DF7" w:rsidR="00504B80">
        <w:rPr>
          <w:szCs w:val="26"/>
        </w:rPr>
        <w:t>(6</w:t>
      </w:r>
      <w:r w:rsidRPr="00901DF7" w:rsidR="00BD75BA">
        <w:rPr>
          <w:szCs w:val="26"/>
        </w:rPr>
        <w:t>th</w:t>
      </w:r>
      <w:r w:rsidRPr="00901DF7" w:rsidR="00504B80">
        <w:rPr>
          <w:szCs w:val="26"/>
        </w:rPr>
        <w:t xml:space="preserve"> Cir. 2005) 411 F.3d 615, 619 [“there is no fundamental right to parole under the federal </w:t>
      </w:r>
      <w:r w:rsidRPr="00901DF7" w:rsidR="00505AD2">
        <w:rPr>
          <w:szCs w:val="26"/>
        </w:rPr>
        <w:t>C</w:t>
      </w:r>
      <w:r w:rsidRPr="00901DF7" w:rsidR="00504B80">
        <w:rPr>
          <w:szCs w:val="26"/>
        </w:rPr>
        <w:t>onstitution”].)  Nevertheless, d</w:t>
      </w:r>
      <w:r w:rsidRPr="00901DF7" w:rsidR="00F7437B">
        <w:rPr>
          <w:szCs w:val="26"/>
        </w:rPr>
        <w:t>efendant</w:t>
      </w:r>
      <w:r w:rsidRPr="00901DF7" w:rsidR="001A6E5D">
        <w:rPr>
          <w:szCs w:val="26"/>
        </w:rPr>
        <w:t xml:space="preserve"> </w:t>
      </w:r>
      <w:r w:rsidRPr="00901DF7" w:rsidR="00DF1288">
        <w:rPr>
          <w:szCs w:val="26"/>
        </w:rPr>
        <w:t xml:space="preserve">asserts </w:t>
      </w:r>
      <w:r w:rsidRPr="00901DF7" w:rsidR="001A6E5D">
        <w:rPr>
          <w:szCs w:val="26"/>
        </w:rPr>
        <w:t>that strict scrutiny applies here because</w:t>
      </w:r>
      <w:r w:rsidRPr="00901DF7" w:rsidR="009B0FF5">
        <w:rPr>
          <w:szCs w:val="26"/>
        </w:rPr>
        <w:t xml:space="preserve"> the challenged </w:t>
      </w:r>
      <w:r w:rsidRPr="00901DF7" w:rsidR="0011491A">
        <w:rPr>
          <w:szCs w:val="26"/>
        </w:rPr>
        <w:t>law</w:t>
      </w:r>
      <w:r w:rsidRPr="00901DF7" w:rsidR="00340CA3">
        <w:rPr>
          <w:szCs w:val="26"/>
        </w:rPr>
        <w:t xml:space="preserve"> </w:t>
      </w:r>
      <w:r w:rsidRPr="00901DF7" w:rsidR="009B0FF5">
        <w:rPr>
          <w:szCs w:val="26"/>
        </w:rPr>
        <w:t>“determines the length of incarceration”</w:t>
      </w:r>
      <w:r w:rsidRPr="00901DF7" w:rsidR="00A51B81">
        <w:rPr>
          <w:szCs w:val="26"/>
        </w:rPr>
        <w:t xml:space="preserve"> </w:t>
      </w:r>
      <w:r w:rsidRPr="00901DF7" w:rsidR="00DF1288">
        <w:rPr>
          <w:szCs w:val="26"/>
        </w:rPr>
        <w:t xml:space="preserve">and </w:t>
      </w:r>
      <w:r w:rsidRPr="00901DF7" w:rsidR="00A51B81">
        <w:rPr>
          <w:szCs w:val="26"/>
        </w:rPr>
        <w:t>directly</w:t>
      </w:r>
      <w:r w:rsidRPr="00901DF7" w:rsidR="00CE2D1D">
        <w:rPr>
          <w:szCs w:val="26"/>
        </w:rPr>
        <w:t xml:space="preserve"> </w:t>
      </w:r>
      <w:r w:rsidRPr="00901DF7" w:rsidR="00DF1288">
        <w:rPr>
          <w:szCs w:val="26"/>
        </w:rPr>
        <w:t xml:space="preserve">impacts </w:t>
      </w:r>
      <w:r w:rsidRPr="00901DF7" w:rsidR="009B0FF5">
        <w:rPr>
          <w:szCs w:val="26"/>
        </w:rPr>
        <w:t>“</w:t>
      </w:r>
      <w:r w:rsidRPr="00901DF7" w:rsidR="0054690B">
        <w:rPr>
          <w:szCs w:val="26"/>
        </w:rPr>
        <w:t>the loss of personal liberty</w:t>
      </w:r>
      <w:r w:rsidRPr="00901DF7" w:rsidR="00D756A1">
        <w:rPr>
          <w:szCs w:val="26"/>
        </w:rPr>
        <w:t xml:space="preserve">,” which </w:t>
      </w:r>
      <w:r w:rsidRPr="00901DF7" w:rsidR="00DF1288">
        <w:rPr>
          <w:szCs w:val="26"/>
        </w:rPr>
        <w:t>is</w:t>
      </w:r>
      <w:r w:rsidRPr="00901DF7" w:rsidR="0054690B">
        <w:rPr>
          <w:szCs w:val="26"/>
        </w:rPr>
        <w:t xml:space="preserve"> a </w:t>
      </w:r>
      <w:r w:rsidRPr="00901DF7" w:rsidR="00D756A1">
        <w:rPr>
          <w:szCs w:val="26"/>
        </w:rPr>
        <w:t>“</w:t>
      </w:r>
      <w:r w:rsidRPr="00901DF7" w:rsidR="0054690B">
        <w:rPr>
          <w:szCs w:val="26"/>
        </w:rPr>
        <w:t xml:space="preserve">fundamental interest.”  </w:t>
      </w:r>
      <w:r w:rsidRPr="00901DF7" w:rsidR="0011491A">
        <w:rPr>
          <w:szCs w:val="26"/>
        </w:rPr>
        <w:t>He relies</w:t>
      </w:r>
      <w:r w:rsidRPr="00901DF7" w:rsidR="00D756A1">
        <w:rPr>
          <w:szCs w:val="26"/>
        </w:rPr>
        <w:t>,</w:t>
      </w:r>
      <w:r w:rsidRPr="00901DF7" w:rsidR="0011491A">
        <w:rPr>
          <w:szCs w:val="26"/>
        </w:rPr>
        <w:t xml:space="preserve"> in part</w:t>
      </w:r>
      <w:r w:rsidRPr="00901DF7" w:rsidR="00D756A1">
        <w:rPr>
          <w:szCs w:val="26"/>
        </w:rPr>
        <w:t>,</w:t>
      </w:r>
      <w:r w:rsidRPr="00901DF7" w:rsidR="0011491A">
        <w:rPr>
          <w:szCs w:val="26"/>
        </w:rPr>
        <w:t xml:space="preserve"> on </w:t>
      </w:r>
      <w:r w:rsidRPr="00901DF7" w:rsidR="005756A7">
        <w:rPr>
          <w:szCs w:val="26"/>
        </w:rPr>
        <w:t xml:space="preserve">our statement in </w:t>
      </w:r>
      <w:r w:rsidRPr="00901DF7" w:rsidR="00C05840">
        <w:rPr>
          <w:i/>
          <w:iCs/>
          <w:szCs w:val="26"/>
        </w:rPr>
        <w:t xml:space="preserve">People v. Olivas </w:t>
      </w:r>
      <w:r w:rsidRPr="00901DF7" w:rsidR="00C05840">
        <w:rPr>
          <w:szCs w:val="26"/>
        </w:rPr>
        <w:t xml:space="preserve">(1976) 17 Cal.3d 236, 251 </w:t>
      </w:r>
      <w:r w:rsidRPr="00901DF7" w:rsidR="00404092">
        <w:rPr>
          <w:szCs w:val="26"/>
        </w:rPr>
        <w:t>(</w:t>
      </w:r>
      <w:r w:rsidRPr="00901DF7" w:rsidR="00404092">
        <w:rPr>
          <w:i/>
          <w:iCs/>
          <w:szCs w:val="26"/>
        </w:rPr>
        <w:t>Olivas</w:t>
      </w:r>
      <w:r w:rsidRPr="00901DF7" w:rsidR="00404092">
        <w:rPr>
          <w:szCs w:val="26"/>
        </w:rPr>
        <w:t>)</w:t>
      </w:r>
      <w:r w:rsidRPr="00901DF7" w:rsidR="0011491A">
        <w:rPr>
          <w:szCs w:val="26"/>
        </w:rPr>
        <w:t xml:space="preserve"> that </w:t>
      </w:r>
      <w:r w:rsidRPr="00901DF7" w:rsidR="00C05840">
        <w:rPr>
          <w:szCs w:val="26"/>
        </w:rPr>
        <w:t>“</w:t>
      </w:r>
      <w:r w:rsidRPr="00901DF7" w:rsidR="00C05840">
        <w:rPr>
          <w:color w:val="000000"/>
          <w:szCs w:val="26"/>
        </w:rPr>
        <w:t xml:space="preserve">personal liberty is a </w:t>
      </w:r>
      <w:r w:rsidRPr="00901DF7" w:rsidR="00C05840">
        <w:rPr>
          <w:color w:val="000000"/>
          <w:szCs w:val="26"/>
          <w:bdr w:val="none" w:sz="0" w:space="0" w:color="auto" w:frame="1"/>
          <w:shd w:val="clear" w:color="auto" w:fill="FFFFFF"/>
        </w:rPr>
        <w:t>fundamental</w:t>
      </w:r>
      <w:r w:rsidRPr="00901DF7" w:rsidR="00C05840">
        <w:rPr>
          <w:color w:val="000000"/>
          <w:szCs w:val="26"/>
        </w:rPr>
        <w:t xml:space="preserve"> interest, second only to life itself, as an interest protected under both the California and United States Constitutions</w:t>
      </w:r>
      <w:r w:rsidRPr="00901DF7" w:rsidR="0011491A">
        <w:rPr>
          <w:color w:val="000000"/>
          <w:szCs w:val="26"/>
        </w:rPr>
        <w:t>.</w:t>
      </w:r>
      <w:r w:rsidRPr="00901DF7" w:rsidR="00C05840">
        <w:rPr>
          <w:color w:val="000000"/>
          <w:szCs w:val="26"/>
        </w:rPr>
        <w:t>”</w:t>
      </w:r>
      <w:r w:rsidR="00E418EB">
        <w:rPr>
          <w:color w:val="000000"/>
          <w:szCs w:val="26"/>
        </w:rPr>
        <w:t xml:space="preserve">  </w:t>
      </w:r>
    </w:p>
    <w:p w:rsidR="00E1615B" w:rsidRPr="00901DF7" w:rsidP="00901DF7" w14:paraId="26627FCB" w14:textId="6F699D96">
      <w:pPr>
        <w:tabs>
          <w:tab w:val="left" w:pos="720"/>
          <w:tab w:val="left" w:pos="1440"/>
        </w:tabs>
        <w:rPr>
          <w:szCs w:val="26"/>
        </w:rPr>
      </w:pPr>
      <w:r w:rsidRPr="00901DF7">
        <w:rPr>
          <w:color w:val="000000"/>
          <w:szCs w:val="26"/>
        </w:rPr>
        <w:tab/>
      </w:r>
      <w:r w:rsidRPr="00901DF7" w:rsidR="009C6645">
        <w:rPr>
          <w:color w:val="000000"/>
          <w:szCs w:val="26"/>
        </w:rPr>
        <w:t xml:space="preserve">We reject defendant’s </w:t>
      </w:r>
      <w:r w:rsidRPr="00901DF7" w:rsidR="00506F19">
        <w:rPr>
          <w:color w:val="000000"/>
          <w:szCs w:val="26"/>
        </w:rPr>
        <w:t>argument for applying strict scrutiny to the classification at issue</w:t>
      </w:r>
      <w:r w:rsidRPr="00901DF7" w:rsidR="002D5AD9">
        <w:rPr>
          <w:color w:val="000000"/>
          <w:szCs w:val="26"/>
        </w:rPr>
        <w:t xml:space="preserve"> for the same reasons we </w:t>
      </w:r>
      <w:r w:rsidRPr="00901DF7" w:rsidR="0011491A">
        <w:rPr>
          <w:color w:val="000000"/>
          <w:szCs w:val="26"/>
        </w:rPr>
        <w:t>rejected</w:t>
      </w:r>
      <w:r w:rsidRPr="00901DF7" w:rsidR="00737B85">
        <w:rPr>
          <w:color w:val="000000"/>
          <w:szCs w:val="26"/>
        </w:rPr>
        <w:t xml:space="preserve"> a</w:t>
      </w:r>
      <w:r w:rsidRPr="00901DF7" w:rsidR="00506F19">
        <w:rPr>
          <w:color w:val="000000"/>
          <w:szCs w:val="26"/>
        </w:rPr>
        <w:t xml:space="preserve"> similar</w:t>
      </w:r>
      <w:r w:rsidRPr="00901DF7" w:rsidR="00737B85">
        <w:rPr>
          <w:color w:val="000000"/>
          <w:szCs w:val="26"/>
        </w:rPr>
        <w:t xml:space="preserve"> argument </w:t>
      </w:r>
      <w:r w:rsidRPr="00901DF7" w:rsidR="00506F19">
        <w:rPr>
          <w:color w:val="000000"/>
          <w:szCs w:val="26"/>
        </w:rPr>
        <w:t xml:space="preserve">in </w:t>
      </w:r>
      <w:r w:rsidRPr="00901DF7" w:rsidR="00506F19">
        <w:rPr>
          <w:i/>
          <w:iCs/>
          <w:color w:val="000000"/>
          <w:szCs w:val="26"/>
        </w:rPr>
        <w:t>Wilkinson</w:t>
      </w:r>
      <w:r w:rsidRPr="00901DF7" w:rsidR="0011491A">
        <w:rPr>
          <w:color w:val="000000"/>
          <w:szCs w:val="26"/>
        </w:rPr>
        <w:t>.  There,</w:t>
      </w:r>
      <w:r w:rsidRPr="00901DF7" w:rsidR="00DF1288">
        <w:rPr>
          <w:color w:val="000000"/>
          <w:szCs w:val="26"/>
        </w:rPr>
        <w:t xml:space="preserve"> the</w:t>
      </w:r>
      <w:r w:rsidRPr="00901DF7" w:rsidR="00FE270D">
        <w:rPr>
          <w:color w:val="000000"/>
          <w:szCs w:val="26"/>
        </w:rPr>
        <w:t xml:space="preserve"> </w:t>
      </w:r>
      <w:r w:rsidRPr="00901DF7" w:rsidR="004C3F60">
        <w:rPr>
          <w:color w:val="000000"/>
          <w:szCs w:val="26"/>
        </w:rPr>
        <w:t>defendant</w:t>
      </w:r>
      <w:r w:rsidRPr="00901DF7" w:rsidR="00506F19">
        <w:rPr>
          <w:color w:val="000000"/>
          <w:szCs w:val="26"/>
        </w:rPr>
        <w:t xml:space="preserve"> made</w:t>
      </w:r>
      <w:r w:rsidRPr="00901DF7" w:rsidR="004C3F60">
        <w:rPr>
          <w:color w:val="000000"/>
          <w:szCs w:val="26"/>
        </w:rPr>
        <w:t xml:space="preserve"> an equal protection challenge </w:t>
      </w:r>
      <w:r w:rsidRPr="00901DF7" w:rsidR="00506F19">
        <w:rPr>
          <w:color w:val="000000"/>
          <w:szCs w:val="26"/>
        </w:rPr>
        <w:t xml:space="preserve">to </w:t>
      </w:r>
      <w:r w:rsidRPr="00901DF7" w:rsidR="004C3F60">
        <w:rPr>
          <w:color w:val="000000"/>
          <w:szCs w:val="26"/>
        </w:rPr>
        <w:t>the statutory scheme</w:t>
      </w:r>
      <w:r w:rsidRPr="00901DF7" w:rsidR="00FE270D">
        <w:rPr>
          <w:color w:val="000000"/>
          <w:szCs w:val="26"/>
        </w:rPr>
        <w:t xml:space="preserve"> governing the offense of battery </w:t>
      </w:r>
      <w:r w:rsidRPr="00901DF7" w:rsidR="004C3F60">
        <w:rPr>
          <w:color w:val="000000"/>
          <w:szCs w:val="26"/>
        </w:rPr>
        <w:t>on a custodial officer (see former §</w:t>
      </w:r>
      <w:r w:rsidR="007B112D">
        <w:rPr>
          <w:color w:val="000000"/>
          <w:szCs w:val="26"/>
        </w:rPr>
        <w:t>§ </w:t>
      </w:r>
      <w:r w:rsidRPr="00901DF7" w:rsidR="004C3F60">
        <w:t>243, 243.1</w:t>
      </w:r>
      <w:r w:rsidRPr="00901DF7" w:rsidR="004C3F60">
        <w:rPr>
          <w:color w:val="000000"/>
          <w:szCs w:val="26"/>
        </w:rPr>
        <w:t>), claiming “it allows the ‘lesser’ offense of battery without injury to be punished more severely than the ‘greater’ offense of battery with injury” (</w:t>
      </w:r>
      <w:r w:rsidRPr="00901DF7" w:rsidR="004C3F60">
        <w:rPr>
          <w:i/>
          <w:iCs/>
          <w:color w:val="000000"/>
          <w:szCs w:val="26"/>
        </w:rPr>
        <w:t>Wilkinson</w:t>
      </w:r>
      <w:r w:rsidRPr="00901DF7" w:rsidR="004C3F60">
        <w:rPr>
          <w:color w:val="000000"/>
          <w:szCs w:val="26"/>
        </w:rPr>
        <w:t xml:space="preserve">, </w:t>
      </w:r>
      <w:r w:rsidRPr="00901DF7" w:rsidR="004C3F60">
        <w:rPr>
          <w:i/>
          <w:iCs/>
          <w:color w:val="000000"/>
          <w:szCs w:val="26"/>
        </w:rPr>
        <w:t>supra</w:t>
      </w:r>
      <w:r w:rsidRPr="00901DF7" w:rsidR="004C3F60">
        <w:rPr>
          <w:color w:val="000000"/>
          <w:szCs w:val="26"/>
        </w:rPr>
        <w:t>, 33 Cal.4</w:t>
      </w:r>
      <w:r w:rsidRPr="00901DF7" w:rsidR="00BD75BA">
        <w:rPr>
          <w:color w:val="000000"/>
          <w:szCs w:val="26"/>
        </w:rPr>
        <w:t>th</w:t>
      </w:r>
      <w:r w:rsidRPr="00901DF7" w:rsidR="004C3F60">
        <w:rPr>
          <w:color w:val="000000"/>
          <w:szCs w:val="26"/>
        </w:rPr>
        <w:t xml:space="preserve"> at p. 838)</w:t>
      </w:r>
      <w:r w:rsidRPr="00901DF7" w:rsidR="00B00987">
        <w:rPr>
          <w:color w:val="000000"/>
          <w:szCs w:val="26"/>
        </w:rPr>
        <w:t>.</w:t>
      </w:r>
      <w:r w:rsidRPr="00901DF7" w:rsidR="004C3F60">
        <w:rPr>
          <w:color w:val="000000"/>
          <w:szCs w:val="26"/>
        </w:rPr>
        <w:t xml:space="preserve">  We concluded that rational basis review applied to </w:t>
      </w:r>
      <w:r w:rsidRPr="00901DF7" w:rsidR="0011491A">
        <w:rPr>
          <w:color w:val="000000"/>
          <w:szCs w:val="26"/>
        </w:rPr>
        <w:t>the</w:t>
      </w:r>
      <w:r w:rsidRPr="00901DF7" w:rsidR="004C3F60">
        <w:rPr>
          <w:color w:val="000000"/>
          <w:szCs w:val="26"/>
        </w:rPr>
        <w:t xml:space="preserve"> claim because </w:t>
      </w:r>
      <w:r w:rsidRPr="00901DF7" w:rsidR="0053641C">
        <w:rPr>
          <w:color w:val="000000"/>
          <w:szCs w:val="26"/>
        </w:rPr>
        <w:t xml:space="preserve">a </w:t>
      </w:r>
      <w:r w:rsidRPr="00901DF7" w:rsidR="004C3F60">
        <w:rPr>
          <w:szCs w:val="26"/>
        </w:rPr>
        <w:t xml:space="preserve">defendant </w:t>
      </w:r>
      <w:r w:rsidRPr="00901DF7" w:rsidR="0053641C">
        <w:rPr>
          <w:szCs w:val="26"/>
        </w:rPr>
        <w:t>“</w:t>
      </w:r>
      <w:r w:rsidR="0074534C">
        <w:rPr>
          <w:szCs w:val="26"/>
        </w:rPr>
        <w:t> </w:t>
      </w:r>
      <w:r w:rsidRPr="00901DF7" w:rsidR="004C3F60">
        <w:rPr>
          <w:szCs w:val="26"/>
        </w:rPr>
        <w:t>‘does not have a fundamental interest in a specific term of imprisonment or in the designation a particular crime receives.</w:t>
      </w:r>
      <w:r w:rsidRPr="00901DF7" w:rsidR="002D5AD9">
        <w:rPr>
          <w:szCs w:val="26"/>
        </w:rPr>
        <w:t>’</w:t>
      </w:r>
      <w:r w:rsidR="0074534C">
        <w:rPr>
          <w:szCs w:val="26"/>
        </w:rPr>
        <w:t> </w:t>
      </w:r>
      <w:r w:rsidRPr="00901DF7" w:rsidR="004C3F60">
        <w:rPr>
          <w:szCs w:val="26"/>
        </w:rPr>
        <w:t xml:space="preserve">” </w:t>
      </w:r>
      <w:r w:rsidRPr="00901DF7" w:rsidR="005613F0">
        <w:rPr>
          <w:szCs w:val="26"/>
        </w:rPr>
        <w:t xml:space="preserve"> </w:t>
      </w:r>
      <w:r w:rsidRPr="00901DF7" w:rsidR="004C3F60">
        <w:rPr>
          <w:szCs w:val="26"/>
        </w:rPr>
        <w:t>(</w:t>
      </w:r>
      <w:r w:rsidRPr="00901DF7" w:rsidR="004C3F60">
        <w:rPr>
          <w:i/>
          <w:iCs/>
          <w:szCs w:val="26"/>
        </w:rPr>
        <w:t>I</w:t>
      </w:r>
      <w:r w:rsidRPr="00901DF7" w:rsidR="0053641C">
        <w:rPr>
          <w:i/>
          <w:iCs/>
          <w:szCs w:val="26"/>
        </w:rPr>
        <w:t>bi</w:t>
      </w:r>
      <w:r w:rsidRPr="00901DF7" w:rsidR="004C3F60">
        <w:rPr>
          <w:i/>
          <w:iCs/>
          <w:szCs w:val="26"/>
        </w:rPr>
        <w:t>d.</w:t>
      </w:r>
      <w:r w:rsidRPr="00901DF7" w:rsidR="004C3F60">
        <w:rPr>
          <w:szCs w:val="26"/>
        </w:rPr>
        <w:t xml:space="preserve">)  </w:t>
      </w:r>
      <w:r w:rsidRPr="00901DF7" w:rsidR="004C3F60">
        <w:rPr>
          <w:color w:val="000000"/>
          <w:szCs w:val="26"/>
        </w:rPr>
        <w:t>W</w:t>
      </w:r>
      <w:r w:rsidRPr="00901DF7">
        <w:rPr>
          <w:color w:val="000000"/>
          <w:szCs w:val="26"/>
        </w:rPr>
        <w:t xml:space="preserve">e explained that </w:t>
      </w:r>
      <w:r w:rsidRPr="00901DF7">
        <w:rPr>
          <w:i/>
          <w:iCs/>
          <w:color w:val="000000"/>
          <w:szCs w:val="26"/>
        </w:rPr>
        <w:t>Olivas</w:t>
      </w:r>
      <w:r w:rsidRPr="00901DF7">
        <w:rPr>
          <w:color w:val="000000"/>
          <w:szCs w:val="26"/>
        </w:rPr>
        <w:t xml:space="preserve">’s language should not be interpreted so broadly as </w:t>
      </w:r>
      <w:r w:rsidRPr="00901DF7" w:rsidR="0011491A">
        <w:rPr>
          <w:color w:val="000000"/>
          <w:szCs w:val="26"/>
        </w:rPr>
        <w:t xml:space="preserve">to </w:t>
      </w:r>
      <w:r w:rsidRPr="00901DF7">
        <w:rPr>
          <w:color w:val="000000"/>
          <w:szCs w:val="26"/>
        </w:rPr>
        <w:t>requir</w:t>
      </w:r>
      <w:r w:rsidRPr="00901DF7" w:rsidR="0011491A">
        <w:rPr>
          <w:color w:val="000000"/>
          <w:szCs w:val="26"/>
        </w:rPr>
        <w:t xml:space="preserve">e </w:t>
      </w:r>
      <w:r w:rsidRPr="00901DF7">
        <w:rPr>
          <w:color w:val="000000"/>
          <w:szCs w:val="26"/>
        </w:rPr>
        <w:t xml:space="preserve">strict scrutiny “whenever one </w:t>
      </w:r>
      <w:r w:rsidRPr="00901DF7" w:rsidR="00C753CE">
        <w:rPr>
          <w:color w:val="000000"/>
          <w:szCs w:val="26"/>
        </w:rPr>
        <w:t>challenges upon equal protection grounds a penal statute or statutes that authorize different sentences for comparable crimes, because such statutes always implicate the right to ‘personal liberty’ of the affected individuals.”  (</w:t>
      </w:r>
      <w:r w:rsidRPr="00901DF7" w:rsidR="0053641C">
        <w:rPr>
          <w:i/>
          <w:iCs/>
          <w:color w:val="000000"/>
          <w:szCs w:val="26"/>
        </w:rPr>
        <w:t>Id.</w:t>
      </w:r>
      <w:r w:rsidRPr="00901DF7" w:rsidR="00C753CE">
        <w:rPr>
          <w:color w:val="000000"/>
          <w:szCs w:val="26"/>
        </w:rPr>
        <w:t xml:space="preserve"> at p. 837.) </w:t>
      </w:r>
      <w:r w:rsidRPr="00901DF7" w:rsidR="006F272D">
        <w:rPr>
          <w:color w:val="000000"/>
          <w:szCs w:val="26"/>
        </w:rPr>
        <w:t xml:space="preserve"> </w:t>
      </w:r>
      <w:r w:rsidRPr="00901DF7" w:rsidR="005D51A6">
        <w:rPr>
          <w:szCs w:val="26"/>
        </w:rPr>
        <w:t>Indeed, w</w:t>
      </w:r>
      <w:r w:rsidRPr="00901DF7">
        <w:rPr>
          <w:szCs w:val="26"/>
        </w:rPr>
        <w:t>e cautioned that “[a]pplication of the strict scrutiny standard in this context would be incompatible with the broad discretion the Legislature traditionally has been understood to exercise in defining crimes and specifying punishment.”  (</w:t>
      </w:r>
      <w:r w:rsidRPr="00901DF7">
        <w:rPr>
          <w:i/>
          <w:iCs/>
          <w:szCs w:val="26"/>
        </w:rPr>
        <w:t>Id</w:t>
      </w:r>
      <w:r w:rsidRPr="00901DF7">
        <w:rPr>
          <w:szCs w:val="26"/>
        </w:rPr>
        <w:t>.</w:t>
      </w:r>
      <w:r w:rsidRPr="00901DF7" w:rsidR="0053641C">
        <w:rPr>
          <w:szCs w:val="26"/>
        </w:rPr>
        <w:t xml:space="preserve"> at p. 838.</w:t>
      </w:r>
      <w:r w:rsidRPr="00901DF7">
        <w:rPr>
          <w:szCs w:val="26"/>
        </w:rPr>
        <w:t xml:space="preserve">)  </w:t>
      </w:r>
    </w:p>
    <w:p w:rsidR="007A0D54" w:rsidRPr="00901DF7" w:rsidP="00901DF7" w14:paraId="04CE79CD" w14:textId="3A91F782">
      <w:pPr>
        <w:tabs>
          <w:tab w:val="left" w:pos="720"/>
          <w:tab w:val="left" w:pos="1440"/>
        </w:tabs>
        <w:rPr>
          <w:szCs w:val="26"/>
        </w:rPr>
      </w:pPr>
      <w:r w:rsidRPr="00901DF7">
        <w:rPr>
          <w:szCs w:val="26"/>
        </w:rPr>
        <w:tab/>
      </w:r>
      <w:r w:rsidRPr="00901DF7" w:rsidR="00504B80">
        <w:rPr>
          <w:szCs w:val="26"/>
        </w:rPr>
        <w:t xml:space="preserve">More recently, </w:t>
      </w:r>
      <w:r w:rsidRPr="00901DF7" w:rsidR="00506F19">
        <w:rPr>
          <w:szCs w:val="26"/>
        </w:rPr>
        <w:t xml:space="preserve">in </w:t>
      </w:r>
      <w:r w:rsidRPr="00901DF7" w:rsidR="00506F19">
        <w:rPr>
          <w:i/>
          <w:iCs/>
          <w:szCs w:val="26"/>
        </w:rPr>
        <w:t>Hardin</w:t>
      </w:r>
      <w:r w:rsidRPr="00901DF7" w:rsidR="00506F19">
        <w:rPr>
          <w:szCs w:val="26"/>
        </w:rPr>
        <w:t xml:space="preserve">, </w:t>
      </w:r>
      <w:r w:rsidRPr="00901DF7" w:rsidR="00506F19">
        <w:rPr>
          <w:i/>
          <w:iCs/>
          <w:szCs w:val="26"/>
        </w:rPr>
        <w:t>supra</w:t>
      </w:r>
      <w:r w:rsidRPr="00901DF7" w:rsidR="00506F19">
        <w:rPr>
          <w:szCs w:val="26"/>
        </w:rPr>
        <w:t>, 15 Cal.5</w:t>
      </w:r>
      <w:r w:rsidRPr="00901DF7" w:rsidR="00BD75BA">
        <w:rPr>
          <w:szCs w:val="26"/>
        </w:rPr>
        <w:t>th</w:t>
      </w:r>
      <w:r w:rsidRPr="00901DF7" w:rsidR="00506F19">
        <w:rPr>
          <w:szCs w:val="26"/>
        </w:rPr>
        <w:t xml:space="preserve"> at page 847, </w:t>
      </w:r>
      <w:r w:rsidR="005F3E1E">
        <w:rPr>
          <w:szCs w:val="26"/>
        </w:rPr>
        <w:t xml:space="preserve">after defendant conceded that </w:t>
      </w:r>
      <w:r w:rsidRPr="00901DF7" w:rsidR="0022470C">
        <w:rPr>
          <w:szCs w:val="26"/>
        </w:rPr>
        <w:t>the</w:t>
      </w:r>
      <w:r w:rsidRPr="00901DF7" w:rsidR="00C650A4">
        <w:rPr>
          <w:szCs w:val="26"/>
        </w:rPr>
        <w:t xml:space="preserve"> rational basis </w:t>
      </w:r>
      <w:r w:rsidRPr="00901DF7" w:rsidR="0022470C">
        <w:rPr>
          <w:szCs w:val="26"/>
        </w:rPr>
        <w:t>test</w:t>
      </w:r>
      <w:r w:rsidR="005F3E1E">
        <w:rPr>
          <w:szCs w:val="26"/>
        </w:rPr>
        <w:t xml:space="preserve"> applied, we addressed his</w:t>
      </w:r>
      <w:r w:rsidRPr="00901DF7" w:rsidR="00C650A4">
        <w:rPr>
          <w:szCs w:val="26"/>
        </w:rPr>
        <w:t xml:space="preserve"> equal protection chal</w:t>
      </w:r>
      <w:r w:rsidRPr="00901DF7" w:rsidR="000C6B12">
        <w:rPr>
          <w:szCs w:val="26"/>
        </w:rPr>
        <w:t>l</w:t>
      </w:r>
      <w:r w:rsidRPr="00901DF7" w:rsidR="00C650A4">
        <w:rPr>
          <w:szCs w:val="26"/>
        </w:rPr>
        <w:t xml:space="preserve">enge </w:t>
      </w:r>
      <w:r w:rsidRPr="00901DF7" w:rsidR="000C6B12">
        <w:rPr>
          <w:szCs w:val="26"/>
        </w:rPr>
        <w:t xml:space="preserve">to </w:t>
      </w:r>
      <w:r w:rsidRPr="00901DF7" w:rsidR="006923C8">
        <w:rPr>
          <w:szCs w:val="26"/>
        </w:rPr>
        <w:t>section 3051</w:t>
      </w:r>
      <w:r w:rsidRPr="00901DF7" w:rsidR="0011491A">
        <w:rPr>
          <w:szCs w:val="26"/>
        </w:rPr>
        <w:t xml:space="preserve"> similar to </w:t>
      </w:r>
      <w:r w:rsidRPr="00901DF7" w:rsidR="002C28CB">
        <w:rPr>
          <w:szCs w:val="26"/>
        </w:rPr>
        <w:t>the one defendant makes</w:t>
      </w:r>
      <w:r w:rsidRPr="00901DF7" w:rsidR="001450A3">
        <w:rPr>
          <w:szCs w:val="26"/>
        </w:rPr>
        <w:t xml:space="preserve"> here</w:t>
      </w:r>
      <w:r w:rsidRPr="00901DF7" w:rsidR="000C6B12">
        <w:rPr>
          <w:szCs w:val="26"/>
        </w:rPr>
        <w:t xml:space="preserve">.  </w:t>
      </w:r>
      <w:r w:rsidRPr="00901DF7" w:rsidR="00585937">
        <w:rPr>
          <w:szCs w:val="26"/>
        </w:rPr>
        <w:t xml:space="preserve">(See </w:t>
      </w:r>
      <w:r w:rsidRPr="00901DF7" w:rsidR="00585937">
        <w:rPr>
          <w:i/>
          <w:iCs/>
          <w:szCs w:val="26"/>
        </w:rPr>
        <w:t>Hardin</w:t>
      </w:r>
      <w:r w:rsidRPr="00901DF7" w:rsidR="00585937">
        <w:rPr>
          <w:szCs w:val="26"/>
        </w:rPr>
        <w:t xml:space="preserve">, </w:t>
      </w:r>
      <w:r w:rsidRPr="00901DF7" w:rsidR="004F57F9">
        <w:rPr>
          <w:i/>
          <w:iCs/>
          <w:szCs w:val="26"/>
        </w:rPr>
        <w:t>supra</w:t>
      </w:r>
      <w:r w:rsidRPr="00901DF7" w:rsidR="004F57F9">
        <w:rPr>
          <w:szCs w:val="26"/>
        </w:rPr>
        <w:t xml:space="preserve">, </w:t>
      </w:r>
      <w:r w:rsidRPr="00901DF7" w:rsidR="001636FD">
        <w:rPr>
          <w:szCs w:val="26"/>
        </w:rPr>
        <w:t xml:space="preserve">15 </w:t>
      </w:r>
      <w:r w:rsidRPr="00901DF7" w:rsidR="002C28CB">
        <w:rPr>
          <w:szCs w:val="26"/>
        </w:rPr>
        <w:t xml:space="preserve">Cal.5th </w:t>
      </w:r>
      <w:r w:rsidRPr="00901DF7" w:rsidR="00585937">
        <w:rPr>
          <w:szCs w:val="26"/>
        </w:rPr>
        <w:t>at p.</w:t>
      </w:r>
      <w:r w:rsidRPr="00901DF7" w:rsidR="001636FD">
        <w:rPr>
          <w:szCs w:val="26"/>
        </w:rPr>
        <w:t xml:space="preserve"> 847</w:t>
      </w:r>
      <w:r w:rsidRPr="00901DF7" w:rsidR="00585937">
        <w:rPr>
          <w:szCs w:val="26"/>
        </w:rPr>
        <w:t xml:space="preserve">.)  </w:t>
      </w:r>
      <w:r w:rsidRPr="00901DF7" w:rsidR="0011491A">
        <w:rPr>
          <w:szCs w:val="26"/>
        </w:rPr>
        <w:t>The defendant i</w:t>
      </w:r>
      <w:r w:rsidRPr="00901DF7" w:rsidR="0011286B">
        <w:rPr>
          <w:szCs w:val="26"/>
        </w:rPr>
        <w:t xml:space="preserve">n </w:t>
      </w:r>
      <w:r w:rsidRPr="00901DF7" w:rsidR="0011286B">
        <w:rPr>
          <w:i/>
          <w:iCs/>
          <w:szCs w:val="26"/>
        </w:rPr>
        <w:t>Hardin</w:t>
      </w:r>
      <w:r w:rsidRPr="00901DF7" w:rsidR="0011491A">
        <w:rPr>
          <w:i/>
          <w:iCs/>
          <w:szCs w:val="26"/>
        </w:rPr>
        <w:t xml:space="preserve"> </w:t>
      </w:r>
      <w:r w:rsidRPr="00901DF7" w:rsidR="0011491A">
        <w:rPr>
          <w:szCs w:val="26"/>
        </w:rPr>
        <w:t xml:space="preserve">challenged </w:t>
      </w:r>
      <w:r w:rsidRPr="00901DF7" w:rsidR="0011286B">
        <w:rPr>
          <w:szCs w:val="26"/>
        </w:rPr>
        <w:t xml:space="preserve">section 3051’s disparate treatment of </w:t>
      </w:r>
      <w:r w:rsidRPr="00901DF7" w:rsidR="00093AD4">
        <w:rPr>
          <w:szCs w:val="26"/>
        </w:rPr>
        <w:t>young adults s</w:t>
      </w:r>
      <w:r w:rsidRPr="00901DF7" w:rsidR="0011286B">
        <w:rPr>
          <w:szCs w:val="26"/>
        </w:rPr>
        <w:t xml:space="preserve">entenced </w:t>
      </w:r>
      <w:r w:rsidRPr="00901DF7" w:rsidR="00E93B9E">
        <w:rPr>
          <w:szCs w:val="26"/>
        </w:rPr>
        <w:t>to</w:t>
      </w:r>
      <w:r w:rsidRPr="00901DF7" w:rsidR="0011286B">
        <w:rPr>
          <w:szCs w:val="26"/>
        </w:rPr>
        <w:t xml:space="preserve"> LWOP for special circumstance murder</w:t>
      </w:r>
      <w:r w:rsidRPr="00901DF7" w:rsidR="002770BB">
        <w:rPr>
          <w:szCs w:val="26"/>
        </w:rPr>
        <w:t xml:space="preserve"> and </w:t>
      </w:r>
      <w:r w:rsidRPr="00901DF7" w:rsidR="00B00987">
        <w:rPr>
          <w:szCs w:val="26"/>
        </w:rPr>
        <w:t xml:space="preserve">of </w:t>
      </w:r>
      <w:r w:rsidRPr="00901DF7" w:rsidR="002770BB">
        <w:rPr>
          <w:szCs w:val="26"/>
        </w:rPr>
        <w:t>young adults sentenced to life with the possibility of parole</w:t>
      </w:r>
      <w:r w:rsidRPr="00901DF7" w:rsidR="0011286B">
        <w:rPr>
          <w:szCs w:val="26"/>
        </w:rPr>
        <w:t xml:space="preserve">.  </w:t>
      </w:r>
      <w:r w:rsidRPr="00901DF7" w:rsidR="00506F19">
        <w:rPr>
          <w:szCs w:val="26"/>
        </w:rPr>
        <w:t>Applying the rational basis test, w</w:t>
      </w:r>
      <w:r w:rsidRPr="00901DF7" w:rsidR="00C424C2">
        <w:rPr>
          <w:szCs w:val="26"/>
        </w:rPr>
        <w:t xml:space="preserve">e </w:t>
      </w:r>
      <w:r w:rsidRPr="00901DF7" w:rsidR="00900ABC">
        <w:rPr>
          <w:szCs w:val="26"/>
        </w:rPr>
        <w:t>concluded</w:t>
      </w:r>
      <w:r w:rsidRPr="00901DF7" w:rsidR="003B635B">
        <w:rPr>
          <w:szCs w:val="26"/>
        </w:rPr>
        <w:t xml:space="preserve"> </w:t>
      </w:r>
      <w:r w:rsidRPr="00901DF7" w:rsidR="0011286B">
        <w:rPr>
          <w:szCs w:val="26"/>
        </w:rPr>
        <w:t>the Legislature acted rationally by singling out special circumstance murder as a particularly culpable offense</w:t>
      </w:r>
      <w:r w:rsidRPr="00901DF7" w:rsidR="003B635B">
        <w:rPr>
          <w:szCs w:val="26"/>
        </w:rPr>
        <w:t xml:space="preserve"> and making those convicted of that crime </w:t>
      </w:r>
      <w:r w:rsidRPr="00901DF7" w:rsidR="009B51A0">
        <w:rPr>
          <w:szCs w:val="26"/>
        </w:rPr>
        <w:t>ineligible for early release.  (</w:t>
      </w:r>
      <w:r w:rsidR="004F5D0F">
        <w:rPr>
          <w:i/>
          <w:iCs/>
          <w:szCs w:val="26"/>
        </w:rPr>
        <w:t>Hardin,</w:t>
      </w:r>
      <w:r w:rsidRPr="00901DF7" w:rsidR="009B51A0">
        <w:rPr>
          <w:szCs w:val="26"/>
        </w:rPr>
        <w:t xml:space="preserve"> at p.</w:t>
      </w:r>
      <w:r w:rsidRPr="00901DF7" w:rsidR="00B956D2">
        <w:rPr>
          <w:szCs w:val="26"/>
        </w:rPr>
        <w:t xml:space="preserve"> 862</w:t>
      </w:r>
      <w:r w:rsidRPr="00901DF7" w:rsidR="009B51A0">
        <w:rPr>
          <w:szCs w:val="26"/>
        </w:rPr>
        <w:t xml:space="preserve">.) </w:t>
      </w:r>
      <w:r w:rsidRPr="00901DF7" w:rsidR="00931175">
        <w:rPr>
          <w:szCs w:val="26"/>
        </w:rPr>
        <w:t xml:space="preserve"> </w:t>
      </w:r>
      <w:r w:rsidRPr="00901DF7" w:rsidR="00BD6BBF">
        <w:rPr>
          <w:szCs w:val="26"/>
        </w:rPr>
        <w:t>C</w:t>
      </w:r>
      <w:r w:rsidRPr="00901DF7" w:rsidR="00900ABC">
        <w:rPr>
          <w:szCs w:val="26"/>
        </w:rPr>
        <w:t xml:space="preserve">onsistent with </w:t>
      </w:r>
      <w:r w:rsidRPr="00901DF7" w:rsidR="00900ABC">
        <w:rPr>
          <w:i/>
          <w:iCs/>
          <w:szCs w:val="26"/>
        </w:rPr>
        <w:t>Hardin</w:t>
      </w:r>
      <w:r w:rsidRPr="00901DF7" w:rsidR="00900ABC">
        <w:rPr>
          <w:szCs w:val="26"/>
        </w:rPr>
        <w:t xml:space="preserve">, we apply the </w:t>
      </w:r>
      <w:r w:rsidRPr="00901DF7" w:rsidR="00FC3DF9">
        <w:rPr>
          <w:szCs w:val="26"/>
        </w:rPr>
        <w:t>d</w:t>
      </w:r>
      <w:r w:rsidRPr="00901DF7" w:rsidR="00900ABC">
        <w:rPr>
          <w:szCs w:val="26"/>
        </w:rPr>
        <w:t>eferential rational basis test</w:t>
      </w:r>
      <w:r w:rsidRPr="00901DF7" w:rsidR="008019B2">
        <w:rPr>
          <w:szCs w:val="26"/>
        </w:rPr>
        <w:t xml:space="preserve"> in resolving defendant’s equal protection claim</w:t>
      </w:r>
      <w:r w:rsidRPr="00901DF7" w:rsidR="00900ABC">
        <w:rPr>
          <w:szCs w:val="26"/>
        </w:rPr>
        <w:t xml:space="preserve">.  (See </w:t>
      </w:r>
      <w:r w:rsidRPr="00901DF7" w:rsidR="00EF382F">
        <w:rPr>
          <w:i/>
          <w:iCs/>
          <w:szCs w:val="26"/>
        </w:rPr>
        <w:t>id.</w:t>
      </w:r>
      <w:r w:rsidRPr="00901DF7" w:rsidR="00EF382F">
        <w:rPr>
          <w:szCs w:val="26"/>
        </w:rPr>
        <w:t xml:space="preserve"> a</w:t>
      </w:r>
      <w:r w:rsidRPr="00901DF7" w:rsidR="00900ABC">
        <w:rPr>
          <w:szCs w:val="26"/>
        </w:rPr>
        <w:t xml:space="preserve">t p. </w:t>
      </w:r>
      <w:r w:rsidRPr="00901DF7" w:rsidR="00B956D2">
        <w:rPr>
          <w:szCs w:val="26"/>
        </w:rPr>
        <w:t>847</w:t>
      </w:r>
      <w:r w:rsidRPr="00901DF7" w:rsidR="00900ABC">
        <w:rPr>
          <w:szCs w:val="26"/>
        </w:rPr>
        <w:t>.)</w:t>
      </w:r>
    </w:p>
    <w:p w:rsidR="0022470C" w:rsidRPr="00901DF7" w:rsidP="00901DF7" w14:paraId="3A76D4F1" w14:textId="4E83DEAC">
      <w:pPr>
        <w:tabs>
          <w:tab w:val="left" w:pos="720"/>
          <w:tab w:val="left" w:pos="1440"/>
        </w:tabs>
      </w:pPr>
      <w:r w:rsidRPr="00901DF7">
        <w:rPr>
          <w:szCs w:val="26"/>
        </w:rPr>
        <w:tab/>
      </w:r>
      <w:r w:rsidRPr="00901DF7" w:rsidR="003B635B">
        <w:rPr>
          <w:szCs w:val="26"/>
        </w:rPr>
        <w:t xml:space="preserve">Traditionally, </w:t>
      </w:r>
      <w:r w:rsidRPr="00901DF7" w:rsidR="003F2988">
        <w:rPr>
          <w:szCs w:val="26"/>
        </w:rPr>
        <w:t xml:space="preserve">the </w:t>
      </w:r>
      <w:r w:rsidRPr="00901DF7" w:rsidR="009D4F12">
        <w:rPr>
          <w:szCs w:val="26"/>
        </w:rPr>
        <w:t>rational</w:t>
      </w:r>
      <w:r w:rsidRPr="00901DF7" w:rsidR="00E73469">
        <w:rPr>
          <w:szCs w:val="26"/>
        </w:rPr>
        <w:t xml:space="preserve"> basis</w:t>
      </w:r>
      <w:r w:rsidRPr="00901DF7" w:rsidR="009D4F12">
        <w:rPr>
          <w:szCs w:val="26"/>
        </w:rPr>
        <w:t xml:space="preserve"> test</w:t>
      </w:r>
      <w:r w:rsidRPr="00901DF7" w:rsidR="003F2988">
        <w:rPr>
          <w:szCs w:val="26"/>
        </w:rPr>
        <w:t xml:space="preserve"> </w:t>
      </w:r>
      <w:r w:rsidRPr="00901DF7" w:rsidR="003B635B">
        <w:rPr>
          <w:szCs w:val="26"/>
        </w:rPr>
        <w:t xml:space="preserve">has been described as a </w:t>
      </w:r>
      <w:r w:rsidRPr="00901DF7" w:rsidR="00B94CC1">
        <w:rPr>
          <w:szCs w:val="26"/>
        </w:rPr>
        <w:t>two-part inquiry</w:t>
      </w:r>
      <w:r w:rsidRPr="00901DF7" w:rsidR="003B635B">
        <w:rPr>
          <w:szCs w:val="26"/>
        </w:rPr>
        <w:t>, w</w:t>
      </w:r>
      <w:r w:rsidRPr="00901DF7" w:rsidR="003F2988">
        <w:rPr>
          <w:szCs w:val="26"/>
        </w:rPr>
        <w:t>ith</w:t>
      </w:r>
      <w:r w:rsidRPr="00901DF7" w:rsidR="003B635B">
        <w:rPr>
          <w:szCs w:val="26"/>
        </w:rPr>
        <w:t xml:space="preserve"> courts </w:t>
      </w:r>
      <w:r w:rsidRPr="00901DF7" w:rsidR="003B635B">
        <w:t>“</w:t>
      </w:r>
      <w:r w:rsidRPr="00901DF7" w:rsidR="00B94CC1">
        <w:t>first ask</w:t>
      </w:r>
      <w:r w:rsidRPr="00901DF7" w:rsidR="003B635B">
        <w:t>[ing]</w:t>
      </w:r>
      <w:r w:rsidRPr="00901DF7" w:rsidR="00B94CC1">
        <w:t xml:space="preserve"> whether the state adopted a classification affecting two or more groups that are similarly situated in an unequal manner</w:t>
      </w:r>
      <w:r w:rsidRPr="00901DF7" w:rsidR="000E16DD">
        <w:t>,”</w:t>
      </w:r>
      <w:r w:rsidRPr="00901DF7" w:rsidR="00B94CC1">
        <w:t xml:space="preserve"> </w:t>
      </w:r>
      <w:r w:rsidRPr="00901DF7" w:rsidR="003F2988">
        <w:t>a</w:t>
      </w:r>
      <w:r w:rsidRPr="00901DF7" w:rsidR="000E16DD">
        <w:t>nd then</w:t>
      </w:r>
      <w:r w:rsidRPr="00901DF7" w:rsidR="00B94CC1">
        <w:t xml:space="preserve"> </w:t>
      </w:r>
      <w:r w:rsidRPr="00901DF7" w:rsidR="000E16DD">
        <w:t>“</w:t>
      </w:r>
      <w:r w:rsidR="00871E69">
        <w:t> ‘</w:t>
      </w:r>
      <w:r w:rsidRPr="00901DF7" w:rsidR="00B94CC1">
        <w:t>consider</w:t>
      </w:r>
      <w:r w:rsidRPr="00901DF7" w:rsidR="000E16DD">
        <w:t>[ing]</w:t>
      </w:r>
      <w:r w:rsidRPr="00901DF7" w:rsidR="00B94CC1">
        <w:t xml:space="preserve"> whether the challenged classification</w:t>
      </w:r>
      <w:r w:rsidR="004F5D0F">
        <w:t>’</w:t>
      </w:r>
      <w:r w:rsidRPr="00901DF7" w:rsidR="00B94CC1">
        <w:t xml:space="preserve"> is adequately justified</w:t>
      </w:r>
      <w:r w:rsidRPr="00901DF7" w:rsidR="000E16DD">
        <w:t>,</w:t>
      </w:r>
      <w:r w:rsidR="004F5D0F">
        <w:t>”</w:t>
      </w:r>
      <w:r w:rsidRPr="00901DF7" w:rsidR="000E16DD">
        <w:t xml:space="preserve"> i.e.</w:t>
      </w:r>
      <w:r w:rsidRPr="00901DF7" w:rsidR="00C63795">
        <w:t>,</w:t>
      </w:r>
      <w:r w:rsidRPr="00901DF7" w:rsidR="000E16DD">
        <w:t xml:space="preserve"> </w:t>
      </w:r>
      <w:bookmarkStart w:id="5" w:name="_Hlk147598579"/>
      <w:r w:rsidRPr="00901DF7" w:rsidR="000E16DD">
        <w:t>whether it “</w:t>
      </w:r>
      <w:r w:rsidR="004F5D0F">
        <w:t> </w:t>
      </w:r>
      <w:r w:rsidRPr="00901DF7" w:rsidR="0035429F">
        <w:t>‘</w:t>
      </w:r>
      <w:r w:rsidRPr="00901DF7" w:rsidR="00B94CC1">
        <w:t>bears a rational relationship to a</w:t>
      </w:r>
      <w:r w:rsidRPr="00901DF7" w:rsidR="00C63795">
        <w:t xml:space="preserve"> </w:t>
      </w:r>
      <w:r w:rsidRPr="00901DF7" w:rsidR="00B94CC1">
        <w:t>legitimate state purpose.</w:t>
      </w:r>
      <w:r w:rsidRPr="00901DF7" w:rsidR="0035429F">
        <w:t>’</w:t>
      </w:r>
      <w:r w:rsidR="004F5D0F">
        <w:t> </w:t>
      </w:r>
      <w:r w:rsidRPr="00901DF7" w:rsidR="00B94CC1">
        <w:t xml:space="preserve">”  </w:t>
      </w:r>
      <w:bookmarkEnd w:id="5"/>
      <w:r w:rsidRPr="00901DF7" w:rsidR="00B00987">
        <w:t>(</w:t>
      </w:r>
      <w:r w:rsidRPr="00901DF7" w:rsidR="00B00987">
        <w:rPr>
          <w:i/>
          <w:iCs/>
          <w:szCs w:val="26"/>
        </w:rPr>
        <w:t>Hardin</w:t>
      </w:r>
      <w:r w:rsidRPr="00901DF7" w:rsidR="00B00987">
        <w:rPr>
          <w:szCs w:val="26"/>
        </w:rPr>
        <w:t xml:space="preserve">, </w:t>
      </w:r>
      <w:r w:rsidRPr="00901DF7" w:rsidR="00B00987">
        <w:rPr>
          <w:i/>
          <w:iCs/>
          <w:szCs w:val="26"/>
        </w:rPr>
        <w:t>supra</w:t>
      </w:r>
      <w:r w:rsidRPr="00901DF7" w:rsidR="00B00987">
        <w:rPr>
          <w:szCs w:val="26"/>
        </w:rPr>
        <w:t xml:space="preserve">, </w:t>
      </w:r>
      <w:r w:rsidRPr="00901DF7" w:rsidR="00EC4E90">
        <w:rPr>
          <w:szCs w:val="26"/>
        </w:rPr>
        <w:t>15</w:t>
      </w:r>
      <w:r w:rsidRPr="00901DF7" w:rsidR="00B00987">
        <w:rPr>
          <w:szCs w:val="26"/>
        </w:rPr>
        <w:t xml:space="preserve"> Cal.5th at p.</w:t>
      </w:r>
      <w:r w:rsidRPr="00901DF7" w:rsidR="00EC4E90">
        <w:rPr>
          <w:szCs w:val="26"/>
        </w:rPr>
        <w:t xml:space="preserve"> 848</w:t>
      </w:r>
      <w:r w:rsidRPr="00901DF7" w:rsidR="00B00987">
        <w:rPr>
          <w:szCs w:val="26"/>
        </w:rPr>
        <w:t>.)</w:t>
      </w:r>
      <w:r w:rsidRPr="00901DF7" w:rsidR="0096348E">
        <w:rPr>
          <w:szCs w:val="26"/>
        </w:rPr>
        <w:t xml:space="preserve">  </w:t>
      </w:r>
      <w:r w:rsidRPr="00901DF7" w:rsidR="000E16DD">
        <w:t>However</w:t>
      </w:r>
      <w:r w:rsidRPr="00901DF7" w:rsidR="00ED6E25">
        <w:t xml:space="preserve">, </w:t>
      </w:r>
      <w:r w:rsidRPr="00901DF7" w:rsidR="00796A9D">
        <w:t xml:space="preserve">in </w:t>
      </w:r>
      <w:r w:rsidRPr="00901DF7" w:rsidR="00796A9D">
        <w:rPr>
          <w:i/>
          <w:iCs/>
        </w:rPr>
        <w:t>Hardin</w:t>
      </w:r>
      <w:r w:rsidRPr="00901DF7" w:rsidR="00796A9D">
        <w:t xml:space="preserve"> </w:t>
      </w:r>
      <w:r w:rsidRPr="00901DF7" w:rsidR="00047052">
        <w:t>we held that “when plaintiffs challenge laws drawing distinctions between identifiable groups or classes of persons, on the basis that the distinctions drawn are inconsistent with equal protection, courts no longer need to ask at the threshold whether the two groups are similarly situated for purposes of the law in question.”</w:t>
      </w:r>
      <w:r w:rsidRPr="00901DF7" w:rsidR="007F0772">
        <w:t xml:space="preserve"> </w:t>
      </w:r>
      <w:r w:rsidRPr="00901DF7" w:rsidR="00392B04">
        <w:t xml:space="preserve"> </w:t>
      </w:r>
      <w:r w:rsidRPr="00901DF7" w:rsidR="00FA2C6D">
        <w:t>(</w:t>
      </w:r>
      <w:r w:rsidRPr="00901DF7" w:rsidR="00843066">
        <w:rPr>
          <w:i/>
          <w:iCs/>
        </w:rPr>
        <w:t>Id.</w:t>
      </w:r>
      <w:r w:rsidRPr="00901DF7" w:rsidR="00796A9D">
        <w:t xml:space="preserve"> at p.</w:t>
      </w:r>
      <w:r w:rsidRPr="00901DF7" w:rsidR="00B956D2">
        <w:t xml:space="preserve"> </w:t>
      </w:r>
      <w:r w:rsidRPr="00901DF7" w:rsidR="00EC4E90">
        <w:t>850</w:t>
      </w:r>
      <w:r w:rsidRPr="00901DF7" w:rsidR="00FA2C6D">
        <w:t xml:space="preserve">.)  </w:t>
      </w:r>
      <w:r w:rsidRPr="00901DF7" w:rsidR="000E16DD">
        <w:t>That holding applies in this case, where</w:t>
      </w:r>
      <w:r w:rsidRPr="00901DF7" w:rsidR="0033706B">
        <w:t xml:space="preserve"> </w:t>
      </w:r>
      <w:r w:rsidRPr="00901DF7" w:rsidR="0067561B">
        <w:t>the issue presented is whether section 3051(h) violates equal protection “by excluding young adults convicted and sentenced for serious sex crimes under the One Strike law (</w:t>
      </w:r>
      <w:r w:rsidR="007B112D">
        <w:t>§ </w:t>
      </w:r>
      <w:r w:rsidRPr="00901DF7" w:rsidR="0067561B">
        <w:t>667.61) from youth offender parole consideration, while young adults convicted of first degree murder are entitled to such consideration</w:t>
      </w:r>
      <w:r w:rsidRPr="00901DF7" w:rsidR="005756A7">
        <w:t>.</w:t>
      </w:r>
      <w:r w:rsidRPr="00901DF7" w:rsidR="0067561B">
        <w:t xml:space="preserve">”  </w:t>
      </w:r>
      <w:r w:rsidRPr="00901DF7" w:rsidR="00A93CE2">
        <w:t>W</w:t>
      </w:r>
      <w:r w:rsidRPr="00901DF7" w:rsidR="005E11E8">
        <w:t xml:space="preserve">e </w:t>
      </w:r>
      <w:r w:rsidRPr="00901DF7" w:rsidR="000E16DD">
        <w:t xml:space="preserve">thus </w:t>
      </w:r>
      <w:r w:rsidRPr="00901DF7" w:rsidR="005E11E8">
        <w:t xml:space="preserve">proceed </w:t>
      </w:r>
      <w:r w:rsidRPr="00901DF7" w:rsidR="000E16DD">
        <w:t xml:space="preserve">directly to the question </w:t>
      </w:r>
      <w:r w:rsidRPr="00901DF7" w:rsidR="006A442A">
        <w:t>whether th</w:t>
      </w:r>
      <w:r w:rsidRPr="00901DF7" w:rsidR="005E11E8">
        <w:t>e unequal treatment bears</w:t>
      </w:r>
      <w:r w:rsidRPr="00901DF7" w:rsidR="006A442A">
        <w:t xml:space="preserve"> a rational relationship to a legitimate state purpose.</w:t>
      </w:r>
    </w:p>
    <w:p w:rsidR="00D939EB" w:rsidRPr="00901DF7" w:rsidP="00901DF7" w14:paraId="43689BFE" w14:textId="32A3BF59">
      <w:pPr>
        <w:tabs>
          <w:tab w:val="left" w:pos="720"/>
          <w:tab w:val="left" w:pos="1440"/>
        </w:tabs>
      </w:pPr>
      <w:r>
        <w:rPr>
          <w:szCs w:val="26"/>
        </w:rPr>
        <w:tab/>
      </w:r>
      <w:r w:rsidRPr="00901DF7" w:rsidR="00506F19">
        <w:rPr>
          <w:szCs w:val="26"/>
        </w:rPr>
        <w:t xml:space="preserve">As in </w:t>
      </w:r>
      <w:r w:rsidRPr="00901DF7" w:rsidR="00D756A1">
        <w:rPr>
          <w:i/>
          <w:iCs/>
          <w:szCs w:val="26"/>
        </w:rPr>
        <w:t>Hardin</w:t>
      </w:r>
      <w:r w:rsidRPr="00901DF7" w:rsidR="00D756A1">
        <w:rPr>
          <w:szCs w:val="26"/>
        </w:rPr>
        <w:t xml:space="preserve">, the </w:t>
      </w:r>
      <w:r w:rsidRPr="00901DF7" w:rsidR="000E16DD">
        <w:rPr>
          <w:szCs w:val="26"/>
        </w:rPr>
        <w:t xml:space="preserve">following principles guide </w:t>
      </w:r>
      <w:r w:rsidRPr="00901DF7" w:rsidR="005756A7">
        <w:rPr>
          <w:szCs w:val="26"/>
        </w:rPr>
        <w:t xml:space="preserve">our analysis of </w:t>
      </w:r>
      <w:r w:rsidRPr="00901DF7" w:rsidR="000E16DD">
        <w:rPr>
          <w:szCs w:val="26"/>
        </w:rPr>
        <w:t xml:space="preserve">that question:  </w:t>
      </w:r>
      <w:r w:rsidRPr="00901DF7" w:rsidR="009D4F12">
        <w:rPr>
          <w:szCs w:val="26"/>
        </w:rPr>
        <w:t>“</w:t>
      </w:r>
      <w:r w:rsidRPr="00901DF7" w:rsidR="00381819">
        <w:t>[W]</w:t>
      </w:r>
      <w:r w:rsidRPr="00901DF7" w:rsidR="00000B0B">
        <w:t xml:space="preserve">e presume that a given statutory classification is valid ‘until the challenger shows that no rational basis for the unequal treatment is reasonably conceivable.’ </w:t>
      </w:r>
      <w:r w:rsidRPr="00901DF7" w:rsidR="005613F0">
        <w:t xml:space="preserve"> </w:t>
      </w:r>
      <w:r w:rsidRPr="00901DF7" w:rsidR="00BE4268">
        <w:t>[Citation.]</w:t>
      </w:r>
      <w:r w:rsidRPr="00901DF7" w:rsidR="00FF6579">
        <w:t xml:space="preserve">  </w:t>
      </w:r>
      <w:r w:rsidRPr="00901DF7" w:rsidR="00000B0B">
        <w:t xml:space="preserve">The underlying rationale for a statutory classification need not have been ‘ever actually articulated’ by lawmakers, nor ‘be empirically substantiated.’  </w:t>
      </w:r>
      <w:r w:rsidRPr="00901DF7" w:rsidR="00BE4268">
        <w:t>[Citation.]</w:t>
      </w:r>
      <w:r w:rsidRPr="00901DF7" w:rsidR="00000B0B">
        <w:t xml:space="preserve">  Evaluating potential justifications for disparate treatment, a court reviewing a statute under this standard must ‘treat the statute’s potential logic and assumptions far more permissively than with other standards of constitutional or regulatory review.’  </w:t>
      </w:r>
      <w:r w:rsidRPr="00901DF7" w:rsidR="00BE4268">
        <w:t>[Citation.]</w:t>
      </w:r>
      <w:r w:rsidRPr="00901DF7" w:rsidR="00FF6579">
        <w:t xml:space="preserve"> </w:t>
      </w:r>
      <w:r w:rsidRPr="00901DF7" w:rsidR="00000B0B">
        <w:t xml:space="preserve"> </w:t>
      </w:r>
      <w:r w:rsidRPr="00901DF7" w:rsidR="0044061A">
        <w:t>‘If a plausible basis exists for the disparity, courts may not second-guess its “</w:t>
      </w:r>
      <w:r w:rsidR="005548BB">
        <w:t> </w:t>
      </w:r>
      <w:r w:rsidRPr="00901DF7" w:rsidR="0044061A">
        <w:t>‘wisdom, fairness, or logic.’</w:t>
      </w:r>
      <w:r w:rsidR="005548BB">
        <w:t> </w:t>
      </w:r>
      <w:r w:rsidRPr="00901DF7" w:rsidR="0044061A">
        <w:t xml:space="preserve">”  </w:t>
      </w:r>
      <w:r w:rsidRPr="00901DF7" w:rsidR="00BE4268">
        <w:t>[Citation.]</w:t>
      </w:r>
      <w:r w:rsidRPr="00901DF7" w:rsidR="0044061A">
        <w:t xml:space="preserve"> </w:t>
      </w:r>
      <w:r w:rsidRPr="00901DF7" w:rsidR="00FF6579">
        <w:t xml:space="preserve"> </w:t>
      </w:r>
      <w:r w:rsidRPr="00901DF7" w:rsidR="0044061A">
        <w:t>‘[T]he logic behind a potential justification need [not] be persuasive or sensible — rather than simply rational.’</w:t>
      </w:r>
      <w:r w:rsidR="005548BB">
        <w:t> </w:t>
      </w:r>
      <w:r w:rsidRPr="00901DF7" w:rsidR="0044061A">
        <w:t>”  (</w:t>
      </w:r>
      <w:r w:rsidRPr="00901DF7" w:rsidR="0044061A">
        <w:rPr>
          <w:i/>
          <w:iCs/>
        </w:rPr>
        <w:t>Hardin</w:t>
      </w:r>
      <w:r w:rsidRPr="00901DF7" w:rsidR="0044061A">
        <w:t>,</w:t>
      </w:r>
      <w:r w:rsidRPr="00901DF7" w:rsidR="0044061A">
        <w:rPr>
          <w:i/>
          <w:iCs/>
        </w:rPr>
        <w:t xml:space="preserve"> supra</w:t>
      </w:r>
      <w:r w:rsidRPr="00901DF7" w:rsidR="0044061A">
        <w:t xml:space="preserve">, </w:t>
      </w:r>
      <w:r w:rsidRPr="00901DF7">
        <w:t>15</w:t>
      </w:r>
      <w:r w:rsidRPr="00901DF7" w:rsidR="00796A9D">
        <w:t xml:space="preserve"> Cal.5th at p.</w:t>
      </w:r>
      <w:r w:rsidRPr="00901DF7">
        <w:t xml:space="preserve"> 852</w:t>
      </w:r>
      <w:r w:rsidRPr="00901DF7" w:rsidR="00796A9D">
        <w:t>.</w:t>
      </w:r>
      <w:r w:rsidRPr="00901DF7" w:rsidR="0044061A">
        <w:t xml:space="preserve">) </w:t>
      </w:r>
      <w:r w:rsidRPr="00901DF7">
        <w:t xml:space="preserve"> </w:t>
      </w:r>
      <w:r w:rsidRPr="00901DF7">
        <w:rPr>
          <w:szCs w:val="26"/>
        </w:rPr>
        <w:t>“</w:t>
      </w:r>
      <w:r w:rsidRPr="00901DF7">
        <w:rPr>
          <w:color w:val="000000"/>
          <w:szCs w:val="26"/>
        </w:rPr>
        <w:t>[T]his high bar helps ensure that democratically enacted laws are not invalidated merely based on a court’s cursory conclusion that a statute’s tradeoffs seem unwise or unfair.”  (</w:t>
      </w:r>
      <w:r w:rsidRPr="00901DF7">
        <w:rPr>
          <w:i/>
          <w:iCs/>
          <w:color w:val="000000"/>
          <w:szCs w:val="26"/>
        </w:rPr>
        <w:t>Chatman</w:t>
      </w:r>
      <w:r w:rsidRPr="00901DF7">
        <w:rPr>
          <w:color w:val="000000"/>
          <w:szCs w:val="26"/>
        </w:rPr>
        <w:t xml:space="preserve">, </w:t>
      </w:r>
      <w:r w:rsidRPr="00901DF7">
        <w:rPr>
          <w:i/>
          <w:iCs/>
          <w:color w:val="000000"/>
          <w:szCs w:val="26"/>
        </w:rPr>
        <w:t>supra</w:t>
      </w:r>
      <w:r w:rsidRPr="00901DF7">
        <w:rPr>
          <w:color w:val="000000"/>
          <w:szCs w:val="26"/>
        </w:rPr>
        <w:t>,</w:t>
      </w:r>
      <w:r w:rsidRPr="00A779D0" w:rsidR="00A779D0">
        <w:rPr>
          <w:color w:val="000000"/>
          <w:szCs w:val="26"/>
        </w:rPr>
        <w:t xml:space="preserve"> </w:t>
      </w:r>
      <w:r w:rsidRPr="00901DF7">
        <w:rPr>
          <w:color w:val="000000"/>
          <w:szCs w:val="26"/>
        </w:rPr>
        <w:t xml:space="preserve">4 Cal.5th at p. 289.) </w:t>
      </w:r>
    </w:p>
    <w:p w:rsidR="00EF4FB4" w:rsidRPr="00901DF7" w:rsidP="00901DF7" w14:paraId="664A603C" w14:textId="40909D6D">
      <w:pPr>
        <w:tabs>
          <w:tab w:val="left" w:pos="720"/>
          <w:tab w:val="left" w:pos="1440"/>
        </w:tabs>
        <w:rPr>
          <w:color w:val="000000"/>
          <w:szCs w:val="26"/>
        </w:rPr>
      </w:pPr>
      <w:r w:rsidRPr="00901DF7">
        <w:tab/>
      </w:r>
      <w:r w:rsidRPr="00901DF7" w:rsidR="00FB3513">
        <w:rPr>
          <w:szCs w:val="26"/>
        </w:rPr>
        <w:t xml:space="preserve">This deferential standard </w:t>
      </w:r>
      <w:r w:rsidRPr="00901DF7" w:rsidR="00D939EB">
        <w:rPr>
          <w:szCs w:val="26"/>
        </w:rPr>
        <w:t xml:space="preserve">also </w:t>
      </w:r>
      <w:r w:rsidRPr="00901DF7" w:rsidR="009F56B1">
        <w:rPr>
          <w:szCs w:val="26"/>
        </w:rPr>
        <w:t xml:space="preserve">reflects </w:t>
      </w:r>
      <w:r w:rsidRPr="00901DF7" w:rsidR="00FB3513">
        <w:rPr>
          <w:szCs w:val="26"/>
        </w:rPr>
        <w:t xml:space="preserve">the </w:t>
      </w:r>
      <w:r w:rsidRPr="00901DF7" w:rsidR="00974BBA">
        <w:rPr>
          <w:szCs w:val="26"/>
        </w:rPr>
        <w:t>Legislature</w:t>
      </w:r>
      <w:r w:rsidRPr="00901DF7" w:rsidR="00FB3513">
        <w:rPr>
          <w:szCs w:val="26"/>
        </w:rPr>
        <w:t xml:space="preserve">’s </w:t>
      </w:r>
      <w:r w:rsidRPr="00901DF7" w:rsidR="00CD1AE7">
        <w:rPr>
          <w:szCs w:val="26"/>
        </w:rPr>
        <w:t>“</w:t>
      </w:r>
      <w:r w:rsidRPr="00901DF7" w:rsidR="00974BBA">
        <w:rPr>
          <w:szCs w:val="26"/>
        </w:rPr>
        <w:t xml:space="preserve">considerable latitude in defining and </w:t>
      </w:r>
      <w:r w:rsidRPr="00901DF7" w:rsidR="00CD1AE7">
        <w:rPr>
          <w:szCs w:val="26"/>
        </w:rPr>
        <w:t xml:space="preserve">setting </w:t>
      </w:r>
      <w:r w:rsidRPr="00901DF7" w:rsidR="00974BBA">
        <w:rPr>
          <w:szCs w:val="26"/>
        </w:rPr>
        <w:t>the consequences of criminal offenses.</w:t>
      </w:r>
      <w:r w:rsidRPr="00901DF7" w:rsidR="00CD1AE7">
        <w:rPr>
          <w:szCs w:val="26"/>
        </w:rPr>
        <w:t>”</w:t>
      </w:r>
      <w:r w:rsidRPr="00901DF7" w:rsidR="00974BBA">
        <w:rPr>
          <w:szCs w:val="26"/>
        </w:rPr>
        <w:t xml:space="preserve">  (</w:t>
      </w:r>
      <w:r w:rsidRPr="00901DF7" w:rsidR="00974BBA">
        <w:rPr>
          <w:i/>
          <w:iCs/>
          <w:szCs w:val="26"/>
        </w:rPr>
        <w:t>Johnson</w:t>
      </w:r>
      <w:r w:rsidRPr="00901DF7" w:rsidR="00974BBA">
        <w:rPr>
          <w:szCs w:val="26"/>
        </w:rPr>
        <w:t xml:space="preserve">, </w:t>
      </w:r>
      <w:r w:rsidRPr="00901DF7" w:rsidR="00974BBA">
        <w:rPr>
          <w:i/>
          <w:iCs/>
          <w:szCs w:val="26"/>
        </w:rPr>
        <w:t>supra</w:t>
      </w:r>
      <w:r w:rsidRPr="00901DF7" w:rsidR="00974BBA">
        <w:rPr>
          <w:szCs w:val="26"/>
        </w:rPr>
        <w:t xml:space="preserve">, 60 Cal.4th at p. 887.) </w:t>
      </w:r>
      <w:r w:rsidRPr="00901DF7" w:rsidR="006A442A">
        <w:rPr>
          <w:szCs w:val="26"/>
        </w:rPr>
        <w:t xml:space="preserve"> </w:t>
      </w:r>
      <w:r w:rsidRPr="00901DF7" w:rsidR="00974BBA">
        <w:rPr>
          <w:szCs w:val="26"/>
        </w:rPr>
        <w:t>To that end, “</w:t>
      </w:r>
      <w:r w:rsidR="005548BB">
        <w:rPr>
          <w:szCs w:val="26"/>
        </w:rPr>
        <w:t> </w:t>
      </w:r>
      <w:r w:rsidRPr="00901DF7" w:rsidR="00974BBA">
        <w:rPr>
          <w:szCs w:val="26"/>
        </w:rPr>
        <w:t>‘[w]hen conducting rational basis review, we must accept any gross generalizations and rough accommodations that the Legislature seems to have made.’  [Citation.]</w:t>
      </w:r>
      <w:r w:rsidRPr="00901DF7" w:rsidR="007D3960">
        <w:rPr>
          <w:szCs w:val="26"/>
        </w:rPr>
        <w:t xml:space="preserve"> </w:t>
      </w:r>
      <w:r w:rsidRPr="00901DF7" w:rsidR="00974BBA">
        <w:rPr>
          <w:szCs w:val="26"/>
        </w:rPr>
        <w:t xml:space="preserve"> ‘A classification is not arbitrary or irrational simply because there is an “</w:t>
      </w:r>
      <w:r w:rsidR="005548BB">
        <w:rPr>
          <w:szCs w:val="26"/>
        </w:rPr>
        <w:t> </w:t>
      </w:r>
      <w:r w:rsidR="0020534B">
        <w:rPr>
          <w:szCs w:val="26"/>
        </w:rPr>
        <w:t>‘</w:t>
      </w:r>
      <w:r w:rsidRPr="00901DF7" w:rsidR="00974BBA">
        <w:rPr>
          <w:szCs w:val="26"/>
        </w:rPr>
        <w:t>imperfect fit between means and ends</w:t>
      </w:r>
      <w:r w:rsidR="0020534B">
        <w:rPr>
          <w:szCs w:val="26"/>
        </w:rPr>
        <w:t>’</w:t>
      </w:r>
      <w:r w:rsidR="005548BB">
        <w:rPr>
          <w:szCs w:val="26"/>
        </w:rPr>
        <w:t> </w:t>
      </w:r>
      <w:r w:rsidR="0020534B">
        <w:rPr>
          <w:szCs w:val="26"/>
        </w:rPr>
        <w:t>”</w:t>
      </w:r>
      <w:r w:rsidRPr="00901DF7" w:rsidR="00974BBA">
        <w:rPr>
          <w:szCs w:val="26"/>
        </w:rPr>
        <w:t xml:space="preserve"> [citations], or ‘because it may be “to some extent both underinclusive and overinclusive.”</w:t>
      </w:r>
      <w:r w:rsidR="005548BB">
        <w:rPr>
          <w:szCs w:val="26"/>
        </w:rPr>
        <w:t> </w:t>
      </w:r>
      <w:r w:rsidRPr="00901DF7" w:rsidR="00974BBA">
        <w:rPr>
          <w:szCs w:val="26"/>
        </w:rPr>
        <w:t>’</w:t>
      </w:r>
      <w:r w:rsidR="005548BB">
        <w:rPr>
          <w:szCs w:val="26"/>
        </w:rPr>
        <w:t> </w:t>
      </w:r>
      <w:r w:rsidRPr="00901DF7" w:rsidR="00974BBA">
        <w:rPr>
          <w:szCs w:val="26"/>
        </w:rPr>
        <w:t xml:space="preserve">” </w:t>
      </w:r>
      <w:r w:rsidRPr="00901DF7" w:rsidR="001107F3">
        <w:rPr>
          <w:szCs w:val="26"/>
        </w:rPr>
        <w:t xml:space="preserve"> (</w:t>
      </w:r>
      <w:r w:rsidRPr="00901DF7" w:rsidR="001107F3">
        <w:rPr>
          <w:i/>
          <w:iCs/>
          <w:szCs w:val="26"/>
        </w:rPr>
        <w:t>Ibid</w:t>
      </w:r>
      <w:r w:rsidRPr="00901DF7" w:rsidR="001107F3">
        <w:rPr>
          <w:szCs w:val="26"/>
        </w:rPr>
        <w:t>.)</w:t>
      </w:r>
      <w:r w:rsidR="00E418EB">
        <w:rPr>
          <w:color w:val="000000"/>
          <w:szCs w:val="24"/>
        </w:rPr>
        <w:t xml:space="preserve">  </w:t>
      </w:r>
      <w:r w:rsidRPr="00901DF7" w:rsidR="00BE4268">
        <w:rPr>
          <w:szCs w:val="26"/>
        </w:rPr>
        <w:t>“Nothing compels the state ‘to choose between attacking every aspect of a problem or not attacking the problem at all’</w:t>
      </w:r>
      <w:r w:rsidR="005548BB">
        <w:rPr>
          <w:szCs w:val="26"/>
        </w:rPr>
        <w:t> </w:t>
      </w:r>
      <w:r w:rsidRPr="00901DF7" w:rsidR="00BE4268">
        <w:rPr>
          <w:szCs w:val="26"/>
        </w:rPr>
        <w:t>”</w:t>
      </w:r>
      <w:r w:rsidRPr="00901DF7" w:rsidR="00BE4268">
        <w:rPr>
          <w:color w:val="000000"/>
          <w:szCs w:val="26"/>
        </w:rPr>
        <w:t xml:space="preserve"> [Citation.]  </w:t>
      </w:r>
      <w:r w:rsidRPr="00901DF7" w:rsidR="00227845">
        <w:rPr>
          <w:szCs w:val="26"/>
        </w:rPr>
        <w:t xml:space="preserve">Far from having to ‘solve all related ills at once’ [citation], the Legislature has ‘broad discretion’ to proceed in an incremental and uneven manner without necessarily </w:t>
      </w:r>
      <w:r w:rsidRPr="00901DF7" w:rsidR="00AC3274">
        <w:rPr>
          <w:szCs w:val="26"/>
        </w:rPr>
        <w:t>engaging in arbitrary and unlawful discrimination.”  (</w:t>
      </w:r>
      <w:r w:rsidRPr="00901DF7" w:rsidR="00AC3274">
        <w:rPr>
          <w:i/>
          <w:iCs/>
          <w:szCs w:val="26"/>
        </w:rPr>
        <w:t xml:space="preserve">People v. Barrett </w:t>
      </w:r>
      <w:r w:rsidRPr="00901DF7" w:rsidR="00AC3274">
        <w:rPr>
          <w:szCs w:val="26"/>
        </w:rPr>
        <w:t>(2012) 54 Cal.4th 1081, 1110</w:t>
      </w:r>
      <w:r w:rsidRPr="00901DF7" w:rsidR="00751BCB">
        <w:rPr>
          <w:szCs w:val="26"/>
        </w:rPr>
        <w:t xml:space="preserve"> </w:t>
      </w:r>
      <w:r w:rsidRPr="00901DF7" w:rsidR="004975EC">
        <w:rPr>
          <w:szCs w:val="26"/>
        </w:rPr>
        <w:t>(</w:t>
      </w:r>
      <w:r w:rsidRPr="00901DF7" w:rsidR="004975EC">
        <w:rPr>
          <w:i/>
          <w:iCs/>
          <w:szCs w:val="26"/>
        </w:rPr>
        <w:t>Barrett</w:t>
      </w:r>
      <w:r w:rsidRPr="00901DF7" w:rsidR="004975EC">
        <w:rPr>
          <w:szCs w:val="26"/>
        </w:rPr>
        <w:t>)</w:t>
      </w:r>
      <w:r w:rsidRPr="00901DF7" w:rsidR="000C22CF">
        <w:rPr>
          <w:color w:val="000000"/>
          <w:szCs w:val="26"/>
        </w:rPr>
        <w:t xml:space="preserve">.) </w:t>
      </w:r>
    </w:p>
    <w:p w:rsidR="00227845" w:rsidRPr="00901DF7" w:rsidP="00901DF7" w14:paraId="68EA74FE" w14:textId="5035BE69">
      <w:pPr>
        <w:tabs>
          <w:tab w:val="left" w:pos="720"/>
          <w:tab w:val="left" w:pos="1440"/>
        </w:tabs>
      </w:pPr>
      <w:r w:rsidRPr="00901DF7">
        <w:rPr>
          <w:color w:val="000000"/>
          <w:szCs w:val="26"/>
        </w:rPr>
        <w:tab/>
      </w:r>
      <w:r w:rsidRPr="00901DF7">
        <w:t xml:space="preserve">However, </w:t>
      </w:r>
      <w:r w:rsidRPr="00901DF7" w:rsidR="00100759">
        <w:t xml:space="preserve">we have cautioned that </w:t>
      </w:r>
      <w:r w:rsidRPr="00901DF7">
        <w:t>“</w:t>
      </w:r>
      <w:r w:rsidR="00CA65EF">
        <w:t> ‘</w:t>
      </w:r>
      <w:r w:rsidRPr="00901DF7">
        <w:t>the realities of the subject matter cannot be completely ignored.</w:t>
      </w:r>
      <w:r w:rsidR="00CA65EF">
        <w:t>’ </w:t>
      </w:r>
      <w:r w:rsidRPr="00901DF7">
        <w:t>”  (</w:t>
      </w:r>
      <w:r w:rsidRPr="00901DF7">
        <w:rPr>
          <w:i/>
          <w:iCs/>
        </w:rPr>
        <w:t>Johnson</w:t>
      </w:r>
      <w:r w:rsidRPr="00901DF7">
        <w:t xml:space="preserve">, </w:t>
      </w:r>
      <w:r w:rsidRPr="00901DF7">
        <w:rPr>
          <w:i/>
          <w:iCs/>
        </w:rPr>
        <w:t>supra</w:t>
      </w:r>
      <w:r w:rsidRPr="00901DF7">
        <w:t xml:space="preserve">, 60 Cal.4th at p. 881; see </w:t>
      </w:r>
      <w:r w:rsidRPr="00901DF7" w:rsidR="00BE4268">
        <w:rPr>
          <w:i/>
          <w:iCs/>
        </w:rPr>
        <w:t>Heller v. Doe</w:t>
      </w:r>
      <w:r w:rsidRPr="00901DF7" w:rsidR="00BE4268">
        <w:t xml:space="preserve"> (1993) 509 U.S. 312, 321 (</w:t>
      </w:r>
      <w:r w:rsidRPr="00901DF7" w:rsidR="00BE4268">
        <w:rPr>
          <w:i/>
          <w:iCs/>
        </w:rPr>
        <w:t>Heller</w:t>
      </w:r>
      <w:r w:rsidRPr="00901DF7" w:rsidR="00BE4268">
        <w:t>)</w:t>
      </w:r>
      <w:r w:rsidRPr="00901DF7">
        <w:t xml:space="preserve"> [“standard of rationality</w:t>
      </w:r>
      <w:r w:rsidR="00795A03">
        <w:t> . . .</w:t>
      </w:r>
      <w:r w:rsidRPr="00901DF7">
        <w:t xml:space="preserve"> must find some footing in the realities of the subject addressed by the legislation”].) </w:t>
      </w:r>
      <w:r w:rsidRPr="00901DF7" w:rsidR="00667653">
        <w:t xml:space="preserve"> </w:t>
      </w:r>
      <w:r w:rsidRPr="00901DF7" w:rsidR="005756A7">
        <w:t>T</w:t>
      </w:r>
      <w:r w:rsidRPr="00901DF7" w:rsidR="00667653">
        <w:t xml:space="preserve">he statutory classification </w:t>
      </w:r>
      <w:r w:rsidRPr="00901DF7" w:rsidR="005756A7">
        <w:t xml:space="preserve">must </w:t>
      </w:r>
      <w:r w:rsidRPr="00901DF7" w:rsidR="00667653">
        <w:t>be rationally related to “</w:t>
      </w:r>
      <w:r w:rsidRPr="00901DF7" w:rsidR="008157C3">
        <w:t> </w:t>
      </w:r>
      <w:r w:rsidRPr="00901DF7" w:rsidR="00667653">
        <w:t>‘realistically conceivable legislative purpose[</w:t>
      </w:r>
      <w:r w:rsidRPr="00901DF7" w:rsidR="00B203EE">
        <w:t>s</w:t>
      </w:r>
      <w:r w:rsidRPr="00901DF7" w:rsidR="00667653">
        <w:t>],’</w:t>
      </w:r>
      <w:r w:rsidR="0074534C">
        <w:t> </w:t>
      </w:r>
      <w:r w:rsidRPr="00901DF7" w:rsidR="00667653">
        <w:t xml:space="preserve">” </w:t>
      </w:r>
      <w:r w:rsidRPr="00901DF7" w:rsidR="00E07D82">
        <w:t>and</w:t>
      </w:r>
      <w:r w:rsidRPr="00901DF7" w:rsidR="00B203EE">
        <w:t xml:space="preserve"> </w:t>
      </w:r>
      <w:r w:rsidRPr="00901DF7" w:rsidR="005756A7">
        <w:t xml:space="preserve">may </w:t>
      </w:r>
      <w:r w:rsidRPr="00901DF7" w:rsidR="00667653">
        <w:t xml:space="preserve">not </w:t>
      </w:r>
      <w:r w:rsidRPr="00901DF7" w:rsidR="006535C8">
        <w:t xml:space="preserve">be based on </w:t>
      </w:r>
      <w:r w:rsidRPr="00901DF7" w:rsidR="00667653">
        <w:t>“invented fictitious purpose</w:t>
      </w:r>
      <w:r w:rsidRPr="00901DF7" w:rsidR="00B203EE">
        <w:t>s</w:t>
      </w:r>
      <w:r w:rsidRPr="00901DF7" w:rsidR="00667653">
        <w:t xml:space="preserve"> that could not have been within the contemplation of the Legislature</w:t>
      </w:r>
      <w:r w:rsidRPr="00901DF7" w:rsidR="00B203EE">
        <w:t>.”  (</w:t>
      </w:r>
      <w:r w:rsidRPr="00901DF7" w:rsidR="00B203EE">
        <w:rPr>
          <w:i/>
          <w:iCs/>
        </w:rPr>
        <w:t xml:space="preserve">Fein v. Permanente Medical Group </w:t>
      </w:r>
      <w:r w:rsidRPr="00901DF7" w:rsidR="00B203EE">
        <w:t>(1985) 38 Cal.3d 137</w:t>
      </w:r>
      <w:r w:rsidRPr="00901DF7" w:rsidR="007E1600">
        <w:t>, 163 (</w:t>
      </w:r>
      <w:r w:rsidRPr="00901DF7" w:rsidR="007E1600">
        <w:rPr>
          <w:i/>
          <w:iCs/>
        </w:rPr>
        <w:t>Fein</w:t>
      </w:r>
      <w:r w:rsidRPr="00901DF7" w:rsidR="007E1600">
        <w:t>)</w:t>
      </w:r>
      <w:r w:rsidR="005679A0">
        <w:t xml:space="preserve">; see </w:t>
      </w:r>
      <w:r w:rsidRPr="0014471D" w:rsidR="005679A0">
        <w:rPr>
          <w:i/>
          <w:iCs/>
        </w:rPr>
        <w:t>ibid.</w:t>
      </w:r>
      <w:r w:rsidRPr="00901DF7" w:rsidR="00EB6993">
        <w:t xml:space="preserve"> [</w:t>
      </w:r>
      <w:r w:rsidRPr="00901DF7" w:rsidR="00786F22">
        <w:t xml:space="preserve">Legislature </w:t>
      </w:r>
      <w:r w:rsidRPr="00901DF7" w:rsidR="00BF7DAE">
        <w:t>reasonably</w:t>
      </w:r>
      <w:r w:rsidRPr="00901DF7" w:rsidR="00786F22">
        <w:t xml:space="preserve"> limit</w:t>
      </w:r>
      <w:r w:rsidRPr="00901DF7" w:rsidR="00BF7DAE">
        <w:t>ed</w:t>
      </w:r>
      <w:r w:rsidRPr="00901DF7" w:rsidR="00786F22">
        <w:t xml:space="preserve"> noneconomic damages to </w:t>
      </w:r>
      <w:r w:rsidRPr="00901DF7" w:rsidR="002B0258">
        <w:t xml:space="preserve">$250,000 </w:t>
      </w:r>
      <w:r w:rsidRPr="00901DF7" w:rsidR="00786F22">
        <w:t>based on “unpredictability of the size of large noneconomic damages awards</w:t>
      </w:r>
      <w:r w:rsidRPr="00901DF7" w:rsidR="002B0258">
        <w:t>”</w:t>
      </w:r>
      <w:r w:rsidRPr="00901DF7" w:rsidR="00EB6993">
        <w:t>]</w:t>
      </w:r>
      <w:r w:rsidRPr="00901DF7" w:rsidR="007E1600">
        <w:t>.)</w:t>
      </w:r>
      <w:r w:rsidRPr="00901DF7" w:rsidR="00B203EE">
        <w:t xml:space="preserve"> </w:t>
      </w:r>
      <w:r w:rsidRPr="00901DF7" w:rsidR="00667653">
        <w:t xml:space="preserve"> </w:t>
      </w:r>
    </w:p>
    <w:p w:rsidR="00995177" w:rsidRPr="00901DF7" w:rsidP="009E5089" w14:paraId="09163942" w14:textId="3ED494D8">
      <w:pPr>
        <w:pStyle w:val="Heading2"/>
        <w:ind w:left="1080" w:hanging="360"/>
        <w:rPr>
          <w:szCs w:val="26"/>
        </w:rPr>
      </w:pPr>
      <w:r>
        <w:t>E</w:t>
      </w:r>
      <w:r w:rsidRPr="00901DF7">
        <w:t>.</w:t>
      </w:r>
      <w:r w:rsidRPr="00901DF7">
        <w:tab/>
        <w:t>Defendant’s Equal Protection Claim</w:t>
      </w:r>
    </w:p>
    <w:p w:rsidR="006333F2" w:rsidRPr="00901DF7" w:rsidP="00901DF7" w14:paraId="06026CDA" w14:textId="66BC1598">
      <w:pPr>
        <w:tabs>
          <w:tab w:val="left" w:pos="720"/>
          <w:tab w:val="left" w:pos="1440"/>
        </w:tabs>
        <w:rPr>
          <w:szCs w:val="26"/>
        </w:rPr>
      </w:pPr>
      <w:r w:rsidRPr="00901DF7">
        <w:rPr>
          <w:szCs w:val="26"/>
        </w:rPr>
        <w:tab/>
      </w:r>
      <w:r w:rsidRPr="00901DF7" w:rsidR="00791A23">
        <w:rPr>
          <w:szCs w:val="26"/>
        </w:rPr>
        <w:t>Defendant</w:t>
      </w:r>
      <w:r w:rsidRPr="00901DF7" w:rsidR="00F5116A">
        <w:rPr>
          <w:szCs w:val="26"/>
        </w:rPr>
        <w:t>’s constitutional</w:t>
      </w:r>
      <w:r w:rsidRPr="00901DF7" w:rsidR="00791A23">
        <w:rPr>
          <w:szCs w:val="26"/>
        </w:rPr>
        <w:t xml:space="preserve"> challenge</w:t>
      </w:r>
      <w:r w:rsidRPr="00901DF7" w:rsidR="00125382">
        <w:rPr>
          <w:szCs w:val="26"/>
        </w:rPr>
        <w:t xml:space="preserve"> </w:t>
      </w:r>
      <w:r w:rsidRPr="00901DF7" w:rsidR="00F5116A">
        <w:rPr>
          <w:szCs w:val="26"/>
        </w:rPr>
        <w:t xml:space="preserve">to </w:t>
      </w:r>
      <w:r w:rsidRPr="00901DF7" w:rsidR="00791A23">
        <w:rPr>
          <w:szCs w:val="26"/>
        </w:rPr>
        <w:t xml:space="preserve">section 3051’s One Strike exclusion </w:t>
      </w:r>
      <w:r w:rsidRPr="00901DF7" w:rsidR="00F5116A">
        <w:rPr>
          <w:szCs w:val="26"/>
        </w:rPr>
        <w:t xml:space="preserve">is premised on </w:t>
      </w:r>
      <w:r w:rsidRPr="00901DF7" w:rsidR="004634ED">
        <w:rPr>
          <w:szCs w:val="26"/>
        </w:rPr>
        <w:t xml:space="preserve">(1) </w:t>
      </w:r>
      <w:r w:rsidRPr="00901DF7" w:rsidR="0035429F">
        <w:rPr>
          <w:szCs w:val="26"/>
        </w:rPr>
        <w:t xml:space="preserve">the seriousness of a One Strike offense as compared to that of </w:t>
      </w:r>
      <w:r w:rsidRPr="00901DF7" w:rsidR="007E015A">
        <w:rPr>
          <w:szCs w:val="26"/>
        </w:rPr>
        <w:t>first degree murder</w:t>
      </w:r>
      <w:r w:rsidRPr="00901DF7" w:rsidR="00791A23">
        <w:rPr>
          <w:szCs w:val="26"/>
        </w:rPr>
        <w:t>, which is not categorically exc</w:t>
      </w:r>
      <w:r w:rsidRPr="00901DF7" w:rsidR="00D96CC0">
        <w:rPr>
          <w:szCs w:val="26"/>
        </w:rPr>
        <w:t>l</w:t>
      </w:r>
      <w:r w:rsidRPr="00901DF7" w:rsidR="00791A23">
        <w:rPr>
          <w:szCs w:val="26"/>
        </w:rPr>
        <w:t>uded under section 3051</w:t>
      </w:r>
      <w:r w:rsidRPr="00901DF7" w:rsidR="007E015A">
        <w:rPr>
          <w:szCs w:val="26"/>
        </w:rPr>
        <w:t>, and</w:t>
      </w:r>
      <w:r w:rsidRPr="00901DF7" w:rsidR="003B6211">
        <w:rPr>
          <w:szCs w:val="26"/>
        </w:rPr>
        <w:t xml:space="preserve"> (2)</w:t>
      </w:r>
      <w:r w:rsidRPr="00901DF7" w:rsidR="007E015A">
        <w:rPr>
          <w:szCs w:val="26"/>
        </w:rPr>
        <w:t xml:space="preserve"> the</w:t>
      </w:r>
      <w:r w:rsidRPr="00901DF7" w:rsidR="00791A23">
        <w:rPr>
          <w:szCs w:val="26"/>
        </w:rPr>
        <w:t xml:space="preserve"> recidivism risk of</w:t>
      </w:r>
      <w:r w:rsidRPr="00901DF7" w:rsidR="00D5001E">
        <w:rPr>
          <w:szCs w:val="26"/>
        </w:rPr>
        <w:t xml:space="preserve"> </w:t>
      </w:r>
      <w:r w:rsidRPr="00901DF7" w:rsidR="005B77F5">
        <w:rPr>
          <w:szCs w:val="26"/>
        </w:rPr>
        <w:t>One Strike</w:t>
      </w:r>
      <w:r w:rsidRPr="00901DF7" w:rsidR="00D43F9B">
        <w:rPr>
          <w:szCs w:val="26"/>
        </w:rPr>
        <w:t xml:space="preserve"> offende</w:t>
      </w:r>
      <w:r w:rsidRPr="00901DF7" w:rsidR="005B77F5">
        <w:rPr>
          <w:szCs w:val="26"/>
        </w:rPr>
        <w:t>rs</w:t>
      </w:r>
      <w:r w:rsidRPr="00901DF7" w:rsidR="008E14EE">
        <w:rPr>
          <w:szCs w:val="26"/>
        </w:rPr>
        <w:t xml:space="preserve"> </w:t>
      </w:r>
      <w:r w:rsidRPr="00901DF7" w:rsidR="00F5116A">
        <w:rPr>
          <w:szCs w:val="26"/>
        </w:rPr>
        <w:t>when compared to</w:t>
      </w:r>
      <w:r w:rsidRPr="00901DF7" w:rsidR="008E14EE">
        <w:rPr>
          <w:szCs w:val="26"/>
        </w:rPr>
        <w:t xml:space="preserve"> </w:t>
      </w:r>
      <w:r w:rsidRPr="00901DF7" w:rsidR="005B77F5">
        <w:rPr>
          <w:szCs w:val="26"/>
        </w:rPr>
        <w:t xml:space="preserve">other </w:t>
      </w:r>
      <w:r w:rsidRPr="00901DF7" w:rsidR="008D4C26">
        <w:rPr>
          <w:szCs w:val="26"/>
        </w:rPr>
        <w:t xml:space="preserve">defendants </w:t>
      </w:r>
      <w:r w:rsidRPr="00901DF7" w:rsidR="008E14EE">
        <w:rPr>
          <w:szCs w:val="26"/>
        </w:rPr>
        <w:t xml:space="preserve">who are not </w:t>
      </w:r>
      <w:r w:rsidRPr="00901DF7" w:rsidR="00F5116A">
        <w:rPr>
          <w:szCs w:val="26"/>
        </w:rPr>
        <w:t xml:space="preserve">similarly </w:t>
      </w:r>
      <w:r w:rsidRPr="00901DF7" w:rsidR="008E14EE">
        <w:rPr>
          <w:szCs w:val="26"/>
        </w:rPr>
        <w:t>excluded under section 3051,</w:t>
      </w:r>
      <w:r w:rsidRPr="00901DF7" w:rsidR="005B77F5">
        <w:rPr>
          <w:szCs w:val="26"/>
        </w:rPr>
        <w:t xml:space="preserve"> such as habitual sex</w:t>
      </w:r>
      <w:r w:rsidRPr="00901DF7" w:rsidR="00F74F38">
        <w:rPr>
          <w:szCs w:val="26"/>
        </w:rPr>
        <w:t>ual</w:t>
      </w:r>
      <w:r w:rsidRPr="00901DF7" w:rsidR="005B77F5">
        <w:rPr>
          <w:szCs w:val="26"/>
        </w:rPr>
        <w:t xml:space="preserve"> offenders</w:t>
      </w:r>
      <w:r w:rsidRPr="00901DF7" w:rsidR="0097723E">
        <w:rPr>
          <w:szCs w:val="26"/>
        </w:rPr>
        <w:t xml:space="preserve">.  </w:t>
      </w:r>
      <w:r w:rsidRPr="00901DF7" w:rsidR="00C87E7A">
        <w:rPr>
          <w:szCs w:val="26"/>
        </w:rPr>
        <w:t xml:space="preserve">We address each aspect </w:t>
      </w:r>
      <w:r w:rsidRPr="00901DF7" w:rsidR="0066199B">
        <w:rPr>
          <w:szCs w:val="26"/>
        </w:rPr>
        <w:t xml:space="preserve">of this argument </w:t>
      </w:r>
      <w:r w:rsidRPr="00901DF7" w:rsidR="00C87E7A">
        <w:rPr>
          <w:szCs w:val="26"/>
        </w:rPr>
        <w:t xml:space="preserve">in turn. </w:t>
      </w:r>
    </w:p>
    <w:p w:rsidR="0091593C" w:rsidRPr="00901DF7" w:rsidP="00901DF7" w14:paraId="16D6550A" w14:textId="6D57BA73">
      <w:pPr>
        <w:tabs>
          <w:tab w:val="left" w:pos="720"/>
          <w:tab w:val="left" w:pos="1440"/>
        </w:tabs>
      </w:pPr>
      <w:r w:rsidRPr="00901DF7">
        <w:rPr>
          <w:szCs w:val="26"/>
        </w:rPr>
        <w:tab/>
        <w:t xml:space="preserve">First, </w:t>
      </w:r>
      <w:r w:rsidRPr="00901DF7" w:rsidR="002E40CD">
        <w:rPr>
          <w:szCs w:val="26"/>
        </w:rPr>
        <w:t>defendant</w:t>
      </w:r>
      <w:r w:rsidRPr="00901DF7" w:rsidR="00C7242B">
        <w:rPr>
          <w:szCs w:val="26"/>
        </w:rPr>
        <w:t xml:space="preserve"> maintains that there is no rational basis to exclude One Strike offenders but not </w:t>
      </w:r>
      <w:r w:rsidRPr="00901DF7" w:rsidR="00D02358">
        <w:rPr>
          <w:szCs w:val="26"/>
        </w:rPr>
        <w:t xml:space="preserve">those convicted of </w:t>
      </w:r>
      <w:r w:rsidRPr="00901DF7" w:rsidR="00C7242B">
        <w:rPr>
          <w:szCs w:val="26"/>
        </w:rPr>
        <w:t xml:space="preserve">first degree murder </w:t>
      </w:r>
      <w:r w:rsidRPr="00901DF7">
        <w:rPr>
          <w:szCs w:val="26"/>
        </w:rPr>
        <w:t xml:space="preserve">from parole eligibility consideration </w:t>
      </w:r>
      <w:r w:rsidRPr="00901DF7" w:rsidR="00C7242B">
        <w:rPr>
          <w:szCs w:val="26"/>
        </w:rPr>
        <w:t xml:space="preserve">because the high court made clear in </w:t>
      </w:r>
      <w:r w:rsidRPr="00901DF7" w:rsidR="00C7242B">
        <w:rPr>
          <w:i/>
          <w:iCs/>
          <w:szCs w:val="26"/>
        </w:rPr>
        <w:t>Graham</w:t>
      </w:r>
      <w:r w:rsidRPr="00901DF7" w:rsidR="00C7242B">
        <w:rPr>
          <w:szCs w:val="26"/>
        </w:rPr>
        <w:t xml:space="preserve"> that </w:t>
      </w:r>
      <w:r w:rsidRPr="00901DF7" w:rsidR="007844A8">
        <w:rPr>
          <w:szCs w:val="26"/>
        </w:rPr>
        <w:t>homicide offenses differ “in a moral sense” from nonhomicide offenses in terms of “</w:t>
      </w:r>
      <w:r w:rsidR="005679A0">
        <w:rPr>
          <w:szCs w:val="26"/>
        </w:rPr>
        <w:t> </w:t>
      </w:r>
      <w:r w:rsidRPr="00901DF7" w:rsidR="00D476B5">
        <w:rPr>
          <w:szCs w:val="26"/>
        </w:rPr>
        <w:t>‘</w:t>
      </w:r>
      <w:r w:rsidRPr="00901DF7" w:rsidR="007844A8">
        <w:rPr>
          <w:szCs w:val="26"/>
        </w:rPr>
        <w:t xml:space="preserve">their </w:t>
      </w:r>
      <w:r w:rsidRPr="00901DF7" w:rsidR="00D476B5">
        <w:rPr>
          <w:szCs w:val="26"/>
        </w:rPr>
        <w:t>“</w:t>
      </w:r>
      <w:r w:rsidRPr="00901DF7" w:rsidR="007844A8">
        <w:rPr>
          <w:szCs w:val="26"/>
        </w:rPr>
        <w:t>severity and irrevocability</w:t>
      </w:r>
      <w:r w:rsidRPr="00901DF7" w:rsidR="0035429F">
        <w:rPr>
          <w:szCs w:val="26"/>
        </w:rPr>
        <w:t>.</w:t>
      </w:r>
      <w:r w:rsidRPr="00901DF7" w:rsidR="00D476B5">
        <w:rPr>
          <w:szCs w:val="26"/>
        </w:rPr>
        <w:t>”</w:t>
      </w:r>
      <w:r w:rsidR="005679A0">
        <w:rPr>
          <w:szCs w:val="26"/>
        </w:rPr>
        <w:t> </w:t>
      </w:r>
      <w:r w:rsidRPr="00901DF7" w:rsidR="007844A8">
        <w:rPr>
          <w:szCs w:val="26"/>
        </w:rPr>
        <w:t>’</w:t>
      </w:r>
      <w:r w:rsidR="005679A0">
        <w:rPr>
          <w:szCs w:val="26"/>
        </w:rPr>
        <w:t> </w:t>
      </w:r>
      <w:r w:rsidRPr="00901DF7" w:rsidR="007844A8">
        <w:rPr>
          <w:szCs w:val="26"/>
        </w:rPr>
        <w:t>”</w:t>
      </w:r>
      <w:r w:rsidRPr="00901DF7">
        <w:t xml:space="preserve">  (</w:t>
      </w:r>
      <w:r w:rsidRPr="00901DF7" w:rsidR="007016E1">
        <w:rPr>
          <w:i/>
          <w:iCs/>
        </w:rPr>
        <w:t>Graham</w:t>
      </w:r>
      <w:r w:rsidRPr="00901DF7" w:rsidR="007016E1">
        <w:t xml:space="preserve">, </w:t>
      </w:r>
      <w:r w:rsidRPr="00901DF7" w:rsidR="007016E1">
        <w:rPr>
          <w:i/>
          <w:iCs/>
        </w:rPr>
        <w:t>supra</w:t>
      </w:r>
      <w:r w:rsidRPr="00901DF7" w:rsidR="007016E1">
        <w:t xml:space="preserve">, </w:t>
      </w:r>
      <w:r w:rsidRPr="00901DF7">
        <w:t>560 U.S. at p. 69.)</w:t>
      </w:r>
      <w:r w:rsidRPr="00901DF7" w:rsidR="00C7242B">
        <w:t xml:space="preserve"> </w:t>
      </w:r>
      <w:r w:rsidRPr="00901DF7" w:rsidR="0026193E">
        <w:t xml:space="preserve"> Defendant</w:t>
      </w:r>
      <w:r w:rsidRPr="00901DF7" w:rsidR="005E450F">
        <w:t xml:space="preserve"> suggests that </w:t>
      </w:r>
      <w:r w:rsidRPr="00901DF7" w:rsidR="000C68BB">
        <w:t xml:space="preserve">our decision in </w:t>
      </w:r>
      <w:r w:rsidRPr="00901DF7" w:rsidR="00BB1839">
        <w:rPr>
          <w:i/>
          <w:iCs/>
          <w:szCs w:val="26"/>
        </w:rPr>
        <w:t>People v. Contreras</w:t>
      </w:r>
      <w:r w:rsidRPr="00901DF7" w:rsidR="00BB1839">
        <w:rPr>
          <w:szCs w:val="26"/>
        </w:rPr>
        <w:t xml:space="preserve"> (2018) 4 Cal.5th 349 (</w:t>
      </w:r>
      <w:r w:rsidRPr="00901DF7" w:rsidR="00BB1839">
        <w:rPr>
          <w:i/>
          <w:iCs/>
          <w:szCs w:val="26"/>
        </w:rPr>
        <w:t>Contreras</w:t>
      </w:r>
      <w:r w:rsidRPr="00901DF7" w:rsidR="00BB1839">
        <w:rPr>
          <w:szCs w:val="26"/>
        </w:rPr>
        <w:t>)</w:t>
      </w:r>
      <w:r w:rsidRPr="00901DF7" w:rsidR="000C68BB">
        <w:t xml:space="preserve">, which referred to the high court’s observations in </w:t>
      </w:r>
      <w:r w:rsidRPr="00901DF7" w:rsidR="000C68BB">
        <w:rPr>
          <w:i/>
          <w:iCs/>
        </w:rPr>
        <w:t>Graham</w:t>
      </w:r>
      <w:r w:rsidRPr="00901DF7" w:rsidR="000C68BB">
        <w:t>, presaged</w:t>
      </w:r>
      <w:r w:rsidRPr="00901DF7" w:rsidR="00CC3F59">
        <w:t xml:space="preserve"> the equal protection </w:t>
      </w:r>
      <w:r w:rsidRPr="00901DF7" w:rsidR="0089339B">
        <w:t>argument he presses here</w:t>
      </w:r>
      <w:r w:rsidRPr="00901DF7">
        <w:t>.</w:t>
      </w:r>
      <w:r w:rsidRPr="00901DF7" w:rsidR="00D47087">
        <w:t xml:space="preserve"> </w:t>
      </w:r>
      <w:r w:rsidRPr="00901DF7" w:rsidR="001D0055">
        <w:t xml:space="preserve"> </w:t>
      </w:r>
    </w:p>
    <w:p w:rsidR="00396112" w:rsidRPr="00901DF7" w:rsidP="00901DF7" w14:paraId="76344A5B" w14:textId="56B54B4C">
      <w:pPr>
        <w:tabs>
          <w:tab w:val="left" w:pos="720"/>
          <w:tab w:val="left" w:pos="1440"/>
        </w:tabs>
      </w:pPr>
      <w:r w:rsidRPr="00901DF7">
        <w:tab/>
      </w:r>
      <w:r w:rsidRPr="00901DF7" w:rsidR="009E1CD5">
        <w:t xml:space="preserve">In </w:t>
      </w:r>
      <w:r w:rsidRPr="00901DF7" w:rsidR="009E1CD5">
        <w:rPr>
          <w:i/>
          <w:iCs/>
        </w:rPr>
        <w:t>Contreras</w:t>
      </w:r>
      <w:r w:rsidRPr="00901DF7" w:rsidR="009E1CD5">
        <w:t xml:space="preserve">, </w:t>
      </w:r>
      <w:r w:rsidRPr="00901DF7" w:rsidR="005756A7">
        <w:t xml:space="preserve">we </w:t>
      </w:r>
      <w:r w:rsidRPr="00901DF7" w:rsidR="0065180A">
        <w:rPr>
          <w:szCs w:val="26"/>
        </w:rPr>
        <w:t xml:space="preserve">addressed the constitutional implications </w:t>
      </w:r>
      <w:r w:rsidR="00064ED7">
        <w:rPr>
          <w:szCs w:val="26"/>
        </w:rPr>
        <w:t xml:space="preserve">under the Eighth Amendment </w:t>
      </w:r>
      <w:r w:rsidRPr="00901DF7" w:rsidR="0065180A">
        <w:rPr>
          <w:szCs w:val="26"/>
        </w:rPr>
        <w:t xml:space="preserve">of </w:t>
      </w:r>
      <w:r w:rsidRPr="00901DF7" w:rsidR="007844A8">
        <w:rPr>
          <w:szCs w:val="26"/>
        </w:rPr>
        <w:t xml:space="preserve">sentencing </w:t>
      </w:r>
      <w:r w:rsidRPr="00901DF7" w:rsidR="0065180A">
        <w:rPr>
          <w:szCs w:val="26"/>
        </w:rPr>
        <w:t>two juvenile defendants convicted of One Strike offenses to</w:t>
      </w:r>
      <w:r w:rsidRPr="00901DF7" w:rsidR="00B9682D">
        <w:rPr>
          <w:szCs w:val="26"/>
        </w:rPr>
        <w:t xml:space="preserve"> 50-year-to-life terms</w:t>
      </w:r>
      <w:r w:rsidRPr="00901DF7" w:rsidR="007844A8">
        <w:rPr>
          <w:szCs w:val="26"/>
        </w:rPr>
        <w:t>, which</w:t>
      </w:r>
      <w:r w:rsidRPr="00901DF7" w:rsidR="00B9682D">
        <w:rPr>
          <w:szCs w:val="26"/>
        </w:rPr>
        <w:t xml:space="preserve"> </w:t>
      </w:r>
      <w:r w:rsidRPr="00901DF7" w:rsidR="00666E83">
        <w:rPr>
          <w:szCs w:val="26"/>
        </w:rPr>
        <w:t xml:space="preserve">we </w:t>
      </w:r>
      <w:r w:rsidRPr="00901DF7" w:rsidR="005756A7">
        <w:rPr>
          <w:szCs w:val="26"/>
        </w:rPr>
        <w:t xml:space="preserve">deemed to be </w:t>
      </w:r>
      <w:r w:rsidRPr="00901DF7" w:rsidR="0065180A">
        <w:rPr>
          <w:szCs w:val="26"/>
        </w:rPr>
        <w:t xml:space="preserve">the functional equivalent of LWOP.  </w:t>
      </w:r>
      <w:r w:rsidRPr="00901DF7" w:rsidR="00B9682D">
        <w:rPr>
          <w:szCs w:val="26"/>
        </w:rPr>
        <w:t>(</w:t>
      </w:r>
      <w:r w:rsidRPr="00901DF7" w:rsidR="00B9682D">
        <w:rPr>
          <w:i/>
          <w:iCs/>
          <w:szCs w:val="26"/>
        </w:rPr>
        <w:t>Contreras</w:t>
      </w:r>
      <w:r w:rsidRPr="00901DF7" w:rsidR="00B9682D">
        <w:rPr>
          <w:szCs w:val="26"/>
        </w:rPr>
        <w:t xml:space="preserve">, </w:t>
      </w:r>
      <w:r w:rsidRPr="00901DF7" w:rsidR="00B9682D">
        <w:rPr>
          <w:i/>
          <w:iCs/>
          <w:szCs w:val="26"/>
        </w:rPr>
        <w:t>supra</w:t>
      </w:r>
      <w:r w:rsidRPr="00901DF7" w:rsidR="00B9682D">
        <w:rPr>
          <w:szCs w:val="26"/>
        </w:rPr>
        <w:t>, 4 Cal.5th at p</w:t>
      </w:r>
      <w:r w:rsidRPr="00901DF7" w:rsidR="0066199B">
        <w:rPr>
          <w:szCs w:val="26"/>
        </w:rPr>
        <w:t>p</w:t>
      </w:r>
      <w:r w:rsidRPr="00901DF7" w:rsidR="00B9682D">
        <w:rPr>
          <w:szCs w:val="26"/>
        </w:rPr>
        <w:t>.</w:t>
      </w:r>
      <w:r w:rsidRPr="00901DF7" w:rsidR="0066199B">
        <w:rPr>
          <w:szCs w:val="26"/>
        </w:rPr>
        <w:t xml:space="preserve"> 371–372</w:t>
      </w:r>
      <w:r w:rsidRPr="00901DF7" w:rsidR="00B9682D">
        <w:rPr>
          <w:szCs w:val="26"/>
        </w:rPr>
        <w:t xml:space="preserve">.)  </w:t>
      </w:r>
      <w:r w:rsidRPr="00901DF7" w:rsidR="0065180A">
        <w:rPr>
          <w:szCs w:val="26"/>
        </w:rPr>
        <w:t xml:space="preserve">Because the defendants’ One Strike convictions made them </w:t>
      </w:r>
      <w:r w:rsidRPr="00901DF7" w:rsidR="00D945C8">
        <w:rPr>
          <w:szCs w:val="26"/>
        </w:rPr>
        <w:t xml:space="preserve">statutorily </w:t>
      </w:r>
      <w:r w:rsidRPr="00901DF7" w:rsidR="0065180A">
        <w:rPr>
          <w:szCs w:val="26"/>
        </w:rPr>
        <w:t>ineligible for a youth offender parole hearing under section 3051</w:t>
      </w:r>
      <w:r w:rsidRPr="00901DF7" w:rsidR="00D945C8">
        <w:rPr>
          <w:szCs w:val="26"/>
        </w:rPr>
        <w:t xml:space="preserve"> (see </w:t>
      </w:r>
      <w:r w:rsidR="007B112D">
        <w:rPr>
          <w:szCs w:val="26"/>
        </w:rPr>
        <w:t>§ </w:t>
      </w:r>
      <w:r w:rsidRPr="00901DF7" w:rsidR="00D945C8">
        <w:rPr>
          <w:szCs w:val="26"/>
        </w:rPr>
        <w:t>3051(h))</w:t>
      </w:r>
      <w:r w:rsidRPr="00901DF7" w:rsidR="0065180A">
        <w:rPr>
          <w:szCs w:val="26"/>
        </w:rPr>
        <w:t xml:space="preserve">, we concluded that our then recent decision in </w:t>
      </w:r>
      <w:r w:rsidRPr="00901DF7" w:rsidR="0065180A">
        <w:rPr>
          <w:i/>
          <w:iCs/>
          <w:szCs w:val="26"/>
        </w:rPr>
        <w:t>Franklin</w:t>
      </w:r>
      <w:r w:rsidRPr="00901DF7" w:rsidR="0065180A">
        <w:rPr>
          <w:szCs w:val="26"/>
        </w:rPr>
        <w:t>,</w:t>
      </w:r>
      <w:r w:rsidRPr="00901DF7" w:rsidR="0065180A">
        <w:rPr>
          <w:i/>
          <w:iCs/>
          <w:szCs w:val="26"/>
        </w:rPr>
        <w:t xml:space="preserve"> supra</w:t>
      </w:r>
      <w:r w:rsidRPr="00901DF7" w:rsidR="0065180A">
        <w:rPr>
          <w:szCs w:val="26"/>
        </w:rPr>
        <w:t>, 63 Cal.4th 261</w:t>
      </w:r>
      <w:r w:rsidR="005679A0">
        <w:rPr>
          <w:szCs w:val="26"/>
        </w:rPr>
        <w:t> </w:t>
      </w:r>
      <w:r w:rsidRPr="00901DF7" w:rsidR="0065180A">
        <w:rPr>
          <w:szCs w:val="26"/>
        </w:rPr>
        <w:t>— which held that the availability of a section 3051 parole eligibility hearing rendered the defendant’s lengthy sentence “</w:t>
      </w:r>
      <w:r w:rsidR="005679A0">
        <w:rPr>
          <w:szCs w:val="26"/>
        </w:rPr>
        <w:t> </w:t>
      </w:r>
      <w:r w:rsidRPr="00901DF7" w:rsidR="00BA23F4">
        <w:rPr>
          <w:szCs w:val="26"/>
        </w:rPr>
        <w:t>‘</w:t>
      </w:r>
      <w:r w:rsidRPr="00901DF7" w:rsidR="0065180A">
        <w:rPr>
          <w:szCs w:val="26"/>
        </w:rPr>
        <w:t>neither LWOP nor its functional equivalent</w:t>
      </w:r>
      <w:r w:rsidRPr="00901DF7" w:rsidR="00BA23F4">
        <w:rPr>
          <w:szCs w:val="26"/>
        </w:rPr>
        <w:t>’</w:t>
      </w:r>
      <w:r w:rsidR="005679A0">
        <w:rPr>
          <w:szCs w:val="26"/>
        </w:rPr>
        <w:t> </w:t>
      </w:r>
      <w:r w:rsidRPr="00901DF7" w:rsidR="0065180A">
        <w:rPr>
          <w:szCs w:val="26"/>
        </w:rPr>
        <w:t>”</w:t>
      </w:r>
      <w:r w:rsidR="005679A0">
        <w:rPr>
          <w:szCs w:val="26"/>
        </w:rPr>
        <w:t> </w:t>
      </w:r>
      <w:r w:rsidRPr="00901DF7" w:rsidR="0065180A">
        <w:rPr>
          <w:szCs w:val="26"/>
        </w:rPr>
        <w:t xml:space="preserve">— did not apply. </w:t>
      </w:r>
      <w:r w:rsidRPr="00901DF7" w:rsidR="00666E83">
        <w:rPr>
          <w:szCs w:val="26"/>
        </w:rPr>
        <w:t xml:space="preserve"> (</w:t>
      </w:r>
      <w:r w:rsidRPr="00901DF7" w:rsidR="00666E83">
        <w:rPr>
          <w:i/>
          <w:iCs/>
          <w:szCs w:val="26"/>
        </w:rPr>
        <w:t>Contreras</w:t>
      </w:r>
      <w:r w:rsidRPr="00901DF7" w:rsidR="00666E83">
        <w:rPr>
          <w:szCs w:val="26"/>
        </w:rPr>
        <w:t xml:space="preserve">, at p. 359.) </w:t>
      </w:r>
      <w:r w:rsidRPr="00901DF7" w:rsidR="0065180A">
        <w:rPr>
          <w:szCs w:val="26"/>
        </w:rPr>
        <w:t xml:space="preserve"> </w:t>
      </w:r>
      <w:r w:rsidRPr="00901DF7" w:rsidR="008019B2">
        <w:rPr>
          <w:szCs w:val="26"/>
        </w:rPr>
        <w:t xml:space="preserve">Absent </w:t>
      </w:r>
      <w:r w:rsidRPr="00901DF7" w:rsidR="00666E83">
        <w:rPr>
          <w:szCs w:val="26"/>
        </w:rPr>
        <w:t xml:space="preserve">the availability of </w:t>
      </w:r>
      <w:r w:rsidRPr="00901DF7" w:rsidR="00B16AF5">
        <w:rPr>
          <w:szCs w:val="26"/>
        </w:rPr>
        <w:t xml:space="preserve">a </w:t>
      </w:r>
      <w:r w:rsidRPr="00901DF7" w:rsidR="002656D0">
        <w:rPr>
          <w:szCs w:val="26"/>
        </w:rPr>
        <w:t xml:space="preserve">section 3051 </w:t>
      </w:r>
      <w:r w:rsidRPr="00901DF7" w:rsidR="00666E83">
        <w:rPr>
          <w:szCs w:val="26"/>
        </w:rPr>
        <w:t>hearing,</w:t>
      </w:r>
      <w:r w:rsidRPr="00901DF7" w:rsidR="008F7DD5">
        <w:rPr>
          <w:szCs w:val="26"/>
        </w:rPr>
        <w:t xml:space="preserve"> we</w:t>
      </w:r>
      <w:r w:rsidRPr="00901DF7" w:rsidR="009E1CD5">
        <w:rPr>
          <w:szCs w:val="26"/>
        </w:rPr>
        <w:t xml:space="preserve"> </w:t>
      </w:r>
      <w:r w:rsidRPr="00901DF7" w:rsidR="00666E83">
        <w:rPr>
          <w:szCs w:val="26"/>
        </w:rPr>
        <w:t>concluded</w:t>
      </w:r>
      <w:r w:rsidRPr="00901DF7" w:rsidR="009E1CD5">
        <w:rPr>
          <w:szCs w:val="26"/>
        </w:rPr>
        <w:t xml:space="preserve"> </w:t>
      </w:r>
      <w:r w:rsidRPr="00901DF7" w:rsidR="002D5AD9">
        <w:rPr>
          <w:szCs w:val="26"/>
        </w:rPr>
        <w:t xml:space="preserve">in </w:t>
      </w:r>
      <w:r w:rsidRPr="00901DF7" w:rsidR="002D5AD9">
        <w:rPr>
          <w:i/>
          <w:iCs/>
          <w:szCs w:val="26"/>
        </w:rPr>
        <w:t>Contreras</w:t>
      </w:r>
      <w:r w:rsidRPr="00901DF7" w:rsidR="002D5AD9">
        <w:rPr>
          <w:szCs w:val="26"/>
        </w:rPr>
        <w:t xml:space="preserve"> </w:t>
      </w:r>
      <w:r w:rsidRPr="00901DF7" w:rsidR="009E1CD5">
        <w:rPr>
          <w:szCs w:val="26"/>
        </w:rPr>
        <w:t xml:space="preserve">that </w:t>
      </w:r>
      <w:r w:rsidRPr="00901DF7" w:rsidR="00666E83">
        <w:rPr>
          <w:szCs w:val="26"/>
        </w:rPr>
        <w:t>the defendants’ sentences violated the Eighth Amendment under standards set forth in</w:t>
      </w:r>
      <w:r w:rsidRPr="00901DF7" w:rsidR="00666E83">
        <w:rPr>
          <w:i/>
          <w:iCs/>
          <w:szCs w:val="26"/>
        </w:rPr>
        <w:t xml:space="preserve"> Graham</w:t>
      </w:r>
      <w:r w:rsidRPr="00901DF7" w:rsidR="00666E83">
        <w:rPr>
          <w:szCs w:val="26"/>
        </w:rPr>
        <w:t>.  (</w:t>
      </w:r>
      <w:r w:rsidR="005679A0">
        <w:rPr>
          <w:i/>
          <w:iCs/>
          <w:szCs w:val="26"/>
        </w:rPr>
        <w:t>Contreras,</w:t>
      </w:r>
      <w:r w:rsidRPr="00901DF7" w:rsidR="00C26CA3">
        <w:rPr>
          <w:i/>
          <w:iCs/>
          <w:szCs w:val="26"/>
        </w:rPr>
        <w:t xml:space="preserve"> </w:t>
      </w:r>
      <w:r w:rsidRPr="00901DF7" w:rsidR="00666E83">
        <w:rPr>
          <w:szCs w:val="26"/>
        </w:rPr>
        <w:t xml:space="preserve">at p. 379.) </w:t>
      </w:r>
      <w:r w:rsidRPr="00901DF7" w:rsidR="00202A02">
        <w:tab/>
      </w:r>
    </w:p>
    <w:p w:rsidR="00790B7C" w:rsidRPr="00901DF7" w:rsidP="00901DF7" w14:paraId="25C68AD3" w14:textId="1ABB13FB">
      <w:pPr>
        <w:tabs>
          <w:tab w:val="left" w:pos="720"/>
          <w:tab w:val="left" w:pos="1440"/>
        </w:tabs>
      </w:pPr>
      <w:r w:rsidRPr="00901DF7">
        <w:tab/>
      </w:r>
      <w:r w:rsidRPr="00901DF7" w:rsidR="0066199B">
        <w:t xml:space="preserve">As relevant </w:t>
      </w:r>
      <w:r w:rsidRPr="00901DF7" w:rsidR="00F5116A">
        <w:t>to defendant’s equal protection claim here</w:t>
      </w:r>
      <w:r w:rsidRPr="00901DF7" w:rsidR="0066199B">
        <w:t>, a</w:t>
      </w:r>
      <w:r w:rsidRPr="00901DF7" w:rsidR="00510E26">
        <w:t xml:space="preserve">t the end of </w:t>
      </w:r>
      <w:r w:rsidRPr="00901DF7" w:rsidR="008E14EE">
        <w:t xml:space="preserve">our </w:t>
      </w:r>
      <w:r w:rsidRPr="00901DF7" w:rsidR="00B16AF5">
        <w:rPr>
          <w:i/>
          <w:iCs/>
        </w:rPr>
        <w:t>Contreras</w:t>
      </w:r>
      <w:r w:rsidRPr="00901DF7" w:rsidR="00B16AF5">
        <w:t xml:space="preserve"> </w:t>
      </w:r>
      <w:r w:rsidRPr="00901DF7" w:rsidR="00510E26">
        <w:t xml:space="preserve">opinion, </w:t>
      </w:r>
      <w:r w:rsidRPr="00901DF7" w:rsidR="008F7DD5">
        <w:t xml:space="preserve">we </w:t>
      </w:r>
      <w:r w:rsidRPr="00901DF7" w:rsidR="00510E26">
        <w:t xml:space="preserve">noted the defendants’ contention that it was “anomalous” </w:t>
      </w:r>
      <w:r w:rsidRPr="00901DF7" w:rsidR="00222B40">
        <w:t xml:space="preserve">to exclude </w:t>
      </w:r>
      <w:r w:rsidRPr="00901DF7" w:rsidR="00510E26">
        <w:t>juvenile One Strike</w:t>
      </w:r>
      <w:r w:rsidRPr="00901DF7" w:rsidR="00D43F9B">
        <w:t xml:space="preserve"> offende</w:t>
      </w:r>
      <w:r w:rsidRPr="00901DF7" w:rsidR="00510E26">
        <w:t xml:space="preserve">rs from section 3051’s purview, </w:t>
      </w:r>
      <w:r w:rsidRPr="00901DF7" w:rsidR="00222B40">
        <w:t xml:space="preserve">while not excluding </w:t>
      </w:r>
      <w:r w:rsidRPr="00901DF7" w:rsidR="00510E26">
        <w:t xml:space="preserve">juvenile </w:t>
      </w:r>
      <w:r w:rsidRPr="00901DF7" w:rsidR="00D47087">
        <w:t>offenders</w:t>
      </w:r>
      <w:r w:rsidRPr="00901DF7" w:rsidR="00A82817">
        <w:t xml:space="preserve"> convicted of special circumstance murder and sentenced to LWOP. </w:t>
      </w:r>
      <w:r w:rsidRPr="00901DF7" w:rsidR="001D0055">
        <w:t xml:space="preserve"> (</w:t>
      </w:r>
      <w:r w:rsidRPr="00901DF7" w:rsidR="001D0055">
        <w:rPr>
          <w:i/>
          <w:iCs/>
        </w:rPr>
        <w:t>Contreras</w:t>
      </w:r>
      <w:r w:rsidRPr="00901DF7" w:rsidR="001D0055">
        <w:t xml:space="preserve">, </w:t>
      </w:r>
      <w:r w:rsidRPr="00901DF7" w:rsidR="001D0055">
        <w:rPr>
          <w:i/>
          <w:iCs/>
        </w:rPr>
        <w:t>supra</w:t>
      </w:r>
      <w:r w:rsidRPr="00901DF7" w:rsidR="001D0055">
        <w:t xml:space="preserve">, 4 Cal.5th at p. 382.) </w:t>
      </w:r>
      <w:r w:rsidRPr="00901DF7" w:rsidR="00FB4A5E">
        <w:t xml:space="preserve"> </w:t>
      </w:r>
      <w:r w:rsidRPr="00901DF7" w:rsidR="008F7DD5">
        <w:t>We</w:t>
      </w:r>
      <w:r w:rsidRPr="00901DF7" w:rsidR="00AF242D">
        <w:t xml:space="preserve"> </w:t>
      </w:r>
      <w:r w:rsidRPr="00901DF7" w:rsidR="00222B40">
        <w:t xml:space="preserve">commented </w:t>
      </w:r>
      <w:r w:rsidRPr="00901DF7" w:rsidR="001D0055">
        <w:t>that</w:t>
      </w:r>
      <w:r w:rsidRPr="00901DF7" w:rsidR="00222B40">
        <w:t xml:space="preserve"> this exclusion </w:t>
      </w:r>
      <w:r w:rsidRPr="00901DF7" w:rsidR="001D0055">
        <w:t>of One Strike</w:t>
      </w:r>
      <w:r w:rsidRPr="00901DF7" w:rsidR="00D43F9B">
        <w:t xml:space="preserve"> offende</w:t>
      </w:r>
      <w:r w:rsidRPr="00901DF7" w:rsidR="001D0055">
        <w:t>rs</w:t>
      </w:r>
      <w:r w:rsidRPr="00901DF7" w:rsidR="00FB4A5E">
        <w:t xml:space="preserve"> “appears at odds” with the high court’s </w:t>
      </w:r>
      <w:r w:rsidRPr="00901DF7" w:rsidR="007016E1">
        <w:t xml:space="preserve">statement </w:t>
      </w:r>
      <w:r w:rsidRPr="00901DF7" w:rsidR="00FB4A5E">
        <w:t xml:space="preserve">in </w:t>
      </w:r>
      <w:r w:rsidRPr="00901DF7" w:rsidR="00FB4A5E">
        <w:rPr>
          <w:i/>
          <w:iCs/>
        </w:rPr>
        <w:t xml:space="preserve">Graham </w:t>
      </w:r>
      <w:r w:rsidRPr="00901DF7" w:rsidR="00FB4A5E">
        <w:t>th</w:t>
      </w:r>
      <w:r w:rsidRPr="00901DF7" w:rsidR="00AF242D">
        <w:t xml:space="preserve">at nonhomicide offenses are </w:t>
      </w:r>
      <w:r w:rsidRPr="00901DF7" w:rsidR="00C86E2D">
        <w:t>“</w:t>
      </w:r>
      <w:r w:rsidR="005679A0">
        <w:t> </w:t>
      </w:r>
      <w:r w:rsidRPr="00901DF7" w:rsidR="00C86E2D">
        <w:t>‘</w:t>
      </w:r>
      <w:r w:rsidRPr="00901DF7" w:rsidR="00AF242D">
        <w:t xml:space="preserve">less deserving </w:t>
      </w:r>
      <w:r w:rsidRPr="00901DF7" w:rsidR="00C86E2D">
        <w:t>of the most serious forms of punishment’</w:t>
      </w:r>
      <w:r w:rsidR="005679A0">
        <w:t> </w:t>
      </w:r>
      <w:r w:rsidRPr="00901DF7" w:rsidR="00C86E2D">
        <w:t xml:space="preserve">” than murder, and </w:t>
      </w:r>
      <w:r w:rsidRPr="00901DF7" w:rsidR="00222B40">
        <w:t xml:space="preserve">we </w:t>
      </w:r>
      <w:r w:rsidRPr="00901DF7" w:rsidR="00D47087">
        <w:t xml:space="preserve">also </w:t>
      </w:r>
      <w:r w:rsidRPr="00901DF7" w:rsidR="00C86E2D">
        <w:t>underscored that no other Penal Code provision “treats a nonhomicide offense more harshly than special circumstance murder.”  (</w:t>
      </w:r>
      <w:r w:rsidRPr="00901DF7" w:rsidR="00C86E2D">
        <w:rPr>
          <w:i/>
          <w:iCs/>
        </w:rPr>
        <w:t>Contreras</w:t>
      </w:r>
      <w:r w:rsidRPr="00901DF7" w:rsidR="00C86E2D">
        <w:t xml:space="preserve">, </w:t>
      </w:r>
      <w:r w:rsidRPr="00901DF7" w:rsidR="00C86E2D">
        <w:rPr>
          <w:i/>
          <w:iCs/>
        </w:rPr>
        <w:t>supra</w:t>
      </w:r>
      <w:r w:rsidRPr="00901DF7" w:rsidR="00C86E2D">
        <w:t xml:space="preserve">, 4 Cal.5th at p. </w:t>
      </w:r>
      <w:r w:rsidRPr="00901DF7" w:rsidR="00442F26">
        <w:t>382</w:t>
      </w:r>
      <w:r w:rsidRPr="00901DF7" w:rsidR="00C86E2D">
        <w:t xml:space="preserve">.) </w:t>
      </w:r>
      <w:r w:rsidRPr="00901DF7" w:rsidR="00D532D7">
        <w:t xml:space="preserve"> </w:t>
      </w:r>
      <w:r w:rsidRPr="00901DF7" w:rsidR="0089339B">
        <w:t>Notably, we</w:t>
      </w:r>
      <w:r w:rsidRPr="00901DF7" w:rsidR="00D532D7">
        <w:t xml:space="preserve"> declined to </w:t>
      </w:r>
      <w:r w:rsidRPr="00901DF7" w:rsidR="0065180A">
        <w:t xml:space="preserve">resolve </w:t>
      </w:r>
      <w:r w:rsidRPr="00901DF7" w:rsidR="00222B40">
        <w:t xml:space="preserve">this potential </w:t>
      </w:r>
      <w:r w:rsidR="00064ED7">
        <w:t>constitutional</w:t>
      </w:r>
      <w:r w:rsidRPr="00901DF7" w:rsidR="00D532D7">
        <w:t xml:space="preserve"> </w:t>
      </w:r>
      <w:r w:rsidRPr="00901DF7" w:rsidR="00222B40">
        <w:t>issue</w:t>
      </w:r>
      <w:r w:rsidR="005679A0">
        <w:t>,</w:t>
      </w:r>
      <w:r w:rsidRPr="00901DF7" w:rsidR="00222B40">
        <w:t xml:space="preserve"> while </w:t>
      </w:r>
      <w:r w:rsidRPr="00901DF7" w:rsidR="009B576C">
        <w:t xml:space="preserve">suggesting </w:t>
      </w:r>
      <w:r w:rsidRPr="00901DF7" w:rsidR="00222B40">
        <w:t xml:space="preserve">that the </w:t>
      </w:r>
      <w:r w:rsidRPr="00901DF7" w:rsidR="00422BA2">
        <w:t>“current penal scheme for juveniles may warrant additional legislative attention</w:t>
      </w:r>
      <w:r w:rsidRPr="00901DF7" w:rsidR="00222B40">
        <w:t>.</w:t>
      </w:r>
      <w:r w:rsidRPr="00901DF7" w:rsidR="00422BA2">
        <w:t>”</w:t>
      </w:r>
      <w:r w:rsidRPr="00901DF7" w:rsidR="00222B40">
        <w:t xml:space="preserve"> </w:t>
      </w:r>
      <w:r w:rsidRPr="00901DF7" w:rsidR="008B31F7">
        <w:t xml:space="preserve"> </w:t>
      </w:r>
      <w:r w:rsidRPr="00901DF7" w:rsidR="00222B40">
        <w:t>(</w:t>
      </w:r>
      <w:r w:rsidRPr="00901DF7" w:rsidR="00222B40">
        <w:rPr>
          <w:i/>
          <w:iCs/>
        </w:rPr>
        <w:t>Ibid</w:t>
      </w:r>
      <w:r w:rsidRPr="00901DF7" w:rsidR="00422BA2">
        <w:t xml:space="preserve">.) </w:t>
      </w:r>
      <w:r w:rsidRPr="00901DF7" w:rsidR="009D1464">
        <w:t xml:space="preserve"> </w:t>
      </w:r>
      <w:r w:rsidRPr="00901DF7" w:rsidR="008E14EE">
        <w:t>We</w:t>
      </w:r>
      <w:r w:rsidRPr="00901DF7" w:rsidR="009D1464">
        <w:t xml:space="preserve"> </w:t>
      </w:r>
      <w:r w:rsidRPr="00901DF7" w:rsidR="002D5AD9">
        <w:t xml:space="preserve">similarly </w:t>
      </w:r>
      <w:r w:rsidRPr="00901DF7" w:rsidR="009D1464">
        <w:t xml:space="preserve">decline to </w:t>
      </w:r>
      <w:r w:rsidRPr="00901DF7" w:rsidR="007E66B1">
        <w:t>consider</w:t>
      </w:r>
      <w:r w:rsidRPr="00901DF7" w:rsidR="009D1464">
        <w:t xml:space="preserve"> </w:t>
      </w:r>
      <w:r w:rsidRPr="00901DF7" w:rsidR="002D5AD9">
        <w:t xml:space="preserve">the issue </w:t>
      </w:r>
      <w:r w:rsidRPr="00901DF7" w:rsidR="009D1464">
        <w:t>or its import</w:t>
      </w:r>
      <w:r w:rsidRPr="00901DF7" w:rsidR="007A6BAA">
        <w:t xml:space="preserve"> i</w:t>
      </w:r>
      <w:r w:rsidRPr="00901DF7" w:rsidR="009D1464">
        <w:t>n this case</w:t>
      </w:r>
      <w:r w:rsidRPr="00901DF7" w:rsidR="00C65C7A">
        <w:t xml:space="preserve">, </w:t>
      </w:r>
      <w:r w:rsidRPr="00901DF7" w:rsidR="008E14EE">
        <w:t xml:space="preserve">which involves young </w:t>
      </w:r>
      <w:r w:rsidRPr="00901DF7" w:rsidR="008E14EE">
        <w:rPr>
          <w:i/>
          <w:iCs/>
        </w:rPr>
        <w:t>adults</w:t>
      </w:r>
      <w:r w:rsidRPr="00901DF7" w:rsidR="00ED3901">
        <w:rPr>
          <w:i/>
          <w:iCs/>
        </w:rPr>
        <w:t xml:space="preserve"> </w:t>
      </w:r>
      <w:r w:rsidRPr="00901DF7" w:rsidR="00ED3901">
        <w:t xml:space="preserve">and </w:t>
      </w:r>
      <w:r w:rsidRPr="00901DF7" w:rsidR="008E14EE">
        <w:t xml:space="preserve">not </w:t>
      </w:r>
      <w:r w:rsidRPr="00901DF7" w:rsidR="009D1464">
        <w:t>juveniles</w:t>
      </w:r>
      <w:r w:rsidRPr="00901DF7" w:rsidR="00B37C01">
        <w:t xml:space="preserve">, who </w:t>
      </w:r>
      <w:r w:rsidRPr="00901DF7" w:rsidR="00427263">
        <w:t xml:space="preserve">are “constitutionally different” from adults for purposes of sentencing. </w:t>
      </w:r>
      <w:r w:rsidRPr="00901DF7" w:rsidR="009D1464">
        <w:t xml:space="preserve"> </w:t>
      </w:r>
      <w:r w:rsidRPr="00901DF7" w:rsidR="00E73693">
        <w:rPr>
          <w:szCs w:val="26"/>
        </w:rPr>
        <w:t>(</w:t>
      </w:r>
      <w:r w:rsidRPr="00901DF7" w:rsidR="00427263">
        <w:rPr>
          <w:i/>
          <w:iCs/>
          <w:szCs w:val="26"/>
        </w:rPr>
        <w:t>Miller</w:t>
      </w:r>
      <w:r w:rsidRPr="00901DF7" w:rsidR="00427263">
        <w:rPr>
          <w:szCs w:val="26"/>
        </w:rPr>
        <w:t xml:space="preserve">, </w:t>
      </w:r>
      <w:r w:rsidRPr="00901DF7" w:rsidR="00427263">
        <w:rPr>
          <w:i/>
          <w:iCs/>
          <w:szCs w:val="26"/>
        </w:rPr>
        <w:t>supra</w:t>
      </w:r>
      <w:r w:rsidRPr="00901DF7" w:rsidR="00427263">
        <w:rPr>
          <w:szCs w:val="26"/>
        </w:rPr>
        <w:t xml:space="preserve">, 567 U.S. at p. 471; </w:t>
      </w:r>
      <w:r w:rsidRPr="00901DF7" w:rsidR="00E73693">
        <w:rPr>
          <w:i/>
          <w:iCs/>
          <w:szCs w:val="26"/>
        </w:rPr>
        <w:t>Graham</w:t>
      </w:r>
      <w:r w:rsidRPr="00901DF7" w:rsidR="00E73693">
        <w:rPr>
          <w:szCs w:val="26"/>
        </w:rPr>
        <w:t xml:space="preserve">, </w:t>
      </w:r>
      <w:r w:rsidRPr="00901DF7" w:rsidR="004665C1">
        <w:rPr>
          <w:i/>
          <w:iCs/>
          <w:szCs w:val="26"/>
        </w:rPr>
        <w:t>supra</w:t>
      </w:r>
      <w:r w:rsidRPr="00901DF7" w:rsidR="004665C1">
        <w:rPr>
          <w:szCs w:val="26"/>
        </w:rPr>
        <w:t xml:space="preserve">, 560 U.S. </w:t>
      </w:r>
      <w:r w:rsidRPr="00901DF7" w:rsidR="00E73693">
        <w:rPr>
          <w:szCs w:val="26"/>
        </w:rPr>
        <w:t xml:space="preserve">at p. </w:t>
      </w:r>
      <w:r w:rsidRPr="00901DF7" w:rsidR="004665C1">
        <w:rPr>
          <w:szCs w:val="26"/>
        </w:rPr>
        <w:t xml:space="preserve">74 </w:t>
      </w:r>
      <w:r w:rsidRPr="00901DF7" w:rsidR="00E73693">
        <w:rPr>
          <w:szCs w:val="26"/>
        </w:rPr>
        <w:t>[“</w:t>
      </w:r>
      <w:r w:rsidR="005679A0">
        <w:rPr>
          <w:szCs w:val="26"/>
        </w:rPr>
        <w:t> </w:t>
      </w:r>
      <w:r w:rsidRPr="00901DF7" w:rsidR="004665C1">
        <w:rPr>
          <w:szCs w:val="26"/>
        </w:rPr>
        <w:t>‘</w:t>
      </w:r>
      <w:r w:rsidRPr="00901DF7" w:rsidR="00E73693">
        <w:rPr>
          <w:szCs w:val="26"/>
        </w:rPr>
        <w:t>age of 18 is the point where society draws the line for many purposes between childhood and adulthood</w:t>
      </w:r>
      <w:r w:rsidRPr="00901DF7" w:rsidR="004665C1">
        <w:rPr>
          <w:szCs w:val="26"/>
        </w:rPr>
        <w:t>’</w:t>
      </w:r>
      <w:r w:rsidR="005679A0">
        <w:rPr>
          <w:szCs w:val="26"/>
        </w:rPr>
        <w:t> </w:t>
      </w:r>
      <w:r w:rsidRPr="00901DF7" w:rsidR="00E73693">
        <w:rPr>
          <w:szCs w:val="26"/>
        </w:rPr>
        <w:t>”]</w:t>
      </w:r>
      <w:r w:rsidRPr="00901DF7" w:rsidR="007C1773">
        <w:t xml:space="preserve">; </w:t>
      </w:r>
      <w:r w:rsidRPr="00901DF7" w:rsidR="00E73693">
        <w:rPr>
          <w:i/>
          <w:iCs/>
        </w:rPr>
        <w:t>Contreras, supra</w:t>
      </w:r>
      <w:r w:rsidRPr="00901DF7" w:rsidR="00E73693">
        <w:t xml:space="preserve">, 4 Cal.5th at p. 371 [recognizing high court drew </w:t>
      </w:r>
      <w:r w:rsidRPr="00901DF7" w:rsidR="00FE70AC">
        <w:t xml:space="preserve">a </w:t>
      </w:r>
      <w:r w:rsidRPr="00901DF7" w:rsidR="00E73693">
        <w:t>“</w:t>
      </w:r>
      <w:r w:rsidR="005679A0">
        <w:t> </w:t>
      </w:r>
      <w:r w:rsidRPr="00901DF7" w:rsidR="00E73693">
        <w:t>‘clear line’</w:t>
      </w:r>
      <w:r w:rsidR="005679A0">
        <w:t> </w:t>
      </w:r>
      <w:r w:rsidRPr="00901DF7" w:rsidR="00E73693">
        <w:t>” between juveniles and adults].)</w:t>
      </w:r>
      <w:r w:rsidRPr="00901DF7" w:rsidR="00E73693">
        <w:rPr>
          <w:szCs w:val="26"/>
        </w:rPr>
        <w:t xml:space="preserve">  </w:t>
      </w:r>
    </w:p>
    <w:p w:rsidR="00BE2505" w:rsidRPr="00901DF7" w:rsidP="00901DF7" w14:paraId="6CBD8AD3" w14:textId="29EEDB93">
      <w:pPr>
        <w:tabs>
          <w:tab w:val="left" w:pos="720"/>
          <w:tab w:val="left" w:pos="1440"/>
        </w:tabs>
        <w:rPr>
          <w:szCs w:val="26"/>
        </w:rPr>
      </w:pPr>
      <w:r w:rsidRPr="00901DF7">
        <w:rPr>
          <w:szCs w:val="26"/>
        </w:rPr>
        <w:tab/>
      </w:r>
      <w:r w:rsidRPr="00901DF7" w:rsidR="009B576C">
        <w:rPr>
          <w:szCs w:val="26"/>
        </w:rPr>
        <w:t xml:space="preserve">Acknowledging that </w:t>
      </w:r>
      <w:r w:rsidRPr="00901DF7" w:rsidR="00EF3A82">
        <w:rPr>
          <w:i/>
          <w:iCs/>
          <w:szCs w:val="26"/>
        </w:rPr>
        <w:t>Graham</w:t>
      </w:r>
      <w:r w:rsidRPr="00901DF7" w:rsidR="00EF3A82">
        <w:rPr>
          <w:szCs w:val="26"/>
        </w:rPr>
        <w:t xml:space="preserve"> and</w:t>
      </w:r>
      <w:r w:rsidRPr="00901DF7" w:rsidR="00EF3A82">
        <w:rPr>
          <w:i/>
          <w:iCs/>
          <w:szCs w:val="26"/>
        </w:rPr>
        <w:t xml:space="preserve"> Miller</w:t>
      </w:r>
      <w:r w:rsidRPr="00901DF7" w:rsidR="009B576C">
        <w:rPr>
          <w:szCs w:val="26"/>
        </w:rPr>
        <w:t xml:space="preserve"> are not controlling</w:t>
      </w:r>
      <w:r w:rsidRPr="00901DF7" w:rsidR="00FE70AC">
        <w:rPr>
          <w:szCs w:val="26"/>
        </w:rPr>
        <w:t xml:space="preserve"> because they </w:t>
      </w:r>
      <w:r w:rsidR="00064ED7">
        <w:rPr>
          <w:szCs w:val="26"/>
        </w:rPr>
        <w:t xml:space="preserve">were Eighth Amendment cases </w:t>
      </w:r>
      <w:r w:rsidRPr="00901DF7" w:rsidR="00FE70AC">
        <w:rPr>
          <w:szCs w:val="26"/>
        </w:rPr>
        <w:t>deal</w:t>
      </w:r>
      <w:r w:rsidR="00064ED7">
        <w:rPr>
          <w:szCs w:val="26"/>
        </w:rPr>
        <w:t>ing</w:t>
      </w:r>
      <w:r w:rsidRPr="00901DF7" w:rsidR="00FE70AC">
        <w:rPr>
          <w:szCs w:val="26"/>
        </w:rPr>
        <w:t xml:space="preserve"> with</w:t>
      </w:r>
      <w:r w:rsidR="00064ED7">
        <w:rPr>
          <w:szCs w:val="26"/>
        </w:rPr>
        <w:t xml:space="preserve"> the sentencing of</w:t>
      </w:r>
      <w:r w:rsidRPr="00901DF7" w:rsidR="00FE70AC">
        <w:rPr>
          <w:szCs w:val="26"/>
        </w:rPr>
        <w:t xml:space="preserve"> juveniles </w:t>
      </w:r>
      <w:r w:rsidRPr="00901DF7" w:rsidR="00B67D86">
        <w:rPr>
          <w:szCs w:val="26"/>
        </w:rPr>
        <w:t>rather than</w:t>
      </w:r>
      <w:r w:rsidRPr="00901DF7" w:rsidR="00FE70AC">
        <w:rPr>
          <w:szCs w:val="26"/>
        </w:rPr>
        <w:t xml:space="preserve"> young adults</w:t>
      </w:r>
      <w:r w:rsidRPr="00901DF7" w:rsidR="009B576C">
        <w:rPr>
          <w:szCs w:val="26"/>
        </w:rPr>
        <w:t xml:space="preserve">, defendant nevertheless insists that growing scientific research “has established a sound basis for extending [the] principles” of </w:t>
      </w:r>
      <w:r w:rsidRPr="00901DF7" w:rsidR="00FE70AC">
        <w:rPr>
          <w:szCs w:val="26"/>
        </w:rPr>
        <w:t>these cases</w:t>
      </w:r>
      <w:r w:rsidRPr="00901DF7" w:rsidR="009B576C">
        <w:rPr>
          <w:szCs w:val="26"/>
        </w:rPr>
        <w:t xml:space="preserve"> “to young offenders up to the age of 25.”  (See </w:t>
      </w:r>
      <w:r w:rsidRPr="00901DF7" w:rsidR="009B576C">
        <w:rPr>
          <w:i/>
          <w:iCs/>
          <w:szCs w:val="26"/>
        </w:rPr>
        <w:t>Miller</w:t>
      </w:r>
      <w:r w:rsidRPr="00901DF7" w:rsidR="009B576C">
        <w:rPr>
          <w:szCs w:val="26"/>
        </w:rPr>
        <w:t>,</w:t>
      </w:r>
      <w:r w:rsidRPr="00901DF7" w:rsidR="009B576C">
        <w:rPr>
          <w:i/>
          <w:iCs/>
          <w:szCs w:val="26"/>
        </w:rPr>
        <w:t xml:space="preserve"> supra</w:t>
      </w:r>
      <w:r w:rsidRPr="00901DF7" w:rsidR="009B576C">
        <w:rPr>
          <w:szCs w:val="26"/>
        </w:rPr>
        <w:t xml:space="preserve">, 567 U.S. at p. 483 [“the principle of </w:t>
      </w:r>
      <w:r w:rsidRPr="00901DF7" w:rsidR="009B576C">
        <w:rPr>
          <w:i/>
          <w:iCs/>
          <w:szCs w:val="26"/>
        </w:rPr>
        <w:t>Roper</w:t>
      </w:r>
      <w:r w:rsidRPr="00901DF7" w:rsidR="009B576C">
        <w:rPr>
          <w:szCs w:val="26"/>
        </w:rPr>
        <w:t xml:space="preserve">, </w:t>
      </w:r>
      <w:r w:rsidRPr="00901DF7" w:rsidR="009B576C">
        <w:rPr>
          <w:i/>
          <w:iCs/>
          <w:szCs w:val="26"/>
        </w:rPr>
        <w:t>Graham</w:t>
      </w:r>
      <w:r w:rsidRPr="00901DF7" w:rsidR="009B576C">
        <w:rPr>
          <w:szCs w:val="26"/>
        </w:rPr>
        <w:t xml:space="preserve">, and our individualized sentencing cases [is] that youth matters for purposes of meting out the law’s most serious punishments”].)  Defendant </w:t>
      </w:r>
      <w:r w:rsidRPr="00901DF7" w:rsidR="00B67D86">
        <w:rPr>
          <w:szCs w:val="26"/>
        </w:rPr>
        <w:t xml:space="preserve">further </w:t>
      </w:r>
      <w:r w:rsidRPr="00901DF7" w:rsidR="009B576C">
        <w:rPr>
          <w:szCs w:val="26"/>
        </w:rPr>
        <w:t xml:space="preserve">asserts that our Legislature has already acknowledged such research by expanding section 3051 parole eligibility to include young adults between the ages of 18 to 25 years old.  He </w:t>
      </w:r>
      <w:r w:rsidRPr="00901DF7" w:rsidR="00B67D86">
        <w:rPr>
          <w:szCs w:val="26"/>
        </w:rPr>
        <w:t xml:space="preserve">asks us </w:t>
      </w:r>
      <w:r w:rsidRPr="00901DF7" w:rsidR="009B576C">
        <w:rPr>
          <w:szCs w:val="26"/>
        </w:rPr>
        <w:t xml:space="preserve">to similarly </w:t>
      </w:r>
      <w:r w:rsidR="00064ED7">
        <w:rPr>
          <w:szCs w:val="26"/>
        </w:rPr>
        <w:t>hold</w:t>
      </w:r>
      <w:r w:rsidRPr="00901DF7" w:rsidR="0089339B">
        <w:rPr>
          <w:szCs w:val="26"/>
        </w:rPr>
        <w:t>, based on our Legislature’s acknowledgement</w:t>
      </w:r>
      <w:r w:rsidR="00064ED7">
        <w:rPr>
          <w:szCs w:val="26"/>
        </w:rPr>
        <w:t xml:space="preserve"> of this research</w:t>
      </w:r>
      <w:r w:rsidRPr="00901DF7" w:rsidR="0089339B">
        <w:rPr>
          <w:szCs w:val="26"/>
        </w:rPr>
        <w:t>,</w:t>
      </w:r>
      <w:r w:rsidRPr="00901DF7" w:rsidR="009B576C">
        <w:rPr>
          <w:szCs w:val="26"/>
        </w:rPr>
        <w:t xml:space="preserve"> that </w:t>
      </w:r>
      <w:r w:rsidR="00064ED7">
        <w:rPr>
          <w:szCs w:val="26"/>
        </w:rPr>
        <w:t xml:space="preserve">the Legislature is required to treat </w:t>
      </w:r>
      <w:r w:rsidRPr="00901DF7" w:rsidR="009B576C">
        <w:rPr>
          <w:szCs w:val="26"/>
        </w:rPr>
        <w:t xml:space="preserve">young adults the same as </w:t>
      </w:r>
      <w:r w:rsidR="00064ED7">
        <w:rPr>
          <w:szCs w:val="26"/>
        </w:rPr>
        <w:t xml:space="preserve">it treats </w:t>
      </w:r>
      <w:r w:rsidRPr="00901DF7" w:rsidR="009B576C">
        <w:rPr>
          <w:szCs w:val="26"/>
        </w:rPr>
        <w:t>juveniles for purposes of th</w:t>
      </w:r>
      <w:r w:rsidRPr="00901DF7" w:rsidR="00B67D86">
        <w:rPr>
          <w:szCs w:val="26"/>
        </w:rPr>
        <w:t>e</w:t>
      </w:r>
      <w:r w:rsidRPr="00901DF7" w:rsidR="009B576C">
        <w:rPr>
          <w:szCs w:val="26"/>
        </w:rPr>
        <w:t xml:space="preserve"> </w:t>
      </w:r>
      <w:r w:rsidRPr="00901DF7" w:rsidR="00B6379B">
        <w:rPr>
          <w:szCs w:val="26"/>
        </w:rPr>
        <w:t>e</w:t>
      </w:r>
      <w:r w:rsidRPr="00901DF7" w:rsidR="009B576C">
        <w:rPr>
          <w:szCs w:val="26"/>
        </w:rPr>
        <w:t>qual</w:t>
      </w:r>
      <w:r w:rsidRPr="00901DF7" w:rsidR="00B6379B">
        <w:rPr>
          <w:szCs w:val="26"/>
        </w:rPr>
        <w:t xml:space="preserve"> p</w:t>
      </w:r>
      <w:r w:rsidRPr="00901DF7" w:rsidR="009B576C">
        <w:rPr>
          <w:szCs w:val="26"/>
        </w:rPr>
        <w:t xml:space="preserve">rotection </w:t>
      </w:r>
      <w:r w:rsidRPr="00901DF7" w:rsidR="00B67D86">
        <w:rPr>
          <w:szCs w:val="26"/>
        </w:rPr>
        <w:t>issue now before us</w:t>
      </w:r>
      <w:r w:rsidRPr="00901DF7" w:rsidR="009B576C">
        <w:rPr>
          <w:szCs w:val="26"/>
        </w:rPr>
        <w:t>.</w:t>
      </w:r>
      <w:r w:rsidRPr="00901DF7" w:rsidR="00312367">
        <w:rPr>
          <w:szCs w:val="26"/>
        </w:rPr>
        <w:t xml:space="preserve">  </w:t>
      </w:r>
      <w:r w:rsidRPr="00901DF7" w:rsidR="00D26D81">
        <w:rPr>
          <w:szCs w:val="26"/>
        </w:rPr>
        <w:t>We decline to do so.</w:t>
      </w:r>
    </w:p>
    <w:p w:rsidR="00F760C6" w:rsidRPr="00901DF7" w:rsidP="00901DF7" w14:paraId="06E1F3A6" w14:textId="1A742B49">
      <w:pPr>
        <w:tabs>
          <w:tab w:val="left" w:pos="720"/>
          <w:tab w:val="left" w:pos="1440"/>
        </w:tabs>
        <w:rPr>
          <w:szCs w:val="26"/>
        </w:rPr>
      </w:pPr>
      <w:r w:rsidRPr="00901DF7">
        <w:rPr>
          <w:szCs w:val="26"/>
        </w:rPr>
        <w:tab/>
      </w:r>
      <w:r w:rsidRPr="00901DF7" w:rsidR="00D26D81">
        <w:rPr>
          <w:szCs w:val="26"/>
        </w:rPr>
        <w:t xml:space="preserve">Our decision in </w:t>
      </w:r>
      <w:r w:rsidRPr="00901DF7" w:rsidR="00B67D86">
        <w:rPr>
          <w:i/>
          <w:iCs/>
          <w:szCs w:val="26"/>
        </w:rPr>
        <w:t>Hardin</w:t>
      </w:r>
      <w:r w:rsidRPr="00901DF7" w:rsidR="00B67D86">
        <w:rPr>
          <w:szCs w:val="26"/>
        </w:rPr>
        <w:t xml:space="preserve"> rejected a similar argument</w:t>
      </w:r>
      <w:r w:rsidR="00EA56E1">
        <w:rPr>
          <w:szCs w:val="26"/>
        </w:rPr>
        <w:t xml:space="preserve"> and </w:t>
      </w:r>
      <w:r w:rsidRPr="00901DF7" w:rsidR="0089339B">
        <w:rPr>
          <w:szCs w:val="26"/>
        </w:rPr>
        <w:t>provides useful guidance in analyzing defendant’s claim</w:t>
      </w:r>
      <w:r w:rsidRPr="00901DF7" w:rsidR="00D26D81">
        <w:rPr>
          <w:szCs w:val="26"/>
        </w:rPr>
        <w:t xml:space="preserve"> here</w:t>
      </w:r>
      <w:r w:rsidRPr="00901DF7" w:rsidR="0089339B">
        <w:rPr>
          <w:szCs w:val="26"/>
        </w:rPr>
        <w:t>.  (</w:t>
      </w:r>
      <w:r w:rsidRPr="00901DF7" w:rsidR="00D26D81">
        <w:rPr>
          <w:i/>
          <w:iCs/>
          <w:szCs w:val="26"/>
        </w:rPr>
        <w:t>Hardin</w:t>
      </w:r>
      <w:r w:rsidRPr="00901DF7" w:rsidR="00D26D81">
        <w:rPr>
          <w:szCs w:val="26"/>
        </w:rPr>
        <w:t xml:space="preserve">, </w:t>
      </w:r>
      <w:r w:rsidRPr="00901DF7" w:rsidR="00D26D81">
        <w:rPr>
          <w:i/>
          <w:iCs/>
          <w:szCs w:val="26"/>
        </w:rPr>
        <w:t>supra</w:t>
      </w:r>
      <w:r w:rsidRPr="00901DF7" w:rsidR="00D26D81">
        <w:rPr>
          <w:szCs w:val="26"/>
        </w:rPr>
        <w:t>, 15 Cal.5th at p. 846</w:t>
      </w:r>
      <w:r w:rsidRPr="00901DF7" w:rsidR="0089339B">
        <w:rPr>
          <w:szCs w:val="26"/>
        </w:rPr>
        <w:t xml:space="preserve">.)  </w:t>
      </w:r>
      <w:r w:rsidRPr="00901DF7" w:rsidR="00C12F8F">
        <w:rPr>
          <w:szCs w:val="26"/>
        </w:rPr>
        <w:t xml:space="preserve">In </w:t>
      </w:r>
      <w:r w:rsidRPr="00901DF7" w:rsidR="00C12F8F">
        <w:rPr>
          <w:i/>
          <w:iCs/>
          <w:szCs w:val="26"/>
        </w:rPr>
        <w:t>Hardin</w:t>
      </w:r>
      <w:r w:rsidRPr="00901DF7" w:rsidR="00C12F8F">
        <w:rPr>
          <w:szCs w:val="26"/>
        </w:rPr>
        <w:t xml:space="preserve">, the </w:t>
      </w:r>
      <w:r w:rsidRPr="00901DF7" w:rsidR="00B67D86">
        <w:rPr>
          <w:szCs w:val="26"/>
        </w:rPr>
        <w:t xml:space="preserve">defendant </w:t>
      </w:r>
      <w:r w:rsidRPr="00901DF7" w:rsidR="00EF074A">
        <w:rPr>
          <w:szCs w:val="26"/>
        </w:rPr>
        <w:t xml:space="preserve">argued that </w:t>
      </w:r>
      <w:r w:rsidRPr="00901DF7" w:rsidR="00B86AD8">
        <w:rPr>
          <w:szCs w:val="26"/>
        </w:rPr>
        <w:t>section 3051 violated equal protection because it exclude</w:t>
      </w:r>
      <w:r w:rsidRPr="00901DF7" w:rsidR="00704884">
        <w:rPr>
          <w:szCs w:val="26"/>
        </w:rPr>
        <w:t>d</w:t>
      </w:r>
      <w:r w:rsidRPr="00901DF7" w:rsidR="00B86AD8">
        <w:rPr>
          <w:szCs w:val="26"/>
        </w:rPr>
        <w:t xml:space="preserve"> young adult offenders sentenced</w:t>
      </w:r>
      <w:r w:rsidRPr="00901DF7" w:rsidR="008B1EDE">
        <w:rPr>
          <w:szCs w:val="26"/>
        </w:rPr>
        <w:t xml:space="preserve"> to</w:t>
      </w:r>
      <w:r w:rsidRPr="00901DF7" w:rsidR="00B86AD8">
        <w:rPr>
          <w:szCs w:val="26"/>
        </w:rPr>
        <w:t xml:space="preserve"> </w:t>
      </w:r>
      <w:r w:rsidRPr="00901DF7" w:rsidR="00B67D86">
        <w:rPr>
          <w:szCs w:val="26"/>
        </w:rPr>
        <w:t>LWOP</w:t>
      </w:r>
      <w:r w:rsidRPr="00901DF7" w:rsidR="00B86AD8">
        <w:rPr>
          <w:szCs w:val="26"/>
        </w:rPr>
        <w:t xml:space="preserve"> for special circumstance murder</w:t>
      </w:r>
      <w:r w:rsidRPr="00901DF7">
        <w:rPr>
          <w:szCs w:val="26"/>
        </w:rPr>
        <w:t>,</w:t>
      </w:r>
      <w:r w:rsidRPr="00901DF7" w:rsidR="00B86AD8">
        <w:rPr>
          <w:szCs w:val="26"/>
        </w:rPr>
        <w:t xml:space="preserve"> but not other young adult offenders serving parole-eligible sentences for other crimes. </w:t>
      </w:r>
      <w:r w:rsidRPr="00901DF7" w:rsidR="00B57EC4">
        <w:rPr>
          <w:szCs w:val="26"/>
        </w:rPr>
        <w:t xml:space="preserve"> </w:t>
      </w:r>
      <w:r w:rsidRPr="00901DF7" w:rsidR="00B67D86">
        <w:rPr>
          <w:szCs w:val="26"/>
        </w:rPr>
        <w:t xml:space="preserve">The defendant </w:t>
      </w:r>
      <w:r w:rsidRPr="00901DF7" w:rsidR="00C9205A">
        <w:rPr>
          <w:szCs w:val="26"/>
        </w:rPr>
        <w:t xml:space="preserve">asserted that </w:t>
      </w:r>
      <w:r w:rsidRPr="00901DF7" w:rsidR="00646C40">
        <w:rPr>
          <w:szCs w:val="26"/>
        </w:rPr>
        <w:t xml:space="preserve">when </w:t>
      </w:r>
      <w:r w:rsidRPr="00901DF7" w:rsidR="00C9205A">
        <w:rPr>
          <w:szCs w:val="26"/>
        </w:rPr>
        <w:t>the Legislature decided to extend section 3051’s reach</w:t>
      </w:r>
      <w:r w:rsidRPr="00901DF7" w:rsidR="00DE4D22">
        <w:rPr>
          <w:szCs w:val="26"/>
        </w:rPr>
        <w:t xml:space="preserve"> of early parole eligibility</w:t>
      </w:r>
      <w:r w:rsidRPr="00901DF7" w:rsidR="00C9205A">
        <w:rPr>
          <w:szCs w:val="26"/>
        </w:rPr>
        <w:t xml:space="preserve"> to young adults, “it could not rationally treat those sentenced to life without the possibility of parole differently from those convicted of other serious crimes and serving lengthy parole-eligible sentences.</w:t>
      </w:r>
      <w:r w:rsidRPr="00901DF7" w:rsidR="008B1EDE">
        <w:rPr>
          <w:szCs w:val="26"/>
        </w:rPr>
        <w:t>”  (</w:t>
      </w:r>
      <w:r w:rsidRPr="00901DF7" w:rsidR="00C774DD">
        <w:rPr>
          <w:i/>
          <w:iCs/>
          <w:szCs w:val="26"/>
        </w:rPr>
        <w:t>Hardin</w:t>
      </w:r>
      <w:r w:rsidRPr="00901DF7" w:rsidR="00D476B5">
        <w:rPr>
          <w:szCs w:val="26"/>
        </w:rPr>
        <w:t>,</w:t>
      </w:r>
      <w:r w:rsidRPr="00901DF7" w:rsidR="008B1EDE">
        <w:rPr>
          <w:szCs w:val="26"/>
        </w:rPr>
        <w:t xml:space="preserve"> at p. 846.)</w:t>
      </w:r>
      <w:r w:rsidRPr="00901DF7" w:rsidR="00C9205A">
        <w:rPr>
          <w:szCs w:val="26"/>
        </w:rPr>
        <w:t xml:space="preserve">  </w:t>
      </w:r>
      <w:r w:rsidRPr="00901DF7" w:rsidR="008B1EDE">
        <w:rPr>
          <w:szCs w:val="26"/>
        </w:rPr>
        <w:t>“</w:t>
      </w:r>
      <w:r w:rsidRPr="00901DF7" w:rsidR="00C9205A">
        <w:rPr>
          <w:szCs w:val="26"/>
        </w:rPr>
        <w:t>Once the Legislature decided to include one class of young adult offenders,</w:t>
      </w:r>
      <w:r w:rsidRPr="00901DF7" w:rsidR="008B1EDE">
        <w:rPr>
          <w:szCs w:val="26"/>
        </w:rPr>
        <w:t xml:space="preserve">” the defendant </w:t>
      </w:r>
      <w:r w:rsidR="005679A0">
        <w:rPr>
          <w:szCs w:val="26"/>
        </w:rPr>
        <w:t>argued</w:t>
      </w:r>
      <w:r w:rsidRPr="00901DF7" w:rsidR="008B1EDE">
        <w:rPr>
          <w:szCs w:val="26"/>
        </w:rPr>
        <w:t>, “</w:t>
      </w:r>
      <w:r w:rsidRPr="00901DF7" w:rsidR="00C9205A">
        <w:rPr>
          <w:szCs w:val="26"/>
        </w:rPr>
        <w:t>it was obligated to include both.”  (</w:t>
      </w:r>
      <w:r w:rsidRPr="00901DF7" w:rsidR="008B1EDE">
        <w:rPr>
          <w:i/>
          <w:iCs/>
          <w:szCs w:val="26"/>
        </w:rPr>
        <w:t>Ibid</w:t>
      </w:r>
      <w:r w:rsidRPr="00901DF7" w:rsidR="003C466D">
        <w:rPr>
          <w:i/>
          <w:iCs/>
          <w:szCs w:val="26"/>
        </w:rPr>
        <w:t>.</w:t>
      </w:r>
      <w:r w:rsidRPr="00901DF7" w:rsidR="00C9205A">
        <w:rPr>
          <w:szCs w:val="26"/>
        </w:rPr>
        <w:t xml:space="preserve">)  </w:t>
      </w:r>
    </w:p>
    <w:p w:rsidR="00ED3901" w:rsidRPr="00901DF7" w:rsidP="00901DF7" w14:paraId="7B933ED9" w14:textId="1F4DAEC5">
      <w:pPr>
        <w:tabs>
          <w:tab w:val="left" w:pos="720"/>
          <w:tab w:val="left" w:pos="1440"/>
        </w:tabs>
      </w:pPr>
      <w:r w:rsidRPr="00901DF7">
        <w:rPr>
          <w:szCs w:val="26"/>
        </w:rPr>
        <w:tab/>
      </w:r>
      <w:r w:rsidRPr="00901DF7" w:rsidR="00B57EC4">
        <w:rPr>
          <w:szCs w:val="26"/>
        </w:rPr>
        <w:t xml:space="preserve">Rejecting </w:t>
      </w:r>
      <w:r w:rsidRPr="00901DF7" w:rsidR="008B1EDE">
        <w:rPr>
          <w:szCs w:val="26"/>
        </w:rPr>
        <w:t xml:space="preserve">the defendant’s </w:t>
      </w:r>
      <w:r w:rsidRPr="00901DF7" w:rsidR="00B57EC4">
        <w:rPr>
          <w:szCs w:val="26"/>
        </w:rPr>
        <w:t xml:space="preserve">argument, </w:t>
      </w:r>
      <w:r w:rsidRPr="00901DF7" w:rsidR="009D5EAB">
        <w:rPr>
          <w:szCs w:val="26"/>
        </w:rPr>
        <w:t xml:space="preserve">we </w:t>
      </w:r>
      <w:r w:rsidRPr="00901DF7" w:rsidR="00681E6E">
        <w:rPr>
          <w:szCs w:val="26"/>
        </w:rPr>
        <w:t xml:space="preserve">first </w:t>
      </w:r>
      <w:r w:rsidRPr="00901DF7" w:rsidR="009D5EAB">
        <w:rPr>
          <w:szCs w:val="26"/>
        </w:rPr>
        <w:t xml:space="preserve">explained that the Legislature was </w:t>
      </w:r>
      <w:r w:rsidRPr="00901DF7" w:rsidR="008B1EDE">
        <w:rPr>
          <w:szCs w:val="26"/>
        </w:rPr>
        <w:t>under no “constitutional compulsion” to include young adults up to the age of 25 within section 3051’s purview</w:t>
      </w:r>
      <w:r w:rsidRPr="00901DF7" w:rsidR="008E14EE">
        <w:rPr>
          <w:szCs w:val="26"/>
        </w:rPr>
        <w:t>,</w:t>
      </w:r>
      <w:r w:rsidRPr="00901DF7" w:rsidR="008B1EDE">
        <w:rPr>
          <w:szCs w:val="26"/>
        </w:rPr>
        <w:t xml:space="preserve"> but </w:t>
      </w:r>
      <w:r w:rsidRPr="00901DF7" w:rsidR="008E14EE">
        <w:rPr>
          <w:szCs w:val="26"/>
        </w:rPr>
        <w:t xml:space="preserve">that it </w:t>
      </w:r>
      <w:r w:rsidRPr="00901DF7" w:rsidR="008B1EDE">
        <w:rPr>
          <w:szCs w:val="26"/>
        </w:rPr>
        <w:t>“chose to”</w:t>
      </w:r>
      <w:r w:rsidRPr="00901DF7" w:rsidR="00BA307E">
        <w:rPr>
          <w:szCs w:val="26"/>
        </w:rPr>
        <w:t xml:space="preserve"> </w:t>
      </w:r>
      <w:r w:rsidRPr="00901DF7" w:rsidR="008B1EDE">
        <w:rPr>
          <w:szCs w:val="26"/>
        </w:rPr>
        <w:t xml:space="preserve">do so </w:t>
      </w:r>
      <w:r w:rsidRPr="00901DF7" w:rsidR="001327F0">
        <w:rPr>
          <w:szCs w:val="26"/>
        </w:rPr>
        <w:t>based on scientific evidence that neurological development “continues beyond adolescence and into the mid-20’s.”</w:t>
      </w:r>
      <w:r w:rsidRPr="00901DF7" w:rsidR="002B3632">
        <w:rPr>
          <w:szCs w:val="26"/>
        </w:rPr>
        <w:t xml:space="preserve"> </w:t>
      </w:r>
      <w:r w:rsidRPr="00901DF7" w:rsidR="00625F70">
        <w:rPr>
          <w:szCs w:val="26"/>
        </w:rPr>
        <w:t xml:space="preserve"> </w:t>
      </w:r>
      <w:r w:rsidRPr="00901DF7" w:rsidR="002B3632">
        <w:rPr>
          <w:szCs w:val="26"/>
        </w:rPr>
        <w:t>(</w:t>
      </w:r>
      <w:r w:rsidRPr="00901DF7" w:rsidR="002B3632">
        <w:rPr>
          <w:i/>
          <w:iCs/>
          <w:szCs w:val="26"/>
        </w:rPr>
        <w:t>Hardin, supra</w:t>
      </w:r>
      <w:r w:rsidRPr="00901DF7" w:rsidR="002B3632">
        <w:rPr>
          <w:szCs w:val="26"/>
        </w:rPr>
        <w:t xml:space="preserve">, 15 </w:t>
      </w:r>
      <w:r w:rsidRPr="00901DF7" w:rsidR="00704884">
        <w:rPr>
          <w:szCs w:val="26"/>
        </w:rPr>
        <w:t>Cal.5th</w:t>
      </w:r>
      <w:r w:rsidRPr="00901DF7" w:rsidR="009C2DF9">
        <w:rPr>
          <w:szCs w:val="26"/>
        </w:rPr>
        <w:t xml:space="preserve"> </w:t>
      </w:r>
      <w:r w:rsidRPr="00901DF7" w:rsidR="002B3632">
        <w:rPr>
          <w:szCs w:val="26"/>
        </w:rPr>
        <w:t>at p</w:t>
      </w:r>
      <w:r w:rsidRPr="00901DF7" w:rsidR="001327F0">
        <w:rPr>
          <w:szCs w:val="26"/>
        </w:rPr>
        <w:t>p</w:t>
      </w:r>
      <w:r w:rsidRPr="00901DF7" w:rsidR="002B3632">
        <w:rPr>
          <w:szCs w:val="26"/>
        </w:rPr>
        <w:t>.</w:t>
      </w:r>
      <w:r w:rsidRPr="00901DF7" w:rsidR="00A61F9B">
        <w:rPr>
          <w:szCs w:val="26"/>
        </w:rPr>
        <w:t xml:space="preserve"> </w:t>
      </w:r>
      <w:r w:rsidRPr="00901DF7" w:rsidR="001327F0">
        <w:rPr>
          <w:szCs w:val="26"/>
        </w:rPr>
        <w:t xml:space="preserve">846, </w:t>
      </w:r>
      <w:r w:rsidRPr="00901DF7" w:rsidR="00A61F9B">
        <w:rPr>
          <w:szCs w:val="26"/>
        </w:rPr>
        <w:t>866</w:t>
      </w:r>
      <w:r w:rsidRPr="00901DF7" w:rsidR="002B3632">
        <w:rPr>
          <w:szCs w:val="26"/>
        </w:rPr>
        <w:t xml:space="preserve">.) </w:t>
      </w:r>
      <w:r w:rsidRPr="00901DF7" w:rsidR="00F35DEB">
        <w:rPr>
          <w:szCs w:val="26"/>
        </w:rPr>
        <w:t xml:space="preserve"> </w:t>
      </w:r>
      <w:r w:rsidRPr="00901DF7" w:rsidR="00681E6E">
        <w:rPr>
          <w:szCs w:val="26"/>
        </w:rPr>
        <w:t>We next explained that the Legislature,</w:t>
      </w:r>
      <w:r w:rsidRPr="00901DF7" w:rsidR="008B1EDE">
        <w:rPr>
          <w:szCs w:val="26"/>
        </w:rPr>
        <w:t xml:space="preserve"> </w:t>
      </w:r>
      <w:r w:rsidRPr="00901DF7" w:rsidR="00681E6E">
        <w:rPr>
          <w:szCs w:val="26"/>
        </w:rPr>
        <w:t>h</w:t>
      </w:r>
      <w:r w:rsidRPr="00901DF7" w:rsidR="008B1EDE">
        <w:rPr>
          <w:szCs w:val="26"/>
        </w:rPr>
        <w:t xml:space="preserve">aving made that choice, </w:t>
      </w:r>
      <w:r w:rsidRPr="00901DF7" w:rsidR="009F792A">
        <w:rPr>
          <w:szCs w:val="26"/>
        </w:rPr>
        <w:t xml:space="preserve">was </w:t>
      </w:r>
      <w:r w:rsidRPr="00901DF7" w:rsidR="00F35DEB">
        <w:rPr>
          <w:szCs w:val="26"/>
        </w:rPr>
        <w:t>not</w:t>
      </w:r>
      <w:r w:rsidRPr="00901DF7" w:rsidR="00FF4255">
        <w:rPr>
          <w:szCs w:val="26"/>
        </w:rPr>
        <w:t xml:space="preserve"> thereby </w:t>
      </w:r>
      <w:r w:rsidRPr="00901DF7" w:rsidR="006C410F">
        <w:rPr>
          <w:szCs w:val="26"/>
        </w:rPr>
        <w:t xml:space="preserve">constitutionally </w:t>
      </w:r>
      <w:r w:rsidRPr="00901DF7" w:rsidR="00FF4255">
        <w:rPr>
          <w:szCs w:val="26"/>
        </w:rPr>
        <w:t>obligate</w:t>
      </w:r>
      <w:r w:rsidRPr="00901DF7" w:rsidR="009F792A">
        <w:rPr>
          <w:szCs w:val="26"/>
        </w:rPr>
        <w:t xml:space="preserve">d </w:t>
      </w:r>
      <w:r w:rsidRPr="00901DF7" w:rsidR="00FF4255">
        <w:rPr>
          <w:szCs w:val="26"/>
        </w:rPr>
        <w:t xml:space="preserve">to treat all such </w:t>
      </w:r>
      <w:r w:rsidRPr="00901DF7" w:rsidR="001F18EF">
        <w:rPr>
          <w:szCs w:val="26"/>
        </w:rPr>
        <w:t xml:space="preserve">offenders </w:t>
      </w:r>
      <w:r w:rsidRPr="00901DF7" w:rsidR="00FF4255">
        <w:rPr>
          <w:szCs w:val="26"/>
        </w:rPr>
        <w:t>the same, regardless of the severity or nature of the</w:t>
      </w:r>
      <w:r w:rsidRPr="00901DF7" w:rsidR="006C410F">
        <w:rPr>
          <w:szCs w:val="26"/>
        </w:rPr>
        <w:t>ir</w:t>
      </w:r>
      <w:r w:rsidRPr="00901DF7" w:rsidR="00FF4255">
        <w:rPr>
          <w:szCs w:val="26"/>
        </w:rPr>
        <w:t xml:space="preserve"> crimes</w:t>
      </w:r>
      <w:r w:rsidRPr="00901DF7" w:rsidR="006C410F">
        <w:rPr>
          <w:szCs w:val="26"/>
        </w:rPr>
        <w:t>, the degree of culpability those crimes demonstrated, the prospects for rehabilitation, or the sentence imposed</w:t>
      </w:r>
      <w:r w:rsidRPr="00901DF7" w:rsidR="00D26D81">
        <w:rPr>
          <w:szCs w:val="26"/>
        </w:rPr>
        <w:t>.</w:t>
      </w:r>
      <w:r w:rsidRPr="00901DF7" w:rsidR="006C410F">
        <w:rPr>
          <w:szCs w:val="26"/>
        </w:rPr>
        <w:t xml:space="preserve"> </w:t>
      </w:r>
      <w:r w:rsidRPr="00901DF7" w:rsidR="00D26D81">
        <w:rPr>
          <w:szCs w:val="26"/>
        </w:rPr>
        <w:t xml:space="preserve"> </w:t>
      </w:r>
      <w:r w:rsidRPr="00901DF7" w:rsidR="006C410F">
        <w:rPr>
          <w:szCs w:val="26"/>
        </w:rPr>
        <w:t>(</w:t>
      </w:r>
      <w:r w:rsidRPr="00901DF7" w:rsidR="00D26D81">
        <w:rPr>
          <w:i/>
          <w:iCs/>
          <w:szCs w:val="26"/>
        </w:rPr>
        <w:t>I</w:t>
      </w:r>
      <w:r w:rsidRPr="00901DF7" w:rsidR="006C410F">
        <w:rPr>
          <w:i/>
          <w:iCs/>
          <w:szCs w:val="26"/>
        </w:rPr>
        <w:t>d</w:t>
      </w:r>
      <w:r w:rsidRPr="00901DF7" w:rsidR="006C410F">
        <w:rPr>
          <w:szCs w:val="26"/>
        </w:rPr>
        <w:t>. at pp. 855–858</w:t>
      </w:r>
      <w:r w:rsidR="00E66F17">
        <w:rPr>
          <w:szCs w:val="26"/>
        </w:rPr>
        <w:t>.</w:t>
      </w:r>
      <w:r w:rsidRPr="00901DF7" w:rsidR="006C410F">
        <w:rPr>
          <w:szCs w:val="26"/>
        </w:rPr>
        <w:t xml:space="preserve">)  </w:t>
      </w:r>
      <w:r w:rsidRPr="00901DF7" w:rsidR="00AE4240">
        <w:rPr>
          <w:szCs w:val="26"/>
        </w:rPr>
        <w:t>In expanding section 3051 to include young adult offenders, the Legislature did not have “ ‘a single purpose’ ” in mind (</w:t>
      </w:r>
      <w:r w:rsidRPr="00901DF7" w:rsidR="00AE4240">
        <w:rPr>
          <w:i/>
          <w:iCs/>
          <w:szCs w:val="26"/>
        </w:rPr>
        <w:t xml:space="preserve">id. </w:t>
      </w:r>
      <w:r w:rsidRPr="00901DF7" w:rsidR="00AE4240">
        <w:rPr>
          <w:szCs w:val="26"/>
        </w:rPr>
        <w:t>at p. 853); rather, it “sought to balance” the statute’s “primary objective”</w:t>
      </w:r>
      <w:r w:rsidR="00EE7A80">
        <w:rPr>
          <w:szCs w:val="26"/>
        </w:rPr>
        <w:t> </w:t>
      </w:r>
      <w:r w:rsidRPr="00901DF7" w:rsidR="00AE4240">
        <w:rPr>
          <w:szCs w:val="26"/>
        </w:rPr>
        <w:t>— “giv[ing] these young persons the opportunity to obtain release based on demonstrated growth and rehabilitation”</w:t>
      </w:r>
      <w:r w:rsidR="00EE7A80">
        <w:rPr>
          <w:szCs w:val="26"/>
        </w:rPr>
        <w:t> </w:t>
      </w:r>
      <w:r w:rsidRPr="00901DF7" w:rsidR="00AE4240">
        <w:rPr>
          <w:szCs w:val="26"/>
        </w:rPr>
        <w:t>— “with other, sometimes competing, concerns, including concerns about culpability and the appropriate level of punishment for certain very serious crimes.”  (</w:t>
      </w:r>
      <w:r w:rsidRPr="00901DF7" w:rsidR="00AE4240">
        <w:rPr>
          <w:i/>
          <w:iCs/>
          <w:szCs w:val="26"/>
        </w:rPr>
        <w:t xml:space="preserve">Id. </w:t>
      </w:r>
      <w:r w:rsidRPr="00901DF7" w:rsidR="00AE4240">
        <w:rPr>
          <w:szCs w:val="26"/>
        </w:rPr>
        <w:t xml:space="preserve">at p. 854.)  </w:t>
      </w:r>
      <w:r w:rsidRPr="00901DF7" w:rsidR="00247EC6">
        <w:rPr>
          <w:szCs w:val="26"/>
        </w:rPr>
        <w:t>“In other words, in designing section 3051, the Legislature consciously drew lines that altered the parole component of offenders’ sentences based not only on the age of the offender (and thus the offender’s amenability to rehabilitation) but also on the offense and sentence imposed.  The lines the Legislature drew necessarily reflect a set of legislative judgments about the nature of punishment that is appropriate for the crime.”  (</w:t>
      </w:r>
      <w:r w:rsidRPr="00901DF7" w:rsidR="002049ED">
        <w:rPr>
          <w:i/>
          <w:iCs/>
          <w:szCs w:val="26"/>
        </w:rPr>
        <w:t>Id.</w:t>
      </w:r>
      <w:r w:rsidRPr="00901DF7" w:rsidR="00247EC6">
        <w:rPr>
          <w:szCs w:val="26"/>
        </w:rPr>
        <w:t xml:space="preserve"> at p. 855.)  </w:t>
      </w:r>
      <w:r w:rsidRPr="00901DF7" w:rsidR="008E14EE">
        <w:rPr>
          <w:szCs w:val="26"/>
        </w:rPr>
        <w:t>Because these “legislative policy choices” are not “irrational,” they are not “impermissible as a matter of equal protection.”</w:t>
      </w:r>
      <w:r w:rsidR="00E418EB">
        <w:rPr>
          <w:szCs w:val="26"/>
        </w:rPr>
        <w:t xml:space="preserve">  </w:t>
      </w:r>
      <w:r w:rsidRPr="00901DF7" w:rsidR="008E14EE">
        <w:rPr>
          <w:szCs w:val="26"/>
        </w:rPr>
        <w:t>(</w:t>
      </w:r>
      <w:r w:rsidRPr="00901DF7" w:rsidR="008E14EE">
        <w:rPr>
          <w:i/>
          <w:iCs/>
          <w:szCs w:val="26"/>
        </w:rPr>
        <w:t>Id</w:t>
      </w:r>
      <w:r w:rsidRPr="00901DF7" w:rsidR="008E14EE">
        <w:rPr>
          <w:szCs w:val="26"/>
        </w:rPr>
        <w:t xml:space="preserve">. at p. 840.) </w:t>
      </w:r>
      <w:r w:rsidRPr="00901DF7" w:rsidR="00FB33A7">
        <w:tab/>
      </w:r>
    </w:p>
    <w:p w:rsidR="00745814" w:rsidRPr="00901DF7" w:rsidP="00901DF7" w14:paraId="49AF0185" w14:textId="42F3E43A">
      <w:pPr>
        <w:tabs>
          <w:tab w:val="left" w:pos="720"/>
          <w:tab w:val="left" w:pos="1440"/>
        </w:tabs>
      </w:pPr>
      <w:r w:rsidRPr="00901DF7">
        <w:tab/>
      </w:r>
      <w:r w:rsidRPr="00901DF7" w:rsidR="00FB33A7">
        <w:t>Regarding the One Strike exclusion at issue here, we agree with the Attorney General that the Legislature could rationally exclude One Strike offenders from early parole under section 3051 based on a combination of concerns:  the increased risk of recidivism that One Strike offenders pose and the aggravated nature of their offenses.</w:t>
      </w:r>
      <w:r>
        <w:rPr>
          <w:rStyle w:val="FootnoteReference"/>
        </w:rPr>
        <w:footnoteReference w:id="10"/>
      </w:r>
      <w:r w:rsidRPr="00901DF7" w:rsidR="00FB33A7">
        <w:t xml:space="preserve">  It is true that nothing in section 3051’s legislative history specifically references the reason for the One Strike exclusion.  </w:t>
      </w:r>
      <w:r w:rsidRPr="00901DF7">
        <w:rPr>
          <w:szCs w:val="26"/>
        </w:rPr>
        <w:t xml:space="preserve">But </w:t>
      </w:r>
      <w:r w:rsidR="00EA56E1">
        <w:rPr>
          <w:szCs w:val="26"/>
        </w:rPr>
        <w:t xml:space="preserve">it is well established that </w:t>
      </w:r>
      <w:r w:rsidRPr="00901DF7">
        <w:rPr>
          <w:szCs w:val="26"/>
        </w:rPr>
        <w:t>a</w:t>
      </w:r>
      <w:r w:rsidRPr="00901DF7">
        <w:t>n equal protection claim subject to rational basis review does not rise or fall based on whether lawmakers expressly articulated the purpose they sought to achieve with the challenged legislation.  (See</w:t>
      </w:r>
      <w:r w:rsidRPr="00901DF7">
        <w:rPr>
          <w:i/>
          <w:iCs/>
        </w:rPr>
        <w:t xml:space="preserve"> ante</w:t>
      </w:r>
      <w:r w:rsidRPr="00901DF7">
        <w:t>, at p. 2</w:t>
      </w:r>
      <w:r w:rsidR="00C45D95">
        <w:t>4</w:t>
      </w:r>
      <w:r w:rsidRPr="00901DF7">
        <w:t xml:space="preserve">.)  </w:t>
      </w:r>
      <w:bookmarkStart w:id="6" w:name="_Hlk170870346"/>
      <w:r w:rsidRPr="00901DF7">
        <w:t>A court conducting such review “may engage in ‘</w:t>
      </w:r>
      <w:r w:rsidR="0074534C">
        <w:t> </w:t>
      </w:r>
      <w:r w:rsidRPr="00901DF7">
        <w:t>“rational speculation”</w:t>
      </w:r>
      <w:r w:rsidR="0074534C">
        <w:t> </w:t>
      </w:r>
      <w:r w:rsidRPr="00901DF7">
        <w:t>’ as to the justifications for the legislative choice</w:t>
      </w:r>
      <w:r w:rsidR="00A779D0">
        <w:t xml:space="preserve"> </w:t>
      </w:r>
      <w:r w:rsidR="00EE7A80">
        <w:t>[citation]</w:t>
      </w:r>
      <w:r w:rsidRPr="00901DF7">
        <w:t xml:space="preserve"> ‘whether or not’ any such speculation has ‘a foundation in the record.’</w:t>
      </w:r>
      <w:r w:rsidR="0074534C">
        <w:t> </w:t>
      </w:r>
      <w:r w:rsidRPr="00901DF7">
        <w:t>”  (</w:t>
      </w:r>
      <w:r w:rsidRPr="00901DF7">
        <w:rPr>
          <w:i/>
          <w:iCs/>
        </w:rPr>
        <w:t xml:space="preserve">People v. Turnage </w:t>
      </w:r>
      <w:r w:rsidRPr="00901DF7">
        <w:t>(2012) 55 Cal.4th 62, 75 (</w:t>
      </w:r>
      <w:r w:rsidRPr="00901DF7">
        <w:rPr>
          <w:i/>
          <w:iCs/>
        </w:rPr>
        <w:t>Turnage</w:t>
      </w:r>
      <w:r w:rsidRPr="00901DF7">
        <w:t xml:space="preserve">); see </w:t>
      </w:r>
      <w:r w:rsidRPr="00901DF7">
        <w:rPr>
          <w:i/>
          <w:iCs/>
        </w:rPr>
        <w:t>Heller</w:t>
      </w:r>
      <w:r w:rsidRPr="00901DF7">
        <w:t xml:space="preserve">, </w:t>
      </w:r>
      <w:r w:rsidRPr="00901DF7">
        <w:rPr>
          <w:i/>
          <w:iCs/>
        </w:rPr>
        <w:t>supra</w:t>
      </w:r>
      <w:r w:rsidRPr="00901DF7">
        <w:t>, 509 U.S. at p. 320 [state need not “produce evidence to sustain the rationality of a statutory classification”].)</w:t>
      </w:r>
      <w:r w:rsidR="00E418EB">
        <w:t xml:space="preserve">  </w:t>
      </w:r>
    </w:p>
    <w:bookmarkEnd w:id="6"/>
    <w:p w:rsidR="00112D70" w:rsidRPr="00901DF7" w:rsidP="00901DF7" w14:paraId="191D7622" w14:textId="3A6E6267">
      <w:pPr>
        <w:tabs>
          <w:tab w:val="left" w:pos="720"/>
          <w:tab w:val="left" w:pos="1440"/>
        </w:tabs>
      </w:pPr>
      <w:r w:rsidRPr="00901DF7">
        <w:tab/>
      </w:r>
      <w:r w:rsidRPr="00901DF7" w:rsidR="00391C28">
        <w:t xml:space="preserve">For example, in </w:t>
      </w:r>
      <w:r w:rsidRPr="00901DF7" w:rsidR="00391C28">
        <w:rPr>
          <w:i/>
          <w:iCs/>
        </w:rPr>
        <w:t>Hardin</w:t>
      </w:r>
      <w:r w:rsidRPr="00901DF7" w:rsidR="00391C28">
        <w:t>, we identified the rational basis for the LWOP exclusion there at issue</w:t>
      </w:r>
      <w:r w:rsidR="00EE7A80">
        <w:t> </w:t>
      </w:r>
      <w:r w:rsidRPr="00901DF7" w:rsidR="005F2290">
        <w:t xml:space="preserve">— </w:t>
      </w:r>
      <w:r w:rsidRPr="00901DF7" w:rsidR="00391C28">
        <w:t xml:space="preserve">not in any statutory language or legislative history </w:t>
      </w:r>
      <w:r w:rsidR="00EA56E1">
        <w:t xml:space="preserve">explicitly </w:t>
      </w:r>
      <w:r w:rsidRPr="00901DF7" w:rsidR="00391C28">
        <w:t>explaining the reason for the exclusion</w:t>
      </w:r>
      <w:r w:rsidR="00EE7A80">
        <w:t> </w:t>
      </w:r>
      <w:r w:rsidRPr="00901DF7" w:rsidR="005F2290">
        <w:t xml:space="preserve">— </w:t>
      </w:r>
      <w:r w:rsidRPr="00901DF7" w:rsidR="00391C28">
        <w:t>but more broadly in the “statutory framework” (</w:t>
      </w:r>
      <w:r w:rsidRPr="00901DF7" w:rsidR="00391C28">
        <w:rPr>
          <w:i/>
          <w:iCs/>
        </w:rPr>
        <w:t>Hardin</w:t>
      </w:r>
      <w:r w:rsidRPr="00901DF7" w:rsidR="00391C28">
        <w:t xml:space="preserve">, </w:t>
      </w:r>
      <w:r w:rsidRPr="00901DF7" w:rsidR="00391C28">
        <w:rPr>
          <w:i/>
          <w:iCs/>
        </w:rPr>
        <w:t>supra</w:t>
      </w:r>
      <w:r w:rsidRPr="00901DF7" w:rsidR="00391C28">
        <w:t xml:space="preserve">, 15 Cal.5th at p. 855) </w:t>
      </w:r>
      <w:r w:rsidRPr="00901DF7" w:rsidR="00CB635F">
        <w:t xml:space="preserve">embodying </w:t>
      </w:r>
      <w:r w:rsidRPr="00901DF7" w:rsidR="00391C28">
        <w:t>“longstanding [legislative] judgments about the seriousness of” the crimes that authorized an LWOP sentence “and, relatedly, the punishment for them” (</w:t>
      </w:r>
      <w:r w:rsidRPr="00901DF7" w:rsidR="00391C28">
        <w:rPr>
          <w:i/>
          <w:iCs/>
        </w:rPr>
        <w:t>id.</w:t>
      </w:r>
      <w:r w:rsidRPr="00901DF7" w:rsidR="00391C28">
        <w:t xml:space="preserve"> at p. 853).  This framework, we reasoned, </w:t>
      </w:r>
      <w:r w:rsidRPr="00901DF7" w:rsidR="002C5D21">
        <w:t>reflects that the Legislature</w:t>
      </w:r>
      <w:r w:rsidRPr="00901DF7" w:rsidR="00391C28">
        <w:t xml:space="preserve"> in enacting section 3051, “aimed to increase opportunities for meaningful release for young adult offenders, while taking into account the appropriate punishment for the underlying crimes, depending on their severity.”  (</w:t>
      </w:r>
      <w:r w:rsidRPr="00901DF7" w:rsidR="00391C28">
        <w:rPr>
          <w:i/>
          <w:iCs/>
        </w:rPr>
        <w:t>Hardin</w:t>
      </w:r>
      <w:r w:rsidRPr="00901DF7" w:rsidR="00391C28">
        <w:t>, at p. 855.)</w:t>
      </w:r>
      <w:r w:rsidR="00E418EB">
        <w:t xml:space="preserve">  </w:t>
      </w:r>
    </w:p>
    <w:p w:rsidR="0011698B" w:rsidRPr="00901DF7" w:rsidP="00901DF7" w14:paraId="76F94E92" w14:textId="06809A17">
      <w:pPr>
        <w:tabs>
          <w:tab w:val="left" w:pos="720"/>
          <w:tab w:val="left" w:pos="1440"/>
        </w:tabs>
      </w:pPr>
      <w:r w:rsidRPr="00901DF7">
        <w:tab/>
      </w:r>
      <w:bookmarkStart w:id="7" w:name="_Hlk174977126"/>
      <w:r w:rsidR="00A473EE">
        <w:t>So too here</w:t>
      </w:r>
      <w:r w:rsidR="001D33B2">
        <w:t>,</w:t>
      </w:r>
      <w:r w:rsidR="00A473EE">
        <w:t xml:space="preserve"> it is not difficult to perceive the basis for the Legislature’s exclusion of One Strike offenders, particularly given what is well known about the history of, and motivations underlying, the enactment and amendment of the One Strike law. </w:t>
      </w:r>
      <w:r w:rsidRPr="00901DF7" w:rsidR="003A64CD">
        <w:t xml:space="preserve"> </w:t>
      </w:r>
      <w:r w:rsidR="00507E5E">
        <w:t>Contrary to our dissenting colleague’s suggestion</w:t>
      </w:r>
      <w:r w:rsidR="00E26E74">
        <w:t xml:space="preserve"> (dis. opn. of Liu, J.,</w:t>
      </w:r>
      <w:r w:rsidRPr="00E26E74" w:rsidR="00E26E74">
        <w:rPr>
          <w:i/>
          <w:iCs/>
        </w:rPr>
        <w:t xml:space="preserve"> post</w:t>
      </w:r>
      <w:r w:rsidR="00E26E74">
        <w:t>, at pp. 17–18)</w:t>
      </w:r>
      <w:r w:rsidR="00507E5E">
        <w:t>,</w:t>
      </w:r>
      <w:r w:rsidR="00FF09DA">
        <w:t xml:space="preserve"> because </w:t>
      </w:r>
      <w:r w:rsidR="00507E5E">
        <w:t>the</w:t>
      </w:r>
      <w:r w:rsidRPr="00901DF7">
        <w:t xml:space="preserve"> Legislature </w:t>
      </w:r>
      <w:r w:rsidR="00907DFA">
        <w:t xml:space="preserve">expressly </w:t>
      </w:r>
      <w:r w:rsidR="00FF09DA">
        <w:t xml:space="preserve">incorporated the One Strike law as an exclusion to early parole eligibility under section 3051, the Legislature </w:t>
      </w:r>
      <w:r w:rsidR="00A473EE">
        <w:t xml:space="preserve">is presumed to be </w:t>
      </w:r>
      <w:r w:rsidRPr="00901DF7">
        <w:t xml:space="preserve">aware of </w:t>
      </w:r>
      <w:r w:rsidRPr="00901DF7" w:rsidR="006605C3">
        <w:t xml:space="preserve">the concerns addressed by the </w:t>
      </w:r>
      <w:r w:rsidRPr="00901DF7">
        <w:t xml:space="preserve">One Strike </w:t>
      </w:r>
      <w:r w:rsidRPr="00901DF7" w:rsidR="006605C3">
        <w:t>law</w:t>
      </w:r>
      <w:r w:rsidRPr="00901DF7" w:rsidR="00D26D81">
        <w:t xml:space="preserve"> identified </w:t>
      </w:r>
      <w:r w:rsidRPr="00901DF7" w:rsidR="00995699">
        <w:t xml:space="preserve">not only </w:t>
      </w:r>
      <w:r w:rsidRPr="00901DF7" w:rsidR="00D26D81">
        <w:t xml:space="preserve">in </w:t>
      </w:r>
      <w:r w:rsidRPr="00901DF7" w:rsidR="006605C3">
        <w:t>its</w:t>
      </w:r>
      <w:r w:rsidRPr="00901DF7" w:rsidR="00D26D81">
        <w:t xml:space="preserve"> legislative history</w:t>
      </w:r>
      <w:r w:rsidR="00EE1D71">
        <w:t>, including to ensure that dangerous sex offenders who committed their offenses under aggravated circumstances would be subject to lengthy prison terms</w:t>
      </w:r>
      <w:r w:rsidRPr="00901DF7" w:rsidR="00D26D81">
        <w:t xml:space="preserve"> (see </w:t>
      </w:r>
      <w:r w:rsidRPr="00901DF7" w:rsidR="00D26D81">
        <w:rPr>
          <w:i/>
          <w:iCs/>
        </w:rPr>
        <w:t>ante</w:t>
      </w:r>
      <w:r w:rsidRPr="00901DF7" w:rsidR="00D26D81">
        <w:t>, at p</w:t>
      </w:r>
      <w:r w:rsidRPr="00901DF7" w:rsidR="00125382">
        <w:t>p</w:t>
      </w:r>
      <w:r w:rsidRPr="00901DF7" w:rsidR="00D26D81">
        <w:t xml:space="preserve">. </w:t>
      </w:r>
      <w:r w:rsidRPr="00901DF7" w:rsidR="00125382">
        <w:t>1</w:t>
      </w:r>
      <w:r w:rsidR="009A1E65">
        <w:t>3</w:t>
      </w:r>
      <w:r w:rsidRPr="00901DF7" w:rsidR="00125382">
        <w:t>–1</w:t>
      </w:r>
      <w:r w:rsidR="00C45D95">
        <w:t>7</w:t>
      </w:r>
      <w:r w:rsidRPr="00901DF7" w:rsidR="00D26D81">
        <w:t>)</w:t>
      </w:r>
      <w:r w:rsidRPr="00901DF7" w:rsidR="00995699">
        <w:t xml:space="preserve">, but also </w:t>
      </w:r>
      <w:r w:rsidRPr="00901DF7" w:rsidR="00D26D81">
        <w:t xml:space="preserve">in decisions interpreting that law (see, e.g., </w:t>
      </w:r>
      <w:r w:rsidRPr="00901DF7" w:rsidR="00125382">
        <w:rPr>
          <w:i/>
          <w:iCs/>
        </w:rPr>
        <w:t>Wutzke</w:t>
      </w:r>
      <w:r w:rsidRPr="00901DF7" w:rsidR="00125382">
        <w:t xml:space="preserve">, </w:t>
      </w:r>
      <w:r w:rsidRPr="00901DF7" w:rsidR="00125382">
        <w:rPr>
          <w:i/>
          <w:iCs/>
        </w:rPr>
        <w:t>supra</w:t>
      </w:r>
      <w:r w:rsidRPr="00901DF7" w:rsidR="00125382">
        <w:t>, 28 Cal.4th at pp. 929</w:t>
      </w:r>
      <w:r w:rsidR="00EE7A80">
        <w:t>–</w:t>
      </w:r>
      <w:r w:rsidRPr="00901DF7" w:rsidR="00125382">
        <w:t xml:space="preserve">930; </w:t>
      </w:r>
      <w:r w:rsidRPr="00901DF7" w:rsidR="00125382">
        <w:rPr>
          <w:i/>
          <w:iCs/>
        </w:rPr>
        <w:t>Hammer</w:t>
      </w:r>
      <w:r w:rsidRPr="00901DF7" w:rsidR="00125382">
        <w:t xml:space="preserve">, </w:t>
      </w:r>
      <w:r w:rsidRPr="00901DF7" w:rsidR="00125382">
        <w:rPr>
          <w:i/>
          <w:iCs/>
        </w:rPr>
        <w:t>supra</w:t>
      </w:r>
      <w:r w:rsidRPr="00901DF7" w:rsidR="00125382">
        <w:t>, 30 Cal.4th at p. 768)</w:t>
      </w:r>
      <w:r w:rsidRPr="00901DF7">
        <w:t xml:space="preserve">.  </w:t>
      </w:r>
      <w:r w:rsidRPr="00901DF7" w:rsidR="00B11734">
        <w:t>(</w:t>
      </w:r>
      <w:r w:rsidRPr="00901DF7" w:rsidR="00995699">
        <w:t xml:space="preserve">Cf. </w:t>
      </w:r>
      <w:r w:rsidRPr="00901DF7" w:rsidR="00B11734">
        <w:rPr>
          <w:i/>
          <w:iCs/>
        </w:rPr>
        <w:t>Lorillard v. Pons</w:t>
      </w:r>
      <w:r w:rsidRPr="00901DF7" w:rsidR="00B11734">
        <w:t xml:space="preserve"> (1978) 434 U.S. 575, 581</w:t>
      </w:r>
      <w:r w:rsidRPr="00901DF7">
        <w:t xml:space="preserve"> [when “Congress adopts a new law incorporating sections of a prior law, Congress normally can be presumed to have had knowledge of the interpretation given to the incorporated law, at least insofar as it affects the new statute”]</w:t>
      </w:r>
      <w:r w:rsidR="00273A76">
        <w:t>; see</w:t>
      </w:r>
      <w:r w:rsidRPr="00273A76" w:rsidR="00273A76">
        <w:rPr>
          <w:i/>
          <w:iCs/>
        </w:rPr>
        <w:t xml:space="preserve"> Williams v. Garcetti </w:t>
      </w:r>
      <w:r w:rsidRPr="00273A76" w:rsidR="00273A76">
        <w:t>(1993) 5 Cal.4th 561, 572</w:t>
      </w:r>
      <w:r w:rsidR="00273A76">
        <w:t xml:space="preserve"> [we commonly “ ‘assume that in passing a statute the Legislature acted with full knowledge of the state of the law at the time’ ”]</w:t>
      </w:r>
      <w:bookmarkEnd w:id="7"/>
      <w:r w:rsidRPr="00901DF7" w:rsidR="002723F9">
        <w:t xml:space="preserve">.)  </w:t>
      </w:r>
    </w:p>
    <w:p w:rsidR="00C779A5" w:rsidRPr="00901DF7" w:rsidP="00901DF7" w14:paraId="2ED37DB4" w14:textId="1FC245CC">
      <w:pPr>
        <w:tabs>
          <w:tab w:val="left" w:pos="720"/>
          <w:tab w:val="left" w:pos="1440"/>
        </w:tabs>
      </w:pPr>
      <w:r w:rsidRPr="00901DF7">
        <w:tab/>
      </w:r>
      <w:r w:rsidRPr="00901DF7" w:rsidR="004F0B5C">
        <w:t>A</w:t>
      </w:r>
      <w:r w:rsidRPr="00901DF7" w:rsidR="00D30A83">
        <w:t xml:space="preserve">s section 667.61’s legislative history discloses, </w:t>
      </w:r>
      <w:r w:rsidRPr="00901DF7">
        <w:t xml:space="preserve">the </w:t>
      </w:r>
      <w:r w:rsidRPr="00901DF7" w:rsidR="000D72C5">
        <w:t xml:space="preserve">Legislature had </w:t>
      </w:r>
      <w:r w:rsidRPr="00901DF7" w:rsidR="003B7797">
        <w:t>significant concerns regarding recidivism of One Strike offenders</w:t>
      </w:r>
      <w:r w:rsidRPr="00901DF7" w:rsidR="00043AA2">
        <w:t xml:space="preserve"> and the </w:t>
      </w:r>
      <w:r w:rsidR="002B6341">
        <w:t xml:space="preserve">serious </w:t>
      </w:r>
      <w:r w:rsidRPr="00901DF7" w:rsidR="00043AA2">
        <w:t>nature of the offenses</w:t>
      </w:r>
      <w:r w:rsidRPr="00901DF7" w:rsidR="00792E66">
        <w:t xml:space="preserve"> they commit</w:t>
      </w:r>
      <w:r w:rsidRPr="00901DF7" w:rsidR="005B78D4">
        <w:t>.</w:t>
      </w:r>
      <w:r w:rsidRPr="00901DF7" w:rsidR="003B7797">
        <w:t xml:space="preserve">  </w:t>
      </w:r>
      <w:r w:rsidRPr="00901DF7" w:rsidR="00681E6E">
        <w:t>As explained</w:t>
      </w:r>
      <w:r w:rsidRPr="00901DF7" w:rsidR="005B0BA2">
        <w:t>,</w:t>
      </w:r>
      <w:r w:rsidRPr="00901DF7" w:rsidR="00D476B5">
        <w:t xml:space="preserve"> </w:t>
      </w:r>
      <w:r w:rsidRPr="00901DF7" w:rsidR="00681E6E">
        <w:t xml:space="preserve">before </w:t>
      </w:r>
      <w:r w:rsidRPr="00901DF7" w:rsidR="003B7797">
        <w:t xml:space="preserve">section 3051’s enactment in 2013, the One Strike law’s reach was expanded twice:  by the electorate’s passage of Jessica’s Law in 2006 and the Legislature’s </w:t>
      </w:r>
      <w:r w:rsidRPr="00901DF7" w:rsidR="00043AA2">
        <w:t xml:space="preserve">enactment </w:t>
      </w:r>
      <w:r w:rsidRPr="00901DF7" w:rsidR="003B7797">
        <w:t xml:space="preserve">of Chelsea’s Law in 2010.  The relevant legislative history expressly identified </w:t>
      </w:r>
      <w:r w:rsidRPr="00901DF7" w:rsidR="00681E6E">
        <w:t xml:space="preserve">the nature and seriousness of the triggering offenses in combination with </w:t>
      </w:r>
      <w:r w:rsidRPr="00901DF7" w:rsidR="003B7797">
        <w:t xml:space="preserve">significant recidivism concerns as the reason for these amendments.  For instance, the Voter </w:t>
      </w:r>
      <w:r w:rsidR="00EE7A80">
        <w:t xml:space="preserve">Information </w:t>
      </w:r>
      <w:r w:rsidRPr="00901DF7" w:rsidR="003B7797">
        <w:t xml:space="preserve">Guide on Proposition 83 and Jessica’s Law underscored that sex offenders have “very high recidivism rates,” “are the least likely to be cured and the most likely to reoffend, and </w:t>
      </w:r>
      <w:r w:rsidRPr="00901DF7" w:rsidR="00DB61C3">
        <w:t>they</w:t>
      </w:r>
      <w:r w:rsidRPr="00901DF7" w:rsidR="003B7797">
        <w:t xml:space="preserve"> prey on the most innocent members of our society.”  (</w:t>
      </w:r>
      <w:r w:rsidRPr="00901DF7" w:rsidR="003B7797">
        <w:rPr>
          <w:color w:val="000000"/>
          <w:szCs w:val="26"/>
        </w:rPr>
        <w:t xml:space="preserve">Voter </w:t>
      </w:r>
      <w:r w:rsidR="00EE7A80">
        <w:rPr>
          <w:color w:val="000000"/>
          <w:szCs w:val="26"/>
        </w:rPr>
        <w:t xml:space="preserve">Information </w:t>
      </w:r>
      <w:r w:rsidRPr="00901DF7" w:rsidR="003B7797">
        <w:rPr>
          <w:color w:val="000000"/>
          <w:szCs w:val="26"/>
        </w:rPr>
        <w:t xml:space="preserve">Guide on Prop. 83, </w:t>
      </w:r>
      <w:r w:rsidRPr="00901DF7" w:rsidR="003B7797">
        <w:rPr>
          <w:i/>
          <w:iCs/>
          <w:color w:val="000000"/>
          <w:szCs w:val="26"/>
        </w:rPr>
        <w:t>supra</w:t>
      </w:r>
      <w:r w:rsidRPr="00901DF7" w:rsidR="003B7797">
        <w:rPr>
          <w:color w:val="000000"/>
          <w:szCs w:val="26"/>
        </w:rPr>
        <w:t xml:space="preserve">, </w:t>
      </w:r>
      <w:r w:rsidR="00EE7A80">
        <w:rPr>
          <w:color w:val="000000"/>
          <w:szCs w:val="26"/>
        </w:rPr>
        <w:t xml:space="preserve">text of Prop. 83, </w:t>
      </w:r>
      <w:r w:rsidRPr="00901DF7" w:rsidR="003B7797">
        <w:rPr>
          <w:color w:val="000000"/>
          <w:szCs w:val="26"/>
        </w:rPr>
        <w:t>at p. 127</w:t>
      </w:r>
      <w:r w:rsidRPr="00901DF7" w:rsidR="005B0BA2">
        <w:rPr>
          <w:color w:val="000000"/>
          <w:szCs w:val="26"/>
        </w:rPr>
        <w:t xml:space="preserve">; see </w:t>
      </w:r>
      <w:r w:rsidRPr="00901DF7" w:rsidR="005B0BA2">
        <w:rPr>
          <w:i/>
          <w:iCs/>
          <w:color w:val="000000"/>
          <w:szCs w:val="26"/>
        </w:rPr>
        <w:t>ante</w:t>
      </w:r>
      <w:r w:rsidRPr="00901DF7" w:rsidR="005B0BA2">
        <w:rPr>
          <w:color w:val="000000"/>
          <w:szCs w:val="26"/>
        </w:rPr>
        <w:t xml:space="preserve">, at p. </w:t>
      </w:r>
      <w:r w:rsidR="009A1E65">
        <w:rPr>
          <w:color w:val="000000"/>
          <w:szCs w:val="26"/>
        </w:rPr>
        <w:t>1</w:t>
      </w:r>
      <w:r w:rsidR="00C45D95">
        <w:rPr>
          <w:color w:val="000000"/>
          <w:szCs w:val="26"/>
        </w:rPr>
        <w:t>5</w:t>
      </w:r>
      <w:r w:rsidRPr="00901DF7" w:rsidR="005B0BA2">
        <w:rPr>
          <w:color w:val="000000"/>
          <w:szCs w:val="26"/>
        </w:rPr>
        <w:t>.</w:t>
      </w:r>
      <w:r w:rsidRPr="00901DF7" w:rsidR="003B7797">
        <w:t xml:space="preserve">) </w:t>
      </w:r>
      <w:r w:rsidRPr="00901DF7" w:rsidR="003B7797">
        <w:rPr>
          <w:color w:val="000000"/>
          <w:szCs w:val="26"/>
        </w:rPr>
        <w:t xml:space="preserve"> Likewise, legislative analyses of Chelsea’s Law explained that sex offenders who commit “the most serious and heinous sex crimes against children are not able to be rehabilitated” and that these crimes “are a red flag that the perpetrator is capable of much, much worse.”  (Assem. Com. on Public Safety, Analysis of Assem. Bill No. 1844, as amended </w:t>
      </w:r>
      <w:r w:rsidRPr="00901DF7" w:rsidR="00EE7A80">
        <w:rPr>
          <w:color w:val="000000"/>
          <w:szCs w:val="26"/>
        </w:rPr>
        <w:t>Apr</w:t>
      </w:r>
      <w:r w:rsidR="00EE7A80">
        <w:rPr>
          <w:color w:val="000000"/>
          <w:szCs w:val="26"/>
        </w:rPr>
        <w:t>.</w:t>
      </w:r>
      <w:r w:rsidRPr="00901DF7" w:rsidR="00EE7A80">
        <w:rPr>
          <w:color w:val="000000"/>
          <w:szCs w:val="26"/>
        </w:rPr>
        <w:t xml:space="preserve"> </w:t>
      </w:r>
      <w:r w:rsidRPr="00901DF7" w:rsidR="003B7797">
        <w:rPr>
          <w:color w:val="000000"/>
          <w:szCs w:val="26"/>
        </w:rPr>
        <w:t>13, 2010, p. 18.)</w:t>
      </w:r>
      <w:r>
        <w:rPr>
          <w:rStyle w:val="FootnoteReference"/>
          <w:color w:val="000000"/>
          <w:szCs w:val="26"/>
        </w:rPr>
        <w:footnoteReference w:id="11"/>
      </w:r>
      <w:r w:rsidRPr="00901DF7" w:rsidR="003B7797">
        <w:rPr>
          <w:color w:val="000000"/>
          <w:szCs w:val="26"/>
        </w:rPr>
        <w:t xml:space="preserve"> </w:t>
      </w:r>
    </w:p>
    <w:p w:rsidR="00F96DE9" w:rsidP="00901DF7" w14:paraId="4397AD55" w14:textId="6F76F24D">
      <w:pPr>
        <w:tabs>
          <w:tab w:val="left" w:pos="720"/>
          <w:tab w:val="left" w:pos="1440"/>
        </w:tabs>
      </w:pPr>
      <w:r w:rsidRPr="00901DF7">
        <w:tab/>
      </w:r>
      <w:bookmarkStart w:id="8" w:name="_Hlk170868262"/>
      <w:r w:rsidR="00B9624F">
        <w:t>T</w:t>
      </w:r>
      <w:r w:rsidRPr="00901DF7" w:rsidR="00565947">
        <w:t>he Legislature could rationally conclude</w:t>
      </w:r>
      <w:r w:rsidR="00F17636">
        <w:t>, based on its view that a One Strike sex offender’s risk of recidivism is high, that rehabilitation is unlikely, and therefore</w:t>
      </w:r>
      <w:r w:rsidRPr="00901DF7" w:rsidR="00565947">
        <w:t xml:space="preserve"> these offenders would not likely be eligible for parole, much less early parole under section 3051. </w:t>
      </w:r>
      <w:r w:rsidR="0014471D">
        <w:t xml:space="preserve"> </w:t>
      </w:r>
      <w:r w:rsidR="00BC7545">
        <w:t>With this understanding</w:t>
      </w:r>
      <w:r w:rsidR="00B9624F">
        <w:t xml:space="preserve">, the Legislature crafted section 3051(h), balancing </w:t>
      </w:r>
      <w:r w:rsidRPr="00901DF7" w:rsidR="00FD422C">
        <w:t xml:space="preserve">a young adult’s capacity for </w:t>
      </w:r>
      <w:r w:rsidRPr="00901DF7" w:rsidR="000A6297">
        <w:t xml:space="preserve">growth and </w:t>
      </w:r>
      <w:r w:rsidRPr="00901DF7" w:rsidR="00FD422C">
        <w:t xml:space="preserve">rehabilitation against </w:t>
      </w:r>
      <w:r w:rsidR="00B9624F">
        <w:t xml:space="preserve">the set of concerns that had prompted the enactment and amendment of the One Strike law and </w:t>
      </w:r>
      <w:r w:rsidR="00A85FC3">
        <w:t xml:space="preserve">ultimately </w:t>
      </w:r>
      <w:r w:rsidR="00B9624F">
        <w:t>deciding that those concerns militate against offering the possibility of early parole under section 3051.</w:t>
      </w:r>
      <w:r w:rsidR="00C877E7">
        <w:t xml:space="preserve">  </w:t>
      </w:r>
      <w:r w:rsidRPr="00901DF7" w:rsidR="00FD422C">
        <w:t xml:space="preserve"> </w:t>
      </w:r>
    </w:p>
    <w:p w:rsidR="00E41FE6" w:rsidP="00901DF7" w14:paraId="1B858A6C" w14:textId="6187BDDD">
      <w:pPr>
        <w:tabs>
          <w:tab w:val="left" w:pos="720"/>
          <w:tab w:val="left" w:pos="1440"/>
        </w:tabs>
      </w:pPr>
      <w:r>
        <w:tab/>
      </w:r>
      <w:r w:rsidRPr="00901DF7" w:rsidR="004A7B49">
        <w:t xml:space="preserve">The exclusion </w:t>
      </w:r>
      <w:r w:rsidR="00C877E7">
        <w:t xml:space="preserve">of One Strike offenders </w:t>
      </w:r>
      <w:r w:rsidRPr="00901DF7" w:rsidR="004A7B49">
        <w:t>from section 3051, in other words,</w:t>
      </w:r>
      <w:r w:rsidRPr="00901DF7" w:rsidR="00D8637D">
        <w:t xml:space="preserve"> reflects a legislative judgment that extending </w:t>
      </w:r>
      <w:r w:rsidR="00C877E7">
        <w:t>the possibility of early release</w:t>
      </w:r>
      <w:r w:rsidRPr="00901DF7" w:rsidR="00D8637D">
        <w:t xml:space="preserve"> to </w:t>
      </w:r>
      <w:r w:rsidRPr="00901DF7" w:rsidR="00435EDB">
        <w:t xml:space="preserve">young adult </w:t>
      </w:r>
      <w:r w:rsidRPr="00901DF7" w:rsidR="00D8637D">
        <w:t>One Strike</w:t>
      </w:r>
      <w:r w:rsidRPr="00901DF7" w:rsidR="00D43F9B">
        <w:t xml:space="preserve"> offende</w:t>
      </w:r>
      <w:r w:rsidRPr="00901DF7" w:rsidR="00D8637D">
        <w:t>rs would be neither productive</w:t>
      </w:r>
      <w:r w:rsidR="00C877E7">
        <w:t xml:space="preserve"> nor appropriate</w:t>
      </w:r>
      <w:r w:rsidRPr="00901DF7" w:rsidR="00E64CEA">
        <w:rPr>
          <w:szCs w:val="26"/>
        </w:rPr>
        <w:t xml:space="preserve">. </w:t>
      </w:r>
      <w:r w:rsidR="00C46210">
        <w:rPr>
          <w:szCs w:val="26"/>
        </w:rPr>
        <w:t xml:space="preserve"> </w:t>
      </w:r>
      <w:r w:rsidR="00BC7545">
        <w:rPr>
          <w:szCs w:val="26"/>
        </w:rPr>
        <w:t xml:space="preserve">Insofar as the One Strike law itself reflects significant concerns about the risk of reoffending, this judgment is consistent with the common sense view that a defendant who reoffends after a prior conviction is “less amenable to rehabilitation than a person who has not done so.” </w:t>
      </w:r>
      <w:r>
        <w:rPr>
          <w:szCs w:val="26"/>
        </w:rPr>
        <w:t xml:space="preserve"> </w:t>
      </w:r>
      <w:r w:rsidR="00BC7545">
        <w:rPr>
          <w:szCs w:val="26"/>
        </w:rPr>
        <w:t>(</w:t>
      </w:r>
      <w:r w:rsidRPr="0014471D" w:rsidR="00BC7545">
        <w:rPr>
          <w:i/>
          <w:iCs/>
          <w:szCs w:val="26"/>
        </w:rPr>
        <w:t>People v. Towne</w:t>
      </w:r>
      <w:r w:rsidR="00BC7545">
        <w:rPr>
          <w:szCs w:val="26"/>
        </w:rPr>
        <w:t xml:space="preserve"> (2008) 44 Cal.4th 63, 80.)</w:t>
      </w:r>
      <w:r w:rsidRPr="00901DF7" w:rsidR="00DB69B3">
        <w:rPr>
          <w:szCs w:val="26"/>
        </w:rPr>
        <w:t xml:space="preserve"> </w:t>
      </w:r>
      <w:r w:rsidRPr="00901DF7" w:rsidR="00E64CEA">
        <w:rPr>
          <w:szCs w:val="26"/>
        </w:rPr>
        <w:t xml:space="preserve"> </w:t>
      </w:r>
      <w:r w:rsidR="000145DA">
        <w:rPr>
          <w:szCs w:val="26"/>
        </w:rPr>
        <w:t>The judgment that One Strike offenders are less amenable to rehabilitation is necessarily a generalization</w:t>
      </w:r>
      <w:r w:rsidR="0004718E">
        <w:rPr>
          <w:szCs w:val="26"/>
        </w:rPr>
        <w:t> </w:t>
      </w:r>
      <w:r w:rsidR="001D33B2">
        <w:rPr>
          <w:szCs w:val="26"/>
        </w:rPr>
        <w:t>—</w:t>
      </w:r>
      <w:r w:rsidR="0004718E">
        <w:rPr>
          <w:szCs w:val="26"/>
        </w:rPr>
        <w:t xml:space="preserve"> </w:t>
      </w:r>
      <w:r w:rsidR="000145DA">
        <w:rPr>
          <w:szCs w:val="26"/>
        </w:rPr>
        <w:t>perhaps not applicable to every person sentenced under the One Strike law</w:t>
      </w:r>
      <w:r w:rsidR="0004718E">
        <w:rPr>
          <w:szCs w:val="26"/>
        </w:rPr>
        <w:t> </w:t>
      </w:r>
      <w:r w:rsidR="000145DA">
        <w:rPr>
          <w:szCs w:val="26"/>
        </w:rPr>
        <w:t>— but it is one the Legislature is entitled to make.  (</w:t>
      </w:r>
      <w:r w:rsidR="00EA7846">
        <w:rPr>
          <w:szCs w:val="26"/>
        </w:rPr>
        <w:t>S</w:t>
      </w:r>
      <w:r w:rsidR="000145DA">
        <w:rPr>
          <w:szCs w:val="26"/>
        </w:rPr>
        <w:t xml:space="preserve">ee </w:t>
      </w:r>
      <w:r w:rsidRPr="0014471D" w:rsidR="000145DA">
        <w:rPr>
          <w:i/>
          <w:iCs/>
          <w:szCs w:val="26"/>
        </w:rPr>
        <w:t>Turnage</w:t>
      </w:r>
      <w:r w:rsidR="000145DA">
        <w:rPr>
          <w:szCs w:val="26"/>
        </w:rPr>
        <w:t xml:space="preserve">, </w:t>
      </w:r>
      <w:r w:rsidRPr="0014471D" w:rsidR="000145DA">
        <w:rPr>
          <w:i/>
          <w:iCs/>
          <w:szCs w:val="26"/>
        </w:rPr>
        <w:t>supra</w:t>
      </w:r>
      <w:r w:rsidR="000145DA">
        <w:rPr>
          <w:szCs w:val="26"/>
        </w:rPr>
        <w:t>, 55 Cal.4th at p. 77 [“When conducting rational basis review, we must accept any gross generalizations and rough accommodations that the Legislature seems to have made”].)</w:t>
      </w:r>
      <w:bookmarkEnd w:id="8"/>
      <w:r w:rsidR="001D616B">
        <w:t xml:space="preserve"> </w:t>
      </w:r>
      <w:r w:rsidRPr="00901DF7" w:rsidR="003B7797">
        <w:t xml:space="preserve"> </w:t>
      </w:r>
    </w:p>
    <w:p w:rsidR="00E76102" w:rsidP="00901DF7" w14:paraId="0281AE12" w14:textId="08654F71">
      <w:pPr>
        <w:tabs>
          <w:tab w:val="left" w:pos="720"/>
          <w:tab w:val="left" w:pos="1440"/>
        </w:tabs>
      </w:pPr>
      <w:r>
        <w:tab/>
      </w:r>
      <w:r w:rsidR="001D616B">
        <w:t>Excluding youthful One Strike offenders from early parole consideration is also consistent with the Legislature’s apparent concern with protecting the public from persons who have committed serious sex offenses, given the risk of reoffense.</w:t>
      </w:r>
      <w:r w:rsidRPr="00901DF7" w:rsidR="00D476B5">
        <w:t xml:space="preserve"> </w:t>
      </w:r>
      <w:r w:rsidRPr="00901DF7" w:rsidR="003B7797">
        <w:t xml:space="preserve">These concerns </w:t>
      </w:r>
      <w:r w:rsidRPr="00901DF7" w:rsidR="00B03E9E">
        <w:t xml:space="preserve">are “realistically conceivable” and </w:t>
      </w:r>
      <w:r w:rsidRPr="00901DF7" w:rsidR="003B7797">
        <w:t>provide a rational basis for section 3051’s One Strike exclusion</w:t>
      </w:r>
      <w:r w:rsidRPr="00901DF7" w:rsidR="00183FDD">
        <w:t xml:space="preserve">. </w:t>
      </w:r>
      <w:r w:rsidRPr="00901DF7" w:rsidR="003B7797">
        <w:t xml:space="preserve"> (</w:t>
      </w:r>
      <w:r w:rsidRPr="00901DF7" w:rsidR="003B7797">
        <w:rPr>
          <w:i/>
          <w:iCs/>
        </w:rPr>
        <w:t>Fein</w:t>
      </w:r>
      <w:r w:rsidRPr="00901DF7" w:rsidR="003B7797">
        <w:t xml:space="preserve">, </w:t>
      </w:r>
      <w:r w:rsidRPr="00901DF7" w:rsidR="003B7797">
        <w:rPr>
          <w:i/>
          <w:iCs/>
        </w:rPr>
        <w:t>supra</w:t>
      </w:r>
      <w:r w:rsidRPr="00901DF7" w:rsidR="003B7797">
        <w:t>, 38 Cal.3d at p. 163</w:t>
      </w:r>
      <w:r w:rsidRPr="00901DF7" w:rsidR="00183FDD">
        <w:t>.</w:t>
      </w:r>
      <w:r w:rsidRPr="00901DF7" w:rsidR="003B7797">
        <w:t>)</w:t>
      </w:r>
      <w:r w:rsidRPr="00901DF7" w:rsidR="0008239A">
        <w:t xml:space="preserve"> </w:t>
      </w:r>
      <w:r w:rsidRPr="00901DF7" w:rsidR="00EF382F">
        <w:t xml:space="preserve"> </w:t>
      </w:r>
      <w:r w:rsidRPr="00901DF7" w:rsidR="002F2D12">
        <w:t xml:space="preserve">We </w:t>
      </w:r>
      <w:r w:rsidRPr="00901DF7" w:rsidR="00414F68">
        <w:t xml:space="preserve">also </w:t>
      </w:r>
      <w:r w:rsidRPr="00901DF7" w:rsidR="002F2D12">
        <w:t xml:space="preserve">underscore that defendant does not point to any evidence that the Legislature had </w:t>
      </w:r>
      <w:r w:rsidRPr="00901DF7" w:rsidR="00414F68">
        <w:t>similar</w:t>
      </w:r>
      <w:r w:rsidRPr="00901DF7" w:rsidR="002F2D12">
        <w:t xml:space="preserve"> recidivism concerns about </w:t>
      </w:r>
      <w:r w:rsidR="001D616B">
        <w:t xml:space="preserve">the class of </w:t>
      </w:r>
      <w:r w:rsidRPr="00901DF7" w:rsidR="002F2D12">
        <w:t xml:space="preserve">offenders who commit murder or that </w:t>
      </w:r>
      <w:r w:rsidRPr="00901DF7" w:rsidR="00414F68">
        <w:t>the offense of murder necessarily includes aggravating factors</w:t>
      </w:r>
      <w:r w:rsidRPr="00901DF7" w:rsidR="002F2D12">
        <w:t xml:space="preserve"> </w:t>
      </w:r>
      <w:r w:rsidRPr="00901DF7" w:rsidR="00414F68">
        <w:t>like those outlined in section 667.61.</w:t>
      </w:r>
      <w:r w:rsidRPr="00901DF7" w:rsidR="002F2D12">
        <w:t xml:space="preserve">  </w:t>
      </w:r>
      <w:r w:rsidRPr="00901DF7" w:rsidR="00411AB5">
        <w:rPr>
          <w:szCs w:val="26"/>
        </w:rPr>
        <w:t>W</w:t>
      </w:r>
      <w:r w:rsidRPr="00901DF7" w:rsidR="00E261D3">
        <w:t>e must uphold the Legislature’s classification against an equal protection challenge unless “it fairly can be said that there is no ‘reasonably conceivable state of facts that could provide a rational basis for the classification.’</w:t>
      </w:r>
      <w:r w:rsidR="00704F4A">
        <w:t> </w:t>
      </w:r>
      <w:r w:rsidRPr="00901DF7" w:rsidR="00E261D3">
        <w:t>”  (</w:t>
      </w:r>
      <w:r w:rsidRPr="00901DF7" w:rsidR="00E261D3">
        <w:rPr>
          <w:i/>
          <w:iCs/>
        </w:rPr>
        <w:t>Warden v. State Bar</w:t>
      </w:r>
      <w:r w:rsidRPr="00901DF7" w:rsidR="00E261D3">
        <w:t xml:space="preserve">, </w:t>
      </w:r>
      <w:r w:rsidRPr="00901DF7" w:rsidR="00E261D3">
        <w:rPr>
          <w:i/>
          <w:iCs/>
        </w:rPr>
        <w:t>supra</w:t>
      </w:r>
      <w:r w:rsidRPr="00901DF7" w:rsidR="00E261D3">
        <w:t>, 21 Cal.4th at p. 645.)</w:t>
      </w:r>
      <w:r>
        <w:rPr>
          <w:rStyle w:val="FootnoteReference"/>
        </w:rPr>
        <w:footnoteReference w:id="12"/>
      </w:r>
      <w:r w:rsidR="009340C3">
        <w:tab/>
      </w:r>
    </w:p>
    <w:p w:rsidR="002A1C05" w:rsidRPr="00901DF7" w:rsidP="00901DF7" w14:paraId="7C7EFD2E" w14:textId="1673B9D5">
      <w:pPr>
        <w:tabs>
          <w:tab w:val="left" w:pos="720"/>
          <w:tab w:val="left" w:pos="1440"/>
        </w:tabs>
      </w:pPr>
      <w:r>
        <w:tab/>
      </w:r>
      <w:bookmarkStart w:id="9" w:name="_Hlk170957768"/>
      <w:r w:rsidRPr="00901DF7" w:rsidR="00D957AA">
        <w:t>We make a final observation about defendant’s comparison between a homicide offense and a One Strike offense b</w:t>
      </w:r>
      <w:r w:rsidRPr="00901DF7" w:rsidR="00B27CC8">
        <w:t>efore we address defendant’s argument based on the comparative recidivism rates of groups of offenders</w:t>
      </w:r>
      <w:r w:rsidRPr="00901DF7" w:rsidR="00694CD0">
        <w:t xml:space="preserve">. </w:t>
      </w:r>
      <w:r w:rsidRPr="00901DF7" w:rsidR="00B27CC8">
        <w:t xml:space="preserve"> (</w:t>
      </w:r>
      <w:r w:rsidRPr="00901DF7" w:rsidR="00694CD0">
        <w:t xml:space="preserve">See </w:t>
      </w:r>
      <w:r w:rsidRPr="00901DF7" w:rsidR="00B27CC8">
        <w:rPr>
          <w:i/>
          <w:iCs/>
        </w:rPr>
        <w:t>post</w:t>
      </w:r>
      <w:r w:rsidRPr="00901DF7" w:rsidR="00B27CC8">
        <w:t xml:space="preserve"> at p. </w:t>
      </w:r>
      <w:r w:rsidRPr="00901DF7" w:rsidR="00D96CC0">
        <w:t>3</w:t>
      </w:r>
      <w:r w:rsidR="00821A08">
        <w:t>9</w:t>
      </w:r>
      <w:r w:rsidRPr="00901DF7" w:rsidR="00694CD0">
        <w:t>.</w:t>
      </w:r>
      <w:r w:rsidRPr="00901DF7" w:rsidR="00B27CC8">
        <w:t>)  D</w:t>
      </w:r>
      <w:r w:rsidRPr="00901DF7" w:rsidR="0091086D">
        <w:t xml:space="preserve">efendant </w:t>
      </w:r>
      <w:r w:rsidRPr="00901DF7">
        <w:t xml:space="preserve">insists </w:t>
      </w:r>
      <w:r w:rsidRPr="00901DF7" w:rsidR="00110661">
        <w:t xml:space="preserve">that it is </w:t>
      </w:r>
      <w:r w:rsidRPr="00901DF7" w:rsidR="00024D36">
        <w:t xml:space="preserve">irrational to exclude One </w:t>
      </w:r>
      <w:r w:rsidRPr="00901DF7" w:rsidR="00561A15">
        <w:t xml:space="preserve">Strike offenders </w:t>
      </w:r>
      <w:r w:rsidRPr="00901DF7" w:rsidR="00024D36">
        <w:t>but not those convicted of murder from early parole consideration because</w:t>
      </w:r>
      <w:r w:rsidRPr="00901DF7" w:rsidR="00174B7E">
        <w:t xml:space="preserve"> the high court </w:t>
      </w:r>
      <w:r w:rsidRPr="00901DF7" w:rsidR="00561A15">
        <w:t xml:space="preserve">deemed </w:t>
      </w:r>
      <w:r w:rsidRPr="00901DF7" w:rsidR="00024D36">
        <w:t>murder</w:t>
      </w:r>
      <w:r w:rsidRPr="00901DF7" w:rsidR="00876701">
        <w:t xml:space="preserve"> not only</w:t>
      </w:r>
      <w:r w:rsidRPr="00901DF7" w:rsidR="00024D36">
        <w:t xml:space="preserve"> </w:t>
      </w:r>
      <w:r w:rsidRPr="00901DF7" w:rsidR="002049ED">
        <w:t xml:space="preserve">fundamentally </w:t>
      </w:r>
      <w:r w:rsidRPr="00901DF7" w:rsidR="00E31032">
        <w:t xml:space="preserve">different </w:t>
      </w:r>
      <w:r w:rsidRPr="00901DF7" w:rsidR="00837B3E">
        <w:t xml:space="preserve">“in a moral sense” </w:t>
      </w:r>
      <w:r w:rsidRPr="00901DF7" w:rsidR="00E31032">
        <w:t xml:space="preserve">from </w:t>
      </w:r>
      <w:r w:rsidRPr="00901DF7" w:rsidR="00024D36">
        <w:t>other serious offenses</w:t>
      </w:r>
      <w:r w:rsidRPr="00901DF7" w:rsidR="00876701">
        <w:t>, but also</w:t>
      </w:r>
      <w:r w:rsidRPr="00901DF7" w:rsidR="000D4B6C">
        <w:t xml:space="preserve"> incomparable in terms of </w:t>
      </w:r>
      <w:r w:rsidRPr="00901DF7" w:rsidR="00C65C7A">
        <w:t xml:space="preserve">its </w:t>
      </w:r>
      <w:r w:rsidRPr="00901DF7" w:rsidR="000D4B6C">
        <w:t>“</w:t>
      </w:r>
      <w:r w:rsidR="00704F4A">
        <w:t> </w:t>
      </w:r>
      <w:r w:rsidRPr="00901DF7" w:rsidR="000D4B6C">
        <w:t>‘severity and irrevocability.”</w:t>
      </w:r>
      <w:r w:rsidR="00704F4A">
        <w:t> </w:t>
      </w:r>
      <w:r w:rsidRPr="00901DF7" w:rsidR="000D4B6C">
        <w:t>’</w:t>
      </w:r>
      <w:r w:rsidR="00704F4A">
        <w:t> </w:t>
      </w:r>
      <w:r w:rsidRPr="00901DF7" w:rsidR="000D4B6C">
        <w:t>”</w:t>
      </w:r>
      <w:r w:rsidRPr="00901DF7" w:rsidR="00FD75F8">
        <w:t xml:space="preserve">  </w:t>
      </w:r>
      <w:r w:rsidRPr="00901DF7" w:rsidR="002A423B">
        <w:t>(</w:t>
      </w:r>
      <w:r w:rsidRPr="00901DF7" w:rsidR="002A423B">
        <w:rPr>
          <w:i/>
          <w:iCs/>
        </w:rPr>
        <w:t>Graham</w:t>
      </w:r>
      <w:r w:rsidRPr="00901DF7" w:rsidR="002A423B">
        <w:t xml:space="preserve">, </w:t>
      </w:r>
      <w:r w:rsidRPr="00901DF7" w:rsidR="00B67423">
        <w:rPr>
          <w:i/>
          <w:iCs/>
        </w:rPr>
        <w:t>supra</w:t>
      </w:r>
      <w:r w:rsidRPr="00901DF7" w:rsidR="00B67423">
        <w:t xml:space="preserve">, </w:t>
      </w:r>
      <w:r w:rsidRPr="00901DF7" w:rsidR="00081C62">
        <w:t xml:space="preserve">560 U.S. </w:t>
      </w:r>
      <w:r w:rsidRPr="00901DF7" w:rsidR="002A423B">
        <w:t xml:space="preserve">at p. 69.) </w:t>
      </w:r>
      <w:r w:rsidRPr="00901DF7" w:rsidR="004A4159">
        <w:t xml:space="preserve"> </w:t>
      </w:r>
      <w:r w:rsidRPr="00901DF7" w:rsidR="002A423B">
        <w:t>This argument</w:t>
      </w:r>
      <w:r w:rsidRPr="00901DF7" w:rsidR="00CB635F">
        <w:t xml:space="preserve"> based on the comparative seriousness of crimes</w:t>
      </w:r>
      <w:r w:rsidRPr="00901DF7" w:rsidR="002A423B">
        <w:t xml:space="preserve">, however, </w:t>
      </w:r>
      <w:r w:rsidRPr="00901DF7" w:rsidR="00016D98">
        <w:t xml:space="preserve">is premised on </w:t>
      </w:r>
      <w:r w:rsidRPr="00901DF7" w:rsidR="002A423B">
        <w:t>concerns re</w:t>
      </w:r>
      <w:r w:rsidRPr="00901DF7" w:rsidR="00024D36">
        <w:t xml:space="preserve">levant in the </w:t>
      </w:r>
      <w:r w:rsidR="001D616B">
        <w:t xml:space="preserve">context of </w:t>
      </w:r>
      <w:r w:rsidRPr="00901DF7" w:rsidR="00024D36">
        <w:t>Eight</w:t>
      </w:r>
      <w:r w:rsidRPr="00901DF7" w:rsidR="00D62326">
        <w:t>h</w:t>
      </w:r>
      <w:r w:rsidRPr="00901DF7" w:rsidR="00024D36">
        <w:t xml:space="preserve"> Amendment</w:t>
      </w:r>
      <w:r w:rsidR="001D616B">
        <w:t xml:space="preserve"> challenges to the death penalty and other severe criminal penalties, such as juvenile LWOP</w:t>
      </w:r>
      <w:r w:rsidRPr="00901DF7" w:rsidR="007E0A3A">
        <w:t>; such</w:t>
      </w:r>
      <w:r w:rsidRPr="00901DF7" w:rsidR="002A423B">
        <w:t xml:space="preserve"> concerns </w:t>
      </w:r>
      <w:r w:rsidRPr="00901DF7" w:rsidR="00596DD6">
        <w:t xml:space="preserve">do not </w:t>
      </w:r>
      <w:r w:rsidRPr="00901DF7" w:rsidR="00B67423">
        <w:t xml:space="preserve">necessarily </w:t>
      </w:r>
      <w:r w:rsidR="001D616B">
        <w:t xml:space="preserve">establish </w:t>
      </w:r>
      <w:r w:rsidRPr="00901DF7" w:rsidR="00024D36">
        <w:t>whether a Legislature’s classification violates equal protection</w:t>
      </w:r>
      <w:r w:rsidR="001D616B">
        <w:t xml:space="preserve"> under a rational basis standard</w:t>
      </w:r>
      <w:r w:rsidRPr="00901DF7" w:rsidR="00024D36">
        <w:t xml:space="preserve">. </w:t>
      </w:r>
      <w:r w:rsidRPr="00901DF7" w:rsidR="00081C62">
        <w:t xml:space="preserve"> </w:t>
      </w:r>
      <w:r w:rsidRPr="00901DF7" w:rsidR="001E075A">
        <w:t>We</w:t>
      </w:r>
      <w:r w:rsidRPr="00901DF7">
        <w:t xml:space="preserve"> </w:t>
      </w:r>
      <w:r w:rsidRPr="00901DF7" w:rsidR="00174B7E">
        <w:t>acknowledge</w:t>
      </w:r>
      <w:r w:rsidRPr="00901DF7" w:rsidR="00862CE6">
        <w:t xml:space="preserve"> that section 3051 was crafted to “bring juvenile sentencing in conformity with </w:t>
      </w:r>
      <w:r w:rsidRPr="00901DF7" w:rsidR="00862CE6">
        <w:rPr>
          <w:i/>
          <w:iCs/>
        </w:rPr>
        <w:t>Miller</w:t>
      </w:r>
      <w:r w:rsidRPr="00901DF7" w:rsidR="00862CE6">
        <w:t xml:space="preserve">, </w:t>
      </w:r>
      <w:r w:rsidRPr="00901DF7" w:rsidR="00862CE6">
        <w:rPr>
          <w:i/>
          <w:iCs/>
        </w:rPr>
        <w:t>Graham</w:t>
      </w:r>
      <w:r w:rsidRPr="00901DF7" w:rsidR="00862CE6">
        <w:t xml:space="preserve"> and </w:t>
      </w:r>
      <w:r w:rsidRPr="00901DF7" w:rsidR="00862CE6">
        <w:rPr>
          <w:i/>
          <w:iCs/>
        </w:rPr>
        <w:t>Caballero</w:t>
      </w:r>
      <w:r w:rsidRPr="00901DF7" w:rsidR="00862CE6">
        <w:t>” (</w:t>
      </w:r>
      <w:r w:rsidRPr="00901DF7" w:rsidR="00862CE6">
        <w:rPr>
          <w:i/>
          <w:iCs/>
        </w:rPr>
        <w:t>Franklin</w:t>
      </w:r>
      <w:r w:rsidRPr="00901DF7" w:rsidR="00862CE6">
        <w:t xml:space="preserve">, </w:t>
      </w:r>
      <w:r w:rsidRPr="00901DF7" w:rsidR="00862CE6">
        <w:rPr>
          <w:i/>
          <w:iCs/>
        </w:rPr>
        <w:t>supra</w:t>
      </w:r>
      <w:r w:rsidRPr="00901DF7" w:rsidR="00862CE6">
        <w:t xml:space="preserve">, 63 Cal.4th at p. 268), and to that end, </w:t>
      </w:r>
      <w:r w:rsidRPr="00901DF7" w:rsidR="00E07163">
        <w:t>Eighth Amendment</w:t>
      </w:r>
      <w:r w:rsidRPr="00901DF7" w:rsidR="00862CE6">
        <w:t xml:space="preserve"> </w:t>
      </w:r>
      <w:r w:rsidRPr="00901DF7" w:rsidR="00024D36">
        <w:t xml:space="preserve">“protections outlined in </w:t>
      </w:r>
      <w:r w:rsidRPr="00901DF7" w:rsidR="00024D36">
        <w:rPr>
          <w:i/>
          <w:iCs/>
        </w:rPr>
        <w:t>Miller</w:t>
      </w:r>
      <w:r w:rsidRPr="00901DF7" w:rsidR="00024D36">
        <w:t xml:space="preserve">” </w:t>
      </w:r>
      <w:r w:rsidRPr="00901DF7" w:rsidR="00862CE6">
        <w:t>are featured in this provision</w:t>
      </w:r>
      <w:r w:rsidRPr="00901DF7" w:rsidR="00024D36">
        <w:t>.</w:t>
      </w:r>
      <w:r w:rsidRPr="00901DF7" w:rsidR="00FD75F8">
        <w:t xml:space="preserve"> </w:t>
      </w:r>
      <w:r w:rsidRPr="00901DF7" w:rsidR="00862CE6">
        <w:t xml:space="preserve"> (</w:t>
      </w:r>
      <w:r w:rsidRPr="00901DF7" w:rsidR="00862CE6">
        <w:rPr>
          <w:i/>
          <w:iCs/>
        </w:rPr>
        <w:t>Franklin</w:t>
      </w:r>
      <w:r w:rsidRPr="00901DF7" w:rsidR="00862CE6">
        <w:t xml:space="preserve">, at p. 276.)  </w:t>
      </w:r>
      <w:r w:rsidRPr="00901DF7" w:rsidR="00D62326">
        <w:t>However, d</w:t>
      </w:r>
      <w:r w:rsidRPr="00901DF7" w:rsidR="004F5917">
        <w:t xml:space="preserve">espite </w:t>
      </w:r>
      <w:r w:rsidRPr="00901DF7" w:rsidR="001C7883">
        <w:t>“language echoing the holdings of these cases” (</w:t>
      </w:r>
      <w:r w:rsidRPr="00901DF7" w:rsidR="001C7883">
        <w:rPr>
          <w:i/>
          <w:iCs/>
        </w:rPr>
        <w:t>Hardin</w:t>
      </w:r>
      <w:r w:rsidRPr="00901DF7" w:rsidR="001C7883">
        <w:t xml:space="preserve">, </w:t>
      </w:r>
      <w:r w:rsidRPr="00901DF7" w:rsidR="001C7883">
        <w:rPr>
          <w:i/>
          <w:iCs/>
        </w:rPr>
        <w:t>supra</w:t>
      </w:r>
      <w:r w:rsidRPr="00901DF7" w:rsidR="001C7883">
        <w:t>, 15 Cal.5th at p. 845),</w:t>
      </w:r>
      <w:r w:rsidRPr="00901DF7" w:rsidR="00AB550D">
        <w:t xml:space="preserve"> </w:t>
      </w:r>
      <w:r w:rsidRPr="00901DF7" w:rsidR="001025FA">
        <w:t>this</w:t>
      </w:r>
      <w:r w:rsidRPr="00901DF7" w:rsidR="004F5917">
        <w:t xml:space="preserve"> equal protection analysis of section 3051 should not be conflated with </w:t>
      </w:r>
      <w:r w:rsidRPr="00901DF7" w:rsidR="00DF4CB6">
        <w:t>principles governing the Eighth Amendment’s prohibition against cruel and unusual punishment</w:t>
      </w:r>
      <w:r w:rsidRPr="00901DF7" w:rsidR="006170A7">
        <w:t xml:space="preserve"> and its focus on punishment and proportionality in </w:t>
      </w:r>
      <w:r w:rsidR="001D616B">
        <w:t xml:space="preserve">capital and juvenile LWOP </w:t>
      </w:r>
      <w:r w:rsidRPr="00901DF7" w:rsidR="006170A7">
        <w:t>sentencing</w:t>
      </w:r>
      <w:r w:rsidRPr="00901DF7" w:rsidR="00DF4CB6">
        <w:t xml:space="preserve">. </w:t>
      </w:r>
      <w:r w:rsidRPr="00901DF7" w:rsidR="001025FA">
        <w:t xml:space="preserve"> </w:t>
      </w:r>
    </w:p>
    <w:p w:rsidR="007139DC" w:rsidRPr="00901DF7" w:rsidP="00901DF7" w14:paraId="2EECC8FF" w14:textId="4CB1963C">
      <w:pPr>
        <w:tabs>
          <w:tab w:val="left" w:pos="720"/>
          <w:tab w:val="left" w:pos="1440"/>
        </w:tabs>
      </w:pPr>
      <w:r w:rsidRPr="00901DF7">
        <w:tab/>
      </w:r>
      <w:r w:rsidRPr="00901DF7" w:rsidR="001025FA">
        <w:t>For instance,</w:t>
      </w:r>
      <w:r w:rsidRPr="00901DF7" w:rsidR="00761AF3">
        <w:t xml:space="preserve"> </w:t>
      </w:r>
      <w:r w:rsidRPr="00901DF7" w:rsidR="002A423B">
        <w:t>t</w:t>
      </w:r>
      <w:r w:rsidRPr="00901DF7" w:rsidR="006673E6">
        <w:t>he</w:t>
      </w:r>
      <w:r w:rsidRPr="00901DF7" w:rsidR="001025FA">
        <w:t xml:space="preserve"> high court recently confirmed that</w:t>
      </w:r>
      <w:r w:rsidRPr="00901DF7" w:rsidR="00370401">
        <w:t xml:space="preserve"> </w:t>
      </w:r>
      <w:r w:rsidRPr="00901DF7" w:rsidR="00527B89">
        <w:t xml:space="preserve">the Eighth Amendment’s </w:t>
      </w:r>
      <w:r w:rsidRPr="00901DF7" w:rsidR="00370401">
        <w:t>ban</w:t>
      </w:r>
      <w:r w:rsidRPr="00901DF7" w:rsidR="00DF4CB6">
        <w:t xml:space="preserve"> against cruel and unusual punishment </w:t>
      </w:r>
      <w:r w:rsidRPr="00901DF7" w:rsidR="00A14258">
        <w:t>“</w:t>
      </w:r>
      <w:r w:rsidR="0074534C">
        <w:t> </w:t>
      </w:r>
      <w:r w:rsidRPr="00901DF7" w:rsidR="00A14258">
        <w:t>‘has always been considered, and properly so, to be directed at the method or kind of punishment’ a government may ‘impos[e] for violation of criminal statutes.’</w:t>
      </w:r>
      <w:r w:rsidR="0074534C">
        <w:t> </w:t>
      </w:r>
      <w:r w:rsidRPr="00901DF7" w:rsidR="00A14258">
        <w:t>”  (</w:t>
      </w:r>
      <w:r w:rsidRPr="00901DF7" w:rsidR="00A14258">
        <w:rPr>
          <w:i/>
          <w:iCs/>
        </w:rPr>
        <w:t>City of Grants Pass v. Johnson</w:t>
      </w:r>
      <w:r w:rsidRPr="00901DF7" w:rsidR="00A14258">
        <w:t xml:space="preserve"> (2024)</w:t>
      </w:r>
      <w:r w:rsidR="003E23C9">
        <w:t xml:space="preserve"> __</w:t>
      </w:r>
      <w:r w:rsidR="000E216C">
        <w:t>_</w:t>
      </w:r>
      <w:r w:rsidR="003E23C9">
        <w:t xml:space="preserve"> </w:t>
      </w:r>
      <w:r w:rsidR="000E216C">
        <w:t>U</w:t>
      </w:r>
      <w:r w:rsidRPr="00901DF7" w:rsidR="00A14258">
        <w:t>.</w:t>
      </w:r>
      <w:r w:rsidR="000E216C">
        <w:t>S.</w:t>
      </w:r>
      <w:r w:rsidR="003E23C9">
        <w:t xml:space="preserve"> </w:t>
      </w:r>
      <w:r w:rsidR="000E216C">
        <w:t>_</w:t>
      </w:r>
      <w:r w:rsidR="003E23C9">
        <w:t xml:space="preserve">__ </w:t>
      </w:r>
      <w:r w:rsidR="00704F4A">
        <w:t>[144 S.Ct. 2202, 2204]</w:t>
      </w:r>
      <w:r w:rsidRPr="00901DF7" w:rsidR="00A14258">
        <w:t xml:space="preserve">.) </w:t>
      </w:r>
      <w:r w:rsidR="000E216C">
        <w:t xml:space="preserve"> </w:t>
      </w:r>
      <w:r w:rsidRPr="00901DF7" w:rsidR="00CC2DA3">
        <w:t>The Eighth Amendment “ ‘guarantees individuals the right not to be subjected to excessive sanctions.’</w:t>
      </w:r>
      <w:r w:rsidR="00494170">
        <w:t> </w:t>
      </w:r>
      <w:r w:rsidRPr="00901DF7" w:rsidR="00CC2DA3">
        <w:t>”  (</w:t>
      </w:r>
      <w:r w:rsidRPr="00901DF7" w:rsidR="00CC2DA3">
        <w:rPr>
          <w:i/>
          <w:iCs/>
        </w:rPr>
        <w:t>Miller</w:t>
      </w:r>
      <w:r w:rsidRPr="00901DF7" w:rsidR="00CC2DA3">
        <w:t xml:space="preserve">, </w:t>
      </w:r>
      <w:r w:rsidRPr="00901DF7" w:rsidR="00CC2DA3">
        <w:rPr>
          <w:i/>
          <w:iCs/>
        </w:rPr>
        <w:t>supra</w:t>
      </w:r>
      <w:r w:rsidRPr="00901DF7" w:rsidR="00CC2DA3">
        <w:t>, 567 U.S. at p.</w:t>
      </w:r>
      <w:r w:rsidR="004B511C">
        <w:t> </w:t>
      </w:r>
      <w:r w:rsidRPr="00901DF7" w:rsidR="00CC2DA3">
        <w:t>469.)</w:t>
      </w:r>
      <w:r w:rsidR="00171AB6">
        <w:t xml:space="preserve">  </w:t>
      </w:r>
      <w:r w:rsidRPr="00901DF7" w:rsidR="00BF67CE">
        <w:t>“Embodied in the Constitution’s ban on cruel and unusual punishments is the ‘precept of justice that punishment for crime should be graduated and</w:t>
      </w:r>
      <w:r w:rsidRPr="00901DF7" w:rsidR="00FD75F8">
        <w:t xml:space="preserve"> </w:t>
      </w:r>
      <w:r w:rsidRPr="00901DF7" w:rsidR="00BF67CE">
        <w:t>proportioned to [the] offense.’</w:t>
      </w:r>
      <w:r w:rsidRPr="00901DF7" w:rsidR="00527B89">
        <w:t> </w:t>
      </w:r>
      <w:r w:rsidRPr="00901DF7" w:rsidR="00BF67CE">
        <w:t>”  (</w:t>
      </w:r>
      <w:r w:rsidRPr="00901DF7" w:rsidR="00BF67CE">
        <w:rPr>
          <w:i/>
          <w:iCs/>
        </w:rPr>
        <w:t>Graham</w:t>
      </w:r>
      <w:r w:rsidRPr="00901DF7" w:rsidR="00BF67CE">
        <w:t xml:space="preserve">, </w:t>
      </w:r>
      <w:r w:rsidRPr="00901DF7" w:rsidR="00BF67CE">
        <w:rPr>
          <w:i/>
          <w:iCs/>
        </w:rPr>
        <w:t>supra</w:t>
      </w:r>
      <w:r w:rsidRPr="00901DF7" w:rsidR="00BF67CE">
        <w:t>, 560 U.S.</w:t>
      </w:r>
      <w:r w:rsidRPr="00901DF7" w:rsidR="00312FE9">
        <w:t xml:space="preserve"> at p.</w:t>
      </w:r>
      <w:r w:rsidRPr="00901DF7" w:rsidR="00BF67CE">
        <w:t xml:space="preserve"> 59.)</w:t>
      </w:r>
      <w:r w:rsidRPr="00901DF7" w:rsidR="00A9608A">
        <w:t xml:space="preserve"> </w:t>
      </w:r>
      <w:r w:rsidRPr="00901DF7" w:rsidR="00FD75F8">
        <w:t xml:space="preserve"> </w:t>
      </w:r>
    </w:p>
    <w:bookmarkEnd w:id="9"/>
    <w:p w:rsidR="001D616B" w:rsidP="00901DF7" w14:paraId="7BECD44A" w14:textId="03528A82">
      <w:pPr>
        <w:tabs>
          <w:tab w:val="left" w:pos="720"/>
          <w:tab w:val="left" w:pos="1440"/>
        </w:tabs>
      </w:pPr>
      <w:r w:rsidRPr="00901DF7">
        <w:tab/>
      </w:r>
      <w:bookmarkStart w:id="10" w:name="_Hlk170959114"/>
      <w:r w:rsidRPr="00901DF7" w:rsidR="00D219F3">
        <w:t>W</w:t>
      </w:r>
      <w:r w:rsidRPr="00901DF7" w:rsidR="00AB0FA2">
        <w:t xml:space="preserve">ith </w:t>
      </w:r>
      <w:r w:rsidRPr="00901DF7" w:rsidR="00312FE9">
        <w:t xml:space="preserve">respect to defendants who </w:t>
      </w:r>
      <w:r w:rsidRPr="00901DF7" w:rsidR="007D6911">
        <w:t>commit non</w:t>
      </w:r>
      <w:r w:rsidRPr="00901DF7" w:rsidR="00EB23D7">
        <w:t>homicide</w:t>
      </w:r>
      <w:r w:rsidR="00704F4A">
        <w:t xml:space="preserve"> offense</w:t>
      </w:r>
      <w:r w:rsidRPr="00901DF7" w:rsidR="00D60C66">
        <w:t>s</w:t>
      </w:r>
      <w:r w:rsidRPr="00901DF7" w:rsidR="00312FE9">
        <w:t>, the high court</w:t>
      </w:r>
      <w:r w:rsidRPr="00901DF7" w:rsidR="00AB0FA2">
        <w:t xml:space="preserve"> in </w:t>
      </w:r>
      <w:r w:rsidRPr="00901DF7" w:rsidR="00AB0FA2">
        <w:rPr>
          <w:i/>
          <w:iCs/>
        </w:rPr>
        <w:t>Graham</w:t>
      </w:r>
      <w:r w:rsidRPr="00901DF7" w:rsidR="00312FE9">
        <w:t xml:space="preserve"> </w:t>
      </w:r>
      <w:r>
        <w:t>explained that</w:t>
      </w:r>
      <w:r w:rsidRPr="00901DF7">
        <w:t xml:space="preserve"> </w:t>
      </w:r>
      <w:r w:rsidRPr="00901DF7" w:rsidR="00B67423">
        <w:t xml:space="preserve">these defendants </w:t>
      </w:r>
      <w:r>
        <w:t xml:space="preserve">are </w:t>
      </w:r>
      <w:r w:rsidRPr="00901DF7" w:rsidR="00312FE9">
        <w:t>“categorically less deserving of the most serious forms of punishment</w:t>
      </w:r>
      <w:r w:rsidRPr="00901DF7" w:rsidR="00AF33A3">
        <w:t>,</w:t>
      </w:r>
      <w:r w:rsidRPr="00901DF7" w:rsidR="00C24AE4">
        <w:t xml:space="preserve">” and </w:t>
      </w:r>
      <w:r w:rsidRPr="00901DF7" w:rsidR="003B3BE3">
        <w:t>confirmed</w:t>
      </w:r>
      <w:r w:rsidRPr="00901DF7" w:rsidR="00C24AE4">
        <w:t xml:space="preserve"> </w:t>
      </w:r>
      <w:r w:rsidRPr="00901DF7" w:rsidR="00151A48">
        <w:t xml:space="preserve">that </w:t>
      </w:r>
      <w:r w:rsidRPr="00901DF7" w:rsidR="00C24AE4">
        <w:t xml:space="preserve">they </w:t>
      </w:r>
      <w:r w:rsidRPr="00901DF7" w:rsidR="00213E53">
        <w:t>cann</w:t>
      </w:r>
      <w:r w:rsidRPr="00901DF7" w:rsidR="00C24AE4">
        <w:t>ot be sentenced to deat</w:t>
      </w:r>
      <w:r w:rsidRPr="00901DF7" w:rsidR="008E1056">
        <w:t>h</w:t>
      </w:r>
      <w:r w:rsidRPr="00901DF7" w:rsidR="0048406A">
        <w:t xml:space="preserve">.  </w:t>
      </w:r>
      <w:r w:rsidRPr="00901DF7" w:rsidR="00AB0FA2">
        <w:t>(</w:t>
      </w:r>
      <w:r w:rsidRPr="00901DF7" w:rsidR="00AB0FA2">
        <w:rPr>
          <w:i/>
          <w:iCs/>
        </w:rPr>
        <w:t>Graham, supra</w:t>
      </w:r>
      <w:r w:rsidRPr="00901DF7" w:rsidR="00AB0FA2">
        <w:t>, 560 U.S. at p</w:t>
      </w:r>
      <w:r w:rsidRPr="00901DF7" w:rsidR="00AB0FA2">
        <w:rPr>
          <w:i/>
          <w:iCs/>
        </w:rPr>
        <w:t>.</w:t>
      </w:r>
      <w:r w:rsidRPr="00901DF7" w:rsidR="00DF2188">
        <w:t xml:space="preserve"> 69</w:t>
      </w:r>
      <w:r w:rsidRPr="00901DF7" w:rsidR="00AB0FA2">
        <w:t xml:space="preserve">, citing </w:t>
      </w:r>
      <w:r w:rsidRPr="00901DF7" w:rsidR="00AB0FA2">
        <w:rPr>
          <w:i/>
          <w:iCs/>
        </w:rPr>
        <w:t>Kennedy v. Louisiana</w:t>
      </w:r>
      <w:r w:rsidRPr="00901DF7" w:rsidR="00AB0FA2">
        <w:t xml:space="preserve"> (2008) 554 U.S. 407 (</w:t>
      </w:r>
      <w:r w:rsidRPr="00901DF7" w:rsidR="00AB0FA2">
        <w:rPr>
          <w:i/>
          <w:iCs/>
        </w:rPr>
        <w:t>Kennedy</w:t>
      </w:r>
      <w:r w:rsidRPr="00901DF7" w:rsidR="00AB0FA2">
        <w:t>)</w:t>
      </w:r>
      <w:r w:rsidR="00704F4A">
        <w:t xml:space="preserve">; see </w:t>
      </w:r>
      <w:r w:rsidRPr="0014471D" w:rsidR="00704F4A">
        <w:rPr>
          <w:i/>
          <w:iCs/>
        </w:rPr>
        <w:t>Kennedy</w:t>
      </w:r>
      <w:r w:rsidR="00704F4A">
        <w:t>, at p. 446</w:t>
      </w:r>
      <w:r w:rsidRPr="00901DF7" w:rsidR="00AB0FA2">
        <w:t xml:space="preserve"> [“death penalty is not a proportional punishment for the rape of a child”]; </w:t>
      </w:r>
      <w:r w:rsidRPr="00901DF7" w:rsidR="00AB0FA2">
        <w:rPr>
          <w:i/>
          <w:iCs/>
        </w:rPr>
        <w:t xml:space="preserve">Coker v. Georgia </w:t>
      </w:r>
      <w:r w:rsidRPr="00901DF7" w:rsidR="00AB0FA2">
        <w:t xml:space="preserve">(1977) 433 U.S. 584, 592 </w:t>
      </w:r>
      <w:r w:rsidR="000E216C">
        <w:t>(</w:t>
      </w:r>
      <w:r w:rsidRPr="000E216C" w:rsidR="000E216C">
        <w:rPr>
          <w:i/>
          <w:iCs/>
        </w:rPr>
        <w:t>Coker</w:t>
      </w:r>
      <w:r w:rsidR="000E216C">
        <w:t xml:space="preserve">) </w:t>
      </w:r>
      <w:r w:rsidRPr="00901DF7" w:rsidR="00AB0FA2">
        <w:t>[“sentence of death is grossly disproportionate and excessive punishment for the crime of rape”].)</w:t>
      </w:r>
      <w:r>
        <w:rPr>
          <w:rStyle w:val="FootnoteReference"/>
        </w:rPr>
        <w:footnoteReference w:id="13"/>
      </w:r>
      <w:r w:rsidRPr="00901DF7" w:rsidR="00AB0FA2">
        <w:t xml:space="preserve">  </w:t>
      </w:r>
      <w:r>
        <w:t>Defendant argues that he is, therefore, “less deserving</w:t>
      </w:r>
      <w:r w:rsidR="00E41FE6">
        <w:t xml:space="preserve"> of harsh punishment than a young offender who has committed murder.” </w:t>
      </w:r>
    </w:p>
    <w:p w:rsidR="00E41FE6" w:rsidP="00901DF7" w14:paraId="3733938A" w14:textId="748129B8">
      <w:pPr>
        <w:tabs>
          <w:tab w:val="left" w:pos="720"/>
          <w:tab w:val="left" w:pos="1440"/>
        </w:tabs>
      </w:pPr>
      <w:r>
        <w:tab/>
        <w:t xml:space="preserve">The comparison is inapt.  For one thing, it is not the case that section 3051 and its exclusions categorically result in harsher punishment for youthful One Strike offenders than for youthful offenders who commit murder.  As noted, section 3051(h) also excludes from early parole eligibility those </w:t>
      </w:r>
      <w:r w:rsidR="0031046A">
        <w:t xml:space="preserve">young adults </w:t>
      </w:r>
      <w:r>
        <w:t>who commit special circumstance murder and are sentenced to LWOP instead of death.  Additionally, because section 3051 creates a scheme for early parole eligibility, the exclusion of a particular group of offenders from the statute’s scope does not necessarily mean they are ineligible for parole at all.  Indeed, many offenders sentenced under the One Strike law are already eligible for parole after 15 or 25 years.  (</w:t>
      </w:r>
      <w:r w:rsidR="007B112D">
        <w:t>§ </w:t>
      </w:r>
      <w:r>
        <w:t xml:space="preserve">667.61, subd. (a).)  </w:t>
      </w:r>
      <w:r w:rsidR="00731B4E">
        <w:t>And One Strike offenders, like defendant, who are not sentenced to LWOP are entitled to elderly parole consideration at the age of 50 if they have served a minimum of 20 years continuously on their current sentence.  (</w:t>
      </w:r>
      <w:r w:rsidR="007B112D">
        <w:rPr>
          <w:szCs w:val="26"/>
        </w:rPr>
        <w:t>§ </w:t>
      </w:r>
      <w:r w:rsidR="00731B4E">
        <w:rPr>
          <w:szCs w:val="26"/>
        </w:rPr>
        <w:t>3055, subds. (a), (g).)</w:t>
      </w:r>
      <w:r w:rsidR="00871E69">
        <w:rPr>
          <w:szCs w:val="26"/>
        </w:rPr>
        <w:t xml:space="preserve">  </w:t>
      </w:r>
      <w:r>
        <w:t>The effects of section 3051(h)’s exclusions are not so categorical as defendant</w:t>
      </w:r>
      <w:r w:rsidR="00731B4E">
        <w:t xml:space="preserve"> and the dissent</w:t>
      </w:r>
      <w:r>
        <w:t xml:space="preserve"> posit. </w:t>
      </w:r>
    </w:p>
    <w:p w:rsidR="00876701" w:rsidRPr="00901DF7" w:rsidP="00901DF7" w14:paraId="2B3A2086" w14:textId="06D2132C">
      <w:pPr>
        <w:tabs>
          <w:tab w:val="left" w:pos="720"/>
          <w:tab w:val="left" w:pos="1440"/>
        </w:tabs>
      </w:pPr>
      <w:r>
        <w:tab/>
        <w:t>More fundamentally, w</w:t>
      </w:r>
      <w:r w:rsidRPr="00901DF7">
        <w:t xml:space="preserve">e </w:t>
      </w:r>
      <w:r w:rsidRPr="00901DF7" w:rsidR="003B3BE3">
        <w:t>conclude that i</w:t>
      </w:r>
      <w:r w:rsidRPr="00901DF7" w:rsidR="00B52700">
        <w:t xml:space="preserve">n </w:t>
      </w:r>
      <w:r w:rsidRPr="00901DF7" w:rsidR="000673E4">
        <w:t>distinguishing between homicides and nonhomicide</w:t>
      </w:r>
      <w:r w:rsidR="00704F4A">
        <w:t xml:space="preserve"> offense</w:t>
      </w:r>
      <w:r w:rsidRPr="00901DF7" w:rsidR="000673E4">
        <w:t>s in terms of their “</w:t>
      </w:r>
      <w:r w:rsidRPr="00901DF7" w:rsidR="00F263E0">
        <w:t> </w:t>
      </w:r>
      <w:r w:rsidRPr="00901DF7" w:rsidR="00CE55D2">
        <w:t>‘</w:t>
      </w:r>
      <w:r w:rsidRPr="00901DF7" w:rsidR="00F263E0">
        <w:t> </w:t>
      </w:r>
      <w:r w:rsidRPr="00901DF7" w:rsidR="00CE55D2">
        <w:t>“</w:t>
      </w:r>
      <w:r w:rsidRPr="00901DF7" w:rsidR="000673E4">
        <w:t>severity and irrevocability</w:t>
      </w:r>
      <w:r w:rsidRPr="00901DF7" w:rsidR="00CE55D2">
        <w:t>”</w:t>
      </w:r>
      <w:r w:rsidR="0074534C">
        <w:t> </w:t>
      </w:r>
      <w:r w:rsidRPr="00901DF7" w:rsidR="00CE55D2">
        <w:t>’</w:t>
      </w:r>
      <w:r w:rsidR="0074534C">
        <w:t> </w:t>
      </w:r>
      <w:r w:rsidRPr="00901DF7" w:rsidR="000673E4">
        <w:t xml:space="preserve">” </w:t>
      </w:r>
      <w:r w:rsidRPr="00901DF7" w:rsidR="00B67423">
        <w:t>(</w:t>
      </w:r>
      <w:r w:rsidRPr="00901DF7" w:rsidR="00CE55D2">
        <w:rPr>
          <w:i/>
          <w:iCs/>
        </w:rPr>
        <w:t>Graham</w:t>
      </w:r>
      <w:r w:rsidRPr="00901DF7" w:rsidR="00CE55D2">
        <w:t xml:space="preserve">, </w:t>
      </w:r>
      <w:r w:rsidRPr="00901DF7" w:rsidR="00CE55D2">
        <w:rPr>
          <w:i/>
          <w:iCs/>
        </w:rPr>
        <w:t>supra</w:t>
      </w:r>
      <w:r w:rsidRPr="00901DF7" w:rsidR="00CE55D2">
        <w:t xml:space="preserve">, 560 U.S. at p. </w:t>
      </w:r>
      <w:r w:rsidRPr="00901DF7" w:rsidR="0055504B">
        <w:t>69</w:t>
      </w:r>
      <w:r w:rsidRPr="00901DF7" w:rsidR="00B52700">
        <w:t xml:space="preserve">, quoting </w:t>
      </w:r>
      <w:r w:rsidRPr="00901DF7" w:rsidR="00B52700">
        <w:rPr>
          <w:i/>
          <w:iCs/>
        </w:rPr>
        <w:t>Kennedy</w:t>
      </w:r>
      <w:r w:rsidRPr="00901DF7" w:rsidR="00B52700">
        <w:t xml:space="preserve">, </w:t>
      </w:r>
      <w:r w:rsidRPr="00901DF7" w:rsidR="00B52700">
        <w:rPr>
          <w:i/>
          <w:iCs/>
        </w:rPr>
        <w:t>supra</w:t>
      </w:r>
      <w:r w:rsidRPr="00901DF7" w:rsidR="00B52700">
        <w:t>, 560 U.S. at p. 438</w:t>
      </w:r>
      <w:r w:rsidRPr="00901DF7" w:rsidR="00B67423">
        <w:t xml:space="preserve">), </w:t>
      </w:r>
      <w:r w:rsidRPr="00901DF7" w:rsidR="00652B80">
        <w:t xml:space="preserve">a characterization </w:t>
      </w:r>
      <w:r w:rsidRPr="00901DF7" w:rsidR="00FA3514">
        <w:t>also used to describe the</w:t>
      </w:r>
      <w:r w:rsidRPr="00901DF7" w:rsidR="00652B80">
        <w:t xml:space="preserve"> </w:t>
      </w:r>
      <w:r w:rsidRPr="00901DF7" w:rsidR="00D75202">
        <w:t xml:space="preserve">penalty </w:t>
      </w:r>
      <w:r w:rsidRPr="00901DF7" w:rsidR="00652B80">
        <w:t xml:space="preserve">of death, </w:t>
      </w:r>
      <w:r w:rsidRPr="00901DF7" w:rsidR="000673E4">
        <w:t xml:space="preserve">the high court </w:t>
      </w:r>
      <w:r w:rsidRPr="00901DF7" w:rsidR="00B67423">
        <w:t xml:space="preserve">was outlining the </w:t>
      </w:r>
      <w:r w:rsidR="002A38E1">
        <w:t>Eighth Amendment’s</w:t>
      </w:r>
      <w:r w:rsidRPr="00901DF7" w:rsidR="00B67423">
        <w:t xml:space="preserve"> limits </w:t>
      </w:r>
      <w:r w:rsidR="002A38E1">
        <w:t>on</w:t>
      </w:r>
      <w:r w:rsidRPr="00901DF7" w:rsidR="002A38E1">
        <w:t xml:space="preserve"> </w:t>
      </w:r>
      <w:r w:rsidRPr="00901DF7" w:rsidR="00B67423">
        <w:t xml:space="preserve">excessive punishments.  </w:t>
      </w:r>
      <w:r w:rsidRPr="00901DF7" w:rsidR="00757FA5">
        <w:t>(</w:t>
      </w:r>
      <w:r w:rsidRPr="00901DF7" w:rsidR="00B81CCC">
        <w:rPr>
          <w:i/>
          <w:iCs/>
        </w:rPr>
        <w:t>Graham,</w:t>
      </w:r>
      <w:r w:rsidRPr="00901DF7" w:rsidR="00560171">
        <w:t xml:space="preserve"> </w:t>
      </w:r>
      <w:r w:rsidRPr="00901DF7" w:rsidR="00757FA5">
        <w:t xml:space="preserve">at p. </w:t>
      </w:r>
      <w:r w:rsidRPr="00901DF7" w:rsidR="00991459">
        <w:t xml:space="preserve">89 [death penalty </w:t>
      </w:r>
      <w:r w:rsidRPr="00901DF7" w:rsidR="00853B96">
        <w:t>“</w:t>
      </w:r>
      <w:r w:rsidRPr="00901DF7" w:rsidR="000D108C">
        <w:t> </w:t>
      </w:r>
      <w:r w:rsidRPr="00901DF7" w:rsidR="00853B96">
        <w:t xml:space="preserve">‘must be limited to </w:t>
      </w:r>
      <w:r w:rsidRPr="00901DF7" w:rsidR="00160A3B">
        <w:t>those offenders who</w:t>
      </w:r>
      <w:r w:rsidRPr="00901DF7" w:rsidR="00A37CA7">
        <w:t xml:space="preserve"> commit </w:t>
      </w:r>
      <w:r w:rsidRPr="00901DF7" w:rsidR="00E77FA8">
        <w:t>“a narrow</w:t>
      </w:r>
      <w:r w:rsidRPr="00901DF7" w:rsidR="00340F61">
        <w:t xml:space="preserve"> category </w:t>
      </w:r>
      <w:r w:rsidRPr="00901DF7" w:rsidR="00901AF5">
        <w:t>of the most serious</w:t>
      </w:r>
      <w:r w:rsidRPr="00901DF7" w:rsidR="00EF1FC5">
        <w:t xml:space="preserve"> crimes</w:t>
      </w:r>
      <w:r w:rsidRPr="00901DF7" w:rsidR="00DB3B94">
        <w:t xml:space="preserve">” and </w:t>
      </w:r>
      <w:r w:rsidRPr="00901DF7" w:rsidR="00F55237">
        <w:t xml:space="preserve">whose extreme </w:t>
      </w:r>
      <w:r w:rsidRPr="00901DF7" w:rsidR="00C712E1">
        <w:t xml:space="preserve">culpability makes </w:t>
      </w:r>
      <w:r w:rsidRPr="00901DF7" w:rsidR="00BA20A5">
        <w:t xml:space="preserve">them </w:t>
      </w:r>
      <w:r w:rsidRPr="00901DF7" w:rsidR="006B3A6A">
        <w:t>“the most deserving</w:t>
      </w:r>
      <w:r w:rsidRPr="00901DF7" w:rsidR="00EE4E26">
        <w:t xml:space="preserve"> of execution”</w:t>
      </w:r>
      <w:r w:rsidR="0074534C">
        <w:t> </w:t>
      </w:r>
      <w:r w:rsidRPr="00901DF7" w:rsidR="00EE4E26">
        <w:t>’</w:t>
      </w:r>
      <w:r w:rsidR="0074534C">
        <w:t> </w:t>
      </w:r>
      <w:r w:rsidRPr="00901DF7" w:rsidR="00EE4E26">
        <w:t>”</w:t>
      </w:r>
      <w:r w:rsidRPr="00901DF7" w:rsidR="00991459">
        <w:t>]</w:t>
      </w:r>
      <w:r w:rsidRPr="00901DF7" w:rsidR="00EE4E26">
        <w:t xml:space="preserve">; </w:t>
      </w:r>
      <w:r w:rsidRPr="00901DF7" w:rsidR="00EE4E26">
        <w:rPr>
          <w:i/>
          <w:iCs/>
        </w:rPr>
        <w:t>Miller</w:t>
      </w:r>
      <w:r w:rsidRPr="00901DF7" w:rsidR="00EE4E26">
        <w:t xml:space="preserve">, </w:t>
      </w:r>
      <w:r w:rsidRPr="00901DF7" w:rsidR="00EE4E26">
        <w:rPr>
          <w:i/>
          <w:iCs/>
        </w:rPr>
        <w:t>supra</w:t>
      </w:r>
      <w:r w:rsidRPr="00901DF7" w:rsidR="00EE4E26">
        <w:t xml:space="preserve">, </w:t>
      </w:r>
      <w:r w:rsidRPr="00901DF7" w:rsidR="000D61BC">
        <w:t xml:space="preserve">567 U.S. at p. </w:t>
      </w:r>
      <w:r w:rsidRPr="00901DF7" w:rsidR="00311552">
        <w:t>476 [</w:t>
      </w:r>
      <w:r w:rsidRPr="00901DF7" w:rsidR="00F739AA">
        <w:t xml:space="preserve">“death penalty </w:t>
      </w:r>
      <w:r w:rsidRPr="00901DF7" w:rsidR="002A0CA1">
        <w:t xml:space="preserve">is reserved </w:t>
      </w:r>
      <w:r w:rsidRPr="00901DF7" w:rsidR="005B6FD5">
        <w:t xml:space="preserve">only for the </w:t>
      </w:r>
      <w:r w:rsidRPr="00901DF7" w:rsidR="00A02124">
        <w:t>most culpable defendant</w:t>
      </w:r>
      <w:r w:rsidRPr="00901DF7" w:rsidR="00AC237B">
        <w:t xml:space="preserve">s </w:t>
      </w:r>
      <w:r w:rsidRPr="00901DF7" w:rsidR="00A72A1A">
        <w:t xml:space="preserve">committing the </w:t>
      </w:r>
      <w:r w:rsidRPr="00901DF7" w:rsidR="007E109F">
        <w:t>most serious offenses”</w:t>
      </w:r>
      <w:r w:rsidRPr="00901DF7" w:rsidR="00311552">
        <w:t>]</w:t>
      </w:r>
      <w:r w:rsidRPr="00901DF7" w:rsidR="00836964">
        <w:t xml:space="preserve">; see </w:t>
      </w:r>
      <w:r w:rsidRPr="00901DF7" w:rsidR="00836964">
        <w:rPr>
          <w:i/>
          <w:iCs/>
        </w:rPr>
        <w:t>Gregg v. Georgia</w:t>
      </w:r>
      <w:r w:rsidRPr="00901DF7" w:rsidR="00836964">
        <w:t xml:space="preserve"> (1976) 428 U.S. 153, 187 [“death as a punishment is unique in its severity and irrevocability”].)</w:t>
      </w:r>
      <w:r w:rsidRPr="00901DF7" w:rsidR="00755A76">
        <w:t xml:space="preserve"> </w:t>
      </w:r>
      <w:r w:rsidRPr="00901DF7" w:rsidR="007512C4">
        <w:t xml:space="preserve"> </w:t>
      </w:r>
      <w:r w:rsidRPr="00901DF7" w:rsidR="00143B6D">
        <w:t>Notably</w:t>
      </w:r>
      <w:r w:rsidRPr="00901DF7" w:rsidR="0064020F">
        <w:t>, t</w:t>
      </w:r>
      <w:r w:rsidRPr="00901DF7" w:rsidR="00F008F9">
        <w:t>he</w:t>
      </w:r>
      <w:r w:rsidRPr="00901DF7" w:rsidR="007512C4">
        <w:t xml:space="preserve"> high court in</w:t>
      </w:r>
      <w:r w:rsidRPr="00901DF7" w:rsidR="00B52700">
        <w:t xml:space="preserve"> </w:t>
      </w:r>
      <w:r w:rsidRPr="00901DF7" w:rsidR="00B52700">
        <w:rPr>
          <w:i/>
          <w:iCs/>
        </w:rPr>
        <w:t>Kennedy</w:t>
      </w:r>
      <w:r w:rsidRPr="00901DF7" w:rsidR="007512C4">
        <w:t xml:space="preserve">, on which </w:t>
      </w:r>
      <w:r w:rsidRPr="00901DF7" w:rsidR="007512C4">
        <w:rPr>
          <w:i/>
          <w:iCs/>
        </w:rPr>
        <w:t>Graham</w:t>
      </w:r>
      <w:r w:rsidRPr="00901DF7" w:rsidR="007512C4">
        <w:t xml:space="preserve"> and </w:t>
      </w:r>
      <w:r w:rsidRPr="00901DF7" w:rsidR="007512C4">
        <w:rPr>
          <w:i/>
          <w:iCs/>
        </w:rPr>
        <w:t>Miller</w:t>
      </w:r>
      <w:r w:rsidRPr="00901DF7" w:rsidR="007512C4">
        <w:t xml:space="preserve"> heavily rely, emphasized the “</w:t>
      </w:r>
      <w:r w:rsidRPr="00901DF7" w:rsidR="00755A76">
        <w:t>distinction between intentional first-degree murder on the one hand and nonhomicide crimes against individual persons</w:t>
      </w:r>
      <w:r w:rsidR="0095608B">
        <w:t xml:space="preserve"> </w:t>
      </w:r>
      <w:r w:rsidRPr="00901DF7" w:rsidR="009C1639">
        <w:t>. . .</w:t>
      </w:r>
      <w:r w:rsidRPr="00901DF7" w:rsidR="00755A76">
        <w:t xml:space="preserve"> on the other”</w:t>
      </w:r>
      <w:r w:rsidRPr="00901DF7" w:rsidR="007512C4">
        <w:t xml:space="preserve"> for purposes of “</w:t>
      </w:r>
      <w:r w:rsidRPr="00901DF7" w:rsidR="007512C4">
        <w:rPr>
          <w:i/>
          <w:iCs/>
        </w:rPr>
        <w:t>determining whether the death penalty is excessive</w:t>
      </w:r>
      <w:r w:rsidRPr="00901DF7" w:rsidR="007512C4">
        <w:t>.”</w:t>
      </w:r>
      <w:r w:rsidRPr="00901DF7" w:rsidR="00755A76">
        <w:t xml:space="preserve">  (</w:t>
      </w:r>
      <w:r w:rsidRPr="00901DF7" w:rsidR="00755A76">
        <w:rPr>
          <w:i/>
          <w:iCs/>
        </w:rPr>
        <w:t>Kennedy</w:t>
      </w:r>
      <w:r w:rsidRPr="00901DF7" w:rsidR="00755A76">
        <w:t xml:space="preserve">, </w:t>
      </w:r>
      <w:r w:rsidRPr="00901DF7" w:rsidR="00755A76">
        <w:rPr>
          <w:i/>
          <w:iCs/>
        </w:rPr>
        <w:t>supra</w:t>
      </w:r>
      <w:r w:rsidRPr="00901DF7" w:rsidR="00755A76">
        <w:t xml:space="preserve">, </w:t>
      </w:r>
      <w:r w:rsidRPr="00901DF7" w:rsidR="00B52700">
        <w:t>554 U.S. at p. 438</w:t>
      </w:r>
      <w:r w:rsidRPr="00901DF7" w:rsidR="00F263E0">
        <w:t>, italics added</w:t>
      </w:r>
      <w:r w:rsidRPr="00901DF7" w:rsidR="00FA3514">
        <w:t xml:space="preserve">; see </w:t>
      </w:r>
      <w:r w:rsidRPr="00901DF7" w:rsidR="00FA3514">
        <w:rPr>
          <w:i/>
          <w:iCs/>
        </w:rPr>
        <w:t>ibid.</w:t>
      </w:r>
      <w:r w:rsidRPr="00901DF7" w:rsidR="00FA3514">
        <w:t xml:space="preserve"> [</w:t>
      </w:r>
      <w:r w:rsidR="000B713B">
        <w:t xml:space="preserve">the </w:t>
      </w:r>
      <w:r w:rsidRPr="00901DF7" w:rsidR="00FA3514">
        <w:t>“same distinction between homicide and other serious violent offenses against the individual”</w:t>
      </w:r>
      <w:r w:rsidRPr="00901DF7" w:rsidR="00D31A76">
        <w:t xml:space="preserve"> </w:t>
      </w:r>
      <w:r w:rsidRPr="00901DF7" w:rsidR="00B81CCC">
        <w:t xml:space="preserve">is </w:t>
      </w:r>
      <w:r w:rsidRPr="00901DF7" w:rsidR="00D31A76">
        <w:t>relevant to whether death penalty is disproportionate to vicarious felony murder]</w:t>
      </w:r>
      <w:r w:rsidRPr="00901DF7" w:rsidR="00B52700">
        <w:t>.)</w:t>
      </w:r>
      <w:r w:rsidRPr="00901DF7" w:rsidR="00836964">
        <w:t xml:space="preserve"> </w:t>
      </w:r>
      <w:r w:rsidRPr="00901DF7" w:rsidR="00EE4E26">
        <w:t xml:space="preserve"> </w:t>
      </w:r>
      <w:r w:rsidRPr="00901DF7" w:rsidR="00D31A76">
        <w:t xml:space="preserve">The high court explained:  </w:t>
      </w:r>
      <w:r w:rsidRPr="00901DF7" w:rsidR="00D6187B">
        <w:t>“</w:t>
      </w:r>
      <w:r w:rsidR="000B713B">
        <w:t> </w:t>
      </w:r>
      <w:r w:rsidRPr="00901DF7" w:rsidR="00D6187B">
        <w:t>‘We have the abiding conviction that the death penalty, which “is unique in its severity and irrevocability,” is an excessive penalty for the rapist who, as such, does not take human life.’</w:t>
      </w:r>
      <w:r w:rsidR="000B713B">
        <w:t> </w:t>
      </w:r>
      <w:r w:rsidRPr="00901DF7" w:rsidR="00D6187B">
        <w:t>”  (</w:t>
      </w:r>
      <w:r w:rsidRPr="00901DF7" w:rsidR="00D6187B">
        <w:rPr>
          <w:i/>
          <w:iCs/>
        </w:rPr>
        <w:t>Id</w:t>
      </w:r>
      <w:r w:rsidRPr="00901DF7" w:rsidR="00D6187B">
        <w:t xml:space="preserve">. at pp. 437–438, quoting </w:t>
      </w:r>
      <w:r w:rsidRPr="00901DF7" w:rsidR="00D6187B">
        <w:rPr>
          <w:i/>
          <w:iCs/>
        </w:rPr>
        <w:t>Coker</w:t>
      </w:r>
      <w:r w:rsidRPr="00901DF7" w:rsidR="00D6187B">
        <w:t xml:space="preserve">, </w:t>
      </w:r>
      <w:r w:rsidRPr="00901DF7" w:rsidR="00D6187B">
        <w:rPr>
          <w:i/>
          <w:iCs/>
        </w:rPr>
        <w:t>supra</w:t>
      </w:r>
      <w:r w:rsidRPr="00901DF7" w:rsidR="00D6187B">
        <w:t xml:space="preserve">, 433 U.S. at p. 598.)  </w:t>
      </w:r>
    </w:p>
    <w:p w:rsidR="00312FE9" w:rsidRPr="00901DF7" w:rsidP="00901DF7" w14:paraId="1E8C52C1" w14:textId="5D1AACBB">
      <w:pPr>
        <w:tabs>
          <w:tab w:val="left" w:pos="720"/>
          <w:tab w:val="left" w:pos="1440"/>
        </w:tabs>
      </w:pPr>
      <w:r w:rsidRPr="00901DF7">
        <w:tab/>
      </w:r>
      <w:r w:rsidRPr="00901DF7" w:rsidR="009C1639">
        <w:t>These</w:t>
      </w:r>
      <w:r w:rsidRPr="00901DF7" w:rsidR="00FA3514">
        <w:t xml:space="preserve"> statements </w:t>
      </w:r>
      <w:r w:rsidRPr="00901DF7" w:rsidR="00AA1F26">
        <w:t>by</w:t>
      </w:r>
      <w:r w:rsidRPr="00901DF7" w:rsidR="00FA3514">
        <w:t xml:space="preserve"> the high court </w:t>
      </w:r>
      <w:r w:rsidRPr="00901DF7" w:rsidR="00B934EB">
        <w:t>that</w:t>
      </w:r>
      <w:r w:rsidRPr="00901DF7" w:rsidR="00B81CCC">
        <w:t xml:space="preserve"> </w:t>
      </w:r>
      <w:r w:rsidRPr="00901DF7" w:rsidR="00B67423">
        <w:t xml:space="preserve">homicide is a more serious crime than </w:t>
      </w:r>
      <w:r w:rsidRPr="00901DF7" w:rsidR="00B81CCC">
        <w:t>a non</w:t>
      </w:r>
      <w:r w:rsidRPr="00901DF7" w:rsidR="00B67423">
        <w:t xml:space="preserve">homicide offense </w:t>
      </w:r>
      <w:r w:rsidR="002A38E1">
        <w:t xml:space="preserve">must be considered in their proper context, which was </w:t>
      </w:r>
      <w:r w:rsidRPr="00901DF7" w:rsidR="00B81CCC">
        <w:t xml:space="preserve">whether the </w:t>
      </w:r>
      <w:r w:rsidR="002A38E1">
        <w:t xml:space="preserve">death penalty </w:t>
      </w:r>
      <w:r w:rsidRPr="00901DF7" w:rsidR="00B81CCC">
        <w:t xml:space="preserve">is </w:t>
      </w:r>
      <w:r w:rsidR="009C41BD">
        <w:t xml:space="preserve">a </w:t>
      </w:r>
      <w:r w:rsidRPr="00901DF7" w:rsidR="00B81CCC">
        <w:t xml:space="preserve">proportionate </w:t>
      </w:r>
      <w:r w:rsidR="009C41BD">
        <w:t xml:space="preserve">punishment </w:t>
      </w:r>
      <w:r w:rsidRPr="00901DF7" w:rsidR="00B81CCC">
        <w:t>to the crime</w:t>
      </w:r>
      <w:r w:rsidR="009C41BD">
        <w:t xml:space="preserve"> for purposes of the Eighth Amendment</w:t>
      </w:r>
      <w:r w:rsidRPr="00901DF7" w:rsidR="00670DE9">
        <w:t>.  C</w:t>
      </w:r>
      <w:r w:rsidRPr="00901DF7" w:rsidR="009C1639">
        <w:t xml:space="preserve">ontrary to defendant’s contention, </w:t>
      </w:r>
      <w:r w:rsidRPr="00901DF7" w:rsidR="00B81CCC">
        <w:t xml:space="preserve">the court did not </w:t>
      </w:r>
      <w:r w:rsidR="009C41BD">
        <w:t>advance</w:t>
      </w:r>
      <w:r w:rsidRPr="00901DF7" w:rsidR="009C41BD">
        <w:t xml:space="preserve"> </w:t>
      </w:r>
      <w:r w:rsidR="009C41BD">
        <w:t xml:space="preserve">the </w:t>
      </w:r>
      <w:r w:rsidRPr="00901DF7" w:rsidR="00B81CCC">
        <w:t>comparison in</w:t>
      </w:r>
      <w:r w:rsidRPr="00901DF7" w:rsidR="00EC1199">
        <w:t xml:space="preserve"> all </w:t>
      </w:r>
      <w:r w:rsidRPr="00901DF7" w:rsidR="00B81CCC">
        <w:t xml:space="preserve">other contexts, </w:t>
      </w:r>
      <w:r w:rsidRPr="00901DF7" w:rsidR="00B67423">
        <w:t>including for the purpose of evaluating</w:t>
      </w:r>
      <w:r w:rsidRPr="00901DF7" w:rsidR="00560171">
        <w:t>, as a general matter,</w:t>
      </w:r>
      <w:r w:rsidRPr="00901DF7" w:rsidR="00B67423">
        <w:t xml:space="preserve"> “the nature of punishment that is appropriate for [each] crime</w:t>
      </w:r>
      <w:r w:rsidRPr="00901DF7" w:rsidR="00560171">
        <w:t>.</w:t>
      </w:r>
      <w:r w:rsidRPr="00901DF7" w:rsidR="00B67423">
        <w:t>”</w:t>
      </w:r>
      <w:r w:rsidRPr="00901DF7" w:rsidR="00560171">
        <w:t xml:space="preserve"> </w:t>
      </w:r>
      <w:r w:rsidRPr="00901DF7" w:rsidR="00B67423">
        <w:t xml:space="preserve"> (</w:t>
      </w:r>
      <w:r w:rsidRPr="00901DF7" w:rsidR="00B67423">
        <w:rPr>
          <w:i/>
          <w:iCs/>
        </w:rPr>
        <w:t>Hardin</w:t>
      </w:r>
      <w:r w:rsidRPr="00901DF7" w:rsidR="00B67423">
        <w:t xml:space="preserve">, </w:t>
      </w:r>
      <w:r w:rsidRPr="00901DF7" w:rsidR="00B67423">
        <w:rPr>
          <w:i/>
          <w:iCs/>
        </w:rPr>
        <w:t>supra</w:t>
      </w:r>
      <w:r w:rsidRPr="00901DF7" w:rsidR="00B67423">
        <w:t>, 15 Cal.5th at p. 855</w:t>
      </w:r>
      <w:r w:rsidRPr="00901DF7" w:rsidR="006F4367">
        <w:t xml:space="preserve">; see </w:t>
      </w:r>
      <w:r w:rsidRPr="00901DF7" w:rsidR="006F4367">
        <w:rPr>
          <w:i/>
          <w:iCs/>
        </w:rPr>
        <w:t>Coker</w:t>
      </w:r>
      <w:r w:rsidRPr="00901DF7" w:rsidR="006F4367">
        <w:t xml:space="preserve">, </w:t>
      </w:r>
      <w:r w:rsidRPr="00901DF7" w:rsidR="006F4367">
        <w:rPr>
          <w:i/>
          <w:iCs/>
        </w:rPr>
        <w:t>supra</w:t>
      </w:r>
      <w:r w:rsidRPr="00901DF7" w:rsidR="006F4367">
        <w:t xml:space="preserve">, 433 U.S. at p. </w:t>
      </w:r>
      <w:r w:rsidR="000B713B">
        <w:t>5</w:t>
      </w:r>
      <w:r w:rsidRPr="00901DF7" w:rsidR="000B713B">
        <w:t xml:space="preserve">97 </w:t>
      </w:r>
      <w:r w:rsidRPr="00901DF7" w:rsidR="006F4367">
        <w:t>[“We do not discount the seriousness of rape as a crime”]</w:t>
      </w:r>
      <w:r w:rsidRPr="00901DF7" w:rsidR="00B67423">
        <w:t xml:space="preserve">.) </w:t>
      </w:r>
      <w:r w:rsidRPr="00901DF7" w:rsidR="00B81CCC">
        <w:t xml:space="preserve"> </w:t>
      </w:r>
      <w:r w:rsidRPr="00901DF7" w:rsidR="00C12F8F">
        <w:t xml:space="preserve">Put another way, the </w:t>
      </w:r>
      <w:r w:rsidRPr="00901DF7" w:rsidR="00B81CCC">
        <w:t>high court did not hold</w:t>
      </w:r>
      <w:r w:rsidRPr="00901DF7" w:rsidR="00F875BA">
        <w:t xml:space="preserve"> as a</w:t>
      </w:r>
      <w:r w:rsidRPr="00901DF7" w:rsidR="00143B6D">
        <w:t xml:space="preserve"> matter of</w:t>
      </w:r>
      <w:r w:rsidRPr="00901DF7" w:rsidR="00F875BA">
        <w:t xml:space="preserve"> constitutional imperative</w:t>
      </w:r>
      <w:r w:rsidRPr="00901DF7" w:rsidR="00B81CCC">
        <w:t xml:space="preserve"> that</w:t>
      </w:r>
      <w:r w:rsidRPr="00901DF7" w:rsidR="00D31A76">
        <w:t xml:space="preserve"> </w:t>
      </w:r>
      <w:r w:rsidRPr="00901DF7" w:rsidR="00B81CCC">
        <w:t>“no crime can be punished more severely than homicide.”  (</w:t>
      </w:r>
      <w:r w:rsidRPr="00901DF7" w:rsidR="00B81CCC">
        <w:rPr>
          <w:i/>
          <w:iCs/>
        </w:rPr>
        <w:t>People v. Estrada</w:t>
      </w:r>
      <w:r w:rsidRPr="00901DF7" w:rsidR="00B81CCC">
        <w:t xml:space="preserve"> (1997) 57 Cal.App.4th 1270, 1281</w:t>
      </w:r>
      <w:r w:rsidR="000B713B">
        <w:t xml:space="preserve">; see </w:t>
      </w:r>
      <w:r w:rsidRPr="0014471D" w:rsidR="000B713B">
        <w:rPr>
          <w:i/>
          <w:iCs/>
        </w:rPr>
        <w:t>id</w:t>
      </w:r>
      <w:r w:rsidR="000B713B">
        <w:t>. at p. 1280</w:t>
      </w:r>
      <w:r w:rsidRPr="00901DF7" w:rsidR="00B81CCC">
        <w:t xml:space="preserve"> [</w:t>
      </w:r>
      <w:r w:rsidRPr="00901DF7" w:rsidR="0087261F">
        <w:t xml:space="preserve">rejecting defendant’s claim that his 25-year-to-life sentence for rape in course of burglary </w:t>
      </w:r>
      <w:r w:rsidRPr="00901DF7" w:rsidR="00670DE9">
        <w:t>(</w:t>
      </w:r>
      <w:r w:rsidR="007B112D">
        <w:t>§ </w:t>
      </w:r>
      <w:r w:rsidRPr="00901DF7" w:rsidR="00B81CCC">
        <w:t>667.61</w:t>
      </w:r>
      <w:r w:rsidRPr="00901DF7" w:rsidR="00670DE9">
        <w:t>)</w:t>
      </w:r>
      <w:r w:rsidRPr="00901DF7" w:rsidR="0087261F">
        <w:t xml:space="preserve"> was cruel and unusual punishment</w:t>
      </w:r>
      <w:r w:rsidRPr="00901DF7" w:rsidR="00040A4C">
        <w:t xml:space="preserve"> because it was longer than sentence for “more serious” crime of second degree murder</w:t>
      </w:r>
      <w:r w:rsidRPr="00901DF7" w:rsidR="00B81CCC">
        <w:t>].)</w:t>
      </w:r>
      <w:r w:rsidRPr="00901DF7" w:rsidR="008D2D91">
        <w:t xml:space="preserve">  Therefore, </w:t>
      </w:r>
      <w:r w:rsidR="003D254C">
        <w:t xml:space="preserve">contrary to our dissenting colleague’s suggestion (see dis. opn. of Liu, J., </w:t>
      </w:r>
      <w:r w:rsidRPr="00630DB2" w:rsidR="003D254C">
        <w:rPr>
          <w:i/>
          <w:iCs/>
        </w:rPr>
        <w:t>post</w:t>
      </w:r>
      <w:r w:rsidR="003D254C">
        <w:t>, at p</w:t>
      </w:r>
      <w:r w:rsidR="001850CF">
        <w:t>p</w:t>
      </w:r>
      <w:r w:rsidR="003D254C">
        <w:t xml:space="preserve">. </w:t>
      </w:r>
      <w:r w:rsidR="001850CF">
        <w:t>14–15</w:t>
      </w:r>
      <w:r w:rsidR="003D254C">
        <w:t xml:space="preserve">), </w:t>
      </w:r>
      <w:r w:rsidR="009C41BD">
        <w:t xml:space="preserve">the high court’s statements about homicide do not undermine our conclusion that, </w:t>
      </w:r>
      <w:r w:rsidRPr="00901DF7" w:rsidR="008D2D91">
        <w:t>i</w:t>
      </w:r>
      <w:r w:rsidRPr="00901DF7" w:rsidR="00B81CCC">
        <w:t>n enacting section 3051, the Legislature</w:t>
      </w:r>
      <w:r w:rsidRPr="00901DF7" w:rsidR="00560171">
        <w:t xml:space="preserve"> </w:t>
      </w:r>
      <w:r w:rsidR="00790997">
        <w:t xml:space="preserve">permissibly </w:t>
      </w:r>
      <w:r w:rsidRPr="00901DF7" w:rsidR="00D75202">
        <w:t>“</w:t>
      </w:r>
      <w:r w:rsidRPr="00901DF7" w:rsidR="0098393A">
        <w:t>exercise</w:t>
      </w:r>
      <w:r w:rsidRPr="00901DF7" w:rsidR="00D75202">
        <w:t>[d]</w:t>
      </w:r>
      <w:r w:rsidRPr="00901DF7" w:rsidR="0098393A">
        <w:t xml:space="preserve"> its responsibility</w:t>
      </w:r>
      <w:r w:rsidRPr="00901DF7" w:rsidR="00D75202">
        <w:t>” “to increase the opportunities for meaningful release for young adult offenders, while taking into account the appropriate punishment for the underlying crimes, depending on their severity.”  (</w:t>
      </w:r>
      <w:r w:rsidRPr="00901DF7" w:rsidR="00D75202">
        <w:rPr>
          <w:i/>
          <w:iCs/>
        </w:rPr>
        <w:t>Hardin</w:t>
      </w:r>
      <w:r w:rsidRPr="00901DF7" w:rsidR="00D75202">
        <w:t xml:space="preserve">, </w:t>
      </w:r>
      <w:r w:rsidRPr="00901DF7" w:rsidR="00D75202">
        <w:rPr>
          <w:i/>
          <w:iCs/>
        </w:rPr>
        <w:t>supra</w:t>
      </w:r>
      <w:r w:rsidRPr="00901DF7" w:rsidR="00D75202">
        <w:t xml:space="preserve">, 15 Cal.5th at p. 855.) </w:t>
      </w:r>
      <w:r w:rsidRPr="00901DF7" w:rsidR="0098393A">
        <w:t xml:space="preserve"> </w:t>
      </w:r>
      <w:bookmarkEnd w:id="10"/>
      <w:r w:rsidRPr="00901DF7" w:rsidR="00560171">
        <w:t xml:space="preserve">The One Strike exclusion is </w:t>
      </w:r>
      <w:r w:rsidRPr="00901DF7" w:rsidR="005C1E60">
        <w:t xml:space="preserve">one </w:t>
      </w:r>
      <w:r w:rsidRPr="00901DF7" w:rsidR="00FF2790">
        <w:t xml:space="preserve">such </w:t>
      </w:r>
      <w:r w:rsidRPr="00901DF7" w:rsidR="00560171">
        <w:t xml:space="preserve">result of </w:t>
      </w:r>
      <w:r w:rsidRPr="00901DF7" w:rsidR="00FF2790">
        <w:t>this</w:t>
      </w:r>
      <w:r w:rsidR="000953C4">
        <w:t xml:space="preserve"> exercise</w:t>
      </w:r>
      <w:r w:rsidRPr="00901DF7" w:rsidR="00560171">
        <w:t>.</w:t>
      </w:r>
    </w:p>
    <w:p w:rsidR="00DF4CB6" w:rsidRPr="00901DF7" w:rsidP="00901DF7" w14:paraId="1C9B7938" w14:textId="7DA6A9DA">
      <w:pPr>
        <w:tabs>
          <w:tab w:val="left" w:pos="720"/>
          <w:tab w:val="left" w:pos="1440"/>
        </w:tabs>
      </w:pPr>
      <w:r w:rsidRPr="00901DF7">
        <w:tab/>
        <w:t>I</w:t>
      </w:r>
      <w:r w:rsidRPr="00901DF7" w:rsidR="0029008D">
        <w:t xml:space="preserve">n addition, </w:t>
      </w:r>
      <w:r w:rsidRPr="00901DF7" w:rsidR="00681E6E">
        <w:t>we emphasize</w:t>
      </w:r>
      <w:r w:rsidRPr="00901DF7">
        <w:t xml:space="preserve"> that</w:t>
      </w:r>
      <w:r w:rsidRPr="00901DF7" w:rsidR="00560171">
        <w:t xml:space="preserve">, in contrast to a cruel and unusual punishment </w:t>
      </w:r>
      <w:r w:rsidRPr="00901DF7" w:rsidR="00681E6E">
        <w:t>analysis</w:t>
      </w:r>
      <w:r w:rsidRPr="00901DF7" w:rsidR="00560171">
        <w:t>,</w:t>
      </w:r>
      <w:r w:rsidRPr="00901DF7">
        <w:t xml:space="preserve"> the equal protection inquiry </w:t>
      </w:r>
      <w:r w:rsidRPr="00901DF7" w:rsidR="0029008D">
        <w:t xml:space="preserve">asks </w:t>
      </w:r>
      <w:r w:rsidRPr="00901DF7">
        <w:t xml:space="preserve">whether there is a rational basis for the Legislature to treat certain individuals differently when prescribing the consequences under an ameliorative statute like section 3051. </w:t>
      </w:r>
      <w:r w:rsidRPr="00901DF7" w:rsidR="00560171">
        <w:t xml:space="preserve"> </w:t>
      </w:r>
      <w:r w:rsidRPr="00901DF7" w:rsidR="0029008D">
        <w:t>“T</w:t>
      </w:r>
      <w:r w:rsidRPr="00901DF7">
        <w:t>h</w:t>
      </w:r>
      <w:r w:rsidRPr="00901DF7" w:rsidR="003C2F97">
        <w:t>e Equal Protection Clause confers no substantive rights and creates no substantive liberties.  The function of the Equal Protection Clause, rather, is simply to measure the validity of classifications created by state laws.”  (</w:t>
      </w:r>
      <w:r w:rsidRPr="00901DF7" w:rsidR="003C2F97">
        <w:rPr>
          <w:i/>
          <w:iCs/>
        </w:rPr>
        <w:t>Rodriguez</w:t>
      </w:r>
      <w:r w:rsidRPr="00901DF7" w:rsidR="003C2F97">
        <w:t xml:space="preserve">, </w:t>
      </w:r>
      <w:r w:rsidRPr="00901DF7" w:rsidR="003C2F97">
        <w:rPr>
          <w:i/>
          <w:iCs/>
        </w:rPr>
        <w:t>supra</w:t>
      </w:r>
      <w:r w:rsidRPr="00901DF7" w:rsidR="003C2F97">
        <w:t>, 411 U.S. at p. 59 (conc. opn. of Stewart, J</w:t>
      </w:r>
      <w:r w:rsidRPr="00901DF7" w:rsidR="00412102">
        <w:t>.)</w:t>
      </w:r>
      <w:r w:rsidR="00517572">
        <w:t>, fn. omitted</w:t>
      </w:r>
      <w:r w:rsidRPr="00901DF7" w:rsidR="00412102">
        <w:t>.)</w:t>
      </w:r>
      <w:r w:rsidRPr="00901DF7" w:rsidR="00CB635F">
        <w:t xml:space="preserve"> </w:t>
      </w:r>
      <w:r w:rsidRPr="00901DF7" w:rsidR="00412102">
        <w:t xml:space="preserve"> </w:t>
      </w:r>
      <w:r w:rsidRPr="00901DF7" w:rsidR="004810E8">
        <w:t>A</w:t>
      </w:r>
      <w:r w:rsidRPr="00901DF7" w:rsidR="0029008D">
        <w:t>nd, a</w:t>
      </w:r>
      <w:r w:rsidRPr="00901DF7" w:rsidR="004810E8">
        <w:t>s we have explained</w:t>
      </w:r>
      <w:r w:rsidRPr="00901DF7" w:rsidR="0029008D">
        <w:t xml:space="preserve"> above</w:t>
      </w:r>
      <w:r w:rsidRPr="00901DF7" w:rsidR="004810E8">
        <w:t xml:space="preserve">, the Legislature had a rational reason to categorically exclude </w:t>
      </w:r>
      <w:r w:rsidRPr="00901DF7" w:rsidR="00983141">
        <w:t xml:space="preserve">young adult </w:t>
      </w:r>
      <w:r w:rsidRPr="00901DF7" w:rsidR="004810E8">
        <w:t xml:space="preserve">One Strike offenders, but </w:t>
      </w:r>
      <w:r w:rsidRPr="00901DF7" w:rsidR="00983141">
        <w:t>not</w:t>
      </w:r>
      <w:r w:rsidRPr="00901DF7" w:rsidR="004810E8">
        <w:t xml:space="preserve"> </w:t>
      </w:r>
      <w:r w:rsidRPr="00901DF7" w:rsidR="00983141">
        <w:t xml:space="preserve">young adults </w:t>
      </w:r>
      <w:r w:rsidRPr="00901DF7" w:rsidR="004810E8">
        <w:t xml:space="preserve">convicted of </w:t>
      </w:r>
      <w:r w:rsidR="00790997">
        <w:t xml:space="preserve">non-special-circumstances </w:t>
      </w:r>
      <w:r w:rsidRPr="00901DF7" w:rsidR="004810E8">
        <w:t>murder, from</w:t>
      </w:r>
      <w:r w:rsidRPr="00901DF7" w:rsidR="00761AF3">
        <w:t xml:space="preserve"> early parole consideration under </w:t>
      </w:r>
      <w:r w:rsidRPr="00901DF7" w:rsidR="004810E8">
        <w:t xml:space="preserve">section 3051.  </w:t>
      </w:r>
      <w:r w:rsidRPr="00901DF7" w:rsidR="00983141">
        <w:t xml:space="preserve">(See </w:t>
      </w:r>
      <w:r w:rsidRPr="00901DF7" w:rsidR="00983141">
        <w:rPr>
          <w:i/>
          <w:iCs/>
        </w:rPr>
        <w:t>ante</w:t>
      </w:r>
      <w:r w:rsidRPr="00901DF7" w:rsidR="00983141">
        <w:t>, at p</w:t>
      </w:r>
      <w:r w:rsidRPr="00901DF7" w:rsidR="001A47B1">
        <w:t>p</w:t>
      </w:r>
      <w:r w:rsidRPr="00901DF7" w:rsidR="00983141">
        <w:t xml:space="preserve">. </w:t>
      </w:r>
      <w:r w:rsidR="00F00099">
        <w:t>3</w:t>
      </w:r>
      <w:r w:rsidR="006164BB">
        <w:t>2</w:t>
      </w:r>
      <w:r w:rsidRPr="00901DF7" w:rsidR="001A47B1">
        <w:t>–3</w:t>
      </w:r>
      <w:r w:rsidR="006164BB">
        <w:t>3</w:t>
      </w:r>
      <w:r w:rsidRPr="00901DF7" w:rsidR="00983141">
        <w:t xml:space="preserve">.)  </w:t>
      </w:r>
    </w:p>
    <w:p w:rsidR="007355E5" w:rsidRPr="00901DF7" w:rsidP="00901DF7" w14:paraId="102565A3" w14:textId="372DB3F3">
      <w:pPr>
        <w:tabs>
          <w:tab w:val="left" w:pos="720"/>
          <w:tab w:val="left" w:pos="1440"/>
        </w:tabs>
        <w:rPr>
          <w:szCs w:val="26"/>
        </w:rPr>
      </w:pPr>
      <w:r w:rsidRPr="00901DF7">
        <w:rPr>
          <w:szCs w:val="26"/>
        </w:rPr>
        <w:tab/>
      </w:r>
      <w:r w:rsidRPr="00901DF7" w:rsidR="0029008D">
        <w:rPr>
          <w:szCs w:val="26"/>
        </w:rPr>
        <w:t>D</w:t>
      </w:r>
      <w:r w:rsidRPr="00901DF7" w:rsidR="00D430E0">
        <w:rPr>
          <w:szCs w:val="26"/>
        </w:rPr>
        <w:t xml:space="preserve">efendant </w:t>
      </w:r>
      <w:r w:rsidRPr="00901DF7" w:rsidR="0029008D">
        <w:rPr>
          <w:szCs w:val="26"/>
        </w:rPr>
        <w:t xml:space="preserve">next </w:t>
      </w:r>
      <w:r w:rsidRPr="00901DF7" w:rsidR="00600335">
        <w:rPr>
          <w:szCs w:val="26"/>
        </w:rPr>
        <w:t>contends</w:t>
      </w:r>
      <w:r w:rsidRPr="00901DF7" w:rsidR="00D430E0">
        <w:rPr>
          <w:szCs w:val="26"/>
        </w:rPr>
        <w:t xml:space="preserve"> </w:t>
      </w:r>
      <w:r w:rsidRPr="00901DF7" w:rsidR="00661717">
        <w:rPr>
          <w:szCs w:val="26"/>
        </w:rPr>
        <w:t>that recidivism is a legitimate concern for the Legislature to address “across the board</w:t>
      </w:r>
      <w:r w:rsidRPr="00901DF7" w:rsidR="00D430E0">
        <w:rPr>
          <w:szCs w:val="26"/>
        </w:rPr>
        <w:t>”; therefore,</w:t>
      </w:r>
      <w:r w:rsidRPr="00901DF7" w:rsidR="00661717">
        <w:rPr>
          <w:color w:val="000000"/>
          <w:szCs w:val="26"/>
        </w:rPr>
        <w:t xml:space="preserve"> the inquiry here is not whether recidivism justifies the </w:t>
      </w:r>
      <w:r w:rsidRPr="00901DF7" w:rsidR="007E0A3A">
        <w:rPr>
          <w:color w:val="000000"/>
          <w:szCs w:val="26"/>
        </w:rPr>
        <w:t xml:space="preserve">early </w:t>
      </w:r>
      <w:r w:rsidRPr="00901DF7" w:rsidR="00661717">
        <w:rPr>
          <w:color w:val="000000"/>
          <w:szCs w:val="26"/>
        </w:rPr>
        <w:t xml:space="preserve">parole ineligibility of </w:t>
      </w:r>
      <w:r w:rsidRPr="00901DF7" w:rsidR="007E0A3A">
        <w:rPr>
          <w:color w:val="000000"/>
          <w:szCs w:val="26"/>
        </w:rPr>
        <w:t xml:space="preserve">young adult </w:t>
      </w:r>
      <w:r w:rsidRPr="00901DF7" w:rsidR="00661717">
        <w:rPr>
          <w:color w:val="000000"/>
          <w:szCs w:val="26"/>
        </w:rPr>
        <w:t>One Strike</w:t>
      </w:r>
      <w:r w:rsidRPr="00901DF7" w:rsidR="00D43F9B">
        <w:rPr>
          <w:color w:val="000000"/>
          <w:szCs w:val="26"/>
        </w:rPr>
        <w:t xml:space="preserve"> offende</w:t>
      </w:r>
      <w:r w:rsidRPr="00901DF7" w:rsidR="00661717">
        <w:rPr>
          <w:color w:val="000000"/>
          <w:szCs w:val="26"/>
        </w:rPr>
        <w:t>rs</w:t>
      </w:r>
      <w:r w:rsidRPr="00901DF7" w:rsidR="00902FED">
        <w:rPr>
          <w:color w:val="000000"/>
          <w:szCs w:val="26"/>
        </w:rPr>
        <w:t xml:space="preserve">.  </w:t>
      </w:r>
      <w:r w:rsidRPr="00901DF7" w:rsidR="0029008D">
        <w:rPr>
          <w:color w:val="000000"/>
          <w:szCs w:val="26"/>
        </w:rPr>
        <w:t xml:space="preserve">Rather, </w:t>
      </w:r>
      <w:r w:rsidRPr="00901DF7" w:rsidR="00DB065B">
        <w:rPr>
          <w:color w:val="000000"/>
          <w:szCs w:val="26"/>
        </w:rPr>
        <w:t xml:space="preserve">according to defendant, </w:t>
      </w:r>
      <w:r w:rsidRPr="00901DF7" w:rsidR="0029008D">
        <w:rPr>
          <w:color w:val="000000"/>
          <w:szCs w:val="26"/>
        </w:rPr>
        <w:t>t</w:t>
      </w:r>
      <w:r w:rsidRPr="00901DF7" w:rsidR="00902FED">
        <w:rPr>
          <w:color w:val="000000"/>
          <w:szCs w:val="26"/>
        </w:rPr>
        <w:t>he question is whether the Legislature</w:t>
      </w:r>
      <w:r w:rsidRPr="00901DF7" w:rsidR="00661717">
        <w:rPr>
          <w:color w:val="000000"/>
          <w:szCs w:val="26"/>
        </w:rPr>
        <w:t xml:space="preserve"> may rationally justify the categorical exclusion of One Strike</w:t>
      </w:r>
      <w:r w:rsidRPr="00901DF7" w:rsidR="00D43F9B">
        <w:rPr>
          <w:color w:val="000000"/>
          <w:szCs w:val="26"/>
        </w:rPr>
        <w:t xml:space="preserve"> offende</w:t>
      </w:r>
      <w:r w:rsidRPr="00901DF7" w:rsidR="00661717">
        <w:rPr>
          <w:color w:val="000000"/>
          <w:szCs w:val="26"/>
        </w:rPr>
        <w:t xml:space="preserve">rs </w:t>
      </w:r>
      <w:r w:rsidRPr="00901DF7" w:rsidR="00661717">
        <w:rPr>
          <w:i/>
          <w:iCs/>
          <w:color w:val="000000"/>
          <w:szCs w:val="26"/>
        </w:rPr>
        <w:t>but not other types of offenders</w:t>
      </w:r>
      <w:r w:rsidRPr="00901DF7" w:rsidR="00661717">
        <w:rPr>
          <w:color w:val="000000"/>
          <w:szCs w:val="26"/>
        </w:rPr>
        <w:t xml:space="preserve"> from youth offender parole hearings.  </w:t>
      </w:r>
      <w:r w:rsidRPr="00901DF7" w:rsidR="00D430E0">
        <w:rPr>
          <w:szCs w:val="26"/>
        </w:rPr>
        <w:t>In support</w:t>
      </w:r>
      <w:r w:rsidRPr="00901DF7" w:rsidR="00CC50A4">
        <w:rPr>
          <w:szCs w:val="26"/>
        </w:rPr>
        <w:t xml:space="preserve"> of his argument</w:t>
      </w:r>
      <w:r w:rsidRPr="00901DF7" w:rsidR="00D430E0">
        <w:rPr>
          <w:szCs w:val="26"/>
        </w:rPr>
        <w:t>, defendant</w:t>
      </w:r>
      <w:r w:rsidRPr="00901DF7" w:rsidR="00352D3D">
        <w:rPr>
          <w:szCs w:val="26"/>
        </w:rPr>
        <w:t xml:space="preserve"> </w:t>
      </w:r>
      <w:r w:rsidRPr="00901DF7" w:rsidR="00D430E0">
        <w:rPr>
          <w:szCs w:val="26"/>
        </w:rPr>
        <w:t>focuses on</w:t>
      </w:r>
      <w:r w:rsidR="00790997">
        <w:rPr>
          <w:szCs w:val="26"/>
        </w:rPr>
        <w:t xml:space="preserve"> offenders sentenced under</w:t>
      </w:r>
      <w:r w:rsidRPr="00901DF7" w:rsidR="00D430E0">
        <w:rPr>
          <w:szCs w:val="26"/>
        </w:rPr>
        <w:t xml:space="preserve"> the habitual sexual offender statute (</w:t>
      </w:r>
      <w:r w:rsidR="007B112D">
        <w:rPr>
          <w:szCs w:val="26"/>
        </w:rPr>
        <w:t>§ </w:t>
      </w:r>
      <w:r w:rsidRPr="00901DF7" w:rsidR="00D430E0">
        <w:rPr>
          <w:szCs w:val="26"/>
        </w:rPr>
        <w:t xml:space="preserve">667.71), </w:t>
      </w:r>
      <w:r w:rsidR="009D185C">
        <w:rPr>
          <w:szCs w:val="26"/>
        </w:rPr>
        <w:t>who are subject to</w:t>
      </w:r>
      <w:r w:rsidRPr="00901DF7" w:rsidR="00D430E0">
        <w:rPr>
          <w:szCs w:val="26"/>
        </w:rPr>
        <w:t xml:space="preserve"> offenses that </w:t>
      </w:r>
      <w:r w:rsidR="00207EB8">
        <w:rPr>
          <w:szCs w:val="26"/>
        </w:rPr>
        <w:t xml:space="preserve">may </w:t>
      </w:r>
      <w:r w:rsidRPr="00901DF7" w:rsidR="00D430E0">
        <w:rPr>
          <w:szCs w:val="26"/>
        </w:rPr>
        <w:t xml:space="preserve">overlap with the One Strike law, but </w:t>
      </w:r>
      <w:r w:rsidR="00790997">
        <w:rPr>
          <w:szCs w:val="26"/>
        </w:rPr>
        <w:t>who are</w:t>
      </w:r>
      <w:r w:rsidRPr="00901DF7" w:rsidR="00D430E0">
        <w:rPr>
          <w:szCs w:val="26"/>
        </w:rPr>
        <w:t xml:space="preserve"> not similarly excluded under section 3051(h).  (See </w:t>
      </w:r>
      <w:r w:rsidRPr="00901DF7" w:rsidR="00D430E0">
        <w:rPr>
          <w:i/>
          <w:iCs/>
          <w:szCs w:val="26"/>
        </w:rPr>
        <w:t>People v. Snow</w:t>
      </w:r>
      <w:r w:rsidRPr="00901DF7" w:rsidR="00D430E0">
        <w:rPr>
          <w:szCs w:val="26"/>
        </w:rPr>
        <w:t xml:space="preserve"> (2003) 105 Cal.App.4th 271, 282 [“one strike law and the habitual sexual offender law continue to be alternative sentencing schemes:  a sentence may be imposed under one of the sentencing schemes, but not both”].)</w:t>
      </w:r>
      <w:r w:rsidRPr="00901DF7" w:rsidR="00C70166">
        <w:rPr>
          <w:szCs w:val="26"/>
        </w:rPr>
        <w:t xml:space="preserve">  </w:t>
      </w:r>
      <w:r w:rsidRPr="00901DF7" w:rsidR="0029008D">
        <w:rPr>
          <w:szCs w:val="26"/>
        </w:rPr>
        <w:t xml:space="preserve">In particular, defendant </w:t>
      </w:r>
      <w:r w:rsidRPr="00901DF7" w:rsidR="00983141">
        <w:rPr>
          <w:szCs w:val="26"/>
        </w:rPr>
        <w:t>argues</w:t>
      </w:r>
      <w:r w:rsidRPr="00901DF7" w:rsidR="0045005A">
        <w:rPr>
          <w:szCs w:val="26"/>
        </w:rPr>
        <w:t xml:space="preserve"> that </w:t>
      </w:r>
      <w:r w:rsidRPr="00901DF7" w:rsidR="009E04F9">
        <w:rPr>
          <w:szCs w:val="26"/>
        </w:rPr>
        <w:t xml:space="preserve">the Legislature’s failure to exclude habitual sexual offenders, who are </w:t>
      </w:r>
      <w:r w:rsidR="00BF61C0">
        <w:rPr>
          <w:szCs w:val="26"/>
        </w:rPr>
        <w:t xml:space="preserve">by definition </w:t>
      </w:r>
      <w:r w:rsidRPr="00901DF7" w:rsidR="009E04F9">
        <w:rPr>
          <w:szCs w:val="26"/>
        </w:rPr>
        <w:t xml:space="preserve">recidivists, demonstrates that </w:t>
      </w:r>
      <w:r w:rsidRPr="00901DF7" w:rsidR="00C04E2F">
        <w:rPr>
          <w:szCs w:val="26"/>
        </w:rPr>
        <w:t xml:space="preserve">recidivism concerns were not a rational basis for the One Strike exclusion.  </w:t>
      </w:r>
      <w:r w:rsidRPr="00901DF7" w:rsidR="00AF6006">
        <w:rPr>
          <w:szCs w:val="26"/>
        </w:rPr>
        <w:t>T</w:t>
      </w:r>
      <w:r w:rsidRPr="00901DF7" w:rsidR="00BD6BBF">
        <w:rPr>
          <w:szCs w:val="26"/>
        </w:rPr>
        <w:t>he Attorney General</w:t>
      </w:r>
      <w:r w:rsidRPr="00901DF7" w:rsidR="00AF6006">
        <w:rPr>
          <w:szCs w:val="26"/>
        </w:rPr>
        <w:t>, however,</w:t>
      </w:r>
      <w:r w:rsidRPr="00901DF7" w:rsidR="00BD6BBF">
        <w:rPr>
          <w:szCs w:val="26"/>
        </w:rPr>
        <w:t xml:space="preserve"> </w:t>
      </w:r>
      <w:r w:rsidRPr="00901DF7" w:rsidR="00983141">
        <w:rPr>
          <w:szCs w:val="26"/>
        </w:rPr>
        <w:t>counters</w:t>
      </w:r>
      <w:r w:rsidRPr="00901DF7" w:rsidR="00BD6BBF">
        <w:rPr>
          <w:szCs w:val="26"/>
        </w:rPr>
        <w:t xml:space="preserve"> that defendant failed to raise this issue below and, therefore, has </w:t>
      </w:r>
      <w:r w:rsidRPr="00901DF7">
        <w:rPr>
          <w:szCs w:val="26"/>
        </w:rPr>
        <w:t xml:space="preserve">forfeited </w:t>
      </w:r>
      <w:r w:rsidRPr="00901DF7" w:rsidR="00BD6BBF">
        <w:rPr>
          <w:szCs w:val="26"/>
        </w:rPr>
        <w:t xml:space="preserve">the issue.  </w:t>
      </w:r>
    </w:p>
    <w:p w:rsidR="00F8580D" w:rsidRPr="00901DF7" w:rsidP="00901DF7" w14:paraId="6C2D1F10" w14:textId="441ACD6C">
      <w:pPr>
        <w:tabs>
          <w:tab w:val="left" w:pos="720"/>
          <w:tab w:val="left" w:pos="1440"/>
        </w:tabs>
        <w:rPr>
          <w:szCs w:val="26"/>
        </w:rPr>
      </w:pPr>
      <w:r w:rsidRPr="00901DF7">
        <w:rPr>
          <w:szCs w:val="26"/>
        </w:rPr>
        <w:tab/>
        <w:t>We need not address the Attorney General’s forfeiture argument because we conclude that defendant’s argument lacks substantive merit.  C</w:t>
      </w:r>
      <w:r w:rsidRPr="00901DF7" w:rsidR="0029008D">
        <w:rPr>
          <w:szCs w:val="26"/>
        </w:rPr>
        <w:t xml:space="preserve">ontrary to </w:t>
      </w:r>
      <w:r w:rsidR="000675D8">
        <w:rPr>
          <w:szCs w:val="26"/>
        </w:rPr>
        <w:t xml:space="preserve">defendant’s </w:t>
      </w:r>
      <w:r w:rsidRPr="00901DF7" w:rsidR="009D26BB">
        <w:rPr>
          <w:szCs w:val="26"/>
        </w:rPr>
        <w:t>assertion,</w:t>
      </w:r>
      <w:r w:rsidRPr="00901DF7" w:rsidR="0029008D">
        <w:rPr>
          <w:szCs w:val="26"/>
        </w:rPr>
        <w:t xml:space="preserve"> </w:t>
      </w:r>
      <w:r w:rsidR="00790997">
        <w:rPr>
          <w:szCs w:val="26"/>
        </w:rPr>
        <w:t xml:space="preserve">the exclusion from parole eligibility of </w:t>
      </w:r>
      <w:r w:rsidRPr="00901DF7" w:rsidR="0055788E">
        <w:rPr>
          <w:szCs w:val="26"/>
        </w:rPr>
        <w:t xml:space="preserve">offenders sentenced under the One Strike law, but not those sentenced pursuant to the </w:t>
      </w:r>
      <w:r w:rsidRPr="00901DF7" w:rsidR="00920C11">
        <w:rPr>
          <w:szCs w:val="26"/>
        </w:rPr>
        <w:t>h</w:t>
      </w:r>
      <w:r w:rsidRPr="00901DF7" w:rsidR="0055788E">
        <w:rPr>
          <w:szCs w:val="26"/>
        </w:rPr>
        <w:t xml:space="preserve">abitual </w:t>
      </w:r>
      <w:r w:rsidRPr="00901DF7" w:rsidR="00920C11">
        <w:rPr>
          <w:szCs w:val="26"/>
        </w:rPr>
        <w:t>s</w:t>
      </w:r>
      <w:r w:rsidRPr="00901DF7" w:rsidR="0055788E">
        <w:rPr>
          <w:szCs w:val="26"/>
        </w:rPr>
        <w:t>exual</w:t>
      </w:r>
      <w:r w:rsidRPr="00901DF7" w:rsidR="00920C11">
        <w:rPr>
          <w:szCs w:val="26"/>
        </w:rPr>
        <w:t xml:space="preserve"> o</w:t>
      </w:r>
      <w:r w:rsidRPr="00901DF7" w:rsidR="0055788E">
        <w:rPr>
          <w:szCs w:val="26"/>
        </w:rPr>
        <w:t>ffender statute</w:t>
      </w:r>
      <w:r w:rsidR="00790997">
        <w:rPr>
          <w:szCs w:val="26"/>
        </w:rPr>
        <w:t>, does not undermine our conclusion that the Legislature was at least partially motivated by concerns of recidivism in enacting the One Strike exclusion</w:t>
      </w:r>
      <w:r w:rsidRPr="00901DF7" w:rsidR="0070753C">
        <w:rPr>
          <w:szCs w:val="26"/>
        </w:rPr>
        <w:t xml:space="preserve">. </w:t>
      </w:r>
      <w:r w:rsidRPr="00901DF7" w:rsidR="00C70166">
        <w:rPr>
          <w:szCs w:val="26"/>
        </w:rPr>
        <w:t xml:space="preserve"> </w:t>
      </w:r>
      <w:r w:rsidRPr="00901DF7" w:rsidR="001F6F75">
        <w:rPr>
          <w:szCs w:val="26"/>
        </w:rPr>
        <w:t xml:space="preserve">The </w:t>
      </w:r>
      <w:r w:rsidRPr="00901DF7" w:rsidR="00485303">
        <w:rPr>
          <w:szCs w:val="26"/>
        </w:rPr>
        <w:t>One Strike law addresses not only a defendant’s risk of recidivism but</w:t>
      </w:r>
      <w:r w:rsidRPr="00901DF7" w:rsidR="00BF00E2">
        <w:rPr>
          <w:szCs w:val="26"/>
        </w:rPr>
        <w:t>, as important</w:t>
      </w:r>
      <w:r w:rsidR="00790997">
        <w:rPr>
          <w:szCs w:val="26"/>
        </w:rPr>
        <w:t xml:space="preserve"> here</w:t>
      </w:r>
      <w:r w:rsidRPr="00901DF7" w:rsidR="00BF00E2">
        <w:rPr>
          <w:szCs w:val="26"/>
        </w:rPr>
        <w:t xml:space="preserve">, </w:t>
      </w:r>
      <w:r w:rsidRPr="00901DF7" w:rsidR="00485303">
        <w:rPr>
          <w:szCs w:val="26"/>
        </w:rPr>
        <w:t>the aggravated circumstances of the underlying crime</w:t>
      </w:r>
      <w:r w:rsidR="00513A5F">
        <w:rPr>
          <w:szCs w:val="26"/>
        </w:rPr>
        <w:t xml:space="preserve"> or crimes</w:t>
      </w:r>
      <w:r w:rsidRPr="00901DF7" w:rsidR="00485303">
        <w:rPr>
          <w:szCs w:val="26"/>
        </w:rPr>
        <w:t xml:space="preserve">, the number and nature of which determine the length of a One Strike sentence. </w:t>
      </w:r>
      <w:r w:rsidRPr="00901DF7" w:rsidR="004C2440">
        <w:rPr>
          <w:szCs w:val="26"/>
        </w:rPr>
        <w:t xml:space="preserve"> (See</w:t>
      </w:r>
      <w:r w:rsidRPr="00901DF7" w:rsidR="004C2440">
        <w:rPr>
          <w:i/>
          <w:iCs/>
          <w:szCs w:val="26"/>
        </w:rPr>
        <w:t xml:space="preserve"> ante</w:t>
      </w:r>
      <w:r w:rsidRPr="00901DF7" w:rsidR="004C2440">
        <w:rPr>
          <w:szCs w:val="26"/>
        </w:rPr>
        <w:t>, at p</w:t>
      </w:r>
      <w:r w:rsidRPr="00901DF7" w:rsidR="00BF00E2">
        <w:rPr>
          <w:szCs w:val="26"/>
        </w:rPr>
        <w:t>p</w:t>
      </w:r>
      <w:r w:rsidRPr="00901DF7" w:rsidR="004C2440">
        <w:rPr>
          <w:szCs w:val="26"/>
        </w:rPr>
        <w:t xml:space="preserve">. </w:t>
      </w:r>
      <w:r w:rsidRPr="00901DF7" w:rsidR="00BF00E2">
        <w:rPr>
          <w:szCs w:val="26"/>
        </w:rPr>
        <w:t>1</w:t>
      </w:r>
      <w:r w:rsidR="00F00099">
        <w:rPr>
          <w:szCs w:val="26"/>
        </w:rPr>
        <w:t>4</w:t>
      </w:r>
      <w:r w:rsidRPr="00901DF7" w:rsidR="00BF00E2">
        <w:rPr>
          <w:szCs w:val="26"/>
        </w:rPr>
        <w:t>–1</w:t>
      </w:r>
      <w:r w:rsidR="00F00099">
        <w:rPr>
          <w:szCs w:val="26"/>
        </w:rPr>
        <w:t>5</w:t>
      </w:r>
      <w:r w:rsidRPr="00901DF7" w:rsidR="004C2440">
        <w:rPr>
          <w:szCs w:val="26"/>
        </w:rPr>
        <w:t xml:space="preserve">.) </w:t>
      </w:r>
      <w:r w:rsidRPr="00901DF7" w:rsidR="00485303">
        <w:rPr>
          <w:szCs w:val="26"/>
        </w:rPr>
        <w:t xml:space="preserve"> In contrast</w:t>
      </w:r>
      <w:r w:rsidRPr="00901DF7" w:rsidR="001500CB">
        <w:rPr>
          <w:szCs w:val="26"/>
        </w:rPr>
        <w:t xml:space="preserve"> to section 667.61</w:t>
      </w:r>
      <w:r w:rsidRPr="00901DF7" w:rsidR="00485303">
        <w:rPr>
          <w:szCs w:val="26"/>
        </w:rPr>
        <w:t>,</w:t>
      </w:r>
      <w:r w:rsidRPr="00901DF7" w:rsidR="00560171">
        <w:rPr>
          <w:szCs w:val="26"/>
        </w:rPr>
        <w:t xml:space="preserve"> </w:t>
      </w:r>
      <w:r w:rsidR="00517572">
        <w:rPr>
          <w:szCs w:val="26"/>
        </w:rPr>
        <w:t>the habitual sexual offender statute</w:t>
      </w:r>
      <w:r w:rsidRPr="00901DF7" w:rsidR="00560171">
        <w:rPr>
          <w:szCs w:val="26"/>
        </w:rPr>
        <w:t xml:space="preserve">’s purpose is “to address </w:t>
      </w:r>
      <w:r w:rsidRPr="00901DF7" w:rsidR="00560171">
        <w:rPr>
          <w:i/>
          <w:iCs/>
          <w:szCs w:val="26"/>
        </w:rPr>
        <w:t>solely</w:t>
      </w:r>
      <w:r w:rsidRPr="00901DF7" w:rsidR="00560171">
        <w:rPr>
          <w:szCs w:val="26"/>
        </w:rPr>
        <w:t xml:space="preserve"> recidivism</w:t>
      </w:r>
      <w:r w:rsidRPr="00901DF7" w:rsidR="0029008D">
        <w:rPr>
          <w:szCs w:val="26"/>
        </w:rPr>
        <w:t>.</w:t>
      </w:r>
      <w:r w:rsidRPr="00901DF7" w:rsidR="00560171">
        <w:rPr>
          <w:szCs w:val="26"/>
        </w:rPr>
        <w:t xml:space="preserve">” </w:t>
      </w:r>
      <w:r w:rsidRPr="00901DF7" w:rsidR="0036582A">
        <w:rPr>
          <w:szCs w:val="26"/>
        </w:rPr>
        <w:t xml:space="preserve"> </w:t>
      </w:r>
      <w:r w:rsidRPr="00901DF7" w:rsidR="00560171">
        <w:rPr>
          <w:szCs w:val="26"/>
        </w:rPr>
        <w:t>(</w:t>
      </w:r>
      <w:r w:rsidRPr="00901DF7" w:rsidR="00560171">
        <w:rPr>
          <w:i/>
          <w:iCs/>
          <w:szCs w:val="26"/>
        </w:rPr>
        <w:t>Hammer</w:t>
      </w:r>
      <w:r w:rsidRPr="00901DF7" w:rsidR="00560171">
        <w:rPr>
          <w:szCs w:val="26"/>
        </w:rPr>
        <w:t>,</w:t>
      </w:r>
      <w:r w:rsidRPr="00901DF7" w:rsidR="0029008D">
        <w:rPr>
          <w:szCs w:val="26"/>
        </w:rPr>
        <w:t xml:space="preserve"> </w:t>
      </w:r>
      <w:r w:rsidRPr="00901DF7" w:rsidR="00560171">
        <w:rPr>
          <w:i/>
          <w:iCs/>
          <w:szCs w:val="26"/>
        </w:rPr>
        <w:t>supra</w:t>
      </w:r>
      <w:r w:rsidRPr="00901DF7" w:rsidR="00560171">
        <w:rPr>
          <w:szCs w:val="26"/>
        </w:rPr>
        <w:t>, 30 Cal.4th at p. 768</w:t>
      </w:r>
      <w:r w:rsidRPr="00901DF7" w:rsidR="0029008D">
        <w:rPr>
          <w:szCs w:val="26"/>
        </w:rPr>
        <w:t>.</w:t>
      </w:r>
      <w:r w:rsidRPr="00901DF7" w:rsidR="00560171">
        <w:rPr>
          <w:szCs w:val="26"/>
        </w:rPr>
        <w:t>)</w:t>
      </w:r>
      <w:r w:rsidRPr="00901DF7" w:rsidR="0029008D">
        <w:rPr>
          <w:szCs w:val="26"/>
        </w:rPr>
        <w:t xml:space="preserve">  U</w:t>
      </w:r>
      <w:r w:rsidRPr="00901DF7" w:rsidR="00560171">
        <w:rPr>
          <w:szCs w:val="26"/>
        </w:rPr>
        <w:t>nlike section 667.61, it is “</w:t>
      </w:r>
      <w:r w:rsidR="00517572">
        <w:rPr>
          <w:szCs w:val="26"/>
        </w:rPr>
        <w:t> ‘</w:t>
      </w:r>
      <w:r w:rsidRPr="00901DF7" w:rsidR="00485303">
        <w:rPr>
          <w:i/>
          <w:iCs/>
          <w:szCs w:val="26"/>
        </w:rPr>
        <w:t>not</w:t>
      </w:r>
      <w:r w:rsidRPr="00901DF7" w:rsidR="00485303">
        <w:rPr>
          <w:szCs w:val="26"/>
        </w:rPr>
        <w:t xml:space="preserve"> to punish especially aggravated instances of a particular crime</w:t>
      </w:r>
      <w:r w:rsidRPr="00901DF7" w:rsidR="0029008D">
        <w:rPr>
          <w:szCs w:val="26"/>
        </w:rPr>
        <w:t>.</w:t>
      </w:r>
      <w:r w:rsidRPr="00901DF7" w:rsidR="00485303">
        <w:rPr>
          <w:szCs w:val="26"/>
        </w:rPr>
        <w:t>’</w:t>
      </w:r>
      <w:r w:rsidR="00517572">
        <w:rPr>
          <w:szCs w:val="26"/>
        </w:rPr>
        <w:t> </w:t>
      </w:r>
      <w:r w:rsidRPr="00901DF7" w:rsidR="00485303">
        <w:rPr>
          <w:szCs w:val="26"/>
        </w:rPr>
        <w:t xml:space="preserve">” </w:t>
      </w:r>
      <w:r w:rsidRPr="00901DF7" w:rsidR="0029008D">
        <w:rPr>
          <w:szCs w:val="26"/>
        </w:rPr>
        <w:t xml:space="preserve"> </w:t>
      </w:r>
      <w:r w:rsidRPr="00901DF7" w:rsidR="00485303">
        <w:rPr>
          <w:szCs w:val="26"/>
        </w:rPr>
        <w:t>(</w:t>
      </w:r>
      <w:r w:rsidRPr="00901DF7" w:rsidR="00485303">
        <w:rPr>
          <w:i/>
          <w:iCs/>
          <w:szCs w:val="26"/>
        </w:rPr>
        <w:t>People v. Murphy</w:t>
      </w:r>
      <w:r w:rsidRPr="00901DF7" w:rsidR="00485303">
        <w:rPr>
          <w:szCs w:val="26"/>
        </w:rPr>
        <w:t xml:space="preserve"> (2001) 25 Cal.4th 136, 155</w:t>
      </w:r>
      <w:r w:rsidRPr="00901DF7" w:rsidR="00EC1199">
        <w:rPr>
          <w:szCs w:val="26"/>
        </w:rPr>
        <w:t>.</w:t>
      </w:r>
      <w:r w:rsidRPr="00901DF7" w:rsidR="00485303">
        <w:rPr>
          <w:szCs w:val="26"/>
        </w:rPr>
        <w:t xml:space="preserve">) </w:t>
      </w:r>
      <w:r w:rsidRPr="00901DF7" w:rsidR="00560171">
        <w:rPr>
          <w:szCs w:val="26"/>
        </w:rPr>
        <w:t xml:space="preserve"> </w:t>
      </w:r>
      <w:r w:rsidRPr="00901DF7" w:rsidR="0029008D">
        <w:rPr>
          <w:szCs w:val="26"/>
        </w:rPr>
        <w:t>This difference</w:t>
      </w:r>
      <w:r w:rsidRPr="00901DF7" w:rsidR="00485303">
        <w:rPr>
          <w:szCs w:val="26"/>
        </w:rPr>
        <w:t xml:space="preserve"> in purpose between the One Strike law and habitual sexual offender law support</w:t>
      </w:r>
      <w:r w:rsidRPr="00901DF7" w:rsidR="00615B45">
        <w:rPr>
          <w:szCs w:val="26"/>
        </w:rPr>
        <w:t>s</w:t>
      </w:r>
      <w:r w:rsidRPr="00901DF7" w:rsidR="00485303">
        <w:rPr>
          <w:szCs w:val="26"/>
        </w:rPr>
        <w:t xml:space="preserve"> treating those who fall within these provisions differently</w:t>
      </w:r>
      <w:r w:rsidRPr="00901DF7" w:rsidR="00805DB8">
        <w:rPr>
          <w:szCs w:val="26"/>
        </w:rPr>
        <w:t xml:space="preserve">.  </w:t>
      </w:r>
    </w:p>
    <w:p w:rsidR="00D30DA8" w:rsidP="00790997" w14:paraId="3100F0A6" w14:textId="2A921418">
      <w:pPr>
        <w:tabs>
          <w:tab w:val="left" w:pos="720"/>
          <w:tab w:val="left" w:pos="1440"/>
        </w:tabs>
      </w:pPr>
      <w:r w:rsidRPr="00901DF7">
        <w:tab/>
      </w:r>
      <w:r w:rsidRPr="00901DF7" w:rsidR="0076728C">
        <w:t xml:space="preserve">Defendant, however, </w:t>
      </w:r>
      <w:r w:rsidRPr="00901DF7" w:rsidR="00FA5800">
        <w:t>maintains</w:t>
      </w:r>
      <w:r w:rsidRPr="00901DF7" w:rsidR="0036582A">
        <w:t xml:space="preserve"> </w:t>
      </w:r>
      <w:r w:rsidR="00517572">
        <w:t xml:space="preserve">that </w:t>
      </w:r>
      <w:r w:rsidRPr="00901DF7" w:rsidR="0076728C">
        <w:t xml:space="preserve">the Legislature </w:t>
      </w:r>
      <w:r w:rsidRPr="00901DF7" w:rsidR="00DB065B">
        <w:t>“</w:t>
      </w:r>
      <w:r w:rsidRPr="00901DF7" w:rsidR="0076728C">
        <w:t>arbitrarily</w:t>
      </w:r>
      <w:r w:rsidR="0017646E">
        <w:t>” distinguished</w:t>
      </w:r>
      <w:r w:rsidRPr="00901DF7" w:rsidR="006E5945">
        <w:t xml:space="preserve"> young adult One Strike offenders</w:t>
      </w:r>
      <w:r w:rsidRPr="00901DF7" w:rsidR="001C4A6E">
        <w:t xml:space="preserve"> from</w:t>
      </w:r>
      <w:r w:rsidRPr="00901DF7" w:rsidR="002A61DE">
        <w:t xml:space="preserve"> </w:t>
      </w:r>
      <w:r w:rsidRPr="00901DF7" w:rsidR="001C4A6E">
        <w:t>other types of sexual offenders</w:t>
      </w:r>
      <w:r w:rsidRPr="00901DF7" w:rsidR="002A61DE">
        <w:t xml:space="preserve"> by excluding them from section 3051’s purview</w:t>
      </w:r>
      <w:r w:rsidRPr="00901DF7" w:rsidR="001C4A6E">
        <w:t>.</w:t>
      </w:r>
      <w:r w:rsidRPr="00901DF7" w:rsidR="006E5945">
        <w:t xml:space="preserve"> </w:t>
      </w:r>
      <w:r w:rsidRPr="00901DF7" w:rsidR="0036582A">
        <w:t xml:space="preserve"> He points to </w:t>
      </w:r>
      <w:r w:rsidRPr="00901DF7" w:rsidR="002A61DE">
        <w:t xml:space="preserve">“numerous long-term </w:t>
      </w:r>
      <w:r w:rsidRPr="00901DF7" w:rsidR="0036582A">
        <w:t xml:space="preserve">studies </w:t>
      </w:r>
      <w:r w:rsidRPr="00901DF7" w:rsidR="002A61DE">
        <w:t xml:space="preserve">and research” on recidivism rates of various </w:t>
      </w:r>
      <w:r w:rsidRPr="00901DF7" w:rsidR="006A5C2A">
        <w:t xml:space="preserve">offenders </w:t>
      </w:r>
      <w:r w:rsidRPr="00901DF7" w:rsidR="0036582A">
        <w:t xml:space="preserve">which </w:t>
      </w:r>
      <w:r w:rsidR="009C41BD">
        <w:t xml:space="preserve">he claims </w:t>
      </w:r>
      <w:r w:rsidRPr="00901DF7" w:rsidR="0036582A">
        <w:t xml:space="preserve">support </w:t>
      </w:r>
      <w:r w:rsidRPr="00901DF7" w:rsidR="009B2566">
        <w:t xml:space="preserve">his </w:t>
      </w:r>
      <w:r w:rsidRPr="00901DF7" w:rsidR="0036582A">
        <w:t xml:space="preserve">assertion that young adult One Strike offenders are </w:t>
      </w:r>
      <w:r w:rsidRPr="00901DF7" w:rsidR="002A61DE">
        <w:t xml:space="preserve">not </w:t>
      </w:r>
      <w:r w:rsidRPr="00901DF7" w:rsidR="001C4A6E">
        <w:t>more likely to reoffend</w:t>
      </w:r>
      <w:r w:rsidRPr="00901DF7" w:rsidR="00DB065B">
        <w:t xml:space="preserve"> than other types of offenders</w:t>
      </w:r>
      <w:r w:rsidRPr="00901DF7" w:rsidR="001C4A6E">
        <w:t>.</w:t>
      </w:r>
      <w:r w:rsidRPr="00901DF7" w:rsidR="0036582A">
        <w:t xml:space="preserve"> </w:t>
      </w:r>
      <w:r w:rsidR="0030610E">
        <w:t xml:space="preserve"> </w:t>
      </w:r>
      <w:r w:rsidR="006040E2">
        <w:t>Our dissenting colleague likewise</w:t>
      </w:r>
      <w:r w:rsidR="00174D4F">
        <w:t xml:space="preserve"> cites </w:t>
      </w:r>
      <w:r w:rsidR="001B605B">
        <w:t xml:space="preserve">reports published by the </w:t>
      </w:r>
      <w:r w:rsidR="00174D4F">
        <w:t xml:space="preserve">California Department of Corrections and Rehabilitation </w:t>
      </w:r>
      <w:r w:rsidR="0030610E">
        <w:t xml:space="preserve">that “find that ‘sex offenders consistently recidivate at lower rates than non-sex offenders’ ” </w:t>
      </w:r>
      <w:r w:rsidR="00753A96">
        <w:t xml:space="preserve">and </w:t>
      </w:r>
      <w:r w:rsidR="0030610E">
        <w:t xml:space="preserve">he </w:t>
      </w:r>
      <w:r w:rsidR="00753A96">
        <w:t xml:space="preserve">posits </w:t>
      </w:r>
      <w:r w:rsidR="00174D4F">
        <w:t xml:space="preserve">that “very few” sex offender registrants who reoffend were convicted of a new </w:t>
      </w:r>
      <w:r w:rsidRPr="0014471D" w:rsidR="00174D4F">
        <w:rPr>
          <w:i/>
          <w:iCs/>
        </w:rPr>
        <w:t>sex</w:t>
      </w:r>
      <w:r w:rsidR="00174D4F">
        <w:t xml:space="preserve"> crime.  </w:t>
      </w:r>
      <w:r w:rsidR="00753A96">
        <w:t xml:space="preserve">(Dis. opn. of Liu, J., </w:t>
      </w:r>
      <w:r w:rsidRPr="00704C61" w:rsidR="00753A96">
        <w:rPr>
          <w:i/>
          <w:iCs/>
        </w:rPr>
        <w:t>post</w:t>
      </w:r>
      <w:r w:rsidR="00753A96">
        <w:t xml:space="preserve">, at p. </w:t>
      </w:r>
      <w:r w:rsidR="0030610E">
        <w:t>19</w:t>
      </w:r>
      <w:r w:rsidR="00753A96">
        <w:t xml:space="preserve">.)  </w:t>
      </w:r>
      <w:r w:rsidR="00C7066C">
        <w:t xml:space="preserve">The Attorney General cites an older study by the California Department of Justice which concluded that “ ‘[s]ex offenders as a group are highly recidivistic.’ ”  In any event, insofar as there is </w:t>
      </w:r>
      <w:r w:rsidRPr="00901DF7" w:rsidR="00615B45">
        <w:t>conflicting or ambiguous evidence regarding the risk of recidivism among sex offenders, t</w:t>
      </w:r>
      <w:r w:rsidRPr="00901DF7" w:rsidR="00AF6006">
        <w:t>he Attorne</w:t>
      </w:r>
      <w:r w:rsidRPr="00901DF7" w:rsidR="00BF3D25">
        <w:t>y</w:t>
      </w:r>
      <w:r w:rsidRPr="00901DF7" w:rsidR="00AF6006">
        <w:t xml:space="preserve"> General </w:t>
      </w:r>
      <w:r w:rsidRPr="00901DF7" w:rsidR="00143B6D">
        <w:t>counters</w:t>
      </w:r>
      <w:r w:rsidRPr="00901DF7" w:rsidR="00615B45">
        <w:t xml:space="preserve"> that</w:t>
      </w:r>
      <w:r w:rsidRPr="00901DF7" w:rsidR="00BF3D25">
        <w:t xml:space="preserve"> </w:t>
      </w:r>
      <w:r w:rsidRPr="00901DF7" w:rsidR="00615B45">
        <w:t xml:space="preserve">pursuant to </w:t>
      </w:r>
      <w:r w:rsidRPr="00901DF7">
        <w:rPr>
          <w:i/>
          <w:iCs/>
        </w:rPr>
        <w:t>Johnson</w:t>
      </w:r>
      <w:r w:rsidRPr="00901DF7">
        <w:t xml:space="preserve">, </w:t>
      </w:r>
      <w:r w:rsidRPr="00901DF7">
        <w:rPr>
          <w:i/>
          <w:iCs/>
        </w:rPr>
        <w:t>supra</w:t>
      </w:r>
      <w:r w:rsidRPr="00901DF7">
        <w:t>, 60 Cal.4th at page 881</w:t>
      </w:r>
      <w:r w:rsidRPr="00901DF7" w:rsidR="0011698B">
        <w:t xml:space="preserve">, </w:t>
      </w:r>
      <w:r w:rsidRPr="00901DF7">
        <w:t>“the reasoning underlying the Legislature’s classification need not ‘</w:t>
      </w:r>
      <w:r w:rsidR="00517572">
        <w:t> “</w:t>
      </w:r>
      <w:r w:rsidRPr="00901DF7">
        <w:t>be empirically substantiated</w:t>
      </w:r>
      <w:r w:rsidR="00517572">
        <w:t>” </w:t>
      </w:r>
      <w:r w:rsidRPr="00901DF7">
        <w:t xml:space="preserve">’ or have </w:t>
      </w:r>
      <w:r w:rsidR="00517572">
        <w:t>‘ </w:t>
      </w:r>
      <w:r w:rsidRPr="00901DF7">
        <w:t>“</w:t>
      </w:r>
      <w:r w:rsidR="00517572">
        <w:t> ‘</w:t>
      </w:r>
      <w:r w:rsidR="00DB61FA">
        <w:t xml:space="preserve">a </w:t>
      </w:r>
      <w:r w:rsidRPr="00901DF7">
        <w:t>foundation in the record.</w:t>
      </w:r>
      <w:r w:rsidR="00517572">
        <w:t>’ </w:t>
      </w:r>
      <w:r w:rsidRPr="00901DF7">
        <w:t>”</w:t>
      </w:r>
      <w:r w:rsidR="00DB61FA">
        <w:t> </w:t>
      </w:r>
      <w:r w:rsidRPr="00901DF7">
        <w:t>’</w:t>
      </w:r>
      <w:r w:rsidR="0074534C">
        <w:t> </w:t>
      </w:r>
      <w:r w:rsidRPr="00901DF7">
        <w:t>”</w:t>
      </w:r>
      <w:r w:rsidR="00E418EB">
        <w:t xml:space="preserve"> </w:t>
      </w:r>
    </w:p>
    <w:p w:rsidR="00790997" w:rsidRPr="00901DF7" w:rsidP="00790997" w14:paraId="1523B16D" w14:textId="078B7C5A">
      <w:pPr>
        <w:tabs>
          <w:tab w:val="left" w:pos="720"/>
          <w:tab w:val="left" w:pos="1440"/>
        </w:tabs>
      </w:pPr>
      <w:r>
        <w:tab/>
        <w:t>The</w:t>
      </w:r>
      <w:r w:rsidR="00DC0284">
        <w:t>se</w:t>
      </w:r>
      <w:r>
        <w:t xml:space="preserve"> studies illustrate the continuing academic</w:t>
      </w:r>
      <w:r w:rsidR="00D30DA8">
        <w:t xml:space="preserve"> and scientific</w:t>
      </w:r>
      <w:r>
        <w:t xml:space="preserve"> debate on the issue.  We do not opine on</w:t>
      </w:r>
      <w:r w:rsidR="00D30DA8">
        <w:t xml:space="preserve"> </w:t>
      </w:r>
      <w:r w:rsidR="00C7066C">
        <w:t xml:space="preserve">any study’s </w:t>
      </w:r>
      <w:r>
        <w:t xml:space="preserve">persuasiveness or question any </w:t>
      </w:r>
      <w:r w:rsidR="00C7066C">
        <w:t>study’s</w:t>
      </w:r>
      <w:r>
        <w:t xml:space="preserve"> ultimate conclusions.  We do note, however, that there is a</w:t>
      </w:r>
      <w:r w:rsidR="00DC0284">
        <w:t xml:space="preserve">n </w:t>
      </w:r>
      <w:r w:rsidR="001B00F0">
        <w:t>empirical basis to support</w:t>
      </w:r>
      <w:r>
        <w:t xml:space="preserve"> the Legislature’s recidivism concern</w:t>
      </w:r>
      <w:r w:rsidR="00C263DB">
        <w:t>s</w:t>
      </w:r>
      <w:r w:rsidR="00B72AC3">
        <w:t xml:space="preserve">; this </w:t>
      </w:r>
      <w:r w:rsidR="00C263DB">
        <w:t xml:space="preserve">would </w:t>
      </w:r>
      <w:r w:rsidR="004D2101">
        <w:t>refute</w:t>
      </w:r>
      <w:r w:rsidR="00C263DB">
        <w:t xml:space="preserve"> any suggestion that the Legislature adopted the One Strike exclusion based solely on </w:t>
      </w:r>
      <w:r w:rsidR="00A714C8">
        <w:t xml:space="preserve">a patently false </w:t>
      </w:r>
      <w:r w:rsidR="00C263DB">
        <w:t>“public perception” that sex offenders recidivate more than other criminals.</w:t>
      </w:r>
      <w:r w:rsidR="005C4838">
        <w:t xml:space="preserve"> </w:t>
      </w:r>
      <w:r w:rsidR="00C263DB">
        <w:t xml:space="preserve"> </w:t>
      </w:r>
      <w:r w:rsidR="00B97509">
        <w:t>This</w:t>
      </w:r>
      <w:r w:rsidR="00753A96">
        <w:t xml:space="preserve"> further</w:t>
      </w:r>
      <w:r>
        <w:t xml:space="preserve"> undermines </w:t>
      </w:r>
      <w:r w:rsidR="0004718E">
        <w:t xml:space="preserve">our dissenting colleague’s </w:t>
      </w:r>
      <w:r>
        <w:t xml:space="preserve">claim that the </w:t>
      </w:r>
      <w:r w:rsidR="00C47C63">
        <w:t>Legislature’s actions were</w:t>
      </w:r>
      <w:r>
        <w:t xml:space="preserve"> based on an </w:t>
      </w:r>
      <w:r w:rsidR="00C263DB">
        <w:t>“</w:t>
      </w:r>
      <w:r>
        <w:t>irrational prejudice</w:t>
      </w:r>
      <w:r w:rsidR="00C263DB">
        <w:t>”</w:t>
      </w:r>
      <w:r>
        <w:t xml:space="preserve"> against </w:t>
      </w:r>
      <w:r w:rsidR="00C263DB">
        <w:t>“an especially despised subset of young offenders”</w:t>
      </w:r>
      <w:r>
        <w:t xml:space="preserve"> </w:t>
      </w:r>
      <w:r w:rsidR="00C263DB">
        <w:t xml:space="preserve">(dis. opn. of Liu, J., </w:t>
      </w:r>
      <w:r w:rsidRPr="00B456CF" w:rsidR="00C263DB">
        <w:rPr>
          <w:i/>
          <w:iCs/>
        </w:rPr>
        <w:t>post</w:t>
      </w:r>
      <w:r w:rsidR="00C263DB">
        <w:t xml:space="preserve">, at p. 3), </w:t>
      </w:r>
      <w:r>
        <w:t xml:space="preserve">rather </w:t>
      </w:r>
      <w:r w:rsidR="00B97509">
        <w:t xml:space="preserve">than on the Legislature’s </w:t>
      </w:r>
      <w:r>
        <w:t>concerns about public safety.</w:t>
      </w:r>
      <w:r w:rsidR="00D30DA8">
        <w:t xml:space="preserve">  </w:t>
      </w:r>
    </w:p>
    <w:p w:rsidR="00BF7934" w:rsidRPr="00901DF7" w:rsidP="00901DF7" w14:paraId="764503D4" w14:textId="0CF2E3D2">
      <w:pPr>
        <w:tabs>
          <w:tab w:val="left" w:pos="720"/>
          <w:tab w:val="left" w:pos="1440"/>
        </w:tabs>
        <w:rPr>
          <w:color w:val="000000"/>
          <w:szCs w:val="26"/>
        </w:rPr>
      </w:pPr>
      <w:r w:rsidRPr="00901DF7">
        <w:tab/>
      </w:r>
      <w:r w:rsidRPr="00901DF7" w:rsidR="00CD526B">
        <w:t xml:space="preserve">We </w:t>
      </w:r>
      <w:r w:rsidR="00CB12C9">
        <w:t xml:space="preserve">acknowledge and </w:t>
      </w:r>
      <w:r w:rsidRPr="00901DF7" w:rsidR="00CD526B">
        <w:t xml:space="preserve">agree with the Attorney General that </w:t>
      </w:r>
      <w:r w:rsidR="00CB12C9">
        <w:t xml:space="preserve">in addressing concerns regarding recidivism, </w:t>
      </w:r>
      <w:r w:rsidRPr="00901DF7" w:rsidR="00CD526B">
        <w:t>t</w:t>
      </w:r>
      <w:r w:rsidRPr="00901DF7" w:rsidR="00AD4953">
        <w:t xml:space="preserve">he Legislature may institute reform </w:t>
      </w:r>
      <w:r w:rsidRPr="00901DF7" w:rsidR="009E34DD">
        <w:t xml:space="preserve">in an area of law </w:t>
      </w:r>
      <w:r w:rsidRPr="00901DF7" w:rsidR="00AD4953">
        <w:t>in an “incremental and uneven manner” without having to “</w:t>
      </w:r>
      <w:r w:rsidR="003E2949">
        <w:t> ‘</w:t>
      </w:r>
      <w:r w:rsidRPr="00901DF7" w:rsidR="00AD4953">
        <w:t>choose between attacking every aspect of a problem or not attacking the problem at all.</w:t>
      </w:r>
      <w:r w:rsidR="003E2949">
        <w:t>’ </w:t>
      </w:r>
      <w:r w:rsidRPr="00901DF7" w:rsidR="00AD4953">
        <w:t>”  (</w:t>
      </w:r>
      <w:r w:rsidRPr="00901DF7" w:rsidR="00694CD0">
        <w:rPr>
          <w:i/>
          <w:iCs/>
        </w:rPr>
        <w:t>Barrett</w:t>
      </w:r>
      <w:r w:rsidRPr="00901DF7" w:rsidR="00694CD0">
        <w:t xml:space="preserve">, </w:t>
      </w:r>
      <w:r w:rsidRPr="00901DF7" w:rsidR="00694CD0">
        <w:rPr>
          <w:i/>
          <w:iCs/>
        </w:rPr>
        <w:t>supra</w:t>
      </w:r>
      <w:r w:rsidRPr="00901DF7" w:rsidR="00694CD0">
        <w:t xml:space="preserve">, </w:t>
      </w:r>
      <w:r w:rsidRPr="00901DF7" w:rsidR="00694CD0">
        <w:rPr>
          <w:szCs w:val="26"/>
        </w:rPr>
        <w:t xml:space="preserve">54 Cal.4th at p. 1110; </w:t>
      </w:r>
      <w:r w:rsidRPr="00901DF7" w:rsidR="00694CD0">
        <w:t xml:space="preserve">see </w:t>
      </w:r>
      <w:r w:rsidRPr="00901DF7" w:rsidR="00501846">
        <w:rPr>
          <w:i/>
          <w:iCs/>
        </w:rPr>
        <w:t>ante</w:t>
      </w:r>
      <w:r w:rsidRPr="00901DF7" w:rsidR="00501846">
        <w:t>, at p</w:t>
      </w:r>
      <w:r w:rsidR="006164BB">
        <w:t>p</w:t>
      </w:r>
      <w:r w:rsidRPr="00901DF7" w:rsidR="00501846">
        <w:t>.</w:t>
      </w:r>
      <w:r w:rsidRPr="00901DF7" w:rsidR="00D15475">
        <w:t xml:space="preserve"> </w:t>
      </w:r>
      <w:r w:rsidRPr="00901DF7" w:rsidR="00D43F9B">
        <w:t>2</w:t>
      </w:r>
      <w:r w:rsidR="006164BB">
        <w:t>4–25</w:t>
      </w:r>
      <w:r w:rsidRPr="00901DF7" w:rsidR="00AD4953">
        <w:t xml:space="preserve">.)  </w:t>
      </w:r>
      <w:r w:rsidRPr="00901DF7" w:rsidR="0035283D">
        <w:t>Equal protection “does not prohibit the Legislature from regulating certain classes of cases in which the need is deemed most eviden</w:t>
      </w:r>
      <w:r w:rsidRPr="00901DF7" w:rsidR="0016299F">
        <w:t>t</w:t>
      </w:r>
      <w:r w:rsidRPr="00901DF7" w:rsidR="0035283D">
        <w:t>.”  (</w:t>
      </w:r>
      <w:r w:rsidRPr="00901DF7" w:rsidR="0035283D">
        <w:rPr>
          <w:i/>
          <w:iCs/>
        </w:rPr>
        <w:t xml:space="preserve">People v. Jennings </w:t>
      </w:r>
      <w:r w:rsidRPr="00901DF7" w:rsidR="0035283D">
        <w:t xml:space="preserve">(2000) </w:t>
      </w:r>
      <w:r w:rsidRPr="00901DF7" w:rsidR="00F95FCE">
        <w:t xml:space="preserve">81 </w:t>
      </w:r>
      <w:r w:rsidRPr="00901DF7" w:rsidR="004159F5">
        <w:t>Cal.App.4th</w:t>
      </w:r>
      <w:r w:rsidRPr="00901DF7" w:rsidR="00F95FCE">
        <w:t xml:space="preserve"> 1301, 1313</w:t>
      </w:r>
      <w:r w:rsidRPr="00901DF7" w:rsidR="007E2B29">
        <w:t xml:space="preserve"> (</w:t>
      </w:r>
      <w:r w:rsidRPr="00901DF7" w:rsidR="007E2B29">
        <w:rPr>
          <w:i/>
          <w:iCs/>
        </w:rPr>
        <w:t>Jennings</w:t>
      </w:r>
      <w:r w:rsidRPr="00901DF7" w:rsidR="007E2B29">
        <w:t>)</w:t>
      </w:r>
      <w:r w:rsidR="00517572">
        <w:t xml:space="preserve">; see </w:t>
      </w:r>
      <w:r w:rsidRPr="00704C61" w:rsidR="00517572">
        <w:rPr>
          <w:i/>
          <w:iCs/>
        </w:rPr>
        <w:t>id</w:t>
      </w:r>
      <w:r w:rsidR="00517572">
        <w:t>. at pp. 1312–1313</w:t>
      </w:r>
      <w:r w:rsidRPr="00901DF7" w:rsidR="00DC7F73">
        <w:t xml:space="preserve"> [Evid. Code </w:t>
      </w:r>
      <w:r w:rsidR="007B112D">
        <w:t>§ </w:t>
      </w:r>
      <w:r w:rsidRPr="00901DF7" w:rsidR="00C65079">
        <w:t xml:space="preserve">1109 does not violate equal protection </w:t>
      </w:r>
      <w:r w:rsidRPr="00901DF7" w:rsidR="003655E1">
        <w:t>by</w:t>
      </w:r>
      <w:r w:rsidRPr="00901DF7" w:rsidR="00C65079">
        <w:t xml:space="preserve"> </w:t>
      </w:r>
      <w:r w:rsidRPr="00901DF7" w:rsidR="00060AC8">
        <w:t xml:space="preserve">permitting </w:t>
      </w:r>
      <w:r w:rsidRPr="00901DF7" w:rsidR="00C65079">
        <w:t xml:space="preserve">propensity evidence in domestic abuse cases and not </w:t>
      </w:r>
      <w:r w:rsidRPr="00901DF7" w:rsidR="00D703B6">
        <w:t xml:space="preserve">in </w:t>
      </w:r>
      <w:r w:rsidRPr="00901DF7" w:rsidR="00C65079">
        <w:t>other cases</w:t>
      </w:r>
      <w:r w:rsidRPr="00901DF7" w:rsidR="00DC7F73">
        <w:t>]</w:t>
      </w:r>
      <w:r w:rsidRPr="00901DF7" w:rsidR="00F95FCE">
        <w:t xml:space="preserve">.) </w:t>
      </w:r>
      <w:r w:rsidRPr="00901DF7" w:rsidR="00754C2B">
        <w:t xml:space="preserve"> </w:t>
      </w:r>
      <w:r w:rsidRPr="00901DF7">
        <w:t xml:space="preserve">Here, the </w:t>
      </w:r>
      <w:r w:rsidRPr="00901DF7" w:rsidR="009D26BB">
        <w:t>voters</w:t>
      </w:r>
      <w:r w:rsidRPr="00901DF7">
        <w:t xml:space="preserve"> </w:t>
      </w:r>
      <w:r w:rsidR="009C41BD">
        <w:t>clearly espoused the view</w:t>
      </w:r>
      <w:r w:rsidRPr="00901DF7">
        <w:t xml:space="preserve"> that One Strike offenders</w:t>
      </w:r>
      <w:r w:rsidRPr="00901DF7" w:rsidR="00A53339">
        <w:t xml:space="preserve"> “are the least likely to be cured and the most likely to reoffend, and</w:t>
      </w:r>
      <w:r w:rsidRPr="00901DF7" w:rsidR="00DB61C3">
        <w:t xml:space="preserve"> they </w:t>
      </w:r>
      <w:r w:rsidRPr="00901DF7" w:rsidR="00A53339">
        <w:t xml:space="preserve">prey on the most innocent members of our society.”  (Voter </w:t>
      </w:r>
      <w:r w:rsidR="00517572">
        <w:t xml:space="preserve">Information </w:t>
      </w:r>
      <w:r w:rsidRPr="00901DF7" w:rsidR="00A53339">
        <w:t>Guide on Prop</w:t>
      </w:r>
      <w:r w:rsidR="004C3223">
        <w:t>.</w:t>
      </w:r>
      <w:r w:rsidRPr="00901DF7" w:rsidR="00A53339">
        <w:t xml:space="preserve"> 83,</w:t>
      </w:r>
      <w:r w:rsidR="00517572">
        <w:t xml:space="preserve"> </w:t>
      </w:r>
      <w:r w:rsidRPr="00704C61" w:rsidR="00517572">
        <w:rPr>
          <w:i/>
          <w:iCs/>
        </w:rPr>
        <w:t>supra</w:t>
      </w:r>
      <w:r w:rsidR="00517572">
        <w:t>, text of Prop. 83,</w:t>
      </w:r>
      <w:r w:rsidRPr="00901DF7" w:rsidR="00A53339">
        <w:t xml:space="preserve"> p. 127.)  </w:t>
      </w:r>
      <w:r w:rsidR="00B97509">
        <w:t xml:space="preserve">We also </w:t>
      </w:r>
      <w:r w:rsidR="00BF61C0">
        <w:t>noted</w:t>
      </w:r>
      <w:r w:rsidRPr="00901DF7" w:rsidR="00694CD0">
        <w:t xml:space="preserve"> </w:t>
      </w:r>
      <w:r w:rsidR="00BF61C0">
        <w:t xml:space="preserve">legislative findings </w:t>
      </w:r>
      <w:r w:rsidRPr="00901DF7" w:rsidR="00694CD0">
        <w:t>that t</w:t>
      </w:r>
      <w:r w:rsidRPr="00901DF7" w:rsidR="00AF6006">
        <w:t xml:space="preserve">hese offenders “cannot be cured of [their] aberrant impulses, and must be </w:t>
      </w:r>
      <w:r w:rsidRPr="00901DF7" w:rsidR="00AF6006">
        <w:rPr>
          <w:color w:val="000000"/>
          <w:szCs w:val="26"/>
        </w:rPr>
        <w:t xml:space="preserve">separated from society to </w:t>
      </w:r>
      <w:r w:rsidRPr="00901DF7" w:rsidR="00AF6006">
        <w:rPr>
          <w:i/>
          <w:iCs/>
          <w:color w:val="000000"/>
          <w:szCs w:val="26"/>
        </w:rPr>
        <w:t>prevent reoffense</w:t>
      </w:r>
      <w:r w:rsidRPr="00901DF7" w:rsidR="00AF6006">
        <w:rPr>
          <w:color w:val="000000"/>
          <w:szCs w:val="26"/>
        </w:rPr>
        <w:t>.”  (</w:t>
      </w:r>
      <w:r w:rsidRPr="00901DF7" w:rsidR="00AF6006">
        <w:rPr>
          <w:i/>
          <w:iCs/>
          <w:color w:val="000000"/>
          <w:szCs w:val="26"/>
        </w:rPr>
        <w:t>Wutzke</w:t>
      </w:r>
      <w:r w:rsidRPr="00901DF7" w:rsidR="00AF6006">
        <w:rPr>
          <w:color w:val="000000"/>
          <w:szCs w:val="26"/>
        </w:rPr>
        <w:t xml:space="preserve">, </w:t>
      </w:r>
      <w:r w:rsidRPr="00901DF7" w:rsidR="00AF6006">
        <w:rPr>
          <w:i/>
          <w:iCs/>
          <w:color w:val="000000"/>
          <w:szCs w:val="26"/>
        </w:rPr>
        <w:t>supra</w:t>
      </w:r>
      <w:r w:rsidRPr="00901DF7" w:rsidR="00AF6006">
        <w:rPr>
          <w:color w:val="000000"/>
          <w:szCs w:val="26"/>
        </w:rPr>
        <w:t>, 28 Cal.4th at p</w:t>
      </w:r>
      <w:r w:rsidR="00517572">
        <w:rPr>
          <w:color w:val="000000"/>
          <w:szCs w:val="26"/>
        </w:rPr>
        <w:t>p</w:t>
      </w:r>
      <w:r w:rsidRPr="00901DF7" w:rsidR="00AF6006">
        <w:rPr>
          <w:color w:val="000000"/>
          <w:szCs w:val="26"/>
        </w:rPr>
        <w:t xml:space="preserve">. </w:t>
      </w:r>
      <w:r w:rsidR="00517572">
        <w:rPr>
          <w:color w:val="000000"/>
          <w:szCs w:val="26"/>
        </w:rPr>
        <w:t>929–</w:t>
      </w:r>
      <w:r w:rsidRPr="00901DF7" w:rsidR="00AF6006">
        <w:rPr>
          <w:color w:val="000000"/>
          <w:szCs w:val="26"/>
        </w:rPr>
        <w:t xml:space="preserve">930, italics added; see </w:t>
      </w:r>
      <w:r w:rsidRPr="00901DF7" w:rsidR="00AF6006">
        <w:rPr>
          <w:i/>
          <w:iCs/>
          <w:color w:val="000000"/>
          <w:szCs w:val="26"/>
        </w:rPr>
        <w:t>Acosta</w:t>
      </w:r>
      <w:r w:rsidRPr="00901DF7" w:rsidR="00AF6006">
        <w:rPr>
          <w:color w:val="000000"/>
          <w:szCs w:val="26"/>
        </w:rPr>
        <w:t xml:space="preserve">, </w:t>
      </w:r>
      <w:r w:rsidRPr="00901DF7" w:rsidR="00AF6006">
        <w:rPr>
          <w:i/>
          <w:iCs/>
          <w:color w:val="000000"/>
          <w:szCs w:val="26"/>
        </w:rPr>
        <w:t>supra</w:t>
      </w:r>
      <w:r w:rsidRPr="00901DF7" w:rsidR="00AF6006">
        <w:rPr>
          <w:color w:val="000000"/>
          <w:szCs w:val="26"/>
        </w:rPr>
        <w:t xml:space="preserve">, 29 Cal.4th at p. 127 [“purpose of the One Strike law is to provide life sentences for aggravated sex offenders, </w:t>
      </w:r>
      <w:r w:rsidRPr="00901DF7" w:rsidR="00AF6006">
        <w:rPr>
          <w:i/>
          <w:iCs/>
          <w:color w:val="000000"/>
          <w:szCs w:val="26"/>
        </w:rPr>
        <w:t>even if they do not have prior convictions</w:t>
      </w:r>
      <w:r w:rsidRPr="00901DF7" w:rsidR="00AF6006">
        <w:rPr>
          <w:color w:val="000000"/>
          <w:szCs w:val="26"/>
        </w:rPr>
        <w:t xml:space="preserve">”], italics added.)  </w:t>
      </w:r>
      <w:r w:rsidR="00E635D4">
        <w:rPr>
          <w:color w:val="000000"/>
          <w:szCs w:val="26"/>
        </w:rPr>
        <w:t>Against this backdrop, it is feasible that the Legislature adopted a</w:t>
      </w:r>
      <w:r w:rsidRPr="00901DF7" w:rsidR="00AF6006">
        <w:rPr>
          <w:color w:val="000000"/>
          <w:szCs w:val="26"/>
        </w:rPr>
        <w:t xml:space="preserve"> zero tolerance approach</w:t>
      </w:r>
      <w:r w:rsidR="007E5D74">
        <w:rPr>
          <w:color w:val="000000"/>
          <w:szCs w:val="26"/>
        </w:rPr>
        <w:t> </w:t>
      </w:r>
      <w:r w:rsidRPr="00901DF7" w:rsidR="00AF6006">
        <w:rPr>
          <w:color w:val="000000"/>
          <w:szCs w:val="26"/>
        </w:rPr>
        <w:t>— which extends the One Strike law’s severe punishment to first time offenses</w:t>
      </w:r>
      <w:r w:rsidR="00483CF3">
        <w:rPr>
          <w:color w:val="000000"/>
          <w:szCs w:val="26"/>
        </w:rPr>
        <w:t> </w:t>
      </w:r>
      <w:r w:rsidRPr="00901DF7" w:rsidR="00AF6006">
        <w:rPr>
          <w:color w:val="000000"/>
          <w:szCs w:val="26"/>
        </w:rPr>
        <w:t>—</w:t>
      </w:r>
      <w:r w:rsidR="00704C61">
        <w:rPr>
          <w:color w:val="000000"/>
          <w:szCs w:val="26"/>
        </w:rPr>
        <w:t xml:space="preserve"> </w:t>
      </w:r>
      <w:r w:rsidRPr="00901DF7" w:rsidR="00AF6006">
        <w:rPr>
          <w:color w:val="000000"/>
          <w:szCs w:val="26"/>
        </w:rPr>
        <w:t xml:space="preserve">to reduce recidivism of </w:t>
      </w:r>
      <w:r w:rsidR="001F554A">
        <w:rPr>
          <w:color w:val="000000"/>
          <w:szCs w:val="26"/>
        </w:rPr>
        <w:t>those</w:t>
      </w:r>
      <w:r w:rsidRPr="00901DF7" w:rsidR="00AF6006">
        <w:rPr>
          <w:color w:val="000000"/>
          <w:szCs w:val="26"/>
        </w:rPr>
        <w:t xml:space="preserve"> sex offenders </w:t>
      </w:r>
      <w:r w:rsidR="001F554A">
        <w:rPr>
          <w:color w:val="000000"/>
          <w:szCs w:val="26"/>
        </w:rPr>
        <w:t xml:space="preserve">it deemed particularly dangerous </w:t>
      </w:r>
      <w:r w:rsidRPr="00901DF7" w:rsidR="00AF6006">
        <w:rPr>
          <w:color w:val="000000"/>
          <w:szCs w:val="26"/>
        </w:rPr>
        <w:t>by incapacitating them through long terms of imprisonment.  (</w:t>
      </w:r>
      <w:r w:rsidRPr="00901DF7" w:rsidR="00AF6006">
        <w:rPr>
          <w:i/>
          <w:iCs/>
          <w:color w:val="000000"/>
          <w:szCs w:val="26"/>
        </w:rPr>
        <w:t>Wutzke,</w:t>
      </w:r>
      <w:r w:rsidRPr="00901DF7" w:rsidR="00AF6006">
        <w:rPr>
          <w:color w:val="000000"/>
          <w:szCs w:val="26"/>
        </w:rPr>
        <w:t xml:space="preserve"> at p. 931 [</w:t>
      </w:r>
      <w:r w:rsidR="007B112D">
        <w:rPr>
          <w:color w:val="000000"/>
          <w:szCs w:val="26"/>
        </w:rPr>
        <w:t>§ </w:t>
      </w:r>
      <w:r w:rsidRPr="00901DF7" w:rsidR="00AF6006">
        <w:rPr>
          <w:color w:val="000000"/>
          <w:szCs w:val="26"/>
        </w:rPr>
        <w:t xml:space="preserve">667.61 expresses “intolerance toward child sexual abuse”]; see </w:t>
      </w:r>
      <w:r w:rsidRPr="00901DF7" w:rsidR="00AF6006">
        <w:rPr>
          <w:i/>
          <w:iCs/>
          <w:color w:val="000000"/>
          <w:szCs w:val="26"/>
        </w:rPr>
        <w:t>Graham</w:t>
      </w:r>
      <w:r w:rsidRPr="00901DF7" w:rsidR="00AF6006">
        <w:rPr>
          <w:color w:val="000000"/>
          <w:szCs w:val="26"/>
        </w:rPr>
        <w:t xml:space="preserve">, </w:t>
      </w:r>
      <w:r w:rsidRPr="00901DF7" w:rsidR="00AF6006">
        <w:rPr>
          <w:i/>
          <w:iCs/>
          <w:color w:val="000000"/>
          <w:szCs w:val="26"/>
        </w:rPr>
        <w:t>supra</w:t>
      </w:r>
      <w:r w:rsidRPr="00901DF7" w:rsidR="00AF6006">
        <w:rPr>
          <w:color w:val="000000"/>
          <w:szCs w:val="26"/>
        </w:rPr>
        <w:t xml:space="preserve">, 560 U.S. at p. 72 [“Recidivism is a serious risk to public safety, and so incapacitation is an important goal”].) </w:t>
      </w:r>
      <w:bookmarkStart w:id="11" w:name="_Hlk161653504"/>
      <w:r w:rsidRPr="00901DF7" w:rsidR="00E04C38">
        <w:rPr>
          <w:color w:val="000000"/>
          <w:szCs w:val="26"/>
        </w:rPr>
        <w:t xml:space="preserve"> </w:t>
      </w:r>
    </w:p>
    <w:p w:rsidR="0076728C" w:rsidRPr="00901DF7" w:rsidP="00901DF7" w14:paraId="54AED22F" w14:textId="53475FD7">
      <w:pPr>
        <w:tabs>
          <w:tab w:val="left" w:pos="720"/>
          <w:tab w:val="left" w:pos="1440"/>
        </w:tabs>
        <w:rPr>
          <w:color w:val="000000"/>
          <w:szCs w:val="26"/>
        </w:rPr>
      </w:pPr>
      <w:r w:rsidRPr="00901DF7">
        <w:tab/>
      </w:r>
      <w:r w:rsidRPr="00901DF7" w:rsidR="00840C59">
        <w:rPr>
          <w:color w:val="000000"/>
          <w:szCs w:val="26"/>
        </w:rPr>
        <w:t xml:space="preserve">Although defendant </w:t>
      </w:r>
      <w:r w:rsidRPr="00901DF7" w:rsidR="00AF6006">
        <w:rPr>
          <w:color w:val="000000"/>
          <w:szCs w:val="26"/>
        </w:rPr>
        <w:t xml:space="preserve">contends </w:t>
      </w:r>
      <w:r w:rsidRPr="00901DF7" w:rsidR="00840C59">
        <w:rPr>
          <w:color w:val="000000"/>
          <w:szCs w:val="26"/>
        </w:rPr>
        <w:t xml:space="preserve">that </w:t>
      </w:r>
      <w:r w:rsidRPr="00901DF7" w:rsidR="0083529D">
        <w:rPr>
          <w:color w:val="000000"/>
          <w:szCs w:val="26"/>
        </w:rPr>
        <w:t xml:space="preserve">there is no basis for “singling out” </w:t>
      </w:r>
      <w:r w:rsidRPr="00901DF7" w:rsidR="00E04C38">
        <w:rPr>
          <w:color w:val="000000"/>
          <w:szCs w:val="26"/>
        </w:rPr>
        <w:t xml:space="preserve">young adult </w:t>
      </w:r>
      <w:r w:rsidRPr="00901DF7" w:rsidR="0083529D">
        <w:rPr>
          <w:color w:val="000000"/>
          <w:szCs w:val="26"/>
        </w:rPr>
        <w:t>One Strike</w:t>
      </w:r>
      <w:r w:rsidRPr="00901DF7" w:rsidR="00D43F9B">
        <w:rPr>
          <w:color w:val="000000"/>
          <w:szCs w:val="26"/>
        </w:rPr>
        <w:t xml:space="preserve"> offende</w:t>
      </w:r>
      <w:r w:rsidRPr="00901DF7" w:rsidR="0083529D">
        <w:rPr>
          <w:color w:val="000000"/>
          <w:szCs w:val="26"/>
        </w:rPr>
        <w:t>rs</w:t>
      </w:r>
      <w:r w:rsidRPr="00901DF7" w:rsidR="007535CF">
        <w:rPr>
          <w:color w:val="000000"/>
          <w:szCs w:val="26"/>
        </w:rPr>
        <w:t xml:space="preserve"> from </w:t>
      </w:r>
      <w:r w:rsidRPr="00901DF7" w:rsidR="0083529D">
        <w:rPr>
          <w:color w:val="000000"/>
          <w:szCs w:val="26"/>
        </w:rPr>
        <w:t>other types of sex offenders for exclusion under section 3051(h), we agree with the Attorney General that the Legislature could have rationally concluded</w:t>
      </w:r>
      <w:r w:rsidR="00565B1A">
        <w:rPr>
          <w:color w:val="000000"/>
          <w:szCs w:val="26"/>
        </w:rPr>
        <w:t> </w:t>
      </w:r>
      <w:r w:rsidRPr="00901DF7" w:rsidR="00DA4DD9">
        <w:rPr>
          <w:color w:val="000000"/>
          <w:szCs w:val="26"/>
        </w:rPr>
        <w:t xml:space="preserve">— </w:t>
      </w:r>
      <w:r w:rsidR="002D2E15">
        <w:rPr>
          <w:color w:val="000000"/>
          <w:szCs w:val="26"/>
        </w:rPr>
        <w:t>as reflected by the</w:t>
      </w:r>
      <w:r w:rsidRPr="00901DF7" w:rsidR="00DA4DD9">
        <w:rPr>
          <w:color w:val="000000"/>
          <w:szCs w:val="26"/>
        </w:rPr>
        <w:t xml:space="preserve"> </w:t>
      </w:r>
      <w:r w:rsidRPr="00901DF7" w:rsidR="00082BD7">
        <w:rPr>
          <w:color w:val="000000"/>
          <w:szCs w:val="26"/>
        </w:rPr>
        <w:t>relevant</w:t>
      </w:r>
      <w:r w:rsidRPr="00901DF7" w:rsidR="0068504A">
        <w:rPr>
          <w:color w:val="000000"/>
          <w:szCs w:val="26"/>
        </w:rPr>
        <w:t xml:space="preserve"> amendments to the One Strike law</w:t>
      </w:r>
      <w:r w:rsidR="00565B1A">
        <w:rPr>
          <w:color w:val="000000"/>
          <w:szCs w:val="26"/>
        </w:rPr>
        <w:t> </w:t>
      </w:r>
      <w:r w:rsidRPr="00901DF7" w:rsidR="00DA4DD9">
        <w:rPr>
          <w:color w:val="000000"/>
          <w:szCs w:val="26"/>
        </w:rPr>
        <w:t xml:space="preserve">— </w:t>
      </w:r>
      <w:r w:rsidR="00565B1A">
        <w:rPr>
          <w:color w:val="000000"/>
          <w:szCs w:val="26"/>
        </w:rPr>
        <w:t xml:space="preserve">that </w:t>
      </w:r>
      <w:r w:rsidRPr="00901DF7" w:rsidR="007A0F9F">
        <w:rPr>
          <w:color w:val="000000"/>
          <w:szCs w:val="26"/>
        </w:rPr>
        <w:t xml:space="preserve">One Strike </w:t>
      </w:r>
      <w:r w:rsidRPr="00901DF7" w:rsidR="0083529D">
        <w:rPr>
          <w:color w:val="000000"/>
          <w:szCs w:val="26"/>
        </w:rPr>
        <w:t xml:space="preserve">offenders </w:t>
      </w:r>
      <w:r w:rsidRPr="00901DF7" w:rsidR="006720C7">
        <w:rPr>
          <w:color w:val="000000"/>
          <w:szCs w:val="26"/>
        </w:rPr>
        <w:t xml:space="preserve">posed an identified recidivism risk of committing aggravated sex offenses and that allowing these offenders who would likely reoffend to seek early parole would be inconsistent with the rehabilitative goal of section 3051. </w:t>
      </w:r>
      <w:r w:rsidRPr="00901DF7" w:rsidR="00DA4DD9">
        <w:rPr>
          <w:color w:val="000000"/>
          <w:szCs w:val="26"/>
        </w:rPr>
        <w:t xml:space="preserve"> </w:t>
      </w:r>
      <w:r w:rsidRPr="00901DF7" w:rsidR="00BF7934">
        <w:rPr>
          <w:color w:val="000000"/>
          <w:szCs w:val="26"/>
        </w:rPr>
        <w:t xml:space="preserve">The aggravating circumstances that trigger sentencing under the One Strike law </w:t>
      </w:r>
      <w:r w:rsidRPr="00901DF7" w:rsidR="007A0F9F">
        <w:rPr>
          <w:color w:val="000000"/>
          <w:szCs w:val="26"/>
        </w:rPr>
        <w:t xml:space="preserve">provide a rational basis </w:t>
      </w:r>
      <w:r w:rsidRPr="00901DF7" w:rsidR="001E460B">
        <w:rPr>
          <w:color w:val="000000"/>
          <w:szCs w:val="26"/>
        </w:rPr>
        <w:t xml:space="preserve">for </w:t>
      </w:r>
      <w:r w:rsidRPr="00901DF7" w:rsidR="007A0F9F">
        <w:rPr>
          <w:color w:val="000000"/>
          <w:szCs w:val="26"/>
        </w:rPr>
        <w:t xml:space="preserve">distinguishing </w:t>
      </w:r>
      <w:r w:rsidRPr="00901DF7" w:rsidR="00BF7934">
        <w:rPr>
          <w:color w:val="000000"/>
          <w:szCs w:val="26"/>
        </w:rPr>
        <w:t xml:space="preserve">defendants who have also committed one of the </w:t>
      </w:r>
      <w:r w:rsidRPr="00901DF7" w:rsidR="001A158E">
        <w:rPr>
          <w:color w:val="000000"/>
          <w:szCs w:val="26"/>
        </w:rPr>
        <w:t>specified</w:t>
      </w:r>
      <w:r w:rsidRPr="00901DF7" w:rsidR="00BF7934">
        <w:rPr>
          <w:color w:val="000000"/>
          <w:szCs w:val="26"/>
        </w:rPr>
        <w:t xml:space="preserve"> sex offenses </w:t>
      </w:r>
      <w:r w:rsidRPr="00901DF7" w:rsidR="00940D02">
        <w:rPr>
          <w:color w:val="000000"/>
          <w:szCs w:val="26"/>
        </w:rPr>
        <w:t xml:space="preserve">apart </w:t>
      </w:r>
      <w:r w:rsidRPr="00901DF7" w:rsidR="00BF7934">
        <w:rPr>
          <w:color w:val="000000"/>
          <w:szCs w:val="26"/>
        </w:rPr>
        <w:t xml:space="preserve">from other </w:t>
      </w:r>
      <w:r w:rsidRPr="00901DF7" w:rsidR="001A158E">
        <w:rPr>
          <w:color w:val="000000"/>
          <w:szCs w:val="26"/>
        </w:rPr>
        <w:t xml:space="preserve">sex </w:t>
      </w:r>
      <w:r w:rsidRPr="00901DF7" w:rsidR="00BF7934">
        <w:rPr>
          <w:color w:val="000000"/>
          <w:szCs w:val="26"/>
        </w:rPr>
        <w:t>offenders</w:t>
      </w:r>
      <w:r w:rsidRPr="00901DF7" w:rsidR="00AB12BB">
        <w:rPr>
          <w:color w:val="000000"/>
          <w:szCs w:val="26"/>
        </w:rPr>
        <w:t>.</w:t>
      </w:r>
      <w:r w:rsidRPr="00901DF7" w:rsidR="00BF7934">
        <w:rPr>
          <w:color w:val="000000"/>
          <w:szCs w:val="26"/>
        </w:rPr>
        <w:t xml:space="preserve">  </w:t>
      </w:r>
      <w:r w:rsidRPr="00901DF7" w:rsidR="0082229D">
        <w:rPr>
          <w:color w:val="000000"/>
          <w:szCs w:val="26"/>
        </w:rPr>
        <w:t>(</w:t>
      </w:r>
      <w:r w:rsidRPr="00901DF7" w:rsidR="001A158E">
        <w:rPr>
          <w:color w:val="000000"/>
          <w:szCs w:val="26"/>
        </w:rPr>
        <w:t xml:space="preserve">See </w:t>
      </w:r>
      <w:r w:rsidRPr="00901DF7" w:rsidR="001A158E">
        <w:rPr>
          <w:i/>
          <w:iCs/>
          <w:color w:val="000000"/>
          <w:szCs w:val="26"/>
        </w:rPr>
        <w:t>Wutzke</w:t>
      </w:r>
      <w:r w:rsidRPr="00901DF7" w:rsidR="001A158E">
        <w:rPr>
          <w:color w:val="000000"/>
          <w:szCs w:val="26"/>
        </w:rPr>
        <w:t xml:space="preserve">, </w:t>
      </w:r>
      <w:r w:rsidRPr="00901DF7" w:rsidR="001A158E">
        <w:rPr>
          <w:i/>
          <w:iCs/>
          <w:color w:val="000000"/>
          <w:szCs w:val="26"/>
        </w:rPr>
        <w:t>supra</w:t>
      </w:r>
      <w:r w:rsidRPr="00901DF7" w:rsidR="001A158E">
        <w:rPr>
          <w:color w:val="000000"/>
          <w:szCs w:val="26"/>
        </w:rPr>
        <w:t>, 28 Cal.4th at p. 930; see</w:t>
      </w:r>
      <w:r w:rsidRPr="00901DF7" w:rsidR="000F34B3">
        <w:rPr>
          <w:color w:val="000000"/>
          <w:szCs w:val="26"/>
        </w:rPr>
        <w:t xml:space="preserve"> </w:t>
      </w:r>
      <w:r w:rsidRPr="00901DF7" w:rsidR="001A158E">
        <w:rPr>
          <w:color w:val="000000"/>
          <w:szCs w:val="26"/>
        </w:rPr>
        <w:t xml:space="preserve">also </w:t>
      </w:r>
      <w:r w:rsidRPr="00901DF7" w:rsidR="0082229D">
        <w:rPr>
          <w:i/>
          <w:iCs/>
          <w:color w:val="000000"/>
          <w:szCs w:val="26"/>
        </w:rPr>
        <w:t>ante</w:t>
      </w:r>
      <w:r w:rsidRPr="00901DF7" w:rsidR="0082229D">
        <w:rPr>
          <w:color w:val="000000"/>
          <w:szCs w:val="26"/>
        </w:rPr>
        <w:t>, at p</w:t>
      </w:r>
      <w:r w:rsidR="00F00099">
        <w:rPr>
          <w:color w:val="000000"/>
          <w:szCs w:val="26"/>
        </w:rPr>
        <w:t>p</w:t>
      </w:r>
      <w:r w:rsidRPr="00901DF7" w:rsidR="0082229D">
        <w:rPr>
          <w:color w:val="000000"/>
          <w:szCs w:val="26"/>
        </w:rPr>
        <w:t xml:space="preserve">. </w:t>
      </w:r>
      <w:r w:rsidR="00F00099">
        <w:rPr>
          <w:color w:val="000000"/>
          <w:szCs w:val="26"/>
        </w:rPr>
        <w:t>14–</w:t>
      </w:r>
      <w:r w:rsidR="008B0390">
        <w:rPr>
          <w:color w:val="000000"/>
          <w:szCs w:val="26"/>
        </w:rPr>
        <w:t>15.</w:t>
      </w:r>
      <w:r w:rsidRPr="00901DF7" w:rsidR="0082229D">
        <w:rPr>
          <w:color w:val="000000"/>
          <w:szCs w:val="26"/>
        </w:rPr>
        <w:t xml:space="preserve">) </w:t>
      </w:r>
      <w:r w:rsidRPr="00901DF7" w:rsidR="00FB6B59">
        <w:rPr>
          <w:color w:val="000000"/>
          <w:szCs w:val="26"/>
        </w:rPr>
        <w:t xml:space="preserve"> In any event, t</w:t>
      </w:r>
      <w:r w:rsidRPr="00901DF7" w:rsidR="00FF2AA2">
        <w:rPr>
          <w:color w:val="000000"/>
          <w:szCs w:val="26"/>
        </w:rPr>
        <w:t>o the extent defendant argues that the One Strike exclusion does not reach those offenders</w:t>
      </w:r>
      <w:r w:rsidRPr="00901DF7" w:rsidR="00FB6B59">
        <w:rPr>
          <w:color w:val="000000"/>
          <w:szCs w:val="26"/>
        </w:rPr>
        <w:t xml:space="preserve"> who commit offenses </w:t>
      </w:r>
      <w:r w:rsidRPr="00901DF7" w:rsidR="00C7403D">
        <w:rPr>
          <w:color w:val="000000"/>
          <w:szCs w:val="26"/>
        </w:rPr>
        <w:t xml:space="preserve">similar </w:t>
      </w:r>
      <w:r w:rsidRPr="00901DF7" w:rsidR="00FB6B59">
        <w:rPr>
          <w:color w:val="000000"/>
          <w:szCs w:val="26"/>
        </w:rPr>
        <w:t>to One Strike offenses</w:t>
      </w:r>
      <w:r w:rsidRPr="00901DF7" w:rsidR="00FF2AA2">
        <w:rPr>
          <w:color w:val="000000"/>
          <w:szCs w:val="26"/>
        </w:rPr>
        <w:t>, we reiterate that u</w:t>
      </w:r>
      <w:r w:rsidRPr="00901DF7" w:rsidR="00AF6006">
        <w:rPr>
          <w:color w:val="000000"/>
          <w:szCs w:val="26"/>
        </w:rPr>
        <w:t>nder the rational basis test, “</w:t>
      </w:r>
      <w:r w:rsidR="00565B1A">
        <w:rPr>
          <w:color w:val="000000"/>
          <w:szCs w:val="26"/>
        </w:rPr>
        <w:t> </w:t>
      </w:r>
      <w:r w:rsidR="00D90971">
        <w:rPr>
          <w:color w:val="000000"/>
          <w:szCs w:val="26"/>
        </w:rPr>
        <w:t>‘</w:t>
      </w:r>
      <w:r w:rsidRPr="00901DF7" w:rsidR="00AF6006">
        <w:rPr>
          <w:color w:val="000000"/>
          <w:szCs w:val="26"/>
        </w:rPr>
        <w:t>we must accept any gross generalizations and rough accommodations that the Legislature seems to have made.’  [Citation.]  ‘A classification is not arbitrary or irrational simply because there is an “imperfect fit between means and ends,”</w:t>
      </w:r>
      <w:r w:rsidR="00565B1A">
        <w:rPr>
          <w:color w:val="000000"/>
          <w:szCs w:val="26"/>
        </w:rPr>
        <w:t> </w:t>
      </w:r>
      <w:r w:rsidRPr="00901DF7" w:rsidR="00AF6006">
        <w:rPr>
          <w:color w:val="000000"/>
          <w:szCs w:val="26"/>
        </w:rPr>
        <w:t>’ [citation], or ‘because it may be “to some extent both underinclusive and overinclusive.”</w:t>
      </w:r>
      <w:r w:rsidR="00565B1A">
        <w:rPr>
          <w:color w:val="000000"/>
          <w:szCs w:val="26"/>
        </w:rPr>
        <w:t> </w:t>
      </w:r>
      <w:r w:rsidRPr="00901DF7" w:rsidR="00AF6006">
        <w:rPr>
          <w:color w:val="000000"/>
          <w:szCs w:val="26"/>
        </w:rPr>
        <w:t>’</w:t>
      </w:r>
      <w:r w:rsidR="00565B1A">
        <w:rPr>
          <w:color w:val="000000"/>
          <w:szCs w:val="26"/>
        </w:rPr>
        <w:t> </w:t>
      </w:r>
      <w:r w:rsidRPr="00901DF7" w:rsidR="00AF6006">
        <w:rPr>
          <w:color w:val="000000"/>
          <w:szCs w:val="26"/>
        </w:rPr>
        <w:t>”</w:t>
      </w:r>
      <w:r w:rsidR="00D90971">
        <w:rPr>
          <w:color w:val="000000"/>
          <w:szCs w:val="26"/>
        </w:rPr>
        <w:t xml:space="preserve"> </w:t>
      </w:r>
      <w:r w:rsidRPr="00901DF7" w:rsidR="00AF6006">
        <w:rPr>
          <w:color w:val="000000"/>
          <w:szCs w:val="26"/>
        </w:rPr>
        <w:t xml:space="preserve"> (</w:t>
      </w:r>
      <w:r w:rsidRPr="00901DF7" w:rsidR="00AF6006">
        <w:rPr>
          <w:i/>
          <w:iCs/>
          <w:color w:val="000000"/>
          <w:szCs w:val="26"/>
        </w:rPr>
        <w:t>Johnson</w:t>
      </w:r>
      <w:r w:rsidRPr="00901DF7" w:rsidR="00AF6006">
        <w:rPr>
          <w:color w:val="000000"/>
          <w:szCs w:val="26"/>
        </w:rPr>
        <w:t xml:space="preserve">, </w:t>
      </w:r>
      <w:r w:rsidRPr="00901DF7" w:rsidR="00AF6006">
        <w:rPr>
          <w:i/>
          <w:iCs/>
          <w:color w:val="000000"/>
          <w:szCs w:val="26"/>
        </w:rPr>
        <w:t>supra</w:t>
      </w:r>
      <w:r w:rsidRPr="00901DF7" w:rsidR="00AF6006">
        <w:rPr>
          <w:color w:val="000000"/>
          <w:szCs w:val="26"/>
        </w:rPr>
        <w:t>, 60 Cal.4th at p. 887.</w:t>
      </w:r>
      <w:bookmarkEnd w:id="11"/>
      <w:r w:rsidRPr="00901DF7" w:rsidR="0011698B">
        <w:rPr>
          <w:color w:val="000000"/>
          <w:szCs w:val="26"/>
        </w:rPr>
        <w:t xml:space="preserve">)  </w:t>
      </w:r>
    </w:p>
    <w:p w:rsidR="00A0333C" w:rsidRPr="00901DF7" w:rsidP="00901DF7" w14:paraId="68C3B192" w14:textId="1F5E99B0">
      <w:pPr>
        <w:tabs>
          <w:tab w:val="left" w:pos="720"/>
          <w:tab w:val="left" w:pos="1440"/>
        </w:tabs>
        <w:rPr>
          <w:color w:val="000000"/>
          <w:szCs w:val="26"/>
        </w:rPr>
      </w:pPr>
      <w:r w:rsidRPr="00901DF7">
        <w:tab/>
      </w:r>
      <w:r w:rsidR="00522090">
        <w:rPr>
          <w:color w:val="000000"/>
          <w:szCs w:val="26"/>
        </w:rPr>
        <w:t>W</w:t>
      </w:r>
      <w:r w:rsidRPr="00901DF7" w:rsidR="004511E7">
        <w:rPr>
          <w:color w:val="000000"/>
          <w:szCs w:val="26"/>
        </w:rPr>
        <w:t>e conclude that</w:t>
      </w:r>
      <w:r w:rsidRPr="00901DF7" w:rsidR="006F2FB1">
        <w:rPr>
          <w:color w:val="000000"/>
          <w:szCs w:val="26"/>
        </w:rPr>
        <w:t xml:space="preserve"> the One Strike exclusion is rationally related to legitimate state interest</w:t>
      </w:r>
      <w:r w:rsidRPr="00901DF7" w:rsidR="008A66BA">
        <w:rPr>
          <w:color w:val="000000"/>
          <w:szCs w:val="26"/>
        </w:rPr>
        <w:t>s</w:t>
      </w:r>
      <w:r w:rsidRPr="00901DF7" w:rsidR="006F2FB1">
        <w:rPr>
          <w:color w:val="000000"/>
          <w:szCs w:val="26"/>
        </w:rPr>
        <w:t xml:space="preserve"> in </w:t>
      </w:r>
      <w:r w:rsidRPr="00901DF7" w:rsidR="00C7403D">
        <w:rPr>
          <w:color w:val="000000"/>
          <w:szCs w:val="26"/>
        </w:rPr>
        <w:t xml:space="preserve">addressing </w:t>
      </w:r>
      <w:r w:rsidRPr="00901DF7" w:rsidR="006F2FB1">
        <w:rPr>
          <w:color w:val="000000"/>
          <w:szCs w:val="26"/>
        </w:rPr>
        <w:t>recidivism</w:t>
      </w:r>
      <w:r w:rsidRPr="00901DF7" w:rsidR="0076728C">
        <w:rPr>
          <w:color w:val="000000"/>
          <w:szCs w:val="26"/>
        </w:rPr>
        <w:t xml:space="preserve"> of serious and dangerous sex offenders</w:t>
      </w:r>
      <w:r w:rsidRPr="00901DF7" w:rsidR="009D26BB">
        <w:rPr>
          <w:color w:val="000000"/>
          <w:szCs w:val="26"/>
        </w:rPr>
        <w:t xml:space="preserve"> and setting punishments that are appropriate for the triggering crimes committed under the specified circumstances</w:t>
      </w:r>
      <w:r w:rsidR="00704C61">
        <w:rPr>
          <w:color w:val="000000"/>
          <w:szCs w:val="26"/>
        </w:rPr>
        <w:t>.</w:t>
      </w:r>
      <w:r w:rsidR="00522090">
        <w:rPr>
          <w:color w:val="000000"/>
          <w:szCs w:val="26"/>
        </w:rPr>
        <w:t xml:space="preserve"> </w:t>
      </w:r>
      <w:r w:rsidRPr="00901DF7" w:rsidR="006F2FB1">
        <w:rPr>
          <w:color w:val="000000"/>
          <w:szCs w:val="26"/>
        </w:rPr>
        <w:t xml:space="preserve"> </w:t>
      </w:r>
      <w:r w:rsidR="00736F4F">
        <w:t>Because a plausible basis exists for the Legislature’s differential treatment of One Strike offenders, we may not second</w:t>
      </w:r>
      <w:r w:rsidR="00A21304">
        <w:t>-</w:t>
      </w:r>
      <w:r w:rsidR="00736F4F">
        <w:t>guess whether this decision was wise, fair, or logical.</w:t>
      </w:r>
      <w:r w:rsidRPr="00901DF7" w:rsidR="00736F4F">
        <w:rPr>
          <w:color w:val="000000"/>
          <w:szCs w:val="26"/>
        </w:rPr>
        <w:t xml:space="preserve"> </w:t>
      </w:r>
      <w:r w:rsidRPr="00901DF7" w:rsidR="00F8633B">
        <w:rPr>
          <w:color w:val="000000"/>
          <w:szCs w:val="26"/>
        </w:rPr>
        <w:t xml:space="preserve"> </w:t>
      </w:r>
      <w:r w:rsidRPr="00901DF7" w:rsidR="00FD1A5A">
        <w:t>(</w:t>
      </w:r>
      <w:r w:rsidRPr="00901DF7" w:rsidR="00FD1A5A">
        <w:rPr>
          <w:i/>
          <w:iCs/>
        </w:rPr>
        <w:t>Johnson</w:t>
      </w:r>
      <w:r w:rsidRPr="00901DF7" w:rsidR="00FD1A5A">
        <w:t xml:space="preserve">, </w:t>
      </w:r>
      <w:r w:rsidRPr="00901DF7" w:rsidR="00FD1A5A">
        <w:rPr>
          <w:i/>
          <w:iCs/>
        </w:rPr>
        <w:t>supra</w:t>
      </w:r>
      <w:r w:rsidRPr="00901DF7" w:rsidR="00FD1A5A">
        <w:t>, 60 Cal.4th</w:t>
      </w:r>
      <w:r w:rsidRPr="00901DF7" w:rsidR="00FD1A5A">
        <w:rPr>
          <w:i/>
          <w:iCs/>
        </w:rPr>
        <w:t xml:space="preserve"> </w:t>
      </w:r>
      <w:r w:rsidRPr="00901DF7" w:rsidR="00FD1A5A">
        <w:t>at p. 881</w:t>
      </w:r>
      <w:r w:rsidRPr="00901DF7" w:rsidR="00E57EA3">
        <w:t xml:space="preserve">.) </w:t>
      </w:r>
      <w:r w:rsidRPr="00901DF7" w:rsidR="003439B9">
        <w:t xml:space="preserve"> </w:t>
      </w:r>
      <w:r w:rsidRPr="00901DF7" w:rsidR="006D3AAC">
        <w:t>T</w:t>
      </w:r>
      <w:r w:rsidRPr="00901DF7" w:rsidR="003439B9">
        <w:t xml:space="preserve">his </w:t>
      </w:r>
      <w:r w:rsidRPr="00901DF7" w:rsidR="006D3AAC">
        <w:t>is</w:t>
      </w:r>
      <w:r w:rsidRPr="00901DF7" w:rsidR="00E84BE0">
        <w:t xml:space="preserve"> </w:t>
      </w:r>
      <w:r w:rsidRPr="00901DF7">
        <w:t>“</w:t>
      </w:r>
      <w:r w:rsidR="00565B1A">
        <w:t> </w:t>
      </w:r>
      <w:r w:rsidRPr="00901DF7">
        <w:t>‘the very essence of legislative choice.’</w:t>
      </w:r>
      <w:r w:rsidR="00565B1A">
        <w:t> </w:t>
      </w:r>
      <w:r w:rsidRPr="00901DF7">
        <w:t>”  (</w:t>
      </w:r>
      <w:r w:rsidRPr="00901DF7">
        <w:rPr>
          <w:i/>
          <w:iCs/>
        </w:rPr>
        <w:t>Hardin</w:t>
      </w:r>
      <w:r w:rsidRPr="00901DF7">
        <w:t xml:space="preserve">, </w:t>
      </w:r>
      <w:r w:rsidRPr="00901DF7">
        <w:rPr>
          <w:i/>
          <w:iCs/>
        </w:rPr>
        <w:t>supra</w:t>
      </w:r>
      <w:r w:rsidRPr="00901DF7">
        <w:t>, 15 Cal.5th at p.</w:t>
      </w:r>
      <w:r w:rsidR="00AA00AB">
        <w:t> </w:t>
      </w:r>
      <w:r w:rsidRPr="00901DF7">
        <w:t xml:space="preserve">854.) </w:t>
      </w:r>
      <w:r w:rsidRPr="00901DF7" w:rsidR="00680C37">
        <w:t xml:space="preserve"> </w:t>
      </w:r>
      <w:r w:rsidRPr="00901DF7" w:rsidR="00AF6006">
        <w:t>O</w:t>
      </w:r>
      <w:r w:rsidRPr="00901DF7" w:rsidR="00680C37">
        <w:t>ur conclusion that the Legislature did not act irrationally in excluding One Strike offenders from the youth offender parole statute “does not turn on this court’s judgments about what constitutes sound sentencing policy.  It turns on the deference we owe to the policy choices made through the democratic process by the people of California and their elected representatives.”  (</w:t>
      </w:r>
      <w:r w:rsidRPr="00901DF7" w:rsidR="00680C37">
        <w:rPr>
          <w:i/>
          <w:iCs/>
        </w:rPr>
        <w:t>Id</w:t>
      </w:r>
      <w:r w:rsidRPr="00901DF7" w:rsidR="00680C37">
        <w:t>. at p</w:t>
      </w:r>
      <w:r w:rsidRPr="00901DF7" w:rsidR="00AF5CCE">
        <w:t>p</w:t>
      </w:r>
      <w:r w:rsidRPr="00901DF7" w:rsidR="00680C37">
        <w:t>. 839–840.)</w:t>
      </w:r>
      <w:r>
        <w:rPr>
          <w:rStyle w:val="FootnoteReference"/>
        </w:rPr>
        <w:footnoteReference w:id="14"/>
      </w:r>
      <w:r w:rsidRPr="00901DF7" w:rsidR="00680C37">
        <w:t xml:space="preserve"> </w:t>
      </w:r>
    </w:p>
    <w:p w:rsidR="00706E97" w:rsidRPr="00901DF7" w:rsidP="00901DF7" w14:paraId="2EACDA95" w14:textId="1EC6A2A1">
      <w:pPr>
        <w:tabs>
          <w:tab w:val="left" w:pos="1440"/>
        </w:tabs>
        <w:ind w:firstLine="720"/>
      </w:pPr>
      <w:r w:rsidRPr="00901DF7">
        <w:t xml:space="preserve">Because the </w:t>
      </w:r>
      <w:r w:rsidRPr="00901DF7" w:rsidR="007875C1">
        <w:t xml:space="preserve">Legislature has the prerogative to tackle societal problems “incremental[ly] and uneven[ly]” </w:t>
      </w:r>
      <w:r w:rsidRPr="00901DF7" w:rsidR="007875C1">
        <w:rPr>
          <w:szCs w:val="26"/>
        </w:rPr>
        <w:t>(</w:t>
      </w:r>
      <w:r w:rsidRPr="00901DF7" w:rsidR="007875C1">
        <w:rPr>
          <w:i/>
          <w:iCs/>
          <w:szCs w:val="26"/>
        </w:rPr>
        <w:t>Barrett, supra,</w:t>
      </w:r>
      <w:r w:rsidRPr="00901DF7" w:rsidR="007875C1">
        <w:rPr>
          <w:szCs w:val="26"/>
        </w:rPr>
        <w:t xml:space="preserve"> 54 Cal.4th at p. 1110), it is up to the Legislature t</w:t>
      </w:r>
      <w:r w:rsidRPr="00901DF7" w:rsidR="007875C1">
        <w:t xml:space="preserve">o determine where “the need is deemed most evident.” </w:t>
      </w:r>
      <w:r w:rsidRPr="00901DF7" w:rsidR="00A13133">
        <w:t xml:space="preserve"> </w:t>
      </w:r>
      <w:r w:rsidRPr="00901DF7" w:rsidR="00C46329">
        <w:t>(</w:t>
      </w:r>
      <w:r w:rsidRPr="00901DF7" w:rsidR="00C46329">
        <w:rPr>
          <w:i/>
          <w:iCs/>
        </w:rPr>
        <w:t>Jennings</w:t>
      </w:r>
      <w:r w:rsidRPr="00901DF7" w:rsidR="00C46329">
        <w:t xml:space="preserve">, </w:t>
      </w:r>
      <w:r w:rsidRPr="00901DF7" w:rsidR="00C46329">
        <w:rPr>
          <w:i/>
          <w:iCs/>
        </w:rPr>
        <w:t>supra</w:t>
      </w:r>
      <w:r w:rsidRPr="00901DF7" w:rsidR="00C46329">
        <w:t>, 81 Cal.App.4th at p. 1313</w:t>
      </w:r>
      <w:r w:rsidR="00565B1A">
        <w:t xml:space="preserve">; see </w:t>
      </w:r>
      <w:r w:rsidRPr="00704C61" w:rsidR="00565B1A">
        <w:rPr>
          <w:i/>
          <w:iCs/>
        </w:rPr>
        <w:t>ibid</w:t>
      </w:r>
      <w:r w:rsidR="00565B1A">
        <w:t>.</w:t>
      </w:r>
      <w:r w:rsidRPr="00901DF7" w:rsidR="00C46329">
        <w:t xml:space="preserve"> [“that other crimes such as murder and mayhem may be more serious and that credibility contests are not confined to domestic violence cases do not demonstrate the absence of the required rational basis for the Legislature’s distinction between these crimes”].)  </w:t>
      </w:r>
      <w:r w:rsidRPr="00901DF7">
        <w:rPr>
          <w:szCs w:val="26"/>
        </w:rPr>
        <w:t xml:space="preserve">It is not unreasonable that </w:t>
      </w:r>
      <w:r w:rsidRPr="00901DF7" w:rsidR="00E90028">
        <w:rPr>
          <w:szCs w:val="26"/>
        </w:rPr>
        <w:t>the Legislature focused on One Strike</w:t>
      </w:r>
      <w:r w:rsidRPr="00901DF7" w:rsidR="00D43F9B">
        <w:rPr>
          <w:szCs w:val="26"/>
        </w:rPr>
        <w:t xml:space="preserve"> offende</w:t>
      </w:r>
      <w:r w:rsidRPr="00901DF7" w:rsidR="00E90028">
        <w:rPr>
          <w:szCs w:val="26"/>
        </w:rPr>
        <w:t xml:space="preserve">rs for exclusion from section 3051 given that it considered </w:t>
      </w:r>
      <w:r w:rsidRPr="00901DF7" w:rsidR="00E1262C">
        <w:rPr>
          <w:szCs w:val="26"/>
        </w:rPr>
        <w:t>such offenders</w:t>
      </w:r>
      <w:r w:rsidRPr="00901DF7" w:rsidR="00E90028">
        <w:rPr>
          <w:szCs w:val="26"/>
        </w:rPr>
        <w:t xml:space="preserve"> </w:t>
      </w:r>
      <w:r w:rsidR="000151E9">
        <w:rPr>
          <w:szCs w:val="26"/>
        </w:rPr>
        <w:t xml:space="preserve">to pose an elevated risk of recidivism and to have committed particularly severe offenses. </w:t>
      </w:r>
      <w:r w:rsidRPr="00901DF7" w:rsidR="00E90028">
        <w:rPr>
          <w:color w:val="000000"/>
          <w:szCs w:val="26"/>
        </w:rPr>
        <w:t xml:space="preserve"> </w:t>
      </w:r>
      <w:r w:rsidRPr="00901DF7" w:rsidR="001604CB">
        <w:rPr>
          <w:szCs w:val="26"/>
        </w:rPr>
        <w:t>Thus, we cannot say this classification is “devoid of any conceivable degree of coherent justification” such that it violates equal protection.  (</w:t>
      </w:r>
      <w:r w:rsidRPr="00901DF7" w:rsidR="001604CB">
        <w:rPr>
          <w:i/>
          <w:iCs/>
          <w:szCs w:val="26"/>
        </w:rPr>
        <w:t>Chatman</w:t>
      </w:r>
      <w:r w:rsidRPr="00901DF7" w:rsidR="001604CB">
        <w:rPr>
          <w:szCs w:val="26"/>
        </w:rPr>
        <w:t>,</w:t>
      </w:r>
      <w:r w:rsidRPr="00901DF7" w:rsidR="001604CB">
        <w:rPr>
          <w:i/>
          <w:iCs/>
          <w:szCs w:val="26"/>
        </w:rPr>
        <w:t xml:space="preserve"> supra</w:t>
      </w:r>
      <w:r w:rsidRPr="00901DF7" w:rsidR="001604CB">
        <w:rPr>
          <w:szCs w:val="26"/>
        </w:rPr>
        <w:t xml:space="preserve">, 4 Cal.5th at p. 291.) </w:t>
      </w:r>
    </w:p>
    <w:p w:rsidR="006A6789" w:rsidRPr="00901DF7" w:rsidP="00901DF7" w14:paraId="035D056E" w14:textId="0EA42459">
      <w:pPr>
        <w:tabs>
          <w:tab w:val="left" w:pos="720"/>
          <w:tab w:val="left" w:pos="1440"/>
        </w:tabs>
        <w:rPr>
          <w:b/>
          <w:smallCaps/>
        </w:rPr>
      </w:pPr>
      <w:r w:rsidRPr="00901DF7">
        <w:rPr>
          <w:szCs w:val="26"/>
        </w:rPr>
        <w:tab/>
      </w:r>
      <w:r w:rsidRPr="00901DF7" w:rsidR="001C0824">
        <w:rPr>
          <w:szCs w:val="26"/>
        </w:rPr>
        <w:t>No</w:t>
      </w:r>
      <w:r w:rsidRPr="00901DF7" w:rsidR="00B6174C">
        <w:rPr>
          <w:szCs w:val="26"/>
        </w:rPr>
        <w:t>r</w:t>
      </w:r>
      <w:r w:rsidRPr="00901DF7" w:rsidR="001C0824">
        <w:rPr>
          <w:szCs w:val="26"/>
        </w:rPr>
        <w:t xml:space="preserve"> can we say that this justification has no “footing in the realities of the subject address</w:t>
      </w:r>
      <w:r w:rsidRPr="00901DF7" w:rsidR="003D7A65">
        <w:rPr>
          <w:szCs w:val="26"/>
        </w:rPr>
        <w:t>ed</w:t>
      </w:r>
      <w:r w:rsidRPr="00901DF7" w:rsidR="001C0824">
        <w:rPr>
          <w:szCs w:val="26"/>
        </w:rPr>
        <w:t xml:space="preserve"> by the legislation.”  (</w:t>
      </w:r>
      <w:r w:rsidRPr="00901DF7" w:rsidR="001C0824">
        <w:rPr>
          <w:i/>
          <w:iCs/>
          <w:szCs w:val="26"/>
        </w:rPr>
        <w:t>Heller</w:t>
      </w:r>
      <w:r w:rsidRPr="00901DF7" w:rsidR="001C0824">
        <w:rPr>
          <w:szCs w:val="26"/>
        </w:rPr>
        <w:t xml:space="preserve">, </w:t>
      </w:r>
      <w:r w:rsidRPr="00901DF7" w:rsidR="001C0824">
        <w:rPr>
          <w:i/>
          <w:iCs/>
          <w:szCs w:val="26"/>
        </w:rPr>
        <w:t>supra</w:t>
      </w:r>
      <w:r w:rsidRPr="00901DF7" w:rsidR="001C0824">
        <w:rPr>
          <w:szCs w:val="26"/>
        </w:rPr>
        <w:t xml:space="preserve">, 509 U.S. at p. 32.) </w:t>
      </w:r>
      <w:r w:rsidR="000151E9">
        <w:rPr>
          <w:szCs w:val="26"/>
        </w:rPr>
        <w:t xml:space="preserve"> </w:t>
      </w:r>
      <w:r w:rsidRPr="00901DF7" w:rsidR="00862600">
        <w:rPr>
          <w:szCs w:val="26"/>
        </w:rPr>
        <w:t xml:space="preserve">As the amendments </w:t>
      </w:r>
      <w:r w:rsidRPr="00901DF7" w:rsidR="004C7F1F">
        <w:rPr>
          <w:szCs w:val="26"/>
        </w:rPr>
        <w:t xml:space="preserve">to the One Strike law </w:t>
      </w:r>
      <w:r w:rsidRPr="00901DF7" w:rsidR="00862600">
        <w:rPr>
          <w:szCs w:val="26"/>
        </w:rPr>
        <w:t xml:space="preserve">reflect, </w:t>
      </w:r>
      <w:r w:rsidRPr="00901DF7" w:rsidR="002D0CEF">
        <w:rPr>
          <w:szCs w:val="26"/>
        </w:rPr>
        <w:t>the Legislature</w:t>
      </w:r>
      <w:r w:rsidR="000151E9">
        <w:rPr>
          <w:szCs w:val="26"/>
        </w:rPr>
        <w:t xml:space="preserve"> and electorate</w:t>
      </w:r>
      <w:r w:rsidRPr="00901DF7" w:rsidR="002D0CEF">
        <w:rPr>
          <w:szCs w:val="26"/>
        </w:rPr>
        <w:t xml:space="preserve"> </w:t>
      </w:r>
      <w:r w:rsidR="000151E9">
        <w:rPr>
          <w:szCs w:val="26"/>
        </w:rPr>
        <w:t>sought to address</w:t>
      </w:r>
      <w:r w:rsidRPr="00901DF7" w:rsidR="002D0CEF">
        <w:rPr>
          <w:szCs w:val="26"/>
        </w:rPr>
        <w:t xml:space="preserve"> the </w:t>
      </w:r>
      <w:r w:rsidRPr="00901DF7" w:rsidR="00A87496">
        <w:rPr>
          <w:szCs w:val="26"/>
        </w:rPr>
        <w:t xml:space="preserve">recidivism </w:t>
      </w:r>
      <w:r w:rsidRPr="00901DF7" w:rsidR="00E830AE">
        <w:rPr>
          <w:szCs w:val="26"/>
        </w:rPr>
        <w:t>concerns wrought by One Strike</w:t>
      </w:r>
      <w:r w:rsidRPr="00901DF7" w:rsidR="00D43F9B">
        <w:rPr>
          <w:szCs w:val="26"/>
        </w:rPr>
        <w:t xml:space="preserve"> offende</w:t>
      </w:r>
      <w:r w:rsidRPr="00901DF7" w:rsidR="00E830AE">
        <w:rPr>
          <w:szCs w:val="26"/>
        </w:rPr>
        <w:t>rs</w:t>
      </w:r>
      <w:r w:rsidRPr="00901DF7" w:rsidR="002D0CEF">
        <w:rPr>
          <w:szCs w:val="26"/>
        </w:rPr>
        <w:t xml:space="preserve">, adding </w:t>
      </w:r>
      <w:r w:rsidRPr="00901DF7" w:rsidR="00C717BA">
        <w:rPr>
          <w:szCs w:val="26"/>
        </w:rPr>
        <w:t xml:space="preserve">that </w:t>
      </w:r>
      <w:r w:rsidRPr="00901DF7" w:rsidR="008318D8">
        <w:rPr>
          <w:szCs w:val="26"/>
        </w:rPr>
        <w:t>an</w:t>
      </w:r>
      <w:r w:rsidRPr="00901DF7" w:rsidR="00392B95">
        <w:rPr>
          <w:szCs w:val="26"/>
        </w:rPr>
        <w:t xml:space="preserve"> </w:t>
      </w:r>
      <w:r w:rsidRPr="00901DF7" w:rsidR="00C717BA">
        <w:rPr>
          <w:szCs w:val="26"/>
        </w:rPr>
        <w:t>ancillary</w:t>
      </w:r>
      <w:r w:rsidRPr="00901DF7" w:rsidR="003D64F6">
        <w:rPr>
          <w:szCs w:val="26"/>
        </w:rPr>
        <w:t xml:space="preserve"> </w:t>
      </w:r>
      <w:r w:rsidRPr="00901DF7" w:rsidR="00862600">
        <w:rPr>
          <w:szCs w:val="26"/>
        </w:rPr>
        <w:t xml:space="preserve">goal </w:t>
      </w:r>
      <w:r w:rsidRPr="00901DF7" w:rsidR="00C717BA">
        <w:rPr>
          <w:szCs w:val="26"/>
        </w:rPr>
        <w:t xml:space="preserve">was </w:t>
      </w:r>
      <w:r w:rsidRPr="00901DF7" w:rsidR="00862600">
        <w:rPr>
          <w:szCs w:val="26"/>
        </w:rPr>
        <w:t xml:space="preserve">to eliminate the availability of </w:t>
      </w:r>
      <w:r w:rsidRPr="00901DF7" w:rsidR="009010E1">
        <w:rPr>
          <w:szCs w:val="26"/>
        </w:rPr>
        <w:t xml:space="preserve">early </w:t>
      </w:r>
      <w:r w:rsidRPr="00901DF7" w:rsidR="00862600">
        <w:rPr>
          <w:szCs w:val="26"/>
        </w:rPr>
        <w:t xml:space="preserve">parole for these offenders.  </w:t>
      </w:r>
      <w:r w:rsidRPr="00901DF7" w:rsidR="009D7152">
        <w:rPr>
          <w:szCs w:val="26"/>
        </w:rPr>
        <w:t>(See</w:t>
      </w:r>
      <w:r w:rsidR="00B030D7">
        <w:rPr>
          <w:szCs w:val="26"/>
        </w:rPr>
        <w:t>, e.g.,</w:t>
      </w:r>
      <w:r w:rsidRPr="00901DF7" w:rsidR="005E4F23">
        <w:rPr>
          <w:color w:val="000000"/>
          <w:szCs w:val="26"/>
        </w:rPr>
        <w:t xml:space="preserve"> </w:t>
      </w:r>
      <w:r w:rsidRPr="00901DF7" w:rsidR="004C7F1F">
        <w:rPr>
          <w:szCs w:val="26"/>
        </w:rPr>
        <w:t xml:space="preserve">Voter </w:t>
      </w:r>
      <w:r w:rsidR="00565B1A">
        <w:rPr>
          <w:szCs w:val="26"/>
        </w:rPr>
        <w:t xml:space="preserve">Information </w:t>
      </w:r>
      <w:r w:rsidRPr="00901DF7" w:rsidR="004C7F1F">
        <w:rPr>
          <w:szCs w:val="26"/>
        </w:rPr>
        <w:t>Guide on Prop. 83</w:t>
      </w:r>
      <w:r w:rsidRPr="00901DF7" w:rsidR="00361152">
        <w:rPr>
          <w:szCs w:val="26"/>
        </w:rPr>
        <w:t xml:space="preserve">, </w:t>
      </w:r>
      <w:r w:rsidRPr="00901DF7" w:rsidR="00361152">
        <w:rPr>
          <w:i/>
          <w:iCs/>
          <w:szCs w:val="26"/>
        </w:rPr>
        <w:t>supra</w:t>
      </w:r>
      <w:r w:rsidRPr="00901DF7" w:rsidR="00361152">
        <w:rPr>
          <w:szCs w:val="26"/>
        </w:rPr>
        <w:t xml:space="preserve">, </w:t>
      </w:r>
      <w:r w:rsidR="00565B1A">
        <w:rPr>
          <w:szCs w:val="26"/>
        </w:rPr>
        <w:t>argument in favor of Prop. 83</w:t>
      </w:r>
      <w:r w:rsidR="004200ED">
        <w:rPr>
          <w:szCs w:val="26"/>
        </w:rPr>
        <w:t xml:space="preserve">, </w:t>
      </w:r>
      <w:r w:rsidRPr="00901DF7" w:rsidR="00361152">
        <w:rPr>
          <w:szCs w:val="26"/>
        </w:rPr>
        <w:t>at p. 46</w:t>
      </w:r>
      <w:r w:rsidRPr="00901DF7" w:rsidR="004C7F1F">
        <w:rPr>
          <w:szCs w:val="26"/>
        </w:rPr>
        <w:t xml:space="preserve"> [</w:t>
      </w:r>
      <w:r w:rsidRPr="00901DF7" w:rsidR="003610B6">
        <w:rPr>
          <w:szCs w:val="26"/>
        </w:rPr>
        <w:t>Prop. 83 would</w:t>
      </w:r>
      <w:r w:rsidRPr="00901DF7" w:rsidR="005608FF">
        <w:rPr>
          <w:szCs w:val="26"/>
        </w:rPr>
        <w:t xml:space="preserve"> </w:t>
      </w:r>
      <w:r w:rsidRPr="00901DF7" w:rsidR="004C7F1F">
        <w:rPr>
          <w:color w:val="000000"/>
          <w:szCs w:val="26"/>
        </w:rPr>
        <w:t>“[r]equire dangerous sex offenders to</w:t>
      </w:r>
      <w:r w:rsidRPr="00901DF7" w:rsidR="004C7F1F">
        <w:rPr>
          <w:i/>
          <w:iCs/>
          <w:color w:val="000000"/>
          <w:szCs w:val="26"/>
        </w:rPr>
        <w:t xml:space="preserve"> serve their entire sentence</w:t>
      </w:r>
      <w:r w:rsidRPr="00901DF7" w:rsidR="004C7F1F">
        <w:rPr>
          <w:color w:val="000000"/>
          <w:szCs w:val="26"/>
        </w:rPr>
        <w:t xml:space="preserve"> and not be released early for any reason”</w:t>
      </w:r>
      <w:r w:rsidRPr="00901DF7" w:rsidR="00361152">
        <w:rPr>
          <w:color w:val="000000"/>
          <w:szCs w:val="26"/>
        </w:rPr>
        <w:t>]</w:t>
      </w:r>
      <w:r w:rsidRPr="00901DF7" w:rsidR="009D7152">
        <w:rPr>
          <w:color w:val="000000"/>
          <w:szCs w:val="26"/>
        </w:rPr>
        <w:t>.)</w:t>
      </w:r>
      <w:r w:rsidRPr="00901DF7" w:rsidR="000549B8">
        <w:rPr>
          <w:color w:val="000000"/>
          <w:szCs w:val="26"/>
        </w:rPr>
        <w:t xml:space="preserve">  </w:t>
      </w:r>
      <w:r w:rsidR="00B030D7">
        <w:rPr>
          <w:color w:val="000000"/>
          <w:szCs w:val="26"/>
        </w:rPr>
        <w:t xml:space="preserve">In light of </w:t>
      </w:r>
      <w:r w:rsidRPr="00901DF7" w:rsidR="000549B8">
        <w:rPr>
          <w:color w:val="000000"/>
          <w:szCs w:val="26"/>
        </w:rPr>
        <w:t>th</w:t>
      </w:r>
      <w:r w:rsidRPr="00901DF7" w:rsidR="00A23EA5">
        <w:rPr>
          <w:color w:val="000000"/>
          <w:szCs w:val="26"/>
        </w:rPr>
        <w:t>is</w:t>
      </w:r>
      <w:r w:rsidRPr="00901DF7" w:rsidR="000549B8">
        <w:rPr>
          <w:color w:val="000000"/>
          <w:szCs w:val="26"/>
        </w:rPr>
        <w:t xml:space="preserve"> purpose of the One Strike law, </w:t>
      </w:r>
      <w:r w:rsidR="00B40FEB">
        <w:rPr>
          <w:color w:val="000000"/>
          <w:szCs w:val="26"/>
        </w:rPr>
        <w:t xml:space="preserve">it is reasonable that the Legislature </w:t>
      </w:r>
      <w:r w:rsidRPr="00901DF7" w:rsidR="000549B8">
        <w:rPr>
          <w:color w:val="000000"/>
          <w:szCs w:val="26"/>
        </w:rPr>
        <w:t xml:space="preserve">excluded </w:t>
      </w:r>
      <w:r w:rsidR="00B40FEB">
        <w:rPr>
          <w:color w:val="000000"/>
          <w:szCs w:val="26"/>
        </w:rPr>
        <w:t xml:space="preserve">those offenders it considered </w:t>
      </w:r>
      <w:r w:rsidRPr="00901DF7" w:rsidR="005E4F23">
        <w:rPr>
          <w:color w:val="000000"/>
          <w:szCs w:val="26"/>
        </w:rPr>
        <w:t xml:space="preserve">serious and dangerous </w:t>
      </w:r>
      <w:r w:rsidRPr="00901DF7" w:rsidR="000549B8">
        <w:rPr>
          <w:color w:val="000000"/>
          <w:szCs w:val="26"/>
        </w:rPr>
        <w:t xml:space="preserve">from seeking early release under section 3051 even </w:t>
      </w:r>
      <w:r w:rsidRPr="00901DF7" w:rsidR="005A1CCE">
        <w:rPr>
          <w:color w:val="000000"/>
          <w:szCs w:val="26"/>
        </w:rPr>
        <w:t xml:space="preserve">though </w:t>
      </w:r>
      <w:r w:rsidRPr="00901DF7" w:rsidR="000549B8">
        <w:rPr>
          <w:color w:val="000000"/>
          <w:szCs w:val="26"/>
        </w:rPr>
        <w:t xml:space="preserve">they committed the controlling offense </w:t>
      </w:r>
      <w:r w:rsidR="000151E9">
        <w:rPr>
          <w:color w:val="000000"/>
          <w:szCs w:val="26"/>
        </w:rPr>
        <w:t>as young adults below the age of 26.</w:t>
      </w:r>
      <w:r w:rsidR="00E418EB">
        <w:t xml:space="preserve">  </w:t>
      </w:r>
    </w:p>
    <w:p w:rsidR="00DD59B3" w:rsidRPr="00901DF7" w:rsidP="00901DF7" w14:paraId="4D31186A" w14:textId="306DE7A9">
      <w:pPr>
        <w:pStyle w:val="Heading1"/>
      </w:pPr>
      <w:r w:rsidRPr="00901DF7">
        <w:t>Conclusion</w:t>
      </w:r>
    </w:p>
    <w:p w:rsidR="003342F5" w:rsidRPr="00901DF7" w:rsidP="00901DF7" w14:paraId="56A2756D" w14:textId="2973D114">
      <w:pPr>
        <w:tabs>
          <w:tab w:val="left" w:pos="720"/>
          <w:tab w:val="left" w:pos="1440"/>
        </w:tabs>
      </w:pPr>
      <w:r w:rsidRPr="00901DF7">
        <w:rPr>
          <w:szCs w:val="26"/>
        </w:rPr>
        <w:tab/>
      </w:r>
      <w:r w:rsidRPr="00901DF7">
        <w:t xml:space="preserve">In sum, we conclude </w:t>
      </w:r>
      <w:bookmarkStart w:id="12" w:name="_Hlk167710689"/>
      <w:r w:rsidRPr="00901DF7">
        <w:t xml:space="preserve">that the </w:t>
      </w:r>
      <w:r w:rsidRPr="00901DF7" w:rsidR="00BB4F65">
        <w:t xml:space="preserve">Legislature may reasonably have </w:t>
      </w:r>
      <w:r w:rsidR="0029383B">
        <w:t>found</w:t>
      </w:r>
      <w:r w:rsidRPr="00901DF7" w:rsidR="0029383B">
        <w:t xml:space="preserve"> </w:t>
      </w:r>
      <w:r w:rsidRPr="00901DF7" w:rsidR="00BB4F65">
        <w:t xml:space="preserve">that One Strike offenders pose an increased </w:t>
      </w:r>
      <w:r w:rsidRPr="00901DF7">
        <w:t xml:space="preserve">risk of recidivism and </w:t>
      </w:r>
      <w:r w:rsidRPr="00901DF7" w:rsidR="00BB4F65">
        <w:t xml:space="preserve">that </w:t>
      </w:r>
      <w:r w:rsidRPr="00901DF7">
        <w:t xml:space="preserve">the aggravated nature of </w:t>
      </w:r>
      <w:r w:rsidRPr="00901DF7" w:rsidR="00BB4F65">
        <w:t>their offenses diminishes their prospects for rehabilitation.  Such concerns are sufficient to justify</w:t>
      </w:r>
      <w:r w:rsidR="00E418EB">
        <w:t xml:space="preserve"> </w:t>
      </w:r>
      <w:r w:rsidRPr="00901DF7">
        <w:t>the Legislature’s decision to make One Strike</w:t>
      </w:r>
      <w:r w:rsidRPr="00901DF7" w:rsidR="00D43F9B">
        <w:t xml:space="preserve"> offender</w:t>
      </w:r>
      <w:r w:rsidRPr="00901DF7">
        <w:t>s categorically ineligible for youth offender parole consideration</w:t>
      </w:r>
      <w:r w:rsidRPr="00901DF7" w:rsidR="00BC25E6">
        <w:t xml:space="preserve"> under section 3051(h)</w:t>
      </w:r>
      <w:bookmarkEnd w:id="12"/>
      <w:r w:rsidRPr="00901DF7">
        <w:t>.</w:t>
      </w:r>
      <w:r w:rsidR="00E418EB">
        <w:t xml:space="preserve"> </w:t>
      </w:r>
      <w:r w:rsidRPr="00901DF7">
        <w:t xml:space="preserve"> In creating a mechanism for youth offenders to be considered for early release under section 3051, the Legislature rationally chose not to extend that opportunity to </w:t>
      </w:r>
      <w:r w:rsidRPr="00901DF7" w:rsidR="00082BD7">
        <w:t xml:space="preserve">young adult </w:t>
      </w:r>
      <w:r w:rsidRPr="00901DF7">
        <w:t>One Strike offenders like defendant, who</w:t>
      </w:r>
      <w:r w:rsidR="00B40FEB">
        <w:t xml:space="preserve">m it considered </w:t>
      </w:r>
      <w:r w:rsidR="006150A2">
        <w:t xml:space="preserve">the </w:t>
      </w:r>
      <w:r w:rsidRPr="00901DF7">
        <w:t>most likely to reoffend and the least likely to rehabilitate</w:t>
      </w:r>
      <w:r w:rsidR="00704C61">
        <w:t>.</w:t>
      </w:r>
      <w:r w:rsidRPr="00901DF7" w:rsidR="000151E9">
        <w:t xml:space="preserve">  </w:t>
      </w:r>
      <w:r w:rsidRPr="00901DF7" w:rsidR="00BB4F65">
        <w:t>Therefore, whether considered an as-applied or facial challenge, defendant’s equal protection c</w:t>
      </w:r>
      <w:r w:rsidRPr="00901DF7" w:rsidR="00C60B6F">
        <w:t>laim</w:t>
      </w:r>
      <w:r w:rsidRPr="00901DF7" w:rsidR="00BB4F65">
        <w:t xml:space="preserve"> fails.</w:t>
      </w:r>
      <w:r w:rsidRPr="00901DF7">
        <w:t xml:space="preserve"> </w:t>
      </w:r>
    </w:p>
    <w:p w:rsidR="00BC0F3E" w:rsidRPr="00901DF7" w:rsidP="00704C61" w14:paraId="3E5917BE" w14:textId="79958658">
      <w:pPr>
        <w:rPr>
          <w:b/>
          <w:smallCaps/>
        </w:rPr>
      </w:pPr>
      <w:r w:rsidRPr="00901DF7">
        <w:tab/>
      </w:r>
      <w:r w:rsidRPr="00901DF7" w:rsidR="00AD175D">
        <w:rPr>
          <w:color w:val="000000"/>
          <w:szCs w:val="26"/>
        </w:rPr>
        <w:t>We</w:t>
      </w:r>
      <w:r w:rsidRPr="00901DF7" w:rsidR="002A6E64">
        <w:rPr>
          <w:color w:val="000000"/>
          <w:szCs w:val="26"/>
        </w:rPr>
        <w:t xml:space="preserve"> reiterate that “[i]t is not for us to pass judgment on the wisdom or desirability of [the Legislature’s] policy choices.”  (</w:t>
      </w:r>
      <w:r w:rsidRPr="00901DF7" w:rsidR="002A6E64">
        <w:rPr>
          <w:i/>
          <w:iCs/>
          <w:color w:val="000000"/>
          <w:szCs w:val="26"/>
        </w:rPr>
        <w:t>Hardin</w:t>
      </w:r>
      <w:r w:rsidRPr="00901DF7" w:rsidR="002A6E64">
        <w:rPr>
          <w:color w:val="000000"/>
          <w:szCs w:val="26"/>
        </w:rPr>
        <w:t xml:space="preserve">, </w:t>
      </w:r>
      <w:r w:rsidRPr="00901DF7" w:rsidR="002A6E64">
        <w:rPr>
          <w:i/>
          <w:iCs/>
          <w:color w:val="000000"/>
          <w:szCs w:val="26"/>
        </w:rPr>
        <w:t>supra</w:t>
      </w:r>
      <w:r w:rsidRPr="00901DF7" w:rsidR="002A6E64">
        <w:rPr>
          <w:color w:val="000000"/>
          <w:szCs w:val="26"/>
        </w:rPr>
        <w:t xml:space="preserve">, </w:t>
      </w:r>
      <w:r w:rsidRPr="00901DF7" w:rsidR="0073603E">
        <w:rPr>
          <w:color w:val="000000"/>
          <w:szCs w:val="26"/>
        </w:rPr>
        <w:t xml:space="preserve">15 </w:t>
      </w:r>
      <w:r w:rsidRPr="00901DF7" w:rsidR="002A6E64">
        <w:rPr>
          <w:color w:val="000000"/>
          <w:szCs w:val="26"/>
        </w:rPr>
        <w:t xml:space="preserve">Cal.5th </w:t>
      </w:r>
      <w:r w:rsidRPr="00901DF7" w:rsidR="00EE2588">
        <w:rPr>
          <w:color w:val="000000"/>
          <w:szCs w:val="26"/>
        </w:rPr>
        <w:t>at p. 8</w:t>
      </w:r>
      <w:r w:rsidR="0029383B">
        <w:rPr>
          <w:color w:val="000000"/>
          <w:szCs w:val="26"/>
        </w:rPr>
        <w:t>64</w:t>
      </w:r>
      <w:r w:rsidRPr="00901DF7" w:rsidR="002A6E64">
        <w:rPr>
          <w:color w:val="000000"/>
          <w:szCs w:val="26"/>
        </w:rPr>
        <w:t>.)  Our task is “limited”</w:t>
      </w:r>
      <w:r w:rsidRPr="00901DF7" w:rsidR="00EE2588">
        <w:rPr>
          <w:color w:val="000000"/>
          <w:szCs w:val="26"/>
        </w:rPr>
        <w:t xml:space="preserve"> (</w:t>
      </w:r>
      <w:r w:rsidRPr="00901DF7" w:rsidR="00EE2588">
        <w:rPr>
          <w:i/>
          <w:iCs/>
          <w:color w:val="000000"/>
          <w:szCs w:val="26"/>
        </w:rPr>
        <w:t>id</w:t>
      </w:r>
      <w:r w:rsidRPr="00901DF7" w:rsidR="00EE2588">
        <w:rPr>
          <w:color w:val="000000"/>
          <w:szCs w:val="26"/>
        </w:rPr>
        <w:t>. at p. 866)</w:t>
      </w:r>
      <w:r w:rsidRPr="00901DF7" w:rsidR="002A6E64">
        <w:rPr>
          <w:color w:val="000000"/>
          <w:szCs w:val="26"/>
        </w:rPr>
        <w:t xml:space="preserve"> </w:t>
      </w:r>
      <w:r w:rsidRPr="00901DF7" w:rsidR="00BB4F65">
        <w:rPr>
          <w:color w:val="000000"/>
          <w:szCs w:val="26"/>
        </w:rPr>
        <w:t xml:space="preserve">to determining </w:t>
      </w:r>
      <w:r w:rsidRPr="00901DF7" w:rsidR="002A6E64">
        <w:rPr>
          <w:color w:val="000000"/>
          <w:szCs w:val="26"/>
        </w:rPr>
        <w:t xml:space="preserve">whether the Legislature’s decision to exclude One Strike </w:t>
      </w:r>
      <w:r w:rsidRPr="00901DF7" w:rsidR="00FC412B">
        <w:rPr>
          <w:color w:val="000000"/>
          <w:szCs w:val="26"/>
        </w:rPr>
        <w:t xml:space="preserve">young adult </w:t>
      </w:r>
      <w:r w:rsidRPr="00901DF7" w:rsidR="002A6E64">
        <w:rPr>
          <w:color w:val="000000"/>
          <w:szCs w:val="26"/>
        </w:rPr>
        <w:t xml:space="preserve">offenders but not </w:t>
      </w:r>
      <w:r w:rsidRPr="00901DF7" w:rsidR="00FC412B">
        <w:rPr>
          <w:color w:val="000000"/>
          <w:szCs w:val="26"/>
        </w:rPr>
        <w:t xml:space="preserve">young adults convicted of </w:t>
      </w:r>
      <w:r w:rsidRPr="00901DF7" w:rsidR="002A6E64">
        <w:rPr>
          <w:color w:val="000000"/>
          <w:szCs w:val="26"/>
        </w:rPr>
        <w:t>murder from youth offender parole hearings under section 3051 violates equal protection under a rational basis test</w:t>
      </w:r>
      <w:r w:rsidRPr="00901DF7" w:rsidR="00D43F9B">
        <w:rPr>
          <w:color w:val="000000"/>
          <w:szCs w:val="26"/>
        </w:rPr>
        <w:t>.</w:t>
      </w:r>
      <w:r w:rsidRPr="00901DF7">
        <w:rPr>
          <w:color w:val="000000"/>
          <w:szCs w:val="26"/>
        </w:rPr>
        <w:t xml:space="preserve"> </w:t>
      </w:r>
      <w:r w:rsidRPr="00901DF7" w:rsidR="006A6789">
        <w:rPr>
          <w:color w:val="000000"/>
          <w:szCs w:val="26"/>
        </w:rPr>
        <w:t xml:space="preserve"> </w:t>
      </w:r>
      <w:r w:rsidRPr="00901DF7" w:rsidR="00AD175D">
        <w:rPr>
          <w:color w:val="000000"/>
          <w:szCs w:val="26"/>
        </w:rPr>
        <w:t xml:space="preserve">We </w:t>
      </w:r>
      <w:r w:rsidRPr="00901DF7" w:rsidR="00BB4F65">
        <w:rPr>
          <w:color w:val="000000"/>
          <w:szCs w:val="26"/>
        </w:rPr>
        <w:t>conclude that it does not.</w:t>
      </w:r>
      <w:r>
        <w:rPr>
          <w:rStyle w:val="FootnoteReference"/>
          <w:color w:val="000000"/>
          <w:szCs w:val="26"/>
        </w:rPr>
        <w:footnoteReference w:id="15"/>
      </w:r>
    </w:p>
    <w:p w:rsidR="0014406F" w:rsidRPr="00901DF7" w:rsidP="00901DF7" w14:paraId="2657DADA" w14:textId="27107B5B">
      <w:pPr>
        <w:pStyle w:val="Heading1"/>
      </w:pPr>
      <w:r w:rsidRPr="00901DF7">
        <w:t>Disposition</w:t>
      </w:r>
    </w:p>
    <w:p w:rsidR="002A6E64" w:rsidRPr="00901DF7" w:rsidP="00C82B89" w14:paraId="7B3316AC" w14:textId="61DBB5DD">
      <w:pPr>
        <w:spacing w:after="0"/>
      </w:pPr>
      <w:r w:rsidRPr="00901DF7">
        <w:tab/>
      </w:r>
      <w:r w:rsidR="00415E4F">
        <w:t>W</w:t>
      </w:r>
      <w:r w:rsidRPr="00901DF7" w:rsidR="005608FF">
        <w:t xml:space="preserve">e </w:t>
      </w:r>
      <w:r w:rsidRPr="00901DF7">
        <w:t>affirm the Court of Appeal’s</w:t>
      </w:r>
      <w:r w:rsidR="00803EE5">
        <w:t xml:space="preserve"> judgment, but </w:t>
      </w:r>
      <w:r w:rsidR="008D3629">
        <w:t xml:space="preserve">remand the matter to the Court of Appeal </w:t>
      </w:r>
      <w:r w:rsidR="00803EE5">
        <w:t xml:space="preserve">with directions to determine whether </w:t>
      </w:r>
      <w:r w:rsidR="008D3629">
        <w:t xml:space="preserve">to consider any briefing on defendant’s entitlement to </w:t>
      </w:r>
      <w:r w:rsidR="007F70CD">
        <w:t xml:space="preserve">the benefit of </w:t>
      </w:r>
      <w:r w:rsidR="008D3629">
        <w:t xml:space="preserve">any ameliorative legislation </w:t>
      </w:r>
      <w:r w:rsidR="007F70CD">
        <w:t>enacted during the pendency of his appeal before this court.</w:t>
      </w:r>
    </w:p>
    <w:p w:rsidR="00800FBD" w:rsidRPr="007B67FC" w:rsidP="00C82B89" w14:paraId="2DFEA039" w14:textId="77777777">
      <w:pPr>
        <w:spacing w:before="100" w:beforeAutospacing="1" w:afterAutospacing="1" w:line="240" w:lineRule="auto"/>
        <w:ind w:left="5040"/>
        <w:rPr>
          <w:b/>
          <w:bCs/>
          <w:color w:val="212121"/>
          <w:szCs w:val="27"/>
        </w:rPr>
      </w:pPr>
      <w:r w:rsidRPr="007B67FC">
        <w:rPr>
          <w:b/>
          <w:bCs/>
          <w:color w:val="212121"/>
          <w:szCs w:val="27"/>
        </w:rPr>
        <w:t>JENKINS, J.</w:t>
      </w:r>
    </w:p>
    <w:p w:rsidR="00800FBD" w:rsidRPr="007B67FC" w:rsidP="0090088D" w14:paraId="1449E8E2" w14:textId="77777777">
      <w:pPr>
        <w:tabs>
          <w:tab w:val="left" w:pos="1440"/>
        </w:tabs>
        <w:spacing w:before="100" w:beforeAutospacing="1"/>
        <w:rPr>
          <w:b/>
          <w:bCs/>
          <w:szCs w:val="27"/>
        </w:rPr>
      </w:pPr>
      <w:r w:rsidRPr="007B67FC">
        <w:rPr>
          <w:b/>
          <w:bCs/>
          <w:szCs w:val="27"/>
        </w:rPr>
        <w:t>We Concur:</w:t>
      </w:r>
    </w:p>
    <w:p w:rsidR="00DF6464" w:rsidRPr="007B67FC" w:rsidP="00DF6464" w14:paraId="2A44DBA2" w14:textId="44938827">
      <w:pPr>
        <w:tabs>
          <w:tab w:val="left" w:pos="1440"/>
        </w:tabs>
        <w:spacing w:after="0" w:line="240" w:lineRule="auto"/>
        <w:rPr>
          <w:b/>
          <w:bCs/>
          <w:szCs w:val="27"/>
        </w:rPr>
      </w:pPr>
      <w:r>
        <w:rPr>
          <w:b/>
          <w:bCs/>
          <w:szCs w:val="27"/>
        </w:rPr>
        <w:t>GUERRERO</w:t>
      </w:r>
      <w:r w:rsidRPr="007B67FC">
        <w:rPr>
          <w:b/>
          <w:bCs/>
          <w:szCs w:val="27"/>
        </w:rPr>
        <w:t xml:space="preserve">, </w:t>
      </w:r>
      <w:r>
        <w:rPr>
          <w:b/>
          <w:bCs/>
          <w:szCs w:val="27"/>
        </w:rPr>
        <w:t xml:space="preserve">C. </w:t>
      </w:r>
      <w:r w:rsidRPr="007B67FC">
        <w:rPr>
          <w:b/>
          <w:bCs/>
          <w:szCs w:val="27"/>
        </w:rPr>
        <w:t>J.</w:t>
      </w:r>
    </w:p>
    <w:p w:rsidR="00800FBD" w:rsidRPr="007B67FC" w:rsidP="002B530E" w14:paraId="7277ECE8" w14:textId="77777777">
      <w:pPr>
        <w:tabs>
          <w:tab w:val="left" w:pos="1440"/>
        </w:tabs>
        <w:spacing w:after="0" w:line="240" w:lineRule="auto"/>
        <w:rPr>
          <w:b/>
          <w:bCs/>
          <w:szCs w:val="27"/>
        </w:rPr>
      </w:pPr>
      <w:r w:rsidRPr="007B67FC">
        <w:rPr>
          <w:b/>
          <w:bCs/>
          <w:szCs w:val="27"/>
        </w:rPr>
        <w:t>CORRIGAN, J.</w:t>
      </w:r>
    </w:p>
    <w:p w:rsidR="00800FBD" w:rsidRPr="007B67FC" w:rsidP="002B530E" w14:paraId="0DF35DDF" w14:textId="77777777">
      <w:pPr>
        <w:tabs>
          <w:tab w:val="left" w:pos="1440"/>
        </w:tabs>
        <w:spacing w:after="0" w:line="240" w:lineRule="auto"/>
        <w:rPr>
          <w:b/>
          <w:bCs/>
          <w:szCs w:val="27"/>
        </w:rPr>
      </w:pPr>
      <w:r w:rsidRPr="007B67FC">
        <w:rPr>
          <w:b/>
          <w:bCs/>
          <w:szCs w:val="27"/>
        </w:rPr>
        <w:t>KRUGER, J.</w:t>
      </w:r>
    </w:p>
    <w:p w:rsidR="008521B4" w:rsidP="002B530E" w14:paraId="520E7BF5" w14:textId="77777777">
      <w:pPr>
        <w:tabs>
          <w:tab w:val="left" w:pos="1440"/>
        </w:tabs>
        <w:spacing w:after="0" w:line="240" w:lineRule="auto"/>
        <w:rPr>
          <w:b/>
          <w:bCs/>
          <w:szCs w:val="27"/>
        </w:rPr>
        <w:sectPr w:rsidSect="00F31273">
          <w:footerReference w:type="first" r:id="rId8"/>
          <w:footnotePr>
            <w:numRestart w:val="eachSect"/>
          </w:footnotePr>
          <w:pgSz w:w="12240" w:h="15840" w:code="1"/>
          <w:pgMar w:top="1800" w:right="2160" w:bottom="1440" w:left="2160" w:header="720" w:footer="720" w:gutter="0"/>
          <w:pgNumType w:start="1"/>
          <w:cols w:space="720"/>
          <w:titlePg/>
          <w:docGrid w:linePitch="367"/>
        </w:sectPr>
      </w:pPr>
      <w:r w:rsidRPr="007B67FC">
        <w:rPr>
          <w:b/>
          <w:bCs/>
          <w:szCs w:val="27"/>
        </w:rPr>
        <w:t>GROBAN, J.</w:t>
      </w:r>
    </w:p>
    <w:p w:rsidR="00800FBD" w:rsidP="002B530E" w14:paraId="3606EAC6" w14:textId="4C9B0B96">
      <w:pPr>
        <w:tabs>
          <w:tab w:val="left" w:pos="1440"/>
        </w:tabs>
        <w:spacing w:after="0" w:line="240" w:lineRule="auto"/>
        <w:rPr>
          <w:b/>
          <w:bCs/>
          <w:color w:val="212121"/>
          <w:szCs w:val="27"/>
        </w:rPr>
      </w:pPr>
      <w:r>
        <w:rPr>
          <w:b/>
          <w:bCs/>
          <w:color w:val="212121"/>
          <w:szCs w:val="27"/>
        </w:rPr>
        <w:t>SMITH</w:t>
      </w:r>
      <w:r w:rsidRPr="007B67FC">
        <w:rPr>
          <w:b/>
          <w:bCs/>
          <w:color w:val="212121"/>
          <w:szCs w:val="27"/>
        </w:rPr>
        <w:t>, J.</w:t>
      </w:r>
      <w:r>
        <w:rPr>
          <w:rStyle w:val="FootnoteReference"/>
          <w:color w:val="212121"/>
          <w:szCs w:val="27"/>
        </w:rPr>
        <w:footnoteReference w:id="16"/>
      </w:r>
    </w:p>
    <w:p w:rsidR="00B754DE" w:rsidP="00C82B89" w14:paraId="5D2D4DD9" w14:textId="69FA8004">
      <w:pPr>
        <w:tabs>
          <w:tab w:val="left" w:pos="720"/>
          <w:tab w:val="left" w:pos="1440"/>
        </w:tabs>
        <w:spacing w:line="300" w:lineRule="exact"/>
        <w:rPr>
          <w:color w:val="212121"/>
          <w:szCs w:val="27"/>
        </w:rPr>
        <w:sectPr w:rsidSect="008521B4">
          <w:footnotePr>
            <w:numFmt w:val="chicago"/>
            <w:numRestart w:val="eachSect"/>
          </w:footnotePr>
          <w:type w:val="continuous"/>
          <w:pgSz w:w="12240" w:h="15840" w:code="1"/>
          <w:pgMar w:top="1800" w:right="2160" w:bottom="1440" w:left="2160" w:header="720" w:footer="720" w:gutter="0"/>
          <w:pgNumType w:start="1"/>
          <w:cols w:space="720"/>
          <w:titlePg/>
          <w:docGrid w:linePitch="367"/>
        </w:sectPr>
      </w:pPr>
    </w:p>
    <w:p w:rsidR="00922A9E" w:rsidRPr="00922A9E" w:rsidP="00922A9E" w14:paraId="3847C972" w14:textId="77777777">
      <w:pPr>
        <w:jc w:val="center"/>
        <w:rPr>
          <w:szCs w:val="26"/>
        </w:rPr>
      </w:pPr>
      <w:r w:rsidRPr="00922A9E">
        <w:rPr>
          <w:szCs w:val="26"/>
        </w:rPr>
        <w:t>PEOPLE v. WILLIAMS</w:t>
      </w:r>
    </w:p>
    <w:p w:rsidR="00922A9E" w:rsidRPr="00922A9E" w:rsidP="00922A9E" w14:paraId="3507ECFC" w14:textId="77777777">
      <w:pPr>
        <w:jc w:val="center"/>
        <w:rPr>
          <w:szCs w:val="26"/>
        </w:rPr>
      </w:pPr>
      <w:r w:rsidRPr="00922A9E">
        <w:rPr>
          <w:szCs w:val="26"/>
        </w:rPr>
        <w:t>S262229</w:t>
      </w:r>
    </w:p>
    <w:p w:rsidR="00922A9E" w:rsidRPr="00922A9E" w:rsidP="00922A9E" w14:paraId="0C1B5FD5" w14:textId="77777777">
      <w:pPr>
        <w:ind w:firstLine="720"/>
        <w:jc w:val="center"/>
        <w:rPr>
          <w:szCs w:val="26"/>
        </w:rPr>
      </w:pPr>
    </w:p>
    <w:p w:rsidR="00922A9E" w:rsidRPr="00922A9E" w:rsidP="00922A9E" w14:paraId="11383185" w14:textId="77777777">
      <w:pPr>
        <w:jc w:val="center"/>
        <w:rPr>
          <w:szCs w:val="26"/>
        </w:rPr>
      </w:pPr>
      <w:r w:rsidRPr="00922A9E">
        <w:rPr>
          <w:szCs w:val="26"/>
        </w:rPr>
        <w:t>Dissenting Opinion by Justice Liu</w:t>
      </w:r>
    </w:p>
    <w:p w:rsidR="00922A9E" w:rsidRPr="00922A9E" w:rsidP="00922A9E" w14:paraId="33D06534" w14:textId="77777777">
      <w:pPr>
        <w:ind w:firstLine="720"/>
        <w:jc w:val="center"/>
        <w:rPr>
          <w:szCs w:val="26"/>
        </w:rPr>
      </w:pPr>
    </w:p>
    <w:p w:rsidR="00922A9E" w:rsidRPr="00922A9E" w:rsidP="00922A9E" w14:paraId="5CC743F8" w14:textId="77777777">
      <w:pPr>
        <w:ind w:firstLine="720"/>
        <w:rPr>
          <w:szCs w:val="26"/>
        </w:rPr>
      </w:pPr>
      <w:r w:rsidRPr="00922A9E">
        <w:rPr>
          <w:szCs w:val="26"/>
        </w:rPr>
        <w:t xml:space="preserve">Defendant Jeremiah Williams is serving a sentence beyond his life expectancy for sex offenses he committed when he was 24 years old.  The Legislature, recognizing that brain development affecting judgment and decision-making is still ongoing in young adults, enacted the youth offender parole statute to account for “the diminished culpability of youth.”  (Pen. Code, § 3051, subd. (f)(1); all undesignated statutory references are to this code.)  The statute is intended to provide a parole mechanism “in accordance with” key precedents limiting punishment for youth offenders, including </w:t>
      </w:r>
      <w:r w:rsidRPr="00922A9E">
        <w:rPr>
          <w:i/>
          <w:iCs/>
        </w:rPr>
        <w:t>Miller v. Alabama</w:t>
      </w:r>
      <w:r w:rsidRPr="00922A9E">
        <w:t xml:space="preserve"> (2012) 567 U.S. 460, 473 (</w:t>
      </w:r>
      <w:r w:rsidRPr="00922A9E">
        <w:rPr>
          <w:i/>
          <w:iCs/>
        </w:rPr>
        <w:t>Miller</w:t>
      </w:r>
      <w:r w:rsidRPr="00922A9E">
        <w:t xml:space="preserve">), which explained </w:t>
      </w:r>
      <w:r w:rsidRPr="00922A9E">
        <w:rPr>
          <w:szCs w:val="26"/>
        </w:rPr>
        <w:t>that the attributes of youth are not “crime-specific.”  (</w:t>
      </w:r>
      <w:r w:rsidRPr="00922A9E">
        <w:t xml:space="preserve">Stats. 2013, ch. 312, § 1.)  </w:t>
      </w:r>
      <w:r w:rsidRPr="00922A9E">
        <w:rPr>
          <w:szCs w:val="26"/>
        </w:rPr>
        <w:t>Despite this stated intent and Williams’s age at the time of his offenses, he is not eligible for a youth offender parole hearing because he was sentenced under the One Strike law.  (§ 667.61; see § 3051, subd. (h).)  The question is whether the Legislature had a rational basis for excluding young adult One Strike offenders from a parole scheme that gives other young adult offenders, including many convicted of murder, a meaningful opportunity for release.</w:t>
      </w:r>
    </w:p>
    <w:p w:rsidR="00922A9E" w:rsidRPr="00922A9E" w:rsidP="00922A9E" w14:paraId="63877741" w14:textId="77777777">
      <w:pPr>
        <w:ind w:firstLine="720"/>
        <w:rPr>
          <w:color w:val="000000"/>
          <w:szCs w:val="26"/>
        </w:rPr>
      </w:pPr>
      <w:r w:rsidRPr="00922A9E">
        <w:rPr>
          <w:szCs w:val="26"/>
        </w:rPr>
        <w:t xml:space="preserve">From a certain point of view, this might be considered an easy question.  </w:t>
      </w:r>
      <w:r w:rsidRPr="00922A9E">
        <w:rPr>
          <w:color w:val="000000"/>
          <w:szCs w:val="26"/>
        </w:rPr>
        <w:t>No one disputes that the aggravated sex offenses covered by the One Strike law, including the crimes Williams committed, are abhorrent and deserve harsh punishment.  Sex crimes evoke public outrage, disgust, and condemnation.  And sex offenders are surely among the most despised groups in our society.  One might think it is perfectly rational for the Legislature to give effect to these public attitudes by excluding One Strike offenders like Williams from the youth offender parole scheme.</w:t>
      </w:r>
    </w:p>
    <w:p w:rsidR="00922A9E" w:rsidRPr="00922A9E" w:rsidP="00922A9E" w14:paraId="5EF6E39C" w14:textId="77777777">
      <w:pPr>
        <w:ind w:firstLine="720"/>
        <w:rPr>
          <w:color w:val="000000"/>
          <w:szCs w:val="26"/>
        </w:rPr>
      </w:pPr>
      <w:r w:rsidRPr="00922A9E">
        <w:rPr>
          <w:color w:val="000000"/>
          <w:szCs w:val="26"/>
        </w:rPr>
        <w:t>But the rational basis test in equal protection doctrine does not deem it “rational” for the Legislature to simply act on public fears or perceptions.  Under rational basis review, a law that disadvantages a particular group cannot be justified on the basis of “mere negative attitudes,” “fear [that is] unsubstantiated,” or “irrational prejudice” directed against that group.  (</w:t>
      </w:r>
      <w:r w:rsidRPr="00922A9E">
        <w:rPr>
          <w:i/>
          <w:iCs/>
        </w:rPr>
        <w:t>City of Cleburne v. Cleburne Living Center</w:t>
      </w:r>
      <w:r w:rsidRPr="00922A9E">
        <w:t xml:space="preserve"> (1985) 473 U.S. 432, 448, 450 (</w:t>
      </w:r>
      <w:r w:rsidRPr="00922A9E">
        <w:rPr>
          <w:i/>
          <w:iCs/>
        </w:rPr>
        <w:t>Cleburne</w:t>
      </w:r>
      <w:r w:rsidRPr="00922A9E">
        <w:t xml:space="preserve">); see </w:t>
      </w:r>
      <w:r w:rsidRPr="00922A9E">
        <w:rPr>
          <w:i/>
          <w:iCs/>
          <w:color w:val="000000"/>
          <w:szCs w:val="26"/>
        </w:rPr>
        <w:t>Parr v. Municipal Court</w:t>
      </w:r>
      <w:r w:rsidRPr="00922A9E">
        <w:rPr>
          <w:color w:val="000000"/>
          <w:szCs w:val="26"/>
        </w:rPr>
        <w:t xml:space="preserve"> (1971) 3 Cal.3d 861, 865 (</w:t>
      </w:r>
      <w:r w:rsidRPr="00922A9E">
        <w:rPr>
          <w:i/>
          <w:iCs/>
          <w:color w:val="000000"/>
          <w:szCs w:val="26"/>
        </w:rPr>
        <w:t>Parr</w:t>
      </w:r>
      <w:r w:rsidRPr="00922A9E">
        <w:rPr>
          <w:color w:val="000000"/>
          <w:szCs w:val="26"/>
        </w:rPr>
        <w:t>)</w:t>
      </w:r>
      <w:r w:rsidRPr="00922A9E">
        <w:t>.)</w:t>
      </w:r>
      <w:r w:rsidRPr="00922A9E">
        <w:rPr>
          <w:color w:val="000000"/>
          <w:szCs w:val="26"/>
        </w:rPr>
        <w:t xml:space="preserve">  A challenged classification must instead serve a legitimate public purpose and reflect a rational policy judgment.</w:t>
      </w:r>
    </w:p>
    <w:p w:rsidR="00922A9E" w:rsidRPr="00922A9E" w:rsidP="00922A9E" w14:paraId="4086C032" w14:textId="77777777">
      <w:pPr>
        <w:ind w:firstLine="720"/>
        <w:rPr>
          <w:color w:val="000000"/>
          <w:szCs w:val="26"/>
        </w:rPr>
      </w:pPr>
      <w:r w:rsidRPr="00922A9E">
        <w:rPr>
          <w:color w:val="000000"/>
          <w:szCs w:val="26"/>
        </w:rPr>
        <w:t>Whether the One Strike exclusion reflects such rationality does not appear to be an easy question, judging from the length of today’s opinion.  In my view, the court’s labored effort to rationalize the One Strike exclusion does not bear fruit.  The problem begins — and largely ends — with the Legislature’s express recognition that young adult offenders, whatever their crime, have diminished culpability and are capable of growth and rehabilitation.  The Legislature made clear its intent to create a parole scheme in accordance with that insight.  That being the case, how was it rational for the Legislature to exclude One Strike offenders from youth offender parole eligibility?  The court hypothesizes a rationale that fuses concerns about the aggravated nature of One Strike offenses with concerns about recidivism.  As I explain below, this hypothesis does not withstand scrutiny and does not dispel the genuine risk that the One Strike exclusion has more to do with irrational prejudice than rational policy judgment.</w:t>
      </w:r>
    </w:p>
    <w:p w:rsidR="00922A9E" w:rsidRPr="00922A9E" w:rsidP="00922A9E" w14:paraId="0C8826EB" w14:textId="77777777">
      <w:pPr>
        <w:ind w:firstLine="720"/>
        <w:rPr>
          <w:color w:val="000000"/>
          <w:szCs w:val="26"/>
        </w:rPr>
      </w:pPr>
      <w:r w:rsidRPr="00922A9E">
        <w:rPr>
          <w:color w:val="000000"/>
          <w:szCs w:val="26"/>
        </w:rPr>
        <w:t xml:space="preserve">The defendant in this case stands convicted of heinous crimes, and public hostility toward sex offenders is palpable in the history of the One Strike law.  (See maj. opn., </w:t>
      </w:r>
      <w:r w:rsidRPr="00922A9E">
        <w:rPr>
          <w:i/>
          <w:iCs/>
          <w:color w:val="000000"/>
          <w:szCs w:val="26"/>
        </w:rPr>
        <w:t>ante</w:t>
      </w:r>
      <w:r w:rsidRPr="00922A9E">
        <w:rPr>
          <w:color w:val="000000"/>
          <w:szCs w:val="26"/>
        </w:rPr>
        <w:t>, at pp. 13–17.)  But public hostility, the court agrees, does not itself supply a rational basis for the Legislature to exclude One Strike offenders from youth offender parole eligibility.  Equal protection of the laws requires more.  As the statute comes to us, there is nothing more that shows the Legislature properly discharged its “duty to govern impartially” (</w:t>
      </w:r>
      <w:r w:rsidRPr="00922A9E">
        <w:rPr>
          <w:i/>
          <w:iCs/>
          <w:color w:val="000000"/>
          <w:szCs w:val="26"/>
        </w:rPr>
        <w:t>Cleburne</w:t>
      </w:r>
      <w:r w:rsidRPr="00922A9E">
        <w:rPr>
          <w:color w:val="000000"/>
          <w:szCs w:val="26"/>
        </w:rPr>
        <w:t xml:space="preserve">, </w:t>
      </w:r>
      <w:r w:rsidRPr="00922A9E">
        <w:rPr>
          <w:i/>
          <w:iCs/>
          <w:color w:val="000000"/>
          <w:szCs w:val="26"/>
        </w:rPr>
        <w:t>supra</w:t>
      </w:r>
      <w:r w:rsidRPr="00922A9E">
        <w:rPr>
          <w:color w:val="000000"/>
          <w:szCs w:val="26"/>
        </w:rPr>
        <w:t>, 473 U.S. at p. 452 (conc. opn. of Stevens, J.)) when it excluded an especially despised subset of young offenders from the parole scheme.  I respectfully dissent.</w:t>
      </w:r>
    </w:p>
    <w:p w:rsidR="00922A9E" w:rsidRPr="00922A9E" w:rsidP="00922A9E" w14:paraId="5E49B64C" w14:textId="77777777">
      <w:pPr>
        <w:keepNext/>
        <w:spacing w:before="140" w:line="240" w:lineRule="atLeast"/>
        <w:jc w:val="center"/>
        <w:outlineLvl w:val="0"/>
        <w:rPr>
          <w:b/>
          <w:smallCaps/>
        </w:rPr>
      </w:pPr>
      <w:r w:rsidRPr="00922A9E">
        <w:rPr>
          <w:b/>
          <w:smallCaps/>
        </w:rPr>
        <w:t>I.</w:t>
      </w:r>
    </w:p>
    <w:p w:rsidR="00922A9E" w:rsidRPr="00922A9E" w:rsidP="00922A9E" w14:paraId="4CE372E7" w14:textId="77777777">
      <w:pPr>
        <w:ind w:firstLine="720"/>
      </w:pPr>
      <w:r w:rsidRPr="00922A9E">
        <w:t xml:space="preserve">As the court acknowledges (maj. opn., </w:t>
      </w:r>
      <w:r w:rsidRPr="00922A9E">
        <w:rPr>
          <w:i/>
          <w:iCs/>
        </w:rPr>
        <w:t>ante</w:t>
      </w:r>
      <w:r w:rsidRPr="00922A9E">
        <w:t>, at p. 25), equal protection analysis “must find some footing in the realities of the subject addressed by the legislation.”  (</w:t>
      </w:r>
      <w:r w:rsidRPr="00922A9E">
        <w:rPr>
          <w:i/>
          <w:iCs/>
        </w:rPr>
        <w:t xml:space="preserve">Heller v. Doe </w:t>
      </w:r>
      <w:r w:rsidRPr="00922A9E">
        <w:t xml:space="preserve">(1993) 509 U.S. 312, 321; see </w:t>
      </w:r>
      <w:r w:rsidRPr="00922A9E">
        <w:rPr>
          <w:i/>
          <w:iCs/>
        </w:rPr>
        <w:t>Johnson v. Department of Justice</w:t>
      </w:r>
      <w:r w:rsidRPr="00922A9E">
        <w:t xml:space="preserve"> (2015) 60 Cal.4th 871, 881.)  So I begin with some realities of which we must take cognizance in order to conduct an appropriate analysis in this case.</w:t>
      </w:r>
    </w:p>
    <w:p w:rsidR="00922A9E" w:rsidRPr="00922A9E" w:rsidP="00922A9E" w14:paraId="4CBBD3F8" w14:textId="77777777">
      <w:pPr>
        <w:ind w:firstLine="720"/>
      </w:pPr>
      <w:r w:rsidRPr="00922A9E">
        <w:t>There can be no dispute that the crimes covered by the One Strike law, including those committed by Williams, are serious, violent, and deserving of strict punishment.  “Along with other forms of sexual assault, rape belongs to that class of crimes against the person that can never adequately be redressed.  It is the quintessential ‘violation of the self’ [citation], the ultimate affront to the dignity of the human spirit.  As such, it is an offense against all humanity.”  (</w:t>
      </w:r>
      <w:r w:rsidRPr="00922A9E">
        <w:rPr>
          <w:i/>
          <w:iCs/>
        </w:rPr>
        <w:t>People v. Escobar</w:t>
      </w:r>
      <w:r w:rsidRPr="00922A9E">
        <w:t xml:space="preserve"> (1992) 3 Cal.4th 740, 743.)  Rape “is widely viewed as the most atrocious of intrusions upon the privacy and dignity of the victim; never is the crime committed accidentally; rarely can it be said to be unpremeditated; often the victim suffers serious physical injury; the psychological impact can often be as great as the physical consequences; in a real sense, the threat of both types of injury is always present.”  (</w:t>
      </w:r>
      <w:r w:rsidRPr="00922A9E">
        <w:rPr>
          <w:i/>
          <w:iCs/>
        </w:rPr>
        <w:t>Furman v. Georgia</w:t>
      </w:r>
      <w:r w:rsidRPr="00922A9E">
        <w:t xml:space="preserve"> (1972) 408 U.S. 238, 458–459 (dis. opn. of Powell, J.).)</w:t>
      </w:r>
    </w:p>
    <w:p w:rsidR="00922A9E" w:rsidRPr="00922A9E" w:rsidP="00922A9E" w14:paraId="5CBFB8F1" w14:textId="77777777">
      <w:pPr>
        <w:ind w:firstLine="720"/>
      </w:pPr>
      <w:r w:rsidRPr="00922A9E">
        <w:t xml:space="preserve">Although many crimes against persons involve severe injury and gross violations of personal autonomy, sex crimes are regarded as particularly depraved, “frequently inspiring extreme negative emotional reactions, such as disgust, fear, and moral outrage.”  (Olver &amp; Barlow, </w:t>
      </w:r>
      <w:r w:rsidRPr="00922A9E">
        <w:rPr>
          <w:i/>
          <w:iCs/>
        </w:rPr>
        <w:t>Public Attitudes Toward Sex Offenders and Their Relationship to Personality Traits and Demographic Characteristics</w:t>
      </w:r>
      <w:r w:rsidRPr="00922A9E">
        <w:t xml:space="preserve"> (2010) 28 Behavioral Science &amp; L. 832; </w:t>
      </w:r>
      <w:r w:rsidRPr="00922A9E">
        <w:rPr>
          <w:i/>
          <w:iCs/>
        </w:rPr>
        <w:t>ibid</w:t>
      </w:r>
      <w:r w:rsidRPr="00922A9E">
        <w:t xml:space="preserve">. [“Sex offenders tend to be a particularly reviled group of individuals in the public eye . . . .  This is particularly well exemplified by disparaging terms that abound in the media such as ‘predator,’ ‘monster,’ or ‘psychopath.’ ”].)  In one study, 50 California residents were interviewed regarding their attitudes toward “sexually violent predators” (SVPs).  (Williams, </w:t>
      </w:r>
      <w:r w:rsidRPr="00922A9E">
        <w:rPr>
          <w:i/>
          <w:iCs/>
        </w:rPr>
        <w:t xml:space="preserve">Constructing Hysteria:  Legal Signals as Producers of Siting Conflicts Over Sexually Violent Predator Placements </w:t>
      </w:r>
      <w:r w:rsidRPr="00922A9E">
        <w:t>(2018) 43 L. &amp; Social Inquiry 706, 706, 711–713.)  Some of the participants compared SVPs to “wild animals” and “pit bulls that repeatedly attack people.”  (</w:t>
      </w:r>
      <w:r w:rsidRPr="00922A9E">
        <w:rPr>
          <w:i/>
          <w:iCs/>
        </w:rPr>
        <w:t>Id</w:t>
      </w:r>
      <w:r w:rsidRPr="00922A9E">
        <w:t>. at p. 720.)  Others “perceived fundamental flaws in SVPs’ biological makeup,” describing “the problem with SVPs as ‘something in their DNA,’ ‘something [that] short-circuited in their brain,’ and as having ‘arrested development’ and ‘a sickness.’ ”  (</w:t>
      </w:r>
      <w:r w:rsidRPr="00922A9E">
        <w:rPr>
          <w:i/>
          <w:iCs/>
        </w:rPr>
        <w:t>Ibid</w:t>
      </w:r>
      <w:r w:rsidRPr="00922A9E">
        <w:t>.)  In short, “sex offenders are one of the most disfavored groups in our society.”  (</w:t>
      </w:r>
      <w:r w:rsidRPr="00922A9E">
        <w:rPr>
          <w:i/>
          <w:iCs/>
        </w:rPr>
        <w:t>Gundy v. United States</w:t>
      </w:r>
      <w:r w:rsidRPr="00922A9E">
        <w:t xml:space="preserve"> (2019) 588 U.S. 128, 172 (dis. opn. of Gorsuch, J.).)</w:t>
      </w:r>
    </w:p>
    <w:p w:rsidR="00922A9E" w:rsidRPr="00922A9E" w:rsidP="00922A9E" w14:paraId="4226EC50" w14:textId="77777777">
      <w:pPr>
        <w:ind w:firstLine="720"/>
      </w:pPr>
      <w:r w:rsidRPr="00922A9E">
        <w:t xml:space="preserve">The point is echoed by many commentators.  (See </w:t>
      </w:r>
      <w:r w:rsidRPr="00922A9E">
        <w:rPr>
          <w:color w:val="000000"/>
          <w:szCs w:val="26"/>
        </w:rPr>
        <w:t xml:space="preserve">Klein &amp; Cooper, </w:t>
      </w:r>
      <w:r w:rsidRPr="00922A9E">
        <w:rPr>
          <w:i/>
          <w:iCs/>
          <w:color w:val="000000"/>
          <w:szCs w:val="26"/>
        </w:rPr>
        <w:t>Punitive Attitudes Toward Sex Offenders: Do Moral Panics Cause Community Members to Be More Punitive?</w:t>
      </w:r>
      <w:r w:rsidRPr="00922A9E">
        <w:rPr>
          <w:color w:val="000000"/>
          <w:szCs w:val="26"/>
        </w:rPr>
        <w:t xml:space="preserve"> (2019) 30(6) Crim. J. Policy Review 948, 952 [collecting studies showing that “[s]ex offenders are often considered some of the most hated and feared criminal offenders” and a “commonly vilified population”]</w:t>
      </w:r>
      <w:r w:rsidRPr="00922A9E">
        <w:t xml:space="preserve">; Fox, </w:t>
      </w:r>
      <w:r w:rsidRPr="00922A9E">
        <w:rPr>
          <w:i/>
          <w:iCs/>
        </w:rPr>
        <w:t xml:space="preserve">Incurable Sex Offenders, Lousy Judges &amp; the Media:  Moral Panic Sustenance in the Age of New Media </w:t>
      </w:r>
      <w:r w:rsidRPr="00922A9E">
        <w:t xml:space="preserve">(2012) 38 Am. J. Crim. J. 160, 161 [observing that sex offenders are characterized as “ ‘folk devils’ ” in the media]; Farkas &amp; Miller, </w:t>
      </w:r>
      <w:r w:rsidRPr="00922A9E">
        <w:rPr>
          <w:i/>
          <w:iCs/>
        </w:rPr>
        <w:t>Sex Offender Treatment:  Reconciling Criminal Justice Priorities and Therapeutic Goals</w:t>
      </w:r>
      <w:r w:rsidRPr="00922A9E">
        <w:t xml:space="preserve"> (2008) 21(2) Fed. Sentencing Rep. 78, 79 (Farkas &amp; Miller) [sex offenders “are viewed by society with repugnance”]; O’Hear, </w:t>
      </w:r>
      <w:r w:rsidRPr="00922A9E">
        <w:rPr>
          <w:i/>
          <w:iCs/>
        </w:rPr>
        <w:t>Perpetual Panic</w:t>
      </w:r>
      <w:r w:rsidRPr="00922A9E">
        <w:t xml:space="preserve"> (2008) 21 Fed. Sentencing Rep. 69, 71 [observing the public perception that “sex offenders are uniquely dangerous”]; Geraghty, </w:t>
      </w:r>
      <w:r w:rsidRPr="00922A9E">
        <w:rPr>
          <w:i/>
          <w:iCs/>
        </w:rPr>
        <w:t>Challenging the Banishment of Registered Sex Offenders from the State of Georgia:  A Practitioner’s Perspective</w:t>
      </w:r>
      <w:r w:rsidRPr="00922A9E">
        <w:t xml:space="preserve"> (2007) 42 Harv. Civ. Rights-Civ. Liberties L.Rev. 513, 514 [“Sex offenders are arguably the most despised members of our society”]; Logan, </w:t>
      </w:r>
      <w:r w:rsidRPr="00922A9E">
        <w:rPr>
          <w:i/>
          <w:iCs/>
        </w:rPr>
        <w:t xml:space="preserve">Liberty Interests in the Preventative State:  Procedural Due Process and Sex Offender Community Notification Laws </w:t>
      </w:r>
      <w:r w:rsidRPr="00922A9E">
        <w:t>(1999) 89(4) J. Crim. L. &amp; Criminology 1167 [“Sex offenders are the scourge of modern America”].)</w:t>
      </w:r>
    </w:p>
    <w:p w:rsidR="00922A9E" w:rsidRPr="00922A9E" w:rsidP="00922A9E" w14:paraId="6A448F14" w14:textId="77777777">
      <w:pPr>
        <w:ind w:firstLine="720"/>
      </w:pPr>
      <w:bookmarkStart w:id="13" w:name="_Hlk173837278"/>
      <w:r w:rsidRPr="00922A9E">
        <w:t xml:space="preserve">Public outrage is especially intense with regard to sex crimes against minors (though Williams’s crimes did not involve minors).  (See Rosselli &amp; Jeglic, </w:t>
      </w:r>
      <w:r w:rsidRPr="00922A9E">
        <w:rPr>
          <w:i/>
          <w:iCs/>
        </w:rPr>
        <w:t>Factors Impacting upon Attitudes Toward Sex Offenders: The Role of Conservatism and Knowledge</w:t>
      </w:r>
      <w:r w:rsidRPr="00922A9E">
        <w:t xml:space="preserve"> (2017) 24(4) Psychiatry, Psychology &amp; L., 496, 499 (Rosselli &amp; Jeglic) [“[A]lthough public fear about sex offenders is generally high, the highest level of fear is directed toward those who offend against children.”]; Kernsmith et al., </w:t>
      </w:r>
      <w:r w:rsidRPr="00922A9E">
        <w:rPr>
          <w:i/>
          <w:iCs/>
        </w:rPr>
        <w:t>Public Attitudes Toward Sexual Offenders and Sex Offender Registration</w:t>
      </w:r>
      <w:r w:rsidRPr="00922A9E">
        <w:t xml:space="preserve"> (2009) 18 J. Child Sexual Abuse 290, 295 [out of seven categories of sexual offenders, people most feared those whose offenses were against minors].)  </w:t>
      </w:r>
      <w:bookmarkEnd w:id="13"/>
      <w:r w:rsidRPr="00922A9E">
        <w:t>In barring the death penalty as punishment for rape of a child, the high court said “we have no confidence that the imposition of the death penalty would not be so arbitrary as to be ‘freakis[h]’ ” because the “context” of such a case “involves a crime that in many cases will overwhelm a decent person’s judgment.”  (</w:t>
      </w:r>
      <w:r w:rsidRPr="00922A9E">
        <w:rPr>
          <w:i/>
          <w:iCs/>
        </w:rPr>
        <w:t>Kennedy v. Louisiana</w:t>
      </w:r>
      <w:r w:rsidRPr="00922A9E">
        <w:t xml:space="preserve"> (2008) 554 U.S. 407, 439.)</w:t>
      </w:r>
    </w:p>
    <w:p w:rsidR="00922A9E" w:rsidRPr="00922A9E" w:rsidP="00922A9E" w14:paraId="6331E02F" w14:textId="77777777">
      <w:pPr>
        <w:ind w:firstLine="720"/>
      </w:pPr>
      <w:r w:rsidRPr="00922A9E">
        <w:t xml:space="preserve">Such fear and outrage are reflected in the history of Jessica’s Law (Prop. 83, as approved by voters, Gen. Elec. (Nov. 7, 2006), eff. Nov. 8, 2006) and Chelsea’s Law (Stats. 2010, ch. 219, § 1, eff. Sept. 9, 2010), both of which toughened the One Strike law in the wake of highly publicized offenses against children.  (Maj. opn., </w:t>
      </w:r>
      <w:r w:rsidRPr="00922A9E">
        <w:rPr>
          <w:i/>
          <w:iCs/>
        </w:rPr>
        <w:t>ante</w:t>
      </w:r>
      <w:r w:rsidRPr="00922A9E">
        <w:t xml:space="preserve">, at pp. 15–17.)  The legislative history of Chelsea’s Law said, “ ‘The violent sexual predator that attacks children is a particular type of evil and should be treated as such.’ ”  </w:t>
      </w:r>
      <w:r w:rsidRPr="00922A9E">
        <w:rPr>
          <w:color w:val="000000"/>
          <w:szCs w:val="26"/>
        </w:rPr>
        <w:t xml:space="preserve">(Assem. Com. on Public Safety, Analysis of Assem. Bill No. 1844, as amended April 13, 2010, p. 14.)  The law’s author said, </w:t>
      </w:r>
      <w:r w:rsidRPr="00922A9E">
        <w:t>“ </w:t>
      </w:r>
      <w:r w:rsidRPr="00922A9E">
        <w:rPr>
          <w:color w:val="000000"/>
          <w:szCs w:val="26"/>
        </w:rPr>
        <w:t>‘[T]hose [who] have committed the most serious and heinous sex crimes against children are not able to be rehabilitated.’ ”  (</w:t>
      </w:r>
      <w:r w:rsidRPr="00922A9E">
        <w:rPr>
          <w:i/>
          <w:iCs/>
          <w:color w:val="000000"/>
          <w:szCs w:val="26"/>
        </w:rPr>
        <w:t>Id</w:t>
      </w:r>
      <w:r w:rsidRPr="00922A9E">
        <w:rPr>
          <w:color w:val="000000"/>
          <w:szCs w:val="26"/>
        </w:rPr>
        <w:t xml:space="preserve">. at </w:t>
      </w:r>
      <w:r w:rsidRPr="00922A9E">
        <w:t>p. 13; see also Voter Information Guide, Gen. Elec. (Nov. 7, 2006) text of Prop. 83, p. 127 [sex offenders “are the least likely to be cured and the most likely to reoffend, and they prey on the most innocent members of our society”].)</w:t>
      </w:r>
    </w:p>
    <w:p w:rsidR="00922A9E" w:rsidRPr="00922A9E" w:rsidP="00922A9E" w14:paraId="0B7256D3" w14:textId="77777777">
      <w:pPr>
        <w:ind w:firstLine="720"/>
      </w:pPr>
      <w:r w:rsidRPr="00922A9E">
        <w:t xml:space="preserve">At the same time, it has been shown that public revulsion toward sex offenders and ensuing legislative responses “may be based upon myths and misperceptions about sex offenders, such as the notion that sex offenders have very high recidivism rates and that strangers commit most sex crimes.”  (Rosselli &amp; Jeglic, </w:t>
      </w:r>
      <w:r w:rsidRPr="00922A9E">
        <w:rPr>
          <w:i/>
          <w:iCs/>
        </w:rPr>
        <w:t>supra</w:t>
      </w:r>
      <w:r w:rsidRPr="00922A9E">
        <w:t xml:space="preserve">, at p. 496.)  A 2010 survey by the United States Department of Justice, with over 1,000 respondents </w:t>
      </w:r>
      <w:r w:rsidRPr="00922A9E">
        <w:rPr>
          <w:color w:val="000000"/>
          <w:szCs w:val="26"/>
        </w:rPr>
        <w:t xml:space="preserve">“presumed to be largely representative of community members,” </w:t>
      </w:r>
      <w:r w:rsidRPr="00922A9E">
        <w:t>found that “the public believes sexual reoffense rates are markedly higher” than they actually are.  (</w:t>
      </w:r>
      <w:r w:rsidRPr="00922A9E">
        <w:rPr>
          <w:color w:val="000000"/>
          <w:szCs w:val="26"/>
        </w:rPr>
        <w:t>Center for Sex Offender Management, U.S. Dept. of Justice, Exploring Public Awareness and Attitudes about Sex Offender Management: Findings from a National Public Opinion Poll (2010) pp. 1–2 (U.S. Dept. of Justice).)  Consistent with these findings, the Attorney General in this case acknowledges that “[t]he Legislature’s actions in this area were presumably informed by the widespread</w:t>
      </w:r>
      <w:r w:rsidRPr="00922A9E">
        <w:rPr>
          <w:i/>
          <w:iCs/>
          <w:color w:val="000000"/>
          <w:szCs w:val="26"/>
        </w:rPr>
        <w:t xml:space="preserve"> </w:t>
      </w:r>
      <w:r w:rsidRPr="00922A9E">
        <w:rPr>
          <w:color w:val="000000"/>
          <w:szCs w:val="26"/>
        </w:rPr>
        <w:t xml:space="preserve">‘public perception’ that ‘recidivism is a more serious problem among sex offenders than other criminals,’ ” even as the sources he cites show that this perception is out of proportion with reality.  (See Ahluwalia, </w:t>
      </w:r>
      <w:r w:rsidRPr="00922A9E">
        <w:rPr>
          <w:i/>
          <w:iCs/>
          <w:color w:val="000000"/>
          <w:szCs w:val="26"/>
        </w:rPr>
        <w:t>Civil Commitment of Sexually Violent Predators: The Search for a Limiting Principle</w:t>
      </w:r>
      <w:r w:rsidRPr="00922A9E">
        <w:rPr>
          <w:color w:val="000000"/>
          <w:szCs w:val="26"/>
        </w:rPr>
        <w:t xml:space="preserve"> (2006) 4 Cardozo Pub. L. Policy &amp; Ethics J. 489, 494 (Ahluwalia) [“The notion that sex offenders are a class of offenders with unusually high rates of recidivism is one that has great political and emotional appeal, but little empirical substantiation.”]; Comment, </w:t>
      </w:r>
      <w:r w:rsidRPr="00922A9E">
        <w:rPr>
          <w:i/>
          <w:iCs/>
          <w:color w:val="000000"/>
          <w:szCs w:val="26"/>
        </w:rPr>
        <w:t>Examining Sex Offender Community Notification Laws</w:t>
      </w:r>
      <w:r w:rsidRPr="00922A9E">
        <w:rPr>
          <w:color w:val="000000"/>
          <w:szCs w:val="26"/>
        </w:rPr>
        <w:t xml:space="preserve"> (1995) 83 Cal. L.Rev. 885, 897–898 [“Despite studies indicating low recidivism rates, the public continues to perceive, as it has for decades, that the threat from sex offenders is greater than it actually is.”]; </w:t>
      </w:r>
      <w:r w:rsidRPr="00922A9E">
        <w:t xml:space="preserve">see also Farkas &amp; Miller, </w:t>
      </w:r>
      <w:r w:rsidRPr="00922A9E">
        <w:rPr>
          <w:i/>
          <w:iCs/>
        </w:rPr>
        <w:t>supra</w:t>
      </w:r>
      <w:r w:rsidRPr="00922A9E">
        <w:t xml:space="preserve">, at p. 78 [“Despite the reality that the rates of recidivism for sex offenders are actually lower than most commonly thought, sex offenders are still perceived as a high-risk type of offender.”]; Socia &amp; Harris, </w:t>
      </w:r>
      <w:r w:rsidRPr="00922A9E">
        <w:rPr>
          <w:i/>
          <w:iCs/>
        </w:rPr>
        <w:t>Evaluating Public Perceptions of the Risk Presented by Registered Sex Offenders: Evidence of Crime Control Theater?</w:t>
      </w:r>
      <w:r w:rsidRPr="00922A9E">
        <w:t xml:space="preserve"> (2016) 22(4) Psych. Pub. Pol. &amp; L., 375, 378–380 [nationally representative survey of 1,000 adults showed that respondents significantly overestimated the percentage of sex offenders who were strangers to their victims and their likelihood of recidivism].)</w:t>
      </w:r>
    </w:p>
    <w:p w:rsidR="00922A9E" w:rsidRPr="00922A9E" w:rsidP="00922A9E" w14:paraId="3C7997C5" w14:textId="77777777">
      <w:pPr>
        <w:ind w:firstLine="720"/>
      </w:pPr>
      <w:r w:rsidRPr="00922A9E">
        <w:t xml:space="preserve">In the United States Department of Justice study, “the clear majority of respondents (74%) reported that the news media was the predominant source from which they received most of their information and knowledge about sex offenders.”  (U.S. Dept. of Justice, </w:t>
      </w:r>
      <w:r w:rsidRPr="00922A9E">
        <w:rPr>
          <w:i/>
          <w:iCs/>
        </w:rPr>
        <w:t>supra</w:t>
      </w:r>
      <w:r w:rsidRPr="00922A9E">
        <w:t>, at p. 2.)  The study observed:  “Media portrayals of sex crimes and the individuals who commit these offenses are not always grounded in current statistics, research, and accurate information which, in turn, can create perceptions, expectations, and demands for public policies that may not be well informed and which may not result in the desired outcomes.  Indeed, many sex offender-specific laws have been developed in reaction to individual cases that generate attention and debate at state and national levels, and which often involve the abduction, sexual assault, and murder of children committed by repeat sex offenders who were not known to the victims or their families.”  (</w:t>
      </w:r>
      <w:r w:rsidRPr="00922A9E">
        <w:rPr>
          <w:i/>
          <w:iCs/>
        </w:rPr>
        <w:t>Ibid</w:t>
      </w:r>
      <w:r w:rsidRPr="00922A9E">
        <w:t>., fn. omitted.)  “Those specific crimes statistically represent only a very small fraction of all sex crimes and other violent crimes that come to the attention of the authorities, and the victim-offender relationship is not typical of most sex offenses.  Nonetheless, such cases often serve as a catalyst for sweeping legislative reforms . . . .”  (</w:t>
      </w:r>
      <w:r w:rsidRPr="00922A9E">
        <w:rPr>
          <w:i/>
          <w:iCs/>
        </w:rPr>
        <w:t>Ibid.</w:t>
      </w:r>
      <w:r w:rsidRPr="00922A9E">
        <w:t>, fn. omitted.)</w:t>
      </w:r>
    </w:p>
    <w:p w:rsidR="00922A9E" w:rsidRPr="00922A9E" w:rsidP="00922A9E" w14:paraId="1FC04679" w14:textId="77777777">
      <w:pPr>
        <w:ind w:firstLine="720"/>
      </w:pPr>
      <w:r w:rsidRPr="00922A9E">
        <w:t>The California Sex Offender Management Board has made similar findings.  The Board was created in 2006 “to provide the Governor, the State Legislature and relevant state and local agencies with an assessment of current sex offender management practices and recommended areas of improvement.”  (Cal. Sex Offender Management Board, Recommendations Rep. (Jan. 2010) p. 7 (CASOMB); see, e.g., Assem. Com. on Appropriations, Analysis of Assem. Bill No. 1844 (2009–2010 Reg. Sess.) May 19, 2010, p. 9 [discussing the Board’s 2010 report in the legislative history of Chelsea’s Law].)  The Board’s membership reflects, “to the extent possible, representation of northern, central, and southern California, as well as both urban and rural areas,” and consists of members from government and nongovernment agencies, including the Office of the Attorney General, California Department of Corrections and Rehabilitation, California Department of State Hospitals, criminal defense attorneys, and two recognized experts in the field of sexual assault.  (§ 9001, subds. (a) &amp; (b).)  The Board in 2010 summarized the policymaking context as follows:  “Sexual crimes rightly outrage communities.  The legacy of sexual assault in the lives of victims is often profound and long-lasting.  In the aftermath of an assault, communities often demand with great vehemence that policymakers and public safety professionals DO SOMETHING.  The root of the desire to acknowledge the serious nature of the crime is difficult to disparage but, when combined with fear, misinformation and the heat of media inquiry, the flame of community outrage can create a political environment that rewards swift action over more methodical, effective approaches.  On occasion, these swift approaches may address short-term community outrage at the cost of directing resources and skilled personnel away from investments in strategies for long-term safety.”  (CASOMB, at pp. 8–9.)</w:t>
      </w:r>
    </w:p>
    <w:p w:rsidR="00922A9E" w:rsidRPr="00922A9E" w:rsidP="00922A9E" w14:paraId="2E5C44A2" w14:textId="77777777">
      <w:pPr>
        <w:keepNext/>
        <w:spacing w:before="140" w:line="240" w:lineRule="atLeast"/>
        <w:jc w:val="center"/>
        <w:outlineLvl w:val="0"/>
        <w:rPr>
          <w:b/>
          <w:smallCaps/>
        </w:rPr>
      </w:pPr>
      <w:bookmarkStart w:id="14" w:name="_Hlk174326564"/>
      <w:r w:rsidRPr="00922A9E">
        <w:rPr>
          <w:b/>
          <w:smallCaps/>
        </w:rPr>
        <w:t>II.</w:t>
      </w:r>
    </w:p>
    <w:bookmarkEnd w:id="14"/>
    <w:p w:rsidR="00922A9E" w:rsidRPr="00922A9E" w:rsidP="00922A9E" w14:paraId="24C1C8EE" w14:textId="77777777">
      <w:pPr>
        <w:ind w:firstLine="720"/>
      </w:pPr>
      <w:r w:rsidRPr="00922A9E">
        <w:t>I mention this context not to suggest that this court should opine on how dangerous sex offenders are or what punishment they deserve.  That is not our role in deciding the equal protection issue before us.  The Legislature has wide latitude in defining crimes and punishments, and may appropriately give expression to the public’s strong condemnation of certain crimes and its desire for retribution, although that latitude is bounded by “the basic ‘precept of justice that punishment for [a] crime should be graduated and proportioned to [the] offense’ ” (</w:t>
      </w:r>
      <w:r w:rsidRPr="00922A9E">
        <w:rPr>
          <w:i/>
          <w:iCs/>
        </w:rPr>
        <w:t>Kennedy v. Louisiana</w:t>
      </w:r>
      <w:r w:rsidRPr="00922A9E">
        <w:t xml:space="preserve">, </w:t>
      </w:r>
      <w:r w:rsidRPr="00922A9E">
        <w:rPr>
          <w:i/>
          <w:iCs/>
        </w:rPr>
        <w:t>supra</w:t>
      </w:r>
      <w:r w:rsidRPr="00922A9E">
        <w:t xml:space="preserve">, 554 U.S. at p. 419; see </w:t>
      </w:r>
      <w:r w:rsidRPr="00922A9E">
        <w:rPr>
          <w:i/>
          <w:iCs/>
        </w:rPr>
        <w:t>id.</w:t>
      </w:r>
      <w:r w:rsidRPr="00922A9E">
        <w:t xml:space="preserve"> at p. 421 [prohibiting death penalty for rape of a child victim under Eighth Amendment]; </w:t>
      </w:r>
      <w:r w:rsidRPr="00922A9E">
        <w:rPr>
          <w:i/>
          <w:iCs/>
        </w:rPr>
        <w:t>Coker v. Georgia</w:t>
      </w:r>
      <w:r w:rsidRPr="00922A9E">
        <w:t xml:space="preserve"> (1977) 433 U.S. 584 [same holding for rape of an adult victim]) and by the principle that a juvenile offender’s “capacity for change and limited moral culpability” limit the range of permissible punishment even for the worst crimes (</w:t>
      </w:r>
      <w:r w:rsidRPr="00922A9E">
        <w:rPr>
          <w:i/>
          <w:iCs/>
        </w:rPr>
        <w:t>Graham v. Florida</w:t>
      </w:r>
      <w:r w:rsidRPr="00922A9E">
        <w:t xml:space="preserve"> (2010) 560 U.S. 48, 74 (</w:t>
      </w:r>
      <w:r w:rsidRPr="00922A9E">
        <w:rPr>
          <w:i/>
          <w:iCs/>
        </w:rPr>
        <w:t>Graham</w:t>
      </w:r>
      <w:r w:rsidRPr="00922A9E">
        <w:t xml:space="preserve">); see </w:t>
      </w:r>
      <w:r w:rsidRPr="00922A9E">
        <w:rPr>
          <w:i/>
          <w:iCs/>
        </w:rPr>
        <w:t>id.</w:t>
      </w:r>
      <w:r w:rsidRPr="00922A9E">
        <w:t xml:space="preserve"> at p. 82 [prohibiting life imprisonment without parole (LWOP) for juvenile nonhomicide offenders];</w:t>
      </w:r>
      <w:r w:rsidRPr="00922A9E">
        <w:rPr>
          <w:i/>
          <w:iCs/>
        </w:rPr>
        <w:t xml:space="preserve"> Miller</w:t>
      </w:r>
      <w:r w:rsidRPr="00922A9E">
        <w:t xml:space="preserve">, </w:t>
      </w:r>
      <w:r w:rsidRPr="00922A9E">
        <w:rPr>
          <w:i/>
          <w:iCs/>
        </w:rPr>
        <w:t>supra</w:t>
      </w:r>
      <w:r w:rsidRPr="00922A9E">
        <w:t xml:space="preserve">, 567 U.S. 460 [prohibiting mandatory LWOP for juvenile homicide offenders]; </w:t>
      </w:r>
      <w:r w:rsidRPr="00922A9E">
        <w:rPr>
          <w:i/>
          <w:iCs/>
        </w:rPr>
        <w:t>Roper v. Simmons</w:t>
      </w:r>
      <w:r w:rsidRPr="00922A9E">
        <w:t xml:space="preserve"> (2005) 543 U.S. 551 [prohibiting death penalty for crimes committed by juveniles]).</w:t>
      </w:r>
    </w:p>
    <w:p w:rsidR="00922A9E" w:rsidRPr="00922A9E" w:rsidP="00922A9E" w14:paraId="39461047" w14:textId="77777777">
      <w:pPr>
        <w:ind w:firstLine="720"/>
      </w:pPr>
      <w:r w:rsidRPr="00922A9E">
        <w:rPr>
          <w:szCs w:val="26"/>
        </w:rPr>
        <w:t xml:space="preserve">The One Strike law imposes harsh punishments for certain aggravated sex offenses (maj. opn., </w:t>
      </w:r>
      <w:r w:rsidRPr="00922A9E">
        <w:rPr>
          <w:i/>
          <w:iCs/>
          <w:szCs w:val="26"/>
        </w:rPr>
        <w:t>ante</w:t>
      </w:r>
      <w:r w:rsidRPr="00922A9E">
        <w:rPr>
          <w:szCs w:val="26"/>
        </w:rPr>
        <w:t xml:space="preserve">, at pp. 14–17), and its constitutionality is not at issue here.  This case concerns section 3051, the youth offender parole statute.  The question is not whether One Strike offenders between the ages of 18 and 25 have a freestanding constitutional right to parole eligibility.  The question is whether the Legislature, having created a parole eligibility scheme premised on youth offenders’ diminished culpability and capacity for rehabilitation, had a rational basis for excluding One Strike offenders from the scheme.  In answering that question, </w:t>
      </w:r>
      <w:r w:rsidRPr="00922A9E">
        <w:t>we must consider the nature of the group affected and the real risk, given the group affected here, that the exclusion reflects “irrational prejudice” (</w:t>
      </w:r>
      <w:r w:rsidRPr="00922A9E">
        <w:rPr>
          <w:i/>
          <w:iCs/>
        </w:rPr>
        <w:t>Cleburne</w:t>
      </w:r>
      <w:r w:rsidRPr="00922A9E">
        <w:t xml:space="preserve">, </w:t>
      </w:r>
      <w:r w:rsidRPr="00922A9E">
        <w:rPr>
          <w:i/>
          <w:iCs/>
        </w:rPr>
        <w:t>supra</w:t>
      </w:r>
      <w:r w:rsidRPr="00922A9E">
        <w:t>, 473 U.S. at p. 450) or “irrational fears” (</w:t>
      </w:r>
      <w:r w:rsidRPr="00922A9E">
        <w:rPr>
          <w:i/>
          <w:iCs/>
        </w:rPr>
        <w:t>id.</w:t>
      </w:r>
      <w:r w:rsidRPr="00922A9E">
        <w:t xml:space="preserve"> at p. 455 (conc. opn. of Stevens, J.).  (See </w:t>
      </w:r>
      <w:r w:rsidRPr="00922A9E">
        <w:rPr>
          <w:i/>
          <w:iCs/>
        </w:rPr>
        <w:t>id.</w:t>
      </w:r>
      <w:r w:rsidRPr="00922A9E">
        <w:t xml:space="preserve"> at p. 448 (maj. opn.) [“[T]he [government] may not avoid the strictures of [the Equal Protection] Clause by </w:t>
      </w:r>
      <w:r w:rsidRPr="00922A9E">
        <w:rPr>
          <w:color w:val="000000"/>
          <w:szCs w:val="26"/>
        </w:rPr>
        <w:t>deferring to the wishes or objections of some fraction of the body politic.  ‘Private biases may be outside the reach of the law, but the law cannot, directly or indirectly, give them effect.’ ”].)</w:t>
      </w:r>
    </w:p>
    <w:p w:rsidR="00922A9E" w:rsidRPr="00922A9E" w:rsidP="00922A9E" w14:paraId="4FEB4803" w14:textId="77777777">
      <w:pPr>
        <w:ind w:firstLine="720"/>
        <w:rPr>
          <w:szCs w:val="26"/>
        </w:rPr>
      </w:pPr>
      <w:r w:rsidRPr="00922A9E">
        <w:rPr>
          <w:szCs w:val="26"/>
        </w:rPr>
        <w:t xml:space="preserve">In enacting the youth offender parole statute in 2013, the Legislature stated its purpose in the law’s opening provision:  “The Legislature recognizes that youthfulness both lessens a juvenile’s moral culpability and enhances the prospect that, as a youth matures into an adult and neurological development occurs, these individuals can become contributing members of society.  The purpose of this act is to establish a parole eligibility mechanism that provides a person serving a sentence for crimes that he or she committed as a juvenile the opportunity to obtain release when he or she has shown that he or she has been rehabilitated and gained maturity, in accordance with the decision of the California Supreme Court in </w:t>
      </w:r>
      <w:r w:rsidRPr="00922A9E">
        <w:rPr>
          <w:i/>
          <w:iCs/>
          <w:szCs w:val="26"/>
          <w:bdr w:val="none" w:sz="0" w:space="0" w:color="auto" w:frame="1"/>
        </w:rPr>
        <w:t>People v. Caballero</w:t>
      </w:r>
      <w:r w:rsidRPr="00922A9E">
        <w:rPr>
          <w:szCs w:val="26"/>
        </w:rPr>
        <w:t xml:space="preserve"> (2012) 55 Cal.4th 262 [(</w:t>
      </w:r>
      <w:r w:rsidRPr="00922A9E">
        <w:rPr>
          <w:i/>
          <w:iCs/>
          <w:szCs w:val="26"/>
        </w:rPr>
        <w:t>Caballero</w:t>
      </w:r>
      <w:r w:rsidRPr="00922A9E">
        <w:rPr>
          <w:szCs w:val="26"/>
        </w:rPr>
        <w:t>)] and the decisions of the United States Supreme Court in [</w:t>
      </w:r>
      <w:r w:rsidRPr="00922A9E">
        <w:rPr>
          <w:i/>
          <w:iCs/>
          <w:szCs w:val="26"/>
          <w:bdr w:val="none" w:sz="0" w:space="0" w:color="auto" w:frame="1"/>
        </w:rPr>
        <w:t>Graham</w:t>
      </w:r>
      <w:r w:rsidRPr="00922A9E">
        <w:rPr>
          <w:szCs w:val="26"/>
          <w:bdr w:val="none" w:sz="0" w:space="0" w:color="auto" w:frame="1"/>
        </w:rPr>
        <w:t>] and [</w:t>
      </w:r>
      <w:r w:rsidRPr="00922A9E">
        <w:rPr>
          <w:i/>
          <w:iCs/>
          <w:szCs w:val="26"/>
          <w:bdr w:val="none" w:sz="0" w:space="0" w:color="auto" w:frame="1"/>
        </w:rPr>
        <w:t>Miller</w:t>
      </w:r>
      <w:r w:rsidRPr="00922A9E">
        <w:rPr>
          <w:szCs w:val="26"/>
          <w:bdr w:val="none" w:sz="0" w:space="0" w:color="auto" w:frame="1"/>
        </w:rPr>
        <w:t>]</w:t>
      </w:r>
      <w:r w:rsidRPr="00922A9E">
        <w:rPr>
          <w:szCs w:val="26"/>
        </w:rPr>
        <w:t>.”  (Stats. 2013, ch. 312, § 1.)</w:t>
      </w:r>
    </w:p>
    <w:p w:rsidR="00922A9E" w:rsidRPr="00922A9E" w:rsidP="00922A9E" w14:paraId="10367B3A" w14:textId="77777777">
      <w:pPr>
        <w:ind w:firstLine="720"/>
        <w:rPr>
          <w:szCs w:val="26"/>
        </w:rPr>
      </w:pPr>
      <w:r w:rsidRPr="00922A9E">
        <w:rPr>
          <w:szCs w:val="26"/>
        </w:rPr>
        <w:t xml:space="preserve">Soon after, </w:t>
      </w:r>
      <w:r w:rsidRPr="00922A9E">
        <w:rPr>
          <w:color w:val="000000"/>
          <w:szCs w:val="26"/>
        </w:rPr>
        <w:t xml:space="preserve">in light of more “ ‘[r]ecent scientific evidence on adolescent and young adult development and neuroscience show[ing] that certain areas of the brain — particularly those affecting judgment and decision-making — do not fully develop until the early- to mid-20s’ ” (Sen. Com. on Public Safety, Rep. on Sen. Bill No. 261 (2015–2016 Reg. Sess.) Apr. 28, 2015, p. 3), the Legislature amended the parole eligibility scheme to include adults who committed crimes before the age of 23 (Stats. 2015, ch. 471, § 1) and then to include adults who committed crimes before age 26 (Stats. 2017, ch. 675, § 1).  A committee report on the latter bill states:  “The rationale, as expressed by the author and supporters of this bill, is that research shows that cognitive brain development continues into the early 20s or later.  The parts of the brain that are still developing during this process affect judgment and decision-making, and are highly relevant to criminal behavior and culpability.  (See Johnson et al., </w:t>
      </w:r>
      <w:r w:rsidRPr="00922A9E">
        <w:rPr>
          <w:i/>
          <w:iCs/>
          <w:szCs w:val="26"/>
          <w:bdr w:val="none" w:sz="0" w:space="0" w:color="auto" w:frame="1"/>
        </w:rPr>
        <w:t>Adolescent Maturity and the Brain: The Promise and Pitfalls of Neuroscience Research in Adolescent Health Policy</w:t>
      </w:r>
      <w:r w:rsidRPr="00922A9E">
        <w:rPr>
          <w:szCs w:val="26"/>
        </w:rPr>
        <w:t xml:space="preserve">, Journal of Adolescent Health (Sept. 2009); National Institute of Mental Health, </w:t>
      </w:r>
      <w:r w:rsidRPr="00922A9E">
        <w:rPr>
          <w:i/>
          <w:iCs/>
          <w:szCs w:val="26"/>
          <w:bdr w:val="none" w:sz="0" w:space="0" w:color="auto" w:frame="1"/>
        </w:rPr>
        <w:t>The Teen Brain: Still Under Construction</w:t>
      </w:r>
      <w:r w:rsidRPr="00922A9E">
        <w:rPr>
          <w:szCs w:val="26"/>
        </w:rPr>
        <w:t xml:space="preserve"> (2011).)  ‘The development and maturation of the prefrontal cortex occurs primarily during adolescence and is fully accomplished at the age of 25 years. The development of the prefrontal cortex is very important for complex behavioral performance, as this region of the brain helps accomplish executive brain functions.’ </w:t>
      </w:r>
      <w:r w:rsidRPr="00922A9E">
        <w:rPr>
          <w:color w:val="000000"/>
          <w:szCs w:val="26"/>
        </w:rPr>
        <w:t xml:space="preserve">”  (Sen. Rules Com., Off. of Sen. Floor Analyses, Analysis of Assem. Bill No. 1308 (2017–2018 Reg. Sess.) Sept. 4, 2017, pp. 4–5, quoting </w:t>
      </w:r>
      <w:r w:rsidRPr="00922A9E">
        <w:rPr>
          <w:szCs w:val="26"/>
        </w:rPr>
        <w:t xml:space="preserve">Arain et al., </w:t>
      </w:r>
      <w:r w:rsidRPr="00922A9E">
        <w:rPr>
          <w:i/>
          <w:iCs/>
          <w:szCs w:val="26"/>
          <w:bdr w:val="none" w:sz="0" w:space="0" w:color="auto" w:frame="1"/>
        </w:rPr>
        <w:t>Maturation of the Adolescent Brain</w:t>
      </w:r>
      <w:r w:rsidRPr="00922A9E">
        <w:rPr>
          <w:szCs w:val="26"/>
        </w:rPr>
        <w:t xml:space="preserve"> </w:t>
      </w:r>
      <w:r w:rsidRPr="00922A9E">
        <w:rPr>
          <w:color w:val="000000"/>
          <w:szCs w:val="26"/>
        </w:rPr>
        <w:t>(2013) 9 Neuropsychiatric Disease &amp; Treatment 449.)</w:t>
      </w:r>
    </w:p>
    <w:p w:rsidR="00922A9E" w:rsidRPr="00922A9E" w:rsidP="00922A9E" w14:paraId="15221546" w14:textId="77777777">
      <w:pPr>
        <w:ind w:firstLine="720"/>
        <w:rPr>
          <w:szCs w:val="26"/>
        </w:rPr>
      </w:pPr>
      <w:r w:rsidRPr="00922A9E">
        <w:rPr>
          <w:szCs w:val="26"/>
        </w:rPr>
        <w:t xml:space="preserve">As this court said in </w:t>
      </w:r>
      <w:r w:rsidRPr="00922A9E">
        <w:rPr>
          <w:i/>
          <w:iCs/>
          <w:szCs w:val="26"/>
        </w:rPr>
        <w:t>People v.</w:t>
      </w:r>
      <w:r w:rsidRPr="00922A9E">
        <w:rPr>
          <w:szCs w:val="26"/>
        </w:rPr>
        <w:t xml:space="preserve"> </w:t>
      </w:r>
      <w:r w:rsidRPr="00922A9E">
        <w:rPr>
          <w:i/>
          <w:iCs/>
          <w:szCs w:val="26"/>
        </w:rPr>
        <w:t>Hardin</w:t>
      </w:r>
      <w:r w:rsidRPr="00922A9E">
        <w:rPr>
          <w:szCs w:val="26"/>
        </w:rPr>
        <w:t xml:space="preserve"> (2024) 15 Cal.5th 834, 845 (</w:t>
      </w:r>
      <w:r w:rsidRPr="00922A9E">
        <w:rPr>
          <w:i/>
          <w:iCs/>
          <w:szCs w:val="26"/>
        </w:rPr>
        <w:t>Hardin</w:t>
      </w:r>
      <w:r w:rsidRPr="00922A9E">
        <w:rPr>
          <w:szCs w:val="26"/>
        </w:rPr>
        <w:t xml:space="preserve">), “The Legislature enacted section 3051 to bring California juvenile sentencing law into line with </w:t>
      </w:r>
      <w:r w:rsidRPr="00922A9E">
        <w:rPr>
          <w:i/>
          <w:iCs/>
          <w:szCs w:val="26"/>
        </w:rPr>
        <w:t>Graham</w:t>
      </w:r>
      <w:r w:rsidRPr="00922A9E">
        <w:rPr>
          <w:szCs w:val="26"/>
        </w:rPr>
        <w:t xml:space="preserve">, </w:t>
      </w:r>
      <w:r w:rsidRPr="00922A9E">
        <w:rPr>
          <w:i/>
          <w:iCs/>
          <w:szCs w:val="26"/>
        </w:rPr>
        <w:t>Miller</w:t>
      </w:r>
      <w:r w:rsidRPr="00922A9E">
        <w:rPr>
          <w:szCs w:val="26"/>
        </w:rPr>
        <w:t xml:space="preserve">, and </w:t>
      </w:r>
      <w:r w:rsidRPr="00922A9E">
        <w:rPr>
          <w:i/>
          <w:iCs/>
          <w:szCs w:val="26"/>
        </w:rPr>
        <w:t>Caballero</w:t>
      </w:r>
      <w:r w:rsidRPr="00922A9E">
        <w:rPr>
          <w:szCs w:val="26"/>
        </w:rPr>
        <w:t>.”  The Legislature subsequently expanded the parole scheme to 18- to 25-year-olds based on the same observations about diminished culpability and capacity for maturation that apply to juveniles.  (</w:t>
      </w:r>
      <w:r w:rsidRPr="00922A9E">
        <w:rPr>
          <w:i/>
          <w:iCs/>
          <w:szCs w:val="26"/>
        </w:rPr>
        <w:t>Id</w:t>
      </w:r>
      <w:r w:rsidRPr="00922A9E">
        <w:rPr>
          <w:szCs w:val="26"/>
        </w:rPr>
        <w:t xml:space="preserve">. at pp. 845–846.)  Here, as in </w:t>
      </w:r>
      <w:r w:rsidRPr="00922A9E">
        <w:rPr>
          <w:i/>
          <w:iCs/>
          <w:szCs w:val="26"/>
        </w:rPr>
        <w:t>Hardin</w:t>
      </w:r>
      <w:r w:rsidRPr="00922A9E">
        <w:rPr>
          <w:szCs w:val="26"/>
        </w:rPr>
        <w:t>, “there is no dispute that the scientific evidence cited by the Legislature [in enacting and expanding section 3051] applies to young offenders across the board.  Nothing about the ‘distinctive (and transitory) mental traits and environmental vulnerabilities’ of youth offenders ‘is crime-specific’ (</w:t>
      </w:r>
      <w:r w:rsidRPr="00922A9E">
        <w:rPr>
          <w:i/>
          <w:iCs/>
          <w:szCs w:val="26"/>
          <w:bdr w:val="none" w:sz="0" w:space="0" w:color="auto" w:frame="1"/>
        </w:rPr>
        <w:t>Miller</w:t>
      </w:r>
      <w:r w:rsidRPr="00922A9E">
        <w:rPr>
          <w:szCs w:val="26"/>
        </w:rPr>
        <w:t xml:space="preserve">, </w:t>
      </w:r>
      <w:r w:rsidRPr="00922A9E">
        <w:rPr>
          <w:i/>
          <w:iCs/>
          <w:szCs w:val="26"/>
          <w:bdr w:val="none" w:sz="0" w:space="0" w:color="auto" w:frame="1"/>
        </w:rPr>
        <w:t>supra</w:t>
      </w:r>
      <w:r w:rsidRPr="00922A9E">
        <w:rPr>
          <w:szCs w:val="26"/>
        </w:rPr>
        <w:t>, 567 U.S. at p. 473), and the Legislature nowhere suggested that young offenders who commit certain crimes . . . are immune to those vulnerabilities or incapable of reform.  There is also no dispute that providing young offenders with a meaningful opportunity for release in light of their capacity for change is the only purpose stated by the Legislature in creating and expanding the parole scheme.  No other purpose is stated in the statute or legislative history.”  (</w:t>
      </w:r>
      <w:r w:rsidRPr="00922A9E">
        <w:rPr>
          <w:i/>
          <w:iCs/>
          <w:szCs w:val="26"/>
        </w:rPr>
        <w:t>Id.</w:t>
      </w:r>
      <w:r w:rsidRPr="00922A9E">
        <w:rPr>
          <w:szCs w:val="26"/>
        </w:rPr>
        <w:t xml:space="preserve"> at p. 881 (dis. opn. of Liu, J.).)</w:t>
      </w:r>
    </w:p>
    <w:p w:rsidR="00922A9E" w:rsidRPr="00922A9E" w:rsidP="00922A9E" w14:paraId="5796D08E" w14:textId="0A640980">
      <w:pPr>
        <w:ind w:firstLine="720"/>
        <w:rPr>
          <w:szCs w:val="26"/>
        </w:rPr>
      </w:pPr>
      <w:r w:rsidRPr="00922A9E">
        <w:rPr>
          <w:szCs w:val="26"/>
        </w:rPr>
        <w:t xml:space="preserve">In </w:t>
      </w:r>
      <w:r w:rsidRPr="00922A9E">
        <w:rPr>
          <w:i/>
          <w:iCs/>
          <w:szCs w:val="26"/>
        </w:rPr>
        <w:t>Hardin</w:t>
      </w:r>
      <w:r w:rsidRPr="00922A9E">
        <w:rPr>
          <w:szCs w:val="26"/>
        </w:rPr>
        <w:t xml:space="preserve">, we addressed a different exclusion from the youth offender parole scheme.  The question was whether the Legislature had a rational basis for excluding 18- to 25-year-olds convicted of special circumstance murder and sentenced to LWOP.  In upholding the exclusion, the court said “[i]t may be true, as Hardin argues, that [the statute’s] crime-based categories” for differentiating between eligible and ineligible defendants (and among eligible defendants as to timing of eligibility) “are not rationally related to the Legislature’s purpose of expanding opportunities for early release based on the attributes of youth since, as </w:t>
      </w:r>
      <w:r w:rsidRPr="00922A9E">
        <w:rPr>
          <w:i/>
          <w:iCs/>
          <w:szCs w:val="26"/>
          <w:bdr w:val="none" w:sz="0" w:space="0" w:color="auto" w:frame="1"/>
        </w:rPr>
        <w:t>Miller</w:t>
      </w:r>
      <w:r w:rsidRPr="00922A9E">
        <w:rPr>
          <w:szCs w:val="26"/>
        </w:rPr>
        <w:t xml:space="preserve"> explained, the attributes of youth are not ‘crime-specific.’  (</w:t>
      </w:r>
      <w:r w:rsidRPr="00922A9E">
        <w:rPr>
          <w:i/>
          <w:iCs/>
          <w:szCs w:val="26"/>
          <w:bdr w:val="none" w:sz="0" w:space="0" w:color="auto" w:frame="1"/>
        </w:rPr>
        <w:t>Miller</w:t>
      </w:r>
      <w:r w:rsidRPr="00922A9E">
        <w:rPr>
          <w:szCs w:val="26"/>
        </w:rPr>
        <w:t xml:space="preserve">, </w:t>
      </w:r>
      <w:r w:rsidRPr="00922A9E">
        <w:rPr>
          <w:i/>
          <w:iCs/>
          <w:szCs w:val="26"/>
          <w:bdr w:val="none" w:sz="0" w:space="0" w:color="auto" w:frame="1"/>
        </w:rPr>
        <w:t>supra</w:t>
      </w:r>
      <w:r w:rsidRPr="00922A9E">
        <w:rPr>
          <w:szCs w:val="26"/>
        </w:rPr>
        <w:t>, 567 U.S. at p. 473.)  No doubt the Legislature</w:t>
      </w:r>
      <w:r w:rsidR="00592F70">
        <w:rPr>
          <w:szCs w:val="26"/>
        </w:rPr>
        <w:t> </w:t>
      </w:r>
      <w:r w:rsidRPr="00922A9E">
        <w:rPr>
          <w:szCs w:val="26"/>
        </w:rPr>
        <w:t xml:space="preserve">— which consciously enacted section 3051 in language that borrowed from </w:t>
      </w:r>
      <w:r w:rsidRPr="00922A9E">
        <w:rPr>
          <w:i/>
          <w:iCs/>
          <w:szCs w:val="26"/>
          <w:bdr w:val="none" w:sz="0" w:space="0" w:color="auto" w:frame="1"/>
        </w:rPr>
        <w:t>Miller</w:t>
      </w:r>
      <w:r w:rsidRPr="00922A9E">
        <w:rPr>
          <w:szCs w:val="26"/>
        </w:rPr>
        <w:t xml:space="preserve"> and other Eighth Amendment juvenile sentencing cases</w:t>
      </w:r>
      <w:r w:rsidR="00592F70">
        <w:rPr>
          <w:szCs w:val="26"/>
        </w:rPr>
        <w:t> </w:t>
      </w:r>
      <w:r w:rsidRPr="00922A9E">
        <w:rPr>
          <w:szCs w:val="26"/>
        </w:rPr>
        <w:t>— was aware of this point.”  (</w:t>
      </w:r>
      <w:r w:rsidRPr="00922A9E">
        <w:rPr>
          <w:i/>
          <w:iCs/>
          <w:szCs w:val="26"/>
        </w:rPr>
        <w:t>Hardin</w:t>
      </w:r>
      <w:r w:rsidRPr="00922A9E">
        <w:rPr>
          <w:szCs w:val="26"/>
        </w:rPr>
        <w:t xml:space="preserve">, </w:t>
      </w:r>
      <w:r w:rsidRPr="00922A9E">
        <w:rPr>
          <w:i/>
          <w:iCs/>
          <w:szCs w:val="26"/>
        </w:rPr>
        <w:t>supra</w:t>
      </w:r>
      <w:r w:rsidRPr="00922A9E">
        <w:rPr>
          <w:szCs w:val="26"/>
        </w:rPr>
        <w:t>, 15 Cal.5th at p. 855.)  The court nonetheless posited, based on the statute’s repeated use of crime-based categories, that “the Legislature sought to balance [its] primary objective” of providing “young persons the opportunity to obtain release based on demonstrated growth and rehabilitation” with “competing . . . concerns about culpability and the appropriate level of punishment for certain very serious crimes.”  (</w:t>
      </w:r>
      <w:r w:rsidRPr="00922A9E">
        <w:rPr>
          <w:i/>
          <w:iCs/>
          <w:szCs w:val="26"/>
        </w:rPr>
        <w:t>Id.</w:t>
      </w:r>
      <w:r w:rsidRPr="00922A9E">
        <w:rPr>
          <w:szCs w:val="26"/>
        </w:rPr>
        <w:t xml:space="preserve"> at p. 854; see </w:t>
      </w:r>
      <w:r w:rsidRPr="00922A9E">
        <w:rPr>
          <w:i/>
          <w:iCs/>
          <w:szCs w:val="26"/>
        </w:rPr>
        <w:t>id.</w:t>
      </w:r>
      <w:r w:rsidRPr="00922A9E">
        <w:rPr>
          <w:szCs w:val="26"/>
        </w:rPr>
        <w:t xml:space="preserve"> at p. 855 [“</w:t>
      </w:r>
      <w:r w:rsidRPr="00922A9E">
        <w:rPr>
          <w:szCs w:val="26"/>
          <w:shd w:val="clear" w:color="auto" w:fill="FFFFFF"/>
        </w:rPr>
        <w:t>The statutory framework indicates that the Legislature aimed to increase opportunities for meaningful release for young adult offenders, while taking into account the appropriate punishment for the underlying crimes, depending on their severity.”].)</w:t>
      </w:r>
      <w:r w:rsidRPr="00922A9E">
        <w:rPr>
          <w:color w:val="3D3D3D"/>
          <w:szCs w:val="25"/>
          <w:shd w:val="clear" w:color="auto" w:fill="FFFFFF"/>
        </w:rPr>
        <w:t> </w:t>
      </w:r>
    </w:p>
    <w:p w:rsidR="00922A9E" w:rsidRPr="00922A9E" w:rsidP="00922A9E" w14:paraId="4FCBC548" w14:textId="77777777">
      <w:pPr>
        <w:ind w:firstLine="720"/>
        <w:rPr>
          <w:szCs w:val="26"/>
          <w:bdr w:val="none" w:sz="0" w:space="0" w:color="auto" w:frame="1"/>
        </w:rPr>
      </w:pPr>
      <w:r w:rsidRPr="00922A9E">
        <w:rPr>
          <w:szCs w:val="26"/>
        </w:rPr>
        <w:t xml:space="preserve">Notably, today’s opinion does not uphold the One Strike exclusion based on </w:t>
      </w:r>
      <w:r w:rsidRPr="00922A9E">
        <w:rPr>
          <w:i/>
          <w:iCs/>
          <w:szCs w:val="26"/>
        </w:rPr>
        <w:t>Hardin</w:t>
      </w:r>
      <w:r w:rsidRPr="00922A9E">
        <w:rPr>
          <w:szCs w:val="26"/>
        </w:rPr>
        <w:t>’s reasoning.  The court does not posit, as it did with regard to the exclusion of young offenders sentenced to LWOP for special circumstance murder, that the exclusion of One Strike offenders reflects a “legislative judgment[]” that a competing interest in “appropriate punishment” for their crimes outweighs the Legislature’s stated interest in providing young offenders a meaningful opportunity for release in light of the non-“ ‘crime-specific’ ” attributes of youth.  (</w:t>
      </w:r>
      <w:r w:rsidRPr="00922A9E">
        <w:rPr>
          <w:i/>
          <w:iCs/>
          <w:szCs w:val="26"/>
        </w:rPr>
        <w:t>Hardin</w:t>
      </w:r>
      <w:r w:rsidRPr="00922A9E">
        <w:rPr>
          <w:szCs w:val="26"/>
        </w:rPr>
        <w:t xml:space="preserve">, </w:t>
      </w:r>
      <w:r w:rsidRPr="00922A9E">
        <w:rPr>
          <w:i/>
          <w:iCs/>
          <w:szCs w:val="26"/>
        </w:rPr>
        <w:t>supra</w:t>
      </w:r>
      <w:r w:rsidRPr="00922A9E">
        <w:rPr>
          <w:szCs w:val="26"/>
        </w:rPr>
        <w:t xml:space="preserve">, 15 Cal.5th at p. 855.)  This is no surprise because such reasoning would run headlong into the high court’s statement in </w:t>
      </w:r>
      <w:r w:rsidRPr="00922A9E">
        <w:rPr>
          <w:i/>
          <w:iCs/>
          <w:szCs w:val="26"/>
        </w:rPr>
        <w:t>Graham</w:t>
      </w:r>
      <w:r w:rsidRPr="00922A9E">
        <w:rPr>
          <w:szCs w:val="26"/>
        </w:rPr>
        <w:t xml:space="preserve"> that “defendants who do not kill, intend to kill, or foresee that life will be taken </w:t>
      </w:r>
      <w:r w:rsidRPr="00922A9E">
        <w:rPr>
          <w:color w:val="000000"/>
          <w:szCs w:val="26"/>
        </w:rPr>
        <w:t>are categorically less deserving of the most serious forms of punishment than are murderers.  [Citations.]  There is a line ‘between homicide and other serious violent offenses against the individual.’  [Citation.]  Serious nonhomicide crimes ‘may be devastating in their harm . . . but “in terms of moral depravity and of the injury to the person and to the public,” . . . they cannot be compared to murder in their “severity and irrevocability.” ’ ”  (</w:t>
      </w:r>
      <w:r w:rsidRPr="00922A9E">
        <w:rPr>
          <w:i/>
          <w:iCs/>
          <w:color w:val="000000"/>
          <w:szCs w:val="26"/>
        </w:rPr>
        <w:t>Graham</w:t>
      </w:r>
      <w:r w:rsidRPr="00922A9E">
        <w:rPr>
          <w:color w:val="000000"/>
          <w:szCs w:val="26"/>
        </w:rPr>
        <w:t xml:space="preserve">, </w:t>
      </w:r>
      <w:r w:rsidRPr="00922A9E">
        <w:rPr>
          <w:i/>
          <w:iCs/>
          <w:color w:val="000000"/>
          <w:szCs w:val="26"/>
        </w:rPr>
        <w:t>supra</w:t>
      </w:r>
      <w:r w:rsidRPr="00922A9E">
        <w:rPr>
          <w:color w:val="000000"/>
          <w:szCs w:val="26"/>
        </w:rPr>
        <w:t>, 560 U.S. at p. 69; see Stats. 2013, ch. 312, § 1 [“T</w:t>
      </w:r>
      <w:r w:rsidRPr="00922A9E">
        <w:rPr>
          <w:szCs w:val="26"/>
        </w:rPr>
        <w:t xml:space="preserve">he purpose of this act is to establish a parole eligibility mechanism . . . in accordance with . . . </w:t>
      </w:r>
      <w:r w:rsidRPr="00922A9E">
        <w:rPr>
          <w:i/>
          <w:iCs/>
          <w:szCs w:val="26"/>
          <w:bdr w:val="none" w:sz="0" w:space="0" w:color="auto" w:frame="1"/>
        </w:rPr>
        <w:t>Graham</w:t>
      </w:r>
      <w:r w:rsidRPr="00922A9E">
        <w:rPr>
          <w:szCs w:val="26"/>
          <w:bdr w:val="none" w:sz="0" w:space="0" w:color="auto" w:frame="1"/>
        </w:rPr>
        <w:t xml:space="preserve"> . . . .”].)  Rationalizing the One Strike exclusion on the basis of offense severity would suggest that One Strike offenses, which (as this case illustrates) often result in a de facto LWOP sentence, are as deserving of punishment as special circumstance murder and more deserving than simple first degree murder, a crime that does not result in ineligibility for youth offender parole (§§ 190, subd. (a), 3051, subd. (b)(3)) — all of which would defy what </w:t>
      </w:r>
      <w:r w:rsidRPr="00922A9E">
        <w:rPr>
          <w:i/>
          <w:iCs/>
          <w:szCs w:val="26"/>
          <w:bdr w:val="none" w:sz="0" w:space="0" w:color="auto" w:frame="1"/>
        </w:rPr>
        <w:t>Graham</w:t>
      </w:r>
      <w:r w:rsidRPr="00922A9E">
        <w:rPr>
          <w:szCs w:val="26"/>
          <w:bdr w:val="none" w:sz="0" w:space="0" w:color="auto" w:frame="1"/>
        </w:rPr>
        <w:t xml:space="preserve"> plainly said.</w:t>
      </w:r>
    </w:p>
    <w:p w:rsidR="00922A9E" w:rsidRPr="00922A9E" w:rsidP="00922A9E" w14:paraId="575C31FF" w14:textId="77777777">
      <w:pPr>
        <w:ind w:firstLine="720"/>
        <w:rPr>
          <w:color w:val="000000"/>
          <w:szCs w:val="26"/>
        </w:rPr>
      </w:pPr>
      <w:r w:rsidRPr="00922A9E">
        <w:rPr>
          <w:color w:val="000000"/>
          <w:szCs w:val="26"/>
        </w:rPr>
        <w:t xml:space="preserve">The court attempts to minimize </w:t>
      </w:r>
      <w:r w:rsidRPr="00922A9E">
        <w:rPr>
          <w:i/>
          <w:iCs/>
          <w:color w:val="000000"/>
          <w:szCs w:val="26"/>
        </w:rPr>
        <w:t>Graham</w:t>
      </w:r>
      <w:r w:rsidRPr="00922A9E">
        <w:rPr>
          <w:color w:val="000000"/>
          <w:szCs w:val="26"/>
        </w:rPr>
        <w:t>’s statement that nonhomicide offenses are “categorically less deserving” of punishment than murder by saying the statement must be considered in the context of “</w:t>
      </w:r>
      <w:r w:rsidRPr="00922A9E">
        <w:t>whether the death penalty is a proportionate punishment to the crime for purposes of the Eighth Amendment</w:t>
      </w:r>
      <w:r w:rsidRPr="00922A9E">
        <w:rPr>
          <w:color w:val="000000"/>
          <w:szCs w:val="26"/>
        </w:rPr>
        <w:t xml:space="preserve">.”  (Maj. opn., </w:t>
      </w:r>
      <w:r w:rsidRPr="00922A9E">
        <w:rPr>
          <w:i/>
          <w:iCs/>
          <w:color w:val="000000"/>
          <w:szCs w:val="26"/>
        </w:rPr>
        <w:t>ante</w:t>
      </w:r>
      <w:r w:rsidRPr="00922A9E">
        <w:rPr>
          <w:color w:val="000000"/>
          <w:szCs w:val="26"/>
        </w:rPr>
        <w:t xml:space="preserve">, at p. 37.)  But </w:t>
      </w:r>
      <w:r w:rsidRPr="00922A9E">
        <w:rPr>
          <w:i/>
          <w:iCs/>
          <w:color w:val="000000"/>
          <w:szCs w:val="26"/>
        </w:rPr>
        <w:t>Graham</w:t>
      </w:r>
      <w:r w:rsidRPr="00922A9E">
        <w:rPr>
          <w:color w:val="000000"/>
          <w:szCs w:val="26"/>
        </w:rPr>
        <w:t xml:space="preserve"> was a case about whether LWOP, not the death penalty, is a permissible punishment for nonhomicide offenses committed by juveniles.  In </w:t>
      </w:r>
      <w:r w:rsidRPr="00922A9E">
        <w:rPr>
          <w:i/>
          <w:iCs/>
          <w:color w:val="000000"/>
          <w:szCs w:val="26"/>
        </w:rPr>
        <w:t>Graham</w:t>
      </w:r>
      <w:r w:rsidRPr="00922A9E">
        <w:rPr>
          <w:color w:val="000000"/>
          <w:szCs w:val="26"/>
        </w:rPr>
        <w:t xml:space="preserve"> itself, the quoted statement had relevance beyond the death penalty (</w:t>
      </w:r>
      <w:r w:rsidRPr="00922A9E">
        <w:rPr>
          <w:i/>
          <w:iCs/>
          <w:color w:val="000000"/>
          <w:szCs w:val="26"/>
        </w:rPr>
        <w:t>Graham</w:t>
      </w:r>
      <w:r w:rsidRPr="00922A9E">
        <w:rPr>
          <w:color w:val="000000"/>
          <w:szCs w:val="26"/>
        </w:rPr>
        <w:t xml:space="preserve">, </w:t>
      </w:r>
      <w:r w:rsidRPr="00922A9E">
        <w:rPr>
          <w:i/>
          <w:iCs/>
          <w:color w:val="000000"/>
          <w:szCs w:val="26"/>
        </w:rPr>
        <w:t>supra</w:t>
      </w:r>
      <w:r w:rsidRPr="00922A9E">
        <w:rPr>
          <w:color w:val="000000"/>
          <w:szCs w:val="26"/>
        </w:rPr>
        <w:t xml:space="preserve">, 560 U.S. at pp. 69–70 [discussing LWOP]), and it is equally relevant here, where the issue concerns parole eligibility for a defendant who is otherwise serving de facto LWOP and who, the Legislature has found, possesses the same youth-related traits as juveniles.  Further, today’s opinion says that </w:t>
      </w:r>
      <w:r w:rsidRPr="00922A9E">
        <w:rPr>
          <w:i/>
          <w:iCs/>
          <w:color w:val="000000"/>
          <w:szCs w:val="26"/>
        </w:rPr>
        <w:t>Graham</w:t>
      </w:r>
      <w:r w:rsidRPr="00922A9E">
        <w:rPr>
          <w:color w:val="000000"/>
          <w:szCs w:val="26"/>
        </w:rPr>
        <w:t>’s statement about “</w:t>
      </w:r>
      <w:r w:rsidRPr="00922A9E">
        <w:t xml:space="preserve">the comparative seriousness of crimes . . . is premised on concerns relevant in the context of Eighth Amendment challenges . . . ; such concerns do not necessarily establish whether a Legislature’s classification violates equal protection under a rational basis standard.”  (Maj. opn., </w:t>
      </w:r>
      <w:r w:rsidRPr="00922A9E">
        <w:rPr>
          <w:i/>
          <w:iCs/>
        </w:rPr>
        <w:t>ante</w:t>
      </w:r>
      <w:r w:rsidRPr="00922A9E">
        <w:t xml:space="preserve">, at pp. 34–35.)  But why not?  As the court acknowledges, “section 3051 was crafted to ‘bring juvenile sentencing in conformity with </w:t>
      </w:r>
      <w:r w:rsidRPr="00922A9E">
        <w:rPr>
          <w:i/>
          <w:iCs/>
        </w:rPr>
        <w:t>Miller</w:t>
      </w:r>
      <w:r w:rsidRPr="00922A9E">
        <w:t xml:space="preserve">, </w:t>
      </w:r>
      <w:r w:rsidRPr="00922A9E">
        <w:rPr>
          <w:i/>
          <w:iCs/>
        </w:rPr>
        <w:t>Graham</w:t>
      </w:r>
      <w:r w:rsidRPr="00922A9E">
        <w:t xml:space="preserve">, and </w:t>
      </w:r>
      <w:r w:rsidRPr="00922A9E">
        <w:rPr>
          <w:i/>
          <w:iCs/>
        </w:rPr>
        <w:t>Caballero</w:t>
      </w:r>
      <w:r w:rsidRPr="00922A9E">
        <w:t>.’ ”  (</w:t>
      </w:r>
      <w:r w:rsidRPr="00922A9E">
        <w:rPr>
          <w:i/>
          <w:iCs/>
        </w:rPr>
        <w:t>Ibid.</w:t>
      </w:r>
      <w:r w:rsidRPr="00922A9E">
        <w:t>)  Surely one indicator of irrationality in a parole eligibility scheme — especially a scheme expressly intended to conform to Eighth Amendment jurisprudence and to extend the same principles to young adults — is the treatment of different offenses without regard to proportionality concerns.</w:t>
      </w:r>
    </w:p>
    <w:p w:rsidR="00922A9E" w:rsidRPr="00922A9E" w:rsidP="00922A9E" w14:paraId="06F6F17C" w14:textId="77777777">
      <w:pPr>
        <w:ind w:firstLine="720"/>
        <w:rPr>
          <w:szCs w:val="26"/>
        </w:rPr>
      </w:pPr>
      <w:r w:rsidRPr="00922A9E">
        <w:rPr>
          <w:color w:val="000000"/>
          <w:szCs w:val="26"/>
        </w:rPr>
        <w:t xml:space="preserve">Realizing that </w:t>
      </w:r>
      <w:r w:rsidRPr="00922A9E">
        <w:rPr>
          <w:i/>
          <w:iCs/>
          <w:color w:val="000000"/>
          <w:szCs w:val="26"/>
        </w:rPr>
        <w:t>Hardin</w:t>
      </w:r>
      <w:r w:rsidRPr="00922A9E">
        <w:rPr>
          <w:color w:val="000000"/>
          <w:szCs w:val="26"/>
        </w:rPr>
        <w:t>’s thesis about offense severity cannot supply a rational basis for the One Strike exclusion, the court hypothesizes that the Legislature “</w:t>
      </w:r>
      <w:r w:rsidRPr="00922A9E">
        <w:t xml:space="preserve">could rationally conclude, based on its view that a One Strike sex offender’s risk of recidivism is high, that rehabilitation is unlikely, and therefore these offenders would not likely be eligible for parole, much less early parole under section 3051.”  (Maj. opn., </w:t>
      </w:r>
      <w:r w:rsidRPr="00922A9E">
        <w:rPr>
          <w:i/>
          <w:iCs/>
        </w:rPr>
        <w:t>ante</w:t>
      </w:r>
      <w:r w:rsidRPr="00922A9E">
        <w:t xml:space="preserve">, at p. 32.)  </w:t>
      </w:r>
      <w:r w:rsidRPr="00922A9E">
        <w:rPr>
          <w:szCs w:val="26"/>
        </w:rPr>
        <w:t xml:space="preserve">But didn’t this court just say in </w:t>
      </w:r>
      <w:r w:rsidRPr="00922A9E">
        <w:rPr>
          <w:i/>
          <w:iCs/>
          <w:szCs w:val="26"/>
        </w:rPr>
        <w:t>Hardin</w:t>
      </w:r>
      <w:r w:rsidRPr="00922A9E">
        <w:rPr>
          <w:szCs w:val="26"/>
        </w:rPr>
        <w:t xml:space="preserve">, six months ago, that section 3051’s </w:t>
      </w:r>
      <w:r w:rsidRPr="00922A9E">
        <w:rPr>
          <w:color w:val="000000"/>
          <w:szCs w:val="26"/>
        </w:rPr>
        <w:t>“</w:t>
      </w:r>
      <w:r w:rsidRPr="00922A9E">
        <w:rPr>
          <w:i/>
          <w:iCs/>
          <w:szCs w:val="26"/>
        </w:rPr>
        <w:t xml:space="preserve">crime-based categories are not rationally related to the Legislature’s purpose of expanding opportunities for early release based on the attributes of youth since, as </w:t>
      </w:r>
      <w:r w:rsidRPr="00922A9E">
        <w:rPr>
          <w:szCs w:val="26"/>
          <w:bdr w:val="none" w:sz="0" w:space="0" w:color="auto" w:frame="1"/>
        </w:rPr>
        <w:t>Miller</w:t>
      </w:r>
      <w:r w:rsidRPr="00922A9E">
        <w:rPr>
          <w:i/>
          <w:iCs/>
          <w:szCs w:val="26"/>
        </w:rPr>
        <w:t xml:space="preserve"> explained, the attributes of youth are not ‘crime-specific.’</w:t>
      </w:r>
      <w:r w:rsidRPr="00922A9E">
        <w:rPr>
          <w:szCs w:val="26"/>
        </w:rPr>
        <w:t xml:space="preserve">  (</w:t>
      </w:r>
      <w:r w:rsidRPr="00922A9E">
        <w:rPr>
          <w:i/>
          <w:iCs/>
          <w:szCs w:val="26"/>
        </w:rPr>
        <w:t>Miller</w:t>
      </w:r>
      <w:r w:rsidRPr="00922A9E">
        <w:rPr>
          <w:szCs w:val="26"/>
        </w:rPr>
        <w:t xml:space="preserve">, </w:t>
      </w:r>
      <w:r w:rsidRPr="00922A9E">
        <w:rPr>
          <w:i/>
          <w:iCs/>
          <w:szCs w:val="26"/>
        </w:rPr>
        <w:t>supra</w:t>
      </w:r>
      <w:r w:rsidRPr="00922A9E">
        <w:rPr>
          <w:szCs w:val="26"/>
        </w:rPr>
        <w:t xml:space="preserve">, 567 U.S. at p. 473.)  </w:t>
      </w:r>
      <w:r w:rsidRPr="00922A9E">
        <w:rPr>
          <w:i/>
          <w:iCs/>
          <w:szCs w:val="26"/>
        </w:rPr>
        <w:t xml:space="preserve">No doubt the Legislature — which consciously enacted section 3051 in language that borrowed from </w:t>
      </w:r>
      <w:r w:rsidRPr="00922A9E">
        <w:rPr>
          <w:szCs w:val="26"/>
          <w:bdr w:val="none" w:sz="0" w:space="0" w:color="auto" w:frame="1"/>
        </w:rPr>
        <w:t>Miller</w:t>
      </w:r>
      <w:r w:rsidRPr="00922A9E">
        <w:rPr>
          <w:i/>
          <w:iCs/>
          <w:szCs w:val="26"/>
        </w:rPr>
        <w:t xml:space="preserve"> and other Eighth Amendment juvenile sentencing cases — was aware of this point</w:t>
      </w:r>
      <w:r w:rsidRPr="00922A9E">
        <w:rPr>
          <w:szCs w:val="26"/>
        </w:rPr>
        <w:t>”?  (</w:t>
      </w:r>
      <w:r w:rsidRPr="00922A9E">
        <w:rPr>
          <w:i/>
          <w:iCs/>
          <w:szCs w:val="26"/>
        </w:rPr>
        <w:t>Hardin</w:t>
      </w:r>
      <w:r w:rsidRPr="00922A9E">
        <w:rPr>
          <w:szCs w:val="26"/>
        </w:rPr>
        <w:t xml:space="preserve">, </w:t>
      </w:r>
      <w:r w:rsidRPr="00922A9E">
        <w:rPr>
          <w:i/>
          <w:iCs/>
          <w:szCs w:val="26"/>
        </w:rPr>
        <w:t>supra</w:t>
      </w:r>
      <w:r w:rsidRPr="00922A9E">
        <w:rPr>
          <w:szCs w:val="26"/>
        </w:rPr>
        <w:t xml:space="preserve">, 15 Cal.5th at p. 855, italics added; see also </w:t>
      </w:r>
      <w:r w:rsidRPr="00922A9E">
        <w:rPr>
          <w:i/>
          <w:iCs/>
          <w:szCs w:val="26"/>
        </w:rPr>
        <w:t>Graham</w:t>
      </w:r>
      <w:r w:rsidRPr="00922A9E">
        <w:rPr>
          <w:szCs w:val="26"/>
        </w:rPr>
        <w:t xml:space="preserve">, </w:t>
      </w:r>
      <w:r w:rsidRPr="00922A9E">
        <w:rPr>
          <w:i/>
          <w:iCs/>
          <w:szCs w:val="26"/>
        </w:rPr>
        <w:t>supra</w:t>
      </w:r>
      <w:r w:rsidRPr="00922A9E">
        <w:rPr>
          <w:szCs w:val="26"/>
        </w:rPr>
        <w:t>, 560 U.S. at p. 73 [“ ‘</w:t>
      </w:r>
      <w:r w:rsidRPr="00922A9E">
        <w:t>incorrigibility is inconsistent with youth’ ”].</w:t>
      </w:r>
      <w:r w:rsidRPr="00922A9E">
        <w:rPr>
          <w:szCs w:val="26"/>
        </w:rPr>
        <w:t xml:space="preserve">)  Today’s opinion now suggests the Legislature rejected </w:t>
      </w:r>
      <w:r w:rsidRPr="00922A9E">
        <w:rPr>
          <w:i/>
          <w:iCs/>
          <w:szCs w:val="26"/>
        </w:rPr>
        <w:t>Miller</w:t>
      </w:r>
      <w:r w:rsidRPr="00922A9E">
        <w:rPr>
          <w:szCs w:val="26"/>
        </w:rPr>
        <w:t>’s statement that the attributes of youth are not “crime-specific” and instead believed that the capacity of youth offenders for maturation and rehabilitation does not apply to young adult One Strike offenders.  Well, which is it?</w:t>
      </w:r>
    </w:p>
    <w:p w:rsidR="00922A9E" w:rsidRPr="00922A9E" w:rsidP="00922A9E" w14:paraId="4A9AE076" w14:textId="77777777">
      <w:pPr>
        <w:ind w:firstLine="720"/>
        <w:rPr>
          <w:szCs w:val="26"/>
        </w:rPr>
      </w:pPr>
      <w:r w:rsidRPr="00922A9E">
        <w:rPr>
          <w:szCs w:val="26"/>
        </w:rPr>
        <w:t xml:space="preserve">The answer is straightforward from section 3051’s express statement of purpose and its legislative history, which “consciously” endorsed </w:t>
      </w:r>
      <w:r w:rsidRPr="00922A9E">
        <w:rPr>
          <w:i/>
          <w:iCs/>
          <w:szCs w:val="26"/>
        </w:rPr>
        <w:t>Miller</w:t>
      </w:r>
      <w:r w:rsidRPr="00922A9E">
        <w:rPr>
          <w:szCs w:val="26"/>
        </w:rPr>
        <w:t xml:space="preserve"> and </w:t>
      </w:r>
      <w:r w:rsidRPr="00922A9E">
        <w:rPr>
          <w:i/>
          <w:iCs/>
          <w:szCs w:val="26"/>
        </w:rPr>
        <w:t>Graham</w:t>
      </w:r>
      <w:r w:rsidRPr="00922A9E">
        <w:rPr>
          <w:szCs w:val="26"/>
        </w:rPr>
        <w:t xml:space="preserve"> (</w:t>
      </w:r>
      <w:r w:rsidRPr="00922A9E">
        <w:rPr>
          <w:i/>
          <w:iCs/>
          <w:szCs w:val="26"/>
        </w:rPr>
        <w:t>Hardin</w:t>
      </w:r>
      <w:r w:rsidRPr="00922A9E">
        <w:rPr>
          <w:szCs w:val="26"/>
        </w:rPr>
        <w:t xml:space="preserve">, </w:t>
      </w:r>
      <w:r w:rsidRPr="00922A9E">
        <w:rPr>
          <w:i/>
          <w:iCs/>
          <w:szCs w:val="26"/>
        </w:rPr>
        <w:t>supra</w:t>
      </w:r>
      <w:r w:rsidRPr="00922A9E">
        <w:rPr>
          <w:szCs w:val="26"/>
        </w:rPr>
        <w:t>, 15 Cal.5th at p. 855) and highlighted the reduced culpability and natural capacity for change of young offenders across the board.  (</w:t>
      </w:r>
      <w:r w:rsidRPr="00922A9E">
        <w:rPr>
          <w:i/>
          <w:iCs/>
          <w:szCs w:val="26"/>
        </w:rPr>
        <w:t>Ante</w:t>
      </w:r>
      <w:r w:rsidRPr="00922A9E">
        <w:rPr>
          <w:szCs w:val="26"/>
        </w:rPr>
        <w:t>, at pp. 11–12.)  Nothing in the statute’s findings, statement of purpose, or “framework” (</w:t>
      </w:r>
      <w:r w:rsidRPr="00922A9E">
        <w:rPr>
          <w:i/>
          <w:iCs/>
          <w:szCs w:val="26"/>
        </w:rPr>
        <w:t>Hardin</w:t>
      </w:r>
      <w:r w:rsidRPr="00922A9E">
        <w:rPr>
          <w:szCs w:val="26"/>
        </w:rPr>
        <w:t>, at p. 855) suggests that One Strike offenders, unlike other young adult offenders, are incapable of change.  And “</w:t>
      </w:r>
      <w:r w:rsidRPr="00922A9E">
        <w:t xml:space="preserve">nothing in section 3051’s legislative history specifically references the reason for the One Strike exclusion.”  (Maj. opn., </w:t>
      </w:r>
      <w:r w:rsidRPr="00922A9E">
        <w:rPr>
          <w:i/>
          <w:iCs/>
        </w:rPr>
        <w:t>ante</w:t>
      </w:r>
      <w:r w:rsidRPr="00922A9E">
        <w:t>, at pp. 29–30.)</w:t>
      </w:r>
    </w:p>
    <w:p w:rsidR="00922A9E" w:rsidRPr="00922A9E" w:rsidP="00922A9E" w14:paraId="32A1F479" w14:textId="77777777">
      <w:pPr>
        <w:ind w:firstLine="720"/>
      </w:pPr>
      <w:r w:rsidRPr="00922A9E">
        <w:t xml:space="preserve">Finding no support in the text or legislative history of section 3051 for the theory that the One Strike exclusion reflects rational concerns about recidivism, today’s opinion purports to identify such support in the history of the One Strike law.  (Maj. opn., </w:t>
      </w:r>
      <w:r w:rsidRPr="00922A9E">
        <w:rPr>
          <w:i/>
          <w:iCs/>
        </w:rPr>
        <w:t>ante</w:t>
      </w:r>
      <w:r w:rsidRPr="00922A9E">
        <w:t xml:space="preserve">, at pp. 30–33.)  The court cites various assertions in the Voter Guide on Proposition 83 (Jessica’s Law) and the legislative history of Chelsea’s Law (e.g., maj. opn., </w:t>
      </w:r>
      <w:r w:rsidRPr="00922A9E">
        <w:rPr>
          <w:i/>
          <w:iCs/>
        </w:rPr>
        <w:t>ante</w:t>
      </w:r>
      <w:r w:rsidRPr="00922A9E">
        <w:t xml:space="preserve">, at pp. 31–32 [“sex offenders have ‘very high recidivism rates’ [and] ‘are the least likely to be cured and the most likely to reoffend’ ”]; </w:t>
      </w:r>
      <w:r w:rsidRPr="00922A9E">
        <w:rPr>
          <w:i/>
          <w:iCs/>
        </w:rPr>
        <w:t>id.</w:t>
      </w:r>
      <w:r w:rsidRPr="00922A9E">
        <w:t xml:space="preserve"> at p. 32 [“</w:t>
      </w:r>
      <w:r w:rsidRPr="00922A9E">
        <w:rPr>
          <w:color w:val="000000"/>
          <w:szCs w:val="26"/>
        </w:rPr>
        <w:t>sex offenders who commit ‘the most serious and heinous sex crimes against children are not able to be rehabilitated’ ”]</w:t>
      </w:r>
      <w:r w:rsidRPr="00922A9E">
        <w:t>), and posits that the Legislature, in enacting the youth offender parole scheme, had those same concerns (</w:t>
      </w:r>
      <w:r w:rsidRPr="00922A9E">
        <w:rPr>
          <w:i/>
          <w:iCs/>
        </w:rPr>
        <w:t>id.</w:t>
      </w:r>
      <w:r w:rsidRPr="00922A9E">
        <w:t xml:space="preserve"> at pp. 32–33).</w:t>
      </w:r>
    </w:p>
    <w:p w:rsidR="00922A9E" w:rsidRPr="00922A9E" w:rsidP="00922A9E" w14:paraId="0A2C8520" w14:textId="77777777">
      <w:pPr>
        <w:ind w:firstLine="720"/>
      </w:pPr>
      <w:r w:rsidRPr="00922A9E">
        <w:t>As an initial matter, it is rather unorthodox to ascribe to the Legislature that enacted and expanded the youth offender parole scheme from 2013 to 2017 the beliefs of the voters who enacted Jessica’s Law in 2006 or the views of the Legislature that enacted Chelsea’s Law in 2010.  Because the Legislature’s membership, knowledge base, and priorities can change over time, a statute’s meaning “must be closely related to the time and circumstance of its use.”  (</w:t>
      </w:r>
      <w:r w:rsidRPr="00922A9E">
        <w:rPr>
          <w:i/>
          <w:iCs/>
        </w:rPr>
        <w:t>United States v. Stewart</w:t>
      </w:r>
      <w:r w:rsidRPr="00922A9E">
        <w:t xml:space="preserve"> (1940) 311 U.S. 60, 69.)  It is especially unconvincing to impute the views of the electorate that amended the One Strike law in 2006 to an entirely different legislative body (i.e., the Legislature that enacted the youth offender parole statute seven years later), particularly when that legislative body was considering a distinct subset of offenders (i.e., youth offenders) with unique attributes.</w:t>
      </w:r>
    </w:p>
    <w:p w:rsidR="00922A9E" w:rsidRPr="00922A9E" w:rsidP="00922A9E" w14:paraId="68FBD4D2" w14:textId="77777777">
      <w:pPr>
        <w:ind w:firstLine="720"/>
      </w:pPr>
      <w:r w:rsidRPr="00922A9E">
        <w:t xml:space="preserve">The Legislature that enacted section 3051 did not refer to the legislative history of the One Strike law, and it is telling that the Legislature said nothing at all about its reason for the One Strike exclusion.  The California Sex Offender Management Board, the state’s official authority on sex offenders, had observed in a 2010 report that “[p]olicy makers have insufficient resources for obtaining reliable information about recidivism nor do they have ready access to expert assistance in interpreting the complex recidivism data available from multiple sources.”  (CASOMB, </w:t>
      </w:r>
      <w:r w:rsidRPr="00922A9E">
        <w:rPr>
          <w:i/>
          <w:iCs/>
        </w:rPr>
        <w:t>supra</w:t>
      </w:r>
      <w:r w:rsidRPr="00922A9E">
        <w:t>, at p. 77.)  The Board also reported that “[n]o information is available at this time regarding sexual recidivism for sex offenders on probation in California.”  (</w:t>
      </w:r>
      <w:r w:rsidRPr="00922A9E">
        <w:rPr>
          <w:i/>
          <w:iCs/>
        </w:rPr>
        <w:t>Ibid.</w:t>
      </w:r>
      <w:r w:rsidRPr="00922A9E">
        <w:t xml:space="preserve">)  And while the Attorney General says </w:t>
      </w:r>
      <w:r w:rsidRPr="00922A9E">
        <w:rPr>
          <w:color w:val="000000"/>
          <w:szCs w:val="26"/>
        </w:rPr>
        <w:t xml:space="preserve">“[s]tudies in the 1980s” demonstrated that “ ‘[s]ex offenders as a group are highly recidivistic,’ ” he acknowledges that more recent studies have shown that this “commonly held belief . . . is not supported by the evidence.”  (Lave, </w:t>
      </w:r>
      <w:r w:rsidRPr="00922A9E">
        <w:rPr>
          <w:i/>
          <w:iCs/>
          <w:color w:val="000000"/>
          <w:szCs w:val="26"/>
        </w:rPr>
        <w:t>Arizona’s Sex Offender Laws:  Recommendations for Reform</w:t>
      </w:r>
      <w:r w:rsidRPr="00922A9E">
        <w:rPr>
          <w:color w:val="000000"/>
          <w:szCs w:val="26"/>
        </w:rPr>
        <w:t xml:space="preserve"> (2020) 52 Ariz. State L.J. 925, 926, citing Ahluwalia, </w:t>
      </w:r>
      <w:r w:rsidRPr="00922A9E">
        <w:rPr>
          <w:i/>
          <w:iCs/>
          <w:color w:val="000000"/>
          <w:szCs w:val="26"/>
        </w:rPr>
        <w:t>supra</w:t>
      </w:r>
      <w:r w:rsidRPr="00922A9E">
        <w:rPr>
          <w:color w:val="000000"/>
          <w:szCs w:val="26"/>
        </w:rPr>
        <w:t>, 4 Cardozo Pub. L. Policy &amp; Ethics J. at p. 494.)</w:t>
      </w:r>
    </w:p>
    <w:p w:rsidR="00922A9E" w:rsidRPr="00922A9E" w:rsidP="00922A9E" w14:paraId="20205EF9" w14:textId="77777777">
      <w:pPr>
        <w:ind w:firstLine="720"/>
      </w:pPr>
      <w:r w:rsidRPr="00922A9E">
        <w:t xml:space="preserve">More recently, the California Department of Corrections and Rehabilitation (CDCR) has published reports on the reconviction rates of individuals released from California prisons, including those released on parole.  Although the reports track reconviction rates for only a three-year period following release, they provide the only comprehensive California-specific data available, and they find that “sex offenders consistently recidivate at lower rates than non-sex offenders.”  (CDCR, Recidivism Rep. for Individuals Released from the Cal. Dept. of Corrections and Rehabilitation in Fiscal Year 2017–18 (2023) p. 26 (2017–2018 CDCR Report); see </w:t>
      </w:r>
      <w:r w:rsidRPr="00922A9E">
        <w:rPr>
          <w:i/>
          <w:iCs/>
        </w:rPr>
        <w:t>ibid.</w:t>
      </w:r>
      <w:r w:rsidRPr="00922A9E">
        <w:t xml:space="preserve"> [“According to historical data, the conviction rate for sex registrants is regularly at least 15 percentage points lower than the rate for non-sex registrants”]; CDCR, Recidivism Rep. for Individuals Released from the Cal. Dept. of Corrections and Rehabilitation in Fiscal Year 2018–19 (2024) p. 23 (2018–2019 CDCR Report) [same]; CDCR, Recidivism Report for Individuals Released from the Cal. Dept. of Corrections and Rehabilitation in Fiscal Year 2011–12 (2017) p. 33 (2011–2012 CDCR Report) [same].)</w:t>
      </w:r>
    </w:p>
    <w:p w:rsidR="00922A9E" w:rsidRPr="00922A9E" w:rsidP="00922A9E" w14:paraId="14E83267" w14:textId="77777777">
      <w:pPr>
        <w:ind w:firstLine="720"/>
      </w:pPr>
      <w:r w:rsidRPr="00922A9E">
        <w:t xml:space="preserve">This pattern holds for persons released after serving sentences for the most serious sex offenses.  For example, the three-year reconviction rates for </w:t>
      </w:r>
      <w:r w:rsidRPr="00922A9E">
        <w:rPr>
          <w:i/>
          <w:iCs/>
        </w:rPr>
        <w:t>any</w:t>
      </w:r>
      <w:r w:rsidRPr="00922A9E">
        <w:t xml:space="preserve"> crime, not necessarily a sex crime, among persons released in 2017–2018 whose commitment offense was penetration with an object (11.9%), rape (10.3%), or lewd act with a child (7.1%) were far lower than the rates among persons whose commitment offense was residential burglary (48.7%), assault with a deadly weapon (43.4%), arson (42.0%), or robbery (41.6%).  (2017–2018 CDCR Report, at pp. 39–40.)  Moreover, the vast majority of sex registrants who were reconvicted were convicted of a non-sex crime or failure to register; very few were convicted of a new sex crime.  (See 2011–2012 CDCR Report, at p. 35 [2.2% of reconvicted sex registrants were convicted of a felony sex crime and 1.0% were convicted of a misdemeanor sex crime]; 2017–2018 CDCR Report, at p. 26 [4.8% and 1.5%, respectively]; 2018–2019 CDCR Report, at p. 23 [5.2% and 2.7%, respectively].)</w:t>
      </w:r>
    </w:p>
    <w:p w:rsidR="00922A9E" w:rsidRPr="00922A9E" w:rsidP="00922A9E" w14:paraId="2AE258E2" w14:textId="77777777">
      <w:pPr>
        <w:ind w:firstLine="720"/>
        <w:rPr>
          <w:color w:val="000000"/>
          <w:szCs w:val="26"/>
        </w:rPr>
      </w:pPr>
      <w:r w:rsidRPr="00922A9E">
        <w:t xml:space="preserve">Whether or not the Legislature was aware of such data, I mention them to rebut the court’s casual assertion that the Legislature, in enacting and expanding the youth offender parole scheme from 2013 to 2017, could rationally have been concerned about recidivism among One Strike offenders despite its express recognition of the non-crime-specific capacity of young offenders to mature and rehabilitate.  If, contrary to the fundamental premise of the youth offender parole scheme, recidivism was the Legislature’s concern, it is not clear why the Legislature would have singled out One Strike offenders for exclusion over other types of offenders.  It is especially unclear </w:t>
      </w:r>
      <w:r w:rsidRPr="00922A9E">
        <w:rPr>
          <w:color w:val="000000"/>
          <w:szCs w:val="26"/>
        </w:rPr>
        <w:t>why the Legislature did not exclude persons sentenced under the Habitual Sexual Offender law (§ 667.71), which “target[s] only recidivist sexual offenders” (</w:t>
      </w:r>
      <w:r w:rsidRPr="00922A9E">
        <w:rPr>
          <w:i/>
          <w:iCs/>
          <w:szCs w:val="26"/>
        </w:rPr>
        <w:t>People v. Hammer</w:t>
      </w:r>
      <w:r w:rsidRPr="00922A9E">
        <w:rPr>
          <w:szCs w:val="26"/>
        </w:rPr>
        <w:t xml:space="preserve"> (2003) 30 Cal.4th 756, 768</w:t>
      </w:r>
      <w:r w:rsidRPr="00922A9E">
        <w:rPr>
          <w:color w:val="000000"/>
          <w:szCs w:val="26"/>
        </w:rPr>
        <w:t>).  Such an exclusion would be “</w:t>
      </w:r>
      <w:r w:rsidRPr="00922A9E">
        <w:rPr>
          <w:szCs w:val="26"/>
        </w:rPr>
        <w:t>consistent with the common sense view that a defendant who reoffends after a prior conviction is ‘less amenable to rehabilitation than a person who has not done so.</w:t>
      </w:r>
      <w:bookmarkStart w:id="15" w:name="_Hlk170542169"/>
      <w:r w:rsidRPr="00922A9E">
        <w:rPr>
          <w:szCs w:val="26"/>
        </w:rPr>
        <w:t xml:space="preserve">’ ”  </w:t>
      </w:r>
      <w:bookmarkEnd w:id="15"/>
      <w:r w:rsidRPr="00922A9E">
        <w:rPr>
          <w:szCs w:val="26"/>
        </w:rPr>
        <w:t xml:space="preserve">(Maj. opn., </w:t>
      </w:r>
      <w:r w:rsidRPr="00922A9E">
        <w:rPr>
          <w:i/>
          <w:iCs/>
          <w:szCs w:val="26"/>
        </w:rPr>
        <w:t>ante</w:t>
      </w:r>
      <w:r w:rsidRPr="00922A9E">
        <w:rPr>
          <w:szCs w:val="26"/>
        </w:rPr>
        <w:t>, at p. 33.)</w:t>
      </w:r>
    </w:p>
    <w:p w:rsidR="00922A9E" w:rsidRPr="00922A9E" w:rsidP="00922A9E" w14:paraId="4878AA2C" w14:textId="77777777">
      <w:pPr>
        <w:ind w:firstLine="720"/>
      </w:pPr>
      <w:r w:rsidRPr="00922A9E">
        <w:rPr>
          <w:color w:val="000000"/>
          <w:szCs w:val="26"/>
        </w:rPr>
        <w:t xml:space="preserve">The court’s ultimate contention is that the One Strike exclusion reflects the Legislature’s concern not for offense severity alone and not for recidivism risk alone, but instead for an amalgam of those two concerns.  (See maj. opn., </w:t>
      </w:r>
      <w:r w:rsidRPr="00922A9E">
        <w:rPr>
          <w:i/>
          <w:iCs/>
          <w:color w:val="000000"/>
          <w:szCs w:val="26"/>
        </w:rPr>
        <w:t>ante</w:t>
      </w:r>
      <w:r w:rsidRPr="00922A9E">
        <w:rPr>
          <w:color w:val="000000"/>
          <w:szCs w:val="26"/>
        </w:rPr>
        <w:t>, at p. 40 [distinguishing Habitual Sexual Offender law on the ground that “</w:t>
      </w:r>
      <w:r w:rsidRPr="00922A9E">
        <w:rPr>
          <w:szCs w:val="26"/>
        </w:rPr>
        <w:t xml:space="preserve">[t]he One Strike law addresses not only a defendant’s risk of recidivism but, as important here, the aggravated circumstances of the underlying crime”]; </w:t>
      </w:r>
      <w:r w:rsidRPr="00922A9E">
        <w:rPr>
          <w:i/>
          <w:iCs/>
          <w:szCs w:val="26"/>
        </w:rPr>
        <w:t>id.</w:t>
      </w:r>
      <w:r w:rsidRPr="00922A9E">
        <w:rPr>
          <w:szCs w:val="26"/>
        </w:rPr>
        <w:t xml:space="preserve"> at p. 45</w:t>
      </w:r>
      <w:r w:rsidRPr="00922A9E">
        <w:rPr>
          <w:color w:val="000000"/>
          <w:szCs w:val="26"/>
        </w:rPr>
        <w:t xml:space="preserve"> [“</w:t>
      </w:r>
      <w:r w:rsidRPr="00922A9E">
        <w:t>In sum, we conclude that the Legislature may reasonably have found that One Strike offenders pose an increased risk of recidivism and that the aggravated nature of their offenses diminishes their prospects for rehabilitation.”].)  This amalgam fares no better than its individual components as a basis for the One Strike exclusion.</w:t>
      </w:r>
    </w:p>
    <w:p w:rsidR="00922A9E" w:rsidRPr="00922A9E" w:rsidP="00922A9E" w14:paraId="58252C2E" w14:textId="77777777">
      <w:pPr>
        <w:ind w:firstLine="720"/>
      </w:pPr>
      <w:r w:rsidRPr="00922A9E">
        <w:t>The court seems to posit that the Legislature applied some kind of (</w:t>
      </w:r>
      <w:r w:rsidRPr="00922A9E">
        <w:rPr>
          <w:i/>
          <w:iCs/>
        </w:rPr>
        <w:t>offense severity</w:t>
      </w:r>
      <w:r w:rsidRPr="00922A9E">
        <w:t xml:space="preserve"> x </w:t>
      </w:r>
      <w:r w:rsidRPr="00922A9E">
        <w:rPr>
          <w:i/>
          <w:iCs/>
        </w:rPr>
        <w:t>recidivism risk</w:t>
      </w:r>
      <w:r w:rsidRPr="00922A9E">
        <w:t>) calculus that yields a judgment of ineligibility for young One Strike offenders.  This approach might have some plausibility were it not for the fact that it appears tailor-made to sustain the One Strike exclusion, with no discernible application to the vast range of other offenses covered by the parole scheme.  As noted, the CDCR studies observe that persons convicted of first degree burglary, robbery, arson, or assault with a deadly weapon tend to recidivate at much higher rates than persons convicted of rape.  (See 2018</w:t>
      </w:r>
      <w:r w:rsidRPr="00922A9E">
        <w:softHyphen/>
        <w:t xml:space="preserve">–2019 CDCR Report, at p. 36; 2017–2018 CDCR Report, at p. 39.)  Many of those offenses are “serious” and “violent” felonies under our sentencing laws.  (§§ 667.5, subd. (c), 1192.7, subd. (c); see </w:t>
      </w:r>
      <w:r w:rsidRPr="00922A9E">
        <w:rPr>
          <w:i/>
          <w:iCs/>
        </w:rPr>
        <w:t>People v. Cruz</w:t>
      </w:r>
      <w:r w:rsidRPr="00922A9E">
        <w:t xml:space="preserve"> (1996) 13 Cal.4th 764, 772–773 [voters who enacted section 1192.7 believed residential burglaries “are so inherently dangerous that persons who repeatedly commit this type of offense should be punished as harshly as violent recidivists”]; see also </w:t>
      </w:r>
      <w:r w:rsidRPr="00922A9E">
        <w:rPr>
          <w:i/>
          <w:iCs/>
        </w:rPr>
        <w:t>Graham</w:t>
      </w:r>
      <w:r w:rsidRPr="00922A9E">
        <w:t xml:space="preserve">, </w:t>
      </w:r>
      <w:r w:rsidRPr="00922A9E">
        <w:rPr>
          <w:i/>
          <w:iCs/>
        </w:rPr>
        <w:t>supra</w:t>
      </w:r>
      <w:r w:rsidRPr="00922A9E">
        <w:t>, 560 U.S. at p. 69 [“an offense like robbery or rape is ‘a serious crime deserving serious punishment’ ”].)  Given the comparatively high rates of reconviction among those who have committed serious and violent non-sex crimes against persons, is it realistically conceivable that the Legislature applied an (</w:t>
      </w:r>
      <w:r w:rsidRPr="00922A9E">
        <w:rPr>
          <w:i/>
          <w:iCs/>
        </w:rPr>
        <w:t>offense</w:t>
      </w:r>
      <w:r w:rsidRPr="00922A9E">
        <w:t xml:space="preserve"> </w:t>
      </w:r>
      <w:r w:rsidRPr="00922A9E">
        <w:rPr>
          <w:i/>
          <w:iCs/>
        </w:rPr>
        <w:t>severity</w:t>
      </w:r>
      <w:r w:rsidRPr="00922A9E">
        <w:t xml:space="preserve"> x </w:t>
      </w:r>
      <w:r w:rsidRPr="00922A9E">
        <w:rPr>
          <w:i/>
          <w:iCs/>
        </w:rPr>
        <w:t>recidivism risk</w:t>
      </w:r>
      <w:r w:rsidRPr="00922A9E">
        <w:t>) calculus so exquisitely calibrated that it produced an answer of “ineligible” for One Strike offenders and no others?</w:t>
      </w:r>
    </w:p>
    <w:p w:rsidR="00922A9E" w:rsidRPr="00922A9E" w:rsidP="00922A9E" w14:paraId="251CC484" w14:textId="77777777">
      <w:pPr>
        <w:ind w:firstLine="720"/>
      </w:pPr>
      <w:r w:rsidRPr="00922A9E">
        <w:t xml:space="preserve">In </w:t>
      </w:r>
      <w:r w:rsidRPr="00922A9E">
        <w:rPr>
          <w:i/>
          <w:iCs/>
        </w:rPr>
        <w:t>Hardin</w:t>
      </w:r>
      <w:r w:rsidRPr="00922A9E">
        <w:t>, this court inferred from the Legislature’s use of numerous “crime-based distinctions” throughout the “statutory framework” that it sought to balance parole eligibility with considerations of offense severity and appropriate punishment.  (</w:t>
      </w:r>
      <w:r w:rsidRPr="00922A9E">
        <w:rPr>
          <w:i/>
          <w:iCs/>
        </w:rPr>
        <w:t>Hardin</w:t>
      </w:r>
      <w:r w:rsidRPr="00922A9E">
        <w:t xml:space="preserve">, </w:t>
      </w:r>
      <w:r w:rsidRPr="00922A9E">
        <w:rPr>
          <w:i/>
          <w:iCs/>
        </w:rPr>
        <w:t>supra</w:t>
      </w:r>
      <w:r w:rsidRPr="00922A9E">
        <w:t>, 15 Cal.5th at pp. 854</w:t>
      </w:r>
      <w:r w:rsidRPr="00922A9E">
        <w:softHyphen/>
        <w:t>–855.)  Here, apart from the One Strike exclusion itself, the court points to nothing in section 3051 or its legislative history suggesting that an (</w:t>
      </w:r>
      <w:r w:rsidRPr="00922A9E">
        <w:rPr>
          <w:i/>
          <w:iCs/>
        </w:rPr>
        <w:t>offense severity</w:t>
      </w:r>
      <w:r w:rsidRPr="00922A9E">
        <w:t xml:space="preserve"> x </w:t>
      </w:r>
      <w:r w:rsidRPr="00922A9E">
        <w:rPr>
          <w:i/>
          <w:iCs/>
        </w:rPr>
        <w:t>recidivism risk</w:t>
      </w:r>
      <w:r w:rsidRPr="00922A9E">
        <w:t xml:space="preserve">) calculus informed the Legislature’s crafting of the youth offender parole scheme.  To my mind, the single-use nature of this hypothesized rationale makes it less than plausible.  (See </w:t>
      </w:r>
      <w:r w:rsidRPr="00922A9E">
        <w:rPr>
          <w:i/>
          <w:iCs/>
          <w:szCs w:val="26"/>
        </w:rPr>
        <w:t>Hays v. Wood</w:t>
      </w:r>
      <w:r w:rsidRPr="00922A9E">
        <w:rPr>
          <w:szCs w:val="26"/>
        </w:rPr>
        <w:t xml:space="preserve"> (1979) 25 Cal.3d 772, 790 (</w:t>
      </w:r>
      <w:r w:rsidRPr="00922A9E">
        <w:rPr>
          <w:i/>
          <w:iCs/>
          <w:szCs w:val="26"/>
        </w:rPr>
        <w:t>Hays</w:t>
      </w:r>
      <w:r w:rsidRPr="00922A9E">
        <w:rPr>
          <w:szCs w:val="26"/>
        </w:rPr>
        <w:t xml:space="preserve">) [holding that, under an “application of the equal protection provisions of our state Constitution,” the </w:t>
      </w:r>
      <w:r w:rsidRPr="00922A9E">
        <w:rPr>
          <w:color w:val="000000"/>
          <w:szCs w:val="26"/>
        </w:rPr>
        <w:t>“ ‘underinclusive’ aspect” of the law at issue could not be justified on the ground that “a legislative body, in addressing a particular problem area, need not attack all phases at once”].)</w:t>
      </w:r>
    </w:p>
    <w:p w:rsidR="00922A9E" w:rsidRPr="00922A9E" w:rsidP="00922A9E" w14:paraId="5BABD3B1" w14:textId="77777777">
      <w:pPr>
        <w:keepNext/>
        <w:spacing w:before="140" w:line="240" w:lineRule="atLeast"/>
        <w:jc w:val="center"/>
        <w:outlineLvl w:val="0"/>
        <w:rPr>
          <w:b/>
          <w:smallCaps/>
        </w:rPr>
      </w:pPr>
      <w:r w:rsidRPr="00922A9E">
        <w:rPr>
          <w:b/>
          <w:smallCaps/>
        </w:rPr>
        <w:t>III.</w:t>
      </w:r>
    </w:p>
    <w:p w:rsidR="00922A9E" w:rsidRPr="00922A9E" w:rsidP="00922A9E" w14:paraId="69E52209" w14:textId="77777777">
      <w:pPr>
        <w:ind w:firstLine="720"/>
      </w:pPr>
      <w:r w:rsidRPr="00922A9E">
        <w:t xml:space="preserve">I conclude with a few words about the court’s treatment of the standard of review.  In reaching today’s holding, the court recites and applies the most deferential formulations of rational basis review:  “ ‘The underlying rationale for a statutory classification need not have been “ever actually articulated” by lawmakers, nor “be empirically substantiated.” ’ ”  (Maj. opn., </w:t>
      </w:r>
      <w:r w:rsidRPr="00922A9E">
        <w:rPr>
          <w:i/>
          <w:iCs/>
        </w:rPr>
        <w:t>ante</w:t>
      </w:r>
      <w:r w:rsidRPr="00922A9E">
        <w:t>, at p. 24.)  “A court . . . ‘may engage in “ ‘rational speculation’ ” as to the justifications for the legislative choice . . . “whether or not” any such speculation has “a foundation in the record.” ’ ”  (</w:t>
      </w:r>
      <w:r w:rsidRPr="00922A9E">
        <w:rPr>
          <w:i/>
          <w:iCs/>
        </w:rPr>
        <w:t>Id.</w:t>
      </w:r>
      <w:r w:rsidRPr="00922A9E">
        <w:t xml:space="preserve"> at p. 30.)  “ ‘ “[W]e </w:t>
      </w:r>
      <w:r w:rsidRPr="00922A9E">
        <w:rPr>
          <w:szCs w:val="26"/>
        </w:rPr>
        <w:t>must accept any gross generalizations and rough accommodations that the Legislature seems to have made.” ’ ”  (</w:t>
      </w:r>
      <w:r w:rsidRPr="00922A9E">
        <w:rPr>
          <w:i/>
          <w:iCs/>
          <w:szCs w:val="26"/>
        </w:rPr>
        <w:t>Id.</w:t>
      </w:r>
      <w:r w:rsidRPr="00922A9E">
        <w:rPr>
          <w:szCs w:val="26"/>
        </w:rPr>
        <w:t xml:space="preserve"> at pp. 24, 33, 43.)  The state need not “</w:t>
      </w:r>
      <w:r w:rsidRPr="00922A9E">
        <w:t> ‘ “choose between attacking every aspect of a problem or not attacking the problem at all.” ’ ”  (</w:t>
      </w:r>
      <w:r w:rsidRPr="00922A9E">
        <w:rPr>
          <w:i/>
          <w:iCs/>
        </w:rPr>
        <w:t>Id.</w:t>
      </w:r>
      <w:r w:rsidRPr="00922A9E">
        <w:t xml:space="preserve"> at pp. 25, 41.)</w:t>
      </w:r>
    </w:p>
    <w:p w:rsidR="00922A9E" w:rsidRPr="00922A9E" w:rsidP="00922A9E" w14:paraId="1657B353" w14:textId="77777777">
      <w:pPr>
        <w:ind w:firstLine="720"/>
        <w:rPr>
          <w:i/>
          <w:iCs/>
          <w:color w:val="000000"/>
          <w:szCs w:val="26"/>
        </w:rPr>
      </w:pPr>
      <w:r w:rsidRPr="00922A9E">
        <w:rPr>
          <w:szCs w:val="26"/>
        </w:rPr>
        <w:t xml:space="preserve">  As I explained at length in </w:t>
      </w:r>
      <w:r w:rsidRPr="00922A9E">
        <w:rPr>
          <w:i/>
          <w:iCs/>
          <w:szCs w:val="26"/>
        </w:rPr>
        <w:t>Hardin</w:t>
      </w:r>
      <w:r w:rsidRPr="00922A9E">
        <w:rPr>
          <w:szCs w:val="26"/>
        </w:rPr>
        <w:t xml:space="preserve">, these formulations originated in federal equal protection cases addressing economic legislation (see </w:t>
      </w:r>
      <w:r w:rsidRPr="00922A9E">
        <w:rPr>
          <w:i/>
          <w:iCs/>
          <w:szCs w:val="26"/>
        </w:rPr>
        <w:t>Hardin</w:t>
      </w:r>
      <w:r w:rsidRPr="00922A9E">
        <w:rPr>
          <w:szCs w:val="26"/>
        </w:rPr>
        <w:t xml:space="preserve">, </w:t>
      </w:r>
      <w:r w:rsidRPr="00922A9E">
        <w:rPr>
          <w:i/>
          <w:iCs/>
          <w:szCs w:val="26"/>
        </w:rPr>
        <w:t>supra</w:t>
      </w:r>
      <w:r w:rsidRPr="00922A9E">
        <w:rPr>
          <w:szCs w:val="26"/>
        </w:rPr>
        <w:t xml:space="preserve">, </w:t>
      </w:r>
      <w:r w:rsidRPr="00922A9E">
        <w:t>15 Cal.5th at p. </w:t>
      </w:r>
      <w:r w:rsidRPr="00922A9E">
        <w:rPr>
          <w:szCs w:val="26"/>
        </w:rPr>
        <w:t xml:space="preserve">876 (dis. opn. of Liu, J.) [discussing </w:t>
      </w:r>
      <w:r w:rsidRPr="00922A9E">
        <w:rPr>
          <w:i/>
          <w:iCs/>
          <w:color w:val="000000"/>
          <w:szCs w:val="26"/>
        </w:rPr>
        <w:t>Warden v. State Bar</w:t>
      </w:r>
      <w:r w:rsidRPr="00922A9E">
        <w:rPr>
          <w:color w:val="000000"/>
          <w:szCs w:val="26"/>
        </w:rPr>
        <w:t xml:space="preserve"> (1999) 21 Cal.4th 628 (</w:t>
      </w:r>
      <w:r w:rsidRPr="00922A9E">
        <w:rPr>
          <w:i/>
          <w:iCs/>
          <w:color w:val="000000"/>
          <w:szCs w:val="26"/>
        </w:rPr>
        <w:t>Warden</w:t>
      </w:r>
      <w:r w:rsidRPr="00922A9E">
        <w:rPr>
          <w:color w:val="000000"/>
          <w:szCs w:val="26"/>
        </w:rPr>
        <w:t>) and its reliance on</w:t>
      </w:r>
      <w:r w:rsidRPr="00922A9E">
        <w:rPr>
          <w:szCs w:val="26"/>
        </w:rPr>
        <w:t xml:space="preserve"> </w:t>
      </w:r>
      <w:r w:rsidRPr="00922A9E">
        <w:rPr>
          <w:i/>
          <w:iCs/>
          <w:szCs w:val="26"/>
          <w:bdr w:val="none" w:sz="0" w:space="0" w:color="auto" w:frame="1"/>
        </w:rPr>
        <w:t>United States Railroad Retirement Board v. Fritz</w:t>
      </w:r>
      <w:r w:rsidRPr="00922A9E">
        <w:rPr>
          <w:szCs w:val="26"/>
        </w:rPr>
        <w:t xml:space="preserve"> (1980) 449 U.S. 166, </w:t>
      </w:r>
      <w:r w:rsidRPr="00922A9E">
        <w:rPr>
          <w:i/>
          <w:iCs/>
          <w:szCs w:val="26"/>
          <w:bdr w:val="none" w:sz="0" w:space="0" w:color="auto" w:frame="1"/>
        </w:rPr>
        <w:t>FCC v. Beach Communications, Inc.</w:t>
      </w:r>
      <w:r w:rsidRPr="00922A9E">
        <w:rPr>
          <w:szCs w:val="26"/>
        </w:rPr>
        <w:t xml:space="preserve"> (1993) 508 U.S. 307, and </w:t>
      </w:r>
      <w:r w:rsidRPr="00922A9E">
        <w:rPr>
          <w:i/>
          <w:iCs/>
          <w:szCs w:val="26"/>
          <w:bdr w:val="none" w:sz="0" w:space="0" w:color="auto" w:frame="1"/>
        </w:rPr>
        <w:t>Williamson v. Lee Optical</w:t>
      </w:r>
      <w:r w:rsidRPr="00922A9E">
        <w:rPr>
          <w:szCs w:val="26"/>
          <w:bdr w:val="none" w:sz="0" w:space="0" w:color="auto" w:frame="1"/>
        </w:rPr>
        <w:t xml:space="preserve"> (1955) 348 U.S. 483 (</w:t>
      </w:r>
      <w:r w:rsidRPr="00922A9E">
        <w:rPr>
          <w:i/>
          <w:iCs/>
          <w:szCs w:val="26"/>
          <w:bdr w:val="none" w:sz="0" w:space="0" w:color="auto" w:frame="1"/>
        </w:rPr>
        <w:t>Lee Optical</w:t>
      </w:r>
      <w:r w:rsidRPr="00922A9E">
        <w:rPr>
          <w:szCs w:val="26"/>
          <w:bdr w:val="none" w:sz="0" w:space="0" w:color="auto" w:frame="1"/>
        </w:rPr>
        <w:t>)</w:t>
      </w:r>
      <w:r w:rsidRPr="00922A9E">
        <w:rPr>
          <w:szCs w:val="26"/>
        </w:rPr>
        <w:t>]), and the court’s recitation of these principles “ignores the considerable variation and nuance in our case law applying rational basis review” (</w:t>
      </w:r>
      <w:r w:rsidRPr="00922A9E">
        <w:rPr>
          <w:i/>
          <w:iCs/>
          <w:szCs w:val="26"/>
        </w:rPr>
        <w:t>id.</w:t>
      </w:r>
      <w:r w:rsidRPr="00922A9E">
        <w:rPr>
          <w:szCs w:val="26"/>
        </w:rPr>
        <w:t xml:space="preserve"> at p. 867; see </w:t>
      </w:r>
      <w:r w:rsidRPr="00922A9E">
        <w:rPr>
          <w:i/>
          <w:iCs/>
          <w:szCs w:val="26"/>
        </w:rPr>
        <w:t>id.</w:t>
      </w:r>
      <w:r w:rsidRPr="00922A9E">
        <w:rPr>
          <w:szCs w:val="26"/>
        </w:rPr>
        <w:t xml:space="preserve"> at pp. 868–879 [extensively reviewing our case law on rational basis review].)  “[T]his court’s articulation and application of rational basis review has not marched in lock step with federal authority.  Our approach is deferential but far from toothless; our case law, though not entirely uniform, reveals several recurring themes:  [We have required] ‘ “a serious and genuine judicial inquiry into the correspondence between the classification and the legislative goals” ’ [(</w:t>
      </w:r>
      <w:r w:rsidRPr="00922A9E">
        <w:rPr>
          <w:i/>
          <w:iCs/>
          <w:szCs w:val="26"/>
          <w:bdr w:val="none" w:sz="0" w:space="0" w:color="auto" w:frame="1"/>
        </w:rPr>
        <w:t>Newland v. Board of Governors</w:t>
      </w:r>
      <w:r w:rsidRPr="00922A9E">
        <w:rPr>
          <w:szCs w:val="26"/>
        </w:rPr>
        <w:t xml:space="preserve"> (1977) 19 Cal.3d 705, 711)], [and] we have focused on actual legislative purposes instead of imputing hypothetical ones, and we have looked for empirical support instead of relying on conjecture or unsubstantiated assertions.  Although we ‘do not require absolute precision in the designation of classifications,’ we also ‘do not tolerate classifications which are so grossly overinclusive as to defy notions of fairness or reasonableness.’  [(</w:t>
      </w:r>
      <w:r w:rsidRPr="00922A9E">
        <w:rPr>
          <w:i/>
          <w:iCs/>
          <w:szCs w:val="26"/>
          <w:bdr w:val="none" w:sz="0" w:space="0" w:color="auto" w:frame="1"/>
        </w:rPr>
        <w:t>Brown v. Merlo</w:t>
      </w:r>
      <w:r w:rsidRPr="00922A9E">
        <w:rPr>
          <w:szCs w:val="26"/>
          <w:bdr w:val="none" w:sz="0" w:space="0" w:color="auto" w:frame="1"/>
        </w:rPr>
        <w:t xml:space="preserve"> (1973) </w:t>
      </w:r>
      <w:r w:rsidRPr="00922A9E">
        <w:rPr>
          <w:szCs w:val="26"/>
        </w:rPr>
        <w:t>8 Cal.3d 855, 877.)]  And while the Legislature may proceed incrementally, we have said it must do so rationally in light of the legislative objectives and ‘not . . . wholly at its whim.’  (</w:t>
      </w:r>
      <w:r w:rsidRPr="00922A9E">
        <w:rPr>
          <w:i/>
          <w:iCs/>
          <w:szCs w:val="26"/>
        </w:rPr>
        <w:t>Hays</w:t>
      </w:r>
      <w:r w:rsidRPr="00922A9E">
        <w:rPr>
          <w:szCs w:val="26"/>
        </w:rPr>
        <w:t xml:space="preserve">, </w:t>
      </w:r>
      <w:r w:rsidRPr="00922A9E">
        <w:rPr>
          <w:i/>
          <w:iCs/>
          <w:szCs w:val="26"/>
        </w:rPr>
        <w:t>supra</w:t>
      </w:r>
      <w:r w:rsidRPr="00922A9E">
        <w:rPr>
          <w:szCs w:val="26"/>
        </w:rPr>
        <w:t>, 25 Cal.3d at p. 790.)”  (</w:t>
      </w:r>
      <w:r w:rsidRPr="00922A9E">
        <w:rPr>
          <w:i/>
          <w:iCs/>
          <w:szCs w:val="26"/>
        </w:rPr>
        <w:t>Id.</w:t>
      </w:r>
      <w:r w:rsidRPr="00922A9E">
        <w:rPr>
          <w:szCs w:val="26"/>
        </w:rPr>
        <w:t xml:space="preserve"> at p. 879 (dis. opn. of Liu, J.).)</w:t>
      </w:r>
    </w:p>
    <w:p w:rsidR="00922A9E" w:rsidRPr="00922A9E" w:rsidP="00922A9E" w14:paraId="3D873AE3" w14:textId="77777777">
      <w:pPr>
        <w:ind w:firstLine="720"/>
      </w:pPr>
      <w:r w:rsidRPr="00922A9E">
        <w:rPr>
          <w:szCs w:val="26"/>
        </w:rPr>
        <w:t>“ ‘[A] serious and genuine judicial inquiry into the correspondence between the classification and the legislative goals’ ” (</w:t>
      </w:r>
      <w:r w:rsidRPr="00922A9E">
        <w:rPr>
          <w:i/>
          <w:iCs/>
          <w:szCs w:val="26"/>
          <w:bdr w:val="none" w:sz="0" w:space="0" w:color="auto" w:frame="1"/>
        </w:rPr>
        <w:t>Newland v. Board of Governors</w:t>
      </w:r>
      <w:r w:rsidRPr="00922A9E">
        <w:rPr>
          <w:szCs w:val="26"/>
        </w:rPr>
        <w:t xml:space="preserve">, </w:t>
      </w:r>
      <w:r w:rsidRPr="00922A9E">
        <w:rPr>
          <w:i/>
          <w:iCs/>
          <w:szCs w:val="26"/>
          <w:bdr w:val="none" w:sz="0" w:space="0" w:color="auto" w:frame="1"/>
        </w:rPr>
        <w:t>supra</w:t>
      </w:r>
      <w:r w:rsidRPr="00922A9E">
        <w:rPr>
          <w:szCs w:val="26"/>
        </w:rPr>
        <w:t xml:space="preserve">, 19 Cal.3d at p. 711) is especially warranted where, as here, there is a genuine risk that a legislative classification reflects irrational fears or prejudice rather than a rational policy judgment.  (See CASOMB, </w:t>
      </w:r>
      <w:r w:rsidRPr="00922A9E">
        <w:rPr>
          <w:i/>
          <w:iCs/>
          <w:szCs w:val="26"/>
        </w:rPr>
        <w:t>supra</w:t>
      </w:r>
      <w:r w:rsidRPr="00922A9E">
        <w:rPr>
          <w:szCs w:val="26"/>
        </w:rPr>
        <w:t xml:space="preserve">, at pp. 8–9.)  No “rigorous or searching review” (maj. opn., </w:t>
      </w:r>
      <w:r w:rsidRPr="00922A9E">
        <w:rPr>
          <w:i/>
          <w:iCs/>
          <w:szCs w:val="26"/>
        </w:rPr>
        <w:t>ante</w:t>
      </w:r>
      <w:r w:rsidRPr="00922A9E">
        <w:rPr>
          <w:szCs w:val="26"/>
        </w:rPr>
        <w:t>, at p. 44, fn. 11) is needed to account for “</w:t>
      </w:r>
      <w:r w:rsidRPr="00922A9E">
        <w:t>the realities of the subject addressed by the legislation.” (</w:t>
      </w:r>
      <w:r w:rsidRPr="00922A9E">
        <w:rPr>
          <w:i/>
          <w:iCs/>
        </w:rPr>
        <w:t>Heller v. Doe</w:t>
      </w:r>
      <w:r w:rsidRPr="00922A9E">
        <w:t xml:space="preserve">, </w:t>
      </w:r>
      <w:r w:rsidRPr="00922A9E">
        <w:rPr>
          <w:i/>
          <w:iCs/>
        </w:rPr>
        <w:t>supra</w:t>
      </w:r>
      <w:r w:rsidRPr="00922A9E">
        <w:t>, 509 U.S. at p. 321.</w:t>
      </w:r>
      <w:r w:rsidRPr="00922A9E">
        <w:rPr>
          <w:szCs w:val="26"/>
        </w:rPr>
        <w:t xml:space="preserve">)  Yet today’s opinion overlooks the realities of the policymaking context with regard to aggravated sex offenses in its uncritical application of equal protection standards derived from cases involving economic legislation.  The reality is that </w:t>
      </w:r>
      <w:r w:rsidRPr="00922A9E">
        <w:t>opticians are not a reviled group.  (</w:t>
      </w:r>
      <w:r w:rsidRPr="00922A9E">
        <w:rPr>
          <w:color w:val="000000"/>
          <w:szCs w:val="26"/>
        </w:rPr>
        <w:t xml:space="preserve">See </w:t>
      </w:r>
      <w:r w:rsidRPr="00922A9E">
        <w:rPr>
          <w:i/>
          <w:iCs/>
          <w:color w:val="000000"/>
          <w:szCs w:val="26"/>
        </w:rPr>
        <w:t>Lee Optical</w:t>
      </w:r>
      <w:r w:rsidRPr="00922A9E">
        <w:rPr>
          <w:color w:val="000000"/>
          <w:szCs w:val="26"/>
        </w:rPr>
        <w:t xml:space="preserve">, </w:t>
      </w:r>
      <w:r w:rsidRPr="00922A9E">
        <w:rPr>
          <w:i/>
          <w:iCs/>
          <w:color w:val="000000"/>
          <w:szCs w:val="26"/>
        </w:rPr>
        <w:t>supra</w:t>
      </w:r>
      <w:r w:rsidRPr="00922A9E">
        <w:rPr>
          <w:color w:val="000000"/>
          <w:szCs w:val="26"/>
        </w:rPr>
        <w:t xml:space="preserve">, </w:t>
      </w:r>
      <w:r w:rsidRPr="00922A9E">
        <w:rPr>
          <w:szCs w:val="26"/>
          <w:bdr w:val="none" w:sz="0" w:space="0" w:color="auto" w:frame="1"/>
        </w:rPr>
        <w:t>348 U.S. 48</w:t>
      </w:r>
      <w:r w:rsidRPr="00922A9E">
        <w:rPr>
          <w:color w:val="000000"/>
          <w:szCs w:val="26"/>
        </w:rPr>
        <w:t>.</w:t>
      </w:r>
      <w:r w:rsidRPr="00922A9E">
        <w:t xml:space="preserve">)  Nor are satellite master antenna television operators.  (See </w:t>
      </w:r>
      <w:r w:rsidRPr="00922A9E">
        <w:rPr>
          <w:i/>
          <w:iCs/>
          <w:color w:val="000000"/>
          <w:szCs w:val="26"/>
        </w:rPr>
        <w:t>FCC v. Beach Communications, Inc.</w:t>
      </w:r>
      <w:r w:rsidRPr="00922A9E">
        <w:rPr>
          <w:color w:val="000000"/>
          <w:szCs w:val="26"/>
        </w:rPr>
        <w:t xml:space="preserve">, </w:t>
      </w:r>
      <w:r w:rsidRPr="00922A9E">
        <w:rPr>
          <w:i/>
          <w:iCs/>
          <w:color w:val="000000"/>
          <w:szCs w:val="26"/>
        </w:rPr>
        <w:t>supra</w:t>
      </w:r>
      <w:r w:rsidRPr="00922A9E">
        <w:rPr>
          <w:color w:val="000000"/>
          <w:szCs w:val="26"/>
        </w:rPr>
        <w:t xml:space="preserve">, </w:t>
      </w:r>
      <w:r w:rsidRPr="00922A9E">
        <w:rPr>
          <w:szCs w:val="26"/>
        </w:rPr>
        <w:t>508 U.S. 307</w:t>
      </w:r>
      <w:r w:rsidRPr="00922A9E">
        <w:rPr>
          <w:color w:val="000000"/>
          <w:szCs w:val="26"/>
        </w:rPr>
        <w:t xml:space="preserve">.)  </w:t>
      </w:r>
      <w:r w:rsidRPr="00922A9E">
        <w:t>Nor are attorneys seeking exemption from continuing education requirements.  (See maj</w:t>
      </w:r>
      <w:r w:rsidRPr="00922A9E">
        <w:rPr>
          <w:i/>
          <w:iCs/>
        </w:rPr>
        <w:t xml:space="preserve">. </w:t>
      </w:r>
      <w:r w:rsidRPr="00922A9E">
        <w:t xml:space="preserve">opn., </w:t>
      </w:r>
      <w:r w:rsidRPr="00922A9E">
        <w:rPr>
          <w:i/>
          <w:iCs/>
        </w:rPr>
        <w:t>ante</w:t>
      </w:r>
      <w:r w:rsidRPr="00922A9E">
        <w:t xml:space="preserve">, at pp. 33–34 [citing </w:t>
      </w:r>
      <w:r w:rsidRPr="00922A9E">
        <w:rPr>
          <w:i/>
          <w:iCs/>
        </w:rPr>
        <w:t>Warden</w:t>
      </w:r>
      <w:r w:rsidRPr="00922A9E">
        <w:t>].)  But One Strike offenders most certainly are, as the strongly worded fears and condemnations in the law’s history make clear.</w:t>
      </w:r>
    </w:p>
    <w:p w:rsidR="00922A9E" w:rsidRPr="00922A9E" w:rsidP="00922A9E" w14:paraId="07EAF81A" w14:textId="77777777">
      <w:pPr>
        <w:ind w:firstLine="720"/>
      </w:pPr>
      <w:r w:rsidRPr="00922A9E">
        <w:t>In every equal protection case, the appropriate degree of vigilance requires consideration of what group is affected and whether, from the standpoint of “an impartial lawmaker” (</w:t>
      </w:r>
      <w:r w:rsidRPr="00922A9E">
        <w:rPr>
          <w:i/>
          <w:iCs/>
        </w:rPr>
        <w:t>Cleburne</w:t>
      </w:r>
      <w:r w:rsidRPr="00922A9E">
        <w:t xml:space="preserve">, </w:t>
      </w:r>
      <w:r w:rsidRPr="00922A9E">
        <w:rPr>
          <w:i/>
          <w:iCs/>
        </w:rPr>
        <w:t>supra</w:t>
      </w:r>
      <w:r w:rsidRPr="00922A9E">
        <w:t xml:space="preserve">, 473 U.S. at p. 452 (conc. opn. of Stevens, J.)), the classification serves a legitimate public purpose and rationally targets that group for disparate treatment in light of that purpose.  In enacting and expanding the youth offender parole scheme, the Legislature said much about the reduced culpability of young offenders and their capacity for growth and rehabilitation, and it said nothing about the reason for excluding One Strike offenders from eligibility.  In the face of this silence, hypothesized concerns about offense severity, recidivism risk, or a combination of both do not rationally explain the exclusion.  It strikes me as particularly dubious to ascribe recidivism concerns to the Legislature that enacted section 3051 — </w:t>
      </w:r>
      <w:bookmarkStart w:id="16" w:name="_Hlk174437385"/>
      <w:r w:rsidRPr="00922A9E">
        <w:t>especially because, as the Attorney General concedes, public perceptions lack support in current evidence</w:t>
      </w:r>
      <w:bookmarkEnd w:id="16"/>
      <w:r w:rsidRPr="00922A9E">
        <w:t>, and because the Legislature “consciously” anchored the parole scheme in high court precedent observing that the attributes of youth are not “ ‘crime-specific’ ” (</w:t>
      </w:r>
      <w:r w:rsidRPr="00922A9E">
        <w:rPr>
          <w:i/>
          <w:iCs/>
        </w:rPr>
        <w:t>Hardin</w:t>
      </w:r>
      <w:r w:rsidRPr="00922A9E">
        <w:t xml:space="preserve">, </w:t>
      </w:r>
      <w:r w:rsidRPr="00922A9E">
        <w:rPr>
          <w:i/>
          <w:iCs/>
        </w:rPr>
        <w:t>supra</w:t>
      </w:r>
      <w:r w:rsidRPr="00922A9E">
        <w:t xml:space="preserve">, 15 Cal.5th at p. 855, quoting </w:t>
      </w:r>
      <w:r w:rsidRPr="00922A9E">
        <w:rPr>
          <w:i/>
          <w:iCs/>
        </w:rPr>
        <w:t>Miller</w:t>
      </w:r>
      <w:r w:rsidRPr="00922A9E">
        <w:t xml:space="preserve">, </w:t>
      </w:r>
      <w:r w:rsidRPr="00922A9E">
        <w:rPr>
          <w:i/>
          <w:iCs/>
        </w:rPr>
        <w:t>supra</w:t>
      </w:r>
      <w:r w:rsidRPr="00922A9E">
        <w:t>, 567 U.S. at p. 473) and then buttressed that premise with its own findings regarding brain development in young adults (</w:t>
      </w:r>
      <w:r w:rsidRPr="00922A9E">
        <w:rPr>
          <w:i/>
          <w:iCs/>
        </w:rPr>
        <w:t>ante</w:t>
      </w:r>
      <w:r w:rsidRPr="00922A9E">
        <w:t xml:space="preserve">, at pp. 11–12 [citing legislative history]).  To be clear, I would not hold that the Legislature may never exclude One Strike offenders from youth offender parole eligibility.  But as the statute comes to us, the legislative record and relevant policymaking context leave me unable to conclude that the exclusion emanated from a rational policy judgment.  (Cf. </w:t>
      </w:r>
      <w:r w:rsidRPr="00922A9E">
        <w:rPr>
          <w:i/>
          <w:iCs/>
        </w:rPr>
        <w:t>United States Steel Corp. v. Public Utilities Com.</w:t>
      </w:r>
      <w:r w:rsidRPr="00922A9E">
        <w:t xml:space="preserve"> (1981) 29 Cal.3d 603, 614; </w:t>
      </w:r>
      <w:r w:rsidRPr="00922A9E">
        <w:rPr>
          <w:i/>
          <w:iCs/>
          <w:color w:val="000000"/>
          <w:szCs w:val="26"/>
        </w:rPr>
        <w:t>Parr</w:t>
      </w:r>
      <w:r w:rsidRPr="00922A9E">
        <w:rPr>
          <w:color w:val="000000"/>
          <w:szCs w:val="26"/>
        </w:rPr>
        <w:t xml:space="preserve">, </w:t>
      </w:r>
      <w:r w:rsidRPr="00922A9E">
        <w:rPr>
          <w:i/>
          <w:iCs/>
          <w:color w:val="000000"/>
          <w:szCs w:val="26"/>
        </w:rPr>
        <w:t>supra</w:t>
      </w:r>
      <w:r w:rsidRPr="00922A9E">
        <w:rPr>
          <w:color w:val="000000"/>
          <w:szCs w:val="26"/>
        </w:rPr>
        <w:t>, 3 Cal.3d at pp. 873–874 (dis. opn. of Burke, J.).)</w:t>
      </w:r>
    </w:p>
    <w:p w:rsidR="00922A9E" w:rsidRPr="00922A9E" w:rsidP="00922A9E" w14:paraId="5C3CA48E" w14:textId="77777777">
      <w:pPr>
        <w:ind w:firstLine="720"/>
        <w:rPr>
          <w:szCs w:val="26"/>
        </w:rPr>
      </w:pPr>
      <w:r w:rsidRPr="00922A9E">
        <w:rPr>
          <w:szCs w:val="26"/>
        </w:rPr>
        <w:t xml:space="preserve">In light of today’s decision and </w:t>
      </w:r>
      <w:r w:rsidRPr="00922A9E">
        <w:rPr>
          <w:i/>
          <w:iCs/>
          <w:szCs w:val="26"/>
        </w:rPr>
        <w:t>Hardin</w:t>
      </w:r>
      <w:r w:rsidRPr="00922A9E">
        <w:rPr>
          <w:szCs w:val="26"/>
        </w:rPr>
        <w:t xml:space="preserve">, I am concerned that our equal protection jurisprudence is evolving in a manner that ignores Justice Mosk’s prescient warnings decades ago.  “One feature that distinguishes our equal protection doctrine from its federal counterpart is that the standards of review under our doctrine are limited to two:  rational basis review and strict scrutiny.  (See </w:t>
      </w:r>
      <w:r w:rsidRPr="00922A9E">
        <w:rPr>
          <w:i/>
          <w:iCs/>
          <w:szCs w:val="26"/>
          <w:bdr w:val="none" w:sz="0" w:space="0" w:color="auto" w:frame="1"/>
        </w:rPr>
        <w:t>In re Marriage Cases</w:t>
      </w:r>
      <w:r w:rsidRPr="00922A9E">
        <w:rPr>
          <w:szCs w:val="26"/>
        </w:rPr>
        <w:t xml:space="preserve"> (2008) 43 Cal.4th 757, 832.)  Unlike the federal courts, we have declined to adopt intermediate scrutiny as a third standard of review.  (See </w:t>
      </w:r>
      <w:r w:rsidRPr="00922A9E">
        <w:rPr>
          <w:i/>
          <w:iCs/>
          <w:szCs w:val="26"/>
          <w:bdr w:val="none" w:sz="0" w:space="0" w:color="auto" w:frame="1"/>
        </w:rPr>
        <w:t>Hawkins v. Superior Court</w:t>
      </w:r>
      <w:r w:rsidRPr="00922A9E">
        <w:rPr>
          <w:szCs w:val="26"/>
        </w:rPr>
        <w:t xml:space="preserve"> (1978) 22 Cal.3d 584, 595–603 (conc. opn. of Mosk, J.); </w:t>
      </w:r>
      <w:r w:rsidRPr="00922A9E">
        <w:rPr>
          <w:i/>
          <w:iCs/>
          <w:szCs w:val="26"/>
          <w:bdr w:val="none" w:sz="0" w:space="0" w:color="auto" w:frame="1"/>
        </w:rPr>
        <w:t>id.</w:t>
      </w:r>
      <w:r w:rsidRPr="00922A9E">
        <w:rPr>
          <w:szCs w:val="26"/>
        </w:rPr>
        <w:t xml:space="preserve"> at pp. 607–610 (conc. opn. of Bird, C. J.).)  This means that rational basis review, in our doctrine, covers a wide range of cases and must be applied with nuance and sensitivity if we are to avoid the ‘rigidity of [a] two-tiered framework’ that ‘applies either a standard that is virtually always met [rational basis] or one that is almost never satisfied [strict scrutiny].’  (</w:t>
      </w:r>
      <w:r w:rsidRPr="00922A9E">
        <w:rPr>
          <w:i/>
          <w:iCs/>
          <w:szCs w:val="26"/>
          <w:bdr w:val="none" w:sz="0" w:space="0" w:color="auto" w:frame="1"/>
        </w:rPr>
        <w:t>Id.</w:t>
      </w:r>
      <w:r w:rsidRPr="00922A9E">
        <w:rPr>
          <w:szCs w:val="26"/>
        </w:rPr>
        <w:t xml:space="preserve"> at p. 598 (conc. opn. of Mosk, J.).)”  (</w:t>
      </w:r>
      <w:r w:rsidRPr="00922A9E">
        <w:rPr>
          <w:i/>
          <w:iCs/>
          <w:szCs w:val="26"/>
        </w:rPr>
        <w:t>Hardin</w:t>
      </w:r>
      <w:r w:rsidRPr="00922A9E">
        <w:rPr>
          <w:szCs w:val="26"/>
        </w:rPr>
        <w:t xml:space="preserve">, </w:t>
      </w:r>
      <w:r w:rsidRPr="00922A9E">
        <w:rPr>
          <w:i/>
          <w:iCs/>
          <w:szCs w:val="26"/>
        </w:rPr>
        <w:t>supra</w:t>
      </w:r>
      <w:r w:rsidRPr="00922A9E">
        <w:rPr>
          <w:szCs w:val="26"/>
        </w:rPr>
        <w:t>, 15 Cal.5th at p. 868 (dis. opn. of Liu, J.).)</w:t>
      </w:r>
    </w:p>
    <w:p w:rsidR="00922A9E" w:rsidRPr="00922A9E" w:rsidP="00922A9E" w14:paraId="1D81D4BF" w14:textId="77777777">
      <w:pPr>
        <w:ind w:firstLine="720"/>
        <w:rPr>
          <w:szCs w:val="26"/>
        </w:rPr>
      </w:pPr>
      <w:r w:rsidRPr="00922A9E">
        <w:rPr>
          <w:szCs w:val="26"/>
        </w:rPr>
        <w:t>Something is awry when the level of vigilance we apply to a law that exempts certain members of the bar but not others from continuing education requirements (</w:t>
      </w:r>
      <w:r w:rsidRPr="00922A9E">
        <w:rPr>
          <w:i/>
          <w:iCs/>
          <w:szCs w:val="26"/>
        </w:rPr>
        <w:t>Warden</w:t>
      </w:r>
      <w:r w:rsidRPr="00922A9E">
        <w:rPr>
          <w:szCs w:val="26"/>
        </w:rPr>
        <w:t xml:space="preserve">, </w:t>
      </w:r>
      <w:r w:rsidRPr="00922A9E">
        <w:rPr>
          <w:i/>
          <w:iCs/>
          <w:szCs w:val="26"/>
        </w:rPr>
        <w:t>supra</w:t>
      </w:r>
      <w:r w:rsidRPr="00922A9E">
        <w:rPr>
          <w:szCs w:val="26"/>
        </w:rPr>
        <w:t>, 21 Cal.4th 628) is also what we apply to a law that gives young offenders a meaningful opportunity to avoid life imprisonment but denies that opportunity to an especially despised subset.  Our case law applying rational basis review has not always been so rigid.  (</w:t>
      </w:r>
      <w:r w:rsidRPr="00922A9E">
        <w:rPr>
          <w:i/>
          <w:iCs/>
          <w:szCs w:val="26"/>
        </w:rPr>
        <w:t>Hardin</w:t>
      </w:r>
      <w:r w:rsidRPr="00922A9E">
        <w:rPr>
          <w:szCs w:val="26"/>
        </w:rPr>
        <w:t xml:space="preserve">, </w:t>
      </w:r>
      <w:r w:rsidRPr="00922A9E">
        <w:rPr>
          <w:i/>
          <w:iCs/>
          <w:szCs w:val="26"/>
        </w:rPr>
        <w:t>supra</w:t>
      </w:r>
      <w:r w:rsidRPr="00922A9E">
        <w:rPr>
          <w:szCs w:val="26"/>
        </w:rPr>
        <w:t xml:space="preserve">, </w:t>
      </w:r>
      <w:r w:rsidRPr="00922A9E">
        <w:t>15 Cal.5th at pp. </w:t>
      </w:r>
      <w:r w:rsidRPr="00922A9E">
        <w:rPr>
          <w:szCs w:val="26"/>
        </w:rPr>
        <w:t>868–879 (dis. opn. of Liu, J.).)  Yet today’s decision does not account for the relevant policymaking context and falls short of its own demand that the “ ‘</w:t>
      </w:r>
      <w:r w:rsidRPr="00922A9E">
        <w:t xml:space="preserve">standard of rationality . . . must find some footing in the realities of the subject addressed by the legislation.’ ”  (Maj. opn., </w:t>
      </w:r>
      <w:r w:rsidRPr="00922A9E">
        <w:rPr>
          <w:i/>
          <w:iCs/>
        </w:rPr>
        <w:t>ante</w:t>
      </w:r>
      <w:r w:rsidRPr="00922A9E">
        <w:t>, at p. 25.</w:t>
      </w:r>
      <w:r w:rsidRPr="00922A9E">
        <w:rPr>
          <w:szCs w:val="26"/>
        </w:rPr>
        <w:t xml:space="preserve">) </w:t>
      </w:r>
    </w:p>
    <w:p w:rsidR="00922A9E" w:rsidRPr="00922A9E" w:rsidP="00922A9E" w14:paraId="18CB7237" w14:textId="77777777">
      <w:pPr>
        <w:ind w:firstLine="720"/>
        <w:rPr>
          <w:iCs/>
        </w:rPr>
      </w:pPr>
      <w:r w:rsidRPr="00922A9E">
        <w:rPr>
          <w:iCs/>
        </w:rPr>
        <w:t>I respectfully dissent.</w:t>
      </w:r>
    </w:p>
    <w:p w:rsidR="00922A9E" w:rsidRPr="00922A9E" w:rsidP="00922A9E" w14:paraId="4FE95EC1" w14:textId="77777777">
      <w:pPr>
        <w:ind w:left="5040" w:firstLine="720"/>
        <w:rPr>
          <w:b/>
          <w:szCs w:val="26"/>
        </w:rPr>
      </w:pPr>
      <w:r w:rsidRPr="00922A9E">
        <w:rPr>
          <w:b/>
          <w:szCs w:val="26"/>
        </w:rPr>
        <w:t>LIU, J.</w:t>
      </w:r>
    </w:p>
    <w:p w:rsidR="00E86ECA" w:rsidP="00C82B89" w14:paraId="502899F5" w14:textId="77777777">
      <w:pPr>
        <w:tabs>
          <w:tab w:val="left" w:pos="720"/>
          <w:tab w:val="left" w:pos="1440"/>
        </w:tabs>
        <w:spacing w:line="300" w:lineRule="exact"/>
        <w:rPr>
          <w:szCs w:val="26"/>
        </w:rPr>
        <w:sectPr w:rsidSect="00E86ECA">
          <w:headerReference w:type="even" r:id="rId9"/>
          <w:headerReference w:type="default" r:id="rId10"/>
          <w:footerReference w:type="even" r:id="rId11"/>
          <w:footerReference w:type="default" r:id="rId12"/>
          <w:headerReference w:type="first" r:id="rId13"/>
          <w:footerReference w:type="first" r:id="rId14"/>
          <w:pgSz w:w="12240" w:h="15840"/>
          <w:pgMar w:top="1800" w:right="2160" w:bottom="1440" w:left="2160" w:header="720" w:footer="720" w:gutter="0"/>
          <w:pgNumType w:start="1"/>
          <w:cols w:space="720"/>
          <w:titlePg/>
          <w:docGrid w:linePitch="367"/>
        </w:sectPr>
      </w:pPr>
    </w:p>
    <w:p w:rsidR="00CC117B" w:rsidRPr="00CC117B" w:rsidP="00CC117B" w14:paraId="5F7639BB" w14:textId="77777777">
      <w:pPr>
        <w:spacing w:after="0" w:line="240" w:lineRule="auto"/>
        <w:jc w:val="left"/>
        <w:rPr>
          <w:i/>
          <w:sz w:val="24"/>
          <w:szCs w:val="24"/>
        </w:rPr>
      </w:pPr>
      <w:r w:rsidRPr="00CC117B">
        <w:rPr>
          <w:i/>
          <w:sz w:val="24"/>
          <w:szCs w:val="24"/>
        </w:rPr>
        <w:t>See next page for addresses and telephone numbers for counsel who argued in Supreme Court.</w:t>
      </w:r>
    </w:p>
    <w:p w:rsidR="00CC117B" w:rsidRPr="00CC117B" w:rsidP="00CC117B" w14:paraId="5591AF4C" w14:textId="77777777">
      <w:pPr>
        <w:spacing w:after="0" w:line="240" w:lineRule="auto"/>
        <w:jc w:val="left"/>
        <w:rPr>
          <w:i/>
          <w:sz w:val="24"/>
          <w:szCs w:val="24"/>
        </w:rPr>
      </w:pPr>
    </w:p>
    <w:p w:rsidR="00CC117B" w:rsidRPr="00CC117B" w:rsidP="00CC117B" w14:paraId="50FED3D2" w14:textId="77777777">
      <w:pPr>
        <w:spacing w:after="0" w:line="240" w:lineRule="auto"/>
        <w:jc w:val="left"/>
        <w:rPr>
          <w:bCs/>
          <w:sz w:val="24"/>
          <w:szCs w:val="24"/>
        </w:rPr>
      </w:pPr>
      <w:r w:rsidRPr="00CC117B">
        <w:rPr>
          <w:b/>
          <w:sz w:val="24"/>
          <w:szCs w:val="24"/>
        </w:rPr>
        <w:t xml:space="preserve">Name of Opinion  </w:t>
      </w:r>
      <w:r w:rsidRPr="00CC117B">
        <w:rPr>
          <w:bCs/>
          <w:sz w:val="24"/>
          <w:szCs w:val="24"/>
        </w:rPr>
        <w:t>People v. Williams</w:t>
      </w:r>
    </w:p>
    <w:p w:rsidR="00CC117B" w:rsidRPr="00CC117B" w:rsidP="00CC117B" w14:paraId="5B10F7A1" w14:textId="77777777">
      <w:pPr>
        <w:spacing w:after="0" w:line="240" w:lineRule="auto"/>
        <w:jc w:val="left"/>
        <w:rPr>
          <w:b/>
          <w:sz w:val="24"/>
          <w:szCs w:val="24"/>
        </w:rPr>
      </w:pPr>
      <w:r w:rsidRPr="00CC117B">
        <w:rPr>
          <w:b/>
          <w:sz w:val="24"/>
          <w:szCs w:val="24"/>
        </w:rPr>
        <w:t xml:space="preserve">__________________________________________________________ </w:t>
      </w:r>
    </w:p>
    <w:p w:rsidR="00CC117B" w:rsidRPr="00CC117B" w:rsidP="00CC117B" w14:paraId="34F8BB3F" w14:textId="77777777">
      <w:pPr>
        <w:spacing w:after="0" w:line="240" w:lineRule="auto"/>
        <w:jc w:val="left"/>
        <w:rPr>
          <w:b/>
          <w:sz w:val="24"/>
          <w:szCs w:val="24"/>
        </w:rPr>
      </w:pPr>
    </w:p>
    <w:p w:rsidR="00CC117B" w:rsidRPr="00CC117B" w:rsidP="00CC117B" w14:paraId="45343EF9" w14:textId="77777777">
      <w:pPr>
        <w:spacing w:after="0" w:line="240" w:lineRule="auto"/>
        <w:jc w:val="left"/>
        <w:rPr>
          <w:sz w:val="24"/>
          <w:szCs w:val="24"/>
        </w:rPr>
      </w:pPr>
      <w:r w:rsidRPr="00CC117B">
        <w:rPr>
          <w:b/>
          <w:bCs/>
          <w:sz w:val="24"/>
          <w:szCs w:val="24"/>
          <w:u w:val="single"/>
        </w:rPr>
        <w:t>Procedural Posture</w:t>
      </w:r>
      <w:r w:rsidRPr="00CC117B">
        <w:rPr>
          <w:b/>
          <w:bCs/>
          <w:sz w:val="24"/>
          <w:szCs w:val="24"/>
        </w:rPr>
        <w:t xml:space="preserve"> </w:t>
      </w:r>
      <w:r w:rsidRPr="00CC117B">
        <w:rPr>
          <w:sz w:val="24"/>
          <w:szCs w:val="24"/>
        </w:rPr>
        <w:t>(see XX below)</w:t>
      </w:r>
    </w:p>
    <w:p w:rsidR="00CC117B" w:rsidRPr="00CC117B" w:rsidP="00CC117B" w14:paraId="00609D32" w14:textId="77777777">
      <w:pPr>
        <w:spacing w:after="0" w:line="240" w:lineRule="auto"/>
        <w:jc w:val="left"/>
        <w:rPr>
          <w:sz w:val="24"/>
          <w:szCs w:val="24"/>
        </w:rPr>
      </w:pPr>
      <w:r w:rsidRPr="00CC117B">
        <w:rPr>
          <w:b/>
          <w:bCs/>
          <w:sz w:val="24"/>
          <w:szCs w:val="24"/>
        </w:rPr>
        <w:t>Original Appeal</w:t>
      </w:r>
      <w:r w:rsidRPr="00CC117B">
        <w:rPr>
          <w:sz w:val="24"/>
          <w:szCs w:val="24"/>
        </w:rPr>
        <w:t xml:space="preserve"> </w:t>
      </w:r>
    </w:p>
    <w:p w:rsidR="00CC117B" w:rsidRPr="00CC117B" w:rsidP="00CC117B" w14:paraId="157B2643" w14:textId="77777777">
      <w:pPr>
        <w:spacing w:after="0" w:line="240" w:lineRule="auto"/>
        <w:jc w:val="left"/>
        <w:rPr>
          <w:b/>
          <w:bCs/>
          <w:sz w:val="24"/>
          <w:szCs w:val="24"/>
        </w:rPr>
      </w:pPr>
      <w:r w:rsidRPr="00CC117B">
        <w:rPr>
          <w:b/>
          <w:bCs/>
          <w:sz w:val="24"/>
          <w:szCs w:val="24"/>
        </w:rPr>
        <w:t>Original Proceeding</w:t>
      </w:r>
    </w:p>
    <w:p w:rsidR="00CC117B" w:rsidRPr="00CC117B" w:rsidP="00CC117B" w14:paraId="30779A6E" w14:textId="77777777">
      <w:pPr>
        <w:spacing w:after="0" w:line="240" w:lineRule="auto"/>
        <w:jc w:val="left"/>
        <w:rPr>
          <w:sz w:val="24"/>
          <w:szCs w:val="24"/>
        </w:rPr>
      </w:pPr>
      <w:r w:rsidRPr="00CC117B">
        <w:rPr>
          <w:b/>
          <w:bCs/>
          <w:sz w:val="24"/>
          <w:szCs w:val="24"/>
        </w:rPr>
        <w:t>Review Granted</w:t>
      </w:r>
      <w:r w:rsidRPr="00CC117B">
        <w:rPr>
          <w:sz w:val="24"/>
          <w:szCs w:val="24"/>
        </w:rPr>
        <w:t xml:space="preserve"> </w:t>
      </w:r>
      <w:r w:rsidRPr="00CC117B">
        <w:rPr>
          <w:b/>
          <w:bCs/>
          <w:sz w:val="24"/>
          <w:szCs w:val="24"/>
        </w:rPr>
        <w:t xml:space="preserve">(published) </w:t>
      </w:r>
      <w:r w:rsidRPr="00CC117B">
        <w:rPr>
          <w:sz w:val="24"/>
          <w:szCs w:val="24"/>
        </w:rPr>
        <w:t>XX 47 Cal.App.5th 475</w:t>
      </w:r>
    </w:p>
    <w:p w:rsidR="00CC117B" w:rsidRPr="00CC117B" w:rsidP="00CC117B" w14:paraId="776C37BE" w14:textId="77777777">
      <w:pPr>
        <w:spacing w:after="0" w:line="240" w:lineRule="auto"/>
        <w:jc w:val="left"/>
        <w:rPr>
          <w:sz w:val="24"/>
          <w:szCs w:val="24"/>
        </w:rPr>
      </w:pPr>
      <w:r w:rsidRPr="00CC117B">
        <w:rPr>
          <w:b/>
          <w:bCs/>
          <w:sz w:val="24"/>
          <w:szCs w:val="24"/>
        </w:rPr>
        <w:t xml:space="preserve">Review Granted (unpublished) </w:t>
      </w:r>
    </w:p>
    <w:p w:rsidR="00CC117B" w:rsidRPr="00CC117B" w:rsidP="00CC117B" w14:paraId="0DA378E0" w14:textId="77777777">
      <w:pPr>
        <w:spacing w:after="0" w:line="240" w:lineRule="auto"/>
        <w:jc w:val="left"/>
        <w:rPr>
          <w:b/>
          <w:bCs/>
          <w:sz w:val="24"/>
          <w:szCs w:val="24"/>
        </w:rPr>
      </w:pPr>
      <w:r w:rsidRPr="00CC117B">
        <w:rPr>
          <w:b/>
          <w:bCs/>
          <w:sz w:val="24"/>
          <w:szCs w:val="24"/>
        </w:rPr>
        <w:t>Rehearing Granted</w:t>
      </w:r>
    </w:p>
    <w:p w:rsidR="00CC117B" w:rsidRPr="00CC117B" w:rsidP="00CC117B" w14:paraId="5360DECC" w14:textId="77777777">
      <w:pPr>
        <w:spacing w:after="0" w:line="240" w:lineRule="auto"/>
        <w:jc w:val="left"/>
        <w:rPr>
          <w:b/>
          <w:sz w:val="24"/>
          <w:szCs w:val="24"/>
        </w:rPr>
      </w:pPr>
      <w:r w:rsidRPr="00CC117B">
        <w:rPr>
          <w:b/>
          <w:sz w:val="24"/>
          <w:szCs w:val="24"/>
        </w:rPr>
        <w:t xml:space="preserve">__________________________________________________________ </w:t>
      </w:r>
    </w:p>
    <w:p w:rsidR="00CC117B" w:rsidRPr="00CC117B" w:rsidP="00CC117B" w14:paraId="46502581" w14:textId="77777777">
      <w:pPr>
        <w:spacing w:after="0" w:line="240" w:lineRule="auto"/>
        <w:jc w:val="left"/>
        <w:rPr>
          <w:b/>
          <w:sz w:val="24"/>
          <w:szCs w:val="24"/>
        </w:rPr>
      </w:pPr>
    </w:p>
    <w:p w:rsidR="00CC117B" w:rsidRPr="00CC117B" w:rsidP="00CC117B" w14:paraId="0BBBA733" w14:textId="77777777">
      <w:pPr>
        <w:spacing w:after="0" w:line="240" w:lineRule="auto"/>
        <w:jc w:val="left"/>
        <w:rPr>
          <w:bCs/>
          <w:sz w:val="24"/>
          <w:szCs w:val="24"/>
        </w:rPr>
      </w:pPr>
      <w:r w:rsidRPr="00CC117B">
        <w:rPr>
          <w:b/>
          <w:sz w:val="24"/>
          <w:szCs w:val="24"/>
        </w:rPr>
        <w:t>Opinion No.</w:t>
      </w:r>
      <w:r w:rsidRPr="00CC117B">
        <w:rPr>
          <w:sz w:val="24"/>
          <w:szCs w:val="24"/>
        </w:rPr>
        <w:t xml:space="preserve"> S262229</w:t>
      </w:r>
    </w:p>
    <w:p w:rsidR="00CC117B" w:rsidRPr="00CC117B" w:rsidP="00CC117B" w14:paraId="390A0121" w14:textId="77777777">
      <w:pPr>
        <w:spacing w:after="0" w:line="240" w:lineRule="auto"/>
        <w:jc w:val="left"/>
        <w:rPr>
          <w:bCs/>
          <w:sz w:val="24"/>
          <w:szCs w:val="24"/>
        </w:rPr>
      </w:pPr>
      <w:r w:rsidRPr="00CC117B">
        <w:rPr>
          <w:b/>
          <w:sz w:val="24"/>
          <w:szCs w:val="24"/>
        </w:rPr>
        <w:t>Date Filed:</w:t>
      </w:r>
      <w:r w:rsidRPr="00CC117B">
        <w:rPr>
          <w:sz w:val="24"/>
          <w:szCs w:val="24"/>
        </w:rPr>
        <w:t xml:space="preserve">  August 29, 2024</w:t>
      </w:r>
    </w:p>
    <w:p w:rsidR="00CC117B" w:rsidRPr="00CC117B" w:rsidP="00CC117B" w14:paraId="4FDA3245" w14:textId="77777777">
      <w:pPr>
        <w:spacing w:after="0" w:line="240" w:lineRule="auto"/>
        <w:jc w:val="left"/>
        <w:rPr>
          <w:b/>
          <w:sz w:val="24"/>
          <w:szCs w:val="24"/>
        </w:rPr>
      </w:pPr>
      <w:r w:rsidRPr="00CC117B">
        <w:rPr>
          <w:b/>
          <w:sz w:val="24"/>
          <w:szCs w:val="24"/>
        </w:rPr>
        <w:t xml:space="preserve">__________________________________________________________ </w:t>
      </w:r>
    </w:p>
    <w:p w:rsidR="00CC117B" w:rsidRPr="00CC117B" w:rsidP="00CC117B" w14:paraId="00C74E66" w14:textId="77777777">
      <w:pPr>
        <w:spacing w:after="0" w:line="240" w:lineRule="auto"/>
        <w:jc w:val="left"/>
        <w:rPr>
          <w:b/>
          <w:sz w:val="24"/>
          <w:szCs w:val="24"/>
        </w:rPr>
      </w:pPr>
    </w:p>
    <w:p w:rsidR="00CC117B" w:rsidRPr="00CC117B" w:rsidP="00CC117B" w14:paraId="79173D8C" w14:textId="77777777">
      <w:pPr>
        <w:spacing w:after="0" w:line="240" w:lineRule="auto"/>
        <w:jc w:val="left"/>
        <w:rPr>
          <w:bCs/>
          <w:sz w:val="24"/>
          <w:szCs w:val="24"/>
        </w:rPr>
      </w:pPr>
      <w:r w:rsidRPr="00CC117B">
        <w:rPr>
          <w:b/>
          <w:sz w:val="24"/>
          <w:szCs w:val="24"/>
        </w:rPr>
        <w:t xml:space="preserve">Court:  </w:t>
      </w:r>
      <w:r w:rsidRPr="00CC117B">
        <w:rPr>
          <w:bCs/>
          <w:sz w:val="24"/>
          <w:szCs w:val="24"/>
        </w:rPr>
        <w:t>Superior</w:t>
      </w:r>
      <w:r w:rsidRPr="00CC117B">
        <w:rPr>
          <w:b/>
          <w:sz w:val="24"/>
          <w:szCs w:val="24"/>
        </w:rPr>
        <w:t xml:space="preserve"> </w:t>
      </w:r>
    </w:p>
    <w:p w:rsidR="00CC117B" w:rsidRPr="00CC117B" w:rsidP="00CC117B" w14:paraId="0BA1214B" w14:textId="77777777">
      <w:pPr>
        <w:spacing w:after="0" w:line="240" w:lineRule="auto"/>
        <w:jc w:val="left"/>
        <w:rPr>
          <w:bCs/>
          <w:sz w:val="24"/>
          <w:szCs w:val="24"/>
        </w:rPr>
      </w:pPr>
      <w:r w:rsidRPr="00CC117B">
        <w:rPr>
          <w:b/>
          <w:sz w:val="24"/>
          <w:szCs w:val="24"/>
        </w:rPr>
        <w:t xml:space="preserve">County:  </w:t>
      </w:r>
      <w:r w:rsidRPr="00CC117B">
        <w:rPr>
          <w:bCs/>
          <w:sz w:val="24"/>
          <w:szCs w:val="24"/>
        </w:rPr>
        <w:t>San Diego</w:t>
      </w:r>
    </w:p>
    <w:p w:rsidR="00CC117B" w:rsidRPr="00CC117B" w:rsidP="00CC117B" w14:paraId="3F86FBCF" w14:textId="77777777">
      <w:pPr>
        <w:spacing w:after="0" w:line="240" w:lineRule="auto"/>
        <w:ind w:left="720" w:hanging="720"/>
        <w:jc w:val="left"/>
        <w:rPr>
          <w:bCs/>
          <w:sz w:val="24"/>
          <w:szCs w:val="24"/>
        </w:rPr>
      </w:pPr>
      <w:r w:rsidRPr="00CC117B">
        <w:rPr>
          <w:b/>
          <w:sz w:val="24"/>
          <w:szCs w:val="24"/>
        </w:rPr>
        <w:t xml:space="preserve">Judge: </w:t>
      </w:r>
      <w:r w:rsidRPr="00CC117B">
        <w:rPr>
          <w:bCs/>
          <w:sz w:val="24"/>
          <w:szCs w:val="24"/>
        </w:rPr>
        <w:t xml:space="preserve"> Kenneth K. So</w:t>
      </w:r>
    </w:p>
    <w:p w:rsidR="00CC117B" w:rsidRPr="00CC117B" w:rsidP="00CC117B" w14:paraId="38770B91" w14:textId="77777777">
      <w:pPr>
        <w:spacing w:after="0" w:line="240" w:lineRule="auto"/>
        <w:jc w:val="left"/>
        <w:rPr>
          <w:b/>
          <w:sz w:val="24"/>
          <w:szCs w:val="24"/>
        </w:rPr>
      </w:pPr>
      <w:r w:rsidRPr="00CC117B">
        <w:rPr>
          <w:b/>
          <w:sz w:val="24"/>
          <w:szCs w:val="24"/>
        </w:rPr>
        <w:t xml:space="preserve">__________________________________________________________  </w:t>
      </w:r>
    </w:p>
    <w:p w:rsidR="00CC117B" w:rsidRPr="00CC117B" w:rsidP="00CC117B" w14:paraId="4A038B92" w14:textId="77777777">
      <w:pPr>
        <w:spacing w:after="0" w:line="240" w:lineRule="auto"/>
        <w:jc w:val="left"/>
        <w:rPr>
          <w:b/>
          <w:sz w:val="24"/>
          <w:szCs w:val="24"/>
        </w:rPr>
      </w:pPr>
    </w:p>
    <w:p w:rsidR="00CC117B" w:rsidRPr="00CC117B" w:rsidP="00CC117B" w14:paraId="050E4E56" w14:textId="77777777">
      <w:pPr>
        <w:spacing w:after="0" w:line="240" w:lineRule="auto"/>
        <w:jc w:val="left"/>
        <w:rPr>
          <w:b/>
          <w:sz w:val="24"/>
          <w:szCs w:val="24"/>
        </w:rPr>
      </w:pPr>
      <w:r w:rsidRPr="00CC117B">
        <w:rPr>
          <w:b/>
          <w:sz w:val="24"/>
          <w:szCs w:val="24"/>
        </w:rPr>
        <w:t>Counsel:</w:t>
      </w:r>
    </w:p>
    <w:p w:rsidR="00CC117B" w:rsidRPr="00CC117B" w:rsidP="00CC117B" w14:paraId="10DFFB1B" w14:textId="77777777">
      <w:pPr>
        <w:spacing w:after="0" w:line="240" w:lineRule="auto"/>
        <w:jc w:val="left"/>
        <w:rPr>
          <w:b/>
          <w:sz w:val="24"/>
          <w:szCs w:val="24"/>
        </w:rPr>
      </w:pPr>
    </w:p>
    <w:p w:rsidR="00CC117B" w:rsidRPr="00CC117B" w:rsidP="00CC117B" w14:paraId="7BB107AF" w14:textId="77777777">
      <w:pPr>
        <w:spacing w:after="0" w:line="240" w:lineRule="auto"/>
        <w:jc w:val="left"/>
        <w:rPr>
          <w:color w:val="212121"/>
          <w:sz w:val="24"/>
          <w:szCs w:val="24"/>
          <w:shd w:val="clear" w:color="auto" w:fill="FFFFFF"/>
        </w:rPr>
      </w:pPr>
      <w:r w:rsidRPr="00CC117B">
        <w:rPr>
          <w:color w:val="212121"/>
          <w:sz w:val="24"/>
          <w:szCs w:val="24"/>
          <w:shd w:val="clear" w:color="auto" w:fill="FFFFFF"/>
        </w:rPr>
        <w:t>Nancy J. King and Rebecca P. Jones, under appointments by the Supreme Court, for Defendant and Appellant.</w:t>
      </w:r>
    </w:p>
    <w:p w:rsidR="00CC117B" w:rsidRPr="00CC117B" w:rsidP="00CC117B" w14:paraId="5180AC59" w14:textId="77777777">
      <w:pPr>
        <w:spacing w:after="0" w:line="240" w:lineRule="auto"/>
        <w:jc w:val="left"/>
        <w:rPr>
          <w:color w:val="212121"/>
          <w:sz w:val="24"/>
          <w:szCs w:val="24"/>
          <w:shd w:val="clear" w:color="auto" w:fill="FFFFFF"/>
        </w:rPr>
      </w:pPr>
    </w:p>
    <w:p w:rsidR="00CC117B" w:rsidRPr="00CC117B" w:rsidP="00CC117B" w14:paraId="5060C233" w14:textId="77777777">
      <w:pPr>
        <w:spacing w:after="0" w:line="240" w:lineRule="auto"/>
        <w:jc w:val="left"/>
        <w:rPr>
          <w:color w:val="212121"/>
          <w:sz w:val="24"/>
          <w:szCs w:val="24"/>
          <w:shd w:val="clear" w:color="auto" w:fill="FFFFFF"/>
        </w:rPr>
      </w:pPr>
      <w:r w:rsidRPr="00CC117B">
        <w:rPr>
          <w:color w:val="212121"/>
          <w:sz w:val="24"/>
          <w:szCs w:val="24"/>
          <w:shd w:val="clear" w:color="auto" w:fill="FFFFFF"/>
        </w:rPr>
        <w:t>Xavier Becerra and Rob Bonta, Attorneys General, Michael J. Mongan, State Solicitor General, Lance E. Winters, Chief Assistant Attorney General, Julie L. Garland, Assistant Attorney General, Joshua Patashnik, Deputy State Solicitor General, Daniel J. Hilton and Steve Oetting, Deputy Attorneys General, for Plaintiff and Respondent.</w:t>
      </w:r>
    </w:p>
    <w:p w:rsidR="00CC117B" w:rsidRPr="00CC117B" w:rsidP="00CC117B" w14:paraId="2B06FFA3" w14:textId="77777777">
      <w:pPr>
        <w:spacing w:after="0" w:line="240" w:lineRule="auto"/>
        <w:jc w:val="left"/>
        <w:rPr>
          <w:color w:val="212121"/>
          <w:sz w:val="24"/>
          <w:szCs w:val="24"/>
          <w:shd w:val="clear" w:color="auto" w:fill="FFFFFF"/>
        </w:rPr>
      </w:pPr>
    </w:p>
    <w:p w:rsidR="00CC117B" w:rsidRPr="00CC117B" w:rsidP="00CC117B" w14:paraId="4689D347" w14:textId="77777777">
      <w:pPr>
        <w:spacing w:after="0" w:line="240" w:lineRule="auto"/>
        <w:jc w:val="left"/>
        <w:rPr>
          <w:color w:val="212121"/>
          <w:sz w:val="24"/>
          <w:szCs w:val="24"/>
          <w:shd w:val="clear" w:color="auto" w:fill="FFFFFF"/>
        </w:rPr>
      </w:pPr>
      <w:r w:rsidRPr="00CC117B">
        <w:rPr>
          <w:color w:val="212121"/>
          <w:sz w:val="24"/>
          <w:szCs w:val="24"/>
          <w:shd w:val="clear" w:color="auto" w:fill="FFFFFF"/>
        </w:rPr>
        <w:t>Richard J. Sachs, retired Deputy District Attorney (San Diego), and Gregory D. Totten for the California District Attorneys Association as Amicus Curiae on behalf of Plaintiff and Respondent.</w:t>
      </w:r>
      <w:r w:rsidRPr="00CC117B">
        <w:rPr>
          <w:color w:val="212121"/>
          <w:sz w:val="24"/>
          <w:szCs w:val="24"/>
          <w:shd w:val="clear" w:color="auto" w:fill="FFFFFF"/>
        </w:rPr>
        <w:br w:type="page"/>
      </w:r>
      <w:r w:rsidRPr="00CC117B">
        <w:rPr>
          <w:b/>
          <w:sz w:val="24"/>
          <w:szCs w:val="24"/>
        </w:rPr>
        <w:t xml:space="preserve">Counsel who argued in Supreme Court (not intended for publication with opinion): </w:t>
      </w:r>
    </w:p>
    <w:p w:rsidR="00CC117B" w:rsidRPr="00CC117B" w:rsidP="00CC117B" w14:paraId="307B1413" w14:textId="77777777">
      <w:pPr>
        <w:spacing w:after="0" w:line="240" w:lineRule="auto"/>
        <w:jc w:val="left"/>
        <w:rPr>
          <w:color w:val="212121"/>
          <w:sz w:val="24"/>
          <w:szCs w:val="24"/>
          <w:shd w:val="clear" w:color="auto" w:fill="FFFFFF"/>
        </w:rPr>
      </w:pPr>
    </w:p>
    <w:p w:rsidR="00CC117B" w:rsidRPr="00CC117B" w:rsidP="00CC117B" w14:paraId="7CBDE91A" w14:textId="77777777">
      <w:pPr>
        <w:spacing w:after="0" w:line="240" w:lineRule="auto"/>
        <w:jc w:val="left"/>
        <w:rPr>
          <w:color w:val="212121"/>
          <w:sz w:val="24"/>
          <w:szCs w:val="24"/>
          <w:shd w:val="clear" w:color="auto" w:fill="FFFFFF"/>
        </w:rPr>
      </w:pPr>
      <w:r w:rsidRPr="00CC117B">
        <w:rPr>
          <w:color w:val="212121"/>
          <w:sz w:val="24"/>
          <w:szCs w:val="24"/>
          <w:shd w:val="clear" w:color="auto" w:fill="FFFFFF"/>
        </w:rPr>
        <w:t>Rebecca P. Jones</w:t>
      </w:r>
    </w:p>
    <w:p w:rsidR="00CC117B" w:rsidRPr="00CC117B" w:rsidP="00CC117B" w14:paraId="1CA4803C" w14:textId="77777777">
      <w:pPr>
        <w:spacing w:after="0" w:line="240" w:lineRule="auto"/>
        <w:jc w:val="left"/>
        <w:rPr>
          <w:color w:val="212121"/>
          <w:sz w:val="24"/>
          <w:szCs w:val="24"/>
          <w:shd w:val="clear" w:color="auto" w:fill="FFFFFF"/>
        </w:rPr>
      </w:pPr>
      <w:r w:rsidRPr="00CC117B">
        <w:rPr>
          <w:color w:val="212121"/>
          <w:sz w:val="24"/>
          <w:szCs w:val="24"/>
          <w:shd w:val="clear" w:color="auto" w:fill="FFFFFF"/>
        </w:rPr>
        <w:t>Attorney at Law</w:t>
      </w:r>
    </w:p>
    <w:p w:rsidR="00CC117B" w:rsidRPr="00CC117B" w:rsidP="00CC117B" w14:paraId="6DD845F3" w14:textId="77777777">
      <w:pPr>
        <w:spacing w:after="0" w:line="240" w:lineRule="auto"/>
        <w:jc w:val="left"/>
        <w:rPr>
          <w:color w:val="212121"/>
          <w:sz w:val="24"/>
          <w:szCs w:val="24"/>
          <w:shd w:val="clear" w:color="auto" w:fill="FFFFFF"/>
        </w:rPr>
      </w:pPr>
      <w:r w:rsidRPr="00CC117B">
        <w:rPr>
          <w:color w:val="212121"/>
          <w:sz w:val="24"/>
          <w:szCs w:val="24"/>
          <w:shd w:val="clear" w:color="auto" w:fill="FFFFFF"/>
        </w:rPr>
        <w:t>3549 Camino del Rio South, Suite D</w:t>
      </w:r>
    </w:p>
    <w:p w:rsidR="00CC117B" w:rsidRPr="00CC117B" w:rsidP="00CC117B" w14:paraId="1D007869" w14:textId="77777777">
      <w:pPr>
        <w:spacing w:after="0" w:line="240" w:lineRule="auto"/>
        <w:jc w:val="left"/>
        <w:rPr>
          <w:color w:val="212121"/>
          <w:sz w:val="24"/>
          <w:szCs w:val="24"/>
          <w:shd w:val="clear" w:color="auto" w:fill="FFFFFF"/>
        </w:rPr>
      </w:pPr>
      <w:r w:rsidRPr="00CC117B">
        <w:rPr>
          <w:color w:val="212121"/>
          <w:sz w:val="24"/>
          <w:szCs w:val="24"/>
          <w:shd w:val="clear" w:color="auto" w:fill="FFFFFF"/>
        </w:rPr>
        <w:t>San Diego, CA 92108</w:t>
      </w:r>
    </w:p>
    <w:p w:rsidR="00CC117B" w:rsidRPr="00CC117B" w:rsidP="00CC117B" w14:paraId="361814CF" w14:textId="77777777">
      <w:pPr>
        <w:spacing w:after="0" w:line="240" w:lineRule="auto"/>
        <w:jc w:val="left"/>
        <w:rPr>
          <w:color w:val="212121"/>
          <w:sz w:val="24"/>
          <w:szCs w:val="24"/>
          <w:shd w:val="clear" w:color="auto" w:fill="FFFFFF"/>
        </w:rPr>
      </w:pPr>
      <w:r w:rsidRPr="00CC117B">
        <w:rPr>
          <w:color w:val="212121"/>
          <w:sz w:val="24"/>
          <w:szCs w:val="24"/>
          <w:shd w:val="clear" w:color="auto" w:fill="FFFFFF"/>
        </w:rPr>
        <w:t>(619) 549-2392</w:t>
      </w:r>
    </w:p>
    <w:p w:rsidR="00CC117B" w:rsidRPr="00CC117B" w:rsidP="00CC117B" w14:paraId="54E319AC" w14:textId="77777777">
      <w:pPr>
        <w:spacing w:after="0" w:line="240" w:lineRule="auto"/>
        <w:jc w:val="left"/>
        <w:rPr>
          <w:color w:val="212121"/>
          <w:sz w:val="24"/>
          <w:szCs w:val="24"/>
          <w:shd w:val="clear" w:color="auto" w:fill="FFFFFF"/>
        </w:rPr>
      </w:pPr>
    </w:p>
    <w:p w:rsidR="00CC117B" w:rsidRPr="00CC117B" w:rsidP="00CC117B" w14:paraId="275CB879" w14:textId="77777777">
      <w:pPr>
        <w:spacing w:after="0" w:line="240" w:lineRule="auto"/>
        <w:jc w:val="left"/>
        <w:rPr>
          <w:color w:val="212121"/>
          <w:sz w:val="24"/>
          <w:szCs w:val="24"/>
          <w:shd w:val="clear" w:color="auto" w:fill="FFFFFF"/>
        </w:rPr>
      </w:pPr>
      <w:r w:rsidRPr="00CC117B">
        <w:rPr>
          <w:color w:val="212121"/>
          <w:sz w:val="24"/>
          <w:szCs w:val="24"/>
          <w:shd w:val="clear" w:color="auto" w:fill="FFFFFF"/>
        </w:rPr>
        <w:t>Joshua Patashnik</w:t>
      </w:r>
    </w:p>
    <w:p w:rsidR="00CC117B" w:rsidRPr="00CC117B" w:rsidP="00CC117B" w14:paraId="2B1DBD65" w14:textId="77777777">
      <w:pPr>
        <w:spacing w:after="0" w:line="240" w:lineRule="auto"/>
        <w:jc w:val="left"/>
        <w:rPr>
          <w:color w:val="212121"/>
          <w:sz w:val="24"/>
          <w:szCs w:val="24"/>
          <w:shd w:val="clear" w:color="auto" w:fill="FFFFFF"/>
        </w:rPr>
      </w:pPr>
      <w:r w:rsidRPr="00CC117B">
        <w:rPr>
          <w:color w:val="212121"/>
          <w:sz w:val="24"/>
          <w:szCs w:val="24"/>
          <w:shd w:val="clear" w:color="auto" w:fill="FFFFFF"/>
        </w:rPr>
        <w:t>Deputy State Solicitor General</w:t>
      </w:r>
    </w:p>
    <w:p w:rsidR="00CC117B" w:rsidRPr="00CC117B" w:rsidP="00CC117B" w14:paraId="2EF79173" w14:textId="77777777">
      <w:pPr>
        <w:spacing w:after="0" w:line="240" w:lineRule="auto"/>
        <w:jc w:val="left"/>
        <w:rPr>
          <w:color w:val="212121"/>
          <w:sz w:val="24"/>
          <w:szCs w:val="24"/>
          <w:shd w:val="clear" w:color="auto" w:fill="FFFFFF"/>
        </w:rPr>
      </w:pPr>
      <w:r w:rsidRPr="00CC117B">
        <w:rPr>
          <w:color w:val="212121"/>
          <w:sz w:val="24"/>
          <w:szCs w:val="24"/>
          <w:shd w:val="clear" w:color="auto" w:fill="FFFFFF"/>
        </w:rPr>
        <w:t>600 West Broadway, Suite 1800</w:t>
      </w:r>
    </w:p>
    <w:p w:rsidR="00CC117B" w:rsidRPr="00CC117B" w:rsidP="00CC117B" w14:paraId="6A93C6BC" w14:textId="77777777">
      <w:pPr>
        <w:spacing w:after="0" w:line="240" w:lineRule="auto"/>
        <w:jc w:val="left"/>
        <w:rPr>
          <w:color w:val="212121"/>
          <w:sz w:val="24"/>
          <w:szCs w:val="24"/>
          <w:shd w:val="clear" w:color="auto" w:fill="FFFFFF"/>
        </w:rPr>
      </w:pPr>
      <w:r w:rsidRPr="00CC117B">
        <w:rPr>
          <w:color w:val="212121"/>
          <w:sz w:val="24"/>
          <w:szCs w:val="24"/>
          <w:shd w:val="clear" w:color="auto" w:fill="FFFFFF"/>
        </w:rPr>
        <w:t>San Diego, CA 9201</w:t>
      </w:r>
    </w:p>
    <w:p w:rsidR="00CC117B" w:rsidRPr="00CC117B" w:rsidP="00CC117B" w14:paraId="423C11F5" w14:textId="77777777">
      <w:pPr>
        <w:spacing w:after="0" w:line="240" w:lineRule="auto"/>
        <w:jc w:val="left"/>
        <w:rPr>
          <w:color w:val="212121"/>
          <w:sz w:val="24"/>
          <w:szCs w:val="24"/>
          <w:shd w:val="clear" w:color="auto" w:fill="FFFFFF"/>
        </w:rPr>
      </w:pPr>
      <w:r w:rsidRPr="00CC117B">
        <w:rPr>
          <w:color w:val="212121"/>
          <w:sz w:val="24"/>
          <w:szCs w:val="24"/>
          <w:shd w:val="clear" w:color="auto" w:fill="FFFFFF"/>
        </w:rPr>
        <w:t>(619) 738-9628</w:t>
      </w:r>
    </w:p>
    <w:p w:rsidR="00CC117B" w:rsidRPr="00CC117B" w:rsidP="00CC117B" w14:paraId="1589C0EB" w14:textId="77777777">
      <w:pPr>
        <w:spacing w:after="0" w:line="240" w:lineRule="auto"/>
        <w:jc w:val="left"/>
        <w:rPr>
          <w:sz w:val="24"/>
          <w:szCs w:val="24"/>
        </w:rPr>
      </w:pPr>
    </w:p>
    <w:p w:rsidR="00C82B89" w:rsidRPr="00C50388" w:rsidP="00C82B89" w14:paraId="3A0A3B11" w14:textId="77777777">
      <w:pPr>
        <w:tabs>
          <w:tab w:val="left" w:pos="720"/>
          <w:tab w:val="left" w:pos="1440"/>
        </w:tabs>
        <w:spacing w:line="300" w:lineRule="exact"/>
        <w:rPr>
          <w:szCs w:val="26"/>
        </w:rPr>
      </w:pPr>
    </w:p>
    <w:sectPr w:rsidSect="00CC117B">
      <w:headerReference w:type="even" r:id="rId15"/>
      <w:headerReference w:type="default" r:id="rId16"/>
      <w:footerReference w:type="even" r:id="rId17"/>
      <w:footerReference w:type="default" r:id="rId18"/>
      <w:headerReference w:type="first" r:id="rId19"/>
      <w:footerReference w:type="first" r:id="rId20"/>
      <w:pgSz w:w="12240" w:h="15840"/>
      <w:pgMar w:top="1800" w:right="2160" w:bottom="1440" w:left="216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7AA9" w14:paraId="14602D54" w14:textId="77777777">
    <w:pPr>
      <w:pStyle w:val="Footer"/>
    </w:pPr>
    <w:r>
      <w:fldChar w:fldCharType="begin"/>
    </w:r>
    <w:r>
      <w:instrText>PAGE</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2086777"/>
      <w:docPartObj>
        <w:docPartGallery w:val="Page Numbers (Bottom of Page)"/>
        <w:docPartUnique/>
      </w:docPartObj>
    </w:sdtPr>
    <w:sdtEndPr>
      <w:rPr>
        <w:noProof/>
      </w:rPr>
    </w:sdtEndPr>
    <w:sdtContent>
      <w:p w:rsidR="00763B31" w14:paraId="2A4DC718" w14:textId="2F6C69F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19D0" w14:paraId="497F819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19D0" w14:paraId="7DEB99B8" w14:textId="77777777">
    <w:pPr>
      <w:pStyle w:val="Footer"/>
    </w:pPr>
    <w:r>
      <w:fldChar w:fldCharType="begin"/>
    </w:r>
    <w:r>
      <w:instrText>PAGE</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4971354"/>
      <w:docPartObj>
        <w:docPartGallery w:val="Page Numbers (Bottom of Page)"/>
        <w:docPartUnique/>
      </w:docPartObj>
    </w:sdtPr>
    <w:sdtEndPr>
      <w:rPr>
        <w:noProof/>
      </w:rPr>
    </w:sdtEndPr>
    <w:sdtContent>
      <w:p w:rsidR="00B919D0" w14:paraId="28173091"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19D0" w14:paraId="6E7EED15"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19D0" w14:paraId="1AE7D411"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19D0" w14:paraId="6F6D7E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13CB4" w14:paraId="09C96894" w14:textId="77777777">
      <w:r>
        <w:separator/>
      </w:r>
    </w:p>
  </w:footnote>
  <w:footnote w:type="continuationSeparator" w:id="1">
    <w:p w:rsidR="00813CB4" w14:paraId="1AAB5CE0" w14:textId="77777777">
      <w:pPr>
        <w:rPr>
          <w:sz w:val="22"/>
        </w:rPr>
      </w:pPr>
      <w:r>
        <w:continuationSeparator/>
      </w:r>
    </w:p>
  </w:footnote>
  <w:footnote w:type="continuationNotice" w:id="2">
    <w:p w:rsidR="00813CB4" w14:paraId="7068EE6B" w14:textId="77777777">
      <w:pPr>
        <w:jc w:val="right"/>
        <w:rPr>
          <w:i/>
          <w:sz w:val="20"/>
        </w:rPr>
      </w:pPr>
    </w:p>
  </w:footnote>
  <w:footnote w:id="3">
    <w:p w:rsidR="00A4143A" w:rsidP="00A4143A" w14:paraId="31A73EA9" w14:textId="72DE1B59">
      <w:pPr>
        <w:tabs>
          <w:tab w:val="left" w:pos="720"/>
          <w:tab w:val="left" w:pos="1440"/>
        </w:tabs>
        <w:spacing w:line="300" w:lineRule="exact"/>
      </w:pPr>
      <w:r>
        <w:rPr>
          <w:rStyle w:val="FootnoteReference"/>
        </w:rPr>
        <w:footnoteRef/>
      </w:r>
      <w:r>
        <w:t xml:space="preserve"> </w:t>
      </w:r>
      <w:r w:rsidRPr="007B67FC">
        <w:rPr>
          <w:color w:val="212121"/>
          <w:szCs w:val="27"/>
        </w:rPr>
        <w:t>Associate Justice of the Court of Appeal, F</w:t>
      </w:r>
      <w:r>
        <w:rPr>
          <w:color w:val="212121"/>
          <w:szCs w:val="27"/>
        </w:rPr>
        <w:t>ifth</w:t>
      </w:r>
      <w:r w:rsidRPr="007B67FC">
        <w:rPr>
          <w:color w:val="212121"/>
          <w:szCs w:val="27"/>
        </w:rPr>
        <w:t xml:space="preserve"> Appellate District, assigned by the Chief Justice pursuant to article VI, section 6 of the California Constitution.</w:t>
      </w:r>
    </w:p>
  </w:footnote>
  <w:footnote w:id="4">
    <w:p w:rsidR="00056682" w:rsidP="00901DF7" w14:paraId="4A920A1B" w14:textId="77777777">
      <w:pPr>
        <w:pStyle w:val="FootnoteText"/>
      </w:pPr>
      <w:r>
        <w:rPr>
          <w:rStyle w:val="FootnoteReference"/>
        </w:rPr>
        <w:footnoteRef/>
      </w:r>
      <w:r>
        <w:t xml:space="preserve"> </w:t>
      </w:r>
      <w:r>
        <w:tab/>
        <w:t>Further statutory references are to the Penal Code unless otherwise noted.</w:t>
      </w:r>
    </w:p>
  </w:footnote>
  <w:footnote w:id="5">
    <w:p w:rsidR="001B69FB" w:rsidP="00901DF7" w14:paraId="47E568BC" w14:textId="067586DE">
      <w:pPr>
        <w:pStyle w:val="FootnoteText"/>
      </w:pPr>
      <w:r>
        <w:rPr>
          <w:rStyle w:val="FootnoteReference"/>
        </w:rPr>
        <w:footnoteRef/>
      </w:r>
      <w:r>
        <w:t xml:space="preserve"> </w:t>
      </w:r>
      <w:r>
        <w:tab/>
        <w:t>A “</w:t>
      </w:r>
      <w:r w:rsidR="009A3A70">
        <w:t>[</w:t>
      </w:r>
      <w:r>
        <w:t>c</w:t>
      </w:r>
      <w:r w:rsidR="009A3A70">
        <w:t>]</w:t>
      </w:r>
      <w:r>
        <w:t>ontrolling offense” is defined as “the offense or enhancement for which any sentencing court imposed the longest term of imprisonment.”  (</w:t>
      </w:r>
      <w:r w:rsidR="0018394E">
        <w:t>§ </w:t>
      </w:r>
      <w:r>
        <w:t>3051, subd. (</w:t>
      </w:r>
      <w:r w:rsidR="009A3A70">
        <w:t>a</w:t>
      </w:r>
      <w:r>
        <w:t>)(</w:t>
      </w:r>
      <w:r w:rsidR="009A3A70">
        <w:t>2</w:t>
      </w:r>
      <w:r>
        <w:t>)(</w:t>
      </w:r>
      <w:r w:rsidR="009A3A70">
        <w:t>B</w:t>
      </w:r>
      <w:r>
        <w:t xml:space="preserve">).)  </w:t>
      </w:r>
    </w:p>
  </w:footnote>
  <w:footnote w:id="6">
    <w:p w:rsidR="000559DB" w:rsidP="00901DF7" w14:paraId="352EC4FF" w14:textId="43E9529C">
      <w:pPr>
        <w:pStyle w:val="FootnoteText"/>
      </w:pPr>
      <w:r>
        <w:rPr>
          <w:rStyle w:val="FootnoteReference"/>
        </w:rPr>
        <w:footnoteRef/>
      </w:r>
      <w:r>
        <w:t xml:space="preserve"> </w:t>
      </w:r>
      <w:r>
        <w:tab/>
        <w:t>Defendant did not raise a</w:t>
      </w:r>
      <w:r w:rsidR="005756A7">
        <w:t xml:space="preserve"> challenge to his </w:t>
      </w:r>
      <w:r>
        <w:t xml:space="preserve">sentence as violating the </w:t>
      </w:r>
      <w:r w:rsidR="005756A7">
        <w:t xml:space="preserve">Eighth Amendment’s </w:t>
      </w:r>
      <w:r>
        <w:t xml:space="preserve">prohibition against cruel and unusual punishment.  </w:t>
      </w:r>
    </w:p>
  </w:footnote>
  <w:footnote w:id="7">
    <w:p w:rsidR="009D42FE" w:rsidP="00901DF7" w14:paraId="00C109A2" w14:textId="37BEE87A">
      <w:pPr>
        <w:pStyle w:val="FootnoteText"/>
      </w:pPr>
      <w:r>
        <w:rPr>
          <w:rStyle w:val="FootnoteReference"/>
        </w:rPr>
        <w:footnoteRef/>
      </w:r>
      <w:r>
        <w:t xml:space="preserve"> </w:t>
      </w:r>
      <w:r>
        <w:tab/>
        <w:t xml:space="preserve">In 2017, the Legislature amended </w:t>
      </w:r>
      <w:r w:rsidR="003B469E">
        <w:t xml:space="preserve">section </w:t>
      </w:r>
      <w:r>
        <w:t>3051 to allow youth offender hearings for juveniles (those under 18 years of age)</w:t>
      </w:r>
      <w:r w:rsidR="00592F70">
        <w:t> </w:t>
      </w:r>
      <w:r>
        <w:t>— but not young adults (those 18 to 25 years</w:t>
      </w:r>
      <w:r w:rsidR="00D4148B">
        <w:t xml:space="preserve"> of age</w:t>
      </w:r>
      <w:r>
        <w:t>)</w:t>
      </w:r>
      <w:r w:rsidR="00592F70">
        <w:t> </w:t>
      </w:r>
      <w:r>
        <w:t>— sentenced to LWOP.</w:t>
      </w:r>
      <w:r w:rsidR="00E418EB">
        <w:t xml:space="preserve">  </w:t>
      </w:r>
      <w:r>
        <w:t>(</w:t>
      </w:r>
      <w:r w:rsidR="003B469E">
        <w:t xml:space="preserve">See </w:t>
      </w:r>
      <w:r w:rsidRPr="00640B49">
        <w:rPr>
          <w:i/>
          <w:iCs/>
        </w:rPr>
        <w:t>People v. Acosta</w:t>
      </w:r>
      <w:r>
        <w:t xml:space="preserve"> (2021) 60 Cal.App.5th 769, 777 [amendment sought to bring California into compliance with </w:t>
      </w:r>
      <w:r w:rsidRPr="001A23E0">
        <w:rPr>
          <w:i/>
          <w:iCs/>
        </w:rPr>
        <w:t>Miller</w:t>
      </w:r>
      <w:r>
        <w:t>’s prohibition of mandatory LWOP sentences on juvenile offenders, which was made retroactive].)</w:t>
      </w:r>
      <w:r w:rsidR="003B6BD4">
        <w:t xml:space="preserve"> </w:t>
      </w:r>
    </w:p>
  </w:footnote>
  <w:footnote w:id="8">
    <w:p w:rsidR="00B52929" w:rsidP="00901DF7" w14:paraId="3FDBB595" w14:textId="7180092C">
      <w:pPr>
        <w:pStyle w:val="FootnoteText"/>
      </w:pPr>
      <w:r>
        <w:rPr>
          <w:rStyle w:val="FootnoteReference"/>
        </w:rPr>
        <w:footnoteRef/>
      </w:r>
      <w:r>
        <w:t xml:space="preserve"> </w:t>
      </w:r>
      <w:r>
        <w:tab/>
        <w:t>Originally, the One Strike law</w:t>
      </w:r>
      <w:r w:rsidR="00381CF6">
        <w:t xml:space="preserve"> </w:t>
      </w:r>
      <w:r w:rsidR="008724B3">
        <w:t xml:space="preserve">provided </w:t>
      </w:r>
      <w:r w:rsidR="00204886">
        <w:t>that the defendant</w:t>
      </w:r>
      <w:r>
        <w:t xml:space="preserve"> “shall be punished by imprisonment in the state prison for life and shall not be eligible for release on parole for” 15 or 25 years. </w:t>
      </w:r>
      <w:r w:rsidR="00F760F6">
        <w:t xml:space="preserve"> </w:t>
      </w:r>
      <w:r w:rsidR="00ED52B1">
        <w:t>As we shall discuss, t</w:t>
      </w:r>
      <w:r w:rsidR="00A02BB4">
        <w:t xml:space="preserve">he statute </w:t>
      </w:r>
      <w:r w:rsidR="00ED52B1">
        <w:t xml:space="preserve">now also authorizes LWOP sentences.  </w:t>
      </w:r>
      <w:r w:rsidR="00A02BB4">
        <w:t>(</w:t>
      </w:r>
      <w:r w:rsidR="0018394E">
        <w:t>§ </w:t>
      </w:r>
      <w:r w:rsidR="00A02BB4">
        <w:t>667.61, subds. (j)(1), (</w:t>
      </w:r>
      <w:r w:rsidRPr="0018394E" w:rsidR="0018394E">
        <w:rPr>
          <w:i/>
          <w:iCs/>
        </w:rPr>
        <w:t>l</w:t>
      </w:r>
      <w:r w:rsidR="00A02BB4">
        <w:t>)</w:t>
      </w:r>
      <w:r w:rsidR="0061726D">
        <w:t xml:space="preserve">; Stats. 2010, ch. 219, </w:t>
      </w:r>
      <w:r w:rsidR="0018394E">
        <w:t>§ </w:t>
      </w:r>
      <w:r w:rsidR="0061726D">
        <w:t>6.</w:t>
      </w:r>
      <w:r w:rsidR="00BC5061">
        <w:t>)</w:t>
      </w:r>
    </w:p>
  </w:footnote>
  <w:footnote w:id="9">
    <w:p w:rsidR="00B47FFA" w:rsidP="00901DF7" w14:paraId="0A749A99" w14:textId="5560E439">
      <w:pPr>
        <w:pStyle w:val="FootnoteText"/>
      </w:pPr>
      <w:r>
        <w:rPr>
          <w:rStyle w:val="FootnoteReference"/>
        </w:rPr>
        <w:footnoteRef/>
      </w:r>
      <w:r>
        <w:t xml:space="preserve"> </w:t>
      </w:r>
      <w:r>
        <w:tab/>
      </w:r>
      <w:r w:rsidR="009E0EC6">
        <w:t>Months b</w:t>
      </w:r>
      <w:r>
        <w:t>efore the initiative</w:t>
      </w:r>
      <w:r w:rsidR="00704A21">
        <w:t>’s passage</w:t>
      </w:r>
      <w:r>
        <w:t xml:space="preserve">, the </w:t>
      </w:r>
      <w:r w:rsidR="00060C6F">
        <w:t>Governor signed the Sex Offender Punishment, Control, and Containment Act of 2006</w:t>
      </w:r>
      <w:r w:rsidR="008A006B">
        <w:t xml:space="preserve"> (Sen. Bill No. 1128 (2005–2006 Reg. Sess.)),</w:t>
      </w:r>
      <w:r w:rsidR="00060C6F">
        <w:t xml:space="preserve"> as urgency legislation that </w:t>
      </w:r>
      <w:r w:rsidR="00704A21">
        <w:t>took immediate effect</w:t>
      </w:r>
      <w:r w:rsidR="00060C6F">
        <w:t xml:space="preserve">.  </w:t>
      </w:r>
      <w:r w:rsidR="008A006B">
        <w:t xml:space="preserve">(See </w:t>
      </w:r>
      <w:r w:rsidRPr="00FC02BD" w:rsidR="008A006B">
        <w:rPr>
          <w:i/>
          <w:iCs/>
        </w:rPr>
        <w:t>Bourquez v. Superior Court</w:t>
      </w:r>
      <w:r w:rsidR="008A006B">
        <w:t xml:space="preserve"> (2007) 156 Cal.App.4th 1275, 1280</w:t>
      </w:r>
      <w:r w:rsidR="004E0CD4">
        <w:t>.</w:t>
      </w:r>
      <w:r w:rsidR="008A006B">
        <w:t>)  Senate Bill No. 1128 and Proposition 83 made similar changes to section 667.61</w:t>
      </w:r>
      <w:r w:rsidR="005E440B">
        <w:t>, and do not differ in ways that are relevant to the issue at hand</w:t>
      </w:r>
      <w:r w:rsidR="008A006B">
        <w:t>.</w:t>
      </w:r>
      <w:r w:rsidR="00E418EB">
        <w:t xml:space="preserve">  </w:t>
      </w:r>
    </w:p>
  </w:footnote>
  <w:footnote w:id="10">
    <w:p w:rsidR="00E60A2B" w14:paraId="26EE0082" w14:textId="5B1D97DA">
      <w:pPr>
        <w:pStyle w:val="FootnoteText"/>
      </w:pPr>
      <w:r>
        <w:rPr>
          <w:rStyle w:val="FootnoteReference"/>
        </w:rPr>
        <w:footnoteRef/>
      </w:r>
      <w:r>
        <w:t xml:space="preserve"> </w:t>
      </w:r>
      <w:r>
        <w:tab/>
        <w:t>The dissent tries to cast these twin concerns as part of an esoteric formulation “(</w:t>
      </w:r>
      <w:r w:rsidRPr="00E60A2B">
        <w:rPr>
          <w:i/>
          <w:iCs/>
        </w:rPr>
        <w:t xml:space="preserve">offense severity </w:t>
      </w:r>
      <w:r>
        <w:t xml:space="preserve">x </w:t>
      </w:r>
      <w:r w:rsidRPr="00E60A2B">
        <w:rPr>
          <w:i/>
          <w:iCs/>
        </w:rPr>
        <w:t>recidivism risk</w:t>
      </w:r>
      <w:r>
        <w:t>)” designed and “tailor</w:t>
      </w:r>
      <w:r w:rsidR="004F2616">
        <w:t>-</w:t>
      </w:r>
      <w:r>
        <w:t>made to sustain the One Strike exclusion.”  (Dis. opn. of Liu, J.,</w:t>
      </w:r>
      <w:r w:rsidRPr="00E60A2B">
        <w:rPr>
          <w:i/>
          <w:iCs/>
        </w:rPr>
        <w:t xml:space="preserve"> post</w:t>
      </w:r>
      <w:r>
        <w:t>, at p. 21.)</w:t>
      </w:r>
      <w:r w:rsidR="00370622">
        <w:t xml:space="preserve">  We disagree.  T</w:t>
      </w:r>
      <w:r>
        <w:t xml:space="preserve">hese </w:t>
      </w:r>
      <w:r w:rsidR="004F0070">
        <w:t xml:space="preserve">concerns </w:t>
      </w:r>
      <w:r>
        <w:t>are conventional “penological considerations” that reflect “rehabilitative and retributive purposes.”  (</w:t>
      </w:r>
      <w:r>
        <w:rPr>
          <w:i/>
          <w:iCs/>
        </w:rPr>
        <w:t>Hardin, supra</w:t>
      </w:r>
      <w:r>
        <w:t xml:space="preserve">, 15 Cal.5th at p. 857.) </w:t>
      </w:r>
      <w:r w:rsidRPr="00901DF7">
        <w:t xml:space="preserve"> </w:t>
      </w:r>
    </w:p>
  </w:footnote>
  <w:footnote w:id="11">
    <w:p w:rsidR="006A4635" w:rsidP="00901DF7" w14:paraId="1C92E720" w14:textId="4565F80D">
      <w:pPr>
        <w:pStyle w:val="FootnoteText"/>
      </w:pPr>
      <w:r>
        <w:rPr>
          <w:rStyle w:val="FootnoteReference"/>
        </w:rPr>
        <w:footnoteRef/>
      </w:r>
      <w:r>
        <w:t xml:space="preserve"> </w:t>
      </w:r>
      <w:r>
        <w:tab/>
        <w:t>The fact that defendant’s victims were not minors does not foreclose a finding that the Legislature had recidivism concerns</w:t>
      </w:r>
      <w:r w:rsidR="00A473EE">
        <w:t>, both</w:t>
      </w:r>
      <w:r>
        <w:t xml:space="preserve"> about One Strike</w:t>
      </w:r>
      <w:r w:rsidR="00D43F9B">
        <w:t xml:space="preserve"> offende</w:t>
      </w:r>
      <w:r>
        <w:t xml:space="preserve">rs </w:t>
      </w:r>
      <w:r w:rsidR="00A473EE">
        <w:t xml:space="preserve">generally and in particular those </w:t>
      </w:r>
      <w:r>
        <w:t xml:space="preserve">who sexually assaulted children, which provide a rational basis for the One Strike exclusion.  </w:t>
      </w:r>
      <w:r w:rsidRPr="00A37091">
        <w:t>“When conducting rational basis review</w:t>
      </w:r>
      <w:r w:rsidR="00795A03">
        <w:t> . . .</w:t>
      </w:r>
      <w:r w:rsidRPr="00A37091">
        <w:t xml:space="preserve"> [a] plausible reason for distinguishing between [two groups of individuals] need not exist in </w:t>
      </w:r>
      <w:r w:rsidRPr="00A37091">
        <w:rPr>
          <w:i/>
          <w:iCs/>
        </w:rPr>
        <w:t xml:space="preserve">every </w:t>
      </w:r>
      <w:r w:rsidRPr="00A37091">
        <w:t>scenario in which the statutes might apply.”</w:t>
      </w:r>
      <w:r>
        <w:t xml:space="preserve">  </w:t>
      </w:r>
      <w:r w:rsidRPr="00A37091">
        <w:t>(</w:t>
      </w:r>
      <w:r w:rsidR="00D15475">
        <w:rPr>
          <w:i/>
          <w:iCs/>
        </w:rPr>
        <w:t>T</w:t>
      </w:r>
      <w:r w:rsidRPr="00A37091">
        <w:rPr>
          <w:i/>
          <w:iCs/>
        </w:rPr>
        <w:t>urnage</w:t>
      </w:r>
      <w:r w:rsidRPr="00A37091">
        <w:t xml:space="preserve">, </w:t>
      </w:r>
      <w:r w:rsidRPr="00A37091">
        <w:rPr>
          <w:i/>
          <w:iCs/>
        </w:rPr>
        <w:t>supra</w:t>
      </w:r>
      <w:r w:rsidRPr="00A37091">
        <w:t>, 55 Cal.4th at p</w:t>
      </w:r>
      <w:r w:rsidR="00FC6F69">
        <w:t>p</w:t>
      </w:r>
      <w:r w:rsidRPr="00A37091">
        <w:t>. 77</w:t>
      </w:r>
      <w:r>
        <w:t>–7</w:t>
      </w:r>
      <w:r w:rsidRPr="00A37091">
        <w:t>8</w:t>
      </w:r>
      <w:r>
        <w:t>.)</w:t>
      </w:r>
    </w:p>
  </w:footnote>
  <w:footnote w:id="12">
    <w:p w:rsidR="00932C9E" w14:paraId="3D58FB14" w14:textId="6EC9FBCB">
      <w:pPr>
        <w:pStyle w:val="FootnoteText"/>
      </w:pPr>
      <w:r>
        <w:rPr>
          <w:rStyle w:val="FootnoteReference"/>
        </w:rPr>
        <w:footnoteRef/>
      </w:r>
      <w:r>
        <w:t xml:space="preserve"> </w:t>
      </w:r>
      <w:r>
        <w:tab/>
        <w:t xml:space="preserve">Contrary to our dissenting colleague’s assertion, our holding here is not inconsistent or in tension with our holding in </w:t>
      </w:r>
      <w:r w:rsidRPr="00D43994">
        <w:rPr>
          <w:i/>
          <w:iCs/>
        </w:rPr>
        <w:t>Hardin</w:t>
      </w:r>
      <w:r>
        <w:t xml:space="preserve">, which dealt with a different exclusion </w:t>
      </w:r>
      <w:r w:rsidR="00C70DE6">
        <w:t>in</w:t>
      </w:r>
      <w:r>
        <w:t xml:space="preserve"> section 3051</w:t>
      </w:r>
      <w:r w:rsidR="00C70DE6">
        <w:t>(h)</w:t>
      </w:r>
      <w:r>
        <w:t>.  (</w:t>
      </w:r>
      <w:r w:rsidRPr="00D43994">
        <w:rPr>
          <w:i/>
          <w:iCs/>
        </w:rPr>
        <w:t>Hardin</w:t>
      </w:r>
      <w:r>
        <w:t xml:space="preserve">, </w:t>
      </w:r>
      <w:r w:rsidRPr="00D43994">
        <w:rPr>
          <w:i/>
          <w:iCs/>
        </w:rPr>
        <w:t>supra</w:t>
      </w:r>
      <w:r>
        <w:t xml:space="preserve">, 15 Cal.5th at p. 839; see dis. opn. of Liu, J., </w:t>
      </w:r>
      <w:r w:rsidRPr="00704C61">
        <w:rPr>
          <w:i/>
          <w:iCs/>
        </w:rPr>
        <w:t>post</w:t>
      </w:r>
      <w:r>
        <w:t xml:space="preserve">, at p. </w:t>
      </w:r>
      <w:r w:rsidR="004076D9">
        <w:t>16</w:t>
      </w:r>
      <w:r>
        <w:t xml:space="preserve">.)  In </w:t>
      </w:r>
      <w:r w:rsidRPr="00D43994">
        <w:rPr>
          <w:i/>
          <w:iCs/>
        </w:rPr>
        <w:t>Hardin</w:t>
      </w:r>
      <w:r>
        <w:t>, we rejected the premise that “ ‘there was only a single purpose underlying’ section 3051” (</w:t>
      </w:r>
      <w:r>
        <w:rPr>
          <w:i/>
          <w:iCs/>
        </w:rPr>
        <w:t>Hardin</w:t>
      </w:r>
      <w:r>
        <w:t>, at p. 853),</w:t>
      </w:r>
      <w:r w:rsidR="00E95C84">
        <w:t xml:space="preserve"> and instead recognized that section 3051, like most legislation, reflected multiple objectives.  What is true of section 3051 as a whole is likewise true of its exclusions; there is no reason to suppose that the Legislature crafted each exclusion with precisely identical penological interests in mind</w:t>
      </w:r>
      <w:r w:rsidR="00A714C8">
        <w:t>.</w:t>
      </w:r>
      <w:r w:rsidR="00E95C84">
        <w:t xml:space="preserve"> </w:t>
      </w:r>
      <w:r>
        <w:t xml:space="preserve"> Indeed, we underscored that “ ‘the equal protection clause does not preclude a</w:t>
      </w:r>
      <w:r w:rsidR="00795A03">
        <w:t> . . .</w:t>
      </w:r>
      <w:r>
        <w:t xml:space="preserve"> legislative measure that is aimed at achieving multiple objectives, even when such objectives in some respects may be in tension or conflict.’ ”  (</w:t>
      </w:r>
      <w:r w:rsidRPr="00D43994">
        <w:rPr>
          <w:i/>
          <w:iCs/>
        </w:rPr>
        <w:t>Hardin</w:t>
      </w:r>
      <w:r>
        <w:t>, at p. 854.)</w:t>
      </w:r>
    </w:p>
  </w:footnote>
  <w:footnote w:id="13">
    <w:p w:rsidR="00622571" w14:paraId="34E171D8" w14:textId="2F8BA519">
      <w:pPr>
        <w:pStyle w:val="FootnoteText"/>
      </w:pPr>
      <w:r>
        <w:rPr>
          <w:rStyle w:val="FootnoteReference"/>
        </w:rPr>
        <w:footnoteRef/>
      </w:r>
      <w:r>
        <w:t xml:space="preserve"> </w:t>
      </w:r>
      <w:r>
        <w:tab/>
        <w:t>It extended that reasoning to juveniles, holding that they cannot be sentenced to LWOP, i.e., the “harshest possible penalty for juveniles” for committing nonhomicide</w:t>
      </w:r>
      <w:r w:rsidR="000B713B">
        <w:t xml:space="preserve"> offense</w:t>
      </w:r>
      <w:r>
        <w:t>s (</w:t>
      </w:r>
      <w:r w:rsidRPr="005B1640">
        <w:rPr>
          <w:i/>
          <w:iCs/>
        </w:rPr>
        <w:t>Miller</w:t>
      </w:r>
      <w:r>
        <w:t xml:space="preserve">, </w:t>
      </w:r>
      <w:r w:rsidRPr="005B1640">
        <w:rPr>
          <w:i/>
          <w:iCs/>
        </w:rPr>
        <w:t>supra</w:t>
      </w:r>
      <w:r>
        <w:t>, 567 U.S. at p. 489</w:t>
      </w:r>
      <w:r w:rsidR="000B713B">
        <w:t xml:space="preserve">; see </w:t>
      </w:r>
      <w:r w:rsidRPr="00704C61" w:rsidR="000B713B">
        <w:rPr>
          <w:i/>
          <w:iCs/>
        </w:rPr>
        <w:t>Graham</w:t>
      </w:r>
      <w:r w:rsidR="000B713B">
        <w:t xml:space="preserve">, </w:t>
      </w:r>
      <w:r w:rsidRPr="00704C61" w:rsidR="000B713B">
        <w:rPr>
          <w:i/>
          <w:iCs/>
        </w:rPr>
        <w:t>supra</w:t>
      </w:r>
      <w:r w:rsidR="000B713B">
        <w:t>, 560 U.S. at p. 69</w:t>
      </w:r>
      <w:r>
        <w:t>), or homicides (</w:t>
      </w:r>
      <w:r w:rsidRPr="005B1640">
        <w:rPr>
          <w:i/>
          <w:iCs/>
        </w:rPr>
        <w:t>Miller</w:t>
      </w:r>
      <w:r>
        <w:rPr>
          <w:i/>
          <w:iCs/>
        </w:rPr>
        <w:t>, supra</w:t>
      </w:r>
      <w:r>
        <w:t xml:space="preserve">, 567 U.S. at p. 489), without first giving due consideration to their attributes of youth. </w:t>
      </w:r>
    </w:p>
  </w:footnote>
  <w:footnote w:id="14">
    <w:p w:rsidR="004B511C" w14:paraId="35329B21" w14:textId="4B88E000">
      <w:pPr>
        <w:pStyle w:val="FootnoteText"/>
      </w:pPr>
      <w:r>
        <w:rPr>
          <w:rStyle w:val="FootnoteReference"/>
        </w:rPr>
        <w:footnoteRef/>
      </w:r>
      <w:r>
        <w:t xml:space="preserve"> </w:t>
      </w:r>
      <w:r>
        <w:tab/>
        <w:t xml:space="preserve">Our dissenting colleague concedes he “would not hold that the Legislature may never exclude One Strike offenders from youth offender parole eligibility.”  (Dis. opn. of Liu, J., </w:t>
      </w:r>
      <w:r w:rsidRPr="006A0E2B">
        <w:rPr>
          <w:i/>
          <w:iCs/>
        </w:rPr>
        <w:t>post</w:t>
      </w:r>
      <w:r>
        <w:t xml:space="preserve">, at p. 25.)  </w:t>
      </w:r>
      <w:r w:rsidR="00D22394">
        <w:t xml:space="preserve">However, he </w:t>
      </w:r>
      <w:r w:rsidR="003F6C86">
        <w:t>asserts that</w:t>
      </w:r>
      <w:r w:rsidR="00D22394">
        <w:t xml:space="preserve"> “as the statute comes to us, the legislative record and relevant policymaking context leave me unable to conclude that the exclusion emanated from a rational policy judgment.”  </w:t>
      </w:r>
      <w:r>
        <w:t>(</w:t>
      </w:r>
      <w:r w:rsidRPr="006A0E2B">
        <w:rPr>
          <w:i/>
          <w:iCs/>
        </w:rPr>
        <w:t>Ibid</w:t>
      </w:r>
      <w:r>
        <w:t xml:space="preserve">.)  Suffice it to say, our court’s equal protection jurisprudence </w:t>
      </w:r>
      <w:r w:rsidR="00FD5B18">
        <w:t xml:space="preserve">neither </w:t>
      </w:r>
      <w:r>
        <w:t>demand</w:t>
      </w:r>
      <w:r w:rsidR="00FD5B18">
        <w:t>s nor permits</w:t>
      </w:r>
      <w:r>
        <w:t xml:space="preserve"> </w:t>
      </w:r>
      <w:r w:rsidR="00D22394">
        <w:t xml:space="preserve">such </w:t>
      </w:r>
      <w:r>
        <w:t xml:space="preserve">a rigorous or searching review of rationality.  Indeed, as we have explained (see </w:t>
      </w:r>
      <w:r w:rsidRPr="00AE73F6">
        <w:rPr>
          <w:i/>
          <w:iCs/>
        </w:rPr>
        <w:t>ante</w:t>
      </w:r>
      <w:r>
        <w:t>, at p. 24),</w:t>
      </w:r>
      <w:r w:rsidRPr="00AE73F6">
        <w:t xml:space="preserve"> </w:t>
      </w:r>
      <w:r>
        <w:t>“t</w:t>
      </w:r>
      <w:r w:rsidRPr="00901DF7">
        <w:t>he underlying rationale for a statutory classification need not have been ‘ever actually articulated’ by lawmakers, nor ‘be empirically substantiated.’</w:t>
      </w:r>
      <w:r>
        <w:t xml:space="preserve"> ” </w:t>
      </w:r>
      <w:r w:rsidR="00881778">
        <w:t xml:space="preserve"> </w:t>
      </w:r>
      <w:r>
        <w:t>(</w:t>
      </w:r>
      <w:r w:rsidRPr="00AE73F6">
        <w:rPr>
          <w:i/>
          <w:iCs/>
        </w:rPr>
        <w:t>Hardin</w:t>
      </w:r>
      <w:r>
        <w:t xml:space="preserve">, </w:t>
      </w:r>
      <w:r w:rsidRPr="00AE73F6">
        <w:rPr>
          <w:i/>
          <w:iCs/>
        </w:rPr>
        <w:t>supra</w:t>
      </w:r>
      <w:r>
        <w:t>, 15 Cal.5th at p. 852.)</w:t>
      </w:r>
    </w:p>
  </w:footnote>
  <w:footnote w:id="15">
    <w:p w:rsidR="00704C61" w14:paraId="078C6E54" w14:textId="26AB6396">
      <w:pPr>
        <w:pStyle w:val="FootnoteText"/>
      </w:pPr>
      <w:r>
        <w:rPr>
          <w:rStyle w:val="FootnoteReference"/>
        </w:rPr>
        <w:footnoteRef/>
      </w:r>
      <w:r>
        <w:t xml:space="preserve"> </w:t>
      </w:r>
      <w:r>
        <w:tab/>
        <w:t xml:space="preserve">We disapprove </w:t>
      </w:r>
      <w:r w:rsidRPr="005608FF">
        <w:rPr>
          <w:i/>
          <w:iCs/>
        </w:rPr>
        <w:t>People v. Edwards</w:t>
      </w:r>
      <w:r>
        <w:t xml:space="preserve">, </w:t>
      </w:r>
      <w:r w:rsidRPr="005608FF">
        <w:rPr>
          <w:i/>
          <w:iCs/>
        </w:rPr>
        <w:t>supra</w:t>
      </w:r>
      <w:r>
        <w:t xml:space="preserve">, 34 Cal.App.5th 183 and </w:t>
      </w:r>
      <w:r w:rsidRPr="00704C61">
        <w:rPr>
          <w:i/>
          <w:iCs/>
        </w:rPr>
        <w:t xml:space="preserve">In re Woods </w:t>
      </w:r>
      <w:r>
        <w:t>(2021) 62 Cal.App.5th 740, to the extent they are inconsistent with this opinion.</w:t>
      </w:r>
    </w:p>
  </w:footnote>
  <w:footnote w:id="16">
    <w:p w:rsidR="0088044C" w14:paraId="080BC377" w14:textId="18994FE7">
      <w:pPr>
        <w:pStyle w:val="FootnoteText"/>
      </w:pPr>
      <w:r>
        <w:rPr>
          <w:rStyle w:val="FootnoteReference"/>
        </w:rPr>
        <w:footnoteRef/>
      </w:r>
      <w:r>
        <w:t xml:space="preserve"> </w:t>
      </w:r>
      <w:r w:rsidRPr="007B67FC" w:rsidR="00D97864">
        <w:rPr>
          <w:color w:val="212121"/>
          <w:szCs w:val="27"/>
        </w:rPr>
        <w:t>Associate Justice of the Court of Appeal, F</w:t>
      </w:r>
      <w:r w:rsidR="00D97864">
        <w:rPr>
          <w:color w:val="212121"/>
          <w:szCs w:val="27"/>
        </w:rPr>
        <w:t>ifth</w:t>
      </w:r>
      <w:r w:rsidRPr="007B67FC" w:rsidR="00D97864">
        <w:rPr>
          <w:color w:val="212121"/>
          <w:szCs w:val="27"/>
        </w:rPr>
        <w:t xml:space="preserve"> Appellate District, assigned by the Chief Justice pursuant to article VI, section 6 of the California Constitution.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1DF7" w14:paraId="6530467F" w14:textId="00142B34">
    <w:pPr>
      <w:pStyle w:val="Header"/>
    </w:pPr>
    <w:r>
      <w:t>PEOPLE v. WILLIAMS</w:t>
    </w:r>
  </w:p>
  <w:p w:rsidR="00901DF7" w14:paraId="4ABF4C5E" w14:textId="27E19A00">
    <w:pPr>
      <w:pStyle w:val="Header"/>
    </w:pPr>
    <w:r>
      <w:t>Opinion of the Court by Jenkins, J.</w:t>
    </w:r>
  </w:p>
  <w:p w:rsidR="00901DF7" w14:paraId="1A77991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19D0" w14:paraId="55F7EFE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19D0" w14:paraId="06691075" w14:textId="77777777">
    <w:pPr>
      <w:pStyle w:val="Header"/>
    </w:pPr>
    <w:r>
      <w:t>PEOPLE v. WILLIAMS</w:t>
    </w:r>
  </w:p>
  <w:p w:rsidR="00B919D0" w14:paraId="07A90C35" w14:textId="77777777">
    <w:pPr>
      <w:pStyle w:val="Header"/>
    </w:pPr>
    <w:r>
      <w:t>Liu, J., dissenting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19D0" w14:paraId="73B6644B"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19D0" w14:paraId="60BAB3D6"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19D0" w14:paraId="7E6F8921"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19D0" w14:paraId="2A9B20E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04538"/>
    <w:multiLevelType w:val="hybridMultilevel"/>
    <w:tmpl w:val="1E04F4D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CEC2F6D"/>
    <w:multiLevelType w:val="multilevel"/>
    <w:tmpl w:val="4148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1217B3"/>
    <w:multiLevelType w:val="hybridMultilevel"/>
    <w:tmpl w:val="A1EA1F8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intFractionalCharacterWidth/>
  <w:defaultTabStop w:val="720"/>
  <w:doNotHyphenateCaps/>
  <w:displayHorizontalDrawingGridEvery w:val="0"/>
  <w:displayVerticalDrawingGridEvery w:val="0"/>
  <w:doNotUseMarginsForDrawingGridOrigin/>
  <w:noPunctuationKerning/>
  <w:characterSpacingControl w:val="doNotCompress"/>
  <w:footnotePr>
    <w:numFmt w:val="chicago"/>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E3"/>
    <w:rsid w:val="000004D7"/>
    <w:rsid w:val="000006A7"/>
    <w:rsid w:val="00000A9C"/>
    <w:rsid w:val="00000B0B"/>
    <w:rsid w:val="00000DA5"/>
    <w:rsid w:val="000014A8"/>
    <w:rsid w:val="00001891"/>
    <w:rsid w:val="00001B85"/>
    <w:rsid w:val="00001FA0"/>
    <w:rsid w:val="00002141"/>
    <w:rsid w:val="00002421"/>
    <w:rsid w:val="00002632"/>
    <w:rsid w:val="00002672"/>
    <w:rsid w:val="00002FB0"/>
    <w:rsid w:val="00003198"/>
    <w:rsid w:val="00003545"/>
    <w:rsid w:val="00003631"/>
    <w:rsid w:val="0000391A"/>
    <w:rsid w:val="00003B29"/>
    <w:rsid w:val="000047CB"/>
    <w:rsid w:val="000058F1"/>
    <w:rsid w:val="00007429"/>
    <w:rsid w:val="0000746B"/>
    <w:rsid w:val="00007DBF"/>
    <w:rsid w:val="000100C8"/>
    <w:rsid w:val="00010168"/>
    <w:rsid w:val="00010585"/>
    <w:rsid w:val="00010592"/>
    <w:rsid w:val="000106B7"/>
    <w:rsid w:val="00011497"/>
    <w:rsid w:val="00011E08"/>
    <w:rsid w:val="000120FA"/>
    <w:rsid w:val="0001212A"/>
    <w:rsid w:val="000124C7"/>
    <w:rsid w:val="000126D9"/>
    <w:rsid w:val="000128F4"/>
    <w:rsid w:val="00012B1B"/>
    <w:rsid w:val="00012C90"/>
    <w:rsid w:val="0001337F"/>
    <w:rsid w:val="00013CE1"/>
    <w:rsid w:val="0001438E"/>
    <w:rsid w:val="000145DA"/>
    <w:rsid w:val="00014C06"/>
    <w:rsid w:val="00014CB1"/>
    <w:rsid w:val="00014F6F"/>
    <w:rsid w:val="00014FAD"/>
    <w:rsid w:val="000151E9"/>
    <w:rsid w:val="00015A9D"/>
    <w:rsid w:val="00015B49"/>
    <w:rsid w:val="00015FA9"/>
    <w:rsid w:val="00016D2A"/>
    <w:rsid w:val="00016D98"/>
    <w:rsid w:val="00016F01"/>
    <w:rsid w:val="00017A6C"/>
    <w:rsid w:val="00017FD5"/>
    <w:rsid w:val="00020348"/>
    <w:rsid w:val="00020632"/>
    <w:rsid w:val="00020774"/>
    <w:rsid w:val="000208A3"/>
    <w:rsid w:val="00020903"/>
    <w:rsid w:val="00020E66"/>
    <w:rsid w:val="00020EDB"/>
    <w:rsid w:val="000214E1"/>
    <w:rsid w:val="000217F2"/>
    <w:rsid w:val="00021A6B"/>
    <w:rsid w:val="0002202F"/>
    <w:rsid w:val="00022033"/>
    <w:rsid w:val="00022422"/>
    <w:rsid w:val="00023225"/>
    <w:rsid w:val="000236E8"/>
    <w:rsid w:val="00023BEA"/>
    <w:rsid w:val="00023BF6"/>
    <w:rsid w:val="00024038"/>
    <w:rsid w:val="000243AD"/>
    <w:rsid w:val="000247CF"/>
    <w:rsid w:val="00024D36"/>
    <w:rsid w:val="00024D48"/>
    <w:rsid w:val="00024E26"/>
    <w:rsid w:val="00025423"/>
    <w:rsid w:val="00025C9C"/>
    <w:rsid w:val="00025D23"/>
    <w:rsid w:val="00025DD6"/>
    <w:rsid w:val="00025E58"/>
    <w:rsid w:val="00025FBA"/>
    <w:rsid w:val="000271E3"/>
    <w:rsid w:val="00027215"/>
    <w:rsid w:val="00027315"/>
    <w:rsid w:val="000276B1"/>
    <w:rsid w:val="00027E03"/>
    <w:rsid w:val="000300C7"/>
    <w:rsid w:val="000306D0"/>
    <w:rsid w:val="00030751"/>
    <w:rsid w:val="00030995"/>
    <w:rsid w:val="00030D1F"/>
    <w:rsid w:val="00030DA9"/>
    <w:rsid w:val="00031223"/>
    <w:rsid w:val="0003165D"/>
    <w:rsid w:val="00031E54"/>
    <w:rsid w:val="000321BF"/>
    <w:rsid w:val="0003229E"/>
    <w:rsid w:val="00033136"/>
    <w:rsid w:val="00033498"/>
    <w:rsid w:val="000338E0"/>
    <w:rsid w:val="00033956"/>
    <w:rsid w:val="00033CC1"/>
    <w:rsid w:val="00033E15"/>
    <w:rsid w:val="00033EA8"/>
    <w:rsid w:val="0003495F"/>
    <w:rsid w:val="0003618A"/>
    <w:rsid w:val="00036748"/>
    <w:rsid w:val="00036F2D"/>
    <w:rsid w:val="0003766D"/>
    <w:rsid w:val="000376BD"/>
    <w:rsid w:val="00037F28"/>
    <w:rsid w:val="00040A4C"/>
    <w:rsid w:val="00040CA7"/>
    <w:rsid w:val="0004121A"/>
    <w:rsid w:val="000415C0"/>
    <w:rsid w:val="0004173A"/>
    <w:rsid w:val="000417FF"/>
    <w:rsid w:val="0004188C"/>
    <w:rsid w:val="000434C2"/>
    <w:rsid w:val="00043A74"/>
    <w:rsid w:val="00043AA2"/>
    <w:rsid w:val="00045A68"/>
    <w:rsid w:val="00046D3B"/>
    <w:rsid w:val="00047052"/>
    <w:rsid w:val="0004718E"/>
    <w:rsid w:val="00047251"/>
    <w:rsid w:val="00047E2D"/>
    <w:rsid w:val="00047F72"/>
    <w:rsid w:val="00050F9F"/>
    <w:rsid w:val="0005175A"/>
    <w:rsid w:val="00051F22"/>
    <w:rsid w:val="0005216B"/>
    <w:rsid w:val="000522CD"/>
    <w:rsid w:val="000527FE"/>
    <w:rsid w:val="000528A0"/>
    <w:rsid w:val="00052A81"/>
    <w:rsid w:val="00052AD5"/>
    <w:rsid w:val="00053146"/>
    <w:rsid w:val="000532EC"/>
    <w:rsid w:val="00053709"/>
    <w:rsid w:val="00053775"/>
    <w:rsid w:val="00053A98"/>
    <w:rsid w:val="00054299"/>
    <w:rsid w:val="00054368"/>
    <w:rsid w:val="0005470E"/>
    <w:rsid w:val="0005494C"/>
    <w:rsid w:val="000549B8"/>
    <w:rsid w:val="00054BF0"/>
    <w:rsid w:val="000553CA"/>
    <w:rsid w:val="000554CA"/>
    <w:rsid w:val="00055876"/>
    <w:rsid w:val="000559DB"/>
    <w:rsid w:val="00055BF2"/>
    <w:rsid w:val="00055CF4"/>
    <w:rsid w:val="0005624B"/>
    <w:rsid w:val="00056682"/>
    <w:rsid w:val="00056C72"/>
    <w:rsid w:val="00057095"/>
    <w:rsid w:val="0005716E"/>
    <w:rsid w:val="00057287"/>
    <w:rsid w:val="00057EA9"/>
    <w:rsid w:val="000600F2"/>
    <w:rsid w:val="00060429"/>
    <w:rsid w:val="00060AC8"/>
    <w:rsid w:val="00060C6F"/>
    <w:rsid w:val="00061004"/>
    <w:rsid w:val="00061195"/>
    <w:rsid w:val="000612A7"/>
    <w:rsid w:val="00061683"/>
    <w:rsid w:val="000616D1"/>
    <w:rsid w:val="000619FF"/>
    <w:rsid w:val="000620B0"/>
    <w:rsid w:val="0006283D"/>
    <w:rsid w:val="0006346B"/>
    <w:rsid w:val="0006347F"/>
    <w:rsid w:val="000647A6"/>
    <w:rsid w:val="00064ED7"/>
    <w:rsid w:val="00065122"/>
    <w:rsid w:val="0006550F"/>
    <w:rsid w:val="00065771"/>
    <w:rsid w:val="00065D5F"/>
    <w:rsid w:val="00065E22"/>
    <w:rsid w:val="00065FA2"/>
    <w:rsid w:val="00066534"/>
    <w:rsid w:val="000670C1"/>
    <w:rsid w:val="000671DA"/>
    <w:rsid w:val="000673E4"/>
    <w:rsid w:val="00067449"/>
    <w:rsid w:val="000675D8"/>
    <w:rsid w:val="00067918"/>
    <w:rsid w:val="00067B7C"/>
    <w:rsid w:val="00067D60"/>
    <w:rsid w:val="00067FC3"/>
    <w:rsid w:val="0007029D"/>
    <w:rsid w:val="000702B8"/>
    <w:rsid w:val="00070DE6"/>
    <w:rsid w:val="00073016"/>
    <w:rsid w:val="00073334"/>
    <w:rsid w:val="00073FA8"/>
    <w:rsid w:val="000746DE"/>
    <w:rsid w:val="00074783"/>
    <w:rsid w:val="000748FC"/>
    <w:rsid w:val="000750E5"/>
    <w:rsid w:val="00075A0B"/>
    <w:rsid w:val="000763CF"/>
    <w:rsid w:val="000764D2"/>
    <w:rsid w:val="000768F9"/>
    <w:rsid w:val="00076D87"/>
    <w:rsid w:val="0007732C"/>
    <w:rsid w:val="00077AA9"/>
    <w:rsid w:val="00077C27"/>
    <w:rsid w:val="00077C70"/>
    <w:rsid w:val="00080265"/>
    <w:rsid w:val="00080679"/>
    <w:rsid w:val="00081064"/>
    <w:rsid w:val="0008111D"/>
    <w:rsid w:val="0008154E"/>
    <w:rsid w:val="0008159C"/>
    <w:rsid w:val="00081C62"/>
    <w:rsid w:val="00081D7F"/>
    <w:rsid w:val="00081F41"/>
    <w:rsid w:val="0008239A"/>
    <w:rsid w:val="00082BD7"/>
    <w:rsid w:val="00083111"/>
    <w:rsid w:val="000834AF"/>
    <w:rsid w:val="000836B1"/>
    <w:rsid w:val="00083900"/>
    <w:rsid w:val="00083D9E"/>
    <w:rsid w:val="00083F19"/>
    <w:rsid w:val="00084965"/>
    <w:rsid w:val="00084CFA"/>
    <w:rsid w:val="00084EBB"/>
    <w:rsid w:val="0008530A"/>
    <w:rsid w:val="0008589A"/>
    <w:rsid w:val="00085BC9"/>
    <w:rsid w:val="00085D0E"/>
    <w:rsid w:val="00086418"/>
    <w:rsid w:val="0008713B"/>
    <w:rsid w:val="0008730D"/>
    <w:rsid w:val="00087A76"/>
    <w:rsid w:val="00087EB6"/>
    <w:rsid w:val="00090098"/>
    <w:rsid w:val="00090633"/>
    <w:rsid w:val="0009069B"/>
    <w:rsid w:val="00090D54"/>
    <w:rsid w:val="00090DFD"/>
    <w:rsid w:val="00091225"/>
    <w:rsid w:val="00091385"/>
    <w:rsid w:val="000915A9"/>
    <w:rsid w:val="000918BA"/>
    <w:rsid w:val="00093062"/>
    <w:rsid w:val="00093760"/>
    <w:rsid w:val="00093AD4"/>
    <w:rsid w:val="00093FE6"/>
    <w:rsid w:val="00094789"/>
    <w:rsid w:val="00094D1E"/>
    <w:rsid w:val="00094E15"/>
    <w:rsid w:val="000951E7"/>
    <w:rsid w:val="0009531A"/>
    <w:rsid w:val="000953C4"/>
    <w:rsid w:val="00095A70"/>
    <w:rsid w:val="00095C7F"/>
    <w:rsid w:val="00095C84"/>
    <w:rsid w:val="00095CAC"/>
    <w:rsid w:val="00095F4B"/>
    <w:rsid w:val="0009607A"/>
    <w:rsid w:val="0009626E"/>
    <w:rsid w:val="000964D4"/>
    <w:rsid w:val="000971B9"/>
    <w:rsid w:val="0009785F"/>
    <w:rsid w:val="000979ED"/>
    <w:rsid w:val="00097AEF"/>
    <w:rsid w:val="00097B5F"/>
    <w:rsid w:val="000A00E7"/>
    <w:rsid w:val="000A0270"/>
    <w:rsid w:val="000A0FCC"/>
    <w:rsid w:val="000A0FEE"/>
    <w:rsid w:val="000A1496"/>
    <w:rsid w:val="000A157F"/>
    <w:rsid w:val="000A1B08"/>
    <w:rsid w:val="000A1BB0"/>
    <w:rsid w:val="000A20CD"/>
    <w:rsid w:val="000A2D8D"/>
    <w:rsid w:val="000A30B9"/>
    <w:rsid w:val="000A30F0"/>
    <w:rsid w:val="000A3A12"/>
    <w:rsid w:val="000A3FD0"/>
    <w:rsid w:val="000A447B"/>
    <w:rsid w:val="000A4A4B"/>
    <w:rsid w:val="000A4F92"/>
    <w:rsid w:val="000A5A45"/>
    <w:rsid w:val="000A61E1"/>
    <w:rsid w:val="000A6297"/>
    <w:rsid w:val="000A63EC"/>
    <w:rsid w:val="000A6E6B"/>
    <w:rsid w:val="000A7304"/>
    <w:rsid w:val="000A743D"/>
    <w:rsid w:val="000B0A06"/>
    <w:rsid w:val="000B1003"/>
    <w:rsid w:val="000B1374"/>
    <w:rsid w:val="000B1665"/>
    <w:rsid w:val="000B3060"/>
    <w:rsid w:val="000B33F5"/>
    <w:rsid w:val="000B3FCE"/>
    <w:rsid w:val="000B42B4"/>
    <w:rsid w:val="000B44B3"/>
    <w:rsid w:val="000B45B4"/>
    <w:rsid w:val="000B4606"/>
    <w:rsid w:val="000B4838"/>
    <w:rsid w:val="000B49F1"/>
    <w:rsid w:val="000B4B20"/>
    <w:rsid w:val="000B4CD6"/>
    <w:rsid w:val="000B5998"/>
    <w:rsid w:val="000B5BD9"/>
    <w:rsid w:val="000B6945"/>
    <w:rsid w:val="000B695D"/>
    <w:rsid w:val="000B6CBB"/>
    <w:rsid w:val="000B713B"/>
    <w:rsid w:val="000B75BA"/>
    <w:rsid w:val="000B774F"/>
    <w:rsid w:val="000B798A"/>
    <w:rsid w:val="000C0D5E"/>
    <w:rsid w:val="000C1BA9"/>
    <w:rsid w:val="000C1C47"/>
    <w:rsid w:val="000C22CF"/>
    <w:rsid w:val="000C24B1"/>
    <w:rsid w:val="000C2A9A"/>
    <w:rsid w:val="000C2B4C"/>
    <w:rsid w:val="000C2C00"/>
    <w:rsid w:val="000C2D62"/>
    <w:rsid w:val="000C2EA5"/>
    <w:rsid w:val="000C35B2"/>
    <w:rsid w:val="000C38AB"/>
    <w:rsid w:val="000C3A0F"/>
    <w:rsid w:val="000C3D05"/>
    <w:rsid w:val="000C3FDE"/>
    <w:rsid w:val="000C4026"/>
    <w:rsid w:val="000C46FC"/>
    <w:rsid w:val="000C4FCA"/>
    <w:rsid w:val="000C68BB"/>
    <w:rsid w:val="000C6964"/>
    <w:rsid w:val="000C6B12"/>
    <w:rsid w:val="000C73BE"/>
    <w:rsid w:val="000C7B62"/>
    <w:rsid w:val="000D0001"/>
    <w:rsid w:val="000D0B65"/>
    <w:rsid w:val="000D0CDD"/>
    <w:rsid w:val="000D108C"/>
    <w:rsid w:val="000D10AB"/>
    <w:rsid w:val="000D234E"/>
    <w:rsid w:val="000D252A"/>
    <w:rsid w:val="000D3585"/>
    <w:rsid w:val="000D3A01"/>
    <w:rsid w:val="000D3F15"/>
    <w:rsid w:val="000D4343"/>
    <w:rsid w:val="000D45AD"/>
    <w:rsid w:val="000D48A9"/>
    <w:rsid w:val="000D4B6C"/>
    <w:rsid w:val="000D5558"/>
    <w:rsid w:val="000D565E"/>
    <w:rsid w:val="000D5A76"/>
    <w:rsid w:val="000D5B32"/>
    <w:rsid w:val="000D5E69"/>
    <w:rsid w:val="000D5F2A"/>
    <w:rsid w:val="000D614C"/>
    <w:rsid w:val="000D61BC"/>
    <w:rsid w:val="000D6526"/>
    <w:rsid w:val="000D682D"/>
    <w:rsid w:val="000D72C5"/>
    <w:rsid w:val="000D781D"/>
    <w:rsid w:val="000D7AEC"/>
    <w:rsid w:val="000D7EF9"/>
    <w:rsid w:val="000E055C"/>
    <w:rsid w:val="000E0D78"/>
    <w:rsid w:val="000E0E45"/>
    <w:rsid w:val="000E12EE"/>
    <w:rsid w:val="000E16DD"/>
    <w:rsid w:val="000E1936"/>
    <w:rsid w:val="000E19CF"/>
    <w:rsid w:val="000E2004"/>
    <w:rsid w:val="000E2077"/>
    <w:rsid w:val="000E216C"/>
    <w:rsid w:val="000E253B"/>
    <w:rsid w:val="000E256D"/>
    <w:rsid w:val="000E27A1"/>
    <w:rsid w:val="000E3071"/>
    <w:rsid w:val="000E348F"/>
    <w:rsid w:val="000E3698"/>
    <w:rsid w:val="000E496F"/>
    <w:rsid w:val="000E4A68"/>
    <w:rsid w:val="000E4BEE"/>
    <w:rsid w:val="000E4D9B"/>
    <w:rsid w:val="000E5174"/>
    <w:rsid w:val="000E5537"/>
    <w:rsid w:val="000E5F14"/>
    <w:rsid w:val="000E62A0"/>
    <w:rsid w:val="000E62E0"/>
    <w:rsid w:val="000E6F38"/>
    <w:rsid w:val="000E75A4"/>
    <w:rsid w:val="000E7820"/>
    <w:rsid w:val="000E7C3F"/>
    <w:rsid w:val="000E7F50"/>
    <w:rsid w:val="000F05A4"/>
    <w:rsid w:val="000F083C"/>
    <w:rsid w:val="000F2825"/>
    <w:rsid w:val="000F284C"/>
    <w:rsid w:val="000F2893"/>
    <w:rsid w:val="000F313B"/>
    <w:rsid w:val="000F3320"/>
    <w:rsid w:val="000F34B3"/>
    <w:rsid w:val="000F41E0"/>
    <w:rsid w:val="000F44BA"/>
    <w:rsid w:val="000F4929"/>
    <w:rsid w:val="000F49F7"/>
    <w:rsid w:val="000F4F8B"/>
    <w:rsid w:val="000F5130"/>
    <w:rsid w:val="000F5459"/>
    <w:rsid w:val="000F54CC"/>
    <w:rsid w:val="000F5606"/>
    <w:rsid w:val="000F56AF"/>
    <w:rsid w:val="000F63C0"/>
    <w:rsid w:val="000F665B"/>
    <w:rsid w:val="000F675B"/>
    <w:rsid w:val="000F6CC0"/>
    <w:rsid w:val="000F78DF"/>
    <w:rsid w:val="000F7B4E"/>
    <w:rsid w:val="000F7CEB"/>
    <w:rsid w:val="000F7D62"/>
    <w:rsid w:val="0010020E"/>
    <w:rsid w:val="00100759"/>
    <w:rsid w:val="00100E14"/>
    <w:rsid w:val="00101EC6"/>
    <w:rsid w:val="00101F2B"/>
    <w:rsid w:val="00101F32"/>
    <w:rsid w:val="001025FA"/>
    <w:rsid w:val="00103EF7"/>
    <w:rsid w:val="001041A7"/>
    <w:rsid w:val="001043F7"/>
    <w:rsid w:val="00104905"/>
    <w:rsid w:val="00104C99"/>
    <w:rsid w:val="00105102"/>
    <w:rsid w:val="001053FD"/>
    <w:rsid w:val="00105BC3"/>
    <w:rsid w:val="001062D6"/>
    <w:rsid w:val="0010646B"/>
    <w:rsid w:val="00106985"/>
    <w:rsid w:val="00106AD2"/>
    <w:rsid w:val="00106EE4"/>
    <w:rsid w:val="00107988"/>
    <w:rsid w:val="00107E3C"/>
    <w:rsid w:val="001100A4"/>
    <w:rsid w:val="001105E8"/>
    <w:rsid w:val="00110661"/>
    <w:rsid w:val="001107F3"/>
    <w:rsid w:val="001113FB"/>
    <w:rsid w:val="00111772"/>
    <w:rsid w:val="001118B6"/>
    <w:rsid w:val="00112109"/>
    <w:rsid w:val="00112186"/>
    <w:rsid w:val="0011231F"/>
    <w:rsid w:val="0011286B"/>
    <w:rsid w:val="00112D70"/>
    <w:rsid w:val="0011301A"/>
    <w:rsid w:val="0011372B"/>
    <w:rsid w:val="00113878"/>
    <w:rsid w:val="00113FC5"/>
    <w:rsid w:val="0011442D"/>
    <w:rsid w:val="0011472A"/>
    <w:rsid w:val="0011491A"/>
    <w:rsid w:val="001160D5"/>
    <w:rsid w:val="0011645C"/>
    <w:rsid w:val="00116765"/>
    <w:rsid w:val="0011698B"/>
    <w:rsid w:val="00116C96"/>
    <w:rsid w:val="00116E2E"/>
    <w:rsid w:val="001171B7"/>
    <w:rsid w:val="001179AE"/>
    <w:rsid w:val="00120BF5"/>
    <w:rsid w:val="00120D6A"/>
    <w:rsid w:val="00121050"/>
    <w:rsid w:val="0012110D"/>
    <w:rsid w:val="00121861"/>
    <w:rsid w:val="0012205D"/>
    <w:rsid w:val="001226BE"/>
    <w:rsid w:val="00122AC1"/>
    <w:rsid w:val="00122DB3"/>
    <w:rsid w:val="00123CE7"/>
    <w:rsid w:val="00123D62"/>
    <w:rsid w:val="001240CE"/>
    <w:rsid w:val="00124268"/>
    <w:rsid w:val="00125335"/>
    <w:rsid w:val="00125382"/>
    <w:rsid w:val="001255F7"/>
    <w:rsid w:val="001256B2"/>
    <w:rsid w:val="001259B4"/>
    <w:rsid w:val="00127282"/>
    <w:rsid w:val="001274A8"/>
    <w:rsid w:val="00127552"/>
    <w:rsid w:val="00127FE4"/>
    <w:rsid w:val="001303BE"/>
    <w:rsid w:val="001303D0"/>
    <w:rsid w:val="00130499"/>
    <w:rsid w:val="00130927"/>
    <w:rsid w:val="00131714"/>
    <w:rsid w:val="0013175D"/>
    <w:rsid w:val="00132186"/>
    <w:rsid w:val="001321FB"/>
    <w:rsid w:val="001327F0"/>
    <w:rsid w:val="00133849"/>
    <w:rsid w:val="00133B70"/>
    <w:rsid w:val="00134471"/>
    <w:rsid w:val="00134D0A"/>
    <w:rsid w:val="00134FC3"/>
    <w:rsid w:val="00135916"/>
    <w:rsid w:val="00135D93"/>
    <w:rsid w:val="00136A07"/>
    <w:rsid w:val="00136C14"/>
    <w:rsid w:val="00137498"/>
    <w:rsid w:val="00137F92"/>
    <w:rsid w:val="00140403"/>
    <w:rsid w:val="0014103E"/>
    <w:rsid w:val="00142185"/>
    <w:rsid w:val="001421AA"/>
    <w:rsid w:val="0014236D"/>
    <w:rsid w:val="00142DC8"/>
    <w:rsid w:val="00142E6F"/>
    <w:rsid w:val="001436BE"/>
    <w:rsid w:val="00143916"/>
    <w:rsid w:val="00143B6D"/>
    <w:rsid w:val="00143CF5"/>
    <w:rsid w:val="0014406A"/>
    <w:rsid w:val="0014406F"/>
    <w:rsid w:val="001444ED"/>
    <w:rsid w:val="001445DE"/>
    <w:rsid w:val="00144659"/>
    <w:rsid w:val="0014471D"/>
    <w:rsid w:val="00144822"/>
    <w:rsid w:val="00145094"/>
    <w:rsid w:val="001450A3"/>
    <w:rsid w:val="001457DF"/>
    <w:rsid w:val="0014669D"/>
    <w:rsid w:val="00147798"/>
    <w:rsid w:val="001500CB"/>
    <w:rsid w:val="00150429"/>
    <w:rsid w:val="001507C4"/>
    <w:rsid w:val="00150903"/>
    <w:rsid w:val="001517C4"/>
    <w:rsid w:val="001517C7"/>
    <w:rsid w:val="00151A48"/>
    <w:rsid w:val="00151F7C"/>
    <w:rsid w:val="00151FFF"/>
    <w:rsid w:val="00152B97"/>
    <w:rsid w:val="001533BB"/>
    <w:rsid w:val="00153784"/>
    <w:rsid w:val="001538CA"/>
    <w:rsid w:val="00153B3E"/>
    <w:rsid w:val="00153E94"/>
    <w:rsid w:val="001541CF"/>
    <w:rsid w:val="00154322"/>
    <w:rsid w:val="00154346"/>
    <w:rsid w:val="00154528"/>
    <w:rsid w:val="00155C86"/>
    <w:rsid w:val="00156522"/>
    <w:rsid w:val="001568DC"/>
    <w:rsid w:val="00156940"/>
    <w:rsid w:val="0015694C"/>
    <w:rsid w:val="00156E63"/>
    <w:rsid w:val="001573CA"/>
    <w:rsid w:val="00157687"/>
    <w:rsid w:val="0015770B"/>
    <w:rsid w:val="001602F0"/>
    <w:rsid w:val="001604CB"/>
    <w:rsid w:val="00160A3B"/>
    <w:rsid w:val="00161200"/>
    <w:rsid w:val="001612EA"/>
    <w:rsid w:val="00161685"/>
    <w:rsid w:val="001616E8"/>
    <w:rsid w:val="00161A8C"/>
    <w:rsid w:val="00161ADA"/>
    <w:rsid w:val="00161BF8"/>
    <w:rsid w:val="00161EF6"/>
    <w:rsid w:val="00162346"/>
    <w:rsid w:val="0016299F"/>
    <w:rsid w:val="00163206"/>
    <w:rsid w:val="00163335"/>
    <w:rsid w:val="001635B8"/>
    <w:rsid w:val="001636FD"/>
    <w:rsid w:val="001638D7"/>
    <w:rsid w:val="00163B63"/>
    <w:rsid w:val="00163BA4"/>
    <w:rsid w:val="00164111"/>
    <w:rsid w:val="0016436A"/>
    <w:rsid w:val="001646FE"/>
    <w:rsid w:val="001648C1"/>
    <w:rsid w:val="00164D02"/>
    <w:rsid w:val="001650B4"/>
    <w:rsid w:val="001655F0"/>
    <w:rsid w:val="00165698"/>
    <w:rsid w:val="00165874"/>
    <w:rsid w:val="001658B9"/>
    <w:rsid w:val="00165D1C"/>
    <w:rsid w:val="0016665E"/>
    <w:rsid w:val="001667B8"/>
    <w:rsid w:val="001679F0"/>
    <w:rsid w:val="00167C42"/>
    <w:rsid w:val="00170217"/>
    <w:rsid w:val="00170701"/>
    <w:rsid w:val="00171518"/>
    <w:rsid w:val="00171842"/>
    <w:rsid w:val="00171AB6"/>
    <w:rsid w:val="00171C0C"/>
    <w:rsid w:val="00171C1C"/>
    <w:rsid w:val="0017289A"/>
    <w:rsid w:val="001729C1"/>
    <w:rsid w:val="00172BDA"/>
    <w:rsid w:val="00172C06"/>
    <w:rsid w:val="00172E4F"/>
    <w:rsid w:val="00173B63"/>
    <w:rsid w:val="001746EA"/>
    <w:rsid w:val="00174B7E"/>
    <w:rsid w:val="00174D4F"/>
    <w:rsid w:val="00174DF2"/>
    <w:rsid w:val="00174FCA"/>
    <w:rsid w:val="0017599A"/>
    <w:rsid w:val="00175C2F"/>
    <w:rsid w:val="00175F7C"/>
    <w:rsid w:val="00176008"/>
    <w:rsid w:val="0017618D"/>
    <w:rsid w:val="0017646E"/>
    <w:rsid w:val="00176C80"/>
    <w:rsid w:val="00177644"/>
    <w:rsid w:val="0018084B"/>
    <w:rsid w:val="00181F3E"/>
    <w:rsid w:val="00181FD1"/>
    <w:rsid w:val="001826FD"/>
    <w:rsid w:val="0018300D"/>
    <w:rsid w:val="00183604"/>
    <w:rsid w:val="0018394E"/>
    <w:rsid w:val="00183C6C"/>
    <w:rsid w:val="00183CA4"/>
    <w:rsid w:val="00183FDD"/>
    <w:rsid w:val="00184646"/>
    <w:rsid w:val="00184BDD"/>
    <w:rsid w:val="00184DD6"/>
    <w:rsid w:val="00184DFB"/>
    <w:rsid w:val="00185061"/>
    <w:rsid w:val="001850CF"/>
    <w:rsid w:val="00185E65"/>
    <w:rsid w:val="00186A51"/>
    <w:rsid w:val="00186BA5"/>
    <w:rsid w:val="00186BE1"/>
    <w:rsid w:val="00187670"/>
    <w:rsid w:val="001879D2"/>
    <w:rsid w:val="00187B52"/>
    <w:rsid w:val="00190081"/>
    <w:rsid w:val="00190091"/>
    <w:rsid w:val="001903B2"/>
    <w:rsid w:val="00190A1C"/>
    <w:rsid w:val="00190A8C"/>
    <w:rsid w:val="00190CD6"/>
    <w:rsid w:val="00190D0D"/>
    <w:rsid w:val="00191021"/>
    <w:rsid w:val="001912C9"/>
    <w:rsid w:val="001912D4"/>
    <w:rsid w:val="0019156B"/>
    <w:rsid w:val="00191603"/>
    <w:rsid w:val="001919DF"/>
    <w:rsid w:val="00192BD4"/>
    <w:rsid w:val="00192FB1"/>
    <w:rsid w:val="00193AF6"/>
    <w:rsid w:val="00193B74"/>
    <w:rsid w:val="00193D70"/>
    <w:rsid w:val="0019415C"/>
    <w:rsid w:val="00195AAF"/>
    <w:rsid w:val="00195BDD"/>
    <w:rsid w:val="001966C0"/>
    <w:rsid w:val="00196B75"/>
    <w:rsid w:val="00196BD9"/>
    <w:rsid w:val="00197731"/>
    <w:rsid w:val="001A092F"/>
    <w:rsid w:val="001A0AC3"/>
    <w:rsid w:val="001A158E"/>
    <w:rsid w:val="001A1809"/>
    <w:rsid w:val="001A1ABB"/>
    <w:rsid w:val="001A1D27"/>
    <w:rsid w:val="001A23E0"/>
    <w:rsid w:val="001A265E"/>
    <w:rsid w:val="001A2B16"/>
    <w:rsid w:val="001A2E18"/>
    <w:rsid w:val="001A31F5"/>
    <w:rsid w:val="001A42B1"/>
    <w:rsid w:val="001A43FC"/>
    <w:rsid w:val="001A4466"/>
    <w:rsid w:val="001A47B1"/>
    <w:rsid w:val="001A4D97"/>
    <w:rsid w:val="001A4E41"/>
    <w:rsid w:val="001A4F29"/>
    <w:rsid w:val="001A5115"/>
    <w:rsid w:val="001A5A8A"/>
    <w:rsid w:val="001A5B85"/>
    <w:rsid w:val="001A6267"/>
    <w:rsid w:val="001A6E5D"/>
    <w:rsid w:val="001A6FC8"/>
    <w:rsid w:val="001A742C"/>
    <w:rsid w:val="001A7676"/>
    <w:rsid w:val="001A76C9"/>
    <w:rsid w:val="001A7796"/>
    <w:rsid w:val="001B00F0"/>
    <w:rsid w:val="001B06C0"/>
    <w:rsid w:val="001B09F6"/>
    <w:rsid w:val="001B0BF9"/>
    <w:rsid w:val="001B0E31"/>
    <w:rsid w:val="001B11F2"/>
    <w:rsid w:val="001B1A42"/>
    <w:rsid w:val="001B1DB1"/>
    <w:rsid w:val="001B1ECA"/>
    <w:rsid w:val="001B2E5C"/>
    <w:rsid w:val="001B342B"/>
    <w:rsid w:val="001B3772"/>
    <w:rsid w:val="001B4679"/>
    <w:rsid w:val="001B4D43"/>
    <w:rsid w:val="001B4F13"/>
    <w:rsid w:val="001B5218"/>
    <w:rsid w:val="001B53A4"/>
    <w:rsid w:val="001B5597"/>
    <w:rsid w:val="001B5E84"/>
    <w:rsid w:val="001B605B"/>
    <w:rsid w:val="001B67C2"/>
    <w:rsid w:val="001B69FB"/>
    <w:rsid w:val="001B7A41"/>
    <w:rsid w:val="001C0019"/>
    <w:rsid w:val="001C0824"/>
    <w:rsid w:val="001C1276"/>
    <w:rsid w:val="001C186A"/>
    <w:rsid w:val="001C1A82"/>
    <w:rsid w:val="001C1B4A"/>
    <w:rsid w:val="001C1CFB"/>
    <w:rsid w:val="001C2069"/>
    <w:rsid w:val="001C2143"/>
    <w:rsid w:val="001C261C"/>
    <w:rsid w:val="001C28A3"/>
    <w:rsid w:val="001C3148"/>
    <w:rsid w:val="001C39BB"/>
    <w:rsid w:val="001C3BFA"/>
    <w:rsid w:val="001C457B"/>
    <w:rsid w:val="001C4A6E"/>
    <w:rsid w:val="001C4F38"/>
    <w:rsid w:val="001C52C8"/>
    <w:rsid w:val="001C5674"/>
    <w:rsid w:val="001C56C6"/>
    <w:rsid w:val="001C5851"/>
    <w:rsid w:val="001C6305"/>
    <w:rsid w:val="001C6306"/>
    <w:rsid w:val="001C674A"/>
    <w:rsid w:val="001C7122"/>
    <w:rsid w:val="001C7883"/>
    <w:rsid w:val="001C7B4A"/>
    <w:rsid w:val="001D0055"/>
    <w:rsid w:val="001D0244"/>
    <w:rsid w:val="001D0596"/>
    <w:rsid w:val="001D08B3"/>
    <w:rsid w:val="001D09F6"/>
    <w:rsid w:val="001D0EEF"/>
    <w:rsid w:val="001D1733"/>
    <w:rsid w:val="001D204E"/>
    <w:rsid w:val="001D24F9"/>
    <w:rsid w:val="001D2617"/>
    <w:rsid w:val="001D2A79"/>
    <w:rsid w:val="001D2BFF"/>
    <w:rsid w:val="001D2D48"/>
    <w:rsid w:val="001D2F84"/>
    <w:rsid w:val="001D32A5"/>
    <w:rsid w:val="001D33B2"/>
    <w:rsid w:val="001D4372"/>
    <w:rsid w:val="001D4D90"/>
    <w:rsid w:val="001D5D74"/>
    <w:rsid w:val="001D5EA3"/>
    <w:rsid w:val="001D6109"/>
    <w:rsid w:val="001D616B"/>
    <w:rsid w:val="001D6A64"/>
    <w:rsid w:val="001D700B"/>
    <w:rsid w:val="001D718C"/>
    <w:rsid w:val="001D7501"/>
    <w:rsid w:val="001D786D"/>
    <w:rsid w:val="001E044D"/>
    <w:rsid w:val="001E075A"/>
    <w:rsid w:val="001E0CA1"/>
    <w:rsid w:val="001E157F"/>
    <w:rsid w:val="001E16FB"/>
    <w:rsid w:val="001E198D"/>
    <w:rsid w:val="001E1DB4"/>
    <w:rsid w:val="001E24AA"/>
    <w:rsid w:val="001E37C6"/>
    <w:rsid w:val="001E3AE4"/>
    <w:rsid w:val="001E3EA1"/>
    <w:rsid w:val="001E40AA"/>
    <w:rsid w:val="001E4191"/>
    <w:rsid w:val="001E45A4"/>
    <w:rsid w:val="001E460B"/>
    <w:rsid w:val="001E4ABF"/>
    <w:rsid w:val="001E4FA6"/>
    <w:rsid w:val="001E5AB6"/>
    <w:rsid w:val="001E5BCA"/>
    <w:rsid w:val="001E637E"/>
    <w:rsid w:val="001E6AA4"/>
    <w:rsid w:val="001E6FDC"/>
    <w:rsid w:val="001E72AC"/>
    <w:rsid w:val="001E7760"/>
    <w:rsid w:val="001F0672"/>
    <w:rsid w:val="001F0866"/>
    <w:rsid w:val="001F0947"/>
    <w:rsid w:val="001F0E12"/>
    <w:rsid w:val="001F18EF"/>
    <w:rsid w:val="001F2E09"/>
    <w:rsid w:val="001F324A"/>
    <w:rsid w:val="001F34B3"/>
    <w:rsid w:val="001F36EE"/>
    <w:rsid w:val="001F3F1D"/>
    <w:rsid w:val="001F4038"/>
    <w:rsid w:val="001F4DD8"/>
    <w:rsid w:val="001F54DA"/>
    <w:rsid w:val="001F5507"/>
    <w:rsid w:val="001F554A"/>
    <w:rsid w:val="001F5730"/>
    <w:rsid w:val="001F57A5"/>
    <w:rsid w:val="001F5EFA"/>
    <w:rsid w:val="001F6058"/>
    <w:rsid w:val="001F6F75"/>
    <w:rsid w:val="001F7585"/>
    <w:rsid w:val="001F7628"/>
    <w:rsid w:val="001F7DA3"/>
    <w:rsid w:val="001F7DE2"/>
    <w:rsid w:val="002003A9"/>
    <w:rsid w:val="00200407"/>
    <w:rsid w:val="00200A39"/>
    <w:rsid w:val="00200B58"/>
    <w:rsid w:val="00200B90"/>
    <w:rsid w:val="00201F18"/>
    <w:rsid w:val="002025C2"/>
    <w:rsid w:val="00202A02"/>
    <w:rsid w:val="00202A2E"/>
    <w:rsid w:val="00202BC5"/>
    <w:rsid w:val="0020307B"/>
    <w:rsid w:val="002030F7"/>
    <w:rsid w:val="002038EB"/>
    <w:rsid w:val="00203CFA"/>
    <w:rsid w:val="00203D21"/>
    <w:rsid w:val="00203FA2"/>
    <w:rsid w:val="00204676"/>
    <w:rsid w:val="00204886"/>
    <w:rsid w:val="002049ED"/>
    <w:rsid w:val="00204CC2"/>
    <w:rsid w:val="00204D29"/>
    <w:rsid w:val="00205031"/>
    <w:rsid w:val="002051D9"/>
    <w:rsid w:val="0020534B"/>
    <w:rsid w:val="00205BA4"/>
    <w:rsid w:val="00205D4E"/>
    <w:rsid w:val="002064E9"/>
    <w:rsid w:val="0020764C"/>
    <w:rsid w:val="00207EB8"/>
    <w:rsid w:val="002108CD"/>
    <w:rsid w:val="002108D8"/>
    <w:rsid w:val="00210E4D"/>
    <w:rsid w:val="00211606"/>
    <w:rsid w:val="00211703"/>
    <w:rsid w:val="00211EA7"/>
    <w:rsid w:val="002128F7"/>
    <w:rsid w:val="0021326F"/>
    <w:rsid w:val="002133ED"/>
    <w:rsid w:val="002135D5"/>
    <w:rsid w:val="0021389A"/>
    <w:rsid w:val="00213BB2"/>
    <w:rsid w:val="00213C93"/>
    <w:rsid w:val="00213E53"/>
    <w:rsid w:val="002148EE"/>
    <w:rsid w:val="00214F3C"/>
    <w:rsid w:val="002157E8"/>
    <w:rsid w:val="002166B1"/>
    <w:rsid w:val="00216B67"/>
    <w:rsid w:val="002170D3"/>
    <w:rsid w:val="00217410"/>
    <w:rsid w:val="002179FD"/>
    <w:rsid w:val="00217CD1"/>
    <w:rsid w:val="0022003B"/>
    <w:rsid w:val="00220790"/>
    <w:rsid w:val="0022085E"/>
    <w:rsid w:val="00220A93"/>
    <w:rsid w:val="00220B81"/>
    <w:rsid w:val="002211AD"/>
    <w:rsid w:val="002212F1"/>
    <w:rsid w:val="002214C5"/>
    <w:rsid w:val="002215BF"/>
    <w:rsid w:val="002217E0"/>
    <w:rsid w:val="00222B40"/>
    <w:rsid w:val="00223DCD"/>
    <w:rsid w:val="00223ED2"/>
    <w:rsid w:val="00223F74"/>
    <w:rsid w:val="002246BA"/>
    <w:rsid w:val="0022470C"/>
    <w:rsid w:val="00224AFA"/>
    <w:rsid w:val="00224AFB"/>
    <w:rsid w:val="002250F4"/>
    <w:rsid w:val="0022556F"/>
    <w:rsid w:val="002261E5"/>
    <w:rsid w:val="0022640B"/>
    <w:rsid w:val="002264A0"/>
    <w:rsid w:val="002264A2"/>
    <w:rsid w:val="0022667A"/>
    <w:rsid w:val="00226B49"/>
    <w:rsid w:val="00227845"/>
    <w:rsid w:val="00230445"/>
    <w:rsid w:val="00230692"/>
    <w:rsid w:val="00230AB7"/>
    <w:rsid w:val="002316BA"/>
    <w:rsid w:val="002329C8"/>
    <w:rsid w:val="00233257"/>
    <w:rsid w:val="00233437"/>
    <w:rsid w:val="0023378C"/>
    <w:rsid w:val="0023446A"/>
    <w:rsid w:val="002346AD"/>
    <w:rsid w:val="00234EB0"/>
    <w:rsid w:val="00234EDB"/>
    <w:rsid w:val="00235077"/>
    <w:rsid w:val="0023594A"/>
    <w:rsid w:val="00236012"/>
    <w:rsid w:val="00236999"/>
    <w:rsid w:val="00237371"/>
    <w:rsid w:val="00237BF6"/>
    <w:rsid w:val="00237ECF"/>
    <w:rsid w:val="002400CB"/>
    <w:rsid w:val="00240350"/>
    <w:rsid w:val="0024042F"/>
    <w:rsid w:val="0024104E"/>
    <w:rsid w:val="00241370"/>
    <w:rsid w:val="0024196D"/>
    <w:rsid w:val="00241E8A"/>
    <w:rsid w:val="00242D2C"/>
    <w:rsid w:val="002431AA"/>
    <w:rsid w:val="002431BC"/>
    <w:rsid w:val="00243401"/>
    <w:rsid w:val="002435B0"/>
    <w:rsid w:val="0024378C"/>
    <w:rsid w:val="00244195"/>
    <w:rsid w:val="002443BC"/>
    <w:rsid w:val="00244C6C"/>
    <w:rsid w:val="002450FE"/>
    <w:rsid w:val="002453D7"/>
    <w:rsid w:val="002454B7"/>
    <w:rsid w:val="0024587C"/>
    <w:rsid w:val="00246432"/>
    <w:rsid w:val="00246622"/>
    <w:rsid w:val="00246629"/>
    <w:rsid w:val="00247926"/>
    <w:rsid w:val="00247A21"/>
    <w:rsid w:val="00247EC6"/>
    <w:rsid w:val="002500CD"/>
    <w:rsid w:val="00250179"/>
    <w:rsid w:val="00250A6D"/>
    <w:rsid w:val="00250FD5"/>
    <w:rsid w:val="0025110B"/>
    <w:rsid w:val="00251299"/>
    <w:rsid w:val="002518A9"/>
    <w:rsid w:val="002518AC"/>
    <w:rsid w:val="002519FF"/>
    <w:rsid w:val="00251B58"/>
    <w:rsid w:val="002528D3"/>
    <w:rsid w:val="002528D6"/>
    <w:rsid w:val="00252971"/>
    <w:rsid w:val="00252A48"/>
    <w:rsid w:val="002530C3"/>
    <w:rsid w:val="00253164"/>
    <w:rsid w:val="0025388B"/>
    <w:rsid w:val="00253F45"/>
    <w:rsid w:val="0025429B"/>
    <w:rsid w:val="00255191"/>
    <w:rsid w:val="0025565D"/>
    <w:rsid w:val="00255867"/>
    <w:rsid w:val="00255A5C"/>
    <w:rsid w:val="002564CC"/>
    <w:rsid w:val="00256812"/>
    <w:rsid w:val="00256971"/>
    <w:rsid w:val="00257DA8"/>
    <w:rsid w:val="002608E4"/>
    <w:rsid w:val="00260A79"/>
    <w:rsid w:val="002610BF"/>
    <w:rsid w:val="0026193E"/>
    <w:rsid w:val="00261975"/>
    <w:rsid w:val="00261C63"/>
    <w:rsid w:val="00262DB8"/>
    <w:rsid w:val="00263266"/>
    <w:rsid w:val="0026342A"/>
    <w:rsid w:val="00263DB7"/>
    <w:rsid w:val="00263F89"/>
    <w:rsid w:val="00264323"/>
    <w:rsid w:val="00264B3A"/>
    <w:rsid w:val="00264CE7"/>
    <w:rsid w:val="00264F32"/>
    <w:rsid w:val="00265446"/>
    <w:rsid w:val="00265638"/>
    <w:rsid w:val="002656D0"/>
    <w:rsid w:val="00265809"/>
    <w:rsid w:val="00265869"/>
    <w:rsid w:val="00265B98"/>
    <w:rsid w:val="00266138"/>
    <w:rsid w:val="002661AD"/>
    <w:rsid w:val="002663C4"/>
    <w:rsid w:val="00266590"/>
    <w:rsid w:val="00266943"/>
    <w:rsid w:val="00266BB5"/>
    <w:rsid w:val="00267589"/>
    <w:rsid w:val="00267E12"/>
    <w:rsid w:val="00270387"/>
    <w:rsid w:val="00270DC9"/>
    <w:rsid w:val="00270F93"/>
    <w:rsid w:val="00271214"/>
    <w:rsid w:val="00271BAA"/>
    <w:rsid w:val="00272016"/>
    <w:rsid w:val="002721A0"/>
    <w:rsid w:val="002721B0"/>
    <w:rsid w:val="002723F9"/>
    <w:rsid w:val="00272510"/>
    <w:rsid w:val="002726BB"/>
    <w:rsid w:val="00272D13"/>
    <w:rsid w:val="00272EBE"/>
    <w:rsid w:val="00273A76"/>
    <w:rsid w:val="00274157"/>
    <w:rsid w:val="00274953"/>
    <w:rsid w:val="00274A7F"/>
    <w:rsid w:val="00274A87"/>
    <w:rsid w:val="0027521B"/>
    <w:rsid w:val="00275295"/>
    <w:rsid w:val="00275507"/>
    <w:rsid w:val="00275524"/>
    <w:rsid w:val="00275D2B"/>
    <w:rsid w:val="0027614F"/>
    <w:rsid w:val="00276722"/>
    <w:rsid w:val="00276943"/>
    <w:rsid w:val="00276969"/>
    <w:rsid w:val="00276A15"/>
    <w:rsid w:val="00276DD5"/>
    <w:rsid w:val="002770BB"/>
    <w:rsid w:val="0027747C"/>
    <w:rsid w:val="00277DE2"/>
    <w:rsid w:val="00277EEA"/>
    <w:rsid w:val="002802BF"/>
    <w:rsid w:val="00280314"/>
    <w:rsid w:val="002805E3"/>
    <w:rsid w:val="002808E4"/>
    <w:rsid w:val="00280C2B"/>
    <w:rsid w:val="00280E4D"/>
    <w:rsid w:val="0028176C"/>
    <w:rsid w:val="00281CAC"/>
    <w:rsid w:val="0028211A"/>
    <w:rsid w:val="002821D2"/>
    <w:rsid w:val="00282316"/>
    <w:rsid w:val="0028276D"/>
    <w:rsid w:val="00282BFA"/>
    <w:rsid w:val="00282E66"/>
    <w:rsid w:val="00282FF0"/>
    <w:rsid w:val="00283D75"/>
    <w:rsid w:val="002845F0"/>
    <w:rsid w:val="00284AFF"/>
    <w:rsid w:val="00285233"/>
    <w:rsid w:val="00285456"/>
    <w:rsid w:val="002856E6"/>
    <w:rsid w:val="00285ED3"/>
    <w:rsid w:val="002861CD"/>
    <w:rsid w:val="00286B04"/>
    <w:rsid w:val="00286BB0"/>
    <w:rsid w:val="00287186"/>
    <w:rsid w:val="002873B2"/>
    <w:rsid w:val="002879AF"/>
    <w:rsid w:val="00287BF3"/>
    <w:rsid w:val="00287D31"/>
    <w:rsid w:val="00287E1B"/>
    <w:rsid w:val="0029008D"/>
    <w:rsid w:val="0029061F"/>
    <w:rsid w:val="002907F2"/>
    <w:rsid w:val="002908CE"/>
    <w:rsid w:val="00290A52"/>
    <w:rsid w:val="00291B88"/>
    <w:rsid w:val="00292B48"/>
    <w:rsid w:val="0029366B"/>
    <w:rsid w:val="00293805"/>
    <w:rsid w:val="0029383B"/>
    <w:rsid w:val="00293943"/>
    <w:rsid w:val="00293F71"/>
    <w:rsid w:val="00294B61"/>
    <w:rsid w:val="00294FBE"/>
    <w:rsid w:val="002954A0"/>
    <w:rsid w:val="002955E4"/>
    <w:rsid w:val="00295D54"/>
    <w:rsid w:val="00296B6D"/>
    <w:rsid w:val="00296E3D"/>
    <w:rsid w:val="00296E6F"/>
    <w:rsid w:val="0029717F"/>
    <w:rsid w:val="002A08E6"/>
    <w:rsid w:val="002A0926"/>
    <w:rsid w:val="002A0CA1"/>
    <w:rsid w:val="002A0D00"/>
    <w:rsid w:val="002A1435"/>
    <w:rsid w:val="002A1C05"/>
    <w:rsid w:val="002A2764"/>
    <w:rsid w:val="002A33BA"/>
    <w:rsid w:val="002A3505"/>
    <w:rsid w:val="002A38E1"/>
    <w:rsid w:val="002A3B02"/>
    <w:rsid w:val="002A3F49"/>
    <w:rsid w:val="002A423B"/>
    <w:rsid w:val="002A44A6"/>
    <w:rsid w:val="002A4BCB"/>
    <w:rsid w:val="002A5297"/>
    <w:rsid w:val="002A5992"/>
    <w:rsid w:val="002A5F95"/>
    <w:rsid w:val="002A61DE"/>
    <w:rsid w:val="002A669B"/>
    <w:rsid w:val="002A678E"/>
    <w:rsid w:val="002A6A4E"/>
    <w:rsid w:val="002A6B9B"/>
    <w:rsid w:val="002A6E61"/>
    <w:rsid w:val="002A6E64"/>
    <w:rsid w:val="002A722D"/>
    <w:rsid w:val="002A7815"/>
    <w:rsid w:val="002B0258"/>
    <w:rsid w:val="002B059A"/>
    <w:rsid w:val="002B0A7D"/>
    <w:rsid w:val="002B105C"/>
    <w:rsid w:val="002B1110"/>
    <w:rsid w:val="002B18CB"/>
    <w:rsid w:val="002B1BAC"/>
    <w:rsid w:val="002B207C"/>
    <w:rsid w:val="002B228E"/>
    <w:rsid w:val="002B333A"/>
    <w:rsid w:val="002B3632"/>
    <w:rsid w:val="002B3C90"/>
    <w:rsid w:val="002B4187"/>
    <w:rsid w:val="002B43A2"/>
    <w:rsid w:val="002B4532"/>
    <w:rsid w:val="002B4A29"/>
    <w:rsid w:val="002B4EA9"/>
    <w:rsid w:val="002B4FA0"/>
    <w:rsid w:val="002B530E"/>
    <w:rsid w:val="002B562E"/>
    <w:rsid w:val="002B56E9"/>
    <w:rsid w:val="002B5751"/>
    <w:rsid w:val="002B5E75"/>
    <w:rsid w:val="002B6341"/>
    <w:rsid w:val="002B687A"/>
    <w:rsid w:val="002B6A90"/>
    <w:rsid w:val="002B6D0F"/>
    <w:rsid w:val="002B6D53"/>
    <w:rsid w:val="002B72AF"/>
    <w:rsid w:val="002B7341"/>
    <w:rsid w:val="002C035C"/>
    <w:rsid w:val="002C04F4"/>
    <w:rsid w:val="002C14B5"/>
    <w:rsid w:val="002C15DC"/>
    <w:rsid w:val="002C1773"/>
    <w:rsid w:val="002C1872"/>
    <w:rsid w:val="002C25E9"/>
    <w:rsid w:val="002C260D"/>
    <w:rsid w:val="002C28CB"/>
    <w:rsid w:val="002C2A66"/>
    <w:rsid w:val="002C2AD9"/>
    <w:rsid w:val="002C2BA1"/>
    <w:rsid w:val="002C3408"/>
    <w:rsid w:val="002C3D5D"/>
    <w:rsid w:val="002C4B1E"/>
    <w:rsid w:val="002C5B21"/>
    <w:rsid w:val="002C5D21"/>
    <w:rsid w:val="002C6403"/>
    <w:rsid w:val="002C65F6"/>
    <w:rsid w:val="002C73A2"/>
    <w:rsid w:val="002C775F"/>
    <w:rsid w:val="002C7C7C"/>
    <w:rsid w:val="002C7C9B"/>
    <w:rsid w:val="002D02C2"/>
    <w:rsid w:val="002D0373"/>
    <w:rsid w:val="002D0A49"/>
    <w:rsid w:val="002D0CEF"/>
    <w:rsid w:val="002D109C"/>
    <w:rsid w:val="002D1A6E"/>
    <w:rsid w:val="002D1B4F"/>
    <w:rsid w:val="002D24C1"/>
    <w:rsid w:val="002D261B"/>
    <w:rsid w:val="002D26B9"/>
    <w:rsid w:val="002D2C6F"/>
    <w:rsid w:val="002D2E15"/>
    <w:rsid w:val="002D32E1"/>
    <w:rsid w:val="002D32E8"/>
    <w:rsid w:val="002D34E7"/>
    <w:rsid w:val="002D3C1D"/>
    <w:rsid w:val="002D4080"/>
    <w:rsid w:val="002D4310"/>
    <w:rsid w:val="002D4735"/>
    <w:rsid w:val="002D48B3"/>
    <w:rsid w:val="002D4F3C"/>
    <w:rsid w:val="002D5AD9"/>
    <w:rsid w:val="002D5C23"/>
    <w:rsid w:val="002D5D5F"/>
    <w:rsid w:val="002D6131"/>
    <w:rsid w:val="002D6341"/>
    <w:rsid w:val="002D6594"/>
    <w:rsid w:val="002D6908"/>
    <w:rsid w:val="002D6E92"/>
    <w:rsid w:val="002D7B2F"/>
    <w:rsid w:val="002D7D42"/>
    <w:rsid w:val="002D7D83"/>
    <w:rsid w:val="002D7DA6"/>
    <w:rsid w:val="002D7F00"/>
    <w:rsid w:val="002D7F58"/>
    <w:rsid w:val="002E053F"/>
    <w:rsid w:val="002E0E5B"/>
    <w:rsid w:val="002E0FC5"/>
    <w:rsid w:val="002E1396"/>
    <w:rsid w:val="002E17F0"/>
    <w:rsid w:val="002E18ED"/>
    <w:rsid w:val="002E26DF"/>
    <w:rsid w:val="002E319C"/>
    <w:rsid w:val="002E38BD"/>
    <w:rsid w:val="002E3A2C"/>
    <w:rsid w:val="002E3D8C"/>
    <w:rsid w:val="002E3EE4"/>
    <w:rsid w:val="002E40CD"/>
    <w:rsid w:val="002E4C5C"/>
    <w:rsid w:val="002E5F4E"/>
    <w:rsid w:val="002E6788"/>
    <w:rsid w:val="002E6865"/>
    <w:rsid w:val="002E697F"/>
    <w:rsid w:val="002E69D7"/>
    <w:rsid w:val="002E6D1E"/>
    <w:rsid w:val="002E7303"/>
    <w:rsid w:val="002E7629"/>
    <w:rsid w:val="002E769B"/>
    <w:rsid w:val="002E76B0"/>
    <w:rsid w:val="002E7960"/>
    <w:rsid w:val="002F01A0"/>
    <w:rsid w:val="002F01E9"/>
    <w:rsid w:val="002F09D6"/>
    <w:rsid w:val="002F0B05"/>
    <w:rsid w:val="002F1150"/>
    <w:rsid w:val="002F1287"/>
    <w:rsid w:val="002F15C3"/>
    <w:rsid w:val="002F23B8"/>
    <w:rsid w:val="002F2623"/>
    <w:rsid w:val="002F2858"/>
    <w:rsid w:val="002F2D12"/>
    <w:rsid w:val="002F308F"/>
    <w:rsid w:val="002F3330"/>
    <w:rsid w:val="002F398D"/>
    <w:rsid w:val="002F3AC5"/>
    <w:rsid w:val="002F4381"/>
    <w:rsid w:val="002F4ACA"/>
    <w:rsid w:val="002F4CDD"/>
    <w:rsid w:val="002F5214"/>
    <w:rsid w:val="002F530E"/>
    <w:rsid w:val="002F62EE"/>
    <w:rsid w:val="002F6504"/>
    <w:rsid w:val="002F663B"/>
    <w:rsid w:val="002F675E"/>
    <w:rsid w:val="002F6A30"/>
    <w:rsid w:val="002F6DE5"/>
    <w:rsid w:val="002F72DB"/>
    <w:rsid w:val="002F7419"/>
    <w:rsid w:val="002F76AA"/>
    <w:rsid w:val="002F77DF"/>
    <w:rsid w:val="002F78FC"/>
    <w:rsid w:val="002F7A1C"/>
    <w:rsid w:val="002F7D1F"/>
    <w:rsid w:val="002F7F87"/>
    <w:rsid w:val="00300298"/>
    <w:rsid w:val="0030078E"/>
    <w:rsid w:val="0030097C"/>
    <w:rsid w:val="00300BBE"/>
    <w:rsid w:val="00301A0A"/>
    <w:rsid w:val="00301A6F"/>
    <w:rsid w:val="00301AC3"/>
    <w:rsid w:val="00301DB7"/>
    <w:rsid w:val="003020F8"/>
    <w:rsid w:val="0030220F"/>
    <w:rsid w:val="0030243D"/>
    <w:rsid w:val="00302A2E"/>
    <w:rsid w:val="00302D05"/>
    <w:rsid w:val="00302F92"/>
    <w:rsid w:val="00303303"/>
    <w:rsid w:val="00303459"/>
    <w:rsid w:val="00303656"/>
    <w:rsid w:val="00303988"/>
    <w:rsid w:val="00304251"/>
    <w:rsid w:val="0030432C"/>
    <w:rsid w:val="00304B59"/>
    <w:rsid w:val="00305699"/>
    <w:rsid w:val="00305D09"/>
    <w:rsid w:val="00305E8A"/>
    <w:rsid w:val="0030602C"/>
    <w:rsid w:val="003060A8"/>
    <w:rsid w:val="0030610E"/>
    <w:rsid w:val="003061CD"/>
    <w:rsid w:val="00306598"/>
    <w:rsid w:val="0030667A"/>
    <w:rsid w:val="0030708E"/>
    <w:rsid w:val="0030733D"/>
    <w:rsid w:val="00307E8E"/>
    <w:rsid w:val="00307ED0"/>
    <w:rsid w:val="0031046A"/>
    <w:rsid w:val="003106F9"/>
    <w:rsid w:val="00310933"/>
    <w:rsid w:val="00310934"/>
    <w:rsid w:val="00310D5E"/>
    <w:rsid w:val="003110B9"/>
    <w:rsid w:val="00311552"/>
    <w:rsid w:val="003116BC"/>
    <w:rsid w:val="003122B1"/>
    <w:rsid w:val="00312367"/>
    <w:rsid w:val="00312576"/>
    <w:rsid w:val="00312A1A"/>
    <w:rsid w:val="00312FE9"/>
    <w:rsid w:val="00313BCA"/>
    <w:rsid w:val="00313F9C"/>
    <w:rsid w:val="003144E0"/>
    <w:rsid w:val="0031475D"/>
    <w:rsid w:val="00314D07"/>
    <w:rsid w:val="003159BF"/>
    <w:rsid w:val="00315A7A"/>
    <w:rsid w:val="00315E96"/>
    <w:rsid w:val="00316014"/>
    <w:rsid w:val="00316474"/>
    <w:rsid w:val="00316A53"/>
    <w:rsid w:val="00316A96"/>
    <w:rsid w:val="00316E2E"/>
    <w:rsid w:val="00316F38"/>
    <w:rsid w:val="0031715C"/>
    <w:rsid w:val="003173A7"/>
    <w:rsid w:val="003175FB"/>
    <w:rsid w:val="00320904"/>
    <w:rsid w:val="00320E4E"/>
    <w:rsid w:val="00321564"/>
    <w:rsid w:val="00321748"/>
    <w:rsid w:val="00321F3B"/>
    <w:rsid w:val="00322392"/>
    <w:rsid w:val="00322568"/>
    <w:rsid w:val="0032295A"/>
    <w:rsid w:val="0032352C"/>
    <w:rsid w:val="0032375B"/>
    <w:rsid w:val="0032384F"/>
    <w:rsid w:val="00323F86"/>
    <w:rsid w:val="0032429E"/>
    <w:rsid w:val="003245A7"/>
    <w:rsid w:val="00324746"/>
    <w:rsid w:val="00324CEA"/>
    <w:rsid w:val="003268AB"/>
    <w:rsid w:val="00326C6C"/>
    <w:rsid w:val="00326C75"/>
    <w:rsid w:val="00326D45"/>
    <w:rsid w:val="00326D98"/>
    <w:rsid w:val="00326E3E"/>
    <w:rsid w:val="003273D6"/>
    <w:rsid w:val="00327A11"/>
    <w:rsid w:val="00327B96"/>
    <w:rsid w:val="00327C33"/>
    <w:rsid w:val="00327D70"/>
    <w:rsid w:val="00327F74"/>
    <w:rsid w:val="00330A9F"/>
    <w:rsid w:val="00330E82"/>
    <w:rsid w:val="00332171"/>
    <w:rsid w:val="00332361"/>
    <w:rsid w:val="003324DD"/>
    <w:rsid w:val="0033269F"/>
    <w:rsid w:val="003326E1"/>
    <w:rsid w:val="00332DBA"/>
    <w:rsid w:val="00333049"/>
    <w:rsid w:val="003338B5"/>
    <w:rsid w:val="003339B5"/>
    <w:rsid w:val="00333A56"/>
    <w:rsid w:val="0033409E"/>
    <w:rsid w:val="003342F5"/>
    <w:rsid w:val="003344F1"/>
    <w:rsid w:val="00334833"/>
    <w:rsid w:val="00334CCD"/>
    <w:rsid w:val="00335274"/>
    <w:rsid w:val="0033527C"/>
    <w:rsid w:val="00335932"/>
    <w:rsid w:val="00335A16"/>
    <w:rsid w:val="0033655D"/>
    <w:rsid w:val="00336B81"/>
    <w:rsid w:val="0033706B"/>
    <w:rsid w:val="003373AB"/>
    <w:rsid w:val="00337D08"/>
    <w:rsid w:val="00337F13"/>
    <w:rsid w:val="003400EB"/>
    <w:rsid w:val="00340487"/>
    <w:rsid w:val="0034077F"/>
    <w:rsid w:val="00340AA2"/>
    <w:rsid w:val="00340CA3"/>
    <w:rsid w:val="00340F61"/>
    <w:rsid w:val="003414C4"/>
    <w:rsid w:val="0034172C"/>
    <w:rsid w:val="00341791"/>
    <w:rsid w:val="00341926"/>
    <w:rsid w:val="00341C2D"/>
    <w:rsid w:val="00342B68"/>
    <w:rsid w:val="00342E2F"/>
    <w:rsid w:val="00343594"/>
    <w:rsid w:val="0034392D"/>
    <w:rsid w:val="003439AA"/>
    <w:rsid w:val="003439B9"/>
    <w:rsid w:val="00343B17"/>
    <w:rsid w:val="003443B2"/>
    <w:rsid w:val="0034471B"/>
    <w:rsid w:val="00344A04"/>
    <w:rsid w:val="00344B6D"/>
    <w:rsid w:val="00344BA6"/>
    <w:rsid w:val="00345B61"/>
    <w:rsid w:val="00345D48"/>
    <w:rsid w:val="00345FED"/>
    <w:rsid w:val="00346032"/>
    <w:rsid w:val="00346139"/>
    <w:rsid w:val="003464EE"/>
    <w:rsid w:val="00346975"/>
    <w:rsid w:val="00346CAD"/>
    <w:rsid w:val="00346CBF"/>
    <w:rsid w:val="00346E50"/>
    <w:rsid w:val="003470C2"/>
    <w:rsid w:val="003470D7"/>
    <w:rsid w:val="00347D3E"/>
    <w:rsid w:val="003501FF"/>
    <w:rsid w:val="003502C9"/>
    <w:rsid w:val="00350304"/>
    <w:rsid w:val="0035179A"/>
    <w:rsid w:val="00351D73"/>
    <w:rsid w:val="0035283D"/>
    <w:rsid w:val="00352C25"/>
    <w:rsid w:val="00352D3D"/>
    <w:rsid w:val="00352E7E"/>
    <w:rsid w:val="00353046"/>
    <w:rsid w:val="0035308C"/>
    <w:rsid w:val="003533B5"/>
    <w:rsid w:val="00353935"/>
    <w:rsid w:val="00354048"/>
    <w:rsid w:val="0035417C"/>
    <w:rsid w:val="0035429F"/>
    <w:rsid w:val="0035447F"/>
    <w:rsid w:val="00354C0E"/>
    <w:rsid w:val="00354E68"/>
    <w:rsid w:val="0035555A"/>
    <w:rsid w:val="00355703"/>
    <w:rsid w:val="00355B43"/>
    <w:rsid w:val="00355F84"/>
    <w:rsid w:val="0035609C"/>
    <w:rsid w:val="0035636A"/>
    <w:rsid w:val="00356A00"/>
    <w:rsid w:val="00356B93"/>
    <w:rsid w:val="00356D48"/>
    <w:rsid w:val="003570D1"/>
    <w:rsid w:val="003571D9"/>
    <w:rsid w:val="00357BA8"/>
    <w:rsid w:val="00357C7B"/>
    <w:rsid w:val="00360FE2"/>
    <w:rsid w:val="003610B6"/>
    <w:rsid w:val="00361152"/>
    <w:rsid w:val="00361290"/>
    <w:rsid w:val="003617AE"/>
    <w:rsid w:val="0036203C"/>
    <w:rsid w:val="00362394"/>
    <w:rsid w:val="00362413"/>
    <w:rsid w:val="0036292C"/>
    <w:rsid w:val="003629BC"/>
    <w:rsid w:val="00362B82"/>
    <w:rsid w:val="003634C3"/>
    <w:rsid w:val="00363D11"/>
    <w:rsid w:val="00363F4F"/>
    <w:rsid w:val="00364067"/>
    <w:rsid w:val="00364358"/>
    <w:rsid w:val="003643F8"/>
    <w:rsid w:val="00364788"/>
    <w:rsid w:val="00364D16"/>
    <w:rsid w:val="00364D54"/>
    <w:rsid w:val="00364E3B"/>
    <w:rsid w:val="00365394"/>
    <w:rsid w:val="00365550"/>
    <w:rsid w:val="003655E1"/>
    <w:rsid w:val="0036570F"/>
    <w:rsid w:val="0036582A"/>
    <w:rsid w:val="003659B7"/>
    <w:rsid w:val="003666AB"/>
    <w:rsid w:val="00366E21"/>
    <w:rsid w:val="00366E93"/>
    <w:rsid w:val="00367A06"/>
    <w:rsid w:val="003700F6"/>
    <w:rsid w:val="003702F7"/>
    <w:rsid w:val="00370401"/>
    <w:rsid w:val="00370622"/>
    <w:rsid w:val="00370C39"/>
    <w:rsid w:val="003716C4"/>
    <w:rsid w:val="00371A97"/>
    <w:rsid w:val="00371CB9"/>
    <w:rsid w:val="00372495"/>
    <w:rsid w:val="003727A7"/>
    <w:rsid w:val="00372A2C"/>
    <w:rsid w:val="003736FA"/>
    <w:rsid w:val="003739AD"/>
    <w:rsid w:val="0037460F"/>
    <w:rsid w:val="00374B17"/>
    <w:rsid w:val="0037512A"/>
    <w:rsid w:val="00375C75"/>
    <w:rsid w:val="00375CA1"/>
    <w:rsid w:val="003763C9"/>
    <w:rsid w:val="003768BC"/>
    <w:rsid w:val="00376D03"/>
    <w:rsid w:val="0037752E"/>
    <w:rsid w:val="00377569"/>
    <w:rsid w:val="00377C93"/>
    <w:rsid w:val="00377CAF"/>
    <w:rsid w:val="00380758"/>
    <w:rsid w:val="00380B0B"/>
    <w:rsid w:val="00380FB0"/>
    <w:rsid w:val="00381819"/>
    <w:rsid w:val="00381CF6"/>
    <w:rsid w:val="0038238E"/>
    <w:rsid w:val="00382C09"/>
    <w:rsid w:val="003832FA"/>
    <w:rsid w:val="003834B1"/>
    <w:rsid w:val="0038364E"/>
    <w:rsid w:val="00383CF0"/>
    <w:rsid w:val="00384389"/>
    <w:rsid w:val="0038450A"/>
    <w:rsid w:val="00384589"/>
    <w:rsid w:val="003857C6"/>
    <w:rsid w:val="0038606F"/>
    <w:rsid w:val="0038641D"/>
    <w:rsid w:val="00386B6E"/>
    <w:rsid w:val="0038722A"/>
    <w:rsid w:val="00387AD4"/>
    <w:rsid w:val="00387BCE"/>
    <w:rsid w:val="00387F23"/>
    <w:rsid w:val="003903BD"/>
    <w:rsid w:val="00390CC8"/>
    <w:rsid w:val="00391093"/>
    <w:rsid w:val="0039122D"/>
    <w:rsid w:val="00391360"/>
    <w:rsid w:val="003916C5"/>
    <w:rsid w:val="00391C28"/>
    <w:rsid w:val="0039220D"/>
    <w:rsid w:val="00392318"/>
    <w:rsid w:val="00392B04"/>
    <w:rsid w:val="00392B95"/>
    <w:rsid w:val="00393251"/>
    <w:rsid w:val="003933C3"/>
    <w:rsid w:val="00393442"/>
    <w:rsid w:val="003937C3"/>
    <w:rsid w:val="00393A1A"/>
    <w:rsid w:val="00393E41"/>
    <w:rsid w:val="00394856"/>
    <w:rsid w:val="003948AA"/>
    <w:rsid w:val="00395150"/>
    <w:rsid w:val="003955FB"/>
    <w:rsid w:val="00395F6E"/>
    <w:rsid w:val="00396112"/>
    <w:rsid w:val="00396C1A"/>
    <w:rsid w:val="00396D86"/>
    <w:rsid w:val="00396E86"/>
    <w:rsid w:val="003970BD"/>
    <w:rsid w:val="00397C39"/>
    <w:rsid w:val="00397CCA"/>
    <w:rsid w:val="00397DEC"/>
    <w:rsid w:val="00397EA0"/>
    <w:rsid w:val="00397FC2"/>
    <w:rsid w:val="003A0F8B"/>
    <w:rsid w:val="003A1344"/>
    <w:rsid w:val="003A195A"/>
    <w:rsid w:val="003A19F8"/>
    <w:rsid w:val="003A1A8D"/>
    <w:rsid w:val="003A1AA2"/>
    <w:rsid w:val="003A1EE2"/>
    <w:rsid w:val="003A2294"/>
    <w:rsid w:val="003A24FA"/>
    <w:rsid w:val="003A2AF4"/>
    <w:rsid w:val="003A2C5B"/>
    <w:rsid w:val="003A2D9A"/>
    <w:rsid w:val="003A32FF"/>
    <w:rsid w:val="003A392F"/>
    <w:rsid w:val="003A434C"/>
    <w:rsid w:val="003A4F0D"/>
    <w:rsid w:val="003A53D5"/>
    <w:rsid w:val="003A58C4"/>
    <w:rsid w:val="003A5A60"/>
    <w:rsid w:val="003A5B30"/>
    <w:rsid w:val="003A64CD"/>
    <w:rsid w:val="003A671A"/>
    <w:rsid w:val="003A692E"/>
    <w:rsid w:val="003A69C7"/>
    <w:rsid w:val="003A6F8C"/>
    <w:rsid w:val="003A7117"/>
    <w:rsid w:val="003A744D"/>
    <w:rsid w:val="003A75E2"/>
    <w:rsid w:val="003A776D"/>
    <w:rsid w:val="003A78FC"/>
    <w:rsid w:val="003A7CD6"/>
    <w:rsid w:val="003A7D98"/>
    <w:rsid w:val="003B09DF"/>
    <w:rsid w:val="003B09F8"/>
    <w:rsid w:val="003B0A82"/>
    <w:rsid w:val="003B0C70"/>
    <w:rsid w:val="003B0DFC"/>
    <w:rsid w:val="003B157B"/>
    <w:rsid w:val="003B1B23"/>
    <w:rsid w:val="003B1EED"/>
    <w:rsid w:val="003B2667"/>
    <w:rsid w:val="003B2E10"/>
    <w:rsid w:val="003B3BE3"/>
    <w:rsid w:val="003B3C6B"/>
    <w:rsid w:val="003B4035"/>
    <w:rsid w:val="003B41D9"/>
    <w:rsid w:val="003B467D"/>
    <w:rsid w:val="003B469E"/>
    <w:rsid w:val="003B50DE"/>
    <w:rsid w:val="003B5669"/>
    <w:rsid w:val="003B574D"/>
    <w:rsid w:val="003B5F48"/>
    <w:rsid w:val="003B5FA8"/>
    <w:rsid w:val="003B6211"/>
    <w:rsid w:val="003B635B"/>
    <w:rsid w:val="003B6BD4"/>
    <w:rsid w:val="003B6E07"/>
    <w:rsid w:val="003B7230"/>
    <w:rsid w:val="003B748C"/>
    <w:rsid w:val="003B7797"/>
    <w:rsid w:val="003B7C6A"/>
    <w:rsid w:val="003B7E4D"/>
    <w:rsid w:val="003C019F"/>
    <w:rsid w:val="003C0483"/>
    <w:rsid w:val="003C061E"/>
    <w:rsid w:val="003C113F"/>
    <w:rsid w:val="003C148D"/>
    <w:rsid w:val="003C1855"/>
    <w:rsid w:val="003C1C7B"/>
    <w:rsid w:val="003C1EF8"/>
    <w:rsid w:val="003C24EE"/>
    <w:rsid w:val="003C2F97"/>
    <w:rsid w:val="003C355C"/>
    <w:rsid w:val="003C3F9E"/>
    <w:rsid w:val="003C466D"/>
    <w:rsid w:val="003C4884"/>
    <w:rsid w:val="003C49CA"/>
    <w:rsid w:val="003C4BA2"/>
    <w:rsid w:val="003C5009"/>
    <w:rsid w:val="003C5E75"/>
    <w:rsid w:val="003C7295"/>
    <w:rsid w:val="003C73BF"/>
    <w:rsid w:val="003C7458"/>
    <w:rsid w:val="003C78DF"/>
    <w:rsid w:val="003C7BC3"/>
    <w:rsid w:val="003D086C"/>
    <w:rsid w:val="003D08D9"/>
    <w:rsid w:val="003D0CB5"/>
    <w:rsid w:val="003D12C2"/>
    <w:rsid w:val="003D1306"/>
    <w:rsid w:val="003D21B1"/>
    <w:rsid w:val="003D254C"/>
    <w:rsid w:val="003D3284"/>
    <w:rsid w:val="003D354D"/>
    <w:rsid w:val="003D36F9"/>
    <w:rsid w:val="003D3C72"/>
    <w:rsid w:val="003D428F"/>
    <w:rsid w:val="003D466E"/>
    <w:rsid w:val="003D48B7"/>
    <w:rsid w:val="003D5D07"/>
    <w:rsid w:val="003D5D3F"/>
    <w:rsid w:val="003D64F6"/>
    <w:rsid w:val="003D672C"/>
    <w:rsid w:val="003D6A57"/>
    <w:rsid w:val="003D70FB"/>
    <w:rsid w:val="003D762A"/>
    <w:rsid w:val="003D7A65"/>
    <w:rsid w:val="003D7BE2"/>
    <w:rsid w:val="003D7D06"/>
    <w:rsid w:val="003E0A23"/>
    <w:rsid w:val="003E137F"/>
    <w:rsid w:val="003E1B11"/>
    <w:rsid w:val="003E1CFA"/>
    <w:rsid w:val="003E1E9C"/>
    <w:rsid w:val="003E23C9"/>
    <w:rsid w:val="003E2479"/>
    <w:rsid w:val="003E2949"/>
    <w:rsid w:val="003E3350"/>
    <w:rsid w:val="003E41D6"/>
    <w:rsid w:val="003E4C0A"/>
    <w:rsid w:val="003E4CA7"/>
    <w:rsid w:val="003E50ED"/>
    <w:rsid w:val="003E575F"/>
    <w:rsid w:val="003E5905"/>
    <w:rsid w:val="003E5AAE"/>
    <w:rsid w:val="003E5F04"/>
    <w:rsid w:val="003E5F74"/>
    <w:rsid w:val="003E7306"/>
    <w:rsid w:val="003E7823"/>
    <w:rsid w:val="003E7D5F"/>
    <w:rsid w:val="003F0363"/>
    <w:rsid w:val="003F047B"/>
    <w:rsid w:val="003F0624"/>
    <w:rsid w:val="003F0C28"/>
    <w:rsid w:val="003F0EF5"/>
    <w:rsid w:val="003F11E6"/>
    <w:rsid w:val="003F155D"/>
    <w:rsid w:val="003F1810"/>
    <w:rsid w:val="003F19F0"/>
    <w:rsid w:val="003F19F4"/>
    <w:rsid w:val="003F1D7E"/>
    <w:rsid w:val="003F27AB"/>
    <w:rsid w:val="003F28EC"/>
    <w:rsid w:val="003F2988"/>
    <w:rsid w:val="003F3B11"/>
    <w:rsid w:val="003F43ED"/>
    <w:rsid w:val="003F4BC6"/>
    <w:rsid w:val="003F4D7A"/>
    <w:rsid w:val="003F53E9"/>
    <w:rsid w:val="003F56C9"/>
    <w:rsid w:val="003F5719"/>
    <w:rsid w:val="003F6345"/>
    <w:rsid w:val="003F6383"/>
    <w:rsid w:val="003F6599"/>
    <w:rsid w:val="003F66B8"/>
    <w:rsid w:val="003F6BAD"/>
    <w:rsid w:val="003F6C0B"/>
    <w:rsid w:val="003F6C86"/>
    <w:rsid w:val="003F71BE"/>
    <w:rsid w:val="003F76B5"/>
    <w:rsid w:val="003F7887"/>
    <w:rsid w:val="003F78E4"/>
    <w:rsid w:val="004000FB"/>
    <w:rsid w:val="00400102"/>
    <w:rsid w:val="004008C4"/>
    <w:rsid w:val="00400A29"/>
    <w:rsid w:val="00400CFF"/>
    <w:rsid w:val="00401008"/>
    <w:rsid w:val="004014BC"/>
    <w:rsid w:val="00401C8E"/>
    <w:rsid w:val="0040201F"/>
    <w:rsid w:val="00402348"/>
    <w:rsid w:val="00402509"/>
    <w:rsid w:val="00402AE2"/>
    <w:rsid w:val="00402F8E"/>
    <w:rsid w:val="00403B45"/>
    <w:rsid w:val="00404092"/>
    <w:rsid w:val="00404862"/>
    <w:rsid w:val="004052DA"/>
    <w:rsid w:val="004059AE"/>
    <w:rsid w:val="004065A5"/>
    <w:rsid w:val="004065AD"/>
    <w:rsid w:val="00407649"/>
    <w:rsid w:val="004076D9"/>
    <w:rsid w:val="00407EFB"/>
    <w:rsid w:val="00410462"/>
    <w:rsid w:val="0041177A"/>
    <w:rsid w:val="00411AB5"/>
    <w:rsid w:val="00412102"/>
    <w:rsid w:val="00412221"/>
    <w:rsid w:val="00412C6B"/>
    <w:rsid w:val="00412CE3"/>
    <w:rsid w:val="004137E4"/>
    <w:rsid w:val="004138BD"/>
    <w:rsid w:val="00413AA1"/>
    <w:rsid w:val="00414466"/>
    <w:rsid w:val="00414F68"/>
    <w:rsid w:val="0041545C"/>
    <w:rsid w:val="004159F5"/>
    <w:rsid w:val="00415E1C"/>
    <w:rsid w:val="00415E4F"/>
    <w:rsid w:val="00415EB7"/>
    <w:rsid w:val="00416543"/>
    <w:rsid w:val="00416A2D"/>
    <w:rsid w:val="00416AA7"/>
    <w:rsid w:val="00416CF6"/>
    <w:rsid w:val="0041728F"/>
    <w:rsid w:val="00417596"/>
    <w:rsid w:val="0041762B"/>
    <w:rsid w:val="0041782D"/>
    <w:rsid w:val="0041797B"/>
    <w:rsid w:val="00417B7E"/>
    <w:rsid w:val="00417CC3"/>
    <w:rsid w:val="004200ED"/>
    <w:rsid w:val="00421197"/>
    <w:rsid w:val="0042193D"/>
    <w:rsid w:val="004220C8"/>
    <w:rsid w:val="00422BA2"/>
    <w:rsid w:val="00423192"/>
    <w:rsid w:val="0042328E"/>
    <w:rsid w:val="00423331"/>
    <w:rsid w:val="00423BDD"/>
    <w:rsid w:val="00424496"/>
    <w:rsid w:val="00424718"/>
    <w:rsid w:val="00424F7F"/>
    <w:rsid w:val="00425569"/>
    <w:rsid w:val="00425781"/>
    <w:rsid w:val="00426141"/>
    <w:rsid w:val="00426D81"/>
    <w:rsid w:val="0042725C"/>
    <w:rsid w:val="00427263"/>
    <w:rsid w:val="004272B5"/>
    <w:rsid w:val="004276CE"/>
    <w:rsid w:val="00427F6A"/>
    <w:rsid w:val="004302FD"/>
    <w:rsid w:val="00430308"/>
    <w:rsid w:val="00430574"/>
    <w:rsid w:val="00430B54"/>
    <w:rsid w:val="004313E4"/>
    <w:rsid w:val="004315C0"/>
    <w:rsid w:val="004321F4"/>
    <w:rsid w:val="00432713"/>
    <w:rsid w:val="004331E3"/>
    <w:rsid w:val="00433A75"/>
    <w:rsid w:val="00434134"/>
    <w:rsid w:val="004341FA"/>
    <w:rsid w:val="00434428"/>
    <w:rsid w:val="00434573"/>
    <w:rsid w:val="0043478E"/>
    <w:rsid w:val="00434B6C"/>
    <w:rsid w:val="00434E3D"/>
    <w:rsid w:val="00435EDB"/>
    <w:rsid w:val="00436154"/>
    <w:rsid w:val="004366AE"/>
    <w:rsid w:val="00436B4E"/>
    <w:rsid w:val="004370D5"/>
    <w:rsid w:val="0043764C"/>
    <w:rsid w:val="0044044D"/>
    <w:rsid w:val="0044049E"/>
    <w:rsid w:val="0044061A"/>
    <w:rsid w:val="00440794"/>
    <w:rsid w:val="0044208C"/>
    <w:rsid w:val="00442166"/>
    <w:rsid w:val="004422DF"/>
    <w:rsid w:val="004423DE"/>
    <w:rsid w:val="0044263A"/>
    <w:rsid w:val="00442F26"/>
    <w:rsid w:val="004436DE"/>
    <w:rsid w:val="00443E2D"/>
    <w:rsid w:val="00443E79"/>
    <w:rsid w:val="004441D9"/>
    <w:rsid w:val="00444216"/>
    <w:rsid w:val="0044461F"/>
    <w:rsid w:val="00444C9F"/>
    <w:rsid w:val="00444E2F"/>
    <w:rsid w:val="00444F17"/>
    <w:rsid w:val="00445466"/>
    <w:rsid w:val="00445A6F"/>
    <w:rsid w:val="00445F4F"/>
    <w:rsid w:val="00446379"/>
    <w:rsid w:val="004464CD"/>
    <w:rsid w:val="00446696"/>
    <w:rsid w:val="00446E92"/>
    <w:rsid w:val="004471E4"/>
    <w:rsid w:val="00447272"/>
    <w:rsid w:val="00447289"/>
    <w:rsid w:val="00447847"/>
    <w:rsid w:val="0045005A"/>
    <w:rsid w:val="00450E15"/>
    <w:rsid w:val="00451140"/>
    <w:rsid w:val="004511E7"/>
    <w:rsid w:val="0045122D"/>
    <w:rsid w:val="004512E4"/>
    <w:rsid w:val="00451B92"/>
    <w:rsid w:val="00451FE2"/>
    <w:rsid w:val="004527F5"/>
    <w:rsid w:val="00452B42"/>
    <w:rsid w:val="004530C3"/>
    <w:rsid w:val="00453247"/>
    <w:rsid w:val="0045373C"/>
    <w:rsid w:val="004538C0"/>
    <w:rsid w:val="00453DDF"/>
    <w:rsid w:val="00453F28"/>
    <w:rsid w:val="004544DB"/>
    <w:rsid w:val="0045459E"/>
    <w:rsid w:val="004546A5"/>
    <w:rsid w:val="004547C5"/>
    <w:rsid w:val="00454CD8"/>
    <w:rsid w:val="00454D40"/>
    <w:rsid w:val="0045516B"/>
    <w:rsid w:val="0045545A"/>
    <w:rsid w:val="004554CC"/>
    <w:rsid w:val="004555BC"/>
    <w:rsid w:val="00455B82"/>
    <w:rsid w:val="00456152"/>
    <w:rsid w:val="0045706F"/>
    <w:rsid w:val="0045716D"/>
    <w:rsid w:val="0045730E"/>
    <w:rsid w:val="004575A2"/>
    <w:rsid w:val="004577E3"/>
    <w:rsid w:val="004577EE"/>
    <w:rsid w:val="00457DBF"/>
    <w:rsid w:val="00460072"/>
    <w:rsid w:val="0046139C"/>
    <w:rsid w:val="00461844"/>
    <w:rsid w:val="004621A9"/>
    <w:rsid w:val="004622AC"/>
    <w:rsid w:val="00462C9A"/>
    <w:rsid w:val="00463308"/>
    <w:rsid w:val="004634ED"/>
    <w:rsid w:val="0046364C"/>
    <w:rsid w:val="00463761"/>
    <w:rsid w:val="00463872"/>
    <w:rsid w:val="00463BD3"/>
    <w:rsid w:val="00464BC9"/>
    <w:rsid w:val="00465378"/>
    <w:rsid w:val="00465DE4"/>
    <w:rsid w:val="004660EB"/>
    <w:rsid w:val="0046647B"/>
    <w:rsid w:val="004665C1"/>
    <w:rsid w:val="00466F90"/>
    <w:rsid w:val="004671E2"/>
    <w:rsid w:val="00467A0B"/>
    <w:rsid w:val="00467BBA"/>
    <w:rsid w:val="004706F8"/>
    <w:rsid w:val="00470C0B"/>
    <w:rsid w:val="00470CB2"/>
    <w:rsid w:val="004711D1"/>
    <w:rsid w:val="00471731"/>
    <w:rsid w:val="00471A36"/>
    <w:rsid w:val="004723E3"/>
    <w:rsid w:val="00472673"/>
    <w:rsid w:val="004727B5"/>
    <w:rsid w:val="0047357A"/>
    <w:rsid w:val="004735E0"/>
    <w:rsid w:val="004736C3"/>
    <w:rsid w:val="004737A6"/>
    <w:rsid w:val="00474160"/>
    <w:rsid w:val="00474518"/>
    <w:rsid w:val="00474EAE"/>
    <w:rsid w:val="004754B5"/>
    <w:rsid w:val="00475828"/>
    <w:rsid w:val="00475F35"/>
    <w:rsid w:val="00476176"/>
    <w:rsid w:val="00476365"/>
    <w:rsid w:val="0047662E"/>
    <w:rsid w:val="00476B5C"/>
    <w:rsid w:val="004770E2"/>
    <w:rsid w:val="00477B94"/>
    <w:rsid w:val="00477BEF"/>
    <w:rsid w:val="004802B4"/>
    <w:rsid w:val="004803AA"/>
    <w:rsid w:val="004805B7"/>
    <w:rsid w:val="00480826"/>
    <w:rsid w:val="00480BDF"/>
    <w:rsid w:val="004810E8"/>
    <w:rsid w:val="0048239F"/>
    <w:rsid w:val="0048240D"/>
    <w:rsid w:val="00482587"/>
    <w:rsid w:val="0048296E"/>
    <w:rsid w:val="00482B48"/>
    <w:rsid w:val="0048309D"/>
    <w:rsid w:val="004831E0"/>
    <w:rsid w:val="004835C2"/>
    <w:rsid w:val="0048368D"/>
    <w:rsid w:val="00483CF3"/>
    <w:rsid w:val="0048406A"/>
    <w:rsid w:val="00484530"/>
    <w:rsid w:val="00484ABA"/>
    <w:rsid w:val="00484F81"/>
    <w:rsid w:val="00485303"/>
    <w:rsid w:val="0048557B"/>
    <w:rsid w:val="0048595E"/>
    <w:rsid w:val="004860CA"/>
    <w:rsid w:val="00486710"/>
    <w:rsid w:val="00486B98"/>
    <w:rsid w:val="00486D23"/>
    <w:rsid w:val="004873ED"/>
    <w:rsid w:val="00487412"/>
    <w:rsid w:val="00487989"/>
    <w:rsid w:val="00487D56"/>
    <w:rsid w:val="0049000E"/>
    <w:rsid w:val="00490141"/>
    <w:rsid w:val="00490485"/>
    <w:rsid w:val="004912E3"/>
    <w:rsid w:val="00491E1D"/>
    <w:rsid w:val="004926E7"/>
    <w:rsid w:val="00492FEA"/>
    <w:rsid w:val="004937F9"/>
    <w:rsid w:val="00493B92"/>
    <w:rsid w:val="0049413C"/>
    <w:rsid w:val="00494170"/>
    <w:rsid w:val="00494B5D"/>
    <w:rsid w:val="00494E71"/>
    <w:rsid w:val="00495444"/>
    <w:rsid w:val="00495B78"/>
    <w:rsid w:val="00495BF0"/>
    <w:rsid w:val="004966F5"/>
    <w:rsid w:val="00496AE0"/>
    <w:rsid w:val="004975EC"/>
    <w:rsid w:val="004975EF"/>
    <w:rsid w:val="004A024F"/>
    <w:rsid w:val="004A0391"/>
    <w:rsid w:val="004A067A"/>
    <w:rsid w:val="004A088C"/>
    <w:rsid w:val="004A0930"/>
    <w:rsid w:val="004A0B8F"/>
    <w:rsid w:val="004A12E5"/>
    <w:rsid w:val="004A172E"/>
    <w:rsid w:val="004A17D2"/>
    <w:rsid w:val="004A1C66"/>
    <w:rsid w:val="004A1E63"/>
    <w:rsid w:val="004A29BB"/>
    <w:rsid w:val="004A2A66"/>
    <w:rsid w:val="004A2C3B"/>
    <w:rsid w:val="004A2D1A"/>
    <w:rsid w:val="004A3279"/>
    <w:rsid w:val="004A3534"/>
    <w:rsid w:val="004A3735"/>
    <w:rsid w:val="004A3AFE"/>
    <w:rsid w:val="004A3B70"/>
    <w:rsid w:val="004A3B8A"/>
    <w:rsid w:val="004A4128"/>
    <w:rsid w:val="004A4159"/>
    <w:rsid w:val="004A43CE"/>
    <w:rsid w:val="004A48DE"/>
    <w:rsid w:val="004A4B81"/>
    <w:rsid w:val="004A4B9F"/>
    <w:rsid w:val="004A4EF0"/>
    <w:rsid w:val="004A5355"/>
    <w:rsid w:val="004A571E"/>
    <w:rsid w:val="004A582A"/>
    <w:rsid w:val="004A6767"/>
    <w:rsid w:val="004A6946"/>
    <w:rsid w:val="004A69DF"/>
    <w:rsid w:val="004A7979"/>
    <w:rsid w:val="004A7B49"/>
    <w:rsid w:val="004A7D94"/>
    <w:rsid w:val="004B02F0"/>
    <w:rsid w:val="004B041A"/>
    <w:rsid w:val="004B0E25"/>
    <w:rsid w:val="004B0E4C"/>
    <w:rsid w:val="004B1575"/>
    <w:rsid w:val="004B1955"/>
    <w:rsid w:val="004B1D72"/>
    <w:rsid w:val="004B2596"/>
    <w:rsid w:val="004B25AF"/>
    <w:rsid w:val="004B2710"/>
    <w:rsid w:val="004B310F"/>
    <w:rsid w:val="004B3874"/>
    <w:rsid w:val="004B3B46"/>
    <w:rsid w:val="004B455E"/>
    <w:rsid w:val="004B4EC1"/>
    <w:rsid w:val="004B511C"/>
    <w:rsid w:val="004B57CF"/>
    <w:rsid w:val="004B6741"/>
    <w:rsid w:val="004B6DC5"/>
    <w:rsid w:val="004B772C"/>
    <w:rsid w:val="004C0326"/>
    <w:rsid w:val="004C140E"/>
    <w:rsid w:val="004C1FC2"/>
    <w:rsid w:val="004C20C7"/>
    <w:rsid w:val="004C212C"/>
    <w:rsid w:val="004C2440"/>
    <w:rsid w:val="004C26E4"/>
    <w:rsid w:val="004C277B"/>
    <w:rsid w:val="004C29D1"/>
    <w:rsid w:val="004C2A73"/>
    <w:rsid w:val="004C2D60"/>
    <w:rsid w:val="004C3132"/>
    <w:rsid w:val="004C3223"/>
    <w:rsid w:val="004C381B"/>
    <w:rsid w:val="004C3858"/>
    <w:rsid w:val="004C3DDA"/>
    <w:rsid w:val="004C3F60"/>
    <w:rsid w:val="004C4080"/>
    <w:rsid w:val="004C4370"/>
    <w:rsid w:val="004C4741"/>
    <w:rsid w:val="004C4B6F"/>
    <w:rsid w:val="004C5132"/>
    <w:rsid w:val="004C5A1D"/>
    <w:rsid w:val="004C5BDC"/>
    <w:rsid w:val="004C5C1D"/>
    <w:rsid w:val="004C63E0"/>
    <w:rsid w:val="004C662A"/>
    <w:rsid w:val="004C693E"/>
    <w:rsid w:val="004C6953"/>
    <w:rsid w:val="004C70C2"/>
    <w:rsid w:val="004C72ED"/>
    <w:rsid w:val="004C73A9"/>
    <w:rsid w:val="004C7484"/>
    <w:rsid w:val="004C78F5"/>
    <w:rsid w:val="004C7B58"/>
    <w:rsid w:val="004C7B6B"/>
    <w:rsid w:val="004C7D3B"/>
    <w:rsid w:val="004C7F1F"/>
    <w:rsid w:val="004D0B14"/>
    <w:rsid w:val="004D0D30"/>
    <w:rsid w:val="004D1018"/>
    <w:rsid w:val="004D14CC"/>
    <w:rsid w:val="004D156A"/>
    <w:rsid w:val="004D169D"/>
    <w:rsid w:val="004D1768"/>
    <w:rsid w:val="004D18B5"/>
    <w:rsid w:val="004D1A5A"/>
    <w:rsid w:val="004D2101"/>
    <w:rsid w:val="004D23A8"/>
    <w:rsid w:val="004D3D9A"/>
    <w:rsid w:val="004D3EB9"/>
    <w:rsid w:val="004D3F6D"/>
    <w:rsid w:val="004D3FE3"/>
    <w:rsid w:val="004D4304"/>
    <w:rsid w:val="004D56CC"/>
    <w:rsid w:val="004D7818"/>
    <w:rsid w:val="004D7930"/>
    <w:rsid w:val="004E02B0"/>
    <w:rsid w:val="004E0938"/>
    <w:rsid w:val="004E0CD4"/>
    <w:rsid w:val="004E0E63"/>
    <w:rsid w:val="004E1249"/>
    <w:rsid w:val="004E182C"/>
    <w:rsid w:val="004E1DFA"/>
    <w:rsid w:val="004E1E6A"/>
    <w:rsid w:val="004E2293"/>
    <w:rsid w:val="004E2796"/>
    <w:rsid w:val="004E3081"/>
    <w:rsid w:val="004E3D8B"/>
    <w:rsid w:val="004E3E9F"/>
    <w:rsid w:val="004E40B7"/>
    <w:rsid w:val="004E4117"/>
    <w:rsid w:val="004E4CE8"/>
    <w:rsid w:val="004E56DB"/>
    <w:rsid w:val="004E5997"/>
    <w:rsid w:val="004E5EB8"/>
    <w:rsid w:val="004E697E"/>
    <w:rsid w:val="004E711E"/>
    <w:rsid w:val="004E7A72"/>
    <w:rsid w:val="004E7C98"/>
    <w:rsid w:val="004F0067"/>
    <w:rsid w:val="004F0070"/>
    <w:rsid w:val="004F09EC"/>
    <w:rsid w:val="004F0B5C"/>
    <w:rsid w:val="004F10F4"/>
    <w:rsid w:val="004F1976"/>
    <w:rsid w:val="004F1EA7"/>
    <w:rsid w:val="004F1F57"/>
    <w:rsid w:val="004F21EB"/>
    <w:rsid w:val="004F230E"/>
    <w:rsid w:val="004F2616"/>
    <w:rsid w:val="004F266D"/>
    <w:rsid w:val="004F3281"/>
    <w:rsid w:val="004F4059"/>
    <w:rsid w:val="004F43D0"/>
    <w:rsid w:val="004F4AEC"/>
    <w:rsid w:val="004F4B98"/>
    <w:rsid w:val="004F57F9"/>
    <w:rsid w:val="004F5917"/>
    <w:rsid w:val="004F5AE4"/>
    <w:rsid w:val="004F5CD9"/>
    <w:rsid w:val="004F5D0F"/>
    <w:rsid w:val="004F61F2"/>
    <w:rsid w:val="004F6763"/>
    <w:rsid w:val="004F69E5"/>
    <w:rsid w:val="004F72EA"/>
    <w:rsid w:val="004F75DE"/>
    <w:rsid w:val="004F76D5"/>
    <w:rsid w:val="004F7929"/>
    <w:rsid w:val="004F7983"/>
    <w:rsid w:val="004F7D24"/>
    <w:rsid w:val="00500440"/>
    <w:rsid w:val="00500DF9"/>
    <w:rsid w:val="00500FDF"/>
    <w:rsid w:val="00501846"/>
    <w:rsid w:val="00501A50"/>
    <w:rsid w:val="00501D92"/>
    <w:rsid w:val="00502C93"/>
    <w:rsid w:val="00503198"/>
    <w:rsid w:val="005031ED"/>
    <w:rsid w:val="0050377E"/>
    <w:rsid w:val="005038EC"/>
    <w:rsid w:val="00504444"/>
    <w:rsid w:val="00504B80"/>
    <w:rsid w:val="0050510B"/>
    <w:rsid w:val="00505459"/>
    <w:rsid w:val="0050571E"/>
    <w:rsid w:val="00505AD2"/>
    <w:rsid w:val="00505F78"/>
    <w:rsid w:val="005068D3"/>
    <w:rsid w:val="00506BED"/>
    <w:rsid w:val="00506C23"/>
    <w:rsid w:val="00506F19"/>
    <w:rsid w:val="00507126"/>
    <w:rsid w:val="0050716B"/>
    <w:rsid w:val="005072C1"/>
    <w:rsid w:val="00507A50"/>
    <w:rsid w:val="00507C90"/>
    <w:rsid w:val="00507E59"/>
    <w:rsid w:val="00507E5E"/>
    <w:rsid w:val="005105CE"/>
    <w:rsid w:val="00510C5B"/>
    <w:rsid w:val="00510CC2"/>
    <w:rsid w:val="00510E26"/>
    <w:rsid w:val="00511621"/>
    <w:rsid w:val="005128E9"/>
    <w:rsid w:val="00512F6F"/>
    <w:rsid w:val="005137EA"/>
    <w:rsid w:val="005139A9"/>
    <w:rsid w:val="00513A5F"/>
    <w:rsid w:val="00513C71"/>
    <w:rsid w:val="00514334"/>
    <w:rsid w:val="00514648"/>
    <w:rsid w:val="005146CC"/>
    <w:rsid w:val="00514D74"/>
    <w:rsid w:val="00514F4A"/>
    <w:rsid w:val="00515032"/>
    <w:rsid w:val="00515296"/>
    <w:rsid w:val="00515BDE"/>
    <w:rsid w:val="0051603E"/>
    <w:rsid w:val="00517572"/>
    <w:rsid w:val="0051766D"/>
    <w:rsid w:val="00517AA1"/>
    <w:rsid w:val="00517B16"/>
    <w:rsid w:val="00517CE5"/>
    <w:rsid w:val="005202CF"/>
    <w:rsid w:val="00520417"/>
    <w:rsid w:val="005204F5"/>
    <w:rsid w:val="005205E9"/>
    <w:rsid w:val="00520B05"/>
    <w:rsid w:val="00520B51"/>
    <w:rsid w:val="00520E9C"/>
    <w:rsid w:val="00521162"/>
    <w:rsid w:val="00521462"/>
    <w:rsid w:val="005217F7"/>
    <w:rsid w:val="00521E67"/>
    <w:rsid w:val="00521E9D"/>
    <w:rsid w:val="00522029"/>
    <w:rsid w:val="00522090"/>
    <w:rsid w:val="00522FA1"/>
    <w:rsid w:val="00523539"/>
    <w:rsid w:val="0052369C"/>
    <w:rsid w:val="00523825"/>
    <w:rsid w:val="00523BC4"/>
    <w:rsid w:val="00524229"/>
    <w:rsid w:val="005247C6"/>
    <w:rsid w:val="0052547B"/>
    <w:rsid w:val="00525639"/>
    <w:rsid w:val="00525A38"/>
    <w:rsid w:val="00525E4D"/>
    <w:rsid w:val="00525F18"/>
    <w:rsid w:val="00526169"/>
    <w:rsid w:val="00526B69"/>
    <w:rsid w:val="00526E52"/>
    <w:rsid w:val="00527753"/>
    <w:rsid w:val="00527B89"/>
    <w:rsid w:val="00527D0B"/>
    <w:rsid w:val="0053078D"/>
    <w:rsid w:val="005307B6"/>
    <w:rsid w:val="00531AF3"/>
    <w:rsid w:val="005322C5"/>
    <w:rsid w:val="00532CF1"/>
    <w:rsid w:val="00532EC9"/>
    <w:rsid w:val="0053300F"/>
    <w:rsid w:val="005331A4"/>
    <w:rsid w:val="005336E5"/>
    <w:rsid w:val="005347DA"/>
    <w:rsid w:val="00534B2C"/>
    <w:rsid w:val="00535205"/>
    <w:rsid w:val="005353EF"/>
    <w:rsid w:val="0053588B"/>
    <w:rsid w:val="00535AA0"/>
    <w:rsid w:val="00535BD2"/>
    <w:rsid w:val="005360B9"/>
    <w:rsid w:val="0053641C"/>
    <w:rsid w:val="0053652B"/>
    <w:rsid w:val="00536737"/>
    <w:rsid w:val="005368A1"/>
    <w:rsid w:val="00536AD6"/>
    <w:rsid w:val="00536AE5"/>
    <w:rsid w:val="005375BD"/>
    <w:rsid w:val="005377FC"/>
    <w:rsid w:val="00537BCF"/>
    <w:rsid w:val="005401C6"/>
    <w:rsid w:val="00540364"/>
    <w:rsid w:val="005404E0"/>
    <w:rsid w:val="005414BD"/>
    <w:rsid w:val="00541948"/>
    <w:rsid w:val="0054215E"/>
    <w:rsid w:val="005428DF"/>
    <w:rsid w:val="00542EB3"/>
    <w:rsid w:val="0054465F"/>
    <w:rsid w:val="00544C53"/>
    <w:rsid w:val="0054569E"/>
    <w:rsid w:val="00546123"/>
    <w:rsid w:val="005462EA"/>
    <w:rsid w:val="0054636B"/>
    <w:rsid w:val="005466DE"/>
    <w:rsid w:val="0054690B"/>
    <w:rsid w:val="00546B47"/>
    <w:rsid w:val="00550149"/>
    <w:rsid w:val="0055037E"/>
    <w:rsid w:val="005508E8"/>
    <w:rsid w:val="005510E9"/>
    <w:rsid w:val="005518DC"/>
    <w:rsid w:val="00551E6A"/>
    <w:rsid w:val="00551F90"/>
    <w:rsid w:val="00552603"/>
    <w:rsid w:val="00553037"/>
    <w:rsid w:val="00553224"/>
    <w:rsid w:val="0055388B"/>
    <w:rsid w:val="00553DA7"/>
    <w:rsid w:val="005543B3"/>
    <w:rsid w:val="00554514"/>
    <w:rsid w:val="005547B3"/>
    <w:rsid w:val="005548BB"/>
    <w:rsid w:val="0055504B"/>
    <w:rsid w:val="00555492"/>
    <w:rsid w:val="005556FF"/>
    <w:rsid w:val="00555B50"/>
    <w:rsid w:val="00556C75"/>
    <w:rsid w:val="00557115"/>
    <w:rsid w:val="00557351"/>
    <w:rsid w:val="00557621"/>
    <w:rsid w:val="0055788E"/>
    <w:rsid w:val="00557A68"/>
    <w:rsid w:val="00560171"/>
    <w:rsid w:val="00560886"/>
    <w:rsid w:val="005608FF"/>
    <w:rsid w:val="00560A0E"/>
    <w:rsid w:val="005613F0"/>
    <w:rsid w:val="0056149C"/>
    <w:rsid w:val="00561A15"/>
    <w:rsid w:val="00561B98"/>
    <w:rsid w:val="00561D80"/>
    <w:rsid w:val="00562075"/>
    <w:rsid w:val="0056240C"/>
    <w:rsid w:val="00562668"/>
    <w:rsid w:val="005626A6"/>
    <w:rsid w:val="005626DA"/>
    <w:rsid w:val="00563651"/>
    <w:rsid w:val="00563B6F"/>
    <w:rsid w:val="00564496"/>
    <w:rsid w:val="0056464F"/>
    <w:rsid w:val="00564744"/>
    <w:rsid w:val="0056526C"/>
    <w:rsid w:val="005652BA"/>
    <w:rsid w:val="005653D4"/>
    <w:rsid w:val="00565947"/>
    <w:rsid w:val="00565B1A"/>
    <w:rsid w:val="0056617C"/>
    <w:rsid w:val="00566317"/>
    <w:rsid w:val="0056677A"/>
    <w:rsid w:val="00566E29"/>
    <w:rsid w:val="0056745D"/>
    <w:rsid w:val="005674F7"/>
    <w:rsid w:val="0056758E"/>
    <w:rsid w:val="00567677"/>
    <w:rsid w:val="00567955"/>
    <w:rsid w:val="005679A0"/>
    <w:rsid w:val="00567C0A"/>
    <w:rsid w:val="00567D7F"/>
    <w:rsid w:val="00567D8B"/>
    <w:rsid w:val="00570440"/>
    <w:rsid w:val="0057069D"/>
    <w:rsid w:val="0057070E"/>
    <w:rsid w:val="005708B9"/>
    <w:rsid w:val="00570A4A"/>
    <w:rsid w:val="00570DCC"/>
    <w:rsid w:val="00570E3D"/>
    <w:rsid w:val="00571959"/>
    <w:rsid w:val="0057222C"/>
    <w:rsid w:val="005722E4"/>
    <w:rsid w:val="00572420"/>
    <w:rsid w:val="00572553"/>
    <w:rsid w:val="00572621"/>
    <w:rsid w:val="005733D3"/>
    <w:rsid w:val="005738F4"/>
    <w:rsid w:val="00573926"/>
    <w:rsid w:val="00573D55"/>
    <w:rsid w:val="00573E5D"/>
    <w:rsid w:val="0057406A"/>
    <w:rsid w:val="005745A7"/>
    <w:rsid w:val="00574630"/>
    <w:rsid w:val="0057484D"/>
    <w:rsid w:val="00574E89"/>
    <w:rsid w:val="00575211"/>
    <w:rsid w:val="005752AB"/>
    <w:rsid w:val="005756A7"/>
    <w:rsid w:val="005757EE"/>
    <w:rsid w:val="00576317"/>
    <w:rsid w:val="00576605"/>
    <w:rsid w:val="00576ACF"/>
    <w:rsid w:val="00576AF2"/>
    <w:rsid w:val="00576D2D"/>
    <w:rsid w:val="00576F2F"/>
    <w:rsid w:val="00577D80"/>
    <w:rsid w:val="00577E72"/>
    <w:rsid w:val="0058048C"/>
    <w:rsid w:val="00580651"/>
    <w:rsid w:val="00580CD3"/>
    <w:rsid w:val="00580E08"/>
    <w:rsid w:val="00581609"/>
    <w:rsid w:val="00581716"/>
    <w:rsid w:val="0058194B"/>
    <w:rsid w:val="00581DA9"/>
    <w:rsid w:val="0058209B"/>
    <w:rsid w:val="00582411"/>
    <w:rsid w:val="00582A07"/>
    <w:rsid w:val="00583529"/>
    <w:rsid w:val="00583678"/>
    <w:rsid w:val="005839C2"/>
    <w:rsid w:val="005848F2"/>
    <w:rsid w:val="00584B46"/>
    <w:rsid w:val="00585139"/>
    <w:rsid w:val="00585937"/>
    <w:rsid w:val="00585CF8"/>
    <w:rsid w:val="00585F58"/>
    <w:rsid w:val="005865B9"/>
    <w:rsid w:val="005867CE"/>
    <w:rsid w:val="005871F6"/>
    <w:rsid w:val="0058727B"/>
    <w:rsid w:val="005874E9"/>
    <w:rsid w:val="005877F3"/>
    <w:rsid w:val="00587996"/>
    <w:rsid w:val="00587FCD"/>
    <w:rsid w:val="00590060"/>
    <w:rsid w:val="005906C3"/>
    <w:rsid w:val="00590773"/>
    <w:rsid w:val="00590A5E"/>
    <w:rsid w:val="005910AC"/>
    <w:rsid w:val="005911C4"/>
    <w:rsid w:val="00591504"/>
    <w:rsid w:val="00591843"/>
    <w:rsid w:val="00591EFC"/>
    <w:rsid w:val="00591FD1"/>
    <w:rsid w:val="0059218F"/>
    <w:rsid w:val="00592A18"/>
    <w:rsid w:val="00592F70"/>
    <w:rsid w:val="00593530"/>
    <w:rsid w:val="005945C3"/>
    <w:rsid w:val="00594865"/>
    <w:rsid w:val="0059528D"/>
    <w:rsid w:val="0059557B"/>
    <w:rsid w:val="00595693"/>
    <w:rsid w:val="0059652A"/>
    <w:rsid w:val="0059656A"/>
    <w:rsid w:val="005966F3"/>
    <w:rsid w:val="00596786"/>
    <w:rsid w:val="00596901"/>
    <w:rsid w:val="00596B02"/>
    <w:rsid w:val="00596DD6"/>
    <w:rsid w:val="005975F8"/>
    <w:rsid w:val="00597D67"/>
    <w:rsid w:val="005A01EF"/>
    <w:rsid w:val="005A0209"/>
    <w:rsid w:val="005A035B"/>
    <w:rsid w:val="005A0373"/>
    <w:rsid w:val="005A04A2"/>
    <w:rsid w:val="005A06CC"/>
    <w:rsid w:val="005A0DC0"/>
    <w:rsid w:val="005A1CCE"/>
    <w:rsid w:val="005A20CE"/>
    <w:rsid w:val="005A2631"/>
    <w:rsid w:val="005A2F35"/>
    <w:rsid w:val="005A39C1"/>
    <w:rsid w:val="005A3ABF"/>
    <w:rsid w:val="005A3B3A"/>
    <w:rsid w:val="005A4488"/>
    <w:rsid w:val="005A4F4C"/>
    <w:rsid w:val="005A515C"/>
    <w:rsid w:val="005A518E"/>
    <w:rsid w:val="005A6035"/>
    <w:rsid w:val="005A6702"/>
    <w:rsid w:val="005A692D"/>
    <w:rsid w:val="005A6C24"/>
    <w:rsid w:val="005A7A03"/>
    <w:rsid w:val="005B04B7"/>
    <w:rsid w:val="005B05F9"/>
    <w:rsid w:val="005B0A72"/>
    <w:rsid w:val="005B0B27"/>
    <w:rsid w:val="005B0BA2"/>
    <w:rsid w:val="005B0C99"/>
    <w:rsid w:val="005B1099"/>
    <w:rsid w:val="005B1377"/>
    <w:rsid w:val="005B1640"/>
    <w:rsid w:val="005B1765"/>
    <w:rsid w:val="005B1D2A"/>
    <w:rsid w:val="005B23E4"/>
    <w:rsid w:val="005B243A"/>
    <w:rsid w:val="005B2FF2"/>
    <w:rsid w:val="005B3559"/>
    <w:rsid w:val="005B370B"/>
    <w:rsid w:val="005B3BDD"/>
    <w:rsid w:val="005B4238"/>
    <w:rsid w:val="005B465B"/>
    <w:rsid w:val="005B470D"/>
    <w:rsid w:val="005B5045"/>
    <w:rsid w:val="005B591C"/>
    <w:rsid w:val="005B6351"/>
    <w:rsid w:val="005B68C8"/>
    <w:rsid w:val="005B6AF3"/>
    <w:rsid w:val="005B6C60"/>
    <w:rsid w:val="005B6D93"/>
    <w:rsid w:val="005B6E4A"/>
    <w:rsid w:val="005B6FD5"/>
    <w:rsid w:val="005B7164"/>
    <w:rsid w:val="005B723B"/>
    <w:rsid w:val="005B72E1"/>
    <w:rsid w:val="005B76BD"/>
    <w:rsid w:val="005B77F5"/>
    <w:rsid w:val="005B78D4"/>
    <w:rsid w:val="005B7F5F"/>
    <w:rsid w:val="005C0153"/>
    <w:rsid w:val="005C08B4"/>
    <w:rsid w:val="005C0BDC"/>
    <w:rsid w:val="005C0CC0"/>
    <w:rsid w:val="005C0ED4"/>
    <w:rsid w:val="005C0FB5"/>
    <w:rsid w:val="005C1E60"/>
    <w:rsid w:val="005C1F29"/>
    <w:rsid w:val="005C25A9"/>
    <w:rsid w:val="005C2811"/>
    <w:rsid w:val="005C3637"/>
    <w:rsid w:val="005C40D5"/>
    <w:rsid w:val="005C4392"/>
    <w:rsid w:val="005C4838"/>
    <w:rsid w:val="005C4D50"/>
    <w:rsid w:val="005C4F8A"/>
    <w:rsid w:val="005C5D42"/>
    <w:rsid w:val="005C5D46"/>
    <w:rsid w:val="005C63BD"/>
    <w:rsid w:val="005C6571"/>
    <w:rsid w:val="005C659C"/>
    <w:rsid w:val="005C6B6D"/>
    <w:rsid w:val="005C6EFD"/>
    <w:rsid w:val="005C7346"/>
    <w:rsid w:val="005C792C"/>
    <w:rsid w:val="005D0284"/>
    <w:rsid w:val="005D094C"/>
    <w:rsid w:val="005D111D"/>
    <w:rsid w:val="005D13C0"/>
    <w:rsid w:val="005D15F1"/>
    <w:rsid w:val="005D17F3"/>
    <w:rsid w:val="005D1F21"/>
    <w:rsid w:val="005D2050"/>
    <w:rsid w:val="005D225A"/>
    <w:rsid w:val="005D2848"/>
    <w:rsid w:val="005D2AF2"/>
    <w:rsid w:val="005D2D22"/>
    <w:rsid w:val="005D32E1"/>
    <w:rsid w:val="005D3660"/>
    <w:rsid w:val="005D3EF9"/>
    <w:rsid w:val="005D44CD"/>
    <w:rsid w:val="005D4798"/>
    <w:rsid w:val="005D4ADF"/>
    <w:rsid w:val="005D4B11"/>
    <w:rsid w:val="005D4FED"/>
    <w:rsid w:val="005D51A6"/>
    <w:rsid w:val="005D56A6"/>
    <w:rsid w:val="005D5C5B"/>
    <w:rsid w:val="005D5F19"/>
    <w:rsid w:val="005D613D"/>
    <w:rsid w:val="005D6B55"/>
    <w:rsid w:val="005D6F94"/>
    <w:rsid w:val="005D70AF"/>
    <w:rsid w:val="005D755A"/>
    <w:rsid w:val="005D775A"/>
    <w:rsid w:val="005D78F0"/>
    <w:rsid w:val="005D796E"/>
    <w:rsid w:val="005E04C8"/>
    <w:rsid w:val="005E07DF"/>
    <w:rsid w:val="005E08BD"/>
    <w:rsid w:val="005E09B3"/>
    <w:rsid w:val="005E0DF1"/>
    <w:rsid w:val="005E1145"/>
    <w:rsid w:val="005E11E8"/>
    <w:rsid w:val="005E1CAB"/>
    <w:rsid w:val="005E2269"/>
    <w:rsid w:val="005E2980"/>
    <w:rsid w:val="005E2B93"/>
    <w:rsid w:val="005E391D"/>
    <w:rsid w:val="005E3945"/>
    <w:rsid w:val="005E3A1E"/>
    <w:rsid w:val="005E3F5E"/>
    <w:rsid w:val="005E4060"/>
    <w:rsid w:val="005E4293"/>
    <w:rsid w:val="005E440B"/>
    <w:rsid w:val="005E450F"/>
    <w:rsid w:val="005E4D79"/>
    <w:rsid w:val="005E4F23"/>
    <w:rsid w:val="005E52E6"/>
    <w:rsid w:val="005E53F0"/>
    <w:rsid w:val="005E58B3"/>
    <w:rsid w:val="005E5913"/>
    <w:rsid w:val="005E5B96"/>
    <w:rsid w:val="005E5DFF"/>
    <w:rsid w:val="005E6148"/>
    <w:rsid w:val="005E65C3"/>
    <w:rsid w:val="005E6977"/>
    <w:rsid w:val="005E6E82"/>
    <w:rsid w:val="005E73C1"/>
    <w:rsid w:val="005E7E08"/>
    <w:rsid w:val="005F095F"/>
    <w:rsid w:val="005F09F0"/>
    <w:rsid w:val="005F0A72"/>
    <w:rsid w:val="005F0F9C"/>
    <w:rsid w:val="005F1127"/>
    <w:rsid w:val="005F13E8"/>
    <w:rsid w:val="005F17F1"/>
    <w:rsid w:val="005F1A4F"/>
    <w:rsid w:val="005F1E7B"/>
    <w:rsid w:val="005F2290"/>
    <w:rsid w:val="005F24D8"/>
    <w:rsid w:val="005F2C52"/>
    <w:rsid w:val="005F37C9"/>
    <w:rsid w:val="005F3E1E"/>
    <w:rsid w:val="005F4088"/>
    <w:rsid w:val="005F499F"/>
    <w:rsid w:val="005F4AF2"/>
    <w:rsid w:val="005F4B20"/>
    <w:rsid w:val="005F4C49"/>
    <w:rsid w:val="005F4E04"/>
    <w:rsid w:val="005F560E"/>
    <w:rsid w:val="005F5A17"/>
    <w:rsid w:val="005F62B0"/>
    <w:rsid w:val="005F6CB9"/>
    <w:rsid w:val="005F6DD1"/>
    <w:rsid w:val="005F708B"/>
    <w:rsid w:val="005F73C1"/>
    <w:rsid w:val="005F78E4"/>
    <w:rsid w:val="005F7A91"/>
    <w:rsid w:val="006001BC"/>
    <w:rsid w:val="00600335"/>
    <w:rsid w:val="00600C05"/>
    <w:rsid w:val="006013A2"/>
    <w:rsid w:val="00601D94"/>
    <w:rsid w:val="006022C0"/>
    <w:rsid w:val="00602B84"/>
    <w:rsid w:val="006031EB"/>
    <w:rsid w:val="00603A64"/>
    <w:rsid w:val="006040E2"/>
    <w:rsid w:val="0060430C"/>
    <w:rsid w:val="0060463F"/>
    <w:rsid w:val="006049A4"/>
    <w:rsid w:val="00605597"/>
    <w:rsid w:val="00606E07"/>
    <w:rsid w:val="00606EA2"/>
    <w:rsid w:val="00606EE9"/>
    <w:rsid w:val="006070E7"/>
    <w:rsid w:val="0060719E"/>
    <w:rsid w:val="00607ABE"/>
    <w:rsid w:val="00607F65"/>
    <w:rsid w:val="0061049F"/>
    <w:rsid w:val="00610703"/>
    <w:rsid w:val="00610720"/>
    <w:rsid w:val="00611682"/>
    <w:rsid w:val="0061169D"/>
    <w:rsid w:val="00611A30"/>
    <w:rsid w:val="00611C00"/>
    <w:rsid w:val="0061205F"/>
    <w:rsid w:val="006132F3"/>
    <w:rsid w:val="0061375B"/>
    <w:rsid w:val="006148E2"/>
    <w:rsid w:val="00614993"/>
    <w:rsid w:val="00614C94"/>
    <w:rsid w:val="00614CC3"/>
    <w:rsid w:val="00614F94"/>
    <w:rsid w:val="006150A2"/>
    <w:rsid w:val="00615B45"/>
    <w:rsid w:val="00615CE6"/>
    <w:rsid w:val="00615FE9"/>
    <w:rsid w:val="006164BB"/>
    <w:rsid w:val="00616BE9"/>
    <w:rsid w:val="006170A7"/>
    <w:rsid w:val="006171B5"/>
    <w:rsid w:val="0061726D"/>
    <w:rsid w:val="006172CD"/>
    <w:rsid w:val="00617540"/>
    <w:rsid w:val="006178BB"/>
    <w:rsid w:val="00620019"/>
    <w:rsid w:val="00620217"/>
    <w:rsid w:val="00620252"/>
    <w:rsid w:val="00620704"/>
    <w:rsid w:val="006215A6"/>
    <w:rsid w:val="00621D4C"/>
    <w:rsid w:val="0062204C"/>
    <w:rsid w:val="00622571"/>
    <w:rsid w:val="006228D0"/>
    <w:rsid w:val="00623117"/>
    <w:rsid w:val="00623597"/>
    <w:rsid w:val="006235B7"/>
    <w:rsid w:val="00623601"/>
    <w:rsid w:val="00623696"/>
    <w:rsid w:val="0062379F"/>
    <w:rsid w:val="00623973"/>
    <w:rsid w:val="006242C7"/>
    <w:rsid w:val="006245A1"/>
    <w:rsid w:val="006245D2"/>
    <w:rsid w:val="0062588E"/>
    <w:rsid w:val="00625BCC"/>
    <w:rsid w:val="00625F70"/>
    <w:rsid w:val="00626023"/>
    <w:rsid w:val="006269EB"/>
    <w:rsid w:val="00626DA0"/>
    <w:rsid w:val="00627108"/>
    <w:rsid w:val="00627236"/>
    <w:rsid w:val="006274D3"/>
    <w:rsid w:val="00627DDF"/>
    <w:rsid w:val="00627E34"/>
    <w:rsid w:val="00630B29"/>
    <w:rsid w:val="00630DB2"/>
    <w:rsid w:val="00631DCA"/>
    <w:rsid w:val="00632291"/>
    <w:rsid w:val="006327CD"/>
    <w:rsid w:val="0063281F"/>
    <w:rsid w:val="00632D5B"/>
    <w:rsid w:val="00632FF5"/>
    <w:rsid w:val="00633068"/>
    <w:rsid w:val="006333F2"/>
    <w:rsid w:val="00633414"/>
    <w:rsid w:val="0063346A"/>
    <w:rsid w:val="00633960"/>
    <w:rsid w:val="00633CF5"/>
    <w:rsid w:val="006349CA"/>
    <w:rsid w:val="00634B58"/>
    <w:rsid w:val="00634DFE"/>
    <w:rsid w:val="00634EF7"/>
    <w:rsid w:val="00634FD9"/>
    <w:rsid w:val="00635182"/>
    <w:rsid w:val="006353B2"/>
    <w:rsid w:val="006354EF"/>
    <w:rsid w:val="006355E5"/>
    <w:rsid w:val="006359B9"/>
    <w:rsid w:val="006359EA"/>
    <w:rsid w:val="00637905"/>
    <w:rsid w:val="00637FCD"/>
    <w:rsid w:val="0064020F"/>
    <w:rsid w:val="00640B49"/>
    <w:rsid w:val="0064120D"/>
    <w:rsid w:val="006412A6"/>
    <w:rsid w:val="0064156F"/>
    <w:rsid w:val="006416CA"/>
    <w:rsid w:val="00641934"/>
    <w:rsid w:val="006429BC"/>
    <w:rsid w:val="00642AA7"/>
    <w:rsid w:val="00642C07"/>
    <w:rsid w:val="00642F88"/>
    <w:rsid w:val="00643F16"/>
    <w:rsid w:val="00643F40"/>
    <w:rsid w:val="0064440B"/>
    <w:rsid w:val="00644B35"/>
    <w:rsid w:val="00645329"/>
    <w:rsid w:val="0064679C"/>
    <w:rsid w:val="00646C40"/>
    <w:rsid w:val="00646DE0"/>
    <w:rsid w:val="0064726B"/>
    <w:rsid w:val="00647B6D"/>
    <w:rsid w:val="00647EA3"/>
    <w:rsid w:val="00647F7D"/>
    <w:rsid w:val="006500FF"/>
    <w:rsid w:val="006511C5"/>
    <w:rsid w:val="006512CE"/>
    <w:rsid w:val="006517D8"/>
    <w:rsid w:val="0065180A"/>
    <w:rsid w:val="00651F83"/>
    <w:rsid w:val="006523A9"/>
    <w:rsid w:val="00652418"/>
    <w:rsid w:val="00652591"/>
    <w:rsid w:val="00652B80"/>
    <w:rsid w:val="006532A6"/>
    <w:rsid w:val="006534F3"/>
    <w:rsid w:val="006535C8"/>
    <w:rsid w:val="00653808"/>
    <w:rsid w:val="00654048"/>
    <w:rsid w:val="0065466A"/>
    <w:rsid w:val="00654D99"/>
    <w:rsid w:val="006556C7"/>
    <w:rsid w:val="0065578C"/>
    <w:rsid w:val="006559D5"/>
    <w:rsid w:val="00656296"/>
    <w:rsid w:val="00656355"/>
    <w:rsid w:val="00656541"/>
    <w:rsid w:val="006570ED"/>
    <w:rsid w:val="00657CEE"/>
    <w:rsid w:val="00657FF4"/>
    <w:rsid w:val="006605C3"/>
    <w:rsid w:val="00660C84"/>
    <w:rsid w:val="0066129A"/>
    <w:rsid w:val="00661717"/>
    <w:rsid w:val="0066199B"/>
    <w:rsid w:val="006619CE"/>
    <w:rsid w:val="00662106"/>
    <w:rsid w:val="006627A9"/>
    <w:rsid w:val="00662EEC"/>
    <w:rsid w:val="00663680"/>
    <w:rsid w:val="00663828"/>
    <w:rsid w:val="00663A8C"/>
    <w:rsid w:val="00663BE5"/>
    <w:rsid w:val="006641FB"/>
    <w:rsid w:val="00664ADC"/>
    <w:rsid w:val="00664B1D"/>
    <w:rsid w:val="00664E82"/>
    <w:rsid w:val="00664EA7"/>
    <w:rsid w:val="006651D5"/>
    <w:rsid w:val="0066537E"/>
    <w:rsid w:val="006657A9"/>
    <w:rsid w:val="006658BE"/>
    <w:rsid w:val="00665BC1"/>
    <w:rsid w:val="00665C60"/>
    <w:rsid w:val="00665D58"/>
    <w:rsid w:val="00665FD9"/>
    <w:rsid w:val="006662FE"/>
    <w:rsid w:val="00666E3D"/>
    <w:rsid w:val="00666E83"/>
    <w:rsid w:val="00666FFC"/>
    <w:rsid w:val="00667105"/>
    <w:rsid w:val="006673E6"/>
    <w:rsid w:val="00667653"/>
    <w:rsid w:val="00667815"/>
    <w:rsid w:val="00667A43"/>
    <w:rsid w:val="00670077"/>
    <w:rsid w:val="00670253"/>
    <w:rsid w:val="00670980"/>
    <w:rsid w:val="00670AF1"/>
    <w:rsid w:val="00670BA5"/>
    <w:rsid w:val="00670DE9"/>
    <w:rsid w:val="00671D99"/>
    <w:rsid w:val="00671EBF"/>
    <w:rsid w:val="006720C7"/>
    <w:rsid w:val="00672234"/>
    <w:rsid w:val="00672FCB"/>
    <w:rsid w:val="006730E4"/>
    <w:rsid w:val="0067339F"/>
    <w:rsid w:val="00673BB0"/>
    <w:rsid w:val="006740D4"/>
    <w:rsid w:val="006743BC"/>
    <w:rsid w:val="00675475"/>
    <w:rsid w:val="0067561B"/>
    <w:rsid w:val="00675DAF"/>
    <w:rsid w:val="00675DCE"/>
    <w:rsid w:val="006761BF"/>
    <w:rsid w:val="0067640E"/>
    <w:rsid w:val="006773D7"/>
    <w:rsid w:val="0067750F"/>
    <w:rsid w:val="00677D29"/>
    <w:rsid w:val="0068028A"/>
    <w:rsid w:val="0068092D"/>
    <w:rsid w:val="00680C37"/>
    <w:rsid w:val="00681B94"/>
    <w:rsid w:val="00681E6E"/>
    <w:rsid w:val="0068220E"/>
    <w:rsid w:val="0068236F"/>
    <w:rsid w:val="00682A1B"/>
    <w:rsid w:val="006837AD"/>
    <w:rsid w:val="0068387E"/>
    <w:rsid w:val="00684207"/>
    <w:rsid w:val="0068473F"/>
    <w:rsid w:val="00684CAF"/>
    <w:rsid w:val="0068504A"/>
    <w:rsid w:val="0068529B"/>
    <w:rsid w:val="00685385"/>
    <w:rsid w:val="00686835"/>
    <w:rsid w:val="006869F3"/>
    <w:rsid w:val="00686FDA"/>
    <w:rsid w:val="0068756F"/>
    <w:rsid w:val="00687A29"/>
    <w:rsid w:val="00687D69"/>
    <w:rsid w:val="006901BD"/>
    <w:rsid w:val="006905A1"/>
    <w:rsid w:val="00691877"/>
    <w:rsid w:val="006923C8"/>
    <w:rsid w:val="006924F2"/>
    <w:rsid w:val="00692543"/>
    <w:rsid w:val="006926AE"/>
    <w:rsid w:val="006933F0"/>
    <w:rsid w:val="006935A0"/>
    <w:rsid w:val="00693812"/>
    <w:rsid w:val="006939C0"/>
    <w:rsid w:val="0069493B"/>
    <w:rsid w:val="00694CD0"/>
    <w:rsid w:val="00694F98"/>
    <w:rsid w:val="00695077"/>
    <w:rsid w:val="00695C15"/>
    <w:rsid w:val="0069614A"/>
    <w:rsid w:val="006964E7"/>
    <w:rsid w:val="006968D2"/>
    <w:rsid w:val="00696BBE"/>
    <w:rsid w:val="00696D2C"/>
    <w:rsid w:val="006970A7"/>
    <w:rsid w:val="006975CF"/>
    <w:rsid w:val="006A011F"/>
    <w:rsid w:val="006A024D"/>
    <w:rsid w:val="006A04B3"/>
    <w:rsid w:val="006A06B3"/>
    <w:rsid w:val="006A0E2B"/>
    <w:rsid w:val="006A0EDD"/>
    <w:rsid w:val="006A126C"/>
    <w:rsid w:val="006A12BE"/>
    <w:rsid w:val="006A19AE"/>
    <w:rsid w:val="006A1B40"/>
    <w:rsid w:val="006A1E68"/>
    <w:rsid w:val="006A1F7A"/>
    <w:rsid w:val="006A2020"/>
    <w:rsid w:val="006A21CF"/>
    <w:rsid w:val="006A23B1"/>
    <w:rsid w:val="006A27D6"/>
    <w:rsid w:val="006A30B0"/>
    <w:rsid w:val="006A3379"/>
    <w:rsid w:val="006A35C7"/>
    <w:rsid w:val="006A363C"/>
    <w:rsid w:val="006A37C3"/>
    <w:rsid w:val="006A3C97"/>
    <w:rsid w:val="006A434A"/>
    <w:rsid w:val="006A442A"/>
    <w:rsid w:val="006A4479"/>
    <w:rsid w:val="006A4635"/>
    <w:rsid w:val="006A5039"/>
    <w:rsid w:val="006A5406"/>
    <w:rsid w:val="006A5953"/>
    <w:rsid w:val="006A5C2A"/>
    <w:rsid w:val="006A6599"/>
    <w:rsid w:val="006A6759"/>
    <w:rsid w:val="006A6789"/>
    <w:rsid w:val="006A6B4B"/>
    <w:rsid w:val="006A6C5B"/>
    <w:rsid w:val="006A6CE9"/>
    <w:rsid w:val="006A7228"/>
    <w:rsid w:val="006A790A"/>
    <w:rsid w:val="006A7D09"/>
    <w:rsid w:val="006B0665"/>
    <w:rsid w:val="006B09A1"/>
    <w:rsid w:val="006B2715"/>
    <w:rsid w:val="006B2C65"/>
    <w:rsid w:val="006B2D20"/>
    <w:rsid w:val="006B3438"/>
    <w:rsid w:val="006B3A6A"/>
    <w:rsid w:val="006B3EF0"/>
    <w:rsid w:val="006B3FBD"/>
    <w:rsid w:val="006B43C5"/>
    <w:rsid w:val="006B44F1"/>
    <w:rsid w:val="006B4EE3"/>
    <w:rsid w:val="006B4F34"/>
    <w:rsid w:val="006B502F"/>
    <w:rsid w:val="006B541F"/>
    <w:rsid w:val="006B5451"/>
    <w:rsid w:val="006B5538"/>
    <w:rsid w:val="006B5958"/>
    <w:rsid w:val="006B65DB"/>
    <w:rsid w:val="006B6A9D"/>
    <w:rsid w:val="006B6BE1"/>
    <w:rsid w:val="006B6C9D"/>
    <w:rsid w:val="006B6D6B"/>
    <w:rsid w:val="006B7164"/>
    <w:rsid w:val="006B72B5"/>
    <w:rsid w:val="006B72EC"/>
    <w:rsid w:val="006B7380"/>
    <w:rsid w:val="006B77CC"/>
    <w:rsid w:val="006B7D79"/>
    <w:rsid w:val="006C0776"/>
    <w:rsid w:val="006C125F"/>
    <w:rsid w:val="006C171F"/>
    <w:rsid w:val="006C1801"/>
    <w:rsid w:val="006C2368"/>
    <w:rsid w:val="006C2636"/>
    <w:rsid w:val="006C29B5"/>
    <w:rsid w:val="006C2AF2"/>
    <w:rsid w:val="006C3057"/>
    <w:rsid w:val="006C341E"/>
    <w:rsid w:val="006C3B60"/>
    <w:rsid w:val="006C410F"/>
    <w:rsid w:val="006C47F3"/>
    <w:rsid w:val="006C4A4A"/>
    <w:rsid w:val="006C51C5"/>
    <w:rsid w:val="006C5233"/>
    <w:rsid w:val="006C6841"/>
    <w:rsid w:val="006C6B26"/>
    <w:rsid w:val="006C752D"/>
    <w:rsid w:val="006C764F"/>
    <w:rsid w:val="006C77BC"/>
    <w:rsid w:val="006C7D22"/>
    <w:rsid w:val="006D01D8"/>
    <w:rsid w:val="006D04D0"/>
    <w:rsid w:val="006D1142"/>
    <w:rsid w:val="006D1FD4"/>
    <w:rsid w:val="006D253B"/>
    <w:rsid w:val="006D26EA"/>
    <w:rsid w:val="006D28EF"/>
    <w:rsid w:val="006D2A14"/>
    <w:rsid w:val="006D2BBD"/>
    <w:rsid w:val="006D2C93"/>
    <w:rsid w:val="006D3197"/>
    <w:rsid w:val="006D340D"/>
    <w:rsid w:val="006D3487"/>
    <w:rsid w:val="006D3AAC"/>
    <w:rsid w:val="006D4A6D"/>
    <w:rsid w:val="006D4CFE"/>
    <w:rsid w:val="006D4F38"/>
    <w:rsid w:val="006D532B"/>
    <w:rsid w:val="006D5822"/>
    <w:rsid w:val="006D5F23"/>
    <w:rsid w:val="006D60B9"/>
    <w:rsid w:val="006D66D4"/>
    <w:rsid w:val="006D6BD7"/>
    <w:rsid w:val="006D7248"/>
    <w:rsid w:val="006D7368"/>
    <w:rsid w:val="006D7DED"/>
    <w:rsid w:val="006E0909"/>
    <w:rsid w:val="006E0FE9"/>
    <w:rsid w:val="006E0FEB"/>
    <w:rsid w:val="006E18F5"/>
    <w:rsid w:val="006E245C"/>
    <w:rsid w:val="006E278D"/>
    <w:rsid w:val="006E2C60"/>
    <w:rsid w:val="006E2CB6"/>
    <w:rsid w:val="006E3214"/>
    <w:rsid w:val="006E3318"/>
    <w:rsid w:val="006E3926"/>
    <w:rsid w:val="006E43B9"/>
    <w:rsid w:val="006E44E8"/>
    <w:rsid w:val="006E541C"/>
    <w:rsid w:val="006E55DF"/>
    <w:rsid w:val="006E5945"/>
    <w:rsid w:val="006E5F30"/>
    <w:rsid w:val="006E632C"/>
    <w:rsid w:val="006E6550"/>
    <w:rsid w:val="006E6BC0"/>
    <w:rsid w:val="006E6CF6"/>
    <w:rsid w:val="006F03D8"/>
    <w:rsid w:val="006F0617"/>
    <w:rsid w:val="006F0AB6"/>
    <w:rsid w:val="006F142B"/>
    <w:rsid w:val="006F18E0"/>
    <w:rsid w:val="006F197D"/>
    <w:rsid w:val="006F19F5"/>
    <w:rsid w:val="006F1B88"/>
    <w:rsid w:val="006F1C53"/>
    <w:rsid w:val="006F1E8E"/>
    <w:rsid w:val="006F272D"/>
    <w:rsid w:val="006F2AF5"/>
    <w:rsid w:val="006F2FB1"/>
    <w:rsid w:val="006F35C5"/>
    <w:rsid w:val="006F3606"/>
    <w:rsid w:val="006F3857"/>
    <w:rsid w:val="006F4135"/>
    <w:rsid w:val="006F4367"/>
    <w:rsid w:val="006F449A"/>
    <w:rsid w:val="006F4ABE"/>
    <w:rsid w:val="006F4E0F"/>
    <w:rsid w:val="006F4FCA"/>
    <w:rsid w:val="006F50A6"/>
    <w:rsid w:val="006F5325"/>
    <w:rsid w:val="006F591D"/>
    <w:rsid w:val="006F644E"/>
    <w:rsid w:val="006F767C"/>
    <w:rsid w:val="006F7DE5"/>
    <w:rsid w:val="007004A3"/>
    <w:rsid w:val="00700A4D"/>
    <w:rsid w:val="007012E1"/>
    <w:rsid w:val="007016E1"/>
    <w:rsid w:val="00701A16"/>
    <w:rsid w:val="00701EE2"/>
    <w:rsid w:val="0070206C"/>
    <w:rsid w:val="00702299"/>
    <w:rsid w:val="007026DC"/>
    <w:rsid w:val="00702763"/>
    <w:rsid w:val="00702CA9"/>
    <w:rsid w:val="00702DAD"/>
    <w:rsid w:val="00702FF8"/>
    <w:rsid w:val="00703721"/>
    <w:rsid w:val="0070392F"/>
    <w:rsid w:val="007039B9"/>
    <w:rsid w:val="00704884"/>
    <w:rsid w:val="0070489B"/>
    <w:rsid w:val="00704A21"/>
    <w:rsid w:val="00704B3E"/>
    <w:rsid w:val="00704C61"/>
    <w:rsid w:val="00704F4A"/>
    <w:rsid w:val="00705231"/>
    <w:rsid w:val="00705376"/>
    <w:rsid w:val="007053E7"/>
    <w:rsid w:val="00705442"/>
    <w:rsid w:val="0070611B"/>
    <w:rsid w:val="007061CE"/>
    <w:rsid w:val="00706783"/>
    <w:rsid w:val="0070697D"/>
    <w:rsid w:val="00706C2A"/>
    <w:rsid w:val="00706E97"/>
    <w:rsid w:val="00707395"/>
    <w:rsid w:val="0070753C"/>
    <w:rsid w:val="00707601"/>
    <w:rsid w:val="0071005C"/>
    <w:rsid w:val="0071016B"/>
    <w:rsid w:val="00710627"/>
    <w:rsid w:val="00710B0D"/>
    <w:rsid w:val="00710E7A"/>
    <w:rsid w:val="00711BC6"/>
    <w:rsid w:val="007125E4"/>
    <w:rsid w:val="00712EA9"/>
    <w:rsid w:val="0071320F"/>
    <w:rsid w:val="007139DC"/>
    <w:rsid w:val="00713B02"/>
    <w:rsid w:val="00713D27"/>
    <w:rsid w:val="00713EB1"/>
    <w:rsid w:val="007142C9"/>
    <w:rsid w:val="00714A49"/>
    <w:rsid w:val="0071525F"/>
    <w:rsid w:val="00715620"/>
    <w:rsid w:val="00716611"/>
    <w:rsid w:val="0071697C"/>
    <w:rsid w:val="00716FD6"/>
    <w:rsid w:val="0071791A"/>
    <w:rsid w:val="00717C0F"/>
    <w:rsid w:val="007206B9"/>
    <w:rsid w:val="00721808"/>
    <w:rsid w:val="0072238A"/>
    <w:rsid w:val="007223B4"/>
    <w:rsid w:val="00722BA4"/>
    <w:rsid w:val="007235B4"/>
    <w:rsid w:val="00723A8F"/>
    <w:rsid w:val="007244D5"/>
    <w:rsid w:val="0072497D"/>
    <w:rsid w:val="00724E8C"/>
    <w:rsid w:val="00725500"/>
    <w:rsid w:val="007255FD"/>
    <w:rsid w:val="0072567B"/>
    <w:rsid w:val="007263D7"/>
    <w:rsid w:val="00726999"/>
    <w:rsid w:val="00726B4B"/>
    <w:rsid w:val="00726ED6"/>
    <w:rsid w:val="0072760A"/>
    <w:rsid w:val="00727BE6"/>
    <w:rsid w:val="00727EFE"/>
    <w:rsid w:val="00731363"/>
    <w:rsid w:val="00731895"/>
    <w:rsid w:val="007318E4"/>
    <w:rsid w:val="00731B4E"/>
    <w:rsid w:val="00732238"/>
    <w:rsid w:val="007325C3"/>
    <w:rsid w:val="007333F5"/>
    <w:rsid w:val="00733917"/>
    <w:rsid w:val="00733D98"/>
    <w:rsid w:val="00734B2F"/>
    <w:rsid w:val="00735524"/>
    <w:rsid w:val="007355E5"/>
    <w:rsid w:val="007359E7"/>
    <w:rsid w:val="00735C06"/>
    <w:rsid w:val="00735F28"/>
    <w:rsid w:val="00735FEC"/>
    <w:rsid w:val="0073603E"/>
    <w:rsid w:val="00736534"/>
    <w:rsid w:val="00736A47"/>
    <w:rsid w:val="00736C77"/>
    <w:rsid w:val="00736DF2"/>
    <w:rsid w:val="00736F4F"/>
    <w:rsid w:val="0073783B"/>
    <w:rsid w:val="00737B85"/>
    <w:rsid w:val="007404DC"/>
    <w:rsid w:val="007404FE"/>
    <w:rsid w:val="00740AC1"/>
    <w:rsid w:val="00740EFB"/>
    <w:rsid w:val="007415CD"/>
    <w:rsid w:val="0074194E"/>
    <w:rsid w:val="0074238D"/>
    <w:rsid w:val="00742B8B"/>
    <w:rsid w:val="00742C9E"/>
    <w:rsid w:val="00742E07"/>
    <w:rsid w:val="0074328C"/>
    <w:rsid w:val="0074362E"/>
    <w:rsid w:val="00743B3B"/>
    <w:rsid w:val="00743C5C"/>
    <w:rsid w:val="0074470A"/>
    <w:rsid w:val="00744C04"/>
    <w:rsid w:val="00744D27"/>
    <w:rsid w:val="0074534C"/>
    <w:rsid w:val="00745814"/>
    <w:rsid w:val="00745A83"/>
    <w:rsid w:val="00746204"/>
    <w:rsid w:val="007467E2"/>
    <w:rsid w:val="00746F5D"/>
    <w:rsid w:val="007471E6"/>
    <w:rsid w:val="00747261"/>
    <w:rsid w:val="007472D6"/>
    <w:rsid w:val="007472EE"/>
    <w:rsid w:val="007473B8"/>
    <w:rsid w:val="00747BB7"/>
    <w:rsid w:val="00747BB8"/>
    <w:rsid w:val="00747D68"/>
    <w:rsid w:val="00747EF1"/>
    <w:rsid w:val="00750176"/>
    <w:rsid w:val="0075062A"/>
    <w:rsid w:val="00750648"/>
    <w:rsid w:val="007506F4"/>
    <w:rsid w:val="007508B5"/>
    <w:rsid w:val="007512C4"/>
    <w:rsid w:val="007516EC"/>
    <w:rsid w:val="0075192D"/>
    <w:rsid w:val="00751AF3"/>
    <w:rsid w:val="00751BCB"/>
    <w:rsid w:val="00751CB8"/>
    <w:rsid w:val="00751CF0"/>
    <w:rsid w:val="00751E48"/>
    <w:rsid w:val="00752094"/>
    <w:rsid w:val="00752875"/>
    <w:rsid w:val="00752CD4"/>
    <w:rsid w:val="00752E07"/>
    <w:rsid w:val="00753429"/>
    <w:rsid w:val="007535CF"/>
    <w:rsid w:val="0075388B"/>
    <w:rsid w:val="00753A96"/>
    <w:rsid w:val="00753C63"/>
    <w:rsid w:val="007542FD"/>
    <w:rsid w:val="007543E5"/>
    <w:rsid w:val="0075440A"/>
    <w:rsid w:val="00754C2B"/>
    <w:rsid w:val="00754E54"/>
    <w:rsid w:val="00755354"/>
    <w:rsid w:val="00755A76"/>
    <w:rsid w:val="00756406"/>
    <w:rsid w:val="00756A05"/>
    <w:rsid w:val="00756BC0"/>
    <w:rsid w:val="00757334"/>
    <w:rsid w:val="00757FA5"/>
    <w:rsid w:val="00760E26"/>
    <w:rsid w:val="00760EAC"/>
    <w:rsid w:val="00760EB0"/>
    <w:rsid w:val="00761303"/>
    <w:rsid w:val="00761370"/>
    <w:rsid w:val="00761AD9"/>
    <w:rsid w:val="00761AF3"/>
    <w:rsid w:val="0076247D"/>
    <w:rsid w:val="007625E5"/>
    <w:rsid w:val="007627F5"/>
    <w:rsid w:val="00762819"/>
    <w:rsid w:val="0076283D"/>
    <w:rsid w:val="007628F8"/>
    <w:rsid w:val="00762CBA"/>
    <w:rsid w:val="00762D01"/>
    <w:rsid w:val="00762E07"/>
    <w:rsid w:val="00763201"/>
    <w:rsid w:val="00763272"/>
    <w:rsid w:val="0076346B"/>
    <w:rsid w:val="00763A4F"/>
    <w:rsid w:val="00763B31"/>
    <w:rsid w:val="00763CB2"/>
    <w:rsid w:val="00763F67"/>
    <w:rsid w:val="0076411B"/>
    <w:rsid w:val="0076491A"/>
    <w:rsid w:val="00764D3C"/>
    <w:rsid w:val="00764E2E"/>
    <w:rsid w:val="007657B4"/>
    <w:rsid w:val="00765B10"/>
    <w:rsid w:val="00765FBE"/>
    <w:rsid w:val="007663B1"/>
    <w:rsid w:val="0076728C"/>
    <w:rsid w:val="0077080D"/>
    <w:rsid w:val="007709ED"/>
    <w:rsid w:val="00770F6F"/>
    <w:rsid w:val="0077144E"/>
    <w:rsid w:val="007718C3"/>
    <w:rsid w:val="007727C9"/>
    <w:rsid w:val="007734C8"/>
    <w:rsid w:val="0077358B"/>
    <w:rsid w:val="00773AD9"/>
    <w:rsid w:val="00774251"/>
    <w:rsid w:val="007747B5"/>
    <w:rsid w:val="007748B8"/>
    <w:rsid w:val="00774946"/>
    <w:rsid w:val="00774CB9"/>
    <w:rsid w:val="00774CD4"/>
    <w:rsid w:val="0077536C"/>
    <w:rsid w:val="00776769"/>
    <w:rsid w:val="00776798"/>
    <w:rsid w:val="00776AE2"/>
    <w:rsid w:val="00776B0B"/>
    <w:rsid w:val="00776BCD"/>
    <w:rsid w:val="0077714D"/>
    <w:rsid w:val="0077729A"/>
    <w:rsid w:val="00777A62"/>
    <w:rsid w:val="007802CB"/>
    <w:rsid w:val="00780634"/>
    <w:rsid w:val="00781709"/>
    <w:rsid w:val="007818E8"/>
    <w:rsid w:val="00782942"/>
    <w:rsid w:val="00782A76"/>
    <w:rsid w:val="00782F28"/>
    <w:rsid w:val="00783005"/>
    <w:rsid w:val="00783408"/>
    <w:rsid w:val="0078342F"/>
    <w:rsid w:val="007839EE"/>
    <w:rsid w:val="00783C5D"/>
    <w:rsid w:val="00783E0B"/>
    <w:rsid w:val="007844A8"/>
    <w:rsid w:val="00785891"/>
    <w:rsid w:val="00785B3E"/>
    <w:rsid w:val="007862FA"/>
    <w:rsid w:val="00786337"/>
    <w:rsid w:val="00786B60"/>
    <w:rsid w:val="00786F22"/>
    <w:rsid w:val="007875C1"/>
    <w:rsid w:val="00790997"/>
    <w:rsid w:val="00790B7A"/>
    <w:rsid w:val="00790B7C"/>
    <w:rsid w:val="00790FB3"/>
    <w:rsid w:val="00791320"/>
    <w:rsid w:val="00791546"/>
    <w:rsid w:val="00791692"/>
    <w:rsid w:val="00791A23"/>
    <w:rsid w:val="00791E47"/>
    <w:rsid w:val="00792182"/>
    <w:rsid w:val="0079242B"/>
    <w:rsid w:val="007924C2"/>
    <w:rsid w:val="00792923"/>
    <w:rsid w:val="00792E66"/>
    <w:rsid w:val="0079349D"/>
    <w:rsid w:val="00793898"/>
    <w:rsid w:val="00793A56"/>
    <w:rsid w:val="00794B47"/>
    <w:rsid w:val="00794E70"/>
    <w:rsid w:val="00795731"/>
    <w:rsid w:val="00795A03"/>
    <w:rsid w:val="00795B1E"/>
    <w:rsid w:val="00795E98"/>
    <w:rsid w:val="007962D2"/>
    <w:rsid w:val="00796A9D"/>
    <w:rsid w:val="00796FCE"/>
    <w:rsid w:val="007972E8"/>
    <w:rsid w:val="007A0224"/>
    <w:rsid w:val="007A03D6"/>
    <w:rsid w:val="007A0439"/>
    <w:rsid w:val="007A0B41"/>
    <w:rsid w:val="007A0C23"/>
    <w:rsid w:val="007A0CED"/>
    <w:rsid w:val="007A0D54"/>
    <w:rsid w:val="007A0ECA"/>
    <w:rsid w:val="007A0F9F"/>
    <w:rsid w:val="007A115E"/>
    <w:rsid w:val="007A1204"/>
    <w:rsid w:val="007A120F"/>
    <w:rsid w:val="007A1775"/>
    <w:rsid w:val="007A1CF5"/>
    <w:rsid w:val="007A20F8"/>
    <w:rsid w:val="007A24E7"/>
    <w:rsid w:val="007A2942"/>
    <w:rsid w:val="007A2CA5"/>
    <w:rsid w:val="007A3C0D"/>
    <w:rsid w:val="007A49C9"/>
    <w:rsid w:val="007A4A14"/>
    <w:rsid w:val="007A4A57"/>
    <w:rsid w:val="007A4E4C"/>
    <w:rsid w:val="007A4F96"/>
    <w:rsid w:val="007A52BB"/>
    <w:rsid w:val="007A5942"/>
    <w:rsid w:val="007A59A3"/>
    <w:rsid w:val="007A5AA3"/>
    <w:rsid w:val="007A5CF8"/>
    <w:rsid w:val="007A5EA5"/>
    <w:rsid w:val="007A6230"/>
    <w:rsid w:val="007A6328"/>
    <w:rsid w:val="007A68EE"/>
    <w:rsid w:val="007A6B85"/>
    <w:rsid w:val="007A6BAA"/>
    <w:rsid w:val="007A6EB4"/>
    <w:rsid w:val="007A7284"/>
    <w:rsid w:val="007A7429"/>
    <w:rsid w:val="007A74A2"/>
    <w:rsid w:val="007A79E3"/>
    <w:rsid w:val="007A7FB8"/>
    <w:rsid w:val="007B112D"/>
    <w:rsid w:val="007B1366"/>
    <w:rsid w:val="007B174A"/>
    <w:rsid w:val="007B2E16"/>
    <w:rsid w:val="007B2F1D"/>
    <w:rsid w:val="007B3010"/>
    <w:rsid w:val="007B30EC"/>
    <w:rsid w:val="007B330D"/>
    <w:rsid w:val="007B3453"/>
    <w:rsid w:val="007B376A"/>
    <w:rsid w:val="007B3E2F"/>
    <w:rsid w:val="007B3E9A"/>
    <w:rsid w:val="007B49B3"/>
    <w:rsid w:val="007B4B8E"/>
    <w:rsid w:val="007B4B9B"/>
    <w:rsid w:val="007B5029"/>
    <w:rsid w:val="007B52BE"/>
    <w:rsid w:val="007B5B1A"/>
    <w:rsid w:val="007B6065"/>
    <w:rsid w:val="007B63BD"/>
    <w:rsid w:val="007B66D4"/>
    <w:rsid w:val="007B67FC"/>
    <w:rsid w:val="007B78D0"/>
    <w:rsid w:val="007C001C"/>
    <w:rsid w:val="007C00C1"/>
    <w:rsid w:val="007C0D44"/>
    <w:rsid w:val="007C12D8"/>
    <w:rsid w:val="007C1773"/>
    <w:rsid w:val="007C1B08"/>
    <w:rsid w:val="007C1D07"/>
    <w:rsid w:val="007C1D8D"/>
    <w:rsid w:val="007C21D9"/>
    <w:rsid w:val="007C31BD"/>
    <w:rsid w:val="007C32E3"/>
    <w:rsid w:val="007C3536"/>
    <w:rsid w:val="007C483A"/>
    <w:rsid w:val="007C5261"/>
    <w:rsid w:val="007C58EA"/>
    <w:rsid w:val="007C5D13"/>
    <w:rsid w:val="007C604A"/>
    <w:rsid w:val="007C6F72"/>
    <w:rsid w:val="007C70A6"/>
    <w:rsid w:val="007C7CCD"/>
    <w:rsid w:val="007D0590"/>
    <w:rsid w:val="007D067C"/>
    <w:rsid w:val="007D08E5"/>
    <w:rsid w:val="007D0BBD"/>
    <w:rsid w:val="007D127A"/>
    <w:rsid w:val="007D138D"/>
    <w:rsid w:val="007D17D5"/>
    <w:rsid w:val="007D19E6"/>
    <w:rsid w:val="007D1CF2"/>
    <w:rsid w:val="007D1F8D"/>
    <w:rsid w:val="007D2160"/>
    <w:rsid w:val="007D2689"/>
    <w:rsid w:val="007D3960"/>
    <w:rsid w:val="007D3F50"/>
    <w:rsid w:val="007D41A3"/>
    <w:rsid w:val="007D4672"/>
    <w:rsid w:val="007D47BC"/>
    <w:rsid w:val="007D521C"/>
    <w:rsid w:val="007D524C"/>
    <w:rsid w:val="007D5D13"/>
    <w:rsid w:val="007D6314"/>
    <w:rsid w:val="007D6911"/>
    <w:rsid w:val="007D6AD7"/>
    <w:rsid w:val="007D6F19"/>
    <w:rsid w:val="007D7A35"/>
    <w:rsid w:val="007D7DF4"/>
    <w:rsid w:val="007E015A"/>
    <w:rsid w:val="007E04CC"/>
    <w:rsid w:val="007E08B6"/>
    <w:rsid w:val="007E09A8"/>
    <w:rsid w:val="007E0A3A"/>
    <w:rsid w:val="007E0B84"/>
    <w:rsid w:val="007E0D05"/>
    <w:rsid w:val="007E109F"/>
    <w:rsid w:val="007E1600"/>
    <w:rsid w:val="007E2048"/>
    <w:rsid w:val="007E2144"/>
    <w:rsid w:val="007E2B29"/>
    <w:rsid w:val="007E313F"/>
    <w:rsid w:val="007E3290"/>
    <w:rsid w:val="007E33A3"/>
    <w:rsid w:val="007E3616"/>
    <w:rsid w:val="007E3AF8"/>
    <w:rsid w:val="007E3ECE"/>
    <w:rsid w:val="007E3F19"/>
    <w:rsid w:val="007E47C4"/>
    <w:rsid w:val="007E543C"/>
    <w:rsid w:val="007E5804"/>
    <w:rsid w:val="007E5954"/>
    <w:rsid w:val="007E596B"/>
    <w:rsid w:val="007E5D74"/>
    <w:rsid w:val="007E6457"/>
    <w:rsid w:val="007E66B1"/>
    <w:rsid w:val="007E66E4"/>
    <w:rsid w:val="007E6A5D"/>
    <w:rsid w:val="007E71F9"/>
    <w:rsid w:val="007E7E61"/>
    <w:rsid w:val="007F0222"/>
    <w:rsid w:val="007F0249"/>
    <w:rsid w:val="007F0772"/>
    <w:rsid w:val="007F0CEB"/>
    <w:rsid w:val="007F13CB"/>
    <w:rsid w:val="007F16EC"/>
    <w:rsid w:val="007F1B6D"/>
    <w:rsid w:val="007F1CDA"/>
    <w:rsid w:val="007F2CCD"/>
    <w:rsid w:val="007F2E47"/>
    <w:rsid w:val="007F39A2"/>
    <w:rsid w:val="007F3BCB"/>
    <w:rsid w:val="007F405E"/>
    <w:rsid w:val="007F49AD"/>
    <w:rsid w:val="007F549A"/>
    <w:rsid w:val="007F56AC"/>
    <w:rsid w:val="007F6640"/>
    <w:rsid w:val="007F6983"/>
    <w:rsid w:val="007F6A03"/>
    <w:rsid w:val="007F6C2E"/>
    <w:rsid w:val="007F7007"/>
    <w:rsid w:val="007F70CD"/>
    <w:rsid w:val="007F72A5"/>
    <w:rsid w:val="007F73AD"/>
    <w:rsid w:val="007F74D6"/>
    <w:rsid w:val="007F7E81"/>
    <w:rsid w:val="007F7E97"/>
    <w:rsid w:val="007F7FC0"/>
    <w:rsid w:val="0080039E"/>
    <w:rsid w:val="00800FBD"/>
    <w:rsid w:val="00801519"/>
    <w:rsid w:val="008019B2"/>
    <w:rsid w:val="00802115"/>
    <w:rsid w:val="008024C7"/>
    <w:rsid w:val="00802642"/>
    <w:rsid w:val="0080274B"/>
    <w:rsid w:val="00802F5B"/>
    <w:rsid w:val="00803EE5"/>
    <w:rsid w:val="00804629"/>
    <w:rsid w:val="00804919"/>
    <w:rsid w:val="00804BF7"/>
    <w:rsid w:val="008058DD"/>
    <w:rsid w:val="00805DB8"/>
    <w:rsid w:val="00806A84"/>
    <w:rsid w:val="00806CCD"/>
    <w:rsid w:val="00807B0A"/>
    <w:rsid w:val="00807C5D"/>
    <w:rsid w:val="00810289"/>
    <w:rsid w:val="008109D6"/>
    <w:rsid w:val="00810F67"/>
    <w:rsid w:val="008110C3"/>
    <w:rsid w:val="00811706"/>
    <w:rsid w:val="008121F2"/>
    <w:rsid w:val="00812358"/>
    <w:rsid w:val="00812457"/>
    <w:rsid w:val="008124B9"/>
    <w:rsid w:val="00813091"/>
    <w:rsid w:val="008130A3"/>
    <w:rsid w:val="008130F7"/>
    <w:rsid w:val="00813960"/>
    <w:rsid w:val="00813AB4"/>
    <w:rsid w:val="00813CB4"/>
    <w:rsid w:val="00813E2A"/>
    <w:rsid w:val="00814029"/>
    <w:rsid w:val="0081481C"/>
    <w:rsid w:val="00814914"/>
    <w:rsid w:val="008157C3"/>
    <w:rsid w:val="0081587D"/>
    <w:rsid w:val="008165BD"/>
    <w:rsid w:val="0081666E"/>
    <w:rsid w:val="00816BFC"/>
    <w:rsid w:val="00817312"/>
    <w:rsid w:val="0082019C"/>
    <w:rsid w:val="00820598"/>
    <w:rsid w:val="008210B9"/>
    <w:rsid w:val="00821A08"/>
    <w:rsid w:val="00821ACA"/>
    <w:rsid w:val="00821B6B"/>
    <w:rsid w:val="0082229D"/>
    <w:rsid w:val="00822648"/>
    <w:rsid w:val="00822786"/>
    <w:rsid w:val="0082279D"/>
    <w:rsid w:val="0082284D"/>
    <w:rsid w:val="0082311A"/>
    <w:rsid w:val="00823126"/>
    <w:rsid w:val="008236D3"/>
    <w:rsid w:val="00823EBB"/>
    <w:rsid w:val="00823F17"/>
    <w:rsid w:val="00824248"/>
    <w:rsid w:val="008244B0"/>
    <w:rsid w:val="00825D30"/>
    <w:rsid w:val="00826034"/>
    <w:rsid w:val="00826AC4"/>
    <w:rsid w:val="00826F46"/>
    <w:rsid w:val="00827680"/>
    <w:rsid w:val="00827FFA"/>
    <w:rsid w:val="0083002A"/>
    <w:rsid w:val="0083062C"/>
    <w:rsid w:val="00830D95"/>
    <w:rsid w:val="008312C7"/>
    <w:rsid w:val="008318D8"/>
    <w:rsid w:val="008323C4"/>
    <w:rsid w:val="008327E7"/>
    <w:rsid w:val="00832E97"/>
    <w:rsid w:val="00833BDC"/>
    <w:rsid w:val="00833D93"/>
    <w:rsid w:val="00833F4C"/>
    <w:rsid w:val="00834C13"/>
    <w:rsid w:val="00834C3C"/>
    <w:rsid w:val="00834FD9"/>
    <w:rsid w:val="00835280"/>
    <w:rsid w:val="0083529D"/>
    <w:rsid w:val="008355E6"/>
    <w:rsid w:val="00835F2D"/>
    <w:rsid w:val="00836074"/>
    <w:rsid w:val="00836964"/>
    <w:rsid w:val="00836FBD"/>
    <w:rsid w:val="00837166"/>
    <w:rsid w:val="00837B3E"/>
    <w:rsid w:val="00837F01"/>
    <w:rsid w:val="0084005D"/>
    <w:rsid w:val="00840C59"/>
    <w:rsid w:val="00841430"/>
    <w:rsid w:val="008416A1"/>
    <w:rsid w:val="008417A6"/>
    <w:rsid w:val="00841B3B"/>
    <w:rsid w:val="00842563"/>
    <w:rsid w:val="00842B8E"/>
    <w:rsid w:val="00843066"/>
    <w:rsid w:val="00843B3E"/>
    <w:rsid w:val="00843DFA"/>
    <w:rsid w:val="00843F0C"/>
    <w:rsid w:val="008447F0"/>
    <w:rsid w:val="00844971"/>
    <w:rsid w:val="008457E7"/>
    <w:rsid w:val="00845E2E"/>
    <w:rsid w:val="0084718C"/>
    <w:rsid w:val="00847D58"/>
    <w:rsid w:val="00847E40"/>
    <w:rsid w:val="008501D8"/>
    <w:rsid w:val="008507D4"/>
    <w:rsid w:val="00850A75"/>
    <w:rsid w:val="00850AC3"/>
    <w:rsid w:val="00850D6E"/>
    <w:rsid w:val="00850F5F"/>
    <w:rsid w:val="00851CEA"/>
    <w:rsid w:val="00851D8F"/>
    <w:rsid w:val="008521B4"/>
    <w:rsid w:val="00852666"/>
    <w:rsid w:val="0085268B"/>
    <w:rsid w:val="00852994"/>
    <w:rsid w:val="008538EF"/>
    <w:rsid w:val="00853B96"/>
    <w:rsid w:val="0085414A"/>
    <w:rsid w:val="00854672"/>
    <w:rsid w:val="00854A02"/>
    <w:rsid w:val="00854A4A"/>
    <w:rsid w:val="00854CC6"/>
    <w:rsid w:val="00855A76"/>
    <w:rsid w:val="00856323"/>
    <w:rsid w:val="00856970"/>
    <w:rsid w:val="00856B43"/>
    <w:rsid w:val="00856F6B"/>
    <w:rsid w:val="008574F9"/>
    <w:rsid w:val="00857715"/>
    <w:rsid w:val="00857768"/>
    <w:rsid w:val="00857868"/>
    <w:rsid w:val="00857EBE"/>
    <w:rsid w:val="00857F28"/>
    <w:rsid w:val="008601D7"/>
    <w:rsid w:val="00860341"/>
    <w:rsid w:val="008605B7"/>
    <w:rsid w:val="0086080A"/>
    <w:rsid w:val="00860B71"/>
    <w:rsid w:val="00860BAE"/>
    <w:rsid w:val="00861374"/>
    <w:rsid w:val="00861A48"/>
    <w:rsid w:val="00861D07"/>
    <w:rsid w:val="00861D70"/>
    <w:rsid w:val="0086252F"/>
    <w:rsid w:val="00862600"/>
    <w:rsid w:val="008627B9"/>
    <w:rsid w:val="00862CE6"/>
    <w:rsid w:val="00862D36"/>
    <w:rsid w:val="008637EE"/>
    <w:rsid w:val="008640BE"/>
    <w:rsid w:val="008645A6"/>
    <w:rsid w:val="00864682"/>
    <w:rsid w:val="00864F43"/>
    <w:rsid w:val="00865074"/>
    <w:rsid w:val="008656D3"/>
    <w:rsid w:val="00865AA7"/>
    <w:rsid w:val="00866218"/>
    <w:rsid w:val="00866405"/>
    <w:rsid w:val="0086753A"/>
    <w:rsid w:val="00867CC2"/>
    <w:rsid w:val="00870657"/>
    <w:rsid w:val="00871AC6"/>
    <w:rsid w:val="00871E69"/>
    <w:rsid w:val="008721C0"/>
    <w:rsid w:val="0087234E"/>
    <w:rsid w:val="008724B3"/>
    <w:rsid w:val="0087261F"/>
    <w:rsid w:val="008729B4"/>
    <w:rsid w:val="00872AB8"/>
    <w:rsid w:val="00872B57"/>
    <w:rsid w:val="00872B82"/>
    <w:rsid w:val="00872E00"/>
    <w:rsid w:val="00872F56"/>
    <w:rsid w:val="0087387A"/>
    <w:rsid w:val="008739BA"/>
    <w:rsid w:val="00874369"/>
    <w:rsid w:val="00874542"/>
    <w:rsid w:val="008746EF"/>
    <w:rsid w:val="0087471E"/>
    <w:rsid w:val="00874AD7"/>
    <w:rsid w:val="00874B8A"/>
    <w:rsid w:val="0087550B"/>
    <w:rsid w:val="008759B4"/>
    <w:rsid w:val="00875A82"/>
    <w:rsid w:val="00875C4F"/>
    <w:rsid w:val="00876701"/>
    <w:rsid w:val="008779E8"/>
    <w:rsid w:val="00877A99"/>
    <w:rsid w:val="0088044C"/>
    <w:rsid w:val="00880A7C"/>
    <w:rsid w:val="00880DC5"/>
    <w:rsid w:val="008814C0"/>
    <w:rsid w:val="00881778"/>
    <w:rsid w:val="008821B4"/>
    <w:rsid w:val="008829DD"/>
    <w:rsid w:val="00882DB2"/>
    <w:rsid w:val="00883788"/>
    <w:rsid w:val="00884230"/>
    <w:rsid w:val="00884529"/>
    <w:rsid w:val="008846B7"/>
    <w:rsid w:val="00884CBE"/>
    <w:rsid w:val="00885134"/>
    <w:rsid w:val="0088587D"/>
    <w:rsid w:val="0088674F"/>
    <w:rsid w:val="0088696A"/>
    <w:rsid w:val="00886976"/>
    <w:rsid w:val="00886ABF"/>
    <w:rsid w:val="00886AF8"/>
    <w:rsid w:val="00886FDE"/>
    <w:rsid w:val="008870DC"/>
    <w:rsid w:val="00890AC6"/>
    <w:rsid w:val="00890B96"/>
    <w:rsid w:val="008911C9"/>
    <w:rsid w:val="0089178F"/>
    <w:rsid w:val="00891941"/>
    <w:rsid w:val="008925F2"/>
    <w:rsid w:val="00892A4C"/>
    <w:rsid w:val="0089339B"/>
    <w:rsid w:val="008934E4"/>
    <w:rsid w:val="008937D4"/>
    <w:rsid w:val="00893843"/>
    <w:rsid w:val="00893E37"/>
    <w:rsid w:val="0089412A"/>
    <w:rsid w:val="00894FCF"/>
    <w:rsid w:val="0089510A"/>
    <w:rsid w:val="008951DB"/>
    <w:rsid w:val="0089574F"/>
    <w:rsid w:val="00895C3E"/>
    <w:rsid w:val="008968C3"/>
    <w:rsid w:val="00896953"/>
    <w:rsid w:val="00896964"/>
    <w:rsid w:val="00897F08"/>
    <w:rsid w:val="008A006B"/>
    <w:rsid w:val="008A041D"/>
    <w:rsid w:val="008A048F"/>
    <w:rsid w:val="008A0A61"/>
    <w:rsid w:val="008A0AAD"/>
    <w:rsid w:val="008A0FA5"/>
    <w:rsid w:val="008A13DA"/>
    <w:rsid w:val="008A1741"/>
    <w:rsid w:val="008A1787"/>
    <w:rsid w:val="008A17CF"/>
    <w:rsid w:val="008A186E"/>
    <w:rsid w:val="008A1C9C"/>
    <w:rsid w:val="008A2227"/>
    <w:rsid w:val="008A3306"/>
    <w:rsid w:val="008A35BE"/>
    <w:rsid w:val="008A3E35"/>
    <w:rsid w:val="008A422B"/>
    <w:rsid w:val="008A4314"/>
    <w:rsid w:val="008A4A08"/>
    <w:rsid w:val="008A4CBC"/>
    <w:rsid w:val="008A4D3B"/>
    <w:rsid w:val="008A4EDC"/>
    <w:rsid w:val="008A53C7"/>
    <w:rsid w:val="008A56EF"/>
    <w:rsid w:val="008A5742"/>
    <w:rsid w:val="008A5B5A"/>
    <w:rsid w:val="008A66BA"/>
    <w:rsid w:val="008A7636"/>
    <w:rsid w:val="008B0390"/>
    <w:rsid w:val="008B090A"/>
    <w:rsid w:val="008B0E65"/>
    <w:rsid w:val="008B1203"/>
    <w:rsid w:val="008B13FC"/>
    <w:rsid w:val="008B1EDE"/>
    <w:rsid w:val="008B225E"/>
    <w:rsid w:val="008B246D"/>
    <w:rsid w:val="008B24D5"/>
    <w:rsid w:val="008B2824"/>
    <w:rsid w:val="008B296E"/>
    <w:rsid w:val="008B31F7"/>
    <w:rsid w:val="008B329B"/>
    <w:rsid w:val="008B3BB8"/>
    <w:rsid w:val="008B4018"/>
    <w:rsid w:val="008B4129"/>
    <w:rsid w:val="008B453E"/>
    <w:rsid w:val="008B4636"/>
    <w:rsid w:val="008B4E82"/>
    <w:rsid w:val="008B501D"/>
    <w:rsid w:val="008B5252"/>
    <w:rsid w:val="008B533D"/>
    <w:rsid w:val="008B56E4"/>
    <w:rsid w:val="008B5B51"/>
    <w:rsid w:val="008B5CCB"/>
    <w:rsid w:val="008B5EE7"/>
    <w:rsid w:val="008B6101"/>
    <w:rsid w:val="008B6643"/>
    <w:rsid w:val="008B6E3F"/>
    <w:rsid w:val="008B6E9E"/>
    <w:rsid w:val="008B6F75"/>
    <w:rsid w:val="008B73FF"/>
    <w:rsid w:val="008B7B7E"/>
    <w:rsid w:val="008C0510"/>
    <w:rsid w:val="008C0D86"/>
    <w:rsid w:val="008C0EF0"/>
    <w:rsid w:val="008C12BB"/>
    <w:rsid w:val="008C1478"/>
    <w:rsid w:val="008C1593"/>
    <w:rsid w:val="008C1A62"/>
    <w:rsid w:val="008C1E7C"/>
    <w:rsid w:val="008C1F16"/>
    <w:rsid w:val="008C2953"/>
    <w:rsid w:val="008C2AD7"/>
    <w:rsid w:val="008C2AF7"/>
    <w:rsid w:val="008C2E10"/>
    <w:rsid w:val="008C306A"/>
    <w:rsid w:val="008C3E72"/>
    <w:rsid w:val="008C40CB"/>
    <w:rsid w:val="008C45D3"/>
    <w:rsid w:val="008C4A90"/>
    <w:rsid w:val="008C595A"/>
    <w:rsid w:val="008C5B4F"/>
    <w:rsid w:val="008C6C40"/>
    <w:rsid w:val="008C6F71"/>
    <w:rsid w:val="008C70B9"/>
    <w:rsid w:val="008C781D"/>
    <w:rsid w:val="008C7AED"/>
    <w:rsid w:val="008C7CD9"/>
    <w:rsid w:val="008C7D29"/>
    <w:rsid w:val="008C7D33"/>
    <w:rsid w:val="008C7F40"/>
    <w:rsid w:val="008D0724"/>
    <w:rsid w:val="008D0890"/>
    <w:rsid w:val="008D0919"/>
    <w:rsid w:val="008D0A49"/>
    <w:rsid w:val="008D0ED5"/>
    <w:rsid w:val="008D10AD"/>
    <w:rsid w:val="008D16E6"/>
    <w:rsid w:val="008D185A"/>
    <w:rsid w:val="008D232F"/>
    <w:rsid w:val="008D28E0"/>
    <w:rsid w:val="008D2A2A"/>
    <w:rsid w:val="008D2C2A"/>
    <w:rsid w:val="008D2D91"/>
    <w:rsid w:val="008D2DFE"/>
    <w:rsid w:val="008D30FA"/>
    <w:rsid w:val="008D3629"/>
    <w:rsid w:val="008D38AD"/>
    <w:rsid w:val="008D3CE0"/>
    <w:rsid w:val="008D3D37"/>
    <w:rsid w:val="008D3D95"/>
    <w:rsid w:val="008D3EDA"/>
    <w:rsid w:val="008D4389"/>
    <w:rsid w:val="008D450E"/>
    <w:rsid w:val="008D4978"/>
    <w:rsid w:val="008D4C26"/>
    <w:rsid w:val="008D4D5A"/>
    <w:rsid w:val="008D4E29"/>
    <w:rsid w:val="008D514D"/>
    <w:rsid w:val="008D5A19"/>
    <w:rsid w:val="008D643F"/>
    <w:rsid w:val="008D697F"/>
    <w:rsid w:val="008D6A4B"/>
    <w:rsid w:val="008D6ADB"/>
    <w:rsid w:val="008D72BC"/>
    <w:rsid w:val="008D7E25"/>
    <w:rsid w:val="008D7E59"/>
    <w:rsid w:val="008D7F94"/>
    <w:rsid w:val="008D7FDA"/>
    <w:rsid w:val="008E003E"/>
    <w:rsid w:val="008E063F"/>
    <w:rsid w:val="008E075B"/>
    <w:rsid w:val="008E0CB3"/>
    <w:rsid w:val="008E1056"/>
    <w:rsid w:val="008E1320"/>
    <w:rsid w:val="008E14EE"/>
    <w:rsid w:val="008E16CB"/>
    <w:rsid w:val="008E1ED3"/>
    <w:rsid w:val="008E2164"/>
    <w:rsid w:val="008E2712"/>
    <w:rsid w:val="008E290D"/>
    <w:rsid w:val="008E2B90"/>
    <w:rsid w:val="008E310B"/>
    <w:rsid w:val="008E34F0"/>
    <w:rsid w:val="008E36DD"/>
    <w:rsid w:val="008E43B0"/>
    <w:rsid w:val="008E45C9"/>
    <w:rsid w:val="008E4BFD"/>
    <w:rsid w:val="008E4C93"/>
    <w:rsid w:val="008E545C"/>
    <w:rsid w:val="008E586A"/>
    <w:rsid w:val="008E599A"/>
    <w:rsid w:val="008E5B82"/>
    <w:rsid w:val="008E5E5A"/>
    <w:rsid w:val="008E604D"/>
    <w:rsid w:val="008E7353"/>
    <w:rsid w:val="008E747B"/>
    <w:rsid w:val="008E7BE4"/>
    <w:rsid w:val="008E7FBB"/>
    <w:rsid w:val="008F0711"/>
    <w:rsid w:val="008F0859"/>
    <w:rsid w:val="008F1128"/>
    <w:rsid w:val="008F11B9"/>
    <w:rsid w:val="008F1349"/>
    <w:rsid w:val="008F166D"/>
    <w:rsid w:val="008F1971"/>
    <w:rsid w:val="008F1A49"/>
    <w:rsid w:val="008F1E7F"/>
    <w:rsid w:val="008F24BE"/>
    <w:rsid w:val="008F33FD"/>
    <w:rsid w:val="008F3406"/>
    <w:rsid w:val="008F385C"/>
    <w:rsid w:val="008F3C45"/>
    <w:rsid w:val="008F4173"/>
    <w:rsid w:val="008F49DB"/>
    <w:rsid w:val="008F5990"/>
    <w:rsid w:val="008F5C05"/>
    <w:rsid w:val="008F6A73"/>
    <w:rsid w:val="008F72FE"/>
    <w:rsid w:val="008F754C"/>
    <w:rsid w:val="008F7DD5"/>
    <w:rsid w:val="009000E8"/>
    <w:rsid w:val="00900328"/>
    <w:rsid w:val="0090088D"/>
    <w:rsid w:val="00900ABC"/>
    <w:rsid w:val="009010E1"/>
    <w:rsid w:val="009011FD"/>
    <w:rsid w:val="00901480"/>
    <w:rsid w:val="00901930"/>
    <w:rsid w:val="00901AF5"/>
    <w:rsid w:val="00901DF7"/>
    <w:rsid w:val="00901F5D"/>
    <w:rsid w:val="00902448"/>
    <w:rsid w:val="0090293B"/>
    <w:rsid w:val="00902B0C"/>
    <w:rsid w:val="00902FED"/>
    <w:rsid w:val="009032E2"/>
    <w:rsid w:val="00903542"/>
    <w:rsid w:val="009036BD"/>
    <w:rsid w:val="009036E7"/>
    <w:rsid w:val="009038EC"/>
    <w:rsid w:val="00903B94"/>
    <w:rsid w:val="00903BBF"/>
    <w:rsid w:val="009040F1"/>
    <w:rsid w:val="009040F8"/>
    <w:rsid w:val="0090448D"/>
    <w:rsid w:val="00904B21"/>
    <w:rsid w:val="00904D06"/>
    <w:rsid w:val="00904F55"/>
    <w:rsid w:val="0090564C"/>
    <w:rsid w:val="0090568A"/>
    <w:rsid w:val="009056D6"/>
    <w:rsid w:val="00906F62"/>
    <w:rsid w:val="009070F1"/>
    <w:rsid w:val="009071F6"/>
    <w:rsid w:val="00907A67"/>
    <w:rsid w:val="00907DFA"/>
    <w:rsid w:val="00907E2B"/>
    <w:rsid w:val="009100C6"/>
    <w:rsid w:val="00910324"/>
    <w:rsid w:val="0091086D"/>
    <w:rsid w:val="00912356"/>
    <w:rsid w:val="009124B9"/>
    <w:rsid w:val="009141BC"/>
    <w:rsid w:val="009141CA"/>
    <w:rsid w:val="0091423C"/>
    <w:rsid w:val="009142B8"/>
    <w:rsid w:val="00914FD3"/>
    <w:rsid w:val="0091522D"/>
    <w:rsid w:val="009158C9"/>
    <w:rsid w:val="0091593C"/>
    <w:rsid w:val="009159ED"/>
    <w:rsid w:val="00915D0F"/>
    <w:rsid w:val="00915D6A"/>
    <w:rsid w:val="00916099"/>
    <w:rsid w:val="00916867"/>
    <w:rsid w:val="00916B09"/>
    <w:rsid w:val="00916EDD"/>
    <w:rsid w:val="009177C6"/>
    <w:rsid w:val="00917DB8"/>
    <w:rsid w:val="00920474"/>
    <w:rsid w:val="00920724"/>
    <w:rsid w:val="00920C11"/>
    <w:rsid w:val="00921D05"/>
    <w:rsid w:val="00922308"/>
    <w:rsid w:val="00922591"/>
    <w:rsid w:val="00922A9E"/>
    <w:rsid w:val="00923372"/>
    <w:rsid w:val="00924512"/>
    <w:rsid w:val="00924CF2"/>
    <w:rsid w:val="0092504F"/>
    <w:rsid w:val="00925556"/>
    <w:rsid w:val="00925B8C"/>
    <w:rsid w:val="009260A9"/>
    <w:rsid w:val="00926E48"/>
    <w:rsid w:val="0092720D"/>
    <w:rsid w:val="009278A8"/>
    <w:rsid w:val="00927A8E"/>
    <w:rsid w:val="00927CB3"/>
    <w:rsid w:val="00927E73"/>
    <w:rsid w:val="00930681"/>
    <w:rsid w:val="009306B8"/>
    <w:rsid w:val="00930BE7"/>
    <w:rsid w:val="00930EDA"/>
    <w:rsid w:val="00931175"/>
    <w:rsid w:val="00931862"/>
    <w:rsid w:val="009324CB"/>
    <w:rsid w:val="0093273F"/>
    <w:rsid w:val="00932C9E"/>
    <w:rsid w:val="009334EA"/>
    <w:rsid w:val="00933C51"/>
    <w:rsid w:val="00933D40"/>
    <w:rsid w:val="00933DEF"/>
    <w:rsid w:val="00933ED6"/>
    <w:rsid w:val="009340C3"/>
    <w:rsid w:val="00934B6B"/>
    <w:rsid w:val="00934D80"/>
    <w:rsid w:val="00934F02"/>
    <w:rsid w:val="00935150"/>
    <w:rsid w:val="0093534A"/>
    <w:rsid w:val="009356B4"/>
    <w:rsid w:val="00935824"/>
    <w:rsid w:val="009359E8"/>
    <w:rsid w:val="00935C85"/>
    <w:rsid w:val="00935FDA"/>
    <w:rsid w:val="00936171"/>
    <w:rsid w:val="00936312"/>
    <w:rsid w:val="00936455"/>
    <w:rsid w:val="00936690"/>
    <w:rsid w:val="009369BE"/>
    <w:rsid w:val="00936A43"/>
    <w:rsid w:val="00936D7B"/>
    <w:rsid w:val="0093771C"/>
    <w:rsid w:val="00937A7D"/>
    <w:rsid w:val="00937BE5"/>
    <w:rsid w:val="00940518"/>
    <w:rsid w:val="00940798"/>
    <w:rsid w:val="00940D02"/>
    <w:rsid w:val="009413FD"/>
    <w:rsid w:val="00941626"/>
    <w:rsid w:val="0094206F"/>
    <w:rsid w:val="009420AE"/>
    <w:rsid w:val="00942C0D"/>
    <w:rsid w:val="00942ED6"/>
    <w:rsid w:val="009449E1"/>
    <w:rsid w:val="00944B42"/>
    <w:rsid w:val="00944D70"/>
    <w:rsid w:val="00945DC6"/>
    <w:rsid w:val="009462CC"/>
    <w:rsid w:val="00946712"/>
    <w:rsid w:val="00946736"/>
    <w:rsid w:val="00946AE4"/>
    <w:rsid w:val="00946ECF"/>
    <w:rsid w:val="009476C9"/>
    <w:rsid w:val="00947B65"/>
    <w:rsid w:val="00947C51"/>
    <w:rsid w:val="00950681"/>
    <w:rsid w:val="00950D52"/>
    <w:rsid w:val="009520BD"/>
    <w:rsid w:val="00952283"/>
    <w:rsid w:val="00952CCC"/>
    <w:rsid w:val="009536AA"/>
    <w:rsid w:val="009538C2"/>
    <w:rsid w:val="00954542"/>
    <w:rsid w:val="009548A4"/>
    <w:rsid w:val="0095608B"/>
    <w:rsid w:val="009570BB"/>
    <w:rsid w:val="0095756B"/>
    <w:rsid w:val="00957BCE"/>
    <w:rsid w:val="00960598"/>
    <w:rsid w:val="009610CF"/>
    <w:rsid w:val="00961139"/>
    <w:rsid w:val="00961326"/>
    <w:rsid w:val="00961731"/>
    <w:rsid w:val="009623CB"/>
    <w:rsid w:val="00962841"/>
    <w:rsid w:val="00962BD3"/>
    <w:rsid w:val="00962DC5"/>
    <w:rsid w:val="00962FDB"/>
    <w:rsid w:val="0096348E"/>
    <w:rsid w:val="009635C5"/>
    <w:rsid w:val="00963D9C"/>
    <w:rsid w:val="0096451D"/>
    <w:rsid w:val="009645F0"/>
    <w:rsid w:val="00964C7B"/>
    <w:rsid w:val="00964EA1"/>
    <w:rsid w:val="00966891"/>
    <w:rsid w:val="00970C53"/>
    <w:rsid w:val="00970F89"/>
    <w:rsid w:val="009710D1"/>
    <w:rsid w:val="0097158C"/>
    <w:rsid w:val="00972552"/>
    <w:rsid w:val="00973434"/>
    <w:rsid w:val="0097455E"/>
    <w:rsid w:val="00974651"/>
    <w:rsid w:val="00974BBA"/>
    <w:rsid w:val="00974E23"/>
    <w:rsid w:val="00974FB0"/>
    <w:rsid w:val="00975433"/>
    <w:rsid w:val="0097574D"/>
    <w:rsid w:val="00975B0F"/>
    <w:rsid w:val="00975FA8"/>
    <w:rsid w:val="009763AC"/>
    <w:rsid w:val="00976A2A"/>
    <w:rsid w:val="00976B49"/>
    <w:rsid w:val="00976C08"/>
    <w:rsid w:val="00976FC5"/>
    <w:rsid w:val="0097723E"/>
    <w:rsid w:val="00977259"/>
    <w:rsid w:val="00977350"/>
    <w:rsid w:val="009775E4"/>
    <w:rsid w:val="00977D98"/>
    <w:rsid w:val="00980490"/>
    <w:rsid w:val="00980A92"/>
    <w:rsid w:val="00980CDB"/>
    <w:rsid w:val="00980E0D"/>
    <w:rsid w:val="0098168B"/>
    <w:rsid w:val="009817D8"/>
    <w:rsid w:val="00981C18"/>
    <w:rsid w:val="00981FC1"/>
    <w:rsid w:val="00983093"/>
    <w:rsid w:val="00983141"/>
    <w:rsid w:val="00983559"/>
    <w:rsid w:val="0098393A"/>
    <w:rsid w:val="00985276"/>
    <w:rsid w:val="009854C9"/>
    <w:rsid w:val="0098565A"/>
    <w:rsid w:val="0098592A"/>
    <w:rsid w:val="0098623A"/>
    <w:rsid w:val="0098683F"/>
    <w:rsid w:val="00987D5B"/>
    <w:rsid w:val="0099018B"/>
    <w:rsid w:val="00990341"/>
    <w:rsid w:val="00990A84"/>
    <w:rsid w:val="00991459"/>
    <w:rsid w:val="00991CC4"/>
    <w:rsid w:val="00991FBB"/>
    <w:rsid w:val="00991FCA"/>
    <w:rsid w:val="009934C6"/>
    <w:rsid w:val="00993E3D"/>
    <w:rsid w:val="0099450B"/>
    <w:rsid w:val="00994C86"/>
    <w:rsid w:val="00995034"/>
    <w:rsid w:val="00995177"/>
    <w:rsid w:val="009953DA"/>
    <w:rsid w:val="00995699"/>
    <w:rsid w:val="00995957"/>
    <w:rsid w:val="00995A04"/>
    <w:rsid w:val="009966C3"/>
    <w:rsid w:val="00997E38"/>
    <w:rsid w:val="00997EF0"/>
    <w:rsid w:val="009A0440"/>
    <w:rsid w:val="009A1429"/>
    <w:rsid w:val="009A14E8"/>
    <w:rsid w:val="009A1553"/>
    <w:rsid w:val="009A1E65"/>
    <w:rsid w:val="009A28F8"/>
    <w:rsid w:val="009A2AC4"/>
    <w:rsid w:val="009A2D2A"/>
    <w:rsid w:val="009A2D33"/>
    <w:rsid w:val="009A2DCD"/>
    <w:rsid w:val="009A2FEB"/>
    <w:rsid w:val="009A347B"/>
    <w:rsid w:val="009A3A70"/>
    <w:rsid w:val="009A4AC0"/>
    <w:rsid w:val="009A4DD2"/>
    <w:rsid w:val="009A4F3A"/>
    <w:rsid w:val="009A4FA8"/>
    <w:rsid w:val="009A56DC"/>
    <w:rsid w:val="009A59A0"/>
    <w:rsid w:val="009A5FC0"/>
    <w:rsid w:val="009A632F"/>
    <w:rsid w:val="009A6BA8"/>
    <w:rsid w:val="009A710C"/>
    <w:rsid w:val="009A7246"/>
    <w:rsid w:val="009A76CF"/>
    <w:rsid w:val="009A798A"/>
    <w:rsid w:val="009A7A19"/>
    <w:rsid w:val="009A7D40"/>
    <w:rsid w:val="009B0FF5"/>
    <w:rsid w:val="009B1187"/>
    <w:rsid w:val="009B123B"/>
    <w:rsid w:val="009B1907"/>
    <w:rsid w:val="009B19F2"/>
    <w:rsid w:val="009B1B98"/>
    <w:rsid w:val="009B1ECF"/>
    <w:rsid w:val="009B1EDA"/>
    <w:rsid w:val="009B2566"/>
    <w:rsid w:val="009B26C9"/>
    <w:rsid w:val="009B26CA"/>
    <w:rsid w:val="009B2B5D"/>
    <w:rsid w:val="009B2D1B"/>
    <w:rsid w:val="009B2D9E"/>
    <w:rsid w:val="009B2DED"/>
    <w:rsid w:val="009B2FF9"/>
    <w:rsid w:val="009B3341"/>
    <w:rsid w:val="009B39C5"/>
    <w:rsid w:val="009B3F2A"/>
    <w:rsid w:val="009B4BCD"/>
    <w:rsid w:val="009B506B"/>
    <w:rsid w:val="009B51A0"/>
    <w:rsid w:val="009B55E5"/>
    <w:rsid w:val="009B56A0"/>
    <w:rsid w:val="009B576C"/>
    <w:rsid w:val="009B5BA8"/>
    <w:rsid w:val="009B5D36"/>
    <w:rsid w:val="009B5DE9"/>
    <w:rsid w:val="009B6265"/>
    <w:rsid w:val="009B6BF7"/>
    <w:rsid w:val="009B7051"/>
    <w:rsid w:val="009B7226"/>
    <w:rsid w:val="009B7C8C"/>
    <w:rsid w:val="009C1351"/>
    <w:rsid w:val="009C14D7"/>
    <w:rsid w:val="009C1639"/>
    <w:rsid w:val="009C1CC7"/>
    <w:rsid w:val="009C2322"/>
    <w:rsid w:val="009C266C"/>
    <w:rsid w:val="009C2A2E"/>
    <w:rsid w:val="009C2AFC"/>
    <w:rsid w:val="009C2DF9"/>
    <w:rsid w:val="009C41BD"/>
    <w:rsid w:val="009C4285"/>
    <w:rsid w:val="009C4655"/>
    <w:rsid w:val="009C485A"/>
    <w:rsid w:val="009C4C75"/>
    <w:rsid w:val="009C4ED8"/>
    <w:rsid w:val="009C5876"/>
    <w:rsid w:val="009C6645"/>
    <w:rsid w:val="009C6710"/>
    <w:rsid w:val="009C72E9"/>
    <w:rsid w:val="009C738F"/>
    <w:rsid w:val="009D092E"/>
    <w:rsid w:val="009D0F88"/>
    <w:rsid w:val="009D1311"/>
    <w:rsid w:val="009D1464"/>
    <w:rsid w:val="009D153A"/>
    <w:rsid w:val="009D1835"/>
    <w:rsid w:val="009D185C"/>
    <w:rsid w:val="009D19F9"/>
    <w:rsid w:val="009D2155"/>
    <w:rsid w:val="009D21E7"/>
    <w:rsid w:val="009D26BB"/>
    <w:rsid w:val="009D29C5"/>
    <w:rsid w:val="009D2A6C"/>
    <w:rsid w:val="009D2BDD"/>
    <w:rsid w:val="009D2E0A"/>
    <w:rsid w:val="009D2E19"/>
    <w:rsid w:val="009D335E"/>
    <w:rsid w:val="009D354D"/>
    <w:rsid w:val="009D3587"/>
    <w:rsid w:val="009D3843"/>
    <w:rsid w:val="009D3AC9"/>
    <w:rsid w:val="009D3B10"/>
    <w:rsid w:val="009D42FE"/>
    <w:rsid w:val="009D445F"/>
    <w:rsid w:val="009D48A0"/>
    <w:rsid w:val="009D4E25"/>
    <w:rsid w:val="009D4F12"/>
    <w:rsid w:val="009D5453"/>
    <w:rsid w:val="009D5636"/>
    <w:rsid w:val="009D5EAB"/>
    <w:rsid w:val="009D7152"/>
    <w:rsid w:val="009D7466"/>
    <w:rsid w:val="009D76EF"/>
    <w:rsid w:val="009D773F"/>
    <w:rsid w:val="009D78DB"/>
    <w:rsid w:val="009E04F9"/>
    <w:rsid w:val="009E08C0"/>
    <w:rsid w:val="009E0EC6"/>
    <w:rsid w:val="009E10DA"/>
    <w:rsid w:val="009E1BCF"/>
    <w:rsid w:val="009E1CD5"/>
    <w:rsid w:val="009E1F89"/>
    <w:rsid w:val="009E2542"/>
    <w:rsid w:val="009E25CD"/>
    <w:rsid w:val="009E2B03"/>
    <w:rsid w:val="009E30F6"/>
    <w:rsid w:val="009E33F1"/>
    <w:rsid w:val="009E34DD"/>
    <w:rsid w:val="009E3878"/>
    <w:rsid w:val="009E3C3B"/>
    <w:rsid w:val="009E5089"/>
    <w:rsid w:val="009E5142"/>
    <w:rsid w:val="009E5415"/>
    <w:rsid w:val="009E5837"/>
    <w:rsid w:val="009E5873"/>
    <w:rsid w:val="009E5C08"/>
    <w:rsid w:val="009E5E49"/>
    <w:rsid w:val="009E64E5"/>
    <w:rsid w:val="009E69CF"/>
    <w:rsid w:val="009E6F68"/>
    <w:rsid w:val="009E7419"/>
    <w:rsid w:val="009E7BC2"/>
    <w:rsid w:val="009E7D09"/>
    <w:rsid w:val="009E7E61"/>
    <w:rsid w:val="009F03A3"/>
    <w:rsid w:val="009F0AE5"/>
    <w:rsid w:val="009F1402"/>
    <w:rsid w:val="009F1544"/>
    <w:rsid w:val="009F176D"/>
    <w:rsid w:val="009F1995"/>
    <w:rsid w:val="009F22A1"/>
    <w:rsid w:val="009F260B"/>
    <w:rsid w:val="009F285B"/>
    <w:rsid w:val="009F2A3F"/>
    <w:rsid w:val="009F2FC9"/>
    <w:rsid w:val="009F3097"/>
    <w:rsid w:val="009F37C1"/>
    <w:rsid w:val="009F37C2"/>
    <w:rsid w:val="009F436D"/>
    <w:rsid w:val="009F4837"/>
    <w:rsid w:val="009F507B"/>
    <w:rsid w:val="009F56B1"/>
    <w:rsid w:val="009F62A9"/>
    <w:rsid w:val="009F636B"/>
    <w:rsid w:val="009F6884"/>
    <w:rsid w:val="009F6939"/>
    <w:rsid w:val="009F7546"/>
    <w:rsid w:val="009F75C7"/>
    <w:rsid w:val="009F792A"/>
    <w:rsid w:val="009F7984"/>
    <w:rsid w:val="009F7C64"/>
    <w:rsid w:val="00A0007E"/>
    <w:rsid w:val="00A000B7"/>
    <w:rsid w:val="00A00134"/>
    <w:rsid w:val="00A00666"/>
    <w:rsid w:val="00A007A6"/>
    <w:rsid w:val="00A00A41"/>
    <w:rsid w:val="00A00EBD"/>
    <w:rsid w:val="00A0163F"/>
    <w:rsid w:val="00A016CC"/>
    <w:rsid w:val="00A02124"/>
    <w:rsid w:val="00A02624"/>
    <w:rsid w:val="00A0262C"/>
    <w:rsid w:val="00A0265C"/>
    <w:rsid w:val="00A02718"/>
    <w:rsid w:val="00A02BB4"/>
    <w:rsid w:val="00A02D64"/>
    <w:rsid w:val="00A02F5C"/>
    <w:rsid w:val="00A0333C"/>
    <w:rsid w:val="00A033C7"/>
    <w:rsid w:val="00A03839"/>
    <w:rsid w:val="00A03AD1"/>
    <w:rsid w:val="00A03DE1"/>
    <w:rsid w:val="00A04132"/>
    <w:rsid w:val="00A0452C"/>
    <w:rsid w:val="00A0475B"/>
    <w:rsid w:val="00A048B7"/>
    <w:rsid w:val="00A05BB4"/>
    <w:rsid w:val="00A06BB8"/>
    <w:rsid w:val="00A101F2"/>
    <w:rsid w:val="00A10932"/>
    <w:rsid w:val="00A126E5"/>
    <w:rsid w:val="00A13108"/>
    <w:rsid w:val="00A13133"/>
    <w:rsid w:val="00A134C1"/>
    <w:rsid w:val="00A1370E"/>
    <w:rsid w:val="00A1385E"/>
    <w:rsid w:val="00A14258"/>
    <w:rsid w:val="00A146BB"/>
    <w:rsid w:val="00A147FF"/>
    <w:rsid w:val="00A1550A"/>
    <w:rsid w:val="00A15807"/>
    <w:rsid w:val="00A15887"/>
    <w:rsid w:val="00A15D9E"/>
    <w:rsid w:val="00A16DD0"/>
    <w:rsid w:val="00A17439"/>
    <w:rsid w:val="00A177A7"/>
    <w:rsid w:val="00A17880"/>
    <w:rsid w:val="00A17CFB"/>
    <w:rsid w:val="00A20704"/>
    <w:rsid w:val="00A21304"/>
    <w:rsid w:val="00A2137D"/>
    <w:rsid w:val="00A217CA"/>
    <w:rsid w:val="00A21825"/>
    <w:rsid w:val="00A21D6F"/>
    <w:rsid w:val="00A21EAE"/>
    <w:rsid w:val="00A2258B"/>
    <w:rsid w:val="00A22850"/>
    <w:rsid w:val="00A22E77"/>
    <w:rsid w:val="00A22E7D"/>
    <w:rsid w:val="00A2356D"/>
    <w:rsid w:val="00A23EA5"/>
    <w:rsid w:val="00A25048"/>
    <w:rsid w:val="00A25279"/>
    <w:rsid w:val="00A258A5"/>
    <w:rsid w:val="00A25ECF"/>
    <w:rsid w:val="00A25FA6"/>
    <w:rsid w:val="00A261C2"/>
    <w:rsid w:val="00A27458"/>
    <w:rsid w:val="00A27817"/>
    <w:rsid w:val="00A279D7"/>
    <w:rsid w:val="00A3003E"/>
    <w:rsid w:val="00A30E65"/>
    <w:rsid w:val="00A30FC5"/>
    <w:rsid w:val="00A313DC"/>
    <w:rsid w:val="00A314E2"/>
    <w:rsid w:val="00A31547"/>
    <w:rsid w:val="00A31A44"/>
    <w:rsid w:val="00A31ABE"/>
    <w:rsid w:val="00A334C0"/>
    <w:rsid w:val="00A33535"/>
    <w:rsid w:val="00A33988"/>
    <w:rsid w:val="00A33AB0"/>
    <w:rsid w:val="00A33E79"/>
    <w:rsid w:val="00A33FD7"/>
    <w:rsid w:val="00A342EB"/>
    <w:rsid w:val="00A3440B"/>
    <w:rsid w:val="00A344A8"/>
    <w:rsid w:val="00A3452B"/>
    <w:rsid w:val="00A346F0"/>
    <w:rsid w:val="00A3550B"/>
    <w:rsid w:val="00A3552B"/>
    <w:rsid w:val="00A36CCE"/>
    <w:rsid w:val="00A37091"/>
    <w:rsid w:val="00A37580"/>
    <w:rsid w:val="00A3794D"/>
    <w:rsid w:val="00A37A6F"/>
    <w:rsid w:val="00A37CA7"/>
    <w:rsid w:val="00A404B1"/>
    <w:rsid w:val="00A40541"/>
    <w:rsid w:val="00A40C98"/>
    <w:rsid w:val="00A40D82"/>
    <w:rsid w:val="00A40F24"/>
    <w:rsid w:val="00A4139E"/>
    <w:rsid w:val="00A4143A"/>
    <w:rsid w:val="00A41642"/>
    <w:rsid w:val="00A4212A"/>
    <w:rsid w:val="00A4226A"/>
    <w:rsid w:val="00A42332"/>
    <w:rsid w:val="00A423DF"/>
    <w:rsid w:val="00A428E2"/>
    <w:rsid w:val="00A4380A"/>
    <w:rsid w:val="00A45083"/>
    <w:rsid w:val="00A45912"/>
    <w:rsid w:val="00A45C72"/>
    <w:rsid w:val="00A46136"/>
    <w:rsid w:val="00A4652B"/>
    <w:rsid w:val="00A467BD"/>
    <w:rsid w:val="00A472A6"/>
    <w:rsid w:val="00A473EE"/>
    <w:rsid w:val="00A47881"/>
    <w:rsid w:val="00A478AC"/>
    <w:rsid w:val="00A500E5"/>
    <w:rsid w:val="00A50445"/>
    <w:rsid w:val="00A50AE0"/>
    <w:rsid w:val="00A510D9"/>
    <w:rsid w:val="00A51A5F"/>
    <w:rsid w:val="00A51B81"/>
    <w:rsid w:val="00A52B03"/>
    <w:rsid w:val="00A52C52"/>
    <w:rsid w:val="00A52C9A"/>
    <w:rsid w:val="00A53339"/>
    <w:rsid w:val="00A54075"/>
    <w:rsid w:val="00A5442D"/>
    <w:rsid w:val="00A54FFA"/>
    <w:rsid w:val="00A55262"/>
    <w:rsid w:val="00A55288"/>
    <w:rsid w:val="00A55525"/>
    <w:rsid w:val="00A558F9"/>
    <w:rsid w:val="00A55EF5"/>
    <w:rsid w:val="00A5612B"/>
    <w:rsid w:val="00A56A56"/>
    <w:rsid w:val="00A56B6C"/>
    <w:rsid w:val="00A56BB2"/>
    <w:rsid w:val="00A56E68"/>
    <w:rsid w:val="00A56E85"/>
    <w:rsid w:val="00A57218"/>
    <w:rsid w:val="00A57541"/>
    <w:rsid w:val="00A575D3"/>
    <w:rsid w:val="00A576A6"/>
    <w:rsid w:val="00A60529"/>
    <w:rsid w:val="00A605B7"/>
    <w:rsid w:val="00A60C7D"/>
    <w:rsid w:val="00A615F4"/>
    <w:rsid w:val="00A61631"/>
    <w:rsid w:val="00A61F9B"/>
    <w:rsid w:val="00A627B7"/>
    <w:rsid w:val="00A62C8F"/>
    <w:rsid w:val="00A62F8F"/>
    <w:rsid w:val="00A63057"/>
    <w:rsid w:val="00A63266"/>
    <w:rsid w:val="00A6348C"/>
    <w:rsid w:val="00A6370B"/>
    <w:rsid w:val="00A63DC9"/>
    <w:rsid w:val="00A652C1"/>
    <w:rsid w:val="00A65486"/>
    <w:rsid w:val="00A6566A"/>
    <w:rsid w:val="00A65B96"/>
    <w:rsid w:val="00A6645B"/>
    <w:rsid w:val="00A67202"/>
    <w:rsid w:val="00A6765F"/>
    <w:rsid w:val="00A676DA"/>
    <w:rsid w:val="00A6784D"/>
    <w:rsid w:val="00A70851"/>
    <w:rsid w:val="00A714C8"/>
    <w:rsid w:val="00A716C7"/>
    <w:rsid w:val="00A71AD6"/>
    <w:rsid w:val="00A722D4"/>
    <w:rsid w:val="00A725F1"/>
    <w:rsid w:val="00A72A1A"/>
    <w:rsid w:val="00A72C1C"/>
    <w:rsid w:val="00A7307A"/>
    <w:rsid w:val="00A73195"/>
    <w:rsid w:val="00A736BF"/>
    <w:rsid w:val="00A73A3C"/>
    <w:rsid w:val="00A74940"/>
    <w:rsid w:val="00A74A4B"/>
    <w:rsid w:val="00A74C56"/>
    <w:rsid w:val="00A74EEF"/>
    <w:rsid w:val="00A753F3"/>
    <w:rsid w:val="00A756BE"/>
    <w:rsid w:val="00A75881"/>
    <w:rsid w:val="00A76195"/>
    <w:rsid w:val="00A7670B"/>
    <w:rsid w:val="00A77334"/>
    <w:rsid w:val="00A77529"/>
    <w:rsid w:val="00A779D0"/>
    <w:rsid w:val="00A825B8"/>
    <w:rsid w:val="00A82817"/>
    <w:rsid w:val="00A82B3C"/>
    <w:rsid w:val="00A82BFB"/>
    <w:rsid w:val="00A82FF2"/>
    <w:rsid w:val="00A832B0"/>
    <w:rsid w:val="00A83686"/>
    <w:rsid w:val="00A83E0F"/>
    <w:rsid w:val="00A84089"/>
    <w:rsid w:val="00A84A25"/>
    <w:rsid w:val="00A84D42"/>
    <w:rsid w:val="00A852DB"/>
    <w:rsid w:val="00A853F7"/>
    <w:rsid w:val="00A85FC3"/>
    <w:rsid w:val="00A860BB"/>
    <w:rsid w:val="00A86243"/>
    <w:rsid w:val="00A864FC"/>
    <w:rsid w:val="00A865EA"/>
    <w:rsid w:val="00A866C8"/>
    <w:rsid w:val="00A866DA"/>
    <w:rsid w:val="00A872CC"/>
    <w:rsid w:val="00A873A1"/>
    <w:rsid w:val="00A87496"/>
    <w:rsid w:val="00A87AD1"/>
    <w:rsid w:val="00A87ADF"/>
    <w:rsid w:val="00A87BD2"/>
    <w:rsid w:val="00A87CD2"/>
    <w:rsid w:val="00A87FA7"/>
    <w:rsid w:val="00A90445"/>
    <w:rsid w:val="00A908F8"/>
    <w:rsid w:val="00A9094D"/>
    <w:rsid w:val="00A91529"/>
    <w:rsid w:val="00A91547"/>
    <w:rsid w:val="00A9191F"/>
    <w:rsid w:val="00A9194A"/>
    <w:rsid w:val="00A91B8C"/>
    <w:rsid w:val="00A91EDF"/>
    <w:rsid w:val="00A9235B"/>
    <w:rsid w:val="00A9256F"/>
    <w:rsid w:val="00A925F2"/>
    <w:rsid w:val="00A92613"/>
    <w:rsid w:val="00A9281C"/>
    <w:rsid w:val="00A92B54"/>
    <w:rsid w:val="00A9301E"/>
    <w:rsid w:val="00A937B5"/>
    <w:rsid w:val="00A93942"/>
    <w:rsid w:val="00A93CE2"/>
    <w:rsid w:val="00A94D1C"/>
    <w:rsid w:val="00A954CD"/>
    <w:rsid w:val="00A9569B"/>
    <w:rsid w:val="00A95AC5"/>
    <w:rsid w:val="00A95E06"/>
    <w:rsid w:val="00A95F50"/>
    <w:rsid w:val="00A9608A"/>
    <w:rsid w:val="00A96280"/>
    <w:rsid w:val="00A965CE"/>
    <w:rsid w:val="00A972E7"/>
    <w:rsid w:val="00A974E7"/>
    <w:rsid w:val="00AA00AB"/>
    <w:rsid w:val="00AA05D4"/>
    <w:rsid w:val="00AA0966"/>
    <w:rsid w:val="00AA0D4C"/>
    <w:rsid w:val="00AA0D7F"/>
    <w:rsid w:val="00AA1C33"/>
    <w:rsid w:val="00AA1DC1"/>
    <w:rsid w:val="00AA1F26"/>
    <w:rsid w:val="00AA25FC"/>
    <w:rsid w:val="00AA2A5B"/>
    <w:rsid w:val="00AA3006"/>
    <w:rsid w:val="00AA32A6"/>
    <w:rsid w:val="00AA342E"/>
    <w:rsid w:val="00AA3600"/>
    <w:rsid w:val="00AA3E17"/>
    <w:rsid w:val="00AA48B4"/>
    <w:rsid w:val="00AA4A1E"/>
    <w:rsid w:val="00AA4B06"/>
    <w:rsid w:val="00AA5199"/>
    <w:rsid w:val="00AA52EF"/>
    <w:rsid w:val="00AA5E45"/>
    <w:rsid w:val="00AA6222"/>
    <w:rsid w:val="00AA6F75"/>
    <w:rsid w:val="00AA79FF"/>
    <w:rsid w:val="00AA7DE8"/>
    <w:rsid w:val="00AB00F4"/>
    <w:rsid w:val="00AB0FA2"/>
    <w:rsid w:val="00AB129F"/>
    <w:rsid w:val="00AB12BB"/>
    <w:rsid w:val="00AB1623"/>
    <w:rsid w:val="00AB1AB5"/>
    <w:rsid w:val="00AB1E9D"/>
    <w:rsid w:val="00AB1FA8"/>
    <w:rsid w:val="00AB2175"/>
    <w:rsid w:val="00AB2252"/>
    <w:rsid w:val="00AB22AC"/>
    <w:rsid w:val="00AB2815"/>
    <w:rsid w:val="00AB2888"/>
    <w:rsid w:val="00AB2A27"/>
    <w:rsid w:val="00AB2D49"/>
    <w:rsid w:val="00AB352F"/>
    <w:rsid w:val="00AB4178"/>
    <w:rsid w:val="00AB44A1"/>
    <w:rsid w:val="00AB4F9A"/>
    <w:rsid w:val="00AB5043"/>
    <w:rsid w:val="00AB541B"/>
    <w:rsid w:val="00AB550D"/>
    <w:rsid w:val="00AB5C8D"/>
    <w:rsid w:val="00AB5DE9"/>
    <w:rsid w:val="00AB651C"/>
    <w:rsid w:val="00AB6597"/>
    <w:rsid w:val="00AB7220"/>
    <w:rsid w:val="00AB74AB"/>
    <w:rsid w:val="00AB7573"/>
    <w:rsid w:val="00AB77B5"/>
    <w:rsid w:val="00AC05A5"/>
    <w:rsid w:val="00AC06D0"/>
    <w:rsid w:val="00AC0CDD"/>
    <w:rsid w:val="00AC1298"/>
    <w:rsid w:val="00AC1329"/>
    <w:rsid w:val="00AC13BC"/>
    <w:rsid w:val="00AC1A3E"/>
    <w:rsid w:val="00AC237B"/>
    <w:rsid w:val="00AC2722"/>
    <w:rsid w:val="00AC3274"/>
    <w:rsid w:val="00AC344A"/>
    <w:rsid w:val="00AC401A"/>
    <w:rsid w:val="00AC434E"/>
    <w:rsid w:val="00AC438C"/>
    <w:rsid w:val="00AC616B"/>
    <w:rsid w:val="00AC7121"/>
    <w:rsid w:val="00AC7DC9"/>
    <w:rsid w:val="00AC7E7F"/>
    <w:rsid w:val="00AD0C82"/>
    <w:rsid w:val="00AD175D"/>
    <w:rsid w:val="00AD25A7"/>
    <w:rsid w:val="00AD2800"/>
    <w:rsid w:val="00AD2D35"/>
    <w:rsid w:val="00AD2E28"/>
    <w:rsid w:val="00AD2F3F"/>
    <w:rsid w:val="00AD3417"/>
    <w:rsid w:val="00AD3586"/>
    <w:rsid w:val="00AD3B22"/>
    <w:rsid w:val="00AD3C05"/>
    <w:rsid w:val="00AD3E59"/>
    <w:rsid w:val="00AD4194"/>
    <w:rsid w:val="00AD4953"/>
    <w:rsid w:val="00AD4DEE"/>
    <w:rsid w:val="00AD4FFC"/>
    <w:rsid w:val="00AD56A5"/>
    <w:rsid w:val="00AD5A70"/>
    <w:rsid w:val="00AD5CD5"/>
    <w:rsid w:val="00AD5E43"/>
    <w:rsid w:val="00AD6055"/>
    <w:rsid w:val="00AD6797"/>
    <w:rsid w:val="00AD6E59"/>
    <w:rsid w:val="00AD7488"/>
    <w:rsid w:val="00AD7623"/>
    <w:rsid w:val="00AD7A51"/>
    <w:rsid w:val="00AE009C"/>
    <w:rsid w:val="00AE033E"/>
    <w:rsid w:val="00AE07EB"/>
    <w:rsid w:val="00AE0C1D"/>
    <w:rsid w:val="00AE10B3"/>
    <w:rsid w:val="00AE11D1"/>
    <w:rsid w:val="00AE1289"/>
    <w:rsid w:val="00AE21D5"/>
    <w:rsid w:val="00AE226B"/>
    <w:rsid w:val="00AE2322"/>
    <w:rsid w:val="00AE23EF"/>
    <w:rsid w:val="00AE28AB"/>
    <w:rsid w:val="00AE2E8F"/>
    <w:rsid w:val="00AE38BC"/>
    <w:rsid w:val="00AE39DF"/>
    <w:rsid w:val="00AE408C"/>
    <w:rsid w:val="00AE413E"/>
    <w:rsid w:val="00AE4240"/>
    <w:rsid w:val="00AE4376"/>
    <w:rsid w:val="00AE5308"/>
    <w:rsid w:val="00AE543B"/>
    <w:rsid w:val="00AE5A45"/>
    <w:rsid w:val="00AE6D42"/>
    <w:rsid w:val="00AE6DDF"/>
    <w:rsid w:val="00AE6EB0"/>
    <w:rsid w:val="00AE73F6"/>
    <w:rsid w:val="00AE753C"/>
    <w:rsid w:val="00AE7C77"/>
    <w:rsid w:val="00AF0284"/>
    <w:rsid w:val="00AF0321"/>
    <w:rsid w:val="00AF0342"/>
    <w:rsid w:val="00AF0E48"/>
    <w:rsid w:val="00AF15FE"/>
    <w:rsid w:val="00AF176E"/>
    <w:rsid w:val="00AF1786"/>
    <w:rsid w:val="00AF1DDE"/>
    <w:rsid w:val="00AF236C"/>
    <w:rsid w:val="00AF242D"/>
    <w:rsid w:val="00AF2CAE"/>
    <w:rsid w:val="00AF319E"/>
    <w:rsid w:val="00AF33A3"/>
    <w:rsid w:val="00AF353C"/>
    <w:rsid w:val="00AF35D5"/>
    <w:rsid w:val="00AF39C2"/>
    <w:rsid w:val="00AF3D00"/>
    <w:rsid w:val="00AF428A"/>
    <w:rsid w:val="00AF43AA"/>
    <w:rsid w:val="00AF4CC5"/>
    <w:rsid w:val="00AF5028"/>
    <w:rsid w:val="00AF5233"/>
    <w:rsid w:val="00AF5350"/>
    <w:rsid w:val="00AF5372"/>
    <w:rsid w:val="00AF53A0"/>
    <w:rsid w:val="00AF53FB"/>
    <w:rsid w:val="00AF5405"/>
    <w:rsid w:val="00AF5593"/>
    <w:rsid w:val="00AF59B0"/>
    <w:rsid w:val="00AF59EC"/>
    <w:rsid w:val="00AF5C4F"/>
    <w:rsid w:val="00AF5CCE"/>
    <w:rsid w:val="00AF6006"/>
    <w:rsid w:val="00AF60B7"/>
    <w:rsid w:val="00AF6624"/>
    <w:rsid w:val="00AF6636"/>
    <w:rsid w:val="00AF67D7"/>
    <w:rsid w:val="00AF6967"/>
    <w:rsid w:val="00AF7017"/>
    <w:rsid w:val="00AF796D"/>
    <w:rsid w:val="00AF7A55"/>
    <w:rsid w:val="00AF7C56"/>
    <w:rsid w:val="00AF7D76"/>
    <w:rsid w:val="00B000F1"/>
    <w:rsid w:val="00B00987"/>
    <w:rsid w:val="00B00A09"/>
    <w:rsid w:val="00B01265"/>
    <w:rsid w:val="00B01A43"/>
    <w:rsid w:val="00B01D43"/>
    <w:rsid w:val="00B01EDB"/>
    <w:rsid w:val="00B020FE"/>
    <w:rsid w:val="00B02771"/>
    <w:rsid w:val="00B02B51"/>
    <w:rsid w:val="00B030D7"/>
    <w:rsid w:val="00B034E3"/>
    <w:rsid w:val="00B038D9"/>
    <w:rsid w:val="00B03E9E"/>
    <w:rsid w:val="00B0475B"/>
    <w:rsid w:val="00B049E0"/>
    <w:rsid w:val="00B04C47"/>
    <w:rsid w:val="00B0546D"/>
    <w:rsid w:val="00B059B1"/>
    <w:rsid w:val="00B05EE3"/>
    <w:rsid w:val="00B06847"/>
    <w:rsid w:val="00B069CA"/>
    <w:rsid w:val="00B06BF6"/>
    <w:rsid w:val="00B07519"/>
    <w:rsid w:val="00B07FC3"/>
    <w:rsid w:val="00B10322"/>
    <w:rsid w:val="00B10434"/>
    <w:rsid w:val="00B10459"/>
    <w:rsid w:val="00B10698"/>
    <w:rsid w:val="00B108E8"/>
    <w:rsid w:val="00B10AC0"/>
    <w:rsid w:val="00B11704"/>
    <w:rsid w:val="00B11734"/>
    <w:rsid w:val="00B11BF7"/>
    <w:rsid w:val="00B11EEB"/>
    <w:rsid w:val="00B1223D"/>
    <w:rsid w:val="00B1231E"/>
    <w:rsid w:val="00B12869"/>
    <w:rsid w:val="00B12E33"/>
    <w:rsid w:val="00B1368E"/>
    <w:rsid w:val="00B13732"/>
    <w:rsid w:val="00B138BD"/>
    <w:rsid w:val="00B13A07"/>
    <w:rsid w:val="00B13BA0"/>
    <w:rsid w:val="00B13D1A"/>
    <w:rsid w:val="00B13F24"/>
    <w:rsid w:val="00B13FED"/>
    <w:rsid w:val="00B14310"/>
    <w:rsid w:val="00B14400"/>
    <w:rsid w:val="00B156CE"/>
    <w:rsid w:val="00B15B35"/>
    <w:rsid w:val="00B15BBC"/>
    <w:rsid w:val="00B160EC"/>
    <w:rsid w:val="00B16464"/>
    <w:rsid w:val="00B1679D"/>
    <w:rsid w:val="00B167EA"/>
    <w:rsid w:val="00B16AF5"/>
    <w:rsid w:val="00B17A4C"/>
    <w:rsid w:val="00B17D76"/>
    <w:rsid w:val="00B203EE"/>
    <w:rsid w:val="00B205F3"/>
    <w:rsid w:val="00B2067B"/>
    <w:rsid w:val="00B20A0B"/>
    <w:rsid w:val="00B20C6C"/>
    <w:rsid w:val="00B21711"/>
    <w:rsid w:val="00B21DE7"/>
    <w:rsid w:val="00B21FDA"/>
    <w:rsid w:val="00B2219A"/>
    <w:rsid w:val="00B2222E"/>
    <w:rsid w:val="00B2303E"/>
    <w:rsid w:val="00B235A4"/>
    <w:rsid w:val="00B23A40"/>
    <w:rsid w:val="00B24151"/>
    <w:rsid w:val="00B242E3"/>
    <w:rsid w:val="00B24308"/>
    <w:rsid w:val="00B246A3"/>
    <w:rsid w:val="00B24D23"/>
    <w:rsid w:val="00B24D87"/>
    <w:rsid w:val="00B24E6F"/>
    <w:rsid w:val="00B2506E"/>
    <w:rsid w:val="00B2557D"/>
    <w:rsid w:val="00B2587C"/>
    <w:rsid w:val="00B259BC"/>
    <w:rsid w:val="00B25C94"/>
    <w:rsid w:val="00B25FF4"/>
    <w:rsid w:val="00B26574"/>
    <w:rsid w:val="00B265A1"/>
    <w:rsid w:val="00B2664F"/>
    <w:rsid w:val="00B26A2E"/>
    <w:rsid w:val="00B27415"/>
    <w:rsid w:val="00B27528"/>
    <w:rsid w:val="00B2777F"/>
    <w:rsid w:val="00B27985"/>
    <w:rsid w:val="00B27CC8"/>
    <w:rsid w:val="00B27D14"/>
    <w:rsid w:val="00B27EBA"/>
    <w:rsid w:val="00B3016D"/>
    <w:rsid w:val="00B304A3"/>
    <w:rsid w:val="00B30B15"/>
    <w:rsid w:val="00B30B8D"/>
    <w:rsid w:val="00B30CCB"/>
    <w:rsid w:val="00B30F8C"/>
    <w:rsid w:val="00B317AC"/>
    <w:rsid w:val="00B31865"/>
    <w:rsid w:val="00B32261"/>
    <w:rsid w:val="00B33193"/>
    <w:rsid w:val="00B3340E"/>
    <w:rsid w:val="00B3391C"/>
    <w:rsid w:val="00B341E3"/>
    <w:rsid w:val="00B34610"/>
    <w:rsid w:val="00B349FE"/>
    <w:rsid w:val="00B34A2D"/>
    <w:rsid w:val="00B34BBE"/>
    <w:rsid w:val="00B354C6"/>
    <w:rsid w:val="00B35664"/>
    <w:rsid w:val="00B356C5"/>
    <w:rsid w:val="00B35E14"/>
    <w:rsid w:val="00B35E52"/>
    <w:rsid w:val="00B35F54"/>
    <w:rsid w:val="00B3608A"/>
    <w:rsid w:val="00B3645A"/>
    <w:rsid w:val="00B367F2"/>
    <w:rsid w:val="00B3680B"/>
    <w:rsid w:val="00B36A4F"/>
    <w:rsid w:val="00B36EB5"/>
    <w:rsid w:val="00B37C01"/>
    <w:rsid w:val="00B37E39"/>
    <w:rsid w:val="00B40454"/>
    <w:rsid w:val="00B404E7"/>
    <w:rsid w:val="00B40CF0"/>
    <w:rsid w:val="00B40FEB"/>
    <w:rsid w:val="00B415D1"/>
    <w:rsid w:val="00B4169B"/>
    <w:rsid w:val="00B41DCB"/>
    <w:rsid w:val="00B422E6"/>
    <w:rsid w:val="00B429BA"/>
    <w:rsid w:val="00B42C7E"/>
    <w:rsid w:val="00B43D7A"/>
    <w:rsid w:val="00B43DBB"/>
    <w:rsid w:val="00B43E8C"/>
    <w:rsid w:val="00B43F34"/>
    <w:rsid w:val="00B4447B"/>
    <w:rsid w:val="00B4462B"/>
    <w:rsid w:val="00B4477A"/>
    <w:rsid w:val="00B44C9E"/>
    <w:rsid w:val="00B44D16"/>
    <w:rsid w:val="00B450CA"/>
    <w:rsid w:val="00B45106"/>
    <w:rsid w:val="00B456CF"/>
    <w:rsid w:val="00B4590A"/>
    <w:rsid w:val="00B45A28"/>
    <w:rsid w:val="00B46D26"/>
    <w:rsid w:val="00B46D34"/>
    <w:rsid w:val="00B46E86"/>
    <w:rsid w:val="00B4761C"/>
    <w:rsid w:val="00B47E41"/>
    <w:rsid w:val="00B47FFA"/>
    <w:rsid w:val="00B504E6"/>
    <w:rsid w:val="00B511DA"/>
    <w:rsid w:val="00B5165C"/>
    <w:rsid w:val="00B521CF"/>
    <w:rsid w:val="00B524EA"/>
    <w:rsid w:val="00B52700"/>
    <w:rsid w:val="00B52929"/>
    <w:rsid w:val="00B52A3E"/>
    <w:rsid w:val="00B53521"/>
    <w:rsid w:val="00B535E0"/>
    <w:rsid w:val="00B53DB1"/>
    <w:rsid w:val="00B53E49"/>
    <w:rsid w:val="00B53EB3"/>
    <w:rsid w:val="00B54013"/>
    <w:rsid w:val="00B54056"/>
    <w:rsid w:val="00B5424B"/>
    <w:rsid w:val="00B552A6"/>
    <w:rsid w:val="00B55412"/>
    <w:rsid w:val="00B55811"/>
    <w:rsid w:val="00B55B42"/>
    <w:rsid w:val="00B56076"/>
    <w:rsid w:val="00B56F37"/>
    <w:rsid w:val="00B574C8"/>
    <w:rsid w:val="00B576FE"/>
    <w:rsid w:val="00B57EC4"/>
    <w:rsid w:val="00B57FD9"/>
    <w:rsid w:val="00B60038"/>
    <w:rsid w:val="00B60AA9"/>
    <w:rsid w:val="00B60D21"/>
    <w:rsid w:val="00B60DB5"/>
    <w:rsid w:val="00B60ECF"/>
    <w:rsid w:val="00B611FF"/>
    <w:rsid w:val="00B61416"/>
    <w:rsid w:val="00B6174C"/>
    <w:rsid w:val="00B61809"/>
    <w:rsid w:val="00B6199F"/>
    <w:rsid w:val="00B61AEB"/>
    <w:rsid w:val="00B61B67"/>
    <w:rsid w:val="00B628A0"/>
    <w:rsid w:val="00B62FF9"/>
    <w:rsid w:val="00B63618"/>
    <w:rsid w:val="00B636F5"/>
    <w:rsid w:val="00B6379B"/>
    <w:rsid w:val="00B6435A"/>
    <w:rsid w:val="00B64570"/>
    <w:rsid w:val="00B6458C"/>
    <w:rsid w:val="00B64A73"/>
    <w:rsid w:val="00B64C3D"/>
    <w:rsid w:val="00B64CF6"/>
    <w:rsid w:val="00B64E25"/>
    <w:rsid w:val="00B64E82"/>
    <w:rsid w:val="00B65AD5"/>
    <w:rsid w:val="00B662EE"/>
    <w:rsid w:val="00B66AC3"/>
    <w:rsid w:val="00B66DA7"/>
    <w:rsid w:val="00B66E85"/>
    <w:rsid w:val="00B66F6D"/>
    <w:rsid w:val="00B66FFE"/>
    <w:rsid w:val="00B67423"/>
    <w:rsid w:val="00B674A0"/>
    <w:rsid w:val="00B675D1"/>
    <w:rsid w:val="00B67CE8"/>
    <w:rsid w:val="00B67D86"/>
    <w:rsid w:val="00B67E07"/>
    <w:rsid w:val="00B67E67"/>
    <w:rsid w:val="00B701BE"/>
    <w:rsid w:val="00B703DC"/>
    <w:rsid w:val="00B70E9D"/>
    <w:rsid w:val="00B710FE"/>
    <w:rsid w:val="00B7201D"/>
    <w:rsid w:val="00B72089"/>
    <w:rsid w:val="00B720E9"/>
    <w:rsid w:val="00B72302"/>
    <w:rsid w:val="00B7260F"/>
    <w:rsid w:val="00B72AC3"/>
    <w:rsid w:val="00B72F43"/>
    <w:rsid w:val="00B730F3"/>
    <w:rsid w:val="00B73C5B"/>
    <w:rsid w:val="00B7401C"/>
    <w:rsid w:val="00B74237"/>
    <w:rsid w:val="00B7480E"/>
    <w:rsid w:val="00B7499B"/>
    <w:rsid w:val="00B751E2"/>
    <w:rsid w:val="00B754DE"/>
    <w:rsid w:val="00B7567A"/>
    <w:rsid w:val="00B7581F"/>
    <w:rsid w:val="00B758B4"/>
    <w:rsid w:val="00B75ACF"/>
    <w:rsid w:val="00B76700"/>
    <w:rsid w:val="00B76F6E"/>
    <w:rsid w:val="00B7705A"/>
    <w:rsid w:val="00B771A7"/>
    <w:rsid w:val="00B77732"/>
    <w:rsid w:val="00B77FA1"/>
    <w:rsid w:val="00B80C8F"/>
    <w:rsid w:val="00B81761"/>
    <w:rsid w:val="00B818B8"/>
    <w:rsid w:val="00B81CCC"/>
    <w:rsid w:val="00B81E96"/>
    <w:rsid w:val="00B82161"/>
    <w:rsid w:val="00B82508"/>
    <w:rsid w:val="00B825B4"/>
    <w:rsid w:val="00B82E2E"/>
    <w:rsid w:val="00B83101"/>
    <w:rsid w:val="00B832FD"/>
    <w:rsid w:val="00B834FE"/>
    <w:rsid w:val="00B835E9"/>
    <w:rsid w:val="00B83C43"/>
    <w:rsid w:val="00B840C2"/>
    <w:rsid w:val="00B8488D"/>
    <w:rsid w:val="00B84B62"/>
    <w:rsid w:val="00B84C61"/>
    <w:rsid w:val="00B861FF"/>
    <w:rsid w:val="00B86AD8"/>
    <w:rsid w:val="00B86D4B"/>
    <w:rsid w:val="00B87AAE"/>
    <w:rsid w:val="00B87D54"/>
    <w:rsid w:val="00B87F18"/>
    <w:rsid w:val="00B902EF"/>
    <w:rsid w:val="00B90983"/>
    <w:rsid w:val="00B90C82"/>
    <w:rsid w:val="00B916BB"/>
    <w:rsid w:val="00B917A5"/>
    <w:rsid w:val="00B91829"/>
    <w:rsid w:val="00B91942"/>
    <w:rsid w:val="00B919D0"/>
    <w:rsid w:val="00B91AC9"/>
    <w:rsid w:val="00B9282E"/>
    <w:rsid w:val="00B92E1E"/>
    <w:rsid w:val="00B93243"/>
    <w:rsid w:val="00B934EB"/>
    <w:rsid w:val="00B93572"/>
    <w:rsid w:val="00B937FE"/>
    <w:rsid w:val="00B93C88"/>
    <w:rsid w:val="00B941B8"/>
    <w:rsid w:val="00B94CC1"/>
    <w:rsid w:val="00B94D71"/>
    <w:rsid w:val="00B94E09"/>
    <w:rsid w:val="00B956D2"/>
    <w:rsid w:val="00B95832"/>
    <w:rsid w:val="00B9586A"/>
    <w:rsid w:val="00B9624F"/>
    <w:rsid w:val="00B9647B"/>
    <w:rsid w:val="00B967F8"/>
    <w:rsid w:val="00B9682D"/>
    <w:rsid w:val="00B96DC1"/>
    <w:rsid w:val="00B97509"/>
    <w:rsid w:val="00B97B97"/>
    <w:rsid w:val="00BA0B12"/>
    <w:rsid w:val="00BA1373"/>
    <w:rsid w:val="00BA1490"/>
    <w:rsid w:val="00BA1F2F"/>
    <w:rsid w:val="00BA20A5"/>
    <w:rsid w:val="00BA23F4"/>
    <w:rsid w:val="00BA2683"/>
    <w:rsid w:val="00BA307E"/>
    <w:rsid w:val="00BA311E"/>
    <w:rsid w:val="00BA32CA"/>
    <w:rsid w:val="00BA3416"/>
    <w:rsid w:val="00BA375C"/>
    <w:rsid w:val="00BA3B83"/>
    <w:rsid w:val="00BA3D7E"/>
    <w:rsid w:val="00BA4F3A"/>
    <w:rsid w:val="00BA5218"/>
    <w:rsid w:val="00BA5252"/>
    <w:rsid w:val="00BA531C"/>
    <w:rsid w:val="00BA5CCA"/>
    <w:rsid w:val="00BA5DF1"/>
    <w:rsid w:val="00BA6FBE"/>
    <w:rsid w:val="00BB0105"/>
    <w:rsid w:val="00BB0413"/>
    <w:rsid w:val="00BB0D0F"/>
    <w:rsid w:val="00BB0D96"/>
    <w:rsid w:val="00BB11EA"/>
    <w:rsid w:val="00BB1839"/>
    <w:rsid w:val="00BB1F07"/>
    <w:rsid w:val="00BB293A"/>
    <w:rsid w:val="00BB3143"/>
    <w:rsid w:val="00BB33CF"/>
    <w:rsid w:val="00BB349B"/>
    <w:rsid w:val="00BB37EC"/>
    <w:rsid w:val="00BB391C"/>
    <w:rsid w:val="00BB3D71"/>
    <w:rsid w:val="00BB4679"/>
    <w:rsid w:val="00BB488A"/>
    <w:rsid w:val="00BB49A6"/>
    <w:rsid w:val="00BB4D40"/>
    <w:rsid w:val="00BB4F0F"/>
    <w:rsid w:val="00BB4F65"/>
    <w:rsid w:val="00BB5CCD"/>
    <w:rsid w:val="00BB5EFB"/>
    <w:rsid w:val="00BB68D6"/>
    <w:rsid w:val="00BB6937"/>
    <w:rsid w:val="00BB6C0D"/>
    <w:rsid w:val="00BB71DD"/>
    <w:rsid w:val="00BB7325"/>
    <w:rsid w:val="00BB76ED"/>
    <w:rsid w:val="00BB77EB"/>
    <w:rsid w:val="00BB7E8C"/>
    <w:rsid w:val="00BC0386"/>
    <w:rsid w:val="00BC0451"/>
    <w:rsid w:val="00BC0C66"/>
    <w:rsid w:val="00BC0DBB"/>
    <w:rsid w:val="00BC0DDA"/>
    <w:rsid w:val="00BC0F3E"/>
    <w:rsid w:val="00BC0F3F"/>
    <w:rsid w:val="00BC14BF"/>
    <w:rsid w:val="00BC191E"/>
    <w:rsid w:val="00BC19A0"/>
    <w:rsid w:val="00BC24FC"/>
    <w:rsid w:val="00BC25E6"/>
    <w:rsid w:val="00BC291F"/>
    <w:rsid w:val="00BC2C68"/>
    <w:rsid w:val="00BC3AF5"/>
    <w:rsid w:val="00BC3BD6"/>
    <w:rsid w:val="00BC3CCC"/>
    <w:rsid w:val="00BC3E8C"/>
    <w:rsid w:val="00BC4410"/>
    <w:rsid w:val="00BC5061"/>
    <w:rsid w:val="00BC569C"/>
    <w:rsid w:val="00BC5912"/>
    <w:rsid w:val="00BC6BD4"/>
    <w:rsid w:val="00BC6DF6"/>
    <w:rsid w:val="00BC738C"/>
    <w:rsid w:val="00BC7545"/>
    <w:rsid w:val="00BD0CDD"/>
    <w:rsid w:val="00BD0D32"/>
    <w:rsid w:val="00BD118A"/>
    <w:rsid w:val="00BD1A1D"/>
    <w:rsid w:val="00BD1CA5"/>
    <w:rsid w:val="00BD259E"/>
    <w:rsid w:val="00BD2984"/>
    <w:rsid w:val="00BD2B2C"/>
    <w:rsid w:val="00BD2E5B"/>
    <w:rsid w:val="00BD3985"/>
    <w:rsid w:val="00BD3D56"/>
    <w:rsid w:val="00BD3FFF"/>
    <w:rsid w:val="00BD455B"/>
    <w:rsid w:val="00BD4619"/>
    <w:rsid w:val="00BD46D6"/>
    <w:rsid w:val="00BD5154"/>
    <w:rsid w:val="00BD565E"/>
    <w:rsid w:val="00BD58CF"/>
    <w:rsid w:val="00BD5BF5"/>
    <w:rsid w:val="00BD5D9C"/>
    <w:rsid w:val="00BD5E2D"/>
    <w:rsid w:val="00BD69AB"/>
    <w:rsid w:val="00BD6BBF"/>
    <w:rsid w:val="00BD70F7"/>
    <w:rsid w:val="00BD73A5"/>
    <w:rsid w:val="00BD75BA"/>
    <w:rsid w:val="00BD75FB"/>
    <w:rsid w:val="00BD7A29"/>
    <w:rsid w:val="00BD7A51"/>
    <w:rsid w:val="00BD7FC8"/>
    <w:rsid w:val="00BE0124"/>
    <w:rsid w:val="00BE0823"/>
    <w:rsid w:val="00BE0BB5"/>
    <w:rsid w:val="00BE0DB5"/>
    <w:rsid w:val="00BE0DE8"/>
    <w:rsid w:val="00BE13C3"/>
    <w:rsid w:val="00BE151A"/>
    <w:rsid w:val="00BE1C25"/>
    <w:rsid w:val="00BE2505"/>
    <w:rsid w:val="00BE27F7"/>
    <w:rsid w:val="00BE2810"/>
    <w:rsid w:val="00BE4268"/>
    <w:rsid w:val="00BE45B3"/>
    <w:rsid w:val="00BE4673"/>
    <w:rsid w:val="00BE47BC"/>
    <w:rsid w:val="00BE498A"/>
    <w:rsid w:val="00BE4F5D"/>
    <w:rsid w:val="00BE527E"/>
    <w:rsid w:val="00BE575C"/>
    <w:rsid w:val="00BE5F89"/>
    <w:rsid w:val="00BE6093"/>
    <w:rsid w:val="00BE6186"/>
    <w:rsid w:val="00BE654A"/>
    <w:rsid w:val="00BE69A1"/>
    <w:rsid w:val="00BE72C5"/>
    <w:rsid w:val="00BE7500"/>
    <w:rsid w:val="00BE7CE4"/>
    <w:rsid w:val="00BF00E2"/>
    <w:rsid w:val="00BF0190"/>
    <w:rsid w:val="00BF0661"/>
    <w:rsid w:val="00BF06DB"/>
    <w:rsid w:val="00BF06EB"/>
    <w:rsid w:val="00BF0C44"/>
    <w:rsid w:val="00BF0C6C"/>
    <w:rsid w:val="00BF119A"/>
    <w:rsid w:val="00BF1236"/>
    <w:rsid w:val="00BF13DA"/>
    <w:rsid w:val="00BF2310"/>
    <w:rsid w:val="00BF2534"/>
    <w:rsid w:val="00BF2C2D"/>
    <w:rsid w:val="00BF3A1D"/>
    <w:rsid w:val="00BF3D25"/>
    <w:rsid w:val="00BF45AA"/>
    <w:rsid w:val="00BF476E"/>
    <w:rsid w:val="00BF4902"/>
    <w:rsid w:val="00BF4A37"/>
    <w:rsid w:val="00BF4AA4"/>
    <w:rsid w:val="00BF4AAB"/>
    <w:rsid w:val="00BF544D"/>
    <w:rsid w:val="00BF57C3"/>
    <w:rsid w:val="00BF5EFA"/>
    <w:rsid w:val="00BF61C0"/>
    <w:rsid w:val="00BF62BB"/>
    <w:rsid w:val="00BF65AC"/>
    <w:rsid w:val="00BF668B"/>
    <w:rsid w:val="00BF67CE"/>
    <w:rsid w:val="00BF6CD9"/>
    <w:rsid w:val="00BF715D"/>
    <w:rsid w:val="00BF71A9"/>
    <w:rsid w:val="00BF7934"/>
    <w:rsid w:val="00BF793F"/>
    <w:rsid w:val="00BF7DAE"/>
    <w:rsid w:val="00BF7DC4"/>
    <w:rsid w:val="00C00485"/>
    <w:rsid w:val="00C0055E"/>
    <w:rsid w:val="00C011A3"/>
    <w:rsid w:val="00C01E11"/>
    <w:rsid w:val="00C02194"/>
    <w:rsid w:val="00C0221F"/>
    <w:rsid w:val="00C02C34"/>
    <w:rsid w:val="00C02C8D"/>
    <w:rsid w:val="00C03DA8"/>
    <w:rsid w:val="00C0412B"/>
    <w:rsid w:val="00C04635"/>
    <w:rsid w:val="00C047AE"/>
    <w:rsid w:val="00C04E2F"/>
    <w:rsid w:val="00C04E60"/>
    <w:rsid w:val="00C05011"/>
    <w:rsid w:val="00C05840"/>
    <w:rsid w:val="00C05B1E"/>
    <w:rsid w:val="00C05B42"/>
    <w:rsid w:val="00C05E39"/>
    <w:rsid w:val="00C06009"/>
    <w:rsid w:val="00C065E2"/>
    <w:rsid w:val="00C06CC4"/>
    <w:rsid w:val="00C06D0A"/>
    <w:rsid w:val="00C06FC4"/>
    <w:rsid w:val="00C07C99"/>
    <w:rsid w:val="00C10381"/>
    <w:rsid w:val="00C10671"/>
    <w:rsid w:val="00C109A3"/>
    <w:rsid w:val="00C10A73"/>
    <w:rsid w:val="00C11358"/>
    <w:rsid w:val="00C11658"/>
    <w:rsid w:val="00C119A5"/>
    <w:rsid w:val="00C11BB4"/>
    <w:rsid w:val="00C11EAF"/>
    <w:rsid w:val="00C11EF5"/>
    <w:rsid w:val="00C1206B"/>
    <w:rsid w:val="00C126CB"/>
    <w:rsid w:val="00C12C0D"/>
    <w:rsid w:val="00C12CF3"/>
    <w:rsid w:val="00C12F8F"/>
    <w:rsid w:val="00C140F2"/>
    <w:rsid w:val="00C14154"/>
    <w:rsid w:val="00C14878"/>
    <w:rsid w:val="00C14F34"/>
    <w:rsid w:val="00C15080"/>
    <w:rsid w:val="00C1545A"/>
    <w:rsid w:val="00C15804"/>
    <w:rsid w:val="00C15D81"/>
    <w:rsid w:val="00C15DAA"/>
    <w:rsid w:val="00C16232"/>
    <w:rsid w:val="00C1650C"/>
    <w:rsid w:val="00C17E59"/>
    <w:rsid w:val="00C2054F"/>
    <w:rsid w:val="00C20883"/>
    <w:rsid w:val="00C210C1"/>
    <w:rsid w:val="00C215BA"/>
    <w:rsid w:val="00C21F54"/>
    <w:rsid w:val="00C220E0"/>
    <w:rsid w:val="00C22860"/>
    <w:rsid w:val="00C22BD9"/>
    <w:rsid w:val="00C22E16"/>
    <w:rsid w:val="00C23824"/>
    <w:rsid w:val="00C2408E"/>
    <w:rsid w:val="00C24188"/>
    <w:rsid w:val="00C24AE4"/>
    <w:rsid w:val="00C24DB2"/>
    <w:rsid w:val="00C24E78"/>
    <w:rsid w:val="00C24F4C"/>
    <w:rsid w:val="00C25F45"/>
    <w:rsid w:val="00C263DB"/>
    <w:rsid w:val="00C26422"/>
    <w:rsid w:val="00C26CA3"/>
    <w:rsid w:val="00C26D03"/>
    <w:rsid w:val="00C26DDF"/>
    <w:rsid w:val="00C26FD9"/>
    <w:rsid w:val="00C27169"/>
    <w:rsid w:val="00C27BA7"/>
    <w:rsid w:val="00C3010D"/>
    <w:rsid w:val="00C30144"/>
    <w:rsid w:val="00C30568"/>
    <w:rsid w:val="00C30BFF"/>
    <w:rsid w:val="00C31292"/>
    <w:rsid w:val="00C312A7"/>
    <w:rsid w:val="00C3180C"/>
    <w:rsid w:val="00C31FAC"/>
    <w:rsid w:val="00C31FB8"/>
    <w:rsid w:val="00C321A6"/>
    <w:rsid w:val="00C32A88"/>
    <w:rsid w:val="00C335D3"/>
    <w:rsid w:val="00C336BD"/>
    <w:rsid w:val="00C33CD8"/>
    <w:rsid w:val="00C343DA"/>
    <w:rsid w:val="00C34AAE"/>
    <w:rsid w:val="00C34E70"/>
    <w:rsid w:val="00C34F22"/>
    <w:rsid w:val="00C356ED"/>
    <w:rsid w:val="00C35BBD"/>
    <w:rsid w:val="00C35D66"/>
    <w:rsid w:val="00C35FE8"/>
    <w:rsid w:val="00C367AA"/>
    <w:rsid w:val="00C36CF6"/>
    <w:rsid w:val="00C3718A"/>
    <w:rsid w:val="00C373EB"/>
    <w:rsid w:val="00C40063"/>
    <w:rsid w:val="00C403D8"/>
    <w:rsid w:val="00C40468"/>
    <w:rsid w:val="00C404AD"/>
    <w:rsid w:val="00C40549"/>
    <w:rsid w:val="00C40646"/>
    <w:rsid w:val="00C40768"/>
    <w:rsid w:val="00C409B3"/>
    <w:rsid w:val="00C41011"/>
    <w:rsid w:val="00C41426"/>
    <w:rsid w:val="00C415AD"/>
    <w:rsid w:val="00C419E8"/>
    <w:rsid w:val="00C41B29"/>
    <w:rsid w:val="00C41CE7"/>
    <w:rsid w:val="00C41CF0"/>
    <w:rsid w:val="00C41F0E"/>
    <w:rsid w:val="00C423DB"/>
    <w:rsid w:val="00C4249A"/>
    <w:rsid w:val="00C424C2"/>
    <w:rsid w:val="00C428BA"/>
    <w:rsid w:val="00C43693"/>
    <w:rsid w:val="00C4398F"/>
    <w:rsid w:val="00C43B78"/>
    <w:rsid w:val="00C43C5B"/>
    <w:rsid w:val="00C43E29"/>
    <w:rsid w:val="00C446DA"/>
    <w:rsid w:val="00C4493D"/>
    <w:rsid w:val="00C44A98"/>
    <w:rsid w:val="00C44D7B"/>
    <w:rsid w:val="00C45CA1"/>
    <w:rsid w:val="00C45D95"/>
    <w:rsid w:val="00C45F7F"/>
    <w:rsid w:val="00C4617D"/>
    <w:rsid w:val="00C46210"/>
    <w:rsid w:val="00C46329"/>
    <w:rsid w:val="00C46785"/>
    <w:rsid w:val="00C468A8"/>
    <w:rsid w:val="00C47448"/>
    <w:rsid w:val="00C47C41"/>
    <w:rsid w:val="00C47C63"/>
    <w:rsid w:val="00C47E2D"/>
    <w:rsid w:val="00C50388"/>
    <w:rsid w:val="00C505FD"/>
    <w:rsid w:val="00C5064E"/>
    <w:rsid w:val="00C5096A"/>
    <w:rsid w:val="00C50A20"/>
    <w:rsid w:val="00C50A43"/>
    <w:rsid w:val="00C50C27"/>
    <w:rsid w:val="00C50D69"/>
    <w:rsid w:val="00C51664"/>
    <w:rsid w:val="00C519F6"/>
    <w:rsid w:val="00C519FA"/>
    <w:rsid w:val="00C51AD2"/>
    <w:rsid w:val="00C51BC8"/>
    <w:rsid w:val="00C51FEC"/>
    <w:rsid w:val="00C520BE"/>
    <w:rsid w:val="00C5249B"/>
    <w:rsid w:val="00C5282A"/>
    <w:rsid w:val="00C52B5D"/>
    <w:rsid w:val="00C52B98"/>
    <w:rsid w:val="00C542EB"/>
    <w:rsid w:val="00C543B4"/>
    <w:rsid w:val="00C54F9D"/>
    <w:rsid w:val="00C551D4"/>
    <w:rsid w:val="00C551F0"/>
    <w:rsid w:val="00C551FD"/>
    <w:rsid w:val="00C55317"/>
    <w:rsid w:val="00C55509"/>
    <w:rsid w:val="00C5581C"/>
    <w:rsid w:val="00C55F4D"/>
    <w:rsid w:val="00C5677E"/>
    <w:rsid w:val="00C56EB4"/>
    <w:rsid w:val="00C57345"/>
    <w:rsid w:val="00C576A5"/>
    <w:rsid w:val="00C5781A"/>
    <w:rsid w:val="00C57A51"/>
    <w:rsid w:val="00C57BA7"/>
    <w:rsid w:val="00C6002D"/>
    <w:rsid w:val="00C606E3"/>
    <w:rsid w:val="00C60B6F"/>
    <w:rsid w:val="00C615A7"/>
    <w:rsid w:val="00C61F3E"/>
    <w:rsid w:val="00C61F6D"/>
    <w:rsid w:val="00C61F7E"/>
    <w:rsid w:val="00C625C4"/>
    <w:rsid w:val="00C6295C"/>
    <w:rsid w:val="00C63795"/>
    <w:rsid w:val="00C639C9"/>
    <w:rsid w:val="00C648A2"/>
    <w:rsid w:val="00C64C6C"/>
    <w:rsid w:val="00C64D59"/>
    <w:rsid w:val="00C6501C"/>
    <w:rsid w:val="00C65079"/>
    <w:rsid w:val="00C650A4"/>
    <w:rsid w:val="00C650AC"/>
    <w:rsid w:val="00C65107"/>
    <w:rsid w:val="00C654BE"/>
    <w:rsid w:val="00C6578C"/>
    <w:rsid w:val="00C65C7A"/>
    <w:rsid w:val="00C65F19"/>
    <w:rsid w:val="00C66113"/>
    <w:rsid w:val="00C663B8"/>
    <w:rsid w:val="00C66459"/>
    <w:rsid w:val="00C665C8"/>
    <w:rsid w:val="00C66821"/>
    <w:rsid w:val="00C67CE6"/>
    <w:rsid w:val="00C67CFD"/>
    <w:rsid w:val="00C70166"/>
    <w:rsid w:val="00C701C8"/>
    <w:rsid w:val="00C7066C"/>
    <w:rsid w:val="00C70DE6"/>
    <w:rsid w:val="00C712E1"/>
    <w:rsid w:val="00C7139B"/>
    <w:rsid w:val="00C717BA"/>
    <w:rsid w:val="00C71A93"/>
    <w:rsid w:val="00C7242B"/>
    <w:rsid w:val="00C7254D"/>
    <w:rsid w:val="00C72E1D"/>
    <w:rsid w:val="00C7328B"/>
    <w:rsid w:val="00C73E41"/>
    <w:rsid w:val="00C7403D"/>
    <w:rsid w:val="00C74125"/>
    <w:rsid w:val="00C7488F"/>
    <w:rsid w:val="00C748AA"/>
    <w:rsid w:val="00C74F97"/>
    <w:rsid w:val="00C74FAF"/>
    <w:rsid w:val="00C753CE"/>
    <w:rsid w:val="00C75FE8"/>
    <w:rsid w:val="00C76994"/>
    <w:rsid w:val="00C76EB5"/>
    <w:rsid w:val="00C77015"/>
    <w:rsid w:val="00C7712F"/>
    <w:rsid w:val="00C7749C"/>
    <w:rsid w:val="00C774DD"/>
    <w:rsid w:val="00C776CA"/>
    <w:rsid w:val="00C779A5"/>
    <w:rsid w:val="00C77ACE"/>
    <w:rsid w:val="00C77AE3"/>
    <w:rsid w:val="00C77E45"/>
    <w:rsid w:val="00C8013B"/>
    <w:rsid w:val="00C80190"/>
    <w:rsid w:val="00C80728"/>
    <w:rsid w:val="00C80A95"/>
    <w:rsid w:val="00C80AE2"/>
    <w:rsid w:val="00C81BEA"/>
    <w:rsid w:val="00C81C7C"/>
    <w:rsid w:val="00C824D3"/>
    <w:rsid w:val="00C826A4"/>
    <w:rsid w:val="00C82B89"/>
    <w:rsid w:val="00C82C7F"/>
    <w:rsid w:val="00C82E25"/>
    <w:rsid w:val="00C82F00"/>
    <w:rsid w:val="00C82FD4"/>
    <w:rsid w:val="00C835E7"/>
    <w:rsid w:val="00C83C5F"/>
    <w:rsid w:val="00C8407C"/>
    <w:rsid w:val="00C845D2"/>
    <w:rsid w:val="00C85161"/>
    <w:rsid w:val="00C853E1"/>
    <w:rsid w:val="00C8562A"/>
    <w:rsid w:val="00C85C14"/>
    <w:rsid w:val="00C86005"/>
    <w:rsid w:val="00C8647D"/>
    <w:rsid w:val="00C8653B"/>
    <w:rsid w:val="00C86560"/>
    <w:rsid w:val="00C86ADB"/>
    <w:rsid w:val="00C86E2D"/>
    <w:rsid w:val="00C87012"/>
    <w:rsid w:val="00C87083"/>
    <w:rsid w:val="00C87352"/>
    <w:rsid w:val="00C87530"/>
    <w:rsid w:val="00C877E7"/>
    <w:rsid w:val="00C87E7A"/>
    <w:rsid w:val="00C90072"/>
    <w:rsid w:val="00C90266"/>
    <w:rsid w:val="00C90368"/>
    <w:rsid w:val="00C9037A"/>
    <w:rsid w:val="00C90E9F"/>
    <w:rsid w:val="00C91987"/>
    <w:rsid w:val="00C91ABF"/>
    <w:rsid w:val="00C91E96"/>
    <w:rsid w:val="00C9205A"/>
    <w:rsid w:val="00C922CF"/>
    <w:rsid w:val="00C92908"/>
    <w:rsid w:val="00C92B1A"/>
    <w:rsid w:val="00C9316D"/>
    <w:rsid w:val="00C93ED5"/>
    <w:rsid w:val="00C945DE"/>
    <w:rsid w:val="00C947FB"/>
    <w:rsid w:val="00C94830"/>
    <w:rsid w:val="00C94AC4"/>
    <w:rsid w:val="00C94C5D"/>
    <w:rsid w:val="00C9533E"/>
    <w:rsid w:val="00C9560A"/>
    <w:rsid w:val="00C95C0F"/>
    <w:rsid w:val="00C963B3"/>
    <w:rsid w:val="00C963F0"/>
    <w:rsid w:val="00C963F2"/>
    <w:rsid w:val="00C966C5"/>
    <w:rsid w:val="00C968D2"/>
    <w:rsid w:val="00C973C7"/>
    <w:rsid w:val="00C977C4"/>
    <w:rsid w:val="00C97F2A"/>
    <w:rsid w:val="00CA0459"/>
    <w:rsid w:val="00CA0D5D"/>
    <w:rsid w:val="00CA160F"/>
    <w:rsid w:val="00CA1AD5"/>
    <w:rsid w:val="00CA1C9D"/>
    <w:rsid w:val="00CA2643"/>
    <w:rsid w:val="00CA2A3A"/>
    <w:rsid w:val="00CA3156"/>
    <w:rsid w:val="00CA324A"/>
    <w:rsid w:val="00CA39CC"/>
    <w:rsid w:val="00CA3B6D"/>
    <w:rsid w:val="00CA3F15"/>
    <w:rsid w:val="00CA41B3"/>
    <w:rsid w:val="00CA4759"/>
    <w:rsid w:val="00CA4A8B"/>
    <w:rsid w:val="00CA4F30"/>
    <w:rsid w:val="00CA5BCA"/>
    <w:rsid w:val="00CA5F5F"/>
    <w:rsid w:val="00CA6394"/>
    <w:rsid w:val="00CA65EF"/>
    <w:rsid w:val="00CA6D70"/>
    <w:rsid w:val="00CA6ECC"/>
    <w:rsid w:val="00CA70C4"/>
    <w:rsid w:val="00CA7767"/>
    <w:rsid w:val="00CB0BC7"/>
    <w:rsid w:val="00CB12C9"/>
    <w:rsid w:val="00CB1FAF"/>
    <w:rsid w:val="00CB202F"/>
    <w:rsid w:val="00CB22AB"/>
    <w:rsid w:val="00CB2A55"/>
    <w:rsid w:val="00CB2FC3"/>
    <w:rsid w:val="00CB32EC"/>
    <w:rsid w:val="00CB3570"/>
    <w:rsid w:val="00CB3A8D"/>
    <w:rsid w:val="00CB3C89"/>
    <w:rsid w:val="00CB3F0B"/>
    <w:rsid w:val="00CB4E05"/>
    <w:rsid w:val="00CB4E8E"/>
    <w:rsid w:val="00CB5D2F"/>
    <w:rsid w:val="00CB5E29"/>
    <w:rsid w:val="00CB635F"/>
    <w:rsid w:val="00CB6807"/>
    <w:rsid w:val="00CB6DFC"/>
    <w:rsid w:val="00CB74DA"/>
    <w:rsid w:val="00CB753F"/>
    <w:rsid w:val="00CB7865"/>
    <w:rsid w:val="00CB7D0B"/>
    <w:rsid w:val="00CC03F4"/>
    <w:rsid w:val="00CC0655"/>
    <w:rsid w:val="00CC0977"/>
    <w:rsid w:val="00CC0A6F"/>
    <w:rsid w:val="00CC114A"/>
    <w:rsid w:val="00CC117B"/>
    <w:rsid w:val="00CC12DB"/>
    <w:rsid w:val="00CC1BF6"/>
    <w:rsid w:val="00CC1C58"/>
    <w:rsid w:val="00CC229B"/>
    <w:rsid w:val="00CC2A9F"/>
    <w:rsid w:val="00CC2CC1"/>
    <w:rsid w:val="00CC2DA3"/>
    <w:rsid w:val="00CC313A"/>
    <w:rsid w:val="00CC3310"/>
    <w:rsid w:val="00CC332E"/>
    <w:rsid w:val="00CC3F59"/>
    <w:rsid w:val="00CC3F99"/>
    <w:rsid w:val="00CC4128"/>
    <w:rsid w:val="00CC41BF"/>
    <w:rsid w:val="00CC42B0"/>
    <w:rsid w:val="00CC4619"/>
    <w:rsid w:val="00CC48D0"/>
    <w:rsid w:val="00CC5039"/>
    <w:rsid w:val="00CC50A4"/>
    <w:rsid w:val="00CC55A8"/>
    <w:rsid w:val="00CC5E66"/>
    <w:rsid w:val="00CC6018"/>
    <w:rsid w:val="00CC65D7"/>
    <w:rsid w:val="00CC6631"/>
    <w:rsid w:val="00CC6A70"/>
    <w:rsid w:val="00CC7AEF"/>
    <w:rsid w:val="00CD031B"/>
    <w:rsid w:val="00CD0427"/>
    <w:rsid w:val="00CD1AE7"/>
    <w:rsid w:val="00CD2675"/>
    <w:rsid w:val="00CD2F04"/>
    <w:rsid w:val="00CD3468"/>
    <w:rsid w:val="00CD3CEE"/>
    <w:rsid w:val="00CD3F3D"/>
    <w:rsid w:val="00CD42DF"/>
    <w:rsid w:val="00CD43E4"/>
    <w:rsid w:val="00CD4870"/>
    <w:rsid w:val="00CD526B"/>
    <w:rsid w:val="00CD52C4"/>
    <w:rsid w:val="00CD590B"/>
    <w:rsid w:val="00CD6046"/>
    <w:rsid w:val="00CD66E8"/>
    <w:rsid w:val="00CD67F9"/>
    <w:rsid w:val="00CD6F32"/>
    <w:rsid w:val="00CD705C"/>
    <w:rsid w:val="00CD75DE"/>
    <w:rsid w:val="00CD75E6"/>
    <w:rsid w:val="00CD7FBD"/>
    <w:rsid w:val="00CE0B1A"/>
    <w:rsid w:val="00CE0FF8"/>
    <w:rsid w:val="00CE11D6"/>
    <w:rsid w:val="00CE1638"/>
    <w:rsid w:val="00CE1F54"/>
    <w:rsid w:val="00CE233B"/>
    <w:rsid w:val="00CE242B"/>
    <w:rsid w:val="00CE26C6"/>
    <w:rsid w:val="00CE2D1D"/>
    <w:rsid w:val="00CE2D92"/>
    <w:rsid w:val="00CE301F"/>
    <w:rsid w:val="00CE3D88"/>
    <w:rsid w:val="00CE3F0B"/>
    <w:rsid w:val="00CE3F4C"/>
    <w:rsid w:val="00CE446A"/>
    <w:rsid w:val="00CE45B4"/>
    <w:rsid w:val="00CE465D"/>
    <w:rsid w:val="00CE55D2"/>
    <w:rsid w:val="00CE5A60"/>
    <w:rsid w:val="00CE64A2"/>
    <w:rsid w:val="00CE751F"/>
    <w:rsid w:val="00CE78F4"/>
    <w:rsid w:val="00CE7D7E"/>
    <w:rsid w:val="00CF0147"/>
    <w:rsid w:val="00CF0261"/>
    <w:rsid w:val="00CF0900"/>
    <w:rsid w:val="00CF0AE1"/>
    <w:rsid w:val="00CF1261"/>
    <w:rsid w:val="00CF1B53"/>
    <w:rsid w:val="00CF1E29"/>
    <w:rsid w:val="00CF2168"/>
    <w:rsid w:val="00CF22BC"/>
    <w:rsid w:val="00CF3222"/>
    <w:rsid w:val="00CF3320"/>
    <w:rsid w:val="00CF3520"/>
    <w:rsid w:val="00CF3971"/>
    <w:rsid w:val="00CF3E69"/>
    <w:rsid w:val="00CF48BA"/>
    <w:rsid w:val="00CF4DB6"/>
    <w:rsid w:val="00CF50FA"/>
    <w:rsid w:val="00CF5926"/>
    <w:rsid w:val="00CF5B24"/>
    <w:rsid w:val="00CF6407"/>
    <w:rsid w:val="00CF6976"/>
    <w:rsid w:val="00CF751F"/>
    <w:rsid w:val="00CF7DC8"/>
    <w:rsid w:val="00CF7DEA"/>
    <w:rsid w:val="00D0008C"/>
    <w:rsid w:val="00D001A6"/>
    <w:rsid w:val="00D00507"/>
    <w:rsid w:val="00D00786"/>
    <w:rsid w:val="00D00C3E"/>
    <w:rsid w:val="00D01A36"/>
    <w:rsid w:val="00D02358"/>
    <w:rsid w:val="00D027EF"/>
    <w:rsid w:val="00D02ED2"/>
    <w:rsid w:val="00D03CD3"/>
    <w:rsid w:val="00D044A6"/>
    <w:rsid w:val="00D047E8"/>
    <w:rsid w:val="00D049AE"/>
    <w:rsid w:val="00D04B76"/>
    <w:rsid w:val="00D04BF7"/>
    <w:rsid w:val="00D051C8"/>
    <w:rsid w:val="00D0521D"/>
    <w:rsid w:val="00D05455"/>
    <w:rsid w:val="00D058D2"/>
    <w:rsid w:val="00D066AA"/>
    <w:rsid w:val="00D0690E"/>
    <w:rsid w:val="00D06C68"/>
    <w:rsid w:val="00D06E3A"/>
    <w:rsid w:val="00D071B1"/>
    <w:rsid w:val="00D11809"/>
    <w:rsid w:val="00D11D37"/>
    <w:rsid w:val="00D11E06"/>
    <w:rsid w:val="00D11FAD"/>
    <w:rsid w:val="00D12268"/>
    <w:rsid w:val="00D122C2"/>
    <w:rsid w:val="00D127F5"/>
    <w:rsid w:val="00D12CD7"/>
    <w:rsid w:val="00D12E76"/>
    <w:rsid w:val="00D12F09"/>
    <w:rsid w:val="00D13A95"/>
    <w:rsid w:val="00D14D96"/>
    <w:rsid w:val="00D15475"/>
    <w:rsid w:val="00D154CC"/>
    <w:rsid w:val="00D159B4"/>
    <w:rsid w:val="00D1656E"/>
    <w:rsid w:val="00D166FF"/>
    <w:rsid w:val="00D16912"/>
    <w:rsid w:val="00D16925"/>
    <w:rsid w:val="00D179A3"/>
    <w:rsid w:val="00D17BF1"/>
    <w:rsid w:val="00D17D60"/>
    <w:rsid w:val="00D2000B"/>
    <w:rsid w:val="00D2034C"/>
    <w:rsid w:val="00D2149E"/>
    <w:rsid w:val="00D2174A"/>
    <w:rsid w:val="00D21923"/>
    <w:rsid w:val="00D219F3"/>
    <w:rsid w:val="00D21FAE"/>
    <w:rsid w:val="00D22394"/>
    <w:rsid w:val="00D22420"/>
    <w:rsid w:val="00D227DE"/>
    <w:rsid w:val="00D22BD9"/>
    <w:rsid w:val="00D2332E"/>
    <w:rsid w:val="00D238F3"/>
    <w:rsid w:val="00D23A93"/>
    <w:rsid w:val="00D23BAF"/>
    <w:rsid w:val="00D23FA0"/>
    <w:rsid w:val="00D2424F"/>
    <w:rsid w:val="00D24419"/>
    <w:rsid w:val="00D25EEC"/>
    <w:rsid w:val="00D261D8"/>
    <w:rsid w:val="00D26360"/>
    <w:rsid w:val="00D265F7"/>
    <w:rsid w:val="00D26D81"/>
    <w:rsid w:val="00D26DB9"/>
    <w:rsid w:val="00D27808"/>
    <w:rsid w:val="00D3067F"/>
    <w:rsid w:val="00D30A83"/>
    <w:rsid w:val="00D30AE0"/>
    <w:rsid w:val="00D30D9C"/>
    <w:rsid w:val="00D30DA8"/>
    <w:rsid w:val="00D31A76"/>
    <w:rsid w:val="00D31D59"/>
    <w:rsid w:val="00D3243C"/>
    <w:rsid w:val="00D32F4F"/>
    <w:rsid w:val="00D33138"/>
    <w:rsid w:val="00D33444"/>
    <w:rsid w:val="00D33B09"/>
    <w:rsid w:val="00D3461C"/>
    <w:rsid w:val="00D347C1"/>
    <w:rsid w:val="00D3572C"/>
    <w:rsid w:val="00D358DC"/>
    <w:rsid w:val="00D36457"/>
    <w:rsid w:val="00D367C0"/>
    <w:rsid w:val="00D37143"/>
    <w:rsid w:val="00D37582"/>
    <w:rsid w:val="00D375E0"/>
    <w:rsid w:val="00D400AB"/>
    <w:rsid w:val="00D40145"/>
    <w:rsid w:val="00D40727"/>
    <w:rsid w:val="00D407D7"/>
    <w:rsid w:val="00D40B75"/>
    <w:rsid w:val="00D4125C"/>
    <w:rsid w:val="00D4148B"/>
    <w:rsid w:val="00D418E2"/>
    <w:rsid w:val="00D41AD0"/>
    <w:rsid w:val="00D42751"/>
    <w:rsid w:val="00D42EB8"/>
    <w:rsid w:val="00D430E0"/>
    <w:rsid w:val="00D43246"/>
    <w:rsid w:val="00D4333D"/>
    <w:rsid w:val="00D43359"/>
    <w:rsid w:val="00D435B6"/>
    <w:rsid w:val="00D43604"/>
    <w:rsid w:val="00D43994"/>
    <w:rsid w:val="00D43E2C"/>
    <w:rsid w:val="00D43F9B"/>
    <w:rsid w:val="00D4435E"/>
    <w:rsid w:val="00D45451"/>
    <w:rsid w:val="00D45613"/>
    <w:rsid w:val="00D46058"/>
    <w:rsid w:val="00D4654D"/>
    <w:rsid w:val="00D4673F"/>
    <w:rsid w:val="00D46F7F"/>
    <w:rsid w:val="00D47087"/>
    <w:rsid w:val="00D476B5"/>
    <w:rsid w:val="00D47801"/>
    <w:rsid w:val="00D47918"/>
    <w:rsid w:val="00D47B2A"/>
    <w:rsid w:val="00D47B33"/>
    <w:rsid w:val="00D47CC2"/>
    <w:rsid w:val="00D47FC0"/>
    <w:rsid w:val="00D5001E"/>
    <w:rsid w:val="00D508EF"/>
    <w:rsid w:val="00D5092C"/>
    <w:rsid w:val="00D50967"/>
    <w:rsid w:val="00D50B11"/>
    <w:rsid w:val="00D51067"/>
    <w:rsid w:val="00D51717"/>
    <w:rsid w:val="00D51C53"/>
    <w:rsid w:val="00D52A81"/>
    <w:rsid w:val="00D52E5B"/>
    <w:rsid w:val="00D532D7"/>
    <w:rsid w:val="00D53766"/>
    <w:rsid w:val="00D53819"/>
    <w:rsid w:val="00D54017"/>
    <w:rsid w:val="00D54137"/>
    <w:rsid w:val="00D54229"/>
    <w:rsid w:val="00D549DA"/>
    <w:rsid w:val="00D54B42"/>
    <w:rsid w:val="00D56026"/>
    <w:rsid w:val="00D563D1"/>
    <w:rsid w:val="00D5646F"/>
    <w:rsid w:val="00D56C47"/>
    <w:rsid w:val="00D56F14"/>
    <w:rsid w:val="00D573BA"/>
    <w:rsid w:val="00D5786E"/>
    <w:rsid w:val="00D57EF6"/>
    <w:rsid w:val="00D602D6"/>
    <w:rsid w:val="00D60B47"/>
    <w:rsid w:val="00D60C66"/>
    <w:rsid w:val="00D60D0A"/>
    <w:rsid w:val="00D60E1F"/>
    <w:rsid w:val="00D610A8"/>
    <w:rsid w:val="00D61211"/>
    <w:rsid w:val="00D6187B"/>
    <w:rsid w:val="00D6205D"/>
    <w:rsid w:val="00D62236"/>
    <w:rsid w:val="00D62326"/>
    <w:rsid w:val="00D62381"/>
    <w:rsid w:val="00D625BD"/>
    <w:rsid w:val="00D630DA"/>
    <w:rsid w:val="00D63319"/>
    <w:rsid w:val="00D63AE5"/>
    <w:rsid w:val="00D64690"/>
    <w:rsid w:val="00D64A13"/>
    <w:rsid w:val="00D64ECB"/>
    <w:rsid w:val="00D65617"/>
    <w:rsid w:val="00D65959"/>
    <w:rsid w:val="00D66540"/>
    <w:rsid w:val="00D669BF"/>
    <w:rsid w:val="00D67408"/>
    <w:rsid w:val="00D67BB7"/>
    <w:rsid w:val="00D7002F"/>
    <w:rsid w:val="00D702AD"/>
    <w:rsid w:val="00D703B6"/>
    <w:rsid w:val="00D7053B"/>
    <w:rsid w:val="00D70A5B"/>
    <w:rsid w:val="00D70D98"/>
    <w:rsid w:val="00D70FA5"/>
    <w:rsid w:val="00D70FF3"/>
    <w:rsid w:val="00D714DF"/>
    <w:rsid w:val="00D71A5C"/>
    <w:rsid w:val="00D71BCC"/>
    <w:rsid w:val="00D72044"/>
    <w:rsid w:val="00D72380"/>
    <w:rsid w:val="00D72914"/>
    <w:rsid w:val="00D72FD4"/>
    <w:rsid w:val="00D73441"/>
    <w:rsid w:val="00D734E6"/>
    <w:rsid w:val="00D740A5"/>
    <w:rsid w:val="00D74A63"/>
    <w:rsid w:val="00D74D13"/>
    <w:rsid w:val="00D74EFC"/>
    <w:rsid w:val="00D75202"/>
    <w:rsid w:val="00D752B5"/>
    <w:rsid w:val="00D752BD"/>
    <w:rsid w:val="00D75505"/>
    <w:rsid w:val="00D7558D"/>
    <w:rsid w:val="00D756A1"/>
    <w:rsid w:val="00D76202"/>
    <w:rsid w:val="00D76608"/>
    <w:rsid w:val="00D8000C"/>
    <w:rsid w:val="00D8026A"/>
    <w:rsid w:val="00D807B8"/>
    <w:rsid w:val="00D80978"/>
    <w:rsid w:val="00D80C56"/>
    <w:rsid w:val="00D81A56"/>
    <w:rsid w:val="00D81B2C"/>
    <w:rsid w:val="00D82997"/>
    <w:rsid w:val="00D82A55"/>
    <w:rsid w:val="00D82BD7"/>
    <w:rsid w:val="00D82F53"/>
    <w:rsid w:val="00D8325B"/>
    <w:rsid w:val="00D843E1"/>
    <w:rsid w:val="00D85131"/>
    <w:rsid w:val="00D858C9"/>
    <w:rsid w:val="00D85C5F"/>
    <w:rsid w:val="00D8637D"/>
    <w:rsid w:val="00D863D0"/>
    <w:rsid w:val="00D86401"/>
    <w:rsid w:val="00D8690B"/>
    <w:rsid w:val="00D86A8D"/>
    <w:rsid w:val="00D86AF5"/>
    <w:rsid w:val="00D90971"/>
    <w:rsid w:val="00D90CB6"/>
    <w:rsid w:val="00D90E55"/>
    <w:rsid w:val="00D9242F"/>
    <w:rsid w:val="00D92776"/>
    <w:rsid w:val="00D92951"/>
    <w:rsid w:val="00D92D55"/>
    <w:rsid w:val="00D939EB"/>
    <w:rsid w:val="00D93A0F"/>
    <w:rsid w:val="00D945C8"/>
    <w:rsid w:val="00D94B2C"/>
    <w:rsid w:val="00D94CAC"/>
    <w:rsid w:val="00D94FEF"/>
    <w:rsid w:val="00D95003"/>
    <w:rsid w:val="00D955E0"/>
    <w:rsid w:val="00D95673"/>
    <w:rsid w:val="00D957AA"/>
    <w:rsid w:val="00D9581A"/>
    <w:rsid w:val="00D95B70"/>
    <w:rsid w:val="00D95E6A"/>
    <w:rsid w:val="00D96585"/>
    <w:rsid w:val="00D96799"/>
    <w:rsid w:val="00D96C55"/>
    <w:rsid w:val="00D96CC0"/>
    <w:rsid w:val="00D96EC2"/>
    <w:rsid w:val="00D97864"/>
    <w:rsid w:val="00D978EA"/>
    <w:rsid w:val="00D97F5F"/>
    <w:rsid w:val="00DA08D0"/>
    <w:rsid w:val="00DA08F9"/>
    <w:rsid w:val="00DA0ADA"/>
    <w:rsid w:val="00DA0C56"/>
    <w:rsid w:val="00DA0F51"/>
    <w:rsid w:val="00DA1053"/>
    <w:rsid w:val="00DA10F9"/>
    <w:rsid w:val="00DA127B"/>
    <w:rsid w:val="00DA137F"/>
    <w:rsid w:val="00DA15D8"/>
    <w:rsid w:val="00DA1722"/>
    <w:rsid w:val="00DA1807"/>
    <w:rsid w:val="00DA1CFC"/>
    <w:rsid w:val="00DA1D50"/>
    <w:rsid w:val="00DA20A4"/>
    <w:rsid w:val="00DA20E2"/>
    <w:rsid w:val="00DA22E7"/>
    <w:rsid w:val="00DA2324"/>
    <w:rsid w:val="00DA2415"/>
    <w:rsid w:val="00DA2857"/>
    <w:rsid w:val="00DA2A47"/>
    <w:rsid w:val="00DA364E"/>
    <w:rsid w:val="00DA3878"/>
    <w:rsid w:val="00DA391E"/>
    <w:rsid w:val="00DA3C90"/>
    <w:rsid w:val="00DA3FD9"/>
    <w:rsid w:val="00DA4C0D"/>
    <w:rsid w:val="00DA4DD9"/>
    <w:rsid w:val="00DA57F6"/>
    <w:rsid w:val="00DA58C5"/>
    <w:rsid w:val="00DA5EB7"/>
    <w:rsid w:val="00DA75F4"/>
    <w:rsid w:val="00DA7EF6"/>
    <w:rsid w:val="00DB006B"/>
    <w:rsid w:val="00DB0558"/>
    <w:rsid w:val="00DB065B"/>
    <w:rsid w:val="00DB0F9C"/>
    <w:rsid w:val="00DB19D4"/>
    <w:rsid w:val="00DB19F0"/>
    <w:rsid w:val="00DB2D46"/>
    <w:rsid w:val="00DB3B94"/>
    <w:rsid w:val="00DB467E"/>
    <w:rsid w:val="00DB4ACA"/>
    <w:rsid w:val="00DB4B66"/>
    <w:rsid w:val="00DB4F00"/>
    <w:rsid w:val="00DB6097"/>
    <w:rsid w:val="00DB60F7"/>
    <w:rsid w:val="00DB61C3"/>
    <w:rsid w:val="00DB61FA"/>
    <w:rsid w:val="00DB683E"/>
    <w:rsid w:val="00DB69B3"/>
    <w:rsid w:val="00DB6A60"/>
    <w:rsid w:val="00DB70B8"/>
    <w:rsid w:val="00DB71B1"/>
    <w:rsid w:val="00DB731F"/>
    <w:rsid w:val="00DB7AAC"/>
    <w:rsid w:val="00DC0284"/>
    <w:rsid w:val="00DC074D"/>
    <w:rsid w:val="00DC1025"/>
    <w:rsid w:val="00DC1132"/>
    <w:rsid w:val="00DC154F"/>
    <w:rsid w:val="00DC1740"/>
    <w:rsid w:val="00DC178F"/>
    <w:rsid w:val="00DC1F2D"/>
    <w:rsid w:val="00DC22C3"/>
    <w:rsid w:val="00DC24B4"/>
    <w:rsid w:val="00DC2F99"/>
    <w:rsid w:val="00DC311D"/>
    <w:rsid w:val="00DC381B"/>
    <w:rsid w:val="00DC3D45"/>
    <w:rsid w:val="00DC4035"/>
    <w:rsid w:val="00DC5623"/>
    <w:rsid w:val="00DC5B27"/>
    <w:rsid w:val="00DC60DF"/>
    <w:rsid w:val="00DC6513"/>
    <w:rsid w:val="00DC6652"/>
    <w:rsid w:val="00DC791E"/>
    <w:rsid w:val="00DC7F73"/>
    <w:rsid w:val="00DD053C"/>
    <w:rsid w:val="00DD0828"/>
    <w:rsid w:val="00DD0918"/>
    <w:rsid w:val="00DD0921"/>
    <w:rsid w:val="00DD0DBF"/>
    <w:rsid w:val="00DD0EBC"/>
    <w:rsid w:val="00DD0EC5"/>
    <w:rsid w:val="00DD152E"/>
    <w:rsid w:val="00DD170F"/>
    <w:rsid w:val="00DD198E"/>
    <w:rsid w:val="00DD1A01"/>
    <w:rsid w:val="00DD2018"/>
    <w:rsid w:val="00DD319E"/>
    <w:rsid w:val="00DD3B09"/>
    <w:rsid w:val="00DD3D93"/>
    <w:rsid w:val="00DD447C"/>
    <w:rsid w:val="00DD469F"/>
    <w:rsid w:val="00DD4A67"/>
    <w:rsid w:val="00DD4E7D"/>
    <w:rsid w:val="00DD4F29"/>
    <w:rsid w:val="00DD5431"/>
    <w:rsid w:val="00DD56A5"/>
    <w:rsid w:val="00DD59B3"/>
    <w:rsid w:val="00DD5E4C"/>
    <w:rsid w:val="00DD5EE4"/>
    <w:rsid w:val="00DD60BC"/>
    <w:rsid w:val="00DD6C64"/>
    <w:rsid w:val="00DD6D20"/>
    <w:rsid w:val="00DD70AE"/>
    <w:rsid w:val="00DD7FC6"/>
    <w:rsid w:val="00DE054C"/>
    <w:rsid w:val="00DE0660"/>
    <w:rsid w:val="00DE0986"/>
    <w:rsid w:val="00DE0B12"/>
    <w:rsid w:val="00DE1362"/>
    <w:rsid w:val="00DE1703"/>
    <w:rsid w:val="00DE24E1"/>
    <w:rsid w:val="00DE2B50"/>
    <w:rsid w:val="00DE2ED8"/>
    <w:rsid w:val="00DE3EBB"/>
    <w:rsid w:val="00DE4040"/>
    <w:rsid w:val="00DE4D22"/>
    <w:rsid w:val="00DE4DB2"/>
    <w:rsid w:val="00DE5B3B"/>
    <w:rsid w:val="00DE5C4C"/>
    <w:rsid w:val="00DE6340"/>
    <w:rsid w:val="00DE6AC0"/>
    <w:rsid w:val="00DE6D1F"/>
    <w:rsid w:val="00DE6D31"/>
    <w:rsid w:val="00DE7119"/>
    <w:rsid w:val="00DF0487"/>
    <w:rsid w:val="00DF06CB"/>
    <w:rsid w:val="00DF081F"/>
    <w:rsid w:val="00DF09B7"/>
    <w:rsid w:val="00DF0A1C"/>
    <w:rsid w:val="00DF0AA8"/>
    <w:rsid w:val="00DF1288"/>
    <w:rsid w:val="00DF2188"/>
    <w:rsid w:val="00DF2433"/>
    <w:rsid w:val="00DF2874"/>
    <w:rsid w:val="00DF2A5F"/>
    <w:rsid w:val="00DF33B6"/>
    <w:rsid w:val="00DF4CB6"/>
    <w:rsid w:val="00DF53D5"/>
    <w:rsid w:val="00DF58CC"/>
    <w:rsid w:val="00DF6464"/>
    <w:rsid w:val="00DF6E1A"/>
    <w:rsid w:val="00DF73D8"/>
    <w:rsid w:val="00E00C9C"/>
    <w:rsid w:val="00E01344"/>
    <w:rsid w:val="00E0203F"/>
    <w:rsid w:val="00E02254"/>
    <w:rsid w:val="00E029DE"/>
    <w:rsid w:val="00E02BCB"/>
    <w:rsid w:val="00E03E24"/>
    <w:rsid w:val="00E045DB"/>
    <w:rsid w:val="00E046C9"/>
    <w:rsid w:val="00E04C38"/>
    <w:rsid w:val="00E06069"/>
    <w:rsid w:val="00E06645"/>
    <w:rsid w:val="00E06826"/>
    <w:rsid w:val="00E07163"/>
    <w:rsid w:val="00E0782F"/>
    <w:rsid w:val="00E07C07"/>
    <w:rsid w:val="00E07D7F"/>
    <w:rsid w:val="00E07D82"/>
    <w:rsid w:val="00E102D3"/>
    <w:rsid w:val="00E10750"/>
    <w:rsid w:val="00E1129A"/>
    <w:rsid w:val="00E112B3"/>
    <w:rsid w:val="00E11D14"/>
    <w:rsid w:val="00E1262C"/>
    <w:rsid w:val="00E1273D"/>
    <w:rsid w:val="00E12F54"/>
    <w:rsid w:val="00E13253"/>
    <w:rsid w:val="00E139FB"/>
    <w:rsid w:val="00E13CD2"/>
    <w:rsid w:val="00E1424D"/>
    <w:rsid w:val="00E14F71"/>
    <w:rsid w:val="00E1571F"/>
    <w:rsid w:val="00E1576C"/>
    <w:rsid w:val="00E1615B"/>
    <w:rsid w:val="00E166AD"/>
    <w:rsid w:val="00E167BA"/>
    <w:rsid w:val="00E16A00"/>
    <w:rsid w:val="00E16A5B"/>
    <w:rsid w:val="00E16F19"/>
    <w:rsid w:val="00E17686"/>
    <w:rsid w:val="00E179F5"/>
    <w:rsid w:val="00E17DF8"/>
    <w:rsid w:val="00E200F3"/>
    <w:rsid w:val="00E20296"/>
    <w:rsid w:val="00E203E3"/>
    <w:rsid w:val="00E20726"/>
    <w:rsid w:val="00E22E76"/>
    <w:rsid w:val="00E22F5B"/>
    <w:rsid w:val="00E231FB"/>
    <w:rsid w:val="00E23310"/>
    <w:rsid w:val="00E23727"/>
    <w:rsid w:val="00E24359"/>
    <w:rsid w:val="00E24D94"/>
    <w:rsid w:val="00E25898"/>
    <w:rsid w:val="00E25AEA"/>
    <w:rsid w:val="00E25C30"/>
    <w:rsid w:val="00E25CF8"/>
    <w:rsid w:val="00E25F22"/>
    <w:rsid w:val="00E261D3"/>
    <w:rsid w:val="00E2650D"/>
    <w:rsid w:val="00E265D1"/>
    <w:rsid w:val="00E26C30"/>
    <w:rsid w:val="00E26E74"/>
    <w:rsid w:val="00E270C1"/>
    <w:rsid w:val="00E273D9"/>
    <w:rsid w:val="00E274BE"/>
    <w:rsid w:val="00E2762A"/>
    <w:rsid w:val="00E2770C"/>
    <w:rsid w:val="00E30379"/>
    <w:rsid w:val="00E30AAE"/>
    <w:rsid w:val="00E30BE4"/>
    <w:rsid w:val="00E31032"/>
    <w:rsid w:val="00E310D5"/>
    <w:rsid w:val="00E3225F"/>
    <w:rsid w:val="00E32C6D"/>
    <w:rsid w:val="00E32EA4"/>
    <w:rsid w:val="00E3328A"/>
    <w:rsid w:val="00E3331A"/>
    <w:rsid w:val="00E3337D"/>
    <w:rsid w:val="00E33590"/>
    <w:rsid w:val="00E33CB9"/>
    <w:rsid w:val="00E33EF2"/>
    <w:rsid w:val="00E33EF6"/>
    <w:rsid w:val="00E34286"/>
    <w:rsid w:val="00E34570"/>
    <w:rsid w:val="00E35957"/>
    <w:rsid w:val="00E360D2"/>
    <w:rsid w:val="00E36A30"/>
    <w:rsid w:val="00E3714F"/>
    <w:rsid w:val="00E3717B"/>
    <w:rsid w:val="00E3752A"/>
    <w:rsid w:val="00E40554"/>
    <w:rsid w:val="00E407F6"/>
    <w:rsid w:val="00E40826"/>
    <w:rsid w:val="00E40DA5"/>
    <w:rsid w:val="00E4143F"/>
    <w:rsid w:val="00E418EB"/>
    <w:rsid w:val="00E41ABE"/>
    <w:rsid w:val="00E41FE6"/>
    <w:rsid w:val="00E42114"/>
    <w:rsid w:val="00E435A4"/>
    <w:rsid w:val="00E436C4"/>
    <w:rsid w:val="00E43800"/>
    <w:rsid w:val="00E43E15"/>
    <w:rsid w:val="00E441F7"/>
    <w:rsid w:val="00E446D6"/>
    <w:rsid w:val="00E44DF5"/>
    <w:rsid w:val="00E44F13"/>
    <w:rsid w:val="00E44F2F"/>
    <w:rsid w:val="00E4555F"/>
    <w:rsid w:val="00E45BF0"/>
    <w:rsid w:val="00E46E92"/>
    <w:rsid w:val="00E4716F"/>
    <w:rsid w:val="00E47F01"/>
    <w:rsid w:val="00E501AE"/>
    <w:rsid w:val="00E507E9"/>
    <w:rsid w:val="00E508AC"/>
    <w:rsid w:val="00E51261"/>
    <w:rsid w:val="00E51563"/>
    <w:rsid w:val="00E519F4"/>
    <w:rsid w:val="00E51C86"/>
    <w:rsid w:val="00E527B6"/>
    <w:rsid w:val="00E52AE1"/>
    <w:rsid w:val="00E547CA"/>
    <w:rsid w:val="00E54B32"/>
    <w:rsid w:val="00E5512F"/>
    <w:rsid w:val="00E552B6"/>
    <w:rsid w:val="00E55A35"/>
    <w:rsid w:val="00E55B86"/>
    <w:rsid w:val="00E55ED2"/>
    <w:rsid w:val="00E56522"/>
    <w:rsid w:val="00E567E0"/>
    <w:rsid w:val="00E57EA3"/>
    <w:rsid w:val="00E60218"/>
    <w:rsid w:val="00E60704"/>
    <w:rsid w:val="00E60996"/>
    <w:rsid w:val="00E60A2B"/>
    <w:rsid w:val="00E610F9"/>
    <w:rsid w:val="00E61371"/>
    <w:rsid w:val="00E61CBB"/>
    <w:rsid w:val="00E61EDD"/>
    <w:rsid w:val="00E6269D"/>
    <w:rsid w:val="00E62CA5"/>
    <w:rsid w:val="00E62ED2"/>
    <w:rsid w:val="00E62F5E"/>
    <w:rsid w:val="00E635D4"/>
    <w:rsid w:val="00E63A7C"/>
    <w:rsid w:val="00E641A2"/>
    <w:rsid w:val="00E64CB4"/>
    <w:rsid w:val="00E64CEA"/>
    <w:rsid w:val="00E64DE6"/>
    <w:rsid w:val="00E66172"/>
    <w:rsid w:val="00E6692E"/>
    <w:rsid w:val="00E66A83"/>
    <w:rsid w:val="00E66B9E"/>
    <w:rsid w:val="00E66F17"/>
    <w:rsid w:val="00E67725"/>
    <w:rsid w:val="00E6775C"/>
    <w:rsid w:val="00E6798D"/>
    <w:rsid w:val="00E67D7D"/>
    <w:rsid w:val="00E67ED7"/>
    <w:rsid w:val="00E70F78"/>
    <w:rsid w:val="00E72142"/>
    <w:rsid w:val="00E722E4"/>
    <w:rsid w:val="00E72517"/>
    <w:rsid w:val="00E72715"/>
    <w:rsid w:val="00E72841"/>
    <w:rsid w:val="00E72EDD"/>
    <w:rsid w:val="00E73469"/>
    <w:rsid w:val="00E73693"/>
    <w:rsid w:val="00E73F55"/>
    <w:rsid w:val="00E74075"/>
    <w:rsid w:val="00E7417D"/>
    <w:rsid w:val="00E74212"/>
    <w:rsid w:val="00E74882"/>
    <w:rsid w:val="00E74D05"/>
    <w:rsid w:val="00E75366"/>
    <w:rsid w:val="00E758C5"/>
    <w:rsid w:val="00E75AC2"/>
    <w:rsid w:val="00E76102"/>
    <w:rsid w:val="00E762EF"/>
    <w:rsid w:val="00E76612"/>
    <w:rsid w:val="00E76A15"/>
    <w:rsid w:val="00E77A6A"/>
    <w:rsid w:val="00E77FA8"/>
    <w:rsid w:val="00E80089"/>
    <w:rsid w:val="00E8045F"/>
    <w:rsid w:val="00E805F5"/>
    <w:rsid w:val="00E8094C"/>
    <w:rsid w:val="00E80B8D"/>
    <w:rsid w:val="00E80CC2"/>
    <w:rsid w:val="00E80F28"/>
    <w:rsid w:val="00E811D6"/>
    <w:rsid w:val="00E82446"/>
    <w:rsid w:val="00E8254E"/>
    <w:rsid w:val="00E82948"/>
    <w:rsid w:val="00E830AE"/>
    <w:rsid w:val="00E832F5"/>
    <w:rsid w:val="00E8338A"/>
    <w:rsid w:val="00E8347A"/>
    <w:rsid w:val="00E8348D"/>
    <w:rsid w:val="00E83522"/>
    <w:rsid w:val="00E8359C"/>
    <w:rsid w:val="00E83C31"/>
    <w:rsid w:val="00E83CC2"/>
    <w:rsid w:val="00E841A8"/>
    <w:rsid w:val="00E8452C"/>
    <w:rsid w:val="00E84A37"/>
    <w:rsid w:val="00E84B3F"/>
    <w:rsid w:val="00E84BE0"/>
    <w:rsid w:val="00E84CB4"/>
    <w:rsid w:val="00E8524E"/>
    <w:rsid w:val="00E8566B"/>
    <w:rsid w:val="00E85834"/>
    <w:rsid w:val="00E85EAD"/>
    <w:rsid w:val="00E861D2"/>
    <w:rsid w:val="00E86ECA"/>
    <w:rsid w:val="00E87BA7"/>
    <w:rsid w:val="00E90028"/>
    <w:rsid w:val="00E90259"/>
    <w:rsid w:val="00E902ED"/>
    <w:rsid w:val="00E9036B"/>
    <w:rsid w:val="00E903D9"/>
    <w:rsid w:val="00E906C7"/>
    <w:rsid w:val="00E91B15"/>
    <w:rsid w:val="00E91B75"/>
    <w:rsid w:val="00E92635"/>
    <w:rsid w:val="00E93871"/>
    <w:rsid w:val="00E93B9E"/>
    <w:rsid w:val="00E93C0F"/>
    <w:rsid w:val="00E93C75"/>
    <w:rsid w:val="00E93CF0"/>
    <w:rsid w:val="00E949BB"/>
    <w:rsid w:val="00E9560B"/>
    <w:rsid w:val="00E9563A"/>
    <w:rsid w:val="00E957D2"/>
    <w:rsid w:val="00E95989"/>
    <w:rsid w:val="00E95C84"/>
    <w:rsid w:val="00E95EA7"/>
    <w:rsid w:val="00E95F7B"/>
    <w:rsid w:val="00E9697B"/>
    <w:rsid w:val="00E96AEA"/>
    <w:rsid w:val="00E96E83"/>
    <w:rsid w:val="00E972AA"/>
    <w:rsid w:val="00E97584"/>
    <w:rsid w:val="00E976C2"/>
    <w:rsid w:val="00E97A8B"/>
    <w:rsid w:val="00E97E02"/>
    <w:rsid w:val="00E97E1F"/>
    <w:rsid w:val="00E97EF0"/>
    <w:rsid w:val="00EA03C7"/>
    <w:rsid w:val="00EA03E9"/>
    <w:rsid w:val="00EA066F"/>
    <w:rsid w:val="00EA11F1"/>
    <w:rsid w:val="00EA198F"/>
    <w:rsid w:val="00EA1B1B"/>
    <w:rsid w:val="00EA1BA4"/>
    <w:rsid w:val="00EA23BC"/>
    <w:rsid w:val="00EA469C"/>
    <w:rsid w:val="00EA4EB1"/>
    <w:rsid w:val="00EA5491"/>
    <w:rsid w:val="00EA56E1"/>
    <w:rsid w:val="00EA5701"/>
    <w:rsid w:val="00EA6BEF"/>
    <w:rsid w:val="00EA71DF"/>
    <w:rsid w:val="00EA7846"/>
    <w:rsid w:val="00EA7974"/>
    <w:rsid w:val="00EA7AD1"/>
    <w:rsid w:val="00EB049B"/>
    <w:rsid w:val="00EB09A3"/>
    <w:rsid w:val="00EB11D9"/>
    <w:rsid w:val="00EB1545"/>
    <w:rsid w:val="00EB1E68"/>
    <w:rsid w:val="00EB23D7"/>
    <w:rsid w:val="00EB2542"/>
    <w:rsid w:val="00EB2578"/>
    <w:rsid w:val="00EB25A0"/>
    <w:rsid w:val="00EB260A"/>
    <w:rsid w:val="00EB2837"/>
    <w:rsid w:val="00EB2AF1"/>
    <w:rsid w:val="00EB2C33"/>
    <w:rsid w:val="00EB2D49"/>
    <w:rsid w:val="00EB2E58"/>
    <w:rsid w:val="00EB33B5"/>
    <w:rsid w:val="00EB46A5"/>
    <w:rsid w:val="00EB50A9"/>
    <w:rsid w:val="00EB54E7"/>
    <w:rsid w:val="00EB57AF"/>
    <w:rsid w:val="00EB5C26"/>
    <w:rsid w:val="00EB5E19"/>
    <w:rsid w:val="00EB6566"/>
    <w:rsid w:val="00EB6993"/>
    <w:rsid w:val="00EB69F2"/>
    <w:rsid w:val="00EC0378"/>
    <w:rsid w:val="00EC03BA"/>
    <w:rsid w:val="00EC081F"/>
    <w:rsid w:val="00EC09B5"/>
    <w:rsid w:val="00EC0A88"/>
    <w:rsid w:val="00EC0CCC"/>
    <w:rsid w:val="00EC1134"/>
    <w:rsid w:val="00EC1199"/>
    <w:rsid w:val="00EC191C"/>
    <w:rsid w:val="00EC1CB3"/>
    <w:rsid w:val="00EC1D29"/>
    <w:rsid w:val="00EC21A7"/>
    <w:rsid w:val="00EC220D"/>
    <w:rsid w:val="00EC260C"/>
    <w:rsid w:val="00EC375D"/>
    <w:rsid w:val="00EC3B43"/>
    <w:rsid w:val="00EC3E66"/>
    <w:rsid w:val="00EC4049"/>
    <w:rsid w:val="00EC4C55"/>
    <w:rsid w:val="00EC4E90"/>
    <w:rsid w:val="00EC5048"/>
    <w:rsid w:val="00EC57B7"/>
    <w:rsid w:val="00EC596C"/>
    <w:rsid w:val="00EC597C"/>
    <w:rsid w:val="00EC5D88"/>
    <w:rsid w:val="00EC6C83"/>
    <w:rsid w:val="00EC6D9B"/>
    <w:rsid w:val="00EC7A22"/>
    <w:rsid w:val="00EC7EA5"/>
    <w:rsid w:val="00ED0D95"/>
    <w:rsid w:val="00ED11BB"/>
    <w:rsid w:val="00ED15B6"/>
    <w:rsid w:val="00ED16D8"/>
    <w:rsid w:val="00ED1927"/>
    <w:rsid w:val="00ED1972"/>
    <w:rsid w:val="00ED23B8"/>
    <w:rsid w:val="00ED3460"/>
    <w:rsid w:val="00ED359D"/>
    <w:rsid w:val="00ED3901"/>
    <w:rsid w:val="00ED394E"/>
    <w:rsid w:val="00ED3D8E"/>
    <w:rsid w:val="00ED3DF6"/>
    <w:rsid w:val="00ED4380"/>
    <w:rsid w:val="00ED4613"/>
    <w:rsid w:val="00ED4BCD"/>
    <w:rsid w:val="00ED52B1"/>
    <w:rsid w:val="00ED55F6"/>
    <w:rsid w:val="00ED59A0"/>
    <w:rsid w:val="00ED69A1"/>
    <w:rsid w:val="00ED6AE1"/>
    <w:rsid w:val="00ED6E25"/>
    <w:rsid w:val="00ED7410"/>
    <w:rsid w:val="00ED7841"/>
    <w:rsid w:val="00ED7CB9"/>
    <w:rsid w:val="00EE0B28"/>
    <w:rsid w:val="00EE13AE"/>
    <w:rsid w:val="00EE1480"/>
    <w:rsid w:val="00EE1BFF"/>
    <w:rsid w:val="00EE1D71"/>
    <w:rsid w:val="00EE2588"/>
    <w:rsid w:val="00EE27D3"/>
    <w:rsid w:val="00EE2F93"/>
    <w:rsid w:val="00EE3D91"/>
    <w:rsid w:val="00EE4005"/>
    <w:rsid w:val="00EE40EC"/>
    <w:rsid w:val="00EE432B"/>
    <w:rsid w:val="00EE4407"/>
    <w:rsid w:val="00EE4CB4"/>
    <w:rsid w:val="00EE4E26"/>
    <w:rsid w:val="00EE5029"/>
    <w:rsid w:val="00EE515E"/>
    <w:rsid w:val="00EE5638"/>
    <w:rsid w:val="00EE572F"/>
    <w:rsid w:val="00EE5E76"/>
    <w:rsid w:val="00EE6056"/>
    <w:rsid w:val="00EE6070"/>
    <w:rsid w:val="00EE628C"/>
    <w:rsid w:val="00EE70A7"/>
    <w:rsid w:val="00EE7107"/>
    <w:rsid w:val="00EE715D"/>
    <w:rsid w:val="00EE7713"/>
    <w:rsid w:val="00EE7A80"/>
    <w:rsid w:val="00EF00EE"/>
    <w:rsid w:val="00EF0591"/>
    <w:rsid w:val="00EF074A"/>
    <w:rsid w:val="00EF08B7"/>
    <w:rsid w:val="00EF0C50"/>
    <w:rsid w:val="00EF12F7"/>
    <w:rsid w:val="00EF13CD"/>
    <w:rsid w:val="00EF1A42"/>
    <w:rsid w:val="00EF1FC5"/>
    <w:rsid w:val="00EF244F"/>
    <w:rsid w:val="00EF2E3D"/>
    <w:rsid w:val="00EF3114"/>
    <w:rsid w:val="00EF31DC"/>
    <w:rsid w:val="00EF3520"/>
    <w:rsid w:val="00EF36C2"/>
    <w:rsid w:val="00EF382F"/>
    <w:rsid w:val="00EF3A82"/>
    <w:rsid w:val="00EF42CB"/>
    <w:rsid w:val="00EF4FB4"/>
    <w:rsid w:val="00EF502B"/>
    <w:rsid w:val="00EF51E0"/>
    <w:rsid w:val="00EF5530"/>
    <w:rsid w:val="00EF5A9D"/>
    <w:rsid w:val="00EF5BE2"/>
    <w:rsid w:val="00EF5ECE"/>
    <w:rsid w:val="00EF6349"/>
    <w:rsid w:val="00EF665B"/>
    <w:rsid w:val="00EF6741"/>
    <w:rsid w:val="00EF686B"/>
    <w:rsid w:val="00EF69F5"/>
    <w:rsid w:val="00EF6A76"/>
    <w:rsid w:val="00EF6E33"/>
    <w:rsid w:val="00EF6F97"/>
    <w:rsid w:val="00EF75F7"/>
    <w:rsid w:val="00EF78E1"/>
    <w:rsid w:val="00F00099"/>
    <w:rsid w:val="00F001F3"/>
    <w:rsid w:val="00F00587"/>
    <w:rsid w:val="00F008F9"/>
    <w:rsid w:val="00F00D15"/>
    <w:rsid w:val="00F016A6"/>
    <w:rsid w:val="00F02155"/>
    <w:rsid w:val="00F0282E"/>
    <w:rsid w:val="00F028BD"/>
    <w:rsid w:val="00F0360E"/>
    <w:rsid w:val="00F03BCF"/>
    <w:rsid w:val="00F046DA"/>
    <w:rsid w:val="00F0577C"/>
    <w:rsid w:val="00F059F8"/>
    <w:rsid w:val="00F0669A"/>
    <w:rsid w:val="00F0718D"/>
    <w:rsid w:val="00F07B71"/>
    <w:rsid w:val="00F10892"/>
    <w:rsid w:val="00F1157A"/>
    <w:rsid w:val="00F11C61"/>
    <w:rsid w:val="00F11CF3"/>
    <w:rsid w:val="00F12151"/>
    <w:rsid w:val="00F1270E"/>
    <w:rsid w:val="00F1338C"/>
    <w:rsid w:val="00F1341D"/>
    <w:rsid w:val="00F134C9"/>
    <w:rsid w:val="00F13625"/>
    <w:rsid w:val="00F1385C"/>
    <w:rsid w:val="00F13A13"/>
    <w:rsid w:val="00F13B92"/>
    <w:rsid w:val="00F13F52"/>
    <w:rsid w:val="00F14421"/>
    <w:rsid w:val="00F14464"/>
    <w:rsid w:val="00F14707"/>
    <w:rsid w:val="00F14CF0"/>
    <w:rsid w:val="00F14EC3"/>
    <w:rsid w:val="00F150AC"/>
    <w:rsid w:val="00F151C2"/>
    <w:rsid w:val="00F15907"/>
    <w:rsid w:val="00F15C37"/>
    <w:rsid w:val="00F15DDA"/>
    <w:rsid w:val="00F1640F"/>
    <w:rsid w:val="00F16B5E"/>
    <w:rsid w:val="00F16D3F"/>
    <w:rsid w:val="00F174BD"/>
    <w:rsid w:val="00F174D4"/>
    <w:rsid w:val="00F175B5"/>
    <w:rsid w:val="00F17636"/>
    <w:rsid w:val="00F17752"/>
    <w:rsid w:val="00F17887"/>
    <w:rsid w:val="00F17A94"/>
    <w:rsid w:val="00F20284"/>
    <w:rsid w:val="00F203A4"/>
    <w:rsid w:val="00F206C7"/>
    <w:rsid w:val="00F2123C"/>
    <w:rsid w:val="00F2125D"/>
    <w:rsid w:val="00F213EB"/>
    <w:rsid w:val="00F21F78"/>
    <w:rsid w:val="00F224B0"/>
    <w:rsid w:val="00F22FDF"/>
    <w:rsid w:val="00F2361B"/>
    <w:rsid w:val="00F23FCE"/>
    <w:rsid w:val="00F24221"/>
    <w:rsid w:val="00F24BFA"/>
    <w:rsid w:val="00F24E80"/>
    <w:rsid w:val="00F254D2"/>
    <w:rsid w:val="00F2573E"/>
    <w:rsid w:val="00F257FD"/>
    <w:rsid w:val="00F25DDF"/>
    <w:rsid w:val="00F260B7"/>
    <w:rsid w:val="00F26190"/>
    <w:rsid w:val="00F263E0"/>
    <w:rsid w:val="00F2651F"/>
    <w:rsid w:val="00F26B8D"/>
    <w:rsid w:val="00F27B75"/>
    <w:rsid w:val="00F27C5D"/>
    <w:rsid w:val="00F30355"/>
    <w:rsid w:val="00F303F3"/>
    <w:rsid w:val="00F3044F"/>
    <w:rsid w:val="00F31273"/>
    <w:rsid w:val="00F31D15"/>
    <w:rsid w:val="00F323B0"/>
    <w:rsid w:val="00F327E4"/>
    <w:rsid w:val="00F328CF"/>
    <w:rsid w:val="00F32D78"/>
    <w:rsid w:val="00F33033"/>
    <w:rsid w:val="00F330B6"/>
    <w:rsid w:val="00F33188"/>
    <w:rsid w:val="00F33AA6"/>
    <w:rsid w:val="00F33F17"/>
    <w:rsid w:val="00F34341"/>
    <w:rsid w:val="00F347F0"/>
    <w:rsid w:val="00F34B9F"/>
    <w:rsid w:val="00F352F5"/>
    <w:rsid w:val="00F35DEB"/>
    <w:rsid w:val="00F362C1"/>
    <w:rsid w:val="00F3631C"/>
    <w:rsid w:val="00F363FE"/>
    <w:rsid w:val="00F36445"/>
    <w:rsid w:val="00F367CA"/>
    <w:rsid w:val="00F378DB"/>
    <w:rsid w:val="00F406D1"/>
    <w:rsid w:val="00F40746"/>
    <w:rsid w:val="00F41955"/>
    <w:rsid w:val="00F41AB3"/>
    <w:rsid w:val="00F41E5A"/>
    <w:rsid w:val="00F41EF8"/>
    <w:rsid w:val="00F42228"/>
    <w:rsid w:val="00F4246D"/>
    <w:rsid w:val="00F42732"/>
    <w:rsid w:val="00F42C25"/>
    <w:rsid w:val="00F42F5C"/>
    <w:rsid w:val="00F437DD"/>
    <w:rsid w:val="00F4385D"/>
    <w:rsid w:val="00F441EF"/>
    <w:rsid w:val="00F44B6D"/>
    <w:rsid w:val="00F45131"/>
    <w:rsid w:val="00F45388"/>
    <w:rsid w:val="00F456A3"/>
    <w:rsid w:val="00F45905"/>
    <w:rsid w:val="00F45BFC"/>
    <w:rsid w:val="00F46221"/>
    <w:rsid w:val="00F463CC"/>
    <w:rsid w:val="00F46971"/>
    <w:rsid w:val="00F47327"/>
    <w:rsid w:val="00F473AA"/>
    <w:rsid w:val="00F47864"/>
    <w:rsid w:val="00F47AA9"/>
    <w:rsid w:val="00F47C0C"/>
    <w:rsid w:val="00F50AF9"/>
    <w:rsid w:val="00F50FBF"/>
    <w:rsid w:val="00F5116A"/>
    <w:rsid w:val="00F51465"/>
    <w:rsid w:val="00F5168D"/>
    <w:rsid w:val="00F517D4"/>
    <w:rsid w:val="00F51985"/>
    <w:rsid w:val="00F51E39"/>
    <w:rsid w:val="00F5203F"/>
    <w:rsid w:val="00F520DD"/>
    <w:rsid w:val="00F5216A"/>
    <w:rsid w:val="00F525CC"/>
    <w:rsid w:val="00F528D7"/>
    <w:rsid w:val="00F53286"/>
    <w:rsid w:val="00F5396A"/>
    <w:rsid w:val="00F53F2C"/>
    <w:rsid w:val="00F54ADB"/>
    <w:rsid w:val="00F54AEB"/>
    <w:rsid w:val="00F54E6A"/>
    <w:rsid w:val="00F54F2F"/>
    <w:rsid w:val="00F55237"/>
    <w:rsid w:val="00F55AB2"/>
    <w:rsid w:val="00F55BE0"/>
    <w:rsid w:val="00F5605F"/>
    <w:rsid w:val="00F562A8"/>
    <w:rsid w:val="00F56542"/>
    <w:rsid w:val="00F56A98"/>
    <w:rsid w:val="00F56EF8"/>
    <w:rsid w:val="00F5703E"/>
    <w:rsid w:val="00F5740A"/>
    <w:rsid w:val="00F574BB"/>
    <w:rsid w:val="00F60056"/>
    <w:rsid w:val="00F60064"/>
    <w:rsid w:val="00F605B7"/>
    <w:rsid w:val="00F60663"/>
    <w:rsid w:val="00F60B0E"/>
    <w:rsid w:val="00F62007"/>
    <w:rsid w:val="00F624CF"/>
    <w:rsid w:val="00F6262A"/>
    <w:rsid w:val="00F62F63"/>
    <w:rsid w:val="00F636C8"/>
    <w:rsid w:val="00F63F9A"/>
    <w:rsid w:val="00F64000"/>
    <w:rsid w:val="00F640AB"/>
    <w:rsid w:val="00F641E9"/>
    <w:rsid w:val="00F645C4"/>
    <w:rsid w:val="00F64DA3"/>
    <w:rsid w:val="00F65077"/>
    <w:rsid w:val="00F65321"/>
    <w:rsid w:val="00F653A1"/>
    <w:rsid w:val="00F6560E"/>
    <w:rsid w:val="00F6594A"/>
    <w:rsid w:val="00F65FF6"/>
    <w:rsid w:val="00F66D1B"/>
    <w:rsid w:val="00F676E6"/>
    <w:rsid w:val="00F67A14"/>
    <w:rsid w:val="00F700E4"/>
    <w:rsid w:val="00F70B88"/>
    <w:rsid w:val="00F716EB"/>
    <w:rsid w:val="00F717BA"/>
    <w:rsid w:val="00F71B4B"/>
    <w:rsid w:val="00F71C2C"/>
    <w:rsid w:val="00F71CBA"/>
    <w:rsid w:val="00F7214C"/>
    <w:rsid w:val="00F72157"/>
    <w:rsid w:val="00F728C7"/>
    <w:rsid w:val="00F7291F"/>
    <w:rsid w:val="00F7324F"/>
    <w:rsid w:val="00F7347F"/>
    <w:rsid w:val="00F7362A"/>
    <w:rsid w:val="00F73935"/>
    <w:rsid w:val="00F739AA"/>
    <w:rsid w:val="00F73BA3"/>
    <w:rsid w:val="00F7428D"/>
    <w:rsid w:val="00F7437B"/>
    <w:rsid w:val="00F74876"/>
    <w:rsid w:val="00F74D15"/>
    <w:rsid w:val="00F74F38"/>
    <w:rsid w:val="00F75153"/>
    <w:rsid w:val="00F753F0"/>
    <w:rsid w:val="00F75472"/>
    <w:rsid w:val="00F7558B"/>
    <w:rsid w:val="00F75742"/>
    <w:rsid w:val="00F7581E"/>
    <w:rsid w:val="00F760C6"/>
    <w:rsid w:val="00F760F6"/>
    <w:rsid w:val="00F76A71"/>
    <w:rsid w:val="00F76AC9"/>
    <w:rsid w:val="00F76EB4"/>
    <w:rsid w:val="00F7704E"/>
    <w:rsid w:val="00F77558"/>
    <w:rsid w:val="00F77DDC"/>
    <w:rsid w:val="00F80742"/>
    <w:rsid w:val="00F808D6"/>
    <w:rsid w:val="00F81C04"/>
    <w:rsid w:val="00F81C13"/>
    <w:rsid w:val="00F81CB9"/>
    <w:rsid w:val="00F8285F"/>
    <w:rsid w:val="00F832B0"/>
    <w:rsid w:val="00F83C1F"/>
    <w:rsid w:val="00F83CFD"/>
    <w:rsid w:val="00F84DE0"/>
    <w:rsid w:val="00F85460"/>
    <w:rsid w:val="00F85615"/>
    <w:rsid w:val="00F8580D"/>
    <w:rsid w:val="00F85DED"/>
    <w:rsid w:val="00F8633B"/>
    <w:rsid w:val="00F86675"/>
    <w:rsid w:val="00F86D74"/>
    <w:rsid w:val="00F875BA"/>
    <w:rsid w:val="00F87AE6"/>
    <w:rsid w:val="00F87F42"/>
    <w:rsid w:val="00F900A2"/>
    <w:rsid w:val="00F9057C"/>
    <w:rsid w:val="00F90655"/>
    <w:rsid w:val="00F906A3"/>
    <w:rsid w:val="00F906B4"/>
    <w:rsid w:val="00F9096B"/>
    <w:rsid w:val="00F90E57"/>
    <w:rsid w:val="00F90F92"/>
    <w:rsid w:val="00F91060"/>
    <w:rsid w:val="00F9166D"/>
    <w:rsid w:val="00F916C3"/>
    <w:rsid w:val="00F916CE"/>
    <w:rsid w:val="00F91A38"/>
    <w:rsid w:val="00F92344"/>
    <w:rsid w:val="00F923A8"/>
    <w:rsid w:val="00F925FC"/>
    <w:rsid w:val="00F92A5D"/>
    <w:rsid w:val="00F92CD1"/>
    <w:rsid w:val="00F93469"/>
    <w:rsid w:val="00F93FE3"/>
    <w:rsid w:val="00F93FF7"/>
    <w:rsid w:val="00F94113"/>
    <w:rsid w:val="00F945E8"/>
    <w:rsid w:val="00F946BB"/>
    <w:rsid w:val="00F9499C"/>
    <w:rsid w:val="00F94CE7"/>
    <w:rsid w:val="00F94DBD"/>
    <w:rsid w:val="00F94E9C"/>
    <w:rsid w:val="00F94F07"/>
    <w:rsid w:val="00F953FD"/>
    <w:rsid w:val="00F9573D"/>
    <w:rsid w:val="00F95D61"/>
    <w:rsid w:val="00F95E94"/>
    <w:rsid w:val="00F95FCE"/>
    <w:rsid w:val="00F96230"/>
    <w:rsid w:val="00F96427"/>
    <w:rsid w:val="00F96DE9"/>
    <w:rsid w:val="00F97A40"/>
    <w:rsid w:val="00F97DC3"/>
    <w:rsid w:val="00FA0027"/>
    <w:rsid w:val="00FA0171"/>
    <w:rsid w:val="00FA0A9C"/>
    <w:rsid w:val="00FA0D7F"/>
    <w:rsid w:val="00FA0EF7"/>
    <w:rsid w:val="00FA0FD2"/>
    <w:rsid w:val="00FA1877"/>
    <w:rsid w:val="00FA1D70"/>
    <w:rsid w:val="00FA20F2"/>
    <w:rsid w:val="00FA2246"/>
    <w:rsid w:val="00FA23B4"/>
    <w:rsid w:val="00FA2BA9"/>
    <w:rsid w:val="00FA2C6D"/>
    <w:rsid w:val="00FA2E6B"/>
    <w:rsid w:val="00FA3514"/>
    <w:rsid w:val="00FA374D"/>
    <w:rsid w:val="00FA4828"/>
    <w:rsid w:val="00FA4A11"/>
    <w:rsid w:val="00FA5152"/>
    <w:rsid w:val="00FA51C7"/>
    <w:rsid w:val="00FA5800"/>
    <w:rsid w:val="00FA6181"/>
    <w:rsid w:val="00FA63C0"/>
    <w:rsid w:val="00FA71E4"/>
    <w:rsid w:val="00FA7253"/>
    <w:rsid w:val="00FA79BF"/>
    <w:rsid w:val="00FA7F4F"/>
    <w:rsid w:val="00FB01DB"/>
    <w:rsid w:val="00FB0B29"/>
    <w:rsid w:val="00FB0C36"/>
    <w:rsid w:val="00FB106B"/>
    <w:rsid w:val="00FB12D6"/>
    <w:rsid w:val="00FB132F"/>
    <w:rsid w:val="00FB15FE"/>
    <w:rsid w:val="00FB1823"/>
    <w:rsid w:val="00FB1C2E"/>
    <w:rsid w:val="00FB1D45"/>
    <w:rsid w:val="00FB2028"/>
    <w:rsid w:val="00FB24EF"/>
    <w:rsid w:val="00FB2726"/>
    <w:rsid w:val="00FB2E0F"/>
    <w:rsid w:val="00FB3361"/>
    <w:rsid w:val="00FB33A7"/>
    <w:rsid w:val="00FB33C3"/>
    <w:rsid w:val="00FB3513"/>
    <w:rsid w:val="00FB3B80"/>
    <w:rsid w:val="00FB3CFD"/>
    <w:rsid w:val="00FB4A5E"/>
    <w:rsid w:val="00FB4D0B"/>
    <w:rsid w:val="00FB4E50"/>
    <w:rsid w:val="00FB4F37"/>
    <w:rsid w:val="00FB5148"/>
    <w:rsid w:val="00FB5D67"/>
    <w:rsid w:val="00FB664D"/>
    <w:rsid w:val="00FB6A12"/>
    <w:rsid w:val="00FB6B59"/>
    <w:rsid w:val="00FB6F1D"/>
    <w:rsid w:val="00FB779E"/>
    <w:rsid w:val="00FC02BD"/>
    <w:rsid w:val="00FC0575"/>
    <w:rsid w:val="00FC0926"/>
    <w:rsid w:val="00FC0C21"/>
    <w:rsid w:val="00FC0E33"/>
    <w:rsid w:val="00FC139C"/>
    <w:rsid w:val="00FC16FE"/>
    <w:rsid w:val="00FC18D5"/>
    <w:rsid w:val="00FC23BF"/>
    <w:rsid w:val="00FC2806"/>
    <w:rsid w:val="00FC2A6C"/>
    <w:rsid w:val="00FC2BB4"/>
    <w:rsid w:val="00FC3334"/>
    <w:rsid w:val="00FC33B5"/>
    <w:rsid w:val="00FC350B"/>
    <w:rsid w:val="00FC38C6"/>
    <w:rsid w:val="00FC39D3"/>
    <w:rsid w:val="00FC3DF9"/>
    <w:rsid w:val="00FC412B"/>
    <w:rsid w:val="00FC4CA7"/>
    <w:rsid w:val="00FC5050"/>
    <w:rsid w:val="00FC5A3F"/>
    <w:rsid w:val="00FC5FAF"/>
    <w:rsid w:val="00FC6032"/>
    <w:rsid w:val="00FC659B"/>
    <w:rsid w:val="00FC66A1"/>
    <w:rsid w:val="00FC6C11"/>
    <w:rsid w:val="00FC6F69"/>
    <w:rsid w:val="00FC72BB"/>
    <w:rsid w:val="00FC7822"/>
    <w:rsid w:val="00FC79F8"/>
    <w:rsid w:val="00FC7DD1"/>
    <w:rsid w:val="00FD1122"/>
    <w:rsid w:val="00FD11AA"/>
    <w:rsid w:val="00FD1351"/>
    <w:rsid w:val="00FD15DE"/>
    <w:rsid w:val="00FD1787"/>
    <w:rsid w:val="00FD1A0C"/>
    <w:rsid w:val="00FD1A5A"/>
    <w:rsid w:val="00FD1B4C"/>
    <w:rsid w:val="00FD1D9B"/>
    <w:rsid w:val="00FD1E54"/>
    <w:rsid w:val="00FD2486"/>
    <w:rsid w:val="00FD26A8"/>
    <w:rsid w:val="00FD297E"/>
    <w:rsid w:val="00FD2BDF"/>
    <w:rsid w:val="00FD30C7"/>
    <w:rsid w:val="00FD38E9"/>
    <w:rsid w:val="00FD403E"/>
    <w:rsid w:val="00FD412A"/>
    <w:rsid w:val="00FD422C"/>
    <w:rsid w:val="00FD458A"/>
    <w:rsid w:val="00FD46E9"/>
    <w:rsid w:val="00FD518C"/>
    <w:rsid w:val="00FD53C0"/>
    <w:rsid w:val="00FD5832"/>
    <w:rsid w:val="00FD5A1D"/>
    <w:rsid w:val="00FD5A2A"/>
    <w:rsid w:val="00FD5B18"/>
    <w:rsid w:val="00FD6892"/>
    <w:rsid w:val="00FD6B07"/>
    <w:rsid w:val="00FD7451"/>
    <w:rsid w:val="00FD75F8"/>
    <w:rsid w:val="00FD7A60"/>
    <w:rsid w:val="00FD7BC3"/>
    <w:rsid w:val="00FE0082"/>
    <w:rsid w:val="00FE024A"/>
    <w:rsid w:val="00FE05B8"/>
    <w:rsid w:val="00FE06F8"/>
    <w:rsid w:val="00FE0A5B"/>
    <w:rsid w:val="00FE0E05"/>
    <w:rsid w:val="00FE1E66"/>
    <w:rsid w:val="00FE257E"/>
    <w:rsid w:val="00FE25C5"/>
    <w:rsid w:val="00FE270D"/>
    <w:rsid w:val="00FE2946"/>
    <w:rsid w:val="00FE2E22"/>
    <w:rsid w:val="00FE302D"/>
    <w:rsid w:val="00FE332D"/>
    <w:rsid w:val="00FE36DF"/>
    <w:rsid w:val="00FE3A00"/>
    <w:rsid w:val="00FE3BFA"/>
    <w:rsid w:val="00FE3E84"/>
    <w:rsid w:val="00FE407B"/>
    <w:rsid w:val="00FE423A"/>
    <w:rsid w:val="00FE42EA"/>
    <w:rsid w:val="00FE4425"/>
    <w:rsid w:val="00FE46CF"/>
    <w:rsid w:val="00FE4CCF"/>
    <w:rsid w:val="00FE4E37"/>
    <w:rsid w:val="00FE4EB2"/>
    <w:rsid w:val="00FE4FA8"/>
    <w:rsid w:val="00FE50C9"/>
    <w:rsid w:val="00FE54A3"/>
    <w:rsid w:val="00FE59FC"/>
    <w:rsid w:val="00FE6010"/>
    <w:rsid w:val="00FE6744"/>
    <w:rsid w:val="00FE6E6A"/>
    <w:rsid w:val="00FE70AC"/>
    <w:rsid w:val="00FE73BD"/>
    <w:rsid w:val="00FE79E3"/>
    <w:rsid w:val="00FF03FA"/>
    <w:rsid w:val="00FF09DA"/>
    <w:rsid w:val="00FF0AC3"/>
    <w:rsid w:val="00FF0DBF"/>
    <w:rsid w:val="00FF1A1B"/>
    <w:rsid w:val="00FF2790"/>
    <w:rsid w:val="00FF2956"/>
    <w:rsid w:val="00FF2AA2"/>
    <w:rsid w:val="00FF2DFA"/>
    <w:rsid w:val="00FF387C"/>
    <w:rsid w:val="00FF3B7C"/>
    <w:rsid w:val="00FF3F67"/>
    <w:rsid w:val="00FF4255"/>
    <w:rsid w:val="00FF4549"/>
    <w:rsid w:val="00FF4F34"/>
    <w:rsid w:val="00FF58B3"/>
    <w:rsid w:val="00FF5B72"/>
    <w:rsid w:val="00FF5ED8"/>
    <w:rsid w:val="00FF6378"/>
    <w:rsid w:val="00FF6579"/>
    <w:rsid w:val="00FF6945"/>
    <w:rsid w:val="00FF6A85"/>
    <w:rsid w:val="00FF6CB5"/>
    <w:rsid w:val="00FF72AC"/>
    <w:rsid w:val="00FF73B4"/>
    <w:rsid w:val="00FF7909"/>
    <w:rsid w:val="00FF797D"/>
    <w:rsid w:val="00FF7C6B"/>
    <w:rsid w:val="00FF7C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DF7"/>
    <w:pPr>
      <w:spacing w:after="100" w:line="400" w:lineRule="exact"/>
      <w:jc w:val="both"/>
    </w:pPr>
    <w:rPr>
      <w:rFonts w:ascii="Century Schoolbook" w:hAnsi="Century Schoolbook"/>
      <w:sz w:val="27"/>
    </w:rPr>
  </w:style>
  <w:style w:type="paragraph" w:styleId="Heading1">
    <w:name w:val="heading 1"/>
    <w:basedOn w:val="Normal"/>
    <w:next w:val="Normal"/>
    <w:qFormat/>
    <w:rsid w:val="00901DF7"/>
    <w:pPr>
      <w:keepNext/>
      <w:spacing w:before="140" w:line="240" w:lineRule="atLeast"/>
      <w:jc w:val="center"/>
      <w:outlineLvl w:val="0"/>
    </w:pPr>
    <w:rPr>
      <w:b/>
      <w:smallCaps/>
    </w:rPr>
  </w:style>
  <w:style w:type="paragraph" w:styleId="Heading2">
    <w:name w:val="heading 2"/>
    <w:basedOn w:val="Normal"/>
    <w:next w:val="Normal"/>
    <w:qFormat/>
    <w:rsid w:val="00901DF7"/>
    <w:pPr>
      <w:keepNext/>
      <w:tabs>
        <w:tab w:val="left" w:pos="1152"/>
      </w:tabs>
      <w:spacing w:before="140" w:line="240" w:lineRule="atLeast"/>
      <w:ind w:left="1152" w:hanging="432"/>
      <w:jc w:val="left"/>
      <w:outlineLvl w:val="1"/>
    </w:pPr>
    <w:rPr>
      <w:b/>
    </w:rPr>
  </w:style>
  <w:style w:type="paragraph" w:styleId="Heading3">
    <w:name w:val="heading 3"/>
    <w:basedOn w:val="Normal"/>
    <w:next w:val="NormalIndent"/>
    <w:qFormat/>
    <w:rsid w:val="00901DF7"/>
    <w:pPr>
      <w:keepNext/>
      <w:tabs>
        <w:tab w:val="left" w:pos="1584"/>
      </w:tabs>
      <w:spacing w:before="140" w:line="240" w:lineRule="atLeast"/>
      <w:ind w:left="1584" w:hanging="432"/>
      <w:jc w:val="left"/>
      <w:outlineLvl w:val="2"/>
    </w:pPr>
    <w:rPr>
      <w:i/>
    </w:rPr>
  </w:style>
  <w:style w:type="paragraph" w:styleId="Heading4">
    <w:name w:val="heading 4"/>
    <w:basedOn w:val="Normal"/>
    <w:rsid w:val="00901DF7"/>
    <w:pPr>
      <w:keepNext/>
      <w:tabs>
        <w:tab w:val="left" w:pos="2016"/>
      </w:tabs>
      <w:spacing w:before="140" w:line="240" w:lineRule="atLeast"/>
      <w:ind w:left="2016" w:hanging="432"/>
      <w:jc w:val="left"/>
      <w:outlineLvl w:val="3"/>
    </w:pPr>
    <w:rPr>
      <w:i/>
    </w:rPr>
  </w:style>
  <w:style w:type="paragraph" w:styleId="Heading5">
    <w:name w:val="heading 5"/>
    <w:basedOn w:val="Normal"/>
    <w:rsid w:val="00901DF7"/>
    <w:pPr>
      <w:keepNext/>
      <w:tabs>
        <w:tab w:val="left" w:pos="2448"/>
      </w:tabs>
      <w:spacing w:before="140" w:line="240" w:lineRule="atLeast"/>
      <w:ind w:left="2448" w:hanging="432"/>
      <w:jc w:val="lef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901DF7"/>
    <w:pPr>
      <w:ind w:left="720"/>
    </w:pPr>
  </w:style>
  <w:style w:type="paragraph" w:styleId="Footer">
    <w:name w:val="footer"/>
    <w:basedOn w:val="Normal"/>
    <w:link w:val="FooterChar"/>
    <w:uiPriority w:val="99"/>
    <w:qFormat/>
    <w:rsid w:val="00901DF7"/>
    <w:pPr>
      <w:tabs>
        <w:tab w:val="center" w:pos="3960"/>
        <w:tab w:val="right" w:pos="10080"/>
      </w:tabs>
      <w:spacing w:after="0" w:line="240" w:lineRule="auto"/>
      <w:jc w:val="center"/>
    </w:pPr>
    <w:rPr>
      <w:sz w:val="22"/>
    </w:rPr>
  </w:style>
  <w:style w:type="paragraph" w:styleId="Header">
    <w:name w:val="header"/>
    <w:basedOn w:val="Normal"/>
    <w:qFormat/>
    <w:rsid w:val="00901DF7"/>
    <w:pPr>
      <w:tabs>
        <w:tab w:val="center" w:pos="3960"/>
        <w:tab w:val="right" w:pos="10080"/>
      </w:tabs>
      <w:spacing w:after="80" w:line="240" w:lineRule="auto"/>
      <w:jc w:val="center"/>
    </w:pPr>
    <w:rPr>
      <w:sz w:val="22"/>
    </w:rPr>
  </w:style>
  <w:style w:type="character" w:styleId="FootnoteReference">
    <w:name w:val="footnote reference"/>
    <w:basedOn w:val="DefaultParagraphFont"/>
    <w:rsid w:val="00901DF7"/>
    <w:rPr>
      <w:rFonts w:ascii="Century Schoolbook" w:hAnsi="Century Schoolbook"/>
      <w:b/>
      <w:i w:val="0"/>
      <w:position w:val="4"/>
      <w:sz w:val="27"/>
      <w:vertAlign w:val="superscript"/>
    </w:rPr>
  </w:style>
  <w:style w:type="paragraph" w:styleId="FootnoteText">
    <w:name w:val="footnote text"/>
    <w:basedOn w:val="Normal"/>
    <w:link w:val="FootnoteTextChar"/>
    <w:rsid w:val="00901DF7"/>
    <w:pPr>
      <w:spacing w:line="300" w:lineRule="exact"/>
    </w:pPr>
  </w:style>
  <w:style w:type="paragraph" w:customStyle="1" w:styleId="Title1">
    <w:name w:val="Title1"/>
    <w:basedOn w:val="Normal"/>
    <w:rsid w:val="00901DF7"/>
    <w:pPr>
      <w:tabs>
        <w:tab w:val="left" w:pos="5760"/>
        <w:tab w:val="left" w:pos="6480"/>
      </w:tabs>
      <w:spacing w:line="240" w:lineRule="atLeast"/>
    </w:pPr>
  </w:style>
  <w:style w:type="paragraph" w:customStyle="1" w:styleId="Recommend">
    <w:name w:val="Recommend"/>
    <w:basedOn w:val="Normal"/>
    <w:rsid w:val="00901DF7"/>
  </w:style>
  <w:style w:type="paragraph" w:customStyle="1" w:styleId="Summary">
    <w:name w:val="Summary"/>
    <w:basedOn w:val="Normal"/>
    <w:rsid w:val="00901DF7"/>
    <w:pPr>
      <w:ind w:left="2160" w:hanging="2160"/>
    </w:pPr>
  </w:style>
  <w:style w:type="paragraph" w:customStyle="1" w:styleId="Text">
    <w:name w:val="Text"/>
    <w:basedOn w:val="Normal"/>
    <w:rsid w:val="00901DF7"/>
    <w:pPr>
      <w:tabs>
        <w:tab w:val="left" w:pos="720"/>
        <w:tab w:val="left" w:pos="1440"/>
        <w:tab w:val="left" w:pos="2160"/>
        <w:tab w:val="center" w:pos="4320"/>
      </w:tabs>
      <w:spacing w:line="480" w:lineRule="atLeast"/>
      <w:ind w:firstLine="540"/>
    </w:pPr>
  </w:style>
  <w:style w:type="paragraph" w:styleId="Date">
    <w:name w:val="Date"/>
    <w:basedOn w:val="Normal"/>
    <w:semiHidden/>
    <w:rsid w:val="00901DF7"/>
    <w:pPr>
      <w:jc w:val="right"/>
    </w:pPr>
  </w:style>
  <w:style w:type="character" w:styleId="PageNumber">
    <w:name w:val="page number"/>
    <w:basedOn w:val="DefaultParagraphFont"/>
    <w:semiHidden/>
    <w:rsid w:val="00901DF7"/>
  </w:style>
  <w:style w:type="paragraph" w:customStyle="1" w:styleId="subject">
    <w:name w:val="subject"/>
    <w:basedOn w:val="Normal"/>
    <w:rsid w:val="00901DF7"/>
    <w:pPr>
      <w:tabs>
        <w:tab w:val="left" w:pos="1008"/>
      </w:tabs>
      <w:ind w:left="990" w:hanging="990"/>
    </w:pPr>
    <w:rPr>
      <w:b/>
    </w:rPr>
  </w:style>
  <w:style w:type="paragraph" w:customStyle="1" w:styleId="Titles">
    <w:name w:val="Titles"/>
    <w:basedOn w:val="Normal"/>
    <w:rsid w:val="00901DF7"/>
    <w:pPr>
      <w:tabs>
        <w:tab w:val="left" w:pos="2160"/>
      </w:tabs>
      <w:ind w:left="2160" w:hanging="2160"/>
    </w:pPr>
    <w:rPr>
      <w:b/>
    </w:rPr>
  </w:style>
  <w:style w:type="paragraph" w:styleId="TOAHeading">
    <w:name w:val="toa heading"/>
    <w:basedOn w:val="Normal"/>
    <w:next w:val="Normal"/>
    <w:semiHidden/>
    <w:rsid w:val="00901DF7"/>
    <w:pPr>
      <w:spacing w:before="120"/>
    </w:pPr>
    <w:rPr>
      <w:b/>
    </w:rPr>
  </w:style>
  <w:style w:type="paragraph" w:styleId="TOC1">
    <w:name w:val="toc 1"/>
    <w:basedOn w:val="Normal"/>
    <w:next w:val="Normal"/>
    <w:autoRedefine/>
    <w:semiHidden/>
    <w:rsid w:val="00901DF7"/>
  </w:style>
  <w:style w:type="paragraph" w:styleId="TOC2">
    <w:name w:val="toc 2"/>
    <w:basedOn w:val="Normal"/>
    <w:next w:val="Normal"/>
    <w:autoRedefine/>
    <w:semiHidden/>
    <w:rsid w:val="00901DF7"/>
    <w:pPr>
      <w:ind w:left="259"/>
    </w:pPr>
  </w:style>
  <w:style w:type="paragraph" w:styleId="TOC3">
    <w:name w:val="toc 3"/>
    <w:basedOn w:val="Normal"/>
    <w:next w:val="Normal"/>
    <w:autoRedefine/>
    <w:semiHidden/>
    <w:rsid w:val="00901DF7"/>
    <w:pPr>
      <w:ind w:left="520"/>
    </w:pPr>
  </w:style>
  <w:style w:type="paragraph" w:styleId="TOC4">
    <w:name w:val="toc 4"/>
    <w:basedOn w:val="Normal"/>
    <w:next w:val="Normal"/>
    <w:autoRedefine/>
    <w:semiHidden/>
    <w:rsid w:val="00901DF7"/>
    <w:pPr>
      <w:ind w:left="780"/>
    </w:pPr>
  </w:style>
  <w:style w:type="paragraph" w:styleId="TOC5">
    <w:name w:val="toc 5"/>
    <w:basedOn w:val="Normal"/>
    <w:next w:val="Normal"/>
    <w:autoRedefine/>
    <w:semiHidden/>
    <w:rsid w:val="00901DF7"/>
    <w:pPr>
      <w:ind w:left="1040"/>
    </w:pPr>
  </w:style>
  <w:style w:type="paragraph" w:styleId="TOC6">
    <w:name w:val="toc 6"/>
    <w:basedOn w:val="Normal"/>
    <w:next w:val="Normal"/>
    <w:autoRedefine/>
    <w:semiHidden/>
    <w:rsid w:val="00901DF7"/>
    <w:pPr>
      <w:ind w:left="1300"/>
    </w:pPr>
  </w:style>
  <w:style w:type="paragraph" w:styleId="TOC7">
    <w:name w:val="toc 7"/>
    <w:basedOn w:val="Normal"/>
    <w:next w:val="Normal"/>
    <w:autoRedefine/>
    <w:semiHidden/>
    <w:rsid w:val="00901DF7"/>
    <w:pPr>
      <w:ind w:left="1560"/>
    </w:pPr>
  </w:style>
  <w:style w:type="paragraph" w:styleId="TOC8">
    <w:name w:val="toc 8"/>
    <w:basedOn w:val="Normal"/>
    <w:next w:val="Normal"/>
    <w:autoRedefine/>
    <w:semiHidden/>
    <w:rsid w:val="00901DF7"/>
    <w:pPr>
      <w:ind w:left="1820"/>
    </w:pPr>
  </w:style>
  <w:style w:type="paragraph" w:styleId="TOC9">
    <w:name w:val="toc 9"/>
    <w:basedOn w:val="Normal"/>
    <w:next w:val="Normal"/>
    <w:autoRedefine/>
    <w:semiHidden/>
    <w:rsid w:val="00901DF7"/>
    <w:pPr>
      <w:ind w:left="2080"/>
    </w:pPr>
  </w:style>
  <w:style w:type="paragraph" w:customStyle="1" w:styleId="Contents">
    <w:name w:val="Contents"/>
    <w:basedOn w:val="Normal"/>
    <w:rsid w:val="00901DF7"/>
    <w:pPr>
      <w:jc w:val="center"/>
    </w:pPr>
    <w:rPr>
      <w:b/>
      <w:spacing w:val="100"/>
    </w:rPr>
  </w:style>
  <w:style w:type="paragraph" w:styleId="ListParagraph">
    <w:name w:val="List Paragraph"/>
    <w:basedOn w:val="Normal"/>
    <w:uiPriority w:val="34"/>
    <w:qFormat/>
    <w:rsid w:val="002D32E1"/>
    <w:pPr>
      <w:ind w:left="720"/>
      <w:contextualSpacing/>
    </w:pPr>
  </w:style>
  <w:style w:type="character" w:styleId="Emphasis">
    <w:name w:val="Emphasis"/>
    <w:basedOn w:val="DefaultParagraphFont"/>
    <w:uiPriority w:val="20"/>
    <w:qFormat/>
    <w:rsid w:val="009A76CF"/>
    <w:rPr>
      <w:i/>
      <w:iCs/>
    </w:rPr>
  </w:style>
  <w:style w:type="character" w:customStyle="1" w:styleId="costarpage">
    <w:name w:val="co_starpage"/>
    <w:basedOn w:val="DefaultParagraphFont"/>
    <w:rsid w:val="00A51A5F"/>
  </w:style>
  <w:style w:type="character" w:customStyle="1" w:styleId="coconcept115">
    <w:name w:val="co_concept_1_15"/>
    <w:basedOn w:val="DefaultParagraphFont"/>
    <w:rsid w:val="007E3ECE"/>
  </w:style>
  <w:style w:type="paragraph" w:styleId="Revision">
    <w:name w:val="Revision"/>
    <w:hidden/>
    <w:uiPriority w:val="99"/>
    <w:semiHidden/>
    <w:rsid w:val="009A347B"/>
    <w:rPr>
      <w:sz w:val="26"/>
    </w:rPr>
  </w:style>
  <w:style w:type="character" w:customStyle="1" w:styleId="FootnoteTextChar">
    <w:name w:val="Footnote Text Char"/>
    <w:basedOn w:val="DefaultParagraphFont"/>
    <w:link w:val="FootnoteText"/>
    <w:rsid w:val="00F347F0"/>
    <w:rPr>
      <w:rFonts w:ascii="Century Schoolbook" w:hAnsi="Century Schoolbook"/>
      <w:sz w:val="27"/>
    </w:rPr>
  </w:style>
  <w:style w:type="character" w:customStyle="1" w:styleId="cocitatorflag">
    <w:name w:val="co_citatorflag"/>
    <w:basedOn w:val="DefaultParagraphFont"/>
    <w:rsid w:val="002B105C"/>
  </w:style>
  <w:style w:type="character" w:styleId="Hyperlink">
    <w:name w:val="Hyperlink"/>
    <w:basedOn w:val="DefaultParagraphFont"/>
    <w:uiPriority w:val="99"/>
    <w:unhideWhenUsed/>
    <w:rsid w:val="002B105C"/>
    <w:rPr>
      <w:color w:val="0000FF"/>
      <w:u w:val="single"/>
    </w:rPr>
  </w:style>
  <w:style w:type="paragraph" w:styleId="EndnoteText">
    <w:name w:val="endnote text"/>
    <w:basedOn w:val="Normal"/>
    <w:link w:val="EndnoteTextChar"/>
    <w:uiPriority w:val="99"/>
    <w:semiHidden/>
    <w:unhideWhenUsed/>
    <w:rsid w:val="00272D13"/>
    <w:rPr>
      <w:sz w:val="20"/>
    </w:rPr>
  </w:style>
  <w:style w:type="character" w:customStyle="1" w:styleId="EndnoteTextChar">
    <w:name w:val="Endnote Text Char"/>
    <w:basedOn w:val="DefaultParagraphFont"/>
    <w:link w:val="EndnoteText"/>
    <w:uiPriority w:val="99"/>
    <w:semiHidden/>
    <w:rsid w:val="00272D13"/>
  </w:style>
  <w:style w:type="character" w:styleId="EndnoteReference">
    <w:name w:val="endnote reference"/>
    <w:basedOn w:val="DefaultParagraphFont"/>
    <w:uiPriority w:val="99"/>
    <w:semiHidden/>
    <w:unhideWhenUsed/>
    <w:rsid w:val="00272D13"/>
    <w:rPr>
      <w:vertAlign w:val="superscript"/>
    </w:rPr>
  </w:style>
  <w:style w:type="character" w:styleId="FollowedHyperlink">
    <w:name w:val="FollowedHyperlink"/>
    <w:basedOn w:val="DefaultParagraphFont"/>
    <w:uiPriority w:val="99"/>
    <w:semiHidden/>
    <w:unhideWhenUsed/>
    <w:rsid w:val="00FA0FD2"/>
    <w:rPr>
      <w:color w:val="800080" w:themeColor="followedHyperlink"/>
      <w:u w:val="single"/>
    </w:rPr>
  </w:style>
  <w:style w:type="character" w:styleId="CommentReference">
    <w:name w:val="annotation reference"/>
    <w:basedOn w:val="DefaultParagraphFont"/>
    <w:uiPriority w:val="99"/>
    <w:semiHidden/>
    <w:unhideWhenUsed/>
    <w:rsid w:val="009B1EDA"/>
    <w:rPr>
      <w:sz w:val="16"/>
      <w:szCs w:val="16"/>
    </w:rPr>
  </w:style>
  <w:style w:type="paragraph" w:styleId="CommentText">
    <w:name w:val="annotation text"/>
    <w:basedOn w:val="Normal"/>
    <w:link w:val="CommentTextChar"/>
    <w:uiPriority w:val="99"/>
    <w:unhideWhenUsed/>
    <w:rsid w:val="009B1EDA"/>
    <w:rPr>
      <w:sz w:val="20"/>
    </w:rPr>
  </w:style>
  <w:style w:type="character" w:customStyle="1" w:styleId="CommentTextChar">
    <w:name w:val="Comment Text Char"/>
    <w:basedOn w:val="DefaultParagraphFont"/>
    <w:link w:val="CommentText"/>
    <w:uiPriority w:val="99"/>
    <w:rsid w:val="009B1EDA"/>
  </w:style>
  <w:style w:type="character" w:styleId="PlaceholderText">
    <w:name w:val="Placeholder Text"/>
    <w:basedOn w:val="DefaultParagraphFont"/>
    <w:uiPriority w:val="99"/>
    <w:semiHidden/>
    <w:rsid w:val="00BD75BA"/>
    <w:rPr>
      <w:color w:val="808080"/>
    </w:rPr>
  </w:style>
  <w:style w:type="paragraph" w:styleId="BodyText">
    <w:name w:val="Body Text"/>
    <w:basedOn w:val="Normal"/>
    <w:link w:val="BodyTextChar"/>
    <w:qFormat/>
    <w:rsid w:val="00901DF7"/>
  </w:style>
  <w:style w:type="character" w:customStyle="1" w:styleId="BodyTextChar">
    <w:name w:val="Body Text Char"/>
    <w:basedOn w:val="DefaultParagraphFont"/>
    <w:link w:val="BodyText"/>
    <w:rsid w:val="00901DF7"/>
    <w:rPr>
      <w:rFonts w:ascii="Century Schoolbook" w:hAnsi="Century Schoolbook"/>
      <w:sz w:val="27"/>
    </w:rPr>
  </w:style>
  <w:style w:type="paragraph" w:styleId="CommentSubject">
    <w:name w:val="annotation subject"/>
    <w:basedOn w:val="CommentText"/>
    <w:next w:val="CommentText"/>
    <w:link w:val="CommentSubjectChar"/>
    <w:uiPriority w:val="99"/>
    <w:semiHidden/>
    <w:unhideWhenUsed/>
    <w:rsid w:val="00BF61C0"/>
    <w:pPr>
      <w:spacing w:line="240" w:lineRule="auto"/>
    </w:pPr>
    <w:rPr>
      <w:b/>
      <w:bCs/>
    </w:rPr>
  </w:style>
  <w:style w:type="character" w:customStyle="1" w:styleId="CommentSubjectChar">
    <w:name w:val="Comment Subject Char"/>
    <w:basedOn w:val="CommentTextChar"/>
    <w:link w:val="CommentSubject"/>
    <w:uiPriority w:val="99"/>
    <w:semiHidden/>
    <w:rsid w:val="00BF61C0"/>
    <w:rPr>
      <w:rFonts w:ascii="Century Schoolbook" w:hAnsi="Century Schoolbook"/>
      <w:b/>
      <w:bCs/>
    </w:rPr>
  </w:style>
  <w:style w:type="character" w:customStyle="1" w:styleId="FooterChar">
    <w:name w:val="Footer Char"/>
    <w:basedOn w:val="DefaultParagraphFont"/>
    <w:link w:val="Footer"/>
    <w:uiPriority w:val="99"/>
    <w:rsid w:val="00763B31"/>
    <w:rPr>
      <w:rFonts w:ascii="Century Schoolbook" w:hAnsi="Century Schoolbook"/>
      <w:sz w:val="22"/>
    </w:rPr>
  </w:style>
  <w:style w:type="paragraph" w:customStyle="1" w:styleId="PRComments">
    <w:name w:val="PR Comments"/>
    <w:basedOn w:val="Normal"/>
    <w:rsid w:val="00922A9E"/>
    <w:pPr>
      <w:spacing w:line="360" w:lineRule="atLeast"/>
      <w:ind w:right="-360"/>
    </w:pPr>
  </w:style>
  <w:style w:type="character" w:customStyle="1" w:styleId="UnresolvedMention1">
    <w:name w:val="Unresolved Mention1"/>
    <w:basedOn w:val="DefaultParagraphFont"/>
    <w:uiPriority w:val="99"/>
    <w:semiHidden/>
    <w:unhideWhenUsed/>
    <w:rsid w:val="00922A9E"/>
    <w:rPr>
      <w:color w:val="605E5C"/>
      <w:shd w:val="clear" w:color="auto" w:fill="E1DFDD"/>
    </w:rPr>
  </w:style>
  <w:style w:type="paragraph" w:customStyle="1" w:styleId="BodyText1">
    <w:name w:val="Body Text1"/>
    <w:basedOn w:val="Normal"/>
    <w:link w:val="BodytextChar0"/>
    <w:qFormat/>
    <w:rsid w:val="00922A9E"/>
    <w:pPr>
      <w:spacing w:line="480" w:lineRule="atLeast"/>
      <w:ind w:firstLine="720"/>
    </w:pPr>
  </w:style>
  <w:style w:type="character" w:customStyle="1" w:styleId="BodytextChar0">
    <w:name w:val="Body text Char"/>
    <w:basedOn w:val="DefaultParagraphFont"/>
    <w:link w:val="BodyText1"/>
    <w:rsid w:val="00922A9E"/>
    <w:rPr>
      <w:rFonts w:ascii="Century Schoolbook" w:hAnsi="Century Schoolbook"/>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4.xml" /><Relationship Id="rId14" Type="http://schemas.openxmlformats.org/officeDocument/2006/relationships/footer" Target="footer5.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footer" Target="footer7.xml" /><Relationship Id="rId19" Type="http://schemas.openxmlformats.org/officeDocument/2006/relationships/header" Target="header7.xml" /><Relationship Id="rId2" Type="http://schemas.openxmlformats.org/officeDocument/2006/relationships/settings" Target="settings.xml" /><Relationship Id="rId20" Type="http://schemas.openxmlformats.org/officeDocument/2006/relationships/footer" Target="footer8.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67D8-F24E-43D7-9131-6AC531C0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19100</Words>
  <Characters>108873</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2024-08-29T16:24:21Z</dcterms:created>
  <dcterms:modified xsi:type="dcterms:W3CDTF">2024-08-29T16:24:21Z</dcterms:modified>
</cp:coreProperties>
</file>