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4E597A" w:rsidRPr="00083941" w:rsidP="00083941" w14:paraId="61DB096E" w14:textId="30C2C81E">
      <w:pPr>
        <w:tabs>
          <w:tab w:val="left" w:pos="1440"/>
          <w:tab w:val="left" w:pos="4680"/>
          <w:tab w:val="center" w:pos="7200"/>
        </w:tabs>
        <w:spacing w:after="0"/>
        <w:jc w:val="center"/>
        <w:rPr>
          <w:sz w:val="36"/>
          <w:lang w:val=""/>
        </w:rPr>
      </w:pPr>
      <w:r w:rsidRPr="00083941">
        <w:rPr>
          <w:b/>
          <w:sz w:val="36"/>
          <w:lang w:val=""/>
        </w:rPr>
        <w:t>IN THE SUPREME COURT OF CALIFORNIA</w:t>
      </w:r>
    </w:p>
    <w:p w:rsidR="00496FB6" w:rsidRPr="00083941" w:rsidP="00083941" w14:paraId="4DA517CE" w14:textId="77777777">
      <w:pPr>
        <w:tabs>
          <w:tab w:val="left" w:pos="1440"/>
          <w:tab w:val="left" w:pos="4680"/>
          <w:tab w:val="center" w:pos="7200"/>
        </w:tabs>
        <w:spacing w:after="0"/>
        <w:jc w:val="center"/>
        <w:rPr>
          <w:lang w:val=""/>
        </w:rPr>
      </w:pPr>
    </w:p>
    <w:p w:rsidR="00496FB6" w:rsidRPr="00083941" w:rsidP="00083941" w14:paraId="77773696" w14:textId="05255D19">
      <w:pPr>
        <w:tabs>
          <w:tab w:val="left" w:pos="1440"/>
          <w:tab w:val="left" w:pos="4680"/>
          <w:tab w:val="center" w:pos="7200"/>
        </w:tabs>
        <w:spacing w:after="0"/>
        <w:jc w:val="center"/>
        <w:rPr>
          <w:lang w:val=""/>
        </w:rPr>
      </w:pPr>
      <w:bookmarkStart w:id="0" w:name="plaintiff"/>
      <w:bookmarkEnd w:id="0"/>
      <w:r w:rsidRPr="00083941">
        <w:rPr>
          <w:lang w:val=""/>
        </w:rPr>
        <w:t>THE PEOPLE</w:t>
      </w:r>
      <w:r w:rsidRPr="00083941" w:rsidR="00113E6F">
        <w:rPr>
          <w:lang w:val=""/>
        </w:rPr>
        <w:t>,</w:t>
      </w:r>
    </w:p>
    <w:p w:rsidR="00496FB6" w:rsidRPr="003675A4" w:rsidP="00083941" w14:paraId="6041CD19" w14:textId="195C87CE">
      <w:pPr>
        <w:tabs>
          <w:tab w:val="left" w:pos="1440"/>
          <w:tab w:val="left" w:pos="4680"/>
          <w:tab w:val="center" w:pos="7200"/>
        </w:tabs>
        <w:spacing w:after="0"/>
        <w:jc w:val="center"/>
      </w:pPr>
      <w:bookmarkStart w:id="1" w:name="LD"/>
      <w:bookmarkEnd w:id="1"/>
      <w:r w:rsidRPr="003675A4">
        <w:t>Plaintiff and Respondent,</w:t>
      </w:r>
    </w:p>
    <w:p w:rsidR="00496FB6" w:rsidRPr="003675A4" w:rsidP="00083941" w14:paraId="0FCADB1F" w14:textId="437709EC">
      <w:pPr>
        <w:tabs>
          <w:tab w:val="left" w:pos="1440"/>
          <w:tab w:val="left" w:pos="4680"/>
          <w:tab w:val="center" w:pos="7200"/>
        </w:tabs>
        <w:spacing w:after="0"/>
        <w:jc w:val="center"/>
      </w:pPr>
      <w:r w:rsidRPr="003675A4">
        <w:t>v.</w:t>
      </w:r>
    </w:p>
    <w:p w:rsidR="00496FB6" w:rsidRPr="003675A4" w:rsidP="00083941" w14:paraId="0E4D5BFC" w14:textId="55ED5578">
      <w:pPr>
        <w:tabs>
          <w:tab w:val="left" w:pos="1440"/>
          <w:tab w:val="left" w:pos="4680"/>
          <w:tab w:val="center" w:pos="7200"/>
        </w:tabs>
        <w:spacing w:after="0"/>
        <w:jc w:val="center"/>
      </w:pPr>
      <w:bookmarkStart w:id="2" w:name="appealnum"/>
      <w:bookmarkStart w:id="3" w:name="defendant"/>
      <w:bookmarkEnd w:id="2"/>
      <w:bookmarkEnd w:id="3"/>
      <w:r w:rsidRPr="003675A4">
        <w:t>ROBERT WARD FRAZIER</w:t>
      </w:r>
      <w:r w:rsidR="00113E6F">
        <w:t>,</w:t>
      </w:r>
    </w:p>
    <w:p w:rsidR="00496FB6" w:rsidRPr="003675A4" w:rsidP="00496FB6" w14:paraId="4688F592" w14:textId="1E18356B">
      <w:pPr>
        <w:tabs>
          <w:tab w:val="left" w:pos="1440"/>
          <w:tab w:val="left" w:pos="4680"/>
          <w:tab w:val="center" w:pos="7200"/>
        </w:tabs>
        <w:spacing w:after="0"/>
        <w:jc w:val="center"/>
      </w:pPr>
      <w:bookmarkStart w:id="4" w:name="VD"/>
      <w:bookmarkEnd w:id="4"/>
      <w:r w:rsidRPr="003675A4">
        <w:t>Defendant and Appellant.</w:t>
      </w:r>
    </w:p>
    <w:p w:rsidR="00496FB6" w:rsidP="00496FB6" w14:paraId="1B06D06B" w14:textId="77777777">
      <w:pPr>
        <w:tabs>
          <w:tab w:val="left" w:pos="1440"/>
          <w:tab w:val="left" w:pos="4680"/>
          <w:tab w:val="center" w:pos="7200"/>
        </w:tabs>
        <w:spacing w:after="0"/>
        <w:jc w:val="center"/>
        <w:rPr>
          <w:lang w:val=""/>
        </w:rPr>
      </w:pPr>
    </w:p>
    <w:p w:rsidR="00496FB6" w:rsidRPr="00083941" w:rsidP="004335F7" w14:paraId="279B2CAC" w14:textId="070D7D28">
      <w:pPr>
        <w:tabs>
          <w:tab w:val="left" w:pos="1440"/>
          <w:tab w:val="left" w:pos="4680"/>
          <w:tab w:val="center" w:pos="7200"/>
        </w:tabs>
        <w:spacing w:after="0"/>
        <w:jc w:val="center"/>
        <w:rPr>
          <w:lang w:val=""/>
        </w:rPr>
      </w:pPr>
      <w:r w:rsidRPr="00083941">
        <w:rPr>
          <w:lang w:val=""/>
        </w:rPr>
        <w:t>S148863</w:t>
      </w:r>
    </w:p>
    <w:p w:rsidR="00496FB6" w:rsidP="00496FB6" w14:paraId="7A6E7E86" w14:textId="1A5BDA6B">
      <w:pPr>
        <w:tabs>
          <w:tab w:val="left" w:pos="1440"/>
          <w:tab w:val="left" w:pos="4680"/>
          <w:tab w:val="center" w:pos="7200"/>
        </w:tabs>
        <w:spacing w:after="0"/>
        <w:jc w:val="center"/>
        <w:rPr>
          <w:lang w:val=""/>
        </w:rPr>
      </w:pPr>
      <w:bookmarkStart w:id="5" w:name="supernum"/>
      <w:bookmarkEnd w:id="5"/>
    </w:p>
    <w:p w:rsidR="00496FB6" w:rsidP="00496FB6" w14:paraId="12D859F6" w14:textId="10FFE8D8">
      <w:pPr>
        <w:tabs>
          <w:tab w:val="left" w:pos="1440"/>
          <w:tab w:val="left" w:pos="4680"/>
          <w:tab w:val="center" w:pos="7200"/>
        </w:tabs>
        <w:spacing w:after="0"/>
        <w:jc w:val="center"/>
        <w:rPr>
          <w:lang w:val=""/>
        </w:rPr>
      </w:pPr>
      <w:r>
        <w:rPr>
          <w:lang w:val=""/>
        </w:rPr>
        <w:t>Contra Costa County Superior Court</w:t>
      </w:r>
    </w:p>
    <w:p w:rsidR="00496FB6" w:rsidP="00083941" w14:paraId="0A990719" w14:textId="51AED033">
      <w:pPr>
        <w:tabs>
          <w:tab w:val="left" w:pos="1440"/>
          <w:tab w:val="left" w:pos="4680"/>
          <w:tab w:val="center" w:pos="7200"/>
        </w:tabs>
        <w:spacing w:after="0"/>
        <w:jc w:val="center"/>
        <w:rPr>
          <w:lang w:val=""/>
        </w:rPr>
      </w:pPr>
      <w:r>
        <w:rPr>
          <w:lang w:val=""/>
        </w:rPr>
        <w:t xml:space="preserve">5-041700-6 </w:t>
      </w:r>
    </w:p>
    <w:p w:rsidR="00496FB6" w:rsidP="00496FB6" w14:paraId="67D8D23B" w14:textId="016C19FF">
      <w:pPr>
        <w:pBdr>
          <w:bottom w:val="single" w:sz="4" w:space="1" w:color="auto"/>
        </w:pBdr>
        <w:tabs>
          <w:tab w:val="left" w:pos="1440"/>
          <w:tab w:val="left" w:pos="4680"/>
          <w:tab w:val="center" w:pos="7200"/>
        </w:tabs>
        <w:spacing w:after="0"/>
        <w:jc w:val="center"/>
        <w:rPr>
          <w:lang w:val=""/>
        </w:rPr>
      </w:pPr>
      <w:bookmarkStart w:id="6" w:name="justice"/>
      <w:bookmarkEnd w:id="6"/>
    </w:p>
    <w:p w:rsidR="00496FB6" w:rsidP="00496FB6" w14:paraId="754EB50C" w14:textId="77777777">
      <w:pPr>
        <w:tabs>
          <w:tab w:val="left" w:pos="1440"/>
          <w:tab w:val="left" w:pos="4680"/>
          <w:tab w:val="center" w:pos="7200"/>
        </w:tabs>
        <w:spacing w:after="0"/>
        <w:jc w:val="center"/>
        <w:rPr>
          <w:lang w:val=""/>
        </w:rPr>
      </w:pPr>
    </w:p>
    <w:p w:rsidR="00496FB6" w:rsidP="00496FB6" w14:paraId="6029C23C" w14:textId="73B2A878">
      <w:pPr>
        <w:tabs>
          <w:tab w:val="left" w:pos="1440"/>
          <w:tab w:val="left" w:pos="4680"/>
          <w:tab w:val="center" w:pos="7200"/>
        </w:tabs>
        <w:spacing w:after="0"/>
        <w:jc w:val="center"/>
        <w:rPr>
          <w:lang w:val=""/>
        </w:rPr>
      </w:pPr>
      <w:r>
        <w:rPr>
          <w:lang w:val=""/>
        </w:rPr>
        <w:t>August 5, 2024</w:t>
      </w:r>
    </w:p>
    <w:p w:rsidR="00496FB6" w:rsidP="00496FB6" w14:paraId="6AE84D18" w14:textId="77777777">
      <w:pPr>
        <w:tabs>
          <w:tab w:val="left" w:pos="1440"/>
          <w:tab w:val="left" w:pos="4680"/>
          <w:tab w:val="center" w:pos="7200"/>
        </w:tabs>
        <w:spacing w:after="0"/>
        <w:jc w:val="center"/>
        <w:rPr>
          <w:lang w:val=""/>
        </w:rPr>
      </w:pPr>
    </w:p>
    <w:p w:rsidR="00496FB6" w:rsidP="00496FB6" w14:paraId="2F7B5292" w14:textId="7D9D1A64">
      <w:pPr>
        <w:pBdr>
          <w:bottom w:val="single" w:sz="4" w:space="1" w:color="auto"/>
        </w:pBdr>
        <w:tabs>
          <w:tab w:val="left" w:pos="1440"/>
          <w:tab w:val="left" w:pos="4680"/>
          <w:tab w:val="center" w:pos="7200"/>
        </w:tabs>
        <w:spacing w:after="0"/>
        <w:jc w:val="left"/>
      </w:pPr>
      <w:r w:rsidRPr="00924A58">
        <w:t xml:space="preserve">Chief Justice Guerrero authored the opinion of the </w:t>
      </w:r>
      <w:r w:rsidRPr="00924A58">
        <w:t>Court</w:t>
      </w:r>
      <w:r>
        <w:t xml:space="preserve">, in which </w:t>
      </w:r>
      <w:r w:rsidR="008E6DF9">
        <w:t>Justices Corrigan, Kruger, Groban</w:t>
      </w:r>
      <w:r w:rsidR="001518AE">
        <w:t>, and Jenkins</w:t>
      </w:r>
      <w:r w:rsidR="008E6DF9">
        <w:t xml:space="preserve"> </w:t>
      </w:r>
      <w:r>
        <w:t>concurred.</w:t>
      </w:r>
    </w:p>
    <w:p w:rsidR="001421DA" w:rsidP="00496FB6" w14:paraId="202922FC" w14:textId="77777777">
      <w:pPr>
        <w:pBdr>
          <w:bottom w:val="single" w:sz="4" w:space="1" w:color="auto"/>
        </w:pBdr>
        <w:tabs>
          <w:tab w:val="left" w:pos="1440"/>
          <w:tab w:val="left" w:pos="4680"/>
          <w:tab w:val="center" w:pos="7200"/>
        </w:tabs>
        <w:spacing w:after="0"/>
        <w:jc w:val="left"/>
      </w:pPr>
    </w:p>
    <w:p w:rsidR="00135131" w:rsidP="00496FB6" w14:paraId="35ABC293" w14:textId="73B3ED1E">
      <w:pPr>
        <w:pBdr>
          <w:bottom w:val="single" w:sz="4" w:space="1" w:color="auto"/>
        </w:pBdr>
        <w:tabs>
          <w:tab w:val="left" w:pos="1440"/>
          <w:tab w:val="left" w:pos="4680"/>
          <w:tab w:val="center" w:pos="7200"/>
        </w:tabs>
        <w:spacing w:after="0"/>
        <w:jc w:val="left"/>
      </w:pPr>
      <w:r w:rsidRPr="00EA13CA">
        <w:t xml:space="preserve">Justice </w:t>
      </w:r>
      <w:r w:rsidR="00433B20">
        <w:t>Liu</w:t>
      </w:r>
      <w:r w:rsidRPr="00EA13CA">
        <w:t xml:space="preserve"> filed a dissenting opinion</w:t>
      </w:r>
      <w:r w:rsidR="00576E75">
        <w:t>.</w:t>
      </w:r>
    </w:p>
    <w:p w:rsidR="00135131" w:rsidP="00496FB6" w14:paraId="554B5F0A" w14:textId="77777777">
      <w:pPr>
        <w:pBdr>
          <w:bottom w:val="single" w:sz="4" w:space="1" w:color="auto"/>
        </w:pBdr>
        <w:tabs>
          <w:tab w:val="left" w:pos="1440"/>
          <w:tab w:val="left" w:pos="4680"/>
          <w:tab w:val="center" w:pos="7200"/>
        </w:tabs>
        <w:spacing w:after="0"/>
        <w:jc w:val="left"/>
      </w:pPr>
    </w:p>
    <w:p w:rsidR="001421DA" w:rsidRPr="00EA13CA" w:rsidP="00496FB6" w14:paraId="7891EC68" w14:textId="43BE8416">
      <w:pPr>
        <w:pBdr>
          <w:bottom w:val="single" w:sz="4" w:space="1" w:color="auto"/>
        </w:pBdr>
        <w:tabs>
          <w:tab w:val="left" w:pos="1440"/>
          <w:tab w:val="left" w:pos="4680"/>
          <w:tab w:val="center" w:pos="7200"/>
        </w:tabs>
        <w:spacing w:after="0"/>
        <w:jc w:val="left"/>
      </w:pPr>
      <w:r>
        <w:t xml:space="preserve">Justice </w:t>
      </w:r>
      <w:r w:rsidR="00433B20">
        <w:t>Evans</w:t>
      </w:r>
      <w:r>
        <w:t xml:space="preserve"> filed a </w:t>
      </w:r>
      <w:r w:rsidR="00576E75">
        <w:t xml:space="preserve">dissenting opinion. </w:t>
      </w:r>
    </w:p>
    <w:p w:rsidR="00496FB6" w:rsidRPr="00496FB6" w:rsidP="00496FB6" w14:paraId="1C3C0626" w14:textId="77777777">
      <w:pPr>
        <w:pBdr>
          <w:bottom w:val="single" w:sz="4" w:space="1" w:color="auto"/>
        </w:pBdr>
        <w:tabs>
          <w:tab w:val="left" w:pos="1440"/>
          <w:tab w:val="left" w:pos="4680"/>
          <w:tab w:val="center" w:pos="7200"/>
        </w:tabs>
        <w:spacing w:line="480" w:lineRule="atLeast"/>
        <w:jc w:val="left"/>
        <w:rPr>
          <w:lang w:val=""/>
        </w:rPr>
      </w:pPr>
      <w:bookmarkStart w:id="7" w:name="Return"/>
      <w:bookmarkEnd w:id="7"/>
    </w:p>
    <w:p w:rsidR="00496FB6" w14:paraId="4EA1CDB9" w14:textId="77777777">
      <w:pPr>
        <w:tabs>
          <w:tab w:val="left" w:pos="1440"/>
          <w:tab w:val="left" w:pos="4680"/>
          <w:tab w:val="center" w:pos="7200"/>
        </w:tabs>
        <w:spacing w:line="480" w:lineRule="atLeast"/>
        <w:rPr>
          <w:lang w:val=""/>
        </w:rPr>
        <w:sectPr w:rsidSect="00496FB6">
          <w:headerReference w:type="default" r:id="rId8"/>
          <w:footerReference w:type="default" r:id="rId9"/>
          <w:pgSz w:w="12240" w:h="15840"/>
          <w:pgMar w:top="1800" w:right="2160" w:bottom="1440" w:left="2160" w:header="720" w:footer="720" w:gutter="0"/>
          <w:pgNumType w:fmt="lowerRoman"/>
          <w:cols w:space="720"/>
          <w:titlePg/>
          <w:docGrid w:linePitch="367"/>
        </w:sectPr>
      </w:pPr>
    </w:p>
    <w:p w:rsidR="00496FB6" w:rsidRPr="00083941" w:rsidP="004335F7" w14:paraId="0F33BB36" w14:textId="163D1B1E">
      <w:pPr>
        <w:tabs>
          <w:tab w:val="left" w:pos="1440"/>
          <w:tab w:val="left" w:pos="4680"/>
          <w:tab w:val="center" w:pos="7200"/>
        </w:tabs>
        <w:jc w:val="center"/>
        <w:rPr>
          <w:lang w:val=""/>
        </w:rPr>
      </w:pPr>
      <w:r w:rsidRPr="00083941">
        <w:rPr>
          <w:lang w:val=""/>
        </w:rPr>
        <w:t>PEOPLE</w:t>
      </w:r>
      <w:r>
        <w:rPr>
          <w:lang w:val=""/>
        </w:rPr>
        <w:t xml:space="preserve"> </w:t>
      </w:r>
      <w:r w:rsidRPr="00083941">
        <w:rPr>
          <w:lang w:val=""/>
        </w:rPr>
        <w:t>v. FRAZIER</w:t>
      </w:r>
    </w:p>
    <w:p w:rsidR="00496FB6" w:rsidRPr="00083941" w:rsidP="00083941" w14:paraId="6DD66190" w14:textId="5469BC3C">
      <w:pPr>
        <w:tabs>
          <w:tab w:val="left" w:pos="1440"/>
          <w:tab w:val="left" w:pos="4680"/>
          <w:tab w:val="center" w:pos="7200"/>
        </w:tabs>
        <w:jc w:val="center"/>
        <w:rPr>
          <w:lang w:val=""/>
        </w:rPr>
      </w:pPr>
      <w:r w:rsidRPr="00083941">
        <w:rPr>
          <w:lang w:val=""/>
        </w:rPr>
        <w:t>S148863</w:t>
      </w:r>
    </w:p>
    <w:p w:rsidR="00496FB6" w:rsidP="00496FB6" w14:paraId="4BF9E870" w14:textId="3BE9242C">
      <w:pPr>
        <w:tabs>
          <w:tab w:val="left" w:pos="1440"/>
          <w:tab w:val="left" w:pos="4680"/>
          <w:tab w:val="center" w:pos="7200"/>
        </w:tabs>
        <w:jc w:val="center"/>
        <w:rPr>
          <w:lang w:val=""/>
        </w:rPr>
      </w:pPr>
    </w:p>
    <w:p w:rsidR="00496FB6" w:rsidP="00083941" w14:paraId="19679A9E" w14:textId="3E3D7888">
      <w:pPr>
        <w:tabs>
          <w:tab w:val="left" w:pos="1440"/>
          <w:tab w:val="left" w:pos="4680"/>
          <w:tab w:val="center" w:pos="7200"/>
        </w:tabs>
        <w:jc w:val="center"/>
      </w:pPr>
      <w:r w:rsidRPr="003675A4">
        <w:t>Opinion of the Court by Guerrero</w:t>
      </w:r>
      <w:r w:rsidRPr="00083941">
        <w:t>, C.</w:t>
      </w:r>
      <w:r w:rsidRPr="003675A4">
        <w:t> </w:t>
      </w:r>
      <w:r w:rsidRPr="00083941">
        <w:t>J.</w:t>
      </w:r>
    </w:p>
    <w:p w:rsidR="006A348C" w:rsidRPr="00083941" w:rsidP="00083941" w14:paraId="451F77BA" w14:textId="77777777">
      <w:pPr>
        <w:tabs>
          <w:tab w:val="left" w:pos="1440"/>
          <w:tab w:val="left" w:pos="4680"/>
          <w:tab w:val="center" w:pos="7200"/>
        </w:tabs>
        <w:jc w:val="center"/>
      </w:pPr>
    </w:p>
    <w:p w:rsidR="00F8673E" w:rsidRPr="00496FB6" w:rsidP="00083941" w14:paraId="4A705EEC" w14:textId="4FA41707">
      <w:pPr>
        <w:ind w:firstLine="720"/>
      </w:pPr>
      <w:r w:rsidRPr="00496FB6">
        <w:t xml:space="preserve">A jury </w:t>
      </w:r>
      <w:r w:rsidRPr="00496FB6" w:rsidR="00080246">
        <w:t xml:space="preserve">convicted </w:t>
      </w:r>
      <w:r w:rsidRPr="00496FB6">
        <w:t xml:space="preserve">Robert </w:t>
      </w:r>
      <w:r w:rsidRPr="00496FB6" w:rsidR="00D47799">
        <w:t xml:space="preserve">Ward </w:t>
      </w:r>
      <w:r w:rsidRPr="00496FB6">
        <w:t xml:space="preserve">Frazier of </w:t>
      </w:r>
      <w:r w:rsidRPr="00496FB6" w:rsidR="00080246">
        <w:t xml:space="preserve">the </w:t>
      </w:r>
      <w:r w:rsidRPr="00496FB6">
        <w:t>murder (</w:t>
      </w:r>
      <w:bookmarkStart w:id="8" w:name="dabmci_6d0cdf026adb4902ba741cc5b40bde67"/>
      <w:r w:rsidRPr="00496FB6">
        <w:t>Pen. Code, §</w:t>
      </w:r>
      <w:r w:rsidRPr="00496FB6" w:rsidR="00D42751">
        <w:t> </w:t>
      </w:r>
      <w:r w:rsidRPr="00496FB6">
        <w:t>187</w:t>
      </w:r>
      <w:bookmarkEnd w:id="8"/>
      <w:r w:rsidRPr="00496FB6">
        <w:t>; count 1),</w:t>
      </w:r>
      <w:r>
        <w:rPr>
          <w:rStyle w:val="FootnoteReference"/>
        </w:rPr>
        <w:footnoteReference w:id="3"/>
      </w:r>
      <w:r w:rsidRPr="00496FB6" w:rsidR="00F62CC7">
        <w:t xml:space="preserve"> </w:t>
      </w:r>
      <w:r w:rsidRPr="00496FB6">
        <w:t>forcible rape (§ 261, subd. (a)(2); count 2), and forcible sodomy (§</w:t>
      </w:r>
      <w:r w:rsidRPr="00496FB6" w:rsidR="00D42751">
        <w:t> </w:t>
      </w:r>
      <w:r w:rsidRPr="00496FB6">
        <w:t>286, subd. (c)(2); co</w:t>
      </w:r>
      <w:r w:rsidRPr="00496FB6">
        <w:t>unt 3)</w:t>
      </w:r>
      <w:r w:rsidRPr="00496FB6" w:rsidR="00080246">
        <w:t xml:space="preserve"> of Kath</w:t>
      </w:r>
      <w:r w:rsidRPr="00496FB6" w:rsidR="00627426">
        <w:t>leen</w:t>
      </w:r>
      <w:r w:rsidRPr="00496FB6" w:rsidR="00080246">
        <w:t xml:space="preserve"> Loreck</w:t>
      </w:r>
      <w:r w:rsidRPr="00496FB6">
        <w:t xml:space="preserve">.  The jury </w:t>
      </w:r>
      <w:r w:rsidRPr="00496FB6" w:rsidR="000069E1">
        <w:t>also</w:t>
      </w:r>
      <w:r w:rsidRPr="00496FB6">
        <w:t xml:space="preserve"> found true two felony-murder special</w:t>
      </w:r>
      <w:r w:rsidRPr="00496FB6" w:rsidR="0074519C">
        <w:t>-</w:t>
      </w:r>
      <w:r w:rsidRPr="00496FB6">
        <w:t>circumstance allegations:</w:t>
      </w:r>
      <w:r w:rsidRPr="00496FB6" w:rsidR="00185AA7">
        <w:t xml:space="preserve"> </w:t>
      </w:r>
      <w:r w:rsidRPr="00496FB6">
        <w:t xml:space="preserve"> murder in the commission of rape (§</w:t>
      </w:r>
      <w:r w:rsidRPr="00496FB6" w:rsidR="00D42751">
        <w:t> </w:t>
      </w:r>
      <w:r w:rsidRPr="00496FB6">
        <w:t>190.2, subd. (a)(17)(C)) and murder in the commission of sodomy (§</w:t>
      </w:r>
      <w:r w:rsidRPr="00496FB6" w:rsidR="00D42751">
        <w:t> </w:t>
      </w:r>
      <w:r w:rsidRPr="00496FB6">
        <w:t xml:space="preserve">190.2, subd. (a)(17)(D)).  </w:t>
      </w:r>
      <w:r w:rsidRPr="00496FB6" w:rsidR="00F740A7">
        <w:t xml:space="preserve">At </w:t>
      </w:r>
      <w:r w:rsidRPr="00496FB6">
        <w:t>the penalty phase</w:t>
      </w:r>
      <w:r w:rsidRPr="00496FB6" w:rsidR="00F740A7">
        <w:t xml:space="preserve"> of the trial</w:t>
      </w:r>
      <w:r w:rsidRPr="00496FB6">
        <w:t xml:space="preserve">, the jury returned a verdict of death. </w:t>
      </w:r>
      <w:r w:rsidRPr="00496FB6" w:rsidR="00727536">
        <w:t xml:space="preserve"> </w:t>
      </w:r>
      <w:r w:rsidRPr="00496FB6" w:rsidR="0098052D">
        <w:t>The</w:t>
      </w:r>
      <w:r w:rsidRPr="00496FB6">
        <w:t xml:space="preserve"> trial court denied </w:t>
      </w:r>
      <w:r w:rsidRPr="00496FB6" w:rsidR="003F336D">
        <w:t>defendant</w:t>
      </w:r>
      <w:r w:rsidRPr="00496FB6">
        <w:t>’s</w:t>
      </w:r>
      <w:r w:rsidRPr="00496FB6" w:rsidR="00F116B6">
        <w:t xml:space="preserve"> automatic</w:t>
      </w:r>
      <w:r w:rsidRPr="00496FB6">
        <w:t xml:space="preserve"> motion to reduce the death verdict (§</w:t>
      </w:r>
      <w:r w:rsidRPr="00496FB6" w:rsidR="00D42751">
        <w:t> </w:t>
      </w:r>
      <w:r w:rsidRPr="00496FB6">
        <w:t>190.4, subd.</w:t>
      </w:r>
      <w:r w:rsidRPr="00496FB6" w:rsidR="006764B5">
        <w:t> </w:t>
      </w:r>
      <w:r w:rsidRPr="00496FB6">
        <w:t>(e)</w:t>
      </w:r>
      <w:r w:rsidRPr="00496FB6" w:rsidR="00A86DAF">
        <w:t>)</w:t>
      </w:r>
      <w:r w:rsidRPr="00496FB6">
        <w:t xml:space="preserve"> and sentenced him to death.</w:t>
      </w:r>
      <w:r>
        <w:rPr>
          <w:rStyle w:val="FootnoteReference"/>
        </w:rPr>
        <w:footnoteReference w:id="4"/>
      </w:r>
      <w:r w:rsidRPr="00496FB6">
        <w:t xml:space="preserve">  </w:t>
      </w:r>
      <w:r w:rsidRPr="00496FB6" w:rsidR="00A24BC5">
        <w:t>Defendant</w:t>
      </w:r>
      <w:r w:rsidRPr="00496FB6" w:rsidR="00F04944">
        <w:t>’</w:t>
      </w:r>
      <w:r w:rsidRPr="00496FB6">
        <w:t>s appeal is a</w:t>
      </w:r>
      <w:r w:rsidRPr="00496FB6">
        <w:t xml:space="preserve">utomatic. </w:t>
      </w:r>
      <w:r w:rsidRPr="00496FB6" w:rsidR="00941C99">
        <w:t xml:space="preserve"> </w:t>
      </w:r>
      <w:r w:rsidRPr="00496FB6">
        <w:t>(§</w:t>
      </w:r>
      <w:r w:rsidRPr="00496FB6" w:rsidR="00D42751">
        <w:t> </w:t>
      </w:r>
      <w:r w:rsidRPr="00496FB6">
        <w:t>1239, subd.</w:t>
      </w:r>
      <w:r w:rsidRPr="00496FB6" w:rsidR="006764B5">
        <w:t> </w:t>
      </w:r>
      <w:r w:rsidRPr="00496FB6">
        <w:t>(b).)</w:t>
      </w:r>
      <w:r w:rsidR="002F6303">
        <w:t xml:space="preserve">  </w:t>
      </w:r>
    </w:p>
    <w:p w:rsidR="00CF0761" w:rsidRPr="00496FB6" w:rsidP="00083941" w14:paraId="33A7D3C6" w14:textId="526CB6CC">
      <w:pPr>
        <w:ind w:firstLine="720"/>
      </w:pPr>
      <w:r w:rsidRPr="00496FB6">
        <w:t xml:space="preserve">At trial, the People presented evidence </w:t>
      </w:r>
      <w:r w:rsidRPr="00496FB6" w:rsidR="006764B5">
        <w:t xml:space="preserve">that </w:t>
      </w:r>
      <w:r w:rsidRPr="00496FB6" w:rsidR="00D82EC8">
        <w:t>defendant</w:t>
      </w:r>
      <w:r w:rsidRPr="00496FB6">
        <w:t xml:space="preserve"> killed Loreck by repeatedly hitting her in the head with an iron bar while she was on a walk.  </w:t>
      </w:r>
      <w:r w:rsidRPr="00496FB6" w:rsidR="00A13872">
        <w:t xml:space="preserve">The People also presented evidence that </w:t>
      </w:r>
      <w:r w:rsidRPr="00496FB6" w:rsidR="00A24BC5">
        <w:t>defendant</w:t>
      </w:r>
      <w:r w:rsidRPr="00496FB6">
        <w:t xml:space="preserve"> raped and sodomized Loreck.  Police discovered </w:t>
      </w:r>
      <w:r w:rsidRPr="00496FB6" w:rsidR="00F10837">
        <w:t>Loreck</w:t>
      </w:r>
      <w:r w:rsidRPr="00496FB6">
        <w:t xml:space="preserve"> </w:t>
      </w:r>
      <w:r w:rsidRPr="00496FB6" w:rsidR="00EE715A">
        <w:t>within</w:t>
      </w:r>
      <w:r w:rsidRPr="00496FB6">
        <w:t xml:space="preserve"> hours after the </w:t>
      </w:r>
      <w:r w:rsidRPr="00496FB6" w:rsidR="00D574FF">
        <w:t>attack</w:t>
      </w:r>
      <w:r w:rsidRPr="00496FB6">
        <w:t>, while she was still alive</w:t>
      </w:r>
      <w:r w:rsidRPr="00496FB6" w:rsidR="00063871">
        <w:t xml:space="preserve">.  However, </w:t>
      </w:r>
      <w:r w:rsidRPr="00496FB6" w:rsidR="00C131E6">
        <w:t>she</w:t>
      </w:r>
      <w:r w:rsidRPr="00496FB6">
        <w:t xml:space="preserve"> died later that day.  </w:t>
      </w:r>
      <w:r w:rsidRPr="00496FB6" w:rsidR="00D82EC8">
        <w:t>Defendant</w:t>
      </w:r>
      <w:r w:rsidRPr="00496FB6">
        <w:t xml:space="preserve">’s DNA </w:t>
      </w:r>
      <w:r w:rsidRPr="00496FB6" w:rsidR="00393C49">
        <w:t xml:space="preserve">was found </w:t>
      </w:r>
      <w:r w:rsidRPr="00496FB6">
        <w:t>on both vaginal and rectal swabs</w:t>
      </w:r>
      <w:r w:rsidRPr="00496FB6">
        <w:t xml:space="preserve"> taken from Loreck as well as on a bloodied iron bar found at the crime scene.  </w:t>
      </w:r>
    </w:p>
    <w:p w:rsidR="00C30E79" w:rsidRPr="00496FB6" w:rsidP="00083941" w14:paraId="08D15BFE" w14:textId="2940EB7D">
      <w:pPr>
        <w:ind w:firstLine="720"/>
      </w:pPr>
      <w:r w:rsidRPr="00496FB6">
        <w:t>On</w:t>
      </w:r>
      <w:r w:rsidRPr="00496FB6" w:rsidR="00B20AB6">
        <w:t xml:space="preserve"> </w:t>
      </w:r>
      <w:r w:rsidRPr="00496FB6" w:rsidR="00CF0761">
        <w:t xml:space="preserve">appeal, </w:t>
      </w:r>
      <w:r w:rsidRPr="00496FB6" w:rsidR="00A24BC5">
        <w:t>defendant</w:t>
      </w:r>
      <w:r w:rsidRPr="00496FB6" w:rsidR="00CF0761">
        <w:t xml:space="preserve"> raises claims pertaining to: </w:t>
      </w:r>
      <w:r w:rsidRPr="00496FB6" w:rsidR="00E701AE">
        <w:t xml:space="preserve"> </w:t>
      </w:r>
      <w:r w:rsidRPr="00496FB6" w:rsidR="00CF0761">
        <w:t>(1) the trial court’s excusal of a prospective juror</w:t>
      </w:r>
      <w:r w:rsidRPr="00496FB6" w:rsidR="00BC0E81">
        <w:t xml:space="preserve"> for cause due to the prospective juror’s views on the death penalty</w:t>
      </w:r>
      <w:r w:rsidRPr="00496FB6" w:rsidR="00CF0761">
        <w:t xml:space="preserve">; (2) </w:t>
      </w:r>
      <w:r w:rsidRPr="00496FB6" w:rsidR="00142039">
        <w:t xml:space="preserve">the trial court’s denial of </w:t>
      </w:r>
      <w:r w:rsidRPr="00496FB6" w:rsidR="00A24BC5">
        <w:t>defendant</w:t>
      </w:r>
      <w:r w:rsidRPr="00496FB6" w:rsidR="00E36957">
        <w:t>’s</w:t>
      </w:r>
      <w:r w:rsidRPr="00496FB6" w:rsidR="00142039">
        <w:t xml:space="preserve"> request for individually sequestered voir dire; (3) the trial court’s giving of a jury instruction on </w:t>
      </w:r>
      <w:r w:rsidRPr="00496FB6" w:rsidR="006F2A11">
        <w:t xml:space="preserve">a defendant’s </w:t>
      </w:r>
      <w:r w:rsidRPr="00496FB6" w:rsidR="00142039">
        <w:t>flight from the scene of a crime</w:t>
      </w:r>
      <w:r w:rsidRPr="00496FB6" w:rsidR="00CE3019">
        <w:t>; (4)</w:t>
      </w:r>
      <w:r w:rsidR="008C799D">
        <w:t> </w:t>
      </w:r>
      <w:r w:rsidRPr="00496FB6" w:rsidR="00CF0761">
        <w:t xml:space="preserve">the trial court’s denials of </w:t>
      </w:r>
      <w:r w:rsidRPr="00496FB6" w:rsidR="00A24BC5">
        <w:t>defendant</w:t>
      </w:r>
      <w:r w:rsidRPr="00496FB6" w:rsidR="00125ED0">
        <w:t>’s</w:t>
      </w:r>
      <w:r w:rsidRPr="00496FB6" w:rsidR="00CF0761">
        <w:t xml:space="preserve"> requests to represent himself during the penalty </w:t>
      </w:r>
      <w:r w:rsidR="008D1577">
        <w:t>phase</w:t>
      </w:r>
      <w:r w:rsidRPr="00496FB6" w:rsidR="00CF0761">
        <w:t>; (</w:t>
      </w:r>
      <w:r w:rsidRPr="00496FB6" w:rsidR="00FF2823">
        <w:t>5</w:t>
      </w:r>
      <w:r w:rsidRPr="00496FB6" w:rsidR="00CF0761">
        <w:t xml:space="preserve">) the trial court’s denials of </w:t>
      </w:r>
      <w:r w:rsidRPr="00496FB6" w:rsidR="00A24BC5">
        <w:t>defendant</w:t>
      </w:r>
      <w:r w:rsidRPr="00496FB6" w:rsidR="00125ED0">
        <w:t>’s</w:t>
      </w:r>
      <w:r w:rsidRPr="00496FB6" w:rsidR="00CF0761">
        <w:t xml:space="preserve"> requests to represent himself during the postverdict proceedings;</w:t>
      </w:r>
      <w:r w:rsidRPr="00496FB6" w:rsidR="00893B58">
        <w:t xml:space="preserve"> </w:t>
      </w:r>
      <w:r w:rsidR="00513221">
        <w:t xml:space="preserve">(6) </w:t>
      </w:r>
      <w:r w:rsidRPr="006B6F7A" w:rsidR="006B6F7A">
        <w:rPr>
          <w:bCs/>
        </w:rPr>
        <w:t>the</w:t>
      </w:r>
      <w:r w:rsidRPr="004348E2" w:rsidR="006B6F7A">
        <w:rPr>
          <w:b/>
        </w:rPr>
        <w:t xml:space="preserve"> </w:t>
      </w:r>
      <w:r w:rsidRPr="006B6F7A" w:rsidR="006B6F7A">
        <w:rPr>
          <w:bCs/>
        </w:rPr>
        <w:t>trial court</w:t>
      </w:r>
      <w:r w:rsidR="006B6F7A">
        <w:rPr>
          <w:bCs/>
        </w:rPr>
        <w:t>’s</w:t>
      </w:r>
      <w:r w:rsidRPr="006B6F7A" w:rsidR="006B6F7A">
        <w:rPr>
          <w:bCs/>
        </w:rPr>
        <w:t xml:space="preserve"> purported violation of defendant’s </w:t>
      </w:r>
      <w:r w:rsidR="00115892">
        <w:rPr>
          <w:bCs/>
        </w:rPr>
        <w:t>S</w:t>
      </w:r>
      <w:r w:rsidRPr="006B6F7A" w:rsidR="006B6F7A">
        <w:rPr>
          <w:bCs/>
        </w:rPr>
        <w:t xml:space="preserve">ixth </w:t>
      </w:r>
      <w:r w:rsidR="00115892">
        <w:rPr>
          <w:bCs/>
        </w:rPr>
        <w:t>A</w:t>
      </w:r>
      <w:r w:rsidRPr="006B6F7A" w:rsidR="006B6F7A">
        <w:rPr>
          <w:bCs/>
        </w:rPr>
        <w:t>mendment right to choose the objective of his defense</w:t>
      </w:r>
      <w:r w:rsidR="00513221">
        <w:rPr>
          <w:bCs/>
        </w:rPr>
        <w:t>;</w:t>
      </w:r>
      <w:r w:rsidRPr="00496FB6" w:rsidR="006B6F7A">
        <w:t xml:space="preserve"> </w:t>
      </w:r>
      <w:r w:rsidRPr="00496FB6" w:rsidR="00FF2823">
        <w:t xml:space="preserve">and </w:t>
      </w:r>
      <w:r w:rsidRPr="00496FB6" w:rsidR="00CF0761">
        <w:t>(</w:t>
      </w:r>
      <w:r w:rsidR="00BB7C0B">
        <w:t>7</w:t>
      </w:r>
      <w:r w:rsidRPr="00496FB6" w:rsidR="00CF0761">
        <w:t>) the legality</w:t>
      </w:r>
      <w:r w:rsidRPr="00496FB6" w:rsidR="00C974BA">
        <w:t xml:space="preserve"> </w:t>
      </w:r>
      <w:r w:rsidRPr="00496FB6" w:rsidR="00CF0761">
        <w:t xml:space="preserve">of the death penalty statute.  </w:t>
      </w:r>
      <w:r w:rsidR="00484103">
        <w:t>W</w:t>
      </w:r>
      <w:r w:rsidRPr="00496FB6" w:rsidR="00893B58">
        <w:t>e affirm the judgment in its entirety</w:t>
      </w:r>
      <w:r w:rsidRPr="00496FB6" w:rsidR="00CF0761">
        <w:t>.</w:t>
      </w:r>
      <w:r>
        <w:rPr>
          <w:rStyle w:val="FootnoteReference"/>
        </w:rPr>
        <w:footnoteReference w:id="5"/>
      </w:r>
      <w:r w:rsidR="002F6303">
        <w:t xml:space="preserve">  </w:t>
      </w:r>
    </w:p>
    <w:p w:rsidR="00C30E79" w:rsidRPr="00496FB6" w:rsidP="00496FB6" w14:paraId="64BD5CB5" w14:textId="0718536A">
      <w:pPr>
        <w:pStyle w:val="Heading1"/>
      </w:pPr>
      <w:bookmarkStart w:id="9" w:name="_Toc147845674"/>
      <w:r w:rsidRPr="00496FB6">
        <w:t xml:space="preserve">I. </w:t>
      </w:r>
      <w:r w:rsidRPr="00496FB6" w:rsidR="005D335E">
        <w:t xml:space="preserve"> </w:t>
      </w:r>
      <w:r w:rsidRPr="00496FB6" w:rsidR="00D94499">
        <w:t>FACTUAL AND PROCEDURAL BACKGROUND</w:t>
      </w:r>
      <w:bookmarkEnd w:id="9"/>
    </w:p>
    <w:p w:rsidR="006E42E8" w:rsidRPr="00496FB6" w:rsidP="00496FB6" w14:paraId="162B0192" w14:textId="4CC5E3F7">
      <w:pPr>
        <w:pStyle w:val="Heading2"/>
        <w:tabs>
          <w:tab w:val="clear" w:pos="1152"/>
        </w:tabs>
        <w:ind w:left="1080" w:hanging="360"/>
      </w:pPr>
      <w:bookmarkStart w:id="10" w:name="_Toc147845675"/>
      <w:bookmarkStart w:id="11" w:name="_Toc147519547"/>
      <w:r w:rsidRPr="00496FB6">
        <w:t>A.</w:t>
      </w:r>
      <w:r w:rsidRPr="00496FB6" w:rsidR="0099186B">
        <w:tab/>
      </w:r>
      <w:r w:rsidRPr="00496FB6">
        <w:t xml:space="preserve">Guilt </w:t>
      </w:r>
      <w:r w:rsidRPr="00496FB6" w:rsidR="00FF0E5D">
        <w:t>P</w:t>
      </w:r>
      <w:r w:rsidRPr="00496FB6">
        <w:t xml:space="preserve">hase </w:t>
      </w:r>
      <w:r w:rsidRPr="00496FB6" w:rsidR="00FF0E5D">
        <w:t>E</w:t>
      </w:r>
      <w:r w:rsidRPr="00496FB6">
        <w:t>vidence</w:t>
      </w:r>
      <w:bookmarkEnd w:id="10"/>
      <w:bookmarkEnd w:id="11"/>
    </w:p>
    <w:p w:rsidR="006E42E8" w:rsidRPr="00496FB6" w:rsidP="00083941" w14:paraId="0AE80826" w14:textId="6D065553">
      <w:pPr>
        <w:pStyle w:val="Heading3"/>
        <w:tabs>
          <w:tab w:val="clear" w:pos="1584"/>
        </w:tabs>
      </w:pPr>
      <w:bookmarkStart w:id="12" w:name="_Toc147845676"/>
      <w:bookmarkStart w:id="13" w:name="_Toc147519548"/>
      <w:r w:rsidRPr="00496FB6">
        <w:rPr>
          <w:i w:val="0"/>
          <w:iCs/>
        </w:rPr>
        <w:t>1</w:t>
      </w:r>
      <w:r w:rsidRPr="00496FB6" w:rsidR="000F1965">
        <w:rPr>
          <w:i w:val="0"/>
          <w:iCs/>
        </w:rPr>
        <w:t>.</w:t>
      </w:r>
      <w:r w:rsidRPr="00496FB6" w:rsidR="000F1965">
        <w:rPr>
          <w:i w:val="0"/>
          <w:iCs/>
        </w:rPr>
        <w:tab/>
      </w:r>
      <w:r w:rsidRPr="00496FB6" w:rsidR="005C25E8">
        <w:t>The p</w:t>
      </w:r>
      <w:r w:rsidRPr="00496FB6">
        <w:t>rosecution</w:t>
      </w:r>
      <w:r w:rsidRPr="00496FB6" w:rsidR="005C25E8">
        <w:t>’s</w:t>
      </w:r>
      <w:r w:rsidRPr="00496FB6">
        <w:t xml:space="preserve"> evidence</w:t>
      </w:r>
      <w:bookmarkEnd w:id="12"/>
      <w:bookmarkEnd w:id="13"/>
    </w:p>
    <w:p w:rsidR="006E42E8" w:rsidRPr="00496FB6" w:rsidP="00083941" w14:paraId="028D3F93" w14:textId="6B48A121">
      <w:pPr>
        <w:pStyle w:val="Heading4"/>
        <w:tabs>
          <w:tab w:val="clear" w:pos="2016"/>
        </w:tabs>
      </w:pPr>
      <w:bookmarkStart w:id="14" w:name="_Toc147845677"/>
      <w:bookmarkStart w:id="15" w:name="_Toc147519549"/>
      <w:r w:rsidRPr="00496FB6">
        <w:rPr>
          <w:i w:val="0"/>
          <w:iCs/>
        </w:rPr>
        <w:t>a.</w:t>
      </w:r>
      <w:r w:rsidRPr="00496FB6" w:rsidR="00CA2693">
        <w:rPr>
          <w:i w:val="0"/>
          <w:iCs/>
        </w:rPr>
        <w:tab/>
      </w:r>
      <w:r w:rsidRPr="00496FB6" w:rsidR="00B776A4">
        <w:t xml:space="preserve">The attack and </w:t>
      </w:r>
      <w:r w:rsidRPr="00496FB6" w:rsidR="00C407BB">
        <w:t xml:space="preserve">its </w:t>
      </w:r>
      <w:r w:rsidRPr="00496FB6" w:rsidR="00B776A4">
        <w:t>immediate aftermath</w:t>
      </w:r>
      <w:bookmarkEnd w:id="14"/>
      <w:bookmarkEnd w:id="15"/>
    </w:p>
    <w:p w:rsidR="00215739" w:rsidRPr="00496FB6" w:rsidP="00567110" w14:paraId="37FD6B79" w14:textId="6E59B4C9">
      <w:pPr>
        <w:ind w:firstLine="720"/>
      </w:pPr>
      <w:r w:rsidRPr="00496FB6">
        <w:t xml:space="preserve">On May 13, 2003, around 1:00 p.m., </w:t>
      </w:r>
      <w:r w:rsidRPr="00496FB6" w:rsidR="00C407BB">
        <w:t>Loreck</w:t>
      </w:r>
      <w:r w:rsidRPr="00496FB6">
        <w:t xml:space="preserve"> left her workplace </w:t>
      </w:r>
      <w:r w:rsidRPr="00496FB6" w:rsidR="00732EF7">
        <w:t xml:space="preserve">in Concord </w:t>
      </w:r>
      <w:r w:rsidRPr="00496FB6">
        <w:t>to take her regular lunchtime walk on a nearby trail.</w:t>
      </w:r>
      <w:r w:rsidRPr="00496FB6" w:rsidR="005C3FE1">
        <w:t xml:space="preserve">  </w:t>
      </w:r>
      <w:r w:rsidRPr="00496FB6">
        <w:t xml:space="preserve">As </w:t>
      </w:r>
      <w:r w:rsidRPr="00496FB6" w:rsidR="00C407BB">
        <w:t>Loreck</w:t>
      </w:r>
      <w:r w:rsidRPr="00496FB6">
        <w:t xml:space="preserve"> walked, she spoke on a cell phone with her husband</w:t>
      </w:r>
      <w:r w:rsidRPr="00496FB6" w:rsidR="002F7847">
        <w:t xml:space="preserve">. </w:t>
      </w:r>
      <w:r w:rsidRPr="00496FB6" w:rsidR="002F06D1">
        <w:t xml:space="preserve"> </w:t>
      </w:r>
      <w:r w:rsidRPr="00496FB6" w:rsidR="00AF2FB5">
        <w:t>L</w:t>
      </w:r>
      <w:r w:rsidRPr="00496FB6" w:rsidR="00402467">
        <w:t>ess than an hour</w:t>
      </w:r>
      <w:r w:rsidRPr="00496FB6">
        <w:t xml:space="preserve"> </w:t>
      </w:r>
      <w:r w:rsidRPr="00496FB6" w:rsidR="00402467">
        <w:t xml:space="preserve">after </w:t>
      </w:r>
      <w:r w:rsidRPr="00496FB6">
        <w:t>the call</w:t>
      </w:r>
      <w:r w:rsidRPr="00496FB6" w:rsidR="00402467">
        <w:t xml:space="preserve"> began</w:t>
      </w:r>
      <w:r w:rsidRPr="00496FB6">
        <w:t xml:space="preserve">, </w:t>
      </w:r>
      <w:r w:rsidRPr="00496FB6" w:rsidR="00C407BB">
        <w:t>Loreck</w:t>
      </w:r>
      <w:r w:rsidRPr="00496FB6">
        <w:t>’s husband</w:t>
      </w:r>
      <w:r w:rsidRPr="00496FB6">
        <w:t xml:space="preserve"> heard a “very low sigh” that sounded to him “like breathing out.” </w:t>
      </w:r>
      <w:r w:rsidRPr="00496FB6" w:rsidR="00C61403">
        <w:t xml:space="preserve"> </w:t>
      </w:r>
      <w:r w:rsidRPr="00496FB6">
        <w:t xml:space="preserve">Thereafter, </w:t>
      </w:r>
      <w:r w:rsidRPr="00496FB6" w:rsidR="00C407BB">
        <w:t>Loreck</w:t>
      </w:r>
      <w:r w:rsidRPr="00496FB6">
        <w:t xml:space="preserve">’s husband heard a “disturbance” that made him </w:t>
      </w:r>
      <w:r w:rsidRPr="00496FB6" w:rsidR="00875EFD">
        <w:t>think</w:t>
      </w:r>
      <w:r w:rsidRPr="00496FB6">
        <w:t xml:space="preserve"> that </w:t>
      </w:r>
      <w:r w:rsidRPr="00496FB6" w:rsidR="00A25FC3">
        <w:t>L</w:t>
      </w:r>
      <w:r w:rsidRPr="00496FB6" w:rsidR="003D478A">
        <w:t>oreck</w:t>
      </w:r>
      <w:r w:rsidRPr="00496FB6">
        <w:t xml:space="preserve"> “might have dropped the phone.”</w:t>
      </w:r>
      <w:r>
        <w:rPr>
          <w:rStyle w:val="FootnoteReference"/>
        </w:rPr>
        <w:footnoteReference w:id="6"/>
      </w:r>
      <w:r w:rsidRPr="00496FB6">
        <w:t xml:space="preserve"> </w:t>
      </w:r>
      <w:r w:rsidRPr="00496FB6" w:rsidR="00C61403">
        <w:t xml:space="preserve"> </w:t>
      </w:r>
      <w:r w:rsidRPr="00496FB6">
        <w:t xml:space="preserve">After </w:t>
      </w:r>
      <w:r w:rsidRPr="00496FB6" w:rsidR="00C407BB">
        <w:t>Loreck</w:t>
      </w:r>
      <w:r w:rsidRPr="00496FB6">
        <w:t xml:space="preserve"> did not respond to h</w:t>
      </w:r>
      <w:r w:rsidRPr="00496FB6" w:rsidR="003D478A">
        <w:t>er husband</w:t>
      </w:r>
      <w:r w:rsidRPr="00496FB6">
        <w:t xml:space="preserve">, </w:t>
      </w:r>
      <w:r w:rsidR="009A2EC6">
        <w:t>he</w:t>
      </w:r>
      <w:r w:rsidRPr="00496FB6">
        <w:t xml:space="preserve"> grew very worried.  </w:t>
      </w:r>
      <w:r w:rsidR="009A2EC6">
        <w:t>Loreck’s husband</w:t>
      </w:r>
      <w:r w:rsidRPr="00496FB6">
        <w:t xml:space="preserve"> attempted to call her back but was </w:t>
      </w:r>
      <w:r w:rsidRPr="00496FB6" w:rsidR="006764B5">
        <w:t>un</w:t>
      </w:r>
      <w:r w:rsidRPr="00496FB6">
        <w:t xml:space="preserve">able to reach her.  </w:t>
      </w:r>
      <w:r w:rsidRPr="00496FB6" w:rsidR="00AF2FB5">
        <w:t>A</w:t>
      </w:r>
      <w:r w:rsidRPr="00496FB6" w:rsidR="00DE4A0D">
        <w:t xml:space="preserve"> few minutes later</w:t>
      </w:r>
      <w:r w:rsidRPr="00496FB6" w:rsidR="00C6512B">
        <w:t xml:space="preserve">, </w:t>
      </w:r>
      <w:r w:rsidRPr="00496FB6" w:rsidR="00C407BB">
        <w:t>Loreck</w:t>
      </w:r>
      <w:r w:rsidRPr="00496FB6">
        <w:t>’s husband called his father</w:t>
      </w:r>
      <w:r w:rsidRPr="00496FB6" w:rsidR="006764B5">
        <w:t> </w:t>
      </w:r>
      <w:r w:rsidRPr="00496FB6">
        <w:rPr>
          <w:rFonts w:cstheme="minorHAnsi"/>
        </w:rPr>
        <w:t>—</w:t>
      </w:r>
      <w:r w:rsidRPr="00496FB6">
        <w:t xml:space="preserve"> who also worked at </w:t>
      </w:r>
      <w:r w:rsidRPr="00496FB6" w:rsidR="00C407BB">
        <w:t>Loreck</w:t>
      </w:r>
      <w:r w:rsidRPr="00496FB6">
        <w:t xml:space="preserve">’s </w:t>
      </w:r>
      <w:r w:rsidRPr="00496FB6" w:rsidR="00A51F80">
        <w:t>workplace </w:t>
      </w:r>
      <w:r w:rsidRPr="00496FB6" w:rsidR="00D47799">
        <w:rPr>
          <w:rFonts w:cstheme="minorHAnsi"/>
        </w:rPr>
        <w:t>—</w:t>
      </w:r>
      <w:r w:rsidRPr="00496FB6" w:rsidR="00D47799">
        <w:t xml:space="preserve"> and</w:t>
      </w:r>
      <w:r w:rsidRPr="00496FB6">
        <w:t xml:space="preserve"> told him what had happened.  </w:t>
      </w:r>
    </w:p>
    <w:p w:rsidR="00C407BB" w:rsidRPr="00496FB6" w:rsidP="00083941" w14:paraId="2127FF02" w14:textId="7010EBED">
      <w:pPr>
        <w:ind w:firstLine="720"/>
      </w:pPr>
      <w:r w:rsidRPr="00496FB6">
        <w:t>Loreck</w:t>
      </w:r>
      <w:r w:rsidRPr="00496FB6" w:rsidR="00215739">
        <w:t xml:space="preserve">’s father-in-law unsuccessfully looked for her in the surrounding area.  He then returned to their workplace and told a manager about the situation. </w:t>
      </w:r>
      <w:r w:rsidRPr="00496FB6" w:rsidR="00635692">
        <w:t xml:space="preserve"> </w:t>
      </w:r>
      <w:r w:rsidRPr="00496FB6" w:rsidR="003A1329">
        <w:t>Loreck’s father-in-law and the manager</w:t>
      </w:r>
      <w:r w:rsidRPr="00496FB6" w:rsidR="0068042C">
        <w:t xml:space="preserve"> decided to call </w:t>
      </w:r>
      <w:r w:rsidRPr="00496FB6" w:rsidR="00215739">
        <w:t xml:space="preserve">the police.  </w:t>
      </w:r>
    </w:p>
    <w:p w:rsidR="00215739" w:rsidRPr="00496FB6" w:rsidP="00083941" w14:paraId="290A1602" w14:textId="035F7712">
      <w:pPr>
        <w:ind w:firstLine="720"/>
      </w:pPr>
      <w:r w:rsidRPr="00496FB6">
        <w:t>Just after 3:00 p.m. that same day, a police officer receive</w:t>
      </w:r>
      <w:r w:rsidRPr="00496FB6">
        <w:t xml:space="preserve">d a dispatch </w:t>
      </w:r>
      <w:r w:rsidRPr="00496FB6" w:rsidR="004A42F9">
        <w:t>concerning</w:t>
      </w:r>
      <w:r w:rsidRPr="00496FB6">
        <w:t xml:space="preserve"> </w:t>
      </w:r>
      <w:r w:rsidRPr="00496FB6" w:rsidR="00C407BB">
        <w:t>Loreck</w:t>
      </w:r>
      <w:r w:rsidRPr="00496FB6">
        <w:t xml:space="preserve">’s disappearance.  </w:t>
      </w:r>
      <w:r w:rsidRPr="00496FB6" w:rsidR="00134945">
        <w:t xml:space="preserve">Within five minutes, </w:t>
      </w:r>
      <w:r w:rsidRPr="00496FB6" w:rsidR="00E354A2">
        <w:t xml:space="preserve">the </w:t>
      </w:r>
      <w:r w:rsidRPr="00496FB6" w:rsidR="00134945">
        <w:t>officer began</w:t>
      </w:r>
      <w:r w:rsidRPr="00496FB6">
        <w:t xml:space="preserve"> searching </w:t>
      </w:r>
      <w:r w:rsidRPr="00496FB6" w:rsidR="00892944">
        <w:t xml:space="preserve">for </w:t>
      </w:r>
      <w:r w:rsidRPr="00496FB6" w:rsidR="007E1FAF">
        <w:t xml:space="preserve">Loreck </w:t>
      </w:r>
      <w:r w:rsidRPr="00496FB6">
        <w:t>near</w:t>
      </w:r>
      <w:r w:rsidRPr="00496FB6" w:rsidR="007E1FAF">
        <w:t xml:space="preserve"> her</w:t>
      </w:r>
      <w:r w:rsidRPr="00496FB6">
        <w:t xml:space="preserve"> workplace</w:t>
      </w:r>
      <w:r w:rsidRPr="00496FB6" w:rsidR="00134945">
        <w:t xml:space="preserve">. </w:t>
      </w:r>
      <w:r w:rsidRPr="00496FB6">
        <w:t xml:space="preserve"> </w:t>
      </w:r>
      <w:r w:rsidRPr="00496FB6" w:rsidR="00134945">
        <w:t>T</w:t>
      </w:r>
      <w:r w:rsidRPr="00496FB6">
        <w:t xml:space="preserve">he officer observed a red stain that appeared to be blood near </w:t>
      </w:r>
      <w:r w:rsidRPr="00496FB6" w:rsidR="00754CF8">
        <w:t>a</w:t>
      </w:r>
      <w:r w:rsidRPr="00496FB6">
        <w:t xml:space="preserve"> portion of the </w:t>
      </w:r>
      <w:r w:rsidRPr="00496FB6" w:rsidR="00C407BB">
        <w:t xml:space="preserve">paved </w:t>
      </w:r>
      <w:r w:rsidRPr="00496FB6">
        <w:t xml:space="preserve">trail </w:t>
      </w:r>
      <w:r w:rsidRPr="00496FB6" w:rsidR="001D60FE">
        <w:t>where</w:t>
      </w:r>
      <w:r w:rsidRPr="00496FB6">
        <w:t xml:space="preserve"> </w:t>
      </w:r>
      <w:r w:rsidRPr="00496FB6" w:rsidR="00C407BB">
        <w:t>Loreck</w:t>
      </w:r>
      <w:r w:rsidRPr="00496FB6">
        <w:t xml:space="preserve"> had been walking. </w:t>
      </w:r>
      <w:r w:rsidRPr="00496FB6" w:rsidR="004A42F9">
        <w:t xml:space="preserve"> </w:t>
      </w:r>
      <w:r w:rsidRPr="00496FB6">
        <w:t>The officer followed what appeared to be drag marks in nearby vegetation down a dirt path off the paved trail, through a cut in a fe</w:t>
      </w:r>
      <w:r w:rsidRPr="00496FB6">
        <w:t>nce</w:t>
      </w:r>
      <w:r w:rsidRPr="00496FB6" w:rsidR="00814199">
        <w:t>,</w:t>
      </w:r>
      <w:r w:rsidRPr="00496FB6">
        <w:t xml:space="preserve"> until he reached an area near a tree. </w:t>
      </w:r>
      <w:r w:rsidRPr="00496FB6" w:rsidR="00223C8F">
        <w:t xml:space="preserve"> </w:t>
      </w:r>
      <w:r w:rsidRPr="00496FB6">
        <w:t xml:space="preserve">Once there, the officer saw </w:t>
      </w:r>
      <w:r w:rsidRPr="00496FB6" w:rsidR="00C407BB">
        <w:t>Loreck</w:t>
      </w:r>
      <w:r w:rsidRPr="00496FB6">
        <w:t xml:space="preserve"> lying near the bottom of the path about 12</w:t>
      </w:r>
      <w:r w:rsidRPr="00496FB6" w:rsidR="001D60FE">
        <w:t> </w:t>
      </w:r>
      <w:r w:rsidRPr="00496FB6">
        <w:t xml:space="preserve">feet from the tree. </w:t>
      </w:r>
      <w:r w:rsidRPr="00496FB6" w:rsidR="00D42751">
        <w:t xml:space="preserve"> </w:t>
      </w:r>
    </w:p>
    <w:p w:rsidR="00215739" w:rsidRPr="00496FB6" w:rsidP="00083941" w14:paraId="02FB1715" w14:textId="3037EB7F">
      <w:pPr>
        <w:ind w:firstLine="720"/>
      </w:pPr>
      <w:r w:rsidRPr="00496FB6">
        <w:t xml:space="preserve">The officer observed that </w:t>
      </w:r>
      <w:r w:rsidRPr="00496FB6" w:rsidR="00C407BB">
        <w:t>Loreck</w:t>
      </w:r>
      <w:r w:rsidRPr="00496FB6">
        <w:t xml:space="preserve">’s clothing had been removed from her navel to her calves and that her face was </w:t>
      </w:r>
      <w:r w:rsidRPr="00496FB6">
        <w:t xml:space="preserve">completely covered in blood. </w:t>
      </w:r>
      <w:r w:rsidRPr="00496FB6" w:rsidR="00BD57C0">
        <w:t xml:space="preserve"> </w:t>
      </w:r>
      <w:r w:rsidRPr="00496FB6" w:rsidR="00C407BB">
        <w:t>Loreck</w:t>
      </w:r>
      <w:r w:rsidRPr="00496FB6">
        <w:t xml:space="preserve">’s breathing was </w:t>
      </w:r>
      <w:r w:rsidRPr="00496FB6" w:rsidR="00D42751">
        <w:t>labored,</w:t>
      </w:r>
      <w:r w:rsidRPr="00496FB6">
        <w:t xml:space="preserve"> and her pulse was rapid. </w:t>
      </w:r>
      <w:r w:rsidRPr="00496FB6" w:rsidR="003A7704">
        <w:t xml:space="preserve"> </w:t>
      </w:r>
      <w:r w:rsidRPr="00496FB6">
        <w:t xml:space="preserve">Blood pooled beneath her </w:t>
      </w:r>
      <w:r w:rsidRPr="00496FB6" w:rsidR="00D42751">
        <w:t>head,</w:t>
      </w:r>
      <w:r w:rsidRPr="00496FB6">
        <w:t xml:space="preserve"> and she bled from both ears. </w:t>
      </w:r>
      <w:r w:rsidRPr="00496FB6" w:rsidR="005109D0">
        <w:t xml:space="preserve"> </w:t>
      </w:r>
      <w:r w:rsidRPr="00496FB6">
        <w:t>She had a very large gash on her scalp</w:t>
      </w:r>
      <w:r w:rsidRPr="00496FB6" w:rsidR="009B2960">
        <w:t xml:space="preserve"> and many other wounds</w:t>
      </w:r>
      <w:r w:rsidRPr="00496FB6">
        <w:t xml:space="preserve">. </w:t>
      </w:r>
      <w:r w:rsidRPr="00496FB6" w:rsidR="00EB2383">
        <w:t xml:space="preserve"> </w:t>
      </w:r>
      <w:r w:rsidRPr="00496FB6">
        <w:t>Nearby, the officer observed a two-foot long</w:t>
      </w:r>
      <w:r w:rsidRPr="00496FB6">
        <w:t xml:space="preserve"> piece of iron that appeared to have blood on it sitting next to a pool of blood. </w:t>
      </w:r>
      <w:r w:rsidRPr="00496FB6" w:rsidR="00D42751">
        <w:t xml:space="preserve"> </w:t>
      </w:r>
    </w:p>
    <w:p w:rsidR="00215739" w:rsidRPr="00496FB6" w:rsidP="00083941" w14:paraId="3780ECF0" w14:textId="5B22C2CD">
      <w:pPr>
        <w:ind w:firstLine="720"/>
      </w:pPr>
      <w:r w:rsidRPr="00496FB6">
        <w:t xml:space="preserve">Loreck died at the hospital at 4:45 p.m. that same day. </w:t>
      </w:r>
      <w:r w:rsidRPr="00496FB6" w:rsidR="00572B69">
        <w:t xml:space="preserve"> </w:t>
      </w:r>
      <w:r w:rsidRPr="00496FB6">
        <w:t xml:space="preserve">A forensic pathologist performed an autopsy and determined that </w:t>
      </w:r>
      <w:r w:rsidRPr="00496FB6" w:rsidR="00F07C74">
        <w:t>she had</w:t>
      </w:r>
      <w:r w:rsidRPr="00496FB6">
        <w:t xml:space="preserve"> sustained numerous blunt force injuries to </w:t>
      </w:r>
      <w:r w:rsidRPr="00496FB6">
        <w:t xml:space="preserve">the back of her head and one injury near her right temple.  In addition to skull fractures and bleeding on the brain, Loreck suffered swelling of the brain that caused her death. </w:t>
      </w:r>
      <w:r w:rsidRPr="00496FB6" w:rsidR="00637FD8">
        <w:t xml:space="preserve"> </w:t>
      </w:r>
    </w:p>
    <w:p w:rsidR="00215739" w:rsidRPr="00496FB6" w:rsidP="00083941" w14:paraId="10CF3C85" w14:textId="60106487">
      <w:pPr>
        <w:pStyle w:val="Heading4"/>
        <w:tabs>
          <w:tab w:val="clear" w:pos="2016"/>
        </w:tabs>
      </w:pPr>
      <w:bookmarkStart w:id="16" w:name="_Toc147845678"/>
      <w:bookmarkStart w:id="17" w:name="_Toc147519550"/>
      <w:r w:rsidRPr="00496FB6">
        <w:rPr>
          <w:i w:val="0"/>
          <w:iCs/>
        </w:rPr>
        <w:t>b.</w:t>
      </w:r>
      <w:r w:rsidRPr="00496FB6" w:rsidR="00142DC5">
        <w:rPr>
          <w:i w:val="0"/>
          <w:iCs/>
        </w:rPr>
        <w:tab/>
      </w:r>
      <w:r w:rsidRPr="00496FB6">
        <w:t xml:space="preserve">Evidence of </w:t>
      </w:r>
      <w:r w:rsidRPr="00496FB6" w:rsidR="00A24BC5">
        <w:t>defendant</w:t>
      </w:r>
      <w:r w:rsidRPr="00496FB6">
        <w:t xml:space="preserve">’s commission of the </w:t>
      </w:r>
      <w:r w:rsidRPr="00496FB6" w:rsidR="002B6235">
        <w:t>offenses</w:t>
      </w:r>
      <w:bookmarkEnd w:id="16"/>
      <w:bookmarkEnd w:id="17"/>
    </w:p>
    <w:p w:rsidR="008175E3" w:rsidRPr="00496FB6" w:rsidP="00083941" w14:paraId="57C31C42" w14:textId="789385EF">
      <w:pPr>
        <w:ind w:firstLine="720"/>
      </w:pPr>
      <w:r w:rsidRPr="00496FB6">
        <w:t xml:space="preserve">Several witnesses saw defendant near the trail around the time that the </w:t>
      </w:r>
      <w:r w:rsidRPr="00496FB6" w:rsidR="001D60FE">
        <w:t>crimes</w:t>
      </w:r>
      <w:r w:rsidRPr="00496FB6">
        <w:t xml:space="preserve"> occurred.  A</w:t>
      </w:r>
      <w:r w:rsidRPr="00496FB6" w:rsidR="00215739">
        <w:t xml:space="preserve">round </w:t>
      </w:r>
      <w:r w:rsidRPr="00496FB6" w:rsidR="0058145F">
        <w:t>12:30</w:t>
      </w:r>
      <w:r w:rsidRPr="00496FB6" w:rsidR="003014AD">
        <w:t xml:space="preserve"> p.m.</w:t>
      </w:r>
      <w:r w:rsidRPr="00496FB6" w:rsidR="00215739">
        <w:t xml:space="preserve">, one of </w:t>
      </w:r>
      <w:r w:rsidRPr="00496FB6" w:rsidR="00C407BB">
        <w:t>Loreck</w:t>
      </w:r>
      <w:r w:rsidRPr="00496FB6" w:rsidR="00215739">
        <w:t>’s coworkers</w:t>
      </w:r>
      <w:r w:rsidRPr="00496FB6" w:rsidR="001D60FE">
        <w:t xml:space="preserve"> </w:t>
      </w:r>
      <w:r w:rsidRPr="00496FB6" w:rsidR="002C413D">
        <w:t>was taking</w:t>
      </w:r>
      <w:r w:rsidRPr="00496FB6" w:rsidR="00215739">
        <w:t xml:space="preserve"> </w:t>
      </w:r>
      <w:r w:rsidRPr="00496FB6" w:rsidR="00D47799">
        <w:t xml:space="preserve">a </w:t>
      </w:r>
      <w:r w:rsidRPr="00496FB6" w:rsidR="00215739">
        <w:t xml:space="preserve">walk and saw </w:t>
      </w:r>
      <w:r w:rsidRPr="00496FB6" w:rsidR="00A24BC5">
        <w:t>defendant</w:t>
      </w:r>
      <w:r w:rsidRPr="00496FB6" w:rsidR="00215739">
        <w:t xml:space="preserve"> </w:t>
      </w:r>
      <w:r w:rsidRPr="00496FB6" w:rsidR="005D58B6">
        <w:t>close to</w:t>
      </w:r>
      <w:r w:rsidRPr="00496FB6" w:rsidR="00215739">
        <w:t xml:space="preserve"> </w:t>
      </w:r>
      <w:r w:rsidRPr="00496FB6" w:rsidR="00C407BB">
        <w:t>Loreck</w:t>
      </w:r>
      <w:r w:rsidRPr="00496FB6" w:rsidR="00215739">
        <w:t xml:space="preserve">’s workplace </w:t>
      </w:r>
      <w:r w:rsidRPr="00496FB6" w:rsidR="008A3CFD">
        <w:t xml:space="preserve">near the trail </w:t>
      </w:r>
      <w:r w:rsidRPr="00496FB6" w:rsidR="0009303D">
        <w:t>on which Loreck would later walk</w:t>
      </w:r>
      <w:r w:rsidRPr="00496FB6" w:rsidR="008A3CFD">
        <w:t xml:space="preserve">. </w:t>
      </w:r>
      <w:r w:rsidRPr="00496FB6" w:rsidR="00D47799">
        <w:t xml:space="preserve"> </w:t>
      </w:r>
      <w:r w:rsidRPr="00496FB6" w:rsidR="00EE715A">
        <w:t>D</w:t>
      </w:r>
      <w:r w:rsidRPr="00496FB6" w:rsidR="00A24BC5">
        <w:t>efendant</w:t>
      </w:r>
      <w:r w:rsidRPr="00496FB6" w:rsidR="00215739">
        <w:t xml:space="preserve"> appeared disheveled and was acting strangely.  </w:t>
      </w:r>
    </w:p>
    <w:p w:rsidR="00215739" w:rsidRPr="00496FB6" w:rsidP="00083941" w14:paraId="2B90C45C" w14:textId="1421B6C7">
      <w:pPr>
        <w:ind w:firstLine="720"/>
      </w:pPr>
      <w:r w:rsidRPr="00496FB6">
        <w:t>Around 1:00 p.m., on his way back to work, the</w:t>
      </w:r>
      <w:r w:rsidRPr="00496FB6" w:rsidR="00BF2A21">
        <w:t xml:space="preserve"> same</w:t>
      </w:r>
      <w:r w:rsidRPr="00496FB6">
        <w:t xml:space="preserve"> coworker saw </w:t>
      </w:r>
      <w:r w:rsidRPr="00496FB6" w:rsidR="00C407BB">
        <w:t>Loreck</w:t>
      </w:r>
      <w:r w:rsidRPr="00496FB6" w:rsidR="00AE16E2">
        <w:t xml:space="preserve"> on the trail</w:t>
      </w:r>
      <w:r w:rsidRPr="00496FB6">
        <w:t xml:space="preserve">.  </w:t>
      </w:r>
      <w:r w:rsidRPr="00496FB6" w:rsidR="002A67E7">
        <w:t>Loreck was talking</w:t>
      </w:r>
      <w:r w:rsidRPr="00496FB6">
        <w:t xml:space="preserve"> on </w:t>
      </w:r>
      <w:r w:rsidRPr="00496FB6" w:rsidR="0009303D">
        <w:t>a</w:t>
      </w:r>
      <w:r w:rsidRPr="00496FB6">
        <w:t xml:space="preserve"> cell phone and waved to the coworker as she walked by.</w:t>
      </w:r>
      <w:r w:rsidRPr="00496FB6" w:rsidR="00637FD8">
        <w:t xml:space="preserve">  </w:t>
      </w:r>
    </w:p>
    <w:p w:rsidR="00215739" w:rsidRPr="00496FB6" w:rsidP="00083941" w14:paraId="6BC9D130" w14:textId="03C63D4B">
      <w:pPr>
        <w:ind w:firstLine="720"/>
      </w:pPr>
      <w:r w:rsidRPr="00496FB6">
        <w:t xml:space="preserve">The coworker </w:t>
      </w:r>
      <w:r w:rsidRPr="00496FB6" w:rsidR="009926D3">
        <w:t>continued</w:t>
      </w:r>
      <w:r w:rsidRPr="00496FB6">
        <w:t xml:space="preserve"> </w:t>
      </w:r>
      <w:r w:rsidRPr="00496FB6" w:rsidR="009926D3">
        <w:t xml:space="preserve">on </w:t>
      </w:r>
      <w:r w:rsidRPr="00496FB6" w:rsidR="008175E3">
        <w:t xml:space="preserve">the trail </w:t>
      </w:r>
      <w:r w:rsidRPr="00496FB6">
        <w:t xml:space="preserve">for five to 10 minutes and again saw </w:t>
      </w:r>
      <w:r w:rsidRPr="00496FB6" w:rsidR="00A24BC5">
        <w:t>defendant</w:t>
      </w:r>
      <w:r w:rsidRPr="00496FB6" w:rsidR="00172C14">
        <w:t xml:space="preserve"> </w:t>
      </w:r>
      <w:r w:rsidRPr="00496FB6" w:rsidR="008175E3">
        <w:t>n</w:t>
      </w:r>
      <w:r w:rsidRPr="00496FB6" w:rsidR="00172C14">
        <w:t xml:space="preserve">ear the same </w:t>
      </w:r>
      <w:r w:rsidRPr="00496FB6" w:rsidR="008E0A2A">
        <w:t xml:space="preserve">spot where the coworker had initially seen </w:t>
      </w:r>
      <w:r w:rsidRPr="00496FB6" w:rsidR="00EE715A">
        <w:t>him</w:t>
      </w:r>
      <w:r w:rsidRPr="00496FB6">
        <w:t xml:space="preserve">. </w:t>
      </w:r>
      <w:r w:rsidRPr="00496FB6" w:rsidR="0061697C">
        <w:t xml:space="preserve"> </w:t>
      </w:r>
      <w:r w:rsidRPr="00496FB6" w:rsidR="00A24BC5">
        <w:t>Defendant</w:t>
      </w:r>
      <w:r w:rsidRPr="00496FB6" w:rsidR="0069082F">
        <w:t xml:space="preserve"> was holding </w:t>
      </w:r>
      <w:r w:rsidRPr="00496FB6" w:rsidR="00EE715A">
        <w:t>a</w:t>
      </w:r>
      <w:r w:rsidRPr="00496FB6" w:rsidR="0069082F">
        <w:t xml:space="preserve"> jacket across his chest. </w:t>
      </w:r>
      <w:r w:rsidRPr="00496FB6" w:rsidR="005D55C3">
        <w:t xml:space="preserve"> </w:t>
      </w:r>
      <w:r w:rsidRPr="00496FB6">
        <w:t xml:space="preserve">A </w:t>
      </w:r>
      <w:r w:rsidRPr="00496FB6">
        <w:t xml:space="preserve">few days </w:t>
      </w:r>
      <w:r w:rsidRPr="00496FB6" w:rsidR="006C6A02">
        <w:t>later</w:t>
      </w:r>
      <w:r w:rsidRPr="00496FB6">
        <w:t>, the coworker saw a blood</w:t>
      </w:r>
      <w:r w:rsidRPr="00496FB6" w:rsidR="004D2C2D">
        <w:t xml:space="preserve">stain </w:t>
      </w:r>
      <w:r w:rsidRPr="00496FB6">
        <w:t xml:space="preserve">on the paved trail about five </w:t>
      </w:r>
      <w:r w:rsidRPr="00496FB6" w:rsidR="00376178">
        <w:t xml:space="preserve">to </w:t>
      </w:r>
      <w:r w:rsidRPr="00496FB6" w:rsidR="00B359DC">
        <w:t xml:space="preserve">10 </w:t>
      </w:r>
      <w:r w:rsidRPr="00496FB6">
        <w:t xml:space="preserve">feet from where he had observed </w:t>
      </w:r>
      <w:r w:rsidRPr="00496FB6" w:rsidR="00A24BC5">
        <w:t>defendant</w:t>
      </w:r>
      <w:r w:rsidRPr="00496FB6">
        <w:t xml:space="preserve"> holding the jacket. </w:t>
      </w:r>
      <w:r w:rsidRPr="00496FB6" w:rsidR="00D47799">
        <w:t xml:space="preserve"> </w:t>
      </w:r>
    </w:p>
    <w:p w:rsidR="00215739" w:rsidRPr="00496FB6" w:rsidP="00083941" w14:paraId="00F0866A" w14:textId="70E3F2D5">
      <w:pPr>
        <w:ind w:firstLine="720"/>
      </w:pPr>
      <w:r w:rsidRPr="00496FB6">
        <w:t xml:space="preserve">A second </w:t>
      </w:r>
      <w:r w:rsidRPr="00496FB6" w:rsidR="00EE715A">
        <w:t xml:space="preserve">of Loreck’s </w:t>
      </w:r>
      <w:r w:rsidRPr="00496FB6">
        <w:t>coworker</w:t>
      </w:r>
      <w:r w:rsidRPr="00496FB6" w:rsidR="00EE715A">
        <w:t>s</w:t>
      </w:r>
      <w:r w:rsidRPr="00496FB6">
        <w:t xml:space="preserve"> went for a </w:t>
      </w:r>
      <w:r w:rsidRPr="00496FB6" w:rsidR="00EE715A">
        <w:t xml:space="preserve">lunchtime </w:t>
      </w:r>
      <w:r w:rsidRPr="00496FB6" w:rsidR="00E12E06">
        <w:t>run</w:t>
      </w:r>
      <w:r w:rsidRPr="00496FB6">
        <w:t xml:space="preserve"> on the </w:t>
      </w:r>
      <w:r w:rsidRPr="00496FB6" w:rsidR="00C407BB">
        <w:t xml:space="preserve">same </w:t>
      </w:r>
      <w:r w:rsidRPr="00496FB6">
        <w:t xml:space="preserve">trail </w:t>
      </w:r>
      <w:r w:rsidR="007F1185">
        <w:t xml:space="preserve">on </w:t>
      </w:r>
      <w:r w:rsidRPr="00496FB6">
        <w:t xml:space="preserve">the day of the offenses. </w:t>
      </w:r>
      <w:r w:rsidRPr="00496FB6" w:rsidR="00F90A5A">
        <w:t xml:space="preserve"> </w:t>
      </w:r>
      <w:r w:rsidRPr="00496FB6" w:rsidR="00496494">
        <w:t>At</w:t>
      </w:r>
      <w:r w:rsidRPr="00496FB6">
        <w:t xml:space="preserve"> the beginning of his </w:t>
      </w:r>
      <w:r w:rsidRPr="00496FB6" w:rsidR="00E12E06">
        <w:t>run</w:t>
      </w:r>
      <w:r w:rsidRPr="00496FB6">
        <w:t xml:space="preserve">, the </w:t>
      </w:r>
      <w:r w:rsidRPr="00496FB6" w:rsidR="00E12E06">
        <w:t>runner</w:t>
      </w:r>
      <w:r w:rsidRPr="00496FB6">
        <w:t xml:space="preserve"> </w:t>
      </w:r>
      <w:r w:rsidRPr="00496FB6" w:rsidR="009926D3">
        <w:t xml:space="preserve">observed </w:t>
      </w:r>
      <w:r w:rsidRPr="00496FB6" w:rsidR="00A24BC5">
        <w:t>defendant</w:t>
      </w:r>
      <w:r w:rsidRPr="00496FB6">
        <w:t xml:space="preserve"> sitting on the side of the trail. </w:t>
      </w:r>
      <w:r w:rsidRPr="00496FB6" w:rsidR="00EE715A">
        <w:t xml:space="preserve"> </w:t>
      </w:r>
      <w:r w:rsidRPr="00496FB6">
        <w:t xml:space="preserve">On his way back, the </w:t>
      </w:r>
      <w:r w:rsidRPr="00496FB6" w:rsidR="00E12E06">
        <w:t>runner</w:t>
      </w:r>
      <w:r w:rsidRPr="00496FB6">
        <w:t xml:space="preserve"> </w:t>
      </w:r>
      <w:r w:rsidRPr="00496FB6" w:rsidR="00C407BB">
        <w:t xml:space="preserve">again </w:t>
      </w:r>
      <w:r w:rsidRPr="00496FB6" w:rsidR="009926D3">
        <w:t xml:space="preserve">noticed </w:t>
      </w:r>
      <w:r w:rsidRPr="00496FB6" w:rsidR="00A24BC5">
        <w:t>defendant</w:t>
      </w:r>
      <w:r w:rsidRPr="00496FB6">
        <w:t xml:space="preserve">. </w:t>
      </w:r>
      <w:r w:rsidRPr="00496FB6" w:rsidR="00C560E7">
        <w:t xml:space="preserve"> </w:t>
      </w:r>
      <w:r w:rsidRPr="00496FB6" w:rsidR="00060325">
        <w:t>Th</w:t>
      </w:r>
      <w:r w:rsidRPr="00496FB6" w:rsidR="00A91AA5">
        <w:t xml:space="preserve">is time, the </w:t>
      </w:r>
      <w:r w:rsidRPr="00496FB6" w:rsidR="00060325">
        <w:t xml:space="preserve">runner also saw </w:t>
      </w:r>
      <w:r w:rsidRPr="00496FB6" w:rsidR="00EE715A">
        <w:t>Loreck</w:t>
      </w:r>
      <w:r w:rsidRPr="00496FB6" w:rsidR="00060325">
        <w:t>, who was a</w:t>
      </w:r>
      <w:r w:rsidRPr="00496FB6">
        <w:t>bout 10</w:t>
      </w:r>
      <w:r w:rsidRPr="00496FB6" w:rsidR="001D60FE">
        <w:t> </w:t>
      </w:r>
      <w:r w:rsidRPr="00496FB6">
        <w:t xml:space="preserve">yards </w:t>
      </w:r>
      <w:r w:rsidRPr="00496FB6" w:rsidR="00060325">
        <w:t xml:space="preserve">away from </w:t>
      </w:r>
      <w:r w:rsidRPr="00496FB6" w:rsidR="00A24BC5">
        <w:t>defendant</w:t>
      </w:r>
      <w:r w:rsidRPr="00496FB6" w:rsidR="00060325">
        <w:t xml:space="preserve">. </w:t>
      </w:r>
      <w:r w:rsidRPr="00496FB6" w:rsidR="004F7263">
        <w:t xml:space="preserve"> </w:t>
      </w:r>
    </w:p>
    <w:p w:rsidR="00215739" w:rsidRPr="00496FB6" w:rsidP="00083941" w14:paraId="2661475B" w14:textId="0035E7F7">
      <w:pPr>
        <w:ind w:firstLine="720"/>
      </w:pPr>
      <w:r w:rsidRPr="00496FB6">
        <w:t xml:space="preserve">A third coworker of </w:t>
      </w:r>
      <w:r w:rsidRPr="00496FB6" w:rsidR="00C407BB">
        <w:t>Loreck</w:t>
      </w:r>
      <w:r w:rsidRPr="00496FB6">
        <w:t>’s also took a lunchtime walk on the t</w:t>
      </w:r>
      <w:r w:rsidRPr="00496FB6" w:rsidR="00A91AA5">
        <w:t xml:space="preserve">rail on the day </w:t>
      </w:r>
      <w:r w:rsidRPr="00496FB6" w:rsidR="00EE715A">
        <w:t>of the offenses</w:t>
      </w:r>
      <w:r w:rsidRPr="00496FB6" w:rsidR="00C407BB">
        <w:t xml:space="preserve">.  He </w:t>
      </w:r>
      <w:r w:rsidRPr="00496FB6">
        <w:t xml:space="preserve">saw </w:t>
      </w:r>
      <w:r w:rsidRPr="00496FB6" w:rsidR="00273265">
        <w:t xml:space="preserve">a man </w:t>
      </w:r>
      <w:r w:rsidRPr="00496FB6" w:rsidR="00EE715A">
        <w:t>resembling defendant</w:t>
      </w:r>
      <w:r w:rsidRPr="00496FB6">
        <w:t xml:space="preserve"> </w:t>
      </w:r>
      <w:r w:rsidRPr="00496FB6" w:rsidR="00373191">
        <w:t>on two occasions</w:t>
      </w:r>
      <w:r w:rsidRPr="00496FB6">
        <w:t xml:space="preserve"> near the location on the trail</w:t>
      </w:r>
      <w:r w:rsidRPr="00496FB6" w:rsidR="009D3AFB">
        <w:t xml:space="preserve"> where, in the aftermath of the offenses, the coworker saw a bloodstain</w:t>
      </w:r>
      <w:r w:rsidRPr="00496FB6">
        <w:t>.</w:t>
      </w:r>
      <w:r w:rsidR="00FF5767">
        <w:t xml:space="preserve"> </w:t>
      </w:r>
      <w:r w:rsidRPr="00496FB6" w:rsidR="00C407BB">
        <w:t xml:space="preserve"> </w:t>
      </w:r>
    </w:p>
    <w:p w:rsidR="005C25E8" w:rsidRPr="00496FB6" w:rsidP="00083941" w14:paraId="16CA48E4" w14:textId="191667B4">
      <w:pPr>
        <w:ind w:firstLine="720"/>
      </w:pPr>
      <w:r w:rsidRPr="00496FB6">
        <w:t xml:space="preserve">On the </w:t>
      </w:r>
      <w:r w:rsidRPr="00496FB6" w:rsidR="00D47799">
        <w:t>day of the offenses</w:t>
      </w:r>
      <w:r w:rsidRPr="00496FB6">
        <w:t>, at around 11:30</w:t>
      </w:r>
      <w:r w:rsidRPr="00496FB6" w:rsidR="00D47799">
        <w:t xml:space="preserve"> a.m.</w:t>
      </w:r>
      <w:r w:rsidRPr="00496FB6">
        <w:t>, a</w:t>
      </w:r>
      <w:r w:rsidRPr="00496FB6" w:rsidR="00215739">
        <w:t xml:space="preserve"> bi</w:t>
      </w:r>
      <w:r w:rsidRPr="00496FB6" w:rsidR="00EF4592">
        <w:t>cyclist</w:t>
      </w:r>
      <w:r w:rsidRPr="00496FB6" w:rsidR="00C407BB">
        <w:t xml:space="preserve"> rode on some bike </w:t>
      </w:r>
      <w:r w:rsidRPr="00496FB6" w:rsidR="00215739">
        <w:t>tr</w:t>
      </w:r>
      <w:r w:rsidRPr="00496FB6" w:rsidR="00C407BB">
        <w:t>a</w:t>
      </w:r>
      <w:r w:rsidRPr="00496FB6" w:rsidR="00215739">
        <w:t xml:space="preserve">ils near </w:t>
      </w:r>
      <w:r w:rsidRPr="00496FB6" w:rsidR="00C407BB">
        <w:t>Loreck</w:t>
      </w:r>
      <w:r w:rsidRPr="00496FB6" w:rsidR="00215739">
        <w:t xml:space="preserve">’s workplace. </w:t>
      </w:r>
      <w:r w:rsidRPr="00496FB6" w:rsidR="00C407BB">
        <w:t xml:space="preserve"> The bi</w:t>
      </w:r>
      <w:r w:rsidRPr="00496FB6" w:rsidR="00EF4592">
        <w:t>cyclist</w:t>
      </w:r>
      <w:r w:rsidRPr="00496FB6" w:rsidR="00C407BB">
        <w:t xml:space="preserve"> </w:t>
      </w:r>
      <w:r w:rsidRPr="00496FB6" w:rsidR="005920D6">
        <w:t xml:space="preserve">noticed </w:t>
      </w:r>
      <w:r w:rsidRPr="00496FB6" w:rsidR="00A24BC5">
        <w:t>defendant</w:t>
      </w:r>
      <w:r w:rsidRPr="00496FB6" w:rsidR="00EF4592">
        <w:t xml:space="preserve"> nearby. </w:t>
      </w:r>
      <w:r w:rsidRPr="00496FB6" w:rsidR="00E81795">
        <w:t xml:space="preserve"> </w:t>
      </w:r>
      <w:r w:rsidRPr="00496FB6" w:rsidR="00215739">
        <w:t xml:space="preserve">On his way back from the bike trails to the paved </w:t>
      </w:r>
      <w:r w:rsidRPr="00496FB6" w:rsidR="00C407BB">
        <w:t xml:space="preserve">trail </w:t>
      </w:r>
      <w:r w:rsidRPr="00496FB6" w:rsidR="001D60FE">
        <w:t xml:space="preserve">where </w:t>
      </w:r>
      <w:r w:rsidRPr="00496FB6" w:rsidR="00C407BB">
        <w:t xml:space="preserve">Loreck </w:t>
      </w:r>
      <w:r w:rsidRPr="00496FB6" w:rsidR="00AD11AE">
        <w:t xml:space="preserve">later </w:t>
      </w:r>
      <w:r w:rsidRPr="00496FB6" w:rsidR="00C407BB">
        <w:t>walked</w:t>
      </w:r>
      <w:r w:rsidRPr="00496FB6" w:rsidR="00215739">
        <w:t xml:space="preserve">, </w:t>
      </w:r>
      <w:r w:rsidRPr="00496FB6" w:rsidR="00C407BB">
        <w:t>the bi</w:t>
      </w:r>
      <w:r w:rsidRPr="00496FB6" w:rsidR="00421183">
        <w:t>cyclist</w:t>
      </w:r>
      <w:r w:rsidRPr="00496FB6" w:rsidR="00C407BB">
        <w:t xml:space="preserve"> </w:t>
      </w:r>
      <w:r w:rsidRPr="00496FB6" w:rsidR="00215739">
        <w:t xml:space="preserve">saw </w:t>
      </w:r>
      <w:r w:rsidRPr="00496FB6" w:rsidR="00A24BC5">
        <w:t>defendant</w:t>
      </w:r>
      <w:r w:rsidRPr="00496FB6" w:rsidR="00215739">
        <w:t xml:space="preserve"> again.  </w:t>
      </w:r>
      <w:r w:rsidRPr="00496FB6" w:rsidR="00A6431B">
        <w:t>While the bi</w:t>
      </w:r>
      <w:r w:rsidRPr="00496FB6" w:rsidR="00421183">
        <w:t>cyclist</w:t>
      </w:r>
      <w:r w:rsidRPr="00496FB6" w:rsidR="00A6431B">
        <w:t xml:space="preserve"> was taking </w:t>
      </w:r>
      <w:r w:rsidRPr="00496FB6" w:rsidR="001D60FE">
        <w:t xml:space="preserve">a </w:t>
      </w:r>
      <w:r w:rsidRPr="00496FB6" w:rsidR="00A6431B">
        <w:t xml:space="preserve">break from his ride, </w:t>
      </w:r>
      <w:r w:rsidRPr="00496FB6" w:rsidR="00A24BC5">
        <w:t>defendant</w:t>
      </w:r>
      <w:r w:rsidRPr="00496FB6" w:rsidR="00215739">
        <w:t xml:space="preserve"> approached </w:t>
      </w:r>
      <w:r w:rsidRPr="00496FB6" w:rsidR="00A6431B">
        <w:t>him</w:t>
      </w:r>
      <w:r w:rsidRPr="00496FB6" w:rsidR="00215739">
        <w:t xml:space="preserve"> and asked for a cigarette. </w:t>
      </w:r>
      <w:r w:rsidRPr="00496FB6" w:rsidR="00D47799">
        <w:t xml:space="preserve"> </w:t>
      </w:r>
      <w:r w:rsidRPr="00496FB6" w:rsidR="00215739">
        <w:t xml:space="preserve">The </w:t>
      </w:r>
      <w:r w:rsidRPr="00496FB6" w:rsidR="009F0AA2">
        <w:t xml:space="preserve">bicyclist </w:t>
      </w:r>
      <w:r w:rsidRPr="00496FB6" w:rsidR="00AD11AE">
        <w:t xml:space="preserve">gave </w:t>
      </w:r>
      <w:r w:rsidRPr="00496FB6" w:rsidR="00A24BC5">
        <w:t>defendant</w:t>
      </w:r>
      <w:r w:rsidRPr="00496FB6" w:rsidR="00AD11AE">
        <w:t xml:space="preserve"> a cigarette and they each </w:t>
      </w:r>
      <w:r w:rsidRPr="00496FB6" w:rsidR="00215739">
        <w:t xml:space="preserve">smoked a cigarette </w:t>
      </w:r>
      <w:r w:rsidRPr="00496FB6" w:rsidR="00AD11AE">
        <w:t>while chatting</w:t>
      </w:r>
      <w:r w:rsidRPr="00496FB6" w:rsidR="00215739">
        <w:t xml:space="preserve">.  After </w:t>
      </w:r>
      <w:r w:rsidRPr="00496FB6" w:rsidR="001D60FE">
        <w:t xml:space="preserve">about </w:t>
      </w:r>
      <w:r w:rsidRPr="00496FB6" w:rsidR="00D874EC">
        <w:t>20 minute</w:t>
      </w:r>
      <w:r w:rsidRPr="00496FB6" w:rsidR="001D60FE">
        <w:t>s</w:t>
      </w:r>
      <w:r w:rsidRPr="00496FB6" w:rsidR="00215739">
        <w:t xml:space="preserve">, the </w:t>
      </w:r>
      <w:r w:rsidRPr="00496FB6" w:rsidR="009F0AA2">
        <w:t xml:space="preserve">bicyclist </w:t>
      </w:r>
      <w:r w:rsidRPr="00496FB6" w:rsidR="00215739">
        <w:t xml:space="preserve">gave </w:t>
      </w:r>
      <w:r w:rsidRPr="00496FB6" w:rsidR="00A24BC5">
        <w:t>defendant</w:t>
      </w:r>
      <w:r w:rsidRPr="00496FB6" w:rsidR="00215739">
        <w:t xml:space="preserve"> another cigarette</w:t>
      </w:r>
      <w:r w:rsidRPr="00496FB6" w:rsidR="00656CB3">
        <w:t>,</w:t>
      </w:r>
      <w:r w:rsidRPr="00496FB6" w:rsidR="00215739">
        <w:t xml:space="preserve"> </w:t>
      </w:r>
      <w:r w:rsidRPr="00496FB6" w:rsidR="00CC3CC2">
        <w:t xml:space="preserve">which he saw </w:t>
      </w:r>
      <w:r w:rsidRPr="00496FB6" w:rsidR="00A24BC5">
        <w:t>defendant</w:t>
      </w:r>
      <w:r w:rsidRPr="00496FB6" w:rsidR="00CC3CC2">
        <w:t xml:space="preserve"> light before </w:t>
      </w:r>
      <w:r w:rsidRPr="00496FB6" w:rsidR="00656CB3">
        <w:t xml:space="preserve">the </w:t>
      </w:r>
      <w:r w:rsidRPr="00496FB6" w:rsidR="009F0AA2">
        <w:t xml:space="preserve">bicyclist </w:t>
      </w:r>
      <w:r w:rsidRPr="00496FB6" w:rsidR="00215739">
        <w:t xml:space="preserve">left. </w:t>
      </w:r>
      <w:r w:rsidRPr="00496FB6" w:rsidR="00AD11AE">
        <w:t xml:space="preserve"> </w:t>
      </w:r>
      <w:r w:rsidRPr="00496FB6" w:rsidR="00215739">
        <w:t xml:space="preserve">Police later </w:t>
      </w:r>
      <w:r w:rsidRPr="00496FB6" w:rsidR="0033104E">
        <w:t>collected</w:t>
      </w:r>
      <w:r w:rsidRPr="00496FB6" w:rsidR="00215739">
        <w:t xml:space="preserve"> t</w:t>
      </w:r>
      <w:r w:rsidRPr="00496FB6" w:rsidR="005A4906">
        <w:t>hree</w:t>
      </w:r>
      <w:r w:rsidRPr="00496FB6" w:rsidR="00215739">
        <w:t xml:space="preserve"> cigarette butts</w:t>
      </w:r>
      <w:r w:rsidRPr="00496FB6" w:rsidR="00F2062C">
        <w:t xml:space="preserve"> from </w:t>
      </w:r>
      <w:r w:rsidRPr="00496FB6" w:rsidR="00806CAF">
        <w:t>the same general area as the crime scene</w:t>
      </w:r>
      <w:r w:rsidRPr="00496FB6" w:rsidR="00215739">
        <w:t xml:space="preserve">.  </w:t>
      </w:r>
    </w:p>
    <w:p w:rsidR="00215739" w:rsidRPr="00496FB6" w:rsidP="00083941" w14:paraId="47D7CD0E" w14:textId="3DFBBEE1">
      <w:pPr>
        <w:ind w:firstLine="720"/>
      </w:pPr>
      <w:r w:rsidRPr="00496FB6">
        <w:t xml:space="preserve">A woman with whom </w:t>
      </w:r>
      <w:r w:rsidRPr="00496FB6" w:rsidR="00A24BC5">
        <w:t>defendant</w:t>
      </w:r>
      <w:r w:rsidRPr="00496FB6">
        <w:t xml:space="preserve"> had been periodically staying saw defendant between 5:00 </w:t>
      </w:r>
      <w:r w:rsidRPr="00496FB6" w:rsidR="0073343B">
        <w:t xml:space="preserve">p.m. </w:t>
      </w:r>
      <w:r w:rsidRPr="00496FB6">
        <w:t xml:space="preserve">and 6:00 p.m. on the day of the offenses. </w:t>
      </w:r>
      <w:r w:rsidRPr="00496FB6" w:rsidR="00AF4DD7">
        <w:t xml:space="preserve"> </w:t>
      </w:r>
      <w:r w:rsidRPr="00496FB6">
        <w:t xml:space="preserve">She noticed that defendant looked very dirty.  He </w:t>
      </w:r>
      <w:r w:rsidRPr="00496FB6" w:rsidR="00D14EEC">
        <w:t xml:space="preserve">also </w:t>
      </w:r>
      <w:r w:rsidRPr="00496FB6" w:rsidR="000F1647">
        <w:t xml:space="preserve">had </w:t>
      </w:r>
      <w:r w:rsidRPr="00496FB6">
        <w:t>multiple abrasions</w:t>
      </w:r>
      <w:r w:rsidRPr="00496FB6" w:rsidR="00D14EEC">
        <w:t xml:space="preserve"> and </w:t>
      </w:r>
      <w:r w:rsidRPr="00496FB6">
        <w:t xml:space="preserve">a lot of dried blood on him. </w:t>
      </w:r>
      <w:r w:rsidRPr="00496FB6" w:rsidR="00F613B6">
        <w:t xml:space="preserve"> </w:t>
      </w:r>
      <w:r w:rsidRPr="00496FB6">
        <w:t xml:space="preserve">A day or two </w:t>
      </w:r>
      <w:r w:rsidRPr="00496FB6" w:rsidR="00C820B9">
        <w:t>later</w:t>
      </w:r>
      <w:r w:rsidRPr="00496FB6">
        <w:t>, the woman’s husban</w:t>
      </w:r>
      <w:r w:rsidRPr="00496FB6">
        <w:t xml:space="preserve">d saw some scratch marks on </w:t>
      </w:r>
      <w:r w:rsidRPr="00496FB6" w:rsidR="00A24BC5">
        <w:t>defendant</w:t>
      </w:r>
      <w:r w:rsidRPr="00496FB6">
        <w:t xml:space="preserve">’s face and a bruise and swelling on </w:t>
      </w:r>
      <w:r w:rsidRPr="00496FB6" w:rsidR="00A24BC5">
        <w:t>defendant</w:t>
      </w:r>
      <w:r w:rsidRPr="00496FB6">
        <w:t>’s cheek.</w:t>
      </w:r>
      <w:r w:rsidRPr="00496FB6" w:rsidR="00442C53">
        <w:t xml:space="preserve"> </w:t>
      </w:r>
      <w:r w:rsidRPr="00496FB6">
        <w:t xml:space="preserve"> </w:t>
      </w:r>
    </w:p>
    <w:p w:rsidR="005C25E8" w:rsidRPr="00496FB6" w:rsidP="00083941" w14:paraId="289406D5" w14:textId="3B2484F2">
      <w:pPr>
        <w:ind w:firstLine="720"/>
      </w:pPr>
      <w:r w:rsidRPr="00496FB6">
        <w:t xml:space="preserve">A second woman with whom </w:t>
      </w:r>
      <w:r w:rsidRPr="00496FB6" w:rsidR="00A24BC5">
        <w:t>defendant</w:t>
      </w:r>
      <w:r w:rsidRPr="00496FB6">
        <w:t xml:space="preserve"> had </w:t>
      </w:r>
      <w:r w:rsidRPr="00496FB6" w:rsidR="00763DBE">
        <w:t xml:space="preserve">also </w:t>
      </w:r>
      <w:r w:rsidRPr="00496FB6">
        <w:t xml:space="preserve">been periodically staying </w:t>
      </w:r>
      <w:r w:rsidRPr="00496FB6" w:rsidR="008529CE">
        <w:t>recalled</w:t>
      </w:r>
      <w:r w:rsidRPr="00496FB6">
        <w:t xml:space="preserve"> that</w:t>
      </w:r>
      <w:r w:rsidRPr="00496FB6" w:rsidR="0046547D">
        <w:t>,</w:t>
      </w:r>
      <w:r w:rsidRPr="00496FB6">
        <w:t xml:space="preserve"> on the day of the murder, </w:t>
      </w:r>
      <w:r w:rsidRPr="00496FB6" w:rsidR="00A24BC5">
        <w:t>defendant</w:t>
      </w:r>
      <w:r w:rsidRPr="00496FB6">
        <w:t xml:space="preserve"> was waiting for her when she got home from work between 5:00</w:t>
      </w:r>
      <w:r w:rsidRPr="00496FB6" w:rsidR="00335FE9">
        <w:t xml:space="preserve"> p.m.</w:t>
      </w:r>
      <w:r w:rsidRPr="00496FB6">
        <w:t xml:space="preserve"> and 5:30 p.m.</w:t>
      </w:r>
      <w:r w:rsidRPr="00496FB6" w:rsidR="003E15F1">
        <w:t xml:space="preserve">  </w:t>
      </w:r>
      <w:r w:rsidRPr="00496FB6" w:rsidR="002C0942">
        <w:t>According to the woman, d</w:t>
      </w:r>
      <w:r w:rsidRPr="00496FB6" w:rsidR="00A24BC5">
        <w:t>efendant</w:t>
      </w:r>
      <w:r w:rsidRPr="00496FB6">
        <w:t xml:space="preserve"> looked dirty, as if he had been </w:t>
      </w:r>
      <w:r w:rsidRPr="00496FB6" w:rsidR="002C0942">
        <w:t>“</w:t>
      </w:r>
      <w:r w:rsidRPr="00496FB6">
        <w:t>sleeping on the trail</w:t>
      </w:r>
      <w:r w:rsidRPr="00496FB6" w:rsidR="002C0942">
        <w:t>”</w:t>
      </w:r>
      <w:r w:rsidRPr="00496FB6" w:rsidR="00DB1781">
        <w:t> </w:t>
      </w:r>
      <w:r w:rsidRPr="00496FB6" w:rsidR="0002416B">
        <w:t xml:space="preserve">— something he had commonly done </w:t>
      </w:r>
      <w:r w:rsidRPr="00496FB6" w:rsidR="00466F53">
        <w:t>before moving in with her.</w:t>
      </w:r>
      <w:r w:rsidRPr="00496FB6">
        <w:t xml:space="preserve"> </w:t>
      </w:r>
      <w:r w:rsidRPr="00496FB6" w:rsidR="00F613B6">
        <w:t xml:space="preserve"> </w:t>
      </w:r>
      <w:r w:rsidRPr="00496FB6" w:rsidR="0046547D">
        <w:t xml:space="preserve">He asked the woman if she had heard what happened that day in Concord.  </w:t>
      </w:r>
      <w:r w:rsidRPr="00496FB6" w:rsidR="001D60FE">
        <w:t>A</w:t>
      </w:r>
      <w:r w:rsidRPr="00496FB6" w:rsidR="00F042C0">
        <w:t>fter</w:t>
      </w:r>
      <w:r w:rsidRPr="00496FB6" w:rsidR="0046547D">
        <w:t xml:space="preserve"> she responded </w:t>
      </w:r>
      <w:r w:rsidRPr="00496FB6" w:rsidR="00D20249">
        <w:t>that she had not</w:t>
      </w:r>
      <w:r w:rsidRPr="00496FB6" w:rsidR="0046547D">
        <w:t>, defendant explained that a woman had been killed “[o]ver on the trails.”</w:t>
      </w:r>
      <w:r w:rsidR="00B17866">
        <w:t xml:space="preserve">  </w:t>
      </w:r>
      <w:r w:rsidRPr="00496FB6">
        <w:t xml:space="preserve">On a different day, </w:t>
      </w:r>
      <w:r w:rsidRPr="00496FB6" w:rsidR="00A24BC5">
        <w:t>defendant</w:t>
      </w:r>
      <w:r w:rsidRPr="00496FB6">
        <w:t xml:space="preserve"> showed up at this </w:t>
      </w:r>
      <w:r w:rsidRPr="00496FB6" w:rsidR="0046547D">
        <w:t>w</w:t>
      </w:r>
      <w:r w:rsidRPr="00496FB6">
        <w:t xml:space="preserve">oman’s house while her best friend was </w:t>
      </w:r>
      <w:r w:rsidRPr="00496FB6" w:rsidR="009D2D70">
        <w:t>there</w:t>
      </w:r>
      <w:r w:rsidRPr="00496FB6">
        <w:t xml:space="preserve"> a</w:t>
      </w:r>
      <w:r w:rsidRPr="00496FB6">
        <w:t>nd said he had been pruning trees.</w:t>
      </w:r>
      <w:r w:rsidRPr="00496FB6" w:rsidR="0046547D">
        <w:t xml:space="preserve">  </w:t>
      </w:r>
      <w:r w:rsidRPr="00496FB6">
        <w:t xml:space="preserve">He pulled up his shirt and showed the women scratches on his back, arms, and chest. </w:t>
      </w:r>
      <w:r w:rsidRPr="00496FB6" w:rsidR="0046547D">
        <w:t xml:space="preserve"> </w:t>
      </w:r>
    </w:p>
    <w:p w:rsidR="00176DB3" w:rsidRPr="00496FB6" w:rsidP="00083941" w14:paraId="1C0EECA9" w14:textId="366863FB">
      <w:pPr>
        <w:ind w:firstLine="720"/>
      </w:pPr>
      <w:r w:rsidRPr="00496FB6">
        <w:t>D</w:t>
      </w:r>
      <w:r w:rsidRPr="00496FB6" w:rsidR="00A24BC5">
        <w:t>efendant</w:t>
      </w:r>
      <w:r w:rsidRPr="00496FB6" w:rsidR="00215739">
        <w:t xml:space="preserve"> </w:t>
      </w:r>
      <w:r w:rsidRPr="00496FB6" w:rsidR="009C062C">
        <w:t>stayed</w:t>
      </w:r>
      <w:r w:rsidRPr="00496FB6" w:rsidR="00215739">
        <w:t xml:space="preserve"> at a former coworker’s house</w:t>
      </w:r>
      <w:r w:rsidRPr="00496FB6">
        <w:t xml:space="preserve"> one night a</w:t>
      </w:r>
      <w:r w:rsidRPr="00496FB6" w:rsidR="00BE74CD">
        <w:t>fter the offenses took place</w:t>
      </w:r>
      <w:r w:rsidRPr="00496FB6" w:rsidR="00215739">
        <w:t>.</w:t>
      </w:r>
      <w:r w:rsidRPr="00496FB6">
        <w:t xml:space="preserve"> </w:t>
      </w:r>
      <w:r w:rsidRPr="00496FB6" w:rsidR="00C61403">
        <w:t xml:space="preserve"> </w:t>
      </w:r>
      <w:r w:rsidRPr="00496FB6" w:rsidR="00303456">
        <w:t xml:space="preserve">According to the </w:t>
      </w:r>
      <w:r w:rsidRPr="00496FB6" w:rsidR="007719CD">
        <w:t xml:space="preserve">former </w:t>
      </w:r>
      <w:r w:rsidRPr="00496FB6" w:rsidR="00303456">
        <w:t>coworker, w</w:t>
      </w:r>
      <w:r w:rsidRPr="00496FB6" w:rsidR="00215739">
        <w:t xml:space="preserve">hile the two were </w:t>
      </w:r>
      <w:r w:rsidRPr="00496FB6" w:rsidR="001F5612">
        <w:t>drunk,</w:t>
      </w:r>
      <w:r w:rsidRPr="00496FB6" w:rsidR="00215739">
        <w:t xml:space="preserve"> </w:t>
      </w:r>
      <w:r w:rsidRPr="00496FB6" w:rsidR="00A24BC5">
        <w:t>defendant</w:t>
      </w:r>
      <w:r w:rsidRPr="00496FB6" w:rsidR="00215739">
        <w:t xml:space="preserve"> </w:t>
      </w:r>
      <w:r w:rsidRPr="00496FB6" w:rsidR="007719CD">
        <w:t>said</w:t>
      </w:r>
      <w:r w:rsidRPr="00496FB6" w:rsidR="00215739">
        <w:t xml:space="preserve"> that he was the </w:t>
      </w:r>
      <w:r w:rsidRPr="00496FB6" w:rsidR="00B96DC5">
        <w:t>“</w:t>
      </w:r>
      <w:r w:rsidRPr="00496FB6" w:rsidR="00215739">
        <w:t>trailside killer</w:t>
      </w:r>
      <w:r w:rsidRPr="00496FB6" w:rsidR="00B96DC5">
        <w:t xml:space="preserve">,” or the “Concord trail killer.”  </w:t>
      </w:r>
      <w:r w:rsidRPr="00496FB6" w:rsidR="008F701D">
        <w:t>At the time, t</w:t>
      </w:r>
      <w:r w:rsidRPr="00496FB6" w:rsidR="00215739">
        <w:t xml:space="preserve">he former coworker did not know about the case </w:t>
      </w:r>
      <w:r w:rsidRPr="00496FB6" w:rsidR="00A24BC5">
        <w:t>defendant</w:t>
      </w:r>
      <w:r w:rsidRPr="00496FB6" w:rsidR="00215739">
        <w:t xml:space="preserve"> was referring </w:t>
      </w:r>
      <w:r w:rsidRPr="00496FB6" w:rsidR="00BF0C13">
        <w:t xml:space="preserve">to </w:t>
      </w:r>
      <w:r w:rsidRPr="00496FB6" w:rsidR="00215739">
        <w:t xml:space="preserve">and </w:t>
      </w:r>
      <w:r w:rsidRPr="00496FB6" w:rsidR="00C61403">
        <w:t xml:space="preserve">he </w:t>
      </w:r>
      <w:r w:rsidRPr="00496FB6" w:rsidR="00215739">
        <w:t xml:space="preserve">did not take </w:t>
      </w:r>
      <w:r w:rsidRPr="00496FB6" w:rsidR="00A24BC5">
        <w:t>defendant</w:t>
      </w:r>
      <w:r w:rsidRPr="00496FB6" w:rsidR="00215739">
        <w:t xml:space="preserve"> seriously.</w:t>
      </w:r>
      <w:r w:rsidRPr="00496FB6" w:rsidR="008B1374">
        <w:t xml:space="preserve"> </w:t>
      </w:r>
      <w:r w:rsidRPr="00496FB6" w:rsidR="009B3080">
        <w:t xml:space="preserve"> </w:t>
      </w:r>
    </w:p>
    <w:p w:rsidR="00C23A58" w:rsidRPr="00496FB6" w:rsidP="00083941" w14:paraId="4BB66A23" w14:textId="2A91E4F2">
      <w:pPr>
        <w:ind w:firstLine="720"/>
      </w:pPr>
      <w:r w:rsidRPr="00496FB6">
        <w:t>The forensic path</w:t>
      </w:r>
      <w:r w:rsidRPr="00496FB6">
        <w:t xml:space="preserve">ologist who performed Loreck’s autopsy also performed a sexual assault exam on her.  The pathologist swabbed Loreck’s mouth, vagina, and rectum.  Swabs were also taken of Loreck’s nipples, abdomen, pubic hair, </w:t>
      </w:r>
      <w:r w:rsidRPr="00496FB6" w:rsidR="007F6BA7">
        <w:t xml:space="preserve">right </w:t>
      </w:r>
      <w:r w:rsidRPr="00496FB6">
        <w:t xml:space="preserve">thigh, and left knee.  </w:t>
      </w:r>
    </w:p>
    <w:p w:rsidR="0034746D" w:rsidRPr="00496FB6" w:rsidP="00083941" w14:paraId="1E2B62E6" w14:textId="22DC1401">
      <w:pPr>
        <w:ind w:firstLine="720"/>
      </w:pPr>
      <w:r w:rsidRPr="00496FB6">
        <w:t>A forensic serol</w:t>
      </w:r>
      <w:r w:rsidRPr="00496FB6">
        <w:t>ogist examined the samples taken from the sexual assault exam.  She observed a small amount of sperm on the rectal, vaginal</w:t>
      </w:r>
      <w:r w:rsidRPr="00496FB6" w:rsidR="00FA6E8A">
        <w:t>,</w:t>
      </w:r>
      <w:r w:rsidRPr="00496FB6">
        <w:t xml:space="preserve"> and thigh samples.  A rectal smear created from a rectal swab contained a low number of sperm with tails.  Some of the sperm on a v</w:t>
      </w:r>
      <w:r w:rsidRPr="00496FB6">
        <w:t>aginal smear also had tails.  The serologist testified that the presence of tails meant that ejaculation had occurred only a few hours before the swabs were collected.  A vaginal swab tested positive for a protein that cannot exist for very long in the vag</w:t>
      </w:r>
      <w:r w:rsidRPr="00496FB6">
        <w:t xml:space="preserve">ina. </w:t>
      </w:r>
      <w:r w:rsidRPr="00496FB6" w:rsidR="00BF0C13">
        <w:t xml:space="preserve"> </w:t>
      </w:r>
    </w:p>
    <w:p w:rsidR="0034746D" w:rsidRPr="00496FB6" w:rsidP="00083941" w14:paraId="017DC928" w14:textId="54618146">
      <w:pPr>
        <w:ind w:firstLine="720"/>
      </w:pPr>
      <w:r w:rsidRPr="00496FB6">
        <w:t>The serologist developed DNA profiles from the rectal, vaginal</w:t>
      </w:r>
      <w:r w:rsidRPr="00496FB6" w:rsidR="009820A3">
        <w:t>,</w:t>
      </w:r>
      <w:r w:rsidRPr="00496FB6">
        <w:t xml:space="preserve"> and thigh swabs as well as from a one</w:t>
      </w:r>
      <w:r w:rsidRPr="00496FB6" w:rsidR="009820A3">
        <w:t>-</w:t>
      </w:r>
      <w:r w:rsidRPr="00496FB6">
        <w:t xml:space="preserve"> to </w:t>
      </w:r>
      <w:r w:rsidRPr="00496FB6" w:rsidR="007C6B47">
        <w:t>two-inch</w:t>
      </w:r>
      <w:r w:rsidRPr="00496FB6">
        <w:t xml:space="preserve"> semen stain found on Loreck’s sweater.  The serologist also later developed DNA profiles of the cigarette butts police found near the </w:t>
      </w:r>
      <w:r w:rsidRPr="00496FB6">
        <w:t xml:space="preserve">crime scene. </w:t>
      </w:r>
      <w:r w:rsidRPr="00496FB6" w:rsidR="00754CF8">
        <w:t xml:space="preserve"> </w:t>
      </w:r>
      <w:r w:rsidRPr="00496FB6">
        <w:t>The serologist determined that the DNA profiles from the swabs, the sweater, and two of the cigarette butts matched defendant’s DNA profile.</w:t>
      </w:r>
      <w:r>
        <w:rPr>
          <w:rStyle w:val="FootnoteReference"/>
        </w:rPr>
        <w:footnoteReference w:id="7"/>
      </w:r>
      <w:r w:rsidRPr="00496FB6">
        <w:t xml:space="preserve">  </w:t>
      </w:r>
    </w:p>
    <w:p w:rsidR="004B32EB" w:rsidRPr="00496FB6" w:rsidP="00083941" w14:paraId="5E9806FA" w14:textId="4DC74266">
      <w:pPr>
        <w:ind w:firstLine="720"/>
      </w:pPr>
      <w:r w:rsidRPr="00496FB6">
        <w:t xml:space="preserve">Defendant also was included as a potential source of some of the DNA found on the bloodied iron bar discovered at the crime scene.  Loreck’s DNA profile also was found on swabs taken from the bar.  </w:t>
      </w:r>
    </w:p>
    <w:p w:rsidR="00215739" w:rsidRPr="00496FB6" w:rsidP="00083941" w14:paraId="0CA2DDE3" w14:textId="10A079FE">
      <w:pPr>
        <w:ind w:firstLine="720"/>
      </w:pPr>
      <w:r w:rsidRPr="00496FB6">
        <w:t xml:space="preserve">During an interview with police </w:t>
      </w:r>
      <w:r w:rsidRPr="00496FB6" w:rsidR="008F2EBE">
        <w:t>five</w:t>
      </w:r>
      <w:r w:rsidRPr="00496FB6" w:rsidR="005C25E8">
        <w:t xml:space="preserve"> months after the offenses</w:t>
      </w:r>
      <w:r w:rsidRPr="00496FB6">
        <w:t xml:space="preserve">, </w:t>
      </w:r>
      <w:r w:rsidRPr="00496FB6" w:rsidR="00A24BC5">
        <w:t>defendant</w:t>
      </w:r>
      <w:r w:rsidRPr="00496FB6">
        <w:t xml:space="preserve"> acknowledged that he had </w:t>
      </w:r>
      <w:r w:rsidRPr="00496FB6" w:rsidR="006E0F6E">
        <w:t xml:space="preserve">been on the trail near the crime scene. </w:t>
      </w:r>
      <w:r w:rsidRPr="00496FB6" w:rsidR="00C61403">
        <w:t xml:space="preserve"> </w:t>
      </w:r>
      <w:r w:rsidRPr="00496FB6">
        <w:t xml:space="preserve">However, </w:t>
      </w:r>
      <w:r w:rsidRPr="00496FB6" w:rsidR="00A24BC5">
        <w:t>defendant</w:t>
      </w:r>
      <w:r w:rsidRPr="00496FB6">
        <w:t xml:space="preserve"> denied seeing </w:t>
      </w:r>
      <w:r w:rsidRPr="00496FB6" w:rsidR="00C407BB">
        <w:t>Loreck</w:t>
      </w:r>
      <w:r w:rsidRPr="00496FB6" w:rsidR="00030274">
        <w:t xml:space="preserve"> </w:t>
      </w:r>
      <w:r w:rsidRPr="00496FB6" w:rsidR="00C61403">
        <w:t xml:space="preserve">walking </w:t>
      </w:r>
      <w:r w:rsidRPr="00496FB6" w:rsidR="00030274">
        <w:t xml:space="preserve">on the day in question and denied </w:t>
      </w:r>
      <w:r w:rsidRPr="00496FB6" w:rsidR="0010703E">
        <w:t>having held a metal bar that day</w:t>
      </w:r>
      <w:r w:rsidRPr="00496FB6">
        <w:t xml:space="preserve">.  </w:t>
      </w:r>
    </w:p>
    <w:p w:rsidR="009E09F1" w:rsidRPr="00496FB6" w:rsidP="002D3099" w14:paraId="1C6ED44E" w14:textId="77777777">
      <w:pPr>
        <w:pStyle w:val="Heading3"/>
        <w:tabs>
          <w:tab w:val="clear" w:pos="1584"/>
        </w:tabs>
      </w:pPr>
      <w:bookmarkStart w:id="18" w:name="_Toc147845679"/>
      <w:bookmarkStart w:id="19" w:name="_Toc147519551"/>
      <w:r w:rsidRPr="00496FB6">
        <w:rPr>
          <w:i w:val="0"/>
          <w:iCs/>
        </w:rPr>
        <w:t>2.</w:t>
      </w:r>
      <w:r w:rsidRPr="00496FB6" w:rsidR="00142DC5">
        <w:rPr>
          <w:i w:val="0"/>
          <w:iCs/>
        </w:rPr>
        <w:tab/>
      </w:r>
      <w:r w:rsidRPr="00496FB6">
        <w:t>Defense evidence</w:t>
      </w:r>
      <w:bookmarkEnd w:id="18"/>
      <w:bookmarkEnd w:id="19"/>
    </w:p>
    <w:p w:rsidR="00BF0C13" w:rsidRPr="00496FB6" w:rsidP="002D3099" w14:paraId="44E80032" w14:textId="38AB1931">
      <w:pPr>
        <w:ind w:firstLine="720"/>
      </w:pPr>
      <w:r w:rsidRPr="00496FB6">
        <w:t xml:space="preserve">The defense conceded that </w:t>
      </w:r>
      <w:r w:rsidRPr="00496FB6" w:rsidR="00A24BC5">
        <w:t>defendant</w:t>
      </w:r>
      <w:r w:rsidRPr="00496FB6">
        <w:t>’s DNA was present at the scene of the offenses</w:t>
      </w:r>
      <w:r w:rsidRPr="00496FB6" w:rsidR="00750185">
        <w:t xml:space="preserve"> </w:t>
      </w:r>
      <w:r w:rsidRPr="00496FB6" w:rsidR="006C6722">
        <w:t xml:space="preserve">but </w:t>
      </w:r>
      <w:r w:rsidRPr="00496FB6" w:rsidR="00753E3A">
        <w:t>c</w:t>
      </w:r>
      <w:r w:rsidRPr="00496FB6" w:rsidR="008E39E5">
        <w:t>ontested</w:t>
      </w:r>
      <w:r w:rsidRPr="00496FB6" w:rsidR="00753E3A">
        <w:t xml:space="preserve"> the People’s theory that </w:t>
      </w:r>
      <w:r w:rsidRPr="00496FB6" w:rsidR="00125DC6">
        <w:t xml:space="preserve">the DNA established that </w:t>
      </w:r>
      <w:r w:rsidRPr="00496FB6" w:rsidR="00A24BC5">
        <w:t>defendant</w:t>
      </w:r>
      <w:r w:rsidRPr="00496FB6" w:rsidR="00753E3A">
        <w:t xml:space="preserve"> had committed rape and sodomy</w:t>
      </w:r>
      <w:r w:rsidRPr="00496FB6">
        <w:t xml:space="preserve">. </w:t>
      </w:r>
      <w:r w:rsidRPr="00496FB6" w:rsidR="00777A5F">
        <w:t xml:space="preserve"> </w:t>
      </w:r>
      <w:r w:rsidRPr="00496FB6" w:rsidR="00753E3A">
        <w:t xml:space="preserve">Specifically, the defense presented </w:t>
      </w:r>
      <w:r w:rsidRPr="00496FB6" w:rsidR="00B23067">
        <w:t>expert</w:t>
      </w:r>
      <w:r w:rsidRPr="00496FB6" w:rsidR="001772DA">
        <w:t xml:space="preserve"> testimony </w:t>
      </w:r>
      <w:r w:rsidRPr="00496FB6" w:rsidR="00EB5B30">
        <w:t xml:space="preserve">that due to </w:t>
      </w:r>
      <w:r w:rsidRPr="00496FB6" w:rsidR="00C3276D">
        <w:t xml:space="preserve">various factors, including contamination </w:t>
      </w:r>
      <w:r w:rsidRPr="00496FB6" w:rsidR="00BC4CD5">
        <w:t xml:space="preserve">during the </w:t>
      </w:r>
      <w:r w:rsidRPr="00496FB6" w:rsidR="00C3276D">
        <w:t xml:space="preserve">collection </w:t>
      </w:r>
      <w:r w:rsidRPr="00496FB6" w:rsidR="00BC4CD5">
        <w:t xml:space="preserve">of </w:t>
      </w:r>
      <w:r w:rsidRPr="00496FB6" w:rsidR="0016049B">
        <w:t>swabs from the victim</w:t>
      </w:r>
      <w:r w:rsidRPr="00496FB6" w:rsidR="004204D6">
        <w:t xml:space="preserve"> </w:t>
      </w:r>
      <w:r w:rsidRPr="00496FB6" w:rsidR="0057284F">
        <w:t xml:space="preserve">and the possibility of drainage </w:t>
      </w:r>
      <w:r w:rsidRPr="00496FB6" w:rsidR="003A4090">
        <w:t xml:space="preserve">into the </w:t>
      </w:r>
      <w:r w:rsidRPr="00496FB6" w:rsidR="00F425C1">
        <w:t>vagina</w:t>
      </w:r>
      <w:r w:rsidRPr="00496FB6" w:rsidR="004204D6">
        <w:t>,</w:t>
      </w:r>
      <w:r w:rsidRPr="00496FB6" w:rsidR="00E35CF2">
        <w:t xml:space="preserve"> </w:t>
      </w:r>
      <w:r w:rsidRPr="00496FB6" w:rsidR="003A4090">
        <w:t xml:space="preserve">it was reasonable </w:t>
      </w:r>
      <w:r w:rsidRPr="00496FB6" w:rsidR="00125DC6">
        <w:t xml:space="preserve">to </w:t>
      </w:r>
      <w:r w:rsidRPr="00496FB6" w:rsidR="003A4090">
        <w:t xml:space="preserve">infer that there had been no sexual penetration of </w:t>
      </w:r>
      <w:r w:rsidRPr="00496FB6" w:rsidR="0016049B">
        <w:t>Loreck</w:t>
      </w:r>
      <w:r w:rsidRPr="00496FB6" w:rsidR="004204D6">
        <w:t>.</w:t>
      </w:r>
      <w:r w:rsidRPr="00496FB6" w:rsidR="003A4090">
        <w:t xml:space="preserve"> </w:t>
      </w:r>
      <w:r w:rsidRPr="00496FB6" w:rsidR="004204D6">
        <w:t xml:space="preserve"> </w:t>
      </w:r>
    </w:p>
    <w:p w:rsidR="005C25E8" w:rsidRPr="00496FB6" w:rsidP="00396340" w14:paraId="0C9D86CB" w14:textId="4CCA6C4F">
      <w:pPr>
        <w:pStyle w:val="Heading2"/>
        <w:tabs>
          <w:tab w:val="clear" w:pos="1152"/>
        </w:tabs>
        <w:ind w:left="1080" w:hanging="360"/>
      </w:pPr>
      <w:bookmarkStart w:id="20" w:name="_Toc147845680"/>
      <w:bookmarkStart w:id="21" w:name="_Toc147519552"/>
      <w:r w:rsidRPr="00496FB6">
        <w:t>B.</w:t>
      </w:r>
      <w:r w:rsidRPr="00496FB6" w:rsidR="00142DC5">
        <w:tab/>
      </w:r>
      <w:r w:rsidRPr="00496FB6">
        <w:t xml:space="preserve">Penalty </w:t>
      </w:r>
      <w:r w:rsidRPr="00496FB6" w:rsidR="00FF0E5D">
        <w:t>P</w:t>
      </w:r>
      <w:r w:rsidRPr="00496FB6">
        <w:t xml:space="preserve">hase </w:t>
      </w:r>
      <w:r w:rsidRPr="00496FB6" w:rsidR="00FF0E5D">
        <w:t>E</w:t>
      </w:r>
      <w:r w:rsidRPr="00496FB6">
        <w:t>vidence</w:t>
      </w:r>
      <w:bookmarkEnd w:id="20"/>
      <w:bookmarkEnd w:id="21"/>
    </w:p>
    <w:p w:rsidR="00524BFD" w:rsidRPr="00496FB6" w:rsidP="002D3099" w14:paraId="7CEA83C9" w14:textId="35AA464F">
      <w:pPr>
        <w:pStyle w:val="NormalIndent"/>
        <w:ind w:left="0" w:firstLine="720"/>
      </w:pPr>
      <w:r w:rsidRPr="00496FB6">
        <w:t xml:space="preserve">The People </w:t>
      </w:r>
      <w:r w:rsidRPr="00496FB6">
        <w:t xml:space="preserve">presented evidence </w:t>
      </w:r>
      <w:r w:rsidRPr="00496FB6" w:rsidR="00786ED7">
        <w:t xml:space="preserve">that </w:t>
      </w:r>
      <w:r w:rsidRPr="00496FB6" w:rsidR="00A24BC5">
        <w:t>defendant</w:t>
      </w:r>
      <w:r w:rsidRPr="00496FB6" w:rsidR="00786ED7">
        <w:t xml:space="preserve"> had </w:t>
      </w:r>
      <w:r w:rsidRPr="00496FB6" w:rsidR="00E12677">
        <w:t>committed several prior crimes</w:t>
      </w:r>
      <w:r w:rsidRPr="00496FB6" w:rsidR="00D3043D">
        <w:t xml:space="preserve"> including a 198</w:t>
      </w:r>
      <w:r w:rsidRPr="00496FB6" w:rsidR="00AA60EE">
        <w:t>5</w:t>
      </w:r>
      <w:r w:rsidRPr="00496FB6" w:rsidR="00D3043D">
        <w:t xml:space="preserve"> robbery, a 1986 aggravated battery</w:t>
      </w:r>
      <w:r w:rsidRPr="00496FB6" w:rsidR="00392A4F">
        <w:t>,</w:t>
      </w:r>
      <w:r w:rsidRPr="00496FB6" w:rsidR="00D3043D">
        <w:t xml:space="preserve"> </w:t>
      </w:r>
      <w:r w:rsidRPr="00496FB6" w:rsidR="00392A4F">
        <w:t>and a 199</w:t>
      </w:r>
      <w:r w:rsidRPr="00496FB6" w:rsidR="00AA60EE">
        <w:t>1</w:t>
      </w:r>
      <w:r w:rsidRPr="00496FB6" w:rsidR="00392A4F">
        <w:t xml:space="preserve"> robbery.  The People also presented evidence of an incident </w:t>
      </w:r>
      <w:r w:rsidRPr="00496FB6" w:rsidR="00663CDB">
        <w:t xml:space="preserve">in 1989 </w:t>
      </w:r>
      <w:r w:rsidRPr="00496FB6" w:rsidR="00E40955">
        <w:t>during</w:t>
      </w:r>
      <w:r w:rsidRPr="00496FB6" w:rsidR="00392A4F">
        <w:t xml:space="preserve"> which </w:t>
      </w:r>
      <w:r w:rsidRPr="00496FB6" w:rsidR="00A24BC5">
        <w:t>defendant</w:t>
      </w:r>
      <w:r w:rsidRPr="00496FB6" w:rsidR="00392A4F">
        <w:t xml:space="preserve"> threatened a </w:t>
      </w:r>
      <w:r w:rsidRPr="00496FB6" w:rsidR="00DA4D73">
        <w:t xml:space="preserve">female friend </w:t>
      </w:r>
      <w:r w:rsidRPr="00496FB6" w:rsidR="00254DDC">
        <w:t xml:space="preserve">with a knife </w:t>
      </w:r>
      <w:r w:rsidRPr="00496FB6" w:rsidR="00034E45">
        <w:t xml:space="preserve">and </w:t>
      </w:r>
      <w:r w:rsidRPr="00496FB6" w:rsidR="00E8193F">
        <w:t xml:space="preserve">then threatened </w:t>
      </w:r>
      <w:r w:rsidRPr="00496FB6" w:rsidR="009910D9">
        <w:t xml:space="preserve">the </w:t>
      </w:r>
      <w:r w:rsidRPr="00496FB6" w:rsidR="00830012">
        <w:t>police</w:t>
      </w:r>
      <w:r w:rsidRPr="00496FB6" w:rsidR="00E8193F">
        <w:t xml:space="preserve"> officer</w:t>
      </w:r>
      <w:r w:rsidRPr="00496FB6" w:rsidR="00E40955">
        <w:t xml:space="preserve"> who arrested him in connection with the incident. </w:t>
      </w:r>
      <w:r w:rsidRPr="00496FB6" w:rsidR="00E8193F">
        <w:t xml:space="preserve"> </w:t>
      </w:r>
    </w:p>
    <w:p w:rsidR="002A54A7" w:rsidRPr="00496FB6" w:rsidP="002D3099" w14:paraId="37803BD0" w14:textId="5D8B5D7C">
      <w:pPr>
        <w:pStyle w:val="NormalIndent"/>
        <w:ind w:left="0" w:firstLine="720"/>
      </w:pPr>
      <w:r w:rsidRPr="00496FB6">
        <w:t>The People also presented victim impact evidence</w:t>
      </w:r>
      <w:r w:rsidRPr="00496FB6" w:rsidR="00897EF6">
        <w:t>.  Loreck’s father</w:t>
      </w:r>
      <w:r w:rsidRPr="00496FB6" w:rsidR="00D33F69">
        <w:t xml:space="preserve"> testified that </w:t>
      </w:r>
      <w:r w:rsidRPr="00496FB6" w:rsidR="00D361A7">
        <w:t>he could not “stomach” what</w:t>
      </w:r>
      <w:r w:rsidRPr="00496FB6" w:rsidR="00C66C9C">
        <w:t xml:space="preserve"> had</w:t>
      </w:r>
      <w:r w:rsidRPr="00496FB6" w:rsidR="00D361A7">
        <w:t xml:space="preserve"> happened to her</w:t>
      </w:r>
      <w:r w:rsidRPr="00496FB6" w:rsidR="00C66C9C">
        <w:t>.</w:t>
      </w:r>
      <w:r w:rsidRPr="00496FB6" w:rsidR="00D361A7">
        <w:t xml:space="preserve"> </w:t>
      </w:r>
      <w:r w:rsidRPr="00496FB6" w:rsidR="00C66C9C">
        <w:t xml:space="preserve"> </w:t>
      </w:r>
      <w:r w:rsidRPr="00496FB6" w:rsidR="009910D9">
        <w:t xml:space="preserve">Loreck’s </w:t>
      </w:r>
      <w:r w:rsidRPr="00496FB6" w:rsidR="00406ABB">
        <w:t>son</w:t>
      </w:r>
      <w:r w:rsidRPr="00496FB6" w:rsidR="0028149B">
        <w:t xml:space="preserve"> explained that </w:t>
      </w:r>
      <w:r w:rsidRPr="00496FB6" w:rsidR="00055C98">
        <w:t>the “whole horrible ordeal that she had to go through” left a “big hole in [him],”</w:t>
      </w:r>
      <w:r w:rsidRPr="00496FB6" w:rsidR="004254AD">
        <w:t xml:space="preserve"> and that it “rips into [him] every</w:t>
      </w:r>
      <w:r w:rsidRPr="00496FB6" w:rsidR="000271C4">
        <w:t xml:space="preserve"> </w:t>
      </w:r>
      <w:r w:rsidRPr="00496FB6" w:rsidR="004254AD">
        <w:t xml:space="preserve">day.”  </w:t>
      </w:r>
      <w:r w:rsidRPr="00496FB6" w:rsidR="00E33272">
        <w:t xml:space="preserve">Her son also stated </w:t>
      </w:r>
      <w:r w:rsidRPr="00496FB6" w:rsidR="00DD7E16">
        <w:t xml:space="preserve">that he and his siblings had suffered </w:t>
      </w:r>
      <w:r w:rsidR="004D7362">
        <w:t xml:space="preserve">from </w:t>
      </w:r>
      <w:r w:rsidRPr="00496FB6" w:rsidR="00DD7E16">
        <w:t>“really bad depression</w:t>
      </w:r>
      <w:r w:rsidRPr="00496FB6" w:rsidR="0028149B">
        <w:t>.</w:t>
      </w:r>
      <w:r w:rsidRPr="00496FB6" w:rsidR="00DD7E16">
        <w:t>”</w:t>
      </w:r>
      <w:r w:rsidRPr="00496FB6" w:rsidR="00C66C9C">
        <w:t xml:space="preserve">  </w:t>
      </w:r>
      <w:bookmarkStart w:id="22" w:name="_Toc108176877"/>
    </w:p>
    <w:bookmarkEnd w:id="22"/>
    <w:p w:rsidR="00AA28C0" w:rsidRPr="00496FB6" w:rsidP="002D3099" w14:paraId="3BC41DEC" w14:textId="6ACFF4A9">
      <w:pPr>
        <w:ind w:firstLine="720"/>
      </w:pPr>
      <w:r w:rsidRPr="00496FB6">
        <w:t xml:space="preserve">The defense presented </w:t>
      </w:r>
      <w:r w:rsidRPr="00496FB6" w:rsidR="00690245">
        <w:t xml:space="preserve">mitigation </w:t>
      </w:r>
      <w:r w:rsidRPr="00496FB6" w:rsidR="00593BF3">
        <w:t xml:space="preserve">evidence </w:t>
      </w:r>
      <w:r w:rsidRPr="00496FB6" w:rsidR="00BF0C13">
        <w:rPr>
          <w:iCs/>
        </w:rPr>
        <w:t xml:space="preserve">regarding </w:t>
      </w:r>
      <w:r w:rsidRPr="00496FB6" w:rsidR="00A24BC5">
        <w:rPr>
          <w:iCs/>
        </w:rPr>
        <w:t>defendant</w:t>
      </w:r>
      <w:r w:rsidRPr="00496FB6" w:rsidR="00CB4428">
        <w:rPr>
          <w:iCs/>
        </w:rPr>
        <w:t>’</w:t>
      </w:r>
      <w:r w:rsidRPr="00496FB6">
        <w:rPr>
          <w:iCs/>
        </w:rPr>
        <w:t xml:space="preserve">s </w:t>
      </w:r>
      <w:r w:rsidRPr="00496FB6" w:rsidR="000777D1">
        <w:rPr>
          <w:iCs/>
        </w:rPr>
        <w:t xml:space="preserve">dysfunctional </w:t>
      </w:r>
      <w:r w:rsidRPr="00496FB6" w:rsidR="00A04DC3">
        <w:t>childhood</w:t>
      </w:r>
      <w:r w:rsidRPr="00496FB6" w:rsidR="00B30D64">
        <w:t>,</w:t>
      </w:r>
      <w:r w:rsidRPr="00496FB6" w:rsidR="009E7EFD">
        <w:t xml:space="preserve"> </w:t>
      </w:r>
      <w:r w:rsidRPr="00496FB6" w:rsidR="008F27B5">
        <w:t xml:space="preserve">significant </w:t>
      </w:r>
      <w:r w:rsidRPr="00496FB6" w:rsidR="002A54A7">
        <w:t xml:space="preserve">mental health </w:t>
      </w:r>
      <w:r w:rsidRPr="00496FB6" w:rsidR="00A437F4">
        <w:t>problems</w:t>
      </w:r>
      <w:r w:rsidRPr="00496FB6" w:rsidR="00802BD3">
        <w:t>,</w:t>
      </w:r>
      <w:r w:rsidR="00B17ACB">
        <w:t xml:space="preserve"> </w:t>
      </w:r>
      <w:r w:rsidRPr="00496FB6" w:rsidR="00802BD3">
        <w:t xml:space="preserve">substantial </w:t>
      </w:r>
      <w:r w:rsidRPr="00496FB6" w:rsidR="008F27B5">
        <w:t>substance</w:t>
      </w:r>
      <w:r w:rsidR="00BB761E">
        <w:t xml:space="preserve"> </w:t>
      </w:r>
      <w:r w:rsidRPr="00496FB6" w:rsidR="008F27B5">
        <w:t xml:space="preserve">abuse </w:t>
      </w:r>
      <w:r w:rsidRPr="00496FB6" w:rsidR="002A54A7">
        <w:t>history</w:t>
      </w:r>
      <w:r w:rsidRPr="00496FB6" w:rsidR="00227FB9">
        <w:t>,</w:t>
      </w:r>
      <w:r w:rsidRPr="00496FB6" w:rsidR="00A437F4">
        <w:t xml:space="preserve"> </w:t>
      </w:r>
      <w:r w:rsidRPr="00496FB6" w:rsidR="008F27B5">
        <w:t xml:space="preserve">prior </w:t>
      </w:r>
      <w:r w:rsidRPr="00496FB6" w:rsidR="007B5878">
        <w:t>tumultuous romantic relationships</w:t>
      </w:r>
      <w:r w:rsidRPr="00496FB6" w:rsidR="005D2C65">
        <w:t>,</w:t>
      </w:r>
      <w:r w:rsidRPr="002D3099" w:rsidR="00551D9B">
        <w:t xml:space="preserve"> </w:t>
      </w:r>
      <w:r w:rsidRPr="00496FB6" w:rsidR="00593BF3">
        <w:t xml:space="preserve">and </w:t>
      </w:r>
      <w:r w:rsidRPr="00496FB6" w:rsidR="007B5878">
        <w:t>abnormal brain size</w:t>
      </w:r>
      <w:r w:rsidRPr="00496FB6" w:rsidR="00B10810">
        <w:t xml:space="preserve"> and functioning</w:t>
      </w:r>
      <w:r w:rsidRPr="00496FB6" w:rsidR="00593BF3">
        <w:t xml:space="preserve">.  The defense also presented expert testimony </w:t>
      </w:r>
      <w:r w:rsidRPr="00496FB6" w:rsidR="001745A8">
        <w:t>regarding</w:t>
      </w:r>
      <w:r w:rsidRPr="00496FB6" w:rsidR="00593BF3">
        <w:t xml:space="preserve"> </w:t>
      </w:r>
      <w:r w:rsidRPr="00496FB6" w:rsidR="00A24BC5">
        <w:t>defendant</w:t>
      </w:r>
      <w:r w:rsidRPr="00496FB6" w:rsidR="00593BF3">
        <w:t xml:space="preserve">’s </w:t>
      </w:r>
      <w:r w:rsidRPr="00496FB6" w:rsidR="006556A1">
        <w:t xml:space="preserve">potential </w:t>
      </w:r>
      <w:r w:rsidRPr="00496FB6" w:rsidR="00593BF3">
        <w:t>mental state at the time of the offenses</w:t>
      </w:r>
      <w:r w:rsidRPr="00496FB6" w:rsidR="0049563B">
        <w:t xml:space="preserve">, including that he was </w:t>
      </w:r>
      <w:r w:rsidRPr="00496FB6" w:rsidR="006556A1">
        <w:t xml:space="preserve">likely </w:t>
      </w:r>
      <w:r w:rsidRPr="00496FB6" w:rsidR="0049563B">
        <w:t>experiencing severe psychiatric symptoms while on the trail</w:t>
      </w:r>
      <w:r w:rsidRPr="00496FB6" w:rsidR="00451E85">
        <w:t xml:space="preserve"> </w:t>
      </w:r>
      <w:r w:rsidRPr="00496FB6" w:rsidR="00203511">
        <w:t xml:space="preserve">on </w:t>
      </w:r>
      <w:r w:rsidRPr="00496FB6" w:rsidR="00451E85">
        <w:t xml:space="preserve">the day </w:t>
      </w:r>
      <w:r w:rsidRPr="00496FB6" w:rsidR="00203511">
        <w:t>in questio</w:t>
      </w:r>
      <w:r w:rsidRPr="00496FB6" w:rsidR="00301CBF">
        <w:t>n</w:t>
      </w:r>
      <w:r w:rsidRPr="00496FB6" w:rsidR="00593BF3">
        <w:t>.</w:t>
      </w:r>
      <w:r w:rsidRPr="002D3099" w:rsidR="00451E85">
        <w:t xml:space="preserve"> </w:t>
      </w:r>
      <w:r w:rsidRPr="002D3099" w:rsidR="00E1654A">
        <w:t xml:space="preserve"> </w:t>
      </w:r>
    </w:p>
    <w:p w:rsidR="00C30E79" w:rsidRPr="00496FB6" w:rsidP="00496FB6" w14:paraId="50FE1A65" w14:textId="422946D1">
      <w:pPr>
        <w:pStyle w:val="Heading1"/>
      </w:pPr>
      <w:bookmarkStart w:id="23" w:name="_Toc147519553"/>
      <w:bookmarkStart w:id="24" w:name="_Toc147845681"/>
      <w:r w:rsidRPr="00496FB6">
        <w:t xml:space="preserve">II. </w:t>
      </w:r>
      <w:r w:rsidRPr="00496FB6" w:rsidR="00CC270A">
        <w:t xml:space="preserve"> </w:t>
      </w:r>
      <w:bookmarkEnd w:id="23"/>
      <w:r w:rsidRPr="00496FB6" w:rsidR="008D6942">
        <w:t>DISCUSSION</w:t>
      </w:r>
      <w:bookmarkEnd w:id="24"/>
    </w:p>
    <w:p w:rsidR="009309BF" w:rsidRPr="00496FB6" w:rsidP="00496FB6" w14:paraId="14D9165E" w14:textId="4D22FA03">
      <w:pPr>
        <w:pStyle w:val="Heading2"/>
        <w:tabs>
          <w:tab w:val="clear" w:pos="1152"/>
        </w:tabs>
        <w:ind w:left="1080" w:hanging="360"/>
      </w:pPr>
      <w:bookmarkStart w:id="25" w:name="_Toc147845682"/>
      <w:bookmarkStart w:id="26" w:name="_Toc147519554"/>
      <w:r w:rsidRPr="00496FB6">
        <w:t>A</w:t>
      </w:r>
      <w:r w:rsidRPr="00496FB6" w:rsidR="00C364A7">
        <w:t>.</w:t>
      </w:r>
      <w:r w:rsidRPr="00496FB6" w:rsidR="00142DC5">
        <w:tab/>
      </w:r>
      <w:r w:rsidRPr="00496FB6">
        <w:rPr>
          <w:bCs/>
        </w:rPr>
        <w:t>T</w:t>
      </w:r>
      <w:r w:rsidRPr="00496FB6">
        <w:rPr>
          <w:bCs/>
        </w:rPr>
        <w:t xml:space="preserve">he </w:t>
      </w:r>
      <w:r w:rsidRPr="00496FB6" w:rsidR="00FF0E5D">
        <w:rPr>
          <w:bCs/>
        </w:rPr>
        <w:t>T</w:t>
      </w:r>
      <w:r w:rsidRPr="00496FB6">
        <w:rPr>
          <w:bCs/>
        </w:rPr>
        <w:t xml:space="preserve">rial </w:t>
      </w:r>
      <w:r w:rsidRPr="00496FB6" w:rsidR="00FF0E5D">
        <w:rPr>
          <w:bCs/>
        </w:rPr>
        <w:t>C</w:t>
      </w:r>
      <w:r w:rsidRPr="00496FB6">
        <w:rPr>
          <w:bCs/>
        </w:rPr>
        <w:t xml:space="preserve">ourt </w:t>
      </w:r>
      <w:r w:rsidRPr="00496FB6" w:rsidR="00FF0E5D">
        <w:rPr>
          <w:bCs/>
        </w:rPr>
        <w:t>D</w:t>
      </w:r>
      <w:r w:rsidRPr="00496FB6">
        <w:rPr>
          <w:bCs/>
        </w:rPr>
        <w:t xml:space="preserve">id </w:t>
      </w:r>
      <w:r w:rsidRPr="00496FB6" w:rsidR="00FF0E5D">
        <w:rPr>
          <w:bCs/>
        </w:rPr>
        <w:t>N</w:t>
      </w:r>
      <w:r w:rsidRPr="00496FB6">
        <w:rPr>
          <w:bCs/>
        </w:rPr>
        <w:t xml:space="preserve">ot </w:t>
      </w:r>
      <w:r w:rsidRPr="00496FB6" w:rsidR="00FF0E5D">
        <w:rPr>
          <w:bCs/>
        </w:rPr>
        <w:t>E</w:t>
      </w:r>
      <w:r w:rsidRPr="00496FB6">
        <w:rPr>
          <w:bCs/>
        </w:rPr>
        <w:t xml:space="preserve">rr in </w:t>
      </w:r>
      <w:r w:rsidRPr="00496FB6" w:rsidR="00FF0E5D">
        <w:rPr>
          <w:bCs/>
        </w:rPr>
        <w:t>E</w:t>
      </w:r>
      <w:r w:rsidRPr="00496FB6" w:rsidR="0090650B">
        <w:rPr>
          <w:bCs/>
        </w:rPr>
        <w:t xml:space="preserve">xcusing </w:t>
      </w:r>
      <w:r w:rsidRPr="00496FB6" w:rsidR="00D42751">
        <w:rPr>
          <w:bCs/>
        </w:rPr>
        <w:t xml:space="preserve">a </w:t>
      </w:r>
      <w:r w:rsidRPr="00496FB6" w:rsidR="00FF0E5D">
        <w:rPr>
          <w:bCs/>
        </w:rPr>
        <w:t>P</w:t>
      </w:r>
      <w:r w:rsidRPr="00496FB6" w:rsidR="00317523">
        <w:rPr>
          <w:bCs/>
        </w:rPr>
        <w:t xml:space="preserve">rospective </w:t>
      </w:r>
      <w:r w:rsidRPr="00496FB6" w:rsidR="00FF0E5D">
        <w:rPr>
          <w:bCs/>
        </w:rPr>
        <w:t>J</w:t>
      </w:r>
      <w:r w:rsidRPr="00496FB6" w:rsidR="00D42751">
        <w:rPr>
          <w:bCs/>
        </w:rPr>
        <w:t>uror</w:t>
      </w:r>
      <w:r w:rsidRPr="00496FB6">
        <w:rPr>
          <w:bCs/>
        </w:rPr>
        <w:t xml:space="preserve"> </w:t>
      </w:r>
      <w:r w:rsidRPr="00496FB6" w:rsidR="00FF0E5D">
        <w:rPr>
          <w:bCs/>
        </w:rPr>
        <w:t>B</w:t>
      </w:r>
      <w:r w:rsidRPr="00496FB6">
        <w:rPr>
          <w:bCs/>
        </w:rPr>
        <w:t xml:space="preserve">ased on </w:t>
      </w:r>
      <w:r w:rsidRPr="00496FB6" w:rsidR="00FF0E5D">
        <w:rPr>
          <w:bCs/>
        </w:rPr>
        <w:t>H</w:t>
      </w:r>
      <w:r w:rsidRPr="00496FB6" w:rsidR="0090650B">
        <w:rPr>
          <w:bCs/>
        </w:rPr>
        <w:t xml:space="preserve">is </w:t>
      </w:r>
      <w:r w:rsidRPr="00496FB6" w:rsidR="00FF0E5D">
        <w:rPr>
          <w:bCs/>
        </w:rPr>
        <w:t>D</w:t>
      </w:r>
      <w:r w:rsidRPr="00496FB6" w:rsidR="0090650B">
        <w:rPr>
          <w:bCs/>
        </w:rPr>
        <w:t xml:space="preserve">eath </w:t>
      </w:r>
      <w:r w:rsidRPr="00496FB6" w:rsidR="00FF0E5D">
        <w:rPr>
          <w:bCs/>
        </w:rPr>
        <w:t>P</w:t>
      </w:r>
      <w:r w:rsidRPr="00496FB6" w:rsidR="0090650B">
        <w:rPr>
          <w:bCs/>
        </w:rPr>
        <w:t>enalty</w:t>
      </w:r>
      <w:r w:rsidRPr="00496FB6" w:rsidR="00D42751">
        <w:rPr>
          <w:bCs/>
        </w:rPr>
        <w:t xml:space="preserve"> </w:t>
      </w:r>
      <w:r w:rsidRPr="00496FB6" w:rsidR="00FF0E5D">
        <w:rPr>
          <w:bCs/>
        </w:rPr>
        <w:t>V</w:t>
      </w:r>
      <w:r w:rsidRPr="00496FB6">
        <w:rPr>
          <w:bCs/>
        </w:rPr>
        <w:t xml:space="preserve">iews </w:t>
      </w:r>
      <w:bookmarkEnd w:id="25"/>
      <w:bookmarkEnd w:id="26"/>
    </w:p>
    <w:p w:rsidR="00BF0C13" w:rsidRPr="00496FB6" w:rsidP="002D3099" w14:paraId="365ECD1E" w14:textId="53E6E350">
      <w:pPr>
        <w:ind w:firstLine="720"/>
      </w:pPr>
      <w:r w:rsidRPr="00496FB6">
        <w:t>Defendant</w:t>
      </w:r>
      <w:r w:rsidRPr="00496FB6" w:rsidR="009309BF">
        <w:t xml:space="preserve"> claims the trial court erred in </w:t>
      </w:r>
      <w:r w:rsidRPr="00496FB6" w:rsidR="005F6CA3">
        <w:t>granting</w:t>
      </w:r>
      <w:r w:rsidRPr="00496FB6" w:rsidR="009309BF">
        <w:t xml:space="preserve"> the People’s </w:t>
      </w:r>
      <w:r w:rsidRPr="00496FB6" w:rsidR="00317523">
        <w:t xml:space="preserve">request to dismiss </w:t>
      </w:r>
      <w:r w:rsidRPr="00496FB6" w:rsidR="004D6588">
        <w:t>Prospective Juror No. 111</w:t>
      </w:r>
      <w:r w:rsidRPr="00496FB6" w:rsidR="006C782F">
        <w:t xml:space="preserve"> for cause due to the prospective juror’s views on the death penalty.</w:t>
      </w:r>
      <w:r w:rsidRPr="00496FB6" w:rsidR="005F6CA3">
        <w:t xml:space="preserve">  </w:t>
      </w:r>
      <w:r w:rsidRPr="00496FB6" w:rsidR="000B7864">
        <w:t xml:space="preserve">According to </w:t>
      </w:r>
      <w:r w:rsidRPr="00496FB6">
        <w:t>defendant</w:t>
      </w:r>
      <w:r w:rsidRPr="00496FB6" w:rsidR="000B7864">
        <w:t xml:space="preserve">, </w:t>
      </w:r>
      <w:r w:rsidRPr="00496FB6" w:rsidR="004D6588">
        <w:t>Prospective Juror No. 111</w:t>
      </w:r>
      <w:r w:rsidRPr="00496FB6" w:rsidR="000B7864">
        <w:t xml:space="preserve"> was qualified to serve as a capital juror because, while the prospective juror “was opposed to the death penalty,” he was “willing to set aside his beliefs and follow the law</w:t>
      </w:r>
      <w:r w:rsidRPr="000111BD" w:rsidR="000B7864">
        <w:t>.”  (</w:t>
      </w:r>
      <w:r w:rsidR="00B828A5">
        <w:t>Boldface</w:t>
      </w:r>
      <w:r w:rsidRPr="000111BD" w:rsidR="00B828A5">
        <w:t xml:space="preserve"> </w:t>
      </w:r>
      <w:r w:rsidRPr="000111BD" w:rsidR="000B7864">
        <w:t xml:space="preserve">omitted.) </w:t>
      </w:r>
      <w:r w:rsidRPr="000111BD" w:rsidR="00F930D2">
        <w:t xml:space="preserve"> </w:t>
      </w:r>
      <w:r w:rsidRPr="000111BD">
        <w:t>Defendant</w:t>
      </w:r>
      <w:r w:rsidRPr="00496FB6" w:rsidR="005771DD">
        <w:t xml:space="preserve"> contends that the </w:t>
      </w:r>
      <w:r w:rsidRPr="00496FB6" w:rsidR="00C37039">
        <w:t xml:space="preserve">trial court’s </w:t>
      </w:r>
      <w:r w:rsidRPr="00496FB6" w:rsidR="00820BE6">
        <w:t xml:space="preserve">excusal of </w:t>
      </w:r>
      <w:r w:rsidRPr="00496FB6" w:rsidR="004D6588">
        <w:t>Prospective Juror No.</w:t>
      </w:r>
      <w:r w:rsidR="00396340">
        <w:t> </w:t>
      </w:r>
      <w:r w:rsidRPr="00496FB6" w:rsidR="004D6588">
        <w:t>111</w:t>
      </w:r>
      <w:r w:rsidRPr="00496FB6" w:rsidR="00820BE6">
        <w:t xml:space="preserve"> </w:t>
      </w:r>
      <w:r w:rsidRPr="00496FB6" w:rsidR="00C37039">
        <w:t xml:space="preserve">was based on </w:t>
      </w:r>
      <w:r w:rsidRPr="00496FB6" w:rsidR="00A3369E">
        <w:t>th</w:t>
      </w:r>
      <w:r w:rsidRPr="00496FB6" w:rsidR="0005022E">
        <w:t>e</w:t>
      </w:r>
      <w:r w:rsidRPr="00496FB6" w:rsidR="00A3369E">
        <w:t xml:space="preserve"> court’s misrepresentation of </w:t>
      </w:r>
      <w:r w:rsidRPr="00496FB6" w:rsidR="00820BE6">
        <w:t xml:space="preserve">the </w:t>
      </w:r>
      <w:r w:rsidRPr="00496FB6" w:rsidR="00A3369E">
        <w:t xml:space="preserve">prospective </w:t>
      </w:r>
      <w:r w:rsidRPr="00496FB6" w:rsidR="00820BE6">
        <w:t>j</w:t>
      </w:r>
      <w:r w:rsidRPr="00496FB6" w:rsidR="00A3369E">
        <w:t xml:space="preserve">uror’s statements during voir dire and </w:t>
      </w:r>
      <w:r w:rsidRPr="00496FB6" w:rsidR="00F345AD">
        <w:t>its</w:t>
      </w:r>
      <w:r w:rsidRPr="00496FB6" w:rsidR="00A3369E">
        <w:t xml:space="preserve"> misapplication of the law</w:t>
      </w:r>
      <w:r w:rsidRPr="00496FB6" w:rsidR="00001139">
        <w:t>.</w:t>
      </w:r>
      <w:r w:rsidRPr="00496FB6" w:rsidR="0004047A">
        <w:t xml:space="preserve">  </w:t>
      </w:r>
      <w:r w:rsidRPr="00496FB6" w:rsidR="00D6274D">
        <w:t xml:space="preserve">He maintains that the </w:t>
      </w:r>
      <w:r w:rsidRPr="00496FB6" w:rsidR="009F3436">
        <w:t xml:space="preserve">trial </w:t>
      </w:r>
      <w:r w:rsidRPr="00496FB6" w:rsidR="00D6274D">
        <w:t xml:space="preserve">court’s erroneous ruling violated his right to </w:t>
      </w:r>
      <w:r w:rsidRPr="00496FB6" w:rsidR="0048388B">
        <w:t>an impartial jury</w:t>
      </w:r>
      <w:r w:rsidRPr="00496FB6" w:rsidR="00834AD3">
        <w:t xml:space="preserve"> </w:t>
      </w:r>
      <w:r w:rsidRPr="00496FB6" w:rsidR="0048388B">
        <w:t xml:space="preserve">under the Sixth and Fourteenth Amendments to the </w:t>
      </w:r>
      <w:bookmarkStart w:id="27" w:name="dabmci_f31a5e422c6b446facda3c40b5a4f8b0"/>
      <w:r w:rsidRPr="00496FB6" w:rsidR="0048388B">
        <w:t>United States Constitution and article I</w:t>
      </w:r>
      <w:bookmarkEnd w:id="27"/>
      <w:r w:rsidRPr="00496FB6" w:rsidR="0048388B">
        <w:t>, section 16 of the California Constitution.</w:t>
      </w:r>
      <w:r>
        <w:rPr>
          <w:rStyle w:val="FootnoteReference"/>
        </w:rPr>
        <w:footnoteReference w:id="8"/>
      </w:r>
      <w:r w:rsidRPr="00496FB6" w:rsidR="00DB1781">
        <w:t xml:space="preserve"> </w:t>
      </w:r>
      <w:r w:rsidRPr="00496FB6" w:rsidR="00FD4B23">
        <w:t xml:space="preserve"> </w:t>
      </w:r>
      <w:r w:rsidR="00260004">
        <w:t>W</w:t>
      </w:r>
      <w:r w:rsidRPr="00496FB6" w:rsidR="00FD4B23">
        <w:t xml:space="preserve">e reject </w:t>
      </w:r>
      <w:r w:rsidRPr="00496FB6" w:rsidR="00FF2F57">
        <w:t xml:space="preserve">defendant’s claim. </w:t>
      </w:r>
      <w:r w:rsidR="002F6303">
        <w:t xml:space="preserve"> </w:t>
      </w:r>
    </w:p>
    <w:p w:rsidR="00D51E9C" w:rsidRPr="00496FB6" w:rsidP="002D3099" w14:paraId="7E613969" w14:textId="77777777">
      <w:pPr>
        <w:pStyle w:val="Heading3"/>
        <w:tabs>
          <w:tab w:val="clear" w:pos="1584"/>
        </w:tabs>
      </w:pPr>
      <w:bookmarkStart w:id="28" w:name="_Toc147845683"/>
      <w:bookmarkStart w:id="29" w:name="_Toc147519555"/>
      <w:r w:rsidRPr="00496FB6">
        <w:rPr>
          <w:i w:val="0"/>
          <w:iCs/>
        </w:rPr>
        <w:t>1.</w:t>
      </w:r>
      <w:r w:rsidRPr="00496FB6" w:rsidR="00142DC5">
        <w:rPr>
          <w:i w:val="0"/>
          <w:iCs/>
        </w:rPr>
        <w:tab/>
      </w:r>
      <w:r w:rsidRPr="00496FB6">
        <w:t xml:space="preserve">Factual and procedural </w:t>
      </w:r>
      <w:r w:rsidRPr="00496FB6" w:rsidR="00970C47">
        <w:t>background</w:t>
      </w:r>
      <w:bookmarkEnd w:id="28"/>
      <w:bookmarkEnd w:id="29"/>
    </w:p>
    <w:p w:rsidR="007C6499" w:rsidRPr="00496FB6" w:rsidP="002D3099" w14:paraId="71D706B8" w14:textId="6E97234B">
      <w:pPr>
        <w:ind w:firstLine="720"/>
      </w:pPr>
      <w:r w:rsidRPr="00496FB6">
        <w:t xml:space="preserve">Prior to jury selection, </w:t>
      </w:r>
      <w:r w:rsidRPr="00496FB6" w:rsidR="00891E6D">
        <w:t>all</w:t>
      </w:r>
      <w:r w:rsidRPr="00496FB6">
        <w:t xml:space="preserve"> prospective jurors completed a juror questionnaire.  In a section entitled</w:t>
      </w:r>
      <w:r w:rsidRPr="00496FB6" w:rsidR="00E218E1">
        <w:t xml:space="preserve"> </w:t>
      </w:r>
      <w:r w:rsidRPr="00496FB6">
        <w:t xml:space="preserve">“General Information,” one question asked, “Will you have any difficulty keeping an open mind until you have heard all the evidence and you have heard all the arguments of both counsel, and the court has given you all the instructions?”  </w:t>
      </w:r>
      <w:r w:rsidRPr="00496FB6" w:rsidR="004D6588">
        <w:t>Prospective Juror No. 111</w:t>
      </w:r>
      <w:r w:rsidRPr="00496FB6">
        <w:t xml:space="preserve"> replied “No,” </w:t>
      </w:r>
      <w:r w:rsidRPr="00496FB6" w:rsidR="00AD7C89">
        <w:t xml:space="preserve">but </w:t>
      </w:r>
      <w:r w:rsidRPr="00496FB6">
        <w:t xml:space="preserve">added, “Although I’m not confident I could recommend death in any scenario.”  </w:t>
      </w:r>
    </w:p>
    <w:p w:rsidR="008973EA" w:rsidRPr="00496FB6" w:rsidP="002D3099" w14:paraId="12136E0A" w14:textId="6072DD31">
      <w:pPr>
        <w:ind w:firstLine="720"/>
      </w:pPr>
      <w:r w:rsidRPr="00496FB6">
        <w:t xml:space="preserve">A second section of the questionnaire asked about the prospective juror’s attitudes regarding the death penalty.  </w:t>
      </w:r>
      <w:r w:rsidRPr="00496FB6" w:rsidR="00433718">
        <w:t>In response to a question regarding</w:t>
      </w:r>
      <w:r w:rsidRPr="00496FB6" w:rsidR="00D31538">
        <w:t xml:space="preserve"> the prospective juror’s</w:t>
      </w:r>
      <w:r w:rsidRPr="00496FB6">
        <w:t xml:space="preserve"> “</w:t>
      </w:r>
      <w:r w:rsidRPr="00496FB6" w:rsidR="00D354E1">
        <w:t>general feelings</w:t>
      </w:r>
      <w:r w:rsidRPr="00496FB6">
        <w:t xml:space="preserve"> </w:t>
      </w:r>
      <w:r w:rsidRPr="00496FB6" w:rsidR="007F6BA7">
        <w:t xml:space="preserve">regarding </w:t>
      </w:r>
      <w:r w:rsidRPr="00496FB6">
        <w:t>the death penalty</w:t>
      </w:r>
      <w:r w:rsidRPr="002A4623">
        <w:t xml:space="preserve">” </w:t>
      </w:r>
      <w:r w:rsidRPr="002A4623" w:rsidR="00D354E1">
        <w:t>(</w:t>
      </w:r>
      <w:r w:rsidR="00B828A5">
        <w:t>capitalization</w:t>
      </w:r>
      <w:r w:rsidRPr="002A4623" w:rsidR="00B828A5">
        <w:t xml:space="preserve"> </w:t>
      </w:r>
      <w:r w:rsidRPr="002A4623" w:rsidR="00D354E1">
        <w:t>omitted)</w:t>
      </w:r>
      <w:r w:rsidRPr="002A4623" w:rsidR="00523F09">
        <w:t>,</w:t>
      </w:r>
      <w:r w:rsidRPr="00496FB6" w:rsidR="00D354E1">
        <w:t xml:space="preserve"> </w:t>
      </w:r>
      <w:r w:rsidRPr="00496FB6" w:rsidR="004D6588">
        <w:t>Prospective Juror No.</w:t>
      </w:r>
      <w:r w:rsidRPr="00496FB6" w:rsidR="0091669A">
        <w:t> </w:t>
      </w:r>
      <w:r w:rsidRPr="00496FB6" w:rsidR="004D6588">
        <w:t>111</w:t>
      </w:r>
      <w:r w:rsidRPr="00496FB6">
        <w:t xml:space="preserve"> responded, “I think it is not for human being [</w:t>
      </w:r>
      <w:r w:rsidRPr="00496FB6">
        <w:rPr>
          <w:i/>
          <w:iCs/>
        </w:rPr>
        <w:t>sic</w:t>
      </w:r>
      <w:r w:rsidRPr="00496FB6">
        <w:t>] to judge whether someone should be killed.  I am against it, but I will obey the l</w:t>
      </w:r>
      <w:r w:rsidRPr="00496FB6">
        <w:t xml:space="preserve">aw and instructions from the court.”  </w:t>
      </w:r>
      <w:r w:rsidRPr="00496FB6" w:rsidR="00523F09">
        <w:t>When</w:t>
      </w:r>
      <w:r w:rsidRPr="00496FB6">
        <w:t xml:space="preserve"> asked </w:t>
      </w:r>
      <w:r w:rsidRPr="00496FB6" w:rsidR="00523F09">
        <w:t xml:space="preserve">whether </w:t>
      </w:r>
      <w:r w:rsidRPr="00496FB6" w:rsidR="00D354E1">
        <w:t xml:space="preserve">the prospective juror </w:t>
      </w:r>
      <w:r w:rsidRPr="00496FB6">
        <w:t>felt the death penalty was used too seldom or too often</w:t>
      </w:r>
      <w:r w:rsidRPr="00496FB6" w:rsidR="00523F09">
        <w:t>,</w:t>
      </w:r>
      <w:r w:rsidRPr="00496FB6">
        <w:t xml:space="preserve"> </w:t>
      </w:r>
      <w:r w:rsidRPr="00496FB6" w:rsidR="004D6588">
        <w:t>Prospective Juror No.</w:t>
      </w:r>
      <w:r w:rsidR="00396340">
        <w:t> </w:t>
      </w:r>
      <w:r w:rsidRPr="00496FB6" w:rsidR="004D6588">
        <w:t>111</w:t>
      </w:r>
      <w:r w:rsidRPr="00496FB6">
        <w:t xml:space="preserve"> wrote, “Too often. </w:t>
      </w:r>
      <w:r w:rsidRPr="00496FB6" w:rsidR="000F23F1">
        <w:t xml:space="preserve"> </w:t>
      </w:r>
      <w:r w:rsidRPr="00496FB6" w:rsidR="007F6BA7">
        <w:t xml:space="preserve">[¶]  </w:t>
      </w:r>
      <w:r w:rsidRPr="00496FB6">
        <w:t xml:space="preserve">I’d rather it not be used at all.”  </w:t>
      </w:r>
      <w:r w:rsidRPr="00496FB6" w:rsidR="002F0F30">
        <w:t xml:space="preserve">To </w:t>
      </w:r>
      <w:r w:rsidRPr="00496FB6" w:rsidR="00246D5A">
        <w:t xml:space="preserve">a </w:t>
      </w:r>
      <w:r w:rsidRPr="00496FB6" w:rsidR="00394BB9">
        <w:t>follow-</w:t>
      </w:r>
      <w:r w:rsidRPr="00496FB6" w:rsidR="002F0F30">
        <w:t xml:space="preserve">up </w:t>
      </w:r>
      <w:r w:rsidRPr="00496FB6" w:rsidR="00096E04">
        <w:t>question that asked whether</w:t>
      </w:r>
      <w:r w:rsidRPr="00496FB6">
        <w:t xml:space="preserve"> </w:t>
      </w:r>
      <w:r w:rsidRPr="00496FB6" w:rsidR="00531753">
        <w:t>the</w:t>
      </w:r>
      <w:r w:rsidRPr="00496FB6" w:rsidR="00F5000A">
        <w:t xml:space="preserve"> answer </w:t>
      </w:r>
      <w:r w:rsidRPr="00496FB6" w:rsidR="00531753">
        <w:t xml:space="preserve">to this question </w:t>
      </w:r>
      <w:r w:rsidRPr="00496FB6" w:rsidR="00F5000A">
        <w:t xml:space="preserve">was based on </w:t>
      </w:r>
      <w:r w:rsidRPr="00496FB6" w:rsidR="002340F3">
        <w:t>a “</w:t>
      </w:r>
      <w:r w:rsidRPr="00496FB6" w:rsidR="00F5000A">
        <w:t>religious consideration,</w:t>
      </w:r>
      <w:r w:rsidRPr="00496FB6" w:rsidR="002340F3">
        <w:t>”</w:t>
      </w:r>
      <w:r w:rsidRPr="00496FB6" w:rsidR="00F5000A">
        <w:t xml:space="preserve"> </w:t>
      </w:r>
      <w:r w:rsidRPr="00496FB6" w:rsidR="004D6588">
        <w:t>Prospective Juror No.</w:t>
      </w:r>
      <w:r w:rsidRPr="00496FB6" w:rsidR="00BC0BC0">
        <w:t> </w:t>
      </w:r>
      <w:r w:rsidRPr="00496FB6" w:rsidR="004D6588">
        <w:t>111</w:t>
      </w:r>
      <w:r w:rsidRPr="00496FB6" w:rsidR="00F5000A">
        <w:t xml:space="preserve"> responded in the negative</w:t>
      </w:r>
      <w:r w:rsidRPr="00496FB6" w:rsidR="003B6B3B">
        <w:t xml:space="preserve">. </w:t>
      </w:r>
      <w:r w:rsidRPr="00496FB6" w:rsidR="001D1F2E">
        <w:t xml:space="preserve"> </w:t>
      </w:r>
    </w:p>
    <w:p w:rsidR="00BC0BC0" w:rsidRPr="00496FB6" w:rsidP="002D3099" w14:paraId="57122236" w14:textId="351CC6C5">
      <w:pPr>
        <w:ind w:firstLine="720"/>
      </w:pPr>
      <w:r w:rsidRPr="00496FB6">
        <w:t>Prospective Juror No. 111</w:t>
      </w:r>
      <w:r w:rsidRPr="00496FB6" w:rsidR="007C6499">
        <w:t xml:space="preserve"> </w:t>
      </w:r>
      <w:r w:rsidRPr="00496FB6" w:rsidR="00074F04">
        <w:t>further</w:t>
      </w:r>
      <w:r w:rsidRPr="00496FB6" w:rsidR="007C6499">
        <w:t xml:space="preserve"> represented that he would not, because of his beliefs about the death penalty</w:t>
      </w:r>
      <w:r w:rsidRPr="00496FB6" w:rsidR="003B1DDB">
        <w:t>,</w:t>
      </w:r>
      <w:r w:rsidRPr="00496FB6" w:rsidR="00AE573A">
        <w:t xml:space="preserve"> </w:t>
      </w:r>
      <w:r w:rsidRPr="00496FB6" w:rsidR="007C6499">
        <w:t>refuse t</w:t>
      </w:r>
      <w:r w:rsidRPr="00496FB6" w:rsidR="0082226F">
        <w:t xml:space="preserve">o: </w:t>
      </w:r>
      <w:r w:rsidRPr="00496FB6">
        <w:t xml:space="preserve"> </w:t>
      </w:r>
      <w:r w:rsidRPr="00496FB6" w:rsidR="0082226F">
        <w:t>(1)</w:t>
      </w:r>
      <w:r w:rsidRPr="00496FB6" w:rsidR="003B1DDB">
        <w:t xml:space="preserve"> </w:t>
      </w:r>
      <w:r w:rsidRPr="00496FB6" w:rsidR="007C6499">
        <w:t xml:space="preserve">find </w:t>
      </w:r>
      <w:r w:rsidRPr="00496FB6" w:rsidR="00A24BC5">
        <w:t>defendant</w:t>
      </w:r>
      <w:r w:rsidRPr="00496FB6" w:rsidR="007C6499">
        <w:t xml:space="preserve"> guilty of first degree murder</w:t>
      </w:r>
      <w:r w:rsidRPr="00496FB6" w:rsidR="0004088C">
        <w:t xml:space="preserve"> to prevent the penalty phase from taking place</w:t>
      </w:r>
      <w:r w:rsidRPr="00496FB6" w:rsidR="0082226F">
        <w:t>;</w:t>
      </w:r>
      <w:r w:rsidRPr="00496FB6" w:rsidR="007C6499">
        <w:t xml:space="preserve"> </w:t>
      </w:r>
      <w:r w:rsidRPr="00496FB6" w:rsidR="0082226F">
        <w:t>(2)</w:t>
      </w:r>
      <w:r w:rsidRPr="00496FB6">
        <w:t> </w:t>
      </w:r>
      <w:r w:rsidRPr="00496FB6" w:rsidR="00AE573A">
        <w:t xml:space="preserve">find </w:t>
      </w:r>
      <w:r w:rsidRPr="00496FB6" w:rsidR="003B1DDB">
        <w:t xml:space="preserve">true </w:t>
      </w:r>
      <w:r w:rsidRPr="00496FB6" w:rsidR="00AE573A">
        <w:t>the special circumstance</w:t>
      </w:r>
      <w:r w:rsidRPr="00496FB6" w:rsidR="00AA6624">
        <w:t xml:space="preserve"> allegation</w:t>
      </w:r>
      <w:r w:rsidRPr="00496FB6" w:rsidR="00AE573A">
        <w:t xml:space="preserve">s </w:t>
      </w:r>
      <w:r w:rsidRPr="00496FB6" w:rsidR="00F11E41">
        <w:t xml:space="preserve">just </w:t>
      </w:r>
      <w:r w:rsidRPr="00496FB6" w:rsidR="007C6499">
        <w:t>to prevent the penalty phase from taking place</w:t>
      </w:r>
      <w:r w:rsidRPr="00496FB6" w:rsidR="0082226F">
        <w:t xml:space="preserve">; </w:t>
      </w:r>
      <w:r w:rsidRPr="00496FB6" w:rsidR="007C6B47">
        <w:t xml:space="preserve">or </w:t>
      </w:r>
      <w:r w:rsidRPr="00496FB6" w:rsidR="0082226F">
        <w:t>(3)</w:t>
      </w:r>
      <w:r w:rsidRPr="00496FB6">
        <w:t> </w:t>
      </w:r>
      <w:r w:rsidRPr="00496FB6" w:rsidR="007C6499">
        <w:t xml:space="preserve">vote in favor of the death penalty without considering aggravating and mitigating factors. </w:t>
      </w:r>
      <w:r w:rsidRPr="00496FB6" w:rsidR="00101141">
        <w:t xml:space="preserve"> </w:t>
      </w:r>
    </w:p>
    <w:p w:rsidR="000D320E" w:rsidRPr="00496FB6" w:rsidP="002D3099" w14:paraId="74252301" w14:textId="4625A656">
      <w:pPr>
        <w:ind w:firstLine="720"/>
      </w:pPr>
      <w:r w:rsidRPr="00496FB6">
        <w:t xml:space="preserve">After </w:t>
      </w:r>
      <w:r w:rsidRPr="00496FB6" w:rsidR="003D43B5">
        <w:t xml:space="preserve">the </w:t>
      </w:r>
      <w:r w:rsidRPr="00496FB6">
        <w:t xml:space="preserve">prospective jurors completed the questionnaires, the trial court conducted voir dire during which the </w:t>
      </w:r>
      <w:r w:rsidRPr="00496FB6" w:rsidR="00101141">
        <w:t xml:space="preserve">court, the </w:t>
      </w:r>
      <w:r w:rsidRPr="00496FB6">
        <w:t>prosecutor</w:t>
      </w:r>
      <w:r w:rsidRPr="00496FB6" w:rsidR="00101141">
        <w:t>, and</w:t>
      </w:r>
      <w:r w:rsidRPr="00496FB6">
        <w:t xml:space="preserve"> defense counsel</w:t>
      </w:r>
      <w:r w:rsidRPr="00496FB6" w:rsidR="00101141">
        <w:t xml:space="preserve"> </w:t>
      </w:r>
      <w:r w:rsidRPr="00496FB6">
        <w:t>question</w:t>
      </w:r>
      <w:r w:rsidRPr="00496FB6">
        <w:t xml:space="preserve">ed the prospective jurors. </w:t>
      </w:r>
      <w:r w:rsidRPr="00496FB6" w:rsidR="00D96C79">
        <w:t xml:space="preserve"> </w:t>
      </w:r>
      <w:r w:rsidRPr="00496FB6">
        <w:t xml:space="preserve">During </w:t>
      </w:r>
      <w:r w:rsidRPr="00496FB6" w:rsidR="005E7815">
        <w:t xml:space="preserve">the </w:t>
      </w:r>
      <w:r w:rsidRPr="00496FB6">
        <w:t>voir dire</w:t>
      </w:r>
      <w:r w:rsidRPr="00496FB6" w:rsidR="005E7815">
        <w:t xml:space="preserve"> of </w:t>
      </w:r>
      <w:r w:rsidRPr="00496FB6" w:rsidR="004D6588">
        <w:t>Prospective Juror No.</w:t>
      </w:r>
      <w:r w:rsidRPr="00496FB6" w:rsidR="00BC0BC0">
        <w:t> </w:t>
      </w:r>
      <w:r w:rsidRPr="00496FB6" w:rsidR="004D6588">
        <w:t>111</w:t>
      </w:r>
      <w:r w:rsidRPr="00496FB6">
        <w:t>, the prosecutor stated, “[Y]ou say you’re against the death penalty, but you will obey the law.  How can we</w:t>
      </w:r>
      <w:r w:rsidRPr="00496FB6" w:rsidR="00EC4AFF">
        <w:t> </w:t>
      </w:r>
      <w:r w:rsidRPr="00496FB6">
        <w:rPr>
          <w:rFonts w:cstheme="minorHAnsi"/>
        </w:rPr>
        <w:t>—</w:t>
      </w:r>
      <w:r w:rsidRPr="00496FB6">
        <w:t>”</w:t>
      </w:r>
      <w:r w:rsidRPr="00496FB6" w:rsidR="00867664">
        <w:t xml:space="preserve"> </w:t>
      </w:r>
      <w:r w:rsidRPr="00496FB6">
        <w:t xml:space="preserve"> </w:t>
      </w:r>
    </w:p>
    <w:p w:rsidR="007C6499" w:rsidRPr="00496FB6" w:rsidP="002D3099" w14:paraId="665C72A8" w14:textId="4F4902D0">
      <w:pPr>
        <w:ind w:firstLine="720"/>
      </w:pPr>
      <w:r w:rsidRPr="00496FB6">
        <w:t>Prospective Juror No. 111 interjected, and stated in part:</w:t>
      </w:r>
      <w:r w:rsidRPr="00496FB6" w:rsidR="00BC0BC0">
        <w:t xml:space="preserve"> </w:t>
      </w:r>
      <w:r w:rsidRPr="00496FB6">
        <w:t xml:space="preserve"> “I’m </w:t>
      </w:r>
      <w:r w:rsidRPr="00496FB6">
        <w:t>trying to figure out under what situation</w:t>
      </w:r>
      <w:r w:rsidRPr="00496FB6" w:rsidR="00BC0BC0">
        <w:t> </w:t>
      </w:r>
      <w:r w:rsidRPr="00496FB6">
        <w:rPr>
          <w:rFonts w:cstheme="minorHAnsi"/>
        </w:rPr>
        <w:t>—</w:t>
      </w:r>
      <w:r w:rsidRPr="00496FB6">
        <w:t xml:space="preserve"> is it my choice to say whether or not death is appropriate or not?  Because, in my opinion, I’m trying to come up with a scenario where I personally would think death would be appropriate, which would be somethin</w:t>
      </w:r>
      <w:r w:rsidRPr="00496FB6">
        <w:t>g</w:t>
      </w:r>
      <w:r w:rsidRPr="00496FB6" w:rsidR="00BC0BC0">
        <w:t> </w:t>
      </w:r>
      <w:r w:rsidRPr="00496FB6">
        <w:rPr>
          <w:rFonts w:cstheme="minorHAnsi"/>
        </w:rPr>
        <w:t>—</w:t>
      </w:r>
      <w:r w:rsidRPr="00496FB6" w:rsidR="00D96C79">
        <w:rPr>
          <w:rFonts w:cstheme="minorHAnsi"/>
        </w:rPr>
        <w:t xml:space="preserve"> </w:t>
      </w:r>
      <w:r w:rsidRPr="00496FB6">
        <w:t>I’m trying to come up with a scenario where that might be.  If you think about, a bunch of children in a playground and a repeat offender, and</w:t>
      </w:r>
      <w:r w:rsidRPr="00496FB6" w:rsidR="007F6BA7">
        <w:t>,</w:t>
      </w:r>
      <w:r w:rsidRPr="00496FB6">
        <w:t xml:space="preserve"> you know</w:t>
      </w:r>
      <w:r w:rsidRPr="00496FB6" w:rsidR="007F6BA7">
        <w:t>,</w:t>
      </w:r>
      <w:r w:rsidRPr="00496FB6">
        <w:t xml:space="preserve"> someone that is so evil in my mind that there</w:t>
      </w:r>
      <w:r w:rsidRPr="00496FB6" w:rsidR="004D236E">
        <w:t>’</w:t>
      </w:r>
      <w:r w:rsidRPr="00496FB6">
        <w:t>s just no hope of ever being able to contribute back</w:t>
      </w:r>
      <w:r w:rsidRPr="00496FB6">
        <w:t xml:space="preserve"> to society in any way, shape, or form, I</w:t>
      </w:r>
      <w:r w:rsidRPr="00496FB6" w:rsidR="00BC0BC0">
        <w:t> </w:t>
      </w:r>
      <w:r w:rsidRPr="00496FB6">
        <w:rPr>
          <w:rFonts w:cstheme="minorHAnsi"/>
        </w:rPr>
        <w:t>—</w:t>
      </w:r>
      <w:r w:rsidRPr="00496FB6" w:rsidR="00D96C79">
        <w:rPr>
          <w:rFonts w:cstheme="minorHAnsi"/>
        </w:rPr>
        <w:t xml:space="preserve"> </w:t>
      </w:r>
      <w:r w:rsidRPr="00496FB6">
        <w:t>then could I really think that death was appropriate?  Personally?  Yeah, I think maybe, you know.</w:t>
      </w:r>
      <w:r w:rsidRPr="00496FB6" w:rsidR="00D96C79">
        <w:t xml:space="preserve">  [¶]  </w:t>
      </w:r>
      <w:r w:rsidRPr="00496FB6">
        <w:t>And what I think of as the majority of the scenarios, I just really have a hard time personally thinking th</w:t>
      </w:r>
      <w:r w:rsidRPr="00496FB6">
        <w:t>at death is an appropriate penalty.</w:t>
      </w:r>
      <w:r w:rsidRPr="00496FB6" w:rsidR="00D96C79">
        <w:t xml:space="preserve">  [¶]  </w:t>
      </w:r>
      <w:r w:rsidRPr="00496FB6">
        <w:t>Now, the question is how important is my personal opinion as to what’s appropriate or not in a case like this.  I don’t know what all the instructions are going to be.  I don’t know what the</w:t>
      </w:r>
      <w:r w:rsidRPr="00496FB6" w:rsidR="00BC0BC0">
        <w:t> </w:t>
      </w:r>
      <w:r w:rsidRPr="00496FB6">
        <w:rPr>
          <w:rFonts w:cstheme="minorHAnsi"/>
        </w:rPr>
        <w:t>—</w:t>
      </w:r>
      <w:r w:rsidRPr="00496FB6" w:rsidR="004D236E">
        <w:rPr>
          <w:rFonts w:cstheme="minorHAnsi"/>
        </w:rPr>
        <w:t xml:space="preserve"> </w:t>
      </w:r>
      <w:r w:rsidRPr="00496FB6">
        <w:t>I don’t know</w:t>
      </w:r>
      <w:r w:rsidRPr="00496FB6" w:rsidR="00BC0BC0">
        <w:t> </w:t>
      </w:r>
      <w:r w:rsidRPr="00496FB6">
        <w:rPr>
          <w:rFonts w:cstheme="minorHAnsi"/>
        </w:rPr>
        <w:t>—</w:t>
      </w:r>
      <w:r w:rsidRPr="00496FB6" w:rsidR="004D236E">
        <w:rPr>
          <w:rFonts w:cstheme="minorHAnsi"/>
        </w:rPr>
        <w:t xml:space="preserve"> </w:t>
      </w:r>
      <w:r w:rsidRPr="00496FB6">
        <w:t xml:space="preserve">I </w:t>
      </w:r>
      <w:r w:rsidRPr="00496FB6">
        <w:t>haven</w:t>
      </w:r>
      <w:r w:rsidRPr="00496FB6" w:rsidR="00D96C79">
        <w:t>’</w:t>
      </w:r>
      <w:r w:rsidRPr="00496FB6">
        <w:t>t been through it before.  I don’t know really where my personal opinions can amount to [</w:t>
      </w:r>
      <w:r w:rsidRPr="00496FB6">
        <w:rPr>
          <w:i/>
          <w:iCs/>
        </w:rPr>
        <w:t>sic</w:t>
      </w:r>
      <w:r w:rsidRPr="00496FB6">
        <w:t>]</w:t>
      </w:r>
      <w:r w:rsidRPr="00496FB6" w:rsidR="00BC0BC0">
        <w:t xml:space="preserve">.  </w:t>
      </w:r>
      <w:r w:rsidRPr="00496FB6">
        <w:t>So can I say to you, no, I will never consider voting for death?  I</w:t>
      </w:r>
      <w:r w:rsidRPr="00496FB6" w:rsidR="00BC0BC0">
        <w:t> </w:t>
      </w:r>
      <w:r w:rsidRPr="00496FB6">
        <w:rPr>
          <w:rFonts w:cstheme="minorHAnsi"/>
        </w:rPr>
        <w:t>—</w:t>
      </w:r>
      <w:r w:rsidRPr="00496FB6" w:rsidR="003B1AAD">
        <w:rPr>
          <w:rFonts w:cstheme="minorHAnsi"/>
        </w:rPr>
        <w:t xml:space="preserve"> </w:t>
      </w:r>
      <w:r w:rsidRPr="00496FB6">
        <w:t>first of all, I don</w:t>
      </w:r>
      <w:r w:rsidRPr="00496FB6" w:rsidR="00D96C79">
        <w:t>’</w:t>
      </w:r>
      <w:r w:rsidRPr="00496FB6">
        <w:t xml:space="preserve">t think I can do it not having listened to any of the evidence, </w:t>
      </w:r>
      <w:r w:rsidRPr="00496FB6">
        <w:t xml:space="preserve">but I think it’s very unlikely. </w:t>
      </w:r>
      <w:r w:rsidR="005639EC">
        <w:t xml:space="preserve"> </w:t>
      </w:r>
      <w:r w:rsidRPr="00496FB6">
        <w:t>There was a question before that said would you be leaning one way or the other, I</w:t>
      </w:r>
      <w:r w:rsidRPr="00496FB6" w:rsidR="003B1AAD">
        <w:t>’</w:t>
      </w:r>
      <w:r w:rsidRPr="00496FB6">
        <w:t xml:space="preserve">d be leaning towards life.” </w:t>
      </w:r>
      <w:r w:rsidRPr="00496FB6" w:rsidR="001D1F2E">
        <w:t xml:space="preserve"> </w:t>
      </w:r>
    </w:p>
    <w:p w:rsidR="00DB1781" w:rsidRPr="00496FB6" w:rsidP="002D3099" w14:paraId="1920AE02" w14:textId="0CDCDA2D">
      <w:pPr>
        <w:ind w:firstLine="720"/>
        <w:rPr>
          <w:rFonts w:cstheme="minorHAnsi"/>
        </w:rPr>
      </w:pPr>
      <w:r w:rsidRPr="00496FB6">
        <w:t>In response, the prosecutor asked, “Is it fair to say that</w:t>
      </w:r>
      <w:r w:rsidRPr="00496FB6" w:rsidR="007F6BA7">
        <w:rPr>
          <w:rFonts w:cstheme="minorHAnsi"/>
        </w:rPr>
        <w:t xml:space="preserve"> . . . </w:t>
      </w:r>
      <w:r w:rsidRPr="00496FB6">
        <w:rPr>
          <w:rFonts w:cstheme="minorHAnsi"/>
        </w:rPr>
        <w:t>in almost all cases you</w:t>
      </w:r>
      <w:r w:rsidRPr="00496FB6" w:rsidR="007F6BA7">
        <w:rPr>
          <w:rFonts w:cstheme="minorHAnsi"/>
        </w:rPr>
        <w:t> . . </w:t>
      </w:r>
      <w:r w:rsidRPr="00496FB6" w:rsidR="007F6BA7">
        <w:rPr>
          <w:rFonts w:cstheme="minorHAnsi"/>
          <w:szCs w:val="26"/>
        </w:rPr>
        <w:t>.</w:t>
      </w:r>
      <w:r w:rsidRPr="00496FB6">
        <w:rPr>
          <w:rFonts w:cstheme="minorHAnsi"/>
          <w:szCs w:val="26"/>
        </w:rPr>
        <w:t xml:space="preserve"> </w:t>
      </w:r>
      <w:r w:rsidRPr="00496FB6" w:rsidR="00573C94">
        <w:rPr>
          <w:rFonts w:cstheme="minorHAnsi"/>
        </w:rPr>
        <w:t xml:space="preserve">could not </w:t>
      </w:r>
      <w:r w:rsidRPr="00496FB6">
        <w:rPr>
          <w:rFonts w:cstheme="minorHAnsi"/>
        </w:rPr>
        <w:t xml:space="preserve">find </w:t>
      </w:r>
      <w:r w:rsidRPr="00496FB6">
        <w:rPr>
          <w:rFonts w:cstheme="minorHAnsi"/>
        </w:rPr>
        <w:t xml:space="preserve">it appropriate to impose the death penalty?” </w:t>
      </w:r>
      <w:r w:rsidRPr="00496FB6" w:rsidR="001D1F2E">
        <w:rPr>
          <w:rFonts w:cstheme="minorHAnsi"/>
        </w:rPr>
        <w:t xml:space="preserve"> </w:t>
      </w:r>
      <w:r w:rsidRPr="00496FB6" w:rsidR="004D6588">
        <w:rPr>
          <w:rFonts w:cstheme="minorHAnsi"/>
        </w:rPr>
        <w:t>Prospective Juror No.</w:t>
      </w:r>
      <w:r w:rsidRPr="00496FB6" w:rsidR="00BC0BC0">
        <w:rPr>
          <w:rFonts w:cstheme="minorHAnsi"/>
        </w:rPr>
        <w:t> </w:t>
      </w:r>
      <w:r w:rsidRPr="00496FB6" w:rsidR="004D6588">
        <w:rPr>
          <w:rFonts w:cstheme="minorHAnsi"/>
        </w:rPr>
        <w:t>111</w:t>
      </w:r>
      <w:r w:rsidRPr="00496FB6">
        <w:rPr>
          <w:rFonts w:cstheme="minorHAnsi"/>
        </w:rPr>
        <w:t xml:space="preserve"> responded, “Yes.” </w:t>
      </w:r>
      <w:r w:rsidRPr="00496FB6" w:rsidR="001D1F2E">
        <w:rPr>
          <w:rFonts w:cstheme="minorHAnsi"/>
        </w:rPr>
        <w:t xml:space="preserve"> </w:t>
      </w:r>
    </w:p>
    <w:p w:rsidR="007C6499" w:rsidRPr="00496FB6" w:rsidP="002D3099" w14:paraId="383863D9" w14:textId="4F257BEB">
      <w:pPr>
        <w:ind w:firstLine="720"/>
        <w:rPr>
          <w:rFonts w:cstheme="minorHAnsi"/>
        </w:rPr>
      </w:pPr>
      <w:r w:rsidRPr="00496FB6">
        <w:rPr>
          <w:rFonts w:cstheme="minorHAnsi"/>
        </w:rPr>
        <w:t>The prosecutor asked, “[C]ould you find it appropriate in a case where there’s on</w:t>
      </w:r>
      <w:r w:rsidRPr="00496FB6" w:rsidR="00A22B52">
        <w:rPr>
          <w:rFonts w:cstheme="minorHAnsi"/>
        </w:rPr>
        <w:t>e</w:t>
      </w:r>
      <w:r w:rsidRPr="00496FB6">
        <w:rPr>
          <w:rFonts w:cstheme="minorHAnsi"/>
        </w:rPr>
        <w:t xml:space="preserve"> murder, one rape, one sodomy, and the special circumstances that you know about in this case that are charged, is that a case where you could, under</w:t>
      </w:r>
      <w:r w:rsidRPr="00496FB6" w:rsidR="00F61698">
        <w:t> </w:t>
      </w:r>
      <w:r w:rsidRPr="00496FB6">
        <w:rPr>
          <w:rFonts w:cstheme="minorHAnsi"/>
        </w:rPr>
        <w:t xml:space="preserve">— after weighing all the evidence from the court and applying the standards, is this a situation in which </w:t>
      </w:r>
      <w:r w:rsidRPr="00496FB6">
        <w:rPr>
          <w:rFonts w:cstheme="minorHAnsi"/>
        </w:rPr>
        <w:t xml:space="preserve">you could impose the death penalty?” </w:t>
      </w:r>
      <w:r w:rsidRPr="00496FB6" w:rsidR="001D1F2E">
        <w:rPr>
          <w:rFonts w:cstheme="minorHAnsi"/>
        </w:rPr>
        <w:t xml:space="preserve"> </w:t>
      </w:r>
    </w:p>
    <w:p w:rsidR="007C6499" w:rsidRPr="00496FB6" w:rsidP="002D3099" w14:paraId="59A1D144" w14:textId="70B665F5">
      <w:pPr>
        <w:ind w:firstLine="720"/>
      </w:pPr>
      <w:r w:rsidRPr="00496FB6">
        <w:rPr>
          <w:rFonts w:cstheme="minorHAnsi"/>
        </w:rPr>
        <w:t>After the trial court overruled an objection from the defense, t</w:t>
      </w:r>
      <w:r w:rsidRPr="00496FB6" w:rsidR="00FC0FF6">
        <w:rPr>
          <w:rFonts w:cstheme="minorHAnsi"/>
        </w:rPr>
        <w:t>h</w:t>
      </w:r>
      <w:r w:rsidRPr="00496FB6">
        <w:rPr>
          <w:rFonts w:cstheme="minorHAnsi"/>
        </w:rPr>
        <w:t>e prosecutor</w:t>
      </w:r>
      <w:r w:rsidRPr="00496FB6" w:rsidR="00FC0FF6">
        <w:rPr>
          <w:rFonts w:cstheme="minorHAnsi"/>
        </w:rPr>
        <w:t xml:space="preserve"> </w:t>
      </w:r>
      <w:r w:rsidRPr="00496FB6">
        <w:rPr>
          <w:rFonts w:cstheme="minorHAnsi"/>
        </w:rPr>
        <w:t>restated the question, asking, “Could you personally in a case</w:t>
      </w:r>
      <w:r w:rsidRPr="00496FB6" w:rsidR="00F61698">
        <w:rPr>
          <w:rFonts w:cstheme="minorHAnsi"/>
        </w:rPr>
        <w:t> </w:t>
      </w:r>
      <w:r w:rsidRPr="00496FB6">
        <w:rPr>
          <w:rFonts w:cstheme="minorHAnsi"/>
        </w:rPr>
        <w:t>— could you impose it?”</w:t>
      </w:r>
      <w:r w:rsidRPr="00496FB6">
        <w:t xml:space="preserve"> </w:t>
      </w:r>
      <w:r w:rsidRPr="00496FB6" w:rsidR="001D1F2E">
        <w:t xml:space="preserve"> </w:t>
      </w:r>
      <w:r w:rsidRPr="00496FB6" w:rsidR="004D6588">
        <w:t>Prospective Juror No.</w:t>
      </w:r>
      <w:r w:rsidRPr="00496FB6" w:rsidR="00F61698">
        <w:t> </w:t>
      </w:r>
      <w:r w:rsidRPr="00496FB6" w:rsidR="004D6588">
        <w:t>111</w:t>
      </w:r>
      <w:r w:rsidRPr="00496FB6">
        <w:t xml:space="preserve"> responded, “There’s a cha</w:t>
      </w:r>
      <w:r w:rsidRPr="00496FB6">
        <w:t xml:space="preserve">nce, yes.” </w:t>
      </w:r>
      <w:r w:rsidRPr="00496FB6" w:rsidR="001D1F2E">
        <w:t xml:space="preserve"> </w:t>
      </w:r>
    </w:p>
    <w:p w:rsidR="007C6499" w:rsidRPr="00496FB6" w:rsidP="002D3099" w14:paraId="2FE60841" w14:textId="4B44B138">
      <w:pPr>
        <w:ind w:firstLine="720"/>
      </w:pPr>
      <w:r w:rsidRPr="00496FB6">
        <w:t xml:space="preserve">After another prospective juror interjected to ask whether there were some </w:t>
      </w:r>
      <w:r w:rsidRPr="00496FB6" w:rsidR="007F6BA7">
        <w:t>“</w:t>
      </w:r>
      <w:r w:rsidRPr="00496FB6">
        <w:t>parameters or thresholds</w:t>
      </w:r>
      <w:r w:rsidR="009D5C3F">
        <w:t xml:space="preserve"> </w:t>
      </w:r>
      <w:r w:rsidRPr="00496FB6" w:rsidR="007F6BA7">
        <w:t>. . .</w:t>
      </w:r>
      <w:r w:rsidRPr="00496FB6">
        <w:t xml:space="preserve"> that would be used as a guideline,” the trial court provided a summary of the penalty phase of the trial, including </w:t>
      </w:r>
      <w:r w:rsidRPr="00496FB6" w:rsidR="00D96C79">
        <w:t xml:space="preserve">a description of how </w:t>
      </w:r>
      <w:r w:rsidRPr="00496FB6">
        <w:t xml:space="preserve">the </w:t>
      </w:r>
      <w:r w:rsidRPr="00496FB6" w:rsidR="00D641AC">
        <w:t>jury</w:t>
      </w:r>
      <w:r w:rsidRPr="00496FB6" w:rsidR="00D96C79">
        <w:t xml:space="preserve"> would be asked to </w:t>
      </w:r>
      <w:r w:rsidRPr="00496FB6">
        <w:t>consider</w:t>
      </w:r>
      <w:r w:rsidRPr="00496FB6" w:rsidR="00D96C79">
        <w:t xml:space="preserve"> </w:t>
      </w:r>
      <w:r w:rsidRPr="00496FB6">
        <w:t xml:space="preserve">evidence pertaining to potential aggravating and mitigating factors. </w:t>
      </w:r>
      <w:r w:rsidRPr="00496FB6" w:rsidR="001D1F2E">
        <w:t xml:space="preserve"> </w:t>
      </w:r>
    </w:p>
    <w:p w:rsidR="007C6499" w:rsidRPr="00496FB6" w:rsidP="002D3099" w14:paraId="5A1A8688" w14:textId="68821576">
      <w:pPr>
        <w:ind w:firstLine="720"/>
      </w:pPr>
      <w:r w:rsidRPr="00496FB6">
        <w:t xml:space="preserve">Thereafter, the prosecutor asked </w:t>
      </w:r>
      <w:r w:rsidRPr="00496FB6" w:rsidR="004D6588">
        <w:t>Prospective Juror No.</w:t>
      </w:r>
      <w:r w:rsidR="00396340">
        <w:t> </w:t>
      </w:r>
      <w:r w:rsidRPr="00496FB6" w:rsidR="004D6588">
        <w:t>111</w:t>
      </w:r>
      <w:r w:rsidRPr="00496FB6" w:rsidR="00D641AC">
        <w:t xml:space="preserve"> </w:t>
      </w:r>
      <w:r w:rsidRPr="00496FB6">
        <w:t xml:space="preserve">whether his opposition to the death penalty was </w:t>
      </w:r>
      <w:r w:rsidRPr="00496FB6" w:rsidR="00D45F87">
        <w:t xml:space="preserve">rooted in </w:t>
      </w:r>
      <w:r w:rsidRPr="00496FB6">
        <w:t xml:space="preserve">his religious beliefs. </w:t>
      </w:r>
      <w:r w:rsidRPr="00496FB6" w:rsidR="00586251">
        <w:t xml:space="preserve"> </w:t>
      </w:r>
      <w:r w:rsidRPr="00496FB6" w:rsidR="004D6588">
        <w:t>Prospective Juror No.</w:t>
      </w:r>
      <w:r w:rsidRPr="00496FB6" w:rsidR="00F61698">
        <w:t> </w:t>
      </w:r>
      <w:r w:rsidRPr="00496FB6" w:rsidR="004D6588">
        <w:t>111</w:t>
      </w:r>
      <w:r w:rsidRPr="00496FB6">
        <w:t xml:space="preserve"> responded: </w:t>
      </w:r>
      <w:r w:rsidRPr="00496FB6" w:rsidR="00F61698">
        <w:t xml:space="preserve"> </w:t>
      </w:r>
      <w:r w:rsidRPr="00496FB6">
        <w:t>“Yeah, I guess</w:t>
      </w:r>
      <w:r w:rsidRPr="00496FB6" w:rsidR="00D96C79">
        <w:t xml:space="preserve"> . . . </w:t>
      </w:r>
      <w:r w:rsidRPr="00496FB6">
        <w:t xml:space="preserve">I wouldn’t associate it with religion. </w:t>
      </w:r>
      <w:r w:rsidRPr="00496FB6" w:rsidR="00D45F87">
        <w:t xml:space="preserve"> </w:t>
      </w:r>
      <w:r w:rsidRPr="00496FB6">
        <w:t xml:space="preserve">It’s a belief.  So, if you want to call it religion, I guess </w:t>
      </w:r>
      <w:r w:rsidRPr="00496FB6" w:rsidR="0055645E">
        <w:t xml:space="preserve">can </w:t>
      </w:r>
      <w:r w:rsidRPr="00496FB6">
        <w:t>you call it religion.</w:t>
      </w:r>
      <w:r w:rsidRPr="00496FB6" w:rsidR="0055645E">
        <w:t xml:space="preserve">  (</w:t>
      </w:r>
      <w:r w:rsidRPr="00496FB6" w:rsidR="0055645E">
        <w:rPr>
          <w:i/>
          <w:iCs/>
        </w:rPr>
        <w:t>Sic</w:t>
      </w:r>
      <w:r w:rsidRPr="00496FB6" w:rsidR="0055645E">
        <w:t>.)</w:t>
      </w:r>
      <w:r w:rsidRPr="00496FB6">
        <w:t xml:space="preserve">  I just don</w:t>
      </w:r>
      <w:r w:rsidRPr="00496FB6" w:rsidR="00790B4C">
        <w:t>’</w:t>
      </w:r>
      <w:r w:rsidRPr="00496FB6">
        <w:t>t feel like I could ever possibly having [</w:t>
      </w:r>
      <w:r w:rsidRPr="00496FB6">
        <w:rPr>
          <w:i/>
          <w:iCs/>
        </w:rPr>
        <w:t>sic</w:t>
      </w:r>
      <w:r w:rsidRPr="00496FB6">
        <w:t xml:space="preserve">] </w:t>
      </w:r>
      <w:r w:rsidRPr="00496FB6">
        <w:t>enough</w:t>
      </w:r>
      <w:r w:rsidRPr="00496FB6" w:rsidR="00F61698">
        <w:t> </w:t>
      </w:r>
      <w:r w:rsidRPr="00496FB6">
        <w:rPr>
          <w:rFonts w:cstheme="minorHAnsi"/>
        </w:rPr>
        <w:t xml:space="preserve">— </w:t>
      </w:r>
      <w:r w:rsidRPr="00496FB6">
        <w:t>I’m not sure how to put it.”</w:t>
      </w:r>
      <w:r w:rsidRPr="00496FB6" w:rsidR="006E7F6A">
        <w:t xml:space="preserve">  </w:t>
      </w:r>
      <w:r w:rsidRPr="00496FB6">
        <w:t>“I mean</w:t>
      </w:r>
      <w:r w:rsidRPr="00496FB6" w:rsidR="00F61698">
        <w:t> </w:t>
      </w:r>
      <w:r w:rsidRPr="00496FB6" w:rsidR="00D45F87">
        <w:t xml:space="preserve">— </w:t>
      </w:r>
      <w:r w:rsidRPr="00496FB6">
        <w:t>yeah, okay, call it religion like you say.  It would preferably be something that God chooses whether someone should live or die as opposed to a human being making that choice for another human being.  I don</w:t>
      </w:r>
      <w:r w:rsidRPr="00496FB6">
        <w:t>’t think it is appropriate for .</w:t>
      </w:r>
      <w:r w:rsidRPr="00496FB6" w:rsidR="00D96C79">
        <w:t> </w:t>
      </w:r>
      <w:r w:rsidRPr="00496FB6">
        <w:t>.</w:t>
      </w:r>
      <w:r w:rsidRPr="00496FB6" w:rsidR="00D96C79">
        <w:t> </w:t>
      </w:r>
      <w:r w:rsidRPr="00496FB6">
        <w:t>.</w:t>
      </w:r>
      <w:r w:rsidR="00213470">
        <w:t> </w:t>
      </w:r>
      <w:r w:rsidRPr="00496FB6" w:rsidR="00EC7490">
        <w:t>.</w:t>
      </w:r>
      <w:r w:rsidRPr="00496FB6" w:rsidR="005E20F2">
        <w:t>”</w:t>
      </w:r>
      <w:r w:rsidRPr="00496FB6" w:rsidR="00A526A3">
        <w:t xml:space="preserve">  (</w:t>
      </w:r>
      <w:r w:rsidRPr="00496FB6" w:rsidR="00A526A3">
        <w:rPr>
          <w:i/>
          <w:iCs/>
        </w:rPr>
        <w:t>S</w:t>
      </w:r>
      <w:r w:rsidRPr="00496FB6" w:rsidR="006C6671">
        <w:rPr>
          <w:i/>
          <w:iCs/>
        </w:rPr>
        <w:t>ic</w:t>
      </w:r>
      <w:r w:rsidRPr="00496FB6" w:rsidR="005E20F2">
        <w:rPr>
          <w:i/>
          <w:iCs/>
        </w:rPr>
        <w:t>.</w:t>
      </w:r>
      <w:r w:rsidRPr="00496FB6" w:rsidR="00A526A3">
        <w:t>)</w:t>
      </w:r>
      <w:r w:rsidRPr="00496FB6">
        <w:t xml:space="preserve">  </w:t>
      </w:r>
    </w:p>
    <w:p w:rsidR="007C6499" w:rsidRPr="00496FB6" w:rsidP="002D3099" w14:paraId="48B38743" w14:textId="60A73204">
      <w:pPr>
        <w:ind w:firstLine="720"/>
      </w:pPr>
      <w:r w:rsidRPr="00496FB6">
        <w:t xml:space="preserve">Shortly thereafter, </w:t>
      </w:r>
      <w:r w:rsidRPr="00496FB6" w:rsidR="004D6588">
        <w:t>Prospective Juror No. 111</w:t>
      </w:r>
      <w:r w:rsidRPr="00496FB6">
        <w:t xml:space="preserve"> stated that he did not think he would ever have enough “wisdom” or “knowledge” to “feel qualified” to impose the death penalty. </w:t>
      </w:r>
      <w:r w:rsidRPr="00496FB6" w:rsidR="009B3710">
        <w:t xml:space="preserve"> </w:t>
      </w:r>
      <w:r w:rsidRPr="00496FB6">
        <w:t>The prosecutor be</w:t>
      </w:r>
      <w:r w:rsidRPr="00496FB6" w:rsidR="006E7F6A">
        <w:t>g</w:t>
      </w:r>
      <w:r w:rsidRPr="00496FB6">
        <w:t>an to ask abo</w:t>
      </w:r>
      <w:r w:rsidRPr="00496FB6">
        <w:t>ut the tension between</w:t>
      </w:r>
      <w:r w:rsidRPr="00496FB6" w:rsidR="006B4D86">
        <w:t xml:space="preserve"> </w:t>
      </w:r>
      <w:r w:rsidRPr="00496FB6" w:rsidR="004D6588">
        <w:t>Prospective Juror No. 111</w:t>
      </w:r>
      <w:r w:rsidRPr="00496FB6">
        <w:t xml:space="preserve">’s statement that he “could maybe impose the death penalty,” with </w:t>
      </w:r>
      <w:r w:rsidRPr="00496FB6" w:rsidR="00230302">
        <w:t>hi</w:t>
      </w:r>
      <w:r w:rsidRPr="00496FB6" w:rsidR="00415609">
        <w:t>s</w:t>
      </w:r>
      <w:r w:rsidRPr="00496FB6">
        <w:t xml:space="preserve"> statement that he would not have enough “wisdom” to </w:t>
      </w:r>
      <w:r w:rsidRPr="00496FB6" w:rsidR="00101141">
        <w:t xml:space="preserve">do </w:t>
      </w:r>
      <w:r w:rsidRPr="00496FB6">
        <w:t xml:space="preserve">so.  </w:t>
      </w:r>
    </w:p>
    <w:p w:rsidR="007C6499" w:rsidRPr="00496FB6" w:rsidP="002D3099" w14:paraId="2A5902A9" w14:textId="1194B55B">
      <w:pPr>
        <w:ind w:firstLine="720"/>
      </w:pPr>
      <w:r w:rsidRPr="00496FB6">
        <w:t>Prospective Juror No. 111 interjected:</w:t>
      </w:r>
      <w:r w:rsidRPr="00496FB6" w:rsidR="00F61698">
        <w:t xml:space="preserve"> </w:t>
      </w:r>
      <w:r w:rsidRPr="00496FB6">
        <w:t xml:space="preserve"> “So right now there’s a conflict between my civic duty and what I believe.  And so given a choice of how do I</w:t>
      </w:r>
      <w:r w:rsidRPr="00496FB6" w:rsidR="009E1C36">
        <w:t xml:space="preserve"> </w:t>
      </w:r>
      <w:r w:rsidRPr="00496FB6">
        <w:t>choose between those two things, it’s kind of one of those things I’m hoping that</w:t>
      </w:r>
      <w:r w:rsidR="009D5C3F">
        <w:t xml:space="preserve"> </w:t>
      </w:r>
      <w:r w:rsidRPr="00496FB6" w:rsidR="00173C8F">
        <w:t xml:space="preserve">. . . </w:t>
      </w:r>
      <w:r w:rsidRPr="00496FB6">
        <w:t>it doesn’t have to come down to that.  If it does come do</w:t>
      </w:r>
      <w:r w:rsidRPr="00496FB6">
        <w:t>wn to that, my belief is that I will follow my civic duty because it’s not</w:t>
      </w:r>
      <w:r w:rsidRPr="00496FB6" w:rsidR="00F61698">
        <w:t> </w:t>
      </w:r>
      <w:r w:rsidRPr="00496FB6" w:rsidR="00173C8F">
        <w:t xml:space="preserve">— </w:t>
      </w:r>
      <w:r w:rsidRPr="00496FB6">
        <w:t>in that case, I guess I justify the decision based on the fact it’s really not my moral choice, it’s my choice based on evidence and my civic duty to do this, and it’s not like I’</w:t>
      </w:r>
      <w:r w:rsidRPr="00496FB6">
        <w:t xml:space="preserve">m personally volunteering to go and decide whether someone should live or die.” </w:t>
      </w:r>
      <w:r w:rsidRPr="00496FB6" w:rsidR="00D96C79">
        <w:t xml:space="preserve"> </w:t>
      </w:r>
    </w:p>
    <w:p w:rsidR="009E3A65" w:rsidRPr="00496FB6" w:rsidP="002D3099" w14:paraId="34A58765" w14:textId="08E9B5F9">
      <w:pPr>
        <w:ind w:firstLine="720"/>
      </w:pPr>
      <w:r w:rsidRPr="00496FB6">
        <w:t>T</w:t>
      </w:r>
      <w:r w:rsidRPr="00496FB6" w:rsidR="003A3252">
        <w:t xml:space="preserve">he trial court </w:t>
      </w:r>
      <w:r w:rsidRPr="00496FB6">
        <w:t xml:space="preserve">subsequently </w:t>
      </w:r>
      <w:r w:rsidRPr="00496FB6" w:rsidR="003A3252">
        <w:t>analogized the determination of whether to impose the death penalty to passing through a funnel</w:t>
      </w:r>
      <w:r w:rsidRPr="00496FB6" w:rsidR="00196975">
        <w:t>.  The court stated</w:t>
      </w:r>
      <w:r w:rsidRPr="00496FB6" w:rsidR="00250743">
        <w:t>:</w:t>
      </w:r>
      <w:r w:rsidRPr="00496FB6" w:rsidR="003E1FB7">
        <w:t xml:space="preserve"> </w:t>
      </w:r>
      <w:r w:rsidRPr="00496FB6" w:rsidR="00F61698">
        <w:t xml:space="preserve"> </w:t>
      </w:r>
      <w:r w:rsidRPr="00496FB6" w:rsidR="003E1FB7">
        <w:t>“I told you that if you determined, personally,</w:t>
      </w:r>
      <w:r w:rsidRPr="00496FB6" w:rsidR="0055645E">
        <w:t xml:space="preserve"> you</w:t>
      </w:r>
      <w:r w:rsidRPr="00496FB6" w:rsidR="003E1FB7">
        <w:t xml:space="preserve"> by yourself, because everybody’s going to make up the</w:t>
      </w:r>
      <w:r w:rsidRPr="00496FB6" w:rsidR="001D2F40">
        <w:t>ir</w:t>
      </w:r>
      <w:r w:rsidRPr="00496FB6" w:rsidR="003E1FB7">
        <w:t xml:space="preserve"> own mind on this, if you determine personally that the aggravating circumstances that you heard evidence </w:t>
      </w:r>
      <w:r w:rsidRPr="00496FB6" w:rsidR="0055645E">
        <w:t xml:space="preserve">on </w:t>
      </w:r>
      <w:r w:rsidRPr="00496FB6" w:rsidR="003E1FB7">
        <w:t>are so substantial in comparison with the mitigating circumstances that it warrants a sentence of death, then and under those circumstances the law allows you to vote for a sentence of death.  It doesn’t command it, but it allows you to.  Let’s call that the funnel</w:t>
      </w:r>
      <w:r w:rsidRPr="00496FB6" w:rsidR="0055645E">
        <w:t xml:space="preserve"> that</w:t>
      </w:r>
      <w:r w:rsidRPr="00496FB6" w:rsidR="003E1FB7">
        <w:t xml:space="preserve"> you have to go through to get to that.  You feel the funnel would be made narrower because of your personal reluctance to impose </w:t>
      </w:r>
      <w:r w:rsidRPr="00496FB6" w:rsidR="0055645E">
        <w:t>that</w:t>
      </w:r>
      <w:r w:rsidRPr="00496FB6" w:rsidR="003E1FB7">
        <w:t xml:space="preserve">?” </w:t>
      </w:r>
      <w:r w:rsidRPr="00496FB6" w:rsidR="001D1F2E">
        <w:t xml:space="preserve"> </w:t>
      </w:r>
      <w:r w:rsidRPr="00496FB6" w:rsidR="004D6588">
        <w:t>Prospective Juror No.</w:t>
      </w:r>
      <w:r w:rsidRPr="00496FB6" w:rsidR="00F61698">
        <w:t> </w:t>
      </w:r>
      <w:r w:rsidRPr="00496FB6" w:rsidR="004D6588">
        <w:t>111</w:t>
      </w:r>
      <w:r w:rsidRPr="00496FB6" w:rsidR="009571AC">
        <w:t xml:space="preserve"> responded</w:t>
      </w:r>
      <w:r w:rsidRPr="00496FB6" w:rsidR="006214CC">
        <w:t xml:space="preserve">, “I guess, maybe the answer to your question is yes, because when I look at this case and the sum total of </w:t>
      </w:r>
      <w:r w:rsidRPr="00496FB6" w:rsidR="0055645E">
        <w:t xml:space="preserve">the </w:t>
      </w:r>
      <w:r w:rsidRPr="00496FB6" w:rsidR="006214CC">
        <w:t>charges that are on the table,</w:t>
      </w:r>
      <w:r w:rsidRPr="00496FB6" w:rsidR="00994559">
        <w:t xml:space="preserve"> .</w:t>
      </w:r>
      <w:r w:rsidRPr="00496FB6" w:rsidR="00D96C79">
        <w:t> </w:t>
      </w:r>
      <w:r w:rsidRPr="00496FB6" w:rsidR="00994559">
        <w:t>.</w:t>
      </w:r>
      <w:r w:rsidRPr="00496FB6" w:rsidR="00D96C79">
        <w:t> </w:t>
      </w:r>
      <w:r w:rsidRPr="00496FB6" w:rsidR="00994559">
        <w:t>.</w:t>
      </w:r>
      <w:r w:rsidRPr="00496FB6" w:rsidR="00D96C79">
        <w:t xml:space="preserve"> </w:t>
      </w:r>
      <w:r w:rsidRPr="00496FB6" w:rsidR="0055645E">
        <w:t xml:space="preserve">I </w:t>
      </w:r>
      <w:r w:rsidRPr="00496FB6" w:rsidR="00994559">
        <w:t>think that</w:t>
      </w:r>
      <w:r w:rsidRPr="00496FB6" w:rsidR="0055645E">
        <w:t xml:space="preserve"> that</w:t>
      </w:r>
      <w:r w:rsidRPr="00496FB6" w:rsidR="00994559">
        <w:t xml:space="preserve"> is going to be .</w:t>
      </w:r>
      <w:r w:rsidRPr="00496FB6" w:rsidR="00D96C79">
        <w:t> </w:t>
      </w:r>
      <w:r w:rsidRPr="00496FB6" w:rsidR="00994559">
        <w:t>.</w:t>
      </w:r>
      <w:r w:rsidRPr="00496FB6" w:rsidR="00D96C79">
        <w:t> </w:t>
      </w:r>
      <w:r w:rsidRPr="00496FB6" w:rsidR="00994559">
        <w:t>. a v</w:t>
      </w:r>
      <w:r w:rsidRPr="00496FB6" w:rsidR="009E1C36">
        <w:t>e</w:t>
      </w:r>
      <w:r w:rsidRPr="00496FB6" w:rsidR="00994559">
        <w:t xml:space="preserve">ry narrow funnel.” </w:t>
      </w:r>
      <w:r w:rsidRPr="00496FB6" w:rsidR="0071758B">
        <w:t xml:space="preserve"> </w:t>
      </w:r>
    </w:p>
    <w:p w:rsidR="00E70751" w:rsidRPr="00496FB6" w:rsidP="002D3099" w14:paraId="19065515" w14:textId="5BDA0FF3">
      <w:pPr>
        <w:ind w:firstLine="720"/>
      </w:pPr>
      <w:r w:rsidRPr="00496FB6">
        <w:t>The</w:t>
      </w:r>
      <w:r w:rsidRPr="00496FB6" w:rsidR="00235D3F">
        <w:t xml:space="preserve"> trial court </w:t>
      </w:r>
      <w:r w:rsidRPr="00496FB6" w:rsidR="00DB2017">
        <w:t>stated</w:t>
      </w:r>
      <w:r w:rsidRPr="00496FB6" w:rsidR="005C5E8E">
        <w:t>:</w:t>
      </w:r>
      <w:r w:rsidRPr="00496FB6" w:rsidR="00235D3F">
        <w:t xml:space="preserve"> </w:t>
      </w:r>
      <w:r w:rsidRPr="00496FB6" w:rsidR="00F61698">
        <w:t xml:space="preserve"> </w:t>
      </w:r>
      <w:r w:rsidRPr="00496FB6" w:rsidR="00235D3F">
        <w:t>“</w:t>
      </w:r>
      <w:r w:rsidRPr="00496FB6" w:rsidR="001E6E61">
        <w:t>So, what I think I just heard you say, correct me if I</w:t>
      </w:r>
      <w:r w:rsidRPr="00496FB6" w:rsidR="009C14FE">
        <w:t>’</w:t>
      </w:r>
      <w:r w:rsidRPr="00496FB6" w:rsidR="001E6E61">
        <w:t>m wrong, is that when you get</w:t>
      </w:r>
      <w:r w:rsidRPr="00496FB6" w:rsidR="00F61698">
        <w:t> </w:t>
      </w:r>
      <w:r w:rsidRPr="00496FB6" w:rsidR="001E6E61">
        <w:t>—</w:t>
      </w:r>
      <w:r w:rsidRPr="00496FB6" w:rsidR="009C14FE">
        <w:t xml:space="preserve"> </w:t>
      </w:r>
      <w:r w:rsidRPr="00496FB6" w:rsidR="001E6E61">
        <w:t>if you were to arrive at this point, based on the evidence in this case, that under law [</w:t>
      </w:r>
      <w:r w:rsidRPr="00496FB6" w:rsidR="001E6E61">
        <w:rPr>
          <w:i/>
          <w:iCs/>
        </w:rPr>
        <w:t>sic</w:t>
      </w:r>
      <w:r w:rsidRPr="00496FB6" w:rsidR="001E6E61">
        <w:t>] you could see your way clear to the option of voting for death penalty</w:t>
      </w:r>
      <w:r w:rsidRPr="00496FB6" w:rsidR="00101141">
        <w:t xml:space="preserve"> [</w:t>
      </w:r>
      <w:r w:rsidRPr="00496FB6" w:rsidR="00101141">
        <w:rPr>
          <w:i/>
          <w:iCs/>
        </w:rPr>
        <w:t>sic</w:t>
      </w:r>
      <w:r w:rsidRPr="00496FB6" w:rsidR="00101141">
        <w:t>]</w:t>
      </w:r>
      <w:r w:rsidRPr="00496FB6" w:rsidR="001E6E61">
        <w:t>, your mind would then add to the equation but I</w:t>
      </w:r>
      <w:r w:rsidRPr="00496FB6" w:rsidR="00857E92">
        <w:t>’</w:t>
      </w:r>
      <w:r w:rsidRPr="00496FB6" w:rsidR="001E6E61">
        <w:t>m not for this at all, and on that ground I</w:t>
      </w:r>
      <w:r w:rsidRPr="00496FB6" w:rsidR="00F61698">
        <w:t> </w:t>
      </w:r>
      <w:r w:rsidRPr="00496FB6" w:rsidR="001E6E61">
        <w:t>— that</w:t>
      </w:r>
      <w:r w:rsidRPr="00496FB6" w:rsidR="009C14FE">
        <w:t>’</w:t>
      </w:r>
      <w:r w:rsidRPr="00496FB6" w:rsidR="001E6E61">
        <w:t xml:space="preserve">s reversing everything that would otherwise do. </w:t>
      </w:r>
      <w:r w:rsidRPr="00496FB6" w:rsidR="009C14FE">
        <w:t xml:space="preserve"> </w:t>
      </w:r>
      <w:r w:rsidRPr="00496FB6" w:rsidR="001E6E61">
        <w:t>I</w:t>
      </w:r>
      <w:r w:rsidRPr="00496FB6" w:rsidR="00D96C79">
        <w:t>’</w:t>
      </w:r>
      <w:r w:rsidRPr="00496FB6" w:rsidR="001E6E61">
        <w:t xml:space="preserve">m going to go the other way. </w:t>
      </w:r>
      <w:r w:rsidRPr="00496FB6" w:rsidR="009C14FE">
        <w:t xml:space="preserve"> </w:t>
      </w:r>
      <w:r w:rsidRPr="00496FB6" w:rsidR="001E6E61">
        <w:t>I</w:t>
      </w:r>
      <w:r w:rsidRPr="00496FB6" w:rsidR="001A1F97">
        <w:t>’</w:t>
      </w:r>
      <w:r w:rsidRPr="00496FB6" w:rsidR="001E6E61">
        <w:t>ve narrowed the funnel towards the possibility of death by my personal belief.</w:t>
      </w:r>
      <w:r w:rsidRPr="00496FB6" w:rsidR="001A1F97">
        <w:t xml:space="preserve">” </w:t>
      </w:r>
      <w:r w:rsidRPr="00496FB6" w:rsidR="009B5CF6">
        <w:t xml:space="preserve"> </w:t>
      </w:r>
      <w:r w:rsidRPr="00496FB6" w:rsidR="00330D92">
        <w:t>T</w:t>
      </w:r>
      <w:r w:rsidRPr="00496FB6" w:rsidR="001A1F97">
        <w:t xml:space="preserve">he trial court </w:t>
      </w:r>
      <w:r w:rsidRPr="00496FB6" w:rsidR="00330D92">
        <w:t>added</w:t>
      </w:r>
      <w:r w:rsidRPr="00496FB6" w:rsidR="001A1F97">
        <w:t xml:space="preserve">, </w:t>
      </w:r>
      <w:r w:rsidRPr="00496FB6" w:rsidR="002B3099">
        <w:t>“I’m simply</w:t>
      </w:r>
      <w:r w:rsidR="009D5C3F">
        <w:t xml:space="preserve"> </w:t>
      </w:r>
      <w:r w:rsidRPr="00496FB6" w:rsidR="00D96C79">
        <w:t>.</w:t>
      </w:r>
      <w:r w:rsidRPr="00496FB6" w:rsidR="00F61698">
        <w:t> </w:t>
      </w:r>
      <w:r w:rsidRPr="00496FB6" w:rsidR="00D96C79">
        <w:t>.</w:t>
      </w:r>
      <w:r w:rsidRPr="00496FB6" w:rsidR="00F61698">
        <w:t> </w:t>
      </w:r>
      <w:r w:rsidRPr="00496FB6" w:rsidR="00D96C79">
        <w:t xml:space="preserve">. </w:t>
      </w:r>
      <w:r w:rsidRPr="00496FB6" w:rsidR="002B3099">
        <w:t>asking you, sir, to put in the equation, if you wish, your personal feelings, your opposition to the death penalty, and</w:t>
      </w:r>
      <w:r w:rsidRPr="00496FB6" w:rsidR="0055645E">
        <w:t>,</w:t>
      </w:r>
      <w:r w:rsidRPr="00496FB6" w:rsidR="002B3099">
        <w:t xml:space="preserve"> obviously, the overall thrust of my question is whether you feel it would interfere with your ability to consider the options at either end.”  </w:t>
      </w:r>
    </w:p>
    <w:p w:rsidR="00DC27DD" w:rsidRPr="00496FB6" w:rsidP="002D3099" w14:paraId="4409CC1F" w14:textId="3AA8D24D">
      <w:pPr>
        <w:pStyle w:val="NormalIndent"/>
        <w:ind w:left="0" w:firstLine="720"/>
      </w:pPr>
      <w:r w:rsidRPr="00496FB6">
        <w:t xml:space="preserve">After stating he was not trying to be evasive, </w:t>
      </w:r>
      <w:r w:rsidRPr="00496FB6" w:rsidR="004D6588">
        <w:t>Prospective Juror No. 111</w:t>
      </w:r>
      <w:r w:rsidRPr="00496FB6">
        <w:t xml:space="preserve"> </w:t>
      </w:r>
      <w:r w:rsidRPr="00496FB6" w:rsidR="00925C21">
        <w:t>responded</w:t>
      </w:r>
      <w:r w:rsidRPr="00496FB6">
        <w:t xml:space="preserve">, </w:t>
      </w:r>
      <w:r w:rsidRPr="00496FB6" w:rsidR="00925C21">
        <w:t xml:space="preserve">“I guess when you say aggravating and mitigating factors, I guess my answer is the bar is going to be higher in terms of the need for substantial aggravating circumstances.” </w:t>
      </w:r>
      <w:r w:rsidRPr="00496FB6" w:rsidR="00413C41">
        <w:t xml:space="preserve"> </w:t>
      </w:r>
      <w:r w:rsidRPr="00496FB6" w:rsidR="005B03FB">
        <w:t xml:space="preserve">The trial court responded, “Because of </w:t>
      </w:r>
      <w:r w:rsidRPr="00496FB6" w:rsidR="00554662">
        <w:t>your </w:t>
      </w:r>
      <w:r w:rsidRPr="00496FB6" w:rsidR="004A4E98">
        <w:t xml:space="preserve">—” </w:t>
      </w:r>
      <w:r w:rsidRPr="00496FB6" w:rsidR="00FF75B7">
        <w:t xml:space="preserve"> </w:t>
      </w:r>
      <w:r w:rsidRPr="00496FB6" w:rsidR="004D6588">
        <w:t>Prospective Juror No. 111</w:t>
      </w:r>
      <w:r w:rsidRPr="00496FB6">
        <w:t xml:space="preserve"> interjected, </w:t>
      </w:r>
      <w:r w:rsidRPr="00496FB6">
        <w:t>“</w:t>
      </w:r>
      <w:r w:rsidRPr="00496FB6" w:rsidR="00D1129E">
        <w:t>W</w:t>
      </w:r>
      <w:r w:rsidRPr="00496FB6">
        <w:t>ell, yes</w:t>
      </w:r>
      <w:r w:rsidRPr="00496FB6" w:rsidR="00D1129E">
        <w:t>.</w:t>
      </w:r>
      <w:r w:rsidRPr="00496FB6">
        <w:t>”</w:t>
      </w:r>
      <w:r w:rsidRPr="00496FB6" w:rsidR="00FA5F3E">
        <w:t xml:space="preserve"> </w:t>
      </w:r>
      <w:r w:rsidRPr="00496FB6" w:rsidR="00FF75B7">
        <w:t xml:space="preserve"> </w:t>
      </w:r>
      <w:r w:rsidRPr="00496FB6" w:rsidR="00D1129E">
        <w:t xml:space="preserve">And, </w:t>
      </w:r>
      <w:r w:rsidRPr="00496FB6" w:rsidR="00FA5F3E">
        <w:t xml:space="preserve">the trial court </w:t>
      </w:r>
      <w:r w:rsidRPr="00496FB6" w:rsidR="00D96C79">
        <w:t>added</w:t>
      </w:r>
      <w:r w:rsidRPr="00496FB6" w:rsidR="00FA5F3E">
        <w:t xml:space="preserve">, “I understand that analogy.” </w:t>
      </w:r>
      <w:r w:rsidRPr="00496FB6" w:rsidR="00FF75B7">
        <w:t xml:space="preserve"> </w:t>
      </w:r>
    </w:p>
    <w:p w:rsidR="000976C7" w:rsidRPr="00496FB6" w:rsidP="002D3099" w14:paraId="13688A3C" w14:textId="7338AC2F">
      <w:pPr>
        <w:pStyle w:val="NormalIndent"/>
        <w:ind w:left="0" w:firstLine="720"/>
      </w:pPr>
      <w:r w:rsidRPr="00496FB6">
        <w:t xml:space="preserve">Defense counsel </w:t>
      </w:r>
      <w:r w:rsidRPr="00496FB6" w:rsidR="00F76116">
        <w:t xml:space="preserve">then </w:t>
      </w:r>
      <w:r w:rsidRPr="00496FB6">
        <w:t xml:space="preserve">questioned </w:t>
      </w:r>
      <w:r w:rsidRPr="00496FB6" w:rsidR="004D6588">
        <w:t>Prospective Juror No.</w:t>
      </w:r>
      <w:r w:rsidR="009D1D96">
        <w:t> </w:t>
      </w:r>
      <w:r w:rsidRPr="00496FB6" w:rsidR="004D6588">
        <w:t>111</w:t>
      </w:r>
      <w:r w:rsidRPr="00496FB6">
        <w:t xml:space="preserve"> regarding the conflict between his moral judgment and his civic duty</w:t>
      </w:r>
      <w:r w:rsidRPr="00496FB6" w:rsidR="00F76116">
        <w:t>, observing, for example, that</w:t>
      </w:r>
      <w:r w:rsidRPr="00496FB6">
        <w:t>, “</w:t>
      </w:r>
      <w:r w:rsidRPr="00496FB6" w:rsidR="003E2B36">
        <w:t>[I]</w:t>
      </w:r>
      <w:r w:rsidRPr="00496FB6">
        <w:t xml:space="preserve">t sounds to me like civic duty is very important to you, because in the end that trumps over what you would </w:t>
      </w:r>
      <w:r w:rsidRPr="00496FB6" w:rsidR="004E663C">
        <w:t>do</w:t>
      </w:r>
      <w:r w:rsidRPr="00496FB6">
        <w:t xml:space="preserve"> necessarily</w:t>
      </w:r>
      <w:r w:rsidRPr="00496FB6" w:rsidR="004E663C">
        <w:t>.</w:t>
      </w:r>
      <w:r w:rsidRPr="00496FB6">
        <w:t>”</w:t>
      </w:r>
      <w:r w:rsidRPr="00496FB6" w:rsidR="004E663C">
        <w:t xml:space="preserve">  </w:t>
      </w:r>
      <w:r w:rsidRPr="00496FB6" w:rsidR="004D6588">
        <w:t>Prospective Juror No. 111</w:t>
      </w:r>
      <w:r w:rsidRPr="00496FB6">
        <w:t xml:space="preserve"> </w:t>
      </w:r>
      <w:r w:rsidRPr="00496FB6" w:rsidR="00D96C79">
        <w:t>replied</w:t>
      </w:r>
      <w:r w:rsidRPr="00496FB6">
        <w:t xml:space="preserve">, “Fair.” </w:t>
      </w:r>
      <w:r w:rsidRPr="00496FB6" w:rsidR="00D96C79">
        <w:t xml:space="preserve"> </w:t>
      </w:r>
    </w:p>
    <w:p w:rsidR="00AA39CC" w:rsidRPr="00496FB6" w:rsidP="002D3099" w14:paraId="2913ED1A" w14:textId="62039DA7">
      <w:pPr>
        <w:pStyle w:val="NormalIndent"/>
        <w:ind w:left="0" w:firstLine="720"/>
      </w:pPr>
      <w:r w:rsidRPr="00496FB6">
        <w:t>D</w:t>
      </w:r>
      <w:r w:rsidRPr="00496FB6" w:rsidR="000976C7">
        <w:t xml:space="preserve">efense counsel </w:t>
      </w:r>
      <w:r w:rsidRPr="00496FB6">
        <w:t xml:space="preserve">also </w:t>
      </w:r>
      <w:r w:rsidRPr="00496FB6" w:rsidR="000976C7">
        <w:t xml:space="preserve">asked, “So the </w:t>
      </w:r>
      <w:r w:rsidR="00E67895">
        <w:t>[c]</w:t>
      </w:r>
      <w:r w:rsidRPr="00496FB6" w:rsidR="000976C7">
        <w:t>ourt talked about this narrowing funnel, so to speak, of the charges that you know about, but if there were additional aggravators, then that might sort of reo</w:t>
      </w:r>
      <w:r w:rsidRPr="00496FB6" w:rsidR="00DD7D5C">
        <w:t>p</w:t>
      </w:r>
      <w:r w:rsidRPr="00496FB6" w:rsidR="000976C7">
        <w:t>en the funnel to some degree; is that fair</w:t>
      </w:r>
      <w:r w:rsidRPr="00496FB6" w:rsidR="00725E4F">
        <w:t>?</w:t>
      </w:r>
      <w:r w:rsidRPr="00496FB6" w:rsidR="000976C7">
        <w:t xml:space="preserve">”  </w:t>
      </w:r>
      <w:r w:rsidRPr="00496FB6" w:rsidR="004D6588">
        <w:t>Prospective Juror No. 111</w:t>
      </w:r>
      <w:r w:rsidRPr="00496FB6" w:rsidR="000976C7">
        <w:t xml:space="preserve"> responded, “That</w:t>
      </w:r>
      <w:r w:rsidRPr="00496FB6" w:rsidR="004E663C">
        <w:t>’</w:t>
      </w:r>
      <w:r w:rsidRPr="00496FB6" w:rsidR="000976C7">
        <w:t xml:space="preserve">s fair.” </w:t>
      </w:r>
      <w:r w:rsidRPr="00496FB6" w:rsidR="00DD7D5C">
        <w:t xml:space="preserve"> </w:t>
      </w:r>
      <w:r w:rsidRPr="00496FB6" w:rsidR="00DC7B38">
        <w:t>D</w:t>
      </w:r>
      <w:r w:rsidRPr="00496FB6" w:rsidR="000976C7">
        <w:t xml:space="preserve">efense counsel asked, “And it sounds to me like </w:t>
      </w:r>
      <w:r w:rsidRPr="00496FB6" w:rsidR="00725E4F">
        <w:t xml:space="preserve">. . . </w:t>
      </w:r>
      <w:r w:rsidRPr="00496FB6" w:rsidR="000976C7">
        <w:t>though it would be difficult, you can impose the death penalty in this case potentially</w:t>
      </w:r>
      <w:r w:rsidRPr="00496FB6" w:rsidR="00725E4F">
        <w:t>?</w:t>
      </w:r>
      <w:r w:rsidRPr="00496FB6" w:rsidR="000976C7">
        <w:t xml:space="preserve">” </w:t>
      </w:r>
      <w:r w:rsidRPr="00496FB6" w:rsidR="00725E4F">
        <w:t xml:space="preserve"> </w:t>
      </w:r>
      <w:r w:rsidRPr="00496FB6" w:rsidR="004D6588">
        <w:t>Prospective Juror No.</w:t>
      </w:r>
      <w:r w:rsidRPr="00496FB6" w:rsidR="001B69C6">
        <w:t> </w:t>
      </w:r>
      <w:r w:rsidRPr="00496FB6" w:rsidR="004D6588">
        <w:t>111</w:t>
      </w:r>
      <w:r w:rsidRPr="00496FB6" w:rsidR="000976C7">
        <w:t xml:space="preserve"> answered, “That’s</w:t>
      </w:r>
      <w:r w:rsidRPr="00496FB6" w:rsidR="001B69C6">
        <w:t> </w:t>
      </w:r>
      <w:r w:rsidRPr="00496FB6" w:rsidR="000976C7">
        <w:rPr>
          <w:rFonts w:cstheme="minorHAnsi"/>
        </w:rPr>
        <w:t xml:space="preserve">— </w:t>
      </w:r>
      <w:r w:rsidRPr="00496FB6" w:rsidR="000976C7">
        <w:t xml:space="preserve">that’s right.  I said that and that’s what I believe.  It’s not that I can look at you and say I’ve done it before.  If I’ve done it before, I can say with certainty yes, that’s how I feel now.”  </w:t>
      </w:r>
    </w:p>
    <w:p w:rsidR="00413C41" w:rsidRPr="00496FB6" w:rsidP="002D3099" w14:paraId="06D20A87" w14:textId="28DC2E61">
      <w:pPr>
        <w:pStyle w:val="NormalIndent"/>
        <w:ind w:left="0" w:firstLine="720"/>
      </w:pPr>
      <w:r w:rsidRPr="00496FB6">
        <w:t xml:space="preserve">The prosecutor challenged </w:t>
      </w:r>
      <w:r w:rsidRPr="00496FB6" w:rsidR="004D6588">
        <w:t>Prospective Juror No. 111</w:t>
      </w:r>
      <w:r w:rsidRPr="00496FB6">
        <w:t xml:space="preserve"> for cau</w:t>
      </w:r>
      <w:r w:rsidRPr="00496FB6">
        <w:t xml:space="preserve">se </w:t>
      </w:r>
      <w:r w:rsidRPr="00496FB6" w:rsidR="00767105">
        <w:t>on the ground that his</w:t>
      </w:r>
      <w:r w:rsidRPr="00496FB6" w:rsidR="00445D9B">
        <w:t xml:space="preserve"> </w:t>
      </w:r>
      <w:r w:rsidRPr="00496FB6">
        <w:t xml:space="preserve">questionnaire and voir dire responses demonstrated that his personal beliefs would substantially impair his ability to serve as a capital juror. </w:t>
      </w:r>
      <w:r w:rsidRPr="00496FB6" w:rsidR="00DA4C94">
        <w:t xml:space="preserve"> </w:t>
      </w:r>
      <w:r w:rsidRPr="00496FB6" w:rsidR="00767105">
        <w:t xml:space="preserve">Over defense counsel’s objection, </w:t>
      </w:r>
      <w:r w:rsidRPr="00496FB6" w:rsidR="00574196">
        <w:t>t</w:t>
      </w:r>
      <w:r w:rsidRPr="00496FB6">
        <w:t xml:space="preserve">he trial court </w:t>
      </w:r>
      <w:r w:rsidRPr="00496FB6" w:rsidR="00767105">
        <w:t xml:space="preserve">granted </w:t>
      </w:r>
      <w:r w:rsidRPr="00496FB6">
        <w:t>the prosecutor’s challenge</w:t>
      </w:r>
      <w:r w:rsidRPr="00496FB6">
        <w:t xml:space="preserve"> and </w:t>
      </w:r>
      <w:r w:rsidRPr="00496FB6" w:rsidR="00767105">
        <w:t xml:space="preserve">dismissed </w:t>
      </w:r>
      <w:r w:rsidRPr="00496FB6" w:rsidR="004D6588">
        <w:t>Prospective Juror No.</w:t>
      </w:r>
      <w:r w:rsidRPr="00496FB6" w:rsidR="001B69C6">
        <w:t> </w:t>
      </w:r>
      <w:r w:rsidRPr="00496FB6" w:rsidR="004D6588">
        <w:t>111</w:t>
      </w:r>
      <w:r w:rsidRPr="00496FB6">
        <w:t xml:space="preserve">. </w:t>
      </w:r>
      <w:r w:rsidRPr="00496FB6" w:rsidR="00D96C79">
        <w:t xml:space="preserve"> </w:t>
      </w:r>
      <w:r w:rsidRPr="00496FB6">
        <w:t>After discussing</w:t>
      </w:r>
      <w:r w:rsidRPr="00496FB6" w:rsidR="00725E4F">
        <w:t xml:space="preserve"> a few of</w:t>
      </w:r>
      <w:r w:rsidRPr="00496FB6">
        <w:t xml:space="preserve"> the prospective juror’s questionnaire responses and the court’s notes </w:t>
      </w:r>
      <w:r w:rsidRPr="00496FB6" w:rsidR="00825A74">
        <w:t>concerning</w:t>
      </w:r>
      <w:r w:rsidRPr="00496FB6" w:rsidR="00725E4F">
        <w:t xml:space="preserve"> several of the prospective juror’s</w:t>
      </w:r>
      <w:r w:rsidRPr="00496FB6">
        <w:t xml:space="preserve"> voir dire responses, the trial court </w:t>
      </w:r>
      <w:r w:rsidRPr="00496FB6" w:rsidR="007118FF">
        <w:t>ultimately concluded</w:t>
      </w:r>
      <w:r w:rsidRPr="00496FB6" w:rsidR="00467B1D">
        <w:t xml:space="preserve"> that </w:t>
      </w:r>
      <w:r w:rsidRPr="00496FB6" w:rsidR="004D6588">
        <w:t>Prospective Juror No. 111</w:t>
      </w:r>
      <w:r w:rsidRPr="00496FB6" w:rsidR="00467B1D">
        <w:t>’s</w:t>
      </w:r>
      <w:r w:rsidRPr="00496FB6">
        <w:t xml:space="preserve"> </w:t>
      </w:r>
      <w:r w:rsidRPr="00496FB6" w:rsidR="00467B1D">
        <w:t>“</w:t>
      </w:r>
      <w:r w:rsidRPr="00496FB6">
        <w:t>personal beliefs</w:t>
      </w:r>
      <w:r w:rsidRPr="00496FB6" w:rsidR="00467B1D">
        <w:t> </w:t>
      </w:r>
      <w:r w:rsidRPr="00496FB6">
        <w:t>.</w:t>
      </w:r>
      <w:r w:rsidRPr="00496FB6" w:rsidR="00725E4F">
        <w:t> </w:t>
      </w:r>
      <w:r w:rsidRPr="00496FB6">
        <w:t>.</w:t>
      </w:r>
      <w:r w:rsidRPr="00496FB6" w:rsidR="00725E4F">
        <w:t> </w:t>
      </w:r>
      <w:r w:rsidRPr="00496FB6">
        <w:t xml:space="preserve">. would result in him being unable to follow the law and impair his ability to accept the responsibilities for this case.”  </w:t>
      </w:r>
    </w:p>
    <w:p w:rsidR="009E253A" w:rsidRPr="00496FB6" w:rsidP="008D707F" w14:paraId="0B626B23" w14:textId="647F984E">
      <w:pPr>
        <w:pStyle w:val="Heading3"/>
        <w:tabs>
          <w:tab w:val="clear" w:pos="1584"/>
        </w:tabs>
      </w:pPr>
      <w:bookmarkStart w:id="30" w:name="_Toc147845684"/>
      <w:bookmarkStart w:id="31" w:name="_Toc147519556"/>
      <w:r w:rsidRPr="00496FB6">
        <w:rPr>
          <w:i w:val="0"/>
          <w:iCs/>
        </w:rPr>
        <w:t>2.</w:t>
      </w:r>
      <w:r w:rsidRPr="00496FB6" w:rsidR="00D93595">
        <w:rPr>
          <w:i w:val="0"/>
          <w:iCs/>
        </w:rPr>
        <w:tab/>
      </w:r>
      <w:r w:rsidRPr="00496FB6" w:rsidR="006734D6">
        <w:t>Governing law and standard of review</w:t>
      </w:r>
      <w:bookmarkEnd w:id="30"/>
      <w:bookmarkEnd w:id="31"/>
    </w:p>
    <w:p w:rsidR="00D54B77" w:rsidRPr="00496FB6" w:rsidP="008D707F" w14:paraId="0C3277C9" w14:textId="5C6B7BC2">
      <w:pPr>
        <w:ind w:firstLine="720"/>
      </w:pPr>
      <w:r w:rsidRPr="00496FB6">
        <w:t>“</w:t>
      </w:r>
      <w:r w:rsidRPr="00496FB6" w:rsidR="0055645E">
        <w:t> ‘</w:t>
      </w:r>
      <w:r w:rsidRPr="00496FB6">
        <w:t xml:space="preserve">Under state and federal </w:t>
      </w:r>
      <w:r w:rsidRPr="00496FB6">
        <w:t>constitutional principles, a criminal defendant has the right to be tried by an impartial jury.</w:t>
      </w:r>
      <w:r w:rsidRPr="00496FB6" w:rsidR="00FD53C2">
        <w:t xml:space="preserve"> </w:t>
      </w:r>
      <w:r w:rsidRPr="00496FB6">
        <w:t xml:space="preserve"> (</w:t>
      </w:r>
      <w:bookmarkStart w:id="32" w:name="dabmci_1de8bca86b6f45cf938ffbad6234f1cc"/>
      <w:r w:rsidRPr="00496FB6">
        <w:t>Cal. Const., art. I, §</w:t>
      </w:r>
      <w:r w:rsidR="00724344">
        <w:t> </w:t>
      </w:r>
      <w:r w:rsidRPr="00496FB6">
        <w:t>16</w:t>
      </w:r>
      <w:bookmarkEnd w:id="32"/>
      <w:r w:rsidRPr="00496FB6">
        <w:t xml:space="preserve">; </w:t>
      </w:r>
      <w:bookmarkStart w:id="33" w:name="dabmci_c4e25f6a0a834527a8a5c4b53ad9a266"/>
      <w:r w:rsidRPr="00496FB6">
        <w:t>U.S. Const., 6th &amp; 14th</w:t>
      </w:r>
      <w:bookmarkEnd w:id="33"/>
      <w:r w:rsidRPr="00496FB6">
        <w:t xml:space="preserve"> Amends.)</w:t>
      </w:r>
      <w:r w:rsidRPr="00496FB6" w:rsidR="0055645E">
        <w:t>’ </w:t>
      </w:r>
      <w:r w:rsidRPr="00496FB6">
        <w:t>”</w:t>
      </w:r>
      <w:r w:rsidRPr="00496FB6" w:rsidR="00D714D6">
        <w:t xml:space="preserve"> </w:t>
      </w:r>
      <w:r w:rsidRPr="00496FB6" w:rsidR="00B95174">
        <w:t xml:space="preserve"> </w:t>
      </w:r>
      <w:r w:rsidRPr="00496FB6" w:rsidR="00D714D6">
        <w:t>(</w:t>
      </w:r>
      <w:bookmarkStart w:id="34" w:name="dabmci_205ef28a79fd4217b9d8bb5908741dfe"/>
      <w:r w:rsidRPr="00496FB6" w:rsidR="00BB6326">
        <w:rPr>
          <w:i/>
          <w:iCs/>
        </w:rPr>
        <w:t>People v. Mataele</w:t>
      </w:r>
      <w:r w:rsidRPr="00496FB6" w:rsidR="00BB6326">
        <w:t xml:space="preserve"> (2022) 13</w:t>
      </w:r>
      <w:r w:rsidRPr="00496FB6" w:rsidR="00764D4D">
        <w:t> </w:t>
      </w:r>
      <w:r w:rsidRPr="00496FB6" w:rsidR="00BB6326">
        <w:t>Cal.5th 372,</w:t>
      </w:r>
      <w:r w:rsidRPr="00496FB6" w:rsidR="00E26C13">
        <w:t xml:space="preserve"> </w:t>
      </w:r>
      <w:r w:rsidRPr="00496FB6" w:rsidR="00BB6326">
        <w:t>394 (</w:t>
      </w:r>
      <w:r w:rsidRPr="00496FB6" w:rsidR="00BB6326">
        <w:rPr>
          <w:i/>
          <w:iCs/>
        </w:rPr>
        <w:t>Mataele</w:t>
      </w:r>
      <w:r w:rsidRPr="00496FB6" w:rsidR="00BB6326">
        <w:t>)</w:t>
      </w:r>
      <w:bookmarkEnd w:id="34"/>
      <w:r w:rsidRPr="00496FB6" w:rsidR="00B95174">
        <w:t>.)</w:t>
      </w:r>
      <w:r w:rsidRPr="00496FB6">
        <w:t xml:space="preserve"> </w:t>
      </w:r>
      <w:r w:rsidRPr="00496FB6" w:rsidR="00545977">
        <w:t xml:space="preserve"> </w:t>
      </w:r>
      <w:r w:rsidRPr="00496FB6" w:rsidR="00EE2E13">
        <w:t xml:space="preserve">In determining whether a defendant’s </w:t>
      </w:r>
      <w:r w:rsidRPr="00496FB6" w:rsidR="00393567">
        <w:t xml:space="preserve">right to an impartial jury </w:t>
      </w:r>
      <w:r w:rsidRPr="00496FB6" w:rsidR="00404601">
        <w:t xml:space="preserve">under the federal </w:t>
      </w:r>
      <w:r w:rsidRPr="00496FB6" w:rsidR="007A6B35">
        <w:t>C</w:t>
      </w:r>
      <w:r w:rsidRPr="00496FB6" w:rsidR="00404601">
        <w:t xml:space="preserve">onstitution </w:t>
      </w:r>
      <w:r w:rsidRPr="00496FB6" w:rsidR="00393567">
        <w:t xml:space="preserve">has been violated by the improper </w:t>
      </w:r>
      <w:r w:rsidRPr="00496FB6" w:rsidR="009138E5">
        <w:t>exclusion of a prospective juror due to his or her views on capital punishmen</w:t>
      </w:r>
      <w:r w:rsidR="002F6303">
        <w:t>t</w:t>
      </w:r>
      <w:r w:rsidR="00A82975">
        <w:t>,</w:t>
      </w:r>
      <w:r w:rsidR="002F6303">
        <w:t xml:space="preserve"> we apply </w:t>
      </w:r>
      <w:r w:rsidRPr="00496FB6" w:rsidR="004B7CF2">
        <w:rPr>
          <w:i/>
          <w:iCs/>
        </w:rPr>
        <w:t>Wainwright v. Witt</w:t>
      </w:r>
      <w:r w:rsidRPr="00496FB6" w:rsidR="004B7CF2">
        <w:t xml:space="preserve"> (1985) 469</w:t>
      </w:r>
      <w:r w:rsidR="00724344">
        <w:t> </w:t>
      </w:r>
      <w:r w:rsidRPr="00496FB6" w:rsidR="004B7CF2">
        <w:t>U.S. 412, 424 (</w:t>
      </w:r>
      <w:r w:rsidRPr="00496FB6" w:rsidR="004B7CF2">
        <w:rPr>
          <w:i/>
          <w:iCs/>
        </w:rPr>
        <w:t>Witt</w:t>
      </w:r>
      <w:r w:rsidR="002F6303">
        <w:t>) and “ ‘</w:t>
      </w:r>
      <w:r w:rsidRPr="00496FB6" w:rsidR="009138E5">
        <w:t>consider whether the record fairly supports the trial court’s determination that [a prospective juror’s] views on the death penalty would have prevented or substantially impaired her performance as a juror.’</w:t>
      </w:r>
      <w:r w:rsidRPr="00496FB6" w:rsidR="00D616C8">
        <w:t> </w:t>
      </w:r>
      <w:r w:rsidRPr="00496FB6" w:rsidR="003E4FB0">
        <w:t>”</w:t>
      </w:r>
      <w:r w:rsidRPr="00496FB6" w:rsidR="00404601">
        <w:t xml:space="preserve"> </w:t>
      </w:r>
      <w:r w:rsidRPr="00496FB6" w:rsidR="003E4FB0">
        <w:t xml:space="preserve"> (</w:t>
      </w:r>
      <w:bookmarkStart w:id="35" w:name="dabmci_4b89be35e0a24ae1b628a7b91fed8850"/>
      <w:r w:rsidRPr="00496FB6" w:rsidR="003E4FB0">
        <w:rPr>
          <w:i/>
          <w:iCs/>
        </w:rPr>
        <w:t>People v. Miles</w:t>
      </w:r>
      <w:r w:rsidRPr="00496FB6" w:rsidR="003E4FB0">
        <w:t xml:space="preserve"> (2020) 9</w:t>
      </w:r>
      <w:r w:rsidRPr="00496FB6" w:rsidR="00DC32C9">
        <w:t> </w:t>
      </w:r>
      <w:r w:rsidRPr="00496FB6" w:rsidR="003E4FB0">
        <w:t>Cal.5th 513,</w:t>
      </w:r>
      <w:r w:rsidRPr="00496FB6" w:rsidR="00E26C13">
        <w:t xml:space="preserve"> </w:t>
      </w:r>
      <w:r w:rsidRPr="00496FB6" w:rsidR="003E4FB0">
        <w:t>562 (</w:t>
      </w:r>
      <w:r w:rsidRPr="00496FB6" w:rsidR="003E4FB0">
        <w:rPr>
          <w:i/>
          <w:iCs/>
        </w:rPr>
        <w:t>Miles</w:t>
      </w:r>
      <w:r w:rsidRPr="00496FB6" w:rsidR="003E4FB0">
        <w:t>)</w:t>
      </w:r>
      <w:bookmarkEnd w:id="35"/>
      <w:r w:rsidR="002F6303">
        <w:t xml:space="preserve">, quoting </w:t>
      </w:r>
      <w:r w:rsidRPr="002F6303" w:rsidR="002F6303">
        <w:rPr>
          <w:i/>
          <w:iCs/>
        </w:rPr>
        <w:t>People v. Thomas</w:t>
      </w:r>
      <w:r w:rsidRPr="002F6303" w:rsidR="002F6303">
        <w:t xml:space="preserve"> (2011) 52</w:t>
      </w:r>
      <w:r w:rsidR="00724344">
        <w:t> </w:t>
      </w:r>
      <w:r w:rsidRPr="002F6303" w:rsidR="002F6303">
        <w:t>Cal.4th 336, 357</w:t>
      </w:r>
      <w:r w:rsidRPr="00496FB6" w:rsidR="003E4FB0">
        <w:t>.)</w:t>
      </w:r>
      <w:r w:rsidRPr="00496FB6" w:rsidR="00E76BEA">
        <w:t xml:space="preserve">  </w:t>
      </w:r>
      <w:r w:rsidRPr="00496FB6" w:rsidR="00CE5D93">
        <w:t>“</w:t>
      </w:r>
      <w:r w:rsidRPr="00496FB6" w:rsidR="003B0C99">
        <w:t>W</w:t>
      </w:r>
      <w:r w:rsidRPr="00496FB6" w:rsidR="00CE5D93">
        <w:t>e</w:t>
      </w:r>
      <w:r w:rsidRPr="00496FB6" w:rsidR="003B0C99">
        <w:t xml:space="preserve"> </w:t>
      </w:r>
      <w:r w:rsidRPr="00496FB6" w:rsidR="00CE5D93">
        <w:t xml:space="preserve">‘have long adopted the </w:t>
      </w:r>
      <w:r w:rsidRPr="00496FB6" w:rsidR="00CE5D93">
        <w:rPr>
          <w:i/>
          <w:iCs/>
        </w:rPr>
        <w:t>Witt</w:t>
      </w:r>
      <w:r w:rsidRPr="00496FB6" w:rsidR="00CE5D93">
        <w:t xml:space="preserve"> rule as also stating the standard under the California Constitution.’</w:t>
      </w:r>
      <w:r w:rsidRPr="00496FB6" w:rsidR="005A0C00">
        <w:t> </w:t>
      </w:r>
      <w:r w:rsidRPr="00496FB6" w:rsidR="00CE5D93">
        <w:t>”</w:t>
      </w:r>
      <w:r w:rsidRPr="00496FB6" w:rsidR="00206E6B">
        <w:t xml:space="preserve">  </w:t>
      </w:r>
      <w:r w:rsidRPr="00496FB6" w:rsidR="00CE5D93">
        <w:t>(</w:t>
      </w:r>
      <w:bookmarkStart w:id="36" w:name="dabmci_80c068dbef934f748153bf59139da0dc"/>
      <w:r w:rsidRPr="00496FB6" w:rsidR="00CE5D93">
        <w:rPr>
          <w:i/>
          <w:iCs/>
        </w:rPr>
        <w:t>People v. Tran</w:t>
      </w:r>
      <w:r w:rsidRPr="00496FB6" w:rsidR="00CE5D93">
        <w:t xml:space="preserve"> (2022) 13</w:t>
      </w:r>
      <w:r w:rsidRPr="00496FB6" w:rsidR="00DC32C9">
        <w:t> </w:t>
      </w:r>
      <w:r w:rsidRPr="00496FB6" w:rsidR="00CE5D93">
        <w:t>Cal.5th 1169,</w:t>
      </w:r>
      <w:r w:rsidRPr="00496FB6" w:rsidR="00E26C13">
        <w:t xml:space="preserve"> </w:t>
      </w:r>
      <w:r w:rsidRPr="00496FB6" w:rsidR="00CE5D93">
        <w:t>1191</w:t>
      </w:r>
      <w:r w:rsidRPr="00496FB6" w:rsidR="00A4236D">
        <w:t xml:space="preserve"> </w:t>
      </w:r>
      <w:r w:rsidRPr="00496FB6" w:rsidR="00E04EF4">
        <w:t>(</w:t>
      </w:r>
      <w:r w:rsidRPr="00496FB6" w:rsidR="00E04EF4">
        <w:rPr>
          <w:i/>
          <w:iCs/>
        </w:rPr>
        <w:t>Tran</w:t>
      </w:r>
      <w:r w:rsidRPr="00496FB6" w:rsidR="00E04EF4">
        <w:t>)</w:t>
      </w:r>
      <w:bookmarkEnd w:id="36"/>
      <w:r w:rsidRPr="00496FB6" w:rsidR="00CE5D93">
        <w:t>.)</w:t>
      </w:r>
      <w:r w:rsidRPr="00496FB6">
        <w:t xml:space="preserve">  </w:t>
      </w:r>
    </w:p>
    <w:p w:rsidR="003E4FB0" w:rsidRPr="00496FB6" w:rsidP="008D707F" w14:paraId="64FE814D" w14:textId="4C089A98">
      <w:pPr>
        <w:ind w:firstLine="720"/>
      </w:pPr>
      <w:r w:rsidRPr="00496FB6">
        <w:t>“A panelist’s bias in favor of or agai</w:t>
      </w:r>
      <w:r w:rsidRPr="00496FB6">
        <w:t xml:space="preserve">nst the death penalty need not be proven with ‘ “ ‘unmistakable clarity.  [Citations.]  Rather, it is sufficient that the trial judge is left with the definite impression that </w:t>
      </w:r>
      <w:r w:rsidRPr="00496FB6" w:rsidR="00A17C39">
        <w:t xml:space="preserve">a </w:t>
      </w:r>
      <w:r w:rsidRPr="00496FB6">
        <w:t xml:space="preserve">[panelist] would be unable to faithfully and impartially apply the law in the </w:t>
      </w:r>
      <w:r w:rsidRPr="00496FB6">
        <w:t>case before the juror.’ ” ’ ”  (</w:t>
      </w:r>
      <w:bookmarkStart w:id="37" w:name="dabmci_54de2769dd9a40519dc6ffa0f900ad99"/>
      <w:r w:rsidRPr="00496FB6">
        <w:rPr>
          <w:i/>
          <w:iCs/>
        </w:rPr>
        <w:t>People v.</w:t>
      </w:r>
      <w:r w:rsidRPr="00496FB6" w:rsidR="00365A97">
        <w:rPr>
          <w:i/>
          <w:iCs/>
        </w:rPr>
        <w:t xml:space="preserve"> </w:t>
      </w:r>
      <w:r w:rsidRPr="00496FB6" w:rsidR="00B22FE7">
        <w:rPr>
          <w:i/>
          <w:iCs/>
        </w:rPr>
        <w:t>Ramirez</w:t>
      </w:r>
      <w:r w:rsidRPr="00496FB6" w:rsidR="00365A97">
        <w:rPr>
          <w:i/>
          <w:iCs/>
        </w:rPr>
        <w:t xml:space="preserve"> </w:t>
      </w:r>
      <w:r w:rsidRPr="00496FB6">
        <w:t>(2022) 13</w:t>
      </w:r>
      <w:r w:rsidRPr="00496FB6" w:rsidR="00DC32C9">
        <w:t> </w:t>
      </w:r>
      <w:r w:rsidRPr="00496FB6">
        <w:t>Cal.5th 997,</w:t>
      </w:r>
      <w:r w:rsidRPr="00496FB6" w:rsidR="00E26C13">
        <w:t xml:space="preserve"> </w:t>
      </w:r>
      <w:r w:rsidRPr="00496FB6">
        <w:t>1083</w:t>
      </w:r>
      <w:r w:rsidRPr="00496FB6" w:rsidR="00B22FE7">
        <w:t xml:space="preserve"> (</w:t>
      </w:r>
      <w:r w:rsidRPr="00496FB6" w:rsidR="00B22FE7">
        <w:rPr>
          <w:i/>
          <w:iCs/>
        </w:rPr>
        <w:t>Ramirez</w:t>
      </w:r>
      <w:r w:rsidRPr="00496FB6" w:rsidR="00B22FE7">
        <w:t>)</w:t>
      </w:r>
      <w:bookmarkEnd w:id="37"/>
      <w:r w:rsidRPr="00496FB6">
        <w:t xml:space="preserve">.) </w:t>
      </w:r>
      <w:r w:rsidR="00FF5767">
        <w:t xml:space="preserve"> </w:t>
      </w:r>
    </w:p>
    <w:p w:rsidR="009138E5" w:rsidRPr="00496FB6" w:rsidP="008D707F" w14:paraId="328C0C19" w14:textId="68A7C594">
      <w:pPr>
        <w:ind w:firstLine="720"/>
      </w:pPr>
      <w:r>
        <w:t xml:space="preserve">We review a trial court’s </w:t>
      </w:r>
      <w:r w:rsidR="0065683C">
        <w:t xml:space="preserve">ruling on a </w:t>
      </w:r>
      <w:r w:rsidRPr="00496FB6" w:rsidR="00CF232C">
        <w:t xml:space="preserve">request to dismiss </w:t>
      </w:r>
      <w:r w:rsidR="004151F9">
        <w:t>a prospective juror</w:t>
      </w:r>
      <w:r w:rsidRPr="00496FB6" w:rsidR="00CF232C">
        <w:t xml:space="preserve"> for cause </w:t>
      </w:r>
      <w:r w:rsidR="004151F9">
        <w:t>for substantial evidence</w:t>
      </w:r>
      <w:r w:rsidRPr="00496FB6" w:rsidR="00CF232C">
        <w:t>.</w:t>
      </w:r>
      <w:r w:rsidR="00D35777">
        <w:t xml:space="preserve">  (See</w:t>
      </w:r>
      <w:r w:rsidR="00B5653E">
        <w:t>,</w:t>
      </w:r>
      <w:r w:rsidR="00267565">
        <w:t xml:space="preserve"> e.g., </w:t>
      </w:r>
      <w:r w:rsidRPr="00D35777" w:rsidR="006A2C18">
        <w:rPr>
          <w:i/>
          <w:iCs/>
        </w:rPr>
        <w:t>People v. Flores</w:t>
      </w:r>
      <w:r w:rsidRPr="00D35777" w:rsidR="006A2C18">
        <w:t xml:space="preserve"> (2020) 9 Cal.5th 371, 38</w:t>
      </w:r>
      <w:r w:rsidR="006A2C18">
        <w:t>6</w:t>
      </w:r>
      <w:r w:rsidR="00267565">
        <w:t xml:space="preserve">.)  </w:t>
      </w:r>
      <w:r w:rsidRPr="00496FB6" w:rsidR="00310C8C">
        <w:t>“ </w:t>
      </w:r>
      <w:r w:rsidRPr="00496FB6">
        <w:t>‘ “ ‘Generally, a trial court’s rulings on motions to exclude for cause are afforded deference on appeal, for “appellate courts recognize that a trial judge who observes and speaks with a prospective juror and hears that per</w:t>
      </w:r>
      <w:r w:rsidRPr="00496FB6">
        <w:t>son’s responses (noting, among other things, the person’s tone of voice, apparent level of confidence, and demeanor), gleans valuable information that simply does not appear on the record.</w:t>
      </w:r>
      <w:r w:rsidRPr="00496FB6" w:rsidR="00840F04">
        <w:t>”</w:t>
      </w:r>
      <w:r w:rsidRPr="00496FB6" w:rsidR="005A0C00">
        <w:t> </w:t>
      </w:r>
      <w:r w:rsidRPr="00496FB6">
        <w:t>’</w:t>
      </w:r>
      <w:r w:rsidRPr="00496FB6" w:rsidR="005A0C00">
        <w:t> </w:t>
      </w:r>
      <w:r w:rsidRPr="00496FB6">
        <w:t>”</w:t>
      </w:r>
      <w:r w:rsidRPr="00496FB6" w:rsidR="005A0C00">
        <w:t> </w:t>
      </w:r>
      <w:r w:rsidRPr="00496FB6">
        <w:t>’</w:t>
      </w:r>
      <w:r w:rsidRPr="00496FB6" w:rsidR="0040760A">
        <w:t> </w:t>
      </w:r>
      <w:r w:rsidRPr="00496FB6" w:rsidR="00244BAB">
        <w:t>”</w:t>
      </w:r>
      <w:r w:rsidRPr="00496FB6" w:rsidR="00562543">
        <w:t xml:space="preserve">  </w:t>
      </w:r>
      <w:r w:rsidRPr="00496FB6" w:rsidR="00AE1622">
        <w:t>(</w:t>
      </w:r>
      <w:bookmarkStart w:id="38" w:name="dabmci_67497f57abd24581aedb488bf0d4ca98"/>
      <w:r w:rsidRPr="00496FB6" w:rsidR="00AE1622">
        <w:rPr>
          <w:i/>
          <w:iCs/>
        </w:rPr>
        <w:t>Miles</w:t>
      </w:r>
      <w:r w:rsidRPr="00496FB6" w:rsidR="00725E4F">
        <w:t xml:space="preserve">, </w:t>
      </w:r>
      <w:r w:rsidRPr="00496FB6" w:rsidR="00725E4F">
        <w:rPr>
          <w:i/>
          <w:iCs/>
        </w:rPr>
        <w:t>supra</w:t>
      </w:r>
      <w:r w:rsidRPr="00496FB6" w:rsidR="00725E4F">
        <w:t xml:space="preserve">, </w:t>
      </w:r>
      <w:r w:rsidRPr="00496FB6" w:rsidR="00AE1622">
        <w:t>9</w:t>
      </w:r>
      <w:r w:rsidRPr="00496FB6" w:rsidR="007B34F5">
        <w:t> </w:t>
      </w:r>
      <w:r w:rsidRPr="00496FB6" w:rsidR="00AE1622">
        <w:t xml:space="preserve">Cal.5th </w:t>
      </w:r>
      <w:r w:rsidRPr="00496FB6" w:rsidR="00725E4F">
        <w:t>at p.</w:t>
      </w:r>
      <w:r w:rsidRPr="00496FB6" w:rsidR="007B34F5">
        <w:t> </w:t>
      </w:r>
      <w:r w:rsidRPr="00496FB6" w:rsidR="00AE1622">
        <w:t>562</w:t>
      </w:r>
      <w:bookmarkEnd w:id="38"/>
      <w:r w:rsidRPr="00496FB6" w:rsidR="00244BAB">
        <w:t xml:space="preserve">.) </w:t>
      </w:r>
      <w:r w:rsidRPr="00496FB6">
        <w:t xml:space="preserve"> </w:t>
      </w:r>
      <w:r w:rsidRPr="00496FB6" w:rsidR="009B2F1A">
        <w:t>Deference is also accorded to a trial court’s rulings in t</w:t>
      </w:r>
      <w:r w:rsidRPr="00496FB6" w:rsidR="005C5F7E">
        <w:t xml:space="preserve">he death penalty qualification </w:t>
      </w:r>
      <w:r w:rsidRPr="00496FB6" w:rsidR="009B2F1A">
        <w:t>conte</w:t>
      </w:r>
      <w:r w:rsidRPr="00496FB6" w:rsidR="005C5F7E">
        <w:t>x</w:t>
      </w:r>
      <w:r w:rsidRPr="00496FB6" w:rsidR="009B2F1A">
        <w:t>t</w:t>
      </w:r>
      <w:r w:rsidRPr="00496FB6" w:rsidR="00E65F14">
        <w:t xml:space="preserve"> </w:t>
      </w:r>
      <w:r w:rsidRPr="00496FB6" w:rsidR="00E7587F">
        <w:t>“</w:t>
      </w:r>
      <w:r w:rsidRPr="00496FB6" w:rsidR="009B2F1A">
        <w:t xml:space="preserve">[b]ecause prospective jurors </w:t>
      </w:r>
      <w:r w:rsidRPr="00496FB6" w:rsidR="00E7587F">
        <w:t>‘</w:t>
      </w:r>
      <w:r w:rsidRPr="00496FB6" w:rsidR="009B2F1A">
        <w:t>may not know how they will react when faced with imposing the death sentence, or may be unable to articulate, or may wish to hide their true feelings</w:t>
      </w:r>
      <w:r w:rsidRPr="00496FB6" w:rsidR="00562543">
        <w:t>.</w:t>
      </w:r>
      <w:r w:rsidRPr="00496FB6" w:rsidR="00E7587F">
        <w:t>’ ”</w:t>
      </w:r>
      <w:r w:rsidRPr="00496FB6" w:rsidR="00562543">
        <w:t xml:space="preserve">  </w:t>
      </w:r>
      <w:r w:rsidRPr="00496FB6" w:rsidR="009B2F1A">
        <w:t>(</w:t>
      </w:r>
      <w:bookmarkStart w:id="39" w:name="dabmci_2dbe5f8c9da649edab229cc2012c8f76"/>
      <w:r w:rsidRPr="00496FB6" w:rsidR="009B2F1A">
        <w:rPr>
          <w:i/>
          <w:iCs/>
        </w:rPr>
        <w:t>People v.</w:t>
      </w:r>
      <w:r w:rsidRPr="00496FB6" w:rsidR="009B2F1A">
        <w:t xml:space="preserve"> </w:t>
      </w:r>
      <w:r w:rsidRPr="00496FB6" w:rsidR="009B2F1A">
        <w:rPr>
          <w:i/>
          <w:iCs/>
        </w:rPr>
        <w:t xml:space="preserve">Thomas </w:t>
      </w:r>
      <w:r w:rsidRPr="00496FB6" w:rsidR="009B2F1A">
        <w:t>(2011) 51</w:t>
      </w:r>
      <w:r w:rsidRPr="00496FB6" w:rsidR="007B34F5">
        <w:t> </w:t>
      </w:r>
      <w:r w:rsidRPr="00496FB6" w:rsidR="009B2F1A">
        <w:t>Cal.4th 449,</w:t>
      </w:r>
      <w:r w:rsidRPr="00496FB6" w:rsidR="00EE2048">
        <w:t xml:space="preserve"> </w:t>
      </w:r>
      <w:r w:rsidRPr="00496FB6" w:rsidR="009B2F1A">
        <w:t>462</w:t>
      </w:r>
      <w:bookmarkEnd w:id="39"/>
      <w:r w:rsidRPr="00496FB6" w:rsidR="009B2F1A">
        <w:t>.)</w:t>
      </w:r>
      <w:r w:rsidRPr="00496FB6" w:rsidR="00562543">
        <w:t xml:space="preserve"> </w:t>
      </w:r>
      <w:r w:rsidRPr="00496FB6" w:rsidR="0040760A">
        <w:t xml:space="preserve"> </w:t>
      </w:r>
      <w:r w:rsidRPr="00496FB6" w:rsidR="00244BAB">
        <w:t>“ </w:t>
      </w:r>
      <w:r w:rsidRPr="00496FB6">
        <w:t>‘</w:t>
      </w:r>
      <w:r w:rsidRPr="00496FB6" w:rsidR="00244BAB">
        <w:t> </w:t>
      </w:r>
      <w:r w:rsidRPr="00496FB6">
        <w:t>“When the prospective juror’s answers on voir dire are conflicting or equivocal, the trial court’s findings as to the prospective juror’s state of mind are binding on appellate courts if sup</w:t>
      </w:r>
      <w:r w:rsidRPr="00496FB6">
        <w:t>ported by substantial evidence.”</w:t>
      </w:r>
      <w:r w:rsidRPr="00496FB6" w:rsidR="00244BAB">
        <w:t> </w:t>
      </w:r>
      <w:r w:rsidRPr="00496FB6">
        <w:t>’</w:t>
      </w:r>
      <w:r w:rsidRPr="00496FB6" w:rsidR="0040760A">
        <w:t> </w:t>
      </w:r>
      <w:r w:rsidRPr="00496FB6" w:rsidR="00244BAB">
        <w:t>”</w:t>
      </w:r>
      <w:r w:rsidRPr="00496FB6">
        <w:t xml:space="preserve"> </w:t>
      </w:r>
      <w:r w:rsidRPr="00496FB6" w:rsidR="00244BAB">
        <w:t xml:space="preserve"> (</w:t>
      </w:r>
      <w:bookmarkStart w:id="40" w:name="dabmci_0f83b71ec16d4df6a9453f10156497af"/>
      <w:r w:rsidRPr="00496FB6" w:rsidR="00244BAB">
        <w:rPr>
          <w:i/>
          <w:iCs/>
        </w:rPr>
        <w:t>Miles</w:t>
      </w:r>
      <w:r w:rsidRPr="00496FB6" w:rsidR="00244BAB">
        <w:t>,</w:t>
      </w:r>
      <w:r w:rsidRPr="00496FB6" w:rsidR="00244BAB">
        <w:rPr>
          <w:i/>
          <w:iCs/>
        </w:rPr>
        <w:t xml:space="preserve"> </w:t>
      </w:r>
      <w:r w:rsidRPr="00496FB6" w:rsidR="00AE1622">
        <w:t xml:space="preserve">at </w:t>
      </w:r>
      <w:r w:rsidRPr="00496FB6" w:rsidR="00244BAB">
        <w:t>p.</w:t>
      </w:r>
      <w:r w:rsidRPr="00496FB6" w:rsidR="007B34F5">
        <w:t> </w:t>
      </w:r>
      <w:r w:rsidRPr="00496FB6" w:rsidR="003021B8">
        <w:t>562</w:t>
      </w:r>
      <w:bookmarkEnd w:id="40"/>
      <w:r w:rsidRPr="00496FB6" w:rsidR="003021B8">
        <w:t>.)</w:t>
      </w:r>
      <w:r w:rsidRPr="00496FB6" w:rsidR="00F1015A">
        <w:t xml:space="preserve">  </w:t>
      </w:r>
    </w:p>
    <w:p w:rsidR="0079314F" w:rsidRPr="00496FB6" w:rsidP="006400F9" w14:paraId="6BB75C9F" w14:textId="54492DBC">
      <w:pPr>
        <w:pStyle w:val="Heading3"/>
        <w:tabs>
          <w:tab w:val="clear" w:pos="1584"/>
        </w:tabs>
      </w:pPr>
      <w:bookmarkStart w:id="41" w:name="_Toc147845685"/>
      <w:bookmarkStart w:id="42" w:name="_Toc147519557"/>
      <w:r w:rsidRPr="00496FB6">
        <w:rPr>
          <w:i w:val="0"/>
          <w:iCs/>
        </w:rPr>
        <w:t>3.</w:t>
      </w:r>
      <w:r w:rsidRPr="00496FB6" w:rsidR="00D93595">
        <w:rPr>
          <w:i w:val="0"/>
          <w:iCs/>
        </w:rPr>
        <w:tab/>
      </w:r>
      <w:r w:rsidRPr="00496FB6">
        <w:t>A</w:t>
      </w:r>
      <w:r w:rsidRPr="00496FB6" w:rsidR="004B135D">
        <w:t>nalysis</w:t>
      </w:r>
      <w:bookmarkEnd w:id="41"/>
      <w:bookmarkEnd w:id="42"/>
    </w:p>
    <w:p w:rsidR="00393455" w:rsidP="006400F9" w14:paraId="615FBF29" w14:textId="3015F5E0">
      <w:pPr>
        <w:ind w:firstLine="720"/>
      </w:pPr>
      <w:r>
        <w:t>D</w:t>
      </w:r>
      <w:r w:rsidRPr="00496FB6" w:rsidR="00A24BC5">
        <w:t>efendant</w:t>
      </w:r>
      <w:r w:rsidRPr="00496FB6" w:rsidR="005A4820">
        <w:t xml:space="preserve"> contends that the trial court erred in excusing </w:t>
      </w:r>
      <w:r w:rsidRPr="00496FB6" w:rsidR="004D6588">
        <w:t>Prospective Juror No. 111</w:t>
      </w:r>
      <w:r w:rsidRPr="00496FB6" w:rsidR="005A4820">
        <w:t xml:space="preserve"> for cause because the record demonstrates that, although </w:t>
      </w:r>
      <w:r w:rsidRPr="00496FB6" w:rsidR="004D6588">
        <w:t>Prospective Juror No. 111</w:t>
      </w:r>
      <w:r w:rsidRPr="00496FB6" w:rsidR="005A4820">
        <w:t xml:space="preserve"> was opposed to the death penalty, he was willing to set aside his beliefs and apply the law in serving as a capital juror</w:t>
      </w:r>
      <w:r w:rsidRPr="00567110" w:rsidR="005A4820">
        <w:t xml:space="preserve">.  </w:t>
      </w:r>
      <w:r w:rsidR="00974663">
        <w:t>Defendant’s argument is unavailing</w:t>
      </w:r>
      <w:r w:rsidRPr="00496FB6" w:rsidR="00810387">
        <w:t xml:space="preserve">. </w:t>
      </w:r>
      <w:r w:rsidR="003E5B3E">
        <w:t xml:space="preserve"> </w:t>
      </w:r>
    </w:p>
    <w:p w:rsidR="00393455" w:rsidRPr="00393455" w:rsidP="00393455" w14:paraId="6CF8B4E5" w14:textId="3AD56D06">
      <w:pPr>
        <w:ind w:firstLine="720"/>
      </w:pPr>
      <w:r w:rsidRPr="00567110">
        <w:t>To begin,</w:t>
      </w:r>
      <w:r w:rsidRPr="00217F5F">
        <w:t xml:space="preserve"> </w:t>
      </w:r>
      <w:r w:rsidRPr="00217F5F">
        <w:t>one of Prospective Juror No. 111’s questionnaire responses reflected doubt about his ability to vote for the death penalty.  In response to a question regarding whether he would have any difficulty keeping an open mind until hearing all the evidence, couns</w:t>
      </w:r>
      <w:r w:rsidRPr="00217F5F">
        <w:t>els’ arguments, and court instructions, Prospective Juror No.</w:t>
      </w:r>
      <w:r w:rsidR="006400F9">
        <w:t> </w:t>
      </w:r>
      <w:r w:rsidRPr="00217F5F">
        <w:t>111 responded in the negative, but added, “I’m not confident I could recommend death in any scenario.”  The trial court referenced this written response when it excused Prospective Juror No. 111</w:t>
      </w:r>
      <w:r w:rsidRPr="00217F5F">
        <w:t xml:space="preserve"> for cause.  </w:t>
      </w:r>
    </w:p>
    <w:p w:rsidR="005A4820" w:rsidRPr="00496FB6" w:rsidP="006400F9" w14:paraId="1BD63AC0" w14:textId="000E5507">
      <w:pPr>
        <w:ind w:firstLine="720"/>
      </w:pPr>
      <w:r w:rsidRPr="00496FB6">
        <w:t xml:space="preserve">Prospective Juror No. 111 </w:t>
      </w:r>
      <w:r w:rsidR="00393455">
        <w:t xml:space="preserve">also </w:t>
      </w:r>
      <w:r w:rsidRPr="00496FB6">
        <w:t>made several statements during voir dire</w:t>
      </w:r>
      <w:r w:rsidR="009F2B97">
        <w:t xml:space="preserve"> that</w:t>
      </w:r>
      <w:r w:rsidRPr="00496FB6" w:rsidR="00842BE0">
        <w:t>,</w:t>
      </w:r>
      <w:r>
        <w:rPr>
          <w:b/>
          <w:bCs/>
          <w:vertAlign w:val="superscript"/>
        </w:rPr>
        <w:footnoteReference w:id="9"/>
      </w:r>
      <w:r w:rsidRPr="00496FB6">
        <w:t xml:space="preserve"> when considered </w:t>
      </w:r>
      <w:r w:rsidRPr="00496FB6" w:rsidR="00793700">
        <w:t>as a whole</w:t>
      </w:r>
      <w:r w:rsidRPr="00496FB6">
        <w:t>,</w:t>
      </w:r>
      <w:r w:rsidR="009F2B97">
        <w:t xml:space="preserve"> </w:t>
      </w:r>
      <w:r w:rsidRPr="00496FB6" w:rsidR="00842BE0">
        <w:t xml:space="preserve">provided a reasonable basis for the trial court to determine that </w:t>
      </w:r>
      <w:r w:rsidRPr="00496FB6" w:rsidR="00586943">
        <w:t xml:space="preserve">his death penalty views would </w:t>
      </w:r>
      <w:r w:rsidRPr="00496FB6">
        <w:t>substantial</w:t>
      </w:r>
      <w:r w:rsidRPr="00496FB6" w:rsidR="00586943">
        <w:t>ly</w:t>
      </w:r>
      <w:r w:rsidRPr="00496FB6">
        <w:t xml:space="preserve"> impair</w:t>
      </w:r>
      <w:r w:rsidRPr="00496FB6" w:rsidR="00586943">
        <w:t xml:space="preserve"> his perf</w:t>
      </w:r>
      <w:r w:rsidRPr="00496FB6" w:rsidR="004A2664">
        <w:t>o</w:t>
      </w:r>
      <w:r w:rsidRPr="00496FB6" w:rsidR="00842BE0">
        <w:t>rmance as a capital juror</w:t>
      </w:r>
      <w:r w:rsidRPr="00496FB6">
        <w:t>.  For example, Prospective Juror No.</w:t>
      </w:r>
      <w:r w:rsidRPr="00496FB6" w:rsidR="00BC0A9A">
        <w:t> </w:t>
      </w:r>
      <w:r w:rsidRPr="00496FB6">
        <w:t>111 responded affirmatively to the prosecutor’s question, “Is it fair to say that</w:t>
      </w:r>
      <w:r w:rsidR="00715DAC">
        <w:t> </w:t>
      </w:r>
      <w:r w:rsidRPr="00496FB6">
        <w:t>.</w:t>
      </w:r>
      <w:r w:rsidRPr="00496FB6" w:rsidR="008D35A7">
        <w:t> </w:t>
      </w:r>
      <w:r w:rsidRPr="00496FB6">
        <w:t>.</w:t>
      </w:r>
      <w:r w:rsidRPr="00496FB6" w:rsidR="008D35A7">
        <w:t> </w:t>
      </w:r>
      <w:r w:rsidRPr="00496FB6">
        <w:t>. in almost all cases you .</w:t>
      </w:r>
      <w:r w:rsidRPr="00496FB6" w:rsidR="008D35A7">
        <w:t> </w:t>
      </w:r>
      <w:r w:rsidRPr="00496FB6">
        <w:t>.</w:t>
      </w:r>
      <w:r w:rsidRPr="00496FB6" w:rsidR="008D35A7">
        <w:t> </w:t>
      </w:r>
      <w:r w:rsidRPr="00496FB6">
        <w:t>. could not find it appropriate to impose the death penalty?”  Prospective Ju</w:t>
      </w:r>
      <w:r w:rsidRPr="00496FB6">
        <w:t>ror No.</w:t>
      </w:r>
      <w:r w:rsidRPr="00496FB6" w:rsidR="00BC0A9A">
        <w:t> </w:t>
      </w:r>
      <w:r w:rsidRPr="00496FB6">
        <w:t>111 also stated, “I just really have a hard time personally thinking that death is an appropriate penalty.”  And in discussing whether he could “consider voting for death,” Prospective Juror No.</w:t>
      </w:r>
      <w:r w:rsidRPr="00496FB6" w:rsidR="00BC0A9A">
        <w:t> </w:t>
      </w:r>
      <w:r w:rsidRPr="00496FB6">
        <w:t xml:space="preserve">111 stated, “I think it’s very unlikely.”  </w:t>
      </w:r>
      <w:r w:rsidRPr="00496FB6" w:rsidR="00173025">
        <w:t xml:space="preserve">In addition, </w:t>
      </w:r>
      <w:r w:rsidRPr="00496FB6">
        <w:t>Prospective Juror No.</w:t>
      </w:r>
      <w:r w:rsidRPr="00496FB6" w:rsidR="00BC0A9A">
        <w:t> </w:t>
      </w:r>
      <w:r w:rsidRPr="00496FB6">
        <w:t xml:space="preserve">111 ruminated that he did not think that he would ever have enough “wisdom” to impose the death penalty.  </w:t>
      </w:r>
      <w:r w:rsidR="00C3588B">
        <w:t>Taken together</w:t>
      </w:r>
      <w:r w:rsidRPr="00496FB6" w:rsidR="00DE5D61">
        <w:t xml:space="preserve">, such comments supported the trial court’s excusal of </w:t>
      </w:r>
      <w:r w:rsidRPr="00496FB6">
        <w:t>Prospective Juror No.</w:t>
      </w:r>
      <w:r w:rsidRPr="00496FB6" w:rsidR="00BC0A9A">
        <w:t> </w:t>
      </w:r>
      <w:r w:rsidRPr="00496FB6">
        <w:t>111</w:t>
      </w:r>
      <w:r w:rsidRPr="00496FB6" w:rsidR="00DE5D61">
        <w:t xml:space="preserve"> for cause.  (See</w:t>
      </w:r>
      <w:bookmarkStart w:id="43" w:name="dabmci_380d27133514455f8cff7f82a09a26a9"/>
      <w:r w:rsidRPr="00496FB6" w:rsidR="009A07B5">
        <w:t xml:space="preserve"> </w:t>
      </w:r>
      <w:r w:rsidRPr="00496FB6" w:rsidR="009A07B5">
        <w:rPr>
          <w:i/>
          <w:iCs/>
        </w:rPr>
        <w:t>Mataele</w:t>
      </w:r>
      <w:r w:rsidRPr="00496FB6" w:rsidR="009A07B5">
        <w:t xml:space="preserve">, </w:t>
      </w:r>
      <w:r w:rsidRPr="00496FB6" w:rsidR="009A07B5">
        <w:rPr>
          <w:i/>
          <w:iCs/>
        </w:rPr>
        <w:t>supra</w:t>
      </w:r>
      <w:r w:rsidRPr="00496FB6" w:rsidR="009A07B5">
        <w:t xml:space="preserve">, 13 Cal.5th at p. 397 [examining juror’s “written and oral responses to questions regarding her ability to impose the death penalty” “as a whole” to determine substantial impairment]; </w:t>
      </w:r>
      <w:bookmarkEnd w:id="43"/>
      <w:r w:rsidRPr="00496FB6" w:rsidR="00793700">
        <w:rPr>
          <w:i/>
          <w:iCs/>
        </w:rPr>
        <w:t>People v. McKinzie</w:t>
      </w:r>
      <w:r w:rsidRPr="00496FB6" w:rsidR="00793700">
        <w:t xml:space="preserve"> (2012) 54</w:t>
      </w:r>
      <w:r w:rsidRPr="00496FB6" w:rsidR="009A07B5">
        <w:t> </w:t>
      </w:r>
      <w:r w:rsidRPr="00496FB6" w:rsidR="00793700">
        <w:t>Cal.4th 1302, 1340 [prospective juror properly excused where “the totality of [the juror’s] responses reflected doubts regarding her ability to make the penalty determination”]</w:t>
      </w:r>
      <w:r w:rsidRPr="00496FB6" w:rsidR="009A07B5">
        <w:t xml:space="preserve">; see also </w:t>
      </w:r>
      <w:r w:rsidRPr="00496FB6" w:rsidR="0011080B">
        <w:rPr>
          <w:i/>
          <w:iCs/>
        </w:rPr>
        <w:t>People v. Camacho</w:t>
      </w:r>
      <w:r w:rsidRPr="00496FB6" w:rsidR="0011080B">
        <w:t xml:space="preserve"> (2022) 14 Cal.5th 77</w:t>
      </w:r>
      <w:r w:rsidR="0011080B">
        <w:t>, 135 (</w:t>
      </w:r>
      <w:r w:rsidRPr="00496FB6" w:rsidR="009A07B5">
        <w:rPr>
          <w:i/>
          <w:iCs/>
        </w:rPr>
        <w:t>Camacho</w:t>
      </w:r>
      <w:r w:rsidR="0011080B">
        <w:t>)</w:t>
      </w:r>
      <w:r w:rsidRPr="00496FB6" w:rsidR="009A07B5">
        <w:t xml:space="preserve"> [affirming excusal of prospective capital juror for cause where “she repeatedly made clear that it would be ‘difficult’ or ‘very difficult’ for her to vote for the death penalty”]</w:t>
      </w:r>
      <w:r w:rsidRPr="00496FB6" w:rsidR="00793700">
        <w:t>.</w:t>
      </w:r>
      <w:r w:rsidRPr="00496FB6" w:rsidR="00643C92">
        <w:t>)</w:t>
      </w:r>
      <w:r w:rsidRPr="00496FB6" w:rsidR="00BC0A9A">
        <w:t xml:space="preserve"> </w:t>
      </w:r>
      <w:r w:rsidR="003E5B3E">
        <w:t xml:space="preserve"> </w:t>
      </w:r>
    </w:p>
    <w:p w:rsidR="0018383B" w:rsidP="00FA48B1" w14:paraId="63A8AEE6" w14:textId="611ECB82">
      <w:pPr>
        <w:ind w:firstLine="720"/>
      </w:pPr>
      <w:r w:rsidRPr="00496FB6">
        <w:t>In addition</w:t>
      </w:r>
      <w:r w:rsidRPr="00496FB6" w:rsidR="006C7CE7">
        <w:t xml:space="preserve">, </w:t>
      </w:r>
      <w:r w:rsidRPr="00496FB6" w:rsidR="004E06C6">
        <w:t xml:space="preserve">in response to the trial court’s questioning </w:t>
      </w:r>
      <w:r w:rsidRPr="00496FB6" w:rsidR="00AA1E2E">
        <w:t>as to</w:t>
      </w:r>
      <w:r w:rsidRPr="00496FB6" w:rsidR="004E67F5">
        <w:t xml:space="preserve"> whether</w:t>
      </w:r>
      <w:r w:rsidRPr="00496FB6" w:rsidR="003F3578">
        <w:t xml:space="preserve"> </w:t>
      </w:r>
      <w:r w:rsidRPr="00496FB6" w:rsidR="005A7CCF">
        <w:t xml:space="preserve">his “personal feelings” would “interfere with </w:t>
      </w:r>
      <w:r w:rsidRPr="00496FB6" w:rsidR="00BC0A9A">
        <w:t xml:space="preserve">[his] </w:t>
      </w:r>
      <w:r w:rsidRPr="00496FB6" w:rsidR="005A7CCF">
        <w:t xml:space="preserve">ability to consider the options at either end,” </w:t>
      </w:r>
      <w:r w:rsidRPr="00496FB6" w:rsidR="003F3578">
        <w:t>Prospective Juror No.</w:t>
      </w:r>
      <w:r w:rsidRPr="00496FB6" w:rsidR="00BC0A9A">
        <w:t> </w:t>
      </w:r>
      <w:r w:rsidRPr="00496FB6" w:rsidR="003F3578">
        <w:t>11</w:t>
      </w:r>
      <w:r w:rsidR="00511490">
        <w:t>1</w:t>
      </w:r>
      <w:r w:rsidRPr="00496FB6" w:rsidR="003F3578">
        <w:t xml:space="preserve"> stated that he thought </w:t>
      </w:r>
      <w:r w:rsidRPr="00496FB6" w:rsidR="00174356">
        <w:t>“</w:t>
      </w:r>
      <w:r w:rsidRPr="00496FB6" w:rsidR="00166F9D">
        <w:t xml:space="preserve">the bar is going to be higher in terms of the need for substantial aggravating circumstances.”  </w:t>
      </w:r>
      <w:r w:rsidRPr="00496FB6" w:rsidR="00E5150B">
        <w:t>I</w:t>
      </w:r>
      <w:r w:rsidRPr="00496FB6">
        <w:t>n</w:t>
      </w:r>
      <w:r w:rsidRPr="00496FB6" w:rsidR="00E5150B">
        <w:t xml:space="preserve"> excusing </w:t>
      </w:r>
      <w:r w:rsidRPr="00496FB6" w:rsidR="004D6588">
        <w:t>Prospective Juror No. 111</w:t>
      </w:r>
      <w:r w:rsidRPr="00496FB6" w:rsidR="00E5150B">
        <w:t>, the trial court referred to this exchange, remarking</w:t>
      </w:r>
      <w:r w:rsidRPr="00496FB6" w:rsidR="00B86CC0">
        <w:t xml:space="preserve"> </w:t>
      </w:r>
      <w:r w:rsidRPr="00496FB6" w:rsidR="008B4C93">
        <w:t>in part</w:t>
      </w:r>
      <w:r w:rsidRPr="00496FB6" w:rsidR="00253696">
        <w:t>:</w:t>
      </w:r>
      <w:r w:rsidRPr="00496FB6" w:rsidR="00BC0A9A">
        <w:t xml:space="preserve"> </w:t>
      </w:r>
      <w:r w:rsidRPr="00496FB6" w:rsidR="00B86CC0">
        <w:t xml:space="preserve"> “I accept the responsibility for trying to put it in a way that was designed to think about if he followed the law, as he put it, and he did his weighing and he became convinced that the aggravating circumstances substantially outweighed the mitigating circumstances would he nevertheless feel compelled to impose his personal belief as a barrier, if you will</w:t>
      </w:r>
      <w:r w:rsidRPr="00496FB6" w:rsidR="00BC0A9A">
        <w:t> </w:t>
      </w:r>
      <w:r w:rsidRPr="00496FB6" w:rsidR="00C467A9">
        <w:t xml:space="preserve">— </w:t>
      </w:r>
      <w:r w:rsidRPr="00496FB6" w:rsidR="00B86CC0">
        <w:t>I put it narrowing the funnel</w:t>
      </w:r>
      <w:r w:rsidRPr="00496FB6" w:rsidR="00BC0A9A">
        <w:t> </w:t>
      </w:r>
      <w:r w:rsidRPr="00496FB6" w:rsidR="00C467A9">
        <w:t>—</w:t>
      </w:r>
      <w:r w:rsidRPr="00496FB6" w:rsidR="00B86CC0">
        <w:t xml:space="preserve"> as a barrier to imposing the death penalty. </w:t>
      </w:r>
      <w:r w:rsidRPr="00496FB6" w:rsidR="00C467A9">
        <w:t xml:space="preserve"> </w:t>
      </w:r>
      <w:r w:rsidRPr="00496FB6" w:rsidR="00B86CC0">
        <w:t xml:space="preserve">And I didn’t write down his exact answer, but, as I recall, he said yes, that’s true. </w:t>
      </w:r>
      <w:r w:rsidRPr="00496FB6" w:rsidR="00B82658">
        <w:t xml:space="preserve"> </w:t>
      </w:r>
      <w:r w:rsidRPr="00496FB6" w:rsidR="00B86CC0">
        <w:t>He</w:t>
      </w:r>
      <w:r w:rsidRPr="00496FB6" w:rsidR="00B82658">
        <w:t>’</w:t>
      </w:r>
      <w:r w:rsidRPr="00496FB6" w:rsidR="00B86CC0">
        <w:t>s the one that came up with</w:t>
      </w:r>
      <w:r w:rsidRPr="00496FB6" w:rsidR="0055645E">
        <w:t> . . .</w:t>
      </w:r>
      <w:r w:rsidRPr="00496FB6" w:rsidR="00B86CC0">
        <w:t xml:space="preserve"> the answer that yes, he would</w:t>
      </w:r>
      <w:r w:rsidRPr="00496FB6" w:rsidR="00BC0A9A">
        <w:t> </w:t>
      </w:r>
      <w:r w:rsidRPr="00496FB6" w:rsidR="00B82658">
        <w:t>—</w:t>
      </w:r>
      <w:r w:rsidRPr="00496FB6" w:rsidR="00B86CC0">
        <w:t xml:space="preserve"> the bar would be higher for him. </w:t>
      </w:r>
      <w:r w:rsidRPr="00496FB6" w:rsidR="00B82658">
        <w:t xml:space="preserve"> </w:t>
      </w:r>
      <w:r w:rsidRPr="00496FB6" w:rsidR="00B86CC0">
        <w:t>And I took that to mean that the bar would be his personal beliefs which he had difficulty overcoming in considering the death penalty as a result.”</w:t>
      </w:r>
      <w:r w:rsidR="00A47E74">
        <w:t xml:space="preserve">  </w:t>
      </w:r>
    </w:p>
    <w:p w:rsidR="00BE2234" w:rsidRPr="00496FB6" w:rsidP="00496FB6" w14:paraId="5543B8D1" w14:textId="7658B680">
      <w:pPr>
        <w:ind w:firstLine="720"/>
      </w:pPr>
      <w:r>
        <w:t>T</w:t>
      </w:r>
      <w:r w:rsidR="00A47E74">
        <w:t xml:space="preserve">he court further explained that it took </w:t>
      </w:r>
      <w:r w:rsidR="000C69E4">
        <w:t xml:space="preserve">the sum of </w:t>
      </w:r>
      <w:r w:rsidR="00A47E74">
        <w:t>Prospective</w:t>
      </w:r>
      <w:r w:rsidR="00E529AD">
        <w:t xml:space="preserve"> Juror No. 111’s comments to mean that </w:t>
      </w:r>
      <w:r w:rsidR="00496CA6">
        <w:t xml:space="preserve">his </w:t>
      </w:r>
      <w:r w:rsidR="00E529AD">
        <w:t xml:space="preserve">personal beliefs would make </w:t>
      </w:r>
      <w:r w:rsidR="0055761D">
        <w:t xml:space="preserve">it difficult </w:t>
      </w:r>
      <w:r w:rsidR="0053726E">
        <w:t xml:space="preserve">for him </w:t>
      </w:r>
      <w:r w:rsidR="0055761D">
        <w:t>to apply the law</w:t>
      </w:r>
      <w:r w:rsidR="00887976">
        <w:t>.  The court elaborated:</w:t>
      </w:r>
      <w:r w:rsidR="0018383B">
        <w:t xml:space="preserve"> </w:t>
      </w:r>
      <w:r w:rsidR="00FA48B1">
        <w:t xml:space="preserve"> </w:t>
      </w:r>
      <w:r w:rsidRPr="0011080B" w:rsidR="0018383B">
        <w:t xml:space="preserve">“What do I get from all of this?  [¶] </w:t>
      </w:r>
      <w:r w:rsidR="0018383B">
        <w:rPr>
          <w:sz w:val="26"/>
          <w:szCs w:val="26"/>
        </w:rPr>
        <w:t xml:space="preserve"> </w:t>
      </w:r>
      <w:r w:rsidRPr="00D37703" w:rsidR="0018383B">
        <w:rPr>
          <w:szCs w:val="27"/>
        </w:rPr>
        <w:t xml:space="preserve">I get a man struggling with his ability to accept the doctrines of law we would explain to him, to think about the fact that he might be under law and doing his duty feel compelled to reach a decision by the weighing process and then be prevented from doing it because of his personal beliefs.  [¶] . . . I find </w:t>
      </w:r>
      <w:r w:rsidRPr="00D37703" w:rsidR="008E61F2">
        <w:rPr>
          <w:szCs w:val="27"/>
        </w:rPr>
        <w:t>.</w:t>
      </w:r>
      <w:r w:rsidRPr="00D37703" w:rsidR="00724344">
        <w:rPr>
          <w:szCs w:val="27"/>
        </w:rPr>
        <w:t> </w:t>
      </w:r>
      <w:r w:rsidRPr="00D37703" w:rsidR="008E61F2">
        <w:rPr>
          <w:szCs w:val="27"/>
        </w:rPr>
        <w:t>.</w:t>
      </w:r>
      <w:r w:rsidRPr="00D37703" w:rsidR="00724344">
        <w:rPr>
          <w:szCs w:val="27"/>
        </w:rPr>
        <w:t> </w:t>
      </w:r>
      <w:r w:rsidRPr="00D37703" w:rsidR="008E61F2">
        <w:rPr>
          <w:szCs w:val="27"/>
        </w:rPr>
        <w:t xml:space="preserve">. </w:t>
      </w:r>
      <w:r w:rsidRPr="00D37703" w:rsidR="0018383B">
        <w:rPr>
          <w:szCs w:val="27"/>
        </w:rPr>
        <w:t>that his personal beliefs as a result of all this give and take and all these analogies would result in him being unable to follow the law and impair his ability to accept the responsibilities for this case.”</w:t>
      </w:r>
      <w:r>
        <w:rPr>
          <w:rStyle w:val="FootnoteReference"/>
        </w:rPr>
        <w:footnoteReference w:id="10"/>
      </w:r>
      <w:r w:rsidR="007F01FE">
        <w:t xml:space="preserve"> </w:t>
      </w:r>
      <w:r w:rsidRPr="0011080B" w:rsidR="0018383B">
        <w:rPr>
          <w:sz w:val="26"/>
        </w:rPr>
        <w:t xml:space="preserve"> </w:t>
      </w:r>
    </w:p>
    <w:p w:rsidR="00A01DE2" w:rsidP="00FA48B1" w14:paraId="077E8856" w14:textId="7836C526">
      <w:pPr>
        <w:ind w:firstLine="720"/>
      </w:pPr>
      <w:r>
        <w:t>D</w:t>
      </w:r>
      <w:r w:rsidRPr="00496FB6" w:rsidR="00A24BC5">
        <w:t>efendant</w:t>
      </w:r>
      <w:r w:rsidRPr="00496FB6" w:rsidR="009F4869">
        <w:t xml:space="preserve"> contends </w:t>
      </w:r>
      <w:r w:rsidRPr="00496FB6" w:rsidR="00E0223C">
        <w:t>the trial court misrepresent</w:t>
      </w:r>
      <w:r w:rsidR="009D53F4">
        <w:t>ed</w:t>
      </w:r>
      <w:r w:rsidRPr="00496FB6" w:rsidR="00E0223C">
        <w:t xml:space="preserve"> </w:t>
      </w:r>
      <w:r w:rsidRPr="00496FB6" w:rsidR="007F669F">
        <w:t>the prospective juror’s</w:t>
      </w:r>
      <w:r w:rsidRPr="00496FB6" w:rsidR="00E0223C">
        <w:t xml:space="preserve"> statements and misappli</w:t>
      </w:r>
      <w:r w:rsidR="00554439">
        <w:t>ed</w:t>
      </w:r>
      <w:r w:rsidRPr="00496FB6" w:rsidR="00E0223C">
        <w:t xml:space="preserve"> the law</w:t>
      </w:r>
      <w:r w:rsidRPr="00496FB6" w:rsidR="00725E4F">
        <w:t>.</w:t>
      </w:r>
      <w:r w:rsidRPr="00496FB6" w:rsidR="00E0223C">
        <w:t xml:space="preserve"> </w:t>
      </w:r>
      <w:r w:rsidRPr="00496FB6" w:rsidR="00725E4F">
        <w:t xml:space="preserve"> </w:t>
      </w:r>
      <w:r w:rsidRPr="00496FB6" w:rsidR="00F2390A">
        <w:t xml:space="preserve">As to the former, </w:t>
      </w:r>
      <w:r w:rsidRPr="00496FB6" w:rsidR="00A24BC5">
        <w:t>defendant</w:t>
      </w:r>
      <w:r w:rsidRPr="00496FB6" w:rsidR="00F2390A">
        <w:t xml:space="preserve"> provides an alternative interpretation of </w:t>
      </w:r>
      <w:r w:rsidRPr="00496FB6" w:rsidR="004D6588">
        <w:t>Prospective Juror No.</w:t>
      </w:r>
      <w:r w:rsidRPr="00496FB6" w:rsidR="00121242">
        <w:t> </w:t>
      </w:r>
      <w:r w:rsidRPr="00496FB6" w:rsidR="004D6588">
        <w:t>111</w:t>
      </w:r>
      <w:r w:rsidRPr="00496FB6" w:rsidR="00F2390A">
        <w:t>’s statements, arguing, “</w:t>
      </w:r>
      <w:r w:rsidRPr="00496FB6" w:rsidR="00995BDD">
        <w:t>[</w:t>
      </w:r>
      <w:r w:rsidRPr="00496FB6" w:rsidR="004D6588">
        <w:t>Prospective</w:t>
      </w:r>
      <w:r w:rsidRPr="00496FB6" w:rsidR="0055645E">
        <w:t>]</w:t>
      </w:r>
      <w:r w:rsidRPr="00496FB6" w:rsidR="004D6588">
        <w:t xml:space="preserve"> Juror No. 111</w:t>
      </w:r>
      <w:r w:rsidRPr="00496FB6" w:rsidR="00F2390A">
        <w:t xml:space="preserve"> </w:t>
      </w:r>
      <w:r w:rsidRPr="00496FB6" w:rsidR="0055645E">
        <w:t xml:space="preserve">. . . </w:t>
      </w:r>
      <w:r w:rsidRPr="00496FB6" w:rsidR="00F2390A">
        <w:t xml:space="preserve">did </w:t>
      </w:r>
      <w:r w:rsidRPr="00496FB6" w:rsidR="00F2390A">
        <w:rPr>
          <w:i/>
          <w:iCs/>
        </w:rPr>
        <w:t xml:space="preserve">not </w:t>
      </w:r>
      <w:r w:rsidRPr="00496FB6" w:rsidR="00F2390A">
        <w:t xml:space="preserve">say that his beliefs would </w:t>
      </w:r>
      <w:r w:rsidRPr="00496FB6" w:rsidR="00F2390A">
        <w:rPr>
          <w:i/>
          <w:iCs/>
        </w:rPr>
        <w:t xml:space="preserve">interfere </w:t>
      </w:r>
      <w:r w:rsidRPr="00496FB6" w:rsidR="00F2390A">
        <w:t xml:space="preserve">with his ability to impose the death penalty, he did acknowledge that they would </w:t>
      </w:r>
      <w:r w:rsidRPr="00496FB6" w:rsidR="00F2390A">
        <w:rPr>
          <w:i/>
          <w:iCs/>
        </w:rPr>
        <w:t xml:space="preserve">influence </w:t>
      </w:r>
      <w:r w:rsidRPr="00496FB6" w:rsidR="00F2390A">
        <w:t xml:space="preserve">his penalty decision.” </w:t>
      </w:r>
      <w:r w:rsidRPr="00496FB6" w:rsidR="00E55CE2">
        <w:t xml:space="preserve"> </w:t>
      </w:r>
      <w:r w:rsidRPr="00496FB6" w:rsidR="00334514">
        <w:t xml:space="preserve">But the trial court, having listened to the responses and observed the prospective juror, was in the best position to evaluate the statements that were made in the context of the entire exchange.  The trial court’s summary does not misrepresent </w:t>
      </w:r>
      <w:r w:rsidRPr="00496FB6" w:rsidR="002A650F">
        <w:t>the prospective juror’s statements</w:t>
      </w:r>
      <w:r w:rsidRPr="00496FB6" w:rsidR="00334514">
        <w:t xml:space="preserve"> as a whole</w:t>
      </w:r>
      <w:r w:rsidRPr="00496FB6" w:rsidR="002A650F">
        <w:t xml:space="preserve">.  </w:t>
      </w:r>
    </w:p>
    <w:p w:rsidR="00F422FF" w:rsidRPr="00496FB6" w:rsidP="00496FB6" w14:paraId="6A01CF00" w14:textId="5D7110B0">
      <w:pPr>
        <w:ind w:firstLine="720"/>
      </w:pPr>
      <w:r w:rsidRPr="00A01DE2">
        <w:t>Defendant also contends the trial court erroneously stated Prospective Juror No. 111 indicated during v</w:t>
      </w:r>
      <w:r w:rsidRPr="00A01DE2">
        <w:t xml:space="preserve">oir dire that “it was hard to think of, I guess, or suppose a case where he could impose [the death penalty].”  Defendant </w:t>
      </w:r>
      <w:r w:rsidR="00752475">
        <w:t>maintains</w:t>
      </w:r>
      <w:r w:rsidRPr="00A01DE2">
        <w:t xml:space="preserve"> the trial court’s statement was </w:t>
      </w:r>
      <w:r w:rsidR="0064146D">
        <w:t>incorrect</w:t>
      </w:r>
      <w:r w:rsidRPr="00A01DE2">
        <w:t xml:space="preserve"> because</w:t>
      </w:r>
      <w:r w:rsidR="00344691">
        <w:t>, according to defendant,</w:t>
      </w:r>
      <w:r w:rsidRPr="00A01DE2">
        <w:t xml:space="preserve"> Prospective “Juror No. 111 said that he </w:t>
      </w:r>
      <w:r w:rsidRPr="00A01DE2">
        <w:rPr>
          <w:i/>
          <w:iCs/>
        </w:rPr>
        <w:t xml:space="preserve">could </w:t>
      </w:r>
      <w:r w:rsidRPr="00A01DE2">
        <w:t>thi</w:t>
      </w:r>
      <w:r w:rsidRPr="00A01DE2">
        <w:t xml:space="preserve">nk of cases — albeit not the majority of cases — in which he could impose the death penalty.”  The trial court did not </w:t>
      </w:r>
      <w:r w:rsidR="008343DF">
        <w:t>incorrectly summarize</w:t>
      </w:r>
      <w:r w:rsidRPr="00A01DE2">
        <w:t xml:space="preserve"> the gist of the prospective juror’s statements.  While Prospective Juror No. 111 stated there was a chance that he </w:t>
      </w:r>
      <w:r w:rsidRPr="00A01DE2">
        <w:t>could impose the death penalty in a case involving hypothetical charges like those alleged in this case, he also stated that in “the majority of the scenarios, I just really have a hard time personally thinking that death is an appropriate penalty.”  Prosp</w:t>
      </w:r>
      <w:r w:rsidRPr="00A01DE2">
        <w:t xml:space="preserve">ective Juror No. 111 also stated that it was “very unlikely” that he could “consider voting for death.” </w:t>
      </w:r>
      <w:r w:rsidR="00E64BD2">
        <w:t xml:space="preserve"> </w:t>
      </w:r>
      <w:r w:rsidRPr="00A01DE2">
        <w:t xml:space="preserve">The trial court’s summary of the prospective juror’s statements was reasonable and did not </w:t>
      </w:r>
      <w:r w:rsidR="008343DF">
        <w:t>amount to</w:t>
      </w:r>
      <w:r w:rsidRPr="00A01DE2">
        <w:t xml:space="preserve"> a misstatement.</w:t>
      </w:r>
      <w:r>
        <w:rPr>
          <w:rStyle w:val="FootnoteReference"/>
        </w:rPr>
        <w:footnoteReference w:id="11"/>
      </w:r>
    </w:p>
    <w:p w:rsidR="00AC49E1" w:rsidRPr="00496FB6" w:rsidP="00FA48B1" w14:paraId="66481D78" w14:textId="3BA2C217">
      <w:pPr>
        <w:ind w:firstLine="720"/>
      </w:pPr>
      <w:r w:rsidRPr="00496FB6">
        <w:t xml:space="preserve">As far as </w:t>
      </w:r>
      <w:r w:rsidR="008343DF">
        <w:t xml:space="preserve">purportedly </w:t>
      </w:r>
      <w:r w:rsidRPr="00496FB6">
        <w:t>misapplyin</w:t>
      </w:r>
      <w:r w:rsidRPr="00496FB6">
        <w:t>g the</w:t>
      </w:r>
      <w:r w:rsidRPr="00496FB6" w:rsidR="0017052B">
        <w:t xml:space="preserve"> law, </w:t>
      </w:r>
      <w:r w:rsidRPr="00496FB6" w:rsidR="00A24BC5">
        <w:t>defendant</w:t>
      </w:r>
      <w:r w:rsidRPr="00496FB6" w:rsidR="0017052B">
        <w:t xml:space="preserve"> contends </w:t>
      </w:r>
      <w:r w:rsidRPr="00496FB6" w:rsidR="008A72B8">
        <w:t xml:space="preserve">the trial court erroneously believed that </w:t>
      </w:r>
      <w:r w:rsidRPr="00496FB6" w:rsidR="00B078EE">
        <w:t xml:space="preserve">it would be </w:t>
      </w:r>
      <w:r w:rsidRPr="00496FB6" w:rsidR="005B0F08">
        <w:t>disqualifying</w:t>
      </w:r>
      <w:r w:rsidRPr="00496FB6" w:rsidR="00B62335">
        <w:t xml:space="preserve"> </w:t>
      </w:r>
      <w:r w:rsidRPr="00496FB6">
        <w:t xml:space="preserve">for a prospective juror to hold personal views of the death penalty that would render it more difficult for the </w:t>
      </w:r>
      <w:r w:rsidRPr="00496FB6" w:rsidR="009F18FD">
        <w:t xml:space="preserve">prospective </w:t>
      </w:r>
      <w:r w:rsidRPr="00496FB6">
        <w:t xml:space="preserve">juror to find aggravating factors that warrant the death penalty than </w:t>
      </w:r>
      <w:r w:rsidRPr="00496FB6" w:rsidR="009F18FD">
        <w:t xml:space="preserve">would be true of </w:t>
      </w:r>
      <w:r w:rsidRPr="00496FB6">
        <w:t>the average person</w:t>
      </w:r>
      <w:r w:rsidRPr="00496FB6" w:rsidR="002A650F">
        <w:t xml:space="preserve">.  Defendant reasons this </w:t>
      </w:r>
      <w:r w:rsidRPr="00496FB6" w:rsidR="00600E8F">
        <w:t>contraven</w:t>
      </w:r>
      <w:r w:rsidRPr="00496FB6" w:rsidR="002A650F">
        <w:t>es</w:t>
      </w:r>
      <w:r w:rsidRPr="00496FB6" w:rsidR="00600E8F">
        <w:t xml:space="preserve"> cases such as </w:t>
      </w:r>
      <w:bookmarkStart w:id="44" w:name="dabmci_e3e3035d55cd46f8960f97f940a280db"/>
      <w:r w:rsidRPr="00496FB6" w:rsidR="00C03455">
        <w:rPr>
          <w:i/>
          <w:iCs/>
        </w:rPr>
        <w:t>People v. Kaurish</w:t>
      </w:r>
      <w:r w:rsidRPr="00496FB6" w:rsidR="00C03455">
        <w:t xml:space="preserve"> (1990) 52</w:t>
      </w:r>
      <w:r w:rsidRPr="00496FB6" w:rsidR="00DE67C4">
        <w:t> </w:t>
      </w:r>
      <w:r w:rsidRPr="00496FB6" w:rsidR="00C03455">
        <w:t>Cal.3d 648,</w:t>
      </w:r>
      <w:r w:rsidRPr="00496FB6" w:rsidR="00DE67C4">
        <w:t> </w:t>
      </w:r>
      <w:r w:rsidRPr="00496FB6" w:rsidR="00C03455">
        <w:t>699</w:t>
      </w:r>
      <w:bookmarkEnd w:id="44"/>
      <w:r w:rsidRPr="00496FB6" w:rsidR="00A77BC5">
        <w:t xml:space="preserve"> and </w:t>
      </w:r>
      <w:bookmarkStart w:id="45" w:name="dabmci_f40d5177cb75430dbc3e1b67c169493d"/>
      <w:r w:rsidRPr="00496FB6">
        <w:rPr>
          <w:i/>
          <w:iCs/>
        </w:rPr>
        <w:t xml:space="preserve">People v. Martinez </w:t>
      </w:r>
      <w:r w:rsidRPr="00496FB6">
        <w:t>(2009) 47</w:t>
      </w:r>
      <w:r w:rsidRPr="00496FB6" w:rsidR="00DE67C4">
        <w:t> </w:t>
      </w:r>
      <w:r w:rsidRPr="00496FB6">
        <w:t>Cal.4th 399,</w:t>
      </w:r>
      <w:r w:rsidRPr="00496FB6" w:rsidR="00EE2048">
        <w:t xml:space="preserve"> </w:t>
      </w:r>
      <w:r w:rsidRPr="00496FB6">
        <w:t>432</w:t>
      </w:r>
      <w:bookmarkEnd w:id="45"/>
      <w:r w:rsidRPr="00496FB6" w:rsidR="00600E8F">
        <w:t xml:space="preserve">.  </w:t>
      </w:r>
      <w:r w:rsidR="009F3BCA">
        <w:t xml:space="preserve">We do not discern any such misapplication from the </w:t>
      </w:r>
      <w:r w:rsidRPr="00496FB6" w:rsidR="00D87E61">
        <w:t>trial court</w:t>
      </w:r>
      <w:r w:rsidR="009F3BCA">
        <w:t>’s</w:t>
      </w:r>
      <w:r w:rsidRPr="00496FB6" w:rsidR="00D87E61">
        <w:t xml:space="preserve"> statement</w:t>
      </w:r>
      <w:r w:rsidR="009F3BCA">
        <w:t>s</w:t>
      </w:r>
      <w:r w:rsidRPr="00496FB6" w:rsidR="00D87E61">
        <w:t xml:space="preserve">. </w:t>
      </w:r>
      <w:r w:rsidRPr="00496FB6" w:rsidR="00D576A8">
        <w:t xml:space="preserve"> Instead, as </w:t>
      </w:r>
      <w:r w:rsidRPr="00496FB6" w:rsidR="004C1A78">
        <w:t xml:space="preserve">outlined above, the trial court reasonably interpreted </w:t>
      </w:r>
      <w:r w:rsidRPr="00496FB6" w:rsidR="004D6588">
        <w:t>Prospective Juror No.</w:t>
      </w:r>
      <w:r w:rsidRPr="00496FB6" w:rsidR="00341DAE">
        <w:t> </w:t>
      </w:r>
      <w:r w:rsidRPr="00496FB6" w:rsidR="004D6588">
        <w:t>111</w:t>
      </w:r>
      <w:r w:rsidRPr="00496FB6" w:rsidR="000822CA">
        <w:t>’s remarks as indicating that his</w:t>
      </w:r>
      <w:r w:rsidRPr="00496FB6">
        <w:t xml:space="preserve"> personal views </w:t>
      </w:r>
      <w:r w:rsidRPr="00496FB6" w:rsidR="000822CA">
        <w:t xml:space="preserve">on the death penalty would </w:t>
      </w:r>
      <w:r w:rsidRPr="00496FB6">
        <w:t>impair</w:t>
      </w:r>
      <w:r w:rsidRPr="00496FB6" w:rsidR="000822CA">
        <w:t xml:space="preserve"> him</w:t>
      </w:r>
      <w:r w:rsidRPr="00496FB6">
        <w:t xml:space="preserve"> from imposing the death penalty </w:t>
      </w:r>
      <w:r w:rsidRPr="00496FB6">
        <w:rPr>
          <w:i/>
          <w:iCs/>
        </w:rPr>
        <w:t xml:space="preserve">even </w:t>
      </w:r>
      <w:r w:rsidRPr="00496FB6" w:rsidR="00C53EE2">
        <w:rPr>
          <w:i/>
          <w:iCs/>
        </w:rPr>
        <w:t>if</w:t>
      </w:r>
      <w:r w:rsidRPr="00496FB6" w:rsidR="00C53EE2">
        <w:t xml:space="preserve"> </w:t>
      </w:r>
      <w:r w:rsidRPr="00496FB6" w:rsidR="0079621B">
        <w:t>he</w:t>
      </w:r>
      <w:r w:rsidRPr="00496FB6" w:rsidR="00C53EE2">
        <w:t xml:space="preserve"> were to </w:t>
      </w:r>
      <w:r w:rsidRPr="00496FB6" w:rsidR="00194C97">
        <w:t xml:space="preserve">determine </w:t>
      </w:r>
      <w:r w:rsidRPr="00496FB6">
        <w:t xml:space="preserve">that the </w:t>
      </w:r>
      <w:r w:rsidRPr="00496FB6" w:rsidR="002416DF">
        <w:t>death penalty was</w:t>
      </w:r>
      <w:r w:rsidRPr="00496FB6">
        <w:t xml:space="preserve"> warranted </w:t>
      </w:r>
      <w:r w:rsidRPr="00496FB6" w:rsidR="002416DF">
        <w:t>under the law</w:t>
      </w:r>
      <w:r w:rsidRPr="00496FB6" w:rsidR="00A77BC5">
        <w:t xml:space="preserve">. </w:t>
      </w:r>
      <w:r w:rsidRPr="00496FB6" w:rsidR="00BC0AD9">
        <w:t xml:space="preserve"> </w:t>
      </w:r>
      <w:r w:rsidR="009F3BCA">
        <w:t>S</w:t>
      </w:r>
      <w:r w:rsidR="004C5C5A">
        <w:t>ubstantial evidence support</w:t>
      </w:r>
      <w:r w:rsidR="009F3BCA">
        <w:t>s</w:t>
      </w:r>
      <w:r w:rsidR="004C5C5A">
        <w:t xml:space="preserve"> </w:t>
      </w:r>
      <w:r w:rsidR="00636439">
        <w:t>the trial court’s determination</w:t>
      </w:r>
      <w:r w:rsidR="00C405B3">
        <w:t xml:space="preserve"> on this point</w:t>
      </w:r>
      <w:r w:rsidR="00636439">
        <w:t>, which</w:t>
      </w:r>
      <w:r w:rsidRPr="00496FB6" w:rsidR="00FB149C">
        <w:t xml:space="preserve"> </w:t>
      </w:r>
      <w:r w:rsidR="00CA7BF9">
        <w:t>constitutes</w:t>
      </w:r>
      <w:r w:rsidRPr="00496FB6" w:rsidR="00A77BC5">
        <w:t xml:space="preserve"> </w:t>
      </w:r>
      <w:r w:rsidRPr="00496FB6" w:rsidR="00FB149C">
        <w:t xml:space="preserve">a proper basis for striking a </w:t>
      </w:r>
      <w:r w:rsidRPr="00496FB6">
        <w:t xml:space="preserve">prospective juror </w:t>
      </w:r>
      <w:r w:rsidRPr="00496FB6" w:rsidR="00DC2EE1">
        <w:t>for</w:t>
      </w:r>
      <w:r w:rsidRPr="00496FB6" w:rsidR="00381EA8">
        <w:t xml:space="preserve"> </w:t>
      </w:r>
      <w:r w:rsidRPr="00496FB6" w:rsidR="00FB149C">
        <w:t>substantial impair</w:t>
      </w:r>
      <w:r w:rsidRPr="00496FB6" w:rsidR="00DC2EE1">
        <w:t>ment</w:t>
      </w:r>
      <w:r w:rsidRPr="00496FB6">
        <w:t>.</w:t>
      </w:r>
      <w:r w:rsidRPr="00496FB6" w:rsidR="00020651">
        <w:t xml:space="preserve">  (See </w:t>
      </w:r>
      <w:bookmarkStart w:id="46" w:name="dabmci_d4378baad7964a3bae7191e1dbf8ccb9"/>
      <w:r w:rsidRPr="00496FB6" w:rsidR="00304ABC">
        <w:rPr>
          <w:i/>
          <w:iCs/>
        </w:rPr>
        <w:t>People v.</w:t>
      </w:r>
      <w:r w:rsidRPr="00496FB6" w:rsidR="00304ABC">
        <w:t xml:space="preserve"> </w:t>
      </w:r>
      <w:r w:rsidRPr="00496FB6" w:rsidR="00020651">
        <w:rPr>
          <w:i/>
          <w:iCs/>
        </w:rPr>
        <w:t>Scully</w:t>
      </w:r>
      <w:r w:rsidRPr="00496FB6" w:rsidR="00304ABC">
        <w:t xml:space="preserve"> (</w:t>
      </w:r>
      <w:r w:rsidRPr="00496FB6" w:rsidR="00314960">
        <w:t>2021)</w:t>
      </w:r>
      <w:r w:rsidRPr="00496FB6" w:rsidR="00020651">
        <w:t xml:space="preserve"> 11</w:t>
      </w:r>
      <w:r w:rsidRPr="00496FB6" w:rsidR="005F6FFE">
        <w:t> </w:t>
      </w:r>
      <w:r w:rsidRPr="00496FB6" w:rsidR="00020651">
        <w:t xml:space="preserve">Cal.5th </w:t>
      </w:r>
      <w:r w:rsidRPr="00496FB6" w:rsidR="00314960">
        <w:t>542,</w:t>
      </w:r>
      <w:r w:rsidRPr="00496FB6" w:rsidR="005F6FFE">
        <w:t> </w:t>
      </w:r>
      <w:r w:rsidRPr="00496FB6" w:rsidR="00090BD8">
        <w:t>579</w:t>
      </w:r>
      <w:bookmarkEnd w:id="46"/>
      <w:r w:rsidR="0094292F">
        <w:t xml:space="preserve"> (</w:t>
      </w:r>
      <w:r w:rsidRPr="00496FB6" w:rsidR="002D461B">
        <w:rPr>
          <w:i/>
          <w:iCs/>
        </w:rPr>
        <w:t>Scully</w:t>
      </w:r>
      <w:r w:rsidR="002D461B">
        <w:t>)</w:t>
      </w:r>
      <w:r w:rsidRPr="00496FB6" w:rsidR="00090BD8">
        <w:t xml:space="preserve"> [“</w:t>
      </w:r>
      <w:r w:rsidRPr="00496FB6" w:rsidR="00732777">
        <w:t> </w:t>
      </w:r>
      <w:r w:rsidRPr="00496FB6" w:rsidR="008F2233">
        <w:t>‘</w:t>
      </w:r>
      <w:r w:rsidRPr="00496FB6" w:rsidR="00090BD8">
        <w:t xml:space="preserve">excusal is proper when a prospective juror cannot </w:t>
      </w:r>
      <w:r w:rsidRPr="00496FB6" w:rsidR="008F2233">
        <w:t>“</w:t>
      </w:r>
      <w:r w:rsidRPr="00496FB6" w:rsidR="00090BD8">
        <w:t>consider and decide the facts impartially and conscientiously apply the law as charged by the court</w:t>
      </w:r>
      <w:r w:rsidRPr="00496FB6" w:rsidR="008F2233">
        <w:t>” </w:t>
      </w:r>
      <w:r w:rsidRPr="00496FB6" w:rsidR="00090BD8">
        <w:t>’</w:t>
      </w:r>
      <w:r w:rsidRPr="00496FB6" w:rsidR="008F2233">
        <w:t> </w:t>
      </w:r>
      <w:r w:rsidRPr="00496FB6" w:rsidR="00090BD8">
        <w:t>”].)</w:t>
      </w:r>
      <w:r w:rsidR="00CA7BF9">
        <w:t xml:space="preserve"> </w:t>
      </w:r>
    </w:p>
    <w:p w:rsidR="00D370E3" w:rsidRPr="00496FB6" w:rsidP="00FA48B1" w14:paraId="1CD75334" w14:textId="4E1A95D7">
      <w:pPr>
        <w:ind w:firstLine="720"/>
      </w:pPr>
      <w:r w:rsidRPr="00496FB6">
        <w:t>Next, after n</w:t>
      </w:r>
      <w:r w:rsidRPr="00496FB6" w:rsidR="00D86788">
        <w:t xml:space="preserve">oting that the trial court expressly commented on the demeanor of several other jurors in ruling on </w:t>
      </w:r>
      <w:r w:rsidRPr="00496FB6" w:rsidR="00DC1D4F">
        <w:t>challenges throug</w:t>
      </w:r>
      <w:r w:rsidRPr="00496FB6">
        <w:t>hout</w:t>
      </w:r>
      <w:r w:rsidRPr="00496FB6" w:rsidR="00DC1D4F">
        <w:t xml:space="preserve"> the voir dire process, </w:t>
      </w:r>
      <w:r w:rsidRPr="00496FB6" w:rsidR="00A24BC5">
        <w:t>defendant</w:t>
      </w:r>
      <w:r w:rsidRPr="00496FB6" w:rsidR="0044491D">
        <w:t xml:space="preserve"> asserts the trial court’s ruling “was not based on </w:t>
      </w:r>
      <w:r w:rsidRPr="00496FB6" w:rsidR="00031ECC">
        <w:t>[</w:t>
      </w:r>
      <w:r w:rsidRPr="00496FB6" w:rsidR="006C09DF">
        <w:t>P</w:t>
      </w:r>
      <w:r w:rsidRPr="00496FB6" w:rsidR="00031ECC">
        <w:t xml:space="preserve">rospective </w:t>
      </w:r>
      <w:r w:rsidRPr="00496FB6" w:rsidR="0044491D">
        <w:t>Juror No.</w:t>
      </w:r>
      <w:r w:rsidRPr="00496FB6" w:rsidR="001B741C">
        <w:t> </w:t>
      </w:r>
      <w:r w:rsidRPr="00496FB6" w:rsidR="0044491D">
        <w:t>111’s</w:t>
      </w:r>
      <w:r w:rsidRPr="00496FB6" w:rsidR="0055645E">
        <w:t>]</w:t>
      </w:r>
      <w:r w:rsidRPr="00496FB6" w:rsidR="0044491D">
        <w:t xml:space="preserve"> demeanor</w:t>
      </w:r>
      <w:r w:rsidRPr="00496FB6" w:rsidR="00121242">
        <w:t>.</w:t>
      </w:r>
      <w:r w:rsidRPr="00496FB6" w:rsidR="0044491D">
        <w:t xml:space="preserve">”  Yet, the mere fact that the trial court expressly commented on the demeanor of other prospective jurors, but not </w:t>
      </w:r>
      <w:r w:rsidRPr="00496FB6" w:rsidR="004D6588">
        <w:t>Prospective Juror No.</w:t>
      </w:r>
      <w:r w:rsidRPr="00496FB6" w:rsidR="00121242">
        <w:t> </w:t>
      </w:r>
      <w:r w:rsidRPr="00496FB6" w:rsidR="004D6588">
        <w:t>111</w:t>
      </w:r>
      <w:r w:rsidRPr="00496FB6" w:rsidR="0044491D">
        <w:t xml:space="preserve">, does not relieve this court of its obligation to afford deference to the trial court’s ruling.  (See </w:t>
      </w:r>
      <w:bookmarkStart w:id="47" w:name="dabmci_4c803f2b735649419355affa525af308"/>
      <w:r w:rsidRPr="00496FB6" w:rsidR="0044491D">
        <w:rPr>
          <w:i/>
          <w:iCs/>
        </w:rPr>
        <w:t>People v. Poore</w:t>
      </w:r>
      <w:r w:rsidRPr="00496FB6" w:rsidR="0044491D">
        <w:t xml:space="preserve"> (2022) 13</w:t>
      </w:r>
      <w:r w:rsidRPr="00496FB6" w:rsidR="0073350B">
        <w:t> </w:t>
      </w:r>
      <w:r w:rsidRPr="00496FB6" w:rsidR="0044491D">
        <w:t xml:space="preserve">Cal.5th 266, 298 </w:t>
      </w:r>
      <w:r w:rsidR="0078562C">
        <w:t>(</w:t>
      </w:r>
      <w:r w:rsidRPr="0078562C" w:rsidR="0078562C">
        <w:rPr>
          <w:i/>
          <w:iCs/>
        </w:rPr>
        <w:t>Poore</w:t>
      </w:r>
      <w:r w:rsidR="0078562C">
        <w:t xml:space="preserve">) </w:t>
      </w:r>
      <w:r w:rsidRPr="00496FB6" w:rsidR="0044491D">
        <w:t>[“deference to [the trial court’s]</w:t>
      </w:r>
      <w:bookmarkEnd w:id="47"/>
      <w:r w:rsidRPr="00496FB6" w:rsidR="0044491D">
        <w:t xml:space="preserve"> ruling [excusing prospective jurors based on their death penalty views] is appropriate even if the court did not specifically comment about their demeanor on the record”]; accord</w:t>
      </w:r>
      <w:r w:rsidRPr="00496FB6" w:rsidR="000240EB">
        <w:t>,</w:t>
      </w:r>
      <w:r w:rsidRPr="00496FB6" w:rsidR="0044491D">
        <w:t xml:space="preserve"> </w:t>
      </w:r>
      <w:bookmarkStart w:id="48" w:name="dabmci_610b1e9554254eaabe46ed8756c13663"/>
      <w:r w:rsidRPr="00496FB6" w:rsidR="0044491D">
        <w:rPr>
          <w:i/>
          <w:iCs/>
        </w:rPr>
        <w:t>People v. Capistrano</w:t>
      </w:r>
      <w:r w:rsidRPr="00496FB6" w:rsidR="0044491D">
        <w:t xml:space="preserve"> (2014) 59</w:t>
      </w:r>
      <w:r w:rsidRPr="00496FB6" w:rsidR="0073350B">
        <w:t> </w:t>
      </w:r>
      <w:r w:rsidRPr="00496FB6" w:rsidR="0044491D">
        <w:t>Cal.4th 830, 860</w:t>
      </w:r>
      <w:bookmarkEnd w:id="48"/>
      <w:r w:rsidRPr="00496FB6" w:rsidR="0044491D">
        <w:t xml:space="preserve"> [noting the lack of “authority for the proposition that the trial court must spend a certain amount of time, give certain explanations, ask certain questions, or make findings on the record in support of its determination before a reviewing court applies the rule of deference”</w:t>
      </w:r>
      <w:r w:rsidRPr="00496FB6" w:rsidR="00F3331D">
        <w:t xml:space="preserve"> in evaluating a prospective juror’s </w:t>
      </w:r>
      <w:r w:rsidRPr="00496FB6" w:rsidR="008A19C5">
        <w:t>qualification</w:t>
      </w:r>
      <w:r w:rsidRPr="00496FB6" w:rsidR="00BE0919">
        <w:t xml:space="preserve"> to serve in a capital case</w:t>
      </w:r>
      <w:r w:rsidRPr="00496FB6" w:rsidR="0044491D">
        <w:t xml:space="preserve">].)  Further, the </w:t>
      </w:r>
      <w:r w:rsidRPr="00496FB6" w:rsidR="005C6590">
        <w:t xml:space="preserve">record arguably reflects that the trial court did consider </w:t>
      </w:r>
      <w:r w:rsidRPr="00496FB6" w:rsidR="004D6588">
        <w:t>Prospective Juror No. 111</w:t>
      </w:r>
      <w:r w:rsidRPr="00496FB6" w:rsidR="0044491D">
        <w:t xml:space="preserve">’s demeanor.  For example, </w:t>
      </w:r>
      <w:r w:rsidR="00CA7BF9">
        <w:t xml:space="preserve">as noted </w:t>
      </w:r>
      <w:r w:rsidRPr="00CA7BF9" w:rsidR="00CA7BF9">
        <w:rPr>
          <w:i/>
          <w:iCs/>
        </w:rPr>
        <w:t>ante</w:t>
      </w:r>
      <w:r w:rsidR="00CA7BF9">
        <w:t xml:space="preserve">, </w:t>
      </w:r>
      <w:r w:rsidRPr="00496FB6" w:rsidR="0044491D">
        <w:t xml:space="preserve">after reviewing </w:t>
      </w:r>
      <w:r w:rsidRPr="00496FB6" w:rsidR="004D6588">
        <w:t>Prospective Juror No.</w:t>
      </w:r>
      <w:r w:rsidRPr="00496FB6">
        <w:t> </w:t>
      </w:r>
      <w:r w:rsidRPr="00496FB6" w:rsidR="004D6588">
        <w:t>111</w:t>
      </w:r>
      <w:r w:rsidRPr="00496FB6" w:rsidR="0044491D">
        <w:t>’s statements during voir dire, including that the prospective juror had “launched into [a] distinction between his duty to follow the law and his personal beliefs,”</w:t>
      </w:r>
      <w:r w:rsidR="007361FC">
        <w:t xml:space="preserve"> </w:t>
      </w:r>
      <w:r w:rsidRPr="00496FB6" w:rsidR="0044491D">
        <w:t xml:space="preserve">the trial court rhetorically asked, “What do I get from all of this? </w:t>
      </w:r>
      <w:r w:rsidRPr="00496FB6" w:rsidR="00DA1200">
        <w:t xml:space="preserve"> </w:t>
      </w:r>
      <w:r w:rsidRPr="00496FB6" w:rsidR="0055645E">
        <w:t xml:space="preserve">[¶]  </w:t>
      </w:r>
      <w:r w:rsidRPr="00496FB6" w:rsidR="0044491D">
        <w:t xml:space="preserve">I get a man struggling with his ability to accept the doctrines of law we would explain to him.”  </w:t>
      </w:r>
      <w:r w:rsidRPr="00496FB6" w:rsidR="005C6590">
        <w:t>The trial court arguably was</w:t>
      </w:r>
      <w:r w:rsidRPr="00496FB6" w:rsidR="0044491D">
        <w:t xml:space="preserve"> referr</w:t>
      </w:r>
      <w:r w:rsidRPr="00496FB6" w:rsidR="005C6590">
        <w:t>ing</w:t>
      </w:r>
      <w:r w:rsidRPr="00496FB6" w:rsidR="0044491D">
        <w:t xml:space="preserve"> to the sum of all the information that the court </w:t>
      </w:r>
      <w:r w:rsidRPr="00496FB6" w:rsidR="009F18FD">
        <w:t>received</w:t>
      </w:r>
      <w:r w:rsidRPr="00496FB6" w:rsidR="0044491D">
        <w:t xml:space="preserve"> in assessing whether </w:t>
      </w:r>
      <w:r w:rsidRPr="00496FB6" w:rsidR="004D6588">
        <w:t>Prospective Juror No.</w:t>
      </w:r>
      <w:r w:rsidRPr="00496FB6">
        <w:t> </w:t>
      </w:r>
      <w:r w:rsidRPr="00496FB6" w:rsidR="004D6588">
        <w:t>111</w:t>
      </w:r>
      <w:r w:rsidRPr="00496FB6" w:rsidR="0044491D">
        <w:t xml:space="preserve"> was qualified to sit as a juror, including his demeanor during voir dire.  </w:t>
      </w:r>
      <w:r w:rsidRPr="00496FB6" w:rsidR="005C6590">
        <w:t>Regardless,</w:t>
      </w:r>
      <w:r w:rsidRPr="00496FB6" w:rsidR="0044491D">
        <w:t xml:space="preserve"> even assuming the trial court did not rely on </w:t>
      </w:r>
      <w:r w:rsidRPr="00496FB6" w:rsidR="004D6588">
        <w:t>Prospective Juror No.</w:t>
      </w:r>
      <w:r w:rsidRPr="00496FB6">
        <w:t> </w:t>
      </w:r>
      <w:r w:rsidRPr="00496FB6" w:rsidR="004D6588">
        <w:t>111</w:t>
      </w:r>
      <w:r w:rsidRPr="00496FB6" w:rsidR="0044491D">
        <w:t>’s demeanor, there is substantial evidence in the record to support a finding of substantial impairment, as summarized above.</w:t>
      </w:r>
      <w:r w:rsidR="003E5B3E">
        <w:t xml:space="preserve">  </w:t>
      </w:r>
    </w:p>
    <w:p w:rsidR="000B7250" w:rsidRPr="00496FB6" w:rsidP="007D1A37" w14:paraId="2EAE1FB7" w14:textId="37225EDE">
      <w:pPr>
        <w:ind w:firstLine="720"/>
      </w:pPr>
      <w:r w:rsidRPr="00496FB6">
        <w:t>Defendant</w:t>
      </w:r>
      <w:r w:rsidRPr="00496FB6" w:rsidR="004577D6">
        <w:t xml:space="preserve"> </w:t>
      </w:r>
      <w:r w:rsidRPr="00496FB6" w:rsidR="0028587C">
        <w:t xml:space="preserve">also </w:t>
      </w:r>
      <w:r w:rsidRPr="00496FB6" w:rsidR="004577D6">
        <w:t xml:space="preserve">contends </w:t>
      </w:r>
      <w:r w:rsidRPr="00496FB6" w:rsidR="004D6588">
        <w:t>Prospective Juror No. 111</w:t>
      </w:r>
      <w:r w:rsidRPr="00496FB6" w:rsidR="004577D6">
        <w:t xml:space="preserve"> </w:t>
      </w:r>
      <w:r w:rsidRPr="00496FB6" w:rsidR="00917945">
        <w:t>“made no conflicting or equivocal statements about his ability to vote for death in a factually appropriate case.”</w:t>
      </w:r>
      <w:r w:rsidRPr="00496FB6" w:rsidR="00EC09EA">
        <w:t xml:space="preserve"> </w:t>
      </w:r>
      <w:r w:rsidRPr="00496FB6" w:rsidR="00917945">
        <w:t xml:space="preserve"> </w:t>
      </w:r>
      <w:r w:rsidRPr="00496FB6" w:rsidR="00544E93">
        <w:t>Again, t</w:t>
      </w:r>
      <w:r w:rsidRPr="00496FB6" w:rsidR="00917945">
        <w:t xml:space="preserve">he record does not support </w:t>
      </w:r>
      <w:r w:rsidRPr="00496FB6">
        <w:t>defendant</w:t>
      </w:r>
      <w:r w:rsidRPr="00496FB6" w:rsidR="00917945">
        <w:t xml:space="preserve">’s contention.  In addition to </w:t>
      </w:r>
      <w:r w:rsidRPr="00496FB6" w:rsidR="00D1459A">
        <w:t xml:space="preserve">the </w:t>
      </w:r>
      <w:r w:rsidRPr="00496FB6" w:rsidR="00B90D7F">
        <w:t xml:space="preserve">ambiguous answer </w:t>
      </w:r>
      <w:r w:rsidRPr="00496FB6" w:rsidR="006E3FC2">
        <w:t xml:space="preserve">given </w:t>
      </w:r>
      <w:r w:rsidRPr="00496FB6" w:rsidR="00B90D7F">
        <w:t xml:space="preserve">in connection with the trial court’s </w:t>
      </w:r>
      <w:r w:rsidRPr="00496FB6" w:rsidR="009F18FD">
        <w:t xml:space="preserve">pointed </w:t>
      </w:r>
      <w:r w:rsidRPr="00496FB6" w:rsidR="00137D42">
        <w:t xml:space="preserve">questioning pertaining to the </w:t>
      </w:r>
      <w:r w:rsidRPr="00496FB6" w:rsidR="00B90D7F">
        <w:t>funnel analogy discussed</w:t>
      </w:r>
      <w:r w:rsidRPr="00496FB6" w:rsidR="00B90D7F">
        <w:rPr>
          <w:i/>
          <w:iCs/>
        </w:rPr>
        <w:t xml:space="preserve"> </w:t>
      </w:r>
      <w:bookmarkStart w:id="49" w:name="dabmci_d6a23f050e094a859871a383bd8450e3"/>
      <w:r w:rsidRPr="00496FB6" w:rsidR="006D6368">
        <w:rPr>
          <w:i/>
          <w:iCs/>
        </w:rPr>
        <w:t>ante</w:t>
      </w:r>
      <w:r w:rsidRPr="00496FB6" w:rsidR="00B90D7F">
        <w:t>,</w:t>
      </w:r>
      <w:bookmarkEnd w:id="49"/>
      <w:r w:rsidR="0012442D">
        <w:t xml:space="preserve"> </w:t>
      </w:r>
      <w:r w:rsidRPr="00496FB6" w:rsidR="008B2002">
        <w:t xml:space="preserve">Prospective Juror No. 111 </w:t>
      </w:r>
      <w:r w:rsidR="00082CAF">
        <w:t xml:space="preserve">also </w:t>
      </w:r>
      <w:r w:rsidRPr="00496FB6" w:rsidR="008B2002">
        <w:t xml:space="preserve">was equivocal with respect to whether the source of his opposition to the death penalty was his religious beliefs, and more importantly, whether such beliefs would prevent him from imposing the death penalty. </w:t>
      </w:r>
      <w:r w:rsidR="007E70AF">
        <w:t xml:space="preserve"> </w:t>
      </w:r>
      <w:r w:rsidR="00082CAF">
        <w:t>Taken as a whole</w:t>
      </w:r>
      <w:r w:rsidRPr="00496FB6" w:rsidR="005F2440">
        <w:t>, t</w:t>
      </w:r>
      <w:r w:rsidRPr="00496FB6" w:rsidR="00407D4C">
        <w:t xml:space="preserve">he trial court could reasonably determine that </w:t>
      </w:r>
      <w:r w:rsidRPr="00496FB6" w:rsidR="004D6588">
        <w:t>Prospective Juror No.</w:t>
      </w:r>
      <w:r w:rsidRPr="00496FB6" w:rsidR="00D370E3">
        <w:t> </w:t>
      </w:r>
      <w:r w:rsidRPr="00496FB6" w:rsidR="004D6588">
        <w:t>111</w:t>
      </w:r>
      <w:r w:rsidRPr="00496FB6" w:rsidR="00407D4C">
        <w:t>’s equivocal “assurances that he would consider imposing the death penalty and</w:t>
      </w:r>
      <w:r w:rsidRPr="00496FB6" w:rsidR="008C667D">
        <w:t xml:space="preserve"> . . . </w:t>
      </w:r>
      <w:r w:rsidRPr="00496FB6" w:rsidR="00407D4C">
        <w:t xml:space="preserve">follow the law </w:t>
      </w:r>
      <w:r w:rsidRPr="00496FB6" w:rsidR="00B92D88">
        <w:t>[did]</w:t>
      </w:r>
      <w:r w:rsidRPr="00496FB6" w:rsidR="00407D4C">
        <w:t xml:space="preserve"> not overcome the reasonable inference from his other statements that in fact he would be substantially impaired in this case.”  (</w:t>
      </w:r>
      <w:bookmarkStart w:id="50" w:name="dabmci_3da4f9a0db4444238fd18f2105913a48"/>
      <w:r w:rsidRPr="00496FB6" w:rsidR="00407D4C">
        <w:rPr>
          <w:i/>
          <w:iCs/>
        </w:rPr>
        <w:t xml:space="preserve">Uttecht v. Brown </w:t>
      </w:r>
      <w:r w:rsidRPr="00496FB6" w:rsidR="00407D4C">
        <w:t>(2007) 551</w:t>
      </w:r>
      <w:r w:rsidRPr="00496FB6" w:rsidR="0073350B">
        <w:t> </w:t>
      </w:r>
      <w:r w:rsidRPr="00496FB6" w:rsidR="00407D4C">
        <w:t>U.S. 1, 18</w:t>
      </w:r>
      <w:bookmarkEnd w:id="50"/>
      <w:r w:rsidRPr="00496FB6" w:rsidR="00407D4C">
        <w:t>.)</w:t>
      </w:r>
      <w:r w:rsidRPr="00496FB6" w:rsidR="00D63943">
        <w:t xml:space="preserve">  </w:t>
      </w:r>
      <w:r w:rsidRPr="00496FB6" w:rsidR="00E76991">
        <w:t>G</w:t>
      </w:r>
      <w:r w:rsidRPr="00496FB6" w:rsidR="00202DAF">
        <w:t xml:space="preserve">iven </w:t>
      </w:r>
      <w:r w:rsidRPr="00496FB6" w:rsidR="00F66071">
        <w:t xml:space="preserve">the substantial evidence of </w:t>
      </w:r>
      <w:r w:rsidRPr="00496FB6" w:rsidR="004D6588">
        <w:t>Prospective Juror No.</w:t>
      </w:r>
      <w:r w:rsidRPr="00496FB6" w:rsidR="00D370E3">
        <w:t> </w:t>
      </w:r>
      <w:r w:rsidRPr="00496FB6" w:rsidR="004D6588">
        <w:t>111</w:t>
      </w:r>
      <w:r w:rsidRPr="00496FB6" w:rsidR="00F66071">
        <w:t>’s equivocal answers concerning his ability to serve as a capital juror,</w:t>
      </w:r>
      <w:r w:rsidRPr="00496FB6" w:rsidR="00202DAF">
        <w:t xml:space="preserve"> “ ‘ “the trial court’s findings as to </w:t>
      </w:r>
      <w:r w:rsidRPr="00496FB6" w:rsidR="003F753E">
        <w:t>[his]</w:t>
      </w:r>
      <w:r w:rsidRPr="00496FB6" w:rsidR="00202DAF">
        <w:t xml:space="preserve"> state of mind are binding” ’ ” </w:t>
      </w:r>
      <w:r w:rsidRPr="00496FB6" w:rsidR="003F753E">
        <w:t xml:space="preserve">on this court.  </w:t>
      </w:r>
      <w:r w:rsidRPr="00496FB6" w:rsidR="00202DAF">
        <w:t>(</w:t>
      </w:r>
      <w:bookmarkStart w:id="51" w:name="dabmci_c5f90f2ad95e4212bcf86b15cf04c9fa"/>
      <w:r w:rsidRPr="00496FB6" w:rsidR="00202DAF">
        <w:rPr>
          <w:i/>
          <w:iCs/>
        </w:rPr>
        <w:t>Miles</w:t>
      </w:r>
      <w:r w:rsidRPr="00496FB6" w:rsidR="00202DAF">
        <w:t>,</w:t>
      </w:r>
      <w:r w:rsidRPr="00496FB6" w:rsidR="00202DAF">
        <w:rPr>
          <w:i/>
          <w:iCs/>
        </w:rPr>
        <w:t xml:space="preserve"> </w:t>
      </w:r>
      <w:r w:rsidRPr="00496FB6" w:rsidR="00CC578C">
        <w:rPr>
          <w:i/>
          <w:iCs/>
        </w:rPr>
        <w:t>supra</w:t>
      </w:r>
      <w:r w:rsidRPr="00496FB6" w:rsidR="00CC578C">
        <w:t>, 9</w:t>
      </w:r>
      <w:r w:rsidRPr="00496FB6" w:rsidR="0073350B">
        <w:t> </w:t>
      </w:r>
      <w:r w:rsidRPr="00496FB6" w:rsidR="00CC578C">
        <w:t xml:space="preserve">Cal.5th </w:t>
      </w:r>
      <w:r w:rsidRPr="00496FB6" w:rsidR="00202DAF">
        <w:t>at p.</w:t>
      </w:r>
      <w:r w:rsidRPr="00496FB6" w:rsidR="0073350B">
        <w:t> </w:t>
      </w:r>
      <w:r w:rsidRPr="00496FB6" w:rsidR="00202DAF">
        <w:t>562</w:t>
      </w:r>
      <w:bookmarkEnd w:id="51"/>
      <w:r w:rsidRPr="00496FB6" w:rsidR="00202DAF">
        <w:t>.)</w:t>
      </w:r>
      <w:r w:rsidR="003E5B3E">
        <w:t xml:space="preserve">  </w:t>
      </w:r>
    </w:p>
    <w:p w:rsidR="00614AC4" w:rsidRPr="00496FB6" w:rsidP="007D1A37" w14:paraId="692D51A1" w14:textId="4C00352B">
      <w:pPr>
        <w:ind w:firstLine="720"/>
      </w:pPr>
      <w:r w:rsidRPr="00496FB6">
        <w:t xml:space="preserve">For all these reasons, </w:t>
      </w:r>
      <w:r w:rsidRPr="00496FB6" w:rsidR="00507974">
        <w:t>we</w:t>
      </w:r>
      <w:r w:rsidRPr="00496FB6" w:rsidR="00D63943">
        <w:t xml:space="preserve"> conclude </w:t>
      </w:r>
      <w:r w:rsidRPr="00496FB6" w:rsidR="00FC013E">
        <w:t xml:space="preserve">there is substantial evidence in the record to support the trial court’s </w:t>
      </w:r>
      <w:r w:rsidR="00143878">
        <w:t xml:space="preserve">excusal </w:t>
      </w:r>
      <w:r w:rsidR="002B7142">
        <w:t xml:space="preserve">of </w:t>
      </w:r>
      <w:r w:rsidRPr="00496FB6" w:rsidR="004D6588">
        <w:t>Prospective Juror No.</w:t>
      </w:r>
      <w:r w:rsidRPr="00496FB6" w:rsidR="00D370E3">
        <w:t> </w:t>
      </w:r>
      <w:r w:rsidRPr="00496FB6" w:rsidR="004D6588">
        <w:t>111</w:t>
      </w:r>
      <w:r w:rsidRPr="00496FB6" w:rsidR="00FC013E">
        <w:t xml:space="preserve"> for cause due to his beliefs with respect to capital punishment</w:t>
      </w:r>
      <w:r w:rsidRPr="00496FB6" w:rsidR="00507974">
        <w:t>.</w:t>
      </w:r>
      <w:r>
        <w:rPr>
          <w:rStyle w:val="FootnoteReference"/>
        </w:rPr>
        <w:footnoteReference w:id="12"/>
      </w:r>
      <w:r w:rsidR="003E5B3E">
        <w:t xml:space="preserve">  </w:t>
      </w:r>
    </w:p>
    <w:p w:rsidR="00650D5E" w:rsidRPr="00496FB6" w:rsidP="00496FB6" w14:paraId="593F6379" w14:textId="24C057BE">
      <w:pPr>
        <w:pStyle w:val="Heading2"/>
        <w:tabs>
          <w:tab w:val="clear" w:pos="1152"/>
        </w:tabs>
        <w:ind w:left="1080" w:hanging="360"/>
        <w:rPr>
          <w:bCs/>
        </w:rPr>
      </w:pPr>
      <w:bookmarkStart w:id="54" w:name="_Toc147845686"/>
      <w:bookmarkStart w:id="55" w:name="_Toc147519558"/>
      <w:r w:rsidRPr="00496FB6">
        <w:t>B.</w:t>
      </w:r>
      <w:r w:rsidRPr="00496FB6" w:rsidR="00D93595">
        <w:tab/>
      </w:r>
      <w:r w:rsidRPr="00496FB6" w:rsidR="00A83CB1">
        <w:t>T</w:t>
      </w:r>
      <w:r w:rsidRPr="00496FB6" w:rsidR="00A83CB1">
        <w:rPr>
          <w:bCs/>
        </w:rPr>
        <w:t xml:space="preserve">he </w:t>
      </w:r>
      <w:r w:rsidRPr="00496FB6" w:rsidR="00887C0D">
        <w:rPr>
          <w:bCs/>
        </w:rPr>
        <w:t>T</w:t>
      </w:r>
      <w:r w:rsidRPr="00496FB6" w:rsidR="00A83CB1">
        <w:rPr>
          <w:bCs/>
        </w:rPr>
        <w:t xml:space="preserve">rial </w:t>
      </w:r>
      <w:r w:rsidRPr="00496FB6" w:rsidR="00887C0D">
        <w:rPr>
          <w:bCs/>
        </w:rPr>
        <w:t>C</w:t>
      </w:r>
      <w:r w:rsidRPr="00496FB6" w:rsidR="00A83CB1">
        <w:rPr>
          <w:bCs/>
        </w:rPr>
        <w:t xml:space="preserve">ourt </w:t>
      </w:r>
      <w:r w:rsidRPr="00496FB6" w:rsidR="00887C0D">
        <w:rPr>
          <w:bCs/>
        </w:rPr>
        <w:t>D</w:t>
      </w:r>
      <w:r w:rsidRPr="00496FB6" w:rsidR="00A83CB1">
        <w:rPr>
          <w:bCs/>
        </w:rPr>
        <w:t xml:space="preserve">id </w:t>
      </w:r>
      <w:r w:rsidRPr="00496FB6" w:rsidR="00887C0D">
        <w:rPr>
          <w:bCs/>
        </w:rPr>
        <w:t>N</w:t>
      </w:r>
      <w:r w:rsidRPr="00496FB6" w:rsidR="00A83CB1">
        <w:rPr>
          <w:bCs/>
        </w:rPr>
        <w:t xml:space="preserve">ot </w:t>
      </w:r>
      <w:r w:rsidRPr="00496FB6" w:rsidR="00887C0D">
        <w:rPr>
          <w:bCs/>
        </w:rPr>
        <w:t>E</w:t>
      </w:r>
      <w:r w:rsidRPr="00496FB6" w:rsidR="00A83CB1">
        <w:rPr>
          <w:bCs/>
        </w:rPr>
        <w:t xml:space="preserve">rr in </w:t>
      </w:r>
      <w:r w:rsidRPr="00496FB6" w:rsidR="00887C0D">
        <w:rPr>
          <w:bCs/>
        </w:rPr>
        <w:t>D</w:t>
      </w:r>
      <w:r w:rsidRPr="00496FB6" w:rsidR="00A83CB1">
        <w:rPr>
          <w:bCs/>
        </w:rPr>
        <w:t xml:space="preserve">enying </w:t>
      </w:r>
      <w:r w:rsidRPr="00496FB6" w:rsidR="00887C0D">
        <w:rPr>
          <w:bCs/>
        </w:rPr>
        <w:t>D</w:t>
      </w:r>
      <w:r w:rsidRPr="00496FB6" w:rsidR="00A24BC5">
        <w:rPr>
          <w:bCs/>
        </w:rPr>
        <w:t>efendant</w:t>
      </w:r>
      <w:r w:rsidRPr="00496FB6" w:rsidR="00A83CB1">
        <w:rPr>
          <w:bCs/>
        </w:rPr>
        <w:t xml:space="preserve">’s </w:t>
      </w:r>
      <w:r w:rsidRPr="00496FB6" w:rsidR="00887C0D">
        <w:t>R</w:t>
      </w:r>
      <w:r w:rsidRPr="00496FB6" w:rsidR="00911BF3">
        <w:t xml:space="preserve">equest to </w:t>
      </w:r>
      <w:r w:rsidRPr="00496FB6" w:rsidR="00887C0D">
        <w:t>C</w:t>
      </w:r>
      <w:r w:rsidRPr="00496FB6" w:rsidR="00911BF3">
        <w:t xml:space="preserve">onduct </w:t>
      </w:r>
      <w:r w:rsidRPr="00496FB6" w:rsidR="00887C0D">
        <w:t>I</w:t>
      </w:r>
      <w:r w:rsidRPr="00496FB6" w:rsidR="00911BF3">
        <w:t xml:space="preserve">ndividually </w:t>
      </w:r>
      <w:r w:rsidRPr="00496FB6" w:rsidR="00887C0D">
        <w:t>S</w:t>
      </w:r>
      <w:r w:rsidRPr="00496FB6" w:rsidR="00911BF3">
        <w:t xml:space="preserve">equestered </w:t>
      </w:r>
      <w:r w:rsidRPr="00496FB6" w:rsidR="00887C0D">
        <w:t>V</w:t>
      </w:r>
      <w:r w:rsidRPr="00496FB6" w:rsidR="00F81953">
        <w:t xml:space="preserve">oir </w:t>
      </w:r>
      <w:r w:rsidRPr="00496FB6" w:rsidR="00887C0D">
        <w:t>D</w:t>
      </w:r>
      <w:r w:rsidRPr="00496FB6" w:rsidR="00F81953">
        <w:t>ire</w:t>
      </w:r>
      <w:r w:rsidRPr="00496FB6" w:rsidR="00F81953">
        <w:rPr>
          <w:bCs/>
        </w:rPr>
        <w:t xml:space="preserve"> </w:t>
      </w:r>
      <w:bookmarkEnd w:id="54"/>
      <w:bookmarkEnd w:id="55"/>
      <w:r w:rsidR="003E5B3E">
        <w:rPr>
          <w:bCs/>
        </w:rPr>
        <w:t xml:space="preserve"> </w:t>
      </w:r>
    </w:p>
    <w:p w:rsidR="00BF0C13" w:rsidRPr="00496FB6" w:rsidP="0033223D" w14:paraId="27AFA3CF" w14:textId="430946AD">
      <w:pPr>
        <w:ind w:firstLine="720"/>
      </w:pPr>
      <w:r w:rsidRPr="00496FB6">
        <w:t>Defendant</w:t>
      </w:r>
      <w:r w:rsidRPr="00496FB6" w:rsidR="009F18FD">
        <w:t xml:space="preserve"> </w:t>
      </w:r>
      <w:r w:rsidRPr="00496FB6" w:rsidR="007A0C77">
        <w:t xml:space="preserve">claims the trial court </w:t>
      </w:r>
      <w:r w:rsidRPr="00496FB6" w:rsidR="0094576A">
        <w:t xml:space="preserve">committed constitutional </w:t>
      </w:r>
      <w:r w:rsidRPr="00496FB6" w:rsidR="007A0C77">
        <w:t>err</w:t>
      </w:r>
      <w:r w:rsidRPr="00496FB6" w:rsidR="0094576A">
        <w:t>or</w:t>
      </w:r>
      <w:r w:rsidRPr="00496FB6" w:rsidR="007A0C77">
        <w:t xml:space="preserve"> in denying his request </w:t>
      </w:r>
      <w:r w:rsidRPr="00496FB6" w:rsidR="001E13F4">
        <w:t xml:space="preserve">to conduct the entire death qualification voir dire in an </w:t>
      </w:r>
      <w:r w:rsidRPr="00496FB6" w:rsidR="007A0C77">
        <w:t xml:space="preserve">individually sequestered </w:t>
      </w:r>
      <w:r w:rsidRPr="00496FB6" w:rsidR="001E13F4">
        <w:t>man</w:t>
      </w:r>
      <w:r w:rsidRPr="00496FB6" w:rsidR="00357FBC">
        <w:t>n</w:t>
      </w:r>
      <w:r w:rsidRPr="00496FB6" w:rsidR="001E13F4">
        <w:t>er</w:t>
      </w:r>
      <w:r w:rsidRPr="00496FB6" w:rsidR="007A0C77">
        <w:t xml:space="preserve">.  </w:t>
      </w:r>
      <w:r w:rsidRPr="00496FB6" w:rsidR="004C73E6">
        <w:t>Specifically, h</w:t>
      </w:r>
      <w:r w:rsidRPr="00496FB6" w:rsidR="007A0C77">
        <w:t xml:space="preserve">e contends </w:t>
      </w:r>
      <w:r w:rsidRPr="00496FB6" w:rsidR="004C73E6">
        <w:t xml:space="preserve">his </w:t>
      </w:r>
      <w:r w:rsidRPr="00496FB6" w:rsidR="007A0C77">
        <w:t xml:space="preserve">constitutional rights to due process, equal protection, trial by an impartial jury, effective assistance of counsel, and a reliable death verdict </w:t>
      </w:r>
      <w:r w:rsidRPr="00496FB6" w:rsidR="00B236DF">
        <w:t>required that the trial court grant his request</w:t>
      </w:r>
      <w:r w:rsidRPr="00496FB6" w:rsidR="00394929">
        <w:t>.</w:t>
      </w:r>
      <w:r w:rsidRPr="00496FB6" w:rsidR="00B236DF">
        <w:t xml:space="preserve"> </w:t>
      </w:r>
      <w:r w:rsidRPr="00496FB6" w:rsidR="00A6716E">
        <w:t xml:space="preserve"> </w:t>
      </w:r>
      <w:r w:rsidRPr="00496FB6" w:rsidR="007A0C77">
        <w:t>(</w:t>
      </w:r>
      <w:r w:rsidRPr="00496FB6" w:rsidR="006B60A3">
        <w:t xml:space="preserve">See </w:t>
      </w:r>
      <w:bookmarkStart w:id="56" w:name="dabmci_6d96beaeff5b4ecbbe39107bf30e92f2"/>
      <w:r w:rsidRPr="00496FB6" w:rsidR="007A0C77">
        <w:t>U.S. Const., 6th, 8th</w:t>
      </w:r>
      <w:r w:rsidRPr="00496FB6" w:rsidR="00B960FF">
        <w:t>,</w:t>
      </w:r>
      <w:r w:rsidRPr="00496FB6" w:rsidR="007A0C77">
        <w:t xml:space="preserve"> &amp; 14th</w:t>
      </w:r>
      <w:bookmarkEnd w:id="56"/>
      <w:r w:rsidRPr="00496FB6" w:rsidR="007A0C77">
        <w:t xml:space="preserve"> Amends.; </w:t>
      </w:r>
      <w:bookmarkStart w:id="57" w:name="dabmci_9c42c7d1d8f645f59df3157f257b6b0c"/>
      <w:r w:rsidRPr="00496FB6" w:rsidR="007A0C77">
        <w:t>Cal. Const. art. I, §§</w:t>
      </w:r>
      <w:r w:rsidRPr="00496FB6" w:rsidR="001A6950">
        <w:t> </w:t>
      </w:r>
      <w:r w:rsidRPr="00496FB6" w:rsidR="007A0C77">
        <w:t>7, 15, 16</w:t>
      </w:r>
      <w:bookmarkEnd w:id="57"/>
      <w:r w:rsidRPr="00496FB6" w:rsidR="007A0C77">
        <w:t xml:space="preserve">.)  </w:t>
      </w:r>
      <w:r w:rsidRPr="00496FB6">
        <w:t>Defendant</w:t>
      </w:r>
      <w:r w:rsidRPr="00496FB6" w:rsidR="007A0C77">
        <w:t xml:space="preserve"> also </w:t>
      </w:r>
      <w:r w:rsidRPr="00496FB6" w:rsidR="00135CA3">
        <w:t xml:space="preserve">asserts </w:t>
      </w:r>
      <w:r w:rsidRPr="00496FB6" w:rsidR="007A0C77">
        <w:t>the court</w:t>
      </w:r>
      <w:r w:rsidRPr="00496FB6" w:rsidR="00FA27AD">
        <w:t xml:space="preserve"> </w:t>
      </w:r>
      <w:r w:rsidRPr="00496FB6" w:rsidR="00A0524E">
        <w:t>abused its discretion in denying his request and</w:t>
      </w:r>
      <w:r w:rsidRPr="00496FB6" w:rsidR="007A0C77">
        <w:t xml:space="preserve"> </w:t>
      </w:r>
      <w:r w:rsidRPr="00496FB6" w:rsidR="00A0524E">
        <w:t xml:space="preserve">thereby </w:t>
      </w:r>
      <w:r w:rsidRPr="00496FB6" w:rsidR="007A0C77">
        <w:t>violated his statutory right to individual voir dire where group voir dire is not practicable</w:t>
      </w:r>
      <w:r w:rsidRPr="00496FB6" w:rsidR="005C24D7">
        <w:t xml:space="preserve">. </w:t>
      </w:r>
      <w:r w:rsidRPr="00496FB6" w:rsidR="007A0C77">
        <w:t xml:space="preserve"> (</w:t>
      </w:r>
      <w:r w:rsidRPr="00496FB6" w:rsidR="006B60A3">
        <w:t xml:space="preserve">See </w:t>
      </w:r>
      <w:bookmarkStart w:id="58" w:name="dabmci_257b53fbdc2d46efbc78e6f4562031c0"/>
      <w:r w:rsidRPr="00496FB6" w:rsidR="007A0C77">
        <w:t>Code Civ. Proc., §</w:t>
      </w:r>
      <w:r w:rsidRPr="00496FB6" w:rsidR="001A6950">
        <w:t> </w:t>
      </w:r>
      <w:r w:rsidRPr="00496FB6" w:rsidR="007A0C77">
        <w:t>223</w:t>
      </w:r>
      <w:bookmarkEnd w:id="58"/>
      <w:r w:rsidRPr="00496FB6" w:rsidR="005C24D7">
        <w:t>.</w:t>
      </w:r>
      <w:r w:rsidRPr="00496FB6" w:rsidR="007A0C77">
        <w:t xml:space="preserve">)  </w:t>
      </w:r>
      <w:r w:rsidRPr="00496FB6" w:rsidR="005E70F4">
        <w:t>H</w:t>
      </w:r>
      <w:r w:rsidRPr="00496FB6" w:rsidR="007A0C77">
        <w:t xml:space="preserve">e maintains the trial court’s error requires reversal of </w:t>
      </w:r>
      <w:r w:rsidRPr="00496FB6" w:rsidR="00767397">
        <w:t>his</w:t>
      </w:r>
      <w:r w:rsidRPr="00496FB6" w:rsidR="007A0C77">
        <w:t xml:space="preserve"> death sentence.</w:t>
      </w:r>
      <w:r w:rsidRPr="00496FB6" w:rsidR="00D42B16">
        <w:t xml:space="preserve">  </w:t>
      </w:r>
      <w:r w:rsidR="009E7835">
        <w:t>W</w:t>
      </w:r>
      <w:r w:rsidRPr="00496FB6" w:rsidR="00D42B16">
        <w:t xml:space="preserve">e </w:t>
      </w:r>
      <w:r w:rsidRPr="00496FB6" w:rsidR="0014143E">
        <w:t>conclude the trial court did not err</w:t>
      </w:r>
      <w:r w:rsidRPr="00496FB6" w:rsidR="00D42B16">
        <w:t>.</w:t>
      </w:r>
      <w:r w:rsidR="003E5B3E">
        <w:t xml:space="preserve">  </w:t>
      </w:r>
    </w:p>
    <w:p w:rsidR="0087045D" w:rsidRPr="00496FB6" w:rsidP="00E50037" w14:paraId="12CB2700" w14:textId="50EC7370">
      <w:pPr>
        <w:pStyle w:val="Heading3"/>
        <w:tabs>
          <w:tab w:val="clear" w:pos="1584"/>
        </w:tabs>
      </w:pPr>
      <w:bookmarkStart w:id="59" w:name="_Toc147845687"/>
      <w:bookmarkStart w:id="60" w:name="_Toc147519559"/>
      <w:r w:rsidRPr="00496FB6">
        <w:rPr>
          <w:i w:val="0"/>
          <w:iCs/>
        </w:rPr>
        <w:t>1</w:t>
      </w:r>
      <w:r w:rsidRPr="00496FB6" w:rsidR="00EB4083">
        <w:rPr>
          <w:i w:val="0"/>
          <w:iCs/>
        </w:rPr>
        <w:t>.</w:t>
      </w:r>
      <w:r w:rsidRPr="00496FB6" w:rsidR="00D93595">
        <w:rPr>
          <w:i w:val="0"/>
          <w:iCs/>
        </w:rPr>
        <w:tab/>
      </w:r>
      <w:r w:rsidRPr="00496FB6" w:rsidR="00EB4083">
        <w:t>Governing law</w:t>
      </w:r>
      <w:bookmarkEnd w:id="59"/>
      <w:bookmarkEnd w:id="60"/>
    </w:p>
    <w:p w:rsidR="001D5BF9" w:rsidRPr="00496FB6" w:rsidP="00E50037" w14:paraId="7FCA7F0D" w14:textId="325BCCE2">
      <w:pPr>
        <w:pStyle w:val="NormalIndent"/>
        <w:ind w:left="86" w:firstLine="634"/>
      </w:pPr>
      <w:r w:rsidRPr="00496FB6">
        <w:t>“</w:t>
      </w:r>
      <w:r w:rsidRPr="00496FB6" w:rsidR="0058405A">
        <w:t> ‘</w:t>
      </w:r>
      <w:r w:rsidRPr="00496FB6">
        <w:t>Our decision in [</w:t>
      </w:r>
      <w:bookmarkStart w:id="61" w:name="dabmci_a6c4ffa206524a7ab9c94f3a25b501e9"/>
      <w:r w:rsidRPr="00496FB6" w:rsidR="00C24C13">
        <w:rPr>
          <w:i/>
          <w:iCs/>
        </w:rPr>
        <w:t>Hovey v. Superior Court</w:t>
      </w:r>
      <w:r w:rsidRPr="00496FB6" w:rsidR="00C24C13">
        <w:t xml:space="preserve"> (1980) 28</w:t>
      </w:r>
      <w:r w:rsidRPr="00496FB6" w:rsidR="0073350B">
        <w:t> </w:t>
      </w:r>
      <w:r w:rsidRPr="00496FB6" w:rsidR="00C24C13">
        <w:t>Cal.3d 1</w:t>
      </w:r>
      <w:bookmarkEnd w:id="61"/>
      <w:r w:rsidRPr="00496FB6">
        <w:t>] declared, pursuant to our supervisory authority over California criminal procedure, that sequestered voir dire should be conducted in capital cases in order to promote candor and reduce the possibility that prospective jurors might be influenced by the q</w:t>
      </w:r>
      <w:r w:rsidRPr="00496FB6">
        <w:t xml:space="preserve">uestions to and responses by other prospective jurors. </w:t>
      </w:r>
      <w:r w:rsidRPr="00496FB6" w:rsidR="00767397">
        <w:t xml:space="preserve"> </w:t>
      </w:r>
      <w:r w:rsidRPr="00496FB6">
        <w:t xml:space="preserve">[Citation.] </w:t>
      </w:r>
      <w:r w:rsidRPr="00496FB6" w:rsidR="00F03C94">
        <w:t xml:space="preserve"> </w:t>
      </w:r>
      <w:bookmarkStart w:id="62" w:name="dabmci_8fdc4988451b42cd86bc336756b25b7a"/>
      <w:r w:rsidRPr="00496FB6">
        <w:t>Code of Civil Procedure section 223</w:t>
      </w:r>
      <w:bookmarkEnd w:id="62"/>
      <w:r w:rsidRPr="00496FB6">
        <w:t xml:space="preserve">, adopted in 1990 as part of Proposition 115, abrogated this aspect of our decision in </w:t>
      </w:r>
      <w:r w:rsidRPr="00496FB6">
        <w:rPr>
          <w:i/>
          <w:iCs/>
        </w:rPr>
        <w:t>Hovey.</w:t>
      </w:r>
      <w:r w:rsidRPr="00496FB6" w:rsidR="0058405A">
        <w:t>’</w:t>
      </w:r>
      <w:r w:rsidRPr="00496FB6">
        <w:t xml:space="preserve"> </w:t>
      </w:r>
      <w:r w:rsidRPr="00496FB6" w:rsidR="00E54C34">
        <w:t xml:space="preserve"> </w:t>
      </w:r>
      <w:r w:rsidRPr="00496FB6" w:rsidR="0058405A">
        <w:t xml:space="preserve">[Citation.] </w:t>
      </w:r>
      <w:r w:rsidRPr="00496FB6" w:rsidR="00E54C34">
        <w:t xml:space="preserve"> </w:t>
      </w:r>
      <w:r w:rsidRPr="00496FB6" w:rsidR="0058405A">
        <w:t>[Code of Civil Procedure] [s]</w:t>
      </w:r>
      <w:r w:rsidRPr="00496FB6">
        <w:t>ection 223 pro</w:t>
      </w:r>
      <w:r w:rsidRPr="00496FB6">
        <w:t xml:space="preserve">vides in relevant part that </w:t>
      </w:r>
      <w:r w:rsidRPr="00496FB6" w:rsidR="0058405A">
        <w:t>‘</w:t>
      </w:r>
      <w:r w:rsidRPr="00496FB6">
        <w:t>[v]oir dire of any prospective jurors shall, where practicable, occur in the presence of the other jurors in all criminal cases, including death penalty cases.</w:t>
      </w:r>
      <w:r w:rsidRPr="00496FB6" w:rsidR="0058405A">
        <w:t>’</w:t>
      </w:r>
      <w:r w:rsidRPr="00496FB6">
        <w:t xml:space="preserve"> </w:t>
      </w:r>
      <w:r w:rsidRPr="00496FB6" w:rsidR="00E54C34">
        <w:t xml:space="preserve"> </w:t>
      </w:r>
      <w:r w:rsidRPr="00496FB6">
        <w:t>(</w:t>
      </w:r>
      <w:bookmarkStart w:id="63" w:name="dabmci_c929066002c347d59a5e18313c4d0444"/>
      <w:r w:rsidRPr="00496FB6">
        <w:t>Code Civ. Proc.</w:t>
      </w:r>
      <w:r w:rsidRPr="00496FB6" w:rsidR="00E54C34">
        <w:t>,</w:t>
      </w:r>
      <w:r w:rsidRPr="00496FB6">
        <w:t xml:space="preserve"> §</w:t>
      </w:r>
      <w:r w:rsidRPr="00496FB6" w:rsidR="00F14BFF">
        <w:t> </w:t>
      </w:r>
      <w:r w:rsidRPr="00496FB6">
        <w:t>223</w:t>
      </w:r>
      <w:bookmarkEnd w:id="63"/>
      <w:r w:rsidRPr="00496FB6">
        <w:t xml:space="preserve">.) </w:t>
      </w:r>
      <w:r w:rsidRPr="00496FB6" w:rsidR="003C02B5">
        <w:t xml:space="preserve"> </w:t>
      </w:r>
      <w:r w:rsidRPr="00496FB6">
        <w:t xml:space="preserve">Group voir dire may be considered </w:t>
      </w:r>
      <w:r w:rsidRPr="00496FB6" w:rsidR="0058405A">
        <w:t>‘ “</w:t>
      </w:r>
      <w:r w:rsidRPr="00496FB6">
        <w:t>i</w:t>
      </w:r>
      <w:r w:rsidRPr="00496FB6">
        <w:t>mpracticable</w:t>
      </w:r>
      <w:r w:rsidRPr="00496FB6" w:rsidR="0058405A">
        <w:t>” ’</w:t>
      </w:r>
      <w:r w:rsidRPr="00496FB6">
        <w:t xml:space="preserve"> where it has resulted in ‘</w:t>
      </w:r>
      <w:r w:rsidRPr="00496FB6" w:rsidR="0058405A">
        <w:t> “</w:t>
      </w:r>
      <w:r w:rsidRPr="00496FB6">
        <w:t>actual, rather than merely potential, bias.”</w:t>
      </w:r>
      <w:r w:rsidRPr="00496FB6" w:rsidR="0058405A">
        <w:t> ’</w:t>
      </w:r>
      <w:r w:rsidRPr="00496FB6">
        <w:t xml:space="preserve"> </w:t>
      </w:r>
      <w:r w:rsidRPr="00496FB6" w:rsidR="006B60A3">
        <w:t xml:space="preserve"> </w:t>
      </w:r>
      <w:r w:rsidRPr="00496FB6" w:rsidR="0058405A">
        <w:t xml:space="preserve">[Citations.]  </w:t>
      </w:r>
      <w:r w:rsidRPr="00496FB6">
        <w:t xml:space="preserve">We have repeatedly held that </w:t>
      </w:r>
      <w:r w:rsidRPr="00496FB6" w:rsidR="0058405A">
        <w:t>‘</w:t>
      </w:r>
      <w:r w:rsidRPr="00496FB6">
        <w:t xml:space="preserve">there is no federal constitutional requirement that a trial court conduct individualized, sequestered voir dire in a </w:t>
      </w:r>
      <w:r w:rsidRPr="00496FB6">
        <w:t>capital case.</w:t>
      </w:r>
      <w:r w:rsidRPr="00496FB6" w:rsidR="0058405A">
        <w:t>’</w:t>
      </w:r>
      <w:r w:rsidRPr="00496FB6" w:rsidR="008C667D">
        <w:t> </w:t>
      </w:r>
      <w:r w:rsidRPr="00496FB6" w:rsidR="00913FBB">
        <w:t>”  (</w:t>
      </w:r>
      <w:bookmarkStart w:id="64" w:name="dabmci_ad6baa857cfc4656b68f482e93aca87c"/>
      <w:r w:rsidRPr="00496FB6">
        <w:rPr>
          <w:i/>
          <w:iCs/>
        </w:rPr>
        <w:t>People v. Jackson</w:t>
      </w:r>
      <w:r w:rsidRPr="00496FB6">
        <w:t xml:space="preserve"> (2016) 1</w:t>
      </w:r>
      <w:r w:rsidRPr="00496FB6" w:rsidR="0073350B">
        <w:t> </w:t>
      </w:r>
      <w:r w:rsidRPr="00496FB6">
        <w:t>Cal.5th 269, 357 (</w:t>
      </w:r>
      <w:r w:rsidRPr="00496FB6">
        <w:rPr>
          <w:i/>
          <w:iCs/>
        </w:rPr>
        <w:t>Jackson</w:t>
      </w:r>
      <w:r w:rsidRPr="00496FB6">
        <w:t>)</w:t>
      </w:r>
      <w:bookmarkEnd w:id="64"/>
      <w:r w:rsidRPr="00496FB6" w:rsidR="00913FBB">
        <w:t>.)</w:t>
      </w:r>
      <w:r w:rsidR="003E5B3E">
        <w:t xml:space="preserve">  </w:t>
      </w:r>
    </w:p>
    <w:p w:rsidR="00340273" w:rsidRPr="00496FB6" w:rsidP="00E50037" w14:paraId="769C1627" w14:textId="43784677">
      <w:pPr>
        <w:pStyle w:val="Heading3"/>
        <w:tabs>
          <w:tab w:val="clear" w:pos="1584"/>
        </w:tabs>
      </w:pPr>
      <w:bookmarkStart w:id="65" w:name="_Toc147845688"/>
      <w:bookmarkStart w:id="66" w:name="_Toc147519560"/>
      <w:r w:rsidRPr="00496FB6">
        <w:rPr>
          <w:i w:val="0"/>
          <w:iCs/>
        </w:rPr>
        <w:t>2.</w:t>
      </w:r>
      <w:r w:rsidRPr="00496FB6" w:rsidR="00D93595">
        <w:rPr>
          <w:i w:val="0"/>
          <w:iCs/>
        </w:rPr>
        <w:tab/>
      </w:r>
      <w:r w:rsidRPr="00496FB6">
        <w:t>Factual and procedural background</w:t>
      </w:r>
      <w:bookmarkEnd w:id="65"/>
      <w:bookmarkEnd w:id="66"/>
    </w:p>
    <w:p w:rsidR="00F14BFF" w:rsidRPr="00496FB6" w:rsidP="00E50037" w14:paraId="07C6A047" w14:textId="3BE0E0CB">
      <w:pPr>
        <w:pStyle w:val="NormalIndent"/>
        <w:ind w:left="86" w:firstLine="634"/>
      </w:pPr>
      <w:r w:rsidRPr="00496FB6">
        <w:t xml:space="preserve">Prior to trial, </w:t>
      </w:r>
      <w:r w:rsidRPr="00496FB6" w:rsidR="00A24BC5">
        <w:t>defendant</w:t>
      </w:r>
      <w:r w:rsidRPr="00496FB6">
        <w:t xml:space="preserve"> filed a motion requesting</w:t>
      </w:r>
      <w:r w:rsidRPr="00E50037">
        <w:rPr>
          <w:rFonts w:eastAsiaTheme="minorHAnsi"/>
        </w:rPr>
        <w:t xml:space="preserve"> </w:t>
      </w:r>
      <w:r w:rsidRPr="00496FB6">
        <w:t>individual, sequestered voir dire</w:t>
      </w:r>
      <w:r w:rsidRPr="00496FB6" w:rsidR="00E447B0">
        <w:t xml:space="preserve"> for</w:t>
      </w:r>
      <w:r w:rsidRPr="00496FB6">
        <w:t xml:space="preserve"> death qualification.  </w:t>
      </w:r>
      <w:r w:rsidRPr="00496FB6" w:rsidR="00A24BC5">
        <w:t>Defendant</w:t>
      </w:r>
      <w:r w:rsidRPr="00496FB6">
        <w:t xml:space="preserve"> </w:t>
      </w:r>
      <w:r w:rsidRPr="00496FB6" w:rsidR="00E447B0">
        <w:t xml:space="preserve">claimed </w:t>
      </w:r>
      <w:r w:rsidRPr="00496FB6">
        <w:t>individual s</w:t>
      </w:r>
      <w:r w:rsidRPr="00496FB6">
        <w:t xml:space="preserve">equestration was required due to the sensitive nature of the topic.  </w:t>
      </w:r>
      <w:r w:rsidRPr="00496FB6" w:rsidR="00C21691">
        <w:t>He</w:t>
      </w:r>
      <w:r w:rsidRPr="00496FB6">
        <w:t xml:space="preserve"> also maintained such individual sequestration was more practical than group voir dire and would ensure that jurors were not “taint[ed]” by the attitudes of other jurors.  </w:t>
      </w:r>
      <w:r w:rsidRPr="00496FB6" w:rsidR="00E447B0">
        <w:t>T</w:t>
      </w:r>
      <w:r w:rsidRPr="00496FB6">
        <w:t>he trial cou</w:t>
      </w:r>
      <w:r w:rsidRPr="00496FB6">
        <w:t xml:space="preserve">rt denied </w:t>
      </w:r>
      <w:r w:rsidRPr="00496FB6" w:rsidR="00A24BC5">
        <w:t>defendant</w:t>
      </w:r>
      <w:r w:rsidRPr="00496FB6">
        <w:t>’s motion</w:t>
      </w:r>
      <w:r w:rsidRPr="00496FB6" w:rsidR="00855FD0">
        <w:t>,</w:t>
      </w:r>
      <w:r w:rsidRPr="00496FB6" w:rsidR="004C3173">
        <w:t xml:space="preserve"> </w:t>
      </w:r>
      <w:r w:rsidRPr="00496FB6" w:rsidR="00855FD0">
        <w:t>stating</w:t>
      </w:r>
      <w:r w:rsidRPr="00496FB6">
        <w:t xml:space="preserve"> it would “follow [</w:t>
      </w:r>
      <w:bookmarkStart w:id="67" w:name="dabmci_7fdc894a115c40b1b631c73c82fe37a3"/>
      <w:r w:rsidRPr="00496FB6">
        <w:t>Code of Civil Procedure section] 223</w:t>
      </w:r>
      <w:bookmarkEnd w:id="67"/>
      <w:r w:rsidRPr="00496FB6">
        <w:t xml:space="preserve"> </w:t>
      </w:r>
      <w:r w:rsidRPr="00496FB6" w:rsidR="004C3173">
        <w:t>and</w:t>
      </w:r>
      <w:r w:rsidRPr="00496FB6" w:rsidR="00311E87">
        <w:t> . . .</w:t>
      </w:r>
      <w:r w:rsidRPr="00496FB6" w:rsidR="004C3173">
        <w:t xml:space="preserve"> </w:t>
      </w:r>
      <w:r w:rsidRPr="00496FB6">
        <w:t xml:space="preserve">begin with open court voir dire, [and] move into chambers for anything that jurors wish to discuss or those that I feel are sensitive that are likely to </w:t>
      </w:r>
      <w:r w:rsidRPr="00496FB6">
        <w:t>cause difficulty</w:t>
      </w:r>
      <w:r w:rsidRPr="00496FB6" w:rsidR="000240EB">
        <w:t>.</w:t>
      </w:r>
      <w:r w:rsidRPr="00496FB6">
        <w:t xml:space="preserve">”  </w:t>
      </w:r>
    </w:p>
    <w:p w:rsidR="00A25822" w:rsidRPr="00496FB6" w:rsidP="00E50037" w14:paraId="089FF086" w14:textId="5FEAC3F0">
      <w:pPr>
        <w:ind w:firstLine="720"/>
      </w:pPr>
      <w:r w:rsidRPr="00496FB6">
        <w:t>D</w:t>
      </w:r>
      <w:r w:rsidRPr="00496FB6" w:rsidR="00A24BC5">
        <w:t>efendant</w:t>
      </w:r>
      <w:r w:rsidRPr="00496FB6" w:rsidR="00340273">
        <w:t xml:space="preserve"> </w:t>
      </w:r>
      <w:r w:rsidRPr="00496FB6">
        <w:t xml:space="preserve">later </w:t>
      </w:r>
      <w:r w:rsidRPr="00496FB6" w:rsidR="00340273">
        <w:t>renewed his motion for individually sequestered voir dire</w:t>
      </w:r>
      <w:r w:rsidRPr="00496FB6">
        <w:t xml:space="preserve"> on the ground that </w:t>
      </w:r>
      <w:r w:rsidRPr="00496FB6" w:rsidR="00340273">
        <w:t xml:space="preserve">it </w:t>
      </w:r>
      <w:r w:rsidRPr="00496FB6">
        <w:t>would</w:t>
      </w:r>
      <w:r w:rsidRPr="00496FB6" w:rsidR="00340273">
        <w:t xml:space="preserve"> be “cumbersome” to continue with group voir dire</w:t>
      </w:r>
      <w:r w:rsidRPr="00496FB6" w:rsidR="002741C9">
        <w:t xml:space="preserve"> given the frequency </w:t>
      </w:r>
      <w:r w:rsidR="00E50037">
        <w:t xml:space="preserve">with which </w:t>
      </w:r>
      <w:r w:rsidRPr="00496FB6" w:rsidR="002741C9">
        <w:t xml:space="preserve">sensitive issues </w:t>
      </w:r>
      <w:r w:rsidRPr="00496FB6">
        <w:t xml:space="preserve">requiring individually sequestered voir dire </w:t>
      </w:r>
      <w:r w:rsidRPr="00496FB6" w:rsidR="002741C9">
        <w:t>were arising</w:t>
      </w:r>
      <w:r w:rsidRPr="00496FB6" w:rsidR="00340273">
        <w:t xml:space="preserve">.  The trial court denied the request, noting “voir dire must occur in the presence of all other jurors where practical in all criminal cases including death penalty cases.”  </w:t>
      </w:r>
      <w:r w:rsidRPr="00496FB6" w:rsidR="0048649A">
        <w:t>It added</w:t>
      </w:r>
      <w:r w:rsidRPr="00496FB6" w:rsidR="00340273">
        <w:t xml:space="preserve"> that many </w:t>
      </w:r>
      <w:r w:rsidRPr="00496FB6" w:rsidR="0048649A">
        <w:t xml:space="preserve">of the </w:t>
      </w:r>
      <w:r w:rsidRPr="00496FB6" w:rsidR="00340273">
        <w:t xml:space="preserve">issues were not sensitive and would be addressed in a group voir dire setting.  </w:t>
      </w:r>
      <w:r w:rsidRPr="00496FB6" w:rsidR="0048649A">
        <w:t>T</w:t>
      </w:r>
      <w:r w:rsidRPr="00496FB6" w:rsidR="00340273">
        <w:t xml:space="preserve">he court </w:t>
      </w:r>
      <w:r w:rsidRPr="00496FB6" w:rsidR="0048649A">
        <w:t xml:space="preserve">acknowledged </w:t>
      </w:r>
      <w:r w:rsidRPr="00496FB6" w:rsidR="00D8700B">
        <w:t>that</w:t>
      </w:r>
      <w:r w:rsidRPr="00496FB6" w:rsidR="00340273">
        <w:t xml:space="preserve"> the case also involved some sensitive issues and</w:t>
      </w:r>
      <w:r w:rsidRPr="00496FB6" w:rsidR="005848BB">
        <w:t xml:space="preserve"> that it would take those issues</w:t>
      </w:r>
      <w:r w:rsidRPr="00496FB6" w:rsidR="00340273">
        <w:t xml:space="preserve"> </w:t>
      </w:r>
      <w:r w:rsidRPr="00496FB6" w:rsidR="005848BB">
        <w:t>“</w:t>
      </w:r>
      <w:r w:rsidRPr="00496FB6" w:rsidR="00340273">
        <w:t xml:space="preserve">into chambers . . . with all of you.” </w:t>
      </w:r>
      <w:r w:rsidRPr="00496FB6" w:rsidR="00D6753E">
        <w:t xml:space="preserve"> </w:t>
      </w:r>
    </w:p>
    <w:p w:rsidR="00340273" w:rsidRPr="00496FB6" w:rsidP="00E50037" w14:paraId="485F40F2" w14:textId="3A36AE02">
      <w:pPr>
        <w:ind w:firstLine="720"/>
      </w:pPr>
      <w:r w:rsidRPr="00496FB6">
        <w:t>The court later clarifie</w:t>
      </w:r>
      <w:r w:rsidRPr="00496FB6">
        <w:t xml:space="preserve">d: </w:t>
      </w:r>
      <w:r w:rsidRPr="00496FB6" w:rsidR="00F14BFF">
        <w:t xml:space="preserve"> </w:t>
      </w:r>
      <w:r w:rsidRPr="00496FB6">
        <w:t xml:space="preserve">“I’m not telling you that I’m simply going to take every death-qualifying question into chambers.  I may ask </w:t>
      </w:r>
      <w:r w:rsidRPr="00496FB6" w:rsidR="00D45782">
        <w:t>[the prospective jurors]</w:t>
      </w:r>
      <w:r w:rsidRPr="00496FB6">
        <w:t xml:space="preserve"> a question or two about</w:t>
      </w:r>
      <w:r w:rsidRPr="00496FB6" w:rsidR="00F14BFF">
        <w:t> </w:t>
      </w:r>
      <w:r w:rsidRPr="00496FB6">
        <w:t xml:space="preserve">— if </w:t>
      </w:r>
      <w:r w:rsidRPr="00496FB6" w:rsidR="00311E87">
        <w:t xml:space="preserve">somebody </w:t>
      </w:r>
      <w:r w:rsidRPr="00496FB6">
        <w:t>says I could never impose, I will never impose the death penalty and so forth, I</w:t>
      </w:r>
      <w:r w:rsidRPr="00496FB6">
        <w:t xml:space="preserve"> might ask them an introductory question or two about that topic, and if I feel that we’re going into an area that might be deemed sort of personal to that juror or might tend to broaden the topic beyond the question they answer, I will indeed go into cham</w:t>
      </w:r>
      <w:r w:rsidRPr="00496FB6">
        <w:t>bers.  [¶]  The proposition that overruled [</w:t>
      </w:r>
      <w:r w:rsidRPr="00496FB6">
        <w:rPr>
          <w:i/>
          <w:iCs/>
        </w:rPr>
        <w:t>Hovey</w:t>
      </w:r>
      <w:r w:rsidRPr="00496FB6">
        <w:t xml:space="preserve">] made </w:t>
      </w:r>
      <w:r w:rsidRPr="00496FB6" w:rsidR="00311E87">
        <w:t xml:space="preserve">that </w:t>
      </w:r>
      <w:r w:rsidRPr="00496FB6">
        <w:t>very clear that you’re not entitled to [</w:t>
      </w:r>
      <w:r w:rsidRPr="00496FB6">
        <w:rPr>
          <w:i/>
          <w:iCs/>
        </w:rPr>
        <w:t>Hovey</w:t>
      </w:r>
      <w:r w:rsidRPr="00496FB6">
        <w:t xml:space="preserve">] voir dire on </w:t>
      </w:r>
      <w:r w:rsidRPr="00496FB6" w:rsidR="00311E87">
        <w:t>death-</w:t>
      </w:r>
      <w:r w:rsidRPr="00496FB6">
        <w:t xml:space="preserve">qualifying questions, per se.  I have to make individual calls on them.”  </w:t>
      </w:r>
    </w:p>
    <w:p w:rsidR="007A0C77" w:rsidRPr="00496FB6" w:rsidP="00E50037" w14:paraId="43EC314D" w14:textId="20DE39CB">
      <w:pPr>
        <w:pStyle w:val="Heading3"/>
        <w:tabs>
          <w:tab w:val="clear" w:pos="1584"/>
        </w:tabs>
      </w:pPr>
      <w:bookmarkStart w:id="68" w:name="_Toc147519561"/>
      <w:bookmarkStart w:id="69" w:name="_Toc147845689"/>
      <w:r w:rsidRPr="00496FB6">
        <w:rPr>
          <w:i w:val="0"/>
          <w:iCs/>
        </w:rPr>
        <w:t>3.</w:t>
      </w:r>
      <w:r w:rsidRPr="00496FB6" w:rsidR="00D93595">
        <w:rPr>
          <w:i w:val="0"/>
          <w:iCs/>
        </w:rPr>
        <w:tab/>
      </w:r>
      <w:bookmarkEnd w:id="68"/>
      <w:r w:rsidRPr="00496FB6" w:rsidR="004B135D">
        <w:t>Analysis</w:t>
      </w:r>
      <w:bookmarkEnd w:id="69"/>
    </w:p>
    <w:p w:rsidR="00C97745" w:rsidRPr="00496FB6" w:rsidP="00E50037" w14:paraId="4A259C6F" w14:textId="7F87C1FF">
      <w:pPr>
        <w:ind w:firstLine="720"/>
      </w:pPr>
      <w:r w:rsidRPr="00496FB6">
        <w:t>Defendant</w:t>
      </w:r>
      <w:r w:rsidRPr="00496FB6" w:rsidR="007F2B77">
        <w:t xml:space="preserve"> claim</w:t>
      </w:r>
      <w:r w:rsidRPr="00496FB6" w:rsidR="00BD5D9C">
        <w:t>s</w:t>
      </w:r>
      <w:r w:rsidRPr="00496FB6" w:rsidR="007F2B77">
        <w:t xml:space="preserve"> </w:t>
      </w:r>
      <w:r w:rsidRPr="00496FB6" w:rsidR="00BD5D9C">
        <w:t>“the federal Constitution requires sequestered death-qualification voir dire of every prospective juror in a capital case.”</w:t>
      </w:r>
      <w:r>
        <w:rPr>
          <w:rStyle w:val="FootnoteReference"/>
        </w:rPr>
        <w:footnoteReference w:id="13"/>
      </w:r>
      <w:r w:rsidRPr="00496FB6" w:rsidR="00BD5D9C">
        <w:t xml:space="preserve"> </w:t>
      </w:r>
      <w:r w:rsidRPr="00496FB6" w:rsidR="00F52D18">
        <w:t xml:space="preserve"> </w:t>
      </w:r>
      <w:r w:rsidRPr="00496FB6" w:rsidR="00C34E06">
        <w:t>As noted in part II.B</w:t>
      </w:r>
      <w:r w:rsidRPr="00496FB6" w:rsidR="006E12FB">
        <w:t>.1</w:t>
      </w:r>
      <w:r w:rsidRPr="00496FB6" w:rsidR="00D04613">
        <w:t>.</w:t>
      </w:r>
      <w:r w:rsidRPr="00496FB6" w:rsidR="00C34E06">
        <w:t xml:space="preserve">, </w:t>
      </w:r>
      <w:bookmarkStart w:id="70" w:name="dabmci_be09014f793849fcbce4fad2e6a930e5"/>
      <w:r w:rsidRPr="00496FB6" w:rsidR="00C34E06">
        <w:rPr>
          <w:i/>
          <w:iCs/>
        </w:rPr>
        <w:t>ante</w:t>
      </w:r>
      <w:r w:rsidRPr="00496FB6" w:rsidR="00C34E06">
        <w:t>,</w:t>
      </w:r>
      <w:bookmarkEnd w:id="70"/>
      <w:r w:rsidRPr="00496FB6" w:rsidR="00C34E06">
        <w:t xml:space="preserve"> w</w:t>
      </w:r>
      <w:r w:rsidRPr="00496FB6" w:rsidR="00926E1C">
        <w:t>e</w:t>
      </w:r>
      <w:r w:rsidRPr="00496FB6">
        <w:t xml:space="preserve"> </w:t>
      </w:r>
      <w:r w:rsidRPr="00496FB6" w:rsidR="00926E1C">
        <w:t>have</w:t>
      </w:r>
      <w:r w:rsidRPr="00496FB6" w:rsidR="00011147">
        <w:t xml:space="preserve"> </w:t>
      </w:r>
      <w:r w:rsidRPr="00496FB6" w:rsidR="00A0233D">
        <w:t xml:space="preserve">repeatedly </w:t>
      </w:r>
      <w:r w:rsidRPr="00496FB6">
        <w:t>rejected</w:t>
      </w:r>
      <w:r w:rsidRPr="00496FB6" w:rsidR="00926E1C">
        <w:t xml:space="preserve"> </w:t>
      </w:r>
      <w:r w:rsidRPr="00496FB6">
        <w:t>this c</w:t>
      </w:r>
      <w:r w:rsidRPr="00496FB6" w:rsidR="00926E1C">
        <w:t>laim</w:t>
      </w:r>
      <w:r w:rsidRPr="00496FB6" w:rsidR="006676A9">
        <w:t>.</w:t>
      </w:r>
      <w:r w:rsidRPr="00496FB6" w:rsidR="00BA49C1">
        <w:t xml:space="preserve"> </w:t>
      </w:r>
      <w:r w:rsidRPr="00496FB6" w:rsidR="006676A9">
        <w:t xml:space="preserve"> </w:t>
      </w:r>
      <w:r w:rsidRPr="00496FB6">
        <w:t>(</w:t>
      </w:r>
      <w:r w:rsidRPr="00496FB6" w:rsidR="006676A9">
        <w:t>S</w:t>
      </w:r>
      <w:r w:rsidRPr="00496FB6" w:rsidR="00BA49C1">
        <w:t>ee, e.g</w:t>
      </w:r>
      <w:r w:rsidRPr="00496FB6" w:rsidR="00605D39">
        <w:t>.,</w:t>
      </w:r>
      <w:r w:rsidRPr="00496FB6" w:rsidR="00913FBB">
        <w:t xml:space="preserve"> </w:t>
      </w:r>
      <w:bookmarkStart w:id="71" w:name="dabmci_f512282dab994dd8b1209dcc0d5cebae"/>
      <w:r w:rsidRPr="00496FB6" w:rsidR="00913FBB">
        <w:rPr>
          <w:i/>
          <w:iCs/>
        </w:rPr>
        <w:t>Jackson</w:t>
      </w:r>
      <w:r w:rsidRPr="00496FB6" w:rsidR="00913FBB">
        <w:t xml:space="preserve">, </w:t>
      </w:r>
      <w:r w:rsidRPr="00496FB6" w:rsidR="00913FBB">
        <w:rPr>
          <w:i/>
          <w:iCs/>
        </w:rPr>
        <w:t>supra</w:t>
      </w:r>
      <w:r w:rsidRPr="00496FB6" w:rsidR="00913FBB">
        <w:t>, 1</w:t>
      </w:r>
      <w:r w:rsidRPr="00496FB6" w:rsidR="0073350B">
        <w:t> </w:t>
      </w:r>
      <w:r w:rsidRPr="00496FB6" w:rsidR="00913FBB">
        <w:t>Cal.5th at p.</w:t>
      </w:r>
      <w:r w:rsidRPr="00496FB6" w:rsidR="00F14BFF">
        <w:t> </w:t>
      </w:r>
      <w:r w:rsidRPr="00496FB6" w:rsidR="00913FBB">
        <w:t>357</w:t>
      </w:r>
      <w:bookmarkEnd w:id="71"/>
      <w:r w:rsidRPr="00496FB6" w:rsidR="006676A9">
        <w:t>.</w:t>
      </w:r>
      <w:r w:rsidRPr="00496FB6" w:rsidR="00011147">
        <w:t>)</w:t>
      </w:r>
      <w:r w:rsidRPr="00496FB6" w:rsidR="00605D39">
        <w:t xml:space="preserve"> </w:t>
      </w:r>
      <w:r w:rsidRPr="00496FB6" w:rsidR="006676A9">
        <w:t xml:space="preserve"> S</w:t>
      </w:r>
      <w:r w:rsidRPr="00496FB6" w:rsidR="00605D39">
        <w:t>ince</w:t>
      </w:r>
      <w:r w:rsidRPr="00496FB6" w:rsidR="00277978">
        <w:t xml:space="preserve"> </w:t>
      </w:r>
      <w:r w:rsidRPr="00496FB6">
        <w:t>defendant</w:t>
      </w:r>
      <w:r w:rsidRPr="00496FB6" w:rsidR="00957725">
        <w:t xml:space="preserve"> </w:t>
      </w:r>
      <w:r w:rsidRPr="00496FB6" w:rsidR="00277978">
        <w:t xml:space="preserve">presents no persuasive arguments to reconsider our prior holdings, we adhere to </w:t>
      </w:r>
      <w:r w:rsidRPr="00496FB6" w:rsidR="00CB1928">
        <w:t>our</w:t>
      </w:r>
      <w:r w:rsidRPr="00496FB6" w:rsidR="006B72D3">
        <w:t xml:space="preserve"> conclusion</w:t>
      </w:r>
      <w:r w:rsidRPr="00496FB6" w:rsidR="00277978">
        <w:t xml:space="preserve"> that “</w:t>
      </w:r>
      <w:r w:rsidRPr="00496FB6" w:rsidR="006B72D3">
        <w:t> ‘ “</w:t>
      </w:r>
      <w:r w:rsidRPr="00496FB6" w:rsidR="00A019A7">
        <w:t>[i]ndividual sequestered jury selection is not constitutionally required</w:t>
      </w:r>
      <w:r w:rsidRPr="00496FB6" w:rsidR="006B72D3">
        <w:t>” ’ ”</w:t>
      </w:r>
      <w:r w:rsidRPr="00496FB6" w:rsidR="00277978">
        <w:t xml:space="preserve"> </w:t>
      </w:r>
      <w:r w:rsidRPr="00496FB6" w:rsidR="003C7303">
        <w:t xml:space="preserve">in </w:t>
      </w:r>
      <w:r w:rsidRPr="00496FB6" w:rsidR="0034696B">
        <w:t>all capital cases</w:t>
      </w:r>
      <w:r w:rsidRPr="00496FB6" w:rsidR="003C7303">
        <w:t>.</w:t>
      </w:r>
      <w:r w:rsidRPr="00496FB6" w:rsidR="00957725">
        <w:t xml:space="preserve"> </w:t>
      </w:r>
      <w:r w:rsidRPr="00496FB6" w:rsidR="003C7303">
        <w:t xml:space="preserve"> </w:t>
      </w:r>
      <w:r w:rsidRPr="00496FB6" w:rsidR="00957725">
        <w:t>(</w:t>
      </w:r>
      <w:bookmarkStart w:id="72" w:name="dabmci_4dd1a0b1c35840669064e3fee1debaf6"/>
      <w:r w:rsidRPr="00496FB6" w:rsidR="00957725">
        <w:rPr>
          <w:i/>
          <w:iCs/>
        </w:rPr>
        <w:t>People v. Hoyt</w:t>
      </w:r>
      <w:r w:rsidRPr="00496FB6" w:rsidR="00957725">
        <w:t xml:space="preserve"> (2020) 8</w:t>
      </w:r>
      <w:r w:rsidRPr="00496FB6" w:rsidR="00AB12E7">
        <w:t> </w:t>
      </w:r>
      <w:r w:rsidRPr="00496FB6" w:rsidR="00957725">
        <w:t>Cal.5th 892, 914</w:t>
      </w:r>
      <w:bookmarkEnd w:id="72"/>
      <w:r w:rsidRPr="00496FB6" w:rsidR="00957725">
        <w:t>.)</w:t>
      </w:r>
      <w:r>
        <w:rPr>
          <w:rStyle w:val="FootnoteReference"/>
        </w:rPr>
        <w:footnoteReference w:id="14"/>
      </w:r>
      <w:r w:rsidRPr="00496FB6">
        <w:t xml:space="preserve">  </w:t>
      </w:r>
    </w:p>
    <w:p w:rsidR="00C97745" w:rsidRPr="00496FB6" w:rsidP="00E50037" w14:paraId="1FEF234C" w14:textId="1B4789F9">
      <w:pPr>
        <w:ind w:firstLine="720"/>
      </w:pPr>
      <w:r>
        <w:t>W</w:t>
      </w:r>
      <w:r w:rsidRPr="00496FB6" w:rsidR="001A74F4">
        <w:t>e also</w:t>
      </w:r>
      <w:r w:rsidRPr="00496FB6">
        <w:t xml:space="preserve"> reject </w:t>
      </w:r>
      <w:r w:rsidRPr="00496FB6" w:rsidR="00A24BC5">
        <w:t>defendant</w:t>
      </w:r>
      <w:r w:rsidRPr="00496FB6">
        <w:t xml:space="preserve">’s claim that the trial court abused its discretion </w:t>
      </w:r>
      <w:r w:rsidRPr="00496FB6" w:rsidR="009A2F07">
        <w:t xml:space="preserve">under </w:t>
      </w:r>
      <w:bookmarkStart w:id="73" w:name="dabmci_962af2794827426cb98144f40ad4ca60"/>
      <w:r w:rsidRPr="00496FB6" w:rsidR="009A2F07">
        <w:t>Code of Civil Procedure section</w:t>
      </w:r>
      <w:r w:rsidR="00774C94">
        <w:t> </w:t>
      </w:r>
      <w:r w:rsidRPr="00496FB6" w:rsidR="009A2F07">
        <w:t>223</w:t>
      </w:r>
      <w:bookmarkEnd w:id="73"/>
      <w:r w:rsidRPr="00496FB6" w:rsidR="009A2F07">
        <w:t xml:space="preserve"> </w:t>
      </w:r>
      <w:r w:rsidRPr="00496FB6">
        <w:t xml:space="preserve">by denying his request for individual sequestered voir dire “under the circumstances of this case.”  The only argument </w:t>
      </w:r>
      <w:r w:rsidRPr="00496FB6" w:rsidR="00A24BC5">
        <w:t>defendant</w:t>
      </w:r>
      <w:r w:rsidRPr="00496FB6">
        <w:t xml:space="preserve"> offers to s</w:t>
      </w:r>
      <w:r w:rsidRPr="00496FB6">
        <w:t>upport this claim is his assertion that “[t]he trial court gave no explanation of its decision to overrule appellant</w:t>
      </w:r>
      <w:r w:rsidRPr="00496FB6" w:rsidR="0034696B">
        <w:t>’</w:t>
      </w:r>
      <w:r w:rsidRPr="00496FB6">
        <w:t xml:space="preserve">s request for individual sequestered voir dire about the death penalty,” and thus the record does not reflect an exercise of discretion. </w:t>
      </w:r>
      <w:r w:rsidRPr="00496FB6" w:rsidR="006919D3">
        <w:t xml:space="preserve"> </w:t>
      </w:r>
    </w:p>
    <w:p w:rsidR="00C97745" w:rsidRPr="00496FB6" w:rsidP="00E50037" w14:paraId="3429CD56" w14:textId="44DE882D">
      <w:pPr>
        <w:ind w:firstLine="720"/>
      </w:pPr>
      <w:r w:rsidRPr="00496FB6">
        <w:t xml:space="preserve">Contrary to </w:t>
      </w:r>
      <w:r w:rsidRPr="00496FB6" w:rsidR="00A24BC5">
        <w:t>defendant</w:t>
      </w:r>
      <w:r w:rsidRPr="00496FB6">
        <w:t xml:space="preserve">’s </w:t>
      </w:r>
      <w:r w:rsidRPr="00496FB6" w:rsidR="00063F13">
        <w:t>assertion</w:t>
      </w:r>
      <w:r w:rsidRPr="00496FB6">
        <w:t xml:space="preserve">, the trial court </w:t>
      </w:r>
      <w:r w:rsidRPr="00496FB6">
        <w:rPr>
          <w:i/>
          <w:iCs/>
        </w:rPr>
        <w:t>did</w:t>
      </w:r>
      <w:r w:rsidRPr="00496FB6">
        <w:t xml:space="preserve"> explain its reasons for denying </w:t>
      </w:r>
      <w:r w:rsidRPr="00496FB6" w:rsidR="00A24BC5">
        <w:t>defendant</w:t>
      </w:r>
      <w:r w:rsidRPr="00496FB6">
        <w:t xml:space="preserve">’s request </w:t>
      </w:r>
      <w:r w:rsidR="00292C3C">
        <w:t>to conduct</w:t>
      </w:r>
      <w:r w:rsidRPr="00496FB6">
        <w:t xml:space="preserve"> all the </w:t>
      </w:r>
      <w:r w:rsidRPr="00496FB6" w:rsidR="00D32824">
        <w:t xml:space="preserve">death qualification </w:t>
      </w:r>
      <w:r w:rsidRPr="00496FB6">
        <w:t>voir dire in an individually sequestered fashion</w:t>
      </w:r>
      <w:r w:rsidRPr="00496FB6" w:rsidR="00F01C28">
        <w:t>,</w:t>
      </w:r>
      <w:r w:rsidRPr="00496FB6">
        <w:t xml:space="preserve"> and </w:t>
      </w:r>
      <w:r w:rsidRPr="00496FB6" w:rsidR="002B7C9B">
        <w:t>it</w:t>
      </w:r>
      <w:r w:rsidRPr="00496FB6">
        <w:t xml:space="preserve"> conducted </w:t>
      </w:r>
      <w:r w:rsidRPr="00496FB6" w:rsidR="00ED58B3">
        <w:t>portions</w:t>
      </w:r>
      <w:r w:rsidRPr="00496FB6" w:rsidR="00983D54">
        <w:t xml:space="preserve"> of the </w:t>
      </w:r>
      <w:r w:rsidRPr="00496FB6">
        <w:t xml:space="preserve">voir dire in an individually sequestered fashion, thereby manifesting an exercise of discretion.  </w:t>
      </w:r>
      <w:r w:rsidRPr="00496FB6" w:rsidR="0009512B">
        <w:t>(See</w:t>
      </w:r>
      <w:r w:rsidRPr="00496FB6" w:rsidR="005B2BD9">
        <w:t xml:space="preserve"> </w:t>
      </w:r>
      <w:bookmarkStart w:id="74" w:name="dabmci_0eca2ca4e8b242f1834714a4294580a2"/>
      <w:r w:rsidRPr="00496FB6" w:rsidR="0009512B">
        <w:rPr>
          <w:i/>
          <w:iCs/>
        </w:rPr>
        <w:t>People v. McKinnon</w:t>
      </w:r>
      <w:r w:rsidRPr="00496FB6" w:rsidR="0009512B">
        <w:t xml:space="preserve"> (2011) 52</w:t>
      </w:r>
      <w:r w:rsidRPr="00496FB6" w:rsidR="00AB12E7">
        <w:t> </w:t>
      </w:r>
      <w:r w:rsidRPr="00496FB6" w:rsidR="0009512B">
        <w:t>Cal.4th 610, 634</w:t>
      </w:r>
      <w:bookmarkEnd w:id="74"/>
      <w:r w:rsidRPr="00496FB6" w:rsidR="002A32F2">
        <w:t xml:space="preserve"> [</w:t>
      </w:r>
      <w:r w:rsidRPr="00496FB6" w:rsidR="005B2BD9">
        <w:t xml:space="preserve">rejecting claim that trial court abused its discretion </w:t>
      </w:r>
      <w:r w:rsidRPr="00496FB6" w:rsidR="00217885">
        <w:t>in determining whether group voir dire was impracticable</w:t>
      </w:r>
      <w:r w:rsidRPr="00496FB6" w:rsidR="005B2BD9">
        <w:t xml:space="preserve"> because</w:t>
      </w:r>
      <w:r w:rsidRPr="00496FB6" w:rsidR="002A32F2">
        <w:t xml:space="preserve"> </w:t>
      </w:r>
      <w:r w:rsidRPr="00496FB6" w:rsidR="00B21927">
        <w:t>the court’s “remarks during voir dire confirm that its denial of the motion reflected careful consideration of the issue and that it properly exercised its discretion</w:t>
      </w:r>
      <w:r w:rsidRPr="00496FB6" w:rsidR="002A32F2">
        <w:t>”</w:t>
      </w:r>
      <w:r w:rsidRPr="00496FB6" w:rsidR="005B2BD9">
        <w:t>].)</w:t>
      </w:r>
      <w:r w:rsidRPr="00496FB6" w:rsidR="00B21927">
        <w:t xml:space="preserve">  </w:t>
      </w:r>
      <w:r w:rsidRPr="00496FB6" w:rsidR="00E945F5">
        <w:t xml:space="preserve">Thus, </w:t>
      </w:r>
      <w:r w:rsidR="009E7835">
        <w:t xml:space="preserve">we </w:t>
      </w:r>
      <w:r w:rsidRPr="00496FB6" w:rsidR="00E945F5">
        <w:t>reject</w:t>
      </w:r>
      <w:r w:rsidR="009E7835">
        <w:t xml:space="preserve"> defendant’s</w:t>
      </w:r>
      <w:r w:rsidRPr="00496FB6" w:rsidR="00966A25">
        <w:t xml:space="preserve"> </w:t>
      </w:r>
      <w:r w:rsidRPr="00496FB6" w:rsidR="00B529C1">
        <w:t>contention that the</w:t>
      </w:r>
      <w:r w:rsidRPr="00496FB6" w:rsidR="00E945F5">
        <w:t xml:space="preserve"> </w:t>
      </w:r>
      <w:r w:rsidRPr="00496FB6" w:rsidR="00651610">
        <w:t xml:space="preserve">record does not reflect that the trial court exercised its discretion in ruling on </w:t>
      </w:r>
      <w:r w:rsidRPr="00496FB6" w:rsidR="00A24BC5">
        <w:t>defendant</w:t>
      </w:r>
      <w:r w:rsidRPr="00496FB6" w:rsidR="00651610">
        <w:t>’s request for individually sequestered death qualification voir dire</w:t>
      </w:r>
      <w:r w:rsidRPr="00496FB6" w:rsidR="00A476A3">
        <w:t>.</w:t>
      </w:r>
      <w:r w:rsidRPr="00496FB6" w:rsidR="00AB3E28">
        <w:t xml:space="preserve"> </w:t>
      </w:r>
      <w:r w:rsidRPr="00496FB6" w:rsidR="00F27E6E">
        <w:t xml:space="preserve"> </w:t>
      </w:r>
    </w:p>
    <w:p w:rsidR="007A0C77" w:rsidRPr="00496FB6" w:rsidP="00E50037" w14:paraId="5E6EB2BF" w14:textId="6618BE2D">
      <w:pPr>
        <w:ind w:firstLine="720"/>
      </w:pPr>
      <w:r w:rsidRPr="00496FB6">
        <w:t>Finally</w:t>
      </w:r>
      <w:r w:rsidRPr="00496FB6" w:rsidR="00C97745">
        <w:t>,</w:t>
      </w:r>
      <w:r w:rsidRPr="00496FB6" w:rsidR="00CF0644">
        <w:t xml:space="preserve"> </w:t>
      </w:r>
      <w:r w:rsidRPr="00496FB6" w:rsidR="00142EF3">
        <w:t>because “</w:t>
      </w:r>
      <w:r w:rsidRPr="00496FB6" w:rsidR="00A24BC5">
        <w:t>defendant</w:t>
      </w:r>
      <w:r w:rsidRPr="00496FB6" w:rsidR="00142EF3">
        <w:t xml:space="preserve"> nowhere states what questions he was unable to ask jurors as a result of the trial court</w:t>
      </w:r>
      <w:r w:rsidRPr="00496FB6" w:rsidR="004C3173">
        <w:t>’</w:t>
      </w:r>
      <w:r w:rsidRPr="00496FB6" w:rsidR="00142EF3">
        <w:t>s rulings, nor does he describe any specific example of how questioning prospective jurors in the presence of other jurors prevented him from uncovering juror bias</w:t>
      </w:r>
      <w:r w:rsidRPr="00496FB6" w:rsidR="00256829">
        <w:t>[,]</w:t>
      </w:r>
      <w:r w:rsidRPr="00496FB6" w:rsidR="00486E7B">
        <w:t> . . . </w:t>
      </w:r>
      <w:r w:rsidRPr="00496FB6" w:rsidR="00142EF3">
        <w:t>he has not established prejudice</w:t>
      </w:r>
      <w:r w:rsidRPr="00496FB6" w:rsidR="00D014FE">
        <w:t xml:space="preserve">,” as is required </w:t>
      </w:r>
      <w:r w:rsidRPr="00496FB6" w:rsidR="00CF0644">
        <w:t xml:space="preserve">for reversal </w:t>
      </w:r>
      <w:r w:rsidRPr="00496FB6" w:rsidR="0068603C">
        <w:t xml:space="preserve">due to a </w:t>
      </w:r>
      <w:r w:rsidRPr="00496FB6" w:rsidR="00CF0644">
        <w:t xml:space="preserve">violation of </w:t>
      </w:r>
      <w:bookmarkStart w:id="75" w:name="dabmci_144d028324c64d74ab4a058d3ac01c0a"/>
      <w:r w:rsidRPr="00496FB6" w:rsidR="00CF0644">
        <w:t>Code of Civil Procedure section 223</w:t>
      </w:r>
      <w:bookmarkEnd w:id="75"/>
      <w:r w:rsidRPr="00496FB6" w:rsidR="00CF0644">
        <w:t>.</w:t>
      </w:r>
      <w:r w:rsidRPr="00496FB6" w:rsidR="0068603C">
        <w:t xml:space="preserve">  (</w:t>
      </w:r>
      <w:bookmarkStart w:id="76" w:name="dabmci_71246631f3b24e54b987b13914617b97"/>
      <w:r w:rsidRPr="00496FB6" w:rsidR="00142EF3">
        <w:rPr>
          <w:i/>
          <w:iCs/>
        </w:rPr>
        <w:t>People v. Navarette</w:t>
      </w:r>
      <w:r w:rsidRPr="00496FB6" w:rsidR="00142EF3">
        <w:t xml:space="preserve"> (2003) 30</w:t>
      </w:r>
      <w:r w:rsidRPr="00496FB6" w:rsidR="00AB12E7">
        <w:t> </w:t>
      </w:r>
      <w:r w:rsidRPr="00496FB6" w:rsidR="00142EF3">
        <w:t>Cal.4th 458, 490</w:t>
      </w:r>
      <w:bookmarkEnd w:id="76"/>
      <w:r w:rsidRPr="00496FB6" w:rsidR="00DD7102">
        <w:t xml:space="preserve">; see </w:t>
      </w:r>
      <w:bookmarkStart w:id="77" w:name="dabmci_b5681ca281914e14b66b87321ed984c0"/>
      <w:r w:rsidRPr="00496FB6" w:rsidR="00DD7102">
        <w:t>Code Civ. Pro</w:t>
      </w:r>
      <w:r w:rsidRPr="00496FB6" w:rsidR="00C2221F">
        <w:t>c</w:t>
      </w:r>
      <w:r w:rsidRPr="00496FB6" w:rsidR="00DD7102">
        <w:t>., § 223, subd. (g)</w:t>
      </w:r>
      <w:bookmarkEnd w:id="77"/>
      <w:r w:rsidRPr="00496FB6" w:rsidR="00DD7102">
        <w:t xml:space="preserve"> [“</w:t>
      </w:r>
      <w:r w:rsidRPr="00496FB6" w:rsidR="002B7C9B">
        <w:t>T</w:t>
      </w:r>
      <w:r w:rsidRPr="00496FB6" w:rsidR="00DD7102">
        <w:t>he trial judge</w:t>
      </w:r>
      <w:r w:rsidRPr="00496FB6" w:rsidR="009D7648">
        <w:t>’</w:t>
      </w:r>
      <w:r w:rsidRPr="00496FB6" w:rsidR="00DD7102">
        <w:t>s exercise of discretion in the manner in which voir dire is conducted</w:t>
      </w:r>
      <w:r w:rsidRPr="00496FB6" w:rsidR="009D7648">
        <w:t xml:space="preserve"> .</w:t>
      </w:r>
      <w:r w:rsidRPr="00496FB6" w:rsidR="00F14BFF">
        <w:t> </w:t>
      </w:r>
      <w:r w:rsidRPr="00496FB6" w:rsidR="009D7648">
        <w:t>.</w:t>
      </w:r>
      <w:r w:rsidRPr="00496FB6" w:rsidR="00F14BFF">
        <w:t> </w:t>
      </w:r>
      <w:r w:rsidRPr="00496FB6" w:rsidR="009D7648">
        <w:t xml:space="preserve">. </w:t>
      </w:r>
      <w:r w:rsidRPr="00496FB6" w:rsidR="00DD7102">
        <w:t xml:space="preserve">is not cause for a conviction to be reversed, unless the exercise of that discretion results in a miscarriage of justice, as specified in </w:t>
      </w:r>
      <w:bookmarkStart w:id="78" w:name="dabmci_fba795e915434344baba37a4cec54de0"/>
      <w:r w:rsidRPr="00496FB6" w:rsidR="00DD7102">
        <w:t>Section 13 of Article VI of the California Constitution</w:t>
      </w:r>
      <w:bookmarkEnd w:id="78"/>
      <w:r w:rsidRPr="00496FB6" w:rsidR="008A7B05">
        <w:t>”].)</w:t>
      </w:r>
      <w:r w:rsidR="003E5B3E">
        <w:t xml:space="preserve">  </w:t>
      </w:r>
    </w:p>
    <w:p w:rsidR="00A83CB1" w:rsidRPr="00496FB6" w:rsidP="00496FB6" w14:paraId="188D635B" w14:textId="707B3A7A">
      <w:pPr>
        <w:pStyle w:val="Heading2"/>
        <w:tabs>
          <w:tab w:val="clear" w:pos="1152"/>
        </w:tabs>
        <w:ind w:left="1080" w:hanging="360"/>
        <w:rPr>
          <w:bCs/>
        </w:rPr>
      </w:pPr>
      <w:bookmarkStart w:id="79" w:name="_Toc147845690"/>
      <w:bookmarkStart w:id="80" w:name="_Toc147519562"/>
      <w:r w:rsidRPr="00496FB6">
        <w:t>C.</w:t>
      </w:r>
      <w:r w:rsidRPr="00496FB6" w:rsidR="00D93595">
        <w:tab/>
      </w:r>
      <w:r w:rsidRPr="00496FB6" w:rsidR="003474FF">
        <w:rPr>
          <w:bCs/>
        </w:rPr>
        <w:t xml:space="preserve">The </w:t>
      </w:r>
      <w:r w:rsidRPr="00496FB6" w:rsidR="0023133E">
        <w:rPr>
          <w:bCs/>
        </w:rPr>
        <w:t>T</w:t>
      </w:r>
      <w:r w:rsidRPr="00496FB6" w:rsidR="003474FF">
        <w:rPr>
          <w:bCs/>
        </w:rPr>
        <w:t xml:space="preserve">rial </w:t>
      </w:r>
      <w:r w:rsidRPr="00496FB6" w:rsidR="0023133E">
        <w:rPr>
          <w:bCs/>
        </w:rPr>
        <w:t>C</w:t>
      </w:r>
      <w:r w:rsidRPr="00496FB6" w:rsidR="003474FF">
        <w:rPr>
          <w:bCs/>
        </w:rPr>
        <w:t xml:space="preserve">ourt </w:t>
      </w:r>
      <w:r w:rsidRPr="00496FB6" w:rsidR="0023133E">
        <w:rPr>
          <w:bCs/>
        </w:rPr>
        <w:t>D</w:t>
      </w:r>
      <w:r w:rsidRPr="00496FB6" w:rsidR="003474FF">
        <w:rPr>
          <w:bCs/>
        </w:rPr>
        <w:t xml:space="preserve">id </w:t>
      </w:r>
      <w:r w:rsidRPr="00496FB6" w:rsidR="0023133E">
        <w:rPr>
          <w:bCs/>
        </w:rPr>
        <w:t>N</w:t>
      </w:r>
      <w:r w:rsidRPr="00496FB6" w:rsidR="003474FF">
        <w:rPr>
          <w:bCs/>
        </w:rPr>
        <w:t xml:space="preserve">ot </w:t>
      </w:r>
      <w:r w:rsidRPr="00496FB6" w:rsidR="0023133E">
        <w:rPr>
          <w:bCs/>
        </w:rPr>
        <w:t>E</w:t>
      </w:r>
      <w:r w:rsidRPr="00496FB6" w:rsidR="003474FF">
        <w:rPr>
          <w:bCs/>
        </w:rPr>
        <w:t xml:space="preserve">rr in </w:t>
      </w:r>
      <w:r w:rsidRPr="00496FB6" w:rsidR="0023133E">
        <w:rPr>
          <w:bCs/>
        </w:rPr>
        <w:t>I</w:t>
      </w:r>
      <w:r w:rsidRPr="00496FB6" w:rsidR="00E230FA">
        <w:rPr>
          <w:bCs/>
        </w:rPr>
        <w:t xml:space="preserve">nstructing the </w:t>
      </w:r>
      <w:r w:rsidRPr="00496FB6" w:rsidR="0023133E">
        <w:rPr>
          <w:bCs/>
        </w:rPr>
        <w:t>J</w:t>
      </w:r>
      <w:r w:rsidRPr="00496FB6" w:rsidR="00E230FA">
        <w:rPr>
          <w:bCs/>
        </w:rPr>
        <w:t xml:space="preserve">ury </w:t>
      </w:r>
      <w:r w:rsidRPr="00496FB6" w:rsidR="002B7C9B">
        <w:rPr>
          <w:bCs/>
        </w:rPr>
        <w:t>on</w:t>
      </w:r>
      <w:r w:rsidRPr="00496FB6" w:rsidR="00E230FA">
        <w:rPr>
          <w:bCs/>
        </w:rPr>
        <w:t xml:space="preserve"> </w:t>
      </w:r>
      <w:r w:rsidRPr="00496FB6" w:rsidR="0023133E">
        <w:rPr>
          <w:bCs/>
        </w:rPr>
        <w:t>F</w:t>
      </w:r>
      <w:r w:rsidRPr="00496FB6" w:rsidR="00E230FA">
        <w:rPr>
          <w:bCs/>
        </w:rPr>
        <w:t xml:space="preserve">light </w:t>
      </w:r>
      <w:bookmarkEnd w:id="79"/>
      <w:bookmarkEnd w:id="80"/>
    </w:p>
    <w:p w:rsidR="00BF0C13" w:rsidRPr="00496FB6" w:rsidP="00360037" w14:paraId="2FC46FF8" w14:textId="50954A6B">
      <w:pPr>
        <w:ind w:firstLine="720"/>
      </w:pPr>
      <w:r w:rsidRPr="00496FB6">
        <w:t>Defendant</w:t>
      </w:r>
      <w:r w:rsidRPr="00496FB6" w:rsidR="005A5B4F">
        <w:t xml:space="preserve"> claims the trial court erred in instructing the jury </w:t>
      </w:r>
      <w:r w:rsidRPr="00496FB6" w:rsidR="00212E68">
        <w:t>concerning a defendant’s flig</w:t>
      </w:r>
      <w:r w:rsidRPr="00496FB6" w:rsidR="00863B19">
        <w:t xml:space="preserve">ht from the scene of a crime.  </w:t>
      </w:r>
      <w:r w:rsidR="00214341">
        <w:t>He</w:t>
      </w:r>
      <w:r w:rsidRPr="00496FB6" w:rsidR="00863B19">
        <w:t xml:space="preserve"> maintains </w:t>
      </w:r>
      <w:r w:rsidRPr="00496FB6" w:rsidR="00112C07">
        <w:t>there was no</w:t>
      </w:r>
      <w:r w:rsidRPr="00496FB6" w:rsidR="00560961">
        <w:t xml:space="preserve"> factual basis for giving the instruction</w:t>
      </w:r>
      <w:r w:rsidRPr="00496FB6" w:rsidR="00726D0D">
        <w:t xml:space="preserve"> in this case</w:t>
      </w:r>
      <w:r w:rsidRPr="00496FB6" w:rsidR="000A1D1E">
        <w:t>.</w:t>
      </w:r>
      <w:r w:rsidRPr="00496FB6" w:rsidR="00062C64">
        <w:t xml:space="preserve"> </w:t>
      </w:r>
      <w:r w:rsidRPr="00496FB6" w:rsidR="000A1D1E">
        <w:t xml:space="preserve"> </w:t>
      </w:r>
      <w:r w:rsidRPr="00496FB6">
        <w:t>Defendant</w:t>
      </w:r>
      <w:r w:rsidRPr="00496FB6" w:rsidR="000A1D1E">
        <w:t xml:space="preserve"> also </w:t>
      </w:r>
      <w:r w:rsidRPr="00496FB6" w:rsidR="00A35890">
        <w:t xml:space="preserve">raises a series of arguments </w:t>
      </w:r>
      <w:r w:rsidRPr="00496FB6" w:rsidR="00562EA2">
        <w:t xml:space="preserve">pertaining to </w:t>
      </w:r>
      <w:r w:rsidRPr="00496FB6" w:rsidR="00726D0D">
        <w:t xml:space="preserve">a flight instruction </w:t>
      </w:r>
      <w:r w:rsidRPr="00496FB6" w:rsidR="00391E15">
        <w:t>generally</w:t>
      </w:r>
      <w:r w:rsidRPr="00496FB6" w:rsidR="007A1851">
        <w:t xml:space="preserve">, including </w:t>
      </w:r>
      <w:r w:rsidRPr="00496FB6" w:rsidR="00F17BF2">
        <w:t xml:space="preserve">that the instruction </w:t>
      </w:r>
      <w:r w:rsidRPr="00496FB6" w:rsidR="007A1851">
        <w:t>i</w:t>
      </w:r>
      <w:r w:rsidRPr="00496FB6" w:rsidR="00F17BF2">
        <w:t>s argument</w:t>
      </w:r>
      <w:r w:rsidRPr="00496FB6" w:rsidR="007A1851">
        <w:t>ative</w:t>
      </w:r>
      <w:r w:rsidRPr="00496FB6" w:rsidR="00F17BF2">
        <w:t xml:space="preserve"> and unnecessary, should not be given </w:t>
      </w:r>
      <w:r w:rsidRPr="00496FB6" w:rsidR="00AB1B83">
        <w:t>where the defendant concedes his identity</w:t>
      </w:r>
      <w:r w:rsidRPr="00496FB6" w:rsidR="00F83FCB">
        <w:t>,</w:t>
      </w:r>
      <w:r w:rsidRPr="00496FB6" w:rsidR="001D5347">
        <w:t xml:space="preserve"> </w:t>
      </w:r>
      <w:r w:rsidRPr="00496FB6" w:rsidR="005421DF">
        <w:t xml:space="preserve">improperly </w:t>
      </w:r>
      <w:r w:rsidRPr="00496FB6" w:rsidR="00637562">
        <w:t xml:space="preserve">allows the jury to </w:t>
      </w:r>
      <w:r w:rsidRPr="00496FB6" w:rsidR="001D5347">
        <w:t xml:space="preserve">draw </w:t>
      </w:r>
      <w:r w:rsidRPr="00496FB6" w:rsidR="00637562">
        <w:t xml:space="preserve">an </w:t>
      </w:r>
      <w:r w:rsidRPr="00496FB6" w:rsidR="005421DF">
        <w:t>unreasonable</w:t>
      </w:r>
      <w:r w:rsidRPr="00496FB6" w:rsidR="00637562">
        <w:t xml:space="preserve"> permissive inference</w:t>
      </w:r>
      <w:r w:rsidRPr="00496FB6" w:rsidR="00B15D2B">
        <w:t xml:space="preserve">, and </w:t>
      </w:r>
      <w:r w:rsidRPr="00496FB6" w:rsidR="003C52FD">
        <w:t xml:space="preserve">impermissibly </w:t>
      </w:r>
      <w:r w:rsidRPr="00496FB6" w:rsidR="00B15D2B">
        <w:t>lower</w:t>
      </w:r>
      <w:r w:rsidRPr="00496FB6" w:rsidR="003C52FD">
        <w:t>s</w:t>
      </w:r>
      <w:r w:rsidRPr="00496FB6" w:rsidR="00B15D2B">
        <w:t xml:space="preserve"> the People’s burden of proof</w:t>
      </w:r>
      <w:r w:rsidRPr="00496FB6" w:rsidR="001D5347">
        <w:t xml:space="preserve">.  </w:t>
      </w:r>
      <w:r w:rsidRPr="00496FB6" w:rsidR="005421DF">
        <w:t>He maintains the trial court’s erro</w:t>
      </w:r>
      <w:r w:rsidRPr="00496FB6" w:rsidR="00543014">
        <w:t xml:space="preserve">r </w:t>
      </w:r>
      <w:r w:rsidRPr="00496FB6" w:rsidR="00ED2332">
        <w:t xml:space="preserve">in providing the jury with such an instruction </w:t>
      </w:r>
      <w:r w:rsidRPr="00496FB6" w:rsidR="00543014">
        <w:t xml:space="preserve">violated his state and federal constitutional rights </w:t>
      </w:r>
      <w:r w:rsidRPr="00496FB6" w:rsidR="003A599D">
        <w:t xml:space="preserve">and requires reversal.  </w:t>
      </w:r>
      <w:r w:rsidR="00CD57F2">
        <w:t>W</w:t>
      </w:r>
      <w:r w:rsidRPr="00496FB6" w:rsidR="0059285E">
        <w:t>e conclude th</w:t>
      </w:r>
      <w:r w:rsidRPr="00496FB6" w:rsidR="0059285E">
        <w:rPr>
          <w:bCs/>
        </w:rPr>
        <w:t>e trial court did not err in instructing the jury on flight</w:t>
      </w:r>
      <w:r w:rsidRPr="00496FB6" w:rsidR="004A3B14">
        <w:rPr>
          <w:bCs/>
        </w:rPr>
        <w:t>.</w:t>
      </w:r>
      <w:r w:rsidR="003E5B3E">
        <w:rPr>
          <w:bCs/>
        </w:rPr>
        <w:t xml:space="preserve">  </w:t>
      </w:r>
    </w:p>
    <w:p w:rsidR="00427E5F" w:rsidRPr="00496FB6" w:rsidP="00360037" w14:paraId="1F8351DA" w14:textId="537E4C55">
      <w:pPr>
        <w:pStyle w:val="Heading3"/>
        <w:numPr>
          <w:ilvl w:val="0"/>
          <w:numId w:val="1"/>
        </w:numPr>
        <w:tabs>
          <w:tab w:val="clear" w:pos="1584"/>
        </w:tabs>
        <w:ind w:left="1584" w:hanging="432"/>
      </w:pPr>
      <w:bookmarkStart w:id="81" w:name="_Toc147845691"/>
      <w:bookmarkStart w:id="82" w:name="_Toc147519563"/>
      <w:r w:rsidRPr="00496FB6">
        <w:t>Standard of review and governing law</w:t>
      </w:r>
      <w:bookmarkEnd w:id="81"/>
      <w:bookmarkEnd w:id="82"/>
      <w:r w:rsidRPr="003E5B3E" w:rsidR="003E5B3E">
        <w:rPr>
          <w:i w:val="0"/>
          <w:iCs/>
        </w:rPr>
        <w:t xml:space="preserve">  </w:t>
      </w:r>
    </w:p>
    <w:p w:rsidR="00427E5F" w:rsidRPr="00496FB6" w:rsidP="00360037" w14:paraId="0BE7DF02" w14:textId="12BFBE99">
      <w:pPr>
        <w:ind w:firstLine="720"/>
        <w:rPr>
          <w:iCs/>
        </w:rPr>
      </w:pPr>
      <w:r w:rsidRPr="00496FB6">
        <w:rPr>
          <w:iCs/>
        </w:rPr>
        <w:t>“We review a cla</w:t>
      </w:r>
      <w:r w:rsidRPr="00496FB6">
        <w:rPr>
          <w:iCs/>
        </w:rPr>
        <w:t>im of instructional error de novo.”  (</w:t>
      </w:r>
      <w:bookmarkStart w:id="83" w:name="dabmci_a6d62e3ab95a452287333d4dc3a107db"/>
      <w:r w:rsidRPr="00496FB6" w:rsidR="00A125D6">
        <w:rPr>
          <w:i/>
          <w:iCs/>
        </w:rPr>
        <w:t>People v. Thomas</w:t>
      </w:r>
      <w:r w:rsidRPr="00496FB6" w:rsidR="00A125D6">
        <w:t xml:space="preserve"> (2023) 14</w:t>
      </w:r>
      <w:r w:rsidRPr="00496FB6" w:rsidR="00AB12E7">
        <w:t> </w:t>
      </w:r>
      <w:r w:rsidRPr="00496FB6" w:rsidR="00A125D6">
        <w:t xml:space="preserve">Cal.5th 327, </w:t>
      </w:r>
      <w:r w:rsidRPr="00496FB6" w:rsidR="004D2A49">
        <w:t>382 (</w:t>
      </w:r>
      <w:r w:rsidRPr="00496FB6">
        <w:rPr>
          <w:i/>
        </w:rPr>
        <w:t>Thomas</w:t>
      </w:r>
      <w:r w:rsidRPr="00496FB6">
        <w:rPr>
          <w:iCs/>
        </w:rPr>
        <w:t>)</w:t>
      </w:r>
      <w:bookmarkEnd w:id="83"/>
      <w:r w:rsidRPr="00496FB6" w:rsidR="004D2A49">
        <w:rPr>
          <w:iCs/>
        </w:rPr>
        <w:t>.)</w:t>
      </w:r>
      <w:r w:rsidR="003E5B3E">
        <w:rPr>
          <w:iCs/>
        </w:rPr>
        <w:t xml:space="preserve">  </w:t>
      </w:r>
    </w:p>
    <w:p w:rsidR="00FB0FC9" w:rsidRPr="00496FB6" w:rsidP="00360037" w14:paraId="3048B532" w14:textId="57528D85">
      <w:pPr>
        <w:ind w:firstLine="720"/>
      </w:pPr>
      <w:r w:rsidRPr="00496FB6">
        <w:t>“The giving of [a flight] instruction is statutorily required when flight evidence is relied upon by the prosecution.”  (</w:t>
      </w:r>
      <w:bookmarkStart w:id="84" w:name="dabmci_b6b88cea9fc34877a502d5bb163d9126"/>
      <w:r w:rsidRPr="00496FB6">
        <w:rPr>
          <w:i/>
          <w:iCs/>
        </w:rPr>
        <w:t>People v. Howard</w:t>
      </w:r>
      <w:r w:rsidRPr="00496FB6">
        <w:t xml:space="preserve"> (2008) 42</w:t>
      </w:r>
      <w:r w:rsidRPr="00496FB6" w:rsidR="00AB12E7">
        <w:t> </w:t>
      </w:r>
      <w:r w:rsidRPr="00496FB6">
        <w:t>Cal.4th 1000, 1020</w:t>
      </w:r>
      <w:bookmarkEnd w:id="84"/>
      <w:r w:rsidRPr="00496FB6" w:rsidR="00BA332A">
        <w:t>,</w:t>
      </w:r>
      <w:r w:rsidRPr="00496FB6">
        <w:t xml:space="preserve"> citing § 1127c.)</w:t>
      </w:r>
      <w:r>
        <w:rPr>
          <w:rStyle w:val="FootnoteReference"/>
        </w:rPr>
        <w:footnoteReference w:id="15"/>
      </w:r>
      <w:r w:rsidRPr="00496FB6">
        <w:t xml:space="preserve"> </w:t>
      </w:r>
      <w:r w:rsidRPr="00496FB6" w:rsidR="00B83BC9">
        <w:t xml:space="preserve"> </w:t>
      </w:r>
      <w:r w:rsidRPr="00496FB6">
        <w:t xml:space="preserve">“ ‘In general, a flight instruction “is proper where the evidence shows that the defendant departed the crime scene under circumstances suggesting that his movement was motivated by a consciousness of guilt.” </w:t>
      </w:r>
      <w:r w:rsidR="00DF72E7">
        <w:t xml:space="preserve"> </w:t>
      </w:r>
      <w:r w:rsidRPr="00496FB6">
        <w:t>[Citat</w:t>
      </w:r>
      <w:r w:rsidRPr="00496FB6">
        <w:t>ions.]  “ ‘[F]light requires neither the physical act of running nor the reaching of a far-away haven.  [Citation.]  Flight manifestly does require, however, a purpose to avoid being observed or arrested.’ ”</w:t>
      </w:r>
      <w:r w:rsidRPr="00496FB6" w:rsidR="002E4747">
        <w:t> </w:t>
      </w:r>
      <w:r w:rsidRPr="00496FB6">
        <w:t>’ ”  (</w:t>
      </w:r>
      <w:bookmarkStart w:id="85" w:name="dabmci_23da90b44b1c4e4f8edc447cf7705c19"/>
      <w:r w:rsidRPr="00496FB6">
        <w:rPr>
          <w:i/>
          <w:iCs/>
        </w:rPr>
        <w:t>People v. Cage</w:t>
      </w:r>
      <w:r w:rsidRPr="00496FB6">
        <w:t xml:space="preserve"> (2015) 62</w:t>
      </w:r>
      <w:r w:rsidRPr="00496FB6" w:rsidR="00A66785">
        <w:t> </w:t>
      </w:r>
      <w:r w:rsidRPr="00496FB6">
        <w:t>Cal.4th 256, 285</w:t>
      </w:r>
      <w:bookmarkEnd w:id="85"/>
      <w:r w:rsidRPr="00496FB6">
        <w:t>.</w:t>
      </w:r>
      <w:r w:rsidRPr="00496FB6">
        <w:t xml:space="preserve">)  </w:t>
      </w:r>
    </w:p>
    <w:p w:rsidR="00427E5F" w:rsidRPr="00496FB6" w:rsidP="00360037" w14:paraId="51D456E1" w14:textId="58A32C9C">
      <w:pPr>
        <w:ind w:firstLine="720"/>
      </w:pPr>
      <w:r w:rsidRPr="00496FB6">
        <w:t>“[T]he instruction [does not] require[] .</w:t>
      </w:r>
      <w:r w:rsidRPr="00496FB6" w:rsidR="00486E7B">
        <w:t> </w:t>
      </w:r>
      <w:r w:rsidRPr="00496FB6">
        <w:t>.</w:t>
      </w:r>
      <w:r w:rsidRPr="00496FB6" w:rsidR="00486E7B">
        <w:t> </w:t>
      </w:r>
      <w:r w:rsidRPr="00496FB6">
        <w:t>. a defined temporal period within which the flight must be commenced</w:t>
      </w:r>
      <w:r w:rsidRPr="00496FB6" w:rsidR="00311E87">
        <w:t> . . . </w:t>
      </w:r>
      <w:r w:rsidRPr="00496FB6">
        <w:t>.”  (</w:t>
      </w:r>
      <w:bookmarkStart w:id="86" w:name="dabmci_6f70223a861e40a68fda7a51aef47f12"/>
      <w:r w:rsidRPr="00496FB6">
        <w:rPr>
          <w:i/>
          <w:iCs/>
        </w:rPr>
        <w:t>People v. Carter</w:t>
      </w:r>
      <w:r w:rsidRPr="00496FB6">
        <w:t xml:space="preserve"> (2005) 36</w:t>
      </w:r>
      <w:r w:rsidRPr="00496FB6" w:rsidR="00A66785">
        <w:t> </w:t>
      </w:r>
      <w:r w:rsidRPr="00496FB6">
        <w:t>Cal.4th 1114, 1182 (</w:t>
      </w:r>
      <w:r w:rsidRPr="00496FB6">
        <w:rPr>
          <w:i/>
          <w:iCs/>
        </w:rPr>
        <w:t>Carter</w:t>
      </w:r>
      <w:r w:rsidRPr="00496FB6">
        <w:t>)</w:t>
      </w:r>
      <w:bookmarkEnd w:id="86"/>
      <w:r w:rsidRPr="00496FB6">
        <w:t xml:space="preserve">; see </w:t>
      </w:r>
      <w:bookmarkStart w:id="87" w:name="dabmci_1584d8fb1d59432e84c5ee89bfdc291d"/>
      <w:r w:rsidRPr="00496FB6">
        <w:rPr>
          <w:i/>
          <w:iCs/>
        </w:rPr>
        <w:t>ibid</w:t>
      </w:r>
      <w:r w:rsidRPr="00496FB6">
        <w:t>.</w:t>
      </w:r>
      <w:bookmarkEnd w:id="87"/>
      <w:r w:rsidRPr="00496FB6">
        <w:t xml:space="preserve"> [flight instruction proper where “the evidence introduced by </w:t>
      </w:r>
      <w:r w:rsidRPr="00496FB6">
        <w:t xml:space="preserve">the prosecution establish[ed] that defendant left California in the days immediately following the charged offenses”].)  In </w:t>
      </w:r>
      <w:bookmarkStart w:id="88" w:name="dabmci_56d9a3aace094b8f9141d784ccccaae9"/>
      <w:r w:rsidRPr="00496FB6">
        <w:rPr>
          <w:i/>
          <w:iCs/>
        </w:rPr>
        <w:t>People v. Mason</w:t>
      </w:r>
      <w:r w:rsidRPr="00496FB6">
        <w:t xml:space="preserve"> (1991) 52</w:t>
      </w:r>
      <w:r w:rsidRPr="00496FB6" w:rsidR="00A66785">
        <w:t> </w:t>
      </w:r>
      <w:r w:rsidRPr="00496FB6">
        <w:t>Cal.3d 909 (</w:t>
      </w:r>
      <w:r w:rsidRPr="00496FB6">
        <w:rPr>
          <w:i/>
          <w:iCs/>
        </w:rPr>
        <w:t>Mason</w:t>
      </w:r>
      <w:r w:rsidRPr="00496FB6">
        <w:t>)</w:t>
      </w:r>
      <w:bookmarkEnd w:id="88"/>
      <w:r w:rsidRPr="00496FB6">
        <w:t>, we noted that our cases concerning the sufficiency of evidence to support the giving o</w:t>
      </w:r>
      <w:r w:rsidRPr="00496FB6">
        <w:t>f a flight instruction do not “create inflexible rules about the required proximity between crime and flight.”  (</w:t>
      </w:r>
      <w:bookmarkStart w:id="89" w:name="dabmci_decda37c591c4511b3f3e362b858baba"/>
      <w:r w:rsidRPr="00496FB6">
        <w:rPr>
          <w:i/>
          <w:iCs/>
        </w:rPr>
        <w:t>Id</w:t>
      </w:r>
      <w:r w:rsidRPr="00496FB6">
        <w:t>. at p.</w:t>
      </w:r>
      <w:r w:rsidRPr="00496FB6" w:rsidR="00A66785">
        <w:t> </w:t>
      </w:r>
      <w:r w:rsidRPr="00496FB6">
        <w:t>941</w:t>
      </w:r>
      <w:bookmarkEnd w:id="89"/>
      <w:r w:rsidRPr="00496FB6">
        <w:t xml:space="preserve">.) </w:t>
      </w:r>
      <w:r w:rsidRPr="00496FB6" w:rsidR="00E078FC">
        <w:t xml:space="preserve"> </w:t>
      </w:r>
      <w:r w:rsidRPr="00496FB6">
        <w:t>“Instead, the facts of each case determine whether it is reasonable to infer that flight shows consciousness of guilt.”  (</w:t>
      </w:r>
      <w:bookmarkStart w:id="90" w:name="dabmci_0f5981209f2d4a5c90eab0a96e1f6d2c"/>
      <w:r w:rsidRPr="00496FB6">
        <w:rPr>
          <w:i/>
          <w:iCs/>
        </w:rPr>
        <w:t>Ibid</w:t>
      </w:r>
      <w:r w:rsidRPr="00496FB6">
        <w:t>.</w:t>
      </w:r>
      <w:bookmarkEnd w:id="90"/>
      <w:r w:rsidRPr="00496FB6">
        <w:t xml:space="preserve">)  </w:t>
      </w:r>
    </w:p>
    <w:p w:rsidR="00D22A47" w:rsidRPr="00496FB6" w:rsidP="00360037" w14:paraId="2CAD80CC" w14:textId="491D8B7E">
      <w:pPr>
        <w:pStyle w:val="Heading3"/>
        <w:numPr>
          <w:ilvl w:val="0"/>
          <w:numId w:val="1"/>
        </w:numPr>
        <w:tabs>
          <w:tab w:val="clear" w:pos="1584"/>
        </w:tabs>
        <w:ind w:left="1584" w:hanging="432"/>
      </w:pPr>
      <w:bookmarkStart w:id="91" w:name="_Toc147845692"/>
      <w:bookmarkStart w:id="92" w:name="_Toc147519564"/>
      <w:r w:rsidRPr="00496FB6">
        <w:t>Factual and procedural background</w:t>
      </w:r>
      <w:bookmarkEnd w:id="91"/>
      <w:bookmarkEnd w:id="92"/>
    </w:p>
    <w:p w:rsidR="00962BD5" w:rsidRPr="00496FB6" w:rsidP="00360037" w14:paraId="0BB14064" w14:textId="5FB16C8A">
      <w:pPr>
        <w:ind w:firstLine="720"/>
      </w:pPr>
      <w:r w:rsidRPr="00496FB6">
        <w:t xml:space="preserve">During the guilt phase of the trial, the </w:t>
      </w:r>
      <w:r w:rsidRPr="00496FB6" w:rsidR="00FD7E31">
        <w:t xml:space="preserve">trial </w:t>
      </w:r>
      <w:r w:rsidRPr="00496FB6">
        <w:t xml:space="preserve">court held a hearing outside the presence of the jury for the purpose of discussing potential jury instructions.  At the hearing, </w:t>
      </w:r>
      <w:r w:rsidRPr="00496FB6" w:rsidR="00826E84">
        <w:t xml:space="preserve">the </w:t>
      </w:r>
      <w:r w:rsidRPr="00496FB6" w:rsidR="00A84B12">
        <w:t>court read</w:t>
      </w:r>
      <w:r w:rsidRPr="00496FB6" w:rsidR="001B1781">
        <w:t xml:space="preserve"> </w:t>
      </w:r>
      <w:bookmarkStart w:id="93" w:name="dabmci_c21d28851fe34e4a9a418ef6c77872ef"/>
      <w:r w:rsidRPr="00496FB6" w:rsidR="001B1781">
        <w:t>CALCRIM No. 372</w:t>
      </w:r>
      <w:bookmarkEnd w:id="93"/>
      <w:r w:rsidRPr="00496FB6" w:rsidR="001B1781">
        <w:t>, a standard jury instruction regarding a defendant’s putative flight from the scene of the crime</w:t>
      </w:r>
      <w:r w:rsidRPr="00496FB6" w:rsidR="00140743">
        <w:t>.  The court</w:t>
      </w:r>
      <w:r w:rsidRPr="00496FB6" w:rsidR="001B1781">
        <w:t xml:space="preserve"> </w:t>
      </w:r>
      <w:r w:rsidRPr="00496FB6" w:rsidR="00FD7E31">
        <w:t xml:space="preserve">asked </w:t>
      </w:r>
      <w:r w:rsidRPr="00496FB6" w:rsidR="00AB1254">
        <w:t>the prosecutor w</w:t>
      </w:r>
      <w:r w:rsidRPr="00496FB6">
        <w:t>hether he was</w:t>
      </w:r>
      <w:r w:rsidRPr="00496FB6" w:rsidR="00AB1254">
        <w:t xml:space="preserve"> </w:t>
      </w:r>
      <w:r w:rsidRPr="00496FB6" w:rsidR="003351EA">
        <w:t>offering the instruction.  After the prosecutor responded in the affirmative, defense counsel stated, “I don’t think it applies.”</w:t>
      </w:r>
      <w:r w:rsidRPr="00496FB6" w:rsidR="00C21DA7">
        <w:t xml:space="preserve"> </w:t>
      </w:r>
      <w:r w:rsidRPr="00496FB6" w:rsidR="003351EA">
        <w:t xml:space="preserve"> </w:t>
      </w:r>
    </w:p>
    <w:p w:rsidR="0051259D" w:rsidRPr="00496FB6" w:rsidP="00360037" w14:paraId="557975B4" w14:textId="73D0CA1B">
      <w:pPr>
        <w:ind w:firstLine="720"/>
      </w:pPr>
      <w:r w:rsidRPr="00496FB6">
        <w:t>T</w:t>
      </w:r>
      <w:r w:rsidRPr="00496FB6" w:rsidR="008730B4">
        <w:t xml:space="preserve">he </w:t>
      </w:r>
      <w:r w:rsidRPr="00496FB6" w:rsidR="00140743">
        <w:t xml:space="preserve">trial </w:t>
      </w:r>
      <w:r w:rsidRPr="00496FB6" w:rsidR="008730B4">
        <w:t xml:space="preserve">court heard argument regarding whether </w:t>
      </w:r>
      <w:r w:rsidRPr="00496FB6" w:rsidR="004B4B06">
        <w:t xml:space="preserve">it </w:t>
      </w:r>
      <w:r w:rsidRPr="00496FB6" w:rsidR="00CC091E">
        <w:t xml:space="preserve">should </w:t>
      </w:r>
      <w:r w:rsidRPr="00496FB6" w:rsidR="00C3715C">
        <w:t>provide the jury with the instruction</w:t>
      </w:r>
      <w:r w:rsidRPr="00496FB6" w:rsidR="008730B4">
        <w:t xml:space="preserve">.  The prosecutor </w:t>
      </w:r>
      <w:r w:rsidRPr="00496FB6" w:rsidR="00FF3F7E">
        <w:t>argued</w:t>
      </w:r>
      <w:r w:rsidRPr="00496FB6" w:rsidR="003124FD">
        <w:t xml:space="preserve">, “Well, we know he was at the scene of the crime by independent witnesses, and right after the crime he wasn’t there.” </w:t>
      </w:r>
      <w:r w:rsidRPr="00496FB6" w:rsidR="00536D8B">
        <w:t xml:space="preserve"> </w:t>
      </w:r>
      <w:r w:rsidRPr="00496FB6" w:rsidR="00772C78">
        <w:t xml:space="preserve">Defense counsel </w:t>
      </w:r>
      <w:r w:rsidRPr="00496FB6" w:rsidR="003C575D">
        <w:t>contended</w:t>
      </w:r>
      <w:r w:rsidRPr="00496FB6" w:rsidR="00F22964">
        <w:t xml:space="preserve"> there was no evidence of exactly when </w:t>
      </w:r>
      <w:r w:rsidRPr="00496FB6" w:rsidR="00A24BC5">
        <w:t>defendant</w:t>
      </w:r>
      <w:r w:rsidRPr="00496FB6" w:rsidR="00F22964">
        <w:t xml:space="preserve"> left the tra</w:t>
      </w:r>
      <w:r w:rsidRPr="00496FB6" w:rsidR="003C575D">
        <w:t>i</w:t>
      </w:r>
      <w:r w:rsidRPr="00496FB6" w:rsidR="00F22964">
        <w:t>l area</w:t>
      </w:r>
      <w:r w:rsidRPr="00496FB6" w:rsidR="00DB32B2">
        <w:t xml:space="preserve"> </w:t>
      </w:r>
      <w:r w:rsidRPr="00496FB6">
        <w:t xml:space="preserve">where </w:t>
      </w:r>
      <w:r w:rsidRPr="00496FB6" w:rsidR="00DB32B2">
        <w:t xml:space="preserve">the </w:t>
      </w:r>
      <w:r w:rsidRPr="00496FB6" w:rsidR="00CB3770">
        <w:t>murder</w:t>
      </w:r>
      <w:r w:rsidRPr="00496FB6" w:rsidR="00DB32B2">
        <w:t xml:space="preserve"> occurred</w:t>
      </w:r>
      <w:r w:rsidRPr="00496FB6" w:rsidR="00C4467C">
        <w:t xml:space="preserve">.  Counsel </w:t>
      </w:r>
      <w:r w:rsidRPr="00496FB6" w:rsidR="003C575D">
        <w:t>argu</w:t>
      </w:r>
      <w:r w:rsidRPr="00496FB6" w:rsidR="00C4467C">
        <w:t>ed</w:t>
      </w:r>
      <w:r w:rsidRPr="00496FB6" w:rsidR="009D169A">
        <w:t>,</w:t>
      </w:r>
      <w:r w:rsidRPr="00496FB6" w:rsidR="00371510">
        <w:t xml:space="preserve"> “</w:t>
      </w:r>
      <w:r w:rsidRPr="00496FB6" w:rsidR="009D169A">
        <w:t>W</w:t>
      </w:r>
      <w:r w:rsidRPr="00496FB6" w:rsidR="00371510">
        <w:t>e don’t know</w:t>
      </w:r>
      <w:r w:rsidRPr="00496FB6" w:rsidR="00311E87">
        <w:t> . . .</w:t>
      </w:r>
      <w:r w:rsidRPr="00496FB6" w:rsidR="00371510">
        <w:t xml:space="preserve"> when he left in between </w:t>
      </w:r>
      <w:r w:rsidRPr="00496FB6" w:rsidR="00311E87">
        <w:t xml:space="preserve">that </w:t>
      </w:r>
      <w:r w:rsidRPr="00496FB6" w:rsidR="00371510">
        <w:t xml:space="preserve">time </w:t>
      </w:r>
      <w:r w:rsidRPr="00496FB6" w:rsidR="00A278A7">
        <w:t xml:space="preserve">period </w:t>
      </w:r>
      <w:r w:rsidRPr="00496FB6" w:rsidR="00371510">
        <w:t>where [the victim</w:t>
      </w:r>
      <w:r w:rsidRPr="00496FB6" w:rsidR="00A278A7">
        <w:t>]</w:t>
      </w:r>
      <w:r w:rsidRPr="00496FB6" w:rsidR="0092659C">
        <w:t xml:space="preserve"> </w:t>
      </w:r>
      <w:r w:rsidRPr="00496FB6" w:rsidR="00A278A7">
        <w:t>was there and eventually</w:t>
      </w:r>
      <w:r w:rsidRPr="00496FB6" w:rsidR="00CB3770">
        <w:t> </w:t>
      </w:r>
      <w:r w:rsidRPr="00496FB6" w:rsidR="00A278A7">
        <w:t>— not immediately</w:t>
      </w:r>
      <w:r w:rsidRPr="00496FB6" w:rsidR="00CB3770">
        <w:t> </w:t>
      </w:r>
      <w:r w:rsidRPr="00496FB6" w:rsidR="00A278A7">
        <w:t>— eventually</w:t>
      </w:r>
      <w:r w:rsidRPr="00496FB6" w:rsidR="00311E87">
        <w:t>,</w:t>
      </w:r>
      <w:r w:rsidRPr="00496FB6" w:rsidR="00A278A7">
        <w:t xml:space="preserve"> you know, an hour, hour-and-a-half later when the police arrive.” </w:t>
      </w:r>
      <w:r w:rsidRPr="00496FB6" w:rsidR="0092659C">
        <w:t xml:space="preserve"> </w:t>
      </w:r>
      <w:r w:rsidRPr="00496FB6" w:rsidR="009D169A">
        <w:t xml:space="preserve">Defense counsel continued, “So there’s no evidence of immediate </w:t>
      </w:r>
      <w:r w:rsidRPr="00496FB6" w:rsidR="00501831">
        <w:t xml:space="preserve">flight after the crime in this case.” </w:t>
      </w:r>
      <w:r w:rsidRPr="00496FB6" w:rsidR="0092659C">
        <w:t xml:space="preserve"> </w:t>
      </w:r>
      <w:r w:rsidRPr="00496FB6">
        <w:t>T</w:t>
      </w:r>
      <w:r w:rsidRPr="00496FB6" w:rsidR="007959F0">
        <w:t>he defense added, “</w:t>
      </w:r>
      <w:r w:rsidRPr="00496FB6" w:rsidR="00726D18">
        <w:t> </w:t>
      </w:r>
      <w:r w:rsidRPr="00496FB6" w:rsidR="007959F0">
        <w:t>‘Immediately,</w:t>
      </w:r>
      <w:r w:rsidRPr="00496FB6" w:rsidR="00726D18">
        <w:t>’  means within minutes, I think.  Or</w:t>
      </w:r>
      <w:r w:rsidRPr="00496FB6" w:rsidR="00311E87">
        <w:t xml:space="preserve"> maybe</w:t>
      </w:r>
      <w:r w:rsidRPr="00496FB6" w:rsidR="00726D18">
        <w:t xml:space="preserve"> seconds.” </w:t>
      </w:r>
      <w:r w:rsidRPr="00496FB6" w:rsidR="0051012C">
        <w:t xml:space="preserve"> </w:t>
      </w:r>
    </w:p>
    <w:p w:rsidR="00772C78" w:rsidRPr="00496FB6" w:rsidP="00360037" w14:paraId="4723C536" w14:textId="652E1068">
      <w:pPr>
        <w:ind w:firstLine="720"/>
      </w:pPr>
      <w:r w:rsidRPr="00496FB6">
        <w:t xml:space="preserve">The prosecutor argued it would be error for the </w:t>
      </w:r>
      <w:r w:rsidRPr="00496FB6" w:rsidR="004912BC">
        <w:t xml:space="preserve">trial </w:t>
      </w:r>
      <w:r w:rsidRPr="00496FB6">
        <w:t>court to fail to give the instruction</w:t>
      </w:r>
      <w:r w:rsidRPr="00496FB6" w:rsidR="00DC11DA">
        <w:t xml:space="preserve">, </w:t>
      </w:r>
      <w:r w:rsidRPr="00496FB6" w:rsidR="00A0233D">
        <w:t>stating</w:t>
      </w:r>
      <w:r w:rsidRPr="00496FB6" w:rsidR="009011D7">
        <w:t xml:space="preserve">: </w:t>
      </w:r>
      <w:r w:rsidRPr="00496FB6" w:rsidR="00CB3770">
        <w:t xml:space="preserve"> </w:t>
      </w:r>
      <w:r w:rsidRPr="00496FB6" w:rsidR="009011D7">
        <w:t>“I’ve place</w:t>
      </w:r>
      <w:r w:rsidRPr="00496FB6" w:rsidR="001B3727">
        <w:t>d</w:t>
      </w:r>
      <w:r w:rsidRPr="00496FB6" w:rsidR="009011D7">
        <w:t xml:space="preserve"> </w:t>
      </w:r>
      <w:r w:rsidRPr="00496FB6" w:rsidR="00481B36">
        <w:t>[</w:t>
      </w:r>
      <w:r w:rsidRPr="00496FB6" w:rsidR="00A24BC5">
        <w:t>defendant</w:t>
      </w:r>
      <w:r w:rsidRPr="00496FB6" w:rsidR="00481B36">
        <w:t>]</w:t>
      </w:r>
      <w:r w:rsidRPr="00496FB6" w:rsidR="009011D7">
        <w:t xml:space="preserve"> at the scene by independent witnesses and by DNA evidence at the scene of the crime</w:t>
      </w:r>
      <w:r w:rsidRPr="00496FB6" w:rsidR="00311E87">
        <w:t>,</w:t>
      </w:r>
      <w:r w:rsidRPr="00496FB6" w:rsidR="009011D7">
        <w:t xml:space="preserve"> </w:t>
      </w:r>
      <w:r w:rsidRPr="00496FB6" w:rsidR="006D1566">
        <w:t>and as</w:t>
      </w:r>
      <w:r w:rsidRPr="00496FB6" w:rsidR="00CB3770">
        <w:t> </w:t>
      </w:r>
      <w:r w:rsidRPr="00496FB6" w:rsidR="006D1566">
        <w:t xml:space="preserve">— taking part in this act that ended with her death.  I placed him there at the scene.  And then a short </w:t>
      </w:r>
      <w:r w:rsidRPr="00496FB6" w:rsidR="00311E87">
        <w:t xml:space="preserve">time </w:t>
      </w:r>
      <w:r w:rsidRPr="00496FB6" w:rsidR="006D1566">
        <w:t>after</w:t>
      </w:r>
      <w:r w:rsidRPr="00496FB6" w:rsidR="00C7796B">
        <w:t xml:space="preserve"> he’s not there.  Now, what this instruction says is that’s not enough alone to find him guilty, and that’s why it’s error to not give this.” </w:t>
      </w:r>
      <w:r w:rsidRPr="00496FB6" w:rsidR="004912BC">
        <w:t xml:space="preserve"> </w:t>
      </w:r>
      <w:r w:rsidRPr="00496FB6" w:rsidR="00D61DF5">
        <w:t xml:space="preserve">After </w:t>
      </w:r>
      <w:r w:rsidRPr="00496FB6" w:rsidR="002F3750">
        <w:t xml:space="preserve">further discussion, the trial court stated it would consider the issue </w:t>
      </w:r>
      <w:r w:rsidRPr="00496FB6" w:rsidR="004B7C02">
        <w:t xml:space="preserve">further and “read the cases” before </w:t>
      </w:r>
      <w:r w:rsidRPr="00496FB6" w:rsidR="00481B36">
        <w:t>providing</w:t>
      </w:r>
      <w:r w:rsidRPr="00496FB6">
        <w:t xml:space="preserve"> its “final answer” as to whether it wo</w:t>
      </w:r>
      <w:r w:rsidRPr="00496FB6">
        <w:t>uld provide the instruction.</w:t>
      </w:r>
      <w:r w:rsidRPr="00496FB6" w:rsidR="00476F62">
        <w:t xml:space="preserve"> </w:t>
      </w:r>
      <w:r w:rsidRPr="00496FB6" w:rsidR="002B05F6">
        <w:t xml:space="preserve"> </w:t>
      </w:r>
    </w:p>
    <w:p w:rsidR="00962BD5" w:rsidRPr="00496FB6" w:rsidP="00360037" w14:paraId="0AAAC4BF" w14:textId="551EE29F">
      <w:pPr>
        <w:ind w:firstLine="720"/>
      </w:pPr>
      <w:r w:rsidRPr="00496FB6">
        <w:t xml:space="preserve">At a subsequent </w:t>
      </w:r>
      <w:r w:rsidRPr="00496FB6" w:rsidR="00AD45FF">
        <w:t>hearing</w:t>
      </w:r>
      <w:r w:rsidRPr="00496FB6">
        <w:t xml:space="preserve">, the </w:t>
      </w:r>
      <w:r w:rsidRPr="00496FB6" w:rsidR="00DD4500">
        <w:t xml:space="preserve">court and counsel </w:t>
      </w:r>
      <w:r w:rsidRPr="00496FB6" w:rsidR="00FA1BE9">
        <w:t xml:space="preserve">further </w:t>
      </w:r>
      <w:r w:rsidRPr="00496FB6" w:rsidR="00DD4500">
        <w:t xml:space="preserve">discussed the propriety of giving </w:t>
      </w:r>
      <w:r w:rsidRPr="00496FB6" w:rsidR="00FA1BE9">
        <w:t>a flight</w:t>
      </w:r>
      <w:r w:rsidRPr="00496FB6" w:rsidR="00DD4500">
        <w:t xml:space="preserve"> instruction.  </w:t>
      </w:r>
      <w:r w:rsidRPr="00496FB6" w:rsidR="00C42D1A">
        <w:t>During th</w:t>
      </w:r>
      <w:r w:rsidRPr="00496FB6" w:rsidR="0035633E">
        <w:t xml:space="preserve">at hearing, the trial court </w:t>
      </w:r>
      <w:r w:rsidRPr="00496FB6" w:rsidR="00231AB0">
        <w:t>noted that</w:t>
      </w:r>
      <w:r w:rsidRPr="00496FB6" w:rsidR="000961CF">
        <w:t>,</w:t>
      </w:r>
      <w:r w:rsidRPr="00496FB6" w:rsidR="00231AB0">
        <w:t xml:space="preserve"> </w:t>
      </w:r>
      <w:r w:rsidRPr="00496FB6" w:rsidR="0035633E">
        <w:t xml:space="preserve">in </w:t>
      </w:r>
      <w:r w:rsidRPr="00496FB6" w:rsidR="0035633E">
        <w:rPr>
          <w:i/>
          <w:iCs/>
        </w:rPr>
        <w:t>Mason</w:t>
      </w:r>
      <w:r w:rsidRPr="00496FB6" w:rsidR="0035633E">
        <w:t xml:space="preserve">, </w:t>
      </w:r>
      <w:r w:rsidRPr="00496FB6" w:rsidR="00157451">
        <w:t>this court</w:t>
      </w:r>
      <w:r w:rsidRPr="00496FB6" w:rsidR="0035633E">
        <w:t xml:space="preserve"> </w:t>
      </w:r>
      <w:r w:rsidRPr="00496FB6" w:rsidR="00D3182B">
        <w:t>s</w:t>
      </w:r>
      <w:r w:rsidRPr="00496FB6" w:rsidR="00DD67FB">
        <w:t xml:space="preserve">tated that our decisions </w:t>
      </w:r>
      <w:r w:rsidRPr="00496FB6" w:rsidR="00D3182B">
        <w:t xml:space="preserve">concerning this instruction </w:t>
      </w:r>
      <w:r w:rsidRPr="00496FB6" w:rsidR="00DD67FB">
        <w:t>do not “create inflexible rules about the</w:t>
      </w:r>
      <w:r w:rsidRPr="00496FB6" w:rsidR="00311E87">
        <w:t xml:space="preserve"> required</w:t>
      </w:r>
      <w:r w:rsidRPr="00496FB6" w:rsidR="00DD67FB">
        <w:t xml:space="preserve"> proximity </w:t>
      </w:r>
      <w:r w:rsidRPr="00496FB6" w:rsidR="002A5072">
        <w:t xml:space="preserve">between the crime and flight.” </w:t>
      </w:r>
      <w:r w:rsidRPr="00496FB6" w:rsidR="00486E7B">
        <w:t xml:space="preserve"> </w:t>
      </w:r>
      <w:r w:rsidRPr="00496FB6" w:rsidR="00AE5064">
        <w:t>After further</w:t>
      </w:r>
      <w:r w:rsidRPr="00496FB6" w:rsidR="00AE792D">
        <w:t xml:space="preserve"> discussion, the court indicated that it </w:t>
      </w:r>
      <w:r w:rsidRPr="00496FB6" w:rsidR="00AD45FF">
        <w:t>intended to</w:t>
      </w:r>
      <w:r w:rsidRPr="00496FB6" w:rsidR="00AE792D">
        <w:t xml:space="preserve"> provide the jury with the </w:t>
      </w:r>
      <w:r w:rsidRPr="00496FB6" w:rsidR="000961CF">
        <w:t>instruction but</w:t>
      </w:r>
      <w:r w:rsidRPr="00496FB6" w:rsidR="00AE792D">
        <w:t xml:space="preserve"> </w:t>
      </w:r>
      <w:r w:rsidRPr="00496FB6" w:rsidR="00282408">
        <w:t xml:space="preserve">that it would </w:t>
      </w:r>
      <w:r w:rsidRPr="00496FB6" w:rsidR="00CB3770">
        <w:t xml:space="preserve">give </w:t>
      </w:r>
      <w:r w:rsidRPr="00496FB6" w:rsidR="00D22A1A">
        <w:t xml:space="preserve">defense counsel </w:t>
      </w:r>
      <w:r w:rsidRPr="00496FB6" w:rsidR="001456DD">
        <w:t>an</w:t>
      </w:r>
      <w:r w:rsidRPr="00496FB6" w:rsidR="00855594">
        <w:t xml:space="preserve"> opportunity </w:t>
      </w:r>
      <w:r w:rsidRPr="00496FB6" w:rsidR="00D22A1A">
        <w:t>to provide further argument the following day.</w:t>
      </w:r>
      <w:r w:rsidRPr="00496FB6" w:rsidR="004F31E0">
        <w:t xml:space="preserve">  Defense counsel did not provide further argument. </w:t>
      </w:r>
      <w:r w:rsidRPr="00496FB6" w:rsidR="00861DD2">
        <w:t xml:space="preserve"> </w:t>
      </w:r>
    </w:p>
    <w:p w:rsidR="006A7ECB" w:rsidRPr="00496FB6" w:rsidP="00360037" w14:paraId="0625E564" w14:textId="14321B36">
      <w:pPr>
        <w:ind w:firstLine="720"/>
      </w:pPr>
      <w:r w:rsidRPr="00496FB6">
        <w:t>The trial court</w:t>
      </w:r>
      <w:r w:rsidRPr="00496FB6" w:rsidR="00FA1BE9">
        <w:t xml:space="preserve"> ultimately</w:t>
      </w:r>
      <w:r w:rsidRPr="00496FB6">
        <w:t xml:space="preserve"> instructed the jury:</w:t>
      </w:r>
      <w:r w:rsidRPr="00496FB6" w:rsidR="00CB3770">
        <w:t xml:space="preserve"> </w:t>
      </w:r>
      <w:r w:rsidRPr="00496FB6" w:rsidR="001D3E85">
        <w:t xml:space="preserve"> </w:t>
      </w:r>
      <w:r w:rsidRPr="00496FB6">
        <w:t xml:space="preserve">“If the defendant fled immediately after the crime was committed, that conduct may show that he was aware of his guilt.  If you conclude that the defendant fled, it is up to you to decide the meaning and importance of that conduct.  However, evidence that </w:t>
      </w:r>
      <w:r w:rsidRPr="00496FB6">
        <w:t xml:space="preserve">the defendant fled </w:t>
      </w:r>
      <w:r w:rsidRPr="00496FB6" w:rsidR="00F908FD">
        <w:t>alone</w:t>
      </w:r>
      <w:r w:rsidRPr="00496FB6" w:rsidR="00CB3770">
        <w:t> </w:t>
      </w:r>
      <w:r w:rsidRPr="00496FB6" w:rsidR="00473BF3">
        <w:t xml:space="preserve">— </w:t>
      </w:r>
      <w:r w:rsidRPr="00496FB6">
        <w:t xml:space="preserve">cannot prove guilt by itself.”  </w:t>
      </w:r>
    </w:p>
    <w:p w:rsidR="006307C5" w:rsidRPr="00496FB6" w:rsidP="00360037" w14:paraId="08E905F8" w14:textId="4805C811">
      <w:pPr>
        <w:pStyle w:val="Heading3"/>
        <w:tabs>
          <w:tab w:val="clear" w:pos="1584"/>
        </w:tabs>
      </w:pPr>
      <w:bookmarkStart w:id="94" w:name="_Toc147519565"/>
      <w:bookmarkStart w:id="95" w:name="_Toc147845693"/>
      <w:r w:rsidRPr="00496FB6">
        <w:rPr>
          <w:i w:val="0"/>
          <w:iCs/>
        </w:rPr>
        <w:t>3.</w:t>
      </w:r>
      <w:r w:rsidRPr="00496FB6" w:rsidR="00D93595">
        <w:rPr>
          <w:i w:val="0"/>
          <w:iCs/>
        </w:rPr>
        <w:tab/>
      </w:r>
      <w:bookmarkEnd w:id="94"/>
      <w:r w:rsidRPr="00496FB6" w:rsidR="004B135D">
        <w:t>Analysis</w:t>
      </w:r>
      <w:bookmarkEnd w:id="95"/>
    </w:p>
    <w:p w:rsidR="00552C76" w:rsidP="009B39B7" w14:paraId="2DFA7DCB" w14:textId="24113378">
      <w:pPr>
        <w:pStyle w:val="NormalIndent"/>
        <w:ind w:left="86" w:firstLine="634"/>
      </w:pPr>
      <w:r>
        <w:t>W</w:t>
      </w:r>
      <w:r w:rsidRPr="00496FB6" w:rsidR="00061177">
        <w:t>e reject d</w:t>
      </w:r>
      <w:r w:rsidRPr="00496FB6" w:rsidR="00A24BC5">
        <w:t>efendant</w:t>
      </w:r>
      <w:r w:rsidRPr="00496FB6" w:rsidR="00061177">
        <w:t xml:space="preserve">’s </w:t>
      </w:r>
      <w:r w:rsidRPr="00496FB6" w:rsidR="00253734">
        <w:t>conten</w:t>
      </w:r>
      <w:r w:rsidRPr="00496FB6" w:rsidR="00061177">
        <w:t xml:space="preserve">tion </w:t>
      </w:r>
      <w:r w:rsidRPr="00496FB6" w:rsidR="00253734">
        <w:t>that there was no factual basis for the instruction.</w:t>
      </w:r>
      <w:r>
        <w:rPr>
          <w:rStyle w:val="FootnoteReference"/>
        </w:rPr>
        <w:footnoteReference w:id="16"/>
      </w:r>
      <w:r w:rsidRPr="00496FB6" w:rsidR="00253734">
        <w:t xml:space="preserve"> </w:t>
      </w:r>
      <w:r w:rsidRPr="00496FB6" w:rsidR="0008213C">
        <w:t xml:space="preserve"> </w:t>
      </w:r>
      <w:r w:rsidRPr="00F81265" w:rsidR="00F81265">
        <w:t>Th</w:t>
      </w:r>
      <w:r w:rsidR="00F81265">
        <w:t>e record contains</w:t>
      </w:r>
      <w:r w:rsidRPr="00F81265" w:rsidR="00F81265">
        <w:t xml:space="preserve"> </w:t>
      </w:r>
      <w:r w:rsidR="00C8174B">
        <w:t xml:space="preserve">considerable </w:t>
      </w:r>
      <w:r w:rsidRPr="00F81265" w:rsidR="00F81265">
        <w:t xml:space="preserve">evidence that </w:t>
      </w:r>
      <w:r w:rsidR="00F81265">
        <w:t>defendant</w:t>
      </w:r>
      <w:r w:rsidRPr="00F81265" w:rsidR="00F81265">
        <w:t xml:space="preserve"> </w:t>
      </w:r>
      <w:r w:rsidR="00C8174B">
        <w:t>frequently spent</w:t>
      </w:r>
      <w:r w:rsidR="001265CE">
        <w:t xml:space="preserve"> time near</w:t>
      </w:r>
      <w:r w:rsidRPr="00F81265" w:rsidR="00F81265">
        <w:t xml:space="preserve"> the trail </w:t>
      </w:r>
      <w:r w:rsidR="007702D1">
        <w:t>where Loreck was attacked</w:t>
      </w:r>
      <w:r w:rsidR="00A52864">
        <w:t>.</w:t>
      </w:r>
      <w:r w:rsidR="009D3C5E">
        <w:t xml:space="preserve"> </w:t>
      </w:r>
      <w:r w:rsidRPr="00F81265" w:rsidR="00F81265">
        <w:t xml:space="preserve"> </w:t>
      </w:r>
      <w:r w:rsidR="00E03DAF">
        <w:t>(</w:t>
      </w:r>
      <w:r w:rsidR="001B4033">
        <w:t>See pt. I.A.1.b</w:t>
      </w:r>
      <w:r w:rsidR="00B90842">
        <w:t>.</w:t>
      </w:r>
      <w:r w:rsidR="001B4033">
        <w:t xml:space="preserve">, </w:t>
      </w:r>
      <w:r w:rsidRPr="001B4033" w:rsidR="001B4033">
        <w:rPr>
          <w:i/>
          <w:iCs/>
        </w:rPr>
        <w:t>ante</w:t>
      </w:r>
      <w:r w:rsidR="001B4033">
        <w:t>.</w:t>
      </w:r>
      <w:r w:rsidR="00E03DAF">
        <w:t>)</w:t>
      </w:r>
      <w:r w:rsidR="004B49C3">
        <w:t xml:space="preserve"> </w:t>
      </w:r>
      <w:r w:rsidR="009D3C5E">
        <w:t xml:space="preserve"> </w:t>
      </w:r>
      <w:r w:rsidR="004B49C3">
        <w:t>Moreover</w:t>
      </w:r>
      <w:r w:rsidR="00A52864">
        <w:t xml:space="preserve">, </w:t>
      </w:r>
      <w:r w:rsidR="0081676E">
        <w:t>on</w:t>
      </w:r>
      <w:r w:rsidR="000C38B2">
        <w:t xml:space="preserve"> the day of the offenses, </w:t>
      </w:r>
      <w:r w:rsidR="00A52864">
        <w:t>m</w:t>
      </w:r>
      <w:r w:rsidRPr="00496FB6" w:rsidR="00272BFA">
        <w:t xml:space="preserve">ultiple witnesses identified </w:t>
      </w:r>
      <w:r w:rsidRPr="00496FB6" w:rsidR="00A24BC5">
        <w:t>defendant</w:t>
      </w:r>
      <w:r w:rsidRPr="00496FB6" w:rsidR="00272BFA">
        <w:t xml:space="preserve"> as being near the </w:t>
      </w:r>
      <w:r w:rsidRPr="00496FB6" w:rsidR="00573D0A">
        <w:t>tra</w:t>
      </w:r>
      <w:r w:rsidRPr="00496FB6" w:rsidR="00E078FC">
        <w:t>i</w:t>
      </w:r>
      <w:r w:rsidRPr="00496FB6" w:rsidR="00573D0A">
        <w:t>l</w:t>
      </w:r>
      <w:r w:rsidRPr="00496FB6" w:rsidR="007037A2">
        <w:t xml:space="preserve"> just</w:t>
      </w:r>
      <w:r w:rsidRPr="00496FB6" w:rsidR="00272BFA">
        <w:t xml:space="preserve"> before </w:t>
      </w:r>
      <w:r w:rsidRPr="00496FB6" w:rsidR="00AC5786">
        <w:t>Loreck</w:t>
      </w:r>
      <w:r w:rsidRPr="00496FB6" w:rsidR="00272BFA">
        <w:t xml:space="preserve"> disappeare</w:t>
      </w:r>
      <w:r w:rsidRPr="00496FB6" w:rsidR="007037A2">
        <w:t>d</w:t>
      </w:r>
      <w:r w:rsidRPr="00496FB6" w:rsidR="00272BFA">
        <w:t xml:space="preserve"> from </w:t>
      </w:r>
      <w:r w:rsidRPr="00496FB6" w:rsidR="007037A2">
        <w:t>the same location</w:t>
      </w:r>
      <w:r w:rsidR="00D0787B">
        <w:t>.</w:t>
      </w:r>
      <w:r w:rsidR="000016FD">
        <w:t xml:space="preserve"> </w:t>
      </w:r>
      <w:r w:rsidR="009565F5">
        <w:t xml:space="preserve"> </w:t>
      </w:r>
      <w:r w:rsidR="00B63944">
        <w:t>For example, o</w:t>
      </w:r>
      <w:r w:rsidR="00D0787B">
        <w:t>ne witness describe</w:t>
      </w:r>
      <w:r w:rsidR="00A52864">
        <w:t>d</w:t>
      </w:r>
      <w:r w:rsidR="00D0787B">
        <w:t xml:space="preserve"> defendant as</w:t>
      </w:r>
      <w:r w:rsidRPr="00F81265" w:rsidR="00976F31">
        <w:t xml:space="preserve"> “loitering” around the trail</w:t>
      </w:r>
      <w:r w:rsidR="00F44040">
        <w:t xml:space="preserve"> and explained that </w:t>
      </w:r>
      <w:r w:rsidRPr="00F81265" w:rsidR="00D82206">
        <w:t>people usually walked</w:t>
      </w:r>
      <w:r w:rsidR="007A140C">
        <w:t xml:space="preserve"> </w:t>
      </w:r>
      <w:r w:rsidRPr="00F81265" w:rsidR="00D82206">
        <w:t>or bik</w:t>
      </w:r>
      <w:r w:rsidR="007A140C">
        <w:t>ed</w:t>
      </w:r>
      <w:r w:rsidRPr="00F81265" w:rsidR="00D82206">
        <w:t xml:space="preserve"> on the trail</w:t>
      </w:r>
      <w:r w:rsidR="00D82206">
        <w:t>.</w:t>
      </w:r>
      <w:r w:rsidRPr="00F81265" w:rsidR="00D82206">
        <w:t xml:space="preserve"> </w:t>
      </w:r>
      <w:r w:rsidRPr="00F81265" w:rsidR="00976F31">
        <w:t xml:space="preserve"> </w:t>
      </w:r>
      <w:r w:rsidR="001F28E2">
        <w:t xml:space="preserve">Another witness </w:t>
      </w:r>
      <w:r w:rsidRPr="00F81265" w:rsidR="00976F31">
        <w:t xml:space="preserve">saw </w:t>
      </w:r>
      <w:r w:rsidR="00F44040">
        <w:t>defendant</w:t>
      </w:r>
      <w:r w:rsidRPr="00F81265" w:rsidR="00976F31">
        <w:t xml:space="preserve"> sitting</w:t>
      </w:r>
      <w:r w:rsidR="00A33840">
        <w:t xml:space="preserve"> near the </w:t>
      </w:r>
      <w:r w:rsidR="00D2279A">
        <w:t xml:space="preserve">side of the </w:t>
      </w:r>
      <w:r w:rsidR="00A33840">
        <w:t>trail</w:t>
      </w:r>
      <w:r w:rsidR="00D2279A">
        <w:t xml:space="preserve"> “kind of plucking at grass</w:t>
      </w:r>
      <w:r w:rsidR="00C032FE">
        <w:t>.</w:t>
      </w:r>
      <w:r w:rsidR="00D2279A">
        <w:t xml:space="preserve">” </w:t>
      </w:r>
      <w:r w:rsidR="004756D3">
        <w:t xml:space="preserve"> </w:t>
      </w:r>
      <w:r w:rsidRPr="00496FB6" w:rsidR="00FC69C7">
        <w:t xml:space="preserve">DNA evidence </w:t>
      </w:r>
      <w:r w:rsidR="00FC69C7">
        <w:t xml:space="preserve">also </w:t>
      </w:r>
      <w:r w:rsidRPr="00496FB6" w:rsidR="00FC69C7">
        <w:t xml:space="preserve">confirmed </w:t>
      </w:r>
      <w:r w:rsidR="00FC69C7">
        <w:t>defendant’s</w:t>
      </w:r>
      <w:r w:rsidRPr="00496FB6" w:rsidR="00FC69C7">
        <w:t xml:space="preserve"> presence at the scene of the crimes. </w:t>
      </w:r>
      <w:r w:rsidR="003E5B3E">
        <w:t xml:space="preserve"> </w:t>
      </w:r>
    </w:p>
    <w:p w:rsidR="009B39B7" w:rsidRPr="009B39B7" w:rsidP="009B39B7" w14:paraId="1D605451" w14:textId="55487420">
      <w:pPr>
        <w:pStyle w:val="NormalIndent"/>
        <w:ind w:left="86" w:firstLine="634"/>
      </w:pPr>
      <w:r>
        <w:t>Yet, w</w:t>
      </w:r>
      <w:r w:rsidRPr="00496FB6" w:rsidR="00272BFA">
        <w:t xml:space="preserve">hen a police officer discovered </w:t>
      </w:r>
      <w:r w:rsidRPr="00496FB6" w:rsidR="004C1D8B">
        <w:t>Loreck</w:t>
      </w:r>
      <w:r w:rsidRPr="00496FB6" w:rsidR="00272BFA">
        <w:t xml:space="preserve"> </w:t>
      </w:r>
      <w:r w:rsidRPr="00496FB6" w:rsidR="000164E7">
        <w:t>that afternoon</w:t>
      </w:r>
      <w:r w:rsidRPr="00496FB6" w:rsidR="00272BFA">
        <w:t>,</w:t>
      </w:r>
      <w:r>
        <w:rPr>
          <w:rStyle w:val="FootnoteReference"/>
        </w:rPr>
        <w:footnoteReference w:id="17"/>
      </w:r>
      <w:r w:rsidRPr="00496FB6" w:rsidR="00272BFA">
        <w:t xml:space="preserve"> </w:t>
      </w:r>
      <w:r w:rsidRPr="00496FB6" w:rsidR="000164E7">
        <w:t>within hours of</w:t>
      </w:r>
      <w:r w:rsidRPr="00496FB6" w:rsidR="00272BFA">
        <w:t xml:space="preserve"> her disappearance, </w:t>
      </w:r>
      <w:r w:rsidRPr="00496FB6" w:rsidR="00A24BC5">
        <w:t>defendant</w:t>
      </w:r>
      <w:r w:rsidRPr="00496FB6" w:rsidR="00272BFA">
        <w:t xml:space="preserve"> was no</w:t>
      </w:r>
      <w:r w:rsidRPr="00496FB6" w:rsidR="000D6059">
        <w:t xml:space="preserve"> longer</w:t>
      </w:r>
      <w:r w:rsidRPr="00496FB6" w:rsidR="00272BFA">
        <w:t xml:space="preserve"> present.  </w:t>
      </w:r>
      <w:r w:rsidR="006A43CA">
        <w:t>Defendant told police that</w:t>
      </w:r>
      <w:r w:rsidR="0046198D">
        <w:t>,</w:t>
      </w:r>
      <w:r w:rsidR="006A43CA">
        <w:t xml:space="preserve"> </w:t>
      </w:r>
      <w:r w:rsidR="00CE176D">
        <w:t>after the offenses</w:t>
      </w:r>
      <w:r w:rsidR="00E561AD">
        <w:t>,</w:t>
      </w:r>
      <w:r w:rsidR="00CE176D">
        <w:t xml:space="preserve"> he </w:t>
      </w:r>
      <w:r w:rsidR="00CD713F">
        <w:t xml:space="preserve">did not “want to have nothing </w:t>
      </w:r>
      <w:r w:rsidR="00F848BC">
        <w:t>[</w:t>
      </w:r>
      <w:r w:rsidRPr="00F848BC" w:rsidR="00F848BC">
        <w:rPr>
          <w:i/>
          <w:iCs/>
        </w:rPr>
        <w:t>sic</w:t>
      </w:r>
      <w:r w:rsidR="00F848BC">
        <w:t xml:space="preserve">] </w:t>
      </w:r>
      <w:r w:rsidR="00CD713F">
        <w:t>to do with that section of the tra</w:t>
      </w:r>
      <w:r w:rsidR="00573063">
        <w:t>i</w:t>
      </w:r>
      <w:r w:rsidR="00CD713F">
        <w:t xml:space="preserve">l anymore.” </w:t>
      </w:r>
      <w:r w:rsidR="00552C76">
        <w:t xml:space="preserve"> </w:t>
      </w:r>
      <w:r w:rsidRPr="00D37703">
        <w:rPr>
          <w:szCs w:val="27"/>
        </w:rPr>
        <w:t xml:space="preserve">Defendant’s consistent </w:t>
      </w:r>
      <w:r w:rsidRPr="00D37703" w:rsidR="008566C4">
        <w:rPr>
          <w:szCs w:val="27"/>
        </w:rPr>
        <w:t xml:space="preserve">and visible </w:t>
      </w:r>
      <w:r w:rsidRPr="00D37703">
        <w:rPr>
          <w:szCs w:val="27"/>
        </w:rPr>
        <w:t xml:space="preserve">presence near the trail before the crime makes it more notable that he was not seen there afterward, </w:t>
      </w:r>
      <w:r w:rsidRPr="00D37703" w:rsidR="0040065C">
        <w:rPr>
          <w:szCs w:val="27"/>
        </w:rPr>
        <w:t xml:space="preserve">and supports </w:t>
      </w:r>
      <w:r w:rsidRPr="00D37703" w:rsidR="000016FD">
        <w:rPr>
          <w:szCs w:val="27"/>
        </w:rPr>
        <w:t>an</w:t>
      </w:r>
      <w:r w:rsidRPr="00D37703">
        <w:rPr>
          <w:szCs w:val="27"/>
        </w:rPr>
        <w:t xml:space="preserve"> infer</w:t>
      </w:r>
      <w:r w:rsidRPr="00D37703" w:rsidR="0040065C">
        <w:rPr>
          <w:szCs w:val="27"/>
        </w:rPr>
        <w:t>ence</w:t>
      </w:r>
      <w:r w:rsidRPr="00D37703">
        <w:rPr>
          <w:szCs w:val="27"/>
        </w:rPr>
        <w:t xml:space="preserve"> that </w:t>
      </w:r>
      <w:r w:rsidRPr="00D37703" w:rsidR="0040065C">
        <w:rPr>
          <w:szCs w:val="27"/>
        </w:rPr>
        <w:t>defendant</w:t>
      </w:r>
      <w:r w:rsidRPr="00D37703">
        <w:rPr>
          <w:szCs w:val="27"/>
        </w:rPr>
        <w:t xml:space="preserve"> left the scene because he did not want to be observed </w:t>
      </w:r>
      <w:r w:rsidRPr="00D37703" w:rsidR="00573063">
        <w:rPr>
          <w:szCs w:val="27"/>
        </w:rPr>
        <w:t xml:space="preserve">there </w:t>
      </w:r>
      <w:r w:rsidRPr="00D37703">
        <w:rPr>
          <w:szCs w:val="27"/>
        </w:rPr>
        <w:t xml:space="preserve">after the crime.  </w:t>
      </w:r>
    </w:p>
    <w:p w:rsidR="00CB3770" w:rsidRPr="00496FB6" w:rsidP="00516101" w14:paraId="698C67A8" w14:textId="120D838E">
      <w:pPr>
        <w:pStyle w:val="NormalIndent"/>
        <w:ind w:left="86" w:firstLine="634"/>
      </w:pPr>
      <w:r w:rsidRPr="00496FB6">
        <w:t xml:space="preserve">The People also presented evidence that </w:t>
      </w:r>
      <w:r w:rsidRPr="00496FB6" w:rsidR="00A24BC5">
        <w:t>defendant</w:t>
      </w:r>
      <w:r w:rsidRPr="00496FB6">
        <w:t xml:space="preserve"> </w:t>
      </w:r>
      <w:r w:rsidRPr="00496FB6" w:rsidR="001F3B71">
        <w:t xml:space="preserve">struck </w:t>
      </w:r>
      <w:r w:rsidR="00DC1962">
        <w:t>Loreck</w:t>
      </w:r>
      <w:r w:rsidRPr="00496FB6" w:rsidR="001F3B71">
        <w:t xml:space="preserve"> on the head with an iron bar and dragged her from </w:t>
      </w:r>
      <w:r w:rsidRPr="00496FB6" w:rsidR="00150619">
        <w:t xml:space="preserve">near </w:t>
      </w:r>
      <w:r w:rsidRPr="00496FB6" w:rsidR="001F3B71">
        <w:t>the walking tra</w:t>
      </w:r>
      <w:r w:rsidRPr="00496FB6" w:rsidR="00150619">
        <w:t>i</w:t>
      </w:r>
      <w:r w:rsidRPr="00496FB6" w:rsidR="001F3B71">
        <w:t xml:space="preserve">l to a secluded area.  </w:t>
      </w:r>
      <w:r w:rsidRPr="00496FB6" w:rsidR="007E7761">
        <w:t>As</w:t>
      </w:r>
      <w:r w:rsidRPr="00496FB6" w:rsidR="008C3D91">
        <w:t xml:space="preserve"> aptly summarized by the People,</w:t>
      </w:r>
      <w:r w:rsidRPr="00496FB6" w:rsidR="007019D7">
        <w:t xml:space="preserve"> </w:t>
      </w:r>
      <w:r w:rsidRPr="00496FB6" w:rsidR="00CA0A3E">
        <w:t xml:space="preserve">there is evidence in the record </w:t>
      </w:r>
      <w:r w:rsidRPr="00496FB6" w:rsidR="00E64D8A">
        <w:t xml:space="preserve">of </w:t>
      </w:r>
      <w:r w:rsidRPr="00496FB6" w:rsidR="00B334DB">
        <w:t>d</w:t>
      </w:r>
      <w:r w:rsidRPr="00496FB6" w:rsidR="00A24BC5">
        <w:t>efendant</w:t>
      </w:r>
      <w:r w:rsidRPr="00496FB6" w:rsidR="00CA0A3E">
        <w:t>’</w:t>
      </w:r>
      <w:r w:rsidRPr="00496FB6" w:rsidR="004C00A6">
        <w:t xml:space="preserve">s </w:t>
      </w:r>
      <w:r w:rsidRPr="00496FB6" w:rsidR="00311E87">
        <w:t>“</w:t>
      </w:r>
      <w:r w:rsidRPr="00496FB6" w:rsidR="004C00A6">
        <w:t>high visibility before the crime, clear intent to conceal the crime from view by dragging [the victim] to a secluded area, and absence from the scene shortly after the crime,</w:t>
      </w:r>
      <w:r w:rsidRPr="00496FB6" w:rsidR="008C56F8">
        <w:t>” from which “</w:t>
      </w:r>
      <w:r w:rsidRPr="00496FB6" w:rsidR="004C00A6">
        <w:t xml:space="preserve">a jury could reasonably infer that </w:t>
      </w:r>
      <w:r w:rsidRPr="00496FB6" w:rsidR="00311E87">
        <w:t>[</w:t>
      </w:r>
      <w:r w:rsidRPr="00496FB6" w:rsidR="00A24BC5">
        <w:t>defendant</w:t>
      </w:r>
      <w:r w:rsidRPr="00496FB6" w:rsidR="00311E87">
        <w:t>]</w:t>
      </w:r>
      <w:r w:rsidRPr="00496FB6" w:rsidR="004C00A6">
        <w:t xml:space="preserve"> left to avoid being observed or arrested.” </w:t>
      </w:r>
      <w:r w:rsidRPr="00496FB6" w:rsidR="0024147B">
        <w:t xml:space="preserve"> </w:t>
      </w:r>
      <w:r w:rsidRPr="00496FB6" w:rsidR="001A0030">
        <w:t xml:space="preserve">This evidence was </w:t>
      </w:r>
      <w:r w:rsidRPr="00496FB6" w:rsidR="008C56F8">
        <w:t xml:space="preserve">sufficient to warrant giving </w:t>
      </w:r>
      <w:r w:rsidRPr="00496FB6" w:rsidR="001A0030">
        <w:t xml:space="preserve">a flight </w:t>
      </w:r>
      <w:r w:rsidRPr="00496FB6" w:rsidR="008C56F8">
        <w:t>instruction.</w:t>
      </w:r>
      <w:r w:rsidR="003E5B3E">
        <w:t xml:space="preserve">  </w:t>
      </w:r>
    </w:p>
    <w:p w:rsidR="00AB4AA6" w:rsidRPr="00496FB6" w:rsidP="00516101" w14:paraId="1277EF75" w14:textId="0CAB1776">
      <w:pPr>
        <w:ind w:firstLine="720"/>
      </w:pPr>
      <w:r w:rsidRPr="00496FB6">
        <w:t xml:space="preserve">Defendant also raises </w:t>
      </w:r>
      <w:r w:rsidRPr="00496FB6" w:rsidR="000553D7">
        <w:t>several</w:t>
      </w:r>
      <w:r w:rsidRPr="00496FB6">
        <w:t xml:space="preserve"> additional arguments </w:t>
      </w:r>
      <w:r w:rsidRPr="00496FB6" w:rsidR="002654F8">
        <w:t>relating to</w:t>
      </w:r>
      <w:r w:rsidRPr="00496FB6">
        <w:t xml:space="preserve"> the flight instruction, namely that</w:t>
      </w:r>
      <w:r w:rsidRPr="00496FB6" w:rsidR="00E14878">
        <w:t xml:space="preserve"> it</w:t>
      </w:r>
      <w:r w:rsidRPr="00496FB6">
        <w:t>:</w:t>
      </w:r>
      <w:r w:rsidRPr="00496FB6" w:rsidR="001A0030">
        <w:t xml:space="preserve"> </w:t>
      </w:r>
      <w:r w:rsidRPr="00496FB6">
        <w:t xml:space="preserve"> (1) unduly favored the prosecution and was argumentative; (2) should not </w:t>
      </w:r>
      <w:r w:rsidRPr="00496FB6" w:rsidR="00E14878">
        <w:t xml:space="preserve">have </w:t>
      </w:r>
      <w:r w:rsidRPr="00496FB6">
        <w:t>be</w:t>
      </w:r>
      <w:r w:rsidRPr="00496FB6" w:rsidR="00E14878">
        <w:t>en</w:t>
      </w:r>
      <w:r w:rsidRPr="00496FB6">
        <w:t xml:space="preserve"> given when, as here, identity is purportedly conceded; (3) permitted the jury to draw an impermissible inference; and (4)</w:t>
      </w:r>
      <w:r w:rsidRPr="00496FB6" w:rsidR="00E14878">
        <w:t xml:space="preserve"> </w:t>
      </w:r>
      <w:r w:rsidRPr="00496FB6">
        <w:t xml:space="preserve">lessened </w:t>
      </w:r>
      <w:r w:rsidRPr="00496FB6">
        <w:t>the prosecution’s burden of proof</w:t>
      </w:r>
      <w:r w:rsidRPr="00496FB6" w:rsidR="00AC4C5F">
        <w:t>.</w:t>
      </w:r>
      <w:r w:rsidRPr="00496FB6" w:rsidR="008E22E9">
        <w:t xml:space="preserve">  </w:t>
      </w:r>
    </w:p>
    <w:p w:rsidR="00B15D2B" w:rsidRPr="00496FB6" w:rsidP="00516101" w14:paraId="35BE8F0E" w14:textId="1A710B8D">
      <w:pPr>
        <w:ind w:firstLine="720"/>
      </w:pPr>
      <w:r w:rsidRPr="00496FB6">
        <w:t xml:space="preserve">These arguments are all foreclosed by precedent, and </w:t>
      </w:r>
      <w:r w:rsidRPr="00496FB6" w:rsidR="00A24BC5">
        <w:t>defendant</w:t>
      </w:r>
      <w:r w:rsidRPr="00496FB6">
        <w:t xml:space="preserve"> offers no persuasive argument for revisiting such case law.  (See, e.g., </w:t>
      </w:r>
      <w:bookmarkStart w:id="97" w:name="dabmci_8ffdf5a1413743e9a5ecb4736287b8f3"/>
      <w:r w:rsidRPr="00496FB6">
        <w:rPr>
          <w:i/>
          <w:iCs/>
        </w:rPr>
        <w:t>People v. Boyce</w:t>
      </w:r>
      <w:r w:rsidRPr="00496FB6">
        <w:t xml:space="preserve"> (2014) 59</w:t>
      </w:r>
      <w:r w:rsidRPr="00496FB6" w:rsidR="00A66785">
        <w:t> </w:t>
      </w:r>
      <w:r w:rsidRPr="00496FB6">
        <w:t>Cal.4th 672, 691 [stating that “[d]</w:t>
      </w:r>
      <w:bookmarkEnd w:id="97"/>
      <w:r w:rsidRPr="00496FB6">
        <w:t>efendant also mounts s</w:t>
      </w:r>
      <w:r w:rsidRPr="00496FB6">
        <w:t>everal challenges to the standard [flight] instruction, including that it unduly favors the prosecution, is argumentative and duplicative, is inapplicable when identity is conceded, creates an improper permissive inference, and lessens the prosecution</w:t>
      </w:r>
      <w:r w:rsidRPr="00496FB6" w:rsidR="0040386A">
        <w:t>’</w:t>
      </w:r>
      <w:r w:rsidRPr="00496FB6">
        <w:t>s bu</w:t>
      </w:r>
      <w:r w:rsidRPr="00496FB6">
        <w:t>rden of proof,” and that “we repeatedly have rejected these claims”].)</w:t>
      </w:r>
      <w:r w:rsidRPr="00496FB6" w:rsidR="000451D0">
        <w:t xml:space="preserve"> </w:t>
      </w:r>
      <w:r w:rsidRPr="00496FB6" w:rsidR="001D4B9B">
        <w:t xml:space="preserve"> </w:t>
      </w:r>
      <w:r w:rsidRPr="00496FB6">
        <w:t xml:space="preserve">Accordingly, </w:t>
      </w:r>
      <w:r w:rsidRPr="00496FB6" w:rsidR="00405C78">
        <w:t>we</w:t>
      </w:r>
      <w:r w:rsidRPr="00496FB6">
        <w:t xml:space="preserve"> reject </w:t>
      </w:r>
      <w:r w:rsidRPr="00496FB6" w:rsidR="00A24BC5">
        <w:t>defendant</w:t>
      </w:r>
      <w:r w:rsidRPr="00496FB6">
        <w:t xml:space="preserve">’s additional arguments against the giving of the instruction. </w:t>
      </w:r>
      <w:r w:rsidR="003E5B3E">
        <w:t xml:space="preserve"> </w:t>
      </w:r>
    </w:p>
    <w:p w:rsidR="00B04FA1" w:rsidRPr="00496FB6" w:rsidP="00516101" w14:paraId="3CEB4CE2" w14:textId="6FA53083">
      <w:pPr>
        <w:ind w:firstLine="720"/>
      </w:pPr>
      <w:r w:rsidRPr="00496FB6">
        <w:t>Finally, while we need not consider prejudice given our conclusion that the trial court</w:t>
      </w:r>
      <w:r w:rsidRPr="00496FB6">
        <w:t xml:space="preserve"> </w:t>
      </w:r>
      <w:r w:rsidRPr="00496FB6" w:rsidR="003671ED">
        <w:t xml:space="preserve">did not </w:t>
      </w:r>
      <w:r w:rsidRPr="00496FB6">
        <w:t>err</w:t>
      </w:r>
      <w:r w:rsidRPr="00496FB6" w:rsidR="003671ED">
        <w:t xml:space="preserve"> </w:t>
      </w:r>
      <w:r w:rsidRPr="00496FB6" w:rsidR="00671AC7">
        <w:t xml:space="preserve">in </w:t>
      </w:r>
      <w:r w:rsidRPr="00496FB6" w:rsidR="003671ED">
        <w:t>instructing the jury regarding flight</w:t>
      </w:r>
      <w:r w:rsidRPr="00496FB6">
        <w:t xml:space="preserve">, </w:t>
      </w:r>
      <w:r w:rsidR="00EC28CA">
        <w:t>we</w:t>
      </w:r>
      <w:r w:rsidRPr="00496FB6" w:rsidR="00405C78">
        <w:t xml:space="preserve"> conclud</w:t>
      </w:r>
      <w:r w:rsidR="00EC28CA">
        <w:t>e</w:t>
      </w:r>
      <w:r w:rsidRPr="00496FB6" w:rsidR="00405C78">
        <w:t xml:space="preserve"> that </w:t>
      </w:r>
      <w:r w:rsidRPr="00496FB6" w:rsidR="00BF1E4A">
        <w:t xml:space="preserve">any error in giving the instruction was harmless.  </w:t>
      </w:r>
      <w:r w:rsidRPr="00496FB6" w:rsidR="00671AC7">
        <w:t>C</w:t>
      </w:r>
      <w:r w:rsidRPr="00496FB6" w:rsidR="00BF1E4A">
        <w:t xml:space="preserve">ontrary to </w:t>
      </w:r>
      <w:r w:rsidRPr="00496FB6" w:rsidR="00A24BC5">
        <w:t>defendant</w:t>
      </w:r>
      <w:r w:rsidRPr="00496FB6" w:rsidR="00BF1E4A">
        <w:t>’s claim that error</w:t>
      </w:r>
      <w:r w:rsidRPr="00496FB6" w:rsidR="004B729B">
        <w:t xml:space="preserve"> in giving a flight instruction violate</w:t>
      </w:r>
      <w:r w:rsidRPr="00496FB6" w:rsidR="009A7F46">
        <w:t>d his</w:t>
      </w:r>
      <w:r w:rsidRPr="00496FB6" w:rsidR="004B729B">
        <w:t xml:space="preserve"> </w:t>
      </w:r>
      <w:r w:rsidRPr="00496FB6" w:rsidR="006625E7">
        <w:t xml:space="preserve">federal </w:t>
      </w:r>
      <w:r w:rsidRPr="00496FB6" w:rsidR="004B729B">
        <w:t>constitutional rights</w:t>
      </w:r>
      <w:r w:rsidRPr="00496FB6" w:rsidR="006149B8">
        <w:t xml:space="preserve"> requiring per se reversal or</w:t>
      </w:r>
      <w:r w:rsidRPr="00496FB6" w:rsidR="001C7673">
        <w:t xml:space="preserve">, </w:t>
      </w:r>
      <w:r w:rsidRPr="00496FB6" w:rsidR="006149B8">
        <w:t>at a minim</w:t>
      </w:r>
      <w:r w:rsidRPr="00496FB6" w:rsidR="001C7673">
        <w:t xml:space="preserve">um, the application of the </w:t>
      </w:r>
      <w:r w:rsidRPr="00496FB6" w:rsidR="001C7673">
        <w:rPr>
          <w:i/>
          <w:iCs/>
        </w:rPr>
        <w:t>Chapman</w:t>
      </w:r>
      <w:r>
        <w:rPr>
          <w:rStyle w:val="FootnoteReference"/>
        </w:rPr>
        <w:footnoteReference w:id="18"/>
      </w:r>
      <w:r w:rsidRPr="00496FB6" w:rsidR="001C7673">
        <w:t xml:space="preserve"> standard of </w:t>
      </w:r>
      <w:r w:rsidRPr="00496FB6" w:rsidR="008321EE">
        <w:t>prejudic</w:t>
      </w:r>
      <w:r w:rsidRPr="00496FB6" w:rsidR="001C7673">
        <w:t>e</w:t>
      </w:r>
      <w:r w:rsidRPr="00496FB6" w:rsidR="009A7F46">
        <w:t>,</w:t>
      </w:r>
      <w:r w:rsidRPr="00496FB6" w:rsidR="000D051E">
        <w:t xml:space="preserve"> </w:t>
      </w:r>
      <w:r w:rsidRPr="00496FB6" w:rsidR="00660F40">
        <w:t xml:space="preserve">we apply </w:t>
      </w:r>
      <w:r w:rsidRPr="00496FB6" w:rsidR="004D10A7">
        <w:t xml:space="preserve">the </w:t>
      </w:r>
      <w:r w:rsidRPr="00496FB6" w:rsidR="004D10A7">
        <w:rPr>
          <w:i/>
          <w:iCs/>
        </w:rPr>
        <w:t>Watson</w:t>
      </w:r>
      <w:r>
        <w:rPr>
          <w:rStyle w:val="FootnoteReference"/>
        </w:rPr>
        <w:footnoteReference w:id="19"/>
      </w:r>
      <w:r w:rsidRPr="00036F3A" w:rsidR="00036F3A">
        <w:t xml:space="preserve"> </w:t>
      </w:r>
      <w:r w:rsidR="00036F3A">
        <w:t>s</w:t>
      </w:r>
      <w:r w:rsidRPr="00496FB6" w:rsidR="004D10A7">
        <w:t>tandard of prejudice applicable to errors arising</w:t>
      </w:r>
      <w:r w:rsidRPr="00496FB6" w:rsidR="00411650">
        <w:t xml:space="preserve"> </w:t>
      </w:r>
      <w:r w:rsidRPr="00496FB6" w:rsidR="004D10A7">
        <w:t>under state law</w:t>
      </w:r>
      <w:r w:rsidRPr="00496FB6" w:rsidR="0030307E">
        <w:t xml:space="preserve"> to claims that a trial court erred in instructing a jury on flight</w:t>
      </w:r>
      <w:r w:rsidRPr="00496FB6" w:rsidR="004D10A7">
        <w:t xml:space="preserve">.  (See </w:t>
      </w:r>
      <w:bookmarkStart w:id="100" w:name="dabmci_32920988ac23423e93a57e4c9e12a8c6"/>
      <w:r w:rsidRPr="00496FB6" w:rsidR="004D10A7">
        <w:rPr>
          <w:i/>
          <w:iCs/>
        </w:rPr>
        <w:t>People v. Silva</w:t>
      </w:r>
      <w:r w:rsidRPr="00496FB6" w:rsidR="004D10A7">
        <w:t xml:space="preserve"> (1988) 45</w:t>
      </w:r>
      <w:r w:rsidRPr="00496FB6" w:rsidR="00A66785">
        <w:t> </w:t>
      </w:r>
      <w:r w:rsidRPr="00496FB6" w:rsidR="004D10A7">
        <w:t>Cal.3d 604, 628</w:t>
      </w:r>
      <w:bookmarkEnd w:id="100"/>
      <w:r w:rsidRPr="00496FB6" w:rsidR="004D10A7">
        <w:t xml:space="preserve"> [</w:t>
      </w:r>
      <w:r w:rsidRPr="00496FB6" w:rsidR="003F058A">
        <w:t>“</w:t>
      </w:r>
      <w:r w:rsidRPr="00496FB6" w:rsidR="004D10A7">
        <w:t>we believe that under the evidence, any error in instructing on flight was harmless; on these facts it is not reasonably probable a result more favorable to defendant would have been reached absent such an error</w:t>
      </w:r>
      <w:r w:rsidRPr="00496FB6" w:rsidR="00D412F8">
        <w:t xml:space="preserve">,” citing </w:t>
      </w:r>
      <w:bookmarkStart w:id="101" w:name="dabmci_d0a64fddd88c4f51bf021e719d0b7933"/>
      <w:r w:rsidRPr="00496FB6" w:rsidR="00D412F8">
        <w:rPr>
          <w:i/>
          <w:iCs/>
        </w:rPr>
        <w:t>Watson</w:t>
      </w:r>
      <w:bookmarkEnd w:id="101"/>
      <w:r w:rsidRPr="00496FB6" w:rsidR="004D10A7">
        <w:t xml:space="preserve">].)  </w:t>
      </w:r>
    </w:p>
    <w:p w:rsidR="00BA2CDC" w:rsidRPr="00496FB6" w:rsidP="00516101" w14:paraId="6A161C08" w14:textId="02797E48">
      <w:pPr>
        <w:ind w:firstLine="720"/>
      </w:pPr>
      <w:r w:rsidRPr="00496FB6">
        <w:t>Applying that standard</w:t>
      </w:r>
      <w:r w:rsidRPr="00496FB6" w:rsidR="004D10A7">
        <w:t xml:space="preserve">, </w:t>
      </w:r>
      <w:r w:rsidRPr="008D34FA" w:rsidR="008D34FA">
        <w:t xml:space="preserve">it is not reasonably probable that defendant would have obtained a more favorable result had the </w:t>
      </w:r>
      <w:r w:rsidR="0006031A">
        <w:t xml:space="preserve">flight </w:t>
      </w:r>
      <w:r w:rsidRPr="008D34FA" w:rsidR="008D34FA">
        <w:t>instruction not been given</w:t>
      </w:r>
      <w:r w:rsidRPr="00496FB6" w:rsidR="008720BB">
        <w:t xml:space="preserve">.  </w:t>
      </w:r>
      <w:r w:rsidRPr="00496FB6" w:rsidR="001D4B9B">
        <w:t>T</w:t>
      </w:r>
      <w:r w:rsidRPr="00496FB6" w:rsidR="004D10A7">
        <w:t>he instruction “did not assume that flight was established, but instead permitted the jury to make that factual determination a</w:t>
      </w:r>
      <w:r w:rsidRPr="00496FB6" w:rsidR="004D10A7">
        <w:rPr>
          <w:szCs w:val="26"/>
        </w:rPr>
        <w:t>nd to decide what weight to accord it</w:t>
      </w:r>
      <w:r w:rsidRPr="00496FB6" w:rsidR="00DB6B1A">
        <w:rPr>
          <w:szCs w:val="26"/>
        </w:rPr>
        <w:t>.</w:t>
      </w:r>
      <w:r w:rsidRPr="00496FB6" w:rsidR="004D10A7">
        <w:rPr>
          <w:szCs w:val="26"/>
        </w:rPr>
        <w:t>”  (</w:t>
      </w:r>
      <w:bookmarkStart w:id="102" w:name="dabmci_aafd7203d916412086242cffb7ea28ac"/>
      <w:r w:rsidRPr="00496FB6" w:rsidR="004D10A7">
        <w:rPr>
          <w:i/>
          <w:iCs/>
          <w:szCs w:val="26"/>
        </w:rPr>
        <w:t>Carter</w:t>
      </w:r>
      <w:r w:rsidRPr="00496FB6" w:rsidR="004D10A7">
        <w:rPr>
          <w:szCs w:val="26"/>
        </w:rPr>
        <w:t xml:space="preserve">, </w:t>
      </w:r>
      <w:r w:rsidRPr="00496FB6" w:rsidR="004D10A7">
        <w:rPr>
          <w:i/>
          <w:iCs/>
          <w:szCs w:val="26"/>
        </w:rPr>
        <w:t>supra</w:t>
      </w:r>
      <w:r w:rsidRPr="00496FB6" w:rsidR="004D10A7">
        <w:rPr>
          <w:szCs w:val="26"/>
        </w:rPr>
        <w:t>, 36</w:t>
      </w:r>
      <w:r w:rsidRPr="00496FB6" w:rsidR="00A66785">
        <w:rPr>
          <w:szCs w:val="26"/>
        </w:rPr>
        <w:t> </w:t>
      </w:r>
      <w:r w:rsidRPr="00496FB6" w:rsidR="004D10A7">
        <w:rPr>
          <w:szCs w:val="26"/>
        </w:rPr>
        <w:t xml:space="preserve">Cal.4th at </w:t>
      </w:r>
      <w:r w:rsidRPr="00496FB6" w:rsidR="00311E87">
        <w:rPr>
          <w:szCs w:val="26"/>
        </w:rPr>
        <w:t>p</w:t>
      </w:r>
      <w:r w:rsidRPr="00496FB6" w:rsidR="004D10A7">
        <w:rPr>
          <w:szCs w:val="26"/>
        </w:rPr>
        <w:t>p.</w:t>
      </w:r>
      <w:r w:rsidRPr="00496FB6" w:rsidR="002C53C5">
        <w:rPr>
          <w:szCs w:val="26"/>
        </w:rPr>
        <w:t> </w:t>
      </w:r>
      <w:r w:rsidRPr="00496FB6" w:rsidR="00311E87">
        <w:rPr>
          <w:szCs w:val="26"/>
        </w:rPr>
        <w:t>1182–</w:t>
      </w:r>
      <w:r w:rsidRPr="00496FB6" w:rsidR="004D10A7">
        <w:rPr>
          <w:szCs w:val="26"/>
        </w:rPr>
        <w:t>1183</w:t>
      </w:r>
      <w:bookmarkEnd w:id="102"/>
      <w:r w:rsidRPr="00496FB6" w:rsidR="00975A8E">
        <w:rPr>
          <w:szCs w:val="26"/>
        </w:rPr>
        <w:t>; accord</w:t>
      </w:r>
      <w:r w:rsidRPr="00496FB6" w:rsidR="00563DD2">
        <w:rPr>
          <w:szCs w:val="26"/>
        </w:rPr>
        <w:t>,</w:t>
      </w:r>
      <w:r w:rsidRPr="000A7BA7" w:rsidR="00975A8E">
        <w:t xml:space="preserve"> </w:t>
      </w:r>
      <w:bookmarkStart w:id="103" w:name="dabmci_a051c7575e3140519360b6fbb4e41e7b"/>
      <w:r w:rsidRPr="00496FB6" w:rsidR="00975A8E">
        <w:rPr>
          <w:i/>
          <w:iCs/>
        </w:rPr>
        <w:t>People v. Richardson</w:t>
      </w:r>
      <w:r w:rsidRPr="00496FB6" w:rsidR="00975A8E">
        <w:t xml:space="preserve"> (2008) 43</w:t>
      </w:r>
      <w:r w:rsidRPr="00496FB6" w:rsidR="00A66785">
        <w:t> </w:t>
      </w:r>
      <w:r w:rsidRPr="00496FB6" w:rsidR="00975A8E">
        <w:t>Cal.4th 959, 1020</w:t>
      </w:r>
      <w:bookmarkEnd w:id="103"/>
      <w:r w:rsidRPr="00496FB6" w:rsidR="00975A8E">
        <w:t xml:space="preserve"> </w:t>
      </w:r>
      <w:r w:rsidRPr="000A7BA7" w:rsidR="00975A8E">
        <w:t>[“</w:t>
      </w:r>
      <w:r w:rsidRPr="00496FB6" w:rsidR="00975A8E">
        <w:t xml:space="preserve">the instruction applied only </w:t>
      </w:r>
      <w:r w:rsidRPr="00496FB6" w:rsidR="00975A8E">
        <w:rPr>
          <w:i/>
          <w:iCs/>
        </w:rPr>
        <w:t>if</w:t>
      </w:r>
      <w:r w:rsidRPr="00496FB6" w:rsidR="00975A8E">
        <w:t xml:space="preserve"> the jurors found flight had been shown; if they did not so find here, they would have disregarded the flight instruction as they were also instructed”]</w:t>
      </w:r>
      <w:r w:rsidRPr="00496FB6" w:rsidR="00DB6B1A">
        <w:t>.</w:t>
      </w:r>
      <w:r w:rsidRPr="00496FB6" w:rsidR="004D10A7">
        <w:t>)</w:t>
      </w:r>
      <w:r w:rsidRPr="00496FB6" w:rsidR="00DB6B1A">
        <w:t xml:space="preserve">  Further, </w:t>
      </w:r>
      <w:r w:rsidRPr="00496FB6" w:rsidR="008720BB">
        <w:t xml:space="preserve">the instruction </w:t>
      </w:r>
      <w:r w:rsidRPr="00496FB6" w:rsidR="004D10A7">
        <w:t>cautioned the jury against giving undue weight to alleged flight</w:t>
      </w:r>
      <w:r w:rsidRPr="00496FB6" w:rsidR="00DB6B1A">
        <w:t xml:space="preserve">. </w:t>
      </w:r>
      <w:r w:rsidRPr="00496FB6" w:rsidR="004D10A7">
        <w:t xml:space="preserve"> (</w:t>
      </w:r>
      <w:r w:rsidRPr="00496FB6" w:rsidR="00DB6B1A">
        <w:t>S</w:t>
      </w:r>
      <w:r w:rsidRPr="00496FB6" w:rsidR="004D10A7">
        <w:t xml:space="preserve">ee </w:t>
      </w:r>
      <w:bookmarkStart w:id="104" w:name="dabmci_e1c1da9417dd488a8adb51319029e5ed"/>
      <w:r w:rsidRPr="00496FB6" w:rsidR="004D10A7">
        <w:rPr>
          <w:i/>
          <w:iCs/>
        </w:rPr>
        <w:t>People v. Scott</w:t>
      </w:r>
      <w:r w:rsidRPr="00496FB6" w:rsidR="004D10A7">
        <w:t xml:space="preserve"> (1988) 200</w:t>
      </w:r>
      <w:r w:rsidRPr="00496FB6" w:rsidR="002C53C5">
        <w:t> </w:t>
      </w:r>
      <w:r w:rsidRPr="00496FB6" w:rsidR="004D10A7">
        <w:t>Cal.App.3d 1090, 1095</w:t>
      </w:r>
      <w:bookmarkEnd w:id="104"/>
      <w:r w:rsidRPr="00496FB6" w:rsidR="004D10A7">
        <w:t xml:space="preserve"> [noting th</w:t>
      </w:r>
      <w:r w:rsidRPr="00496FB6" w:rsidR="00B35286">
        <w:t>e</w:t>
      </w:r>
      <w:r w:rsidRPr="00496FB6" w:rsidR="004D10A7">
        <w:t xml:space="preserve"> cautionary aspects of a flight instruction]</w:t>
      </w:r>
      <w:r w:rsidRPr="00496FB6" w:rsidR="00FD54F8">
        <w:t>.</w:t>
      </w:r>
      <w:r w:rsidRPr="00496FB6" w:rsidR="004D10A7">
        <w:t>)</w:t>
      </w:r>
      <w:r w:rsidRPr="00496FB6" w:rsidR="008720BB">
        <w:t xml:space="preserve">  </w:t>
      </w:r>
      <w:r w:rsidRPr="00496FB6" w:rsidR="00D40C88">
        <w:t>In addition</w:t>
      </w:r>
      <w:r w:rsidRPr="00496FB6" w:rsidR="008720BB">
        <w:t xml:space="preserve">, </w:t>
      </w:r>
      <w:r w:rsidRPr="00496FB6" w:rsidR="00B81580">
        <w:t>“[e]</w:t>
      </w:r>
      <w:r w:rsidRPr="00496FB6" w:rsidR="00C0292B">
        <w:t xml:space="preserve">ven had the jury not been instructed </w:t>
      </w:r>
      <w:r w:rsidRPr="00496FB6" w:rsidR="00B81580">
        <w:t>[on flight]</w:t>
      </w:r>
      <w:r w:rsidRPr="00496FB6" w:rsidR="00C0292B">
        <w:t>, it would still have been aware of</w:t>
      </w:r>
      <w:r w:rsidRPr="00496FB6" w:rsidR="00A24BC5">
        <w:t xml:space="preserve"> defendant’s </w:t>
      </w:r>
      <w:r w:rsidRPr="00496FB6" w:rsidR="00C0292B">
        <w:t>flight</w:t>
      </w:r>
      <w:r w:rsidRPr="00496FB6" w:rsidR="00B81580">
        <w:t>.”  (</w:t>
      </w:r>
      <w:bookmarkStart w:id="105" w:name="dabmci_e6d331daa4e3413b99620dbddd19cfdb"/>
      <w:r w:rsidRPr="00496FB6" w:rsidR="00C0292B">
        <w:rPr>
          <w:i/>
          <w:iCs/>
        </w:rPr>
        <w:t>People v. Moon</w:t>
      </w:r>
      <w:r w:rsidRPr="00496FB6" w:rsidR="00C0292B">
        <w:t xml:space="preserve"> (2005) 37</w:t>
      </w:r>
      <w:r w:rsidRPr="00496FB6" w:rsidR="002C53C5">
        <w:t> </w:t>
      </w:r>
      <w:r w:rsidRPr="00496FB6" w:rsidR="00C0292B">
        <w:t>Cal.4th 1, 28</w:t>
      </w:r>
      <w:bookmarkEnd w:id="105"/>
      <w:r w:rsidRPr="00496FB6" w:rsidR="00B81580">
        <w:t xml:space="preserve">.)  </w:t>
      </w:r>
      <w:r w:rsidRPr="00496FB6" w:rsidR="000B0168">
        <w:t xml:space="preserve">Finally, </w:t>
      </w:r>
      <w:r w:rsidRPr="00496FB6" w:rsidR="009516FD">
        <w:t xml:space="preserve">the People presented </w:t>
      </w:r>
      <w:r w:rsidRPr="00496FB6" w:rsidR="00572056">
        <w:t>compelling</w:t>
      </w:r>
      <w:r w:rsidRPr="00496FB6" w:rsidR="004D10A7">
        <w:t xml:space="preserve"> </w:t>
      </w:r>
      <w:r w:rsidRPr="00496FB6" w:rsidR="009516FD">
        <w:t xml:space="preserve">evidence </w:t>
      </w:r>
      <w:r w:rsidRPr="00496FB6" w:rsidR="004D10A7">
        <w:t xml:space="preserve">that </w:t>
      </w:r>
      <w:r w:rsidRPr="00496FB6" w:rsidR="00A24BC5">
        <w:t>defendant</w:t>
      </w:r>
      <w:r w:rsidRPr="00496FB6" w:rsidR="004D10A7">
        <w:t xml:space="preserve"> committed the </w:t>
      </w:r>
      <w:r w:rsidRPr="00496FB6" w:rsidR="00E03729">
        <w:t xml:space="preserve">charged </w:t>
      </w:r>
      <w:r w:rsidRPr="00496FB6" w:rsidR="004D10A7">
        <w:t>crimes</w:t>
      </w:r>
      <w:r w:rsidRPr="00496FB6" w:rsidR="00E03729">
        <w:t xml:space="preserve"> and that the special circ</w:t>
      </w:r>
      <w:r w:rsidRPr="00496FB6" w:rsidR="00545C12">
        <w:t xml:space="preserve">umstance </w:t>
      </w:r>
      <w:r w:rsidRPr="00496FB6" w:rsidR="00671AC7">
        <w:t xml:space="preserve">allegations </w:t>
      </w:r>
      <w:r w:rsidRPr="00496FB6" w:rsidR="00545C12">
        <w:t>were true</w:t>
      </w:r>
      <w:r w:rsidRPr="00496FB6" w:rsidR="00E078FC">
        <w:t>, including that defendant’s DNA was found on the murder weapon and on vaginal and rectal swabs taken from the victim</w:t>
      </w:r>
      <w:r w:rsidRPr="00496FB6" w:rsidR="00572056">
        <w:t>, and several witnesses placed defendant near the victim at the time the offenses occurred</w:t>
      </w:r>
      <w:r w:rsidRPr="00496FB6" w:rsidR="00E078FC">
        <w:t xml:space="preserve">.  </w:t>
      </w:r>
    </w:p>
    <w:p w:rsidR="009A13AF" w:rsidRPr="00496FB6" w:rsidP="00E9299A" w14:paraId="7E8FE8EC" w14:textId="2851751B">
      <w:pPr>
        <w:pStyle w:val="Heading2"/>
        <w:tabs>
          <w:tab w:val="clear" w:pos="1152"/>
        </w:tabs>
        <w:ind w:left="1080" w:hanging="360"/>
      </w:pPr>
      <w:bookmarkStart w:id="106" w:name="_Toc147845694"/>
      <w:bookmarkStart w:id="107" w:name="_Toc147519566"/>
      <w:r w:rsidRPr="00496FB6">
        <w:t>D.</w:t>
      </w:r>
      <w:r w:rsidRPr="00496FB6" w:rsidR="00D93595">
        <w:tab/>
      </w:r>
      <w:r w:rsidRPr="00496FB6">
        <w:t xml:space="preserve">The </w:t>
      </w:r>
      <w:r w:rsidRPr="00496FB6" w:rsidR="0023133E">
        <w:t>T</w:t>
      </w:r>
      <w:r w:rsidRPr="00496FB6">
        <w:t xml:space="preserve">rial </w:t>
      </w:r>
      <w:r w:rsidRPr="00496FB6" w:rsidR="0023133E">
        <w:t>C</w:t>
      </w:r>
      <w:r w:rsidRPr="00496FB6">
        <w:t xml:space="preserve">ourt </w:t>
      </w:r>
      <w:r w:rsidRPr="00496FB6" w:rsidR="0023133E">
        <w:t>D</w:t>
      </w:r>
      <w:r w:rsidRPr="00496FB6">
        <w:t xml:space="preserve">id </w:t>
      </w:r>
      <w:r w:rsidRPr="00496FB6" w:rsidR="0023133E">
        <w:t>N</w:t>
      </w:r>
      <w:r w:rsidRPr="00496FB6">
        <w:t xml:space="preserve">ot </w:t>
      </w:r>
      <w:r w:rsidRPr="00496FB6" w:rsidR="0023133E">
        <w:t>E</w:t>
      </w:r>
      <w:r w:rsidRPr="00496FB6" w:rsidR="00F2744D">
        <w:t xml:space="preserve">rr in </w:t>
      </w:r>
      <w:r w:rsidRPr="00496FB6" w:rsidR="0023133E">
        <w:t>D</w:t>
      </w:r>
      <w:r w:rsidRPr="00496FB6" w:rsidR="00F2744D">
        <w:t xml:space="preserve">enying </w:t>
      </w:r>
      <w:r w:rsidRPr="00496FB6" w:rsidR="0023133E">
        <w:t>D</w:t>
      </w:r>
      <w:r w:rsidRPr="00496FB6" w:rsidR="00A24BC5">
        <w:t>efendant</w:t>
      </w:r>
      <w:r w:rsidRPr="00496FB6" w:rsidR="00F2744D">
        <w:t xml:space="preserve">’s </w:t>
      </w:r>
      <w:r w:rsidRPr="00496FB6" w:rsidR="0023133E">
        <w:t>S</w:t>
      </w:r>
      <w:r w:rsidRPr="00496FB6" w:rsidR="00220C94">
        <w:t>elf-</w:t>
      </w:r>
      <w:r w:rsidR="004A0583">
        <w:t>r</w:t>
      </w:r>
      <w:r w:rsidRPr="00496FB6" w:rsidR="00220C94">
        <w:t xml:space="preserve">epresentation </w:t>
      </w:r>
      <w:r w:rsidRPr="00496FB6" w:rsidR="0023133E">
        <w:t>R</w:t>
      </w:r>
      <w:r w:rsidRPr="00496FB6" w:rsidR="00F2744D">
        <w:t>equests</w:t>
      </w:r>
      <w:r w:rsidRPr="00496FB6">
        <w:t xml:space="preserve"> at the </w:t>
      </w:r>
      <w:r w:rsidRPr="00496FB6" w:rsidR="0023133E">
        <w:t>P</w:t>
      </w:r>
      <w:r w:rsidRPr="00496FB6">
        <w:t>enal</w:t>
      </w:r>
      <w:r w:rsidRPr="00496FB6">
        <w:t xml:space="preserve">ty </w:t>
      </w:r>
      <w:r w:rsidRPr="00496FB6" w:rsidR="0023133E">
        <w:t>P</w:t>
      </w:r>
      <w:r w:rsidRPr="00496FB6" w:rsidR="00220C94">
        <w:t xml:space="preserve">hase of the </w:t>
      </w:r>
      <w:r w:rsidRPr="00496FB6" w:rsidR="0023133E">
        <w:t>T</w:t>
      </w:r>
      <w:r w:rsidRPr="00496FB6">
        <w:t>rial</w:t>
      </w:r>
      <w:r w:rsidRPr="00496FB6" w:rsidR="00BF7C66">
        <w:t xml:space="preserve"> </w:t>
      </w:r>
      <w:bookmarkEnd w:id="106"/>
      <w:bookmarkEnd w:id="107"/>
      <w:r w:rsidRPr="00496FB6" w:rsidR="00C911F4">
        <w:t xml:space="preserve"> </w:t>
      </w:r>
    </w:p>
    <w:p w:rsidR="00C31A8E" w:rsidRPr="00496FB6" w:rsidP="0006031A" w14:paraId="5CC19157" w14:textId="7BDA7ECA">
      <w:pPr>
        <w:ind w:firstLine="720"/>
      </w:pPr>
      <w:r w:rsidRPr="00496FB6">
        <w:t>Defendant claims the trial court erred in denying his requests to represent hims</w:t>
      </w:r>
      <w:r w:rsidRPr="00496FB6" w:rsidR="00A71C9D">
        <w:t xml:space="preserve">elf at the penalty </w:t>
      </w:r>
      <w:r w:rsidRPr="00496FB6" w:rsidR="00220C94">
        <w:t xml:space="preserve">phase of the </w:t>
      </w:r>
      <w:r w:rsidRPr="00496FB6" w:rsidR="00A71C9D">
        <w:t xml:space="preserve">trial.  </w:t>
      </w:r>
      <w:r w:rsidRPr="00496FB6" w:rsidR="00B62E4C">
        <w:t xml:space="preserve">Specifically, </w:t>
      </w:r>
      <w:r w:rsidRPr="00496FB6">
        <w:t>defendant</w:t>
      </w:r>
      <w:r w:rsidRPr="00496FB6" w:rsidR="00A71C9D">
        <w:t xml:space="preserve"> maintains that</w:t>
      </w:r>
      <w:r w:rsidRPr="00496FB6" w:rsidR="00DC6AE8">
        <w:t xml:space="preserve">, in denying his requests, </w:t>
      </w:r>
      <w:r w:rsidRPr="00496FB6" w:rsidR="00A71C9D">
        <w:t xml:space="preserve">the trial court violated his </w:t>
      </w:r>
      <w:r w:rsidRPr="00496FB6" w:rsidR="00CA555D">
        <w:t>right to self-representation</w:t>
      </w:r>
      <w:r w:rsidRPr="00496FB6" w:rsidR="009B3510">
        <w:t xml:space="preserve"> under the federal </w:t>
      </w:r>
      <w:r w:rsidRPr="00496FB6" w:rsidR="00DF3A54">
        <w:t>C</w:t>
      </w:r>
      <w:r w:rsidRPr="00496FB6" w:rsidR="009B3510">
        <w:t xml:space="preserve">onstitution </w:t>
      </w:r>
      <w:r w:rsidRPr="00496FB6" w:rsidR="00EE2BC0">
        <w:t>as established by</w:t>
      </w:r>
      <w:r w:rsidRPr="00496FB6" w:rsidR="000E631A">
        <w:t xml:space="preserve"> </w:t>
      </w:r>
      <w:bookmarkStart w:id="108" w:name="dabmci_582eed01e0a2478fa1ba0d2c9dd8cafe"/>
      <w:r w:rsidRPr="00496FB6" w:rsidR="000E631A">
        <w:rPr>
          <w:i/>
          <w:iCs/>
        </w:rPr>
        <w:t>Faretta v. California</w:t>
      </w:r>
      <w:r w:rsidRPr="00496FB6" w:rsidR="000E631A">
        <w:t xml:space="preserve"> (1975) 422</w:t>
      </w:r>
      <w:r w:rsidRPr="00496FB6" w:rsidR="002C53C5">
        <w:t> </w:t>
      </w:r>
      <w:r w:rsidRPr="00496FB6" w:rsidR="000E631A">
        <w:t>U.S. 806 (</w:t>
      </w:r>
      <w:r w:rsidRPr="00496FB6" w:rsidR="000E631A">
        <w:rPr>
          <w:i/>
          <w:iCs/>
        </w:rPr>
        <w:t>Faretta</w:t>
      </w:r>
      <w:r w:rsidRPr="00496FB6" w:rsidR="00042541">
        <w:t>)</w:t>
      </w:r>
      <w:bookmarkEnd w:id="108"/>
      <w:r w:rsidRPr="00496FB6" w:rsidR="002E1BB0">
        <w:t xml:space="preserve">.  Alternatively, defendant claims the </w:t>
      </w:r>
      <w:r w:rsidRPr="00496FB6" w:rsidR="00266081">
        <w:t xml:space="preserve">court abused its discretion </w:t>
      </w:r>
      <w:r w:rsidRPr="00496FB6" w:rsidR="002E1BB0">
        <w:t xml:space="preserve">in denying </w:t>
      </w:r>
      <w:r w:rsidRPr="00496FB6" w:rsidR="00C274AD">
        <w:t xml:space="preserve">his requests </w:t>
      </w:r>
      <w:r w:rsidRPr="00496FB6" w:rsidR="00266081">
        <w:t>under</w:t>
      </w:r>
      <w:r w:rsidRPr="00496FB6" w:rsidR="000239FE">
        <w:t xml:space="preserve"> </w:t>
      </w:r>
      <w:bookmarkStart w:id="109" w:name="dabmci_8c3982292c194607a8296f2ca7538df8"/>
      <w:r w:rsidRPr="00496FB6" w:rsidR="000239FE">
        <w:rPr>
          <w:i/>
          <w:iCs/>
        </w:rPr>
        <w:t>People v.</w:t>
      </w:r>
      <w:r w:rsidRPr="00496FB6" w:rsidR="000239FE">
        <w:t xml:space="preserve"> </w:t>
      </w:r>
      <w:r w:rsidRPr="00496FB6" w:rsidR="000239FE">
        <w:rPr>
          <w:i/>
          <w:iCs/>
        </w:rPr>
        <w:t xml:space="preserve">Windham </w:t>
      </w:r>
      <w:r w:rsidRPr="00496FB6" w:rsidR="000239FE">
        <w:t>(1977) 19</w:t>
      </w:r>
      <w:r w:rsidRPr="00496FB6" w:rsidR="002C53C5">
        <w:t> </w:t>
      </w:r>
      <w:r w:rsidRPr="00496FB6" w:rsidR="000239FE">
        <w:t xml:space="preserve">Cal.3d 121 </w:t>
      </w:r>
      <w:r w:rsidRPr="00496FB6" w:rsidR="006351B1">
        <w:t>(</w:t>
      </w:r>
      <w:r w:rsidRPr="00496FB6" w:rsidR="006351B1">
        <w:rPr>
          <w:i/>
          <w:iCs/>
        </w:rPr>
        <w:t>Windham</w:t>
      </w:r>
      <w:r w:rsidRPr="00496FB6" w:rsidR="006351B1">
        <w:t>)</w:t>
      </w:r>
      <w:bookmarkEnd w:id="109"/>
      <w:r w:rsidRPr="00496FB6" w:rsidR="002229CD">
        <w:t>.</w:t>
      </w:r>
      <w:r w:rsidRPr="00496FB6" w:rsidR="006351B1">
        <w:t xml:space="preserve"> </w:t>
      </w:r>
      <w:r w:rsidRPr="00496FB6" w:rsidR="00B62E4C">
        <w:t xml:space="preserve"> </w:t>
      </w:r>
      <w:r w:rsidRPr="00496FB6" w:rsidR="007C2FF5">
        <w:t>H</w:t>
      </w:r>
      <w:r w:rsidRPr="00496FB6" w:rsidR="00152A97">
        <w:t xml:space="preserve">e </w:t>
      </w:r>
      <w:r w:rsidRPr="00496FB6" w:rsidR="007C2FF5">
        <w:t xml:space="preserve">further </w:t>
      </w:r>
      <w:r w:rsidRPr="00496FB6" w:rsidR="00152A97">
        <w:t>claims</w:t>
      </w:r>
      <w:r w:rsidRPr="00496FB6" w:rsidR="00CA555D">
        <w:t xml:space="preserve"> the penalty verdict must be reversed</w:t>
      </w:r>
      <w:r w:rsidRPr="00496FB6" w:rsidR="007C2FF5">
        <w:t xml:space="preserve"> as a result</w:t>
      </w:r>
      <w:r w:rsidRPr="00496FB6" w:rsidR="0077764D">
        <w:t xml:space="preserve"> of th</w:t>
      </w:r>
      <w:r w:rsidRPr="00496FB6" w:rsidR="00DE2981">
        <w:t>e</w:t>
      </w:r>
      <w:r w:rsidRPr="00496FB6" w:rsidR="0077764D">
        <w:t>s</w:t>
      </w:r>
      <w:r w:rsidRPr="00496FB6" w:rsidR="00141666">
        <w:t>e</w:t>
      </w:r>
      <w:r w:rsidRPr="00496FB6" w:rsidR="0077764D">
        <w:t xml:space="preserve"> error</w:t>
      </w:r>
      <w:r w:rsidRPr="00496FB6" w:rsidR="00DE2981">
        <w:t>s</w:t>
      </w:r>
      <w:r w:rsidRPr="00496FB6" w:rsidR="00CA555D">
        <w:t>.</w:t>
      </w:r>
      <w:r>
        <w:rPr>
          <w:rStyle w:val="FootnoteReference"/>
        </w:rPr>
        <w:footnoteReference w:id="20"/>
      </w:r>
      <w:r w:rsidRPr="00496FB6" w:rsidR="004A3B14">
        <w:t xml:space="preserve"> </w:t>
      </w:r>
      <w:r w:rsidRPr="00496FB6" w:rsidR="00005410">
        <w:t xml:space="preserve"> </w:t>
      </w:r>
      <w:r w:rsidR="003553AC">
        <w:t>W</w:t>
      </w:r>
      <w:r w:rsidRPr="00496FB6" w:rsidR="004A3B14">
        <w:t xml:space="preserve">e </w:t>
      </w:r>
      <w:r w:rsidRPr="00496FB6" w:rsidR="004D08F6">
        <w:t>conclude the trial court did not err in denying defendant’s requests.</w:t>
      </w:r>
      <w:r w:rsidR="003E5B3E">
        <w:t xml:space="preserve">  </w:t>
      </w:r>
    </w:p>
    <w:p w:rsidR="005110A5" w:rsidRPr="00496FB6" w:rsidP="003E280A" w14:paraId="1FAFF15C" w14:textId="41D47E85">
      <w:pPr>
        <w:pStyle w:val="Heading3"/>
        <w:numPr>
          <w:ilvl w:val="0"/>
          <w:numId w:val="2"/>
        </w:numPr>
        <w:tabs>
          <w:tab w:val="clear" w:pos="1584"/>
        </w:tabs>
        <w:ind w:left="1584" w:hanging="432"/>
      </w:pPr>
      <w:bookmarkStart w:id="111" w:name="_Toc147845695"/>
      <w:bookmarkStart w:id="112" w:name="_Toc147519567"/>
      <w:r w:rsidRPr="00496FB6">
        <w:t>Governing law</w:t>
      </w:r>
      <w:bookmarkEnd w:id="111"/>
      <w:bookmarkEnd w:id="112"/>
    </w:p>
    <w:p w:rsidR="00017AB3" w:rsidRPr="00496FB6" w:rsidP="003E280A" w14:paraId="31D81FB3" w14:textId="79A5F455">
      <w:pPr>
        <w:pStyle w:val="NormalIndent"/>
        <w:ind w:left="0" w:firstLine="720"/>
      </w:pPr>
      <w:r w:rsidRPr="00496FB6">
        <w:t>“</w:t>
      </w:r>
      <w:r w:rsidRPr="00496FB6" w:rsidR="0071789A">
        <w:t xml:space="preserve">The United States Supreme Court has made clear that a criminal defendant has a federal constitutional right to represent himself if he voluntarily and intelligently so chooses. </w:t>
      </w:r>
      <w:r w:rsidRPr="00496FB6">
        <w:t xml:space="preserve"> </w:t>
      </w:r>
      <w:r w:rsidRPr="00496FB6" w:rsidR="0071789A">
        <w:t>(</w:t>
      </w:r>
      <w:bookmarkStart w:id="113" w:name="dabmci_06de6114a4b249ebb337562571e7cd3d"/>
      <w:r w:rsidRPr="00496FB6" w:rsidR="0071789A">
        <w:rPr>
          <w:i/>
          <w:iCs/>
        </w:rPr>
        <w:t>Faretta</w:t>
      </w:r>
      <w:r w:rsidRPr="00496FB6" w:rsidR="0071789A">
        <w:t>,</w:t>
      </w:r>
      <w:r w:rsidRPr="00496FB6" w:rsidR="00FC76E4">
        <w:t xml:space="preserve"> </w:t>
      </w:r>
      <w:r w:rsidRPr="00496FB6" w:rsidR="0071789A">
        <w:rPr>
          <w:i/>
          <w:iCs/>
        </w:rPr>
        <w:t>supra</w:t>
      </w:r>
      <w:r w:rsidRPr="00496FB6" w:rsidR="0071789A">
        <w:t>, 422 U.S. at pp.</w:t>
      </w:r>
      <w:r w:rsidRPr="00496FB6" w:rsidR="002E6FFD">
        <w:t> </w:t>
      </w:r>
      <w:r w:rsidRPr="00496FB6" w:rsidR="0071789A">
        <w:t>835–836</w:t>
      </w:r>
      <w:bookmarkEnd w:id="113"/>
      <w:r w:rsidRPr="00496FB6" w:rsidR="0071789A">
        <w:t xml:space="preserve">.) </w:t>
      </w:r>
      <w:r w:rsidRPr="00496FB6">
        <w:t xml:space="preserve"> </w:t>
      </w:r>
      <w:r w:rsidRPr="00496FB6" w:rsidR="0071789A">
        <w:t>A trial court must grant a defendant</w:t>
      </w:r>
      <w:r w:rsidRPr="00496FB6" w:rsidR="00E63DD7">
        <w:t>’</w:t>
      </w:r>
      <w:r w:rsidRPr="00496FB6" w:rsidR="0071789A">
        <w:t>s request for self-representation if the request is made within a reasonable time prior to the commencement of trial, is unequivocal, and is made voluntarily, knowingly, and intelligently.</w:t>
      </w:r>
      <w:r w:rsidRPr="00496FB6" w:rsidR="00CE1246">
        <w:t>”</w:t>
      </w:r>
      <w:r w:rsidRPr="00496FB6" w:rsidR="00E63DD7">
        <w:t xml:space="preserve"> </w:t>
      </w:r>
      <w:r w:rsidRPr="00496FB6" w:rsidR="00F25AA1">
        <w:t xml:space="preserve"> </w:t>
      </w:r>
      <w:r w:rsidRPr="00496FB6" w:rsidR="00E63DD7">
        <w:t>(</w:t>
      </w:r>
      <w:bookmarkStart w:id="114" w:name="dabmci_794d70fb0b1641548eaa5a5f482fa01b"/>
      <w:r w:rsidRPr="00496FB6" w:rsidR="0071789A">
        <w:rPr>
          <w:i/>
          <w:iCs/>
        </w:rPr>
        <w:t>People v. Wright</w:t>
      </w:r>
      <w:r w:rsidRPr="00496FB6" w:rsidR="0071789A">
        <w:t xml:space="preserve"> (2021) 12</w:t>
      </w:r>
      <w:r w:rsidRPr="00496FB6" w:rsidR="002C53C5">
        <w:t> </w:t>
      </w:r>
      <w:r w:rsidRPr="00496FB6" w:rsidR="0071789A">
        <w:t>Cal.5th 419, 435–436</w:t>
      </w:r>
      <w:r w:rsidRPr="00496FB6" w:rsidR="00A45DC3">
        <w:t xml:space="preserve"> (</w:t>
      </w:r>
      <w:r w:rsidRPr="00496FB6" w:rsidR="00A45DC3">
        <w:rPr>
          <w:i/>
          <w:iCs/>
        </w:rPr>
        <w:t>Wright</w:t>
      </w:r>
      <w:r w:rsidRPr="00496FB6" w:rsidR="00A45DC3">
        <w:t>)</w:t>
      </w:r>
      <w:bookmarkEnd w:id="114"/>
      <w:r w:rsidRPr="00496FB6" w:rsidR="00E63DD7">
        <w:t>.)</w:t>
      </w:r>
      <w:r w:rsidRPr="00496FB6" w:rsidR="002F00E7">
        <w:t xml:space="preserve">  </w:t>
      </w:r>
    </w:p>
    <w:p w:rsidR="00017AB3" w:rsidRPr="00496FB6" w:rsidP="003E280A" w14:paraId="2022743C" w14:textId="6EB9BB46">
      <w:pPr>
        <w:pStyle w:val="NormalIndent"/>
        <w:ind w:left="0" w:firstLine="720"/>
      </w:pPr>
      <w:r w:rsidRPr="00496FB6">
        <w:t xml:space="preserve">“In the context of a capital case, we have held that a </w:t>
      </w:r>
      <w:r w:rsidRPr="00496FB6">
        <w:rPr>
          <w:i/>
          <w:iCs/>
        </w:rPr>
        <w:t>Faretta</w:t>
      </w:r>
      <w:r w:rsidRPr="00496FB6">
        <w:t xml:space="preserve"> motion made after the guilt phase verdicts have been returned is untimely.  (</w:t>
      </w:r>
      <w:bookmarkStart w:id="115" w:name="dabmci_4bc97b5d39a047f2a554fc3072521a7d"/>
      <w:r w:rsidRPr="00496FB6">
        <w:rPr>
          <w:i/>
          <w:iCs/>
        </w:rPr>
        <w:t>People v. Hardy</w:t>
      </w:r>
      <w:r w:rsidRPr="00496FB6" w:rsidR="00482137">
        <w:t xml:space="preserve"> [(1992)] </w:t>
      </w:r>
      <w:r w:rsidRPr="00496FB6">
        <w:t>2</w:t>
      </w:r>
      <w:r w:rsidRPr="00496FB6" w:rsidR="002E6FFD">
        <w:t> </w:t>
      </w:r>
      <w:r w:rsidRPr="00496FB6">
        <w:t xml:space="preserve">Cal.4th </w:t>
      </w:r>
      <w:r w:rsidRPr="00496FB6" w:rsidR="00482137">
        <w:t>[86,]</w:t>
      </w:r>
      <w:r w:rsidRPr="00496FB6">
        <w:t xml:space="preserve"> 193–195</w:t>
      </w:r>
      <w:bookmarkEnd w:id="115"/>
      <w:r w:rsidRPr="00496FB6">
        <w:t xml:space="preserve"> [motion made seven days prior to commencement of penalty phase];</w:t>
      </w:r>
      <w:r w:rsidRPr="00496FB6">
        <w:t xml:space="preserve"> see </w:t>
      </w:r>
      <w:bookmarkStart w:id="116" w:name="dabmci_3880b5b3ead3421db75af9e43da5cb5f"/>
      <w:r w:rsidRPr="00496FB6">
        <w:rPr>
          <w:i/>
          <w:iCs/>
        </w:rPr>
        <w:t>People v. Bradford</w:t>
      </w:r>
      <w:r w:rsidRPr="00496FB6">
        <w:t xml:space="preserve"> (1997) 15</w:t>
      </w:r>
      <w:r w:rsidRPr="00496FB6" w:rsidR="002E6FFD">
        <w:t> </w:t>
      </w:r>
      <w:r w:rsidRPr="00496FB6">
        <w:t>Cal.4th 1229, 1365</w:t>
      </w:r>
      <w:bookmarkEnd w:id="116"/>
      <w:r w:rsidRPr="00496FB6" w:rsidR="00311E87">
        <w:t> . . .</w:t>
      </w:r>
      <w:r w:rsidRPr="00496FB6" w:rsidR="00482137">
        <w:t xml:space="preserve"> </w:t>
      </w:r>
      <w:r w:rsidRPr="00496FB6">
        <w:t>[</w:t>
      </w:r>
      <w:r w:rsidRPr="00496FB6" w:rsidR="00482137">
        <w:t>‘</w:t>
      </w:r>
      <w:r w:rsidRPr="00496FB6">
        <w:t>a motion made between trial of the two phases [of a capital trial] is untimely</w:t>
      </w:r>
      <w:r w:rsidRPr="00496FB6" w:rsidR="00482137">
        <w:t>’</w:t>
      </w:r>
      <w:r w:rsidRPr="00496FB6">
        <w:t xml:space="preserve">]; </w:t>
      </w:r>
      <w:bookmarkStart w:id="117" w:name="dabmci_fa8200175a2e43c3bf9fd412abc3e10e"/>
      <w:r w:rsidRPr="00496FB6">
        <w:rPr>
          <w:i/>
          <w:iCs/>
        </w:rPr>
        <w:t>People v. Hamilton</w:t>
      </w:r>
      <w:r w:rsidRPr="00496FB6">
        <w:t xml:space="preserve"> (1988) 45</w:t>
      </w:r>
      <w:r w:rsidRPr="00496FB6" w:rsidR="002E6FFD">
        <w:t> </w:t>
      </w:r>
      <w:r w:rsidRPr="00496FB6">
        <w:t>Cal.3d 351, 369</w:t>
      </w:r>
      <w:bookmarkEnd w:id="117"/>
      <w:r w:rsidRPr="00496FB6" w:rsidR="00311E87">
        <w:t> . . .</w:t>
      </w:r>
      <w:r w:rsidRPr="00496FB6" w:rsidR="00BE0226">
        <w:t xml:space="preserve"> </w:t>
      </w:r>
      <w:r w:rsidRPr="00496FB6">
        <w:t>[</w:t>
      </w:r>
      <w:r w:rsidRPr="00496FB6" w:rsidR="00482137">
        <w:t>‘</w:t>
      </w:r>
      <w:r w:rsidRPr="00496FB6">
        <w:t>the penalty phase has no separate formal existence but is me</w:t>
      </w:r>
      <w:r w:rsidRPr="00496FB6">
        <w:t>rely a stage in a unitary capital trial</w:t>
      </w:r>
      <w:r w:rsidRPr="00496FB6" w:rsidR="00482137">
        <w:t>’</w:t>
      </w:r>
      <w:r w:rsidRPr="00496FB6">
        <w:t>].)</w:t>
      </w:r>
      <w:r w:rsidRPr="00496FB6" w:rsidR="00482137">
        <w:t>”</w:t>
      </w:r>
      <w:r w:rsidRPr="00496FB6" w:rsidR="004037CC">
        <w:t xml:space="preserve">  </w:t>
      </w:r>
      <w:r w:rsidRPr="00496FB6" w:rsidR="00482137">
        <w:t>(</w:t>
      </w:r>
      <w:bookmarkStart w:id="118" w:name="dabmci_83fa120f1e184d6eb4929303b02ebd3f"/>
      <w:r w:rsidRPr="00496FB6">
        <w:rPr>
          <w:i/>
          <w:iCs/>
        </w:rPr>
        <w:t>Thomas</w:t>
      </w:r>
      <w:r w:rsidRPr="00496FB6" w:rsidR="00482137">
        <w:t xml:space="preserve">, </w:t>
      </w:r>
      <w:r w:rsidRPr="00496FB6" w:rsidR="00482137">
        <w:rPr>
          <w:i/>
          <w:iCs/>
        </w:rPr>
        <w:t>supra</w:t>
      </w:r>
      <w:r w:rsidRPr="00496FB6" w:rsidR="00482137">
        <w:t xml:space="preserve">, </w:t>
      </w:r>
      <w:r w:rsidRPr="00496FB6">
        <w:t>14</w:t>
      </w:r>
      <w:r w:rsidRPr="00496FB6" w:rsidR="002E6FFD">
        <w:t> </w:t>
      </w:r>
      <w:r w:rsidRPr="00496FB6">
        <w:t xml:space="preserve">Cal.5th </w:t>
      </w:r>
      <w:r w:rsidRPr="00496FB6" w:rsidR="00482137">
        <w:t>at p.</w:t>
      </w:r>
      <w:r w:rsidRPr="00496FB6" w:rsidR="002E6FFD">
        <w:t> </w:t>
      </w:r>
      <w:r w:rsidRPr="00496FB6">
        <w:t>39</w:t>
      </w:r>
      <w:r w:rsidRPr="00496FB6" w:rsidR="00482137">
        <w:t>7</w:t>
      </w:r>
      <w:bookmarkEnd w:id="118"/>
      <w:r w:rsidRPr="00496FB6" w:rsidR="00482137">
        <w:t>.)</w:t>
      </w:r>
      <w:r w:rsidR="003E5B3E">
        <w:t xml:space="preserve">  </w:t>
      </w:r>
    </w:p>
    <w:p w:rsidR="001314DE" w:rsidRPr="00496FB6" w:rsidP="003E280A" w14:paraId="61975DD9" w14:textId="217E9942">
      <w:pPr>
        <w:pStyle w:val="NormalIndent"/>
        <w:ind w:left="0" w:firstLine="720"/>
      </w:pPr>
      <w:r w:rsidRPr="00496FB6">
        <w:t xml:space="preserve">We have previously stated that </w:t>
      </w:r>
      <w:r w:rsidRPr="00496FB6" w:rsidR="002F00E7">
        <w:t>“</w:t>
      </w:r>
      <w:r w:rsidRPr="00496FB6">
        <w:t>[w]</w:t>
      </w:r>
      <w:r w:rsidRPr="00496FB6" w:rsidR="002F00E7">
        <w:t xml:space="preserve">hen a defendant’s motion [for self-representation] is untimely, the motion is </w:t>
      </w:r>
      <w:r w:rsidRPr="00496FB6" w:rsidR="004E2D0E">
        <w:t>‘</w:t>
      </w:r>
      <w:r w:rsidRPr="00496FB6" w:rsidR="002F00E7">
        <w:t>based on nonconstitutional grounds</w:t>
      </w:r>
      <w:r w:rsidRPr="00496FB6" w:rsidR="004E2D0E">
        <w:t>’</w:t>
      </w:r>
      <w:r w:rsidRPr="00496FB6" w:rsidR="002F00E7">
        <w:t xml:space="preserve"> (</w:t>
      </w:r>
      <w:r w:rsidRPr="00496FB6" w:rsidR="004E2D0E">
        <w:t>[</w:t>
      </w:r>
      <w:r w:rsidRPr="00496FB6" w:rsidR="004E2D0E">
        <w:rPr>
          <w:i/>
          <w:iCs/>
        </w:rPr>
        <w:t>Windham</w:t>
      </w:r>
      <w:r w:rsidRPr="00496FB6" w:rsidR="004E2D0E">
        <w:t>,</w:t>
      </w:r>
      <w:r w:rsidRPr="00496FB6" w:rsidR="004E2D0E">
        <w:rPr>
          <w:i/>
          <w:iCs/>
        </w:rPr>
        <w:t xml:space="preserve"> </w:t>
      </w:r>
      <w:bookmarkStart w:id="119" w:name="dabmci_953d11653200472cb97f037b7246c1e7"/>
      <w:r w:rsidRPr="00496FB6" w:rsidR="004E2D0E">
        <w:rPr>
          <w:i/>
          <w:iCs/>
        </w:rPr>
        <w:t>supra</w:t>
      </w:r>
      <w:r w:rsidRPr="00496FB6" w:rsidR="004E2D0E">
        <w:t>, 19</w:t>
      </w:r>
      <w:bookmarkEnd w:id="119"/>
      <w:r w:rsidRPr="00496FB6" w:rsidR="004E2D0E">
        <w:t xml:space="preserve"> Cal.3d</w:t>
      </w:r>
      <w:r w:rsidRPr="00496FB6" w:rsidR="00887B45">
        <w:t>]</w:t>
      </w:r>
      <w:r w:rsidRPr="00496FB6" w:rsidR="004E2D0E">
        <w:t xml:space="preserve"> </w:t>
      </w:r>
      <w:r w:rsidRPr="00496FB6" w:rsidR="002F00E7">
        <w:t>at p.</w:t>
      </w:r>
      <w:r w:rsidRPr="00496FB6" w:rsidR="002E6FFD">
        <w:t> </w:t>
      </w:r>
      <w:r w:rsidRPr="00496FB6" w:rsidR="002F00E7">
        <w:t>129, fn.</w:t>
      </w:r>
      <w:r w:rsidR="00865440">
        <w:t> </w:t>
      </w:r>
      <w:r w:rsidRPr="00496FB6" w:rsidR="002F00E7">
        <w:t>6</w:t>
      </w:r>
      <w:r w:rsidRPr="00496FB6" w:rsidR="0095486C">
        <w:t>)</w:t>
      </w:r>
      <w:r w:rsidRPr="00496FB6" w:rsidR="004E2D0E">
        <w:t xml:space="preserve"> </w:t>
      </w:r>
      <w:r w:rsidRPr="00496FB6" w:rsidR="002F00E7">
        <w:t xml:space="preserve">and it is </w:t>
      </w:r>
      <w:r w:rsidRPr="00496FB6" w:rsidR="004E2D0E">
        <w:t>‘</w:t>
      </w:r>
      <w:r w:rsidRPr="00496FB6" w:rsidR="002F00E7">
        <w:t xml:space="preserve">within the sound discretion of the trial court to determine whether such a defendant may dismiss counsel and proceed </w:t>
      </w:r>
      <w:r w:rsidRPr="00496FB6" w:rsidR="002F00E7">
        <w:rPr>
          <w:i/>
          <w:iCs/>
        </w:rPr>
        <w:t>pro se</w:t>
      </w:r>
      <w:r w:rsidRPr="00496FB6" w:rsidR="004E2D0E">
        <w:t>’</w:t>
      </w:r>
      <w:r w:rsidRPr="00496FB6" w:rsidR="002F00E7">
        <w:t xml:space="preserve"> (</w:t>
      </w:r>
      <w:bookmarkStart w:id="120" w:name="dabmci_19286881754f45cfb699b531c7bf3571"/>
      <w:r w:rsidRPr="00496FB6" w:rsidR="002F00E7">
        <w:rPr>
          <w:i/>
          <w:iCs/>
        </w:rPr>
        <w:t>id</w:t>
      </w:r>
      <w:r w:rsidRPr="00496FB6" w:rsidR="002F00E7">
        <w:t>. at p.</w:t>
      </w:r>
      <w:r w:rsidRPr="00496FB6" w:rsidR="000D30D4">
        <w:t> </w:t>
      </w:r>
      <w:r w:rsidRPr="00496FB6" w:rsidR="002F00E7">
        <w:t>124</w:t>
      </w:r>
      <w:bookmarkEnd w:id="120"/>
      <w:r w:rsidRPr="00496FB6" w:rsidR="002F00E7">
        <w:t xml:space="preserve">; see also </w:t>
      </w:r>
      <w:bookmarkStart w:id="121" w:name="dabmci_aafcca7ecbcf47c2b3b5bc31e475561a"/>
      <w:r w:rsidRPr="00496FB6" w:rsidR="002F00E7">
        <w:rPr>
          <w:i/>
          <w:iCs/>
        </w:rPr>
        <w:t>People v. Bloom</w:t>
      </w:r>
      <w:r w:rsidRPr="00496FB6" w:rsidR="002F00E7">
        <w:t xml:space="preserve"> (1989) 48</w:t>
      </w:r>
      <w:r w:rsidRPr="00496FB6" w:rsidR="000D30D4">
        <w:t> </w:t>
      </w:r>
      <w:r w:rsidRPr="00496FB6" w:rsidR="002F00E7">
        <w:t>Cal.3d 1194, 1220</w:t>
      </w:r>
      <w:bookmarkEnd w:id="121"/>
      <w:r w:rsidRPr="00496FB6" w:rsidR="00311E87">
        <w:t> . . .</w:t>
      </w:r>
      <w:r w:rsidRPr="00496FB6" w:rsidR="00D622D1">
        <w:t xml:space="preserve"> </w:t>
      </w:r>
      <w:r w:rsidRPr="00496FB6" w:rsidR="002F00E7">
        <w:t xml:space="preserve">[stating a </w:t>
      </w:r>
      <w:r w:rsidRPr="00496FB6" w:rsidR="00D622D1">
        <w:t>‘</w:t>
      </w:r>
      <w:r w:rsidRPr="00496FB6" w:rsidR="002F00E7">
        <w:t>midtrial motion for self-representation did not have a constitutional basis</w:t>
      </w:r>
      <w:r w:rsidRPr="00496FB6" w:rsidR="00D622D1">
        <w:t>’</w:t>
      </w:r>
      <w:r w:rsidRPr="00496FB6" w:rsidR="002F00E7">
        <w:t>].)</w:t>
      </w:r>
      <w:r w:rsidRPr="00496FB6" w:rsidR="00D622D1">
        <w:t xml:space="preserve">” </w:t>
      </w:r>
      <w:r w:rsidRPr="00496FB6" w:rsidR="00582D86">
        <w:t xml:space="preserve"> </w:t>
      </w:r>
      <w:r w:rsidRPr="00496FB6" w:rsidR="00392441">
        <w:t>(</w:t>
      </w:r>
      <w:bookmarkStart w:id="122" w:name="dabmci_785365b3fe874ffd9d98c9b41cc5926d"/>
      <w:r w:rsidRPr="00496FB6" w:rsidR="002F00E7">
        <w:rPr>
          <w:i/>
          <w:iCs/>
        </w:rPr>
        <w:t>Thomas</w:t>
      </w:r>
      <w:r w:rsidRPr="00496FB6" w:rsidR="00392441">
        <w:t xml:space="preserve">, </w:t>
      </w:r>
      <w:r w:rsidRPr="00496FB6" w:rsidR="00392441">
        <w:rPr>
          <w:i/>
          <w:iCs/>
        </w:rPr>
        <w:t>supra</w:t>
      </w:r>
      <w:r w:rsidRPr="00496FB6" w:rsidR="00392441">
        <w:t xml:space="preserve">, </w:t>
      </w:r>
      <w:r w:rsidRPr="00496FB6" w:rsidR="002F00E7">
        <w:t xml:space="preserve">14 Cal.5th </w:t>
      </w:r>
      <w:r w:rsidRPr="00496FB6" w:rsidR="00392441">
        <w:t>at p.</w:t>
      </w:r>
      <w:r w:rsidRPr="00496FB6" w:rsidR="002F00E7">
        <w:t xml:space="preserve"> 397</w:t>
      </w:r>
      <w:bookmarkEnd w:id="122"/>
      <w:r w:rsidRPr="00496FB6" w:rsidR="00392441">
        <w:t>.)</w:t>
      </w:r>
      <w:r w:rsidR="00DF44D2">
        <w:t xml:space="preserve"> </w:t>
      </w:r>
      <w:r w:rsidRPr="00496FB6" w:rsidR="00F67C3F">
        <w:t xml:space="preserve"> </w:t>
      </w:r>
      <w:r w:rsidRPr="00496FB6" w:rsidR="00796DFA">
        <w:t>“</w:t>
      </w:r>
      <w:r w:rsidRPr="00496FB6" w:rsidR="00E46A29">
        <w:t>Among other factors to be considered by the court in assessing such requests made after the commencement of trial are the quality of counsel</w:t>
      </w:r>
      <w:r w:rsidRPr="00496FB6" w:rsidR="00796DFA">
        <w:t>’</w:t>
      </w:r>
      <w:r w:rsidRPr="00496FB6" w:rsidR="00E46A29">
        <w:t>s representation of the defendant, the defendant</w:t>
      </w:r>
      <w:r w:rsidRPr="00496FB6" w:rsidR="00796DFA">
        <w:t>’</w:t>
      </w:r>
      <w:r w:rsidRPr="00496FB6" w:rsidR="00E46A29">
        <w:t>s prior proclivity to substitute counsel, the reasons for the request, the length and stage of the proceedings, and the disruption or delay which might reasonably be expected to follow the granting of such a motion.</w:t>
      </w:r>
      <w:r w:rsidRPr="00496FB6" w:rsidR="00796DFA">
        <w:t>”  (</w:t>
      </w:r>
      <w:bookmarkStart w:id="123" w:name="dabmci_192b31371aef4b2e81c116b22327b4aa"/>
      <w:r w:rsidRPr="00496FB6" w:rsidR="00E46A29">
        <w:rPr>
          <w:i/>
          <w:iCs/>
        </w:rPr>
        <w:t>Windham</w:t>
      </w:r>
      <w:r w:rsidRPr="00496FB6" w:rsidR="00796DFA">
        <w:t>, at p.</w:t>
      </w:r>
      <w:r w:rsidRPr="00496FB6" w:rsidR="000D30D4">
        <w:t> </w:t>
      </w:r>
      <w:r w:rsidRPr="00496FB6" w:rsidR="00E46A29">
        <w:t>128</w:t>
      </w:r>
      <w:bookmarkEnd w:id="123"/>
      <w:r w:rsidRPr="00496FB6" w:rsidR="00796DFA">
        <w:t>.)</w:t>
      </w:r>
      <w:r w:rsidRPr="00496FB6" w:rsidR="006E5619">
        <w:t xml:space="preserve">  </w:t>
      </w:r>
    </w:p>
    <w:p w:rsidR="00B64411" w:rsidRPr="00496FB6" w:rsidP="006D6AB5" w14:paraId="11789F1A" w14:textId="7CC03A4A">
      <w:pPr>
        <w:pStyle w:val="Heading3"/>
        <w:tabs>
          <w:tab w:val="clear" w:pos="1584"/>
        </w:tabs>
        <w:rPr>
          <w:i w:val="0"/>
          <w:iCs/>
        </w:rPr>
      </w:pPr>
      <w:bookmarkStart w:id="124" w:name="_Toc147845696"/>
      <w:bookmarkStart w:id="125" w:name="_Toc147519568"/>
      <w:r w:rsidRPr="00496FB6">
        <w:rPr>
          <w:i w:val="0"/>
          <w:iCs/>
        </w:rPr>
        <w:t>2.</w:t>
      </w:r>
      <w:r w:rsidRPr="00496FB6" w:rsidR="00D93595">
        <w:rPr>
          <w:i w:val="0"/>
          <w:iCs/>
        </w:rPr>
        <w:tab/>
      </w:r>
      <w:r w:rsidRPr="00496FB6">
        <w:t>Factual and procedural background</w:t>
      </w:r>
      <w:bookmarkEnd w:id="124"/>
      <w:bookmarkEnd w:id="125"/>
    </w:p>
    <w:p w:rsidR="00695AF1" w:rsidRPr="00496FB6" w:rsidP="006D6AB5" w14:paraId="6E79074D" w14:textId="0B63E7CF">
      <w:pPr>
        <w:ind w:firstLine="720"/>
      </w:pPr>
      <w:r w:rsidRPr="00496FB6">
        <w:t xml:space="preserve">On June 21, 2006, </w:t>
      </w:r>
      <w:r w:rsidRPr="00496FB6" w:rsidR="008F49A4">
        <w:t xml:space="preserve">shortly after the </w:t>
      </w:r>
      <w:r w:rsidRPr="00496FB6">
        <w:t>jury returned its guilt</w:t>
      </w:r>
      <w:r w:rsidRPr="00496FB6" w:rsidR="00606152">
        <w:t>y</w:t>
      </w:r>
      <w:r w:rsidRPr="00496FB6">
        <w:t xml:space="preserve"> verdicts</w:t>
      </w:r>
      <w:r w:rsidRPr="00496FB6" w:rsidR="008F49A4">
        <w:t xml:space="preserve">, </w:t>
      </w:r>
      <w:r w:rsidRPr="00496FB6" w:rsidR="00172BB7">
        <w:t xml:space="preserve">and </w:t>
      </w:r>
      <w:r w:rsidRPr="00496FB6" w:rsidR="00CF2891">
        <w:t xml:space="preserve">outside the presence of the jury, </w:t>
      </w:r>
      <w:r w:rsidRPr="00496FB6" w:rsidR="008F49A4">
        <w:t xml:space="preserve">defense counsel </w:t>
      </w:r>
      <w:r w:rsidR="00DD2014">
        <w:t>informed</w:t>
      </w:r>
      <w:r w:rsidRPr="00496FB6" w:rsidR="008F49A4">
        <w:t xml:space="preserve"> the </w:t>
      </w:r>
      <w:r w:rsidRPr="00496FB6" w:rsidR="00606152">
        <w:t xml:space="preserve">trial </w:t>
      </w:r>
      <w:r w:rsidRPr="00496FB6" w:rsidR="008F49A4">
        <w:t xml:space="preserve">court that </w:t>
      </w:r>
      <w:r w:rsidRPr="00496FB6" w:rsidR="00A24BC5">
        <w:t>defendant</w:t>
      </w:r>
      <w:r w:rsidRPr="00496FB6" w:rsidR="00B95953">
        <w:t xml:space="preserve"> might </w:t>
      </w:r>
      <w:r w:rsidRPr="00496FB6" w:rsidR="006D41F1">
        <w:t xml:space="preserve">seek </w:t>
      </w:r>
      <w:r w:rsidRPr="00496FB6" w:rsidR="009A64BA">
        <w:t>to represent himself</w:t>
      </w:r>
      <w:r w:rsidRPr="00496FB6" w:rsidR="00172BB7">
        <w:t xml:space="preserve"> at the penalty phase of the trial</w:t>
      </w:r>
      <w:r w:rsidRPr="00496FB6" w:rsidR="009A64BA">
        <w:t xml:space="preserve">.  Counsel </w:t>
      </w:r>
      <w:r w:rsidRPr="00496FB6" w:rsidR="005630D6">
        <w:t>explained she need</w:t>
      </w:r>
      <w:r w:rsidRPr="00496FB6" w:rsidR="00FB4FCE">
        <w:t>ed</w:t>
      </w:r>
      <w:r w:rsidRPr="00496FB6" w:rsidR="005630D6">
        <w:t xml:space="preserve"> time to confer with </w:t>
      </w:r>
      <w:r w:rsidRPr="00496FB6" w:rsidR="00A24BC5">
        <w:t>defendant</w:t>
      </w:r>
      <w:r w:rsidRPr="00496FB6" w:rsidR="00606152">
        <w:t xml:space="preserve"> and</w:t>
      </w:r>
      <w:r w:rsidRPr="00496FB6" w:rsidR="005630D6">
        <w:t xml:space="preserve"> </w:t>
      </w:r>
      <w:r w:rsidRPr="00496FB6" w:rsidR="009A64BA">
        <w:t>requested th</w:t>
      </w:r>
      <w:r w:rsidRPr="00496FB6" w:rsidR="00554D16">
        <w:t xml:space="preserve">at the court set a hearing </w:t>
      </w:r>
      <w:r w:rsidRPr="00496FB6" w:rsidR="005630D6">
        <w:t xml:space="preserve">to discuss the issue. </w:t>
      </w:r>
      <w:r w:rsidRPr="00496FB6" w:rsidR="00612CEA">
        <w:t xml:space="preserve"> </w:t>
      </w:r>
      <w:r w:rsidRPr="00496FB6" w:rsidR="0047038C">
        <w:t xml:space="preserve">The court agreed to </w:t>
      </w:r>
      <w:r w:rsidRPr="00496FB6" w:rsidR="001B5485">
        <w:t>set</w:t>
      </w:r>
      <w:r w:rsidRPr="00496FB6" w:rsidR="000646A1">
        <w:t xml:space="preserve"> the hearing and to refrain from </w:t>
      </w:r>
      <w:r w:rsidRPr="00496FB6" w:rsidR="00F22E6F">
        <w:t>calendaring</w:t>
      </w:r>
      <w:r w:rsidRPr="00496FB6" w:rsidR="00896482">
        <w:t xml:space="preserve"> the penalty phase until </w:t>
      </w:r>
      <w:r w:rsidRPr="00496FB6" w:rsidR="00225493">
        <w:t xml:space="preserve">holding such </w:t>
      </w:r>
      <w:r w:rsidRPr="00496FB6" w:rsidR="00896482">
        <w:t xml:space="preserve">hearing. </w:t>
      </w:r>
      <w:r w:rsidRPr="00496FB6" w:rsidR="00BC18F5">
        <w:t xml:space="preserve"> </w:t>
      </w:r>
    </w:p>
    <w:p w:rsidR="006D73EA" w:rsidRPr="00496FB6" w:rsidP="006D6AB5" w14:paraId="7DFC4F47" w14:textId="13AF768C">
      <w:pPr>
        <w:ind w:firstLine="720"/>
      </w:pPr>
      <w:r w:rsidRPr="00496FB6">
        <w:t>O</w:t>
      </w:r>
      <w:r w:rsidRPr="00496FB6" w:rsidR="00695AF1">
        <w:t xml:space="preserve">n June 23, </w:t>
      </w:r>
      <w:r w:rsidRPr="00496FB6" w:rsidR="00C40DD5">
        <w:t xml:space="preserve">the trial court </w:t>
      </w:r>
      <w:r w:rsidRPr="00496FB6" w:rsidR="00C90A62">
        <w:t>s</w:t>
      </w:r>
      <w:r w:rsidRPr="00496FB6" w:rsidR="007D2FB4">
        <w:t xml:space="preserve">et July 31 as the date </w:t>
      </w:r>
      <w:r w:rsidRPr="00496FB6" w:rsidR="00910429">
        <w:t xml:space="preserve">the jury would return for the penalty </w:t>
      </w:r>
      <w:r w:rsidRPr="00496FB6" w:rsidR="001E3870">
        <w:t xml:space="preserve">phase of the </w:t>
      </w:r>
      <w:r w:rsidRPr="00496FB6" w:rsidR="00910429">
        <w:t>trial</w:t>
      </w:r>
      <w:r w:rsidRPr="00496FB6" w:rsidR="00664851">
        <w:t xml:space="preserve">. </w:t>
      </w:r>
      <w:r w:rsidRPr="00496FB6" w:rsidR="002A415B">
        <w:t xml:space="preserve"> </w:t>
      </w:r>
      <w:r w:rsidRPr="00496FB6" w:rsidR="0030326A">
        <w:t>At the end of t</w:t>
      </w:r>
      <w:r w:rsidRPr="00496FB6">
        <w:t xml:space="preserve">hat </w:t>
      </w:r>
      <w:r w:rsidRPr="00496FB6" w:rsidR="0030326A">
        <w:t xml:space="preserve">hearing, </w:t>
      </w:r>
      <w:r w:rsidRPr="00496FB6" w:rsidR="00A24BC5">
        <w:t>defendant</w:t>
      </w:r>
      <w:r w:rsidRPr="00496FB6" w:rsidR="0030326A">
        <w:t xml:space="preserve"> stated: </w:t>
      </w:r>
      <w:r w:rsidRPr="00496FB6" w:rsidR="000625AE">
        <w:t xml:space="preserve"> </w:t>
      </w:r>
      <w:r w:rsidRPr="00496FB6" w:rsidR="00BB0C66">
        <w:t>“I think it</w:t>
      </w:r>
      <w:r w:rsidRPr="00496FB6" w:rsidR="00AA390F">
        <w:t>’</w:t>
      </w:r>
      <w:r w:rsidRPr="00496FB6" w:rsidR="00BB0C66">
        <w:t>s necessary to go on the record saying that although I</w:t>
      </w:r>
      <w:r w:rsidRPr="00496FB6" w:rsidR="00AA390F">
        <w:t>’</w:t>
      </w:r>
      <w:r w:rsidRPr="00496FB6" w:rsidR="00BB0C66">
        <w:t xml:space="preserve">m not submitting a </w:t>
      </w:r>
      <w:r w:rsidRPr="00496FB6" w:rsidR="00BB0C66">
        <w:rPr>
          <w:i/>
          <w:iCs/>
        </w:rPr>
        <w:t>Faretta</w:t>
      </w:r>
      <w:r w:rsidRPr="00496FB6" w:rsidR="00F40853">
        <w:t xml:space="preserve"> </w:t>
      </w:r>
      <w:r w:rsidRPr="00496FB6" w:rsidR="00BB0C66">
        <w:t xml:space="preserve">motion to the </w:t>
      </w:r>
      <w:r w:rsidR="00E67895">
        <w:t>[c]</w:t>
      </w:r>
      <w:r w:rsidRPr="00496FB6" w:rsidR="00BB0C66">
        <w:t xml:space="preserve">ourt presently, I reserve my right to do so at a future time prior to the commencement of the penalty phase trial. </w:t>
      </w:r>
      <w:r w:rsidRPr="00496FB6" w:rsidR="00AA390F">
        <w:t xml:space="preserve"> </w:t>
      </w:r>
      <w:r w:rsidRPr="00496FB6" w:rsidR="00BB0C66">
        <w:t>And if I choose to do so it will be in both unequivocal [</w:t>
      </w:r>
      <w:r w:rsidRPr="00496FB6" w:rsidR="00BB0C66">
        <w:rPr>
          <w:i/>
          <w:iCs/>
        </w:rPr>
        <w:t>sic</w:t>
      </w:r>
      <w:r w:rsidRPr="00496FB6" w:rsidR="00BB0C66">
        <w:t>] and timely manner which will cause no significant delay, if any at all.”</w:t>
      </w:r>
      <w:r w:rsidRPr="00496FB6" w:rsidR="00AA390F">
        <w:t xml:space="preserve"> </w:t>
      </w:r>
      <w:r w:rsidRPr="00496FB6" w:rsidR="004E1DDC">
        <w:t xml:space="preserve"> </w:t>
      </w:r>
    </w:p>
    <w:p w:rsidR="00D16514" w:rsidRPr="00496FB6" w:rsidP="006D6AB5" w14:paraId="4E83EF49" w14:textId="5D86E643">
      <w:pPr>
        <w:ind w:firstLine="720"/>
      </w:pPr>
      <w:r w:rsidRPr="00496FB6">
        <w:t xml:space="preserve">On </w:t>
      </w:r>
      <w:r w:rsidRPr="00496FB6">
        <w:t>July 26, the trial court held a</w:t>
      </w:r>
      <w:r w:rsidRPr="00496FB6" w:rsidR="001022FD">
        <w:t xml:space="preserve"> hearing </w:t>
      </w:r>
      <w:r w:rsidRPr="00496FB6" w:rsidR="00822349">
        <w:t>to</w:t>
      </w:r>
      <w:r w:rsidRPr="00496FB6" w:rsidR="001022FD">
        <w:t xml:space="preserve"> consider the defense’s in limine motion to admit certain videotapes during the penalty </w:t>
      </w:r>
      <w:r w:rsidRPr="00496FB6" w:rsidR="008F3E55">
        <w:t xml:space="preserve">phase </w:t>
      </w:r>
      <w:r w:rsidRPr="00496FB6" w:rsidR="001022FD">
        <w:t xml:space="preserve">trial. </w:t>
      </w:r>
      <w:r w:rsidRPr="00496FB6" w:rsidR="000625AE">
        <w:t xml:space="preserve"> </w:t>
      </w:r>
      <w:r w:rsidRPr="00496FB6" w:rsidR="00BB6C66">
        <w:t xml:space="preserve">One videotape pertained </w:t>
      </w:r>
      <w:r w:rsidRPr="00496FB6" w:rsidR="008219DD">
        <w:t xml:space="preserve">to expert testimony the defense intended to present on </w:t>
      </w:r>
      <w:r w:rsidRPr="00496FB6" w:rsidR="00B90504">
        <w:t xml:space="preserve">attachment theory, </w:t>
      </w:r>
      <w:r w:rsidRPr="00496FB6" w:rsidR="0023075C">
        <w:t xml:space="preserve">including a discussion of </w:t>
      </w:r>
      <w:r w:rsidRPr="00496FB6" w:rsidR="00742EE6">
        <w:t xml:space="preserve">a </w:t>
      </w:r>
      <w:r w:rsidRPr="00496FB6" w:rsidR="0023075C">
        <w:t xml:space="preserve">study in which monkeys were deprived of contact with their mothers.  </w:t>
      </w:r>
      <w:r w:rsidRPr="00496FB6" w:rsidR="00F1439E">
        <w:t xml:space="preserve">The defense </w:t>
      </w:r>
      <w:r w:rsidRPr="00496FB6" w:rsidR="00FE0301">
        <w:t xml:space="preserve">also </w:t>
      </w:r>
      <w:r w:rsidRPr="00496FB6" w:rsidR="00F1439E">
        <w:t xml:space="preserve">sought to play a </w:t>
      </w:r>
      <w:r w:rsidRPr="00496FB6" w:rsidR="00FE0301">
        <w:t xml:space="preserve">second </w:t>
      </w:r>
      <w:r w:rsidRPr="00496FB6" w:rsidR="00F1439E">
        <w:t xml:space="preserve">videotape that would contrast the differences between </w:t>
      </w:r>
      <w:r w:rsidRPr="00496FB6" w:rsidR="00A24BC5">
        <w:t>defendant</w:t>
      </w:r>
      <w:r w:rsidRPr="00496FB6" w:rsidR="00F1439E">
        <w:t>’s upbringing and</w:t>
      </w:r>
      <w:r w:rsidRPr="00496FB6" w:rsidR="00713CAF">
        <w:t xml:space="preserve"> </w:t>
      </w:r>
      <w:r w:rsidRPr="00496FB6" w:rsidR="008934B2">
        <w:t>that</w:t>
      </w:r>
      <w:r w:rsidRPr="00496FB6" w:rsidR="00713CAF">
        <w:t xml:space="preserve"> of </w:t>
      </w:r>
      <w:r w:rsidRPr="00496FB6" w:rsidR="00F1439E">
        <w:t>his</w:t>
      </w:r>
      <w:r w:rsidRPr="00496FB6" w:rsidR="00713CAF">
        <w:t xml:space="preserve"> brother</w:t>
      </w:r>
      <w:r w:rsidRPr="00496FB6" w:rsidR="00DF596E">
        <w:t>, who was raised in a different household</w:t>
      </w:r>
      <w:r w:rsidRPr="00496FB6" w:rsidR="008934B2">
        <w:t xml:space="preserve">.  Defense counsel explained that </w:t>
      </w:r>
      <w:r w:rsidRPr="00496FB6" w:rsidR="00A24BC5">
        <w:t>defendant</w:t>
      </w:r>
      <w:r w:rsidRPr="00496FB6" w:rsidR="008934B2">
        <w:t xml:space="preserve">’s brother “was raised </w:t>
      </w:r>
      <w:r w:rsidRPr="00496FB6" w:rsidR="0079103C">
        <w:t>in a l</w:t>
      </w:r>
      <w:r w:rsidRPr="00496FB6" w:rsidR="00225493">
        <w:t>o</w:t>
      </w:r>
      <w:r w:rsidRPr="00496FB6" w:rsidR="0079103C">
        <w:t xml:space="preserve">ving, nurturing and committed environment, whereas </w:t>
      </w:r>
      <w:r w:rsidRPr="00496FB6" w:rsidR="001C2D4A">
        <w:t>[</w:t>
      </w:r>
      <w:r w:rsidRPr="00496FB6" w:rsidR="00A24BC5">
        <w:t>defendant</w:t>
      </w:r>
      <w:r w:rsidRPr="00496FB6" w:rsidR="00225493">
        <w:t>’s</w:t>
      </w:r>
      <w:r w:rsidRPr="00496FB6" w:rsidR="004D76B0">
        <w:t xml:space="preserve"> upbri</w:t>
      </w:r>
      <w:r w:rsidRPr="00496FB6" w:rsidR="002603C4">
        <w:t>ng</w:t>
      </w:r>
      <w:r w:rsidRPr="00496FB6" w:rsidR="004D76B0">
        <w:t>ing</w:t>
      </w:r>
      <w:r w:rsidRPr="00496FB6" w:rsidR="001C2D4A">
        <w:t>]</w:t>
      </w:r>
      <w:r w:rsidRPr="00496FB6" w:rsidR="0079103C">
        <w:t xml:space="preserve"> took a </w:t>
      </w:r>
      <w:r w:rsidRPr="00496FB6" w:rsidR="007E7CED">
        <w:t xml:space="preserve">different direction.” </w:t>
      </w:r>
      <w:r w:rsidRPr="00496FB6" w:rsidR="00506B5E">
        <w:t xml:space="preserve"> </w:t>
      </w:r>
      <w:r w:rsidRPr="00496FB6" w:rsidR="007E7CED">
        <w:t xml:space="preserve">During the discussion of this second videotape, </w:t>
      </w:r>
      <w:r w:rsidRPr="00496FB6" w:rsidR="00A24BC5">
        <w:t>defendant</w:t>
      </w:r>
      <w:r w:rsidRPr="00496FB6" w:rsidR="007C514A">
        <w:t xml:space="preserve"> interjected and </w:t>
      </w:r>
      <w:r w:rsidRPr="00496FB6">
        <w:t xml:space="preserve">stated, “I object to this, and I’m putting in a motion to appoint new counsel.” </w:t>
      </w:r>
      <w:r w:rsidRPr="00496FB6" w:rsidR="00506B5E">
        <w:t xml:space="preserve"> </w:t>
      </w:r>
    </w:p>
    <w:p w:rsidR="00D65E67" w:rsidRPr="00496FB6" w:rsidP="006D6AB5" w14:paraId="5325DE14" w14:textId="7E60AFD3">
      <w:pPr>
        <w:ind w:firstLine="720"/>
      </w:pPr>
      <w:r w:rsidRPr="00496FB6">
        <w:t xml:space="preserve">The court responded that it would hear </w:t>
      </w:r>
      <w:r w:rsidRPr="00496FB6" w:rsidR="00A24BC5">
        <w:t>defendant</w:t>
      </w:r>
      <w:r w:rsidRPr="00496FB6">
        <w:t xml:space="preserve">’s motion after </w:t>
      </w:r>
      <w:r w:rsidRPr="00496FB6" w:rsidR="00225493">
        <w:t xml:space="preserve">defense </w:t>
      </w:r>
      <w:r w:rsidRPr="00496FB6">
        <w:t xml:space="preserve">counsel finished her presentation.  </w:t>
      </w:r>
      <w:r w:rsidRPr="00496FB6" w:rsidR="00905D4A">
        <w:t xml:space="preserve">Defense counsel continued </w:t>
      </w:r>
      <w:r w:rsidRPr="00496FB6" w:rsidR="0019223E">
        <w:t>discussing the differences in the</w:t>
      </w:r>
      <w:r w:rsidRPr="00496FB6" w:rsidR="00AC4FBE">
        <w:t xml:space="preserve"> household</w:t>
      </w:r>
      <w:r w:rsidRPr="00496FB6" w:rsidR="008914A4">
        <w:t xml:space="preserve">s in which </w:t>
      </w:r>
      <w:r w:rsidRPr="00496FB6" w:rsidR="00A24BC5">
        <w:t>defendant</w:t>
      </w:r>
      <w:r w:rsidRPr="00496FB6" w:rsidR="008914A4">
        <w:t xml:space="preserve"> and his brother were raised</w:t>
      </w:r>
      <w:r w:rsidRPr="00496FB6" w:rsidR="00AC4FBE">
        <w:t xml:space="preserve">. </w:t>
      </w:r>
      <w:r w:rsidRPr="00496FB6" w:rsidR="00C04282">
        <w:t xml:space="preserve"> </w:t>
      </w:r>
      <w:r w:rsidRPr="00496FB6" w:rsidR="00005DDB">
        <w:t xml:space="preserve">After counsel described one member of </w:t>
      </w:r>
      <w:r w:rsidRPr="00496FB6" w:rsidR="00A24BC5">
        <w:t>defendant</w:t>
      </w:r>
      <w:r w:rsidRPr="00496FB6" w:rsidR="00005DDB">
        <w:t xml:space="preserve">’s household as “dysfunctional,” and a second as “bipolar,” </w:t>
      </w:r>
      <w:r w:rsidRPr="00496FB6" w:rsidR="00A24BC5">
        <w:t>defendant</w:t>
      </w:r>
      <w:r w:rsidRPr="00496FB6" w:rsidR="00005DDB">
        <w:t xml:space="preserve"> interjected, “Your Honor, I object again</w:t>
      </w:r>
      <w:r w:rsidRPr="00496FB6" w:rsidR="00311E87">
        <w:t>,</w:t>
      </w:r>
      <w:r w:rsidRPr="00496FB6" w:rsidR="00005DDB">
        <w:t xml:space="preserve"> and I move for a mistrial because my motion for appoint</w:t>
      </w:r>
      <w:r w:rsidRPr="00496FB6" w:rsidR="00225493">
        <w:t xml:space="preserve">ment </w:t>
      </w:r>
      <w:r w:rsidRPr="00496FB6" w:rsidR="00005DDB">
        <w:t>of counsel is not being heard.</w:t>
      </w:r>
      <w:r w:rsidRPr="00496FB6" w:rsidR="00E9283A">
        <w:t>”</w:t>
      </w:r>
      <w:r w:rsidRPr="00496FB6" w:rsidR="00005DDB">
        <w:t xml:space="preserve"> </w:t>
      </w:r>
      <w:r w:rsidRPr="00496FB6" w:rsidR="00E53592">
        <w:t xml:space="preserve"> </w:t>
      </w:r>
      <w:r w:rsidRPr="00496FB6" w:rsidR="00005DDB">
        <w:t>The court responded, “It will be</w:t>
      </w:r>
      <w:r w:rsidRPr="00496FB6" w:rsidR="00311E87">
        <w:t>,</w:t>
      </w:r>
      <w:r w:rsidRPr="00496FB6" w:rsidR="00005DDB">
        <w:t xml:space="preserve"> sir, if you wish to renew it, but since you’re obviously upset, it seems to me, about some of the material you’re hearing, I’d like to make sure you hear it all.” </w:t>
      </w:r>
      <w:r w:rsidRPr="00496FB6" w:rsidR="00E9283A">
        <w:t xml:space="preserve"> </w:t>
      </w:r>
    </w:p>
    <w:p w:rsidR="00AE7817" w:rsidRPr="00496FB6" w:rsidP="00FF759F" w14:paraId="1C041458" w14:textId="2E99C7DB">
      <w:pPr>
        <w:ind w:firstLine="720"/>
      </w:pPr>
      <w:r w:rsidRPr="00496FB6">
        <w:t>Shortly thereafter, the following colloquy occurred:</w:t>
      </w:r>
    </w:p>
    <w:p w:rsidR="00D65E67" w:rsidRPr="00496FB6" w:rsidP="00FF759F" w14:paraId="29220BB0" w14:textId="02985D19">
      <w:pPr>
        <w:ind w:left="720" w:right="720"/>
      </w:pPr>
      <w:r w:rsidRPr="00496FB6">
        <w:t>“</w:t>
      </w:r>
      <w:r w:rsidRPr="00496FB6" w:rsidR="00A24BC5">
        <w:rPr>
          <w:caps/>
        </w:rPr>
        <w:t>The defenda</w:t>
      </w:r>
      <w:r w:rsidRPr="00496FB6" w:rsidR="00A24BC5">
        <w:t>NT:</w:t>
      </w:r>
      <w:r w:rsidRPr="00496FB6" w:rsidR="000625AE">
        <w:t xml:space="preserve"> </w:t>
      </w:r>
      <w:r w:rsidRPr="00496FB6">
        <w:t xml:space="preserve"> And I’ll be filing a </w:t>
      </w:r>
      <w:r w:rsidRPr="00496FB6">
        <w:rPr>
          <w:i/>
          <w:iCs/>
        </w:rPr>
        <w:t>Faretta</w:t>
      </w:r>
      <w:r w:rsidRPr="00496FB6">
        <w:t xml:space="preserve"> motion so you can hear that.</w:t>
      </w:r>
    </w:p>
    <w:p w:rsidR="009F7641" w:rsidRPr="00496FB6" w:rsidP="00FF759F" w14:paraId="62CBF5A2" w14:textId="2A384766">
      <w:pPr>
        <w:ind w:left="720" w:right="720"/>
      </w:pPr>
      <w:r w:rsidRPr="00496FB6">
        <w:t>“</w:t>
      </w:r>
      <w:r w:rsidRPr="00496FB6">
        <w:rPr>
          <w:caps/>
        </w:rPr>
        <w:t>The court</w:t>
      </w:r>
      <w:r w:rsidRPr="00496FB6">
        <w:t>:</w:t>
      </w:r>
      <w:r w:rsidRPr="00496FB6" w:rsidR="000625AE">
        <w:t xml:space="preserve"> </w:t>
      </w:r>
      <w:r w:rsidRPr="00496FB6">
        <w:t xml:space="preserve"> I’m going to let the parties put on a full record of what the current lawyers </w:t>
      </w:r>
      <w:r w:rsidRPr="00496FB6">
        <w:t>intend to offer and then I’ll listen to you.</w:t>
      </w:r>
    </w:p>
    <w:p w:rsidR="00905D4A" w:rsidRPr="00496FB6" w:rsidP="00FF759F" w14:paraId="61EB8DC6" w14:textId="4C17DA31">
      <w:pPr>
        <w:ind w:left="720" w:right="720"/>
      </w:pPr>
      <w:r w:rsidRPr="00496FB6">
        <w:t>“</w:t>
      </w:r>
      <w:r w:rsidRPr="00496FB6" w:rsidR="00A24BC5">
        <w:rPr>
          <w:caps/>
        </w:rPr>
        <w:t>The defendant</w:t>
      </w:r>
      <w:r w:rsidRPr="00496FB6">
        <w:t>:</w:t>
      </w:r>
      <w:r w:rsidRPr="00496FB6" w:rsidR="000625AE">
        <w:t xml:space="preserve"> </w:t>
      </w:r>
      <w:r w:rsidRPr="00496FB6" w:rsidR="00987BE9">
        <w:t xml:space="preserve"> I’d like to represent myself from this point forward.</w:t>
      </w:r>
    </w:p>
    <w:p w:rsidR="00987BE9" w:rsidRPr="00496FB6" w:rsidP="00FF759F" w14:paraId="4CFC4A0B" w14:textId="2F49602E">
      <w:pPr>
        <w:ind w:left="720" w:right="720"/>
      </w:pPr>
      <w:r w:rsidRPr="00496FB6">
        <w:t>“</w:t>
      </w:r>
      <w:r w:rsidRPr="00496FB6">
        <w:rPr>
          <w:caps/>
        </w:rPr>
        <w:t>The court</w:t>
      </w:r>
      <w:r w:rsidRPr="00496FB6">
        <w:t xml:space="preserve">: </w:t>
      </w:r>
      <w:r w:rsidRPr="00496FB6" w:rsidR="000625AE">
        <w:t xml:space="preserve"> </w:t>
      </w:r>
      <w:r w:rsidRPr="00496FB6">
        <w:t>I’m going to determine the point.  I’ll listen to that motion.</w:t>
      </w:r>
    </w:p>
    <w:p w:rsidR="00987BE9" w:rsidRPr="00496FB6" w:rsidP="00FF759F" w14:paraId="0A8A64EB" w14:textId="6E4151C2">
      <w:pPr>
        <w:ind w:left="720" w:right="720"/>
      </w:pPr>
      <w:r w:rsidRPr="00496FB6">
        <w:t>“</w:t>
      </w:r>
      <w:r w:rsidRPr="00496FB6" w:rsidR="00A24BC5">
        <w:rPr>
          <w:caps/>
        </w:rPr>
        <w:t>The Defendant</w:t>
      </w:r>
      <w:r w:rsidRPr="00496FB6" w:rsidR="00C2011F">
        <w:t xml:space="preserve">: </w:t>
      </w:r>
      <w:r w:rsidRPr="00496FB6" w:rsidR="000625AE">
        <w:t xml:space="preserve"> </w:t>
      </w:r>
      <w:r w:rsidRPr="00496FB6" w:rsidR="00B748BB">
        <w:t xml:space="preserve">Then I move for a mistrial for the </w:t>
      </w:r>
      <w:r w:rsidR="00E67895">
        <w:t>[c]</w:t>
      </w:r>
      <w:r w:rsidRPr="00496FB6" w:rsidR="00B748BB">
        <w:t>ourt denying me my Sixth Amendment right to represent myself.</w:t>
      </w:r>
    </w:p>
    <w:p w:rsidR="005138B8" w:rsidRPr="00496FB6" w:rsidP="00FF759F" w14:paraId="523D7361" w14:textId="773B1CEC">
      <w:pPr>
        <w:ind w:left="720" w:right="720"/>
      </w:pPr>
      <w:r w:rsidRPr="00496FB6">
        <w:t>“</w:t>
      </w:r>
      <w:r w:rsidRPr="00496FB6">
        <w:rPr>
          <w:caps/>
        </w:rPr>
        <w:t>The court</w:t>
      </w:r>
      <w:r w:rsidRPr="00496FB6">
        <w:t>:</w:t>
      </w:r>
      <w:r w:rsidRPr="00496FB6" w:rsidR="000625AE">
        <w:t xml:space="preserve"> </w:t>
      </w:r>
      <w:r w:rsidRPr="00496FB6">
        <w:t xml:space="preserve"> Any motion for a mistrial at this point is denied.” </w:t>
      </w:r>
      <w:r w:rsidRPr="00496FB6" w:rsidR="00287C3E">
        <w:t xml:space="preserve"> </w:t>
      </w:r>
    </w:p>
    <w:p w:rsidR="00E4229F" w:rsidRPr="00496FB6" w:rsidP="002259F6" w14:paraId="44B884AC" w14:textId="64770682">
      <w:pPr>
        <w:ind w:firstLine="720"/>
      </w:pPr>
      <w:r w:rsidRPr="00496FB6">
        <w:t>A</w:t>
      </w:r>
      <w:r w:rsidRPr="00496FB6" w:rsidR="00254E6C">
        <w:t xml:space="preserve">fter </w:t>
      </w:r>
      <w:r w:rsidRPr="00496FB6" w:rsidR="00A24BC5">
        <w:t>defendant</w:t>
      </w:r>
      <w:r w:rsidRPr="00496FB6" w:rsidR="00254E6C">
        <w:t xml:space="preserve"> </w:t>
      </w:r>
      <w:r w:rsidRPr="00496FB6" w:rsidR="008D4D2D">
        <w:t>continued to indicate</w:t>
      </w:r>
      <w:r w:rsidRPr="00496FB6" w:rsidR="00254E6C">
        <w:t xml:space="preserve"> a desire to be </w:t>
      </w:r>
      <w:r w:rsidRPr="00496FB6" w:rsidR="00EB36C5">
        <w:t xml:space="preserve">heard, </w:t>
      </w:r>
      <w:r w:rsidRPr="00496FB6" w:rsidR="00113897">
        <w:t xml:space="preserve">the court noted that </w:t>
      </w:r>
      <w:r w:rsidRPr="00496FB6" w:rsidR="00A24BC5">
        <w:t>defendant</w:t>
      </w:r>
      <w:r w:rsidRPr="00496FB6" w:rsidR="00EB36C5">
        <w:t xml:space="preserve"> appeared to be a “little animated, perhaps concerned</w:t>
      </w:r>
      <w:r w:rsidRPr="00496FB6" w:rsidR="0067106B">
        <w:t>.</w:t>
      </w:r>
      <w:r w:rsidRPr="00496FB6" w:rsidR="00EB36C5">
        <w:t xml:space="preserve">” </w:t>
      </w:r>
      <w:r w:rsidRPr="00496FB6" w:rsidR="008E03C6">
        <w:t xml:space="preserve"> </w:t>
      </w:r>
      <w:r w:rsidRPr="00496FB6" w:rsidR="0067106B">
        <w:t>T</w:t>
      </w:r>
      <w:r w:rsidRPr="00496FB6" w:rsidR="00EB36C5">
        <w:t>he court</w:t>
      </w:r>
      <w:r w:rsidRPr="00496FB6" w:rsidR="0067106B">
        <w:t xml:space="preserve"> recessed the hearing to allow </w:t>
      </w:r>
      <w:r w:rsidRPr="00496FB6" w:rsidR="00A24BC5">
        <w:t>defendant</w:t>
      </w:r>
      <w:r w:rsidRPr="00496FB6" w:rsidR="008E03C6">
        <w:t xml:space="preserve"> to speak with </w:t>
      </w:r>
      <w:r w:rsidRPr="00496FB6" w:rsidR="007A70E3">
        <w:t xml:space="preserve">his </w:t>
      </w:r>
      <w:r w:rsidRPr="00496FB6" w:rsidR="008E03C6">
        <w:t xml:space="preserve">counsel.  </w:t>
      </w:r>
    </w:p>
    <w:p w:rsidR="001B5E93" w:rsidP="002259F6" w14:paraId="21C12B63" w14:textId="7379A205">
      <w:pPr>
        <w:ind w:firstLine="720"/>
      </w:pPr>
      <w:r w:rsidRPr="00496FB6">
        <w:t xml:space="preserve">Upon resumption of the hearing, defense counsel indicated that </w:t>
      </w:r>
      <w:r w:rsidRPr="00496FB6" w:rsidR="00A24BC5">
        <w:t>defendant</w:t>
      </w:r>
      <w:r w:rsidRPr="00496FB6">
        <w:t xml:space="preserve"> wish</w:t>
      </w:r>
      <w:r w:rsidRPr="00496FB6" w:rsidR="00A5213E">
        <w:t>ed</w:t>
      </w:r>
      <w:r w:rsidRPr="00496FB6" w:rsidR="00087576">
        <w:t xml:space="preserve"> to make a </w:t>
      </w:r>
      <w:r w:rsidRPr="00496FB6" w:rsidR="00087576">
        <w:rPr>
          <w:i/>
          <w:iCs/>
        </w:rPr>
        <w:t>Marsden</w:t>
      </w:r>
      <w:r>
        <w:rPr>
          <w:rStyle w:val="FootnoteReference"/>
        </w:rPr>
        <w:footnoteReference w:id="21"/>
      </w:r>
      <w:r w:rsidRPr="00496FB6" w:rsidR="00087576">
        <w:t xml:space="preserve"> motion</w:t>
      </w:r>
      <w:r w:rsidRPr="00496FB6" w:rsidR="00803A7F">
        <w:t xml:space="preserve"> to </w:t>
      </w:r>
      <w:r w:rsidRPr="00496FB6" w:rsidR="0095110A">
        <w:t>discharge counsel and appoint</w:t>
      </w:r>
      <w:r w:rsidRPr="00496FB6" w:rsidR="00803A7F">
        <w:t xml:space="preserve"> substitute counsel</w:t>
      </w:r>
      <w:r w:rsidRPr="00496FB6" w:rsidR="00087576">
        <w:t xml:space="preserve">. </w:t>
      </w:r>
      <w:r w:rsidRPr="00496FB6" w:rsidR="00083B39">
        <w:t xml:space="preserve"> During the </w:t>
      </w:r>
      <w:r w:rsidRPr="00496FB6" w:rsidR="00083B39">
        <w:rPr>
          <w:i/>
          <w:iCs/>
        </w:rPr>
        <w:t>Marsden</w:t>
      </w:r>
      <w:r w:rsidRPr="00496FB6" w:rsidR="00083B39">
        <w:t xml:space="preserve"> hearing, </w:t>
      </w:r>
      <w:r w:rsidRPr="00496FB6" w:rsidR="00A24BC5">
        <w:t>defendant</w:t>
      </w:r>
      <w:r w:rsidRPr="00496FB6" w:rsidR="00083B39">
        <w:t xml:space="preserve"> </w:t>
      </w:r>
      <w:r>
        <w:t>stated</w:t>
      </w:r>
      <w:r w:rsidR="0011132D">
        <w:t xml:space="preserve"> that </w:t>
      </w:r>
      <w:r w:rsidRPr="00496FB6" w:rsidR="00CB095D">
        <w:t xml:space="preserve">he felt that the approach </w:t>
      </w:r>
      <w:r w:rsidRPr="00496FB6" w:rsidR="003A0136">
        <w:t xml:space="preserve">defense </w:t>
      </w:r>
      <w:r w:rsidRPr="00496FB6" w:rsidR="00CB095D">
        <w:t xml:space="preserve">counsel was taking during the penalty phase “misrepresent[ed]” </w:t>
      </w:r>
      <w:r w:rsidRPr="00496FB6" w:rsidR="007968EF">
        <w:t>him</w:t>
      </w:r>
      <w:r w:rsidRPr="00496FB6" w:rsidR="009F4AB5">
        <w:t>.</w:t>
      </w:r>
      <w:r w:rsidRPr="00496FB6" w:rsidR="007968EF">
        <w:t xml:space="preserve"> </w:t>
      </w:r>
      <w:r w:rsidRPr="00496FB6" w:rsidR="009F4AB5">
        <w:t xml:space="preserve"> </w:t>
      </w:r>
      <w:r w:rsidRPr="00496FB6" w:rsidR="00A24BC5">
        <w:t>Defendant</w:t>
      </w:r>
      <w:r w:rsidRPr="00496FB6" w:rsidR="009F4AB5">
        <w:t xml:space="preserve"> explained he was</w:t>
      </w:r>
      <w:r w:rsidRPr="00496FB6" w:rsidR="007968EF">
        <w:t xml:space="preserve"> “not trying to get by the legal system by presenting cheap emotionalism.”</w:t>
      </w:r>
      <w:r>
        <w:t xml:space="preserve">  </w:t>
      </w:r>
    </w:p>
    <w:p w:rsidR="00B95953" w:rsidRPr="00496FB6" w:rsidP="00B27A99" w14:paraId="3B287BB2" w14:textId="3728CA49">
      <w:pPr>
        <w:ind w:firstLine="720"/>
      </w:pPr>
      <w:r w:rsidRPr="001B5E93">
        <w:t xml:space="preserve">After </w:t>
      </w:r>
      <w:r w:rsidRPr="001B5E93" w:rsidR="00201F11">
        <w:t>permitting defense counsel to respond to defendant’s comments,</w:t>
      </w:r>
      <w:r w:rsidR="00201F11">
        <w:t xml:space="preserve"> t</w:t>
      </w:r>
      <w:r w:rsidRPr="00496FB6" w:rsidR="001921B0">
        <w:t>he c</w:t>
      </w:r>
      <w:r w:rsidRPr="00496FB6">
        <w:t>ourt denie</w:t>
      </w:r>
      <w:r w:rsidRPr="00496FB6" w:rsidR="001921B0">
        <w:t>d</w:t>
      </w:r>
      <w:r w:rsidRPr="00496FB6">
        <w:t xml:space="preserve"> </w:t>
      </w:r>
      <w:r w:rsidRPr="00496FB6" w:rsidR="00A24BC5">
        <w:t>defendant</w:t>
      </w:r>
      <w:r w:rsidRPr="00496FB6" w:rsidR="001921B0">
        <w:t xml:space="preserve">’s </w:t>
      </w:r>
      <w:r w:rsidRPr="00496FB6">
        <w:rPr>
          <w:i/>
          <w:iCs/>
        </w:rPr>
        <w:t>Marsden</w:t>
      </w:r>
      <w:r w:rsidRPr="00496FB6">
        <w:t xml:space="preserve"> </w:t>
      </w:r>
      <w:r w:rsidRPr="00496FB6" w:rsidR="001921B0">
        <w:t xml:space="preserve">motion.  </w:t>
      </w:r>
      <w:r w:rsidRPr="00496FB6" w:rsidR="00A24BC5">
        <w:t>Defendant</w:t>
      </w:r>
      <w:r w:rsidRPr="00496FB6">
        <w:t xml:space="preserve"> </w:t>
      </w:r>
      <w:r w:rsidRPr="00496FB6" w:rsidR="006144E8">
        <w:t xml:space="preserve">responded, “I’m not going to file a </w:t>
      </w:r>
      <w:r w:rsidRPr="00496FB6" w:rsidR="006144E8">
        <w:rPr>
          <w:i/>
          <w:iCs/>
        </w:rPr>
        <w:t>Faretta</w:t>
      </w:r>
      <w:r w:rsidRPr="00496FB6" w:rsidR="006144E8">
        <w:t xml:space="preserve"> motion today until </w:t>
      </w:r>
      <w:r w:rsidRPr="00496FB6" w:rsidR="003672AB">
        <w:t xml:space="preserve">I have a chance to confer with my remaining counsel.” </w:t>
      </w:r>
      <w:r w:rsidRPr="00496FB6" w:rsidR="00E53592">
        <w:t xml:space="preserve"> </w:t>
      </w:r>
    </w:p>
    <w:p w:rsidR="00DA73BE" w:rsidRPr="00496FB6" w:rsidP="00B27A99" w14:paraId="15D3B317" w14:textId="6B8BED1E">
      <w:pPr>
        <w:ind w:firstLine="720"/>
      </w:pPr>
      <w:r w:rsidRPr="00496FB6">
        <w:t xml:space="preserve">On July 31, the date the penalty phase trial was scheduled to commence, </w:t>
      </w:r>
      <w:r w:rsidRPr="00496FB6" w:rsidR="00A24BC5">
        <w:t>defendant</w:t>
      </w:r>
      <w:r w:rsidRPr="00496FB6" w:rsidR="00C92B7C">
        <w:t xml:space="preserve"> filed a handwritten motion requesting </w:t>
      </w:r>
      <w:r w:rsidRPr="00496FB6" w:rsidR="00BB50BE">
        <w:t xml:space="preserve">that he be allowed </w:t>
      </w:r>
      <w:r w:rsidRPr="00496FB6" w:rsidR="00C92B7C">
        <w:t>to represent himself</w:t>
      </w:r>
      <w:r w:rsidRPr="00496FB6" w:rsidR="00915FFF">
        <w:t>, along with an accompanying declaration and supporting brief</w:t>
      </w:r>
      <w:r w:rsidRPr="00496FB6" w:rsidR="00C92B7C">
        <w:t xml:space="preserve">. </w:t>
      </w:r>
      <w:r w:rsidRPr="00496FB6" w:rsidR="00194473">
        <w:t xml:space="preserve"> </w:t>
      </w:r>
      <w:r w:rsidRPr="00496FB6" w:rsidR="00915FFF">
        <w:t xml:space="preserve">In his declaration, </w:t>
      </w:r>
      <w:r w:rsidRPr="00496FB6" w:rsidR="00A24BC5">
        <w:t>defendant</w:t>
      </w:r>
      <w:r w:rsidRPr="00496FB6" w:rsidR="00915FFF">
        <w:t xml:space="preserve"> stated he was </w:t>
      </w:r>
      <w:r w:rsidRPr="00496FB6" w:rsidR="003A4D47">
        <w:t xml:space="preserve">voluntarily and intelligently requesting </w:t>
      </w:r>
      <w:r w:rsidR="006728E5">
        <w:t>permission</w:t>
      </w:r>
      <w:r w:rsidRPr="00496FB6" w:rsidR="003A4D47">
        <w:t xml:space="preserve"> to act as his own counsel</w:t>
      </w:r>
      <w:r w:rsidRPr="00496FB6" w:rsidR="00DD6A3C">
        <w:t xml:space="preserve"> and</w:t>
      </w:r>
      <w:r w:rsidRPr="00496FB6" w:rsidR="001002C4">
        <w:t xml:space="preserve"> he was aware of the dangers of proceeding without </w:t>
      </w:r>
      <w:r w:rsidRPr="00496FB6" w:rsidR="00C936E8">
        <w:t>court-</w:t>
      </w:r>
      <w:r w:rsidRPr="00496FB6" w:rsidR="001002C4">
        <w:t>appointed counsel</w:t>
      </w:r>
      <w:r w:rsidRPr="00496FB6" w:rsidR="003A4D47">
        <w:t xml:space="preserve">. </w:t>
      </w:r>
      <w:r w:rsidRPr="00496FB6" w:rsidR="00E53592">
        <w:t xml:space="preserve"> </w:t>
      </w:r>
      <w:r w:rsidRPr="00496FB6" w:rsidR="00A24BC5">
        <w:t>Defendant</w:t>
      </w:r>
      <w:r w:rsidRPr="00496FB6" w:rsidR="00222522">
        <w:t xml:space="preserve"> also </w:t>
      </w:r>
      <w:r w:rsidR="006728E5">
        <w:t>asserted that</w:t>
      </w:r>
      <w:r w:rsidRPr="00496FB6" w:rsidR="00222522">
        <w:t xml:space="preserve"> </w:t>
      </w:r>
      <w:r w:rsidR="006728E5">
        <w:t xml:space="preserve">his </w:t>
      </w:r>
      <w:r w:rsidRPr="00496FB6" w:rsidR="00222522">
        <w:t xml:space="preserve">motion was timely. </w:t>
      </w:r>
      <w:r w:rsidRPr="00496FB6" w:rsidR="00225493">
        <w:t xml:space="preserve"> </w:t>
      </w:r>
    </w:p>
    <w:p w:rsidR="004244F9" w:rsidRPr="00496FB6" w:rsidP="00B27A99" w14:paraId="69F7FC73" w14:textId="41211D31">
      <w:pPr>
        <w:ind w:firstLine="720"/>
      </w:pPr>
      <w:r w:rsidRPr="00496FB6">
        <w:t>T</w:t>
      </w:r>
      <w:r w:rsidRPr="00496FB6" w:rsidR="00C85E90">
        <w:t xml:space="preserve">he </w:t>
      </w:r>
      <w:r w:rsidRPr="00496FB6">
        <w:t xml:space="preserve">trial </w:t>
      </w:r>
      <w:r w:rsidRPr="00496FB6" w:rsidR="00C016D5">
        <w:t xml:space="preserve">court </w:t>
      </w:r>
      <w:r w:rsidRPr="00496FB6">
        <w:t>held a hearing on the motion, noting at the outset that given</w:t>
      </w:r>
      <w:r w:rsidRPr="00496FB6" w:rsidR="00E50890">
        <w:t xml:space="preserve"> the procedural posture of the </w:t>
      </w:r>
      <w:r w:rsidRPr="00496FB6">
        <w:t>matter</w:t>
      </w:r>
      <w:r w:rsidRPr="00496FB6" w:rsidR="00E50890">
        <w:t xml:space="preserve">, “under case law this is not timely.” </w:t>
      </w:r>
      <w:r w:rsidRPr="00496FB6" w:rsidR="00225493">
        <w:t xml:space="preserve"> </w:t>
      </w:r>
      <w:r w:rsidRPr="00496FB6" w:rsidR="00DF19CF">
        <w:t>T</w:t>
      </w:r>
      <w:r w:rsidRPr="00496FB6" w:rsidR="00536228">
        <w:t>he court explained that the untimely nature of the motion was “not the end of</w:t>
      </w:r>
      <w:r w:rsidRPr="00496FB6" w:rsidR="003A34D6">
        <w:t xml:space="preserve"> the</w:t>
      </w:r>
      <w:r w:rsidRPr="00496FB6" w:rsidR="00536228">
        <w:t xml:space="preserve"> considerations,” </w:t>
      </w:r>
      <w:r w:rsidRPr="00496FB6" w:rsidR="00DF19CF">
        <w:t>but that it must</w:t>
      </w:r>
      <w:r w:rsidRPr="00496FB6" w:rsidR="00536228">
        <w:t xml:space="preserve"> be considered.  </w:t>
      </w:r>
      <w:r w:rsidRPr="00496FB6" w:rsidR="00A24BC5">
        <w:t>Defendant</w:t>
      </w:r>
      <w:r w:rsidRPr="00496FB6" w:rsidR="00DF2EE3">
        <w:t xml:space="preserve"> </w:t>
      </w:r>
      <w:r w:rsidR="0008566F">
        <w:t>noted</w:t>
      </w:r>
      <w:r w:rsidRPr="00496FB6" w:rsidR="00DF2EE3">
        <w:t xml:space="preserve"> his motion </w:t>
      </w:r>
      <w:r w:rsidRPr="00496FB6" w:rsidR="006D475F">
        <w:t xml:space="preserve">seeking to represent himself </w:t>
      </w:r>
      <w:r w:rsidRPr="00496FB6" w:rsidR="00DF2EE3">
        <w:t xml:space="preserve">was </w:t>
      </w:r>
      <w:r w:rsidRPr="00496FB6" w:rsidR="006D475F">
        <w:t>based</w:t>
      </w:r>
      <w:r w:rsidRPr="00496FB6" w:rsidR="00CF6670">
        <w:t xml:space="preserve"> in part</w:t>
      </w:r>
      <w:r w:rsidRPr="00496FB6" w:rsidR="006D475F">
        <w:t xml:space="preserve"> on his disagreement </w:t>
      </w:r>
      <w:r w:rsidRPr="00496FB6" w:rsidR="001C27AE">
        <w:t>with</w:t>
      </w:r>
      <w:r w:rsidRPr="00496FB6" w:rsidR="006D475F">
        <w:t xml:space="preserve"> </w:t>
      </w:r>
      <w:r w:rsidRPr="00496FB6" w:rsidR="009256E0">
        <w:t xml:space="preserve">“appointed counsel’s intention to mitigate the why of </w:t>
      </w:r>
      <w:r w:rsidRPr="00496FB6" w:rsidR="00B0510D">
        <w:t>t</w:t>
      </w:r>
      <w:r w:rsidRPr="00496FB6" w:rsidR="009256E0">
        <w:t xml:space="preserve">his sickening crime I’ve been convicted of.” </w:t>
      </w:r>
      <w:r w:rsidRPr="00496FB6" w:rsidR="00225493">
        <w:t xml:space="preserve"> </w:t>
      </w:r>
      <w:r w:rsidR="00660F8B">
        <w:t>He</w:t>
      </w:r>
      <w:r w:rsidRPr="00496FB6" w:rsidR="003B7ED3">
        <w:t xml:space="preserve"> </w:t>
      </w:r>
      <w:r w:rsidR="00C935BA">
        <w:t>stated</w:t>
      </w:r>
      <w:r w:rsidRPr="00496FB6" w:rsidR="003B7ED3">
        <w:t xml:space="preserve"> that</w:t>
      </w:r>
      <w:r w:rsidR="00660F8B">
        <w:t>, in</w:t>
      </w:r>
      <w:r w:rsidRPr="00496FB6" w:rsidR="003B7ED3">
        <w:t xml:space="preserve"> </w:t>
      </w:r>
      <w:r w:rsidRPr="00496FB6" w:rsidR="00482764">
        <w:t>his view</w:t>
      </w:r>
      <w:r w:rsidR="00660F8B">
        <w:t>,</w:t>
      </w:r>
      <w:r w:rsidRPr="00496FB6" w:rsidR="00482764">
        <w:t xml:space="preserve"> </w:t>
      </w:r>
      <w:r w:rsidRPr="00496FB6" w:rsidR="003B7ED3">
        <w:t xml:space="preserve">“promoting the theory that </w:t>
      </w:r>
      <w:r w:rsidR="002A11F9">
        <w:t>[he is]</w:t>
      </w:r>
      <w:r w:rsidRPr="00496FB6" w:rsidR="003B7ED3">
        <w:t xml:space="preserve"> a product of a dysfunctional </w:t>
      </w:r>
      <w:r w:rsidRPr="00496FB6" w:rsidR="00A821D8">
        <w:t xml:space="preserve">family while projecting images of maternally-deprived apes is likely to be considered by the jury as pure monkey business rather than [a] mitigating factor.” </w:t>
      </w:r>
      <w:r w:rsidRPr="00496FB6" w:rsidR="00CF6670">
        <w:t xml:space="preserve"> </w:t>
      </w:r>
      <w:r w:rsidRPr="00496FB6" w:rsidR="00A24BC5">
        <w:t>Defendant</w:t>
      </w:r>
      <w:r w:rsidRPr="00496FB6" w:rsidR="00CF6670">
        <w:t xml:space="preserve"> explained that, instead, he</w:t>
      </w:r>
      <w:r w:rsidRPr="00496FB6" w:rsidR="00C2439A">
        <w:t xml:space="preserve"> wished to present to the jury evidence of “how </w:t>
      </w:r>
      <w:r w:rsidRPr="00496FB6" w:rsidR="00A067A5">
        <w:t>[his]</w:t>
      </w:r>
      <w:r w:rsidRPr="00496FB6" w:rsidR="00C2439A">
        <w:t xml:space="preserve"> friends and loved ones will be affected if [the jury] decided to have </w:t>
      </w:r>
      <w:r w:rsidRPr="00496FB6" w:rsidR="00A067A5">
        <w:t>[him]</w:t>
      </w:r>
      <w:r w:rsidRPr="00496FB6" w:rsidR="00C2439A">
        <w:t xml:space="preserve"> executed.” </w:t>
      </w:r>
      <w:r w:rsidRPr="00496FB6" w:rsidR="00482764">
        <w:t xml:space="preserve"> </w:t>
      </w:r>
      <w:r w:rsidRPr="00496FB6" w:rsidR="00A24BC5">
        <w:t>Defendant</w:t>
      </w:r>
      <w:r w:rsidRPr="00496FB6">
        <w:t xml:space="preserve"> added that if the court were to gran</w:t>
      </w:r>
      <w:r w:rsidRPr="00496FB6" w:rsidR="00DC6D2D">
        <w:t>t</w:t>
      </w:r>
      <w:r w:rsidRPr="00496FB6">
        <w:t xml:space="preserve"> his motion he did not </w:t>
      </w:r>
      <w:r w:rsidRPr="00496FB6" w:rsidR="001C27AE">
        <w:t>“</w:t>
      </w:r>
      <w:r w:rsidRPr="00496FB6">
        <w:t xml:space="preserve">anticipate any delays or disruptions which will take this final phase beyond the time frame that defense counsel has already estimated.” </w:t>
      </w:r>
      <w:r w:rsidRPr="00496FB6" w:rsidR="005A4B25">
        <w:t xml:space="preserve"> </w:t>
      </w:r>
    </w:p>
    <w:p w:rsidR="003071E1" w:rsidRPr="00496FB6" w:rsidP="00F20BA6" w14:paraId="74F2B195" w14:textId="17D00114">
      <w:pPr>
        <w:ind w:firstLine="720"/>
      </w:pPr>
      <w:r w:rsidRPr="00496FB6">
        <w:t>The trial court denied def</w:t>
      </w:r>
      <w:r w:rsidRPr="00496FB6">
        <w:t xml:space="preserve">endant’s motion, </w:t>
      </w:r>
      <w:r w:rsidRPr="00496FB6" w:rsidR="00A6033A">
        <w:t>emphasiz</w:t>
      </w:r>
      <w:r w:rsidRPr="00496FB6" w:rsidR="0096249D">
        <w:t>ing</w:t>
      </w:r>
      <w:r w:rsidRPr="00496FB6" w:rsidR="00A6033A">
        <w:t xml:space="preserve"> </w:t>
      </w:r>
      <w:r w:rsidRPr="00496FB6">
        <w:t>it</w:t>
      </w:r>
      <w:r w:rsidRPr="00496FB6" w:rsidR="00A6033A">
        <w:t xml:space="preserve"> was not timely</w:t>
      </w:r>
      <w:r w:rsidRPr="00496FB6" w:rsidR="00831D5D">
        <w:t>.  The court stated</w:t>
      </w:r>
      <w:r w:rsidRPr="00496FB6" w:rsidR="00A6033A">
        <w:t>:</w:t>
      </w:r>
      <w:r w:rsidRPr="00496FB6" w:rsidR="000625AE">
        <w:t xml:space="preserve"> </w:t>
      </w:r>
      <w:r w:rsidRPr="00496FB6" w:rsidR="00A6033A">
        <w:t xml:space="preserve"> </w:t>
      </w:r>
      <w:r w:rsidRPr="00496FB6" w:rsidR="00C7607F">
        <w:t>“[W]ithout reciting the history of this trial, this case took five or six weeks to pick a jury, five or six weeks to try.  We’ve had an interval of five weeks.  We’ve had by [defense coun</w:t>
      </w:r>
      <w:r w:rsidRPr="00496FB6" w:rsidR="0053083E">
        <w:t>s</w:t>
      </w:r>
      <w:r w:rsidRPr="00496FB6" w:rsidR="00C7607F">
        <w:t xml:space="preserve">el’s] assessment, large amounts of detail, exhaustive preparation.  Neither </w:t>
      </w:r>
      <w:r w:rsidRPr="00496FB6" w:rsidR="00A24BC5">
        <w:t>[defendant]</w:t>
      </w:r>
      <w:r w:rsidRPr="00496FB6" w:rsidR="00C7607F">
        <w:t xml:space="preserve"> nor I no</w:t>
      </w:r>
      <w:r w:rsidRPr="00496FB6" w:rsidR="00897462">
        <w:t xml:space="preserve">r </w:t>
      </w:r>
      <w:r w:rsidRPr="00496FB6" w:rsidR="00C7607F">
        <w:t xml:space="preserve">counsel can predict what the results of that preparation will be, but the point is it appears to be extensive, relevant, and intensive.” </w:t>
      </w:r>
      <w:r w:rsidRPr="00496FB6" w:rsidR="006012C1">
        <w:t xml:space="preserve"> </w:t>
      </w:r>
      <w:r w:rsidRPr="00496FB6" w:rsidR="00C7607F">
        <w:t xml:space="preserve">The trial court also ruled that </w:t>
      </w:r>
      <w:r w:rsidRPr="00496FB6" w:rsidR="00A24BC5">
        <w:t>defendant</w:t>
      </w:r>
      <w:r w:rsidRPr="00496FB6" w:rsidR="00C7607F">
        <w:t xml:space="preserve">’s request was equivocal. </w:t>
      </w:r>
      <w:r w:rsidRPr="00496FB6" w:rsidR="005A480B">
        <w:t xml:space="preserve"> </w:t>
      </w:r>
      <w:r w:rsidRPr="00496FB6" w:rsidR="00831D5D">
        <w:t>It</w:t>
      </w:r>
      <w:r w:rsidRPr="00496FB6" w:rsidR="005A480B">
        <w:t xml:space="preserve"> </w:t>
      </w:r>
      <w:r w:rsidRPr="00496FB6" w:rsidR="001D5993">
        <w:t>characterized</w:t>
      </w:r>
      <w:r w:rsidRPr="00496FB6" w:rsidR="005A480B">
        <w:t xml:space="preserve"> </w:t>
      </w:r>
      <w:r w:rsidRPr="00496FB6" w:rsidR="00A24BC5">
        <w:t>defendant</w:t>
      </w:r>
      <w:r w:rsidRPr="00496FB6" w:rsidR="00B206C9">
        <w:t xml:space="preserve"> </w:t>
      </w:r>
      <w:r w:rsidRPr="00496FB6" w:rsidR="001D5993">
        <w:t xml:space="preserve">as </w:t>
      </w:r>
      <w:r w:rsidRPr="00496FB6" w:rsidR="00B26410">
        <w:t xml:space="preserve">not satisfied with counsel’s planned approach during the penalty phase and that he was </w:t>
      </w:r>
      <w:r w:rsidRPr="00496FB6" w:rsidR="005A480B">
        <w:t>“angry” and “upset</w:t>
      </w:r>
      <w:r w:rsidRPr="00496FB6" w:rsidR="00ED414B">
        <w:t>.</w:t>
      </w:r>
      <w:r w:rsidRPr="00496FB6" w:rsidR="005A480B">
        <w:t>”</w:t>
      </w:r>
      <w:r w:rsidRPr="00496FB6" w:rsidR="00A11D0E">
        <w:t xml:space="preserve"> </w:t>
      </w:r>
      <w:r w:rsidRPr="00496FB6" w:rsidR="00A067A5">
        <w:t xml:space="preserve"> </w:t>
      </w:r>
    </w:p>
    <w:p w:rsidR="00A067A5" w:rsidRPr="00496FB6" w:rsidP="00496FB6" w14:paraId="45FC30EF" w14:textId="1F67ED1F">
      <w:pPr>
        <w:ind w:firstLine="720"/>
      </w:pPr>
      <w:r w:rsidRPr="00496FB6">
        <w:t>Immediately following the court’s denial of his motion</w:t>
      </w:r>
      <w:r w:rsidRPr="00496FB6">
        <w:t xml:space="preserve">, </w:t>
      </w:r>
      <w:r w:rsidRPr="00496FB6" w:rsidR="00A24BC5">
        <w:t>defendant</w:t>
      </w:r>
      <w:r w:rsidRPr="00496FB6" w:rsidR="00A10A42">
        <w:t xml:space="preserve"> moved for a mistrial</w:t>
      </w:r>
      <w:r w:rsidR="00D71060">
        <w:t>.</w:t>
      </w:r>
      <w:r w:rsidRPr="00496FB6">
        <w:t xml:space="preserve"> </w:t>
      </w:r>
      <w:r w:rsidRPr="00496FB6" w:rsidR="00B143BF">
        <w:t xml:space="preserve"> </w:t>
      </w:r>
      <w:r w:rsidRPr="00496FB6" w:rsidR="005961FF">
        <w:t>T</w:t>
      </w:r>
      <w:r w:rsidRPr="00496FB6" w:rsidR="001E29F2">
        <w:t>he court</w:t>
      </w:r>
      <w:r w:rsidRPr="00496FB6" w:rsidR="005961FF">
        <w:t xml:space="preserve"> denied the motion</w:t>
      </w:r>
      <w:r w:rsidRPr="00496FB6" w:rsidR="001D5993">
        <w:t xml:space="preserve">, </w:t>
      </w:r>
      <w:r w:rsidRPr="004F1C56" w:rsidR="0066088D">
        <w:t xml:space="preserve">pointing to the likely </w:t>
      </w:r>
      <w:r w:rsidRPr="004F1C56" w:rsidR="00D13902">
        <w:t>d</w:t>
      </w:r>
      <w:r w:rsidRPr="004F1C56" w:rsidR="00AE1778">
        <w:t xml:space="preserve">elay </w:t>
      </w:r>
      <w:r w:rsidR="003B7A9C">
        <w:t xml:space="preserve">in </w:t>
      </w:r>
      <w:r w:rsidRPr="004F1C56" w:rsidR="00AE1778">
        <w:t>proceedings</w:t>
      </w:r>
      <w:r w:rsidRPr="004F1C56" w:rsidR="00532E3C">
        <w:t xml:space="preserve"> that granting the motion would engender</w:t>
      </w:r>
      <w:r w:rsidR="00AE1778">
        <w:t xml:space="preserve">. </w:t>
      </w:r>
      <w:r w:rsidR="008F3EAE">
        <w:t xml:space="preserve"> </w:t>
      </w:r>
    </w:p>
    <w:p w:rsidR="00A067A5" w:rsidRPr="00496FB6" w:rsidP="00F20BA6" w14:paraId="0006839E" w14:textId="7206927C">
      <w:pPr>
        <w:ind w:firstLine="720"/>
      </w:pPr>
      <w:r w:rsidRPr="00496FB6">
        <w:t>O</w:t>
      </w:r>
      <w:r w:rsidRPr="00496FB6" w:rsidR="006439C4">
        <w:t xml:space="preserve">n August 1, </w:t>
      </w:r>
      <w:r w:rsidRPr="00496FB6" w:rsidR="006012C1">
        <w:t>d</w:t>
      </w:r>
      <w:r w:rsidRPr="00496FB6" w:rsidR="00A24BC5">
        <w:t>efendant</w:t>
      </w:r>
      <w:r w:rsidRPr="00496FB6" w:rsidR="006439C4">
        <w:t xml:space="preserve"> asked the court to r</w:t>
      </w:r>
      <w:r w:rsidRPr="00496FB6" w:rsidR="00FB2962">
        <w:t xml:space="preserve">econsider its ruling </w:t>
      </w:r>
      <w:r w:rsidRPr="00496FB6" w:rsidR="00A72CCF">
        <w:t>denying</w:t>
      </w:r>
      <w:r w:rsidRPr="00496FB6" w:rsidR="00FB2962">
        <w:t xml:space="preserve"> his motion for self</w:t>
      </w:r>
      <w:r w:rsidRPr="00496FB6" w:rsidR="00AA7584">
        <w:t>-</w:t>
      </w:r>
      <w:r w:rsidRPr="00496FB6" w:rsidR="00FB2962">
        <w:t xml:space="preserve">representation. </w:t>
      </w:r>
      <w:r w:rsidRPr="00496FB6" w:rsidR="00AA7584">
        <w:t xml:space="preserve"> </w:t>
      </w:r>
      <w:r w:rsidRPr="00496FB6" w:rsidR="00A24BC5">
        <w:t>Defendant</w:t>
      </w:r>
      <w:r w:rsidRPr="00496FB6" w:rsidR="0050561F">
        <w:t xml:space="preserve"> argued the court had </w:t>
      </w:r>
      <w:r w:rsidRPr="00496FB6" w:rsidR="00E02824">
        <w:t xml:space="preserve">failed to conduct a “sua sponte inquiry” </w:t>
      </w:r>
      <w:r w:rsidRPr="00496FB6" w:rsidR="00E87A00">
        <w:t>in denying his motion</w:t>
      </w:r>
      <w:r w:rsidRPr="00496FB6" w:rsidR="006831F3">
        <w:t xml:space="preserve">. </w:t>
      </w:r>
      <w:r w:rsidRPr="00496FB6" w:rsidR="00E87A00">
        <w:t xml:space="preserve"> </w:t>
      </w:r>
      <w:r w:rsidRPr="00496FB6" w:rsidR="00E6422D">
        <w:t>D</w:t>
      </w:r>
      <w:r w:rsidRPr="00496FB6" w:rsidR="006831F3">
        <w:t xml:space="preserve">efendant </w:t>
      </w:r>
      <w:r w:rsidRPr="00496FB6" w:rsidR="00E6422D">
        <w:t xml:space="preserve">maintained </w:t>
      </w:r>
      <w:r w:rsidRPr="00496FB6" w:rsidR="00E02824">
        <w:t xml:space="preserve">the court was </w:t>
      </w:r>
      <w:r w:rsidRPr="00496FB6" w:rsidR="00E6422D">
        <w:t xml:space="preserve">therefore </w:t>
      </w:r>
      <w:r w:rsidRPr="00496FB6" w:rsidR="001D05A4">
        <w:t xml:space="preserve">“unaware” that </w:t>
      </w:r>
      <w:r w:rsidRPr="00496FB6" w:rsidR="00E6422D">
        <w:t>he</w:t>
      </w:r>
      <w:r w:rsidRPr="00496FB6" w:rsidR="001D05A4">
        <w:t xml:space="preserve"> had considered </w:t>
      </w:r>
      <w:r w:rsidRPr="00496FB6" w:rsidR="003F2935">
        <w:t>defense counsel’s planned case</w:t>
      </w:r>
      <w:r w:rsidRPr="00496FB6" w:rsidR="005A4B25">
        <w:t xml:space="preserve"> in</w:t>
      </w:r>
      <w:r w:rsidRPr="00496FB6" w:rsidR="003F2935">
        <w:t xml:space="preserve"> mitigation</w:t>
      </w:r>
      <w:r w:rsidRPr="00496FB6" w:rsidR="007975B7">
        <w:t xml:space="preserve">.  </w:t>
      </w:r>
      <w:r w:rsidR="00C40142">
        <w:t>He</w:t>
      </w:r>
      <w:r w:rsidRPr="00496FB6" w:rsidR="005E2208">
        <w:t xml:space="preserve"> explained his “strategy would not have included such complicated issues</w:t>
      </w:r>
      <w:r w:rsidR="00666136">
        <w:t>,” which he “</w:t>
      </w:r>
      <w:r w:rsidRPr="00496FB6" w:rsidR="005E2208">
        <w:t>believe</w:t>
      </w:r>
      <w:r w:rsidR="009A2BCA">
        <w:t>[d]</w:t>
      </w:r>
      <w:r w:rsidRPr="00496FB6" w:rsidR="005E2208">
        <w:t xml:space="preserve"> like</w:t>
      </w:r>
      <w:r w:rsidRPr="00496FB6" w:rsidR="003A34D6">
        <w:t>ly</w:t>
      </w:r>
      <w:r w:rsidRPr="00496FB6" w:rsidR="005E2208">
        <w:t xml:space="preserve"> would only anger the jury, ultimately costing </w:t>
      </w:r>
      <w:r w:rsidR="009A2BCA">
        <w:t>[him his]</w:t>
      </w:r>
      <w:r w:rsidRPr="00496FB6" w:rsidR="005E2208">
        <w:t xml:space="preserve"> life.” </w:t>
      </w:r>
      <w:r w:rsidRPr="00496FB6" w:rsidR="0013630B">
        <w:t xml:space="preserve"> </w:t>
      </w:r>
      <w:r w:rsidRPr="00496FB6" w:rsidR="00A24BC5">
        <w:t>Defendant</w:t>
      </w:r>
      <w:r w:rsidRPr="00496FB6" w:rsidR="0013630B">
        <w:t xml:space="preserve"> also argued his motion “should be considered timely,” as </w:t>
      </w:r>
      <w:r w:rsidRPr="00496FB6" w:rsidR="006939B6">
        <w:t>he had given notice t</w:t>
      </w:r>
      <w:r w:rsidRPr="00496FB6" w:rsidR="00081DAE">
        <w:t>hat he would likely file the motion “weeks before the commitment [</w:t>
      </w:r>
      <w:r w:rsidRPr="00496FB6" w:rsidR="00081DAE">
        <w:rPr>
          <w:i/>
          <w:iCs/>
        </w:rPr>
        <w:t>sic</w:t>
      </w:r>
      <w:r w:rsidRPr="00496FB6" w:rsidR="00081DAE">
        <w:t xml:space="preserve">] of the penalty phase.” </w:t>
      </w:r>
      <w:r w:rsidRPr="00496FB6" w:rsidR="00BA68D5">
        <w:t xml:space="preserve"> </w:t>
      </w:r>
      <w:r w:rsidRPr="00496FB6" w:rsidR="0026278E">
        <w:t xml:space="preserve">The court denied the motion, </w:t>
      </w:r>
      <w:r w:rsidRPr="00496FB6" w:rsidR="008A7BFA">
        <w:t xml:space="preserve">reiterating its remarks from the prior hearing and emphasizing that </w:t>
      </w:r>
      <w:r w:rsidRPr="00496FB6" w:rsidR="00A24BC5">
        <w:t>defendant</w:t>
      </w:r>
      <w:r w:rsidRPr="00496FB6" w:rsidR="006A4D40">
        <w:t>’s</w:t>
      </w:r>
      <w:r w:rsidRPr="00496FB6" w:rsidR="008A7BFA">
        <w:t xml:space="preserve"> motion was untimely. </w:t>
      </w:r>
      <w:r w:rsidRPr="00496FB6" w:rsidR="00582789">
        <w:t xml:space="preserve"> </w:t>
      </w:r>
      <w:r w:rsidRPr="00496FB6" w:rsidR="00A24BC5">
        <w:t>Defendant</w:t>
      </w:r>
      <w:r w:rsidRPr="00496FB6" w:rsidR="008A7BFA">
        <w:t xml:space="preserve"> moved for a m</w:t>
      </w:r>
      <w:r w:rsidRPr="00496FB6" w:rsidR="00E540EC">
        <w:t>istrial</w:t>
      </w:r>
      <w:r w:rsidRPr="00496FB6" w:rsidR="00C86397">
        <w:t xml:space="preserve"> and</w:t>
      </w:r>
      <w:r w:rsidRPr="00496FB6" w:rsidR="00E540EC">
        <w:t xml:space="preserve"> the court denied that motion as well. </w:t>
      </w:r>
      <w:r w:rsidRPr="00496FB6" w:rsidR="00012597">
        <w:t xml:space="preserve"> </w:t>
      </w:r>
    </w:p>
    <w:p w:rsidR="00A067A5" w:rsidRPr="00496FB6" w:rsidP="00F20BA6" w14:paraId="3152DAD6" w14:textId="703ADBF9">
      <w:pPr>
        <w:ind w:firstLine="720"/>
      </w:pPr>
      <w:r w:rsidRPr="00496FB6">
        <w:t>O</w:t>
      </w:r>
      <w:r w:rsidRPr="00496FB6" w:rsidR="00654398">
        <w:t xml:space="preserve">n August 3, </w:t>
      </w:r>
      <w:r w:rsidRPr="00496FB6" w:rsidR="001B72F8">
        <w:t xml:space="preserve">after the </w:t>
      </w:r>
      <w:r w:rsidRPr="00496FB6" w:rsidR="00C86397">
        <w:t xml:space="preserve">penalty phase </w:t>
      </w:r>
      <w:r w:rsidRPr="00496FB6" w:rsidR="00833ED5">
        <w:t>jury trial</w:t>
      </w:r>
      <w:r w:rsidR="00EB71D5">
        <w:t xml:space="preserve"> had begun</w:t>
      </w:r>
      <w:r w:rsidRPr="00496FB6" w:rsidR="00833ED5">
        <w:t xml:space="preserve">, </w:t>
      </w:r>
      <w:r w:rsidRPr="00496FB6" w:rsidR="00A24BC5">
        <w:t>defendant</w:t>
      </w:r>
      <w:r w:rsidRPr="00496FB6" w:rsidR="00833ED5">
        <w:t xml:space="preserve"> made an oral motion to represent himself</w:t>
      </w:r>
      <w:r w:rsidRPr="00496FB6" w:rsidR="00714FB6">
        <w:t xml:space="preserve"> at a hearing outside the presence of the jury</w:t>
      </w:r>
      <w:r w:rsidRPr="00496FB6" w:rsidR="00833ED5">
        <w:t xml:space="preserve">.  </w:t>
      </w:r>
      <w:r w:rsidRPr="00496FB6" w:rsidR="00A24BC5">
        <w:t>Defendant</w:t>
      </w:r>
      <w:r w:rsidRPr="00496FB6" w:rsidR="000A10D7">
        <w:t xml:space="preserve"> </w:t>
      </w:r>
      <w:r w:rsidRPr="00496FB6" w:rsidR="000A1F3A">
        <w:t xml:space="preserve">stated </w:t>
      </w:r>
      <w:r w:rsidRPr="00496FB6" w:rsidR="003A16DD">
        <w:t>he would not object if the court were to appoint “stand-by counsel.”</w:t>
      </w:r>
      <w:r w:rsidRPr="00496FB6" w:rsidR="00FE4BAD">
        <w:t xml:space="preserve"> </w:t>
      </w:r>
      <w:r w:rsidRPr="00496FB6" w:rsidR="003A16DD">
        <w:t xml:space="preserve"> </w:t>
      </w:r>
      <w:r w:rsidR="00C95270">
        <w:t>He</w:t>
      </w:r>
      <w:r w:rsidRPr="00496FB6" w:rsidR="00743B17">
        <w:t xml:space="preserve"> </w:t>
      </w:r>
      <w:r w:rsidRPr="00496FB6" w:rsidR="009F2B4E">
        <w:t xml:space="preserve">also </w:t>
      </w:r>
      <w:r w:rsidRPr="00496FB6" w:rsidR="00743B17">
        <w:t>requested the court consider “the slanderous effects another denial will permit</w:t>
      </w:r>
      <w:r w:rsidRPr="00496FB6" w:rsidR="005A4B25">
        <w:t>.</w:t>
      </w:r>
      <w:r w:rsidRPr="00496FB6" w:rsidR="00743B17">
        <w:t>”</w:t>
      </w:r>
      <w:r w:rsidRPr="00496FB6" w:rsidR="005A4B25">
        <w:t xml:space="preserve">  </w:t>
      </w:r>
      <w:r w:rsidRPr="00496FB6" w:rsidR="00A24BC5">
        <w:t>Defendant</w:t>
      </w:r>
      <w:r w:rsidRPr="00496FB6" w:rsidR="005A4B25">
        <w:t xml:space="preserve"> explained the </w:t>
      </w:r>
      <w:r w:rsidRPr="00496FB6" w:rsidR="008E1372">
        <w:t>denial</w:t>
      </w:r>
      <w:r w:rsidRPr="00496FB6" w:rsidR="005A4B25">
        <w:t xml:space="preserve"> of his request</w:t>
      </w:r>
      <w:r w:rsidRPr="00496FB6" w:rsidR="008E1372">
        <w:t xml:space="preserve"> would</w:t>
      </w:r>
      <w:r w:rsidRPr="00496FB6" w:rsidR="00A64D9B">
        <w:t xml:space="preserve"> </w:t>
      </w:r>
      <w:r w:rsidRPr="00496FB6" w:rsidR="0098356F">
        <w:t xml:space="preserve">allow for the dissemination of </w:t>
      </w:r>
      <w:r w:rsidRPr="00496FB6" w:rsidR="001155C0">
        <w:t>the claim that</w:t>
      </w:r>
      <w:r w:rsidRPr="00496FB6" w:rsidR="00307938">
        <w:t>, as a child,</w:t>
      </w:r>
      <w:r w:rsidRPr="00496FB6" w:rsidR="001155C0">
        <w:t xml:space="preserve"> </w:t>
      </w:r>
      <w:r w:rsidRPr="00496FB6" w:rsidR="00A24BC5">
        <w:t>defendant</w:t>
      </w:r>
      <w:r w:rsidRPr="00496FB6" w:rsidR="001155C0">
        <w:t xml:space="preserve"> had been molested by an uncle </w:t>
      </w:r>
      <w:r w:rsidRPr="00496FB6" w:rsidR="006E427D">
        <w:t xml:space="preserve">(which </w:t>
      </w:r>
      <w:r w:rsidRPr="00496FB6" w:rsidR="00A24BC5">
        <w:t>defendant</w:t>
      </w:r>
      <w:r w:rsidRPr="00496FB6" w:rsidR="001155C0">
        <w:t xml:space="preserve"> </w:t>
      </w:r>
      <w:r w:rsidRPr="00496FB6" w:rsidR="008E1372">
        <w:t>asserted</w:t>
      </w:r>
      <w:r w:rsidRPr="00496FB6" w:rsidR="001155C0">
        <w:t xml:space="preserve"> w</w:t>
      </w:r>
      <w:r w:rsidRPr="00496FB6" w:rsidR="00A22B38">
        <w:t>as</w:t>
      </w:r>
      <w:r w:rsidRPr="00496FB6" w:rsidR="001155C0">
        <w:t xml:space="preserve"> false</w:t>
      </w:r>
      <w:r w:rsidRPr="00496FB6" w:rsidR="006E427D">
        <w:t>)</w:t>
      </w:r>
      <w:r w:rsidRPr="00496FB6" w:rsidR="001155C0">
        <w:t>.</w:t>
      </w:r>
      <w:r w:rsidRPr="00496FB6" w:rsidR="005A4B25">
        <w:t xml:space="preserve">  </w:t>
      </w:r>
      <w:r w:rsidRPr="00496FB6" w:rsidR="009F2B4E">
        <w:t xml:space="preserve">Finally, </w:t>
      </w:r>
      <w:r w:rsidRPr="00496FB6" w:rsidR="00A24BC5">
        <w:t>defendant</w:t>
      </w:r>
      <w:r w:rsidRPr="00496FB6" w:rsidR="00196D04">
        <w:t xml:space="preserve"> disputed the suggestion that he had “a genetic brain abnormality</w:t>
      </w:r>
      <w:r w:rsidRPr="00496FB6" w:rsidR="00655BF3">
        <w:t>.</w:t>
      </w:r>
      <w:r w:rsidRPr="00496FB6" w:rsidR="00196D04">
        <w:t xml:space="preserve">” </w:t>
      </w:r>
      <w:r w:rsidR="003E5B3E">
        <w:t xml:space="preserve"> </w:t>
      </w:r>
    </w:p>
    <w:p w:rsidR="00A067A5" w:rsidRPr="00496FB6" w:rsidP="00F20BA6" w14:paraId="1384036C" w14:textId="0A3DB5C1">
      <w:pPr>
        <w:ind w:firstLine="720"/>
      </w:pPr>
      <w:r w:rsidRPr="00496FB6">
        <w:t xml:space="preserve">The trial court incorporated by reference its remarks </w:t>
      </w:r>
      <w:r w:rsidRPr="00496FB6" w:rsidR="00BD2447">
        <w:t xml:space="preserve">in </w:t>
      </w:r>
      <w:r w:rsidRPr="00496FB6">
        <w:t>den</w:t>
      </w:r>
      <w:r w:rsidRPr="00496FB6" w:rsidR="0069169C">
        <w:t xml:space="preserve">ying </w:t>
      </w:r>
      <w:r w:rsidRPr="00496FB6" w:rsidR="00A24BC5">
        <w:t>defendant</w:t>
      </w:r>
      <w:r w:rsidRPr="00496FB6" w:rsidR="0069169C">
        <w:t xml:space="preserve">’s </w:t>
      </w:r>
      <w:r w:rsidRPr="00496FB6" w:rsidR="009D3303">
        <w:t>pr</w:t>
      </w:r>
      <w:r w:rsidRPr="00496FB6" w:rsidR="003E38D2">
        <w:t>evious</w:t>
      </w:r>
      <w:r w:rsidRPr="00496FB6" w:rsidR="009D3303">
        <w:t xml:space="preserve"> </w:t>
      </w:r>
      <w:r w:rsidRPr="00496FB6" w:rsidR="0069169C">
        <w:t>motions for self-representat</w:t>
      </w:r>
      <w:r w:rsidRPr="00496FB6" w:rsidR="00D1388F">
        <w:t xml:space="preserve">ion. </w:t>
      </w:r>
      <w:r w:rsidRPr="00496FB6" w:rsidR="00431F9F">
        <w:t xml:space="preserve"> </w:t>
      </w:r>
      <w:r w:rsidR="00F34B29">
        <w:t>It</w:t>
      </w:r>
      <w:r w:rsidRPr="00496FB6" w:rsidR="008F6E68">
        <w:t xml:space="preserve"> </w:t>
      </w:r>
      <w:r w:rsidRPr="00496FB6" w:rsidR="004F2F6D">
        <w:t xml:space="preserve">noted that standby counsel would require </w:t>
      </w:r>
      <w:r w:rsidRPr="00496FB6" w:rsidR="00B37B69">
        <w:t xml:space="preserve">a </w:t>
      </w:r>
      <w:r w:rsidRPr="00496FB6" w:rsidR="00D51C46">
        <w:t xml:space="preserve">significant amount of time to “catch up with the record,” unless </w:t>
      </w:r>
      <w:r w:rsidRPr="00496FB6" w:rsidR="00A24BC5">
        <w:t>defendant</w:t>
      </w:r>
      <w:r w:rsidRPr="00496FB6" w:rsidR="00D51C46">
        <w:t>’s current counsel were to be appointed</w:t>
      </w:r>
      <w:r w:rsidRPr="00496FB6" w:rsidR="00F1228D">
        <w:t xml:space="preserve"> as standby counsel</w:t>
      </w:r>
      <w:r w:rsidRPr="00496FB6" w:rsidR="00D51C46">
        <w:t xml:space="preserve">.  The court added that </w:t>
      </w:r>
      <w:r w:rsidRPr="00496FB6" w:rsidR="0082727B">
        <w:t>it</w:t>
      </w:r>
      <w:r w:rsidRPr="00496FB6" w:rsidR="00154FB7">
        <w:t xml:space="preserve"> </w:t>
      </w:r>
      <w:r w:rsidRPr="00496FB6" w:rsidR="0082727B">
        <w:t xml:space="preserve">understood that </w:t>
      </w:r>
      <w:r w:rsidRPr="00496FB6" w:rsidR="00A24BC5">
        <w:t>defendant</w:t>
      </w:r>
      <w:r w:rsidRPr="00496FB6" w:rsidR="0082727B">
        <w:t xml:space="preserve"> disagreed with </w:t>
      </w:r>
      <w:r w:rsidRPr="00496FB6" w:rsidR="0040204D">
        <w:t>defense counsel</w:t>
      </w:r>
      <w:r w:rsidRPr="00496FB6" w:rsidR="00787345">
        <w:t xml:space="preserve">’s </w:t>
      </w:r>
      <w:r w:rsidRPr="00496FB6" w:rsidR="006124CA">
        <w:t>intention</w:t>
      </w:r>
      <w:r w:rsidRPr="00496FB6" w:rsidR="00787345">
        <w:t xml:space="preserve"> to present certain pieces of </w:t>
      </w:r>
      <w:r w:rsidRPr="00496FB6" w:rsidR="00046746">
        <w:t>evidence</w:t>
      </w:r>
      <w:r w:rsidRPr="00496FB6" w:rsidR="00FC56DE">
        <w:t xml:space="preserve">.  In addition, </w:t>
      </w:r>
      <w:r w:rsidRPr="00496FB6" w:rsidR="003F4C8E">
        <w:t>t</w:t>
      </w:r>
      <w:r w:rsidRPr="00496FB6" w:rsidR="006D285D">
        <w:t>he court</w:t>
      </w:r>
      <w:r w:rsidRPr="00496FB6" w:rsidR="003F4C8E">
        <w:t xml:space="preserve"> </w:t>
      </w:r>
      <w:r w:rsidRPr="00496FB6" w:rsidR="00FC56DE">
        <w:t>stated it</w:t>
      </w:r>
      <w:r w:rsidRPr="00496FB6" w:rsidR="008F6E68">
        <w:t>s</w:t>
      </w:r>
      <w:r w:rsidRPr="00496FB6" w:rsidR="00FC56DE">
        <w:t xml:space="preserve"> </w:t>
      </w:r>
      <w:r w:rsidRPr="00496FB6" w:rsidR="008F6E68">
        <w:t xml:space="preserve">view </w:t>
      </w:r>
      <w:r w:rsidRPr="00496FB6" w:rsidR="00FC56DE">
        <w:t xml:space="preserve">that </w:t>
      </w:r>
      <w:r w:rsidRPr="00496FB6" w:rsidR="00A24BC5">
        <w:t>defendant</w:t>
      </w:r>
      <w:r w:rsidRPr="00496FB6" w:rsidR="00BC7C6F">
        <w:t>’s claim that he ha</w:t>
      </w:r>
      <w:r w:rsidRPr="00496FB6" w:rsidR="008F2484">
        <w:t>d</w:t>
      </w:r>
      <w:r w:rsidRPr="00496FB6" w:rsidR="00BC7C6F">
        <w:t xml:space="preserve"> no brain disorder was “belied by what counsel” indicat</w:t>
      </w:r>
      <w:r w:rsidRPr="00496FB6" w:rsidR="00706E9C">
        <w:t>ed</w:t>
      </w:r>
      <w:r w:rsidRPr="00496FB6" w:rsidR="00BC7C6F">
        <w:t xml:space="preserve"> </w:t>
      </w:r>
      <w:r w:rsidRPr="00496FB6" w:rsidR="00FA3CBD">
        <w:t>they were</w:t>
      </w:r>
      <w:r w:rsidRPr="00496FB6" w:rsidR="00BC7C6F">
        <w:t xml:space="preserve"> going to prove</w:t>
      </w:r>
      <w:r w:rsidRPr="00496FB6" w:rsidR="00222D15">
        <w:t>.</w:t>
      </w:r>
      <w:r w:rsidRPr="00496FB6" w:rsidR="001C1F3D">
        <w:t xml:space="preserve">  </w:t>
      </w:r>
      <w:r w:rsidRPr="00496FB6" w:rsidR="00222D15">
        <w:t xml:space="preserve">The court </w:t>
      </w:r>
      <w:r w:rsidR="00F34B29">
        <w:t>underscored</w:t>
      </w:r>
      <w:r w:rsidRPr="00496FB6" w:rsidR="00222D15">
        <w:t xml:space="preserve"> that </w:t>
      </w:r>
      <w:r w:rsidRPr="00496FB6" w:rsidR="000C71FE">
        <w:t>it was</w:t>
      </w:r>
      <w:r w:rsidRPr="00496FB6" w:rsidR="00222D15">
        <w:t xml:space="preserve"> “</w:t>
      </w:r>
      <w:r w:rsidRPr="00496FB6" w:rsidR="000E5A42">
        <w:t xml:space="preserve">late in the proceedings,” and denied the motion. </w:t>
      </w:r>
      <w:r w:rsidRPr="00496FB6" w:rsidR="00431F9F">
        <w:t xml:space="preserve"> </w:t>
      </w:r>
    </w:p>
    <w:p w:rsidR="00B95953" w:rsidRPr="00496FB6" w:rsidP="00F20BA6" w14:paraId="18059903" w14:textId="057BF1A5">
      <w:pPr>
        <w:ind w:firstLine="720"/>
      </w:pPr>
      <w:r w:rsidRPr="00496FB6">
        <w:t xml:space="preserve">On August 9, </w:t>
      </w:r>
      <w:r w:rsidRPr="00496FB6" w:rsidR="00A24BC5">
        <w:t>defendant</w:t>
      </w:r>
      <w:r w:rsidRPr="00496FB6" w:rsidR="005754B6">
        <w:t xml:space="preserve"> “reiterated [his] desire to proceed pro per at this portion of the penalty phase</w:t>
      </w:r>
      <w:r w:rsidR="00F34B29">
        <w:t>,</w:t>
      </w:r>
      <w:r w:rsidRPr="00496FB6" w:rsidR="005754B6">
        <w:t xml:space="preserve">” </w:t>
      </w:r>
      <w:r w:rsidRPr="00496FB6" w:rsidR="00D16633">
        <w:t>add</w:t>
      </w:r>
      <w:r w:rsidR="00F34B29">
        <w:t>ing</w:t>
      </w:r>
      <w:r w:rsidR="00CF485B">
        <w:t xml:space="preserve"> that</w:t>
      </w:r>
      <w:r w:rsidRPr="00496FB6" w:rsidR="00D16633">
        <w:t xml:space="preserve"> “</w:t>
      </w:r>
      <w:r w:rsidR="00CF485B">
        <w:t>[t]</w:t>
      </w:r>
      <w:r w:rsidRPr="00496FB6" w:rsidR="00D16633">
        <w:t xml:space="preserve">here would be no delays.” </w:t>
      </w:r>
      <w:r w:rsidRPr="00496FB6" w:rsidR="00291BE9">
        <w:t xml:space="preserve"> </w:t>
      </w:r>
      <w:r w:rsidRPr="00496FB6" w:rsidR="00A24BC5">
        <w:t>Defendant</w:t>
      </w:r>
      <w:r w:rsidRPr="00496FB6" w:rsidR="008D3A41">
        <w:t xml:space="preserve"> explained he had</w:t>
      </w:r>
      <w:r w:rsidR="00CF485B">
        <w:t xml:space="preserve"> asked</w:t>
      </w:r>
      <w:r w:rsidRPr="00496FB6" w:rsidR="008D3A41">
        <w:t xml:space="preserve"> to represent himself “since July 31st,” and the court had denied the motions because “it would cause delays and it was ambivalent.” </w:t>
      </w:r>
      <w:r w:rsidRPr="00496FB6" w:rsidR="00431F9F">
        <w:t xml:space="preserve"> </w:t>
      </w:r>
      <w:r w:rsidRPr="00496FB6" w:rsidR="00E45AB3">
        <w:t xml:space="preserve">The court </w:t>
      </w:r>
      <w:r w:rsidRPr="00496FB6" w:rsidR="008D3A41">
        <w:t>responded, “And that it was late</w:t>
      </w:r>
      <w:r w:rsidRPr="00496FB6" w:rsidR="00892895">
        <w:t>.”</w:t>
      </w:r>
      <w:r w:rsidRPr="00496FB6" w:rsidR="00634E82">
        <w:t xml:space="preserve">  </w:t>
      </w:r>
      <w:r w:rsidRPr="00496FB6" w:rsidR="00C1600F">
        <w:t xml:space="preserve">After further discussion, the court </w:t>
      </w:r>
      <w:r w:rsidRPr="00496FB6" w:rsidR="00E20677">
        <w:t>denied the motion “[f]</w:t>
      </w:r>
      <w:r w:rsidRPr="00496FB6" w:rsidR="00143DF5">
        <w:t>or the reasons I’ve previously stated</w:t>
      </w:r>
      <w:r w:rsidRPr="00496FB6" w:rsidR="008C7BEA">
        <w:t>.</w:t>
      </w:r>
      <w:r w:rsidRPr="00496FB6" w:rsidR="0090575B">
        <w:t>”</w:t>
      </w:r>
      <w:r w:rsidRPr="00496FB6" w:rsidR="00F75A79">
        <w:t xml:space="preserve"> </w:t>
      </w:r>
      <w:r w:rsidRPr="00496FB6" w:rsidR="00E20677">
        <w:t xml:space="preserve"> </w:t>
      </w:r>
      <w:r w:rsidRPr="00496FB6" w:rsidR="00A24BC5">
        <w:t>Defendant</w:t>
      </w:r>
      <w:r w:rsidRPr="00496FB6" w:rsidR="00445BF2">
        <w:t xml:space="preserve"> </w:t>
      </w:r>
      <w:r w:rsidRPr="00496FB6" w:rsidR="00F75A79">
        <w:t>again moved</w:t>
      </w:r>
      <w:r w:rsidRPr="00496FB6" w:rsidR="00445BF2">
        <w:t xml:space="preserve"> for a mistrial, which the court denied. </w:t>
      </w:r>
      <w:r w:rsidRPr="00496FB6" w:rsidR="00E20677">
        <w:t xml:space="preserve"> </w:t>
      </w:r>
    </w:p>
    <w:p w:rsidR="00A067A5" w:rsidRPr="00496FB6" w:rsidP="00F20BA6" w14:paraId="1D359430" w14:textId="40C25FB7">
      <w:pPr>
        <w:ind w:firstLine="720"/>
      </w:pPr>
      <w:r w:rsidRPr="00496FB6">
        <w:t>During an</w:t>
      </w:r>
      <w:r w:rsidRPr="00496FB6" w:rsidR="00660D4B">
        <w:t>other hearing later that same day</w:t>
      </w:r>
      <w:r w:rsidRPr="00496FB6" w:rsidR="00690CAA">
        <w:t xml:space="preserve"> outside the presence of the jury</w:t>
      </w:r>
      <w:r w:rsidRPr="00496FB6" w:rsidR="00660D4B">
        <w:t xml:space="preserve">, </w:t>
      </w:r>
      <w:r w:rsidRPr="00496FB6" w:rsidR="00F960B5">
        <w:t xml:space="preserve">after a </w:t>
      </w:r>
      <w:r w:rsidRPr="00496FB6" w:rsidR="00385A50">
        <w:t>witness testified that</w:t>
      </w:r>
      <w:r w:rsidRPr="00496FB6" w:rsidR="00D85AAE">
        <w:t xml:space="preserve">, as </w:t>
      </w:r>
      <w:r w:rsidRPr="00496FB6" w:rsidR="003A5750">
        <w:t xml:space="preserve">a </w:t>
      </w:r>
      <w:r w:rsidRPr="00496FB6" w:rsidR="00D85AAE">
        <w:t>child,</w:t>
      </w:r>
      <w:r w:rsidRPr="00496FB6" w:rsidR="00385A50">
        <w:t xml:space="preserve"> </w:t>
      </w:r>
      <w:r w:rsidRPr="00496FB6" w:rsidR="00A24BC5">
        <w:t>defendant</w:t>
      </w:r>
      <w:r w:rsidRPr="00496FB6" w:rsidR="00385A50">
        <w:t xml:space="preserve"> had told the witness that </w:t>
      </w:r>
      <w:r w:rsidRPr="00496FB6" w:rsidR="00A24BC5">
        <w:t>defendant</w:t>
      </w:r>
      <w:r w:rsidRPr="00496FB6" w:rsidR="00D23A40">
        <w:t xml:space="preserve">’s </w:t>
      </w:r>
      <w:r w:rsidRPr="00496FB6" w:rsidR="00385A50">
        <w:t>uncle</w:t>
      </w:r>
      <w:r w:rsidRPr="00496FB6" w:rsidR="00D23A40">
        <w:t xml:space="preserve"> had been “touching him,” </w:t>
      </w:r>
      <w:r w:rsidRPr="00496FB6" w:rsidR="00E406CF">
        <w:t>d</w:t>
      </w:r>
      <w:r w:rsidRPr="00496FB6" w:rsidR="00A24BC5">
        <w:t>efendant</w:t>
      </w:r>
      <w:r w:rsidRPr="00496FB6" w:rsidR="00690CAA">
        <w:t xml:space="preserve"> again renewed his request to represent himself</w:t>
      </w:r>
      <w:r w:rsidRPr="00496FB6" w:rsidR="001E5768">
        <w:t>, explain</w:t>
      </w:r>
      <w:r w:rsidRPr="00496FB6" w:rsidR="005A4B25">
        <w:t>ing</w:t>
      </w:r>
      <w:r w:rsidRPr="00496FB6" w:rsidR="001E5768">
        <w:t xml:space="preserve"> that </w:t>
      </w:r>
      <w:r w:rsidRPr="00496FB6" w:rsidR="00103330">
        <w:t xml:space="preserve">he disagreed with counsel’s approach in soliciting such testimony. </w:t>
      </w:r>
      <w:r w:rsidRPr="00496FB6" w:rsidR="009162BC">
        <w:t xml:space="preserve"> </w:t>
      </w:r>
      <w:r w:rsidRPr="00496FB6" w:rsidR="000952CD">
        <w:t xml:space="preserve">The </w:t>
      </w:r>
      <w:r w:rsidRPr="00496FB6" w:rsidR="00954BAF">
        <w:t xml:space="preserve">trial </w:t>
      </w:r>
      <w:r w:rsidRPr="00496FB6" w:rsidR="000952CD">
        <w:t xml:space="preserve">court responded that </w:t>
      </w:r>
      <w:r w:rsidRPr="00496FB6" w:rsidR="00A24BC5">
        <w:t>defendant</w:t>
      </w:r>
      <w:r w:rsidRPr="00496FB6" w:rsidR="005A4B25">
        <w:t xml:space="preserve">’s </w:t>
      </w:r>
      <w:r w:rsidRPr="00496FB6" w:rsidR="000952CD">
        <w:t>counsel were</w:t>
      </w:r>
      <w:r w:rsidRPr="00496FB6" w:rsidR="002C159A">
        <w:t xml:space="preserve"> “doing a competent job” of representing </w:t>
      </w:r>
      <w:r w:rsidRPr="00496FB6" w:rsidR="005A4B25">
        <w:t>him</w:t>
      </w:r>
      <w:r w:rsidRPr="00496FB6" w:rsidR="00385A9C">
        <w:t xml:space="preserve"> and that </w:t>
      </w:r>
      <w:r w:rsidRPr="00496FB6" w:rsidR="00A24BC5">
        <w:t>defendant</w:t>
      </w:r>
      <w:r w:rsidRPr="00496FB6" w:rsidR="005A4B25">
        <w:t>’s</w:t>
      </w:r>
      <w:r w:rsidRPr="00496FB6" w:rsidR="00385A9C">
        <w:t xml:space="preserve"> request to represent himself </w:t>
      </w:r>
      <w:r w:rsidRPr="00496FB6" w:rsidR="00DE4169">
        <w:t xml:space="preserve">continued to be late. </w:t>
      </w:r>
      <w:r w:rsidRPr="00496FB6" w:rsidR="001F5896">
        <w:t xml:space="preserve"> </w:t>
      </w:r>
      <w:r w:rsidRPr="00496FB6" w:rsidR="00C724AE">
        <w:t xml:space="preserve">The </w:t>
      </w:r>
      <w:r w:rsidRPr="00496FB6" w:rsidR="00954BAF">
        <w:t xml:space="preserve">court denied the renewed motion </w:t>
      </w:r>
      <w:r w:rsidRPr="00496FB6" w:rsidR="009D531B">
        <w:t xml:space="preserve">for self-representation </w:t>
      </w:r>
      <w:r w:rsidRPr="00496FB6" w:rsidR="00954BAF">
        <w:t xml:space="preserve">and, thereafter, denied </w:t>
      </w:r>
      <w:r w:rsidRPr="00496FB6" w:rsidR="00A24BC5">
        <w:t>defendant</w:t>
      </w:r>
      <w:r w:rsidRPr="00496FB6" w:rsidR="00954BAF">
        <w:t xml:space="preserve">’s mistrial motion. </w:t>
      </w:r>
      <w:r w:rsidRPr="00496FB6" w:rsidR="002F255C">
        <w:t xml:space="preserve"> </w:t>
      </w:r>
    </w:p>
    <w:p w:rsidR="00A067A5" w:rsidRPr="00496FB6" w:rsidP="00FF2A92" w14:paraId="269973EA" w14:textId="6A5904C3">
      <w:pPr>
        <w:ind w:firstLine="720"/>
      </w:pPr>
      <w:r w:rsidRPr="00496FB6">
        <w:t>On</w:t>
      </w:r>
      <w:r w:rsidRPr="00496FB6" w:rsidR="00E8052B">
        <w:t xml:space="preserve"> August 10, </w:t>
      </w:r>
      <w:r w:rsidRPr="004F1C56" w:rsidR="00A24BC5">
        <w:t>defendant</w:t>
      </w:r>
      <w:r w:rsidRPr="004F1C56" w:rsidR="00CB2E4F">
        <w:t xml:space="preserve"> </w:t>
      </w:r>
      <w:r w:rsidRPr="004F1C56" w:rsidR="00982506">
        <w:t>made another request to represent himself and asked</w:t>
      </w:r>
      <w:r w:rsidRPr="00496FB6" w:rsidR="00917287">
        <w:t xml:space="preserve"> </w:t>
      </w:r>
      <w:r w:rsidRPr="00496FB6" w:rsidR="002E631A">
        <w:t xml:space="preserve">the </w:t>
      </w:r>
      <w:r w:rsidRPr="00496FB6" w:rsidR="007D4518">
        <w:t xml:space="preserve">trial </w:t>
      </w:r>
      <w:r w:rsidRPr="00496FB6" w:rsidR="002E631A">
        <w:t xml:space="preserve">court </w:t>
      </w:r>
      <w:r w:rsidR="004D52BC">
        <w:t xml:space="preserve">to </w:t>
      </w:r>
      <w:r w:rsidRPr="00496FB6" w:rsidR="002E631A">
        <w:t>allow him to “prepare and give a statement to the jury without the assistance of appointed counsel</w:t>
      </w:r>
      <w:r w:rsidR="00A753CC">
        <w:t>.</w:t>
      </w:r>
      <w:r w:rsidRPr="00496FB6" w:rsidR="002E631A">
        <w:t>”</w:t>
      </w:r>
      <w:r w:rsidRPr="00496FB6" w:rsidR="00C57C75">
        <w:t xml:space="preserve"> </w:t>
      </w:r>
      <w:r w:rsidRPr="00496FB6" w:rsidR="005A4B25">
        <w:t xml:space="preserve"> </w:t>
      </w:r>
      <w:r w:rsidRPr="00496FB6" w:rsidR="00DE30D7">
        <w:t xml:space="preserve">The trial court </w:t>
      </w:r>
      <w:r w:rsidR="00C63CC9">
        <w:t xml:space="preserve">again </w:t>
      </w:r>
      <w:r w:rsidRPr="00496FB6" w:rsidR="00DE30D7">
        <w:t xml:space="preserve">denied </w:t>
      </w:r>
      <w:r w:rsidRPr="00496FB6" w:rsidR="00A24BC5">
        <w:t>defendant</w:t>
      </w:r>
      <w:r w:rsidRPr="00496FB6" w:rsidR="00DE30D7">
        <w:t>’s renewed request.</w:t>
      </w:r>
      <w:r w:rsidRPr="00496FB6">
        <w:t xml:space="preserve">  </w:t>
      </w:r>
      <w:r w:rsidRPr="00496FB6" w:rsidR="00DE30D7">
        <w:t xml:space="preserve">The court also stated that </w:t>
      </w:r>
      <w:r w:rsidRPr="00496FB6" w:rsidR="00A24BC5">
        <w:t>defendant</w:t>
      </w:r>
      <w:r w:rsidRPr="00496FB6" w:rsidR="00DE30D7">
        <w:t xml:space="preserve"> would not be allowed to present an uncross-examined statement to the jury.</w:t>
      </w:r>
      <w:r w:rsidRPr="00496FB6" w:rsidR="00003730">
        <w:t xml:space="preserve"> </w:t>
      </w:r>
      <w:r w:rsidRPr="00496FB6" w:rsidR="004E092E">
        <w:t xml:space="preserve"> </w:t>
      </w:r>
    </w:p>
    <w:p w:rsidR="00A067A5" w:rsidRPr="00496FB6" w:rsidP="00FF2A92" w14:paraId="3B30FBD7" w14:textId="554E1010">
      <w:pPr>
        <w:ind w:firstLine="720"/>
      </w:pPr>
      <w:r w:rsidRPr="00496FB6">
        <w:t xml:space="preserve">After </w:t>
      </w:r>
      <w:r w:rsidRPr="00496FB6" w:rsidR="00A24BC5">
        <w:t>defendant</w:t>
      </w:r>
      <w:r w:rsidRPr="00496FB6">
        <w:t xml:space="preserve"> stated he would be allowed to make such a statement if he was representing himself</w:t>
      </w:r>
      <w:r w:rsidRPr="00496FB6" w:rsidR="00D67A37">
        <w:t>,</w:t>
      </w:r>
      <w:r w:rsidRPr="00496FB6">
        <w:t xml:space="preserve"> the court </w:t>
      </w:r>
      <w:r w:rsidRPr="00496FB6" w:rsidR="0036398B">
        <w:t>responded</w:t>
      </w:r>
      <w:r w:rsidRPr="00496FB6">
        <w:t xml:space="preserve">: </w:t>
      </w:r>
      <w:r w:rsidRPr="00496FB6" w:rsidR="00BB52F8">
        <w:t xml:space="preserve"> </w:t>
      </w:r>
      <w:r w:rsidRPr="00496FB6">
        <w:t xml:space="preserve">“No.  Even if you were representing yourself, you would </w:t>
      </w:r>
      <w:r w:rsidRPr="00496FB6">
        <w:t xml:space="preserve">have to come to the stand and be cross-examined.  So that wouldn’t make any difference. </w:t>
      </w:r>
      <w:r w:rsidRPr="00496FB6" w:rsidR="00EC3DB6">
        <w:t xml:space="preserve"> </w:t>
      </w:r>
      <w:r w:rsidRPr="00496FB6">
        <w:t>[¶]  You may argue your case, of cou</w:t>
      </w:r>
      <w:r w:rsidRPr="00496FB6" w:rsidR="000A665D">
        <w:t xml:space="preserve">rse, at the end, if you were representing yourself.  That’s a little different than pronouncing evidence from the witness </w:t>
      </w:r>
      <w:r w:rsidRPr="00496FB6" w:rsidR="004E092E">
        <w:t>seat.”</w:t>
      </w:r>
      <w:r w:rsidRPr="00496FB6" w:rsidR="00B179D8">
        <w:t xml:space="preserve"> </w:t>
      </w:r>
      <w:r w:rsidRPr="00496FB6" w:rsidR="002B6458">
        <w:t xml:space="preserve"> </w:t>
      </w:r>
    </w:p>
    <w:p w:rsidR="00A067A5" w:rsidRPr="00496FB6" w:rsidP="00FF2A92" w14:paraId="268B3625" w14:textId="6EA23FE0">
      <w:pPr>
        <w:ind w:firstLine="720"/>
      </w:pPr>
      <w:r w:rsidRPr="00496FB6">
        <w:t xml:space="preserve">On August 14, at a hearing outside the presence of the jury, </w:t>
      </w:r>
      <w:r w:rsidRPr="00496FB6" w:rsidR="00B032B9">
        <w:t xml:space="preserve">defense counsel indicated that </w:t>
      </w:r>
      <w:r w:rsidRPr="00496FB6" w:rsidR="00A24BC5">
        <w:t>defendant</w:t>
      </w:r>
      <w:r w:rsidRPr="00496FB6" w:rsidR="00B032B9">
        <w:t xml:space="preserve"> wished to make a combination </w:t>
      </w:r>
      <w:r w:rsidRPr="00496FB6" w:rsidR="00B032B9">
        <w:rPr>
          <w:i/>
          <w:iCs/>
        </w:rPr>
        <w:t>Marsden</w:t>
      </w:r>
      <w:r w:rsidRPr="00496FB6" w:rsidR="00B032B9">
        <w:t>/</w:t>
      </w:r>
      <w:r w:rsidRPr="00496FB6" w:rsidR="00B032B9">
        <w:rPr>
          <w:i/>
          <w:iCs/>
        </w:rPr>
        <w:t>Faretta</w:t>
      </w:r>
      <w:r w:rsidRPr="00496FB6" w:rsidR="00B032B9">
        <w:t xml:space="preserve"> motion</w:t>
      </w:r>
      <w:r w:rsidRPr="00496FB6" w:rsidR="003B1C82">
        <w:t>.</w:t>
      </w:r>
      <w:r w:rsidRPr="00496FB6" w:rsidR="0014560B">
        <w:t xml:space="preserve"> </w:t>
      </w:r>
      <w:r w:rsidRPr="00496FB6" w:rsidR="003A5750">
        <w:t xml:space="preserve"> </w:t>
      </w:r>
      <w:r w:rsidRPr="00496FB6" w:rsidR="00EA19E0">
        <w:t xml:space="preserve">The trial court held a hearing at which </w:t>
      </w:r>
      <w:r w:rsidRPr="00496FB6" w:rsidR="00A24BC5">
        <w:t>defendant</w:t>
      </w:r>
      <w:r w:rsidRPr="00496FB6" w:rsidR="00EA19E0">
        <w:t xml:space="preserve"> requested the court grant his “</w:t>
      </w:r>
      <w:r w:rsidRPr="00496FB6" w:rsidR="00EA19E0">
        <w:rPr>
          <w:i/>
          <w:iCs/>
        </w:rPr>
        <w:t>Marsden</w:t>
      </w:r>
      <w:r w:rsidRPr="00496FB6" w:rsidR="00EA19E0">
        <w:t xml:space="preserve"> or </w:t>
      </w:r>
      <w:r w:rsidRPr="00496FB6" w:rsidR="00EA19E0">
        <w:rPr>
          <w:i/>
          <w:iCs/>
        </w:rPr>
        <w:t>Faretta</w:t>
      </w:r>
      <w:r w:rsidRPr="00496FB6" w:rsidR="00EA19E0">
        <w:t xml:space="preserve"> motion.”  After hearing </w:t>
      </w:r>
      <w:r w:rsidRPr="00496FB6" w:rsidR="00A24BC5">
        <w:t>defendant</w:t>
      </w:r>
      <w:r w:rsidRPr="00496FB6" w:rsidR="00EA19E0">
        <w:t xml:space="preserve">’s argument that </w:t>
      </w:r>
      <w:r w:rsidRPr="00496FB6" w:rsidR="00B032B9">
        <w:t>defense</w:t>
      </w:r>
      <w:r w:rsidRPr="00496FB6" w:rsidR="00EA19E0">
        <w:t xml:space="preserve"> counsel was providing “ineffective representation,” the court denied </w:t>
      </w:r>
      <w:r w:rsidRPr="00496FB6" w:rsidR="00A24BC5">
        <w:t>defendant</w:t>
      </w:r>
      <w:r w:rsidRPr="00496FB6" w:rsidR="00EA19E0">
        <w:t xml:space="preserve">’s </w:t>
      </w:r>
      <w:r w:rsidRPr="00496FB6" w:rsidR="00EA19E0">
        <w:rPr>
          <w:i/>
          <w:iCs/>
        </w:rPr>
        <w:t>Marsden</w:t>
      </w:r>
      <w:r w:rsidRPr="00496FB6" w:rsidR="00EA19E0">
        <w:t xml:space="preserve"> motion and </w:t>
      </w:r>
      <w:r w:rsidRPr="00496FB6" w:rsidR="0036398B">
        <w:t xml:space="preserve">stated </w:t>
      </w:r>
      <w:r w:rsidRPr="00496FB6" w:rsidR="00EA19E0">
        <w:t xml:space="preserve">that it would hear </w:t>
      </w:r>
      <w:r w:rsidRPr="00496FB6" w:rsidR="00A24BC5">
        <w:t>defendant</w:t>
      </w:r>
      <w:r w:rsidRPr="00496FB6" w:rsidR="00EA19E0">
        <w:t>’s</w:t>
      </w:r>
      <w:r w:rsidRPr="00496FB6" w:rsidR="00B032B9">
        <w:t xml:space="preserve"> </w:t>
      </w:r>
      <w:r w:rsidRPr="00496FB6" w:rsidR="00B032B9">
        <w:rPr>
          <w:i/>
          <w:iCs/>
        </w:rPr>
        <w:t>Faretta</w:t>
      </w:r>
      <w:r w:rsidRPr="00496FB6" w:rsidR="00EA19E0">
        <w:t xml:space="preserve"> motion after a lunch recess.</w:t>
      </w:r>
      <w:r w:rsidRPr="00496FB6" w:rsidR="000C71FE">
        <w:t xml:space="preserve"> </w:t>
      </w:r>
      <w:r w:rsidRPr="00496FB6" w:rsidR="00EA19E0">
        <w:t xml:space="preserve"> </w:t>
      </w:r>
    </w:p>
    <w:p w:rsidR="00EA19E0" w:rsidRPr="00496FB6" w:rsidP="00FF2A92" w14:paraId="2774CC05" w14:textId="45296C26">
      <w:pPr>
        <w:ind w:firstLine="720"/>
      </w:pPr>
      <w:r w:rsidRPr="00496FB6">
        <w:t xml:space="preserve">At the hearing </w:t>
      </w:r>
      <w:r w:rsidRPr="00496FB6" w:rsidR="00B032B9">
        <w:t>on</w:t>
      </w:r>
      <w:r w:rsidRPr="00496FB6">
        <w:t xml:space="preserve"> hi</w:t>
      </w:r>
      <w:r w:rsidRPr="00496FB6">
        <w:t xml:space="preserve">s </w:t>
      </w:r>
      <w:r w:rsidRPr="00496FB6">
        <w:rPr>
          <w:i/>
          <w:iCs/>
        </w:rPr>
        <w:t>Faretta</w:t>
      </w:r>
      <w:r w:rsidRPr="00496FB6">
        <w:t xml:space="preserve"> motion, </w:t>
      </w:r>
      <w:r w:rsidRPr="00496FB6" w:rsidR="00A24BC5">
        <w:t>defendant</w:t>
      </w:r>
      <w:r w:rsidRPr="00496FB6" w:rsidR="00A16F96">
        <w:t xml:space="preserve"> </w:t>
      </w:r>
      <w:r w:rsidRPr="00496FB6" w:rsidR="009B667A">
        <w:t xml:space="preserve">explained </w:t>
      </w:r>
      <w:r w:rsidRPr="00496FB6" w:rsidR="00CF36D5">
        <w:t>he agreed “in part” with his counsel “it would not be condu</w:t>
      </w:r>
      <w:r w:rsidRPr="00496FB6" w:rsidR="00C208C3">
        <w:t>cive to my case if I were to testify</w:t>
      </w:r>
      <w:r w:rsidRPr="00496FB6" w:rsidR="008F0F37">
        <w:t>.</w:t>
      </w:r>
      <w:r w:rsidRPr="00496FB6" w:rsidR="00C208C3">
        <w:t xml:space="preserve">” </w:t>
      </w:r>
      <w:r w:rsidRPr="00496FB6" w:rsidR="000C71FE">
        <w:t xml:space="preserve"> </w:t>
      </w:r>
      <w:r w:rsidRPr="00496FB6" w:rsidR="008F0F37">
        <w:t xml:space="preserve">However, </w:t>
      </w:r>
      <w:r w:rsidRPr="00496FB6" w:rsidR="00A24BC5">
        <w:t>defendant</w:t>
      </w:r>
      <w:r w:rsidRPr="00496FB6" w:rsidR="008F0F37">
        <w:t xml:space="preserve"> argued</w:t>
      </w:r>
      <w:r w:rsidRPr="00496FB6" w:rsidR="00D34D43">
        <w:t xml:space="preserve"> </w:t>
      </w:r>
      <w:r w:rsidRPr="00496FB6" w:rsidR="00C208C3">
        <w:t>“this issue would be moot if I was allowed to proceed pro per with my present team as stand-by counsel.”</w:t>
      </w:r>
      <w:r w:rsidRPr="00496FB6" w:rsidR="008F0F37">
        <w:t xml:space="preserve"> </w:t>
      </w:r>
      <w:r w:rsidRPr="00496FB6" w:rsidR="00C208C3">
        <w:t xml:space="preserve"> </w:t>
      </w:r>
      <w:r w:rsidRPr="00496FB6" w:rsidR="00A24BC5">
        <w:t>Defendant</w:t>
      </w:r>
      <w:r w:rsidRPr="00496FB6" w:rsidR="00C208C3">
        <w:t xml:space="preserve"> explained this would allow him to “make </w:t>
      </w:r>
      <w:r w:rsidRPr="00496FB6" w:rsidR="003A34D6">
        <w:t xml:space="preserve">the </w:t>
      </w:r>
      <w:r w:rsidRPr="00496FB6" w:rsidR="00C208C3">
        <w:t>closing arguments and not be subject to cross-examination</w:t>
      </w:r>
      <w:r w:rsidRPr="00496FB6" w:rsidR="00855C9B">
        <w:t>.</w:t>
      </w:r>
      <w:r w:rsidRPr="00496FB6" w:rsidR="00C208C3">
        <w:t>”</w:t>
      </w:r>
      <w:r w:rsidRPr="00496FB6" w:rsidR="00855C9B">
        <w:t xml:space="preserve">  </w:t>
      </w:r>
    </w:p>
    <w:p w:rsidR="00A067A5" w:rsidRPr="00496FB6" w:rsidP="00FF2A92" w14:paraId="716EBF03" w14:textId="34518DBD">
      <w:pPr>
        <w:ind w:firstLine="720"/>
      </w:pPr>
      <w:r w:rsidRPr="00496FB6">
        <w:t xml:space="preserve">After </w:t>
      </w:r>
      <w:r w:rsidRPr="00496FB6" w:rsidR="00DB6FB9">
        <w:t>allowing</w:t>
      </w:r>
      <w:r w:rsidRPr="00496FB6">
        <w:t xml:space="preserve"> </w:t>
      </w:r>
      <w:r w:rsidRPr="00496FB6" w:rsidR="00A24BC5">
        <w:t>defendant</w:t>
      </w:r>
      <w:r w:rsidRPr="00496FB6">
        <w:t xml:space="preserve"> to make a record </w:t>
      </w:r>
      <w:r w:rsidRPr="00496FB6" w:rsidR="006E427D">
        <w:t xml:space="preserve">of </w:t>
      </w:r>
      <w:r w:rsidRPr="00496FB6">
        <w:t>the reasons for his request, the</w:t>
      </w:r>
      <w:r w:rsidRPr="00496FB6" w:rsidR="008F0F37">
        <w:t xml:space="preserve"> trial court </w:t>
      </w:r>
      <w:r w:rsidRPr="00496FB6" w:rsidR="00825765">
        <w:t xml:space="preserve">again denied </w:t>
      </w:r>
      <w:r w:rsidRPr="00496FB6" w:rsidR="00A24BC5">
        <w:t>defendant</w:t>
      </w:r>
      <w:r w:rsidRPr="00496FB6" w:rsidR="00825765">
        <w:t xml:space="preserve">’s </w:t>
      </w:r>
      <w:r w:rsidRPr="00496FB6" w:rsidR="00CD36AF">
        <w:t>motion for self-representation</w:t>
      </w:r>
      <w:r w:rsidRPr="00496FB6" w:rsidR="00825765">
        <w:t xml:space="preserve">.  </w:t>
      </w:r>
      <w:r w:rsidRPr="00496FB6" w:rsidR="002C657D">
        <w:t xml:space="preserve">The court </w:t>
      </w:r>
      <w:r w:rsidRPr="00496FB6">
        <w:t xml:space="preserve">incorporated its prior rulings and </w:t>
      </w:r>
      <w:r w:rsidRPr="00496FB6" w:rsidR="002C657D">
        <w:t xml:space="preserve">explained that </w:t>
      </w:r>
      <w:r w:rsidRPr="00496FB6" w:rsidR="00A24BC5">
        <w:t>defendant</w:t>
      </w:r>
      <w:r w:rsidRPr="00496FB6" w:rsidR="002C657D">
        <w:t xml:space="preserve">’s request continued to be untimely. </w:t>
      </w:r>
      <w:r w:rsidRPr="00496FB6" w:rsidR="000A46E3">
        <w:t xml:space="preserve"> </w:t>
      </w:r>
      <w:r w:rsidRPr="00496FB6" w:rsidR="00F75303">
        <w:t xml:space="preserve">In addition, the court stated it </w:t>
      </w:r>
      <w:r w:rsidRPr="00496FB6" w:rsidR="002417B0">
        <w:t xml:space="preserve">appeared </w:t>
      </w:r>
      <w:r w:rsidRPr="00496FB6" w:rsidR="00A24BC5">
        <w:t>defendant</w:t>
      </w:r>
      <w:r w:rsidRPr="00496FB6" w:rsidR="002417B0">
        <w:t xml:space="preserve">’s request was not unequivocal since it appeared to be premised on </w:t>
      </w:r>
      <w:r w:rsidRPr="00496FB6" w:rsidR="00B33E1E">
        <w:t>his present counsel being appointed as standby counsel</w:t>
      </w:r>
      <w:r w:rsidRPr="00496FB6" w:rsidR="001F4B7A">
        <w:t xml:space="preserve">, which the court explained could not be “assured </w:t>
      </w:r>
      <w:r w:rsidRPr="00496FB6" w:rsidR="00DB4FBA">
        <w:t>.</w:t>
      </w:r>
      <w:r w:rsidRPr="00496FB6" w:rsidR="006E427D">
        <w:t> </w:t>
      </w:r>
      <w:r w:rsidRPr="00496FB6" w:rsidR="00DB4FBA">
        <w:t>.</w:t>
      </w:r>
      <w:r w:rsidRPr="00496FB6" w:rsidR="006E427D">
        <w:t> </w:t>
      </w:r>
      <w:r w:rsidRPr="00496FB6" w:rsidR="00DB4FBA">
        <w:t xml:space="preserve">. would happen” </w:t>
      </w:r>
      <w:r w:rsidRPr="00496FB6" w:rsidR="00164790">
        <w:t xml:space="preserve">were </w:t>
      </w:r>
      <w:r w:rsidRPr="00496FB6" w:rsidR="00DB4FBA">
        <w:t xml:space="preserve">the court to </w:t>
      </w:r>
      <w:r w:rsidRPr="00496FB6" w:rsidR="00164790">
        <w:t>grant</w:t>
      </w:r>
      <w:r w:rsidRPr="00496FB6" w:rsidR="00DB4FBA">
        <w:t xml:space="preserve"> </w:t>
      </w:r>
      <w:r w:rsidRPr="00496FB6" w:rsidR="00A24BC5">
        <w:t>defendant</w:t>
      </w:r>
      <w:r w:rsidRPr="00496FB6" w:rsidR="00DB4FBA">
        <w:t>’s motion</w:t>
      </w:r>
      <w:r w:rsidRPr="00496FB6" w:rsidR="00164790">
        <w:t xml:space="preserve">. </w:t>
      </w:r>
      <w:r w:rsidRPr="00496FB6" w:rsidR="00EF147B">
        <w:t xml:space="preserve"> </w:t>
      </w:r>
    </w:p>
    <w:p w:rsidR="00C83B3C" w:rsidRPr="00496FB6" w:rsidP="00FF2A92" w14:paraId="152348E3" w14:textId="3B1F7CA4">
      <w:pPr>
        <w:ind w:firstLine="720"/>
      </w:pPr>
      <w:r w:rsidRPr="00496FB6">
        <w:t>The following day</w:t>
      </w:r>
      <w:r w:rsidRPr="00496FB6" w:rsidR="00F71317">
        <w:t xml:space="preserve">, </w:t>
      </w:r>
      <w:r w:rsidRPr="00496FB6" w:rsidR="00A24BC5">
        <w:t>defendant</w:t>
      </w:r>
      <w:r w:rsidRPr="00496FB6" w:rsidR="00F71317">
        <w:t xml:space="preserve"> </w:t>
      </w:r>
      <w:r w:rsidRPr="00496FB6" w:rsidR="00FF0113">
        <w:t xml:space="preserve">again </w:t>
      </w:r>
      <w:r w:rsidRPr="00496FB6" w:rsidR="00155212">
        <w:t xml:space="preserve">requested that the court grant “a </w:t>
      </w:r>
      <w:r w:rsidRPr="00496FB6" w:rsidR="00155212">
        <w:rPr>
          <w:i/>
          <w:iCs/>
        </w:rPr>
        <w:t>Marsden</w:t>
      </w:r>
      <w:r w:rsidRPr="00496FB6" w:rsidR="00155212">
        <w:t xml:space="preserve"> or </w:t>
      </w:r>
      <w:r w:rsidRPr="00496FB6" w:rsidR="00155212">
        <w:rPr>
          <w:i/>
          <w:iCs/>
        </w:rPr>
        <w:t>Faretta</w:t>
      </w:r>
      <w:r w:rsidRPr="00496FB6" w:rsidR="00155212">
        <w:t xml:space="preserve"> motion.”  </w:t>
      </w:r>
      <w:r w:rsidRPr="00496FB6" w:rsidR="00A24BC5">
        <w:t>Defendant</w:t>
      </w:r>
      <w:r w:rsidRPr="00496FB6" w:rsidR="00155212">
        <w:t xml:space="preserve"> argued that, </w:t>
      </w:r>
      <w:r w:rsidRPr="00496FB6" w:rsidR="009C7453">
        <w:t>to</w:t>
      </w:r>
      <w:r w:rsidRPr="00496FB6" w:rsidR="00155212">
        <w:t xml:space="preserve"> discourage him fro</w:t>
      </w:r>
      <w:r w:rsidRPr="00496FB6" w:rsidR="0019643A">
        <w:t xml:space="preserve">m testifying, </w:t>
      </w:r>
      <w:r w:rsidRPr="00496FB6" w:rsidR="00DB4FBA">
        <w:t xml:space="preserve">defense </w:t>
      </w:r>
      <w:r w:rsidRPr="00496FB6" w:rsidR="0019643A">
        <w:t>counsel had issued him an “ultimatum to take the stand before any other witnesses</w:t>
      </w:r>
      <w:r w:rsidRPr="00496FB6" w:rsidR="00075504">
        <w:t xml:space="preserve"> .</w:t>
      </w:r>
      <w:r w:rsidRPr="00496FB6" w:rsidR="00A067A5">
        <w:t> </w:t>
      </w:r>
      <w:r w:rsidRPr="00496FB6" w:rsidR="00075504">
        <w:t>.</w:t>
      </w:r>
      <w:r w:rsidRPr="00496FB6" w:rsidR="00A067A5">
        <w:t> </w:t>
      </w:r>
      <w:r w:rsidRPr="00496FB6" w:rsidR="00075504">
        <w:t xml:space="preserve">. without adequate time for preparation.” </w:t>
      </w:r>
      <w:r w:rsidRPr="00496FB6" w:rsidR="00A067A5">
        <w:t xml:space="preserve"> </w:t>
      </w:r>
      <w:r w:rsidRPr="00496FB6" w:rsidR="00A24BC5">
        <w:t>Defendant</w:t>
      </w:r>
      <w:r w:rsidRPr="00496FB6" w:rsidR="00075504">
        <w:t xml:space="preserve"> argued this was “in</w:t>
      </w:r>
      <w:r w:rsidRPr="00496FB6" w:rsidR="004F7B9F">
        <w:t>effective counsel</w:t>
      </w:r>
      <w:r w:rsidRPr="00496FB6" w:rsidR="00EF5306">
        <w:t xml:space="preserve">.” </w:t>
      </w:r>
      <w:r w:rsidRPr="00496FB6" w:rsidR="00B22CCF">
        <w:t xml:space="preserve"> </w:t>
      </w:r>
      <w:r w:rsidRPr="00496FB6" w:rsidR="00A24BC5">
        <w:t>Defendant</w:t>
      </w:r>
      <w:r w:rsidRPr="00496FB6" w:rsidR="00EF5306">
        <w:t xml:space="preserve"> added that he had no objection to the appointment of standby counsel if the court were to grant a </w:t>
      </w:r>
      <w:r w:rsidRPr="00496FB6" w:rsidR="00EF5306">
        <w:rPr>
          <w:i/>
          <w:iCs/>
        </w:rPr>
        <w:t>Faretta</w:t>
      </w:r>
      <w:r w:rsidRPr="00496FB6" w:rsidR="00EF5306">
        <w:t xml:space="preserve"> motion</w:t>
      </w:r>
      <w:r w:rsidRPr="00496FB6" w:rsidR="00B234C0">
        <w:t xml:space="preserve"> and deem such an appointment necessary. </w:t>
      </w:r>
      <w:r w:rsidRPr="00496FB6" w:rsidR="00064483">
        <w:t xml:space="preserve"> </w:t>
      </w:r>
      <w:r w:rsidR="00FF4EA4">
        <w:t>D</w:t>
      </w:r>
      <w:r w:rsidRPr="00496FB6" w:rsidR="00E960BA">
        <w:t xml:space="preserve">efense counsel </w:t>
      </w:r>
      <w:r w:rsidR="00FF4EA4">
        <w:t xml:space="preserve">responded by </w:t>
      </w:r>
      <w:r w:rsidRPr="00496FB6" w:rsidR="00E960BA">
        <w:t>explain</w:t>
      </w:r>
      <w:r w:rsidR="00FF4EA4">
        <w:t>ing</w:t>
      </w:r>
      <w:r w:rsidRPr="00496FB6" w:rsidR="00E960BA">
        <w:t xml:space="preserve"> </w:t>
      </w:r>
      <w:r w:rsidR="00FF4EA4">
        <w:t>that she wanted</w:t>
      </w:r>
      <w:r w:rsidRPr="00496FB6" w:rsidR="0013671D">
        <w:t xml:space="preserve"> </w:t>
      </w:r>
      <w:r w:rsidRPr="00496FB6" w:rsidR="00DD6CEF">
        <w:t xml:space="preserve">to </w:t>
      </w:r>
      <w:r w:rsidRPr="00496FB6" w:rsidR="00E960BA">
        <w:t>hav</w:t>
      </w:r>
      <w:r w:rsidRPr="00496FB6" w:rsidR="00DD6CEF">
        <w:t>e</w:t>
      </w:r>
      <w:r w:rsidRPr="00496FB6" w:rsidR="00E960BA">
        <w:t xml:space="preserve"> </w:t>
      </w:r>
      <w:r w:rsidRPr="00496FB6" w:rsidR="00A24BC5">
        <w:t>defendant</w:t>
      </w:r>
      <w:r w:rsidRPr="00496FB6" w:rsidR="00E960BA">
        <w:t xml:space="preserve"> testify </w:t>
      </w:r>
      <w:r w:rsidRPr="00496FB6" w:rsidR="00DD6CEF">
        <w:t xml:space="preserve">before an expert who had conducted a psychiatric evaluation of </w:t>
      </w:r>
      <w:r w:rsidRPr="00496FB6" w:rsidR="00A24BC5">
        <w:t>defendant</w:t>
      </w:r>
      <w:r w:rsidRPr="00496FB6" w:rsidR="00DD6CEF">
        <w:t xml:space="preserve">. </w:t>
      </w:r>
      <w:r w:rsidRPr="00496FB6" w:rsidR="006642B0">
        <w:t xml:space="preserve"> </w:t>
      </w:r>
    </w:p>
    <w:p w:rsidR="00C83B3C" w:rsidRPr="00496FB6" w:rsidP="00FF2A92" w14:paraId="6C6C97AD" w14:textId="4797593F">
      <w:pPr>
        <w:ind w:firstLine="720"/>
      </w:pPr>
      <w:r w:rsidRPr="00496FB6">
        <w:t xml:space="preserve">Following </w:t>
      </w:r>
      <w:r w:rsidRPr="00496FB6" w:rsidR="00514BC8">
        <w:t xml:space="preserve">further discussion between the </w:t>
      </w:r>
      <w:r w:rsidRPr="00496FB6" w:rsidR="003F54D9">
        <w:t xml:space="preserve">trial </w:t>
      </w:r>
      <w:r w:rsidRPr="00496FB6" w:rsidR="00514BC8">
        <w:t xml:space="preserve">court and </w:t>
      </w:r>
      <w:r w:rsidRPr="00496FB6" w:rsidR="00A24BC5">
        <w:t>defendant</w:t>
      </w:r>
      <w:r w:rsidRPr="00496FB6" w:rsidR="00514BC8">
        <w:t xml:space="preserve"> concerning the nature of his </w:t>
      </w:r>
      <w:r w:rsidRPr="00496FB6" w:rsidR="00732F12">
        <w:t>“</w:t>
      </w:r>
      <w:r w:rsidRPr="00496FB6" w:rsidR="00514BC8">
        <w:rPr>
          <w:i/>
          <w:iCs/>
        </w:rPr>
        <w:t>Marsden</w:t>
      </w:r>
      <w:r w:rsidRPr="00496FB6" w:rsidR="00514BC8">
        <w:t xml:space="preserve"> </w:t>
      </w:r>
      <w:r w:rsidRPr="00496FB6" w:rsidR="00732F12">
        <w:t>slash</w:t>
      </w:r>
      <w:r w:rsidRPr="00496FB6" w:rsidR="00514BC8">
        <w:t xml:space="preserve"> </w:t>
      </w:r>
      <w:r w:rsidRPr="00496FB6" w:rsidR="00514BC8">
        <w:rPr>
          <w:i/>
          <w:iCs/>
        </w:rPr>
        <w:t>Faretta</w:t>
      </w:r>
      <w:r w:rsidRPr="00496FB6" w:rsidR="00514BC8">
        <w:t xml:space="preserve"> motion,</w:t>
      </w:r>
      <w:r w:rsidRPr="00496FB6" w:rsidR="00732F12">
        <w:t>”</w:t>
      </w:r>
      <w:r w:rsidRPr="00496FB6" w:rsidR="00514BC8">
        <w:t xml:space="preserve"> </w:t>
      </w:r>
      <w:r w:rsidRPr="00496FB6" w:rsidR="00B22CCF">
        <w:t xml:space="preserve">including whether </w:t>
      </w:r>
      <w:r w:rsidRPr="00496FB6" w:rsidR="00A24BC5">
        <w:t>defendant</w:t>
      </w:r>
      <w:r w:rsidRPr="00496FB6" w:rsidR="00C80895">
        <w:t>’s decision to testify was dependent on the court’s ruling</w:t>
      </w:r>
      <w:r w:rsidRPr="00496FB6" w:rsidR="009C2227">
        <w:t xml:space="preserve">, </w:t>
      </w:r>
      <w:r w:rsidRPr="00496FB6" w:rsidR="00514BC8">
        <w:t>the court denied the motion.  The court explained</w:t>
      </w:r>
      <w:r w:rsidRPr="00496FB6" w:rsidR="00DE3622">
        <w:t xml:space="preserve"> that the motion continued to be </w:t>
      </w:r>
      <w:r w:rsidRPr="00496FB6" w:rsidR="006C702B">
        <w:t>“late”</w:t>
      </w:r>
      <w:r w:rsidRPr="00496FB6" w:rsidR="00DE3622">
        <w:t xml:space="preserve"> and that it appeared to be equivocal in </w:t>
      </w:r>
      <w:r w:rsidRPr="00496FB6" w:rsidR="006C702B">
        <w:t xml:space="preserve">“the sense that </w:t>
      </w:r>
      <w:r w:rsidRPr="00496FB6" w:rsidR="00F7587E">
        <w:t>you’re telling me that certain decision</w:t>
      </w:r>
      <w:r w:rsidRPr="00496FB6" w:rsidR="00C80895">
        <w:t>s</w:t>
      </w:r>
      <w:r w:rsidRPr="00496FB6" w:rsidR="00F7587E">
        <w:t xml:space="preserve"> you’re goin</w:t>
      </w:r>
      <w:r w:rsidRPr="00496FB6" w:rsidR="00C80895">
        <w:t>g</w:t>
      </w:r>
      <w:r w:rsidRPr="00496FB6" w:rsidR="00F7587E">
        <w:t xml:space="preserve"> to make will be based on </w:t>
      </w:r>
      <w:r w:rsidRPr="00496FB6" w:rsidR="001A36F7">
        <w:t xml:space="preserve">what I do.” </w:t>
      </w:r>
      <w:r w:rsidRPr="00496FB6" w:rsidR="0013671D">
        <w:t xml:space="preserve"> </w:t>
      </w:r>
      <w:r w:rsidRPr="00496FB6" w:rsidR="001A36F7">
        <w:t xml:space="preserve">The court </w:t>
      </w:r>
      <w:r w:rsidRPr="00496FB6" w:rsidR="00AF55B5">
        <w:t xml:space="preserve">stated </w:t>
      </w:r>
      <w:r w:rsidRPr="00496FB6" w:rsidR="001A36F7">
        <w:t xml:space="preserve">that the issue of whether </w:t>
      </w:r>
      <w:r w:rsidRPr="00496FB6" w:rsidR="00A24BC5">
        <w:t>defendant</w:t>
      </w:r>
      <w:r w:rsidRPr="00496FB6" w:rsidR="001A36F7">
        <w:t xml:space="preserve"> intended to testify was </w:t>
      </w:r>
      <w:r w:rsidRPr="00496FB6" w:rsidR="00AF55B5">
        <w:t>not “abundantly clear,” and t</w:t>
      </w:r>
      <w:r w:rsidRPr="00496FB6" w:rsidR="003A0EB2">
        <w:t>he court</w:t>
      </w:r>
      <w:r w:rsidRPr="00496FB6" w:rsidR="00AF55B5">
        <w:t xml:space="preserve"> acknowledged that it could not say that it “complete</w:t>
      </w:r>
      <w:r w:rsidRPr="00496FB6" w:rsidR="00681B2D">
        <w:t>ly</w:t>
      </w:r>
      <w:r w:rsidRPr="00496FB6" w:rsidR="00AF55B5">
        <w:t xml:space="preserve"> underst[ood]” </w:t>
      </w:r>
      <w:r w:rsidRPr="00496FB6" w:rsidR="00A24BC5">
        <w:t>defendant</w:t>
      </w:r>
      <w:r w:rsidRPr="00496FB6" w:rsidR="00AF55B5">
        <w:t xml:space="preserve"> on this issue. </w:t>
      </w:r>
      <w:r w:rsidRPr="00496FB6" w:rsidR="00627D11">
        <w:t xml:space="preserve"> However, the court stated </w:t>
      </w:r>
      <w:r w:rsidRPr="00496FB6" w:rsidR="00064BB0">
        <w:t xml:space="preserve">that it still regarded the </w:t>
      </w:r>
      <w:r w:rsidRPr="00496FB6" w:rsidR="00064BB0">
        <w:rPr>
          <w:i/>
          <w:iCs/>
        </w:rPr>
        <w:t>Faretta</w:t>
      </w:r>
      <w:r w:rsidRPr="00496FB6" w:rsidR="00064BB0">
        <w:t xml:space="preserve"> motion as equivocal in that </w:t>
      </w:r>
      <w:r w:rsidRPr="00496FB6" w:rsidR="00A24BC5">
        <w:t>defendant</w:t>
      </w:r>
      <w:r w:rsidRPr="00496FB6" w:rsidR="00064BB0">
        <w:t xml:space="preserve"> would “prepare one way if you have counsel and one way if you don’t have counsel.” </w:t>
      </w:r>
      <w:r w:rsidRPr="00496FB6" w:rsidR="00DF418A">
        <w:t xml:space="preserve"> As to the </w:t>
      </w:r>
      <w:r w:rsidRPr="00496FB6" w:rsidR="00DF418A">
        <w:rPr>
          <w:i/>
          <w:iCs/>
        </w:rPr>
        <w:t>Marsden</w:t>
      </w:r>
      <w:r w:rsidRPr="00496FB6" w:rsidR="00DF418A">
        <w:t xml:space="preserve"> motion, the trial court </w:t>
      </w:r>
      <w:r w:rsidRPr="00496FB6" w:rsidR="003A0EB2">
        <w:t>ruled that</w:t>
      </w:r>
      <w:r w:rsidRPr="00496FB6" w:rsidR="00DF418A">
        <w:t xml:space="preserve"> </w:t>
      </w:r>
      <w:r w:rsidRPr="00496FB6" w:rsidR="00A24BC5">
        <w:t>defendant</w:t>
      </w:r>
      <w:r w:rsidRPr="00496FB6" w:rsidR="00B23E2E">
        <w:t xml:space="preserve"> had not made a sufficient showing of ineffective representation.  </w:t>
      </w:r>
    </w:p>
    <w:p w:rsidR="001247E2" w:rsidRPr="00496FB6" w:rsidP="00FF2A92" w14:paraId="0247E1D8" w14:textId="3AC46F21">
      <w:pPr>
        <w:ind w:firstLine="720"/>
      </w:pPr>
      <w:r w:rsidRPr="00496FB6">
        <w:t xml:space="preserve">The following day, </w:t>
      </w:r>
      <w:r w:rsidRPr="00496FB6" w:rsidR="00EE587F">
        <w:t xml:space="preserve">at a hearing outside the presence of the jury, </w:t>
      </w:r>
      <w:r w:rsidRPr="00496FB6" w:rsidR="00A24BC5">
        <w:t>defendant</w:t>
      </w:r>
      <w:r w:rsidRPr="00496FB6" w:rsidR="008840FE">
        <w:t xml:space="preserve"> stated that his decision not to testify had been made under </w:t>
      </w:r>
      <w:r w:rsidRPr="00496FB6" w:rsidR="003E5774">
        <w:t>“</w:t>
      </w:r>
      <w:r w:rsidRPr="00496FB6" w:rsidR="008840FE">
        <w:t>duress,</w:t>
      </w:r>
      <w:r w:rsidRPr="00496FB6" w:rsidR="003E5774">
        <w:t xml:space="preserve">” </w:t>
      </w:r>
      <w:r w:rsidRPr="00496FB6" w:rsidR="009B5B8C">
        <w:t xml:space="preserve">which </w:t>
      </w:r>
      <w:r w:rsidRPr="00496FB6" w:rsidR="00EE587F">
        <w:t>was</w:t>
      </w:r>
      <w:r w:rsidRPr="00496FB6" w:rsidR="009A18A8">
        <w:t xml:space="preserve"> related </w:t>
      </w:r>
      <w:r w:rsidRPr="00496FB6" w:rsidR="00EE587F">
        <w:t xml:space="preserve">in part </w:t>
      </w:r>
      <w:r w:rsidRPr="00496FB6" w:rsidR="009A18A8">
        <w:t xml:space="preserve">to </w:t>
      </w:r>
      <w:r w:rsidRPr="00496FB6" w:rsidR="003E5774">
        <w:t xml:space="preserve">the </w:t>
      </w:r>
      <w:r w:rsidRPr="00496FB6" w:rsidR="00093AFC">
        <w:t xml:space="preserve">trial </w:t>
      </w:r>
      <w:r w:rsidRPr="00496FB6" w:rsidR="003E5774">
        <w:t xml:space="preserve">court’s denial of his </w:t>
      </w:r>
      <w:r w:rsidRPr="00496FB6" w:rsidR="003E5774">
        <w:rPr>
          <w:i/>
          <w:iCs/>
        </w:rPr>
        <w:t xml:space="preserve">Faretta </w:t>
      </w:r>
      <w:r w:rsidRPr="00496FB6" w:rsidR="003E5774">
        <w:t xml:space="preserve">and </w:t>
      </w:r>
      <w:r w:rsidRPr="00496FB6" w:rsidR="003E5774">
        <w:rPr>
          <w:i/>
          <w:iCs/>
        </w:rPr>
        <w:t>Marsden</w:t>
      </w:r>
      <w:r w:rsidRPr="00496FB6" w:rsidR="003E5774">
        <w:t xml:space="preserve"> motions. </w:t>
      </w:r>
      <w:r w:rsidRPr="00496FB6" w:rsidR="007A66DA">
        <w:t xml:space="preserve"> </w:t>
      </w:r>
      <w:r w:rsidRPr="00496FB6">
        <w:t xml:space="preserve">The court responded </w:t>
      </w:r>
      <w:r w:rsidRPr="00496FB6" w:rsidR="009A18A8">
        <w:t>by stating it</w:t>
      </w:r>
      <w:r w:rsidRPr="00496FB6">
        <w:t xml:space="preserve"> disagreed with </w:t>
      </w:r>
      <w:r w:rsidRPr="00496FB6" w:rsidR="00A24BC5">
        <w:t>defendant</w:t>
      </w:r>
      <w:r w:rsidRPr="00496FB6">
        <w:t>’s characterization</w:t>
      </w:r>
      <w:r w:rsidRPr="00496FB6" w:rsidR="00EB545E">
        <w:t xml:space="preserve"> and </w:t>
      </w:r>
      <w:r w:rsidRPr="00496FB6">
        <w:t>add</w:t>
      </w:r>
      <w:r w:rsidRPr="00496FB6" w:rsidR="00EB545E">
        <w:t>ed</w:t>
      </w:r>
      <w:r w:rsidRPr="00496FB6">
        <w:t xml:space="preserve"> “</w:t>
      </w:r>
      <w:r w:rsidRPr="00496FB6" w:rsidR="006F5C95">
        <w:t xml:space="preserve">if this is construed by anybody as a renewed </w:t>
      </w:r>
      <w:r w:rsidRPr="00496FB6" w:rsidR="006F5C95">
        <w:rPr>
          <w:i/>
          <w:iCs/>
        </w:rPr>
        <w:t xml:space="preserve">Faretta </w:t>
      </w:r>
      <w:r w:rsidRPr="00496FB6" w:rsidR="006F5C95">
        <w:t xml:space="preserve">motion, it is denied.” </w:t>
      </w:r>
      <w:r w:rsidRPr="00496FB6" w:rsidR="00C83B3C">
        <w:t xml:space="preserve"> </w:t>
      </w:r>
    </w:p>
    <w:p w:rsidR="0074384A" w:rsidRPr="00496FB6" w:rsidP="00CF5962" w14:paraId="6B03140B" w14:textId="02991E94">
      <w:pPr>
        <w:pStyle w:val="Heading3"/>
        <w:tabs>
          <w:tab w:val="clear" w:pos="1584"/>
        </w:tabs>
      </w:pPr>
      <w:bookmarkStart w:id="126" w:name="_Toc147519569"/>
      <w:bookmarkStart w:id="127" w:name="_Toc147845697"/>
      <w:r w:rsidRPr="00496FB6">
        <w:rPr>
          <w:i w:val="0"/>
          <w:iCs/>
        </w:rPr>
        <w:t>3.</w:t>
      </w:r>
      <w:r w:rsidRPr="00496FB6" w:rsidR="0074483D">
        <w:rPr>
          <w:i w:val="0"/>
          <w:iCs/>
        </w:rPr>
        <w:tab/>
      </w:r>
      <w:bookmarkEnd w:id="126"/>
      <w:r w:rsidRPr="00496FB6" w:rsidR="004B135D">
        <w:t>Analysis</w:t>
      </w:r>
      <w:bookmarkEnd w:id="127"/>
    </w:p>
    <w:p w:rsidR="0014472D" w:rsidRPr="00496FB6" w:rsidP="00CF5962" w14:paraId="7FAF64CC" w14:textId="577E45F7">
      <w:pPr>
        <w:ind w:firstLine="720"/>
      </w:pPr>
      <w:r w:rsidRPr="00496FB6">
        <w:t>Defendant</w:t>
      </w:r>
      <w:r w:rsidRPr="00496FB6" w:rsidR="002D4FF8">
        <w:t xml:space="preserve"> raises several </w:t>
      </w:r>
      <w:r w:rsidRPr="00496FB6" w:rsidR="007E5BB3">
        <w:t>related</w:t>
      </w:r>
      <w:r w:rsidRPr="00496FB6" w:rsidR="002D4FF8">
        <w:t xml:space="preserve"> claims of error </w:t>
      </w:r>
      <w:r w:rsidRPr="00496FB6" w:rsidR="007A66DA">
        <w:t>regarding</w:t>
      </w:r>
      <w:r w:rsidRPr="00496FB6" w:rsidR="002D4FF8">
        <w:t xml:space="preserve"> the denials of his motions</w:t>
      </w:r>
      <w:r w:rsidRPr="00496FB6" w:rsidR="00241E96">
        <w:t xml:space="preserve"> for self-representation</w:t>
      </w:r>
      <w:r w:rsidRPr="00496FB6" w:rsidR="002D4FF8">
        <w:t xml:space="preserve">.  </w:t>
      </w:r>
      <w:r w:rsidRPr="00496FB6" w:rsidR="007A66DA">
        <w:t>First</w:t>
      </w:r>
      <w:r w:rsidRPr="00496FB6" w:rsidR="002D4FF8">
        <w:t xml:space="preserve">, </w:t>
      </w:r>
      <w:r w:rsidRPr="00496FB6" w:rsidR="00D82EC8">
        <w:t>defendant</w:t>
      </w:r>
      <w:r w:rsidRPr="00496FB6" w:rsidR="002D4FF8">
        <w:t xml:space="preserve"> broadly claims that a criminal defendant has a constitutional right to self-representation so long as the assertion of that right would not unjustifiably disrupt the trial or obstruct the administration of justice. </w:t>
      </w:r>
      <w:r w:rsidRPr="00496FB6" w:rsidR="0014075D">
        <w:t xml:space="preserve"> </w:t>
      </w:r>
      <w:r w:rsidRPr="00496FB6" w:rsidR="002D4FF8">
        <w:t>In support of this claim, he contends that the “reasonable time requirement</w:t>
      </w:r>
      <w:r w:rsidR="00D22A9E">
        <w:t>”</w:t>
      </w:r>
      <w:r>
        <w:rPr>
          <w:rStyle w:val="FootnoteReference"/>
        </w:rPr>
        <w:footnoteReference w:id="22"/>
      </w:r>
      <w:r w:rsidRPr="00496FB6" w:rsidR="002D4FF8">
        <w:t xml:space="preserve"> for asserting the right to self-representation that this court </w:t>
      </w:r>
      <w:r w:rsidRPr="00496FB6" w:rsidR="00DF5A25">
        <w:t xml:space="preserve">first </w:t>
      </w:r>
      <w:r w:rsidRPr="00496FB6" w:rsidR="002D4FF8">
        <w:t xml:space="preserve">established </w:t>
      </w:r>
      <w:r w:rsidRPr="00C244AF" w:rsidR="002D4FF8">
        <w:t xml:space="preserve">in </w:t>
      </w:r>
      <w:bookmarkStart w:id="130" w:name="dabmci_75194b6521e1472b9d9ea8f5abb15698"/>
      <w:r w:rsidRPr="00C244AF" w:rsidR="002D4FF8">
        <w:rPr>
          <w:i/>
          <w:iCs/>
        </w:rPr>
        <w:t>Windham</w:t>
      </w:r>
      <w:r w:rsidRPr="00C244AF" w:rsidR="00241E96">
        <w:t xml:space="preserve">, </w:t>
      </w:r>
      <w:r w:rsidRPr="00C244AF" w:rsidR="00241E96">
        <w:rPr>
          <w:i/>
          <w:iCs/>
        </w:rPr>
        <w:t>supra</w:t>
      </w:r>
      <w:r w:rsidRPr="00C244AF" w:rsidR="00241E96">
        <w:t>,</w:t>
      </w:r>
      <w:r w:rsidRPr="00C244AF" w:rsidR="00A45DC3">
        <w:t xml:space="preserve"> </w:t>
      </w:r>
      <w:r w:rsidRPr="00C244AF" w:rsidR="002D4FF8">
        <w:t>19</w:t>
      </w:r>
      <w:r w:rsidRPr="00C244AF" w:rsidR="00D1441B">
        <w:t> </w:t>
      </w:r>
      <w:r w:rsidRPr="00C244AF" w:rsidR="002D4FF8">
        <w:t>Cal.3d</w:t>
      </w:r>
      <w:r w:rsidRPr="00C244AF" w:rsidR="003A34D6">
        <w:t xml:space="preserve"> at p</w:t>
      </w:r>
      <w:r w:rsidRPr="00C244AF" w:rsidR="00123A92">
        <w:t>age</w:t>
      </w:r>
      <w:r w:rsidRPr="00C244AF" w:rsidR="002D4FF8">
        <w:t xml:space="preserve"> 12</w:t>
      </w:r>
      <w:r w:rsidRPr="00C244AF" w:rsidR="003A34D6">
        <w:t>8</w:t>
      </w:r>
      <w:bookmarkEnd w:id="130"/>
      <w:r w:rsidRPr="00C244AF" w:rsidR="00241E96">
        <w:t xml:space="preserve"> </w:t>
      </w:r>
      <w:r w:rsidRPr="00C244AF" w:rsidR="002D4FF8">
        <w:t>may</w:t>
      </w:r>
      <w:r w:rsidRPr="00496FB6" w:rsidR="002D4FF8">
        <w:t xml:space="preserve"> only be used to deny a defendant the right to self-representation where such assertion would obstruct justice.</w:t>
      </w:r>
      <w:r w:rsidRPr="00496FB6" w:rsidR="00E3567B">
        <w:t xml:space="preserve">  </w:t>
      </w:r>
      <w:r w:rsidRPr="00496FB6" w:rsidR="002D4FF8">
        <w:t xml:space="preserve">We have recently rejected this claim.  (See </w:t>
      </w:r>
      <w:bookmarkStart w:id="131" w:name="dabmci_a6634139e1514ed3843f621e0072c113"/>
      <w:r w:rsidRPr="00496FB6" w:rsidR="002D4FF8">
        <w:rPr>
          <w:i/>
          <w:iCs/>
        </w:rPr>
        <w:t>People v. Bloom</w:t>
      </w:r>
      <w:r w:rsidRPr="00496FB6" w:rsidR="002D4FF8">
        <w:t xml:space="preserve"> (2022) 12</w:t>
      </w:r>
      <w:r w:rsidRPr="00496FB6" w:rsidR="00D1441B">
        <w:t> </w:t>
      </w:r>
      <w:r w:rsidRPr="00496FB6" w:rsidR="002D4FF8">
        <w:t xml:space="preserve">Cal.5th 1008, 1057 </w:t>
      </w:r>
      <w:r w:rsidRPr="00496FB6" w:rsidR="00C32636">
        <w:t>(</w:t>
      </w:r>
      <w:r w:rsidRPr="00496FB6" w:rsidR="00C32636">
        <w:rPr>
          <w:i/>
          <w:iCs/>
        </w:rPr>
        <w:t>Bloom</w:t>
      </w:r>
      <w:r w:rsidRPr="00496FB6" w:rsidR="00C32636">
        <w:t>)</w:t>
      </w:r>
      <w:bookmarkEnd w:id="131"/>
      <w:r w:rsidRPr="00496FB6" w:rsidR="00C32636">
        <w:t xml:space="preserve"> </w:t>
      </w:r>
      <w:r w:rsidRPr="00496FB6" w:rsidR="002D4FF8">
        <w:t>[</w:t>
      </w:r>
      <w:r w:rsidRPr="00496FB6" w:rsidR="005117CA">
        <w:t>concluding</w:t>
      </w:r>
      <w:r w:rsidRPr="00496FB6" w:rsidR="002D4FF8">
        <w:t xml:space="preserve"> that defendant’s claim that “a belated request must be granted unless it would entail undue delay or interfere with the orderly administration of justice” was “without merit”]</w:t>
      </w:r>
      <w:r w:rsidRPr="00496FB6" w:rsidR="002A7840">
        <w:t xml:space="preserve">; </w:t>
      </w:r>
      <w:r w:rsidRPr="00496FB6" w:rsidR="00C979E5">
        <w:t>accord</w:t>
      </w:r>
      <w:r w:rsidRPr="00496FB6" w:rsidR="00130A6F">
        <w:t>,</w:t>
      </w:r>
      <w:r w:rsidRPr="00496FB6" w:rsidR="00C979E5">
        <w:t xml:space="preserve"> </w:t>
      </w:r>
      <w:bookmarkStart w:id="132" w:name="dabmci_c24f073adec84d6a86186983476844fc"/>
      <w:r w:rsidRPr="00496FB6" w:rsidR="00B44FA2">
        <w:rPr>
          <w:i/>
          <w:iCs/>
        </w:rPr>
        <w:t>Thomas</w:t>
      </w:r>
      <w:r w:rsidRPr="00496FB6" w:rsidR="00B44FA2">
        <w:t>,</w:t>
      </w:r>
      <w:r w:rsidRPr="00496FB6" w:rsidR="000B1760">
        <w:t xml:space="preserve"> </w:t>
      </w:r>
      <w:r w:rsidRPr="00496FB6" w:rsidR="00B44FA2">
        <w:rPr>
          <w:i/>
          <w:iCs/>
        </w:rPr>
        <w:t>supra</w:t>
      </w:r>
      <w:r w:rsidRPr="00496FB6" w:rsidR="00B44FA2">
        <w:t>, 14</w:t>
      </w:r>
      <w:r w:rsidRPr="00496FB6" w:rsidR="00D1441B">
        <w:t> </w:t>
      </w:r>
      <w:r w:rsidRPr="00496FB6" w:rsidR="00B44FA2">
        <w:t>Cal.5th at p.</w:t>
      </w:r>
      <w:r w:rsidRPr="00496FB6" w:rsidR="00D1441B">
        <w:t> </w:t>
      </w:r>
      <w:r w:rsidRPr="00496FB6" w:rsidR="00EC371B">
        <w:t>398</w:t>
      </w:r>
      <w:bookmarkEnd w:id="132"/>
      <w:r w:rsidRPr="00496FB6" w:rsidR="00EC371B">
        <w:t xml:space="preserve"> [</w:t>
      </w:r>
      <w:r w:rsidRPr="00496FB6" w:rsidR="00187F5D">
        <w:t>refusing to “adopt a rule that a self-representation request is assumed to be timely if the defendant does not request a continuance or cause future delay</w:t>
      </w:r>
      <w:r w:rsidRPr="00496FB6" w:rsidR="00130A6F">
        <w:t>,</w:t>
      </w:r>
      <w:r w:rsidRPr="00496FB6" w:rsidR="00187F5D">
        <w:t xml:space="preserve">” citing </w:t>
      </w:r>
      <w:bookmarkStart w:id="133" w:name="dabmci_5881bc95e88c49b4ba017cbd745cafc7"/>
      <w:r w:rsidRPr="00496FB6" w:rsidR="00187F5D">
        <w:rPr>
          <w:i/>
          <w:iCs/>
        </w:rPr>
        <w:t>Bloom</w:t>
      </w:r>
      <w:r w:rsidRPr="00496FB6" w:rsidR="0062147F">
        <w:t>,</w:t>
      </w:r>
      <w:r w:rsidRPr="00496FB6" w:rsidR="000B1760">
        <w:t xml:space="preserve"> </w:t>
      </w:r>
      <w:r w:rsidRPr="00496FB6" w:rsidR="0062147F">
        <w:t>at p.</w:t>
      </w:r>
      <w:r w:rsidRPr="00496FB6" w:rsidR="00D1441B">
        <w:t> </w:t>
      </w:r>
      <w:r w:rsidRPr="00496FB6" w:rsidR="0062147F">
        <w:t>1057</w:t>
      </w:r>
      <w:bookmarkEnd w:id="133"/>
      <w:r w:rsidRPr="00496FB6" w:rsidR="0062147F">
        <w:t>]</w:t>
      </w:r>
      <w:r w:rsidRPr="00496FB6" w:rsidR="00C32636">
        <w:t>.)</w:t>
      </w:r>
      <w:r w:rsidRPr="00496FB6" w:rsidR="00A32B60">
        <w:t xml:space="preserve">  </w:t>
      </w:r>
    </w:p>
    <w:p w:rsidR="002D4FF8" w:rsidRPr="00496FB6" w:rsidP="00CF5962" w14:paraId="118F4E50" w14:textId="32B74DD4">
      <w:pPr>
        <w:ind w:firstLine="720"/>
      </w:pPr>
      <w:r w:rsidRPr="00496FB6">
        <w:t xml:space="preserve">As </w:t>
      </w:r>
      <w:r w:rsidRPr="00496FB6" w:rsidR="00181713">
        <w:t xml:space="preserve">we explained in </w:t>
      </w:r>
      <w:r w:rsidRPr="00496FB6">
        <w:rPr>
          <w:i/>
          <w:iCs/>
        </w:rPr>
        <w:t>Bloom</w:t>
      </w:r>
      <w:r w:rsidRPr="00496FB6">
        <w:t xml:space="preserve">, </w:t>
      </w:r>
      <w:r w:rsidRPr="00496FB6" w:rsidR="00414D95">
        <w:t>for many year</w:t>
      </w:r>
      <w:r w:rsidRPr="00496FB6" w:rsidR="008B31AA">
        <w:t>s</w:t>
      </w:r>
      <w:r w:rsidRPr="00496FB6" w:rsidR="00414D95">
        <w:t xml:space="preserve"> since </w:t>
      </w:r>
      <w:r w:rsidRPr="00496FB6" w:rsidR="00414D95">
        <w:rPr>
          <w:i/>
          <w:iCs/>
        </w:rPr>
        <w:t>Faretta</w:t>
      </w:r>
      <w:r w:rsidRPr="00496FB6" w:rsidR="00414D95">
        <w:t xml:space="preserve">, “this court and others have concluded that that right </w:t>
      </w:r>
      <w:r w:rsidRPr="00496FB6" w:rsidR="00D869C9">
        <w:t xml:space="preserve">[of self-representation] </w:t>
      </w:r>
      <w:r w:rsidRPr="00496FB6" w:rsidR="00414D95">
        <w:t xml:space="preserve">is not absolute if not exercised until the eve of, or after the onset of, trial.” </w:t>
      </w:r>
      <w:r w:rsidRPr="00496FB6" w:rsidR="008B31AA">
        <w:t xml:space="preserve"> </w:t>
      </w:r>
      <w:r w:rsidRPr="00496FB6" w:rsidR="00414D95">
        <w:t>(</w:t>
      </w:r>
      <w:bookmarkStart w:id="134" w:name="dabmci_726ecc70407b41cf99ae8789557be35b"/>
      <w:r w:rsidRPr="00496FB6" w:rsidR="00414D95">
        <w:rPr>
          <w:i/>
          <w:iCs/>
        </w:rPr>
        <w:t>Bloom</w:t>
      </w:r>
      <w:r w:rsidRPr="00496FB6" w:rsidR="00414D95">
        <w:t>,</w:t>
      </w:r>
      <w:r w:rsidRPr="00496FB6" w:rsidR="000B1760">
        <w:t xml:space="preserve"> </w:t>
      </w:r>
      <w:r w:rsidRPr="00496FB6" w:rsidR="00414D95">
        <w:rPr>
          <w:i/>
          <w:iCs/>
        </w:rPr>
        <w:t>supra</w:t>
      </w:r>
      <w:r w:rsidRPr="00496FB6" w:rsidR="00414D95">
        <w:t xml:space="preserve">, </w:t>
      </w:r>
      <w:r w:rsidRPr="00496FB6" w:rsidR="004B4724">
        <w:t>12</w:t>
      </w:r>
      <w:r w:rsidRPr="00496FB6" w:rsidR="00D1441B">
        <w:t> </w:t>
      </w:r>
      <w:r w:rsidRPr="00496FB6" w:rsidR="004B4724">
        <w:t xml:space="preserve">Cal.5th </w:t>
      </w:r>
      <w:r w:rsidRPr="00496FB6" w:rsidR="00414D95">
        <w:t>at</w:t>
      </w:r>
      <w:r w:rsidRPr="00496FB6" w:rsidR="00D1441B">
        <w:t xml:space="preserve"> </w:t>
      </w:r>
      <w:r w:rsidRPr="00496FB6" w:rsidR="00F55386">
        <w:t>p</w:t>
      </w:r>
      <w:r w:rsidRPr="00496FB6" w:rsidR="00414D95">
        <w:t>p.</w:t>
      </w:r>
      <w:r w:rsidRPr="00496FB6" w:rsidR="00D1441B">
        <w:t> </w:t>
      </w:r>
      <w:r w:rsidRPr="00496FB6" w:rsidR="00F55386">
        <w:t>1057–</w:t>
      </w:r>
      <w:r w:rsidRPr="00496FB6" w:rsidR="00414D95">
        <w:t>10</w:t>
      </w:r>
      <w:r w:rsidRPr="00496FB6" w:rsidR="009237DA">
        <w:t>5</w:t>
      </w:r>
      <w:r w:rsidRPr="00496FB6" w:rsidR="00414D95">
        <w:t>8</w:t>
      </w:r>
      <w:bookmarkEnd w:id="134"/>
      <w:r w:rsidRPr="00496FB6" w:rsidR="00414D95">
        <w:t xml:space="preserve">.) </w:t>
      </w:r>
      <w:r w:rsidRPr="00496FB6" w:rsidR="008B31AA">
        <w:t xml:space="preserve"> And w</w:t>
      </w:r>
      <w:r w:rsidRPr="00496FB6" w:rsidR="00344335">
        <w:t xml:space="preserve">here a defendant has brought an </w:t>
      </w:r>
      <w:r w:rsidRPr="00496FB6" w:rsidR="00344335">
        <w:rPr>
          <w:i/>
          <w:iCs/>
        </w:rPr>
        <w:t>untimely</w:t>
      </w:r>
      <w:r w:rsidRPr="00496FB6" w:rsidR="00344335">
        <w:t xml:space="preserve"> motion that is therefore subject to the court’s discretion,</w:t>
      </w:r>
      <w:r w:rsidRPr="00496FB6" w:rsidR="00810EBE">
        <w:t xml:space="preserve"> a court exercising such discretion may consider not only “</w:t>
      </w:r>
      <w:r w:rsidRPr="00496FB6" w:rsidR="00CD3AAF">
        <w:t> ‘</w:t>
      </w:r>
      <w:r w:rsidRPr="00496FB6" w:rsidR="00810EBE">
        <w:t>the potential for delay and disruption</w:t>
      </w:r>
      <w:r w:rsidRPr="00496FB6" w:rsidR="00CD3AAF">
        <w:t>’</w:t>
      </w:r>
      <w:r w:rsidRPr="00496FB6" w:rsidR="00810EBE">
        <w:t xml:space="preserve"> but also </w:t>
      </w:r>
      <w:r w:rsidRPr="00496FB6" w:rsidR="00CD3AAF">
        <w:t>‘</w:t>
      </w:r>
      <w:r w:rsidRPr="00496FB6" w:rsidR="00810EBE">
        <w:t>whether the potential disruption is likely to be aggravated, mitigated, or justified by the surrounding circumstances, including the quality of counsel</w:t>
      </w:r>
      <w:r w:rsidRPr="00496FB6" w:rsidR="009237DA">
        <w:t>’</w:t>
      </w:r>
      <w:r w:rsidRPr="00496FB6" w:rsidR="00810EBE">
        <w:t>s representation to that point, the reasons the defendant gives for the request, and the defendant</w:t>
      </w:r>
      <w:r w:rsidRPr="00496FB6" w:rsidR="009237DA">
        <w:t>’</w:t>
      </w:r>
      <w:r w:rsidRPr="00496FB6" w:rsidR="00810EBE">
        <w:t>s proclivity for substituting counsel.</w:t>
      </w:r>
      <w:r w:rsidRPr="00496FB6" w:rsidR="00CD3AAF">
        <w:t>’ </w:t>
      </w:r>
      <w:r w:rsidRPr="00496FB6" w:rsidR="009237DA">
        <w:t xml:space="preserve">” </w:t>
      </w:r>
      <w:r w:rsidRPr="00496FB6" w:rsidR="00EF73BB">
        <w:t xml:space="preserve"> </w:t>
      </w:r>
      <w:r w:rsidRPr="00496FB6" w:rsidR="009237DA">
        <w:t>(</w:t>
      </w:r>
      <w:bookmarkStart w:id="135" w:name="dabmci_cb00f20577304a9ab04f394d62ae4e78"/>
      <w:r w:rsidRPr="00496FB6" w:rsidR="009237DA">
        <w:rPr>
          <w:i/>
          <w:iCs/>
        </w:rPr>
        <w:t>Id</w:t>
      </w:r>
      <w:bookmarkEnd w:id="135"/>
      <w:r w:rsidRPr="00496FB6" w:rsidR="009237DA">
        <w:t>.</w:t>
      </w:r>
      <w:r w:rsidRPr="00496FB6" w:rsidR="00F55386">
        <w:t xml:space="preserve"> at p. 1058</w:t>
      </w:r>
      <w:r w:rsidRPr="00496FB6" w:rsidR="0014472D">
        <w:t>.)</w:t>
      </w:r>
      <w:r w:rsidRPr="00496FB6" w:rsidR="000835EC">
        <w:t xml:space="preserve"> </w:t>
      </w:r>
      <w:r w:rsidRPr="00496FB6" w:rsidR="00C32636">
        <w:t xml:space="preserve"> </w:t>
      </w:r>
      <w:r w:rsidRPr="00496FB6" w:rsidR="00E60A6F">
        <w:t xml:space="preserve">Defendant offers no persuasive reason for us to </w:t>
      </w:r>
      <w:r w:rsidRPr="00496FB6" w:rsidR="000B1760">
        <w:t>re</w:t>
      </w:r>
      <w:r w:rsidRPr="00496FB6" w:rsidR="00E60A6F">
        <w:t>consider our prior precedent.</w:t>
      </w:r>
      <w:r w:rsidR="00FF4EA4">
        <w:t xml:space="preserve">  </w:t>
      </w:r>
    </w:p>
    <w:p w:rsidR="00BC4F93" w:rsidRPr="00496FB6" w:rsidP="00CF5962" w14:paraId="6AD882B4" w14:textId="73C68EF9">
      <w:pPr>
        <w:ind w:firstLine="720"/>
      </w:pPr>
      <w:r w:rsidRPr="00496FB6">
        <w:t xml:space="preserve">Relatedly, </w:t>
      </w:r>
      <w:r w:rsidRPr="00496FB6" w:rsidR="00D82EC8">
        <w:t>defendant</w:t>
      </w:r>
      <w:r w:rsidRPr="00496FB6" w:rsidR="00D26D29">
        <w:t xml:space="preserve"> maintains that this court</w:t>
      </w:r>
      <w:r w:rsidRPr="00496FB6" w:rsidR="00363C61">
        <w:t>’</w:t>
      </w:r>
      <w:r w:rsidRPr="00496FB6" w:rsidR="00D53256">
        <w:t>s</w:t>
      </w:r>
      <w:r w:rsidRPr="00496FB6" w:rsidR="00363C61">
        <w:t xml:space="preserve"> interpretation of the timeliness requirement for an assertion of </w:t>
      </w:r>
      <w:r w:rsidRPr="00496FB6" w:rsidR="00AE1754">
        <w:t xml:space="preserve">a defendant’s federal </w:t>
      </w:r>
      <w:r w:rsidRPr="00496FB6" w:rsidR="00EF5E8D">
        <w:t xml:space="preserve">right to represent oneself violates the federal </w:t>
      </w:r>
      <w:r w:rsidRPr="00496FB6" w:rsidR="00417554">
        <w:t>C</w:t>
      </w:r>
      <w:r w:rsidRPr="00496FB6" w:rsidR="00EF5E8D">
        <w:t xml:space="preserve">onstitution. </w:t>
      </w:r>
      <w:r w:rsidRPr="00496FB6" w:rsidR="00B343C3">
        <w:t xml:space="preserve"> </w:t>
      </w:r>
      <w:r w:rsidR="00717FFE">
        <w:t>Specifically, d</w:t>
      </w:r>
      <w:r w:rsidRPr="00496FB6" w:rsidR="00D82EC8">
        <w:t>efendant</w:t>
      </w:r>
      <w:r w:rsidRPr="00496FB6" w:rsidR="00AD52CF">
        <w:t xml:space="preserve"> maintain</w:t>
      </w:r>
      <w:r w:rsidRPr="00496FB6" w:rsidR="00DB46E2">
        <w:t>s</w:t>
      </w:r>
      <w:r w:rsidRPr="00496FB6" w:rsidR="00AD52CF">
        <w:t xml:space="preserve"> that </w:t>
      </w:r>
      <w:r w:rsidRPr="00496FB6" w:rsidR="00161BDE">
        <w:t xml:space="preserve">the </w:t>
      </w:r>
      <w:r w:rsidRPr="00496FB6" w:rsidR="006155E4">
        <w:t xml:space="preserve">distinction </w:t>
      </w:r>
      <w:r w:rsidRPr="00496FB6" w:rsidR="00161BDE">
        <w:t xml:space="preserve">we first drew in </w:t>
      </w:r>
      <w:bookmarkStart w:id="136" w:name="dabmci_46c285f14e9546398edf9877c3736110"/>
      <w:r w:rsidRPr="00496FB6" w:rsidR="00161BDE">
        <w:rPr>
          <w:i/>
          <w:iCs/>
        </w:rPr>
        <w:t>Windham</w:t>
      </w:r>
      <w:bookmarkEnd w:id="136"/>
      <w:r w:rsidRPr="00496FB6" w:rsidR="00161BDE">
        <w:t xml:space="preserve"> </w:t>
      </w:r>
      <w:r w:rsidRPr="00496FB6" w:rsidR="006155E4">
        <w:t xml:space="preserve">between </w:t>
      </w:r>
      <w:r w:rsidRPr="00496FB6" w:rsidR="00FF0C6E">
        <w:t xml:space="preserve">assertions of the right to </w:t>
      </w:r>
      <w:r w:rsidRPr="00496FB6" w:rsidR="00161BDE">
        <w:t>self-repres</w:t>
      </w:r>
      <w:r w:rsidRPr="00496FB6" w:rsidR="000926F7">
        <w:t>entation</w:t>
      </w:r>
      <w:r w:rsidRPr="00496FB6" w:rsidR="00FF0C6E">
        <w:t xml:space="preserve"> </w:t>
      </w:r>
      <w:r w:rsidRPr="00496FB6" w:rsidR="000926F7">
        <w:t xml:space="preserve">made </w:t>
      </w:r>
      <w:r w:rsidRPr="00496FB6" w:rsidR="00FF0C6E">
        <w:t>pretrial and</w:t>
      </w:r>
      <w:r w:rsidRPr="00496FB6" w:rsidR="000926F7">
        <w:t xml:space="preserve"> those made</w:t>
      </w:r>
      <w:r w:rsidRPr="00496FB6" w:rsidR="00FF0C6E">
        <w:t xml:space="preserve"> during trial</w:t>
      </w:r>
      <w:r w:rsidRPr="00496FB6" w:rsidR="00460260">
        <w:t xml:space="preserve"> “</w:t>
      </w:r>
      <w:r w:rsidRPr="00496FB6" w:rsidR="00704022">
        <w:t xml:space="preserve">is an unreasonable interpretation of the </w:t>
      </w:r>
      <w:r w:rsidRPr="00496FB6" w:rsidR="00704022">
        <w:rPr>
          <w:i/>
          <w:iCs/>
        </w:rPr>
        <w:t xml:space="preserve">Faretta </w:t>
      </w:r>
      <w:r w:rsidRPr="00496FB6" w:rsidR="00704022">
        <w:t>decision and should not be followed.</w:t>
      </w:r>
      <w:r w:rsidRPr="00496FB6" w:rsidR="000A76C3">
        <w:t xml:space="preserve">” </w:t>
      </w:r>
      <w:r w:rsidRPr="00496FB6" w:rsidR="00B343C3">
        <w:t xml:space="preserve"> </w:t>
      </w:r>
      <w:r w:rsidR="00905FE0">
        <w:t>We</w:t>
      </w:r>
      <w:r w:rsidRPr="00496FB6" w:rsidR="00CA7A0A">
        <w:t xml:space="preserve"> a</w:t>
      </w:r>
      <w:r w:rsidR="00905FE0">
        <w:t>re</w:t>
      </w:r>
      <w:r w:rsidRPr="00496FB6" w:rsidR="00CA7A0A">
        <w:t xml:space="preserve"> not persuaded</w:t>
      </w:r>
      <w:r w:rsidRPr="00496FB6" w:rsidR="00181713">
        <w:t xml:space="preserve"> by defendant’s argument</w:t>
      </w:r>
      <w:r w:rsidRPr="00496FB6" w:rsidR="00CA7A0A">
        <w:t xml:space="preserve">. </w:t>
      </w:r>
      <w:r w:rsidRPr="00496FB6" w:rsidR="001767D6">
        <w:t xml:space="preserve"> As we explained in </w:t>
      </w:r>
      <w:bookmarkStart w:id="137" w:name="dabmci_5b922803f6a043ec902d445254ff7bfa"/>
      <w:r w:rsidRPr="00496FB6" w:rsidR="001767D6">
        <w:rPr>
          <w:i/>
          <w:iCs/>
        </w:rPr>
        <w:t>Windham</w:t>
      </w:r>
      <w:bookmarkEnd w:id="137"/>
      <w:r w:rsidRPr="00496FB6" w:rsidR="001767D6">
        <w:t xml:space="preserve">, </w:t>
      </w:r>
      <w:r w:rsidRPr="00496FB6" w:rsidR="00A94AC5">
        <w:t xml:space="preserve">federal cases </w:t>
      </w:r>
      <w:r w:rsidRPr="00496FB6" w:rsidR="000926F7">
        <w:t>both before and after</w:t>
      </w:r>
      <w:r w:rsidRPr="00496FB6" w:rsidR="00A94AC5">
        <w:t xml:space="preserve"> </w:t>
      </w:r>
      <w:r w:rsidRPr="00496FB6" w:rsidR="00A94AC5">
        <w:rPr>
          <w:i/>
          <w:iCs/>
        </w:rPr>
        <w:t>Faretta</w:t>
      </w:r>
      <w:r w:rsidRPr="00496FB6" w:rsidR="00A94AC5">
        <w:t xml:space="preserve"> </w:t>
      </w:r>
      <w:r w:rsidRPr="00496FB6" w:rsidR="00C96F52">
        <w:t>drew</w:t>
      </w:r>
      <w:r w:rsidRPr="00496FB6" w:rsidR="004423BF">
        <w:t xml:space="preserve"> </w:t>
      </w:r>
      <w:r w:rsidRPr="00496FB6" w:rsidR="00B424DA">
        <w:t>this same</w:t>
      </w:r>
      <w:r w:rsidRPr="00496FB6" w:rsidR="004423BF">
        <w:t xml:space="preserve"> distinction</w:t>
      </w:r>
      <w:r w:rsidRPr="00496FB6" w:rsidR="00F36076">
        <w:t xml:space="preserve">.  (See </w:t>
      </w:r>
      <w:bookmarkStart w:id="138" w:name="dabmci_15f353b735584508a6fd236b3a346332"/>
      <w:r w:rsidRPr="00496FB6" w:rsidR="00F36076">
        <w:rPr>
          <w:i/>
          <w:iCs/>
        </w:rPr>
        <w:t>Windham</w:t>
      </w:r>
      <w:r w:rsidRPr="00496FB6" w:rsidR="00F36076">
        <w:t>,</w:t>
      </w:r>
      <w:r w:rsidRPr="00496FB6" w:rsidR="000B1760">
        <w:t xml:space="preserve"> </w:t>
      </w:r>
      <w:r w:rsidRPr="00496FB6" w:rsidR="00F36076">
        <w:rPr>
          <w:i/>
          <w:iCs/>
        </w:rPr>
        <w:t>supra</w:t>
      </w:r>
      <w:r w:rsidRPr="00496FB6" w:rsidR="00F36076">
        <w:t>, 19</w:t>
      </w:r>
      <w:r w:rsidRPr="00496FB6" w:rsidR="002402BB">
        <w:t> </w:t>
      </w:r>
      <w:r w:rsidRPr="00496FB6" w:rsidR="00F36076">
        <w:t>Cal.3d at pp.</w:t>
      </w:r>
      <w:r w:rsidRPr="00496FB6" w:rsidR="002402BB">
        <w:t> </w:t>
      </w:r>
      <w:r w:rsidRPr="00496FB6" w:rsidR="00F36076">
        <w:t>126–128</w:t>
      </w:r>
      <w:bookmarkEnd w:id="138"/>
      <w:r w:rsidRPr="00496FB6" w:rsidR="00C96F52">
        <w:t>.</w:t>
      </w:r>
      <w:r w:rsidRPr="00496FB6" w:rsidR="00F36076">
        <w:t>)</w:t>
      </w:r>
      <w:r w:rsidRPr="00496FB6" w:rsidR="00C96F52">
        <w:t xml:space="preserve">  </w:t>
      </w:r>
      <w:r w:rsidRPr="00496FB6" w:rsidR="004762C5">
        <w:t xml:space="preserve">And in the wake of </w:t>
      </w:r>
      <w:r w:rsidRPr="00496FB6" w:rsidR="004762C5">
        <w:rPr>
          <w:i/>
          <w:iCs/>
        </w:rPr>
        <w:t>Windham</w:t>
      </w:r>
      <w:r w:rsidRPr="00496FB6" w:rsidR="004762C5">
        <w:t xml:space="preserve">, </w:t>
      </w:r>
      <w:r w:rsidRPr="00496FB6" w:rsidR="00AC66BE">
        <w:t>“</w:t>
      </w:r>
      <w:r w:rsidRPr="00496FB6" w:rsidR="00AD45A4">
        <w:t xml:space="preserve">We have repeatedly held that a </w:t>
      </w:r>
      <w:r w:rsidRPr="00496FB6" w:rsidR="00AD45A4">
        <w:rPr>
          <w:i/>
          <w:iCs/>
        </w:rPr>
        <w:t>Faretta</w:t>
      </w:r>
      <w:r w:rsidRPr="00496FB6" w:rsidR="00AD45A4">
        <w:t xml:space="preserve"> motion may be denied if not made within a reasonable time prior to the commencement of trial. </w:t>
      </w:r>
      <w:r w:rsidRPr="00496FB6" w:rsidR="00760828">
        <w:t xml:space="preserve"> </w:t>
      </w:r>
      <w:r w:rsidRPr="00496FB6" w:rsidR="00AC3639">
        <w:t>[Citations.]</w:t>
      </w:r>
      <w:r w:rsidRPr="00496FB6" w:rsidR="00F46E53">
        <w:t xml:space="preserve"> </w:t>
      </w:r>
      <w:r w:rsidRPr="00496FB6" w:rsidR="004D76D9">
        <w:t>.</w:t>
      </w:r>
      <w:r w:rsidR="00537834">
        <w:t> </w:t>
      </w:r>
      <w:r w:rsidRPr="00496FB6" w:rsidR="004D76D9">
        <w:t>.</w:t>
      </w:r>
      <w:r w:rsidR="00537834">
        <w:t> </w:t>
      </w:r>
      <w:r w:rsidRPr="00496FB6" w:rsidR="004D76D9">
        <w:t xml:space="preserve">. </w:t>
      </w:r>
      <w:r w:rsidRPr="00496FB6" w:rsidR="00BE0226">
        <w:t>D</w:t>
      </w:r>
      <w:r w:rsidRPr="00496FB6" w:rsidR="00D82EC8">
        <w:t xml:space="preserve">efendant </w:t>
      </w:r>
      <w:r w:rsidRPr="00496FB6" w:rsidR="00AD45A4">
        <w:t>does not present a persuasive reason to revisit precedent on this matter.</w:t>
      </w:r>
      <w:r w:rsidRPr="00496FB6" w:rsidR="001A2818">
        <w:t xml:space="preserve">” </w:t>
      </w:r>
      <w:r w:rsidRPr="00496FB6" w:rsidR="009150F1">
        <w:t xml:space="preserve"> </w:t>
      </w:r>
      <w:r w:rsidRPr="00496FB6" w:rsidR="001A2818">
        <w:t>(</w:t>
      </w:r>
      <w:bookmarkStart w:id="139" w:name="dabmci_d9144b029d694ee5a3494f5e929d7d3f"/>
      <w:r w:rsidRPr="00496FB6" w:rsidR="004D76D9">
        <w:rPr>
          <w:i/>
          <w:iCs/>
        </w:rPr>
        <w:t>Wright</w:t>
      </w:r>
      <w:r w:rsidRPr="00496FB6" w:rsidR="001A2818">
        <w:t xml:space="preserve">, </w:t>
      </w:r>
      <w:r w:rsidRPr="00496FB6" w:rsidR="001A2818">
        <w:rPr>
          <w:i/>
          <w:iCs/>
        </w:rPr>
        <w:t>supra</w:t>
      </w:r>
      <w:r w:rsidRPr="00496FB6" w:rsidR="001A2818">
        <w:t xml:space="preserve">, </w:t>
      </w:r>
      <w:r w:rsidRPr="00496FB6" w:rsidR="004D76D9">
        <w:t>12</w:t>
      </w:r>
      <w:r w:rsidRPr="00496FB6" w:rsidR="002402BB">
        <w:t> </w:t>
      </w:r>
      <w:r w:rsidRPr="00496FB6" w:rsidR="004D76D9">
        <w:t xml:space="preserve">Cal.5th </w:t>
      </w:r>
      <w:r w:rsidRPr="00496FB6" w:rsidR="001A2818">
        <w:t>at p.</w:t>
      </w:r>
      <w:r w:rsidRPr="00496FB6" w:rsidR="002402BB">
        <w:t> </w:t>
      </w:r>
      <w:r w:rsidRPr="00496FB6" w:rsidR="004D76D9">
        <w:t>440</w:t>
      </w:r>
      <w:bookmarkEnd w:id="139"/>
      <w:r w:rsidRPr="00496FB6" w:rsidR="001A2818">
        <w:t>.)</w:t>
      </w:r>
      <w:r>
        <w:rPr>
          <w:rStyle w:val="FootnoteReference"/>
        </w:rPr>
        <w:footnoteReference w:id="23"/>
      </w:r>
      <w:r w:rsidR="003E5B3E">
        <w:t xml:space="preserve">  </w:t>
      </w:r>
    </w:p>
    <w:p w:rsidR="00BC0AC1" w:rsidRPr="00496FB6" w:rsidP="00CF5962" w14:paraId="4ACE8A9E" w14:textId="29F74113">
      <w:pPr>
        <w:ind w:firstLine="720"/>
      </w:pPr>
      <w:r w:rsidRPr="00496FB6">
        <w:t xml:space="preserve">In addition to these general claims regarding </w:t>
      </w:r>
      <w:r w:rsidRPr="00496FB6" w:rsidR="00B669B2">
        <w:t>our jurisprudence in this area</w:t>
      </w:r>
      <w:r w:rsidRPr="00496FB6">
        <w:t xml:space="preserve">, </w:t>
      </w:r>
      <w:r w:rsidRPr="00496FB6" w:rsidR="00D82EC8">
        <w:t>defendant</w:t>
      </w:r>
      <w:r w:rsidRPr="00496FB6" w:rsidR="00E14D67">
        <w:t xml:space="preserve"> further </w:t>
      </w:r>
      <w:r w:rsidRPr="00496FB6" w:rsidR="00B669B2">
        <w:t>argues</w:t>
      </w:r>
      <w:r w:rsidRPr="00496FB6" w:rsidR="00E14D67">
        <w:t xml:space="preserve"> that the trial court erroneously denied his </w:t>
      </w:r>
      <w:r w:rsidRPr="00496FB6" w:rsidR="006F57BB">
        <w:t xml:space="preserve">initial </w:t>
      </w:r>
      <w:r w:rsidRPr="00496FB6" w:rsidR="00E14D67">
        <w:t>motion</w:t>
      </w:r>
      <w:r w:rsidRPr="00496FB6" w:rsidR="0058609D">
        <w:t xml:space="preserve"> for self-representation</w:t>
      </w:r>
      <w:r w:rsidRPr="00496FB6" w:rsidR="0070636F">
        <w:t xml:space="preserve"> and his renewal</w:t>
      </w:r>
      <w:r w:rsidR="00B876D3">
        <w:t>s</w:t>
      </w:r>
      <w:r w:rsidRPr="00496FB6" w:rsidR="0070636F">
        <w:t xml:space="preserve"> of that motion </w:t>
      </w:r>
      <w:r w:rsidRPr="00496FB6" w:rsidR="006F57BB">
        <w:t xml:space="preserve">made throughout the penalty </w:t>
      </w:r>
      <w:r w:rsidRPr="00496FB6" w:rsidR="00055573">
        <w:t xml:space="preserve">phase of the </w:t>
      </w:r>
      <w:r w:rsidRPr="00496FB6" w:rsidR="006F57BB">
        <w:t xml:space="preserve">trial, </w:t>
      </w:r>
      <w:r w:rsidRPr="00496FB6" w:rsidR="00D61AF7">
        <w:t xml:space="preserve">and thereby violated his </w:t>
      </w:r>
      <w:r w:rsidRPr="00496FB6" w:rsidR="0007473A">
        <w:t>federal constitutional right</w:t>
      </w:r>
      <w:r w:rsidRPr="00496FB6" w:rsidR="00800E05">
        <w:t xml:space="preserve"> under </w:t>
      </w:r>
      <w:r w:rsidRPr="00496FB6" w:rsidR="00800E05">
        <w:rPr>
          <w:i/>
          <w:iCs/>
        </w:rPr>
        <w:t>Faretta</w:t>
      </w:r>
      <w:r w:rsidRPr="00496FB6" w:rsidR="0007473A">
        <w:t xml:space="preserve"> </w:t>
      </w:r>
      <w:r w:rsidRPr="00496FB6" w:rsidR="00124AF4">
        <w:t xml:space="preserve">because </w:t>
      </w:r>
      <w:r w:rsidRPr="00496FB6" w:rsidR="001C6E2A">
        <w:t>the</w:t>
      </w:r>
      <w:r w:rsidRPr="00496FB6" w:rsidR="00465E5B">
        <w:t xml:space="preserve"> motion</w:t>
      </w:r>
      <w:r w:rsidRPr="00496FB6" w:rsidR="001C6E2A">
        <w:t xml:space="preserve"> </w:t>
      </w:r>
      <w:r w:rsidRPr="00496FB6" w:rsidR="00124AF4">
        <w:t>w</w:t>
      </w:r>
      <w:r w:rsidRPr="00496FB6" w:rsidR="00465E5B">
        <w:t>as</w:t>
      </w:r>
      <w:r w:rsidRPr="00496FB6" w:rsidR="00124AF4">
        <w:t xml:space="preserve"> timely, unequivocal, </w:t>
      </w:r>
      <w:r w:rsidRPr="00496FB6" w:rsidR="00F46CE8">
        <w:t>and knowingly and intelligently made.</w:t>
      </w:r>
      <w:r w:rsidRPr="00496FB6" w:rsidR="00DF6E1C">
        <w:t xml:space="preserve"> </w:t>
      </w:r>
      <w:r w:rsidRPr="00496FB6" w:rsidR="004A1F63">
        <w:t xml:space="preserve"> </w:t>
      </w:r>
      <w:r w:rsidRPr="00496FB6" w:rsidR="00165C2C">
        <w:t xml:space="preserve">For the reasons described below, </w:t>
      </w:r>
      <w:r w:rsidRPr="00496FB6" w:rsidR="00E04EF4">
        <w:t xml:space="preserve">we conclude that </w:t>
      </w:r>
      <w:r w:rsidRPr="00496FB6" w:rsidR="00D82EC8">
        <w:t>defendant</w:t>
      </w:r>
      <w:r w:rsidRPr="00496FB6" w:rsidR="0075683E">
        <w:t xml:space="preserve">’s motion for </w:t>
      </w:r>
      <w:r w:rsidRPr="00496FB6" w:rsidR="00734A35">
        <w:t xml:space="preserve">self-representation was untimely </w:t>
      </w:r>
      <w:r w:rsidRPr="00496FB6" w:rsidR="00F434EE">
        <w:t xml:space="preserve">as a matter of law </w:t>
      </w:r>
      <w:r w:rsidRPr="00496FB6" w:rsidR="00734A35">
        <w:t>under well</w:t>
      </w:r>
      <w:r w:rsidRPr="00496FB6" w:rsidR="00182F1A">
        <w:t>-</w:t>
      </w:r>
      <w:r w:rsidRPr="00496FB6" w:rsidR="00734A35">
        <w:t xml:space="preserve">established </w:t>
      </w:r>
      <w:r w:rsidRPr="00496FB6" w:rsidR="00F434EE">
        <w:t>precedent</w:t>
      </w:r>
      <w:r w:rsidRPr="00496FB6" w:rsidR="00734A35">
        <w:t>.</w:t>
      </w:r>
      <w:r>
        <w:rPr>
          <w:rStyle w:val="FootnoteReference"/>
        </w:rPr>
        <w:footnoteReference w:id="24"/>
      </w:r>
      <w:r w:rsidR="003E5B3E">
        <w:t xml:space="preserve">  </w:t>
      </w:r>
    </w:p>
    <w:p w:rsidR="00F71873" w:rsidRPr="00496FB6" w:rsidP="00CF5962" w14:paraId="6915F189" w14:textId="4D6F12A3">
      <w:pPr>
        <w:ind w:firstLine="720"/>
      </w:pPr>
      <w:r w:rsidRPr="00496FB6">
        <w:t>Defendant</w:t>
      </w:r>
      <w:r w:rsidRPr="00496FB6" w:rsidR="009474EB">
        <w:t xml:space="preserve"> concedes that the trial court’s rulings </w:t>
      </w:r>
      <w:r w:rsidRPr="00496FB6" w:rsidR="00417E5D">
        <w:t xml:space="preserve">concluding </w:t>
      </w:r>
      <w:r w:rsidRPr="00496FB6" w:rsidR="009C73A8">
        <w:t xml:space="preserve">that his motion was untimely </w:t>
      </w:r>
      <w:r w:rsidRPr="00496FB6" w:rsidR="006F3DAA">
        <w:t xml:space="preserve">were “consistent with decisions of this court.”  </w:t>
      </w:r>
      <w:r w:rsidRPr="00496FB6" w:rsidR="00A72C91">
        <w:t xml:space="preserve">Specifically, </w:t>
      </w:r>
      <w:r w:rsidRPr="00496FB6" w:rsidR="00BD448D">
        <w:t>he acknowledges</w:t>
      </w:r>
      <w:r w:rsidRPr="00496FB6" w:rsidR="00A72C91">
        <w:t xml:space="preserve"> that his motion</w:t>
      </w:r>
      <w:r w:rsidRPr="00496FB6" w:rsidR="009C73A8">
        <w:t xml:space="preserve"> was</w:t>
      </w:r>
      <w:r w:rsidRPr="00496FB6" w:rsidR="009474EB">
        <w:t xml:space="preserve"> untimely </w:t>
      </w:r>
      <w:r w:rsidRPr="00496FB6" w:rsidR="0063095E">
        <w:t>pursuant to</w:t>
      </w:r>
      <w:r w:rsidRPr="00496FB6" w:rsidR="00D03294">
        <w:t xml:space="preserve"> </w:t>
      </w:r>
      <w:r w:rsidRPr="00496FB6" w:rsidR="00403108">
        <w:t xml:space="preserve">the </w:t>
      </w:r>
      <w:r w:rsidRPr="00496FB6" w:rsidR="009A56ED">
        <w:t>“</w:t>
      </w:r>
      <w:r w:rsidRPr="00496FB6" w:rsidR="00403108">
        <w:t>unitary</w:t>
      </w:r>
      <w:r w:rsidRPr="00496FB6" w:rsidR="009A56ED">
        <w:t xml:space="preserve">-capital-trial rule” </w:t>
      </w:r>
      <w:r w:rsidRPr="00496FB6" w:rsidR="009474EB">
        <w:t xml:space="preserve">because </w:t>
      </w:r>
      <w:r w:rsidRPr="00496FB6" w:rsidR="009C73A8">
        <w:t>it was</w:t>
      </w:r>
      <w:r w:rsidRPr="00496FB6" w:rsidR="00A72C91">
        <w:t xml:space="preserve"> brought </w:t>
      </w:r>
      <w:r w:rsidRPr="00496FB6" w:rsidR="009474EB">
        <w:t>during the penalty phase</w:t>
      </w:r>
      <w:r w:rsidRPr="00496FB6" w:rsidR="00A72C91">
        <w:t xml:space="preserve"> of his trial</w:t>
      </w:r>
      <w:r w:rsidRPr="00496FB6" w:rsidR="009474EB">
        <w:t>, and thus after the commencement of the unitary capital trial</w:t>
      </w:r>
      <w:r w:rsidRPr="00496FB6" w:rsidR="00A72C91">
        <w:t>.</w:t>
      </w:r>
      <w:r w:rsidRPr="00496FB6" w:rsidR="009474EB">
        <w:t xml:space="preserve"> </w:t>
      </w:r>
      <w:r w:rsidRPr="00496FB6" w:rsidR="00D21597">
        <w:t xml:space="preserve"> </w:t>
      </w:r>
      <w:r w:rsidRPr="00496FB6" w:rsidR="009474EB">
        <w:t>However, he “urg</w:t>
      </w:r>
      <w:r w:rsidRPr="00496FB6" w:rsidR="00734087">
        <w:t>es</w:t>
      </w:r>
      <w:r w:rsidRPr="00496FB6" w:rsidR="009474EB">
        <w:t xml:space="preserve"> </w:t>
      </w:r>
      <w:r w:rsidRPr="00496FB6" w:rsidR="00F55386">
        <w:t xml:space="preserve">the </w:t>
      </w:r>
      <w:r w:rsidR="00E67895">
        <w:t>[c]</w:t>
      </w:r>
      <w:r w:rsidRPr="00496FB6" w:rsidR="009474EB">
        <w:t xml:space="preserve">ourt to reconsider the strict application of the unitary-capital-trial rule in evaluating the timeliness of motions for self-representation at the penalty phase of a capital case.”  </w:t>
      </w:r>
    </w:p>
    <w:p w:rsidR="006D62A6" w:rsidRPr="00496FB6" w:rsidP="00CF5962" w14:paraId="2D28E496" w14:textId="0F4B5534">
      <w:pPr>
        <w:ind w:firstLine="720"/>
      </w:pPr>
      <w:r w:rsidRPr="00496FB6">
        <w:t xml:space="preserve">We recently applied the unitary-capital-trial rule in concluding that a motion </w:t>
      </w:r>
      <w:r w:rsidRPr="00496FB6" w:rsidR="00016D74">
        <w:t xml:space="preserve">for self-representation </w:t>
      </w:r>
      <w:r w:rsidRPr="00496FB6">
        <w:t>filed after the guilt phase on the day before the penalty phase was to begin “falls squarely into the categor</w:t>
      </w:r>
      <w:r w:rsidRPr="00496FB6">
        <w:t>y of motions we have deemed to be untimely.”  (</w:t>
      </w:r>
      <w:bookmarkStart w:id="145" w:name="dabmci_cfa95e5cfaf94ae5a83261c7081cdb03"/>
      <w:r w:rsidRPr="00496FB6">
        <w:rPr>
          <w:i/>
          <w:iCs/>
        </w:rPr>
        <w:t>Thomas</w:t>
      </w:r>
      <w:r w:rsidRPr="00496FB6" w:rsidR="00F71873">
        <w:t xml:space="preserve">, </w:t>
      </w:r>
      <w:r w:rsidRPr="00496FB6" w:rsidR="00F71873">
        <w:rPr>
          <w:i/>
          <w:iCs/>
        </w:rPr>
        <w:t>supra</w:t>
      </w:r>
      <w:r w:rsidRPr="00496FB6" w:rsidR="00F71873">
        <w:t xml:space="preserve">, </w:t>
      </w:r>
      <w:r w:rsidRPr="00496FB6">
        <w:t>14</w:t>
      </w:r>
      <w:r w:rsidRPr="00496FB6" w:rsidR="00EF59E9">
        <w:t> </w:t>
      </w:r>
      <w:r w:rsidRPr="00496FB6">
        <w:t xml:space="preserve">Cal.5th </w:t>
      </w:r>
      <w:r w:rsidRPr="00496FB6" w:rsidR="00F71873">
        <w:t>at p.</w:t>
      </w:r>
      <w:r w:rsidRPr="00496FB6" w:rsidR="00EF59E9">
        <w:t> </w:t>
      </w:r>
      <w:r w:rsidRPr="00496FB6">
        <w:t>398</w:t>
      </w:r>
      <w:bookmarkEnd w:id="145"/>
      <w:r w:rsidRPr="00496FB6" w:rsidR="00F2299B">
        <w:t xml:space="preserve">, citing </w:t>
      </w:r>
      <w:bookmarkStart w:id="146" w:name="dabmci_711a760f35f54a8591ed8b79e86dfc33"/>
      <w:r w:rsidRPr="00496FB6" w:rsidR="00F2299B">
        <w:rPr>
          <w:i/>
          <w:iCs/>
        </w:rPr>
        <w:t>People v. Lynch</w:t>
      </w:r>
      <w:r w:rsidRPr="00496FB6" w:rsidR="00F2299B">
        <w:t xml:space="preserve"> (2010) 50</w:t>
      </w:r>
      <w:r w:rsidRPr="00496FB6" w:rsidR="00EF59E9">
        <w:t> </w:t>
      </w:r>
      <w:r w:rsidRPr="00496FB6" w:rsidR="00F2299B">
        <w:t xml:space="preserve">Cal.4th 693, 722 </w:t>
      </w:r>
      <w:r w:rsidRPr="00496FB6" w:rsidR="00B10BEB">
        <w:t>(</w:t>
      </w:r>
      <w:r w:rsidRPr="00496FB6" w:rsidR="00B10BEB">
        <w:rPr>
          <w:i/>
          <w:iCs/>
        </w:rPr>
        <w:t>Lynch</w:t>
      </w:r>
      <w:r w:rsidRPr="00496FB6" w:rsidR="00B10BEB">
        <w:t>)</w:t>
      </w:r>
      <w:bookmarkEnd w:id="146"/>
      <w:r w:rsidRPr="00496FB6" w:rsidR="00B10BEB">
        <w:t xml:space="preserve"> </w:t>
      </w:r>
      <w:r w:rsidRPr="00496FB6" w:rsidR="00972F62">
        <w:t>an</w:t>
      </w:r>
      <w:r w:rsidRPr="00496FB6" w:rsidR="00C36FC1">
        <w:t xml:space="preserve">d </w:t>
      </w:r>
      <w:bookmarkStart w:id="147" w:name="dabmci_2b7526bfe5f74c519d44ce9c23aed87e"/>
      <w:r w:rsidRPr="00496FB6" w:rsidR="000D7BEB">
        <w:rPr>
          <w:i/>
          <w:iCs/>
        </w:rPr>
        <w:t>People v.</w:t>
      </w:r>
      <w:r w:rsidRPr="00496FB6" w:rsidR="000D7BEB">
        <w:t xml:space="preserve"> </w:t>
      </w:r>
      <w:r w:rsidRPr="00496FB6" w:rsidR="007254B1">
        <w:rPr>
          <w:i/>
          <w:iCs/>
        </w:rPr>
        <w:t>Hardy</w:t>
      </w:r>
      <w:r w:rsidRPr="00496FB6" w:rsidR="000D7BEB">
        <w:rPr>
          <w:i/>
          <w:iCs/>
        </w:rPr>
        <w:t xml:space="preserve"> </w:t>
      </w:r>
      <w:r w:rsidRPr="00496FB6" w:rsidR="000D7BEB">
        <w:t>(</w:t>
      </w:r>
      <w:r w:rsidRPr="00496FB6" w:rsidR="00BC77D1">
        <w:t>1992)</w:t>
      </w:r>
      <w:r w:rsidRPr="00496FB6" w:rsidR="00B10BEB">
        <w:t xml:space="preserve"> </w:t>
      </w:r>
      <w:r w:rsidRPr="00496FB6" w:rsidR="007254B1">
        <w:t>2</w:t>
      </w:r>
      <w:r w:rsidRPr="00496FB6" w:rsidR="00EF59E9">
        <w:t> </w:t>
      </w:r>
      <w:r w:rsidRPr="00496FB6" w:rsidR="007254B1">
        <w:t xml:space="preserve">Cal.4th </w:t>
      </w:r>
      <w:r w:rsidRPr="00496FB6" w:rsidR="00BC77D1">
        <w:t>86,</w:t>
      </w:r>
      <w:r w:rsidRPr="00496FB6" w:rsidR="00EF59E9">
        <w:t> </w:t>
      </w:r>
      <w:r w:rsidRPr="00496FB6" w:rsidR="005D72C3">
        <w:t>193</w:t>
      </w:r>
      <w:r w:rsidRPr="00496FB6" w:rsidR="00CF2C93">
        <w:t>–</w:t>
      </w:r>
      <w:r w:rsidRPr="00496FB6" w:rsidR="005D72C3">
        <w:t>194</w:t>
      </w:r>
      <w:bookmarkEnd w:id="147"/>
      <w:r w:rsidRPr="00496FB6" w:rsidR="00BC77D1">
        <w:t xml:space="preserve"> (</w:t>
      </w:r>
      <w:r w:rsidRPr="00496FB6" w:rsidR="00BC77D1">
        <w:rPr>
          <w:i/>
          <w:iCs/>
        </w:rPr>
        <w:t>Hardy</w:t>
      </w:r>
      <w:r w:rsidRPr="00496FB6" w:rsidR="00BC77D1">
        <w:t>)</w:t>
      </w:r>
      <w:r w:rsidRPr="00496FB6" w:rsidR="005D72C3">
        <w:t xml:space="preserve">.)  And, as we noted in </w:t>
      </w:r>
      <w:bookmarkStart w:id="148" w:name="dabmci_b6c4a19cb8ea4f5196a2dae575afa67d"/>
      <w:r w:rsidRPr="00496FB6" w:rsidR="00972F62">
        <w:rPr>
          <w:i/>
          <w:iCs/>
        </w:rPr>
        <w:t>Thomas</w:t>
      </w:r>
      <w:bookmarkEnd w:id="148"/>
      <w:r w:rsidRPr="00496FB6" w:rsidR="005D72C3">
        <w:t xml:space="preserve">, </w:t>
      </w:r>
      <w:r w:rsidRPr="00496FB6" w:rsidR="000279BD">
        <w:t>“</w:t>
      </w:r>
      <w:r w:rsidRPr="00496FB6" w:rsidR="00F55386">
        <w:t>[</w:t>
      </w:r>
      <w:r w:rsidRPr="00496FB6" w:rsidR="00B9331C">
        <w:t>w</w:t>
      </w:r>
      <w:r w:rsidRPr="00496FB6" w:rsidR="00F55386">
        <w:t>]</w:t>
      </w:r>
      <w:r w:rsidRPr="00496FB6" w:rsidR="00B9331C">
        <w:t xml:space="preserve">e have repeatedly held that a </w:t>
      </w:r>
      <w:r w:rsidRPr="00496FB6" w:rsidR="00B9331C">
        <w:rPr>
          <w:i/>
          <w:iCs/>
        </w:rPr>
        <w:t>Faretta</w:t>
      </w:r>
      <w:r w:rsidRPr="00496FB6" w:rsidR="00B9331C">
        <w:t xml:space="preserve"> motion made on the eve of trial or after commencement of the guilt phase is untimely.” </w:t>
      </w:r>
      <w:r w:rsidRPr="00496FB6" w:rsidR="0004263A">
        <w:t xml:space="preserve"> (</w:t>
      </w:r>
      <w:bookmarkStart w:id="149" w:name="dabmci_a666fe83681e42528f1c816acfe07927"/>
      <w:r w:rsidRPr="00496FB6" w:rsidR="0004263A">
        <w:rPr>
          <w:i/>
          <w:iCs/>
        </w:rPr>
        <w:t>Thomas</w:t>
      </w:r>
      <w:r w:rsidRPr="00496FB6" w:rsidR="0004263A">
        <w:t>,</w:t>
      </w:r>
      <w:r w:rsidRPr="00496FB6" w:rsidR="00941982">
        <w:t xml:space="preserve"> </w:t>
      </w:r>
      <w:r w:rsidRPr="00496FB6" w:rsidR="0004263A">
        <w:t>at p.</w:t>
      </w:r>
      <w:r w:rsidRPr="00496FB6" w:rsidR="00EF59E9">
        <w:t> </w:t>
      </w:r>
      <w:bookmarkEnd w:id="149"/>
      <w:r w:rsidRPr="00496FB6" w:rsidR="00F55386">
        <w:t xml:space="preserve">398 </w:t>
      </w:r>
      <w:r w:rsidRPr="00496FB6" w:rsidR="0004263A">
        <w:t xml:space="preserve">[collecting cases].)  </w:t>
      </w:r>
    </w:p>
    <w:p w:rsidR="003144DB" w:rsidRPr="00496FB6" w:rsidP="00CF5962" w14:paraId="6C9EFAD3" w14:textId="03273CD8">
      <w:pPr>
        <w:ind w:firstLine="720"/>
      </w:pPr>
      <w:r w:rsidRPr="00496FB6">
        <w:t>W</w:t>
      </w:r>
      <w:r w:rsidRPr="00496FB6" w:rsidR="003C104F">
        <w:t xml:space="preserve">e have previously explained the </w:t>
      </w:r>
      <w:r w:rsidRPr="00496FB6" w:rsidR="000E143B">
        <w:t xml:space="preserve">basis for the </w:t>
      </w:r>
      <w:r w:rsidRPr="00496FB6" w:rsidR="00550B56">
        <w:t>unitary-capital-trial</w:t>
      </w:r>
      <w:r w:rsidRPr="00496FB6" w:rsidR="00E711BC">
        <w:t xml:space="preserve"> </w:t>
      </w:r>
      <w:r w:rsidRPr="00496FB6" w:rsidR="000E143B">
        <w:t xml:space="preserve">rule </w:t>
      </w:r>
      <w:r w:rsidRPr="00496FB6" w:rsidR="00F57EA9">
        <w:t>with respect to motions for self-representation</w:t>
      </w:r>
      <w:r w:rsidRPr="00496FB6">
        <w:t>, stating that “the penalty phase has no separate formal existence but is merely a stage in a unitary capital trial,” and “the connection between the phases of a capital trial is sub</w:t>
      </w:r>
      <w:r w:rsidRPr="00496FB6">
        <w:t xml:space="preserve">stantial and not merely formal.” </w:t>
      </w:r>
      <w:r w:rsidRPr="00496FB6" w:rsidR="00F57EA9">
        <w:t xml:space="preserve"> </w:t>
      </w:r>
      <w:r w:rsidRPr="00496FB6" w:rsidR="000E143B">
        <w:t>(</w:t>
      </w:r>
      <w:bookmarkStart w:id="150" w:name="dabmci_716db000f0434eb1951f82978a053029"/>
      <w:r w:rsidRPr="00496FB6" w:rsidR="00A63BC8">
        <w:rPr>
          <w:i/>
          <w:iCs/>
        </w:rPr>
        <w:t>People v. Hamilton</w:t>
      </w:r>
      <w:r w:rsidRPr="00496FB6" w:rsidR="00A63BC8">
        <w:t xml:space="preserve"> (1988) 45 Cal.3d 351</w:t>
      </w:r>
      <w:r w:rsidRPr="006A613A" w:rsidR="006A613A">
        <w:t>,</w:t>
      </w:r>
      <w:r w:rsidR="006A613A">
        <w:t xml:space="preserve"> </w:t>
      </w:r>
      <w:r w:rsidRPr="006A613A" w:rsidR="001B45E4">
        <w:t>3</w:t>
      </w:r>
      <w:r w:rsidRPr="00496FB6" w:rsidR="001B45E4">
        <w:t>69</w:t>
      </w:r>
      <w:bookmarkEnd w:id="150"/>
      <w:r w:rsidRPr="00496FB6">
        <w:t>.</w:t>
      </w:r>
      <w:r w:rsidRPr="00496FB6" w:rsidR="00A27B8F">
        <w:t xml:space="preserve">) </w:t>
      </w:r>
      <w:r w:rsidRPr="00496FB6">
        <w:t xml:space="preserve"> A</w:t>
      </w:r>
      <w:r w:rsidRPr="00496FB6" w:rsidR="00A27B8F">
        <w:t xml:space="preserve">nd </w:t>
      </w:r>
      <w:r w:rsidRPr="00496FB6">
        <w:t xml:space="preserve">we </w:t>
      </w:r>
      <w:r w:rsidRPr="00496FB6" w:rsidR="00BC6F68">
        <w:t xml:space="preserve">have </w:t>
      </w:r>
      <w:r w:rsidRPr="00496FB6" w:rsidR="00D72BB4">
        <w:t>reject</w:t>
      </w:r>
      <w:r w:rsidRPr="00496FB6" w:rsidR="00F151E9">
        <w:t>ed</w:t>
      </w:r>
      <w:r w:rsidRPr="00496FB6" w:rsidR="00D72BB4">
        <w:t xml:space="preserve"> </w:t>
      </w:r>
      <w:r w:rsidRPr="00496FB6" w:rsidR="003C726D">
        <w:t xml:space="preserve">claims that </w:t>
      </w:r>
      <w:r w:rsidRPr="00496FB6" w:rsidR="00BC6F68">
        <w:rPr>
          <w:i/>
          <w:iCs/>
        </w:rPr>
        <w:t>Hamilton</w:t>
      </w:r>
      <w:r w:rsidRPr="00496FB6" w:rsidR="00A47A0D">
        <w:t xml:space="preserve"> </w:t>
      </w:r>
      <w:r w:rsidRPr="00496FB6" w:rsidR="003C726D">
        <w:t xml:space="preserve">was </w:t>
      </w:r>
      <w:r w:rsidRPr="00496FB6" w:rsidR="00D72BB4">
        <w:t>“</w:t>
      </w:r>
      <w:r w:rsidRPr="00496FB6" w:rsidR="003C726D">
        <w:t>wrongly decided</w:t>
      </w:r>
      <w:r w:rsidRPr="00496FB6" w:rsidR="00D72BB4">
        <w:t>”</w:t>
      </w:r>
      <w:r w:rsidRPr="00496FB6" w:rsidR="00C00C06">
        <w:t xml:space="preserve"> and </w:t>
      </w:r>
      <w:r w:rsidRPr="00496FB6" w:rsidR="00BC6F68">
        <w:t xml:space="preserve">is </w:t>
      </w:r>
      <w:r w:rsidRPr="00496FB6" w:rsidR="00C00C06">
        <w:t>inconsistent with United States Supreme Court precedent.</w:t>
      </w:r>
      <w:r w:rsidRPr="00496FB6" w:rsidR="00D72BB4">
        <w:t xml:space="preserve"> </w:t>
      </w:r>
      <w:r w:rsidRPr="00496FB6" w:rsidR="0025319D">
        <w:t xml:space="preserve"> </w:t>
      </w:r>
      <w:r w:rsidRPr="00496FB6" w:rsidR="003C726D">
        <w:t>(</w:t>
      </w:r>
      <w:bookmarkStart w:id="151" w:name="dabmci_44408c4145ab45daabbe3e4beeb27e51"/>
      <w:r w:rsidRPr="00496FB6" w:rsidR="00851BEE">
        <w:rPr>
          <w:i/>
          <w:iCs/>
        </w:rPr>
        <w:t>Hardy</w:t>
      </w:r>
      <w:r w:rsidRPr="00496FB6" w:rsidR="00851BEE">
        <w:t>,</w:t>
      </w:r>
      <w:r w:rsidRPr="00496FB6">
        <w:t xml:space="preserve"> </w:t>
      </w:r>
      <w:r w:rsidRPr="00496FB6" w:rsidR="00851BEE">
        <w:rPr>
          <w:i/>
          <w:iCs/>
        </w:rPr>
        <w:t>supra</w:t>
      </w:r>
      <w:r w:rsidRPr="00496FB6" w:rsidR="00851BEE">
        <w:t>,</w:t>
      </w:r>
      <w:r w:rsidRPr="00496FB6">
        <w:t xml:space="preserve"> </w:t>
      </w:r>
      <w:r w:rsidRPr="00496FB6" w:rsidR="00851BEE">
        <w:t>2</w:t>
      </w:r>
      <w:r w:rsidRPr="00496FB6" w:rsidR="00EF59E9">
        <w:t> </w:t>
      </w:r>
      <w:r w:rsidRPr="00496FB6" w:rsidR="00851BEE">
        <w:t>Cal.4th at p.</w:t>
      </w:r>
      <w:r w:rsidRPr="00496FB6" w:rsidR="00EF59E9">
        <w:t> </w:t>
      </w:r>
      <w:r w:rsidRPr="00496FB6" w:rsidR="00851BEE">
        <w:t>194</w:t>
      </w:r>
      <w:bookmarkEnd w:id="151"/>
      <w:r w:rsidRPr="00496FB6" w:rsidR="00F151E9">
        <w:t xml:space="preserve"> </w:t>
      </w:r>
      <w:r w:rsidRPr="00496FB6" w:rsidR="00851BEE">
        <w:t>[</w:t>
      </w:r>
      <w:r w:rsidRPr="00496FB6" w:rsidR="00C00C06">
        <w:t>distinguishing</w:t>
      </w:r>
      <w:r w:rsidRPr="00496FB6" w:rsidR="00156558">
        <w:t xml:space="preserve"> </w:t>
      </w:r>
      <w:bookmarkStart w:id="152" w:name="dabmci_72dbcaf6f59e40a69f5955285dc42066"/>
      <w:r w:rsidRPr="00496FB6" w:rsidR="00B32991">
        <w:rPr>
          <w:i/>
          <w:iCs/>
        </w:rPr>
        <w:t>Bullington v. Missouri</w:t>
      </w:r>
      <w:r w:rsidRPr="00496FB6" w:rsidR="00B32991">
        <w:t xml:space="preserve"> (1981) 451</w:t>
      </w:r>
      <w:r w:rsidRPr="00496FB6" w:rsidR="00EF59E9">
        <w:t> </w:t>
      </w:r>
      <w:r w:rsidRPr="00496FB6" w:rsidR="00B32991">
        <w:t>U.S. 430</w:t>
      </w:r>
      <w:bookmarkEnd w:id="152"/>
      <w:r w:rsidRPr="00496FB6" w:rsidR="00B32991">
        <w:t xml:space="preserve"> </w:t>
      </w:r>
      <w:r w:rsidRPr="00496FB6" w:rsidR="00BA0E08">
        <w:t xml:space="preserve">and </w:t>
      </w:r>
      <w:r w:rsidRPr="00496FB6" w:rsidR="00156558">
        <w:t>s</w:t>
      </w:r>
      <w:r w:rsidRPr="00496FB6">
        <w:t>t</w:t>
      </w:r>
      <w:r w:rsidRPr="00496FB6" w:rsidR="00156558">
        <w:t>ating “[t]</w:t>
      </w:r>
      <w:r w:rsidRPr="00496FB6" w:rsidR="00BA0E08">
        <w:t xml:space="preserve">hat the penalty phase of a capital trial may be a </w:t>
      </w:r>
      <w:r w:rsidRPr="00496FB6" w:rsidR="00156558">
        <w:t>‘</w:t>
      </w:r>
      <w:r w:rsidRPr="00496FB6" w:rsidR="00BA0E08">
        <w:t>separate trial</w:t>
      </w:r>
      <w:r w:rsidRPr="00496FB6" w:rsidR="00156558">
        <w:t>’</w:t>
      </w:r>
      <w:r w:rsidRPr="00496FB6" w:rsidR="00BA0E08">
        <w:t xml:space="preserve"> for purposes of the double jeopardy clause, however, does not necessarily require that we conclude Hardy</w:t>
      </w:r>
      <w:r w:rsidRPr="00496FB6" w:rsidR="00156558">
        <w:t>’</w:t>
      </w:r>
      <w:r w:rsidRPr="00496FB6" w:rsidR="00BA0E08">
        <w:t xml:space="preserve">s post-guilt-phase </w:t>
      </w:r>
      <w:r w:rsidRPr="00496FB6" w:rsidR="00BA0E08">
        <w:rPr>
          <w:i/>
          <w:iCs/>
        </w:rPr>
        <w:t>Faretta</w:t>
      </w:r>
      <w:r w:rsidRPr="00496FB6" w:rsidR="00BA0E08">
        <w:t xml:space="preserve"> motion was made </w:t>
      </w:r>
      <w:r w:rsidRPr="00496FB6" w:rsidR="00156558">
        <w:t>‘</w:t>
      </w:r>
      <w:r w:rsidRPr="00496FB6" w:rsidR="00BA0E08">
        <w:t>within a reasonable time prior to the commencement of trial</w:t>
      </w:r>
      <w:r w:rsidRPr="00496FB6" w:rsidR="00156558">
        <w:t>’</w:t>
      </w:r>
      <w:r w:rsidRPr="00496FB6" w:rsidR="00513521">
        <w:t> </w:t>
      </w:r>
      <w:r w:rsidRPr="00496FB6" w:rsidR="00F151E9">
        <w:t>”</w:t>
      </w:r>
      <w:r w:rsidRPr="00496FB6" w:rsidR="00156558">
        <w:t>].</w:t>
      </w:r>
      <w:r w:rsidRPr="00496FB6" w:rsidR="00F151E9">
        <w:t>)</w:t>
      </w:r>
      <w:r w:rsidR="003E5B3E">
        <w:t xml:space="preserve">  </w:t>
      </w:r>
    </w:p>
    <w:p w:rsidR="00685654" w:rsidRPr="00496FB6" w:rsidP="00CF5962" w14:paraId="74341493" w14:textId="61903ECD">
      <w:pPr>
        <w:ind w:firstLine="720"/>
      </w:pPr>
      <w:r w:rsidRPr="00496FB6">
        <w:t>Defendant</w:t>
      </w:r>
      <w:r w:rsidRPr="00496FB6" w:rsidR="00D170EF">
        <w:t xml:space="preserve"> presents no </w:t>
      </w:r>
      <w:r w:rsidRPr="00496FB6" w:rsidR="003A44EC">
        <w:t xml:space="preserve">basis for reconsidering </w:t>
      </w:r>
      <w:r w:rsidRPr="00496FB6" w:rsidR="00A00624">
        <w:t>this</w:t>
      </w:r>
      <w:r w:rsidRPr="00496FB6" w:rsidR="003A44EC">
        <w:t xml:space="preserve"> well</w:t>
      </w:r>
      <w:r w:rsidRPr="00496FB6" w:rsidR="00477AD2">
        <w:t>-</w:t>
      </w:r>
      <w:r w:rsidRPr="00496FB6" w:rsidR="003A44EC">
        <w:t>established precedent.  Accordingly, w</w:t>
      </w:r>
      <w:r w:rsidRPr="00496FB6" w:rsidR="00D170EF">
        <w:t xml:space="preserve">e </w:t>
      </w:r>
      <w:r w:rsidRPr="00496FB6" w:rsidR="009056CA">
        <w:t>c</w:t>
      </w:r>
      <w:r w:rsidRPr="00496FB6" w:rsidR="009474EB">
        <w:t xml:space="preserve">onclude the trial court did not err in </w:t>
      </w:r>
      <w:r w:rsidRPr="00496FB6" w:rsidR="00F118AB">
        <w:t xml:space="preserve">applying that law </w:t>
      </w:r>
      <w:r w:rsidRPr="00496FB6" w:rsidR="00477AD2">
        <w:t xml:space="preserve">to deny </w:t>
      </w:r>
      <w:r w:rsidRPr="00496FB6">
        <w:t>defendant</w:t>
      </w:r>
      <w:r w:rsidRPr="00496FB6" w:rsidR="009474EB">
        <w:t xml:space="preserve">’s </w:t>
      </w:r>
      <w:r w:rsidRPr="00496FB6" w:rsidR="00D750F6">
        <w:t xml:space="preserve">motion </w:t>
      </w:r>
      <w:r w:rsidRPr="00496FB6" w:rsidR="00644107">
        <w:t xml:space="preserve">for self-representation </w:t>
      </w:r>
      <w:r w:rsidRPr="00496FB6" w:rsidR="00D750F6">
        <w:t xml:space="preserve">as </w:t>
      </w:r>
      <w:r w:rsidRPr="00496FB6" w:rsidR="009474EB">
        <w:t>untimely.</w:t>
      </w:r>
      <w:r>
        <w:rPr>
          <w:rStyle w:val="FootnoteReference"/>
        </w:rPr>
        <w:footnoteReference w:id="25"/>
      </w:r>
      <w:r w:rsidRPr="00496FB6" w:rsidR="009F391D">
        <w:t xml:space="preserve">  </w:t>
      </w:r>
      <w:r w:rsidR="00981EC0">
        <w:t>W</w:t>
      </w:r>
      <w:r w:rsidRPr="00496FB6" w:rsidR="00CF53AE">
        <w:t xml:space="preserve">e </w:t>
      </w:r>
      <w:r w:rsidR="00981EC0">
        <w:t xml:space="preserve">further </w:t>
      </w:r>
      <w:r w:rsidRPr="00496FB6" w:rsidR="00CF53AE">
        <w:t>conclude th</w:t>
      </w:r>
      <w:r w:rsidRPr="00496FB6" w:rsidR="00D27FA3">
        <w:t>at</w:t>
      </w:r>
      <w:r w:rsidRPr="00496FB6" w:rsidR="00270E07">
        <w:t xml:space="preserve">, having properly </w:t>
      </w:r>
      <w:r w:rsidR="00EB3324">
        <w:t>determined</w:t>
      </w:r>
      <w:r w:rsidRPr="00496FB6" w:rsidR="00270E07">
        <w:t xml:space="preserve"> </w:t>
      </w:r>
      <w:r w:rsidRPr="00496FB6">
        <w:t>defendant</w:t>
      </w:r>
      <w:r w:rsidRPr="00496FB6" w:rsidR="00270E07">
        <w:t>’s motion for self-representation was untimely, the trial court</w:t>
      </w:r>
      <w:r w:rsidRPr="00496FB6" w:rsidR="00CF53AE">
        <w:t xml:space="preserve"> did not violate </w:t>
      </w:r>
      <w:r w:rsidRPr="00496FB6" w:rsidR="00477AD2">
        <w:t xml:space="preserve">defendant’s </w:t>
      </w:r>
      <w:r w:rsidRPr="00496FB6" w:rsidR="00CF53AE">
        <w:t xml:space="preserve">federal constitutional right under </w:t>
      </w:r>
      <w:r w:rsidRPr="00496FB6" w:rsidR="00CF53AE">
        <w:rPr>
          <w:i/>
          <w:iCs/>
        </w:rPr>
        <w:t>Faretta</w:t>
      </w:r>
      <w:r w:rsidRPr="00496FB6" w:rsidR="00644107">
        <w:t>.</w:t>
      </w:r>
      <w:r w:rsidRPr="00496FB6" w:rsidR="00DC451D">
        <w:t xml:space="preserve"> </w:t>
      </w:r>
      <w:r w:rsidRPr="00496FB6" w:rsidR="001952FE">
        <w:t xml:space="preserve"> </w:t>
      </w:r>
      <w:r w:rsidR="006E2400">
        <w:t>Therefore</w:t>
      </w:r>
      <w:r w:rsidRPr="00496FB6" w:rsidR="00563C7C">
        <w:t xml:space="preserve">, </w:t>
      </w:r>
      <w:r w:rsidRPr="00496FB6" w:rsidR="00644107">
        <w:t xml:space="preserve">we </w:t>
      </w:r>
      <w:r w:rsidRPr="00496FB6" w:rsidR="00046889">
        <w:t xml:space="preserve">need not consider whether the motion was </w:t>
      </w:r>
      <w:r w:rsidRPr="00496FB6" w:rsidR="00A24D5B">
        <w:t xml:space="preserve">unequivocal and knowingly and intelligently made. </w:t>
      </w:r>
      <w:r w:rsidRPr="00496FB6" w:rsidR="003138E4">
        <w:t xml:space="preserve"> </w:t>
      </w:r>
      <w:r w:rsidRPr="00496FB6" w:rsidR="00A67630">
        <w:t xml:space="preserve">(See </w:t>
      </w:r>
      <w:bookmarkStart w:id="156" w:name="dabmci_62fbbd3688c44909a9223039fa33d1aa"/>
      <w:r w:rsidRPr="00496FB6" w:rsidR="003138E4">
        <w:rPr>
          <w:i/>
          <w:iCs/>
        </w:rPr>
        <w:t>People v. Stanley</w:t>
      </w:r>
      <w:r w:rsidRPr="00496FB6" w:rsidR="003138E4">
        <w:t xml:space="preserve"> (2006) 39</w:t>
      </w:r>
      <w:r w:rsidRPr="00496FB6" w:rsidR="00C73D17">
        <w:t> </w:t>
      </w:r>
      <w:r w:rsidRPr="00496FB6" w:rsidR="003138E4">
        <w:t>Cal.4th 913, 931</w:t>
      </w:r>
      <w:bookmarkEnd w:id="156"/>
      <w:r w:rsidRPr="00496FB6" w:rsidR="003138E4">
        <w:t xml:space="preserve"> [noting that </w:t>
      </w:r>
      <w:r w:rsidRPr="00496FB6" w:rsidR="00424ADF">
        <w:t xml:space="preserve">a </w:t>
      </w:r>
      <w:r w:rsidRPr="00496FB6" w:rsidR="00F55386">
        <w:t>“</w:t>
      </w:r>
      <w:r w:rsidRPr="00496FB6" w:rsidR="00424ADF">
        <w:t>trial court must grant a defendant</w:t>
      </w:r>
      <w:r w:rsidRPr="00496FB6" w:rsidR="009718CB">
        <w:t>’</w:t>
      </w:r>
      <w:r w:rsidRPr="00496FB6" w:rsidR="00424ADF">
        <w:t xml:space="preserve">s request for self-representation if three conditions are met,” </w:t>
      </w:r>
      <w:r w:rsidRPr="00496FB6" w:rsidR="00A67630">
        <w:t>including timeliness]</w:t>
      </w:r>
      <w:r w:rsidRPr="00496FB6" w:rsidR="009718CB">
        <w:t>.)</w:t>
      </w:r>
      <w:r w:rsidR="003E5B3E">
        <w:t xml:space="preserve">  </w:t>
      </w:r>
    </w:p>
    <w:p w:rsidR="00122100" w:rsidRPr="00496FB6" w:rsidP="00CF5962" w14:paraId="016018F2" w14:textId="5FA472CA">
      <w:pPr>
        <w:ind w:firstLine="720"/>
      </w:pPr>
      <w:r w:rsidRPr="00496FB6">
        <w:t xml:space="preserve">Next, defendant </w:t>
      </w:r>
      <w:r w:rsidRPr="00496FB6" w:rsidR="00563D1C">
        <w:t>argues that</w:t>
      </w:r>
      <w:r w:rsidRPr="00496FB6" w:rsidR="00E92021">
        <w:t xml:space="preserve"> “even assuming the motion was untimely,</w:t>
      </w:r>
      <w:r w:rsidRPr="00496FB6" w:rsidR="00A458DA">
        <w:t>”</w:t>
      </w:r>
      <w:r w:rsidRPr="00496FB6" w:rsidR="00E92021">
        <w:t xml:space="preserve"> the trial court </w:t>
      </w:r>
      <w:r w:rsidRPr="00496FB6" w:rsidR="00A458DA">
        <w:t>abused it</w:t>
      </w:r>
      <w:r w:rsidRPr="00496FB6" w:rsidR="00173D75">
        <w:t>s</w:t>
      </w:r>
      <w:r w:rsidRPr="00496FB6" w:rsidR="00A458DA">
        <w:t xml:space="preserve"> </w:t>
      </w:r>
      <w:r w:rsidRPr="00496FB6" w:rsidR="008F21CB">
        <w:t xml:space="preserve">discretion under </w:t>
      </w:r>
      <w:r w:rsidRPr="00496FB6" w:rsidR="008F21CB">
        <w:rPr>
          <w:i/>
          <w:iCs/>
        </w:rPr>
        <w:t xml:space="preserve">Windham </w:t>
      </w:r>
      <w:r w:rsidRPr="00496FB6" w:rsidR="008F21CB">
        <w:t>in denying it</w:t>
      </w:r>
      <w:r w:rsidRPr="00496FB6" w:rsidR="00E92021">
        <w:t>.</w:t>
      </w:r>
      <w:r>
        <w:rPr>
          <w:rStyle w:val="FootnoteReference"/>
        </w:rPr>
        <w:footnoteReference w:id="26"/>
      </w:r>
      <w:r w:rsidRPr="00496FB6" w:rsidR="00E92021">
        <w:t xml:space="preserve"> </w:t>
      </w:r>
      <w:r w:rsidRPr="00496FB6" w:rsidR="00504C57">
        <w:t xml:space="preserve"> </w:t>
      </w:r>
      <w:r w:rsidRPr="00496FB6">
        <w:t>“When a defendant</w:t>
      </w:r>
      <w:r w:rsidRPr="00496FB6">
        <w:t>’s motion is untimely</w:t>
      </w:r>
      <w:r w:rsidR="00B9628B">
        <w:t xml:space="preserve"> </w:t>
      </w:r>
      <w:r w:rsidRPr="00496FB6">
        <w:t xml:space="preserve">. . . it is ‘within the sound discretion of the trial court to determine whether such a defendant may dismiss counsel and proceed </w:t>
      </w:r>
      <w:r w:rsidRPr="00496FB6">
        <w:rPr>
          <w:i/>
          <w:iCs/>
        </w:rPr>
        <w:t>pro se</w:t>
      </w:r>
      <w:r w:rsidRPr="00496FB6">
        <w:t>.’ ”  (</w:t>
      </w:r>
      <w:r w:rsidRPr="00496FB6">
        <w:rPr>
          <w:i/>
          <w:iCs/>
        </w:rPr>
        <w:t>Thomas</w:t>
      </w:r>
      <w:r w:rsidRPr="00496FB6">
        <w:t xml:space="preserve">, </w:t>
      </w:r>
      <w:r w:rsidRPr="00496FB6">
        <w:rPr>
          <w:i/>
          <w:iCs/>
        </w:rPr>
        <w:t>supra</w:t>
      </w:r>
      <w:r w:rsidRPr="00496FB6">
        <w:t xml:space="preserve">, 14 Cal.5th at p. 397, quoting </w:t>
      </w:r>
      <w:r w:rsidRPr="00496FB6">
        <w:rPr>
          <w:i/>
          <w:iCs/>
        </w:rPr>
        <w:t>Windham</w:t>
      </w:r>
      <w:r w:rsidRPr="00496FB6">
        <w:t>,</w:t>
      </w:r>
      <w:r w:rsidRPr="007C34D3" w:rsidR="004B4131">
        <w:t xml:space="preserve"> </w:t>
      </w:r>
      <w:r w:rsidRPr="00496FB6" w:rsidR="004B4131">
        <w:rPr>
          <w:i/>
          <w:iCs/>
        </w:rPr>
        <w:t>supra</w:t>
      </w:r>
      <w:r w:rsidRPr="00496FB6" w:rsidR="004B4131">
        <w:t>, 19 Cal.3d</w:t>
      </w:r>
      <w:r w:rsidRPr="00496FB6">
        <w:rPr>
          <w:i/>
          <w:iCs/>
        </w:rPr>
        <w:t xml:space="preserve"> </w:t>
      </w:r>
      <w:r w:rsidRPr="00496FB6">
        <w:t xml:space="preserve">at p. 124.)  </w:t>
      </w:r>
    </w:p>
    <w:p w:rsidR="00AB101E" w:rsidRPr="00496FB6" w:rsidP="00CF5962" w14:paraId="7DF2F1B2" w14:textId="6594EE44">
      <w:pPr>
        <w:ind w:firstLine="720"/>
      </w:pPr>
      <w:r>
        <w:t xml:space="preserve">As </w:t>
      </w:r>
      <w:r w:rsidR="00E04674">
        <w:t xml:space="preserve">alluded to </w:t>
      </w:r>
      <w:r w:rsidR="00842398">
        <w:t xml:space="preserve">in part II.D.1., </w:t>
      </w:r>
      <w:r w:rsidRPr="00842398" w:rsidR="00E04674">
        <w:rPr>
          <w:i/>
          <w:iCs/>
        </w:rPr>
        <w:t>ante</w:t>
      </w:r>
      <w:r w:rsidR="00E04674">
        <w:t xml:space="preserve">, </w:t>
      </w:r>
      <w:r w:rsidR="00EB37EF">
        <w:t>i</w:t>
      </w:r>
      <w:r w:rsidRPr="00496FB6">
        <w:t xml:space="preserve">n exercising its discretion under </w:t>
      </w:r>
      <w:r w:rsidRPr="00496FB6">
        <w:rPr>
          <w:i/>
          <w:iCs/>
        </w:rPr>
        <w:t>Windham</w:t>
      </w:r>
      <w:r w:rsidRPr="00496FB6">
        <w:t xml:space="preserve"> </w:t>
      </w:r>
      <w:r w:rsidRPr="00496FB6" w:rsidR="008D762E">
        <w:t xml:space="preserve">to </w:t>
      </w:r>
      <w:r w:rsidRPr="00496FB6">
        <w:t xml:space="preserve">consider an untimely </w:t>
      </w:r>
      <w:r w:rsidRPr="00496FB6" w:rsidR="004C7768">
        <w:t>motion for self-representation</w:t>
      </w:r>
      <w:r w:rsidRPr="00496FB6">
        <w:t>, “ ‘the trial court should inquire into the defendant’s reasons for the request</w:t>
      </w:r>
      <w:r w:rsidRPr="00496FB6" w:rsidR="00F55386">
        <w:t>[</w:t>
      </w:r>
      <w:r w:rsidRPr="00496FB6">
        <w:t>s</w:t>
      </w:r>
      <w:r w:rsidRPr="00496FB6" w:rsidR="00F55386">
        <w:t>]</w:t>
      </w:r>
      <w:r w:rsidRPr="00496FB6">
        <w:t>’ and should consider factors including ‘</w:t>
      </w:r>
      <w:r w:rsidRPr="00496FB6" w:rsidR="008322B0">
        <w:t> </w:t>
      </w:r>
      <w:r w:rsidRPr="00496FB6">
        <w:t>“the quality of counsel’s representation of the defendant, the defendant</w:t>
      </w:r>
      <w:r w:rsidRPr="00496FB6" w:rsidR="00254E56">
        <w:t>’</w:t>
      </w:r>
      <w:r w:rsidRPr="00496FB6">
        <w:t>s prior proclivity to substitute counsel, the reasons for the request, the length and stage of the proceedings, and the disruption or delay which might reasonably be expected to follo</w:t>
      </w:r>
      <w:r w:rsidRPr="00496FB6">
        <w:t>w the granting of such a motion.”</w:t>
      </w:r>
      <w:r w:rsidRPr="00496FB6" w:rsidR="008322B0">
        <w:t> </w:t>
      </w:r>
      <w:r w:rsidRPr="00496FB6">
        <w:t>’</w:t>
      </w:r>
      <w:r w:rsidRPr="00496FB6" w:rsidR="00C101E1">
        <w:t> </w:t>
      </w:r>
      <w:r w:rsidRPr="00496FB6">
        <w:t>”  (</w:t>
      </w:r>
      <w:bookmarkStart w:id="157" w:name="dabmci_39a0a1aa1db942cc83ad4f504747ec0a"/>
      <w:r w:rsidRPr="00496FB6">
        <w:rPr>
          <w:i/>
          <w:iCs/>
        </w:rPr>
        <w:t>Thomas</w:t>
      </w:r>
      <w:r w:rsidRPr="00496FB6">
        <w:t xml:space="preserve">, </w:t>
      </w:r>
      <w:r w:rsidRPr="00496FB6" w:rsidR="0084398A">
        <w:rPr>
          <w:i/>
          <w:iCs/>
        </w:rPr>
        <w:t>supra</w:t>
      </w:r>
      <w:r w:rsidRPr="00496FB6" w:rsidR="0084398A">
        <w:t xml:space="preserve">, </w:t>
      </w:r>
      <w:r w:rsidRPr="00496FB6" w:rsidR="00EA30A3">
        <w:t>14</w:t>
      </w:r>
      <w:r w:rsidRPr="00496FB6" w:rsidR="00C73D17">
        <w:t> </w:t>
      </w:r>
      <w:r w:rsidRPr="00496FB6" w:rsidR="00EA30A3">
        <w:t xml:space="preserve">Cal.5th </w:t>
      </w:r>
      <w:r w:rsidRPr="00496FB6" w:rsidR="006D3210">
        <w:t xml:space="preserve">at </w:t>
      </w:r>
      <w:r w:rsidRPr="00496FB6">
        <w:t>p.</w:t>
      </w:r>
      <w:r w:rsidRPr="00496FB6" w:rsidR="00C73D17">
        <w:t> </w:t>
      </w:r>
      <w:r w:rsidRPr="00496FB6">
        <w:t>399</w:t>
      </w:r>
      <w:bookmarkEnd w:id="157"/>
      <w:r w:rsidRPr="00496FB6">
        <w:t xml:space="preserve">.)  </w:t>
      </w:r>
    </w:p>
    <w:p w:rsidR="0065516F" w:rsidRPr="00496FB6" w:rsidP="00CF5962" w14:paraId="7461C090" w14:textId="1E318024">
      <w:pPr>
        <w:ind w:firstLine="720"/>
      </w:pPr>
      <w:r w:rsidRPr="00496FB6">
        <w:t>Applying these principles</w:t>
      </w:r>
      <w:r w:rsidRPr="00496FB6" w:rsidR="00AB101E">
        <w:t xml:space="preserve">, </w:t>
      </w:r>
      <w:r w:rsidRPr="00496FB6" w:rsidR="008D762E">
        <w:t xml:space="preserve">we conclude </w:t>
      </w:r>
      <w:r w:rsidRPr="00496FB6" w:rsidR="00AB101E">
        <w:t xml:space="preserve">the trial court reasonably determined </w:t>
      </w:r>
      <w:r w:rsidRPr="00496FB6" w:rsidR="007640E3">
        <w:t xml:space="preserve">the factors weighed against granting defendant’s motion.  First, </w:t>
      </w:r>
      <w:r w:rsidRPr="00496FB6" w:rsidR="00AB101E">
        <w:t xml:space="preserve">the quality of counsel’s representation of </w:t>
      </w:r>
      <w:r w:rsidRPr="00496FB6" w:rsidR="00D82EC8">
        <w:t>defendant</w:t>
      </w:r>
      <w:r w:rsidRPr="00496FB6" w:rsidR="00AB101E">
        <w:t xml:space="preserve"> weighed against granting his request</w:t>
      </w:r>
      <w:r w:rsidRPr="00496FB6" w:rsidR="00BC1B57">
        <w:t>s</w:t>
      </w:r>
      <w:r w:rsidRPr="00496FB6" w:rsidR="00AB101E">
        <w:t xml:space="preserve">.  The trial court commented on the skill of </w:t>
      </w:r>
      <w:r w:rsidRPr="00496FB6" w:rsidR="004A7E18">
        <w:t xml:space="preserve">defense </w:t>
      </w:r>
      <w:r w:rsidRPr="00496FB6" w:rsidR="00AB101E">
        <w:t>counsel</w:t>
      </w:r>
      <w:r w:rsidRPr="00496FB6" w:rsidR="002F73E7">
        <w:t xml:space="preserve"> </w:t>
      </w:r>
      <w:r w:rsidRPr="00496FB6" w:rsidR="00AB101E">
        <w:t xml:space="preserve">and noted that </w:t>
      </w:r>
      <w:r w:rsidRPr="00496FB6" w:rsidR="007640E3">
        <w:t xml:space="preserve">she </w:t>
      </w:r>
      <w:r w:rsidRPr="00496FB6" w:rsidR="00AB101E">
        <w:t>had conducted an “exhaustive preparation” for the penalty phase</w:t>
      </w:r>
      <w:r w:rsidRPr="00496FB6" w:rsidR="002F73E7">
        <w:t>.</w:t>
      </w:r>
      <w:r w:rsidRPr="00496FB6" w:rsidR="00AB101E">
        <w:t xml:space="preserve"> </w:t>
      </w:r>
      <w:r w:rsidRPr="00496FB6" w:rsidR="002F73E7">
        <w:t xml:space="preserve"> </w:t>
      </w:r>
      <w:r w:rsidRPr="00496FB6" w:rsidR="007640E3">
        <w:t xml:space="preserve">Although </w:t>
      </w:r>
      <w:r w:rsidRPr="00496FB6" w:rsidR="00AB101E">
        <w:t xml:space="preserve">the court did not comment on </w:t>
      </w:r>
      <w:r w:rsidRPr="00496FB6" w:rsidR="00D82EC8">
        <w:t>defendant</w:t>
      </w:r>
      <w:r w:rsidRPr="00496FB6" w:rsidR="00AB101E">
        <w:t xml:space="preserve">’s proclivity to substitute counsel, </w:t>
      </w:r>
      <w:r w:rsidRPr="00496FB6" w:rsidR="00D86817">
        <w:t xml:space="preserve">we </w:t>
      </w:r>
      <w:r w:rsidRPr="00496FB6" w:rsidR="00AB101E">
        <w:t xml:space="preserve">agree with the People that there is at least some evidence that this factor </w:t>
      </w:r>
      <w:r w:rsidR="001115C3">
        <w:t xml:space="preserve">also </w:t>
      </w:r>
      <w:r w:rsidRPr="00496FB6" w:rsidR="00AB101E">
        <w:t xml:space="preserve">weighs against </w:t>
      </w:r>
      <w:r w:rsidRPr="00496FB6" w:rsidR="00D82EC8">
        <w:t>defendant</w:t>
      </w:r>
      <w:r w:rsidRPr="00496FB6" w:rsidR="00AB101E">
        <w:t xml:space="preserve">, in that he filed a </w:t>
      </w:r>
      <w:r w:rsidRPr="00496FB6" w:rsidR="00AB101E">
        <w:rPr>
          <w:i/>
          <w:iCs/>
        </w:rPr>
        <w:t>Marsden</w:t>
      </w:r>
      <w:r w:rsidRPr="00496FB6" w:rsidR="00AB101E">
        <w:t xml:space="preserve"> motion before filing his first </w:t>
      </w:r>
      <w:r w:rsidRPr="00496FB6" w:rsidR="00AB101E">
        <w:rPr>
          <w:i/>
          <w:iCs/>
        </w:rPr>
        <w:t xml:space="preserve">Faretta </w:t>
      </w:r>
      <w:r w:rsidRPr="00496FB6" w:rsidR="00AB101E">
        <w:t>motion</w:t>
      </w:r>
      <w:r w:rsidRPr="00496FB6" w:rsidR="003A4C22">
        <w:t xml:space="preserve">, </w:t>
      </w:r>
      <w:r w:rsidRPr="00496FB6" w:rsidR="00AB101E">
        <w:t xml:space="preserve">and his renewed </w:t>
      </w:r>
      <w:r w:rsidRPr="00496FB6" w:rsidR="00AB101E">
        <w:rPr>
          <w:i/>
          <w:iCs/>
        </w:rPr>
        <w:t xml:space="preserve">Faretta </w:t>
      </w:r>
      <w:r w:rsidRPr="00496FB6" w:rsidR="00AB101E">
        <w:t xml:space="preserve">requests were </w:t>
      </w:r>
      <w:r w:rsidRPr="00496FB6" w:rsidR="0040036E">
        <w:t>intermingled</w:t>
      </w:r>
      <w:r w:rsidRPr="00496FB6" w:rsidR="00AB101E">
        <w:rPr>
          <w:i/>
          <w:iCs/>
        </w:rPr>
        <w:t xml:space="preserve"> </w:t>
      </w:r>
      <w:r w:rsidRPr="00496FB6" w:rsidR="00AB101E">
        <w:t xml:space="preserve">with additional </w:t>
      </w:r>
      <w:r w:rsidRPr="00496FB6" w:rsidR="00AB101E">
        <w:rPr>
          <w:i/>
          <w:iCs/>
        </w:rPr>
        <w:t xml:space="preserve">Marsden </w:t>
      </w:r>
      <w:r w:rsidRPr="00496FB6" w:rsidR="00AB101E">
        <w:t>motions</w:t>
      </w:r>
      <w:r w:rsidRPr="00496FB6" w:rsidR="00254E56">
        <w:t xml:space="preserve">. </w:t>
      </w:r>
      <w:r w:rsidRPr="00496FB6" w:rsidR="00AB101E">
        <w:t xml:space="preserve"> </w:t>
      </w:r>
    </w:p>
    <w:p w:rsidR="00D86817" w:rsidRPr="00496FB6" w:rsidP="00CF5962" w14:paraId="64247735" w14:textId="37F1E06D">
      <w:pPr>
        <w:ind w:firstLine="720"/>
      </w:pPr>
      <w:r w:rsidRPr="00496FB6">
        <w:t xml:space="preserve">Second, regarding </w:t>
      </w:r>
      <w:r w:rsidRPr="00496FB6" w:rsidR="00AB101E">
        <w:t xml:space="preserve">the reason for </w:t>
      </w:r>
      <w:r w:rsidRPr="00496FB6" w:rsidR="00D82EC8">
        <w:t>defendant</w:t>
      </w:r>
      <w:r w:rsidRPr="00496FB6" w:rsidR="00AB101E">
        <w:t>’s request</w:t>
      </w:r>
      <w:r w:rsidRPr="00496FB6" w:rsidR="00BC1B57">
        <w:t>s</w:t>
      </w:r>
      <w:r w:rsidRPr="00496FB6" w:rsidR="00AB101E">
        <w:t xml:space="preserve">, while </w:t>
      </w:r>
      <w:r w:rsidRPr="00496FB6" w:rsidR="00504C57">
        <w:t xml:space="preserve">defendant may have </w:t>
      </w:r>
      <w:r w:rsidRPr="00496FB6" w:rsidR="00AB101E">
        <w:t xml:space="preserve">had a genuine disagreement with counsel as to their penalty phase approach, it also </w:t>
      </w:r>
      <w:r w:rsidRPr="00496FB6" w:rsidR="00504C57">
        <w:t xml:space="preserve">appears </w:t>
      </w:r>
      <w:r w:rsidRPr="00496FB6" w:rsidR="00AB101E">
        <w:t xml:space="preserve">part of this disagreement was rooted in </w:t>
      </w:r>
      <w:r w:rsidRPr="00496FB6" w:rsidR="00D82EC8">
        <w:t>defendant</w:t>
      </w:r>
      <w:r w:rsidRPr="00496FB6" w:rsidR="00AB101E">
        <w:t>’s desire to present a defense</w:t>
      </w:r>
      <w:r w:rsidRPr="00496FB6" w:rsidR="009B5615">
        <w:t xml:space="preserve"> that</w:t>
      </w:r>
      <w:r w:rsidRPr="00496FB6" w:rsidR="00AB101E">
        <w:t xml:space="preserve"> was not legally cognizable.  </w:t>
      </w:r>
      <w:r w:rsidRPr="00496FB6" w:rsidR="006A6706">
        <w:t xml:space="preserve">Specifically, </w:t>
      </w:r>
      <w:r w:rsidRPr="00496FB6" w:rsidR="00575A2A">
        <w:t>wh</w:t>
      </w:r>
      <w:r w:rsidRPr="00496FB6" w:rsidR="00603317">
        <w:t xml:space="preserve">ile </w:t>
      </w:r>
      <w:r w:rsidRPr="00496FB6" w:rsidR="00D82EC8">
        <w:t>defendant</w:t>
      </w:r>
      <w:r w:rsidRPr="00496FB6" w:rsidR="00603317">
        <w:t xml:space="preserve"> explained he wanted to represent</w:t>
      </w:r>
      <w:r w:rsidRPr="00496FB6" w:rsidR="00EB48AE">
        <w:t xml:space="preserve"> himself to </w:t>
      </w:r>
      <w:r w:rsidRPr="00496FB6" w:rsidR="000A24E5">
        <w:t xml:space="preserve">be able to </w:t>
      </w:r>
      <w:r w:rsidRPr="00496FB6" w:rsidR="000C249C">
        <w:t xml:space="preserve">present evidence of </w:t>
      </w:r>
      <w:r w:rsidRPr="00496FB6" w:rsidR="00CB3CFB">
        <w:t>“how [his] friends and loved ones will be affected if [the jury] decided to have [him] executed,”</w:t>
      </w:r>
      <w:r w:rsidRPr="00496FB6" w:rsidR="002D64F2">
        <w:t xml:space="preserve"> </w:t>
      </w:r>
      <w:r w:rsidRPr="00496FB6" w:rsidR="00CB3CFB">
        <w:t xml:space="preserve">this court has </w:t>
      </w:r>
      <w:r w:rsidRPr="00496FB6" w:rsidR="00340623">
        <w:t xml:space="preserve">repeatedly </w:t>
      </w:r>
      <w:r w:rsidRPr="00496FB6" w:rsidR="00CB3CFB">
        <w:t>ruled that “</w:t>
      </w:r>
      <w:r w:rsidRPr="00496FB6" w:rsidR="00F8598D">
        <w:t> </w:t>
      </w:r>
      <w:r w:rsidRPr="00496FB6" w:rsidR="00CB3CFB">
        <w:t>‘[t]he impact of a defendant’s execution on his or her family may not be considered by the jury in mitigation.’</w:t>
      </w:r>
      <w:r w:rsidRPr="00496FB6" w:rsidR="00F8598D">
        <w:t> </w:t>
      </w:r>
      <w:r w:rsidRPr="00496FB6" w:rsidR="00CB3CFB">
        <w:t>”  (</w:t>
      </w:r>
      <w:bookmarkStart w:id="158" w:name="dabmci_01f2faa7db61402e8612fda6fe4bfb8a"/>
      <w:r w:rsidRPr="00496FB6" w:rsidR="00CB3CFB">
        <w:rPr>
          <w:i/>
          <w:iCs/>
        </w:rPr>
        <w:t>People v.</w:t>
      </w:r>
      <w:r w:rsidRPr="00496FB6" w:rsidR="00CB3CFB">
        <w:t xml:space="preserve"> </w:t>
      </w:r>
      <w:r w:rsidRPr="00496FB6" w:rsidR="00CB3CFB">
        <w:rPr>
          <w:i/>
          <w:iCs/>
        </w:rPr>
        <w:t>Williams</w:t>
      </w:r>
      <w:r w:rsidRPr="00496FB6" w:rsidR="00CB3CFB">
        <w:t xml:space="preserve"> (2013) 56</w:t>
      </w:r>
      <w:r w:rsidRPr="00496FB6" w:rsidR="00C73D17">
        <w:t> </w:t>
      </w:r>
      <w:r w:rsidRPr="00496FB6" w:rsidR="00CB3CFB">
        <w:t>Ca</w:t>
      </w:r>
      <w:r w:rsidRPr="00496FB6" w:rsidR="00AF6CB5">
        <w:t>l</w:t>
      </w:r>
      <w:r w:rsidRPr="00496FB6" w:rsidR="00CB3CFB">
        <w:t>.4th 165, 197 (</w:t>
      </w:r>
      <w:r w:rsidRPr="00496FB6" w:rsidR="00CB3CFB">
        <w:rPr>
          <w:i/>
          <w:iCs/>
        </w:rPr>
        <w:t>Williams</w:t>
      </w:r>
      <w:r w:rsidRPr="00496FB6" w:rsidR="00CB3CFB">
        <w:t>)</w:t>
      </w:r>
      <w:bookmarkEnd w:id="158"/>
      <w:r w:rsidRPr="00496FB6" w:rsidR="00340623">
        <w:t>; accord</w:t>
      </w:r>
      <w:r w:rsidRPr="00496FB6" w:rsidR="00F55386">
        <w:t>,</w:t>
      </w:r>
      <w:r w:rsidRPr="00496FB6" w:rsidR="00504C57">
        <w:t xml:space="preserve"> </w:t>
      </w:r>
      <w:bookmarkStart w:id="159" w:name="dabmci_260d1070d4304c8abe4f59247d7c1c89"/>
      <w:r w:rsidRPr="00496FB6" w:rsidR="00951387">
        <w:rPr>
          <w:i/>
          <w:iCs/>
        </w:rPr>
        <w:t>Camacho</w:t>
      </w:r>
      <w:r w:rsidRPr="00496FB6" w:rsidR="00407967">
        <w:t xml:space="preserve">, </w:t>
      </w:r>
      <w:r w:rsidRPr="00496FB6" w:rsidR="00407967">
        <w:rPr>
          <w:i/>
          <w:iCs/>
        </w:rPr>
        <w:t>supra</w:t>
      </w:r>
      <w:r w:rsidRPr="00496FB6" w:rsidR="00407967">
        <w:t xml:space="preserve">, </w:t>
      </w:r>
      <w:r w:rsidRPr="00496FB6" w:rsidR="00951387">
        <w:t>14</w:t>
      </w:r>
      <w:r w:rsidRPr="00496FB6" w:rsidR="00C73D17">
        <w:t> </w:t>
      </w:r>
      <w:r w:rsidRPr="00496FB6" w:rsidR="00951387">
        <w:t xml:space="preserve">Cal.5th </w:t>
      </w:r>
      <w:r w:rsidRPr="00496FB6" w:rsidR="00407967">
        <w:t>at p.</w:t>
      </w:r>
      <w:r w:rsidRPr="00496FB6" w:rsidR="00C73D17">
        <w:t> </w:t>
      </w:r>
      <w:r w:rsidRPr="00496FB6" w:rsidR="00951387">
        <w:t>142</w:t>
      </w:r>
      <w:bookmarkEnd w:id="159"/>
      <w:r w:rsidRPr="00496FB6" w:rsidR="00951387">
        <w:t xml:space="preserve"> [</w:t>
      </w:r>
      <w:r w:rsidRPr="00496FB6" w:rsidR="00FB61BD">
        <w:t>describing</w:t>
      </w:r>
      <w:r w:rsidRPr="00496FB6" w:rsidR="00951387">
        <w:t xml:space="preserve"> this court’s case law on this point </w:t>
      </w:r>
      <w:r w:rsidRPr="00496FB6" w:rsidR="00FB61BD">
        <w:t>as “unwavering”</w:t>
      </w:r>
      <w:r w:rsidRPr="00496FB6" w:rsidR="00BA3BE0">
        <w:t>]</w:t>
      </w:r>
      <w:r w:rsidRPr="00496FB6" w:rsidR="00CB3CFB">
        <w:t>.)</w:t>
      </w:r>
      <w:r w:rsidRPr="00496FB6" w:rsidR="000A24E5">
        <w:t xml:space="preserve">  </w:t>
      </w:r>
      <w:r w:rsidRPr="00496FB6" w:rsidR="00D230C9">
        <w:t xml:space="preserve">Further, while </w:t>
      </w:r>
      <w:r w:rsidRPr="00496FB6" w:rsidR="00D82EC8">
        <w:t>defendant</w:t>
      </w:r>
      <w:r w:rsidRPr="00496FB6" w:rsidR="00D230C9">
        <w:t xml:space="preserve"> at one point stated that he w</w:t>
      </w:r>
      <w:r w:rsidRPr="00496FB6" w:rsidR="00D40EB8">
        <w:t>anted</w:t>
      </w:r>
      <w:r w:rsidRPr="00496FB6" w:rsidR="00D230C9">
        <w:t xml:space="preserve"> to represent himself so he could present a statement to the jury and “not be subject to cross-examination,</w:t>
      </w:r>
      <w:r w:rsidRPr="00496FB6" w:rsidR="0004792C">
        <w:t>”</w:t>
      </w:r>
      <w:r w:rsidRPr="00496FB6" w:rsidR="00D230C9">
        <w:t xml:space="preserve"> the trial court reasonably noted that any such statement would not be allowed if he were “testifying” or “adding facts to the case.”  </w:t>
      </w:r>
      <w:r w:rsidRPr="00496FB6" w:rsidR="00AB101E">
        <w:t xml:space="preserve">Thus, </w:t>
      </w:r>
      <w:r w:rsidRPr="00496FB6" w:rsidR="00D82EC8">
        <w:t>defendant</w:t>
      </w:r>
      <w:r w:rsidRPr="00496FB6" w:rsidR="00AB101E">
        <w:t xml:space="preserve">’s </w:t>
      </w:r>
      <w:r w:rsidR="00276593">
        <w:t>stated reasons for</w:t>
      </w:r>
      <w:r w:rsidRPr="00496FB6" w:rsidR="00AB101E">
        <w:t xml:space="preserve"> </w:t>
      </w:r>
      <w:r w:rsidR="00276593">
        <w:t xml:space="preserve">wanting </w:t>
      </w:r>
      <w:r w:rsidRPr="00496FB6" w:rsidR="00D230C9">
        <w:t xml:space="preserve">to represent himself </w:t>
      </w:r>
      <w:r w:rsidRPr="00496FB6" w:rsidR="00AB101E">
        <w:t>do not demonstrate that the trial court abused its discretion.</w:t>
      </w:r>
      <w:r w:rsidR="003E5B3E">
        <w:t xml:space="preserve">  </w:t>
      </w:r>
    </w:p>
    <w:p w:rsidR="00AB101E" w:rsidRPr="00496FB6" w:rsidP="00CF5962" w14:paraId="6C2F3C09" w14:textId="29B2AFC0">
      <w:pPr>
        <w:ind w:firstLine="720"/>
      </w:pPr>
      <w:r w:rsidRPr="00496FB6">
        <w:t xml:space="preserve">Third, the length and stage of the proceedings also weighed heavily against granting </w:t>
      </w:r>
      <w:r w:rsidRPr="00496FB6" w:rsidR="00D82EC8">
        <w:t>defendant</w:t>
      </w:r>
      <w:r w:rsidRPr="00496FB6">
        <w:t xml:space="preserve">’s untimely </w:t>
      </w:r>
      <w:r w:rsidRPr="00496FB6">
        <w:rPr>
          <w:i/>
          <w:iCs/>
        </w:rPr>
        <w:t>Faretta</w:t>
      </w:r>
      <w:r w:rsidRPr="00496FB6">
        <w:t xml:space="preserve"> motions.  And, finally, </w:t>
      </w:r>
      <w:r w:rsidRPr="00496FB6">
        <w:t xml:space="preserve">while </w:t>
      </w:r>
      <w:r w:rsidRPr="00496FB6" w:rsidR="00D82EC8">
        <w:t>defendant</w:t>
      </w:r>
      <w:r w:rsidRPr="00496FB6">
        <w:t xml:space="preserve"> argues there was no evidence that his requests were made for the purpose of delay,</w:t>
      </w:r>
      <w:r w:rsidRPr="00496FB6" w:rsidR="007511EE">
        <w:t xml:space="preserve"> </w:t>
      </w:r>
      <w:r w:rsidRPr="00496FB6">
        <w:t>the trial court reasonably determined that disruption or delay “</w:t>
      </w:r>
      <w:r w:rsidRPr="00496FB6" w:rsidR="00C12DF1">
        <w:t> ‘ “</w:t>
      </w:r>
      <w:r w:rsidRPr="00496FB6">
        <w:t>might reasonably be expected to follow the granting of such a motion.</w:t>
      </w:r>
      <w:r w:rsidRPr="00496FB6" w:rsidR="00C12DF1">
        <w:t>” ’ </w:t>
      </w:r>
      <w:r w:rsidRPr="00496FB6">
        <w:t>”  (</w:t>
      </w:r>
      <w:bookmarkStart w:id="160" w:name="dabmci_65c997a338f74c238c7835d416ddce7f"/>
      <w:r w:rsidRPr="00496FB6">
        <w:rPr>
          <w:i/>
          <w:iCs/>
        </w:rPr>
        <w:t>Thomas</w:t>
      </w:r>
      <w:r w:rsidRPr="00496FB6">
        <w:t xml:space="preserve">, </w:t>
      </w:r>
      <w:r w:rsidRPr="00496FB6">
        <w:rPr>
          <w:i/>
          <w:iCs/>
        </w:rPr>
        <w:t>supr</w:t>
      </w:r>
      <w:r w:rsidRPr="00496FB6">
        <w:rPr>
          <w:i/>
          <w:iCs/>
        </w:rPr>
        <w:t>a</w:t>
      </w:r>
      <w:r w:rsidRPr="00496FB6">
        <w:t>, 14</w:t>
      </w:r>
      <w:r w:rsidRPr="00496FB6" w:rsidR="00FC348F">
        <w:t> </w:t>
      </w:r>
      <w:r w:rsidRPr="00496FB6">
        <w:t>Cal.5th at p.</w:t>
      </w:r>
      <w:r w:rsidRPr="00496FB6" w:rsidR="00FC348F">
        <w:t> </w:t>
      </w:r>
      <w:r w:rsidRPr="00496FB6">
        <w:t>399</w:t>
      </w:r>
      <w:bookmarkEnd w:id="160"/>
      <w:r w:rsidRPr="00496FB6" w:rsidR="00C12DF1">
        <w:t xml:space="preserve">; </w:t>
      </w:r>
      <w:r w:rsidRPr="00496FB6" w:rsidR="00C12DF1">
        <w:rPr>
          <w:i/>
          <w:iCs/>
        </w:rPr>
        <w:t>id</w:t>
      </w:r>
      <w:r w:rsidRPr="00496FB6" w:rsidR="00C12DF1">
        <w:t>. at p. 400</w:t>
      </w:r>
      <w:r w:rsidRPr="00496FB6">
        <w:t xml:space="preserve"> [trial court did not abuse its discretion in determining “defendant’s self-representation carried with it some potential for disruption based on the stage of the proceedings”].)  In sum, </w:t>
      </w:r>
      <w:r w:rsidR="0004441B">
        <w:t>we</w:t>
      </w:r>
      <w:r w:rsidRPr="00496FB6" w:rsidR="00766B11">
        <w:t xml:space="preserve"> conclud</w:t>
      </w:r>
      <w:r w:rsidR="0004441B">
        <w:t>e</w:t>
      </w:r>
      <w:r w:rsidRPr="00496FB6">
        <w:t xml:space="preserve"> the trial court re</w:t>
      </w:r>
      <w:r w:rsidRPr="00496FB6">
        <w:t xml:space="preserve">asonably exercised its discretion </w:t>
      </w:r>
      <w:r w:rsidRPr="00496FB6" w:rsidR="0065516F">
        <w:t xml:space="preserve">under </w:t>
      </w:r>
      <w:r w:rsidRPr="00496FB6" w:rsidR="0065516F">
        <w:rPr>
          <w:i/>
          <w:iCs/>
        </w:rPr>
        <w:t>Windham</w:t>
      </w:r>
      <w:r w:rsidRPr="00496FB6">
        <w:t xml:space="preserve"> in denying </w:t>
      </w:r>
      <w:r w:rsidRPr="00496FB6" w:rsidR="00D82EC8">
        <w:t>defendant</w:t>
      </w:r>
      <w:r w:rsidRPr="00496FB6">
        <w:t>’s request.</w:t>
      </w:r>
      <w:r w:rsidR="003E5B3E">
        <w:t xml:space="preserve">  </w:t>
      </w:r>
    </w:p>
    <w:p w:rsidR="00C11CAF" w:rsidRPr="00496FB6" w:rsidP="00496FB6" w14:paraId="222BD8BF" w14:textId="7F63E4FF">
      <w:pPr>
        <w:pStyle w:val="Heading2"/>
        <w:keepLines/>
        <w:tabs>
          <w:tab w:val="clear" w:pos="1152"/>
        </w:tabs>
        <w:ind w:left="1080" w:hanging="360"/>
        <w:rPr>
          <w:bCs/>
        </w:rPr>
      </w:pPr>
      <w:bookmarkStart w:id="161" w:name="_Toc147845698"/>
      <w:bookmarkStart w:id="162" w:name="_Toc147519570"/>
      <w:r w:rsidRPr="00496FB6">
        <w:t>E</w:t>
      </w:r>
      <w:r w:rsidRPr="00496FB6" w:rsidR="00C3494F">
        <w:t>.</w:t>
      </w:r>
      <w:r w:rsidRPr="00496FB6" w:rsidR="0074483D">
        <w:tab/>
      </w:r>
      <w:r w:rsidRPr="00496FB6" w:rsidR="00C53BB3">
        <w:rPr>
          <w:bCs/>
        </w:rPr>
        <w:t xml:space="preserve">The </w:t>
      </w:r>
      <w:r w:rsidRPr="00496FB6" w:rsidR="0023133E">
        <w:rPr>
          <w:bCs/>
        </w:rPr>
        <w:t>T</w:t>
      </w:r>
      <w:r w:rsidRPr="00496FB6" w:rsidR="00C53BB3">
        <w:rPr>
          <w:bCs/>
        </w:rPr>
        <w:t xml:space="preserve">rial </w:t>
      </w:r>
      <w:r w:rsidRPr="00496FB6" w:rsidR="0023133E">
        <w:rPr>
          <w:bCs/>
        </w:rPr>
        <w:t>C</w:t>
      </w:r>
      <w:r w:rsidRPr="00496FB6" w:rsidR="00C53BB3">
        <w:rPr>
          <w:bCs/>
        </w:rPr>
        <w:t xml:space="preserve">ourt </w:t>
      </w:r>
      <w:r w:rsidRPr="00496FB6" w:rsidR="0023133E">
        <w:rPr>
          <w:bCs/>
        </w:rPr>
        <w:t>D</w:t>
      </w:r>
      <w:r w:rsidRPr="00496FB6" w:rsidR="00C53BB3">
        <w:rPr>
          <w:bCs/>
        </w:rPr>
        <w:t xml:space="preserve">id </w:t>
      </w:r>
      <w:r w:rsidRPr="00496FB6" w:rsidR="0023133E">
        <w:rPr>
          <w:bCs/>
        </w:rPr>
        <w:t>N</w:t>
      </w:r>
      <w:r w:rsidRPr="00496FB6" w:rsidR="00C53BB3">
        <w:rPr>
          <w:bCs/>
        </w:rPr>
        <w:t xml:space="preserve">ot </w:t>
      </w:r>
      <w:r w:rsidRPr="00496FB6" w:rsidR="0023133E">
        <w:rPr>
          <w:bCs/>
        </w:rPr>
        <w:t>E</w:t>
      </w:r>
      <w:r w:rsidRPr="00496FB6" w:rsidR="00C53BB3">
        <w:rPr>
          <w:bCs/>
        </w:rPr>
        <w:t xml:space="preserve">rr in </w:t>
      </w:r>
      <w:r w:rsidRPr="00496FB6" w:rsidR="0023133E">
        <w:rPr>
          <w:bCs/>
        </w:rPr>
        <w:t>D</w:t>
      </w:r>
      <w:r w:rsidRPr="00496FB6" w:rsidR="00C53BB3">
        <w:rPr>
          <w:bCs/>
        </w:rPr>
        <w:t xml:space="preserve">enying </w:t>
      </w:r>
      <w:r w:rsidRPr="00496FB6" w:rsidR="0023133E">
        <w:rPr>
          <w:bCs/>
        </w:rPr>
        <w:t>D</w:t>
      </w:r>
      <w:r w:rsidRPr="00496FB6" w:rsidR="00D82EC8">
        <w:rPr>
          <w:bCs/>
        </w:rPr>
        <w:t>efendant</w:t>
      </w:r>
      <w:r w:rsidRPr="00496FB6" w:rsidR="00C53BB3">
        <w:rPr>
          <w:bCs/>
        </w:rPr>
        <w:t xml:space="preserve">’s </w:t>
      </w:r>
      <w:r w:rsidRPr="00496FB6" w:rsidR="0023133E">
        <w:rPr>
          <w:bCs/>
        </w:rPr>
        <w:t>R</w:t>
      </w:r>
      <w:r w:rsidRPr="00496FB6" w:rsidR="00C53BB3">
        <w:rPr>
          <w:bCs/>
        </w:rPr>
        <w:t>equest</w:t>
      </w:r>
      <w:r w:rsidRPr="00496FB6" w:rsidR="00706A91">
        <w:rPr>
          <w:bCs/>
        </w:rPr>
        <w:t>s</w:t>
      </w:r>
      <w:r w:rsidRPr="00496FB6" w:rsidR="00C53BB3">
        <w:rPr>
          <w:bCs/>
        </w:rPr>
        <w:t xml:space="preserve"> to </w:t>
      </w:r>
      <w:r w:rsidRPr="00496FB6" w:rsidR="0023133E">
        <w:rPr>
          <w:bCs/>
        </w:rPr>
        <w:t>R</w:t>
      </w:r>
      <w:r w:rsidRPr="00496FB6" w:rsidR="00C53BB3">
        <w:rPr>
          <w:bCs/>
        </w:rPr>
        <w:t>epresent</w:t>
      </w:r>
      <w:r w:rsidRPr="00496FB6" w:rsidR="0023133E">
        <w:rPr>
          <w:bCs/>
        </w:rPr>
        <w:t xml:space="preserve"> H</w:t>
      </w:r>
      <w:r w:rsidRPr="00496FB6" w:rsidR="00C53BB3">
        <w:rPr>
          <w:bCs/>
        </w:rPr>
        <w:t xml:space="preserve">imself at the </w:t>
      </w:r>
      <w:r w:rsidRPr="00496FB6" w:rsidR="0023133E">
        <w:rPr>
          <w:bCs/>
        </w:rPr>
        <w:t>H</w:t>
      </w:r>
      <w:r w:rsidRPr="00496FB6" w:rsidR="00C53BB3">
        <w:rPr>
          <w:bCs/>
        </w:rPr>
        <w:t xml:space="preserve">earing on his </w:t>
      </w:r>
      <w:r w:rsidRPr="00496FB6" w:rsidR="0023133E">
        <w:rPr>
          <w:bCs/>
        </w:rPr>
        <w:t>A</w:t>
      </w:r>
      <w:r w:rsidRPr="00496FB6" w:rsidR="00C53BB3">
        <w:rPr>
          <w:bCs/>
        </w:rPr>
        <w:t xml:space="preserve">utomatic </w:t>
      </w:r>
      <w:r w:rsidRPr="00496FB6" w:rsidR="0023133E">
        <w:rPr>
          <w:bCs/>
        </w:rPr>
        <w:t>M</w:t>
      </w:r>
      <w:r w:rsidRPr="00496FB6" w:rsidR="00C53BB3">
        <w:rPr>
          <w:bCs/>
        </w:rPr>
        <w:t xml:space="preserve">otion to </w:t>
      </w:r>
      <w:r w:rsidRPr="00496FB6" w:rsidR="0023133E">
        <w:rPr>
          <w:bCs/>
        </w:rPr>
        <w:t>M</w:t>
      </w:r>
      <w:r w:rsidRPr="00496FB6" w:rsidR="00C53BB3">
        <w:rPr>
          <w:bCs/>
        </w:rPr>
        <w:t xml:space="preserve">odify the </w:t>
      </w:r>
      <w:r w:rsidRPr="00496FB6" w:rsidR="0023133E">
        <w:rPr>
          <w:bCs/>
        </w:rPr>
        <w:t>D</w:t>
      </w:r>
      <w:r w:rsidRPr="00496FB6" w:rsidR="00C53BB3">
        <w:rPr>
          <w:bCs/>
        </w:rPr>
        <w:t xml:space="preserve">eath </w:t>
      </w:r>
      <w:r w:rsidRPr="00496FB6" w:rsidR="0023133E">
        <w:rPr>
          <w:bCs/>
        </w:rPr>
        <w:t>V</w:t>
      </w:r>
      <w:r w:rsidRPr="00496FB6" w:rsidR="00C53BB3">
        <w:rPr>
          <w:bCs/>
        </w:rPr>
        <w:t>erdict (§ 190.4, subd. (e)</w:t>
      </w:r>
      <w:r w:rsidRPr="00496FB6" w:rsidR="00245116">
        <w:rPr>
          <w:bCs/>
        </w:rPr>
        <w:t>)</w:t>
      </w:r>
      <w:r w:rsidRPr="00496FB6" w:rsidR="00C53BB3">
        <w:rPr>
          <w:bCs/>
        </w:rPr>
        <w:t xml:space="preserve"> and at the </w:t>
      </w:r>
      <w:r w:rsidRPr="00496FB6" w:rsidR="0023133E">
        <w:rPr>
          <w:bCs/>
        </w:rPr>
        <w:t>S</w:t>
      </w:r>
      <w:r w:rsidRPr="00496FB6" w:rsidR="00C53BB3">
        <w:rPr>
          <w:bCs/>
        </w:rPr>
        <w:t xml:space="preserve">entencing </w:t>
      </w:r>
      <w:r w:rsidRPr="00496FB6" w:rsidR="0023133E">
        <w:rPr>
          <w:bCs/>
        </w:rPr>
        <w:t>H</w:t>
      </w:r>
      <w:r w:rsidRPr="00496FB6" w:rsidR="00C53BB3">
        <w:rPr>
          <w:bCs/>
        </w:rPr>
        <w:t>earing</w:t>
      </w:r>
      <w:bookmarkEnd w:id="161"/>
      <w:r w:rsidR="003E5B3E">
        <w:rPr>
          <w:bCs/>
        </w:rPr>
        <w:t xml:space="preserve"> </w:t>
      </w:r>
      <w:bookmarkEnd w:id="162"/>
      <w:r w:rsidR="003E5B3E">
        <w:rPr>
          <w:bCs/>
        </w:rPr>
        <w:t xml:space="preserve"> </w:t>
      </w:r>
    </w:p>
    <w:p w:rsidR="00ED59E5" w:rsidRPr="00496FB6" w:rsidP="00CE322C" w14:paraId="199F9833" w14:textId="275E46D9">
      <w:pPr>
        <w:ind w:firstLine="720"/>
        <w:rPr>
          <w:bCs/>
        </w:rPr>
      </w:pPr>
      <w:r w:rsidRPr="00496FB6">
        <w:t>Defendant</w:t>
      </w:r>
      <w:r w:rsidRPr="00496FB6" w:rsidR="009C0CE0">
        <w:t xml:space="preserve"> similarly</w:t>
      </w:r>
      <w:r w:rsidRPr="00496FB6" w:rsidR="002A4965">
        <w:t xml:space="preserve"> claims the trial court violated his </w:t>
      </w:r>
      <w:r w:rsidRPr="00496FB6" w:rsidR="00FC7EBD">
        <w:t>federal constitutional right</w:t>
      </w:r>
      <w:r w:rsidRPr="00496FB6" w:rsidR="002A4965">
        <w:t xml:space="preserve"> to self-representation by denying his requests to represent himself at </w:t>
      </w:r>
      <w:r w:rsidRPr="00496FB6" w:rsidR="009E351D">
        <w:rPr>
          <w:bCs/>
        </w:rPr>
        <w:t>the hearing on his automatic motion to modify the death verdict (§ 190.4, subd. (e))</w:t>
      </w:r>
      <w:r>
        <w:rPr>
          <w:rStyle w:val="FootnoteReference"/>
          <w:bCs/>
        </w:rPr>
        <w:footnoteReference w:id="27"/>
      </w:r>
      <w:r w:rsidRPr="00496FB6" w:rsidR="00F5333D">
        <w:rPr>
          <w:bCs/>
        </w:rPr>
        <w:t xml:space="preserve"> </w:t>
      </w:r>
      <w:r w:rsidRPr="00496FB6" w:rsidR="009E351D">
        <w:rPr>
          <w:bCs/>
        </w:rPr>
        <w:t>and at the sentencing hea</w:t>
      </w:r>
      <w:r w:rsidRPr="00496FB6" w:rsidR="00F5333D">
        <w:rPr>
          <w:bCs/>
        </w:rPr>
        <w:t>r</w:t>
      </w:r>
      <w:r w:rsidRPr="00496FB6" w:rsidR="009E351D">
        <w:rPr>
          <w:bCs/>
        </w:rPr>
        <w:t>ing</w:t>
      </w:r>
      <w:r w:rsidRPr="00496FB6" w:rsidR="002A4965">
        <w:t>.</w:t>
      </w:r>
      <w:r>
        <w:rPr>
          <w:rStyle w:val="FootnoteReference"/>
        </w:rPr>
        <w:footnoteReference w:id="28"/>
      </w:r>
      <w:r w:rsidRPr="00496FB6" w:rsidR="00F5333D">
        <w:rPr>
          <w:bCs/>
        </w:rPr>
        <w:t xml:space="preserve"> </w:t>
      </w:r>
      <w:r w:rsidRPr="00496FB6" w:rsidR="002A4965">
        <w:t xml:space="preserve"> </w:t>
      </w:r>
      <w:r w:rsidRPr="00496FB6" w:rsidR="006D260C">
        <w:t xml:space="preserve">As a result, he contends he is entitled to </w:t>
      </w:r>
      <w:r w:rsidRPr="00496FB6" w:rsidR="00F52F6D">
        <w:rPr>
          <w:bCs/>
        </w:rPr>
        <w:t xml:space="preserve">a new hearing on the section 190.4, subdivision (e) automatic motion and </w:t>
      </w:r>
      <w:r w:rsidRPr="00496FB6" w:rsidR="000079CD">
        <w:rPr>
          <w:bCs/>
        </w:rPr>
        <w:t>a new</w:t>
      </w:r>
      <w:r w:rsidRPr="00496FB6" w:rsidR="00F52F6D">
        <w:rPr>
          <w:bCs/>
        </w:rPr>
        <w:t xml:space="preserve"> sentencing hearing</w:t>
      </w:r>
      <w:r w:rsidRPr="00496FB6" w:rsidR="006D260C">
        <w:rPr>
          <w:bCs/>
        </w:rPr>
        <w:t>.</w:t>
      </w:r>
      <w:r>
        <w:rPr>
          <w:rStyle w:val="FootnoteReference"/>
        </w:rPr>
        <w:footnoteReference w:id="29"/>
      </w:r>
      <w:r w:rsidRPr="00496FB6" w:rsidR="006D260C">
        <w:rPr>
          <w:bCs/>
        </w:rPr>
        <w:t xml:space="preserve"> </w:t>
      </w:r>
      <w:r w:rsidRPr="00496FB6" w:rsidR="000D1322">
        <w:rPr>
          <w:bCs/>
        </w:rPr>
        <w:t xml:space="preserve"> </w:t>
      </w:r>
      <w:r w:rsidR="00B919B7">
        <w:rPr>
          <w:bCs/>
        </w:rPr>
        <w:t>W</w:t>
      </w:r>
      <w:r w:rsidRPr="00496FB6" w:rsidR="0038035A">
        <w:rPr>
          <w:bCs/>
        </w:rPr>
        <w:t xml:space="preserve">e </w:t>
      </w:r>
      <w:r w:rsidRPr="00496FB6" w:rsidR="00231843">
        <w:rPr>
          <w:bCs/>
        </w:rPr>
        <w:t>disagree.</w:t>
      </w:r>
      <w:r w:rsidR="00FF4EA4">
        <w:rPr>
          <w:bCs/>
        </w:rPr>
        <w:t xml:space="preserve"> </w:t>
      </w:r>
      <w:r w:rsidRPr="00496FB6" w:rsidR="00231843">
        <w:rPr>
          <w:bCs/>
        </w:rPr>
        <w:t xml:space="preserve"> </w:t>
      </w:r>
    </w:p>
    <w:p w:rsidR="00FE4E4E" w:rsidRPr="00496FB6" w:rsidP="00D46206" w14:paraId="4D10B90E" w14:textId="31907C60">
      <w:pPr>
        <w:pStyle w:val="Heading3"/>
        <w:tabs>
          <w:tab w:val="clear" w:pos="1584"/>
        </w:tabs>
      </w:pPr>
      <w:bookmarkStart w:id="164" w:name="_Toc147845699"/>
      <w:bookmarkStart w:id="165" w:name="_Toc147519571"/>
      <w:r w:rsidRPr="00496FB6">
        <w:rPr>
          <w:i w:val="0"/>
          <w:iCs/>
        </w:rPr>
        <w:t>1.</w:t>
      </w:r>
      <w:r w:rsidRPr="00496FB6" w:rsidR="0074483D">
        <w:rPr>
          <w:i w:val="0"/>
          <w:iCs/>
        </w:rPr>
        <w:tab/>
      </w:r>
      <w:r w:rsidRPr="00496FB6">
        <w:t xml:space="preserve">Factual and procedural </w:t>
      </w:r>
      <w:r w:rsidRPr="00496FB6">
        <w:t>backgroun</w:t>
      </w:r>
      <w:r w:rsidRPr="00496FB6" w:rsidR="00145FEF">
        <w:t>d</w:t>
      </w:r>
      <w:bookmarkEnd w:id="164"/>
      <w:bookmarkEnd w:id="165"/>
    </w:p>
    <w:p w:rsidR="00D458DB" w:rsidRPr="00496FB6" w:rsidP="00D46206" w14:paraId="64D26DEA" w14:textId="53E379B3">
      <w:pPr>
        <w:pStyle w:val="NormalIndent"/>
        <w:ind w:left="0" w:firstLine="720"/>
      </w:pPr>
      <w:r w:rsidRPr="00496FB6">
        <w:t xml:space="preserve">The jury rendered its </w:t>
      </w:r>
      <w:r w:rsidRPr="00496FB6" w:rsidR="0095159B">
        <w:t>death</w:t>
      </w:r>
      <w:r w:rsidRPr="00496FB6">
        <w:t xml:space="preserve"> verdict on</w:t>
      </w:r>
      <w:r w:rsidRPr="00496FB6" w:rsidR="0095159B">
        <w:t xml:space="preserve"> August 24, 2006</w:t>
      </w:r>
      <w:r w:rsidRPr="00496FB6" w:rsidR="00CF04EA">
        <w:t xml:space="preserve">.  That same day, </w:t>
      </w:r>
      <w:r w:rsidRPr="00496FB6" w:rsidR="004E4E70">
        <w:t>the trial court set sentencing for October 27</w:t>
      </w:r>
      <w:r w:rsidRPr="00496FB6" w:rsidR="0095159B">
        <w:t>.</w:t>
      </w:r>
      <w:r w:rsidRPr="00496FB6" w:rsidR="00811FCD">
        <w:t xml:space="preserve"> </w:t>
      </w:r>
      <w:r w:rsidRPr="00496FB6" w:rsidR="0095159B">
        <w:t xml:space="preserve"> </w:t>
      </w:r>
      <w:r w:rsidRPr="00496FB6" w:rsidR="006F0A77">
        <w:t>On October</w:t>
      </w:r>
      <w:r w:rsidR="00D46206">
        <w:t> </w:t>
      </w:r>
      <w:r w:rsidRPr="00496FB6" w:rsidR="006F0A77">
        <w:t>20, the court</w:t>
      </w:r>
      <w:r w:rsidRPr="00496FB6" w:rsidR="00B97772">
        <w:t xml:space="preserve"> held a hearing with counsel </w:t>
      </w:r>
      <w:r w:rsidRPr="00496FB6" w:rsidR="00D85C5A">
        <w:t>and advanced the sentencing hearing date to October</w:t>
      </w:r>
      <w:r w:rsidRPr="00496FB6" w:rsidR="0031672C">
        <w:t> </w:t>
      </w:r>
      <w:r w:rsidRPr="00496FB6" w:rsidR="00D85C5A">
        <w:t>26</w:t>
      </w:r>
      <w:r w:rsidRPr="00496FB6" w:rsidR="00024AF5">
        <w:t xml:space="preserve">. </w:t>
      </w:r>
      <w:r w:rsidRPr="00496FB6" w:rsidR="00CA65CB">
        <w:t xml:space="preserve"> </w:t>
      </w:r>
      <w:r w:rsidRPr="00496FB6" w:rsidR="0030045C">
        <w:t>D</w:t>
      </w:r>
      <w:r w:rsidRPr="00496FB6" w:rsidR="00D85C5A">
        <w:t>efense counsel informed the court that</w:t>
      </w:r>
      <w:r w:rsidRPr="00496FB6" w:rsidR="00D31C27">
        <w:t xml:space="preserve"> </w:t>
      </w:r>
      <w:r w:rsidRPr="00496FB6" w:rsidR="0030045C">
        <w:t>she</w:t>
      </w:r>
      <w:r w:rsidRPr="00496FB6" w:rsidR="00D85C5A">
        <w:t xml:space="preserve"> would be seeking a</w:t>
      </w:r>
      <w:r w:rsidRPr="00496FB6" w:rsidR="00C1104F">
        <w:t xml:space="preserve"> </w:t>
      </w:r>
      <w:r w:rsidRPr="00496FB6" w:rsidR="00D85C5A">
        <w:t>continuance of the sentencing hearing</w:t>
      </w:r>
      <w:r w:rsidRPr="00496FB6" w:rsidR="00C1104F">
        <w:t xml:space="preserve">. </w:t>
      </w:r>
      <w:r w:rsidRPr="00496FB6" w:rsidR="006F0A77">
        <w:t xml:space="preserve"> </w:t>
      </w:r>
      <w:r w:rsidRPr="00496FB6" w:rsidR="00B80E0C">
        <w:t>On October</w:t>
      </w:r>
      <w:r w:rsidRPr="00496FB6" w:rsidR="0031672C">
        <w:t> </w:t>
      </w:r>
      <w:r w:rsidRPr="00496FB6" w:rsidR="00B80E0C">
        <w:t xml:space="preserve">26, </w:t>
      </w:r>
      <w:r w:rsidRPr="00496FB6" w:rsidR="00E12E2E">
        <w:t>the trial court granted defense counsel’s request to continue sentencing until December</w:t>
      </w:r>
      <w:r w:rsidRPr="00496FB6" w:rsidR="0031672C">
        <w:t> </w:t>
      </w:r>
      <w:r w:rsidRPr="00496FB6" w:rsidR="00C12DF1">
        <w:t>15</w:t>
      </w:r>
      <w:r w:rsidRPr="00496FB6" w:rsidR="00EF62A1">
        <w:t xml:space="preserve">. </w:t>
      </w:r>
      <w:r w:rsidRPr="00496FB6" w:rsidR="00261D22">
        <w:t xml:space="preserve"> </w:t>
      </w:r>
      <w:r w:rsidRPr="00496FB6" w:rsidR="00D82EC8">
        <w:t>Defendant</w:t>
      </w:r>
      <w:r w:rsidRPr="00496FB6" w:rsidR="00824D1C">
        <w:t xml:space="preserve"> appeared in court that day and </w:t>
      </w:r>
      <w:r w:rsidRPr="00496FB6" w:rsidR="0031672C">
        <w:t>agreed</w:t>
      </w:r>
      <w:r w:rsidRPr="00496FB6" w:rsidR="00A44558">
        <w:t xml:space="preserve"> with the request to </w:t>
      </w:r>
      <w:r w:rsidRPr="00496FB6" w:rsidR="00E47857">
        <w:t xml:space="preserve">continue </w:t>
      </w:r>
      <w:r w:rsidRPr="00496FB6" w:rsidR="00A44558">
        <w:t xml:space="preserve">the sentencing hearing.  </w:t>
      </w:r>
    </w:p>
    <w:p w:rsidR="00FE4E4E" w:rsidRPr="00496FB6" w:rsidP="00D46206" w14:paraId="08F8A402" w14:textId="1573E655">
      <w:pPr>
        <w:pStyle w:val="NormalIndent"/>
        <w:ind w:left="0" w:firstLine="720"/>
      </w:pPr>
      <w:r w:rsidRPr="00496FB6">
        <w:t>Before the October 26 proceeding end</w:t>
      </w:r>
      <w:r w:rsidRPr="00496FB6" w:rsidR="002F0B61">
        <w:t>ed</w:t>
      </w:r>
      <w:r w:rsidRPr="00496FB6">
        <w:t xml:space="preserve">, </w:t>
      </w:r>
      <w:r w:rsidRPr="00496FB6" w:rsidR="00D82EC8">
        <w:t>defendant</w:t>
      </w:r>
      <w:r w:rsidRPr="00496FB6" w:rsidR="00277A0A">
        <w:t xml:space="preserve"> requested a hearing pursuant to section 4007, which</w:t>
      </w:r>
      <w:r w:rsidRPr="00496FB6" w:rsidR="00755758">
        <w:t xml:space="preserve"> </w:t>
      </w:r>
      <w:r w:rsidRPr="00496FB6" w:rsidR="00E55E4B">
        <w:t>authorizes</w:t>
      </w:r>
      <w:r w:rsidRPr="00496FB6" w:rsidR="00EB33CC">
        <w:t xml:space="preserve"> the housing </w:t>
      </w:r>
      <w:r w:rsidRPr="00496FB6" w:rsidR="000A3ABA">
        <w:t xml:space="preserve">of </w:t>
      </w:r>
      <w:r w:rsidRPr="00496FB6" w:rsidR="00C41C56">
        <w:t xml:space="preserve">a </w:t>
      </w:r>
      <w:r w:rsidRPr="00496FB6" w:rsidR="00C7339C">
        <w:t>county jail inmate in state prison</w:t>
      </w:r>
      <w:r w:rsidRPr="00496FB6" w:rsidR="00322740">
        <w:t xml:space="preserve"> under certain circumstances.</w:t>
      </w:r>
      <w:r>
        <w:rPr>
          <w:rStyle w:val="FootnoteReference"/>
        </w:rPr>
        <w:footnoteReference w:id="30"/>
      </w:r>
      <w:r w:rsidRPr="00496FB6" w:rsidR="001B76EE">
        <w:t xml:space="preserve">  </w:t>
      </w:r>
      <w:r w:rsidRPr="00496FB6" w:rsidR="00C7339C">
        <w:t xml:space="preserve">The </w:t>
      </w:r>
      <w:r w:rsidRPr="00496FB6" w:rsidR="00D458DB">
        <w:t>trial court commenced a hearing under section</w:t>
      </w:r>
      <w:r w:rsidRPr="00496FB6" w:rsidR="0031672C">
        <w:t> </w:t>
      </w:r>
      <w:r w:rsidRPr="00496FB6" w:rsidR="00D458DB">
        <w:t>4007 that day</w:t>
      </w:r>
      <w:r w:rsidRPr="00496FB6" w:rsidR="00250FDC">
        <w:t xml:space="preserve"> </w:t>
      </w:r>
      <w:r w:rsidRPr="00496FB6" w:rsidR="00D458DB">
        <w:t>and continued the hearing until December</w:t>
      </w:r>
      <w:r w:rsidRPr="00496FB6" w:rsidR="0031672C">
        <w:t> </w:t>
      </w:r>
      <w:r w:rsidRPr="00496FB6" w:rsidR="00D458DB">
        <w:t xml:space="preserve">8. </w:t>
      </w:r>
      <w:r w:rsidRPr="00496FB6" w:rsidR="002C5933">
        <w:t xml:space="preserve"> </w:t>
      </w:r>
    </w:p>
    <w:p w:rsidR="000A3ABA" w:rsidRPr="00496FB6" w:rsidP="00D46206" w14:paraId="23B4EBE9" w14:textId="589C2C44">
      <w:pPr>
        <w:pStyle w:val="NormalIndent"/>
        <w:ind w:left="0" w:firstLine="720"/>
      </w:pPr>
      <w:r w:rsidRPr="00496FB6">
        <w:t xml:space="preserve">At the December 8 hearing, </w:t>
      </w:r>
      <w:r w:rsidRPr="00496FB6" w:rsidR="00D82EC8">
        <w:t>defendant</w:t>
      </w:r>
      <w:r w:rsidRPr="00496FB6" w:rsidR="00682893">
        <w:t xml:space="preserve"> informed the court that he was </w:t>
      </w:r>
      <w:r w:rsidRPr="00496FB6" w:rsidR="004C291E">
        <w:t>“</w:t>
      </w:r>
      <w:r w:rsidRPr="00496FB6" w:rsidR="00682893">
        <w:t xml:space="preserve">going to be making a motion to proceed pro per </w:t>
      </w:r>
      <w:r w:rsidRPr="00496FB6" w:rsidR="00C12DF1">
        <w:t xml:space="preserve">on </w:t>
      </w:r>
      <w:r w:rsidRPr="00496FB6" w:rsidR="00682893">
        <w:t>this hearing.</w:t>
      </w:r>
      <w:r w:rsidRPr="00496FB6" w:rsidR="004C291E">
        <w:t>”</w:t>
      </w:r>
      <w:r w:rsidRPr="00496FB6" w:rsidR="00521B10">
        <w:t xml:space="preserve"> </w:t>
      </w:r>
      <w:r w:rsidRPr="00496FB6" w:rsidR="00682893">
        <w:t xml:space="preserve"> </w:t>
      </w:r>
      <w:r w:rsidRPr="00496FB6" w:rsidR="007116DB">
        <w:t>D</w:t>
      </w:r>
      <w:r w:rsidRPr="00496FB6" w:rsidR="00D82EC8">
        <w:t>efendant</w:t>
      </w:r>
      <w:r w:rsidRPr="00496FB6" w:rsidR="00DB2F30">
        <w:t xml:space="preserve"> </w:t>
      </w:r>
      <w:r w:rsidRPr="00496FB6" w:rsidR="007116DB">
        <w:t xml:space="preserve">later </w:t>
      </w:r>
      <w:r w:rsidRPr="00496FB6" w:rsidR="00DB2F30">
        <w:t xml:space="preserve">expressed his </w:t>
      </w:r>
      <w:r w:rsidRPr="00496FB6" w:rsidR="001A1098">
        <w:t xml:space="preserve">desire not to be returned to county jail, </w:t>
      </w:r>
      <w:r w:rsidRPr="00496FB6" w:rsidR="00C753AB">
        <w:t xml:space="preserve">stating, “I’m entirely against </w:t>
      </w:r>
      <w:r w:rsidRPr="00496FB6" w:rsidR="00C12DF1">
        <w:t xml:space="preserve">that </w:t>
      </w:r>
      <w:r w:rsidRPr="00496FB6" w:rsidR="00C753AB">
        <w:t xml:space="preserve">idea, your Honor, and I haven’t been able to explain why because I haven’t had a chance to make my </w:t>
      </w:r>
      <w:r w:rsidRPr="00496FB6" w:rsidR="00C753AB">
        <w:rPr>
          <w:i/>
          <w:iCs/>
        </w:rPr>
        <w:t>Faretta</w:t>
      </w:r>
      <w:r w:rsidRPr="00496FB6" w:rsidR="00C753AB">
        <w:t xml:space="preserve"> motion.” </w:t>
      </w:r>
      <w:r w:rsidRPr="00496FB6" w:rsidR="007116DB">
        <w:t xml:space="preserve"> </w:t>
      </w:r>
      <w:r w:rsidRPr="00496FB6" w:rsidR="00BB62DD">
        <w:t xml:space="preserve">Shortly thereafter, </w:t>
      </w:r>
      <w:r w:rsidRPr="00496FB6" w:rsidR="00D82EC8">
        <w:t>defendant</w:t>
      </w:r>
      <w:r w:rsidRPr="00496FB6" w:rsidR="00BB62DD">
        <w:t xml:space="preserve"> stated</w:t>
      </w:r>
      <w:r w:rsidRPr="00496FB6" w:rsidR="009F5413">
        <w:t xml:space="preserve">: </w:t>
      </w:r>
      <w:r w:rsidRPr="00496FB6" w:rsidR="00F94AAF">
        <w:t xml:space="preserve"> </w:t>
      </w:r>
      <w:r w:rsidRPr="00496FB6" w:rsidR="009F5413">
        <w:t>“</w:t>
      </w:r>
      <w:r w:rsidRPr="00496FB6" w:rsidR="0076631F">
        <w:t xml:space="preserve">According to [section] 4007, I have a right to be present at this hearing and represented by counsel, which also means I </w:t>
      </w:r>
      <w:r w:rsidRPr="00496FB6" w:rsidR="007116DB">
        <w:t xml:space="preserve">have </w:t>
      </w:r>
      <w:r w:rsidRPr="00496FB6" w:rsidR="0076631F">
        <w:t xml:space="preserve">the right to waive that right. </w:t>
      </w:r>
      <w:r w:rsidRPr="00496FB6" w:rsidR="00622279">
        <w:t xml:space="preserve"> [¶] </w:t>
      </w:r>
      <w:r w:rsidRPr="00496FB6" w:rsidR="00F16A2B">
        <w:t xml:space="preserve"> </w:t>
      </w:r>
      <w:r w:rsidRPr="00496FB6" w:rsidR="009F5413">
        <w:t xml:space="preserve">I no longer wish to be represented by this counsel. </w:t>
      </w:r>
      <w:r w:rsidRPr="00496FB6" w:rsidR="00622279">
        <w:t xml:space="preserve"> </w:t>
      </w:r>
      <w:r w:rsidRPr="00496FB6" w:rsidR="009F5413">
        <w:t>I haven’t been wanting to be represented by them since the beginning of the penalty phase, and there are very important issues that can be preserved in this hearing that I don</w:t>
      </w:r>
      <w:r w:rsidRPr="00496FB6" w:rsidR="00A27E9E">
        <w:t>’</w:t>
      </w:r>
      <w:r w:rsidRPr="00496FB6" w:rsidR="009F5413">
        <w:t xml:space="preserve">t want to just let rot away with me.” </w:t>
      </w:r>
      <w:r w:rsidRPr="00496FB6" w:rsidR="00973370">
        <w:t xml:space="preserve"> </w:t>
      </w:r>
    </w:p>
    <w:p w:rsidR="00C14EDB" w:rsidRPr="00496FB6" w:rsidP="00D46206" w14:paraId="15D06C58" w14:textId="6A7D7D35">
      <w:pPr>
        <w:pStyle w:val="NormalIndent"/>
        <w:ind w:left="0" w:firstLine="720"/>
      </w:pPr>
      <w:r w:rsidRPr="00496FB6">
        <w:t xml:space="preserve">After the court clarified, “So you wish to make a further </w:t>
      </w:r>
      <w:r w:rsidRPr="00496FB6">
        <w:rPr>
          <w:i/>
          <w:iCs/>
        </w:rPr>
        <w:t xml:space="preserve">Faretta </w:t>
      </w:r>
      <w:r w:rsidRPr="00496FB6">
        <w:t xml:space="preserve">motion at this time?”  </w:t>
      </w:r>
      <w:r w:rsidRPr="00496FB6" w:rsidR="00D82EC8">
        <w:t>Defendant</w:t>
      </w:r>
      <w:r w:rsidRPr="00496FB6">
        <w:t xml:space="preserve"> respo</w:t>
      </w:r>
      <w:r w:rsidRPr="00496FB6" w:rsidR="00B56B6F">
        <w:t>n</w:t>
      </w:r>
      <w:r w:rsidRPr="00496FB6">
        <w:t xml:space="preserve">ded in the affirmative. </w:t>
      </w:r>
      <w:r w:rsidRPr="00496FB6" w:rsidR="00BB2BC6">
        <w:t xml:space="preserve"> </w:t>
      </w:r>
      <w:r w:rsidRPr="00496FB6" w:rsidR="00C93692">
        <w:t>The court stat</w:t>
      </w:r>
      <w:r w:rsidR="00D46206">
        <w:t>ed</w:t>
      </w:r>
      <w:r w:rsidRPr="00496FB6" w:rsidR="00C93692">
        <w:t xml:space="preserve"> that it would hold a hearing outside the presence of the prosecutor and the public</w:t>
      </w:r>
      <w:r w:rsidRPr="00496FB6" w:rsidR="000D6E3F">
        <w:t xml:space="preserve">, noting that it would “begin with any </w:t>
      </w:r>
      <w:r w:rsidRPr="00496FB6" w:rsidR="000D6E3F">
        <w:rPr>
          <w:i/>
          <w:iCs/>
        </w:rPr>
        <w:t>Marsden</w:t>
      </w:r>
      <w:r w:rsidRPr="00496FB6" w:rsidR="000D6E3F">
        <w:t xml:space="preserve"> issues” related to </w:t>
      </w:r>
      <w:r w:rsidRPr="00496FB6" w:rsidR="00D82EC8">
        <w:t>defendant</w:t>
      </w:r>
      <w:r w:rsidRPr="00496FB6" w:rsidR="000D6E3F">
        <w:t xml:space="preserve">’s request. </w:t>
      </w:r>
      <w:r w:rsidRPr="00496FB6" w:rsidR="00BB2BC6">
        <w:t xml:space="preserve"> </w:t>
      </w:r>
    </w:p>
    <w:p w:rsidR="00CF631D" w:rsidRPr="00496FB6" w:rsidP="00D46206" w14:paraId="03724F24" w14:textId="6D885FD9">
      <w:pPr>
        <w:pStyle w:val="NormalIndent"/>
        <w:ind w:left="0" w:firstLine="720"/>
      </w:pPr>
      <w:r w:rsidRPr="00496FB6">
        <w:t xml:space="preserve">After </w:t>
      </w:r>
      <w:r w:rsidRPr="00496FB6" w:rsidR="00C14EDB">
        <w:t xml:space="preserve">a discussion of </w:t>
      </w:r>
      <w:r w:rsidRPr="00496FB6" w:rsidR="00D82EC8">
        <w:t>defendant</w:t>
      </w:r>
      <w:r w:rsidRPr="00496FB6" w:rsidR="00C14EDB">
        <w:t xml:space="preserve">’s dissatisfaction with counsel’s representation </w:t>
      </w:r>
      <w:r w:rsidRPr="00496FB6" w:rsidR="00A94A8E">
        <w:t xml:space="preserve">at the </w:t>
      </w:r>
      <w:r w:rsidRPr="00496FB6" w:rsidR="00A506C1">
        <w:t xml:space="preserve">section </w:t>
      </w:r>
      <w:r w:rsidRPr="00496FB6" w:rsidR="00A94A8E">
        <w:t>“4007 hearing</w:t>
      </w:r>
      <w:r w:rsidRPr="00496FB6" w:rsidR="008340E2">
        <w:t>,” the</w:t>
      </w:r>
      <w:r w:rsidRPr="00496FB6" w:rsidR="003E2D6A">
        <w:t xml:space="preserve"> trial court </w:t>
      </w:r>
      <w:r w:rsidRPr="00496FB6" w:rsidR="00EE486F">
        <w:t xml:space="preserve">denied </w:t>
      </w:r>
      <w:r w:rsidRPr="00496FB6" w:rsidR="00D82EC8">
        <w:t>defendant</w:t>
      </w:r>
      <w:r w:rsidRPr="00496FB6" w:rsidR="00EE486F">
        <w:t xml:space="preserve">’s putative </w:t>
      </w:r>
      <w:r w:rsidRPr="00496FB6" w:rsidR="00EE486F">
        <w:rPr>
          <w:i/>
          <w:iCs/>
        </w:rPr>
        <w:t>Marsden</w:t>
      </w:r>
      <w:r w:rsidRPr="00496FB6" w:rsidR="00EE486F">
        <w:t xml:space="preserve"> motion to relieve counsel.  The court </w:t>
      </w:r>
      <w:r w:rsidRPr="00496FB6" w:rsidR="003E2D6A">
        <w:t xml:space="preserve">asked </w:t>
      </w:r>
      <w:r w:rsidRPr="00496FB6" w:rsidR="00D82EC8">
        <w:t>defendant</w:t>
      </w:r>
      <w:r w:rsidRPr="00496FB6" w:rsidR="003E2D6A">
        <w:t xml:space="preserve">, “Are you asking me to further address your desire to have [counsel] relieved for representation in the concluding aspects of this case next year, or are you limiting it to the 4007 hearing?” </w:t>
      </w:r>
      <w:r w:rsidRPr="00496FB6" w:rsidR="00F31E00">
        <w:t xml:space="preserve"> </w:t>
      </w:r>
      <w:r w:rsidRPr="00496FB6" w:rsidR="00D82EC8">
        <w:t>Defendant</w:t>
      </w:r>
      <w:r w:rsidRPr="00496FB6" w:rsidR="001E07F3">
        <w:t xml:space="preserve"> responded, “</w:t>
      </w:r>
      <w:r w:rsidRPr="00496FB6" w:rsidR="00A0172F">
        <w:t xml:space="preserve">Well, I’m making an unequivocal request to proceed pro per.” </w:t>
      </w:r>
      <w:r w:rsidRPr="00496FB6" w:rsidR="003E2D6A">
        <w:t xml:space="preserve"> </w:t>
      </w:r>
    </w:p>
    <w:p w:rsidR="00680B74" w:rsidRPr="00496FB6" w:rsidP="00D46206" w14:paraId="13AE7214" w14:textId="4E56000D">
      <w:pPr>
        <w:pStyle w:val="NormalIndent"/>
        <w:ind w:left="0" w:firstLine="720"/>
      </w:pPr>
      <w:r w:rsidRPr="00496FB6">
        <w:t>The court observed</w:t>
      </w:r>
      <w:r w:rsidRPr="00496FB6" w:rsidR="000F443C">
        <w:t xml:space="preserve"> </w:t>
      </w:r>
      <w:r w:rsidRPr="00496FB6" w:rsidR="00420234">
        <w:t>that “[w]e’re very late in these proceedings</w:t>
      </w:r>
      <w:r w:rsidRPr="00496FB6">
        <w:t>,</w:t>
      </w:r>
      <w:r w:rsidRPr="00496FB6" w:rsidR="00420234">
        <w:t>”</w:t>
      </w:r>
      <w:r w:rsidRPr="00496FB6">
        <w:t xml:space="preserve"> which “reflects on the </w:t>
      </w:r>
      <w:r w:rsidRPr="00496FB6">
        <w:rPr>
          <w:i/>
          <w:iCs/>
        </w:rPr>
        <w:t>Faretta</w:t>
      </w:r>
      <w:r w:rsidRPr="00496FB6">
        <w:t>.”</w:t>
      </w:r>
      <w:r w:rsidRPr="00496FB6" w:rsidR="000E01D3">
        <w:t xml:space="preserve">  </w:t>
      </w:r>
      <w:r w:rsidRPr="00496FB6" w:rsidR="00420234">
        <w:t>The court added</w:t>
      </w:r>
      <w:r w:rsidRPr="00496FB6" w:rsidR="008A7DB0">
        <w:t>,</w:t>
      </w:r>
      <w:r w:rsidRPr="00496FB6" w:rsidR="00420234">
        <w:t xml:space="preserve"> “I don’t have to repeat that.  I’ve said that already.” </w:t>
      </w:r>
      <w:r w:rsidRPr="00496FB6" w:rsidR="00F31E00">
        <w:t xml:space="preserve"> </w:t>
      </w:r>
      <w:r w:rsidRPr="00496FB6" w:rsidR="00420234">
        <w:t>After noting that the main issue</w:t>
      </w:r>
      <w:r w:rsidRPr="00496FB6" w:rsidR="00D7590B">
        <w:t>s</w:t>
      </w:r>
      <w:r w:rsidRPr="00496FB6" w:rsidR="00420234">
        <w:t xml:space="preserve"> </w:t>
      </w:r>
      <w:r w:rsidRPr="00496FB6" w:rsidR="00CA0C26">
        <w:t xml:space="preserve">remaining </w:t>
      </w:r>
      <w:r w:rsidRPr="00496FB6" w:rsidR="004B6B93">
        <w:t xml:space="preserve">in the case </w:t>
      </w:r>
      <w:r w:rsidRPr="00496FB6" w:rsidR="00D7590B">
        <w:t xml:space="preserve">were </w:t>
      </w:r>
      <w:r w:rsidRPr="00496FB6" w:rsidR="00D82EC8">
        <w:t>defendant</w:t>
      </w:r>
      <w:r w:rsidRPr="00496FB6" w:rsidR="00817FCB">
        <w:t>’s</w:t>
      </w:r>
      <w:r w:rsidRPr="00496FB6" w:rsidR="00D7590B">
        <w:t xml:space="preserve"> new trial motion and the automatic request to </w:t>
      </w:r>
      <w:r w:rsidRPr="00496FB6" w:rsidR="004B6B93">
        <w:t xml:space="preserve">modify </w:t>
      </w:r>
      <w:r w:rsidRPr="00496FB6" w:rsidR="00D7590B">
        <w:t xml:space="preserve">the death verdict </w:t>
      </w:r>
      <w:r w:rsidRPr="00496FB6" w:rsidR="004B6B93">
        <w:t>(§ 190.4, subd. (e))</w:t>
      </w:r>
      <w:r w:rsidRPr="00496FB6" w:rsidR="00D7590B">
        <w:t xml:space="preserve">, the court </w:t>
      </w:r>
      <w:r w:rsidRPr="00496FB6" w:rsidR="001E15B0">
        <w:t>asked</w:t>
      </w:r>
      <w:r w:rsidRPr="00496FB6" w:rsidR="00260B4C">
        <w:t xml:space="preserve"> </w:t>
      </w:r>
      <w:r w:rsidRPr="00496FB6" w:rsidR="00D82EC8">
        <w:t>defendant</w:t>
      </w:r>
      <w:r w:rsidRPr="00496FB6" w:rsidR="00260B4C">
        <w:t xml:space="preserve"> </w:t>
      </w:r>
      <w:r w:rsidRPr="00496FB6" w:rsidR="001E15B0">
        <w:t>if there was</w:t>
      </w:r>
      <w:r w:rsidRPr="00496FB6" w:rsidR="00260B4C">
        <w:t xml:space="preserve"> anything </w:t>
      </w:r>
      <w:r w:rsidR="001445ED">
        <w:t xml:space="preserve">else he wanted to say concerning </w:t>
      </w:r>
      <w:r w:rsidR="00760069">
        <w:t>his request.</w:t>
      </w:r>
      <w:r w:rsidRPr="00496FB6" w:rsidR="00260B4C">
        <w:t xml:space="preserve"> </w:t>
      </w:r>
      <w:r w:rsidRPr="00496FB6" w:rsidR="00EA257B">
        <w:t xml:space="preserve"> </w:t>
      </w:r>
      <w:r w:rsidRPr="00496FB6" w:rsidR="00D82EC8">
        <w:t>Defendant</w:t>
      </w:r>
      <w:r w:rsidRPr="00496FB6">
        <w:t xml:space="preserve"> responded</w:t>
      </w:r>
      <w:r w:rsidRPr="00496FB6" w:rsidR="00D47EDB">
        <w:t xml:space="preserve">, </w:t>
      </w:r>
      <w:r w:rsidRPr="00496FB6" w:rsidR="0023006D">
        <w:t>“</w:t>
      </w:r>
      <w:r w:rsidRPr="00496FB6" w:rsidR="00D47EDB">
        <w:t>I</w:t>
      </w:r>
      <w:r w:rsidRPr="00496FB6" w:rsidR="003117E9">
        <w:t>’</w:t>
      </w:r>
      <w:r w:rsidRPr="00496FB6" w:rsidR="00D47EDB">
        <w:t xml:space="preserve">m just of the opinion that I can get myself executed just as easily as they can. </w:t>
      </w:r>
      <w:r w:rsidRPr="00496FB6" w:rsidR="003117E9">
        <w:t xml:space="preserve"> </w:t>
      </w:r>
      <w:r w:rsidRPr="00496FB6" w:rsidR="00D47EDB">
        <w:t>And I feel that I have enough knowledge about what I want to present in the 4007 hearing to proceed in a way that will be in accordance with the court rules, and I have a Sixth Amendment right to do that, and that</w:t>
      </w:r>
      <w:r w:rsidRPr="00496FB6" w:rsidR="00E95400">
        <w:t>’</w:t>
      </w:r>
      <w:r w:rsidRPr="00496FB6" w:rsidR="00D47EDB">
        <w:t>s what I</w:t>
      </w:r>
      <w:r w:rsidRPr="00496FB6" w:rsidR="002E5DC0">
        <w:t>’</w:t>
      </w:r>
      <w:r w:rsidRPr="00496FB6" w:rsidR="00D47EDB">
        <w:t>m standing on.</w:t>
      </w:r>
      <w:r w:rsidRPr="00496FB6" w:rsidR="0023006D">
        <w:t>”</w:t>
      </w:r>
      <w:r w:rsidRPr="00496FB6" w:rsidR="00D47EDB">
        <w:t xml:space="preserve"> </w:t>
      </w:r>
      <w:r w:rsidRPr="00496FB6" w:rsidR="00EA257B">
        <w:t xml:space="preserve"> </w:t>
      </w:r>
    </w:p>
    <w:p w:rsidR="00271799" w:rsidRPr="00496FB6" w:rsidP="00D46206" w14:paraId="115371C2" w14:textId="2EDE35E7">
      <w:pPr>
        <w:pStyle w:val="NormalIndent"/>
        <w:ind w:left="0" w:firstLine="720"/>
      </w:pPr>
      <w:r w:rsidRPr="00496FB6">
        <w:t>Defendant</w:t>
      </w:r>
      <w:r w:rsidRPr="00496FB6" w:rsidR="002E5DC0">
        <w:t xml:space="preserve"> added that defense counsel had not given him </w:t>
      </w:r>
      <w:r w:rsidRPr="00496FB6" w:rsidR="002F4672">
        <w:t xml:space="preserve">“the sealed records in all of the </w:t>
      </w:r>
      <w:r w:rsidRPr="00496FB6" w:rsidR="00C12DF1">
        <w:t>in-</w:t>
      </w:r>
      <w:r w:rsidRPr="00496FB6" w:rsidR="002F4672">
        <w:t>camera hearing</w:t>
      </w:r>
      <w:r w:rsidRPr="00496FB6" w:rsidR="00E65CB0">
        <w:t>s</w:t>
      </w:r>
      <w:r w:rsidRPr="00496FB6" w:rsidR="002F4672">
        <w:t xml:space="preserve"> that we’ve had.”  </w:t>
      </w:r>
      <w:r w:rsidRPr="00496FB6" w:rsidR="00CA0C26">
        <w:t xml:space="preserve">He </w:t>
      </w:r>
      <w:r w:rsidRPr="00496FB6" w:rsidR="00CE5212">
        <w:t xml:space="preserve">stated that while the trial court had denied his requests at the penalty phase, “this is not an untimely request,” as it was being made “right here at the hearing.”  </w:t>
      </w:r>
      <w:r w:rsidRPr="00496FB6">
        <w:t>Defendant</w:t>
      </w:r>
      <w:r w:rsidRPr="00496FB6" w:rsidR="00B217F8">
        <w:t xml:space="preserve"> </w:t>
      </w:r>
      <w:r w:rsidRPr="00496FB6" w:rsidR="00CA0C26">
        <w:t xml:space="preserve">added </w:t>
      </w:r>
      <w:r w:rsidRPr="00496FB6" w:rsidR="00B217F8">
        <w:t>that there are “appellate issue</w:t>
      </w:r>
      <w:r w:rsidRPr="00496FB6" w:rsidR="003004F3">
        <w:t>s</w:t>
      </w:r>
      <w:r w:rsidRPr="00496FB6" w:rsidR="00B217F8">
        <w:t xml:space="preserve"> here,” and that while “this 4007 hearing is not for the purpose of finding them, .</w:t>
      </w:r>
      <w:r w:rsidRPr="00496FB6" w:rsidR="00F94AAF">
        <w:t> </w:t>
      </w:r>
      <w:r w:rsidRPr="00496FB6" w:rsidR="00B217F8">
        <w:t>.</w:t>
      </w:r>
      <w:r w:rsidRPr="00496FB6" w:rsidR="00F94AAF">
        <w:t> </w:t>
      </w:r>
      <w:r w:rsidRPr="00496FB6" w:rsidR="00B217F8">
        <w:t xml:space="preserve">. it does preserve those issues.” </w:t>
      </w:r>
      <w:r w:rsidRPr="00496FB6" w:rsidR="001D605E">
        <w:t xml:space="preserve"> </w:t>
      </w:r>
      <w:r w:rsidRPr="00496FB6">
        <w:t>Defendant</w:t>
      </w:r>
      <w:r w:rsidRPr="00496FB6" w:rsidR="000E6FE0">
        <w:t xml:space="preserve"> maintained that</w:t>
      </w:r>
      <w:r w:rsidRPr="00496FB6" w:rsidR="00B217F8">
        <w:t xml:space="preserve"> </w:t>
      </w:r>
      <w:r w:rsidRPr="00496FB6" w:rsidR="005D2CCC">
        <w:t>“</w:t>
      </w:r>
      <w:r w:rsidRPr="00496FB6" w:rsidR="00B217F8">
        <w:t>with</w:t>
      </w:r>
      <w:r w:rsidRPr="00496FB6" w:rsidR="005D2CCC">
        <w:t>out</w:t>
      </w:r>
      <w:r w:rsidRPr="00496FB6" w:rsidR="00B217F8">
        <w:t xml:space="preserve"> effective representation bringing these up, </w:t>
      </w:r>
      <w:r w:rsidR="00D46206">
        <w:t>[he stood]</w:t>
      </w:r>
      <w:r w:rsidRPr="00496FB6" w:rsidR="00B217F8">
        <w:t xml:space="preserve"> to lose those things”</w:t>
      </w:r>
      <w:r w:rsidRPr="00496FB6" w:rsidR="00011375">
        <w:t xml:space="preserve"> and that he was “the best person to represent [himself] at these proceedings.”</w:t>
      </w:r>
      <w:r w:rsidRPr="00496FB6" w:rsidR="00B217F8">
        <w:t xml:space="preserve"> </w:t>
      </w:r>
      <w:r w:rsidRPr="00496FB6" w:rsidR="005D2CCC">
        <w:t xml:space="preserve"> </w:t>
      </w:r>
      <w:r w:rsidRPr="00496FB6">
        <w:t>Defendant</w:t>
      </w:r>
      <w:r w:rsidRPr="00496FB6" w:rsidR="00403F8A">
        <w:t xml:space="preserve"> also read into the record </w:t>
      </w:r>
      <w:r w:rsidRPr="00496FB6" w:rsidR="00802F20">
        <w:t xml:space="preserve">letters he had sent to counsel discussing </w:t>
      </w:r>
      <w:r w:rsidRPr="00496FB6" w:rsidR="00F94AAF">
        <w:t xml:space="preserve">his </w:t>
      </w:r>
      <w:r w:rsidRPr="00496FB6" w:rsidR="00802F20">
        <w:t xml:space="preserve">concerns </w:t>
      </w:r>
      <w:r w:rsidRPr="00496FB6" w:rsidR="004F6FFE">
        <w:t xml:space="preserve">regarding </w:t>
      </w:r>
      <w:r w:rsidRPr="00496FB6" w:rsidR="00802F20">
        <w:t>counsel’s representation in connection with the section</w:t>
      </w:r>
      <w:r w:rsidRPr="00496FB6" w:rsidR="00F94AAF">
        <w:t> </w:t>
      </w:r>
      <w:r w:rsidRPr="00496FB6" w:rsidR="00802F20">
        <w:t xml:space="preserve">4007 hearing. </w:t>
      </w:r>
      <w:r w:rsidRPr="00496FB6" w:rsidR="00E31FC1">
        <w:t xml:space="preserve"> </w:t>
      </w:r>
    </w:p>
    <w:p w:rsidR="00805291" w:rsidRPr="00496FB6" w:rsidP="00D46206" w14:paraId="3FC2209D" w14:textId="2E204E3A">
      <w:pPr>
        <w:pStyle w:val="NormalIndent"/>
        <w:ind w:left="0" w:firstLine="720"/>
      </w:pPr>
      <w:r w:rsidRPr="00496FB6">
        <w:t>In ruling o</w:t>
      </w:r>
      <w:r w:rsidRPr="00496FB6" w:rsidR="00CA0C26">
        <w:t>n</w:t>
      </w:r>
      <w:r w:rsidRPr="00496FB6">
        <w:t xml:space="preserve"> defendant’s motion</w:t>
      </w:r>
      <w:r w:rsidRPr="00496FB6" w:rsidR="008D16C9">
        <w:t xml:space="preserve"> for self-representation</w:t>
      </w:r>
      <w:r w:rsidRPr="00496FB6">
        <w:t>, t</w:t>
      </w:r>
      <w:r w:rsidRPr="00496FB6" w:rsidR="001A0ACE">
        <w:t xml:space="preserve">he trial </w:t>
      </w:r>
      <w:r w:rsidRPr="00496FB6">
        <w:t xml:space="preserve">court </w:t>
      </w:r>
      <w:r w:rsidRPr="00496FB6" w:rsidR="00FF5280">
        <w:t xml:space="preserve">found that </w:t>
      </w:r>
      <w:r w:rsidRPr="00496FB6" w:rsidR="00D82EC8">
        <w:t>defendant</w:t>
      </w:r>
      <w:r w:rsidRPr="00496FB6" w:rsidR="00FF5280">
        <w:t xml:space="preserve"> was “making a</w:t>
      </w:r>
      <w:r w:rsidRPr="00496FB6" w:rsidR="00C12DF1">
        <w:t>[</w:t>
      </w:r>
      <w:r w:rsidRPr="00496FB6" w:rsidR="00FF5280">
        <w:t>n</w:t>
      </w:r>
      <w:r w:rsidRPr="00496FB6" w:rsidR="00C12DF1">
        <w:t>]</w:t>
      </w:r>
      <w:r w:rsidRPr="00496FB6" w:rsidR="00FF5280">
        <w:t xml:space="preserve"> unequivocal request today</w:t>
      </w:r>
      <w:r w:rsidRPr="00496FB6" w:rsidR="00DA6516">
        <w:t>.</w:t>
      </w:r>
      <w:r w:rsidRPr="00496FB6" w:rsidR="00E21140">
        <w:t xml:space="preserve">” </w:t>
      </w:r>
      <w:r w:rsidRPr="00496FB6" w:rsidR="00DB5BA4">
        <w:t xml:space="preserve"> </w:t>
      </w:r>
      <w:r w:rsidRPr="00496FB6" w:rsidR="00E97082">
        <w:t xml:space="preserve">However, the court ruled that the request was “not timely” and </w:t>
      </w:r>
      <w:r w:rsidRPr="00496FB6" w:rsidR="00F94AAF">
        <w:t>“</w:t>
      </w:r>
      <w:r w:rsidRPr="00496FB6" w:rsidR="00E97082">
        <w:t xml:space="preserve">quite late in the proceedings.” </w:t>
      </w:r>
      <w:r w:rsidRPr="00496FB6" w:rsidR="00CB4189">
        <w:t xml:space="preserve"> </w:t>
      </w:r>
      <w:r w:rsidRPr="00496FB6" w:rsidR="00140F98">
        <w:t xml:space="preserve">The court added that cases supported the proposition that “after the guilt phase you do not a have a constitutional right to self-representation.” </w:t>
      </w:r>
      <w:r w:rsidRPr="00496FB6" w:rsidR="00F545B7">
        <w:t xml:space="preserve"> </w:t>
      </w:r>
      <w:r w:rsidRPr="00496FB6" w:rsidR="00140F98">
        <w:t xml:space="preserve">The court </w:t>
      </w:r>
      <w:r w:rsidRPr="00496FB6" w:rsidR="00942F7B">
        <w:t>further remarked</w:t>
      </w:r>
      <w:r w:rsidRPr="00496FB6" w:rsidR="00140F98">
        <w:t xml:space="preserve"> that although it found that </w:t>
      </w:r>
      <w:r w:rsidRPr="00496FB6" w:rsidR="00D82EC8">
        <w:t>defendant</w:t>
      </w:r>
      <w:r w:rsidRPr="00496FB6" w:rsidR="00942F7B">
        <w:t xml:space="preserve"> was</w:t>
      </w:r>
      <w:r w:rsidRPr="00496FB6" w:rsidR="00140F98">
        <w:t xml:space="preserve"> </w:t>
      </w:r>
      <w:r w:rsidRPr="00496FB6" w:rsidR="00942F7B">
        <w:t xml:space="preserve">acting </w:t>
      </w:r>
      <w:r w:rsidRPr="00496FB6" w:rsidR="00140F98">
        <w:t>voluntarily, it did “not feel that [</w:t>
      </w:r>
      <w:r w:rsidRPr="00496FB6" w:rsidR="00D82EC8">
        <w:t>defendant</w:t>
      </w:r>
      <w:r w:rsidRPr="00496FB6" w:rsidR="00B47E21">
        <w:t xml:space="preserve"> was] capable of representing [himself] in this closing stage of these proceedings with</w:t>
      </w:r>
      <w:r w:rsidR="00362845">
        <w:t xml:space="preserve"> </w:t>
      </w:r>
      <w:r w:rsidRPr="00496FB6" w:rsidR="00CA0C26">
        <w:t>. . .</w:t>
      </w:r>
      <w:r w:rsidR="00362845">
        <w:t xml:space="preserve"> </w:t>
      </w:r>
      <w:r w:rsidRPr="00496FB6" w:rsidR="00B47E21">
        <w:t xml:space="preserve">these highly technical issues.” </w:t>
      </w:r>
      <w:r w:rsidRPr="00496FB6" w:rsidR="00CB4189">
        <w:t xml:space="preserve"> </w:t>
      </w:r>
      <w:r w:rsidRPr="00496FB6" w:rsidR="00810718">
        <w:t xml:space="preserve">The court continued, “But more than any other issue, I will find that this simply is not timely at this point, and the </w:t>
      </w:r>
      <w:r w:rsidRPr="00496FB6" w:rsidR="00810718">
        <w:rPr>
          <w:i/>
          <w:iCs/>
        </w:rPr>
        <w:t>Faretta</w:t>
      </w:r>
      <w:r w:rsidRPr="00496FB6" w:rsidR="00810718">
        <w:t xml:space="preserve"> motion is denied.” </w:t>
      </w:r>
      <w:r w:rsidRPr="00496FB6" w:rsidR="00F31E00">
        <w:t xml:space="preserve"> </w:t>
      </w:r>
    </w:p>
    <w:p w:rsidR="00392967" w:rsidRPr="00496FB6" w:rsidP="00D46206" w14:paraId="4882DB59" w14:textId="5EC7A8AA">
      <w:pPr>
        <w:pStyle w:val="NormalIndent"/>
        <w:ind w:left="0" w:firstLine="720"/>
      </w:pPr>
      <w:r w:rsidRPr="00496FB6">
        <w:t>Seven days later, on December 15, the trial court held</w:t>
      </w:r>
      <w:r w:rsidRPr="00496FB6">
        <w:t xml:space="preserve"> a hearing </w:t>
      </w:r>
      <w:r w:rsidRPr="00496FB6" w:rsidR="00985B07">
        <w:t>on</w:t>
      </w:r>
      <w:r w:rsidRPr="00496FB6">
        <w:t xml:space="preserve"> </w:t>
      </w:r>
      <w:r w:rsidRPr="00496FB6" w:rsidR="00D82EC8">
        <w:t>defendant</w:t>
      </w:r>
      <w:r w:rsidRPr="00496FB6">
        <w:t>’s new trial motion</w:t>
      </w:r>
      <w:r w:rsidRPr="00496FB6" w:rsidR="00985B07">
        <w:t xml:space="preserve"> and</w:t>
      </w:r>
      <w:r w:rsidRPr="00496FB6" w:rsidR="003F46BB">
        <w:rPr>
          <w:bCs/>
        </w:rPr>
        <w:t xml:space="preserve"> his automatic motion to modify the death verdict (§ 190.4, subd. (e))</w:t>
      </w:r>
      <w:r w:rsidRPr="00496FB6" w:rsidR="00ED4831">
        <w:rPr>
          <w:bCs/>
        </w:rPr>
        <w:t>,</w:t>
      </w:r>
      <w:r w:rsidRPr="00496FB6" w:rsidR="003F46BB">
        <w:rPr>
          <w:bCs/>
        </w:rPr>
        <w:t xml:space="preserve"> and</w:t>
      </w:r>
      <w:r w:rsidRPr="00496FB6" w:rsidR="00985B07">
        <w:rPr>
          <w:bCs/>
        </w:rPr>
        <w:t xml:space="preserve"> </w:t>
      </w:r>
      <w:r w:rsidRPr="00496FB6" w:rsidR="00ED4831">
        <w:rPr>
          <w:bCs/>
        </w:rPr>
        <w:t xml:space="preserve">thereafter </w:t>
      </w:r>
      <w:r w:rsidRPr="00496FB6" w:rsidR="00861B40">
        <w:rPr>
          <w:bCs/>
        </w:rPr>
        <w:t xml:space="preserve">sentenced him. </w:t>
      </w:r>
      <w:r w:rsidRPr="00496FB6" w:rsidR="00ED4831">
        <w:rPr>
          <w:bCs/>
        </w:rPr>
        <w:t xml:space="preserve"> During the </w:t>
      </w:r>
      <w:r w:rsidRPr="00496FB6" w:rsidR="00C9279D">
        <w:rPr>
          <w:bCs/>
        </w:rPr>
        <w:t>discussion</w:t>
      </w:r>
      <w:r w:rsidRPr="00496FB6" w:rsidR="00676218">
        <w:rPr>
          <w:bCs/>
        </w:rPr>
        <w:t xml:space="preserve"> of his</w:t>
      </w:r>
      <w:r w:rsidRPr="00496FB6" w:rsidR="00ED4831">
        <w:rPr>
          <w:bCs/>
        </w:rPr>
        <w:t xml:space="preserve"> motion for new trial, </w:t>
      </w:r>
      <w:r w:rsidRPr="00496FB6" w:rsidR="00D82EC8">
        <w:rPr>
          <w:bCs/>
        </w:rPr>
        <w:t>defendant</w:t>
      </w:r>
      <w:r w:rsidRPr="00496FB6" w:rsidR="007F632E">
        <w:rPr>
          <w:bCs/>
        </w:rPr>
        <w:t xml:space="preserve"> stated, “Your honor, I object to these proceedings, and I want to make a pro per motion.  I don’t even want this </w:t>
      </w:r>
      <w:r w:rsidRPr="00496FB6" w:rsidR="00E66AAF">
        <w:rPr>
          <w:bCs/>
        </w:rPr>
        <w:t>motion read until tha</w:t>
      </w:r>
      <w:r w:rsidRPr="00496FB6" w:rsidR="007E764D">
        <w:rPr>
          <w:bCs/>
        </w:rPr>
        <w:t>t</w:t>
      </w:r>
      <w:r w:rsidRPr="00496FB6" w:rsidR="00E66AAF">
        <w:rPr>
          <w:bCs/>
        </w:rPr>
        <w:t xml:space="preserve"> hearing takes place.” </w:t>
      </w:r>
      <w:r w:rsidRPr="00496FB6" w:rsidR="009265C8">
        <w:rPr>
          <w:bCs/>
        </w:rPr>
        <w:t xml:space="preserve"> </w:t>
      </w:r>
      <w:r w:rsidRPr="00496FB6" w:rsidR="00CA380B">
        <w:rPr>
          <w:bCs/>
        </w:rPr>
        <w:t xml:space="preserve">In response to the court’s request for </w:t>
      </w:r>
      <w:r w:rsidRPr="00496FB6" w:rsidR="00A90B6A">
        <w:rPr>
          <w:bCs/>
        </w:rPr>
        <w:t>clarifi</w:t>
      </w:r>
      <w:r w:rsidRPr="00496FB6" w:rsidR="00CA380B">
        <w:rPr>
          <w:bCs/>
        </w:rPr>
        <w:t>cation as to whether</w:t>
      </w:r>
      <w:r w:rsidRPr="00496FB6" w:rsidR="00A90B6A">
        <w:rPr>
          <w:bCs/>
        </w:rPr>
        <w:t xml:space="preserve"> </w:t>
      </w:r>
      <w:r w:rsidRPr="00496FB6" w:rsidR="00D82EC8">
        <w:rPr>
          <w:bCs/>
        </w:rPr>
        <w:t>defendant</w:t>
      </w:r>
      <w:r w:rsidRPr="00496FB6" w:rsidR="00A90B6A">
        <w:rPr>
          <w:bCs/>
        </w:rPr>
        <w:t xml:space="preserve"> was “mak</w:t>
      </w:r>
      <w:r w:rsidRPr="00496FB6" w:rsidR="00CA380B">
        <w:rPr>
          <w:bCs/>
        </w:rPr>
        <w:t>[ing] a</w:t>
      </w:r>
      <w:r w:rsidRPr="00496FB6" w:rsidR="00C72B28">
        <w:rPr>
          <w:bCs/>
        </w:rPr>
        <w:t xml:space="preserve">nother motion to represent [himself] in these proceedings,” </w:t>
      </w:r>
      <w:r w:rsidRPr="00496FB6" w:rsidR="004E0BB9">
        <w:rPr>
          <w:bCs/>
        </w:rPr>
        <w:t>d</w:t>
      </w:r>
      <w:r w:rsidRPr="00496FB6" w:rsidR="00D82EC8">
        <w:rPr>
          <w:bCs/>
        </w:rPr>
        <w:t>efendant</w:t>
      </w:r>
      <w:r w:rsidRPr="00496FB6" w:rsidR="00C72B28">
        <w:rPr>
          <w:bCs/>
        </w:rPr>
        <w:t xml:space="preserve"> stated, “As I’ve been doing since the beginning of the penalty phase, your Honor.” </w:t>
      </w:r>
      <w:r w:rsidRPr="00496FB6" w:rsidR="004E0BB9">
        <w:rPr>
          <w:bCs/>
        </w:rPr>
        <w:t xml:space="preserve"> </w:t>
      </w:r>
      <w:r w:rsidRPr="00496FB6" w:rsidR="00C72B28">
        <w:t xml:space="preserve">The court asked </w:t>
      </w:r>
      <w:r w:rsidRPr="00496FB6" w:rsidR="00D82EC8">
        <w:t>defendant</w:t>
      </w:r>
      <w:r w:rsidRPr="00496FB6" w:rsidR="00C72B28">
        <w:t xml:space="preserve"> whether </w:t>
      </w:r>
      <w:r w:rsidRPr="00496FB6" w:rsidR="009A28C8">
        <w:t xml:space="preserve">he </w:t>
      </w:r>
      <w:r w:rsidRPr="00496FB6" w:rsidR="00AE7092">
        <w:t xml:space="preserve">would like to inform the court of anything that it had not previously heard. </w:t>
      </w:r>
      <w:r w:rsidRPr="00496FB6" w:rsidR="009265C8">
        <w:t xml:space="preserve"> </w:t>
      </w:r>
      <w:r w:rsidRPr="00496FB6" w:rsidR="00D82EC8">
        <w:rPr>
          <w:bCs/>
        </w:rPr>
        <w:t>Defendant</w:t>
      </w:r>
      <w:r w:rsidRPr="00496FB6" w:rsidR="0004384F">
        <w:rPr>
          <w:bCs/>
        </w:rPr>
        <w:t xml:space="preserve"> stated there was “no requirement</w:t>
      </w:r>
      <w:r w:rsidRPr="00496FB6" w:rsidR="00EA476E">
        <w:rPr>
          <w:bCs/>
        </w:rPr>
        <w:t>” that a criminal defendant demonstrate that his counsel “is providing effective [</w:t>
      </w:r>
      <w:r w:rsidRPr="00496FB6" w:rsidR="00EA476E">
        <w:rPr>
          <w:bCs/>
          <w:i/>
          <w:iCs/>
        </w:rPr>
        <w:t>sic</w:t>
      </w:r>
      <w:r w:rsidRPr="00496FB6" w:rsidR="00EA476E">
        <w:rPr>
          <w:bCs/>
        </w:rPr>
        <w:t xml:space="preserve">] representation” before self-representation is permitted. </w:t>
      </w:r>
      <w:r w:rsidRPr="00496FB6" w:rsidR="006D7DF0">
        <w:rPr>
          <w:bCs/>
        </w:rPr>
        <w:t xml:space="preserve"> </w:t>
      </w:r>
      <w:r w:rsidRPr="00496FB6">
        <w:rPr>
          <w:bCs/>
        </w:rPr>
        <w:t xml:space="preserve">Thereafter, </w:t>
      </w:r>
      <w:r w:rsidRPr="00496FB6" w:rsidR="00BC2B5E">
        <w:rPr>
          <w:bCs/>
        </w:rPr>
        <w:t xml:space="preserve">after </w:t>
      </w:r>
      <w:r w:rsidRPr="00496FB6" w:rsidR="00C12DF1">
        <w:rPr>
          <w:bCs/>
        </w:rPr>
        <w:t>“incorporat[</w:t>
      </w:r>
      <w:r w:rsidRPr="00496FB6" w:rsidR="00BC2B5E">
        <w:rPr>
          <w:bCs/>
        </w:rPr>
        <w:t>ing</w:t>
      </w:r>
      <w:r w:rsidRPr="00496FB6" w:rsidR="00C12DF1">
        <w:rPr>
          <w:bCs/>
        </w:rPr>
        <w:t>]</w:t>
      </w:r>
      <w:r w:rsidRPr="00496FB6" w:rsidR="00BC2B5E">
        <w:rPr>
          <w:bCs/>
        </w:rPr>
        <w:t xml:space="preserve"> the findings [it] made last time,” the trial court denied </w:t>
      </w:r>
      <w:r w:rsidRPr="00496FB6" w:rsidR="00D82EC8">
        <w:rPr>
          <w:bCs/>
        </w:rPr>
        <w:t>defendant</w:t>
      </w:r>
      <w:r w:rsidRPr="00496FB6" w:rsidR="00BC2B5E">
        <w:rPr>
          <w:bCs/>
        </w:rPr>
        <w:t>’s motion for self</w:t>
      </w:r>
      <w:r w:rsidRPr="00496FB6" w:rsidR="007E764D">
        <w:rPr>
          <w:bCs/>
        </w:rPr>
        <w:t>-</w:t>
      </w:r>
      <w:r w:rsidRPr="00496FB6" w:rsidR="00BC2B5E">
        <w:rPr>
          <w:bCs/>
        </w:rPr>
        <w:t xml:space="preserve">representation. </w:t>
      </w:r>
      <w:r w:rsidRPr="00496FB6" w:rsidR="006D7DF0">
        <w:rPr>
          <w:bCs/>
        </w:rPr>
        <w:t xml:space="preserve"> </w:t>
      </w:r>
    </w:p>
    <w:p w:rsidR="00145FEF" w:rsidRPr="00496FB6" w:rsidP="00DA7563" w14:paraId="5D0DE824" w14:textId="28229175">
      <w:pPr>
        <w:pStyle w:val="Heading3"/>
        <w:tabs>
          <w:tab w:val="clear" w:pos="1584"/>
        </w:tabs>
      </w:pPr>
      <w:bookmarkStart w:id="166" w:name="_Toc147519572"/>
      <w:bookmarkStart w:id="167" w:name="_Toc147845700"/>
      <w:r w:rsidRPr="00496FB6">
        <w:rPr>
          <w:i w:val="0"/>
          <w:iCs/>
        </w:rPr>
        <w:t>2.</w:t>
      </w:r>
      <w:r w:rsidRPr="00496FB6" w:rsidR="0074483D">
        <w:rPr>
          <w:i w:val="0"/>
          <w:iCs/>
        </w:rPr>
        <w:tab/>
      </w:r>
      <w:bookmarkEnd w:id="166"/>
      <w:r w:rsidRPr="00496FB6" w:rsidR="004B135D">
        <w:t>Analysis</w:t>
      </w:r>
      <w:bookmarkEnd w:id="167"/>
    </w:p>
    <w:p w:rsidR="009B2A37" w:rsidRPr="00496FB6" w:rsidP="00DA7563" w14:paraId="6D5D086D" w14:textId="3700ED6A">
      <w:pPr>
        <w:ind w:firstLine="720"/>
      </w:pPr>
      <w:r>
        <w:t xml:space="preserve">At the outset, we consider </w:t>
      </w:r>
      <w:r w:rsidR="00B07784">
        <w:t>the date on which</w:t>
      </w:r>
      <w:r>
        <w:t xml:space="preserve"> defendant first sought to represent himself </w:t>
      </w:r>
      <w:r w:rsidR="00E56C3F">
        <w:t xml:space="preserve">for </w:t>
      </w:r>
      <w:r w:rsidRPr="00496FB6" w:rsidR="00E56C3F">
        <w:t>the hearing on the automatic motion to reduce the verdict (§ 190.4, subd. (e)) and sentencing</w:t>
      </w:r>
      <w:r w:rsidR="00E56C3F">
        <w:t>.  Noting that t</w:t>
      </w:r>
      <w:r w:rsidRPr="00726D80">
        <w:t xml:space="preserve">he focus of </w:t>
      </w:r>
      <w:r w:rsidR="00E56C3F">
        <w:t>defendant’s</w:t>
      </w:r>
      <w:r w:rsidRPr="00726D80">
        <w:t xml:space="preserve"> request on December 8 was to represent himself during the then-ongoing proceeding under section 4007</w:t>
      </w:r>
      <w:r w:rsidR="00E56C3F">
        <w:t>, t</w:t>
      </w:r>
      <w:r w:rsidRPr="00726D80">
        <w:t xml:space="preserve">he </w:t>
      </w:r>
      <w:r w:rsidR="00484881">
        <w:t>People argue</w:t>
      </w:r>
      <w:r w:rsidRPr="00726D80">
        <w:t xml:space="preserve"> </w:t>
      </w:r>
      <w:r w:rsidR="00E56C3F">
        <w:t xml:space="preserve">defendant </w:t>
      </w:r>
      <w:r w:rsidR="00647FB1">
        <w:t>first</w:t>
      </w:r>
      <w:r w:rsidRPr="00726D80">
        <w:t xml:space="preserve"> request</w:t>
      </w:r>
      <w:r w:rsidR="00647FB1">
        <w:t>ed</w:t>
      </w:r>
      <w:r w:rsidRPr="00726D80">
        <w:t xml:space="preserve"> </w:t>
      </w:r>
      <w:r w:rsidR="00E56C3F">
        <w:t xml:space="preserve">to represent himself </w:t>
      </w:r>
      <w:r w:rsidR="00E83DB8">
        <w:t xml:space="preserve">for purposes of the section 190.4, subdivision (e) motion and sentencing </w:t>
      </w:r>
      <w:r w:rsidR="00647FB1">
        <w:t xml:space="preserve">a week </w:t>
      </w:r>
      <w:r w:rsidR="004813ED">
        <w:t>later</w:t>
      </w:r>
      <w:r w:rsidR="00025B1B">
        <w:t xml:space="preserve">, on </w:t>
      </w:r>
      <w:r w:rsidRPr="00726D80">
        <w:t>December 15</w:t>
      </w:r>
      <w:r w:rsidR="00E83DB8">
        <w:t xml:space="preserve"> at the sentencing hearing itself</w:t>
      </w:r>
      <w:r w:rsidR="00074E42">
        <w:t xml:space="preserve">.  </w:t>
      </w:r>
      <w:r w:rsidR="006B0A00">
        <w:t xml:space="preserve">While </w:t>
      </w:r>
      <w:r w:rsidR="0033403E">
        <w:t>the record is ambiguous</w:t>
      </w:r>
      <w:r w:rsidR="00DE2A1B">
        <w:t xml:space="preserve">, </w:t>
      </w:r>
      <w:r w:rsidR="00011643">
        <w:t>w</w:t>
      </w:r>
      <w:r w:rsidRPr="00496FB6" w:rsidR="001A2617">
        <w:t xml:space="preserve">e </w:t>
      </w:r>
      <w:r w:rsidRPr="00496FB6" w:rsidR="004F1F86">
        <w:t xml:space="preserve">assume </w:t>
      </w:r>
      <w:r w:rsidRPr="00496FB6" w:rsidR="00D82EC8">
        <w:t>defendant</w:t>
      </w:r>
      <w:r w:rsidRPr="00496FB6" w:rsidR="004F1F86">
        <w:t xml:space="preserve"> is correct that</w:t>
      </w:r>
      <w:r w:rsidRPr="00496FB6" w:rsidR="0079707D">
        <w:t>, on December</w:t>
      </w:r>
      <w:r w:rsidR="00802A09">
        <w:t> </w:t>
      </w:r>
      <w:r w:rsidRPr="00496FB6" w:rsidR="0079707D">
        <w:t xml:space="preserve">8, </w:t>
      </w:r>
      <w:r w:rsidRPr="00496FB6" w:rsidR="004F1F86">
        <w:t>he</w:t>
      </w:r>
      <w:r w:rsidRPr="00496FB6" w:rsidR="005C7C69">
        <w:t xml:space="preserve"> first requested to represent himself </w:t>
      </w:r>
      <w:r w:rsidRPr="00496FB6" w:rsidR="001A2617">
        <w:t>at</w:t>
      </w:r>
      <w:r w:rsidRPr="00496FB6" w:rsidR="005C7C69">
        <w:t xml:space="preserve"> </w:t>
      </w:r>
      <w:r w:rsidRPr="00496FB6" w:rsidR="00877599">
        <w:t xml:space="preserve">the hearing on the automatic motion </w:t>
      </w:r>
      <w:r w:rsidRPr="00496FB6" w:rsidR="00BB5BE7">
        <w:t xml:space="preserve">to reduce the verdict </w:t>
      </w:r>
      <w:r w:rsidRPr="00496FB6" w:rsidR="00877599">
        <w:t>(§ 190.4, subd. (e)</w:t>
      </w:r>
      <w:r w:rsidRPr="00496FB6" w:rsidR="00454D65">
        <w:t>)</w:t>
      </w:r>
      <w:r w:rsidRPr="00496FB6" w:rsidR="00877599">
        <w:t xml:space="preserve"> and at sentencing</w:t>
      </w:r>
      <w:r w:rsidRPr="00496FB6" w:rsidR="005C7C69">
        <w:t>.</w:t>
      </w:r>
      <w:r w:rsidR="005B051F">
        <w:t xml:space="preserve">  Nevertheless, </w:t>
      </w:r>
      <w:r w:rsidR="009D314F">
        <w:t xml:space="preserve">for the reasons </w:t>
      </w:r>
      <w:r w:rsidR="00B1268A">
        <w:t>that follow</w:t>
      </w:r>
      <w:r w:rsidR="009D314F">
        <w:t xml:space="preserve">, </w:t>
      </w:r>
      <w:r w:rsidRPr="00496FB6" w:rsidR="0008266C">
        <w:t>we</w:t>
      </w:r>
      <w:r w:rsidRPr="00496FB6" w:rsidR="00103DCE">
        <w:t xml:space="preserve"> conclude the trial court did not err in </w:t>
      </w:r>
      <w:r w:rsidRPr="00496FB6" w:rsidR="00DB4C23">
        <w:t xml:space="preserve">ruling </w:t>
      </w:r>
      <w:r w:rsidRPr="00496FB6" w:rsidR="00103DCE">
        <w:t xml:space="preserve">that </w:t>
      </w:r>
      <w:r w:rsidRPr="00496FB6" w:rsidR="00DB4C23">
        <w:t xml:space="preserve">defendant’s postverdict </w:t>
      </w:r>
      <w:r w:rsidRPr="00496FB6" w:rsidR="00DB4C23">
        <w:rPr>
          <w:i/>
          <w:iCs/>
        </w:rPr>
        <w:t xml:space="preserve">Faretta </w:t>
      </w:r>
      <w:r w:rsidRPr="00496FB6" w:rsidR="00DB4C23">
        <w:t>motions</w:t>
      </w:r>
      <w:r w:rsidRPr="00496FB6" w:rsidR="00103DCE">
        <w:t xml:space="preserve"> were </w:t>
      </w:r>
      <w:r w:rsidRPr="00496FB6" w:rsidR="00F95CCB">
        <w:t>un</w:t>
      </w:r>
      <w:r w:rsidRPr="00496FB6" w:rsidR="00103DCE">
        <w:t>timely.</w:t>
      </w:r>
      <w:r>
        <w:rPr>
          <w:rStyle w:val="FootnoteReference"/>
        </w:rPr>
        <w:footnoteReference w:id="31"/>
      </w:r>
      <w:r w:rsidRPr="00496FB6" w:rsidR="0008266C">
        <w:t xml:space="preserve"> </w:t>
      </w:r>
      <w:r w:rsidRPr="00496FB6" w:rsidR="00C53C55">
        <w:t xml:space="preserve"> </w:t>
      </w:r>
    </w:p>
    <w:p w:rsidR="00F4288B" w:rsidRPr="00496FB6" w:rsidP="0009078D" w14:paraId="52927EA4" w14:textId="6E576F71">
      <w:pPr>
        <w:ind w:firstLine="720"/>
      </w:pPr>
      <w:r w:rsidRPr="00496FB6">
        <w:t>Defendant</w:t>
      </w:r>
      <w:r w:rsidRPr="00496FB6" w:rsidR="009B2A37">
        <w:t xml:space="preserve"> </w:t>
      </w:r>
      <w:r w:rsidRPr="00496FB6" w:rsidR="00C11B3D">
        <w:t>properly notes that this court has not determined whether</w:t>
      </w:r>
      <w:r w:rsidRPr="00496FB6" w:rsidR="003C434E">
        <w:t>,</w:t>
      </w:r>
      <w:r w:rsidRPr="00496FB6" w:rsidR="00C11B3D">
        <w:t xml:space="preserve"> </w:t>
      </w:r>
      <w:r w:rsidRPr="00496FB6" w:rsidR="003C434E">
        <w:t xml:space="preserve">for purposes of determining the timeliness of a </w:t>
      </w:r>
      <w:r w:rsidRPr="00496FB6" w:rsidR="003C434E">
        <w:rPr>
          <w:i/>
          <w:iCs/>
        </w:rPr>
        <w:t xml:space="preserve">Faretta </w:t>
      </w:r>
      <w:r w:rsidRPr="00496FB6" w:rsidR="003C434E">
        <w:t>motion, proceedings</w:t>
      </w:r>
      <w:r w:rsidRPr="00496FB6" w:rsidR="007576D3">
        <w:t xml:space="preserve"> after a death verdict</w:t>
      </w:r>
      <w:r w:rsidRPr="00496FB6" w:rsidR="003C434E">
        <w:t xml:space="preserve"> are deemed separate proceeding</w:t>
      </w:r>
      <w:r w:rsidRPr="00496FB6" w:rsidR="007576D3">
        <w:t>s</w:t>
      </w:r>
      <w:r w:rsidRPr="00496FB6" w:rsidR="00F81F50">
        <w:t xml:space="preserve"> </w:t>
      </w:r>
      <w:r w:rsidRPr="00496FB6" w:rsidR="009D3E8E">
        <w:t>from the guilt and penalty phase</w:t>
      </w:r>
      <w:r w:rsidRPr="00496FB6" w:rsidR="00E44D9A">
        <w:t xml:space="preserve">. </w:t>
      </w:r>
      <w:r w:rsidRPr="00496FB6" w:rsidR="00F21C36">
        <w:t xml:space="preserve"> (See </w:t>
      </w:r>
      <w:bookmarkStart w:id="168" w:name="dabmci_35cbe2aae1474b80bb0fb3e8493af3e0"/>
      <w:r w:rsidRPr="00496FB6" w:rsidR="00F21C36">
        <w:rPr>
          <w:i/>
          <w:iCs/>
        </w:rPr>
        <w:t>People v. Mayfield</w:t>
      </w:r>
      <w:r w:rsidRPr="00496FB6" w:rsidR="00F21C36">
        <w:t xml:space="preserve"> (1997) 14</w:t>
      </w:r>
      <w:r w:rsidRPr="00496FB6" w:rsidR="00F04029">
        <w:t> </w:t>
      </w:r>
      <w:r w:rsidRPr="00496FB6" w:rsidR="00F21C36">
        <w:t>Cal.4th 668, 810 (</w:t>
      </w:r>
      <w:r w:rsidRPr="00496FB6" w:rsidR="00F21C36">
        <w:rPr>
          <w:i/>
          <w:iCs/>
        </w:rPr>
        <w:t>Mayfield</w:t>
      </w:r>
      <w:r w:rsidRPr="00496FB6" w:rsidR="00F21C36">
        <w:t>)</w:t>
      </w:r>
      <w:bookmarkEnd w:id="168"/>
      <w:r w:rsidRPr="00496FB6" w:rsidR="00F21C36">
        <w:t xml:space="preserve">; </w:t>
      </w:r>
      <w:bookmarkStart w:id="169" w:name="dabmci_f31bf88f6a2342b2b64e10cd124c0f61"/>
      <w:r w:rsidRPr="00496FB6" w:rsidR="00F21C36">
        <w:rPr>
          <w:i/>
          <w:iCs/>
        </w:rPr>
        <w:t>People v. Doolin</w:t>
      </w:r>
      <w:r w:rsidRPr="00496FB6" w:rsidR="00F21C36">
        <w:t xml:space="preserve"> (2009) 45</w:t>
      </w:r>
      <w:r w:rsidRPr="00496FB6" w:rsidR="00F04029">
        <w:t> </w:t>
      </w:r>
      <w:r w:rsidRPr="00496FB6" w:rsidR="00F21C36">
        <w:t>Cal.4th 390, 454</w:t>
      </w:r>
      <w:r w:rsidRPr="00496FB6" w:rsidR="00445E72">
        <w:t xml:space="preserve"> </w:t>
      </w:r>
      <w:r w:rsidRPr="00496FB6" w:rsidR="00F21C36">
        <w:t>(</w:t>
      </w:r>
      <w:r w:rsidRPr="00496FB6" w:rsidR="00F21C36">
        <w:rPr>
          <w:i/>
          <w:iCs/>
        </w:rPr>
        <w:t>Doolin</w:t>
      </w:r>
      <w:r w:rsidRPr="00496FB6" w:rsidR="00F21C36">
        <w:t>)</w:t>
      </w:r>
      <w:bookmarkEnd w:id="169"/>
      <w:r w:rsidRPr="00496FB6" w:rsidR="008A1723">
        <w:t>.)</w:t>
      </w:r>
      <w:r w:rsidRPr="00496FB6" w:rsidR="00905CC5">
        <w:t xml:space="preserve"> </w:t>
      </w:r>
      <w:r w:rsidR="006C22F4">
        <w:t xml:space="preserve"> </w:t>
      </w:r>
      <w:r w:rsidRPr="00496FB6" w:rsidR="00DB4C23">
        <w:t xml:space="preserve">Consistent with our prior precedent, </w:t>
      </w:r>
      <w:r w:rsidRPr="00496FB6">
        <w:t>we assume for the sake of argume</w:t>
      </w:r>
      <w:r w:rsidRPr="00496FB6">
        <w:t>nt that a self-representation motion</w:t>
      </w:r>
      <w:r w:rsidRPr="00496FB6" w:rsidR="00081A01">
        <w:t xml:space="preserve"> brought after a death verdict</w:t>
      </w:r>
      <w:r w:rsidRPr="00496FB6">
        <w:t xml:space="preserve"> </w:t>
      </w:r>
      <w:r w:rsidRPr="00496FB6" w:rsidR="00F62A52">
        <w:t xml:space="preserve">is </w:t>
      </w:r>
      <w:r w:rsidRPr="00F62A52" w:rsidR="00F62A52">
        <w:t>not</w:t>
      </w:r>
      <w:r w:rsidRPr="00496FB6" w:rsidR="00F62A52">
        <w:t xml:space="preserve"> governed by the</w:t>
      </w:r>
      <w:r w:rsidR="00F62A52">
        <w:t xml:space="preserve"> </w:t>
      </w:r>
      <w:r w:rsidRPr="00496FB6" w:rsidR="00F62A52">
        <w:t>unitary-capital-trial rule</w:t>
      </w:r>
      <w:r w:rsidRPr="00496FB6" w:rsidR="00F62A52">
        <w:rPr>
          <w:i/>
          <w:iCs/>
        </w:rPr>
        <w:t xml:space="preserve"> </w:t>
      </w:r>
      <w:r w:rsidRPr="00F62A52" w:rsidR="00F62A52">
        <w:t xml:space="preserve">and </w:t>
      </w:r>
      <w:r w:rsidRPr="00496FB6">
        <w:rPr>
          <w:i/>
          <w:iCs/>
        </w:rPr>
        <w:t>may</w:t>
      </w:r>
      <w:r w:rsidRPr="00496FB6">
        <w:t xml:space="preserve"> be timely if made a reasonable time</w:t>
      </w:r>
      <w:r w:rsidRPr="00496FB6" w:rsidR="00081A01">
        <w:t xml:space="preserve"> before the postverdict proceedings</w:t>
      </w:r>
      <w:r w:rsidRPr="00496FB6">
        <w:t xml:space="preserve"> </w:t>
      </w:r>
      <w:r w:rsidRPr="00496FB6" w:rsidR="00081A01">
        <w:t>in which such self-representation is sought</w:t>
      </w:r>
      <w:r w:rsidR="00663F26">
        <w:t xml:space="preserve">.  </w:t>
      </w:r>
      <w:r w:rsidRPr="00496FB6">
        <w:t>(</w:t>
      </w:r>
      <w:bookmarkStart w:id="170" w:name="dabmci_563f0072a79b4fdaa392dde3f9ac6059"/>
      <w:r w:rsidR="00F62A52">
        <w:t xml:space="preserve">See </w:t>
      </w:r>
      <w:r w:rsidRPr="00496FB6">
        <w:rPr>
          <w:i/>
          <w:iCs/>
        </w:rPr>
        <w:t>Mayfield</w:t>
      </w:r>
      <w:r w:rsidRPr="00496FB6" w:rsidR="00F21C36">
        <w:t xml:space="preserve">, </w:t>
      </w:r>
      <w:r w:rsidRPr="00496FB6" w:rsidR="00990425">
        <w:rPr>
          <w:i/>
          <w:iCs/>
        </w:rPr>
        <w:t>supra</w:t>
      </w:r>
      <w:r w:rsidRPr="00496FB6" w:rsidR="00990425">
        <w:t xml:space="preserve">, 14 Cal.4th </w:t>
      </w:r>
      <w:r w:rsidRPr="00496FB6" w:rsidR="00F21C36">
        <w:t>at p.</w:t>
      </w:r>
      <w:r w:rsidRPr="00496FB6" w:rsidR="00F04029">
        <w:t> </w:t>
      </w:r>
      <w:r w:rsidRPr="00496FB6">
        <w:t>810</w:t>
      </w:r>
      <w:bookmarkEnd w:id="170"/>
      <w:r w:rsidRPr="00496FB6" w:rsidR="00EA194B">
        <w:t xml:space="preserve"> [“assum[ing] for the sake of argument that a postverdict self-representation motion may be timely if made a reasonable time before sentencing,</w:t>
      </w:r>
      <w:r w:rsidRPr="00496FB6" w:rsidR="0060440E">
        <w:t>” but</w:t>
      </w:r>
      <w:r w:rsidRPr="00496FB6" w:rsidR="00EA194B">
        <w:t xml:space="preserve"> </w:t>
      </w:r>
      <w:r w:rsidRPr="00496FB6" w:rsidR="0060440E">
        <w:t>“</w:t>
      </w:r>
      <w:r w:rsidRPr="00496FB6" w:rsidR="00EA194B">
        <w:t>agree</w:t>
      </w:r>
      <w:r w:rsidRPr="00496FB6" w:rsidR="0060440E">
        <w:t>[ing]</w:t>
      </w:r>
      <w:r w:rsidRPr="00496FB6" w:rsidR="00EA194B">
        <w:t xml:space="preserve"> with the trial court that defendant</w:t>
      </w:r>
      <w:r w:rsidRPr="00496FB6" w:rsidR="001B0C84">
        <w:t>’</w:t>
      </w:r>
      <w:r w:rsidRPr="00496FB6" w:rsidR="00EA194B">
        <w:t>s motion was untimely</w:t>
      </w:r>
      <w:r w:rsidRPr="00496FB6" w:rsidR="0060440E">
        <w:t>”]</w:t>
      </w:r>
      <w:r w:rsidRPr="00496FB6">
        <w:t xml:space="preserve">; see </w:t>
      </w:r>
      <w:bookmarkStart w:id="171" w:name="dabmci_09d94405925a42deade9d0193c917d3f"/>
      <w:r w:rsidRPr="00496FB6">
        <w:rPr>
          <w:i/>
          <w:iCs/>
        </w:rPr>
        <w:t>Doolin</w:t>
      </w:r>
      <w:r w:rsidRPr="00496FB6" w:rsidR="0060440E">
        <w:t>,</w:t>
      </w:r>
      <w:r w:rsidRPr="00496FB6">
        <w:t xml:space="preserve"> </w:t>
      </w:r>
      <w:r w:rsidRPr="00496FB6" w:rsidR="000F56FF">
        <w:rPr>
          <w:i/>
          <w:iCs/>
        </w:rPr>
        <w:t>supra</w:t>
      </w:r>
      <w:r w:rsidRPr="00496FB6" w:rsidR="000F56FF">
        <w:t xml:space="preserve">, 45 Cal.4th </w:t>
      </w:r>
      <w:r w:rsidRPr="00496FB6" w:rsidR="0060440E">
        <w:t>at p.</w:t>
      </w:r>
      <w:r w:rsidRPr="00496FB6" w:rsidR="00F04029">
        <w:t> </w:t>
      </w:r>
      <w:r w:rsidRPr="00496FB6">
        <w:t>454</w:t>
      </w:r>
      <w:bookmarkEnd w:id="171"/>
      <w:r w:rsidRPr="00496FB6" w:rsidR="008B52BA">
        <w:t xml:space="preserve"> </w:t>
      </w:r>
      <w:r w:rsidRPr="00496FB6">
        <w:t>[</w:t>
      </w:r>
      <w:r w:rsidRPr="00496FB6" w:rsidR="005F4904">
        <w:t>same</w:t>
      </w:r>
      <w:r w:rsidRPr="00496FB6">
        <w:t>]</w:t>
      </w:r>
      <w:r w:rsidRPr="00496FB6" w:rsidR="000F56FF">
        <w:t xml:space="preserve">.)  </w:t>
      </w:r>
    </w:p>
    <w:p w:rsidR="00F4288B" w:rsidRPr="00496FB6" w:rsidP="0009078D" w14:paraId="59114DDE" w14:textId="10211151">
      <w:pPr>
        <w:ind w:firstLine="720"/>
      </w:pPr>
      <w:r w:rsidRPr="00496FB6">
        <w:t xml:space="preserve">However, </w:t>
      </w:r>
      <w:r w:rsidRPr="00496FB6" w:rsidR="009B5615">
        <w:t>even</w:t>
      </w:r>
      <w:r w:rsidRPr="00496FB6">
        <w:t xml:space="preserve"> assum</w:t>
      </w:r>
      <w:r w:rsidRPr="00496FB6" w:rsidR="009B5615">
        <w:t>ing</w:t>
      </w:r>
      <w:r w:rsidRPr="00496FB6">
        <w:t xml:space="preserve"> </w:t>
      </w:r>
      <w:r w:rsidRPr="00496FB6" w:rsidR="00D82EC8">
        <w:t>defendant</w:t>
      </w:r>
      <w:r w:rsidRPr="00496FB6">
        <w:t xml:space="preserve">’s requests were not </w:t>
      </w:r>
      <w:r w:rsidRPr="00496FB6">
        <w:rPr>
          <w:i/>
          <w:iCs/>
        </w:rPr>
        <w:t>per se</w:t>
      </w:r>
      <w:r w:rsidRPr="00496FB6">
        <w:t xml:space="preserve"> untimely</w:t>
      </w:r>
      <w:r w:rsidRPr="00496FB6" w:rsidR="0095085C">
        <w:t xml:space="preserve"> </w:t>
      </w:r>
      <w:r w:rsidRPr="00496FB6" w:rsidR="00EB1845">
        <w:t>pursuant to the unitary-capital-trial rule</w:t>
      </w:r>
      <w:r w:rsidRPr="00496FB6">
        <w:t xml:space="preserve">, </w:t>
      </w:r>
      <w:r w:rsidR="00FF49A5">
        <w:t>we</w:t>
      </w:r>
      <w:r w:rsidRPr="00496FB6">
        <w:t xml:space="preserve"> conclude they were </w:t>
      </w:r>
      <w:r w:rsidRPr="00496FB6">
        <w:rPr>
          <w:i/>
          <w:iCs/>
        </w:rPr>
        <w:t>in fact</w:t>
      </w:r>
      <w:r w:rsidRPr="00496FB6">
        <w:t xml:space="preserve"> untimely</w:t>
      </w:r>
      <w:r w:rsidRPr="00496FB6" w:rsidR="003B618E">
        <w:t> — considering the “totality of the circumstances” surrounding such requests (</w:t>
      </w:r>
      <w:r w:rsidRPr="00496FB6" w:rsidR="003B618E">
        <w:rPr>
          <w:i/>
          <w:iCs/>
        </w:rPr>
        <w:t>Lynch</w:t>
      </w:r>
      <w:r w:rsidRPr="00496FB6" w:rsidR="003B618E">
        <w:t xml:space="preserve">, </w:t>
      </w:r>
      <w:r w:rsidRPr="00496FB6" w:rsidR="003B618E">
        <w:rPr>
          <w:i/>
          <w:iCs/>
        </w:rPr>
        <w:t>supra</w:t>
      </w:r>
      <w:r w:rsidRPr="00496FB6" w:rsidR="003B618E">
        <w:t xml:space="preserve">, 50 Cal.4th at p. 726) — because </w:t>
      </w:r>
      <w:r w:rsidRPr="00496FB6" w:rsidR="00C873ED">
        <w:t>they were not made within a reasonable time prior to the December</w:t>
      </w:r>
      <w:r w:rsidRPr="00496FB6" w:rsidR="00053D1D">
        <w:t> </w:t>
      </w:r>
      <w:r w:rsidRPr="00496FB6" w:rsidR="00C873ED">
        <w:t>15 proceedings.</w:t>
      </w:r>
      <w:r w:rsidRPr="00496FB6">
        <w:t xml:space="preserve">  Not only did </w:t>
      </w:r>
      <w:r w:rsidRPr="00496FB6" w:rsidR="00D82EC8">
        <w:t>defendant</w:t>
      </w:r>
      <w:r w:rsidRPr="00496FB6">
        <w:t xml:space="preserve"> wait </w:t>
      </w:r>
      <w:r w:rsidRPr="00496FB6" w:rsidR="009B5615">
        <w:t xml:space="preserve">until </w:t>
      </w:r>
      <w:r w:rsidR="004E066A">
        <w:t xml:space="preserve">December 8, </w:t>
      </w:r>
      <w:r w:rsidRPr="00496FB6">
        <w:t xml:space="preserve">more than three months after the </w:t>
      </w:r>
      <w:r w:rsidRPr="00496FB6" w:rsidR="00823F81">
        <w:t xml:space="preserve">jury rendered its </w:t>
      </w:r>
      <w:r w:rsidRPr="00496FB6">
        <w:t>penalty phase verdict on August</w:t>
      </w:r>
      <w:r w:rsidRPr="00496FB6" w:rsidR="00053D1D">
        <w:t> </w:t>
      </w:r>
      <w:r w:rsidRPr="00496FB6">
        <w:t xml:space="preserve">24 to </w:t>
      </w:r>
      <w:r w:rsidRPr="00496FB6" w:rsidR="00C873ED">
        <w:t xml:space="preserve">raise a </w:t>
      </w:r>
      <w:r w:rsidRPr="00496FB6" w:rsidR="00B35733">
        <w:t>request for self-representation</w:t>
      </w:r>
      <w:r w:rsidRPr="00496FB6">
        <w:t xml:space="preserve"> at the postverdict hearings, which were to occur the following week, the record indicates that he had “earlier opportunities to assert his right of self-representatio</w:t>
      </w:r>
      <w:r w:rsidRPr="00496FB6">
        <w:t>n” (</w:t>
      </w:r>
      <w:bookmarkStart w:id="172" w:name="dabmci_2ff304c7a1b9404993d0bf04eebceebc"/>
      <w:r w:rsidRPr="00496FB6">
        <w:rPr>
          <w:i/>
          <w:iCs/>
        </w:rPr>
        <w:t>ibid</w:t>
      </w:r>
      <w:r w:rsidRPr="00496FB6">
        <w:t>.</w:t>
      </w:r>
      <w:bookmarkEnd w:id="172"/>
      <w:r w:rsidRPr="00496FB6">
        <w:t>)</w:t>
      </w:r>
      <w:r w:rsidRPr="00496FB6" w:rsidR="003B618E">
        <w:t>,</w:t>
      </w:r>
      <w:r w:rsidRPr="00496FB6">
        <w:t xml:space="preserve"> including on October</w:t>
      </w:r>
      <w:r w:rsidRPr="00496FB6" w:rsidR="00053D1D">
        <w:t> </w:t>
      </w:r>
      <w:r w:rsidRPr="00496FB6">
        <w:t>26</w:t>
      </w:r>
      <w:r w:rsidRPr="00496FB6" w:rsidR="004D37E1">
        <w:t xml:space="preserve"> </w:t>
      </w:r>
      <w:r w:rsidRPr="00496FB6">
        <w:t>when he was in court</w:t>
      </w:r>
      <w:r w:rsidR="00D75C35">
        <w:t>.  Moreover, d</w:t>
      </w:r>
      <w:r w:rsidRPr="00496FB6" w:rsidR="00D82EC8">
        <w:t>efendant</w:t>
      </w:r>
      <w:r w:rsidRPr="00496FB6">
        <w:t>’s argument on appeal that his December</w:t>
      </w:r>
      <w:r w:rsidRPr="00496FB6" w:rsidR="00053D1D">
        <w:t> </w:t>
      </w:r>
      <w:r w:rsidRPr="00496FB6">
        <w:t xml:space="preserve">8 </w:t>
      </w:r>
      <w:r w:rsidRPr="00496FB6">
        <w:rPr>
          <w:i/>
          <w:iCs/>
        </w:rPr>
        <w:t>Faretta</w:t>
      </w:r>
      <w:r w:rsidRPr="00496FB6">
        <w:t xml:space="preserve"> request was prompted by his dissatisfaction with counsel’s performance in representing him </w:t>
      </w:r>
      <w:r w:rsidRPr="00496FB6" w:rsidR="00E839D0">
        <w:t>in connection with the section</w:t>
      </w:r>
      <w:r w:rsidRPr="00496FB6" w:rsidR="00053D1D">
        <w:t> </w:t>
      </w:r>
      <w:r w:rsidRPr="00496FB6" w:rsidR="00E839D0">
        <w:t xml:space="preserve">4007 hearing </w:t>
      </w:r>
      <w:r w:rsidRPr="00496FB6">
        <w:t xml:space="preserve">that day (and thus was made at the earliest opportunity) is not supported by </w:t>
      </w:r>
      <w:r w:rsidRPr="00496FB6" w:rsidR="00D82EC8">
        <w:t>defendant</w:t>
      </w:r>
      <w:r w:rsidRPr="00496FB6">
        <w:t xml:space="preserve">’s </w:t>
      </w:r>
      <w:r w:rsidRPr="00496FB6" w:rsidR="008C4870">
        <w:t>comment that day</w:t>
      </w:r>
      <w:r w:rsidRPr="00496FB6">
        <w:t xml:space="preserve"> </w:t>
      </w:r>
      <w:r w:rsidRPr="00496FB6" w:rsidR="008C4870">
        <w:t>stating</w:t>
      </w:r>
      <w:r w:rsidRPr="00496FB6">
        <w:t>, “I haven’t been wanting to be represented by [counsel] since the beginning of the penalty phase</w:t>
      </w:r>
      <w:r w:rsidRPr="00496FB6" w:rsidR="00652450">
        <w:t>.</w:t>
      </w:r>
      <w:r w:rsidRPr="00496FB6">
        <w:t xml:space="preserve">” </w:t>
      </w:r>
      <w:r w:rsidRPr="00496FB6" w:rsidR="00DA5877">
        <w:t xml:space="preserve"> </w:t>
      </w:r>
      <w:r w:rsidRPr="00496FB6" w:rsidR="00EB7131">
        <w:t>Accordingly</w:t>
      </w:r>
      <w:r w:rsidRPr="00496FB6">
        <w:t>, we conclude that</w:t>
      </w:r>
      <w:r w:rsidRPr="00496FB6">
        <w:t xml:space="preserve"> the trial court did not abuse its discretion in </w:t>
      </w:r>
      <w:r w:rsidRPr="00496FB6" w:rsidR="009E0B94">
        <w:t>determining</w:t>
      </w:r>
      <w:r w:rsidRPr="00496FB6">
        <w:t xml:space="preserve"> </w:t>
      </w:r>
      <w:r w:rsidRPr="00496FB6" w:rsidR="00636471">
        <w:t>defendant’s request w</w:t>
      </w:r>
      <w:r w:rsidRPr="00496FB6" w:rsidR="00937B40">
        <w:t>as</w:t>
      </w:r>
      <w:r w:rsidRPr="00496FB6" w:rsidR="00636471">
        <w:t xml:space="preserve"> </w:t>
      </w:r>
      <w:r w:rsidRPr="00496FB6">
        <w:t>untimely.</w:t>
      </w:r>
      <w:r>
        <w:rPr>
          <w:rStyle w:val="FootnoteReference"/>
        </w:rPr>
        <w:footnoteReference w:id="32"/>
      </w:r>
      <w:r w:rsidR="00666EFC">
        <w:t xml:space="preserve">  </w:t>
      </w:r>
    </w:p>
    <w:p w:rsidR="00275518" w:rsidP="0009078D" w14:paraId="5C0F7B10" w14:textId="7C2480D0">
      <w:pPr>
        <w:ind w:firstLine="720"/>
      </w:pPr>
      <w:r w:rsidRPr="00496FB6">
        <w:t xml:space="preserve">Next, we consider and reject </w:t>
      </w:r>
      <w:r w:rsidRPr="00496FB6" w:rsidR="00D82EC8">
        <w:t>defendant</w:t>
      </w:r>
      <w:r w:rsidRPr="00496FB6">
        <w:t xml:space="preserve">’s claim that the court abused its discretion under </w:t>
      </w:r>
      <w:r w:rsidRPr="00496FB6">
        <w:rPr>
          <w:i/>
          <w:iCs/>
        </w:rPr>
        <w:t>Windham</w:t>
      </w:r>
      <w:r w:rsidRPr="00496FB6">
        <w:t xml:space="preserve"> in denying his untimely request</w:t>
      </w:r>
      <w:r w:rsidRPr="00496FB6" w:rsidR="00D879D3">
        <w:t>s</w:t>
      </w:r>
      <w:r w:rsidRPr="00496FB6">
        <w:t xml:space="preserve"> to represent himself.  Whi</w:t>
      </w:r>
      <w:r w:rsidRPr="00496FB6">
        <w:t xml:space="preserve">le the trial court did not expressly consider all the </w:t>
      </w:r>
      <w:r w:rsidRPr="00496FB6">
        <w:rPr>
          <w:i/>
          <w:iCs/>
        </w:rPr>
        <w:t>Windham</w:t>
      </w:r>
      <w:r w:rsidRPr="00496FB6">
        <w:t xml:space="preserve"> factors, this circumstance does not mandate reversal, as </w:t>
      </w:r>
      <w:r w:rsidRPr="00496FB6" w:rsidR="00D82EC8">
        <w:t>defendant</w:t>
      </w:r>
      <w:r w:rsidRPr="00496FB6">
        <w:t xml:space="preserve"> acknowledges.  </w:t>
      </w:r>
      <w:bookmarkStart w:id="174" w:name="dabmci_0d4b7a7a3da84f0faacae36c1768b775"/>
      <w:r w:rsidR="00A67176">
        <w:t>Further</w:t>
      </w:r>
      <w:r w:rsidR="009E0F92">
        <w:t>,</w:t>
      </w:r>
      <w:bookmarkEnd w:id="174"/>
      <w:r w:rsidR="009E0F92">
        <w:t xml:space="preserve"> s</w:t>
      </w:r>
      <w:r w:rsidRPr="00496FB6">
        <w:t xml:space="preserve">everal of the </w:t>
      </w:r>
      <w:r w:rsidRPr="00496FB6">
        <w:rPr>
          <w:i/>
          <w:iCs/>
        </w:rPr>
        <w:t>Windham</w:t>
      </w:r>
      <w:r w:rsidRPr="00496FB6">
        <w:t xml:space="preserve"> factors support the trial court’s ruling</w:t>
      </w:r>
      <w:r w:rsidRPr="00496FB6" w:rsidR="00D879D3">
        <w:t>s</w:t>
      </w:r>
      <w:r w:rsidRPr="00496FB6">
        <w:t xml:space="preserve">, including </w:t>
      </w:r>
      <w:r w:rsidRPr="00496FB6" w:rsidR="00D82EC8">
        <w:t>defendant</w:t>
      </w:r>
      <w:r w:rsidRPr="00496FB6">
        <w:t>’s failure to arti</w:t>
      </w:r>
      <w:r w:rsidRPr="00496FB6">
        <w:t>culate a compelling reason for his request (i.e.</w:t>
      </w:r>
      <w:r w:rsidRPr="00496FB6" w:rsidR="00053D1D">
        <w:t>,</w:t>
      </w:r>
      <w:r w:rsidRPr="00496FB6">
        <w:t xml:space="preserve"> “[he could</w:t>
      </w:r>
      <w:r w:rsidRPr="00496FB6" w:rsidR="00C12DF1">
        <w:t>]</w:t>
      </w:r>
      <w:r w:rsidRPr="00496FB6">
        <w:t xml:space="preserve"> get [him]self executed just as easily as [counsel could]”</w:t>
      </w:r>
      <w:r w:rsidRPr="00496FB6" w:rsidR="00CA13D5">
        <w:t>)</w:t>
      </w:r>
      <w:r w:rsidRPr="00496FB6">
        <w:t xml:space="preserve">, the late stage of the proceedings, and the possibility of delay.  </w:t>
      </w:r>
      <w:r w:rsidRPr="00496FB6" w:rsidR="00686314">
        <w:t xml:space="preserve">(See </w:t>
      </w:r>
      <w:bookmarkStart w:id="175" w:name="dabmci_d235e3e4c28f4097895eedee77e69019"/>
      <w:r w:rsidRPr="00496FB6" w:rsidR="00686314">
        <w:rPr>
          <w:i/>
          <w:iCs/>
        </w:rPr>
        <w:t xml:space="preserve">Windham, </w:t>
      </w:r>
      <w:r w:rsidRPr="00496FB6" w:rsidR="00414968">
        <w:rPr>
          <w:i/>
          <w:iCs/>
        </w:rPr>
        <w:t>supra</w:t>
      </w:r>
      <w:r w:rsidRPr="00496FB6" w:rsidR="00414968">
        <w:t>, 19</w:t>
      </w:r>
      <w:r w:rsidRPr="00496FB6" w:rsidR="00811F90">
        <w:t> </w:t>
      </w:r>
      <w:r w:rsidRPr="00496FB6" w:rsidR="00414968">
        <w:t>Cal.3d at p.</w:t>
      </w:r>
      <w:r w:rsidRPr="00496FB6" w:rsidR="00811F90">
        <w:t> </w:t>
      </w:r>
      <w:r w:rsidRPr="00496FB6" w:rsidR="00A20EAC">
        <w:t>128</w:t>
      </w:r>
      <w:bookmarkEnd w:id="175"/>
      <w:r w:rsidRPr="00496FB6" w:rsidR="00A20EAC">
        <w:t xml:space="preserve"> [</w:t>
      </w:r>
      <w:r w:rsidRPr="00496FB6" w:rsidR="00D22758">
        <w:t>listing factors to be considered in assessing a motion for self-representation made after the commencement of a trial</w:t>
      </w:r>
      <w:r w:rsidRPr="00496FB6" w:rsidR="00BF0AFD">
        <w:t>]</w:t>
      </w:r>
      <w:r w:rsidRPr="00496FB6" w:rsidR="00414968">
        <w:t xml:space="preserve">.) </w:t>
      </w:r>
      <w:r w:rsidRPr="00496FB6" w:rsidR="00BF0AFD">
        <w:t xml:space="preserve"> </w:t>
      </w:r>
      <w:r w:rsidRPr="00496FB6">
        <w:t xml:space="preserve">In addition, </w:t>
      </w:r>
      <w:r w:rsidRPr="00496FB6" w:rsidR="00D82EC8">
        <w:t>defendant</w:t>
      </w:r>
      <w:r w:rsidRPr="00496FB6">
        <w:t xml:space="preserve"> fails to identify any deficiency with the </w:t>
      </w:r>
      <w:r w:rsidRPr="00496FB6" w:rsidR="00A20EAC">
        <w:t>“</w:t>
      </w:r>
      <w:r w:rsidRPr="00496FB6">
        <w:t xml:space="preserve">quality of </w:t>
      </w:r>
      <w:r w:rsidRPr="00496FB6" w:rsidR="00A20EAC">
        <w:t>counsel’s</w:t>
      </w:r>
      <w:r w:rsidRPr="00496FB6">
        <w:t xml:space="preserve"> representation</w:t>
      </w:r>
      <w:r w:rsidRPr="00496FB6" w:rsidR="008C23D0">
        <w:t xml:space="preserve">” </w:t>
      </w:r>
      <w:r w:rsidRPr="00496FB6">
        <w:t>that would support his claim of an abuse of discretio</w:t>
      </w:r>
      <w:r w:rsidRPr="00496FB6">
        <w:t xml:space="preserve">n.  </w:t>
      </w:r>
      <w:r w:rsidRPr="00496FB6" w:rsidR="00414968">
        <w:t>(</w:t>
      </w:r>
      <w:bookmarkStart w:id="176" w:name="dabmci_050e6a33ba684786a3bb425c05cdc7ff"/>
      <w:r w:rsidRPr="00496FB6" w:rsidR="00A20EAC">
        <w:rPr>
          <w:i/>
          <w:iCs/>
        </w:rPr>
        <w:t>I</w:t>
      </w:r>
      <w:r w:rsidRPr="00496FB6" w:rsidR="00414968">
        <w:rPr>
          <w:i/>
          <w:iCs/>
        </w:rPr>
        <w:t>bid</w:t>
      </w:r>
      <w:r w:rsidRPr="00496FB6" w:rsidR="00414968">
        <w:t>.</w:t>
      </w:r>
      <w:bookmarkEnd w:id="176"/>
      <w:r w:rsidRPr="00496FB6" w:rsidR="00414968">
        <w:t xml:space="preserve">)  </w:t>
      </w:r>
      <w:r w:rsidR="00D05F49">
        <w:t>Accordingly</w:t>
      </w:r>
      <w:r w:rsidRPr="00496FB6">
        <w:t xml:space="preserve">, </w:t>
      </w:r>
      <w:r w:rsidR="009E0F92">
        <w:t xml:space="preserve">we </w:t>
      </w:r>
      <w:r w:rsidR="00D05F49">
        <w:t>conclude</w:t>
      </w:r>
      <w:r w:rsidRPr="00496FB6">
        <w:t xml:space="preserve"> the trial court did not abuse its discretion in denying </w:t>
      </w:r>
      <w:r w:rsidRPr="00496FB6" w:rsidR="00D82EC8">
        <w:t>defendant</w:t>
      </w:r>
      <w:r w:rsidRPr="00496FB6">
        <w:t>’s requests to represent himself at the postverdict proceedings.</w:t>
      </w:r>
      <w:r w:rsidR="00666EFC">
        <w:t xml:space="preserve">  </w:t>
      </w:r>
    </w:p>
    <w:p w:rsidR="004348E2" w:rsidRPr="004348E2" w:rsidP="005610DC" w14:paraId="0AFEC20F" w14:textId="0B31A29A">
      <w:pPr>
        <w:pStyle w:val="Heading2"/>
        <w:tabs>
          <w:tab w:val="clear" w:pos="1152"/>
        </w:tabs>
        <w:ind w:left="1080" w:hanging="360"/>
        <w:rPr>
          <w:i/>
          <w:iCs/>
        </w:rPr>
      </w:pPr>
      <w:r w:rsidRPr="005610DC">
        <w:t>F.</w:t>
      </w:r>
      <w:r w:rsidRPr="005610DC" w:rsidR="00F3466F">
        <w:t xml:space="preserve"> </w:t>
      </w:r>
      <w:r w:rsidRPr="005610DC">
        <w:t>The</w:t>
      </w:r>
      <w:r w:rsidRPr="004348E2">
        <w:t xml:space="preserve"> Trial Court Did Not Violate Defendant’s</w:t>
      </w:r>
      <w:r w:rsidR="000744CF">
        <w:t xml:space="preserve"> </w:t>
      </w:r>
      <w:r w:rsidRPr="004348E2">
        <w:t>Sixth Amendment Right to Choose the Obj</w:t>
      </w:r>
      <w:r w:rsidRPr="004348E2">
        <w:t xml:space="preserve">ective of His Defense </w:t>
      </w:r>
      <w:r w:rsidR="00666EFC">
        <w:t xml:space="preserve"> </w:t>
      </w:r>
    </w:p>
    <w:p w:rsidR="004348E2" w:rsidRPr="004348E2" w:rsidP="004348E2" w14:paraId="6A676C40" w14:textId="53CD6F3F">
      <w:pPr>
        <w:ind w:firstLine="720"/>
      </w:pPr>
      <w:r w:rsidRPr="004348E2">
        <w:t>Defendant claims the trial court violated his Sixth Amendment right to choose the objective of his defense by permitting counsel, over defendant’s objection, to present several pieces of mitigating evidence during the penalty phase.</w:t>
      </w:r>
      <w:r w:rsidRPr="004348E2">
        <w:t xml:space="preserve">  As a result, defendant contends that he suffered a violation of his Sixth Amendment right to the assistance of counsel.  (U.S. Const., 6th Amend.)  We reject this contention. </w:t>
      </w:r>
      <w:r w:rsidR="00666EFC">
        <w:t xml:space="preserve"> </w:t>
      </w:r>
    </w:p>
    <w:p w:rsidR="004348E2" w:rsidRPr="004348E2" w:rsidP="00802A09" w14:paraId="1CB0B2F0" w14:textId="77777777">
      <w:pPr>
        <w:pStyle w:val="Heading3"/>
        <w:tabs>
          <w:tab w:val="clear" w:pos="1584"/>
        </w:tabs>
      </w:pPr>
      <w:r w:rsidRPr="00E86428">
        <w:rPr>
          <w:i w:val="0"/>
          <w:iCs/>
        </w:rPr>
        <w:t>1.</w:t>
      </w:r>
      <w:r w:rsidRPr="004348E2">
        <w:t xml:space="preserve">  Governing law</w:t>
      </w:r>
    </w:p>
    <w:p w:rsidR="004348E2" w:rsidRPr="004348E2" w:rsidP="004348E2" w14:paraId="41CD52F1" w14:textId="0604CC06">
      <w:pPr>
        <w:ind w:firstLine="720"/>
      </w:pPr>
      <w:r w:rsidRPr="004348E2">
        <w:t xml:space="preserve">“The Sixth Amendment guarantees to each criminal </w:t>
      </w:r>
      <w:r w:rsidRPr="004348E2">
        <w:t>defendant ‘the Assistance of Counsel for his defence.’ ”  (</w:t>
      </w:r>
      <w:r w:rsidRPr="004348E2">
        <w:rPr>
          <w:i/>
          <w:iCs/>
        </w:rPr>
        <w:t>McCoy v. Louisiana</w:t>
      </w:r>
      <w:r w:rsidRPr="004348E2">
        <w:t xml:space="preserve"> (2018) 584</w:t>
      </w:r>
      <w:r w:rsidR="00256336">
        <w:t> </w:t>
      </w:r>
      <w:r w:rsidRPr="004348E2">
        <w:t>U.S. 414, 421 (</w:t>
      </w:r>
      <w:r w:rsidRPr="004348E2">
        <w:rPr>
          <w:i/>
          <w:iCs/>
        </w:rPr>
        <w:t>McCoy</w:t>
      </w:r>
      <w:r w:rsidRPr="004348E2">
        <w:t xml:space="preserve">).)  As the </w:t>
      </w:r>
      <w:r w:rsidRPr="004348E2">
        <w:rPr>
          <w:i/>
          <w:iCs/>
        </w:rPr>
        <w:t>McCoy</w:t>
      </w:r>
      <w:r w:rsidRPr="004348E2">
        <w:t xml:space="preserve"> court explained, “To gain assistance, a defendant need not surrender control entirely to counsel.”  (</w:t>
      </w:r>
      <w:r w:rsidRPr="004348E2">
        <w:rPr>
          <w:i/>
          <w:iCs/>
        </w:rPr>
        <w:t>Ibid</w:t>
      </w:r>
      <w:r w:rsidRPr="004348E2">
        <w:t>.)  “Some decisions . . </w:t>
      </w:r>
      <w:r w:rsidRPr="004348E2">
        <w:t>. are reserved for the client — notably, whether to plead guilty, waive the right to a jury trial, testify in one’s own behalf, and forgo an appeal.”  (</w:t>
      </w:r>
      <w:r w:rsidRPr="004348E2">
        <w:rPr>
          <w:i/>
          <w:iCs/>
        </w:rPr>
        <w:t>Id</w:t>
      </w:r>
      <w:r w:rsidRPr="004348E2">
        <w:t>. at p. 422.)  “Autonomy to decide that the objective of the defense is to assert innocence belongs in</w:t>
      </w:r>
      <w:r w:rsidRPr="004348E2">
        <w:t xml:space="preserve"> this . . . category.”  (</w:t>
      </w:r>
      <w:r w:rsidRPr="004348E2">
        <w:rPr>
          <w:i/>
          <w:iCs/>
        </w:rPr>
        <w:t>Ibid</w:t>
      </w:r>
      <w:r w:rsidRPr="004348E2">
        <w:t>.)</w:t>
      </w:r>
      <w:r w:rsidR="00666EFC">
        <w:t xml:space="preserve">  </w:t>
      </w:r>
    </w:p>
    <w:p w:rsidR="004348E2" w:rsidRPr="004348E2" w:rsidP="004348E2" w14:paraId="7CF3B267" w14:textId="62D68165">
      <w:pPr>
        <w:ind w:firstLine="720"/>
      </w:pPr>
      <w:r w:rsidRPr="004348E2">
        <w:t xml:space="preserve">At the same time, the </w:t>
      </w:r>
      <w:r w:rsidRPr="004348E2">
        <w:rPr>
          <w:i/>
          <w:iCs/>
        </w:rPr>
        <w:t>McCoy</w:t>
      </w:r>
      <w:r w:rsidRPr="004348E2">
        <w:t xml:space="preserve"> court also reaffirmed that “[t]rial management is the lawyer’s province,” and thus counsel may decide “ ‘what arguments to pursue, what evidentiary objections to raise, and what agreements to co</w:t>
      </w:r>
      <w:r w:rsidRPr="004348E2">
        <w:t>nclude regarding the admission of evidence.’ ”  (</w:t>
      </w:r>
      <w:r w:rsidRPr="004348E2">
        <w:rPr>
          <w:i/>
          <w:iCs/>
        </w:rPr>
        <w:t>McCoy</w:t>
      </w:r>
      <w:r w:rsidRPr="004348E2">
        <w:t xml:space="preserve">, </w:t>
      </w:r>
      <w:r w:rsidRPr="004348E2">
        <w:rPr>
          <w:i/>
          <w:iCs/>
        </w:rPr>
        <w:t>supra</w:t>
      </w:r>
      <w:r w:rsidRPr="004348E2">
        <w:t>, 584</w:t>
      </w:r>
      <w:r w:rsidR="00256336">
        <w:t> </w:t>
      </w:r>
      <w:r w:rsidRPr="004348E2">
        <w:t>U.S. at p. 422.)  The high court also made clear that “[p]reserving for the defendant the ability to decide whether to maintain his innocence should not displace counsel’s . . . trial manag</w:t>
      </w:r>
      <w:r w:rsidRPr="004348E2">
        <w:t>ement role[].”  (</w:t>
      </w:r>
      <w:r w:rsidRPr="004348E2">
        <w:rPr>
          <w:i/>
          <w:iCs/>
        </w:rPr>
        <w:t>Id</w:t>
      </w:r>
      <w:r w:rsidRPr="004348E2">
        <w:t xml:space="preserve">. at p. 423; see </w:t>
      </w:r>
      <w:r w:rsidRPr="004348E2">
        <w:rPr>
          <w:i/>
          <w:iCs/>
        </w:rPr>
        <w:t>ibid</w:t>
      </w:r>
      <w:r w:rsidRPr="004348E2">
        <w:t>. [“ ‘[N]umerous choices affecting conduct of the trial’ do not require client consent, including ‘the objections to make, the witnesses to call, and the arguments to advance’ ”].)</w:t>
      </w:r>
      <w:r w:rsidR="00666EFC">
        <w:t xml:space="preserve">  </w:t>
      </w:r>
    </w:p>
    <w:p w:rsidR="004348E2" w:rsidRPr="004348E2" w:rsidP="004348E2" w14:paraId="2C1004DE" w14:textId="517AF288">
      <w:pPr>
        <w:ind w:firstLine="720"/>
      </w:pPr>
      <w:r w:rsidRPr="004348E2">
        <w:t xml:space="preserve">In </w:t>
      </w:r>
      <w:r w:rsidRPr="004348E2">
        <w:rPr>
          <w:i/>
          <w:iCs/>
        </w:rPr>
        <w:t>McCoy</w:t>
      </w:r>
      <w:r w:rsidRPr="004348E2">
        <w:t xml:space="preserve">, the defendant shot and </w:t>
      </w:r>
      <w:r w:rsidRPr="004348E2">
        <w:t>killed his estranged wife’s mother, stepfather, and son.  (</w:t>
      </w:r>
      <w:r w:rsidRPr="004348E2">
        <w:rPr>
          <w:i/>
          <w:iCs/>
        </w:rPr>
        <w:t>McCoy</w:t>
      </w:r>
      <w:r w:rsidRPr="004348E2">
        <w:t xml:space="preserve">, </w:t>
      </w:r>
      <w:r w:rsidRPr="004348E2">
        <w:rPr>
          <w:i/>
          <w:iCs/>
        </w:rPr>
        <w:t>supra</w:t>
      </w:r>
      <w:r w:rsidRPr="004348E2">
        <w:t>, 584</w:t>
      </w:r>
      <w:r w:rsidR="00256336">
        <w:t> </w:t>
      </w:r>
      <w:r w:rsidRPr="004348E2">
        <w:t>U.S. at p. 418.)  He was charged with three counts of first degree murder and the prosecutor sought the death penalty.  (</w:t>
      </w:r>
      <w:r w:rsidRPr="004348E2">
        <w:rPr>
          <w:i/>
          <w:iCs/>
        </w:rPr>
        <w:t>Ibid</w:t>
      </w:r>
      <w:r w:rsidRPr="004348E2">
        <w:t>.)  Defense counsel concluded that, given the state of</w:t>
      </w:r>
      <w:r w:rsidRPr="004348E2">
        <w:t xml:space="preserve"> the evidence, “absent a concession at the guilt stage that [the defendant] was the killer, a death sentence would be impossible to avoid at the penalty phase.”  (</w:t>
      </w:r>
      <w:r w:rsidRPr="004348E2">
        <w:rPr>
          <w:i/>
          <w:iCs/>
        </w:rPr>
        <w:t>Ibid</w:t>
      </w:r>
      <w:r w:rsidRPr="004348E2">
        <w:t>.)  Accordingly, counsel told the jury in his guilt phase opening statement that “the evi</w:t>
      </w:r>
      <w:r w:rsidRPr="004348E2">
        <w:t>dence is ‘unambiguous,’ [that] ‘my client committed three murders.’ ”  (</w:t>
      </w:r>
      <w:r w:rsidRPr="004348E2">
        <w:rPr>
          <w:i/>
          <w:iCs/>
        </w:rPr>
        <w:t>Id</w:t>
      </w:r>
      <w:r w:rsidRPr="004348E2">
        <w:t>. at pp. 419–420.)  Outside the presence of the jury, the defendant objected to the concession, telling the court that his counsel was “ ‘selling [him] out.’ ”  (</w:t>
      </w:r>
      <w:r w:rsidRPr="004348E2">
        <w:rPr>
          <w:i/>
          <w:iCs/>
        </w:rPr>
        <w:t>Id</w:t>
      </w:r>
      <w:r w:rsidRPr="004348E2">
        <w:t>. at p. 419.)  The</w:t>
      </w:r>
      <w:r w:rsidRPr="004348E2">
        <w:t xml:space="preserve"> defendant also testified in his own defense, maintained his innocence, and raised an alibi defense.  (</w:t>
      </w:r>
      <w:r w:rsidRPr="004348E2">
        <w:rPr>
          <w:i/>
          <w:iCs/>
        </w:rPr>
        <w:t>Id</w:t>
      </w:r>
      <w:r w:rsidRPr="004348E2">
        <w:t>. at p. 420.)  After the jury returned three death verdicts, the Louisiana Supreme Court affirmed, concluding defense counsel had the authority to conc</w:t>
      </w:r>
      <w:r w:rsidRPr="004348E2">
        <w:t>ede the defendant’s guilt, notwithstanding the defendant’s opposition to his counsel’s concession.  (</w:t>
      </w:r>
      <w:r w:rsidRPr="004348E2">
        <w:rPr>
          <w:i/>
          <w:iCs/>
        </w:rPr>
        <w:t>Ibid</w:t>
      </w:r>
      <w:r w:rsidRPr="004348E2">
        <w:t>.)</w:t>
      </w:r>
      <w:r w:rsidR="00666EFC">
        <w:t xml:space="preserve">  </w:t>
      </w:r>
    </w:p>
    <w:p w:rsidR="004348E2" w:rsidRPr="004348E2" w:rsidP="004348E2" w14:paraId="7D977E67" w14:textId="28D65D90">
      <w:pPr>
        <w:ind w:firstLine="720"/>
      </w:pPr>
      <w:r w:rsidRPr="004348E2">
        <w:t>In rejecting the state supreme court’s conclusion, the United States Supreme Court held “that a defendant has the right to insist that counsel ref</w:t>
      </w:r>
      <w:r w:rsidRPr="004348E2">
        <w:t>rain from admitting guilt, even when counsel’s experienced-based view is that confessing guilt offers the defendant the best chance to avoid the death penalty.”  (</w:t>
      </w:r>
      <w:r w:rsidRPr="004348E2">
        <w:rPr>
          <w:i/>
          <w:iCs/>
        </w:rPr>
        <w:t>McCoy</w:t>
      </w:r>
      <w:r w:rsidRPr="004348E2">
        <w:t xml:space="preserve">, </w:t>
      </w:r>
      <w:r w:rsidRPr="004348E2">
        <w:rPr>
          <w:i/>
          <w:iCs/>
        </w:rPr>
        <w:t>supra</w:t>
      </w:r>
      <w:r w:rsidRPr="004348E2">
        <w:t>,</w:t>
      </w:r>
      <w:r w:rsidRPr="004348E2">
        <w:rPr>
          <w:i/>
          <w:iCs/>
        </w:rPr>
        <w:t xml:space="preserve"> </w:t>
      </w:r>
      <w:r w:rsidRPr="004348E2">
        <w:t>584</w:t>
      </w:r>
      <w:r w:rsidR="00256336">
        <w:t> </w:t>
      </w:r>
      <w:r w:rsidRPr="004348E2">
        <w:t>U.S. at p. 417.)  The court reasoned, “With individual liberty — and, in ca</w:t>
      </w:r>
      <w:r w:rsidRPr="004348E2">
        <w:t xml:space="preserve">pital cases, life — at stake, it is the defendant’s prerogative, not counsel’s, to decide on the objective of his defense:  to admit guilt in the hope of gaining mercy at the sentencing stage, or to maintain his innocence, leaving it to the State to prove </w:t>
      </w:r>
      <w:r w:rsidRPr="004348E2">
        <w:t>his guilt beyond a reasonable doubt.”  (</w:t>
      </w:r>
      <w:r w:rsidRPr="004348E2">
        <w:rPr>
          <w:i/>
          <w:iCs/>
        </w:rPr>
        <w:t>Id</w:t>
      </w:r>
      <w:r w:rsidRPr="004348E2">
        <w:t xml:space="preserve">. at pp. 417–418.)  </w:t>
      </w:r>
    </w:p>
    <w:p w:rsidR="004348E2" w:rsidRPr="004348E2" w:rsidP="004348E2" w14:paraId="37D939BE" w14:textId="77777777">
      <w:pPr>
        <w:ind w:firstLine="720"/>
      </w:pPr>
      <w:r w:rsidRPr="004348E2">
        <w:t xml:space="preserve">The </w:t>
      </w:r>
      <w:r w:rsidRPr="004348E2">
        <w:rPr>
          <w:i/>
          <w:iCs/>
        </w:rPr>
        <w:t>McCoy</w:t>
      </w:r>
      <w:r w:rsidRPr="004348E2">
        <w:t xml:space="preserve"> court further explained that “the violation of [the defendant’s] protected autonomy right was complete when the court allowed counsel to usurp control of an issue within [the defendan</w:t>
      </w:r>
      <w:r w:rsidRPr="004348E2">
        <w:t>t’s] sole prerogative.”  (</w:t>
      </w:r>
      <w:r w:rsidRPr="004348E2">
        <w:rPr>
          <w:i/>
          <w:iCs/>
        </w:rPr>
        <w:t>McCoy</w:t>
      </w:r>
      <w:r w:rsidRPr="004348E2">
        <w:t xml:space="preserve">, </w:t>
      </w:r>
      <w:r w:rsidRPr="004348E2">
        <w:rPr>
          <w:i/>
          <w:iCs/>
        </w:rPr>
        <w:t>supra</w:t>
      </w:r>
      <w:r w:rsidRPr="004348E2">
        <w:t>,</w:t>
      </w:r>
      <w:r w:rsidRPr="004348E2">
        <w:rPr>
          <w:i/>
          <w:iCs/>
        </w:rPr>
        <w:t xml:space="preserve"> </w:t>
      </w:r>
      <w:r w:rsidRPr="004348E2">
        <w:t>584 U.S. at pp. 426–427.)  Describing the error as structural (</w:t>
      </w:r>
      <w:r w:rsidRPr="004348E2">
        <w:rPr>
          <w:i/>
          <w:iCs/>
        </w:rPr>
        <w:t>id</w:t>
      </w:r>
      <w:r w:rsidRPr="004348E2">
        <w:t xml:space="preserve">. at p. 427), the </w:t>
      </w:r>
      <w:r w:rsidRPr="004348E2">
        <w:rPr>
          <w:i/>
          <w:iCs/>
        </w:rPr>
        <w:t>McCoy</w:t>
      </w:r>
      <w:r w:rsidRPr="004348E2">
        <w:t xml:space="preserve"> court reasoned that counsel’s admission “block[ed] the defendant’s right to make the fundamental choices about his own defense,</w:t>
      </w:r>
      <w:r w:rsidRPr="004348E2">
        <w:t>” and “a jury would almost certainly be swayed by a lawyer’s concession of his client’s guilt.”  (</w:t>
      </w:r>
      <w:r w:rsidRPr="004348E2">
        <w:rPr>
          <w:i/>
          <w:iCs/>
        </w:rPr>
        <w:t>Id</w:t>
      </w:r>
      <w:r w:rsidRPr="004348E2">
        <w:t xml:space="preserve">. at p. 428.)  </w:t>
      </w:r>
    </w:p>
    <w:p w:rsidR="004348E2" w:rsidRPr="004348E2" w:rsidP="004348E2" w14:paraId="2388FF79" w14:textId="1614984F">
      <w:pPr>
        <w:ind w:firstLine="720"/>
      </w:pPr>
      <w:r w:rsidRPr="004348E2">
        <w:t xml:space="preserve">In </w:t>
      </w:r>
      <w:r w:rsidRPr="004348E2">
        <w:rPr>
          <w:i/>
          <w:iCs/>
        </w:rPr>
        <w:t>Bloo</w:t>
      </w:r>
      <w:r w:rsidR="00E85329">
        <w:rPr>
          <w:i/>
          <w:iCs/>
        </w:rPr>
        <w:t>m</w:t>
      </w:r>
      <w:r w:rsidR="00E85329">
        <w:t xml:space="preserve">, </w:t>
      </w:r>
      <w:r w:rsidRPr="00E85329" w:rsidR="00E85329">
        <w:rPr>
          <w:i/>
          <w:iCs/>
        </w:rPr>
        <w:t>supra</w:t>
      </w:r>
      <w:r w:rsidR="00E85329">
        <w:t>,</w:t>
      </w:r>
      <w:r w:rsidRPr="004348E2">
        <w:t xml:space="preserve"> 12</w:t>
      </w:r>
      <w:r w:rsidR="00256336">
        <w:t> </w:t>
      </w:r>
      <w:r w:rsidRPr="004348E2">
        <w:t xml:space="preserve">Cal.5th 1008, we applied </w:t>
      </w:r>
      <w:r w:rsidRPr="004348E2">
        <w:rPr>
          <w:i/>
          <w:iCs/>
        </w:rPr>
        <w:t>McCoy</w:t>
      </w:r>
      <w:r w:rsidRPr="004348E2">
        <w:t xml:space="preserve"> in concluding that counsel’s decision to concede the defendant had killed two victims, despite the defendant’s opposition to such concession, “violated [the defendant’s] right to determine the objectives of the defense and maintain complete innocence as t</w:t>
      </w:r>
      <w:r w:rsidRPr="004348E2">
        <w:t>o these counts.”  (</w:t>
      </w:r>
      <w:r w:rsidRPr="004348E2">
        <w:rPr>
          <w:i/>
          <w:iCs/>
        </w:rPr>
        <w:t>Id</w:t>
      </w:r>
      <w:r w:rsidRPr="004348E2">
        <w:t xml:space="preserve">. at p. 1036.)  However, we concluded that “there was no </w:t>
      </w:r>
      <w:r w:rsidRPr="004348E2">
        <w:rPr>
          <w:i/>
          <w:iCs/>
        </w:rPr>
        <w:t>McCoy</w:t>
      </w:r>
      <w:r w:rsidRPr="004348E2">
        <w:t xml:space="preserve"> violation” in connection with a murder charge as to a third victim as to which the defendant “conceded his responsibility.”  (</w:t>
      </w:r>
      <w:r w:rsidRPr="004348E2">
        <w:rPr>
          <w:i/>
          <w:iCs/>
        </w:rPr>
        <w:t>Id</w:t>
      </w:r>
      <w:r w:rsidRPr="004348E2">
        <w:t>.</w:t>
      </w:r>
      <w:r w:rsidRPr="003A1195">
        <w:t xml:space="preserve"> </w:t>
      </w:r>
      <w:r w:rsidRPr="004348E2">
        <w:t xml:space="preserve">at p. 1040.)  We explained that, under </w:t>
      </w:r>
      <w:r w:rsidRPr="004348E2">
        <w:rPr>
          <w:i/>
          <w:iCs/>
        </w:rPr>
        <w:t>McC</w:t>
      </w:r>
      <w:r w:rsidRPr="004348E2">
        <w:rPr>
          <w:i/>
          <w:iCs/>
        </w:rPr>
        <w:t>oy</w:t>
      </w:r>
      <w:r w:rsidRPr="004348E2">
        <w:t>, “counsel’s presentation of a mental capacity defense on this count, in the absence of a clearly objected-to admission of criminal liability, did not give rise to a Sixth Amendment violation.”  (</w:t>
      </w:r>
      <w:r w:rsidRPr="004348E2">
        <w:rPr>
          <w:i/>
          <w:iCs/>
        </w:rPr>
        <w:t>Ibid</w:t>
      </w:r>
      <w:r w:rsidRPr="004348E2">
        <w:t>.)  Thus, since the defendant did not contest his resp</w:t>
      </w:r>
      <w:r w:rsidRPr="004348E2">
        <w:t>onsibility for killing the third victim, “counsel did not violate the Sixth Amendment by presenting a mental state defense to first degree murder, even though [the defendant] did not wish for counsel to present the defense.”  (</w:t>
      </w:r>
      <w:r w:rsidRPr="004348E2">
        <w:rPr>
          <w:i/>
          <w:iCs/>
        </w:rPr>
        <w:t>Id</w:t>
      </w:r>
      <w:r w:rsidRPr="004348E2">
        <w:t xml:space="preserve">. at p. 1041.)  </w:t>
      </w:r>
    </w:p>
    <w:p w:rsidR="004348E2" w:rsidRPr="004348E2" w:rsidP="00802A09" w14:paraId="59BD8971" w14:textId="77777777">
      <w:pPr>
        <w:pStyle w:val="Heading3"/>
        <w:tabs>
          <w:tab w:val="clear" w:pos="1584"/>
        </w:tabs>
      </w:pPr>
      <w:r w:rsidRPr="00E86428">
        <w:rPr>
          <w:i w:val="0"/>
          <w:iCs/>
        </w:rPr>
        <w:t>2.</w:t>
      </w:r>
      <w:r w:rsidRPr="004348E2">
        <w:t xml:space="preserve">  Applic</w:t>
      </w:r>
      <w:r w:rsidRPr="004348E2">
        <w:t>ation</w:t>
      </w:r>
    </w:p>
    <w:p w:rsidR="004348E2" w:rsidRPr="004348E2" w:rsidP="004348E2" w14:paraId="574E8EA3" w14:textId="14527657">
      <w:pPr>
        <w:ind w:firstLine="720"/>
      </w:pPr>
      <w:r w:rsidRPr="004348E2">
        <w:t xml:space="preserve">Defendant claims the trial court violated his Sixth Amendment right to autonomy by permitting his counsel to present certain categories of evidence to the jury during the penalty phase, over </w:t>
      </w:r>
      <w:r w:rsidR="00FD32D0">
        <w:t>his</w:t>
      </w:r>
      <w:r w:rsidRPr="004348E2">
        <w:t xml:space="preserve"> objection.  The evidence related to “attachment theory </w:t>
      </w:r>
      <w:r w:rsidRPr="004348E2">
        <w:t>and [defendant’s] dysfunctional childhood,” “a comparison [of defendant] to his half-brother,” “mental impairment or mental illness,” and “purported molestation by [defendant’s] uncle when he was a child.”</w:t>
      </w:r>
      <w:r>
        <w:rPr>
          <w:b/>
          <w:vertAlign w:val="superscript"/>
        </w:rPr>
        <w:footnoteReference w:id="33"/>
      </w:r>
      <w:r w:rsidRPr="004348E2">
        <w:t xml:space="preserve"> </w:t>
      </w:r>
      <w:r w:rsidR="00666EFC">
        <w:t xml:space="preserve"> </w:t>
      </w:r>
    </w:p>
    <w:p w:rsidR="004348E2" w:rsidP="004348E2" w14:paraId="7BC2F434" w14:textId="34FC68B1">
      <w:pPr>
        <w:ind w:firstLine="720"/>
      </w:pPr>
      <w:r w:rsidRPr="004348E2">
        <w:rPr>
          <w:i/>
          <w:iCs/>
        </w:rPr>
        <w:t>McCoy</w:t>
      </w:r>
      <w:r w:rsidRPr="004348E2">
        <w:t xml:space="preserve"> itself suggests that defendant’s claim f</w:t>
      </w:r>
      <w:r w:rsidRPr="004348E2">
        <w:t xml:space="preserve">ails.  The </w:t>
      </w:r>
      <w:r w:rsidRPr="004348E2">
        <w:rPr>
          <w:i/>
          <w:iCs/>
        </w:rPr>
        <w:t>McCoy</w:t>
      </w:r>
      <w:r w:rsidRPr="004348E2">
        <w:t xml:space="preserve"> court twice emphasized that a criminal defendant’s Sixth Amendment autonomy right does not encompass tactical evidentiary decisions that the law has long since reserved for a defendant’s counsel.  First, as previously noted, the </w:t>
      </w:r>
      <w:r w:rsidRPr="004348E2">
        <w:rPr>
          <w:i/>
          <w:iCs/>
        </w:rPr>
        <w:t>McCoy</w:t>
      </w:r>
      <w:r w:rsidRPr="004348E2">
        <w:t xml:space="preserve"> cour</w:t>
      </w:r>
      <w:r w:rsidRPr="004348E2">
        <w:t>t reaffirmed that counsel may decide “ ‘what arguments to pursue, what evidentiary objections to raise, and what agreements to conclude regarding the admission of evidence.’ ”  (</w:t>
      </w:r>
      <w:r w:rsidRPr="004348E2">
        <w:rPr>
          <w:i/>
          <w:iCs/>
        </w:rPr>
        <w:t>McCoy</w:t>
      </w:r>
      <w:r w:rsidRPr="004348E2">
        <w:t xml:space="preserve">, </w:t>
      </w:r>
      <w:r w:rsidRPr="004348E2">
        <w:rPr>
          <w:i/>
          <w:iCs/>
        </w:rPr>
        <w:t>supra</w:t>
      </w:r>
      <w:r w:rsidRPr="004348E2">
        <w:t xml:space="preserve">, 584 U.S. at p. 422.)  Second, the </w:t>
      </w:r>
      <w:r w:rsidRPr="004348E2">
        <w:rPr>
          <w:i/>
          <w:iCs/>
        </w:rPr>
        <w:t>McCoy</w:t>
      </w:r>
      <w:r w:rsidRPr="004348E2">
        <w:t xml:space="preserve"> court explained that its</w:t>
      </w:r>
      <w:r w:rsidRPr="004348E2">
        <w:t xml:space="preserve"> recognition of a limited right in a defendant to “decide whether to maintain his innocence” (</w:t>
      </w:r>
      <w:r w:rsidR="00C331CB">
        <w:rPr>
          <w:i/>
          <w:iCs/>
        </w:rPr>
        <w:t>i</w:t>
      </w:r>
      <w:r w:rsidR="00A7148F">
        <w:rPr>
          <w:i/>
          <w:iCs/>
        </w:rPr>
        <w:t>d</w:t>
      </w:r>
      <w:r w:rsidRPr="00A7148F" w:rsidR="00A7148F">
        <w:t>.</w:t>
      </w:r>
      <w:r w:rsidRPr="004348E2">
        <w:t xml:space="preserve"> at p. 423) would not displace counsel’s “trial management role[]” (</w:t>
      </w:r>
      <w:r w:rsidRPr="004348E2">
        <w:rPr>
          <w:i/>
          <w:iCs/>
        </w:rPr>
        <w:t>ibid</w:t>
      </w:r>
      <w:r w:rsidRPr="004348E2">
        <w:t>.), and it supported this point by noting that a client need not consent to counsel’s d</w:t>
      </w:r>
      <w:r w:rsidRPr="004348E2">
        <w:t>etermination of “the witnesses to call”</w:t>
      </w:r>
      <w:r w:rsidR="00C331CB">
        <w:t xml:space="preserve"> </w:t>
      </w:r>
      <w:r w:rsidRPr="004348E2">
        <w:t>(</w:t>
      </w:r>
      <w:r w:rsidR="006B3871">
        <w:rPr>
          <w:i/>
          <w:iCs/>
        </w:rPr>
        <w:t>i</w:t>
      </w:r>
      <w:r w:rsidRPr="004348E2">
        <w:rPr>
          <w:i/>
          <w:iCs/>
        </w:rPr>
        <w:t>bid</w:t>
      </w:r>
      <w:r w:rsidRPr="004348E2">
        <w:t>.</w:t>
      </w:r>
      <w:r w:rsidR="00666EFC">
        <w:t xml:space="preserve">).  </w:t>
      </w:r>
    </w:p>
    <w:p w:rsidR="004348E2" w:rsidRPr="004348E2" w:rsidP="004348E2" w14:paraId="011F6BCD" w14:textId="48F4E269">
      <w:pPr>
        <w:ind w:firstLine="720"/>
      </w:pPr>
      <w:r w:rsidRPr="004348E2">
        <w:t xml:space="preserve">Given the </w:t>
      </w:r>
      <w:r w:rsidRPr="004348E2">
        <w:rPr>
          <w:i/>
          <w:iCs/>
        </w:rPr>
        <w:t>McCoy</w:t>
      </w:r>
      <w:r w:rsidRPr="004348E2">
        <w:t xml:space="preserve"> court’s repeated acknowledgment that defense counsel retains authority to determine the evidence to be proffered in a criminal trial, </w:t>
      </w:r>
      <w:r w:rsidRPr="004348E2">
        <w:rPr>
          <w:i/>
          <w:iCs/>
        </w:rPr>
        <w:t>McCoy</w:t>
      </w:r>
      <w:r w:rsidRPr="004348E2">
        <w:t xml:space="preserve"> does not support defendant’s argument that counsel lacks the authority to present mitigating evidence over a defend</w:t>
      </w:r>
      <w:r w:rsidRPr="004348E2">
        <w:t>ant’s objection at the penalty phase of a capital trial.  To adopt defendant’s claim that he has the authority to veto his counsel’s tactical decision to present certain mitigating evidence would allow him to displace counsel’s “trial management role[],” a</w:t>
      </w:r>
      <w:r w:rsidRPr="004348E2">
        <w:t xml:space="preserve">nd thereby countermand </w:t>
      </w:r>
      <w:r w:rsidRPr="004348E2">
        <w:rPr>
          <w:i/>
          <w:iCs/>
        </w:rPr>
        <w:t>McCoy</w:t>
      </w:r>
      <w:r w:rsidRPr="004348E2">
        <w:t>’s delineation of the scope of a defendant’s Sixth Amendment autonomy right.  (</w:t>
      </w:r>
      <w:r w:rsidRPr="004348E2">
        <w:rPr>
          <w:i/>
          <w:iCs/>
        </w:rPr>
        <w:t>McCoy</w:t>
      </w:r>
      <w:r w:rsidRPr="004348E2">
        <w:t xml:space="preserve">, </w:t>
      </w:r>
      <w:r w:rsidRPr="004348E2">
        <w:rPr>
          <w:i/>
          <w:iCs/>
        </w:rPr>
        <w:t>supra</w:t>
      </w:r>
      <w:r w:rsidRPr="004348E2">
        <w:t>, 584 U.S. at p. 423.)</w:t>
      </w:r>
      <w:r w:rsidR="00666EFC">
        <w:t xml:space="preserve">  </w:t>
      </w:r>
    </w:p>
    <w:p w:rsidR="004348E2" w:rsidRPr="004348E2" w:rsidP="004348E2" w14:paraId="2D774328" w14:textId="399883B9">
      <w:pPr>
        <w:ind w:firstLine="720"/>
      </w:pPr>
      <w:r w:rsidRPr="004348E2">
        <w:t xml:space="preserve">The </w:t>
      </w:r>
      <w:r w:rsidRPr="004348E2">
        <w:rPr>
          <w:i/>
          <w:iCs/>
        </w:rPr>
        <w:t>McCoy</w:t>
      </w:r>
      <w:r w:rsidRPr="004348E2">
        <w:t xml:space="preserve"> court concluded that a criminal defendant’s right to insist that his counsel not concede his guilt is </w:t>
      </w:r>
      <w:r w:rsidRPr="004348E2">
        <w:t>among the “fundamental choices about his own defense” reserved to a defendant by the Sixth Amendment.  (</w:t>
      </w:r>
      <w:r w:rsidRPr="004348E2">
        <w:rPr>
          <w:i/>
          <w:iCs/>
        </w:rPr>
        <w:t>McCoy</w:t>
      </w:r>
      <w:r w:rsidRPr="004348E2">
        <w:t xml:space="preserve">, </w:t>
      </w:r>
      <w:r w:rsidRPr="004348E2">
        <w:rPr>
          <w:i/>
          <w:iCs/>
        </w:rPr>
        <w:t>supra</w:t>
      </w:r>
      <w:r w:rsidRPr="004348E2">
        <w:t xml:space="preserve">, 584 U.S. at p. 428.)  But those fundamental choices are limited and are not implicated here.  </w:t>
      </w:r>
      <w:r w:rsidR="001A36EE">
        <w:t>U</w:t>
      </w:r>
      <w:r w:rsidRPr="001A36EE" w:rsidR="001A36EE">
        <w:t xml:space="preserve">nlike </w:t>
      </w:r>
      <w:r w:rsidR="001A36EE">
        <w:t xml:space="preserve">in </w:t>
      </w:r>
      <w:r w:rsidRPr="001A36EE" w:rsidR="001A36EE">
        <w:rPr>
          <w:i/>
          <w:iCs/>
        </w:rPr>
        <w:t>McCoy</w:t>
      </w:r>
      <w:r w:rsidRPr="001A36EE" w:rsidR="001A36EE">
        <w:t>, counsel here did not expressly contradict his own client’s sworn testimony.</w:t>
      </w:r>
      <w:r w:rsidR="001A36EE">
        <w:t xml:space="preserve"> </w:t>
      </w:r>
      <w:r w:rsidR="000E6761">
        <w:t xml:space="preserve"> </w:t>
      </w:r>
      <w:r w:rsidRPr="004348E2">
        <w:t xml:space="preserve">As we explained in the wake of </w:t>
      </w:r>
      <w:r w:rsidRPr="004348E2">
        <w:rPr>
          <w:i/>
          <w:iCs/>
        </w:rPr>
        <w:t>McCoy</w:t>
      </w:r>
      <w:r w:rsidRPr="004348E2">
        <w:t>, “ ‘When a defendant chooses to be represented by professional counsel, that counsel is “captain of the ship” and can make all but a few fundamental decisions for the de</w:t>
      </w:r>
      <w:r w:rsidRPr="004348E2">
        <w:t>fendant.’ ”  (</w:t>
      </w:r>
      <w:r w:rsidRPr="004348E2">
        <w:rPr>
          <w:i/>
          <w:iCs/>
        </w:rPr>
        <w:t>Poore</w:t>
      </w:r>
      <w:r w:rsidR="0078562C">
        <w:t xml:space="preserve">, </w:t>
      </w:r>
      <w:r w:rsidRPr="0078562C" w:rsidR="0078562C">
        <w:rPr>
          <w:i/>
          <w:iCs/>
        </w:rPr>
        <w:t>supra</w:t>
      </w:r>
      <w:r w:rsidR="0078562C">
        <w:t>,</w:t>
      </w:r>
      <w:r w:rsidRPr="004348E2">
        <w:t xml:space="preserve"> 13 Cal.5th </w:t>
      </w:r>
      <w:r w:rsidR="0078562C">
        <w:t>at p. </w:t>
      </w:r>
      <w:r w:rsidRPr="004348E2">
        <w:t xml:space="preserve">307 [“Defendant had no right to control </w:t>
      </w:r>
      <w:r w:rsidRPr="004348E2">
        <w:rPr>
          <w:i/>
          <w:iCs/>
        </w:rPr>
        <w:t>how</w:t>
      </w:r>
      <w:r w:rsidRPr="004348E2">
        <w:t xml:space="preserve"> his lawyer would present a defense if he chose one because </w:t>
      </w:r>
      <w:r w:rsidR="00854695">
        <w:t>‘</w:t>
      </w:r>
      <w:r w:rsidRPr="004348E2">
        <w:t>[t]rial management is the lawyer’s province,</w:t>
      </w:r>
      <w:r w:rsidR="00854695">
        <w:t>’ </w:t>
      </w:r>
      <w:r w:rsidRPr="004348E2">
        <w:t xml:space="preserve">” citing </w:t>
      </w:r>
      <w:r w:rsidRPr="004348E2">
        <w:rPr>
          <w:i/>
          <w:iCs/>
        </w:rPr>
        <w:t>McCoy</w:t>
      </w:r>
      <w:r w:rsidRPr="004348E2">
        <w:t>].)</w:t>
      </w:r>
      <w:r>
        <w:rPr>
          <w:b/>
          <w:vertAlign w:val="superscript"/>
        </w:rPr>
        <w:footnoteReference w:id="34"/>
      </w:r>
      <w:r w:rsidRPr="004348E2">
        <w:t xml:space="preserve">  </w:t>
      </w:r>
    </w:p>
    <w:p w:rsidR="005728B5" w:rsidP="00437B80" w14:paraId="70F7A575" w14:textId="79F177A5">
      <w:pPr>
        <w:ind w:firstLine="720"/>
      </w:pPr>
      <w:r w:rsidRPr="004348E2">
        <w:t xml:space="preserve">We are not persuaded by </w:t>
      </w:r>
      <w:r w:rsidRPr="004348E2">
        <w:t>defendant’s attempt to relabel his disagreement</w:t>
      </w:r>
      <w:r w:rsidR="00502D32">
        <w:t>s</w:t>
      </w:r>
      <w:r w:rsidRPr="004348E2">
        <w:t xml:space="preserve"> with counsel over the presentation of evidence as pertaining to the </w:t>
      </w:r>
      <w:r w:rsidRPr="004348E2">
        <w:rPr>
          <w:i/>
          <w:iCs/>
        </w:rPr>
        <w:t>objective</w:t>
      </w:r>
      <w:r w:rsidRPr="004348E2">
        <w:t xml:space="preserve"> of his penalty phase defense.  Defendant argues that his objective “was to avoid a death sentence by putting on a penalty defense</w:t>
      </w:r>
      <w:r w:rsidRPr="004348E2">
        <w:t xml:space="preserve"> that did not require presenting himself as mentally deficient, slandering a family member, or otherwise presenting intimate and possibly repugnant details about his life, background, and family.”  The Fourth Circuit rejected a similar claim in </w:t>
      </w:r>
      <w:r w:rsidRPr="004348E2">
        <w:rPr>
          <w:i/>
          <w:iCs/>
        </w:rPr>
        <w:t>United Stat</w:t>
      </w:r>
      <w:r w:rsidRPr="004348E2">
        <w:rPr>
          <w:i/>
          <w:iCs/>
        </w:rPr>
        <w:t>es v. Roof</w:t>
      </w:r>
      <w:r w:rsidRPr="004348E2">
        <w:t xml:space="preserve"> (4th Cir. 2021) 10</w:t>
      </w:r>
      <w:r w:rsidR="00256336">
        <w:t> </w:t>
      </w:r>
      <w:r w:rsidRPr="004348E2">
        <w:t>F.4th 314 (</w:t>
      </w:r>
      <w:r w:rsidRPr="004348E2">
        <w:rPr>
          <w:i/>
          <w:iCs/>
        </w:rPr>
        <w:t>Roof</w:t>
      </w:r>
      <w:r w:rsidRPr="004348E2">
        <w:t xml:space="preserve">), aptly explaining:  “The presentation of mental health mitigation evidence is, in our view, ‘a classic tactical decision left to counsel . . . even when the client disagrees.’  [Citations.].  </w:t>
      </w:r>
      <w:r w:rsidRPr="004348E2">
        <w:rPr>
          <w:i/>
          <w:iCs/>
        </w:rPr>
        <w:t>McCoy</w:t>
      </w:r>
      <w:r w:rsidRPr="004348E2">
        <w:t xml:space="preserve"> does not su</w:t>
      </w:r>
      <w:r w:rsidRPr="004348E2">
        <w:t xml:space="preserve">bvert the long-established distinction between an objective and tactics . . . .  [The defendant]’s interpretation of </w:t>
      </w:r>
      <w:r w:rsidRPr="004348E2">
        <w:rPr>
          <w:i/>
          <w:iCs/>
        </w:rPr>
        <w:t>McCoy</w:t>
      </w:r>
      <w:r w:rsidRPr="004348E2">
        <w:t xml:space="preserve"> is flawed because it would leave little remaining in the tactics category by allowing defendants to define their objectives too speci</w:t>
      </w:r>
      <w:r w:rsidRPr="004348E2">
        <w:t>fically.  In other words, as the government rightly contends, [the defendant]’s position would allow a defendant to exercise significant control over most important aspects of his trial — such as the presentation of particular evidence, whether to speak to</w:t>
      </w:r>
      <w:r w:rsidRPr="004348E2">
        <w:t xml:space="preserve"> a specific witness, or whether to lodge an objection — as long as he declares a particular strategy or tactic to be of high priority and labels it an ‘objective.’  That cannot be.”  (</w:t>
      </w:r>
      <w:r w:rsidRPr="004348E2">
        <w:rPr>
          <w:i/>
          <w:iCs/>
        </w:rPr>
        <w:t>Id</w:t>
      </w:r>
      <w:r w:rsidRPr="004348E2">
        <w:t xml:space="preserve">. at pp. 352–353.)  </w:t>
      </w:r>
    </w:p>
    <w:p w:rsidR="0073073C" w:rsidP="004348E2" w14:paraId="0AFB454B" w14:textId="5973C3AA">
      <w:pPr>
        <w:ind w:firstLine="720"/>
      </w:pPr>
      <w:r w:rsidRPr="004348E2">
        <w:t xml:space="preserve">The same is true here — defendant’s disagreement </w:t>
      </w:r>
      <w:r w:rsidRPr="004348E2">
        <w:t>with counsel over the evidence to present during the penalty phase is not a disagreement “over the objectives of [the] defense . . . but instead over the ways to achieve those objectives.”  (</w:t>
      </w:r>
      <w:r w:rsidRPr="004348E2">
        <w:rPr>
          <w:i/>
          <w:iCs/>
        </w:rPr>
        <w:t xml:space="preserve">United States v. Audette </w:t>
      </w:r>
      <w:r w:rsidRPr="004348E2">
        <w:t>(9th Cir. 2019) 923</w:t>
      </w:r>
      <w:r w:rsidR="00256336">
        <w:t> </w:t>
      </w:r>
      <w:r w:rsidRPr="004348E2">
        <w:t xml:space="preserve">F.3d 1227, </w:t>
      </w:r>
      <w:r w:rsidRPr="004348E2">
        <w:t>1236.)</w:t>
      </w:r>
      <w:r w:rsidR="005728B5">
        <w:t xml:space="preserve">  </w:t>
      </w:r>
      <w:r>
        <w:t>Further</w:t>
      </w:r>
      <w:r w:rsidR="00D25628">
        <w:t>,</w:t>
      </w:r>
      <w:r>
        <w:t xml:space="preserve"> to adopt </w:t>
      </w:r>
      <w:r w:rsidR="00C9317A">
        <w:t>defendant’s</w:t>
      </w:r>
      <w:r>
        <w:t xml:space="preserve"> argument that </w:t>
      </w:r>
      <w:r w:rsidR="009D0F34">
        <w:t>he</w:t>
      </w:r>
      <w:r>
        <w:t xml:space="preserve"> maintain</w:t>
      </w:r>
      <w:r w:rsidR="009D0F34">
        <w:t>ed</w:t>
      </w:r>
      <w:r>
        <w:t xml:space="preserve"> </w:t>
      </w:r>
      <w:r w:rsidR="00A01B3B">
        <w:t>a</w:t>
      </w:r>
      <w:r w:rsidRPr="00147DE4" w:rsidR="00D74984">
        <w:t xml:space="preserve"> Sixth Amendment right to limit the presentation of </w:t>
      </w:r>
      <w:r w:rsidRPr="00147DE4" w:rsidR="007F32C2">
        <w:t xml:space="preserve">mitigation evidence </w:t>
      </w:r>
      <w:r w:rsidR="00E8599F">
        <w:t xml:space="preserve">to further </w:t>
      </w:r>
      <w:r w:rsidR="009D0F34">
        <w:t xml:space="preserve">his </w:t>
      </w:r>
      <w:r w:rsidR="00E8599F">
        <w:t>“</w:t>
      </w:r>
      <w:r w:rsidRPr="00E8599F" w:rsidR="00E8599F">
        <w:t>personal or non-tactical objectives</w:t>
      </w:r>
      <w:r w:rsidR="00E8599F">
        <w:t xml:space="preserve">” </w:t>
      </w:r>
      <w:r w:rsidR="008E0206">
        <w:t xml:space="preserve">would </w:t>
      </w:r>
      <w:r w:rsidR="003B1BB8">
        <w:t xml:space="preserve">seem to </w:t>
      </w:r>
      <w:r w:rsidR="004A6BC2">
        <w:t>require</w:t>
      </w:r>
      <w:r w:rsidR="00D877C7">
        <w:t xml:space="preserve">, as a practical matter, </w:t>
      </w:r>
      <w:r w:rsidR="008E0206">
        <w:t>enga</w:t>
      </w:r>
      <w:r w:rsidR="00231BF3">
        <w:t>g</w:t>
      </w:r>
      <w:r w:rsidR="003F0859">
        <w:t>ing</w:t>
      </w:r>
      <w:r w:rsidR="00231BF3">
        <w:t xml:space="preserve"> in </w:t>
      </w:r>
      <w:r w:rsidR="00FE767B">
        <w:t>the difficult task of</w:t>
      </w:r>
      <w:r w:rsidR="004A6BC2">
        <w:t xml:space="preserve"> determining the reasons for a defendant’s objection</w:t>
      </w:r>
      <w:r w:rsidR="00AB08D6">
        <w:t xml:space="preserve"> to the presentation of </w:t>
      </w:r>
      <w:r w:rsidR="00A7148F">
        <w:t>certain pieces of</w:t>
      </w:r>
      <w:r w:rsidR="00AB08D6">
        <w:t xml:space="preserve"> evidence</w:t>
      </w:r>
      <w:r w:rsidR="000D0B6C">
        <w:t xml:space="preserve">. </w:t>
      </w:r>
      <w:r w:rsidR="009D0F34">
        <w:t xml:space="preserve"> </w:t>
      </w:r>
      <w:r w:rsidRPr="00147DE4" w:rsidR="00D74984">
        <w:t xml:space="preserve">Such </w:t>
      </w:r>
      <w:r w:rsidR="000F1276">
        <w:t>line drawing</w:t>
      </w:r>
      <w:r w:rsidRPr="00147DE4" w:rsidR="00D74984">
        <w:t xml:space="preserve"> would be particularly fraught in the many instances in which a defendant’s objections are multifaceted and include a mix of tactical and nontactical rationales.</w:t>
      </w:r>
      <w:r w:rsidR="00BF50C2">
        <w:t xml:space="preserve">  </w:t>
      </w:r>
      <w:r w:rsidR="00D70B91">
        <w:t>Indeed, in this case</w:t>
      </w:r>
      <w:r w:rsidR="00023E16">
        <w:t xml:space="preserve">, with respect to </w:t>
      </w:r>
      <w:r w:rsidR="00F309A9">
        <w:t xml:space="preserve">mitigation </w:t>
      </w:r>
      <w:r w:rsidR="00023E16">
        <w:t>evidence pertaining to</w:t>
      </w:r>
      <w:r w:rsidR="005067BA">
        <w:t xml:space="preserve"> </w:t>
      </w:r>
      <w:r w:rsidR="00D55AB8">
        <w:t xml:space="preserve">attachment </w:t>
      </w:r>
      <w:r w:rsidR="00701646">
        <w:t>theory</w:t>
      </w:r>
      <w:r w:rsidR="009D0E65">
        <w:t>,</w:t>
      </w:r>
      <w:r w:rsidR="00D55AB8">
        <w:t xml:space="preserve"> </w:t>
      </w:r>
      <w:r w:rsidR="005067BA">
        <w:t xml:space="preserve">defendant </w:t>
      </w:r>
      <w:r w:rsidR="00D55AB8">
        <w:t>raise</w:t>
      </w:r>
      <w:r w:rsidR="00F309A9">
        <w:t>d</w:t>
      </w:r>
      <w:r w:rsidR="00D55AB8">
        <w:t xml:space="preserve"> objections that might be characterized as tactical (e.g., stating that the evidence was “likely to be considered by the jury as pure monkey business”) as well as </w:t>
      </w:r>
      <w:r w:rsidR="004778F8">
        <w:t>those that might be considered personal</w:t>
      </w:r>
      <w:r w:rsidR="00D55AB8">
        <w:t xml:space="preserve"> (e.g.</w:t>
      </w:r>
      <w:r w:rsidR="00B7305B">
        <w:t>,</w:t>
      </w:r>
      <w:r w:rsidR="00701646">
        <w:t xml:space="preserve"> </w:t>
      </w:r>
      <w:r w:rsidR="00401E7C">
        <w:t>objecting</w:t>
      </w:r>
      <w:r w:rsidR="004778F8">
        <w:t xml:space="preserve"> to the introduction of the evidence</w:t>
      </w:r>
      <w:r w:rsidR="00401E7C">
        <w:t xml:space="preserve"> </w:t>
      </w:r>
      <w:r w:rsidR="003A2E8B">
        <w:t xml:space="preserve">on the ground </w:t>
      </w:r>
      <w:r w:rsidR="004778F8">
        <w:t xml:space="preserve">that </w:t>
      </w:r>
      <w:r w:rsidR="004D16B1">
        <w:t>“[u]sing so-called primates and studies to determine why or how humans act</w:t>
      </w:r>
      <w:r w:rsidR="0095160F">
        <w:t xml:space="preserve">” amounted </w:t>
      </w:r>
      <w:r w:rsidR="004778F8">
        <w:t xml:space="preserve">to </w:t>
      </w:r>
      <w:r w:rsidR="0095160F">
        <w:t xml:space="preserve">forcing a theory of </w:t>
      </w:r>
      <w:r w:rsidR="00080DC4">
        <w:t>“evolution on defendant” that was contrary to “creationism”).</w:t>
      </w:r>
      <w:r w:rsidR="00C539D5">
        <w:t xml:space="preserve"> </w:t>
      </w:r>
      <w:r w:rsidR="00C013AB">
        <w:t xml:space="preserve"> </w:t>
      </w:r>
      <w:r w:rsidR="000B0F3F">
        <w:t>We do not read</w:t>
      </w:r>
      <w:r w:rsidRPr="00147DE4" w:rsidR="00D74984">
        <w:t xml:space="preserve"> </w:t>
      </w:r>
      <w:r w:rsidRPr="00147DE4" w:rsidR="00D74984">
        <w:rPr>
          <w:i/>
          <w:iCs/>
        </w:rPr>
        <w:t xml:space="preserve">McCoy </w:t>
      </w:r>
      <w:r w:rsidRPr="00147DE4" w:rsidR="00D74984">
        <w:t>to require</w:t>
      </w:r>
      <w:r w:rsidR="00BD3F48">
        <w:t xml:space="preserve"> a court to </w:t>
      </w:r>
      <w:r w:rsidR="00C667F6">
        <w:t>untangle such objectives</w:t>
      </w:r>
      <w:r w:rsidR="000B0F3F">
        <w:t>.</w:t>
      </w:r>
      <w:r w:rsidR="00666EFC">
        <w:t xml:space="preserve">  </w:t>
      </w:r>
    </w:p>
    <w:p w:rsidR="004348E2" w:rsidRPr="004348E2" w:rsidP="004348E2" w14:paraId="7885D389" w14:textId="2DBE10D2">
      <w:pPr>
        <w:ind w:firstLine="720"/>
      </w:pPr>
      <w:r w:rsidRPr="004348E2">
        <w:t xml:space="preserve">The Ninth Circuit’s opinion in </w:t>
      </w:r>
      <w:r w:rsidRPr="004348E2">
        <w:rPr>
          <w:i/>
          <w:iCs/>
        </w:rPr>
        <w:t>United States v. Read</w:t>
      </w:r>
      <w:r w:rsidRPr="004348E2">
        <w:t xml:space="preserve"> (9th Cir. 2019) 918 F.3d 712 does not </w:t>
      </w:r>
      <w:r w:rsidR="009B0B6B">
        <w:t>persuade</w:t>
      </w:r>
      <w:r w:rsidRPr="004348E2">
        <w:t xml:space="preserve"> us to reach a different result.  In </w:t>
      </w:r>
      <w:r w:rsidRPr="004348E2">
        <w:rPr>
          <w:i/>
          <w:iCs/>
        </w:rPr>
        <w:t>Read</w:t>
      </w:r>
      <w:r w:rsidRPr="004348E2">
        <w:t xml:space="preserve">, the Ninth Circuit concluded that a “district court commits reversible error by permitting defense counsel to </w:t>
      </w:r>
      <w:r w:rsidRPr="004348E2">
        <w:t>present a defense of insanity over a competent defendant’s clear rejection of that defense.”  (</w:t>
      </w:r>
      <w:r w:rsidRPr="004348E2">
        <w:rPr>
          <w:i/>
          <w:iCs/>
        </w:rPr>
        <w:t>Id</w:t>
      </w:r>
      <w:r w:rsidRPr="004348E2">
        <w:t>. at p. 719.)  The court reasoned that “[a]n insanity defense is tantamount to a concession of guilt”</w:t>
      </w:r>
      <w:r>
        <w:rPr>
          <w:rStyle w:val="FootnoteReference"/>
        </w:rPr>
        <w:footnoteReference w:id="35"/>
      </w:r>
      <w:r w:rsidRPr="004348E2">
        <w:t xml:space="preserve"> and thus directly implicated </w:t>
      </w:r>
      <w:r w:rsidRPr="004348E2">
        <w:rPr>
          <w:i/>
          <w:iCs/>
        </w:rPr>
        <w:t>McCoy</w:t>
      </w:r>
      <w:r w:rsidRPr="004348E2">
        <w:t xml:space="preserve">’s rule against such </w:t>
      </w:r>
      <w:r w:rsidRPr="004348E2">
        <w:t>concessions over a client’s objection.  (</w:t>
      </w:r>
      <w:r w:rsidRPr="004348E2">
        <w:rPr>
          <w:i/>
          <w:iCs/>
        </w:rPr>
        <w:t>Id</w:t>
      </w:r>
      <w:r w:rsidRPr="004348E2">
        <w:t>. at p. 720.)  That reasoning has no application in this case because the presentation of mitigation evidence during the penalty phase bears no resemblance to such a concession.  A defense attorney who presents mi</w:t>
      </w:r>
      <w:r w:rsidRPr="004348E2">
        <w:t>tigating evidence during the penalty phase of a capital trial is not placing the defendant at risk of “confinement in a mental institution,” as may be the case with an attorney who presents an insanity defense.  (</w:t>
      </w:r>
      <w:r w:rsidRPr="004348E2">
        <w:rPr>
          <w:i/>
          <w:iCs/>
        </w:rPr>
        <w:t>Id</w:t>
      </w:r>
      <w:r w:rsidRPr="0009184C">
        <w:t>.</w:t>
      </w:r>
      <w:r w:rsidR="0009184C">
        <w:t xml:space="preserve"> </w:t>
      </w:r>
      <w:r w:rsidRPr="004348E2">
        <w:t xml:space="preserve">at p. 721.)  And, as the </w:t>
      </w:r>
      <w:r w:rsidRPr="004348E2">
        <w:rPr>
          <w:i/>
          <w:iCs/>
        </w:rPr>
        <w:t>Roof</w:t>
      </w:r>
      <w:r w:rsidRPr="004348E2">
        <w:t xml:space="preserve"> court recognized in </w:t>
      </w:r>
      <w:r w:rsidR="00111DB6">
        <w:t>distinguishing</w:t>
      </w:r>
      <w:r w:rsidRPr="004348E2">
        <w:t xml:space="preserve"> </w:t>
      </w:r>
      <w:r w:rsidRPr="004348E2">
        <w:rPr>
          <w:i/>
          <w:iCs/>
        </w:rPr>
        <w:t>Read</w:t>
      </w:r>
      <w:r w:rsidRPr="004348E2">
        <w:t>, “[a]cknowledging mental health problems, and bearing any associated stigma, is simply not of the same legal magnitude as a confession of guilt.”  (</w:t>
      </w:r>
      <w:r w:rsidRPr="004348E2">
        <w:rPr>
          <w:i/>
          <w:iCs/>
        </w:rPr>
        <w:t>Roof</w:t>
      </w:r>
      <w:r w:rsidRPr="004348E2">
        <w:t>,</w:t>
      </w:r>
      <w:r w:rsidRPr="004348E2">
        <w:rPr>
          <w:i/>
          <w:iCs/>
        </w:rPr>
        <w:t xml:space="preserve"> supra</w:t>
      </w:r>
      <w:r w:rsidRPr="004348E2">
        <w:t>,</w:t>
      </w:r>
      <w:r w:rsidRPr="004348E2">
        <w:rPr>
          <w:i/>
          <w:iCs/>
        </w:rPr>
        <w:t xml:space="preserve"> </w:t>
      </w:r>
      <w:r w:rsidRPr="004348E2">
        <w:t>10</w:t>
      </w:r>
      <w:r w:rsidR="00256336">
        <w:t> </w:t>
      </w:r>
      <w:r w:rsidRPr="004348E2">
        <w:t xml:space="preserve">F.4th at p. 353.)  </w:t>
      </w:r>
    </w:p>
    <w:p w:rsidR="004348E2" w:rsidRPr="004348E2" w:rsidP="004348E2" w14:paraId="4BA2B3DC" w14:textId="4ED912F2">
      <w:pPr>
        <w:ind w:firstLine="720"/>
      </w:pPr>
      <w:r w:rsidRPr="004348E2">
        <w:t>Defendant contends his claim is</w:t>
      </w:r>
      <w:r w:rsidRPr="004348E2">
        <w:t xml:space="preserve"> supported by our decisions holding that appointed counsel does not render ineffective assistance by acquiescing to a defendant’s request not to present </w:t>
      </w:r>
      <w:r w:rsidRPr="004348E2">
        <w:rPr>
          <w:i/>
          <w:iCs/>
        </w:rPr>
        <w:t xml:space="preserve">any </w:t>
      </w:r>
      <w:r w:rsidRPr="004348E2">
        <w:t xml:space="preserve">mitigating evidence.  (See, e.g., </w:t>
      </w:r>
      <w:bookmarkStart w:id="177" w:name="_Toc147519573"/>
      <w:r w:rsidRPr="004348E2">
        <w:rPr>
          <w:i/>
          <w:iCs/>
        </w:rPr>
        <w:t>People v. Lang</w:t>
      </w:r>
      <w:r w:rsidRPr="004348E2">
        <w:t xml:space="preserve"> (1989) 49 Cal.3d 991, 1031.)  According to defenda</w:t>
      </w:r>
      <w:r w:rsidRPr="004348E2">
        <w:t>nt, “It makes little sense that counsel could completely forego a penalty phase defense at the defendant’s direction, even where the defendant actively seeks a death sentence, but a capital defendant cannot preclude counsel from presenting only specific as</w:t>
      </w:r>
      <w:r w:rsidRPr="004348E2">
        <w:t>pects of the mitigation evidence.”  We disagree with this contention.</w:t>
      </w:r>
      <w:r w:rsidR="00666EFC">
        <w:t xml:space="preserve">  </w:t>
      </w:r>
    </w:p>
    <w:p w:rsidR="004348E2" w:rsidRPr="004348E2" w:rsidP="004348E2" w14:paraId="3BDAE9C5" w14:textId="1C5273D5">
      <w:pPr>
        <w:ind w:firstLine="720"/>
      </w:pPr>
      <w:r>
        <w:t>E</w:t>
      </w:r>
      <w:r w:rsidRPr="004348E2">
        <w:t xml:space="preserve">ven assuming that “among the core of fundamental questions over which a represented defendant retains control is the decision whether or not to present a defense at the penalty phase </w:t>
      </w:r>
      <w:r w:rsidRPr="004348E2">
        <w:t>of a capital trial” (</w:t>
      </w:r>
      <w:r w:rsidRPr="004348E2">
        <w:rPr>
          <w:i/>
          <w:iCs/>
        </w:rPr>
        <w:t>People v. Amezcua and Flores</w:t>
      </w:r>
      <w:r w:rsidRPr="004348E2">
        <w:t xml:space="preserve"> (2019) 6 Cal.5th 886, </w:t>
      </w:r>
      <w:r w:rsidRPr="004348E2" w:rsidR="00076A8B">
        <w:t>92</w:t>
      </w:r>
      <w:r w:rsidR="00076A8B">
        <w:t>5</w:t>
      </w:r>
      <w:r w:rsidRPr="004348E2">
        <w:t xml:space="preserve">), this does not mean that such a defendant, having elected to put on a defense in mitigation, has the right to select the evidence offered to further that defense.  As the </w:t>
      </w:r>
      <w:r w:rsidRPr="004348E2">
        <w:rPr>
          <w:i/>
          <w:iCs/>
        </w:rPr>
        <w:t>McCoy</w:t>
      </w:r>
      <w:r w:rsidRPr="004348E2">
        <w:t xml:space="preserve"> co</w:t>
      </w:r>
      <w:r w:rsidRPr="004348E2">
        <w:t>urt explained in connection with a guilt phase defense, “[t]o gain assistance, a defendant need not surrender control entirely to counsel.”  (</w:t>
      </w:r>
      <w:r w:rsidRPr="004348E2">
        <w:rPr>
          <w:i/>
          <w:iCs/>
        </w:rPr>
        <w:t>McCoy</w:t>
      </w:r>
      <w:r w:rsidRPr="004348E2">
        <w:t xml:space="preserve">, </w:t>
      </w:r>
      <w:r w:rsidRPr="004348E2">
        <w:rPr>
          <w:i/>
          <w:iCs/>
        </w:rPr>
        <w:t>supra</w:t>
      </w:r>
      <w:r w:rsidRPr="004348E2">
        <w:t>, 584 U.S. at p. 421.)  As discussed, while a represented defendant cedes control over trial managemen</w:t>
      </w:r>
      <w:r w:rsidRPr="004348E2">
        <w:t>t, he retains control over certain fundamental decisions pertaining to the adjudication of his guilt.  (</w:t>
      </w:r>
      <w:r w:rsidRPr="004348E2">
        <w:rPr>
          <w:i/>
          <w:iCs/>
        </w:rPr>
        <w:t>Id</w:t>
      </w:r>
      <w:r w:rsidRPr="004348E2">
        <w:t>. at pp. 421–422.)  Analogously, having elected to put on a defense in mitigation, a defendant cedes to his lawyer the right to control tactical decis</w:t>
      </w:r>
      <w:r w:rsidRPr="004348E2">
        <w:t>ions in furtherance of that defense, even assuming the defendant maintains the right to determine the “fundamental question[]” over “whether or not to present a defense at the penalty phase of a capital trial.”  (</w:t>
      </w:r>
      <w:r w:rsidRPr="004348E2">
        <w:rPr>
          <w:i/>
          <w:iCs/>
        </w:rPr>
        <w:t>Amezcua</w:t>
      </w:r>
      <w:r w:rsidRPr="00256687" w:rsidR="00256687">
        <w:rPr>
          <w:i/>
          <w:iCs/>
        </w:rPr>
        <w:t xml:space="preserve"> </w:t>
      </w:r>
      <w:r w:rsidRPr="004348E2" w:rsidR="00256687">
        <w:rPr>
          <w:i/>
          <w:iCs/>
        </w:rPr>
        <w:t>and Flores</w:t>
      </w:r>
      <w:r w:rsidRPr="004348E2">
        <w:t xml:space="preserve">, at p. 925.)  </w:t>
      </w:r>
    </w:p>
    <w:p w:rsidR="00666EFC" w:rsidP="00496FB6" w14:paraId="3226A2C5" w14:textId="2B6991BB">
      <w:pPr>
        <w:ind w:firstLine="720"/>
      </w:pPr>
      <w:r w:rsidRPr="004348E2">
        <w:t>In sum, w</w:t>
      </w:r>
      <w:r w:rsidRPr="004348E2">
        <w:t>e reject defendant’s contention that “</w:t>
      </w:r>
      <w:r w:rsidRPr="004348E2">
        <w:rPr>
          <w:i/>
          <w:iCs/>
        </w:rPr>
        <w:t xml:space="preserve">McCoy’s </w:t>
      </w:r>
      <w:r w:rsidRPr="004348E2">
        <w:t xml:space="preserve">reasoning extends to a capital defendant the right to </w:t>
      </w:r>
      <w:r w:rsidRPr="004348E2">
        <w:rPr>
          <w:i/>
          <w:iCs/>
        </w:rPr>
        <w:t xml:space="preserve">limit </w:t>
      </w:r>
      <w:r w:rsidRPr="004348E2">
        <w:t>the presentation of certain mitigating evidence at the penalty phase to achieve his or her personal objectives.”  We conclude that the trial court did</w:t>
      </w:r>
      <w:r w:rsidRPr="004348E2">
        <w:t xml:space="preserve"> not violate defendant’s Sixth Amendment right to choose the objective of his defense.</w:t>
      </w:r>
      <w:r>
        <w:t xml:space="preserve">  </w:t>
      </w:r>
    </w:p>
    <w:p w:rsidR="00B22FE7" w:rsidRPr="00496FB6" w:rsidP="00496FB6" w14:paraId="68F7F286" w14:textId="1B5EB24F">
      <w:pPr>
        <w:pStyle w:val="Heading2"/>
        <w:tabs>
          <w:tab w:val="clear" w:pos="1152"/>
        </w:tabs>
        <w:ind w:left="1080" w:hanging="360"/>
      </w:pPr>
      <w:bookmarkStart w:id="178" w:name="_Toc147845701"/>
      <w:r>
        <w:t>G</w:t>
      </w:r>
      <w:r w:rsidRPr="00496FB6" w:rsidR="00A6737E">
        <w:t>.</w:t>
      </w:r>
      <w:r w:rsidRPr="00496FB6" w:rsidR="0074483D">
        <w:tab/>
      </w:r>
      <w:r w:rsidRPr="00496FB6" w:rsidR="00D82EC8">
        <w:t>Defendant</w:t>
      </w:r>
      <w:r w:rsidRPr="00496FB6" w:rsidR="000D0DFA">
        <w:t>’s</w:t>
      </w:r>
      <w:r w:rsidRPr="00496FB6" w:rsidR="00A6737E">
        <w:t xml:space="preserve"> </w:t>
      </w:r>
      <w:r w:rsidRPr="00496FB6" w:rsidR="00D163E4">
        <w:t>C</w:t>
      </w:r>
      <w:r w:rsidRPr="00496FB6" w:rsidR="000D0DFA">
        <w:t>hallenges to</w:t>
      </w:r>
      <w:r w:rsidRPr="00496FB6" w:rsidR="00A6737E">
        <w:t xml:space="preserve"> California’s </w:t>
      </w:r>
      <w:r w:rsidRPr="00496FB6" w:rsidR="00D163E4">
        <w:t>D</w:t>
      </w:r>
      <w:r w:rsidRPr="00496FB6" w:rsidR="00A6737E">
        <w:t xml:space="preserve">eath </w:t>
      </w:r>
      <w:r w:rsidRPr="00496FB6" w:rsidR="00D163E4">
        <w:t>P</w:t>
      </w:r>
      <w:r w:rsidRPr="00496FB6" w:rsidR="00A6737E">
        <w:t xml:space="preserve">enalty </w:t>
      </w:r>
      <w:r w:rsidRPr="00496FB6" w:rsidR="00E3289B">
        <w:t>S</w:t>
      </w:r>
      <w:r w:rsidRPr="00496FB6" w:rsidR="00F925A0">
        <w:t xml:space="preserve">cheme </w:t>
      </w:r>
      <w:r w:rsidRPr="00496FB6" w:rsidR="00684FA7">
        <w:t xml:space="preserve">Are </w:t>
      </w:r>
      <w:r w:rsidRPr="00496FB6" w:rsidR="00E3289B">
        <w:t>W</w:t>
      </w:r>
      <w:r w:rsidRPr="00496FB6" w:rsidR="000D0DFA">
        <w:t xml:space="preserve">ithout </w:t>
      </w:r>
      <w:r w:rsidRPr="00496FB6" w:rsidR="00E3289B">
        <w:t>M</w:t>
      </w:r>
      <w:r w:rsidRPr="00496FB6" w:rsidR="000D0DFA">
        <w:t>erit</w:t>
      </w:r>
      <w:r w:rsidRPr="00496FB6" w:rsidR="009518D3">
        <w:t xml:space="preserve"> </w:t>
      </w:r>
      <w:bookmarkEnd w:id="177"/>
      <w:bookmarkEnd w:id="178"/>
    </w:p>
    <w:p w:rsidR="009337E7" w:rsidRPr="00496FB6" w:rsidP="0009078D" w14:paraId="06CB028B" w14:textId="0CEA3715">
      <w:pPr>
        <w:ind w:firstLine="720"/>
      </w:pPr>
      <w:r w:rsidRPr="00496FB6">
        <w:t>Defendant</w:t>
      </w:r>
      <w:r w:rsidRPr="00496FB6" w:rsidR="008C3FB0">
        <w:t xml:space="preserve"> raises a series of summary challenges to California’s death penalty statute and this court’s interpretation </w:t>
      </w:r>
      <w:r w:rsidRPr="00496FB6" w:rsidR="0006348E">
        <w:t>of that statute</w:t>
      </w:r>
      <w:r w:rsidRPr="00496FB6" w:rsidR="00937B40">
        <w:t>.  As defendant</w:t>
      </w:r>
      <w:r w:rsidRPr="00496FB6" w:rsidR="0050778B">
        <w:t xml:space="preserve"> acknowledges, this court has “consistently rejected”</w:t>
      </w:r>
      <w:r w:rsidRPr="00496FB6" w:rsidR="00937B40">
        <w:t xml:space="preserve"> these arguments. </w:t>
      </w:r>
      <w:r w:rsidRPr="00496FB6" w:rsidR="007643AC">
        <w:t xml:space="preserve"> </w:t>
      </w:r>
      <w:r w:rsidR="0004441B">
        <w:t>W</w:t>
      </w:r>
      <w:r w:rsidRPr="00496FB6" w:rsidR="005E16BE">
        <w:t>e</w:t>
      </w:r>
      <w:r w:rsidRPr="00496FB6" w:rsidR="005C1943">
        <w:t xml:space="preserve"> decline </w:t>
      </w:r>
      <w:r w:rsidRPr="00496FB6">
        <w:t>defendant</w:t>
      </w:r>
      <w:r w:rsidRPr="00496FB6" w:rsidR="00C51DA5">
        <w:t>’s</w:t>
      </w:r>
      <w:r w:rsidRPr="00496FB6" w:rsidR="005C1943">
        <w:t xml:space="preserve"> request </w:t>
      </w:r>
      <w:r w:rsidRPr="00496FB6" w:rsidR="004B2B03">
        <w:t>to</w:t>
      </w:r>
      <w:r w:rsidRPr="00496FB6" w:rsidR="005C1943">
        <w:t xml:space="preserve"> reconsider our prior precedent regarding the following holdings</w:t>
      </w:r>
      <w:r w:rsidRPr="00496FB6" w:rsidR="009B5615">
        <w:t>, and we reject all of defendant’s challenges</w:t>
      </w:r>
      <w:r w:rsidRPr="00496FB6" w:rsidR="005C1943">
        <w:t>.</w:t>
      </w:r>
      <w:r>
        <w:rPr>
          <w:rStyle w:val="FootnoteReference"/>
        </w:rPr>
        <w:footnoteReference w:id="36"/>
      </w:r>
    </w:p>
    <w:p w:rsidR="00BF0C13" w:rsidRPr="00496FB6" w:rsidP="0009078D" w14:paraId="11191EC2" w14:textId="27F5080C">
      <w:pPr>
        <w:ind w:firstLine="720"/>
      </w:pPr>
      <w:r w:rsidRPr="00496FB6">
        <w:t>“Section 190.2 provides a list of the special circumstances</w:t>
      </w:r>
      <w:r w:rsidR="004D5B15">
        <w:t> </w:t>
      </w:r>
      <w:r w:rsidRPr="00496FB6">
        <w:t>.</w:t>
      </w:r>
      <w:r w:rsidRPr="00496FB6" w:rsidR="009337E7">
        <w:t> </w:t>
      </w:r>
      <w:r w:rsidRPr="00496FB6">
        <w:t>.</w:t>
      </w:r>
      <w:r w:rsidRPr="00496FB6" w:rsidR="009337E7">
        <w:t> </w:t>
      </w:r>
      <w:r w:rsidRPr="00496FB6">
        <w:t xml:space="preserve">. </w:t>
      </w:r>
      <w:r w:rsidRPr="00496FB6" w:rsidR="00E26B8D">
        <w:t>[that]</w:t>
      </w:r>
      <w:r w:rsidRPr="00496FB6">
        <w:t xml:space="preserve"> render a defendant eligible for the death penalty.  These factors are not so numer</w:t>
      </w:r>
      <w:r w:rsidRPr="00496FB6">
        <w:t>ous and broadly interpreted that they fail to narrow the class of death-eligible first degree murders as required by the Eighth and Fourteenth Amendments.”  (</w:t>
      </w:r>
      <w:bookmarkStart w:id="179" w:name="dabmci_2cc6503af1134a4cbc96c238c6aaa019"/>
      <w:r w:rsidRPr="00653B81" w:rsidR="00136277">
        <w:rPr>
          <w:i/>
          <w:iCs/>
        </w:rPr>
        <w:t>People v.</w:t>
      </w:r>
      <w:r w:rsidR="00136277">
        <w:t xml:space="preserve"> </w:t>
      </w:r>
      <w:r w:rsidRPr="00496FB6">
        <w:rPr>
          <w:i/>
          <w:iCs/>
        </w:rPr>
        <w:t>Schultz</w:t>
      </w:r>
      <w:r w:rsidRPr="00496FB6">
        <w:t xml:space="preserve"> </w:t>
      </w:r>
      <w:r w:rsidR="00136277">
        <w:t xml:space="preserve">(2020) </w:t>
      </w:r>
      <w:r w:rsidRPr="00496FB6">
        <w:t>10</w:t>
      </w:r>
      <w:r w:rsidRPr="00496FB6" w:rsidR="00C13DFA">
        <w:t> </w:t>
      </w:r>
      <w:r w:rsidRPr="00496FB6">
        <w:t xml:space="preserve">Cal.5th </w:t>
      </w:r>
      <w:r w:rsidR="00466DCE">
        <w:t xml:space="preserve">623, </w:t>
      </w:r>
      <w:r w:rsidRPr="00496FB6">
        <w:t>682</w:t>
      </w:r>
      <w:bookmarkEnd w:id="179"/>
      <w:r w:rsidR="00466DCE">
        <w:t xml:space="preserve"> (</w:t>
      </w:r>
      <w:r w:rsidRPr="00653B81" w:rsidR="00466DCE">
        <w:rPr>
          <w:i/>
          <w:iCs/>
        </w:rPr>
        <w:t>Schultz</w:t>
      </w:r>
      <w:r w:rsidR="00466DCE">
        <w:t>)</w:t>
      </w:r>
      <w:r w:rsidRPr="00496FB6">
        <w:t>.)</w:t>
      </w:r>
      <w:r w:rsidRPr="00496FB6" w:rsidR="005503AF">
        <w:t xml:space="preserve">  </w:t>
      </w:r>
    </w:p>
    <w:p w:rsidR="00A51026" w:rsidRPr="00496FB6" w:rsidP="0009078D" w14:paraId="5196763E" w14:textId="398F83CC">
      <w:pPr>
        <w:ind w:firstLine="720"/>
      </w:pPr>
      <w:r w:rsidRPr="00496FB6">
        <w:t xml:space="preserve">“Section 190.3, factor (a), which </w:t>
      </w:r>
      <w:r w:rsidRPr="00496FB6">
        <w:t>permits aggravation based on the circumstances of the crime, does not result in arbitrary and capricious imposition of the death penalty in violation of the Fifth, Sixth, Eighth or Fourteenth Amendments.”  (</w:t>
      </w:r>
      <w:bookmarkStart w:id="180" w:name="dabmci_3a8531c4bb9344488e0ce874047efd9e"/>
      <w:r w:rsidRPr="00496FB6">
        <w:rPr>
          <w:i/>
          <w:iCs/>
        </w:rPr>
        <w:t>Ramirez</w:t>
      </w:r>
      <w:r w:rsidRPr="00496FB6">
        <w:t xml:space="preserve">, </w:t>
      </w:r>
      <w:r w:rsidRPr="00496FB6">
        <w:rPr>
          <w:i/>
          <w:iCs/>
        </w:rPr>
        <w:t>supra</w:t>
      </w:r>
      <w:r w:rsidRPr="00496FB6">
        <w:t>, 13</w:t>
      </w:r>
      <w:r w:rsidRPr="00496FB6" w:rsidR="00C13DFA">
        <w:t> </w:t>
      </w:r>
      <w:r w:rsidRPr="00496FB6">
        <w:t>Cal.5th at p</w:t>
      </w:r>
      <w:r w:rsidRPr="00496FB6" w:rsidR="00E04EF4">
        <w:t>.</w:t>
      </w:r>
      <w:r w:rsidRPr="00496FB6" w:rsidR="00C13DFA">
        <w:t> </w:t>
      </w:r>
      <w:r w:rsidRPr="00496FB6">
        <w:t>1161</w:t>
      </w:r>
      <w:bookmarkEnd w:id="180"/>
      <w:r w:rsidRPr="00496FB6">
        <w:t>.)</w:t>
      </w:r>
      <w:r w:rsidRPr="00496FB6" w:rsidR="005503AF">
        <w:t xml:space="preserve">  </w:t>
      </w:r>
    </w:p>
    <w:p w:rsidR="00A51026" w:rsidRPr="00496FB6" w:rsidP="0009078D" w14:paraId="1AA6ED0C" w14:textId="0973A115">
      <w:pPr>
        <w:ind w:firstLine="720"/>
      </w:pPr>
      <w:r w:rsidRPr="00496FB6">
        <w:t>“Capita</w:t>
      </w:r>
      <w:r w:rsidRPr="00496FB6">
        <w:t xml:space="preserve">l sentencing is ‘an inherently moral and normative function, and not a factual one amenable to burden of proof calculations.’ </w:t>
      </w:r>
      <w:r w:rsidRPr="00496FB6" w:rsidR="00273C30">
        <w:t xml:space="preserve"> </w:t>
      </w:r>
      <w:r w:rsidRPr="00496FB6">
        <w:t>[Citation.]</w:t>
      </w:r>
      <w:r w:rsidRPr="00496FB6" w:rsidR="00273C30">
        <w:t xml:space="preserve"> </w:t>
      </w:r>
      <w:r w:rsidRPr="00496FB6">
        <w:t xml:space="preserve"> For this reason, California</w:t>
      </w:r>
      <w:r w:rsidRPr="00496FB6" w:rsidR="00273C30">
        <w:t>’</w:t>
      </w:r>
      <w:r w:rsidRPr="00496FB6">
        <w:t>s death penalty scheme does not violate the Fifth, Sixth, Eighth and Fourteenth Amendmen</w:t>
      </w:r>
      <w:r w:rsidRPr="00496FB6">
        <w:t>ts for failing to require written findings</w:t>
      </w:r>
      <w:r w:rsidRPr="00496FB6" w:rsidR="00807632">
        <w:t xml:space="preserve"> [citation]</w:t>
      </w:r>
      <w:r w:rsidRPr="00496FB6">
        <w:t>; unanimous findings as to the existence of aggravating factors or unadjudicated criminal activity</w:t>
      </w:r>
      <w:r w:rsidRPr="00496FB6" w:rsidR="00807632">
        <w:t xml:space="preserve"> [citation]</w:t>
      </w:r>
      <w:r w:rsidRPr="00496FB6">
        <w:t>; or findings beyond a reasonable doubt that</w:t>
      </w:r>
      <w:r w:rsidRPr="0009078D" w:rsidR="00807632">
        <w:t xml:space="preserve"> </w:t>
      </w:r>
      <w:r w:rsidRPr="00496FB6">
        <w:t>aggravating factors exist, that aggravating facto</w:t>
      </w:r>
      <w:r w:rsidRPr="00496FB6">
        <w:t>rs outweigh mitigating factors, or that death is the appropriate penalty</w:t>
      </w:r>
      <w:r w:rsidRPr="00496FB6" w:rsidR="003851CA">
        <w:t xml:space="preserve"> [citations]</w:t>
      </w:r>
      <w:r w:rsidRPr="00496FB6">
        <w:t xml:space="preserve">. </w:t>
      </w:r>
      <w:r w:rsidRPr="00496FB6" w:rsidR="003851CA">
        <w:t xml:space="preserve"> </w:t>
      </w:r>
      <w:r w:rsidRPr="00496FB6">
        <w:t xml:space="preserve">These conclusions are not altered by </w:t>
      </w:r>
      <w:bookmarkStart w:id="181" w:name="dabmci_e3d199fb96bb45f4acf3fddb8f6e576e"/>
      <w:r w:rsidRPr="00496FB6">
        <w:rPr>
          <w:i/>
          <w:iCs/>
        </w:rPr>
        <w:t>Apprendi v. New Jersey</w:t>
      </w:r>
      <w:r w:rsidRPr="00496FB6">
        <w:t xml:space="preserve"> (2000) 530</w:t>
      </w:r>
      <w:r w:rsidRPr="00496FB6" w:rsidR="00B5561F">
        <w:t> </w:t>
      </w:r>
      <w:r w:rsidRPr="00496FB6">
        <w:t>U.S. 466</w:t>
      </w:r>
      <w:bookmarkEnd w:id="181"/>
      <w:r w:rsidRPr="00496FB6" w:rsidR="00C12DF1">
        <w:t> . . . </w:t>
      </w:r>
      <w:r w:rsidRPr="00496FB6">
        <w:t xml:space="preserve">, </w:t>
      </w:r>
      <w:bookmarkStart w:id="182" w:name="dabmci_b3da5780baec41038f91703960b8895e"/>
      <w:r w:rsidRPr="00496FB6">
        <w:rPr>
          <w:i/>
          <w:iCs/>
        </w:rPr>
        <w:t>Ring v. Arizona</w:t>
      </w:r>
      <w:r w:rsidRPr="00496FB6">
        <w:t xml:space="preserve"> (2002) 536</w:t>
      </w:r>
      <w:r w:rsidRPr="00496FB6" w:rsidR="00B5561F">
        <w:t> </w:t>
      </w:r>
      <w:r w:rsidRPr="00496FB6">
        <w:t>U.S. 584</w:t>
      </w:r>
      <w:bookmarkEnd w:id="182"/>
      <w:r w:rsidRPr="00496FB6" w:rsidR="00C12DF1">
        <w:t> . . </w:t>
      </w:r>
      <w:r w:rsidRPr="00496FB6" w:rsidR="00C12DF1">
        <w:rPr>
          <w:szCs w:val="26"/>
        </w:rPr>
        <w:t>. </w:t>
      </w:r>
      <w:r w:rsidRPr="00496FB6">
        <w:t xml:space="preserve">, or </w:t>
      </w:r>
      <w:bookmarkStart w:id="183" w:name="dabmci_6daac8af5d414c4db94173f6b63a15a2"/>
      <w:r w:rsidRPr="00496FB6">
        <w:rPr>
          <w:i/>
          <w:iCs/>
        </w:rPr>
        <w:t>Hurst v.</w:t>
      </w:r>
      <w:r w:rsidRPr="00496FB6">
        <w:t xml:space="preserve"> </w:t>
      </w:r>
      <w:r w:rsidRPr="00496FB6">
        <w:rPr>
          <w:i/>
          <w:iCs/>
        </w:rPr>
        <w:t>Florida</w:t>
      </w:r>
      <w:r w:rsidRPr="00496FB6">
        <w:t xml:space="preserve"> (2016) 577</w:t>
      </w:r>
      <w:r w:rsidRPr="00496FB6" w:rsidR="00B5561F">
        <w:t> </w:t>
      </w:r>
      <w:r w:rsidRPr="00496FB6">
        <w:t>U.S. 92</w:t>
      </w:r>
      <w:bookmarkEnd w:id="183"/>
      <w:r w:rsidRPr="00496FB6" w:rsidR="00927918">
        <w:t> . . . </w:t>
      </w:r>
      <w:r w:rsidRPr="00496FB6">
        <w:t>.</w:t>
      </w:r>
      <w:r w:rsidRPr="00496FB6" w:rsidR="003851CA">
        <w:t>”  (</w:t>
      </w:r>
      <w:bookmarkStart w:id="184" w:name="dabmci_4adb72e4291f4632adc6a17c01fef42d"/>
      <w:r w:rsidRPr="00496FB6">
        <w:rPr>
          <w:i/>
          <w:iCs/>
        </w:rPr>
        <w:t>Ramirez</w:t>
      </w:r>
      <w:r w:rsidRPr="00496FB6" w:rsidR="00D41DCB">
        <w:t xml:space="preserve">, </w:t>
      </w:r>
      <w:r w:rsidRPr="00496FB6" w:rsidR="00D41DCB">
        <w:rPr>
          <w:i/>
          <w:iCs/>
        </w:rPr>
        <w:t>supra</w:t>
      </w:r>
      <w:r w:rsidRPr="00496FB6" w:rsidR="00D41DCB">
        <w:t xml:space="preserve">, </w:t>
      </w:r>
      <w:r w:rsidRPr="00496FB6">
        <w:t>13</w:t>
      </w:r>
      <w:r w:rsidRPr="00496FB6" w:rsidR="00B5561F">
        <w:t> </w:t>
      </w:r>
      <w:r w:rsidRPr="00496FB6">
        <w:t xml:space="preserve">Cal.5th </w:t>
      </w:r>
      <w:r w:rsidRPr="00496FB6" w:rsidR="00D75D89">
        <w:t>at pp.</w:t>
      </w:r>
      <w:r w:rsidRPr="00496FB6" w:rsidR="00053D1D">
        <w:t> </w:t>
      </w:r>
      <w:r w:rsidRPr="00496FB6">
        <w:t>1160–1161</w:t>
      </w:r>
      <w:bookmarkEnd w:id="184"/>
      <w:r w:rsidRPr="00496FB6" w:rsidR="00D4048D">
        <w:t>, fn. omitted.</w:t>
      </w:r>
      <w:r w:rsidRPr="00496FB6" w:rsidR="00D41DCB">
        <w:t>)</w:t>
      </w:r>
      <w:r>
        <w:rPr>
          <w:rStyle w:val="FootnoteReference"/>
        </w:rPr>
        <w:footnoteReference w:id="37"/>
      </w:r>
      <w:r w:rsidRPr="00496FB6" w:rsidR="001028EB">
        <w:t xml:space="preserve">  </w:t>
      </w:r>
    </w:p>
    <w:p w:rsidR="00587123" w:rsidRPr="00496FB6" w:rsidP="0009078D" w14:paraId="03D81671" w14:textId="4248B88E">
      <w:pPr>
        <w:ind w:firstLine="720"/>
      </w:pPr>
      <w:r w:rsidRPr="00496FB6">
        <w:t>Instructing the jury that a death verdict is “warranted” if the aggravating factors are “</w:t>
      </w:r>
      <w:r w:rsidRPr="00496FB6" w:rsidR="00053D1D">
        <w:t> </w:t>
      </w:r>
      <w:r w:rsidRPr="00496FB6">
        <w:t>‘so substantial’</w:t>
      </w:r>
      <w:r w:rsidRPr="00496FB6" w:rsidR="00053D1D">
        <w:t> </w:t>
      </w:r>
      <w:r w:rsidRPr="00496FB6">
        <w:t>” in comparison with the mitigating factors is not impe</w:t>
      </w:r>
      <w:r w:rsidRPr="00496FB6">
        <w:t xml:space="preserve">rmissibly broad or vague. </w:t>
      </w:r>
      <w:r w:rsidRPr="00496FB6" w:rsidR="00752640">
        <w:t xml:space="preserve"> </w:t>
      </w:r>
      <w:r w:rsidRPr="00496FB6">
        <w:t>(</w:t>
      </w:r>
      <w:bookmarkStart w:id="186" w:name="dabmci_454908c8c395485ab26b9ff549dd0a9f"/>
      <w:r w:rsidRPr="00496FB6">
        <w:rPr>
          <w:i/>
          <w:iCs/>
        </w:rPr>
        <w:t>Scully</w:t>
      </w:r>
      <w:r w:rsidRPr="00496FB6">
        <w:t xml:space="preserve">, </w:t>
      </w:r>
      <w:r w:rsidRPr="00496FB6">
        <w:rPr>
          <w:i/>
          <w:iCs/>
        </w:rPr>
        <w:t>supra</w:t>
      </w:r>
      <w:r w:rsidRPr="00496FB6">
        <w:t>, 11</w:t>
      </w:r>
      <w:r w:rsidRPr="00496FB6" w:rsidR="00B5561F">
        <w:t> </w:t>
      </w:r>
      <w:r w:rsidRPr="00496FB6">
        <w:t>Cal.5th at p.</w:t>
      </w:r>
      <w:r w:rsidRPr="00496FB6" w:rsidR="00B5561F">
        <w:t> </w:t>
      </w:r>
      <w:r w:rsidRPr="00496FB6">
        <w:t>611</w:t>
      </w:r>
      <w:bookmarkEnd w:id="186"/>
      <w:r w:rsidRPr="00496FB6">
        <w:t>.)</w:t>
      </w:r>
      <w:r w:rsidRPr="00496FB6" w:rsidR="004E311A">
        <w:t xml:space="preserve"> </w:t>
      </w:r>
      <w:r w:rsidRPr="00496FB6" w:rsidR="0031751D">
        <w:t xml:space="preserve"> </w:t>
      </w:r>
    </w:p>
    <w:p w:rsidR="00587123" w:rsidRPr="00496FB6" w:rsidP="0009078D" w14:paraId="1836A802" w14:textId="726B6CE7">
      <w:pPr>
        <w:ind w:firstLine="720"/>
      </w:pPr>
      <w:r w:rsidRPr="00496FB6">
        <w:t xml:space="preserve">The trial court </w:t>
      </w:r>
      <w:r w:rsidRPr="00496FB6" w:rsidR="00DE273B">
        <w:t xml:space="preserve">does not </w:t>
      </w:r>
      <w:r w:rsidRPr="00496FB6">
        <w:t xml:space="preserve">need </w:t>
      </w:r>
      <w:r w:rsidRPr="00496FB6" w:rsidR="00DE273B">
        <w:t xml:space="preserve">to </w:t>
      </w:r>
      <w:r w:rsidRPr="00496FB6">
        <w:t>instruct the jury that it must impose life without the possibility of parole if it determines that mitigating factors outweigh aggravating factors.</w:t>
      </w:r>
      <w:r w:rsidRPr="00496FB6" w:rsidR="00854BE1">
        <w:t xml:space="preserve"> </w:t>
      </w:r>
      <w:r w:rsidRPr="00496FB6">
        <w:t xml:space="preserve"> (</w:t>
      </w:r>
      <w:bookmarkStart w:id="187" w:name="dabmci_23bfc6670ab14dfd89b5898b5fb8d59a"/>
      <w:r w:rsidRPr="00496FB6">
        <w:rPr>
          <w:i/>
          <w:iCs/>
        </w:rPr>
        <w:t>Scully</w:t>
      </w:r>
      <w:r w:rsidRPr="00496FB6">
        <w:t xml:space="preserve">, </w:t>
      </w:r>
      <w:r w:rsidRPr="00496FB6">
        <w:rPr>
          <w:i/>
          <w:iCs/>
        </w:rPr>
        <w:t>supra</w:t>
      </w:r>
      <w:r w:rsidRPr="00496FB6">
        <w:t>, 11</w:t>
      </w:r>
      <w:r w:rsidRPr="00496FB6" w:rsidR="00B5561F">
        <w:t> </w:t>
      </w:r>
      <w:r w:rsidRPr="00496FB6">
        <w:t>Cal.5th at p.</w:t>
      </w:r>
      <w:r w:rsidRPr="00496FB6" w:rsidR="00B5561F">
        <w:t> </w:t>
      </w:r>
      <w:r w:rsidRPr="00496FB6">
        <w:t>611</w:t>
      </w:r>
      <w:bookmarkEnd w:id="187"/>
      <w:r w:rsidRPr="00496FB6">
        <w:t>.)</w:t>
      </w:r>
      <w:r w:rsidRPr="00496FB6" w:rsidR="0052628A">
        <w:t xml:space="preserve"> </w:t>
      </w:r>
      <w:r w:rsidRPr="00496FB6" w:rsidR="004E311A">
        <w:t xml:space="preserve"> </w:t>
      </w:r>
    </w:p>
    <w:p w:rsidR="00C4002C" w:rsidRPr="00496FB6" w:rsidP="0009078D" w14:paraId="2F20D381" w14:textId="5A215403">
      <w:pPr>
        <w:ind w:firstLine="720"/>
      </w:pPr>
      <w:r w:rsidRPr="00496FB6">
        <w:t>The trial court</w:t>
      </w:r>
      <w:r w:rsidRPr="00496FB6" w:rsidR="008534F2">
        <w:t xml:space="preserve"> </w:t>
      </w:r>
      <w:r w:rsidRPr="00496FB6">
        <w:t>did “not impermissibly fail to inform the jurors regarding the</w:t>
      </w:r>
      <w:r w:rsidR="004D5B15">
        <w:t xml:space="preserve"> </w:t>
      </w:r>
      <w:r w:rsidRPr="00496FB6" w:rsidR="00F925A0">
        <w:t>. . .</w:t>
      </w:r>
      <w:r w:rsidR="004D5B15">
        <w:t xml:space="preserve"> </w:t>
      </w:r>
      <w:r w:rsidRPr="00496FB6">
        <w:t>lack of need for unanimity as to mitigating circumstances.”</w:t>
      </w:r>
      <w:r w:rsidRPr="00496FB6" w:rsidR="008534F2">
        <w:t xml:space="preserve"> </w:t>
      </w:r>
      <w:r w:rsidRPr="00496FB6">
        <w:t xml:space="preserve"> (</w:t>
      </w:r>
      <w:bookmarkStart w:id="188" w:name="dabmci_4d1237c6746f496bbf8b96c4f652381e"/>
      <w:r w:rsidRPr="00496FB6">
        <w:rPr>
          <w:i/>
          <w:iCs/>
        </w:rPr>
        <w:t>People v. Loy</w:t>
      </w:r>
      <w:r w:rsidRPr="00496FB6">
        <w:t xml:space="preserve"> (2011) 52</w:t>
      </w:r>
      <w:r w:rsidRPr="00496FB6" w:rsidR="00B5561F">
        <w:t> </w:t>
      </w:r>
      <w:r w:rsidRPr="00496FB6">
        <w:t>Cal.4th 46, 78</w:t>
      </w:r>
      <w:bookmarkEnd w:id="188"/>
      <w:r w:rsidRPr="00496FB6">
        <w:t>.)</w:t>
      </w:r>
      <w:r w:rsidRPr="00496FB6" w:rsidR="00344798">
        <w:t xml:space="preserve">  </w:t>
      </w:r>
    </w:p>
    <w:p w:rsidR="008505E3" w:rsidRPr="00496FB6" w:rsidP="0009078D" w14:paraId="2AF09304" w14:textId="37CBE18E">
      <w:pPr>
        <w:ind w:firstLine="720"/>
      </w:pPr>
      <w:r w:rsidRPr="00496FB6">
        <w:t>“ ‘ “[</w:t>
      </w:r>
      <w:r w:rsidRPr="00496FB6" w:rsidR="007A2EDF">
        <w:t>T</w:t>
      </w:r>
      <w:r w:rsidRPr="00496FB6">
        <w:t>]here is no require</w:t>
      </w:r>
      <w:r w:rsidRPr="00496FB6">
        <w:t>ment jurors be instructed there is a ‘</w:t>
      </w:r>
      <w:r w:rsidRPr="00496FB6" w:rsidR="007A2EDF">
        <w:t> “ ‘</w:t>
      </w:r>
      <w:r w:rsidRPr="00496FB6">
        <w:t>presumption of life</w:t>
      </w:r>
      <w:r w:rsidRPr="00496FB6" w:rsidR="00927918">
        <w:t> . . . </w:t>
      </w:r>
      <w:r w:rsidRPr="00496FB6" w:rsidR="007A2EDF">
        <w:t>.’ </w:t>
      </w:r>
      <w:r w:rsidRPr="00496FB6">
        <w:t>”</w:t>
      </w:r>
      <w:r w:rsidRPr="00496FB6" w:rsidR="007A2EDF">
        <w:t> ’</w:t>
      </w:r>
      <w:r w:rsidRPr="00496FB6" w:rsidR="004A0AFF">
        <w:t> </w:t>
      </w:r>
      <w:r w:rsidRPr="00496FB6" w:rsidR="0054256F">
        <w:t>” ’</w:t>
      </w:r>
      <w:r w:rsidRPr="00496FB6" w:rsidR="005F61E4">
        <w:t> ”</w:t>
      </w:r>
      <w:r w:rsidRPr="00496FB6" w:rsidR="007A2EDF">
        <w:t xml:space="preserve"> </w:t>
      </w:r>
      <w:r w:rsidRPr="00496FB6" w:rsidR="00E1374F">
        <w:t xml:space="preserve"> </w:t>
      </w:r>
      <w:r w:rsidRPr="00496FB6" w:rsidR="007A2EDF">
        <w:t>(</w:t>
      </w:r>
      <w:bookmarkStart w:id="189" w:name="dabmci_8e5f1403aae34a5b95a501d751de81d3"/>
      <w:r w:rsidRPr="00496FB6">
        <w:rPr>
          <w:i/>
          <w:iCs/>
        </w:rPr>
        <w:t>Tran</w:t>
      </w:r>
      <w:r w:rsidRPr="00496FB6" w:rsidR="0084398A">
        <w:t xml:space="preserve">, </w:t>
      </w:r>
      <w:r w:rsidRPr="00496FB6" w:rsidR="0084398A">
        <w:rPr>
          <w:i/>
          <w:iCs/>
        </w:rPr>
        <w:t>supra</w:t>
      </w:r>
      <w:r w:rsidRPr="00496FB6" w:rsidR="0084398A">
        <w:t xml:space="preserve">, </w:t>
      </w:r>
      <w:r w:rsidRPr="00496FB6">
        <w:t>13</w:t>
      </w:r>
      <w:r w:rsidRPr="00496FB6" w:rsidR="00E81E0D">
        <w:t> </w:t>
      </w:r>
      <w:r w:rsidRPr="00496FB6">
        <w:t xml:space="preserve">Cal.5th </w:t>
      </w:r>
      <w:r w:rsidRPr="00496FB6" w:rsidR="0084398A">
        <w:t>at p.</w:t>
      </w:r>
      <w:r w:rsidRPr="00496FB6" w:rsidR="00E81E0D">
        <w:t> </w:t>
      </w:r>
      <w:r w:rsidRPr="00496FB6">
        <w:t>1236</w:t>
      </w:r>
      <w:bookmarkEnd w:id="189"/>
      <w:r w:rsidRPr="00496FB6" w:rsidR="007A2EDF">
        <w:t>.)</w:t>
      </w:r>
      <w:r w:rsidRPr="00496FB6" w:rsidR="00344798">
        <w:t xml:space="preserve"> </w:t>
      </w:r>
      <w:r w:rsidRPr="00496FB6" w:rsidR="00211BC2">
        <w:t xml:space="preserve"> </w:t>
      </w:r>
    </w:p>
    <w:p w:rsidR="00FB6935" w:rsidRPr="00496FB6" w:rsidP="0009078D" w14:paraId="7AC5A2D4" w14:textId="5F2C7784">
      <w:pPr>
        <w:ind w:firstLine="720"/>
      </w:pPr>
      <w:r w:rsidRPr="00496FB6">
        <w:t xml:space="preserve">“The penalty phase jury is not required to make written findings regarding its penalty choice, and the absence of such written findings does not preclude meaningful appellate review.” </w:t>
      </w:r>
      <w:r w:rsidRPr="00496FB6" w:rsidR="004E311A">
        <w:t xml:space="preserve"> </w:t>
      </w:r>
      <w:r w:rsidRPr="00496FB6">
        <w:t>(</w:t>
      </w:r>
      <w:bookmarkStart w:id="190" w:name="dabmci_c61632ecd0004320a4bd7418d5f6eba4"/>
      <w:r w:rsidRPr="00496FB6">
        <w:rPr>
          <w:i/>
          <w:iCs/>
        </w:rPr>
        <w:t>Schultz</w:t>
      </w:r>
      <w:r w:rsidRPr="00496FB6">
        <w:t xml:space="preserve">, </w:t>
      </w:r>
      <w:r w:rsidRPr="00496FB6">
        <w:rPr>
          <w:i/>
          <w:iCs/>
        </w:rPr>
        <w:t>supra</w:t>
      </w:r>
      <w:r w:rsidRPr="00496FB6">
        <w:t>, 10</w:t>
      </w:r>
      <w:r w:rsidRPr="00496FB6" w:rsidR="00E81E0D">
        <w:t> </w:t>
      </w:r>
      <w:r w:rsidRPr="00496FB6">
        <w:t>Cal.5th at p.</w:t>
      </w:r>
      <w:r w:rsidRPr="00496FB6" w:rsidR="00E81E0D">
        <w:t> </w:t>
      </w:r>
      <w:r w:rsidRPr="00496FB6">
        <w:t>684</w:t>
      </w:r>
      <w:bookmarkEnd w:id="190"/>
      <w:r w:rsidRPr="00496FB6">
        <w:t>.)</w:t>
      </w:r>
      <w:r w:rsidRPr="00496FB6" w:rsidR="00573A4A">
        <w:t xml:space="preserve"> </w:t>
      </w:r>
      <w:r w:rsidRPr="00496FB6" w:rsidR="00344798">
        <w:t xml:space="preserve"> </w:t>
      </w:r>
    </w:p>
    <w:p w:rsidR="00FB6935" w:rsidRPr="00496FB6" w:rsidP="0009078D" w14:paraId="57936739" w14:textId="76A0CC03">
      <w:pPr>
        <w:ind w:firstLine="720"/>
      </w:pPr>
      <w:r w:rsidRPr="00496FB6">
        <w:t>“Use of adjectives such as ‘e</w:t>
      </w:r>
      <w:r w:rsidRPr="00496FB6">
        <w:t>xtreme’ and ‘substantial’ in section 190.3, factors (d) and (g), respectively, does not create a constitutionally impermissible barrier to the jury</w:t>
      </w:r>
      <w:r w:rsidRPr="00496FB6" w:rsidR="0067795A">
        <w:t>’</w:t>
      </w:r>
      <w:r w:rsidRPr="00496FB6">
        <w:t>s consideration of a defendant</w:t>
      </w:r>
      <w:r w:rsidRPr="00496FB6" w:rsidR="00607FF2">
        <w:t>’</w:t>
      </w:r>
      <w:r w:rsidRPr="00496FB6">
        <w:t xml:space="preserve">s mitigating evidence.” </w:t>
      </w:r>
      <w:r w:rsidRPr="00496FB6" w:rsidR="004E311A">
        <w:t xml:space="preserve"> </w:t>
      </w:r>
      <w:r w:rsidRPr="00496FB6">
        <w:t>(</w:t>
      </w:r>
      <w:bookmarkStart w:id="191" w:name="dabmci_0cf7a55024744ce695783efdd94539c8"/>
      <w:r w:rsidRPr="00496FB6">
        <w:rPr>
          <w:i/>
          <w:iCs/>
        </w:rPr>
        <w:t>People v. Johnson</w:t>
      </w:r>
      <w:r w:rsidRPr="00496FB6" w:rsidR="00573A4A">
        <w:t xml:space="preserve"> (2016) </w:t>
      </w:r>
      <w:r w:rsidRPr="00496FB6">
        <w:t>62</w:t>
      </w:r>
      <w:r w:rsidRPr="00496FB6" w:rsidR="00E81E0D">
        <w:t> </w:t>
      </w:r>
      <w:r w:rsidRPr="00496FB6">
        <w:t xml:space="preserve">Cal.4th </w:t>
      </w:r>
      <w:r w:rsidRPr="00496FB6" w:rsidR="00573A4A">
        <w:t xml:space="preserve">600, </w:t>
      </w:r>
      <w:r w:rsidRPr="00496FB6">
        <w:t>656</w:t>
      </w:r>
      <w:bookmarkEnd w:id="191"/>
      <w:r w:rsidRPr="00496FB6">
        <w:t>.)</w:t>
      </w:r>
      <w:r w:rsidRPr="00496FB6" w:rsidR="00573A4A">
        <w:t xml:space="preserve">  </w:t>
      </w:r>
    </w:p>
    <w:p w:rsidR="00994B22" w:rsidRPr="00496FB6" w:rsidP="0009078D" w14:paraId="37735B8D" w14:textId="6528ABC8">
      <w:pPr>
        <w:ind w:firstLine="720"/>
      </w:pPr>
      <w:r w:rsidRPr="00496FB6">
        <w:t>“T</w:t>
      </w:r>
      <w:r w:rsidRPr="00496FB6">
        <w:t>here was no requirement that inapplicable sentencing factors be deleted.</w:t>
      </w:r>
      <w:r w:rsidRPr="00496FB6" w:rsidR="004A5438">
        <w:t>”</w:t>
      </w:r>
      <w:r w:rsidRPr="00496FB6" w:rsidR="00E1374F">
        <w:t xml:space="preserve">  </w:t>
      </w:r>
      <w:r w:rsidRPr="00496FB6" w:rsidR="004A5438">
        <w:t>(</w:t>
      </w:r>
      <w:bookmarkStart w:id="192" w:name="dabmci_2fbf31afc97945e6b0aad91144c6490a"/>
      <w:r w:rsidRPr="00496FB6">
        <w:rPr>
          <w:i/>
          <w:iCs/>
        </w:rPr>
        <w:t>People v. Bracamontes</w:t>
      </w:r>
      <w:r w:rsidRPr="00496FB6">
        <w:t xml:space="preserve"> (2022) 12</w:t>
      </w:r>
      <w:r w:rsidRPr="00496FB6" w:rsidR="00E81E0D">
        <w:t> </w:t>
      </w:r>
      <w:r w:rsidRPr="00496FB6">
        <w:t>Cal.5th 977, 1006</w:t>
      </w:r>
      <w:r w:rsidRPr="00496FB6" w:rsidR="0093326F">
        <w:t xml:space="preserve"> (</w:t>
      </w:r>
      <w:r w:rsidRPr="00496FB6" w:rsidR="0093326F">
        <w:rPr>
          <w:i/>
          <w:iCs/>
        </w:rPr>
        <w:t>Bracamontes</w:t>
      </w:r>
      <w:r w:rsidRPr="00496FB6" w:rsidR="0093326F">
        <w:t>)</w:t>
      </w:r>
      <w:bookmarkEnd w:id="192"/>
      <w:r w:rsidRPr="00496FB6" w:rsidR="004A5438">
        <w:t>.)</w:t>
      </w:r>
      <w:r w:rsidRPr="00496FB6" w:rsidR="005F00AB">
        <w:t xml:space="preserve">  </w:t>
      </w:r>
    </w:p>
    <w:p w:rsidR="00FE06FA" w:rsidRPr="00496FB6" w:rsidP="0009078D" w14:paraId="0BA052CB" w14:textId="5098161D">
      <w:pPr>
        <w:ind w:firstLine="720"/>
      </w:pPr>
      <w:r w:rsidRPr="00496FB6">
        <w:t xml:space="preserve">The </w:t>
      </w:r>
      <w:r w:rsidRPr="00496FB6" w:rsidR="00BE2662">
        <w:t xml:space="preserve">trial </w:t>
      </w:r>
      <w:r w:rsidRPr="00496FB6">
        <w:t xml:space="preserve">court </w:t>
      </w:r>
      <w:r w:rsidRPr="00496FB6" w:rsidR="00BE2662">
        <w:t>was not required to “</w:t>
      </w:r>
      <w:r w:rsidRPr="00496FB6">
        <w:t xml:space="preserve">define which of the statutory factors could be aggravating and which </w:t>
      </w:r>
      <w:r w:rsidRPr="00496FB6">
        <w:t>were only mitigating</w:t>
      </w:r>
      <w:r w:rsidRPr="00496FB6" w:rsidR="00BE2662">
        <w:t xml:space="preserve">.” </w:t>
      </w:r>
      <w:r w:rsidRPr="00496FB6" w:rsidR="00480178">
        <w:t xml:space="preserve"> (</w:t>
      </w:r>
      <w:bookmarkStart w:id="193" w:name="dabmci_cf7b5b0c581a46f9adeb39b6a391ccfa"/>
      <w:r w:rsidRPr="00496FB6">
        <w:rPr>
          <w:i/>
          <w:iCs/>
        </w:rPr>
        <w:t>People v. Hillhouse</w:t>
      </w:r>
      <w:r w:rsidRPr="00496FB6">
        <w:t xml:space="preserve"> (2002) 27</w:t>
      </w:r>
      <w:r w:rsidRPr="00496FB6" w:rsidR="00E81E0D">
        <w:t> </w:t>
      </w:r>
      <w:r w:rsidRPr="00496FB6">
        <w:t>Cal.4th 469, 509</w:t>
      </w:r>
      <w:bookmarkEnd w:id="193"/>
      <w:r w:rsidRPr="00496FB6" w:rsidR="00BE2662">
        <w:t>; accord</w:t>
      </w:r>
      <w:r w:rsidRPr="00496FB6" w:rsidR="00C63362">
        <w:t>,</w:t>
      </w:r>
      <w:r w:rsidRPr="00496FB6" w:rsidR="00BE2662">
        <w:t xml:space="preserve"> </w:t>
      </w:r>
      <w:bookmarkStart w:id="194" w:name="dabmci_9128236c6fb143afb9917178fdc89f82"/>
      <w:r w:rsidRPr="00496FB6" w:rsidR="00BE2662">
        <w:rPr>
          <w:i/>
          <w:iCs/>
        </w:rPr>
        <w:t>Bracamontes</w:t>
      </w:r>
      <w:r w:rsidRPr="00496FB6" w:rsidR="00BE2662">
        <w:t>,</w:t>
      </w:r>
      <w:r w:rsidRPr="00496FB6" w:rsidR="003E7408">
        <w:t xml:space="preserve"> </w:t>
      </w:r>
      <w:r w:rsidRPr="00496FB6" w:rsidR="00BE2662">
        <w:rPr>
          <w:i/>
          <w:iCs/>
        </w:rPr>
        <w:t>supra</w:t>
      </w:r>
      <w:r w:rsidRPr="00496FB6" w:rsidR="00BE2662">
        <w:t xml:space="preserve">, </w:t>
      </w:r>
      <w:r w:rsidRPr="00496FB6" w:rsidR="0084398A">
        <w:t>12</w:t>
      </w:r>
      <w:r w:rsidRPr="00496FB6" w:rsidR="00E81E0D">
        <w:t> </w:t>
      </w:r>
      <w:r w:rsidRPr="00496FB6" w:rsidR="0084398A">
        <w:t xml:space="preserve">Cal.5th </w:t>
      </w:r>
      <w:r w:rsidRPr="00496FB6" w:rsidR="00BE2662">
        <w:t>at p.</w:t>
      </w:r>
      <w:r w:rsidRPr="00496FB6" w:rsidR="00E81E0D">
        <w:t> </w:t>
      </w:r>
      <w:r w:rsidRPr="00496FB6" w:rsidR="00BE2662">
        <w:t>1006</w:t>
      </w:r>
      <w:bookmarkEnd w:id="194"/>
      <w:r w:rsidRPr="00496FB6" w:rsidR="00BE2662">
        <w:t>.)</w:t>
      </w:r>
      <w:r w:rsidRPr="00496FB6" w:rsidR="005F00AB">
        <w:t xml:space="preserve"> </w:t>
      </w:r>
      <w:r w:rsidRPr="00496FB6" w:rsidR="004E311A">
        <w:t xml:space="preserve"> </w:t>
      </w:r>
    </w:p>
    <w:p w:rsidR="00CA2C13" w:rsidRPr="00496FB6" w:rsidP="0009078D" w14:paraId="04043A42" w14:textId="0755866F">
      <w:pPr>
        <w:ind w:firstLine="720"/>
      </w:pPr>
      <w:r w:rsidRPr="00496FB6">
        <w:t xml:space="preserve">“Comparative intercase proportionality review by the trial or appellate courts is not constitutionally required.” </w:t>
      </w:r>
      <w:r w:rsidRPr="00496FB6" w:rsidR="00ED6DEA">
        <w:t xml:space="preserve"> </w:t>
      </w:r>
      <w:r w:rsidRPr="00496FB6">
        <w:t>(</w:t>
      </w:r>
      <w:bookmarkStart w:id="195" w:name="dabmci_6bff7c56e472418880a219e39c0c219e"/>
      <w:r w:rsidRPr="00496FB6">
        <w:rPr>
          <w:i/>
          <w:iCs/>
        </w:rPr>
        <w:t>People v. Snow</w:t>
      </w:r>
      <w:r w:rsidRPr="00496FB6">
        <w:t xml:space="preserve"> (2003) 30</w:t>
      </w:r>
      <w:r w:rsidRPr="00496FB6" w:rsidR="007500B7">
        <w:t> </w:t>
      </w:r>
      <w:r w:rsidRPr="00496FB6">
        <w:t>Cal.4th 43, 126</w:t>
      </w:r>
      <w:bookmarkEnd w:id="195"/>
      <w:r w:rsidRPr="00496FB6">
        <w:t>.)</w:t>
      </w:r>
      <w:r w:rsidRPr="00496FB6" w:rsidR="00580026">
        <w:t xml:space="preserve"> </w:t>
      </w:r>
      <w:r w:rsidRPr="00496FB6" w:rsidR="00750054">
        <w:t xml:space="preserve"> </w:t>
      </w:r>
    </w:p>
    <w:p w:rsidR="005F00AB" w:rsidRPr="00496FB6" w:rsidP="0009078D" w14:paraId="3ECB1CBF" w14:textId="3045B031">
      <w:pPr>
        <w:ind w:firstLine="720"/>
      </w:pPr>
      <w:r w:rsidRPr="00496FB6">
        <w:t xml:space="preserve">“The death penalty scheme does not violate equal protection principles </w:t>
      </w:r>
      <w:r w:rsidRPr="00496FB6" w:rsidR="00927918">
        <w:t>‘</w:t>
      </w:r>
      <w:r w:rsidRPr="00496FB6">
        <w:t>by providing significan</w:t>
      </w:r>
      <w:r w:rsidRPr="00496FB6">
        <w:t>tly fewer procedural protections for persons facing a death sentence than are afforded persons charged with noncapital crimes.</w:t>
      </w:r>
      <w:r w:rsidRPr="00496FB6" w:rsidR="00927918">
        <w:t>’ </w:t>
      </w:r>
      <w:r w:rsidRPr="00496FB6">
        <w:t>”  (</w:t>
      </w:r>
      <w:bookmarkStart w:id="196" w:name="dabmci_8ac820321c0543f89e67bb6da2e35376"/>
      <w:r w:rsidRPr="00496FB6">
        <w:rPr>
          <w:i/>
          <w:iCs/>
        </w:rPr>
        <w:t>Bracamontes</w:t>
      </w:r>
      <w:r w:rsidRPr="00496FB6">
        <w:t>,</w:t>
      </w:r>
      <w:r w:rsidRPr="00496FB6" w:rsidR="003E7408">
        <w:t xml:space="preserve"> </w:t>
      </w:r>
      <w:r w:rsidRPr="00496FB6">
        <w:rPr>
          <w:i/>
          <w:iCs/>
        </w:rPr>
        <w:t>supra</w:t>
      </w:r>
      <w:r w:rsidRPr="00496FB6">
        <w:t>, 12</w:t>
      </w:r>
      <w:r w:rsidRPr="00496FB6" w:rsidR="007500B7">
        <w:t> </w:t>
      </w:r>
      <w:r w:rsidRPr="00496FB6">
        <w:t>Cal.5th at pp.</w:t>
      </w:r>
      <w:r w:rsidRPr="00496FB6" w:rsidR="007500B7">
        <w:t> </w:t>
      </w:r>
      <w:r w:rsidRPr="00496FB6">
        <w:t>1006–1007</w:t>
      </w:r>
      <w:bookmarkEnd w:id="196"/>
      <w:r w:rsidRPr="00496FB6">
        <w:t>.)</w:t>
      </w:r>
      <w:r w:rsidRPr="00496FB6" w:rsidR="00580026">
        <w:t xml:space="preserve"> </w:t>
      </w:r>
      <w:r w:rsidRPr="00496FB6" w:rsidR="004E311A">
        <w:t xml:space="preserve"> </w:t>
      </w:r>
    </w:p>
    <w:p w:rsidR="005869C9" w:rsidRPr="00496FB6" w:rsidP="0009078D" w14:paraId="4AB1B425" w14:textId="28BF990F">
      <w:pPr>
        <w:ind w:firstLine="720"/>
      </w:pPr>
      <w:r w:rsidRPr="00496FB6">
        <w:t>“The imposition of the death penalty under California</w:t>
      </w:r>
      <w:r w:rsidRPr="00496FB6" w:rsidR="005F00AB">
        <w:t>’</w:t>
      </w:r>
      <w:r w:rsidRPr="00496FB6">
        <w:t xml:space="preserve">s law does not </w:t>
      </w:r>
      <w:r w:rsidRPr="00496FB6">
        <w:t>violate international law or prevailing norms of decency.”</w:t>
      </w:r>
      <w:r w:rsidRPr="00496FB6" w:rsidR="005F00AB">
        <w:t xml:space="preserve"> </w:t>
      </w:r>
      <w:r w:rsidRPr="00496FB6">
        <w:t xml:space="preserve"> (</w:t>
      </w:r>
      <w:bookmarkStart w:id="197" w:name="dabmci_25f81386f8414f768692388e1874d74c"/>
      <w:r w:rsidRPr="00496FB6">
        <w:rPr>
          <w:i/>
          <w:iCs/>
        </w:rPr>
        <w:t>People v. Krebs</w:t>
      </w:r>
      <w:r w:rsidRPr="00496FB6">
        <w:t xml:space="preserve"> (2019) 8</w:t>
      </w:r>
      <w:r w:rsidRPr="00496FB6" w:rsidR="007500B7">
        <w:t> </w:t>
      </w:r>
      <w:r w:rsidRPr="00496FB6">
        <w:t>Cal.5th 265, 351</w:t>
      </w:r>
      <w:bookmarkEnd w:id="197"/>
      <w:r w:rsidRPr="00496FB6">
        <w:t>.)</w:t>
      </w:r>
      <w:r w:rsidRPr="00496FB6" w:rsidR="004E311A">
        <w:t xml:space="preserve"> </w:t>
      </w:r>
      <w:r w:rsidRPr="00496FB6" w:rsidR="005F00AB">
        <w:t xml:space="preserve"> </w:t>
      </w:r>
    </w:p>
    <w:p w:rsidR="00C30E79" w:rsidRPr="00496FB6" w:rsidP="00F93003" w14:paraId="3CC9E593" w14:textId="2185F6BD">
      <w:pPr>
        <w:pStyle w:val="Heading1"/>
        <w:keepLines/>
      </w:pPr>
      <w:bookmarkStart w:id="198" w:name="_Toc147519574"/>
      <w:bookmarkStart w:id="199" w:name="_Toc147845702"/>
      <w:r w:rsidRPr="00496FB6">
        <w:t>I</w:t>
      </w:r>
      <w:r w:rsidRPr="00496FB6" w:rsidR="002E3223">
        <w:t>II</w:t>
      </w:r>
      <w:r w:rsidRPr="00496FB6">
        <w:t xml:space="preserve">. </w:t>
      </w:r>
      <w:r w:rsidRPr="00496FB6" w:rsidR="00CC270A">
        <w:t xml:space="preserve"> </w:t>
      </w:r>
      <w:bookmarkEnd w:id="198"/>
      <w:r w:rsidRPr="00496FB6" w:rsidR="005409CE">
        <w:t>DISPOSITION</w:t>
      </w:r>
      <w:bookmarkEnd w:id="199"/>
    </w:p>
    <w:p w:rsidR="00BF0C13" w:rsidRPr="00496FB6" w:rsidP="00F93003" w14:paraId="077A55CE" w14:textId="60554AC7">
      <w:pPr>
        <w:keepNext/>
        <w:keepLines/>
        <w:ind w:firstLine="720"/>
      </w:pPr>
      <w:r>
        <w:t>W</w:t>
      </w:r>
      <w:r w:rsidRPr="00496FB6" w:rsidR="00C30E79">
        <w:t>e affirm the judgment in its entirety.</w:t>
      </w:r>
    </w:p>
    <w:p w:rsidR="00C30E79" w:rsidRPr="00496FB6" w:rsidP="00F93003" w14:paraId="69770F95" w14:textId="179DB474">
      <w:pPr>
        <w:keepNext/>
        <w:keepLines/>
      </w:pPr>
    </w:p>
    <w:p w:rsidR="00305B31" w:rsidRPr="00496FB6" w:rsidP="00F93003" w14:paraId="73D3E5AD" w14:textId="18CE7015">
      <w:pPr>
        <w:keepNext/>
        <w:keepLines/>
        <w:jc w:val="right"/>
      </w:pPr>
      <w:r w:rsidRPr="00496FB6">
        <w:rPr>
          <w:b/>
          <w:bCs/>
        </w:rPr>
        <w:t>GUERRERO, C. J</w:t>
      </w:r>
      <w:r>
        <w:rPr>
          <w:b/>
          <w:bCs/>
        </w:rPr>
        <w:t>.</w:t>
      </w:r>
      <w:bookmarkStart w:id="200" w:name="mainstory"/>
      <w:bookmarkStart w:id="201" w:name="dabmci_c0ebed48da5b40ccb11e5e11d8b6864f"/>
      <w:bookmarkEnd w:id="200"/>
      <w:r w:rsidR="006344E2">
        <w:t xml:space="preserve">  </w:t>
      </w:r>
    </w:p>
    <w:bookmarkEnd w:id="201"/>
    <w:p w:rsidR="0006082D" w:rsidP="0006082D" w14:paraId="16B8E0F6" w14:textId="77777777">
      <w:pPr>
        <w:keepNext/>
        <w:jc w:val="left"/>
        <w:rPr>
          <w:b/>
          <w:bCs/>
          <w:szCs w:val="26"/>
        </w:rPr>
      </w:pPr>
      <w:r>
        <w:rPr>
          <w:b/>
          <w:bCs/>
          <w:szCs w:val="26"/>
        </w:rPr>
        <w:t>We Concur:</w:t>
      </w:r>
    </w:p>
    <w:p w:rsidR="0006082D" w:rsidRPr="00077BAA" w:rsidP="0006082D" w14:paraId="4D9AEA79" w14:textId="77777777">
      <w:pPr>
        <w:keepNext/>
        <w:spacing w:after="0" w:line="240" w:lineRule="auto"/>
        <w:rPr>
          <w:b/>
          <w:lang w:val="it-IT"/>
        </w:rPr>
      </w:pPr>
      <w:r w:rsidRPr="00077BAA">
        <w:rPr>
          <w:b/>
          <w:lang w:val="it-IT"/>
        </w:rPr>
        <w:t>CORRIGAN, J.</w:t>
      </w:r>
    </w:p>
    <w:p w:rsidR="0006082D" w:rsidRPr="00077BAA" w:rsidP="0006082D" w14:paraId="7411F5C2" w14:textId="77777777">
      <w:pPr>
        <w:spacing w:after="0" w:line="240" w:lineRule="auto"/>
        <w:jc w:val="left"/>
        <w:rPr>
          <w:b/>
        </w:rPr>
      </w:pPr>
      <w:r>
        <w:rPr>
          <w:b/>
        </w:rPr>
        <w:t>KRUGER, J.</w:t>
      </w:r>
    </w:p>
    <w:p w:rsidR="0006082D" w:rsidRPr="00077BAA" w:rsidP="0006082D" w14:paraId="700E0E95" w14:textId="77777777">
      <w:pPr>
        <w:spacing w:after="0" w:line="240" w:lineRule="auto"/>
        <w:jc w:val="left"/>
        <w:rPr>
          <w:b/>
          <w:lang w:val="it-IT"/>
        </w:rPr>
      </w:pPr>
      <w:r>
        <w:rPr>
          <w:b/>
          <w:lang w:val="it-IT"/>
        </w:rPr>
        <w:t>GROBAN, J.</w:t>
      </w:r>
    </w:p>
    <w:p w:rsidR="0006082D" w:rsidP="0006082D" w14:paraId="665254C0" w14:textId="77777777">
      <w:pPr>
        <w:spacing w:after="0" w:line="240" w:lineRule="auto"/>
        <w:jc w:val="left"/>
        <w:rPr>
          <w:b/>
        </w:rPr>
      </w:pPr>
      <w:r w:rsidRPr="00077BAA">
        <w:rPr>
          <w:b/>
        </w:rPr>
        <w:t>JENKINS, J.</w:t>
      </w:r>
    </w:p>
    <w:p w:rsidR="00F24F40" w:rsidP="0006082D" w14:paraId="68DF2DEE" w14:textId="77777777">
      <w:pPr>
        <w:spacing w:after="0" w:line="240" w:lineRule="auto"/>
        <w:jc w:val="left"/>
        <w:rPr>
          <w:b/>
        </w:rPr>
        <w:sectPr w:rsidSect="004335F7">
          <w:footerReference w:type="first" r:id="rId10"/>
          <w:pgSz w:w="12240" w:h="15840"/>
          <w:pgMar w:top="1800" w:right="2160" w:bottom="1440" w:left="2160" w:header="720" w:footer="720" w:gutter="0"/>
          <w:pgNumType w:start="1"/>
          <w:cols w:space="720"/>
          <w:titlePg/>
          <w:docGrid w:linePitch="367"/>
        </w:sectPr>
      </w:pPr>
    </w:p>
    <w:p w:rsidR="00FA64C4" w:rsidP="00FA64C4" w14:paraId="52B52E60" w14:textId="77777777">
      <w:pPr>
        <w:jc w:val="center"/>
      </w:pPr>
      <w:r>
        <w:t>PEOPLE v. FRAZIER</w:t>
      </w:r>
    </w:p>
    <w:p w:rsidR="00FA64C4" w:rsidP="00FA64C4" w14:paraId="0BC0FF4E" w14:textId="77777777">
      <w:pPr>
        <w:jc w:val="center"/>
      </w:pPr>
      <w:r>
        <w:t>S148863</w:t>
      </w:r>
    </w:p>
    <w:p w:rsidR="00FA64C4" w:rsidP="00FA64C4" w14:paraId="060F126E" w14:textId="77777777">
      <w:pPr>
        <w:jc w:val="center"/>
      </w:pPr>
    </w:p>
    <w:p w:rsidR="00FA64C4" w:rsidP="00FA64C4" w14:paraId="0B42B731" w14:textId="77777777">
      <w:pPr>
        <w:jc w:val="center"/>
      </w:pPr>
      <w:r>
        <w:t>Dissenting Opinion by Justice Liu</w:t>
      </w:r>
    </w:p>
    <w:p w:rsidR="00FA64C4" w:rsidP="00FA64C4" w14:paraId="197A933E" w14:textId="77777777">
      <w:pPr>
        <w:jc w:val="center"/>
      </w:pPr>
    </w:p>
    <w:p w:rsidR="00FA64C4" w:rsidP="00FA64C4" w14:paraId="0E6F6D18" w14:textId="77777777">
      <w:pPr>
        <w:pStyle w:val="BodyText"/>
        <w:ind w:firstLine="720"/>
      </w:pPr>
      <w:r w:rsidRPr="007D671D">
        <w:t xml:space="preserve">I join </w:t>
      </w:r>
      <w:r>
        <w:t xml:space="preserve">the portion of </w:t>
      </w:r>
      <w:r w:rsidRPr="007D671D">
        <w:t>Justice Evans</w:t>
      </w:r>
      <w:r>
        <w:t>’</w:t>
      </w:r>
      <w:r w:rsidRPr="007D671D">
        <w:t>s dissenting opinion</w:t>
      </w:r>
      <w:r>
        <w:t xml:space="preserve"> that addresses the California </w:t>
      </w:r>
      <w:r w:rsidRPr="004C086E">
        <w:t>Racial Justice Act</w:t>
      </w:r>
      <w:r>
        <w:t xml:space="preserve"> of 2020 </w:t>
      </w:r>
      <w:r w:rsidRPr="004C086E">
        <w:t>(</w:t>
      </w:r>
      <w:r w:rsidRPr="00467FA6">
        <w:t>Pen. Code, §§</w:t>
      </w:r>
      <w:r>
        <w:t> </w:t>
      </w:r>
      <w:r w:rsidRPr="00467FA6">
        <w:t>745, 1473, 1473.7</w:t>
      </w:r>
      <w:r w:rsidRPr="004C086E">
        <w:t>)</w:t>
      </w:r>
      <w:r>
        <w:t xml:space="preserve"> and the court’s disposition of Frazier’s motion for stay and remand thereunder.  (Dis. opn. of Evans, J., </w:t>
      </w:r>
      <w:r>
        <w:rPr>
          <w:i/>
          <w:iCs/>
        </w:rPr>
        <w:t>post</w:t>
      </w:r>
      <w:r>
        <w:t>, at pp. 1–9.)</w:t>
      </w:r>
      <w:r w:rsidRPr="007D671D">
        <w:t xml:space="preserve"> </w:t>
      </w:r>
      <w:r>
        <w:t xml:space="preserve"> For the reasons discussed in Justice Evans’s dissenting opinion, </w:t>
      </w:r>
      <w:r w:rsidRPr="007D671D">
        <w:t xml:space="preserve">I </w:t>
      </w:r>
      <w:r>
        <w:t>also “</w:t>
      </w:r>
      <w:r w:rsidRPr="000431EB">
        <w:t>disagree with the majority opinion’s summary denial of F</w:t>
      </w:r>
      <w:r w:rsidRPr="000431EB">
        <w:t>razier’s motion for a stay of the appeal and a limited remand</w:t>
      </w:r>
      <w:r>
        <w:t>, which would</w:t>
      </w:r>
      <w:r w:rsidRPr="000431EB">
        <w:t xml:space="preserve"> allow him to pursue a motion for relief</w:t>
      </w:r>
      <w:r>
        <w:t>” under</w:t>
      </w:r>
      <w:r w:rsidRPr="007D671D">
        <w:t xml:space="preserve"> </w:t>
      </w:r>
      <w:r>
        <w:t xml:space="preserve">Penal Code </w:t>
      </w:r>
      <w:r w:rsidRPr="007D671D">
        <w:t>section</w:t>
      </w:r>
      <w:r>
        <w:t> </w:t>
      </w:r>
      <w:r w:rsidRPr="007D671D">
        <w:t>745</w:t>
      </w:r>
      <w:r>
        <w:t>, subdivision (b).  (Dis. opn. of Evans, J., at p. 9.)</w:t>
      </w:r>
    </w:p>
    <w:p w:rsidR="00FA64C4" w:rsidP="00FA64C4" w14:paraId="63B8F4B4" w14:textId="77777777">
      <w:pPr>
        <w:pStyle w:val="BodyText"/>
        <w:ind w:firstLine="720"/>
      </w:pPr>
    </w:p>
    <w:p w:rsidR="00FA64C4" w:rsidRPr="007D671D" w:rsidP="00FA64C4" w14:paraId="49908611" w14:textId="77777777">
      <w:pPr>
        <w:pStyle w:val="BodyText"/>
        <w:ind w:left="4320" w:firstLine="720"/>
        <w:rPr>
          <w:b/>
          <w:bCs/>
        </w:rPr>
      </w:pPr>
      <w:r>
        <w:rPr>
          <w:b/>
          <w:bCs/>
        </w:rPr>
        <w:t>LIU, J.</w:t>
      </w:r>
    </w:p>
    <w:p w:rsidR="00FD6DCF" w:rsidP="0006082D" w14:paraId="7B6994DA" w14:textId="77777777">
      <w:pPr>
        <w:spacing w:after="0" w:line="240" w:lineRule="auto"/>
        <w:jc w:val="left"/>
        <w:rPr>
          <w:b/>
        </w:rPr>
        <w:sectPr w:rsidSect="008C6391">
          <w:headerReference w:type="even" r:id="rId11"/>
          <w:headerReference w:type="default" r:id="rId12"/>
          <w:footerReference w:type="even" r:id="rId13"/>
          <w:footerReference w:type="default" r:id="rId14"/>
          <w:headerReference w:type="first" r:id="rId15"/>
          <w:footerReference w:type="first" r:id="rId16"/>
          <w:pgSz w:w="12240" w:h="15840" w:code="1"/>
          <w:pgMar w:top="1800" w:right="2160" w:bottom="1440" w:left="2160" w:header="720" w:footer="720" w:gutter="0"/>
          <w:pgNumType w:start="1"/>
          <w:cols w:space="720"/>
          <w:titlePg/>
        </w:sectPr>
      </w:pPr>
    </w:p>
    <w:p w:rsidR="00552FD1" w:rsidP="00552FD1" w14:paraId="2D3A52A8" w14:textId="77777777">
      <w:pPr>
        <w:jc w:val="center"/>
      </w:pPr>
      <w:r>
        <w:t>PEOPLE v. FRAZIER</w:t>
      </w:r>
    </w:p>
    <w:p w:rsidR="00552FD1" w:rsidP="00552FD1" w14:paraId="3181D0F2" w14:textId="77777777">
      <w:pPr>
        <w:jc w:val="center"/>
      </w:pPr>
      <w:r>
        <w:t>S148863</w:t>
      </w:r>
    </w:p>
    <w:p w:rsidR="00552FD1" w:rsidP="00552FD1" w14:paraId="5C39AC8E" w14:textId="77777777">
      <w:pPr>
        <w:jc w:val="center"/>
      </w:pPr>
    </w:p>
    <w:p w:rsidR="00552FD1" w:rsidP="00552FD1" w14:paraId="2B9D98DB" w14:textId="77777777">
      <w:pPr>
        <w:jc w:val="center"/>
      </w:pPr>
      <w:r>
        <w:t>Dissenting Opinion by Justice Evans</w:t>
      </w:r>
    </w:p>
    <w:p w:rsidR="00552FD1" w:rsidP="00552FD1" w14:paraId="57FDD828" w14:textId="77777777">
      <w:pPr>
        <w:jc w:val="center"/>
      </w:pPr>
    </w:p>
    <w:p w:rsidR="00552FD1" w:rsidP="00552FD1" w14:paraId="405A6520" w14:textId="77777777">
      <w:pPr>
        <w:ind w:firstLine="720"/>
      </w:pPr>
      <w:r>
        <w:t xml:space="preserve">Robert Ward Frazier was convicted of murder with rape and sodomy special circumstances and sentenced to death.  His automatic appeal became fully briefed in 2017.  On January 1, 2024, while his automatic appeal was pending, recent amendments to the Racial </w:t>
      </w:r>
      <w:r>
        <w:t>Justice Act (RJA) (Stats. 2020, ch. 317) took effect, including a provision that permits capital defendants in Frazier’s position to request a stay of their appeal and a remand to the superior court to enable them to challenge their death judgment as a pro</w:t>
      </w:r>
      <w:r>
        <w:t xml:space="preserve">duct of racial bias.  (See Pen. Code, § 745, subd. (b); Stats. 2023, ch. 464, § 1.)  Shortly after the 2023 amendments were signed into law, and before they took effect, Frazier filed a Motion for Stay of Appeal and Limited Remand to enable him to present </w:t>
      </w:r>
      <w:r>
        <w:t xml:space="preserve">a challenge in the superior court to his death judgment under the RJA.  Frazier alleged that there were significant disparities in capital sentencing based on the race of the victim statewide and in Contra Costa County in particular.  (See </w:t>
      </w:r>
      <w:r w:rsidRPr="00444EEF">
        <w:rPr>
          <w:i/>
          <w:iCs/>
        </w:rPr>
        <w:t>id</w:t>
      </w:r>
      <w:r>
        <w:t>., subd. (a)(4</w:t>
      </w:r>
      <w:r>
        <w:t xml:space="preserve">)(B).)  </w:t>
      </w:r>
      <w:r w:rsidRPr="00444EEF">
        <w:t>According</w:t>
      </w:r>
      <w:r>
        <w:t xml:space="preserve"> to his expert’s preliminary findings, homicides with White victims in Contra Costa County were twice as likely to result in a death sentence as homicides with Black or Latino victims.  The victim in this case was White.  </w:t>
      </w:r>
    </w:p>
    <w:p w:rsidR="00552FD1" w:rsidP="00552FD1" w14:paraId="66E65A5C" w14:textId="77777777">
      <w:pPr>
        <w:ind w:firstLine="720"/>
      </w:pPr>
      <w:r>
        <w:t>In his motion, F</w:t>
      </w:r>
      <w:r>
        <w:t>razier amply justified why he could not currently present his RJA claim in this appeal:  it relies on evidence that is outside the appellate record.  He has also explained why relegating him to a petition for writ of habeas corpus to present his RJA claims</w:t>
      </w:r>
      <w:r>
        <w:t xml:space="preserve"> would be “an illusory remedy.”  As I noted in my dissenting opinion in </w:t>
      </w:r>
      <w:r>
        <w:rPr>
          <w:i/>
          <w:iCs/>
        </w:rPr>
        <w:t>People v. Wilson</w:t>
      </w:r>
      <w:r>
        <w:t xml:space="preserve"> </w:t>
      </w:r>
      <w:r w:rsidRPr="00123DF1">
        <w:t>(</w:t>
      </w:r>
      <w:r>
        <w:t>Aug. 5, 2024</w:t>
      </w:r>
      <w:r w:rsidRPr="00123DF1">
        <w:t>, S118775) ___ Cal.5th ___</w:t>
      </w:r>
      <w:r>
        <w:t xml:space="preserve"> [p. 11] (dis. opn. of Evans, J.) (</w:t>
      </w:r>
      <w:r>
        <w:rPr>
          <w:i/>
          <w:iCs/>
        </w:rPr>
        <w:t>Wilson</w:t>
      </w:r>
      <w:r>
        <w:t>), counsel appointments for capital habeas corpus proceedings are plagued by “yearslong</w:t>
      </w:r>
      <w:r>
        <w:t xml:space="preserve"> delays” caused, in large part, by a lack of qualified counsel and funding.  Indeed, only </w:t>
      </w:r>
      <w:r>
        <w:rPr>
          <w:i/>
          <w:iCs/>
        </w:rPr>
        <w:t>one</w:t>
      </w:r>
      <w:r>
        <w:t xml:space="preserve"> death row inmate has been appointed counsel to prepare a habeas corpus petition since the passage of Proposition 66 in 2016 — nearly </w:t>
      </w:r>
      <w:r>
        <w:rPr>
          <w:i/>
          <w:iCs/>
        </w:rPr>
        <w:t>eight</w:t>
      </w:r>
      <w:r>
        <w:t xml:space="preserve"> years ago — and (other </w:t>
      </w:r>
      <w:r>
        <w:t>than the attorneys at the Habeas Corpus Resource Center) only four attorneys in California have met the qualifications under the Rules of Court to represent capital inmates in habeas corpus proceedings.  (</w:t>
      </w:r>
      <w:r>
        <w:rPr>
          <w:i/>
          <w:iCs/>
        </w:rPr>
        <w:t>Wilson</w:t>
      </w:r>
      <w:r>
        <w:t xml:space="preserve">, </w:t>
      </w:r>
      <w:r>
        <w:rPr>
          <w:i/>
          <w:iCs/>
        </w:rPr>
        <w:t>supra</w:t>
      </w:r>
      <w:r>
        <w:t>, ___ Cal.5th ___ [p. 17] (dis. opn. o</w:t>
      </w:r>
      <w:r>
        <w:t xml:space="preserve">f Evans, J.).)  Moreover, once Frazier’s appeal becomes final, he will move to the back of a 140-person line as a </w:t>
      </w:r>
      <w:r>
        <w:rPr>
          <w:i/>
          <w:iCs/>
        </w:rPr>
        <w:t>Morgan</w:t>
      </w:r>
      <w:r>
        <w:t xml:space="preserve"> petitioner (</w:t>
      </w:r>
      <w:r>
        <w:rPr>
          <w:i/>
          <w:iCs/>
        </w:rPr>
        <w:t>In re Morgan</w:t>
      </w:r>
      <w:r>
        <w:t xml:space="preserve"> (2010) 50 Cal.4th 932) — i.e., a capital defendant whose appeal is final and is awaiting appointment of state </w:t>
      </w:r>
      <w:r>
        <w:t>habeas counsel.  (</w:t>
      </w:r>
      <w:r>
        <w:rPr>
          <w:i/>
          <w:iCs/>
        </w:rPr>
        <w:t>Wilson</w:t>
      </w:r>
      <w:r>
        <w:t xml:space="preserve">, </w:t>
      </w:r>
      <w:r>
        <w:rPr>
          <w:i/>
          <w:iCs/>
        </w:rPr>
        <w:t>supra</w:t>
      </w:r>
      <w:r>
        <w:t>, at p. ___ [pp. 17–18] (dis. opn. of Evans, J.).)  Assuming counsel will eventually be appointed despite these constraints and delays, Frazier then points out that “relevant evidence or court records may have been lost,” “wi</w:t>
      </w:r>
      <w:r>
        <w:t>tnesses may have died,” and “[m]emories certainly will have faded.”</w:t>
      </w:r>
    </w:p>
    <w:p w:rsidR="00552FD1" w:rsidP="00552FD1" w14:paraId="2E255E2E" w14:textId="77777777">
      <w:pPr>
        <w:ind w:firstLine="720"/>
      </w:pPr>
      <w:r>
        <w:t>The habeas corpus procedure is thus less attractive, less desirable, and less efficient — even under ordinary circumstances — than a stay of Frazier’s appeal and a remand to permit his cur</w:t>
      </w:r>
      <w:r>
        <w:t>rent counsel to file a motion for relief under the RJA.  But these are not ordinary circumstances, and the RJA is not just any ordinary statute.  In enacting the RJA, the Legislature declared that “ ‘[w]e cannot simply accept the stark reality that race pe</w:t>
      </w:r>
      <w:r>
        <w:t>rvades our system of justice.  Rather, we must acknowledge and seek to remedy that reality and create a fair system of justice that upholds our democratic ideals.”  (Stats. 2020, ch. 317, § 2, subd. (b).)  The RJA squarely rejects the assumption that racia</w:t>
      </w:r>
      <w:r>
        <w:t>l disparities in our criminal justice system are “inevitable” and that ensuring “race plays no role at all in seeking or obtaining convictions or in sentencing” would result in “ ‘too much justice.’ ”  (</w:t>
      </w:r>
      <w:r>
        <w:rPr>
          <w:i/>
          <w:iCs/>
        </w:rPr>
        <w:t>Id</w:t>
      </w:r>
      <w:r>
        <w:t>., § 2, subds. (i), (f).)  Instead, by extending th</w:t>
      </w:r>
      <w:r>
        <w:t>ese protections to people who had already been convicted, the Legislature emphasized that these defendants had already been waiting “too long” for the remedies provided in the RJA.  (</w:t>
      </w:r>
      <w:r w:rsidRPr="0036092D">
        <w:t>Assem. Conc</w:t>
      </w:r>
      <w:r>
        <w:t>.</w:t>
      </w:r>
      <w:r w:rsidRPr="0036092D">
        <w:t xml:space="preserve"> Sen. Amends. to Assem. Bill No. 256 (2021–2022 Reg. Sess.) a</w:t>
      </w:r>
      <w:r w:rsidRPr="0036092D">
        <w:t>s amended Aug. 24, 2022, p. 4.)</w:t>
      </w:r>
      <w:r>
        <w:t xml:space="preserve">  </w:t>
      </w:r>
      <w:r w:rsidRPr="00563732">
        <w:t xml:space="preserve">Indeed, “ ‘[t]hose with prior, racially biased convictions and sentences deserve equal justice under the law and </w:t>
      </w:r>
      <w:r w:rsidRPr="00563732">
        <w:rPr>
          <w:i/>
          <w:iCs/>
        </w:rPr>
        <w:t>have waited</w:t>
      </w:r>
      <w:r w:rsidRPr="00563732">
        <w:t xml:space="preserve">.’ ” </w:t>
      </w:r>
      <w:r>
        <w:t xml:space="preserve"> </w:t>
      </w:r>
      <w:r w:rsidRPr="00563732">
        <w:t>(Sen. Rules Com., Off. of Sen. Floor Analyses, 3d reading analysis of Assem. Bill No. 256 (20</w:t>
      </w:r>
      <w:r w:rsidRPr="00563732">
        <w:t xml:space="preserve">21–2022 Reg. Sess.) as amended Aug. 24, 2022, p. 12, italics added.) </w:t>
      </w:r>
    </w:p>
    <w:p w:rsidR="00552FD1" w:rsidP="00552FD1" w14:paraId="6A9ACD9F" w14:textId="77777777">
      <w:pPr>
        <w:ind w:firstLine="720"/>
      </w:pPr>
      <w:r>
        <w:t>The majority opinion does not dispute that Frazier has identified a plausible claim for relief under the RJA or that his claim, if successful, would moot at least part of the instant app</w:t>
      </w:r>
      <w:r>
        <w:t>eal.  Nor does it dispute that the Legislature clearly expressed urgency in remedying racial discrimination in the criminal justice system, including in death penalty cases, and amended the RJA just last year to add the stay-and-remand option precisely bec</w:t>
      </w:r>
      <w:r>
        <w:t xml:space="preserve">ause capital defendants are “unlikely to have habeas attorneys assigned to them due to the unavailability of qualified counsel, making it nearly impossible to litigate their RJA claims in a timely fashion.”  </w:t>
      </w:r>
      <w:r w:rsidRPr="0005123D">
        <w:t>(Sen. Com. on Pub</w:t>
      </w:r>
      <w:r>
        <w:t>.</w:t>
      </w:r>
      <w:r w:rsidRPr="0005123D">
        <w:t xml:space="preserve"> Saf</w:t>
      </w:r>
      <w:r>
        <w:t>ety</w:t>
      </w:r>
      <w:r w:rsidRPr="0005123D">
        <w:t>, Analysis of Assem. Bi</w:t>
      </w:r>
      <w:r w:rsidRPr="0005123D">
        <w:t>ll No. 1118 (2023</w:t>
      </w:r>
      <w:r w:rsidRPr="004D3E2E">
        <w:rPr>
          <w:rFonts w:ascii="Times New Roman" w:hAnsi="Times New Roman"/>
        </w:rPr>
        <w:t>‒</w:t>
      </w:r>
      <w:r w:rsidRPr="0005123D">
        <w:t>2024 Reg. Sess.) as amended May 18, 2023, p. 6.)</w:t>
      </w:r>
      <w:r>
        <w:t xml:space="preserve">  Yet the majority opinion nonetheless denies Frazier’s request for a stay of his appeal and a remand to enable him to expeditiously litigate his claim that racism affected his death judgmen</w:t>
      </w:r>
      <w:r>
        <w:t xml:space="preserve">t.  </w:t>
      </w:r>
    </w:p>
    <w:p w:rsidR="00552FD1" w:rsidP="00552FD1" w14:paraId="4FCF2E78" w14:textId="77777777">
      <w:pPr>
        <w:ind w:firstLine="720"/>
      </w:pPr>
      <w:r>
        <w:t xml:space="preserve">I respectfully disagree.  In my view, when the Legislature has spoken in a clear voice that courts must promptly address what is widely understood to be this country’s original sin, we should heed its call.  </w:t>
      </w:r>
    </w:p>
    <w:p w:rsidR="00552FD1" w:rsidP="00552FD1" w14:paraId="5A368609" w14:textId="77777777">
      <w:pPr>
        <w:ind w:firstLine="720"/>
      </w:pPr>
      <w:r>
        <w:t xml:space="preserve">The majority opinion rests its conclusion </w:t>
      </w:r>
      <w:r>
        <w:t xml:space="preserve">that Frazier “has failed to establish good cause for staying the current appeal” on three of the factors described in </w:t>
      </w:r>
      <w:r>
        <w:rPr>
          <w:i/>
          <w:iCs/>
        </w:rPr>
        <w:t>Wilson</w:t>
      </w:r>
      <w:r>
        <w:t xml:space="preserve">, </w:t>
      </w:r>
      <w:r>
        <w:rPr>
          <w:i/>
          <w:iCs/>
        </w:rPr>
        <w:t>supra</w:t>
      </w:r>
      <w:r>
        <w:t xml:space="preserve">, ___ Cal.5th ___.  (Maj. opn., </w:t>
      </w:r>
      <w:r>
        <w:rPr>
          <w:i/>
          <w:iCs/>
        </w:rPr>
        <w:t>ante</w:t>
      </w:r>
      <w:r>
        <w:t xml:space="preserve">, at p. 2, fn. 3.)  Yet none of these factors, standing alone, together, or when weighed </w:t>
      </w:r>
      <w:r>
        <w:t xml:space="preserve">against the purpose of the RJA, justifies a ruling that prevents Frazier from obtaining </w:t>
      </w:r>
      <w:r w:rsidRPr="00BC5170">
        <w:t xml:space="preserve">the </w:t>
      </w:r>
      <w:bookmarkStart w:id="202" w:name="_Hlk173175873"/>
      <w:r w:rsidRPr="00BC5170">
        <w:t>“efficient and effective” remedy the Legislature explicitly intended to provide when it added the stay-and-remand procedure.  (Sen. Rules Com., Off. of Sen. Floor A</w:t>
      </w:r>
      <w:r w:rsidRPr="00BC5170">
        <w:t>nalyses, 3d reading analysis of Assem. Bill No. 1118 (2023–2024 Reg. Sess.) as amended May 18, 2023, p. 6</w:t>
      </w:r>
      <w:r>
        <w:t xml:space="preserve">.)  </w:t>
      </w:r>
    </w:p>
    <w:bookmarkEnd w:id="202"/>
    <w:p w:rsidR="00552FD1" w:rsidP="00552FD1" w14:paraId="78C0FC4E" w14:textId="77777777">
      <w:pPr>
        <w:ind w:firstLine="720"/>
      </w:pPr>
      <w:r>
        <w:t xml:space="preserve">According to the majority opinion, a stay and remand to enable Frazier’s current counsel to pursue his RJA claim “would likely ‘cause significant delay in the resolution of his appeal.’ ”  (Maj. opn., </w:t>
      </w:r>
      <w:r>
        <w:rPr>
          <w:i/>
          <w:iCs/>
        </w:rPr>
        <w:t>ante</w:t>
      </w:r>
      <w:r>
        <w:t>, at p. 3, fn. 3.)  But the majority fails to expla</w:t>
      </w:r>
      <w:r>
        <w:t>in why a delay in resolving this appeal should weigh more heavily than the Legislature’s explicit concern about delays in resolving plausible claims that the judgment below is fatally infected with racial bias.  Indeed, rushing to affirm a death judgment i</w:t>
      </w:r>
      <w:r>
        <w:t>n the face of a plausible claim of racial bias — when the Legislature has crafted a mechanism to resolve that claim of bias within the scope of the appeal itself — makes no sense as a matter of judicial economy.  If Frazier succeeds on his RJA claim, it wo</w:t>
      </w:r>
      <w:r>
        <w:t>uld moot most of the issues in this appeal.  On the other hand, the opposite is not true.  Resolving this appeal would not render the RJA proceedings unnecessary.</w:t>
      </w:r>
    </w:p>
    <w:p w:rsidR="00552FD1" w:rsidP="00552FD1" w14:paraId="1E9C31E7" w14:textId="77777777">
      <w:pPr>
        <w:ind w:firstLine="720"/>
      </w:pPr>
      <w:r>
        <w:t>Moreover, it is difficult to understand how the interests of victims’ families, witnesses, an</w:t>
      </w:r>
      <w:r>
        <w:t xml:space="preserve">d the public are served by the mere formality of affirming a judgment in the circumstances here.  There remains a plausible claim </w:t>
      </w:r>
      <w:r w:rsidRPr="00310785">
        <w:t xml:space="preserve">that racial bias </w:t>
      </w:r>
      <w:r w:rsidRPr="00271B81">
        <w:t>inf</w:t>
      </w:r>
      <w:r w:rsidRPr="00310785">
        <w:t>ected th</w:t>
      </w:r>
      <w:r w:rsidRPr="00271B81">
        <w:t>at</w:t>
      </w:r>
      <w:r w:rsidRPr="00310785">
        <w:t xml:space="preserve"> judgment</w:t>
      </w:r>
      <w:r>
        <w:t xml:space="preserve">, yet the majority opinion delays resolution of </w:t>
      </w:r>
      <w:r w:rsidRPr="00271B81">
        <w:t>that</w:t>
      </w:r>
      <w:r>
        <w:t xml:space="preserve"> claim by requiring Frazier to inst</w:t>
      </w:r>
      <w:r>
        <w:t xml:space="preserve">itute a separate habeas corpus proceeding (see maj. opn., </w:t>
      </w:r>
      <w:r>
        <w:rPr>
          <w:i/>
          <w:iCs/>
        </w:rPr>
        <w:t>ante</w:t>
      </w:r>
      <w:r>
        <w:t xml:space="preserve">, p. 3, fn. 3), presumably to be followed by yet </w:t>
      </w:r>
      <w:r>
        <w:rPr>
          <w:i/>
          <w:iCs/>
        </w:rPr>
        <w:t>another</w:t>
      </w:r>
      <w:r>
        <w:t xml:space="preserve"> habeas corpus proceeding (see </w:t>
      </w:r>
      <w:r>
        <w:rPr>
          <w:i/>
          <w:iCs/>
        </w:rPr>
        <w:t>Wilson</w:t>
      </w:r>
      <w:r>
        <w:t xml:space="preserve">, </w:t>
      </w:r>
      <w:r>
        <w:rPr>
          <w:i/>
          <w:iCs/>
        </w:rPr>
        <w:t>supra</w:t>
      </w:r>
      <w:r>
        <w:t>, ___ Cal.5th ___ [pp. 106–108]).  This delay is inconsistent with the constitutional right of</w:t>
      </w:r>
      <w:r>
        <w:t xml:space="preserve"> crime victims to “a prompt and final conclusion of the case </w:t>
      </w:r>
      <w:r>
        <w:rPr>
          <w:i/>
          <w:iCs/>
        </w:rPr>
        <w:t>and</w:t>
      </w:r>
      <w:r>
        <w:t xml:space="preserve"> any related post-judgment proceedings.”  (Cal. Const., art. I, § 28, subd. (b)(9), italics added.)  Consequently, the majority’s denial of Frazier’s motion does nothing but guarantee new and </w:t>
      </w:r>
      <w:r>
        <w:t>protracted postjudgment proceedings.  And because the subject of Frazier’s claim is racial bias, its delayed resolution will uniquely “undermine[] public confidence in the fairness of the state’s system of justice.”  (Stats. 2020, ch. 317, § 2, subd. (a).)</w:t>
      </w:r>
      <w:r>
        <w:t xml:space="preserve">  Accordingly, no one benefits from the majority’s decision today.</w:t>
      </w:r>
    </w:p>
    <w:p w:rsidR="00552FD1" w:rsidP="00552FD1" w14:paraId="69331E3E" w14:textId="77777777">
      <w:pPr>
        <w:ind w:firstLine="720"/>
      </w:pPr>
      <w:r>
        <w:t>The majority argues next that Frazier “ ‘does not need a stay of the appeal or a remand to the superior court to raise [the RJA claim]’ in a petition for writ of habeas corpus.”  (Maj. opn.</w:t>
      </w:r>
      <w:r>
        <w:t xml:space="preserve">, </w:t>
      </w:r>
      <w:r>
        <w:rPr>
          <w:i/>
          <w:iCs/>
        </w:rPr>
        <w:t>ante</w:t>
      </w:r>
      <w:r>
        <w:t xml:space="preserve">, p. 2, fn. 3.)  While this is true as a matter of technical procedure — i.e., the superior court does have concurrent jurisdiction to consider a petition for writ of habeas corpus that is based on evidence outside the record (see </w:t>
      </w:r>
      <w:r>
        <w:rPr>
          <w:i/>
          <w:iCs/>
        </w:rPr>
        <w:t>Wilson</w:t>
      </w:r>
      <w:r>
        <w:t xml:space="preserve">, </w:t>
      </w:r>
      <w:r>
        <w:rPr>
          <w:i/>
          <w:iCs/>
        </w:rPr>
        <w:t>supra</w:t>
      </w:r>
      <w:r>
        <w:t xml:space="preserve">, ___ </w:t>
      </w:r>
      <w:r>
        <w:t xml:space="preserve">Cal.5th at p. ___ [pp. 101–103]) — it is </w:t>
      </w:r>
      <w:r>
        <w:rPr>
          <w:i/>
          <w:iCs/>
        </w:rPr>
        <w:t>not</w:t>
      </w:r>
      <w:r>
        <w:t xml:space="preserve"> true as a practical matter, due to the yearslong delays in appointing capital habeas corpus counsel.  (See </w:t>
      </w:r>
      <w:r>
        <w:rPr>
          <w:i/>
          <w:iCs/>
        </w:rPr>
        <w:t>ante</w:t>
      </w:r>
      <w:r>
        <w:t xml:space="preserve">, pp. 1–2; </w:t>
      </w:r>
      <w:r>
        <w:rPr>
          <w:i/>
          <w:iCs/>
        </w:rPr>
        <w:t>Wilson</w:t>
      </w:r>
      <w:r>
        <w:t xml:space="preserve">, at pp. ___ [pp. 11–16] (dis. opn. of Evans, J.).)  Recognizing this reality, the </w:t>
      </w:r>
      <w:r>
        <w:rPr>
          <w:i/>
          <w:iCs/>
        </w:rPr>
        <w:t>Wilson</w:t>
      </w:r>
      <w:r>
        <w:t xml:space="preserve"> court leans heavily on the RJA’s separate provision for the appointment of counsel (Pen. Code, § 1473, subd. (e)) and speculates that it would “ensure prompt appointment” of counsel to initiate limited-purpose habeas proceedings.  (</w:t>
      </w:r>
      <w:r>
        <w:rPr>
          <w:i/>
          <w:iCs/>
        </w:rPr>
        <w:t>Wilson</w:t>
      </w:r>
      <w:r>
        <w:t>, at p. ___</w:t>
      </w:r>
      <w:r>
        <w:t xml:space="preserve"> [p. 110].)  This is a misreading of the statutory scheme.  The Legislature amended Penal Code section 1473 to provide for the appointment of habeas corpus counsel when it enacted the RJA in </w:t>
      </w:r>
      <w:r w:rsidRPr="00DF7DE3">
        <w:rPr>
          <w:i/>
          <w:iCs/>
        </w:rPr>
        <w:t>2020</w:t>
      </w:r>
      <w:r>
        <w:t>.  (Stats. 2020, ch. 317, § 4, subd. (f).)  Yet the Legislatu</w:t>
      </w:r>
      <w:r>
        <w:t xml:space="preserve">re evidently did not believe this appointment mechanism provided a viable method for obtaining timely access to the statute’s remedies for </w:t>
      </w:r>
      <w:r>
        <w:rPr>
          <w:i/>
          <w:iCs/>
        </w:rPr>
        <w:t>capital</w:t>
      </w:r>
      <w:r>
        <w:t xml:space="preserve"> defendants.  We know this because in 2023, the Legislature crafted the stay-and-remand procedure especially f</w:t>
      </w:r>
      <w:r>
        <w:t>or Frazier and other capital defendants and explained why:  “[t]hese individuals are also unlikely to have habeas attorneys assigned to them due to the unavailability of qualified counsel, making it nearly impossible to litigate their RJA claims in a timel</w:t>
      </w:r>
      <w:r>
        <w:t xml:space="preserve">y fashion.”  (Sen. Com. on Pub. Safety, Analysis of Assem. Bill No. 1118, </w:t>
      </w:r>
      <w:r>
        <w:rPr>
          <w:i/>
          <w:iCs/>
        </w:rPr>
        <w:t>supra</w:t>
      </w:r>
      <w:r>
        <w:t xml:space="preserve">, as amended May 18, 2023, p. 6.)  In short, the majority is relying on a fix (in the guise of Pen. Code § 1473, subd. (e)) that the Legislature already recognized was woefully </w:t>
      </w:r>
      <w:r>
        <w:t xml:space="preserve">insufficient.  Our job here is to interpret the law enacted by the Legislature, not to disagree with or second guess its policy choices.  </w:t>
      </w:r>
    </w:p>
    <w:p w:rsidR="00552FD1" w:rsidRPr="001C2349" w:rsidP="00552FD1" w14:paraId="691C1A9F" w14:textId="77777777">
      <w:pPr>
        <w:ind w:firstLine="720"/>
      </w:pPr>
      <w:r>
        <w:t>The majority also deems it significant that Frazier has not asserted that his current counsel “ ‘would be unavailable</w:t>
      </w:r>
      <w:r>
        <w:t xml:space="preserve"> to litigate his claim[] if [it were] to be raised instead through a limited-purpose habeas petition addressed exclusively to [that claim].’ ”  (Maj. opn., </w:t>
      </w:r>
      <w:r>
        <w:rPr>
          <w:i/>
          <w:iCs/>
        </w:rPr>
        <w:t>ante</w:t>
      </w:r>
      <w:r>
        <w:t>, at p. 2, fn. 3.)  This is, again, inaccurate.  Frazier’s motion pointed out, clearly and corre</w:t>
      </w:r>
      <w:r>
        <w:t xml:space="preserve">ctly, that “no court has appointed habeas counsel” for him, “and it appears unlikely that an appointment will be made in the foreseeable future” because of the “insurmountable backlog of capital cases awaiting appointment of habeas counsel.”  It therefore </w:t>
      </w:r>
      <w:r>
        <w:t xml:space="preserve">matters little that current counsel would not necessarily be “unavailable to litigate his claim” </w:t>
      </w:r>
      <w:r w:rsidRPr="00271B81">
        <w:rPr>
          <w:i/>
          <w:iCs/>
        </w:rPr>
        <w:t>if</w:t>
      </w:r>
      <w:r>
        <w:t xml:space="preserve"> counsel were appointed to represent him in a new habeas corpus proceeding, given that (as Frazier points out) he “will likely have to wait </w:t>
      </w:r>
      <w:r>
        <w:rPr>
          <w:i/>
          <w:iCs/>
        </w:rPr>
        <w:t>decades</w:t>
      </w:r>
      <w:r>
        <w:t>” for such</w:t>
      </w:r>
      <w:r>
        <w:t xml:space="preserve"> an appointment.  After all — and unmentioned by the majority opinion — this court does not have control over the appointments in any hypothetical future capital habeas corpus proceeding, limited purpose or otherwise.  (See Pen. Code, §§ 1473, subd. (e), 1</w:t>
      </w:r>
      <w:r>
        <w:t xml:space="preserve">509, subds. (a), (b).)  So any assumption that counsel would be made available to him in a timely manner is necessarily speculative.  </w:t>
      </w:r>
    </w:p>
    <w:p w:rsidR="00552FD1" w:rsidP="00552FD1" w14:paraId="76362764" w14:textId="77777777">
      <w:pPr>
        <w:ind w:firstLine="720"/>
      </w:pPr>
      <w:r>
        <w:t xml:space="preserve">In rejecting Frazier’s motion nonetheless, the majority goes on to speculate that counsel for capital defendants raising </w:t>
      </w:r>
      <w:r>
        <w:t>RJA claims on habeas corpus might not need to satisfy all of the qualifications currently required for capital habeas counsel and might instead become eligible for appointment under some undefined lower standard.  (</w:t>
      </w:r>
      <w:r>
        <w:rPr>
          <w:i/>
          <w:iCs/>
        </w:rPr>
        <w:t>Wilson</w:t>
      </w:r>
      <w:r>
        <w:t xml:space="preserve">, </w:t>
      </w:r>
      <w:r>
        <w:rPr>
          <w:i/>
          <w:iCs/>
        </w:rPr>
        <w:t>supra</w:t>
      </w:r>
      <w:r>
        <w:t xml:space="preserve">, ___ Cal.5th at p. ___ [p. </w:t>
      </w:r>
      <w:r>
        <w:t xml:space="preserve">109]; but see </w:t>
      </w:r>
      <w:r>
        <w:rPr>
          <w:i/>
          <w:iCs/>
        </w:rPr>
        <w:t>id</w:t>
      </w:r>
      <w:r>
        <w:t>. at p. ___ [pp. 14–15] (dis. opn. of Evans, J.).)  The majority further speculates that counsel will inexplicably materialize because of the appointment provision in Penal Code section 1473, subdivision (e), despite the fact the Legislatur</w:t>
      </w:r>
      <w:r>
        <w:t>e found that mechanism insufficient for capital defendants.  (</w:t>
      </w:r>
      <w:r w:rsidRPr="00C37CA1">
        <w:t>Sen. Com. on Pub</w:t>
      </w:r>
      <w:r>
        <w:t>.</w:t>
      </w:r>
      <w:r w:rsidRPr="00C37CA1">
        <w:t xml:space="preserve"> Safety, Analysis of Assem. Bill No. 1118</w:t>
      </w:r>
      <w:r>
        <w:t xml:space="preserve">, </w:t>
      </w:r>
      <w:r>
        <w:rPr>
          <w:i/>
          <w:iCs/>
        </w:rPr>
        <w:t>supra</w:t>
      </w:r>
      <w:r>
        <w:t xml:space="preserve">, </w:t>
      </w:r>
      <w:r w:rsidRPr="00C37CA1">
        <w:t>as amended May 18, 2023, p. 6.)</w:t>
      </w:r>
      <w:r>
        <w:t xml:space="preserve">  Unfortunately, the majority’s speculation about the availability of counsel is not supported b</w:t>
      </w:r>
      <w:r>
        <w:t xml:space="preserve">y any “concrete” evidence.  (See </w:t>
      </w:r>
      <w:r>
        <w:rPr>
          <w:i/>
          <w:iCs/>
        </w:rPr>
        <w:t>Wilson</w:t>
      </w:r>
      <w:r>
        <w:t xml:space="preserve">, at p. ___ [p. 111, fn. 22].) </w:t>
      </w:r>
      <w:r>
        <w:rPr>
          <w:i/>
          <w:iCs/>
        </w:rPr>
        <w:t xml:space="preserve"> </w:t>
      </w:r>
      <w:r>
        <w:t>In particular, the majority opinion cites no instance in which the qualification standards for capital habeas counsel have ever been relaxed for an RJA claim, nor does it identify a sin</w:t>
      </w:r>
      <w:r>
        <w:t>gle capital defendant who has been appointed habeas counsel for a limited-purpose RJA proceeding.  It relies instead solely on the fact that the appointment provision “</w:t>
      </w:r>
      <w:r w:rsidRPr="00015FFB">
        <w:rPr>
          <w:i/>
          <w:iCs/>
        </w:rPr>
        <w:t>requir[es]</w:t>
      </w:r>
      <w:r>
        <w:t xml:space="preserve"> the appointment of counsel to pursue an RJA petition if either the petitioner</w:t>
      </w:r>
      <w:r>
        <w:t xml:space="preserve"> alleges facts that would establish a violation of the RJA, or at the request of the [Office of the State Public Defender].”  (</w:t>
      </w:r>
      <w:r>
        <w:rPr>
          <w:i/>
          <w:iCs/>
        </w:rPr>
        <w:t>Wilson</w:t>
      </w:r>
      <w:r>
        <w:t>, at p. ___ [pp. 110–111], italics added.)  But this argument is as hollow as it is naïve.  The existing statutes governing</w:t>
      </w:r>
      <w:r>
        <w:t xml:space="preserve"> the appointment of counsel for capital habeas petitioners use </w:t>
      </w:r>
      <w:r>
        <w:rPr>
          <w:i/>
          <w:iCs/>
        </w:rPr>
        <w:t>identical</w:t>
      </w:r>
      <w:r>
        <w:t xml:space="preserve"> mandatory language (see Gov. Code, § 68662; Pen. Code, § 1509, subd. (b)), yet the appointment of counsel for capital habeas petitioners has ground to a halt.  The majority provides n</w:t>
      </w:r>
      <w:r>
        <w:t>o explanation why or how appointment of counsel for capital habeas petitioners asserting RJA claims will function any differently.</w:t>
      </w:r>
    </w:p>
    <w:p w:rsidR="00552FD1" w:rsidP="00552FD1" w14:paraId="16921B2C" w14:textId="77777777">
      <w:pPr>
        <w:ind w:firstLine="720"/>
      </w:pPr>
      <w:r>
        <w:t xml:space="preserve">For all these reasons, one can see that the remedy the majority has provided is an illusory one.  While the </w:t>
      </w:r>
      <w:r>
        <w:rPr>
          <w:i/>
          <w:iCs/>
        </w:rPr>
        <w:t>Wilson</w:t>
      </w:r>
      <w:r>
        <w:t xml:space="preserve"> court declares that the determination whether to grant a motion to stay and remand “will depend on the circumstances of the case at hand” (</w:t>
      </w:r>
      <w:r>
        <w:rPr>
          <w:i/>
          <w:iCs/>
        </w:rPr>
        <w:t>Wilson</w:t>
      </w:r>
      <w:r>
        <w:t xml:space="preserve">, </w:t>
      </w:r>
      <w:r>
        <w:rPr>
          <w:i/>
          <w:iCs/>
        </w:rPr>
        <w:t>supra</w:t>
      </w:r>
      <w:r>
        <w:t>, ___ Cal.5th at p. ___ [p. 117]), the summary analysis offered by the majority here turns not on anyth</w:t>
      </w:r>
      <w:r>
        <w:t>ing specific to “the case at hand.”  Instead, it relies upon broad pronouncements about the “late stage of the proceedings,” the fact that the RJA claim “is not intertwined with the issues on appeal,” and the not uncommon fact that Frazier “ ‘is represente</w:t>
      </w:r>
      <w:r>
        <w:t xml:space="preserve">d by the Office of the State Public Defender.’ ”  (Maj. opn., </w:t>
      </w:r>
      <w:r>
        <w:rPr>
          <w:i/>
          <w:iCs/>
        </w:rPr>
        <w:t>ante</w:t>
      </w:r>
      <w:r>
        <w:t xml:space="preserve">, at pp. 2–3, fn. 3.)  Litigants should likewise note that the </w:t>
      </w:r>
      <w:r>
        <w:rPr>
          <w:i/>
          <w:iCs/>
        </w:rPr>
        <w:t>Wilson</w:t>
      </w:r>
      <w:r>
        <w:t xml:space="preserve"> court justifies its holding on the dubious assertion that Wilson failed to show that “he faces legal or practical obstac</w:t>
      </w:r>
      <w:r>
        <w:t>les” to pursuing RJA relief in a habeas corpus petition, and therefore its holding “does not preclude litigants from raising such concerns in future cases.”  (</w:t>
      </w:r>
      <w:r>
        <w:rPr>
          <w:i/>
          <w:iCs/>
        </w:rPr>
        <w:t>Wilson</w:t>
      </w:r>
      <w:r>
        <w:t>, at p. ___ [p. 111 &amp; fn. 22].)  Accordingly, future defendants who specifically identify a</w:t>
      </w:r>
      <w:r>
        <w:t>nd articulate these obstacles in their motions to stay and remand under Penal Code section 745, subdivision (b) should be allowed — if the majority means what it says — to obtain efficient and effective resolution of their RJA claims using the stay-and-rem</w:t>
      </w:r>
      <w:r>
        <w:t xml:space="preserve">and provision as intended by the Legislature.  </w:t>
      </w:r>
    </w:p>
    <w:p w:rsidR="00552FD1" w:rsidRPr="008A6FCF" w:rsidP="00552FD1" w14:paraId="7E291390" w14:textId="77777777">
      <w:pPr>
        <w:ind w:firstLine="720"/>
      </w:pPr>
      <w:r>
        <w:t xml:space="preserve">In the meantime, I respectfully but strenuously disagree with the majority opinion’s summary denial of Frazier’s motion for a stay of the appeal and a limited remand, which would allow him to pursue a motion </w:t>
      </w:r>
      <w:r>
        <w:t>for relief under the RJA.  A defendant like Frazier, who has a plausible claim for relief under the RJA — but who would be unable, because of the profound and ongoing dysfunction of the state’s capital habeas corpus system, to present that claim for many y</w:t>
      </w:r>
      <w:r>
        <w:t xml:space="preserve">ears unless this appeal were stayed to allow current counsel to file a motion for relief in the superior court </w:t>
      </w:r>
      <w:r>
        <w:rPr>
          <w:i/>
          <w:iCs/>
        </w:rPr>
        <w:t>as provided in the RJA itself</w:t>
      </w:r>
      <w:r>
        <w:t xml:space="preserve"> (Pen. Code, § 745, subd. (b)) — is not being afforded the “efficient and effective” remedy the Legislature explicit</w:t>
      </w:r>
      <w:r>
        <w:t xml:space="preserve">ly intended to provide when it added the stay-and-remand procedure.  </w:t>
      </w:r>
      <w:r w:rsidRPr="00BF6CB2">
        <w:t xml:space="preserve">(Sen. Rules Com., </w:t>
      </w:r>
      <w:r>
        <w:t xml:space="preserve">Off. of Sen. Floor Analyses, </w:t>
      </w:r>
      <w:r w:rsidRPr="00BF6CB2">
        <w:t>3d reading analysis of Assem. Bill No. 1118</w:t>
      </w:r>
      <w:r>
        <w:t xml:space="preserve">, </w:t>
      </w:r>
      <w:r>
        <w:rPr>
          <w:i/>
          <w:iCs/>
        </w:rPr>
        <w:t>supra</w:t>
      </w:r>
      <w:r>
        <w:t>,</w:t>
      </w:r>
      <w:r w:rsidRPr="00BF6CB2">
        <w:t xml:space="preserve"> as amended May 18, 2023, p. 6; see also Assem. Conc</w:t>
      </w:r>
      <w:r>
        <w:t>.</w:t>
      </w:r>
      <w:r w:rsidRPr="00BF6CB2">
        <w:t xml:space="preserve"> Sen. Amends.</w:t>
      </w:r>
      <w:r>
        <w:t xml:space="preserve"> to</w:t>
      </w:r>
      <w:r w:rsidRPr="00BF6CB2">
        <w:t xml:space="preserve"> Assem. Bill No. 111</w:t>
      </w:r>
      <w:r w:rsidRPr="00BF6CB2">
        <w:t>8 (2023–2024 Reg. Sess.) as amended May 18, 2023, p. 1 [“to ensure RJA claims are processed more efficiently and that the intent of the law is followed”].)</w:t>
      </w:r>
      <w:r>
        <w:t xml:space="preserve">  To prevent Frazier from using this sensible and efficient mechanism without the assurance of an eff</w:t>
      </w:r>
      <w:r>
        <w:t xml:space="preserve">ective alternative is difficult to understand.  I therefore respectfully dissent. </w:t>
      </w:r>
    </w:p>
    <w:p w:rsidR="00552FD1" w:rsidRPr="005A20CA" w:rsidP="00552FD1" w14:paraId="08E07E71" w14:textId="77777777">
      <w:pPr>
        <w:keepNext/>
        <w:jc w:val="center"/>
        <w:rPr>
          <w:szCs w:val="27"/>
        </w:rPr>
      </w:pPr>
      <w:r>
        <w:rPr>
          <w:szCs w:val="27"/>
        </w:rPr>
        <w:t>*</w:t>
      </w:r>
      <w:r>
        <w:rPr>
          <w:szCs w:val="27"/>
        </w:rPr>
        <w:tab/>
        <w:t>*</w:t>
      </w:r>
      <w:r>
        <w:rPr>
          <w:szCs w:val="27"/>
        </w:rPr>
        <w:tab/>
        <w:t>*</w:t>
      </w:r>
    </w:p>
    <w:p w:rsidR="00552FD1" w:rsidP="00552FD1" w14:paraId="275F63BC" w14:textId="77777777">
      <w:pPr>
        <w:ind w:firstLine="720"/>
      </w:pPr>
      <w:r>
        <w:t xml:space="preserve">I also write separately to explain the contours of the majority opinion’s conclusion, with which I agree, that Frazier was not denied his Sixth Amendment right to the </w:t>
      </w:r>
      <w:r>
        <w:t xml:space="preserve">assistance of counsel when counsel presented, over his objection, certain mitigating evidence during the penalty phase.  (See maj. opn., </w:t>
      </w:r>
      <w:r>
        <w:rPr>
          <w:i/>
          <w:iCs/>
        </w:rPr>
        <w:t>ante</w:t>
      </w:r>
      <w:r>
        <w:t>, at pp. 60–69.)  In this case, Frazier’s disagreement with counsel concerning the evidence to present was “not a d</w:t>
      </w:r>
      <w:r>
        <w:t xml:space="preserve">isagreement ‘over the objectives of [the] defense . . . but instead over the ways to achieve those objectives.’ ”  (Maj. opn., </w:t>
      </w:r>
      <w:r>
        <w:rPr>
          <w:i/>
          <w:iCs/>
        </w:rPr>
        <w:t>ante</w:t>
      </w:r>
      <w:r>
        <w:t xml:space="preserve">, at p. 66, quoting </w:t>
      </w:r>
      <w:r>
        <w:rPr>
          <w:i/>
          <w:iCs/>
        </w:rPr>
        <w:t>United States v. Audette</w:t>
      </w:r>
      <w:r>
        <w:t xml:space="preserve"> (9th Cir. 2019) 923 F.3d 1227, 1236.)  For example, Frazier complained that prop</w:t>
      </w:r>
      <w:r>
        <w:t>osed mitigation evidence relating to attachment theory was “likely to be considered by the jury as pure monkey business,” and counsel conceded at oral argument more generally that his client’s objections to the proposed mitigation evidence encompassed “bot</w:t>
      </w:r>
      <w:r>
        <w:t>h” tactical and personal reasons and that there was “overlap” between the two.  To accept Frazier’s argument that he maintained a Sixth Amendment right to limit the presentation of mitigation evidence under these circumstances would require courts to engag</w:t>
      </w:r>
      <w:r>
        <w:t xml:space="preserve">e in the difficult task of determining which were the </w:t>
      </w:r>
      <w:r>
        <w:rPr>
          <w:i/>
          <w:iCs/>
        </w:rPr>
        <w:t>predominant</w:t>
      </w:r>
      <w:r>
        <w:t xml:space="preserve"> reasons for a defendant’s objection to certain pieces of evidence.  The majority opinion correctly concludes that the Sixth Amendment does not require a court to untangle such objectives.  </w:t>
      </w:r>
    </w:p>
    <w:p w:rsidR="00552FD1" w:rsidP="00552FD1" w14:paraId="1181DCFF" w14:textId="77777777">
      <w:pPr>
        <w:ind w:firstLine="720"/>
      </w:pPr>
      <w:r>
        <w:t xml:space="preserve">This case does not present, and the court today therefore does not consider, what the result would have been if a defendant had objected to certain evidence for </w:t>
      </w:r>
      <w:r>
        <w:rPr>
          <w:i/>
          <w:iCs/>
        </w:rPr>
        <w:t>nontactical</w:t>
      </w:r>
      <w:r>
        <w:t xml:space="preserve">, purely personal reasons.  But we did analyze an analogous claim in </w:t>
      </w:r>
      <w:r>
        <w:rPr>
          <w:i/>
          <w:iCs/>
        </w:rPr>
        <w:t>People v. Lang</w:t>
      </w:r>
      <w:r>
        <w:t xml:space="preserve"> </w:t>
      </w:r>
      <w:r>
        <w:t>(1989) 49 Cal.3d 991 (</w:t>
      </w:r>
      <w:r>
        <w:rPr>
          <w:i/>
          <w:iCs/>
        </w:rPr>
        <w:t>Lang</w:t>
      </w:r>
      <w:r>
        <w:t xml:space="preserve">).  There, we rejected a claim of ineffective assistance of counsel arising from counsel’s acquiescence in the defendant’s request that his elderly grandmother not be put through </w:t>
      </w:r>
      <w:r w:rsidRPr="0046549C">
        <w:t>“</w:t>
      </w:r>
      <w:r>
        <w:t> </w:t>
      </w:r>
      <w:r w:rsidRPr="0046549C">
        <w:t xml:space="preserve">‘the emotional trauma of having to come here and </w:t>
      </w:r>
      <w:r w:rsidRPr="0046549C">
        <w:t>testify’</w:t>
      </w:r>
      <w:r>
        <w:t> </w:t>
      </w:r>
      <w:r w:rsidRPr="0046549C">
        <w:t>” about the defendant’s character.  (</w:t>
      </w:r>
      <w:r>
        <w:rPr>
          <w:i/>
          <w:iCs/>
        </w:rPr>
        <w:t>Id</w:t>
      </w:r>
      <w:r>
        <w:t xml:space="preserve">. </w:t>
      </w:r>
      <w:r w:rsidRPr="0046549C">
        <w:t>at p. 1029.)  In addition to our own precedent, we relied on scholarly commentary (</w:t>
      </w:r>
      <w:r w:rsidRPr="0046549C">
        <w:rPr>
          <w:i/>
          <w:iCs/>
        </w:rPr>
        <w:t>id</w:t>
      </w:r>
      <w:r w:rsidRPr="0046549C">
        <w:t>. at pp. 1030–1031) as well as the ABA Model Code of Professional Responsibility, which advised that “</w:t>
      </w:r>
      <w:r>
        <w:t> </w:t>
      </w:r>
      <w:r w:rsidRPr="0046549C">
        <w:t>‘the decision whet</w:t>
      </w:r>
      <w:r w:rsidRPr="0046549C">
        <w:t>her to forego legally available objectives or methods</w:t>
      </w:r>
      <w:r>
        <w:t xml:space="preserve"> </w:t>
      </w:r>
      <w:r w:rsidRPr="0046549C">
        <w:t>because of non-legal factors is ultimately for the client .</w:t>
      </w:r>
      <w:r>
        <w:t> </w:t>
      </w:r>
      <w:r w:rsidRPr="0046549C">
        <w:t>.</w:t>
      </w:r>
      <w:r>
        <w:t> </w:t>
      </w:r>
      <w:r w:rsidRPr="0046549C">
        <w:t>.</w:t>
      </w:r>
      <w:r>
        <w:t> </w:t>
      </w:r>
      <w:r w:rsidRPr="0046549C">
        <w:t>.’</w:t>
      </w:r>
      <w:r>
        <w:t> </w:t>
      </w:r>
      <w:r w:rsidRPr="0046549C">
        <w:t>”  (</w:t>
      </w:r>
      <w:r>
        <w:rPr>
          <w:i/>
          <w:iCs/>
        </w:rPr>
        <w:t>Id.</w:t>
      </w:r>
      <w:r w:rsidRPr="0046549C">
        <w:t xml:space="preserve"> at p. 1031.)  </w:t>
      </w:r>
      <w:r w:rsidRPr="0046549C">
        <w:rPr>
          <w:i/>
          <w:iCs/>
        </w:rPr>
        <w:t>Lang</w:t>
      </w:r>
      <w:r w:rsidRPr="0046549C">
        <w:t xml:space="preserve"> concluded that “[w]hile selection of defense witnesses is generally a matter of </w:t>
      </w:r>
      <w:r w:rsidRPr="0046549C">
        <w:rPr>
          <w:i/>
          <w:iCs/>
        </w:rPr>
        <w:t>trial tactics</w:t>
      </w:r>
      <w:r w:rsidRPr="0046549C">
        <w:t xml:space="preserve"> over which the</w:t>
      </w:r>
      <w:r w:rsidRPr="0046549C">
        <w:t xml:space="preserve"> attorney, rather than the client, has ultimate control [citation], it does not necessarily follow that an attorney acts incompetently in honoring a client’s request not to present certain evidence for </w:t>
      </w:r>
      <w:r w:rsidRPr="0046549C">
        <w:rPr>
          <w:i/>
          <w:iCs/>
        </w:rPr>
        <w:t>nontactical</w:t>
      </w:r>
      <w:r w:rsidRPr="0046549C">
        <w:t xml:space="preserve"> reasons.”  (</w:t>
      </w:r>
      <w:r w:rsidRPr="0046549C">
        <w:rPr>
          <w:i/>
          <w:iCs/>
        </w:rPr>
        <w:t>Id</w:t>
      </w:r>
      <w:r w:rsidRPr="0046549C">
        <w:t>. at p. 1031, italics added;</w:t>
      </w:r>
      <w:r w:rsidRPr="0046549C">
        <w:t xml:space="preserve"> see </w:t>
      </w:r>
      <w:r w:rsidRPr="0046549C">
        <w:rPr>
          <w:i/>
          <w:iCs/>
        </w:rPr>
        <w:t>People v. Brown</w:t>
      </w:r>
      <w:r w:rsidRPr="0046549C">
        <w:t xml:space="preserve"> (2014) 59 Cal.4th 86, 112 [“Nothing in </w:t>
      </w:r>
      <w:r w:rsidRPr="0046549C">
        <w:rPr>
          <w:i/>
          <w:iCs/>
        </w:rPr>
        <w:t>Lang</w:t>
      </w:r>
      <w:r w:rsidRPr="0046549C">
        <w:t xml:space="preserve"> suggested that such a decision by a defendant based upon </w:t>
      </w:r>
      <w:r w:rsidRPr="0046549C">
        <w:rPr>
          <w:i/>
          <w:iCs/>
        </w:rPr>
        <w:t>nontactical</w:t>
      </w:r>
      <w:r w:rsidRPr="0046549C">
        <w:t xml:space="preserve"> factors could be overruled by counsel</w:t>
      </w:r>
      <w:r>
        <w:t>’</w:t>
      </w:r>
      <w:r w:rsidRPr="0046549C">
        <w:t xml:space="preserve">s assessment of the relative </w:t>
      </w:r>
      <w:r w:rsidRPr="0046549C">
        <w:rPr>
          <w:i/>
          <w:iCs/>
        </w:rPr>
        <w:t>tactical</w:t>
      </w:r>
      <w:r w:rsidRPr="0046549C">
        <w:t xml:space="preserve"> merits of a defendant’s case.  Indeed, as noted, </w:t>
      </w:r>
      <w:r w:rsidRPr="0046549C">
        <w:rPr>
          <w:i/>
          <w:iCs/>
        </w:rPr>
        <w:t>Lang</w:t>
      </w:r>
      <w:r w:rsidRPr="0046549C">
        <w:t xml:space="preserve"> suggested that such authority would be detrimental to the attorney-client relationship and might lead defendants to imprudently seek self-representation at the guilt phase”].)</w:t>
      </w:r>
      <w:r>
        <w:t xml:space="preserve">  </w:t>
      </w:r>
    </w:p>
    <w:p w:rsidR="00552FD1" w:rsidP="00552FD1" w14:paraId="3E07D0DE" w14:textId="77777777">
      <w:pPr>
        <w:ind w:firstLine="720"/>
      </w:pPr>
      <w:r>
        <w:t>We have not yet decided</w:t>
      </w:r>
      <w:r>
        <w:t xml:space="preserve"> whether </w:t>
      </w:r>
      <w:r>
        <w:rPr>
          <w:i/>
          <w:iCs/>
        </w:rPr>
        <w:t>Lang</w:t>
      </w:r>
      <w:r>
        <w:t xml:space="preserve">’s recognition of a capital defendant’s right to control counsel’s presentation of mitigating evidence for purely nontactical reasons can be reconciled with the high court’s decision in </w:t>
      </w:r>
      <w:r>
        <w:rPr>
          <w:i/>
          <w:iCs/>
        </w:rPr>
        <w:t>McCoy v. Louisiana</w:t>
      </w:r>
      <w:r>
        <w:t xml:space="preserve"> (2018) 584 U.S. 414 and its allocation</w:t>
      </w:r>
      <w:r>
        <w:t xml:space="preserve"> of which decisions “are reserved for the client” and which are “the lawyer’s province” (</w:t>
      </w:r>
      <w:r>
        <w:rPr>
          <w:i/>
          <w:iCs/>
        </w:rPr>
        <w:t>id</w:t>
      </w:r>
      <w:r>
        <w:t xml:space="preserve"> at p. 422).  (See </w:t>
      </w:r>
      <w:r>
        <w:rPr>
          <w:i/>
          <w:iCs/>
        </w:rPr>
        <w:t>People v. Poore</w:t>
      </w:r>
      <w:r>
        <w:t xml:space="preserve"> (2022) 13 Cal.5th 266, 312 (conc. opn. of Liu, J.).)  As explained above, that issue is not presented in this case, either.  </w:t>
      </w:r>
    </w:p>
    <w:p w:rsidR="00552FD1" w:rsidP="00552FD1" w14:paraId="4CE4B142" w14:textId="77777777">
      <w:pPr>
        <w:ind w:firstLine="720"/>
      </w:pPr>
      <w:r>
        <w:t>I wi</w:t>
      </w:r>
      <w:r>
        <w:t xml:space="preserve">ll nonetheless note that the stakes surrounding this legal question are extraordinarily high.  Under this court’s </w:t>
      </w:r>
      <w:r w:rsidRPr="00CF6527">
        <w:t>“unitary-capital-trial rule</w:t>
      </w:r>
      <w:r>
        <w:t>,</w:t>
      </w:r>
      <w:r w:rsidRPr="00CF6527">
        <w:t xml:space="preserve">” any request for self-representation that is </w:t>
      </w:r>
      <w:r>
        <w:t>made</w:t>
      </w:r>
      <w:r w:rsidRPr="00CF6527">
        <w:t xml:space="preserve"> at the penalty phase </w:t>
      </w:r>
      <w:r>
        <w:t xml:space="preserve">is </w:t>
      </w:r>
      <w:r w:rsidRPr="00CF6527">
        <w:t>untimely and therefore a matter entrust</w:t>
      </w:r>
      <w:r w:rsidRPr="00CF6527">
        <w:t>ed to the trial court’s discretion.  (</w:t>
      </w:r>
      <w:r>
        <w:t xml:space="preserve">Maj. opn., </w:t>
      </w:r>
      <w:r>
        <w:rPr>
          <w:i/>
          <w:iCs/>
        </w:rPr>
        <w:t>ante</w:t>
      </w:r>
      <w:r>
        <w:t xml:space="preserve">, at pp. 37, </w:t>
      </w:r>
      <w:r w:rsidRPr="00CF6527">
        <w:t>48–49.)  The practical problem with this construct is obvious:  defendants are unlikely to know, prior to the guilt phase, what the defense case at the penalty phase will look like (see, e.g</w:t>
      </w:r>
      <w:r w:rsidRPr="00CF6527">
        <w:t xml:space="preserve">., </w:t>
      </w:r>
      <w:r w:rsidRPr="00CF6527">
        <w:rPr>
          <w:i/>
          <w:iCs/>
        </w:rPr>
        <w:t>People v. Jenkins</w:t>
      </w:r>
      <w:r w:rsidRPr="00CF6527">
        <w:t xml:space="preserve"> (2000) 22 Cal.4th 900, 1031; </w:t>
      </w:r>
      <w:r w:rsidRPr="00CF6527">
        <w:rPr>
          <w:i/>
          <w:iCs/>
        </w:rPr>
        <w:t>In re Gay</w:t>
      </w:r>
      <w:r w:rsidRPr="00CF6527">
        <w:t xml:space="preserve"> (1998) 19 Cal.4th 771, 825), and they surely are unaware of how counsel will perform at trial.  So </w:t>
      </w:r>
      <w:r>
        <w:t xml:space="preserve">unless defendants retain some right under </w:t>
      </w:r>
      <w:r>
        <w:rPr>
          <w:i/>
          <w:iCs/>
        </w:rPr>
        <w:t>Lang</w:t>
      </w:r>
      <w:r>
        <w:t xml:space="preserve"> to exclude certain mitigating evidence at the pena</w:t>
      </w:r>
      <w:r>
        <w:t>lty phase for personal, nontactical reasons,</w:t>
      </w:r>
      <w:r>
        <w:rPr>
          <w:i/>
          <w:iCs/>
        </w:rPr>
        <w:t xml:space="preserve"> </w:t>
      </w:r>
      <w:r w:rsidRPr="00CF6527">
        <w:t xml:space="preserve">defendants who anticipate having any concerns about what </w:t>
      </w:r>
      <w:r>
        <w:t xml:space="preserve">evidence </w:t>
      </w:r>
      <w:r w:rsidRPr="00CF6527">
        <w:t xml:space="preserve">should or should not be presented </w:t>
      </w:r>
      <w:r>
        <w:t>will</w:t>
      </w:r>
      <w:r w:rsidRPr="00CF6527">
        <w:t xml:space="preserve"> be forced “to exercise their Sixth Amendment right of self-representation [citation] before commencement o</w:t>
      </w:r>
      <w:r w:rsidRPr="00CF6527">
        <w:t>f the guilt phase [citations] in order to retain control over the presentation of evidence at the penalty phase, resulting in a significant loss of legal protection for these defendants during the guilt phase.”  (</w:t>
      </w:r>
      <w:r w:rsidRPr="00CF6527">
        <w:rPr>
          <w:i/>
          <w:iCs/>
        </w:rPr>
        <w:t>Lang</w:t>
      </w:r>
      <w:r w:rsidRPr="00CF6527">
        <w:t xml:space="preserve">, </w:t>
      </w:r>
      <w:r w:rsidRPr="00CF6527">
        <w:rPr>
          <w:i/>
          <w:iCs/>
        </w:rPr>
        <w:t>supra</w:t>
      </w:r>
      <w:r w:rsidRPr="00CF6527">
        <w:t>, 49 Cal.3d at p. 1031.)</w:t>
      </w:r>
      <w:r>
        <w:t xml:space="preserve">  In oth</w:t>
      </w:r>
      <w:r>
        <w:t xml:space="preserve">er words, defendants who wish to avoid inflicting pain on loved ones or maintain a modicum of dignity and privacy in how they are portrayed would have to surrender their right to counsel at the trial that determines whether they have committed crimes that </w:t>
      </w:r>
      <w:r>
        <w:t xml:space="preserve">render them eligible for the death penalty </w:t>
      </w:r>
      <w:r>
        <w:rPr>
          <w:i/>
          <w:iCs/>
        </w:rPr>
        <w:t>and</w:t>
      </w:r>
      <w:r>
        <w:t xml:space="preserve"> at the trial that will determine whether they live or die.  </w:t>
      </w:r>
    </w:p>
    <w:p w:rsidR="00552FD1" w:rsidP="00552FD1" w14:paraId="7C711E4B" w14:textId="77777777">
      <w:pPr>
        <w:ind w:firstLine="720"/>
      </w:pPr>
    </w:p>
    <w:p w:rsidR="00552FD1" w:rsidP="00552FD1" w14:paraId="1AA423FA" w14:textId="77777777">
      <w:pPr>
        <w:ind w:firstLine="720"/>
      </w:pPr>
    </w:p>
    <w:p w:rsidR="00552FD1" w:rsidP="00552FD1" w14:paraId="2604E3B2" w14:textId="77777777">
      <w:pPr>
        <w:ind w:firstLine="720"/>
      </w:pPr>
      <w:r>
        <w:t xml:space="preserve">Fortunately, whether capital defendants face this </w:t>
      </w:r>
      <w:r w:rsidRPr="003E5641">
        <w:t>Hobson’s</w:t>
      </w:r>
      <w:r>
        <w:t xml:space="preserve"> choice is not before us in this case, and the majority opinion should not be understood</w:t>
      </w:r>
      <w:r>
        <w:t xml:space="preserve"> to express a view on that question.  </w:t>
      </w:r>
    </w:p>
    <w:p w:rsidR="00552FD1" w:rsidRPr="00886888" w:rsidP="00552FD1" w14:paraId="249FEE25" w14:textId="77777777">
      <w:pPr>
        <w:ind w:firstLine="720"/>
      </w:pPr>
    </w:p>
    <w:p w:rsidR="00552FD1" w:rsidRPr="00886888" w:rsidP="00552FD1" w14:paraId="267FCA0C" w14:textId="77777777">
      <w:pPr>
        <w:ind w:firstLine="720"/>
        <w:rPr>
          <w:b/>
        </w:rPr>
      </w:pPr>
      <w:r w:rsidRPr="00886888">
        <w:rPr>
          <w:b/>
        </w:rPr>
        <w:tab/>
      </w:r>
      <w:r w:rsidRPr="00886888">
        <w:rPr>
          <w:b/>
        </w:rPr>
        <w:tab/>
      </w:r>
      <w:r w:rsidRPr="00886888">
        <w:rPr>
          <w:b/>
        </w:rPr>
        <w:tab/>
      </w:r>
      <w:r w:rsidRPr="00886888">
        <w:rPr>
          <w:b/>
        </w:rPr>
        <w:tab/>
      </w:r>
      <w:r w:rsidRPr="00886888">
        <w:rPr>
          <w:b/>
        </w:rPr>
        <w:tab/>
      </w:r>
      <w:r w:rsidRPr="00886888">
        <w:rPr>
          <w:b/>
        </w:rPr>
        <w:tab/>
      </w:r>
      <w:r w:rsidRPr="00886888">
        <w:rPr>
          <w:b/>
        </w:rPr>
        <w:tab/>
      </w:r>
      <w:r w:rsidRPr="00886888">
        <w:rPr>
          <w:b/>
        </w:rPr>
        <w:tab/>
        <w:t>EVANS, J.</w:t>
      </w:r>
    </w:p>
    <w:p w:rsidR="00552FD1" w:rsidRPr="005E0D23" w:rsidP="00552FD1" w14:paraId="0F770894" w14:textId="77777777">
      <w:pPr>
        <w:ind w:firstLine="720"/>
      </w:pPr>
      <w:r>
        <w:t xml:space="preserve"> </w:t>
      </w:r>
    </w:p>
    <w:p w:rsidR="00552FD1" w:rsidRPr="00417DBE" w:rsidP="00552FD1" w14:paraId="6490BD8D" w14:textId="77777777">
      <w:pPr>
        <w:spacing w:line="240" w:lineRule="auto"/>
        <w:rPr>
          <w:b/>
          <w:szCs w:val="27"/>
        </w:rPr>
      </w:pPr>
    </w:p>
    <w:p w:rsidR="00552FD1" w:rsidP="0006082D" w14:paraId="6AEE9EC3" w14:textId="77777777">
      <w:pPr>
        <w:spacing w:after="0" w:line="240" w:lineRule="auto"/>
        <w:jc w:val="left"/>
        <w:rPr>
          <w:b/>
        </w:rPr>
        <w:sectPr w:rsidSect="004A6152">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2240" w:h="15840" w:code="1"/>
          <w:pgMar w:top="1800" w:right="2160" w:bottom="1440" w:left="2160" w:header="720" w:footer="720" w:gutter="0"/>
          <w:pgNumType w:start="1"/>
          <w:cols w:space="720"/>
          <w:titlePg/>
        </w:sectPr>
      </w:pPr>
    </w:p>
    <w:p w:rsidR="004A6152" w:rsidRPr="004A6152" w:rsidP="004A6152" w14:paraId="3566E92B" w14:textId="77777777">
      <w:pPr>
        <w:spacing w:after="0" w:line="240" w:lineRule="auto"/>
        <w:jc w:val="left"/>
        <w:rPr>
          <w:i/>
          <w:sz w:val="24"/>
          <w:szCs w:val="24"/>
        </w:rPr>
      </w:pPr>
      <w:bookmarkStart w:id="203" w:name="_Hlk89950633"/>
      <w:r w:rsidRPr="004A6152">
        <w:rPr>
          <w:i/>
          <w:sz w:val="24"/>
          <w:szCs w:val="24"/>
        </w:rPr>
        <w:t xml:space="preserve">See next page for addresses and telephone numbers for counsel who argued in </w:t>
      </w:r>
      <w:r w:rsidRPr="004A6152">
        <w:rPr>
          <w:i/>
          <w:sz w:val="24"/>
          <w:szCs w:val="24"/>
        </w:rPr>
        <w:t>Supreme Court.</w:t>
      </w:r>
    </w:p>
    <w:p w:rsidR="004A6152" w:rsidRPr="004A6152" w:rsidP="004A6152" w14:paraId="480BF03C" w14:textId="77777777">
      <w:pPr>
        <w:spacing w:after="0" w:line="240" w:lineRule="auto"/>
        <w:jc w:val="left"/>
        <w:rPr>
          <w:i/>
          <w:sz w:val="24"/>
          <w:szCs w:val="24"/>
        </w:rPr>
      </w:pPr>
    </w:p>
    <w:p w:rsidR="004A6152" w:rsidRPr="004A6152" w:rsidP="004A6152" w14:paraId="0D0C10EE" w14:textId="77777777">
      <w:pPr>
        <w:spacing w:after="0" w:line="240" w:lineRule="auto"/>
        <w:jc w:val="left"/>
        <w:rPr>
          <w:bCs/>
          <w:sz w:val="24"/>
          <w:szCs w:val="24"/>
        </w:rPr>
      </w:pPr>
      <w:r w:rsidRPr="004A6152">
        <w:rPr>
          <w:b/>
          <w:sz w:val="24"/>
          <w:szCs w:val="24"/>
        </w:rPr>
        <w:t xml:space="preserve">Name of Opinion  </w:t>
      </w:r>
      <w:r w:rsidRPr="004A6152">
        <w:rPr>
          <w:bCs/>
          <w:sz w:val="24"/>
          <w:szCs w:val="24"/>
        </w:rPr>
        <w:t>People v. Frazier</w:t>
      </w:r>
    </w:p>
    <w:p w:rsidR="004A6152" w:rsidRPr="004A6152" w:rsidP="004A6152" w14:paraId="22F239DA" w14:textId="77777777">
      <w:pPr>
        <w:spacing w:after="0" w:line="240" w:lineRule="auto"/>
        <w:jc w:val="left"/>
        <w:rPr>
          <w:b/>
          <w:sz w:val="24"/>
          <w:szCs w:val="24"/>
        </w:rPr>
      </w:pPr>
      <w:r w:rsidRPr="004A6152">
        <w:rPr>
          <w:b/>
          <w:sz w:val="24"/>
          <w:szCs w:val="24"/>
        </w:rPr>
        <w:t xml:space="preserve">__________________________________________________________ </w:t>
      </w:r>
    </w:p>
    <w:p w:rsidR="004A6152" w:rsidRPr="004A6152" w:rsidP="004A6152" w14:paraId="41A22D4C" w14:textId="77777777">
      <w:pPr>
        <w:spacing w:after="0" w:line="240" w:lineRule="auto"/>
        <w:jc w:val="left"/>
        <w:rPr>
          <w:b/>
          <w:sz w:val="24"/>
          <w:szCs w:val="24"/>
        </w:rPr>
      </w:pPr>
    </w:p>
    <w:p w:rsidR="004A6152" w:rsidRPr="004A6152" w:rsidP="004A6152" w14:paraId="05B092EE" w14:textId="77777777">
      <w:pPr>
        <w:spacing w:after="0" w:line="240" w:lineRule="auto"/>
        <w:jc w:val="left"/>
        <w:rPr>
          <w:sz w:val="24"/>
          <w:szCs w:val="24"/>
        </w:rPr>
      </w:pPr>
      <w:r w:rsidRPr="004A6152">
        <w:rPr>
          <w:b/>
          <w:bCs/>
          <w:sz w:val="24"/>
          <w:szCs w:val="24"/>
          <w:u w:val="single"/>
        </w:rPr>
        <w:t>Procedural Posture</w:t>
      </w:r>
      <w:r w:rsidRPr="004A6152">
        <w:rPr>
          <w:b/>
          <w:bCs/>
          <w:sz w:val="24"/>
          <w:szCs w:val="24"/>
        </w:rPr>
        <w:t xml:space="preserve"> </w:t>
      </w:r>
      <w:r w:rsidRPr="004A6152">
        <w:rPr>
          <w:sz w:val="24"/>
          <w:szCs w:val="24"/>
        </w:rPr>
        <w:t>(see XX below)</w:t>
      </w:r>
    </w:p>
    <w:p w:rsidR="004A6152" w:rsidRPr="004A6152" w:rsidP="004A6152" w14:paraId="62017187" w14:textId="77777777">
      <w:pPr>
        <w:spacing w:after="0" w:line="240" w:lineRule="auto"/>
        <w:jc w:val="left"/>
        <w:rPr>
          <w:sz w:val="24"/>
          <w:szCs w:val="24"/>
        </w:rPr>
      </w:pPr>
      <w:r w:rsidRPr="004A6152">
        <w:rPr>
          <w:b/>
          <w:bCs/>
          <w:sz w:val="24"/>
          <w:szCs w:val="24"/>
        </w:rPr>
        <w:t>Original Appeal</w:t>
      </w:r>
      <w:r w:rsidRPr="004A6152">
        <w:rPr>
          <w:sz w:val="24"/>
          <w:szCs w:val="24"/>
        </w:rPr>
        <w:t xml:space="preserve"> XX</w:t>
      </w:r>
    </w:p>
    <w:p w:rsidR="004A6152" w:rsidRPr="004A6152" w:rsidP="004A6152" w14:paraId="6C6D234E" w14:textId="77777777">
      <w:pPr>
        <w:spacing w:after="0" w:line="240" w:lineRule="auto"/>
        <w:jc w:val="left"/>
        <w:rPr>
          <w:b/>
          <w:bCs/>
          <w:sz w:val="24"/>
          <w:szCs w:val="24"/>
        </w:rPr>
      </w:pPr>
      <w:r w:rsidRPr="004A6152">
        <w:rPr>
          <w:b/>
          <w:bCs/>
          <w:sz w:val="24"/>
          <w:szCs w:val="24"/>
        </w:rPr>
        <w:t>Original Proceeding</w:t>
      </w:r>
    </w:p>
    <w:p w:rsidR="004A6152" w:rsidRPr="004A6152" w:rsidP="004A6152" w14:paraId="31F04A51" w14:textId="77777777">
      <w:pPr>
        <w:spacing w:after="0" w:line="240" w:lineRule="auto"/>
        <w:jc w:val="left"/>
        <w:rPr>
          <w:sz w:val="24"/>
          <w:szCs w:val="24"/>
        </w:rPr>
      </w:pPr>
      <w:r w:rsidRPr="004A6152">
        <w:rPr>
          <w:b/>
          <w:bCs/>
          <w:sz w:val="24"/>
          <w:szCs w:val="24"/>
        </w:rPr>
        <w:t>Review Granted</w:t>
      </w:r>
      <w:r w:rsidRPr="004A6152">
        <w:rPr>
          <w:sz w:val="24"/>
          <w:szCs w:val="24"/>
        </w:rPr>
        <w:t xml:space="preserve"> </w:t>
      </w:r>
      <w:r w:rsidRPr="004A6152">
        <w:rPr>
          <w:b/>
          <w:bCs/>
          <w:sz w:val="24"/>
          <w:szCs w:val="24"/>
        </w:rPr>
        <w:t xml:space="preserve">(published) </w:t>
      </w:r>
    </w:p>
    <w:p w:rsidR="004A6152" w:rsidRPr="004A6152" w:rsidP="004A6152" w14:paraId="6A5FDD50" w14:textId="77777777">
      <w:pPr>
        <w:spacing w:after="0" w:line="240" w:lineRule="auto"/>
        <w:jc w:val="left"/>
        <w:rPr>
          <w:sz w:val="24"/>
          <w:szCs w:val="24"/>
        </w:rPr>
      </w:pPr>
      <w:r w:rsidRPr="004A6152">
        <w:rPr>
          <w:b/>
          <w:bCs/>
          <w:sz w:val="24"/>
          <w:szCs w:val="24"/>
        </w:rPr>
        <w:t xml:space="preserve">Review Granted (unpublished) </w:t>
      </w:r>
    </w:p>
    <w:p w:rsidR="004A6152" w:rsidRPr="004A6152" w:rsidP="004A6152" w14:paraId="7ABA48BC" w14:textId="77777777">
      <w:pPr>
        <w:spacing w:after="0" w:line="240" w:lineRule="auto"/>
        <w:jc w:val="left"/>
        <w:rPr>
          <w:b/>
          <w:bCs/>
          <w:sz w:val="24"/>
          <w:szCs w:val="24"/>
        </w:rPr>
      </w:pPr>
      <w:r w:rsidRPr="004A6152">
        <w:rPr>
          <w:b/>
          <w:bCs/>
          <w:sz w:val="24"/>
          <w:szCs w:val="24"/>
        </w:rPr>
        <w:t>Rehearing Gra</w:t>
      </w:r>
      <w:r w:rsidRPr="004A6152">
        <w:rPr>
          <w:b/>
          <w:bCs/>
          <w:sz w:val="24"/>
          <w:szCs w:val="24"/>
        </w:rPr>
        <w:t>nted</w:t>
      </w:r>
    </w:p>
    <w:p w:rsidR="004A6152" w:rsidRPr="004A6152" w:rsidP="004A6152" w14:paraId="57854C1B" w14:textId="77777777">
      <w:pPr>
        <w:spacing w:after="0" w:line="240" w:lineRule="auto"/>
        <w:jc w:val="left"/>
        <w:rPr>
          <w:b/>
          <w:sz w:val="24"/>
          <w:szCs w:val="24"/>
        </w:rPr>
      </w:pPr>
    </w:p>
    <w:p w:rsidR="004A6152" w:rsidRPr="004A6152" w:rsidP="004A6152" w14:paraId="2FC592BC" w14:textId="77777777">
      <w:pPr>
        <w:spacing w:after="0" w:line="240" w:lineRule="auto"/>
        <w:jc w:val="left"/>
        <w:rPr>
          <w:b/>
          <w:sz w:val="24"/>
          <w:szCs w:val="24"/>
        </w:rPr>
      </w:pPr>
      <w:r w:rsidRPr="004A6152">
        <w:rPr>
          <w:b/>
          <w:sz w:val="24"/>
          <w:szCs w:val="24"/>
        </w:rPr>
        <w:t xml:space="preserve">__________________________________________________________ </w:t>
      </w:r>
    </w:p>
    <w:p w:rsidR="004A6152" w:rsidRPr="004A6152" w:rsidP="004A6152" w14:paraId="499AF17D" w14:textId="77777777">
      <w:pPr>
        <w:spacing w:after="0" w:line="240" w:lineRule="auto"/>
        <w:jc w:val="left"/>
        <w:rPr>
          <w:b/>
          <w:sz w:val="24"/>
          <w:szCs w:val="24"/>
        </w:rPr>
      </w:pPr>
    </w:p>
    <w:p w:rsidR="004A6152" w:rsidRPr="004A6152" w:rsidP="004A6152" w14:paraId="582F3548" w14:textId="77777777">
      <w:pPr>
        <w:spacing w:after="0" w:line="240" w:lineRule="auto"/>
        <w:jc w:val="left"/>
        <w:rPr>
          <w:bCs/>
          <w:sz w:val="24"/>
          <w:szCs w:val="24"/>
        </w:rPr>
      </w:pPr>
      <w:r w:rsidRPr="004A6152">
        <w:rPr>
          <w:b/>
          <w:sz w:val="24"/>
          <w:szCs w:val="24"/>
        </w:rPr>
        <w:t>Opinion No.</w:t>
      </w:r>
      <w:r w:rsidRPr="004A6152">
        <w:rPr>
          <w:sz w:val="24"/>
          <w:szCs w:val="24"/>
        </w:rPr>
        <w:t xml:space="preserve"> S148863</w:t>
      </w:r>
    </w:p>
    <w:p w:rsidR="004A6152" w:rsidRPr="004A6152" w:rsidP="004A6152" w14:paraId="261BE213" w14:textId="77777777">
      <w:pPr>
        <w:spacing w:after="0" w:line="240" w:lineRule="auto"/>
        <w:jc w:val="left"/>
        <w:rPr>
          <w:bCs/>
          <w:sz w:val="24"/>
          <w:szCs w:val="24"/>
        </w:rPr>
      </w:pPr>
      <w:r w:rsidRPr="004A6152">
        <w:rPr>
          <w:b/>
          <w:sz w:val="24"/>
          <w:szCs w:val="24"/>
        </w:rPr>
        <w:t>Date Filed:</w:t>
      </w:r>
      <w:r w:rsidRPr="004A6152">
        <w:rPr>
          <w:sz w:val="24"/>
          <w:szCs w:val="24"/>
        </w:rPr>
        <w:t xml:space="preserve">  August 5, 2024</w:t>
      </w:r>
    </w:p>
    <w:p w:rsidR="004A6152" w:rsidRPr="004A6152" w:rsidP="004A6152" w14:paraId="16BCC15B" w14:textId="77777777">
      <w:pPr>
        <w:spacing w:after="0" w:line="240" w:lineRule="auto"/>
        <w:jc w:val="left"/>
        <w:rPr>
          <w:b/>
          <w:sz w:val="24"/>
          <w:szCs w:val="24"/>
        </w:rPr>
      </w:pPr>
      <w:r w:rsidRPr="004A6152">
        <w:rPr>
          <w:b/>
          <w:sz w:val="24"/>
          <w:szCs w:val="24"/>
        </w:rPr>
        <w:t xml:space="preserve">__________________________________________________________ </w:t>
      </w:r>
    </w:p>
    <w:p w:rsidR="004A6152" w:rsidRPr="004A6152" w:rsidP="004A6152" w14:paraId="62527A5A" w14:textId="77777777">
      <w:pPr>
        <w:spacing w:after="0" w:line="240" w:lineRule="auto"/>
        <w:jc w:val="left"/>
        <w:rPr>
          <w:b/>
          <w:sz w:val="24"/>
          <w:szCs w:val="24"/>
        </w:rPr>
      </w:pPr>
    </w:p>
    <w:p w:rsidR="004A6152" w:rsidRPr="004A6152" w:rsidP="004A6152" w14:paraId="112CB4AD" w14:textId="77777777">
      <w:pPr>
        <w:spacing w:after="0" w:line="240" w:lineRule="auto"/>
        <w:jc w:val="left"/>
        <w:rPr>
          <w:bCs/>
          <w:sz w:val="24"/>
          <w:szCs w:val="24"/>
        </w:rPr>
      </w:pPr>
      <w:r w:rsidRPr="004A6152">
        <w:rPr>
          <w:b/>
          <w:sz w:val="24"/>
          <w:szCs w:val="24"/>
        </w:rPr>
        <w:t xml:space="preserve">Court:  </w:t>
      </w:r>
      <w:r w:rsidRPr="004A6152">
        <w:rPr>
          <w:bCs/>
          <w:sz w:val="24"/>
          <w:szCs w:val="24"/>
        </w:rPr>
        <w:t>Superior</w:t>
      </w:r>
    </w:p>
    <w:p w:rsidR="004A6152" w:rsidRPr="004A6152" w:rsidP="004A6152" w14:paraId="7B1C0C7D" w14:textId="77777777">
      <w:pPr>
        <w:spacing w:after="0" w:line="240" w:lineRule="auto"/>
        <w:jc w:val="left"/>
        <w:rPr>
          <w:bCs/>
          <w:sz w:val="24"/>
          <w:szCs w:val="24"/>
        </w:rPr>
      </w:pPr>
      <w:r w:rsidRPr="004A6152">
        <w:rPr>
          <w:b/>
          <w:sz w:val="24"/>
          <w:szCs w:val="24"/>
        </w:rPr>
        <w:t xml:space="preserve">County:  </w:t>
      </w:r>
      <w:r w:rsidRPr="004A6152">
        <w:rPr>
          <w:bCs/>
          <w:sz w:val="24"/>
          <w:szCs w:val="24"/>
        </w:rPr>
        <w:t>Contra Costa</w:t>
      </w:r>
    </w:p>
    <w:p w:rsidR="004A6152" w:rsidRPr="004A6152" w:rsidP="004A6152" w14:paraId="7E1807B9" w14:textId="77777777">
      <w:pPr>
        <w:spacing w:after="0" w:line="240" w:lineRule="auto"/>
        <w:ind w:left="720" w:hanging="720"/>
        <w:jc w:val="left"/>
        <w:rPr>
          <w:bCs/>
          <w:sz w:val="24"/>
          <w:szCs w:val="24"/>
        </w:rPr>
      </w:pPr>
      <w:r w:rsidRPr="004A6152">
        <w:rPr>
          <w:b/>
          <w:sz w:val="24"/>
          <w:szCs w:val="24"/>
        </w:rPr>
        <w:t xml:space="preserve">Judge:  </w:t>
      </w:r>
      <w:r w:rsidRPr="004A6152">
        <w:rPr>
          <w:bCs/>
          <w:sz w:val="24"/>
          <w:szCs w:val="24"/>
        </w:rPr>
        <w:t>John C. Minney</w:t>
      </w:r>
    </w:p>
    <w:p w:rsidR="004A6152" w:rsidRPr="004A6152" w:rsidP="004A6152" w14:paraId="7AED4F32" w14:textId="77777777">
      <w:pPr>
        <w:spacing w:after="0" w:line="240" w:lineRule="auto"/>
        <w:jc w:val="left"/>
        <w:rPr>
          <w:b/>
          <w:sz w:val="24"/>
          <w:szCs w:val="24"/>
        </w:rPr>
      </w:pPr>
      <w:r w:rsidRPr="004A6152">
        <w:rPr>
          <w:b/>
          <w:sz w:val="24"/>
          <w:szCs w:val="24"/>
        </w:rPr>
        <w:t xml:space="preserve">__________________________________________________________  </w:t>
      </w:r>
    </w:p>
    <w:p w:rsidR="004A6152" w:rsidRPr="004A6152" w:rsidP="004A6152" w14:paraId="7D042F44" w14:textId="77777777">
      <w:pPr>
        <w:spacing w:after="0" w:line="240" w:lineRule="auto"/>
        <w:jc w:val="left"/>
        <w:rPr>
          <w:b/>
          <w:sz w:val="24"/>
          <w:szCs w:val="24"/>
        </w:rPr>
      </w:pPr>
    </w:p>
    <w:p w:rsidR="004A6152" w:rsidRPr="004A6152" w:rsidP="004A6152" w14:paraId="24963885" w14:textId="77777777">
      <w:pPr>
        <w:spacing w:after="0" w:line="240" w:lineRule="auto"/>
        <w:jc w:val="left"/>
        <w:rPr>
          <w:b/>
          <w:sz w:val="24"/>
          <w:szCs w:val="24"/>
        </w:rPr>
      </w:pPr>
      <w:r w:rsidRPr="004A6152">
        <w:rPr>
          <w:b/>
          <w:sz w:val="24"/>
          <w:szCs w:val="24"/>
        </w:rPr>
        <w:t>Counsel:</w:t>
      </w:r>
    </w:p>
    <w:p w:rsidR="004A6152" w:rsidRPr="004A6152" w:rsidP="004A6152" w14:paraId="320300B0" w14:textId="77777777">
      <w:pPr>
        <w:spacing w:after="0" w:line="240" w:lineRule="auto"/>
        <w:jc w:val="left"/>
        <w:rPr>
          <w:b/>
          <w:sz w:val="24"/>
          <w:szCs w:val="24"/>
        </w:rPr>
      </w:pPr>
    </w:p>
    <w:p w:rsidR="004A6152" w:rsidRPr="004A6152" w:rsidP="004A6152" w14:paraId="383E2685" w14:textId="77777777">
      <w:pPr>
        <w:spacing w:after="0" w:line="240" w:lineRule="auto"/>
        <w:jc w:val="left"/>
        <w:rPr>
          <w:sz w:val="24"/>
          <w:szCs w:val="24"/>
        </w:rPr>
      </w:pPr>
      <w:r w:rsidRPr="004A6152">
        <w:rPr>
          <w:sz w:val="24"/>
          <w:szCs w:val="24"/>
        </w:rPr>
        <w:t>Michael J. Hersek, Mary K. McComb and Galit Lipa, State Public Defenders, Evan Young and Mark R. Feeser, Deputy State Public Defenders, for Defendant and Appellant.</w:t>
      </w:r>
    </w:p>
    <w:p w:rsidR="004A6152" w:rsidRPr="004A6152" w:rsidP="004A6152" w14:paraId="43589A34" w14:textId="77777777">
      <w:pPr>
        <w:spacing w:after="0" w:line="240" w:lineRule="auto"/>
        <w:jc w:val="left"/>
        <w:rPr>
          <w:sz w:val="24"/>
          <w:szCs w:val="24"/>
        </w:rPr>
      </w:pPr>
    </w:p>
    <w:p w:rsidR="004A6152" w:rsidRPr="004A6152" w:rsidP="004A6152" w14:paraId="39208738" w14:textId="77777777">
      <w:pPr>
        <w:spacing w:after="0" w:line="240" w:lineRule="auto"/>
        <w:jc w:val="left"/>
        <w:rPr>
          <w:sz w:val="24"/>
          <w:szCs w:val="24"/>
        </w:rPr>
      </w:pPr>
      <w:r w:rsidRPr="004A6152">
        <w:rPr>
          <w:sz w:val="24"/>
          <w:szCs w:val="24"/>
        </w:rPr>
        <w:t>Kamala D. Harris a</w:t>
      </w:r>
      <w:r w:rsidRPr="004A6152">
        <w:rPr>
          <w:sz w:val="24"/>
          <w:szCs w:val="24"/>
        </w:rPr>
        <w:t>nd Rob Bonta, Attorneys General, Gerald A. Engler and Lance E. Winters, Chief Assistant Attorneys General, Ronald S. Matthias and James W. Bilderback II, Assistant Attorneys General, Glenn R. Pruden, Alice B. Lustre and Victoria Ratnikova, Deputy Attorneys</w:t>
      </w:r>
      <w:r w:rsidRPr="004A6152">
        <w:rPr>
          <w:sz w:val="24"/>
          <w:szCs w:val="24"/>
        </w:rPr>
        <w:t xml:space="preserve"> General, for Plaintiff and Respondent.</w:t>
      </w:r>
    </w:p>
    <w:p w:rsidR="004A6152" w:rsidRPr="004A6152" w:rsidP="004A6152" w14:paraId="2FF05061" w14:textId="77777777">
      <w:pPr>
        <w:spacing w:after="0" w:line="240" w:lineRule="auto"/>
        <w:jc w:val="left"/>
        <w:rPr>
          <w:sz w:val="24"/>
          <w:szCs w:val="24"/>
        </w:rPr>
      </w:pPr>
    </w:p>
    <w:p w:rsidR="004A6152" w:rsidRPr="004A6152" w:rsidP="004A6152" w14:paraId="31485555" w14:textId="77777777">
      <w:pPr>
        <w:spacing w:after="0" w:line="240" w:lineRule="auto"/>
        <w:jc w:val="left"/>
        <w:rPr>
          <w:sz w:val="24"/>
          <w:szCs w:val="24"/>
        </w:rPr>
      </w:pPr>
    </w:p>
    <w:p w:rsidR="004A6152" w:rsidRPr="004A6152" w:rsidP="004A6152" w14:paraId="3EFE6B48" w14:textId="77777777">
      <w:pPr>
        <w:spacing w:after="0" w:line="240" w:lineRule="auto"/>
        <w:jc w:val="left"/>
        <w:rPr>
          <w:sz w:val="24"/>
          <w:szCs w:val="24"/>
        </w:rPr>
      </w:pPr>
    </w:p>
    <w:p w:rsidR="004A6152" w:rsidRPr="004A6152" w:rsidP="004A6152" w14:paraId="416674FC" w14:textId="77777777">
      <w:pPr>
        <w:spacing w:after="0" w:line="240" w:lineRule="auto"/>
        <w:jc w:val="left"/>
        <w:rPr>
          <w:sz w:val="24"/>
          <w:szCs w:val="24"/>
        </w:rPr>
      </w:pPr>
    </w:p>
    <w:p w:rsidR="004A6152" w:rsidRPr="004A6152" w:rsidP="004A6152" w14:paraId="12A2BA7F" w14:textId="77777777">
      <w:pPr>
        <w:spacing w:after="0" w:line="240" w:lineRule="auto"/>
        <w:jc w:val="left"/>
        <w:rPr>
          <w:sz w:val="24"/>
          <w:szCs w:val="24"/>
        </w:rPr>
      </w:pPr>
    </w:p>
    <w:p w:rsidR="004A6152" w:rsidRPr="004A6152" w:rsidP="004A6152" w14:paraId="07D9508A" w14:textId="77777777">
      <w:pPr>
        <w:spacing w:after="0" w:line="240" w:lineRule="auto"/>
        <w:jc w:val="left"/>
        <w:rPr>
          <w:sz w:val="24"/>
          <w:szCs w:val="24"/>
        </w:rPr>
      </w:pPr>
    </w:p>
    <w:p w:rsidR="004A6152" w:rsidRPr="004A6152" w:rsidP="004A6152" w14:paraId="36F36CAA" w14:textId="77777777">
      <w:pPr>
        <w:spacing w:after="0" w:line="240" w:lineRule="auto"/>
        <w:jc w:val="left"/>
        <w:rPr>
          <w:b/>
          <w:sz w:val="24"/>
          <w:szCs w:val="24"/>
        </w:rPr>
      </w:pPr>
      <w:r w:rsidRPr="004A6152">
        <w:rPr>
          <w:color w:val="212121"/>
          <w:sz w:val="24"/>
          <w:szCs w:val="24"/>
          <w:shd w:val="clear" w:color="auto" w:fill="FFFFFF"/>
        </w:rPr>
        <w:br w:type="page"/>
      </w:r>
      <w:r w:rsidRPr="004A6152">
        <w:rPr>
          <w:b/>
          <w:sz w:val="24"/>
          <w:szCs w:val="24"/>
        </w:rPr>
        <w:t>Counsel who argued in Supreme Court (not intended for publication with opinion):</w:t>
      </w:r>
    </w:p>
    <w:bookmarkEnd w:id="203"/>
    <w:p w:rsidR="004A6152" w:rsidRPr="004A6152" w:rsidP="004A6152" w14:paraId="339C87E1" w14:textId="77777777">
      <w:pPr>
        <w:spacing w:after="0" w:line="240" w:lineRule="auto"/>
        <w:jc w:val="left"/>
        <w:rPr>
          <w:sz w:val="24"/>
          <w:szCs w:val="24"/>
        </w:rPr>
      </w:pPr>
    </w:p>
    <w:p w:rsidR="004A6152" w:rsidRPr="004A6152" w:rsidP="004A6152" w14:paraId="17159F94" w14:textId="77777777">
      <w:pPr>
        <w:spacing w:after="0" w:line="240" w:lineRule="auto"/>
        <w:jc w:val="left"/>
        <w:rPr>
          <w:sz w:val="24"/>
          <w:szCs w:val="24"/>
        </w:rPr>
      </w:pPr>
      <w:r w:rsidRPr="004A6152">
        <w:rPr>
          <w:sz w:val="24"/>
          <w:szCs w:val="24"/>
        </w:rPr>
        <w:t>Mark R. Feeser</w:t>
      </w:r>
    </w:p>
    <w:p w:rsidR="004A6152" w:rsidRPr="004A6152" w:rsidP="004A6152" w14:paraId="3397A644" w14:textId="77777777">
      <w:pPr>
        <w:spacing w:after="0" w:line="240" w:lineRule="auto"/>
        <w:jc w:val="left"/>
        <w:rPr>
          <w:sz w:val="24"/>
          <w:szCs w:val="24"/>
        </w:rPr>
      </w:pPr>
      <w:r w:rsidRPr="004A6152">
        <w:rPr>
          <w:sz w:val="24"/>
          <w:szCs w:val="24"/>
        </w:rPr>
        <w:t>Deputy State Public Defender</w:t>
      </w:r>
    </w:p>
    <w:p w:rsidR="004A6152" w:rsidRPr="004A6152" w:rsidP="004A6152" w14:paraId="5BD24CB4" w14:textId="77777777">
      <w:pPr>
        <w:spacing w:after="0" w:line="240" w:lineRule="auto"/>
        <w:jc w:val="left"/>
        <w:rPr>
          <w:sz w:val="24"/>
          <w:szCs w:val="24"/>
        </w:rPr>
      </w:pPr>
      <w:r w:rsidRPr="004A6152">
        <w:rPr>
          <w:sz w:val="24"/>
          <w:szCs w:val="24"/>
        </w:rPr>
        <w:t>1111 Broadway, Suite 1000</w:t>
      </w:r>
    </w:p>
    <w:p w:rsidR="004A6152" w:rsidRPr="004A6152" w:rsidP="004A6152" w14:paraId="2DD5729A" w14:textId="77777777">
      <w:pPr>
        <w:spacing w:after="0" w:line="240" w:lineRule="auto"/>
        <w:jc w:val="left"/>
        <w:rPr>
          <w:sz w:val="24"/>
          <w:szCs w:val="24"/>
        </w:rPr>
      </w:pPr>
      <w:r w:rsidRPr="004A6152">
        <w:rPr>
          <w:sz w:val="24"/>
          <w:szCs w:val="24"/>
        </w:rPr>
        <w:t>Oakland, CA 94607</w:t>
      </w:r>
    </w:p>
    <w:p w:rsidR="004A6152" w:rsidRPr="004A6152" w:rsidP="004A6152" w14:paraId="709A5648" w14:textId="77777777">
      <w:pPr>
        <w:spacing w:after="0" w:line="240" w:lineRule="auto"/>
        <w:jc w:val="left"/>
        <w:rPr>
          <w:sz w:val="24"/>
          <w:szCs w:val="24"/>
        </w:rPr>
      </w:pPr>
      <w:r w:rsidRPr="004A6152">
        <w:rPr>
          <w:sz w:val="24"/>
          <w:szCs w:val="24"/>
        </w:rPr>
        <w:t>(510) 267-3300</w:t>
      </w:r>
    </w:p>
    <w:p w:rsidR="004A6152" w:rsidRPr="004A6152" w:rsidP="004A6152" w14:paraId="6BED0E47" w14:textId="77777777">
      <w:pPr>
        <w:spacing w:after="0" w:line="240" w:lineRule="auto"/>
        <w:jc w:val="left"/>
        <w:rPr>
          <w:sz w:val="24"/>
          <w:szCs w:val="24"/>
        </w:rPr>
      </w:pPr>
    </w:p>
    <w:p w:rsidR="004A6152" w:rsidRPr="004A6152" w:rsidP="004A6152" w14:paraId="00499908" w14:textId="77777777">
      <w:pPr>
        <w:spacing w:after="0" w:line="240" w:lineRule="auto"/>
        <w:jc w:val="left"/>
        <w:rPr>
          <w:sz w:val="24"/>
          <w:szCs w:val="24"/>
        </w:rPr>
      </w:pPr>
      <w:r w:rsidRPr="004A6152">
        <w:rPr>
          <w:sz w:val="24"/>
          <w:szCs w:val="24"/>
        </w:rPr>
        <w:t xml:space="preserve">Victoria </w:t>
      </w:r>
      <w:r w:rsidRPr="004A6152">
        <w:rPr>
          <w:sz w:val="24"/>
          <w:szCs w:val="24"/>
        </w:rPr>
        <w:t>Ratnikova</w:t>
      </w:r>
    </w:p>
    <w:p w:rsidR="004A6152" w:rsidRPr="004A6152" w:rsidP="004A6152" w14:paraId="2280764A" w14:textId="77777777">
      <w:pPr>
        <w:spacing w:after="0" w:line="240" w:lineRule="auto"/>
        <w:jc w:val="left"/>
        <w:rPr>
          <w:sz w:val="24"/>
          <w:szCs w:val="24"/>
        </w:rPr>
      </w:pPr>
      <w:r w:rsidRPr="004A6152">
        <w:rPr>
          <w:sz w:val="24"/>
          <w:szCs w:val="24"/>
        </w:rPr>
        <w:t>Deputy Attorney General</w:t>
      </w:r>
    </w:p>
    <w:p w:rsidR="004A6152" w:rsidRPr="004A6152" w:rsidP="004A6152" w14:paraId="3546B912" w14:textId="77777777">
      <w:pPr>
        <w:spacing w:after="0" w:line="240" w:lineRule="auto"/>
        <w:jc w:val="left"/>
        <w:rPr>
          <w:sz w:val="24"/>
          <w:szCs w:val="24"/>
        </w:rPr>
      </w:pPr>
      <w:r w:rsidRPr="004A6152">
        <w:rPr>
          <w:sz w:val="24"/>
          <w:szCs w:val="24"/>
        </w:rPr>
        <w:t>455 Golden Gate Avenue, Suite 11000</w:t>
      </w:r>
    </w:p>
    <w:p w:rsidR="004A6152" w:rsidRPr="004A6152" w:rsidP="004A6152" w14:paraId="7536B4A3" w14:textId="77777777">
      <w:pPr>
        <w:spacing w:after="0" w:line="240" w:lineRule="auto"/>
        <w:jc w:val="left"/>
        <w:rPr>
          <w:sz w:val="24"/>
          <w:szCs w:val="24"/>
        </w:rPr>
      </w:pPr>
      <w:r w:rsidRPr="004A6152">
        <w:rPr>
          <w:sz w:val="24"/>
          <w:szCs w:val="24"/>
        </w:rPr>
        <w:t>San Francisco, CA 94102</w:t>
      </w:r>
    </w:p>
    <w:p w:rsidR="004A6152" w:rsidRPr="004A6152" w:rsidP="004A6152" w14:paraId="4EBCCDE5" w14:textId="77777777">
      <w:pPr>
        <w:spacing w:after="0" w:line="240" w:lineRule="auto"/>
        <w:jc w:val="left"/>
        <w:rPr>
          <w:sz w:val="24"/>
          <w:szCs w:val="24"/>
        </w:rPr>
      </w:pPr>
      <w:r w:rsidRPr="004A6152">
        <w:rPr>
          <w:sz w:val="24"/>
          <w:szCs w:val="24"/>
        </w:rPr>
        <w:t>(415) 510-3848</w:t>
      </w:r>
    </w:p>
    <w:p w:rsidR="00F93003" w:rsidRPr="0006082D" w:rsidP="0006082D" w14:paraId="274AFF99" w14:textId="5FF7C5B7">
      <w:pPr>
        <w:spacing w:after="0" w:line="240" w:lineRule="auto"/>
        <w:jc w:val="left"/>
        <w:rPr>
          <w:b/>
        </w:rPr>
      </w:pPr>
    </w:p>
    <w:sectPr w:rsidSect="004A6152">
      <w:headerReference w:type="even" r:id="rId23"/>
      <w:headerReference w:type="default" r:id="rId24"/>
      <w:footerReference w:type="even" r:id="rId25"/>
      <w:footerReference w:type="default" r:id="rId26"/>
      <w:headerReference w:type="first" r:id="rId27"/>
      <w:footerReference w:type="first" r:id="rId28"/>
      <w:pgSz w:w="12240" w:h="15840"/>
      <w:pgMar w:top="1800" w:right="2160" w:bottom="1440" w:left="2160"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039C8" w14:paraId="50224EB2" w14:textId="77777777">
      <w:r>
        <w:separator/>
      </w:r>
    </w:p>
  </w:endnote>
  <w:endnote w:type="continuationSeparator" w:id="1">
    <w:p w:rsidR="004039C8" w14:paraId="47F62640" w14:textId="77777777">
      <w:r>
        <w:continuationSeparator/>
      </w:r>
    </w:p>
  </w:endnote>
  <w:endnote w:type="continuationNotice" w:id="2">
    <w:p w:rsidR="004039C8" w14:paraId="5A10156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597A" w14:paraId="03244709" w14:textId="77777777">
    <w:pPr>
      <w:pStyle w:val="Footer"/>
    </w:pPr>
    <w:r>
      <w:fldChar w:fldCharType="begin"/>
    </w:r>
    <w:r>
      <w:instrText>PAGE</w:instrText>
    </w:r>
    <w:r>
      <w:fldChar w:fldCharType="separate"/>
    </w:r>
    <w:r>
      <w:rPr>
        <w:noProof/>
      </w:rPr>
      <w:t>1</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3647" w14:paraId="24ACA0CD" w14:textId="7777777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3647" w14:paraId="48F1AAE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6FB6" w14:paraId="10B77A5C" w14:textId="77777777">
    <w:pPr>
      <w:pStyle w:val="Foo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3647" w14:paraId="63823B97"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3647" w14:paraId="06DC4481" w14:textId="77777777">
    <w:pPr>
      <w:pStyle w:val="Footer"/>
    </w:pPr>
    <w:r>
      <w:fldChar w:fldCharType="begin"/>
    </w:r>
    <w:r>
      <w:instrText>PAGE</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20475296"/>
      <w:docPartObj>
        <w:docPartGallery w:val="Page Numbers (Bottom of Page)"/>
        <w:docPartUnique/>
      </w:docPartObj>
    </w:sdtPr>
    <w:sdtEndPr>
      <w:rPr>
        <w:noProof/>
      </w:rPr>
    </w:sdtEndPr>
    <w:sdtContent>
      <w:p w:rsidR="00753647" w14:paraId="455AACC9" w14:textId="7777777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3647" w14:paraId="1609F735"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3647" w14:paraId="76D79BF4" w14:textId="77777777">
    <w:pPr>
      <w:pStyle w:val="Footer"/>
    </w:pPr>
    <w:r>
      <w:fldChar w:fldCharType="begin"/>
    </w:r>
    <w:r>
      <w:instrText>PAGE</w:instrText>
    </w:r>
    <w:r>
      <w:fldChar w:fldCharType="separate"/>
    </w:r>
    <w:r>
      <w:rPr>
        <w:noProof/>
      </w:rPr>
      <w:t>1</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3647" w14:paraId="006DADE3" w14:textId="77777777">
    <w:pPr>
      <w:pStyle w:val="Footer"/>
    </w:pPr>
    <w:r>
      <w:fldChar w:fldCharType="begin"/>
    </w:r>
    <w:r>
      <w:instrText xml:space="preserve"> PAGE   \* MERGEFORMAT </w:instrText>
    </w:r>
    <w:r>
      <w:fldChar w:fldCharType="separate"/>
    </w:r>
    <w:r>
      <w:rPr>
        <w:noProof/>
      </w:rPr>
      <w: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3647" w14:paraId="22E8207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039C8" w14:paraId="7FB5EB68" w14:textId="77777777">
      <w:r>
        <w:separator/>
      </w:r>
    </w:p>
  </w:footnote>
  <w:footnote w:type="continuationSeparator" w:id="1">
    <w:p w:rsidR="004039C8" w14:paraId="1E20C130" w14:textId="77777777">
      <w:pPr>
        <w:rPr>
          <w:sz w:val="22"/>
        </w:rPr>
      </w:pPr>
      <w:r w:rsidRPr="004335F7">
        <w:continuationSeparator/>
      </w:r>
    </w:p>
  </w:footnote>
  <w:footnote w:type="continuationNotice" w:id="2">
    <w:p w:rsidR="004039C8" w14:paraId="3BFA59B9" w14:textId="77777777">
      <w:pPr>
        <w:jc w:val="right"/>
        <w:rPr>
          <w:i/>
          <w:sz w:val="20"/>
        </w:rPr>
      </w:pPr>
    </w:p>
  </w:footnote>
  <w:footnote w:id="3">
    <w:p w:rsidR="00CF0761" w:rsidRPr="00190D2B" w:rsidP="004335F7" w14:paraId="28E3F5E6" w14:textId="045EBA1F">
      <w:pPr>
        <w:pStyle w:val="FootnoteText"/>
        <w:rPr>
          <w:szCs w:val="26"/>
        </w:rPr>
      </w:pPr>
      <w:r w:rsidRPr="00190D2B">
        <w:rPr>
          <w:rStyle w:val="FootnoteReference"/>
          <w:szCs w:val="26"/>
        </w:rPr>
        <w:footnoteRef/>
      </w:r>
      <w:r w:rsidRPr="00190D2B">
        <w:rPr>
          <w:szCs w:val="26"/>
        </w:rPr>
        <w:t xml:space="preserve"> </w:t>
      </w:r>
      <w:r w:rsidRPr="00190D2B">
        <w:rPr>
          <w:szCs w:val="26"/>
        </w:rPr>
        <w:tab/>
      </w:r>
      <w:r w:rsidRPr="00190D2B" w:rsidR="00F930D2">
        <w:rPr>
          <w:szCs w:val="26"/>
        </w:rPr>
        <w:t>Unless otherwise stated, a</w:t>
      </w:r>
      <w:r w:rsidRPr="00190D2B">
        <w:rPr>
          <w:szCs w:val="26"/>
        </w:rPr>
        <w:t xml:space="preserve">ll subsequent statutory references are to the Penal Code. </w:t>
      </w:r>
      <w:r w:rsidR="002F6303">
        <w:rPr>
          <w:szCs w:val="26"/>
        </w:rPr>
        <w:t xml:space="preserve"> </w:t>
      </w:r>
    </w:p>
  </w:footnote>
  <w:footnote w:id="4">
    <w:p w:rsidR="00CA47D8" w:rsidRPr="00190D2B" w:rsidP="004335F7" w14:paraId="26E0C631" w14:textId="564AC4FA">
      <w:pPr>
        <w:pStyle w:val="FootnoteText"/>
      </w:pPr>
      <w:r w:rsidRPr="00190D2B">
        <w:rPr>
          <w:rStyle w:val="FootnoteReference"/>
        </w:rPr>
        <w:footnoteRef/>
      </w:r>
      <w:r w:rsidRPr="00190D2B">
        <w:t xml:space="preserve"> </w:t>
      </w:r>
      <w:r w:rsidRPr="00190D2B">
        <w:tab/>
        <w:t xml:space="preserve">The court stayed execution of the sentences on the other offenses pursuant to section 654.  </w:t>
      </w:r>
    </w:p>
  </w:footnote>
  <w:footnote w:id="5">
    <w:p w:rsidR="003B0389" w14:paraId="5CB39CB3" w14:textId="6D44B770">
      <w:pPr>
        <w:pStyle w:val="FootnoteText"/>
      </w:pPr>
      <w:r>
        <w:rPr>
          <w:rStyle w:val="FootnoteReference"/>
        </w:rPr>
        <w:footnoteRef/>
      </w:r>
      <w:r>
        <w:t xml:space="preserve"> </w:t>
      </w:r>
      <w:r>
        <w:tab/>
        <w:t>While this appeal was pending</w:t>
      </w:r>
      <w:r w:rsidRPr="00885165" w:rsidR="00885165">
        <w:t>,</w:t>
      </w:r>
      <w:r w:rsidR="00885165">
        <w:t xml:space="preserve"> </w:t>
      </w:r>
      <w:r w:rsidR="00A1055E">
        <w:t xml:space="preserve">and </w:t>
      </w:r>
      <w:r w:rsidR="00885165">
        <w:t xml:space="preserve">after we </w:t>
      </w:r>
      <w:r w:rsidR="00613880">
        <w:t>issued a letter advising the parties that th</w:t>
      </w:r>
      <w:r w:rsidR="00E02EEB">
        <w:t>is</w:t>
      </w:r>
      <w:r w:rsidR="00613880">
        <w:t xml:space="preserve"> court could </w:t>
      </w:r>
      <w:r w:rsidR="002F5402">
        <w:t xml:space="preserve">soon </w:t>
      </w:r>
      <w:r w:rsidR="00613880">
        <w:t>set the case for argument</w:t>
      </w:r>
      <w:r w:rsidR="00A1055E">
        <w:t>,</w:t>
      </w:r>
      <w:r w:rsidRPr="00885165" w:rsidR="00885165">
        <w:t xml:space="preserve"> defendant filed a motion to stay the appeal and remand </w:t>
      </w:r>
      <w:r w:rsidR="006A1A09">
        <w:t xml:space="preserve">the matter </w:t>
      </w:r>
      <w:r w:rsidRPr="00885165" w:rsidR="00885165">
        <w:t xml:space="preserve">to </w:t>
      </w:r>
      <w:r w:rsidRPr="00885165" w:rsidR="00CB1C14">
        <w:t xml:space="preserve">the trial court </w:t>
      </w:r>
      <w:r w:rsidR="00CB1C14">
        <w:t xml:space="preserve">to </w:t>
      </w:r>
      <w:r w:rsidRPr="00885165" w:rsidR="00885165">
        <w:t>allow him to file a motion pursu</w:t>
      </w:r>
      <w:r w:rsidR="00CB1C14">
        <w:t xml:space="preserve">ant to the </w:t>
      </w:r>
      <w:r w:rsidRPr="00885165" w:rsidR="00885165">
        <w:t xml:space="preserve">California Racial Justice Act of 2020 (Pen. Code, §§ 745, </w:t>
      </w:r>
      <w:r w:rsidRPr="00BE6A1B" w:rsidR="00885165">
        <w:t>1473, 1473.7; Stats. 2020, ch. 317, § 1–5</w:t>
      </w:r>
      <w:r w:rsidRPr="00885165" w:rsidR="00885165">
        <w:t>)</w:t>
      </w:r>
      <w:r w:rsidR="00A47CBC">
        <w:t xml:space="preserve"> (RJA)</w:t>
      </w:r>
      <w:r w:rsidR="00A1055E">
        <w:t>.</w:t>
      </w:r>
      <w:r w:rsidR="002F5402">
        <w:t xml:space="preserve">  </w:t>
      </w:r>
      <w:r w:rsidRPr="00511A56" w:rsidR="00511A56">
        <w:t xml:space="preserve">Applying the factors described in </w:t>
      </w:r>
      <w:r w:rsidRPr="00484103" w:rsidR="00A3592C">
        <w:rPr>
          <w:i/>
          <w:iCs/>
        </w:rPr>
        <w:t>People v. Wilson</w:t>
      </w:r>
      <w:r w:rsidR="00A3592C">
        <w:t xml:space="preserve"> </w:t>
      </w:r>
      <w:r w:rsidR="00242AC5">
        <w:t xml:space="preserve">(Aug. 5, 2024, </w:t>
      </w:r>
      <w:r w:rsidR="00A3592C">
        <w:t>S118775) ___ Cal.5th ___</w:t>
      </w:r>
      <w:r w:rsidRPr="00511A56" w:rsidR="00511A56">
        <w:t>, we conclude defendant has failed to establish good cause for staying the current appeal.</w:t>
      </w:r>
      <w:r w:rsidR="00A1170D">
        <w:t xml:space="preserve">  </w:t>
      </w:r>
      <w:r w:rsidR="00CF4258">
        <w:t>F</w:t>
      </w:r>
      <w:r w:rsidR="002D38E5">
        <w:t>or reasons explained</w:t>
      </w:r>
      <w:r w:rsidR="00A1170D">
        <w:t xml:space="preserve"> in </w:t>
      </w:r>
      <w:r w:rsidRPr="005438E8" w:rsidR="00A1170D">
        <w:rPr>
          <w:i/>
          <w:iCs/>
        </w:rPr>
        <w:t>Wilson</w:t>
      </w:r>
      <w:r w:rsidR="00A1170D">
        <w:t xml:space="preserve">, </w:t>
      </w:r>
      <w:r w:rsidR="005601F7">
        <w:t xml:space="preserve">because </w:t>
      </w:r>
      <w:r w:rsidR="00DC50F3">
        <w:t>defendant</w:t>
      </w:r>
      <w:r w:rsidR="00A1170D">
        <w:t xml:space="preserve"> </w:t>
      </w:r>
      <w:r w:rsidR="005C50F2">
        <w:t xml:space="preserve">seeks </w:t>
      </w:r>
      <w:r w:rsidR="00A1170D">
        <w:t xml:space="preserve">to </w:t>
      </w:r>
      <w:r w:rsidR="00A42F22">
        <w:t xml:space="preserve">adjudicate an RJA </w:t>
      </w:r>
      <w:r w:rsidR="00E81871">
        <w:t xml:space="preserve">claim </w:t>
      </w:r>
      <w:r w:rsidR="009A75C4">
        <w:t xml:space="preserve">that </w:t>
      </w:r>
      <w:r w:rsidR="00B450A5">
        <w:t xml:space="preserve">is not intertwined with </w:t>
      </w:r>
      <w:r w:rsidR="00DE08B5">
        <w:t xml:space="preserve">the </w:t>
      </w:r>
      <w:r w:rsidR="00B450A5">
        <w:t>issues</w:t>
      </w:r>
      <w:r w:rsidR="00DE08B5">
        <w:t xml:space="preserve"> </w:t>
      </w:r>
      <w:r w:rsidR="00B450A5">
        <w:t>on appeal</w:t>
      </w:r>
      <w:r w:rsidR="00A87C9F">
        <w:t>,</w:t>
      </w:r>
      <w:r w:rsidR="00A43754">
        <w:t xml:space="preserve"> </w:t>
      </w:r>
      <w:r w:rsidR="005601F7">
        <w:t>he</w:t>
      </w:r>
      <w:r w:rsidR="00925D6B">
        <w:t xml:space="preserve"> </w:t>
      </w:r>
      <w:r w:rsidR="000F04FC">
        <w:t>“</w:t>
      </w:r>
      <w:r w:rsidRPr="000F04FC" w:rsidR="000F04FC">
        <w:t xml:space="preserve">does not need a stay of the appeal or a remand to the superior court </w:t>
      </w:r>
      <w:r w:rsidR="008D3AAB">
        <w:t xml:space="preserve">to raise </w:t>
      </w:r>
      <w:r w:rsidR="005F4DE3">
        <w:t>[</w:t>
      </w:r>
      <w:r w:rsidR="00465B72">
        <w:t>the RJA claim</w:t>
      </w:r>
      <w:r w:rsidR="005F4DE3">
        <w:t>]</w:t>
      </w:r>
      <w:r w:rsidR="008D3AAB">
        <w:t>”</w:t>
      </w:r>
      <w:r w:rsidR="00B0467B">
        <w:t xml:space="preserve"> </w:t>
      </w:r>
      <w:r w:rsidR="00AE0DCE">
        <w:t>in</w:t>
      </w:r>
      <w:r w:rsidR="00374231">
        <w:t xml:space="preserve"> </w:t>
      </w:r>
      <w:r w:rsidR="00B0467B">
        <w:t xml:space="preserve">a petition for </w:t>
      </w:r>
      <w:r w:rsidR="00374231">
        <w:t xml:space="preserve">writ of </w:t>
      </w:r>
      <w:r w:rsidR="00B0467B">
        <w:t>habeas corpus.</w:t>
      </w:r>
      <w:r w:rsidR="00C0390C">
        <w:t xml:space="preserve"> </w:t>
      </w:r>
      <w:r w:rsidR="00DE7B63">
        <w:t xml:space="preserve"> </w:t>
      </w:r>
      <w:r w:rsidR="008D3AAB">
        <w:t>(</w:t>
      </w:r>
      <w:r w:rsidRPr="005438E8" w:rsidR="008D3AAB">
        <w:rPr>
          <w:i/>
          <w:iCs/>
        </w:rPr>
        <w:t>Wilson</w:t>
      </w:r>
      <w:r w:rsidR="008D3AAB">
        <w:t>, at p.</w:t>
      </w:r>
      <w:r w:rsidR="002D38E5">
        <w:t xml:space="preserve"> ___</w:t>
      </w:r>
      <w:r w:rsidR="003F1072">
        <w:t xml:space="preserve"> [p. </w:t>
      </w:r>
      <w:r w:rsidR="00A56B14">
        <w:t>104</w:t>
      </w:r>
      <w:r w:rsidR="003F1072">
        <w:t>]</w:t>
      </w:r>
      <w:r w:rsidR="00637912">
        <w:t>.</w:t>
      </w:r>
      <w:r w:rsidR="008D3AAB">
        <w:t xml:space="preserve">) </w:t>
      </w:r>
      <w:r w:rsidRPr="00262A0A" w:rsidR="00262A0A">
        <w:t xml:space="preserve"> </w:t>
      </w:r>
      <w:r w:rsidR="00717FF0">
        <w:t xml:space="preserve">In addition, </w:t>
      </w:r>
      <w:r w:rsidR="00641775">
        <w:t>like the defendant</w:t>
      </w:r>
      <w:r w:rsidR="00717FF0">
        <w:t xml:space="preserve"> in </w:t>
      </w:r>
      <w:r w:rsidRPr="005438E8" w:rsidR="00717FF0">
        <w:rPr>
          <w:i/>
          <w:iCs/>
        </w:rPr>
        <w:t>Wilson</w:t>
      </w:r>
      <w:r w:rsidR="00717FF0">
        <w:t>, defe</w:t>
      </w:r>
      <w:r w:rsidR="00B132B5">
        <w:t>n</w:t>
      </w:r>
      <w:r w:rsidR="00717FF0">
        <w:t>dant</w:t>
      </w:r>
      <w:r w:rsidRPr="00717FF0" w:rsidR="00717FF0">
        <w:t xml:space="preserve"> </w:t>
      </w:r>
      <w:r w:rsidR="00717FF0">
        <w:t>“</w:t>
      </w:r>
      <w:r w:rsidRPr="00717FF0" w:rsidR="00717FF0">
        <w:t>is represented by the Office of the State Public Defender (OSPD)</w:t>
      </w:r>
      <w:r w:rsidR="0017143C">
        <w:t>” (</w:t>
      </w:r>
      <w:r w:rsidRPr="00FA1774" w:rsidR="0017143C">
        <w:rPr>
          <w:i/>
          <w:iCs/>
        </w:rPr>
        <w:t>id</w:t>
      </w:r>
      <w:r w:rsidR="0017143C">
        <w:t>. at p. </w:t>
      </w:r>
      <w:r w:rsidR="00835E83">
        <w:t>___ [p. </w:t>
      </w:r>
      <w:r w:rsidR="008C48E5">
        <w:t>109</w:t>
      </w:r>
      <w:r w:rsidR="00835E83">
        <w:t>]</w:t>
      </w:r>
      <w:r w:rsidR="0017143C">
        <w:t>)</w:t>
      </w:r>
      <w:r w:rsidR="00FA1774">
        <w:t>,</w:t>
      </w:r>
      <w:r w:rsidRPr="00717FF0" w:rsidR="00717FF0">
        <w:t xml:space="preserve"> and </w:t>
      </w:r>
      <w:r w:rsidR="0017143C">
        <w:t>defendant</w:t>
      </w:r>
      <w:r w:rsidRPr="00717FF0" w:rsidR="0017143C">
        <w:t xml:space="preserve"> </w:t>
      </w:r>
      <w:r w:rsidR="0017143C">
        <w:t>“</w:t>
      </w:r>
      <w:r w:rsidRPr="00717FF0" w:rsidR="00717FF0">
        <w:t xml:space="preserve">has not </w:t>
      </w:r>
      <w:r w:rsidR="003C1C80">
        <w:t>shown</w:t>
      </w:r>
      <w:r w:rsidRPr="00717FF0" w:rsidR="003C1C80">
        <w:t xml:space="preserve"> </w:t>
      </w:r>
      <w:r w:rsidRPr="00717FF0" w:rsidR="00717FF0">
        <w:t>that OSPD would be unavailable to litigate his claim</w:t>
      </w:r>
      <w:r w:rsidR="003D316F">
        <w:t>[]</w:t>
      </w:r>
      <w:r w:rsidRPr="00717FF0" w:rsidR="00717FF0">
        <w:t xml:space="preserve"> if </w:t>
      </w:r>
      <w:r w:rsidR="00E55049">
        <w:t>[it was]</w:t>
      </w:r>
      <w:r w:rsidR="00162792">
        <w:t xml:space="preserve"> to be </w:t>
      </w:r>
      <w:r w:rsidRPr="00717FF0" w:rsidR="00717FF0">
        <w:t xml:space="preserve">raised </w:t>
      </w:r>
      <w:r w:rsidR="00162792">
        <w:t>instead through</w:t>
      </w:r>
      <w:r w:rsidRPr="00717FF0" w:rsidR="00717FF0">
        <w:t xml:space="preserve"> a limited-purpose habeas petition </w:t>
      </w:r>
      <w:r w:rsidR="00E7751E">
        <w:t xml:space="preserve">addressed exclusively to </w:t>
      </w:r>
      <w:r w:rsidR="00E55049">
        <w:t>[that claim]</w:t>
      </w:r>
      <w:r w:rsidR="00E7751E">
        <w:t>.</w:t>
      </w:r>
      <w:r w:rsidR="00C90E94">
        <w:t>”</w:t>
      </w:r>
      <w:r w:rsidR="00717FF0">
        <w:t xml:space="preserve">  (</w:t>
      </w:r>
      <w:r w:rsidRPr="005438E8" w:rsidR="00717FF0">
        <w:rPr>
          <w:i/>
          <w:iCs/>
        </w:rPr>
        <w:t>I</w:t>
      </w:r>
      <w:r w:rsidR="004F7E0D">
        <w:rPr>
          <w:i/>
          <w:iCs/>
        </w:rPr>
        <w:t>bi</w:t>
      </w:r>
      <w:r w:rsidRPr="005438E8" w:rsidR="00717FF0">
        <w:rPr>
          <w:i/>
          <w:iCs/>
        </w:rPr>
        <w:t>d</w:t>
      </w:r>
      <w:r w:rsidR="00717FF0">
        <w:t xml:space="preserve">.) </w:t>
      </w:r>
      <w:r w:rsidR="00C90E94">
        <w:t xml:space="preserve"> </w:t>
      </w:r>
      <w:r w:rsidR="00E55049">
        <w:t xml:space="preserve">Further, as in </w:t>
      </w:r>
      <w:r w:rsidRPr="005438E8" w:rsidR="00E55049">
        <w:rPr>
          <w:i/>
          <w:iCs/>
        </w:rPr>
        <w:t>Wilson</w:t>
      </w:r>
      <w:r w:rsidR="00E55049">
        <w:t>, we find that a stay and remand at this late stage of the appellate proceedings</w:t>
      </w:r>
      <w:r w:rsidRPr="00E63331" w:rsidR="00E55049">
        <w:t xml:space="preserve"> to pursue</w:t>
      </w:r>
      <w:r w:rsidR="00E55049">
        <w:t xml:space="preserve"> an RJA claim would likely</w:t>
      </w:r>
      <w:r w:rsidRPr="00E63331" w:rsidR="00E55049">
        <w:t xml:space="preserve"> </w:t>
      </w:r>
      <w:r w:rsidR="00E55049">
        <w:t>“</w:t>
      </w:r>
      <w:r w:rsidRPr="00E63331" w:rsidR="00E55049">
        <w:t xml:space="preserve">cause significant delay </w:t>
      </w:r>
      <w:r w:rsidR="00E55049">
        <w:t>in</w:t>
      </w:r>
      <w:r w:rsidRPr="00E63331" w:rsidR="00E55049">
        <w:t xml:space="preserve"> the resolution of his appeal</w:t>
      </w:r>
      <w:r w:rsidR="00E55049">
        <w:t>.”  (</w:t>
      </w:r>
      <w:r w:rsidRPr="005438E8" w:rsidR="00E55049">
        <w:rPr>
          <w:i/>
          <w:iCs/>
        </w:rPr>
        <w:t>Wilson</w:t>
      </w:r>
      <w:r w:rsidR="00E55049">
        <w:t>, at p.</w:t>
      </w:r>
      <w:r w:rsidR="00FB4A86">
        <w:t> </w:t>
      </w:r>
      <w:r w:rsidR="00E55049">
        <w:t>___ [p. </w:t>
      </w:r>
      <w:r w:rsidR="00A02087">
        <w:t>11</w:t>
      </w:r>
      <w:r w:rsidR="00A0344C">
        <w:t>1</w:t>
      </w:r>
      <w:r w:rsidR="00E55049">
        <w:t xml:space="preserve">].)  </w:t>
      </w:r>
      <w:r w:rsidR="00876311">
        <w:t>Accordingly, w</w:t>
      </w:r>
      <w:r w:rsidR="002F5402">
        <w:t xml:space="preserve">e </w:t>
      </w:r>
      <w:r w:rsidR="00F007A1">
        <w:t xml:space="preserve">now </w:t>
      </w:r>
      <w:r w:rsidR="006C16C7">
        <w:t>deny defendant’s motion</w:t>
      </w:r>
      <w:r w:rsidR="00733BFA">
        <w:t xml:space="preserve">.  Our denial is without prejudice to defendant filing a petition for </w:t>
      </w:r>
      <w:r w:rsidR="00724344">
        <w:t xml:space="preserve">writ of </w:t>
      </w:r>
      <w:r w:rsidR="00733BFA">
        <w:t xml:space="preserve">habeas corpus </w:t>
      </w:r>
      <w:r w:rsidR="00C203C4">
        <w:t>raising a</w:t>
      </w:r>
      <w:r w:rsidR="00286C28">
        <w:t>n</w:t>
      </w:r>
      <w:r w:rsidR="00C203C4">
        <w:t xml:space="preserve"> </w:t>
      </w:r>
      <w:r w:rsidR="00C51B1F">
        <w:t>RJA</w:t>
      </w:r>
      <w:r w:rsidR="00C203C4">
        <w:t xml:space="preserve"> claim </w:t>
      </w:r>
      <w:r w:rsidR="00C51B1F">
        <w:t xml:space="preserve">as outlined in </w:t>
      </w:r>
      <w:r w:rsidR="00A3592C">
        <w:rPr>
          <w:i/>
          <w:iCs/>
        </w:rPr>
        <w:t>Wilson</w:t>
      </w:r>
      <w:r w:rsidR="00C51B1F">
        <w:t>.</w:t>
      </w:r>
    </w:p>
  </w:footnote>
  <w:footnote w:id="6">
    <w:p w:rsidR="00F1269D" w:rsidRPr="00190D2B" w:rsidP="002D3099" w14:paraId="6C09A17D" w14:textId="7795C7E6">
      <w:pPr>
        <w:pStyle w:val="FootnoteText"/>
      </w:pPr>
      <w:r w:rsidRPr="00190D2B">
        <w:rPr>
          <w:rStyle w:val="FootnoteReference"/>
        </w:rPr>
        <w:footnoteRef/>
      </w:r>
      <w:r w:rsidRPr="00190D2B">
        <w:t xml:space="preserve"> </w:t>
      </w:r>
      <w:r w:rsidRPr="00190D2B">
        <w:tab/>
        <w:t>The parties stipulated that the phone call ended at 1:48</w:t>
      </w:r>
      <w:r w:rsidR="004335F7">
        <w:t> </w:t>
      </w:r>
      <w:r w:rsidRPr="00190D2B">
        <w:t>p.m.</w:t>
      </w:r>
      <w:r w:rsidRPr="00190D2B" w:rsidR="00D42751">
        <w:t xml:space="preserve">  </w:t>
      </w:r>
    </w:p>
  </w:footnote>
  <w:footnote w:id="7">
    <w:p w:rsidR="0034746D" w:rsidRPr="00190D2B" w:rsidP="002D3099" w14:paraId="1A8D9B60" w14:textId="431F5A14">
      <w:pPr>
        <w:pStyle w:val="FootnoteText"/>
      </w:pPr>
      <w:r w:rsidRPr="00190D2B">
        <w:rPr>
          <w:rStyle w:val="FootnoteReference"/>
        </w:rPr>
        <w:footnoteRef/>
      </w:r>
      <w:r w:rsidRPr="00190D2B">
        <w:t xml:space="preserve"> </w:t>
      </w:r>
      <w:r w:rsidRPr="00190D2B">
        <w:tab/>
        <w:t xml:space="preserve">The DNA profile of the third cigarette butt matched that of the bicyclist who had spoken with defendant on the day of the offenses.  </w:t>
      </w:r>
    </w:p>
  </w:footnote>
  <w:footnote w:id="8">
    <w:p w:rsidR="00355B10" w:rsidRPr="00190D2B" w:rsidP="002D3099" w14:paraId="22AFCF19" w14:textId="41DDF871">
      <w:pPr>
        <w:pStyle w:val="FootnoteText"/>
      </w:pPr>
      <w:r w:rsidRPr="00190D2B">
        <w:rPr>
          <w:rStyle w:val="FootnoteReference"/>
        </w:rPr>
        <w:footnoteRef/>
      </w:r>
      <w:r w:rsidRPr="00190D2B">
        <w:t xml:space="preserve"> </w:t>
      </w:r>
      <w:r w:rsidRPr="00190D2B">
        <w:tab/>
        <w:t>W</w:t>
      </w:r>
      <w:r w:rsidRPr="00190D2B" w:rsidR="00200553">
        <w:t xml:space="preserve">hile </w:t>
      </w:r>
      <w:r w:rsidRPr="00190D2B" w:rsidR="00D82EC8">
        <w:t>defendant</w:t>
      </w:r>
      <w:r w:rsidRPr="00190D2B">
        <w:t xml:space="preserve"> </w:t>
      </w:r>
      <w:r w:rsidRPr="00190D2B" w:rsidR="00A8328B">
        <w:t xml:space="preserve">also </w:t>
      </w:r>
      <w:r w:rsidRPr="00190D2B" w:rsidR="00EE5DDF">
        <w:t xml:space="preserve">summarily asserts </w:t>
      </w:r>
      <w:r w:rsidRPr="00190D2B">
        <w:t>the trial court’s ruling violated his rights to a fair and reliable capital sentencing hearing and to due process</w:t>
      </w:r>
      <w:r w:rsidRPr="00190D2B" w:rsidR="00101141">
        <w:t xml:space="preserve">, </w:t>
      </w:r>
      <w:r w:rsidRPr="00190D2B">
        <w:t>h</w:t>
      </w:r>
      <w:r w:rsidRPr="00190D2B" w:rsidR="00A65F5D">
        <w:t>e</w:t>
      </w:r>
      <w:r w:rsidRPr="00190D2B" w:rsidR="00E00DF1">
        <w:t xml:space="preserve"> </w:t>
      </w:r>
      <w:r w:rsidRPr="00190D2B" w:rsidR="00E54E1D">
        <w:t xml:space="preserve">does not </w:t>
      </w:r>
      <w:r w:rsidRPr="00190D2B" w:rsidR="00A8328B">
        <w:t>present any reasoned argument in support of th</w:t>
      </w:r>
      <w:r w:rsidRPr="00190D2B" w:rsidR="00A15652">
        <w:t>ese contentions</w:t>
      </w:r>
      <w:r w:rsidRPr="00190D2B" w:rsidR="007F7515">
        <w:t>.</w:t>
      </w:r>
      <w:r w:rsidRPr="00190D2B" w:rsidR="00EA0FFE">
        <w:t xml:space="preserve"> </w:t>
      </w:r>
      <w:r w:rsidRPr="00190D2B" w:rsidR="00101141">
        <w:t xml:space="preserve"> </w:t>
      </w:r>
      <w:r w:rsidRPr="00190D2B" w:rsidR="00EA0FFE">
        <w:t xml:space="preserve">Accordingly, </w:t>
      </w:r>
      <w:r w:rsidRPr="00190D2B" w:rsidR="0046534B">
        <w:t xml:space="preserve">as does </w:t>
      </w:r>
      <w:r w:rsidRPr="00190D2B" w:rsidR="00D82EC8">
        <w:t>defendant</w:t>
      </w:r>
      <w:r w:rsidRPr="00190D2B" w:rsidR="0046534B">
        <w:t xml:space="preserve">, </w:t>
      </w:r>
      <w:r w:rsidR="00260004">
        <w:t>we</w:t>
      </w:r>
      <w:r w:rsidRPr="00190D2B" w:rsidR="0046534B">
        <w:t xml:space="preserve"> focus on the </w:t>
      </w:r>
      <w:r w:rsidRPr="00190D2B" w:rsidR="00A15652">
        <w:t xml:space="preserve">trial court’s </w:t>
      </w:r>
      <w:r w:rsidRPr="00190D2B" w:rsidR="0046534B">
        <w:t xml:space="preserve">purported violation of his right to an impartial jury under the federal and state </w:t>
      </w:r>
      <w:r w:rsidR="00B81768">
        <w:t>C</w:t>
      </w:r>
      <w:r w:rsidRPr="00190D2B" w:rsidR="00B81768">
        <w:t>onstitutions</w:t>
      </w:r>
      <w:r w:rsidRPr="00190D2B" w:rsidR="0046534B">
        <w:t>.</w:t>
      </w:r>
      <w:r w:rsidRPr="00190D2B" w:rsidR="00BC0BC0">
        <w:t xml:space="preserve">  </w:t>
      </w:r>
      <w:r w:rsidRPr="00190D2B" w:rsidR="00EC4AFF">
        <w:t xml:space="preserve">(See </w:t>
      </w:r>
      <w:r w:rsidRPr="00190D2B" w:rsidR="00EC4AFF">
        <w:rPr>
          <w:i/>
          <w:iCs/>
        </w:rPr>
        <w:t>People v. Nunez and Satele</w:t>
      </w:r>
      <w:r w:rsidRPr="00190D2B" w:rsidR="00EC4AFF">
        <w:t xml:space="preserve"> (2013) 57 Cal.4th 1, 51 </w:t>
      </w:r>
      <w:r w:rsidR="008F665E">
        <w:t>(</w:t>
      </w:r>
      <w:r w:rsidRPr="00804CD9" w:rsidR="008F665E">
        <w:rPr>
          <w:i/>
          <w:iCs/>
        </w:rPr>
        <w:t>Nunez and Satele</w:t>
      </w:r>
      <w:r w:rsidR="008F665E">
        <w:t xml:space="preserve">) </w:t>
      </w:r>
      <w:r w:rsidRPr="00190D2B" w:rsidR="00EC4AFF">
        <w:t>[declining to consider argument that was summar</w:t>
      </w:r>
      <w:r w:rsidRPr="00190D2B" w:rsidR="00005410">
        <w:t>ily</w:t>
      </w:r>
      <w:r w:rsidRPr="00190D2B" w:rsidR="00EC4AFF">
        <w:t xml:space="preserve"> asserted with no citation to authority].)  </w:t>
      </w:r>
    </w:p>
  </w:footnote>
  <w:footnote w:id="9">
    <w:p w:rsidR="005A4820" w:rsidRPr="00190D2B" w:rsidP="002D3099" w14:paraId="18137453" w14:textId="68902B40">
      <w:pPr>
        <w:pStyle w:val="FootnoteText"/>
        <w:rPr>
          <w:szCs w:val="26"/>
        </w:rPr>
      </w:pPr>
      <w:r w:rsidRPr="00190D2B">
        <w:rPr>
          <w:rStyle w:val="FootnoteReference"/>
          <w:szCs w:val="26"/>
        </w:rPr>
        <w:footnoteRef/>
      </w:r>
      <w:r w:rsidRPr="00190D2B">
        <w:rPr>
          <w:szCs w:val="26"/>
        </w:rPr>
        <w:t xml:space="preserve"> </w:t>
      </w:r>
      <w:r w:rsidRPr="00190D2B">
        <w:rPr>
          <w:szCs w:val="26"/>
        </w:rPr>
        <w:tab/>
      </w:r>
      <w:r w:rsidRPr="00190D2B" w:rsidR="00D82EC8">
        <w:rPr>
          <w:szCs w:val="26"/>
        </w:rPr>
        <w:t>Defendant</w:t>
      </w:r>
      <w:r w:rsidRPr="00190D2B">
        <w:rPr>
          <w:szCs w:val="26"/>
        </w:rPr>
        <w:t xml:space="preserve"> acknowledges that the trial court conducted a “careful voir dire.”  </w:t>
      </w:r>
    </w:p>
  </w:footnote>
  <w:footnote w:id="10">
    <w:p w:rsidR="007F01FE" w:rsidP="007F01FE" w14:paraId="46C73F54" w14:textId="773E84BE">
      <w:pPr>
        <w:pStyle w:val="FootnoteText"/>
      </w:pPr>
      <w:r>
        <w:rPr>
          <w:rStyle w:val="FootnoteReference"/>
        </w:rPr>
        <w:footnoteRef/>
      </w:r>
      <w:r>
        <w:t xml:space="preserve"> </w:t>
      </w:r>
      <w:r>
        <w:tab/>
      </w:r>
      <w:r w:rsidR="003044AE">
        <w:t>We also observe that</w:t>
      </w:r>
      <w:r w:rsidRPr="002248A1">
        <w:t xml:space="preserve"> </w:t>
      </w:r>
      <w:r w:rsidR="003044AE">
        <w:t xml:space="preserve">Prospective Juror No. 111’s </w:t>
      </w:r>
      <w:r w:rsidRPr="002248A1">
        <w:t xml:space="preserve">comments </w:t>
      </w:r>
      <w:r w:rsidR="00500E56">
        <w:t xml:space="preserve">in voir dire </w:t>
      </w:r>
      <w:r w:rsidR="00F56F23">
        <w:t xml:space="preserve">about his “civic duty” </w:t>
      </w:r>
      <w:r w:rsidRPr="002248A1">
        <w:t xml:space="preserve">could be understood to </w:t>
      </w:r>
      <w:r w:rsidRPr="002248A1">
        <w:t>reflect a debilitating misunderstanding of a juror’s role in considering the question of penalty.</w:t>
      </w:r>
      <w:r>
        <w:t xml:space="preserve">  </w:t>
      </w:r>
      <w:r w:rsidRPr="002248A1">
        <w:t xml:space="preserve">A juror’s civic duty would never </w:t>
      </w:r>
      <w:r w:rsidRPr="002248A1">
        <w:rPr>
          <w:i/>
          <w:iCs/>
        </w:rPr>
        <w:t>require</w:t>
      </w:r>
      <w:r w:rsidRPr="002248A1">
        <w:t xml:space="preserve"> a vote for execution, as the prospective juror seemed to believe. </w:t>
      </w:r>
      <w:r>
        <w:t xml:space="preserve"> </w:t>
      </w:r>
      <w:r w:rsidRPr="002248A1">
        <w:t xml:space="preserve">The prospective juror’s civic duty, like that of </w:t>
      </w:r>
      <w:r w:rsidRPr="002248A1">
        <w:t>any juror, would be to consider all the evidence with an open mind as to both potential punishments and follow the court’s instructions as to how to approach the penalty question.</w:t>
      </w:r>
      <w:r>
        <w:t xml:space="preserve">  </w:t>
      </w:r>
      <w:r w:rsidRPr="002248A1">
        <w:t xml:space="preserve">His obligation would not be to abandon his own moral judgment in deference </w:t>
      </w:r>
      <w:r w:rsidRPr="002248A1">
        <w:t>to a misapprehension regarding his civic duty.</w:t>
      </w:r>
    </w:p>
  </w:footnote>
  <w:footnote w:id="11">
    <w:p w:rsidR="00CE7B87" w14:paraId="559A21C1" w14:textId="6893F384">
      <w:pPr>
        <w:pStyle w:val="FootnoteText"/>
      </w:pPr>
      <w:r>
        <w:rPr>
          <w:rStyle w:val="FootnoteReference"/>
        </w:rPr>
        <w:footnoteRef/>
      </w:r>
      <w:r w:rsidR="00836CD1">
        <w:tab/>
      </w:r>
      <w:r w:rsidRPr="00836CD1" w:rsidR="00836CD1">
        <w:t>Further, Prospective Juror No. 111’s statement pertaining to the circumstances under which he might be able to impose the death penalty as including “a bunch of children in a playground and a repeat offender” also did not demonstrate his fitness to serve as a capital juror.  That is because “</w:t>
      </w:r>
      <w:r w:rsidR="00DE4170">
        <w:t> </w:t>
      </w:r>
      <w:r w:rsidRPr="00836CD1" w:rsidR="00836CD1">
        <w:t>‘the mere theoretical possibility that a prospective juror might be able to reach a verdict of death in some case does not necessarily render the dismissal of the juror’ erroneous.”  (</w:t>
      </w:r>
      <w:r w:rsidRPr="00836CD1" w:rsidR="00836CD1">
        <w:rPr>
          <w:i/>
          <w:iCs/>
        </w:rPr>
        <w:t>People v. Beck and Cruz</w:t>
      </w:r>
      <w:r w:rsidRPr="00836CD1" w:rsidR="00836CD1">
        <w:t xml:space="preserve"> (2019) 8 Cal.5th 548, 607–608.)  </w:t>
      </w:r>
    </w:p>
  </w:footnote>
  <w:footnote w:id="12">
    <w:p w:rsidR="00507974" w:rsidRPr="00190D2B" w:rsidP="00E50037" w14:paraId="62E76F94" w14:textId="2F4EEC68">
      <w:pPr>
        <w:pStyle w:val="FootnoteText"/>
      </w:pPr>
      <w:r w:rsidRPr="00190D2B">
        <w:rPr>
          <w:rStyle w:val="FootnoteReference"/>
        </w:rPr>
        <w:footnoteRef/>
      </w:r>
      <w:r w:rsidRPr="00190D2B">
        <w:t xml:space="preserve"> </w:t>
      </w:r>
      <w:r w:rsidRPr="00190D2B">
        <w:tab/>
        <w:t xml:space="preserve">In light of </w:t>
      </w:r>
      <w:r w:rsidRPr="00190D2B" w:rsidR="00FC013E">
        <w:t>this</w:t>
      </w:r>
      <w:r w:rsidRPr="00190D2B">
        <w:t xml:space="preserve"> conclusio</w:t>
      </w:r>
      <w:r w:rsidRPr="00190D2B" w:rsidR="00FC013E">
        <w:t>n</w:t>
      </w:r>
      <w:r w:rsidRPr="00190D2B">
        <w:t xml:space="preserve">, we need not consider whether </w:t>
      </w:r>
      <w:r w:rsidRPr="00190D2B" w:rsidR="00D82EC8">
        <w:t>defendant</w:t>
      </w:r>
      <w:r w:rsidRPr="00190D2B">
        <w:t xml:space="preserve"> is correct that </w:t>
      </w:r>
      <w:r w:rsidRPr="00190D2B" w:rsidR="004D6588">
        <w:t>Prospective Juror No. 111</w:t>
      </w:r>
      <w:r w:rsidRPr="00190D2B">
        <w:t xml:space="preserve"> held no “other” disqualifying beliefs.  Nor </w:t>
      </w:r>
      <w:r w:rsidRPr="00190D2B" w:rsidR="005C6590">
        <w:t xml:space="preserve">do </w:t>
      </w:r>
      <w:r w:rsidRPr="00190D2B">
        <w:t xml:space="preserve">we </w:t>
      </w:r>
      <w:r w:rsidRPr="00190D2B" w:rsidR="005C6590">
        <w:t xml:space="preserve">need to </w:t>
      </w:r>
      <w:r w:rsidRPr="00190D2B">
        <w:t xml:space="preserve">consider the People’s request that we reconsider our precedent holding that the erroneous excusal of a juror based on </w:t>
      </w:r>
      <w:r w:rsidRPr="00190D2B" w:rsidR="00413FEA">
        <w:t>the juror’s</w:t>
      </w:r>
      <w:r w:rsidRPr="00190D2B">
        <w:t xml:space="preserve"> views on the death penalty requires per se reversal of the death judgment.  (See </w:t>
      </w:r>
      <w:bookmarkStart w:id="52" w:name="dabmci_529f7e96eb604193bae5005214535372"/>
      <w:r w:rsidRPr="00190D2B">
        <w:rPr>
          <w:i/>
          <w:iCs/>
        </w:rPr>
        <w:t>People v. Peterson</w:t>
      </w:r>
      <w:r w:rsidRPr="00190D2B">
        <w:t xml:space="preserve"> (2020) 10</w:t>
      </w:r>
      <w:r w:rsidRPr="00190D2B" w:rsidR="0073350B">
        <w:t> </w:t>
      </w:r>
      <w:r w:rsidRPr="00190D2B">
        <w:t>Cal.5th 409, 435</w:t>
      </w:r>
      <w:bookmarkEnd w:id="52"/>
      <w:r w:rsidRPr="00190D2B">
        <w:t xml:space="preserve"> [noting that People had made </w:t>
      </w:r>
      <w:r w:rsidRPr="00190D2B" w:rsidR="009F18FD">
        <w:t xml:space="preserve">a </w:t>
      </w:r>
      <w:r w:rsidRPr="00190D2B">
        <w:t>similar request in their brief but had conceded that “</w:t>
      </w:r>
      <w:bookmarkStart w:id="53" w:name="dabmci_384583a15f6245d582aef2c8ff682da5"/>
      <w:r w:rsidRPr="00190D2B">
        <w:rPr>
          <w:i/>
          <w:iCs/>
        </w:rPr>
        <w:t xml:space="preserve">Gray v. Mississippi </w:t>
      </w:r>
      <w:r w:rsidRPr="00190D2B">
        <w:t>[(1987)</w:t>
      </w:r>
      <w:r w:rsidR="008C667D">
        <w:t>]</w:t>
      </w:r>
      <w:r w:rsidRPr="00190D2B">
        <w:rPr>
          <w:i/>
          <w:iCs/>
        </w:rPr>
        <w:t xml:space="preserve"> </w:t>
      </w:r>
      <w:r w:rsidRPr="00190D2B">
        <w:t>481</w:t>
      </w:r>
      <w:r w:rsidRPr="00190D2B" w:rsidR="0073350B">
        <w:t> </w:t>
      </w:r>
      <w:r w:rsidRPr="00190D2B">
        <w:t>U.S. 648</w:t>
      </w:r>
      <w:bookmarkEnd w:id="53"/>
      <w:r w:rsidRPr="00190D2B">
        <w:t xml:space="preserve"> is controlling and that error of this sort requires automatic reversal of the penalty judgment”]</w:t>
      </w:r>
      <w:r w:rsidRPr="00190D2B" w:rsidR="009D4A5D">
        <w:t>.)</w:t>
      </w:r>
      <w:r w:rsidRPr="00190D2B" w:rsidR="00590F00">
        <w:t xml:space="preserve">  </w:t>
      </w:r>
    </w:p>
  </w:footnote>
  <w:footnote w:id="13">
    <w:p w:rsidR="002E6C69" w:rsidRPr="00190D2B" w:rsidP="00E50037" w14:paraId="664B60ED" w14:textId="300F3D2F">
      <w:pPr>
        <w:pStyle w:val="FootnoteText"/>
      </w:pPr>
      <w:r w:rsidRPr="00190D2B">
        <w:rPr>
          <w:rStyle w:val="FootnoteReference"/>
        </w:rPr>
        <w:footnoteRef/>
      </w:r>
      <w:r w:rsidRPr="00190D2B">
        <w:t xml:space="preserve"> </w:t>
      </w:r>
      <w:r w:rsidRPr="00190D2B">
        <w:tab/>
      </w:r>
      <w:r w:rsidR="009E7835">
        <w:t>W</w:t>
      </w:r>
      <w:r w:rsidRPr="00190D2B" w:rsidR="00DA6BDC">
        <w:t xml:space="preserve">e </w:t>
      </w:r>
      <w:r w:rsidRPr="00190D2B">
        <w:t xml:space="preserve">assume, for the sake </w:t>
      </w:r>
      <w:r w:rsidRPr="00190D2B">
        <w:t xml:space="preserve">of this opinion, that </w:t>
      </w:r>
      <w:r w:rsidRPr="00190D2B" w:rsidR="00D82EC8">
        <w:t>defendant</w:t>
      </w:r>
      <w:r w:rsidRPr="00190D2B">
        <w:t xml:space="preserve"> did not forfeit his constitutional claim by failing to raise it in the trial court.  </w:t>
      </w:r>
    </w:p>
  </w:footnote>
  <w:footnote w:id="14">
    <w:p w:rsidR="00EB0308" w:rsidRPr="00190D2B" w:rsidP="00E50037" w14:paraId="2C25F776" w14:textId="0EB8E47C">
      <w:pPr>
        <w:pStyle w:val="FootnoteText"/>
      </w:pPr>
      <w:r w:rsidRPr="00190D2B">
        <w:rPr>
          <w:rStyle w:val="FootnoteReference"/>
        </w:rPr>
        <w:footnoteRef/>
      </w:r>
      <w:r w:rsidRPr="00190D2B">
        <w:t xml:space="preserve"> </w:t>
      </w:r>
      <w:r w:rsidRPr="00190D2B">
        <w:tab/>
      </w:r>
      <w:r w:rsidRPr="00190D2B" w:rsidR="006E4A99">
        <w:t xml:space="preserve">In his brief, </w:t>
      </w:r>
      <w:r w:rsidRPr="00190D2B" w:rsidR="00D82EC8">
        <w:t>defendant</w:t>
      </w:r>
      <w:r w:rsidRPr="00190D2B">
        <w:t xml:space="preserve"> acknowledges that this contention “has been frequently rejected by this court” </w:t>
      </w:r>
      <w:r w:rsidRPr="00190D2B" w:rsidR="006E4A99">
        <w:t xml:space="preserve">and that he </w:t>
      </w:r>
      <w:r w:rsidRPr="00190D2B" w:rsidR="004C3173">
        <w:t>raises it</w:t>
      </w:r>
      <w:r w:rsidRPr="00190D2B" w:rsidR="006E4A99">
        <w:t xml:space="preserve"> </w:t>
      </w:r>
      <w:r w:rsidRPr="00190D2B" w:rsidR="00CB1928">
        <w:t xml:space="preserve">here </w:t>
      </w:r>
      <w:r w:rsidRPr="00190D2B" w:rsidR="006E4A99">
        <w:t xml:space="preserve">“to ensure federal review.”  </w:t>
      </w:r>
    </w:p>
  </w:footnote>
  <w:footnote w:id="15">
    <w:p w:rsidR="00427E5F" w:rsidRPr="00190D2B" w:rsidP="00E50037" w14:paraId="351CD752" w14:textId="7B773842">
      <w:pPr>
        <w:pStyle w:val="FootnoteText"/>
      </w:pPr>
      <w:r w:rsidRPr="00190D2B">
        <w:rPr>
          <w:rStyle w:val="FootnoteReference"/>
        </w:rPr>
        <w:footnoteRef/>
      </w:r>
      <w:r w:rsidRPr="00190D2B">
        <w:t xml:space="preserve">  </w:t>
      </w:r>
      <w:r w:rsidRPr="00190D2B">
        <w:tab/>
        <w:t>Section 1127c provides:</w:t>
      </w:r>
      <w:r w:rsidRPr="00190D2B" w:rsidR="00CB3770">
        <w:t xml:space="preserve"> </w:t>
      </w:r>
      <w:r w:rsidRPr="00190D2B">
        <w:t xml:space="preserve"> “In any criminal trial or proceeding where evidence of flight of a defendant is relied upon as tending to show guilt, the court shall instruct the jury substantially as follows:</w:t>
      </w:r>
      <w:r w:rsidR="003E5B3E">
        <w:t xml:space="preserve">  </w:t>
      </w:r>
    </w:p>
    <w:p w:rsidR="00427E5F" w:rsidRPr="00190D2B" w:rsidP="00E50037" w14:paraId="2E7D411A" w14:textId="3A350F7D">
      <w:pPr>
        <w:pStyle w:val="FootnoteText"/>
        <w:ind w:firstLine="720"/>
      </w:pPr>
      <w:r w:rsidRPr="00190D2B">
        <w:t xml:space="preserve">“The flight of a person immediately after the commission of a crime, or after he is accused of a crime that has been committed, is not sufficient in itself to establish his guilt, but is a fact which, if proved, the jury may consider in deciding his guilt </w:t>
      </w:r>
      <w:r w:rsidRPr="00190D2B">
        <w:t xml:space="preserve">or innocence. </w:t>
      </w:r>
      <w:r w:rsidRPr="00190D2B" w:rsidR="0090352C">
        <w:t xml:space="preserve"> </w:t>
      </w:r>
      <w:r w:rsidRPr="00190D2B">
        <w:t>The weight to which such circumstance is entitled is a matter for the jury to determine.</w:t>
      </w:r>
      <w:r w:rsidR="003E5B3E">
        <w:t xml:space="preserve">  </w:t>
      </w:r>
    </w:p>
    <w:p w:rsidR="00427E5F" w:rsidRPr="00190D2B" w:rsidP="00E50037" w14:paraId="639A3CAD" w14:textId="34D40328">
      <w:pPr>
        <w:pStyle w:val="FootnoteText"/>
        <w:ind w:firstLine="720"/>
      </w:pPr>
      <w:r w:rsidRPr="00190D2B">
        <w:t>“No further instruction on the subject of flight need be given.”</w:t>
      </w:r>
      <w:r w:rsidR="003E5B3E">
        <w:t xml:space="preserve">  </w:t>
      </w:r>
    </w:p>
  </w:footnote>
  <w:footnote w:id="16">
    <w:p w:rsidR="00253734" w:rsidRPr="00190D2B" w:rsidP="00E50037" w14:paraId="7619E68F" w14:textId="69A70E2F">
      <w:pPr>
        <w:pStyle w:val="FootnoteText"/>
      </w:pPr>
      <w:r w:rsidRPr="00190D2B">
        <w:rPr>
          <w:rStyle w:val="FootnoteReference"/>
        </w:rPr>
        <w:footnoteRef/>
      </w:r>
      <w:r w:rsidRPr="00190D2B">
        <w:t xml:space="preserve"> </w:t>
      </w:r>
      <w:r w:rsidRPr="00190D2B">
        <w:tab/>
        <w:t xml:space="preserve">The People contend </w:t>
      </w:r>
      <w:r w:rsidRPr="00190D2B" w:rsidR="00D82EC8">
        <w:t>defendant</w:t>
      </w:r>
      <w:r w:rsidRPr="00190D2B" w:rsidR="00097E26">
        <w:t xml:space="preserve"> forfeited all his challenges to the instruction.</w:t>
      </w:r>
      <w:r w:rsidR="00795884">
        <w:t xml:space="preserve">  </w:t>
      </w:r>
      <w:r w:rsidRPr="00190D2B" w:rsidR="00097E26">
        <w:t xml:space="preserve">While the People </w:t>
      </w:r>
      <w:r w:rsidRPr="00190D2B" w:rsidR="004616F2">
        <w:t xml:space="preserve">acknowledge that </w:t>
      </w:r>
      <w:r w:rsidRPr="00190D2B" w:rsidR="00D82EC8">
        <w:t>defendant</w:t>
      </w:r>
      <w:r w:rsidRPr="00190D2B" w:rsidR="004616F2">
        <w:t xml:space="preserve"> objected </w:t>
      </w:r>
      <w:r w:rsidRPr="00190D2B" w:rsidR="000A4632">
        <w:t xml:space="preserve">in the trial court </w:t>
      </w:r>
      <w:r w:rsidRPr="00190D2B" w:rsidR="004616F2">
        <w:t xml:space="preserve">on the ground that there was insufficient evidence he </w:t>
      </w:r>
      <w:r w:rsidRPr="00190D2B" w:rsidR="00A41206">
        <w:t xml:space="preserve">had </w:t>
      </w:r>
      <w:r w:rsidRPr="00190D2B" w:rsidR="004616F2">
        <w:t xml:space="preserve">fled </w:t>
      </w:r>
      <w:r w:rsidRPr="00190D2B" w:rsidR="0030307E">
        <w:t>“</w:t>
      </w:r>
      <w:r w:rsidRPr="00190D2B" w:rsidR="004616F2">
        <w:t>immediately</w:t>
      </w:r>
      <w:r w:rsidRPr="00190D2B" w:rsidR="0030307E">
        <w:t>”</w:t>
      </w:r>
      <w:r w:rsidRPr="00190D2B" w:rsidR="004616F2">
        <w:t xml:space="preserve"> after the crime, the People maintain that he did not raise the broader sufficiency challenge that he raises </w:t>
      </w:r>
      <w:r w:rsidRPr="00190D2B" w:rsidR="002B7B64">
        <w:t>on appeal</w:t>
      </w:r>
      <w:r w:rsidRPr="00190D2B" w:rsidR="004616F2">
        <w:t xml:space="preserve"> or any of the additional grounds against the giving of the instruction that he </w:t>
      </w:r>
      <w:r w:rsidRPr="00190D2B" w:rsidR="00A41206">
        <w:t>now asserts</w:t>
      </w:r>
      <w:r w:rsidRPr="00190D2B" w:rsidR="004616F2">
        <w:t>.</w:t>
      </w:r>
      <w:r w:rsidRPr="00190D2B" w:rsidR="00486E7B">
        <w:t xml:space="preserve"> </w:t>
      </w:r>
      <w:r w:rsidRPr="00190D2B" w:rsidR="00A41206">
        <w:t xml:space="preserve"> </w:t>
      </w:r>
      <w:r w:rsidR="0076486A">
        <w:t>W</w:t>
      </w:r>
      <w:r w:rsidRPr="00190D2B" w:rsidR="00CA6EFC">
        <w:t>e</w:t>
      </w:r>
      <w:r w:rsidRPr="00190D2B" w:rsidR="00A41206">
        <w:t xml:space="preserve"> consider the merits of all of </w:t>
      </w:r>
      <w:r w:rsidRPr="00190D2B" w:rsidR="00D82EC8">
        <w:t>defendant</w:t>
      </w:r>
      <w:r w:rsidRPr="00190D2B" w:rsidR="00A41206">
        <w:t>’s contentions not</w:t>
      </w:r>
      <w:r w:rsidRPr="00190D2B" w:rsidR="00450069">
        <w:t>withstanding any potential forfeiture.</w:t>
      </w:r>
      <w:r w:rsidRPr="00190D2B" w:rsidR="00CC55C3">
        <w:t xml:space="preserve">  (See, e.g., </w:t>
      </w:r>
      <w:bookmarkStart w:id="96" w:name="dabmci_e5d83dd5b1a744ebaed480ffc8d539cd"/>
      <w:r w:rsidRPr="00190D2B" w:rsidR="00CC55C3">
        <w:rPr>
          <w:i/>
          <w:iCs/>
        </w:rPr>
        <w:t xml:space="preserve">People v. Taylor </w:t>
      </w:r>
      <w:r w:rsidRPr="00190D2B" w:rsidR="00CC55C3">
        <w:t>(2010) 48</w:t>
      </w:r>
      <w:r w:rsidRPr="00190D2B" w:rsidR="00D17034">
        <w:t> </w:t>
      </w:r>
      <w:r w:rsidRPr="00190D2B" w:rsidR="00CC55C3">
        <w:t>Cal.4th 574</w:t>
      </w:r>
      <w:r w:rsidRPr="00190D2B" w:rsidR="009E2A92">
        <w:t>,</w:t>
      </w:r>
      <w:r w:rsidRPr="00190D2B" w:rsidR="00CC55C3">
        <w:t xml:space="preserve"> 630, fn.</w:t>
      </w:r>
      <w:r w:rsidRPr="00190D2B" w:rsidR="00D17034">
        <w:t> </w:t>
      </w:r>
      <w:r w:rsidRPr="00190D2B" w:rsidR="00CC55C3">
        <w:t>13</w:t>
      </w:r>
      <w:bookmarkEnd w:id="96"/>
      <w:r w:rsidRPr="00190D2B" w:rsidR="00CC55C3">
        <w:t xml:space="preserve"> [rejecting forfeiture argument to</w:t>
      </w:r>
      <w:r w:rsidRPr="00190D2B" w:rsidR="00CC55C3">
        <w:rPr>
          <w:i/>
          <w:iCs/>
        </w:rPr>
        <w:t xml:space="preserve"> </w:t>
      </w:r>
      <w:r w:rsidRPr="00190D2B" w:rsidR="00CC55C3">
        <w:t xml:space="preserve">claim regarding flight instruction </w:t>
      </w:r>
      <w:r w:rsidRPr="00190D2B" w:rsidR="00081C92">
        <w:t>given</w:t>
      </w:r>
      <w:r w:rsidRPr="00190D2B" w:rsidR="00CC55C3">
        <w:t xml:space="preserve"> </w:t>
      </w:r>
      <w:r w:rsidRPr="00190D2B" w:rsidR="002C6F21">
        <w:t>§ </w:t>
      </w:r>
      <w:r w:rsidRPr="00190D2B" w:rsidR="00CC55C3">
        <w:t xml:space="preserve">1259, which permits a court to review </w:t>
      </w:r>
      <w:r w:rsidRPr="00190D2B" w:rsidR="007B1988">
        <w:t>the propriety of a jury</w:t>
      </w:r>
      <w:r w:rsidRPr="00190D2B" w:rsidR="00CC55C3">
        <w:t xml:space="preserve"> instruction, even when no objection was made below, if </w:t>
      </w:r>
      <w:r w:rsidR="006B0EEB">
        <w:t xml:space="preserve">the </w:t>
      </w:r>
      <w:r w:rsidRPr="00190D2B" w:rsidR="00CC55C3">
        <w:t>defendant’s substantial rights were affected].)</w:t>
      </w:r>
      <w:r w:rsidR="003E5B3E">
        <w:t xml:space="preserve">  </w:t>
      </w:r>
    </w:p>
  </w:footnote>
  <w:footnote w:id="17">
    <w:p w:rsidR="006E78FF" w:rsidRPr="00190D2B" w:rsidP="00E50037" w14:paraId="321A58D0" w14:textId="7934922A">
      <w:pPr>
        <w:pStyle w:val="FootnoteText"/>
      </w:pPr>
      <w:r w:rsidRPr="00190D2B">
        <w:rPr>
          <w:rStyle w:val="FootnoteReference"/>
        </w:rPr>
        <w:footnoteRef/>
      </w:r>
      <w:r w:rsidRPr="00190D2B">
        <w:t xml:space="preserve"> </w:t>
      </w:r>
      <w:r w:rsidRPr="00190D2B">
        <w:tab/>
        <w:t xml:space="preserve">The jury could reasonably </w:t>
      </w:r>
      <w:r w:rsidRPr="00190D2B" w:rsidR="004667AB">
        <w:t>find that the officer who found the victim did so no later than 3:25 p.m., in light of a crime scene investigator’s testimony that she was dispatched to the crime scene at</w:t>
      </w:r>
      <w:r w:rsidRPr="00190D2B" w:rsidR="00AE40BC">
        <w:t xml:space="preserve"> approximately</w:t>
      </w:r>
      <w:r w:rsidRPr="00190D2B" w:rsidR="004667AB">
        <w:t xml:space="preserve"> that time. </w:t>
      </w:r>
      <w:r w:rsidRPr="00190D2B" w:rsidR="00F00724">
        <w:t xml:space="preserve"> </w:t>
      </w:r>
    </w:p>
  </w:footnote>
  <w:footnote w:id="18">
    <w:p w:rsidR="00A238E1" w:rsidRPr="00190D2B" w:rsidP="00E50037" w14:paraId="5C3D98B0" w14:textId="11E7A90B">
      <w:pPr>
        <w:pStyle w:val="FootnoteText"/>
      </w:pPr>
      <w:r w:rsidRPr="00190D2B">
        <w:rPr>
          <w:rStyle w:val="FootnoteReference"/>
        </w:rPr>
        <w:footnoteRef/>
      </w:r>
      <w:r w:rsidRPr="00190D2B">
        <w:t xml:space="preserve"> </w:t>
      </w:r>
      <w:r w:rsidRPr="00190D2B" w:rsidR="004675A7">
        <w:tab/>
      </w:r>
      <w:bookmarkStart w:id="98" w:name="dabmci_91e8c0f8accd4b17a175c4dd9cad3112"/>
      <w:r w:rsidRPr="00190D2B" w:rsidR="00FB51B9">
        <w:rPr>
          <w:i/>
          <w:iCs/>
        </w:rPr>
        <w:t>Chapman v. California</w:t>
      </w:r>
      <w:r w:rsidRPr="00190D2B" w:rsidR="00FB51B9">
        <w:t xml:space="preserve"> (1967) 386</w:t>
      </w:r>
      <w:r w:rsidRPr="00190D2B" w:rsidR="002C53C5">
        <w:t> </w:t>
      </w:r>
      <w:r w:rsidRPr="00190D2B" w:rsidR="00FB51B9">
        <w:t>U.S. 18, 24</w:t>
      </w:r>
      <w:bookmarkEnd w:id="98"/>
      <w:r w:rsidRPr="00190D2B" w:rsidR="00FB51B9">
        <w:t xml:space="preserve"> </w:t>
      </w:r>
      <w:r w:rsidRPr="00190D2B" w:rsidR="000214B2">
        <w:t>[“before a federal constitutional error can be held harmless, the court must be able to declare a belief that it was harmless beyond a reasonable doubt”].</w:t>
      </w:r>
      <w:r w:rsidR="003E5B3E">
        <w:t xml:space="preserve">  </w:t>
      </w:r>
    </w:p>
  </w:footnote>
  <w:footnote w:id="19">
    <w:p w:rsidR="00D412F8" w:rsidRPr="00190D2B" w:rsidP="00E50037" w14:paraId="7B1F7C19" w14:textId="50C22606">
      <w:pPr>
        <w:pStyle w:val="FootnoteText"/>
      </w:pPr>
      <w:r w:rsidRPr="00190D2B">
        <w:rPr>
          <w:rStyle w:val="FootnoteReference"/>
        </w:rPr>
        <w:footnoteRef/>
      </w:r>
      <w:r w:rsidRPr="00190D2B">
        <w:t xml:space="preserve"> </w:t>
      </w:r>
      <w:r w:rsidRPr="00190D2B" w:rsidR="004675A7">
        <w:tab/>
      </w:r>
      <w:bookmarkStart w:id="99" w:name="dabmci_01b64ff88f2a415a99264a9a6ee6c66c"/>
      <w:r w:rsidRPr="00190D2B">
        <w:rPr>
          <w:i/>
          <w:iCs/>
        </w:rPr>
        <w:t>People v. Watson</w:t>
      </w:r>
      <w:r w:rsidRPr="00190D2B">
        <w:t xml:space="preserve"> (1956) 46</w:t>
      </w:r>
      <w:r w:rsidRPr="00190D2B" w:rsidR="002C53C5">
        <w:t> </w:t>
      </w:r>
      <w:r w:rsidRPr="00190D2B">
        <w:t>Cal.2d 818, 836</w:t>
      </w:r>
      <w:bookmarkEnd w:id="99"/>
      <w:r w:rsidRPr="00190D2B">
        <w:t>.</w:t>
      </w:r>
      <w:r w:rsidR="003E5B3E">
        <w:t xml:space="preserve">  </w:t>
      </w:r>
    </w:p>
  </w:footnote>
  <w:footnote w:id="20">
    <w:p w:rsidR="00FB2654" w:rsidRPr="00190D2B" w:rsidP="00E50037" w14:paraId="47AE0ADD" w14:textId="5655995A">
      <w:pPr>
        <w:pStyle w:val="FootnoteText"/>
      </w:pPr>
      <w:r w:rsidRPr="00190D2B">
        <w:rPr>
          <w:rStyle w:val="FootnoteReference"/>
        </w:rPr>
        <w:footnoteRef/>
      </w:r>
      <w:r w:rsidRPr="00190D2B">
        <w:t xml:space="preserve"> </w:t>
      </w:r>
      <w:r w:rsidRPr="00190D2B">
        <w:tab/>
        <w:t xml:space="preserve">While </w:t>
      </w:r>
      <w:r w:rsidRPr="00190D2B" w:rsidR="00D82EC8">
        <w:t>defendant</w:t>
      </w:r>
      <w:r w:rsidRPr="00190D2B">
        <w:t xml:space="preserve"> also summarily asserts the trial court’s ruling violated his rights to </w:t>
      </w:r>
      <w:r w:rsidRPr="00190D2B" w:rsidR="003A6DB6">
        <w:t xml:space="preserve">due process and </w:t>
      </w:r>
      <w:r w:rsidRPr="00190D2B">
        <w:t>a fair and reliable capital sentencing hearing</w:t>
      </w:r>
      <w:r w:rsidRPr="00190D2B" w:rsidR="002850D3">
        <w:t>,</w:t>
      </w:r>
      <w:r w:rsidRPr="00190D2B">
        <w:t xml:space="preserve"> his brief does not present any reasoned argument in support of these contentions.  Accordingly, as does </w:t>
      </w:r>
      <w:r w:rsidRPr="00190D2B" w:rsidR="00D82EC8">
        <w:t>defendant</w:t>
      </w:r>
      <w:r w:rsidRPr="00190D2B">
        <w:t xml:space="preserve">, </w:t>
      </w:r>
      <w:r w:rsidR="00013594">
        <w:t>we</w:t>
      </w:r>
      <w:r w:rsidRPr="00190D2B">
        <w:t xml:space="preserve"> focus on the trial court’s purported violation of his right </w:t>
      </w:r>
      <w:r w:rsidRPr="00190D2B" w:rsidR="00FC76E4">
        <w:t xml:space="preserve">to </w:t>
      </w:r>
      <w:r w:rsidRPr="00190D2B" w:rsidR="00E07990">
        <w:t xml:space="preserve">self-representation </w:t>
      </w:r>
      <w:r w:rsidRPr="00190D2B">
        <w:t xml:space="preserve">under the federal </w:t>
      </w:r>
      <w:r w:rsidR="00DA52B0">
        <w:t>C</w:t>
      </w:r>
      <w:r w:rsidRPr="00190D2B">
        <w:t>onstitution</w:t>
      </w:r>
      <w:r w:rsidRPr="00190D2B" w:rsidR="00E07990">
        <w:t xml:space="preserve"> a</w:t>
      </w:r>
      <w:r w:rsidRPr="00190D2B" w:rsidR="005C044B">
        <w:t>s</w:t>
      </w:r>
      <w:r w:rsidRPr="00190D2B" w:rsidR="00832D31">
        <w:t xml:space="preserve"> well as </w:t>
      </w:r>
      <w:r w:rsidRPr="00190D2B" w:rsidR="00582D86">
        <w:t xml:space="preserve">the court’s alleged error in denying his motion for self-representation pursuant to </w:t>
      </w:r>
      <w:bookmarkStart w:id="110" w:name="dabmci_ccb388d5e36746789b119a90038cf875"/>
      <w:r w:rsidRPr="00190D2B" w:rsidR="00832D31">
        <w:rPr>
          <w:i/>
          <w:iCs/>
        </w:rPr>
        <w:t>Windham</w:t>
      </w:r>
      <w:bookmarkEnd w:id="110"/>
      <w:r w:rsidRPr="00190D2B">
        <w:t>.</w:t>
      </w:r>
      <w:r w:rsidRPr="00190D2B" w:rsidR="00E342F5">
        <w:t xml:space="preserve">  </w:t>
      </w:r>
      <w:r w:rsidRPr="00190D2B" w:rsidR="00EC4AFF">
        <w:t xml:space="preserve">(See </w:t>
      </w:r>
      <w:r w:rsidRPr="00190D2B" w:rsidR="00EC4AFF">
        <w:rPr>
          <w:i/>
          <w:iCs/>
        </w:rPr>
        <w:t>Nunez and Satele</w:t>
      </w:r>
      <w:r w:rsidRPr="00190D2B" w:rsidR="00EC4AFF">
        <w:t xml:space="preserve">, </w:t>
      </w:r>
      <w:r w:rsidRPr="00190D2B" w:rsidR="00EC4AFF">
        <w:rPr>
          <w:i/>
          <w:iCs/>
        </w:rPr>
        <w:t>supra</w:t>
      </w:r>
      <w:r w:rsidRPr="00190D2B" w:rsidR="00EC4AFF">
        <w:t xml:space="preserve">, 57 Cal.4th at p. 51.) </w:t>
      </w:r>
      <w:r w:rsidRPr="00190D2B" w:rsidR="00E342F5">
        <w:t xml:space="preserve"> </w:t>
      </w:r>
    </w:p>
  </w:footnote>
  <w:footnote w:id="21">
    <w:p w:rsidR="006362F4" w:rsidRPr="00190D2B" w:rsidP="006B1E3B" w14:paraId="6A488308" w14:textId="64CF6FE6">
      <w:pPr>
        <w:pStyle w:val="FootnoteText"/>
      </w:pPr>
      <w:r w:rsidRPr="00190D2B">
        <w:rPr>
          <w:rStyle w:val="FootnoteReference"/>
        </w:rPr>
        <w:footnoteRef/>
      </w:r>
      <w:r w:rsidRPr="00190D2B">
        <w:t xml:space="preserve"> </w:t>
      </w:r>
      <w:r w:rsidRPr="00190D2B">
        <w:tab/>
      </w:r>
      <w:r w:rsidRPr="00190D2B">
        <w:rPr>
          <w:i/>
          <w:iCs/>
        </w:rPr>
        <w:t>People v. Marsden</w:t>
      </w:r>
      <w:r w:rsidRPr="00190D2B">
        <w:t xml:space="preserve"> (1970) 2</w:t>
      </w:r>
      <w:r w:rsidRPr="00190D2B" w:rsidR="00522677">
        <w:t> </w:t>
      </w:r>
      <w:r w:rsidRPr="00190D2B">
        <w:t>Ca</w:t>
      </w:r>
      <w:r w:rsidR="007A47E2">
        <w:t>l</w:t>
      </w:r>
      <w:r w:rsidRPr="00190D2B">
        <w:t>.3d 118</w:t>
      </w:r>
      <w:r w:rsidRPr="00190D2B" w:rsidR="00E3359B">
        <w:t xml:space="preserve"> (</w:t>
      </w:r>
      <w:r w:rsidRPr="00190D2B" w:rsidR="00E3359B">
        <w:rPr>
          <w:i/>
          <w:iCs/>
        </w:rPr>
        <w:t>Marsden</w:t>
      </w:r>
      <w:r w:rsidRPr="00190D2B" w:rsidR="00E3359B">
        <w:t>)</w:t>
      </w:r>
      <w:r w:rsidRPr="00190D2B">
        <w:t>.</w:t>
      </w:r>
      <w:r w:rsidR="003E5B3E">
        <w:t xml:space="preserve"> </w:t>
      </w:r>
    </w:p>
  </w:footnote>
  <w:footnote w:id="22">
    <w:p w:rsidR="00DF5A25" w:rsidRPr="00190D2B" w:rsidP="006B1E3B" w14:paraId="12BE836B" w14:textId="4F512B5E">
      <w:pPr>
        <w:pStyle w:val="FootnoteText"/>
      </w:pPr>
      <w:r w:rsidRPr="00190D2B">
        <w:rPr>
          <w:rStyle w:val="FootnoteReference"/>
        </w:rPr>
        <w:footnoteRef/>
      </w:r>
      <w:r w:rsidRPr="00190D2B">
        <w:t xml:space="preserve"> </w:t>
      </w:r>
      <w:r w:rsidRPr="00190D2B" w:rsidR="00B343C3">
        <w:tab/>
      </w:r>
      <w:r w:rsidRPr="00190D2B">
        <w:t xml:space="preserve">By </w:t>
      </w:r>
      <w:r w:rsidRPr="00190D2B" w:rsidR="00AB7D30">
        <w:t>us</w:t>
      </w:r>
      <w:r w:rsidRPr="00190D2B" w:rsidR="00162E81">
        <w:t>ing</w:t>
      </w:r>
      <w:r w:rsidRPr="00190D2B" w:rsidR="00AB7D30">
        <w:t xml:space="preserve"> the phrase </w:t>
      </w:r>
      <w:r w:rsidRPr="00190D2B" w:rsidR="00E3567B">
        <w:t>“</w:t>
      </w:r>
      <w:r w:rsidRPr="00190D2B">
        <w:t>reasonable time requirement</w:t>
      </w:r>
      <w:r w:rsidRPr="00190D2B" w:rsidR="000B1760">
        <w:t>,</w:t>
      </w:r>
      <w:r w:rsidR="00D22A9E">
        <w:t>”</w:t>
      </w:r>
      <w:r w:rsidRPr="00190D2B" w:rsidR="00111C1E">
        <w:t xml:space="preserve"> </w:t>
      </w:r>
      <w:r w:rsidRPr="00190D2B">
        <w:t xml:space="preserve">we refer to </w:t>
      </w:r>
      <w:r w:rsidRPr="00190D2B" w:rsidR="00462D4E">
        <w:t xml:space="preserve">our holding in </w:t>
      </w:r>
      <w:bookmarkStart w:id="128" w:name="dabmci_3ca1f9f599a44550a92c844c0e040293"/>
      <w:r w:rsidRPr="00190D2B" w:rsidR="00462D4E">
        <w:rPr>
          <w:i/>
          <w:iCs/>
        </w:rPr>
        <w:t>Windham</w:t>
      </w:r>
      <w:bookmarkEnd w:id="128"/>
      <w:r w:rsidRPr="00190D2B" w:rsidR="00462D4E">
        <w:t xml:space="preserve"> “that in order to invoke the constitutionally mandated unconditional right of self-representation</w:t>
      </w:r>
      <w:r w:rsidRPr="00190D2B" w:rsidR="000B1760">
        <w:t>,</w:t>
      </w:r>
      <w:r w:rsidRPr="00190D2B" w:rsidR="00462D4E">
        <w:t xml:space="preserve"> a defendant in a criminal trial should make an unequivocal assertion of that right within a </w:t>
      </w:r>
      <w:r w:rsidRPr="00190D2B" w:rsidR="00462D4E">
        <w:rPr>
          <w:i/>
          <w:iCs/>
        </w:rPr>
        <w:t>reasonable time</w:t>
      </w:r>
      <w:r w:rsidRPr="00190D2B" w:rsidR="00462D4E">
        <w:t xml:space="preserve"> prior to the commencement of trial.”</w:t>
      </w:r>
      <w:r w:rsidRPr="00190D2B" w:rsidR="00E3567B">
        <w:t xml:space="preserve"> </w:t>
      </w:r>
      <w:r w:rsidRPr="00190D2B" w:rsidR="00462D4E">
        <w:t xml:space="preserve"> (</w:t>
      </w:r>
      <w:bookmarkStart w:id="129" w:name="dabmci_6f628d09f33541d98df6d48c91d336b6"/>
      <w:r w:rsidRPr="00190D2B" w:rsidR="00374473">
        <w:rPr>
          <w:i/>
          <w:iCs/>
        </w:rPr>
        <w:t>Windham</w:t>
      </w:r>
      <w:r w:rsidRPr="00190D2B" w:rsidR="00374473">
        <w:t xml:space="preserve">, </w:t>
      </w:r>
      <w:r w:rsidRPr="00190D2B" w:rsidR="00374473">
        <w:rPr>
          <w:i/>
          <w:iCs/>
        </w:rPr>
        <w:t>supra</w:t>
      </w:r>
      <w:r w:rsidRPr="00190D2B" w:rsidR="00374473">
        <w:t xml:space="preserve">, 19 Cal.3d </w:t>
      </w:r>
      <w:r w:rsidRPr="00190D2B" w:rsidR="00462D4E">
        <w:t>at pp</w:t>
      </w:r>
      <w:r w:rsidRPr="00190D2B" w:rsidR="008B7DFB">
        <w:t>.</w:t>
      </w:r>
      <w:r w:rsidRPr="00190D2B" w:rsidR="00D1441B">
        <w:t> </w:t>
      </w:r>
      <w:r w:rsidRPr="00190D2B" w:rsidR="00462D4E">
        <w:t>127–128</w:t>
      </w:r>
      <w:bookmarkEnd w:id="129"/>
      <w:r w:rsidRPr="00190D2B" w:rsidR="008B7DFB">
        <w:t>, italics added</w:t>
      </w:r>
      <w:r w:rsidRPr="00190D2B" w:rsidR="00462D4E">
        <w:t>.)</w:t>
      </w:r>
      <w:r w:rsidR="003E5B3E">
        <w:t xml:space="preserve">  </w:t>
      </w:r>
    </w:p>
  </w:footnote>
  <w:footnote w:id="23">
    <w:p w:rsidR="00893B8A" w:rsidRPr="00190D2B" w:rsidP="006B1E3B" w14:paraId="67041FD8" w14:textId="56E816BB">
      <w:pPr>
        <w:pStyle w:val="FootnoteText"/>
      </w:pPr>
      <w:r w:rsidRPr="00190D2B">
        <w:rPr>
          <w:rStyle w:val="FootnoteReference"/>
        </w:rPr>
        <w:footnoteRef/>
      </w:r>
      <w:r w:rsidRPr="00190D2B">
        <w:t xml:space="preserve"> </w:t>
      </w:r>
      <w:r w:rsidRPr="00190D2B">
        <w:tab/>
        <w:t xml:space="preserve">In addition, </w:t>
      </w:r>
      <w:r w:rsidRPr="00190D2B" w:rsidR="00D82EC8">
        <w:t>defendant</w:t>
      </w:r>
      <w:r w:rsidRPr="00190D2B">
        <w:t xml:space="preserve"> </w:t>
      </w:r>
      <w:r w:rsidRPr="00190D2B" w:rsidR="00C43318">
        <w:t xml:space="preserve">acknowledges that “the discretionary aspect of the </w:t>
      </w:r>
      <w:bookmarkStart w:id="140" w:name="dabmci_b68a6fdf52354a1c83dda49f680be460"/>
      <w:r w:rsidRPr="00190D2B" w:rsidR="00C43318">
        <w:rPr>
          <w:i/>
          <w:iCs/>
        </w:rPr>
        <w:t>Windham</w:t>
      </w:r>
      <w:bookmarkEnd w:id="140"/>
      <w:r w:rsidRPr="00190D2B" w:rsidR="00C43318">
        <w:rPr>
          <w:i/>
          <w:iCs/>
        </w:rPr>
        <w:t xml:space="preserve"> </w:t>
      </w:r>
      <w:r w:rsidRPr="00190D2B" w:rsidR="00C43318">
        <w:t xml:space="preserve">decision essentially has been adopted by all federal jurisdictions when applying </w:t>
      </w:r>
      <w:r w:rsidRPr="00190D2B" w:rsidR="00C43318">
        <w:rPr>
          <w:i/>
          <w:iCs/>
        </w:rPr>
        <w:t xml:space="preserve">Faretta </w:t>
      </w:r>
      <w:r w:rsidRPr="00190D2B" w:rsidR="00C43318">
        <w:t xml:space="preserve">to a self-representation request that is made after the start of trial.”  </w:t>
      </w:r>
    </w:p>
  </w:footnote>
  <w:footnote w:id="24">
    <w:p w:rsidR="002B7A42" w:rsidRPr="00190D2B" w:rsidP="00055573" w14:paraId="7D2E4850" w14:textId="728FD192">
      <w:pPr>
        <w:pStyle w:val="FootnoteText"/>
      </w:pPr>
      <w:r w:rsidRPr="00190D2B">
        <w:rPr>
          <w:rStyle w:val="FootnoteReference"/>
        </w:rPr>
        <w:footnoteRef/>
      </w:r>
      <w:r w:rsidRPr="00190D2B">
        <w:t xml:space="preserve"> </w:t>
      </w:r>
      <w:r w:rsidRPr="00190D2B">
        <w:tab/>
      </w:r>
      <w:r w:rsidRPr="00190D2B" w:rsidR="00860336">
        <w:t>W</w:t>
      </w:r>
      <w:r w:rsidRPr="00190D2B" w:rsidR="007A1B1F">
        <w:t xml:space="preserve">e </w:t>
      </w:r>
      <w:r w:rsidRPr="00190D2B" w:rsidR="00350729">
        <w:t>h</w:t>
      </w:r>
      <w:r w:rsidRPr="00190D2B" w:rsidR="00965252">
        <w:t xml:space="preserve">ave not specified a standard </w:t>
      </w:r>
      <w:r w:rsidRPr="00190D2B" w:rsidR="00F4144C">
        <w:t>of review that “a</w:t>
      </w:r>
      <w:r w:rsidRPr="00190D2B" w:rsidR="00965252">
        <w:t xml:space="preserve"> reviewing court should apply in determining whether a defendant</w:t>
      </w:r>
      <w:r w:rsidRPr="00190D2B" w:rsidR="00880A00">
        <w:t>’</w:t>
      </w:r>
      <w:r w:rsidRPr="00190D2B" w:rsidR="00965252">
        <w:t xml:space="preserve">s request for self-representation is timely.” </w:t>
      </w:r>
      <w:r w:rsidRPr="00190D2B" w:rsidR="00880A00">
        <w:t xml:space="preserve"> (</w:t>
      </w:r>
      <w:bookmarkStart w:id="141" w:name="dabmci_2b10e90762614f39bb644fbfa06468d7"/>
      <w:r w:rsidRPr="00190D2B" w:rsidR="00965252">
        <w:rPr>
          <w:i/>
          <w:iCs/>
        </w:rPr>
        <w:t>People v. Johnson</w:t>
      </w:r>
      <w:r w:rsidRPr="00190D2B" w:rsidR="00965252">
        <w:t xml:space="preserve"> (2019) 8</w:t>
      </w:r>
      <w:r w:rsidRPr="00190D2B" w:rsidR="002402BB">
        <w:t> </w:t>
      </w:r>
      <w:r w:rsidRPr="00190D2B" w:rsidR="00965252">
        <w:t>Cal.5th 475, 501</w:t>
      </w:r>
      <w:bookmarkEnd w:id="141"/>
      <w:r w:rsidRPr="00190D2B" w:rsidR="00CE5581">
        <w:t xml:space="preserve">; see also </w:t>
      </w:r>
      <w:bookmarkStart w:id="142" w:name="dabmci_ba2ff1f02c0d4cc8b216a620494292ca"/>
      <w:r w:rsidRPr="00190D2B" w:rsidR="00CE5581">
        <w:rPr>
          <w:i/>
          <w:iCs/>
        </w:rPr>
        <w:t>Thomas</w:t>
      </w:r>
      <w:r w:rsidRPr="00190D2B" w:rsidR="00CE5581">
        <w:t>,</w:t>
      </w:r>
      <w:r w:rsidRPr="00190D2B" w:rsidR="00BE0226">
        <w:t xml:space="preserve"> </w:t>
      </w:r>
      <w:r w:rsidRPr="00190D2B" w:rsidR="00CE5581">
        <w:rPr>
          <w:i/>
          <w:iCs/>
        </w:rPr>
        <w:t>supra</w:t>
      </w:r>
      <w:r w:rsidRPr="00190D2B" w:rsidR="00CE5581">
        <w:t xml:space="preserve">, </w:t>
      </w:r>
      <w:r w:rsidRPr="00190D2B" w:rsidR="002C18B7">
        <w:t xml:space="preserve">14 Cal.5th </w:t>
      </w:r>
      <w:r w:rsidRPr="00190D2B" w:rsidR="00CE5581">
        <w:t>at p.</w:t>
      </w:r>
      <w:r w:rsidRPr="00190D2B" w:rsidR="002402BB">
        <w:t> </w:t>
      </w:r>
      <w:r w:rsidRPr="00190D2B" w:rsidR="00F55386">
        <w:t>3</w:t>
      </w:r>
      <w:r w:rsidR="00F55386">
        <w:t>98</w:t>
      </w:r>
      <w:r w:rsidRPr="00190D2B" w:rsidR="00880A00">
        <w:t>,</w:t>
      </w:r>
      <w:r w:rsidRPr="00190D2B" w:rsidR="00CE5581">
        <w:t xml:space="preserve"> fn. 22 [noting the unresolved issue]</w:t>
      </w:r>
      <w:bookmarkEnd w:id="142"/>
      <w:r w:rsidRPr="00190D2B" w:rsidR="00965252">
        <w:t>.)</w:t>
      </w:r>
      <w:r w:rsidRPr="00190D2B" w:rsidR="00F4144C">
        <w:t xml:space="preserve">  </w:t>
      </w:r>
      <w:r w:rsidRPr="00190D2B" w:rsidR="00130A6F">
        <w:t>A</w:t>
      </w:r>
      <w:r w:rsidRPr="00190D2B" w:rsidR="00555B02">
        <w:t xml:space="preserve">s </w:t>
      </w:r>
      <w:r w:rsidRPr="00190D2B" w:rsidR="00F4144C">
        <w:t xml:space="preserve">in </w:t>
      </w:r>
      <w:bookmarkStart w:id="143" w:name="dabmci_f0a112bd239549b6b032bd6aa6aadc11"/>
      <w:r w:rsidRPr="00190D2B" w:rsidR="00F4144C">
        <w:rPr>
          <w:i/>
          <w:iCs/>
        </w:rPr>
        <w:t>Johnson</w:t>
      </w:r>
      <w:bookmarkEnd w:id="143"/>
      <w:r w:rsidRPr="00190D2B" w:rsidR="00F4144C">
        <w:t xml:space="preserve">, </w:t>
      </w:r>
      <w:r w:rsidRPr="00190D2B">
        <w:t xml:space="preserve">“[w]e need not decide whether de </w:t>
      </w:r>
      <w:r w:rsidRPr="00190D2B">
        <w:t>novo review or a more deferential standard is appropriate, however, because defendant</w:t>
      </w:r>
      <w:r w:rsidRPr="00190D2B" w:rsidR="00555B02">
        <w:t>’</w:t>
      </w:r>
      <w:r w:rsidRPr="00190D2B">
        <w:t>s claim fails under either standard.</w:t>
      </w:r>
      <w:r w:rsidRPr="00190D2B" w:rsidR="00F4144C">
        <w:t>”  (</w:t>
      </w:r>
      <w:bookmarkStart w:id="144" w:name="dabmci_44f5569756444e39a67ca2c5dd414889"/>
      <w:r w:rsidRPr="00190D2B" w:rsidR="00CE5581">
        <w:rPr>
          <w:i/>
          <w:iCs/>
        </w:rPr>
        <w:t>Johnson</w:t>
      </w:r>
      <w:r w:rsidRPr="00190D2B" w:rsidR="00CE5581">
        <w:t>,</w:t>
      </w:r>
      <w:r w:rsidRPr="00190D2B" w:rsidR="00BE0226">
        <w:t xml:space="preserve"> </w:t>
      </w:r>
      <w:r w:rsidRPr="00190D2B" w:rsidR="00CE5581">
        <w:t>at p.</w:t>
      </w:r>
      <w:r w:rsidRPr="00190D2B" w:rsidR="002C18B7">
        <w:t> </w:t>
      </w:r>
      <w:r w:rsidRPr="00190D2B" w:rsidR="00CE5581">
        <w:t>501</w:t>
      </w:r>
      <w:bookmarkEnd w:id="144"/>
      <w:r w:rsidRPr="00190D2B" w:rsidR="00CE5581">
        <w:t>.)</w:t>
      </w:r>
      <w:r w:rsidR="003E5B3E">
        <w:t xml:space="preserve">  </w:t>
      </w:r>
    </w:p>
  </w:footnote>
  <w:footnote w:id="25">
    <w:p w:rsidR="00A87F29" w:rsidRPr="00190D2B" w:rsidP="00055573" w14:paraId="0CB86885" w14:textId="196B33C7">
      <w:pPr>
        <w:pStyle w:val="FootnoteText"/>
      </w:pPr>
      <w:r w:rsidRPr="00190D2B">
        <w:rPr>
          <w:rStyle w:val="FootnoteReference"/>
        </w:rPr>
        <w:footnoteRef/>
      </w:r>
      <w:r w:rsidRPr="00190D2B">
        <w:t xml:space="preserve"> </w:t>
      </w:r>
      <w:r w:rsidRPr="00190D2B">
        <w:tab/>
      </w:r>
      <w:r w:rsidRPr="00190D2B" w:rsidR="000F4FAF">
        <w:t>Since</w:t>
      </w:r>
      <w:r w:rsidRPr="00190D2B" w:rsidR="00402DE5">
        <w:t xml:space="preserve"> </w:t>
      </w:r>
      <w:r w:rsidRPr="00190D2B" w:rsidR="00D82EC8">
        <w:t>defendant</w:t>
      </w:r>
      <w:r w:rsidRPr="00190D2B" w:rsidR="00402DE5">
        <w:t xml:space="preserve">’s </w:t>
      </w:r>
      <w:r w:rsidRPr="00190D2B" w:rsidR="003238A6">
        <w:t>motion for self-representation w</w:t>
      </w:r>
      <w:r w:rsidRPr="00190D2B" w:rsidR="00734087">
        <w:t>as</w:t>
      </w:r>
      <w:r w:rsidRPr="00190D2B" w:rsidR="003238A6">
        <w:t xml:space="preserve"> </w:t>
      </w:r>
      <w:r w:rsidRPr="00190D2B" w:rsidR="00B140D1">
        <w:t xml:space="preserve">brought after the </w:t>
      </w:r>
      <w:r w:rsidRPr="00190D2B" w:rsidR="004B3559">
        <w:t>commencement of the guilt phase</w:t>
      </w:r>
      <w:r w:rsidRPr="00190D2B" w:rsidR="008B7DFB">
        <w:t xml:space="preserve"> trial</w:t>
      </w:r>
      <w:r w:rsidRPr="00190D2B" w:rsidR="004B3559">
        <w:t xml:space="preserve">, we need not consider whether </w:t>
      </w:r>
      <w:r w:rsidR="00EB3324">
        <w:t xml:space="preserve">the </w:t>
      </w:r>
      <w:r w:rsidRPr="00190D2B" w:rsidR="00734087">
        <w:t xml:space="preserve">motion </w:t>
      </w:r>
      <w:r w:rsidRPr="00190D2B" w:rsidR="008E1797">
        <w:t>w</w:t>
      </w:r>
      <w:r w:rsidRPr="00190D2B" w:rsidR="00B23219">
        <w:t>ould have been timely under</w:t>
      </w:r>
      <w:r w:rsidRPr="00190D2B" w:rsidR="00A43610">
        <w:t xml:space="preserve"> the factors outlined in </w:t>
      </w:r>
      <w:bookmarkStart w:id="153" w:name="dabmci_9314269557ac436da2e3a073f1ee23ca"/>
      <w:r w:rsidRPr="00190D2B" w:rsidR="00B23219">
        <w:rPr>
          <w:i/>
          <w:iCs/>
        </w:rPr>
        <w:t>Lynch</w:t>
      </w:r>
      <w:r w:rsidRPr="00190D2B" w:rsidR="00A00624">
        <w:t xml:space="preserve">, </w:t>
      </w:r>
      <w:r w:rsidRPr="00190D2B" w:rsidR="00A00624">
        <w:rPr>
          <w:i/>
          <w:iCs/>
        </w:rPr>
        <w:t>supra</w:t>
      </w:r>
      <w:r w:rsidRPr="00190D2B" w:rsidR="00A00624">
        <w:t xml:space="preserve">, </w:t>
      </w:r>
      <w:r w:rsidRPr="00190D2B" w:rsidR="00B23219">
        <w:t>50</w:t>
      </w:r>
      <w:r w:rsidRPr="00190D2B" w:rsidR="00C73D17">
        <w:t> </w:t>
      </w:r>
      <w:r w:rsidRPr="00190D2B" w:rsidR="00B23219">
        <w:t>Cal.4th 693</w:t>
      </w:r>
      <w:bookmarkEnd w:id="153"/>
      <w:r w:rsidRPr="00190D2B" w:rsidR="00A43610">
        <w:t xml:space="preserve"> for determining whether a </w:t>
      </w:r>
      <w:r w:rsidRPr="00190D2B" w:rsidR="002347C0">
        <w:t>motion for self</w:t>
      </w:r>
      <w:r w:rsidRPr="00190D2B" w:rsidR="00F10159">
        <w:t>-</w:t>
      </w:r>
      <w:r w:rsidRPr="00190D2B" w:rsidR="002347C0">
        <w:t xml:space="preserve">representation is made </w:t>
      </w:r>
      <w:r w:rsidRPr="00190D2B" w:rsidR="00F00BBD">
        <w:t>“</w:t>
      </w:r>
      <w:r w:rsidR="00025572">
        <w:t> ‘</w:t>
      </w:r>
      <w:r w:rsidRPr="00190D2B" w:rsidR="00F00BBD">
        <w:t xml:space="preserve">a reasonable time </w:t>
      </w:r>
      <w:r w:rsidRPr="00190D2B" w:rsidR="00F00BBD">
        <w:rPr>
          <w:i/>
          <w:iCs/>
        </w:rPr>
        <w:t>prior</w:t>
      </w:r>
      <w:r w:rsidRPr="00190D2B" w:rsidR="00F00BBD">
        <w:t xml:space="preserve"> to the commencement of trial.</w:t>
      </w:r>
      <w:r w:rsidR="00025572">
        <w:t>’ </w:t>
      </w:r>
      <w:r w:rsidRPr="00190D2B" w:rsidR="00F00BBD">
        <w:t>”</w:t>
      </w:r>
      <w:r w:rsidRPr="00190D2B" w:rsidR="00F10159">
        <w:t xml:space="preserve">  </w:t>
      </w:r>
      <w:r w:rsidRPr="00190D2B" w:rsidR="002347C0">
        <w:t>(</w:t>
      </w:r>
      <w:bookmarkStart w:id="154" w:name="dabmci_23efce9494eb43d9ab7410d25725e6fb"/>
      <w:r w:rsidRPr="00190D2B" w:rsidR="002347C0">
        <w:rPr>
          <w:i/>
          <w:iCs/>
        </w:rPr>
        <w:t>Id</w:t>
      </w:r>
      <w:r w:rsidRPr="00190D2B" w:rsidR="002347C0">
        <w:t>. at p.</w:t>
      </w:r>
      <w:r w:rsidRPr="00190D2B" w:rsidR="00C73D17">
        <w:t> </w:t>
      </w:r>
      <w:r w:rsidRPr="00190D2B" w:rsidR="002347C0">
        <w:t>722</w:t>
      </w:r>
      <w:bookmarkEnd w:id="154"/>
      <w:r w:rsidRPr="00190D2B" w:rsidR="000F4FAF">
        <w:t xml:space="preserve">, </w:t>
      </w:r>
      <w:r w:rsidRPr="00190D2B" w:rsidR="008B7DFB">
        <w:t xml:space="preserve">italics added, </w:t>
      </w:r>
      <w:r w:rsidRPr="00190D2B" w:rsidR="000F4FAF">
        <w:t>q</w:t>
      </w:r>
      <w:r w:rsidRPr="00190D2B" w:rsidR="002347C0">
        <w:t xml:space="preserve">uoting </w:t>
      </w:r>
      <w:bookmarkStart w:id="155" w:name="dabmci_e7ee599c89964b59b6cebbd9a07ef5d4"/>
      <w:r w:rsidRPr="00190D2B" w:rsidR="007B2E46">
        <w:rPr>
          <w:i/>
          <w:iCs/>
        </w:rPr>
        <w:t>Windham</w:t>
      </w:r>
      <w:r w:rsidRPr="00190D2B" w:rsidR="007B2E46">
        <w:t>,</w:t>
      </w:r>
      <w:r w:rsidRPr="00190D2B" w:rsidR="007B2E46">
        <w:rPr>
          <w:i/>
          <w:iCs/>
        </w:rPr>
        <w:t xml:space="preserve"> supra</w:t>
      </w:r>
      <w:r w:rsidRPr="00190D2B" w:rsidR="007B2E46">
        <w:t>, 19</w:t>
      </w:r>
      <w:r w:rsidRPr="00190D2B" w:rsidR="00C73D17">
        <w:t> </w:t>
      </w:r>
      <w:r w:rsidRPr="00190D2B" w:rsidR="007B2E46">
        <w:t>Cal.3d at p.</w:t>
      </w:r>
      <w:r w:rsidRPr="00190D2B" w:rsidR="00C73D17">
        <w:t> </w:t>
      </w:r>
      <w:r w:rsidRPr="00190D2B" w:rsidR="007B2E46">
        <w:t>128</w:t>
      </w:r>
      <w:bookmarkEnd w:id="155"/>
      <w:r w:rsidRPr="00190D2B" w:rsidR="000F4FAF">
        <w:t xml:space="preserve">.) </w:t>
      </w:r>
      <w:r w:rsidRPr="00190D2B" w:rsidR="00D07483">
        <w:t xml:space="preserve"> </w:t>
      </w:r>
    </w:p>
  </w:footnote>
  <w:footnote w:id="26">
    <w:p w:rsidR="00367769" w:rsidRPr="00190D2B" w:rsidP="00055573" w14:paraId="3916822D" w14:textId="647A35DE">
      <w:pPr>
        <w:pStyle w:val="FootnoteText"/>
      </w:pPr>
      <w:r w:rsidRPr="00190D2B">
        <w:rPr>
          <w:rStyle w:val="FootnoteReference"/>
        </w:rPr>
        <w:footnoteRef/>
      </w:r>
      <w:r w:rsidRPr="00190D2B">
        <w:t xml:space="preserve"> </w:t>
      </w:r>
      <w:r w:rsidRPr="00190D2B">
        <w:tab/>
        <w:t xml:space="preserve">While at times in his brief defendant refers to </w:t>
      </w:r>
      <w:r w:rsidRPr="00190D2B" w:rsidR="004E0D70">
        <w:t>his motion for self</w:t>
      </w:r>
      <w:r w:rsidRPr="00190D2B" w:rsidR="00E01749">
        <w:t>-</w:t>
      </w:r>
      <w:r w:rsidRPr="00190D2B" w:rsidR="004E0D70">
        <w:t xml:space="preserve">representation in the singular, his arguments pertain to </w:t>
      </w:r>
      <w:r w:rsidRPr="00190D2B" w:rsidR="00BE2C63">
        <w:t xml:space="preserve">his initial request and his </w:t>
      </w:r>
      <w:r w:rsidRPr="00190D2B" w:rsidR="00504C57">
        <w:t xml:space="preserve">subsequent </w:t>
      </w:r>
      <w:r w:rsidRPr="00190D2B" w:rsidR="00BE2C63">
        <w:t xml:space="preserve">renewals of that request. </w:t>
      </w:r>
      <w:r w:rsidRPr="00190D2B" w:rsidR="00E530C5">
        <w:t xml:space="preserve"> </w:t>
      </w:r>
      <w:r w:rsidRPr="00190D2B" w:rsidR="00B958C9">
        <w:t xml:space="preserve">Accordingly, we consider </w:t>
      </w:r>
      <w:r w:rsidRPr="00190D2B" w:rsidR="00FD14DC">
        <w:t>defendant’s</w:t>
      </w:r>
      <w:r w:rsidRPr="00190D2B" w:rsidR="00B958C9">
        <w:t xml:space="preserve"> arguments as to </w:t>
      </w:r>
      <w:r w:rsidRPr="00190D2B" w:rsidR="00FD14DC">
        <w:t>all</w:t>
      </w:r>
      <w:r w:rsidRPr="00190D2B" w:rsidR="007F1D7E">
        <w:t xml:space="preserve"> his requests made throughout the penalty </w:t>
      </w:r>
      <w:r w:rsidR="004B4131">
        <w:t xml:space="preserve">phase </w:t>
      </w:r>
      <w:r w:rsidRPr="00190D2B" w:rsidR="007F1D7E">
        <w:t>trial</w:t>
      </w:r>
      <w:r w:rsidRPr="00190D2B" w:rsidR="00FD14DC">
        <w:t>.</w:t>
      </w:r>
      <w:r w:rsidR="003E5B3E">
        <w:t xml:space="preserve">  </w:t>
      </w:r>
    </w:p>
  </w:footnote>
  <w:footnote w:id="27">
    <w:p w:rsidR="00F5333D" w:rsidRPr="00190D2B" w:rsidP="00055573" w14:paraId="65B795B2" w14:textId="08A01F36">
      <w:pPr>
        <w:pStyle w:val="FootnoteText"/>
      </w:pPr>
      <w:r w:rsidRPr="00190D2B">
        <w:rPr>
          <w:rStyle w:val="FootnoteReference"/>
        </w:rPr>
        <w:footnoteRef/>
      </w:r>
      <w:r w:rsidRPr="00190D2B">
        <w:t xml:space="preserve"> </w:t>
      </w:r>
      <w:r w:rsidRPr="00190D2B">
        <w:tab/>
        <w:t>Section 190.4, su</w:t>
      </w:r>
      <w:r w:rsidRPr="00190D2B">
        <w:t>bdivision (e) provides in relevant part, “In every case in which the trier of fact has returned a verdict or finding imposing the death penalty, the defendant shall be deemed to have made an application for modification of such verdict or finding .</w:t>
      </w:r>
      <w:r w:rsidRPr="00190D2B" w:rsidR="00607253">
        <w:t> </w:t>
      </w:r>
      <w:r w:rsidRPr="00190D2B">
        <w:t>.</w:t>
      </w:r>
      <w:r w:rsidRPr="00190D2B" w:rsidR="00607253">
        <w:t> </w:t>
      </w:r>
      <w:r w:rsidRPr="00190D2B">
        <w:t>.</w:t>
      </w:r>
      <w:r w:rsidRPr="00190D2B" w:rsidR="00607253">
        <w:t> </w:t>
      </w:r>
      <w:r w:rsidRPr="00190D2B">
        <w:t>.”</w:t>
      </w:r>
      <w:r w:rsidR="00666EFC">
        <w:t xml:space="preserve">  </w:t>
      </w:r>
    </w:p>
  </w:footnote>
  <w:footnote w:id="28">
    <w:p w:rsidR="00F5333D" w:rsidRPr="00190D2B" w:rsidP="00055573" w14:paraId="47187603" w14:textId="2A741A24">
      <w:pPr>
        <w:pStyle w:val="FootnoteText"/>
      </w:pPr>
      <w:r w:rsidRPr="00190D2B">
        <w:rPr>
          <w:rStyle w:val="FootnoteReference"/>
        </w:rPr>
        <w:footnoteRef/>
      </w:r>
      <w:r w:rsidRPr="00190D2B">
        <w:t xml:space="preserve"> </w:t>
      </w:r>
      <w:r w:rsidRPr="00190D2B">
        <w:tab/>
        <w:t xml:space="preserve">As with his claim pertaining to the denial of his right to self-representation at the penalty </w:t>
      </w:r>
      <w:r w:rsidR="00EA40F4">
        <w:t>phase</w:t>
      </w:r>
      <w:r w:rsidR="006A29E0">
        <w:t xml:space="preserve"> of the</w:t>
      </w:r>
      <w:r w:rsidR="00EA40F4">
        <w:t xml:space="preserve"> </w:t>
      </w:r>
      <w:r w:rsidRPr="00190D2B">
        <w:t xml:space="preserve">trial, while </w:t>
      </w:r>
      <w:r w:rsidRPr="00190D2B" w:rsidR="00D82EC8">
        <w:t>defendant</w:t>
      </w:r>
      <w:r w:rsidRPr="00190D2B">
        <w:t xml:space="preserve"> also summarily asserts the trial court’s ruling violated his rights to due process and a fair and reliable capital senten</w:t>
      </w:r>
      <w:r w:rsidRPr="00190D2B">
        <w:t>cing hearing, h</w:t>
      </w:r>
      <w:r w:rsidRPr="00190D2B" w:rsidR="00C316B3">
        <w:t>e</w:t>
      </w:r>
      <w:r w:rsidRPr="00190D2B">
        <w:t xml:space="preserve"> does not present any reasoned argument in support of these contentions.  Accordingly, as does </w:t>
      </w:r>
      <w:r w:rsidRPr="00190D2B" w:rsidR="00D82EC8">
        <w:t>defendant</w:t>
      </w:r>
      <w:r w:rsidRPr="00190D2B">
        <w:t xml:space="preserve">, </w:t>
      </w:r>
      <w:r w:rsidR="00D268A7">
        <w:t>we</w:t>
      </w:r>
      <w:r w:rsidRPr="00190D2B">
        <w:t xml:space="preserve"> again focus on the trial court’s purported violation of his right </w:t>
      </w:r>
      <w:r w:rsidRPr="00190D2B" w:rsidR="00744E32">
        <w:t xml:space="preserve">to </w:t>
      </w:r>
      <w:r w:rsidRPr="00190D2B">
        <w:t xml:space="preserve">self-representation under the federal </w:t>
      </w:r>
      <w:r w:rsidR="006A664D">
        <w:t>C</w:t>
      </w:r>
      <w:r w:rsidRPr="00190D2B">
        <w:t xml:space="preserve">onstitution as well as </w:t>
      </w:r>
      <w:r w:rsidRPr="00190D2B">
        <w:t xml:space="preserve">under </w:t>
      </w:r>
      <w:bookmarkStart w:id="163" w:name="dabmci_0f94535321204c5b803c8ba665d70ce4"/>
      <w:r w:rsidRPr="00190D2B">
        <w:rPr>
          <w:i/>
          <w:iCs/>
        </w:rPr>
        <w:t>Windham</w:t>
      </w:r>
      <w:r w:rsidRPr="00190D2B">
        <w:t>,</w:t>
      </w:r>
      <w:r w:rsidRPr="00190D2B">
        <w:rPr>
          <w:i/>
          <w:iCs/>
        </w:rPr>
        <w:t xml:space="preserve"> supra</w:t>
      </w:r>
      <w:r w:rsidRPr="00190D2B">
        <w:t>,</w:t>
      </w:r>
      <w:r w:rsidRPr="00190D2B">
        <w:rPr>
          <w:i/>
          <w:iCs/>
        </w:rPr>
        <w:t xml:space="preserve"> </w:t>
      </w:r>
      <w:r w:rsidRPr="00190D2B">
        <w:t>19</w:t>
      </w:r>
      <w:r w:rsidRPr="00190D2B" w:rsidR="00F04029">
        <w:t> </w:t>
      </w:r>
      <w:r w:rsidRPr="00190D2B">
        <w:t>Cal.3d 121</w:t>
      </w:r>
      <w:bookmarkEnd w:id="163"/>
      <w:r w:rsidRPr="00190D2B">
        <w:t>.</w:t>
      </w:r>
      <w:r w:rsidRPr="00190D2B" w:rsidR="0031672C">
        <w:t xml:space="preserve">  </w:t>
      </w:r>
      <w:r w:rsidRPr="00190D2B" w:rsidR="00EC4AFF">
        <w:t xml:space="preserve">(See </w:t>
      </w:r>
      <w:r w:rsidRPr="00190D2B" w:rsidR="00EC4AFF">
        <w:rPr>
          <w:i/>
          <w:iCs/>
        </w:rPr>
        <w:t>Nunez and Satele</w:t>
      </w:r>
      <w:r w:rsidRPr="00190D2B" w:rsidR="00EC4AFF">
        <w:t xml:space="preserve">, </w:t>
      </w:r>
      <w:r w:rsidRPr="00190D2B" w:rsidR="00EC4AFF">
        <w:rPr>
          <w:i/>
          <w:iCs/>
        </w:rPr>
        <w:t>supra</w:t>
      </w:r>
      <w:r w:rsidRPr="00190D2B" w:rsidR="00EC4AFF">
        <w:t xml:space="preserve">, 57 Cal.4th at p. 51.)  </w:t>
      </w:r>
    </w:p>
  </w:footnote>
  <w:footnote w:id="29">
    <w:p w:rsidR="00DF60D6" w:rsidP="00055573" w14:paraId="2C16956A" w14:textId="6E108400">
      <w:pPr>
        <w:pStyle w:val="FootnoteText"/>
      </w:pPr>
      <w:r>
        <w:rPr>
          <w:rStyle w:val="FootnoteReference"/>
        </w:rPr>
        <w:footnoteRef/>
      </w:r>
      <w:r>
        <w:t xml:space="preserve"> </w:t>
      </w:r>
      <w:r>
        <w:tab/>
      </w:r>
      <w:r w:rsidRPr="00190D2B">
        <w:rPr>
          <w:szCs w:val="26"/>
        </w:rPr>
        <w:t>Defendant does not seek a new hearing on his motion for new trial, notwithstanding that the hearing on the motion for new trial was held on the same day as the hearing on his automatic motion to modify the death verdict (§ 190.4, subd. (e)) and the sentenc</w:t>
      </w:r>
      <w:r w:rsidRPr="00190D2B">
        <w:rPr>
          <w:szCs w:val="26"/>
        </w:rPr>
        <w:t xml:space="preserve">ing hearing.  </w:t>
      </w:r>
    </w:p>
  </w:footnote>
  <w:footnote w:id="30">
    <w:p w:rsidR="006A1507" w:rsidRPr="00190D2B" w:rsidP="00055573" w14:paraId="1109598F" w14:textId="202906D0">
      <w:pPr>
        <w:pStyle w:val="FootnoteText"/>
      </w:pPr>
      <w:r w:rsidRPr="00190D2B">
        <w:rPr>
          <w:rStyle w:val="FootnoteReference"/>
        </w:rPr>
        <w:footnoteRef/>
      </w:r>
      <w:r w:rsidRPr="00190D2B">
        <w:t xml:space="preserve"> </w:t>
      </w:r>
      <w:r w:rsidRPr="00190D2B">
        <w:tab/>
      </w:r>
      <w:r w:rsidRPr="00190D2B" w:rsidR="00725A6E">
        <w:t>The parties agree that o</w:t>
      </w:r>
      <w:r w:rsidRPr="00190D2B" w:rsidR="00F54A90">
        <w:t xml:space="preserve">n August 24, 2006, the day of the death verdict, </w:t>
      </w:r>
      <w:r w:rsidRPr="00190D2B" w:rsidR="00D82EC8">
        <w:t>defendant</w:t>
      </w:r>
      <w:r w:rsidRPr="00190D2B">
        <w:t xml:space="preserve"> had been transferre</w:t>
      </w:r>
      <w:r w:rsidRPr="00190D2B" w:rsidR="00725A6E">
        <w:t>d</w:t>
      </w:r>
      <w:r w:rsidRPr="00190D2B">
        <w:t xml:space="preserve"> from county jail to state prison pursuant to the statute. </w:t>
      </w:r>
      <w:r w:rsidRPr="00190D2B" w:rsidR="004C5199">
        <w:t xml:space="preserve"> </w:t>
      </w:r>
    </w:p>
  </w:footnote>
  <w:footnote w:id="31">
    <w:p w:rsidR="00103DCE" w:rsidRPr="00190D2B" w:rsidP="00055573" w14:paraId="65E9E2DC" w14:textId="059B16D9">
      <w:pPr>
        <w:pStyle w:val="FootnoteText"/>
      </w:pPr>
      <w:r w:rsidRPr="00190D2B">
        <w:rPr>
          <w:rStyle w:val="FootnoteReference"/>
        </w:rPr>
        <w:footnoteRef/>
      </w:r>
      <w:r w:rsidRPr="00190D2B">
        <w:t xml:space="preserve"> </w:t>
      </w:r>
      <w:r w:rsidRPr="00190D2B">
        <w:tab/>
        <w:t xml:space="preserve">In light of this </w:t>
      </w:r>
      <w:r w:rsidRPr="00190D2B" w:rsidR="00E87A05">
        <w:t>determination</w:t>
      </w:r>
      <w:r w:rsidRPr="00190D2B">
        <w:t xml:space="preserve">, </w:t>
      </w:r>
      <w:r w:rsidRPr="00190D2B" w:rsidR="00E87A05">
        <w:t xml:space="preserve">we </w:t>
      </w:r>
      <w:r w:rsidRPr="00190D2B">
        <w:t xml:space="preserve">need not consider </w:t>
      </w:r>
      <w:r w:rsidRPr="00190D2B" w:rsidR="00C15E63">
        <w:t xml:space="preserve">whether </w:t>
      </w:r>
      <w:r w:rsidRPr="00190D2B" w:rsidR="00D82EC8">
        <w:t>defendant</w:t>
      </w:r>
      <w:r w:rsidRPr="00190D2B" w:rsidR="006238CF">
        <w:t>’s request was unequivocal and knowingly and intelligently made.</w:t>
      </w:r>
      <w:r w:rsidR="00666EFC">
        <w:t xml:space="preserve">  </w:t>
      </w:r>
    </w:p>
  </w:footnote>
  <w:footnote w:id="32">
    <w:p w:rsidR="00CD5B8E" w:rsidRPr="00190D2B" w:rsidP="00055573" w14:paraId="6E101B8D" w14:textId="669EBF77">
      <w:pPr>
        <w:pStyle w:val="FootnoteText"/>
      </w:pPr>
      <w:r w:rsidRPr="00190D2B">
        <w:rPr>
          <w:rStyle w:val="FootnoteReference"/>
        </w:rPr>
        <w:footnoteRef/>
      </w:r>
      <w:r w:rsidRPr="00190D2B">
        <w:t xml:space="preserve"> </w:t>
      </w:r>
      <w:r w:rsidRPr="00190D2B">
        <w:tab/>
      </w:r>
      <w:r w:rsidRPr="00190D2B" w:rsidR="00D82EC8">
        <w:t>Defendant</w:t>
      </w:r>
      <w:r w:rsidRPr="00190D2B">
        <w:t xml:space="preserve">’s December 15 </w:t>
      </w:r>
      <w:r w:rsidRPr="00190D2B" w:rsidR="00353624">
        <w:t>renewed request</w:t>
      </w:r>
      <w:r w:rsidRPr="00190D2B">
        <w:t>, made on the day of the postverdict proceed</w:t>
      </w:r>
      <w:r w:rsidRPr="00190D2B" w:rsidR="00D1792E">
        <w:t>ings</w:t>
      </w:r>
      <w:r w:rsidRPr="00190D2B" w:rsidR="00E16DAB">
        <w:t>,</w:t>
      </w:r>
      <w:r w:rsidRPr="00190D2B" w:rsidR="00D1792E">
        <w:t xml:space="preserve"> </w:t>
      </w:r>
      <w:r w:rsidRPr="00190D2B">
        <w:t>was</w:t>
      </w:r>
      <w:r w:rsidRPr="00190D2B" w:rsidR="00D1792E">
        <w:t xml:space="preserve"> </w:t>
      </w:r>
      <w:r w:rsidRPr="00190D2B" w:rsidR="00525F31">
        <w:t xml:space="preserve">“manifestly </w:t>
      </w:r>
      <w:r w:rsidRPr="00190D2B" w:rsidR="00D1792E">
        <w:t>untimely</w:t>
      </w:r>
      <w:r w:rsidRPr="00190D2B" w:rsidR="00E16DAB">
        <w:t>.</w:t>
      </w:r>
      <w:r w:rsidRPr="00190D2B" w:rsidR="00525F31">
        <w:t>”</w:t>
      </w:r>
      <w:r w:rsidRPr="00190D2B" w:rsidR="00E16DAB">
        <w:t xml:space="preserve">  (</w:t>
      </w:r>
      <w:bookmarkStart w:id="173" w:name="dabmci_09fba49b7b6d42978e2fba0cb5412da4"/>
      <w:r w:rsidRPr="00190D2B" w:rsidR="00D1792E">
        <w:rPr>
          <w:i/>
          <w:iCs/>
        </w:rPr>
        <w:t>Doolin</w:t>
      </w:r>
      <w:r w:rsidRPr="00190D2B" w:rsidR="00D1792E">
        <w:t xml:space="preserve">, </w:t>
      </w:r>
      <w:r w:rsidRPr="00190D2B" w:rsidR="00D1792E">
        <w:rPr>
          <w:i/>
          <w:iCs/>
        </w:rPr>
        <w:t>supra</w:t>
      </w:r>
      <w:r w:rsidRPr="00190D2B" w:rsidR="00D1792E">
        <w:t>, 45</w:t>
      </w:r>
      <w:r w:rsidRPr="00190D2B" w:rsidR="00811F90">
        <w:t> </w:t>
      </w:r>
      <w:r w:rsidRPr="00190D2B" w:rsidR="00D1792E">
        <w:t>Cal.4th at</w:t>
      </w:r>
      <w:r w:rsidRPr="00190D2B" w:rsidR="00811F90">
        <w:t xml:space="preserve"> </w:t>
      </w:r>
      <w:r w:rsidRPr="00190D2B" w:rsidR="00D1792E">
        <w:t>p</w:t>
      </w:r>
      <w:r w:rsidRPr="00190D2B" w:rsidR="00E16DAB">
        <w:t>.</w:t>
      </w:r>
      <w:r w:rsidRPr="00190D2B" w:rsidR="00811F90">
        <w:t> </w:t>
      </w:r>
      <w:r w:rsidRPr="00190D2B" w:rsidR="00D1792E">
        <w:t>454</w:t>
      </w:r>
      <w:bookmarkEnd w:id="173"/>
      <w:r w:rsidRPr="00190D2B" w:rsidR="00525F31">
        <w:t>.</w:t>
      </w:r>
      <w:r w:rsidRPr="00190D2B" w:rsidR="00E16DAB">
        <w:t>)</w:t>
      </w:r>
      <w:r w:rsidR="00666EFC">
        <w:t xml:space="preserve">  </w:t>
      </w:r>
    </w:p>
  </w:footnote>
  <w:footnote w:id="33">
    <w:p w:rsidR="004348E2" w:rsidRPr="00453CFD" w:rsidP="00856628" w14:paraId="342FED70" w14:textId="6598EE2B">
      <w:pPr>
        <w:pStyle w:val="FootnoteText"/>
        <w:rPr>
          <w:szCs w:val="26"/>
        </w:rPr>
      </w:pPr>
      <w:r w:rsidRPr="00453CFD">
        <w:rPr>
          <w:rStyle w:val="FootnoteReference"/>
        </w:rPr>
        <w:footnoteRef/>
      </w:r>
      <w:r w:rsidRPr="00453CFD">
        <w:rPr>
          <w:szCs w:val="26"/>
        </w:rPr>
        <w:t xml:space="preserve"> </w:t>
      </w:r>
      <w:r w:rsidRPr="00453CFD">
        <w:rPr>
          <w:szCs w:val="26"/>
        </w:rPr>
        <w:tab/>
      </w:r>
      <w:r>
        <w:rPr>
          <w:szCs w:val="26"/>
        </w:rPr>
        <w:t>W</w:t>
      </w:r>
      <w:r w:rsidRPr="00453CFD">
        <w:rPr>
          <w:szCs w:val="26"/>
        </w:rPr>
        <w:t xml:space="preserve">e assume that defendant objected at trial to the presentation of all the evidence </w:t>
      </w:r>
      <w:r w:rsidR="00256336">
        <w:rPr>
          <w:szCs w:val="26"/>
        </w:rPr>
        <w:t>that</w:t>
      </w:r>
      <w:r w:rsidRPr="00453CFD">
        <w:rPr>
          <w:szCs w:val="26"/>
        </w:rPr>
        <w:t xml:space="preserve"> he maintains </w:t>
      </w:r>
      <w:r w:rsidR="00EB3622">
        <w:rPr>
          <w:szCs w:val="26"/>
        </w:rPr>
        <w:t xml:space="preserve">the trial court </w:t>
      </w:r>
      <w:r w:rsidR="00256336">
        <w:rPr>
          <w:szCs w:val="26"/>
        </w:rPr>
        <w:t xml:space="preserve">admitted in </w:t>
      </w:r>
      <w:r w:rsidRPr="00453CFD" w:rsidR="00256336">
        <w:rPr>
          <w:szCs w:val="26"/>
        </w:rPr>
        <w:t>violat</w:t>
      </w:r>
      <w:r w:rsidR="00256336">
        <w:rPr>
          <w:szCs w:val="26"/>
        </w:rPr>
        <w:t>ion of</w:t>
      </w:r>
      <w:r w:rsidRPr="00453CFD" w:rsidR="00256336">
        <w:rPr>
          <w:szCs w:val="26"/>
        </w:rPr>
        <w:t xml:space="preserve"> </w:t>
      </w:r>
      <w:r w:rsidRPr="00453CFD">
        <w:rPr>
          <w:szCs w:val="26"/>
        </w:rPr>
        <w:t xml:space="preserve">his Sixth Amendment autonomy right.  (See pt. II.D.2., </w:t>
      </w:r>
      <w:r w:rsidRPr="00453CFD">
        <w:rPr>
          <w:i/>
          <w:iCs/>
          <w:szCs w:val="26"/>
        </w:rPr>
        <w:t>ante</w:t>
      </w:r>
      <w:r w:rsidRPr="00453CFD">
        <w:rPr>
          <w:szCs w:val="26"/>
        </w:rPr>
        <w:t xml:space="preserve"> [discussing defendant’s objections to the presentation </w:t>
      </w:r>
      <w:r w:rsidRPr="00453CFD">
        <w:rPr>
          <w:szCs w:val="26"/>
        </w:rPr>
        <w:t>of certain mitigating evidence in connection with his requests for self-representation].)</w:t>
      </w:r>
      <w:r w:rsidR="00666EFC">
        <w:rPr>
          <w:szCs w:val="26"/>
        </w:rPr>
        <w:t xml:space="preserve">  </w:t>
      </w:r>
    </w:p>
  </w:footnote>
  <w:footnote w:id="34">
    <w:p w:rsidR="004348E2" w:rsidRPr="00453CFD" w:rsidP="00856628" w14:paraId="2DB4B3A9" w14:textId="0EF7276D">
      <w:pPr>
        <w:pStyle w:val="FootnoteText"/>
        <w:tabs>
          <w:tab w:val="left" w:pos="685"/>
          <w:tab w:val="left" w:pos="720"/>
          <w:tab w:val="left" w:pos="1440"/>
          <w:tab w:val="left" w:pos="2160"/>
          <w:tab w:val="left" w:pos="2964"/>
        </w:tabs>
        <w:rPr>
          <w:szCs w:val="26"/>
        </w:rPr>
      </w:pPr>
      <w:r w:rsidRPr="00453CFD">
        <w:rPr>
          <w:rStyle w:val="FootnoteReference"/>
        </w:rPr>
        <w:footnoteRef/>
      </w:r>
      <w:r w:rsidRPr="00453CFD">
        <w:rPr>
          <w:sz w:val="20"/>
        </w:rPr>
        <w:t xml:space="preserve"> </w:t>
      </w:r>
      <w:r w:rsidRPr="00453CFD">
        <w:rPr>
          <w:szCs w:val="26"/>
        </w:rPr>
        <w:tab/>
        <w:t xml:space="preserve">We made these statements in </w:t>
      </w:r>
      <w:r w:rsidRPr="00453CFD">
        <w:rPr>
          <w:i/>
          <w:iCs/>
          <w:szCs w:val="26"/>
        </w:rPr>
        <w:t>Poore</w:t>
      </w:r>
      <w:r w:rsidRPr="00453CFD">
        <w:rPr>
          <w:szCs w:val="26"/>
        </w:rPr>
        <w:t xml:space="preserve"> in connection with our consideration of the defendant’s claim that the “jury’s inability to consider mitigating evidence render</w:t>
      </w:r>
      <w:r w:rsidRPr="00453CFD">
        <w:rPr>
          <w:szCs w:val="26"/>
        </w:rPr>
        <w:t>ed his sentence unreliable.”  (</w:t>
      </w:r>
      <w:r w:rsidRPr="00453CFD">
        <w:rPr>
          <w:i/>
          <w:iCs/>
          <w:szCs w:val="26"/>
        </w:rPr>
        <w:t>Poore</w:t>
      </w:r>
      <w:r w:rsidRPr="00453CFD">
        <w:rPr>
          <w:szCs w:val="26"/>
        </w:rPr>
        <w:t xml:space="preserve">, </w:t>
      </w:r>
      <w:r w:rsidRPr="00453CFD">
        <w:rPr>
          <w:i/>
          <w:iCs/>
          <w:szCs w:val="26"/>
        </w:rPr>
        <w:t>supra</w:t>
      </w:r>
      <w:r w:rsidRPr="00453CFD">
        <w:rPr>
          <w:szCs w:val="26"/>
        </w:rPr>
        <w:t xml:space="preserve">, 13 Cal.5th at p. 305.)  However, unlike in this case, because the defendant in </w:t>
      </w:r>
      <w:r w:rsidRPr="00453CFD">
        <w:rPr>
          <w:i/>
          <w:iCs/>
          <w:szCs w:val="26"/>
        </w:rPr>
        <w:t>Poore</w:t>
      </w:r>
      <w:r w:rsidRPr="00453CFD">
        <w:rPr>
          <w:szCs w:val="26"/>
        </w:rPr>
        <w:t xml:space="preserve"> had not raised a claim under </w:t>
      </w:r>
      <w:r w:rsidRPr="00453CFD">
        <w:rPr>
          <w:i/>
          <w:iCs/>
          <w:szCs w:val="26"/>
        </w:rPr>
        <w:t>McCoy</w:t>
      </w:r>
      <w:r w:rsidRPr="00453CFD">
        <w:rPr>
          <w:szCs w:val="26"/>
        </w:rPr>
        <w:t xml:space="preserve">, we did not need to “decide whether . . . decisions about penalty phase evidence are among </w:t>
      </w:r>
      <w:r w:rsidRPr="00453CFD">
        <w:rPr>
          <w:szCs w:val="26"/>
        </w:rPr>
        <w:t>the ‘objective[s] of the defense’ over which a represented defendant retains control, for purposes of the Sixth Amendment.”  (</w:t>
      </w:r>
      <w:r w:rsidR="00846CD7">
        <w:rPr>
          <w:i/>
          <w:iCs/>
          <w:szCs w:val="26"/>
        </w:rPr>
        <w:t>Id</w:t>
      </w:r>
      <w:r w:rsidRPr="00653B81" w:rsidR="00846CD7">
        <w:rPr>
          <w:szCs w:val="26"/>
        </w:rPr>
        <w:t>.</w:t>
      </w:r>
      <w:r w:rsidRPr="00453CFD">
        <w:rPr>
          <w:szCs w:val="26"/>
        </w:rPr>
        <w:t xml:space="preserve"> at p. 306</w:t>
      </w:r>
      <w:r w:rsidR="00A51A47">
        <w:rPr>
          <w:szCs w:val="26"/>
        </w:rPr>
        <w:t>, fn. 14</w:t>
      </w:r>
      <w:r w:rsidRPr="00453CFD">
        <w:rPr>
          <w:szCs w:val="26"/>
        </w:rPr>
        <w:t>.)</w:t>
      </w:r>
      <w:r w:rsidR="00666EFC">
        <w:rPr>
          <w:szCs w:val="26"/>
        </w:rPr>
        <w:t xml:space="preserve">  </w:t>
      </w:r>
    </w:p>
  </w:footnote>
  <w:footnote w:id="35">
    <w:p w:rsidR="00BF1E24" w:rsidP="00BF1E24" w14:paraId="4B5ED6A3" w14:textId="5AB85073">
      <w:pPr>
        <w:pStyle w:val="FootnoteText"/>
      </w:pPr>
      <w:r>
        <w:rPr>
          <w:rStyle w:val="FootnoteReference"/>
        </w:rPr>
        <w:footnoteRef/>
      </w:r>
      <w:r>
        <w:t xml:space="preserve"> </w:t>
      </w:r>
      <w:r>
        <w:tab/>
      </w:r>
      <w:r w:rsidRPr="00F755B4">
        <w:t>We observe the characterization is somewhat overbroad.</w:t>
      </w:r>
      <w:r w:rsidR="001374A9">
        <w:t xml:space="preserve">  </w:t>
      </w:r>
      <w:r w:rsidRPr="00F755B4">
        <w:t xml:space="preserve">It is true that an insanity defense most </w:t>
      </w:r>
      <w:r w:rsidRPr="00F755B4">
        <w:t>often concedes that the defendant committed the actus reus of the offense.</w:t>
      </w:r>
      <w:r w:rsidR="001374A9">
        <w:t xml:space="preserve">  </w:t>
      </w:r>
      <w:r w:rsidRPr="00F755B4">
        <w:t xml:space="preserve">However, it is the essence of an insanity defense that the defendant is not guilty because </w:t>
      </w:r>
      <w:r w:rsidR="009F6ADF">
        <w:t xml:space="preserve">the </w:t>
      </w:r>
      <w:r>
        <w:t>defe</w:t>
      </w:r>
      <w:r w:rsidR="009F6ADF">
        <w:t>n</w:t>
      </w:r>
      <w:r>
        <w:t>dant</w:t>
      </w:r>
      <w:r w:rsidR="002768AE">
        <w:t>’</w:t>
      </w:r>
      <w:r>
        <w:t>s</w:t>
      </w:r>
      <w:r w:rsidRPr="00F755B4">
        <w:t xml:space="preserve"> mental condition made it impossible </w:t>
      </w:r>
      <w:r w:rsidR="001E0B38">
        <w:t xml:space="preserve">for him or her </w:t>
      </w:r>
      <w:r w:rsidRPr="00F755B4">
        <w:t>to form the mens rea r</w:t>
      </w:r>
      <w:r w:rsidRPr="00F755B4">
        <w:t>equired for a finding of guilt.</w:t>
      </w:r>
    </w:p>
  </w:footnote>
  <w:footnote w:id="36">
    <w:p w:rsidR="00F90312" w:rsidRPr="00190D2B" w:rsidP="0009078D" w14:paraId="0F4590B6" w14:textId="23307EC0">
      <w:pPr>
        <w:pStyle w:val="FootnoteText"/>
      </w:pPr>
      <w:r w:rsidRPr="00190D2B">
        <w:rPr>
          <w:rStyle w:val="FootnoteReference"/>
        </w:rPr>
        <w:footnoteRef/>
      </w:r>
      <w:r w:rsidRPr="00190D2B">
        <w:t xml:space="preserve"> </w:t>
      </w:r>
      <w:r w:rsidRPr="00190D2B">
        <w:tab/>
      </w:r>
      <w:r w:rsidR="0004441B">
        <w:t>W</w:t>
      </w:r>
      <w:r w:rsidRPr="00190D2B">
        <w:t xml:space="preserve">e assume for purposes of this decision that </w:t>
      </w:r>
      <w:r w:rsidRPr="00190D2B" w:rsidR="00D82EC8">
        <w:t>defendant</w:t>
      </w:r>
      <w:r w:rsidRPr="00190D2B">
        <w:t xml:space="preserve"> has not forfeited any of his </w:t>
      </w:r>
      <w:r w:rsidRPr="00190D2B" w:rsidR="003F450C">
        <w:t>contentions</w:t>
      </w:r>
      <w:r w:rsidRPr="00190D2B">
        <w:t>.</w:t>
      </w:r>
      <w:r w:rsidR="00666EFC">
        <w:t xml:space="preserve">  </w:t>
      </w:r>
    </w:p>
  </w:footnote>
  <w:footnote w:id="37">
    <w:p w:rsidR="00D4048D" w:rsidRPr="00190D2B" w:rsidP="0009078D" w14:paraId="27FD0A45" w14:textId="21615B4C">
      <w:pPr>
        <w:pStyle w:val="FootnoteText"/>
      </w:pPr>
      <w:r w:rsidRPr="00190D2B">
        <w:rPr>
          <w:rStyle w:val="FootnoteReference"/>
        </w:rPr>
        <w:footnoteRef/>
      </w:r>
      <w:r w:rsidRPr="00190D2B">
        <w:t xml:space="preserve"> </w:t>
      </w:r>
      <w:r w:rsidRPr="00190D2B">
        <w:tab/>
        <w:t xml:space="preserve">In the omitted footnote, the </w:t>
      </w:r>
      <w:r w:rsidRPr="00190D2B">
        <w:rPr>
          <w:i/>
          <w:iCs/>
        </w:rPr>
        <w:t>Ramirez</w:t>
      </w:r>
      <w:r w:rsidRPr="00190D2B">
        <w:t xml:space="preserve"> court noted</w:t>
      </w:r>
      <w:r w:rsidRPr="00190D2B" w:rsidR="000D2090">
        <w:t xml:space="preserve">, “California does require that section 190.3, factors (b) and (c) evidence be proved beyond a reasonable doubt. </w:t>
      </w:r>
      <w:r w:rsidRPr="00190D2B" w:rsidR="009D528E">
        <w:t xml:space="preserve"> </w:t>
      </w:r>
      <w:r w:rsidRPr="00190D2B" w:rsidR="000D2090">
        <w:t>This is, however, an evidentiary rule.</w:t>
      </w:r>
      <w:r w:rsidRPr="00190D2B" w:rsidR="009D528E">
        <w:t xml:space="preserve"> </w:t>
      </w:r>
      <w:r w:rsidRPr="00190D2B" w:rsidR="000D2090">
        <w:t xml:space="preserve"> It is not constitutionally mandated.”  (</w:t>
      </w:r>
      <w:bookmarkStart w:id="185" w:name="dabmci_bbe71d450dca4f86a551d2dbef7a2930"/>
      <w:r w:rsidRPr="00190D2B" w:rsidR="000D2090">
        <w:rPr>
          <w:i/>
          <w:iCs/>
        </w:rPr>
        <w:t>Ramirez</w:t>
      </w:r>
      <w:r w:rsidRPr="00190D2B" w:rsidR="005709DC">
        <w:t xml:space="preserve">, </w:t>
      </w:r>
      <w:r w:rsidRPr="00190D2B" w:rsidR="005709DC">
        <w:rPr>
          <w:i/>
          <w:iCs/>
        </w:rPr>
        <w:t>supra</w:t>
      </w:r>
      <w:r w:rsidRPr="00190D2B" w:rsidR="005709DC">
        <w:t xml:space="preserve">, </w:t>
      </w:r>
      <w:r w:rsidRPr="00190D2B" w:rsidR="000D2090">
        <w:t>13</w:t>
      </w:r>
      <w:r w:rsidRPr="00190D2B" w:rsidR="00E81E0D">
        <w:t> </w:t>
      </w:r>
      <w:r w:rsidRPr="00190D2B" w:rsidR="000D2090">
        <w:t xml:space="preserve">Cal.5th </w:t>
      </w:r>
      <w:r w:rsidRPr="00190D2B" w:rsidR="005709DC">
        <w:t>at p.</w:t>
      </w:r>
      <w:r w:rsidRPr="00190D2B" w:rsidR="00E81E0D">
        <w:t> </w:t>
      </w:r>
      <w:r w:rsidRPr="00190D2B" w:rsidR="000D2090">
        <w:t>1161, fn. 51</w:t>
      </w:r>
      <w:bookmarkEnd w:id="185"/>
      <w:r w:rsidRPr="00190D2B" w:rsidR="000D2090">
        <w:t xml:space="preserve">.)  Section 190.3, factor (b) </w:t>
      </w:r>
      <w:r w:rsidRPr="00190D2B" w:rsidR="001A6CFE">
        <w:t>pertains to</w:t>
      </w:r>
      <w:r w:rsidRPr="00190D2B" w:rsidR="00935E23">
        <w:t xml:space="preserve"> “[t]he presence or absence of criminal activity by the defendant which involved the use or attempted use of force or violence or the express or implied threat to use force or violence</w:t>
      </w:r>
      <w:r w:rsidRPr="00190D2B" w:rsidR="00D75D89">
        <w:t>,”</w:t>
      </w:r>
      <w:r w:rsidRPr="00190D2B" w:rsidR="001A6CFE">
        <w:t xml:space="preserve"> and section 190.3, factor (c) pertains to </w:t>
      </w:r>
      <w:r w:rsidRPr="00190D2B" w:rsidR="00935E23">
        <w:t>“</w:t>
      </w:r>
      <w:r w:rsidRPr="00190D2B" w:rsidR="00D75D89">
        <w:t>[</w:t>
      </w:r>
      <w:r w:rsidRPr="00190D2B" w:rsidR="00935E23">
        <w:t>t</w:t>
      </w:r>
      <w:r w:rsidRPr="00190D2B" w:rsidR="00D75D89">
        <w:t>]</w:t>
      </w:r>
      <w:r w:rsidRPr="00190D2B" w:rsidR="00935E23">
        <w:t>he presence or absence of any prior felony conviction.”</w:t>
      </w:r>
      <w:r w:rsidR="00666EF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6FB6" w14:paraId="3BD94EF8" w14:textId="2E5047D0">
    <w:pPr>
      <w:pStyle w:val="Header"/>
    </w:pPr>
    <w:r>
      <w:t>PEOPLE v. FRAZIER</w:t>
    </w:r>
  </w:p>
  <w:p w:rsidR="00496FB6" w14:paraId="6D4EEEA1" w14:textId="082575CD">
    <w:pPr>
      <w:pStyle w:val="Header"/>
    </w:pPr>
    <w:r>
      <w:t>Opinion of the Court by Guerrero, C. J.</w:t>
    </w:r>
  </w:p>
  <w:p w:rsidR="00496FB6" w14:paraId="43E7F4D8"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3647" w14:paraId="0A26939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3647" w14:paraId="48740A8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3647" w14:paraId="39CCAFE7" w14:textId="77777777">
    <w:pPr>
      <w:pStyle w:val="Header"/>
    </w:pPr>
    <w:r>
      <w:t>PEOPLE v. FRAZIER</w:t>
    </w:r>
  </w:p>
  <w:p w:rsidR="00753647" w14:paraId="7C84F5EC" w14:textId="77777777">
    <w:pPr>
      <w:pStyle w:val="Header"/>
    </w:pPr>
    <w:r>
      <w:t>Liu, J., dissenting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3647" w14:paraId="73D00A40"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3647" w14:paraId="1FC4B55F"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3647" w14:paraId="2DD2BA2E" w14:textId="77777777">
    <w:pPr>
      <w:pStyle w:val="Header"/>
    </w:pPr>
    <w:r>
      <w:t>PEOPLE v. FRAZIER</w:t>
    </w:r>
  </w:p>
  <w:p w:rsidR="00753647" w14:paraId="083D4EC1" w14:textId="77777777">
    <w:pPr>
      <w:pStyle w:val="Header"/>
    </w:pPr>
    <w:r>
      <w:t>Evans, J., dissenting</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3647" w14:paraId="76917274"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3647" w14:paraId="3C33AD9F"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3647" w14:paraId="67A7312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C26654"/>
    <w:multiLevelType w:val="hybridMultilevel"/>
    <w:tmpl w:val="70888BDC"/>
    <w:lvl w:ilvl="0">
      <w:start w:val="1"/>
      <w:numFmt w:val="decimal"/>
      <w:lvlText w:val="%1."/>
      <w:lvlJc w:val="left"/>
      <w:pPr>
        <w:ind w:left="1440" w:hanging="360"/>
      </w:pPr>
      <w:rPr>
        <w:rFonts w:hint="default"/>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738C0AFD"/>
    <w:multiLevelType w:val="hybridMultilevel"/>
    <w:tmpl w:val="B1F81366"/>
    <w:lvl w:ilvl="0">
      <w:start w:val="1"/>
      <w:numFmt w:val="decimal"/>
      <w:lvlText w:val="%1."/>
      <w:lvlJc w:val="left"/>
      <w:pPr>
        <w:ind w:left="1440" w:hanging="360"/>
      </w:pPr>
      <w:rPr>
        <w:rFonts w:hint="default"/>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619459221">
    <w:abstractNumId w:val="1"/>
  </w:num>
  <w:num w:numId="2" w16cid:durableId="1926066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intFractionalCharacterWidth/>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E79"/>
    <w:rsid w:val="00001139"/>
    <w:rsid w:val="000016FD"/>
    <w:rsid w:val="00002C46"/>
    <w:rsid w:val="00003730"/>
    <w:rsid w:val="00003A15"/>
    <w:rsid w:val="00004D5E"/>
    <w:rsid w:val="00004F7D"/>
    <w:rsid w:val="00005410"/>
    <w:rsid w:val="00005DDB"/>
    <w:rsid w:val="00006815"/>
    <w:rsid w:val="000069E1"/>
    <w:rsid w:val="00006EEB"/>
    <w:rsid w:val="000079CD"/>
    <w:rsid w:val="00010E4C"/>
    <w:rsid w:val="00011147"/>
    <w:rsid w:val="000111BD"/>
    <w:rsid w:val="00011375"/>
    <w:rsid w:val="00011643"/>
    <w:rsid w:val="00011D02"/>
    <w:rsid w:val="000121B2"/>
    <w:rsid w:val="00012201"/>
    <w:rsid w:val="00012597"/>
    <w:rsid w:val="00012708"/>
    <w:rsid w:val="00012E34"/>
    <w:rsid w:val="00013594"/>
    <w:rsid w:val="0001398B"/>
    <w:rsid w:val="00013AAD"/>
    <w:rsid w:val="00013D4C"/>
    <w:rsid w:val="00015FFB"/>
    <w:rsid w:val="000164E7"/>
    <w:rsid w:val="00016D74"/>
    <w:rsid w:val="00016E78"/>
    <w:rsid w:val="000171AB"/>
    <w:rsid w:val="000173CA"/>
    <w:rsid w:val="00017AB3"/>
    <w:rsid w:val="00020651"/>
    <w:rsid w:val="00020C94"/>
    <w:rsid w:val="000214B2"/>
    <w:rsid w:val="000220F6"/>
    <w:rsid w:val="00022152"/>
    <w:rsid w:val="000239FE"/>
    <w:rsid w:val="00023E16"/>
    <w:rsid w:val="00023F0F"/>
    <w:rsid w:val="000240EB"/>
    <w:rsid w:val="0002416B"/>
    <w:rsid w:val="000243A7"/>
    <w:rsid w:val="00024AF5"/>
    <w:rsid w:val="00024BDF"/>
    <w:rsid w:val="00025572"/>
    <w:rsid w:val="000258B6"/>
    <w:rsid w:val="00025B1B"/>
    <w:rsid w:val="000260C3"/>
    <w:rsid w:val="00026E2D"/>
    <w:rsid w:val="000271C4"/>
    <w:rsid w:val="000279BD"/>
    <w:rsid w:val="00030274"/>
    <w:rsid w:val="00030A26"/>
    <w:rsid w:val="00031ECC"/>
    <w:rsid w:val="000320ED"/>
    <w:rsid w:val="0003219A"/>
    <w:rsid w:val="0003240E"/>
    <w:rsid w:val="00032B25"/>
    <w:rsid w:val="00032B5E"/>
    <w:rsid w:val="00034E45"/>
    <w:rsid w:val="000364FE"/>
    <w:rsid w:val="00036BB7"/>
    <w:rsid w:val="00036F3A"/>
    <w:rsid w:val="00037606"/>
    <w:rsid w:val="000403B2"/>
    <w:rsid w:val="0004047A"/>
    <w:rsid w:val="0004088C"/>
    <w:rsid w:val="00040C69"/>
    <w:rsid w:val="00041290"/>
    <w:rsid w:val="0004165A"/>
    <w:rsid w:val="00042541"/>
    <w:rsid w:val="0004263A"/>
    <w:rsid w:val="00043184"/>
    <w:rsid w:val="000431EB"/>
    <w:rsid w:val="0004384F"/>
    <w:rsid w:val="0004424E"/>
    <w:rsid w:val="0004441B"/>
    <w:rsid w:val="0004451B"/>
    <w:rsid w:val="000445FD"/>
    <w:rsid w:val="000447CF"/>
    <w:rsid w:val="000451D0"/>
    <w:rsid w:val="00046746"/>
    <w:rsid w:val="00046889"/>
    <w:rsid w:val="00046E45"/>
    <w:rsid w:val="0004792C"/>
    <w:rsid w:val="0005022E"/>
    <w:rsid w:val="0005123D"/>
    <w:rsid w:val="000515C1"/>
    <w:rsid w:val="000519AC"/>
    <w:rsid w:val="00051C26"/>
    <w:rsid w:val="00053D1D"/>
    <w:rsid w:val="00054264"/>
    <w:rsid w:val="00054897"/>
    <w:rsid w:val="00054BB9"/>
    <w:rsid w:val="000553D7"/>
    <w:rsid w:val="00055573"/>
    <w:rsid w:val="00055C98"/>
    <w:rsid w:val="000566BC"/>
    <w:rsid w:val="00056965"/>
    <w:rsid w:val="0005747D"/>
    <w:rsid w:val="00057A49"/>
    <w:rsid w:val="0006031A"/>
    <w:rsid w:val="00060325"/>
    <w:rsid w:val="0006082D"/>
    <w:rsid w:val="0006082E"/>
    <w:rsid w:val="00061177"/>
    <w:rsid w:val="000625AE"/>
    <w:rsid w:val="0006284E"/>
    <w:rsid w:val="00062C64"/>
    <w:rsid w:val="0006348E"/>
    <w:rsid w:val="00063871"/>
    <w:rsid w:val="00063F13"/>
    <w:rsid w:val="00064483"/>
    <w:rsid w:val="000646A1"/>
    <w:rsid w:val="00064BB0"/>
    <w:rsid w:val="00067415"/>
    <w:rsid w:val="0006766C"/>
    <w:rsid w:val="000703AB"/>
    <w:rsid w:val="0007197A"/>
    <w:rsid w:val="00071B5D"/>
    <w:rsid w:val="00071CFF"/>
    <w:rsid w:val="00074220"/>
    <w:rsid w:val="000744CF"/>
    <w:rsid w:val="0007473A"/>
    <w:rsid w:val="00074E42"/>
    <w:rsid w:val="00074F04"/>
    <w:rsid w:val="00075462"/>
    <w:rsid w:val="00075504"/>
    <w:rsid w:val="000766E9"/>
    <w:rsid w:val="00076A8B"/>
    <w:rsid w:val="00077689"/>
    <w:rsid w:val="000777D1"/>
    <w:rsid w:val="00077BAA"/>
    <w:rsid w:val="00080072"/>
    <w:rsid w:val="00080246"/>
    <w:rsid w:val="00080B61"/>
    <w:rsid w:val="00080DC4"/>
    <w:rsid w:val="000811F7"/>
    <w:rsid w:val="00081A01"/>
    <w:rsid w:val="00081C92"/>
    <w:rsid w:val="00081DAE"/>
    <w:rsid w:val="0008213C"/>
    <w:rsid w:val="000822CA"/>
    <w:rsid w:val="0008262C"/>
    <w:rsid w:val="0008266C"/>
    <w:rsid w:val="00082CAF"/>
    <w:rsid w:val="00082CFC"/>
    <w:rsid w:val="00082F7E"/>
    <w:rsid w:val="0008318E"/>
    <w:rsid w:val="000835EC"/>
    <w:rsid w:val="00083941"/>
    <w:rsid w:val="00083B39"/>
    <w:rsid w:val="00083C66"/>
    <w:rsid w:val="00085549"/>
    <w:rsid w:val="00085569"/>
    <w:rsid w:val="0008566F"/>
    <w:rsid w:val="000871D0"/>
    <w:rsid w:val="00087576"/>
    <w:rsid w:val="00087ACB"/>
    <w:rsid w:val="0009078D"/>
    <w:rsid w:val="00090BD8"/>
    <w:rsid w:val="00091734"/>
    <w:rsid w:val="0009184C"/>
    <w:rsid w:val="00091AA1"/>
    <w:rsid w:val="0009258B"/>
    <w:rsid w:val="000926F7"/>
    <w:rsid w:val="00092A97"/>
    <w:rsid w:val="0009303D"/>
    <w:rsid w:val="00093AFC"/>
    <w:rsid w:val="00094121"/>
    <w:rsid w:val="00094144"/>
    <w:rsid w:val="00094175"/>
    <w:rsid w:val="00094666"/>
    <w:rsid w:val="0009512B"/>
    <w:rsid w:val="000952CD"/>
    <w:rsid w:val="000961CF"/>
    <w:rsid w:val="00096D78"/>
    <w:rsid w:val="00096E04"/>
    <w:rsid w:val="00096EA9"/>
    <w:rsid w:val="000976C7"/>
    <w:rsid w:val="00097BCE"/>
    <w:rsid w:val="00097BE4"/>
    <w:rsid w:val="00097E26"/>
    <w:rsid w:val="000A0745"/>
    <w:rsid w:val="000A0947"/>
    <w:rsid w:val="000A10D7"/>
    <w:rsid w:val="000A1D1E"/>
    <w:rsid w:val="000A1EF2"/>
    <w:rsid w:val="000A1F3A"/>
    <w:rsid w:val="000A24E5"/>
    <w:rsid w:val="000A2808"/>
    <w:rsid w:val="000A3ABA"/>
    <w:rsid w:val="000A459B"/>
    <w:rsid w:val="000A4632"/>
    <w:rsid w:val="000A46E3"/>
    <w:rsid w:val="000A4FEB"/>
    <w:rsid w:val="000A665D"/>
    <w:rsid w:val="000A6707"/>
    <w:rsid w:val="000A7349"/>
    <w:rsid w:val="000A76C3"/>
    <w:rsid w:val="000A785F"/>
    <w:rsid w:val="000A7BA7"/>
    <w:rsid w:val="000B0168"/>
    <w:rsid w:val="000B0714"/>
    <w:rsid w:val="000B0F3F"/>
    <w:rsid w:val="000B1760"/>
    <w:rsid w:val="000B1D06"/>
    <w:rsid w:val="000B278D"/>
    <w:rsid w:val="000B31AB"/>
    <w:rsid w:val="000B4A90"/>
    <w:rsid w:val="000B55A5"/>
    <w:rsid w:val="000B6444"/>
    <w:rsid w:val="000B7250"/>
    <w:rsid w:val="000B73B7"/>
    <w:rsid w:val="000B785B"/>
    <w:rsid w:val="000B7864"/>
    <w:rsid w:val="000B7FB6"/>
    <w:rsid w:val="000C1158"/>
    <w:rsid w:val="000C249C"/>
    <w:rsid w:val="000C2571"/>
    <w:rsid w:val="000C38B2"/>
    <w:rsid w:val="000C41FB"/>
    <w:rsid w:val="000C4A47"/>
    <w:rsid w:val="000C5059"/>
    <w:rsid w:val="000C5BA8"/>
    <w:rsid w:val="000C6244"/>
    <w:rsid w:val="000C69E4"/>
    <w:rsid w:val="000C6A33"/>
    <w:rsid w:val="000C6D38"/>
    <w:rsid w:val="000C71FE"/>
    <w:rsid w:val="000C7448"/>
    <w:rsid w:val="000D051E"/>
    <w:rsid w:val="000D073F"/>
    <w:rsid w:val="000D0B6C"/>
    <w:rsid w:val="000D0D7E"/>
    <w:rsid w:val="000D0DFA"/>
    <w:rsid w:val="000D0EAE"/>
    <w:rsid w:val="000D0ED0"/>
    <w:rsid w:val="000D1322"/>
    <w:rsid w:val="000D2090"/>
    <w:rsid w:val="000D2186"/>
    <w:rsid w:val="000D2B94"/>
    <w:rsid w:val="000D30D4"/>
    <w:rsid w:val="000D320E"/>
    <w:rsid w:val="000D328C"/>
    <w:rsid w:val="000D4194"/>
    <w:rsid w:val="000D42C8"/>
    <w:rsid w:val="000D475E"/>
    <w:rsid w:val="000D4AA0"/>
    <w:rsid w:val="000D4ED7"/>
    <w:rsid w:val="000D5596"/>
    <w:rsid w:val="000D5E4C"/>
    <w:rsid w:val="000D6059"/>
    <w:rsid w:val="000D67D2"/>
    <w:rsid w:val="000D6E3F"/>
    <w:rsid w:val="000D789D"/>
    <w:rsid w:val="000D7BEB"/>
    <w:rsid w:val="000E01D3"/>
    <w:rsid w:val="000E07CA"/>
    <w:rsid w:val="000E0C79"/>
    <w:rsid w:val="000E143B"/>
    <w:rsid w:val="000E28AF"/>
    <w:rsid w:val="000E3737"/>
    <w:rsid w:val="000E48B3"/>
    <w:rsid w:val="000E4F08"/>
    <w:rsid w:val="000E4FB4"/>
    <w:rsid w:val="000E5A42"/>
    <w:rsid w:val="000E631A"/>
    <w:rsid w:val="000E6761"/>
    <w:rsid w:val="000E6FE0"/>
    <w:rsid w:val="000E70EE"/>
    <w:rsid w:val="000E74A0"/>
    <w:rsid w:val="000F04EE"/>
    <w:rsid w:val="000F04FC"/>
    <w:rsid w:val="000F1276"/>
    <w:rsid w:val="000F140C"/>
    <w:rsid w:val="000F1647"/>
    <w:rsid w:val="000F1965"/>
    <w:rsid w:val="000F23F1"/>
    <w:rsid w:val="000F443C"/>
    <w:rsid w:val="000F4679"/>
    <w:rsid w:val="000F4FAF"/>
    <w:rsid w:val="000F56FF"/>
    <w:rsid w:val="000F5B9B"/>
    <w:rsid w:val="000F61B3"/>
    <w:rsid w:val="000F6DC6"/>
    <w:rsid w:val="001002C4"/>
    <w:rsid w:val="00100B92"/>
    <w:rsid w:val="00101141"/>
    <w:rsid w:val="001011DC"/>
    <w:rsid w:val="001022FD"/>
    <w:rsid w:val="001028EB"/>
    <w:rsid w:val="00103330"/>
    <w:rsid w:val="00103DCE"/>
    <w:rsid w:val="00104DE3"/>
    <w:rsid w:val="00104F6F"/>
    <w:rsid w:val="00105630"/>
    <w:rsid w:val="00106E26"/>
    <w:rsid w:val="0010703E"/>
    <w:rsid w:val="00110131"/>
    <w:rsid w:val="0011080B"/>
    <w:rsid w:val="0011132D"/>
    <w:rsid w:val="001115C3"/>
    <w:rsid w:val="00111C1E"/>
    <w:rsid w:val="00111DB6"/>
    <w:rsid w:val="00111ED1"/>
    <w:rsid w:val="00112691"/>
    <w:rsid w:val="00112C07"/>
    <w:rsid w:val="00113897"/>
    <w:rsid w:val="00113E6F"/>
    <w:rsid w:val="001155C0"/>
    <w:rsid w:val="00115776"/>
    <w:rsid w:val="00115892"/>
    <w:rsid w:val="00115BF4"/>
    <w:rsid w:val="00120C35"/>
    <w:rsid w:val="00120F33"/>
    <w:rsid w:val="00121242"/>
    <w:rsid w:val="00121FEA"/>
    <w:rsid w:val="00122100"/>
    <w:rsid w:val="00123828"/>
    <w:rsid w:val="00123A92"/>
    <w:rsid w:val="00123C39"/>
    <w:rsid w:val="00123D09"/>
    <w:rsid w:val="00123DF1"/>
    <w:rsid w:val="0012442D"/>
    <w:rsid w:val="001247E2"/>
    <w:rsid w:val="00124AF4"/>
    <w:rsid w:val="001259EE"/>
    <w:rsid w:val="00125A67"/>
    <w:rsid w:val="00125DC6"/>
    <w:rsid w:val="00125ED0"/>
    <w:rsid w:val="00125F32"/>
    <w:rsid w:val="00126487"/>
    <w:rsid w:val="001265CE"/>
    <w:rsid w:val="00126672"/>
    <w:rsid w:val="00126C75"/>
    <w:rsid w:val="0012703C"/>
    <w:rsid w:val="00130091"/>
    <w:rsid w:val="00130A6F"/>
    <w:rsid w:val="00131227"/>
    <w:rsid w:val="001314DE"/>
    <w:rsid w:val="00133EB2"/>
    <w:rsid w:val="00134945"/>
    <w:rsid w:val="0013502E"/>
    <w:rsid w:val="00135131"/>
    <w:rsid w:val="00135CA3"/>
    <w:rsid w:val="00135E41"/>
    <w:rsid w:val="00136277"/>
    <w:rsid w:val="0013630B"/>
    <w:rsid w:val="0013671D"/>
    <w:rsid w:val="00136815"/>
    <w:rsid w:val="001374A9"/>
    <w:rsid w:val="00137B2A"/>
    <w:rsid w:val="00137D42"/>
    <w:rsid w:val="0014044D"/>
    <w:rsid w:val="00140743"/>
    <w:rsid w:val="0014075D"/>
    <w:rsid w:val="00140A8E"/>
    <w:rsid w:val="00140F98"/>
    <w:rsid w:val="0014143E"/>
    <w:rsid w:val="00141666"/>
    <w:rsid w:val="00141FC9"/>
    <w:rsid w:val="00142039"/>
    <w:rsid w:val="001421DA"/>
    <w:rsid w:val="001425C4"/>
    <w:rsid w:val="00142DC5"/>
    <w:rsid w:val="00142EF3"/>
    <w:rsid w:val="0014368D"/>
    <w:rsid w:val="00143878"/>
    <w:rsid w:val="00143A82"/>
    <w:rsid w:val="00143DF5"/>
    <w:rsid w:val="00143F2D"/>
    <w:rsid w:val="001441DC"/>
    <w:rsid w:val="001445ED"/>
    <w:rsid w:val="0014472D"/>
    <w:rsid w:val="001447FE"/>
    <w:rsid w:val="001450C6"/>
    <w:rsid w:val="0014560B"/>
    <w:rsid w:val="001456DD"/>
    <w:rsid w:val="00145FEF"/>
    <w:rsid w:val="00146005"/>
    <w:rsid w:val="00147244"/>
    <w:rsid w:val="001472D7"/>
    <w:rsid w:val="00147DE4"/>
    <w:rsid w:val="00147FF1"/>
    <w:rsid w:val="001501D5"/>
    <w:rsid w:val="00150619"/>
    <w:rsid w:val="001509B1"/>
    <w:rsid w:val="00151196"/>
    <w:rsid w:val="001512C7"/>
    <w:rsid w:val="001518AE"/>
    <w:rsid w:val="00151A54"/>
    <w:rsid w:val="001521F9"/>
    <w:rsid w:val="001525D3"/>
    <w:rsid w:val="00152A97"/>
    <w:rsid w:val="00153032"/>
    <w:rsid w:val="001539FA"/>
    <w:rsid w:val="00153D14"/>
    <w:rsid w:val="001543DB"/>
    <w:rsid w:val="00154815"/>
    <w:rsid w:val="00154BA8"/>
    <w:rsid w:val="00154C4D"/>
    <w:rsid w:val="00154FB7"/>
    <w:rsid w:val="00155171"/>
    <w:rsid w:val="00155212"/>
    <w:rsid w:val="001559EB"/>
    <w:rsid w:val="00156558"/>
    <w:rsid w:val="00157451"/>
    <w:rsid w:val="0016049B"/>
    <w:rsid w:val="00160F4C"/>
    <w:rsid w:val="00161BDE"/>
    <w:rsid w:val="00162792"/>
    <w:rsid w:val="00162CFA"/>
    <w:rsid w:val="00162E81"/>
    <w:rsid w:val="001633CC"/>
    <w:rsid w:val="00164790"/>
    <w:rsid w:val="0016490D"/>
    <w:rsid w:val="00165648"/>
    <w:rsid w:val="001659A0"/>
    <w:rsid w:val="00165C2C"/>
    <w:rsid w:val="00166F9D"/>
    <w:rsid w:val="00167498"/>
    <w:rsid w:val="0016759C"/>
    <w:rsid w:val="001678B1"/>
    <w:rsid w:val="00167EEE"/>
    <w:rsid w:val="0017025B"/>
    <w:rsid w:val="0017052B"/>
    <w:rsid w:val="00170B29"/>
    <w:rsid w:val="00170BAF"/>
    <w:rsid w:val="00171355"/>
    <w:rsid w:val="0017143C"/>
    <w:rsid w:val="00172BB7"/>
    <w:rsid w:val="00172C14"/>
    <w:rsid w:val="00173025"/>
    <w:rsid w:val="00173152"/>
    <w:rsid w:val="00173C8F"/>
    <w:rsid w:val="00173D75"/>
    <w:rsid w:val="001741ED"/>
    <w:rsid w:val="00174356"/>
    <w:rsid w:val="001745A8"/>
    <w:rsid w:val="00175768"/>
    <w:rsid w:val="001767D6"/>
    <w:rsid w:val="00176DB3"/>
    <w:rsid w:val="001772DA"/>
    <w:rsid w:val="00180E9E"/>
    <w:rsid w:val="00181713"/>
    <w:rsid w:val="00182F1A"/>
    <w:rsid w:val="0018334B"/>
    <w:rsid w:val="0018383B"/>
    <w:rsid w:val="00184FAD"/>
    <w:rsid w:val="00185AA7"/>
    <w:rsid w:val="0018781C"/>
    <w:rsid w:val="00187F5D"/>
    <w:rsid w:val="00187FEE"/>
    <w:rsid w:val="00190827"/>
    <w:rsid w:val="00190D2B"/>
    <w:rsid w:val="001921B0"/>
    <w:rsid w:val="0019223E"/>
    <w:rsid w:val="00194473"/>
    <w:rsid w:val="00194815"/>
    <w:rsid w:val="00194C97"/>
    <w:rsid w:val="00194E90"/>
    <w:rsid w:val="001952FE"/>
    <w:rsid w:val="0019596D"/>
    <w:rsid w:val="00195A75"/>
    <w:rsid w:val="0019643A"/>
    <w:rsid w:val="00196975"/>
    <w:rsid w:val="00196D04"/>
    <w:rsid w:val="001975A9"/>
    <w:rsid w:val="00197A79"/>
    <w:rsid w:val="001A0030"/>
    <w:rsid w:val="001A0655"/>
    <w:rsid w:val="001A0ACE"/>
    <w:rsid w:val="001A1098"/>
    <w:rsid w:val="001A1BD5"/>
    <w:rsid w:val="001A1F97"/>
    <w:rsid w:val="001A2617"/>
    <w:rsid w:val="001A2818"/>
    <w:rsid w:val="001A314D"/>
    <w:rsid w:val="001A3325"/>
    <w:rsid w:val="001A36EE"/>
    <w:rsid w:val="001A36F7"/>
    <w:rsid w:val="001A3EFB"/>
    <w:rsid w:val="001A4510"/>
    <w:rsid w:val="001A4F66"/>
    <w:rsid w:val="001A54A0"/>
    <w:rsid w:val="001A6950"/>
    <w:rsid w:val="001A6CFE"/>
    <w:rsid w:val="001A6FE0"/>
    <w:rsid w:val="001A740F"/>
    <w:rsid w:val="001A74F4"/>
    <w:rsid w:val="001A797A"/>
    <w:rsid w:val="001A7ACA"/>
    <w:rsid w:val="001B0318"/>
    <w:rsid w:val="001B0623"/>
    <w:rsid w:val="001B0C84"/>
    <w:rsid w:val="001B13CA"/>
    <w:rsid w:val="001B1781"/>
    <w:rsid w:val="001B202C"/>
    <w:rsid w:val="001B26FF"/>
    <w:rsid w:val="001B3041"/>
    <w:rsid w:val="001B3727"/>
    <w:rsid w:val="001B387E"/>
    <w:rsid w:val="001B4033"/>
    <w:rsid w:val="001B45E4"/>
    <w:rsid w:val="001B4BD8"/>
    <w:rsid w:val="001B5485"/>
    <w:rsid w:val="001B5E93"/>
    <w:rsid w:val="001B69C6"/>
    <w:rsid w:val="001B72F8"/>
    <w:rsid w:val="001B741C"/>
    <w:rsid w:val="001B76EE"/>
    <w:rsid w:val="001C0565"/>
    <w:rsid w:val="001C180D"/>
    <w:rsid w:val="001C1F3D"/>
    <w:rsid w:val="001C2349"/>
    <w:rsid w:val="001C27AE"/>
    <w:rsid w:val="001C2D4A"/>
    <w:rsid w:val="001C357E"/>
    <w:rsid w:val="001C4000"/>
    <w:rsid w:val="001C4292"/>
    <w:rsid w:val="001C5AC5"/>
    <w:rsid w:val="001C6E2A"/>
    <w:rsid w:val="001C7673"/>
    <w:rsid w:val="001C7DD9"/>
    <w:rsid w:val="001D0419"/>
    <w:rsid w:val="001D05A4"/>
    <w:rsid w:val="001D1028"/>
    <w:rsid w:val="001D16B6"/>
    <w:rsid w:val="001D1F2E"/>
    <w:rsid w:val="001D2AC5"/>
    <w:rsid w:val="001D2CBE"/>
    <w:rsid w:val="001D2F40"/>
    <w:rsid w:val="001D3A22"/>
    <w:rsid w:val="001D3E85"/>
    <w:rsid w:val="001D4B9B"/>
    <w:rsid w:val="001D4D25"/>
    <w:rsid w:val="001D4F0C"/>
    <w:rsid w:val="001D5347"/>
    <w:rsid w:val="001D57C0"/>
    <w:rsid w:val="001D5993"/>
    <w:rsid w:val="001D5BF9"/>
    <w:rsid w:val="001D605E"/>
    <w:rsid w:val="001D60FE"/>
    <w:rsid w:val="001D7EA7"/>
    <w:rsid w:val="001E01D1"/>
    <w:rsid w:val="001E07F3"/>
    <w:rsid w:val="001E0B38"/>
    <w:rsid w:val="001E1190"/>
    <w:rsid w:val="001E13F4"/>
    <w:rsid w:val="001E15B0"/>
    <w:rsid w:val="001E29F2"/>
    <w:rsid w:val="001E36FF"/>
    <w:rsid w:val="001E3870"/>
    <w:rsid w:val="001E55C5"/>
    <w:rsid w:val="001E5768"/>
    <w:rsid w:val="001E5D1F"/>
    <w:rsid w:val="001E6E61"/>
    <w:rsid w:val="001E7105"/>
    <w:rsid w:val="001E7F54"/>
    <w:rsid w:val="001E7FFD"/>
    <w:rsid w:val="001F0044"/>
    <w:rsid w:val="001F0BFA"/>
    <w:rsid w:val="001F1989"/>
    <w:rsid w:val="001F28E2"/>
    <w:rsid w:val="001F3B71"/>
    <w:rsid w:val="001F4B7A"/>
    <w:rsid w:val="001F4C19"/>
    <w:rsid w:val="001F5612"/>
    <w:rsid w:val="001F5896"/>
    <w:rsid w:val="001F5FDD"/>
    <w:rsid w:val="001F63CB"/>
    <w:rsid w:val="0020021D"/>
    <w:rsid w:val="00200553"/>
    <w:rsid w:val="002005BF"/>
    <w:rsid w:val="00201839"/>
    <w:rsid w:val="00201F11"/>
    <w:rsid w:val="00202DAF"/>
    <w:rsid w:val="0020305A"/>
    <w:rsid w:val="00203511"/>
    <w:rsid w:val="00203E1E"/>
    <w:rsid w:val="002050BA"/>
    <w:rsid w:val="0020549F"/>
    <w:rsid w:val="00206E6B"/>
    <w:rsid w:val="002103C7"/>
    <w:rsid w:val="002115A6"/>
    <w:rsid w:val="002119EE"/>
    <w:rsid w:val="00211BC2"/>
    <w:rsid w:val="00212E68"/>
    <w:rsid w:val="00213387"/>
    <w:rsid w:val="00213470"/>
    <w:rsid w:val="002135A8"/>
    <w:rsid w:val="00214341"/>
    <w:rsid w:val="002143A3"/>
    <w:rsid w:val="00215134"/>
    <w:rsid w:val="00215552"/>
    <w:rsid w:val="00215739"/>
    <w:rsid w:val="00216784"/>
    <w:rsid w:val="00217435"/>
    <w:rsid w:val="00217885"/>
    <w:rsid w:val="00217AD6"/>
    <w:rsid w:val="00217F5F"/>
    <w:rsid w:val="00220C94"/>
    <w:rsid w:val="00220DDD"/>
    <w:rsid w:val="00221466"/>
    <w:rsid w:val="00222522"/>
    <w:rsid w:val="002229CD"/>
    <w:rsid w:val="00222D15"/>
    <w:rsid w:val="00222E51"/>
    <w:rsid w:val="002233AF"/>
    <w:rsid w:val="0022393C"/>
    <w:rsid w:val="00223A4B"/>
    <w:rsid w:val="00223C8F"/>
    <w:rsid w:val="00223FF2"/>
    <w:rsid w:val="002248A1"/>
    <w:rsid w:val="0022510A"/>
    <w:rsid w:val="00225493"/>
    <w:rsid w:val="002259F6"/>
    <w:rsid w:val="00226653"/>
    <w:rsid w:val="00227818"/>
    <w:rsid w:val="00227FB9"/>
    <w:rsid w:val="0023006D"/>
    <w:rsid w:val="00230302"/>
    <w:rsid w:val="0023075C"/>
    <w:rsid w:val="00230BBF"/>
    <w:rsid w:val="00230F30"/>
    <w:rsid w:val="0023133E"/>
    <w:rsid w:val="00231843"/>
    <w:rsid w:val="00231AB0"/>
    <w:rsid w:val="00231BF3"/>
    <w:rsid w:val="00231E11"/>
    <w:rsid w:val="002330C5"/>
    <w:rsid w:val="002340F3"/>
    <w:rsid w:val="002347C0"/>
    <w:rsid w:val="00235179"/>
    <w:rsid w:val="00235C0B"/>
    <w:rsid w:val="00235D3F"/>
    <w:rsid w:val="00235DB6"/>
    <w:rsid w:val="002378CF"/>
    <w:rsid w:val="00237FF1"/>
    <w:rsid w:val="002402BB"/>
    <w:rsid w:val="0024147B"/>
    <w:rsid w:val="002416DF"/>
    <w:rsid w:val="002417B0"/>
    <w:rsid w:val="00241838"/>
    <w:rsid w:val="00241E96"/>
    <w:rsid w:val="0024223B"/>
    <w:rsid w:val="00242AC5"/>
    <w:rsid w:val="00242C22"/>
    <w:rsid w:val="0024463D"/>
    <w:rsid w:val="00244BAB"/>
    <w:rsid w:val="002450A7"/>
    <w:rsid w:val="00245116"/>
    <w:rsid w:val="00245A34"/>
    <w:rsid w:val="00245AEA"/>
    <w:rsid w:val="00246163"/>
    <w:rsid w:val="00246242"/>
    <w:rsid w:val="00246D5A"/>
    <w:rsid w:val="00246EE6"/>
    <w:rsid w:val="002479E2"/>
    <w:rsid w:val="00250743"/>
    <w:rsid w:val="00250A71"/>
    <w:rsid w:val="00250FDC"/>
    <w:rsid w:val="002521A7"/>
    <w:rsid w:val="00252636"/>
    <w:rsid w:val="0025319D"/>
    <w:rsid w:val="00253696"/>
    <w:rsid w:val="00253734"/>
    <w:rsid w:val="00254DDC"/>
    <w:rsid w:val="00254E56"/>
    <w:rsid w:val="00254E6C"/>
    <w:rsid w:val="0025533E"/>
    <w:rsid w:val="0025632B"/>
    <w:rsid w:val="00256336"/>
    <w:rsid w:val="00256687"/>
    <w:rsid w:val="00256829"/>
    <w:rsid w:val="002575EE"/>
    <w:rsid w:val="0025786A"/>
    <w:rsid w:val="00257E7C"/>
    <w:rsid w:val="00260004"/>
    <w:rsid w:val="002603C4"/>
    <w:rsid w:val="00260B4C"/>
    <w:rsid w:val="00260FC5"/>
    <w:rsid w:val="0026121D"/>
    <w:rsid w:val="002614F8"/>
    <w:rsid w:val="00261D22"/>
    <w:rsid w:val="00261ED4"/>
    <w:rsid w:val="00262711"/>
    <w:rsid w:val="0026278E"/>
    <w:rsid w:val="00262A0A"/>
    <w:rsid w:val="00263993"/>
    <w:rsid w:val="002654F8"/>
    <w:rsid w:val="00265604"/>
    <w:rsid w:val="00266081"/>
    <w:rsid w:val="00266E54"/>
    <w:rsid w:val="00266EAC"/>
    <w:rsid w:val="00267565"/>
    <w:rsid w:val="002678A7"/>
    <w:rsid w:val="002708BF"/>
    <w:rsid w:val="00270A00"/>
    <w:rsid w:val="00270D0C"/>
    <w:rsid w:val="00270E07"/>
    <w:rsid w:val="00271237"/>
    <w:rsid w:val="00271251"/>
    <w:rsid w:val="002712D1"/>
    <w:rsid w:val="00271799"/>
    <w:rsid w:val="00271B81"/>
    <w:rsid w:val="00272BFA"/>
    <w:rsid w:val="00273265"/>
    <w:rsid w:val="00273C30"/>
    <w:rsid w:val="002741C9"/>
    <w:rsid w:val="00274CD3"/>
    <w:rsid w:val="00275518"/>
    <w:rsid w:val="00276593"/>
    <w:rsid w:val="002768AE"/>
    <w:rsid w:val="00276E11"/>
    <w:rsid w:val="002771C6"/>
    <w:rsid w:val="0027775F"/>
    <w:rsid w:val="00277978"/>
    <w:rsid w:val="00277A0A"/>
    <w:rsid w:val="0028149B"/>
    <w:rsid w:val="00282408"/>
    <w:rsid w:val="002839CB"/>
    <w:rsid w:val="00284DA2"/>
    <w:rsid w:val="00284F60"/>
    <w:rsid w:val="002850D3"/>
    <w:rsid w:val="0028587C"/>
    <w:rsid w:val="00286511"/>
    <w:rsid w:val="0028661D"/>
    <w:rsid w:val="0028685F"/>
    <w:rsid w:val="00286884"/>
    <w:rsid w:val="00286C28"/>
    <w:rsid w:val="00286C9A"/>
    <w:rsid w:val="0028762A"/>
    <w:rsid w:val="002878A3"/>
    <w:rsid w:val="00287C3E"/>
    <w:rsid w:val="0029110C"/>
    <w:rsid w:val="002918AF"/>
    <w:rsid w:val="00291BE9"/>
    <w:rsid w:val="002923D4"/>
    <w:rsid w:val="002924B7"/>
    <w:rsid w:val="00292C3C"/>
    <w:rsid w:val="00293CB1"/>
    <w:rsid w:val="002949E0"/>
    <w:rsid w:val="00294E62"/>
    <w:rsid w:val="00294E9A"/>
    <w:rsid w:val="00295988"/>
    <w:rsid w:val="00295BE0"/>
    <w:rsid w:val="002967DE"/>
    <w:rsid w:val="00297A0C"/>
    <w:rsid w:val="00297EE1"/>
    <w:rsid w:val="002A0EE8"/>
    <w:rsid w:val="002A11F9"/>
    <w:rsid w:val="002A199D"/>
    <w:rsid w:val="002A2011"/>
    <w:rsid w:val="002A32F2"/>
    <w:rsid w:val="002A362A"/>
    <w:rsid w:val="002A415B"/>
    <w:rsid w:val="002A4623"/>
    <w:rsid w:val="002A48DA"/>
    <w:rsid w:val="002A4965"/>
    <w:rsid w:val="002A5072"/>
    <w:rsid w:val="002A54A7"/>
    <w:rsid w:val="002A56CD"/>
    <w:rsid w:val="002A5B6E"/>
    <w:rsid w:val="002A63B8"/>
    <w:rsid w:val="002A650F"/>
    <w:rsid w:val="002A67E7"/>
    <w:rsid w:val="002A72DB"/>
    <w:rsid w:val="002A7625"/>
    <w:rsid w:val="002A7840"/>
    <w:rsid w:val="002B04E1"/>
    <w:rsid w:val="002B05CA"/>
    <w:rsid w:val="002B05F6"/>
    <w:rsid w:val="002B1CD3"/>
    <w:rsid w:val="002B2859"/>
    <w:rsid w:val="002B3099"/>
    <w:rsid w:val="002B5698"/>
    <w:rsid w:val="002B6235"/>
    <w:rsid w:val="002B6458"/>
    <w:rsid w:val="002B7142"/>
    <w:rsid w:val="002B7A42"/>
    <w:rsid w:val="002B7B64"/>
    <w:rsid w:val="002B7C9B"/>
    <w:rsid w:val="002C074B"/>
    <w:rsid w:val="002C0942"/>
    <w:rsid w:val="002C0DC4"/>
    <w:rsid w:val="002C159A"/>
    <w:rsid w:val="002C18B7"/>
    <w:rsid w:val="002C2192"/>
    <w:rsid w:val="002C3EF5"/>
    <w:rsid w:val="002C413D"/>
    <w:rsid w:val="002C41D6"/>
    <w:rsid w:val="002C4DF2"/>
    <w:rsid w:val="002C525B"/>
    <w:rsid w:val="002C53C5"/>
    <w:rsid w:val="002C5933"/>
    <w:rsid w:val="002C59BC"/>
    <w:rsid w:val="002C657D"/>
    <w:rsid w:val="002C6F21"/>
    <w:rsid w:val="002C7091"/>
    <w:rsid w:val="002C7EC0"/>
    <w:rsid w:val="002D1ED7"/>
    <w:rsid w:val="002D2730"/>
    <w:rsid w:val="002D3099"/>
    <w:rsid w:val="002D3241"/>
    <w:rsid w:val="002D38E5"/>
    <w:rsid w:val="002D3CB2"/>
    <w:rsid w:val="002D4462"/>
    <w:rsid w:val="002D461B"/>
    <w:rsid w:val="002D4FF8"/>
    <w:rsid w:val="002D56D5"/>
    <w:rsid w:val="002D5963"/>
    <w:rsid w:val="002D6347"/>
    <w:rsid w:val="002D638B"/>
    <w:rsid w:val="002D646B"/>
    <w:rsid w:val="002D64F2"/>
    <w:rsid w:val="002D6700"/>
    <w:rsid w:val="002D6BA1"/>
    <w:rsid w:val="002D6BFA"/>
    <w:rsid w:val="002D762C"/>
    <w:rsid w:val="002D7641"/>
    <w:rsid w:val="002D79FD"/>
    <w:rsid w:val="002E0BC7"/>
    <w:rsid w:val="002E0C0C"/>
    <w:rsid w:val="002E0F39"/>
    <w:rsid w:val="002E1097"/>
    <w:rsid w:val="002E1428"/>
    <w:rsid w:val="002E1BB0"/>
    <w:rsid w:val="002E1E3B"/>
    <w:rsid w:val="002E206D"/>
    <w:rsid w:val="002E2990"/>
    <w:rsid w:val="002E3171"/>
    <w:rsid w:val="002E3223"/>
    <w:rsid w:val="002E3915"/>
    <w:rsid w:val="002E3F77"/>
    <w:rsid w:val="002E3F81"/>
    <w:rsid w:val="002E4747"/>
    <w:rsid w:val="002E50AB"/>
    <w:rsid w:val="002E51B6"/>
    <w:rsid w:val="002E56A4"/>
    <w:rsid w:val="002E56D7"/>
    <w:rsid w:val="002E5AB4"/>
    <w:rsid w:val="002E5DC0"/>
    <w:rsid w:val="002E631A"/>
    <w:rsid w:val="002E6C69"/>
    <w:rsid w:val="002E6FFD"/>
    <w:rsid w:val="002E7E08"/>
    <w:rsid w:val="002F00E7"/>
    <w:rsid w:val="002F020B"/>
    <w:rsid w:val="002F06D1"/>
    <w:rsid w:val="002F0B61"/>
    <w:rsid w:val="002F0B98"/>
    <w:rsid w:val="002F0BBA"/>
    <w:rsid w:val="002F0F30"/>
    <w:rsid w:val="002F1487"/>
    <w:rsid w:val="002F1BA1"/>
    <w:rsid w:val="002F1C24"/>
    <w:rsid w:val="002F244D"/>
    <w:rsid w:val="002F255C"/>
    <w:rsid w:val="002F3750"/>
    <w:rsid w:val="002F3A56"/>
    <w:rsid w:val="002F4672"/>
    <w:rsid w:val="002F4B2C"/>
    <w:rsid w:val="002F5402"/>
    <w:rsid w:val="002F6303"/>
    <w:rsid w:val="002F73E7"/>
    <w:rsid w:val="002F7847"/>
    <w:rsid w:val="003000E5"/>
    <w:rsid w:val="0030045C"/>
    <w:rsid w:val="003004F3"/>
    <w:rsid w:val="003007CD"/>
    <w:rsid w:val="00300893"/>
    <w:rsid w:val="0030147F"/>
    <w:rsid w:val="003014AD"/>
    <w:rsid w:val="00301CBF"/>
    <w:rsid w:val="003020BB"/>
    <w:rsid w:val="00302150"/>
    <w:rsid w:val="003021B8"/>
    <w:rsid w:val="0030293D"/>
    <w:rsid w:val="0030307E"/>
    <w:rsid w:val="0030326A"/>
    <w:rsid w:val="00303456"/>
    <w:rsid w:val="00303EDE"/>
    <w:rsid w:val="00303FE1"/>
    <w:rsid w:val="003044AE"/>
    <w:rsid w:val="003045EF"/>
    <w:rsid w:val="00304ABC"/>
    <w:rsid w:val="00304FD6"/>
    <w:rsid w:val="00305B31"/>
    <w:rsid w:val="003071E1"/>
    <w:rsid w:val="00307323"/>
    <w:rsid w:val="00307938"/>
    <w:rsid w:val="00307AD7"/>
    <w:rsid w:val="00310785"/>
    <w:rsid w:val="00310A8E"/>
    <w:rsid w:val="00310C8C"/>
    <w:rsid w:val="003110B9"/>
    <w:rsid w:val="003117E9"/>
    <w:rsid w:val="00311B6E"/>
    <w:rsid w:val="00311BBE"/>
    <w:rsid w:val="00311E87"/>
    <w:rsid w:val="003120BC"/>
    <w:rsid w:val="003124FD"/>
    <w:rsid w:val="00313335"/>
    <w:rsid w:val="00313542"/>
    <w:rsid w:val="003138A9"/>
    <w:rsid w:val="003138E4"/>
    <w:rsid w:val="0031408D"/>
    <w:rsid w:val="003144DB"/>
    <w:rsid w:val="00314514"/>
    <w:rsid w:val="00314960"/>
    <w:rsid w:val="003151A4"/>
    <w:rsid w:val="0031557F"/>
    <w:rsid w:val="003155D3"/>
    <w:rsid w:val="0031566C"/>
    <w:rsid w:val="00315DFB"/>
    <w:rsid w:val="00315EE0"/>
    <w:rsid w:val="0031672C"/>
    <w:rsid w:val="00316EB2"/>
    <w:rsid w:val="0031751D"/>
    <w:rsid w:val="00317523"/>
    <w:rsid w:val="003216E5"/>
    <w:rsid w:val="00321D38"/>
    <w:rsid w:val="00322740"/>
    <w:rsid w:val="00323844"/>
    <w:rsid w:val="003238A6"/>
    <w:rsid w:val="003248EF"/>
    <w:rsid w:val="00324E47"/>
    <w:rsid w:val="00325B26"/>
    <w:rsid w:val="00326C43"/>
    <w:rsid w:val="003273AE"/>
    <w:rsid w:val="003309D3"/>
    <w:rsid w:val="00330D92"/>
    <w:rsid w:val="0033104E"/>
    <w:rsid w:val="003318E5"/>
    <w:rsid w:val="00331F19"/>
    <w:rsid w:val="0033223D"/>
    <w:rsid w:val="00332FB5"/>
    <w:rsid w:val="00333177"/>
    <w:rsid w:val="003333FE"/>
    <w:rsid w:val="0033403E"/>
    <w:rsid w:val="00334514"/>
    <w:rsid w:val="00334CA9"/>
    <w:rsid w:val="003351EA"/>
    <w:rsid w:val="003354FB"/>
    <w:rsid w:val="00335FE9"/>
    <w:rsid w:val="00340273"/>
    <w:rsid w:val="003405CB"/>
    <w:rsid w:val="00340623"/>
    <w:rsid w:val="00340969"/>
    <w:rsid w:val="003418BD"/>
    <w:rsid w:val="00341DAE"/>
    <w:rsid w:val="00341DEE"/>
    <w:rsid w:val="00341F51"/>
    <w:rsid w:val="00342ACA"/>
    <w:rsid w:val="00343940"/>
    <w:rsid w:val="00343A44"/>
    <w:rsid w:val="00343A97"/>
    <w:rsid w:val="00344335"/>
    <w:rsid w:val="00344691"/>
    <w:rsid w:val="00344798"/>
    <w:rsid w:val="00344891"/>
    <w:rsid w:val="00344AD0"/>
    <w:rsid w:val="00345102"/>
    <w:rsid w:val="0034573F"/>
    <w:rsid w:val="003467AC"/>
    <w:rsid w:val="0034696B"/>
    <w:rsid w:val="0034746D"/>
    <w:rsid w:val="003474FF"/>
    <w:rsid w:val="00347E91"/>
    <w:rsid w:val="00350729"/>
    <w:rsid w:val="003507BB"/>
    <w:rsid w:val="00351EA4"/>
    <w:rsid w:val="00352144"/>
    <w:rsid w:val="00353624"/>
    <w:rsid w:val="00353E8D"/>
    <w:rsid w:val="00354D5E"/>
    <w:rsid w:val="00354E6D"/>
    <w:rsid w:val="003553AC"/>
    <w:rsid w:val="00355A36"/>
    <w:rsid w:val="00355B10"/>
    <w:rsid w:val="0035633E"/>
    <w:rsid w:val="00356837"/>
    <w:rsid w:val="0035731D"/>
    <w:rsid w:val="003573D3"/>
    <w:rsid w:val="00357861"/>
    <w:rsid w:val="00357FBC"/>
    <w:rsid w:val="00360037"/>
    <w:rsid w:val="003600B5"/>
    <w:rsid w:val="003605F0"/>
    <w:rsid w:val="0036092D"/>
    <w:rsid w:val="0036200B"/>
    <w:rsid w:val="00362845"/>
    <w:rsid w:val="00362F26"/>
    <w:rsid w:val="0036398B"/>
    <w:rsid w:val="00363C61"/>
    <w:rsid w:val="00365A97"/>
    <w:rsid w:val="00365AFA"/>
    <w:rsid w:val="003671ED"/>
    <w:rsid w:val="003672AB"/>
    <w:rsid w:val="00367439"/>
    <w:rsid w:val="00367450"/>
    <w:rsid w:val="003675A4"/>
    <w:rsid w:val="00367769"/>
    <w:rsid w:val="00371510"/>
    <w:rsid w:val="00371C4C"/>
    <w:rsid w:val="00373191"/>
    <w:rsid w:val="0037365E"/>
    <w:rsid w:val="00374231"/>
    <w:rsid w:val="00374473"/>
    <w:rsid w:val="00374552"/>
    <w:rsid w:val="00375A0F"/>
    <w:rsid w:val="00376178"/>
    <w:rsid w:val="0037647C"/>
    <w:rsid w:val="00376CEF"/>
    <w:rsid w:val="00376DC3"/>
    <w:rsid w:val="0038035A"/>
    <w:rsid w:val="00380BAA"/>
    <w:rsid w:val="00381272"/>
    <w:rsid w:val="00381EA8"/>
    <w:rsid w:val="0038249A"/>
    <w:rsid w:val="0038298F"/>
    <w:rsid w:val="00382C7D"/>
    <w:rsid w:val="00382D6E"/>
    <w:rsid w:val="003839D1"/>
    <w:rsid w:val="0038445D"/>
    <w:rsid w:val="003845DE"/>
    <w:rsid w:val="003845F4"/>
    <w:rsid w:val="00384D5E"/>
    <w:rsid w:val="003851CA"/>
    <w:rsid w:val="003858F9"/>
    <w:rsid w:val="00385A50"/>
    <w:rsid w:val="00385A9C"/>
    <w:rsid w:val="00386E2B"/>
    <w:rsid w:val="00387106"/>
    <w:rsid w:val="00391E15"/>
    <w:rsid w:val="00392441"/>
    <w:rsid w:val="0039257F"/>
    <w:rsid w:val="00392967"/>
    <w:rsid w:val="00392A4F"/>
    <w:rsid w:val="00392B81"/>
    <w:rsid w:val="00393455"/>
    <w:rsid w:val="00393567"/>
    <w:rsid w:val="00393C49"/>
    <w:rsid w:val="00394929"/>
    <w:rsid w:val="00394BB9"/>
    <w:rsid w:val="00396340"/>
    <w:rsid w:val="00396756"/>
    <w:rsid w:val="003973EC"/>
    <w:rsid w:val="003A009F"/>
    <w:rsid w:val="003A0136"/>
    <w:rsid w:val="003A03F1"/>
    <w:rsid w:val="003A0EB2"/>
    <w:rsid w:val="003A0FCD"/>
    <w:rsid w:val="003A0FFB"/>
    <w:rsid w:val="003A1195"/>
    <w:rsid w:val="003A12B5"/>
    <w:rsid w:val="003A1329"/>
    <w:rsid w:val="003A16DD"/>
    <w:rsid w:val="003A17FE"/>
    <w:rsid w:val="003A21A4"/>
    <w:rsid w:val="003A23C0"/>
    <w:rsid w:val="003A2451"/>
    <w:rsid w:val="003A2E8B"/>
    <w:rsid w:val="003A3252"/>
    <w:rsid w:val="003A34D6"/>
    <w:rsid w:val="003A386A"/>
    <w:rsid w:val="003A388A"/>
    <w:rsid w:val="003A3BED"/>
    <w:rsid w:val="003A4090"/>
    <w:rsid w:val="003A423C"/>
    <w:rsid w:val="003A44EC"/>
    <w:rsid w:val="003A468D"/>
    <w:rsid w:val="003A4896"/>
    <w:rsid w:val="003A4C00"/>
    <w:rsid w:val="003A4C22"/>
    <w:rsid w:val="003A4D47"/>
    <w:rsid w:val="003A5043"/>
    <w:rsid w:val="003A5551"/>
    <w:rsid w:val="003A5750"/>
    <w:rsid w:val="003A599D"/>
    <w:rsid w:val="003A6615"/>
    <w:rsid w:val="003A6DB6"/>
    <w:rsid w:val="003A7209"/>
    <w:rsid w:val="003A7481"/>
    <w:rsid w:val="003A7704"/>
    <w:rsid w:val="003A794F"/>
    <w:rsid w:val="003A7F82"/>
    <w:rsid w:val="003B0083"/>
    <w:rsid w:val="003B030D"/>
    <w:rsid w:val="003B0389"/>
    <w:rsid w:val="003B0C99"/>
    <w:rsid w:val="003B1046"/>
    <w:rsid w:val="003B1AAD"/>
    <w:rsid w:val="003B1BB8"/>
    <w:rsid w:val="003B1C82"/>
    <w:rsid w:val="003B1DDB"/>
    <w:rsid w:val="003B222B"/>
    <w:rsid w:val="003B2681"/>
    <w:rsid w:val="003B31A3"/>
    <w:rsid w:val="003B443C"/>
    <w:rsid w:val="003B4BFB"/>
    <w:rsid w:val="003B4F14"/>
    <w:rsid w:val="003B53E8"/>
    <w:rsid w:val="003B618E"/>
    <w:rsid w:val="003B6B3B"/>
    <w:rsid w:val="003B6C42"/>
    <w:rsid w:val="003B7A9C"/>
    <w:rsid w:val="003B7ED3"/>
    <w:rsid w:val="003C02B5"/>
    <w:rsid w:val="003C0B34"/>
    <w:rsid w:val="003C104F"/>
    <w:rsid w:val="003C1159"/>
    <w:rsid w:val="003C19DF"/>
    <w:rsid w:val="003C1C80"/>
    <w:rsid w:val="003C1D37"/>
    <w:rsid w:val="003C1FB0"/>
    <w:rsid w:val="003C226C"/>
    <w:rsid w:val="003C3BD3"/>
    <w:rsid w:val="003C434E"/>
    <w:rsid w:val="003C52FD"/>
    <w:rsid w:val="003C575D"/>
    <w:rsid w:val="003C66B3"/>
    <w:rsid w:val="003C6B3B"/>
    <w:rsid w:val="003C726D"/>
    <w:rsid w:val="003C7303"/>
    <w:rsid w:val="003C75BB"/>
    <w:rsid w:val="003D1495"/>
    <w:rsid w:val="003D200D"/>
    <w:rsid w:val="003D2D1B"/>
    <w:rsid w:val="003D316F"/>
    <w:rsid w:val="003D3BC2"/>
    <w:rsid w:val="003D3FAF"/>
    <w:rsid w:val="003D43B5"/>
    <w:rsid w:val="003D46DC"/>
    <w:rsid w:val="003D478A"/>
    <w:rsid w:val="003D53AB"/>
    <w:rsid w:val="003D6438"/>
    <w:rsid w:val="003D655F"/>
    <w:rsid w:val="003D663A"/>
    <w:rsid w:val="003D6FC6"/>
    <w:rsid w:val="003D7751"/>
    <w:rsid w:val="003E0462"/>
    <w:rsid w:val="003E057C"/>
    <w:rsid w:val="003E06F0"/>
    <w:rsid w:val="003E0DE5"/>
    <w:rsid w:val="003E15F1"/>
    <w:rsid w:val="003E1FB7"/>
    <w:rsid w:val="003E2044"/>
    <w:rsid w:val="003E280A"/>
    <w:rsid w:val="003E2B36"/>
    <w:rsid w:val="003E2D6A"/>
    <w:rsid w:val="003E38D2"/>
    <w:rsid w:val="003E3C23"/>
    <w:rsid w:val="003E42BA"/>
    <w:rsid w:val="003E4637"/>
    <w:rsid w:val="003E4FB0"/>
    <w:rsid w:val="003E5641"/>
    <w:rsid w:val="003E5774"/>
    <w:rsid w:val="003E5A36"/>
    <w:rsid w:val="003E5B3E"/>
    <w:rsid w:val="003E661A"/>
    <w:rsid w:val="003E6FC3"/>
    <w:rsid w:val="003E7408"/>
    <w:rsid w:val="003F058A"/>
    <w:rsid w:val="003F0859"/>
    <w:rsid w:val="003F1072"/>
    <w:rsid w:val="003F1631"/>
    <w:rsid w:val="003F1643"/>
    <w:rsid w:val="003F1B82"/>
    <w:rsid w:val="003F1D8A"/>
    <w:rsid w:val="003F2935"/>
    <w:rsid w:val="003F336D"/>
    <w:rsid w:val="003F3578"/>
    <w:rsid w:val="003F3FA6"/>
    <w:rsid w:val="003F450C"/>
    <w:rsid w:val="003F469E"/>
    <w:rsid w:val="003F46BB"/>
    <w:rsid w:val="003F4C8E"/>
    <w:rsid w:val="003F4F3F"/>
    <w:rsid w:val="003F54D9"/>
    <w:rsid w:val="003F753E"/>
    <w:rsid w:val="003F7EB4"/>
    <w:rsid w:val="0040036E"/>
    <w:rsid w:val="0040065C"/>
    <w:rsid w:val="00400E53"/>
    <w:rsid w:val="00400E89"/>
    <w:rsid w:val="004015E0"/>
    <w:rsid w:val="00401E7C"/>
    <w:rsid w:val="0040204D"/>
    <w:rsid w:val="00402467"/>
    <w:rsid w:val="00402603"/>
    <w:rsid w:val="00402DE5"/>
    <w:rsid w:val="00403108"/>
    <w:rsid w:val="004037CC"/>
    <w:rsid w:val="0040386A"/>
    <w:rsid w:val="004039C8"/>
    <w:rsid w:val="00403F8A"/>
    <w:rsid w:val="00404601"/>
    <w:rsid w:val="00404E25"/>
    <w:rsid w:val="00405C78"/>
    <w:rsid w:val="00406164"/>
    <w:rsid w:val="004068C8"/>
    <w:rsid w:val="00406A4A"/>
    <w:rsid w:val="00406ABB"/>
    <w:rsid w:val="00406F33"/>
    <w:rsid w:val="00407130"/>
    <w:rsid w:val="00407240"/>
    <w:rsid w:val="0040760A"/>
    <w:rsid w:val="00407967"/>
    <w:rsid w:val="00407A3A"/>
    <w:rsid w:val="00407CEA"/>
    <w:rsid w:val="00407D4C"/>
    <w:rsid w:val="00407D9E"/>
    <w:rsid w:val="004111E1"/>
    <w:rsid w:val="00411650"/>
    <w:rsid w:val="00412B42"/>
    <w:rsid w:val="00413C41"/>
    <w:rsid w:val="00413FEA"/>
    <w:rsid w:val="004144C7"/>
    <w:rsid w:val="00414968"/>
    <w:rsid w:val="00414D95"/>
    <w:rsid w:val="004151F9"/>
    <w:rsid w:val="00415609"/>
    <w:rsid w:val="004156A3"/>
    <w:rsid w:val="00417554"/>
    <w:rsid w:val="004176B6"/>
    <w:rsid w:val="004178D4"/>
    <w:rsid w:val="00417DBE"/>
    <w:rsid w:val="00417E5D"/>
    <w:rsid w:val="00420146"/>
    <w:rsid w:val="0042019F"/>
    <w:rsid w:val="00420234"/>
    <w:rsid w:val="00420385"/>
    <w:rsid w:val="004204D6"/>
    <w:rsid w:val="00420713"/>
    <w:rsid w:val="00421183"/>
    <w:rsid w:val="004211AF"/>
    <w:rsid w:val="004213E9"/>
    <w:rsid w:val="00421D97"/>
    <w:rsid w:val="00422883"/>
    <w:rsid w:val="00422D16"/>
    <w:rsid w:val="004244F9"/>
    <w:rsid w:val="00424ADF"/>
    <w:rsid w:val="00424D65"/>
    <w:rsid w:val="004254AD"/>
    <w:rsid w:val="004257A6"/>
    <w:rsid w:val="00425BD8"/>
    <w:rsid w:val="004266BD"/>
    <w:rsid w:val="004269A7"/>
    <w:rsid w:val="00427E5F"/>
    <w:rsid w:val="0043084E"/>
    <w:rsid w:val="00431BFD"/>
    <w:rsid w:val="00431F9F"/>
    <w:rsid w:val="00432BF6"/>
    <w:rsid w:val="004334BE"/>
    <w:rsid w:val="004335F7"/>
    <w:rsid w:val="00433718"/>
    <w:rsid w:val="004338B7"/>
    <w:rsid w:val="00433B20"/>
    <w:rsid w:val="00433F7B"/>
    <w:rsid w:val="0043444C"/>
    <w:rsid w:val="004348E2"/>
    <w:rsid w:val="00435C7E"/>
    <w:rsid w:val="004367F8"/>
    <w:rsid w:val="00436B8B"/>
    <w:rsid w:val="00437299"/>
    <w:rsid w:val="00437B80"/>
    <w:rsid w:val="00437F42"/>
    <w:rsid w:val="0044081D"/>
    <w:rsid w:val="004423BF"/>
    <w:rsid w:val="00442481"/>
    <w:rsid w:val="00442B6A"/>
    <w:rsid w:val="00442C53"/>
    <w:rsid w:val="00443C17"/>
    <w:rsid w:val="00444508"/>
    <w:rsid w:val="004448A3"/>
    <w:rsid w:val="0044491D"/>
    <w:rsid w:val="00444EEF"/>
    <w:rsid w:val="00444FA6"/>
    <w:rsid w:val="00445493"/>
    <w:rsid w:val="00445BF2"/>
    <w:rsid w:val="00445D9B"/>
    <w:rsid w:val="00445E72"/>
    <w:rsid w:val="00445E94"/>
    <w:rsid w:val="004475AA"/>
    <w:rsid w:val="00450069"/>
    <w:rsid w:val="004500E5"/>
    <w:rsid w:val="0045158A"/>
    <w:rsid w:val="00451D46"/>
    <w:rsid w:val="00451E85"/>
    <w:rsid w:val="0045274D"/>
    <w:rsid w:val="00453CFD"/>
    <w:rsid w:val="00453DB5"/>
    <w:rsid w:val="00454D65"/>
    <w:rsid w:val="004551A6"/>
    <w:rsid w:val="004552C7"/>
    <w:rsid w:val="00455991"/>
    <w:rsid w:val="00457346"/>
    <w:rsid w:val="004577D6"/>
    <w:rsid w:val="00460178"/>
    <w:rsid w:val="00460260"/>
    <w:rsid w:val="004616F2"/>
    <w:rsid w:val="004618C0"/>
    <w:rsid w:val="0046198D"/>
    <w:rsid w:val="00462D4E"/>
    <w:rsid w:val="00463574"/>
    <w:rsid w:val="00463E57"/>
    <w:rsid w:val="00464E2C"/>
    <w:rsid w:val="0046534B"/>
    <w:rsid w:val="0046547D"/>
    <w:rsid w:val="0046549C"/>
    <w:rsid w:val="00465B72"/>
    <w:rsid w:val="00465E5B"/>
    <w:rsid w:val="004667AB"/>
    <w:rsid w:val="00466DCE"/>
    <w:rsid w:val="00466F53"/>
    <w:rsid w:val="004675A7"/>
    <w:rsid w:val="00467959"/>
    <w:rsid w:val="00467B1D"/>
    <w:rsid w:val="00467FA6"/>
    <w:rsid w:val="0047038C"/>
    <w:rsid w:val="00472434"/>
    <w:rsid w:val="004727B7"/>
    <w:rsid w:val="00473BF3"/>
    <w:rsid w:val="00474B07"/>
    <w:rsid w:val="00474B7D"/>
    <w:rsid w:val="004756D3"/>
    <w:rsid w:val="0047578D"/>
    <w:rsid w:val="004762C5"/>
    <w:rsid w:val="00476700"/>
    <w:rsid w:val="00476F62"/>
    <w:rsid w:val="00476FC1"/>
    <w:rsid w:val="00477820"/>
    <w:rsid w:val="004778F8"/>
    <w:rsid w:val="00477AD2"/>
    <w:rsid w:val="00477FEE"/>
    <w:rsid w:val="00480178"/>
    <w:rsid w:val="004813ED"/>
    <w:rsid w:val="00481749"/>
    <w:rsid w:val="00481B36"/>
    <w:rsid w:val="00482137"/>
    <w:rsid w:val="00482764"/>
    <w:rsid w:val="00482A4D"/>
    <w:rsid w:val="00483686"/>
    <w:rsid w:val="0048388B"/>
    <w:rsid w:val="00484103"/>
    <w:rsid w:val="00484187"/>
    <w:rsid w:val="00484881"/>
    <w:rsid w:val="0048509D"/>
    <w:rsid w:val="0048649A"/>
    <w:rsid w:val="00486E7B"/>
    <w:rsid w:val="004871F8"/>
    <w:rsid w:val="004872CD"/>
    <w:rsid w:val="004875FD"/>
    <w:rsid w:val="004902F6"/>
    <w:rsid w:val="00490677"/>
    <w:rsid w:val="00490A4B"/>
    <w:rsid w:val="00490C78"/>
    <w:rsid w:val="004912BC"/>
    <w:rsid w:val="00493525"/>
    <w:rsid w:val="00493F0E"/>
    <w:rsid w:val="00494384"/>
    <w:rsid w:val="00494503"/>
    <w:rsid w:val="00494B6D"/>
    <w:rsid w:val="0049563B"/>
    <w:rsid w:val="004956D7"/>
    <w:rsid w:val="00496494"/>
    <w:rsid w:val="00496526"/>
    <w:rsid w:val="00496BF0"/>
    <w:rsid w:val="00496CA6"/>
    <w:rsid w:val="00496D15"/>
    <w:rsid w:val="00496FB6"/>
    <w:rsid w:val="004A0583"/>
    <w:rsid w:val="004A0AFF"/>
    <w:rsid w:val="004A0E96"/>
    <w:rsid w:val="004A100B"/>
    <w:rsid w:val="004A13CE"/>
    <w:rsid w:val="004A1C96"/>
    <w:rsid w:val="004A1F63"/>
    <w:rsid w:val="004A2664"/>
    <w:rsid w:val="004A2BB5"/>
    <w:rsid w:val="004A3B14"/>
    <w:rsid w:val="004A3DC8"/>
    <w:rsid w:val="004A41CD"/>
    <w:rsid w:val="004A42F9"/>
    <w:rsid w:val="004A436E"/>
    <w:rsid w:val="004A4451"/>
    <w:rsid w:val="004A4E98"/>
    <w:rsid w:val="004A5046"/>
    <w:rsid w:val="004A5438"/>
    <w:rsid w:val="004A55FD"/>
    <w:rsid w:val="004A6152"/>
    <w:rsid w:val="004A6A4B"/>
    <w:rsid w:val="004A6BC2"/>
    <w:rsid w:val="004A79E3"/>
    <w:rsid w:val="004A7CFD"/>
    <w:rsid w:val="004A7E18"/>
    <w:rsid w:val="004B033A"/>
    <w:rsid w:val="004B135D"/>
    <w:rsid w:val="004B1DC5"/>
    <w:rsid w:val="004B25C5"/>
    <w:rsid w:val="004B2B03"/>
    <w:rsid w:val="004B3184"/>
    <w:rsid w:val="004B32EB"/>
    <w:rsid w:val="004B3559"/>
    <w:rsid w:val="004B363C"/>
    <w:rsid w:val="004B4131"/>
    <w:rsid w:val="004B41D5"/>
    <w:rsid w:val="004B4724"/>
    <w:rsid w:val="004B49C3"/>
    <w:rsid w:val="004B4B06"/>
    <w:rsid w:val="004B4DC4"/>
    <w:rsid w:val="004B4FD8"/>
    <w:rsid w:val="004B522E"/>
    <w:rsid w:val="004B5307"/>
    <w:rsid w:val="004B5C39"/>
    <w:rsid w:val="004B5F43"/>
    <w:rsid w:val="004B64E9"/>
    <w:rsid w:val="004B67B6"/>
    <w:rsid w:val="004B6B93"/>
    <w:rsid w:val="004B729B"/>
    <w:rsid w:val="004B738C"/>
    <w:rsid w:val="004B7B68"/>
    <w:rsid w:val="004B7C02"/>
    <w:rsid w:val="004B7CF2"/>
    <w:rsid w:val="004C00A6"/>
    <w:rsid w:val="004C0561"/>
    <w:rsid w:val="004C086E"/>
    <w:rsid w:val="004C0901"/>
    <w:rsid w:val="004C1A78"/>
    <w:rsid w:val="004C1D8B"/>
    <w:rsid w:val="004C22BC"/>
    <w:rsid w:val="004C291E"/>
    <w:rsid w:val="004C2A2D"/>
    <w:rsid w:val="004C3173"/>
    <w:rsid w:val="004C3263"/>
    <w:rsid w:val="004C3EE4"/>
    <w:rsid w:val="004C5199"/>
    <w:rsid w:val="004C5C5A"/>
    <w:rsid w:val="004C679A"/>
    <w:rsid w:val="004C693D"/>
    <w:rsid w:val="004C73E6"/>
    <w:rsid w:val="004C7768"/>
    <w:rsid w:val="004C797E"/>
    <w:rsid w:val="004C79E0"/>
    <w:rsid w:val="004D077E"/>
    <w:rsid w:val="004D08F6"/>
    <w:rsid w:val="004D10A7"/>
    <w:rsid w:val="004D16B1"/>
    <w:rsid w:val="004D236E"/>
    <w:rsid w:val="004D2A49"/>
    <w:rsid w:val="004D2C2D"/>
    <w:rsid w:val="004D37E1"/>
    <w:rsid w:val="004D3829"/>
    <w:rsid w:val="004D3AFD"/>
    <w:rsid w:val="004D3E2E"/>
    <w:rsid w:val="004D4728"/>
    <w:rsid w:val="004D52BC"/>
    <w:rsid w:val="004D5B15"/>
    <w:rsid w:val="004D6588"/>
    <w:rsid w:val="004D7362"/>
    <w:rsid w:val="004D75A3"/>
    <w:rsid w:val="004D76B0"/>
    <w:rsid w:val="004D76D9"/>
    <w:rsid w:val="004D7B0A"/>
    <w:rsid w:val="004E066A"/>
    <w:rsid w:val="004E06C6"/>
    <w:rsid w:val="004E092E"/>
    <w:rsid w:val="004E0BB9"/>
    <w:rsid w:val="004E0D70"/>
    <w:rsid w:val="004E105A"/>
    <w:rsid w:val="004E1257"/>
    <w:rsid w:val="004E186C"/>
    <w:rsid w:val="004E1DDC"/>
    <w:rsid w:val="004E2328"/>
    <w:rsid w:val="004E2D0E"/>
    <w:rsid w:val="004E311A"/>
    <w:rsid w:val="004E3ADE"/>
    <w:rsid w:val="004E4AA7"/>
    <w:rsid w:val="004E4E70"/>
    <w:rsid w:val="004E597A"/>
    <w:rsid w:val="004E663C"/>
    <w:rsid w:val="004E67F5"/>
    <w:rsid w:val="004F084A"/>
    <w:rsid w:val="004F0855"/>
    <w:rsid w:val="004F104A"/>
    <w:rsid w:val="004F12AC"/>
    <w:rsid w:val="004F1A91"/>
    <w:rsid w:val="004F1C56"/>
    <w:rsid w:val="004F1F86"/>
    <w:rsid w:val="004F2F6D"/>
    <w:rsid w:val="004F2FE3"/>
    <w:rsid w:val="004F31E0"/>
    <w:rsid w:val="004F3E22"/>
    <w:rsid w:val="004F4353"/>
    <w:rsid w:val="004F44E2"/>
    <w:rsid w:val="004F6FFE"/>
    <w:rsid w:val="004F7099"/>
    <w:rsid w:val="004F7263"/>
    <w:rsid w:val="004F74D7"/>
    <w:rsid w:val="004F7A7F"/>
    <w:rsid w:val="004F7B9F"/>
    <w:rsid w:val="004F7E0D"/>
    <w:rsid w:val="00500E56"/>
    <w:rsid w:val="00501831"/>
    <w:rsid w:val="00502D32"/>
    <w:rsid w:val="00503C81"/>
    <w:rsid w:val="0050421D"/>
    <w:rsid w:val="0050481C"/>
    <w:rsid w:val="00504C57"/>
    <w:rsid w:val="00504E90"/>
    <w:rsid w:val="0050561F"/>
    <w:rsid w:val="00505BD4"/>
    <w:rsid w:val="00506032"/>
    <w:rsid w:val="005066F6"/>
    <w:rsid w:val="005067BA"/>
    <w:rsid w:val="0050698B"/>
    <w:rsid w:val="00506B5E"/>
    <w:rsid w:val="005072AF"/>
    <w:rsid w:val="0050778B"/>
    <w:rsid w:val="005077A6"/>
    <w:rsid w:val="00507974"/>
    <w:rsid w:val="0051012C"/>
    <w:rsid w:val="005109D0"/>
    <w:rsid w:val="00510E59"/>
    <w:rsid w:val="005110A5"/>
    <w:rsid w:val="00511292"/>
    <w:rsid w:val="00511490"/>
    <w:rsid w:val="005117CA"/>
    <w:rsid w:val="00511A56"/>
    <w:rsid w:val="00511B98"/>
    <w:rsid w:val="0051259D"/>
    <w:rsid w:val="00513221"/>
    <w:rsid w:val="00513521"/>
    <w:rsid w:val="005138B8"/>
    <w:rsid w:val="00513DA3"/>
    <w:rsid w:val="00514BC8"/>
    <w:rsid w:val="00514DB9"/>
    <w:rsid w:val="00515CD0"/>
    <w:rsid w:val="00516101"/>
    <w:rsid w:val="005178D0"/>
    <w:rsid w:val="005201AD"/>
    <w:rsid w:val="00520340"/>
    <w:rsid w:val="00521B10"/>
    <w:rsid w:val="00522677"/>
    <w:rsid w:val="00522A73"/>
    <w:rsid w:val="0052358B"/>
    <w:rsid w:val="00523F09"/>
    <w:rsid w:val="00524BFD"/>
    <w:rsid w:val="005253F3"/>
    <w:rsid w:val="0052573D"/>
    <w:rsid w:val="00525EDB"/>
    <w:rsid w:val="00525F31"/>
    <w:rsid w:val="0052628A"/>
    <w:rsid w:val="0052716C"/>
    <w:rsid w:val="0053083E"/>
    <w:rsid w:val="005310A2"/>
    <w:rsid w:val="00531580"/>
    <w:rsid w:val="00531753"/>
    <w:rsid w:val="00531E1F"/>
    <w:rsid w:val="005328B0"/>
    <w:rsid w:val="00532E3C"/>
    <w:rsid w:val="00533674"/>
    <w:rsid w:val="00535198"/>
    <w:rsid w:val="005352CA"/>
    <w:rsid w:val="005360D7"/>
    <w:rsid w:val="00536228"/>
    <w:rsid w:val="00536791"/>
    <w:rsid w:val="00536D8B"/>
    <w:rsid w:val="0053726E"/>
    <w:rsid w:val="00537834"/>
    <w:rsid w:val="005409CE"/>
    <w:rsid w:val="00541A60"/>
    <w:rsid w:val="005421DF"/>
    <w:rsid w:val="0054227D"/>
    <w:rsid w:val="0054256F"/>
    <w:rsid w:val="00542DD2"/>
    <w:rsid w:val="00543014"/>
    <w:rsid w:val="00543733"/>
    <w:rsid w:val="005437E9"/>
    <w:rsid w:val="005438E8"/>
    <w:rsid w:val="00543B9E"/>
    <w:rsid w:val="00544E93"/>
    <w:rsid w:val="00545395"/>
    <w:rsid w:val="00545977"/>
    <w:rsid w:val="00545C12"/>
    <w:rsid w:val="00546B02"/>
    <w:rsid w:val="005471EF"/>
    <w:rsid w:val="0054738E"/>
    <w:rsid w:val="00547C75"/>
    <w:rsid w:val="00547CEA"/>
    <w:rsid w:val="00547F42"/>
    <w:rsid w:val="005503AF"/>
    <w:rsid w:val="00550AE5"/>
    <w:rsid w:val="00550B56"/>
    <w:rsid w:val="00550CDA"/>
    <w:rsid w:val="00551215"/>
    <w:rsid w:val="00551D9B"/>
    <w:rsid w:val="00552C76"/>
    <w:rsid w:val="00552FD1"/>
    <w:rsid w:val="00553D4E"/>
    <w:rsid w:val="00554439"/>
    <w:rsid w:val="00554662"/>
    <w:rsid w:val="00554C47"/>
    <w:rsid w:val="00554D16"/>
    <w:rsid w:val="005557BC"/>
    <w:rsid w:val="0055581D"/>
    <w:rsid w:val="00555B02"/>
    <w:rsid w:val="00555BAF"/>
    <w:rsid w:val="00555E1D"/>
    <w:rsid w:val="0055645E"/>
    <w:rsid w:val="00556538"/>
    <w:rsid w:val="00556BB2"/>
    <w:rsid w:val="00556E85"/>
    <w:rsid w:val="00556EA9"/>
    <w:rsid w:val="0055761D"/>
    <w:rsid w:val="005601F7"/>
    <w:rsid w:val="0056025A"/>
    <w:rsid w:val="00560961"/>
    <w:rsid w:val="005610DC"/>
    <w:rsid w:val="00561313"/>
    <w:rsid w:val="00561BA8"/>
    <w:rsid w:val="00562444"/>
    <w:rsid w:val="00562543"/>
    <w:rsid w:val="00562EA2"/>
    <w:rsid w:val="005630D6"/>
    <w:rsid w:val="00563732"/>
    <w:rsid w:val="0056373A"/>
    <w:rsid w:val="005639EC"/>
    <w:rsid w:val="00563C7C"/>
    <w:rsid w:val="00563D1C"/>
    <w:rsid w:val="00563DD2"/>
    <w:rsid w:val="00564F9E"/>
    <w:rsid w:val="0056516E"/>
    <w:rsid w:val="005654AC"/>
    <w:rsid w:val="00566EF7"/>
    <w:rsid w:val="00567110"/>
    <w:rsid w:val="00567B45"/>
    <w:rsid w:val="005705CE"/>
    <w:rsid w:val="005709DC"/>
    <w:rsid w:val="00571C25"/>
    <w:rsid w:val="00572056"/>
    <w:rsid w:val="00572361"/>
    <w:rsid w:val="0057274E"/>
    <w:rsid w:val="0057284F"/>
    <w:rsid w:val="005728B5"/>
    <w:rsid w:val="00572B69"/>
    <w:rsid w:val="00573063"/>
    <w:rsid w:val="00573659"/>
    <w:rsid w:val="00573A4A"/>
    <w:rsid w:val="00573C94"/>
    <w:rsid w:val="00573D0A"/>
    <w:rsid w:val="005740A3"/>
    <w:rsid w:val="00574196"/>
    <w:rsid w:val="00574288"/>
    <w:rsid w:val="00574960"/>
    <w:rsid w:val="00574FBB"/>
    <w:rsid w:val="00575140"/>
    <w:rsid w:val="005754B6"/>
    <w:rsid w:val="005754EA"/>
    <w:rsid w:val="00575A2A"/>
    <w:rsid w:val="00576051"/>
    <w:rsid w:val="00576B3C"/>
    <w:rsid w:val="00576DCE"/>
    <w:rsid w:val="00576E75"/>
    <w:rsid w:val="005771DD"/>
    <w:rsid w:val="00580026"/>
    <w:rsid w:val="00580CDD"/>
    <w:rsid w:val="00580E54"/>
    <w:rsid w:val="00580F5D"/>
    <w:rsid w:val="0058132F"/>
    <w:rsid w:val="00581406"/>
    <w:rsid w:val="0058145F"/>
    <w:rsid w:val="00581E2E"/>
    <w:rsid w:val="00582789"/>
    <w:rsid w:val="00582D86"/>
    <w:rsid w:val="00582EA7"/>
    <w:rsid w:val="00582F8D"/>
    <w:rsid w:val="00583EFC"/>
    <w:rsid w:val="0058405A"/>
    <w:rsid w:val="005848BB"/>
    <w:rsid w:val="00585092"/>
    <w:rsid w:val="00585644"/>
    <w:rsid w:val="005859A9"/>
    <w:rsid w:val="00585B90"/>
    <w:rsid w:val="0058609D"/>
    <w:rsid w:val="00586251"/>
    <w:rsid w:val="00586943"/>
    <w:rsid w:val="005869C9"/>
    <w:rsid w:val="00586A66"/>
    <w:rsid w:val="0058703C"/>
    <w:rsid w:val="00587094"/>
    <w:rsid w:val="00587123"/>
    <w:rsid w:val="005872CA"/>
    <w:rsid w:val="00587506"/>
    <w:rsid w:val="005878D3"/>
    <w:rsid w:val="00587F65"/>
    <w:rsid w:val="00587FB4"/>
    <w:rsid w:val="005904A8"/>
    <w:rsid w:val="00590F00"/>
    <w:rsid w:val="005915DA"/>
    <w:rsid w:val="0059197C"/>
    <w:rsid w:val="00591EE4"/>
    <w:rsid w:val="005920D6"/>
    <w:rsid w:val="00592300"/>
    <w:rsid w:val="0059285E"/>
    <w:rsid w:val="00592C4F"/>
    <w:rsid w:val="00593BF3"/>
    <w:rsid w:val="00593DD5"/>
    <w:rsid w:val="00593EAE"/>
    <w:rsid w:val="005961FF"/>
    <w:rsid w:val="005963A4"/>
    <w:rsid w:val="005963CC"/>
    <w:rsid w:val="005965A1"/>
    <w:rsid w:val="00596E13"/>
    <w:rsid w:val="00596FE5"/>
    <w:rsid w:val="0059731D"/>
    <w:rsid w:val="005973C4"/>
    <w:rsid w:val="005976B0"/>
    <w:rsid w:val="00597767"/>
    <w:rsid w:val="00597788"/>
    <w:rsid w:val="005A0C00"/>
    <w:rsid w:val="005A126F"/>
    <w:rsid w:val="005A20CA"/>
    <w:rsid w:val="005A2222"/>
    <w:rsid w:val="005A2FA1"/>
    <w:rsid w:val="005A42CE"/>
    <w:rsid w:val="005A480B"/>
    <w:rsid w:val="005A4820"/>
    <w:rsid w:val="005A4906"/>
    <w:rsid w:val="005A4B25"/>
    <w:rsid w:val="005A528D"/>
    <w:rsid w:val="005A533E"/>
    <w:rsid w:val="005A5B4F"/>
    <w:rsid w:val="005A6ABF"/>
    <w:rsid w:val="005A6C53"/>
    <w:rsid w:val="005A7C30"/>
    <w:rsid w:val="005A7CCF"/>
    <w:rsid w:val="005B03FB"/>
    <w:rsid w:val="005B051F"/>
    <w:rsid w:val="005B0F08"/>
    <w:rsid w:val="005B1868"/>
    <w:rsid w:val="005B2A78"/>
    <w:rsid w:val="005B2BD9"/>
    <w:rsid w:val="005B4481"/>
    <w:rsid w:val="005B5275"/>
    <w:rsid w:val="005B55B2"/>
    <w:rsid w:val="005B57D5"/>
    <w:rsid w:val="005B5FC6"/>
    <w:rsid w:val="005B720C"/>
    <w:rsid w:val="005C044B"/>
    <w:rsid w:val="005C14FC"/>
    <w:rsid w:val="005C1943"/>
    <w:rsid w:val="005C24D7"/>
    <w:rsid w:val="005C25E8"/>
    <w:rsid w:val="005C2BF2"/>
    <w:rsid w:val="005C2CB4"/>
    <w:rsid w:val="005C3CA2"/>
    <w:rsid w:val="005C3FE1"/>
    <w:rsid w:val="005C4171"/>
    <w:rsid w:val="005C44C6"/>
    <w:rsid w:val="005C50F2"/>
    <w:rsid w:val="005C5E8E"/>
    <w:rsid w:val="005C5F7E"/>
    <w:rsid w:val="005C6590"/>
    <w:rsid w:val="005C7450"/>
    <w:rsid w:val="005C7C69"/>
    <w:rsid w:val="005C7F81"/>
    <w:rsid w:val="005D0621"/>
    <w:rsid w:val="005D0E2F"/>
    <w:rsid w:val="005D19C2"/>
    <w:rsid w:val="005D219B"/>
    <w:rsid w:val="005D276F"/>
    <w:rsid w:val="005D292B"/>
    <w:rsid w:val="005D2C65"/>
    <w:rsid w:val="005D2CCC"/>
    <w:rsid w:val="005D335E"/>
    <w:rsid w:val="005D3B4D"/>
    <w:rsid w:val="005D4740"/>
    <w:rsid w:val="005D4D71"/>
    <w:rsid w:val="005D551C"/>
    <w:rsid w:val="005D55C3"/>
    <w:rsid w:val="005D58B6"/>
    <w:rsid w:val="005D60FB"/>
    <w:rsid w:val="005D6A83"/>
    <w:rsid w:val="005D72C3"/>
    <w:rsid w:val="005D75D3"/>
    <w:rsid w:val="005D7ED1"/>
    <w:rsid w:val="005E0209"/>
    <w:rsid w:val="005E0B16"/>
    <w:rsid w:val="005E0D23"/>
    <w:rsid w:val="005E129B"/>
    <w:rsid w:val="005E16BE"/>
    <w:rsid w:val="005E176A"/>
    <w:rsid w:val="005E20F2"/>
    <w:rsid w:val="005E2208"/>
    <w:rsid w:val="005E2337"/>
    <w:rsid w:val="005E41E7"/>
    <w:rsid w:val="005E4256"/>
    <w:rsid w:val="005E6874"/>
    <w:rsid w:val="005E6CF5"/>
    <w:rsid w:val="005E70F4"/>
    <w:rsid w:val="005E7815"/>
    <w:rsid w:val="005F00AB"/>
    <w:rsid w:val="005F0207"/>
    <w:rsid w:val="005F1872"/>
    <w:rsid w:val="005F1895"/>
    <w:rsid w:val="005F1B4F"/>
    <w:rsid w:val="005F2198"/>
    <w:rsid w:val="005F23E6"/>
    <w:rsid w:val="005F2440"/>
    <w:rsid w:val="005F2B33"/>
    <w:rsid w:val="005F2E79"/>
    <w:rsid w:val="005F4390"/>
    <w:rsid w:val="005F450C"/>
    <w:rsid w:val="005F4904"/>
    <w:rsid w:val="005F4DE3"/>
    <w:rsid w:val="005F5545"/>
    <w:rsid w:val="005F61E4"/>
    <w:rsid w:val="005F6788"/>
    <w:rsid w:val="005F6CA3"/>
    <w:rsid w:val="005F6F1F"/>
    <w:rsid w:val="005F6FFE"/>
    <w:rsid w:val="005F784A"/>
    <w:rsid w:val="00600E8F"/>
    <w:rsid w:val="0060116D"/>
    <w:rsid w:val="006012C1"/>
    <w:rsid w:val="006013B9"/>
    <w:rsid w:val="00601601"/>
    <w:rsid w:val="0060216C"/>
    <w:rsid w:val="00602BDA"/>
    <w:rsid w:val="00603317"/>
    <w:rsid w:val="00603E12"/>
    <w:rsid w:val="0060440E"/>
    <w:rsid w:val="006044F3"/>
    <w:rsid w:val="00604525"/>
    <w:rsid w:val="006052F4"/>
    <w:rsid w:val="00605D39"/>
    <w:rsid w:val="00606152"/>
    <w:rsid w:val="00606A46"/>
    <w:rsid w:val="00607253"/>
    <w:rsid w:val="00607541"/>
    <w:rsid w:val="00607FF2"/>
    <w:rsid w:val="00612358"/>
    <w:rsid w:val="006124CA"/>
    <w:rsid w:val="006129A2"/>
    <w:rsid w:val="00612C57"/>
    <w:rsid w:val="00612CEA"/>
    <w:rsid w:val="0061350B"/>
    <w:rsid w:val="00613880"/>
    <w:rsid w:val="00613EF7"/>
    <w:rsid w:val="00613F2E"/>
    <w:rsid w:val="0061434C"/>
    <w:rsid w:val="006144E8"/>
    <w:rsid w:val="00614674"/>
    <w:rsid w:val="006147FD"/>
    <w:rsid w:val="006149B8"/>
    <w:rsid w:val="00614AC4"/>
    <w:rsid w:val="006152A8"/>
    <w:rsid w:val="00615476"/>
    <w:rsid w:val="006155E4"/>
    <w:rsid w:val="006156D6"/>
    <w:rsid w:val="00615C91"/>
    <w:rsid w:val="00615E07"/>
    <w:rsid w:val="0061697C"/>
    <w:rsid w:val="00617119"/>
    <w:rsid w:val="0061713E"/>
    <w:rsid w:val="00620A48"/>
    <w:rsid w:val="00620E9B"/>
    <w:rsid w:val="0062147F"/>
    <w:rsid w:val="006214CC"/>
    <w:rsid w:val="006218D4"/>
    <w:rsid w:val="00622279"/>
    <w:rsid w:val="006238CF"/>
    <w:rsid w:val="00623A56"/>
    <w:rsid w:val="00623B19"/>
    <w:rsid w:val="00624644"/>
    <w:rsid w:val="00625556"/>
    <w:rsid w:val="006255E5"/>
    <w:rsid w:val="00625D37"/>
    <w:rsid w:val="00627426"/>
    <w:rsid w:val="00627944"/>
    <w:rsid w:val="00627D11"/>
    <w:rsid w:val="006307C5"/>
    <w:rsid w:val="0063095E"/>
    <w:rsid w:val="006316D3"/>
    <w:rsid w:val="0063192A"/>
    <w:rsid w:val="00631F69"/>
    <w:rsid w:val="0063302D"/>
    <w:rsid w:val="00633132"/>
    <w:rsid w:val="006335AE"/>
    <w:rsid w:val="00633F52"/>
    <w:rsid w:val="006344E2"/>
    <w:rsid w:val="00634E82"/>
    <w:rsid w:val="006351B1"/>
    <w:rsid w:val="006351BC"/>
    <w:rsid w:val="00635525"/>
    <w:rsid w:val="00635673"/>
    <w:rsid w:val="00635692"/>
    <w:rsid w:val="006362F4"/>
    <w:rsid w:val="00636439"/>
    <w:rsid w:val="00636471"/>
    <w:rsid w:val="00637562"/>
    <w:rsid w:val="00637912"/>
    <w:rsid w:val="00637FD8"/>
    <w:rsid w:val="006400F9"/>
    <w:rsid w:val="00640844"/>
    <w:rsid w:val="0064146D"/>
    <w:rsid w:val="00641775"/>
    <w:rsid w:val="006419C3"/>
    <w:rsid w:val="00641A27"/>
    <w:rsid w:val="006439C4"/>
    <w:rsid w:val="00643ACD"/>
    <w:rsid w:val="00643C92"/>
    <w:rsid w:val="006440F6"/>
    <w:rsid w:val="00644107"/>
    <w:rsid w:val="00644610"/>
    <w:rsid w:val="00644B12"/>
    <w:rsid w:val="00645005"/>
    <w:rsid w:val="00646BC5"/>
    <w:rsid w:val="00647928"/>
    <w:rsid w:val="00647BFF"/>
    <w:rsid w:val="00647FB1"/>
    <w:rsid w:val="00650C2F"/>
    <w:rsid w:val="00650D5E"/>
    <w:rsid w:val="00651610"/>
    <w:rsid w:val="00652450"/>
    <w:rsid w:val="00652816"/>
    <w:rsid w:val="00653070"/>
    <w:rsid w:val="00653B62"/>
    <w:rsid w:val="00653B81"/>
    <w:rsid w:val="00654249"/>
    <w:rsid w:val="00654398"/>
    <w:rsid w:val="006546FC"/>
    <w:rsid w:val="00654D5D"/>
    <w:rsid w:val="0065516F"/>
    <w:rsid w:val="006556A1"/>
    <w:rsid w:val="00655BF3"/>
    <w:rsid w:val="006562A0"/>
    <w:rsid w:val="0065683C"/>
    <w:rsid w:val="00656CB3"/>
    <w:rsid w:val="00657108"/>
    <w:rsid w:val="0065746A"/>
    <w:rsid w:val="0066034D"/>
    <w:rsid w:val="0066088D"/>
    <w:rsid w:val="00660BAB"/>
    <w:rsid w:val="00660D4B"/>
    <w:rsid w:val="00660F40"/>
    <w:rsid w:val="00660F8B"/>
    <w:rsid w:val="006625E7"/>
    <w:rsid w:val="00662657"/>
    <w:rsid w:val="006626C1"/>
    <w:rsid w:val="00662842"/>
    <w:rsid w:val="00663CDB"/>
    <w:rsid w:val="00663F26"/>
    <w:rsid w:val="006642B0"/>
    <w:rsid w:val="00664851"/>
    <w:rsid w:val="00666136"/>
    <w:rsid w:val="006666CA"/>
    <w:rsid w:val="006668A2"/>
    <w:rsid w:val="00666EFC"/>
    <w:rsid w:val="006676A9"/>
    <w:rsid w:val="00667F38"/>
    <w:rsid w:val="006708E5"/>
    <w:rsid w:val="00670963"/>
    <w:rsid w:val="00670F18"/>
    <w:rsid w:val="0067106B"/>
    <w:rsid w:val="00671AC7"/>
    <w:rsid w:val="006728E5"/>
    <w:rsid w:val="006734D6"/>
    <w:rsid w:val="00673D8E"/>
    <w:rsid w:val="00674406"/>
    <w:rsid w:val="00676218"/>
    <w:rsid w:val="006764B5"/>
    <w:rsid w:val="00676FF6"/>
    <w:rsid w:val="0067795A"/>
    <w:rsid w:val="00677E26"/>
    <w:rsid w:val="0068031F"/>
    <w:rsid w:val="0068042C"/>
    <w:rsid w:val="0068058F"/>
    <w:rsid w:val="00680B74"/>
    <w:rsid w:val="00681B2D"/>
    <w:rsid w:val="00682893"/>
    <w:rsid w:val="006831F3"/>
    <w:rsid w:val="0068346F"/>
    <w:rsid w:val="00683D30"/>
    <w:rsid w:val="0068469E"/>
    <w:rsid w:val="00684FA7"/>
    <w:rsid w:val="006851E3"/>
    <w:rsid w:val="00685654"/>
    <w:rsid w:val="00685970"/>
    <w:rsid w:val="00685D47"/>
    <w:rsid w:val="0068603C"/>
    <w:rsid w:val="00686314"/>
    <w:rsid w:val="00687A5B"/>
    <w:rsid w:val="00687B26"/>
    <w:rsid w:val="00690245"/>
    <w:rsid w:val="0069082F"/>
    <w:rsid w:val="00690CAA"/>
    <w:rsid w:val="0069169C"/>
    <w:rsid w:val="006919D3"/>
    <w:rsid w:val="00692696"/>
    <w:rsid w:val="006939B6"/>
    <w:rsid w:val="00693BA7"/>
    <w:rsid w:val="00693E03"/>
    <w:rsid w:val="006957C6"/>
    <w:rsid w:val="006957DA"/>
    <w:rsid w:val="00695AF1"/>
    <w:rsid w:val="00695DAC"/>
    <w:rsid w:val="006A05F0"/>
    <w:rsid w:val="006A0DF2"/>
    <w:rsid w:val="006A1507"/>
    <w:rsid w:val="006A1A09"/>
    <w:rsid w:val="006A1CCD"/>
    <w:rsid w:val="006A29E0"/>
    <w:rsid w:val="006A2C18"/>
    <w:rsid w:val="006A3351"/>
    <w:rsid w:val="006A348C"/>
    <w:rsid w:val="006A43CA"/>
    <w:rsid w:val="006A4537"/>
    <w:rsid w:val="006A4D40"/>
    <w:rsid w:val="006A5260"/>
    <w:rsid w:val="006A52D5"/>
    <w:rsid w:val="006A5948"/>
    <w:rsid w:val="006A59A8"/>
    <w:rsid w:val="006A613A"/>
    <w:rsid w:val="006A664D"/>
    <w:rsid w:val="006A6706"/>
    <w:rsid w:val="006A6B71"/>
    <w:rsid w:val="006A792B"/>
    <w:rsid w:val="006A7ECB"/>
    <w:rsid w:val="006A7F8E"/>
    <w:rsid w:val="006B039A"/>
    <w:rsid w:val="006B04DE"/>
    <w:rsid w:val="006B0A00"/>
    <w:rsid w:val="006B0AB7"/>
    <w:rsid w:val="006B0EEB"/>
    <w:rsid w:val="006B1C85"/>
    <w:rsid w:val="006B1E3B"/>
    <w:rsid w:val="006B2943"/>
    <w:rsid w:val="006B3871"/>
    <w:rsid w:val="006B4157"/>
    <w:rsid w:val="006B430F"/>
    <w:rsid w:val="006B435B"/>
    <w:rsid w:val="006B4D86"/>
    <w:rsid w:val="006B57FF"/>
    <w:rsid w:val="006B60A3"/>
    <w:rsid w:val="006B6F7A"/>
    <w:rsid w:val="006B72D3"/>
    <w:rsid w:val="006B74D3"/>
    <w:rsid w:val="006C09DF"/>
    <w:rsid w:val="006C0BCB"/>
    <w:rsid w:val="006C16C7"/>
    <w:rsid w:val="006C22F4"/>
    <w:rsid w:val="006C32A7"/>
    <w:rsid w:val="006C3F31"/>
    <w:rsid w:val="006C4AF7"/>
    <w:rsid w:val="006C62C1"/>
    <w:rsid w:val="006C6671"/>
    <w:rsid w:val="006C6722"/>
    <w:rsid w:val="006C6A02"/>
    <w:rsid w:val="006C6FC4"/>
    <w:rsid w:val="006C7009"/>
    <w:rsid w:val="006C702B"/>
    <w:rsid w:val="006C782F"/>
    <w:rsid w:val="006C7CE7"/>
    <w:rsid w:val="006D1566"/>
    <w:rsid w:val="006D1746"/>
    <w:rsid w:val="006D2229"/>
    <w:rsid w:val="006D260C"/>
    <w:rsid w:val="006D2778"/>
    <w:rsid w:val="006D285D"/>
    <w:rsid w:val="006D2AA2"/>
    <w:rsid w:val="006D2D39"/>
    <w:rsid w:val="006D3210"/>
    <w:rsid w:val="006D3414"/>
    <w:rsid w:val="006D403D"/>
    <w:rsid w:val="006D41F1"/>
    <w:rsid w:val="006D46FE"/>
    <w:rsid w:val="006D475F"/>
    <w:rsid w:val="006D4EAE"/>
    <w:rsid w:val="006D5770"/>
    <w:rsid w:val="006D5935"/>
    <w:rsid w:val="006D62A6"/>
    <w:rsid w:val="006D6368"/>
    <w:rsid w:val="006D648A"/>
    <w:rsid w:val="006D68BC"/>
    <w:rsid w:val="006D6AB5"/>
    <w:rsid w:val="006D73EA"/>
    <w:rsid w:val="006D7C08"/>
    <w:rsid w:val="006D7DF0"/>
    <w:rsid w:val="006E0873"/>
    <w:rsid w:val="006E0F6E"/>
    <w:rsid w:val="006E12FB"/>
    <w:rsid w:val="006E1B04"/>
    <w:rsid w:val="006E2400"/>
    <w:rsid w:val="006E26C1"/>
    <w:rsid w:val="006E2B30"/>
    <w:rsid w:val="006E39F6"/>
    <w:rsid w:val="006E3FC2"/>
    <w:rsid w:val="006E427D"/>
    <w:rsid w:val="006E42E8"/>
    <w:rsid w:val="006E4A99"/>
    <w:rsid w:val="006E4BBA"/>
    <w:rsid w:val="006E4FFF"/>
    <w:rsid w:val="006E5619"/>
    <w:rsid w:val="006E5EBA"/>
    <w:rsid w:val="006E61DA"/>
    <w:rsid w:val="006E65A2"/>
    <w:rsid w:val="006E78FF"/>
    <w:rsid w:val="006E7F6A"/>
    <w:rsid w:val="006F0A77"/>
    <w:rsid w:val="006F1768"/>
    <w:rsid w:val="006F2A11"/>
    <w:rsid w:val="006F3DAA"/>
    <w:rsid w:val="006F516D"/>
    <w:rsid w:val="006F544C"/>
    <w:rsid w:val="006F57BB"/>
    <w:rsid w:val="006F5C95"/>
    <w:rsid w:val="006F5D9B"/>
    <w:rsid w:val="006F5DC9"/>
    <w:rsid w:val="006F60C1"/>
    <w:rsid w:val="006F6E68"/>
    <w:rsid w:val="00701646"/>
    <w:rsid w:val="007019D7"/>
    <w:rsid w:val="00701AD0"/>
    <w:rsid w:val="0070218F"/>
    <w:rsid w:val="00703634"/>
    <w:rsid w:val="007037A2"/>
    <w:rsid w:val="00704022"/>
    <w:rsid w:val="0070480B"/>
    <w:rsid w:val="00705687"/>
    <w:rsid w:val="0070636F"/>
    <w:rsid w:val="00706A91"/>
    <w:rsid w:val="00706E9C"/>
    <w:rsid w:val="00707A8B"/>
    <w:rsid w:val="00707D40"/>
    <w:rsid w:val="00710608"/>
    <w:rsid w:val="00710C45"/>
    <w:rsid w:val="00710EA7"/>
    <w:rsid w:val="007116DB"/>
    <w:rsid w:val="007118FF"/>
    <w:rsid w:val="007124AD"/>
    <w:rsid w:val="007125F2"/>
    <w:rsid w:val="00712AC9"/>
    <w:rsid w:val="00712C25"/>
    <w:rsid w:val="0071311E"/>
    <w:rsid w:val="00713CAF"/>
    <w:rsid w:val="00713EB9"/>
    <w:rsid w:val="00714339"/>
    <w:rsid w:val="00714F39"/>
    <w:rsid w:val="00714FB6"/>
    <w:rsid w:val="00715DAC"/>
    <w:rsid w:val="0071758B"/>
    <w:rsid w:val="007175F2"/>
    <w:rsid w:val="0071789A"/>
    <w:rsid w:val="007179AA"/>
    <w:rsid w:val="00717FF0"/>
    <w:rsid w:val="00717FFE"/>
    <w:rsid w:val="00720CAE"/>
    <w:rsid w:val="00720FE4"/>
    <w:rsid w:val="00721D62"/>
    <w:rsid w:val="00722081"/>
    <w:rsid w:val="00722BB8"/>
    <w:rsid w:val="00724344"/>
    <w:rsid w:val="00724BD6"/>
    <w:rsid w:val="007254B1"/>
    <w:rsid w:val="00725A6E"/>
    <w:rsid w:val="00725E4F"/>
    <w:rsid w:val="00726ADA"/>
    <w:rsid w:val="00726D0D"/>
    <w:rsid w:val="00726D18"/>
    <w:rsid w:val="00726D80"/>
    <w:rsid w:val="00727536"/>
    <w:rsid w:val="00730314"/>
    <w:rsid w:val="0073073C"/>
    <w:rsid w:val="00731005"/>
    <w:rsid w:val="00732777"/>
    <w:rsid w:val="00732EF7"/>
    <w:rsid w:val="00732F12"/>
    <w:rsid w:val="0073343B"/>
    <w:rsid w:val="0073350B"/>
    <w:rsid w:val="00733BFA"/>
    <w:rsid w:val="00733DEE"/>
    <w:rsid w:val="00734087"/>
    <w:rsid w:val="0073447C"/>
    <w:rsid w:val="00734732"/>
    <w:rsid w:val="00734A35"/>
    <w:rsid w:val="00734F8C"/>
    <w:rsid w:val="00735661"/>
    <w:rsid w:val="00735A14"/>
    <w:rsid w:val="007361FC"/>
    <w:rsid w:val="0073658B"/>
    <w:rsid w:val="00736B34"/>
    <w:rsid w:val="00736BB9"/>
    <w:rsid w:val="007371F3"/>
    <w:rsid w:val="0073749A"/>
    <w:rsid w:val="00737831"/>
    <w:rsid w:val="00737FB0"/>
    <w:rsid w:val="007400BD"/>
    <w:rsid w:val="00740ACB"/>
    <w:rsid w:val="00740F95"/>
    <w:rsid w:val="00741D35"/>
    <w:rsid w:val="007423B6"/>
    <w:rsid w:val="00742A02"/>
    <w:rsid w:val="00742AC8"/>
    <w:rsid w:val="00742EE6"/>
    <w:rsid w:val="00743659"/>
    <w:rsid w:val="0074384A"/>
    <w:rsid w:val="00743B17"/>
    <w:rsid w:val="00743D80"/>
    <w:rsid w:val="00744143"/>
    <w:rsid w:val="00744403"/>
    <w:rsid w:val="00744641"/>
    <w:rsid w:val="0074483D"/>
    <w:rsid w:val="00744E32"/>
    <w:rsid w:val="00744F67"/>
    <w:rsid w:val="0074519C"/>
    <w:rsid w:val="00745541"/>
    <w:rsid w:val="007459D9"/>
    <w:rsid w:val="00745DF2"/>
    <w:rsid w:val="00750054"/>
    <w:rsid w:val="007500B7"/>
    <w:rsid w:val="00750185"/>
    <w:rsid w:val="007511EE"/>
    <w:rsid w:val="007512A0"/>
    <w:rsid w:val="00752475"/>
    <w:rsid w:val="00752640"/>
    <w:rsid w:val="00752CA1"/>
    <w:rsid w:val="00753647"/>
    <w:rsid w:val="00753893"/>
    <w:rsid w:val="00753991"/>
    <w:rsid w:val="00753E3A"/>
    <w:rsid w:val="00754994"/>
    <w:rsid w:val="00754A0B"/>
    <w:rsid w:val="00754CF8"/>
    <w:rsid w:val="00755758"/>
    <w:rsid w:val="0075646D"/>
    <w:rsid w:val="0075683E"/>
    <w:rsid w:val="00756BE8"/>
    <w:rsid w:val="00756C29"/>
    <w:rsid w:val="00756EA7"/>
    <w:rsid w:val="007576D3"/>
    <w:rsid w:val="00757AEC"/>
    <w:rsid w:val="00760069"/>
    <w:rsid w:val="00760171"/>
    <w:rsid w:val="00760828"/>
    <w:rsid w:val="00760D51"/>
    <w:rsid w:val="00761A8B"/>
    <w:rsid w:val="00761DAD"/>
    <w:rsid w:val="00762B3D"/>
    <w:rsid w:val="00763693"/>
    <w:rsid w:val="00763BB7"/>
    <w:rsid w:val="00763DBE"/>
    <w:rsid w:val="007640E3"/>
    <w:rsid w:val="007643AC"/>
    <w:rsid w:val="007645B5"/>
    <w:rsid w:val="0076486A"/>
    <w:rsid w:val="00764BD2"/>
    <w:rsid w:val="00764C96"/>
    <w:rsid w:val="00764D4D"/>
    <w:rsid w:val="007652B8"/>
    <w:rsid w:val="007652D3"/>
    <w:rsid w:val="0076631F"/>
    <w:rsid w:val="007669CB"/>
    <w:rsid w:val="007669F7"/>
    <w:rsid w:val="00766B11"/>
    <w:rsid w:val="00767105"/>
    <w:rsid w:val="0076728F"/>
    <w:rsid w:val="00767397"/>
    <w:rsid w:val="007702D1"/>
    <w:rsid w:val="007711D4"/>
    <w:rsid w:val="007719CD"/>
    <w:rsid w:val="00772C78"/>
    <w:rsid w:val="00773050"/>
    <w:rsid w:val="00774197"/>
    <w:rsid w:val="0077426D"/>
    <w:rsid w:val="00774C94"/>
    <w:rsid w:val="00774FA1"/>
    <w:rsid w:val="00775B73"/>
    <w:rsid w:val="00775B84"/>
    <w:rsid w:val="007770F7"/>
    <w:rsid w:val="00777570"/>
    <w:rsid w:val="0077764D"/>
    <w:rsid w:val="00777A5F"/>
    <w:rsid w:val="00780107"/>
    <w:rsid w:val="007801AC"/>
    <w:rsid w:val="007810E1"/>
    <w:rsid w:val="00781E3C"/>
    <w:rsid w:val="0078339D"/>
    <w:rsid w:val="00784B87"/>
    <w:rsid w:val="00784D18"/>
    <w:rsid w:val="0078562C"/>
    <w:rsid w:val="00786036"/>
    <w:rsid w:val="00786AEF"/>
    <w:rsid w:val="00786ED7"/>
    <w:rsid w:val="00787345"/>
    <w:rsid w:val="00787369"/>
    <w:rsid w:val="007905CE"/>
    <w:rsid w:val="00790795"/>
    <w:rsid w:val="00790B4C"/>
    <w:rsid w:val="00790E63"/>
    <w:rsid w:val="0079103C"/>
    <w:rsid w:val="007917AE"/>
    <w:rsid w:val="007917AF"/>
    <w:rsid w:val="0079259F"/>
    <w:rsid w:val="00792AB5"/>
    <w:rsid w:val="00792BBA"/>
    <w:rsid w:val="0079314F"/>
    <w:rsid w:val="0079347B"/>
    <w:rsid w:val="007936C8"/>
    <w:rsid w:val="00793700"/>
    <w:rsid w:val="007943BA"/>
    <w:rsid w:val="0079464D"/>
    <w:rsid w:val="007949D2"/>
    <w:rsid w:val="00795884"/>
    <w:rsid w:val="0079592C"/>
    <w:rsid w:val="007959F0"/>
    <w:rsid w:val="0079621B"/>
    <w:rsid w:val="00796422"/>
    <w:rsid w:val="007968EF"/>
    <w:rsid w:val="00796DFA"/>
    <w:rsid w:val="00796FC2"/>
    <w:rsid w:val="0079707D"/>
    <w:rsid w:val="00797093"/>
    <w:rsid w:val="007975B7"/>
    <w:rsid w:val="00797A4C"/>
    <w:rsid w:val="00797AA8"/>
    <w:rsid w:val="007A0A76"/>
    <w:rsid w:val="007A0B70"/>
    <w:rsid w:val="007A0C77"/>
    <w:rsid w:val="007A140C"/>
    <w:rsid w:val="007A1851"/>
    <w:rsid w:val="007A1B1F"/>
    <w:rsid w:val="007A2748"/>
    <w:rsid w:val="007A2967"/>
    <w:rsid w:val="007A2EDF"/>
    <w:rsid w:val="007A47E2"/>
    <w:rsid w:val="007A5A00"/>
    <w:rsid w:val="007A5C6A"/>
    <w:rsid w:val="007A66DA"/>
    <w:rsid w:val="007A6A9A"/>
    <w:rsid w:val="007A6B35"/>
    <w:rsid w:val="007A6C4A"/>
    <w:rsid w:val="007A70E3"/>
    <w:rsid w:val="007A7949"/>
    <w:rsid w:val="007A7A74"/>
    <w:rsid w:val="007B1988"/>
    <w:rsid w:val="007B1ACD"/>
    <w:rsid w:val="007B2E46"/>
    <w:rsid w:val="007B3104"/>
    <w:rsid w:val="007B34F5"/>
    <w:rsid w:val="007B3E6E"/>
    <w:rsid w:val="007B4C83"/>
    <w:rsid w:val="007B5497"/>
    <w:rsid w:val="007B55BE"/>
    <w:rsid w:val="007B5878"/>
    <w:rsid w:val="007B5BA3"/>
    <w:rsid w:val="007B5FF7"/>
    <w:rsid w:val="007B72C3"/>
    <w:rsid w:val="007B7606"/>
    <w:rsid w:val="007C060E"/>
    <w:rsid w:val="007C2A05"/>
    <w:rsid w:val="007C2FF5"/>
    <w:rsid w:val="007C34D3"/>
    <w:rsid w:val="007C514A"/>
    <w:rsid w:val="007C52A3"/>
    <w:rsid w:val="007C57A8"/>
    <w:rsid w:val="007C5924"/>
    <w:rsid w:val="007C6499"/>
    <w:rsid w:val="007C6B47"/>
    <w:rsid w:val="007C6FCF"/>
    <w:rsid w:val="007C7B43"/>
    <w:rsid w:val="007D1A37"/>
    <w:rsid w:val="007D2FB4"/>
    <w:rsid w:val="007D31B6"/>
    <w:rsid w:val="007D4518"/>
    <w:rsid w:val="007D48E7"/>
    <w:rsid w:val="007D4A96"/>
    <w:rsid w:val="007D5DE9"/>
    <w:rsid w:val="007D671D"/>
    <w:rsid w:val="007D69AD"/>
    <w:rsid w:val="007D6C5A"/>
    <w:rsid w:val="007D6D4B"/>
    <w:rsid w:val="007D7F90"/>
    <w:rsid w:val="007E0129"/>
    <w:rsid w:val="007E1789"/>
    <w:rsid w:val="007E1FAF"/>
    <w:rsid w:val="007E4E5C"/>
    <w:rsid w:val="007E50EC"/>
    <w:rsid w:val="007E53AF"/>
    <w:rsid w:val="007E5A1F"/>
    <w:rsid w:val="007E5BB3"/>
    <w:rsid w:val="007E6852"/>
    <w:rsid w:val="007E6A20"/>
    <w:rsid w:val="007E6B97"/>
    <w:rsid w:val="007E70AF"/>
    <w:rsid w:val="007E764D"/>
    <w:rsid w:val="007E7761"/>
    <w:rsid w:val="007E7CED"/>
    <w:rsid w:val="007E7E21"/>
    <w:rsid w:val="007F01FE"/>
    <w:rsid w:val="007F0FCB"/>
    <w:rsid w:val="007F1185"/>
    <w:rsid w:val="007F1D7E"/>
    <w:rsid w:val="007F2831"/>
    <w:rsid w:val="007F2B77"/>
    <w:rsid w:val="007F32C2"/>
    <w:rsid w:val="007F34D4"/>
    <w:rsid w:val="007F4AEE"/>
    <w:rsid w:val="007F58A9"/>
    <w:rsid w:val="007F5EEF"/>
    <w:rsid w:val="007F632E"/>
    <w:rsid w:val="007F669F"/>
    <w:rsid w:val="007F6BA7"/>
    <w:rsid w:val="007F6D67"/>
    <w:rsid w:val="007F7515"/>
    <w:rsid w:val="007F7D6D"/>
    <w:rsid w:val="00800206"/>
    <w:rsid w:val="008008F5"/>
    <w:rsid w:val="00800E05"/>
    <w:rsid w:val="00801702"/>
    <w:rsid w:val="00801DF2"/>
    <w:rsid w:val="00802241"/>
    <w:rsid w:val="00802335"/>
    <w:rsid w:val="00802A09"/>
    <w:rsid w:val="00802BD3"/>
    <w:rsid w:val="00802F20"/>
    <w:rsid w:val="00803A7F"/>
    <w:rsid w:val="008044C6"/>
    <w:rsid w:val="00804706"/>
    <w:rsid w:val="00804C76"/>
    <w:rsid w:val="00804CD9"/>
    <w:rsid w:val="00804F84"/>
    <w:rsid w:val="00805291"/>
    <w:rsid w:val="00806694"/>
    <w:rsid w:val="00806CAF"/>
    <w:rsid w:val="00807284"/>
    <w:rsid w:val="00807632"/>
    <w:rsid w:val="00807C80"/>
    <w:rsid w:val="00810387"/>
    <w:rsid w:val="008105BF"/>
    <w:rsid w:val="00810718"/>
    <w:rsid w:val="00810D79"/>
    <w:rsid w:val="00810EBE"/>
    <w:rsid w:val="008113FC"/>
    <w:rsid w:val="00811F90"/>
    <w:rsid w:val="00811FCD"/>
    <w:rsid w:val="008122A6"/>
    <w:rsid w:val="00812742"/>
    <w:rsid w:val="00813667"/>
    <w:rsid w:val="00814199"/>
    <w:rsid w:val="00814CFC"/>
    <w:rsid w:val="00815C35"/>
    <w:rsid w:val="00815FD7"/>
    <w:rsid w:val="0081676E"/>
    <w:rsid w:val="008175E3"/>
    <w:rsid w:val="00817FCB"/>
    <w:rsid w:val="00820B10"/>
    <w:rsid w:val="00820BE6"/>
    <w:rsid w:val="00820C09"/>
    <w:rsid w:val="00821764"/>
    <w:rsid w:val="008219DD"/>
    <w:rsid w:val="00821A23"/>
    <w:rsid w:val="00821A6E"/>
    <w:rsid w:val="0082226F"/>
    <w:rsid w:val="00822349"/>
    <w:rsid w:val="00823259"/>
    <w:rsid w:val="008236E0"/>
    <w:rsid w:val="00823F81"/>
    <w:rsid w:val="00824239"/>
    <w:rsid w:val="00824723"/>
    <w:rsid w:val="00824D1C"/>
    <w:rsid w:val="00824E77"/>
    <w:rsid w:val="0082556F"/>
    <w:rsid w:val="00825765"/>
    <w:rsid w:val="00825A74"/>
    <w:rsid w:val="0082684F"/>
    <w:rsid w:val="00826E84"/>
    <w:rsid w:val="0082727B"/>
    <w:rsid w:val="00827DBA"/>
    <w:rsid w:val="00830012"/>
    <w:rsid w:val="00831926"/>
    <w:rsid w:val="00831D5D"/>
    <w:rsid w:val="008321EE"/>
    <w:rsid w:val="008322B0"/>
    <w:rsid w:val="00832D31"/>
    <w:rsid w:val="00833ED5"/>
    <w:rsid w:val="008340E2"/>
    <w:rsid w:val="008343DF"/>
    <w:rsid w:val="00834AD3"/>
    <w:rsid w:val="008350BA"/>
    <w:rsid w:val="00835AC5"/>
    <w:rsid w:val="00835E83"/>
    <w:rsid w:val="00835F91"/>
    <w:rsid w:val="00836172"/>
    <w:rsid w:val="00836CD1"/>
    <w:rsid w:val="0083735C"/>
    <w:rsid w:val="008404DD"/>
    <w:rsid w:val="008408F4"/>
    <w:rsid w:val="00840F04"/>
    <w:rsid w:val="00841C95"/>
    <w:rsid w:val="00842267"/>
    <w:rsid w:val="00842398"/>
    <w:rsid w:val="00842BE0"/>
    <w:rsid w:val="00842C88"/>
    <w:rsid w:val="0084398A"/>
    <w:rsid w:val="00843CFD"/>
    <w:rsid w:val="00843D7D"/>
    <w:rsid w:val="00844570"/>
    <w:rsid w:val="00845776"/>
    <w:rsid w:val="00845CA5"/>
    <w:rsid w:val="00846CD7"/>
    <w:rsid w:val="0084723A"/>
    <w:rsid w:val="00850006"/>
    <w:rsid w:val="008505E3"/>
    <w:rsid w:val="00850728"/>
    <w:rsid w:val="00850943"/>
    <w:rsid w:val="0085198C"/>
    <w:rsid w:val="008519E2"/>
    <w:rsid w:val="00851BEE"/>
    <w:rsid w:val="008529CE"/>
    <w:rsid w:val="008534F2"/>
    <w:rsid w:val="008535E0"/>
    <w:rsid w:val="00853821"/>
    <w:rsid w:val="00854695"/>
    <w:rsid w:val="00854BE1"/>
    <w:rsid w:val="00855594"/>
    <w:rsid w:val="00855C9B"/>
    <w:rsid w:val="00855FD0"/>
    <w:rsid w:val="00856628"/>
    <w:rsid w:val="008566C4"/>
    <w:rsid w:val="008578BF"/>
    <w:rsid w:val="00857E92"/>
    <w:rsid w:val="00860336"/>
    <w:rsid w:val="008617B0"/>
    <w:rsid w:val="00861B40"/>
    <w:rsid w:val="00861DD2"/>
    <w:rsid w:val="00862883"/>
    <w:rsid w:val="0086295B"/>
    <w:rsid w:val="00862A97"/>
    <w:rsid w:val="00862DBD"/>
    <w:rsid w:val="00863B19"/>
    <w:rsid w:val="00863EC4"/>
    <w:rsid w:val="0086409F"/>
    <w:rsid w:val="008641C6"/>
    <w:rsid w:val="00864E68"/>
    <w:rsid w:val="00865440"/>
    <w:rsid w:val="008667BB"/>
    <w:rsid w:val="00867664"/>
    <w:rsid w:val="00870226"/>
    <w:rsid w:val="0087045D"/>
    <w:rsid w:val="008708F2"/>
    <w:rsid w:val="008720BB"/>
    <w:rsid w:val="008727A7"/>
    <w:rsid w:val="008730B4"/>
    <w:rsid w:val="0087361D"/>
    <w:rsid w:val="008739C3"/>
    <w:rsid w:val="00875EFD"/>
    <w:rsid w:val="00876311"/>
    <w:rsid w:val="00877599"/>
    <w:rsid w:val="008776CE"/>
    <w:rsid w:val="00877BCB"/>
    <w:rsid w:val="00880A00"/>
    <w:rsid w:val="008833DB"/>
    <w:rsid w:val="008840FE"/>
    <w:rsid w:val="008841E7"/>
    <w:rsid w:val="00884752"/>
    <w:rsid w:val="00885165"/>
    <w:rsid w:val="008857D0"/>
    <w:rsid w:val="00886888"/>
    <w:rsid w:val="0088753D"/>
    <w:rsid w:val="0088764C"/>
    <w:rsid w:val="00887976"/>
    <w:rsid w:val="00887B45"/>
    <w:rsid w:val="00887C0D"/>
    <w:rsid w:val="00890A92"/>
    <w:rsid w:val="00890C88"/>
    <w:rsid w:val="008914A4"/>
    <w:rsid w:val="00891566"/>
    <w:rsid w:val="00891E6D"/>
    <w:rsid w:val="00892895"/>
    <w:rsid w:val="00892944"/>
    <w:rsid w:val="00892CDF"/>
    <w:rsid w:val="008934B2"/>
    <w:rsid w:val="0089394D"/>
    <w:rsid w:val="00893B58"/>
    <w:rsid w:val="00893B8A"/>
    <w:rsid w:val="00893BC8"/>
    <w:rsid w:val="008940D2"/>
    <w:rsid w:val="0089521E"/>
    <w:rsid w:val="0089535E"/>
    <w:rsid w:val="00895812"/>
    <w:rsid w:val="008960F1"/>
    <w:rsid w:val="00896482"/>
    <w:rsid w:val="00896485"/>
    <w:rsid w:val="00896B0B"/>
    <w:rsid w:val="008970C4"/>
    <w:rsid w:val="008973EA"/>
    <w:rsid w:val="00897462"/>
    <w:rsid w:val="00897EF6"/>
    <w:rsid w:val="008A1723"/>
    <w:rsid w:val="008A19C5"/>
    <w:rsid w:val="008A205F"/>
    <w:rsid w:val="008A219D"/>
    <w:rsid w:val="008A21E0"/>
    <w:rsid w:val="008A27B5"/>
    <w:rsid w:val="008A3026"/>
    <w:rsid w:val="008A30A3"/>
    <w:rsid w:val="008A3CFD"/>
    <w:rsid w:val="008A440C"/>
    <w:rsid w:val="008A4AD6"/>
    <w:rsid w:val="008A4B8B"/>
    <w:rsid w:val="008A534A"/>
    <w:rsid w:val="008A5844"/>
    <w:rsid w:val="008A6FCF"/>
    <w:rsid w:val="008A71D6"/>
    <w:rsid w:val="008A720A"/>
    <w:rsid w:val="008A72B8"/>
    <w:rsid w:val="008A7B05"/>
    <w:rsid w:val="008A7B3C"/>
    <w:rsid w:val="008A7BFA"/>
    <w:rsid w:val="008A7DB0"/>
    <w:rsid w:val="008B0FBA"/>
    <w:rsid w:val="008B1374"/>
    <w:rsid w:val="008B2002"/>
    <w:rsid w:val="008B24D9"/>
    <w:rsid w:val="008B31AA"/>
    <w:rsid w:val="008B34A9"/>
    <w:rsid w:val="008B37C6"/>
    <w:rsid w:val="008B3A58"/>
    <w:rsid w:val="008B4AEF"/>
    <w:rsid w:val="008B4C93"/>
    <w:rsid w:val="008B50EC"/>
    <w:rsid w:val="008B52BA"/>
    <w:rsid w:val="008B551B"/>
    <w:rsid w:val="008B5692"/>
    <w:rsid w:val="008B5DAC"/>
    <w:rsid w:val="008B7B2B"/>
    <w:rsid w:val="008B7BA1"/>
    <w:rsid w:val="008B7DFB"/>
    <w:rsid w:val="008C0C15"/>
    <w:rsid w:val="008C23D0"/>
    <w:rsid w:val="008C34DA"/>
    <w:rsid w:val="008C3D91"/>
    <w:rsid w:val="008C3FB0"/>
    <w:rsid w:val="008C4521"/>
    <w:rsid w:val="008C4542"/>
    <w:rsid w:val="008C4870"/>
    <w:rsid w:val="008C48E5"/>
    <w:rsid w:val="008C56F8"/>
    <w:rsid w:val="008C57AD"/>
    <w:rsid w:val="008C5F00"/>
    <w:rsid w:val="008C6391"/>
    <w:rsid w:val="008C639C"/>
    <w:rsid w:val="008C667D"/>
    <w:rsid w:val="008C6DC7"/>
    <w:rsid w:val="008C78B1"/>
    <w:rsid w:val="008C799D"/>
    <w:rsid w:val="008C79A5"/>
    <w:rsid w:val="008C7BEA"/>
    <w:rsid w:val="008D1577"/>
    <w:rsid w:val="008D16C9"/>
    <w:rsid w:val="008D269E"/>
    <w:rsid w:val="008D2A74"/>
    <w:rsid w:val="008D34B9"/>
    <w:rsid w:val="008D34FA"/>
    <w:rsid w:val="008D35A7"/>
    <w:rsid w:val="008D3A41"/>
    <w:rsid w:val="008D3AAB"/>
    <w:rsid w:val="008D4734"/>
    <w:rsid w:val="008D478E"/>
    <w:rsid w:val="008D4D2D"/>
    <w:rsid w:val="008D610F"/>
    <w:rsid w:val="008D6942"/>
    <w:rsid w:val="008D6BF6"/>
    <w:rsid w:val="008D6CC4"/>
    <w:rsid w:val="008D707F"/>
    <w:rsid w:val="008D762E"/>
    <w:rsid w:val="008E0206"/>
    <w:rsid w:val="008E03C6"/>
    <w:rsid w:val="008E07AD"/>
    <w:rsid w:val="008E0A2A"/>
    <w:rsid w:val="008E1372"/>
    <w:rsid w:val="008E1797"/>
    <w:rsid w:val="008E1B02"/>
    <w:rsid w:val="008E1F4D"/>
    <w:rsid w:val="008E22E9"/>
    <w:rsid w:val="008E2428"/>
    <w:rsid w:val="008E26A5"/>
    <w:rsid w:val="008E39E5"/>
    <w:rsid w:val="008E3A0F"/>
    <w:rsid w:val="008E3B17"/>
    <w:rsid w:val="008E3C4E"/>
    <w:rsid w:val="008E3DE1"/>
    <w:rsid w:val="008E51CA"/>
    <w:rsid w:val="008E5890"/>
    <w:rsid w:val="008E5D62"/>
    <w:rsid w:val="008E5FAF"/>
    <w:rsid w:val="008E61F2"/>
    <w:rsid w:val="008E6B45"/>
    <w:rsid w:val="008E6D96"/>
    <w:rsid w:val="008E6DF9"/>
    <w:rsid w:val="008E74C4"/>
    <w:rsid w:val="008E7B1D"/>
    <w:rsid w:val="008F09B2"/>
    <w:rsid w:val="008F0F37"/>
    <w:rsid w:val="008F21CB"/>
    <w:rsid w:val="008F2233"/>
    <w:rsid w:val="008F2484"/>
    <w:rsid w:val="008F27B5"/>
    <w:rsid w:val="008F2EBE"/>
    <w:rsid w:val="008F37C7"/>
    <w:rsid w:val="008F3E55"/>
    <w:rsid w:val="008F3EAE"/>
    <w:rsid w:val="008F3F80"/>
    <w:rsid w:val="008F4036"/>
    <w:rsid w:val="008F4164"/>
    <w:rsid w:val="008F4819"/>
    <w:rsid w:val="008F49A4"/>
    <w:rsid w:val="008F5DF8"/>
    <w:rsid w:val="008F6019"/>
    <w:rsid w:val="008F6160"/>
    <w:rsid w:val="008F6296"/>
    <w:rsid w:val="008F665E"/>
    <w:rsid w:val="008F69EF"/>
    <w:rsid w:val="008F6E68"/>
    <w:rsid w:val="008F701D"/>
    <w:rsid w:val="008F72A9"/>
    <w:rsid w:val="008F7F35"/>
    <w:rsid w:val="0090028A"/>
    <w:rsid w:val="009011D7"/>
    <w:rsid w:val="00901A4E"/>
    <w:rsid w:val="00901A83"/>
    <w:rsid w:val="00901B8D"/>
    <w:rsid w:val="00901C17"/>
    <w:rsid w:val="009022CE"/>
    <w:rsid w:val="0090352C"/>
    <w:rsid w:val="0090394A"/>
    <w:rsid w:val="00904241"/>
    <w:rsid w:val="00904813"/>
    <w:rsid w:val="00904E6F"/>
    <w:rsid w:val="0090539C"/>
    <w:rsid w:val="009056A4"/>
    <w:rsid w:val="009056CA"/>
    <w:rsid w:val="0090575B"/>
    <w:rsid w:val="009058E9"/>
    <w:rsid w:val="00905CC5"/>
    <w:rsid w:val="00905D4A"/>
    <w:rsid w:val="00905FE0"/>
    <w:rsid w:val="0090650B"/>
    <w:rsid w:val="00906CBB"/>
    <w:rsid w:val="00910429"/>
    <w:rsid w:val="009105CF"/>
    <w:rsid w:val="0091075F"/>
    <w:rsid w:val="00910ADD"/>
    <w:rsid w:val="00910B84"/>
    <w:rsid w:val="009112B5"/>
    <w:rsid w:val="009116F0"/>
    <w:rsid w:val="009117CF"/>
    <w:rsid w:val="00911BF3"/>
    <w:rsid w:val="00911E43"/>
    <w:rsid w:val="00912644"/>
    <w:rsid w:val="009138E5"/>
    <w:rsid w:val="00913FBB"/>
    <w:rsid w:val="00914A10"/>
    <w:rsid w:val="00914B65"/>
    <w:rsid w:val="009150F1"/>
    <w:rsid w:val="0091539D"/>
    <w:rsid w:val="0091549E"/>
    <w:rsid w:val="00915BD6"/>
    <w:rsid w:val="00915FFF"/>
    <w:rsid w:val="009162BC"/>
    <w:rsid w:val="0091669A"/>
    <w:rsid w:val="009168DE"/>
    <w:rsid w:val="009170BE"/>
    <w:rsid w:val="00917287"/>
    <w:rsid w:val="00917945"/>
    <w:rsid w:val="00921E03"/>
    <w:rsid w:val="0092316E"/>
    <w:rsid w:val="009237DA"/>
    <w:rsid w:val="00923EF1"/>
    <w:rsid w:val="00924A58"/>
    <w:rsid w:val="00925208"/>
    <w:rsid w:val="00925337"/>
    <w:rsid w:val="009256E0"/>
    <w:rsid w:val="009258BB"/>
    <w:rsid w:val="00925C21"/>
    <w:rsid w:val="00925D6B"/>
    <w:rsid w:val="0092659C"/>
    <w:rsid w:val="009265C8"/>
    <w:rsid w:val="00926E1C"/>
    <w:rsid w:val="009275D3"/>
    <w:rsid w:val="009276CB"/>
    <w:rsid w:val="00927896"/>
    <w:rsid w:val="00927918"/>
    <w:rsid w:val="00927CDF"/>
    <w:rsid w:val="009309BF"/>
    <w:rsid w:val="00931087"/>
    <w:rsid w:val="0093128F"/>
    <w:rsid w:val="00931349"/>
    <w:rsid w:val="0093282B"/>
    <w:rsid w:val="00932865"/>
    <w:rsid w:val="0093326F"/>
    <w:rsid w:val="009337E7"/>
    <w:rsid w:val="00934173"/>
    <w:rsid w:val="00935526"/>
    <w:rsid w:val="00935E23"/>
    <w:rsid w:val="009360DC"/>
    <w:rsid w:val="00937461"/>
    <w:rsid w:val="00937862"/>
    <w:rsid w:val="00937B40"/>
    <w:rsid w:val="00937CF6"/>
    <w:rsid w:val="00940BB3"/>
    <w:rsid w:val="00940ECB"/>
    <w:rsid w:val="00941982"/>
    <w:rsid w:val="00941C99"/>
    <w:rsid w:val="0094292F"/>
    <w:rsid w:val="00942E62"/>
    <w:rsid w:val="00942F7B"/>
    <w:rsid w:val="00943A46"/>
    <w:rsid w:val="00943BF5"/>
    <w:rsid w:val="00943DB6"/>
    <w:rsid w:val="00943F7E"/>
    <w:rsid w:val="009452AB"/>
    <w:rsid w:val="0094576A"/>
    <w:rsid w:val="00945966"/>
    <w:rsid w:val="00945BB6"/>
    <w:rsid w:val="00946FAA"/>
    <w:rsid w:val="009474EB"/>
    <w:rsid w:val="009501FF"/>
    <w:rsid w:val="0095085C"/>
    <w:rsid w:val="00950C24"/>
    <w:rsid w:val="0095110A"/>
    <w:rsid w:val="00951387"/>
    <w:rsid w:val="0095159B"/>
    <w:rsid w:val="0095160F"/>
    <w:rsid w:val="009516FD"/>
    <w:rsid w:val="009518D3"/>
    <w:rsid w:val="00952E47"/>
    <w:rsid w:val="00953D36"/>
    <w:rsid w:val="0095486C"/>
    <w:rsid w:val="00954BAF"/>
    <w:rsid w:val="0095560B"/>
    <w:rsid w:val="00956494"/>
    <w:rsid w:val="009565F5"/>
    <w:rsid w:val="00956C35"/>
    <w:rsid w:val="00956C5C"/>
    <w:rsid w:val="009570CB"/>
    <w:rsid w:val="009571AC"/>
    <w:rsid w:val="00957366"/>
    <w:rsid w:val="00957725"/>
    <w:rsid w:val="00960621"/>
    <w:rsid w:val="00960D32"/>
    <w:rsid w:val="0096249D"/>
    <w:rsid w:val="00962BD5"/>
    <w:rsid w:val="009644FE"/>
    <w:rsid w:val="00965252"/>
    <w:rsid w:val="009658F8"/>
    <w:rsid w:val="00966A25"/>
    <w:rsid w:val="00966A6D"/>
    <w:rsid w:val="0096703F"/>
    <w:rsid w:val="00970C47"/>
    <w:rsid w:val="00970E8D"/>
    <w:rsid w:val="009718CB"/>
    <w:rsid w:val="00971B94"/>
    <w:rsid w:val="009724A2"/>
    <w:rsid w:val="00972EEB"/>
    <w:rsid w:val="00972F62"/>
    <w:rsid w:val="00972FCA"/>
    <w:rsid w:val="00973370"/>
    <w:rsid w:val="009733BB"/>
    <w:rsid w:val="00974663"/>
    <w:rsid w:val="009759FB"/>
    <w:rsid w:val="00975A8E"/>
    <w:rsid w:val="00976F31"/>
    <w:rsid w:val="0098052D"/>
    <w:rsid w:val="00981EC0"/>
    <w:rsid w:val="009820A3"/>
    <w:rsid w:val="00982506"/>
    <w:rsid w:val="00982D8F"/>
    <w:rsid w:val="00982E90"/>
    <w:rsid w:val="0098356F"/>
    <w:rsid w:val="00983D54"/>
    <w:rsid w:val="00985B07"/>
    <w:rsid w:val="009860DD"/>
    <w:rsid w:val="009864A1"/>
    <w:rsid w:val="00987BE9"/>
    <w:rsid w:val="00990425"/>
    <w:rsid w:val="00990C53"/>
    <w:rsid w:val="009910D9"/>
    <w:rsid w:val="009912DF"/>
    <w:rsid w:val="00991856"/>
    <w:rsid w:val="0099186B"/>
    <w:rsid w:val="009926D3"/>
    <w:rsid w:val="00992ABF"/>
    <w:rsid w:val="00992E81"/>
    <w:rsid w:val="00993402"/>
    <w:rsid w:val="009938C9"/>
    <w:rsid w:val="00993A48"/>
    <w:rsid w:val="009940A4"/>
    <w:rsid w:val="00994167"/>
    <w:rsid w:val="00994559"/>
    <w:rsid w:val="00994B22"/>
    <w:rsid w:val="00995BDD"/>
    <w:rsid w:val="009A06EE"/>
    <w:rsid w:val="009A07B5"/>
    <w:rsid w:val="009A0BC2"/>
    <w:rsid w:val="009A13AF"/>
    <w:rsid w:val="009A18A8"/>
    <w:rsid w:val="009A1940"/>
    <w:rsid w:val="009A20E1"/>
    <w:rsid w:val="009A235C"/>
    <w:rsid w:val="009A28C8"/>
    <w:rsid w:val="009A2BCA"/>
    <w:rsid w:val="009A2EC6"/>
    <w:rsid w:val="009A2F07"/>
    <w:rsid w:val="009A3ABF"/>
    <w:rsid w:val="009A3B66"/>
    <w:rsid w:val="009A4046"/>
    <w:rsid w:val="009A4113"/>
    <w:rsid w:val="009A4F7D"/>
    <w:rsid w:val="009A55EF"/>
    <w:rsid w:val="009A562A"/>
    <w:rsid w:val="009A56ED"/>
    <w:rsid w:val="009A5896"/>
    <w:rsid w:val="009A64BA"/>
    <w:rsid w:val="009A65C8"/>
    <w:rsid w:val="009A6C6B"/>
    <w:rsid w:val="009A704F"/>
    <w:rsid w:val="009A75C4"/>
    <w:rsid w:val="009A7F46"/>
    <w:rsid w:val="009B0B6B"/>
    <w:rsid w:val="009B0D0B"/>
    <w:rsid w:val="009B1BA8"/>
    <w:rsid w:val="009B2960"/>
    <w:rsid w:val="009B2A37"/>
    <w:rsid w:val="009B2F1A"/>
    <w:rsid w:val="009B3080"/>
    <w:rsid w:val="009B33C3"/>
    <w:rsid w:val="009B3510"/>
    <w:rsid w:val="009B3710"/>
    <w:rsid w:val="009B39B7"/>
    <w:rsid w:val="009B3EFD"/>
    <w:rsid w:val="009B45EE"/>
    <w:rsid w:val="009B4907"/>
    <w:rsid w:val="009B4F44"/>
    <w:rsid w:val="009B51D5"/>
    <w:rsid w:val="009B5615"/>
    <w:rsid w:val="009B5B8C"/>
    <w:rsid w:val="009B5CF6"/>
    <w:rsid w:val="009B667A"/>
    <w:rsid w:val="009B6FE5"/>
    <w:rsid w:val="009B7BA3"/>
    <w:rsid w:val="009C062C"/>
    <w:rsid w:val="009C0AE9"/>
    <w:rsid w:val="009C0CE0"/>
    <w:rsid w:val="009C14FE"/>
    <w:rsid w:val="009C2227"/>
    <w:rsid w:val="009C3BD0"/>
    <w:rsid w:val="009C48A1"/>
    <w:rsid w:val="009C53A7"/>
    <w:rsid w:val="009C5792"/>
    <w:rsid w:val="009C64DC"/>
    <w:rsid w:val="009C6C85"/>
    <w:rsid w:val="009C73A8"/>
    <w:rsid w:val="009C7453"/>
    <w:rsid w:val="009C75F7"/>
    <w:rsid w:val="009D0E65"/>
    <w:rsid w:val="009D0F34"/>
    <w:rsid w:val="009D10A6"/>
    <w:rsid w:val="009D1221"/>
    <w:rsid w:val="009D169A"/>
    <w:rsid w:val="009D1C44"/>
    <w:rsid w:val="009D1D96"/>
    <w:rsid w:val="009D2D70"/>
    <w:rsid w:val="009D314F"/>
    <w:rsid w:val="009D3303"/>
    <w:rsid w:val="009D37ED"/>
    <w:rsid w:val="009D3AFB"/>
    <w:rsid w:val="009D3C5E"/>
    <w:rsid w:val="009D3E8E"/>
    <w:rsid w:val="009D403A"/>
    <w:rsid w:val="009D420D"/>
    <w:rsid w:val="009D4A5D"/>
    <w:rsid w:val="009D528E"/>
    <w:rsid w:val="009D5312"/>
    <w:rsid w:val="009D531B"/>
    <w:rsid w:val="009D53F4"/>
    <w:rsid w:val="009D5C3F"/>
    <w:rsid w:val="009D6071"/>
    <w:rsid w:val="009D70DB"/>
    <w:rsid w:val="009D7648"/>
    <w:rsid w:val="009D7CF9"/>
    <w:rsid w:val="009E092D"/>
    <w:rsid w:val="009E09F1"/>
    <w:rsid w:val="009E0B94"/>
    <w:rsid w:val="009E0F92"/>
    <w:rsid w:val="009E115E"/>
    <w:rsid w:val="009E1C36"/>
    <w:rsid w:val="009E253A"/>
    <w:rsid w:val="009E270B"/>
    <w:rsid w:val="009E2A92"/>
    <w:rsid w:val="009E2B9F"/>
    <w:rsid w:val="009E351D"/>
    <w:rsid w:val="009E3A65"/>
    <w:rsid w:val="009E44AE"/>
    <w:rsid w:val="009E5B30"/>
    <w:rsid w:val="009E605D"/>
    <w:rsid w:val="009E7720"/>
    <w:rsid w:val="009E7835"/>
    <w:rsid w:val="009E7EFD"/>
    <w:rsid w:val="009F0AA2"/>
    <w:rsid w:val="009F1377"/>
    <w:rsid w:val="009F18FD"/>
    <w:rsid w:val="009F2B4E"/>
    <w:rsid w:val="009F2B97"/>
    <w:rsid w:val="009F2CE7"/>
    <w:rsid w:val="009F3436"/>
    <w:rsid w:val="009F3439"/>
    <w:rsid w:val="009F391D"/>
    <w:rsid w:val="009F3BCA"/>
    <w:rsid w:val="009F46F7"/>
    <w:rsid w:val="009F4869"/>
    <w:rsid w:val="009F4AB5"/>
    <w:rsid w:val="009F4DE7"/>
    <w:rsid w:val="009F5413"/>
    <w:rsid w:val="009F5C58"/>
    <w:rsid w:val="009F5F6B"/>
    <w:rsid w:val="009F61FD"/>
    <w:rsid w:val="009F6392"/>
    <w:rsid w:val="009F6ADF"/>
    <w:rsid w:val="009F730B"/>
    <w:rsid w:val="009F75E6"/>
    <w:rsid w:val="009F7641"/>
    <w:rsid w:val="009F7A25"/>
    <w:rsid w:val="00A0043E"/>
    <w:rsid w:val="00A00624"/>
    <w:rsid w:val="00A0097F"/>
    <w:rsid w:val="00A00DE1"/>
    <w:rsid w:val="00A01441"/>
    <w:rsid w:val="00A01702"/>
    <w:rsid w:val="00A0172F"/>
    <w:rsid w:val="00A018B5"/>
    <w:rsid w:val="00A019A7"/>
    <w:rsid w:val="00A01B3B"/>
    <w:rsid w:val="00A01DE2"/>
    <w:rsid w:val="00A02087"/>
    <w:rsid w:val="00A0233D"/>
    <w:rsid w:val="00A02FBE"/>
    <w:rsid w:val="00A0344C"/>
    <w:rsid w:val="00A034D8"/>
    <w:rsid w:val="00A04DC3"/>
    <w:rsid w:val="00A0524E"/>
    <w:rsid w:val="00A05F5D"/>
    <w:rsid w:val="00A060BB"/>
    <w:rsid w:val="00A067A5"/>
    <w:rsid w:val="00A067D8"/>
    <w:rsid w:val="00A068DA"/>
    <w:rsid w:val="00A06F34"/>
    <w:rsid w:val="00A078D6"/>
    <w:rsid w:val="00A104D8"/>
    <w:rsid w:val="00A1055E"/>
    <w:rsid w:val="00A10A42"/>
    <w:rsid w:val="00A11043"/>
    <w:rsid w:val="00A1170D"/>
    <w:rsid w:val="00A11D0E"/>
    <w:rsid w:val="00A125D6"/>
    <w:rsid w:val="00A12B3E"/>
    <w:rsid w:val="00A13872"/>
    <w:rsid w:val="00A1476C"/>
    <w:rsid w:val="00A14D5B"/>
    <w:rsid w:val="00A1545B"/>
    <w:rsid w:val="00A15514"/>
    <w:rsid w:val="00A15652"/>
    <w:rsid w:val="00A15777"/>
    <w:rsid w:val="00A15D17"/>
    <w:rsid w:val="00A16542"/>
    <w:rsid w:val="00A165DF"/>
    <w:rsid w:val="00A16992"/>
    <w:rsid w:val="00A16EDC"/>
    <w:rsid w:val="00A16F96"/>
    <w:rsid w:val="00A1742F"/>
    <w:rsid w:val="00A178C6"/>
    <w:rsid w:val="00A17C39"/>
    <w:rsid w:val="00A20237"/>
    <w:rsid w:val="00A20D5E"/>
    <w:rsid w:val="00A20EAC"/>
    <w:rsid w:val="00A2123D"/>
    <w:rsid w:val="00A21687"/>
    <w:rsid w:val="00A21BF9"/>
    <w:rsid w:val="00A22B38"/>
    <w:rsid w:val="00A22B52"/>
    <w:rsid w:val="00A22D58"/>
    <w:rsid w:val="00A238E1"/>
    <w:rsid w:val="00A24BC5"/>
    <w:rsid w:val="00A24D5B"/>
    <w:rsid w:val="00A24E9A"/>
    <w:rsid w:val="00A25822"/>
    <w:rsid w:val="00A25FC3"/>
    <w:rsid w:val="00A270EB"/>
    <w:rsid w:val="00A278A7"/>
    <w:rsid w:val="00A27B8F"/>
    <w:rsid w:val="00A27E9E"/>
    <w:rsid w:val="00A30199"/>
    <w:rsid w:val="00A32B60"/>
    <w:rsid w:val="00A32EF3"/>
    <w:rsid w:val="00A331BB"/>
    <w:rsid w:val="00A3369E"/>
    <w:rsid w:val="00A33840"/>
    <w:rsid w:val="00A35890"/>
    <w:rsid w:val="00A3592C"/>
    <w:rsid w:val="00A36C35"/>
    <w:rsid w:val="00A36FEA"/>
    <w:rsid w:val="00A3764C"/>
    <w:rsid w:val="00A37BD3"/>
    <w:rsid w:val="00A41206"/>
    <w:rsid w:val="00A4155B"/>
    <w:rsid w:val="00A4236D"/>
    <w:rsid w:val="00A42F22"/>
    <w:rsid w:val="00A431CA"/>
    <w:rsid w:val="00A43610"/>
    <w:rsid w:val="00A436A5"/>
    <w:rsid w:val="00A43754"/>
    <w:rsid w:val="00A437F4"/>
    <w:rsid w:val="00A43FE9"/>
    <w:rsid w:val="00A44558"/>
    <w:rsid w:val="00A447B1"/>
    <w:rsid w:val="00A458DA"/>
    <w:rsid w:val="00A45DC3"/>
    <w:rsid w:val="00A464AB"/>
    <w:rsid w:val="00A47147"/>
    <w:rsid w:val="00A476A3"/>
    <w:rsid w:val="00A479D4"/>
    <w:rsid w:val="00A47A0D"/>
    <w:rsid w:val="00A47CBC"/>
    <w:rsid w:val="00A47E74"/>
    <w:rsid w:val="00A47EA8"/>
    <w:rsid w:val="00A50272"/>
    <w:rsid w:val="00A506C1"/>
    <w:rsid w:val="00A50D37"/>
    <w:rsid w:val="00A50FF7"/>
    <w:rsid w:val="00A51026"/>
    <w:rsid w:val="00A519E3"/>
    <w:rsid w:val="00A51A47"/>
    <w:rsid w:val="00A51F80"/>
    <w:rsid w:val="00A5213E"/>
    <w:rsid w:val="00A526A3"/>
    <w:rsid w:val="00A52864"/>
    <w:rsid w:val="00A53C6C"/>
    <w:rsid w:val="00A5417F"/>
    <w:rsid w:val="00A541B8"/>
    <w:rsid w:val="00A552FB"/>
    <w:rsid w:val="00A557A0"/>
    <w:rsid w:val="00A5589F"/>
    <w:rsid w:val="00A55E90"/>
    <w:rsid w:val="00A561E4"/>
    <w:rsid w:val="00A56B14"/>
    <w:rsid w:val="00A6033A"/>
    <w:rsid w:val="00A612D5"/>
    <w:rsid w:val="00A61594"/>
    <w:rsid w:val="00A63BC8"/>
    <w:rsid w:val="00A6431B"/>
    <w:rsid w:val="00A64715"/>
    <w:rsid w:val="00A64D9B"/>
    <w:rsid w:val="00A65F5D"/>
    <w:rsid w:val="00A661AD"/>
    <w:rsid w:val="00A66785"/>
    <w:rsid w:val="00A668EF"/>
    <w:rsid w:val="00A66AC7"/>
    <w:rsid w:val="00A66DAB"/>
    <w:rsid w:val="00A6716E"/>
    <w:rsid w:val="00A67176"/>
    <w:rsid w:val="00A6737E"/>
    <w:rsid w:val="00A67630"/>
    <w:rsid w:val="00A67FE2"/>
    <w:rsid w:val="00A70869"/>
    <w:rsid w:val="00A71115"/>
    <w:rsid w:val="00A7148F"/>
    <w:rsid w:val="00A71C9D"/>
    <w:rsid w:val="00A71F8B"/>
    <w:rsid w:val="00A72C91"/>
    <w:rsid w:val="00A72CCF"/>
    <w:rsid w:val="00A744F4"/>
    <w:rsid w:val="00A74BD5"/>
    <w:rsid w:val="00A753CC"/>
    <w:rsid w:val="00A7619B"/>
    <w:rsid w:val="00A77AA7"/>
    <w:rsid w:val="00A77BC5"/>
    <w:rsid w:val="00A80B8F"/>
    <w:rsid w:val="00A80CB7"/>
    <w:rsid w:val="00A812FE"/>
    <w:rsid w:val="00A821D8"/>
    <w:rsid w:val="00A8237A"/>
    <w:rsid w:val="00A82975"/>
    <w:rsid w:val="00A8328B"/>
    <w:rsid w:val="00A836FF"/>
    <w:rsid w:val="00A83CB1"/>
    <w:rsid w:val="00A84495"/>
    <w:rsid w:val="00A84B12"/>
    <w:rsid w:val="00A853D0"/>
    <w:rsid w:val="00A85D9D"/>
    <w:rsid w:val="00A85E58"/>
    <w:rsid w:val="00A86DAF"/>
    <w:rsid w:val="00A872A8"/>
    <w:rsid w:val="00A87C9F"/>
    <w:rsid w:val="00A87D90"/>
    <w:rsid w:val="00A87F29"/>
    <w:rsid w:val="00A90547"/>
    <w:rsid w:val="00A90A46"/>
    <w:rsid w:val="00A90B6A"/>
    <w:rsid w:val="00A915F7"/>
    <w:rsid w:val="00A9175C"/>
    <w:rsid w:val="00A91AA5"/>
    <w:rsid w:val="00A92593"/>
    <w:rsid w:val="00A929CE"/>
    <w:rsid w:val="00A92C5D"/>
    <w:rsid w:val="00A94A8E"/>
    <w:rsid w:val="00A94AC5"/>
    <w:rsid w:val="00A94D5B"/>
    <w:rsid w:val="00AA1E2E"/>
    <w:rsid w:val="00AA28C0"/>
    <w:rsid w:val="00AA2ADD"/>
    <w:rsid w:val="00AA2F6F"/>
    <w:rsid w:val="00AA38C3"/>
    <w:rsid w:val="00AA390F"/>
    <w:rsid w:val="00AA39CC"/>
    <w:rsid w:val="00AA5044"/>
    <w:rsid w:val="00AA5F8E"/>
    <w:rsid w:val="00AA60EE"/>
    <w:rsid w:val="00AA6624"/>
    <w:rsid w:val="00AA7584"/>
    <w:rsid w:val="00AB0338"/>
    <w:rsid w:val="00AB062B"/>
    <w:rsid w:val="00AB08D6"/>
    <w:rsid w:val="00AB101E"/>
    <w:rsid w:val="00AB1254"/>
    <w:rsid w:val="00AB12E7"/>
    <w:rsid w:val="00AB1765"/>
    <w:rsid w:val="00AB1B83"/>
    <w:rsid w:val="00AB2480"/>
    <w:rsid w:val="00AB2AEB"/>
    <w:rsid w:val="00AB355D"/>
    <w:rsid w:val="00AB3E28"/>
    <w:rsid w:val="00AB40B8"/>
    <w:rsid w:val="00AB4822"/>
    <w:rsid w:val="00AB4AA6"/>
    <w:rsid w:val="00AB4DE2"/>
    <w:rsid w:val="00AB64E6"/>
    <w:rsid w:val="00AB6949"/>
    <w:rsid w:val="00AB726F"/>
    <w:rsid w:val="00AB7D30"/>
    <w:rsid w:val="00AC0EED"/>
    <w:rsid w:val="00AC273A"/>
    <w:rsid w:val="00AC2EA9"/>
    <w:rsid w:val="00AC3639"/>
    <w:rsid w:val="00AC3BAC"/>
    <w:rsid w:val="00AC48FF"/>
    <w:rsid w:val="00AC49E1"/>
    <w:rsid w:val="00AC4C5F"/>
    <w:rsid w:val="00AC4FBE"/>
    <w:rsid w:val="00AC5786"/>
    <w:rsid w:val="00AC5CEE"/>
    <w:rsid w:val="00AC6002"/>
    <w:rsid w:val="00AC66BE"/>
    <w:rsid w:val="00AC6A58"/>
    <w:rsid w:val="00AC7EA1"/>
    <w:rsid w:val="00AC7EA6"/>
    <w:rsid w:val="00AD0B59"/>
    <w:rsid w:val="00AD11AE"/>
    <w:rsid w:val="00AD124D"/>
    <w:rsid w:val="00AD13EB"/>
    <w:rsid w:val="00AD1D8B"/>
    <w:rsid w:val="00AD20E1"/>
    <w:rsid w:val="00AD2155"/>
    <w:rsid w:val="00AD25B0"/>
    <w:rsid w:val="00AD3767"/>
    <w:rsid w:val="00AD45A4"/>
    <w:rsid w:val="00AD45FF"/>
    <w:rsid w:val="00AD465A"/>
    <w:rsid w:val="00AD512D"/>
    <w:rsid w:val="00AD52CF"/>
    <w:rsid w:val="00AD55C9"/>
    <w:rsid w:val="00AD56F5"/>
    <w:rsid w:val="00AD5B55"/>
    <w:rsid w:val="00AD5F19"/>
    <w:rsid w:val="00AD7C89"/>
    <w:rsid w:val="00AE0DCE"/>
    <w:rsid w:val="00AE1622"/>
    <w:rsid w:val="00AE16E2"/>
    <w:rsid w:val="00AE1754"/>
    <w:rsid w:val="00AE1778"/>
    <w:rsid w:val="00AE1A46"/>
    <w:rsid w:val="00AE1C1B"/>
    <w:rsid w:val="00AE4016"/>
    <w:rsid w:val="00AE40BC"/>
    <w:rsid w:val="00AE4A28"/>
    <w:rsid w:val="00AE4FAA"/>
    <w:rsid w:val="00AE5064"/>
    <w:rsid w:val="00AE53A3"/>
    <w:rsid w:val="00AE573A"/>
    <w:rsid w:val="00AE6B7C"/>
    <w:rsid w:val="00AE6F93"/>
    <w:rsid w:val="00AE7092"/>
    <w:rsid w:val="00AE72A1"/>
    <w:rsid w:val="00AE7817"/>
    <w:rsid w:val="00AE792D"/>
    <w:rsid w:val="00AE7F2B"/>
    <w:rsid w:val="00AF11CB"/>
    <w:rsid w:val="00AF16C3"/>
    <w:rsid w:val="00AF267B"/>
    <w:rsid w:val="00AF299F"/>
    <w:rsid w:val="00AF2DEB"/>
    <w:rsid w:val="00AF2F08"/>
    <w:rsid w:val="00AF2FB5"/>
    <w:rsid w:val="00AF3AD0"/>
    <w:rsid w:val="00AF4C6E"/>
    <w:rsid w:val="00AF4DD7"/>
    <w:rsid w:val="00AF54C5"/>
    <w:rsid w:val="00AF55B5"/>
    <w:rsid w:val="00AF647A"/>
    <w:rsid w:val="00AF6C8F"/>
    <w:rsid w:val="00AF6CB5"/>
    <w:rsid w:val="00AF781A"/>
    <w:rsid w:val="00AF7A28"/>
    <w:rsid w:val="00AF7CF9"/>
    <w:rsid w:val="00B010FB"/>
    <w:rsid w:val="00B0220C"/>
    <w:rsid w:val="00B02336"/>
    <w:rsid w:val="00B02F30"/>
    <w:rsid w:val="00B032B9"/>
    <w:rsid w:val="00B03AFF"/>
    <w:rsid w:val="00B04169"/>
    <w:rsid w:val="00B0467B"/>
    <w:rsid w:val="00B04D0B"/>
    <w:rsid w:val="00B04FA1"/>
    <w:rsid w:val="00B0510D"/>
    <w:rsid w:val="00B06216"/>
    <w:rsid w:val="00B071DD"/>
    <w:rsid w:val="00B072CA"/>
    <w:rsid w:val="00B07784"/>
    <w:rsid w:val="00B078EE"/>
    <w:rsid w:val="00B10810"/>
    <w:rsid w:val="00B10BEB"/>
    <w:rsid w:val="00B11AE0"/>
    <w:rsid w:val="00B1268A"/>
    <w:rsid w:val="00B132B5"/>
    <w:rsid w:val="00B140D1"/>
    <w:rsid w:val="00B143BF"/>
    <w:rsid w:val="00B15D2B"/>
    <w:rsid w:val="00B16583"/>
    <w:rsid w:val="00B17866"/>
    <w:rsid w:val="00B179D8"/>
    <w:rsid w:val="00B17ACB"/>
    <w:rsid w:val="00B17DAD"/>
    <w:rsid w:val="00B17EF3"/>
    <w:rsid w:val="00B206C9"/>
    <w:rsid w:val="00B20AB6"/>
    <w:rsid w:val="00B20AFD"/>
    <w:rsid w:val="00B217F8"/>
    <w:rsid w:val="00B21927"/>
    <w:rsid w:val="00B2235A"/>
    <w:rsid w:val="00B2264B"/>
    <w:rsid w:val="00B22CCF"/>
    <w:rsid w:val="00B22EF9"/>
    <w:rsid w:val="00B22FE7"/>
    <w:rsid w:val="00B23067"/>
    <w:rsid w:val="00B23219"/>
    <w:rsid w:val="00B234C0"/>
    <w:rsid w:val="00B236DF"/>
    <w:rsid w:val="00B237D7"/>
    <w:rsid w:val="00B23A8D"/>
    <w:rsid w:val="00B23E2E"/>
    <w:rsid w:val="00B24A94"/>
    <w:rsid w:val="00B24AEE"/>
    <w:rsid w:val="00B24ECA"/>
    <w:rsid w:val="00B25BEF"/>
    <w:rsid w:val="00B26410"/>
    <w:rsid w:val="00B2655C"/>
    <w:rsid w:val="00B27A99"/>
    <w:rsid w:val="00B305E4"/>
    <w:rsid w:val="00B30D64"/>
    <w:rsid w:val="00B32991"/>
    <w:rsid w:val="00B32A47"/>
    <w:rsid w:val="00B32EA5"/>
    <w:rsid w:val="00B334DB"/>
    <w:rsid w:val="00B33E1E"/>
    <w:rsid w:val="00B343C3"/>
    <w:rsid w:val="00B35286"/>
    <w:rsid w:val="00B35733"/>
    <w:rsid w:val="00B359DC"/>
    <w:rsid w:val="00B35C24"/>
    <w:rsid w:val="00B3600D"/>
    <w:rsid w:val="00B36324"/>
    <w:rsid w:val="00B3642C"/>
    <w:rsid w:val="00B36D57"/>
    <w:rsid w:val="00B3739D"/>
    <w:rsid w:val="00B377BA"/>
    <w:rsid w:val="00B37B69"/>
    <w:rsid w:val="00B37C01"/>
    <w:rsid w:val="00B37C49"/>
    <w:rsid w:val="00B40AD9"/>
    <w:rsid w:val="00B41F4C"/>
    <w:rsid w:val="00B423D3"/>
    <w:rsid w:val="00B424DA"/>
    <w:rsid w:val="00B42C67"/>
    <w:rsid w:val="00B42D73"/>
    <w:rsid w:val="00B43905"/>
    <w:rsid w:val="00B43F39"/>
    <w:rsid w:val="00B44FA2"/>
    <w:rsid w:val="00B450A5"/>
    <w:rsid w:val="00B4656F"/>
    <w:rsid w:val="00B466CC"/>
    <w:rsid w:val="00B46A4A"/>
    <w:rsid w:val="00B47028"/>
    <w:rsid w:val="00B47650"/>
    <w:rsid w:val="00B47E21"/>
    <w:rsid w:val="00B517E9"/>
    <w:rsid w:val="00B529C1"/>
    <w:rsid w:val="00B537C6"/>
    <w:rsid w:val="00B54AF8"/>
    <w:rsid w:val="00B54B09"/>
    <w:rsid w:val="00B54CE5"/>
    <w:rsid w:val="00B54F4B"/>
    <w:rsid w:val="00B55608"/>
    <w:rsid w:val="00B5561F"/>
    <w:rsid w:val="00B556C3"/>
    <w:rsid w:val="00B562C3"/>
    <w:rsid w:val="00B5653E"/>
    <w:rsid w:val="00B56B6F"/>
    <w:rsid w:val="00B61EEA"/>
    <w:rsid w:val="00B62335"/>
    <w:rsid w:val="00B62A4E"/>
    <w:rsid w:val="00B62E4C"/>
    <w:rsid w:val="00B63944"/>
    <w:rsid w:val="00B6422B"/>
    <w:rsid w:val="00B64411"/>
    <w:rsid w:val="00B64A10"/>
    <w:rsid w:val="00B6517C"/>
    <w:rsid w:val="00B65AB9"/>
    <w:rsid w:val="00B669B2"/>
    <w:rsid w:val="00B671FA"/>
    <w:rsid w:val="00B67C86"/>
    <w:rsid w:val="00B7019C"/>
    <w:rsid w:val="00B71847"/>
    <w:rsid w:val="00B7305B"/>
    <w:rsid w:val="00B73896"/>
    <w:rsid w:val="00B748BB"/>
    <w:rsid w:val="00B75B80"/>
    <w:rsid w:val="00B770E5"/>
    <w:rsid w:val="00B776A4"/>
    <w:rsid w:val="00B8043D"/>
    <w:rsid w:val="00B80E0C"/>
    <w:rsid w:val="00B81580"/>
    <w:rsid w:val="00B815ED"/>
    <w:rsid w:val="00B81768"/>
    <w:rsid w:val="00B817B2"/>
    <w:rsid w:val="00B82520"/>
    <w:rsid w:val="00B82658"/>
    <w:rsid w:val="00B828A5"/>
    <w:rsid w:val="00B82B47"/>
    <w:rsid w:val="00B830FA"/>
    <w:rsid w:val="00B83BC9"/>
    <w:rsid w:val="00B84EAE"/>
    <w:rsid w:val="00B86A16"/>
    <w:rsid w:val="00B86CC0"/>
    <w:rsid w:val="00B86FF9"/>
    <w:rsid w:val="00B87430"/>
    <w:rsid w:val="00B876D3"/>
    <w:rsid w:val="00B87C9C"/>
    <w:rsid w:val="00B87DC9"/>
    <w:rsid w:val="00B87E94"/>
    <w:rsid w:val="00B90504"/>
    <w:rsid w:val="00B90842"/>
    <w:rsid w:val="00B90D7F"/>
    <w:rsid w:val="00B91436"/>
    <w:rsid w:val="00B91711"/>
    <w:rsid w:val="00B919B7"/>
    <w:rsid w:val="00B91A27"/>
    <w:rsid w:val="00B92B8C"/>
    <w:rsid w:val="00B92D88"/>
    <w:rsid w:val="00B9331C"/>
    <w:rsid w:val="00B94C2A"/>
    <w:rsid w:val="00B94F4D"/>
    <w:rsid w:val="00B95174"/>
    <w:rsid w:val="00B95890"/>
    <w:rsid w:val="00B958C9"/>
    <w:rsid w:val="00B95953"/>
    <w:rsid w:val="00B96021"/>
    <w:rsid w:val="00B960FF"/>
    <w:rsid w:val="00B9628B"/>
    <w:rsid w:val="00B962C8"/>
    <w:rsid w:val="00B96B0D"/>
    <w:rsid w:val="00B96DC5"/>
    <w:rsid w:val="00B9729E"/>
    <w:rsid w:val="00B97354"/>
    <w:rsid w:val="00B97772"/>
    <w:rsid w:val="00BA0E08"/>
    <w:rsid w:val="00BA0E51"/>
    <w:rsid w:val="00BA1D49"/>
    <w:rsid w:val="00BA1D75"/>
    <w:rsid w:val="00BA1E7B"/>
    <w:rsid w:val="00BA2AE2"/>
    <w:rsid w:val="00BA2CDC"/>
    <w:rsid w:val="00BA332A"/>
    <w:rsid w:val="00BA39DF"/>
    <w:rsid w:val="00BA3BE0"/>
    <w:rsid w:val="00BA49C1"/>
    <w:rsid w:val="00BA68D5"/>
    <w:rsid w:val="00BA7D68"/>
    <w:rsid w:val="00BB0C66"/>
    <w:rsid w:val="00BB2BC6"/>
    <w:rsid w:val="00BB2D6A"/>
    <w:rsid w:val="00BB31A3"/>
    <w:rsid w:val="00BB40CD"/>
    <w:rsid w:val="00BB4612"/>
    <w:rsid w:val="00BB4E94"/>
    <w:rsid w:val="00BB50BE"/>
    <w:rsid w:val="00BB52F8"/>
    <w:rsid w:val="00BB5BE7"/>
    <w:rsid w:val="00BB62DD"/>
    <w:rsid w:val="00BB6326"/>
    <w:rsid w:val="00BB666C"/>
    <w:rsid w:val="00BB69CD"/>
    <w:rsid w:val="00BB6C66"/>
    <w:rsid w:val="00BB761E"/>
    <w:rsid w:val="00BB7BA8"/>
    <w:rsid w:val="00BB7C0B"/>
    <w:rsid w:val="00BC04BD"/>
    <w:rsid w:val="00BC0A9A"/>
    <w:rsid w:val="00BC0AC1"/>
    <w:rsid w:val="00BC0AD9"/>
    <w:rsid w:val="00BC0BC0"/>
    <w:rsid w:val="00BC0D6F"/>
    <w:rsid w:val="00BC0E81"/>
    <w:rsid w:val="00BC0FBB"/>
    <w:rsid w:val="00BC18F5"/>
    <w:rsid w:val="00BC1B57"/>
    <w:rsid w:val="00BC1E18"/>
    <w:rsid w:val="00BC2B5E"/>
    <w:rsid w:val="00BC396B"/>
    <w:rsid w:val="00BC4040"/>
    <w:rsid w:val="00BC466C"/>
    <w:rsid w:val="00BC4CD5"/>
    <w:rsid w:val="00BC4F93"/>
    <w:rsid w:val="00BC5170"/>
    <w:rsid w:val="00BC66B1"/>
    <w:rsid w:val="00BC6945"/>
    <w:rsid w:val="00BC6CDE"/>
    <w:rsid w:val="00BC6F68"/>
    <w:rsid w:val="00BC77D1"/>
    <w:rsid w:val="00BC791D"/>
    <w:rsid w:val="00BC7C6F"/>
    <w:rsid w:val="00BD1D83"/>
    <w:rsid w:val="00BD2447"/>
    <w:rsid w:val="00BD3F48"/>
    <w:rsid w:val="00BD4380"/>
    <w:rsid w:val="00BD448D"/>
    <w:rsid w:val="00BD4BD3"/>
    <w:rsid w:val="00BD4BDD"/>
    <w:rsid w:val="00BD4E38"/>
    <w:rsid w:val="00BD530B"/>
    <w:rsid w:val="00BD57C0"/>
    <w:rsid w:val="00BD59D6"/>
    <w:rsid w:val="00BD5D9C"/>
    <w:rsid w:val="00BE0226"/>
    <w:rsid w:val="00BE0919"/>
    <w:rsid w:val="00BE2234"/>
    <w:rsid w:val="00BE2662"/>
    <w:rsid w:val="00BE2C63"/>
    <w:rsid w:val="00BE2EA5"/>
    <w:rsid w:val="00BE2FF3"/>
    <w:rsid w:val="00BE3472"/>
    <w:rsid w:val="00BE36B7"/>
    <w:rsid w:val="00BE4352"/>
    <w:rsid w:val="00BE43E7"/>
    <w:rsid w:val="00BE46A5"/>
    <w:rsid w:val="00BE5855"/>
    <w:rsid w:val="00BE5B9B"/>
    <w:rsid w:val="00BE5F61"/>
    <w:rsid w:val="00BE6A1B"/>
    <w:rsid w:val="00BE6A8D"/>
    <w:rsid w:val="00BE74CD"/>
    <w:rsid w:val="00BE793E"/>
    <w:rsid w:val="00BE7B13"/>
    <w:rsid w:val="00BE7E0A"/>
    <w:rsid w:val="00BF05C1"/>
    <w:rsid w:val="00BF0AFD"/>
    <w:rsid w:val="00BF0C13"/>
    <w:rsid w:val="00BF1A5A"/>
    <w:rsid w:val="00BF1E24"/>
    <w:rsid w:val="00BF1E4A"/>
    <w:rsid w:val="00BF2A21"/>
    <w:rsid w:val="00BF305D"/>
    <w:rsid w:val="00BF33C2"/>
    <w:rsid w:val="00BF50C2"/>
    <w:rsid w:val="00BF6CB2"/>
    <w:rsid w:val="00BF757C"/>
    <w:rsid w:val="00BF7C66"/>
    <w:rsid w:val="00C007E4"/>
    <w:rsid w:val="00C00C06"/>
    <w:rsid w:val="00C01119"/>
    <w:rsid w:val="00C013AB"/>
    <w:rsid w:val="00C016D5"/>
    <w:rsid w:val="00C0292B"/>
    <w:rsid w:val="00C02A8E"/>
    <w:rsid w:val="00C032FE"/>
    <w:rsid w:val="00C03455"/>
    <w:rsid w:val="00C0390C"/>
    <w:rsid w:val="00C04282"/>
    <w:rsid w:val="00C043BD"/>
    <w:rsid w:val="00C044AC"/>
    <w:rsid w:val="00C0483F"/>
    <w:rsid w:val="00C04BE3"/>
    <w:rsid w:val="00C05A13"/>
    <w:rsid w:val="00C05D93"/>
    <w:rsid w:val="00C0610E"/>
    <w:rsid w:val="00C0611F"/>
    <w:rsid w:val="00C07044"/>
    <w:rsid w:val="00C077EF"/>
    <w:rsid w:val="00C101E1"/>
    <w:rsid w:val="00C101EC"/>
    <w:rsid w:val="00C102DD"/>
    <w:rsid w:val="00C10635"/>
    <w:rsid w:val="00C10D51"/>
    <w:rsid w:val="00C1104F"/>
    <w:rsid w:val="00C11B3D"/>
    <w:rsid w:val="00C11CAF"/>
    <w:rsid w:val="00C12D7D"/>
    <w:rsid w:val="00C12DF1"/>
    <w:rsid w:val="00C131E6"/>
    <w:rsid w:val="00C135DC"/>
    <w:rsid w:val="00C13A27"/>
    <w:rsid w:val="00C13DFA"/>
    <w:rsid w:val="00C14267"/>
    <w:rsid w:val="00C14EDB"/>
    <w:rsid w:val="00C1519B"/>
    <w:rsid w:val="00C15AB2"/>
    <w:rsid w:val="00C15E63"/>
    <w:rsid w:val="00C15FA1"/>
    <w:rsid w:val="00C1600F"/>
    <w:rsid w:val="00C16464"/>
    <w:rsid w:val="00C16C52"/>
    <w:rsid w:val="00C16DF4"/>
    <w:rsid w:val="00C17171"/>
    <w:rsid w:val="00C20069"/>
    <w:rsid w:val="00C2011F"/>
    <w:rsid w:val="00C203C4"/>
    <w:rsid w:val="00C208C3"/>
    <w:rsid w:val="00C21691"/>
    <w:rsid w:val="00C21DA7"/>
    <w:rsid w:val="00C2221F"/>
    <w:rsid w:val="00C2254E"/>
    <w:rsid w:val="00C229A4"/>
    <w:rsid w:val="00C23A58"/>
    <w:rsid w:val="00C23DBD"/>
    <w:rsid w:val="00C2439A"/>
    <w:rsid w:val="00C244AF"/>
    <w:rsid w:val="00C24C13"/>
    <w:rsid w:val="00C25114"/>
    <w:rsid w:val="00C25299"/>
    <w:rsid w:val="00C253C0"/>
    <w:rsid w:val="00C25ABE"/>
    <w:rsid w:val="00C25B27"/>
    <w:rsid w:val="00C26193"/>
    <w:rsid w:val="00C273D4"/>
    <w:rsid w:val="00C274AD"/>
    <w:rsid w:val="00C30E79"/>
    <w:rsid w:val="00C316B3"/>
    <w:rsid w:val="00C31A8E"/>
    <w:rsid w:val="00C32636"/>
    <w:rsid w:val="00C3276D"/>
    <w:rsid w:val="00C327CB"/>
    <w:rsid w:val="00C32A0E"/>
    <w:rsid w:val="00C331CB"/>
    <w:rsid w:val="00C33BB4"/>
    <w:rsid w:val="00C348BA"/>
    <w:rsid w:val="00C3494F"/>
    <w:rsid w:val="00C34E06"/>
    <w:rsid w:val="00C3588B"/>
    <w:rsid w:val="00C364A7"/>
    <w:rsid w:val="00C36FC1"/>
    <w:rsid w:val="00C37039"/>
    <w:rsid w:val="00C3715C"/>
    <w:rsid w:val="00C37B1E"/>
    <w:rsid w:val="00C37CA1"/>
    <w:rsid w:val="00C37D75"/>
    <w:rsid w:val="00C4002C"/>
    <w:rsid w:val="00C40142"/>
    <w:rsid w:val="00C405B3"/>
    <w:rsid w:val="00C407BB"/>
    <w:rsid w:val="00C40DD5"/>
    <w:rsid w:val="00C41249"/>
    <w:rsid w:val="00C415BB"/>
    <w:rsid w:val="00C417C4"/>
    <w:rsid w:val="00C41BA7"/>
    <w:rsid w:val="00C41C56"/>
    <w:rsid w:val="00C41D5A"/>
    <w:rsid w:val="00C42D1A"/>
    <w:rsid w:val="00C43318"/>
    <w:rsid w:val="00C44523"/>
    <w:rsid w:val="00C4467C"/>
    <w:rsid w:val="00C44C4A"/>
    <w:rsid w:val="00C459AB"/>
    <w:rsid w:val="00C467A9"/>
    <w:rsid w:val="00C46EAC"/>
    <w:rsid w:val="00C4775F"/>
    <w:rsid w:val="00C50B9D"/>
    <w:rsid w:val="00C51783"/>
    <w:rsid w:val="00C5180A"/>
    <w:rsid w:val="00C51B1F"/>
    <w:rsid w:val="00C51DA5"/>
    <w:rsid w:val="00C535A8"/>
    <w:rsid w:val="00C5363F"/>
    <w:rsid w:val="00C53982"/>
    <w:rsid w:val="00C539D5"/>
    <w:rsid w:val="00C53BB3"/>
    <w:rsid w:val="00C53C55"/>
    <w:rsid w:val="00C53EE2"/>
    <w:rsid w:val="00C53F99"/>
    <w:rsid w:val="00C547C1"/>
    <w:rsid w:val="00C55816"/>
    <w:rsid w:val="00C560E7"/>
    <w:rsid w:val="00C57C75"/>
    <w:rsid w:val="00C57FD5"/>
    <w:rsid w:val="00C60403"/>
    <w:rsid w:val="00C60B62"/>
    <w:rsid w:val="00C60E0A"/>
    <w:rsid w:val="00C61403"/>
    <w:rsid w:val="00C6198A"/>
    <w:rsid w:val="00C62513"/>
    <w:rsid w:val="00C62BB6"/>
    <w:rsid w:val="00C62D68"/>
    <w:rsid w:val="00C63362"/>
    <w:rsid w:val="00C634F2"/>
    <w:rsid w:val="00C63CC9"/>
    <w:rsid w:val="00C63E0B"/>
    <w:rsid w:val="00C6512B"/>
    <w:rsid w:val="00C667F6"/>
    <w:rsid w:val="00C66C9C"/>
    <w:rsid w:val="00C66D38"/>
    <w:rsid w:val="00C66E36"/>
    <w:rsid w:val="00C66F92"/>
    <w:rsid w:val="00C67CD6"/>
    <w:rsid w:val="00C70222"/>
    <w:rsid w:val="00C7023D"/>
    <w:rsid w:val="00C70AB5"/>
    <w:rsid w:val="00C71280"/>
    <w:rsid w:val="00C724AE"/>
    <w:rsid w:val="00C72B28"/>
    <w:rsid w:val="00C7339C"/>
    <w:rsid w:val="00C73BE7"/>
    <w:rsid w:val="00C73D17"/>
    <w:rsid w:val="00C73DDF"/>
    <w:rsid w:val="00C740CA"/>
    <w:rsid w:val="00C74213"/>
    <w:rsid w:val="00C7472D"/>
    <w:rsid w:val="00C7479B"/>
    <w:rsid w:val="00C74B00"/>
    <w:rsid w:val="00C753AB"/>
    <w:rsid w:val="00C7573F"/>
    <w:rsid w:val="00C7607F"/>
    <w:rsid w:val="00C7796B"/>
    <w:rsid w:val="00C77DBB"/>
    <w:rsid w:val="00C77EB1"/>
    <w:rsid w:val="00C80386"/>
    <w:rsid w:val="00C80895"/>
    <w:rsid w:val="00C809DA"/>
    <w:rsid w:val="00C81684"/>
    <w:rsid w:val="00C8174B"/>
    <w:rsid w:val="00C820B9"/>
    <w:rsid w:val="00C82781"/>
    <w:rsid w:val="00C83B3C"/>
    <w:rsid w:val="00C83DF7"/>
    <w:rsid w:val="00C85E90"/>
    <w:rsid w:val="00C85EAF"/>
    <w:rsid w:val="00C86397"/>
    <w:rsid w:val="00C873ED"/>
    <w:rsid w:val="00C877E3"/>
    <w:rsid w:val="00C87D2A"/>
    <w:rsid w:val="00C90A62"/>
    <w:rsid w:val="00C90E94"/>
    <w:rsid w:val="00C911F4"/>
    <w:rsid w:val="00C9279D"/>
    <w:rsid w:val="00C927AD"/>
    <w:rsid w:val="00C92B7C"/>
    <w:rsid w:val="00C9317A"/>
    <w:rsid w:val="00C935BA"/>
    <w:rsid w:val="00C93692"/>
    <w:rsid w:val="00C936E8"/>
    <w:rsid w:val="00C93B2E"/>
    <w:rsid w:val="00C93F31"/>
    <w:rsid w:val="00C93F69"/>
    <w:rsid w:val="00C95270"/>
    <w:rsid w:val="00C959D1"/>
    <w:rsid w:val="00C96F52"/>
    <w:rsid w:val="00C974BA"/>
    <w:rsid w:val="00C97745"/>
    <w:rsid w:val="00C979E5"/>
    <w:rsid w:val="00CA02DE"/>
    <w:rsid w:val="00CA0A3E"/>
    <w:rsid w:val="00CA0C26"/>
    <w:rsid w:val="00CA0EEF"/>
    <w:rsid w:val="00CA0FB0"/>
    <w:rsid w:val="00CA13D5"/>
    <w:rsid w:val="00CA1F56"/>
    <w:rsid w:val="00CA2693"/>
    <w:rsid w:val="00CA2C13"/>
    <w:rsid w:val="00CA380B"/>
    <w:rsid w:val="00CA3BE4"/>
    <w:rsid w:val="00CA4566"/>
    <w:rsid w:val="00CA4701"/>
    <w:rsid w:val="00CA47D8"/>
    <w:rsid w:val="00CA4D93"/>
    <w:rsid w:val="00CA5417"/>
    <w:rsid w:val="00CA555D"/>
    <w:rsid w:val="00CA5626"/>
    <w:rsid w:val="00CA5896"/>
    <w:rsid w:val="00CA5B5A"/>
    <w:rsid w:val="00CA6186"/>
    <w:rsid w:val="00CA65CB"/>
    <w:rsid w:val="00CA69AA"/>
    <w:rsid w:val="00CA6EFC"/>
    <w:rsid w:val="00CA7A0A"/>
    <w:rsid w:val="00CA7BF9"/>
    <w:rsid w:val="00CB095D"/>
    <w:rsid w:val="00CB0C61"/>
    <w:rsid w:val="00CB1915"/>
    <w:rsid w:val="00CB1928"/>
    <w:rsid w:val="00CB1C14"/>
    <w:rsid w:val="00CB212A"/>
    <w:rsid w:val="00CB2E4F"/>
    <w:rsid w:val="00CB3770"/>
    <w:rsid w:val="00CB3CFB"/>
    <w:rsid w:val="00CB3E88"/>
    <w:rsid w:val="00CB4189"/>
    <w:rsid w:val="00CB4428"/>
    <w:rsid w:val="00CB4B68"/>
    <w:rsid w:val="00CB5A4D"/>
    <w:rsid w:val="00CB715D"/>
    <w:rsid w:val="00CC091E"/>
    <w:rsid w:val="00CC0B8D"/>
    <w:rsid w:val="00CC0D09"/>
    <w:rsid w:val="00CC1380"/>
    <w:rsid w:val="00CC1549"/>
    <w:rsid w:val="00CC16DA"/>
    <w:rsid w:val="00CC23F2"/>
    <w:rsid w:val="00CC270A"/>
    <w:rsid w:val="00CC2B5E"/>
    <w:rsid w:val="00CC2BFF"/>
    <w:rsid w:val="00CC38F0"/>
    <w:rsid w:val="00CC3CC2"/>
    <w:rsid w:val="00CC3FD9"/>
    <w:rsid w:val="00CC4A7C"/>
    <w:rsid w:val="00CC4C29"/>
    <w:rsid w:val="00CC55C3"/>
    <w:rsid w:val="00CC578C"/>
    <w:rsid w:val="00CD166B"/>
    <w:rsid w:val="00CD18AF"/>
    <w:rsid w:val="00CD3303"/>
    <w:rsid w:val="00CD36AF"/>
    <w:rsid w:val="00CD3951"/>
    <w:rsid w:val="00CD3AAF"/>
    <w:rsid w:val="00CD46C8"/>
    <w:rsid w:val="00CD4ADA"/>
    <w:rsid w:val="00CD53F0"/>
    <w:rsid w:val="00CD54E4"/>
    <w:rsid w:val="00CD57F2"/>
    <w:rsid w:val="00CD5B8E"/>
    <w:rsid w:val="00CD63E2"/>
    <w:rsid w:val="00CD713F"/>
    <w:rsid w:val="00CD7436"/>
    <w:rsid w:val="00CE1246"/>
    <w:rsid w:val="00CE176D"/>
    <w:rsid w:val="00CE1CF7"/>
    <w:rsid w:val="00CE20C5"/>
    <w:rsid w:val="00CE256A"/>
    <w:rsid w:val="00CE2D8C"/>
    <w:rsid w:val="00CE2E01"/>
    <w:rsid w:val="00CE3019"/>
    <w:rsid w:val="00CE322C"/>
    <w:rsid w:val="00CE34B1"/>
    <w:rsid w:val="00CE43B6"/>
    <w:rsid w:val="00CE4D5A"/>
    <w:rsid w:val="00CE5212"/>
    <w:rsid w:val="00CE5581"/>
    <w:rsid w:val="00CE5707"/>
    <w:rsid w:val="00CE5D93"/>
    <w:rsid w:val="00CE6265"/>
    <w:rsid w:val="00CE73DC"/>
    <w:rsid w:val="00CE7B87"/>
    <w:rsid w:val="00CE7C6B"/>
    <w:rsid w:val="00CF04EA"/>
    <w:rsid w:val="00CF0644"/>
    <w:rsid w:val="00CF0761"/>
    <w:rsid w:val="00CF1064"/>
    <w:rsid w:val="00CF1710"/>
    <w:rsid w:val="00CF232C"/>
    <w:rsid w:val="00CF23CA"/>
    <w:rsid w:val="00CF2891"/>
    <w:rsid w:val="00CF2C93"/>
    <w:rsid w:val="00CF33B3"/>
    <w:rsid w:val="00CF36D5"/>
    <w:rsid w:val="00CF4258"/>
    <w:rsid w:val="00CF485B"/>
    <w:rsid w:val="00CF53AE"/>
    <w:rsid w:val="00CF5962"/>
    <w:rsid w:val="00CF5BFC"/>
    <w:rsid w:val="00CF631D"/>
    <w:rsid w:val="00CF6527"/>
    <w:rsid w:val="00CF6670"/>
    <w:rsid w:val="00CF6AD4"/>
    <w:rsid w:val="00CF6B50"/>
    <w:rsid w:val="00CF6CDF"/>
    <w:rsid w:val="00CF74DC"/>
    <w:rsid w:val="00CF7B4F"/>
    <w:rsid w:val="00CF7DE8"/>
    <w:rsid w:val="00D00A3B"/>
    <w:rsid w:val="00D00E41"/>
    <w:rsid w:val="00D014FE"/>
    <w:rsid w:val="00D0189C"/>
    <w:rsid w:val="00D026E8"/>
    <w:rsid w:val="00D02C95"/>
    <w:rsid w:val="00D0315C"/>
    <w:rsid w:val="00D03294"/>
    <w:rsid w:val="00D04613"/>
    <w:rsid w:val="00D04771"/>
    <w:rsid w:val="00D057F5"/>
    <w:rsid w:val="00D05B37"/>
    <w:rsid w:val="00D05F49"/>
    <w:rsid w:val="00D07483"/>
    <w:rsid w:val="00D07867"/>
    <w:rsid w:val="00D0787B"/>
    <w:rsid w:val="00D1129E"/>
    <w:rsid w:val="00D11596"/>
    <w:rsid w:val="00D11666"/>
    <w:rsid w:val="00D12BF9"/>
    <w:rsid w:val="00D13183"/>
    <w:rsid w:val="00D1388F"/>
    <w:rsid w:val="00D13902"/>
    <w:rsid w:val="00D14199"/>
    <w:rsid w:val="00D1441B"/>
    <w:rsid w:val="00D1459A"/>
    <w:rsid w:val="00D14747"/>
    <w:rsid w:val="00D14A75"/>
    <w:rsid w:val="00D14EEC"/>
    <w:rsid w:val="00D163E4"/>
    <w:rsid w:val="00D16514"/>
    <w:rsid w:val="00D16633"/>
    <w:rsid w:val="00D169D9"/>
    <w:rsid w:val="00D16D32"/>
    <w:rsid w:val="00D16FBE"/>
    <w:rsid w:val="00D17034"/>
    <w:rsid w:val="00D170EF"/>
    <w:rsid w:val="00D1792E"/>
    <w:rsid w:val="00D17C3E"/>
    <w:rsid w:val="00D17C88"/>
    <w:rsid w:val="00D20036"/>
    <w:rsid w:val="00D20249"/>
    <w:rsid w:val="00D207A4"/>
    <w:rsid w:val="00D209F6"/>
    <w:rsid w:val="00D21274"/>
    <w:rsid w:val="00D21597"/>
    <w:rsid w:val="00D21CAA"/>
    <w:rsid w:val="00D21F12"/>
    <w:rsid w:val="00D22758"/>
    <w:rsid w:val="00D2279A"/>
    <w:rsid w:val="00D22A1A"/>
    <w:rsid w:val="00D22A47"/>
    <w:rsid w:val="00D22A9E"/>
    <w:rsid w:val="00D230C9"/>
    <w:rsid w:val="00D23A40"/>
    <w:rsid w:val="00D2495D"/>
    <w:rsid w:val="00D25628"/>
    <w:rsid w:val="00D25986"/>
    <w:rsid w:val="00D268A7"/>
    <w:rsid w:val="00D26D29"/>
    <w:rsid w:val="00D270C5"/>
    <w:rsid w:val="00D27FA3"/>
    <w:rsid w:val="00D3043D"/>
    <w:rsid w:val="00D30D2A"/>
    <w:rsid w:val="00D3130C"/>
    <w:rsid w:val="00D31538"/>
    <w:rsid w:val="00D3182B"/>
    <w:rsid w:val="00D3184D"/>
    <w:rsid w:val="00D31C27"/>
    <w:rsid w:val="00D3225C"/>
    <w:rsid w:val="00D32824"/>
    <w:rsid w:val="00D32EA9"/>
    <w:rsid w:val="00D33D39"/>
    <w:rsid w:val="00D33F69"/>
    <w:rsid w:val="00D34901"/>
    <w:rsid w:val="00D34D43"/>
    <w:rsid w:val="00D3531D"/>
    <w:rsid w:val="00D354E1"/>
    <w:rsid w:val="00D35777"/>
    <w:rsid w:val="00D35870"/>
    <w:rsid w:val="00D361A7"/>
    <w:rsid w:val="00D367AC"/>
    <w:rsid w:val="00D36DE3"/>
    <w:rsid w:val="00D370E3"/>
    <w:rsid w:val="00D37437"/>
    <w:rsid w:val="00D37703"/>
    <w:rsid w:val="00D4048D"/>
    <w:rsid w:val="00D40BEA"/>
    <w:rsid w:val="00D40C88"/>
    <w:rsid w:val="00D40EB8"/>
    <w:rsid w:val="00D40FE9"/>
    <w:rsid w:val="00D412F8"/>
    <w:rsid w:val="00D41DCB"/>
    <w:rsid w:val="00D421D5"/>
    <w:rsid w:val="00D4252D"/>
    <w:rsid w:val="00D42751"/>
    <w:rsid w:val="00D42968"/>
    <w:rsid w:val="00D42B16"/>
    <w:rsid w:val="00D43DB8"/>
    <w:rsid w:val="00D44348"/>
    <w:rsid w:val="00D4577F"/>
    <w:rsid w:val="00D45782"/>
    <w:rsid w:val="00D458DB"/>
    <w:rsid w:val="00D45EC2"/>
    <w:rsid w:val="00D45F87"/>
    <w:rsid w:val="00D46206"/>
    <w:rsid w:val="00D47799"/>
    <w:rsid w:val="00D47EDB"/>
    <w:rsid w:val="00D50FEE"/>
    <w:rsid w:val="00D51363"/>
    <w:rsid w:val="00D51A90"/>
    <w:rsid w:val="00D51BBA"/>
    <w:rsid w:val="00D51C46"/>
    <w:rsid w:val="00D51E9C"/>
    <w:rsid w:val="00D52508"/>
    <w:rsid w:val="00D53256"/>
    <w:rsid w:val="00D5327D"/>
    <w:rsid w:val="00D54627"/>
    <w:rsid w:val="00D54B77"/>
    <w:rsid w:val="00D55114"/>
    <w:rsid w:val="00D55AB8"/>
    <w:rsid w:val="00D55DAA"/>
    <w:rsid w:val="00D568A1"/>
    <w:rsid w:val="00D574FF"/>
    <w:rsid w:val="00D576A8"/>
    <w:rsid w:val="00D57AAA"/>
    <w:rsid w:val="00D616C8"/>
    <w:rsid w:val="00D61709"/>
    <w:rsid w:val="00D61AF7"/>
    <w:rsid w:val="00D61DF5"/>
    <w:rsid w:val="00D620A7"/>
    <w:rsid w:val="00D622D1"/>
    <w:rsid w:val="00D6274D"/>
    <w:rsid w:val="00D63943"/>
    <w:rsid w:val="00D63A89"/>
    <w:rsid w:val="00D64006"/>
    <w:rsid w:val="00D641AC"/>
    <w:rsid w:val="00D64E96"/>
    <w:rsid w:val="00D657D1"/>
    <w:rsid w:val="00D65E67"/>
    <w:rsid w:val="00D664F0"/>
    <w:rsid w:val="00D66B9A"/>
    <w:rsid w:val="00D6700C"/>
    <w:rsid w:val="00D6753E"/>
    <w:rsid w:val="00D67807"/>
    <w:rsid w:val="00D67A37"/>
    <w:rsid w:val="00D70023"/>
    <w:rsid w:val="00D707FC"/>
    <w:rsid w:val="00D70B91"/>
    <w:rsid w:val="00D71007"/>
    <w:rsid w:val="00D71060"/>
    <w:rsid w:val="00D714D6"/>
    <w:rsid w:val="00D71EB3"/>
    <w:rsid w:val="00D727DD"/>
    <w:rsid w:val="00D72BB4"/>
    <w:rsid w:val="00D7440D"/>
    <w:rsid w:val="00D74984"/>
    <w:rsid w:val="00D74F7C"/>
    <w:rsid w:val="00D750F6"/>
    <w:rsid w:val="00D7590B"/>
    <w:rsid w:val="00D75C35"/>
    <w:rsid w:val="00D75D89"/>
    <w:rsid w:val="00D7605D"/>
    <w:rsid w:val="00D76709"/>
    <w:rsid w:val="00D76FFE"/>
    <w:rsid w:val="00D7780F"/>
    <w:rsid w:val="00D80AD2"/>
    <w:rsid w:val="00D81534"/>
    <w:rsid w:val="00D81827"/>
    <w:rsid w:val="00D81DEB"/>
    <w:rsid w:val="00D82206"/>
    <w:rsid w:val="00D828FC"/>
    <w:rsid w:val="00D82EC8"/>
    <w:rsid w:val="00D83166"/>
    <w:rsid w:val="00D8350C"/>
    <w:rsid w:val="00D84A67"/>
    <w:rsid w:val="00D85AAE"/>
    <w:rsid w:val="00D85BDF"/>
    <w:rsid w:val="00D85C5A"/>
    <w:rsid w:val="00D85D5F"/>
    <w:rsid w:val="00D86788"/>
    <w:rsid w:val="00D86817"/>
    <w:rsid w:val="00D86892"/>
    <w:rsid w:val="00D868F7"/>
    <w:rsid w:val="00D869C9"/>
    <w:rsid w:val="00D8700B"/>
    <w:rsid w:val="00D874EC"/>
    <w:rsid w:val="00D877C7"/>
    <w:rsid w:val="00D879D3"/>
    <w:rsid w:val="00D87E61"/>
    <w:rsid w:val="00D90535"/>
    <w:rsid w:val="00D90A1B"/>
    <w:rsid w:val="00D90E0D"/>
    <w:rsid w:val="00D91468"/>
    <w:rsid w:val="00D91FBC"/>
    <w:rsid w:val="00D92B0B"/>
    <w:rsid w:val="00D9304C"/>
    <w:rsid w:val="00D93595"/>
    <w:rsid w:val="00D94499"/>
    <w:rsid w:val="00D95444"/>
    <w:rsid w:val="00D96C79"/>
    <w:rsid w:val="00D979F6"/>
    <w:rsid w:val="00DA0D14"/>
    <w:rsid w:val="00DA11C8"/>
    <w:rsid w:val="00DA1200"/>
    <w:rsid w:val="00DA18E1"/>
    <w:rsid w:val="00DA22BE"/>
    <w:rsid w:val="00DA26BA"/>
    <w:rsid w:val="00DA3681"/>
    <w:rsid w:val="00DA3B44"/>
    <w:rsid w:val="00DA4B3E"/>
    <w:rsid w:val="00DA4C94"/>
    <w:rsid w:val="00DA4D73"/>
    <w:rsid w:val="00DA52B0"/>
    <w:rsid w:val="00DA5877"/>
    <w:rsid w:val="00DA6516"/>
    <w:rsid w:val="00DA661C"/>
    <w:rsid w:val="00DA6BDC"/>
    <w:rsid w:val="00DA73BE"/>
    <w:rsid w:val="00DA7563"/>
    <w:rsid w:val="00DA79CA"/>
    <w:rsid w:val="00DB0073"/>
    <w:rsid w:val="00DB0B3A"/>
    <w:rsid w:val="00DB1781"/>
    <w:rsid w:val="00DB2017"/>
    <w:rsid w:val="00DB20B8"/>
    <w:rsid w:val="00DB2F30"/>
    <w:rsid w:val="00DB32B2"/>
    <w:rsid w:val="00DB46E2"/>
    <w:rsid w:val="00DB46F2"/>
    <w:rsid w:val="00DB4C23"/>
    <w:rsid w:val="00DB4F1E"/>
    <w:rsid w:val="00DB4FBA"/>
    <w:rsid w:val="00DB5883"/>
    <w:rsid w:val="00DB5953"/>
    <w:rsid w:val="00DB5BA4"/>
    <w:rsid w:val="00DB63E3"/>
    <w:rsid w:val="00DB6B1A"/>
    <w:rsid w:val="00DB6D5C"/>
    <w:rsid w:val="00DB6FB9"/>
    <w:rsid w:val="00DC01D6"/>
    <w:rsid w:val="00DC11DA"/>
    <w:rsid w:val="00DC16F1"/>
    <w:rsid w:val="00DC1962"/>
    <w:rsid w:val="00DC1B20"/>
    <w:rsid w:val="00DC1D4F"/>
    <w:rsid w:val="00DC214A"/>
    <w:rsid w:val="00DC21F3"/>
    <w:rsid w:val="00DC27DD"/>
    <w:rsid w:val="00DC2B85"/>
    <w:rsid w:val="00DC2EE1"/>
    <w:rsid w:val="00DC304D"/>
    <w:rsid w:val="00DC32C9"/>
    <w:rsid w:val="00DC3583"/>
    <w:rsid w:val="00DC38F4"/>
    <w:rsid w:val="00DC451D"/>
    <w:rsid w:val="00DC505E"/>
    <w:rsid w:val="00DC50F3"/>
    <w:rsid w:val="00DC54AD"/>
    <w:rsid w:val="00DC6929"/>
    <w:rsid w:val="00DC6AE8"/>
    <w:rsid w:val="00DC6D2D"/>
    <w:rsid w:val="00DC74B4"/>
    <w:rsid w:val="00DC7A9D"/>
    <w:rsid w:val="00DC7B38"/>
    <w:rsid w:val="00DC7F37"/>
    <w:rsid w:val="00DD093C"/>
    <w:rsid w:val="00DD0FA4"/>
    <w:rsid w:val="00DD1068"/>
    <w:rsid w:val="00DD1D59"/>
    <w:rsid w:val="00DD2014"/>
    <w:rsid w:val="00DD44ED"/>
    <w:rsid w:val="00DD4500"/>
    <w:rsid w:val="00DD54CD"/>
    <w:rsid w:val="00DD5D75"/>
    <w:rsid w:val="00DD6429"/>
    <w:rsid w:val="00DD67FB"/>
    <w:rsid w:val="00DD6A3C"/>
    <w:rsid w:val="00DD6CEF"/>
    <w:rsid w:val="00DD7102"/>
    <w:rsid w:val="00DD7411"/>
    <w:rsid w:val="00DD7548"/>
    <w:rsid w:val="00DD7B8C"/>
    <w:rsid w:val="00DD7D5C"/>
    <w:rsid w:val="00DD7E16"/>
    <w:rsid w:val="00DE042E"/>
    <w:rsid w:val="00DE08B5"/>
    <w:rsid w:val="00DE11AD"/>
    <w:rsid w:val="00DE26AD"/>
    <w:rsid w:val="00DE273B"/>
    <w:rsid w:val="00DE2981"/>
    <w:rsid w:val="00DE2A1B"/>
    <w:rsid w:val="00DE30D7"/>
    <w:rsid w:val="00DE3622"/>
    <w:rsid w:val="00DE4169"/>
    <w:rsid w:val="00DE4170"/>
    <w:rsid w:val="00DE4A0D"/>
    <w:rsid w:val="00DE56DD"/>
    <w:rsid w:val="00DE5B2B"/>
    <w:rsid w:val="00DE5D61"/>
    <w:rsid w:val="00DE67C4"/>
    <w:rsid w:val="00DE72D9"/>
    <w:rsid w:val="00DE7330"/>
    <w:rsid w:val="00DE763E"/>
    <w:rsid w:val="00DE764B"/>
    <w:rsid w:val="00DE7B63"/>
    <w:rsid w:val="00DF19CF"/>
    <w:rsid w:val="00DF2EE3"/>
    <w:rsid w:val="00DF3A54"/>
    <w:rsid w:val="00DF3B4F"/>
    <w:rsid w:val="00DF418A"/>
    <w:rsid w:val="00DF44D2"/>
    <w:rsid w:val="00DF519F"/>
    <w:rsid w:val="00DF51A6"/>
    <w:rsid w:val="00DF596E"/>
    <w:rsid w:val="00DF5A25"/>
    <w:rsid w:val="00DF60D6"/>
    <w:rsid w:val="00DF63F2"/>
    <w:rsid w:val="00DF6E1C"/>
    <w:rsid w:val="00DF6F25"/>
    <w:rsid w:val="00DF72E7"/>
    <w:rsid w:val="00DF7C71"/>
    <w:rsid w:val="00DF7DE3"/>
    <w:rsid w:val="00E00A5D"/>
    <w:rsid w:val="00E00DF1"/>
    <w:rsid w:val="00E01749"/>
    <w:rsid w:val="00E0223C"/>
    <w:rsid w:val="00E02824"/>
    <w:rsid w:val="00E02EEB"/>
    <w:rsid w:val="00E030A2"/>
    <w:rsid w:val="00E03729"/>
    <w:rsid w:val="00E03DAF"/>
    <w:rsid w:val="00E04674"/>
    <w:rsid w:val="00E04EF4"/>
    <w:rsid w:val="00E0686B"/>
    <w:rsid w:val="00E068DE"/>
    <w:rsid w:val="00E078FC"/>
    <w:rsid w:val="00E07990"/>
    <w:rsid w:val="00E115F7"/>
    <w:rsid w:val="00E117F7"/>
    <w:rsid w:val="00E11BD2"/>
    <w:rsid w:val="00E12677"/>
    <w:rsid w:val="00E12E06"/>
    <w:rsid w:val="00E12E2E"/>
    <w:rsid w:val="00E1374F"/>
    <w:rsid w:val="00E13DC2"/>
    <w:rsid w:val="00E1418D"/>
    <w:rsid w:val="00E141E6"/>
    <w:rsid w:val="00E14878"/>
    <w:rsid w:val="00E14D67"/>
    <w:rsid w:val="00E155EF"/>
    <w:rsid w:val="00E15A01"/>
    <w:rsid w:val="00E15E0D"/>
    <w:rsid w:val="00E160CB"/>
    <w:rsid w:val="00E1654A"/>
    <w:rsid w:val="00E16C67"/>
    <w:rsid w:val="00E16DAB"/>
    <w:rsid w:val="00E1719F"/>
    <w:rsid w:val="00E2032C"/>
    <w:rsid w:val="00E20629"/>
    <w:rsid w:val="00E20677"/>
    <w:rsid w:val="00E20AD1"/>
    <w:rsid w:val="00E20FA0"/>
    <w:rsid w:val="00E21140"/>
    <w:rsid w:val="00E2184A"/>
    <w:rsid w:val="00E218E1"/>
    <w:rsid w:val="00E21E78"/>
    <w:rsid w:val="00E2252D"/>
    <w:rsid w:val="00E22C47"/>
    <w:rsid w:val="00E230FA"/>
    <w:rsid w:val="00E235A3"/>
    <w:rsid w:val="00E2457D"/>
    <w:rsid w:val="00E24EB1"/>
    <w:rsid w:val="00E263CF"/>
    <w:rsid w:val="00E268C4"/>
    <w:rsid w:val="00E26B8D"/>
    <w:rsid w:val="00E26C13"/>
    <w:rsid w:val="00E26E57"/>
    <w:rsid w:val="00E26F91"/>
    <w:rsid w:val="00E2741C"/>
    <w:rsid w:val="00E276CC"/>
    <w:rsid w:val="00E30388"/>
    <w:rsid w:val="00E31FC1"/>
    <w:rsid w:val="00E320A5"/>
    <w:rsid w:val="00E3236E"/>
    <w:rsid w:val="00E3289B"/>
    <w:rsid w:val="00E33272"/>
    <w:rsid w:val="00E3359B"/>
    <w:rsid w:val="00E33766"/>
    <w:rsid w:val="00E342F5"/>
    <w:rsid w:val="00E34FB3"/>
    <w:rsid w:val="00E351B9"/>
    <w:rsid w:val="00E354A2"/>
    <w:rsid w:val="00E3567B"/>
    <w:rsid w:val="00E357DE"/>
    <w:rsid w:val="00E35CF2"/>
    <w:rsid w:val="00E36647"/>
    <w:rsid w:val="00E36957"/>
    <w:rsid w:val="00E3700A"/>
    <w:rsid w:val="00E37029"/>
    <w:rsid w:val="00E374F4"/>
    <w:rsid w:val="00E3764D"/>
    <w:rsid w:val="00E3777B"/>
    <w:rsid w:val="00E379C5"/>
    <w:rsid w:val="00E406CF"/>
    <w:rsid w:val="00E40955"/>
    <w:rsid w:val="00E40AA4"/>
    <w:rsid w:val="00E40EC0"/>
    <w:rsid w:val="00E41B52"/>
    <w:rsid w:val="00E41DA7"/>
    <w:rsid w:val="00E4229F"/>
    <w:rsid w:val="00E4356B"/>
    <w:rsid w:val="00E447B0"/>
    <w:rsid w:val="00E44D9A"/>
    <w:rsid w:val="00E45302"/>
    <w:rsid w:val="00E455B8"/>
    <w:rsid w:val="00E45AB3"/>
    <w:rsid w:val="00E46376"/>
    <w:rsid w:val="00E46A29"/>
    <w:rsid w:val="00E46CE3"/>
    <w:rsid w:val="00E47857"/>
    <w:rsid w:val="00E50037"/>
    <w:rsid w:val="00E50890"/>
    <w:rsid w:val="00E508F5"/>
    <w:rsid w:val="00E50BAA"/>
    <w:rsid w:val="00E51015"/>
    <w:rsid w:val="00E5150B"/>
    <w:rsid w:val="00E51F32"/>
    <w:rsid w:val="00E529AD"/>
    <w:rsid w:val="00E52EB3"/>
    <w:rsid w:val="00E530C5"/>
    <w:rsid w:val="00E53592"/>
    <w:rsid w:val="00E540A4"/>
    <w:rsid w:val="00E540EC"/>
    <w:rsid w:val="00E546E3"/>
    <w:rsid w:val="00E54C34"/>
    <w:rsid w:val="00E54DC6"/>
    <w:rsid w:val="00E54E1D"/>
    <w:rsid w:val="00E55049"/>
    <w:rsid w:val="00E55311"/>
    <w:rsid w:val="00E55CE2"/>
    <w:rsid w:val="00E55E4B"/>
    <w:rsid w:val="00E561AD"/>
    <w:rsid w:val="00E56250"/>
    <w:rsid w:val="00E563D6"/>
    <w:rsid w:val="00E56C3F"/>
    <w:rsid w:val="00E57B3C"/>
    <w:rsid w:val="00E6014C"/>
    <w:rsid w:val="00E60A6F"/>
    <w:rsid w:val="00E61134"/>
    <w:rsid w:val="00E61812"/>
    <w:rsid w:val="00E629B9"/>
    <w:rsid w:val="00E63331"/>
    <w:rsid w:val="00E63A36"/>
    <w:rsid w:val="00E63DD7"/>
    <w:rsid w:val="00E63E4F"/>
    <w:rsid w:val="00E63EB2"/>
    <w:rsid w:val="00E6422D"/>
    <w:rsid w:val="00E64BD2"/>
    <w:rsid w:val="00E64D8A"/>
    <w:rsid w:val="00E65CB0"/>
    <w:rsid w:val="00E65F14"/>
    <w:rsid w:val="00E66750"/>
    <w:rsid w:val="00E66AAF"/>
    <w:rsid w:val="00E673D2"/>
    <w:rsid w:val="00E67895"/>
    <w:rsid w:val="00E67D4B"/>
    <w:rsid w:val="00E701AE"/>
    <w:rsid w:val="00E70751"/>
    <w:rsid w:val="00E711BC"/>
    <w:rsid w:val="00E736DC"/>
    <w:rsid w:val="00E73E5E"/>
    <w:rsid w:val="00E74A5B"/>
    <w:rsid w:val="00E7587F"/>
    <w:rsid w:val="00E76991"/>
    <w:rsid w:val="00E76B86"/>
    <w:rsid w:val="00E76BEA"/>
    <w:rsid w:val="00E7751E"/>
    <w:rsid w:val="00E77851"/>
    <w:rsid w:val="00E8052B"/>
    <w:rsid w:val="00E807FF"/>
    <w:rsid w:val="00E81795"/>
    <w:rsid w:val="00E81871"/>
    <w:rsid w:val="00E8193F"/>
    <w:rsid w:val="00E81E0D"/>
    <w:rsid w:val="00E821AB"/>
    <w:rsid w:val="00E82731"/>
    <w:rsid w:val="00E82E64"/>
    <w:rsid w:val="00E83104"/>
    <w:rsid w:val="00E839D0"/>
    <w:rsid w:val="00E83DB8"/>
    <w:rsid w:val="00E845EF"/>
    <w:rsid w:val="00E85329"/>
    <w:rsid w:val="00E853A5"/>
    <w:rsid w:val="00E854B1"/>
    <w:rsid w:val="00E8599F"/>
    <w:rsid w:val="00E86428"/>
    <w:rsid w:val="00E86645"/>
    <w:rsid w:val="00E86777"/>
    <w:rsid w:val="00E86D8B"/>
    <w:rsid w:val="00E87454"/>
    <w:rsid w:val="00E87A00"/>
    <w:rsid w:val="00E87A05"/>
    <w:rsid w:val="00E90BD2"/>
    <w:rsid w:val="00E90F2B"/>
    <w:rsid w:val="00E92021"/>
    <w:rsid w:val="00E92284"/>
    <w:rsid w:val="00E9283A"/>
    <w:rsid w:val="00E9299A"/>
    <w:rsid w:val="00E945F5"/>
    <w:rsid w:val="00E947A2"/>
    <w:rsid w:val="00E95400"/>
    <w:rsid w:val="00E960BA"/>
    <w:rsid w:val="00E96EC5"/>
    <w:rsid w:val="00E97082"/>
    <w:rsid w:val="00E97C2D"/>
    <w:rsid w:val="00E97D69"/>
    <w:rsid w:val="00EA005E"/>
    <w:rsid w:val="00EA0083"/>
    <w:rsid w:val="00EA0508"/>
    <w:rsid w:val="00EA0FFE"/>
    <w:rsid w:val="00EA11BB"/>
    <w:rsid w:val="00EA13CA"/>
    <w:rsid w:val="00EA194B"/>
    <w:rsid w:val="00EA19E0"/>
    <w:rsid w:val="00EA2134"/>
    <w:rsid w:val="00EA257B"/>
    <w:rsid w:val="00EA2EF9"/>
    <w:rsid w:val="00EA30A3"/>
    <w:rsid w:val="00EA3474"/>
    <w:rsid w:val="00EA40F4"/>
    <w:rsid w:val="00EA476E"/>
    <w:rsid w:val="00EA59F0"/>
    <w:rsid w:val="00EA60D4"/>
    <w:rsid w:val="00EA6B1B"/>
    <w:rsid w:val="00EA6B89"/>
    <w:rsid w:val="00EA6E89"/>
    <w:rsid w:val="00EA7CD3"/>
    <w:rsid w:val="00EB0308"/>
    <w:rsid w:val="00EB14DB"/>
    <w:rsid w:val="00EB1845"/>
    <w:rsid w:val="00EB2383"/>
    <w:rsid w:val="00EB32D0"/>
    <w:rsid w:val="00EB3324"/>
    <w:rsid w:val="00EB33CC"/>
    <w:rsid w:val="00EB3622"/>
    <w:rsid w:val="00EB36C5"/>
    <w:rsid w:val="00EB37EF"/>
    <w:rsid w:val="00EB4083"/>
    <w:rsid w:val="00EB48AE"/>
    <w:rsid w:val="00EB4A19"/>
    <w:rsid w:val="00EB5014"/>
    <w:rsid w:val="00EB545E"/>
    <w:rsid w:val="00EB5B30"/>
    <w:rsid w:val="00EB60AA"/>
    <w:rsid w:val="00EB62E1"/>
    <w:rsid w:val="00EB7131"/>
    <w:rsid w:val="00EB71D5"/>
    <w:rsid w:val="00EC01F3"/>
    <w:rsid w:val="00EC09EA"/>
    <w:rsid w:val="00EC1554"/>
    <w:rsid w:val="00EC22E0"/>
    <w:rsid w:val="00EC28CA"/>
    <w:rsid w:val="00EC2C2F"/>
    <w:rsid w:val="00EC371B"/>
    <w:rsid w:val="00EC3873"/>
    <w:rsid w:val="00EC3DB6"/>
    <w:rsid w:val="00EC4AFF"/>
    <w:rsid w:val="00EC4B23"/>
    <w:rsid w:val="00EC4BCB"/>
    <w:rsid w:val="00EC5BC7"/>
    <w:rsid w:val="00EC7490"/>
    <w:rsid w:val="00EC7BDD"/>
    <w:rsid w:val="00ED195F"/>
    <w:rsid w:val="00ED2332"/>
    <w:rsid w:val="00ED23DB"/>
    <w:rsid w:val="00ED334C"/>
    <w:rsid w:val="00ED414B"/>
    <w:rsid w:val="00ED4831"/>
    <w:rsid w:val="00ED4A51"/>
    <w:rsid w:val="00ED58B3"/>
    <w:rsid w:val="00ED59E5"/>
    <w:rsid w:val="00ED5B47"/>
    <w:rsid w:val="00ED6DEA"/>
    <w:rsid w:val="00EE098C"/>
    <w:rsid w:val="00EE0F87"/>
    <w:rsid w:val="00EE113D"/>
    <w:rsid w:val="00EE1E9C"/>
    <w:rsid w:val="00EE2048"/>
    <w:rsid w:val="00EE259C"/>
    <w:rsid w:val="00EE2662"/>
    <w:rsid w:val="00EE2BC0"/>
    <w:rsid w:val="00EE2DA2"/>
    <w:rsid w:val="00EE2E13"/>
    <w:rsid w:val="00EE353C"/>
    <w:rsid w:val="00EE486F"/>
    <w:rsid w:val="00EE4ED4"/>
    <w:rsid w:val="00EE587F"/>
    <w:rsid w:val="00EE5DDF"/>
    <w:rsid w:val="00EE715A"/>
    <w:rsid w:val="00EF0352"/>
    <w:rsid w:val="00EF12D9"/>
    <w:rsid w:val="00EF147B"/>
    <w:rsid w:val="00EF35D5"/>
    <w:rsid w:val="00EF444E"/>
    <w:rsid w:val="00EF4592"/>
    <w:rsid w:val="00EF462A"/>
    <w:rsid w:val="00EF4F40"/>
    <w:rsid w:val="00EF5306"/>
    <w:rsid w:val="00EF59E9"/>
    <w:rsid w:val="00EF5B54"/>
    <w:rsid w:val="00EF5B7E"/>
    <w:rsid w:val="00EF5E8D"/>
    <w:rsid w:val="00EF6214"/>
    <w:rsid w:val="00EF62A1"/>
    <w:rsid w:val="00EF644A"/>
    <w:rsid w:val="00EF6797"/>
    <w:rsid w:val="00EF73BB"/>
    <w:rsid w:val="00EF7CFF"/>
    <w:rsid w:val="00EF7FD3"/>
    <w:rsid w:val="00F00724"/>
    <w:rsid w:val="00F007A1"/>
    <w:rsid w:val="00F00A91"/>
    <w:rsid w:val="00F00B84"/>
    <w:rsid w:val="00F00BBD"/>
    <w:rsid w:val="00F016B2"/>
    <w:rsid w:val="00F01C28"/>
    <w:rsid w:val="00F02F48"/>
    <w:rsid w:val="00F03C94"/>
    <w:rsid w:val="00F03F83"/>
    <w:rsid w:val="00F04029"/>
    <w:rsid w:val="00F042C0"/>
    <w:rsid w:val="00F04944"/>
    <w:rsid w:val="00F06DEA"/>
    <w:rsid w:val="00F07362"/>
    <w:rsid w:val="00F07C74"/>
    <w:rsid w:val="00F10159"/>
    <w:rsid w:val="00F1015A"/>
    <w:rsid w:val="00F10837"/>
    <w:rsid w:val="00F116B6"/>
    <w:rsid w:val="00F118AB"/>
    <w:rsid w:val="00F11C72"/>
    <w:rsid w:val="00F11E41"/>
    <w:rsid w:val="00F1228D"/>
    <w:rsid w:val="00F1229C"/>
    <w:rsid w:val="00F1269D"/>
    <w:rsid w:val="00F12DE0"/>
    <w:rsid w:val="00F13C1C"/>
    <w:rsid w:val="00F1420F"/>
    <w:rsid w:val="00F1439E"/>
    <w:rsid w:val="00F14BFF"/>
    <w:rsid w:val="00F151E9"/>
    <w:rsid w:val="00F16A2B"/>
    <w:rsid w:val="00F17BF2"/>
    <w:rsid w:val="00F200C2"/>
    <w:rsid w:val="00F2047A"/>
    <w:rsid w:val="00F2062C"/>
    <w:rsid w:val="00F20BA6"/>
    <w:rsid w:val="00F21C36"/>
    <w:rsid w:val="00F22964"/>
    <w:rsid w:val="00F2299B"/>
    <w:rsid w:val="00F22E6F"/>
    <w:rsid w:val="00F2390A"/>
    <w:rsid w:val="00F23CC3"/>
    <w:rsid w:val="00F246C7"/>
    <w:rsid w:val="00F2491D"/>
    <w:rsid w:val="00F24F40"/>
    <w:rsid w:val="00F256AE"/>
    <w:rsid w:val="00F25842"/>
    <w:rsid w:val="00F25AA1"/>
    <w:rsid w:val="00F26533"/>
    <w:rsid w:val="00F26DDF"/>
    <w:rsid w:val="00F2744D"/>
    <w:rsid w:val="00F279E2"/>
    <w:rsid w:val="00F27E6E"/>
    <w:rsid w:val="00F27F1F"/>
    <w:rsid w:val="00F30453"/>
    <w:rsid w:val="00F308CF"/>
    <w:rsid w:val="00F309A9"/>
    <w:rsid w:val="00F31E00"/>
    <w:rsid w:val="00F32261"/>
    <w:rsid w:val="00F32420"/>
    <w:rsid w:val="00F3331D"/>
    <w:rsid w:val="00F345AD"/>
    <w:rsid w:val="00F3466F"/>
    <w:rsid w:val="00F349DF"/>
    <w:rsid w:val="00F34B29"/>
    <w:rsid w:val="00F35EE0"/>
    <w:rsid w:val="00F36076"/>
    <w:rsid w:val="00F364D7"/>
    <w:rsid w:val="00F37A20"/>
    <w:rsid w:val="00F37CD2"/>
    <w:rsid w:val="00F40853"/>
    <w:rsid w:val="00F4144C"/>
    <w:rsid w:val="00F4158A"/>
    <w:rsid w:val="00F41F37"/>
    <w:rsid w:val="00F422FF"/>
    <w:rsid w:val="00F425C1"/>
    <w:rsid w:val="00F4288B"/>
    <w:rsid w:val="00F42994"/>
    <w:rsid w:val="00F4324A"/>
    <w:rsid w:val="00F434EE"/>
    <w:rsid w:val="00F43588"/>
    <w:rsid w:val="00F43993"/>
    <w:rsid w:val="00F44040"/>
    <w:rsid w:val="00F45C58"/>
    <w:rsid w:val="00F45D9C"/>
    <w:rsid w:val="00F46CE8"/>
    <w:rsid w:val="00F46E53"/>
    <w:rsid w:val="00F47855"/>
    <w:rsid w:val="00F5000A"/>
    <w:rsid w:val="00F50E30"/>
    <w:rsid w:val="00F511B3"/>
    <w:rsid w:val="00F51359"/>
    <w:rsid w:val="00F52D18"/>
    <w:rsid w:val="00F52F6D"/>
    <w:rsid w:val="00F5300E"/>
    <w:rsid w:val="00F5333D"/>
    <w:rsid w:val="00F54009"/>
    <w:rsid w:val="00F541C3"/>
    <w:rsid w:val="00F545B7"/>
    <w:rsid w:val="00F54A90"/>
    <w:rsid w:val="00F55386"/>
    <w:rsid w:val="00F55C6C"/>
    <w:rsid w:val="00F56288"/>
    <w:rsid w:val="00F56F23"/>
    <w:rsid w:val="00F572F6"/>
    <w:rsid w:val="00F57878"/>
    <w:rsid w:val="00F57EA9"/>
    <w:rsid w:val="00F613B6"/>
    <w:rsid w:val="00F61698"/>
    <w:rsid w:val="00F62A52"/>
    <w:rsid w:val="00F62CC7"/>
    <w:rsid w:val="00F6320D"/>
    <w:rsid w:val="00F640F8"/>
    <w:rsid w:val="00F643D5"/>
    <w:rsid w:val="00F65CEF"/>
    <w:rsid w:val="00F66071"/>
    <w:rsid w:val="00F67C3F"/>
    <w:rsid w:val="00F705E0"/>
    <w:rsid w:val="00F712DB"/>
    <w:rsid w:val="00F71317"/>
    <w:rsid w:val="00F717C4"/>
    <w:rsid w:val="00F71873"/>
    <w:rsid w:val="00F71D06"/>
    <w:rsid w:val="00F721FC"/>
    <w:rsid w:val="00F7359C"/>
    <w:rsid w:val="00F740A7"/>
    <w:rsid w:val="00F74966"/>
    <w:rsid w:val="00F75303"/>
    <w:rsid w:val="00F754BA"/>
    <w:rsid w:val="00F754D5"/>
    <w:rsid w:val="00F755B4"/>
    <w:rsid w:val="00F7587E"/>
    <w:rsid w:val="00F75A79"/>
    <w:rsid w:val="00F76116"/>
    <w:rsid w:val="00F779AB"/>
    <w:rsid w:val="00F80038"/>
    <w:rsid w:val="00F8014D"/>
    <w:rsid w:val="00F80BAE"/>
    <w:rsid w:val="00F81265"/>
    <w:rsid w:val="00F81780"/>
    <w:rsid w:val="00F81953"/>
    <w:rsid w:val="00F81F50"/>
    <w:rsid w:val="00F82984"/>
    <w:rsid w:val="00F83221"/>
    <w:rsid w:val="00F835E6"/>
    <w:rsid w:val="00F83FCB"/>
    <w:rsid w:val="00F845CE"/>
    <w:rsid w:val="00F848BC"/>
    <w:rsid w:val="00F8598D"/>
    <w:rsid w:val="00F861C8"/>
    <w:rsid w:val="00F86633"/>
    <w:rsid w:val="00F86662"/>
    <w:rsid w:val="00F8673E"/>
    <w:rsid w:val="00F86805"/>
    <w:rsid w:val="00F870D7"/>
    <w:rsid w:val="00F878DC"/>
    <w:rsid w:val="00F901DB"/>
    <w:rsid w:val="00F90312"/>
    <w:rsid w:val="00F9055E"/>
    <w:rsid w:val="00F908C8"/>
    <w:rsid w:val="00F908FD"/>
    <w:rsid w:val="00F90A5A"/>
    <w:rsid w:val="00F90E26"/>
    <w:rsid w:val="00F917DE"/>
    <w:rsid w:val="00F919AB"/>
    <w:rsid w:val="00F921D9"/>
    <w:rsid w:val="00F925A0"/>
    <w:rsid w:val="00F92659"/>
    <w:rsid w:val="00F93003"/>
    <w:rsid w:val="00F930D2"/>
    <w:rsid w:val="00F9425F"/>
    <w:rsid w:val="00F94523"/>
    <w:rsid w:val="00F94964"/>
    <w:rsid w:val="00F94AAF"/>
    <w:rsid w:val="00F94ACD"/>
    <w:rsid w:val="00F94F6F"/>
    <w:rsid w:val="00F95CCB"/>
    <w:rsid w:val="00F960B5"/>
    <w:rsid w:val="00F97CCD"/>
    <w:rsid w:val="00FA1774"/>
    <w:rsid w:val="00FA1BE9"/>
    <w:rsid w:val="00FA27AD"/>
    <w:rsid w:val="00FA3104"/>
    <w:rsid w:val="00FA3CBD"/>
    <w:rsid w:val="00FA48B1"/>
    <w:rsid w:val="00FA490B"/>
    <w:rsid w:val="00FA5D06"/>
    <w:rsid w:val="00FA5F3E"/>
    <w:rsid w:val="00FA64C4"/>
    <w:rsid w:val="00FA672B"/>
    <w:rsid w:val="00FA6869"/>
    <w:rsid w:val="00FA6A9A"/>
    <w:rsid w:val="00FA6E8A"/>
    <w:rsid w:val="00FA7268"/>
    <w:rsid w:val="00FA7A7B"/>
    <w:rsid w:val="00FB0FC9"/>
    <w:rsid w:val="00FB149C"/>
    <w:rsid w:val="00FB2654"/>
    <w:rsid w:val="00FB2962"/>
    <w:rsid w:val="00FB2F5D"/>
    <w:rsid w:val="00FB361E"/>
    <w:rsid w:val="00FB380C"/>
    <w:rsid w:val="00FB4A86"/>
    <w:rsid w:val="00FB4FCE"/>
    <w:rsid w:val="00FB51B9"/>
    <w:rsid w:val="00FB5932"/>
    <w:rsid w:val="00FB5966"/>
    <w:rsid w:val="00FB5F77"/>
    <w:rsid w:val="00FB61BD"/>
    <w:rsid w:val="00FB6935"/>
    <w:rsid w:val="00FC013E"/>
    <w:rsid w:val="00FC0F05"/>
    <w:rsid w:val="00FC0FF6"/>
    <w:rsid w:val="00FC25A7"/>
    <w:rsid w:val="00FC2777"/>
    <w:rsid w:val="00FC348F"/>
    <w:rsid w:val="00FC37F4"/>
    <w:rsid w:val="00FC38CA"/>
    <w:rsid w:val="00FC3DC8"/>
    <w:rsid w:val="00FC482E"/>
    <w:rsid w:val="00FC4AC1"/>
    <w:rsid w:val="00FC4B62"/>
    <w:rsid w:val="00FC56DE"/>
    <w:rsid w:val="00FC5774"/>
    <w:rsid w:val="00FC69C7"/>
    <w:rsid w:val="00FC76E4"/>
    <w:rsid w:val="00FC7AF2"/>
    <w:rsid w:val="00FC7EBD"/>
    <w:rsid w:val="00FD0E43"/>
    <w:rsid w:val="00FD14DC"/>
    <w:rsid w:val="00FD1BDB"/>
    <w:rsid w:val="00FD1DFD"/>
    <w:rsid w:val="00FD2E35"/>
    <w:rsid w:val="00FD32D0"/>
    <w:rsid w:val="00FD4B23"/>
    <w:rsid w:val="00FD4C7C"/>
    <w:rsid w:val="00FD4EC0"/>
    <w:rsid w:val="00FD53C2"/>
    <w:rsid w:val="00FD546C"/>
    <w:rsid w:val="00FD54F8"/>
    <w:rsid w:val="00FD6762"/>
    <w:rsid w:val="00FD6BDD"/>
    <w:rsid w:val="00FD6DCF"/>
    <w:rsid w:val="00FD70E3"/>
    <w:rsid w:val="00FD7E31"/>
    <w:rsid w:val="00FE0301"/>
    <w:rsid w:val="00FE06FA"/>
    <w:rsid w:val="00FE0B9E"/>
    <w:rsid w:val="00FE2626"/>
    <w:rsid w:val="00FE366A"/>
    <w:rsid w:val="00FE435F"/>
    <w:rsid w:val="00FE46EA"/>
    <w:rsid w:val="00FE478B"/>
    <w:rsid w:val="00FE4BAD"/>
    <w:rsid w:val="00FE4E4E"/>
    <w:rsid w:val="00FE5E14"/>
    <w:rsid w:val="00FE5F69"/>
    <w:rsid w:val="00FE6944"/>
    <w:rsid w:val="00FE6D40"/>
    <w:rsid w:val="00FE7093"/>
    <w:rsid w:val="00FE767B"/>
    <w:rsid w:val="00FE7BAF"/>
    <w:rsid w:val="00FF0113"/>
    <w:rsid w:val="00FF0C6E"/>
    <w:rsid w:val="00FF0DC0"/>
    <w:rsid w:val="00FF0E5D"/>
    <w:rsid w:val="00FF15F3"/>
    <w:rsid w:val="00FF2823"/>
    <w:rsid w:val="00FF2A92"/>
    <w:rsid w:val="00FF2F57"/>
    <w:rsid w:val="00FF3808"/>
    <w:rsid w:val="00FF3F7E"/>
    <w:rsid w:val="00FF43BD"/>
    <w:rsid w:val="00FF49A5"/>
    <w:rsid w:val="00FF4EA4"/>
    <w:rsid w:val="00FF4F69"/>
    <w:rsid w:val="00FF5280"/>
    <w:rsid w:val="00FF563E"/>
    <w:rsid w:val="00FF5767"/>
    <w:rsid w:val="00FF6F32"/>
    <w:rsid w:val="00FF731F"/>
    <w:rsid w:val="00FF7403"/>
    <w:rsid w:val="00FF759F"/>
    <w:rsid w:val="00FF75B7"/>
    <w:rsid w:val="2A16DE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AE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6FF"/>
    <w:pPr>
      <w:spacing w:after="100" w:line="400" w:lineRule="exact"/>
      <w:jc w:val="both"/>
    </w:pPr>
    <w:rPr>
      <w:rFonts w:ascii="Century Schoolbook" w:hAnsi="Century Schoolbook"/>
      <w:sz w:val="27"/>
    </w:rPr>
  </w:style>
  <w:style w:type="paragraph" w:styleId="Heading1">
    <w:name w:val="heading 1"/>
    <w:basedOn w:val="Normal"/>
    <w:next w:val="Normal"/>
    <w:link w:val="Heading1Char"/>
    <w:qFormat/>
    <w:rsid w:val="001B26FF"/>
    <w:pPr>
      <w:keepNext/>
      <w:spacing w:before="140" w:line="240" w:lineRule="atLeast"/>
      <w:jc w:val="center"/>
      <w:outlineLvl w:val="0"/>
    </w:pPr>
    <w:rPr>
      <w:b/>
      <w:smallCaps/>
    </w:rPr>
  </w:style>
  <w:style w:type="paragraph" w:styleId="Heading2">
    <w:name w:val="heading 2"/>
    <w:basedOn w:val="Normal"/>
    <w:next w:val="Normal"/>
    <w:qFormat/>
    <w:rsid w:val="001B26FF"/>
    <w:pPr>
      <w:keepNext/>
      <w:tabs>
        <w:tab w:val="left" w:pos="1152"/>
      </w:tabs>
      <w:spacing w:before="140" w:line="240" w:lineRule="atLeast"/>
      <w:ind w:left="1152" w:hanging="432"/>
      <w:jc w:val="left"/>
      <w:outlineLvl w:val="1"/>
    </w:pPr>
    <w:rPr>
      <w:b/>
    </w:rPr>
  </w:style>
  <w:style w:type="paragraph" w:styleId="Heading3">
    <w:name w:val="heading 3"/>
    <w:basedOn w:val="Normal"/>
    <w:next w:val="NormalIndent"/>
    <w:link w:val="Heading3Char"/>
    <w:qFormat/>
    <w:rsid w:val="001B26FF"/>
    <w:pPr>
      <w:keepNext/>
      <w:tabs>
        <w:tab w:val="left" w:pos="1584"/>
      </w:tabs>
      <w:spacing w:before="140" w:line="240" w:lineRule="atLeast"/>
      <w:ind w:left="1584" w:hanging="432"/>
      <w:jc w:val="left"/>
      <w:outlineLvl w:val="2"/>
    </w:pPr>
    <w:rPr>
      <w:i/>
    </w:rPr>
  </w:style>
  <w:style w:type="paragraph" w:styleId="Heading4">
    <w:name w:val="heading 4"/>
    <w:basedOn w:val="Normal"/>
    <w:qFormat/>
    <w:rsid w:val="001B26FF"/>
    <w:pPr>
      <w:keepNext/>
      <w:tabs>
        <w:tab w:val="left" w:pos="2016"/>
      </w:tabs>
      <w:spacing w:before="140" w:line="240" w:lineRule="atLeast"/>
      <w:ind w:left="2016" w:hanging="432"/>
      <w:jc w:val="left"/>
      <w:outlineLvl w:val="3"/>
    </w:pPr>
    <w:rPr>
      <w:i/>
    </w:rPr>
  </w:style>
  <w:style w:type="paragraph" w:styleId="Heading5">
    <w:name w:val="heading 5"/>
    <w:basedOn w:val="Normal"/>
    <w:qFormat/>
    <w:rsid w:val="001B26FF"/>
    <w:pPr>
      <w:keepNext/>
      <w:tabs>
        <w:tab w:val="left" w:pos="2448"/>
      </w:tabs>
      <w:spacing w:before="140" w:line="240" w:lineRule="atLeast"/>
      <w:ind w:left="2448" w:hanging="432"/>
      <w:jc w:val="left"/>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496FB6"/>
    <w:pPr>
      <w:ind w:left="720"/>
    </w:pPr>
  </w:style>
  <w:style w:type="paragraph" w:styleId="Footer">
    <w:name w:val="footer"/>
    <w:basedOn w:val="Normal"/>
    <w:link w:val="FooterChar"/>
    <w:qFormat/>
    <w:rsid w:val="001B26FF"/>
    <w:pPr>
      <w:tabs>
        <w:tab w:val="center" w:pos="3960"/>
        <w:tab w:val="right" w:pos="10080"/>
      </w:tabs>
      <w:spacing w:after="0" w:line="240" w:lineRule="auto"/>
      <w:jc w:val="center"/>
    </w:pPr>
    <w:rPr>
      <w:sz w:val="22"/>
    </w:rPr>
  </w:style>
  <w:style w:type="paragraph" w:styleId="Header">
    <w:name w:val="header"/>
    <w:basedOn w:val="Normal"/>
    <w:qFormat/>
    <w:rsid w:val="001B26FF"/>
    <w:pPr>
      <w:tabs>
        <w:tab w:val="center" w:pos="3960"/>
        <w:tab w:val="right" w:pos="10080"/>
      </w:tabs>
      <w:spacing w:after="80" w:line="240" w:lineRule="auto"/>
      <w:jc w:val="center"/>
    </w:pPr>
    <w:rPr>
      <w:sz w:val="22"/>
    </w:rPr>
  </w:style>
  <w:style w:type="character" w:styleId="FootnoteReference">
    <w:name w:val="footnote reference"/>
    <w:basedOn w:val="DefaultParagraphFont"/>
    <w:uiPriority w:val="99"/>
    <w:rsid w:val="001B26FF"/>
    <w:rPr>
      <w:rFonts w:ascii="Century Schoolbook" w:hAnsi="Century Schoolbook"/>
      <w:b/>
      <w:i w:val="0"/>
      <w:position w:val="4"/>
      <w:sz w:val="27"/>
      <w:vertAlign w:val="superscript"/>
    </w:rPr>
  </w:style>
  <w:style w:type="paragraph" w:styleId="FootnoteText">
    <w:name w:val="footnote text"/>
    <w:basedOn w:val="Normal"/>
    <w:link w:val="FootnoteTextChar"/>
    <w:uiPriority w:val="99"/>
    <w:rsid w:val="001B26FF"/>
    <w:pPr>
      <w:spacing w:line="300" w:lineRule="exact"/>
    </w:pPr>
  </w:style>
  <w:style w:type="paragraph" w:customStyle="1" w:styleId="Title1">
    <w:name w:val="Title1"/>
    <w:basedOn w:val="Normal"/>
    <w:rsid w:val="00496FB6"/>
    <w:pPr>
      <w:tabs>
        <w:tab w:val="left" w:pos="5760"/>
        <w:tab w:val="left" w:pos="6480"/>
      </w:tabs>
      <w:spacing w:line="240" w:lineRule="atLeast"/>
    </w:pPr>
  </w:style>
  <w:style w:type="paragraph" w:customStyle="1" w:styleId="Recommend">
    <w:name w:val="Recommend"/>
    <w:basedOn w:val="Normal"/>
    <w:rsid w:val="00496FB6"/>
  </w:style>
  <w:style w:type="paragraph" w:customStyle="1" w:styleId="Summary">
    <w:name w:val="Summary"/>
    <w:basedOn w:val="Normal"/>
    <w:rsid w:val="00496FB6"/>
    <w:pPr>
      <w:ind w:left="2160" w:hanging="2160"/>
    </w:pPr>
  </w:style>
  <w:style w:type="paragraph" w:customStyle="1" w:styleId="Text">
    <w:name w:val="Text"/>
    <w:basedOn w:val="Normal"/>
    <w:rsid w:val="00496FB6"/>
    <w:pPr>
      <w:tabs>
        <w:tab w:val="left" w:pos="720"/>
        <w:tab w:val="left" w:pos="1440"/>
        <w:tab w:val="left" w:pos="2160"/>
        <w:tab w:val="center" w:pos="4320"/>
      </w:tabs>
      <w:spacing w:line="480" w:lineRule="atLeast"/>
      <w:ind w:firstLine="540"/>
    </w:pPr>
  </w:style>
  <w:style w:type="paragraph" w:styleId="Date">
    <w:name w:val="Date"/>
    <w:basedOn w:val="Normal"/>
    <w:semiHidden/>
    <w:rsid w:val="00496FB6"/>
    <w:pPr>
      <w:jc w:val="right"/>
    </w:pPr>
  </w:style>
  <w:style w:type="character" w:styleId="PageNumber">
    <w:name w:val="page number"/>
    <w:basedOn w:val="DefaultParagraphFont"/>
    <w:semiHidden/>
    <w:rsid w:val="00496FB6"/>
  </w:style>
  <w:style w:type="paragraph" w:customStyle="1" w:styleId="subject">
    <w:name w:val="subject"/>
    <w:basedOn w:val="Normal"/>
    <w:rsid w:val="00496FB6"/>
    <w:pPr>
      <w:tabs>
        <w:tab w:val="left" w:pos="1008"/>
      </w:tabs>
      <w:ind w:left="990" w:hanging="990"/>
    </w:pPr>
    <w:rPr>
      <w:b/>
    </w:rPr>
  </w:style>
  <w:style w:type="paragraph" w:customStyle="1" w:styleId="Titles">
    <w:name w:val="Titles"/>
    <w:basedOn w:val="Normal"/>
    <w:rsid w:val="00496FB6"/>
    <w:pPr>
      <w:tabs>
        <w:tab w:val="left" w:pos="2160"/>
      </w:tabs>
      <w:ind w:left="2160" w:hanging="2160"/>
    </w:pPr>
    <w:rPr>
      <w:b/>
    </w:rPr>
  </w:style>
  <w:style w:type="paragraph" w:styleId="TOAHeading">
    <w:name w:val="toa heading"/>
    <w:basedOn w:val="Normal"/>
    <w:next w:val="Normal"/>
    <w:semiHidden/>
    <w:rsid w:val="00496FB6"/>
    <w:pPr>
      <w:spacing w:before="120"/>
    </w:pPr>
    <w:rPr>
      <w:b/>
    </w:rPr>
  </w:style>
  <w:style w:type="paragraph" w:styleId="TOC1">
    <w:name w:val="toc 1"/>
    <w:basedOn w:val="Normal"/>
    <w:next w:val="Normal"/>
    <w:autoRedefine/>
    <w:uiPriority w:val="39"/>
    <w:rsid w:val="00496FB6"/>
  </w:style>
  <w:style w:type="paragraph" w:styleId="TOC2">
    <w:name w:val="toc 2"/>
    <w:basedOn w:val="Normal"/>
    <w:next w:val="Normal"/>
    <w:autoRedefine/>
    <w:uiPriority w:val="39"/>
    <w:rsid w:val="001B26FF"/>
    <w:pPr>
      <w:ind w:left="259"/>
    </w:pPr>
  </w:style>
  <w:style w:type="paragraph" w:styleId="TOC3">
    <w:name w:val="toc 3"/>
    <w:basedOn w:val="Normal"/>
    <w:next w:val="Normal"/>
    <w:autoRedefine/>
    <w:uiPriority w:val="39"/>
    <w:rsid w:val="001B26FF"/>
    <w:pPr>
      <w:ind w:left="520"/>
    </w:pPr>
  </w:style>
  <w:style w:type="paragraph" w:styleId="TOC4">
    <w:name w:val="toc 4"/>
    <w:basedOn w:val="Normal"/>
    <w:next w:val="Normal"/>
    <w:autoRedefine/>
    <w:uiPriority w:val="39"/>
    <w:rsid w:val="00496FB6"/>
    <w:pPr>
      <w:ind w:left="780"/>
    </w:pPr>
  </w:style>
  <w:style w:type="paragraph" w:styleId="TOC5">
    <w:name w:val="toc 5"/>
    <w:basedOn w:val="Normal"/>
    <w:next w:val="Normal"/>
    <w:autoRedefine/>
    <w:semiHidden/>
    <w:rsid w:val="00496FB6"/>
    <w:pPr>
      <w:ind w:left="1040"/>
    </w:pPr>
  </w:style>
  <w:style w:type="paragraph" w:styleId="TOC6">
    <w:name w:val="toc 6"/>
    <w:basedOn w:val="Normal"/>
    <w:next w:val="Normal"/>
    <w:autoRedefine/>
    <w:semiHidden/>
    <w:rsid w:val="00496FB6"/>
    <w:pPr>
      <w:ind w:left="1300"/>
    </w:pPr>
  </w:style>
  <w:style w:type="paragraph" w:styleId="TOC7">
    <w:name w:val="toc 7"/>
    <w:basedOn w:val="Normal"/>
    <w:next w:val="Normal"/>
    <w:autoRedefine/>
    <w:semiHidden/>
    <w:rsid w:val="00496FB6"/>
    <w:pPr>
      <w:ind w:left="1560"/>
    </w:pPr>
  </w:style>
  <w:style w:type="paragraph" w:styleId="TOC8">
    <w:name w:val="toc 8"/>
    <w:basedOn w:val="Normal"/>
    <w:next w:val="Normal"/>
    <w:autoRedefine/>
    <w:semiHidden/>
    <w:rsid w:val="00496FB6"/>
    <w:pPr>
      <w:ind w:left="1820"/>
    </w:pPr>
  </w:style>
  <w:style w:type="paragraph" w:styleId="TOC9">
    <w:name w:val="toc 9"/>
    <w:basedOn w:val="Normal"/>
    <w:next w:val="Normal"/>
    <w:autoRedefine/>
    <w:semiHidden/>
    <w:rsid w:val="00496FB6"/>
    <w:pPr>
      <w:ind w:left="2080"/>
    </w:pPr>
  </w:style>
  <w:style w:type="paragraph" w:customStyle="1" w:styleId="Contents">
    <w:name w:val="Contents"/>
    <w:basedOn w:val="Normal"/>
    <w:rsid w:val="00496FB6"/>
    <w:pPr>
      <w:jc w:val="center"/>
    </w:pPr>
    <w:rPr>
      <w:b/>
      <w:spacing w:val="100"/>
    </w:rPr>
  </w:style>
  <w:style w:type="character" w:customStyle="1" w:styleId="FootnoteTextChar">
    <w:name w:val="Footnote Text Char"/>
    <w:basedOn w:val="DefaultParagraphFont"/>
    <w:link w:val="FootnoteText"/>
    <w:uiPriority w:val="99"/>
    <w:rsid w:val="00CF0761"/>
    <w:rPr>
      <w:rFonts w:ascii="Century Schoolbook" w:hAnsi="Century Schoolbook"/>
      <w:sz w:val="27"/>
    </w:rPr>
  </w:style>
  <w:style w:type="character" w:customStyle="1" w:styleId="Heading1Char">
    <w:name w:val="Heading 1 Char"/>
    <w:basedOn w:val="DefaultParagraphFont"/>
    <w:link w:val="Heading1"/>
    <w:rsid w:val="005A4820"/>
    <w:rPr>
      <w:rFonts w:ascii="Century Schoolbook" w:hAnsi="Century Schoolbook"/>
      <w:b/>
      <w:smallCaps/>
      <w:sz w:val="27"/>
    </w:rPr>
  </w:style>
  <w:style w:type="character" w:customStyle="1" w:styleId="Heading3Char">
    <w:name w:val="Heading 3 Char"/>
    <w:basedOn w:val="DefaultParagraphFont"/>
    <w:link w:val="Heading3"/>
    <w:rsid w:val="00B95953"/>
    <w:rPr>
      <w:rFonts w:ascii="Century Schoolbook" w:hAnsi="Century Schoolbook"/>
      <w:i/>
      <w:sz w:val="27"/>
    </w:rPr>
  </w:style>
  <w:style w:type="character" w:styleId="Hyperlink">
    <w:name w:val="Hyperlink"/>
    <w:basedOn w:val="DefaultParagraphFont"/>
    <w:uiPriority w:val="99"/>
    <w:unhideWhenUsed/>
    <w:rsid w:val="002B7A42"/>
    <w:rPr>
      <w:color w:val="0000FF" w:themeColor="hyperlink"/>
      <w:u w:val="single"/>
    </w:rPr>
  </w:style>
  <w:style w:type="character" w:styleId="UnresolvedMention">
    <w:name w:val="Unresolved Mention"/>
    <w:basedOn w:val="DefaultParagraphFont"/>
    <w:uiPriority w:val="99"/>
    <w:semiHidden/>
    <w:unhideWhenUsed/>
    <w:rsid w:val="002B7A42"/>
    <w:rPr>
      <w:color w:val="605E5C"/>
      <w:shd w:val="clear" w:color="auto" w:fill="E1DFDD"/>
    </w:rPr>
  </w:style>
  <w:style w:type="paragraph" w:customStyle="1" w:styleId="Style2">
    <w:name w:val="Style2"/>
    <w:basedOn w:val="Normal"/>
    <w:qFormat/>
    <w:rsid w:val="00215739"/>
    <w:rPr>
      <w:rFonts w:asciiTheme="minorHAnsi" w:eastAsiaTheme="minorHAnsi" w:hAnsiTheme="minorHAnsi"/>
      <w:i/>
      <w:szCs w:val="24"/>
    </w:rPr>
  </w:style>
  <w:style w:type="paragraph" w:customStyle="1" w:styleId="Style4">
    <w:name w:val="Style4"/>
    <w:basedOn w:val="Normal"/>
    <w:qFormat/>
    <w:rsid w:val="00215739"/>
    <w:pPr>
      <w:keepNext/>
      <w:keepLines/>
      <w:spacing w:before="40"/>
      <w:outlineLvl w:val="4"/>
    </w:pPr>
    <w:rPr>
      <w:rFonts w:eastAsiaTheme="majorEastAsia" w:cstheme="majorBidi"/>
      <w:i/>
      <w:szCs w:val="24"/>
    </w:rPr>
  </w:style>
  <w:style w:type="paragraph" w:styleId="TOCHeading">
    <w:name w:val="TOC Heading"/>
    <w:basedOn w:val="Heading1"/>
    <w:next w:val="Normal"/>
    <w:uiPriority w:val="39"/>
    <w:unhideWhenUsed/>
    <w:qFormat/>
    <w:rsid w:val="002E3223"/>
    <w:pPr>
      <w:keepLines/>
      <w:spacing w:before="240" w:line="259" w:lineRule="auto"/>
      <w:jc w:val="left"/>
      <w:outlineLvl w:val="9"/>
    </w:pPr>
    <w:rPr>
      <w:rFonts w:asciiTheme="majorHAnsi" w:eastAsiaTheme="majorEastAsia" w:hAnsiTheme="majorHAnsi" w:cstheme="majorBidi"/>
      <w:b w:val="0"/>
      <w:smallCaps w:val="0"/>
      <w:color w:val="365F91" w:themeColor="accent1" w:themeShade="BF"/>
      <w:sz w:val="32"/>
      <w:szCs w:val="32"/>
    </w:rPr>
  </w:style>
  <w:style w:type="paragraph" w:styleId="Revision">
    <w:name w:val="Revision"/>
    <w:hidden/>
    <w:uiPriority w:val="99"/>
    <w:semiHidden/>
    <w:rsid w:val="00420146"/>
    <w:rPr>
      <w:sz w:val="26"/>
    </w:rPr>
  </w:style>
  <w:style w:type="character" w:styleId="CommentReference">
    <w:name w:val="annotation reference"/>
    <w:basedOn w:val="DefaultParagraphFont"/>
    <w:uiPriority w:val="99"/>
    <w:semiHidden/>
    <w:unhideWhenUsed/>
    <w:rsid w:val="00080246"/>
    <w:rPr>
      <w:sz w:val="16"/>
      <w:szCs w:val="16"/>
    </w:rPr>
  </w:style>
  <w:style w:type="paragraph" w:styleId="CommentText">
    <w:name w:val="annotation text"/>
    <w:basedOn w:val="Normal"/>
    <w:link w:val="CommentTextChar"/>
    <w:uiPriority w:val="99"/>
    <w:unhideWhenUsed/>
    <w:rsid w:val="00080246"/>
    <w:rPr>
      <w:sz w:val="20"/>
    </w:rPr>
  </w:style>
  <w:style w:type="character" w:customStyle="1" w:styleId="CommentTextChar">
    <w:name w:val="Comment Text Char"/>
    <w:basedOn w:val="DefaultParagraphFont"/>
    <w:link w:val="CommentText"/>
    <w:uiPriority w:val="99"/>
    <w:rsid w:val="00080246"/>
  </w:style>
  <w:style w:type="paragraph" w:styleId="CommentSubject">
    <w:name w:val="annotation subject"/>
    <w:basedOn w:val="CommentText"/>
    <w:next w:val="CommentText"/>
    <w:link w:val="CommentSubjectChar"/>
    <w:uiPriority w:val="99"/>
    <w:semiHidden/>
    <w:unhideWhenUsed/>
    <w:rsid w:val="00080246"/>
    <w:rPr>
      <w:b/>
      <w:bCs/>
    </w:rPr>
  </w:style>
  <w:style w:type="character" w:customStyle="1" w:styleId="CommentSubjectChar">
    <w:name w:val="Comment Subject Char"/>
    <w:basedOn w:val="CommentTextChar"/>
    <w:link w:val="CommentSubject"/>
    <w:uiPriority w:val="99"/>
    <w:semiHidden/>
    <w:rsid w:val="00080246"/>
    <w:rPr>
      <w:b/>
      <w:bCs/>
    </w:rPr>
  </w:style>
  <w:style w:type="paragraph" w:styleId="ListParagraph">
    <w:name w:val="List Paragraph"/>
    <w:basedOn w:val="Normal"/>
    <w:uiPriority w:val="34"/>
    <w:qFormat/>
    <w:rsid w:val="00797093"/>
    <w:pPr>
      <w:ind w:left="720"/>
      <w:contextualSpacing/>
    </w:pPr>
  </w:style>
  <w:style w:type="paragraph" w:styleId="BodyText">
    <w:name w:val="Body Text"/>
    <w:basedOn w:val="Normal"/>
    <w:link w:val="BodyTextChar"/>
    <w:qFormat/>
    <w:rsid w:val="00496FB6"/>
  </w:style>
  <w:style w:type="character" w:customStyle="1" w:styleId="BodyTextChar">
    <w:name w:val="Body Text Char"/>
    <w:basedOn w:val="DefaultParagraphFont"/>
    <w:link w:val="BodyText"/>
    <w:rsid w:val="00496FB6"/>
    <w:rPr>
      <w:rFonts w:ascii="Century Schoolbook" w:hAnsi="Century Schoolbook"/>
      <w:sz w:val="27"/>
    </w:rPr>
  </w:style>
  <w:style w:type="character" w:customStyle="1" w:styleId="FooterChar">
    <w:name w:val="Footer Char"/>
    <w:basedOn w:val="DefaultParagraphFont"/>
    <w:link w:val="Footer"/>
    <w:uiPriority w:val="99"/>
    <w:rsid w:val="00FA64C4"/>
    <w:rPr>
      <w:rFonts w:ascii="Century Schoolbook" w:hAnsi="Century Schoolbook"/>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header" Target="header4.xml" /><Relationship Id="rId16" Type="http://schemas.openxmlformats.org/officeDocument/2006/relationships/footer" Target="footer5.xml" /><Relationship Id="rId17" Type="http://schemas.openxmlformats.org/officeDocument/2006/relationships/header" Target="header5.xml" /><Relationship Id="rId18" Type="http://schemas.openxmlformats.org/officeDocument/2006/relationships/header" Target="header6.xml" /><Relationship Id="rId19" Type="http://schemas.openxmlformats.org/officeDocument/2006/relationships/footer" Target="footer6.xml" /><Relationship Id="rId2" Type="http://schemas.openxmlformats.org/officeDocument/2006/relationships/endnotes" Target="endnotes.xml" /><Relationship Id="rId20" Type="http://schemas.openxmlformats.org/officeDocument/2006/relationships/footer" Target="footer7.xml" /><Relationship Id="rId21" Type="http://schemas.openxmlformats.org/officeDocument/2006/relationships/header" Target="header7.xml" /><Relationship Id="rId22" Type="http://schemas.openxmlformats.org/officeDocument/2006/relationships/footer" Target="footer8.xml" /><Relationship Id="rId23" Type="http://schemas.openxmlformats.org/officeDocument/2006/relationships/header" Target="header8.xml" /><Relationship Id="rId24" Type="http://schemas.openxmlformats.org/officeDocument/2006/relationships/header" Target="header9.xml" /><Relationship Id="rId25" Type="http://schemas.openxmlformats.org/officeDocument/2006/relationships/footer" Target="footer9.xml" /><Relationship Id="rId26" Type="http://schemas.openxmlformats.org/officeDocument/2006/relationships/footer" Target="footer10.xml" /><Relationship Id="rId27" Type="http://schemas.openxmlformats.org/officeDocument/2006/relationships/header" Target="header10.xml" /><Relationship Id="rId28" Type="http://schemas.openxmlformats.org/officeDocument/2006/relationships/footer" Target="footer11.xml" /><Relationship Id="rId29" Type="http://schemas.openxmlformats.org/officeDocument/2006/relationships/theme" Target="theme/theme1.xml" /><Relationship Id="rId3" Type="http://schemas.openxmlformats.org/officeDocument/2006/relationships/settings" Target="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BACB085B5C1B4F973CBBD4141051A1" ma:contentTypeVersion="15" ma:contentTypeDescription="Create a new document." ma:contentTypeScope="" ma:versionID="7c05fbd1c7da15fd7aa15638179ba7c6">
  <xsd:schema xmlns:xsd="http://www.w3.org/2001/XMLSchema" xmlns:xs="http://www.w3.org/2001/XMLSchema" xmlns:p="http://schemas.microsoft.com/office/2006/metadata/properties" xmlns:ns2="e0111a4a-988a-4bc5-8aab-c90f8f42b0e4" xmlns:ns3="0ba41d90-3ac8-4a26-862e-7298d9436678" targetNamespace="http://schemas.microsoft.com/office/2006/metadata/properties" ma:root="true" ma:fieldsID="b9e6d8e202b2573edc7cc0cdd58bef66" ns2:_="" ns3:_="">
    <xsd:import namespace="e0111a4a-988a-4bc5-8aab-c90f8f42b0e4"/>
    <xsd:import namespace="0ba41d90-3ac8-4a26-862e-7298d94366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11a4a-988a-4bc5-8aab-c90f8f42b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924eaa-6349-497e-96ac-f07fd2ffae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a41d90-3ac8-4a26-862e-7298d94366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e0934a-7ea7-4d27-b124-0ba66f2f6efc}" ma:internalName="TaxCatchAll" ma:showField="CatchAllData" ma:web="0ba41d90-3ac8-4a26-862e-7298d94366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06CA-1136-4B4E-A633-86DE2A30B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11a4a-988a-4bc5-8aab-c90f8f42b0e4"/>
    <ds:schemaRef ds:uri="0ba41d90-3ac8-4a26-862e-7298d9436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69BDCA-DACF-47EB-AC64-913248AF1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20313</Words>
  <Characters>115785</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2024-08-05T16:31:15Z</dcterms:created>
  <dcterms:modified xsi:type="dcterms:W3CDTF">2024-08-05T16:31:15Z</dcterms:modified>
</cp:coreProperties>
</file>