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583AF" w14:textId="4D80B9DB" w:rsidR="00C23344" w:rsidRPr="00532E74" w:rsidRDefault="00C23344" w:rsidP="00723226">
      <w:pPr>
        <w:spacing w:line="240" w:lineRule="auto"/>
        <w:rPr>
          <w:sz w:val="20"/>
          <w:szCs w:val="20"/>
        </w:rPr>
      </w:pPr>
      <w:r w:rsidRPr="00532E74">
        <w:rPr>
          <w:sz w:val="20"/>
          <w:szCs w:val="20"/>
        </w:rPr>
        <w:t>Filed 5/29/24</w:t>
      </w:r>
      <w:r w:rsidR="00532E74">
        <w:rPr>
          <w:sz w:val="20"/>
          <w:szCs w:val="20"/>
        </w:rPr>
        <w:t xml:space="preserve"> Certified for Publication 6/21/24 (order attached)</w:t>
      </w:r>
    </w:p>
    <w:p w14:paraId="6F3DFE7D" w14:textId="2CC2BC20" w:rsidR="00C23344" w:rsidRDefault="00532E74" w:rsidP="00723226">
      <w:pPr>
        <w:spacing w:line="240" w:lineRule="auto"/>
        <w:rPr>
          <w:b/>
          <w:szCs w:val="26"/>
        </w:rPr>
      </w:pPr>
      <w:r>
        <w:rPr>
          <w:b/>
          <w:szCs w:val="26"/>
        </w:rPr>
        <w:t xml:space="preserve"> </w:t>
      </w:r>
    </w:p>
    <w:p w14:paraId="3BCB7E82" w14:textId="77777777" w:rsidR="00532E74" w:rsidRDefault="00532E74" w:rsidP="00723226">
      <w:pPr>
        <w:spacing w:line="240" w:lineRule="auto"/>
        <w:rPr>
          <w:b/>
          <w:szCs w:val="26"/>
        </w:rPr>
      </w:pPr>
    </w:p>
    <w:p w14:paraId="720D3A4B" w14:textId="77777777" w:rsidR="00532E74" w:rsidRPr="0090058A" w:rsidRDefault="00532E74" w:rsidP="00723226">
      <w:pPr>
        <w:spacing w:line="240" w:lineRule="auto"/>
        <w:rPr>
          <w:szCs w:val="26"/>
        </w:rPr>
      </w:pPr>
    </w:p>
    <w:p w14:paraId="3858F553" w14:textId="77777777" w:rsidR="00C23344" w:rsidRPr="0090058A" w:rsidRDefault="00C23344" w:rsidP="00723226">
      <w:pPr>
        <w:spacing w:line="240" w:lineRule="auto"/>
        <w:jc w:val="center"/>
        <w:rPr>
          <w:szCs w:val="26"/>
        </w:rPr>
      </w:pPr>
      <w:r w:rsidRPr="0090058A">
        <w:rPr>
          <w:szCs w:val="26"/>
        </w:rPr>
        <w:t>IN THE COURT OF APPEAL OF THE STATE OF CALIFORNIA</w:t>
      </w:r>
    </w:p>
    <w:p w14:paraId="47C84AFE" w14:textId="77777777" w:rsidR="00C23344" w:rsidRPr="0090058A" w:rsidRDefault="00C23344" w:rsidP="00723226">
      <w:pPr>
        <w:spacing w:line="240" w:lineRule="auto"/>
        <w:jc w:val="center"/>
        <w:rPr>
          <w:szCs w:val="26"/>
        </w:rPr>
      </w:pPr>
    </w:p>
    <w:p w14:paraId="69F1C3F1" w14:textId="77777777" w:rsidR="00C23344" w:rsidRPr="0090058A" w:rsidRDefault="00C23344" w:rsidP="00774665">
      <w:pPr>
        <w:spacing w:line="240" w:lineRule="auto"/>
        <w:jc w:val="center"/>
        <w:rPr>
          <w:szCs w:val="26"/>
        </w:rPr>
      </w:pPr>
      <w:r w:rsidRPr="0090058A">
        <w:rPr>
          <w:szCs w:val="26"/>
        </w:rPr>
        <w:t>SIXTH APPELLATE DISTRICT</w:t>
      </w:r>
    </w:p>
    <w:p w14:paraId="7AF6F44D" w14:textId="77777777" w:rsidR="00C23344" w:rsidRPr="0090058A" w:rsidRDefault="00C23344" w:rsidP="00723226">
      <w:pPr>
        <w:spacing w:line="240" w:lineRule="auto"/>
        <w:jc w:val="center"/>
        <w:rPr>
          <w:szCs w:val="26"/>
        </w:rPr>
      </w:pPr>
    </w:p>
    <w:tbl>
      <w:tblPr>
        <w:tblW w:w="0" w:type="auto"/>
        <w:tblLayout w:type="fixed"/>
        <w:tblLook w:val="0000" w:firstRow="0" w:lastRow="0" w:firstColumn="0" w:lastColumn="0" w:noHBand="0" w:noVBand="0"/>
      </w:tblPr>
      <w:tblGrid>
        <w:gridCol w:w="4680"/>
        <w:gridCol w:w="4680"/>
      </w:tblGrid>
      <w:tr w:rsidR="00AF274B" w14:paraId="64C20D90" w14:textId="77777777" w:rsidTr="00723226">
        <w:tc>
          <w:tcPr>
            <w:tcW w:w="4680" w:type="dxa"/>
            <w:tcBorders>
              <w:bottom w:val="single" w:sz="4" w:space="0" w:color="auto"/>
              <w:right w:val="single" w:sz="4" w:space="0" w:color="auto"/>
            </w:tcBorders>
            <w:shd w:val="clear" w:color="auto" w:fill="auto"/>
          </w:tcPr>
          <w:p w14:paraId="6F07228F" w14:textId="77777777" w:rsidR="00C23344" w:rsidRPr="0090058A" w:rsidRDefault="00C23344" w:rsidP="00723226">
            <w:pPr>
              <w:spacing w:line="240" w:lineRule="auto"/>
              <w:rPr>
                <w:szCs w:val="26"/>
              </w:rPr>
            </w:pPr>
            <w:r w:rsidRPr="0090058A">
              <w:rPr>
                <w:szCs w:val="26"/>
              </w:rPr>
              <w:t>RYAN OWEN FRAYO,</w:t>
            </w:r>
          </w:p>
          <w:p w14:paraId="7FC5BA10" w14:textId="77777777" w:rsidR="00C23344" w:rsidRPr="0090058A" w:rsidRDefault="00C23344" w:rsidP="00723226">
            <w:pPr>
              <w:spacing w:line="240" w:lineRule="auto"/>
              <w:rPr>
                <w:szCs w:val="26"/>
              </w:rPr>
            </w:pPr>
          </w:p>
          <w:p w14:paraId="5F7FEA3A" w14:textId="77777777" w:rsidR="00C23344" w:rsidRPr="0090058A" w:rsidRDefault="00C23344" w:rsidP="00723226">
            <w:pPr>
              <w:spacing w:line="240" w:lineRule="auto"/>
              <w:ind w:left="720"/>
              <w:rPr>
                <w:szCs w:val="26"/>
              </w:rPr>
            </w:pPr>
            <w:r w:rsidRPr="0090058A">
              <w:rPr>
                <w:szCs w:val="26"/>
              </w:rPr>
              <w:t>Plaintiff and Appellant,</w:t>
            </w:r>
          </w:p>
          <w:p w14:paraId="49499AFF" w14:textId="77777777" w:rsidR="00C23344" w:rsidRPr="0090058A" w:rsidRDefault="00C23344" w:rsidP="00723226">
            <w:pPr>
              <w:spacing w:line="240" w:lineRule="auto"/>
              <w:ind w:left="720"/>
              <w:rPr>
                <w:szCs w:val="26"/>
              </w:rPr>
            </w:pPr>
          </w:p>
          <w:p w14:paraId="27CC0001" w14:textId="77777777" w:rsidR="00C23344" w:rsidRPr="0090058A" w:rsidRDefault="00C23344" w:rsidP="00723226">
            <w:pPr>
              <w:spacing w:line="240" w:lineRule="auto"/>
              <w:ind w:left="720"/>
              <w:rPr>
                <w:szCs w:val="26"/>
              </w:rPr>
            </w:pPr>
            <w:r w:rsidRPr="0090058A">
              <w:rPr>
                <w:szCs w:val="26"/>
              </w:rPr>
              <w:t>v.</w:t>
            </w:r>
          </w:p>
          <w:p w14:paraId="5828F842" w14:textId="77777777" w:rsidR="00C23344" w:rsidRPr="0090058A" w:rsidRDefault="00C23344" w:rsidP="00723226">
            <w:pPr>
              <w:spacing w:line="240" w:lineRule="auto"/>
              <w:rPr>
                <w:szCs w:val="26"/>
              </w:rPr>
            </w:pPr>
          </w:p>
          <w:p w14:paraId="36C8EA46" w14:textId="77777777" w:rsidR="00C23344" w:rsidRPr="0090058A" w:rsidRDefault="00C23344" w:rsidP="00723226">
            <w:pPr>
              <w:spacing w:line="240" w:lineRule="auto"/>
              <w:rPr>
                <w:szCs w:val="26"/>
              </w:rPr>
            </w:pPr>
            <w:r w:rsidRPr="0090058A">
              <w:rPr>
                <w:szCs w:val="26"/>
              </w:rPr>
              <w:t xml:space="preserve">ANDREW D. MARTIN </w:t>
            </w:r>
            <w:r w:rsidRPr="0090058A">
              <w:rPr>
                <w:szCs w:val="26"/>
              </w:rPr>
              <w:t>et al.</w:t>
            </w:r>
            <w:r w:rsidRPr="0090058A">
              <w:rPr>
                <w:szCs w:val="26"/>
              </w:rPr>
              <w:t>,</w:t>
            </w:r>
          </w:p>
          <w:p w14:paraId="54D0414A" w14:textId="77777777" w:rsidR="00C23344" w:rsidRPr="0090058A" w:rsidRDefault="00C23344" w:rsidP="00723226">
            <w:pPr>
              <w:spacing w:line="240" w:lineRule="auto"/>
              <w:rPr>
                <w:szCs w:val="26"/>
              </w:rPr>
            </w:pPr>
          </w:p>
          <w:p w14:paraId="5465A71F" w14:textId="77777777" w:rsidR="00C23344" w:rsidRPr="0090058A" w:rsidRDefault="00C23344" w:rsidP="00723226">
            <w:pPr>
              <w:spacing w:line="240" w:lineRule="auto"/>
              <w:ind w:left="720"/>
              <w:rPr>
                <w:szCs w:val="26"/>
              </w:rPr>
            </w:pPr>
            <w:r w:rsidRPr="0090058A">
              <w:rPr>
                <w:szCs w:val="26"/>
              </w:rPr>
              <w:t>Defendants and Respondents.</w:t>
            </w:r>
          </w:p>
          <w:p w14:paraId="5AC93809" w14:textId="77777777" w:rsidR="00C23344" w:rsidRPr="0090058A" w:rsidRDefault="00C23344" w:rsidP="00723226">
            <w:pPr>
              <w:spacing w:line="240" w:lineRule="auto"/>
              <w:ind w:left="1440"/>
              <w:rPr>
                <w:szCs w:val="26"/>
              </w:rPr>
            </w:pPr>
          </w:p>
        </w:tc>
        <w:tc>
          <w:tcPr>
            <w:tcW w:w="4680" w:type="dxa"/>
            <w:tcBorders>
              <w:left w:val="single" w:sz="4" w:space="0" w:color="auto"/>
            </w:tcBorders>
            <w:shd w:val="clear" w:color="auto" w:fill="auto"/>
          </w:tcPr>
          <w:p w14:paraId="7477A10F" w14:textId="77777777" w:rsidR="00C23344" w:rsidRPr="0090058A" w:rsidRDefault="00C23344" w:rsidP="00723226">
            <w:pPr>
              <w:spacing w:line="240" w:lineRule="auto"/>
              <w:rPr>
                <w:szCs w:val="26"/>
              </w:rPr>
            </w:pPr>
            <w:r w:rsidRPr="0090058A">
              <w:rPr>
                <w:szCs w:val="26"/>
              </w:rPr>
              <w:t xml:space="preserve">      H050689</w:t>
            </w:r>
          </w:p>
          <w:p w14:paraId="2C6ABCF4" w14:textId="77777777" w:rsidR="00C23344" w:rsidRPr="0090058A" w:rsidRDefault="00C23344" w:rsidP="00723226">
            <w:pPr>
              <w:spacing w:line="240" w:lineRule="auto"/>
              <w:rPr>
                <w:szCs w:val="26"/>
              </w:rPr>
            </w:pPr>
            <w:r w:rsidRPr="0090058A">
              <w:rPr>
                <w:szCs w:val="26"/>
              </w:rPr>
              <w:t xml:space="preserve">     (Santa Cruz County</w:t>
            </w:r>
          </w:p>
          <w:p w14:paraId="15DFA3E6" w14:textId="77777777" w:rsidR="00C23344" w:rsidRPr="0090058A" w:rsidRDefault="00C23344" w:rsidP="00723226">
            <w:pPr>
              <w:spacing w:line="240" w:lineRule="auto"/>
              <w:rPr>
                <w:szCs w:val="26"/>
              </w:rPr>
            </w:pPr>
            <w:r w:rsidRPr="0090058A">
              <w:rPr>
                <w:szCs w:val="26"/>
              </w:rPr>
              <w:t xml:space="preserve">      Super. Ct. No. 22CV00610)</w:t>
            </w:r>
          </w:p>
          <w:p w14:paraId="3F9F7E6E" w14:textId="77777777" w:rsidR="00C23344" w:rsidRPr="0090058A" w:rsidRDefault="00C23344" w:rsidP="00723226">
            <w:pPr>
              <w:spacing w:line="240" w:lineRule="auto"/>
              <w:rPr>
                <w:szCs w:val="26"/>
              </w:rPr>
            </w:pPr>
          </w:p>
        </w:tc>
      </w:tr>
    </w:tbl>
    <w:p w14:paraId="038F31B8" w14:textId="77777777" w:rsidR="00C23344" w:rsidRPr="0090058A" w:rsidRDefault="00C23344" w:rsidP="00684714">
      <w:pPr>
        <w:rPr>
          <w:szCs w:val="26"/>
        </w:rPr>
      </w:pPr>
      <w:r w:rsidRPr="0090058A">
        <w:rPr>
          <w:szCs w:val="26"/>
        </w:rPr>
        <w:tab/>
      </w:r>
      <w:r>
        <w:rPr>
          <w:szCs w:val="26"/>
        </w:rPr>
        <w:t>Appellant</w:t>
      </w:r>
      <w:r w:rsidRPr="0090058A">
        <w:rPr>
          <w:szCs w:val="26"/>
        </w:rPr>
        <w:t xml:space="preserve"> </w:t>
      </w:r>
      <w:r w:rsidRPr="0090058A">
        <w:rPr>
          <w:szCs w:val="26"/>
        </w:rPr>
        <w:t xml:space="preserve">Ryan Owen </w:t>
      </w:r>
      <w:proofErr w:type="spellStart"/>
      <w:r w:rsidRPr="0090058A">
        <w:rPr>
          <w:szCs w:val="26"/>
        </w:rPr>
        <w:t>Frayo</w:t>
      </w:r>
      <w:proofErr w:type="spellEnd"/>
      <w:r w:rsidRPr="0090058A">
        <w:rPr>
          <w:szCs w:val="26"/>
        </w:rPr>
        <w:t xml:space="preserve"> </w:t>
      </w:r>
      <w:r w:rsidRPr="0090058A">
        <w:rPr>
          <w:szCs w:val="26"/>
        </w:rPr>
        <w:t xml:space="preserve">appeals </w:t>
      </w:r>
      <w:r>
        <w:rPr>
          <w:szCs w:val="26"/>
        </w:rPr>
        <w:t xml:space="preserve">the judgment </w:t>
      </w:r>
      <w:r>
        <w:rPr>
          <w:szCs w:val="26"/>
        </w:rPr>
        <w:t xml:space="preserve">entered after the trial court sustained </w:t>
      </w:r>
      <w:r>
        <w:rPr>
          <w:szCs w:val="26"/>
        </w:rPr>
        <w:t>a</w:t>
      </w:r>
      <w:r>
        <w:rPr>
          <w:szCs w:val="26"/>
        </w:rPr>
        <w:t xml:space="preserve"> demurrer </w:t>
      </w:r>
      <w:r>
        <w:rPr>
          <w:szCs w:val="26"/>
        </w:rPr>
        <w:t xml:space="preserve">to his </w:t>
      </w:r>
      <w:r>
        <w:rPr>
          <w:szCs w:val="26"/>
        </w:rPr>
        <w:t xml:space="preserve">first </w:t>
      </w:r>
      <w:r>
        <w:rPr>
          <w:szCs w:val="26"/>
        </w:rPr>
        <w:t xml:space="preserve">amended complaint </w:t>
      </w:r>
      <w:r>
        <w:rPr>
          <w:szCs w:val="26"/>
        </w:rPr>
        <w:t>without leave to amend</w:t>
      </w:r>
      <w:r w:rsidRPr="0090058A">
        <w:rPr>
          <w:szCs w:val="26"/>
        </w:rPr>
        <w:t>.</w:t>
      </w:r>
      <w:r>
        <w:rPr>
          <w:szCs w:val="26"/>
        </w:rPr>
        <w:t xml:space="preserve"> </w:t>
      </w:r>
      <w:r w:rsidRPr="0090058A">
        <w:rPr>
          <w:szCs w:val="26"/>
        </w:rPr>
        <w:t xml:space="preserve"> </w:t>
      </w:r>
      <w:r>
        <w:rPr>
          <w:szCs w:val="26"/>
        </w:rPr>
        <w:t xml:space="preserve">After being terminated for </w:t>
      </w:r>
      <w:r w:rsidRPr="003C2765">
        <w:rPr>
          <w:szCs w:val="26"/>
        </w:rPr>
        <w:t>refus</w:t>
      </w:r>
      <w:r>
        <w:rPr>
          <w:szCs w:val="26"/>
        </w:rPr>
        <w:t>ing</w:t>
      </w:r>
      <w:r w:rsidRPr="003C2765">
        <w:rPr>
          <w:szCs w:val="26"/>
        </w:rPr>
        <w:t xml:space="preserve"> to take a COVID-19 test</w:t>
      </w:r>
      <w:r>
        <w:rPr>
          <w:szCs w:val="26"/>
        </w:rPr>
        <w:t>,</w:t>
      </w:r>
      <w:r w:rsidRPr="003C2765">
        <w:rPr>
          <w:szCs w:val="26"/>
        </w:rPr>
        <w:t xml:space="preserve"> </w:t>
      </w:r>
      <w:proofErr w:type="spellStart"/>
      <w:r w:rsidRPr="003C2765">
        <w:rPr>
          <w:szCs w:val="26"/>
        </w:rPr>
        <w:t>Frayo</w:t>
      </w:r>
      <w:proofErr w:type="spellEnd"/>
      <w:r w:rsidRPr="003C2765">
        <w:rPr>
          <w:szCs w:val="26"/>
        </w:rPr>
        <w:t xml:space="preserve"> </w:t>
      </w:r>
      <w:r>
        <w:rPr>
          <w:szCs w:val="26"/>
        </w:rPr>
        <w:t>sued his employer</w:t>
      </w:r>
      <w:r>
        <w:rPr>
          <w:szCs w:val="26"/>
        </w:rPr>
        <w:t>,</w:t>
      </w:r>
      <w:r>
        <w:rPr>
          <w:szCs w:val="26"/>
        </w:rPr>
        <w:t xml:space="preserve"> </w:t>
      </w:r>
      <w:r w:rsidRPr="003C2765">
        <w:rPr>
          <w:szCs w:val="26"/>
        </w:rPr>
        <w:t>A&amp;A Organic Farms Corporation (</w:t>
      </w:r>
      <w:r>
        <w:rPr>
          <w:szCs w:val="26"/>
        </w:rPr>
        <w:t>A&amp;A</w:t>
      </w:r>
      <w:r w:rsidRPr="003C2765">
        <w:rPr>
          <w:szCs w:val="26"/>
        </w:rPr>
        <w:t>)</w:t>
      </w:r>
      <w:r>
        <w:rPr>
          <w:szCs w:val="26"/>
        </w:rPr>
        <w:t xml:space="preserve"> and its </w:t>
      </w:r>
      <w:r w:rsidRPr="0090058A">
        <w:rPr>
          <w:szCs w:val="26"/>
        </w:rPr>
        <w:t>owners, Andrew</w:t>
      </w:r>
      <w:r>
        <w:rPr>
          <w:szCs w:val="26"/>
        </w:rPr>
        <w:t xml:space="preserve"> </w:t>
      </w:r>
      <w:r w:rsidRPr="0090058A">
        <w:rPr>
          <w:szCs w:val="26"/>
        </w:rPr>
        <w:t>D.</w:t>
      </w:r>
      <w:r>
        <w:rPr>
          <w:szCs w:val="26"/>
        </w:rPr>
        <w:t xml:space="preserve"> </w:t>
      </w:r>
      <w:proofErr w:type="gramStart"/>
      <w:r w:rsidRPr="0090058A">
        <w:rPr>
          <w:szCs w:val="26"/>
        </w:rPr>
        <w:t>Martin</w:t>
      </w:r>
      <w:proofErr w:type="gramEnd"/>
      <w:r w:rsidRPr="0090058A">
        <w:rPr>
          <w:szCs w:val="26"/>
        </w:rPr>
        <w:t xml:space="preserve"> and Aimee M. Raphael</w:t>
      </w:r>
      <w:r>
        <w:rPr>
          <w:szCs w:val="26"/>
        </w:rPr>
        <w:noBreakHyphen/>
      </w:r>
      <w:r w:rsidRPr="0090058A">
        <w:rPr>
          <w:szCs w:val="26"/>
        </w:rPr>
        <w:t>Martin</w:t>
      </w:r>
      <w:r>
        <w:rPr>
          <w:szCs w:val="26"/>
        </w:rPr>
        <w:t xml:space="preserve"> (collectively</w:t>
      </w:r>
      <w:r>
        <w:rPr>
          <w:szCs w:val="26"/>
        </w:rPr>
        <w:t xml:space="preserve"> with </w:t>
      </w:r>
      <w:r>
        <w:rPr>
          <w:szCs w:val="26"/>
        </w:rPr>
        <w:t>A&amp;A</w:t>
      </w:r>
      <w:r>
        <w:rPr>
          <w:szCs w:val="26"/>
        </w:rPr>
        <w:t xml:space="preserve">, </w:t>
      </w:r>
      <w:r>
        <w:rPr>
          <w:szCs w:val="26"/>
        </w:rPr>
        <w:t>respondents)</w:t>
      </w:r>
      <w:r>
        <w:rPr>
          <w:szCs w:val="26"/>
        </w:rPr>
        <w:t xml:space="preserve">, </w:t>
      </w:r>
      <w:r>
        <w:rPr>
          <w:szCs w:val="26"/>
        </w:rPr>
        <w:t xml:space="preserve">alleging </w:t>
      </w:r>
      <w:r>
        <w:rPr>
          <w:szCs w:val="26"/>
        </w:rPr>
        <w:t>they</w:t>
      </w:r>
      <w:r>
        <w:rPr>
          <w:szCs w:val="26"/>
        </w:rPr>
        <w:t xml:space="preserve"> violated the </w:t>
      </w:r>
      <w:r w:rsidRPr="0090058A">
        <w:rPr>
          <w:szCs w:val="26"/>
        </w:rPr>
        <w:t>Confidentiality of Medical Information Act (CMIA) (Civ. Code, §</w:t>
      </w:r>
      <w:r>
        <w:rPr>
          <w:szCs w:val="26"/>
        </w:rPr>
        <w:t> </w:t>
      </w:r>
      <w:r w:rsidRPr="0090058A">
        <w:rPr>
          <w:szCs w:val="26"/>
        </w:rPr>
        <w:t>56 et seq.)</w:t>
      </w:r>
      <w:r>
        <w:rPr>
          <w:rStyle w:val="FootnoteReference"/>
          <w:szCs w:val="26"/>
        </w:rPr>
        <w:footnoteReference w:id="2"/>
      </w:r>
      <w:r w:rsidRPr="003C2765">
        <w:rPr>
          <w:szCs w:val="26"/>
        </w:rPr>
        <w:t xml:space="preserve">. </w:t>
      </w:r>
      <w:r w:rsidRPr="0090058A">
        <w:rPr>
          <w:szCs w:val="26"/>
        </w:rPr>
        <w:t xml:space="preserve"> </w:t>
      </w:r>
      <w:r>
        <w:rPr>
          <w:szCs w:val="26"/>
        </w:rPr>
        <w:t xml:space="preserve">After </w:t>
      </w:r>
      <w:r>
        <w:rPr>
          <w:szCs w:val="26"/>
        </w:rPr>
        <w:t xml:space="preserve">providing </w:t>
      </w:r>
      <w:proofErr w:type="spellStart"/>
      <w:r>
        <w:rPr>
          <w:szCs w:val="26"/>
        </w:rPr>
        <w:t>Frayo</w:t>
      </w:r>
      <w:proofErr w:type="spellEnd"/>
      <w:r>
        <w:rPr>
          <w:szCs w:val="26"/>
        </w:rPr>
        <w:t xml:space="preserve"> </w:t>
      </w:r>
      <w:r>
        <w:rPr>
          <w:szCs w:val="26"/>
        </w:rPr>
        <w:t>an opportunity to</w:t>
      </w:r>
      <w:r>
        <w:rPr>
          <w:szCs w:val="26"/>
        </w:rPr>
        <w:t xml:space="preserve"> cure the defects in his</w:t>
      </w:r>
      <w:r>
        <w:rPr>
          <w:szCs w:val="26"/>
        </w:rPr>
        <w:t xml:space="preserve"> initial</w:t>
      </w:r>
      <w:r>
        <w:rPr>
          <w:szCs w:val="26"/>
        </w:rPr>
        <w:t xml:space="preserve"> complaint,</w:t>
      </w:r>
      <w:r>
        <w:rPr>
          <w:szCs w:val="26"/>
        </w:rPr>
        <w:t xml:space="preserve"> </w:t>
      </w:r>
      <w:r>
        <w:rPr>
          <w:szCs w:val="26"/>
        </w:rPr>
        <w:t xml:space="preserve">the trial court sustained </w:t>
      </w:r>
      <w:r>
        <w:rPr>
          <w:szCs w:val="26"/>
        </w:rPr>
        <w:t>A&amp;A</w:t>
      </w:r>
      <w:r>
        <w:rPr>
          <w:szCs w:val="26"/>
        </w:rPr>
        <w:t>’</w:t>
      </w:r>
      <w:r>
        <w:rPr>
          <w:szCs w:val="26"/>
        </w:rPr>
        <w:t>s</w:t>
      </w:r>
      <w:r>
        <w:rPr>
          <w:szCs w:val="26"/>
        </w:rPr>
        <w:t xml:space="preserve"> </w:t>
      </w:r>
      <w:r>
        <w:rPr>
          <w:szCs w:val="26"/>
        </w:rPr>
        <w:t xml:space="preserve">demurrer </w:t>
      </w:r>
      <w:r>
        <w:rPr>
          <w:szCs w:val="26"/>
        </w:rPr>
        <w:t xml:space="preserve">to </w:t>
      </w:r>
      <w:proofErr w:type="spellStart"/>
      <w:r>
        <w:rPr>
          <w:szCs w:val="26"/>
        </w:rPr>
        <w:t>Frayo’s</w:t>
      </w:r>
      <w:proofErr w:type="spellEnd"/>
      <w:r>
        <w:rPr>
          <w:szCs w:val="26"/>
        </w:rPr>
        <w:t xml:space="preserve"> </w:t>
      </w:r>
      <w:r>
        <w:rPr>
          <w:szCs w:val="26"/>
        </w:rPr>
        <w:t xml:space="preserve">first </w:t>
      </w:r>
      <w:r>
        <w:rPr>
          <w:szCs w:val="26"/>
        </w:rPr>
        <w:t xml:space="preserve">amended complaint, finding </w:t>
      </w:r>
      <w:proofErr w:type="spellStart"/>
      <w:r>
        <w:rPr>
          <w:szCs w:val="26"/>
        </w:rPr>
        <w:t>Frayo</w:t>
      </w:r>
      <w:proofErr w:type="spellEnd"/>
      <w:r>
        <w:rPr>
          <w:szCs w:val="26"/>
        </w:rPr>
        <w:t xml:space="preserve"> failed to state a claim</w:t>
      </w:r>
      <w:r>
        <w:rPr>
          <w:szCs w:val="26"/>
        </w:rPr>
        <w:t xml:space="preserve"> under </w:t>
      </w:r>
      <w:r>
        <w:rPr>
          <w:szCs w:val="26"/>
        </w:rPr>
        <w:t xml:space="preserve">the </w:t>
      </w:r>
      <w:r>
        <w:rPr>
          <w:szCs w:val="26"/>
        </w:rPr>
        <w:t>CMIA</w:t>
      </w:r>
      <w:r>
        <w:rPr>
          <w:szCs w:val="26"/>
        </w:rPr>
        <w:t xml:space="preserve">. </w:t>
      </w:r>
      <w:r>
        <w:rPr>
          <w:szCs w:val="26"/>
        </w:rPr>
        <w:t xml:space="preserve"> </w:t>
      </w:r>
      <w:r>
        <w:rPr>
          <w:szCs w:val="26"/>
        </w:rPr>
        <w:t>For the reasons we explain below, w</w:t>
      </w:r>
      <w:r>
        <w:rPr>
          <w:szCs w:val="26"/>
        </w:rPr>
        <w:t>e affirm.</w:t>
      </w:r>
      <w:r w:rsidRPr="0090058A">
        <w:rPr>
          <w:szCs w:val="26"/>
        </w:rPr>
        <w:t xml:space="preserve">  </w:t>
      </w:r>
    </w:p>
    <w:p w14:paraId="2773229B" w14:textId="77777777" w:rsidR="00C23344" w:rsidRPr="00ED2E1B" w:rsidRDefault="00C23344" w:rsidP="007E3743">
      <w:pPr>
        <w:pStyle w:val="Heading1"/>
        <w:spacing w:before="0"/>
        <w:jc w:val="center"/>
        <w:rPr>
          <w:rFonts w:ascii="Times New Roman" w:hAnsi="Times New Roman" w:cs="Times New Roman"/>
          <w:b/>
          <w:bCs/>
          <w:caps/>
          <w:smallCaps/>
          <w:color w:val="auto"/>
          <w:sz w:val="26"/>
          <w:szCs w:val="26"/>
        </w:rPr>
      </w:pPr>
      <w:r w:rsidRPr="0090058A">
        <w:rPr>
          <w:rFonts w:ascii="Times New Roman" w:hAnsi="Times New Roman" w:cs="Times New Roman"/>
          <w:b/>
          <w:bCs/>
          <w:smallCaps/>
          <w:color w:val="auto"/>
          <w:sz w:val="26"/>
          <w:szCs w:val="26"/>
        </w:rPr>
        <w:lastRenderedPageBreak/>
        <w:t>Factual And Procedural Background</w:t>
      </w:r>
    </w:p>
    <w:p w14:paraId="07036815" w14:textId="77777777" w:rsidR="00C23344" w:rsidRDefault="00C23344" w:rsidP="00723226">
      <w:pPr>
        <w:rPr>
          <w:szCs w:val="26"/>
        </w:rPr>
      </w:pPr>
      <w:r w:rsidRPr="0090058A">
        <w:rPr>
          <w:szCs w:val="26"/>
        </w:rPr>
        <w:tab/>
      </w:r>
      <w:r>
        <w:rPr>
          <w:szCs w:val="26"/>
        </w:rPr>
        <w:t xml:space="preserve">Plaintiff </w:t>
      </w:r>
      <w:r w:rsidRPr="00875316">
        <w:rPr>
          <w:szCs w:val="26"/>
        </w:rPr>
        <w:t xml:space="preserve">Ryan Owen </w:t>
      </w:r>
      <w:proofErr w:type="spellStart"/>
      <w:r w:rsidRPr="00875316">
        <w:rPr>
          <w:szCs w:val="26"/>
        </w:rPr>
        <w:t>Frayo</w:t>
      </w:r>
      <w:proofErr w:type="spellEnd"/>
      <w:r w:rsidRPr="00875316">
        <w:rPr>
          <w:szCs w:val="26"/>
        </w:rPr>
        <w:t xml:space="preserve"> </w:t>
      </w:r>
      <w:r w:rsidRPr="0090058A">
        <w:rPr>
          <w:szCs w:val="26"/>
        </w:rPr>
        <w:t>was</w:t>
      </w:r>
      <w:r>
        <w:rPr>
          <w:szCs w:val="26"/>
        </w:rPr>
        <w:t xml:space="preserve"> a salesman </w:t>
      </w:r>
      <w:r w:rsidRPr="0090058A">
        <w:rPr>
          <w:szCs w:val="26"/>
        </w:rPr>
        <w:t xml:space="preserve">employed by </w:t>
      </w:r>
      <w:r>
        <w:rPr>
          <w:szCs w:val="26"/>
        </w:rPr>
        <w:t>A</w:t>
      </w:r>
      <w:r w:rsidRPr="00875316">
        <w:rPr>
          <w:szCs w:val="26"/>
        </w:rPr>
        <w:t>&amp;A</w:t>
      </w:r>
      <w:r w:rsidRPr="0090058A">
        <w:rPr>
          <w:szCs w:val="26"/>
        </w:rPr>
        <w:t xml:space="preserve">, </w:t>
      </w:r>
      <w:r w:rsidRPr="0090058A">
        <w:rPr>
          <w:szCs w:val="26"/>
        </w:rPr>
        <w:t xml:space="preserve">owned by </w:t>
      </w:r>
      <w:r w:rsidRPr="0090058A">
        <w:rPr>
          <w:szCs w:val="26"/>
        </w:rPr>
        <w:t>husband and wife</w:t>
      </w:r>
      <w:r w:rsidRPr="0090058A">
        <w:rPr>
          <w:szCs w:val="26"/>
        </w:rPr>
        <w:t>,</w:t>
      </w:r>
      <w:r w:rsidRPr="0090058A">
        <w:rPr>
          <w:szCs w:val="26"/>
        </w:rPr>
        <w:t xml:space="preserve"> </w:t>
      </w:r>
      <w:r w:rsidRPr="0090058A">
        <w:rPr>
          <w:szCs w:val="26"/>
        </w:rPr>
        <w:t xml:space="preserve">Andrew </w:t>
      </w:r>
      <w:r>
        <w:rPr>
          <w:szCs w:val="26"/>
        </w:rPr>
        <w:t xml:space="preserve">D. </w:t>
      </w:r>
      <w:proofErr w:type="gramStart"/>
      <w:r>
        <w:rPr>
          <w:szCs w:val="26"/>
        </w:rPr>
        <w:t>Martin</w:t>
      </w:r>
      <w:proofErr w:type="gramEnd"/>
      <w:r>
        <w:rPr>
          <w:szCs w:val="26"/>
        </w:rPr>
        <w:t xml:space="preserve"> </w:t>
      </w:r>
      <w:r w:rsidRPr="0090058A">
        <w:rPr>
          <w:szCs w:val="26"/>
        </w:rPr>
        <w:t>and Aimee</w:t>
      </w:r>
      <w:r>
        <w:rPr>
          <w:szCs w:val="26"/>
        </w:rPr>
        <w:t xml:space="preserve"> M.</w:t>
      </w:r>
      <w:r w:rsidRPr="0090058A">
        <w:rPr>
          <w:szCs w:val="26"/>
        </w:rPr>
        <w:t xml:space="preserve"> </w:t>
      </w:r>
      <w:r>
        <w:rPr>
          <w:szCs w:val="26"/>
        </w:rPr>
        <w:t>Raphael-</w:t>
      </w:r>
      <w:r w:rsidRPr="0090058A">
        <w:rPr>
          <w:szCs w:val="26"/>
        </w:rPr>
        <w:t>Martin</w:t>
      </w:r>
      <w:r>
        <w:rPr>
          <w:rStyle w:val="FootnoteReference"/>
          <w:szCs w:val="26"/>
        </w:rPr>
        <w:footnoteReference w:id="3"/>
      </w:r>
      <w:r>
        <w:rPr>
          <w:szCs w:val="26"/>
        </w:rPr>
        <w:t>.</w:t>
      </w:r>
      <w:r w:rsidRPr="0090058A">
        <w:rPr>
          <w:szCs w:val="26"/>
        </w:rPr>
        <w:t xml:space="preserve"> </w:t>
      </w:r>
      <w:r w:rsidRPr="0090058A">
        <w:rPr>
          <w:szCs w:val="26"/>
        </w:rPr>
        <w:t xml:space="preserve"> </w:t>
      </w:r>
      <w:r>
        <w:rPr>
          <w:szCs w:val="26"/>
        </w:rPr>
        <w:t xml:space="preserve">In August 2020, </w:t>
      </w:r>
      <w:r>
        <w:rPr>
          <w:szCs w:val="26"/>
        </w:rPr>
        <w:t xml:space="preserve">at </w:t>
      </w:r>
      <w:r>
        <w:rPr>
          <w:szCs w:val="26"/>
        </w:rPr>
        <w:t>the height of lockdowns and business shutdowns due to the COVID-19 pandemic</w:t>
      </w:r>
      <w:r>
        <w:rPr>
          <w:szCs w:val="26"/>
        </w:rPr>
        <w:t xml:space="preserve">, </w:t>
      </w:r>
      <w:proofErr w:type="spellStart"/>
      <w:r>
        <w:rPr>
          <w:szCs w:val="26"/>
        </w:rPr>
        <w:t>Frayo</w:t>
      </w:r>
      <w:proofErr w:type="spellEnd"/>
      <w:r>
        <w:rPr>
          <w:szCs w:val="26"/>
        </w:rPr>
        <w:t xml:space="preserve"> was a leading salesman for A&amp;A</w:t>
      </w:r>
      <w:r>
        <w:rPr>
          <w:szCs w:val="26"/>
        </w:rPr>
        <w:t>.</w:t>
      </w:r>
      <w:r>
        <w:rPr>
          <w:szCs w:val="26"/>
        </w:rPr>
        <w:t xml:space="preserve"> </w:t>
      </w:r>
    </w:p>
    <w:p w14:paraId="28BCA3F4" w14:textId="77777777" w:rsidR="00C23344" w:rsidRDefault="00C23344" w:rsidP="00723226">
      <w:pPr>
        <w:rPr>
          <w:szCs w:val="26"/>
        </w:rPr>
      </w:pPr>
      <w:r>
        <w:rPr>
          <w:szCs w:val="26"/>
        </w:rPr>
        <w:tab/>
      </w:r>
      <w:r>
        <w:rPr>
          <w:szCs w:val="26"/>
        </w:rPr>
        <w:t xml:space="preserve">When the pandemic started, </w:t>
      </w:r>
      <w:r>
        <w:rPr>
          <w:szCs w:val="26"/>
        </w:rPr>
        <w:t>A&amp;A implemented COVID-19 guidelines</w:t>
      </w:r>
      <w:r>
        <w:rPr>
          <w:szCs w:val="26"/>
        </w:rPr>
        <w:t xml:space="preserve"> to protect A&amp;A’s employees and their families, including a requirement that</w:t>
      </w:r>
      <w:r>
        <w:rPr>
          <w:szCs w:val="26"/>
        </w:rPr>
        <w:t xml:space="preserve"> its employees provide a negative </w:t>
      </w:r>
      <w:r>
        <w:rPr>
          <w:szCs w:val="26"/>
        </w:rPr>
        <w:t xml:space="preserve">COVID-19 </w:t>
      </w:r>
      <w:r>
        <w:rPr>
          <w:szCs w:val="26"/>
        </w:rPr>
        <w:t xml:space="preserve">test before returning to work </w:t>
      </w:r>
      <w:r>
        <w:rPr>
          <w:szCs w:val="26"/>
        </w:rPr>
        <w:t>if they were exposed to</w:t>
      </w:r>
      <w:r>
        <w:rPr>
          <w:szCs w:val="26"/>
        </w:rPr>
        <w:t xml:space="preserve"> or exhibited symptoms consistent with</w:t>
      </w:r>
      <w:r>
        <w:rPr>
          <w:szCs w:val="26"/>
        </w:rPr>
        <w:t xml:space="preserve"> </w:t>
      </w:r>
      <w:r>
        <w:rPr>
          <w:szCs w:val="26"/>
        </w:rPr>
        <w:t>the virus.</w:t>
      </w:r>
      <w:r>
        <w:rPr>
          <w:szCs w:val="26"/>
        </w:rPr>
        <w:t xml:space="preserve"> </w:t>
      </w:r>
    </w:p>
    <w:p w14:paraId="67EA9590" w14:textId="77777777" w:rsidR="00C23344" w:rsidRDefault="00C23344" w:rsidP="00723226">
      <w:pPr>
        <w:rPr>
          <w:szCs w:val="26"/>
        </w:rPr>
      </w:pPr>
      <w:r>
        <w:rPr>
          <w:szCs w:val="26"/>
        </w:rPr>
        <w:tab/>
      </w:r>
      <w:r w:rsidRPr="0090058A">
        <w:rPr>
          <w:szCs w:val="26"/>
        </w:rPr>
        <w:t xml:space="preserve">On </w:t>
      </w:r>
      <w:r w:rsidRPr="0090058A">
        <w:rPr>
          <w:szCs w:val="26"/>
        </w:rPr>
        <w:t xml:space="preserve">May 17, 2021, </w:t>
      </w:r>
      <w:proofErr w:type="spellStart"/>
      <w:r w:rsidRPr="0090058A">
        <w:rPr>
          <w:szCs w:val="26"/>
        </w:rPr>
        <w:t>Frayo</w:t>
      </w:r>
      <w:proofErr w:type="spellEnd"/>
      <w:r w:rsidRPr="0090058A">
        <w:rPr>
          <w:szCs w:val="26"/>
        </w:rPr>
        <w:t xml:space="preserve"> </w:t>
      </w:r>
      <w:r>
        <w:rPr>
          <w:szCs w:val="26"/>
        </w:rPr>
        <w:t>sent text messages to</w:t>
      </w:r>
      <w:r w:rsidRPr="0090058A">
        <w:rPr>
          <w:szCs w:val="26"/>
        </w:rPr>
        <w:t xml:space="preserve"> Martin</w:t>
      </w:r>
      <w:r>
        <w:rPr>
          <w:szCs w:val="26"/>
        </w:rPr>
        <w:t xml:space="preserve"> stating he was </w:t>
      </w:r>
      <w:r>
        <w:rPr>
          <w:szCs w:val="26"/>
        </w:rPr>
        <w:t xml:space="preserve">not </w:t>
      </w:r>
      <w:r w:rsidRPr="0090058A">
        <w:rPr>
          <w:szCs w:val="26"/>
        </w:rPr>
        <w:t>feeling well</w:t>
      </w:r>
      <w:r>
        <w:rPr>
          <w:szCs w:val="26"/>
        </w:rPr>
        <w:t>,</w:t>
      </w:r>
      <w:r>
        <w:rPr>
          <w:szCs w:val="26"/>
        </w:rPr>
        <w:t xml:space="preserve"> </w:t>
      </w:r>
      <w:r>
        <w:rPr>
          <w:szCs w:val="26"/>
        </w:rPr>
        <w:t xml:space="preserve">woke up drenched in sweat, </w:t>
      </w:r>
      <w:r>
        <w:rPr>
          <w:szCs w:val="26"/>
        </w:rPr>
        <w:t>and had a pounding headache.</w:t>
      </w:r>
      <w:r w:rsidRPr="0090058A">
        <w:rPr>
          <w:szCs w:val="26"/>
        </w:rPr>
        <w:t xml:space="preserve"> </w:t>
      </w:r>
      <w:r w:rsidRPr="0090058A">
        <w:rPr>
          <w:szCs w:val="26"/>
        </w:rPr>
        <w:t xml:space="preserve"> </w:t>
      </w:r>
      <w:r>
        <w:rPr>
          <w:szCs w:val="26"/>
        </w:rPr>
        <w:t>Pursuant to</w:t>
      </w:r>
      <w:r>
        <w:rPr>
          <w:szCs w:val="26"/>
        </w:rPr>
        <w:t xml:space="preserve"> A&amp;A’s COVID-19 guidelines, </w:t>
      </w:r>
      <w:r>
        <w:rPr>
          <w:szCs w:val="26"/>
        </w:rPr>
        <w:t xml:space="preserve">Martin </w:t>
      </w:r>
      <w:r>
        <w:rPr>
          <w:szCs w:val="26"/>
        </w:rPr>
        <w:t xml:space="preserve">requested </w:t>
      </w:r>
      <w:r>
        <w:rPr>
          <w:szCs w:val="26"/>
        </w:rPr>
        <w:t xml:space="preserve">that </w:t>
      </w:r>
      <w:proofErr w:type="spellStart"/>
      <w:r>
        <w:rPr>
          <w:szCs w:val="26"/>
        </w:rPr>
        <w:t>Frayo</w:t>
      </w:r>
      <w:proofErr w:type="spellEnd"/>
      <w:r>
        <w:rPr>
          <w:szCs w:val="26"/>
        </w:rPr>
        <w:t xml:space="preserve"> </w:t>
      </w:r>
      <w:r w:rsidRPr="0090058A">
        <w:rPr>
          <w:szCs w:val="26"/>
        </w:rPr>
        <w:t>complete a</w:t>
      </w:r>
      <w:r w:rsidRPr="0090058A">
        <w:rPr>
          <w:szCs w:val="26"/>
        </w:rPr>
        <w:t xml:space="preserve"> COVID-19 test</w:t>
      </w:r>
      <w:r>
        <w:rPr>
          <w:szCs w:val="26"/>
        </w:rPr>
        <w:t xml:space="preserve"> </w:t>
      </w:r>
      <w:r>
        <w:rPr>
          <w:szCs w:val="26"/>
        </w:rPr>
        <w:t xml:space="preserve">from </w:t>
      </w:r>
      <w:r>
        <w:rPr>
          <w:szCs w:val="26"/>
        </w:rPr>
        <w:t xml:space="preserve">a </w:t>
      </w:r>
      <w:r>
        <w:rPr>
          <w:szCs w:val="26"/>
        </w:rPr>
        <w:t>CVS pharmacy</w:t>
      </w:r>
      <w:r>
        <w:rPr>
          <w:rStyle w:val="FootnoteReference"/>
          <w:szCs w:val="26"/>
        </w:rPr>
        <w:footnoteReference w:id="4"/>
      </w:r>
      <w:r>
        <w:rPr>
          <w:szCs w:val="26"/>
        </w:rPr>
        <w:t xml:space="preserve"> </w:t>
      </w:r>
      <w:r w:rsidRPr="0090058A">
        <w:rPr>
          <w:szCs w:val="26"/>
        </w:rPr>
        <w:t>before return</w:t>
      </w:r>
      <w:r>
        <w:rPr>
          <w:szCs w:val="26"/>
        </w:rPr>
        <w:t>in</w:t>
      </w:r>
      <w:r>
        <w:rPr>
          <w:szCs w:val="26"/>
        </w:rPr>
        <w:t>g</w:t>
      </w:r>
      <w:r w:rsidRPr="0090058A">
        <w:rPr>
          <w:szCs w:val="26"/>
        </w:rPr>
        <w:t xml:space="preserve"> to work. </w:t>
      </w:r>
      <w:r>
        <w:rPr>
          <w:szCs w:val="26"/>
        </w:rPr>
        <w:t xml:space="preserve"> </w:t>
      </w:r>
      <w:proofErr w:type="spellStart"/>
      <w:r w:rsidRPr="0090058A">
        <w:rPr>
          <w:szCs w:val="26"/>
        </w:rPr>
        <w:t>Frayo</w:t>
      </w:r>
      <w:proofErr w:type="spellEnd"/>
      <w:r w:rsidRPr="0090058A">
        <w:rPr>
          <w:szCs w:val="26"/>
        </w:rPr>
        <w:t xml:space="preserve"> </w:t>
      </w:r>
      <w:r>
        <w:rPr>
          <w:szCs w:val="26"/>
        </w:rPr>
        <w:t>responded</w:t>
      </w:r>
      <w:r w:rsidRPr="0090058A">
        <w:rPr>
          <w:szCs w:val="26"/>
        </w:rPr>
        <w:t xml:space="preserve"> he did not want to get a COVID-19 test</w:t>
      </w:r>
      <w:r>
        <w:rPr>
          <w:szCs w:val="26"/>
        </w:rPr>
        <w:t xml:space="preserve">.  </w:t>
      </w:r>
      <w:r>
        <w:rPr>
          <w:szCs w:val="26"/>
        </w:rPr>
        <w:t xml:space="preserve">Martin </w:t>
      </w:r>
      <w:r>
        <w:rPr>
          <w:szCs w:val="26"/>
        </w:rPr>
        <w:t>told</w:t>
      </w:r>
      <w:r>
        <w:rPr>
          <w:szCs w:val="26"/>
        </w:rPr>
        <w:t xml:space="preserve"> </w:t>
      </w:r>
      <w:proofErr w:type="spellStart"/>
      <w:r>
        <w:rPr>
          <w:szCs w:val="26"/>
        </w:rPr>
        <w:t>Frayo</w:t>
      </w:r>
      <w:proofErr w:type="spellEnd"/>
      <w:r>
        <w:rPr>
          <w:szCs w:val="26"/>
        </w:rPr>
        <w:t xml:space="preserve"> </w:t>
      </w:r>
      <w:r>
        <w:rPr>
          <w:szCs w:val="26"/>
        </w:rPr>
        <w:t>“[</w:t>
      </w:r>
      <w:proofErr w:type="spellStart"/>
      <w:r>
        <w:rPr>
          <w:szCs w:val="26"/>
        </w:rPr>
        <w:t>i</w:t>
      </w:r>
      <w:proofErr w:type="spellEnd"/>
      <w:r>
        <w:rPr>
          <w:szCs w:val="26"/>
        </w:rPr>
        <w:t xml:space="preserve">]f you decide not to take the test tomorrow, we will consider this your resignation.”   </w:t>
      </w:r>
    </w:p>
    <w:p w14:paraId="2D78B1EB" w14:textId="77777777" w:rsidR="00C23344" w:rsidRPr="0090058A" w:rsidRDefault="00C23344" w:rsidP="00723226">
      <w:pPr>
        <w:rPr>
          <w:szCs w:val="26"/>
        </w:rPr>
      </w:pPr>
      <w:r>
        <w:rPr>
          <w:szCs w:val="26"/>
        </w:rPr>
        <w:tab/>
      </w:r>
      <w:r w:rsidRPr="0090058A">
        <w:rPr>
          <w:szCs w:val="26"/>
        </w:rPr>
        <w:t xml:space="preserve">The next day, Martin called </w:t>
      </w:r>
      <w:proofErr w:type="spellStart"/>
      <w:r w:rsidRPr="0090058A">
        <w:rPr>
          <w:szCs w:val="26"/>
        </w:rPr>
        <w:t>Frayo</w:t>
      </w:r>
      <w:proofErr w:type="spellEnd"/>
      <w:r w:rsidRPr="0090058A">
        <w:rPr>
          <w:szCs w:val="26"/>
        </w:rPr>
        <w:t xml:space="preserve"> to ask </w:t>
      </w:r>
      <w:r w:rsidRPr="0090058A">
        <w:rPr>
          <w:szCs w:val="26"/>
        </w:rPr>
        <w:t>if he had taken the COVID-19 test and</w:t>
      </w:r>
      <w:r>
        <w:rPr>
          <w:szCs w:val="26"/>
        </w:rPr>
        <w:t xml:space="preserve"> if </w:t>
      </w:r>
      <w:r>
        <w:rPr>
          <w:szCs w:val="26"/>
        </w:rPr>
        <w:t xml:space="preserve">he </w:t>
      </w:r>
      <w:r>
        <w:rPr>
          <w:szCs w:val="26"/>
        </w:rPr>
        <w:t>could provide</w:t>
      </w:r>
      <w:r>
        <w:rPr>
          <w:szCs w:val="26"/>
        </w:rPr>
        <w:t xml:space="preserve"> Martin </w:t>
      </w:r>
      <w:r>
        <w:rPr>
          <w:szCs w:val="26"/>
        </w:rPr>
        <w:t>with the results</w:t>
      </w:r>
      <w:r w:rsidRPr="0090058A">
        <w:rPr>
          <w:szCs w:val="26"/>
        </w:rPr>
        <w:t xml:space="preserve">. </w:t>
      </w:r>
      <w:r w:rsidRPr="0090058A">
        <w:rPr>
          <w:szCs w:val="26"/>
        </w:rPr>
        <w:t xml:space="preserve"> </w:t>
      </w:r>
      <w:proofErr w:type="spellStart"/>
      <w:r w:rsidRPr="0090058A">
        <w:rPr>
          <w:szCs w:val="26"/>
        </w:rPr>
        <w:t>Frayo</w:t>
      </w:r>
      <w:proofErr w:type="spellEnd"/>
      <w:r w:rsidRPr="0090058A">
        <w:rPr>
          <w:szCs w:val="26"/>
        </w:rPr>
        <w:t xml:space="preserve"> again declined</w:t>
      </w:r>
      <w:r>
        <w:rPr>
          <w:szCs w:val="26"/>
        </w:rPr>
        <w:t xml:space="preserve">, stating he was “not going to take a test and turn it over to [Martin] </w:t>
      </w:r>
      <w:r>
        <w:rPr>
          <w:szCs w:val="26"/>
        </w:rPr>
        <w:t xml:space="preserve">because doing so is against the law” </w:t>
      </w:r>
      <w:proofErr w:type="gramStart"/>
      <w:r>
        <w:rPr>
          <w:szCs w:val="26"/>
        </w:rPr>
        <w:t>and also</w:t>
      </w:r>
      <w:proofErr w:type="gramEnd"/>
      <w:r>
        <w:rPr>
          <w:szCs w:val="26"/>
        </w:rPr>
        <w:t xml:space="preserve"> against </w:t>
      </w:r>
      <w:proofErr w:type="spellStart"/>
      <w:r>
        <w:rPr>
          <w:szCs w:val="26"/>
        </w:rPr>
        <w:t>Frayo’s</w:t>
      </w:r>
      <w:proofErr w:type="spellEnd"/>
      <w:r>
        <w:rPr>
          <w:szCs w:val="26"/>
        </w:rPr>
        <w:t xml:space="preserve"> faith and beliefs.</w:t>
      </w:r>
      <w:r w:rsidRPr="0090058A">
        <w:rPr>
          <w:szCs w:val="26"/>
        </w:rPr>
        <w:t xml:space="preserve"> </w:t>
      </w:r>
      <w:r>
        <w:rPr>
          <w:szCs w:val="26"/>
        </w:rPr>
        <w:t xml:space="preserve"> </w:t>
      </w:r>
      <w:proofErr w:type="spellStart"/>
      <w:r>
        <w:rPr>
          <w:szCs w:val="26"/>
        </w:rPr>
        <w:t>Frayo</w:t>
      </w:r>
      <w:proofErr w:type="spellEnd"/>
      <w:r>
        <w:rPr>
          <w:szCs w:val="26"/>
        </w:rPr>
        <w:t xml:space="preserve"> said he</w:t>
      </w:r>
      <w:r>
        <w:rPr>
          <w:szCs w:val="26"/>
        </w:rPr>
        <w:t xml:space="preserve"> was</w:t>
      </w:r>
      <w:r>
        <w:rPr>
          <w:szCs w:val="26"/>
        </w:rPr>
        <w:t xml:space="preserve"> not resigning </w:t>
      </w:r>
      <w:r>
        <w:rPr>
          <w:szCs w:val="26"/>
        </w:rPr>
        <w:t xml:space="preserve">but asked </w:t>
      </w:r>
      <w:r>
        <w:rPr>
          <w:szCs w:val="26"/>
        </w:rPr>
        <w:t xml:space="preserve">if A&amp;A had terminated his employment </w:t>
      </w:r>
      <w:r>
        <w:rPr>
          <w:szCs w:val="26"/>
        </w:rPr>
        <w:t>based on</w:t>
      </w:r>
      <w:r>
        <w:rPr>
          <w:szCs w:val="26"/>
        </w:rPr>
        <w:t xml:space="preserve"> </w:t>
      </w:r>
      <w:r>
        <w:rPr>
          <w:szCs w:val="26"/>
        </w:rPr>
        <w:t xml:space="preserve">his refusal </w:t>
      </w:r>
      <w:r>
        <w:rPr>
          <w:szCs w:val="26"/>
        </w:rPr>
        <w:t xml:space="preserve">to take the COVID-19 test. </w:t>
      </w:r>
      <w:r>
        <w:rPr>
          <w:szCs w:val="26"/>
        </w:rPr>
        <w:t xml:space="preserve"> Ralphael</w:t>
      </w:r>
      <w:r>
        <w:rPr>
          <w:szCs w:val="26"/>
        </w:rPr>
        <w:noBreakHyphen/>
      </w:r>
      <w:r>
        <w:rPr>
          <w:szCs w:val="26"/>
        </w:rPr>
        <w:t>Martin</w:t>
      </w:r>
      <w:r>
        <w:rPr>
          <w:szCs w:val="26"/>
        </w:rPr>
        <w:t xml:space="preserve"> </w:t>
      </w:r>
      <w:r>
        <w:rPr>
          <w:szCs w:val="26"/>
        </w:rPr>
        <w:t xml:space="preserve">told </w:t>
      </w:r>
      <w:proofErr w:type="spellStart"/>
      <w:r>
        <w:rPr>
          <w:szCs w:val="26"/>
        </w:rPr>
        <w:t>Frayo</w:t>
      </w:r>
      <w:proofErr w:type="spellEnd"/>
      <w:r>
        <w:rPr>
          <w:szCs w:val="26"/>
        </w:rPr>
        <w:t xml:space="preserve"> that</w:t>
      </w:r>
      <w:r>
        <w:rPr>
          <w:szCs w:val="26"/>
        </w:rPr>
        <w:t xml:space="preserve"> </w:t>
      </w:r>
      <w:r>
        <w:rPr>
          <w:szCs w:val="26"/>
        </w:rPr>
        <w:t>A&amp;A was consulting with legal counsel on the</w:t>
      </w:r>
      <w:r>
        <w:rPr>
          <w:szCs w:val="26"/>
        </w:rPr>
        <w:t xml:space="preserve"> issue</w:t>
      </w:r>
      <w:r>
        <w:rPr>
          <w:szCs w:val="26"/>
        </w:rPr>
        <w:t xml:space="preserve"> and would </w:t>
      </w:r>
      <w:r>
        <w:rPr>
          <w:szCs w:val="26"/>
        </w:rPr>
        <w:t xml:space="preserve">respond to him </w:t>
      </w:r>
      <w:r>
        <w:rPr>
          <w:szCs w:val="26"/>
        </w:rPr>
        <w:t>accordingly</w:t>
      </w:r>
      <w:r>
        <w:rPr>
          <w:szCs w:val="26"/>
        </w:rPr>
        <w:t xml:space="preserve">.  On May 19, 2021, </w:t>
      </w:r>
      <w:r>
        <w:rPr>
          <w:szCs w:val="26"/>
        </w:rPr>
        <w:t xml:space="preserve">A&amp;A informed </w:t>
      </w:r>
      <w:proofErr w:type="spellStart"/>
      <w:r>
        <w:rPr>
          <w:szCs w:val="26"/>
        </w:rPr>
        <w:t>Frayo</w:t>
      </w:r>
      <w:proofErr w:type="spellEnd"/>
      <w:r>
        <w:rPr>
          <w:szCs w:val="26"/>
        </w:rPr>
        <w:t xml:space="preserve"> that his</w:t>
      </w:r>
      <w:r w:rsidRPr="0090058A">
        <w:rPr>
          <w:szCs w:val="26"/>
        </w:rPr>
        <w:t xml:space="preserve"> employment would be terminated </w:t>
      </w:r>
      <w:r>
        <w:rPr>
          <w:szCs w:val="26"/>
        </w:rPr>
        <w:t>“i</w:t>
      </w:r>
      <w:r w:rsidRPr="0090058A">
        <w:rPr>
          <w:szCs w:val="26"/>
        </w:rPr>
        <w:t xml:space="preserve">f he </w:t>
      </w:r>
      <w:r w:rsidRPr="0090058A">
        <w:rPr>
          <w:szCs w:val="26"/>
        </w:rPr>
        <w:t>d</w:t>
      </w:r>
      <w:r>
        <w:rPr>
          <w:szCs w:val="26"/>
        </w:rPr>
        <w:t>id</w:t>
      </w:r>
      <w:r w:rsidRPr="0090058A">
        <w:rPr>
          <w:szCs w:val="26"/>
        </w:rPr>
        <w:t xml:space="preserve"> </w:t>
      </w:r>
      <w:r w:rsidRPr="0090058A">
        <w:rPr>
          <w:szCs w:val="26"/>
        </w:rPr>
        <w:t xml:space="preserve">not </w:t>
      </w:r>
      <w:r>
        <w:rPr>
          <w:szCs w:val="26"/>
        </w:rPr>
        <w:t>submit</w:t>
      </w:r>
      <w:r>
        <w:rPr>
          <w:szCs w:val="26"/>
        </w:rPr>
        <w:t xml:space="preserve"> to</w:t>
      </w:r>
      <w:r>
        <w:rPr>
          <w:szCs w:val="26"/>
        </w:rPr>
        <w:t xml:space="preserve"> </w:t>
      </w:r>
      <w:r w:rsidRPr="0090058A">
        <w:rPr>
          <w:szCs w:val="26"/>
        </w:rPr>
        <w:t xml:space="preserve">take a COVID-19 test from </w:t>
      </w:r>
      <w:r w:rsidRPr="0090058A">
        <w:rPr>
          <w:szCs w:val="26"/>
        </w:rPr>
        <w:lastRenderedPageBreak/>
        <w:t xml:space="preserve">CVS or other health care service provider and </w:t>
      </w:r>
      <w:r>
        <w:rPr>
          <w:szCs w:val="26"/>
        </w:rPr>
        <w:t xml:space="preserve">then </w:t>
      </w:r>
      <w:r w:rsidRPr="0090058A">
        <w:rPr>
          <w:szCs w:val="26"/>
        </w:rPr>
        <w:t>disclose the information</w:t>
      </w:r>
      <w:r w:rsidRPr="0090058A">
        <w:rPr>
          <w:szCs w:val="26"/>
        </w:rPr>
        <w:t xml:space="preserve"> to his employer.</w:t>
      </w:r>
      <w:r>
        <w:rPr>
          <w:szCs w:val="26"/>
        </w:rPr>
        <w:t>”</w:t>
      </w:r>
      <w:r w:rsidRPr="0090058A">
        <w:rPr>
          <w:szCs w:val="26"/>
        </w:rPr>
        <w:t xml:space="preserve"> </w:t>
      </w:r>
      <w:r w:rsidRPr="0090058A">
        <w:rPr>
          <w:szCs w:val="26"/>
        </w:rPr>
        <w:t xml:space="preserve"> </w:t>
      </w:r>
      <w:proofErr w:type="spellStart"/>
      <w:r w:rsidRPr="0090058A">
        <w:rPr>
          <w:szCs w:val="26"/>
        </w:rPr>
        <w:t>Frayo</w:t>
      </w:r>
      <w:proofErr w:type="spellEnd"/>
      <w:r w:rsidRPr="0090058A">
        <w:rPr>
          <w:szCs w:val="26"/>
        </w:rPr>
        <w:t xml:space="preserve"> did not </w:t>
      </w:r>
      <w:r>
        <w:rPr>
          <w:szCs w:val="26"/>
        </w:rPr>
        <w:t>comply</w:t>
      </w:r>
      <w:r>
        <w:rPr>
          <w:szCs w:val="26"/>
        </w:rPr>
        <w:t xml:space="preserve">. </w:t>
      </w:r>
      <w:r>
        <w:rPr>
          <w:szCs w:val="26"/>
        </w:rPr>
        <w:t xml:space="preserve"> </w:t>
      </w:r>
      <w:r>
        <w:rPr>
          <w:szCs w:val="26"/>
        </w:rPr>
        <w:t>T</w:t>
      </w:r>
      <w:r w:rsidRPr="0090058A">
        <w:rPr>
          <w:szCs w:val="26"/>
        </w:rPr>
        <w:t>he</w:t>
      </w:r>
      <w:r w:rsidRPr="0090058A">
        <w:rPr>
          <w:szCs w:val="26"/>
        </w:rPr>
        <w:t xml:space="preserve"> following day,</w:t>
      </w:r>
      <w:r w:rsidRPr="0090058A">
        <w:rPr>
          <w:szCs w:val="26"/>
        </w:rPr>
        <w:t xml:space="preserve"> </w:t>
      </w:r>
      <w:r>
        <w:rPr>
          <w:szCs w:val="26"/>
        </w:rPr>
        <w:t>A&amp;A</w:t>
      </w:r>
      <w:r w:rsidRPr="0090058A">
        <w:rPr>
          <w:szCs w:val="26"/>
        </w:rPr>
        <w:t xml:space="preserve"> terminated </w:t>
      </w:r>
      <w:proofErr w:type="spellStart"/>
      <w:r w:rsidRPr="0090058A">
        <w:rPr>
          <w:szCs w:val="26"/>
        </w:rPr>
        <w:t>Frayo’s</w:t>
      </w:r>
      <w:proofErr w:type="spellEnd"/>
      <w:r w:rsidRPr="0090058A">
        <w:rPr>
          <w:szCs w:val="26"/>
        </w:rPr>
        <w:t xml:space="preserve"> employment. </w:t>
      </w:r>
      <w:r w:rsidRPr="0090058A">
        <w:rPr>
          <w:szCs w:val="26"/>
        </w:rPr>
        <w:t xml:space="preserve"> </w:t>
      </w:r>
    </w:p>
    <w:p w14:paraId="0A4E60D6" w14:textId="77777777" w:rsidR="00C23344" w:rsidRDefault="00C23344" w:rsidP="00723226">
      <w:pPr>
        <w:rPr>
          <w:szCs w:val="26"/>
        </w:rPr>
      </w:pPr>
      <w:r w:rsidRPr="0090058A">
        <w:rPr>
          <w:szCs w:val="26"/>
        </w:rPr>
        <w:tab/>
      </w:r>
      <w:r>
        <w:rPr>
          <w:szCs w:val="26"/>
        </w:rPr>
        <w:t xml:space="preserve">In March 2022, </w:t>
      </w:r>
      <w:proofErr w:type="spellStart"/>
      <w:r w:rsidRPr="0090058A">
        <w:rPr>
          <w:szCs w:val="26"/>
        </w:rPr>
        <w:t>Frayo</w:t>
      </w:r>
      <w:proofErr w:type="spellEnd"/>
      <w:r w:rsidRPr="0090058A">
        <w:rPr>
          <w:szCs w:val="26"/>
        </w:rPr>
        <w:t xml:space="preserve"> </w:t>
      </w:r>
      <w:r>
        <w:rPr>
          <w:szCs w:val="26"/>
        </w:rPr>
        <w:t>sued</w:t>
      </w:r>
      <w:r w:rsidRPr="0090058A">
        <w:rPr>
          <w:szCs w:val="26"/>
        </w:rPr>
        <w:t xml:space="preserve"> </w:t>
      </w:r>
      <w:r>
        <w:rPr>
          <w:szCs w:val="26"/>
        </w:rPr>
        <w:t>respondents</w:t>
      </w:r>
      <w:r w:rsidRPr="0090058A">
        <w:rPr>
          <w:szCs w:val="26"/>
        </w:rPr>
        <w:t>, alleging</w:t>
      </w:r>
      <w:r>
        <w:rPr>
          <w:szCs w:val="26"/>
        </w:rPr>
        <w:t xml:space="preserve"> two causes of action under </w:t>
      </w:r>
      <w:r w:rsidRPr="0090058A">
        <w:rPr>
          <w:szCs w:val="26"/>
        </w:rPr>
        <w:t>section 56.20</w:t>
      </w:r>
      <w:r w:rsidRPr="0090058A">
        <w:rPr>
          <w:szCs w:val="26"/>
        </w:rPr>
        <w:t xml:space="preserve"> </w:t>
      </w:r>
      <w:r w:rsidRPr="0090058A">
        <w:rPr>
          <w:szCs w:val="26"/>
        </w:rPr>
        <w:t xml:space="preserve">of </w:t>
      </w:r>
      <w:r>
        <w:rPr>
          <w:szCs w:val="26"/>
        </w:rPr>
        <w:t>th</w:t>
      </w:r>
      <w:r>
        <w:rPr>
          <w:szCs w:val="26"/>
        </w:rPr>
        <w:t xml:space="preserve">e </w:t>
      </w:r>
      <w:r w:rsidRPr="0090058A">
        <w:rPr>
          <w:szCs w:val="26"/>
        </w:rPr>
        <w:t>CMIA</w:t>
      </w:r>
      <w:r w:rsidRPr="0090058A">
        <w:rPr>
          <w:szCs w:val="26"/>
        </w:rPr>
        <w:t xml:space="preserve">. </w:t>
      </w:r>
      <w:r w:rsidRPr="0090058A">
        <w:rPr>
          <w:szCs w:val="26"/>
        </w:rPr>
        <w:t xml:space="preserve"> </w:t>
      </w:r>
      <w:r>
        <w:rPr>
          <w:szCs w:val="26"/>
        </w:rPr>
        <w:t>First</w:t>
      </w:r>
      <w:r>
        <w:rPr>
          <w:szCs w:val="26"/>
        </w:rPr>
        <w:t xml:space="preserve">, </w:t>
      </w:r>
      <w:proofErr w:type="spellStart"/>
      <w:r>
        <w:rPr>
          <w:szCs w:val="26"/>
        </w:rPr>
        <w:t>Frayo</w:t>
      </w:r>
      <w:proofErr w:type="spellEnd"/>
      <w:r>
        <w:rPr>
          <w:szCs w:val="26"/>
        </w:rPr>
        <w:t xml:space="preserve"> alleged </w:t>
      </w:r>
      <w:r>
        <w:rPr>
          <w:szCs w:val="26"/>
        </w:rPr>
        <w:t>respondents</w:t>
      </w:r>
      <w:r>
        <w:rPr>
          <w:szCs w:val="26"/>
        </w:rPr>
        <w:t xml:space="preserve"> violated</w:t>
      </w:r>
      <w:r>
        <w:rPr>
          <w:szCs w:val="26"/>
        </w:rPr>
        <w:t xml:space="preserve"> section 56.20, subdivision (b)</w:t>
      </w:r>
      <w:r>
        <w:rPr>
          <w:szCs w:val="26"/>
        </w:rPr>
        <w:t xml:space="preserve"> (hereafter section 56.20(b))</w:t>
      </w:r>
      <w:r>
        <w:rPr>
          <w:szCs w:val="26"/>
        </w:rPr>
        <w:t>,</w:t>
      </w:r>
      <w:r>
        <w:rPr>
          <w:szCs w:val="26"/>
        </w:rPr>
        <w:t xml:space="preserve"> </w:t>
      </w:r>
      <w:r>
        <w:rPr>
          <w:szCs w:val="26"/>
        </w:rPr>
        <w:t>by terminating his employment when he refuse</w:t>
      </w:r>
      <w:r>
        <w:rPr>
          <w:szCs w:val="26"/>
        </w:rPr>
        <w:t xml:space="preserve">d to </w:t>
      </w:r>
      <w:r>
        <w:rPr>
          <w:szCs w:val="26"/>
        </w:rPr>
        <w:t>provide</w:t>
      </w:r>
      <w:r>
        <w:rPr>
          <w:szCs w:val="26"/>
        </w:rPr>
        <w:t xml:space="preserve"> a COVID-19 test</w:t>
      </w:r>
      <w:r>
        <w:rPr>
          <w:szCs w:val="26"/>
        </w:rPr>
        <w:t xml:space="preserve"> result</w:t>
      </w:r>
      <w:r>
        <w:rPr>
          <w:szCs w:val="26"/>
        </w:rPr>
        <w:t xml:space="preserve">. </w:t>
      </w:r>
      <w:r>
        <w:rPr>
          <w:szCs w:val="26"/>
        </w:rPr>
        <w:t xml:space="preserve"> </w:t>
      </w:r>
      <w:r>
        <w:rPr>
          <w:szCs w:val="26"/>
        </w:rPr>
        <w:t>Second</w:t>
      </w:r>
      <w:r>
        <w:rPr>
          <w:szCs w:val="26"/>
        </w:rPr>
        <w:t>,</w:t>
      </w:r>
      <w:r>
        <w:rPr>
          <w:szCs w:val="26"/>
        </w:rPr>
        <w:t xml:space="preserve"> </w:t>
      </w:r>
      <w:proofErr w:type="spellStart"/>
      <w:r>
        <w:rPr>
          <w:szCs w:val="26"/>
        </w:rPr>
        <w:t>Frayo</w:t>
      </w:r>
      <w:proofErr w:type="spellEnd"/>
      <w:r>
        <w:rPr>
          <w:szCs w:val="26"/>
        </w:rPr>
        <w:t xml:space="preserve"> </w:t>
      </w:r>
      <w:r>
        <w:rPr>
          <w:szCs w:val="26"/>
        </w:rPr>
        <w:t>cla</w:t>
      </w:r>
      <w:r>
        <w:rPr>
          <w:szCs w:val="26"/>
        </w:rPr>
        <w:t xml:space="preserve">imed </w:t>
      </w:r>
      <w:r>
        <w:rPr>
          <w:szCs w:val="26"/>
        </w:rPr>
        <w:t xml:space="preserve">respondents </w:t>
      </w:r>
      <w:r>
        <w:rPr>
          <w:szCs w:val="26"/>
        </w:rPr>
        <w:t xml:space="preserve">violated </w:t>
      </w:r>
      <w:r>
        <w:rPr>
          <w:szCs w:val="26"/>
        </w:rPr>
        <w:t>section 56.20, subdivision (c)</w:t>
      </w:r>
      <w:r>
        <w:rPr>
          <w:szCs w:val="26"/>
        </w:rPr>
        <w:t xml:space="preserve"> (hereafter section 56.20(c))</w:t>
      </w:r>
      <w:r>
        <w:rPr>
          <w:szCs w:val="26"/>
        </w:rPr>
        <w:t>,</w:t>
      </w:r>
      <w:r>
        <w:rPr>
          <w:szCs w:val="26"/>
        </w:rPr>
        <w:t xml:space="preserve"> </w:t>
      </w:r>
      <w:r>
        <w:rPr>
          <w:szCs w:val="26"/>
        </w:rPr>
        <w:t xml:space="preserve">when </w:t>
      </w:r>
      <w:r>
        <w:rPr>
          <w:szCs w:val="26"/>
        </w:rPr>
        <w:t>A&amp;A</w:t>
      </w:r>
      <w:r>
        <w:rPr>
          <w:szCs w:val="26"/>
        </w:rPr>
        <w:t xml:space="preserve"> use</w:t>
      </w:r>
      <w:r>
        <w:rPr>
          <w:szCs w:val="26"/>
        </w:rPr>
        <w:t xml:space="preserve">d </w:t>
      </w:r>
      <w:proofErr w:type="spellStart"/>
      <w:r>
        <w:rPr>
          <w:szCs w:val="26"/>
        </w:rPr>
        <w:t>Frayo’s</w:t>
      </w:r>
      <w:proofErr w:type="spellEnd"/>
      <w:r>
        <w:rPr>
          <w:szCs w:val="26"/>
        </w:rPr>
        <w:t xml:space="preserve"> description of his </w:t>
      </w:r>
      <w:r>
        <w:rPr>
          <w:szCs w:val="26"/>
        </w:rPr>
        <w:t>symptom</w:t>
      </w:r>
      <w:r>
        <w:rPr>
          <w:szCs w:val="26"/>
        </w:rPr>
        <w:t xml:space="preserve">s to Martin </w:t>
      </w:r>
      <w:r>
        <w:rPr>
          <w:szCs w:val="26"/>
        </w:rPr>
        <w:t>(i.e., that he was feeling unwell</w:t>
      </w:r>
      <w:r>
        <w:rPr>
          <w:szCs w:val="26"/>
        </w:rPr>
        <w:t>, sweating and had a headache)</w:t>
      </w:r>
      <w:r>
        <w:rPr>
          <w:szCs w:val="26"/>
        </w:rPr>
        <w:t xml:space="preserve"> </w:t>
      </w:r>
      <w:r>
        <w:rPr>
          <w:szCs w:val="26"/>
        </w:rPr>
        <w:t>as a basis to</w:t>
      </w:r>
      <w:r>
        <w:rPr>
          <w:szCs w:val="26"/>
        </w:rPr>
        <w:t xml:space="preserve"> </w:t>
      </w:r>
      <w:r>
        <w:rPr>
          <w:szCs w:val="26"/>
        </w:rPr>
        <w:t>terminate his employment</w:t>
      </w:r>
      <w:r>
        <w:rPr>
          <w:szCs w:val="26"/>
        </w:rPr>
        <w:t>.</w:t>
      </w:r>
      <w:r>
        <w:rPr>
          <w:szCs w:val="26"/>
        </w:rPr>
        <w:t xml:space="preserve"> </w:t>
      </w:r>
    </w:p>
    <w:p w14:paraId="7BE5AAC2" w14:textId="77777777" w:rsidR="00C23344" w:rsidRDefault="00C23344" w:rsidP="00723226">
      <w:pPr>
        <w:rPr>
          <w:szCs w:val="26"/>
        </w:rPr>
      </w:pPr>
      <w:r>
        <w:rPr>
          <w:szCs w:val="26"/>
        </w:rPr>
        <w:tab/>
      </w:r>
      <w:r>
        <w:rPr>
          <w:szCs w:val="26"/>
        </w:rPr>
        <w:t>On May 9, 2022,</w:t>
      </w:r>
      <w:r>
        <w:rPr>
          <w:szCs w:val="26"/>
        </w:rPr>
        <w:t xml:space="preserve"> </w:t>
      </w:r>
      <w:proofErr w:type="spellStart"/>
      <w:r>
        <w:rPr>
          <w:szCs w:val="26"/>
        </w:rPr>
        <w:t>Frayo</w:t>
      </w:r>
      <w:proofErr w:type="spellEnd"/>
      <w:r>
        <w:rPr>
          <w:szCs w:val="26"/>
        </w:rPr>
        <w:t xml:space="preserve"> </w:t>
      </w:r>
      <w:r>
        <w:rPr>
          <w:szCs w:val="26"/>
        </w:rPr>
        <w:t xml:space="preserve">voluntarily dismissed </w:t>
      </w:r>
      <w:r>
        <w:rPr>
          <w:szCs w:val="26"/>
        </w:rPr>
        <w:t xml:space="preserve">Martin and Raphael-Martin </w:t>
      </w:r>
      <w:r>
        <w:rPr>
          <w:szCs w:val="26"/>
        </w:rPr>
        <w:t xml:space="preserve">from the initial </w:t>
      </w:r>
      <w:r>
        <w:rPr>
          <w:szCs w:val="26"/>
        </w:rPr>
        <w:t xml:space="preserve">complaint </w:t>
      </w:r>
      <w:r w:rsidRPr="0090058A">
        <w:rPr>
          <w:szCs w:val="26"/>
        </w:rPr>
        <w:t>without prejudic</w:t>
      </w:r>
      <w:r>
        <w:rPr>
          <w:szCs w:val="26"/>
        </w:rPr>
        <w:t>e</w:t>
      </w:r>
      <w:r>
        <w:rPr>
          <w:szCs w:val="26"/>
        </w:rPr>
        <w:t>.</w:t>
      </w:r>
      <w:r w:rsidRPr="0090058A">
        <w:rPr>
          <w:szCs w:val="26"/>
        </w:rPr>
        <w:t xml:space="preserve"> </w:t>
      </w:r>
      <w:r w:rsidRPr="0090058A">
        <w:rPr>
          <w:szCs w:val="26"/>
        </w:rPr>
        <w:t xml:space="preserve"> </w:t>
      </w:r>
      <w:r>
        <w:rPr>
          <w:szCs w:val="26"/>
        </w:rPr>
        <w:t>A&amp;A</w:t>
      </w:r>
      <w:r w:rsidRPr="0090058A">
        <w:rPr>
          <w:szCs w:val="26"/>
        </w:rPr>
        <w:t xml:space="preserve"> </w:t>
      </w:r>
      <w:r>
        <w:rPr>
          <w:szCs w:val="26"/>
        </w:rPr>
        <w:t xml:space="preserve">then </w:t>
      </w:r>
      <w:r>
        <w:rPr>
          <w:szCs w:val="26"/>
        </w:rPr>
        <w:t>demurred to the complaint</w:t>
      </w:r>
      <w:r w:rsidRPr="0090058A">
        <w:rPr>
          <w:szCs w:val="26"/>
        </w:rPr>
        <w:t xml:space="preserve">, contending </w:t>
      </w:r>
      <w:r>
        <w:rPr>
          <w:szCs w:val="26"/>
        </w:rPr>
        <w:t xml:space="preserve">that </w:t>
      </w:r>
      <w:proofErr w:type="spellStart"/>
      <w:r w:rsidRPr="0090058A">
        <w:rPr>
          <w:szCs w:val="26"/>
        </w:rPr>
        <w:t>Frayo</w:t>
      </w:r>
      <w:proofErr w:type="spellEnd"/>
      <w:r w:rsidRPr="0090058A">
        <w:rPr>
          <w:szCs w:val="26"/>
        </w:rPr>
        <w:t xml:space="preserve"> failed </w:t>
      </w:r>
      <w:r>
        <w:rPr>
          <w:szCs w:val="26"/>
        </w:rPr>
        <w:t>to state a claim</w:t>
      </w:r>
      <w:r>
        <w:rPr>
          <w:szCs w:val="26"/>
        </w:rPr>
        <w:t>.</w:t>
      </w:r>
      <w:r w:rsidRPr="0090058A">
        <w:rPr>
          <w:szCs w:val="26"/>
        </w:rPr>
        <w:t xml:space="preserve"> </w:t>
      </w:r>
      <w:r>
        <w:rPr>
          <w:szCs w:val="26"/>
        </w:rPr>
        <w:t xml:space="preserve"> </w:t>
      </w:r>
      <w:r>
        <w:rPr>
          <w:szCs w:val="26"/>
        </w:rPr>
        <w:t>A&amp;A</w:t>
      </w:r>
      <w:r>
        <w:rPr>
          <w:szCs w:val="26"/>
        </w:rPr>
        <w:t xml:space="preserve"> argued that </w:t>
      </w:r>
      <w:proofErr w:type="spellStart"/>
      <w:r>
        <w:rPr>
          <w:szCs w:val="26"/>
        </w:rPr>
        <w:t>Frayo</w:t>
      </w:r>
      <w:proofErr w:type="spellEnd"/>
      <w:r>
        <w:rPr>
          <w:szCs w:val="26"/>
        </w:rPr>
        <w:t xml:space="preserve"> did not and could not plead </w:t>
      </w:r>
      <w:r>
        <w:rPr>
          <w:szCs w:val="26"/>
        </w:rPr>
        <w:t xml:space="preserve">certain </w:t>
      </w:r>
      <w:r>
        <w:rPr>
          <w:szCs w:val="26"/>
        </w:rPr>
        <w:t>necessary elements</w:t>
      </w:r>
      <w:r>
        <w:rPr>
          <w:szCs w:val="26"/>
        </w:rPr>
        <w:t xml:space="preserve"> </w:t>
      </w:r>
      <w:r>
        <w:rPr>
          <w:szCs w:val="26"/>
        </w:rPr>
        <w:t xml:space="preserve">under </w:t>
      </w:r>
      <w:r>
        <w:rPr>
          <w:szCs w:val="26"/>
        </w:rPr>
        <w:t xml:space="preserve">the </w:t>
      </w:r>
      <w:r>
        <w:rPr>
          <w:szCs w:val="26"/>
        </w:rPr>
        <w:t>CMIA</w:t>
      </w:r>
      <w:r>
        <w:rPr>
          <w:szCs w:val="26"/>
        </w:rPr>
        <w:t>, specifically</w:t>
      </w:r>
      <w:r>
        <w:rPr>
          <w:szCs w:val="26"/>
        </w:rPr>
        <w:t xml:space="preserve"> </w:t>
      </w:r>
      <w:r>
        <w:rPr>
          <w:szCs w:val="26"/>
        </w:rPr>
        <w:t>t</w:t>
      </w:r>
      <w:r>
        <w:rPr>
          <w:szCs w:val="26"/>
        </w:rPr>
        <w:t>hat</w:t>
      </w:r>
      <w:r>
        <w:rPr>
          <w:szCs w:val="26"/>
        </w:rPr>
        <w:t xml:space="preserve"> (1) </w:t>
      </w:r>
      <w:r>
        <w:rPr>
          <w:szCs w:val="26"/>
        </w:rPr>
        <w:t xml:space="preserve">A&amp;A </w:t>
      </w:r>
      <w:r>
        <w:rPr>
          <w:szCs w:val="26"/>
        </w:rPr>
        <w:t xml:space="preserve">requested </w:t>
      </w:r>
      <w:r>
        <w:rPr>
          <w:szCs w:val="26"/>
        </w:rPr>
        <w:t xml:space="preserve">that </w:t>
      </w:r>
      <w:proofErr w:type="spellStart"/>
      <w:r>
        <w:rPr>
          <w:szCs w:val="26"/>
        </w:rPr>
        <w:t>Frayo</w:t>
      </w:r>
      <w:proofErr w:type="spellEnd"/>
      <w:r>
        <w:rPr>
          <w:szCs w:val="26"/>
        </w:rPr>
        <w:t xml:space="preserve"> sign an authorization</w:t>
      </w:r>
      <w:r>
        <w:rPr>
          <w:szCs w:val="26"/>
        </w:rPr>
        <w:t xml:space="preserve"> to release his medical information</w:t>
      </w:r>
      <w:r>
        <w:rPr>
          <w:szCs w:val="26"/>
        </w:rPr>
        <w:t xml:space="preserve"> as required by section 56.20</w:t>
      </w:r>
      <w:r>
        <w:rPr>
          <w:szCs w:val="26"/>
        </w:rPr>
        <w:t>(b)</w:t>
      </w:r>
      <w:r>
        <w:rPr>
          <w:szCs w:val="26"/>
        </w:rPr>
        <w:t>,</w:t>
      </w:r>
      <w:r>
        <w:rPr>
          <w:szCs w:val="26"/>
        </w:rPr>
        <w:t xml:space="preserve"> </w:t>
      </w:r>
      <w:r>
        <w:rPr>
          <w:szCs w:val="26"/>
        </w:rPr>
        <w:t>and</w:t>
      </w:r>
      <w:r>
        <w:rPr>
          <w:szCs w:val="26"/>
        </w:rPr>
        <w:t xml:space="preserve"> (2) </w:t>
      </w:r>
      <w:r>
        <w:rPr>
          <w:szCs w:val="26"/>
        </w:rPr>
        <w:t xml:space="preserve">A&amp;A </w:t>
      </w:r>
      <w:r>
        <w:rPr>
          <w:szCs w:val="26"/>
        </w:rPr>
        <w:t>possessed</w:t>
      </w:r>
      <w:r>
        <w:rPr>
          <w:szCs w:val="26"/>
        </w:rPr>
        <w:t xml:space="preserve"> </w:t>
      </w:r>
      <w:proofErr w:type="spellStart"/>
      <w:r>
        <w:rPr>
          <w:szCs w:val="26"/>
        </w:rPr>
        <w:t>Frayo’s</w:t>
      </w:r>
      <w:proofErr w:type="spellEnd"/>
      <w:r>
        <w:rPr>
          <w:szCs w:val="26"/>
        </w:rPr>
        <w:t xml:space="preserve"> </w:t>
      </w:r>
      <w:r>
        <w:rPr>
          <w:szCs w:val="26"/>
        </w:rPr>
        <w:t>“</w:t>
      </w:r>
      <w:r>
        <w:rPr>
          <w:szCs w:val="26"/>
        </w:rPr>
        <w:t>medical information</w:t>
      </w:r>
      <w:r>
        <w:rPr>
          <w:szCs w:val="26"/>
        </w:rPr>
        <w:t>”</w:t>
      </w:r>
      <w:r>
        <w:rPr>
          <w:szCs w:val="26"/>
        </w:rPr>
        <w:t xml:space="preserve"> </w:t>
      </w:r>
      <w:r>
        <w:rPr>
          <w:szCs w:val="26"/>
        </w:rPr>
        <w:t>as defined</w:t>
      </w:r>
      <w:r>
        <w:rPr>
          <w:szCs w:val="26"/>
        </w:rPr>
        <w:t xml:space="preserve"> </w:t>
      </w:r>
      <w:r>
        <w:rPr>
          <w:szCs w:val="26"/>
        </w:rPr>
        <w:t xml:space="preserve">under </w:t>
      </w:r>
      <w:r>
        <w:rPr>
          <w:szCs w:val="26"/>
        </w:rPr>
        <w:t xml:space="preserve">the </w:t>
      </w:r>
      <w:r>
        <w:rPr>
          <w:szCs w:val="26"/>
        </w:rPr>
        <w:t>C</w:t>
      </w:r>
      <w:r>
        <w:rPr>
          <w:szCs w:val="26"/>
        </w:rPr>
        <w:t>MI</w:t>
      </w:r>
      <w:r>
        <w:rPr>
          <w:szCs w:val="26"/>
        </w:rPr>
        <w:t>A</w:t>
      </w:r>
      <w:r>
        <w:rPr>
          <w:szCs w:val="26"/>
        </w:rPr>
        <w:t xml:space="preserve"> as required</w:t>
      </w:r>
      <w:r>
        <w:rPr>
          <w:szCs w:val="26"/>
        </w:rPr>
        <w:t xml:space="preserve"> for a claim under section</w:t>
      </w:r>
      <w:r>
        <w:rPr>
          <w:szCs w:val="26"/>
        </w:rPr>
        <w:t> </w:t>
      </w:r>
      <w:r>
        <w:rPr>
          <w:szCs w:val="26"/>
        </w:rPr>
        <w:t>56.20(c)</w:t>
      </w:r>
      <w:r>
        <w:rPr>
          <w:szCs w:val="26"/>
        </w:rPr>
        <w:t xml:space="preserve">. </w:t>
      </w:r>
    </w:p>
    <w:p w14:paraId="34D4DD72" w14:textId="77777777" w:rsidR="00C23344" w:rsidRDefault="00C23344" w:rsidP="00C30A09">
      <w:pPr>
        <w:rPr>
          <w:szCs w:val="26"/>
        </w:rPr>
      </w:pPr>
      <w:r>
        <w:rPr>
          <w:szCs w:val="26"/>
        </w:rPr>
        <w:tab/>
      </w:r>
      <w:r w:rsidRPr="0090058A">
        <w:rPr>
          <w:szCs w:val="26"/>
        </w:rPr>
        <w:t xml:space="preserve">At the </w:t>
      </w:r>
      <w:r>
        <w:rPr>
          <w:szCs w:val="26"/>
        </w:rPr>
        <w:t xml:space="preserve">hearing on the </w:t>
      </w:r>
      <w:r>
        <w:rPr>
          <w:szCs w:val="26"/>
        </w:rPr>
        <w:t>demurrer</w:t>
      </w:r>
      <w:r w:rsidRPr="0090058A">
        <w:rPr>
          <w:szCs w:val="26"/>
        </w:rPr>
        <w:t xml:space="preserve">, </w:t>
      </w:r>
      <w:r w:rsidRPr="0090058A">
        <w:rPr>
          <w:szCs w:val="26"/>
        </w:rPr>
        <w:t xml:space="preserve">the </w:t>
      </w:r>
      <w:r w:rsidRPr="0090058A">
        <w:rPr>
          <w:szCs w:val="26"/>
        </w:rPr>
        <w:t xml:space="preserve">trial </w:t>
      </w:r>
      <w:r w:rsidRPr="0090058A">
        <w:rPr>
          <w:szCs w:val="26"/>
        </w:rPr>
        <w:t>court</w:t>
      </w:r>
      <w:r w:rsidRPr="0090058A">
        <w:rPr>
          <w:szCs w:val="26"/>
        </w:rPr>
        <w:t xml:space="preserve"> </w:t>
      </w:r>
      <w:r>
        <w:rPr>
          <w:szCs w:val="26"/>
        </w:rPr>
        <w:t xml:space="preserve">agreed </w:t>
      </w:r>
      <w:r>
        <w:rPr>
          <w:szCs w:val="26"/>
        </w:rPr>
        <w:t xml:space="preserve">with A&amp;A </w:t>
      </w:r>
      <w:r>
        <w:rPr>
          <w:szCs w:val="26"/>
        </w:rPr>
        <w:t xml:space="preserve">that the elements had not been </w:t>
      </w:r>
      <w:r>
        <w:rPr>
          <w:szCs w:val="26"/>
        </w:rPr>
        <w:t xml:space="preserve">demonstrated and expressed doubt regarding </w:t>
      </w:r>
      <w:proofErr w:type="spellStart"/>
      <w:r>
        <w:rPr>
          <w:szCs w:val="26"/>
        </w:rPr>
        <w:t>Frayo’s</w:t>
      </w:r>
      <w:proofErr w:type="spellEnd"/>
      <w:r>
        <w:rPr>
          <w:szCs w:val="26"/>
        </w:rPr>
        <w:t xml:space="preserve"> ability to establish them.</w:t>
      </w:r>
      <w:r w:rsidRPr="0090058A">
        <w:rPr>
          <w:szCs w:val="26"/>
        </w:rPr>
        <w:t xml:space="preserve"> </w:t>
      </w:r>
      <w:r w:rsidRPr="0090058A">
        <w:rPr>
          <w:szCs w:val="26"/>
        </w:rPr>
        <w:t xml:space="preserve"> </w:t>
      </w:r>
      <w:r>
        <w:rPr>
          <w:szCs w:val="26"/>
        </w:rPr>
        <w:t>T</w:t>
      </w:r>
      <w:r w:rsidRPr="0090058A">
        <w:rPr>
          <w:szCs w:val="26"/>
        </w:rPr>
        <w:t>he trial court explained, “</w:t>
      </w:r>
      <w:r w:rsidRPr="0090058A">
        <w:rPr>
          <w:szCs w:val="26"/>
        </w:rPr>
        <w:t>[t]he statute and the jury instructions are both very clear in what needs to be shown, whether</w:t>
      </w:r>
      <w:r w:rsidRPr="0090058A">
        <w:rPr>
          <w:szCs w:val="26"/>
        </w:rPr>
        <w:t>—</w:t>
      </w:r>
      <w:r w:rsidRPr="0090058A">
        <w:rPr>
          <w:szCs w:val="26"/>
        </w:rPr>
        <w:t>is there an authorization?  Was there evidence of the</w:t>
      </w:r>
      <w:r w:rsidRPr="0090058A">
        <w:rPr>
          <w:szCs w:val="26"/>
        </w:rPr>
        <w:t>—</w:t>
      </w:r>
      <w:r w:rsidRPr="0090058A">
        <w:rPr>
          <w:szCs w:val="26"/>
        </w:rPr>
        <w:t xml:space="preserve">that the Defendant </w:t>
      </w:r>
      <w:proofErr w:type="gramStart"/>
      <w:r w:rsidRPr="0090058A">
        <w:rPr>
          <w:szCs w:val="26"/>
        </w:rPr>
        <w:t>actually had</w:t>
      </w:r>
      <w:proofErr w:type="gramEnd"/>
      <w:r w:rsidRPr="0090058A">
        <w:rPr>
          <w:szCs w:val="26"/>
        </w:rPr>
        <w:t xml:space="preserve"> medical information?”</w:t>
      </w:r>
      <w:r>
        <w:rPr>
          <w:rStyle w:val="FootnoteReference"/>
          <w:szCs w:val="26"/>
        </w:rPr>
        <w:footnoteReference w:id="5"/>
      </w:r>
      <w:r w:rsidRPr="0090058A">
        <w:rPr>
          <w:szCs w:val="26"/>
        </w:rPr>
        <w:t xml:space="preserve"> </w:t>
      </w:r>
      <w:r w:rsidRPr="0090058A">
        <w:rPr>
          <w:szCs w:val="26"/>
        </w:rPr>
        <w:t xml:space="preserve"> </w:t>
      </w:r>
      <w:proofErr w:type="spellStart"/>
      <w:r w:rsidRPr="0090058A">
        <w:rPr>
          <w:szCs w:val="26"/>
        </w:rPr>
        <w:t>Frayo’s</w:t>
      </w:r>
      <w:proofErr w:type="spellEnd"/>
      <w:r w:rsidRPr="0090058A">
        <w:rPr>
          <w:szCs w:val="26"/>
        </w:rPr>
        <w:t xml:space="preserve"> counsel </w:t>
      </w:r>
      <w:r w:rsidRPr="0090058A">
        <w:rPr>
          <w:szCs w:val="26"/>
        </w:rPr>
        <w:lastRenderedPageBreak/>
        <w:t xml:space="preserve">represented </w:t>
      </w:r>
      <w:r>
        <w:rPr>
          <w:szCs w:val="26"/>
        </w:rPr>
        <w:t>that the</w:t>
      </w:r>
      <w:r w:rsidRPr="0090058A">
        <w:rPr>
          <w:szCs w:val="26"/>
        </w:rPr>
        <w:t xml:space="preserve"> </w:t>
      </w:r>
      <w:r w:rsidRPr="0090058A">
        <w:rPr>
          <w:szCs w:val="26"/>
        </w:rPr>
        <w:t>defects could be cured.</w:t>
      </w:r>
      <w:r w:rsidRPr="0090058A">
        <w:rPr>
          <w:szCs w:val="26"/>
        </w:rPr>
        <w:t xml:space="preserve">  </w:t>
      </w:r>
      <w:r>
        <w:rPr>
          <w:szCs w:val="26"/>
        </w:rPr>
        <w:t xml:space="preserve">The trial court sustained </w:t>
      </w:r>
      <w:r>
        <w:rPr>
          <w:szCs w:val="26"/>
        </w:rPr>
        <w:t xml:space="preserve">the demurrer but </w:t>
      </w:r>
      <w:r>
        <w:rPr>
          <w:szCs w:val="26"/>
        </w:rPr>
        <w:t xml:space="preserve">granted </w:t>
      </w:r>
      <w:proofErr w:type="spellStart"/>
      <w:r w:rsidRPr="0090058A">
        <w:rPr>
          <w:szCs w:val="26"/>
        </w:rPr>
        <w:t>Frayo</w:t>
      </w:r>
      <w:proofErr w:type="spellEnd"/>
      <w:r w:rsidRPr="0090058A">
        <w:rPr>
          <w:szCs w:val="26"/>
        </w:rPr>
        <w:t xml:space="preserve"> leave </w:t>
      </w:r>
      <w:r w:rsidRPr="0090058A">
        <w:rPr>
          <w:szCs w:val="26"/>
        </w:rPr>
        <w:t>to amend</w:t>
      </w:r>
      <w:r w:rsidRPr="0090058A">
        <w:rPr>
          <w:szCs w:val="26"/>
        </w:rPr>
        <w:t xml:space="preserve">. </w:t>
      </w:r>
    </w:p>
    <w:p w14:paraId="654039C0" w14:textId="77777777" w:rsidR="00C23344" w:rsidRDefault="00C23344" w:rsidP="00C30A09">
      <w:pPr>
        <w:rPr>
          <w:szCs w:val="26"/>
        </w:rPr>
      </w:pPr>
      <w:r>
        <w:rPr>
          <w:szCs w:val="26"/>
        </w:rPr>
        <w:tab/>
      </w:r>
      <w:r>
        <w:rPr>
          <w:szCs w:val="26"/>
        </w:rPr>
        <w:t>In</w:t>
      </w:r>
      <w:r>
        <w:rPr>
          <w:szCs w:val="26"/>
        </w:rPr>
        <w:t xml:space="preserve"> his</w:t>
      </w:r>
      <w:r>
        <w:rPr>
          <w:szCs w:val="26"/>
        </w:rPr>
        <w:t xml:space="preserve"> first</w:t>
      </w:r>
      <w:r>
        <w:rPr>
          <w:szCs w:val="26"/>
        </w:rPr>
        <w:t xml:space="preserve"> amended complaint, </w:t>
      </w:r>
      <w:r>
        <w:rPr>
          <w:szCs w:val="26"/>
        </w:rPr>
        <w:t>a</w:t>
      </w:r>
      <w:r>
        <w:rPr>
          <w:szCs w:val="26"/>
        </w:rPr>
        <w:t xml:space="preserve">lthough </w:t>
      </w:r>
      <w:proofErr w:type="spellStart"/>
      <w:r>
        <w:rPr>
          <w:szCs w:val="26"/>
        </w:rPr>
        <w:t>Frayo</w:t>
      </w:r>
      <w:proofErr w:type="spellEnd"/>
      <w:r>
        <w:rPr>
          <w:szCs w:val="26"/>
        </w:rPr>
        <w:t xml:space="preserve"> added new allegations, the ultimate facts </w:t>
      </w:r>
      <w:r>
        <w:rPr>
          <w:szCs w:val="26"/>
        </w:rPr>
        <w:t xml:space="preserve">alleged </w:t>
      </w:r>
      <w:r>
        <w:rPr>
          <w:szCs w:val="26"/>
        </w:rPr>
        <w:t xml:space="preserve">remained the same: </w:t>
      </w:r>
      <w:r>
        <w:rPr>
          <w:szCs w:val="26"/>
        </w:rPr>
        <w:t xml:space="preserve"> </w:t>
      </w:r>
      <w:r>
        <w:rPr>
          <w:szCs w:val="26"/>
        </w:rPr>
        <w:t>respondents</w:t>
      </w:r>
      <w:r>
        <w:rPr>
          <w:szCs w:val="26"/>
        </w:rPr>
        <w:t xml:space="preserve"> </w:t>
      </w:r>
      <w:r>
        <w:rPr>
          <w:szCs w:val="26"/>
        </w:rPr>
        <w:t xml:space="preserve">asked him to take a COVID-19 test before returning to work, he refused, and </w:t>
      </w:r>
      <w:r>
        <w:rPr>
          <w:szCs w:val="26"/>
        </w:rPr>
        <w:t>res</w:t>
      </w:r>
      <w:r>
        <w:rPr>
          <w:szCs w:val="26"/>
        </w:rPr>
        <w:t>po</w:t>
      </w:r>
      <w:r>
        <w:rPr>
          <w:szCs w:val="26"/>
        </w:rPr>
        <w:t xml:space="preserve">ndents </w:t>
      </w:r>
      <w:r>
        <w:rPr>
          <w:szCs w:val="26"/>
        </w:rPr>
        <w:t xml:space="preserve">terminated him on that basis.  </w:t>
      </w:r>
      <w:r>
        <w:rPr>
          <w:szCs w:val="26"/>
        </w:rPr>
        <w:t xml:space="preserve">He again named Martin and Raphael-Martin as individual defendants.  </w:t>
      </w:r>
      <w:r>
        <w:rPr>
          <w:szCs w:val="26"/>
        </w:rPr>
        <w:t>A&amp;A</w:t>
      </w:r>
      <w:r w:rsidRPr="0090058A">
        <w:rPr>
          <w:szCs w:val="26"/>
        </w:rPr>
        <w:t xml:space="preserve"> </w:t>
      </w:r>
      <w:r w:rsidRPr="0090058A">
        <w:rPr>
          <w:szCs w:val="26"/>
        </w:rPr>
        <w:t>demurred</w:t>
      </w:r>
      <w:r>
        <w:rPr>
          <w:szCs w:val="26"/>
        </w:rPr>
        <w:t xml:space="preserve"> to the </w:t>
      </w:r>
      <w:r>
        <w:rPr>
          <w:szCs w:val="26"/>
        </w:rPr>
        <w:t xml:space="preserve">first </w:t>
      </w:r>
      <w:r>
        <w:rPr>
          <w:szCs w:val="26"/>
        </w:rPr>
        <w:t>amended complaint</w:t>
      </w:r>
      <w:r w:rsidRPr="0090058A">
        <w:rPr>
          <w:szCs w:val="26"/>
        </w:rPr>
        <w:t xml:space="preserve">, </w:t>
      </w:r>
      <w:r>
        <w:rPr>
          <w:szCs w:val="26"/>
        </w:rPr>
        <w:t>again asserting</w:t>
      </w:r>
      <w:r>
        <w:rPr>
          <w:szCs w:val="26"/>
        </w:rPr>
        <w:t xml:space="preserve"> </w:t>
      </w:r>
      <w:proofErr w:type="spellStart"/>
      <w:r w:rsidRPr="0090058A">
        <w:rPr>
          <w:szCs w:val="26"/>
        </w:rPr>
        <w:t>Fr</w:t>
      </w:r>
      <w:r>
        <w:rPr>
          <w:szCs w:val="26"/>
        </w:rPr>
        <w:t>ayo</w:t>
      </w:r>
      <w:proofErr w:type="spellEnd"/>
      <w:r>
        <w:rPr>
          <w:szCs w:val="26"/>
        </w:rPr>
        <w:t xml:space="preserve"> had not pled the necessary </w:t>
      </w:r>
      <w:r>
        <w:rPr>
          <w:szCs w:val="26"/>
        </w:rPr>
        <w:t>facts to support a claim</w:t>
      </w:r>
      <w:r>
        <w:rPr>
          <w:szCs w:val="26"/>
        </w:rPr>
        <w:t xml:space="preserve"> under the CMIA</w:t>
      </w:r>
      <w:r>
        <w:rPr>
          <w:szCs w:val="26"/>
        </w:rPr>
        <w:t>.</w:t>
      </w:r>
      <w:r w:rsidRPr="0090058A">
        <w:rPr>
          <w:szCs w:val="26"/>
        </w:rPr>
        <w:t xml:space="preserve"> </w:t>
      </w:r>
      <w:r>
        <w:rPr>
          <w:szCs w:val="26"/>
        </w:rPr>
        <w:t xml:space="preserve"> </w:t>
      </w:r>
      <w:r>
        <w:rPr>
          <w:szCs w:val="26"/>
        </w:rPr>
        <w:t>A&amp;A</w:t>
      </w:r>
      <w:r>
        <w:rPr>
          <w:szCs w:val="26"/>
        </w:rPr>
        <w:t xml:space="preserve"> argued </w:t>
      </w:r>
      <w:r>
        <w:rPr>
          <w:szCs w:val="26"/>
        </w:rPr>
        <w:t>the</w:t>
      </w:r>
      <w:r>
        <w:rPr>
          <w:szCs w:val="26"/>
        </w:rPr>
        <w:t xml:space="preserve"> demurrer should be sustained as to all defendants because </w:t>
      </w:r>
      <w:r>
        <w:rPr>
          <w:szCs w:val="26"/>
        </w:rPr>
        <w:t xml:space="preserve">the amended complaint failed to assert a claim against any defendant and because </w:t>
      </w:r>
      <w:r>
        <w:rPr>
          <w:szCs w:val="26"/>
        </w:rPr>
        <w:t xml:space="preserve">the </w:t>
      </w:r>
      <w:r>
        <w:rPr>
          <w:szCs w:val="26"/>
        </w:rPr>
        <w:t>CMIA applie</w:t>
      </w:r>
      <w:r>
        <w:rPr>
          <w:szCs w:val="26"/>
        </w:rPr>
        <w:t>s</w:t>
      </w:r>
      <w:r>
        <w:rPr>
          <w:szCs w:val="26"/>
        </w:rPr>
        <w:t xml:space="preserve"> only to employers, not individuals</w:t>
      </w:r>
      <w:r w:rsidRPr="0090058A">
        <w:rPr>
          <w:szCs w:val="26"/>
        </w:rPr>
        <w:t>.</w:t>
      </w:r>
      <w:r>
        <w:rPr>
          <w:rStyle w:val="FootnoteReference"/>
          <w:szCs w:val="26"/>
        </w:rPr>
        <w:footnoteReference w:id="6"/>
      </w:r>
    </w:p>
    <w:p w14:paraId="6BF464B2" w14:textId="77777777" w:rsidR="00C23344" w:rsidRDefault="00C23344" w:rsidP="00DE1B15">
      <w:pPr>
        <w:rPr>
          <w:szCs w:val="26"/>
        </w:rPr>
      </w:pPr>
      <w:r w:rsidRPr="0090058A">
        <w:rPr>
          <w:szCs w:val="26"/>
        </w:rPr>
        <w:tab/>
      </w:r>
      <w:r>
        <w:rPr>
          <w:szCs w:val="26"/>
        </w:rPr>
        <w:t>T</w:t>
      </w:r>
      <w:r>
        <w:rPr>
          <w:szCs w:val="26"/>
        </w:rPr>
        <w:t>he</w:t>
      </w:r>
      <w:r>
        <w:rPr>
          <w:szCs w:val="26"/>
        </w:rPr>
        <w:t xml:space="preserve"> trial court sustained </w:t>
      </w:r>
      <w:r>
        <w:rPr>
          <w:szCs w:val="26"/>
        </w:rPr>
        <w:t>A&amp;A</w:t>
      </w:r>
      <w:r>
        <w:rPr>
          <w:szCs w:val="26"/>
        </w:rPr>
        <w:t>’</w:t>
      </w:r>
      <w:r>
        <w:rPr>
          <w:szCs w:val="26"/>
        </w:rPr>
        <w:t>s</w:t>
      </w:r>
      <w:r>
        <w:rPr>
          <w:szCs w:val="26"/>
        </w:rPr>
        <w:t xml:space="preserve"> demurrer </w:t>
      </w:r>
      <w:r>
        <w:rPr>
          <w:szCs w:val="26"/>
        </w:rPr>
        <w:t xml:space="preserve">to the first amended complaint </w:t>
      </w:r>
      <w:r>
        <w:rPr>
          <w:szCs w:val="26"/>
        </w:rPr>
        <w:t>without leave</w:t>
      </w:r>
      <w:r>
        <w:rPr>
          <w:szCs w:val="26"/>
        </w:rPr>
        <w:t xml:space="preserve"> to amend</w:t>
      </w:r>
      <w:r>
        <w:rPr>
          <w:szCs w:val="26"/>
        </w:rPr>
        <w:t xml:space="preserve">.  </w:t>
      </w:r>
      <w:r w:rsidRPr="0090058A">
        <w:rPr>
          <w:szCs w:val="26"/>
        </w:rPr>
        <w:t xml:space="preserve">As to </w:t>
      </w:r>
      <w:proofErr w:type="spellStart"/>
      <w:r>
        <w:rPr>
          <w:szCs w:val="26"/>
        </w:rPr>
        <w:t>Frayo’s</w:t>
      </w:r>
      <w:proofErr w:type="spellEnd"/>
      <w:r w:rsidRPr="0090058A">
        <w:rPr>
          <w:szCs w:val="26"/>
        </w:rPr>
        <w:t xml:space="preserve"> first cause of action, the</w:t>
      </w:r>
      <w:r w:rsidRPr="0090058A">
        <w:rPr>
          <w:szCs w:val="26"/>
        </w:rPr>
        <w:t xml:space="preserve"> trial court </w:t>
      </w:r>
      <w:r w:rsidRPr="0090058A">
        <w:rPr>
          <w:szCs w:val="26"/>
        </w:rPr>
        <w:t>concluded</w:t>
      </w:r>
      <w:r w:rsidRPr="0090058A">
        <w:rPr>
          <w:szCs w:val="26"/>
        </w:rPr>
        <w:t xml:space="preserve"> </w:t>
      </w:r>
      <w:r>
        <w:rPr>
          <w:szCs w:val="26"/>
        </w:rPr>
        <w:t xml:space="preserve">that </w:t>
      </w:r>
      <w:r>
        <w:rPr>
          <w:szCs w:val="26"/>
        </w:rPr>
        <w:t>he</w:t>
      </w:r>
      <w:r w:rsidRPr="0090058A">
        <w:rPr>
          <w:szCs w:val="26"/>
        </w:rPr>
        <w:t xml:space="preserve"> failed to state a </w:t>
      </w:r>
      <w:r w:rsidRPr="0090058A">
        <w:rPr>
          <w:szCs w:val="26"/>
        </w:rPr>
        <w:t>claim</w:t>
      </w:r>
      <w:r w:rsidRPr="0090058A">
        <w:rPr>
          <w:szCs w:val="26"/>
        </w:rPr>
        <w:t xml:space="preserve"> under section 56.20(b)</w:t>
      </w:r>
      <w:r w:rsidRPr="0090058A">
        <w:rPr>
          <w:szCs w:val="26"/>
        </w:rPr>
        <w:t xml:space="preserve"> </w:t>
      </w:r>
      <w:r w:rsidRPr="0090058A">
        <w:rPr>
          <w:szCs w:val="26"/>
        </w:rPr>
        <w:t>because</w:t>
      </w:r>
      <w:r w:rsidRPr="0090058A">
        <w:rPr>
          <w:szCs w:val="26"/>
        </w:rPr>
        <w:t xml:space="preserve"> the statute prohibits </w:t>
      </w:r>
      <w:r>
        <w:rPr>
          <w:szCs w:val="26"/>
        </w:rPr>
        <w:t xml:space="preserve">employer </w:t>
      </w:r>
      <w:r w:rsidRPr="0090058A">
        <w:rPr>
          <w:szCs w:val="26"/>
        </w:rPr>
        <w:t xml:space="preserve">discrimination </w:t>
      </w:r>
      <w:r>
        <w:rPr>
          <w:szCs w:val="26"/>
        </w:rPr>
        <w:t>based on an</w:t>
      </w:r>
      <w:r w:rsidRPr="0090058A">
        <w:rPr>
          <w:szCs w:val="26"/>
        </w:rPr>
        <w:t xml:space="preserve"> employee’s refusal</w:t>
      </w:r>
      <w:r w:rsidRPr="0090058A">
        <w:rPr>
          <w:szCs w:val="26"/>
        </w:rPr>
        <w:t xml:space="preserve"> to </w:t>
      </w:r>
      <w:r w:rsidRPr="00BD4635">
        <w:rPr>
          <w:szCs w:val="26"/>
        </w:rPr>
        <w:t>sign an authorization</w:t>
      </w:r>
      <w:r w:rsidRPr="0090058A">
        <w:rPr>
          <w:szCs w:val="26"/>
        </w:rPr>
        <w:t xml:space="preserve"> to release his medical information</w:t>
      </w:r>
      <w:r w:rsidRPr="0090058A">
        <w:rPr>
          <w:szCs w:val="26"/>
        </w:rPr>
        <w:t xml:space="preserve">.  The trial court </w:t>
      </w:r>
      <w:r w:rsidRPr="0090058A">
        <w:rPr>
          <w:szCs w:val="26"/>
        </w:rPr>
        <w:t>stated,</w:t>
      </w:r>
      <w:r w:rsidRPr="0090058A">
        <w:rPr>
          <w:szCs w:val="26"/>
        </w:rPr>
        <w:t xml:space="preserve"> “</w:t>
      </w:r>
      <w:r w:rsidRPr="0090058A">
        <w:rPr>
          <w:szCs w:val="26"/>
        </w:rPr>
        <w:t>Plaintiff alleges that he was asked and refused to take a COVID test—not</w:t>
      </w:r>
      <w:r w:rsidRPr="0090058A">
        <w:rPr>
          <w:szCs w:val="26"/>
        </w:rPr>
        <w:t xml:space="preserve"> </w:t>
      </w:r>
      <w:r w:rsidRPr="0090058A">
        <w:rPr>
          <w:szCs w:val="26"/>
        </w:rPr>
        <w:t xml:space="preserve">that he refused to </w:t>
      </w:r>
      <w:r w:rsidRPr="0090058A">
        <w:rPr>
          <w:szCs w:val="26"/>
        </w:rPr>
        <w:t>‘</w:t>
      </w:r>
      <w:r w:rsidRPr="0090058A">
        <w:rPr>
          <w:szCs w:val="26"/>
        </w:rPr>
        <w:t>sign an authorization.</w:t>
      </w:r>
      <w:proofErr w:type="gramStart"/>
      <w:r w:rsidRPr="0090058A">
        <w:rPr>
          <w:szCs w:val="26"/>
        </w:rPr>
        <w:t>’</w:t>
      </w:r>
      <w:r>
        <w:rPr>
          <w:szCs w:val="26"/>
        </w:rPr>
        <w:t> </w:t>
      </w:r>
      <w:r w:rsidRPr="0090058A">
        <w:rPr>
          <w:szCs w:val="26"/>
        </w:rPr>
        <w:t>”</w:t>
      </w:r>
      <w:proofErr w:type="gramEnd"/>
      <w:r w:rsidRPr="0090058A">
        <w:rPr>
          <w:szCs w:val="26"/>
        </w:rPr>
        <w:t xml:space="preserve"> </w:t>
      </w:r>
      <w:r w:rsidRPr="0090058A">
        <w:rPr>
          <w:szCs w:val="26"/>
        </w:rPr>
        <w:t xml:space="preserve"> </w:t>
      </w:r>
    </w:p>
    <w:p w14:paraId="19C7FABA" w14:textId="77777777" w:rsidR="00C23344" w:rsidRPr="0090058A" w:rsidRDefault="00C23344" w:rsidP="00DE1B15">
      <w:pPr>
        <w:rPr>
          <w:szCs w:val="26"/>
        </w:rPr>
      </w:pPr>
      <w:r>
        <w:rPr>
          <w:szCs w:val="26"/>
        </w:rPr>
        <w:tab/>
      </w:r>
      <w:r>
        <w:rPr>
          <w:szCs w:val="26"/>
        </w:rPr>
        <w:t>Additionally</w:t>
      </w:r>
      <w:r>
        <w:rPr>
          <w:szCs w:val="26"/>
        </w:rPr>
        <w:t>,</w:t>
      </w:r>
      <w:r>
        <w:rPr>
          <w:szCs w:val="26"/>
        </w:rPr>
        <w:t xml:space="preserve"> </w:t>
      </w:r>
      <w:r>
        <w:rPr>
          <w:szCs w:val="26"/>
        </w:rPr>
        <w:t xml:space="preserve">the </w:t>
      </w:r>
      <w:r>
        <w:rPr>
          <w:szCs w:val="26"/>
        </w:rPr>
        <w:t xml:space="preserve">trial court noted the exception </w:t>
      </w:r>
      <w:r>
        <w:rPr>
          <w:szCs w:val="26"/>
        </w:rPr>
        <w:t xml:space="preserve">to liability </w:t>
      </w:r>
      <w:r>
        <w:rPr>
          <w:szCs w:val="26"/>
        </w:rPr>
        <w:t>provided under section 56.20(b) which states,</w:t>
      </w:r>
      <w:r>
        <w:rPr>
          <w:szCs w:val="26"/>
        </w:rPr>
        <w:t xml:space="preserve"> </w:t>
      </w:r>
      <w:r>
        <w:rPr>
          <w:szCs w:val="26"/>
        </w:rPr>
        <w:t>“</w:t>
      </w:r>
      <w:r w:rsidRPr="007B2FED">
        <w:rPr>
          <w:szCs w:val="26"/>
        </w:rPr>
        <w:t xml:space="preserve">nothing in </w:t>
      </w:r>
      <w:r>
        <w:rPr>
          <w:szCs w:val="26"/>
        </w:rPr>
        <w:t xml:space="preserve">this section </w:t>
      </w:r>
      <w:r w:rsidRPr="007B2FED">
        <w:rPr>
          <w:szCs w:val="26"/>
        </w:rPr>
        <w:t xml:space="preserve">shall prohibit an employer from taking </w:t>
      </w:r>
      <w:r w:rsidRPr="007B2FED">
        <w:rPr>
          <w:szCs w:val="26"/>
        </w:rPr>
        <w:lastRenderedPageBreak/>
        <w:t>such action as is necessary in the absence of medical information due to an employee</w:t>
      </w:r>
      <w:r>
        <w:rPr>
          <w:szCs w:val="26"/>
        </w:rPr>
        <w:t>’</w:t>
      </w:r>
      <w:r w:rsidRPr="007B2FED">
        <w:rPr>
          <w:szCs w:val="26"/>
        </w:rPr>
        <w:t xml:space="preserve">s refusal to sign an </w:t>
      </w:r>
      <w:r w:rsidRPr="007B2FED">
        <w:rPr>
          <w:szCs w:val="26"/>
        </w:rPr>
        <w:t>authorization</w:t>
      </w:r>
      <w:r>
        <w:rPr>
          <w:szCs w:val="26"/>
        </w:rPr>
        <w:t xml:space="preserve"> </w:t>
      </w:r>
      <w:proofErr w:type="gramStart"/>
      <w:r>
        <w:rPr>
          <w:szCs w:val="26"/>
        </w:rPr>
        <w:t xml:space="preserve">. . . </w:t>
      </w:r>
      <w:r w:rsidRPr="007B2FED">
        <w:rPr>
          <w:szCs w:val="26"/>
        </w:rPr>
        <w:t>.</w:t>
      </w:r>
      <w:proofErr w:type="gramEnd"/>
      <w:r>
        <w:rPr>
          <w:szCs w:val="26"/>
        </w:rPr>
        <w:t>”  (§</w:t>
      </w:r>
      <w:r>
        <w:rPr>
          <w:szCs w:val="26"/>
        </w:rPr>
        <w:t> </w:t>
      </w:r>
      <w:r>
        <w:rPr>
          <w:szCs w:val="26"/>
        </w:rPr>
        <w:t>56.20(b).)</w:t>
      </w:r>
      <w:r>
        <w:rPr>
          <w:szCs w:val="26"/>
        </w:rPr>
        <w:t xml:space="preserve">  </w:t>
      </w:r>
      <w:r>
        <w:rPr>
          <w:szCs w:val="26"/>
        </w:rPr>
        <w:t>The trial court</w:t>
      </w:r>
      <w:r>
        <w:rPr>
          <w:szCs w:val="26"/>
        </w:rPr>
        <w:t xml:space="preserve"> reasoned A&amp;A’s termination of </w:t>
      </w:r>
      <w:proofErr w:type="spellStart"/>
      <w:r>
        <w:rPr>
          <w:szCs w:val="26"/>
        </w:rPr>
        <w:t>Frayo’s</w:t>
      </w:r>
      <w:proofErr w:type="spellEnd"/>
      <w:r>
        <w:rPr>
          <w:szCs w:val="26"/>
        </w:rPr>
        <w:t xml:space="preserve"> employment</w:t>
      </w:r>
      <w:r>
        <w:rPr>
          <w:szCs w:val="26"/>
        </w:rPr>
        <w:t xml:space="preserve"> </w:t>
      </w:r>
      <w:r>
        <w:rPr>
          <w:szCs w:val="26"/>
        </w:rPr>
        <w:t xml:space="preserve">qualified as a </w:t>
      </w:r>
      <w:r>
        <w:rPr>
          <w:szCs w:val="26"/>
        </w:rPr>
        <w:t xml:space="preserve">necessary action </w:t>
      </w:r>
      <w:r>
        <w:rPr>
          <w:szCs w:val="26"/>
        </w:rPr>
        <w:t xml:space="preserve">in the absence of </w:t>
      </w:r>
      <w:proofErr w:type="spellStart"/>
      <w:r>
        <w:rPr>
          <w:szCs w:val="26"/>
        </w:rPr>
        <w:t>Frayo’s</w:t>
      </w:r>
      <w:proofErr w:type="spellEnd"/>
      <w:r>
        <w:rPr>
          <w:szCs w:val="26"/>
        </w:rPr>
        <w:t xml:space="preserve"> COVID-19 test result, so long as A&amp;A’s </w:t>
      </w:r>
      <w:r>
        <w:rPr>
          <w:szCs w:val="26"/>
        </w:rPr>
        <w:t>COVID-19 guidelines</w:t>
      </w:r>
      <w:r>
        <w:rPr>
          <w:szCs w:val="26"/>
        </w:rPr>
        <w:t xml:space="preserve"> w</w:t>
      </w:r>
      <w:r>
        <w:rPr>
          <w:szCs w:val="26"/>
        </w:rPr>
        <w:t>ere</w:t>
      </w:r>
      <w:r>
        <w:rPr>
          <w:szCs w:val="26"/>
        </w:rPr>
        <w:t xml:space="preserve"> otherwise lawful. </w:t>
      </w:r>
      <w:r>
        <w:rPr>
          <w:szCs w:val="26"/>
        </w:rPr>
        <w:t xml:space="preserve"> </w:t>
      </w:r>
      <w:r>
        <w:rPr>
          <w:szCs w:val="26"/>
        </w:rPr>
        <w:t>Because</w:t>
      </w:r>
      <w:r>
        <w:rPr>
          <w:szCs w:val="26"/>
        </w:rPr>
        <w:t xml:space="preserve"> </w:t>
      </w:r>
      <w:proofErr w:type="spellStart"/>
      <w:r>
        <w:rPr>
          <w:szCs w:val="26"/>
        </w:rPr>
        <w:t>Frayo</w:t>
      </w:r>
      <w:proofErr w:type="spellEnd"/>
      <w:r>
        <w:rPr>
          <w:szCs w:val="26"/>
        </w:rPr>
        <w:t xml:space="preserve"> </w:t>
      </w:r>
      <w:r w:rsidRPr="0090058A">
        <w:rPr>
          <w:szCs w:val="26"/>
        </w:rPr>
        <w:t xml:space="preserve">did </w:t>
      </w:r>
      <w:r>
        <w:rPr>
          <w:szCs w:val="26"/>
        </w:rPr>
        <w:t xml:space="preserve">not </w:t>
      </w:r>
      <w:r>
        <w:rPr>
          <w:szCs w:val="26"/>
        </w:rPr>
        <w:t>allege</w:t>
      </w:r>
      <w:r>
        <w:rPr>
          <w:szCs w:val="26"/>
        </w:rPr>
        <w:t xml:space="preserve"> </w:t>
      </w:r>
      <w:r>
        <w:rPr>
          <w:szCs w:val="26"/>
        </w:rPr>
        <w:t>A&amp;A’s COVID-19 guidelines</w:t>
      </w:r>
      <w:r>
        <w:rPr>
          <w:szCs w:val="26"/>
        </w:rPr>
        <w:t xml:space="preserve"> to be unlawful</w:t>
      </w:r>
      <w:r w:rsidRPr="0090058A">
        <w:rPr>
          <w:szCs w:val="26"/>
        </w:rPr>
        <w:t xml:space="preserve">, </w:t>
      </w:r>
      <w:r>
        <w:rPr>
          <w:szCs w:val="26"/>
        </w:rPr>
        <w:t>the trial court concluded he</w:t>
      </w:r>
      <w:r w:rsidRPr="0090058A">
        <w:rPr>
          <w:szCs w:val="26"/>
        </w:rPr>
        <w:t xml:space="preserve"> </w:t>
      </w:r>
      <w:r w:rsidRPr="0090058A">
        <w:rPr>
          <w:szCs w:val="26"/>
        </w:rPr>
        <w:t xml:space="preserve">failed to </w:t>
      </w:r>
      <w:r>
        <w:rPr>
          <w:szCs w:val="26"/>
        </w:rPr>
        <w:t>state a claim under</w:t>
      </w:r>
      <w:r w:rsidRPr="0090058A">
        <w:rPr>
          <w:szCs w:val="26"/>
        </w:rPr>
        <w:t xml:space="preserve"> </w:t>
      </w:r>
      <w:r w:rsidRPr="0090058A">
        <w:rPr>
          <w:szCs w:val="26"/>
        </w:rPr>
        <w:t>section</w:t>
      </w:r>
      <w:r w:rsidRPr="0090058A">
        <w:rPr>
          <w:szCs w:val="26"/>
        </w:rPr>
        <w:t xml:space="preserve"> 56.20</w:t>
      </w:r>
      <w:r w:rsidRPr="0090058A">
        <w:rPr>
          <w:szCs w:val="26"/>
        </w:rPr>
        <w:t>(b)</w:t>
      </w:r>
      <w:r w:rsidRPr="0090058A">
        <w:rPr>
          <w:szCs w:val="26"/>
        </w:rPr>
        <w:t>.</w:t>
      </w:r>
      <w:r>
        <w:rPr>
          <w:szCs w:val="26"/>
        </w:rPr>
        <w:t xml:space="preserve"> </w:t>
      </w:r>
    </w:p>
    <w:p w14:paraId="27EA6100" w14:textId="77777777" w:rsidR="00C23344" w:rsidRDefault="00C23344" w:rsidP="00EA7BFC">
      <w:pPr>
        <w:rPr>
          <w:szCs w:val="26"/>
        </w:rPr>
      </w:pPr>
      <w:r w:rsidRPr="0090058A">
        <w:rPr>
          <w:szCs w:val="26"/>
        </w:rPr>
        <w:tab/>
      </w:r>
      <w:r>
        <w:rPr>
          <w:szCs w:val="26"/>
        </w:rPr>
        <w:t>T</w:t>
      </w:r>
      <w:r w:rsidRPr="0090058A">
        <w:rPr>
          <w:szCs w:val="26"/>
        </w:rPr>
        <w:t xml:space="preserve">he trial court </w:t>
      </w:r>
      <w:r>
        <w:rPr>
          <w:szCs w:val="26"/>
        </w:rPr>
        <w:t>sustained the</w:t>
      </w:r>
      <w:r>
        <w:rPr>
          <w:szCs w:val="26"/>
        </w:rPr>
        <w:t xml:space="preserve"> demurrer to </w:t>
      </w:r>
      <w:proofErr w:type="spellStart"/>
      <w:r w:rsidRPr="0090058A">
        <w:rPr>
          <w:szCs w:val="26"/>
        </w:rPr>
        <w:t>Frayo’s</w:t>
      </w:r>
      <w:proofErr w:type="spellEnd"/>
      <w:r w:rsidRPr="0090058A">
        <w:rPr>
          <w:szCs w:val="26"/>
        </w:rPr>
        <w:t xml:space="preserve"> second cause of action under section 56.20(c)</w:t>
      </w:r>
      <w:r>
        <w:rPr>
          <w:szCs w:val="26"/>
        </w:rPr>
        <w:t xml:space="preserve"> </w:t>
      </w:r>
      <w:r>
        <w:rPr>
          <w:szCs w:val="26"/>
        </w:rPr>
        <w:t xml:space="preserve">because </w:t>
      </w:r>
      <w:proofErr w:type="spellStart"/>
      <w:r>
        <w:rPr>
          <w:szCs w:val="26"/>
        </w:rPr>
        <w:t>Frayo</w:t>
      </w:r>
      <w:proofErr w:type="spellEnd"/>
      <w:r>
        <w:rPr>
          <w:szCs w:val="26"/>
        </w:rPr>
        <w:t xml:space="preserve"> </w:t>
      </w:r>
      <w:r w:rsidRPr="0090058A">
        <w:rPr>
          <w:szCs w:val="26"/>
        </w:rPr>
        <w:t xml:space="preserve">failed to allege </w:t>
      </w:r>
      <w:r>
        <w:rPr>
          <w:szCs w:val="26"/>
        </w:rPr>
        <w:t>A&amp;A</w:t>
      </w:r>
      <w:r w:rsidRPr="0090058A">
        <w:rPr>
          <w:szCs w:val="26"/>
        </w:rPr>
        <w:t xml:space="preserve"> </w:t>
      </w:r>
      <w:r w:rsidRPr="0090058A">
        <w:rPr>
          <w:szCs w:val="26"/>
        </w:rPr>
        <w:t xml:space="preserve">had </w:t>
      </w:r>
      <w:r w:rsidRPr="0090058A">
        <w:rPr>
          <w:szCs w:val="26"/>
        </w:rPr>
        <w:t xml:space="preserve">possession of </w:t>
      </w:r>
      <w:r>
        <w:rPr>
          <w:szCs w:val="26"/>
        </w:rPr>
        <w:t>his</w:t>
      </w:r>
      <w:r w:rsidRPr="0090058A">
        <w:rPr>
          <w:szCs w:val="26"/>
        </w:rPr>
        <w:t xml:space="preserve"> medical information</w:t>
      </w:r>
      <w:r>
        <w:rPr>
          <w:szCs w:val="26"/>
        </w:rPr>
        <w:t>, as defined by the statue</w:t>
      </w:r>
      <w:r w:rsidRPr="0090058A">
        <w:rPr>
          <w:szCs w:val="26"/>
        </w:rPr>
        <w:t xml:space="preserve">. </w:t>
      </w:r>
      <w:r w:rsidRPr="0090058A">
        <w:rPr>
          <w:szCs w:val="26"/>
        </w:rPr>
        <w:t xml:space="preserve"> </w:t>
      </w:r>
      <w:r>
        <w:rPr>
          <w:szCs w:val="26"/>
        </w:rPr>
        <w:t xml:space="preserve">In </w:t>
      </w:r>
      <w:r>
        <w:rPr>
          <w:szCs w:val="26"/>
        </w:rPr>
        <w:t>the first</w:t>
      </w:r>
      <w:r>
        <w:rPr>
          <w:szCs w:val="26"/>
        </w:rPr>
        <w:t xml:space="preserve"> amended complaint, </w:t>
      </w:r>
      <w:proofErr w:type="spellStart"/>
      <w:r>
        <w:rPr>
          <w:szCs w:val="26"/>
        </w:rPr>
        <w:t>Frayo</w:t>
      </w:r>
      <w:proofErr w:type="spellEnd"/>
      <w:r>
        <w:rPr>
          <w:szCs w:val="26"/>
        </w:rPr>
        <w:t xml:space="preserve"> alleged the</w:t>
      </w:r>
      <w:r>
        <w:rPr>
          <w:szCs w:val="26"/>
        </w:rPr>
        <w:t xml:space="preserve"> information he provided to Martin about </w:t>
      </w:r>
      <w:r>
        <w:rPr>
          <w:szCs w:val="26"/>
        </w:rPr>
        <w:t>his illness, including his description of</w:t>
      </w:r>
      <w:r>
        <w:rPr>
          <w:szCs w:val="26"/>
        </w:rPr>
        <w:t xml:space="preserve"> symptoms</w:t>
      </w:r>
      <w:r>
        <w:rPr>
          <w:szCs w:val="26"/>
        </w:rPr>
        <w:t>,</w:t>
      </w:r>
      <w:r>
        <w:rPr>
          <w:szCs w:val="26"/>
        </w:rPr>
        <w:t xml:space="preserve"> </w:t>
      </w:r>
      <w:r>
        <w:rPr>
          <w:szCs w:val="26"/>
        </w:rPr>
        <w:t xml:space="preserve">constituted medical information </w:t>
      </w:r>
      <w:r>
        <w:rPr>
          <w:szCs w:val="26"/>
        </w:rPr>
        <w:t xml:space="preserve">under </w:t>
      </w:r>
      <w:r>
        <w:rPr>
          <w:szCs w:val="26"/>
        </w:rPr>
        <w:t xml:space="preserve">the </w:t>
      </w:r>
      <w:r>
        <w:rPr>
          <w:szCs w:val="26"/>
        </w:rPr>
        <w:t>C</w:t>
      </w:r>
      <w:r>
        <w:rPr>
          <w:szCs w:val="26"/>
        </w:rPr>
        <w:t>MI</w:t>
      </w:r>
      <w:r>
        <w:rPr>
          <w:szCs w:val="26"/>
        </w:rPr>
        <w:t xml:space="preserve">A, </w:t>
      </w:r>
      <w:r>
        <w:rPr>
          <w:szCs w:val="26"/>
        </w:rPr>
        <w:t xml:space="preserve">and </w:t>
      </w:r>
      <w:r>
        <w:rPr>
          <w:szCs w:val="26"/>
        </w:rPr>
        <w:t xml:space="preserve">respondents’ </w:t>
      </w:r>
      <w:r>
        <w:rPr>
          <w:szCs w:val="26"/>
        </w:rPr>
        <w:t xml:space="preserve">use of that information to terminate him was a violation </w:t>
      </w:r>
      <w:r>
        <w:rPr>
          <w:szCs w:val="26"/>
        </w:rPr>
        <w:t>o</w:t>
      </w:r>
      <w:r>
        <w:rPr>
          <w:szCs w:val="26"/>
        </w:rPr>
        <w:t xml:space="preserve">f section 56.20(c). </w:t>
      </w:r>
      <w:r w:rsidRPr="0090058A">
        <w:rPr>
          <w:szCs w:val="26"/>
        </w:rPr>
        <w:t xml:space="preserve"> </w:t>
      </w:r>
      <w:r>
        <w:rPr>
          <w:szCs w:val="26"/>
        </w:rPr>
        <w:t xml:space="preserve">In </w:t>
      </w:r>
      <w:r>
        <w:rPr>
          <w:szCs w:val="26"/>
        </w:rPr>
        <w:t xml:space="preserve">opposition to </w:t>
      </w:r>
      <w:r>
        <w:rPr>
          <w:szCs w:val="26"/>
        </w:rPr>
        <w:t>A&amp;A</w:t>
      </w:r>
      <w:r>
        <w:rPr>
          <w:szCs w:val="26"/>
        </w:rPr>
        <w:t>’s</w:t>
      </w:r>
      <w:r>
        <w:rPr>
          <w:szCs w:val="26"/>
        </w:rPr>
        <w:t xml:space="preserve"> demurrer, </w:t>
      </w:r>
      <w:proofErr w:type="spellStart"/>
      <w:r>
        <w:rPr>
          <w:szCs w:val="26"/>
        </w:rPr>
        <w:t>Frayo</w:t>
      </w:r>
      <w:proofErr w:type="spellEnd"/>
      <w:r>
        <w:rPr>
          <w:szCs w:val="26"/>
        </w:rPr>
        <w:t xml:space="preserve"> conceded the </w:t>
      </w:r>
      <w:r>
        <w:rPr>
          <w:szCs w:val="26"/>
        </w:rPr>
        <w:t xml:space="preserve">symptom </w:t>
      </w:r>
      <w:r>
        <w:rPr>
          <w:szCs w:val="26"/>
        </w:rPr>
        <w:t>descriptions he relayed to Martin did</w:t>
      </w:r>
      <w:r>
        <w:rPr>
          <w:szCs w:val="26"/>
        </w:rPr>
        <w:t xml:space="preserve"> not fall within </w:t>
      </w:r>
      <w:r>
        <w:rPr>
          <w:szCs w:val="26"/>
        </w:rPr>
        <w:t xml:space="preserve">the </w:t>
      </w:r>
      <w:r>
        <w:rPr>
          <w:szCs w:val="26"/>
        </w:rPr>
        <w:t xml:space="preserve">CMIA’s definition of medical information.  Instead, </w:t>
      </w:r>
      <w:proofErr w:type="spellStart"/>
      <w:r>
        <w:rPr>
          <w:szCs w:val="26"/>
        </w:rPr>
        <w:t>Frayo</w:t>
      </w:r>
      <w:proofErr w:type="spellEnd"/>
      <w:r>
        <w:rPr>
          <w:szCs w:val="26"/>
        </w:rPr>
        <w:t xml:space="preserve"> </w:t>
      </w:r>
      <w:r>
        <w:rPr>
          <w:szCs w:val="26"/>
        </w:rPr>
        <w:t>argued</w:t>
      </w:r>
      <w:r>
        <w:rPr>
          <w:szCs w:val="26"/>
        </w:rPr>
        <w:t xml:space="preserve"> </w:t>
      </w:r>
      <w:r>
        <w:rPr>
          <w:szCs w:val="26"/>
        </w:rPr>
        <w:t xml:space="preserve">the COVID-19 </w:t>
      </w:r>
      <w:r>
        <w:rPr>
          <w:szCs w:val="26"/>
        </w:rPr>
        <w:t xml:space="preserve">test result </w:t>
      </w:r>
      <w:r>
        <w:rPr>
          <w:szCs w:val="26"/>
        </w:rPr>
        <w:t xml:space="preserve">A&amp;A demanded from him </w:t>
      </w:r>
      <w:r>
        <w:rPr>
          <w:szCs w:val="26"/>
        </w:rPr>
        <w:t xml:space="preserve">constituted medical information under </w:t>
      </w:r>
      <w:r>
        <w:rPr>
          <w:szCs w:val="26"/>
        </w:rPr>
        <w:t xml:space="preserve">the </w:t>
      </w:r>
      <w:r>
        <w:rPr>
          <w:szCs w:val="26"/>
        </w:rPr>
        <w:t>CMIA</w:t>
      </w:r>
      <w:r>
        <w:rPr>
          <w:szCs w:val="26"/>
        </w:rPr>
        <w:t xml:space="preserve"> and A&amp;A’s intent to use</w:t>
      </w:r>
      <w:r>
        <w:rPr>
          <w:szCs w:val="26"/>
        </w:rPr>
        <w:t xml:space="preserve"> his test result </w:t>
      </w:r>
      <w:r>
        <w:rPr>
          <w:szCs w:val="26"/>
        </w:rPr>
        <w:t xml:space="preserve">to determine whether he could return to work </w:t>
      </w:r>
      <w:r>
        <w:rPr>
          <w:szCs w:val="26"/>
        </w:rPr>
        <w:t xml:space="preserve">without his signed authorization </w:t>
      </w:r>
      <w:r>
        <w:rPr>
          <w:szCs w:val="26"/>
        </w:rPr>
        <w:t>was a</w:t>
      </w:r>
      <w:r>
        <w:rPr>
          <w:szCs w:val="26"/>
        </w:rPr>
        <w:t xml:space="preserve"> violation of section 56.20(c)</w:t>
      </w:r>
      <w:r>
        <w:rPr>
          <w:szCs w:val="26"/>
        </w:rPr>
        <w:t xml:space="preserve">. </w:t>
      </w:r>
      <w:r>
        <w:rPr>
          <w:szCs w:val="26"/>
        </w:rPr>
        <w:t xml:space="preserve"> </w:t>
      </w:r>
      <w:r>
        <w:rPr>
          <w:szCs w:val="26"/>
        </w:rPr>
        <w:t xml:space="preserve">The trial court </w:t>
      </w:r>
      <w:r>
        <w:rPr>
          <w:szCs w:val="26"/>
        </w:rPr>
        <w:t xml:space="preserve">rejected </w:t>
      </w:r>
      <w:proofErr w:type="spellStart"/>
      <w:r>
        <w:rPr>
          <w:szCs w:val="26"/>
        </w:rPr>
        <w:t>Frayo’s</w:t>
      </w:r>
      <w:proofErr w:type="spellEnd"/>
      <w:r>
        <w:rPr>
          <w:szCs w:val="26"/>
        </w:rPr>
        <w:t xml:space="preserve"> contention</w:t>
      </w:r>
      <w:r>
        <w:rPr>
          <w:szCs w:val="26"/>
        </w:rPr>
        <w:t>s</w:t>
      </w:r>
      <w:r>
        <w:rPr>
          <w:szCs w:val="26"/>
        </w:rPr>
        <w:t xml:space="preserve">, </w:t>
      </w:r>
      <w:r>
        <w:rPr>
          <w:szCs w:val="26"/>
        </w:rPr>
        <w:t>ruling that s</w:t>
      </w:r>
      <w:r>
        <w:rPr>
          <w:szCs w:val="26"/>
        </w:rPr>
        <w:t>ince</w:t>
      </w:r>
      <w:r w:rsidRPr="0090058A">
        <w:rPr>
          <w:szCs w:val="26"/>
        </w:rPr>
        <w:t xml:space="preserve"> </w:t>
      </w:r>
      <w:proofErr w:type="spellStart"/>
      <w:r w:rsidRPr="0090058A">
        <w:rPr>
          <w:szCs w:val="26"/>
        </w:rPr>
        <w:t>Frayo</w:t>
      </w:r>
      <w:proofErr w:type="spellEnd"/>
      <w:r w:rsidRPr="0090058A">
        <w:rPr>
          <w:szCs w:val="26"/>
        </w:rPr>
        <w:t xml:space="preserve"> </w:t>
      </w:r>
      <w:r w:rsidRPr="0090058A">
        <w:rPr>
          <w:szCs w:val="26"/>
        </w:rPr>
        <w:t>alleged</w:t>
      </w:r>
      <w:r>
        <w:rPr>
          <w:szCs w:val="26"/>
        </w:rPr>
        <w:t xml:space="preserve"> </w:t>
      </w:r>
      <w:r w:rsidRPr="0090058A">
        <w:rPr>
          <w:szCs w:val="26"/>
        </w:rPr>
        <w:t xml:space="preserve">he never took the COVID-19 test, </w:t>
      </w:r>
      <w:r>
        <w:rPr>
          <w:szCs w:val="26"/>
        </w:rPr>
        <w:t>A&amp;A</w:t>
      </w:r>
      <w:r w:rsidRPr="0090058A">
        <w:rPr>
          <w:szCs w:val="26"/>
        </w:rPr>
        <w:t xml:space="preserve"> </w:t>
      </w:r>
      <w:r w:rsidRPr="0090058A">
        <w:rPr>
          <w:szCs w:val="26"/>
        </w:rPr>
        <w:t xml:space="preserve">was never in possession of </w:t>
      </w:r>
      <w:proofErr w:type="spellStart"/>
      <w:r w:rsidRPr="0090058A">
        <w:rPr>
          <w:szCs w:val="26"/>
        </w:rPr>
        <w:t>Frayo’s</w:t>
      </w:r>
      <w:proofErr w:type="spellEnd"/>
      <w:r w:rsidRPr="0090058A">
        <w:rPr>
          <w:szCs w:val="26"/>
        </w:rPr>
        <w:t xml:space="preserve"> medical information</w:t>
      </w:r>
      <w:r>
        <w:rPr>
          <w:szCs w:val="26"/>
        </w:rPr>
        <w:t xml:space="preserve"> as that term is defined under </w:t>
      </w:r>
      <w:r>
        <w:rPr>
          <w:szCs w:val="26"/>
        </w:rPr>
        <w:t xml:space="preserve">the </w:t>
      </w:r>
      <w:r>
        <w:rPr>
          <w:szCs w:val="26"/>
        </w:rPr>
        <w:t xml:space="preserve">CMIA, </w:t>
      </w:r>
      <w:r w:rsidRPr="0090058A">
        <w:rPr>
          <w:szCs w:val="26"/>
        </w:rPr>
        <w:t xml:space="preserve">and </w:t>
      </w:r>
      <w:r>
        <w:rPr>
          <w:szCs w:val="26"/>
        </w:rPr>
        <w:t xml:space="preserve">thus </w:t>
      </w:r>
      <w:r w:rsidRPr="0090058A">
        <w:rPr>
          <w:szCs w:val="26"/>
        </w:rPr>
        <w:t>could not have violated section 56.20</w:t>
      </w:r>
      <w:r>
        <w:rPr>
          <w:szCs w:val="26"/>
        </w:rPr>
        <w:t>(c)</w:t>
      </w:r>
      <w:r w:rsidRPr="0090058A">
        <w:rPr>
          <w:szCs w:val="26"/>
        </w:rPr>
        <w:t xml:space="preserve">. </w:t>
      </w:r>
    </w:p>
    <w:p w14:paraId="65981603" w14:textId="77777777" w:rsidR="00C23344" w:rsidRDefault="00C23344" w:rsidP="00EA7BFC">
      <w:pPr>
        <w:rPr>
          <w:szCs w:val="26"/>
        </w:rPr>
      </w:pPr>
      <w:r>
        <w:rPr>
          <w:szCs w:val="26"/>
        </w:rPr>
        <w:tab/>
      </w:r>
      <w:r>
        <w:rPr>
          <w:szCs w:val="26"/>
        </w:rPr>
        <w:t xml:space="preserve">Following its orders sustaining A&amp;A’s demurrer as to all claims, the trial court entered judgment in favor of respondents.  </w:t>
      </w:r>
      <w:proofErr w:type="spellStart"/>
      <w:r>
        <w:rPr>
          <w:szCs w:val="26"/>
        </w:rPr>
        <w:t>Frayo</w:t>
      </w:r>
      <w:proofErr w:type="spellEnd"/>
      <w:r>
        <w:rPr>
          <w:szCs w:val="26"/>
        </w:rPr>
        <w:t xml:space="preserve"> </w:t>
      </w:r>
      <w:r>
        <w:rPr>
          <w:szCs w:val="26"/>
        </w:rPr>
        <w:t>timely appealed.</w:t>
      </w:r>
      <w:r>
        <w:rPr>
          <w:rStyle w:val="FootnoteReference"/>
          <w:szCs w:val="26"/>
        </w:rPr>
        <w:footnoteReference w:id="7"/>
      </w:r>
      <w:r w:rsidRPr="0090058A">
        <w:rPr>
          <w:szCs w:val="26"/>
        </w:rPr>
        <w:t xml:space="preserve"> </w:t>
      </w:r>
    </w:p>
    <w:p w14:paraId="16916934" w14:textId="77777777" w:rsidR="00C23344" w:rsidRPr="00FE202E" w:rsidRDefault="00C23344" w:rsidP="00194860">
      <w:pPr>
        <w:pStyle w:val="Heading1"/>
        <w:spacing w:before="0"/>
        <w:jc w:val="center"/>
        <w:rPr>
          <w:rFonts w:ascii="Times New Roman" w:hAnsi="Times New Roman" w:cs="Times New Roman"/>
          <w:b/>
          <w:bCs/>
          <w:smallCaps/>
          <w:color w:val="auto"/>
          <w:sz w:val="26"/>
          <w:szCs w:val="26"/>
        </w:rPr>
      </w:pPr>
      <w:r w:rsidRPr="00FE202E">
        <w:rPr>
          <w:rFonts w:ascii="Times New Roman" w:hAnsi="Times New Roman" w:cs="Times New Roman"/>
          <w:b/>
          <w:bCs/>
          <w:smallCaps/>
          <w:color w:val="auto"/>
          <w:sz w:val="26"/>
          <w:szCs w:val="26"/>
        </w:rPr>
        <w:lastRenderedPageBreak/>
        <w:t>Discussion</w:t>
      </w:r>
    </w:p>
    <w:p w14:paraId="637DA9E2" w14:textId="77777777" w:rsidR="00C23344" w:rsidRDefault="00C23344" w:rsidP="00124B1B">
      <w:pPr>
        <w:ind w:firstLine="720"/>
        <w:rPr>
          <w:b/>
          <w:bCs/>
          <w:szCs w:val="26"/>
        </w:rPr>
      </w:pPr>
      <w:proofErr w:type="spellStart"/>
      <w:r w:rsidRPr="0090058A">
        <w:rPr>
          <w:szCs w:val="26"/>
        </w:rPr>
        <w:t>Frayo</w:t>
      </w:r>
      <w:proofErr w:type="spellEnd"/>
      <w:r w:rsidRPr="0090058A">
        <w:rPr>
          <w:szCs w:val="26"/>
        </w:rPr>
        <w:t xml:space="preserve"> </w:t>
      </w:r>
      <w:r w:rsidRPr="0090058A">
        <w:rPr>
          <w:szCs w:val="26"/>
        </w:rPr>
        <w:t xml:space="preserve">argues the trial court </w:t>
      </w:r>
      <w:r>
        <w:rPr>
          <w:szCs w:val="26"/>
        </w:rPr>
        <w:t>wrongly</w:t>
      </w:r>
      <w:r w:rsidRPr="0090058A">
        <w:rPr>
          <w:szCs w:val="26"/>
        </w:rPr>
        <w:t xml:space="preserve"> </w:t>
      </w:r>
      <w:r w:rsidRPr="0090058A">
        <w:rPr>
          <w:szCs w:val="26"/>
        </w:rPr>
        <w:t>interpret</w:t>
      </w:r>
      <w:r>
        <w:rPr>
          <w:szCs w:val="26"/>
        </w:rPr>
        <w:t>ed</w:t>
      </w:r>
      <w:r w:rsidRPr="0090058A">
        <w:rPr>
          <w:szCs w:val="26"/>
        </w:rPr>
        <w:t xml:space="preserve"> and </w:t>
      </w:r>
      <w:r>
        <w:rPr>
          <w:szCs w:val="26"/>
        </w:rPr>
        <w:t xml:space="preserve">improperly </w:t>
      </w:r>
      <w:r w:rsidRPr="0090058A">
        <w:rPr>
          <w:szCs w:val="26"/>
        </w:rPr>
        <w:t>appli</w:t>
      </w:r>
      <w:r>
        <w:rPr>
          <w:szCs w:val="26"/>
        </w:rPr>
        <w:t>ed</w:t>
      </w:r>
      <w:r w:rsidRPr="0090058A">
        <w:rPr>
          <w:szCs w:val="26"/>
        </w:rPr>
        <w:t xml:space="preserve"> </w:t>
      </w:r>
      <w:r w:rsidRPr="0090058A">
        <w:rPr>
          <w:szCs w:val="26"/>
        </w:rPr>
        <w:t>s</w:t>
      </w:r>
      <w:r w:rsidRPr="0090058A">
        <w:rPr>
          <w:szCs w:val="26"/>
        </w:rPr>
        <w:t>ection</w:t>
      </w:r>
      <w:r>
        <w:rPr>
          <w:szCs w:val="26"/>
        </w:rPr>
        <w:t>s</w:t>
      </w:r>
      <w:r w:rsidRPr="0090058A">
        <w:rPr>
          <w:szCs w:val="26"/>
        </w:rPr>
        <w:t xml:space="preserve"> 56.20(b) and (c)</w:t>
      </w:r>
      <w:r w:rsidRPr="0090058A">
        <w:rPr>
          <w:szCs w:val="26"/>
        </w:rPr>
        <w:t xml:space="preserve"> </w:t>
      </w:r>
      <w:r w:rsidRPr="0090058A">
        <w:rPr>
          <w:szCs w:val="26"/>
        </w:rPr>
        <w:t xml:space="preserve">of </w:t>
      </w:r>
      <w:r>
        <w:rPr>
          <w:szCs w:val="26"/>
        </w:rPr>
        <w:t xml:space="preserve">the </w:t>
      </w:r>
      <w:r w:rsidRPr="0090058A">
        <w:rPr>
          <w:szCs w:val="26"/>
        </w:rPr>
        <w:t>CMI</w:t>
      </w:r>
      <w:r>
        <w:rPr>
          <w:szCs w:val="26"/>
        </w:rPr>
        <w:t>A</w:t>
      </w:r>
      <w:r>
        <w:rPr>
          <w:szCs w:val="26"/>
        </w:rPr>
        <w:t>,</w:t>
      </w:r>
      <w:r>
        <w:rPr>
          <w:szCs w:val="26"/>
        </w:rPr>
        <w:t xml:space="preserve"> and</w:t>
      </w:r>
      <w:r>
        <w:rPr>
          <w:szCs w:val="26"/>
        </w:rPr>
        <w:t xml:space="preserve"> </w:t>
      </w:r>
      <w:r>
        <w:rPr>
          <w:szCs w:val="26"/>
        </w:rPr>
        <w:t xml:space="preserve">additionally </w:t>
      </w:r>
      <w:r>
        <w:rPr>
          <w:szCs w:val="26"/>
        </w:rPr>
        <w:t xml:space="preserve">erred </w:t>
      </w:r>
      <w:r>
        <w:rPr>
          <w:szCs w:val="26"/>
        </w:rPr>
        <w:t>when it dismissed</w:t>
      </w:r>
      <w:r w:rsidRPr="0090058A">
        <w:rPr>
          <w:szCs w:val="26"/>
        </w:rPr>
        <w:t xml:space="preserve"> </w:t>
      </w:r>
      <w:r>
        <w:rPr>
          <w:szCs w:val="26"/>
        </w:rPr>
        <w:t>the individual defendants</w:t>
      </w:r>
      <w:r w:rsidRPr="0090058A">
        <w:rPr>
          <w:szCs w:val="26"/>
        </w:rPr>
        <w:t xml:space="preserve"> </w:t>
      </w:r>
      <w:r>
        <w:rPr>
          <w:szCs w:val="26"/>
        </w:rPr>
        <w:t xml:space="preserve">from the complaint </w:t>
      </w:r>
      <w:r w:rsidRPr="0090058A">
        <w:rPr>
          <w:szCs w:val="26"/>
        </w:rPr>
        <w:t xml:space="preserve">without a separate ruling </w:t>
      </w:r>
      <w:r w:rsidRPr="0090058A">
        <w:rPr>
          <w:szCs w:val="26"/>
        </w:rPr>
        <w:t>on the issue of their</w:t>
      </w:r>
      <w:r w:rsidRPr="0090058A">
        <w:rPr>
          <w:szCs w:val="26"/>
        </w:rPr>
        <w:t xml:space="preserve"> personal</w:t>
      </w:r>
      <w:r w:rsidRPr="0090058A">
        <w:rPr>
          <w:szCs w:val="26"/>
        </w:rPr>
        <w:t xml:space="preserve"> liability</w:t>
      </w:r>
      <w:r w:rsidRPr="0090058A">
        <w:rPr>
          <w:szCs w:val="26"/>
        </w:rPr>
        <w:t xml:space="preserve">. </w:t>
      </w:r>
      <w:r w:rsidRPr="0090058A">
        <w:rPr>
          <w:szCs w:val="26"/>
        </w:rPr>
        <w:t xml:space="preserve"> </w:t>
      </w:r>
      <w:r>
        <w:rPr>
          <w:szCs w:val="26"/>
        </w:rPr>
        <w:t>Respondents</w:t>
      </w:r>
      <w:r w:rsidRPr="0090058A">
        <w:rPr>
          <w:szCs w:val="26"/>
        </w:rPr>
        <w:t xml:space="preserve"> </w:t>
      </w:r>
      <w:r w:rsidRPr="0090058A">
        <w:rPr>
          <w:szCs w:val="26"/>
        </w:rPr>
        <w:t>contend</w:t>
      </w:r>
      <w:r>
        <w:rPr>
          <w:szCs w:val="26"/>
        </w:rPr>
        <w:t xml:space="preserve"> </w:t>
      </w:r>
      <w:r w:rsidRPr="0090058A">
        <w:rPr>
          <w:szCs w:val="26"/>
        </w:rPr>
        <w:t>the trial court properly applied the law</w:t>
      </w:r>
      <w:r>
        <w:rPr>
          <w:szCs w:val="26"/>
        </w:rPr>
        <w:t>,</w:t>
      </w:r>
      <w:r w:rsidRPr="0090058A">
        <w:rPr>
          <w:szCs w:val="26"/>
        </w:rPr>
        <w:t xml:space="preserve"> </w:t>
      </w:r>
      <w:r w:rsidRPr="0090058A">
        <w:rPr>
          <w:szCs w:val="26"/>
        </w:rPr>
        <w:t>and</w:t>
      </w:r>
      <w:r>
        <w:rPr>
          <w:szCs w:val="26"/>
        </w:rPr>
        <w:t xml:space="preserve"> because</w:t>
      </w:r>
      <w:r w:rsidRPr="0090058A">
        <w:rPr>
          <w:szCs w:val="26"/>
        </w:rPr>
        <w:t xml:space="preserve"> </w:t>
      </w:r>
      <w:proofErr w:type="spellStart"/>
      <w:r w:rsidRPr="0090058A">
        <w:rPr>
          <w:szCs w:val="26"/>
        </w:rPr>
        <w:t>Frayo</w:t>
      </w:r>
      <w:proofErr w:type="spellEnd"/>
      <w:r>
        <w:rPr>
          <w:szCs w:val="26"/>
        </w:rPr>
        <w:t xml:space="preserve"> </w:t>
      </w:r>
      <w:r>
        <w:rPr>
          <w:szCs w:val="26"/>
        </w:rPr>
        <w:t xml:space="preserve">was </w:t>
      </w:r>
      <w:r>
        <w:rPr>
          <w:szCs w:val="26"/>
        </w:rPr>
        <w:t>unable</w:t>
      </w:r>
      <w:r w:rsidRPr="0090058A">
        <w:rPr>
          <w:szCs w:val="26"/>
        </w:rPr>
        <w:t xml:space="preserve"> to </w:t>
      </w:r>
      <w:r>
        <w:rPr>
          <w:szCs w:val="26"/>
        </w:rPr>
        <w:t>provide factual allegations to satisfy</w:t>
      </w:r>
      <w:r w:rsidRPr="0090058A">
        <w:rPr>
          <w:szCs w:val="26"/>
        </w:rPr>
        <w:t xml:space="preserve"> </w:t>
      </w:r>
      <w:r w:rsidRPr="0090058A">
        <w:rPr>
          <w:szCs w:val="26"/>
        </w:rPr>
        <w:t>the elements necessary</w:t>
      </w:r>
      <w:r w:rsidRPr="0090058A">
        <w:rPr>
          <w:szCs w:val="26"/>
        </w:rPr>
        <w:t xml:space="preserve"> under </w:t>
      </w:r>
      <w:r>
        <w:rPr>
          <w:szCs w:val="26"/>
        </w:rPr>
        <w:t xml:space="preserve">the </w:t>
      </w:r>
      <w:r w:rsidRPr="0090058A">
        <w:rPr>
          <w:szCs w:val="26"/>
        </w:rPr>
        <w:t>CMIA, the dismissal was proper</w:t>
      </w:r>
      <w:r>
        <w:rPr>
          <w:szCs w:val="26"/>
        </w:rPr>
        <w:t xml:space="preserve"> as to all defendants</w:t>
      </w:r>
      <w:r w:rsidRPr="0090058A">
        <w:rPr>
          <w:szCs w:val="26"/>
        </w:rPr>
        <w:t>.</w:t>
      </w:r>
      <w:r>
        <w:rPr>
          <w:szCs w:val="26"/>
        </w:rPr>
        <w:t xml:space="preserve">  </w:t>
      </w:r>
      <w:r>
        <w:rPr>
          <w:szCs w:val="26"/>
        </w:rPr>
        <w:t>We have independently reviewed</w:t>
      </w:r>
      <w:r w:rsidRPr="0090058A">
        <w:rPr>
          <w:szCs w:val="26"/>
        </w:rPr>
        <w:t xml:space="preserve"> </w:t>
      </w:r>
      <w:proofErr w:type="spellStart"/>
      <w:r w:rsidRPr="0090058A">
        <w:rPr>
          <w:szCs w:val="26"/>
        </w:rPr>
        <w:t>Frayo’s</w:t>
      </w:r>
      <w:proofErr w:type="spellEnd"/>
      <w:r w:rsidRPr="0090058A">
        <w:rPr>
          <w:szCs w:val="26"/>
        </w:rPr>
        <w:t xml:space="preserve"> amended complaint </w:t>
      </w:r>
      <w:r>
        <w:rPr>
          <w:szCs w:val="26"/>
        </w:rPr>
        <w:t xml:space="preserve">and conclude that </w:t>
      </w:r>
      <w:proofErr w:type="spellStart"/>
      <w:r>
        <w:rPr>
          <w:szCs w:val="26"/>
        </w:rPr>
        <w:t>Frayo</w:t>
      </w:r>
      <w:proofErr w:type="spellEnd"/>
      <w:r>
        <w:rPr>
          <w:szCs w:val="26"/>
        </w:rPr>
        <w:t xml:space="preserve"> does not state a cognizable CMIA claim under</w:t>
      </w:r>
      <w:r w:rsidRPr="0090058A">
        <w:rPr>
          <w:szCs w:val="26"/>
        </w:rPr>
        <w:t xml:space="preserve"> </w:t>
      </w:r>
      <w:r>
        <w:rPr>
          <w:szCs w:val="26"/>
        </w:rPr>
        <w:t xml:space="preserve">either </w:t>
      </w:r>
      <w:r w:rsidRPr="0090058A">
        <w:rPr>
          <w:szCs w:val="26"/>
        </w:rPr>
        <w:t>section 56.20(b) or (c</w:t>
      </w:r>
      <w:r>
        <w:rPr>
          <w:szCs w:val="26"/>
        </w:rPr>
        <w:t xml:space="preserve">). </w:t>
      </w:r>
      <w:r w:rsidRPr="0090058A">
        <w:rPr>
          <w:szCs w:val="26"/>
        </w:rPr>
        <w:t xml:space="preserve"> </w:t>
      </w:r>
    </w:p>
    <w:p w14:paraId="66EB3391" w14:textId="77777777" w:rsidR="00C23344" w:rsidRPr="006467CF" w:rsidRDefault="00C23344" w:rsidP="00BB6E51">
      <w:pPr>
        <w:pStyle w:val="Heading2"/>
        <w:rPr>
          <w:rFonts w:ascii="Times New Roman" w:hAnsi="Times New Roman" w:cs="Times New Roman"/>
          <w:b/>
          <w:bCs/>
          <w:i/>
          <w:iCs/>
          <w:color w:val="auto"/>
        </w:rPr>
      </w:pPr>
      <w:r w:rsidRPr="006467CF">
        <w:rPr>
          <w:rFonts w:ascii="Times New Roman" w:hAnsi="Times New Roman" w:cs="Times New Roman"/>
          <w:b/>
          <w:bCs/>
          <w:i/>
          <w:iCs/>
          <w:color w:val="auto"/>
        </w:rPr>
        <w:t xml:space="preserve">Standard of Review </w:t>
      </w:r>
    </w:p>
    <w:p w14:paraId="6826342A" w14:textId="77777777" w:rsidR="00C23344" w:rsidRDefault="00C23344" w:rsidP="00697ED3">
      <w:pPr>
        <w:pStyle w:val="Default"/>
        <w:spacing w:line="480" w:lineRule="atLeast"/>
        <w:ind w:firstLine="720"/>
        <w:rPr>
          <w:color w:val="auto"/>
          <w:sz w:val="26"/>
          <w:szCs w:val="26"/>
        </w:rPr>
      </w:pPr>
      <w:proofErr w:type="gramStart"/>
      <w:r>
        <w:rPr>
          <w:sz w:val="26"/>
          <w:szCs w:val="26"/>
        </w:rPr>
        <w:t>“</w:t>
      </w:r>
      <w:r>
        <w:rPr>
          <w:sz w:val="26"/>
          <w:szCs w:val="26"/>
        </w:rPr>
        <w:t> </w:t>
      </w:r>
      <w:r>
        <w:rPr>
          <w:sz w:val="26"/>
          <w:szCs w:val="26"/>
        </w:rPr>
        <w:t>‘</w:t>
      </w:r>
      <w:proofErr w:type="gramEnd"/>
      <w:r>
        <w:rPr>
          <w:sz w:val="26"/>
          <w:szCs w:val="26"/>
        </w:rPr>
        <w:t>The purpose of a demurrer is to test the sufficiency of a complaint by raising questions of law.’</w:t>
      </w:r>
      <w:r>
        <w:rPr>
          <w:sz w:val="26"/>
          <w:szCs w:val="26"/>
        </w:rPr>
        <w:t> </w:t>
      </w:r>
      <w:r>
        <w:rPr>
          <w:sz w:val="26"/>
          <w:szCs w:val="26"/>
        </w:rPr>
        <w:t>”</w:t>
      </w:r>
      <w:r>
        <w:rPr>
          <w:sz w:val="26"/>
          <w:szCs w:val="26"/>
        </w:rPr>
        <w:t xml:space="preserve"> </w:t>
      </w:r>
      <w:r>
        <w:rPr>
          <w:sz w:val="26"/>
          <w:szCs w:val="26"/>
        </w:rPr>
        <w:t xml:space="preserve"> (</w:t>
      </w:r>
      <w:proofErr w:type="spellStart"/>
      <w:r>
        <w:rPr>
          <w:i/>
          <w:iCs/>
          <w:sz w:val="26"/>
          <w:szCs w:val="26"/>
        </w:rPr>
        <w:t>Candelore</w:t>
      </w:r>
      <w:proofErr w:type="spellEnd"/>
      <w:r>
        <w:rPr>
          <w:i/>
          <w:iCs/>
          <w:sz w:val="26"/>
          <w:szCs w:val="26"/>
        </w:rPr>
        <w:t xml:space="preserve"> v. Tinder, Inc. </w:t>
      </w:r>
      <w:r>
        <w:rPr>
          <w:sz w:val="26"/>
          <w:szCs w:val="26"/>
        </w:rPr>
        <w:t>(2018) 19 Cal.App.5th 1138, 1143.)</w:t>
      </w:r>
      <w:r>
        <w:rPr>
          <w:sz w:val="26"/>
          <w:szCs w:val="26"/>
        </w:rPr>
        <w:t xml:space="preserve"> </w:t>
      </w:r>
      <w:r>
        <w:rPr>
          <w:sz w:val="26"/>
          <w:szCs w:val="26"/>
        </w:rPr>
        <w:t xml:space="preserve"> “We review an order sustaining a demurrer de novo, exercising our independent judgment as to whether a cause of action has been stated as a matter of law.” </w:t>
      </w:r>
      <w:r>
        <w:rPr>
          <w:sz w:val="26"/>
          <w:szCs w:val="26"/>
        </w:rPr>
        <w:t xml:space="preserve"> </w:t>
      </w:r>
      <w:r>
        <w:rPr>
          <w:sz w:val="26"/>
          <w:szCs w:val="26"/>
        </w:rPr>
        <w:t>(</w:t>
      </w:r>
      <w:r>
        <w:rPr>
          <w:i/>
          <w:iCs/>
          <w:sz w:val="26"/>
          <w:szCs w:val="26"/>
        </w:rPr>
        <w:t xml:space="preserve">Thompson v. Ioane </w:t>
      </w:r>
      <w:r>
        <w:rPr>
          <w:sz w:val="26"/>
          <w:szCs w:val="26"/>
        </w:rPr>
        <w:t xml:space="preserve">(2017) 11 Cal.App.5th 1180, 1190.) </w:t>
      </w:r>
      <w:r>
        <w:rPr>
          <w:sz w:val="26"/>
          <w:szCs w:val="26"/>
        </w:rPr>
        <w:t xml:space="preserve"> </w:t>
      </w:r>
      <w:r>
        <w:rPr>
          <w:sz w:val="26"/>
          <w:szCs w:val="26"/>
        </w:rPr>
        <w:t xml:space="preserve">In doing so, </w:t>
      </w:r>
      <w:proofErr w:type="gramStart"/>
      <w:r>
        <w:rPr>
          <w:sz w:val="26"/>
          <w:szCs w:val="26"/>
        </w:rPr>
        <w:t>“</w:t>
      </w:r>
      <w:r>
        <w:rPr>
          <w:sz w:val="26"/>
          <w:szCs w:val="26"/>
        </w:rPr>
        <w:t> </w:t>
      </w:r>
      <w:r>
        <w:rPr>
          <w:sz w:val="26"/>
          <w:szCs w:val="26"/>
        </w:rPr>
        <w:t>‘</w:t>
      </w:r>
      <w:proofErr w:type="gramEnd"/>
      <w:r>
        <w:rPr>
          <w:sz w:val="26"/>
          <w:szCs w:val="26"/>
        </w:rPr>
        <w:t>[w]e assume the truth of the properly pleaded factual allegations, [and] facts that reasonably can be inferred from those expressly pleaded.’</w:t>
      </w:r>
      <w:r>
        <w:rPr>
          <w:sz w:val="26"/>
          <w:szCs w:val="26"/>
        </w:rPr>
        <w:t xml:space="preserve"> </w:t>
      </w:r>
      <w:r>
        <w:rPr>
          <w:sz w:val="26"/>
          <w:szCs w:val="26"/>
        </w:rPr>
        <w:t xml:space="preserve"> [Citation.] </w:t>
      </w:r>
      <w:r>
        <w:rPr>
          <w:sz w:val="26"/>
          <w:szCs w:val="26"/>
        </w:rPr>
        <w:t xml:space="preserve"> </w:t>
      </w:r>
      <w:r>
        <w:rPr>
          <w:sz w:val="26"/>
          <w:szCs w:val="26"/>
        </w:rPr>
        <w:t xml:space="preserve">But we do not assume the truth of ‘contentions, deductions, or conclusions of law.’ </w:t>
      </w:r>
      <w:r>
        <w:rPr>
          <w:sz w:val="26"/>
          <w:szCs w:val="26"/>
        </w:rPr>
        <w:t xml:space="preserve"> </w:t>
      </w:r>
      <w:r>
        <w:rPr>
          <w:sz w:val="26"/>
          <w:szCs w:val="26"/>
        </w:rPr>
        <w:t xml:space="preserve">[Citation.] </w:t>
      </w:r>
      <w:r>
        <w:rPr>
          <w:sz w:val="26"/>
          <w:szCs w:val="26"/>
        </w:rPr>
        <w:t xml:space="preserve"> </w:t>
      </w:r>
      <w:r>
        <w:rPr>
          <w:sz w:val="26"/>
          <w:szCs w:val="26"/>
        </w:rPr>
        <w:t>We liberally construe the com</w:t>
      </w:r>
      <w:r>
        <w:rPr>
          <w:sz w:val="26"/>
          <w:szCs w:val="26"/>
        </w:rPr>
        <w:t>plaint ‘with a view to substantial justice between the parties,’ drawing ‘all reasonable inferences in favor of the asserted claims.’</w:t>
      </w:r>
      <w:r>
        <w:rPr>
          <w:sz w:val="26"/>
          <w:szCs w:val="26"/>
        </w:rPr>
        <w:t xml:space="preserve">  [Citations.]</w:t>
      </w:r>
      <w:r>
        <w:rPr>
          <w:sz w:val="26"/>
          <w:szCs w:val="26"/>
        </w:rPr>
        <w:t>”</w:t>
      </w:r>
      <w:r>
        <w:rPr>
          <w:sz w:val="26"/>
          <w:szCs w:val="26"/>
        </w:rPr>
        <w:t xml:space="preserve"> </w:t>
      </w:r>
      <w:r>
        <w:rPr>
          <w:sz w:val="26"/>
          <w:szCs w:val="26"/>
        </w:rPr>
        <w:t xml:space="preserve"> (</w:t>
      </w:r>
      <w:proofErr w:type="spellStart"/>
      <w:r>
        <w:rPr>
          <w:i/>
          <w:iCs/>
          <w:sz w:val="26"/>
          <w:szCs w:val="26"/>
        </w:rPr>
        <w:t>Liapes</w:t>
      </w:r>
      <w:proofErr w:type="spellEnd"/>
      <w:r>
        <w:rPr>
          <w:i/>
          <w:iCs/>
          <w:sz w:val="26"/>
          <w:szCs w:val="26"/>
        </w:rPr>
        <w:t xml:space="preserve"> v. Facebook, Inc. </w:t>
      </w:r>
      <w:r>
        <w:rPr>
          <w:sz w:val="26"/>
          <w:szCs w:val="26"/>
        </w:rPr>
        <w:t xml:space="preserve">(2023) 95 Cal.App.5th 910, 919.) </w:t>
      </w:r>
      <w:r>
        <w:rPr>
          <w:sz w:val="26"/>
          <w:szCs w:val="26"/>
        </w:rPr>
        <w:t xml:space="preserve"> </w:t>
      </w:r>
      <w:r>
        <w:rPr>
          <w:sz w:val="26"/>
          <w:szCs w:val="26"/>
        </w:rPr>
        <w:t>“[B]</w:t>
      </w:r>
      <w:proofErr w:type="spellStart"/>
      <w:r>
        <w:rPr>
          <w:sz w:val="26"/>
          <w:szCs w:val="26"/>
        </w:rPr>
        <w:t>ecause</w:t>
      </w:r>
      <w:proofErr w:type="spellEnd"/>
      <w:r>
        <w:rPr>
          <w:sz w:val="26"/>
          <w:szCs w:val="26"/>
        </w:rPr>
        <w:t xml:space="preserve"> we are reviewing the </w:t>
      </w:r>
      <w:r>
        <w:rPr>
          <w:color w:val="auto"/>
          <w:sz w:val="26"/>
          <w:szCs w:val="26"/>
        </w:rPr>
        <w:t xml:space="preserve">trial court’s ruling and not its reasoning, we may affirm on any ground supported by the record regardless of whether </w:t>
      </w:r>
      <w:r>
        <w:rPr>
          <w:color w:val="auto"/>
          <w:sz w:val="26"/>
          <w:szCs w:val="26"/>
        </w:rPr>
        <w:t xml:space="preserve">the </w:t>
      </w:r>
      <w:r>
        <w:rPr>
          <w:color w:val="auto"/>
          <w:sz w:val="26"/>
          <w:szCs w:val="26"/>
        </w:rPr>
        <w:t>trial court relied upon it.”</w:t>
      </w:r>
      <w:r>
        <w:rPr>
          <w:color w:val="auto"/>
          <w:sz w:val="26"/>
          <w:szCs w:val="26"/>
        </w:rPr>
        <w:t xml:space="preserve"> </w:t>
      </w:r>
      <w:r>
        <w:rPr>
          <w:color w:val="auto"/>
          <w:sz w:val="26"/>
          <w:szCs w:val="26"/>
        </w:rPr>
        <w:t xml:space="preserve"> (</w:t>
      </w:r>
      <w:r>
        <w:rPr>
          <w:i/>
          <w:iCs/>
          <w:color w:val="auto"/>
          <w:sz w:val="26"/>
          <w:szCs w:val="26"/>
        </w:rPr>
        <w:t xml:space="preserve">Doe v. Roman Catholic Archbishop of Los Angeles </w:t>
      </w:r>
      <w:r>
        <w:rPr>
          <w:color w:val="auto"/>
          <w:sz w:val="26"/>
          <w:szCs w:val="26"/>
        </w:rPr>
        <w:t xml:space="preserve">(2016) 247 Cal.App.4th 953, 960.) </w:t>
      </w:r>
    </w:p>
    <w:p w14:paraId="1CAC1E14" w14:textId="77777777" w:rsidR="00C23344" w:rsidRPr="009F0221" w:rsidRDefault="00C23344" w:rsidP="00697ED3">
      <w:pPr>
        <w:pStyle w:val="Default"/>
        <w:spacing w:line="480" w:lineRule="atLeast"/>
        <w:ind w:firstLine="720"/>
        <w:rPr>
          <w:sz w:val="26"/>
          <w:szCs w:val="26"/>
        </w:rPr>
      </w:pPr>
      <w:r>
        <w:rPr>
          <w:color w:val="auto"/>
          <w:sz w:val="26"/>
          <w:szCs w:val="26"/>
        </w:rPr>
        <w:t xml:space="preserve">“When a demurrer is sustained without leave to amend, ‘we decide whether there is a reasonable possibility that the defect can be cured by amendment: if it can be, the </w:t>
      </w:r>
      <w:r>
        <w:rPr>
          <w:color w:val="auto"/>
          <w:sz w:val="26"/>
          <w:szCs w:val="26"/>
        </w:rPr>
        <w:lastRenderedPageBreak/>
        <w:t xml:space="preserve">trial court has abused its discretion and we reverse; if not, there has been no abuse of </w:t>
      </w:r>
      <w:proofErr w:type="gramStart"/>
      <w:r>
        <w:rPr>
          <w:color w:val="auto"/>
          <w:sz w:val="26"/>
          <w:szCs w:val="26"/>
        </w:rPr>
        <w:t>discretion</w:t>
      </w:r>
      <w:proofErr w:type="gramEnd"/>
      <w:r>
        <w:rPr>
          <w:color w:val="auto"/>
          <w:sz w:val="26"/>
          <w:szCs w:val="26"/>
        </w:rPr>
        <w:t xml:space="preserve"> and we affirm.’ </w:t>
      </w:r>
      <w:r>
        <w:rPr>
          <w:color w:val="auto"/>
          <w:sz w:val="26"/>
          <w:szCs w:val="26"/>
        </w:rPr>
        <w:t xml:space="preserve"> </w:t>
      </w:r>
      <w:r>
        <w:rPr>
          <w:color w:val="auto"/>
          <w:sz w:val="26"/>
          <w:szCs w:val="26"/>
        </w:rPr>
        <w:t xml:space="preserve">[Citation.] </w:t>
      </w:r>
      <w:r>
        <w:rPr>
          <w:color w:val="auto"/>
          <w:sz w:val="26"/>
          <w:szCs w:val="26"/>
        </w:rPr>
        <w:t xml:space="preserve"> </w:t>
      </w:r>
      <w:r>
        <w:rPr>
          <w:color w:val="auto"/>
          <w:sz w:val="26"/>
          <w:szCs w:val="26"/>
        </w:rPr>
        <w:t xml:space="preserve">Plaintiff has the burden to show a reasonable possibility the complaint can be amended to state a cause of action.” </w:t>
      </w:r>
      <w:r>
        <w:rPr>
          <w:color w:val="auto"/>
          <w:sz w:val="26"/>
          <w:szCs w:val="26"/>
        </w:rPr>
        <w:t xml:space="preserve"> </w:t>
      </w:r>
      <w:r>
        <w:rPr>
          <w:color w:val="auto"/>
          <w:sz w:val="26"/>
          <w:szCs w:val="26"/>
        </w:rPr>
        <w:t>(</w:t>
      </w:r>
      <w:r>
        <w:rPr>
          <w:i/>
          <w:iCs/>
          <w:color w:val="auto"/>
          <w:sz w:val="26"/>
          <w:szCs w:val="26"/>
        </w:rPr>
        <w:t xml:space="preserve">Hamilton v. Greenwich Investors XXVI, LLC </w:t>
      </w:r>
      <w:r>
        <w:rPr>
          <w:color w:val="auto"/>
          <w:sz w:val="26"/>
          <w:szCs w:val="26"/>
        </w:rPr>
        <w:t xml:space="preserve">(2011) 195 Cal.App.4th 1602, 1609.) </w:t>
      </w:r>
      <w:r>
        <w:rPr>
          <w:color w:val="auto"/>
          <w:sz w:val="26"/>
          <w:szCs w:val="26"/>
        </w:rPr>
        <w:t xml:space="preserve"> </w:t>
      </w:r>
      <w:r>
        <w:rPr>
          <w:color w:val="auto"/>
          <w:sz w:val="26"/>
          <w:szCs w:val="26"/>
        </w:rPr>
        <w:t xml:space="preserve">“Where, however, amendment could not correct a deficiency in the complaint </w:t>
      </w:r>
      <w:r>
        <w:rPr>
          <w:color w:val="auto"/>
          <w:sz w:val="26"/>
          <w:szCs w:val="26"/>
        </w:rPr>
        <w:t>. . .</w:t>
      </w:r>
      <w:r>
        <w:rPr>
          <w:color w:val="auto"/>
          <w:sz w:val="26"/>
          <w:szCs w:val="26"/>
        </w:rPr>
        <w:t xml:space="preserve"> the demurrer is properly sustained without leave to amend.”</w:t>
      </w:r>
      <w:r>
        <w:rPr>
          <w:color w:val="auto"/>
          <w:sz w:val="26"/>
          <w:szCs w:val="26"/>
        </w:rPr>
        <w:t xml:space="preserve"> </w:t>
      </w:r>
      <w:r>
        <w:rPr>
          <w:color w:val="auto"/>
          <w:sz w:val="26"/>
          <w:szCs w:val="26"/>
        </w:rPr>
        <w:t xml:space="preserve"> (</w:t>
      </w:r>
      <w:r>
        <w:rPr>
          <w:i/>
          <w:iCs/>
          <w:color w:val="auto"/>
          <w:sz w:val="26"/>
          <w:szCs w:val="26"/>
        </w:rPr>
        <w:t xml:space="preserve">State of California </w:t>
      </w:r>
      <w:r w:rsidRPr="006B5012">
        <w:rPr>
          <w:i/>
          <w:iCs/>
          <w:color w:val="auto"/>
          <w:sz w:val="26"/>
          <w:szCs w:val="26"/>
        </w:rPr>
        <w:t>Automobile Dismantlers</w:t>
      </w:r>
      <w:r w:rsidRPr="006B5012">
        <w:rPr>
          <w:i/>
          <w:iCs/>
          <w:color w:val="auto"/>
          <w:sz w:val="26"/>
          <w:szCs w:val="26"/>
        </w:rPr>
        <w:t xml:space="preserve"> Assn. v. Interinsurance Exchange </w:t>
      </w:r>
      <w:r w:rsidRPr="006B5012">
        <w:rPr>
          <w:color w:val="auto"/>
          <w:sz w:val="26"/>
          <w:szCs w:val="26"/>
        </w:rPr>
        <w:t>(1986) 180 Cal.App.3d 735, 742</w:t>
      </w:r>
      <w:r w:rsidRPr="006B5012">
        <w:rPr>
          <w:color w:val="auto"/>
          <w:sz w:val="26"/>
          <w:szCs w:val="26"/>
        </w:rPr>
        <w:t xml:space="preserve"> (</w:t>
      </w:r>
      <w:r w:rsidRPr="009F0221">
        <w:rPr>
          <w:i/>
          <w:iCs/>
          <w:sz w:val="26"/>
          <w:szCs w:val="26"/>
        </w:rPr>
        <w:t>Automobile Dismantlers</w:t>
      </w:r>
      <w:r w:rsidRPr="009F0221">
        <w:rPr>
          <w:sz w:val="26"/>
          <w:szCs w:val="26"/>
        </w:rPr>
        <w:t>)</w:t>
      </w:r>
      <w:r w:rsidRPr="006B5012">
        <w:rPr>
          <w:color w:val="auto"/>
          <w:sz w:val="26"/>
          <w:szCs w:val="26"/>
        </w:rPr>
        <w:t xml:space="preserve">.) </w:t>
      </w:r>
    </w:p>
    <w:p w14:paraId="120AB18C" w14:textId="77777777" w:rsidR="00C23344" w:rsidRPr="0090058A" w:rsidRDefault="00C23344" w:rsidP="00EB3A04">
      <w:pPr>
        <w:pStyle w:val="Heading2"/>
        <w:rPr>
          <w:rFonts w:ascii="Times New Roman" w:hAnsi="Times New Roman" w:cs="Times New Roman"/>
          <w:b/>
          <w:bCs/>
          <w:i/>
          <w:iCs/>
          <w:color w:val="auto"/>
        </w:rPr>
      </w:pPr>
      <w:proofErr w:type="spellStart"/>
      <w:r w:rsidRPr="0090058A">
        <w:rPr>
          <w:rFonts w:ascii="Times New Roman" w:hAnsi="Times New Roman" w:cs="Times New Roman"/>
          <w:b/>
          <w:bCs/>
          <w:i/>
          <w:iCs/>
          <w:color w:val="auto"/>
        </w:rPr>
        <w:t>Frayo</w:t>
      </w:r>
      <w:proofErr w:type="spellEnd"/>
      <w:r w:rsidRPr="0090058A">
        <w:rPr>
          <w:rFonts w:ascii="Times New Roman" w:hAnsi="Times New Roman" w:cs="Times New Roman"/>
          <w:b/>
          <w:bCs/>
          <w:i/>
          <w:iCs/>
          <w:color w:val="auto"/>
        </w:rPr>
        <w:t xml:space="preserve"> Fail</w:t>
      </w:r>
      <w:r w:rsidRPr="0090058A">
        <w:rPr>
          <w:rFonts w:ascii="Times New Roman" w:hAnsi="Times New Roman" w:cs="Times New Roman"/>
          <w:b/>
          <w:bCs/>
          <w:i/>
          <w:iCs/>
          <w:color w:val="auto"/>
        </w:rPr>
        <w:t>ed</w:t>
      </w:r>
      <w:r w:rsidRPr="0090058A">
        <w:rPr>
          <w:rFonts w:ascii="Times New Roman" w:hAnsi="Times New Roman" w:cs="Times New Roman"/>
          <w:b/>
          <w:bCs/>
          <w:i/>
          <w:iCs/>
          <w:color w:val="auto"/>
        </w:rPr>
        <w:t xml:space="preserve"> to State a Cause of Action </w:t>
      </w:r>
      <w:r>
        <w:rPr>
          <w:rFonts w:ascii="Times New Roman" w:hAnsi="Times New Roman" w:cs="Times New Roman"/>
          <w:b/>
          <w:bCs/>
          <w:i/>
          <w:iCs/>
          <w:color w:val="auto"/>
        </w:rPr>
        <w:t>Under</w:t>
      </w:r>
      <w:r w:rsidRPr="0090058A">
        <w:rPr>
          <w:rFonts w:ascii="Times New Roman" w:hAnsi="Times New Roman" w:cs="Times New Roman"/>
          <w:b/>
          <w:bCs/>
          <w:i/>
          <w:iCs/>
          <w:color w:val="auto"/>
        </w:rPr>
        <w:t xml:space="preserve"> </w:t>
      </w:r>
      <w:r>
        <w:rPr>
          <w:rFonts w:ascii="Times New Roman" w:hAnsi="Times New Roman" w:cs="Times New Roman"/>
          <w:b/>
          <w:bCs/>
          <w:i/>
          <w:iCs/>
          <w:color w:val="auto"/>
        </w:rPr>
        <w:t xml:space="preserve">the </w:t>
      </w:r>
      <w:r w:rsidRPr="0090058A">
        <w:rPr>
          <w:rFonts w:ascii="Times New Roman" w:hAnsi="Times New Roman" w:cs="Times New Roman"/>
          <w:b/>
          <w:bCs/>
          <w:i/>
          <w:iCs/>
          <w:color w:val="auto"/>
        </w:rPr>
        <w:t>CMIA</w:t>
      </w:r>
    </w:p>
    <w:p w14:paraId="3F49F7E4" w14:textId="77777777" w:rsidR="00C23344" w:rsidRPr="00C62E50" w:rsidRDefault="00C23344" w:rsidP="00EF0B07">
      <w:pPr>
        <w:pStyle w:val="Heading3"/>
        <w:rPr>
          <w:rFonts w:ascii="Times New Roman" w:hAnsi="Times New Roman" w:cs="Times New Roman"/>
          <w:b/>
          <w:bCs/>
          <w:i/>
          <w:iCs/>
          <w:color w:val="auto"/>
          <w:sz w:val="26"/>
          <w:szCs w:val="26"/>
        </w:rPr>
      </w:pPr>
      <w:r w:rsidRPr="00C62E50">
        <w:rPr>
          <w:rFonts w:ascii="Times New Roman" w:hAnsi="Times New Roman" w:cs="Times New Roman"/>
          <w:b/>
          <w:bCs/>
          <w:i/>
          <w:iCs/>
          <w:color w:val="auto"/>
          <w:sz w:val="26"/>
          <w:szCs w:val="26"/>
        </w:rPr>
        <w:t xml:space="preserve">The </w:t>
      </w:r>
      <w:r>
        <w:rPr>
          <w:rFonts w:ascii="Times New Roman" w:hAnsi="Times New Roman" w:cs="Times New Roman"/>
          <w:b/>
          <w:bCs/>
          <w:i/>
          <w:iCs/>
          <w:color w:val="auto"/>
          <w:sz w:val="26"/>
          <w:szCs w:val="26"/>
        </w:rPr>
        <w:t>Applicable CMIA Provisions</w:t>
      </w:r>
    </w:p>
    <w:p w14:paraId="13B7A9DE" w14:textId="77777777" w:rsidR="00C23344" w:rsidRPr="005A7A34" w:rsidRDefault="00C23344" w:rsidP="005A7A34">
      <w:pPr>
        <w:ind w:firstLine="720"/>
        <w:rPr>
          <w:szCs w:val="26"/>
        </w:rPr>
      </w:pPr>
      <w:r>
        <w:rPr>
          <w:szCs w:val="26"/>
        </w:rPr>
        <w:t xml:space="preserve">The </w:t>
      </w:r>
      <w:r>
        <w:rPr>
          <w:szCs w:val="26"/>
        </w:rPr>
        <w:t>Legislature</w:t>
      </w:r>
      <w:r>
        <w:rPr>
          <w:szCs w:val="26"/>
        </w:rPr>
        <w:t xml:space="preserve"> enacted </w:t>
      </w:r>
      <w:r>
        <w:rPr>
          <w:szCs w:val="26"/>
        </w:rPr>
        <w:t xml:space="preserve">the </w:t>
      </w:r>
      <w:r>
        <w:rPr>
          <w:szCs w:val="26"/>
        </w:rPr>
        <w:t>CMIA</w:t>
      </w:r>
      <w:r w:rsidRPr="0090058A">
        <w:rPr>
          <w:szCs w:val="26"/>
        </w:rPr>
        <w:t xml:space="preserve"> “to protect the confidentiality of individually identifiable medical information obtained from a patient by a health care provider, while at the same time setting forth limited circumstances in which the release of such information to specified entities or individuals is permissible.</w:t>
      </w:r>
      <w:r w:rsidRPr="0090058A">
        <w:rPr>
          <w:szCs w:val="26"/>
        </w:rPr>
        <w:t>”  (</w:t>
      </w:r>
      <w:r w:rsidRPr="00AD2BA0">
        <w:rPr>
          <w:i/>
          <w:iCs/>
          <w:szCs w:val="26"/>
        </w:rPr>
        <w:t>Loder v. City of Glendale</w:t>
      </w:r>
      <w:r>
        <w:rPr>
          <w:i/>
          <w:iCs/>
          <w:szCs w:val="26"/>
        </w:rPr>
        <w:t xml:space="preserve"> </w:t>
      </w:r>
      <w:r>
        <w:rPr>
          <w:szCs w:val="26"/>
        </w:rPr>
        <w:t>(1997)</w:t>
      </w:r>
      <w:r w:rsidRPr="00AD2BA0">
        <w:rPr>
          <w:i/>
          <w:iCs/>
          <w:szCs w:val="26"/>
        </w:rPr>
        <w:t xml:space="preserve"> </w:t>
      </w:r>
      <w:r w:rsidRPr="00AD2BA0">
        <w:rPr>
          <w:szCs w:val="26"/>
        </w:rPr>
        <w:t>14 Cal.4th 846, 859</w:t>
      </w:r>
      <w:r>
        <w:rPr>
          <w:szCs w:val="26"/>
        </w:rPr>
        <w:t xml:space="preserve"> (</w:t>
      </w:r>
      <w:r>
        <w:rPr>
          <w:i/>
          <w:iCs/>
          <w:szCs w:val="26"/>
        </w:rPr>
        <w:t>Loder</w:t>
      </w:r>
      <w:r>
        <w:rPr>
          <w:szCs w:val="26"/>
        </w:rPr>
        <w:t>)</w:t>
      </w:r>
      <w:r>
        <w:rPr>
          <w:szCs w:val="26"/>
        </w:rPr>
        <w:t>.</w:t>
      </w:r>
      <w:r w:rsidRPr="005D1BD8">
        <w:rPr>
          <w:szCs w:val="26"/>
        </w:rPr>
        <w:t>)</w:t>
      </w:r>
      <w:r>
        <w:rPr>
          <w:szCs w:val="26"/>
        </w:rPr>
        <w:t xml:space="preserve"> </w:t>
      </w:r>
      <w:r>
        <w:rPr>
          <w:szCs w:val="26"/>
        </w:rPr>
        <w:t xml:space="preserve"> </w:t>
      </w:r>
      <w:r w:rsidRPr="0090058A">
        <w:rPr>
          <w:szCs w:val="26"/>
        </w:rPr>
        <w:t xml:space="preserve">Although </w:t>
      </w:r>
      <w:r>
        <w:rPr>
          <w:szCs w:val="26"/>
        </w:rPr>
        <w:t xml:space="preserve">the </w:t>
      </w:r>
      <w:r w:rsidRPr="0090058A">
        <w:rPr>
          <w:szCs w:val="26"/>
        </w:rPr>
        <w:t>CMIA</w:t>
      </w:r>
      <w:r w:rsidRPr="0090058A">
        <w:rPr>
          <w:szCs w:val="26"/>
        </w:rPr>
        <w:t xml:space="preserve"> </w:t>
      </w:r>
      <w:r>
        <w:rPr>
          <w:szCs w:val="26"/>
        </w:rPr>
        <w:t>principally</w:t>
      </w:r>
      <w:r w:rsidRPr="0090058A">
        <w:rPr>
          <w:szCs w:val="26"/>
        </w:rPr>
        <w:t xml:space="preserve"> </w:t>
      </w:r>
      <w:r w:rsidRPr="0090058A">
        <w:rPr>
          <w:szCs w:val="26"/>
        </w:rPr>
        <w:t xml:space="preserve">governs disclosures </w:t>
      </w:r>
      <w:r w:rsidRPr="0090058A">
        <w:rPr>
          <w:szCs w:val="26"/>
        </w:rPr>
        <w:t xml:space="preserve">by health care providers, </w:t>
      </w:r>
      <w:r w:rsidRPr="0090058A">
        <w:rPr>
          <w:szCs w:val="26"/>
        </w:rPr>
        <w:t>chapter three of</w:t>
      </w:r>
      <w:r w:rsidRPr="0090058A">
        <w:rPr>
          <w:szCs w:val="26"/>
        </w:rPr>
        <w:t xml:space="preserve"> </w:t>
      </w:r>
      <w:r>
        <w:rPr>
          <w:szCs w:val="26"/>
        </w:rPr>
        <w:t xml:space="preserve">the </w:t>
      </w:r>
      <w:r w:rsidRPr="0090058A">
        <w:rPr>
          <w:szCs w:val="26"/>
        </w:rPr>
        <w:t>CMIA</w:t>
      </w:r>
      <w:r w:rsidRPr="0090058A">
        <w:rPr>
          <w:szCs w:val="26"/>
        </w:rPr>
        <w:t xml:space="preserve"> </w:t>
      </w:r>
      <w:r w:rsidRPr="0090058A">
        <w:rPr>
          <w:szCs w:val="26"/>
        </w:rPr>
        <w:t xml:space="preserve">governs </w:t>
      </w:r>
      <w:r>
        <w:rPr>
          <w:szCs w:val="26"/>
        </w:rPr>
        <w:t xml:space="preserve">an </w:t>
      </w:r>
      <w:r>
        <w:rPr>
          <w:szCs w:val="26"/>
        </w:rPr>
        <w:t>employer’s</w:t>
      </w:r>
      <w:r w:rsidRPr="0090058A">
        <w:rPr>
          <w:szCs w:val="26"/>
        </w:rPr>
        <w:t xml:space="preserve"> use </w:t>
      </w:r>
      <w:r w:rsidRPr="0090058A">
        <w:rPr>
          <w:szCs w:val="26"/>
        </w:rPr>
        <w:t>and disclosure</w:t>
      </w:r>
      <w:r w:rsidRPr="0090058A">
        <w:rPr>
          <w:szCs w:val="26"/>
        </w:rPr>
        <w:t xml:space="preserve"> of </w:t>
      </w:r>
      <w:r>
        <w:rPr>
          <w:szCs w:val="26"/>
        </w:rPr>
        <w:t xml:space="preserve">an employee’s </w:t>
      </w:r>
      <w:r w:rsidRPr="0090058A">
        <w:rPr>
          <w:szCs w:val="26"/>
        </w:rPr>
        <w:t>medical information</w:t>
      </w:r>
      <w:r w:rsidRPr="0090058A">
        <w:rPr>
          <w:szCs w:val="26"/>
        </w:rPr>
        <w:t>.</w:t>
      </w:r>
      <w:r w:rsidRPr="0090058A">
        <w:rPr>
          <w:szCs w:val="26"/>
        </w:rPr>
        <w:t xml:space="preserve">  </w:t>
      </w:r>
      <w:r w:rsidRPr="0090058A">
        <w:rPr>
          <w:szCs w:val="26"/>
        </w:rPr>
        <w:t>(</w:t>
      </w:r>
      <w:r>
        <w:rPr>
          <w:szCs w:val="26"/>
        </w:rPr>
        <w:t>§§</w:t>
      </w:r>
      <w:r>
        <w:rPr>
          <w:szCs w:val="26"/>
        </w:rPr>
        <w:t> </w:t>
      </w:r>
      <w:r w:rsidRPr="0090058A">
        <w:rPr>
          <w:szCs w:val="26"/>
        </w:rPr>
        <w:t>56.20</w:t>
      </w:r>
      <w:r>
        <w:rPr>
          <w:szCs w:val="26"/>
        </w:rPr>
        <w:t>-</w:t>
      </w:r>
      <w:r w:rsidRPr="0090058A">
        <w:rPr>
          <w:szCs w:val="26"/>
        </w:rPr>
        <w:t>56.245</w:t>
      </w:r>
      <w:r w:rsidRPr="0090058A">
        <w:rPr>
          <w:szCs w:val="26"/>
        </w:rPr>
        <w:t xml:space="preserve">; </w:t>
      </w:r>
      <w:r w:rsidRPr="00BD53AF">
        <w:rPr>
          <w:i/>
          <w:iCs/>
        </w:rPr>
        <w:t xml:space="preserve">Rossi v. Sequoia Union Elementary </w:t>
      </w:r>
      <w:r w:rsidRPr="0058419C">
        <w:rPr>
          <w:i/>
          <w:iCs/>
        </w:rPr>
        <w:t>School</w:t>
      </w:r>
      <w:r>
        <w:t xml:space="preserve"> (2023) 94 Cal.App.5th 974, 986 (</w:t>
      </w:r>
      <w:r>
        <w:rPr>
          <w:i/>
          <w:iCs/>
        </w:rPr>
        <w:t>Rossi</w:t>
      </w:r>
      <w:r>
        <w:t>)</w:t>
      </w:r>
      <w:r>
        <w:t>.</w:t>
      </w:r>
      <w:r>
        <w:t>)</w:t>
      </w:r>
    </w:p>
    <w:p w14:paraId="07FC5A6E" w14:textId="77777777" w:rsidR="00C23344" w:rsidRDefault="00C23344" w:rsidP="00AC1989">
      <w:pPr>
        <w:ind w:firstLine="720"/>
        <w:rPr>
          <w:szCs w:val="26"/>
        </w:rPr>
      </w:pPr>
      <w:r>
        <w:rPr>
          <w:szCs w:val="26"/>
        </w:rPr>
        <w:t>S</w:t>
      </w:r>
      <w:r w:rsidRPr="0090058A">
        <w:rPr>
          <w:szCs w:val="26"/>
        </w:rPr>
        <w:t>ection 56.20</w:t>
      </w:r>
      <w:r>
        <w:rPr>
          <w:szCs w:val="26"/>
        </w:rPr>
        <w:t xml:space="preserve"> </w:t>
      </w:r>
      <w:r w:rsidRPr="0090058A">
        <w:rPr>
          <w:szCs w:val="26"/>
        </w:rPr>
        <w:t xml:space="preserve">provides that </w:t>
      </w:r>
      <w:r w:rsidRPr="0090058A">
        <w:rPr>
          <w:szCs w:val="26"/>
        </w:rPr>
        <w:t>an employer</w:t>
      </w:r>
      <w:r w:rsidRPr="0090058A">
        <w:rPr>
          <w:szCs w:val="26"/>
        </w:rPr>
        <w:t xml:space="preserve"> who </w:t>
      </w:r>
      <w:r w:rsidRPr="00C7097B">
        <w:rPr>
          <w:szCs w:val="26"/>
        </w:rPr>
        <w:t>receives</w:t>
      </w:r>
      <w:r w:rsidRPr="0090058A">
        <w:rPr>
          <w:szCs w:val="26"/>
        </w:rPr>
        <w:t xml:space="preserve"> </w:t>
      </w:r>
      <w:r>
        <w:rPr>
          <w:szCs w:val="26"/>
        </w:rPr>
        <w:t xml:space="preserve">the </w:t>
      </w:r>
      <w:r w:rsidRPr="0090058A">
        <w:rPr>
          <w:szCs w:val="26"/>
        </w:rPr>
        <w:t>medical information</w:t>
      </w:r>
      <w:r>
        <w:rPr>
          <w:szCs w:val="26"/>
        </w:rPr>
        <w:t xml:space="preserve"> </w:t>
      </w:r>
      <w:r w:rsidRPr="0090058A">
        <w:rPr>
          <w:szCs w:val="26"/>
        </w:rPr>
        <w:t xml:space="preserve">of its employees must ensure its </w:t>
      </w:r>
      <w:r w:rsidRPr="0090058A">
        <w:rPr>
          <w:szCs w:val="26"/>
        </w:rPr>
        <w:t>confidentiality</w:t>
      </w:r>
      <w:r w:rsidRPr="0090058A">
        <w:rPr>
          <w:szCs w:val="26"/>
        </w:rPr>
        <w:t xml:space="preserve">. </w:t>
      </w:r>
      <w:r w:rsidRPr="0090058A">
        <w:rPr>
          <w:szCs w:val="26"/>
        </w:rPr>
        <w:t xml:space="preserve"> </w:t>
      </w:r>
      <w:r w:rsidRPr="0090058A">
        <w:rPr>
          <w:szCs w:val="26"/>
        </w:rPr>
        <w:t>(</w:t>
      </w:r>
      <w:r w:rsidRPr="0090058A">
        <w:rPr>
          <w:i/>
          <w:iCs/>
          <w:szCs w:val="26"/>
        </w:rPr>
        <w:t>Id.</w:t>
      </w:r>
      <w:r w:rsidRPr="0090058A">
        <w:rPr>
          <w:szCs w:val="26"/>
        </w:rPr>
        <w:t>, subd. (a)</w:t>
      </w:r>
      <w:r>
        <w:rPr>
          <w:szCs w:val="26"/>
        </w:rPr>
        <w:t>.)</w:t>
      </w:r>
      <w:r w:rsidRPr="0090058A">
        <w:rPr>
          <w:szCs w:val="26"/>
        </w:rPr>
        <w:t xml:space="preserve"> </w:t>
      </w:r>
      <w:r w:rsidRPr="0090058A">
        <w:rPr>
          <w:szCs w:val="26"/>
        </w:rPr>
        <w:t xml:space="preserve"> </w:t>
      </w:r>
      <w:r>
        <w:rPr>
          <w:szCs w:val="26"/>
        </w:rPr>
        <w:t xml:space="preserve">Medical information is defined as </w:t>
      </w:r>
      <w:r>
        <w:rPr>
          <w:szCs w:val="26"/>
        </w:rPr>
        <w:t>“</w:t>
      </w:r>
      <w:r>
        <w:rPr>
          <w:szCs w:val="26"/>
        </w:rPr>
        <w:t>a</w:t>
      </w:r>
      <w:r w:rsidRPr="00BE0C40">
        <w:rPr>
          <w:szCs w:val="26"/>
        </w:rPr>
        <w:t>ny individually identifiable information, in electronic or physical form</w:t>
      </w:r>
      <w:r w:rsidRPr="00C970CE">
        <w:rPr>
          <w:szCs w:val="26"/>
        </w:rPr>
        <w:t xml:space="preserve">, </w:t>
      </w:r>
      <w:r w:rsidRPr="00C42E78">
        <w:rPr>
          <w:szCs w:val="26"/>
        </w:rPr>
        <w:t>in possession of or derived from a provider of health care, health care service plan, pharmaceutical company, or contractor</w:t>
      </w:r>
      <w:r w:rsidRPr="00BE0C40">
        <w:rPr>
          <w:szCs w:val="26"/>
        </w:rPr>
        <w:t xml:space="preserve"> regarding a patient</w:t>
      </w:r>
      <w:r>
        <w:rPr>
          <w:szCs w:val="26"/>
        </w:rPr>
        <w:t>’</w:t>
      </w:r>
      <w:r w:rsidRPr="00BE0C40">
        <w:rPr>
          <w:szCs w:val="26"/>
        </w:rPr>
        <w:t>s medical history, mental or physical condition, or treatment</w:t>
      </w:r>
      <w:r w:rsidRPr="002D7268">
        <w:rPr>
          <w:szCs w:val="26"/>
        </w:rPr>
        <w:t>.</w:t>
      </w:r>
      <w:r>
        <w:rPr>
          <w:szCs w:val="26"/>
        </w:rPr>
        <w:t>”  (§</w:t>
      </w:r>
      <w:r>
        <w:rPr>
          <w:szCs w:val="26"/>
        </w:rPr>
        <w:t> </w:t>
      </w:r>
      <w:r w:rsidRPr="0090058A">
        <w:rPr>
          <w:szCs w:val="26"/>
        </w:rPr>
        <w:t xml:space="preserve">56.05, </w:t>
      </w:r>
      <w:r>
        <w:rPr>
          <w:szCs w:val="26"/>
        </w:rPr>
        <w:t xml:space="preserve">former </w:t>
      </w:r>
      <w:r w:rsidRPr="0090058A">
        <w:rPr>
          <w:szCs w:val="26"/>
        </w:rPr>
        <w:t>subd.</w:t>
      </w:r>
      <w:r>
        <w:rPr>
          <w:szCs w:val="26"/>
        </w:rPr>
        <w:t> </w:t>
      </w:r>
      <w:r w:rsidRPr="0090058A">
        <w:rPr>
          <w:szCs w:val="26"/>
        </w:rPr>
        <w:t>(</w:t>
      </w:r>
      <w:proofErr w:type="spellStart"/>
      <w:r>
        <w:rPr>
          <w:szCs w:val="26"/>
        </w:rPr>
        <w:t>i</w:t>
      </w:r>
      <w:proofErr w:type="spellEnd"/>
      <w:r w:rsidRPr="0090058A">
        <w:rPr>
          <w:szCs w:val="26"/>
        </w:rPr>
        <w:t>)</w:t>
      </w:r>
      <w:r>
        <w:rPr>
          <w:szCs w:val="26"/>
        </w:rPr>
        <w:t xml:space="preserve">, now subd. (j), added by Stats. 2023, </w:t>
      </w:r>
      <w:proofErr w:type="spellStart"/>
      <w:r>
        <w:rPr>
          <w:szCs w:val="26"/>
        </w:rPr>
        <w:t>ch.</w:t>
      </w:r>
      <w:proofErr w:type="spellEnd"/>
      <w:r>
        <w:rPr>
          <w:szCs w:val="26"/>
        </w:rPr>
        <w:t> </w:t>
      </w:r>
      <w:r>
        <w:rPr>
          <w:szCs w:val="26"/>
        </w:rPr>
        <w:t>374, §</w:t>
      </w:r>
      <w:r>
        <w:rPr>
          <w:szCs w:val="26"/>
        </w:rPr>
        <w:t> </w:t>
      </w:r>
      <w:r>
        <w:rPr>
          <w:szCs w:val="26"/>
        </w:rPr>
        <w:t>1.5, p. 92,</w:t>
      </w:r>
      <w:r>
        <w:rPr>
          <w:szCs w:val="26"/>
        </w:rPr>
        <w:t xml:space="preserve"> eff. Jan. 1, 2024</w:t>
      </w:r>
      <w:r>
        <w:rPr>
          <w:szCs w:val="26"/>
        </w:rPr>
        <w:t>.</w:t>
      </w:r>
      <w:r>
        <w:rPr>
          <w:rStyle w:val="FootnoteReference"/>
          <w:szCs w:val="26"/>
        </w:rPr>
        <w:footnoteReference w:id="8"/>
      </w:r>
      <w:r>
        <w:rPr>
          <w:szCs w:val="26"/>
        </w:rPr>
        <w:t xml:space="preserve"> </w:t>
      </w:r>
      <w:r>
        <w:rPr>
          <w:szCs w:val="26"/>
        </w:rPr>
        <w:t>)</w:t>
      </w:r>
      <w:r>
        <w:rPr>
          <w:szCs w:val="26"/>
        </w:rPr>
        <w:t xml:space="preserve">  </w:t>
      </w:r>
    </w:p>
    <w:p w14:paraId="7725EAF3" w14:textId="77777777" w:rsidR="00C23344" w:rsidRDefault="00C23344" w:rsidP="00B9664F">
      <w:pPr>
        <w:ind w:firstLine="720"/>
        <w:rPr>
          <w:szCs w:val="26"/>
        </w:rPr>
      </w:pPr>
      <w:r>
        <w:rPr>
          <w:szCs w:val="26"/>
        </w:rPr>
        <w:lastRenderedPageBreak/>
        <w:t>Under section 56.20(c), a</w:t>
      </w:r>
      <w:r>
        <w:rPr>
          <w:szCs w:val="26"/>
        </w:rPr>
        <w:t>bsent</w:t>
      </w:r>
      <w:r>
        <w:rPr>
          <w:szCs w:val="26"/>
        </w:rPr>
        <w:t xml:space="preserve"> </w:t>
      </w:r>
      <w:r>
        <w:rPr>
          <w:szCs w:val="26"/>
        </w:rPr>
        <w:t>certain exceptions</w:t>
      </w:r>
      <w:r>
        <w:rPr>
          <w:szCs w:val="26"/>
        </w:rPr>
        <w:t>,</w:t>
      </w:r>
      <w:r w:rsidRPr="0090058A">
        <w:rPr>
          <w:szCs w:val="26"/>
        </w:rPr>
        <w:t xml:space="preserve"> </w:t>
      </w:r>
      <w:r>
        <w:rPr>
          <w:szCs w:val="26"/>
        </w:rPr>
        <w:t xml:space="preserve">the </w:t>
      </w:r>
      <w:r w:rsidRPr="0090058A">
        <w:rPr>
          <w:szCs w:val="26"/>
        </w:rPr>
        <w:t>employer</w:t>
      </w:r>
      <w:r>
        <w:rPr>
          <w:szCs w:val="26"/>
        </w:rPr>
        <w:t xml:space="preserve"> in possession of the </w:t>
      </w:r>
      <w:r>
        <w:rPr>
          <w:szCs w:val="26"/>
        </w:rPr>
        <w:t xml:space="preserve">employee’s </w:t>
      </w:r>
      <w:r>
        <w:rPr>
          <w:szCs w:val="26"/>
        </w:rPr>
        <w:t>medical information</w:t>
      </w:r>
      <w:r w:rsidRPr="0090058A">
        <w:rPr>
          <w:szCs w:val="26"/>
        </w:rPr>
        <w:t xml:space="preserve"> </w:t>
      </w:r>
      <w:r w:rsidRPr="0090058A">
        <w:rPr>
          <w:szCs w:val="26"/>
        </w:rPr>
        <w:t>cannot use or disclose such</w:t>
      </w:r>
      <w:r w:rsidRPr="0090058A">
        <w:rPr>
          <w:szCs w:val="26"/>
        </w:rPr>
        <w:t xml:space="preserve"> </w:t>
      </w:r>
      <w:r w:rsidRPr="0090058A">
        <w:rPr>
          <w:szCs w:val="26"/>
        </w:rPr>
        <w:t>information</w:t>
      </w:r>
      <w:r>
        <w:rPr>
          <w:szCs w:val="26"/>
        </w:rPr>
        <w:t xml:space="preserve"> </w:t>
      </w:r>
      <w:r>
        <w:rPr>
          <w:szCs w:val="26"/>
        </w:rPr>
        <w:t>“</w:t>
      </w:r>
      <w:r>
        <w:rPr>
          <w:szCs w:val="26"/>
        </w:rPr>
        <w:t>which the employer possesses pertaining to its employees</w:t>
      </w:r>
      <w:r>
        <w:rPr>
          <w:szCs w:val="26"/>
        </w:rPr>
        <w:t xml:space="preserve"> </w:t>
      </w:r>
      <w:r w:rsidRPr="0090058A">
        <w:rPr>
          <w:szCs w:val="26"/>
        </w:rPr>
        <w:t xml:space="preserve">without </w:t>
      </w:r>
      <w:r w:rsidRPr="009B5D73">
        <w:rPr>
          <w:szCs w:val="26"/>
        </w:rPr>
        <w:t xml:space="preserve">the patient </w:t>
      </w:r>
      <w:r w:rsidRPr="0090058A">
        <w:rPr>
          <w:szCs w:val="26"/>
        </w:rPr>
        <w:t xml:space="preserve">having first signed an authorization under </w:t>
      </w:r>
      <w:r>
        <w:rPr>
          <w:szCs w:val="26"/>
        </w:rPr>
        <w:t>S</w:t>
      </w:r>
      <w:r w:rsidRPr="0090058A">
        <w:rPr>
          <w:szCs w:val="26"/>
        </w:rPr>
        <w:t xml:space="preserve">ection 56.11 [disclosure by health care providers, et al.] or </w:t>
      </w:r>
      <w:r>
        <w:rPr>
          <w:szCs w:val="26"/>
        </w:rPr>
        <w:t>S</w:t>
      </w:r>
      <w:r w:rsidRPr="0090058A">
        <w:rPr>
          <w:szCs w:val="26"/>
        </w:rPr>
        <w:t>ection 56.21 [disclosure by employer] permitting such use or disclosure</w:t>
      </w:r>
      <w:proofErr w:type="gramStart"/>
      <w:r w:rsidRPr="0090058A">
        <w:rPr>
          <w:szCs w:val="26"/>
        </w:rPr>
        <w:t>. . . .</w:t>
      </w:r>
      <w:proofErr w:type="gramEnd"/>
      <w:r w:rsidRPr="0090058A">
        <w:rPr>
          <w:szCs w:val="26"/>
        </w:rPr>
        <w:t xml:space="preserve">”  </w:t>
      </w:r>
      <w:r w:rsidRPr="0090058A">
        <w:rPr>
          <w:szCs w:val="26"/>
        </w:rPr>
        <w:t>(</w:t>
      </w:r>
      <w:r>
        <w:rPr>
          <w:szCs w:val="26"/>
        </w:rPr>
        <w:t>§</w:t>
      </w:r>
      <w:r>
        <w:rPr>
          <w:szCs w:val="26"/>
        </w:rPr>
        <w:t> </w:t>
      </w:r>
      <w:r>
        <w:rPr>
          <w:szCs w:val="26"/>
        </w:rPr>
        <w:t>56.20</w:t>
      </w:r>
      <w:r w:rsidRPr="0090058A">
        <w:rPr>
          <w:szCs w:val="26"/>
        </w:rPr>
        <w:t>(c)</w:t>
      </w:r>
      <w:r>
        <w:rPr>
          <w:szCs w:val="26"/>
        </w:rPr>
        <w:t xml:space="preserve">.) </w:t>
      </w:r>
      <w:r>
        <w:rPr>
          <w:szCs w:val="26"/>
        </w:rPr>
        <w:t xml:space="preserve"> An “authorization” under </w:t>
      </w:r>
      <w:r>
        <w:rPr>
          <w:szCs w:val="26"/>
        </w:rPr>
        <w:t xml:space="preserve">the </w:t>
      </w:r>
      <w:r>
        <w:rPr>
          <w:szCs w:val="26"/>
        </w:rPr>
        <w:t xml:space="preserve">CMIA </w:t>
      </w:r>
      <w:r>
        <w:rPr>
          <w:szCs w:val="26"/>
        </w:rPr>
        <w:t>must, among other things, be in writing,</w:t>
      </w:r>
      <w:r>
        <w:rPr>
          <w:szCs w:val="26"/>
        </w:rPr>
        <w:t xml:space="preserve"> </w:t>
      </w:r>
      <w:r>
        <w:rPr>
          <w:szCs w:val="26"/>
        </w:rPr>
        <w:t>signed,</w:t>
      </w:r>
      <w:r>
        <w:rPr>
          <w:szCs w:val="26"/>
        </w:rPr>
        <w:t xml:space="preserve"> and dated by the patient</w:t>
      </w:r>
      <w:r w:rsidRPr="0022558A">
        <w:rPr>
          <w:szCs w:val="26"/>
        </w:rPr>
        <w:t xml:space="preserve"> </w:t>
      </w:r>
      <w:r>
        <w:rPr>
          <w:szCs w:val="26"/>
        </w:rPr>
        <w:t>or an authorized representative</w:t>
      </w:r>
      <w:r>
        <w:rPr>
          <w:szCs w:val="26"/>
        </w:rPr>
        <w:t xml:space="preserve">.  </w:t>
      </w:r>
      <w:r>
        <w:rPr>
          <w:szCs w:val="26"/>
        </w:rPr>
        <w:t>(</w:t>
      </w:r>
      <w:r>
        <w:rPr>
          <w:szCs w:val="26"/>
        </w:rPr>
        <w:t>§</w:t>
      </w:r>
      <w:r>
        <w:rPr>
          <w:szCs w:val="26"/>
        </w:rPr>
        <w:t> </w:t>
      </w:r>
      <w:r>
        <w:rPr>
          <w:szCs w:val="26"/>
        </w:rPr>
        <w:t xml:space="preserve">56.05, subd. (a), added by Stats. 2021, </w:t>
      </w:r>
      <w:proofErr w:type="spellStart"/>
      <w:r>
        <w:rPr>
          <w:szCs w:val="26"/>
        </w:rPr>
        <w:t>ch.</w:t>
      </w:r>
      <w:proofErr w:type="spellEnd"/>
      <w:r>
        <w:rPr>
          <w:szCs w:val="26"/>
        </w:rPr>
        <w:t> </w:t>
      </w:r>
      <w:r>
        <w:rPr>
          <w:szCs w:val="26"/>
        </w:rPr>
        <w:t>190, §</w:t>
      </w:r>
      <w:r>
        <w:rPr>
          <w:szCs w:val="26"/>
        </w:rPr>
        <w:t> </w:t>
      </w:r>
      <w:r>
        <w:rPr>
          <w:szCs w:val="26"/>
        </w:rPr>
        <w:t>1; §</w:t>
      </w:r>
      <w:r>
        <w:rPr>
          <w:szCs w:val="26"/>
        </w:rPr>
        <w:t> </w:t>
      </w:r>
      <w:r>
        <w:rPr>
          <w:szCs w:val="26"/>
        </w:rPr>
        <w:t xml:space="preserve">56.11, added by Stats. </w:t>
      </w:r>
      <w:r w:rsidRPr="00697ED3">
        <w:t xml:space="preserve">2009, </w:t>
      </w:r>
      <w:proofErr w:type="spellStart"/>
      <w:r w:rsidRPr="00697ED3">
        <w:t>ch.</w:t>
      </w:r>
      <w:proofErr w:type="spellEnd"/>
      <w:r>
        <w:t> </w:t>
      </w:r>
      <w:r>
        <w:rPr>
          <w:szCs w:val="26"/>
        </w:rPr>
        <w:t>493, §</w:t>
      </w:r>
      <w:r>
        <w:rPr>
          <w:szCs w:val="26"/>
        </w:rPr>
        <w:t> </w:t>
      </w:r>
      <w:r>
        <w:rPr>
          <w:szCs w:val="26"/>
        </w:rPr>
        <w:t>2</w:t>
      </w:r>
      <w:r>
        <w:rPr>
          <w:szCs w:val="26"/>
        </w:rPr>
        <w:t>;</w:t>
      </w:r>
      <w:r>
        <w:rPr>
          <w:szCs w:val="26"/>
        </w:rPr>
        <w:t xml:space="preserve"> </w:t>
      </w:r>
      <w:r>
        <w:rPr>
          <w:szCs w:val="26"/>
        </w:rPr>
        <w:t>§</w:t>
      </w:r>
      <w:r>
        <w:rPr>
          <w:szCs w:val="26"/>
        </w:rPr>
        <w:t> </w:t>
      </w:r>
      <w:r>
        <w:rPr>
          <w:szCs w:val="26"/>
        </w:rPr>
        <w:t xml:space="preserve">56.21, added by Stats. 2006, </w:t>
      </w:r>
      <w:proofErr w:type="spellStart"/>
      <w:r>
        <w:rPr>
          <w:szCs w:val="26"/>
        </w:rPr>
        <w:t>ch.</w:t>
      </w:r>
      <w:proofErr w:type="spellEnd"/>
      <w:r>
        <w:rPr>
          <w:szCs w:val="26"/>
        </w:rPr>
        <w:t> </w:t>
      </w:r>
      <w:r>
        <w:rPr>
          <w:szCs w:val="26"/>
        </w:rPr>
        <w:t>538, § 39.</w:t>
      </w:r>
      <w:r>
        <w:rPr>
          <w:szCs w:val="26"/>
        </w:rPr>
        <w:t>)</w:t>
      </w:r>
      <w:r w:rsidRPr="0090058A">
        <w:rPr>
          <w:szCs w:val="26"/>
        </w:rPr>
        <w:t xml:space="preserve">  </w:t>
      </w:r>
    </w:p>
    <w:p w14:paraId="04B366F0" w14:textId="77777777" w:rsidR="00C23344" w:rsidRDefault="00C23344" w:rsidP="00B324EE">
      <w:pPr>
        <w:ind w:firstLine="720"/>
        <w:rPr>
          <w:szCs w:val="26"/>
        </w:rPr>
      </w:pPr>
      <w:r>
        <w:rPr>
          <w:szCs w:val="26"/>
        </w:rPr>
        <w:t xml:space="preserve">If an </w:t>
      </w:r>
      <w:r>
        <w:rPr>
          <w:szCs w:val="26"/>
        </w:rPr>
        <w:t>employee refuses to authorize the use or disclosure of his medical information, s</w:t>
      </w:r>
      <w:r>
        <w:rPr>
          <w:szCs w:val="26"/>
        </w:rPr>
        <w:t xml:space="preserve">ection 56.20(b) provides that </w:t>
      </w:r>
      <w:r>
        <w:rPr>
          <w:szCs w:val="26"/>
        </w:rPr>
        <w:t>“</w:t>
      </w:r>
      <w:r>
        <w:rPr>
          <w:szCs w:val="26"/>
        </w:rPr>
        <w:t>[n]</w:t>
      </w:r>
      <w:r w:rsidRPr="006E0CFB">
        <w:rPr>
          <w:szCs w:val="26"/>
        </w:rPr>
        <w:t>o employee shall be discriminated against in terms or conditions of employment due to that employee</w:t>
      </w:r>
      <w:r>
        <w:rPr>
          <w:szCs w:val="26"/>
        </w:rPr>
        <w:t>’</w:t>
      </w:r>
      <w:r w:rsidRPr="006E0CFB">
        <w:rPr>
          <w:szCs w:val="26"/>
        </w:rPr>
        <w:t>s refusal to sign an authorization</w:t>
      </w:r>
      <w:r>
        <w:rPr>
          <w:szCs w:val="26"/>
        </w:rPr>
        <w:t xml:space="preserve"> under this part.</w:t>
      </w:r>
      <w:r w:rsidRPr="006E0CFB">
        <w:rPr>
          <w:szCs w:val="26"/>
        </w:rPr>
        <w:t xml:space="preserve"> </w:t>
      </w:r>
      <w:r>
        <w:rPr>
          <w:szCs w:val="26"/>
        </w:rPr>
        <w:t xml:space="preserve"> </w:t>
      </w:r>
      <w:r w:rsidRPr="006E0CFB">
        <w:rPr>
          <w:szCs w:val="26"/>
        </w:rPr>
        <w:t>However, nothing in this section shall prohibit an employer from taking such action as is necessary in the absence of medical information due to an employee</w:t>
      </w:r>
      <w:r>
        <w:rPr>
          <w:szCs w:val="26"/>
        </w:rPr>
        <w:t>’</w:t>
      </w:r>
      <w:r w:rsidRPr="006E0CFB">
        <w:rPr>
          <w:szCs w:val="26"/>
        </w:rPr>
        <w:t>s refusal to sign an authorization</w:t>
      </w:r>
      <w:r>
        <w:rPr>
          <w:szCs w:val="26"/>
        </w:rPr>
        <w:t xml:space="preserve"> </w:t>
      </w:r>
      <w:proofErr w:type="gramStart"/>
      <w:r>
        <w:rPr>
          <w:szCs w:val="26"/>
        </w:rPr>
        <w:t xml:space="preserve">. . . </w:t>
      </w:r>
      <w:r w:rsidRPr="006E0CFB">
        <w:rPr>
          <w:szCs w:val="26"/>
        </w:rPr>
        <w:t>.</w:t>
      </w:r>
      <w:proofErr w:type="gramEnd"/>
      <w:r>
        <w:rPr>
          <w:szCs w:val="26"/>
        </w:rPr>
        <w:t>”</w:t>
      </w:r>
      <w:r>
        <w:rPr>
          <w:szCs w:val="26"/>
        </w:rPr>
        <w:t xml:space="preserve">  </w:t>
      </w:r>
      <w:bookmarkStart w:id="0" w:name="_Hlk165464170"/>
      <w:r>
        <w:rPr>
          <w:szCs w:val="26"/>
        </w:rPr>
        <w:t>(§</w:t>
      </w:r>
      <w:r>
        <w:rPr>
          <w:szCs w:val="26"/>
        </w:rPr>
        <w:t> </w:t>
      </w:r>
      <w:r>
        <w:rPr>
          <w:szCs w:val="26"/>
        </w:rPr>
        <w:t>56.20(b).)</w:t>
      </w:r>
      <w:r>
        <w:rPr>
          <w:szCs w:val="26"/>
        </w:rPr>
        <w:t xml:space="preserve"> </w:t>
      </w:r>
      <w:bookmarkEnd w:id="0"/>
      <w:r>
        <w:rPr>
          <w:szCs w:val="26"/>
        </w:rPr>
        <w:t xml:space="preserve"> </w:t>
      </w:r>
    </w:p>
    <w:p w14:paraId="7180C5FF" w14:textId="77777777" w:rsidR="00C23344" w:rsidRPr="00C42E78" w:rsidRDefault="00C23344" w:rsidP="00B324EE">
      <w:pPr>
        <w:pStyle w:val="Heading3"/>
        <w:spacing w:before="0"/>
        <w:rPr>
          <w:rFonts w:ascii="Times New Roman" w:hAnsi="Times New Roman" w:cs="Times New Roman"/>
          <w:b/>
          <w:bCs/>
          <w:i/>
          <w:iCs/>
          <w:color w:val="auto"/>
          <w:sz w:val="26"/>
          <w:szCs w:val="26"/>
        </w:rPr>
      </w:pPr>
      <w:proofErr w:type="spellStart"/>
      <w:r w:rsidRPr="00C42E78">
        <w:rPr>
          <w:rFonts w:ascii="Times New Roman" w:hAnsi="Times New Roman" w:cs="Times New Roman"/>
          <w:b/>
          <w:bCs/>
          <w:i/>
          <w:iCs/>
          <w:color w:val="auto"/>
          <w:sz w:val="26"/>
          <w:szCs w:val="26"/>
        </w:rPr>
        <w:t>Frayo</w:t>
      </w:r>
      <w:r w:rsidRPr="00C42E78">
        <w:rPr>
          <w:rFonts w:ascii="Times New Roman" w:hAnsi="Times New Roman" w:cs="Times New Roman"/>
          <w:b/>
          <w:bCs/>
          <w:i/>
          <w:iCs/>
          <w:color w:val="auto"/>
          <w:sz w:val="26"/>
          <w:szCs w:val="26"/>
        </w:rPr>
        <w:t>’s</w:t>
      </w:r>
      <w:proofErr w:type="spellEnd"/>
      <w:r w:rsidRPr="00C42E78">
        <w:rPr>
          <w:rFonts w:ascii="Times New Roman" w:hAnsi="Times New Roman" w:cs="Times New Roman"/>
          <w:b/>
          <w:bCs/>
          <w:i/>
          <w:iCs/>
          <w:color w:val="auto"/>
          <w:sz w:val="26"/>
          <w:szCs w:val="26"/>
        </w:rPr>
        <w:t xml:space="preserve"> Section 56.20(b)</w:t>
      </w:r>
      <w:r w:rsidRPr="00C42E78">
        <w:rPr>
          <w:rFonts w:ascii="Times New Roman" w:hAnsi="Times New Roman" w:cs="Times New Roman"/>
          <w:b/>
          <w:bCs/>
          <w:i/>
          <w:iCs/>
          <w:color w:val="auto"/>
          <w:sz w:val="26"/>
          <w:szCs w:val="26"/>
        </w:rPr>
        <w:t xml:space="preserve"> Claim</w:t>
      </w:r>
    </w:p>
    <w:p w14:paraId="7438CC68" w14:textId="77777777" w:rsidR="00C23344" w:rsidRDefault="00C23344" w:rsidP="00B324EE">
      <w:pPr>
        <w:rPr>
          <w:szCs w:val="26"/>
        </w:rPr>
      </w:pPr>
      <w:r w:rsidRPr="0090058A">
        <w:rPr>
          <w:szCs w:val="26"/>
        </w:rPr>
        <w:tab/>
      </w:r>
      <w:proofErr w:type="spellStart"/>
      <w:r>
        <w:rPr>
          <w:szCs w:val="26"/>
        </w:rPr>
        <w:t>Frayo</w:t>
      </w:r>
      <w:proofErr w:type="spellEnd"/>
      <w:r>
        <w:rPr>
          <w:szCs w:val="26"/>
        </w:rPr>
        <w:t xml:space="preserve"> clai</w:t>
      </w:r>
      <w:r>
        <w:rPr>
          <w:szCs w:val="26"/>
        </w:rPr>
        <w:t xml:space="preserve">ms </w:t>
      </w:r>
      <w:r>
        <w:rPr>
          <w:szCs w:val="26"/>
        </w:rPr>
        <w:t xml:space="preserve">respondents </w:t>
      </w:r>
      <w:r>
        <w:rPr>
          <w:szCs w:val="26"/>
        </w:rPr>
        <w:t xml:space="preserve">discriminated against </w:t>
      </w:r>
      <w:r>
        <w:rPr>
          <w:szCs w:val="26"/>
        </w:rPr>
        <w:t>him</w:t>
      </w:r>
      <w:r>
        <w:rPr>
          <w:szCs w:val="26"/>
        </w:rPr>
        <w:t xml:space="preserve"> </w:t>
      </w:r>
      <w:r>
        <w:rPr>
          <w:szCs w:val="26"/>
        </w:rPr>
        <w:t>in violation of section</w:t>
      </w:r>
      <w:r>
        <w:rPr>
          <w:szCs w:val="26"/>
        </w:rPr>
        <w:t> </w:t>
      </w:r>
      <w:r>
        <w:rPr>
          <w:szCs w:val="26"/>
        </w:rPr>
        <w:t xml:space="preserve">56.20(b) </w:t>
      </w:r>
      <w:r>
        <w:rPr>
          <w:szCs w:val="26"/>
        </w:rPr>
        <w:t>b</w:t>
      </w:r>
      <w:r>
        <w:rPr>
          <w:szCs w:val="26"/>
        </w:rPr>
        <w:t xml:space="preserve">y </w:t>
      </w:r>
      <w:r>
        <w:rPr>
          <w:szCs w:val="26"/>
        </w:rPr>
        <w:t>terminating his employment</w:t>
      </w:r>
      <w:r>
        <w:rPr>
          <w:szCs w:val="26"/>
        </w:rPr>
        <w:t xml:space="preserve"> </w:t>
      </w:r>
      <w:r>
        <w:rPr>
          <w:szCs w:val="26"/>
        </w:rPr>
        <w:t xml:space="preserve">when </w:t>
      </w:r>
      <w:r>
        <w:rPr>
          <w:szCs w:val="26"/>
        </w:rPr>
        <w:t>he refused</w:t>
      </w:r>
      <w:r>
        <w:rPr>
          <w:szCs w:val="26"/>
        </w:rPr>
        <w:t xml:space="preserve"> to </w:t>
      </w:r>
      <w:r>
        <w:rPr>
          <w:szCs w:val="26"/>
        </w:rPr>
        <w:t>take a</w:t>
      </w:r>
      <w:r>
        <w:rPr>
          <w:szCs w:val="26"/>
        </w:rPr>
        <w:t xml:space="preserve"> </w:t>
      </w:r>
      <w:r>
        <w:rPr>
          <w:szCs w:val="26"/>
        </w:rPr>
        <w:t>third</w:t>
      </w:r>
      <w:r>
        <w:rPr>
          <w:szCs w:val="26"/>
        </w:rPr>
        <w:t xml:space="preserve"> </w:t>
      </w:r>
      <w:r>
        <w:rPr>
          <w:szCs w:val="26"/>
        </w:rPr>
        <w:t xml:space="preserve">party administered </w:t>
      </w:r>
      <w:r>
        <w:rPr>
          <w:szCs w:val="26"/>
        </w:rPr>
        <w:t>COVID-19 test</w:t>
      </w:r>
      <w:r>
        <w:rPr>
          <w:szCs w:val="26"/>
        </w:rPr>
        <w:t xml:space="preserve"> and provide </w:t>
      </w:r>
      <w:r>
        <w:rPr>
          <w:szCs w:val="26"/>
        </w:rPr>
        <w:t xml:space="preserve">the </w:t>
      </w:r>
      <w:r>
        <w:rPr>
          <w:szCs w:val="26"/>
        </w:rPr>
        <w:t>results</w:t>
      </w:r>
      <w:r>
        <w:rPr>
          <w:szCs w:val="26"/>
        </w:rPr>
        <w:t xml:space="preserve"> to </w:t>
      </w:r>
      <w:r>
        <w:rPr>
          <w:szCs w:val="26"/>
        </w:rPr>
        <w:t>respondents</w:t>
      </w:r>
      <w:r>
        <w:rPr>
          <w:szCs w:val="26"/>
        </w:rPr>
        <w:t>.</w:t>
      </w:r>
      <w:r>
        <w:rPr>
          <w:szCs w:val="26"/>
        </w:rPr>
        <w:t xml:space="preserve"> </w:t>
      </w:r>
      <w:r>
        <w:rPr>
          <w:szCs w:val="26"/>
        </w:rPr>
        <w:t xml:space="preserve"> </w:t>
      </w:r>
    </w:p>
    <w:p w14:paraId="4206ACE3" w14:textId="77777777" w:rsidR="00C23344" w:rsidRDefault="00C23344" w:rsidP="009F0221">
      <w:pPr>
        <w:kinsoku w:val="0"/>
        <w:overflowPunct w:val="0"/>
        <w:autoSpaceDE w:val="0"/>
        <w:autoSpaceDN w:val="0"/>
        <w:adjustRightInd w:val="0"/>
        <w:ind w:left="39" w:right="103" w:firstLine="719"/>
        <w:rPr>
          <w:szCs w:val="26"/>
        </w:rPr>
      </w:pPr>
      <w:r>
        <w:rPr>
          <w:szCs w:val="26"/>
        </w:rPr>
        <w:t>S</w:t>
      </w:r>
      <w:r>
        <w:rPr>
          <w:szCs w:val="26"/>
        </w:rPr>
        <w:t>ection 56.20(b)</w:t>
      </w:r>
      <w:r>
        <w:rPr>
          <w:szCs w:val="26"/>
        </w:rPr>
        <w:t xml:space="preserve"> </w:t>
      </w:r>
      <w:r>
        <w:rPr>
          <w:szCs w:val="26"/>
        </w:rPr>
        <w:t>prohibits</w:t>
      </w:r>
      <w:r>
        <w:rPr>
          <w:szCs w:val="26"/>
        </w:rPr>
        <w:t xml:space="preserve"> an employer from discriminating against an employee for refusing to sign an authorization to release his medical </w:t>
      </w:r>
      <w:r>
        <w:rPr>
          <w:szCs w:val="26"/>
        </w:rPr>
        <w:t>information</w:t>
      </w:r>
      <w:r>
        <w:rPr>
          <w:szCs w:val="26"/>
        </w:rPr>
        <w:t>.</w:t>
      </w:r>
      <w:r>
        <w:rPr>
          <w:szCs w:val="26"/>
        </w:rPr>
        <w:t xml:space="preserve">  (</w:t>
      </w:r>
      <w:r>
        <w:rPr>
          <w:szCs w:val="26"/>
        </w:rPr>
        <w:t>§</w:t>
      </w:r>
      <w:r>
        <w:rPr>
          <w:szCs w:val="26"/>
        </w:rPr>
        <w:t> </w:t>
      </w:r>
      <w:r>
        <w:rPr>
          <w:szCs w:val="26"/>
        </w:rPr>
        <w:t xml:space="preserve">56.20(b), </w:t>
      </w:r>
      <w:r>
        <w:rPr>
          <w:szCs w:val="26"/>
        </w:rPr>
        <w:t xml:space="preserve">[“No employee shall be discriminated against in terms or conditions of employment due to that employee’s refusal to sign an authorization under this part.”].) </w:t>
      </w:r>
      <w:r>
        <w:rPr>
          <w:szCs w:val="26"/>
        </w:rPr>
        <w:t xml:space="preserve"> </w:t>
      </w:r>
      <w:r>
        <w:rPr>
          <w:szCs w:val="26"/>
        </w:rPr>
        <w:t>“An employer ‘discriminates’ against an employee in violation of section 56.20, subdivision (b), if it improperly retaliates against or penalizes an emp</w:t>
      </w:r>
      <w:r>
        <w:rPr>
          <w:szCs w:val="26"/>
        </w:rPr>
        <w:t>l</w:t>
      </w:r>
      <w:r>
        <w:rPr>
          <w:szCs w:val="26"/>
        </w:rPr>
        <w:t xml:space="preserve">oyee for refusing to authorize the employee’s </w:t>
      </w:r>
      <w:r w:rsidRPr="00C135A5">
        <w:rPr>
          <w:i/>
          <w:iCs/>
          <w:szCs w:val="26"/>
        </w:rPr>
        <w:t>hea</w:t>
      </w:r>
      <w:r w:rsidRPr="00C135A5">
        <w:rPr>
          <w:i/>
          <w:iCs/>
          <w:szCs w:val="26"/>
        </w:rPr>
        <w:t>lth care provider</w:t>
      </w:r>
      <w:r>
        <w:rPr>
          <w:szCs w:val="26"/>
        </w:rPr>
        <w:t xml:space="preserve"> to disclose confidential medical information </w:t>
      </w:r>
      <w:r w:rsidRPr="00C135A5">
        <w:rPr>
          <w:i/>
          <w:iCs/>
          <w:szCs w:val="26"/>
        </w:rPr>
        <w:t xml:space="preserve">to the employer or others </w:t>
      </w:r>
      <w:r>
        <w:rPr>
          <w:szCs w:val="26"/>
        </w:rPr>
        <w:t>(see Civ. Code, §</w:t>
      </w:r>
      <w:r>
        <w:rPr>
          <w:szCs w:val="26"/>
        </w:rPr>
        <w:t> </w:t>
      </w:r>
      <w:r>
        <w:rPr>
          <w:szCs w:val="26"/>
        </w:rPr>
        <w:t xml:space="preserve">56.11), or for refusing to authorize </w:t>
      </w:r>
      <w:r w:rsidRPr="00C135A5">
        <w:rPr>
          <w:i/>
          <w:iCs/>
          <w:szCs w:val="26"/>
        </w:rPr>
        <w:t>the employer</w:t>
      </w:r>
      <w:r>
        <w:rPr>
          <w:szCs w:val="26"/>
        </w:rPr>
        <w:t xml:space="preserve"> to </w:t>
      </w:r>
      <w:r>
        <w:rPr>
          <w:szCs w:val="26"/>
        </w:rPr>
        <w:lastRenderedPageBreak/>
        <w:t xml:space="preserve">disclose confidential medical information relating to the employee </w:t>
      </w:r>
      <w:r w:rsidRPr="00C135A5">
        <w:rPr>
          <w:i/>
          <w:iCs/>
          <w:szCs w:val="26"/>
        </w:rPr>
        <w:t>to a third party</w:t>
      </w:r>
      <w:r>
        <w:rPr>
          <w:szCs w:val="26"/>
        </w:rPr>
        <w:t xml:space="preserve"> (see Civ. Code,</w:t>
      </w:r>
      <w:r w:rsidRPr="00081B89">
        <w:rPr>
          <w:szCs w:val="26"/>
        </w:rPr>
        <w:t xml:space="preserve"> </w:t>
      </w:r>
      <w:r>
        <w:rPr>
          <w:szCs w:val="26"/>
        </w:rPr>
        <w:t>§</w:t>
      </w:r>
      <w:r>
        <w:rPr>
          <w:szCs w:val="26"/>
        </w:rPr>
        <w:t> </w:t>
      </w:r>
      <w:r>
        <w:rPr>
          <w:szCs w:val="26"/>
        </w:rPr>
        <w:t>56.21).</w:t>
      </w:r>
      <w:r>
        <w:rPr>
          <w:szCs w:val="26"/>
        </w:rPr>
        <w:t>”</w:t>
      </w:r>
      <w:r>
        <w:rPr>
          <w:szCs w:val="26"/>
        </w:rPr>
        <w:t xml:space="preserve">  (</w:t>
      </w:r>
      <w:r w:rsidRPr="00C135A5">
        <w:rPr>
          <w:i/>
          <w:iCs/>
          <w:szCs w:val="26"/>
        </w:rPr>
        <w:t>Loder</w:t>
      </w:r>
      <w:r w:rsidRPr="008B11A9">
        <w:rPr>
          <w:i/>
          <w:iCs/>
          <w:szCs w:val="26"/>
        </w:rPr>
        <w:t>,</w:t>
      </w:r>
      <w:r>
        <w:rPr>
          <w:szCs w:val="26"/>
        </w:rPr>
        <w:t xml:space="preserve"> </w:t>
      </w:r>
      <w:r w:rsidRPr="00C135A5">
        <w:rPr>
          <w:i/>
          <w:iCs/>
          <w:szCs w:val="26"/>
        </w:rPr>
        <w:t>supra</w:t>
      </w:r>
      <w:r>
        <w:rPr>
          <w:szCs w:val="26"/>
        </w:rPr>
        <w:t>, 14 Cal.4th at p.</w:t>
      </w:r>
      <w:r>
        <w:rPr>
          <w:szCs w:val="26"/>
        </w:rPr>
        <w:t> </w:t>
      </w:r>
      <w:r>
        <w:rPr>
          <w:szCs w:val="26"/>
        </w:rPr>
        <w:t>861</w:t>
      </w:r>
      <w:r>
        <w:rPr>
          <w:szCs w:val="26"/>
        </w:rPr>
        <w:t>.</w:t>
      </w:r>
      <w:r>
        <w:rPr>
          <w:szCs w:val="26"/>
        </w:rPr>
        <w:t>)</w:t>
      </w:r>
      <w:r>
        <w:rPr>
          <w:szCs w:val="26"/>
        </w:rPr>
        <w:t xml:space="preserve">   </w:t>
      </w:r>
    </w:p>
    <w:p w14:paraId="15236B17" w14:textId="77777777" w:rsidR="00C23344" w:rsidRDefault="00C23344" w:rsidP="00B324EE">
      <w:pPr>
        <w:kinsoku w:val="0"/>
        <w:overflowPunct w:val="0"/>
        <w:autoSpaceDE w:val="0"/>
        <w:autoSpaceDN w:val="0"/>
        <w:adjustRightInd w:val="0"/>
        <w:ind w:left="39" w:right="103" w:firstLine="719"/>
        <w:rPr>
          <w:szCs w:val="26"/>
        </w:rPr>
      </w:pPr>
      <w:r>
        <w:rPr>
          <w:szCs w:val="26"/>
        </w:rPr>
        <w:t>The first two elements of a prima facie section 56.20(b) claim are “that defendants asked [plaintiff] to sign an ‘authorization’ (</w:t>
      </w:r>
      <w:bookmarkStart w:id="1" w:name="_Hlk165473476"/>
      <w:r>
        <w:rPr>
          <w:szCs w:val="26"/>
        </w:rPr>
        <w:t>§§</w:t>
      </w:r>
      <w:bookmarkEnd w:id="1"/>
      <w:r>
        <w:rPr>
          <w:szCs w:val="26"/>
        </w:rPr>
        <w:t> </w:t>
      </w:r>
      <w:r>
        <w:rPr>
          <w:szCs w:val="26"/>
        </w:rPr>
        <w:t xml:space="preserve">56.05, subd. (a), 56.11) and </w:t>
      </w:r>
      <w:r>
        <w:rPr>
          <w:szCs w:val="26"/>
        </w:rPr>
        <w:t>[plaintiff]</w:t>
      </w:r>
      <w:r>
        <w:rPr>
          <w:szCs w:val="26"/>
        </w:rPr>
        <w:t xml:space="preserve"> refused to do so.  (See CACI No. 3071.)”  (</w:t>
      </w:r>
      <w:r w:rsidRPr="00B324EE">
        <w:rPr>
          <w:i/>
          <w:iCs/>
          <w:szCs w:val="26"/>
        </w:rPr>
        <w:t>Rossi</w:t>
      </w:r>
      <w:r>
        <w:rPr>
          <w:szCs w:val="26"/>
        </w:rPr>
        <w:t xml:space="preserve">, </w:t>
      </w:r>
      <w:r w:rsidRPr="00B324EE">
        <w:rPr>
          <w:i/>
          <w:iCs/>
          <w:szCs w:val="26"/>
        </w:rPr>
        <w:t>supra</w:t>
      </w:r>
      <w:r>
        <w:rPr>
          <w:szCs w:val="26"/>
        </w:rPr>
        <w:t>, 94 Cal.App.5th at p.</w:t>
      </w:r>
      <w:r>
        <w:rPr>
          <w:szCs w:val="26"/>
        </w:rPr>
        <w:t> </w:t>
      </w:r>
      <w:r>
        <w:rPr>
          <w:szCs w:val="26"/>
        </w:rPr>
        <w:t>989.)</w:t>
      </w:r>
      <w:r>
        <w:rPr>
          <w:szCs w:val="26"/>
        </w:rPr>
        <w:t xml:space="preserve">  </w:t>
      </w:r>
      <w:r>
        <w:rPr>
          <w:szCs w:val="26"/>
        </w:rPr>
        <w:t xml:space="preserve">An </w:t>
      </w:r>
      <w:r>
        <w:rPr>
          <w:szCs w:val="26"/>
        </w:rPr>
        <w:t>“</w:t>
      </w:r>
      <w:r>
        <w:rPr>
          <w:szCs w:val="26"/>
        </w:rPr>
        <w:t>a</w:t>
      </w:r>
      <w:r>
        <w:rPr>
          <w:szCs w:val="26"/>
        </w:rPr>
        <w:t>uthorization” is d</w:t>
      </w:r>
      <w:r>
        <w:rPr>
          <w:szCs w:val="26"/>
        </w:rPr>
        <w:t>e</w:t>
      </w:r>
      <w:r>
        <w:rPr>
          <w:szCs w:val="26"/>
        </w:rPr>
        <w:t xml:space="preserve">fined </w:t>
      </w:r>
      <w:r>
        <w:rPr>
          <w:szCs w:val="26"/>
        </w:rPr>
        <w:t>in the CMIA</w:t>
      </w:r>
      <w:r>
        <w:rPr>
          <w:szCs w:val="26"/>
        </w:rPr>
        <w:t xml:space="preserve"> as a written document th</w:t>
      </w:r>
      <w:r>
        <w:rPr>
          <w:szCs w:val="26"/>
        </w:rPr>
        <w:t>at</w:t>
      </w:r>
      <w:r>
        <w:rPr>
          <w:szCs w:val="26"/>
        </w:rPr>
        <w:t xml:space="preserve"> allows a health care provider or employer to disclose </w:t>
      </w:r>
      <w:r>
        <w:rPr>
          <w:szCs w:val="26"/>
        </w:rPr>
        <w:t>an individual’s medical information to others.</w:t>
      </w:r>
      <w:r>
        <w:rPr>
          <w:szCs w:val="26"/>
        </w:rPr>
        <w:t xml:space="preserve"> </w:t>
      </w:r>
      <w:r>
        <w:rPr>
          <w:szCs w:val="26"/>
        </w:rPr>
        <w:t xml:space="preserve"> (</w:t>
      </w:r>
      <w:r>
        <w:rPr>
          <w:szCs w:val="26"/>
        </w:rPr>
        <w:t>§</w:t>
      </w:r>
      <w:r>
        <w:rPr>
          <w:szCs w:val="26"/>
        </w:rPr>
        <w:t> </w:t>
      </w:r>
      <w:r>
        <w:rPr>
          <w:szCs w:val="26"/>
        </w:rPr>
        <w:t xml:space="preserve">56.05, subd. (a) </w:t>
      </w:r>
      <w:r>
        <w:rPr>
          <w:szCs w:val="26"/>
        </w:rPr>
        <w:t>[</w:t>
      </w:r>
      <w:r>
        <w:rPr>
          <w:szCs w:val="26"/>
        </w:rPr>
        <w:t>“permission granted in accordance</w:t>
      </w:r>
      <w:r>
        <w:rPr>
          <w:szCs w:val="26"/>
        </w:rPr>
        <w:t xml:space="preserve"> </w:t>
      </w:r>
      <w:r>
        <w:rPr>
          <w:szCs w:val="26"/>
        </w:rPr>
        <w:t>with Section 56.11 or 56.21 for the disclosure of medical information.”</w:t>
      </w:r>
      <w:r>
        <w:rPr>
          <w:szCs w:val="26"/>
        </w:rPr>
        <w:t>]</w:t>
      </w:r>
      <w:r>
        <w:rPr>
          <w:szCs w:val="26"/>
        </w:rPr>
        <w:t>.)  Sections 56.11 and 56.21 detail what must be included in an “authorization” under the CMIA, including typeface size, languag</w:t>
      </w:r>
      <w:r>
        <w:rPr>
          <w:szCs w:val="26"/>
        </w:rPr>
        <w:t>e</w:t>
      </w:r>
      <w:r>
        <w:rPr>
          <w:szCs w:val="26"/>
        </w:rPr>
        <w:t xml:space="preserve"> clearly</w:t>
      </w:r>
      <w:r>
        <w:rPr>
          <w:szCs w:val="26"/>
        </w:rPr>
        <w:t xml:space="preserve"> separate</w:t>
      </w:r>
      <w:r>
        <w:rPr>
          <w:szCs w:val="26"/>
        </w:rPr>
        <w:t>d</w:t>
      </w:r>
      <w:r>
        <w:rPr>
          <w:szCs w:val="26"/>
        </w:rPr>
        <w:t xml:space="preserve"> from any other </w:t>
      </w:r>
      <w:r>
        <w:rPr>
          <w:szCs w:val="26"/>
        </w:rPr>
        <w:t xml:space="preserve">print </w:t>
      </w:r>
      <w:r>
        <w:rPr>
          <w:szCs w:val="26"/>
        </w:rPr>
        <w:t>on the page, the signature of the patient and date of signature, the name of the employer authorized to disclose the medical information, limitations on the use of the medical information by the person authorized to receive the medical information, the date the document ceases to authorize an employer to release information, and the right of the patient to receive a copy of the authorization.  (§§</w:t>
      </w:r>
      <w:r>
        <w:rPr>
          <w:szCs w:val="26"/>
        </w:rPr>
        <w:t> </w:t>
      </w:r>
      <w:r>
        <w:rPr>
          <w:szCs w:val="26"/>
        </w:rPr>
        <w:t>56.11, 56.21</w:t>
      </w:r>
      <w:r>
        <w:rPr>
          <w:szCs w:val="26"/>
        </w:rPr>
        <w:t>.)</w:t>
      </w:r>
      <w:r>
        <w:rPr>
          <w:szCs w:val="26"/>
        </w:rPr>
        <w:t xml:space="preserve">    </w:t>
      </w:r>
    </w:p>
    <w:p w14:paraId="0AD0170B" w14:textId="77777777" w:rsidR="00C23344" w:rsidRDefault="00C23344" w:rsidP="006C5A83">
      <w:pPr>
        <w:kinsoku w:val="0"/>
        <w:overflowPunct w:val="0"/>
        <w:autoSpaceDE w:val="0"/>
        <w:autoSpaceDN w:val="0"/>
        <w:adjustRightInd w:val="0"/>
        <w:ind w:left="39" w:right="103" w:firstLine="719"/>
        <w:rPr>
          <w:szCs w:val="26"/>
        </w:rPr>
      </w:pPr>
      <w:proofErr w:type="spellStart"/>
      <w:r w:rsidRPr="0090058A">
        <w:rPr>
          <w:szCs w:val="26"/>
        </w:rPr>
        <w:t>Frayo</w:t>
      </w:r>
      <w:proofErr w:type="spellEnd"/>
      <w:r w:rsidRPr="0090058A">
        <w:rPr>
          <w:szCs w:val="26"/>
        </w:rPr>
        <w:t xml:space="preserve"> concedes </w:t>
      </w:r>
      <w:r>
        <w:rPr>
          <w:szCs w:val="26"/>
        </w:rPr>
        <w:t>respondents</w:t>
      </w:r>
      <w:r w:rsidRPr="0090058A">
        <w:rPr>
          <w:szCs w:val="26"/>
        </w:rPr>
        <w:t xml:space="preserve"> never</w:t>
      </w:r>
      <w:r w:rsidRPr="0090058A">
        <w:rPr>
          <w:szCs w:val="26"/>
        </w:rPr>
        <w:t xml:space="preserve"> </w:t>
      </w:r>
      <w:r>
        <w:rPr>
          <w:szCs w:val="26"/>
        </w:rPr>
        <w:t xml:space="preserve">requested that </w:t>
      </w:r>
      <w:r>
        <w:rPr>
          <w:szCs w:val="26"/>
        </w:rPr>
        <w:t>he</w:t>
      </w:r>
      <w:r w:rsidRPr="0090058A">
        <w:rPr>
          <w:szCs w:val="26"/>
        </w:rPr>
        <w:t xml:space="preserve"> sign a</w:t>
      </w:r>
      <w:r>
        <w:rPr>
          <w:szCs w:val="26"/>
        </w:rPr>
        <w:t xml:space="preserve"> CMIA defined</w:t>
      </w:r>
      <w:r>
        <w:rPr>
          <w:szCs w:val="26"/>
        </w:rPr>
        <w:t xml:space="preserve"> </w:t>
      </w:r>
      <w:r w:rsidRPr="0090058A">
        <w:rPr>
          <w:szCs w:val="26"/>
        </w:rPr>
        <w:t>authorization</w:t>
      </w:r>
      <w:r>
        <w:rPr>
          <w:szCs w:val="26"/>
        </w:rPr>
        <w:t xml:space="preserve"> to release his medical information</w:t>
      </w:r>
      <w:r w:rsidRPr="0090058A">
        <w:rPr>
          <w:szCs w:val="26"/>
        </w:rPr>
        <w:t xml:space="preserve"> and he </w:t>
      </w:r>
      <w:r w:rsidRPr="0090058A">
        <w:rPr>
          <w:szCs w:val="26"/>
        </w:rPr>
        <w:t>never</w:t>
      </w:r>
      <w:r w:rsidRPr="0090058A">
        <w:rPr>
          <w:szCs w:val="26"/>
        </w:rPr>
        <w:t xml:space="preserve"> refused to sign </w:t>
      </w:r>
      <w:r>
        <w:rPr>
          <w:szCs w:val="26"/>
        </w:rPr>
        <w:t>such</w:t>
      </w:r>
      <w:r w:rsidRPr="0090058A">
        <w:rPr>
          <w:szCs w:val="26"/>
        </w:rPr>
        <w:t xml:space="preserve"> </w:t>
      </w:r>
      <w:r>
        <w:rPr>
          <w:szCs w:val="26"/>
        </w:rPr>
        <w:t xml:space="preserve">an </w:t>
      </w:r>
      <w:r w:rsidRPr="0090058A">
        <w:rPr>
          <w:szCs w:val="26"/>
        </w:rPr>
        <w:t xml:space="preserve">authorization. </w:t>
      </w:r>
      <w:r w:rsidRPr="0090058A">
        <w:rPr>
          <w:szCs w:val="26"/>
        </w:rPr>
        <w:t xml:space="preserve"> </w:t>
      </w:r>
      <w:r>
        <w:rPr>
          <w:szCs w:val="26"/>
        </w:rPr>
        <w:t xml:space="preserve">He argues instead that </w:t>
      </w:r>
      <w:r>
        <w:rPr>
          <w:szCs w:val="26"/>
        </w:rPr>
        <w:t>his</w:t>
      </w:r>
      <w:r w:rsidRPr="0090058A">
        <w:rPr>
          <w:szCs w:val="26"/>
        </w:rPr>
        <w:t xml:space="preserve"> refusal to t</w:t>
      </w:r>
      <w:r>
        <w:rPr>
          <w:szCs w:val="26"/>
        </w:rPr>
        <w:t>ake a</w:t>
      </w:r>
      <w:r w:rsidRPr="0090058A">
        <w:rPr>
          <w:szCs w:val="26"/>
        </w:rPr>
        <w:t xml:space="preserve"> COVID-19 test</w:t>
      </w:r>
      <w:r>
        <w:rPr>
          <w:szCs w:val="26"/>
        </w:rPr>
        <w:t xml:space="preserve"> is </w:t>
      </w:r>
      <w:r>
        <w:rPr>
          <w:szCs w:val="26"/>
        </w:rPr>
        <w:t>equivalent</w:t>
      </w:r>
      <w:r>
        <w:rPr>
          <w:szCs w:val="26"/>
        </w:rPr>
        <w:t xml:space="preserve"> to</w:t>
      </w:r>
      <w:r w:rsidRPr="0090058A">
        <w:rPr>
          <w:szCs w:val="26"/>
        </w:rPr>
        <w:t xml:space="preserve"> </w:t>
      </w:r>
      <w:r>
        <w:rPr>
          <w:szCs w:val="26"/>
        </w:rPr>
        <w:t>a</w:t>
      </w:r>
      <w:r>
        <w:rPr>
          <w:szCs w:val="26"/>
        </w:rPr>
        <w:t xml:space="preserve"> refusal</w:t>
      </w:r>
      <w:r w:rsidRPr="0090058A">
        <w:rPr>
          <w:szCs w:val="26"/>
        </w:rPr>
        <w:t xml:space="preserve"> to sign an authorization under </w:t>
      </w:r>
      <w:r>
        <w:rPr>
          <w:szCs w:val="26"/>
        </w:rPr>
        <w:t xml:space="preserve">the </w:t>
      </w:r>
      <w:r w:rsidRPr="0090058A">
        <w:rPr>
          <w:szCs w:val="26"/>
        </w:rPr>
        <w:t>CMIA.</w:t>
      </w:r>
      <w:r>
        <w:rPr>
          <w:szCs w:val="26"/>
        </w:rPr>
        <w:t xml:space="preserve"> </w:t>
      </w:r>
      <w:r>
        <w:rPr>
          <w:szCs w:val="26"/>
        </w:rPr>
        <w:t xml:space="preserve"> Respondents argue that under the plain language of section 56.20(b), as the employer did not request </w:t>
      </w:r>
      <w:proofErr w:type="spellStart"/>
      <w:r>
        <w:rPr>
          <w:szCs w:val="26"/>
        </w:rPr>
        <w:t>Frayo</w:t>
      </w:r>
      <w:proofErr w:type="spellEnd"/>
      <w:r>
        <w:rPr>
          <w:szCs w:val="26"/>
        </w:rPr>
        <w:t xml:space="preserve"> </w:t>
      </w:r>
      <w:r>
        <w:rPr>
          <w:szCs w:val="26"/>
        </w:rPr>
        <w:t xml:space="preserve">to </w:t>
      </w:r>
      <w:r>
        <w:rPr>
          <w:szCs w:val="26"/>
        </w:rPr>
        <w:t xml:space="preserve">sign an authorization </w:t>
      </w:r>
      <w:r>
        <w:rPr>
          <w:szCs w:val="26"/>
        </w:rPr>
        <w:t xml:space="preserve">as defined in </w:t>
      </w:r>
      <w:r>
        <w:rPr>
          <w:szCs w:val="26"/>
        </w:rPr>
        <w:t xml:space="preserve">the CMIA, </w:t>
      </w:r>
      <w:r>
        <w:rPr>
          <w:szCs w:val="26"/>
        </w:rPr>
        <w:t xml:space="preserve">and </w:t>
      </w:r>
      <w:r>
        <w:rPr>
          <w:szCs w:val="26"/>
        </w:rPr>
        <w:t xml:space="preserve">he did not refuse to sign such authorization, </w:t>
      </w:r>
      <w:proofErr w:type="spellStart"/>
      <w:r>
        <w:rPr>
          <w:szCs w:val="26"/>
        </w:rPr>
        <w:t>Frayo</w:t>
      </w:r>
      <w:proofErr w:type="spellEnd"/>
      <w:r>
        <w:rPr>
          <w:szCs w:val="26"/>
        </w:rPr>
        <w:t xml:space="preserve"> cannot state a claim under section 56.20(b).</w:t>
      </w:r>
    </w:p>
    <w:p w14:paraId="6C10B19F" w14:textId="77777777" w:rsidR="00C23344" w:rsidRDefault="00C23344" w:rsidP="00A53DA7">
      <w:pPr>
        <w:kinsoku w:val="0"/>
        <w:overflowPunct w:val="0"/>
        <w:autoSpaceDE w:val="0"/>
        <w:autoSpaceDN w:val="0"/>
        <w:adjustRightInd w:val="0"/>
        <w:spacing w:line="480" w:lineRule="exact"/>
        <w:ind w:right="101"/>
        <w:rPr>
          <w:szCs w:val="26"/>
        </w:rPr>
      </w:pPr>
      <w:r>
        <w:rPr>
          <w:szCs w:val="26"/>
        </w:rPr>
        <w:tab/>
      </w:r>
      <w:r>
        <w:rPr>
          <w:szCs w:val="26"/>
        </w:rPr>
        <w:t xml:space="preserve">We find </w:t>
      </w:r>
      <w:r w:rsidRPr="00712C89">
        <w:rPr>
          <w:i/>
          <w:iCs/>
          <w:szCs w:val="26"/>
        </w:rPr>
        <w:t xml:space="preserve">Rossi </w:t>
      </w:r>
      <w:r>
        <w:rPr>
          <w:szCs w:val="26"/>
        </w:rPr>
        <w:t>instructive here.  Plaintiff, who was a school worker, was terminated for refusing to disclose her COVID-19 vaccination status or undergo weekly COVID-19 testing.</w:t>
      </w:r>
      <w:r>
        <w:rPr>
          <w:szCs w:val="26"/>
        </w:rPr>
        <w:t xml:space="preserve"> </w:t>
      </w:r>
      <w:r>
        <w:rPr>
          <w:szCs w:val="26"/>
        </w:rPr>
        <w:t xml:space="preserve"> </w:t>
      </w:r>
      <w:r>
        <w:rPr>
          <w:szCs w:val="26"/>
        </w:rPr>
        <w:t>(</w:t>
      </w:r>
      <w:r w:rsidRPr="00712C89">
        <w:rPr>
          <w:i/>
          <w:iCs/>
          <w:szCs w:val="26"/>
        </w:rPr>
        <w:t>Rossi</w:t>
      </w:r>
      <w:r>
        <w:rPr>
          <w:szCs w:val="26"/>
        </w:rPr>
        <w:t xml:space="preserve">, </w:t>
      </w:r>
      <w:r w:rsidRPr="00712C89">
        <w:rPr>
          <w:i/>
          <w:iCs/>
          <w:szCs w:val="26"/>
        </w:rPr>
        <w:t>supra</w:t>
      </w:r>
      <w:r>
        <w:rPr>
          <w:szCs w:val="26"/>
        </w:rPr>
        <w:t>, 94 Cal.App.5th at pp. 979</w:t>
      </w:r>
      <w:r>
        <w:rPr>
          <w:szCs w:val="26"/>
        </w:rPr>
        <w:t>-</w:t>
      </w:r>
      <w:r>
        <w:rPr>
          <w:szCs w:val="26"/>
        </w:rPr>
        <w:t>982.)</w:t>
      </w:r>
      <w:r>
        <w:rPr>
          <w:szCs w:val="26"/>
        </w:rPr>
        <w:t xml:space="preserve"> </w:t>
      </w:r>
      <w:r>
        <w:rPr>
          <w:szCs w:val="26"/>
        </w:rPr>
        <w:t xml:space="preserve"> </w:t>
      </w:r>
      <w:r>
        <w:rPr>
          <w:szCs w:val="26"/>
        </w:rPr>
        <w:t>She</w:t>
      </w:r>
      <w:r>
        <w:rPr>
          <w:szCs w:val="26"/>
        </w:rPr>
        <w:t xml:space="preserve"> sued</w:t>
      </w:r>
      <w:r>
        <w:rPr>
          <w:szCs w:val="26"/>
        </w:rPr>
        <w:t xml:space="preserve"> the school district, </w:t>
      </w:r>
      <w:r>
        <w:rPr>
          <w:szCs w:val="26"/>
        </w:rPr>
        <w:t>school,</w:t>
      </w:r>
      <w:r>
        <w:rPr>
          <w:szCs w:val="26"/>
        </w:rPr>
        <w:t xml:space="preserve"> and other individuals</w:t>
      </w:r>
      <w:r>
        <w:rPr>
          <w:szCs w:val="26"/>
        </w:rPr>
        <w:t xml:space="preserve"> under the CMIA, alleging violations of section</w:t>
      </w:r>
      <w:r>
        <w:rPr>
          <w:szCs w:val="26"/>
        </w:rPr>
        <w:t>s</w:t>
      </w:r>
      <w:r>
        <w:rPr>
          <w:szCs w:val="26"/>
        </w:rPr>
        <w:t xml:space="preserve"> </w:t>
      </w:r>
      <w:r>
        <w:rPr>
          <w:szCs w:val="26"/>
        </w:rPr>
        <w:lastRenderedPageBreak/>
        <w:t>56.20 (b) and (c).</w:t>
      </w:r>
      <w:r>
        <w:rPr>
          <w:szCs w:val="26"/>
        </w:rPr>
        <w:t xml:space="preserve"> </w:t>
      </w:r>
      <w:r>
        <w:rPr>
          <w:szCs w:val="26"/>
        </w:rPr>
        <w:t xml:space="preserve"> </w:t>
      </w:r>
      <w:r>
        <w:rPr>
          <w:szCs w:val="26"/>
        </w:rPr>
        <w:t>(</w:t>
      </w:r>
      <w:r>
        <w:rPr>
          <w:i/>
          <w:iCs/>
          <w:szCs w:val="26"/>
        </w:rPr>
        <w:t>Id.</w:t>
      </w:r>
      <w:r>
        <w:rPr>
          <w:szCs w:val="26"/>
        </w:rPr>
        <w:t xml:space="preserve"> at </w:t>
      </w:r>
      <w:r>
        <w:rPr>
          <w:szCs w:val="26"/>
        </w:rPr>
        <w:t>p</w:t>
      </w:r>
      <w:r>
        <w:rPr>
          <w:szCs w:val="26"/>
        </w:rPr>
        <w:t>p.</w:t>
      </w:r>
      <w:r>
        <w:rPr>
          <w:szCs w:val="26"/>
        </w:rPr>
        <w:t> </w:t>
      </w:r>
      <w:r>
        <w:rPr>
          <w:szCs w:val="26"/>
        </w:rPr>
        <w:t xml:space="preserve">979, </w:t>
      </w:r>
      <w:r>
        <w:rPr>
          <w:szCs w:val="26"/>
        </w:rPr>
        <w:t xml:space="preserve">982.)  </w:t>
      </w:r>
      <w:r>
        <w:rPr>
          <w:szCs w:val="26"/>
        </w:rPr>
        <w:t xml:space="preserve">The trial court sustained </w:t>
      </w:r>
      <w:r>
        <w:rPr>
          <w:szCs w:val="26"/>
        </w:rPr>
        <w:t>defendants’</w:t>
      </w:r>
      <w:r>
        <w:rPr>
          <w:szCs w:val="26"/>
        </w:rPr>
        <w:t xml:space="preserve"> demurrer without leave to amend</w:t>
      </w:r>
      <w:r>
        <w:rPr>
          <w:szCs w:val="26"/>
        </w:rPr>
        <w:t xml:space="preserve">, and </w:t>
      </w:r>
      <w:r>
        <w:rPr>
          <w:szCs w:val="26"/>
        </w:rPr>
        <w:t>plaintiff appealed</w:t>
      </w:r>
      <w:r>
        <w:rPr>
          <w:szCs w:val="26"/>
        </w:rPr>
        <w:t xml:space="preserve">.  </w:t>
      </w:r>
      <w:r>
        <w:rPr>
          <w:szCs w:val="26"/>
        </w:rPr>
        <w:t>(</w:t>
      </w:r>
      <w:r>
        <w:rPr>
          <w:i/>
          <w:iCs/>
          <w:szCs w:val="26"/>
        </w:rPr>
        <w:t>Id.</w:t>
      </w:r>
      <w:r>
        <w:rPr>
          <w:szCs w:val="26"/>
        </w:rPr>
        <w:t xml:space="preserve"> at p.</w:t>
      </w:r>
      <w:r>
        <w:rPr>
          <w:szCs w:val="26"/>
        </w:rPr>
        <w:t> </w:t>
      </w:r>
      <w:r>
        <w:rPr>
          <w:szCs w:val="26"/>
        </w:rPr>
        <w:t xml:space="preserve">984.)  </w:t>
      </w:r>
      <w:r>
        <w:rPr>
          <w:szCs w:val="26"/>
        </w:rPr>
        <w:t>While t</w:t>
      </w:r>
      <w:r>
        <w:rPr>
          <w:szCs w:val="26"/>
        </w:rPr>
        <w:t xml:space="preserve">he appellate court ultimately </w:t>
      </w:r>
      <w:r>
        <w:rPr>
          <w:szCs w:val="26"/>
        </w:rPr>
        <w:t>affirmed the trial court based</w:t>
      </w:r>
      <w:r>
        <w:rPr>
          <w:szCs w:val="26"/>
        </w:rPr>
        <w:t xml:space="preserve"> on the necessity exception in section 56.20(b), </w:t>
      </w:r>
      <w:r>
        <w:rPr>
          <w:szCs w:val="26"/>
        </w:rPr>
        <w:t>it expressed “some doubt as to whether plaintiff adequately pleaded the first two elements of a prima facie section 56.20(b) claim: that d</w:t>
      </w:r>
      <w:r>
        <w:rPr>
          <w:szCs w:val="26"/>
        </w:rPr>
        <w:t xml:space="preserve">efendants asked her to sign an </w:t>
      </w:r>
      <w:r>
        <w:rPr>
          <w:szCs w:val="26"/>
        </w:rPr>
        <w:t>‘</w:t>
      </w:r>
      <w:r>
        <w:rPr>
          <w:szCs w:val="26"/>
        </w:rPr>
        <w:t>authorization</w:t>
      </w:r>
      <w:r>
        <w:rPr>
          <w:szCs w:val="26"/>
        </w:rPr>
        <w:t>’</w:t>
      </w:r>
      <w:r>
        <w:rPr>
          <w:szCs w:val="26"/>
        </w:rPr>
        <w:t xml:space="preserve"> [citations] and she refused to do so</w:t>
      </w:r>
      <w:proofErr w:type="gramStart"/>
      <w:r>
        <w:rPr>
          <w:szCs w:val="26"/>
        </w:rPr>
        <w:t>. ”</w:t>
      </w:r>
      <w:proofErr w:type="gramEnd"/>
      <w:r>
        <w:rPr>
          <w:szCs w:val="26"/>
        </w:rPr>
        <w:t xml:space="preserve">  (</w:t>
      </w:r>
      <w:r>
        <w:rPr>
          <w:i/>
          <w:iCs/>
          <w:szCs w:val="26"/>
        </w:rPr>
        <w:t>Rossi</w:t>
      </w:r>
      <w:r>
        <w:rPr>
          <w:szCs w:val="26"/>
        </w:rPr>
        <w:t>,</w:t>
      </w:r>
      <w:r>
        <w:rPr>
          <w:szCs w:val="26"/>
        </w:rPr>
        <w:t xml:space="preserve"> at</w:t>
      </w:r>
      <w:r>
        <w:rPr>
          <w:szCs w:val="26"/>
        </w:rPr>
        <w:t xml:space="preserve"> p.</w:t>
      </w:r>
      <w:r>
        <w:rPr>
          <w:szCs w:val="26"/>
        </w:rPr>
        <w:t> </w:t>
      </w:r>
      <w:r>
        <w:rPr>
          <w:szCs w:val="26"/>
        </w:rPr>
        <w:t>989</w:t>
      </w:r>
      <w:r>
        <w:rPr>
          <w:szCs w:val="26"/>
        </w:rPr>
        <w:t>.)  Noting that the trial court conclude</w:t>
      </w:r>
      <w:r>
        <w:rPr>
          <w:szCs w:val="26"/>
        </w:rPr>
        <w:t>d</w:t>
      </w:r>
      <w:r>
        <w:rPr>
          <w:szCs w:val="26"/>
        </w:rPr>
        <w:t xml:space="preserve"> a refusal to take a test or to release medical information are </w:t>
      </w:r>
      <w:proofErr w:type="gramStart"/>
      <w:r>
        <w:rPr>
          <w:szCs w:val="26"/>
        </w:rPr>
        <w:t>“</w:t>
      </w:r>
      <w:r>
        <w:rPr>
          <w:szCs w:val="26"/>
        </w:rPr>
        <w:t> ‘</w:t>
      </w:r>
      <w:proofErr w:type="gramEnd"/>
      <w:r>
        <w:rPr>
          <w:szCs w:val="26"/>
        </w:rPr>
        <w:t>akin to refusing to sign an authorization,</w:t>
      </w:r>
      <w:r>
        <w:rPr>
          <w:szCs w:val="26"/>
        </w:rPr>
        <w:t>’ </w:t>
      </w:r>
      <w:r>
        <w:rPr>
          <w:szCs w:val="26"/>
        </w:rPr>
        <w:t xml:space="preserve">” the </w:t>
      </w:r>
      <w:r w:rsidRPr="00712C89">
        <w:rPr>
          <w:i/>
          <w:iCs/>
          <w:szCs w:val="26"/>
        </w:rPr>
        <w:t>Rossi</w:t>
      </w:r>
      <w:r>
        <w:rPr>
          <w:szCs w:val="26"/>
        </w:rPr>
        <w:t xml:space="preserve"> court </w:t>
      </w:r>
      <w:r>
        <w:rPr>
          <w:szCs w:val="26"/>
        </w:rPr>
        <w:t>disagreed</w:t>
      </w:r>
      <w:r>
        <w:rPr>
          <w:szCs w:val="26"/>
        </w:rPr>
        <w:t xml:space="preserve">.  </w:t>
      </w:r>
      <w:r>
        <w:rPr>
          <w:szCs w:val="26"/>
        </w:rPr>
        <w:t>(</w:t>
      </w:r>
      <w:r>
        <w:rPr>
          <w:i/>
          <w:iCs/>
          <w:szCs w:val="26"/>
        </w:rPr>
        <w:t>Id.</w:t>
      </w:r>
      <w:r>
        <w:rPr>
          <w:szCs w:val="26"/>
        </w:rPr>
        <w:t xml:space="preserve"> at pp. 989-990.)  </w:t>
      </w:r>
      <w:r>
        <w:rPr>
          <w:szCs w:val="26"/>
        </w:rPr>
        <w:t xml:space="preserve">“We do not wish to imply that a literal authorization form is always required to state a section 56.20(b) claim; what is important is that there be allegations that the employer was actually seeking the plaintiff’s permission to obtain her medical information </w:t>
      </w:r>
      <w:r w:rsidRPr="00712C89">
        <w:rPr>
          <w:i/>
          <w:iCs/>
          <w:szCs w:val="26"/>
        </w:rPr>
        <w:t>from a healthcare provider</w:t>
      </w:r>
      <w:r>
        <w:rPr>
          <w:szCs w:val="26"/>
        </w:rPr>
        <w:t>.</w:t>
      </w:r>
      <w:r>
        <w:rPr>
          <w:szCs w:val="26"/>
        </w:rPr>
        <w:t>”  (</w:t>
      </w:r>
      <w:r>
        <w:rPr>
          <w:i/>
          <w:iCs/>
          <w:szCs w:val="26"/>
        </w:rPr>
        <w:t>Rossi</w:t>
      </w:r>
      <w:r>
        <w:rPr>
          <w:szCs w:val="26"/>
        </w:rPr>
        <w:t>,</w:t>
      </w:r>
      <w:r>
        <w:rPr>
          <w:szCs w:val="26"/>
        </w:rPr>
        <w:t xml:space="preserve"> </w:t>
      </w:r>
      <w:r w:rsidRPr="0090058A">
        <w:rPr>
          <w:szCs w:val="26"/>
        </w:rPr>
        <w:t xml:space="preserve">at </w:t>
      </w:r>
      <w:r>
        <w:rPr>
          <w:szCs w:val="26"/>
        </w:rPr>
        <w:t>p.</w:t>
      </w:r>
      <w:r>
        <w:rPr>
          <w:szCs w:val="26"/>
        </w:rPr>
        <w:t> </w:t>
      </w:r>
      <w:r w:rsidRPr="0090058A">
        <w:rPr>
          <w:szCs w:val="26"/>
        </w:rPr>
        <w:t>990, fn.</w:t>
      </w:r>
      <w:r>
        <w:rPr>
          <w:szCs w:val="26"/>
        </w:rPr>
        <w:t> </w:t>
      </w:r>
      <w:r w:rsidRPr="0090058A">
        <w:rPr>
          <w:szCs w:val="26"/>
        </w:rPr>
        <w:t>1</w:t>
      </w:r>
      <w:r>
        <w:rPr>
          <w:szCs w:val="26"/>
        </w:rPr>
        <w:t xml:space="preserve">1, italics added.)  </w:t>
      </w:r>
      <w:r>
        <w:rPr>
          <w:szCs w:val="26"/>
        </w:rPr>
        <w:t xml:space="preserve">The </w:t>
      </w:r>
      <w:r>
        <w:rPr>
          <w:szCs w:val="26"/>
        </w:rPr>
        <w:t xml:space="preserve">appellate </w:t>
      </w:r>
      <w:r>
        <w:rPr>
          <w:szCs w:val="26"/>
        </w:rPr>
        <w:t xml:space="preserve">court acknowledged that the plaintiff </w:t>
      </w:r>
      <w:r>
        <w:rPr>
          <w:szCs w:val="26"/>
        </w:rPr>
        <w:t xml:space="preserve">was required by her employer to </w:t>
      </w:r>
      <w:r>
        <w:rPr>
          <w:szCs w:val="26"/>
        </w:rPr>
        <w:t>submit</w:t>
      </w:r>
      <w:r>
        <w:rPr>
          <w:szCs w:val="26"/>
        </w:rPr>
        <w:t xml:space="preserve"> confirmation of</w:t>
      </w:r>
      <w:r>
        <w:rPr>
          <w:szCs w:val="26"/>
        </w:rPr>
        <w:t xml:space="preserve"> her vaccination status, which would have </w:t>
      </w:r>
      <w:r>
        <w:rPr>
          <w:szCs w:val="26"/>
        </w:rPr>
        <w:t xml:space="preserve">qualified as medical information under the CMIA.  </w:t>
      </w:r>
      <w:r>
        <w:rPr>
          <w:szCs w:val="26"/>
        </w:rPr>
        <w:t>(</w:t>
      </w:r>
      <w:r>
        <w:rPr>
          <w:i/>
          <w:iCs/>
          <w:szCs w:val="26"/>
        </w:rPr>
        <w:t>Ibid.</w:t>
      </w:r>
      <w:r>
        <w:rPr>
          <w:szCs w:val="26"/>
        </w:rPr>
        <w:t xml:space="preserve">)  </w:t>
      </w:r>
      <w:r>
        <w:rPr>
          <w:szCs w:val="26"/>
        </w:rPr>
        <w:t xml:space="preserve">However, the school </w:t>
      </w:r>
      <w:r>
        <w:rPr>
          <w:szCs w:val="26"/>
        </w:rPr>
        <w:t xml:space="preserve">asked plaintiff </w:t>
      </w:r>
      <w:r>
        <w:rPr>
          <w:szCs w:val="26"/>
        </w:rPr>
        <w:t xml:space="preserve">herself </w:t>
      </w:r>
      <w:r>
        <w:rPr>
          <w:szCs w:val="26"/>
        </w:rPr>
        <w:t xml:space="preserve">to </w:t>
      </w:r>
      <w:r>
        <w:rPr>
          <w:szCs w:val="26"/>
        </w:rPr>
        <w:t xml:space="preserve">provide the </w:t>
      </w:r>
      <w:r>
        <w:rPr>
          <w:szCs w:val="26"/>
        </w:rPr>
        <w:t xml:space="preserve">confirming medical </w:t>
      </w:r>
      <w:proofErr w:type="gramStart"/>
      <w:r>
        <w:rPr>
          <w:szCs w:val="26"/>
        </w:rPr>
        <w:t>information</w:t>
      </w:r>
      <w:r>
        <w:rPr>
          <w:szCs w:val="26"/>
        </w:rPr>
        <w:t>, and</w:t>
      </w:r>
      <w:proofErr w:type="gramEnd"/>
      <w:r>
        <w:rPr>
          <w:szCs w:val="26"/>
        </w:rPr>
        <w:t xml:space="preserve"> did not </w:t>
      </w:r>
      <w:r>
        <w:rPr>
          <w:szCs w:val="26"/>
        </w:rPr>
        <w:t>seek</w:t>
      </w:r>
      <w:r>
        <w:rPr>
          <w:szCs w:val="26"/>
        </w:rPr>
        <w:t xml:space="preserve"> permission to obtain the information from her healthcare provider.  </w:t>
      </w:r>
      <w:r>
        <w:rPr>
          <w:szCs w:val="26"/>
        </w:rPr>
        <w:t>(</w:t>
      </w:r>
      <w:r>
        <w:rPr>
          <w:i/>
          <w:iCs/>
          <w:szCs w:val="26"/>
        </w:rPr>
        <w:t>Ibid.</w:t>
      </w:r>
      <w:r>
        <w:rPr>
          <w:szCs w:val="26"/>
        </w:rPr>
        <w:t>)</w:t>
      </w:r>
    </w:p>
    <w:p w14:paraId="577B1C8B" w14:textId="77777777" w:rsidR="00C23344" w:rsidRDefault="00C23344" w:rsidP="007D03FD">
      <w:pPr>
        <w:rPr>
          <w:szCs w:val="26"/>
        </w:rPr>
      </w:pPr>
      <w:r>
        <w:rPr>
          <w:szCs w:val="26"/>
        </w:rPr>
        <w:tab/>
      </w:r>
      <w:r>
        <w:rPr>
          <w:szCs w:val="26"/>
        </w:rPr>
        <w:t>Here</w:t>
      </w:r>
      <w:r>
        <w:rPr>
          <w:szCs w:val="26"/>
        </w:rPr>
        <w:t xml:space="preserve">, </w:t>
      </w:r>
      <w:r>
        <w:rPr>
          <w:szCs w:val="26"/>
        </w:rPr>
        <w:t xml:space="preserve">as in </w:t>
      </w:r>
      <w:r w:rsidRPr="00A53DA7">
        <w:rPr>
          <w:i/>
          <w:iCs/>
          <w:szCs w:val="26"/>
        </w:rPr>
        <w:t>Rossi</w:t>
      </w:r>
      <w:r>
        <w:rPr>
          <w:szCs w:val="26"/>
        </w:rPr>
        <w:t xml:space="preserve">, </w:t>
      </w:r>
      <w:r>
        <w:rPr>
          <w:szCs w:val="26"/>
        </w:rPr>
        <w:t>while</w:t>
      </w:r>
      <w:r>
        <w:rPr>
          <w:szCs w:val="26"/>
        </w:rPr>
        <w:t xml:space="preserve"> </w:t>
      </w:r>
      <w:r>
        <w:rPr>
          <w:szCs w:val="26"/>
        </w:rPr>
        <w:t xml:space="preserve">the results of </w:t>
      </w:r>
      <w:r>
        <w:rPr>
          <w:szCs w:val="26"/>
        </w:rPr>
        <w:t xml:space="preserve">a COVID-19 </w:t>
      </w:r>
      <w:r>
        <w:rPr>
          <w:szCs w:val="26"/>
        </w:rPr>
        <w:t>test</w:t>
      </w:r>
      <w:r>
        <w:rPr>
          <w:szCs w:val="26"/>
        </w:rPr>
        <w:t xml:space="preserve"> would </w:t>
      </w:r>
      <w:r>
        <w:rPr>
          <w:szCs w:val="26"/>
        </w:rPr>
        <w:t xml:space="preserve">necessarily </w:t>
      </w:r>
      <w:r>
        <w:rPr>
          <w:szCs w:val="26"/>
        </w:rPr>
        <w:t>include medical inform</w:t>
      </w:r>
      <w:r>
        <w:rPr>
          <w:szCs w:val="26"/>
        </w:rPr>
        <w:t>ation</w:t>
      </w:r>
      <w:r>
        <w:rPr>
          <w:szCs w:val="26"/>
        </w:rPr>
        <w:t xml:space="preserve"> derived from a health care provider,</w:t>
      </w:r>
      <w:r>
        <w:rPr>
          <w:szCs w:val="26"/>
        </w:rPr>
        <w:t xml:space="preserve"> </w:t>
      </w:r>
      <w:r>
        <w:rPr>
          <w:szCs w:val="26"/>
        </w:rPr>
        <w:t>the first amended complaint contained</w:t>
      </w:r>
      <w:r>
        <w:rPr>
          <w:szCs w:val="26"/>
        </w:rPr>
        <w:t xml:space="preserve"> no allegation that A&amp;A </w:t>
      </w:r>
      <w:r>
        <w:rPr>
          <w:szCs w:val="26"/>
        </w:rPr>
        <w:t xml:space="preserve">requested </w:t>
      </w:r>
      <w:proofErr w:type="spellStart"/>
      <w:r>
        <w:rPr>
          <w:szCs w:val="26"/>
        </w:rPr>
        <w:t>Frayo</w:t>
      </w:r>
      <w:proofErr w:type="spellEnd"/>
      <w:r>
        <w:rPr>
          <w:szCs w:val="26"/>
        </w:rPr>
        <w:t xml:space="preserve"> </w:t>
      </w:r>
      <w:r>
        <w:rPr>
          <w:szCs w:val="26"/>
        </w:rPr>
        <w:t xml:space="preserve">to </w:t>
      </w:r>
      <w:r>
        <w:rPr>
          <w:szCs w:val="26"/>
        </w:rPr>
        <w:t xml:space="preserve">authorize his health care provider to disclose </w:t>
      </w:r>
      <w:r>
        <w:rPr>
          <w:szCs w:val="26"/>
        </w:rPr>
        <w:t>the results of such a test</w:t>
      </w:r>
      <w:r>
        <w:rPr>
          <w:szCs w:val="26"/>
        </w:rPr>
        <w:t xml:space="preserve"> to</w:t>
      </w:r>
      <w:r>
        <w:rPr>
          <w:szCs w:val="26"/>
        </w:rPr>
        <w:t xml:space="preserve"> A&amp;A.</w:t>
      </w:r>
      <w:r>
        <w:rPr>
          <w:szCs w:val="26"/>
        </w:rPr>
        <w:t xml:space="preserve">  Instead, </w:t>
      </w:r>
      <w:r>
        <w:rPr>
          <w:szCs w:val="26"/>
        </w:rPr>
        <w:t xml:space="preserve">as in </w:t>
      </w:r>
      <w:r w:rsidRPr="00A53DA7">
        <w:rPr>
          <w:i/>
          <w:iCs/>
          <w:szCs w:val="26"/>
        </w:rPr>
        <w:t>Rossi</w:t>
      </w:r>
      <w:r>
        <w:rPr>
          <w:szCs w:val="26"/>
        </w:rPr>
        <w:t xml:space="preserve">, </w:t>
      </w:r>
      <w:proofErr w:type="spellStart"/>
      <w:r>
        <w:rPr>
          <w:szCs w:val="26"/>
        </w:rPr>
        <w:t>Frayo</w:t>
      </w:r>
      <w:proofErr w:type="spellEnd"/>
      <w:r>
        <w:rPr>
          <w:szCs w:val="26"/>
        </w:rPr>
        <w:t xml:space="preserve"> alleged A&amp;A asked him to personally provide proof of a negative test result </w:t>
      </w:r>
      <w:r>
        <w:rPr>
          <w:szCs w:val="26"/>
        </w:rPr>
        <w:t xml:space="preserve">from a </w:t>
      </w:r>
      <w:proofErr w:type="gramStart"/>
      <w:r>
        <w:rPr>
          <w:szCs w:val="26"/>
        </w:rPr>
        <w:t>third</w:t>
      </w:r>
      <w:r>
        <w:rPr>
          <w:szCs w:val="26"/>
        </w:rPr>
        <w:t xml:space="preserve"> </w:t>
      </w:r>
      <w:r>
        <w:rPr>
          <w:szCs w:val="26"/>
        </w:rPr>
        <w:t>party</w:t>
      </w:r>
      <w:proofErr w:type="gramEnd"/>
      <w:r>
        <w:rPr>
          <w:szCs w:val="26"/>
        </w:rPr>
        <w:t xml:space="preserve"> provider </w:t>
      </w:r>
      <w:r>
        <w:rPr>
          <w:szCs w:val="26"/>
        </w:rPr>
        <w:t>before returning to work</w:t>
      </w:r>
      <w:r>
        <w:rPr>
          <w:szCs w:val="26"/>
        </w:rPr>
        <w:t xml:space="preserve">, which </w:t>
      </w:r>
      <w:proofErr w:type="spellStart"/>
      <w:r>
        <w:rPr>
          <w:szCs w:val="26"/>
        </w:rPr>
        <w:t>Frayo</w:t>
      </w:r>
      <w:proofErr w:type="spellEnd"/>
      <w:r>
        <w:rPr>
          <w:szCs w:val="26"/>
        </w:rPr>
        <w:t xml:space="preserve"> refused to provide</w:t>
      </w:r>
      <w:r>
        <w:rPr>
          <w:szCs w:val="26"/>
        </w:rPr>
        <w:t xml:space="preserve">.  </w:t>
      </w:r>
      <w:r>
        <w:rPr>
          <w:szCs w:val="26"/>
        </w:rPr>
        <w:t>Based on the</w:t>
      </w:r>
      <w:r>
        <w:rPr>
          <w:szCs w:val="26"/>
        </w:rPr>
        <w:t xml:space="preserve"> plain</w:t>
      </w:r>
      <w:r>
        <w:rPr>
          <w:szCs w:val="26"/>
        </w:rPr>
        <w:t xml:space="preserve"> language of the statute, t</w:t>
      </w:r>
      <w:r>
        <w:rPr>
          <w:szCs w:val="26"/>
        </w:rPr>
        <w:t>hese facts do not establish a prima facie section 56.20(b) claim.</w:t>
      </w:r>
      <w:r>
        <w:rPr>
          <w:szCs w:val="26"/>
        </w:rPr>
        <w:t xml:space="preserve">  We decline to treat an employee’s refusal to take and provide the results of a </w:t>
      </w:r>
      <w:r>
        <w:rPr>
          <w:szCs w:val="26"/>
        </w:rPr>
        <w:t>COVID</w:t>
      </w:r>
      <w:r>
        <w:rPr>
          <w:szCs w:val="26"/>
        </w:rPr>
        <w:noBreakHyphen/>
        <w:t>19 test as akin to an “employee’s refusal to sign an authorization” under the CMIA.</w:t>
      </w:r>
    </w:p>
    <w:p w14:paraId="2902DD09" w14:textId="77777777" w:rsidR="00C23344" w:rsidRDefault="00C23344" w:rsidP="00A67396">
      <w:pPr>
        <w:rPr>
          <w:szCs w:val="26"/>
        </w:rPr>
      </w:pPr>
      <w:r>
        <w:rPr>
          <w:szCs w:val="26"/>
        </w:rPr>
        <w:lastRenderedPageBreak/>
        <w:tab/>
      </w:r>
      <w:proofErr w:type="spellStart"/>
      <w:r>
        <w:rPr>
          <w:szCs w:val="26"/>
        </w:rPr>
        <w:t>Frayo</w:t>
      </w:r>
      <w:proofErr w:type="spellEnd"/>
      <w:r>
        <w:rPr>
          <w:szCs w:val="26"/>
        </w:rPr>
        <w:t xml:space="preserve"> </w:t>
      </w:r>
      <w:r>
        <w:rPr>
          <w:szCs w:val="26"/>
        </w:rPr>
        <w:t xml:space="preserve">further </w:t>
      </w:r>
      <w:r>
        <w:rPr>
          <w:szCs w:val="26"/>
        </w:rPr>
        <w:t>claims</w:t>
      </w:r>
      <w:r>
        <w:rPr>
          <w:szCs w:val="26"/>
        </w:rPr>
        <w:t xml:space="preserve"> that</w:t>
      </w:r>
      <w:r>
        <w:rPr>
          <w:szCs w:val="26"/>
        </w:rPr>
        <w:t xml:space="preserve"> </w:t>
      </w:r>
      <w:r>
        <w:rPr>
          <w:szCs w:val="26"/>
        </w:rPr>
        <w:t xml:space="preserve">the </w:t>
      </w:r>
      <w:r>
        <w:rPr>
          <w:szCs w:val="26"/>
        </w:rPr>
        <w:t xml:space="preserve">“CMIA was triggered because </w:t>
      </w:r>
      <w:r>
        <w:rPr>
          <w:szCs w:val="26"/>
        </w:rPr>
        <w:t>he was forced</w:t>
      </w:r>
      <w:r>
        <w:rPr>
          <w:szCs w:val="26"/>
        </w:rPr>
        <w:t xml:space="preserve"> to provide a COVID-19 test from a </w:t>
      </w:r>
      <w:proofErr w:type="gramStart"/>
      <w:r>
        <w:rPr>
          <w:szCs w:val="26"/>
        </w:rPr>
        <w:t>third party</w:t>
      </w:r>
      <w:proofErr w:type="gramEnd"/>
      <w:r>
        <w:rPr>
          <w:szCs w:val="26"/>
        </w:rPr>
        <w:t xml:space="preserve"> health care provider and was unable to use an at</w:t>
      </w:r>
      <w:r>
        <w:rPr>
          <w:szCs w:val="26"/>
        </w:rPr>
        <w:t>-</w:t>
      </w:r>
      <w:r>
        <w:rPr>
          <w:szCs w:val="26"/>
        </w:rPr>
        <w:t xml:space="preserve">home test.” </w:t>
      </w:r>
      <w:r>
        <w:rPr>
          <w:szCs w:val="26"/>
        </w:rPr>
        <w:t xml:space="preserve"> </w:t>
      </w:r>
      <w:proofErr w:type="spellStart"/>
      <w:r>
        <w:rPr>
          <w:szCs w:val="26"/>
        </w:rPr>
        <w:t>Frayo</w:t>
      </w:r>
      <w:r>
        <w:rPr>
          <w:szCs w:val="26"/>
        </w:rPr>
        <w:t>’s</w:t>
      </w:r>
      <w:proofErr w:type="spellEnd"/>
      <w:r>
        <w:rPr>
          <w:szCs w:val="26"/>
        </w:rPr>
        <w:t xml:space="preserve"> interpretation of section 56.20(b) would extend</w:t>
      </w:r>
      <w:r>
        <w:rPr>
          <w:szCs w:val="26"/>
        </w:rPr>
        <w:t xml:space="preserve"> the</w:t>
      </w:r>
      <w:r>
        <w:rPr>
          <w:szCs w:val="26"/>
        </w:rPr>
        <w:t xml:space="preserve"> </w:t>
      </w:r>
      <w:r>
        <w:rPr>
          <w:szCs w:val="26"/>
        </w:rPr>
        <w:t xml:space="preserve">CMIA to regulate employer-mandated COVID-19 testing </w:t>
      </w:r>
      <w:r>
        <w:rPr>
          <w:szCs w:val="26"/>
        </w:rPr>
        <w:t xml:space="preserve">methods and </w:t>
      </w:r>
      <w:r>
        <w:rPr>
          <w:szCs w:val="26"/>
        </w:rPr>
        <w:t>policies.</w:t>
      </w:r>
      <w:r>
        <w:rPr>
          <w:szCs w:val="26"/>
        </w:rPr>
        <w:t xml:space="preserve"> </w:t>
      </w:r>
      <w:r>
        <w:rPr>
          <w:szCs w:val="26"/>
        </w:rPr>
        <w:t xml:space="preserve"> </w:t>
      </w:r>
      <w:r>
        <w:rPr>
          <w:szCs w:val="26"/>
        </w:rPr>
        <w:t>I</w:t>
      </w:r>
      <w:r>
        <w:rPr>
          <w:szCs w:val="26"/>
        </w:rPr>
        <w:t xml:space="preserve">n </w:t>
      </w:r>
      <w:r w:rsidRPr="0035277B">
        <w:rPr>
          <w:i/>
          <w:iCs/>
          <w:szCs w:val="26"/>
        </w:rPr>
        <w:t>Loder</w:t>
      </w:r>
      <w:r>
        <w:rPr>
          <w:szCs w:val="26"/>
        </w:rPr>
        <w:t xml:space="preserve">, </w:t>
      </w:r>
      <w:r>
        <w:rPr>
          <w:szCs w:val="26"/>
        </w:rPr>
        <w:t xml:space="preserve">our Supreme Court </w:t>
      </w:r>
      <w:r>
        <w:rPr>
          <w:szCs w:val="26"/>
        </w:rPr>
        <w:t>de</w:t>
      </w:r>
      <w:r>
        <w:rPr>
          <w:szCs w:val="26"/>
        </w:rPr>
        <w:t>termined that section 56.20(b) of the CMIA</w:t>
      </w:r>
      <w:r>
        <w:rPr>
          <w:szCs w:val="26"/>
        </w:rPr>
        <w:t xml:space="preserve"> </w:t>
      </w:r>
      <w:r>
        <w:rPr>
          <w:szCs w:val="26"/>
        </w:rPr>
        <w:t xml:space="preserve">“does not prohibit an employer from disqualifying an applicant or employee who refuses to authorize disclosure to the employer of the ultimate </w:t>
      </w:r>
      <w:r>
        <w:rPr>
          <w:szCs w:val="26"/>
        </w:rPr>
        <w:t>results” of</w:t>
      </w:r>
      <w:r>
        <w:rPr>
          <w:szCs w:val="26"/>
        </w:rPr>
        <w:t xml:space="preserve"> an employee drug testing program,</w:t>
      </w:r>
      <w:r>
        <w:rPr>
          <w:szCs w:val="26"/>
        </w:rPr>
        <w:t xml:space="preserve"> so long as the program is otherwise lawful</w:t>
      </w:r>
      <w:r>
        <w:rPr>
          <w:szCs w:val="26"/>
        </w:rPr>
        <w:t>.</w:t>
      </w:r>
      <w:r>
        <w:rPr>
          <w:szCs w:val="26"/>
        </w:rPr>
        <w:t xml:space="preserve">  (</w:t>
      </w:r>
      <w:r w:rsidRPr="0035277B">
        <w:rPr>
          <w:i/>
          <w:iCs/>
          <w:szCs w:val="26"/>
        </w:rPr>
        <w:t>Loder</w:t>
      </w:r>
      <w:r>
        <w:rPr>
          <w:szCs w:val="26"/>
        </w:rPr>
        <w:t xml:space="preserve">, </w:t>
      </w:r>
      <w:r w:rsidRPr="0035277B">
        <w:rPr>
          <w:i/>
          <w:iCs/>
          <w:szCs w:val="26"/>
        </w:rPr>
        <w:t>supra</w:t>
      </w:r>
      <w:r>
        <w:rPr>
          <w:szCs w:val="26"/>
        </w:rPr>
        <w:t>, 14 Cal.4th at p.</w:t>
      </w:r>
      <w:r>
        <w:rPr>
          <w:szCs w:val="26"/>
        </w:rPr>
        <w:t> </w:t>
      </w:r>
      <w:r>
        <w:rPr>
          <w:szCs w:val="26"/>
        </w:rPr>
        <w:t>862.)</w:t>
      </w:r>
      <w:r>
        <w:rPr>
          <w:szCs w:val="26"/>
        </w:rPr>
        <w:t xml:space="preserve">  The court </w:t>
      </w:r>
      <w:r>
        <w:rPr>
          <w:szCs w:val="26"/>
        </w:rPr>
        <w:t>noted</w:t>
      </w:r>
      <w:r>
        <w:rPr>
          <w:szCs w:val="26"/>
        </w:rPr>
        <w:t xml:space="preserve"> that the Legislature did not intend </w:t>
      </w:r>
      <w:r>
        <w:rPr>
          <w:szCs w:val="26"/>
        </w:rPr>
        <w:t xml:space="preserve">that </w:t>
      </w:r>
      <w:r>
        <w:rPr>
          <w:szCs w:val="26"/>
        </w:rPr>
        <w:t>section 56.20(b)</w:t>
      </w:r>
      <w:r>
        <w:rPr>
          <w:szCs w:val="26"/>
        </w:rPr>
        <w:t xml:space="preserve"> regulate the circumstances of employer mandated medical exa</w:t>
      </w:r>
      <w:r>
        <w:rPr>
          <w:szCs w:val="26"/>
        </w:rPr>
        <w:t>m</w:t>
      </w:r>
      <w:r>
        <w:rPr>
          <w:szCs w:val="26"/>
        </w:rPr>
        <w:t>inations</w:t>
      </w:r>
      <w:r>
        <w:rPr>
          <w:szCs w:val="26"/>
        </w:rPr>
        <w:t xml:space="preserve"> or drug tests</w:t>
      </w:r>
      <w:r>
        <w:rPr>
          <w:szCs w:val="26"/>
        </w:rPr>
        <w:t xml:space="preserve"> as other federal and state regulations exist to directly address those issues</w:t>
      </w:r>
      <w:r>
        <w:rPr>
          <w:szCs w:val="26"/>
        </w:rPr>
        <w:t>.</w:t>
      </w:r>
      <w:r>
        <w:rPr>
          <w:szCs w:val="26"/>
        </w:rPr>
        <w:t xml:space="preserve">  </w:t>
      </w:r>
      <w:r>
        <w:rPr>
          <w:szCs w:val="26"/>
        </w:rPr>
        <w:t>“</w:t>
      </w:r>
      <w:r>
        <w:rPr>
          <w:szCs w:val="26"/>
        </w:rPr>
        <w:t>[T]</w:t>
      </w:r>
      <w:r>
        <w:rPr>
          <w:szCs w:val="26"/>
        </w:rPr>
        <w:t>here is nothing in the language of legislati</w:t>
      </w:r>
      <w:r>
        <w:rPr>
          <w:szCs w:val="26"/>
        </w:rPr>
        <w:t>v</w:t>
      </w:r>
      <w:r>
        <w:rPr>
          <w:szCs w:val="26"/>
        </w:rPr>
        <w:t>e history of [the CMIA] to suggest that the Legislature, in drafting this enactment, ever consid</w:t>
      </w:r>
      <w:r>
        <w:rPr>
          <w:szCs w:val="26"/>
        </w:rPr>
        <w:t xml:space="preserve">ered the entirely distinct question of whether, and under </w:t>
      </w:r>
      <w:r>
        <w:rPr>
          <w:szCs w:val="26"/>
        </w:rPr>
        <w:t>what circumstances, an employer ma</w:t>
      </w:r>
      <w:r>
        <w:rPr>
          <w:szCs w:val="26"/>
        </w:rPr>
        <w:t>y</w:t>
      </w:r>
      <w:r>
        <w:rPr>
          <w:szCs w:val="26"/>
        </w:rPr>
        <w:t xml:space="preserve"> require</w:t>
      </w:r>
      <w:r>
        <w:rPr>
          <w:szCs w:val="26"/>
        </w:rPr>
        <w:t xml:space="preserve"> a</w:t>
      </w:r>
      <w:r>
        <w:rPr>
          <w:szCs w:val="26"/>
        </w:rPr>
        <w:t xml:space="preserve"> . . . </w:t>
      </w:r>
      <w:r>
        <w:rPr>
          <w:szCs w:val="26"/>
        </w:rPr>
        <w:t>current employee to submit to an employer-administered medical examination o</w:t>
      </w:r>
      <w:r>
        <w:rPr>
          <w:szCs w:val="26"/>
        </w:rPr>
        <w:t>r</w:t>
      </w:r>
      <w:r>
        <w:rPr>
          <w:szCs w:val="26"/>
        </w:rPr>
        <w:t xml:space="preserve"> drug test as a condition of employment.”  (</w:t>
      </w:r>
      <w:r>
        <w:rPr>
          <w:i/>
          <w:iCs/>
          <w:szCs w:val="26"/>
        </w:rPr>
        <w:t>Ibid.</w:t>
      </w:r>
      <w:r>
        <w:rPr>
          <w:szCs w:val="26"/>
        </w:rPr>
        <w:t xml:space="preserve">, italics </w:t>
      </w:r>
      <w:r>
        <w:rPr>
          <w:szCs w:val="26"/>
        </w:rPr>
        <w:t>omitted</w:t>
      </w:r>
      <w:r>
        <w:rPr>
          <w:szCs w:val="26"/>
        </w:rPr>
        <w:t>.)</w:t>
      </w:r>
      <w:r>
        <w:rPr>
          <w:szCs w:val="26"/>
        </w:rPr>
        <w:t xml:space="preserve">  Whether </w:t>
      </w:r>
      <w:r>
        <w:rPr>
          <w:szCs w:val="26"/>
        </w:rPr>
        <w:t>the court’s</w:t>
      </w:r>
      <w:r>
        <w:rPr>
          <w:szCs w:val="26"/>
        </w:rPr>
        <w:t xml:space="preserve"> reasoning </w:t>
      </w:r>
      <w:r>
        <w:rPr>
          <w:szCs w:val="26"/>
        </w:rPr>
        <w:t xml:space="preserve">in </w:t>
      </w:r>
      <w:r w:rsidRPr="0035277B">
        <w:rPr>
          <w:i/>
          <w:iCs/>
          <w:szCs w:val="26"/>
        </w:rPr>
        <w:t>Loder</w:t>
      </w:r>
      <w:r>
        <w:rPr>
          <w:szCs w:val="26"/>
        </w:rPr>
        <w:t xml:space="preserve"> </w:t>
      </w:r>
      <w:r>
        <w:rPr>
          <w:szCs w:val="26"/>
        </w:rPr>
        <w:t xml:space="preserve">applies </w:t>
      </w:r>
      <w:r>
        <w:rPr>
          <w:szCs w:val="26"/>
        </w:rPr>
        <w:t xml:space="preserve">equally </w:t>
      </w:r>
      <w:r>
        <w:rPr>
          <w:szCs w:val="26"/>
        </w:rPr>
        <w:t xml:space="preserve">to </w:t>
      </w:r>
      <w:r>
        <w:rPr>
          <w:szCs w:val="26"/>
        </w:rPr>
        <w:t xml:space="preserve">an employer’s </w:t>
      </w:r>
      <w:r>
        <w:rPr>
          <w:szCs w:val="26"/>
        </w:rPr>
        <w:t>mandat</w:t>
      </w:r>
      <w:r>
        <w:rPr>
          <w:szCs w:val="26"/>
        </w:rPr>
        <w:t>ed</w:t>
      </w:r>
      <w:r>
        <w:rPr>
          <w:szCs w:val="26"/>
        </w:rPr>
        <w:t xml:space="preserve"> </w:t>
      </w:r>
      <w:r>
        <w:rPr>
          <w:szCs w:val="26"/>
        </w:rPr>
        <w:t>COVID-19</w:t>
      </w:r>
      <w:r>
        <w:rPr>
          <w:szCs w:val="26"/>
        </w:rPr>
        <w:t xml:space="preserve"> protocol that requires proof of a negative third</w:t>
      </w:r>
      <w:r>
        <w:rPr>
          <w:szCs w:val="26"/>
        </w:rPr>
        <w:t xml:space="preserve"> </w:t>
      </w:r>
      <w:r>
        <w:rPr>
          <w:szCs w:val="26"/>
        </w:rPr>
        <w:t>party administered test has not been decided by any court.</w:t>
      </w:r>
    </w:p>
    <w:p w14:paraId="6DE66241" w14:textId="77777777" w:rsidR="00C23344" w:rsidRDefault="00C23344" w:rsidP="0035277B">
      <w:pPr>
        <w:pStyle w:val="FootnoteText"/>
        <w:spacing w:line="480" w:lineRule="atLeast"/>
      </w:pPr>
      <w:r>
        <w:rPr>
          <w:szCs w:val="26"/>
        </w:rPr>
        <w:tab/>
      </w:r>
      <w:r>
        <w:rPr>
          <w:szCs w:val="26"/>
        </w:rPr>
        <w:t xml:space="preserve">As </w:t>
      </w:r>
      <w:r>
        <w:rPr>
          <w:szCs w:val="26"/>
        </w:rPr>
        <w:t xml:space="preserve">we conclude </w:t>
      </w:r>
      <w:r>
        <w:rPr>
          <w:szCs w:val="26"/>
        </w:rPr>
        <w:t xml:space="preserve">that </w:t>
      </w:r>
      <w:proofErr w:type="spellStart"/>
      <w:r w:rsidRPr="0090058A">
        <w:rPr>
          <w:szCs w:val="26"/>
        </w:rPr>
        <w:t>Frayo</w:t>
      </w:r>
      <w:proofErr w:type="spellEnd"/>
      <w:r w:rsidRPr="0090058A">
        <w:rPr>
          <w:szCs w:val="26"/>
        </w:rPr>
        <w:t xml:space="preserve"> </w:t>
      </w:r>
      <w:r>
        <w:rPr>
          <w:szCs w:val="26"/>
        </w:rPr>
        <w:t xml:space="preserve">cannot </w:t>
      </w:r>
      <w:r>
        <w:rPr>
          <w:szCs w:val="26"/>
        </w:rPr>
        <w:t>adequately</w:t>
      </w:r>
      <w:r>
        <w:rPr>
          <w:szCs w:val="26"/>
        </w:rPr>
        <w:t xml:space="preserve"> plead the first two elements of a prima facie claim</w:t>
      </w:r>
      <w:r>
        <w:rPr>
          <w:szCs w:val="26"/>
        </w:rPr>
        <w:t xml:space="preserve"> under </w:t>
      </w:r>
      <w:r w:rsidRPr="0090058A">
        <w:rPr>
          <w:szCs w:val="26"/>
        </w:rPr>
        <w:t>section</w:t>
      </w:r>
      <w:r w:rsidRPr="0090058A">
        <w:rPr>
          <w:szCs w:val="26"/>
        </w:rPr>
        <w:t xml:space="preserve"> 56.20(b)</w:t>
      </w:r>
      <w:r>
        <w:rPr>
          <w:szCs w:val="26"/>
        </w:rPr>
        <w:t xml:space="preserve">, we </w:t>
      </w:r>
      <w:r>
        <w:rPr>
          <w:szCs w:val="26"/>
        </w:rPr>
        <w:t xml:space="preserve">need not </w:t>
      </w:r>
      <w:r>
        <w:rPr>
          <w:szCs w:val="26"/>
        </w:rPr>
        <w:t>resolve this issue</w:t>
      </w:r>
      <w:r>
        <w:rPr>
          <w:szCs w:val="26"/>
        </w:rPr>
        <w:t xml:space="preserve">.  </w:t>
      </w:r>
      <w:r>
        <w:rPr>
          <w:szCs w:val="26"/>
        </w:rPr>
        <w:t>For the same reason</w:t>
      </w:r>
      <w:r w:rsidRPr="0090058A">
        <w:rPr>
          <w:szCs w:val="26"/>
        </w:rPr>
        <w:t xml:space="preserve">, we do not </w:t>
      </w:r>
      <w:r>
        <w:rPr>
          <w:szCs w:val="26"/>
        </w:rPr>
        <w:t>determine</w:t>
      </w:r>
      <w:r w:rsidRPr="0090058A">
        <w:rPr>
          <w:szCs w:val="26"/>
        </w:rPr>
        <w:t xml:space="preserve"> whether </w:t>
      </w:r>
      <w:r>
        <w:rPr>
          <w:szCs w:val="26"/>
        </w:rPr>
        <w:t xml:space="preserve">the trial court erred when it determined that the “necessary action” </w:t>
      </w:r>
      <w:r w:rsidRPr="0090058A">
        <w:rPr>
          <w:szCs w:val="26"/>
        </w:rPr>
        <w:t xml:space="preserve">exception </w:t>
      </w:r>
      <w:r>
        <w:rPr>
          <w:szCs w:val="26"/>
        </w:rPr>
        <w:t>outlined in section 56.20(b) shields A&amp;A from l</w:t>
      </w:r>
      <w:r w:rsidRPr="0090058A">
        <w:rPr>
          <w:szCs w:val="26"/>
        </w:rPr>
        <w:t>iability</w:t>
      </w:r>
      <w:r>
        <w:rPr>
          <w:szCs w:val="26"/>
        </w:rPr>
        <w:t xml:space="preserve"> as a matter of law</w:t>
      </w:r>
      <w:r w:rsidRPr="0090058A">
        <w:rPr>
          <w:szCs w:val="26"/>
        </w:rPr>
        <w:t>.</w:t>
      </w:r>
      <w:r>
        <w:rPr>
          <w:szCs w:val="26"/>
        </w:rPr>
        <w:t xml:space="preserve">  And because we</w:t>
      </w:r>
      <w:r>
        <w:rPr>
          <w:szCs w:val="26"/>
        </w:rPr>
        <w:t xml:space="preserve"> determine that the first amended complaint </w:t>
      </w:r>
      <w:r>
        <w:rPr>
          <w:szCs w:val="26"/>
        </w:rPr>
        <w:t xml:space="preserve">did not </w:t>
      </w:r>
      <w:r>
        <w:rPr>
          <w:szCs w:val="26"/>
        </w:rPr>
        <w:t xml:space="preserve">put forth a viable cause of action under section 56.20(b), we find that </w:t>
      </w:r>
      <w:proofErr w:type="spellStart"/>
      <w:r>
        <w:rPr>
          <w:szCs w:val="26"/>
        </w:rPr>
        <w:t>Frayo</w:t>
      </w:r>
      <w:proofErr w:type="spellEnd"/>
      <w:r>
        <w:rPr>
          <w:szCs w:val="26"/>
        </w:rPr>
        <w:t xml:space="preserve"> suffered no </w:t>
      </w:r>
      <w:r>
        <w:rPr>
          <w:szCs w:val="26"/>
        </w:rPr>
        <w:t>infringement of his right to due process.</w:t>
      </w:r>
    </w:p>
    <w:p w14:paraId="3A545C76" w14:textId="77777777" w:rsidR="00C23344" w:rsidRPr="0090058A" w:rsidRDefault="00C23344" w:rsidP="00A70868">
      <w:pPr>
        <w:rPr>
          <w:szCs w:val="26"/>
        </w:rPr>
      </w:pPr>
      <w:r>
        <w:rPr>
          <w:szCs w:val="26"/>
        </w:rPr>
        <w:tab/>
      </w:r>
      <w:r>
        <w:rPr>
          <w:szCs w:val="26"/>
        </w:rPr>
        <w:t xml:space="preserve">Because </w:t>
      </w:r>
      <w:proofErr w:type="spellStart"/>
      <w:r>
        <w:rPr>
          <w:szCs w:val="26"/>
        </w:rPr>
        <w:t>Frayo</w:t>
      </w:r>
      <w:proofErr w:type="spellEnd"/>
      <w:r>
        <w:rPr>
          <w:szCs w:val="26"/>
        </w:rPr>
        <w:t xml:space="preserve"> has not argued or shown a reasonable possibility that the defects </w:t>
      </w:r>
      <w:r>
        <w:rPr>
          <w:szCs w:val="26"/>
        </w:rPr>
        <w:t>in his section 56.20(b) claim</w:t>
      </w:r>
      <w:r>
        <w:rPr>
          <w:szCs w:val="26"/>
        </w:rPr>
        <w:t xml:space="preserve"> could be cured</w:t>
      </w:r>
      <w:r>
        <w:rPr>
          <w:szCs w:val="26"/>
        </w:rPr>
        <w:t xml:space="preserve"> by amendment</w:t>
      </w:r>
      <w:r>
        <w:rPr>
          <w:szCs w:val="26"/>
        </w:rPr>
        <w:t xml:space="preserve">, the </w:t>
      </w:r>
      <w:r w:rsidRPr="0090058A">
        <w:rPr>
          <w:szCs w:val="26"/>
        </w:rPr>
        <w:t xml:space="preserve">trial court properly </w:t>
      </w:r>
      <w:r w:rsidRPr="0090058A">
        <w:rPr>
          <w:szCs w:val="26"/>
        </w:rPr>
        <w:lastRenderedPageBreak/>
        <w:t xml:space="preserve">sustained the demurrer to </w:t>
      </w:r>
      <w:r>
        <w:rPr>
          <w:szCs w:val="26"/>
        </w:rPr>
        <w:t>this cause of action</w:t>
      </w:r>
      <w:r w:rsidRPr="0090058A">
        <w:rPr>
          <w:szCs w:val="26"/>
        </w:rPr>
        <w:t xml:space="preserve"> without leave to amend.</w:t>
      </w:r>
      <w:r w:rsidRPr="0090058A">
        <w:rPr>
          <w:szCs w:val="26"/>
        </w:rPr>
        <w:t xml:space="preserve"> </w:t>
      </w:r>
      <w:r>
        <w:rPr>
          <w:szCs w:val="26"/>
        </w:rPr>
        <w:t xml:space="preserve"> </w:t>
      </w:r>
      <w:r>
        <w:rPr>
          <w:szCs w:val="26"/>
        </w:rPr>
        <w:t>(</w:t>
      </w:r>
      <w:r>
        <w:rPr>
          <w:i/>
          <w:iCs/>
          <w:szCs w:val="26"/>
        </w:rPr>
        <w:t>Automobile Dismantlers</w:t>
      </w:r>
      <w:r w:rsidRPr="00621BA2">
        <w:rPr>
          <w:szCs w:val="26"/>
        </w:rPr>
        <w:t xml:space="preserve">, </w:t>
      </w:r>
      <w:r>
        <w:rPr>
          <w:i/>
          <w:iCs/>
          <w:szCs w:val="26"/>
        </w:rPr>
        <w:t>supra</w:t>
      </w:r>
      <w:r w:rsidRPr="00621BA2">
        <w:rPr>
          <w:szCs w:val="26"/>
        </w:rPr>
        <w:t>,</w:t>
      </w:r>
      <w:r>
        <w:rPr>
          <w:szCs w:val="26"/>
        </w:rPr>
        <w:t>180 Cal.App.3d at p.</w:t>
      </w:r>
      <w:r>
        <w:rPr>
          <w:szCs w:val="26"/>
        </w:rPr>
        <w:t> </w:t>
      </w:r>
      <w:r>
        <w:rPr>
          <w:szCs w:val="26"/>
        </w:rPr>
        <w:t xml:space="preserve">742.)  </w:t>
      </w:r>
      <w:r w:rsidRPr="0090058A">
        <w:rPr>
          <w:szCs w:val="26"/>
        </w:rPr>
        <w:t xml:space="preserve"> </w:t>
      </w:r>
      <w:r>
        <w:rPr>
          <w:szCs w:val="26"/>
        </w:rPr>
        <w:t xml:space="preserve"> </w:t>
      </w:r>
    </w:p>
    <w:p w14:paraId="516BF6A7" w14:textId="77777777" w:rsidR="00C23344" w:rsidRPr="007B6AF6" w:rsidRDefault="00C23344" w:rsidP="00A70868">
      <w:pPr>
        <w:pStyle w:val="Heading3"/>
        <w:rPr>
          <w:rFonts w:ascii="Times New Roman" w:hAnsi="Times New Roman" w:cs="Times New Roman"/>
          <w:b/>
          <w:bCs/>
          <w:i/>
          <w:iCs/>
          <w:color w:val="auto"/>
          <w:sz w:val="26"/>
          <w:szCs w:val="26"/>
        </w:rPr>
      </w:pPr>
      <w:proofErr w:type="spellStart"/>
      <w:r w:rsidRPr="007B6AF6">
        <w:rPr>
          <w:rFonts w:ascii="Times New Roman" w:hAnsi="Times New Roman" w:cs="Times New Roman"/>
          <w:b/>
          <w:bCs/>
          <w:i/>
          <w:iCs/>
          <w:color w:val="auto"/>
          <w:sz w:val="26"/>
          <w:szCs w:val="26"/>
        </w:rPr>
        <w:t>Frayo’s</w:t>
      </w:r>
      <w:proofErr w:type="spellEnd"/>
      <w:r w:rsidRPr="007B6AF6">
        <w:rPr>
          <w:rFonts w:ascii="Times New Roman" w:hAnsi="Times New Roman" w:cs="Times New Roman"/>
          <w:b/>
          <w:bCs/>
          <w:i/>
          <w:iCs/>
          <w:color w:val="auto"/>
          <w:sz w:val="26"/>
          <w:szCs w:val="26"/>
        </w:rPr>
        <w:t xml:space="preserve"> Section 56.20(c) Claim</w:t>
      </w:r>
    </w:p>
    <w:p w14:paraId="35E25210" w14:textId="77777777" w:rsidR="00C23344" w:rsidRDefault="00C23344" w:rsidP="00A70868">
      <w:pPr>
        <w:rPr>
          <w:szCs w:val="26"/>
        </w:rPr>
      </w:pPr>
      <w:r w:rsidRPr="0090058A">
        <w:rPr>
          <w:szCs w:val="26"/>
        </w:rPr>
        <w:tab/>
      </w:r>
      <w:r>
        <w:rPr>
          <w:szCs w:val="26"/>
        </w:rPr>
        <w:t xml:space="preserve">We also conclude that the first amended complaint fails to adequately plead the </w:t>
      </w:r>
      <w:r>
        <w:rPr>
          <w:szCs w:val="26"/>
        </w:rPr>
        <w:t>prima facie elements of a section 56.20(</w:t>
      </w:r>
      <w:r>
        <w:rPr>
          <w:szCs w:val="26"/>
        </w:rPr>
        <w:t>c</w:t>
      </w:r>
      <w:r>
        <w:rPr>
          <w:szCs w:val="26"/>
        </w:rPr>
        <w:t xml:space="preserve">) </w:t>
      </w:r>
      <w:r>
        <w:rPr>
          <w:szCs w:val="26"/>
        </w:rPr>
        <w:t>claim</w:t>
      </w:r>
      <w:r>
        <w:rPr>
          <w:szCs w:val="26"/>
        </w:rPr>
        <w:t xml:space="preserve"> because </w:t>
      </w:r>
      <w:proofErr w:type="spellStart"/>
      <w:r>
        <w:rPr>
          <w:szCs w:val="26"/>
        </w:rPr>
        <w:t>Frayo</w:t>
      </w:r>
      <w:proofErr w:type="spellEnd"/>
      <w:r>
        <w:rPr>
          <w:szCs w:val="26"/>
        </w:rPr>
        <w:t xml:space="preserve"> did not allege facts</w:t>
      </w:r>
      <w:r>
        <w:rPr>
          <w:szCs w:val="26"/>
        </w:rPr>
        <w:t xml:space="preserve"> from which we can infer </w:t>
      </w:r>
      <w:proofErr w:type="gramStart"/>
      <w:r>
        <w:rPr>
          <w:szCs w:val="26"/>
        </w:rPr>
        <w:t xml:space="preserve">that </w:t>
      </w:r>
      <w:r>
        <w:rPr>
          <w:szCs w:val="26"/>
        </w:rPr>
        <w:t>resp</w:t>
      </w:r>
      <w:r>
        <w:rPr>
          <w:szCs w:val="26"/>
        </w:rPr>
        <w:t>ondents</w:t>
      </w:r>
      <w:proofErr w:type="gramEnd"/>
      <w:r>
        <w:rPr>
          <w:szCs w:val="26"/>
        </w:rPr>
        <w:t xml:space="preserve"> used </w:t>
      </w:r>
      <w:r>
        <w:rPr>
          <w:szCs w:val="26"/>
        </w:rPr>
        <w:t>“</w:t>
      </w:r>
      <w:r>
        <w:rPr>
          <w:szCs w:val="26"/>
        </w:rPr>
        <w:t>medical information which</w:t>
      </w:r>
      <w:r>
        <w:rPr>
          <w:szCs w:val="26"/>
        </w:rPr>
        <w:t> . . .</w:t>
      </w:r>
      <w:r>
        <w:rPr>
          <w:szCs w:val="26"/>
        </w:rPr>
        <w:t xml:space="preserve"> [they] </w:t>
      </w:r>
      <w:proofErr w:type="spellStart"/>
      <w:r>
        <w:rPr>
          <w:szCs w:val="26"/>
        </w:rPr>
        <w:t>possesse</w:t>
      </w:r>
      <w:proofErr w:type="spellEnd"/>
      <w:r>
        <w:rPr>
          <w:szCs w:val="26"/>
        </w:rPr>
        <w:t xml:space="preserve">[d] </w:t>
      </w:r>
      <w:r>
        <w:rPr>
          <w:szCs w:val="26"/>
        </w:rPr>
        <w:t>pertaining</w:t>
      </w:r>
      <w:r>
        <w:rPr>
          <w:szCs w:val="26"/>
        </w:rPr>
        <w:t xml:space="preserve"> to </w:t>
      </w:r>
      <w:r>
        <w:rPr>
          <w:szCs w:val="26"/>
        </w:rPr>
        <w:t>[</w:t>
      </w:r>
      <w:r>
        <w:rPr>
          <w:szCs w:val="26"/>
        </w:rPr>
        <w:t>him</w:t>
      </w:r>
      <w:r>
        <w:rPr>
          <w:szCs w:val="26"/>
        </w:rPr>
        <w:t>]</w:t>
      </w:r>
      <w:r>
        <w:rPr>
          <w:szCs w:val="26"/>
        </w:rPr>
        <w:t>.</w:t>
      </w:r>
      <w:r>
        <w:rPr>
          <w:szCs w:val="26"/>
        </w:rPr>
        <w:t>”</w:t>
      </w:r>
      <w:r>
        <w:rPr>
          <w:szCs w:val="26"/>
        </w:rPr>
        <w:t xml:space="preserve">  (§</w:t>
      </w:r>
      <w:r>
        <w:rPr>
          <w:szCs w:val="26"/>
        </w:rPr>
        <w:t> </w:t>
      </w:r>
      <w:r>
        <w:rPr>
          <w:szCs w:val="26"/>
        </w:rPr>
        <w:t>56.20(c).)</w:t>
      </w:r>
    </w:p>
    <w:p w14:paraId="46731125" w14:textId="77777777" w:rsidR="00C23344" w:rsidRPr="0090058A" w:rsidRDefault="00C23344" w:rsidP="00A70868">
      <w:pPr>
        <w:rPr>
          <w:szCs w:val="26"/>
        </w:rPr>
      </w:pPr>
      <w:r>
        <w:rPr>
          <w:szCs w:val="26"/>
        </w:rPr>
        <w:tab/>
      </w:r>
      <w:r>
        <w:rPr>
          <w:szCs w:val="26"/>
        </w:rPr>
        <w:t xml:space="preserve">In </w:t>
      </w:r>
      <w:r>
        <w:rPr>
          <w:szCs w:val="26"/>
        </w:rPr>
        <w:t xml:space="preserve">the first </w:t>
      </w:r>
      <w:r>
        <w:rPr>
          <w:szCs w:val="26"/>
        </w:rPr>
        <w:t xml:space="preserve">amended complaint, </w:t>
      </w:r>
      <w:proofErr w:type="spellStart"/>
      <w:r w:rsidRPr="0090058A">
        <w:rPr>
          <w:szCs w:val="26"/>
        </w:rPr>
        <w:t>Frayo</w:t>
      </w:r>
      <w:proofErr w:type="spellEnd"/>
      <w:r>
        <w:rPr>
          <w:szCs w:val="26"/>
        </w:rPr>
        <w:t xml:space="preserve"> </w:t>
      </w:r>
      <w:r>
        <w:rPr>
          <w:szCs w:val="26"/>
        </w:rPr>
        <w:t>alleged</w:t>
      </w:r>
      <w:r w:rsidRPr="0090058A">
        <w:rPr>
          <w:szCs w:val="26"/>
        </w:rPr>
        <w:t xml:space="preserve"> </w:t>
      </w:r>
      <w:r>
        <w:rPr>
          <w:szCs w:val="26"/>
        </w:rPr>
        <w:t xml:space="preserve">respondents </w:t>
      </w:r>
      <w:r w:rsidRPr="0090058A">
        <w:rPr>
          <w:szCs w:val="26"/>
        </w:rPr>
        <w:t xml:space="preserve">violated section 56.20(c) </w:t>
      </w:r>
      <w:r w:rsidRPr="0090058A">
        <w:rPr>
          <w:szCs w:val="26"/>
        </w:rPr>
        <w:t xml:space="preserve">by using the “medical information” </w:t>
      </w:r>
      <w:r w:rsidRPr="0090058A">
        <w:rPr>
          <w:szCs w:val="26"/>
        </w:rPr>
        <w:t>he</w:t>
      </w:r>
      <w:r w:rsidRPr="0090058A">
        <w:rPr>
          <w:szCs w:val="26"/>
        </w:rPr>
        <w:t xml:space="preserve"> provided</w:t>
      </w:r>
      <w:r>
        <w:rPr>
          <w:szCs w:val="26"/>
        </w:rPr>
        <w:t xml:space="preserve"> without his authorization</w:t>
      </w:r>
      <w:r w:rsidRPr="0090058A">
        <w:rPr>
          <w:szCs w:val="26"/>
        </w:rPr>
        <w:t xml:space="preserve">, </w:t>
      </w:r>
      <w:r>
        <w:rPr>
          <w:szCs w:val="26"/>
        </w:rPr>
        <w:t xml:space="preserve">which consisted of </w:t>
      </w:r>
      <w:r>
        <w:rPr>
          <w:szCs w:val="26"/>
        </w:rPr>
        <w:t>his statement that he was ill and a description of his symptoms</w:t>
      </w:r>
      <w:r w:rsidRPr="0090058A">
        <w:rPr>
          <w:szCs w:val="26"/>
        </w:rPr>
        <w:t>,</w:t>
      </w:r>
      <w:r>
        <w:rPr>
          <w:szCs w:val="26"/>
        </w:rPr>
        <w:t xml:space="preserve"> </w:t>
      </w:r>
      <w:r w:rsidRPr="0090058A">
        <w:rPr>
          <w:szCs w:val="26"/>
        </w:rPr>
        <w:t xml:space="preserve">as the basis to terminate him. </w:t>
      </w:r>
      <w:r w:rsidRPr="0090058A">
        <w:rPr>
          <w:szCs w:val="26"/>
        </w:rPr>
        <w:t xml:space="preserve"> </w:t>
      </w:r>
      <w:proofErr w:type="spellStart"/>
      <w:r w:rsidRPr="0090058A">
        <w:rPr>
          <w:szCs w:val="26"/>
        </w:rPr>
        <w:t>Fray</w:t>
      </w:r>
      <w:r>
        <w:rPr>
          <w:szCs w:val="26"/>
        </w:rPr>
        <w:t>o</w:t>
      </w:r>
      <w:proofErr w:type="spellEnd"/>
      <w:r>
        <w:rPr>
          <w:szCs w:val="26"/>
        </w:rPr>
        <w:t xml:space="preserve"> does not </w:t>
      </w:r>
      <w:r>
        <w:rPr>
          <w:szCs w:val="26"/>
        </w:rPr>
        <w:t>argue</w:t>
      </w:r>
      <w:r>
        <w:rPr>
          <w:szCs w:val="26"/>
        </w:rPr>
        <w:t xml:space="preserve"> this theory on appeal</w:t>
      </w:r>
      <w:r>
        <w:rPr>
          <w:szCs w:val="26"/>
        </w:rPr>
        <w:t xml:space="preserve">, and properly so.  Under </w:t>
      </w:r>
      <w:r>
        <w:rPr>
          <w:szCs w:val="26"/>
        </w:rPr>
        <w:t xml:space="preserve">the </w:t>
      </w:r>
      <w:r>
        <w:rPr>
          <w:szCs w:val="26"/>
        </w:rPr>
        <w:t xml:space="preserve">CMIA, </w:t>
      </w:r>
      <w:proofErr w:type="spellStart"/>
      <w:r>
        <w:rPr>
          <w:szCs w:val="26"/>
        </w:rPr>
        <w:t>Frayo’s</w:t>
      </w:r>
      <w:proofErr w:type="spellEnd"/>
      <w:r>
        <w:rPr>
          <w:szCs w:val="26"/>
        </w:rPr>
        <w:t xml:space="preserve"> description of his own symptoms does not constitute “medical information” which is defined as information provided from </w:t>
      </w:r>
      <w:r w:rsidRPr="0000693E">
        <w:rPr>
          <w:szCs w:val="26"/>
        </w:rPr>
        <w:t>“</w:t>
      </w:r>
      <w:r w:rsidRPr="00AC0FFA">
        <w:rPr>
          <w:szCs w:val="26"/>
        </w:rPr>
        <w:t>a provider of health care, health care service plan, pharmaceutical company, or contractor</w:t>
      </w:r>
      <w:r w:rsidRPr="0000693E">
        <w:rPr>
          <w:szCs w:val="26"/>
        </w:rPr>
        <w:t>.”</w:t>
      </w:r>
      <w:r>
        <w:rPr>
          <w:szCs w:val="26"/>
        </w:rPr>
        <w:t xml:space="preserve">  (§</w:t>
      </w:r>
      <w:r>
        <w:rPr>
          <w:szCs w:val="26"/>
        </w:rPr>
        <w:t> </w:t>
      </w:r>
      <w:r w:rsidRPr="0090058A">
        <w:rPr>
          <w:szCs w:val="26"/>
        </w:rPr>
        <w:t>56.05, subd. (</w:t>
      </w:r>
      <w:r>
        <w:rPr>
          <w:szCs w:val="26"/>
        </w:rPr>
        <w:t>j</w:t>
      </w:r>
      <w:r w:rsidRPr="0090058A">
        <w:rPr>
          <w:szCs w:val="26"/>
        </w:rPr>
        <w:t>)</w:t>
      </w:r>
      <w:r>
        <w:rPr>
          <w:szCs w:val="26"/>
        </w:rPr>
        <w:t xml:space="preserve">; </w:t>
      </w:r>
      <w:r w:rsidRPr="00C153BA">
        <w:rPr>
          <w:i/>
          <w:iCs/>
          <w:szCs w:val="26"/>
        </w:rPr>
        <w:t>Rossi</w:t>
      </w:r>
      <w:r>
        <w:rPr>
          <w:szCs w:val="26"/>
        </w:rPr>
        <w:t xml:space="preserve">, </w:t>
      </w:r>
      <w:r w:rsidRPr="00C153BA">
        <w:rPr>
          <w:i/>
          <w:iCs/>
          <w:szCs w:val="26"/>
        </w:rPr>
        <w:t>supra</w:t>
      </w:r>
      <w:r>
        <w:rPr>
          <w:szCs w:val="26"/>
        </w:rPr>
        <w:t xml:space="preserve">, </w:t>
      </w:r>
      <w:r w:rsidRPr="0090058A">
        <w:rPr>
          <w:szCs w:val="26"/>
        </w:rPr>
        <w:t xml:space="preserve">94 Cal.App.5th </w:t>
      </w:r>
      <w:r>
        <w:rPr>
          <w:szCs w:val="26"/>
        </w:rPr>
        <w:t>at p</w:t>
      </w:r>
      <w:r>
        <w:rPr>
          <w:szCs w:val="26"/>
        </w:rPr>
        <w:t>p</w:t>
      </w:r>
      <w:r>
        <w:rPr>
          <w:szCs w:val="26"/>
        </w:rPr>
        <w:t>.</w:t>
      </w:r>
      <w:r>
        <w:rPr>
          <w:szCs w:val="26"/>
        </w:rPr>
        <w:t> </w:t>
      </w:r>
      <w:r>
        <w:rPr>
          <w:szCs w:val="26"/>
        </w:rPr>
        <w:t>996-</w:t>
      </w:r>
      <w:r w:rsidRPr="0090058A">
        <w:rPr>
          <w:szCs w:val="26"/>
        </w:rPr>
        <w:t>997</w:t>
      </w:r>
      <w:r>
        <w:rPr>
          <w:szCs w:val="26"/>
        </w:rPr>
        <w:t>.)</w:t>
      </w:r>
      <w:r>
        <w:rPr>
          <w:szCs w:val="26"/>
        </w:rPr>
        <w:t xml:space="preserve"> </w:t>
      </w:r>
      <w:r>
        <w:rPr>
          <w:szCs w:val="26"/>
        </w:rPr>
        <w:t xml:space="preserve"> </w:t>
      </w:r>
    </w:p>
    <w:p w14:paraId="47659068" w14:textId="77777777" w:rsidR="00C23344" w:rsidRPr="002323FB" w:rsidRDefault="00C23344" w:rsidP="008C46F5">
      <w:r w:rsidRPr="0090058A">
        <w:rPr>
          <w:szCs w:val="26"/>
        </w:rPr>
        <w:tab/>
      </w:r>
      <w:r>
        <w:rPr>
          <w:szCs w:val="26"/>
        </w:rPr>
        <w:t xml:space="preserve">Instead, </w:t>
      </w:r>
      <w:proofErr w:type="spellStart"/>
      <w:r w:rsidRPr="0090058A">
        <w:rPr>
          <w:szCs w:val="26"/>
        </w:rPr>
        <w:t>Frayo</w:t>
      </w:r>
      <w:proofErr w:type="spellEnd"/>
      <w:r w:rsidRPr="0090058A">
        <w:rPr>
          <w:szCs w:val="26"/>
        </w:rPr>
        <w:t xml:space="preserve"> </w:t>
      </w:r>
      <w:r>
        <w:rPr>
          <w:szCs w:val="26"/>
        </w:rPr>
        <w:t xml:space="preserve">now </w:t>
      </w:r>
      <w:r w:rsidRPr="0090058A">
        <w:rPr>
          <w:szCs w:val="26"/>
        </w:rPr>
        <w:t>argue</w:t>
      </w:r>
      <w:r w:rsidRPr="0090058A">
        <w:rPr>
          <w:szCs w:val="26"/>
        </w:rPr>
        <w:t>s</w:t>
      </w:r>
      <w:r w:rsidRPr="0090058A">
        <w:rPr>
          <w:szCs w:val="26"/>
        </w:rPr>
        <w:t xml:space="preserve"> </w:t>
      </w:r>
      <w:r>
        <w:rPr>
          <w:szCs w:val="26"/>
        </w:rPr>
        <w:t xml:space="preserve">respondents </w:t>
      </w:r>
      <w:r w:rsidRPr="0090058A">
        <w:rPr>
          <w:szCs w:val="26"/>
        </w:rPr>
        <w:t>violated section</w:t>
      </w:r>
      <w:r w:rsidRPr="0090058A">
        <w:rPr>
          <w:szCs w:val="26"/>
        </w:rPr>
        <w:t xml:space="preserve"> 56.20(c)</w:t>
      </w:r>
      <w:r w:rsidRPr="0090058A">
        <w:rPr>
          <w:szCs w:val="26"/>
        </w:rPr>
        <w:t xml:space="preserve"> </w:t>
      </w:r>
      <w:r w:rsidRPr="0090058A">
        <w:rPr>
          <w:szCs w:val="26"/>
        </w:rPr>
        <w:t xml:space="preserve">by failing </w:t>
      </w:r>
      <w:r w:rsidRPr="0090058A">
        <w:rPr>
          <w:szCs w:val="26"/>
        </w:rPr>
        <w:t>to</w:t>
      </w:r>
      <w:r w:rsidRPr="0090058A">
        <w:rPr>
          <w:szCs w:val="26"/>
        </w:rPr>
        <w:t xml:space="preserve"> provide </w:t>
      </w:r>
      <w:r>
        <w:rPr>
          <w:szCs w:val="26"/>
        </w:rPr>
        <w:t>him with an</w:t>
      </w:r>
      <w:r w:rsidRPr="0090058A">
        <w:rPr>
          <w:szCs w:val="26"/>
        </w:rPr>
        <w:t xml:space="preserve"> authorization</w:t>
      </w:r>
      <w:r w:rsidRPr="0090058A">
        <w:rPr>
          <w:szCs w:val="26"/>
        </w:rPr>
        <w:t xml:space="preserve"> </w:t>
      </w:r>
      <w:r>
        <w:rPr>
          <w:szCs w:val="26"/>
        </w:rPr>
        <w:t>form</w:t>
      </w:r>
      <w:r>
        <w:rPr>
          <w:szCs w:val="26"/>
        </w:rPr>
        <w:t xml:space="preserve"> </w:t>
      </w:r>
      <w:r w:rsidRPr="0090058A">
        <w:rPr>
          <w:szCs w:val="26"/>
        </w:rPr>
        <w:t xml:space="preserve">before asking </w:t>
      </w:r>
      <w:r w:rsidRPr="0090058A">
        <w:rPr>
          <w:szCs w:val="26"/>
        </w:rPr>
        <w:t>him</w:t>
      </w:r>
      <w:r w:rsidRPr="0090058A">
        <w:rPr>
          <w:szCs w:val="26"/>
        </w:rPr>
        <w:t xml:space="preserve"> to take the COVID-19 test</w:t>
      </w:r>
      <w:r w:rsidRPr="0090058A">
        <w:rPr>
          <w:szCs w:val="26"/>
        </w:rPr>
        <w:t xml:space="preserve"> and by forcing </w:t>
      </w:r>
      <w:proofErr w:type="spellStart"/>
      <w:r w:rsidRPr="0090058A">
        <w:rPr>
          <w:szCs w:val="26"/>
        </w:rPr>
        <w:t>Frayo</w:t>
      </w:r>
      <w:proofErr w:type="spellEnd"/>
      <w:r w:rsidRPr="0090058A">
        <w:rPr>
          <w:szCs w:val="26"/>
        </w:rPr>
        <w:t xml:space="preserve"> to provide his COVID-19 test result. </w:t>
      </w:r>
      <w:r w:rsidRPr="0090058A">
        <w:rPr>
          <w:szCs w:val="26"/>
        </w:rPr>
        <w:t xml:space="preserve"> </w:t>
      </w:r>
      <w:proofErr w:type="spellStart"/>
      <w:r w:rsidRPr="0090058A">
        <w:rPr>
          <w:szCs w:val="26"/>
        </w:rPr>
        <w:t>Frayo</w:t>
      </w:r>
      <w:proofErr w:type="spellEnd"/>
      <w:r w:rsidRPr="0090058A">
        <w:rPr>
          <w:szCs w:val="26"/>
        </w:rPr>
        <w:t xml:space="preserve"> </w:t>
      </w:r>
      <w:r>
        <w:rPr>
          <w:szCs w:val="26"/>
        </w:rPr>
        <w:t xml:space="preserve">asserts </w:t>
      </w:r>
      <w:r>
        <w:rPr>
          <w:szCs w:val="26"/>
        </w:rPr>
        <w:t xml:space="preserve">without supporting authority </w:t>
      </w:r>
      <w:r>
        <w:rPr>
          <w:szCs w:val="26"/>
        </w:rPr>
        <w:t>that</w:t>
      </w:r>
      <w:r w:rsidRPr="0090058A">
        <w:rPr>
          <w:szCs w:val="26"/>
        </w:rPr>
        <w:t xml:space="preserve"> “when an employer seeks medical information from its employee, the employer must provide the employee with an authorization</w:t>
      </w:r>
      <w:proofErr w:type="gramStart"/>
      <w:r w:rsidRPr="0090058A">
        <w:rPr>
          <w:szCs w:val="26"/>
        </w:rPr>
        <w:t>. . .</w:t>
      </w:r>
      <w:r>
        <w:rPr>
          <w:szCs w:val="26"/>
        </w:rPr>
        <w:t xml:space="preserve"> </w:t>
      </w:r>
      <w:r w:rsidRPr="0090058A">
        <w:rPr>
          <w:szCs w:val="26"/>
        </w:rPr>
        <w:t>.</w:t>
      </w:r>
      <w:proofErr w:type="gramEnd"/>
      <w:r w:rsidRPr="0090058A">
        <w:rPr>
          <w:szCs w:val="26"/>
        </w:rPr>
        <w:t xml:space="preserve">” </w:t>
      </w:r>
      <w:r w:rsidRPr="0090058A">
        <w:rPr>
          <w:szCs w:val="26"/>
        </w:rPr>
        <w:t xml:space="preserve"> </w:t>
      </w:r>
      <w:r>
        <w:rPr>
          <w:szCs w:val="26"/>
        </w:rPr>
        <w:t xml:space="preserve">But </w:t>
      </w:r>
      <w:r>
        <w:rPr>
          <w:szCs w:val="26"/>
        </w:rPr>
        <w:t xml:space="preserve">the language of </w:t>
      </w:r>
      <w:r>
        <w:rPr>
          <w:szCs w:val="26"/>
        </w:rPr>
        <w:t>s</w:t>
      </w:r>
      <w:r w:rsidRPr="0090058A">
        <w:rPr>
          <w:szCs w:val="26"/>
        </w:rPr>
        <w:t>ection 56.20(c</w:t>
      </w:r>
      <w:r>
        <w:rPr>
          <w:szCs w:val="26"/>
        </w:rPr>
        <w:t>)</w:t>
      </w:r>
      <w:r>
        <w:rPr>
          <w:szCs w:val="26"/>
        </w:rPr>
        <w:t xml:space="preserve"> </w:t>
      </w:r>
      <w:r>
        <w:rPr>
          <w:szCs w:val="26"/>
        </w:rPr>
        <w:t xml:space="preserve">contains </w:t>
      </w:r>
      <w:r>
        <w:rPr>
          <w:szCs w:val="26"/>
        </w:rPr>
        <w:t>no suc</w:t>
      </w:r>
      <w:r>
        <w:rPr>
          <w:szCs w:val="26"/>
        </w:rPr>
        <w:t xml:space="preserve">h </w:t>
      </w:r>
      <w:r>
        <w:rPr>
          <w:szCs w:val="26"/>
        </w:rPr>
        <w:t>requirement</w:t>
      </w:r>
      <w:r>
        <w:rPr>
          <w:szCs w:val="26"/>
        </w:rPr>
        <w:t xml:space="preserve">.  </w:t>
      </w:r>
      <w:r w:rsidRPr="00697ED3">
        <w:t xml:space="preserve">The statute </w:t>
      </w:r>
      <w:r>
        <w:rPr>
          <w:szCs w:val="26"/>
        </w:rPr>
        <w:t>simply states, absent certain exceptions not relevant here, “[n]</w:t>
      </w:r>
      <w:r w:rsidRPr="00537FBA">
        <w:rPr>
          <w:szCs w:val="26"/>
        </w:rPr>
        <w:t xml:space="preserve">o employer shall use, disclose, or knowingly permit its </w:t>
      </w:r>
      <w:r w:rsidRPr="00537FBA">
        <w:rPr>
          <w:szCs w:val="26"/>
        </w:rPr>
        <w:t>employees or agents to use or disclose medical information which</w:t>
      </w:r>
      <w:r w:rsidRPr="00697ED3">
        <w:t xml:space="preserve"> the </w:t>
      </w:r>
      <w:r w:rsidRPr="00537FBA">
        <w:rPr>
          <w:szCs w:val="26"/>
        </w:rPr>
        <w:t xml:space="preserve">employer possesses pertaining to its employees without the patient having first signed an </w:t>
      </w:r>
      <w:r w:rsidRPr="00697ED3">
        <w:t xml:space="preserve">authorization </w:t>
      </w:r>
      <w:proofErr w:type="gramStart"/>
      <w:r>
        <w:rPr>
          <w:szCs w:val="26"/>
        </w:rPr>
        <w:t>. . . .</w:t>
      </w:r>
      <w:proofErr w:type="gramEnd"/>
      <w:r>
        <w:rPr>
          <w:szCs w:val="26"/>
        </w:rPr>
        <w:t>”</w:t>
      </w:r>
      <w:r w:rsidRPr="00697ED3">
        <w:t xml:space="preserve">  (§</w:t>
      </w:r>
      <w:r>
        <w:t> </w:t>
      </w:r>
      <w:r w:rsidRPr="00697ED3">
        <w:t>56.20(c</w:t>
      </w:r>
      <w:r>
        <w:rPr>
          <w:szCs w:val="26"/>
        </w:rPr>
        <w:t>).)</w:t>
      </w:r>
      <w:r>
        <w:rPr>
          <w:szCs w:val="26"/>
        </w:rPr>
        <w:t xml:space="preserve"> </w:t>
      </w:r>
      <w:r>
        <w:rPr>
          <w:szCs w:val="26"/>
        </w:rPr>
        <w:t xml:space="preserve"> </w:t>
      </w:r>
      <w:r>
        <w:rPr>
          <w:szCs w:val="26"/>
        </w:rPr>
        <w:t>We</w:t>
      </w:r>
      <w:r>
        <w:rPr>
          <w:szCs w:val="26"/>
        </w:rPr>
        <w:t xml:space="preserve"> </w:t>
      </w:r>
      <w:r>
        <w:rPr>
          <w:szCs w:val="26"/>
        </w:rPr>
        <w:t>are without</w:t>
      </w:r>
      <w:r>
        <w:rPr>
          <w:szCs w:val="26"/>
        </w:rPr>
        <w:t xml:space="preserve"> authority to add</w:t>
      </w:r>
      <w:r>
        <w:rPr>
          <w:szCs w:val="26"/>
        </w:rPr>
        <w:t xml:space="preserve"> the requirement</w:t>
      </w:r>
      <w:r>
        <w:rPr>
          <w:szCs w:val="26"/>
        </w:rPr>
        <w:t xml:space="preserve"> that a</w:t>
      </w:r>
      <w:r>
        <w:rPr>
          <w:szCs w:val="26"/>
        </w:rPr>
        <w:t>n</w:t>
      </w:r>
      <w:r>
        <w:rPr>
          <w:szCs w:val="26"/>
        </w:rPr>
        <w:t xml:space="preserve"> employer seeking </w:t>
      </w:r>
      <w:r>
        <w:rPr>
          <w:szCs w:val="26"/>
        </w:rPr>
        <w:t>an employee’s medical information must provide an authorization to the employee as</w:t>
      </w:r>
      <w:r>
        <w:rPr>
          <w:szCs w:val="26"/>
        </w:rPr>
        <w:t xml:space="preserve"> </w:t>
      </w:r>
      <w:proofErr w:type="spellStart"/>
      <w:r>
        <w:rPr>
          <w:szCs w:val="26"/>
        </w:rPr>
        <w:lastRenderedPageBreak/>
        <w:t>Frayo</w:t>
      </w:r>
      <w:proofErr w:type="spellEnd"/>
      <w:r>
        <w:rPr>
          <w:szCs w:val="26"/>
        </w:rPr>
        <w:t xml:space="preserve"> desires here. </w:t>
      </w:r>
      <w:r>
        <w:rPr>
          <w:szCs w:val="26"/>
        </w:rPr>
        <w:t xml:space="preserve"> “A court ‘may not rewrite a statute, either by inserting or omitting language, to make it conform to a presumed intent that is not expres</w:t>
      </w:r>
      <w:r>
        <w:rPr>
          <w:szCs w:val="26"/>
        </w:rPr>
        <w:t>sed.</w:t>
      </w:r>
      <w:proofErr w:type="gramStart"/>
      <w:r>
        <w:rPr>
          <w:szCs w:val="26"/>
        </w:rPr>
        <w:t>’</w:t>
      </w:r>
      <w:r>
        <w:rPr>
          <w:szCs w:val="26"/>
        </w:rPr>
        <w:t> </w:t>
      </w:r>
      <w:r>
        <w:rPr>
          <w:szCs w:val="26"/>
        </w:rPr>
        <w:t>”</w:t>
      </w:r>
      <w:proofErr w:type="gramEnd"/>
      <w:r>
        <w:rPr>
          <w:szCs w:val="26"/>
        </w:rPr>
        <w:t xml:space="preserve"> </w:t>
      </w:r>
      <w:r>
        <w:rPr>
          <w:szCs w:val="26"/>
        </w:rPr>
        <w:t xml:space="preserve"> (</w:t>
      </w:r>
      <w:proofErr w:type="spellStart"/>
      <w:r>
        <w:rPr>
          <w:i/>
          <w:iCs/>
          <w:szCs w:val="26"/>
        </w:rPr>
        <w:t>Kaanaana</w:t>
      </w:r>
      <w:proofErr w:type="spellEnd"/>
      <w:r>
        <w:rPr>
          <w:i/>
          <w:iCs/>
          <w:szCs w:val="26"/>
        </w:rPr>
        <w:t xml:space="preserve"> v. Barrett Business Services, Inc. </w:t>
      </w:r>
      <w:r>
        <w:rPr>
          <w:szCs w:val="26"/>
        </w:rPr>
        <w:t>(2021) 11 Cal.5th 158, 171.)</w:t>
      </w:r>
    </w:p>
    <w:p w14:paraId="1E61C910" w14:textId="77777777" w:rsidR="00C23344" w:rsidRDefault="00C23344" w:rsidP="008C46F5">
      <w:pPr>
        <w:rPr>
          <w:szCs w:val="26"/>
        </w:rPr>
      </w:pPr>
      <w:r>
        <w:rPr>
          <w:szCs w:val="26"/>
        </w:rPr>
        <w:tab/>
      </w:r>
      <w:r>
        <w:rPr>
          <w:szCs w:val="26"/>
        </w:rPr>
        <w:t>Further, because s</w:t>
      </w:r>
      <w:r>
        <w:rPr>
          <w:szCs w:val="26"/>
        </w:rPr>
        <w:t>ection 56.20(c)</w:t>
      </w:r>
      <w:r>
        <w:rPr>
          <w:szCs w:val="26"/>
        </w:rPr>
        <w:t xml:space="preserve"> describes the use of “medical information which the employer possesses pertaining to its employees,” </w:t>
      </w:r>
      <w:r>
        <w:rPr>
          <w:szCs w:val="26"/>
        </w:rPr>
        <w:t>t</w:t>
      </w:r>
      <w:r>
        <w:rPr>
          <w:szCs w:val="26"/>
        </w:rPr>
        <w:t xml:space="preserve">he </w:t>
      </w:r>
      <w:r w:rsidRPr="0090058A">
        <w:rPr>
          <w:szCs w:val="26"/>
        </w:rPr>
        <w:t xml:space="preserve">plain language of section 56.20(c) </w:t>
      </w:r>
      <w:r>
        <w:rPr>
          <w:szCs w:val="26"/>
        </w:rPr>
        <w:t>limits its application to</w:t>
      </w:r>
      <w:r>
        <w:rPr>
          <w:szCs w:val="26"/>
        </w:rPr>
        <w:t xml:space="preserve"> </w:t>
      </w:r>
      <w:r w:rsidRPr="0090058A">
        <w:rPr>
          <w:szCs w:val="26"/>
        </w:rPr>
        <w:t>employe</w:t>
      </w:r>
      <w:r w:rsidRPr="00B73908">
        <w:rPr>
          <w:szCs w:val="26"/>
        </w:rPr>
        <w:t>rs</w:t>
      </w:r>
      <w:r w:rsidRPr="0090058A">
        <w:rPr>
          <w:szCs w:val="26"/>
        </w:rPr>
        <w:t xml:space="preserve"> who</w:t>
      </w:r>
      <w:r>
        <w:rPr>
          <w:szCs w:val="26"/>
        </w:rPr>
        <w:t xml:space="preserve"> already</w:t>
      </w:r>
      <w:r w:rsidRPr="0090058A">
        <w:rPr>
          <w:szCs w:val="26"/>
        </w:rPr>
        <w:t xml:space="preserve"> </w:t>
      </w:r>
      <w:r w:rsidRPr="00266121">
        <w:rPr>
          <w:szCs w:val="26"/>
        </w:rPr>
        <w:t>ha</w:t>
      </w:r>
      <w:r w:rsidRPr="00266121">
        <w:rPr>
          <w:szCs w:val="26"/>
        </w:rPr>
        <w:t>ve</w:t>
      </w:r>
      <w:r w:rsidRPr="00266121">
        <w:rPr>
          <w:szCs w:val="26"/>
        </w:rPr>
        <w:t xml:space="preserve"> possession</w:t>
      </w:r>
      <w:r w:rsidRPr="0090058A">
        <w:rPr>
          <w:szCs w:val="26"/>
        </w:rPr>
        <w:t xml:space="preserve"> of the employee/patient’s </w:t>
      </w:r>
      <w:r>
        <w:rPr>
          <w:szCs w:val="26"/>
        </w:rPr>
        <w:t xml:space="preserve">CMIA defined </w:t>
      </w:r>
      <w:r w:rsidRPr="0090058A">
        <w:rPr>
          <w:szCs w:val="26"/>
        </w:rPr>
        <w:t xml:space="preserve">medical </w:t>
      </w:r>
      <w:r w:rsidRPr="0090058A">
        <w:rPr>
          <w:szCs w:val="26"/>
        </w:rPr>
        <w:t>information</w:t>
      </w:r>
      <w:r>
        <w:rPr>
          <w:szCs w:val="26"/>
        </w:rPr>
        <w:t xml:space="preserve">, prohibiting </w:t>
      </w:r>
      <w:r>
        <w:rPr>
          <w:szCs w:val="26"/>
        </w:rPr>
        <w:t>such employers</w:t>
      </w:r>
      <w:r>
        <w:rPr>
          <w:szCs w:val="26"/>
        </w:rPr>
        <w:t xml:space="preserve"> </w:t>
      </w:r>
      <w:r w:rsidRPr="0090058A">
        <w:rPr>
          <w:szCs w:val="26"/>
        </w:rPr>
        <w:t>from using or disclosing</w:t>
      </w:r>
      <w:r w:rsidRPr="0090058A">
        <w:rPr>
          <w:szCs w:val="26"/>
        </w:rPr>
        <w:t xml:space="preserve"> that information without the employee’s </w:t>
      </w:r>
      <w:r>
        <w:rPr>
          <w:szCs w:val="26"/>
        </w:rPr>
        <w:t>authorization</w:t>
      </w:r>
      <w:r w:rsidRPr="0090058A">
        <w:rPr>
          <w:szCs w:val="26"/>
        </w:rPr>
        <w:t>.</w:t>
      </w:r>
      <w:r w:rsidRPr="0090058A">
        <w:rPr>
          <w:szCs w:val="26"/>
        </w:rPr>
        <w:t xml:space="preserve">  </w:t>
      </w:r>
      <w:r>
        <w:rPr>
          <w:szCs w:val="26"/>
        </w:rPr>
        <w:t>Based on th</w:t>
      </w:r>
      <w:r>
        <w:rPr>
          <w:szCs w:val="26"/>
        </w:rPr>
        <w:t>is</w:t>
      </w:r>
      <w:r>
        <w:rPr>
          <w:szCs w:val="26"/>
        </w:rPr>
        <w:t xml:space="preserve"> statutory language</w:t>
      </w:r>
      <w:r>
        <w:rPr>
          <w:szCs w:val="26"/>
        </w:rPr>
        <w:t xml:space="preserve">, </w:t>
      </w:r>
      <w:r>
        <w:rPr>
          <w:szCs w:val="26"/>
        </w:rPr>
        <w:t xml:space="preserve">the </w:t>
      </w:r>
      <w:r>
        <w:rPr>
          <w:szCs w:val="26"/>
        </w:rPr>
        <w:t>court</w:t>
      </w:r>
      <w:r>
        <w:rPr>
          <w:szCs w:val="26"/>
        </w:rPr>
        <w:t xml:space="preserve"> in </w:t>
      </w:r>
      <w:bookmarkStart w:id="2" w:name="_Hlk165548419"/>
      <w:r w:rsidRPr="00ED5881">
        <w:rPr>
          <w:i/>
          <w:iCs/>
          <w:szCs w:val="26"/>
        </w:rPr>
        <w:t>Rossi</w:t>
      </w:r>
      <w:r>
        <w:rPr>
          <w:szCs w:val="26"/>
        </w:rPr>
        <w:t xml:space="preserve">, </w:t>
      </w:r>
      <w:r w:rsidRPr="00ED5881">
        <w:rPr>
          <w:i/>
          <w:iCs/>
          <w:szCs w:val="26"/>
        </w:rPr>
        <w:t>supra</w:t>
      </w:r>
      <w:r>
        <w:rPr>
          <w:szCs w:val="26"/>
        </w:rPr>
        <w:t xml:space="preserve">, 94 Cal.App.5th </w:t>
      </w:r>
      <w:bookmarkEnd w:id="2"/>
      <w:r>
        <w:rPr>
          <w:szCs w:val="26"/>
        </w:rPr>
        <w:t>at p</w:t>
      </w:r>
      <w:r>
        <w:rPr>
          <w:szCs w:val="26"/>
        </w:rPr>
        <w:t>age</w:t>
      </w:r>
      <w:r>
        <w:rPr>
          <w:szCs w:val="26"/>
        </w:rPr>
        <w:t>s</w:t>
      </w:r>
      <w:r>
        <w:rPr>
          <w:szCs w:val="26"/>
        </w:rPr>
        <w:t xml:space="preserve"> 9</w:t>
      </w:r>
      <w:r>
        <w:rPr>
          <w:szCs w:val="26"/>
        </w:rPr>
        <w:t>9</w:t>
      </w:r>
      <w:r>
        <w:rPr>
          <w:szCs w:val="26"/>
        </w:rPr>
        <w:t>6-997</w:t>
      </w:r>
      <w:r>
        <w:rPr>
          <w:szCs w:val="26"/>
        </w:rPr>
        <w:t>,</w:t>
      </w:r>
      <w:r>
        <w:rPr>
          <w:szCs w:val="26"/>
        </w:rPr>
        <w:t xml:space="preserve"> </w:t>
      </w:r>
      <w:r>
        <w:rPr>
          <w:szCs w:val="26"/>
        </w:rPr>
        <w:t xml:space="preserve">concluded </w:t>
      </w:r>
      <w:r>
        <w:rPr>
          <w:szCs w:val="26"/>
        </w:rPr>
        <w:t>that</w:t>
      </w:r>
      <w:r w:rsidRPr="0090058A">
        <w:rPr>
          <w:szCs w:val="26"/>
        </w:rPr>
        <w:t xml:space="preserve"> </w:t>
      </w:r>
      <w:r>
        <w:rPr>
          <w:szCs w:val="26"/>
        </w:rPr>
        <w:t>to successfully assert</w:t>
      </w:r>
      <w:r w:rsidRPr="0090058A">
        <w:rPr>
          <w:szCs w:val="26"/>
        </w:rPr>
        <w:t xml:space="preserve"> </w:t>
      </w:r>
      <w:r w:rsidRPr="0090058A">
        <w:rPr>
          <w:szCs w:val="26"/>
        </w:rPr>
        <w:t>liability under section 56.20(c)</w:t>
      </w:r>
      <w:r>
        <w:rPr>
          <w:szCs w:val="26"/>
        </w:rPr>
        <w:t>, the plaintiff must allege that</w:t>
      </w:r>
      <w:r w:rsidRPr="0090058A">
        <w:rPr>
          <w:szCs w:val="26"/>
        </w:rPr>
        <w:t xml:space="preserve"> the </w:t>
      </w:r>
      <w:r w:rsidRPr="0090058A">
        <w:rPr>
          <w:szCs w:val="26"/>
        </w:rPr>
        <w:t xml:space="preserve">employer </w:t>
      </w:r>
      <w:r>
        <w:rPr>
          <w:szCs w:val="26"/>
        </w:rPr>
        <w:t>used</w:t>
      </w:r>
      <w:r>
        <w:rPr>
          <w:szCs w:val="26"/>
        </w:rPr>
        <w:t xml:space="preserve"> medical information </w:t>
      </w:r>
      <w:r>
        <w:rPr>
          <w:szCs w:val="26"/>
        </w:rPr>
        <w:t xml:space="preserve">received </w:t>
      </w:r>
      <w:r>
        <w:rPr>
          <w:szCs w:val="26"/>
        </w:rPr>
        <w:t xml:space="preserve">from </w:t>
      </w:r>
      <w:r>
        <w:rPr>
          <w:szCs w:val="26"/>
        </w:rPr>
        <w:t>the employee’s</w:t>
      </w:r>
      <w:r>
        <w:rPr>
          <w:szCs w:val="26"/>
        </w:rPr>
        <w:t xml:space="preserve"> </w:t>
      </w:r>
      <w:r>
        <w:rPr>
          <w:szCs w:val="26"/>
        </w:rPr>
        <w:t>health care provider</w:t>
      </w:r>
      <w:r w:rsidRPr="0090058A">
        <w:rPr>
          <w:szCs w:val="26"/>
        </w:rPr>
        <w:t>.</w:t>
      </w:r>
      <w:r>
        <w:rPr>
          <w:szCs w:val="26"/>
        </w:rPr>
        <w:t xml:space="preserve"> </w:t>
      </w:r>
      <w:r>
        <w:rPr>
          <w:szCs w:val="26"/>
        </w:rPr>
        <w:t xml:space="preserve"> </w:t>
      </w:r>
      <w:r>
        <w:rPr>
          <w:szCs w:val="26"/>
        </w:rPr>
        <w:t xml:space="preserve">In </w:t>
      </w:r>
      <w:r w:rsidRPr="00A40441">
        <w:rPr>
          <w:i/>
          <w:iCs/>
          <w:szCs w:val="26"/>
        </w:rPr>
        <w:t>Rossi</w:t>
      </w:r>
      <w:r>
        <w:rPr>
          <w:szCs w:val="26"/>
        </w:rPr>
        <w:t>, plaintiff alleged defendants violated section 56.20(c)</w:t>
      </w:r>
      <w:r>
        <w:rPr>
          <w:szCs w:val="26"/>
        </w:rPr>
        <w:t xml:space="preserve"> because the school’s classification of</w:t>
      </w:r>
      <w:r>
        <w:rPr>
          <w:szCs w:val="26"/>
        </w:rPr>
        <w:t xml:space="preserve"> </w:t>
      </w:r>
      <w:r w:rsidRPr="00112027">
        <w:rPr>
          <w:szCs w:val="26"/>
        </w:rPr>
        <w:t>Rossi</w:t>
      </w:r>
      <w:r>
        <w:rPr>
          <w:szCs w:val="26"/>
        </w:rPr>
        <w:t xml:space="preserve"> as </w:t>
      </w:r>
      <w:r>
        <w:rPr>
          <w:szCs w:val="26"/>
        </w:rPr>
        <w:t>“unvaccinated,” was used without her authorization and as a basis for her termination.  (</w:t>
      </w:r>
      <w:r>
        <w:rPr>
          <w:i/>
          <w:iCs/>
          <w:szCs w:val="26"/>
        </w:rPr>
        <w:t>Id.</w:t>
      </w:r>
      <w:r>
        <w:rPr>
          <w:szCs w:val="26"/>
        </w:rPr>
        <w:t xml:space="preserve"> at pp.</w:t>
      </w:r>
      <w:r>
        <w:rPr>
          <w:szCs w:val="26"/>
        </w:rPr>
        <w:t xml:space="preserve"> 981-982.)  The appellate court concluded that the school’s classification of plaintiff as </w:t>
      </w:r>
      <w:r>
        <w:rPr>
          <w:szCs w:val="26"/>
        </w:rPr>
        <w:t xml:space="preserve">“unvaccinated” was not based on medical information received by the school, as plaintiff refused to disclose such information. </w:t>
      </w:r>
      <w:r>
        <w:rPr>
          <w:szCs w:val="26"/>
        </w:rPr>
        <w:t xml:space="preserve"> </w:t>
      </w:r>
      <w:r>
        <w:rPr>
          <w:szCs w:val="26"/>
        </w:rPr>
        <w:t>(</w:t>
      </w:r>
      <w:r>
        <w:rPr>
          <w:i/>
          <w:iCs/>
          <w:szCs w:val="26"/>
        </w:rPr>
        <w:t>Id</w:t>
      </w:r>
      <w:r>
        <w:rPr>
          <w:szCs w:val="26"/>
        </w:rPr>
        <w:t xml:space="preserve">. at pp. 996-997.)  “Without any factual allegations that </w:t>
      </w:r>
      <w:r>
        <w:rPr>
          <w:szCs w:val="26"/>
        </w:rPr>
        <w:t>[</w:t>
      </w:r>
      <w:r>
        <w:rPr>
          <w:szCs w:val="26"/>
        </w:rPr>
        <w:t>respondents</w:t>
      </w:r>
      <w:r>
        <w:rPr>
          <w:szCs w:val="26"/>
        </w:rPr>
        <w:t>]</w:t>
      </w:r>
      <w:r>
        <w:rPr>
          <w:szCs w:val="26"/>
        </w:rPr>
        <w:t xml:space="preserve"> received any ‘medical information,’ such as medical records, a medical</w:t>
      </w:r>
      <w:r>
        <w:rPr>
          <w:szCs w:val="26"/>
        </w:rPr>
        <w:t xml:space="preserve"> certification, or other information in ‘electronic or physical form .</w:t>
      </w:r>
      <w:r>
        <w:rPr>
          <w:szCs w:val="26"/>
        </w:rPr>
        <w:t> . . derived from a provider of health care’ [citation], the complaint fails to state a cause of action for unauthorized use of such information under section 56.20(c)</w:t>
      </w:r>
      <w:r>
        <w:rPr>
          <w:szCs w:val="26"/>
        </w:rPr>
        <w:t>.”</w:t>
      </w:r>
      <w:r>
        <w:rPr>
          <w:szCs w:val="26"/>
        </w:rPr>
        <w:t xml:space="preserve"> </w:t>
      </w:r>
      <w:r>
        <w:rPr>
          <w:szCs w:val="26"/>
        </w:rPr>
        <w:t xml:space="preserve"> (</w:t>
      </w:r>
      <w:r>
        <w:rPr>
          <w:i/>
          <w:iCs/>
          <w:szCs w:val="26"/>
        </w:rPr>
        <w:t>Id</w:t>
      </w:r>
      <w:r>
        <w:rPr>
          <w:szCs w:val="26"/>
        </w:rPr>
        <w:t>. at p. 997.)</w:t>
      </w:r>
      <w:r>
        <w:rPr>
          <w:szCs w:val="26"/>
        </w:rPr>
        <w:t xml:space="preserve"> </w:t>
      </w:r>
      <w:r>
        <w:rPr>
          <w:szCs w:val="26"/>
        </w:rPr>
        <w:t xml:space="preserve"> </w:t>
      </w:r>
      <w:r w:rsidRPr="00A40441">
        <w:rPr>
          <w:szCs w:val="26"/>
        </w:rPr>
        <w:t>We</w:t>
      </w:r>
      <w:r>
        <w:rPr>
          <w:szCs w:val="26"/>
        </w:rPr>
        <w:t xml:space="preserve"> perceive no sound reason to disagree with this interpretation of the statute.</w:t>
      </w:r>
      <w:r>
        <w:rPr>
          <w:szCs w:val="26"/>
        </w:rPr>
        <w:t xml:space="preserve"> </w:t>
      </w:r>
    </w:p>
    <w:p w14:paraId="286B3824" w14:textId="77777777" w:rsidR="00C23344" w:rsidRPr="00FC145F" w:rsidRDefault="00C23344" w:rsidP="00386480">
      <w:pPr>
        <w:rPr>
          <w:b/>
          <w:bCs/>
          <w:szCs w:val="26"/>
        </w:rPr>
      </w:pPr>
      <w:r w:rsidRPr="0090058A">
        <w:rPr>
          <w:szCs w:val="26"/>
        </w:rPr>
        <w:tab/>
      </w:r>
      <w:r>
        <w:rPr>
          <w:szCs w:val="26"/>
        </w:rPr>
        <w:t xml:space="preserve">As in </w:t>
      </w:r>
      <w:r w:rsidRPr="00266121">
        <w:rPr>
          <w:i/>
          <w:iCs/>
          <w:szCs w:val="26"/>
        </w:rPr>
        <w:t>Rossi</w:t>
      </w:r>
      <w:r>
        <w:rPr>
          <w:szCs w:val="26"/>
        </w:rPr>
        <w:t xml:space="preserve">, </w:t>
      </w:r>
      <w:proofErr w:type="spellStart"/>
      <w:r w:rsidRPr="0090058A">
        <w:rPr>
          <w:szCs w:val="26"/>
        </w:rPr>
        <w:t>Frayo</w:t>
      </w:r>
      <w:proofErr w:type="spellEnd"/>
      <w:r w:rsidRPr="0090058A">
        <w:rPr>
          <w:szCs w:val="26"/>
        </w:rPr>
        <w:t xml:space="preserve"> has not al</w:t>
      </w:r>
      <w:r>
        <w:rPr>
          <w:szCs w:val="26"/>
        </w:rPr>
        <w:t xml:space="preserve">leged </w:t>
      </w:r>
      <w:r>
        <w:rPr>
          <w:szCs w:val="26"/>
        </w:rPr>
        <w:t xml:space="preserve">that </w:t>
      </w:r>
      <w:r>
        <w:rPr>
          <w:szCs w:val="26"/>
        </w:rPr>
        <w:t xml:space="preserve">respondents </w:t>
      </w:r>
      <w:r>
        <w:rPr>
          <w:szCs w:val="26"/>
        </w:rPr>
        <w:t>received any</w:t>
      </w:r>
      <w:r w:rsidRPr="0090058A">
        <w:rPr>
          <w:szCs w:val="26"/>
        </w:rPr>
        <w:t xml:space="preserve"> </w:t>
      </w:r>
      <w:r w:rsidRPr="0090058A">
        <w:rPr>
          <w:szCs w:val="26"/>
        </w:rPr>
        <w:t>medical information</w:t>
      </w:r>
      <w:r>
        <w:rPr>
          <w:szCs w:val="26"/>
        </w:rPr>
        <w:t xml:space="preserve"> </w:t>
      </w:r>
      <w:r>
        <w:rPr>
          <w:szCs w:val="26"/>
        </w:rPr>
        <w:t xml:space="preserve">“derived from a provider of health care” </w:t>
      </w:r>
      <w:r>
        <w:rPr>
          <w:szCs w:val="26"/>
        </w:rPr>
        <w:t xml:space="preserve">under </w:t>
      </w:r>
      <w:r>
        <w:rPr>
          <w:szCs w:val="26"/>
        </w:rPr>
        <w:t xml:space="preserve">the </w:t>
      </w:r>
      <w:r>
        <w:rPr>
          <w:szCs w:val="26"/>
        </w:rPr>
        <w:t>CMIA</w:t>
      </w:r>
      <w:r w:rsidRPr="0090058A">
        <w:rPr>
          <w:szCs w:val="26"/>
        </w:rPr>
        <w:t xml:space="preserve">.  </w:t>
      </w:r>
      <w:r>
        <w:rPr>
          <w:szCs w:val="26"/>
        </w:rPr>
        <w:t xml:space="preserve">Indeed, </w:t>
      </w:r>
      <w:proofErr w:type="spellStart"/>
      <w:r w:rsidRPr="0090058A">
        <w:rPr>
          <w:szCs w:val="26"/>
        </w:rPr>
        <w:t>Frayo</w:t>
      </w:r>
      <w:proofErr w:type="spellEnd"/>
      <w:r w:rsidRPr="0090058A">
        <w:rPr>
          <w:szCs w:val="26"/>
        </w:rPr>
        <w:t xml:space="preserve"> </w:t>
      </w:r>
      <w:r w:rsidRPr="0090058A">
        <w:rPr>
          <w:szCs w:val="26"/>
        </w:rPr>
        <w:t>concede</w:t>
      </w:r>
      <w:r>
        <w:rPr>
          <w:szCs w:val="26"/>
        </w:rPr>
        <w:t>d</w:t>
      </w:r>
      <w:r w:rsidRPr="0090058A">
        <w:rPr>
          <w:szCs w:val="26"/>
        </w:rPr>
        <w:t xml:space="preserve"> </w:t>
      </w:r>
      <w:r w:rsidRPr="0090058A">
        <w:rPr>
          <w:szCs w:val="26"/>
        </w:rPr>
        <w:t>he never took the COVID-19 test</w:t>
      </w:r>
      <w:r>
        <w:rPr>
          <w:szCs w:val="26"/>
        </w:rPr>
        <w:t xml:space="preserve">, </w:t>
      </w:r>
      <w:r w:rsidRPr="0090058A">
        <w:rPr>
          <w:szCs w:val="26"/>
        </w:rPr>
        <w:t>and</w:t>
      </w:r>
      <w:r>
        <w:rPr>
          <w:szCs w:val="26"/>
        </w:rPr>
        <w:t xml:space="preserve"> thus</w:t>
      </w:r>
      <w:r w:rsidRPr="0090058A">
        <w:rPr>
          <w:szCs w:val="26"/>
        </w:rPr>
        <w:t xml:space="preserve"> it would be </w:t>
      </w:r>
      <w:r>
        <w:rPr>
          <w:szCs w:val="26"/>
        </w:rPr>
        <w:t>impossible</w:t>
      </w:r>
      <w:r w:rsidRPr="0090058A">
        <w:rPr>
          <w:szCs w:val="26"/>
        </w:rPr>
        <w:t xml:space="preserve"> for </w:t>
      </w:r>
      <w:r>
        <w:rPr>
          <w:szCs w:val="26"/>
        </w:rPr>
        <w:t>respondents</w:t>
      </w:r>
      <w:r w:rsidRPr="0090058A">
        <w:rPr>
          <w:szCs w:val="26"/>
        </w:rPr>
        <w:t xml:space="preserve"> to be in possession of </w:t>
      </w:r>
      <w:r w:rsidRPr="0090058A">
        <w:rPr>
          <w:szCs w:val="26"/>
        </w:rPr>
        <w:t xml:space="preserve">medical information related to the test. </w:t>
      </w:r>
      <w:r>
        <w:rPr>
          <w:szCs w:val="26"/>
        </w:rPr>
        <w:t xml:space="preserve"> </w:t>
      </w:r>
      <w:r>
        <w:rPr>
          <w:szCs w:val="26"/>
        </w:rPr>
        <w:t>As</w:t>
      </w:r>
      <w:r>
        <w:rPr>
          <w:szCs w:val="26"/>
        </w:rPr>
        <w:t xml:space="preserve"> in </w:t>
      </w:r>
      <w:r w:rsidRPr="00115A99">
        <w:rPr>
          <w:i/>
          <w:iCs/>
          <w:szCs w:val="26"/>
        </w:rPr>
        <w:t>Rossi</w:t>
      </w:r>
      <w:r>
        <w:rPr>
          <w:szCs w:val="26"/>
        </w:rPr>
        <w:t>, w</w:t>
      </w:r>
      <w:r w:rsidRPr="0090058A">
        <w:rPr>
          <w:szCs w:val="26"/>
        </w:rPr>
        <w:t xml:space="preserve">ithout factual allegations establishing that </w:t>
      </w:r>
      <w:r>
        <w:rPr>
          <w:szCs w:val="26"/>
        </w:rPr>
        <w:t>respondents</w:t>
      </w:r>
      <w:r>
        <w:rPr>
          <w:szCs w:val="26"/>
        </w:rPr>
        <w:t xml:space="preserve"> </w:t>
      </w:r>
      <w:proofErr w:type="gramStart"/>
      <w:r>
        <w:rPr>
          <w:szCs w:val="26"/>
        </w:rPr>
        <w:t>actually</w:t>
      </w:r>
      <w:r w:rsidRPr="0090058A">
        <w:rPr>
          <w:szCs w:val="26"/>
        </w:rPr>
        <w:t xml:space="preserve"> received</w:t>
      </w:r>
      <w:proofErr w:type="gramEnd"/>
      <w:r w:rsidRPr="0090058A">
        <w:rPr>
          <w:szCs w:val="26"/>
        </w:rPr>
        <w:t xml:space="preserve"> </w:t>
      </w:r>
      <w:r>
        <w:rPr>
          <w:szCs w:val="26"/>
        </w:rPr>
        <w:t xml:space="preserve">or were in </w:t>
      </w:r>
      <w:r>
        <w:rPr>
          <w:szCs w:val="26"/>
        </w:rPr>
        <w:lastRenderedPageBreak/>
        <w:t xml:space="preserve">possession of </w:t>
      </w:r>
      <w:proofErr w:type="spellStart"/>
      <w:r>
        <w:rPr>
          <w:szCs w:val="26"/>
        </w:rPr>
        <w:t>Frayo’s</w:t>
      </w:r>
      <w:proofErr w:type="spellEnd"/>
      <w:r>
        <w:rPr>
          <w:szCs w:val="26"/>
        </w:rPr>
        <w:t xml:space="preserve"> </w:t>
      </w:r>
      <w:r w:rsidRPr="0090058A">
        <w:rPr>
          <w:szCs w:val="26"/>
        </w:rPr>
        <w:t>medical information</w:t>
      </w:r>
      <w:r>
        <w:rPr>
          <w:szCs w:val="26"/>
        </w:rPr>
        <w:t xml:space="preserve"> as defined under </w:t>
      </w:r>
      <w:r>
        <w:rPr>
          <w:szCs w:val="26"/>
        </w:rPr>
        <w:t xml:space="preserve">the </w:t>
      </w:r>
      <w:r>
        <w:rPr>
          <w:szCs w:val="26"/>
        </w:rPr>
        <w:t>CMIA,</w:t>
      </w:r>
      <w:r w:rsidRPr="0090058A">
        <w:rPr>
          <w:szCs w:val="26"/>
        </w:rPr>
        <w:t xml:space="preserve"> </w:t>
      </w:r>
      <w:r>
        <w:rPr>
          <w:szCs w:val="26"/>
        </w:rPr>
        <w:t>he</w:t>
      </w:r>
      <w:r w:rsidRPr="0090058A">
        <w:rPr>
          <w:szCs w:val="26"/>
        </w:rPr>
        <w:t xml:space="preserve"> </w:t>
      </w:r>
      <w:r w:rsidRPr="0090058A">
        <w:rPr>
          <w:szCs w:val="26"/>
        </w:rPr>
        <w:t>fail</w:t>
      </w:r>
      <w:r>
        <w:rPr>
          <w:szCs w:val="26"/>
        </w:rPr>
        <w:t>s</w:t>
      </w:r>
      <w:r w:rsidRPr="0090058A">
        <w:rPr>
          <w:szCs w:val="26"/>
        </w:rPr>
        <w:t xml:space="preserve"> to state a claim that </w:t>
      </w:r>
      <w:r>
        <w:rPr>
          <w:szCs w:val="26"/>
        </w:rPr>
        <w:t>respondents</w:t>
      </w:r>
      <w:r w:rsidRPr="0090058A">
        <w:rPr>
          <w:szCs w:val="26"/>
        </w:rPr>
        <w:t xml:space="preserve"> used this information</w:t>
      </w:r>
      <w:r>
        <w:rPr>
          <w:szCs w:val="26"/>
        </w:rPr>
        <w:t xml:space="preserve"> without </w:t>
      </w:r>
      <w:r>
        <w:rPr>
          <w:szCs w:val="26"/>
        </w:rPr>
        <w:t xml:space="preserve">his </w:t>
      </w:r>
      <w:r>
        <w:rPr>
          <w:szCs w:val="26"/>
        </w:rPr>
        <w:t>authorization</w:t>
      </w:r>
      <w:r>
        <w:rPr>
          <w:szCs w:val="26"/>
        </w:rPr>
        <w:t xml:space="preserve"> under section</w:t>
      </w:r>
      <w:r>
        <w:rPr>
          <w:szCs w:val="26"/>
        </w:rPr>
        <w:t xml:space="preserve"> </w:t>
      </w:r>
      <w:r>
        <w:rPr>
          <w:szCs w:val="26"/>
        </w:rPr>
        <w:t>56.20(c)</w:t>
      </w:r>
      <w:r w:rsidRPr="0090058A">
        <w:rPr>
          <w:szCs w:val="26"/>
        </w:rPr>
        <w:t xml:space="preserve">. </w:t>
      </w:r>
      <w:r>
        <w:rPr>
          <w:szCs w:val="26"/>
        </w:rPr>
        <w:t xml:space="preserve"> </w:t>
      </w:r>
      <w:proofErr w:type="spellStart"/>
      <w:r>
        <w:rPr>
          <w:szCs w:val="26"/>
        </w:rPr>
        <w:t>Frayo</w:t>
      </w:r>
      <w:proofErr w:type="spellEnd"/>
      <w:r>
        <w:rPr>
          <w:szCs w:val="26"/>
        </w:rPr>
        <w:t xml:space="preserve"> has not argued nor shown a reasonable possibility </w:t>
      </w:r>
      <w:r>
        <w:rPr>
          <w:szCs w:val="26"/>
        </w:rPr>
        <w:t xml:space="preserve">that he could establish this </w:t>
      </w:r>
      <w:r>
        <w:rPr>
          <w:szCs w:val="26"/>
        </w:rPr>
        <w:t xml:space="preserve">element </w:t>
      </w:r>
      <w:r>
        <w:rPr>
          <w:szCs w:val="26"/>
        </w:rPr>
        <w:t>by amendment</w:t>
      </w:r>
      <w:r>
        <w:rPr>
          <w:szCs w:val="26"/>
        </w:rPr>
        <w:t xml:space="preserve">.  Accordingly, </w:t>
      </w:r>
      <w:r w:rsidRPr="0090058A">
        <w:rPr>
          <w:szCs w:val="26"/>
        </w:rPr>
        <w:t xml:space="preserve">the trial court properly </w:t>
      </w:r>
      <w:r w:rsidRPr="0090058A">
        <w:rPr>
          <w:szCs w:val="26"/>
        </w:rPr>
        <w:t xml:space="preserve">sustained </w:t>
      </w:r>
      <w:r>
        <w:rPr>
          <w:szCs w:val="26"/>
        </w:rPr>
        <w:t>the</w:t>
      </w:r>
      <w:r w:rsidRPr="0090058A">
        <w:rPr>
          <w:szCs w:val="26"/>
        </w:rPr>
        <w:t xml:space="preserve"> </w:t>
      </w:r>
      <w:r w:rsidRPr="0090058A">
        <w:rPr>
          <w:szCs w:val="26"/>
        </w:rPr>
        <w:t>demurrer</w:t>
      </w:r>
      <w:r w:rsidRPr="0090058A">
        <w:rPr>
          <w:szCs w:val="26"/>
        </w:rPr>
        <w:t xml:space="preserve"> to </w:t>
      </w:r>
      <w:r>
        <w:rPr>
          <w:szCs w:val="26"/>
        </w:rPr>
        <w:t>his</w:t>
      </w:r>
      <w:r w:rsidRPr="0090058A">
        <w:rPr>
          <w:szCs w:val="26"/>
        </w:rPr>
        <w:t xml:space="preserve"> second cause of action</w:t>
      </w:r>
      <w:r>
        <w:rPr>
          <w:szCs w:val="26"/>
        </w:rPr>
        <w:t xml:space="preserve"> without leave to amend</w:t>
      </w:r>
      <w:r>
        <w:rPr>
          <w:szCs w:val="26"/>
        </w:rPr>
        <w:t>.</w:t>
      </w:r>
    </w:p>
    <w:p w14:paraId="345581F0" w14:textId="77777777" w:rsidR="00C23344" w:rsidRPr="00586B88" w:rsidRDefault="00C23344" w:rsidP="000C2E05">
      <w:pPr>
        <w:rPr>
          <w:b/>
          <w:bCs/>
          <w:i/>
          <w:iCs/>
        </w:rPr>
      </w:pPr>
      <w:r>
        <w:rPr>
          <w:b/>
          <w:bCs/>
          <w:i/>
          <w:iCs/>
        </w:rPr>
        <w:tab/>
        <w:t>C.</w:t>
      </w:r>
      <w:r>
        <w:rPr>
          <w:b/>
          <w:bCs/>
          <w:i/>
          <w:iCs/>
        </w:rPr>
        <w:tab/>
      </w:r>
      <w:r>
        <w:rPr>
          <w:b/>
          <w:bCs/>
          <w:i/>
          <w:iCs/>
        </w:rPr>
        <w:t>No Error in Dismissing the First Amended Complaint as to All Parties</w:t>
      </w:r>
    </w:p>
    <w:p w14:paraId="4F66AB41" w14:textId="77777777" w:rsidR="00C23344" w:rsidRPr="0090058A" w:rsidRDefault="00C23344" w:rsidP="00316FBE">
      <w:pPr>
        <w:tabs>
          <w:tab w:val="clear" w:pos="720"/>
          <w:tab w:val="left" w:pos="0"/>
        </w:tabs>
        <w:ind w:firstLine="720"/>
        <w:rPr>
          <w:szCs w:val="26"/>
        </w:rPr>
      </w:pPr>
      <w:proofErr w:type="spellStart"/>
      <w:r w:rsidRPr="0090058A">
        <w:rPr>
          <w:szCs w:val="26"/>
        </w:rPr>
        <w:t>Frayo</w:t>
      </w:r>
      <w:proofErr w:type="spellEnd"/>
      <w:r w:rsidRPr="0090058A">
        <w:rPr>
          <w:szCs w:val="26"/>
        </w:rPr>
        <w:t xml:space="preserve"> contends the trial court erred </w:t>
      </w:r>
      <w:r w:rsidRPr="0090058A">
        <w:rPr>
          <w:szCs w:val="26"/>
        </w:rPr>
        <w:t xml:space="preserve">when it dismissed the lawsuit in its </w:t>
      </w:r>
      <w:r>
        <w:rPr>
          <w:szCs w:val="26"/>
        </w:rPr>
        <w:t>entirety</w:t>
      </w:r>
      <w:r w:rsidRPr="0090058A">
        <w:rPr>
          <w:szCs w:val="26"/>
        </w:rPr>
        <w:t xml:space="preserve"> </w:t>
      </w:r>
      <w:r w:rsidRPr="0090058A">
        <w:rPr>
          <w:szCs w:val="26"/>
        </w:rPr>
        <w:t>without ruling</w:t>
      </w:r>
      <w:r w:rsidRPr="0090058A">
        <w:rPr>
          <w:szCs w:val="26"/>
        </w:rPr>
        <w:t xml:space="preserve"> on the issue of whether </w:t>
      </w:r>
      <w:r>
        <w:rPr>
          <w:szCs w:val="26"/>
        </w:rPr>
        <w:t>Martin and Raphael-Martin</w:t>
      </w:r>
      <w:r w:rsidRPr="0090058A">
        <w:rPr>
          <w:szCs w:val="26"/>
        </w:rPr>
        <w:t xml:space="preserve"> </w:t>
      </w:r>
      <w:r w:rsidRPr="0090058A">
        <w:rPr>
          <w:szCs w:val="26"/>
        </w:rPr>
        <w:t xml:space="preserve">could be </w:t>
      </w:r>
      <w:r w:rsidRPr="0090058A">
        <w:rPr>
          <w:szCs w:val="26"/>
        </w:rPr>
        <w:t xml:space="preserve">individually liable </w:t>
      </w:r>
      <w:r w:rsidRPr="0090058A">
        <w:rPr>
          <w:szCs w:val="26"/>
        </w:rPr>
        <w:t xml:space="preserve">under CMIA.  </w:t>
      </w:r>
      <w:proofErr w:type="spellStart"/>
      <w:r w:rsidRPr="0090058A">
        <w:rPr>
          <w:szCs w:val="26"/>
        </w:rPr>
        <w:t>Frayo</w:t>
      </w:r>
      <w:proofErr w:type="spellEnd"/>
      <w:r w:rsidRPr="0090058A">
        <w:rPr>
          <w:szCs w:val="26"/>
        </w:rPr>
        <w:t xml:space="preserve"> requests </w:t>
      </w:r>
      <w:r>
        <w:rPr>
          <w:szCs w:val="26"/>
        </w:rPr>
        <w:t xml:space="preserve">that </w:t>
      </w:r>
      <w:r w:rsidRPr="0090058A">
        <w:rPr>
          <w:szCs w:val="26"/>
        </w:rPr>
        <w:t xml:space="preserve">we </w:t>
      </w:r>
      <w:r w:rsidRPr="0090058A">
        <w:rPr>
          <w:szCs w:val="26"/>
        </w:rPr>
        <w:t xml:space="preserve">rule on this issue “to streamline subsequent litigation.”  </w:t>
      </w:r>
      <w:r>
        <w:rPr>
          <w:szCs w:val="26"/>
        </w:rPr>
        <w:t>Respondents</w:t>
      </w:r>
      <w:r w:rsidRPr="0090058A">
        <w:rPr>
          <w:szCs w:val="26"/>
        </w:rPr>
        <w:t xml:space="preserve"> argue </w:t>
      </w:r>
      <w:r>
        <w:rPr>
          <w:szCs w:val="26"/>
        </w:rPr>
        <w:t xml:space="preserve">the </w:t>
      </w:r>
      <w:r w:rsidRPr="0090058A">
        <w:rPr>
          <w:szCs w:val="26"/>
        </w:rPr>
        <w:t xml:space="preserve">CMIA applies only </w:t>
      </w:r>
      <w:r w:rsidRPr="0090058A">
        <w:rPr>
          <w:szCs w:val="26"/>
        </w:rPr>
        <w:t>to employers</w:t>
      </w:r>
      <w:r>
        <w:rPr>
          <w:szCs w:val="26"/>
        </w:rPr>
        <w:t>.</w:t>
      </w:r>
      <w:r>
        <w:rPr>
          <w:szCs w:val="26"/>
        </w:rPr>
        <w:t xml:space="preserve">  </w:t>
      </w:r>
      <w:r>
        <w:rPr>
          <w:szCs w:val="26"/>
        </w:rPr>
        <w:t xml:space="preserve">Additionally, respondents argue that </w:t>
      </w:r>
      <w:r w:rsidRPr="0090058A">
        <w:rPr>
          <w:szCs w:val="26"/>
        </w:rPr>
        <w:t xml:space="preserve">if </w:t>
      </w:r>
      <w:proofErr w:type="spellStart"/>
      <w:r w:rsidRPr="0090058A">
        <w:rPr>
          <w:szCs w:val="26"/>
        </w:rPr>
        <w:t>Frayo</w:t>
      </w:r>
      <w:proofErr w:type="spellEnd"/>
      <w:r w:rsidRPr="0090058A">
        <w:rPr>
          <w:szCs w:val="26"/>
        </w:rPr>
        <w:t xml:space="preserve"> is unable to state a cause of action against </w:t>
      </w:r>
      <w:r>
        <w:rPr>
          <w:szCs w:val="26"/>
        </w:rPr>
        <w:t>A&amp;A</w:t>
      </w:r>
      <w:r w:rsidRPr="0090058A">
        <w:rPr>
          <w:szCs w:val="26"/>
        </w:rPr>
        <w:t xml:space="preserve">, then claims against the owners of </w:t>
      </w:r>
      <w:r>
        <w:rPr>
          <w:szCs w:val="26"/>
        </w:rPr>
        <w:t>A&amp;A</w:t>
      </w:r>
      <w:r w:rsidRPr="0090058A">
        <w:rPr>
          <w:szCs w:val="26"/>
        </w:rPr>
        <w:t xml:space="preserve"> individually based on the same allegations</w:t>
      </w:r>
      <w:r>
        <w:rPr>
          <w:szCs w:val="26"/>
        </w:rPr>
        <w:t xml:space="preserve"> cannot be sustained</w:t>
      </w:r>
      <w:r w:rsidRPr="0090058A">
        <w:rPr>
          <w:szCs w:val="26"/>
        </w:rPr>
        <w:t xml:space="preserve">. </w:t>
      </w:r>
    </w:p>
    <w:p w14:paraId="30C4B900" w14:textId="77777777" w:rsidR="00C23344" w:rsidRPr="0090058A" w:rsidRDefault="00C23344" w:rsidP="00996F09">
      <w:pPr>
        <w:tabs>
          <w:tab w:val="clear" w:pos="720"/>
          <w:tab w:val="left" w:pos="0"/>
        </w:tabs>
        <w:ind w:firstLine="720"/>
        <w:rPr>
          <w:szCs w:val="26"/>
        </w:rPr>
      </w:pPr>
      <w:r>
        <w:rPr>
          <w:szCs w:val="26"/>
        </w:rPr>
        <w:t xml:space="preserve">We need not decide whether the CMIA applies solely to employers.  </w:t>
      </w:r>
      <w:r>
        <w:rPr>
          <w:szCs w:val="26"/>
        </w:rPr>
        <w:t xml:space="preserve">At oral argument, </w:t>
      </w:r>
      <w:proofErr w:type="spellStart"/>
      <w:r>
        <w:rPr>
          <w:szCs w:val="26"/>
        </w:rPr>
        <w:t>Frayo’s</w:t>
      </w:r>
      <w:proofErr w:type="spellEnd"/>
      <w:r>
        <w:rPr>
          <w:szCs w:val="26"/>
        </w:rPr>
        <w:t xml:space="preserve"> counsel conceded that </w:t>
      </w:r>
      <w:proofErr w:type="spellStart"/>
      <w:r w:rsidRPr="0090058A">
        <w:rPr>
          <w:szCs w:val="26"/>
        </w:rPr>
        <w:t>Frayo’s</w:t>
      </w:r>
      <w:proofErr w:type="spellEnd"/>
      <w:r w:rsidRPr="0090058A">
        <w:rPr>
          <w:szCs w:val="26"/>
        </w:rPr>
        <w:t xml:space="preserve"> causes of action against </w:t>
      </w:r>
      <w:r>
        <w:rPr>
          <w:szCs w:val="26"/>
        </w:rPr>
        <w:t xml:space="preserve">the individual defendants </w:t>
      </w:r>
      <w:r w:rsidRPr="0090058A">
        <w:rPr>
          <w:szCs w:val="26"/>
        </w:rPr>
        <w:t>are predicated upon the same facts</w:t>
      </w:r>
      <w:r w:rsidRPr="0090058A">
        <w:rPr>
          <w:szCs w:val="26"/>
        </w:rPr>
        <w:t xml:space="preserve"> as his claims against </w:t>
      </w:r>
      <w:r>
        <w:rPr>
          <w:szCs w:val="26"/>
        </w:rPr>
        <w:t>A&amp;A</w:t>
      </w:r>
      <w:r>
        <w:rPr>
          <w:szCs w:val="26"/>
        </w:rPr>
        <w:t xml:space="preserve">.  As we have concluded that </w:t>
      </w:r>
      <w:r>
        <w:rPr>
          <w:szCs w:val="26"/>
        </w:rPr>
        <w:t xml:space="preserve">the </w:t>
      </w:r>
      <w:r>
        <w:rPr>
          <w:szCs w:val="26"/>
        </w:rPr>
        <w:t>facts alleged in the first amended complaint fail</w:t>
      </w:r>
      <w:r>
        <w:rPr>
          <w:szCs w:val="26"/>
        </w:rPr>
        <w:t>ed</w:t>
      </w:r>
      <w:r>
        <w:rPr>
          <w:szCs w:val="26"/>
        </w:rPr>
        <w:t xml:space="preserve"> to establish a viable claim under </w:t>
      </w:r>
      <w:r>
        <w:rPr>
          <w:szCs w:val="26"/>
        </w:rPr>
        <w:t xml:space="preserve">the </w:t>
      </w:r>
      <w:r>
        <w:rPr>
          <w:szCs w:val="26"/>
        </w:rPr>
        <w:t xml:space="preserve">CMIA as a matter of law, we </w:t>
      </w:r>
      <w:r>
        <w:rPr>
          <w:szCs w:val="26"/>
        </w:rPr>
        <w:t>determine</w:t>
      </w:r>
      <w:r>
        <w:rPr>
          <w:szCs w:val="26"/>
        </w:rPr>
        <w:t xml:space="preserve"> that </w:t>
      </w:r>
      <w:r w:rsidRPr="0090058A">
        <w:rPr>
          <w:szCs w:val="26"/>
        </w:rPr>
        <w:t xml:space="preserve">the trial court </w:t>
      </w:r>
      <w:r w:rsidRPr="0090058A">
        <w:rPr>
          <w:szCs w:val="26"/>
        </w:rPr>
        <w:t>did no</w:t>
      </w:r>
      <w:r>
        <w:rPr>
          <w:szCs w:val="26"/>
        </w:rPr>
        <w:t>t</w:t>
      </w:r>
      <w:r w:rsidRPr="0090058A">
        <w:rPr>
          <w:szCs w:val="26"/>
        </w:rPr>
        <w:t xml:space="preserve"> err in dismissing the entire </w:t>
      </w:r>
      <w:r w:rsidRPr="0090058A">
        <w:rPr>
          <w:szCs w:val="26"/>
        </w:rPr>
        <w:t>action</w:t>
      </w:r>
      <w:r>
        <w:rPr>
          <w:szCs w:val="26"/>
        </w:rPr>
        <w:t>.</w:t>
      </w:r>
      <w:r w:rsidRPr="0090058A">
        <w:rPr>
          <w:szCs w:val="26"/>
        </w:rPr>
        <w:t xml:space="preserve"> </w:t>
      </w:r>
      <w:r w:rsidRPr="0090058A">
        <w:rPr>
          <w:szCs w:val="26"/>
        </w:rPr>
        <w:t xml:space="preserve"> (</w:t>
      </w:r>
      <w:r w:rsidRPr="0090058A">
        <w:rPr>
          <w:szCs w:val="26"/>
        </w:rPr>
        <w:t xml:space="preserve">See, e.g., </w:t>
      </w:r>
      <w:r w:rsidRPr="00713595">
        <w:rPr>
          <w:i/>
          <w:iCs/>
          <w:szCs w:val="26"/>
        </w:rPr>
        <w:t xml:space="preserve">Pierce v. San Mateo </w:t>
      </w:r>
      <w:r w:rsidRPr="00713595">
        <w:rPr>
          <w:i/>
          <w:iCs/>
          <w:szCs w:val="26"/>
        </w:rPr>
        <w:t>County</w:t>
      </w:r>
      <w:r w:rsidRPr="00713595">
        <w:rPr>
          <w:i/>
          <w:iCs/>
          <w:szCs w:val="26"/>
        </w:rPr>
        <w:t xml:space="preserve"> Sheriff</w:t>
      </w:r>
      <w:r w:rsidRPr="00713595">
        <w:rPr>
          <w:i/>
          <w:iCs/>
          <w:szCs w:val="26"/>
        </w:rPr>
        <w:t>’</w:t>
      </w:r>
      <w:r w:rsidRPr="00713595">
        <w:rPr>
          <w:i/>
          <w:iCs/>
          <w:szCs w:val="26"/>
        </w:rPr>
        <w:t>s Dept</w:t>
      </w:r>
      <w:r>
        <w:rPr>
          <w:i/>
          <w:iCs/>
          <w:szCs w:val="26"/>
        </w:rPr>
        <w:t>.</w:t>
      </w:r>
      <w:r w:rsidRPr="0090058A">
        <w:rPr>
          <w:szCs w:val="26"/>
        </w:rPr>
        <w:t xml:space="preserve"> (2014) 232 Cal.App.4th 995, 1020</w:t>
      </w:r>
      <w:r>
        <w:rPr>
          <w:szCs w:val="26"/>
        </w:rPr>
        <w:t>-</w:t>
      </w:r>
      <w:r>
        <w:rPr>
          <w:szCs w:val="26"/>
        </w:rPr>
        <w:t>10</w:t>
      </w:r>
      <w:r w:rsidRPr="0090058A">
        <w:rPr>
          <w:szCs w:val="26"/>
        </w:rPr>
        <w:t>21 [“In some cases, it may be appropriate to dismiss an action even as to Doe defendants after a successful demurrer by a named defendant, for example, where the basis for the successful demurrer applies equally to the Doe defendants.”].)</w:t>
      </w:r>
    </w:p>
    <w:p w14:paraId="05FA0D6B" w14:textId="77777777" w:rsidR="00C23344" w:rsidRPr="00747CB4" w:rsidRDefault="00C23344" w:rsidP="00747CB4">
      <w:pPr>
        <w:pStyle w:val="Heading1"/>
        <w:spacing w:before="0"/>
        <w:jc w:val="center"/>
        <w:rPr>
          <w:rFonts w:ascii="Times New Roman" w:hAnsi="Times New Roman" w:cs="Times New Roman"/>
          <w:b/>
          <w:bCs/>
          <w:smallCaps/>
          <w:color w:val="auto"/>
          <w:sz w:val="26"/>
          <w:szCs w:val="26"/>
        </w:rPr>
      </w:pPr>
      <w:r w:rsidRPr="00747CB4">
        <w:rPr>
          <w:rFonts w:ascii="Times New Roman" w:hAnsi="Times New Roman" w:cs="Times New Roman"/>
          <w:b/>
          <w:bCs/>
          <w:smallCaps/>
          <w:color w:val="auto"/>
          <w:sz w:val="26"/>
          <w:szCs w:val="26"/>
        </w:rPr>
        <w:t>Disposition</w:t>
      </w:r>
    </w:p>
    <w:p w14:paraId="64E1823C" w14:textId="77777777" w:rsidR="00C23344" w:rsidRDefault="00C23344" w:rsidP="003B0DA3">
      <w:pPr>
        <w:pStyle w:val="ListParagraph"/>
        <w:spacing w:line="480" w:lineRule="exact"/>
        <w:ind w:left="0" w:firstLine="720"/>
        <w:rPr>
          <w:szCs w:val="26"/>
        </w:rPr>
        <w:sectPr w:rsidR="00A60A17" w:rsidSect="003477C2">
          <w:footerReference w:type="default" r:id="rId7"/>
          <w:pgSz w:w="12240" w:h="15840"/>
          <w:pgMar w:top="1440" w:right="1440" w:bottom="1440" w:left="1440" w:header="720" w:footer="720" w:gutter="0"/>
          <w:cols w:space="720"/>
          <w:titlePg/>
          <w:docGrid w:linePitch="360"/>
        </w:sectPr>
      </w:pPr>
      <w:r w:rsidRPr="0090058A">
        <w:rPr>
          <w:szCs w:val="26"/>
        </w:rPr>
        <w:t xml:space="preserve">The </w:t>
      </w:r>
      <w:r w:rsidRPr="0090058A">
        <w:rPr>
          <w:szCs w:val="26"/>
        </w:rPr>
        <w:t>judgment of dismissal is</w:t>
      </w:r>
      <w:r w:rsidRPr="0090058A">
        <w:rPr>
          <w:szCs w:val="26"/>
        </w:rPr>
        <w:t xml:space="preserve"> affirmed. </w:t>
      </w:r>
      <w:r w:rsidRPr="0090058A">
        <w:rPr>
          <w:szCs w:val="26"/>
        </w:rPr>
        <w:t xml:space="preserve"> Respondent</w:t>
      </w:r>
      <w:r>
        <w:rPr>
          <w:szCs w:val="26"/>
        </w:rPr>
        <w:t>s</w:t>
      </w:r>
      <w:r w:rsidRPr="0090058A">
        <w:rPr>
          <w:szCs w:val="26"/>
        </w:rPr>
        <w:t xml:space="preserve"> are awarded </w:t>
      </w:r>
      <w:r>
        <w:rPr>
          <w:szCs w:val="26"/>
        </w:rPr>
        <w:t>their</w:t>
      </w:r>
      <w:r w:rsidRPr="0090058A">
        <w:rPr>
          <w:szCs w:val="26"/>
        </w:rPr>
        <w:t xml:space="preserve"> </w:t>
      </w:r>
      <w:r w:rsidRPr="0090058A">
        <w:rPr>
          <w:szCs w:val="26"/>
        </w:rPr>
        <w:t xml:space="preserve">costs on appeal. </w:t>
      </w:r>
      <w:r w:rsidRPr="0090058A">
        <w:rPr>
          <w:szCs w:val="26"/>
        </w:rPr>
        <w:t xml:space="preserve"> (Cal. Rules of Court, rule 8.278(a)(1)(2).</w:t>
      </w:r>
      <w:r>
        <w:rPr>
          <w:szCs w:val="26"/>
        </w:rPr>
        <w:t>)</w:t>
      </w:r>
    </w:p>
    <w:p w14:paraId="3A4E12C3" w14:textId="77777777" w:rsidR="00C23344" w:rsidRDefault="00C23344" w:rsidP="008611AE">
      <w:pPr>
        <w:spacing w:line="240" w:lineRule="auto"/>
        <w:rPr>
          <w:kern w:val="2"/>
        </w:rPr>
      </w:pPr>
    </w:p>
    <w:p w14:paraId="603289F2" w14:textId="77777777" w:rsidR="00C23344" w:rsidRDefault="00C23344" w:rsidP="008611AE">
      <w:pPr>
        <w:spacing w:line="240" w:lineRule="auto"/>
        <w:rPr>
          <w:kern w:val="2"/>
        </w:rPr>
      </w:pPr>
    </w:p>
    <w:p w14:paraId="0DE2F138" w14:textId="77777777" w:rsidR="00C23344" w:rsidRDefault="00C23344" w:rsidP="008611AE">
      <w:pPr>
        <w:spacing w:line="240" w:lineRule="auto"/>
        <w:rPr>
          <w:kern w:val="2"/>
        </w:rPr>
      </w:pPr>
    </w:p>
    <w:p w14:paraId="564C9ED3" w14:textId="77777777" w:rsidR="00C23344" w:rsidRDefault="00C23344" w:rsidP="008611AE">
      <w:pPr>
        <w:spacing w:line="240" w:lineRule="auto"/>
        <w:rPr>
          <w:kern w:val="2"/>
        </w:rPr>
      </w:pPr>
    </w:p>
    <w:p w14:paraId="5475E84E" w14:textId="77777777" w:rsidR="00C23344" w:rsidRDefault="00C23344" w:rsidP="008611AE">
      <w:pPr>
        <w:spacing w:line="240" w:lineRule="auto"/>
        <w:rPr>
          <w:kern w:val="2"/>
        </w:rPr>
      </w:pPr>
      <w:r>
        <w:rPr>
          <w:kern w:val="2"/>
        </w:rPr>
        <w:tab/>
      </w:r>
      <w:r>
        <w:rPr>
          <w:kern w:val="2"/>
        </w:rPr>
        <w:tab/>
      </w:r>
      <w:r>
        <w:rPr>
          <w:kern w:val="2"/>
        </w:rPr>
        <w:tab/>
      </w:r>
      <w:r>
        <w:rPr>
          <w:kern w:val="2"/>
        </w:rPr>
        <w:tab/>
      </w:r>
      <w:r>
        <w:rPr>
          <w:kern w:val="2"/>
        </w:rPr>
        <w:tab/>
      </w:r>
      <w:r>
        <w:rPr>
          <w:kern w:val="2"/>
        </w:rPr>
        <w:tab/>
        <w:t>_______________________________</w:t>
      </w:r>
    </w:p>
    <w:p w14:paraId="4A5DE881" w14:textId="77777777" w:rsidR="00C23344" w:rsidRDefault="00C23344" w:rsidP="008611AE">
      <w:pPr>
        <w:spacing w:line="240" w:lineRule="auto"/>
        <w:rPr>
          <w:kern w:val="2"/>
        </w:rPr>
      </w:pPr>
      <w:r>
        <w:rPr>
          <w:kern w:val="2"/>
        </w:rPr>
        <w:tab/>
      </w:r>
      <w:r>
        <w:rPr>
          <w:kern w:val="2"/>
        </w:rPr>
        <w:tab/>
      </w:r>
      <w:r>
        <w:rPr>
          <w:kern w:val="2"/>
        </w:rPr>
        <w:tab/>
      </w:r>
      <w:r>
        <w:rPr>
          <w:kern w:val="2"/>
        </w:rPr>
        <w:tab/>
      </w:r>
      <w:r>
        <w:rPr>
          <w:kern w:val="2"/>
        </w:rPr>
        <w:tab/>
      </w:r>
      <w:r>
        <w:rPr>
          <w:kern w:val="2"/>
        </w:rPr>
        <w:tab/>
        <w:t>Greenwood, P. J.</w:t>
      </w:r>
    </w:p>
    <w:p w14:paraId="0FAD737C" w14:textId="77777777" w:rsidR="00C23344" w:rsidRDefault="00C23344" w:rsidP="008611AE">
      <w:pPr>
        <w:spacing w:line="240" w:lineRule="auto"/>
        <w:rPr>
          <w:kern w:val="2"/>
        </w:rPr>
      </w:pPr>
    </w:p>
    <w:p w14:paraId="0C340EA1" w14:textId="77777777" w:rsidR="00C23344" w:rsidRDefault="00C23344" w:rsidP="008611AE">
      <w:pPr>
        <w:spacing w:line="240" w:lineRule="auto"/>
        <w:rPr>
          <w:kern w:val="2"/>
        </w:rPr>
      </w:pPr>
    </w:p>
    <w:p w14:paraId="4421DAE7" w14:textId="77777777" w:rsidR="00C23344" w:rsidRDefault="00C23344" w:rsidP="008611AE">
      <w:pPr>
        <w:spacing w:line="240" w:lineRule="auto"/>
        <w:rPr>
          <w:kern w:val="2"/>
        </w:rPr>
      </w:pPr>
    </w:p>
    <w:p w14:paraId="61D7B465" w14:textId="77777777" w:rsidR="00C23344" w:rsidRDefault="00C23344" w:rsidP="008611AE">
      <w:pPr>
        <w:spacing w:line="240" w:lineRule="auto"/>
        <w:rPr>
          <w:kern w:val="2"/>
        </w:rPr>
      </w:pPr>
    </w:p>
    <w:p w14:paraId="2B3076C9" w14:textId="77777777" w:rsidR="00C23344" w:rsidRDefault="00C23344" w:rsidP="008611AE">
      <w:pPr>
        <w:spacing w:line="240" w:lineRule="auto"/>
        <w:rPr>
          <w:kern w:val="2"/>
        </w:rPr>
      </w:pPr>
      <w:r>
        <w:rPr>
          <w:kern w:val="2"/>
        </w:rPr>
        <w:tab/>
      </w:r>
      <w:bookmarkStart w:id="3" w:name="_Hlk131500437"/>
      <w:r>
        <w:rPr>
          <w:kern w:val="2"/>
        </w:rPr>
        <w:t>WE CONCUR:</w:t>
      </w:r>
      <w:bookmarkEnd w:id="3"/>
    </w:p>
    <w:p w14:paraId="7D49CCAA" w14:textId="77777777" w:rsidR="00C23344" w:rsidRDefault="00C23344" w:rsidP="008611AE">
      <w:pPr>
        <w:spacing w:line="240" w:lineRule="auto"/>
        <w:rPr>
          <w:kern w:val="2"/>
        </w:rPr>
      </w:pPr>
    </w:p>
    <w:p w14:paraId="133D992F" w14:textId="77777777" w:rsidR="00C23344" w:rsidRDefault="00C23344" w:rsidP="008611AE">
      <w:pPr>
        <w:spacing w:line="240" w:lineRule="auto"/>
        <w:rPr>
          <w:kern w:val="2"/>
        </w:rPr>
      </w:pPr>
    </w:p>
    <w:p w14:paraId="3D2A6AA1" w14:textId="77777777" w:rsidR="00C23344" w:rsidRDefault="00C23344" w:rsidP="008611AE">
      <w:pPr>
        <w:spacing w:line="240" w:lineRule="auto"/>
        <w:rPr>
          <w:kern w:val="2"/>
        </w:rPr>
      </w:pPr>
    </w:p>
    <w:p w14:paraId="1F497210" w14:textId="77777777" w:rsidR="00C23344" w:rsidRDefault="00C23344" w:rsidP="008611AE">
      <w:pPr>
        <w:spacing w:line="240" w:lineRule="auto"/>
        <w:rPr>
          <w:kern w:val="2"/>
        </w:rPr>
      </w:pPr>
    </w:p>
    <w:p w14:paraId="5FA9A5E7" w14:textId="77777777" w:rsidR="00C23344" w:rsidRDefault="00C23344" w:rsidP="008611AE">
      <w:pPr>
        <w:spacing w:line="240" w:lineRule="auto"/>
        <w:rPr>
          <w:kern w:val="2"/>
        </w:rPr>
      </w:pPr>
    </w:p>
    <w:p w14:paraId="0A4E83CF" w14:textId="77777777" w:rsidR="00C23344" w:rsidRDefault="00C23344" w:rsidP="008611AE">
      <w:pPr>
        <w:spacing w:line="240" w:lineRule="auto"/>
        <w:rPr>
          <w:kern w:val="2"/>
        </w:rPr>
      </w:pPr>
      <w:r>
        <w:rPr>
          <w:kern w:val="2"/>
        </w:rPr>
        <w:tab/>
      </w:r>
      <w:r>
        <w:rPr>
          <w:kern w:val="2"/>
        </w:rPr>
        <w:t>___________________________________________</w:t>
      </w:r>
    </w:p>
    <w:p w14:paraId="01235D77" w14:textId="77777777" w:rsidR="00C23344" w:rsidRDefault="00C23344" w:rsidP="008611AE">
      <w:pPr>
        <w:spacing w:line="240" w:lineRule="auto"/>
        <w:rPr>
          <w:kern w:val="2"/>
        </w:rPr>
      </w:pPr>
      <w:r>
        <w:rPr>
          <w:kern w:val="2"/>
        </w:rPr>
        <w:tab/>
      </w:r>
      <w:r>
        <w:t xml:space="preserve">  </w:t>
      </w:r>
      <w:proofErr w:type="spellStart"/>
      <w:r w:rsidRPr="004D7EA2">
        <w:t>Bamattre</w:t>
      </w:r>
      <w:proofErr w:type="spellEnd"/>
      <w:r w:rsidRPr="004D7EA2">
        <w:t>-</w:t>
      </w:r>
      <w:r>
        <w:t xml:space="preserve">Manoukian, </w:t>
      </w:r>
      <w:r>
        <w:rPr>
          <w:kern w:val="2"/>
        </w:rPr>
        <w:t>J.</w:t>
      </w:r>
    </w:p>
    <w:p w14:paraId="44C559B9" w14:textId="77777777" w:rsidR="00C23344" w:rsidRDefault="00C23344" w:rsidP="008611AE">
      <w:pPr>
        <w:spacing w:line="240" w:lineRule="auto"/>
        <w:rPr>
          <w:kern w:val="2"/>
        </w:rPr>
      </w:pPr>
    </w:p>
    <w:p w14:paraId="620FF096" w14:textId="77777777" w:rsidR="00C23344" w:rsidRDefault="00C23344" w:rsidP="008611AE">
      <w:pPr>
        <w:spacing w:line="240" w:lineRule="auto"/>
        <w:rPr>
          <w:kern w:val="2"/>
        </w:rPr>
      </w:pPr>
    </w:p>
    <w:p w14:paraId="188DA2C1" w14:textId="77777777" w:rsidR="00C23344" w:rsidRDefault="00C23344" w:rsidP="008611AE">
      <w:pPr>
        <w:spacing w:line="240" w:lineRule="auto"/>
        <w:rPr>
          <w:kern w:val="2"/>
        </w:rPr>
      </w:pPr>
    </w:p>
    <w:p w14:paraId="0CA98E0C" w14:textId="77777777" w:rsidR="00C23344" w:rsidRDefault="00C23344" w:rsidP="008611AE">
      <w:pPr>
        <w:spacing w:line="240" w:lineRule="auto"/>
        <w:rPr>
          <w:kern w:val="2"/>
        </w:rPr>
      </w:pPr>
    </w:p>
    <w:p w14:paraId="5FBB2438" w14:textId="77777777" w:rsidR="00C23344" w:rsidRDefault="00C23344" w:rsidP="008611AE">
      <w:pPr>
        <w:spacing w:line="240" w:lineRule="auto"/>
        <w:rPr>
          <w:kern w:val="2"/>
        </w:rPr>
      </w:pPr>
    </w:p>
    <w:p w14:paraId="29696B96" w14:textId="77777777" w:rsidR="00C23344" w:rsidRDefault="00C23344" w:rsidP="008611AE">
      <w:pPr>
        <w:spacing w:line="240" w:lineRule="auto"/>
        <w:rPr>
          <w:kern w:val="2"/>
        </w:rPr>
      </w:pPr>
      <w:r>
        <w:rPr>
          <w:kern w:val="2"/>
        </w:rPr>
        <w:tab/>
      </w:r>
    </w:p>
    <w:p w14:paraId="4C511AE7" w14:textId="77777777" w:rsidR="00C23344" w:rsidRDefault="00C23344" w:rsidP="008611AE">
      <w:pPr>
        <w:spacing w:line="240" w:lineRule="auto"/>
        <w:rPr>
          <w:kern w:val="2"/>
        </w:rPr>
      </w:pPr>
    </w:p>
    <w:p w14:paraId="5E81FFB6" w14:textId="77777777" w:rsidR="00C23344" w:rsidRDefault="00C23344" w:rsidP="008611AE">
      <w:pPr>
        <w:spacing w:line="240" w:lineRule="auto"/>
        <w:rPr>
          <w:kern w:val="2"/>
        </w:rPr>
      </w:pPr>
    </w:p>
    <w:p w14:paraId="3C3BC342" w14:textId="77777777" w:rsidR="00C23344" w:rsidRDefault="00C23344" w:rsidP="008611AE">
      <w:pPr>
        <w:spacing w:line="240" w:lineRule="auto"/>
        <w:rPr>
          <w:kern w:val="2"/>
        </w:rPr>
      </w:pPr>
    </w:p>
    <w:p w14:paraId="5BBE8228" w14:textId="77777777" w:rsidR="00C23344" w:rsidRDefault="00C23344" w:rsidP="008611AE">
      <w:pPr>
        <w:spacing w:line="240" w:lineRule="auto"/>
        <w:rPr>
          <w:kern w:val="2"/>
        </w:rPr>
      </w:pPr>
    </w:p>
    <w:p w14:paraId="369427CD" w14:textId="77777777" w:rsidR="00C23344" w:rsidRDefault="00C23344" w:rsidP="008611AE">
      <w:pPr>
        <w:spacing w:line="240" w:lineRule="auto"/>
        <w:rPr>
          <w:kern w:val="2"/>
        </w:rPr>
      </w:pPr>
    </w:p>
    <w:p w14:paraId="6CC7B332" w14:textId="77777777" w:rsidR="00C23344" w:rsidRDefault="00C23344" w:rsidP="008611AE">
      <w:pPr>
        <w:spacing w:line="240" w:lineRule="auto"/>
        <w:rPr>
          <w:kern w:val="2"/>
        </w:rPr>
      </w:pPr>
      <w:r>
        <w:rPr>
          <w:kern w:val="2"/>
        </w:rPr>
        <w:tab/>
        <w:t>______________________________________</w:t>
      </w:r>
    </w:p>
    <w:p w14:paraId="44326932" w14:textId="77777777" w:rsidR="00C23344" w:rsidRDefault="00C23344" w:rsidP="008611AE">
      <w:pPr>
        <w:spacing w:line="240" w:lineRule="auto"/>
        <w:rPr>
          <w:kern w:val="2"/>
        </w:rPr>
      </w:pPr>
      <w:r>
        <w:rPr>
          <w:kern w:val="2"/>
        </w:rPr>
        <w:tab/>
        <w:t xml:space="preserve">  Adams, J.*</w:t>
      </w:r>
    </w:p>
    <w:p w14:paraId="5CFA6985" w14:textId="77777777" w:rsidR="00C23344" w:rsidRDefault="00C23344" w:rsidP="008611AE">
      <w:pPr>
        <w:spacing w:line="240" w:lineRule="auto"/>
        <w:rPr>
          <w:kern w:val="2"/>
        </w:rPr>
      </w:pPr>
    </w:p>
    <w:p w14:paraId="0DAF02AA" w14:textId="77777777" w:rsidR="00C23344" w:rsidRDefault="00C23344" w:rsidP="008611AE">
      <w:pPr>
        <w:spacing w:line="240" w:lineRule="auto"/>
        <w:rPr>
          <w:kern w:val="2"/>
        </w:rPr>
      </w:pPr>
    </w:p>
    <w:p w14:paraId="0E05E417" w14:textId="77777777" w:rsidR="00C23344" w:rsidRDefault="00C23344" w:rsidP="008611AE">
      <w:pPr>
        <w:spacing w:line="240" w:lineRule="auto"/>
        <w:rPr>
          <w:kern w:val="2"/>
        </w:rPr>
      </w:pPr>
    </w:p>
    <w:p w14:paraId="130BFFE7" w14:textId="77777777" w:rsidR="00C23344" w:rsidRDefault="00C23344" w:rsidP="008611AE">
      <w:pPr>
        <w:spacing w:line="240" w:lineRule="auto"/>
        <w:rPr>
          <w:kern w:val="2"/>
        </w:rPr>
      </w:pPr>
    </w:p>
    <w:p w14:paraId="4E650793" w14:textId="77777777" w:rsidR="00C23344" w:rsidRDefault="00C23344" w:rsidP="008611AE">
      <w:pPr>
        <w:spacing w:line="240" w:lineRule="auto"/>
        <w:rPr>
          <w:kern w:val="2"/>
        </w:rPr>
      </w:pPr>
    </w:p>
    <w:p w14:paraId="14E07742" w14:textId="77777777" w:rsidR="00C23344" w:rsidRDefault="00C23344" w:rsidP="008611AE">
      <w:pPr>
        <w:spacing w:line="240" w:lineRule="auto"/>
        <w:rPr>
          <w:kern w:val="2"/>
        </w:rPr>
      </w:pPr>
    </w:p>
    <w:p w14:paraId="024BE530" w14:textId="77777777" w:rsidR="00C23344" w:rsidRPr="00BD53C7" w:rsidRDefault="00C23344" w:rsidP="008611AE">
      <w:pPr>
        <w:spacing w:line="240" w:lineRule="auto"/>
        <w:rPr>
          <w:kern w:val="2"/>
          <w:szCs w:val="26"/>
        </w:rPr>
      </w:pPr>
    </w:p>
    <w:p w14:paraId="34A41D7B" w14:textId="77777777" w:rsidR="00C23344" w:rsidRPr="00BD53C7" w:rsidRDefault="00C23344" w:rsidP="008611AE">
      <w:pPr>
        <w:spacing w:line="240" w:lineRule="auto"/>
        <w:rPr>
          <w:kern w:val="2"/>
          <w:szCs w:val="26"/>
        </w:rPr>
      </w:pPr>
    </w:p>
    <w:p w14:paraId="170BD69F" w14:textId="77777777" w:rsidR="00C23344" w:rsidRPr="00BD53C7" w:rsidRDefault="00C23344" w:rsidP="008611AE">
      <w:pPr>
        <w:spacing w:line="240" w:lineRule="auto"/>
        <w:rPr>
          <w:kern w:val="2"/>
          <w:szCs w:val="26"/>
        </w:rPr>
      </w:pPr>
    </w:p>
    <w:p w14:paraId="3C356190" w14:textId="77777777" w:rsidR="00C23344" w:rsidRDefault="00C23344" w:rsidP="008611AE">
      <w:pPr>
        <w:spacing w:line="240" w:lineRule="auto"/>
        <w:rPr>
          <w:kern w:val="2"/>
          <w:szCs w:val="26"/>
        </w:rPr>
      </w:pPr>
      <w:r>
        <w:rPr>
          <w:kern w:val="2"/>
          <w:szCs w:val="26"/>
        </w:rPr>
        <w:tab/>
      </w:r>
      <w:r w:rsidRPr="00CB0989">
        <w:rPr>
          <w:kern w:val="2"/>
          <w:szCs w:val="26"/>
        </w:rPr>
        <w:t xml:space="preserve">H050689 </w:t>
      </w:r>
    </w:p>
    <w:p w14:paraId="66EC95F2" w14:textId="77777777" w:rsidR="00C23344" w:rsidRPr="00BD53C7" w:rsidRDefault="00C23344" w:rsidP="008611AE">
      <w:pPr>
        <w:spacing w:line="240" w:lineRule="auto"/>
        <w:rPr>
          <w:kern w:val="2"/>
          <w:szCs w:val="26"/>
        </w:rPr>
      </w:pPr>
      <w:r>
        <w:rPr>
          <w:kern w:val="2"/>
          <w:szCs w:val="26"/>
        </w:rPr>
        <w:tab/>
      </w:r>
      <w:proofErr w:type="spellStart"/>
      <w:r w:rsidRPr="00CB0989">
        <w:rPr>
          <w:kern w:val="2"/>
          <w:szCs w:val="26"/>
        </w:rPr>
        <w:t>Frayo</w:t>
      </w:r>
      <w:proofErr w:type="spellEnd"/>
      <w:r w:rsidRPr="00CB0989">
        <w:rPr>
          <w:kern w:val="2"/>
          <w:szCs w:val="26"/>
        </w:rPr>
        <w:t xml:space="preserve"> v. Martin et al</w:t>
      </w:r>
      <w:r>
        <w:rPr>
          <w:kern w:val="2"/>
          <w:szCs w:val="26"/>
        </w:rPr>
        <w:t>.</w:t>
      </w:r>
    </w:p>
    <w:p w14:paraId="1D414D71" w14:textId="77777777" w:rsidR="00C23344" w:rsidRDefault="00C23344" w:rsidP="008611AE">
      <w:pPr>
        <w:tabs>
          <w:tab w:val="left" w:pos="1300"/>
        </w:tabs>
        <w:spacing w:line="240" w:lineRule="auto"/>
        <w:rPr>
          <w:kern w:val="2"/>
          <w:szCs w:val="26"/>
        </w:rPr>
      </w:pPr>
      <w:r>
        <w:rPr>
          <w:kern w:val="2"/>
          <w:szCs w:val="26"/>
        </w:rPr>
        <w:tab/>
      </w:r>
    </w:p>
    <w:p w14:paraId="6D44AA6F" w14:textId="77777777" w:rsidR="00C23344" w:rsidRDefault="00C23344" w:rsidP="008611AE">
      <w:pPr>
        <w:tabs>
          <w:tab w:val="left" w:pos="1300"/>
        </w:tabs>
        <w:spacing w:line="240" w:lineRule="auto"/>
        <w:rPr>
          <w:kern w:val="2"/>
          <w:szCs w:val="26"/>
        </w:rPr>
      </w:pPr>
      <w:r>
        <w:rPr>
          <w:kern w:val="2"/>
          <w:szCs w:val="26"/>
        </w:rPr>
        <w:tab/>
        <w:t>_____________</w:t>
      </w:r>
    </w:p>
    <w:p w14:paraId="3572F664" w14:textId="77777777" w:rsidR="00532E74" w:rsidRDefault="00C23344" w:rsidP="008611AE">
      <w:pPr>
        <w:tabs>
          <w:tab w:val="left" w:pos="1300"/>
        </w:tabs>
        <w:spacing w:line="240" w:lineRule="auto"/>
        <w:ind w:left="720"/>
        <w:rPr>
          <w:kern w:val="2"/>
          <w:szCs w:val="26"/>
        </w:rPr>
        <w:sectPr w:rsidR="00532E74">
          <w:pgSz w:w="12240" w:h="15840"/>
          <w:pgMar w:top="547" w:right="432" w:bottom="547" w:left="432" w:header="720" w:footer="720" w:gutter="0"/>
          <w:paperSrc w:first="7" w:other="7"/>
          <w:cols w:space="720"/>
        </w:sectPr>
      </w:pPr>
      <w:r>
        <w:rPr>
          <w:kern w:val="2"/>
          <w:szCs w:val="26"/>
        </w:rPr>
        <w:tab/>
        <w:t>*</w:t>
      </w:r>
      <w:r w:rsidRPr="0041261D">
        <w:t xml:space="preserve"> </w:t>
      </w:r>
      <w:r w:rsidRPr="0041261D">
        <w:rPr>
          <w:kern w:val="2"/>
          <w:szCs w:val="26"/>
        </w:rPr>
        <w:t xml:space="preserve">Judge of the Santa Clara County Superior Court, </w:t>
      </w:r>
      <w:r w:rsidRPr="0041261D">
        <w:rPr>
          <w:kern w:val="2"/>
          <w:szCs w:val="26"/>
        </w:rPr>
        <w:t>assigned by the Chief Justice pursuant to article VI,</w:t>
      </w:r>
      <w:r>
        <w:rPr>
          <w:kern w:val="2"/>
          <w:szCs w:val="26"/>
        </w:rPr>
        <w:t xml:space="preserve"> </w:t>
      </w:r>
      <w:r w:rsidRPr="0041261D">
        <w:rPr>
          <w:kern w:val="2"/>
          <w:szCs w:val="26"/>
        </w:rPr>
        <w:t>section 6 of the California Constitution.</w:t>
      </w:r>
    </w:p>
    <w:p w14:paraId="16633D28" w14:textId="77777777" w:rsidR="00532E74" w:rsidRPr="00C4179E"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0"/>
          <w:szCs w:val="26"/>
        </w:rPr>
      </w:pPr>
      <w:r>
        <w:rPr>
          <w:sz w:val="20"/>
          <w:szCs w:val="26"/>
        </w:rPr>
        <w:lastRenderedPageBreak/>
        <w:t>Filed 6/21/24</w:t>
      </w:r>
    </w:p>
    <w:p w14:paraId="782DE9C4"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jc w:val="center"/>
        <w:rPr>
          <w:szCs w:val="26"/>
        </w:rPr>
      </w:pPr>
      <w:r>
        <w:rPr>
          <w:szCs w:val="26"/>
        </w:rPr>
        <w:t>IN THE COURT OF APPEAL OF THE STATE OF CALIFORNIA</w:t>
      </w:r>
    </w:p>
    <w:p w14:paraId="146DF3ED"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jc w:val="center"/>
        <w:rPr>
          <w:szCs w:val="26"/>
        </w:rPr>
      </w:pPr>
      <w:r>
        <w:rPr>
          <w:szCs w:val="26"/>
        </w:rPr>
        <w:t>SIXTH APPELLATE DISTRICT</w:t>
      </w:r>
    </w:p>
    <w:p w14:paraId="593377FA"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jc w:val="center"/>
        <w:rPr>
          <w:szCs w:val="26"/>
        </w:rPr>
      </w:pPr>
    </w:p>
    <w:p w14:paraId="268EAA75"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jc w:val="center"/>
        <w:rPr>
          <w:szCs w:val="26"/>
        </w:rPr>
      </w:pPr>
    </w:p>
    <w:p w14:paraId="4A2E0EEA"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63FEFAA0"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RYAN OWEN FRAYO</w:t>
      </w:r>
    </w:p>
    <w:p w14:paraId="47E1C13D"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Plaintiff and Appellant,</w:t>
      </w:r>
    </w:p>
    <w:p w14:paraId="3ABF1754"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v.</w:t>
      </w:r>
    </w:p>
    <w:p w14:paraId="4FEEC702"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CD037D">
        <w:rPr>
          <w:szCs w:val="26"/>
        </w:rPr>
        <w:t>ANDREW D. MARTIN, et al.,</w:t>
      </w:r>
    </w:p>
    <w:p w14:paraId="16557B3C"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 xml:space="preserve">Defendants and Respondents. </w:t>
      </w:r>
    </w:p>
    <w:p w14:paraId="686568AA"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156D209F"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H050689</w:t>
      </w:r>
    </w:p>
    <w:p w14:paraId="16892598"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 xml:space="preserve">Santa Cruz County Super. Ct. No. </w:t>
      </w:r>
      <w:r w:rsidRPr="00303787">
        <w:rPr>
          <w:szCs w:val="26"/>
        </w:rPr>
        <w:t>22CV00610</w:t>
      </w:r>
    </w:p>
    <w:p w14:paraId="2673E3AE"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46F24B2C"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583AC354"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BY THE COURT:</w:t>
      </w:r>
    </w:p>
    <w:p w14:paraId="61646061"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62D25489"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ab/>
      </w:r>
      <w:r w:rsidRPr="00E6469D">
        <w:rPr>
          <w:szCs w:val="26"/>
        </w:rPr>
        <w:t>The order filed on June 18, 2024, granting the request for publication is amended as follows</w:t>
      </w:r>
      <w:r>
        <w:rPr>
          <w:szCs w:val="26"/>
        </w:rPr>
        <w:t>.</w:t>
      </w:r>
    </w:p>
    <w:p w14:paraId="3A01E9CE"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76735C19" w14:textId="77777777" w:rsidR="00532E74" w:rsidRPr="00760A0B" w:rsidRDefault="00532E74" w:rsidP="00532E74">
      <w:pPr>
        <w:spacing w:line="360" w:lineRule="auto"/>
        <w:ind w:firstLine="720"/>
        <w:rPr>
          <w:bCs/>
          <w:iCs/>
          <w:szCs w:val="26"/>
        </w:rPr>
      </w:pPr>
      <w:r w:rsidRPr="00760A0B">
        <w:rPr>
          <w:szCs w:val="26"/>
        </w:rPr>
        <w:t xml:space="preserve">The written opinion in the above-entitled matter filed on </w:t>
      </w:r>
      <w:r>
        <w:rPr>
          <w:bCs/>
          <w:iCs/>
          <w:szCs w:val="26"/>
        </w:rPr>
        <w:t>May 29, 2024</w:t>
      </w:r>
      <w:r w:rsidRPr="00760A0B">
        <w:rPr>
          <w:bCs/>
          <w:iCs/>
          <w:szCs w:val="26"/>
        </w:rPr>
        <w:t>, was not certified for publication in the Official Reports.  Upon application of</w:t>
      </w:r>
      <w:r>
        <w:rPr>
          <w:bCs/>
          <w:iCs/>
          <w:szCs w:val="26"/>
        </w:rPr>
        <w:t xml:space="preserve"> respondents</w:t>
      </w:r>
      <w:r w:rsidRPr="00760A0B">
        <w:rPr>
          <w:bCs/>
          <w:iCs/>
          <w:szCs w:val="26"/>
        </w:rPr>
        <w:t xml:space="preserve"> </w:t>
      </w:r>
      <w:r>
        <w:rPr>
          <w:bCs/>
          <w:iCs/>
          <w:szCs w:val="26"/>
        </w:rPr>
        <w:t>A</w:t>
      </w:r>
      <w:r w:rsidRPr="00303787">
        <w:rPr>
          <w:bCs/>
          <w:iCs/>
          <w:szCs w:val="26"/>
        </w:rPr>
        <w:t>&amp;A Organic Farms Corporation, Andrew D. Martin and Aimee M. Raphael-Martin</w:t>
      </w:r>
      <w:r>
        <w:rPr>
          <w:bCs/>
          <w:iCs/>
          <w:szCs w:val="26"/>
        </w:rPr>
        <w:t xml:space="preserve">, </w:t>
      </w:r>
      <w:r w:rsidRPr="00760A0B">
        <w:rPr>
          <w:bCs/>
          <w:iCs/>
          <w:szCs w:val="26"/>
        </w:rPr>
        <w:t xml:space="preserve">and good cause appearing, it is ordered that the opinion shall be </w:t>
      </w:r>
      <w:r w:rsidRPr="00760A0B">
        <w:rPr>
          <w:szCs w:val="26"/>
        </w:rPr>
        <w:t xml:space="preserve">certified for publication pursuant to rule 8.1105(b) of the California Rules of Court.  It is therefore ordered that the opinion be </w:t>
      </w:r>
      <w:r w:rsidRPr="00760A0B">
        <w:rPr>
          <w:bCs/>
          <w:iCs/>
          <w:szCs w:val="26"/>
        </w:rPr>
        <w:t>published in the Official Reports.</w:t>
      </w:r>
    </w:p>
    <w:p w14:paraId="42A12A3C" w14:textId="77777777" w:rsidR="00532E74" w:rsidRPr="00760A0B" w:rsidRDefault="00532E74" w:rsidP="00532E74">
      <w:pPr>
        <w:spacing w:line="240" w:lineRule="auto"/>
        <w:ind w:firstLine="720"/>
        <w:rPr>
          <w:szCs w:val="26"/>
        </w:rPr>
      </w:pPr>
    </w:p>
    <w:p w14:paraId="3BDE2314"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ab/>
      </w:r>
      <w:r w:rsidRPr="00D05B5A">
        <w:rPr>
          <w:szCs w:val="26"/>
        </w:rPr>
        <w:t xml:space="preserve">(Greenwood, P.J., and </w:t>
      </w:r>
      <w:proofErr w:type="spellStart"/>
      <w:r w:rsidRPr="00D05B5A">
        <w:rPr>
          <w:szCs w:val="26"/>
        </w:rPr>
        <w:t>Bamattre</w:t>
      </w:r>
      <w:proofErr w:type="spellEnd"/>
      <w:r w:rsidRPr="00D05B5A">
        <w:rPr>
          <w:szCs w:val="26"/>
        </w:rPr>
        <w:t>-Manoukian, J. participated in this decision.)</w:t>
      </w:r>
    </w:p>
    <w:p w14:paraId="53F48397"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66692313"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6A738D54"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6E01D243"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56EC531E"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433D8CA0"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2B48B117"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1EBE8677"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0E39452C"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461F5677"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3B44F6E3" w14:textId="77777777" w:rsidR="00532E74" w:rsidRPr="00760A0B"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5FC02C45"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Date: _______________</w:t>
      </w:r>
      <w:r>
        <w:rPr>
          <w:szCs w:val="26"/>
        </w:rPr>
        <w:tab/>
      </w:r>
      <w:r>
        <w:rPr>
          <w:szCs w:val="26"/>
        </w:rPr>
        <w:tab/>
        <w:t>___________________________________ P.J.</w:t>
      </w:r>
    </w:p>
    <w:p w14:paraId="6A6F29AE"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szCs w:val="24"/>
        </w:rPr>
        <w:sectPr w:rsidR="00532E74" w:rsidSect="00532E74">
          <w:pgSz w:w="12240" w:h="15840"/>
          <w:pgMar w:top="720" w:right="1440" w:bottom="720" w:left="1440" w:header="0" w:footer="0" w:gutter="0"/>
          <w:pgNumType w:start="1"/>
          <w:cols w:space="720"/>
          <w:noEndnote/>
        </w:sectPr>
      </w:pPr>
    </w:p>
    <w:tbl>
      <w:tblPr>
        <w:tblW w:w="9576" w:type="dxa"/>
        <w:tblLayout w:type="fixed"/>
        <w:tblLook w:val="0000" w:firstRow="0" w:lastRow="0" w:firstColumn="0" w:lastColumn="0" w:noHBand="0" w:noVBand="0"/>
      </w:tblPr>
      <w:tblGrid>
        <w:gridCol w:w="4788"/>
        <w:gridCol w:w="270"/>
        <w:gridCol w:w="4500"/>
        <w:gridCol w:w="18"/>
      </w:tblGrid>
      <w:tr w:rsidR="00532E74" w:rsidRPr="00AC03F5" w14:paraId="4FC88AAE" w14:textId="77777777" w:rsidTr="00560BA4">
        <w:tc>
          <w:tcPr>
            <w:tcW w:w="4788" w:type="dxa"/>
            <w:tcBorders>
              <w:top w:val="nil"/>
              <w:left w:val="nil"/>
              <w:bottom w:val="nil"/>
              <w:right w:val="nil"/>
            </w:tcBorders>
          </w:tcPr>
          <w:p w14:paraId="459EF784" w14:textId="77777777" w:rsidR="00532E74" w:rsidRPr="00AC03F5" w:rsidRDefault="00532E74" w:rsidP="00560BA4">
            <w:pPr>
              <w:spacing w:line="240" w:lineRule="auto"/>
              <w:rPr>
                <w:szCs w:val="20"/>
              </w:rPr>
            </w:pPr>
            <w:bookmarkStart w:id="4" w:name="_Hlk3887996"/>
            <w:bookmarkStart w:id="5" w:name="_Hlk4570632"/>
            <w:bookmarkStart w:id="6" w:name="_Hlk4570677"/>
            <w:bookmarkStart w:id="7" w:name="_Hlk21512350"/>
            <w:bookmarkStart w:id="8" w:name="_Hlk107998735"/>
            <w:r w:rsidRPr="00AC03F5">
              <w:rPr>
                <w:szCs w:val="20"/>
              </w:rPr>
              <w:lastRenderedPageBreak/>
              <w:t>Trial Court:</w:t>
            </w:r>
          </w:p>
        </w:tc>
        <w:tc>
          <w:tcPr>
            <w:tcW w:w="4788" w:type="dxa"/>
            <w:gridSpan w:val="3"/>
            <w:tcBorders>
              <w:top w:val="nil"/>
              <w:left w:val="nil"/>
              <w:bottom w:val="nil"/>
              <w:right w:val="nil"/>
            </w:tcBorders>
          </w:tcPr>
          <w:p w14:paraId="7E8A4DBA" w14:textId="77777777" w:rsidR="00532E74" w:rsidRPr="00AC03F5" w:rsidRDefault="00532E74" w:rsidP="00560BA4">
            <w:pPr>
              <w:spacing w:line="240" w:lineRule="auto"/>
              <w:rPr>
                <w:szCs w:val="26"/>
              </w:rPr>
            </w:pPr>
            <w:r>
              <w:rPr>
                <w:szCs w:val="26"/>
              </w:rPr>
              <w:t xml:space="preserve">   </w:t>
            </w:r>
            <w:r w:rsidRPr="00AC03F5">
              <w:rPr>
                <w:szCs w:val="26"/>
              </w:rPr>
              <w:t xml:space="preserve">Santa </w:t>
            </w:r>
            <w:r>
              <w:rPr>
                <w:szCs w:val="26"/>
              </w:rPr>
              <w:t>Cruz</w:t>
            </w:r>
            <w:r w:rsidRPr="00AC03F5">
              <w:rPr>
                <w:szCs w:val="26"/>
              </w:rPr>
              <w:t xml:space="preserve"> County Superior Court</w:t>
            </w:r>
          </w:p>
          <w:p w14:paraId="1AD4E36A" w14:textId="77777777" w:rsidR="00532E74" w:rsidRPr="00AC03F5" w:rsidRDefault="00532E74" w:rsidP="00560BA4">
            <w:pPr>
              <w:spacing w:line="240" w:lineRule="auto"/>
              <w:rPr>
                <w:szCs w:val="20"/>
              </w:rPr>
            </w:pPr>
            <w:r>
              <w:rPr>
                <w:szCs w:val="26"/>
              </w:rPr>
              <w:t xml:space="preserve">   </w:t>
            </w:r>
            <w:r w:rsidRPr="00AC03F5">
              <w:rPr>
                <w:szCs w:val="26"/>
              </w:rPr>
              <w:t xml:space="preserve">Superior Court No: </w:t>
            </w:r>
            <w:r w:rsidRPr="00303787">
              <w:rPr>
                <w:szCs w:val="26"/>
              </w:rPr>
              <w:t>22CV00610</w:t>
            </w:r>
          </w:p>
          <w:p w14:paraId="7425234F" w14:textId="77777777" w:rsidR="00532E74" w:rsidRPr="00AC03F5" w:rsidRDefault="00532E74" w:rsidP="00560BA4">
            <w:pPr>
              <w:spacing w:line="240" w:lineRule="auto"/>
              <w:rPr>
                <w:szCs w:val="26"/>
              </w:rPr>
            </w:pPr>
          </w:p>
        </w:tc>
      </w:tr>
      <w:tr w:rsidR="00532E74" w:rsidRPr="00AC03F5" w14:paraId="7311BAE1" w14:textId="77777777" w:rsidTr="00560BA4">
        <w:tc>
          <w:tcPr>
            <w:tcW w:w="4788" w:type="dxa"/>
            <w:tcBorders>
              <w:top w:val="nil"/>
              <w:left w:val="nil"/>
              <w:bottom w:val="nil"/>
              <w:right w:val="nil"/>
            </w:tcBorders>
          </w:tcPr>
          <w:p w14:paraId="5B7D0E26" w14:textId="77777777" w:rsidR="00532E74" w:rsidRPr="00AC03F5" w:rsidRDefault="00532E74" w:rsidP="00560BA4">
            <w:pPr>
              <w:spacing w:line="240" w:lineRule="auto"/>
              <w:rPr>
                <w:szCs w:val="20"/>
              </w:rPr>
            </w:pPr>
            <w:r w:rsidRPr="00AC03F5">
              <w:rPr>
                <w:szCs w:val="20"/>
              </w:rPr>
              <w:t>Trial Judge:</w:t>
            </w:r>
          </w:p>
        </w:tc>
        <w:tc>
          <w:tcPr>
            <w:tcW w:w="4788" w:type="dxa"/>
            <w:gridSpan w:val="3"/>
            <w:tcBorders>
              <w:top w:val="nil"/>
              <w:left w:val="nil"/>
              <w:bottom w:val="nil"/>
              <w:right w:val="nil"/>
            </w:tcBorders>
          </w:tcPr>
          <w:p w14:paraId="6794B8F2" w14:textId="77777777" w:rsidR="00532E74" w:rsidRPr="00AC03F5" w:rsidRDefault="00532E74" w:rsidP="00560BA4">
            <w:pPr>
              <w:spacing w:line="240" w:lineRule="auto"/>
              <w:rPr>
                <w:szCs w:val="26"/>
              </w:rPr>
            </w:pPr>
            <w:r>
              <w:rPr>
                <w:szCs w:val="26"/>
              </w:rPr>
              <w:t xml:space="preserve">   </w:t>
            </w:r>
            <w:r w:rsidRPr="00AC03F5">
              <w:rPr>
                <w:szCs w:val="26"/>
              </w:rPr>
              <w:t xml:space="preserve">The Honorable </w:t>
            </w:r>
            <w:r>
              <w:rPr>
                <w:szCs w:val="26"/>
              </w:rPr>
              <w:t>Timothy Volkmann</w:t>
            </w:r>
            <w:r w:rsidRPr="00AC03F5">
              <w:rPr>
                <w:szCs w:val="26"/>
              </w:rPr>
              <w:t xml:space="preserve"> </w:t>
            </w:r>
          </w:p>
          <w:p w14:paraId="4F880064" w14:textId="77777777" w:rsidR="00532E74" w:rsidRPr="00AC03F5" w:rsidRDefault="00532E74" w:rsidP="00560BA4">
            <w:pPr>
              <w:spacing w:line="240" w:lineRule="auto"/>
              <w:rPr>
                <w:szCs w:val="26"/>
              </w:rPr>
            </w:pPr>
          </w:p>
          <w:p w14:paraId="2F83EC6C" w14:textId="77777777" w:rsidR="00532E74" w:rsidRPr="00AC03F5" w:rsidRDefault="00532E74" w:rsidP="00560BA4">
            <w:pPr>
              <w:spacing w:line="240" w:lineRule="auto"/>
              <w:rPr>
                <w:szCs w:val="26"/>
              </w:rPr>
            </w:pPr>
          </w:p>
        </w:tc>
      </w:tr>
      <w:tr w:rsidR="00532E74" w14:paraId="573CD9A3" w14:textId="77777777" w:rsidTr="00560BA4">
        <w:trPr>
          <w:gridAfter w:val="1"/>
          <w:wAfter w:w="18" w:type="dxa"/>
        </w:trPr>
        <w:tc>
          <w:tcPr>
            <w:tcW w:w="5058" w:type="dxa"/>
            <w:gridSpan w:val="2"/>
            <w:tcBorders>
              <w:top w:val="nil"/>
              <w:left w:val="nil"/>
              <w:bottom w:val="nil"/>
              <w:right w:val="nil"/>
            </w:tcBorders>
          </w:tcPr>
          <w:p w14:paraId="0A3B4D2B" w14:textId="77777777" w:rsidR="00532E74" w:rsidRDefault="00532E74" w:rsidP="00560BA4">
            <w:pPr>
              <w:spacing w:line="240" w:lineRule="auto"/>
              <w:rPr>
                <w:szCs w:val="26"/>
              </w:rPr>
            </w:pPr>
            <w:bookmarkStart w:id="9" w:name="_Hlk100308697"/>
            <w:bookmarkEnd w:id="4"/>
            <w:bookmarkEnd w:id="5"/>
            <w:bookmarkEnd w:id="6"/>
            <w:r w:rsidRPr="00AC03F5">
              <w:rPr>
                <w:szCs w:val="26"/>
              </w:rPr>
              <w:t xml:space="preserve">Attorneys for </w:t>
            </w:r>
            <w:r>
              <w:rPr>
                <w:szCs w:val="26"/>
              </w:rPr>
              <w:t>Plaintiff</w:t>
            </w:r>
            <w:r w:rsidRPr="00AC03F5">
              <w:rPr>
                <w:szCs w:val="26"/>
              </w:rPr>
              <w:t xml:space="preserve"> and Appellant</w:t>
            </w:r>
            <w:r>
              <w:rPr>
                <w:szCs w:val="26"/>
              </w:rPr>
              <w:t xml:space="preserve"> </w:t>
            </w:r>
          </w:p>
          <w:p w14:paraId="200C0ED0" w14:textId="77777777" w:rsidR="00532E74" w:rsidRDefault="00532E74" w:rsidP="00560BA4">
            <w:pPr>
              <w:spacing w:line="240" w:lineRule="auto"/>
              <w:rPr>
                <w:szCs w:val="26"/>
              </w:rPr>
            </w:pPr>
            <w:r>
              <w:rPr>
                <w:szCs w:val="26"/>
              </w:rPr>
              <w:t xml:space="preserve">Ryan Owen </w:t>
            </w:r>
            <w:proofErr w:type="spellStart"/>
            <w:r>
              <w:rPr>
                <w:szCs w:val="26"/>
              </w:rPr>
              <w:t>Frayo</w:t>
            </w:r>
            <w:proofErr w:type="spellEnd"/>
            <w:r>
              <w:rPr>
                <w:szCs w:val="26"/>
              </w:rPr>
              <w:t>:</w:t>
            </w:r>
          </w:p>
        </w:tc>
        <w:tc>
          <w:tcPr>
            <w:tcW w:w="4500" w:type="dxa"/>
            <w:tcBorders>
              <w:top w:val="nil"/>
              <w:left w:val="nil"/>
              <w:bottom w:val="nil"/>
              <w:right w:val="nil"/>
            </w:tcBorders>
          </w:tcPr>
          <w:p w14:paraId="09A11124" w14:textId="77777777" w:rsidR="00532E74" w:rsidRPr="0094674A" w:rsidRDefault="00532E74" w:rsidP="00560BA4">
            <w:pPr>
              <w:spacing w:line="240" w:lineRule="auto"/>
              <w:rPr>
                <w:szCs w:val="26"/>
              </w:rPr>
            </w:pPr>
            <w:r w:rsidRPr="0094674A">
              <w:rPr>
                <w:szCs w:val="26"/>
              </w:rPr>
              <w:t>Emilio Rene Dorame-Martinez, Martinez Law Office</w:t>
            </w:r>
          </w:p>
          <w:p w14:paraId="031B41D0" w14:textId="77777777" w:rsidR="00532E74" w:rsidRPr="0094674A" w:rsidRDefault="00532E74" w:rsidP="00560BA4">
            <w:pPr>
              <w:spacing w:line="240" w:lineRule="auto"/>
              <w:rPr>
                <w:szCs w:val="26"/>
              </w:rPr>
            </w:pPr>
          </w:p>
          <w:p w14:paraId="47B870B9" w14:textId="77777777" w:rsidR="00532E74" w:rsidRDefault="00532E74" w:rsidP="00560BA4">
            <w:pPr>
              <w:spacing w:line="240" w:lineRule="auto"/>
              <w:rPr>
                <w:szCs w:val="26"/>
              </w:rPr>
            </w:pPr>
            <w:r w:rsidRPr="0094674A">
              <w:rPr>
                <w:szCs w:val="26"/>
              </w:rPr>
              <w:t>Howard Lawrence Williams</w:t>
            </w:r>
          </w:p>
          <w:p w14:paraId="09C950D7" w14:textId="77777777" w:rsidR="00532E74" w:rsidRDefault="00532E74" w:rsidP="00560BA4">
            <w:pPr>
              <w:spacing w:line="240" w:lineRule="auto"/>
              <w:rPr>
                <w:szCs w:val="26"/>
              </w:rPr>
            </w:pPr>
          </w:p>
          <w:p w14:paraId="0B2EF43E" w14:textId="77777777" w:rsidR="00532E74" w:rsidRDefault="00532E74" w:rsidP="00560BA4">
            <w:pPr>
              <w:spacing w:line="240" w:lineRule="auto"/>
              <w:rPr>
                <w:szCs w:val="26"/>
              </w:rPr>
            </w:pPr>
          </w:p>
          <w:p w14:paraId="235CA17A" w14:textId="77777777" w:rsidR="00532E74" w:rsidRDefault="00532E74" w:rsidP="00560BA4">
            <w:pPr>
              <w:spacing w:line="240" w:lineRule="auto"/>
              <w:rPr>
                <w:szCs w:val="26"/>
              </w:rPr>
            </w:pPr>
          </w:p>
          <w:p w14:paraId="33AB8C94" w14:textId="77777777" w:rsidR="00532E74" w:rsidRDefault="00532E74" w:rsidP="00560BA4">
            <w:pPr>
              <w:spacing w:line="240" w:lineRule="auto"/>
              <w:rPr>
                <w:szCs w:val="26"/>
              </w:rPr>
            </w:pPr>
          </w:p>
        </w:tc>
      </w:tr>
      <w:tr w:rsidR="00532E74" w:rsidRPr="0094674A" w14:paraId="6D86D758" w14:textId="77777777" w:rsidTr="00560BA4">
        <w:trPr>
          <w:gridAfter w:val="1"/>
          <w:wAfter w:w="18" w:type="dxa"/>
        </w:trPr>
        <w:tc>
          <w:tcPr>
            <w:tcW w:w="5058" w:type="dxa"/>
            <w:gridSpan w:val="2"/>
            <w:tcBorders>
              <w:top w:val="nil"/>
              <w:left w:val="nil"/>
              <w:bottom w:val="nil"/>
              <w:right w:val="nil"/>
            </w:tcBorders>
          </w:tcPr>
          <w:p w14:paraId="5476342E" w14:textId="77777777" w:rsidR="00532E74" w:rsidRDefault="00532E74" w:rsidP="00560BA4">
            <w:pPr>
              <w:spacing w:line="240" w:lineRule="auto"/>
              <w:rPr>
                <w:szCs w:val="26"/>
              </w:rPr>
            </w:pPr>
          </w:p>
          <w:p w14:paraId="55BCAD1D" w14:textId="77777777" w:rsidR="00532E74" w:rsidRDefault="00532E74" w:rsidP="00560BA4">
            <w:pPr>
              <w:spacing w:line="240" w:lineRule="auto"/>
              <w:rPr>
                <w:szCs w:val="26"/>
              </w:rPr>
            </w:pPr>
          </w:p>
          <w:p w14:paraId="424A1AA9" w14:textId="77777777" w:rsidR="00532E74" w:rsidRDefault="00532E74" w:rsidP="00560BA4">
            <w:pPr>
              <w:spacing w:line="240" w:lineRule="auto"/>
              <w:rPr>
                <w:szCs w:val="26"/>
              </w:rPr>
            </w:pPr>
          </w:p>
          <w:p w14:paraId="2FED992A" w14:textId="77777777" w:rsidR="00532E74" w:rsidRDefault="00532E74" w:rsidP="00560BA4">
            <w:pPr>
              <w:spacing w:line="240" w:lineRule="auto"/>
              <w:rPr>
                <w:szCs w:val="26"/>
              </w:rPr>
            </w:pPr>
          </w:p>
          <w:p w14:paraId="4919BCF2" w14:textId="77777777" w:rsidR="00532E74" w:rsidRPr="00AC03F5" w:rsidRDefault="00532E74" w:rsidP="00560BA4">
            <w:pPr>
              <w:spacing w:line="240" w:lineRule="auto"/>
              <w:rPr>
                <w:szCs w:val="26"/>
              </w:rPr>
            </w:pPr>
          </w:p>
        </w:tc>
        <w:tc>
          <w:tcPr>
            <w:tcW w:w="4500" w:type="dxa"/>
            <w:tcBorders>
              <w:top w:val="nil"/>
              <w:left w:val="nil"/>
              <w:bottom w:val="nil"/>
              <w:right w:val="nil"/>
            </w:tcBorders>
          </w:tcPr>
          <w:p w14:paraId="7B725DD6" w14:textId="77777777" w:rsidR="00532E74" w:rsidRPr="0094674A" w:rsidRDefault="00532E74" w:rsidP="00560BA4">
            <w:pPr>
              <w:spacing w:line="240" w:lineRule="auto"/>
              <w:rPr>
                <w:szCs w:val="26"/>
              </w:rPr>
            </w:pPr>
          </w:p>
        </w:tc>
      </w:tr>
      <w:tr w:rsidR="00532E74" w14:paraId="1B4FD94D" w14:textId="77777777" w:rsidTr="00560BA4">
        <w:trPr>
          <w:gridAfter w:val="1"/>
          <w:wAfter w:w="18" w:type="dxa"/>
        </w:trPr>
        <w:tc>
          <w:tcPr>
            <w:tcW w:w="5058" w:type="dxa"/>
            <w:gridSpan w:val="2"/>
            <w:tcBorders>
              <w:top w:val="nil"/>
              <w:left w:val="nil"/>
              <w:bottom w:val="nil"/>
              <w:right w:val="nil"/>
            </w:tcBorders>
          </w:tcPr>
          <w:p w14:paraId="69004DDE" w14:textId="77777777" w:rsidR="00532E74" w:rsidRDefault="00532E74" w:rsidP="00560BA4">
            <w:pPr>
              <w:spacing w:line="240" w:lineRule="auto"/>
              <w:rPr>
                <w:szCs w:val="26"/>
              </w:rPr>
            </w:pPr>
            <w:r w:rsidRPr="00AC03F5">
              <w:rPr>
                <w:szCs w:val="26"/>
              </w:rPr>
              <w:t xml:space="preserve">Attorneys for </w:t>
            </w:r>
            <w:r>
              <w:rPr>
                <w:szCs w:val="26"/>
              </w:rPr>
              <w:t>Defendant</w:t>
            </w:r>
            <w:r w:rsidRPr="00AC03F5">
              <w:rPr>
                <w:szCs w:val="26"/>
              </w:rPr>
              <w:t xml:space="preserve"> and Respondent</w:t>
            </w:r>
            <w:r>
              <w:rPr>
                <w:szCs w:val="26"/>
              </w:rPr>
              <w:t>s</w:t>
            </w:r>
          </w:p>
          <w:p w14:paraId="4BB82413" w14:textId="77777777" w:rsidR="00532E74" w:rsidRDefault="00532E74" w:rsidP="00560BA4">
            <w:pPr>
              <w:spacing w:line="240" w:lineRule="auto"/>
              <w:rPr>
                <w:bCs/>
                <w:iCs/>
                <w:szCs w:val="26"/>
              </w:rPr>
            </w:pPr>
            <w:r>
              <w:rPr>
                <w:bCs/>
                <w:iCs/>
                <w:szCs w:val="26"/>
              </w:rPr>
              <w:t>A</w:t>
            </w:r>
            <w:r w:rsidRPr="00303787">
              <w:rPr>
                <w:bCs/>
                <w:iCs/>
                <w:szCs w:val="26"/>
              </w:rPr>
              <w:t>&amp;A Organic Farms Corporation</w:t>
            </w:r>
            <w:r>
              <w:rPr>
                <w:bCs/>
                <w:iCs/>
                <w:szCs w:val="26"/>
              </w:rPr>
              <w:t xml:space="preserve">, </w:t>
            </w:r>
          </w:p>
          <w:p w14:paraId="724CD25A" w14:textId="77777777" w:rsidR="00532E74" w:rsidRDefault="00532E74" w:rsidP="00560BA4">
            <w:pPr>
              <w:spacing w:line="240" w:lineRule="auto"/>
              <w:rPr>
                <w:bCs/>
                <w:iCs/>
                <w:szCs w:val="26"/>
              </w:rPr>
            </w:pPr>
            <w:r w:rsidRPr="00303787">
              <w:rPr>
                <w:bCs/>
                <w:iCs/>
                <w:szCs w:val="26"/>
              </w:rPr>
              <w:t>Andrew D. Martin</w:t>
            </w:r>
            <w:r>
              <w:rPr>
                <w:bCs/>
                <w:iCs/>
                <w:szCs w:val="26"/>
              </w:rPr>
              <w:t>,</w:t>
            </w:r>
            <w:r w:rsidRPr="00303787">
              <w:rPr>
                <w:bCs/>
                <w:iCs/>
                <w:szCs w:val="26"/>
              </w:rPr>
              <w:t xml:space="preserve"> and </w:t>
            </w:r>
          </w:p>
          <w:p w14:paraId="082EC4A7" w14:textId="77777777" w:rsidR="00532E74" w:rsidRDefault="00532E74" w:rsidP="00560BA4">
            <w:pPr>
              <w:spacing w:line="240" w:lineRule="auto"/>
              <w:rPr>
                <w:szCs w:val="26"/>
              </w:rPr>
            </w:pPr>
            <w:r w:rsidRPr="00303787">
              <w:rPr>
                <w:bCs/>
                <w:iCs/>
                <w:szCs w:val="26"/>
              </w:rPr>
              <w:t>Aimee M. Raphael-Martin</w:t>
            </w:r>
            <w:r>
              <w:rPr>
                <w:bCs/>
                <w:iCs/>
                <w:szCs w:val="26"/>
              </w:rPr>
              <w:t>:</w:t>
            </w:r>
          </w:p>
        </w:tc>
        <w:tc>
          <w:tcPr>
            <w:tcW w:w="4500" w:type="dxa"/>
            <w:tcBorders>
              <w:top w:val="nil"/>
              <w:left w:val="nil"/>
              <w:bottom w:val="nil"/>
              <w:right w:val="nil"/>
            </w:tcBorders>
          </w:tcPr>
          <w:p w14:paraId="053AFB2F" w14:textId="77777777" w:rsidR="00532E74" w:rsidRPr="00A36C81" w:rsidRDefault="00532E74" w:rsidP="00560BA4">
            <w:pPr>
              <w:spacing w:line="240" w:lineRule="auto"/>
              <w:rPr>
                <w:szCs w:val="26"/>
              </w:rPr>
            </w:pPr>
            <w:r w:rsidRPr="00A36C81">
              <w:rPr>
                <w:szCs w:val="26"/>
              </w:rPr>
              <w:t xml:space="preserve">Mark Patrick Iezza, </w:t>
            </w:r>
          </w:p>
          <w:p w14:paraId="42C2FC9C" w14:textId="77777777" w:rsidR="00532E74" w:rsidRDefault="00532E74" w:rsidP="00560BA4">
            <w:pPr>
              <w:spacing w:line="240" w:lineRule="auto"/>
              <w:rPr>
                <w:szCs w:val="26"/>
              </w:rPr>
            </w:pPr>
            <w:r w:rsidRPr="00A36C81">
              <w:rPr>
                <w:szCs w:val="26"/>
              </w:rPr>
              <w:t>Iezza &amp; Hockel, PC</w:t>
            </w:r>
          </w:p>
          <w:p w14:paraId="4D61D1E6" w14:textId="77777777" w:rsidR="00532E74" w:rsidRDefault="00532E74" w:rsidP="00560BA4">
            <w:pPr>
              <w:spacing w:line="240" w:lineRule="auto"/>
              <w:rPr>
                <w:szCs w:val="26"/>
              </w:rPr>
            </w:pPr>
            <w:r w:rsidRPr="00A36C81">
              <w:rPr>
                <w:szCs w:val="26"/>
              </w:rPr>
              <w:tab/>
            </w:r>
          </w:p>
          <w:p w14:paraId="3CBE4D9B" w14:textId="77777777" w:rsidR="00532E74" w:rsidRDefault="00532E74" w:rsidP="00560BA4">
            <w:pPr>
              <w:spacing w:line="240" w:lineRule="auto"/>
              <w:rPr>
                <w:szCs w:val="26"/>
              </w:rPr>
            </w:pPr>
            <w:r w:rsidRPr="00A36C81">
              <w:rPr>
                <w:szCs w:val="26"/>
              </w:rPr>
              <w:t>Thomas Kevin Hockel</w:t>
            </w:r>
          </w:p>
          <w:p w14:paraId="6BB4001C" w14:textId="77777777" w:rsidR="00532E74" w:rsidRDefault="00532E74" w:rsidP="00560BA4">
            <w:pPr>
              <w:spacing w:line="240" w:lineRule="auto"/>
              <w:rPr>
                <w:szCs w:val="26"/>
              </w:rPr>
            </w:pPr>
            <w:r w:rsidRPr="00A36C81">
              <w:rPr>
                <w:szCs w:val="26"/>
              </w:rPr>
              <w:t>Iezza &amp; Hockel, PC.</w:t>
            </w:r>
          </w:p>
          <w:p w14:paraId="737512FA" w14:textId="77777777" w:rsidR="00532E74" w:rsidRDefault="00532E74" w:rsidP="00560BA4">
            <w:pPr>
              <w:spacing w:line="240" w:lineRule="auto"/>
              <w:rPr>
                <w:szCs w:val="26"/>
              </w:rPr>
            </w:pPr>
          </w:p>
          <w:p w14:paraId="6D65F4BB" w14:textId="77777777" w:rsidR="00532E74" w:rsidRPr="006E1C47" w:rsidRDefault="00532E74" w:rsidP="00560BA4">
            <w:pPr>
              <w:spacing w:line="240" w:lineRule="auto"/>
              <w:rPr>
                <w:szCs w:val="26"/>
              </w:rPr>
            </w:pPr>
            <w:r w:rsidRPr="006E1C47">
              <w:rPr>
                <w:szCs w:val="26"/>
              </w:rPr>
              <w:t>Eileen Mary Rice</w:t>
            </w:r>
          </w:p>
          <w:p w14:paraId="7B6AAA22" w14:textId="77777777" w:rsidR="00532E74" w:rsidRDefault="00532E74" w:rsidP="00560BA4">
            <w:pPr>
              <w:spacing w:line="240" w:lineRule="auto"/>
              <w:rPr>
                <w:szCs w:val="26"/>
              </w:rPr>
            </w:pPr>
            <w:r w:rsidRPr="006E1C47">
              <w:rPr>
                <w:szCs w:val="26"/>
              </w:rPr>
              <w:t>Klein, Hockel, Iezza &amp; Patel, P.C</w:t>
            </w:r>
          </w:p>
          <w:p w14:paraId="460DD276" w14:textId="77777777" w:rsidR="00532E74" w:rsidRDefault="00532E74" w:rsidP="00560BA4">
            <w:pPr>
              <w:spacing w:line="240" w:lineRule="auto"/>
              <w:rPr>
                <w:szCs w:val="26"/>
              </w:rPr>
            </w:pPr>
          </w:p>
        </w:tc>
      </w:tr>
    </w:tbl>
    <w:p w14:paraId="6150300B" w14:textId="77777777" w:rsidR="00532E74" w:rsidRDefault="00532E74" w:rsidP="00532E74">
      <w:pPr>
        <w:spacing w:line="240" w:lineRule="auto"/>
        <w:rPr>
          <w:szCs w:val="26"/>
        </w:rPr>
      </w:pPr>
    </w:p>
    <w:p w14:paraId="5C50045D" w14:textId="77777777" w:rsidR="00532E74" w:rsidRDefault="00532E74" w:rsidP="00532E74">
      <w:pPr>
        <w:spacing w:line="240" w:lineRule="auto"/>
        <w:ind w:left="5040" w:hanging="5040"/>
        <w:rPr>
          <w:szCs w:val="26"/>
        </w:rPr>
      </w:pPr>
    </w:p>
    <w:p w14:paraId="04C452FC" w14:textId="77777777" w:rsidR="00532E74" w:rsidRDefault="00532E74" w:rsidP="00532E74">
      <w:pPr>
        <w:spacing w:line="240" w:lineRule="auto"/>
        <w:ind w:left="5040" w:hanging="5040"/>
        <w:rPr>
          <w:szCs w:val="26"/>
        </w:rPr>
      </w:pPr>
    </w:p>
    <w:p w14:paraId="7AB02FF0" w14:textId="77777777" w:rsidR="00532E74" w:rsidRDefault="00532E74" w:rsidP="00532E74">
      <w:pPr>
        <w:spacing w:line="240" w:lineRule="auto"/>
        <w:ind w:left="5040" w:hanging="5040"/>
        <w:rPr>
          <w:szCs w:val="26"/>
        </w:rPr>
      </w:pPr>
    </w:p>
    <w:p w14:paraId="542BF256" w14:textId="77777777" w:rsidR="00532E74" w:rsidRDefault="00532E74" w:rsidP="00532E74">
      <w:pPr>
        <w:spacing w:line="240" w:lineRule="auto"/>
        <w:ind w:left="5040" w:hanging="5040"/>
        <w:rPr>
          <w:szCs w:val="26"/>
        </w:rPr>
      </w:pPr>
    </w:p>
    <w:bookmarkEnd w:id="9"/>
    <w:p w14:paraId="34FCB9AA" w14:textId="77777777" w:rsidR="00532E74" w:rsidRPr="00AC03F5" w:rsidRDefault="00532E74" w:rsidP="00532E74">
      <w:pPr>
        <w:spacing w:line="240" w:lineRule="auto"/>
        <w:rPr>
          <w:szCs w:val="20"/>
        </w:rPr>
      </w:pPr>
    </w:p>
    <w:p w14:paraId="5E6B823A" w14:textId="77777777" w:rsidR="00532E74" w:rsidRPr="00AC03F5" w:rsidRDefault="00532E74" w:rsidP="00532E74">
      <w:pPr>
        <w:spacing w:line="240" w:lineRule="auto"/>
        <w:rPr>
          <w:szCs w:val="26"/>
        </w:rPr>
      </w:pPr>
    </w:p>
    <w:p w14:paraId="5D6FD23F" w14:textId="77777777" w:rsidR="00532E74" w:rsidRPr="00AC03F5" w:rsidRDefault="00532E74" w:rsidP="00532E74">
      <w:pPr>
        <w:spacing w:line="240" w:lineRule="auto"/>
        <w:rPr>
          <w:szCs w:val="26"/>
        </w:rPr>
      </w:pPr>
    </w:p>
    <w:p w14:paraId="25E1994C" w14:textId="77777777" w:rsidR="00532E74" w:rsidRPr="00AC03F5" w:rsidRDefault="00532E74" w:rsidP="00532E74">
      <w:pPr>
        <w:spacing w:line="240" w:lineRule="auto"/>
        <w:rPr>
          <w:szCs w:val="26"/>
        </w:rPr>
      </w:pPr>
      <w:proofErr w:type="spellStart"/>
      <w:r>
        <w:rPr>
          <w:szCs w:val="26"/>
        </w:rPr>
        <w:t>Frayo</w:t>
      </w:r>
      <w:proofErr w:type="spellEnd"/>
      <w:r>
        <w:rPr>
          <w:szCs w:val="26"/>
        </w:rPr>
        <w:t xml:space="preserve"> v. Martin et al.</w:t>
      </w:r>
    </w:p>
    <w:bookmarkEnd w:id="7"/>
    <w:bookmarkEnd w:id="8"/>
    <w:p w14:paraId="5AC2CD5A"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H050689</w:t>
      </w:r>
    </w:p>
    <w:p w14:paraId="7E4CE03D" w14:textId="77777777" w:rsidR="00532E74" w:rsidRDefault="00532E74" w:rsidP="00532E74">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szCs w:val="24"/>
        </w:rPr>
      </w:pPr>
    </w:p>
    <w:p w14:paraId="7E4B61FA" w14:textId="77777777" w:rsidR="00C23344" w:rsidRPr="008611AE" w:rsidRDefault="00C23344" w:rsidP="008611AE">
      <w:pPr>
        <w:tabs>
          <w:tab w:val="left" w:pos="1300"/>
        </w:tabs>
        <w:spacing w:line="240" w:lineRule="auto"/>
        <w:ind w:left="720"/>
      </w:pPr>
    </w:p>
    <w:sectPr w:rsidR="005F4C19" w:rsidRPr="008611AE" w:rsidSect="00532E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A8B45" w14:textId="77777777" w:rsidR="00C23344" w:rsidRDefault="00C23344">
      <w:pPr>
        <w:spacing w:line="240" w:lineRule="auto"/>
      </w:pPr>
      <w:r>
        <w:separator/>
      </w:r>
    </w:p>
  </w:endnote>
  <w:endnote w:type="continuationSeparator" w:id="0">
    <w:p w14:paraId="53D3F57B" w14:textId="77777777" w:rsidR="00C23344" w:rsidRDefault="00C23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9366617"/>
      <w:docPartObj>
        <w:docPartGallery w:val="Page Numbers (Bottom of Page)"/>
        <w:docPartUnique/>
      </w:docPartObj>
    </w:sdtPr>
    <w:sdtEndPr>
      <w:rPr>
        <w:noProof/>
      </w:rPr>
    </w:sdtEndPr>
    <w:sdtContent>
      <w:p w14:paraId="35E1642B" w14:textId="77777777" w:rsidR="00C23344" w:rsidRDefault="00C23344" w:rsidP="001716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9D176" w14:textId="77777777" w:rsidR="00C23344" w:rsidRDefault="00C23344" w:rsidP="00320566">
      <w:pPr>
        <w:spacing w:line="240" w:lineRule="auto"/>
      </w:pPr>
      <w:r>
        <w:separator/>
      </w:r>
    </w:p>
  </w:footnote>
  <w:footnote w:type="continuationSeparator" w:id="0">
    <w:p w14:paraId="07461E75" w14:textId="77777777" w:rsidR="00C23344" w:rsidRDefault="00C23344" w:rsidP="00320566">
      <w:pPr>
        <w:spacing w:line="240" w:lineRule="auto"/>
      </w:pPr>
      <w:r>
        <w:continuationSeparator/>
      </w:r>
    </w:p>
  </w:footnote>
  <w:footnote w:type="continuationNotice" w:id="1">
    <w:p w14:paraId="4E03CD47" w14:textId="77777777" w:rsidR="00C23344" w:rsidRDefault="00C23344">
      <w:pPr>
        <w:spacing w:line="240" w:lineRule="auto"/>
      </w:pPr>
      <w:r>
        <w:t>(continued)</w:t>
      </w:r>
    </w:p>
  </w:footnote>
  <w:footnote w:id="2">
    <w:p w14:paraId="605127E6" w14:textId="77777777" w:rsidR="00C23344" w:rsidRDefault="00C23344" w:rsidP="00315551">
      <w:pPr>
        <w:pStyle w:val="FootnoteText"/>
      </w:pPr>
      <w:r>
        <w:tab/>
      </w:r>
      <w:r>
        <w:rPr>
          <w:rStyle w:val="FootnoteReference"/>
        </w:rPr>
        <w:footnoteRef/>
      </w:r>
      <w:r>
        <w:t xml:space="preserve"> Unless otherwise specified, all undesignated statutory references are to the Civil Code.</w:t>
      </w:r>
    </w:p>
  </w:footnote>
  <w:footnote w:id="3">
    <w:p w14:paraId="24749EB6" w14:textId="77777777" w:rsidR="00C23344" w:rsidRDefault="00C23344" w:rsidP="00E21AF6">
      <w:pPr>
        <w:pStyle w:val="FootnoteText"/>
        <w:spacing w:after="120"/>
      </w:pPr>
      <w:r>
        <w:tab/>
      </w:r>
      <w:r>
        <w:rPr>
          <w:rStyle w:val="FootnoteReference"/>
        </w:rPr>
        <w:footnoteRef/>
      </w:r>
      <w:r>
        <w:t xml:space="preserve"> </w:t>
      </w:r>
      <w:r>
        <w:t xml:space="preserve">For ease of reference, we refer to Andrew Martin as </w:t>
      </w:r>
      <w:r>
        <w:t>“</w:t>
      </w:r>
      <w:r>
        <w:t>Martin</w:t>
      </w:r>
      <w:r>
        <w:t>,”</w:t>
      </w:r>
      <w:r>
        <w:t xml:space="preserve"> Aimee Raphael</w:t>
      </w:r>
      <w:r>
        <w:t>- </w:t>
      </w:r>
      <w:r>
        <w:t xml:space="preserve">Martin as </w:t>
      </w:r>
      <w:r>
        <w:t>“</w:t>
      </w:r>
      <w:r>
        <w:t>Raphael-Martin</w:t>
      </w:r>
      <w:r>
        <w:t xml:space="preserve">,” and </w:t>
      </w:r>
      <w:r>
        <w:t xml:space="preserve">the two </w:t>
      </w:r>
      <w:r>
        <w:t>together as “the individual defendants.”</w:t>
      </w:r>
      <w:r>
        <w:t xml:space="preserve"> </w:t>
      </w:r>
      <w:r>
        <w:t xml:space="preserve"> </w:t>
      </w:r>
    </w:p>
  </w:footnote>
  <w:footnote w:id="4">
    <w:p w14:paraId="28F98522" w14:textId="77777777" w:rsidR="00C23344" w:rsidRDefault="00C23344">
      <w:pPr>
        <w:pStyle w:val="FootnoteText"/>
      </w:pPr>
      <w:r>
        <w:tab/>
      </w:r>
      <w:r>
        <w:rPr>
          <w:rStyle w:val="FootnoteReference"/>
        </w:rPr>
        <w:footnoteRef/>
      </w:r>
      <w:r>
        <w:t xml:space="preserve"> </w:t>
      </w:r>
      <w:r>
        <w:t xml:space="preserve">Based on </w:t>
      </w:r>
      <w:proofErr w:type="spellStart"/>
      <w:r>
        <w:t>Frayo’s</w:t>
      </w:r>
      <w:proofErr w:type="spellEnd"/>
      <w:r>
        <w:t xml:space="preserve"> claims</w:t>
      </w:r>
      <w:r>
        <w:t xml:space="preserve">, </w:t>
      </w:r>
      <w:r>
        <w:t>we understand that</w:t>
      </w:r>
      <w:r>
        <w:t xml:space="preserve"> </w:t>
      </w:r>
      <w:r>
        <w:t xml:space="preserve">a </w:t>
      </w:r>
      <w:r>
        <w:t xml:space="preserve">“COVID-19 test” </w:t>
      </w:r>
      <w:r>
        <w:t>refers to</w:t>
      </w:r>
      <w:r>
        <w:t xml:space="preserve"> a third</w:t>
      </w:r>
      <w:r>
        <w:t xml:space="preserve"> </w:t>
      </w:r>
      <w:r>
        <w:t>party administered test</w:t>
      </w:r>
      <w:r>
        <w:t xml:space="preserve">, </w:t>
      </w:r>
      <w:r>
        <w:t>not a self-</w:t>
      </w:r>
      <w:r>
        <w:t xml:space="preserve">administered </w:t>
      </w:r>
      <w:r>
        <w:t>test</w:t>
      </w:r>
      <w:r>
        <w:t>.</w:t>
      </w:r>
    </w:p>
  </w:footnote>
  <w:footnote w:id="5">
    <w:p w14:paraId="07753B1A" w14:textId="77777777" w:rsidR="00C23344" w:rsidRDefault="00C23344" w:rsidP="00786736">
      <w:pPr>
        <w:pStyle w:val="FootnoteText"/>
        <w:spacing w:after="120"/>
      </w:pPr>
      <w:r>
        <w:tab/>
      </w:r>
      <w:r>
        <w:rPr>
          <w:rStyle w:val="FootnoteReference"/>
        </w:rPr>
        <w:footnoteRef/>
      </w:r>
      <w:r>
        <w:t xml:space="preserve"> </w:t>
      </w:r>
      <w:r>
        <w:t xml:space="preserve">A summary of the essential factual elements for </w:t>
      </w:r>
      <w:r>
        <w:t xml:space="preserve">a </w:t>
      </w:r>
      <w:r w:rsidRPr="003D072A">
        <w:t>section 56.20(b)</w:t>
      </w:r>
      <w:r>
        <w:t xml:space="preserve"> claim</w:t>
      </w:r>
      <w:r>
        <w:t xml:space="preserve"> provided in jury instructions </w:t>
      </w:r>
      <w:r w:rsidRPr="003D072A">
        <w:t>CACI No. 3071</w:t>
      </w:r>
      <w:r>
        <w:t xml:space="preserve"> is as follows:</w:t>
      </w:r>
      <w:r>
        <w:t xml:space="preserve"> </w:t>
      </w:r>
      <w:r w:rsidRPr="003D072A">
        <w:t xml:space="preserve"> (1) that defendant asked plaintiff to sign an authorization so that defendant can obtain medical information about plaintiff from his health care providers; (2) that plaintiff refused to sign the authorization; (3)</w:t>
      </w:r>
      <w:r>
        <w:t> </w:t>
      </w:r>
      <w:r w:rsidRPr="003D072A">
        <w:t>that defendant engaged in retaliatory acts (e.g., termination of the plaintiff’s employment); (4)</w:t>
      </w:r>
      <w:r>
        <w:t> </w:t>
      </w:r>
      <w:r w:rsidRPr="003D072A">
        <w:t>that plaintiff’s refusal to sign the authorization was a substan</w:t>
      </w:r>
      <w:r w:rsidRPr="003D072A">
        <w:t>tial motivating reason for defendant’s decision; (5)</w:t>
      </w:r>
      <w:r>
        <w:t> </w:t>
      </w:r>
      <w:r w:rsidRPr="003D072A">
        <w:t>that plaintiff was harmed; (6)</w:t>
      </w:r>
      <w:r>
        <w:t> </w:t>
      </w:r>
      <w:r w:rsidRPr="003D072A">
        <w:t>that defendant’s conduct was a substantial factor in causing plaintiff’s harm; and (7)</w:t>
      </w:r>
      <w:r>
        <w:t> </w:t>
      </w:r>
      <w:r w:rsidRPr="003D072A">
        <w:t xml:space="preserve">even if plaintiff proves all of the above, the defendant’s conduct was not unlawful if defendant provides the lack of medical information made it necessary to take the retaliatory action against plaintiff.  </w:t>
      </w:r>
    </w:p>
  </w:footnote>
  <w:footnote w:id="6">
    <w:p w14:paraId="37690E71" w14:textId="77777777" w:rsidR="00C23344" w:rsidRDefault="00C23344" w:rsidP="00C17BCD">
      <w:pPr>
        <w:pStyle w:val="FootnoteText"/>
      </w:pPr>
      <w:r>
        <w:tab/>
      </w:r>
      <w:r>
        <w:rPr>
          <w:rStyle w:val="FootnoteReference"/>
        </w:rPr>
        <w:footnoteRef/>
      </w:r>
      <w:r>
        <w:t xml:space="preserve"> The status of the individual defendants in the trial court is not clear on the record before us.  </w:t>
      </w:r>
      <w:r>
        <w:t xml:space="preserve">It appears that </w:t>
      </w:r>
      <w:r>
        <w:rPr>
          <w:szCs w:val="26"/>
        </w:rPr>
        <w:t xml:space="preserve">Martin and Raphael-Martin did not individually appear or respond to the </w:t>
      </w:r>
      <w:r>
        <w:rPr>
          <w:szCs w:val="26"/>
        </w:rPr>
        <w:t xml:space="preserve">amended </w:t>
      </w:r>
      <w:r>
        <w:rPr>
          <w:szCs w:val="26"/>
        </w:rPr>
        <w:t>complaint in the trial proceedings</w:t>
      </w:r>
      <w:r>
        <w:rPr>
          <w:szCs w:val="26"/>
        </w:rPr>
        <w:t xml:space="preserve"> as the</w:t>
      </w:r>
      <w:r>
        <w:t xml:space="preserve"> </w:t>
      </w:r>
      <w:r>
        <w:t xml:space="preserve">demurrer to </w:t>
      </w:r>
      <w:proofErr w:type="spellStart"/>
      <w:r>
        <w:t>Frayo’s</w:t>
      </w:r>
      <w:proofErr w:type="spellEnd"/>
      <w:r>
        <w:t xml:space="preserve"> amended complaint was brought solely by A&amp;A</w:t>
      </w:r>
      <w:r>
        <w:t>.</w:t>
      </w:r>
      <w:r>
        <w:t xml:space="preserve"> </w:t>
      </w:r>
      <w:r w:rsidRPr="005D3CEE">
        <w:t xml:space="preserve"> </w:t>
      </w:r>
      <w:r>
        <w:t xml:space="preserve">However, the record is also silent as to whether </w:t>
      </w:r>
      <w:proofErr w:type="spellStart"/>
      <w:r>
        <w:t>Frayo</w:t>
      </w:r>
      <w:proofErr w:type="spellEnd"/>
      <w:r>
        <w:t xml:space="preserve"> obtained court approval to reinsert Martin and Raphael-Martin as defendants in the amended complaint </w:t>
      </w:r>
      <w:r>
        <w:t xml:space="preserve">and whether </w:t>
      </w:r>
      <w:proofErr w:type="spellStart"/>
      <w:r>
        <w:t>Frayo</w:t>
      </w:r>
      <w:proofErr w:type="spellEnd"/>
      <w:r>
        <w:t xml:space="preserve"> had effectuated service of the </w:t>
      </w:r>
      <w:r>
        <w:t>summ</w:t>
      </w:r>
      <w:r>
        <w:t>ons and amended complaint</w:t>
      </w:r>
      <w:r>
        <w:t xml:space="preserve"> on the individual defendants</w:t>
      </w:r>
      <w:r>
        <w:t xml:space="preserve">. </w:t>
      </w:r>
      <w:r>
        <w:t xml:space="preserve"> (</w:t>
      </w:r>
      <w:r w:rsidRPr="00477820">
        <w:rPr>
          <w:i/>
          <w:iCs/>
        </w:rPr>
        <w:t>Phoenix</w:t>
      </w:r>
      <w:r w:rsidRPr="00477820">
        <w:rPr>
          <w:i/>
          <w:iCs/>
        </w:rPr>
        <w:t xml:space="preserve"> of Hartford Ins. Cos. </w:t>
      </w:r>
      <w:r>
        <w:rPr>
          <w:i/>
          <w:iCs/>
        </w:rPr>
        <w:t>v</w:t>
      </w:r>
      <w:r w:rsidRPr="00477820">
        <w:rPr>
          <w:i/>
          <w:iCs/>
        </w:rPr>
        <w:t>. Colony Kitchens</w:t>
      </w:r>
      <w:r>
        <w:t xml:space="preserve"> (1976) 57 Cal.App.3d 140, 147.)</w:t>
      </w:r>
    </w:p>
  </w:footnote>
  <w:footnote w:id="7">
    <w:p w14:paraId="545BCF27" w14:textId="77777777" w:rsidR="00C23344" w:rsidRDefault="00C23344">
      <w:pPr>
        <w:pStyle w:val="FootnoteText"/>
      </w:pPr>
      <w:r>
        <w:tab/>
      </w:r>
      <w:r>
        <w:rPr>
          <w:rStyle w:val="FootnoteReference"/>
        </w:rPr>
        <w:footnoteRef/>
      </w:r>
      <w:r>
        <w:t xml:space="preserve"> </w:t>
      </w:r>
      <w:r>
        <w:t xml:space="preserve">On December 23, 2022, </w:t>
      </w:r>
      <w:proofErr w:type="spellStart"/>
      <w:r>
        <w:t>Frayo</w:t>
      </w:r>
      <w:proofErr w:type="spellEnd"/>
      <w:r>
        <w:t xml:space="preserve"> </w:t>
      </w:r>
      <w:r>
        <w:rPr>
          <w:szCs w:val="26"/>
        </w:rPr>
        <w:t xml:space="preserve">filed a notice of appeal challenging the order sustaining A&amp;A’s demurrer.  The </w:t>
      </w:r>
      <w:r>
        <w:rPr>
          <w:szCs w:val="26"/>
        </w:rPr>
        <w:t>judgment dismissing the action against all defendants being subsequently entered on March 8, 2023, on our own motion</w:t>
      </w:r>
      <w:r>
        <w:rPr>
          <w:szCs w:val="26"/>
        </w:rPr>
        <w:t>,</w:t>
      </w:r>
      <w:r>
        <w:rPr>
          <w:szCs w:val="26"/>
        </w:rPr>
        <w:t xml:space="preserve"> </w:t>
      </w:r>
      <w:r w:rsidRPr="0090058A">
        <w:rPr>
          <w:szCs w:val="26"/>
        </w:rPr>
        <w:t xml:space="preserve">we deemed </w:t>
      </w:r>
      <w:proofErr w:type="spellStart"/>
      <w:r w:rsidRPr="0090058A">
        <w:rPr>
          <w:szCs w:val="26"/>
        </w:rPr>
        <w:t>Frayo’s</w:t>
      </w:r>
      <w:proofErr w:type="spellEnd"/>
      <w:r w:rsidRPr="0090058A">
        <w:rPr>
          <w:szCs w:val="26"/>
        </w:rPr>
        <w:t xml:space="preserve"> notice of appeal filed as of </w:t>
      </w:r>
      <w:r>
        <w:rPr>
          <w:szCs w:val="26"/>
        </w:rPr>
        <w:t>that date.</w:t>
      </w:r>
    </w:p>
  </w:footnote>
  <w:footnote w:id="8">
    <w:p w14:paraId="6126FDA8" w14:textId="77777777" w:rsidR="00C23344" w:rsidRDefault="00C23344" w:rsidP="00F92EF7">
      <w:pPr>
        <w:pStyle w:val="FootnoteText"/>
      </w:pPr>
      <w:r>
        <w:tab/>
      </w:r>
      <w:r>
        <w:rPr>
          <w:rStyle w:val="FootnoteReference"/>
        </w:rPr>
        <w:footnoteRef/>
      </w:r>
      <w:r>
        <w:t xml:space="preserve"> </w:t>
      </w:r>
      <w:r w:rsidRPr="00844E8B">
        <w:t>The legislature amended portions of the CMIA throughout 2021</w:t>
      </w:r>
      <w:r>
        <w:t xml:space="preserve"> to </w:t>
      </w:r>
      <w:r>
        <w:t>2024</w:t>
      </w:r>
      <w:r>
        <w:t xml:space="preserve"> </w:t>
      </w:r>
      <w:r w:rsidRPr="00844E8B">
        <w:t xml:space="preserve">which are not material to our analysis in this case.  We cite to the </w:t>
      </w:r>
      <w:r>
        <w:t xml:space="preserve">former </w:t>
      </w:r>
      <w:r w:rsidRPr="00844E8B">
        <w:t xml:space="preserve">version of the statute effective at the time of the trial court’s ruling on </w:t>
      </w:r>
      <w:r>
        <w:t>A&amp;A’s</w:t>
      </w:r>
      <w:r w:rsidRPr="00844E8B">
        <w:t xml:space="preserve"> demurrer in </w:t>
      </w:r>
      <w:r>
        <w:t>November</w:t>
      </w:r>
      <w:r w:rsidRPr="00844E8B">
        <w:t xml:space="preserve"> 202</w:t>
      </w:r>
      <w:r>
        <w:t>2</w:t>
      </w:r>
      <w:r w:rsidRPr="00844E8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DCCB5BA"/>
    <w:multiLevelType w:val="hybridMultilevel"/>
    <w:tmpl w:val="FFFFFFFF"/>
    <w:lvl w:ilvl="0" w:tplc="EF648E1E">
      <w:start w:val="1"/>
      <w:numFmt w:val="upperLetter"/>
      <w:lvlText w:val=""/>
      <w:lvlJc w:val="left"/>
    </w:lvl>
    <w:lvl w:ilvl="1" w:tplc="C0CC00FE">
      <w:numFmt w:val="decimal"/>
      <w:lvlText w:val=""/>
      <w:lvlJc w:val="left"/>
    </w:lvl>
    <w:lvl w:ilvl="2" w:tplc="86B0AFB4">
      <w:numFmt w:val="decimal"/>
      <w:lvlText w:val=""/>
      <w:lvlJc w:val="left"/>
    </w:lvl>
    <w:lvl w:ilvl="3" w:tplc="12D85AAE">
      <w:numFmt w:val="decimal"/>
      <w:lvlText w:val=""/>
      <w:lvlJc w:val="left"/>
    </w:lvl>
    <w:lvl w:ilvl="4" w:tplc="5D08608C">
      <w:numFmt w:val="decimal"/>
      <w:lvlText w:val=""/>
      <w:lvlJc w:val="left"/>
    </w:lvl>
    <w:lvl w:ilvl="5" w:tplc="32D46614">
      <w:numFmt w:val="decimal"/>
      <w:lvlText w:val=""/>
      <w:lvlJc w:val="left"/>
    </w:lvl>
    <w:lvl w:ilvl="6" w:tplc="A9EA04B6">
      <w:numFmt w:val="decimal"/>
      <w:lvlText w:val=""/>
      <w:lvlJc w:val="left"/>
    </w:lvl>
    <w:lvl w:ilvl="7" w:tplc="098CB1CE">
      <w:numFmt w:val="decimal"/>
      <w:lvlText w:val=""/>
      <w:lvlJc w:val="left"/>
    </w:lvl>
    <w:lvl w:ilvl="8" w:tplc="D24E810C">
      <w:numFmt w:val="decimal"/>
      <w:lvlText w:val=""/>
      <w:lvlJc w:val="left"/>
    </w:lvl>
  </w:abstractNum>
  <w:abstractNum w:abstractNumId="1" w15:restartNumberingAfterBreak="0">
    <w:nsid w:val="1A6C4DB2"/>
    <w:multiLevelType w:val="hybridMultilevel"/>
    <w:tmpl w:val="3CC25BC6"/>
    <w:lvl w:ilvl="0" w:tplc="9D4E45E6">
      <w:start w:val="1"/>
      <w:numFmt w:val="decimal"/>
      <w:lvlText w:val="%1."/>
      <w:lvlJc w:val="left"/>
      <w:pPr>
        <w:ind w:left="720" w:hanging="360"/>
      </w:pPr>
      <w:rPr>
        <w:rFonts w:hint="default"/>
      </w:rPr>
    </w:lvl>
    <w:lvl w:ilvl="1" w:tplc="0BF64E96">
      <w:start w:val="1"/>
      <w:numFmt w:val="lowerLetter"/>
      <w:lvlText w:val="%2."/>
      <w:lvlJc w:val="left"/>
      <w:pPr>
        <w:ind w:left="1440" w:hanging="360"/>
      </w:pPr>
    </w:lvl>
    <w:lvl w:ilvl="2" w:tplc="395C0F92" w:tentative="1">
      <w:start w:val="1"/>
      <w:numFmt w:val="lowerRoman"/>
      <w:lvlText w:val="%3."/>
      <w:lvlJc w:val="right"/>
      <w:pPr>
        <w:ind w:left="2160" w:hanging="180"/>
      </w:pPr>
    </w:lvl>
    <w:lvl w:ilvl="3" w:tplc="D0E0B912" w:tentative="1">
      <w:start w:val="1"/>
      <w:numFmt w:val="decimal"/>
      <w:lvlText w:val="%4."/>
      <w:lvlJc w:val="left"/>
      <w:pPr>
        <w:ind w:left="2880" w:hanging="360"/>
      </w:pPr>
    </w:lvl>
    <w:lvl w:ilvl="4" w:tplc="6136C120" w:tentative="1">
      <w:start w:val="1"/>
      <w:numFmt w:val="lowerLetter"/>
      <w:lvlText w:val="%5."/>
      <w:lvlJc w:val="left"/>
      <w:pPr>
        <w:ind w:left="3600" w:hanging="360"/>
      </w:pPr>
    </w:lvl>
    <w:lvl w:ilvl="5" w:tplc="9BCC87D2" w:tentative="1">
      <w:start w:val="1"/>
      <w:numFmt w:val="lowerRoman"/>
      <w:lvlText w:val="%6."/>
      <w:lvlJc w:val="right"/>
      <w:pPr>
        <w:ind w:left="4320" w:hanging="180"/>
      </w:pPr>
    </w:lvl>
    <w:lvl w:ilvl="6" w:tplc="F296ED6A" w:tentative="1">
      <w:start w:val="1"/>
      <w:numFmt w:val="decimal"/>
      <w:lvlText w:val="%7."/>
      <w:lvlJc w:val="left"/>
      <w:pPr>
        <w:ind w:left="5040" w:hanging="360"/>
      </w:pPr>
    </w:lvl>
    <w:lvl w:ilvl="7" w:tplc="AD58B63A" w:tentative="1">
      <w:start w:val="1"/>
      <w:numFmt w:val="lowerLetter"/>
      <w:lvlText w:val="%8."/>
      <w:lvlJc w:val="left"/>
      <w:pPr>
        <w:ind w:left="5760" w:hanging="360"/>
      </w:pPr>
    </w:lvl>
    <w:lvl w:ilvl="8" w:tplc="5B008296" w:tentative="1">
      <w:start w:val="1"/>
      <w:numFmt w:val="lowerRoman"/>
      <w:lvlText w:val="%9."/>
      <w:lvlJc w:val="right"/>
      <w:pPr>
        <w:ind w:left="6480" w:hanging="180"/>
      </w:pPr>
    </w:lvl>
  </w:abstractNum>
  <w:abstractNum w:abstractNumId="2" w15:restartNumberingAfterBreak="0">
    <w:nsid w:val="44342F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44C6C89"/>
    <w:multiLevelType w:val="hybridMultilevel"/>
    <w:tmpl w:val="33828440"/>
    <w:lvl w:ilvl="0" w:tplc="E438CB4E">
      <w:start w:val="1"/>
      <w:numFmt w:val="decimal"/>
      <w:lvlText w:val="%1."/>
      <w:lvlJc w:val="left"/>
      <w:pPr>
        <w:ind w:left="720" w:hanging="360"/>
      </w:pPr>
    </w:lvl>
    <w:lvl w:ilvl="1" w:tplc="0F6868FE" w:tentative="1">
      <w:start w:val="1"/>
      <w:numFmt w:val="lowerLetter"/>
      <w:lvlText w:val="%2."/>
      <w:lvlJc w:val="left"/>
      <w:pPr>
        <w:ind w:left="1440" w:hanging="360"/>
      </w:pPr>
    </w:lvl>
    <w:lvl w:ilvl="2" w:tplc="6F6C0072" w:tentative="1">
      <w:start w:val="1"/>
      <w:numFmt w:val="lowerRoman"/>
      <w:lvlText w:val="%3."/>
      <w:lvlJc w:val="right"/>
      <w:pPr>
        <w:ind w:left="2160" w:hanging="180"/>
      </w:pPr>
    </w:lvl>
    <w:lvl w:ilvl="3" w:tplc="6C42BAEA" w:tentative="1">
      <w:start w:val="1"/>
      <w:numFmt w:val="decimal"/>
      <w:lvlText w:val="%4."/>
      <w:lvlJc w:val="left"/>
      <w:pPr>
        <w:ind w:left="2880" w:hanging="360"/>
      </w:pPr>
    </w:lvl>
    <w:lvl w:ilvl="4" w:tplc="350674AA" w:tentative="1">
      <w:start w:val="1"/>
      <w:numFmt w:val="lowerLetter"/>
      <w:lvlText w:val="%5."/>
      <w:lvlJc w:val="left"/>
      <w:pPr>
        <w:ind w:left="3600" w:hanging="360"/>
      </w:pPr>
    </w:lvl>
    <w:lvl w:ilvl="5" w:tplc="20B8AA86" w:tentative="1">
      <w:start w:val="1"/>
      <w:numFmt w:val="lowerRoman"/>
      <w:lvlText w:val="%6."/>
      <w:lvlJc w:val="right"/>
      <w:pPr>
        <w:ind w:left="4320" w:hanging="180"/>
      </w:pPr>
    </w:lvl>
    <w:lvl w:ilvl="6" w:tplc="49D2755E" w:tentative="1">
      <w:start w:val="1"/>
      <w:numFmt w:val="decimal"/>
      <w:lvlText w:val="%7."/>
      <w:lvlJc w:val="left"/>
      <w:pPr>
        <w:ind w:left="5040" w:hanging="360"/>
      </w:pPr>
    </w:lvl>
    <w:lvl w:ilvl="7" w:tplc="01349A7E" w:tentative="1">
      <w:start w:val="1"/>
      <w:numFmt w:val="lowerLetter"/>
      <w:lvlText w:val="%8."/>
      <w:lvlJc w:val="left"/>
      <w:pPr>
        <w:ind w:left="5760" w:hanging="360"/>
      </w:pPr>
    </w:lvl>
    <w:lvl w:ilvl="8" w:tplc="4D9CE4A4" w:tentative="1">
      <w:start w:val="1"/>
      <w:numFmt w:val="lowerRoman"/>
      <w:lvlText w:val="%9."/>
      <w:lvlJc w:val="right"/>
      <w:pPr>
        <w:ind w:left="6480" w:hanging="180"/>
      </w:pPr>
    </w:lvl>
  </w:abstractNum>
  <w:num w:numId="1" w16cid:durableId="1128474885">
    <w:abstractNumId w:val="2"/>
  </w:num>
  <w:num w:numId="2" w16cid:durableId="1826971142">
    <w:abstractNumId w:val="1"/>
  </w:num>
  <w:num w:numId="3" w16cid:durableId="763841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1788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916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129766">
    <w:abstractNumId w:val="0"/>
  </w:num>
  <w:num w:numId="7" w16cid:durableId="582026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4B"/>
    <w:rsid w:val="00224698"/>
    <w:rsid w:val="0029149C"/>
    <w:rsid w:val="003F30C2"/>
    <w:rsid w:val="00403D0F"/>
    <w:rsid w:val="00532E74"/>
    <w:rsid w:val="00AF274B"/>
    <w:rsid w:val="00C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D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paragraph" w:styleId="Heading1">
    <w:name w:val="heading 1"/>
    <w:basedOn w:val="Normal"/>
    <w:next w:val="Normal"/>
    <w:link w:val="Heading1Char"/>
    <w:uiPriority w:val="9"/>
    <w:qFormat/>
    <w:rsid w:val="00743E5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3E51"/>
    <w:pPr>
      <w:keepNext/>
      <w:keepLines/>
      <w:numPr>
        <w:ilvl w:val="1"/>
        <w:numId w:val="1"/>
      </w:numPr>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743E51"/>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43E5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3E5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3E5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3E5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3E5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3E5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3226"/>
    <w:pPr>
      <w:spacing w:line="240" w:lineRule="auto"/>
    </w:pPr>
    <w:rPr>
      <w:szCs w:val="20"/>
    </w:rPr>
  </w:style>
  <w:style w:type="character" w:customStyle="1" w:styleId="FootnoteTextChar">
    <w:name w:val="Footnote Text Char"/>
    <w:basedOn w:val="DefaultParagraphFont"/>
    <w:link w:val="FootnoteText"/>
    <w:uiPriority w:val="99"/>
    <w:rsid w:val="00723226"/>
    <w:rPr>
      <w:rFonts w:ascii="Times New Roman" w:hAnsi="Times New Roman" w:cs="Times New Roman"/>
      <w:sz w:val="26"/>
      <w:szCs w:val="20"/>
    </w:rPr>
  </w:style>
  <w:style w:type="character" w:customStyle="1" w:styleId="Heading1Char">
    <w:name w:val="Heading 1 Char"/>
    <w:basedOn w:val="DefaultParagraphFont"/>
    <w:link w:val="Heading1"/>
    <w:uiPriority w:val="9"/>
    <w:rsid w:val="00743E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43E51"/>
    <w:rPr>
      <w:rFonts w:asciiTheme="majorHAnsi" w:eastAsiaTheme="majorEastAsia" w:hAnsiTheme="majorHAnsi" w:cstheme="majorBidi"/>
      <w:i/>
      <w:iCs/>
      <w:color w:val="2F5496" w:themeColor="accent1" w:themeShade="BF"/>
      <w:sz w:val="26"/>
    </w:rPr>
  </w:style>
  <w:style w:type="character" w:customStyle="1" w:styleId="Heading5Char">
    <w:name w:val="Heading 5 Char"/>
    <w:basedOn w:val="DefaultParagraphFont"/>
    <w:link w:val="Heading5"/>
    <w:uiPriority w:val="9"/>
    <w:semiHidden/>
    <w:rsid w:val="00743E51"/>
    <w:rPr>
      <w:rFonts w:asciiTheme="majorHAnsi" w:eastAsiaTheme="majorEastAsia" w:hAnsiTheme="majorHAnsi" w:cstheme="majorBidi"/>
      <w:color w:val="2F5496" w:themeColor="accent1" w:themeShade="BF"/>
      <w:sz w:val="26"/>
    </w:rPr>
  </w:style>
  <w:style w:type="character" w:customStyle="1" w:styleId="Heading6Char">
    <w:name w:val="Heading 6 Char"/>
    <w:basedOn w:val="DefaultParagraphFont"/>
    <w:link w:val="Heading6"/>
    <w:uiPriority w:val="9"/>
    <w:semiHidden/>
    <w:rsid w:val="00743E51"/>
    <w:rPr>
      <w:rFonts w:asciiTheme="majorHAnsi" w:eastAsiaTheme="majorEastAsia" w:hAnsiTheme="majorHAnsi" w:cstheme="majorBidi"/>
      <w:color w:val="1F3763" w:themeColor="accent1" w:themeShade="7F"/>
      <w:sz w:val="26"/>
    </w:rPr>
  </w:style>
  <w:style w:type="character" w:customStyle="1" w:styleId="Heading7Char">
    <w:name w:val="Heading 7 Char"/>
    <w:basedOn w:val="DefaultParagraphFont"/>
    <w:link w:val="Heading7"/>
    <w:uiPriority w:val="9"/>
    <w:semiHidden/>
    <w:rsid w:val="00743E51"/>
    <w:rPr>
      <w:rFonts w:asciiTheme="majorHAnsi" w:eastAsiaTheme="majorEastAsia" w:hAnsiTheme="majorHAnsi" w:cstheme="majorBidi"/>
      <w:i/>
      <w:iCs/>
      <w:color w:val="1F3763" w:themeColor="accent1" w:themeShade="7F"/>
      <w:sz w:val="26"/>
    </w:rPr>
  </w:style>
  <w:style w:type="character" w:customStyle="1" w:styleId="Heading8Char">
    <w:name w:val="Heading 8 Char"/>
    <w:basedOn w:val="DefaultParagraphFont"/>
    <w:link w:val="Heading8"/>
    <w:uiPriority w:val="9"/>
    <w:semiHidden/>
    <w:rsid w:val="00743E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3E51"/>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320566"/>
    <w:rPr>
      <w:vertAlign w:val="superscript"/>
    </w:rPr>
  </w:style>
  <w:style w:type="character" w:styleId="CommentReference">
    <w:name w:val="annotation reference"/>
    <w:basedOn w:val="DefaultParagraphFont"/>
    <w:uiPriority w:val="99"/>
    <w:semiHidden/>
    <w:unhideWhenUsed/>
    <w:rsid w:val="00366390"/>
    <w:rPr>
      <w:sz w:val="16"/>
      <w:szCs w:val="16"/>
    </w:rPr>
  </w:style>
  <w:style w:type="paragraph" w:styleId="CommentText">
    <w:name w:val="annotation text"/>
    <w:basedOn w:val="Normal"/>
    <w:link w:val="CommentTextChar"/>
    <w:uiPriority w:val="99"/>
    <w:unhideWhenUsed/>
    <w:rsid w:val="00366390"/>
    <w:pPr>
      <w:spacing w:line="240" w:lineRule="auto"/>
    </w:pPr>
    <w:rPr>
      <w:sz w:val="20"/>
      <w:szCs w:val="20"/>
    </w:rPr>
  </w:style>
  <w:style w:type="character" w:customStyle="1" w:styleId="CommentTextChar">
    <w:name w:val="Comment Text Char"/>
    <w:basedOn w:val="DefaultParagraphFont"/>
    <w:link w:val="CommentText"/>
    <w:uiPriority w:val="99"/>
    <w:rsid w:val="003663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390"/>
    <w:rPr>
      <w:b/>
      <w:bCs/>
    </w:rPr>
  </w:style>
  <w:style w:type="character" w:customStyle="1" w:styleId="CommentSubjectChar">
    <w:name w:val="Comment Subject Char"/>
    <w:basedOn w:val="CommentTextChar"/>
    <w:link w:val="CommentSubject"/>
    <w:uiPriority w:val="99"/>
    <w:semiHidden/>
    <w:rsid w:val="00366390"/>
    <w:rPr>
      <w:rFonts w:ascii="Times New Roman" w:hAnsi="Times New Roman" w:cs="Times New Roman"/>
      <w:b/>
      <w:bCs/>
      <w:sz w:val="20"/>
      <w:szCs w:val="20"/>
    </w:rPr>
  </w:style>
  <w:style w:type="character" w:customStyle="1" w:styleId="cohl">
    <w:name w:val="co_hl"/>
    <w:basedOn w:val="DefaultParagraphFont"/>
    <w:rsid w:val="00F53CB7"/>
  </w:style>
  <w:style w:type="character" w:styleId="Emphasis">
    <w:name w:val="Emphasis"/>
    <w:basedOn w:val="DefaultParagraphFont"/>
    <w:uiPriority w:val="20"/>
    <w:qFormat/>
    <w:rsid w:val="00F53CB7"/>
    <w:rPr>
      <w:i/>
      <w:iCs/>
    </w:rPr>
  </w:style>
  <w:style w:type="character" w:customStyle="1" w:styleId="costarpage">
    <w:name w:val="co_starpage"/>
    <w:basedOn w:val="DefaultParagraphFont"/>
    <w:rsid w:val="005B1837"/>
  </w:style>
  <w:style w:type="character" w:styleId="Strong">
    <w:name w:val="Strong"/>
    <w:basedOn w:val="DefaultParagraphFont"/>
    <w:uiPriority w:val="22"/>
    <w:qFormat/>
    <w:rsid w:val="003110D7"/>
    <w:rPr>
      <w:b/>
      <w:bCs/>
    </w:rPr>
  </w:style>
  <w:style w:type="character" w:customStyle="1" w:styleId="coconcept2733">
    <w:name w:val="co_concept_27_33"/>
    <w:basedOn w:val="DefaultParagraphFont"/>
    <w:rsid w:val="003110D7"/>
  </w:style>
  <w:style w:type="character" w:customStyle="1" w:styleId="coconcept1321">
    <w:name w:val="co_concept_13_21"/>
    <w:basedOn w:val="DefaultParagraphFont"/>
    <w:rsid w:val="003110D7"/>
  </w:style>
  <w:style w:type="character" w:customStyle="1" w:styleId="coconcept17">
    <w:name w:val="co_concept_1_7"/>
    <w:basedOn w:val="DefaultParagraphFont"/>
    <w:rsid w:val="003110D7"/>
  </w:style>
  <w:style w:type="paragraph" w:styleId="Header">
    <w:name w:val="header"/>
    <w:basedOn w:val="Normal"/>
    <w:link w:val="HeaderChar"/>
    <w:uiPriority w:val="99"/>
    <w:unhideWhenUsed/>
    <w:rsid w:val="009B72CE"/>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9B72CE"/>
    <w:rPr>
      <w:rFonts w:ascii="Times New Roman" w:hAnsi="Times New Roman" w:cs="Times New Roman"/>
      <w:sz w:val="26"/>
    </w:rPr>
  </w:style>
  <w:style w:type="paragraph" w:styleId="Footer">
    <w:name w:val="footer"/>
    <w:basedOn w:val="Normal"/>
    <w:link w:val="FooterChar"/>
    <w:uiPriority w:val="99"/>
    <w:unhideWhenUsed/>
    <w:rsid w:val="009B72CE"/>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9B72CE"/>
    <w:rPr>
      <w:rFonts w:ascii="Times New Roman" w:hAnsi="Times New Roman" w:cs="Times New Roman"/>
      <w:sz w:val="26"/>
    </w:rPr>
  </w:style>
  <w:style w:type="paragraph" w:styleId="ListParagraph">
    <w:name w:val="List Paragraph"/>
    <w:basedOn w:val="Normal"/>
    <w:uiPriority w:val="34"/>
    <w:qFormat/>
    <w:rsid w:val="004A4492"/>
    <w:pPr>
      <w:ind w:left="720"/>
      <w:contextualSpacing/>
    </w:pPr>
  </w:style>
  <w:style w:type="paragraph" w:styleId="Revision">
    <w:name w:val="Revision"/>
    <w:hidden/>
    <w:uiPriority w:val="99"/>
    <w:semiHidden/>
    <w:rsid w:val="00F61543"/>
    <w:pPr>
      <w:spacing w:after="0" w:line="240" w:lineRule="auto"/>
    </w:pPr>
    <w:rPr>
      <w:rFonts w:ascii="Times New Roman" w:hAnsi="Times New Roman" w:cs="Times New Roman"/>
      <w:sz w:val="26"/>
    </w:rPr>
  </w:style>
  <w:style w:type="paragraph" w:customStyle="1" w:styleId="Default">
    <w:name w:val="Default"/>
    <w:rsid w:val="00C17B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4457</Words>
  <Characters>23993</Characters>
  <Application>Microsoft Office Word</Application>
  <DocSecurity>0</DocSecurity>
  <Lines>490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2024-06-21T19:28:00Z</dcterms:created>
  <dcterms:modified xsi:type="dcterms:W3CDTF">2024-06-21T19:28:00Z</dcterms:modified>
  <cp:category/>
</cp:coreProperties>
</file>