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6B07" w14:textId="33DD5611" w:rsidR="005F5255" w:rsidRPr="00BC6132" w:rsidRDefault="00D23DB7" w:rsidP="00DA76FA">
      <w:pPr>
        <w:ind w:firstLine="0"/>
        <w:rPr>
          <w:sz w:val="20"/>
          <w:szCs w:val="20"/>
        </w:rPr>
      </w:pPr>
      <w:r w:rsidRPr="00BC6132">
        <w:rPr>
          <w:sz w:val="20"/>
          <w:szCs w:val="20"/>
        </w:rPr>
        <w:t>Filed 6/24/24</w:t>
      </w:r>
      <w:r w:rsidR="00CA2E31">
        <w:rPr>
          <w:sz w:val="20"/>
          <w:szCs w:val="20"/>
        </w:rPr>
        <w:t>; Certified for Publication 7/10/24 (order attached)</w:t>
      </w:r>
    </w:p>
    <w:p w14:paraId="5EEE99F9" w14:textId="77777777" w:rsidR="00004477" w:rsidRDefault="00004477" w:rsidP="00752E03">
      <w:pPr>
        <w:spacing w:line="240" w:lineRule="auto"/>
        <w:ind w:firstLine="0"/>
        <w:rPr>
          <w:b/>
        </w:rPr>
      </w:pPr>
    </w:p>
    <w:p w14:paraId="59AB8049" w14:textId="77777777" w:rsidR="00CA2E31" w:rsidRDefault="00CA2E31" w:rsidP="00752E03">
      <w:pPr>
        <w:spacing w:line="240" w:lineRule="auto"/>
        <w:ind w:firstLine="0"/>
        <w:rPr>
          <w:b/>
        </w:rPr>
      </w:pPr>
    </w:p>
    <w:p w14:paraId="01F0856E" w14:textId="77777777" w:rsidR="00CA2E31" w:rsidRDefault="00CA2E31" w:rsidP="00752E03">
      <w:pPr>
        <w:spacing w:line="240" w:lineRule="auto"/>
        <w:ind w:firstLine="0"/>
        <w:rPr>
          <w:b/>
        </w:rPr>
      </w:pPr>
    </w:p>
    <w:p w14:paraId="1EA0E482" w14:textId="77777777" w:rsidR="00CA2E31" w:rsidRDefault="00CA2E31" w:rsidP="00752E03">
      <w:pPr>
        <w:spacing w:line="240" w:lineRule="auto"/>
        <w:ind w:firstLine="0"/>
        <w:rPr>
          <w:b/>
        </w:rPr>
      </w:pPr>
    </w:p>
    <w:p w14:paraId="2FD17A59" w14:textId="77777777" w:rsidR="00CA2E31" w:rsidRDefault="00CA2E31" w:rsidP="00752E03">
      <w:pPr>
        <w:spacing w:line="240" w:lineRule="auto"/>
        <w:ind w:firstLine="0"/>
        <w:rPr>
          <w:b/>
        </w:rPr>
      </w:pPr>
    </w:p>
    <w:p w14:paraId="0D087D44" w14:textId="77777777" w:rsidR="00CA2E31" w:rsidRDefault="00CA2E31" w:rsidP="00752E03">
      <w:pPr>
        <w:spacing w:line="240" w:lineRule="auto"/>
        <w:ind w:firstLine="0"/>
      </w:pPr>
    </w:p>
    <w:p w14:paraId="0295C90A" w14:textId="77777777" w:rsidR="00004477" w:rsidRDefault="00D23DB7" w:rsidP="00752E03">
      <w:pPr>
        <w:spacing w:line="240" w:lineRule="auto"/>
        <w:ind w:firstLine="0"/>
        <w:jc w:val="center"/>
      </w:pPr>
      <w:r>
        <w:t>IN THE COURT OF APPEAL OF THE STATE OF CALIFORNIA</w:t>
      </w:r>
    </w:p>
    <w:p w14:paraId="474E4778" w14:textId="77777777" w:rsidR="00004477" w:rsidRDefault="00004477" w:rsidP="00752E03">
      <w:pPr>
        <w:spacing w:line="240" w:lineRule="auto"/>
        <w:ind w:firstLine="0"/>
        <w:jc w:val="center"/>
      </w:pPr>
    </w:p>
    <w:p w14:paraId="2118A156" w14:textId="77777777" w:rsidR="00004477" w:rsidRDefault="00D23DB7" w:rsidP="00752E03">
      <w:pPr>
        <w:spacing w:line="240" w:lineRule="auto"/>
        <w:ind w:firstLine="0"/>
        <w:jc w:val="center"/>
      </w:pPr>
      <w:r>
        <w:t>SIXTH APPELLATE DISTRICT</w:t>
      </w:r>
    </w:p>
    <w:p w14:paraId="48F22972" w14:textId="77777777" w:rsidR="00004477" w:rsidRDefault="00004477" w:rsidP="00752E03">
      <w:pPr>
        <w:spacing w:line="240" w:lineRule="auto"/>
        <w:ind w:firstLine="0"/>
        <w:jc w:val="center"/>
      </w:pPr>
    </w:p>
    <w:p w14:paraId="0D2CE604" w14:textId="77777777" w:rsidR="00004477" w:rsidRDefault="00004477" w:rsidP="00752E03">
      <w:pPr>
        <w:spacing w:line="240" w:lineRule="auto"/>
        <w:ind w:firstLine="0"/>
        <w:jc w:val="center"/>
      </w:pPr>
    </w:p>
    <w:tbl>
      <w:tblPr>
        <w:tblW w:w="0" w:type="auto"/>
        <w:tblLayout w:type="fixed"/>
        <w:tblLook w:val="0000" w:firstRow="0" w:lastRow="0" w:firstColumn="0" w:lastColumn="0" w:noHBand="0" w:noVBand="0"/>
      </w:tblPr>
      <w:tblGrid>
        <w:gridCol w:w="4680"/>
        <w:gridCol w:w="4680"/>
      </w:tblGrid>
      <w:tr w:rsidR="00F97B32" w14:paraId="54E56C18" w14:textId="77777777" w:rsidTr="00004477">
        <w:tc>
          <w:tcPr>
            <w:tcW w:w="4680" w:type="dxa"/>
            <w:tcBorders>
              <w:bottom w:val="single" w:sz="4" w:space="0" w:color="auto"/>
              <w:right w:val="single" w:sz="4" w:space="0" w:color="auto"/>
            </w:tcBorders>
            <w:shd w:val="clear" w:color="auto" w:fill="auto"/>
          </w:tcPr>
          <w:p w14:paraId="0E80D4A3" w14:textId="65EC9687" w:rsidR="00004477" w:rsidRDefault="00D23DB7" w:rsidP="00752E03">
            <w:pPr>
              <w:spacing w:line="240" w:lineRule="auto"/>
              <w:ind w:firstLine="0"/>
            </w:pPr>
            <w:r>
              <w:t>CARLTON LOEBER,</w:t>
            </w:r>
          </w:p>
          <w:p w14:paraId="7F6A38FE" w14:textId="77777777" w:rsidR="00004477" w:rsidRDefault="00004477" w:rsidP="00752E03">
            <w:pPr>
              <w:spacing w:line="240" w:lineRule="auto"/>
              <w:ind w:firstLine="0"/>
            </w:pPr>
          </w:p>
          <w:p w14:paraId="291968ED" w14:textId="27BB5200" w:rsidR="00004477" w:rsidRDefault="00D23DB7" w:rsidP="00752E03">
            <w:pPr>
              <w:spacing w:line="240" w:lineRule="auto"/>
              <w:ind w:left="720" w:firstLine="0"/>
            </w:pPr>
            <w:r>
              <w:t>Plaintiff and</w:t>
            </w:r>
            <w:r w:rsidR="002D172C">
              <w:t xml:space="preserve"> </w:t>
            </w:r>
            <w:r>
              <w:t>Appellant,</w:t>
            </w:r>
          </w:p>
          <w:p w14:paraId="4EDB214A" w14:textId="77777777" w:rsidR="00004477" w:rsidRDefault="00004477" w:rsidP="00752E03">
            <w:pPr>
              <w:spacing w:line="240" w:lineRule="auto"/>
              <w:ind w:left="720" w:firstLine="0"/>
            </w:pPr>
          </w:p>
          <w:p w14:paraId="479901E1" w14:textId="77777777" w:rsidR="00004477" w:rsidRPr="002D669B" w:rsidRDefault="00D23DB7" w:rsidP="00752E03">
            <w:pPr>
              <w:spacing w:line="240" w:lineRule="auto"/>
              <w:ind w:left="720" w:firstLine="0"/>
            </w:pPr>
            <w:r w:rsidRPr="002D669B">
              <w:t>v.</w:t>
            </w:r>
          </w:p>
          <w:p w14:paraId="53E9E117" w14:textId="77777777" w:rsidR="00004477" w:rsidRPr="002D669B" w:rsidRDefault="00004477" w:rsidP="00752E03">
            <w:pPr>
              <w:spacing w:line="240" w:lineRule="auto"/>
              <w:ind w:firstLine="0"/>
            </w:pPr>
          </w:p>
          <w:p w14:paraId="4E6D0CB7" w14:textId="0BAF9B9C" w:rsidR="00004477" w:rsidRPr="002D669B" w:rsidRDefault="00D23DB7" w:rsidP="00752E03">
            <w:pPr>
              <w:spacing w:line="240" w:lineRule="auto"/>
              <w:ind w:firstLine="0"/>
            </w:pPr>
            <w:r>
              <w:t>LAKESIDE JOINT SCHOOL DISTRICT,</w:t>
            </w:r>
          </w:p>
          <w:p w14:paraId="488DAEC2" w14:textId="77777777" w:rsidR="00004477" w:rsidRPr="002D669B" w:rsidRDefault="00004477" w:rsidP="00752E03">
            <w:pPr>
              <w:spacing w:line="240" w:lineRule="auto"/>
              <w:ind w:firstLine="0"/>
            </w:pPr>
          </w:p>
          <w:p w14:paraId="7E761FFD" w14:textId="5DF65D2B" w:rsidR="00004477" w:rsidRPr="002D669B" w:rsidRDefault="00D23DB7" w:rsidP="00752E03">
            <w:pPr>
              <w:spacing w:line="240" w:lineRule="auto"/>
              <w:ind w:left="720" w:firstLine="0"/>
            </w:pPr>
            <w:r>
              <w:t xml:space="preserve">Defendant </w:t>
            </w:r>
            <w:r w:rsidR="002D172C">
              <w:t xml:space="preserve">and </w:t>
            </w:r>
            <w:r>
              <w:t>Respondent.</w:t>
            </w:r>
          </w:p>
          <w:p w14:paraId="14B6331C" w14:textId="77777777" w:rsidR="00004477" w:rsidRPr="002D669B" w:rsidRDefault="00004477" w:rsidP="00752E03">
            <w:pPr>
              <w:spacing w:line="240" w:lineRule="auto"/>
              <w:ind w:firstLine="0"/>
            </w:pPr>
          </w:p>
        </w:tc>
        <w:tc>
          <w:tcPr>
            <w:tcW w:w="4680" w:type="dxa"/>
            <w:tcBorders>
              <w:left w:val="single" w:sz="4" w:space="0" w:color="auto"/>
            </w:tcBorders>
            <w:shd w:val="clear" w:color="auto" w:fill="auto"/>
          </w:tcPr>
          <w:p w14:paraId="2CD378F0" w14:textId="17AF601E" w:rsidR="00004477" w:rsidRDefault="00D23DB7" w:rsidP="00752E03">
            <w:pPr>
              <w:spacing w:line="240" w:lineRule="auto"/>
              <w:ind w:firstLine="0"/>
            </w:pPr>
            <w:r w:rsidRPr="002D669B">
              <w:t xml:space="preserve">      </w:t>
            </w:r>
            <w:r>
              <w:t>H0</w:t>
            </w:r>
            <w:r w:rsidR="0068133F">
              <w:t>50688</w:t>
            </w:r>
          </w:p>
          <w:p w14:paraId="47D358C4" w14:textId="7E91599D" w:rsidR="00004477" w:rsidRDefault="00D23DB7" w:rsidP="00752E03">
            <w:pPr>
              <w:spacing w:line="240" w:lineRule="auto"/>
              <w:ind w:firstLine="0"/>
            </w:pPr>
            <w:r>
              <w:t xml:space="preserve">     (</w:t>
            </w:r>
            <w:r w:rsidR="0068133F">
              <w:t xml:space="preserve">Santa Clara </w:t>
            </w:r>
            <w:r>
              <w:t>County</w:t>
            </w:r>
          </w:p>
          <w:p w14:paraId="12013F48" w14:textId="2E8215C4" w:rsidR="00004477" w:rsidRDefault="00D23DB7" w:rsidP="00752E03">
            <w:pPr>
              <w:spacing w:line="240" w:lineRule="auto"/>
              <w:ind w:firstLine="0"/>
            </w:pPr>
            <w:r>
              <w:t xml:space="preserve">      Super. Ct. No. </w:t>
            </w:r>
            <w:r w:rsidR="0068133F" w:rsidRPr="0068133F">
              <w:t>22CV402078</w:t>
            </w:r>
            <w:r>
              <w:t>)</w:t>
            </w:r>
          </w:p>
        </w:tc>
      </w:tr>
    </w:tbl>
    <w:p w14:paraId="0070C4BE" w14:textId="77777777" w:rsidR="007F6EC6" w:rsidRDefault="007F6EC6" w:rsidP="00004477"/>
    <w:p w14:paraId="63E0B014" w14:textId="37087A16" w:rsidR="00DA7B23" w:rsidRPr="00614136" w:rsidRDefault="00D23DB7" w:rsidP="00DA7B23">
      <w:bookmarkStart w:id="0" w:name="_Hlk165625016"/>
      <w:r>
        <w:t>In t</w:t>
      </w:r>
      <w:r w:rsidR="00A068BC">
        <w:t>his appeal</w:t>
      </w:r>
      <w:r w:rsidR="00D61637">
        <w:t>,</w:t>
      </w:r>
      <w:r w:rsidR="00A068BC">
        <w:t xml:space="preserve"> </w:t>
      </w:r>
      <w:r>
        <w:t xml:space="preserve">we consider </w:t>
      </w:r>
      <w:r w:rsidR="002F7D4A">
        <w:t>whether</w:t>
      </w:r>
      <w:r>
        <w:t xml:space="preserve"> </w:t>
      </w:r>
      <w:r w:rsidR="00A068BC">
        <w:t xml:space="preserve">a citizen initiative </w:t>
      </w:r>
      <w:r w:rsidR="001B50DE">
        <w:t xml:space="preserve">to </w:t>
      </w:r>
      <w:r w:rsidR="00FF3703">
        <w:t xml:space="preserve">create </w:t>
      </w:r>
      <w:r w:rsidR="002F35A4">
        <w:t xml:space="preserve">an </w:t>
      </w:r>
      <w:r w:rsidR="001B50DE">
        <w:t>exemption</w:t>
      </w:r>
      <w:r w:rsidR="00A068BC">
        <w:t xml:space="preserve"> to </w:t>
      </w:r>
      <w:r w:rsidR="00FF3703">
        <w:t xml:space="preserve">any </w:t>
      </w:r>
      <w:r w:rsidR="00A068BC">
        <w:t>parcel tax</w:t>
      </w:r>
      <w:r w:rsidR="00555DAF">
        <w:t xml:space="preserve"> </w:t>
      </w:r>
      <w:r w:rsidR="00A068BC">
        <w:t xml:space="preserve">levied by </w:t>
      </w:r>
      <w:r w:rsidR="008464F3">
        <w:t>a</w:t>
      </w:r>
      <w:r w:rsidR="00A068BC">
        <w:t xml:space="preserve"> school district</w:t>
      </w:r>
      <w:r>
        <w:t xml:space="preserve"> </w:t>
      </w:r>
      <w:r w:rsidR="002F35A4">
        <w:t xml:space="preserve">falls </w:t>
      </w:r>
      <w:r>
        <w:t>within the initiative power “</w:t>
      </w:r>
      <w:r w:rsidRPr="00D80489">
        <w:t>in matters of reducing or repealing any local tax, assessment, fee or charge.</w:t>
      </w:r>
      <w:r>
        <w:t>”  (Cal. Const., art. XIII C,</w:t>
      </w:r>
      <w:r w:rsidRPr="00D80489">
        <w:rPr>
          <w:rStyle w:val="FootnoteReference"/>
          <w:b/>
          <w:bCs/>
        </w:rPr>
        <w:t xml:space="preserve"> </w:t>
      </w:r>
      <w:r>
        <w:t>§ 3.)</w:t>
      </w:r>
      <w:r>
        <w:rPr>
          <w:rStyle w:val="FootnoteReference"/>
          <w:b/>
          <w:bCs/>
        </w:rPr>
        <w:footnoteReference w:id="2"/>
      </w:r>
      <w:r>
        <w:t xml:space="preserve">  </w:t>
      </w:r>
    </w:p>
    <w:p w14:paraId="7C7C71F7" w14:textId="6DF3491E" w:rsidR="008B7CC2" w:rsidRDefault="00D23DB7" w:rsidP="009D4E23">
      <w:r>
        <w:t xml:space="preserve">Carlton </w:t>
      </w:r>
      <w:proofErr w:type="spellStart"/>
      <w:r>
        <w:t>Loeber</w:t>
      </w:r>
      <w:proofErr w:type="spellEnd"/>
      <w:r w:rsidR="008A0D09">
        <w:t>, representing himself as appellant in this matter,</w:t>
      </w:r>
      <w:r w:rsidR="00A91475">
        <w:t xml:space="preserve"> is</w:t>
      </w:r>
      <w:r w:rsidR="00A21829">
        <w:t xml:space="preserve"> the trustor of an irrevocable trust</w:t>
      </w:r>
      <w:r w:rsidR="001E02CA">
        <w:t xml:space="preserve"> </w:t>
      </w:r>
      <w:r w:rsidR="00222995">
        <w:t xml:space="preserve">that </w:t>
      </w:r>
      <w:r w:rsidR="00A21829">
        <w:t xml:space="preserve">owns two undeveloped </w:t>
      </w:r>
      <w:r w:rsidR="002F35A4">
        <w:t xml:space="preserve">properties </w:t>
      </w:r>
      <w:r w:rsidR="00A21829">
        <w:t xml:space="preserve">within the </w:t>
      </w:r>
      <w:r w:rsidR="007E572E" w:rsidRPr="00BB4DAD">
        <w:t xml:space="preserve">Lakeside </w:t>
      </w:r>
      <w:r w:rsidR="007E572E">
        <w:t>Joint School District (the district)</w:t>
      </w:r>
      <w:r w:rsidR="00A91475">
        <w:t xml:space="preserve">.  </w:t>
      </w:r>
      <w:proofErr w:type="spellStart"/>
      <w:r w:rsidR="009D4E23">
        <w:t>Loeber</w:t>
      </w:r>
      <w:proofErr w:type="spellEnd"/>
      <w:r w:rsidR="009D4E23">
        <w:t xml:space="preserve"> does not live in the district or </w:t>
      </w:r>
      <w:r w:rsidR="00186CC3">
        <w:t xml:space="preserve">personally </w:t>
      </w:r>
      <w:r w:rsidR="009D4E23">
        <w:t xml:space="preserve">own any property there.  </w:t>
      </w:r>
      <w:proofErr w:type="spellStart"/>
      <w:r w:rsidR="00A91475">
        <w:t>Loeber</w:t>
      </w:r>
      <w:proofErr w:type="spellEnd"/>
      <w:r w:rsidR="001E02CA">
        <w:t xml:space="preserve"> </w:t>
      </w:r>
      <w:r w:rsidR="00A91475">
        <w:t>obtained voter signatures</w:t>
      </w:r>
      <w:r w:rsidR="00A21829">
        <w:t xml:space="preserve"> to qualify the initiative</w:t>
      </w:r>
      <w:r w:rsidR="001E02CA">
        <w:t xml:space="preserve">, which would </w:t>
      </w:r>
      <w:r w:rsidR="00E22A99">
        <w:t xml:space="preserve">allow taxpayers over the age of 65 to obtain an exemption from any district </w:t>
      </w:r>
      <w:r w:rsidR="00222995">
        <w:t>parcel tax</w:t>
      </w:r>
      <w:r w:rsidR="00EA1CE8">
        <w:t xml:space="preserve"> </w:t>
      </w:r>
      <w:r w:rsidR="006559F4">
        <w:t>on undeveloped or</w:t>
      </w:r>
      <w:r w:rsidR="00E22A99">
        <w:t xml:space="preserve"> unimproved</w:t>
      </w:r>
      <w:r w:rsidR="006559F4">
        <w:t xml:space="preserve"> parcels</w:t>
      </w:r>
      <w:r w:rsidR="009D4E23">
        <w:t>.</w:t>
      </w:r>
      <w:r w:rsidR="00EA1CE8">
        <w:t xml:space="preserve"> </w:t>
      </w:r>
      <w:r w:rsidR="00A21829">
        <w:t xml:space="preserve"> </w:t>
      </w:r>
      <w:r w:rsidR="00AE21FD">
        <w:t>T</w:t>
      </w:r>
      <w:r w:rsidR="008464F3">
        <w:t xml:space="preserve">he registrar of voters informed the district </w:t>
      </w:r>
      <w:r w:rsidR="009457FE">
        <w:t>that the</w:t>
      </w:r>
      <w:r w:rsidR="008464F3">
        <w:t xml:space="preserve"> </w:t>
      </w:r>
      <w:r w:rsidR="00AE21FD">
        <w:lastRenderedPageBreak/>
        <w:t>initiative petition</w:t>
      </w:r>
      <w:r w:rsidR="009457FE">
        <w:t xml:space="preserve"> had qualified for the ballot</w:t>
      </w:r>
      <w:r w:rsidR="00AE21FD">
        <w:t>, but t</w:t>
      </w:r>
      <w:r w:rsidR="00A91475">
        <w:t>he</w:t>
      </w:r>
      <w:r w:rsidR="00A21829">
        <w:t xml:space="preserve"> district declined to call </w:t>
      </w:r>
      <w:r w:rsidR="009457FE">
        <w:t>the</w:t>
      </w:r>
      <w:r w:rsidR="00A21829">
        <w:t xml:space="preserve"> election</w:t>
      </w:r>
      <w:r w:rsidR="00AE21FD">
        <w:t xml:space="preserve">, </w:t>
      </w:r>
      <w:r w:rsidR="009D4E23">
        <w:t>citing</w:t>
      </w:r>
      <w:r w:rsidR="00222995">
        <w:t xml:space="preserve"> </w:t>
      </w:r>
      <w:r w:rsidR="007E572E">
        <w:t>cost concerns</w:t>
      </w:r>
      <w:r w:rsidR="0061167A">
        <w:t xml:space="preserve"> and </w:t>
      </w:r>
      <w:r w:rsidR="00222995">
        <w:t>legal objections to the applicability of the initiative authority</w:t>
      </w:r>
      <w:r w:rsidR="009D4E23">
        <w:t xml:space="preserve"> to school districts</w:t>
      </w:r>
      <w:r w:rsidR="00A91475">
        <w:t xml:space="preserve">.  </w:t>
      </w:r>
    </w:p>
    <w:bookmarkEnd w:id="0"/>
    <w:p w14:paraId="06BA0C09" w14:textId="20A0797F" w:rsidR="00D80489" w:rsidRDefault="00D23DB7" w:rsidP="00004477">
      <w:proofErr w:type="spellStart"/>
      <w:r>
        <w:t>Loeber</w:t>
      </w:r>
      <w:proofErr w:type="spellEnd"/>
      <w:r>
        <w:t xml:space="preserve"> filed a petition for writ of mandate </w:t>
      </w:r>
      <w:r w:rsidR="00EA1CE8">
        <w:t xml:space="preserve">(petition) </w:t>
      </w:r>
      <w:r w:rsidR="00592469">
        <w:t xml:space="preserve">seeking </w:t>
      </w:r>
      <w:r w:rsidR="007E572E">
        <w:t xml:space="preserve">a court </w:t>
      </w:r>
      <w:r>
        <w:t xml:space="preserve">order </w:t>
      </w:r>
      <w:r w:rsidR="007E572E">
        <w:t xml:space="preserve">that </w:t>
      </w:r>
      <w:r>
        <w:t xml:space="preserve">the district </w:t>
      </w:r>
      <w:r w:rsidR="007E572E">
        <w:t xml:space="preserve">must </w:t>
      </w:r>
      <w:r w:rsidR="005611A2">
        <w:t>place the initiative on the ballot</w:t>
      </w:r>
      <w:r>
        <w:t xml:space="preserve"> for the upcoming general election or alternatively </w:t>
      </w:r>
      <w:r w:rsidR="007E572E">
        <w:t xml:space="preserve">must </w:t>
      </w:r>
      <w:r w:rsidR="00592469">
        <w:t>call</w:t>
      </w:r>
      <w:r>
        <w:t xml:space="preserve"> a special election or </w:t>
      </w:r>
      <w:r w:rsidR="00222995">
        <w:t xml:space="preserve">an </w:t>
      </w:r>
      <w:r>
        <w:t xml:space="preserve">all-mail </w:t>
      </w:r>
      <w:r w:rsidR="00FA0A94">
        <w:t xml:space="preserve">ballot </w:t>
      </w:r>
      <w:r>
        <w:t xml:space="preserve">election to be held the following year.  </w:t>
      </w:r>
      <w:r w:rsidR="008B7CC2">
        <w:t xml:space="preserve">The trial court </w:t>
      </w:r>
      <w:r w:rsidR="009D4E23">
        <w:t xml:space="preserve">decided </w:t>
      </w:r>
      <w:proofErr w:type="spellStart"/>
      <w:r w:rsidR="009D4E23">
        <w:t>Loeber</w:t>
      </w:r>
      <w:proofErr w:type="spellEnd"/>
      <w:r w:rsidR="009D4E23">
        <w:t xml:space="preserve"> lacked standing and </w:t>
      </w:r>
      <w:r w:rsidR="008B7CC2">
        <w:t xml:space="preserve">dismissed the </w:t>
      </w:r>
      <w:r w:rsidR="009D4E23">
        <w:t>petition without addressing its merits</w:t>
      </w:r>
      <w:r w:rsidR="00FD415F">
        <w:t>.</w:t>
      </w:r>
      <w:r>
        <w:t xml:space="preserve">  </w:t>
      </w:r>
    </w:p>
    <w:p w14:paraId="44F72B3B" w14:textId="78B977CD" w:rsidR="00BF5A83" w:rsidRDefault="00D23DB7" w:rsidP="00004477">
      <w:r>
        <w:t xml:space="preserve">On appeal, </w:t>
      </w:r>
      <w:proofErr w:type="spellStart"/>
      <w:r>
        <w:t>Loeber</w:t>
      </w:r>
      <w:proofErr w:type="spellEnd"/>
      <w:r>
        <w:t xml:space="preserve"> maintains that he has standing to bring this petition based on his beneficial interest </w:t>
      </w:r>
      <w:r w:rsidR="009D4E23">
        <w:t xml:space="preserve">as the taxpayer </w:t>
      </w:r>
      <w:r w:rsidR="001B4D88">
        <w:t>for</w:t>
      </w:r>
      <w:r w:rsidR="009D4E23">
        <w:t xml:space="preserve"> the trust properties </w:t>
      </w:r>
      <w:r w:rsidR="00222995">
        <w:t xml:space="preserve">and </w:t>
      </w:r>
      <w:r w:rsidR="004F7DC5">
        <w:t xml:space="preserve">under </w:t>
      </w:r>
      <w:r>
        <w:t xml:space="preserve">the public interest exception to the beneficial interest requirement.  </w:t>
      </w:r>
      <w:r w:rsidR="009D4E23">
        <w:t>On the merits, he</w:t>
      </w:r>
      <w:r>
        <w:t xml:space="preserve"> contends the initiative is authorized by </w:t>
      </w:r>
      <w:r w:rsidR="00101736">
        <w:t>art</w:t>
      </w:r>
      <w:r w:rsidR="002F7D4A">
        <w:t xml:space="preserve">icle </w:t>
      </w:r>
      <w:r w:rsidR="00101736">
        <w:t>XIII C,</w:t>
      </w:r>
      <w:r w:rsidR="00101736" w:rsidRPr="00D80489">
        <w:rPr>
          <w:rStyle w:val="FootnoteReference"/>
          <w:b/>
          <w:bCs/>
        </w:rPr>
        <w:t xml:space="preserve"> </w:t>
      </w:r>
      <w:r w:rsidR="002F7D4A">
        <w:t>section</w:t>
      </w:r>
      <w:r w:rsidR="00101736">
        <w:t> 3</w:t>
      </w:r>
      <w:r w:rsidR="002F7D4A">
        <w:t xml:space="preserve"> because it </w:t>
      </w:r>
      <w:r w:rsidR="006559F4">
        <w:t>would</w:t>
      </w:r>
      <w:r w:rsidR="002F7D4A">
        <w:t xml:space="preserve"> reduce tax revenue for the school district</w:t>
      </w:r>
      <w:r w:rsidR="00101736">
        <w:t xml:space="preserve">. </w:t>
      </w:r>
      <w:r>
        <w:t xml:space="preserve"> </w:t>
      </w:r>
    </w:p>
    <w:p w14:paraId="01384F58" w14:textId="7B65874A" w:rsidR="00004477" w:rsidRPr="0032687A" w:rsidRDefault="00D23DB7" w:rsidP="00004477">
      <w:r>
        <w:t>W</w:t>
      </w:r>
      <w:r w:rsidR="00592469">
        <w:t xml:space="preserve">e </w:t>
      </w:r>
      <w:r w:rsidR="001B7D77">
        <w:t xml:space="preserve">decide </w:t>
      </w:r>
      <w:r w:rsidR="00D80489">
        <w:t xml:space="preserve">that </w:t>
      </w:r>
      <w:proofErr w:type="spellStart"/>
      <w:r w:rsidR="00C129B9">
        <w:t>Loeber</w:t>
      </w:r>
      <w:proofErr w:type="spellEnd"/>
      <w:r w:rsidR="00C129B9">
        <w:t xml:space="preserve"> </w:t>
      </w:r>
      <w:r w:rsidR="00BF5A83">
        <w:t xml:space="preserve">has standing to pursue the writ petition. </w:t>
      </w:r>
      <w:r>
        <w:t xml:space="preserve"> </w:t>
      </w:r>
      <w:r w:rsidR="001B7D77">
        <w:t xml:space="preserve">Nevertheless, we conclude </w:t>
      </w:r>
      <w:r w:rsidR="002F7D4A">
        <w:t>th</w:t>
      </w:r>
      <w:r>
        <w:t xml:space="preserve">e proposed initiative does </w:t>
      </w:r>
      <w:r w:rsidR="001B7D77">
        <w:t xml:space="preserve">not </w:t>
      </w:r>
      <w:r w:rsidR="00187F91">
        <w:t>come within the language of</w:t>
      </w:r>
      <w:r w:rsidR="001B7D77">
        <w:t xml:space="preserve"> article XIII C, section 3</w:t>
      </w:r>
      <w:r w:rsidR="00334F99">
        <w:t xml:space="preserve">.  </w:t>
      </w:r>
      <w:r w:rsidR="0032687A">
        <w:t xml:space="preserve">We therefore </w:t>
      </w:r>
      <w:r w:rsidR="00603102">
        <w:t>modify</w:t>
      </w:r>
      <w:r w:rsidR="00603102" w:rsidRPr="00195420">
        <w:t xml:space="preserve"> </w:t>
      </w:r>
      <w:r w:rsidR="0032687A" w:rsidRPr="00195420">
        <w:t xml:space="preserve">the </w:t>
      </w:r>
      <w:r w:rsidR="001B7D77" w:rsidRPr="00195420">
        <w:t xml:space="preserve">trial court’s judgment </w:t>
      </w:r>
      <w:r w:rsidR="00603102">
        <w:t>to deny the writ petition and affirm the judgment as modified</w:t>
      </w:r>
      <w:r w:rsidR="0032687A">
        <w:t xml:space="preserve">. </w:t>
      </w:r>
    </w:p>
    <w:p w14:paraId="68489DC9" w14:textId="77777777" w:rsidR="00004477" w:rsidRDefault="00D23DB7" w:rsidP="00752E03">
      <w:pPr>
        <w:pStyle w:val="Heading1"/>
      </w:pPr>
      <w:r>
        <w:t>I.  Facts and procedural background</w:t>
      </w:r>
    </w:p>
    <w:p w14:paraId="7328EEE1" w14:textId="06A30AF8" w:rsidR="0032460C" w:rsidRDefault="00D23DB7" w:rsidP="0032460C">
      <w:pPr>
        <w:pStyle w:val="Heading2"/>
      </w:pPr>
      <w:r>
        <w:t>A. Facts</w:t>
      </w:r>
    </w:p>
    <w:p w14:paraId="52420D04" w14:textId="6C9B9517" w:rsidR="00E70262" w:rsidRDefault="00D23DB7" w:rsidP="00175B54">
      <w:r>
        <w:t>T</w:t>
      </w:r>
      <w:r w:rsidR="00D24F39">
        <w:t>he district</w:t>
      </w:r>
      <w:r>
        <w:t>, which</w:t>
      </w:r>
      <w:r w:rsidR="00D24F39">
        <w:t xml:space="preserve"> </w:t>
      </w:r>
      <w:r w:rsidR="00BB4DAD" w:rsidRPr="00BB4DAD">
        <w:t xml:space="preserve">consists of a single </w:t>
      </w:r>
      <w:r w:rsidR="00D24F39">
        <w:t xml:space="preserve">elementary school </w:t>
      </w:r>
      <w:r w:rsidR="00D24F39" w:rsidRPr="00BB4DAD">
        <w:t>located in the hills of Los Gatos</w:t>
      </w:r>
      <w:r>
        <w:t>,</w:t>
      </w:r>
      <w:r w:rsidR="00D24F39">
        <w:t xml:space="preserve"> </w:t>
      </w:r>
      <w:r w:rsidR="00B83441">
        <w:t>serves</w:t>
      </w:r>
      <w:r w:rsidR="00BB4DAD">
        <w:t xml:space="preserve"> </w:t>
      </w:r>
      <w:r w:rsidR="00BB4DAD" w:rsidRPr="00BB4DAD">
        <w:t>approximately 7</w:t>
      </w:r>
      <w:r w:rsidR="00D24F39">
        <w:t>2</w:t>
      </w:r>
      <w:r w:rsidR="00BB4DAD" w:rsidRPr="00BB4DAD">
        <w:t xml:space="preserve"> students </w:t>
      </w:r>
      <w:bookmarkStart w:id="1" w:name="_Hlk163552691"/>
      <w:r w:rsidR="009510B9">
        <w:t xml:space="preserve">in both Santa Clara and Santa Cruz counties. </w:t>
      </w:r>
      <w:r w:rsidR="00AB24F6">
        <w:t xml:space="preserve"> </w:t>
      </w:r>
      <w:r w:rsidR="00BB4DAD" w:rsidRPr="00BB4DAD">
        <w:t xml:space="preserve">In 2017, </w:t>
      </w:r>
      <w:r w:rsidR="002F35A4">
        <w:t xml:space="preserve">district </w:t>
      </w:r>
      <w:r w:rsidR="00FA24E7">
        <w:t xml:space="preserve">voters </w:t>
      </w:r>
      <w:r w:rsidR="00274C60">
        <w:t xml:space="preserve">approved </w:t>
      </w:r>
      <w:r w:rsidR="002F35A4">
        <w:t xml:space="preserve">Measure A, which imposed </w:t>
      </w:r>
      <w:r w:rsidR="00FA24E7" w:rsidRPr="00BB4DAD">
        <w:t xml:space="preserve">a parcel tax </w:t>
      </w:r>
      <w:bookmarkEnd w:id="1"/>
      <w:r w:rsidR="00175B54">
        <w:t>to provide funding for core programs in math, science, reading</w:t>
      </w:r>
      <w:r w:rsidR="005611A2">
        <w:t>,</w:t>
      </w:r>
      <w:r w:rsidR="00175B54">
        <w:t xml:space="preserve"> and writing. </w:t>
      </w:r>
      <w:r w:rsidR="00AB24F6">
        <w:t xml:space="preserve"> </w:t>
      </w:r>
      <w:r>
        <w:t xml:space="preserve">Measure A </w:t>
      </w:r>
      <w:r w:rsidR="002F35A4">
        <w:t xml:space="preserve">passed </w:t>
      </w:r>
      <w:r w:rsidRPr="00BB4DAD">
        <w:t xml:space="preserve">with over 70 percent approval, meeting the </w:t>
      </w:r>
      <w:r>
        <w:t xml:space="preserve">required </w:t>
      </w:r>
      <w:r w:rsidRPr="00BB4DAD">
        <w:t>two-thirds majority threshold</w:t>
      </w:r>
      <w:r w:rsidR="00DE3D82">
        <w:t xml:space="preserve"> </w:t>
      </w:r>
      <w:r w:rsidR="00DE3D82">
        <w:lastRenderedPageBreak/>
        <w:t>under state law</w:t>
      </w:r>
      <w:r w:rsidRPr="00BB4DAD">
        <w:t>.</w:t>
      </w:r>
      <w:r>
        <w:rPr>
          <w:rStyle w:val="FootnoteReference"/>
          <w:b/>
          <w:bCs/>
        </w:rPr>
        <w:footnoteReference w:id="3"/>
      </w:r>
      <w:r w:rsidRPr="00BB4DAD">
        <w:t xml:space="preserve"> </w:t>
      </w:r>
      <w:r w:rsidR="003C1801" w:rsidRPr="003C1801">
        <w:t xml:space="preserve"> </w:t>
      </w:r>
      <w:r w:rsidR="003C1801">
        <w:t>Measure A replaced a previous parcel tax with a new parcel tax “</w:t>
      </w:r>
      <w:r w:rsidR="003C1801" w:rsidRPr="003C1801">
        <w:t>for a period of eight years starting on July 1, 201</w:t>
      </w:r>
      <w:r w:rsidR="003C1801">
        <w:t xml:space="preserve">7.” </w:t>
      </w:r>
    </w:p>
    <w:p w14:paraId="44DA23E9" w14:textId="4658711E" w:rsidR="00004477" w:rsidRDefault="00D23DB7" w:rsidP="00175B54">
      <w:r w:rsidRPr="00BB4DAD">
        <w:t>Measure A taxes all parcels</w:t>
      </w:r>
      <w:r w:rsidR="00175B54">
        <w:t xml:space="preserve"> within the district</w:t>
      </w:r>
      <w:r w:rsidR="00B83441">
        <w:t xml:space="preserve"> assessed </w:t>
      </w:r>
      <w:r w:rsidR="00175B54">
        <w:t>at</w:t>
      </w:r>
      <w:r w:rsidR="00B83441">
        <w:t xml:space="preserve"> </w:t>
      </w:r>
      <w:r w:rsidR="002F35A4">
        <w:t xml:space="preserve">a value </w:t>
      </w:r>
      <w:r w:rsidR="008D2FE1">
        <w:t xml:space="preserve">over </w:t>
      </w:r>
      <w:r w:rsidR="00B83441">
        <w:t>$2,000</w:t>
      </w:r>
      <w:r w:rsidRPr="00BB4DAD">
        <w:t xml:space="preserve"> </w:t>
      </w:r>
      <w:r w:rsidR="00B83441">
        <w:t>at the rate of $647 per parcel</w:t>
      </w:r>
      <w:r w:rsidR="001600A9">
        <w:t>.  It exempts</w:t>
      </w:r>
      <w:r w:rsidRPr="00BB4DAD">
        <w:t xml:space="preserve"> </w:t>
      </w:r>
      <w:r w:rsidR="00D3190C">
        <w:t xml:space="preserve">parcels </w:t>
      </w:r>
      <w:r w:rsidR="009510B9">
        <w:t xml:space="preserve">used for single-family residential purposes </w:t>
      </w:r>
      <w:r w:rsidR="00406A61">
        <w:t>if their owners</w:t>
      </w:r>
      <w:r w:rsidR="002F35A4">
        <w:t xml:space="preserve"> </w:t>
      </w:r>
      <w:r w:rsidRPr="00BB4DAD">
        <w:t>are senior citizens (</w:t>
      </w:r>
      <w:r w:rsidR="009510B9">
        <w:t xml:space="preserve">i.e., </w:t>
      </w:r>
      <w:r w:rsidRPr="00BB4DAD">
        <w:t>age</w:t>
      </w:r>
      <w:r w:rsidR="009510B9">
        <w:t>d</w:t>
      </w:r>
      <w:r w:rsidRPr="00BB4DAD">
        <w:t xml:space="preserve"> 65 </w:t>
      </w:r>
      <w:r w:rsidR="009510B9">
        <w:t>or</w:t>
      </w:r>
      <w:r w:rsidR="009510B9" w:rsidRPr="00BB4DAD">
        <w:t xml:space="preserve"> </w:t>
      </w:r>
      <w:r w:rsidRPr="00BB4DAD">
        <w:t>older)</w:t>
      </w:r>
      <w:r w:rsidR="00406A61">
        <w:t>,</w:t>
      </w:r>
      <w:r w:rsidRPr="00BB4DAD">
        <w:t xml:space="preserve"> possess contiguous parcels</w:t>
      </w:r>
      <w:r w:rsidR="00406A61">
        <w:t>,</w:t>
      </w:r>
      <w:r w:rsidRPr="00BB4DAD">
        <w:t xml:space="preserve"> and/or receive Supplemental Security Income for a disability. </w:t>
      </w:r>
      <w:r w:rsidR="00E70262" w:rsidRPr="00E70262">
        <w:t xml:space="preserve"> </w:t>
      </w:r>
      <w:r w:rsidR="001600A9">
        <w:t xml:space="preserve">The tax imposed by </w:t>
      </w:r>
      <w:r w:rsidR="00E70262">
        <w:t xml:space="preserve">Measure A provides </w:t>
      </w:r>
      <w:r w:rsidR="00406A61">
        <w:t>yearly revenue of approximately</w:t>
      </w:r>
      <w:r w:rsidR="00E70262">
        <w:t xml:space="preserve"> $500,000 and is </w:t>
      </w:r>
      <w:r w:rsidR="00F92A3E">
        <w:t>an important</w:t>
      </w:r>
      <w:r w:rsidR="00E70262">
        <w:t xml:space="preserve"> source of funds</w:t>
      </w:r>
      <w:r w:rsidR="00406A61">
        <w:t xml:space="preserve"> for the </w:t>
      </w:r>
      <w:r w:rsidR="001600A9">
        <w:t>district</w:t>
      </w:r>
      <w:r w:rsidR="00406A61">
        <w:t>.</w:t>
      </w:r>
      <w:r w:rsidR="00E70262">
        <w:t xml:space="preserve"> </w:t>
      </w:r>
    </w:p>
    <w:p w14:paraId="54EA7D1A" w14:textId="600EAD78" w:rsidR="00C15CFD" w:rsidRDefault="00D23DB7" w:rsidP="00175B54">
      <w:r>
        <w:t xml:space="preserve">In 1999, </w:t>
      </w:r>
      <w:proofErr w:type="spellStart"/>
      <w:r w:rsidR="00EF7FBE">
        <w:t>Loeber</w:t>
      </w:r>
      <w:proofErr w:type="spellEnd"/>
      <w:r w:rsidR="00EF7FBE">
        <w:t xml:space="preserve"> and his wife purchased two parcels </w:t>
      </w:r>
      <w:r w:rsidR="001600A9">
        <w:t xml:space="preserve">located </w:t>
      </w:r>
      <w:r w:rsidR="00DB3C98">
        <w:t xml:space="preserve">within </w:t>
      </w:r>
      <w:r w:rsidR="00EF7FBE">
        <w:t xml:space="preserve">the district </w:t>
      </w:r>
      <w:r w:rsidR="00AA0D8F">
        <w:t>(APN 088-101-11, 088-101-16</w:t>
      </w:r>
      <w:r>
        <w:t>) f</w:t>
      </w:r>
      <w:r w:rsidR="00AA0D8F">
        <w:t xml:space="preserve">or $10,000.  In 2009, </w:t>
      </w:r>
      <w:proofErr w:type="spellStart"/>
      <w:r w:rsidR="00AA0D8F">
        <w:t>Loeber</w:t>
      </w:r>
      <w:proofErr w:type="spellEnd"/>
      <w:r w:rsidR="00AA0D8F">
        <w:t xml:space="preserve"> became the sole owner of the parcels and granted them to the </w:t>
      </w:r>
      <w:proofErr w:type="spellStart"/>
      <w:r w:rsidR="00AA0D8F">
        <w:t>Naschh</w:t>
      </w:r>
      <w:r w:rsidR="0053207A">
        <w:t>a</w:t>
      </w:r>
      <w:r w:rsidR="00736659">
        <w:t>u</w:t>
      </w:r>
      <w:r w:rsidR="00AA0D8F">
        <w:t>sen</w:t>
      </w:r>
      <w:proofErr w:type="spellEnd"/>
      <w:r w:rsidR="00AA0D8F">
        <w:t xml:space="preserve"> Dynasty Trust (trust), naming Bonnie Vee </w:t>
      </w:r>
      <w:proofErr w:type="spellStart"/>
      <w:r w:rsidR="00AA0D8F">
        <w:t>Loeber</w:t>
      </w:r>
      <w:proofErr w:type="spellEnd"/>
      <w:r w:rsidR="00AA0D8F">
        <w:t xml:space="preserve"> as trustee.  </w:t>
      </w:r>
      <w:r>
        <w:t xml:space="preserve">According to </w:t>
      </w:r>
      <w:proofErr w:type="spellStart"/>
      <w:r>
        <w:t>Loeber’s</w:t>
      </w:r>
      <w:proofErr w:type="spellEnd"/>
      <w:r>
        <w:t xml:space="preserve"> verified petition, he has paid </w:t>
      </w:r>
      <w:r w:rsidR="008D2FE1">
        <w:t>all</w:t>
      </w:r>
      <w:r>
        <w:t xml:space="preserve"> applicable property and parcel taxes on the parcels, including $10,824 in parcel tax since 2010.</w:t>
      </w:r>
      <w:r>
        <w:rPr>
          <w:rStyle w:val="FootnoteReference"/>
          <w:b/>
          <w:bCs/>
        </w:rPr>
        <w:footnoteReference w:id="4"/>
      </w:r>
      <w:r>
        <w:t xml:space="preserve"> </w:t>
      </w:r>
      <w:r w:rsidR="006F4C2D">
        <w:t xml:space="preserve"> </w:t>
      </w:r>
      <w:proofErr w:type="spellStart"/>
      <w:r w:rsidR="006F4C2D">
        <w:t>Loeber</w:t>
      </w:r>
      <w:proofErr w:type="spellEnd"/>
      <w:r w:rsidR="006F4C2D">
        <w:t xml:space="preserve"> states that he “holds the parcels by an irrevocable trust.” </w:t>
      </w:r>
      <w:r w:rsidR="00F81C2C">
        <w:t xml:space="preserve"> The parcels </w:t>
      </w:r>
      <w:r w:rsidR="0046304B">
        <w:t xml:space="preserve">consist of “steep forest land” and </w:t>
      </w:r>
      <w:r w:rsidR="00F81C2C">
        <w:t xml:space="preserve">have not been developed for residential purposes. </w:t>
      </w:r>
    </w:p>
    <w:p w14:paraId="19F2147D" w14:textId="393A0A03" w:rsidR="009C10C3" w:rsidRDefault="00D23DB7" w:rsidP="00175B54">
      <w:r>
        <w:t xml:space="preserve">In 2021, </w:t>
      </w:r>
      <w:proofErr w:type="spellStart"/>
      <w:r>
        <w:t>Loeber</w:t>
      </w:r>
      <w:proofErr w:type="spellEnd"/>
      <w:r w:rsidR="00196F35">
        <w:t xml:space="preserve">, </w:t>
      </w:r>
      <w:r w:rsidR="0042613C">
        <w:t>who is over the age of 65</w:t>
      </w:r>
      <w:r w:rsidR="00196F35">
        <w:t xml:space="preserve">, </w:t>
      </w:r>
      <w:r>
        <w:t xml:space="preserve">began to speak with </w:t>
      </w:r>
      <w:r w:rsidR="009510B9">
        <w:t xml:space="preserve">district </w:t>
      </w:r>
      <w:r>
        <w:t xml:space="preserve">residents about </w:t>
      </w:r>
      <w:r w:rsidR="002B4EED">
        <w:t>an additional</w:t>
      </w:r>
      <w:r>
        <w:t xml:space="preserve"> parcel tax exemption. </w:t>
      </w:r>
      <w:r w:rsidR="00AB24F6">
        <w:t xml:space="preserve"> </w:t>
      </w:r>
      <w:proofErr w:type="spellStart"/>
      <w:r w:rsidR="00196F35">
        <w:t>Loeber</w:t>
      </w:r>
      <w:proofErr w:type="spellEnd"/>
      <w:r w:rsidR="00196F35">
        <w:t xml:space="preserve"> met William Bull, a district resident</w:t>
      </w:r>
      <w:r w:rsidR="00023F66">
        <w:t>, who</w:t>
      </w:r>
      <w:r w:rsidR="00196F35">
        <w:t xml:space="preserve"> agreed to be a proponent of </w:t>
      </w:r>
      <w:r w:rsidR="00023F66">
        <w:t>the proposed</w:t>
      </w:r>
      <w:r w:rsidR="00196F35">
        <w:t xml:space="preserve"> initiative</w:t>
      </w:r>
      <w:r w:rsidR="00023F66">
        <w:t xml:space="preserve">. </w:t>
      </w:r>
      <w:r w:rsidR="001E15BB">
        <w:t xml:space="preserve"> </w:t>
      </w:r>
      <w:r w:rsidR="00023F66">
        <w:t xml:space="preserve">Bull authorized </w:t>
      </w:r>
      <w:proofErr w:type="spellStart"/>
      <w:r w:rsidR="00023F66">
        <w:t>Loeber</w:t>
      </w:r>
      <w:proofErr w:type="spellEnd"/>
      <w:r w:rsidR="00023F66">
        <w:t xml:space="preserve"> to act on his behalf for the petition and initiative process</w:t>
      </w:r>
      <w:r w:rsidR="001600A9">
        <w:t xml:space="preserve"> in Santa Clara and Santa Cruz counties</w:t>
      </w:r>
      <w:r w:rsidR="00023F66">
        <w:t xml:space="preserve">. </w:t>
      </w:r>
      <w:r w:rsidR="00196F35">
        <w:t xml:space="preserve"> </w:t>
      </w:r>
      <w:proofErr w:type="spellStart"/>
      <w:r w:rsidR="00BB110A">
        <w:t>Loeber</w:t>
      </w:r>
      <w:proofErr w:type="spellEnd"/>
      <w:r w:rsidR="00BB110A">
        <w:t xml:space="preserve"> </w:t>
      </w:r>
      <w:r w:rsidR="00916BDB">
        <w:t xml:space="preserve">paid the administrative fees and </w:t>
      </w:r>
      <w:r w:rsidR="00BB110A">
        <w:t xml:space="preserve">spent approximately 60 hours gathering signatures for a petition to mandate an election on </w:t>
      </w:r>
      <w:r w:rsidR="00916BDB">
        <w:t>a</w:t>
      </w:r>
      <w:r w:rsidR="00F719F0">
        <w:t xml:space="preserve"> proposed </w:t>
      </w:r>
      <w:r w:rsidR="00BB110A">
        <w:t xml:space="preserve">initiative </w:t>
      </w:r>
      <w:r w:rsidR="00916BDB">
        <w:t xml:space="preserve">to </w:t>
      </w:r>
      <w:r w:rsidR="002B4EED">
        <w:t>add a new</w:t>
      </w:r>
      <w:r w:rsidR="00916BDB">
        <w:t xml:space="preserve"> </w:t>
      </w:r>
      <w:r w:rsidR="00916BDB">
        <w:lastRenderedPageBreak/>
        <w:t>parcel tax exemption</w:t>
      </w:r>
      <w:r w:rsidR="00BB110A">
        <w:t xml:space="preserve">. </w:t>
      </w:r>
      <w:r w:rsidR="000B60F2">
        <w:t xml:space="preserve"> The </w:t>
      </w:r>
      <w:r w:rsidR="009457FE">
        <w:t xml:space="preserve">proposed </w:t>
      </w:r>
      <w:r w:rsidR="000B60F2">
        <w:t>initiative,</w:t>
      </w:r>
      <w:r w:rsidR="00BB110A">
        <w:t xml:space="preserve"> </w:t>
      </w:r>
      <w:r w:rsidR="000B60F2">
        <w:t>titled “Citizens’ Initiative within the Lakeside Joint School District for the Purpose of Allowing a Parcel Tax Exemption to all Owners of Unimproved Parcels who are Over 65 Years of Age” (initiative)</w:t>
      </w:r>
      <w:r w:rsidR="00DF170C">
        <w:t>,</w:t>
      </w:r>
      <w:r w:rsidR="000B60F2" w:rsidRPr="000B60F2">
        <w:t xml:space="preserve"> </w:t>
      </w:r>
      <w:r w:rsidR="004148BB">
        <w:t>would</w:t>
      </w:r>
      <w:r w:rsidR="00DF170C">
        <w:t xml:space="preserve"> </w:t>
      </w:r>
      <w:r w:rsidR="002B4EED">
        <w:t>create a parcel tax</w:t>
      </w:r>
      <w:r w:rsidR="00DF170C">
        <w:t xml:space="preserve"> exemption </w:t>
      </w:r>
      <w:r w:rsidR="002B4EED">
        <w:t>for</w:t>
      </w:r>
      <w:r w:rsidR="00DF170C">
        <w:t xml:space="preserve"> </w:t>
      </w:r>
      <w:r w:rsidR="002B4EED">
        <w:t xml:space="preserve">certain </w:t>
      </w:r>
      <w:r w:rsidR="004148BB">
        <w:t>payers of property tax</w:t>
      </w:r>
      <w:r w:rsidR="00F81C2C">
        <w:t xml:space="preserve"> o</w:t>
      </w:r>
      <w:r w:rsidR="004148BB">
        <w:t>n</w:t>
      </w:r>
      <w:r w:rsidR="00F81C2C">
        <w:t xml:space="preserve"> </w:t>
      </w:r>
      <w:r w:rsidR="00E21F12">
        <w:t xml:space="preserve">undeveloped </w:t>
      </w:r>
      <w:r w:rsidR="004148BB">
        <w:t xml:space="preserve">or unimproved </w:t>
      </w:r>
      <w:r w:rsidR="00F81C2C">
        <w:t xml:space="preserve">parcels </w:t>
      </w:r>
      <w:r w:rsidR="00E21F12">
        <w:t>in the district</w:t>
      </w:r>
      <w:r w:rsidR="002B4EED">
        <w:t>.</w:t>
      </w:r>
      <w:r>
        <w:rPr>
          <w:rStyle w:val="FootnoteReference"/>
          <w:b/>
          <w:bCs/>
        </w:rPr>
        <w:footnoteReference w:id="5"/>
      </w:r>
      <w:r w:rsidR="000B60F2">
        <w:t xml:space="preserve"> </w:t>
      </w:r>
    </w:p>
    <w:p w14:paraId="144EB99A" w14:textId="5EB78DE0" w:rsidR="00DB5CD1" w:rsidRDefault="00D23DB7" w:rsidP="006E4348">
      <w:bookmarkStart w:id="2" w:name="_Hlk169511596"/>
      <w:proofErr w:type="spellStart"/>
      <w:r>
        <w:t>Loeber</w:t>
      </w:r>
      <w:proofErr w:type="spellEnd"/>
      <w:r>
        <w:t xml:space="preserve"> submitted the </w:t>
      </w:r>
      <w:r w:rsidR="00DF170C">
        <w:t xml:space="preserve">signatures </w:t>
      </w:r>
      <w:r>
        <w:t>to the County of Santa Clara Registrar of Voters (</w:t>
      </w:r>
      <w:r w:rsidR="00C86EB7">
        <w:t>Santa Clara C</w:t>
      </w:r>
      <w:r w:rsidR="00E227D4">
        <w:t>ounty</w:t>
      </w:r>
      <w:r w:rsidR="00C86EB7">
        <w:t xml:space="preserve"> or county</w:t>
      </w:r>
      <w:r>
        <w:t xml:space="preserve">) and </w:t>
      </w:r>
      <w:r w:rsidR="00F81C2C">
        <w:t xml:space="preserve">the </w:t>
      </w:r>
      <w:r>
        <w:t>County of Santa Cruz Registrar of Voters</w:t>
      </w:r>
      <w:r w:rsidR="00803820">
        <w:t xml:space="preserve"> </w:t>
      </w:r>
      <w:r w:rsidR="00C86EB7">
        <w:t xml:space="preserve">(Santa Cruz </w:t>
      </w:r>
      <w:r w:rsidR="007D7BBD">
        <w:t>County</w:t>
      </w:r>
      <w:r w:rsidR="00C86EB7">
        <w:t xml:space="preserve">) </w:t>
      </w:r>
      <w:r w:rsidR="00803820">
        <w:t>for signature count verification</w:t>
      </w:r>
      <w:r>
        <w:t xml:space="preserve">. </w:t>
      </w:r>
      <w:r w:rsidR="00EC34B1">
        <w:t xml:space="preserve"> </w:t>
      </w:r>
      <w:r w:rsidR="00FF5E5B">
        <w:t xml:space="preserve">(See Elec. Code, §§ 9308, 9309.)  </w:t>
      </w:r>
      <w:r w:rsidR="003D3326">
        <w:t>On</w:t>
      </w:r>
      <w:r w:rsidR="00EC34B1">
        <w:t xml:space="preserve"> June </w:t>
      </w:r>
      <w:r w:rsidR="003D3326">
        <w:t xml:space="preserve">16, </w:t>
      </w:r>
      <w:r w:rsidR="00EC34B1">
        <w:t xml:space="preserve">2021, </w:t>
      </w:r>
      <w:r w:rsidR="00C86EB7">
        <w:t xml:space="preserve">Santa Clara County, as the lead agency, </w:t>
      </w:r>
      <w:r w:rsidR="00EC34B1">
        <w:t xml:space="preserve">informed </w:t>
      </w:r>
      <w:r w:rsidR="00CB5D06">
        <w:t xml:space="preserve">by letter </w:t>
      </w:r>
      <w:r w:rsidR="00EC34B1">
        <w:t xml:space="preserve">the district’s superintendent, Sean Joyce, that the initiative </w:t>
      </w:r>
      <w:r w:rsidR="002843F8">
        <w:t xml:space="preserve">had </w:t>
      </w:r>
      <w:r w:rsidR="000B60F2">
        <w:t>secured enough</w:t>
      </w:r>
      <w:r w:rsidR="002843F8">
        <w:t xml:space="preserve"> </w:t>
      </w:r>
      <w:r w:rsidR="00F92A3E">
        <w:t xml:space="preserve">qualifying </w:t>
      </w:r>
      <w:r w:rsidR="002843F8">
        <w:t>signatures</w:t>
      </w:r>
      <w:r w:rsidR="000B60F2">
        <w:t>.</w:t>
      </w:r>
      <w:r w:rsidR="00EC34B1">
        <w:t xml:space="preserve">  </w:t>
      </w:r>
      <w:bookmarkStart w:id="3" w:name="_Hlk163566665"/>
      <w:r w:rsidR="00DF170C">
        <w:t>(</w:t>
      </w:r>
      <w:r w:rsidR="00AB24F6">
        <w:t>A</w:t>
      </w:r>
      <w:r w:rsidR="00DF170C">
        <w:t xml:space="preserve">rt. </w:t>
      </w:r>
      <w:r w:rsidR="000B27F8">
        <w:t>XIII</w:t>
      </w:r>
      <w:r w:rsidR="00DF170C">
        <w:t xml:space="preserve"> C, § 3, </w:t>
      </w:r>
      <w:r w:rsidR="00690902">
        <w:t>a</w:t>
      </w:r>
      <w:r w:rsidR="00DF170C">
        <w:t>rt. II, § 8</w:t>
      </w:r>
      <w:r w:rsidR="00034088">
        <w:t xml:space="preserve">, subd. </w:t>
      </w:r>
      <w:r w:rsidR="00DF170C">
        <w:t xml:space="preserve">(b).)  </w:t>
      </w:r>
      <w:bookmarkEnd w:id="3"/>
    </w:p>
    <w:bookmarkEnd w:id="2"/>
    <w:p w14:paraId="01712E4C" w14:textId="5FE4743A" w:rsidR="00EF7FBE" w:rsidRDefault="00D23DB7" w:rsidP="006E4348">
      <w:r>
        <w:t>The</w:t>
      </w:r>
      <w:r w:rsidR="00DB5CD1">
        <w:t xml:space="preserve"> June 2021</w:t>
      </w:r>
      <w:r>
        <w:t xml:space="preserve"> letter</w:t>
      </w:r>
      <w:r w:rsidR="00CB5D06">
        <w:t xml:space="preserve"> from Santa Clara County to the district</w:t>
      </w:r>
      <w:r>
        <w:t xml:space="preserve"> </w:t>
      </w:r>
      <w:r w:rsidR="00DF170C" w:rsidRPr="00DF170C">
        <w:t>advised</w:t>
      </w:r>
      <w:r w:rsidR="00DF170C">
        <w:t>, pursuant to Elections Code sections 9310, subdivision (a)(2) and 1405,</w:t>
      </w:r>
      <w:r>
        <w:rPr>
          <w:rStyle w:val="FootnoteReference"/>
          <w:b/>
          <w:bCs/>
        </w:rPr>
        <w:footnoteReference w:id="6"/>
      </w:r>
      <w:r w:rsidR="00DF170C" w:rsidRPr="00DF170C">
        <w:t xml:space="preserve"> that the </w:t>
      </w:r>
      <w:r w:rsidR="00DF170C">
        <w:t>d</w:t>
      </w:r>
      <w:r w:rsidR="00DF170C" w:rsidRPr="00DF170C">
        <w:t xml:space="preserve">istrict </w:t>
      </w:r>
      <w:r w:rsidR="00DF170C">
        <w:t>“</w:t>
      </w:r>
      <w:r w:rsidR="00DF170C" w:rsidRPr="00DF170C">
        <w:t>may</w:t>
      </w:r>
      <w:r w:rsidR="00DF170C">
        <w:t>”</w:t>
      </w:r>
      <w:r w:rsidR="00DF170C" w:rsidRPr="00DF170C">
        <w:t xml:space="preserve"> </w:t>
      </w:r>
      <w:r w:rsidR="00DF170C">
        <w:lastRenderedPageBreak/>
        <w:t>“</w:t>
      </w:r>
      <w:r w:rsidR="00DF170C" w:rsidRPr="00DF170C">
        <w:t>submit an ordinance, without alteration, to the voters</w:t>
      </w:r>
      <w:r w:rsidR="00DB5CD1">
        <w:t xml:space="preserve"> pursuant to subdivision (b) of Elections Code [s]</w:t>
      </w:r>
      <w:proofErr w:type="spellStart"/>
      <w:r w:rsidR="00DB5CD1">
        <w:t>ection</w:t>
      </w:r>
      <w:proofErr w:type="spellEnd"/>
      <w:r w:rsidR="00DB5CD1">
        <w:t xml:space="preserve"> 1405,</w:t>
      </w:r>
      <w:r w:rsidR="00DF170C" w:rsidRPr="00DF170C">
        <w:t>”</w:t>
      </w:r>
      <w:r w:rsidR="00DB5CD1">
        <w:t xml:space="preserve"> or “may call an all-mail ballot election” under conditions set forth in Elections Code section 4000.  </w:t>
      </w:r>
      <w:r w:rsidR="00D820CB">
        <w:t xml:space="preserve">The letter </w:t>
      </w:r>
      <w:r w:rsidR="002E5574">
        <w:t xml:space="preserve">encouraged the district “to seek legal counsel to determine how to proceed with the initiative including whether to call for an election, the type of election if so, and on what date.” </w:t>
      </w:r>
      <w:r w:rsidR="004B7EF6">
        <w:t xml:space="preserve"> </w:t>
      </w:r>
      <w:r w:rsidR="00C43D7E">
        <w:t xml:space="preserve">The letter </w:t>
      </w:r>
      <w:r w:rsidR="00CB5D06">
        <w:t>requested that</w:t>
      </w:r>
      <w:r w:rsidR="00C43D7E">
        <w:t xml:space="preserve"> the district advise the registrar of voters in writing of its decision on the initiative. </w:t>
      </w:r>
    </w:p>
    <w:p w14:paraId="0911E3A7" w14:textId="69E68FBD" w:rsidR="000536CD" w:rsidRDefault="00D23DB7" w:rsidP="00D820CB">
      <w:r>
        <w:t>In February 2022,</w:t>
      </w:r>
      <w:r>
        <w:rPr>
          <w:rStyle w:val="FootnoteReference"/>
          <w:b/>
          <w:bCs/>
        </w:rPr>
        <w:footnoteReference w:id="7"/>
      </w:r>
      <w:r>
        <w:t xml:space="preserve"> the district inquired with </w:t>
      </w:r>
      <w:r w:rsidR="00B1033D">
        <w:t xml:space="preserve">Santa Clara County </w:t>
      </w:r>
      <w:r>
        <w:t xml:space="preserve">and the Office of the Attorney General regarding its legal obligations with respect to the proposed initiative but received no response.  </w:t>
      </w:r>
      <w:r w:rsidR="00760F83">
        <w:t xml:space="preserve">The district thereafter determined that the initiative process “did not apply to school districts” </w:t>
      </w:r>
      <w:r w:rsidR="00D820CB">
        <w:t xml:space="preserve">and “a citizen’s initiative petition could not expand an exemption to a parcel tax levied by a school district.” </w:t>
      </w:r>
    </w:p>
    <w:p w14:paraId="420018DB" w14:textId="4A60C44B" w:rsidR="009E0443" w:rsidRDefault="00D23DB7" w:rsidP="000536CD">
      <w:r>
        <w:t xml:space="preserve">In July, while awaiting </w:t>
      </w:r>
      <w:r w:rsidR="000536CD">
        <w:t xml:space="preserve">action by </w:t>
      </w:r>
      <w:r>
        <w:t xml:space="preserve">the district, </w:t>
      </w:r>
      <w:proofErr w:type="spellStart"/>
      <w:r>
        <w:t>Loeber</w:t>
      </w:r>
      <w:proofErr w:type="spellEnd"/>
      <w:r>
        <w:t xml:space="preserve"> contacted </w:t>
      </w:r>
      <w:r w:rsidR="00C86EB7">
        <w:t>the</w:t>
      </w:r>
      <w:r>
        <w:t xml:space="preserve"> </w:t>
      </w:r>
      <w:r w:rsidR="00C86EB7">
        <w:t xml:space="preserve">county </w:t>
      </w:r>
      <w:r>
        <w:t xml:space="preserve">and spoke on at least two occasions with </w:t>
      </w:r>
      <w:r w:rsidR="0093481A">
        <w:t>d</w:t>
      </w:r>
      <w:r>
        <w:t xml:space="preserve">eputy </w:t>
      </w:r>
      <w:r w:rsidR="0093481A">
        <w:t>c</w:t>
      </w:r>
      <w:r>
        <w:t xml:space="preserve">ounty </w:t>
      </w:r>
      <w:r w:rsidR="0093481A">
        <w:t>c</w:t>
      </w:r>
      <w:r>
        <w:t xml:space="preserve">ounsel Mary Hanna-Weir.  </w:t>
      </w:r>
      <w:proofErr w:type="spellStart"/>
      <w:r>
        <w:t>Loeber</w:t>
      </w:r>
      <w:r w:rsidR="00A65D16">
        <w:t>’s</w:t>
      </w:r>
      <w:proofErr w:type="spellEnd"/>
      <w:r w:rsidR="00A65D16">
        <w:t xml:space="preserve"> position was that </w:t>
      </w:r>
      <w:r w:rsidR="00C86EB7">
        <w:t>Santa Clara</w:t>
      </w:r>
      <w:r w:rsidR="00A65D16">
        <w:t xml:space="preserve"> </w:t>
      </w:r>
      <w:r w:rsidR="00016698">
        <w:t>County</w:t>
      </w:r>
      <w:r w:rsidR="00C86EB7">
        <w:t>, as the elections official,</w:t>
      </w:r>
      <w:r w:rsidR="00A65D16">
        <w:t xml:space="preserve"> could place the initiative on the ballot without </w:t>
      </w:r>
      <w:r w:rsidR="00123DE2">
        <w:t>any action by the d</w:t>
      </w:r>
      <w:r w:rsidR="00A65D16">
        <w:t xml:space="preserve">istrict’s governing board. </w:t>
      </w:r>
      <w:r w:rsidR="00123DE2">
        <w:t xml:space="preserve"> Hanna-Weir </w:t>
      </w:r>
      <w:r w:rsidR="009457FE">
        <w:t xml:space="preserve">informed </w:t>
      </w:r>
      <w:proofErr w:type="spellStart"/>
      <w:r w:rsidR="009457FE">
        <w:t>Loeber</w:t>
      </w:r>
      <w:proofErr w:type="spellEnd"/>
      <w:r w:rsidR="00123DE2">
        <w:t xml:space="preserve"> that the </w:t>
      </w:r>
      <w:r w:rsidR="00C86EB7">
        <w:t>district</w:t>
      </w:r>
      <w:r w:rsidR="00123DE2">
        <w:t xml:space="preserve"> must act</w:t>
      </w:r>
      <w:r w:rsidR="00F81C2C" w:rsidRPr="00F81C2C">
        <w:t xml:space="preserve"> </w:t>
      </w:r>
      <w:r w:rsidR="00F81C2C">
        <w:t>in the first instance</w:t>
      </w:r>
      <w:r w:rsidR="00123DE2">
        <w:t xml:space="preserve">.  </w:t>
      </w:r>
    </w:p>
    <w:p w14:paraId="6563493F" w14:textId="40FF3E4F" w:rsidR="00514C41" w:rsidRPr="000536CD" w:rsidRDefault="00D23DB7" w:rsidP="000536CD">
      <w:pPr>
        <w:rPr>
          <w:sz w:val="24"/>
          <w:szCs w:val="24"/>
        </w:rPr>
      </w:pPr>
      <w:r>
        <w:t xml:space="preserve">Hanna-Weir informed </w:t>
      </w:r>
      <w:proofErr w:type="spellStart"/>
      <w:r>
        <w:t>Loeber</w:t>
      </w:r>
      <w:proofErr w:type="spellEnd"/>
      <w:r>
        <w:t xml:space="preserve"> of the relevant election deadlines, including that a resolution to place the initiative on the ballot of the November </w:t>
      </w:r>
      <w:r w:rsidR="000536CD">
        <w:t>8</w:t>
      </w:r>
      <w:r w:rsidR="00041D60">
        <w:t xml:space="preserve"> </w:t>
      </w:r>
      <w:r w:rsidR="00D5276D">
        <w:t>general</w:t>
      </w:r>
      <w:r>
        <w:t xml:space="preserve"> election must be received by the </w:t>
      </w:r>
      <w:r w:rsidR="009457FE">
        <w:t xml:space="preserve">county </w:t>
      </w:r>
      <w:r>
        <w:t>by August 12</w:t>
      </w:r>
      <w:r w:rsidR="00C86EB7">
        <w:t xml:space="preserve"> </w:t>
      </w:r>
      <w:r>
        <w:t xml:space="preserve">(88 days before the election). </w:t>
      </w:r>
      <w:r w:rsidR="00AB24F6">
        <w:t xml:space="preserve"> </w:t>
      </w:r>
      <w:proofErr w:type="spellStart"/>
      <w:r w:rsidR="000536CD">
        <w:t>Loeber</w:t>
      </w:r>
      <w:proofErr w:type="spellEnd"/>
      <w:r w:rsidR="000536CD">
        <w:t xml:space="preserve"> indicated that he understood he could file a </w:t>
      </w:r>
      <w:r w:rsidR="004353B6">
        <w:t xml:space="preserve">court </w:t>
      </w:r>
      <w:r w:rsidR="000536CD">
        <w:t xml:space="preserve">petition for writ of mandate but </w:t>
      </w:r>
      <w:r w:rsidR="004353B6">
        <w:t>hoped</w:t>
      </w:r>
      <w:r w:rsidR="000536CD">
        <w:t xml:space="preserve"> to settle the matter with the district </w:t>
      </w:r>
      <w:r w:rsidR="002B119E">
        <w:t>without resorting to</w:t>
      </w:r>
      <w:r w:rsidR="009E0443">
        <w:t xml:space="preserve"> litigation</w:t>
      </w:r>
      <w:r w:rsidR="000536CD">
        <w:t xml:space="preserve">.  Hanna-Weir conveyed </w:t>
      </w:r>
      <w:r w:rsidR="004353B6">
        <w:t xml:space="preserve">to </w:t>
      </w:r>
      <w:proofErr w:type="spellStart"/>
      <w:r w:rsidR="004353B6">
        <w:t>Loeber</w:t>
      </w:r>
      <w:proofErr w:type="spellEnd"/>
      <w:r w:rsidR="004353B6">
        <w:t xml:space="preserve"> </w:t>
      </w:r>
      <w:r w:rsidR="000536CD">
        <w:t xml:space="preserve">that if </w:t>
      </w:r>
      <w:r w:rsidR="004353B6">
        <w:t>he filed</w:t>
      </w:r>
      <w:r w:rsidR="000536CD">
        <w:t xml:space="preserve"> a writ petition, the </w:t>
      </w:r>
      <w:r w:rsidR="00E22776">
        <w:t xml:space="preserve">county </w:t>
      </w:r>
      <w:r w:rsidR="004353B6">
        <w:t>should</w:t>
      </w:r>
      <w:r w:rsidR="000536CD">
        <w:t xml:space="preserve"> be named as a respondent and the matter </w:t>
      </w:r>
      <w:r w:rsidR="000536CD">
        <w:lastRenderedPageBreak/>
        <w:t>should be filed “expediently to ensure resolution prior to the [general election] printing deadline.”</w:t>
      </w:r>
    </w:p>
    <w:p w14:paraId="03DB67E1" w14:textId="1B0621DC" w:rsidR="00982AF6" w:rsidRDefault="00D23DB7" w:rsidP="009457FE">
      <w:r>
        <w:t xml:space="preserve">The district did not </w:t>
      </w:r>
      <w:r w:rsidR="006873B9">
        <w:t xml:space="preserve">take any action to </w:t>
      </w:r>
      <w:r>
        <w:t xml:space="preserve">place the initiative on the ballot </w:t>
      </w:r>
      <w:r w:rsidR="006873B9">
        <w:t xml:space="preserve">by the August 12 deadline </w:t>
      </w:r>
      <w:r>
        <w:t xml:space="preserve">for the </w:t>
      </w:r>
      <w:r w:rsidR="000536CD">
        <w:t>general</w:t>
      </w:r>
      <w:r>
        <w:t xml:space="preserve"> election.</w:t>
      </w:r>
    </w:p>
    <w:p w14:paraId="6E5BAB3C" w14:textId="55537167" w:rsidR="0032460C" w:rsidRDefault="00D23DB7" w:rsidP="0032460C">
      <w:pPr>
        <w:pStyle w:val="Heading2"/>
      </w:pPr>
      <w:r>
        <w:t>B. Petition for Writ of Mandate</w:t>
      </w:r>
    </w:p>
    <w:p w14:paraId="57BCFD86" w14:textId="0FFA3F03" w:rsidR="003B6465" w:rsidRDefault="00D23DB7" w:rsidP="003B6465">
      <w:r>
        <w:t xml:space="preserve">On August 17, </w:t>
      </w:r>
      <w:proofErr w:type="spellStart"/>
      <w:r w:rsidR="00982AF6">
        <w:t>Loeber</w:t>
      </w:r>
      <w:proofErr w:type="spellEnd"/>
      <w:r w:rsidR="00982AF6">
        <w:t xml:space="preserve"> </w:t>
      </w:r>
      <w:r w:rsidR="009B6D94">
        <w:t xml:space="preserve">filed </w:t>
      </w:r>
      <w:r w:rsidR="003F1EFE">
        <w:t xml:space="preserve">this </w:t>
      </w:r>
      <w:r w:rsidR="00982AF6">
        <w:t>action</w:t>
      </w:r>
      <w:r w:rsidR="003F1EFE">
        <w:t xml:space="preserve"> </w:t>
      </w:r>
      <w:r w:rsidR="00982AF6">
        <w:t xml:space="preserve">for writ of mandate </w:t>
      </w:r>
      <w:r w:rsidR="003F1EFE">
        <w:t xml:space="preserve">in the Santa Clara County </w:t>
      </w:r>
      <w:r w:rsidR="00506782">
        <w:t>S</w:t>
      </w:r>
      <w:r w:rsidR="003F1EFE">
        <w:t xml:space="preserve">uperior </w:t>
      </w:r>
      <w:r w:rsidR="00506782">
        <w:t>C</w:t>
      </w:r>
      <w:r w:rsidR="003F1EFE">
        <w:t xml:space="preserve">ourt. </w:t>
      </w:r>
      <w:r w:rsidR="005A5E6E">
        <w:t xml:space="preserve"> </w:t>
      </w:r>
      <w:r>
        <w:t xml:space="preserve">On August 19, the trial court granted </w:t>
      </w:r>
      <w:proofErr w:type="spellStart"/>
      <w:r>
        <w:t>Loeber’s</w:t>
      </w:r>
      <w:proofErr w:type="spellEnd"/>
      <w:r>
        <w:t xml:space="preserve"> ex </w:t>
      </w:r>
      <w:proofErr w:type="spellStart"/>
      <w:r>
        <w:t>parte</w:t>
      </w:r>
      <w:proofErr w:type="spellEnd"/>
      <w:r>
        <w:t xml:space="preserve"> application for an </w:t>
      </w:r>
      <w:r w:rsidR="005A6918">
        <w:t>o</w:t>
      </w:r>
      <w:r>
        <w:t xml:space="preserve">rder to </w:t>
      </w:r>
      <w:r w:rsidR="005A6918">
        <w:t>s</w:t>
      </w:r>
      <w:r>
        <w:t xml:space="preserve">horten </w:t>
      </w:r>
      <w:r w:rsidR="005A6918">
        <w:t>t</w:t>
      </w:r>
      <w:r>
        <w:t xml:space="preserve">ime.  (See Code Civ. Proc., § 35, subd. (a) [granting precedence to proceedings involving certain election related matters].) </w:t>
      </w:r>
    </w:p>
    <w:p w14:paraId="155DEBA7" w14:textId="554DC17F" w:rsidR="00131FC0" w:rsidRDefault="00D23DB7" w:rsidP="00131FC0">
      <w:proofErr w:type="spellStart"/>
      <w:r>
        <w:t>Loeber’s</w:t>
      </w:r>
      <w:proofErr w:type="spellEnd"/>
      <w:r>
        <w:t xml:space="preserve"> petition named the district as the respondent and others as real parties in interest, including </w:t>
      </w:r>
      <w:r w:rsidR="00C4420A">
        <w:t xml:space="preserve">the </w:t>
      </w:r>
      <w:r w:rsidR="00997C77">
        <w:t>county</w:t>
      </w:r>
      <w:r w:rsidR="00C4420A">
        <w:t xml:space="preserve">, the initiative’s proponent William Bull, and the unnamed “63 voters who signed the petition and have a right to put the measure on the ballot.”  </w:t>
      </w:r>
      <w:r w:rsidR="00A86FDA">
        <w:t xml:space="preserve">The petition asserted that </w:t>
      </w:r>
      <w:r w:rsidR="00455253">
        <w:t>under</w:t>
      </w:r>
      <w:r w:rsidR="00A86FDA">
        <w:t xml:space="preserve"> </w:t>
      </w:r>
      <w:r w:rsidR="007C5335">
        <w:t xml:space="preserve">article </w:t>
      </w:r>
      <w:r w:rsidR="00A66757">
        <w:t xml:space="preserve">XIII </w:t>
      </w:r>
      <w:r w:rsidR="00A86FDA">
        <w:t xml:space="preserve">C, section 3, voters in school districts have the right to petition </w:t>
      </w:r>
      <w:r w:rsidR="00FA6A89">
        <w:t xml:space="preserve">for elections </w:t>
      </w:r>
      <w:r w:rsidR="00A86FDA">
        <w:t>on tax matters</w:t>
      </w:r>
      <w:r w:rsidR="00FA6A89">
        <w:t xml:space="preserve">, with a signature requirement no greater than that for statewide initiatives. </w:t>
      </w:r>
      <w:r w:rsidR="00455253">
        <w:t xml:space="preserve"> </w:t>
      </w:r>
      <w:r>
        <w:t>It further alleged that insofar as</w:t>
      </w:r>
      <w:r w:rsidR="00455253">
        <w:t xml:space="preserve"> the </w:t>
      </w:r>
      <w:r w:rsidR="00C86EB7">
        <w:t>county’s</w:t>
      </w:r>
      <w:r w:rsidR="00455253">
        <w:t xml:space="preserve"> June 2021 letter confirm</w:t>
      </w:r>
      <w:r>
        <w:t>ed</w:t>
      </w:r>
      <w:r w:rsidR="00455253">
        <w:t xml:space="preserve"> adequate signatures to place</w:t>
      </w:r>
      <w:r w:rsidR="00A91678">
        <w:t xml:space="preserve"> the </w:t>
      </w:r>
      <w:r>
        <w:t>initiative</w:t>
      </w:r>
      <w:r w:rsidR="00A91678">
        <w:t xml:space="preserve"> on the </w:t>
      </w:r>
      <w:r>
        <w:t>ballot</w:t>
      </w:r>
      <w:r w:rsidR="00E8564C">
        <w:t>,</w:t>
      </w:r>
      <w:r>
        <w:t xml:space="preserve"> the district must submit the initiative to the voters.</w:t>
      </w:r>
    </w:p>
    <w:p w14:paraId="71B70FB4" w14:textId="496A085F" w:rsidR="00B47F83" w:rsidRDefault="00D23DB7" w:rsidP="00B91CDF">
      <w:r>
        <w:t xml:space="preserve">The petition alleged that </w:t>
      </w:r>
      <w:proofErr w:type="spellStart"/>
      <w:r>
        <w:t>Loeber</w:t>
      </w:r>
      <w:proofErr w:type="spellEnd"/>
      <w:r>
        <w:t xml:space="preserve"> has a personal beneficial interest in the outcome of the proceedings because he pays the taxes on the two parcels held by the trust and must continue to do so “to maintain the property for the use of his family and children.”  It also alleged that according to the trust terms </w:t>
      </w:r>
      <w:proofErr w:type="spellStart"/>
      <w:r>
        <w:t>Loeber</w:t>
      </w:r>
      <w:proofErr w:type="spellEnd"/>
      <w:r>
        <w:t xml:space="preserve"> </w:t>
      </w:r>
      <w:proofErr w:type="gramStart"/>
      <w:r w:rsidR="00D3765C">
        <w:t xml:space="preserve">has </w:t>
      </w:r>
      <w:r>
        <w:t>the ability to</w:t>
      </w:r>
      <w:proofErr w:type="gramEnd"/>
      <w:r>
        <w:t xml:space="preserve"> reacquire the trust property and “redeem the land into his own name.”  If the initiative passes, </w:t>
      </w:r>
      <w:proofErr w:type="spellStart"/>
      <w:r>
        <w:t>Loeber</w:t>
      </w:r>
      <w:proofErr w:type="spellEnd"/>
      <w:r>
        <w:t xml:space="preserve"> alleged that he may qualify for the newly allowable tax exemption. </w:t>
      </w:r>
      <w:r w:rsidR="00B91CDF">
        <w:t xml:space="preserve"> </w:t>
      </w:r>
      <w:r>
        <w:t xml:space="preserve">The petition also alleged </w:t>
      </w:r>
      <w:proofErr w:type="spellStart"/>
      <w:r>
        <w:t>Loeber’s</w:t>
      </w:r>
      <w:proofErr w:type="spellEnd"/>
      <w:r>
        <w:t xml:space="preserve"> “public interest” in the operation of the citizen initiative process concerning taxes as set forth in </w:t>
      </w:r>
      <w:r w:rsidR="007C5335">
        <w:t xml:space="preserve">article </w:t>
      </w:r>
      <w:r w:rsidR="00A66757">
        <w:t>XIII C</w:t>
      </w:r>
      <w:r>
        <w:t xml:space="preserve">, section 3. </w:t>
      </w:r>
      <w:r w:rsidR="00B91CDF">
        <w:t xml:space="preserve"> The petition asserted that the district has a clear and present legal duty and ability to perform, and </w:t>
      </w:r>
      <w:proofErr w:type="spellStart"/>
      <w:r w:rsidR="00B91CDF">
        <w:t>Loeber</w:t>
      </w:r>
      <w:proofErr w:type="spellEnd"/>
      <w:r w:rsidR="00B91CDF">
        <w:t xml:space="preserve"> has no other adequate remedy. </w:t>
      </w:r>
    </w:p>
    <w:p w14:paraId="0365BC2E" w14:textId="5840FAFE" w:rsidR="005D3917" w:rsidRDefault="00D23DB7" w:rsidP="005D3917">
      <w:r>
        <w:lastRenderedPageBreak/>
        <w:t xml:space="preserve">The petition sought </w:t>
      </w:r>
      <w:r w:rsidR="00927586">
        <w:t>a writ of mandate “ordering the district to call the election on this measure for the November 8</w:t>
      </w:r>
      <w:r w:rsidR="000424B3">
        <w:t>[]</w:t>
      </w:r>
      <w:r w:rsidR="00C86EB7">
        <w:t xml:space="preserve"> </w:t>
      </w:r>
      <w:r w:rsidR="00927586">
        <w:t xml:space="preserve">general election date” </w:t>
      </w:r>
      <w:r w:rsidR="00AC59C0">
        <w:t xml:space="preserve">and for </w:t>
      </w:r>
      <w:r w:rsidR="004E515E">
        <w:t>daily penalties if the district fails to do so</w:t>
      </w:r>
      <w:r w:rsidR="00AC59C0">
        <w:t xml:space="preserve">, </w:t>
      </w:r>
      <w:r w:rsidR="00927586">
        <w:t xml:space="preserve">or, alternatively, </w:t>
      </w:r>
      <w:r w:rsidR="00297E84">
        <w:t xml:space="preserve">to pay a penalty sanction of $10,000 each to </w:t>
      </w:r>
      <w:proofErr w:type="spellStart"/>
      <w:r w:rsidR="00297E84">
        <w:t>Loeber</w:t>
      </w:r>
      <w:proofErr w:type="spellEnd"/>
      <w:r w:rsidR="00297E84">
        <w:t xml:space="preserve"> and Bull </w:t>
      </w:r>
      <w:r w:rsidR="00297E84">
        <w:rPr>
          <w:i/>
          <w:iCs/>
        </w:rPr>
        <w:t xml:space="preserve">and </w:t>
      </w:r>
      <w:r w:rsidR="00297E84">
        <w:t>to call by October 1</w:t>
      </w:r>
      <w:r w:rsidR="00AC59C0">
        <w:t xml:space="preserve"> </w:t>
      </w:r>
      <w:r w:rsidR="00297E84">
        <w:t xml:space="preserve">for either a special election to be held by March 15, 2023, or an all-mail </w:t>
      </w:r>
      <w:r w:rsidR="00E47C01">
        <w:t xml:space="preserve">ballot </w:t>
      </w:r>
      <w:r w:rsidR="00297E84">
        <w:t>election</w:t>
      </w:r>
      <w:r w:rsidR="000E4946">
        <w:t xml:space="preserve"> to be held</w:t>
      </w:r>
      <w:r w:rsidR="00297E84">
        <w:t xml:space="preserve"> on May 2, 2023.  </w:t>
      </w:r>
      <w:r w:rsidR="00AC59C0">
        <w:t xml:space="preserve">The petition sought declaratory relief </w:t>
      </w:r>
      <w:r w:rsidR="00997C77">
        <w:t>as to</w:t>
      </w:r>
      <w:r w:rsidR="00AC59C0">
        <w:t xml:space="preserve"> whether </w:t>
      </w:r>
      <w:r w:rsidR="00B83B38">
        <w:t>Elections Code sections 1302 and 1405</w:t>
      </w:r>
      <w:r w:rsidR="00AC59C0">
        <w:t xml:space="preserve"> </w:t>
      </w:r>
      <w:r w:rsidR="00B83B38">
        <w:t>authorize</w:t>
      </w:r>
      <w:r w:rsidR="00B83B38" w:rsidRPr="00B83B38">
        <w:t xml:space="preserve"> </w:t>
      </w:r>
      <w:r w:rsidR="00B83B38">
        <w:t xml:space="preserve">the registrar of voters to place a school district initiative on the ballot without action by the </w:t>
      </w:r>
      <w:r w:rsidR="000B130E">
        <w:t xml:space="preserve">district’s </w:t>
      </w:r>
      <w:r w:rsidR="00B83B38">
        <w:t xml:space="preserve">board, or whether the </w:t>
      </w:r>
      <w:r w:rsidR="00AC59C0">
        <w:t xml:space="preserve">school district must call </w:t>
      </w:r>
      <w:r w:rsidR="00B83B38">
        <w:t>the</w:t>
      </w:r>
      <w:r w:rsidR="00AC59C0">
        <w:t xml:space="preserve"> election for a citizen ballot initiative. </w:t>
      </w:r>
      <w:r w:rsidR="00B83B38">
        <w:t xml:space="preserve"> </w:t>
      </w:r>
    </w:p>
    <w:p w14:paraId="03464327" w14:textId="49A7AA11" w:rsidR="00CF0B75" w:rsidRDefault="00D23DB7" w:rsidP="005D3917">
      <w:pPr>
        <w:ind w:firstLine="0"/>
      </w:pPr>
      <w:r>
        <w:tab/>
      </w:r>
      <w:r w:rsidR="00B83B38">
        <w:t xml:space="preserve">The </w:t>
      </w:r>
      <w:r w:rsidR="004E515E">
        <w:t>trial court held a</w:t>
      </w:r>
      <w:r>
        <w:t xml:space="preserve"> hearing on the petition. </w:t>
      </w:r>
      <w:r w:rsidRPr="005D3917">
        <w:t xml:space="preserve"> </w:t>
      </w:r>
      <w:r w:rsidR="001D7FBF">
        <w:t xml:space="preserve">In addition to appearances by </w:t>
      </w:r>
      <w:proofErr w:type="spellStart"/>
      <w:r w:rsidR="001D7FBF">
        <w:t>Loeber</w:t>
      </w:r>
      <w:proofErr w:type="spellEnd"/>
      <w:r w:rsidR="001D7FBF">
        <w:t xml:space="preserve"> and the district, counsel for Santa Clara </w:t>
      </w:r>
      <w:r w:rsidR="00CB7CDC">
        <w:t xml:space="preserve">County </w:t>
      </w:r>
      <w:r w:rsidR="001D7FBF">
        <w:t>and Santa Cruz</w:t>
      </w:r>
      <w:r w:rsidR="00C86EB7">
        <w:t xml:space="preserve"> </w:t>
      </w:r>
      <w:r w:rsidR="00CB7CDC">
        <w:t>County</w:t>
      </w:r>
      <w:r w:rsidR="001D7FBF">
        <w:t>—as the government agencies ultimately responsible for placing the initiative on the election ballot</w:t>
      </w:r>
      <w:r w:rsidR="00AB4897">
        <w:t>s—</w:t>
      </w:r>
      <w:r w:rsidR="001D7FBF">
        <w:t xml:space="preserve">appeared.  Both the district and </w:t>
      </w:r>
      <w:r w:rsidR="00C86EB7">
        <w:t xml:space="preserve">Santa Clara </w:t>
      </w:r>
      <w:r w:rsidR="00016698">
        <w:t xml:space="preserve">County </w:t>
      </w:r>
      <w:r w:rsidR="001D7FBF">
        <w:t>filed written opposition</w:t>
      </w:r>
      <w:r w:rsidR="001D7FBF" w:rsidRPr="001D7FBF">
        <w:t xml:space="preserve"> </w:t>
      </w:r>
      <w:r w:rsidR="001D7FBF">
        <w:t>with supporting declarations</w:t>
      </w:r>
      <w:r w:rsidR="00AB4897">
        <w:t xml:space="preserve"> </w:t>
      </w:r>
      <w:r w:rsidR="001D7FBF">
        <w:t>to the petition.</w:t>
      </w:r>
    </w:p>
    <w:p w14:paraId="545CC009" w14:textId="61720C7A" w:rsidR="007A12B7" w:rsidRDefault="00D23DB7" w:rsidP="005D3917">
      <w:pPr>
        <w:ind w:firstLine="0"/>
      </w:pPr>
      <w:r>
        <w:tab/>
      </w:r>
      <w:r w:rsidR="00B640A3">
        <w:t>T</w:t>
      </w:r>
      <w:r w:rsidR="005D3917">
        <w:t>he district</w:t>
      </w:r>
      <w:r w:rsidR="00B83B38">
        <w:t xml:space="preserve"> argued th</w:t>
      </w:r>
      <w:r w:rsidR="00B640A3">
        <w:t>at th</w:t>
      </w:r>
      <w:r w:rsidR="00B83B38">
        <w:t xml:space="preserve">e citizen’s initiative process </w:t>
      </w:r>
      <w:r w:rsidR="00305F32">
        <w:t xml:space="preserve">does not apply </w:t>
      </w:r>
      <w:r w:rsidR="00B83B38">
        <w:t>to school districts</w:t>
      </w:r>
      <w:r w:rsidR="00305F32">
        <w:t>,</w:t>
      </w:r>
      <w:r w:rsidR="00B83B38">
        <w:t xml:space="preserve"> and </w:t>
      </w:r>
      <w:r w:rsidR="00305F32">
        <w:t>citizens have</w:t>
      </w:r>
      <w:r w:rsidR="00B83B38">
        <w:t xml:space="preserve"> no constitutional or statutory authority to </w:t>
      </w:r>
      <w:r w:rsidR="00776870">
        <w:t xml:space="preserve">amend actions taken by school boards. </w:t>
      </w:r>
      <w:r w:rsidR="00712CAB">
        <w:t xml:space="preserve"> The district maintained that </w:t>
      </w:r>
      <w:r w:rsidR="00C9084A">
        <w:t xml:space="preserve">article </w:t>
      </w:r>
      <w:r w:rsidR="00A66757">
        <w:t>XIII C</w:t>
      </w:r>
      <w:r w:rsidR="00712CAB">
        <w:t>, section 3</w:t>
      </w:r>
      <w:r w:rsidR="00B640A3">
        <w:t xml:space="preserve"> </w:t>
      </w:r>
      <w:r w:rsidR="00712CAB">
        <w:t xml:space="preserve">“is declaratory of existing citizen initiative powers and does not create or expand </w:t>
      </w:r>
      <w:proofErr w:type="gramStart"/>
      <w:r w:rsidR="00712CAB">
        <w:t>the</w:t>
      </w:r>
      <w:r w:rsidR="00B50714">
        <w:t>[</w:t>
      </w:r>
      <w:proofErr w:type="gramEnd"/>
      <w:r w:rsidR="00B50714">
        <w:t>]</w:t>
      </w:r>
      <w:r w:rsidR="00712CAB">
        <w:t xml:space="preserve"> power to reach </w:t>
      </w:r>
      <w:r w:rsidR="00016698">
        <w:t xml:space="preserve">parcel </w:t>
      </w:r>
      <w:r w:rsidR="00712CAB">
        <w:t>taxes adopted by school districts.</w:t>
      </w:r>
      <w:r w:rsidR="00C511A5">
        <w:t xml:space="preserve">”  (Capitalization, boldface, </w:t>
      </w:r>
      <w:r w:rsidR="00491ED1">
        <w:t>&amp;</w:t>
      </w:r>
      <w:r w:rsidR="00C511A5">
        <w:t xml:space="preserve"> italics omitted.)  The district also challenged the timing of the petition and the district’s </w:t>
      </w:r>
      <w:r w:rsidR="00B640A3">
        <w:t xml:space="preserve">limited </w:t>
      </w:r>
      <w:r w:rsidR="00C511A5">
        <w:t>ability to respond</w:t>
      </w:r>
      <w:r w:rsidR="00C52038">
        <w:t xml:space="preserve"> given that timing</w:t>
      </w:r>
      <w:r w:rsidR="00F64CB0">
        <w:t xml:space="preserve">.  </w:t>
      </w:r>
      <w:r w:rsidR="00C52038">
        <w:t xml:space="preserve">The district </w:t>
      </w:r>
      <w:r w:rsidR="00F64CB0">
        <w:t xml:space="preserve">asserted </w:t>
      </w:r>
      <w:r w:rsidR="00C511A5">
        <w:t xml:space="preserve">that </w:t>
      </w:r>
      <w:proofErr w:type="spellStart"/>
      <w:r w:rsidR="00C511A5">
        <w:t>Loeber</w:t>
      </w:r>
      <w:proofErr w:type="spellEnd"/>
      <w:r w:rsidR="00C511A5">
        <w:t xml:space="preserve"> could have </w:t>
      </w:r>
      <w:r w:rsidR="00E8564C">
        <w:t xml:space="preserve">earlier </w:t>
      </w:r>
      <w:r w:rsidR="00C511A5">
        <w:t xml:space="preserve">brought a writ or declaratory relief action </w:t>
      </w:r>
      <w:r w:rsidR="00AB4897">
        <w:t xml:space="preserve">and </w:t>
      </w:r>
      <w:r w:rsidR="00B640A3">
        <w:t>maintained that</w:t>
      </w:r>
      <w:r w:rsidR="00F64CB0">
        <w:t xml:space="preserve"> even if the court were to grant relief, it would be too late to place the </w:t>
      </w:r>
      <w:r w:rsidR="0064781E">
        <w:t xml:space="preserve">initiative </w:t>
      </w:r>
      <w:r w:rsidR="00F64CB0">
        <w:t xml:space="preserve">on the ballot for the upcoming general election </w:t>
      </w:r>
      <w:r w:rsidR="000B130E">
        <w:t xml:space="preserve">or </w:t>
      </w:r>
      <w:r w:rsidR="00AB4897">
        <w:t xml:space="preserve">to </w:t>
      </w:r>
      <w:r w:rsidR="00F64CB0">
        <w:t xml:space="preserve">call a special election. </w:t>
      </w:r>
    </w:p>
    <w:p w14:paraId="62E93419" w14:textId="3A86BBF1" w:rsidR="00B83B38" w:rsidRDefault="00D23DB7" w:rsidP="00E227D4">
      <w:pPr>
        <w:ind w:firstLine="0"/>
      </w:pPr>
      <w:r>
        <w:tab/>
      </w:r>
      <w:r w:rsidR="00E8564C">
        <w:t>T</w:t>
      </w:r>
      <w:r>
        <w:t xml:space="preserve">he district requested </w:t>
      </w:r>
      <w:r w:rsidR="000C6D58">
        <w:t xml:space="preserve">that the trial court take </w:t>
      </w:r>
      <w:r>
        <w:t xml:space="preserve">judicial notice of </w:t>
      </w:r>
      <w:r w:rsidR="000C6D58">
        <w:t xml:space="preserve">Resolution </w:t>
      </w:r>
      <w:r w:rsidR="009B37EB">
        <w:t xml:space="preserve">No. </w:t>
      </w:r>
      <w:r w:rsidR="000C6D58">
        <w:t xml:space="preserve">16/17-03, which authorized the </w:t>
      </w:r>
      <w:r w:rsidR="00305F32">
        <w:t xml:space="preserve">2017 </w:t>
      </w:r>
      <w:r w:rsidR="000C6D58">
        <w:t xml:space="preserve">ballot measure </w:t>
      </w:r>
      <w:r w:rsidR="00C52038">
        <w:t>placing</w:t>
      </w:r>
      <w:r w:rsidR="000C6D58">
        <w:t xml:space="preserve"> the Measure A parcel tax on the ballot.  </w:t>
      </w:r>
      <w:r w:rsidR="007E1578">
        <w:t>According to the declaration of district s</w:t>
      </w:r>
      <w:r w:rsidR="00494AE5">
        <w:t>uperintendent Joyce</w:t>
      </w:r>
      <w:r w:rsidR="007E1578">
        <w:t xml:space="preserve">, the parcel tax </w:t>
      </w:r>
      <w:r w:rsidR="007E1578">
        <w:lastRenderedPageBreak/>
        <w:t xml:space="preserve">provides the district with over $500,000 per year in “essential revenue” and accounts for over 17 percent of the district’s total budget.  </w:t>
      </w:r>
      <w:r w:rsidR="00BD43D1">
        <w:t>Joyce declared that “[m]</w:t>
      </w:r>
      <w:proofErr w:type="spellStart"/>
      <w:r w:rsidR="00BD43D1">
        <w:t>erely</w:t>
      </w:r>
      <w:proofErr w:type="spellEnd"/>
      <w:r w:rsidR="00BD43D1">
        <w:t xml:space="preserve"> placing an initiative on a ballot is a significant financial undertaking for this school district, as it would likely cost $50,000 to $80,000 and possibly twice that if the [d]</w:t>
      </w:r>
      <w:proofErr w:type="spellStart"/>
      <w:r w:rsidR="00BD43D1">
        <w:t>istrict</w:t>
      </w:r>
      <w:proofErr w:type="spellEnd"/>
      <w:r w:rsidR="00BD43D1">
        <w:t xml:space="preserve"> called a special election.  Placing an initiative on a general election is roughly equivalent to the salary of one of the [d]</w:t>
      </w:r>
      <w:proofErr w:type="spellStart"/>
      <w:r w:rsidR="00BD43D1">
        <w:t>istrict’s</w:t>
      </w:r>
      <w:proofErr w:type="spellEnd"/>
      <w:r w:rsidR="00BD43D1">
        <w:t xml:space="preserve"> five teachers.”  Joyce asserted that </w:t>
      </w:r>
      <w:r w:rsidR="00E227D4">
        <w:t>t</w:t>
      </w:r>
      <w:r w:rsidR="00BD43D1">
        <w:t xml:space="preserve">he </w:t>
      </w:r>
      <w:r w:rsidR="00E227D4">
        <w:t>d</w:t>
      </w:r>
      <w:r w:rsidR="00BD43D1">
        <w:t xml:space="preserve">istrict </w:t>
      </w:r>
      <w:r w:rsidR="001919C9">
        <w:t>need</w:t>
      </w:r>
      <w:r w:rsidR="00E227D4">
        <w:t>ed</w:t>
      </w:r>
      <w:r w:rsidR="001919C9">
        <w:t xml:space="preserve"> “strong and clear justification” to </w:t>
      </w:r>
      <w:r w:rsidR="007864E4">
        <w:t xml:space="preserve">divert </w:t>
      </w:r>
      <w:r w:rsidR="00BD43D1">
        <w:t xml:space="preserve">educational programming </w:t>
      </w:r>
      <w:r w:rsidR="001919C9">
        <w:t xml:space="preserve">by spending on an election measure and indicated it had determined, after reviewing the notification letter from the </w:t>
      </w:r>
      <w:r w:rsidR="007864E4">
        <w:t>county</w:t>
      </w:r>
      <w:r w:rsidR="001919C9">
        <w:t xml:space="preserve">, </w:t>
      </w:r>
      <w:r w:rsidR="001919C9" w:rsidRPr="001919C9">
        <w:t>that</w:t>
      </w:r>
      <w:r w:rsidR="00E227D4">
        <w:t xml:space="preserve"> no legal authority</w:t>
      </w:r>
      <w:r w:rsidR="007864E4">
        <w:t xml:space="preserve"> required </w:t>
      </w:r>
      <w:r w:rsidR="00D3765C">
        <w:t>the</w:t>
      </w:r>
      <w:r w:rsidR="00E227D4">
        <w:t xml:space="preserve"> district</w:t>
      </w:r>
      <w:r w:rsidR="007864E4">
        <w:t xml:space="preserve"> </w:t>
      </w:r>
      <w:r w:rsidR="00E227D4">
        <w:t>to place an initiative to expand a parcel tax exemption</w:t>
      </w:r>
      <w:r w:rsidR="007864E4" w:rsidRPr="007864E4">
        <w:t xml:space="preserve"> </w:t>
      </w:r>
      <w:r w:rsidR="007864E4">
        <w:t>on the ballot</w:t>
      </w:r>
      <w:r w:rsidR="00E227D4">
        <w:t xml:space="preserve">. </w:t>
      </w:r>
      <w:r w:rsidR="007864E4">
        <w:t xml:space="preserve"> </w:t>
      </w:r>
    </w:p>
    <w:p w14:paraId="03B9F9CA" w14:textId="635D9D6F" w:rsidR="00AB4897" w:rsidRDefault="00D23DB7" w:rsidP="00997C77">
      <w:pPr>
        <w:ind w:firstLine="0"/>
      </w:pPr>
      <w:r>
        <w:tab/>
      </w:r>
      <w:r w:rsidR="00E227D4">
        <w:t>In its opposition, t</w:t>
      </w:r>
      <w:r>
        <w:t xml:space="preserve">he </w:t>
      </w:r>
      <w:r w:rsidR="00997C77">
        <w:t>county</w:t>
      </w:r>
      <w:r>
        <w:t xml:space="preserve"> </w:t>
      </w:r>
      <w:r w:rsidR="00997C77">
        <w:t>took “no position on</w:t>
      </w:r>
      <w:r w:rsidR="00191893">
        <w:t>”</w:t>
      </w:r>
      <w:r w:rsidR="00997C77">
        <w:t xml:space="preserve"> </w:t>
      </w:r>
      <w:r w:rsidR="00191893">
        <w:t>the merits of the</w:t>
      </w:r>
      <w:r w:rsidR="00997C77">
        <w:t xml:space="preserve"> requested relief</w:t>
      </w:r>
      <w:r w:rsidR="00666A3D">
        <w:t xml:space="preserve"> </w:t>
      </w:r>
      <w:r w:rsidR="007864E4">
        <w:t>seeking</w:t>
      </w:r>
      <w:r w:rsidR="00666A3D">
        <w:t xml:space="preserve"> to require t</w:t>
      </w:r>
      <w:r w:rsidR="00997C77">
        <w:t xml:space="preserve">he </w:t>
      </w:r>
      <w:r w:rsidR="00191893">
        <w:t>d</w:t>
      </w:r>
      <w:r w:rsidR="00997C77">
        <w:t xml:space="preserve">istrict to </w:t>
      </w:r>
      <w:r w:rsidR="00191893">
        <w:t>place</w:t>
      </w:r>
      <w:r w:rsidR="00997C77">
        <w:t xml:space="preserve"> the </w:t>
      </w:r>
      <w:r w:rsidR="00191893">
        <w:t>initiative mea</w:t>
      </w:r>
      <w:r w:rsidR="00997C77">
        <w:t>sure on the ballot</w:t>
      </w:r>
      <w:r w:rsidR="00191893">
        <w:t xml:space="preserve">.  However, the county </w:t>
      </w:r>
      <w:r w:rsidR="001B1D0B">
        <w:t>opposed</w:t>
      </w:r>
      <w:r w:rsidR="00997C77">
        <w:t xml:space="preserve"> </w:t>
      </w:r>
      <w:r w:rsidR="001B1D0B">
        <w:t>“</w:t>
      </w:r>
      <w:r w:rsidR="00997C77">
        <w:t xml:space="preserve">placing the </w:t>
      </w:r>
      <w:r w:rsidR="001B1D0B">
        <w:t>[m]</w:t>
      </w:r>
      <w:proofErr w:type="spellStart"/>
      <w:r w:rsidR="00997C77">
        <w:t>easure</w:t>
      </w:r>
      <w:proofErr w:type="spellEnd"/>
      <w:r w:rsidR="00997C77">
        <w:t xml:space="preserve"> on the November 8, </w:t>
      </w:r>
      <w:proofErr w:type="gramStart"/>
      <w:r w:rsidR="00997C77">
        <w:t>2022</w:t>
      </w:r>
      <w:proofErr w:type="gramEnd"/>
      <w:r w:rsidR="00997C77">
        <w:t xml:space="preserve"> General</w:t>
      </w:r>
      <w:r w:rsidR="001B1D0B">
        <w:t xml:space="preserve"> </w:t>
      </w:r>
      <w:r w:rsidR="00997C77">
        <w:t xml:space="preserve">Election ballot because granting such relief would </w:t>
      </w:r>
      <w:r w:rsidR="001B1D0B">
        <w:t>‘</w:t>
      </w:r>
      <w:r w:rsidR="00997C77">
        <w:t>substantially interfere with the conduct of the</w:t>
      </w:r>
      <w:r w:rsidR="001B1D0B">
        <w:t xml:space="preserve"> </w:t>
      </w:r>
      <w:r w:rsidR="00997C77">
        <w:t>election</w:t>
      </w:r>
      <w:r w:rsidR="001B1D0B">
        <w:t>,’</w:t>
      </w:r>
      <w:r w:rsidR="00997C77">
        <w:t xml:space="preserve"> (</w:t>
      </w:r>
      <w:r w:rsidR="00B727D3">
        <w:t>[]</w:t>
      </w:r>
      <w:r w:rsidR="00997C77">
        <w:t xml:space="preserve"> Elec. Code</w:t>
      </w:r>
      <w:r w:rsidR="001B1D0B">
        <w:t xml:space="preserve">, </w:t>
      </w:r>
      <w:r w:rsidR="00997C77">
        <w:t>§ 13314, subd. (a)(2)(B)) by jeopardizing the Registrar</w:t>
      </w:r>
      <w:r w:rsidR="001B1D0B">
        <w:t xml:space="preserve"> [of Voters]’</w:t>
      </w:r>
      <w:r w:rsidR="00997C77">
        <w:t>s ability to meet</w:t>
      </w:r>
      <w:r w:rsidR="001B1D0B">
        <w:t xml:space="preserve"> </w:t>
      </w:r>
      <w:r w:rsidR="00997C77">
        <w:t>its statutory obligations to print and distribute elections materials.</w:t>
      </w:r>
      <w:r w:rsidR="001B1D0B">
        <w:t>”</w:t>
      </w:r>
      <w:r w:rsidR="00997C77">
        <w:t xml:space="preserve"> </w:t>
      </w:r>
      <w:r w:rsidR="001B1D0B">
        <w:t xml:space="preserve"> </w:t>
      </w:r>
      <w:r w:rsidR="00997C77">
        <w:t xml:space="preserve">The </w:t>
      </w:r>
      <w:r w:rsidR="001B1D0B">
        <w:t xml:space="preserve">county </w:t>
      </w:r>
      <w:r w:rsidR="00B62635">
        <w:t xml:space="preserve">acknowledged that the court had shortened time on </w:t>
      </w:r>
      <w:proofErr w:type="spellStart"/>
      <w:r w:rsidR="00B62635">
        <w:t>Loeber’s</w:t>
      </w:r>
      <w:proofErr w:type="spellEnd"/>
      <w:r w:rsidR="00B62635">
        <w:t xml:space="preserve"> petition in accordance with the principle that </w:t>
      </w:r>
      <w:proofErr w:type="gramStart"/>
      <w:r w:rsidR="008E4D93">
        <w:t>“</w:t>
      </w:r>
      <w:r w:rsidR="00172E86">
        <w:t xml:space="preserve"> ‘</w:t>
      </w:r>
      <w:proofErr w:type="gramEnd"/>
      <w:r w:rsidR="00B62635">
        <w:t>[p]</w:t>
      </w:r>
      <w:proofErr w:type="spellStart"/>
      <w:r w:rsidR="00B62635">
        <w:t>roceedings</w:t>
      </w:r>
      <w:proofErr w:type="spellEnd"/>
      <w:r w:rsidR="00B62635">
        <w:t xml:space="preserve"> in cases involving</w:t>
      </w:r>
      <w:r w:rsidR="00150C6E">
        <w:t xml:space="preserve"> . . . </w:t>
      </w:r>
      <w:r w:rsidR="00B62635">
        <w:t xml:space="preserve">the certification or denial of certification of ballot measures, and election contests </w:t>
      </w:r>
      <w:r w:rsidR="00150C6E">
        <w:t>. . .</w:t>
      </w:r>
      <w:r w:rsidR="00B62635">
        <w:t xml:space="preserve"> shall be given precedence</w:t>
      </w:r>
      <w:r w:rsidR="00624E30">
        <w:t xml:space="preserve">’ </w:t>
      </w:r>
      <w:r w:rsidR="00150C6E">
        <w:t>” (Code Civ. Proc., § 35, subd. (a))</w:t>
      </w:r>
      <w:r w:rsidR="00666A3D">
        <w:t xml:space="preserve"> but</w:t>
      </w:r>
      <w:r w:rsidR="00B62635">
        <w:t xml:space="preserve"> </w:t>
      </w:r>
      <w:r w:rsidR="001B1D0B">
        <w:t xml:space="preserve">maintained that </w:t>
      </w:r>
      <w:r w:rsidR="00666A3D">
        <w:t xml:space="preserve">“even with expedient attention . . ., the relief requested related to the November 8, </w:t>
      </w:r>
      <w:proofErr w:type="gramStart"/>
      <w:r w:rsidR="00666A3D">
        <w:t>2022</w:t>
      </w:r>
      <w:proofErr w:type="gramEnd"/>
      <w:r w:rsidR="00666A3D">
        <w:t xml:space="preserve"> General Election may not be granted without substantially interfering with the conduct of the election.”  </w:t>
      </w:r>
      <w:r w:rsidR="002F5768">
        <w:t xml:space="preserve">The county provided a detailed explanation of the </w:t>
      </w:r>
      <w:r w:rsidR="00A80712">
        <w:t xml:space="preserve">statutory requirements that affect </w:t>
      </w:r>
      <w:r w:rsidR="002F5768">
        <w:t>the final printing deadline of September 2 and</w:t>
      </w:r>
      <w:r w:rsidR="00666A3D">
        <w:t xml:space="preserve"> explained that adding a ballot measure to the general election would interfere with the steps required t</w:t>
      </w:r>
      <w:r w:rsidR="008E4D93">
        <w:t xml:space="preserve">o </w:t>
      </w:r>
      <w:r w:rsidR="00666A3D">
        <w:t>prepar</w:t>
      </w:r>
      <w:r w:rsidR="008E4D93">
        <w:t>e</w:t>
      </w:r>
      <w:r w:rsidR="00666A3D">
        <w:t xml:space="preserve"> and print the ballot, including translat</w:t>
      </w:r>
      <w:r w:rsidR="008E4D93">
        <w:t xml:space="preserve">ing </w:t>
      </w:r>
      <w:r w:rsidR="00666A3D">
        <w:t xml:space="preserve">the measure into nine or more languages, </w:t>
      </w:r>
      <w:r w:rsidR="008E4D93">
        <w:t xml:space="preserve">creating </w:t>
      </w:r>
      <w:r w:rsidR="00666A3D">
        <w:lastRenderedPageBreak/>
        <w:t xml:space="preserve">multiple accessible formats, and preparing the county’s voter information guide for all the applicable </w:t>
      </w:r>
      <w:r w:rsidR="008E4D93">
        <w:t xml:space="preserve">versions. </w:t>
      </w:r>
    </w:p>
    <w:p w14:paraId="1E543FD5" w14:textId="6B591D4F" w:rsidR="00AB4897" w:rsidRDefault="00D23DB7" w:rsidP="007864E4">
      <w:pPr>
        <w:ind w:firstLine="0"/>
      </w:pPr>
      <w:r>
        <w:tab/>
      </w:r>
      <w:r w:rsidR="002F5768">
        <w:t>The county emphasized that it</w:t>
      </w:r>
      <w:r w:rsidR="007864E4">
        <w:t xml:space="preserve"> did</w:t>
      </w:r>
      <w:r w:rsidR="002F5768">
        <w:t xml:space="preserve"> “</w:t>
      </w:r>
      <w:r w:rsidR="002F5768" w:rsidRPr="002F5768">
        <w:t>not oppose this portion of the relief sought lightly</w:t>
      </w:r>
      <w:r w:rsidR="002F5768">
        <w:t xml:space="preserve">” but noted it had been in “regular contact” with </w:t>
      </w:r>
      <w:proofErr w:type="spellStart"/>
      <w:r w:rsidR="002F5768">
        <w:t>Loeber</w:t>
      </w:r>
      <w:proofErr w:type="spellEnd"/>
      <w:r w:rsidR="002F5768">
        <w:t xml:space="preserve"> and had explained the urgency of resolving the matter before the applicable deadlines. </w:t>
      </w:r>
      <w:r w:rsidR="00C81B59">
        <w:t xml:space="preserve"> Nevertheless, </w:t>
      </w:r>
      <w:proofErr w:type="spellStart"/>
      <w:r w:rsidR="00C81B59">
        <w:t>Loeber</w:t>
      </w:r>
      <w:proofErr w:type="spellEnd"/>
      <w:r w:rsidR="00C81B59">
        <w:t xml:space="preserve"> did not file the petition until after the August 12 deadline for the district to file a resolution calling for the measure to be placed on the November general election ballot</w:t>
      </w:r>
      <w:r w:rsidR="00305F32">
        <w:t>.  Therefore</w:t>
      </w:r>
      <w:r w:rsidR="00C81B59">
        <w:t xml:space="preserve">, the county opposed any relief that would result in placing the initiative measure on the </w:t>
      </w:r>
      <w:r w:rsidR="00E8564C">
        <w:t xml:space="preserve">November </w:t>
      </w:r>
      <w:r w:rsidR="00C81B59">
        <w:t>ballot.</w:t>
      </w:r>
      <w:r w:rsidR="005D3917">
        <w:t xml:space="preserve"> </w:t>
      </w:r>
    </w:p>
    <w:p w14:paraId="204E5DD3" w14:textId="40537977" w:rsidR="007864E4" w:rsidRDefault="00D23DB7" w:rsidP="007864E4">
      <w:pPr>
        <w:ind w:firstLine="0"/>
      </w:pPr>
      <w:r>
        <w:tab/>
        <w:t xml:space="preserve">At the hearing, the trial court stated that due to the delay in filing the petition and the cutoff filing date for both Santa Clara and Santa Cruz counties, the court would not order the school district to put the initiative on the November general election ballot and requested supplemental briefs on whether </w:t>
      </w:r>
      <w:proofErr w:type="spellStart"/>
      <w:r>
        <w:t>Loeber</w:t>
      </w:r>
      <w:proofErr w:type="spellEnd"/>
      <w:r>
        <w:t xml:space="preserve"> had standing to bring the writ. </w:t>
      </w:r>
    </w:p>
    <w:p w14:paraId="6184DC95" w14:textId="0A3E3BE8" w:rsidR="0032460C" w:rsidRDefault="00D23DB7" w:rsidP="0032460C">
      <w:pPr>
        <w:pStyle w:val="Heading2"/>
      </w:pPr>
      <w:r>
        <w:t xml:space="preserve">C. </w:t>
      </w:r>
      <w:r w:rsidR="007864E4">
        <w:t>Dismissal for Lack of Standing</w:t>
      </w:r>
    </w:p>
    <w:p w14:paraId="256C2C70" w14:textId="5DF472E1" w:rsidR="002A1DDC" w:rsidRDefault="00D23DB7" w:rsidP="00FF0BF8">
      <w:pPr>
        <w:ind w:firstLine="0"/>
      </w:pPr>
      <w:r>
        <w:tab/>
      </w:r>
      <w:r w:rsidR="00E8228D">
        <w:t xml:space="preserve">The parties and counsel for the respective counties appeared at a hearing on October 3 </w:t>
      </w:r>
      <w:r w:rsidR="000A2A3F">
        <w:t xml:space="preserve">in which </w:t>
      </w:r>
      <w:r w:rsidR="00E8228D">
        <w:t xml:space="preserve">the trial court announced its tentative decision to dismiss the petition for lack of standing.  </w:t>
      </w:r>
      <w:r w:rsidR="00B24620">
        <w:t xml:space="preserve">In a written </w:t>
      </w:r>
      <w:r w:rsidR="00AC50E3">
        <w:t xml:space="preserve">order dismissing the </w:t>
      </w:r>
      <w:r w:rsidR="001862EC">
        <w:t xml:space="preserve">petition for </w:t>
      </w:r>
      <w:r w:rsidR="00AC50E3">
        <w:t>writ of mandate (order)</w:t>
      </w:r>
      <w:r w:rsidR="00B24620">
        <w:t xml:space="preserve">, the court adopted its tentative ruling and explained its reasoning. </w:t>
      </w:r>
    </w:p>
    <w:p w14:paraId="20D569B7" w14:textId="66829815" w:rsidR="007864E4" w:rsidRDefault="00D23DB7" w:rsidP="00FF0BF8">
      <w:pPr>
        <w:ind w:firstLine="0"/>
      </w:pPr>
      <w:r>
        <w:tab/>
      </w:r>
      <w:r w:rsidR="00235C54">
        <w:t xml:space="preserve">The </w:t>
      </w:r>
      <w:r>
        <w:t>trial court</w:t>
      </w:r>
      <w:r w:rsidR="00235C54">
        <w:t xml:space="preserve"> </w:t>
      </w:r>
      <w:r w:rsidR="008D6B5F">
        <w:t xml:space="preserve">rejected </w:t>
      </w:r>
      <w:proofErr w:type="spellStart"/>
      <w:r w:rsidR="008D6B5F">
        <w:t>Loeber’s</w:t>
      </w:r>
      <w:proofErr w:type="spellEnd"/>
      <w:r w:rsidR="008D6B5F">
        <w:t xml:space="preserve"> standing arguments and concluded he had not shown a “direct and substantial” interest in the asserted right</w:t>
      </w:r>
      <w:r w:rsidR="0025571C">
        <w:t>.</w:t>
      </w:r>
      <w:r w:rsidR="00FF0BF8">
        <w:t xml:space="preserve"> </w:t>
      </w:r>
      <w:r w:rsidR="0025571C">
        <w:t xml:space="preserve"> </w:t>
      </w:r>
      <w:r w:rsidR="00FF0BF8">
        <w:t>(</w:t>
      </w:r>
      <w:r w:rsidR="00FF0BF8" w:rsidRPr="00FF0BF8">
        <w:rPr>
          <w:i/>
          <w:iCs/>
        </w:rPr>
        <w:t>Save the Plastic Bag Coalition v. City of Manhattan Beach</w:t>
      </w:r>
      <w:r w:rsidR="00FF0BF8">
        <w:t xml:space="preserve"> (2011) 52 Cal.4th 155, 165 (</w:t>
      </w:r>
      <w:r w:rsidR="00FF0BF8">
        <w:rPr>
          <w:i/>
          <w:iCs/>
        </w:rPr>
        <w:t>Save the Plastic Bag</w:t>
      </w:r>
      <w:r w:rsidR="00FF0BF8">
        <w:t>)</w:t>
      </w:r>
      <w:r w:rsidR="0025571C">
        <w:t>.</w:t>
      </w:r>
      <w:r w:rsidR="00FF0BF8">
        <w:t xml:space="preserve">) </w:t>
      </w:r>
      <w:r w:rsidR="0025571C">
        <w:t xml:space="preserve">  The court reasoned that </w:t>
      </w:r>
      <w:proofErr w:type="spellStart"/>
      <w:r w:rsidR="0025571C">
        <w:t>Loeber</w:t>
      </w:r>
      <w:proofErr w:type="spellEnd"/>
      <w:r w:rsidR="0025571C">
        <w:t xml:space="preserve"> did not own property or live within the district’s boundaries, failed to provide any persuasive authority that the trust could qualify for an exe</w:t>
      </w:r>
      <w:r w:rsidR="00482C9B">
        <w:t>m</w:t>
      </w:r>
      <w:r w:rsidR="0025571C">
        <w:t>ption, and</w:t>
      </w:r>
      <w:r w:rsidR="00512085">
        <w:t xml:space="preserve"> presented insufficient evidence </w:t>
      </w:r>
      <w:r w:rsidR="0025571C">
        <w:t xml:space="preserve">regarding the trust or </w:t>
      </w:r>
      <w:proofErr w:type="spellStart"/>
      <w:r w:rsidR="0025571C">
        <w:t>Loeber’s</w:t>
      </w:r>
      <w:proofErr w:type="spellEnd"/>
      <w:r w:rsidR="0025571C">
        <w:t xml:space="preserve"> purported obligation to pay </w:t>
      </w:r>
      <w:r w:rsidR="00512085">
        <w:t>its</w:t>
      </w:r>
      <w:r w:rsidR="0025571C">
        <w:t xml:space="preserve"> property taxes.  The court </w:t>
      </w:r>
      <w:r>
        <w:t xml:space="preserve">further held that </w:t>
      </w:r>
      <w:proofErr w:type="spellStart"/>
      <w:r>
        <w:t>Loeber’s</w:t>
      </w:r>
      <w:proofErr w:type="spellEnd"/>
      <w:r>
        <w:t xml:space="preserve"> labor to qualify the initiative </w:t>
      </w:r>
      <w:r w:rsidR="0013214B">
        <w:t>was not a sufficient basis to establish standing, nor did</w:t>
      </w:r>
      <w:r>
        <w:t xml:space="preserve"> his status as the </w:t>
      </w:r>
      <w:r>
        <w:lastRenderedPageBreak/>
        <w:t xml:space="preserve">individual authorized </w:t>
      </w:r>
      <w:r w:rsidR="0013214B">
        <w:t xml:space="preserve">in an </w:t>
      </w:r>
      <w:proofErr w:type="gramStart"/>
      <w:r w:rsidR="0013214B">
        <w:t>“</w:t>
      </w:r>
      <w:r w:rsidR="00190D56">
        <w:t xml:space="preserve"> ‘</w:t>
      </w:r>
      <w:proofErr w:type="gramEnd"/>
      <w:r w:rsidR="0013214B">
        <w:t>official capacity</w:t>
      </w:r>
      <w:r w:rsidR="00190D56">
        <w:t xml:space="preserve">’ </w:t>
      </w:r>
      <w:r w:rsidR="0013214B">
        <w:t xml:space="preserve">” </w:t>
      </w:r>
      <w:r>
        <w:t>by the initiative</w:t>
      </w:r>
      <w:r w:rsidR="0013214B">
        <w:t>’s</w:t>
      </w:r>
      <w:r>
        <w:t xml:space="preserve"> proponent </w:t>
      </w:r>
      <w:r w:rsidR="0013214B">
        <w:t xml:space="preserve">to pursue placement on the ballot create a beneficial interest to establish standing to bring the writ. </w:t>
      </w:r>
    </w:p>
    <w:p w14:paraId="6A1F7A77" w14:textId="57941942" w:rsidR="00512085" w:rsidRDefault="00D23DB7" w:rsidP="00D1470A">
      <w:pPr>
        <w:ind w:firstLine="0"/>
      </w:pPr>
      <w:r>
        <w:tab/>
        <w:t xml:space="preserve">The trial court </w:t>
      </w:r>
      <w:r w:rsidR="00E22B0C">
        <w:t>also rejected</w:t>
      </w:r>
      <w:r w:rsidR="00583C6E">
        <w:t xml:space="preserve"> </w:t>
      </w:r>
      <w:r w:rsidR="00E22B0C">
        <w:t>application of the</w:t>
      </w:r>
      <w:r w:rsidR="00583C6E">
        <w:t xml:space="preserve"> public interest exception.  The court agreed with </w:t>
      </w:r>
      <w:proofErr w:type="spellStart"/>
      <w:r w:rsidR="00583C6E">
        <w:t>Loeber</w:t>
      </w:r>
      <w:proofErr w:type="spellEnd"/>
      <w:r w:rsidR="00583C6E">
        <w:t xml:space="preserve"> that </w:t>
      </w:r>
      <w:r w:rsidR="00E22B0C">
        <w:t xml:space="preserve">a public interest exists in ensuring that ballot measures can be voted on by the electorate.  However, the court questioned the public interest in this case.  It noted there was no showing of interest or involvement by the public </w:t>
      </w:r>
      <w:r w:rsidR="00D1470A">
        <w:t xml:space="preserve">in the action on the initiative, including by its proponent, nor had the court received any information regarding others (apart from </w:t>
      </w:r>
      <w:proofErr w:type="spellStart"/>
      <w:r w:rsidR="00D1470A">
        <w:t>Loeber</w:t>
      </w:r>
      <w:proofErr w:type="spellEnd"/>
      <w:r w:rsidR="00D1470A">
        <w:t xml:space="preserve">) who would benefit from </w:t>
      </w:r>
      <w:r w:rsidR="00AC125A">
        <w:t xml:space="preserve">the </w:t>
      </w:r>
      <w:r w:rsidR="00D1470A">
        <w:t xml:space="preserve">initiative.  The court thus concluded that the public need “is not weighty.”  </w:t>
      </w:r>
    </w:p>
    <w:p w14:paraId="30B36D45" w14:textId="13E91BDD" w:rsidR="00C52038" w:rsidRDefault="00D23DB7" w:rsidP="00C52038">
      <w:r>
        <w:t xml:space="preserve">In rejecting </w:t>
      </w:r>
      <w:proofErr w:type="spellStart"/>
      <w:r>
        <w:t>Loeber’s</w:t>
      </w:r>
      <w:proofErr w:type="spellEnd"/>
      <w:r>
        <w:t xml:space="preserve"> public interest exception arguments, t</w:t>
      </w:r>
      <w:r w:rsidR="00D1470A">
        <w:t xml:space="preserve">he court also cited the impossibility of meeting the statutory timelines for placing an initiative on the ballot and reasoned that the “delay in bringing this action means that there is no remaining public duty for the </w:t>
      </w:r>
      <w:r w:rsidR="00846C7C">
        <w:t>[s]</w:t>
      </w:r>
      <w:proofErr w:type="spellStart"/>
      <w:r w:rsidR="00846C7C">
        <w:t>chool</w:t>
      </w:r>
      <w:proofErr w:type="spellEnd"/>
      <w:r w:rsidR="00846C7C">
        <w:t xml:space="preserve"> </w:t>
      </w:r>
      <w:r w:rsidR="00D1470A">
        <w:t>[d]</w:t>
      </w:r>
      <w:proofErr w:type="spellStart"/>
      <w:r w:rsidR="00D1470A">
        <w:t>istrict</w:t>
      </w:r>
      <w:proofErr w:type="spellEnd"/>
      <w:r w:rsidR="00D1470A">
        <w:t xml:space="preserve"> to order the initiative to be placed on the ballot, and to do so would be contrary to the language of Elections Code section 1405.”  </w:t>
      </w:r>
      <w:r w:rsidR="00C83A48">
        <w:t>It found there were “</w:t>
      </w:r>
      <w:r w:rsidR="0070196B">
        <w:t> ‘</w:t>
      </w:r>
      <w:r w:rsidR="00C83A48">
        <w:t>competing considerations of a more urgent nature</w:t>
      </w:r>
      <w:r w:rsidR="0070196B">
        <w:t>’ </w:t>
      </w:r>
      <w:r w:rsidR="00C83A48">
        <w:t xml:space="preserve">” </w:t>
      </w:r>
      <w:r w:rsidR="0070196B">
        <w:t xml:space="preserve">outweighing the public interest </w:t>
      </w:r>
      <w:r w:rsidR="0024618C">
        <w:t xml:space="preserve">in placing the initiative on the ballot, including a “significant dispute” regarding application of the initiative process to school districts, the administrative burden to the county, the significant cost to the district and impact on its students, and the artificial exigency of the petition, considering </w:t>
      </w:r>
      <w:proofErr w:type="spellStart"/>
      <w:r w:rsidR="0024618C">
        <w:t>Loeber</w:t>
      </w:r>
      <w:proofErr w:type="spellEnd"/>
      <w:r w:rsidR="0024618C">
        <w:t xml:space="preserve"> could have filed it </w:t>
      </w:r>
      <w:r>
        <w:t>anytime in the past year</w:t>
      </w:r>
      <w:r w:rsidR="0024618C">
        <w:t xml:space="preserve">.  </w:t>
      </w:r>
      <w:r w:rsidR="004317B1">
        <w:t xml:space="preserve">The trial court dismissed the petition for lack of standing.  </w:t>
      </w:r>
    </w:p>
    <w:p w14:paraId="24571015" w14:textId="6AC013B9" w:rsidR="004317B1" w:rsidRPr="00297E84" w:rsidRDefault="00D23DB7" w:rsidP="000B130E">
      <w:proofErr w:type="spellStart"/>
      <w:r>
        <w:t>Loeber</w:t>
      </w:r>
      <w:proofErr w:type="spellEnd"/>
      <w:r>
        <w:t xml:space="preserve"> appeal</w:t>
      </w:r>
      <w:r w:rsidR="00E22564">
        <w:t xml:space="preserve">s </w:t>
      </w:r>
      <w:r>
        <w:t>from the order of dismissal.  (Code Civ. Proc., § 904.1, subd. (a)(1).)</w:t>
      </w:r>
      <w:r w:rsidR="00F12C8C">
        <w:t xml:space="preserve">  </w:t>
      </w:r>
      <w:proofErr w:type="spellStart"/>
      <w:r w:rsidR="00F12C8C">
        <w:t>Loeber</w:t>
      </w:r>
      <w:proofErr w:type="spellEnd"/>
      <w:r w:rsidR="00F12C8C">
        <w:t xml:space="preserve"> </w:t>
      </w:r>
      <w:r w:rsidR="00F21822">
        <w:t>elected to proceed by</w:t>
      </w:r>
      <w:r w:rsidR="00F12C8C">
        <w:t xml:space="preserve"> </w:t>
      </w:r>
      <w:r w:rsidR="00512085">
        <w:t xml:space="preserve">settled </w:t>
      </w:r>
      <w:r w:rsidR="00F12C8C">
        <w:t xml:space="preserve">statement on appeal, </w:t>
      </w:r>
      <w:r w:rsidR="00F21822">
        <w:t>and on June 8, 2023, the trial court filed a modified settled statement</w:t>
      </w:r>
      <w:r w:rsidR="00F12C8C">
        <w:t>.  (Cal. Rules of Court, rule 8.137(f)</w:t>
      </w:r>
      <w:r w:rsidR="00F21822">
        <w:t>(3)(b)(</w:t>
      </w:r>
      <w:proofErr w:type="spellStart"/>
      <w:r w:rsidR="00F21822">
        <w:t>i</w:t>
      </w:r>
      <w:proofErr w:type="spellEnd"/>
      <w:r w:rsidR="00F21822">
        <w:t>).)</w:t>
      </w:r>
    </w:p>
    <w:p w14:paraId="7FA084D9" w14:textId="77777777" w:rsidR="00004477" w:rsidRDefault="00D23DB7" w:rsidP="00752E03">
      <w:pPr>
        <w:pStyle w:val="Heading1"/>
      </w:pPr>
      <w:r>
        <w:t>ii.  discussion</w:t>
      </w:r>
    </w:p>
    <w:p w14:paraId="22946979" w14:textId="6A9269A1" w:rsidR="00397B17" w:rsidRDefault="00D23DB7" w:rsidP="004517FA">
      <w:proofErr w:type="spellStart"/>
      <w:r>
        <w:t>Loeber</w:t>
      </w:r>
      <w:proofErr w:type="spellEnd"/>
      <w:r w:rsidR="00AF7EC3">
        <w:t xml:space="preserve"> </w:t>
      </w:r>
      <w:r w:rsidR="0008474E">
        <w:t>argues the trial court erred in deciding he lacks standing</w:t>
      </w:r>
      <w:r>
        <w:t xml:space="preserve">.  </w:t>
      </w:r>
      <w:r w:rsidR="0008474E">
        <w:t xml:space="preserve">He </w:t>
      </w:r>
      <w:r w:rsidR="0016357A">
        <w:t xml:space="preserve">asserts </w:t>
      </w:r>
      <w:r w:rsidR="00D812FD">
        <w:t xml:space="preserve">both </w:t>
      </w:r>
      <w:r w:rsidR="00207F44">
        <w:t>private standing based on his</w:t>
      </w:r>
      <w:r w:rsidR="0016357A">
        <w:t xml:space="preserve"> “personal equitable beneficial interest” in the writ as the </w:t>
      </w:r>
      <w:r w:rsidR="0016357A">
        <w:lastRenderedPageBreak/>
        <w:t xml:space="preserve">“drafter, sponsor and prime executive in the initiative campaign” </w:t>
      </w:r>
      <w:r w:rsidR="0008474E">
        <w:t>and</w:t>
      </w:r>
      <w:r w:rsidR="0016357A">
        <w:t xml:space="preserve"> public interest standing to enforce his and others’ constitutional right to the initiative process</w:t>
      </w:r>
      <w:r w:rsidR="0008474E">
        <w:t xml:space="preserve">. </w:t>
      </w:r>
      <w:r w:rsidR="00AD68C1">
        <w:t xml:space="preserve"> </w:t>
      </w:r>
      <w:proofErr w:type="spellStart"/>
      <w:r w:rsidR="0008474E">
        <w:t>Loeber</w:t>
      </w:r>
      <w:proofErr w:type="spellEnd"/>
      <w:r w:rsidR="0008474E">
        <w:t xml:space="preserve"> </w:t>
      </w:r>
      <w:r w:rsidR="00F95245">
        <w:t>maintains</w:t>
      </w:r>
      <w:r w:rsidR="00DD40A9">
        <w:t xml:space="preserve"> th</w:t>
      </w:r>
      <w:r w:rsidR="00AF7EC3">
        <w:t>at</w:t>
      </w:r>
      <w:r w:rsidR="0008474E">
        <w:t>,</w:t>
      </w:r>
      <w:r w:rsidR="00AF7EC3">
        <w:t xml:space="preserve"> to evaluate public interest standing, this </w:t>
      </w:r>
      <w:r w:rsidR="00DD40A9">
        <w:t xml:space="preserve">court </w:t>
      </w:r>
      <w:r w:rsidR="00AF7EC3">
        <w:t>must</w:t>
      </w:r>
      <w:r w:rsidR="00DD40A9">
        <w:t xml:space="preserve"> </w:t>
      </w:r>
      <w:r w:rsidR="00AF7EC3">
        <w:t xml:space="preserve">first </w:t>
      </w:r>
      <w:r w:rsidR="00F95245">
        <w:t>ascertain</w:t>
      </w:r>
      <w:r w:rsidR="00AF7EC3">
        <w:t xml:space="preserve"> the district</w:t>
      </w:r>
      <w:r w:rsidR="00F95245">
        <w:t>’s</w:t>
      </w:r>
      <w:r w:rsidR="00AF7EC3">
        <w:t xml:space="preserve"> duty</w:t>
      </w:r>
      <w:r w:rsidR="0006249E" w:rsidRPr="0006249E">
        <w:t xml:space="preserve"> </w:t>
      </w:r>
      <w:r w:rsidR="0006249E">
        <w:t xml:space="preserve">under </w:t>
      </w:r>
      <w:r w:rsidR="006250FE">
        <w:t xml:space="preserve">article </w:t>
      </w:r>
      <w:r w:rsidR="0006249E">
        <w:t>XIII C, section 3 (section 3)</w:t>
      </w:r>
      <w:r w:rsidR="00AF7EC3">
        <w:t xml:space="preserve"> </w:t>
      </w:r>
      <w:r w:rsidR="00F95245">
        <w:t>to submit the initiative to the voters.</w:t>
      </w:r>
      <w:r w:rsidR="00F95245" w:rsidRPr="00F95245">
        <w:t xml:space="preserve"> </w:t>
      </w:r>
      <w:r w:rsidR="00F95245">
        <w:t xml:space="preserve"> </w:t>
      </w:r>
      <w:proofErr w:type="spellStart"/>
      <w:r w:rsidR="00F95245">
        <w:t>Loeber</w:t>
      </w:r>
      <w:proofErr w:type="spellEnd"/>
      <w:r w:rsidR="00F95245">
        <w:t xml:space="preserve"> contends that section 3 expressly applies to school districts and provides clear constitutional authority for the initiative</w:t>
      </w:r>
      <w:r w:rsidR="00FE6DA8">
        <w:t>.</w:t>
      </w:r>
      <w:r w:rsidR="00F95245">
        <w:t xml:space="preserve"> </w:t>
      </w:r>
      <w:r w:rsidR="00FE6DA8">
        <w:t xml:space="preserve"> </w:t>
      </w:r>
    </w:p>
    <w:p w14:paraId="6BE28171" w14:textId="07C76805" w:rsidR="00D82C2E" w:rsidRDefault="00D23DB7" w:rsidP="004517FA">
      <w:r>
        <w:t xml:space="preserve">The district disputes </w:t>
      </w:r>
      <w:proofErr w:type="spellStart"/>
      <w:r>
        <w:t>Loeber’s</w:t>
      </w:r>
      <w:proofErr w:type="spellEnd"/>
      <w:r>
        <w:t xml:space="preserve"> assertion of standing.  It maintains that even if </w:t>
      </w:r>
      <w:proofErr w:type="spellStart"/>
      <w:r w:rsidR="004517FA">
        <w:t>Loeber</w:t>
      </w:r>
      <w:proofErr w:type="spellEnd"/>
      <w:r w:rsidR="004517FA">
        <w:t xml:space="preserve"> has standing to pursue the petition, the initiative process is inapplicable to the district and, in any event, the initiative does not come within the scope of initiative power described in section 3.</w:t>
      </w:r>
    </w:p>
    <w:p w14:paraId="6BE5C1A3" w14:textId="09B20CC4" w:rsidR="001F2047" w:rsidRDefault="00D23DB7" w:rsidP="0052626C">
      <w:pPr>
        <w:pStyle w:val="Heading2"/>
        <w:numPr>
          <w:ilvl w:val="0"/>
          <w:numId w:val="2"/>
        </w:numPr>
      </w:pPr>
      <w:r>
        <w:t>Standing Principles Applicable to Petitions for Writ of Mandate</w:t>
      </w:r>
    </w:p>
    <w:p w14:paraId="72FAB4C2" w14:textId="7219998F" w:rsidR="00E01D81" w:rsidRDefault="00D23DB7" w:rsidP="003E6B48">
      <w:pPr>
        <w:ind w:firstLine="0"/>
      </w:pPr>
      <w:r>
        <w:tab/>
      </w:r>
      <w:r w:rsidR="00424E0B">
        <w:t xml:space="preserve">“A writ of mandate under </w:t>
      </w:r>
      <w:r w:rsidR="00523098">
        <w:t>[Code Civ</w:t>
      </w:r>
      <w:r w:rsidR="00DE551A">
        <w:t>.</w:t>
      </w:r>
      <w:r w:rsidR="00523098">
        <w:t xml:space="preserve"> Proc</w:t>
      </w:r>
      <w:r w:rsidR="00DE551A">
        <w:t>.</w:t>
      </w:r>
      <w:r w:rsidR="00523098">
        <w:t xml:space="preserve">] </w:t>
      </w:r>
      <w:r w:rsidR="00424E0B">
        <w:t>section 1085 is a vehicle to compel a public entity to perform a legal duty, typically one that is ministerial.”  (</w:t>
      </w:r>
      <w:r w:rsidR="00424E0B" w:rsidRPr="00424E0B">
        <w:rPr>
          <w:i/>
          <w:iCs/>
        </w:rPr>
        <w:t>Citizens for Amending Proposition L v. City of Pomona</w:t>
      </w:r>
      <w:r w:rsidR="00424E0B">
        <w:t xml:space="preserve"> (2018) 28 Cal.App.5th 1159, 1173 (</w:t>
      </w:r>
      <w:r w:rsidR="00424E0B">
        <w:rPr>
          <w:i/>
          <w:iCs/>
        </w:rPr>
        <w:t>City of Pomona</w:t>
      </w:r>
      <w:r w:rsidR="00424E0B">
        <w:t xml:space="preserve">).)  </w:t>
      </w:r>
      <w:r w:rsidR="00F03FC5">
        <w:t>It “is the traditional remedy for the failure of a public official to perform a legal duty.”  (</w:t>
      </w:r>
      <w:r w:rsidR="00F03FC5" w:rsidRPr="00F03FC5">
        <w:rPr>
          <w:i/>
          <w:iCs/>
        </w:rPr>
        <w:t>Common Cause v. Board of Supervisors</w:t>
      </w:r>
      <w:r w:rsidR="00F03FC5">
        <w:t xml:space="preserve"> (1989) 49 Cal.3d 432, 442 (</w:t>
      </w:r>
      <w:r w:rsidR="00F03FC5">
        <w:rPr>
          <w:i/>
          <w:iCs/>
        </w:rPr>
        <w:t>Common Cause</w:t>
      </w:r>
      <w:r w:rsidR="00F03FC5">
        <w:t xml:space="preserve">).) </w:t>
      </w:r>
      <w:bookmarkStart w:id="4" w:name="_Hlk164206033"/>
      <w:r w:rsidR="00C707F1">
        <w:t xml:space="preserve"> </w:t>
      </w:r>
      <w:r>
        <w:t>To obtain relief</w:t>
      </w:r>
      <w:r w:rsidR="00523098">
        <w:t xml:space="preserve"> under traditional mandamus, “</w:t>
      </w:r>
      <w:r>
        <w:t xml:space="preserve">a petitioner must demonstrate (1) no ‘plain, speedy, and adequate’ alternative remedy exists (Code Civ. Proc., § 1086); (2) </w:t>
      </w:r>
      <w:proofErr w:type="gramStart"/>
      <w:r>
        <w:t>‘</w:t>
      </w:r>
      <w:r w:rsidR="00937DEE">
        <w:t xml:space="preserve"> “</w:t>
      </w:r>
      <w:proofErr w:type="gramEnd"/>
      <w:r>
        <w:t>a clear, present, . . . ministerial duty on the part of the respondent</w:t>
      </w:r>
      <w:r w:rsidR="00937DEE">
        <w:t xml:space="preserve">” </w:t>
      </w:r>
      <w:r>
        <w:t>’; and (3) a correlative ‘</w:t>
      </w:r>
      <w:r w:rsidR="00AB1DE7">
        <w:t xml:space="preserve"> “</w:t>
      </w:r>
      <w:r>
        <w:t>clear, present and beneficial right in the petitioner to the performance of that duty.</w:t>
      </w:r>
      <w:r w:rsidR="00B27DF1">
        <w:t xml:space="preserve">” </w:t>
      </w:r>
      <w:r>
        <w:t>’ ”  (</w:t>
      </w:r>
      <w:r w:rsidRPr="009B2C14">
        <w:rPr>
          <w:i/>
          <w:iCs/>
        </w:rPr>
        <w:t xml:space="preserve">People v. </w:t>
      </w:r>
      <w:proofErr w:type="spellStart"/>
      <w:r w:rsidRPr="009B2C14">
        <w:rPr>
          <w:i/>
          <w:iCs/>
        </w:rPr>
        <w:t>Picklesimer</w:t>
      </w:r>
      <w:proofErr w:type="spellEnd"/>
      <w:r>
        <w:t xml:space="preserve"> (2010) 48 Cal.4th 330, 34</w:t>
      </w:r>
      <w:r w:rsidR="00EF5670">
        <w:t>0</w:t>
      </w:r>
      <w:r w:rsidR="00E36B9F">
        <w:t>; see Code Civ. Proc., §§ 1085–1086</w:t>
      </w:r>
      <w:r>
        <w:t>.)</w:t>
      </w:r>
    </w:p>
    <w:bookmarkEnd w:id="4"/>
    <w:p w14:paraId="46797F2E" w14:textId="2E0E9A5F" w:rsidR="007153B9" w:rsidRDefault="00D23DB7" w:rsidP="009B2C14">
      <w:pPr>
        <w:ind w:firstLine="0"/>
      </w:pPr>
      <w:r>
        <w:tab/>
      </w:r>
      <w:r w:rsidR="00380275">
        <w:t xml:space="preserve">A ministerial duty </w:t>
      </w:r>
      <w:proofErr w:type="gramStart"/>
      <w:r w:rsidR="00380275">
        <w:t>“ ‘</w:t>
      </w:r>
      <w:proofErr w:type="gramEnd"/>
      <w:r w:rsidR="00380275">
        <w:t>is an act that a public officer is required to perform in a prescribed manner in obedience to the mandate of legal authority and without regard to his own judgment or opinion concerning such act</w:t>
      </w:r>
      <w:r>
        <w:t>’</w:t>
      </w:r>
      <w:r w:rsidR="00380275">
        <w:t>s propriety or impropriety, when a given state of facts exists.’ ”  (</w:t>
      </w:r>
      <w:r w:rsidR="00380275" w:rsidRPr="00380275">
        <w:rPr>
          <w:i/>
          <w:iCs/>
        </w:rPr>
        <w:t>Kavanaugh v. West Sonoma County Union High School Dist.</w:t>
      </w:r>
      <w:r w:rsidR="00380275">
        <w:t xml:space="preserve"> (2003) 29 Cal.4th 911, 916.)  </w:t>
      </w:r>
      <w:r w:rsidR="003E6B48">
        <w:t xml:space="preserve">The correlative requirement that the party seeking writ </w:t>
      </w:r>
      <w:r w:rsidR="003E6B48">
        <w:lastRenderedPageBreak/>
        <w:t xml:space="preserve">relief </w:t>
      </w:r>
      <w:r>
        <w:t xml:space="preserve">must </w:t>
      </w:r>
      <w:r w:rsidR="003E6B48">
        <w:t>be “beneficially interested”</w:t>
      </w:r>
      <w:r w:rsidR="003E6B48" w:rsidRPr="003E6B48">
        <w:t xml:space="preserve"> </w:t>
      </w:r>
      <w:r w:rsidR="003E6B48">
        <w:t>(Code Civ. Proc., § 1086) “establishes a standing requirement for writs of mandate.”  (</w:t>
      </w:r>
      <w:r w:rsidR="003E6B48" w:rsidRPr="003E6B48">
        <w:rPr>
          <w:i/>
          <w:iCs/>
        </w:rPr>
        <w:t>Brown v. Crandall</w:t>
      </w:r>
      <w:r w:rsidR="003E6B48">
        <w:t xml:space="preserve"> (2011) 198 Cal.App.4th 1, 8; see </w:t>
      </w:r>
      <w:r w:rsidR="00214C5C" w:rsidRPr="003E29EB">
        <w:rPr>
          <w:i/>
          <w:iCs/>
        </w:rPr>
        <w:t xml:space="preserve">The </w:t>
      </w:r>
      <w:r w:rsidR="003E6B48" w:rsidRPr="003E6B48">
        <w:rPr>
          <w:i/>
          <w:iCs/>
        </w:rPr>
        <w:t>Ass</w:t>
      </w:r>
      <w:r w:rsidR="00214C5C">
        <w:rPr>
          <w:i/>
          <w:iCs/>
        </w:rPr>
        <w:t>n.</w:t>
      </w:r>
      <w:r w:rsidR="003E6B48" w:rsidRPr="003E6B48">
        <w:rPr>
          <w:i/>
          <w:iCs/>
        </w:rPr>
        <w:t xml:space="preserve"> of Deputy Dist</w:t>
      </w:r>
      <w:r w:rsidR="00214C5C">
        <w:rPr>
          <w:i/>
          <w:iCs/>
        </w:rPr>
        <w:t>.</w:t>
      </w:r>
      <w:r w:rsidR="003E6B48" w:rsidRPr="003E6B48">
        <w:rPr>
          <w:i/>
          <w:iCs/>
        </w:rPr>
        <w:t xml:space="preserve"> Attorneys </w:t>
      </w:r>
      <w:r w:rsidR="00923E40">
        <w:rPr>
          <w:i/>
          <w:iCs/>
        </w:rPr>
        <w:t xml:space="preserve">etc. </w:t>
      </w:r>
      <w:r w:rsidR="003E6B48" w:rsidRPr="003E6B48">
        <w:rPr>
          <w:i/>
          <w:iCs/>
        </w:rPr>
        <w:t>v. Gasc</w:t>
      </w:r>
      <w:r w:rsidR="003E6B48">
        <w:rPr>
          <w:i/>
          <w:iCs/>
        </w:rPr>
        <w:t>ó</w:t>
      </w:r>
      <w:r w:rsidR="003E6B48" w:rsidRPr="003E6B48">
        <w:rPr>
          <w:i/>
          <w:iCs/>
        </w:rPr>
        <w:t>n</w:t>
      </w:r>
      <w:r w:rsidR="003E6B48">
        <w:t xml:space="preserve"> (2022) 79 Cal.App.5th 503, 523, review granted Aug</w:t>
      </w:r>
      <w:r w:rsidR="003E6B48" w:rsidRPr="00E954CE">
        <w:t xml:space="preserve">. </w:t>
      </w:r>
      <w:r w:rsidR="003E6B48">
        <w:t>31</w:t>
      </w:r>
      <w:r w:rsidR="003E6B48" w:rsidRPr="00E954CE">
        <w:t>, 20</w:t>
      </w:r>
      <w:r w:rsidR="003E6B48">
        <w:t>22</w:t>
      </w:r>
      <w:r w:rsidR="003E6B48" w:rsidRPr="00E954CE">
        <w:t xml:space="preserve">, </w:t>
      </w:r>
      <w:r w:rsidR="003E6B48" w:rsidRPr="003E6B48">
        <w:t>S275478</w:t>
      </w:r>
      <w:r w:rsidR="0049315A">
        <w:t xml:space="preserve"> (</w:t>
      </w:r>
      <w:r w:rsidR="0049315A">
        <w:rPr>
          <w:i/>
          <w:iCs/>
        </w:rPr>
        <w:t>Gascón</w:t>
      </w:r>
      <w:r w:rsidR="0049315A">
        <w:t>)</w:t>
      </w:r>
      <w:r w:rsidR="003E6B48">
        <w:t xml:space="preserve">.) </w:t>
      </w:r>
      <w:r>
        <w:t xml:space="preserve"> </w:t>
      </w:r>
    </w:p>
    <w:p w14:paraId="064DE0FD" w14:textId="7757DE56" w:rsidR="0008474E" w:rsidRDefault="00D23DB7" w:rsidP="000E444A">
      <w:pPr>
        <w:ind w:firstLine="0"/>
      </w:pPr>
      <w:r>
        <w:tab/>
      </w:r>
      <w:proofErr w:type="gramStart"/>
      <w:r>
        <w:t>“</w:t>
      </w:r>
      <w:r w:rsidR="00FA1B6A">
        <w:t> ‘</w:t>
      </w:r>
      <w:proofErr w:type="gramEnd"/>
      <w:r>
        <w:t xml:space="preserve">The requirement that a petitioner be </w:t>
      </w:r>
      <w:r w:rsidR="00FA1B6A">
        <w:t>“</w:t>
      </w:r>
      <w:r>
        <w:t>beneficially interested</w:t>
      </w:r>
      <w:r w:rsidR="00FA1B6A">
        <w:t>”</w:t>
      </w:r>
      <w:r>
        <w:t xml:space="preserve"> has been generally interpreted to mean that one may obtain the writ only if the person has some special interest to be served or some particular right to be preserved or protected over and above the interest held in common with the public at large.</w:t>
      </w:r>
      <w:r w:rsidR="00A8690A">
        <w:t>’ ”</w:t>
      </w:r>
      <w:r>
        <w:t xml:space="preserve">  </w:t>
      </w:r>
      <w:r w:rsidR="00A8690A">
        <w:t>(</w:t>
      </w:r>
      <w:r w:rsidR="00A8690A" w:rsidRPr="00523098">
        <w:rPr>
          <w:i/>
          <w:iCs/>
        </w:rPr>
        <w:t>Save the Plastic Bag</w:t>
      </w:r>
      <w:r w:rsidR="00A8690A">
        <w:t>,</w:t>
      </w:r>
      <w:r w:rsidR="00A8690A" w:rsidRPr="00523098">
        <w:rPr>
          <w:i/>
          <w:iCs/>
        </w:rPr>
        <w:t xml:space="preserve"> </w:t>
      </w:r>
      <w:r w:rsidR="00A8690A" w:rsidRPr="00482C9B">
        <w:rPr>
          <w:i/>
          <w:iCs/>
        </w:rPr>
        <w:t>supra</w:t>
      </w:r>
      <w:r w:rsidR="00A8690A">
        <w:t xml:space="preserve">, 52 Cal.4th at p. 165.) </w:t>
      </w:r>
      <w:r>
        <w:t xml:space="preserve">  </w:t>
      </w:r>
      <w:r w:rsidR="00A8690A">
        <w:t>“</w:t>
      </w:r>
      <w:r>
        <w:t>The beneficial interest must be direct and substantial</w:t>
      </w:r>
      <w:r w:rsidR="009B5004">
        <w:t>.</w:t>
      </w:r>
      <w:r>
        <w:t>”  (</w:t>
      </w:r>
      <w:r w:rsidR="00A8690A">
        <w:rPr>
          <w:i/>
          <w:iCs/>
        </w:rPr>
        <w:t>Ibid</w:t>
      </w:r>
      <w:r>
        <w:t xml:space="preserve">.) </w:t>
      </w:r>
    </w:p>
    <w:p w14:paraId="2EEEA1FC" w14:textId="74FCF433" w:rsidR="000E444A" w:rsidRPr="000E444A" w:rsidRDefault="00D23DB7" w:rsidP="0006249E">
      <w:r>
        <w:t>The beneficial interest standard “is equivalent to the federal ‘injury in fact’ test, which requires a party to prove by a preponderance of the evidence that it has suffered ‘an invasion of a legally protected interest that is “(a) concrete and particularized, and (b) actual or imminent, not conjectural or hypothetical.</w:t>
      </w:r>
      <w:proofErr w:type="gramStart"/>
      <w:r>
        <w:t>” ’</w:t>
      </w:r>
      <w:proofErr w:type="gramEnd"/>
      <w:r>
        <w:t> ”  (</w:t>
      </w:r>
      <w:r w:rsidRPr="00E21F20">
        <w:rPr>
          <w:i/>
          <w:iCs/>
        </w:rPr>
        <w:t xml:space="preserve">Associated Builders </w:t>
      </w:r>
      <w:r w:rsidR="00F512C5">
        <w:rPr>
          <w:i/>
          <w:iCs/>
        </w:rPr>
        <w:t>&amp;</w:t>
      </w:r>
      <w:r w:rsidRPr="00E21F20">
        <w:rPr>
          <w:i/>
          <w:iCs/>
        </w:rPr>
        <w:t xml:space="preserve"> Contractors, Inc. v. San Francisco Airports Com.</w:t>
      </w:r>
      <w:r>
        <w:t xml:space="preserve"> (1999) 21 Cal.4th 352, 362 (</w:t>
      </w:r>
      <w:r w:rsidRPr="00E21F20">
        <w:rPr>
          <w:i/>
          <w:iCs/>
        </w:rPr>
        <w:t>Associated Builders</w:t>
      </w:r>
      <w:r>
        <w:t>).)  “Thus, ‘the writ must be denied if the petitioner will gain no direct benefit from its issuance and suffer no direct detriment if it is denied.</w:t>
      </w:r>
      <w:proofErr w:type="gramStart"/>
      <w:r>
        <w:t>’ ”</w:t>
      </w:r>
      <w:proofErr w:type="gramEnd"/>
      <w:r>
        <w:t xml:space="preserve">  (</w:t>
      </w:r>
      <w:r w:rsidRPr="000E444A">
        <w:rPr>
          <w:i/>
          <w:iCs/>
        </w:rPr>
        <w:t>Rialto Citizens for Responsible Growth v. City of Rialto</w:t>
      </w:r>
      <w:r>
        <w:t xml:space="preserve"> (2012) 208 Cal.App.4th 899, 913 (</w:t>
      </w:r>
      <w:r>
        <w:rPr>
          <w:i/>
          <w:iCs/>
        </w:rPr>
        <w:t>City of Rialto</w:t>
      </w:r>
      <w:r>
        <w:t xml:space="preserve">).)  </w:t>
      </w:r>
    </w:p>
    <w:p w14:paraId="248A7F33" w14:textId="65F30D04" w:rsidR="000E444A" w:rsidRDefault="00D23DB7" w:rsidP="00F23259">
      <w:pPr>
        <w:ind w:firstLine="0"/>
      </w:pPr>
      <w:r>
        <w:tab/>
        <w:t>On the other hand, “[a]</w:t>
      </w:r>
      <w:r w:rsidRPr="000E444A">
        <w:t xml:space="preserve"> petitioner who is not beneficially interested in a writ may nevertheless have </w:t>
      </w:r>
      <w:r>
        <w:t>‘</w:t>
      </w:r>
      <w:r w:rsidRPr="000E444A">
        <w:t>citizen standing</w:t>
      </w:r>
      <w:r>
        <w:t>’</w:t>
      </w:r>
      <w:r w:rsidRPr="000E444A">
        <w:t xml:space="preserve"> or </w:t>
      </w:r>
      <w:r>
        <w:t>‘</w:t>
      </w:r>
      <w:r w:rsidRPr="000E444A">
        <w:t>public interest standing</w:t>
      </w:r>
      <w:r>
        <w:t>’</w:t>
      </w:r>
      <w:r w:rsidRPr="000E444A">
        <w:t xml:space="preserve"> to bring the writ petition under the </w:t>
      </w:r>
      <w:r>
        <w:t>‘</w:t>
      </w:r>
      <w:r w:rsidRPr="000E444A">
        <w:t>public interest exception</w:t>
      </w:r>
      <w:r>
        <w:t>’</w:t>
      </w:r>
      <w:r w:rsidRPr="000E444A">
        <w:t xml:space="preserve"> to the beneficial interest requirement.</w:t>
      </w:r>
      <w:r>
        <w:t>”  (</w:t>
      </w:r>
      <w:r w:rsidRPr="000E444A">
        <w:rPr>
          <w:i/>
          <w:iCs/>
        </w:rPr>
        <w:t>City of Rialto</w:t>
      </w:r>
      <w:r>
        <w:t xml:space="preserve">, </w:t>
      </w:r>
      <w:r>
        <w:rPr>
          <w:i/>
          <w:iCs/>
        </w:rPr>
        <w:t>supra</w:t>
      </w:r>
      <w:r>
        <w:t xml:space="preserve">, 208 Cal.App.4th at p. 913.)  </w:t>
      </w:r>
      <w:bookmarkStart w:id="5" w:name="_Hlk164893962"/>
      <w:r>
        <w:t>“</w:t>
      </w:r>
      <w:r w:rsidR="00AE3777">
        <w:t> </w:t>
      </w:r>
      <w:r w:rsidRPr="000E444A">
        <w:t>‘ “</w:t>
      </w:r>
      <w:r w:rsidR="00AE3777">
        <w:t>[W]</w:t>
      </w:r>
      <w:r w:rsidRPr="000E444A">
        <w:t>here the question is one of public right and the object of the mandamus is to procure the enforcement of a public duty, the [petitioner] need not show that he has any legal or special interest in the result, since it is sufficient that he is interested as a citizen in having the laws executed and the duty in question enforced.” ’</w:t>
      </w:r>
      <w:r w:rsidR="00725D4F">
        <w:t> </w:t>
      </w:r>
      <w:r w:rsidR="00725D4F" w:rsidRPr="000E444A">
        <w:t xml:space="preserve">” </w:t>
      </w:r>
      <w:r w:rsidR="00725D4F">
        <w:t xml:space="preserve"> </w:t>
      </w:r>
      <w:r w:rsidR="00725D4F" w:rsidRPr="000E444A">
        <w:t>(</w:t>
      </w:r>
      <w:r w:rsidR="00725D4F" w:rsidRPr="000E444A">
        <w:rPr>
          <w:i/>
          <w:iCs/>
        </w:rPr>
        <w:t>Save the Plastic Bag</w:t>
      </w:r>
      <w:r w:rsidR="00725D4F" w:rsidRPr="000E444A">
        <w:t xml:space="preserve">, </w:t>
      </w:r>
      <w:r w:rsidR="00725D4F" w:rsidRPr="000E444A">
        <w:rPr>
          <w:i/>
          <w:iCs/>
        </w:rPr>
        <w:t>supra</w:t>
      </w:r>
      <w:r w:rsidR="00725D4F" w:rsidRPr="000E444A">
        <w:t xml:space="preserve">, 52 Cal.4th at p. 166.) </w:t>
      </w:r>
      <w:r w:rsidR="00725D4F">
        <w:t xml:space="preserve"> “</w:t>
      </w:r>
      <w:r w:rsidRPr="000E444A">
        <w:t xml:space="preserve">This </w:t>
      </w:r>
      <w:proofErr w:type="gramStart"/>
      <w:r w:rsidRPr="000E444A">
        <w:t>‘</w:t>
      </w:r>
      <w:r w:rsidR="00725D4F">
        <w:t> </w:t>
      </w:r>
      <w:r w:rsidRPr="000E444A">
        <w:t>“</w:t>
      </w:r>
      <w:proofErr w:type="gramEnd"/>
      <w:r w:rsidRPr="000E444A">
        <w:t xml:space="preserve">public right/public duty” exception to the requirement of beneficial interest for a writ of mandate’ ‘promotes the policy of guaranteeing citizens the opportunity to ensure that </w:t>
      </w:r>
      <w:r w:rsidRPr="000E444A">
        <w:lastRenderedPageBreak/>
        <w:t>no governmental body impairs or defeats the purpose of legislation establishing a public right.’</w:t>
      </w:r>
      <w:r w:rsidR="00CF3A1C">
        <w:t> </w:t>
      </w:r>
      <w:r w:rsidRPr="000E444A">
        <w:t xml:space="preserve">” </w:t>
      </w:r>
      <w:r>
        <w:t xml:space="preserve"> </w:t>
      </w:r>
      <w:r w:rsidRPr="000E444A">
        <w:t>(</w:t>
      </w:r>
      <w:r w:rsidR="00725D4F">
        <w:rPr>
          <w:i/>
          <w:iCs/>
        </w:rPr>
        <w:t>Ibid</w:t>
      </w:r>
      <w:r w:rsidR="00F37A10">
        <w:t>.</w:t>
      </w:r>
      <w:r w:rsidR="00CF3A1C">
        <w:t xml:space="preserve">, quoting </w:t>
      </w:r>
      <w:proofErr w:type="gramStart"/>
      <w:r w:rsidR="00CF3A1C" w:rsidRPr="00725D4F">
        <w:rPr>
          <w:i/>
          <w:iCs/>
        </w:rPr>
        <w:t>Green</w:t>
      </w:r>
      <w:proofErr w:type="gramEnd"/>
      <w:r w:rsidR="00CF3A1C" w:rsidRPr="00725D4F">
        <w:rPr>
          <w:i/>
          <w:iCs/>
        </w:rPr>
        <w:t xml:space="preserve"> v. </w:t>
      </w:r>
      <w:proofErr w:type="spellStart"/>
      <w:r w:rsidR="00CF3A1C" w:rsidRPr="00725D4F">
        <w:rPr>
          <w:i/>
          <w:iCs/>
        </w:rPr>
        <w:t>Obledo</w:t>
      </w:r>
      <w:proofErr w:type="spellEnd"/>
      <w:r w:rsidR="00CF3A1C">
        <w:t xml:space="preserve"> (1981) 29 Cal.3d 126, 144 (</w:t>
      </w:r>
      <w:r w:rsidR="00CF3A1C">
        <w:rPr>
          <w:i/>
          <w:iCs/>
        </w:rPr>
        <w:t>Green</w:t>
      </w:r>
      <w:r w:rsidR="00CF3A1C">
        <w:t>)</w:t>
      </w:r>
      <w:r w:rsidR="00725D4F">
        <w:t>.</w:t>
      </w:r>
      <w:r w:rsidRPr="000E444A">
        <w:t xml:space="preserve">) </w:t>
      </w:r>
    </w:p>
    <w:p w14:paraId="147FD0C3" w14:textId="1004BC06" w:rsidR="00ED4802" w:rsidRDefault="00D23DB7" w:rsidP="00D225BD">
      <w:pPr>
        <w:ind w:firstLine="0"/>
      </w:pPr>
      <w:r>
        <w:tab/>
        <w:t xml:space="preserve">In ascertaining public interest standing, </w:t>
      </w:r>
      <w:proofErr w:type="gramStart"/>
      <w:r w:rsidR="00C033AB">
        <w:t>“ ‘</w:t>
      </w:r>
      <w:proofErr w:type="gramEnd"/>
      <w:r w:rsidR="00C033AB" w:rsidRPr="00C033AB">
        <w:t>[</w:t>
      </w:r>
      <w:r w:rsidR="00C033AB">
        <w:t>t</w:t>
      </w:r>
      <w:r w:rsidR="00C033AB" w:rsidRPr="00C033AB">
        <w:t>]he courts balance the applicant</w:t>
      </w:r>
      <w:r w:rsidR="00C033AB">
        <w:t>’</w:t>
      </w:r>
      <w:r w:rsidR="00C033AB" w:rsidRPr="00C033AB">
        <w:t xml:space="preserve">s need for relief (i.e., his beneficial interest) against the public need for enforcement of the official duty. </w:t>
      </w:r>
      <w:r w:rsidR="00C033AB">
        <w:t xml:space="preserve"> </w:t>
      </w:r>
      <w:r w:rsidR="00C033AB" w:rsidRPr="00C033AB">
        <w:t>When the duty is sharp and the public need weighty, the courts will grant a mandamus at the behest of an applicant who shows no greater personal interest than that of a citizen who wants the law enforced.</w:t>
      </w:r>
      <w:proofErr w:type="gramStart"/>
      <w:r w:rsidR="00C033AB">
        <w:t>’ </w:t>
      </w:r>
      <w:r w:rsidR="00C033AB" w:rsidRPr="00C033AB">
        <w:t>”</w:t>
      </w:r>
      <w:proofErr w:type="gramEnd"/>
      <w:r w:rsidR="00C033AB" w:rsidRPr="00C033AB">
        <w:t xml:space="preserve"> </w:t>
      </w:r>
      <w:r w:rsidR="00C033AB">
        <w:t xml:space="preserve"> </w:t>
      </w:r>
      <w:r w:rsidR="00C033AB" w:rsidRPr="00C033AB">
        <w:t>(</w:t>
      </w:r>
      <w:r w:rsidR="00C033AB" w:rsidRPr="00424E0B">
        <w:rPr>
          <w:i/>
          <w:iCs/>
        </w:rPr>
        <w:t>City of Pomona</w:t>
      </w:r>
      <w:r w:rsidR="00C033AB">
        <w:t xml:space="preserve">, </w:t>
      </w:r>
      <w:r w:rsidR="00C033AB">
        <w:rPr>
          <w:i/>
          <w:iCs/>
        </w:rPr>
        <w:t>supra</w:t>
      </w:r>
      <w:r w:rsidR="00C033AB">
        <w:t>,</w:t>
      </w:r>
      <w:r w:rsidR="00C033AB">
        <w:rPr>
          <w:i/>
          <w:iCs/>
        </w:rPr>
        <w:t xml:space="preserve"> </w:t>
      </w:r>
      <w:r w:rsidR="00C033AB">
        <w:t>28 Cal.App.5th at p. 1174</w:t>
      </w:r>
      <w:r w:rsidR="00C033AB" w:rsidRPr="00C033AB">
        <w:t>.)</w:t>
      </w:r>
      <w:r w:rsidR="004D3D7E">
        <w:t xml:space="preserve">  </w:t>
      </w:r>
      <w:r>
        <w:t>But “</w:t>
      </w:r>
      <w:r w:rsidRPr="00ED4802">
        <w:t xml:space="preserve">where the claim of </w:t>
      </w:r>
      <w:r>
        <w:t>‘</w:t>
      </w:r>
      <w:r w:rsidRPr="00ED4802">
        <w:t>citizen</w:t>
      </w:r>
      <w:r>
        <w:t>’</w:t>
      </w:r>
      <w:r w:rsidRPr="00ED4802">
        <w:t xml:space="preserve"> or </w:t>
      </w:r>
      <w:r>
        <w:t>‘</w:t>
      </w:r>
      <w:r w:rsidRPr="00ED4802">
        <w:t>public interest</w:t>
      </w:r>
      <w:r>
        <w:t>’</w:t>
      </w:r>
      <w:r w:rsidRPr="00ED4802">
        <w:t xml:space="preserve"> standing is driven by personal objectives rather than </w:t>
      </w:r>
      <w:r>
        <w:t>‘</w:t>
      </w:r>
      <w:r w:rsidRPr="00ED4802">
        <w:t>broader public concerns,</w:t>
      </w:r>
      <w:r>
        <w:t>’</w:t>
      </w:r>
      <w:r w:rsidRPr="00ED4802">
        <w:t xml:space="preserve"> a court may find the litigant to lack such standing.</w:t>
      </w:r>
      <w:r>
        <w:t>”  (</w:t>
      </w:r>
      <w:r w:rsidRPr="004D3D7E">
        <w:rPr>
          <w:i/>
          <w:iCs/>
        </w:rPr>
        <w:t>SJJC Aviation Services, LLC v. City of San Jose</w:t>
      </w:r>
      <w:r>
        <w:t xml:space="preserve"> (2017) 12 Cal.App.5th 1043, 1057 (</w:t>
      </w:r>
      <w:r w:rsidRPr="004D3D7E">
        <w:rPr>
          <w:i/>
          <w:iCs/>
        </w:rPr>
        <w:t>SJJC Aviation</w:t>
      </w:r>
      <w:r>
        <w:t xml:space="preserve">).) </w:t>
      </w:r>
    </w:p>
    <w:bookmarkEnd w:id="5"/>
    <w:p w14:paraId="20615BB9" w14:textId="126B6D94" w:rsidR="00AE3777" w:rsidRDefault="00D23DB7" w:rsidP="004D3D7E">
      <w:pPr>
        <w:ind w:firstLine="0"/>
      </w:pPr>
      <w:r>
        <w:tab/>
      </w:r>
      <w:r w:rsidR="004D3D7E">
        <w:t>“Determining whether the exception is warranted involves a ‘judicial balancing of interests’ [citation], to promote ‘the policy of guaranteeing citizens the opportunity to ensure that no governmental body impairs or defeats the purpose of legislation establishing a public right.</w:t>
      </w:r>
      <w:proofErr w:type="gramStart"/>
      <w:r w:rsidR="004D3D7E">
        <w:t>’ ”</w:t>
      </w:r>
      <w:proofErr w:type="gramEnd"/>
      <w:r w:rsidR="004D3D7E">
        <w:t xml:space="preserve">  (</w:t>
      </w:r>
      <w:r w:rsidRPr="004D3D7E">
        <w:rPr>
          <w:i/>
          <w:iCs/>
        </w:rPr>
        <w:t>SJJC Aviation</w:t>
      </w:r>
      <w:r>
        <w:t xml:space="preserve">, </w:t>
      </w:r>
      <w:r>
        <w:rPr>
          <w:i/>
          <w:iCs/>
        </w:rPr>
        <w:t>supra</w:t>
      </w:r>
      <w:r>
        <w:t>,</w:t>
      </w:r>
      <w:r>
        <w:rPr>
          <w:i/>
          <w:iCs/>
        </w:rPr>
        <w:t xml:space="preserve"> </w:t>
      </w:r>
      <w:r>
        <w:t>12 Cal.App.5th at p. </w:t>
      </w:r>
      <w:r w:rsidR="004D3D7E">
        <w:t>1058</w:t>
      </w:r>
      <w:r>
        <w:t>.</w:t>
      </w:r>
      <w:r w:rsidR="004D3D7E">
        <w:t>)</w:t>
      </w:r>
      <w:r w:rsidR="00CF3A1C">
        <w:t xml:space="preserve"> </w:t>
      </w:r>
      <w:r>
        <w:t xml:space="preserve"> </w:t>
      </w:r>
      <w:r w:rsidR="00D225BD">
        <w:t>“The balancing is done on a sliding scale</w:t>
      </w:r>
      <w:proofErr w:type="gramStart"/>
      <w:r w:rsidR="00D225BD">
        <w:t>:  ‘</w:t>
      </w:r>
      <w:proofErr w:type="gramEnd"/>
      <w:r w:rsidR="00D225BD">
        <w:t>When the public need is less pointed, the courts hold the petitioner to a sharper showing of personal need.’ ”  (</w:t>
      </w:r>
      <w:r w:rsidR="0079736A" w:rsidRPr="00424E0B">
        <w:rPr>
          <w:i/>
          <w:iCs/>
        </w:rPr>
        <w:t>City of Pomona</w:t>
      </w:r>
      <w:r w:rsidR="0079736A">
        <w:t xml:space="preserve">, </w:t>
      </w:r>
      <w:r w:rsidR="0079736A">
        <w:rPr>
          <w:i/>
          <w:iCs/>
        </w:rPr>
        <w:t>supra</w:t>
      </w:r>
      <w:r w:rsidR="0079736A">
        <w:t>,</w:t>
      </w:r>
      <w:r w:rsidR="0079736A">
        <w:rPr>
          <w:i/>
          <w:iCs/>
        </w:rPr>
        <w:t xml:space="preserve"> </w:t>
      </w:r>
      <w:r w:rsidR="0079736A">
        <w:t xml:space="preserve">28 Cal.App.5th at </w:t>
      </w:r>
      <w:r w:rsidR="00D225BD">
        <w:t>p. 1174</w:t>
      </w:r>
      <w:r w:rsidR="00D225BD" w:rsidRPr="00C033AB">
        <w:t>.)</w:t>
      </w:r>
      <w:r w:rsidR="00D225BD">
        <w:t xml:space="preserve">  </w:t>
      </w:r>
      <w:r>
        <w:t>Furthermore, a</w:t>
      </w:r>
      <w:r w:rsidR="00D225BD">
        <w:t xml:space="preserve">pplication of the public interest exception </w:t>
      </w:r>
      <w:r w:rsidR="00185810">
        <w:t>is not a given</w:t>
      </w:r>
      <w:r w:rsidR="00D225BD">
        <w:t xml:space="preserve">.  </w:t>
      </w:r>
      <w:r w:rsidR="00185810">
        <w:t>“</w:t>
      </w:r>
      <w:r w:rsidR="00185810" w:rsidRPr="00185810">
        <w:t>No party, individual or corporate, may proceed with a mandamus petition as a matter of right under the public interest exception.</w:t>
      </w:r>
      <w:r w:rsidR="00185810">
        <w:t>”  (</w:t>
      </w:r>
      <w:r w:rsidR="00185810" w:rsidRPr="000E444A">
        <w:rPr>
          <w:i/>
          <w:iCs/>
        </w:rPr>
        <w:t>Save the Plastic Bag</w:t>
      </w:r>
      <w:r w:rsidR="00185810" w:rsidRPr="000E444A">
        <w:t xml:space="preserve">, </w:t>
      </w:r>
      <w:r w:rsidR="00185810" w:rsidRPr="000E444A">
        <w:rPr>
          <w:i/>
          <w:iCs/>
        </w:rPr>
        <w:t>supra</w:t>
      </w:r>
      <w:r w:rsidR="00185810" w:rsidRPr="000E444A">
        <w:t>, 52 Cal.4th at p. 1</w:t>
      </w:r>
      <w:r w:rsidR="00185810">
        <w:t>70, fn. 5</w:t>
      </w:r>
      <w:r w:rsidR="00185810" w:rsidRPr="000E444A">
        <w:t xml:space="preserve">.) </w:t>
      </w:r>
      <w:r w:rsidR="00185810">
        <w:t xml:space="preserve"> Rather, public interest standing serves as </w:t>
      </w:r>
      <w:proofErr w:type="gramStart"/>
      <w:r w:rsidR="00185810">
        <w:t>“ ‘</w:t>
      </w:r>
      <w:proofErr w:type="gramEnd"/>
      <w:r w:rsidR="00185810" w:rsidRPr="00185810">
        <w:t>an exception to, rather than repudiation of, the usual requirement of a beneficial interest.</w:t>
      </w:r>
      <w:r w:rsidR="00185810">
        <w:t xml:space="preserve">  </w:t>
      </w:r>
      <w:r w:rsidR="00185810" w:rsidRPr="00185810">
        <w:t>The policy underlying the exception may be outweighed by competing considerations of a more urgent nature.</w:t>
      </w:r>
      <w:proofErr w:type="gramStart"/>
      <w:r w:rsidR="00185810">
        <w:t>’ ”</w:t>
      </w:r>
      <w:proofErr w:type="gramEnd"/>
      <w:r w:rsidR="00185810" w:rsidRPr="00185810">
        <w:t xml:space="preserve"> </w:t>
      </w:r>
      <w:r w:rsidR="00185810">
        <w:t xml:space="preserve"> (</w:t>
      </w:r>
      <w:r w:rsidR="00185810" w:rsidRPr="00185810">
        <w:rPr>
          <w:i/>
          <w:iCs/>
        </w:rPr>
        <w:t>Ibid</w:t>
      </w:r>
      <w:r w:rsidR="00185810">
        <w:t>.</w:t>
      </w:r>
      <w:r w:rsidR="00F42579">
        <w:t xml:space="preserve">; see </w:t>
      </w:r>
      <w:r w:rsidR="00185810" w:rsidRPr="00725D4F">
        <w:rPr>
          <w:i/>
          <w:iCs/>
        </w:rPr>
        <w:t>Gree</w:t>
      </w:r>
      <w:r w:rsidR="00185810">
        <w:rPr>
          <w:i/>
          <w:iCs/>
        </w:rPr>
        <w:t>n</w:t>
      </w:r>
      <w:r w:rsidR="00185810">
        <w:t xml:space="preserve">, </w:t>
      </w:r>
      <w:r w:rsidR="00185810">
        <w:rPr>
          <w:i/>
          <w:iCs/>
        </w:rPr>
        <w:t>supra</w:t>
      </w:r>
      <w:r w:rsidR="00185810">
        <w:t xml:space="preserve">, 29 Cal.3d at p. 145.)  </w:t>
      </w:r>
    </w:p>
    <w:p w14:paraId="3CB2F893" w14:textId="0FA87B43" w:rsidR="00253CD2" w:rsidRPr="00120D4C" w:rsidRDefault="00D23DB7" w:rsidP="0079736A">
      <w:pPr>
        <w:ind w:firstLine="0"/>
      </w:pPr>
      <w:r>
        <w:tab/>
        <w:t xml:space="preserve">On appeal from </w:t>
      </w:r>
      <w:r w:rsidR="00500A21">
        <w:t>a petition</w:t>
      </w:r>
      <w:r>
        <w:t xml:space="preserve"> for writ of mandate, we</w:t>
      </w:r>
      <w:r w:rsidR="00500A21">
        <w:t xml:space="preserve"> </w:t>
      </w:r>
      <w:r>
        <w:t>apply the same standard of review as the trial court</w:t>
      </w:r>
      <w:r w:rsidR="00500A21">
        <w:t xml:space="preserve"> and </w:t>
      </w:r>
      <w:r>
        <w:t xml:space="preserve">review the </w:t>
      </w:r>
      <w:r w:rsidR="00B43C53">
        <w:t>local agency’s (here, the district</w:t>
      </w:r>
      <w:r w:rsidR="00C707F1">
        <w:t>’s</w:t>
      </w:r>
      <w:r w:rsidR="00B43C53">
        <w:t>)</w:t>
      </w:r>
      <w:r>
        <w:t xml:space="preserve"> action de novo.  (</w:t>
      </w:r>
      <w:r w:rsidRPr="008512F4">
        <w:rPr>
          <w:i/>
          <w:iCs/>
        </w:rPr>
        <w:t>Hamilton &amp; High, LLC v. City of Palo Alto</w:t>
      </w:r>
      <w:r>
        <w:t xml:space="preserve"> (2023) 89 Cal.App.5th 528, 547</w:t>
      </w:r>
      <w:r w:rsidR="0049315A">
        <w:t xml:space="preserve">.) </w:t>
      </w:r>
      <w:r w:rsidR="00D23390" w:rsidRPr="00D23390">
        <w:t xml:space="preserve"> </w:t>
      </w:r>
      <w:r w:rsidR="003A5652">
        <w:t>W</w:t>
      </w:r>
      <w:r w:rsidR="00C707F1">
        <w:t>e</w:t>
      </w:r>
      <w:r w:rsidR="00D23390">
        <w:t xml:space="preserve"> </w:t>
      </w:r>
      <w:r w:rsidR="00D23390">
        <w:lastRenderedPageBreak/>
        <w:t xml:space="preserve">decide only whether </w:t>
      </w:r>
      <w:r w:rsidR="003A5652">
        <w:t xml:space="preserve">the </w:t>
      </w:r>
      <w:r w:rsidR="00C707F1">
        <w:t>district’s refusal to call an election on the initiative</w:t>
      </w:r>
      <w:r w:rsidR="00D23390">
        <w:t xml:space="preserve"> </w:t>
      </w:r>
      <w:proofErr w:type="gramStart"/>
      <w:r w:rsidR="00D23390">
        <w:t>“ ‘</w:t>
      </w:r>
      <w:proofErr w:type="gramEnd"/>
      <w:r w:rsidR="00016698">
        <w:t> “ ‘</w:t>
      </w:r>
      <w:r w:rsidR="00D23390">
        <w:t>was arbitrary, capricious or entirely lacking in evidentiary support, or whether it failed to conform to procedures required by law.’ ” ’ ”  (</w:t>
      </w:r>
      <w:r w:rsidR="00D23390">
        <w:rPr>
          <w:i/>
          <w:iCs/>
        </w:rPr>
        <w:t>Ibid</w:t>
      </w:r>
      <w:r w:rsidR="00D23390">
        <w:t>.)</w:t>
      </w:r>
      <w:r w:rsidR="00500A21">
        <w:t xml:space="preserve">  </w:t>
      </w:r>
    </w:p>
    <w:p w14:paraId="1A27B2F4" w14:textId="6A2965B8" w:rsidR="00253CD2" w:rsidRPr="00253CD2" w:rsidRDefault="00D23DB7" w:rsidP="00253CD2">
      <w:pPr>
        <w:pStyle w:val="Heading2"/>
        <w:numPr>
          <w:ilvl w:val="0"/>
          <w:numId w:val="2"/>
        </w:numPr>
      </w:pPr>
      <w:r>
        <w:t>Standing</w:t>
      </w:r>
      <w:r w:rsidR="0008474E">
        <w:t xml:space="preserve"> Analysis</w:t>
      </w:r>
    </w:p>
    <w:p w14:paraId="21F98930" w14:textId="1ADAF79D" w:rsidR="006F6753" w:rsidRDefault="00D23DB7" w:rsidP="00F23259">
      <w:pPr>
        <w:ind w:firstLine="0"/>
      </w:pPr>
      <w:r>
        <w:tab/>
      </w:r>
      <w:r w:rsidR="00F201FB">
        <w:t xml:space="preserve">In his briefing, </w:t>
      </w:r>
      <w:proofErr w:type="spellStart"/>
      <w:r w:rsidR="00F201FB">
        <w:t>Loeber</w:t>
      </w:r>
      <w:proofErr w:type="spellEnd"/>
      <w:r w:rsidR="00F201FB">
        <w:t xml:space="preserve"> uses a variety of formulations and arguments to support his assertion of standing to bring the petition.  </w:t>
      </w:r>
      <w:r w:rsidR="00F42FA5">
        <w:t xml:space="preserve">We distill his arguments into </w:t>
      </w:r>
      <w:r w:rsidR="00AE724E">
        <w:t xml:space="preserve">two main claims.  First, </w:t>
      </w:r>
      <w:proofErr w:type="spellStart"/>
      <w:r w:rsidR="00E76C16">
        <w:t>Loeber</w:t>
      </w:r>
      <w:proofErr w:type="spellEnd"/>
      <w:r w:rsidR="00E76C16">
        <w:t xml:space="preserve"> </w:t>
      </w:r>
      <w:r w:rsidR="00AE724E">
        <w:t>contends he i</w:t>
      </w:r>
      <w:r w:rsidR="00E76C16">
        <w:t xml:space="preserve">s beneficially interested </w:t>
      </w:r>
      <w:r w:rsidR="00AE724E">
        <w:t xml:space="preserve">in the petition </w:t>
      </w:r>
      <w:r w:rsidR="00E76C16">
        <w:t>based on</w:t>
      </w:r>
      <w:r w:rsidR="00AE724E">
        <w:t xml:space="preserve"> (1)</w:t>
      </w:r>
      <w:r w:rsidR="00E76C16">
        <w:t xml:space="preserve"> </w:t>
      </w:r>
      <w:r>
        <w:t xml:space="preserve">his personal </w:t>
      </w:r>
      <w:r w:rsidR="00AE724E">
        <w:t>financial interest in</w:t>
      </w:r>
      <w:r w:rsidR="00E76C16">
        <w:t xml:space="preserve"> reducing his tax burden as the individual paying parcel tax</w:t>
      </w:r>
      <w:r w:rsidR="00AE724E">
        <w:t>es</w:t>
      </w:r>
      <w:r w:rsidR="00E76C16">
        <w:t xml:space="preserve"> on behalf of the trust</w:t>
      </w:r>
      <w:r w:rsidR="00AE724E">
        <w:t>;</w:t>
      </w:r>
      <w:r w:rsidR="00E76C16">
        <w:t xml:space="preserve"> </w:t>
      </w:r>
      <w:r w:rsidR="00AE724E">
        <w:t xml:space="preserve">and </w:t>
      </w:r>
      <w:r w:rsidR="00E76C16">
        <w:t xml:space="preserve">(2) </w:t>
      </w:r>
      <w:r w:rsidR="00AE724E">
        <w:t xml:space="preserve">his role as the drafter, sponsor, and </w:t>
      </w:r>
      <w:r w:rsidR="00F42FA5">
        <w:t>“</w:t>
      </w:r>
      <w:r w:rsidR="006D2C0B">
        <w:t>official</w:t>
      </w:r>
      <w:r w:rsidR="00AE724E">
        <w:t xml:space="preserve">” </w:t>
      </w:r>
      <w:r w:rsidR="00D52D91">
        <w:t xml:space="preserve">(boldface omitted) </w:t>
      </w:r>
      <w:r w:rsidR="00AE724E">
        <w:t>or “authorized executive”</w:t>
      </w:r>
      <w:r w:rsidR="006D2C0B">
        <w:t xml:space="preserve"> </w:t>
      </w:r>
      <w:r w:rsidR="00F42FA5">
        <w:t>of the successful initiative campaign to qualify the measure for the ballot</w:t>
      </w:r>
      <w:r w:rsidR="00AE724E">
        <w:t xml:space="preserve">.  </w:t>
      </w:r>
      <w:r>
        <w:t xml:space="preserve">In addition, </w:t>
      </w:r>
      <w:proofErr w:type="spellStart"/>
      <w:r w:rsidR="00AE724E">
        <w:t>Loeber</w:t>
      </w:r>
      <w:proofErr w:type="spellEnd"/>
      <w:r w:rsidR="00AE724E">
        <w:t xml:space="preserve"> contends he has standing under the public interest exception </w:t>
      </w:r>
      <w:r w:rsidR="00C547F6">
        <w:t>because he</w:t>
      </w:r>
      <w:r w:rsidR="00AE724E">
        <w:t xml:space="preserve"> represent</w:t>
      </w:r>
      <w:r w:rsidR="00C547F6">
        <w:t>s</w:t>
      </w:r>
      <w:r w:rsidR="00AE724E">
        <w:t xml:space="preserve"> the interest of the public in enforcing </w:t>
      </w:r>
      <w:r>
        <w:t xml:space="preserve">citizens’ </w:t>
      </w:r>
      <w:r w:rsidR="00AE724E">
        <w:t xml:space="preserve">constitutional right to the initiative power as established </w:t>
      </w:r>
      <w:r>
        <w:t xml:space="preserve">by </w:t>
      </w:r>
      <w:r w:rsidR="00AE724E">
        <w:t xml:space="preserve">the California Constitution. </w:t>
      </w:r>
      <w:r w:rsidR="000509CB">
        <w:t xml:space="preserve"> </w:t>
      </w:r>
      <w:proofErr w:type="spellStart"/>
      <w:r w:rsidR="003865CC">
        <w:t>Loeber</w:t>
      </w:r>
      <w:proofErr w:type="spellEnd"/>
      <w:r w:rsidR="000509CB">
        <w:t xml:space="preserve"> </w:t>
      </w:r>
      <w:r>
        <w:t>argues</w:t>
      </w:r>
      <w:r w:rsidR="00C547F6">
        <w:t xml:space="preserve"> that for this court to assess </w:t>
      </w:r>
      <w:r w:rsidR="00C71A86">
        <w:t xml:space="preserve">whether he has </w:t>
      </w:r>
      <w:r w:rsidR="00C547F6">
        <w:t>standing</w:t>
      </w:r>
      <w:r w:rsidR="00C71A86">
        <w:t xml:space="preserve"> pursuant to </w:t>
      </w:r>
      <w:r w:rsidR="00C547F6">
        <w:t>the</w:t>
      </w:r>
      <w:r w:rsidR="00925F4C">
        <w:t xml:space="preserve"> public interest exception</w:t>
      </w:r>
      <w:r w:rsidR="00C547F6">
        <w:t xml:space="preserve">, </w:t>
      </w:r>
      <w:r w:rsidR="00C71A86">
        <w:t>we</w:t>
      </w:r>
      <w:r w:rsidR="00C547F6">
        <w:t xml:space="preserve"> must </w:t>
      </w:r>
      <w:r w:rsidR="00925F4C">
        <w:t>first answer</w:t>
      </w:r>
      <w:r w:rsidR="00C547F6">
        <w:t xml:space="preserve"> the </w:t>
      </w:r>
      <w:r w:rsidR="006674F1">
        <w:t xml:space="preserve">substantive </w:t>
      </w:r>
      <w:r w:rsidR="00653DD0">
        <w:t>questions</w:t>
      </w:r>
      <w:r w:rsidR="006674F1">
        <w:t xml:space="preserve"> in his petition </w:t>
      </w:r>
      <w:r w:rsidR="00925F4C">
        <w:t>concerning</w:t>
      </w:r>
      <w:r w:rsidR="00C547F6">
        <w:t xml:space="preserve"> the constitutional issues and public right at stake.</w:t>
      </w:r>
      <w:r w:rsidR="00653DD0">
        <w:t xml:space="preserve">  </w:t>
      </w:r>
    </w:p>
    <w:p w14:paraId="4D035CE5" w14:textId="6E494361" w:rsidR="00B37E5B" w:rsidRDefault="00D23DB7" w:rsidP="00B526E7">
      <w:pPr>
        <w:ind w:firstLine="0"/>
      </w:pPr>
      <w:r>
        <w:tab/>
        <w:t>W</w:t>
      </w:r>
      <w:r w:rsidR="007B271F">
        <w:t>e</w:t>
      </w:r>
      <w:r w:rsidR="007B271F" w:rsidRPr="007B271F">
        <w:t xml:space="preserve"> </w:t>
      </w:r>
      <w:r w:rsidR="007B271F">
        <w:t xml:space="preserve">disagree with </w:t>
      </w:r>
      <w:proofErr w:type="spellStart"/>
      <w:r w:rsidR="007B271F">
        <w:t>Loeber</w:t>
      </w:r>
      <w:proofErr w:type="spellEnd"/>
      <w:r w:rsidR="00CD6A3E">
        <w:t xml:space="preserve"> </w:t>
      </w:r>
      <w:r w:rsidR="00147F9A">
        <w:t>that the</w:t>
      </w:r>
      <w:r w:rsidR="00737FEB">
        <w:t xml:space="preserve"> </w:t>
      </w:r>
      <w:r w:rsidR="00653DD0">
        <w:t>merits</w:t>
      </w:r>
      <w:r w:rsidR="00737FEB" w:rsidRPr="00147F9A">
        <w:t xml:space="preserve"> </w:t>
      </w:r>
      <w:r w:rsidR="00653DD0">
        <w:t>issue</w:t>
      </w:r>
      <w:r w:rsidR="00737FEB">
        <w:t xml:space="preserve"> presented by</w:t>
      </w:r>
      <w:r w:rsidR="00737FEB" w:rsidRPr="00147F9A">
        <w:t xml:space="preserve"> </w:t>
      </w:r>
      <w:r w:rsidR="00737FEB">
        <w:t>the</w:t>
      </w:r>
      <w:r w:rsidR="00737FEB" w:rsidRPr="00147F9A">
        <w:t xml:space="preserve"> writ petition</w:t>
      </w:r>
      <w:r w:rsidR="00653DD0">
        <w:t xml:space="preserve"> </w:t>
      </w:r>
      <w:r w:rsidR="000A0B7A">
        <w:t>must be resolved as a</w:t>
      </w:r>
      <w:r w:rsidR="00E63A5F">
        <w:t xml:space="preserve"> prerequisite to</w:t>
      </w:r>
      <w:r w:rsidR="00147F9A" w:rsidRPr="00147F9A">
        <w:t xml:space="preserve"> </w:t>
      </w:r>
      <w:r w:rsidR="007B271F">
        <w:t xml:space="preserve">deciding whether </w:t>
      </w:r>
      <w:proofErr w:type="spellStart"/>
      <w:r w:rsidR="007B271F">
        <w:t>Loeber</w:t>
      </w:r>
      <w:proofErr w:type="spellEnd"/>
      <w:r w:rsidR="007B271F">
        <w:t xml:space="preserve"> has standing under the public interest exception</w:t>
      </w:r>
      <w:r w:rsidR="00E63A5F">
        <w:t>.</w:t>
      </w:r>
      <w:r w:rsidR="007B271F">
        <w:t xml:space="preserve"> </w:t>
      </w:r>
      <w:r w:rsidR="0000437D">
        <w:t xml:space="preserve"> </w:t>
      </w:r>
      <w:r w:rsidR="00EE40D0">
        <w:t>S</w:t>
      </w:r>
      <w:r w:rsidR="0000437D">
        <w:t xml:space="preserve">tanding to sue </w:t>
      </w:r>
      <w:proofErr w:type="gramStart"/>
      <w:r w:rsidR="00681F22">
        <w:t>“ ‘</w:t>
      </w:r>
      <w:proofErr w:type="gramEnd"/>
      <w:r w:rsidR="00681F22">
        <w:t> “</w:t>
      </w:r>
      <w:r w:rsidR="00681F22" w:rsidRPr="00681F22">
        <w:t>is the right to relief in court.</w:t>
      </w:r>
      <w:r w:rsidR="00681F22">
        <w:t>” </w:t>
      </w:r>
      <w:r w:rsidR="00681F22" w:rsidRPr="00681F22">
        <w:t>’ ”</w:t>
      </w:r>
      <w:r w:rsidR="00681F22">
        <w:t xml:space="preserve">  (</w:t>
      </w:r>
      <w:r w:rsidR="00681F22" w:rsidRPr="00B526E7">
        <w:rPr>
          <w:i/>
          <w:iCs/>
        </w:rPr>
        <w:t>People ex rel. Dept. of Conservation v. El Dorado County</w:t>
      </w:r>
      <w:r w:rsidR="00681F22">
        <w:t xml:space="preserve"> (2005) 36 Cal.4th 971, 988 (</w:t>
      </w:r>
      <w:r w:rsidR="00681F22">
        <w:rPr>
          <w:i/>
          <w:iCs/>
        </w:rPr>
        <w:t>El Dorado</w:t>
      </w:r>
      <w:r w:rsidR="00681F22">
        <w:t xml:space="preserve">).)  </w:t>
      </w:r>
      <w:r w:rsidR="00EE40D0">
        <w:t>A court’s determination of s</w:t>
      </w:r>
      <w:r w:rsidR="00681F22">
        <w:t xml:space="preserve">tanding </w:t>
      </w:r>
      <w:proofErr w:type="gramStart"/>
      <w:r w:rsidR="00681F22">
        <w:t>“ ‘</w:t>
      </w:r>
      <w:proofErr w:type="gramEnd"/>
      <w:r w:rsidR="0000437D" w:rsidRPr="0000437D">
        <w:t xml:space="preserve">focuses on the party seeking to get his complaint before a </w:t>
      </w:r>
      <w:r w:rsidR="00681F22">
        <w:t>. . . </w:t>
      </w:r>
      <w:r w:rsidR="0000437D" w:rsidRPr="0000437D">
        <w:t xml:space="preserve">court and not </w:t>
      </w:r>
      <w:r w:rsidR="0085420E">
        <w:t>on</w:t>
      </w:r>
      <w:r w:rsidR="0000437D" w:rsidRPr="0000437D">
        <w:t xml:space="preserve"> the issues he wishes to have adjudicated.’</w:t>
      </w:r>
      <w:r w:rsidR="00CB2B90">
        <w:t xml:space="preserve"> </w:t>
      </w:r>
      <w:r w:rsidR="00681F22">
        <w:t xml:space="preserve"> </w:t>
      </w:r>
      <w:r w:rsidR="0000437D" w:rsidRPr="0000437D">
        <w:t xml:space="preserve">[Citation.] </w:t>
      </w:r>
      <w:r w:rsidR="00681F22">
        <w:t xml:space="preserve"> </w:t>
      </w:r>
      <w:r w:rsidR="0000437D" w:rsidRPr="0000437D">
        <w:t xml:space="preserve">A party enjoys standing to bring his complaint into court if his stake in the resolution of that complaint assumes the proportions necessary to ensure that he will vigorously present his case.” </w:t>
      </w:r>
      <w:r w:rsidR="00681F22">
        <w:t xml:space="preserve"> </w:t>
      </w:r>
      <w:r w:rsidR="0000437D" w:rsidRPr="0000437D">
        <w:t>(</w:t>
      </w:r>
      <w:r w:rsidR="0000437D" w:rsidRPr="00681F22">
        <w:rPr>
          <w:i/>
          <w:iCs/>
        </w:rPr>
        <w:t>Harman v. City and County of San Francisco</w:t>
      </w:r>
      <w:r w:rsidR="0000437D" w:rsidRPr="0000437D">
        <w:t xml:space="preserve"> (1972) 7 Cal.3d 150, 159.)</w:t>
      </w:r>
      <w:r w:rsidR="00681F22">
        <w:t xml:space="preserve"> </w:t>
      </w:r>
      <w:r w:rsidR="00937DFA">
        <w:t>S</w:t>
      </w:r>
      <w:r w:rsidR="00937DFA" w:rsidRPr="00937DFA">
        <w:t xml:space="preserve">tanding </w:t>
      </w:r>
      <w:r w:rsidR="00937DFA">
        <w:t>is a</w:t>
      </w:r>
      <w:r w:rsidR="00937DFA" w:rsidRPr="00937DFA">
        <w:t xml:space="preserve"> jurisdictional </w:t>
      </w:r>
      <w:r w:rsidR="00937DFA">
        <w:t>issue.  (</w:t>
      </w:r>
      <w:r w:rsidR="00937DFA" w:rsidRPr="00F03FC5">
        <w:rPr>
          <w:i/>
          <w:iCs/>
        </w:rPr>
        <w:t>Common Cause</w:t>
      </w:r>
      <w:r w:rsidR="00937DFA">
        <w:t xml:space="preserve">, </w:t>
      </w:r>
      <w:r w:rsidR="00937DFA">
        <w:rPr>
          <w:i/>
          <w:iCs/>
        </w:rPr>
        <w:t>supra</w:t>
      </w:r>
      <w:r w:rsidR="00937DFA">
        <w:t>,</w:t>
      </w:r>
      <w:r w:rsidR="00937DFA" w:rsidRPr="00F03FC5">
        <w:rPr>
          <w:i/>
          <w:iCs/>
        </w:rPr>
        <w:t xml:space="preserve"> </w:t>
      </w:r>
      <w:r w:rsidR="00937DFA">
        <w:t>49 Cal.3d at p. 438.)</w:t>
      </w:r>
    </w:p>
    <w:p w14:paraId="48E34843" w14:textId="4B5FD9DB" w:rsidR="00653DD0" w:rsidRDefault="00D23DB7" w:rsidP="00DD171B">
      <w:pPr>
        <w:ind w:firstLine="0"/>
      </w:pPr>
      <w:r>
        <w:lastRenderedPageBreak/>
        <w:tab/>
      </w:r>
      <w:r w:rsidR="00EE40D0">
        <w:t>Because lac</w:t>
      </w:r>
      <w:r w:rsidR="00F23259">
        <w:t>k of standing is a jurisdictional defect (</w:t>
      </w:r>
      <w:r w:rsidR="00F23259" w:rsidRPr="00F23259">
        <w:rPr>
          <w:i/>
          <w:iCs/>
        </w:rPr>
        <w:t>Rialto</w:t>
      </w:r>
      <w:r>
        <w:t xml:space="preserve">, </w:t>
      </w:r>
      <w:r>
        <w:rPr>
          <w:i/>
          <w:iCs/>
        </w:rPr>
        <w:t>supra</w:t>
      </w:r>
      <w:r>
        <w:t>,</w:t>
      </w:r>
      <w:r w:rsidR="00F23259" w:rsidRPr="00F23259">
        <w:rPr>
          <w:i/>
          <w:iCs/>
        </w:rPr>
        <w:t xml:space="preserve"> </w:t>
      </w:r>
      <w:r w:rsidR="00F23259">
        <w:t xml:space="preserve">208 Cal.App.4th </w:t>
      </w:r>
      <w:r w:rsidR="0017775A">
        <w:t>at p.</w:t>
      </w:r>
      <w:r w:rsidR="00F23259">
        <w:t xml:space="preserve"> 912</w:t>
      </w:r>
      <w:r w:rsidR="00526234">
        <w:t>)</w:t>
      </w:r>
      <w:r w:rsidR="00EE40D0">
        <w:t>, t</w:t>
      </w:r>
      <w:r w:rsidR="00B526E7">
        <w:t>he question of standing to pursue ma</w:t>
      </w:r>
      <w:r w:rsidR="00EE40D0">
        <w:t>n</w:t>
      </w:r>
      <w:r w:rsidR="00B526E7">
        <w:t xml:space="preserve">date relief must be addressed </w:t>
      </w:r>
      <w:r w:rsidR="00C71A86">
        <w:t>as a threshold question before reaching the merits of a dispute</w:t>
      </w:r>
      <w:r w:rsidR="00B526E7">
        <w:t>.  (</w:t>
      </w:r>
      <w:r w:rsidR="00B526E7" w:rsidRPr="00B526E7">
        <w:rPr>
          <w:i/>
          <w:iCs/>
        </w:rPr>
        <w:t>El Dorado</w:t>
      </w:r>
      <w:r w:rsidR="005D705B">
        <w:t xml:space="preserve">, </w:t>
      </w:r>
      <w:r w:rsidR="005D705B">
        <w:rPr>
          <w:i/>
          <w:iCs/>
        </w:rPr>
        <w:t>supra</w:t>
      </w:r>
      <w:r w:rsidR="005D705B">
        <w:t>,</w:t>
      </w:r>
      <w:r w:rsidR="00B526E7" w:rsidRPr="00B526E7">
        <w:rPr>
          <w:i/>
          <w:iCs/>
        </w:rPr>
        <w:t xml:space="preserve"> </w:t>
      </w:r>
      <w:r w:rsidR="00B526E7">
        <w:t xml:space="preserve">36 Cal.4th </w:t>
      </w:r>
      <w:r w:rsidR="005D705B">
        <w:t>at p. </w:t>
      </w:r>
      <w:r w:rsidR="00B526E7">
        <w:t>983</w:t>
      </w:r>
      <w:r w:rsidR="00B526E7">
        <w:rPr>
          <w:i/>
          <w:iCs/>
        </w:rPr>
        <w:t xml:space="preserve"> </w:t>
      </w:r>
      <w:r w:rsidR="00B526E7">
        <w:t xml:space="preserve">[“We are concerned here not with the merits of the underlying dispute, but only with </w:t>
      </w:r>
      <w:r w:rsidR="003526DB">
        <w:t>. . .</w:t>
      </w:r>
      <w:r w:rsidR="00B526E7">
        <w:t xml:space="preserve"> whether the </w:t>
      </w:r>
      <w:r w:rsidR="00A318BC">
        <w:t>[party]</w:t>
      </w:r>
      <w:r w:rsidR="00B526E7">
        <w:t xml:space="preserve"> has standing to petition for a writ of mandate.”]; </w:t>
      </w:r>
      <w:r w:rsidR="00C865DC" w:rsidRPr="003E6B48">
        <w:rPr>
          <w:i/>
          <w:iCs/>
        </w:rPr>
        <w:t>Gasc</w:t>
      </w:r>
      <w:r w:rsidR="00C865DC">
        <w:rPr>
          <w:i/>
          <w:iCs/>
        </w:rPr>
        <w:t>ó</w:t>
      </w:r>
      <w:r w:rsidR="00C865DC" w:rsidRPr="003E6B48">
        <w:rPr>
          <w:i/>
          <w:iCs/>
        </w:rPr>
        <w:t>n</w:t>
      </w:r>
      <w:r w:rsidR="00C865DC">
        <w:t xml:space="preserve">, </w:t>
      </w:r>
      <w:r w:rsidR="00C865DC">
        <w:rPr>
          <w:i/>
          <w:iCs/>
        </w:rPr>
        <w:t>supra</w:t>
      </w:r>
      <w:r w:rsidR="00C865DC">
        <w:t>, 79 Cal.App.5th at p. 523</w:t>
      </w:r>
      <w:r w:rsidR="0049315A">
        <w:t>, review granted</w:t>
      </w:r>
      <w:r w:rsidR="00C865DC">
        <w:t xml:space="preserve"> [</w:t>
      </w:r>
      <w:r w:rsidR="000A0B7A">
        <w:t>turning first to</w:t>
      </w:r>
      <w:r w:rsidR="00C865DC">
        <w:t xml:space="preserve"> standing based on</w:t>
      </w:r>
      <w:r w:rsidR="00C865DC" w:rsidRPr="00C865DC">
        <w:t xml:space="preserve"> whether</w:t>
      </w:r>
      <w:r w:rsidR="00C865DC">
        <w:t xml:space="preserve"> the petitioner </w:t>
      </w:r>
      <w:r w:rsidR="00C865DC" w:rsidRPr="00C865DC">
        <w:t xml:space="preserve">has a right to seek mandamus relief before </w:t>
      </w:r>
      <w:r w:rsidR="00C865DC">
        <w:t xml:space="preserve">considering </w:t>
      </w:r>
      <w:r w:rsidR="00C865DC" w:rsidRPr="00C865DC">
        <w:t xml:space="preserve">whether the </w:t>
      </w:r>
      <w:r w:rsidR="00C865DC">
        <w:t>government agency</w:t>
      </w:r>
      <w:r w:rsidR="00C865DC" w:rsidRPr="00C865DC">
        <w:t xml:space="preserve"> has a ministerial duty to act</w:t>
      </w:r>
      <w:r w:rsidR="00C865DC">
        <w:t>]</w:t>
      </w:r>
      <w:r w:rsidR="00DD7557">
        <w:t>.)</w:t>
      </w:r>
      <w:r w:rsidR="00C865DC">
        <w:t xml:space="preserve">  </w:t>
      </w:r>
      <w:r w:rsidR="00A61326">
        <w:t>W</w:t>
      </w:r>
      <w:r w:rsidR="00DD171B">
        <w:t xml:space="preserve">e </w:t>
      </w:r>
      <w:r w:rsidR="00F201FB">
        <w:t>begin with the standard of review</w:t>
      </w:r>
      <w:r w:rsidR="00DD171B">
        <w:t>.</w:t>
      </w:r>
    </w:p>
    <w:p w14:paraId="5876E121" w14:textId="55004D15" w:rsidR="00F87E24" w:rsidRDefault="00D23DB7" w:rsidP="006E7BDE">
      <w:pPr>
        <w:pStyle w:val="Heading3"/>
      </w:pPr>
      <w:r>
        <w:t>Standard of Review</w:t>
      </w:r>
    </w:p>
    <w:p w14:paraId="314DE29A" w14:textId="646BEFD7" w:rsidR="00F87E24" w:rsidRDefault="00D23DB7" w:rsidP="00F87E24">
      <w:pPr>
        <w:ind w:firstLine="0"/>
      </w:pPr>
      <w:r>
        <w:tab/>
      </w:r>
      <w:r w:rsidRPr="00BF139D">
        <w:t xml:space="preserve">Standing is a question of law that </w:t>
      </w:r>
      <w:r>
        <w:t>courts typically</w:t>
      </w:r>
      <w:r w:rsidRPr="00BF139D">
        <w:t xml:space="preserve"> review de novo.</w:t>
      </w:r>
      <w:r>
        <w:t xml:space="preserve">  (</w:t>
      </w:r>
      <w:r w:rsidRPr="00B43C53">
        <w:rPr>
          <w:i/>
          <w:iCs/>
        </w:rPr>
        <w:t>San Luis Rey Racing, Inc. v. California Horse Racing Bd.</w:t>
      </w:r>
      <w:r>
        <w:t xml:space="preserve"> (2017) 15 Cal.App.5th 67, 73</w:t>
      </w:r>
      <w:r w:rsidR="002F6C08">
        <w:t xml:space="preserve"> (</w:t>
      </w:r>
      <w:r w:rsidR="002F6C08">
        <w:rPr>
          <w:i/>
          <w:iCs/>
        </w:rPr>
        <w:t>San Luis</w:t>
      </w:r>
      <w:r w:rsidR="002F6C08">
        <w:t>)</w:t>
      </w:r>
      <w:r>
        <w:t xml:space="preserve">.)  To the extent the standing determination is based on </w:t>
      </w:r>
      <w:r w:rsidRPr="00C707F1">
        <w:t xml:space="preserve">underlying factual findings, we review </w:t>
      </w:r>
      <w:r>
        <w:t>those findings</w:t>
      </w:r>
      <w:r w:rsidRPr="00C707F1">
        <w:t xml:space="preserve"> </w:t>
      </w:r>
      <w:r>
        <w:t>of the trial court for</w:t>
      </w:r>
      <w:r w:rsidRPr="00C707F1">
        <w:t xml:space="preserve"> substantial evidence.</w:t>
      </w:r>
      <w:r>
        <w:t xml:space="preserve">  (</w:t>
      </w:r>
      <w:r>
        <w:rPr>
          <w:i/>
          <w:iCs/>
        </w:rPr>
        <w:t>Ibid</w:t>
      </w:r>
      <w:r>
        <w:t xml:space="preserve">.)  </w:t>
      </w:r>
      <w:r w:rsidR="00C71A86">
        <w:t>T</w:t>
      </w:r>
      <w:r>
        <w:t xml:space="preserve">here is a split in appellate authority concerning the standard for reviewing a </w:t>
      </w:r>
      <w:r w:rsidR="006164DD">
        <w:t>trial court’s application of</w:t>
      </w:r>
      <w:r>
        <w:t xml:space="preserve"> the public interest exception.  (Compare </w:t>
      </w:r>
      <w:bookmarkStart w:id="6" w:name="_Hlk164699249"/>
      <w:r w:rsidRPr="0079736A">
        <w:rPr>
          <w:i/>
          <w:iCs/>
        </w:rPr>
        <w:t>People for Ethical Operation of Prosecutors and Law Enforcement v. Spitzer</w:t>
      </w:r>
      <w:r>
        <w:t xml:space="preserve"> (2020) 53 Cal.App.5th 391</w:t>
      </w:r>
      <w:bookmarkEnd w:id="6"/>
      <w:r>
        <w:t>, 408 (</w:t>
      </w:r>
      <w:r w:rsidRPr="0079736A">
        <w:rPr>
          <w:i/>
          <w:iCs/>
        </w:rPr>
        <w:t>Spitzer</w:t>
      </w:r>
      <w:r>
        <w:t xml:space="preserve">) [de novo] with </w:t>
      </w:r>
      <w:r w:rsidRPr="00424E0B">
        <w:rPr>
          <w:i/>
          <w:iCs/>
        </w:rPr>
        <w:t>City of Pomona</w:t>
      </w:r>
      <w:r>
        <w:t xml:space="preserve">, </w:t>
      </w:r>
      <w:r>
        <w:rPr>
          <w:i/>
          <w:iCs/>
        </w:rPr>
        <w:t>supra</w:t>
      </w:r>
      <w:r>
        <w:t>,</w:t>
      </w:r>
      <w:r>
        <w:rPr>
          <w:i/>
          <w:iCs/>
        </w:rPr>
        <w:t xml:space="preserve"> </w:t>
      </w:r>
      <w:r>
        <w:t>28 Cal.App.5th at p. 1174 [abuse of discretion]</w:t>
      </w:r>
      <w:r w:rsidRPr="00C033AB">
        <w:t>.)</w:t>
      </w:r>
      <w:r>
        <w:t xml:space="preserve">  </w:t>
      </w:r>
    </w:p>
    <w:p w14:paraId="13FB035E" w14:textId="652038FE" w:rsidR="00F87E24" w:rsidRPr="00104489" w:rsidRDefault="00D23DB7" w:rsidP="00F87E24">
      <w:pPr>
        <w:ind w:firstLine="0"/>
      </w:pPr>
      <w:r>
        <w:tab/>
        <w:t xml:space="preserve">In </w:t>
      </w:r>
      <w:r>
        <w:rPr>
          <w:i/>
          <w:iCs/>
        </w:rPr>
        <w:t>City of Pomona</w:t>
      </w:r>
      <w:r>
        <w:t xml:space="preserve">, the Court of Appeal acknowledged </w:t>
      </w:r>
      <w:r w:rsidR="00C71A86">
        <w:t>that standing determinations are generally reviewed de novo</w:t>
      </w:r>
      <w:r>
        <w:t xml:space="preserve"> but reasoned that because the “</w:t>
      </w:r>
      <w:r w:rsidRPr="0027797C">
        <w:t>public interest exception involves a judicial balancing of interests</w:t>
      </w:r>
      <w:r>
        <w:t xml:space="preserve"> </w:t>
      </w:r>
      <w:r w:rsidR="00464022">
        <w:t>[</w:t>
      </w:r>
      <w:r>
        <w:t>it</w:t>
      </w:r>
      <w:r w:rsidR="00464022">
        <w:t>]</w:t>
      </w:r>
      <w:r>
        <w:t xml:space="preserve"> is </w:t>
      </w:r>
      <w:r w:rsidRPr="0027797C">
        <w:t>reviewed for abuse of discretion</w:t>
      </w:r>
      <w:r>
        <w:t>.”  (</w:t>
      </w:r>
      <w:r w:rsidRPr="00424E0B">
        <w:rPr>
          <w:i/>
          <w:iCs/>
        </w:rPr>
        <w:t>City of Pomona</w:t>
      </w:r>
      <w:r>
        <w:t xml:space="preserve">, </w:t>
      </w:r>
      <w:r w:rsidR="0083390A">
        <w:rPr>
          <w:i/>
          <w:iCs/>
        </w:rPr>
        <w:t>supra</w:t>
      </w:r>
      <w:r w:rsidR="0083390A">
        <w:t>,</w:t>
      </w:r>
      <w:r w:rsidR="0083390A">
        <w:rPr>
          <w:i/>
          <w:iCs/>
        </w:rPr>
        <w:t xml:space="preserve"> </w:t>
      </w:r>
      <w:r w:rsidR="0083390A">
        <w:t xml:space="preserve">28 Cal.App.5th </w:t>
      </w:r>
      <w:r>
        <w:t xml:space="preserve">at p. 1174.)  </w:t>
      </w:r>
      <w:r>
        <w:rPr>
          <w:i/>
          <w:iCs/>
        </w:rPr>
        <w:t xml:space="preserve">City of Pomona </w:t>
      </w:r>
      <w:r>
        <w:t xml:space="preserve">derived this conclusion from </w:t>
      </w:r>
      <w:r w:rsidRPr="004973CC">
        <w:rPr>
          <w:i/>
          <w:iCs/>
        </w:rPr>
        <w:t>Reynolds v. City of Calistoga</w:t>
      </w:r>
      <w:r>
        <w:t xml:space="preserve"> (2014) 223 Cal.App.4th 865, 874</w:t>
      </w:r>
      <w:r w:rsidR="00B67EA6">
        <w:t>,</w:t>
      </w:r>
      <w:r>
        <w:t xml:space="preserve"> based on language in that case emphasizing that even under circumstances involving a public right/public duty, “application of the doctrine is still discretionary.”  </w:t>
      </w:r>
      <w:r w:rsidR="00526360">
        <w:t>(</w:t>
      </w:r>
      <w:r w:rsidR="00093C6B">
        <w:rPr>
          <w:i/>
          <w:iCs/>
        </w:rPr>
        <w:t>Ibid</w:t>
      </w:r>
      <w:r w:rsidR="00526360" w:rsidRPr="003E29EB">
        <w:t>.)</w:t>
      </w:r>
      <w:r w:rsidR="00093C6B">
        <w:t xml:space="preserve"> </w:t>
      </w:r>
      <w:r w:rsidR="00526360">
        <w:t xml:space="preserve"> </w:t>
      </w:r>
      <w:r>
        <w:t xml:space="preserve">However, as the Court of Appeal observed in </w:t>
      </w:r>
      <w:r>
        <w:rPr>
          <w:i/>
          <w:iCs/>
        </w:rPr>
        <w:t>Spitzer</w:t>
      </w:r>
      <w:r>
        <w:t xml:space="preserve">, neither </w:t>
      </w:r>
      <w:r>
        <w:rPr>
          <w:i/>
          <w:iCs/>
        </w:rPr>
        <w:t xml:space="preserve">City of Pomona </w:t>
      </w:r>
      <w:r>
        <w:t xml:space="preserve">nor </w:t>
      </w:r>
      <w:r>
        <w:rPr>
          <w:i/>
          <w:iCs/>
        </w:rPr>
        <w:t xml:space="preserve">Reynolds </w:t>
      </w:r>
      <w:r>
        <w:t>provides any specific analysis or authority for utilizing abuse of discretion review.  (</w:t>
      </w:r>
      <w:r w:rsidRPr="0079736A">
        <w:rPr>
          <w:i/>
          <w:iCs/>
        </w:rPr>
        <w:t>Spitzer</w:t>
      </w:r>
      <w:r>
        <w:t xml:space="preserve">, </w:t>
      </w:r>
      <w:r>
        <w:rPr>
          <w:i/>
          <w:iCs/>
        </w:rPr>
        <w:t>supra</w:t>
      </w:r>
      <w:r>
        <w:t xml:space="preserve">, 53 Cal.App.5th at p. 409.)  The </w:t>
      </w:r>
      <w:r>
        <w:rPr>
          <w:i/>
          <w:iCs/>
        </w:rPr>
        <w:t xml:space="preserve">Spitzer </w:t>
      </w:r>
      <w:r>
        <w:t xml:space="preserve">court reasoned that </w:t>
      </w:r>
      <w:r>
        <w:lastRenderedPageBreak/>
        <w:t xml:space="preserve">insofar as standing is typically subject to de novo review, raises </w:t>
      </w:r>
      <w:r w:rsidRPr="00104489">
        <w:t>important public polic</w:t>
      </w:r>
      <w:r>
        <w:t xml:space="preserve">y </w:t>
      </w:r>
      <w:r w:rsidRPr="00104489">
        <w:t xml:space="preserve">questions </w:t>
      </w:r>
      <w:r>
        <w:t xml:space="preserve">in the public right/public duty context, and </w:t>
      </w:r>
      <w:r w:rsidRPr="00104489">
        <w:t>rarely depends on resolving underlying factual disputes</w:t>
      </w:r>
      <w:r>
        <w:t>, the proper standard of review is de novo.  (</w:t>
      </w:r>
      <w:r>
        <w:rPr>
          <w:i/>
          <w:iCs/>
        </w:rPr>
        <w:t>Id</w:t>
      </w:r>
      <w:r w:rsidRPr="003E29EB">
        <w:t xml:space="preserve">. </w:t>
      </w:r>
      <w:r>
        <w:t xml:space="preserve">at pp. 408–409.) </w:t>
      </w:r>
    </w:p>
    <w:p w14:paraId="169D160D" w14:textId="641CD713" w:rsidR="006164DD" w:rsidRDefault="00D23DB7" w:rsidP="002F6C08">
      <w:r>
        <w:t xml:space="preserve">We agree with the Court of Appeal’s reasoning in </w:t>
      </w:r>
      <w:r>
        <w:rPr>
          <w:i/>
          <w:iCs/>
        </w:rPr>
        <w:t>Spitzer</w:t>
      </w:r>
      <w:r>
        <w:t>.</w:t>
      </w:r>
      <w:r>
        <w:rPr>
          <w:i/>
          <w:iCs/>
        </w:rPr>
        <w:t xml:space="preserve">  </w:t>
      </w:r>
      <w:r>
        <w:t xml:space="preserve">The balancing of public policy considerations and legal principles relevant to the trial court’s analysis of the public interest exception falls </w:t>
      </w:r>
      <w:r w:rsidR="003A5652">
        <w:t>with</w:t>
      </w:r>
      <w:r>
        <w:t>in the ambit of de novo review.  (</w:t>
      </w:r>
      <w:r w:rsidRPr="0079736A">
        <w:rPr>
          <w:i/>
          <w:iCs/>
        </w:rPr>
        <w:t>Spitzer</w:t>
      </w:r>
      <w:r>
        <w:t xml:space="preserve">, </w:t>
      </w:r>
      <w:r>
        <w:rPr>
          <w:i/>
          <w:iCs/>
        </w:rPr>
        <w:t>supra</w:t>
      </w:r>
      <w:r>
        <w:t xml:space="preserve">, 53 Cal.App.5th at p. 409; see </w:t>
      </w:r>
      <w:r w:rsidRPr="00D25C5C">
        <w:rPr>
          <w:i/>
          <w:iCs/>
        </w:rPr>
        <w:t>Crocker National Bank v. City and County of San Francisco</w:t>
      </w:r>
      <w:r>
        <w:t xml:space="preserve"> (1989) 49 Cal.3d 881, 888 [“If . . . the inquiry requires a critical consideration, in a factual context, of legal principles and their underlying values, the question is predominantly legal and its determination is reviewed independently.”]; </w:t>
      </w:r>
      <w:r w:rsidRPr="006D00C3">
        <w:rPr>
          <w:i/>
          <w:iCs/>
        </w:rPr>
        <w:t>In re Collins</w:t>
      </w:r>
      <w:r>
        <w:t xml:space="preserve"> (2001) 86 Cal.App.4th 1176, 1181 [same].)  </w:t>
      </w:r>
      <w:r w:rsidR="002F6C08">
        <w:t>To the extent there are underlying factual questions relevant to standing, we defer to the</w:t>
      </w:r>
      <w:r w:rsidR="004F7DC5">
        <w:t xml:space="preserve"> trial</w:t>
      </w:r>
      <w:r w:rsidR="002F6C08">
        <w:t xml:space="preserve"> court’s factual findings based upon substantial evidence.  (See </w:t>
      </w:r>
      <w:r w:rsidR="002F6C08" w:rsidRPr="00FF3703">
        <w:rPr>
          <w:i/>
          <w:iCs/>
        </w:rPr>
        <w:t>San Luis</w:t>
      </w:r>
      <w:r w:rsidR="002F6C08">
        <w:t xml:space="preserve">, </w:t>
      </w:r>
      <w:r w:rsidR="002F6C08">
        <w:rPr>
          <w:i/>
          <w:iCs/>
        </w:rPr>
        <w:t>supra</w:t>
      </w:r>
      <w:r w:rsidR="002F6C08">
        <w:t xml:space="preserve">, 15 Cal.App.5th at p. 73.)  </w:t>
      </w:r>
    </w:p>
    <w:p w14:paraId="3B61C84C" w14:textId="57837444" w:rsidR="00F87E24" w:rsidRPr="00F87E24" w:rsidRDefault="00D23DB7" w:rsidP="002F6C08">
      <w:r>
        <w:t xml:space="preserve">We therefore </w:t>
      </w:r>
      <w:r w:rsidR="006164DD">
        <w:t xml:space="preserve">independently </w:t>
      </w:r>
      <w:r>
        <w:t xml:space="preserve">review the trial court’s legal determination that </w:t>
      </w:r>
      <w:proofErr w:type="spellStart"/>
      <w:r>
        <w:t>Loeber</w:t>
      </w:r>
      <w:proofErr w:type="spellEnd"/>
      <w:r>
        <w:t xml:space="preserve"> lacks standing</w:t>
      </w:r>
      <w:r w:rsidR="009756BB">
        <w:t xml:space="preserve"> and review for substantial evidence any relevant factual findings by the court</w:t>
      </w:r>
      <w:r>
        <w:t>.</w:t>
      </w:r>
    </w:p>
    <w:p w14:paraId="03B982BD" w14:textId="42D09F2A" w:rsidR="00DD171B" w:rsidRDefault="00D23DB7" w:rsidP="006E7BDE">
      <w:pPr>
        <w:pStyle w:val="Heading3"/>
      </w:pPr>
      <w:r>
        <w:t>B</w:t>
      </w:r>
      <w:r w:rsidR="008C2B33">
        <w:t>en</w:t>
      </w:r>
      <w:r w:rsidR="00270072">
        <w:t>eficial Interest</w:t>
      </w:r>
      <w:r w:rsidR="0057045F">
        <w:t xml:space="preserve"> </w:t>
      </w:r>
    </w:p>
    <w:p w14:paraId="663BE117" w14:textId="6F41F792" w:rsidR="0057045F" w:rsidRDefault="00D23DB7" w:rsidP="003F72D4">
      <w:proofErr w:type="spellStart"/>
      <w:r>
        <w:t>Loeber</w:t>
      </w:r>
      <w:proofErr w:type="spellEnd"/>
      <w:r>
        <w:t xml:space="preserve"> asserts he has a “direct and substantial” interest in </w:t>
      </w:r>
      <w:r w:rsidR="00F23E79">
        <w:t>passage of the initiative</w:t>
      </w:r>
      <w:r w:rsidR="00207AF6">
        <w:t xml:space="preserve">. He argues that </w:t>
      </w:r>
      <w:r w:rsidR="00981505">
        <w:t xml:space="preserve">even if his status with respect to the trust does not </w:t>
      </w:r>
      <w:r w:rsidR="00981505" w:rsidRPr="00B53F2C">
        <w:t>legally</w:t>
      </w:r>
      <w:r w:rsidR="00981505">
        <w:rPr>
          <w:i/>
          <w:iCs/>
        </w:rPr>
        <w:t xml:space="preserve"> </w:t>
      </w:r>
      <w:r w:rsidR="00981505">
        <w:t xml:space="preserve">obligate him to pay the taxes on the properties </w:t>
      </w:r>
      <w:r w:rsidR="00FC7C97">
        <w:t xml:space="preserve">(a duty that he appears to acknowledge belongs to the trustee of the trust), he is </w:t>
      </w:r>
      <w:r w:rsidR="00FC7C97" w:rsidRPr="00B53F2C">
        <w:t>in fact</w:t>
      </w:r>
      <w:r w:rsidR="00FC7C97">
        <w:rPr>
          <w:i/>
          <w:iCs/>
        </w:rPr>
        <w:t xml:space="preserve"> </w:t>
      </w:r>
      <w:r w:rsidR="00FC7C97">
        <w:t xml:space="preserve">the “only person who will pay the tax” </w:t>
      </w:r>
      <w:r w:rsidR="00437ABB">
        <w:t>without which</w:t>
      </w:r>
      <w:r w:rsidR="00FC7C97">
        <w:t xml:space="preserve"> “the trust he formed for his children would lose the property.” </w:t>
      </w:r>
      <w:r w:rsidR="003F72D4">
        <w:t xml:space="preserve"> </w:t>
      </w:r>
      <w:proofErr w:type="spellStart"/>
      <w:r w:rsidR="00207AF6">
        <w:t>Loeber</w:t>
      </w:r>
      <w:proofErr w:type="spellEnd"/>
      <w:r w:rsidR="00207AF6">
        <w:t xml:space="preserve"> </w:t>
      </w:r>
      <w:r w:rsidR="003F72D4">
        <w:t xml:space="preserve">refers to </w:t>
      </w:r>
      <w:r w:rsidR="00437ABB">
        <w:t>this</w:t>
      </w:r>
      <w:r w:rsidR="003F72D4">
        <w:t xml:space="preserve"> interest </w:t>
      </w:r>
      <w:r w:rsidR="00437ABB">
        <w:t xml:space="preserve">as </w:t>
      </w:r>
      <w:r w:rsidR="00981505">
        <w:t xml:space="preserve">“obviously </w:t>
      </w:r>
      <w:r w:rsidR="00437ABB">
        <w:t>[]</w:t>
      </w:r>
      <w:r w:rsidR="00981505">
        <w:t xml:space="preserve"> a personal interest that is real, concrete and particular” </w:t>
      </w:r>
      <w:r w:rsidR="00437ABB">
        <w:t xml:space="preserve">and contends that because mandate is an action in equity, “courts can rule according to reality and fact instead of according to laws which are imperfect and unjust in that situation.” </w:t>
      </w:r>
    </w:p>
    <w:p w14:paraId="519B7B9D" w14:textId="2003A603" w:rsidR="003F51AC" w:rsidRDefault="00D23DB7" w:rsidP="00F6534D">
      <w:r>
        <w:lastRenderedPageBreak/>
        <w:t xml:space="preserve">These arguments and the related evidence fail to establish </w:t>
      </w:r>
      <w:r w:rsidR="00434AB6">
        <w:t xml:space="preserve">that </w:t>
      </w:r>
      <w:proofErr w:type="spellStart"/>
      <w:r w:rsidR="00434AB6">
        <w:t>Loeber</w:t>
      </w:r>
      <w:proofErr w:type="spellEnd"/>
      <w:r w:rsidR="00434AB6">
        <w:t xml:space="preserve"> </w:t>
      </w:r>
      <w:r w:rsidR="00696041">
        <w:t xml:space="preserve">has a “beneficial interest” that </w:t>
      </w:r>
      <w:r w:rsidR="000A2A3F">
        <w:t>is</w:t>
      </w:r>
      <w:r w:rsidR="00EC745E">
        <w:t xml:space="preserve"> </w:t>
      </w:r>
      <w:r w:rsidR="00696041">
        <w:t>“direct and substantial.”  (</w:t>
      </w:r>
      <w:r w:rsidR="00696041" w:rsidRPr="00523098">
        <w:rPr>
          <w:i/>
          <w:iCs/>
        </w:rPr>
        <w:t>Save the Plastic Bag</w:t>
      </w:r>
      <w:r w:rsidR="00696041">
        <w:t xml:space="preserve">, </w:t>
      </w:r>
      <w:r w:rsidR="00696041">
        <w:rPr>
          <w:i/>
          <w:iCs/>
        </w:rPr>
        <w:t>supra</w:t>
      </w:r>
      <w:r w:rsidR="00696041">
        <w:t>,</w:t>
      </w:r>
      <w:r w:rsidR="00696041" w:rsidRPr="00523098">
        <w:rPr>
          <w:i/>
          <w:iCs/>
        </w:rPr>
        <w:t xml:space="preserve"> </w:t>
      </w:r>
      <w:r w:rsidR="00696041">
        <w:t xml:space="preserve">52 Cal.4th at p. 165.)  </w:t>
      </w:r>
      <w:proofErr w:type="spellStart"/>
      <w:r w:rsidR="00512815">
        <w:t>Loeber</w:t>
      </w:r>
      <w:proofErr w:type="spellEnd"/>
      <w:r w:rsidR="00512815">
        <w:t xml:space="preserve"> granted his properties to the trust </w:t>
      </w:r>
      <w:r w:rsidR="00651331">
        <w:t xml:space="preserve">in 2009. </w:t>
      </w:r>
      <w:r w:rsidR="00512815">
        <w:t xml:space="preserve"> </w:t>
      </w:r>
      <w:r w:rsidR="00171BE7">
        <w:t xml:space="preserve">He states that the trust is irrevocable.  </w:t>
      </w:r>
      <w:r w:rsidR="00651331">
        <w:t xml:space="preserve">He does not purport to currently own any property subject to the district’s parcel tax.  </w:t>
      </w:r>
      <w:proofErr w:type="spellStart"/>
      <w:r w:rsidR="006B1C62">
        <w:t>Loeber</w:t>
      </w:r>
      <w:proofErr w:type="spellEnd"/>
      <w:r w:rsidR="006B1C62">
        <w:t xml:space="preserve"> cites his annual payment of</w:t>
      </w:r>
      <w:r w:rsidR="00512815">
        <w:t xml:space="preserve"> taxes on the parcels</w:t>
      </w:r>
      <w:r w:rsidR="00895272">
        <w:t xml:space="preserve"> and his “beneficial use of the parcels held by </w:t>
      </w:r>
      <w:r w:rsidR="006C1C85">
        <w:t>[</w:t>
      </w:r>
      <w:r w:rsidR="00895272">
        <w:t>the</w:t>
      </w:r>
      <w:r w:rsidR="006C1C85">
        <w:t>]</w:t>
      </w:r>
      <w:r w:rsidR="00895272">
        <w:t xml:space="preserve"> trust,” </w:t>
      </w:r>
      <w:r w:rsidR="00593153">
        <w:t>asserting there is “no one else to pay” the taxes and</w:t>
      </w:r>
      <w:r w:rsidR="00895272">
        <w:t xml:space="preserve"> without his payment of taxes he would “lose the beneficial interest</w:t>
      </w:r>
      <w:r w:rsidR="00593153">
        <w:t>.</w:t>
      </w:r>
      <w:r w:rsidR="00895272">
        <w:t>”</w:t>
      </w:r>
      <w:r w:rsidR="00593153">
        <w:t xml:space="preserve"> </w:t>
      </w:r>
      <w:r w:rsidR="00913D6E">
        <w:t xml:space="preserve"> </w:t>
      </w:r>
      <w:proofErr w:type="spellStart"/>
      <w:r>
        <w:t>Loeber</w:t>
      </w:r>
      <w:proofErr w:type="spellEnd"/>
      <w:r>
        <w:t xml:space="preserve"> also avers that as the </w:t>
      </w:r>
      <w:r w:rsidR="00F6534D">
        <w:t>settlor</w:t>
      </w:r>
      <w:r w:rsidR="00A907EF">
        <w:t>/trustor</w:t>
      </w:r>
      <w:r w:rsidR="00F6534D">
        <w:t xml:space="preserve"> and grantor</w:t>
      </w:r>
      <w:r>
        <w:t xml:space="preserve">, he can “re-acquire the property” pursuant to the trust, </w:t>
      </w:r>
      <w:r w:rsidR="00F6534D">
        <w:t xml:space="preserve">a </w:t>
      </w:r>
      <w:r w:rsidR="006F02DD">
        <w:t>short</w:t>
      </w:r>
      <w:r w:rsidR="00F6534D">
        <w:t xml:space="preserve"> e</w:t>
      </w:r>
      <w:r>
        <w:t>xcerpt of which he included in his brief on standing</w:t>
      </w:r>
      <w:r w:rsidR="00C34431">
        <w:t xml:space="preserve"> filed in the trial court</w:t>
      </w:r>
      <w:r>
        <w:t xml:space="preserve">.  </w:t>
      </w:r>
      <w:proofErr w:type="spellStart"/>
      <w:r w:rsidR="00C34431">
        <w:t>Loeber</w:t>
      </w:r>
      <w:proofErr w:type="spellEnd"/>
      <w:r w:rsidR="00C34431">
        <w:t xml:space="preserve"> </w:t>
      </w:r>
      <w:r w:rsidR="00F6534D">
        <w:t xml:space="preserve">points to the language in the excerpt, which states the settlor’s intent that the properties “be used in perpetuity by the </w:t>
      </w:r>
      <w:proofErr w:type="spellStart"/>
      <w:r w:rsidR="00F6534D">
        <w:t>Loeber</w:t>
      </w:r>
      <w:proofErr w:type="spellEnd"/>
      <w:r w:rsidR="00F6534D">
        <w:t xml:space="preserve"> family” and provides that during the settlor’s lifetime, </w:t>
      </w:r>
      <w:proofErr w:type="spellStart"/>
      <w:r w:rsidR="003A5652">
        <w:t>Loeber</w:t>
      </w:r>
      <w:proofErr w:type="spellEnd"/>
      <w:r w:rsidR="003A5652">
        <w:t xml:space="preserve"> </w:t>
      </w:r>
      <w:r w:rsidR="00F6534D">
        <w:t>“shall have the power as [s]</w:t>
      </w:r>
      <w:proofErr w:type="spellStart"/>
      <w:r w:rsidR="00F6534D">
        <w:t>ettlor</w:t>
      </w:r>
      <w:proofErr w:type="spellEnd"/>
      <w:r w:rsidR="00F6534D">
        <w:t xml:space="preserve"> (in a non-fiduciary capacity, without the approval or consent of the [t]</w:t>
      </w:r>
      <w:proofErr w:type="spellStart"/>
      <w:r w:rsidR="00F6534D">
        <w:t>rustee</w:t>
      </w:r>
      <w:proofErr w:type="spellEnd"/>
      <w:r w:rsidR="00F6534D">
        <w:t xml:space="preserve"> or any other person acting in a fiduciary capacity, and without regard to the effect it may have on any [b]</w:t>
      </w:r>
      <w:proofErr w:type="spellStart"/>
      <w:r w:rsidR="00F6534D">
        <w:t>eneficiary</w:t>
      </w:r>
      <w:proofErr w:type="spellEnd"/>
      <w:r w:rsidR="00F6534D">
        <w:t xml:space="preserve"> of the trust) to reacquire all or any portion of the principal of the trust.</w:t>
      </w:r>
      <w:r w:rsidR="00EA5D17">
        <w:t xml:space="preserve">” </w:t>
      </w:r>
      <w:r w:rsidR="00AA1E72">
        <w:t xml:space="preserve"> (Italics omitted.) </w:t>
      </w:r>
    </w:p>
    <w:p w14:paraId="49F0A752" w14:textId="08241126" w:rsidR="00F23E79" w:rsidRDefault="00D23DB7" w:rsidP="00F6534D">
      <w:r>
        <w:t>The</w:t>
      </w:r>
      <w:r w:rsidR="0063207A">
        <w:t>se assertions</w:t>
      </w:r>
      <w:r w:rsidR="00F46262">
        <w:t>, even if factually established,</w:t>
      </w:r>
      <w:r w:rsidR="0063207A">
        <w:t xml:space="preserve"> are insufficient to satisfy the standard for beneficial interest articulated by our Supreme Court.  </w:t>
      </w:r>
      <w:proofErr w:type="spellStart"/>
      <w:r w:rsidR="0063207A">
        <w:t>Loeber</w:t>
      </w:r>
      <w:proofErr w:type="spellEnd"/>
      <w:r w:rsidR="0063207A">
        <w:t xml:space="preserve"> has not produced </w:t>
      </w:r>
      <w:r w:rsidR="00C53BA2">
        <w:t>the</w:t>
      </w:r>
      <w:r w:rsidR="0063207A">
        <w:t xml:space="preserve"> trust document establishing his alleged ability to reacquire the trust property</w:t>
      </w:r>
      <w:r w:rsidR="00171BE7">
        <w:t xml:space="preserve"> with</w:t>
      </w:r>
      <w:r w:rsidR="007F07EE">
        <w:t>out</w:t>
      </w:r>
      <w:r w:rsidR="00171BE7">
        <w:t xml:space="preserve"> the approval of the trustee or any beneficiary</w:t>
      </w:r>
      <w:r w:rsidR="0063207A">
        <w:t xml:space="preserve">, </w:t>
      </w:r>
      <w:r w:rsidR="00171BE7">
        <w:t xml:space="preserve">which appears </w:t>
      </w:r>
      <w:r w:rsidR="000A2A3F">
        <w:t>inconsistent with</w:t>
      </w:r>
      <w:r w:rsidR="00171BE7">
        <w:t xml:space="preserve"> his representation of “an irrevocable trust.”  </w:t>
      </w:r>
      <w:r w:rsidR="00D812FD">
        <w:t>H</w:t>
      </w:r>
      <w:r w:rsidR="00171BE7">
        <w:t>is reacquisition of the properties</w:t>
      </w:r>
      <w:r w:rsidR="0063207A">
        <w:t xml:space="preserve"> represents a hypothetical</w:t>
      </w:r>
      <w:r>
        <w:t xml:space="preserve"> possibility that </w:t>
      </w:r>
      <w:r w:rsidR="0063207A">
        <w:t xml:space="preserve">is neither </w:t>
      </w:r>
      <w:proofErr w:type="gramStart"/>
      <w:r w:rsidR="0063207A">
        <w:t>“ ‘</w:t>
      </w:r>
      <w:proofErr w:type="gramEnd"/>
      <w:r w:rsidR="0063207A">
        <w:t> “actual [n]or imminent” ’ ” (</w:t>
      </w:r>
      <w:r w:rsidR="0063207A" w:rsidRPr="00E21F20">
        <w:rPr>
          <w:i/>
          <w:iCs/>
        </w:rPr>
        <w:t>Associated Builders</w:t>
      </w:r>
      <w:r w:rsidR="0063207A">
        <w:t xml:space="preserve">, </w:t>
      </w:r>
      <w:r w:rsidR="0063207A">
        <w:rPr>
          <w:i/>
          <w:iCs/>
        </w:rPr>
        <w:t>supra</w:t>
      </w:r>
      <w:r w:rsidR="0063207A">
        <w:t>,</w:t>
      </w:r>
      <w:r w:rsidR="0063207A" w:rsidRPr="00E21F20">
        <w:rPr>
          <w:i/>
          <w:iCs/>
        </w:rPr>
        <w:t xml:space="preserve"> </w:t>
      </w:r>
      <w:r w:rsidR="0063207A">
        <w:t>21 Cal.4th at p.</w:t>
      </w:r>
      <w:r w:rsidR="00F6534D">
        <w:t xml:space="preserve"> </w:t>
      </w:r>
      <w:r w:rsidR="0063207A">
        <w:t>362)</w:t>
      </w:r>
      <w:r w:rsidR="00BF6440">
        <w:t xml:space="preserve"> but appears entirely “ ‘ “conjectural or hypothetical.” ’ ” </w:t>
      </w:r>
      <w:r w:rsidR="0063207A">
        <w:t xml:space="preserve"> </w:t>
      </w:r>
      <w:r w:rsidR="00BF6440">
        <w:t>(</w:t>
      </w:r>
      <w:r w:rsidR="00BF6440">
        <w:rPr>
          <w:i/>
          <w:iCs/>
        </w:rPr>
        <w:t>Ibid</w:t>
      </w:r>
      <w:r w:rsidR="00BF6440">
        <w:t>.)</w:t>
      </w:r>
      <w:r w:rsidR="0063207A">
        <w:t xml:space="preserve"> </w:t>
      </w:r>
      <w:r w:rsidR="00BF6440">
        <w:t xml:space="preserve"> </w:t>
      </w:r>
    </w:p>
    <w:p w14:paraId="1723238E" w14:textId="2A0FA7B1" w:rsidR="00437ABB" w:rsidRDefault="00D23DB7" w:rsidP="00F6534D">
      <w:r>
        <w:t>Further, although t</w:t>
      </w:r>
      <w:r w:rsidR="00346E35">
        <w:t>h</w:t>
      </w:r>
      <w:r w:rsidR="0063207A">
        <w:t xml:space="preserve">e evidence of </w:t>
      </w:r>
      <w:proofErr w:type="spellStart"/>
      <w:r w:rsidR="0063207A">
        <w:t>Loeber’s</w:t>
      </w:r>
      <w:proofErr w:type="spellEnd"/>
      <w:r w:rsidR="0063207A">
        <w:t xml:space="preserve"> property and parcel tax payments on the properties owned by the trust explain</w:t>
      </w:r>
      <w:r w:rsidR="00C53BA2">
        <w:t>s</w:t>
      </w:r>
      <w:r w:rsidR="003F51AC">
        <w:t xml:space="preserve"> </w:t>
      </w:r>
      <w:proofErr w:type="spellStart"/>
      <w:r w:rsidR="00C53BA2">
        <w:t>Loeber’s</w:t>
      </w:r>
      <w:proofErr w:type="spellEnd"/>
      <w:r w:rsidR="00C53BA2">
        <w:t xml:space="preserve"> </w:t>
      </w:r>
      <w:r w:rsidR="00346E35">
        <w:t>personal interest</w:t>
      </w:r>
      <w:r w:rsidR="00C53BA2">
        <w:t xml:space="preserve"> </w:t>
      </w:r>
      <w:r w:rsidR="003F51AC">
        <w:t>i</w:t>
      </w:r>
      <w:r w:rsidR="00346E35">
        <w:t>n</w:t>
      </w:r>
      <w:r w:rsidR="0063207A">
        <w:t xml:space="preserve"> a ballot measure</w:t>
      </w:r>
      <w:r w:rsidR="00346E35">
        <w:t xml:space="preserve"> </w:t>
      </w:r>
      <w:r w:rsidR="0063207A">
        <w:t xml:space="preserve">to </w:t>
      </w:r>
      <w:r>
        <w:t>expand the parcel tax exemption</w:t>
      </w:r>
      <w:r w:rsidR="00C53BA2">
        <w:t xml:space="preserve"> to potentially include the trust properties</w:t>
      </w:r>
      <w:r>
        <w:t xml:space="preserve">, </w:t>
      </w:r>
      <w:r w:rsidR="00C53BA2">
        <w:t>it does not amount to a concrete and particularized</w:t>
      </w:r>
      <w:r>
        <w:t xml:space="preserve"> </w:t>
      </w:r>
      <w:proofErr w:type="gramStart"/>
      <w:r>
        <w:t>“ ‘</w:t>
      </w:r>
      <w:proofErr w:type="gramEnd"/>
      <w:r>
        <w:t xml:space="preserve">legally protected interest’ ” </w:t>
      </w:r>
      <w:r w:rsidR="00C53BA2">
        <w:t xml:space="preserve">in placing the </w:t>
      </w:r>
      <w:r w:rsidR="00C53BA2">
        <w:lastRenderedPageBreak/>
        <w:t>initiative on the ballot for district voters.</w:t>
      </w:r>
      <w:r w:rsidR="00F6534D">
        <w:t xml:space="preserve">  (</w:t>
      </w:r>
      <w:r w:rsidR="00A5401F" w:rsidRPr="00E21F20">
        <w:rPr>
          <w:i/>
          <w:iCs/>
        </w:rPr>
        <w:t>Associated Builders</w:t>
      </w:r>
      <w:r w:rsidR="00A5401F">
        <w:t xml:space="preserve">, </w:t>
      </w:r>
      <w:r w:rsidR="00A5401F">
        <w:rPr>
          <w:i/>
          <w:iCs/>
        </w:rPr>
        <w:t>supra</w:t>
      </w:r>
      <w:r w:rsidR="00A5401F">
        <w:t>,</w:t>
      </w:r>
      <w:r w:rsidR="00A5401F" w:rsidRPr="00E21F20">
        <w:rPr>
          <w:i/>
          <w:iCs/>
        </w:rPr>
        <w:t xml:space="preserve"> </w:t>
      </w:r>
      <w:r w:rsidR="00A5401F">
        <w:t>21 Cal.4th at p.</w:t>
      </w:r>
      <w:r w:rsidR="003E29EB">
        <w:t> </w:t>
      </w:r>
      <w:r w:rsidR="00A5401F">
        <w:t>362</w:t>
      </w:r>
      <w:r w:rsidR="00F6534D">
        <w:t xml:space="preserve">.)  </w:t>
      </w:r>
      <w:r w:rsidR="00923881">
        <w:t>“</w:t>
      </w:r>
      <w:r w:rsidR="005C6745">
        <w:t xml:space="preserve">A petitioner has no beneficial interest within the meaning of the statute if he or she </w:t>
      </w:r>
      <w:r w:rsidR="00923881">
        <w:t>‘</w:t>
      </w:r>
      <w:r w:rsidR="005C6745">
        <w:t>will gain no direct benefit from [the writ</w:t>
      </w:r>
      <w:r w:rsidR="00923881">
        <w:t>’s</w:t>
      </w:r>
      <w:r w:rsidR="005C6745">
        <w:t>] issuance and suffer no direct detriment if it is denied.</w:t>
      </w:r>
      <w:proofErr w:type="gramStart"/>
      <w:r w:rsidR="00923881">
        <w:t>’ </w:t>
      </w:r>
      <w:r w:rsidR="005C6745">
        <w:t>”</w:t>
      </w:r>
      <w:proofErr w:type="gramEnd"/>
      <w:r w:rsidR="00923881">
        <w:t xml:space="preserve">  (</w:t>
      </w:r>
      <w:r w:rsidR="00923881" w:rsidRPr="004D3D7E">
        <w:rPr>
          <w:i/>
          <w:iCs/>
        </w:rPr>
        <w:t>SJJC Aviation</w:t>
      </w:r>
      <w:r w:rsidR="00923881">
        <w:t xml:space="preserve">, </w:t>
      </w:r>
      <w:r w:rsidR="00923881">
        <w:rPr>
          <w:i/>
          <w:iCs/>
        </w:rPr>
        <w:t>supra</w:t>
      </w:r>
      <w:r w:rsidR="00923881">
        <w:t>,</w:t>
      </w:r>
      <w:r w:rsidR="00923881">
        <w:rPr>
          <w:i/>
          <w:iCs/>
        </w:rPr>
        <w:t xml:space="preserve"> </w:t>
      </w:r>
      <w:r w:rsidR="00923881">
        <w:t>12 Cal.App.5th at p. </w:t>
      </w:r>
      <w:r w:rsidR="005C6745">
        <w:t>1053</w:t>
      </w:r>
      <w:r w:rsidR="005B25DF">
        <w:t xml:space="preserve">; accord, </w:t>
      </w:r>
      <w:r w:rsidR="005B25DF" w:rsidRPr="000E444A">
        <w:rPr>
          <w:i/>
          <w:iCs/>
        </w:rPr>
        <w:t>City of Rialto</w:t>
      </w:r>
      <w:r w:rsidR="005B25DF">
        <w:t xml:space="preserve">, </w:t>
      </w:r>
      <w:r w:rsidR="005B25DF">
        <w:rPr>
          <w:i/>
          <w:iCs/>
        </w:rPr>
        <w:t>supra</w:t>
      </w:r>
      <w:r w:rsidR="005B25DF">
        <w:t>,</w:t>
      </w:r>
      <w:r w:rsidR="005B25DF">
        <w:rPr>
          <w:i/>
          <w:iCs/>
        </w:rPr>
        <w:t xml:space="preserve"> </w:t>
      </w:r>
      <w:r w:rsidR="005B25DF">
        <w:t>208 Cal.App.4th at p. 913</w:t>
      </w:r>
      <w:r w:rsidR="00923881">
        <w:t xml:space="preserve">.)  </w:t>
      </w:r>
      <w:proofErr w:type="spellStart"/>
      <w:r w:rsidR="00923881">
        <w:t>Loeber’s</w:t>
      </w:r>
      <w:proofErr w:type="spellEnd"/>
      <w:r w:rsidR="00923881">
        <w:t xml:space="preserve"> interest in </w:t>
      </w:r>
      <w:r w:rsidR="0055448B">
        <w:t>ensur</w:t>
      </w:r>
      <w:r w:rsidR="005B25DF">
        <w:t>ing</w:t>
      </w:r>
      <w:r w:rsidR="0055448B">
        <w:t xml:space="preserve"> the trust’s maintenance for its beneficiaries does not create a direct benefit or detriment, for him</w:t>
      </w:r>
      <w:r w:rsidR="00EC745E">
        <w:t xml:space="preserve"> personally</w:t>
      </w:r>
      <w:r w:rsidR="0055448B">
        <w:t xml:space="preserve">, in the issuance or denial of the writ.  </w:t>
      </w:r>
      <w:r w:rsidR="00F6534D">
        <w:t xml:space="preserve">We conclude that </w:t>
      </w:r>
      <w:proofErr w:type="spellStart"/>
      <w:r w:rsidR="0055448B">
        <w:t>Loeber</w:t>
      </w:r>
      <w:proofErr w:type="spellEnd"/>
      <w:r w:rsidR="0055448B">
        <w:t xml:space="preserve"> has not </w:t>
      </w:r>
      <w:r w:rsidR="00D71347">
        <w:t xml:space="preserve">shown </w:t>
      </w:r>
      <w:r w:rsidR="00F65F96">
        <w:t xml:space="preserve">that </w:t>
      </w:r>
      <w:r w:rsidR="00D71347">
        <w:t>he is “</w:t>
      </w:r>
      <w:r w:rsidR="00434AB6">
        <w:t>beneficially interested</w:t>
      </w:r>
      <w:r w:rsidR="00D71347">
        <w:t>” to establish standing</w:t>
      </w:r>
      <w:r w:rsidR="00434AB6">
        <w:t xml:space="preserve"> within the meaning of </w:t>
      </w:r>
      <w:r w:rsidR="003A5652">
        <w:t xml:space="preserve">Code of Civil Procedure </w:t>
      </w:r>
      <w:r w:rsidR="00434AB6">
        <w:t>section 1086.</w:t>
      </w:r>
    </w:p>
    <w:p w14:paraId="7DDA1961" w14:textId="63A9B602" w:rsidR="0048632C" w:rsidRDefault="00D23DB7" w:rsidP="00772D67">
      <w:proofErr w:type="spellStart"/>
      <w:r>
        <w:t>Loeber</w:t>
      </w:r>
      <w:proofErr w:type="spellEnd"/>
      <w:r>
        <w:t xml:space="preserve"> also </w:t>
      </w:r>
      <w:r w:rsidR="00B849BA">
        <w:t>advances two arguments related to</w:t>
      </w:r>
      <w:r>
        <w:t xml:space="preserve"> his role as the drafter, sponsor, and “official” </w:t>
      </w:r>
      <w:r w:rsidR="00005C2D">
        <w:t xml:space="preserve">(boldface omitted) </w:t>
      </w:r>
      <w:r>
        <w:t xml:space="preserve">or “authorized executive” of the successful initiative campaign to qualify the measure for the ballot.  </w:t>
      </w:r>
      <w:r w:rsidR="00B849BA">
        <w:t>He</w:t>
      </w:r>
      <w:r>
        <w:t xml:space="preserve"> </w:t>
      </w:r>
      <w:r w:rsidR="00B849BA">
        <w:t>contends</w:t>
      </w:r>
      <w:r>
        <w:t xml:space="preserve"> that “</w:t>
      </w:r>
      <w:r w:rsidR="00515CD3">
        <w:t>[</w:t>
      </w:r>
      <w:proofErr w:type="spellStart"/>
      <w:r>
        <w:t>i</w:t>
      </w:r>
      <w:proofErr w:type="spellEnd"/>
      <w:r w:rsidR="00515CD3">
        <w:t>]</w:t>
      </w:r>
      <w:r>
        <w:t xml:space="preserve">t is his right to seek this writ so that he will receive the lawful fruit of his labor.”  </w:t>
      </w:r>
      <w:r w:rsidR="00B849BA">
        <w:t xml:space="preserve">He further asserts that because William Bull, the proponent of the initiative, appointed him to be the sole representative in all required functions with respect to signature collection and communication with the registrar of voters, he is beneficially interested in the writ petition by the fact of his “official capacity.” </w:t>
      </w:r>
      <w:r w:rsidR="001C240D">
        <w:t xml:space="preserve"> (Boldface omitted.) </w:t>
      </w:r>
    </w:p>
    <w:p w14:paraId="548D44FC" w14:textId="46EB6795" w:rsidR="00F23E79" w:rsidRDefault="00D23DB7" w:rsidP="00653BF4">
      <w:proofErr w:type="spellStart"/>
      <w:r>
        <w:t>Loeber</w:t>
      </w:r>
      <w:proofErr w:type="spellEnd"/>
      <w:r>
        <w:t xml:space="preserve"> </w:t>
      </w:r>
      <w:r w:rsidR="00772D67">
        <w:t>offers no legal authority to support these alleged bases for standing</w:t>
      </w:r>
      <w:r w:rsidR="00E70859">
        <w:t xml:space="preserve">.  </w:t>
      </w:r>
      <w:r w:rsidR="00D812FD">
        <w:t>He</w:t>
      </w:r>
      <w:r w:rsidR="00EC745E">
        <w:t xml:space="preserve"> relies on loose analogies to cases that contain no </w:t>
      </w:r>
      <w:r w:rsidR="00C34431">
        <w:t xml:space="preserve">analysis </w:t>
      </w:r>
      <w:r w:rsidR="00EC745E">
        <w:t xml:space="preserve">of standing.  </w:t>
      </w:r>
      <w:proofErr w:type="spellStart"/>
      <w:r w:rsidR="001C6354">
        <w:t>Loeber</w:t>
      </w:r>
      <w:proofErr w:type="spellEnd"/>
      <w:r w:rsidR="001C6354">
        <w:t xml:space="preserve"> </w:t>
      </w:r>
      <w:r w:rsidR="00772D67">
        <w:t>compares his role in obtaining signatures to certify the initiative for the ballot and pursuing this writ and appeal to</w:t>
      </w:r>
      <w:r w:rsidR="001C6354">
        <w:t xml:space="preserve"> </w:t>
      </w:r>
      <w:r w:rsidR="0018017C" w:rsidRPr="0018017C">
        <w:rPr>
          <w:i/>
          <w:iCs/>
        </w:rPr>
        <w:t>California Cannabis Coalition v. City of Upland</w:t>
      </w:r>
      <w:r w:rsidR="0018017C">
        <w:t xml:space="preserve"> (2017) 3 Cal.5th 924 (</w:t>
      </w:r>
      <w:r w:rsidR="0018017C" w:rsidRPr="0018017C">
        <w:rPr>
          <w:i/>
          <w:iCs/>
        </w:rPr>
        <w:t>California Cannabis</w:t>
      </w:r>
      <w:r w:rsidR="0018017C">
        <w:t>)</w:t>
      </w:r>
      <w:r w:rsidR="001C6354">
        <w:t xml:space="preserve">.  However, </w:t>
      </w:r>
      <w:r w:rsidR="0048632C">
        <w:rPr>
          <w:i/>
          <w:iCs/>
        </w:rPr>
        <w:t xml:space="preserve">California Cannabis </w:t>
      </w:r>
      <w:r w:rsidR="0048632C">
        <w:t>do</w:t>
      </w:r>
      <w:r w:rsidR="00AE7D77">
        <w:t>es</w:t>
      </w:r>
      <w:r w:rsidR="0048632C">
        <w:t xml:space="preserve"> not address standing</w:t>
      </w:r>
      <w:r w:rsidR="00AE7D77">
        <w:t xml:space="preserve"> and involved</w:t>
      </w:r>
      <w:r w:rsidR="00C33255">
        <w:t xml:space="preserve"> plaintiffs </w:t>
      </w:r>
      <w:r w:rsidR="00653BF4">
        <w:t>composed</w:t>
      </w:r>
      <w:r w:rsidR="00AE7D77">
        <w:t xml:space="preserve"> n</w:t>
      </w:r>
      <w:r w:rsidR="00C33255">
        <w:t xml:space="preserve">ot only </w:t>
      </w:r>
      <w:r w:rsidR="00AE7D77">
        <w:t>of the</w:t>
      </w:r>
      <w:r w:rsidR="00C33255">
        <w:t xml:space="preserve"> non-voter nonprofit organization, California Cannabis Coalition, but</w:t>
      </w:r>
      <w:r w:rsidR="0048632C">
        <w:t xml:space="preserve"> </w:t>
      </w:r>
      <w:r w:rsidR="00AE7D77">
        <w:t xml:space="preserve">of the </w:t>
      </w:r>
      <w:r w:rsidR="00C33255">
        <w:t>individual initiative proponents.  (</w:t>
      </w:r>
      <w:r w:rsidR="00923B92">
        <w:rPr>
          <w:i/>
          <w:iCs/>
        </w:rPr>
        <w:t>Id.</w:t>
      </w:r>
      <w:r w:rsidR="00C33255">
        <w:t xml:space="preserve"> at p. 931, fn. 3</w:t>
      </w:r>
      <w:r w:rsidR="00AE7D77">
        <w:t xml:space="preserve">.) </w:t>
      </w:r>
      <w:r w:rsidR="00C33255">
        <w:t xml:space="preserve"> </w:t>
      </w:r>
      <w:r w:rsidR="00AE7D77">
        <w:t xml:space="preserve">Absent any discussion in </w:t>
      </w:r>
      <w:r w:rsidR="00AE7D77">
        <w:rPr>
          <w:i/>
          <w:iCs/>
        </w:rPr>
        <w:t xml:space="preserve">California Cannabis </w:t>
      </w:r>
      <w:r w:rsidR="00AE7D77">
        <w:t xml:space="preserve">of the basis for the plaintiffs’ standing to pursue the writ of mandate </w:t>
      </w:r>
      <w:r w:rsidR="007F07EE">
        <w:t xml:space="preserve">action </w:t>
      </w:r>
      <w:r w:rsidR="00AE7D77">
        <w:t xml:space="preserve">and appeal, we </w:t>
      </w:r>
      <w:r w:rsidR="002D05F4">
        <w:t>do not</w:t>
      </w:r>
      <w:r w:rsidR="00AE7D77">
        <w:t xml:space="preserve"> </w:t>
      </w:r>
      <w:r w:rsidR="00834F37">
        <w:t xml:space="preserve">draw any guidance on </w:t>
      </w:r>
      <w:r w:rsidR="00941695">
        <w:t>this issue</w:t>
      </w:r>
      <w:r w:rsidR="00834F37">
        <w:t xml:space="preserve"> </w:t>
      </w:r>
      <w:r w:rsidR="00834F37">
        <w:lastRenderedPageBreak/>
        <w:t xml:space="preserve">from that case.  </w:t>
      </w:r>
      <w:r w:rsidR="00E90B10">
        <w:t>(</w:t>
      </w:r>
      <w:r w:rsidR="00E90B10" w:rsidRPr="0022302A">
        <w:rPr>
          <w:i/>
          <w:iCs/>
        </w:rPr>
        <w:t>B.B. v. County of Los Angeles</w:t>
      </w:r>
      <w:r w:rsidR="00E90B10">
        <w:t xml:space="preserve"> (2020) 10 Cal.5th 1, 11 </w:t>
      </w:r>
      <w:proofErr w:type="gramStart"/>
      <w:r w:rsidR="00E90B10">
        <w:t>[“ </w:t>
      </w:r>
      <w:r w:rsidR="00E90B10" w:rsidRPr="00527D99">
        <w:t>‘</w:t>
      </w:r>
      <w:proofErr w:type="gramEnd"/>
      <w:r w:rsidR="00E90B10">
        <w:t xml:space="preserve"> “[C]</w:t>
      </w:r>
      <w:proofErr w:type="spellStart"/>
      <w:r w:rsidR="00E90B10" w:rsidRPr="00527D99">
        <w:t>ases</w:t>
      </w:r>
      <w:proofErr w:type="spellEnd"/>
      <w:r w:rsidR="00E90B10" w:rsidRPr="00527D99">
        <w:t xml:space="preserve"> are not authority for propositions not considered.</w:t>
      </w:r>
      <w:r w:rsidR="00E90B10">
        <w:t>” </w:t>
      </w:r>
      <w:r w:rsidR="00E90B10" w:rsidRPr="00527D99">
        <w:t>’</w:t>
      </w:r>
      <w:r w:rsidR="003A5652">
        <w:t> </w:t>
      </w:r>
      <w:r w:rsidR="00E90B10" w:rsidRPr="00527D99">
        <w:t>”</w:t>
      </w:r>
      <w:r w:rsidR="00E90B10">
        <w:t xml:space="preserve">].)  </w:t>
      </w:r>
    </w:p>
    <w:p w14:paraId="74E22A2A" w14:textId="7AE3245B" w:rsidR="00B849BA" w:rsidRPr="004773A7" w:rsidRDefault="00D23DB7" w:rsidP="00653BF4">
      <w:r>
        <w:t xml:space="preserve">We similarly reject </w:t>
      </w:r>
      <w:proofErr w:type="spellStart"/>
      <w:r>
        <w:t>Loeber’s</w:t>
      </w:r>
      <w:proofErr w:type="spellEnd"/>
      <w:r>
        <w:t xml:space="preserve"> attempt to analogize his legal standing to that of the plaintiffs in </w:t>
      </w:r>
      <w:r w:rsidR="00AE7D77" w:rsidRPr="00772D67">
        <w:rPr>
          <w:i/>
          <w:iCs/>
        </w:rPr>
        <w:t>City and County of San Francisco v. All Persons Interested in the Matter of Proposition G</w:t>
      </w:r>
      <w:r w:rsidR="00AE7D77">
        <w:t xml:space="preserve"> (2021) 66 Cal.App.5th 1058</w:t>
      </w:r>
      <w:r w:rsidR="004773A7">
        <w:t xml:space="preserve">.  In </w:t>
      </w:r>
      <w:r w:rsidR="004773A7">
        <w:rPr>
          <w:i/>
          <w:iCs/>
        </w:rPr>
        <w:t>Proposition G</w:t>
      </w:r>
      <w:r w:rsidR="004773A7">
        <w:t xml:space="preserve">, the </w:t>
      </w:r>
      <w:r w:rsidR="00A01B88">
        <w:t>c</w:t>
      </w:r>
      <w:r w:rsidR="004773A7" w:rsidRPr="004773A7">
        <w:t xml:space="preserve">ity and </w:t>
      </w:r>
      <w:r w:rsidR="00A01B88">
        <w:t>c</w:t>
      </w:r>
      <w:r w:rsidR="004773A7" w:rsidRPr="004773A7">
        <w:t xml:space="preserve">ounty of San Francisco </w:t>
      </w:r>
      <w:r w:rsidR="004773A7">
        <w:t xml:space="preserve">filed a complaint seeking to validate Proposition G, </w:t>
      </w:r>
      <w:r w:rsidR="004773A7" w:rsidRPr="004773A7">
        <w:t xml:space="preserve">an initiative measure </w:t>
      </w:r>
      <w:r w:rsidR="004773A7">
        <w:t xml:space="preserve">previously passed </w:t>
      </w:r>
      <w:r w:rsidR="00873342">
        <w:t>by t</w:t>
      </w:r>
      <w:r w:rsidR="004773A7">
        <w:t>he voters authorizing</w:t>
      </w:r>
      <w:r w:rsidR="004773A7" w:rsidRPr="004773A7">
        <w:t xml:space="preserve"> an annual parcel tax</w:t>
      </w:r>
      <w:r w:rsidR="004773A7">
        <w:t xml:space="preserve"> for the benefit of the </w:t>
      </w:r>
      <w:r w:rsidR="00873342">
        <w:t xml:space="preserve">San Francisco </w:t>
      </w:r>
      <w:r w:rsidR="004773A7">
        <w:t>school district.  (</w:t>
      </w:r>
      <w:r w:rsidR="004773A7">
        <w:rPr>
          <w:i/>
          <w:iCs/>
        </w:rPr>
        <w:t>Id</w:t>
      </w:r>
      <w:r w:rsidR="004773A7">
        <w:t xml:space="preserve">. at pp. 1065–1066.)  </w:t>
      </w:r>
      <w:r w:rsidR="00873342">
        <w:rPr>
          <w:i/>
          <w:iCs/>
        </w:rPr>
        <w:t>Proposition G</w:t>
      </w:r>
      <w:r w:rsidR="00873342">
        <w:t xml:space="preserve"> did not </w:t>
      </w:r>
      <w:r w:rsidR="00B53F2C">
        <w:t xml:space="preserve">involve </w:t>
      </w:r>
      <w:r w:rsidR="00873342">
        <w:t xml:space="preserve">a standing challenge and does not support </w:t>
      </w:r>
      <w:proofErr w:type="spellStart"/>
      <w:r w:rsidR="00873342">
        <w:t>Loeber’s</w:t>
      </w:r>
      <w:proofErr w:type="spellEnd"/>
      <w:r w:rsidR="00873342">
        <w:t xml:space="preserve"> argument for </w:t>
      </w:r>
      <w:r w:rsidR="00D03911">
        <w:t>private</w:t>
      </w:r>
      <w:r w:rsidR="00873342">
        <w:t xml:space="preserve"> standing here.   </w:t>
      </w:r>
    </w:p>
    <w:p w14:paraId="0B298E5B" w14:textId="2C8B9F88" w:rsidR="00F65F96" w:rsidRDefault="00D23DB7" w:rsidP="00F6534D">
      <w:r>
        <w:t>Although</w:t>
      </w:r>
      <w:r w:rsidR="008B7FAD">
        <w:t xml:space="preserve"> we conclude that </w:t>
      </w:r>
      <w:proofErr w:type="spellStart"/>
      <w:r w:rsidR="00D812FD">
        <w:t>Loeber</w:t>
      </w:r>
      <w:proofErr w:type="spellEnd"/>
      <w:r w:rsidR="00D812FD">
        <w:t xml:space="preserve"> </w:t>
      </w:r>
      <w:r w:rsidR="008B7FAD">
        <w:t xml:space="preserve">has not established standing under any of his </w:t>
      </w:r>
      <w:r>
        <w:t>beneficial</w:t>
      </w:r>
      <w:r w:rsidR="008B7FAD">
        <w:t xml:space="preserve"> interest theories, we consider</w:t>
      </w:r>
      <w:r w:rsidR="00D812FD">
        <w:t xml:space="preserve"> below</w:t>
      </w:r>
      <w:r w:rsidR="008B7FAD">
        <w:t xml:space="preserve"> whether his advocacy of the initiative </w:t>
      </w:r>
      <w:r>
        <w:t>as a means of enforcing</w:t>
      </w:r>
      <w:r w:rsidR="004132D9">
        <w:t xml:space="preserve"> citizens’ constitutional right to the initiative power</w:t>
      </w:r>
      <w:r w:rsidR="008B7FAD">
        <w:t xml:space="preserve"> comes within the public interest exception</w:t>
      </w:r>
      <w:r w:rsidR="004132D9">
        <w:t>.</w:t>
      </w:r>
    </w:p>
    <w:p w14:paraId="6A101FFE" w14:textId="04B2C6E7" w:rsidR="0057045F" w:rsidRPr="0057045F" w:rsidRDefault="00D23DB7" w:rsidP="006E7BDE">
      <w:pPr>
        <w:pStyle w:val="Heading3"/>
      </w:pPr>
      <w:r>
        <w:t>Public Interest Exception</w:t>
      </w:r>
    </w:p>
    <w:p w14:paraId="7B289F72" w14:textId="2A5C222A" w:rsidR="005D4C1C" w:rsidRDefault="00D23DB7" w:rsidP="00E21F20">
      <w:pPr>
        <w:ind w:firstLine="0"/>
      </w:pPr>
      <w:r>
        <w:tab/>
      </w:r>
      <w:proofErr w:type="spellStart"/>
      <w:r>
        <w:t>Loeber</w:t>
      </w:r>
      <w:proofErr w:type="spellEnd"/>
      <w:r>
        <w:t xml:space="preserve"> centers his appeal on the constitutional right of California citizens to </w:t>
      </w:r>
      <w:proofErr w:type="gramStart"/>
      <w:r>
        <w:t>“</w:t>
      </w:r>
      <w:r w:rsidR="00EA095D">
        <w:t> ‘</w:t>
      </w:r>
      <w:proofErr w:type="gramEnd"/>
      <w:r>
        <w:t>alter or reform</w:t>
      </w:r>
      <w:r w:rsidR="00EA095D">
        <w:t xml:space="preserve">’ </w:t>
      </w:r>
      <w:r w:rsidR="00234B41">
        <w:t>”</w:t>
      </w:r>
      <w:r>
        <w:t xml:space="preserve"> government</w:t>
      </w:r>
      <w:r w:rsidR="004E632A">
        <w:t xml:space="preserve"> </w:t>
      </w:r>
      <w:r>
        <w:t xml:space="preserve">by voter initiative.  (Art. II, § 1.)  </w:t>
      </w:r>
      <w:r w:rsidR="00A65537">
        <w:t xml:space="preserve">He asserts public interest standing “as a representative of all voters in California to secure their right to initiative in school districts on matters affecting taxation.”  </w:t>
      </w:r>
      <w:r w:rsidR="00397688">
        <w:t xml:space="preserve">Because we have concluded that the </w:t>
      </w:r>
      <w:r w:rsidR="002052EC">
        <w:t xml:space="preserve">proper standard of review </w:t>
      </w:r>
      <w:r w:rsidR="00397688">
        <w:t xml:space="preserve">concerning </w:t>
      </w:r>
      <w:r w:rsidR="002052EC">
        <w:t>the public interest exception is de novo (</w:t>
      </w:r>
      <w:r w:rsidR="002052EC" w:rsidRPr="0079736A">
        <w:rPr>
          <w:i/>
          <w:iCs/>
        </w:rPr>
        <w:t>Spitzer</w:t>
      </w:r>
      <w:r w:rsidR="002052EC">
        <w:t xml:space="preserve">, </w:t>
      </w:r>
      <w:r w:rsidR="002052EC">
        <w:rPr>
          <w:i/>
          <w:iCs/>
        </w:rPr>
        <w:t>supra</w:t>
      </w:r>
      <w:r w:rsidR="002052EC">
        <w:t>, 53 Cal.App.5th at p. 409</w:t>
      </w:r>
      <w:r w:rsidR="00397688">
        <w:t>), we</w:t>
      </w:r>
      <w:r w:rsidR="002052EC">
        <w:t xml:space="preserve"> </w:t>
      </w:r>
      <w:r w:rsidR="00777D27">
        <w:t xml:space="preserve">independently review </w:t>
      </w:r>
      <w:r w:rsidR="00397688">
        <w:t xml:space="preserve">the factors </w:t>
      </w:r>
      <w:r w:rsidR="00777D27">
        <w:t>relevant to t</w:t>
      </w:r>
      <w:r w:rsidR="00706105">
        <w:t>he trial court’s decision</w:t>
      </w:r>
      <w:r w:rsidR="009756BB">
        <w:t xml:space="preserve">, deferring to the trial court’s factual findings </w:t>
      </w:r>
      <w:proofErr w:type="gramStart"/>
      <w:r w:rsidR="000D4BAE">
        <w:t>where</w:t>
      </w:r>
      <w:proofErr w:type="gramEnd"/>
      <w:r w:rsidR="000D4BAE">
        <w:t xml:space="preserve"> </w:t>
      </w:r>
      <w:r w:rsidR="009756BB">
        <w:t>supported by substantial evidence</w:t>
      </w:r>
      <w:r w:rsidR="00706105">
        <w:t>.</w:t>
      </w:r>
    </w:p>
    <w:p w14:paraId="18E4EA24" w14:textId="6D9C5B75" w:rsidR="003B02AD" w:rsidRDefault="00D23DB7" w:rsidP="005C7EA5">
      <w:pPr>
        <w:ind w:firstLine="0"/>
      </w:pPr>
      <w:r>
        <w:tab/>
      </w:r>
      <w:proofErr w:type="spellStart"/>
      <w:r>
        <w:t>Loeber’s</w:t>
      </w:r>
      <w:proofErr w:type="spellEnd"/>
      <w:r>
        <w:t xml:space="preserve"> claim to “citizen standing” or “public interest standing” rests heavily upon the public right he seeks to vindicate through this mandate action.  </w:t>
      </w:r>
      <w:proofErr w:type="spellStart"/>
      <w:r w:rsidR="00267DAA">
        <w:t>Loeber’s</w:t>
      </w:r>
      <w:proofErr w:type="spellEnd"/>
      <w:r w:rsidR="00267DAA">
        <w:t xml:space="preserve"> petition alleges that voters </w:t>
      </w:r>
      <w:r w:rsidR="005C7EA5">
        <w:t xml:space="preserve">have a constitutional right </w:t>
      </w:r>
      <w:r w:rsidR="00267DAA">
        <w:t xml:space="preserve">to petition for elections on tax matters </w:t>
      </w:r>
      <w:r w:rsidR="005C7EA5">
        <w:t xml:space="preserve">in school districts </w:t>
      </w:r>
      <w:r w:rsidR="00267DAA">
        <w:t>with a signature requirement no greater than that for statewide initiatives.  He</w:t>
      </w:r>
      <w:r>
        <w:t xml:space="preserve"> variously asserts he is defending, on behalf of all voters in California, “the right of </w:t>
      </w:r>
      <w:r>
        <w:lastRenderedPageBreak/>
        <w:t>electors to bring school district initiatives,” “the right of electors in school districts to petition on issues that affect taxes,” “</w:t>
      </w:r>
      <w:r w:rsidRPr="00AF5F49">
        <w:t>th</w:t>
      </w:r>
      <w:r>
        <w:t xml:space="preserve">e political right of 64 signers of the petition” (boldface omitted), the </w:t>
      </w:r>
      <w:r w:rsidR="001C655A">
        <w:t>“</w:t>
      </w:r>
      <w:r>
        <w:t xml:space="preserve">enforcement of Article XIII C </w:t>
      </w:r>
      <w:r w:rsidR="005E7963">
        <w:t>[</w:t>
      </w:r>
      <w:r>
        <w:t>s</w:t>
      </w:r>
      <w:r w:rsidR="005E7963">
        <w:t>]</w:t>
      </w:r>
      <w:proofErr w:type="spellStart"/>
      <w:r>
        <w:t>ection</w:t>
      </w:r>
      <w:proofErr w:type="spellEnd"/>
      <w:r>
        <w:t xml:space="preserve"> 3 of the </w:t>
      </w:r>
      <w:r w:rsidR="005E7963">
        <w:t>[</w:t>
      </w:r>
      <w:r>
        <w:t>California</w:t>
      </w:r>
      <w:r w:rsidR="005E7963">
        <w:t>]</w:t>
      </w:r>
      <w:r>
        <w:t xml:space="preserve"> Constitution, the </w:t>
      </w:r>
      <w:r w:rsidR="008141AB">
        <w:t>“</w:t>
      </w:r>
      <w:r>
        <w:t xml:space="preserve">right to initiative in school districts on matters affecting taxation,” the </w:t>
      </w:r>
      <w:r w:rsidR="00573AF9">
        <w:t>“</w:t>
      </w:r>
      <w:r>
        <w:t xml:space="preserve">right to defend the constitutional right to initiative anywhere in the state,” and the “constitutional right to ballot access.” </w:t>
      </w:r>
      <w:r w:rsidR="00CF781E">
        <w:t xml:space="preserve"> </w:t>
      </w:r>
    </w:p>
    <w:p w14:paraId="7611E14F" w14:textId="44EC4E1A" w:rsidR="003B02AD" w:rsidRDefault="00D23DB7" w:rsidP="003B02AD">
      <w:pPr>
        <w:ind w:firstLine="0"/>
      </w:pPr>
      <w:r>
        <w:tab/>
      </w:r>
      <w:r w:rsidR="00267DAA">
        <w:t xml:space="preserve">Taken together, </w:t>
      </w:r>
      <w:r w:rsidR="00C21C4C">
        <w:t>we understand the right</w:t>
      </w:r>
      <w:r w:rsidR="00E0686F">
        <w:t xml:space="preserve"> asserted by </w:t>
      </w:r>
      <w:proofErr w:type="spellStart"/>
      <w:r w:rsidR="00E0686F">
        <w:t>Loeber</w:t>
      </w:r>
      <w:proofErr w:type="spellEnd"/>
      <w:r w:rsidR="00C21C4C">
        <w:t xml:space="preserve"> to be that of </w:t>
      </w:r>
      <w:r w:rsidR="006F1EE4">
        <w:t>voters in</w:t>
      </w:r>
      <w:r w:rsidR="00F25E92">
        <w:t xml:space="preserve"> a</w:t>
      </w:r>
      <w:r w:rsidR="00C21C4C">
        <w:t xml:space="preserve"> school district</w:t>
      </w:r>
      <w:r w:rsidR="006F1EE4">
        <w:t xml:space="preserve"> to</w:t>
      </w:r>
      <w:r w:rsidR="00C21C4C">
        <w:t xml:space="preserve"> </w:t>
      </w:r>
      <w:r w:rsidR="00CF781E">
        <w:t xml:space="preserve">utilize </w:t>
      </w:r>
      <w:r w:rsidR="006F1EE4">
        <w:t xml:space="preserve">the </w:t>
      </w:r>
      <w:r w:rsidR="00CF781E">
        <w:t>initiative</w:t>
      </w:r>
      <w:r w:rsidR="006F1EE4">
        <w:t xml:space="preserve"> process</w:t>
      </w:r>
      <w:r w:rsidR="00CF781E">
        <w:t xml:space="preserve"> </w:t>
      </w:r>
      <w:r w:rsidR="00F25E92">
        <w:t>to affect district tax measures</w:t>
      </w:r>
      <w:r w:rsidR="00C21C4C">
        <w:t>.</w:t>
      </w:r>
      <w:r w:rsidR="00267DAA">
        <w:t xml:space="preserve">  </w:t>
      </w:r>
      <w:proofErr w:type="spellStart"/>
      <w:r>
        <w:t>Loeber</w:t>
      </w:r>
      <w:proofErr w:type="spellEnd"/>
      <w:r>
        <w:t xml:space="preserve"> alleges that section 3 </w:t>
      </w:r>
      <w:r w:rsidR="0057551E">
        <w:t>guarantees</w:t>
      </w:r>
      <w:r>
        <w:t xml:space="preserve"> voters </w:t>
      </w:r>
      <w:r w:rsidR="00B53F2C">
        <w:t xml:space="preserve">in school districts </w:t>
      </w:r>
      <w:r>
        <w:t>th</w:t>
      </w:r>
      <w:r w:rsidR="0057551E">
        <w:t>e</w:t>
      </w:r>
      <w:r>
        <w:t xml:space="preserve"> right to the initiative on tax matters.</w:t>
      </w:r>
      <w:r>
        <w:rPr>
          <w:rStyle w:val="FootnoteReference"/>
          <w:b/>
          <w:bCs/>
        </w:rPr>
        <w:footnoteReference w:id="8"/>
      </w:r>
      <w:r>
        <w:t xml:space="preserve">  The district, meanwhile, </w:t>
      </w:r>
      <w:r w:rsidR="00EC745E">
        <w:t>maintains</w:t>
      </w:r>
      <w:r>
        <w:t xml:space="preserve"> that the citizen’s initiative process is inapplicable to school districts. </w:t>
      </w:r>
    </w:p>
    <w:p w14:paraId="13FD5D44" w14:textId="08939D0F" w:rsidR="001E27EC" w:rsidRDefault="00D23DB7" w:rsidP="00766BCE">
      <w:pPr>
        <w:ind w:firstLine="0"/>
      </w:pPr>
      <w:r>
        <w:tab/>
      </w:r>
      <w:r w:rsidR="00267DAA">
        <w:t xml:space="preserve">Our Supreme Court has described </w:t>
      </w:r>
      <w:r w:rsidR="002E6514">
        <w:t>the initiative power</w:t>
      </w:r>
      <w:r w:rsidR="00267DAA">
        <w:t xml:space="preserve"> “</w:t>
      </w:r>
      <w:r w:rsidR="002E6514">
        <w:t xml:space="preserve">as </w:t>
      </w:r>
      <w:proofErr w:type="gramStart"/>
      <w:r w:rsidR="002E6514">
        <w:t>‘</w:t>
      </w:r>
      <w:r w:rsidR="00267DAA">
        <w:t> “</w:t>
      </w:r>
      <w:proofErr w:type="gramEnd"/>
      <w:r w:rsidR="002E6514">
        <w:t>one of the most precious rights of our democratic process.</w:t>
      </w:r>
      <w:r w:rsidR="00267DAA">
        <w:t>” </w:t>
      </w:r>
      <w:r w:rsidR="002E6514">
        <w:t>’ ”</w:t>
      </w:r>
      <w:r w:rsidR="00267DAA">
        <w:t xml:space="preserve">  </w:t>
      </w:r>
      <w:r w:rsidR="00965211">
        <w:t>(</w:t>
      </w:r>
      <w:r w:rsidR="00965211" w:rsidRPr="0018017C">
        <w:rPr>
          <w:i/>
          <w:iCs/>
        </w:rPr>
        <w:t>C</w:t>
      </w:r>
      <w:r w:rsidR="00965211">
        <w:rPr>
          <w:i/>
          <w:iCs/>
        </w:rPr>
        <w:t>alifornia C</w:t>
      </w:r>
      <w:r w:rsidR="00965211" w:rsidRPr="0018017C">
        <w:rPr>
          <w:i/>
          <w:iCs/>
        </w:rPr>
        <w:t>annabis</w:t>
      </w:r>
      <w:r w:rsidR="00965211">
        <w:t xml:space="preserve">, </w:t>
      </w:r>
      <w:r w:rsidR="00965211">
        <w:rPr>
          <w:i/>
          <w:iCs/>
        </w:rPr>
        <w:t>supra</w:t>
      </w:r>
      <w:r w:rsidR="00965211">
        <w:t>,</w:t>
      </w:r>
      <w:r w:rsidR="00965211" w:rsidRPr="0018017C">
        <w:rPr>
          <w:i/>
          <w:iCs/>
        </w:rPr>
        <w:t xml:space="preserve"> </w:t>
      </w:r>
      <w:r w:rsidR="00965211">
        <w:t xml:space="preserve">3 Cal.5th at p. 930.)  </w:t>
      </w:r>
      <w:r>
        <w:t xml:space="preserve">The </w:t>
      </w:r>
      <w:r w:rsidR="008A3442">
        <w:t>applicability of</w:t>
      </w:r>
      <w:r w:rsidRPr="002E6514">
        <w:t xml:space="preserve"> </w:t>
      </w:r>
      <w:r>
        <w:t xml:space="preserve">section 3 as it pertains to the initiative power “in </w:t>
      </w:r>
      <w:r w:rsidRPr="003B02AD">
        <w:t>matters of reducing or repealing any local tax, assessment, fee or charge”</w:t>
      </w:r>
      <w:r w:rsidR="00B86668">
        <w:t xml:space="preserve"> </w:t>
      </w:r>
      <w:r w:rsidR="008A3442">
        <w:t>to school districts i</w:t>
      </w:r>
      <w:r w:rsidRPr="002E6514">
        <w:t xml:space="preserve">s </w:t>
      </w:r>
      <w:r w:rsidR="008A3442">
        <w:t xml:space="preserve">unquestionably </w:t>
      </w:r>
      <w:r w:rsidRPr="002E6514">
        <w:t xml:space="preserve">a matter of public interest </w:t>
      </w:r>
      <w:r w:rsidR="008A3442">
        <w:t>for voters impacted by district special taxes</w:t>
      </w:r>
      <w:r w:rsidRPr="002E6514">
        <w:t>.</w:t>
      </w:r>
      <w:r>
        <w:t xml:space="preserve">  </w:t>
      </w:r>
      <w:r w:rsidR="008A3442">
        <w:t xml:space="preserve">The trial court recognized the public interest in ensuring ballot measures created through the citizen initiative process can be voted on by the electorate. </w:t>
      </w:r>
      <w:r w:rsidR="001F51CF">
        <w:t xml:space="preserve"> </w:t>
      </w:r>
      <w:r>
        <w:t>Nevertheless</w:t>
      </w:r>
      <w:r w:rsidR="001F51CF">
        <w:t xml:space="preserve">, the court </w:t>
      </w:r>
      <w:r w:rsidR="00FE6DE1">
        <w:t>decline</w:t>
      </w:r>
      <w:r w:rsidR="005D6128">
        <w:t>d</w:t>
      </w:r>
      <w:r w:rsidR="00FE6DE1">
        <w:t xml:space="preserve"> to apply the public interest exception.  The court found that </w:t>
      </w:r>
      <w:proofErr w:type="spellStart"/>
      <w:r w:rsidR="00FE6DE1">
        <w:t>Loeber’s</w:t>
      </w:r>
      <w:proofErr w:type="spellEnd"/>
      <w:r w:rsidR="00FE6DE1">
        <w:t xml:space="preserve"> </w:t>
      </w:r>
      <w:r w:rsidR="008A3442">
        <w:t xml:space="preserve">late filing of </w:t>
      </w:r>
      <w:r w:rsidR="001F51CF">
        <w:t xml:space="preserve">the </w:t>
      </w:r>
      <w:r w:rsidR="008A3442">
        <w:t>writ petition</w:t>
      </w:r>
      <w:r w:rsidR="005D6128">
        <w:t xml:space="preserve">, </w:t>
      </w:r>
      <w:r>
        <w:t xml:space="preserve">the </w:t>
      </w:r>
      <w:r w:rsidR="001F51CF">
        <w:t xml:space="preserve">resulting </w:t>
      </w:r>
      <w:r w:rsidR="00E4034D">
        <w:t xml:space="preserve">inability of the district to </w:t>
      </w:r>
      <w:r w:rsidR="008A3442">
        <w:t>comply</w:t>
      </w:r>
      <w:r w:rsidR="00E4034D">
        <w:t xml:space="preserve"> w</w:t>
      </w:r>
      <w:r w:rsidR="008A3442">
        <w:t xml:space="preserve">ith the </w:t>
      </w:r>
      <w:r w:rsidR="00766BCE">
        <w:t xml:space="preserve">Elections Code </w:t>
      </w:r>
      <w:r w:rsidR="008A3442">
        <w:t xml:space="preserve">timelines </w:t>
      </w:r>
      <w:r w:rsidR="00E2440A">
        <w:t xml:space="preserve">for the November general election </w:t>
      </w:r>
      <w:r w:rsidR="00766BCE">
        <w:t xml:space="preserve">and administrative burden to the </w:t>
      </w:r>
      <w:r w:rsidR="00766BCE">
        <w:lastRenderedPageBreak/>
        <w:t xml:space="preserve">county, </w:t>
      </w:r>
      <w:r w:rsidR="005D6128">
        <w:t>and a</w:t>
      </w:r>
      <w:r>
        <w:t>n apparent l</w:t>
      </w:r>
      <w:r w:rsidR="005D6128">
        <w:t>ack</w:t>
      </w:r>
      <w:r w:rsidR="008A3442">
        <w:t xml:space="preserve"> of </w:t>
      </w:r>
      <w:r w:rsidR="005D6128">
        <w:t>engagement</w:t>
      </w:r>
      <w:r w:rsidR="008A3442">
        <w:t xml:space="preserve"> in the </w:t>
      </w:r>
      <w:r>
        <w:t xml:space="preserve">writ </w:t>
      </w:r>
      <w:r w:rsidR="005D6128">
        <w:t>proceedings</w:t>
      </w:r>
      <w:r w:rsidR="008A3442">
        <w:t xml:space="preserve"> by the </w:t>
      </w:r>
      <w:r>
        <w:t>initiative</w:t>
      </w:r>
      <w:r w:rsidR="008A3442">
        <w:t xml:space="preserve"> proponent or</w:t>
      </w:r>
      <w:r>
        <w:t xml:space="preserve"> </w:t>
      </w:r>
      <w:r w:rsidR="00766BCE">
        <w:t>signers</w:t>
      </w:r>
      <w:r>
        <w:t xml:space="preserve">, meant that “the public need here is not weighty.” </w:t>
      </w:r>
      <w:r w:rsidR="008A3442">
        <w:t xml:space="preserve"> </w:t>
      </w:r>
      <w:r w:rsidR="00EA7433">
        <w:t xml:space="preserve">The court also </w:t>
      </w:r>
      <w:r w:rsidR="00766BCE">
        <w:t xml:space="preserve">noted that the significant cost to the district would have “a direct impact on the </w:t>
      </w:r>
      <w:r w:rsidR="00D33F02">
        <w:t>[s</w:t>
      </w:r>
      <w:r w:rsidR="00461F38">
        <w:t>]</w:t>
      </w:r>
      <w:proofErr w:type="spellStart"/>
      <w:r w:rsidR="00D33F02">
        <w:t>choo</w:t>
      </w:r>
      <w:r w:rsidR="00461F38">
        <w:t>l</w:t>
      </w:r>
      <w:proofErr w:type="spellEnd"/>
      <w:r w:rsidR="00461F38">
        <w:t xml:space="preserve"> </w:t>
      </w:r>
      <w:r w:rsidR="00766BCE">
        <w:t>[d]</w:t>
      </w:r>
      <w:proofErr w:type="spellStart"/>
      <w:r w:rsidR="00766BCE">
        <w:t>istrict’s</w:t>
      </w:r>
      <w:proofErr w:type="spellEnd"/>
      <w:r w:rsidR="00766BCE">
        <w:t xml:space="preserve"> ability to serve the students.” </w:t>
      </w:r>
    </w:p>
    <w:p w14:paraId="3714AB32" w14:textId="397D6EFD" w:rsidR="00A54579" w:rsidRDefault="00D23DB7" w:rsidP="005C0E11">
      <w:pPr>
        <w:ind w:firstLine="0"/>
      </w:pPr>
      <w:r>
        <w:tab/>
      </w:r>
      <w:r w:rsidR="001E27EC">
        <w:t>G</w:t>
      </w:r>
      <w:r w:rsidR="001E27EC" w:rsidRPr="001E27EC">
        <w:t xml:space="preserve">iven the </w:t>
      </w:r>
      <w:r w:rsidR="003D7371">
        <w:t>significance of the</w:t>
      </w:r>
      <w:r w:rsidR="001E27EC">
        <w:t xml:space="preserve"> </w:t>
      </w:r>
      <w:r w:rsidR="003D7371">
        <w:t xml:space="preserve">public right in dispute, </w:t>
      </w:r>
      <w:r w:rsidR="009C1791">
        <w:t xml:space="preserve">we disagree </w:t>
      </w:r>
      <w:r w:rsidR="00604D8D">
        <w:t xml:space="preserve">as a matter of law </w:t>
      </w:r>
      <w:r w:rsidR="009C1791">
        <w:t>with the trial court’s assessment</w:t>
      </w:r>
      <w:r w:rsidR="00E0686F">
        <w:t xml:space="preserve"> of the importance of the right implicated in </w:t>
      </w:r>
      <w:proofErr w:type="spellStart"/>
      <w:r w:rsidR="00E0686F">
        <w:t>Loeber’s</w:t>
      </w:r>
      <w:proofErr w:type="spellEnd"/>
      <w:r w:rsidR="00E0686F">
        <w:t xml:space="preserve"> petition</w:t>
      </w:r>
      <w:r w:rsidR="009C1791">
        <w:t xml:space="preserve">. </w:t>
      </w:r>
      <w:r w:rsidR="00B2483B">
        <w:t xml:space="preserve"> The public interest exception applies</w:t>
      </w:r>
      <w:r w:rsidR="009C1791">
        <w:t xml:space="preserve"> </w:t>
      </w:r>
      <w:proofErr w:type="gramStart"/>
      <w:r w:rsidR="009C1791">
        <w:t>“ ‘</w:t>
      </w:r>
      <w:proofErr w:type="gramEnd"/>
      <w:r w:rsidR="009C1791">
        <w:t xml:space="preserve"> “</w:t>
      </w:r>
      <w:r w:rsidR="00B2483B">
        <w:t>w</w:t>
      </w:r>
      <w:r w:rsidR="009C1791">
        <w:t>here the question is one of public right and the object of the mandamus is to procure the enforcement of a public duty</w:t>
      </w:r>
      <w:r w:rsidR="00B2483B">
        <w:t>. </w:t>
      </w:r>
      <w:r w:rsidR="009C1791">
        <w:t>” ’ ”  (</w:t>
      </w:r>
      <w:r w:rsidR="009C1791">
        <w:rPr>
          <w:i/>
          <w:iCs/>
        </w:rPr>
        <w:t>Save the Plastic Bag</w:t>
      </w:r>
      <w:r w:rsidR="009C1791">
        <w:t xml:space="preserve">, </w:t>
      </w:r>
      <w:r w:rsidR="009C1791">
        <w:rPr>
          <w:i/>
          <w:iCs/>
        </w:rPr>
        <w:t>supra</w:t>
      </w:r>
      <w:r w:rsidR="009C1791">
        <w:t xml:space="preserve">, 52 Cal.4th at p. 166.)  </w:t>
      </w:r>
      <w:r w:rsidR="00B2483B">
        <w:t xml:space="preserve">The trial court </w:t>
      </w:r>
      <w:r w:rsidR="00BE6B2D">
        <w:t>questioned the extent of the public duty in this case, citing</w:t>
      </w:r>
      <w:r w:rsidR="00B2483B">
        <w:t xml:space="preserve"> the</w:t>
      </w:r>
      <w:r w:rsidR="00FC4159">
        <w:t xml:space="preserve"> </w:t>
      </w:r>
      <w:r w:rsidR="00766BCE">
        <w:t>“</w:t>
      </w:r>
      <w:r w:rsidR="00766BCE" w:rsidRPr="00766BCE">
        <w:t>significant dispute regarding whether the initiative process applies to school districts</w:t>
      </w:r>
      <w:r w:rsidR="00766BCE">
        <w:t xml:space="preserve">” </w:t>
      </w:r>
      <w:r w:rsidR="00BE6B2D">
        <w:t xml:space="preserve">and the timing of </w:t>
      </w:r>
      <w:proofErr w:type="spellStart"/>
      <w:r w:rsidR="00FC4159">
        <w:t>Loeber’s</w:t>
      </w:r>
      <w:proofErr w:type="spellEnd"/>
      <w:r w:rsidR="00FC4159">
        <w:t xml:space="preserve"> writ petition</w:t>
      </w:r>
      <w:r w:rsidR="00BE6B2D">
        <w:t>, which</w:t>
      </w:r>
      <w:r w:rsidR="00FC4159">
        <w:t xml:space="preserve"> </w:t>
      </w:r>
      <w:r w:rsidR="00263750">
        <w:t xml:space="preserve">the court observed </w:t>
      </w:r>
      <w:r w:rsidR="00983776">
        <w:t xml:space="preserve">came too late </w:t>
      </w:r>
      <w:r w:rsidR="00BE6B2D">
        <w:t xml:space="preserve">to comply with the election timelines set forth in Elections Code section 1405. </w:t>
      </w:r>
      <w:r w:rsidR="00DC4FEA">
        <w:t xml:space="preserve"> </w:t>
      </w:r>
    </w:p>
    <w:p w14:paraId="16D43642" w14:textId="31550A34" w:rsidR="008E504B" w:rsidRDefault="00D23DB7" w:rsidP="005C0E11">
      <w:pPr>
        <w:ind w:firstLine="0"/>
      </w:pPr>
      <w:r>
        <w:tab/>
        <w:t>T</w:t>
      </w:r>
      <w:r w:rsidR="00B2483B">
        <w:t xml:space="preserve">hat the public right at issue is </w:t>
      </w:r>
      <w:r w:rsidR="00B2483B">
        <w:rPr>
          <w:i/>
          <w:iCs/>
        </w:rPr>
        <w:t xml:space="preserve">disputed </w:t>
      </w:r>
      <w:r w:rsidR="00B2483B">
        <w:t>does not render it less weighty</w:t>
      </w:r>
      <w:r w:rsidR="00963B35">
        <w:t xml:space="preserve"> under the circumstances</w:t>
      </w:r>
      <w:r w:rsidR="00B2483B">
        <w:t xml:space="preserve">, or the related public duty less sharp.  </w:t>
      </w:r>
      <w:r w:rsidR="0000434F">
        <w:t xml:space="preserve">On the contrary, </w:t>
      </w:r>
      <w:r w:rsidR="009775CB">
        <w:t>the fact that there is a colorable</w:t>
      </w:r>
      <w:r w:rsidR="00963B35">
        <w:t xml:space="preserve"> </w:t>
      </w:r>
      <w:r w:rsidR="009775CB">
        <w:t xml:space="preserve">argument </w:t>
      </w:r>
      <w:r w:rsidR="00F22976">
        <w:t>regarding section 3</w:t>
      </w:r>
      <w:r w:rsidR="002D05F4">
        <w:t xml:space="preserve">’s authorization of </w:t>
      </w:r>
      <w:r w:rsidR="00F22976">
        <w:t>the</w:t>
      </w:r>
      <w:r w:rsidR="00963B35">
        <w:t xml:space="preserve"> </w:t>
      </w:r>
      <w:r w:rsidR="00F22976">
        <w:t xml:space="preserve">proposed </w:t>
      </w:r>
      <w:r w:rsidR="00963B35">
        <w:t>initiative</w:t>
      </w:r>
      <w:r w:rsidR="00134409">
        <w:t xml:space="preserve"> </w:t>
      </w:r>
      <w:r w:rsidR="009775CB">
        <w:t xml:space="preserve">heightens </w:t>
      </w:r>
      <w:r w:rsidR="00E24A76">
        <w:t xml:space="preserve">the </w:t>
      </w:r>
      <w:r w:rsidR="006B07A5">
        <w:t>significance</w:t>
      </w:r>
      <w:r w:rsidR="00526E0E">
        <w:t xml:space="preserve"> of the </w:t>
      </w:r>
      <w:r w:rsidR="006B07A5">
        <w:t xml:space="preserve">public duty </w:t>
      </w:r>
      <w:r w:rsidR="00F22976">
        <w:t>that</w:t>
      </w:r>
      <w:r w:rsidR="006B07A5">
        <w:t xml:space="preserve"> </w:t>
      </w:r>
      <w:proofErr w:type="spellStart"/>
      <w:r w:rsidR="006B07A5">
        <w:t>Loeber</w:t>
      </w:r>
      <w:proofErr w:type="spellEnd"/>
      <w:r w:rsidR="006B07A5">
        <w:t xml:space="preserve"> alleges the district has evaded.  </w:t>
      </w:r>
      <w:r>
        <w:tab/>
      </w:r>
      <w:r w:rsidR="00766BCE">
        <w:t xml:space="preserve">A writ of mandate </w:t>
      </w:r>
      <w:r w:rsidR="006E1B63">
        <w:t xml:space="preserve">is </w:t>
      </w:r>
      <w:r w:rsidR="00E7030E">
        <w:t xml:space="preserve">a proper </w:t>
      </w:r>
      <w:r w:rsidR="006E1B63">
        <w:t xml:space="preserve">means of seeking relief from the district’s decision not to proceed with an election on the qualifying initiative.  </w:t>
      </w:r>
      <w:r w:rsidR="005C0E11">
        <w:t>(</w:t>
      </w:r>
      <w:r w:rsidR="005C0E11" w:rsidRPr="005C0E11">
        <w:rPr>
          <w:i/>
          <w:iCs/>
        </w:rPr>
        <w:t>Common Cause</w:t>
      </w:r>
      <w:r w:rsidR="005C0E11">
        <w:t xml:space="preserve">, </w:t>
      </w:r>
      <w:r w:rsidR="005C0E11">
        <w:rPr>
          <w:i/>
          <w:iCs/>
        </w:rPr>
        <w:t>supra</w:t>
      </w:r>
      <w:r w:rsidR="005C0E11">
        <w:t>, 49 Cal.3d at p. 442 [“</w:t>
      </w:r>
      <w:r w:rsidR="0018459D">
        <w:t>M</w:t>
      </w:r>
      <w:r w:rsidR="005C0E11" w:rsidRPr="005C0E11">
        <w:t>andamus</w:t>
      </w:r>
      <w:r w:rsidR="005C0E11">
        <w:t> .</w:t>
      </w:r>
      <w:r w:rsidR="005C0E11">
        <w:rPr>
          <w:sz w:val="28"/>
          <w:szCs w:val="28"/>
        </w:rPr>
        <w:t> . .</w:t>
      </w:r>
      <w:r w:rsidR="005C0E11" w:rsidRPr="005C0E11">
        <w:t xml:space="preserve"> is the traditional remedy for the failure of a public official to perform a legal duty</w:t>
      </w:r>
      <w:r w:rsidR="00F757DE">
        <w:t>.</w:t>
      </w:r>
      <w:r w:rsidR="004F13F7">
        <w:t>”</w:t>
      </w:r>
      <w:r w:rsidR="005C0E11">
        <w:t>].)</w:t>
      </w:r>
      <w:r w:rsidR="004F13F7">
        <w:t xml:space="preserve"> </w:t>
      </w:r>
      <w:r w:rsidR="005C0E11">
        <w:t xml:space="preserve"> </w:t>
      </w:r>
      <w:proofErr w:type="spellStart"/>
      <w:r w:rsidR="006B07A5">
        <w:t>Loeber’s</w:t>
      </w:r>
      <w:proofErr w:type="spellEnd"/>
      <w:r w:rsidR="006B07A5">
        <w:t xml:space="preserve"> assertion of the public interest exception</w:t>
      </w:r>
      <w:r w:rsidR="00E7030E">
        <w:t xml:space="preserve"> thus</w:t>
      </w:r>
      <w:r w:rsidR="006B07A5">
        <w:t xml:space="preserve"> </w:t>
      </w:r>
      <w:r w:rsidR="00C56B56">
        <w:t xml:space="preserve">fulfills </w:t>
      </w:r>
      <w:r w:rsidR="00F22976">
        <w:t>the exception’s purpose of</w:t>
      </w:r>
      <w:r w:rsidR="0040609D">
        <w:t xml:space="preserve"> </w:t>
      </w:r>
      <w:r w:rsidR="00C56B56">
        <w:t xml:space="preserve">giving </w:t>
      </w:r>
      <w:r w:rsidR="00C56B56" w:rsidRPr="00C56B56">
        <w:t>citizens an opportunity to ensure the enforcement of public rights and duties</w:t>
      </w:r>
      <w:r w:rsidR="00C56B56">
        <w:t xml:space="preserve">. </w:t>
      </w:r>
      <w:r w:rsidR="00C56B56" w:rsidRPr="00C56B56">
        <w:t xml:space="preserve"> </w:t>
      </w:r>
      <w:r w:rsidR="00C940DC">
        <w:t>(</w:t>
      </w:r>
      <w:r w:rsidR="00C940DC">
        <w:rPr>
          <w:i/>
          <w:iCs/>
        </w:rPr>
        <w:t>Save the Plastic Bag</w:t>
      </w:r>
      <w:r w:rsidR="00C940DC">
        <w:t xml:space="preserve">, </w:t>
      </w:r>
      <w:r w:rsidR="00C940DC">
        <w:rPr>
          <w:i/>
          <w:iCs/>
        </w:rPr>
        <w:t>supra</w:t>
      </w:r>
      <w:r w:rsidR="00C940DC">
        <w:t>, 52 Cal.4th at p.</w:t>
      </w:r>
      <w:r w:rsidR="00EC745E">
        <w:t> </w:t>
      </w:r>
      <w:r w:rsidR="00C940DC">
        <w:t xml:space="preserve">167; </w:t>
      </w:r>
      <w:r w:rsidR="0040609D">
        <w:rPr>
          <w:i/>
          <w:iCs/>
        </w:rPr>
        <w:t>Green</w:t>
      </w:r>
      <w:r w:rsidR="0040609D">
        <w:t xml:space="preserve">, </w:t>
      </w:r>
      <w:r w:rsidR="0040609D">
        <w:rPr>
          <w:i/>
          <w:iCs/>
        </w:rPr>
        <w:t>supra</w:t>
      </w:r>
      <w:r w:rsidR="0040609D">
        <w:t>,</w:t>
      </w:r>
      <w:r w:rsidR="0040609D">
        <w:rPr>
          <w:i/>
          <w:iCs/>
        </w:rPr>
        <w:t xml:space="preserve"> </w:t>
      </w:r>
      <w:r w:rsidR="0040609D">
        <w:t>29 Cal.3d at p. 144.)</w:t>
      </w:r>
      <w:r w:rsidR="00FD1969">
        <w:t xml:space="preserve">  </w:t>
      </w:r>
    </w:p>
    <w:p w14:paraId="1D8B43E8" w14:textId="4660AA30" w:rsidR="00195AB3" w:rsidRDefault="00D23DB7" w:rsidP="00E2440A">
      <w:pPr>
        <w:ind w:firstLine="0"/>
      </w:pPr>
      <w:r>
        <w:tab/>
      </w:r>
      <w:r w:rsidR="003045BD">
        <w:t>Further</w:t>
      </w:r>
      <w:r w:rsidR="0084745D">
        <w:t>,</w:t>
      </w:r>
      <w:r w:rsidR="003045BD">
        <w:t xml:space="preserve"> t</w:t>
      </w:r>
      <w:r w:rsidR="00A54579">
        <w:t>he</w:t>
      </w:r>
      <w:r w:rsidR="005F299B">
        <w:t xml:space="preserve"> timing of the petition </w:t>
      </w:r>
      <w:r w:rsidR="00A54579">
        <w:t xml:space="preserve">does not </w:t>
      </w:r>
      <w:r w:rsidR="005F299B">
        <w:t>prov</w:t>
      </w:r>
      <w:r w:rsidR="00FA5DBB">
        <w:t>ide</w:t>
      </w:r>
      <w:r w:rsidR="005F299B">
        <w:t xml:space="preserve"> a persuasive basis to deny application of the public interest exception</w:t>
      </w:r>
      <w:r w:rsidR="00FA5DBB">
        <w:t xml:space="preserve">.  </w:t>
      </w:r>
      <w:r>
        <w:t xml:space="preserve">The issue presented by the petition concerning the initiative’s qualification for the ballot remains an open question even after </w:t>
      </w:r>
      <w:r>
        <w:lastRenderedPageBreak/>
        <w:t>the general election deadlines have passed</w:t>
      </w:r>
      <w:r w:rsidR="00EC745E">
        <w:t xml:space="preserve"> because the initiative could be placed on a future ballot</w:t>
      </w:r>
      <w:r>
        <w:t xml:space="preserve">. </w:t>
      </w:r>
      <w:r w:rsidRPr="00D6264B">
        <w:t xml:space="preserve"> </w:t>
      </w:r>
      <w:r>
        <w:t xml:space="preserve">In such cases, courts frequently exercise their discretion to resolve constitutional issues pertaining to election laws raised by parties in elections that were held before a decision could be reached, given the broad public interest and likely recurrence of the issue.  (See, e.g., </w:t>
      </w:r>
      <w:r w:rsidRPr="004E761C">
        <w:rPr>
          <w:i/>
          <w:iCs/>
        </w:rPr>
        <w:t xml:space="preserve">Edelstein v. City and County </w:t>
      </w:r>
      <w:r>
        <w:t xml:space="preserve">(2002) 29 Cal.4th 164, 172; </w:t>
      </w:r>
      <w:r w:rsidRPr="004E761C">
        <w:rPr>
          <w:i/>
          <w:iCs/>
        </w:rPr>
        <w:t>Kunde v. Seiler</w:t>
      </w:r>
      <w:r>
        <w:t xml:space="preserve"> (2011) 197 Cal.App.4th 518, 527.)</w:t>
      </w:r>
    </w:p>
    <w:p w14:paraId="161B582B" w14:textId="0D56D8CB" w:rsidR="006B57C4" w:rsidRDefault="00D23DB7" w:rsidP="00E2440A">
      <w:pPr>
        <w:ind w:firstLine="0"/>
      </w:pPr>
      <w:r>
        <w:tab/>
        <w:t>Moreover, t</w:t>
      </w:r>
      <w:r w:rsidR="00E2440A">
        <w:t xml:space="preserve">he county’s opposition to the petition outlined the significant administrative burden and interference with the conduct of the election that would result from an order to place the initiative on the November 8 general election ballot but </w:t>
      </w:r>
      <w:r w:rsidR="00CE57B9">
        <w:t xml:space="preserve">did not address </w:t>
      </w:r>
      <w:proofErr w:type="spellStart"/>
      <w:r w:rsidR="00CE57B9">
        <w:t>Loeber’s</w:t>
      </w:r>
      <w:proofErr w:type="spellEnd"/>
      <w:r w:rsidR="00CE57B9">
        <w:t xml:space="preserve"> alternative request </w:t>
      </w:r>
      <w:r w:rsidR="00D6264B">
        <w:t xml:space="preserve">for </w:t>
      </w:r>
      <w:r w:rsidR="00CE57B9">
        <w:t>a</w:t>
      </w:r>
      <w:r w:rsidR="00E3443C">
        <w:t xml:space="preserve"> later,</w:t>
      </w:r>
      <w:r w:rsidR="00CE57B9">
        <w:t xml:space="preserve"> special election or all-mail </w:t>
      </w:r>
      <w:r w:rsidR="003A23A5">
        <w:t xml:space="preserve">ballot </w:t>
      </w:r>
      <w:r w:rsidR="00CE57B9">
        <w:t>election</w:t>
      </w:r>
      <w:r w:rsidR="00E3443C">
        <w:t xml:space="preserve"> in 2023.  </w:t>
      </w:r>
      <w:r w:rsidR="00F2356E">
        <w:t>W</w:t>
      </w:r>
      <w:r w:rsidR="005E0AD5">
        <w:t>hile it is true that</w:t>
      </w:r>
      <w:r w:rsidR="004622E6">
        <w:t xml:space="preserve"> </w:t>
      </w:r>
      <w:proofErr w:type="spellStart"/>
      <w:r w:rsidR="004622E6">
        <w:t>Loeber</w:t>
      </w:r>
      <w:proofErr w:type="spellEnd"/>
      <w:r w:rsidR="004622E6">
        <w:t xml:space="preserve"> could have </w:t>
      </w:r>
      <w:r w:rsidR="00447A3E">
        <w:t xml:space="preserve">filed </w:t>
      </w:r>
      <w:r w:rsidR="005E0AD5">
        <w:t xml:space="preserve">his petition prior to the August 12 ballot deadline in order to avoid disrupting general election preparations </w:t>
      </w:r>
      <w:r w:rsidR="00447A3E">
        <w:t>(</w:t>
      </w:r>
      <w:proofErr w:type="spellStart"/>
      <w:r w:rsidR="00447A3E" w:rsidRPr="00447A3E">
        <w:rPr>
          <w:i/>
          <w:iCs/>
        </w:rPr>
        <w:t>Vandermost</w:t>
      </w:r>
      <w:proofErr w:type="spellEnd"/>
      <w:r w:rsidR="00447A3E" w:rsidRPr="00447A3E">
        <w:rPr>
          <w:i/>
          <w:iCs/>
        </w:rPr>
        <w:t xml:space="preserve"> v. Bowen</w:t>
      </w:r>
      <w:r w:rsidR="00447A3E">
        <w:t xml:space="preserve"> (2012) 53 Cal.4th 421, 453 [</w:t>
      </w:r>
      <w:r w:rsidR="005E0AD5">
        <w:t xml:space="preserve">noting courts will frequently </w:t>
      </w:r>
      <w:r w:rsidR="00447A3E">
        <w:t xml:space="preserve">exercise original writ jurisdiction </w:t>
      </w:r>
      <w:r w:rsidR="0097108B">
        <w:t>to</w:t>
      </w:r>
      <w:r w:rsidR="00C56B24">
        <w:t xml:space="preserve"> speedily</w:t>
      </w:r>
      <w:r w:rsidR="0097108B">
        <w:t xml:space="preserve"> resolve </w:t>
      </w:r>
      <w:r w:rsidR="00C56B24">
        <w:t xml:space="preserve">a </w:t>
      </w:r>
      <w:r w:rsidR="0097108B">
        <w:t>legal issue affecting the electoral process</w:t>
      </w:r>
      <w:r w:rsidR="00447A3E">
        <w:t>])</w:t>
      </w:r>
      <w:r w:rsidR="005E0AD5">
        <w:t xml:space="preserve">, </w:t>
      </w:r>
      <w:r w:rsidR="0097108B">
        <w:t xml:space="preserve">the district cites no legal authority requiring </w:t>
      </w:r>
      <w:proofErr w:type="spellStart"/>
      <w:r w:rsidR="0097108B">
        <w:t>Loeber</w:t>
      </w:r>
      <w:proofErr w:type="spellEnd"/>
      <w:r w:rsidR="0097108B">
        <w:t xml:space="preserve"> to </w:t>
      </w:r>
      <w:r w:rsidR="00C56B24">
        <w:t xml:space="preserve">have </w:t>
      </w:r>
      <w:r w:rsidR="0097108B">
        <w:t>do</w:t>
      </w:r>
      <w:r w:rsidR="00C56B24">
        <w:t>ne</w:t>
      </w:r>
      <w:r w:rsidR="0097108B">
        <w:t xml:space="preserve"> so</w:t>
      </w:r>
      <w:r w:rsidR="00E06C90">
        <w:t xml:space="preserve"> once </w:t>
      </w:r>
      <w:r w:rsidR="00653987">
        <w:t xml:space="preserve">the initiative </w:t>
      </w:r>
      <w:r w:rsidR="006C1224">
        <w:t xml:space="preserve">had </w:t>
      </w:r>
      <w:r w:rsidR="00E06C90">
        <w:t>qualified for the ballot</w:t>
      </w:r>
      <w:r w:rsidR="0097108B">
        <w:t>.</w:t>
      </w:r>
      <w:r>
        <w:rPr>
          <w:rStyle w:val="FootnoteReference"/>
          <w:b/>
          <w:bCs/>
        </w:rPr>
        <w:footnoteReference w:id="9"/>
      </w:r>
    </w:p>
    <w:p w14:paraId="3241E301" w14:textId="278660D5" w:rsidR="00E2440A" w:rsidRDefault="00D23DB7" w:rsidP="00CE19C7">
      <w:r>
        <w:t xml:space="preserve">The record shows that </w:t>
      </w:r>
      <w:proofErr w:type="spellStart"/>
      <w:r w:rsidR="0097108B">
        <w:t>Loeber</w:t>
      </w:r>
      <w:proofErr w:type="spellEnd"/>
      <w:r w:rsidR="00E72FC6">
        <w:t xml:space="preserve"> </w:t>
      </w:r>
      <w:r w:rsidR="0097108B">
        <w:t xml:space="preserve">was in close communication with the county leading up to August 12 to try to determine the best course of </w:t>
      </w:r>
      <w:r w:rsidR="006160E3">
        <w:t>action</w:t>
      </w:r>
      <w:r w:rsidR="0067745D">
        <w:t>.  A</w:t>
      </w:r>
      <w:r w:rsidR="0097108B">
        <w:t xml:space="preserve">s late as July 11, </w:t>
      </w:r>
      <w:r w:rsidR="006160E3">
        <w:t>district</w:t>
      </w:r>
      <w:r w:rsidR="00142CE3">
        <w:t xml:space="preserve"> </w:t>
      </w:r>
      <w:r w:rsidR="006160E3">
        <w:t xml:space="preserve">superintendent Joyce communicated to </w:t>
      </w:r>
      <w:proofErr w:type="spellStart"/>
      <w:r w:rsidR="00E72FC6">
        <w:t>Loeber</w:t>
      </w:r>
      <w:proofErr w:type="spellEnd"/>
      <w:r w:rsidR="006160E3">
        <w:t xml:space="preserve"> that the district’s board was deliberating the issue and there would</w:t>
      </w:r>
      <w:r>
        <w:t xml:space="preserve"> likely</w:t>
      </w:r>
      <w:r w:rsidR="006160E3">
        <w:t xml:space="preserve"> be “some decision or action” at the next board meeting in August</w:t>
      </w:r>
      <w:r w:rsidR="0067745D">
        <w:t xml:space="preserve">, </w:t>
      </w:r>
      <w:r w:rsidR="00FA01CC">
        <w:t xml:space="preserve">but </w:t>
      </w:r>
      <w:r w:rsidR="0067745D">
        <w:t>the district</w:t>
      </w:r>
      <w:r w:rsidR="00FA01CC">
        <w:t xml:space="preserve"> never informed </w:t>
      </w:r>
      <w:proofErr w:type="spellStart"/>
      <w:r w:rsidR="00FA01CC">
        <w:t>Loeber</w:t>
      </w:r>
      <w:proofErr w:type="spellEnd"/>
      <w:r w:rsidR="00FA01CC">
        <w:t xml:space="preserve"> of any decision. </w:t>
      </w:r>
      <w:r w:rsidR="006160E3">
        <w:t xml:space="preserve"> </w:t>
      </w:r>
      <w:r w:rsidR="00195AB3">
        <w:t>Under these circumstances</w:t>
      </w:r>
      <w:r w:rsidR="00F2356E">
        <w:t xml:space="preserve">, </w:t>
      </w:r>
      <w:r w:rsidR="006E29C8">
        <w:t xml:space="preserve">the trial court’s finding concerning </w:t>
      </w:r>
      <w:proofErr w:type="spellStart"/>
      <w:r w:rsidR="00F918D8">
        <w:t>Loeber’s</w:t>
      </w:r>
      <w:proofErr w:type="spellEnd"/>
      <w:r w:rsidR="00F918D8">
        <w:t xml:space="preserve"> delay in filing the petition </w:t>
      </w:r>
      <w:r w:rsidR="00F918D8">
        <w:lastRenderedPageBreak/>
        <w:t>until several days after the August 12 deadline</w:t>
      </w:r>
      <w:r w:rsidR="006E29C8">
        <w:t>—while supported by substantial evidence—</w:t>
      </w:r>
      <w:r w:rsidR="00F918D8">
        <w:t xml:space="preserve">does not </w:t>
      </w:r>
      <w:r w:rsidR="002301FA">
        <w:t>constitute a compelling consideration against extending the public interest exception to his petition.</w:t>
      </w:r>
    </w:p>
    <w:p w14:paraId="5DDEB120" w14:textId="1DDF5FAF" w:rsidR="00653987" w:rsidRDefault="00D23DB7" w:rsidP="00F3367D">
      <w:pPr>
        <w:ind w:firstLine="0"/>
      </w:pPr>
      <w:r>
        <w:tab/>
      </w:r>
      <w:r w:rsidR="006E29C8">
        <w:t xml:space="preserve">Similarly, </w:t>
      </w:r>
      <w:r w:rsidR="00CC3FD1">
        <w:t xml:space="preserve">the trial court found </w:t>
      </w:r>
      <w:r w:rsidR="006E29C8">
        <w:t>that</w:t>
      </w:r>
      <w:r w:rsidR="00F46262">
        <w:t xml:space="preserve"> </w:t>
      </w:r>
      <w:r w:rsidR="003045BD">
        <w:t>the public</w:t>
      </w:r>
      <w:r w:rsidR="006E29C8">
        <w:t xml:space="preserve"> </w:t>
      </w:r>
      <w:r w:rsidR="00CC3FD1">
        <w:t xml:space="preserve">appeared unengaged </w:t>
      </w:r>
      <w:r w:rsidR="006E29C8">
        <w:t xml:space="preserve">in </w:t>
      </w:r>
      <w:r w:rsidR="00CC3FD1">
        <w:t xml:space="preserve">the litigation </w:t>
      </w:r>
      <w:r w:rsidR="006E29C8">
        <w:t xml:space="preserve">and the initiative seems “to be quite personal” to </w:t>
      </w:r>
      <w:proofErr w:type="spellStart"/>
      <w:r w:rsidR="006E29C8">
        <w:t>Loeber</w:t>
      </w:r>
      <w:proofErr w:type="spellEnd"/>
      <w:r w:rsidR="008E504B">
        <w:t xml:space="preserve">. </w:t>
      </w:r>
      <w:r w:rsidR="00CC3FD1">
        <w:t xml:space="preserve"> We defer to these findings as a factual matter</w:t>
      </w:r>
      <w:r>
        <w:t>.  Nevertheless, we</w:t>
      </w:r>
      <w:r w:rsidR="00CC3FD1">
        <w:t xml:space="preserve"> decide, as a </w:t>
      </w:r>
      <w:r w:rsidR="00F46262">
        <w:t>matter of law</w:t>
      </w:r>
      <w:r w:rsidR="00CC3FD1">
        <w:t xml:space="preserve"> under the public interest exception, that</w:t>
      </w:r>
      <w:r w:rsidR="008E504B">
        <w:t xml:space="preserve"> </w:t>
      </w:r>
      <w:r w:rsidR="00CC3FD1">
        <w:t>t</w:t>
      </w:r>
      <w:r w:rsidR="008E504B">
        <w:t xml:space="preserve">he county’s letter confirming the initiative obtained enough voter signatures to qualify for the ballot based on the percentages set forth in </w:t>
      </w:r>
      <w:r w:rsidR="0074420E">
        <w:t xml:space="preserve">article </w:t>
      </w:r>
      <w:r w:rsidR="00C56B56">
        <w:t xml:space="preserve">XIII C, section 3 </w:t>
      </w:r>
      <w:r w:rsidR="00C56B56" w:rsidRPr="00E63F6F">
        <w:t xml:space="preserve">and </w:t>
      </w:r>
      <w:r w:rsidR="0074420E">
        <w:t>a</w:t>
      </w:r>
      <w:r w:rsidR="0074420E" w:rsidRPr="00E63F6F">
        <w:t xml:space="preserve">rticle </w:t>
      </w:r>
      <w:r w:rsidR="00C56B56" w:rsidRPr="00E63F6F">
        <w:t>II, section 8</w:t>
      </w:r>
      <w:r w:rsidR="003D5A29">
        <w:t xml:space="preserve">, subdivision </w:t>
      </w:r>
      <w:r w:rsidR="00C56B56" w:rsidRPr="00E63F6F">
        <w:t xml:space="preserve">(b) </w:t>
      </w:r>
      <w:r w:rsidR="008E504B" w:rsidRPr="00E63F6F">
        <w:t>is an</w:t>
      </w:r>
      <w:r w:rsidR="008E504B">
        <w:t xml:space="preserve"> adequate indication of public interest</w:t>
      </w:r>
      <w:r>
        <w:t xml:space="preserve"> </w:t>
      </w:r>
      <w:r w:rsidR="008E504B">
        <w:t>in placing the initiative on the ballot.</w:t>
      </w:r>
      <w:r>
        <w:rPr>
          <w:rStyle w:val="FootnoteReference"/>
          <w:b/>
          <w:bCs/>
        </w:rPr>
        <w:footnoteReference w:id="10"/>
      </w:r>
      <w:r w:rsidR="008E504B">
        <w:t xml:space="preserve">  </w:t>
      </w:r>
      <w:r w:rsidR="00A200ED" w:rsidRPr="00B767FD">
        <w:t>Th</w:t>
      </w:r>
      <w:r w:rsidR="00C56B56" w:rsidRPr="00B767FD">
        <w:t xml:space="preserve">is </w:t>
      </w:r>
      <w:r w:rsidR="00A200ED" w:rsidRPr="00B767FD">
        <w:t>c</w:t>
      </w:r>
      <w:r w:rsidR="00A200ED">
        <w:t>ircumstance</w:t>
      </w:r>
      <w:r w:rsidR="006C5257">
        <w:t xml:space="preserve"> </w:t>
      </w:r>
      <w:r w:rsidR="00A200ED">
        <w:t>distinguish</w:t>
      </w:r>
      <w:r w:rsidR="00C56B56">
        <w:t>es</w:t>
      </w:r>
      <w:r w:rsidR="00A200ED">
        <w:t xml:space="preserve"> the public interest from cases in which “</w:t>
      </w:r>
      <w:r w:rsidR="00A200ED" w:rsidRPr="00ED4802">
        <w:t xml:space="preserve">the claim of </w:t>
      </w:r>
      <w:r w:rsidR="00A200ED">
        <w:t>‘</w:t>
      </w:r>
      <w:r w:rsidR="00A200ED" w:rsidRPr="00ED4802">
        <w:t>citizen</w:t>
      </w:r>
      <w:r w:rsidR="00A200ED">
        <w:t>’</w:t>
      </w:r>
      <w:r w:rsidR="00A200ED" w:rsidRPr="00ED4802">
        <w:t xml:space="preserve"> or </w:t>
      </w:r>
      <w:r w:rsidR="00A200ED">
        <w:t>‘</w:t>
      </w:r>
      <w:r w:rsidR="00A200ED" w:rsidRPr="00ED4802">
        <w:t>public interest</w:t>
      </w:r>
      <w:r w:rsidR="00A200ED">
        <w:t>’</w:t>
      </w:r>
      <w:r w:rsidR="00A200ED" w:rsidRPr="00ED4802">
        <w:t xml:space="preserve"> standing is driven by personal objectives rather than </w:t>
      </w:r>
      <w:r w:rsidR="00A200ED">
        <w:t>‘</w:t>
      </w:r>
      <w:r w:rsidR="00A200ED" w:rsidRPr="00ED4802">
        <w:t>broader public concerns</w:t>
      </w:r>
      <w:r w:rsidR="00523C2F">
        <w:t>.</w:t>
      </w:r>
      <w:r w:rsidR="00A200ED">
        <w:t>’</w:t>
      </w:r>
      <w:r w:rsidR="00532B2A">
        <w:t> </w:t>
      </w:r>
      <w:r w:rsidR="00A200ED">
        <w:t>”  (</w:t>
      </w:r>
      <w:r w:rsidR="00A200ED" w:rsidRPr="004D3D7E">
        <w:rPr>
          <w:i/>
          <w:iCs/>
        </w:rPr>
        <w:t>SJJC Aviation</w:t>
      </w:r>
      <w:r w:rsidR="00A200ED">
        <w:t xml:space="preserve">, </w:t>
      </w:r>
      <w:r w:rsidR="00A200ED">
        <w:rPr>
          <w:i/>
          <w:iCs/>
        </w:rPr>
        <w:t>supra</w:t>
      </w:r>
      <w:r w:rsidR="00A200ED">
        <w:t>,</w:t>
      </w:r>
      <w:r w:rsidR="00A200ED">
        <w:rPr>
          <w:i/>
          <w:iCs/>
        </w:rPr>
        <w:t xml:space="preserve"> </w:t>
      </w:r>
      <w:r w:rsidR="00A200ED">
        <w:t xml:space="preserve">12 Cal.App.5th at p. 1057.)  </w:t>
      </w:r>
    </w:p>
    <w:p w14:paraId="11E2CF66" w14:textId="609F647B" w:rsidR="00B108D7" w:rsidRDefault="00D23DB7" w:rsidP="00E2184C">
      <w:r>
        <w:t>While it would be improper, as the</w:t>
      </w:r>
      <w:r w:rsidR="00F22976" w:rsidRPr="00F22976">
        <w:t xml:space="preserve"> Supreme Court </w:t>
      </w:r>
      <w:r w:rsidR="003A22A7" w:rsidRPr="00F22976">
        <w:t xml:space="preserve">pointed out </w:t>
      </w:r>
      <w:r w:rsidR="00F22976" w:rsidRPr="00F22976">
        <w:t xml:space="preserve">in </w:t>
      </w:r>
      <w:r w:rsidR="00F22976" w:rsidRPr="00C56B56">
        <w:rPr>
          <w:i/>
          <w:iCs/>
        </w:rPr>
        <w:t>Save the Plastic Bag</w:t>
      </w:r>
      <w:r w:rsidR="00F22976" w:rsidRPr="00F22976">
        <w:t xml:space="preserve">, </w:t>
      </w:r>
      <w:r>
        <w:t>f</w:t>
      </w:r>
      <w:r w:rsidR="00F22976" w:rsidRPr="00F22976">
        <w:t>or a petitioner</w:t>
      </w:r>
      <w:r w:rsidR="00DD577A">
        <w:t xml:space="preserve"> t</w:t>
      </w:r>
      <w:r w:rsidR="00F22976" w:rsidRPr="00F22976">
        <w:t>o “attempt to use CEQA to impose regulatory burdens on a business competitor, with no demonstrable concern for protecting the environment</w:t>
      </w:r>
      <w:r w:rsidR="003A22A7">
        <w:t>” (</w:t>
      </w:r>
      <w:r w:rsidR="003A22A7">
        <w:rPr>
          <w:i/>
          <w:iCs/>
        </w:rPr>
        <w:t>Save the Plastic Bag</w:t>
      </w:r>
      <w:r w:rsidR="003A22A7">
        <w:t xml:space="preserve">, </w:t>
      </w:r>
      <w:r w:rsidR="003A22A7">
        <w:rPr>
          <w:i/>
          <w:iCs/>
        </w:rPr>
        <w:t>supra</w:t>
      </w:r>
      <w:r w:rsidR="003A22A7">
        <w:t>, 52 Cal.4th at p.</w:t>
      </w:r>
      <w:r w:rsidR="00A54579">
        <w:t> </w:t>
      </w:r>
      <w:r w:rsidR="003A22A7">
        <w:t xml:space="preserve">169), </w:t>
      </w:r>
      <w:proofErr w:type="spellStart"/>
      <w:r w:rsidR="00DD577A">
        <w:t>Loeber</w:t>
      </w:r>
      <w:r w:rsidR="00C721DF">
        <w:t>’s</w:t>
      </w:r>
      <w:proofErr w:type="spellEnd"/>
      <w:r w:rsidR="00C721DF">
        <w:t xml:space="preserve"> </w:t>
      </w:r>
      <w:r w:rsidR="00F3367D">
        <w:t xml:space="preserve">efforts to compel the district to hold an election on the initiative </w:t>
      </w:r>
      <w:r w:rsidR="00E63F6F">
        <w:t>are not commercially motivated and</w:t>
      </w:r>
      <w:r w:rsidR="00F46262">
        <w:t>, as evinced by the fact the petition received the requisite number of signatures,</w:t>
      </w:r>
      <w:r w:rsidR="00E63F6F">
        <w:t xml:space="preserve"> </w:t>
      </w:r>
      <w:r w:rsidR="00F3367D">
        <w:t xml:space="preserve">reflect </w:t>
      </w:r>
      <w:r w:rsidR="00E63F6F">
        <w:t>a</w:t>
      </w:r>
      <w:r w:rsidR="00F3367D">
        <w:t xml:space="preserve"> broader public interest in utilizing the initiative power to </w:t>
      </w:r>
      <w:r w:rsidR="00E63F6F">
        <w:t>make</w:t>
      </w:r>
      <w:r w:rsidR="00F3367D">
        <w:t xml:space="preserve"> changes to </w:t>
      </w:r>
      <w:r w:rsidR="00E54882">
        <w:t>the district’s</w:t>
      </w:r>
      <w:r w:rsidR="00E63F6F">
        <w:t xml:space="preserve"> </w:t>
      </w:r>
      <w:r w:rsidR="00523C2F">
        <w:t>parcel tax</w:t>
      </w:r>
      <w:r w:rsidR="00F3367D">
        <w:t xml:space="preserve">.  </w:t>
      </w:r>
      <w:r w:rsidR="0084745D">
        <w:t xml:space="preserve">That </w:t>
      </w:r>
      <w:proofErr w:type="spellStart"/>
      <w:r w:rsidR="0084745D" w:rsidRPr="0084745D">
        <w:t>Loeber</w:t>
      </w:r>
      <w:proofErr w:type="spellEnd"/>
      <w:r w:rsidR="0084745D" w:rsidRPr="0084745D">
        <w:t xml:space="preserve"> </w:t>
      </w:r>
      <w:r w:rsidR="000A2A3F">
        <w:t>may</w:t>
      </w:r>
      <w:r w:rsidR="000A2A3F" w:rsidRPr="0084745D">
        <w:t xml:space="preserve"> </w:t>
      </w:r>
      <w:r w:rsidR="0084745D">
        <w:t xml:space="preserve">also </w:t>
      </w:r>
      <w:r w:rsidR="0084745D" w:rsidRPr="0084745D">
        <w:t>personally benefit from the exemption doe</w:t>
      </w:r>
      <w:r w:rsidR="0084745D">
        <w:t xml:space="preserve">s </w:t>
      </w:r>
      <w:r w:rsidR="0084745D" w:rsidRPr="0084745D">
        <w:t>n</w:t>
      </w:r>
      <w:r w:rsidR="0084745D">
        <w:t>o</w:t>
      </w:r>
      <w:r w:rsidR="0084745D" w:rsidRPr="0084745D">
        <w:t>t defeat public interest standing</w:t>
      </w:r>
      <w:r w:rsidR="0084745D">
        <w:t xml:space="preserve"> under these circumstances.</w:t>
      </w:r>
    </w:p>
    <w:p w14:paraId="26F4EC82" w14:textId="31982038" w:rsidR="0065338E" w:rsidRDefault="00D23DB7" w:rsidP="00F3367D">
      <w:pPr>
        <w:ind w:firstLine="0"/>
      </w:pPr>
      <w:r>
        <w:lastRenderedPageBreak/>
        <w:tab/>
      </w:r>
      <w:r w:rsidR="00DB420D">
        <w:t>The</w:t>
      </w:r>
      <w:r w:rsidR="006873B9">
        <w:t xml:space="preserve"> cost to the district of </w:t>
      </w:r>
      <w:r>
        <w:t>placing the initiative on the ballot</w:t>
      </w:r>
      <w:r w:rsidR="006873B9">
        <w:t>, which according to</w:t>
      </w:r>
      <w:r>
        <w:t xml:space="preserve"> district superintendent Joyce would amount to $50,000 to $80,000, or “roughly equivalent to the salary of one of the [d]</w:t>
      </w:r>
      <w:proofErr w:type="spellStart"/>
      <w:r>
        <w:t>istrict’s</w:t>
      </w:r>
      <w:proofErr w:type="spellEnd"/>
      <w:r>
        <w:t xml:space="preserve"> five teachers,” is not an insignificant consideration in the </w:t>
      </w:r>
      <w:proofErr w:type="gramStart"/>
      <w:r>
        <w:t>“ ‘</w:t>
      </w:r>
      <w:proofErr w:type="gramEnd"/>
      <w:r>
        <w:t>judicial balancing of interests’ ” (</w:t>
      </w:r>
      <w:r w:rsidRPr="004D3D7E">
        <w:rPr>
          <w:i/>
          <w:iCs/>
        </w:rPr>
        <w:t>SJJC Aviation</w:t>
      </w:r>
      <w:r>
        <w:t xml:space="preserve">, </w:t>
      </w:r>
      <w:r>
        <w:rPr>
          <w:i/>
          <w:iCs/>
        </w:rPr>
        <w:t>supra</w:t>
      </w:r>
      <w:r>
        <w:t>,</w:t>
      </w:r>
      <w:r>
        <w:rPr>
          <w:i/>
          <w:iCs/>
        </w:rPr>
        <w:t xml:space="preserve"> </w:t>
      </w:r>
      <w:r>
        <w:t xml:space="preserve">12 Cal.App.5th at p. 1058) </w:t>
      </w:r>
      <w:r w:rsidR="003045BD">
        <w:t>when assessing public interest standing</w:t>
      </w:r>
      <w:r w:rsidR="00DB420D">
        <w:t xml:space="preserve">.  We recognize the district’s </w:t>
      </w:r>
      <w:r w:rsidR="006B57D9">
        <w:t>position</w:t>
      </w:r>
      <w:r w:rsidR="00CC3FD1">
        <w:t>, also observed by the trial court,</w:t>
      </w:r>
      <w:r w:rsidR="006B57D9">
        <w:t xml:space="preserve"> that</w:t>
      </w:r>
      <w:r w:rsidR="00DB420D">
        <w:t xml:space="preserve"> </w:t>
      </w:r>
      <w:r w:rsidR="006B57D9">
        <w:t>plac</w:t>
      </w:r>
      <w:r w:rsidR="00E54882">
        <w:t>ing</w:t>
      </w:r>
      <w:r w:rsidR="00DB420D">
        <w:t xml:space="preserve"> an initiative on the ballot for an upcoming general or special election </w:t>
      </w:r>
      <w:r w:rsidR="002D5EE6">
        <w:t>c</w:t>
      </w:r>
      <w:r w:rsidR="006B57D9">
        <w:t>ould</w:t>
      </w:r>
      <w:r w:rsidR="00DB420D">
        <w:t xml:space="preserve"> </w:t>
      </w:r>
      <w:r w:rsidR="006B57D9">
        <w:t xml:space="preserve">be cost prohibitive and would adversely </w:t>
      </w:r>
      <w:r w:rsidR="00DB420D">
        <w:t>impact the educational programming of the school</w:t>
      </w:r>
      <w:r w:rsidR="006B57D9">
        <w:t xml:space="preserve">.  </w:t>
      </w:r>
      <w:r w:rsidR="00C73270">
        <w:t>But where the</w:t>
      </w:r>
      <w:r w:rsidR="00DB420D">
        <w:t xml:space="preserve"> public right </w:t>
      </w:r>
      <w:r w:rsidR="00C73270">
        <w:t>concerns the initiative power, “</w:t>
      </w:r>
      <w:r w:rsidR="00C73270" w:rsidRPr="00C73270">
        <w:t xml:space="preserve">courts have consistently declared it their duty to </w:t>
      </w:r>
      <w:proofErr w:type="gramStart"/>
      <w:r w:rsidR="00C73270">
        <w:t>‘ “</w:t>
      </w:r>
      <w:proofErr w:type="gramEnd"/>
      <w:r w:rsidR="00C73270" w:rsidRPr="00C73270">
        <w:t>jealously guard</w:t>
      </w:r>
      <w:r w:rsidR="00C73270">
        <w:t>” </w:t>
      </w:r>
      <w:r w:rsidR="00C73270" w:rsidRPr="00C73270">
        <w:t>’ and liberally construe the right so that it ‘</w:t>
      </w:r>
      <w:r w:rsidR="00C73270">
        <w:t> “</w:t>
      </w:r>
      <w:r w:rsidR="00C73270" w:rsidRPr="00C73270">
        <w:t>be not improperly annulled.</w:t>
      </w:r>
      <w:r w:rsidR="00C73270">
        <w:t>” </w:t>
      </w:r>
      <w:r w:rsidR="00C73270" w:rsidRPr="00C73270">
        <w:t>’ ”</w:t>
      </w:r>
      <w:r w:rsidR="008C4A1D">
        <w:t xml:space="preserve">  (</w:t>
      </w:r>
      <w:r w:rsidR="008C4A1D" w:rsidRPr="0018017C">
        <w:rPr>
          <w:i/>
          <w:iCs/>
        </w:rPr>
        <w:t>C</w:t>
      </w:r>
      <w:r w:rsidR="008C4A1D">
        <w:rPr>
          <w:i/>
          <w:iCs/>
        </w:rPr>
        <w:t>alifornia C</w:t>
      </w:r>
      <w:r w:rsidR="008C4A1D" w:rsidRPr="0018017C">
        <w:rPr>
          <w:i/>
          <w:iCs/>
        </w:rPr>
        <w:t>annabis</w:t>
      </w:r>
      <w:r w:rsidR="008C4A1D">
        <w:t xml:space="preserve">, </w:t>
      </w:r>
      <w:r w:rsidR="008C4A1D">
        <w:rPr>
          <w:i/>
          <w:iCs/>
        </w:rPr>
        <w:t>supra</w:t>
      </w:r>
      <w:r w:rsidR="008C4A1D">
        <w:t>,</w:t>
      </w:r>
      <w:r w:rsidR="008C4A1D" w:rsidRPr="0018017C">
        <w:rPr>
          <w:i/>
          <w:iCs/>
        </w:rPr>
        <w:t xml:space="preserve"> </w:t>
      </w:r>
      <w:r w:rsidR="008C4A1D">
        <w:t xml:space="preserve">3 Cal.5th at p. 934.)  </w:t>
      </w:r>
      <w:r w:rsidR="005C4059">
        <w:t>P</w:t>
      </w:r>
      <w:r w:rsidR="003A7E4D">
        <w:t>recedent dictates that “</w:t>
      </w:r>
      <w:r w:rsidR="003A7E4D" w:rsidRPr="003A7E4D">
        <w:t xml:space="preserve">when weighing the tradeoffs associated with the initiative power, we </w:t>
      </w:r>
      <w:r w:rsidR="003A7E4D">
        <w:t>[]</w:t>
      </w:r>
      <w:r w:rsidR="003A7E4D" w:rsidRPr="003A7E4D">
        <w:t xml:space="preserve"> </w:t>
      </w:r>
      <w:proofErr w:type="gramStart"/>
      <w:r w:rsidR="003A7E4D" w:rsidRPr="003A7E4D">
        <w:t>acknowledge</w:t>
      </w:r>
      <w:r w:rsidR="003A7E4D">
        <w:t>[</w:t>
      </w:r>
      <w:proofErr w:type="gramEnd"/>
      <w:r w:rsidR="003A7E4D">
        <w:t>]</w:t>
      </w:r>
      <w:r w:rsidR="003A7E4D" w:rsidRPr="003A7E4D">
        <w:t xml:space="preserve"> the obligation to resolve doubts in favor of the exercise of the right whenever possible.</w:t>
      </w:r>
      <w:r w:rsidR="003A7E4D">
        <w:t>”  (</w:t>
      </w:r>
      <w:r w:rsidR="003A7E4D">
        <w:rPr>
          <w:i/>
          <w:iCs/>
        </w:rPr>
        <w:t>Ibid</w:t>
      </w:r>
      <w:r w:rsidR="003A7E4D">
        <w:t xml:space="preserve">.)  Against this backdrop, </w:t>
      </w:r>
      <w:r w:rsidR="00C73270">
        <w:t xml:space="preserve">we conclude that the cost to the district </w:t>
      </w:r>
      <w:r w:rsidR="003A7E4D">
        <w:t xml:space="preserve">of calling a general or special election on the initiative does not </w:t>
      </w:r>
      <w:r w:rsidR="00C73270">
        <w:t xml:space="preserve">outweigh </w:t>
      </w:r>
      <w:r w:rsidR="003A7E4D">
        <w:t xml:space="preserve">the district’s </w:t>
      </w:r>
      <w:r w:rsidR="00C73270">
        <w:t xml:space="preserve">duty </w:t>
      </w:r>
      <w:r w:rsidR="003A7E4D">
        <w:t>to act on a</w:t>
      </w:r>
      <w:r w:rsidR="005C4059">
        <w:t xml:space="preserve">n arguably </w:t>
      </w:r>
      <w:r w:rsidR="003A7E4D">
        <w:t>valid ballot petition</w:t>
      </w:r>
      <w:r w:rsidR="00C73270">
        <w:t xml:space="preserve">.  </w:t>
      </w:r>
    </w:p>
    <w:p w14:paraId="48F2CFBE" w14:textId="3403B203" w:rsidR="00971E2F" w:rsidRDefault="00D23DB7" w:rsidP="00971E2F">
      <w:pPr>
        <w:ind w:firstLine="0"/>
      </w:pPr>
      <w:r>
        <w:tab/>
      </w:r>
      <w:r w:rsidR="00532B2A">
        <w:t xml:space="preserve">In light of the significant public right in dispute, </w:t>
      </w:r>
      <w:r w:rsidR="00F50AE6">
        <w:t xml:space="preserve">the </w:t>
      </w:r>
      <w:r w:rsidR="00532B2A">
        <w:t xml:space="preserve">public interest demonstrated by voter signatures on the initiative petition, and </w:t>
      </w:r>
      <w:r w:rsidR="00523C2F">
        <w:t xml:space="preserve">the </w:t>
      </w:r>
      <w:r w:rsidR="001E27EC" w:rsidRPr="001E27EC">
        <w:t xml:space="preserve">relative lack of persuasiveness of the other considerations, we conclude </w:t>
      </w:r>
      <w:proofErr w:type="spellStart"/>
      <w:r w:rsidR="001E27EC" w:rsidRPr="001E27EC">
        <w:t>L</w:t>
      </w:r>
      <w:r w:rsidR="00532B2A">
        <w:t>oeber</w:t>
      </w:r>
      <w:proofErr w:type="spellEnd"/>
      <w:r w:rsidR="001E27EC" w:rsidRPr="001E27EC">
        <w:t xml:space="preserve"> has articulated a sufficient</w:t>
      </w:r>
      <w:r w:rsidR="00EA56FA">
        <w:t>ly weighty public need and public duty</w:t>
      </w:r>
      <w:r w:rsidR="003045BD">
        <w:t xml:space="preserve"> </w:t>
      </w:r>
      <w:r w:rsidR="00EA56FA">
        <w:t xml:space="preserve">to apply the </w:t>
      </w:r>
      <w:r w:rsidR="001E27EC" w:rsidRPr="001E27EC">
        <w:t xml:space="preserve">public interest </w:t>
      </w:r>
      <w:r w:rsidR="00EA56FA">
        <w:t>exception</w:t>
      </w:r>
      <w:r w:rsidR="00F50AE6">
        <w:t xml:space="preserve"> here</w:t>
      </w:r>
      <w:r w:rsidR="00F3367D">
        <w:t>.</w:t>
      </w:r>
      <w:r>
        <w:rPr>
          <w:rStyle w:val="FootnoteReference"/>
          <w:b/>
          <w:bCs/>
        </w:rPr>
        <w:footnoteReference w:id="11"/>
      </w:r>
      <w:r>
        <w:t xml:space="preserve"> </w:t>
      </w:r>
      <w:r w:rsidR="00EA56FA">
        <w:t xml:space="preserve"> </w:t>
      </w:r>
      <w:r w:rsidR="00EC745E">
        <w:t xml:space="preserve">We therefore </w:t>
      </w:r>
      <w:r w:rsidR="003045BD">
        <w:t xml:space="preserve">turn to </w:t>
      </w:r>
      <w:r w:rsidR="00EC745E">
        <w:t xml:space="preserve">the merits of </w:t>
      </w:r>
      <w:proofErr w:type="spellStart"/>
      <w:r w:rsidR="00EC745E">
        <w:t>Loeber’s</w:t>
      </w:r>
      <w:proofErr w:type="spellEnd"/>
      <w:r w:rsidR="00EC745E">
        <w:t xml:space="preserve"> claim that the district erred in refusing to place the initiat</w:t>
      </w:r>
      <w:r w:rsidR="00523C2F">
        <w:t>iv</w:t>
      </w:r>
      <w:r w:rsidR="00EC745E">
        <w:t>e on the ballot.</w:t>
      </w:r>
    </w:p>
    <w:p w14:paraId="0B0B74B0" w14:textId="11995174" w:rsidR="001366F2" w:rsidRDefault="00D23DB7" w:rsidP="001366F2">
      <w:pPr>
        <w:pStyle w:val="Heading2"/>
        <w:numPr>
          <w:ilvl w:val="0"/>
          <w:numId w:val="2"/>
        </w:numPr>
      </w:pPr>
      <w:r>
        <w:lastRenderedPageBreak/>
        <w:t xml:space="preserve">Section 3 Authorization </w:t>
      </w:r>
      <w:r w:rsidR="00523C2F">
        <w:t>f</w:t>
      </w:r>
      <w:r>
        <w:t>or</w:t>
      </w:r>
      <w:r w:rsidR="00523C2F">
        <w:t xml:space="preserve"> </w:t>
      </w:r>
      <w:r w:rsidR="00C02B04">
        <w:t xml:space="preserve">Initiative to </w:t>
      </w:r>
      <w:r w:rsidR="00882172">
        <w:t>Create New</w:t>
      </w:r>
      <w:r w:rsidR="00C02B04">
        <w:t xml:space="preserve"> District Parcel Tax</w:t>
      </w:r>
      <w:r w:rsidR="00523C2F">
        <w:t xml:space="preserve"> Exemption</w:t>
      </w:r>
    </w:p>
    <w:p w14:paraId="5F927DB6" w14:textId="1A5C0197" w:rsidR="00DD613D" w:rsidRDefault="00D23DB7" w:rsidP="001366F2">
      <w:pPr>
        <w:ind w:firstLine="0"/>
      </w:pPr>
      <w:r>
        <w:tab/>
      </w:r>
      <w:r w:rsidR="00532CB4">
        <w:t xml:space="preserve">The district </w:t>
      </w:r>
      <w:r w:rsidR="004A1B4A">
        <w:t xml:space="preserve">contends </w:t>
      </w:r>
      <w:r w:rsidR="0051263A">
        <w:t>that the citizen’s initiative process is inapplicable</w:t>
      </w:r>
      <w:r w:rsidR="000A2A3F">
        <w:t xml:space="preserve"> on these facts</w:t>
      </w:r>
      <w:r w:rsidR="00E70859">
        <w:t xml:space="preserve">.  It </w:t>
      </w:r>
      <w:r w:rsidR="004A1B4A">
        <w:t>maintains</w:t>
      </w:r>
      <w:r w:rsidR="00E70859">
        <w:t xml:space="preserve"> </w:t>
      </w:r>
      <w:r w:rsidR="00532CB4">
        <w:t xml:space="preserve">there is no constitutional or statutory authority </w:t>
      </w:r>
      <w:r w:rsidR="00F845A5">
        <w:t>authorizing the initiative power</w:t>
      </w:r>
      <w:r w:rsidR="00532CB4">
        <w:t xml:space="preserve"> to amend actions</w:t>
      </w:r>
      <w:r w:rsidR="009D51CD">
        <w:t xml:space="preserve"> </w:t>
      </w:r>
      <w:r w:rsidR="00F845A5">
        <w:t xml:space="preserve">taken </w:t>
      </w:r>
      <w:r w:rsidR="00532CB4">
        <w:t>by school boards</w:t>
      </w:r>
      <w:r w:rsidR="00DE3E7F">
        <w:t xml:space="preserve"> </w:t>
      </w:r>
      <w:r w:rsidR="002D5EE6">
        <w:t>because</w:t>
      </w:r>
      <w:r w:rsidR="00532CB4">
        <w:t xml:space="preserve"> </w:t>
      </w:r>
      <w:r w:rsidR="00C95A72">
        <w:t>section 3</w:t>
      </w:r>
      <w:r w:rsidR="00F50AE6">
        <w:t xml:space="preserve"> is declaratory of existing citizen initiative powers and does not create or expand that power to reach </w:t>
      </w:r>
      <w:r w:rsidR="00DE3E7F">
        <w:t xml:space="preserve">school district </w:t>
      </w:r>
      <w:r w:rsidR="00F50AE6">
        <w:t>parcel taxes</w:t>
      </w:r>
      <w:r w:rsidR="00E70859">
        <w:t xml:space="preserve">.  The district </w:t>
      </w:r>
      <w:r w:rsidR="004A1B4A">
        <w:t>further</w:t>
      </w:r>
      <w:r w:rsidR="00E70859">
        <w:t xml:space="preserve"> </w:t>
      </w:r>
      <w:r w:rsidR="004A1B4A">
        <w:t>asserts that</w:t>
      </w:r>
      <w:r w:rsidR="002D5EE6">
        <w:t>,</w:t>
      </w:r>
      <w:r w:rsidR="004A1B4A">
        <w:t xml:space="preserve"> </w:t>
      </w:r>
      <w:r w:rsidR="00B92FA7">
        <w:t xml:space="preserve">by its text, </w:t>
      </w:r>
      <w:r w:rsidR="00F50AE6">
        <w:t>the initiative does not fall within the scope of the initiative power conferred by section 3.</w:t>
      </w:r>
      <w:r w:rsidR="00C95A72">
        <w:t xml:space="preserve"> </w:t>
      </w:r>
      <w:r w:rsidR="00F50AE6">
        <w:t xml:space="preserve"> </w:t>
      </w:r>
      <w:proofErr w:type="spellStart"/>
      <w:r w:rsidR="00F50AE6">
        <w:t>Loeber</w:t>
      </w:r>
      <w:proofErr w:type="spellEnd"/>
      <w:r w:rsidR="00F50AE6">
        <w:t xml:space="preserve"> </w:t>
      </w:r>
      <w:r w:rsidR="002F69CB">
        <w:t>counters</w:t>
      </w:r>
      <w:r w:rsidR="00F50AE6">
        <w:t xml:space="preserve"> that </w:t>
      </w:r>
      <w:r w:rsidR="002F69CB">
        <w:t xml:space="preserve">there is no restriction on the use of the initiative process </w:t>
      </w:r>
      <w:proofErr w:type="gramStart"/>
      <w:r w:rsidR="002F69CB">
        <w:t>in the area of</w:t>
      </w:r>
      <w:proofErr w:type="gramEnd"/>
      <w:r w:rsidR="002F69CB">
        <w:t xml:space="preserve"> local taxation</w:t>
      </w:r>
      <w:r w:rsidR="000A2A3F">
        <w:t>,</w:t>
      </w:r>
      <w:r w:rsidR="002F69CB">
        <w:t xml:space="preserve"> and </w:t>
      </w:r>
      <w:r>
        <w:t xml:space="preserve">section 3 expressly applies to school districts.  </w:t>
      </w:r>
    </w:p>
    <w:p w14:paraId="499C3E2D" w14:textId="73BF8106" w:rsidR="00CD4C44" w:rsidRDefault="00D23DB7" w:rsidP="00B92FA7">
      <w:pPr>
        <w:ind w:firstLine="0"/>
      </w:pPr>
      <w:r>
        <w:tab/>
      </w:r>
      <w:r w:rsidR="00B92FA7">
        <w:t xml:space="preserve">There appears to be no published legal authority on whether </w:t>
      </w:r>
      <w:r w:rsidR="006A0AD8">
        <w:t xml:space="preserve">section </w:t>
      </w:r>
      <w:r w:rsidR="00B92FA7">
        <w:t xml:space="preserve">3 </w:t>
      </w:r>
      <w:r w:rsidR="007E1279">
        <w:t xml:space="preserve">applies </w:t>
      </w:r>
      <w:r w:rsidR="00B92FA7">
        <w:t xml:space="preserve">to citizen initiatives </w:t>
      </w:r>
      <w:r w:rsidR="00CB2553">
        <w:t xml:space="preserve">to </w:t>
      </w:r>
      <w:r w:rsidR="007E1279">
        <w:t xml:space="preserve">affect </w:t>
      </w:r>
      <w:r w:rsidR="00B92FA7">
        <w:t xml:space="preserve">school </w:t>
      </w:r>
      <w:r w:rsidR="00314FF4">
        <w:t>district parcel</w:t>
      </w:r>
      <w:r w:rsidR="00FB300A">
        <w:t xml:space="preserve"> taxes</w:t>
      </w:r>
      <w:r w:rsidR="00314FF4">
        <w:t>.</w:t>
      </w:r>
      <w:r w:rsidR="00FB300A">
        <w:t xml:space="preserve">  </w:t>
      </w:r>
      <w:r w:rsidR="00E140CD">
        <w:t>Although we acknowledge the importance of the question, w</w:t>
      </w:r>
      <w:r w:rsidR="00B92FA7">
        <w:t xml:space="preserve">e decide we need not resolve </w:t>
      </w:r>
      <w:r w:rsidR="00E140CD">
        <w:t>it</w:t>
      </w:r>
      <w:r w:rsidR="00B92FA7">
        <w:t xml:space="preserve"> here</w:t>
      </w:r>
      <w:r w:rsidR="006C1827">
        <w:t>.  E</w:t>
      </w:r>
      <w:r w:rsidR="00B92FA7">
        <w:t xml:space="preserve">ven assuming arguendo that </w:t>
      </w:r>
      <w:r w:rsidR="0003242F">
        <w:t xml:space="preserve">section </w:t>
      </w:r>
      <w:r w:rsidR="00B92FA7">
        <w:t xml:space="preserve">3 </w:t>
      </w:r>
      <w:r w:rsidR="00F845A5">
        <w:t>applies</w:t>
      </w:r>
      <w:r w:rsidR="00B92FA7">
        <w:t xml:space="preserve"> to school districts, </w:t>
      </w:r>
      <w:r w:rsidR="00E140CD">
        <w:t xml:space="preserve">we conclude </w:t>
      </w:r>
      <w:r w:rsidR="00B92FA7">
        <w:t xml:space="preserve">the initiative </w:t>
      </w:r>
      <w:r w:rsidR="00950435">
        <w:t xml:space="preserve">does not come within the </w:t>
      </w:r>
      <w:r w:rsidR="007C0B1E">
        <w:t>scope of</w:t>
      </w:r>
      <w:r w:rsidR="00950435">
        <w:t xml:space="preserve"> </w:t>
      </w:r>
      <w:r w:rsidR="0003242F">
        <w:t xml:space="preserve">section </w:t>
      </w:r>
      <w:r w:rsidR="00EE7F3B">
        <w:t>3 because it</w:t>
      </w:r>
      <w:r w:rsidR="00F845A5">
        <w:t xml:space="preserve"> is not a</w:t>
      </w:r>
      <w:r w:rsidR="00DD564F">
        <w:t xml:space="preserve"> </w:t>
      </w:r>
      <w:r w:rsidR="00F845A5">
        <w:t>“</w:t>
      </w:r>
      <w:proofErr w:type="gramStart"/>
      <w:r w:rsidR="00F845A5" w:rsidRPr="00D80489">
        <w:t>matter</w:t>
      </w:r>
      <w:r w:rsidR="00F845A5">
        <w:t>[</w:t>
      </w:r>
      <w:proofErr w:type="gramEnd"/>
      <w:r w:rsidR="00EE7F3B">
        <w:t> </w:t>
      </w:r>
      <w:r w:rsidR="00F845A5">
        <w:t>]</w:t>
      </w:r>
      <w:r w:rsidR="00EE7F3B">
        <w:t> </w:t>
      </w:r>
      <w:r w:rsidR="00E5052C">
        <w:t>of</w:t>
      </w:r>
      <w:r w:rsidR="00F845A5" w:rsidRPr="00D80489">
        <w:t xml:space="preserve"> reducing or repealing any local tax, assessment, fee or charge</w:t>
      </w:r>
      <w:r w:rsidR="00F845A5">
        <w:t>”</w:t>
      </w:r>
      <w:r w:rsidR="00781457">
        <w:t xml:space="preserve"> within the intended meaning of that provision.</w:t>
      </w:r>
      <w:r w:rsidR="00F845A5">
        <w:t xml:space="preserve">  </w:t>
      </w:r>
    </w:p>
    <w:p w14:paraId="2B732005" w14:textId="57EA5CF8" w:rsidR="00950435" w:rsidRDefault="00D23DB7" w:rsidP="0051263A">
      <w:pPr>
        <w:ind w:firstLine="0"/>
      </w:pPr>
      <w:r>
        <w:tab/>
      </w:r>
      <w:r w:rsidR="00E42C25">
        <w:t>To</w:t>
      </w:r>
      <w:r w:rsidR="00E264F2">
        <w:t xml:space="preserve"> </w:t>
      </w:r>
      <w:r w:rsidR="00E42C25">
        <w:t xml:space="preserve">explain the basis for our </w:t>
      </w:r>
      <w:r w:rsidR="00E140CD">
        <w:t>decision</w:t>
      </w:r>
      <w:r w:rsidR="00E42C25">
        <w:t xml:space="preserve">, we </w:t>
      </w:r>
      <w:r w:rsidR="00E264F2">
        <w:t>provide a</w:t>
      </w:r>
      <w:r w:rsidR="00DC07B2">
        <w:t xml:space="preserve"> brief </w:t>
      </w:r>
      <w:r w:rsidR="00E264F2">
        <w:t>overview of</w:t>
      </w:r>
      <w:r w:rsidR="00E42C25">
        <w:t xml:space="preserve"> the </w:t>
      </w:r>
      <w:r>
        <w:t xml:space="preserve">initiative power </w:t>
      </w:r>
      <w:r w:rsidR="00E264F2">
        <w:t xml:space="preserve">and </w:t>
      </w:r>
      <w:r>
        <w:t xml:space="preserve">constitutional reforms </w:t>
      </w:r>
      <w:r w:rsidR="00DC449D">
        <w:t>for</w:t>
      </w:r>
      <w:r>
        <w:t xml:space="preserve"> increase</w:t>
      </w:r>
      <w:r w:rsidR="00DC449D">
        <w:t>d</w:t>
      </w:r>
      <w:r>
        <w:t xml:space="preserve"> voter control over taxation </w:t>
      </w:r>
      <w:r w:rsidR="00DC07B2">
        <w:t xml:space="preserve">before turning to </w:t>
      </w:r>
      <w:r w:rsidR="00B92FA7">
        <w:t xml:space="preserve">our analysis of the </w:t>
      </w:r>
      <w:r w:rsidR="00DC07B2">
        <w:t>proposed initiative</w:t>
      </w:r>
      <w:r w:rsidR="00E42C25">
        <w:t xml:space="preserve">.  </w:t>
      </w:r>
    </w:p>
    <w:p w14:paraId="3555DB40" w14:textId="0A4B5CA6" w:rsidR="005A5AF3" w:rsidRDefault="00D23DB7" w:rsidP="006E7BDE">
      <w:pPr>
        <w:pStyle w:val="Heading3"/>
        <w:numPr>
          <w:ilvl w:val="0"/>
          <w:numId w:val="3"/>
        </w:numPr>
      </w:pPr>
      <w:r>
        <w:t xml:space="preserve">Constitutional Background </w:t>
      </w:r>
    </w:p>
    <w:p w14:paraId="71A3C789" w14:textId="69CA9AB9" w:rsidR="00237A80" w:rsidRDefault="00D23DB7" w:rsidP="00237A80">
      <w:pPr>
        <w:ind w:firstLine="0"/>
      </w:pPr>
      <w:r>
        <w:tab/>
        <w:t>“Under the California Constitution, ‘[t]he legislative power of this State is vested in the California Legislature . . . but the people reserve to themselves the powers of initiative and referendum.’  ([A]rt. IV, § 1.)  The powers of initiative and referendum were enacted as part of the Constitution in 1911 as companion reforms.  The initiative power allows voters to propose new measures and place them on the ballot for a popular vote.  If the measure is approved by popular vote, it becomes law.  (</w:t>
      </w:r>
      <w:r w:rsidR="008E1EDE">
        <w:t>[A]</w:t>
      </w:r>
      <w:r>
        <w:t xml:space="preserve">rt. II, § 8; </w:t>
      </w:r>
      <w:r w:rsidRPr="008E1EDE">
        <w:rPr>
          <w:i/>
          <w:iCs/>
        </w:rPr>
        <w:t>id</w:t>
      </w:r>
      <w:r>
        <w:t>., §</w:t>
      </w:r>
      <w:r w:rsidR="008E1EDE">
        <w:t> </w:t>
      </w:r>
      <w:r>
        <w:t>10, subd. (a).)”  (</w:t>
      </w:r>
      <w:r w:rsidRPr="00237A80">
        <w:rPr>
          <w:i/>
          <w:iCs/>
        </w:rPr>
        <w:t>Wilde v. City of Dunsmuir</w:t>
      </w:r>
      <w:r>
        <w:t xml:space="preserve"> (2020) 9 Cal.5th 1105, 1111</w:t>
      </w:r>
      <w:r w:rsidR="008E1EDE">
        <w:t xml:space="preserve"> (</w:t>
      </w:r>
      <w:r w:rsidR="008E1EDE">
        <w:rPr>
          <w:i/>
          <w:iCs/>
        </w:rPr>
        <w:t>Wilde</w:t>
      </w:r>
      <w:r w:rsidR="008E1EDE">
        <w:t>)</w:t>
      </w:r>
      <w:r>
        <w:t xml:space="preserve">.)  </w:t>
      </w:r>
    </w:p>
    <w:p w14:paraId="229383D2" w14:textId="68DB8A61" w:rsidR="00F442B1" w:rsidRDefault="00D23DB7" w:rsidP="00F442B1">
      <w:pPr>
        <w:ind w:firstLine="0"/>
      </w:pPr>
      <w:r>
        <w:lastRenderedPageBreak/>
        <w:tab/>
      </w:r>
      <w:r w:rsidR="00A66757">
        <w:t xml:space="preserve">Article II </w:t>
      </w:r>
      <w:r w:rsidR="008E1EDE">
        <w:t>describes both</w:t>
      </w:r>
      <w:r w:rsidR="00A66757">
        <w:t xml:space="preserve"> the </w:t>
      </w:r>
      <w:r w:rsidR="00420981">
        <w:t xml:space="preserve">statewide </w:t>
      </w:r>
      <w:r w:rsidR="00A66757">
        <w:t xml:space="preserve">initiative (art. II, § 8) and </w:t>
      </w:r>
      <w:r w:rsidR="00B4483D">
        <w:t xml:space="preserve">reserves the right of initiative to </w:t>
      </w:r>
      <w:r w:rsidR="00892E9C">
        <w:t>electors of cities and counties</w:t>
      </w:r>
      <w:r w:rsidR="00A66757">
        <w:t xml:space="preserve"> “under procedures that the Legislature shall provide” (art. II, § 11).</w:t>
      </w:r>
      <w:r w:rsidR="00EF0E77">
        <w:t xml:space="preserve">  (</w:t>
      </w:r>
      <w:r w:rsidR="00A66757" w:rsidRPr="00EF0E77">
        <w:rPr>
          <w:i/>
          <w:iCs/>
        </w:rPr>
        <w:t>City and County of San Francisco v. All Persons Interested in Matter of Proposition C</w:t>
      </w:r>
      <w:r w:rsidR="00A66757">
        <w:t xml:space="preserve"> (2020) 51 Cal.App.5th 703, 709 </w:t>
      </w:r>
      <w:r w:rsidR="00EF0E77">
        <w:t>(</w:t>
      </w:r>
      <w:r w:rsidR="00EF0E77" w:rsidRPr="00EF0E77">
        <w:rPr>
          <w:i/>
          <w:iCs/>
        </w:rPr>
        <w:t>Proposition C</w:t>
      </w:r>
      <w:r w:rsidR="00EF0E77">
        <w:t xml:space="preserve">).) </w:t>
      </w:r>
      <w:r w:rsidR="008E1EDE">
        <w:t xml:space="preserve"> The reservation of initiative power addressed the growing </w:t>
      </w:r>
      <w:proofErr w:type="gramStart"/>
      <w:r w:rsidR="008E1EDE">
        <w:t>“ ‘</w:t>
      </w:r>
      <w:proofErr w:type="gramEnd"/>
      <w:r w:rsidR="008E1EDE">
        <w:t>dissatisfaction with the then governing public officials and a widespread belief that the people had lost control of the political process.’ ”  (</w:t>
      </w:r>
      <w:r w:rsidR="008E1EDE" w:rsidRPr="0018017C">
        <w:rPr>
          <w:i/>
          <w:iCs/>
        </w:rPr>
        <w:t>C</w:t>
      </w:r>
      <w:r w:rsidR="008E1EDE">
        <w:rPr>
          <w:i/>
          <w:iCs/>
        </w:rPr>
        <w:t>alifornia C</w:t>
      </w:r>
      <w:r w:rsidR="008E1EDE" w:rsidRPr="0018017C">
        <w:rPr>
          <w:i/>
          <w:iCs/>
        </w:rPr>
        <w:t>annabis</w:t>
      </w:r>
      <w:r w:rsidR="008E1EDE">
        <w:t xml:space="preserve">, </w:t>
      </w:r>
      <w:r w:rsidR="008E1EDE">
        <w:rPr>
          <w:i/>
          <w:iCs/>
        </w:rPr>
        <w:t>supra</w:t>
      </w:r>
      <w:r w:rsidR="008E1EDE">
        <w:t>,</w:t>
      </w:r>
      <w:r w:rsidR="008E1EDE" w:rsidRPr="0018017C">
        <w:rPr>
          <w:i/>
          <w:iCs/>
        </w:rPr>
        <w:t xml:space="preserve"> </w:t>
      </w:r>
      <w:r w:rsidR="008E1EDE">
        <w:t xml:space="preserve">3 Cal.5th at p. 934.)  </w:t>
      </w:r>
    </w:p>
    <w:p w14:paraId="3BB7C7B0" w14:textId="6439C775" w:rsidR="00CB0FF4" w:rsidRPr="00FF3703" w:rsidRDefault="00D23DB7" w:rsidP="00204419">
      <w:pPr>
        <w:ind w:firstLine="0"/>
        <w:rPr>
          <w:i/>
          <w:iCs/>
        </w:rPr>
      </w:pPr>
      <w:r>
        <w:tab/>
      </w:r>
      <w:r w:rsidR="008E1EDE" w:rsidRPr="00C34853">
        <w:t>Several decades after</w:t>
      </w:r>
      <w:r w:rsidR="008E1EDE" w:rsidRPr="008E1EDE">
        <w:t xml:space="preserve"> the establish</w:t>
      </w:r>
      <w:r w:rsidR="008E1EDE">
        <w:t>ment of the initiative power</w:t>
      </w:r>
      <w:r w:rsidR="008E1EDE" w:rsidRPr="008E1EDE">
        <w:t xml:space="preserve"> in the Constitution, </w:t>
      </w:r>
      <w:r w:rsidR="008E1EDE">
        <w:t>“</w:t>
      </w:r>
      <w:r w:rsidR="008E1EDE" w:rsidRPr="008E1EDE">
        <w:t>voters enacted a series of reforms aimed at increasing voter control over revenue-raising measures.</w:t>
      </w:r>
      <w:r w:rsidR="008E1EDE">
        <w:t>”  (</w:t>
      </w:r>
      <w:r w:rsidR="008E1EDE" w:rsidRPr="00237A80">
        <w:rPr>
          <w:i/>
          <w:iCs/>
        </w:rPr>
        <w:t>Wilde</w:t>
      </w:r>
      <w:r w:rsidR="008E1EDE">
        <w:t xml:space="preserve">, </w:t>
      </w:r>
      <w:r w:rsidR="008E1EDE">
        <w:rPr>
          <w:i/>
          <w:iCs/>
        </w:rPr>
        <w:t>supra</w:t>
      </w:r>
      <w:r w:rsidR="008E1EDE">
        <w:t>,</w:t>
      </w:r>
      <w:r w:rsidR="008E1EDE" w:rsidRPr="00237A80">
        <w:rPr>
          <w:i/>
          <w:iCs/>
        </w:rPr>
        <w:t xml:space="preserve"> </w:t>
      </w:r>
      <w:r w:rsidR="008E1EDE">
        <w:t>9 Cal.5th at p. 1112.)  Th</w:t>
      </w:r>
      <w:r w:rsidR="00B56C9B">
        <w:t xml:space="preserve">ree principal </w:t>
      </w:r>
      <w:r>
        <w:t>initiatives</w:t>
      </w:r>
      <w:r w:rsidR="00B56C9B">
        <w:t>—P</w:t>
      </w:r>
      <w:r w:rsidR="008E1EDE">
        <w:t>roposition 13, Proposition 218, and Proposition 2</w:t>
      </w:r>
      <w:r w:rsidR="00204419">
        <w:t>6</w:t>
      </w:r>
      <w:r w:rsidR="00B56C9B">
        <w:t>—collectively limit</w:t>
      </w:r>
      <w:r>
        <w:t xml:space="preserve"> government</w:t>
      </w:r>
      <w:r w:rsidR="00F67E21">
        <w:t xml:space="preserve"> authority</w:t>
      </w:r>
      <w:r>
        <w:t xml:space="preserve"> to </w:t>
      </w:r>
      <w:r w:rsidR="0072269E">
        <w:t>collect revenue through taxes, fees, and other charges</w:t>
      </w:r>
      <w:r>
        <w:t>.  (</w:t>
      </w:r>
      <w:r w:rsidRPr="007D7398">
        <w:rPr>
          <w:i/>
          <w:iCs/>
        </w:rPr>
        <w:t>Citizens for Fair REU Rates v. City of Redding</w:t>
      </w:r>
      <w:r>
        <w:t xml:space="preserve"> (2018) 6 Cal.5th 1, 10 (</w:t>
      </w:r>
      <w:r>
        <w:rPr>
          <w:i/>
          <w:iCs/>
        </w:rPr>
        <w:t>REU Rates</w:t>
      </w:r>
      <w:r>
        <w:t>);</w:t>
      </w:r>
      <w:r w:rsidR="00F67E21">
        <w:rPr>
          <w:i/>
          <w:iCs/>
        </w:rPr>
        <w:t xml:space="preserve"> </w:t>
      </w:r>
      <w:proofErr w:type="spellStart"/>
      <w:r w:rsidR="00204419" w:rsidRPr="00204419">
        <w:rPr>
          <w:i/>
          <w:iCs/>
        </w:rPr>
        <w:t>Zolly</w:t>
      </w:r>
      <w:proofErr w:type="spellEnd"/>
      <w:r w:rsidR="00204419" w:rsidRPr="00204419">
        <w:rPr>
          <w:i/>
          <w:iCs/>
        </w:rPr>
        <w:t xml:space="preserve"> v. City of Oakland </w:t>
      </w:r>
      <w:r w:rsidR="00204419" w:rsidRPr="00FF3703">
        <w:t>(2022) 13 Cal.5th 780, 785</w:t>
      </w:r>
      <w:r w:rsidR="00F67E21">
        <w:t>;</w:t>
      </w:r>
      <w:r w:rsidR="00F67E21">
        <w:rPr>
          <w:i/>
          <w:iCs/>
        </w:rPr>
        <w:t xml:space="preserve"> </w:t>
      </w:r>
      <w:r w:rsidRPr="00EF0E77">
        <w:rPr>
          <w:i/>
          <w:iCs/>
        </w:rPr>
        <w:t>Proposition C</w:t>
      </w:r>
      <w:r>
        <w:t xml:space="preserve">, </w:t>
      </w:r>
      <w:r>
        <w:rPr>
          <w:i/>
          <w:iCs/>
        </w:rPr>
        <w:t>supra</w:t>
      </w:r>
      <w:r>
        <w:t>,</w:t>
      </w:r>
      <w:r>
        <w:rPr>
          <w:i/>
          <w:iCs/>
        </w:rPr>
        <w:t xml:space="preserve"> </w:t>
      </w:r>
      <w:r>
        <w:t xml:space="preserve">51 Cal.App.5th at p. 710.) </w:t>
      </w:r>
      <w:bookmarkStart w:id="7" w:name="_Hlk165410086"/>
    </w:p>
    <w:p w14:paraId="5D774965" w14:textId="6569D01A" w:rsidR="00B56C9B" w:rsidRDefault="00D23DB7" w:rsidP="0072269E">
      <w:pPr>
        <w:ind w:firstLine="0"/>
      </w:pPr>
      <w:r>
        <w:tab/>
      </w:r>
      <w:r w:rsidR="008A6741">
        <w:t xml:space="preserve">Proposition 13, adopted in 1978, </w:t>
      </w:r>
      <w:r w:rsidR="006F293D" w:rsidRPr="006F293D">
        <w:t>added article XIII A to the state Constitution</w:t>
      </w:r>
      <w:r w:rsidR="0072269E">
        <w:t xml:space="preserve">.  Its purpose was to </w:t>
      </w:r>
      <w:r>
        <w:t>“</w:t>
      </w:r>
      <w:r w:rsidRPr="00B56C9B">
        <w:t>to cap increases in property taxes and assessments, as well as other state and local taxes.</w:t>
      </w:r>
      <w:r>
        <w:t>”</w:t>
      </w:r>
      <w:r w:rsidRPr="00B56C9B">
        <w:t xml:space="preserve"> </w:t>
      </w:r>
      <w:r>
        <w:t xml:space="preserve"> (</w:t>
      </w:r>
      <w:r w:rsidRPr="00237A80">
        <w:rPr>
          <w:i/>
          <w:iCs/>
        </w:rPr>
        <w:t>Wilde</w:t>
      </w:r>
      <w:r>
        <w:t xml:space="preserve">, </w:t>
      </w:r>
      <w:r w:rsidR="0074420E">
        <w:rPr>
          <w:i/>
          <w:iCs/>
        </w:rPr>
        <w:t>supra</w:t>
      </w:r>
      <w:r w:rsidR="0074420E">
        <w:t>,</w:t>
      </w:r>
      <w:r w:rsidR="0074420E" w:rsidRPr="00237A80">
        <w:rPr>
          <w:i/>
          <w:iCs/>
        </w:rPr>
        <w:t xml:space="preserve"> </w:t>
      </w:r>
      <w:r w:rsidR="0074420E">
        <w:t xml:space="preserve">9 Cal.5th </w:t>
      </w:r>
      <w:r>
        <w:t xml:space="preserve">at p. 1112; see </w:t>
      </w:r>
      <w:r w:rsidRPr="0072269E">
        <w:rPr>
          <w:i/>
          <w:iCs/>
        </w:rPr>
        <w:t>City of San Buenaventura v. United Water Conservation Dist.</w:t>
      </w:r>
      <w:r>
        <w:t xml:space="preserve"> (2017) 3 Cal.5th 1191, 1199 [describing Prop. 13’s tax relief and supermajority approval measures].)  I</w:t>
      </w:r>
      <w:r w:rsidRPr="00B56C9B">
        <w:t xml:space="preserve">n 1996, </w:t>
      </w:r>
      <w:r>
        <w:t>voters seeking “to close [a] perceived loophole” (</w:t>
      </w:r>
      <w:r w:rsidRPr="0072269E">
        <w:rPr>
          <w:i/>
          <w:iCs/>
        </w:rPr>
        <w:t>United Water</w:t>
      </w:r>
      <w:r>
        <w:t>,</w:t>
      </w:r>
      <w:r>
        <w:rPr>
          <w:i/>
          <w:iCs/>
        </w:rPr>
        <w:t xml:space="preserve"> </w:t>
      </w:r>
      <w:r>
        <w:t xml:space="preserve">at p. 1200) in Proposition 13 </w:t>
      </w:r>
      <w:r w:rsidRPr="00B56C9B">
        <w:t xml:space="preserve">passed Proposition 218, </w:t>
      </w:r>
      <w:r>
        <w:t>“</w:t>
      </w:r>
      <w:r w:rsidRPr="00B56C9B">
        <w:t>which further curbed state and local government authority to generate revenue through taxes and other exactions.</w:t>
      </w:r>
      <w:r>
        <w:t>”  (</w:t>
      </w:r>
      <w:r>
        <w:rPr>
          <w:i/>
          <w:iCs/>
        </w:rPr>
        <w:t>Wilde</w:t>
      </w:r>
      <w:r>
        <w:t xml:space="preserve">, at p. 1112.) </w:t>
      </w:r>
      <w:r w:rsidRPr="00B56C9B">
        <w:t xml:space="preserve"> </w:t>
      </w:r>
      <w:r w:rsidR="006B04E5">
        <w:t xml:space="preserve">Proposition 218, </w:t>
      </w:r>
      <w:r w:rsidR="006B04E5" w:rsidRPr="008A68BB">
        <w:t xml:space="preserve">known as the </w:t>
      </w:r>
      <w:proofErr w:type="gramStart"/>
      <w:r w:rsidR="006B04E5" w:rsidRPr="008A68BB">
        <w:t>“</w:t>
      </w:r>
      <w:r w:rsidR="006D7A83">
        <w:t xml:space="preserve"> ‘</w:t>
      </w:r>
      <w:proofErr w:type="gramEnd"/>
      <w:r w:rsidR="006D7A83">
        <w:t xml:space="preserve"> “</w:t>
      </w:r>
      <w:r w:rsidR="006B04E5" w:rsidRPr="008A68BB">
        <w:t>Right to Vote on Taxes Act</w:t>
      </w:r>
      <w:r w:rsidR="006B04E5">
        <w:t>,</w:t>
      </w:r>
      <w:r w:rsidR="006D7A83">
        <w:t xml:space="preserve">” ’ </w:t>
      </w:r>
      <w:r w:rsidR="006B04E5" w:rsidRPr="008A68BB">
        <w:t>”</w:t>
      </w:r>
      <w:r w:rsidR="006B04E5">
        <w:t xml:space="preserve"> </w:t>
      </w:r>
      <w:r w:rsidR="006D7A83">
        <w:t>“</w:t>
      </w:r>
      <w:r w:rsidR="006B04E5" w:rsidRPr="00460621">
        <w:t>added articles XIII C and XIII D to the state Constitution.</w:t>
      </w:r>
      <w:r w:rsidR="006B04E5">
        <w:t>”  (</w:t>
      </w:r>
      <w:r w:rsidR="006B04E5" w:rsidRPr="007D7398">
        <w:rPr>
          <w:i/>
          <w:iCs/>
        </w:rPr>
        <w:t>REU Rates</w:t>
      </w:r>
      <w:r w:rsidR="006B04E5">
        <w:t xml:space="preserve">, </w:t>
      </w:r>
      <w:r w:rsidR="006B04E5">
        <w:rPr>
          <w:i/>
          <w:iCs/>
        </w:rPr>
        <w:t>supra</w:t>
      </w:r>
      <w:r w:rsidR="006B04E5">
        <w:t>,</w:t>
      </w:r>
      <w:r w:rsidR="006B04E5" w:rsidRPr="007D7398">
        <w:rPr>
          <w:i/>
          <w:iCs/>
        </w:rPr>
        <w:t xml:space="preserve"> </w:t>
      </w:r>
      <w:r w:rsidR="006B04E5">
        <w:t xml:space="preserve">6 Cal.5th at p. 10.)  </w:t>
      </w:r>
      <w:r>
        <w:t>Article XIII D</w:t>
      </w:r>
      <w:r w:rsidRPr="00276EC5">
        <w:t xml:space="preserve"> </w:t>
      </w:r>
      <w:r w:rsidR="00C43032">
        <w:t xml:space="preserve">sets out </w:t>
      </w:r>
      <w:r>
        <w:t>“</w:t>
      </w:r>
      <w:r w:rsidRPr="00276EC5">
        <w:t>the authority of</w:t>
      </w:r>
      <w:r>
        <w:t xml:space="preserve"> </w:t>
      </w:r>
      <w:r w:rsidRPr="00276EC5">
        <w:t>local governments to assess taxes and other charges on real property</w:t>
      </w:r>
      <w:r>
        <w:t>” (</w:t>
      </w:r>
      <w:r w:rsidR="006B04E5">
        <w:rPr>
          <w:i/>
          <w:iCs/>
        </w:rPr>
        <w:t>ibid</w:t>
      </w:r>
      <w:r>
        <w:t>.)</w:t>
      </w:r>
      <w:r w:rsidR="006B04E5">
        <w:t>, while a</w:t>
      </w:r>
      <w:r w:rsidRPr="00276EC5">
        <w:t>rticle XIII C</w:t>
      </w:r>
      <w:r>
        <w:t xml:space="preserve"> limits “</w:t>
      </w:r>
      <w:r w:rsidRPr="00276EC5">
        <w:t>the other methods by which local governments can exact revenue using fees and taxes not based on real property value or ownership</w:t>
      </w:r>
      <w:r>
        <w:t>.”  (</w:t>
      </w:r>
      <w:r>
        <w:rPr>
          <w:i/>
          <w:iCs/>
        </w:rPr>
        <w:t>Ibid</w:t>
      </w:r>
      <w:r>
        <w:t>.)</w:t>
      </w:r>
      <w:r>
        <w:rPr>
          <w:i/>
          <w:iCs/>
        </w:rPr>
        <w:t xml:space="preserve">  </w:t>
      </w:r>
      <w:r>
        <w:t>Most recently</w:t>
      </w:r>
      <w:r w:rsidRPr="00B56C9B">
        <w:t xml:space="preserve">, </w:t>
      </w:r>
      <w:r w:rsidR="006B04E5">
        <w:t>“</w:t>
      </w:r>
      <w:r w:rsidRPr="00B56C9B">
        <w:t xml:space="preserve">in 2010, </w:t>
      </w:r>
      <w:r w:rsidRPr="00B56C9B">
        <w:lastRenderedPageBreak/>
        <w:t xml:space="preserve">voters approved Proposition 26, which expanded the reach of these limitations by broadening the definition of </w:t>
      </w:r>
      <w:r w:rsidR="006B04E5">
        <w:t>‘</w:t>
      </w:r>
      <w:r w:rsidRPr="00B56C9B">
        <w:t>tax</w:t>
      </w:r>
      <w:r w:rsidR="006B04E5">
        <w:t>’</w:t>
      </w:r>
      <w:r w:rsidRPr="00B56C9B">
        <w:t xml:space="preserve"> to cover </w:t>
      </w:r>
      <w:r w:rsidR="006B04E5">
        <w:t>‘</w:t>
      </w:r>
      <w:r w:rsidRPr="00B56C9B">
        <w:t>any levy, charge, or exaction of any kind imposed by a local government,</w:t>
      </w:r>
      <w:r w:rsidR="006B04E5">
        <w:t>’</w:t>
      </w:r>
      <w:r w:rsidRPr="00B56C9B">
        <w:t xml:space="preserve"> subject to several specified exceptions. (</w:t>
      </w:r>
      <w:r w:rsidR="006B04E5">
        <w:t>[A]</w:t>
      </w:r>
      <w:r w:rsidRPr="00B56C9B">
        <w:t>rt. XIII C, §</w:t>
      </w:r>
      <w:r w:rsidR="003D67BC">
        <w:t> </w:t>
      </w:r>
      <w:r w:rsidRPr="00B56C9B">
        <w:t>1, subd. (e)</w:t>
      </w:r>
      <w:r w:rsidR="006B04E5">
        <w:t>.)</w:t>
      </w:r>
      <w:r w:rsidR="00F42E93">
        <w:t>”  (</w:t>
      </w:r>
      <w:r w:rsidR="00F42E93">
        <w:rPr>
          <w:i/>
          <w:iCs/>
        </w:rPr>
        <w:t>Wilde</w:t>
      </w:r>
      <w:r w:rsidR="00F42E93">
        <w:t xml:space="preserve">, at p. 1112.) </w:t>
      </w:r>
      <w:r w:rsidR="00F42E93" w:rsidRPr="00B56C9B">
        <w:t xml:space="preserve"> </w:t>
      </w:r>
    </w:p>
    <w:p w14:paraId="286300FF" w14:textId="3EFAFD6D" w:rsidR="00D11EDD" w:rsidRDefault="00D23DB7" w:rsidP="003C0187">
      <w:pPr>
        <w:ind w:firstLine="0"/>
      </w:pPr>
      <w:r>
        <w:tab/>
      </w:r>
      <w:r w:rsidR="00233442">
        <w:t xml:space="preserve">Among the changes effected by Proposition 218, </w:t>
      </w:r>
      <w:r w:rsidR="00B5524D">
        <w:t>a</w:t>
      </w:r>
      <w:r w:rsidR="00E20C75">
        <w:t>rticle XIII C</w:t>
      </w:r>
      <w:r w:rsidR="00D22FC2">
        <w:t xml:space="preserve"> </w:t>
      </w:r>
      <w:r w:rsidR="00233442">
        <w:t>address</w:t>
      </w:r>
      <w:r w:rsidR="00494B18">
        <w:t>es</w:t>
      </w:r>
      <w:r w:rsidR="00233442">
        <w:t xml:space="preserve"> voter approval</w:t>
      </w:r>
      <w:r w:rsidR="00494B18" w:rsidRPr="00494B18">
        <w:t xml:space="preserve"> </w:t>
      </w:r>
      <w:r w:rsidR="00494B18">
        <w:t>for local tax levies</w:t>
      </w:r>
      <w:r w:rsidR="00233442">
        <w:t>, including the initiative powe</w:t>
      </w:r>
      <w:r w:rsidR="00494B18">
        <w:t>r</w:t>
      </w:r>
      <w:r w:rsidR="00233442">
        <w:t xml:space="preserve">.  </w:t>
      </w:r>
      <w:r>
        <w:t>S</w:t>
      </w:r>
      <w:r w:rsidR="003C0187">
        <w:t xml:space="preserve">ection 1 of article XIII C defines the terms used in </w:t>
      </w:r>
      <w:r w:rsidR="00B5524D">
        <w:t xml:space="preserve">the </w:t>
      </w:r>
      <w:r w:rsidR="003C0187">
        <w:t xml:space="preserve">article, including </w:t>
      </w:r>
      <w:proofErr w:type="gramStart"/>
      <w:r w:rsidR="003C0187">
        <w:t>“</w:t>
      </w:r>
      <w:r w:rsidR="001E1A2E">
        <w:t xml:space="preserve"> ‘</w:t>
      </w:r>
      <w:proofErr w:type="gramEnd"/>
      <w:r w:rsidR="003C0187">
        <w:t>[l]</w:t>
      </w:r>
      <w:proofErr w:type="spellStart"/>
      <w:r w:rsidR="003C0187">
        <w:t>ocal</w:t>
      </w:r>
      <w:proofErr w:type="spellEnd"/>
      <w:r w:rsidR="003C0187">
        <w:t xml:space="preserve"> government</w:t>
      </w:r>
      <w:r w:rsidR="001E1A2E">
        <w:t xml:space="preserve">’ </w:t>
      </w:r>
      <w:r>
        <w:t>”</w:t>
      </w:r>
      <w:r w:rsidR="003C0187">
        <w:t xml:space="preserve"> and “</w:t>
      </w:r>
      <w:r w:rsidR="001E1A2E">
        <w:t xml:space="preserve"> ‘</w:t>
      </w:r>
      <w:r w:rsidR="003C0187">
        <w:t>[s]</w:t>
      </w:r>
      <w:proofErr w:type="spellStart"/>
      <w:r w:rsidR="003C0187">
        <w:t>pecial</w:t>
      </w:r>
      <w:proofErr w:type="spellEnd"/>
      <w:r w:rsidR="003C0187">
        <w:t xml:space="preserve"> district.</w:t>
      </w:r>
      <w:r w:rsidR="001E1A2E">
        <w:t xml:space="preserve">’ </w:t>
      </w:r>
      <w:r w:rsidR="003C0187">
        <w:t>”</w:t>
      </w:r>
      <w:r>
        <w:t xml:space="preserve">  (Art. XIII C, § 1.)  </w:t>
      </w:r>
      <w:proofErr w:type="gramStart"/>
      <w:r>
        <w:t>“</w:t>
      </w:r>
      <w:r w:rsidR="00F9407F">
        <w:t xml:space="preserve"> ‘</w:t>
      </w:r>
      <w:proofErr w:type="gramEnd"/>
      <w:r w:rsidR="006031A8">
        <w:t>Local government</w:t>
      </w:r>
      <w:r w:rsidR="00F9407F">
        <w:t xml:space="preserve">’ </w:t>
      </w:r>
      <w:r w:rsidR="006031A8">
        <w:t>” includes “any special district” (</w:t>
      </w:r>
      <w:r>
        <w:rPr>
          <w:i/>
          <w:iCs/>
        </w:rPr>
        <w:t>id</w:t>
      </w:r>
      <w:r>
        <w:t>.</w:t>
      </w:r>
      <w:r w:rsidR="006031A8">
        <w:t>, subd. (b)</w:t>
      </w:r>
      <w:r w:rsidR="001F147D">
        <w:t>)</w:t>
      </w:r>
      <w:r w:rsidR="006031A8">
        <w:t xml:space="preserve">, and </w:t>
      </w:r>
      <w:proofErr w:type="gramStart"/>
      <w:r w:rsidR="003E5089">
        <w:t>“ ‘</w:t>
      </w:r>
      <w:proofErr w:type="gramEnd"/>
      <w:r w:rsidR="006031A8">
        <w:t>[s]</w:t>
      </w:r>
      <w:proofErr w:type="spellStart"/>
      <w:r w:rsidR="003E5089">
        <w:t>pecial</w:t>
      </w:r>
      <w:proofErr w:type="spellEnd"/>
      <w:r w:rsidR="003E5089">
        <w:t xml:space="preserve"> district’ ” expressly includes “school districts.”  (</w:t>
      </w:r>
      <w:r w:rsidR="006031A8">
        <w:rPr>
          <w:i/>
          <w:iCs/>
        </w:rPr>
        <w:t>Id</w:t>
      </w:r>
      <w:r w:rsidR="006031A8">
        <w:t>.</w:t>
      </w:r>
      <w:r w:rsidR="003E5089">
        <w:t xml:space="preserve">, subd. (c).)  </w:t>
      </w:r>
      <w:r w:rsidR="009A1D5C">
        <w:t>Section 2 categorizes a</w:t>
      </w:r>
      <w:r w:rsidR="009A1D5C" w:rsidRPr="009A1D5C">
        <w:t xml:space="preserve">ll taxes imposed by local government </w:t>
      </w:r>
      <w:r w:rsidR="009A1D5C">
        <w:t>as “either</w:t>
      </w:r>
      <w:r w:rsidR="009A1D5C" w:rsidRPr="009A1D5C">
        <w:t xml:space="preserve"> general taxes or special taxes</w:t>
      </w:r>
      <w:r w:rsidR="009A1D5C">
        <w:t xml:space="preserve">” and </w:t>
      </w:r>
      <w:r w:rsidR="00E11F5E">
        <w:t>allows</w:t>
      </w:r>
      <w:r w:rsidR="009A1D5C">
        <w:t xml:space="preserve"> “</w:t>
      </w:r>
      <w:r w:rsidR="002B383B">
        <w:t>[</w:t>
      </w:r>
      <w:r w:rsidR="009A1D5C">
        <w:t>s</w:t>
      </w:r>
      <w:r w:rsidR="002B383B">
        <w:t>]</w:t>
      </w:r>
      <w:proofErr w:type="spellStart"/>
      <w:r w:rsidR="009A1D5C" w:rsidRPr="009A1D5C">
        <w:t>pecial</w:t>
      </w:r>
      <w:proofErr w:type="spellEnd"/>
      <w:r w:rsidR="009A1D5C" w:rsidRPr="009A1D5C">
        <w:t xml:space="preserve"> purpose districts or agencies, including school districts</w:t>
      </w:r>
      <w:r w:rsidR="009A1D5C">
        <w:t xml:space="preserve">” </w:t>
      </w:r>
      <w:r w:rsidR="00E11F5E">
        <w:t xml:space="preserve">to levy only </w:t>
      </w:r>
      <w:r w:rsidR="009A1D5C">
        <w:t xml:space="preserve">special taxes.  (Art. XIII C, § 2, subd. (a).)  It </w:t>
      </w:r>
      <w:r w:rsidR="00B5524D">
        <w:t xml:space="preserve">requires any special tax imposition or increase to be approved by a two-thirds vote of the electorate. </w:t>
      </w:r>
      <w:r w:rsidR="003C0187">
        <w:t xml:space="preserve"> </w:t>
      </w:r>
      <w:r w:rsidR="009A1D5C">
        <w:t>(</w:t>
      </w:r>
      <w:r w:rsidR="009A1D5C">
        <w:rPr>
          <w:i/>
          <w:iCs/>
        </w:rPr>
        <w:t>Id</w:t>
      </w:r>
      <w:r w:rsidR="009A1D5C">
        <w:t xml:space="preserve">., subd. (d).) </w:t>
      </w:r>
      <w:r w:rsidR="00193591">
        <w:t xml:space="preserve"> </w:t>
      </w:r>
      <w:r w:rsidR="002461E1">
        <w:t xml:space="preserve">Section 3, </w:t>
      </w:r>
      <w:r w:rsidR="002379C1">
        <w:t>on</w:t>
      </w:r>
      <w:r>
        <w:t xml:space="preserve"> the i</w:t>
      </w:r>
      <w:r w:rsidR="003C0187">
        <w:t>nitiative</w:t>
      </w:r>
      <w:r>
        <w:t xml:space="preserve"> p</w:t>
      </w:r>
      <w:r w:rsidR="003C0187">
        <w:t xml:space="preserve">ower for </w:t>
      </w:r>
      <w:r>
        <w:t>l</w:t>
      </w:r>
      <w:r w:rsidR="003C0187">
        <w:t xml:space="preserve">ocal </w:t>
      </w:r>
      <w:r>
        <w:t>t</w:t>
      </w:r>
      <w:r w:rsidR="003C0187">
        <w:t>axes</w:t>
      </w:r>
      <w:r w:rsidR="00C143C9">
        <w:t xml:space="preserve"> and other</w:t>
      </w:r>
      <w:r w:rsidR="003C0187">
        <w:t xml:space="preserve"> </w:t>
      </w:r>
      <w:r>
        <w:t>a</w:t>
      </w:r>
      <w:r w:rsidR="003C0187">
        <w:t>ssessments</w:t>
      </w:r>
      <w:r w:rsidR="00C143C9">
        <w:t xml:space="preserve"> and</w:t>
      </w:r>
      <w:r w:rsidR="003C0187">
        <w:t xml:space="preserve"> </w:t>
      </w:r>
      <w:r>
        <w:t>f</w:t>
      </w:r>
      <w:r w:rsidR="003C0187">
        <w:t>ees</w:t>
      </w:r>
      <w:r>
        <w:t>, states</w:t>
      </w:r>
      <w:r w:rsidR="00FC099A">
        <w:t>,</w:t>
      </w:r>
      <w:r>
        <w:t xml:space="preserve"> </w:t>
      </w:r>
      <w:r w:rsidR="002379C1">
        <w:t>“</w:t>
      </w:r>
      <w:r w:rsidR="003C0187">
        <w:t xml:space="preserve">Notwithstanding any other provision of this Constitution, including, but not limited to, Sections 8 and 9 of Article II, the initiative power </w:t>
      </w:r>
      <w:r w:rsidR="003C0187" w:rsidRPr="002461E1">
        <w:rPr>
          <w:i/>
          <w:iCs/>
        </w:rPr>
        <w:t>shall not be prohibited or otherwise limited in matters of reducing or repealing any local tax</w:t>
      </w:r>
      <w:r w:rsidR="003C0187">
        <w:t xml:space="preserve">, assessment, </w:t>
      </w:r>
      <w:proofErr w:type="gramStart"/>
      <w:r w:rsidR="003C0187">
        <w:t>fee</w:t>
      </w:r>
      <w:proofErr w:type="gramEnd"/>
      <w:r w:rsidR="003C0187">
        <w:t xml:space="preserve"> or charge. </w:t>
      </w:r>
      <w:r w:rsidR="002461E1">
        <w:t xml:space="preserve"> </w:t>
      </w:r>
      <w:r w:rsidR="003C0187">
        <w:t xml:space="preserve">The power of initiative to affect local taxes, assessments, </w:t>
      </w:r>
      <w:proofErr w:type="gramStart"/>
      <w:r w:rsidR="003C0187">
        <w:t>fees</w:t>
      </w:r>
      <w:proofErr w:type="gramEnd"/>
      <w:r w:rsidR="003C0187">
        <w:t xml:space="preserve"> and charges shall be applicable to all local governments and neither the Legislature nor any local government charter shall impose a signature requirement higher than that applicable to statewide statutory initiatives.”</w:t>
      </w:r>
      <w:r w:rsidR="002461E1">
        <w:t xml:space="preserve">  (Art. XIII C, § 3, italics added</w:t>
      </w:r>
      <w:r w:rsidR="00283FF2">
        <w:t>.)</w:t>
      </w:r>
    </w:p>
    <w:p w14:paraId="206A9B55" w14:textId="3CD57A2A" w:rsidR="00862B5B" w:rsidRDefault="00D23DB7" w:rsidP="00604770">
      <w:pPr>
        <w:ind w:firstLine="0"/>
      </w:pPr>
      <w:r>
        <w:tab/>
      </w:r>
      <w:bookmarkEnd w:id="7"/>
      <w:r w:rsidR="0007779C">
        <w:t>After the passage of Proposition 13, the Legislature promptly enacted general enabling legislation authoriz</w:t>
      </w:r>
      <w:r w:rsidR="00FA66E7">
        <w:t xml:space="preserve">ing the imposition of special taxes by school </w:t>
      </w:r>
      <w:r w:rsidR="0007779C">
        <w:t>districts</w:t>
      </w:r>
      <w:r w:rsidR="00FA66E7">
        <w:t>.  (</w:t>
      </w:r>
      <w:proofErr w:type="spellStart"/>
      <w:r w:rsidR="00FA66E7" w:rsidRPr="00FA66E7">
        <w:rPr>
          <w:i/>
          <w:iCs/>
        </w:rPr>
        <w:t>Borikas</w:t>
      </w:r>
      <w:proofErr w:type="spellEnd"/>
      <w:r w:rsidR="00FA66E7" w:rsidRPr="00FA66E7">
        <w:rPr>
          <w:i/>
          <w:iCs/>
        </w:rPr>
        <w:t xml:space="preserve"> v. Alameda Unified School Dist.</w:t>
      </w:r>
      <w:r w:rsidR="00FA66E7">
        <w:t xml:space="preserve"> (2013) 214 Cal.App.4th 135, 143;</w:t>
      </w:r>
      <w:r w:rsidR="00FA66E7">
        <w:rPr>
          <w:i/>
          <w:iCs/>
        </w:rPr>
        <w:t xml:space="preserve"> </w:t>
      </w:r>
      <w:r w:rsidR="00FA66E7">
        <w:t xml:space="preserve">see Gov. Code, § 50075 et seq.)  </w:t>
      </w:r>
      <w:r w:rsidR="008E5B79">
        <w:t xml:space="preserve">However, the subsequent passage of another statewide measure, Proposition </w:t>
      </w:r>
      <w:r w:rsidR="006E7BDE">
        <w:t>26</w:t>
      </w:r>
      <w:r w:rsidR="008E5B79">
        <w:t>, “</w:t>
      </w:r>
      <w:r w:rsidR="008E5B79" w:rsidRPr="008E5B79">
        <w:t xml:space="preserve">called into question the taxing power of all local districts that looked to the general enabling legislation enacted after Proposition 13 and commencing with </w:t>
      </w:r>
      <w:r w:rsidR="008E5B79">
        <w:lastRenderedPageBreak/>
        <w:t xml:space="preserve">[Government Code] </w:t>
      </w:r>
      <w:r w:rsidR="008E5B79" w:rsidRPr="008E5B79">
        <w:t>section 50075 as the source of their authority.</w:t>
      </w:r>
      <w:r w:rsidR="008E5B79">
        <w:t>”  (</w:t>
      </w:r>
      <w:proofErr w:type="spellStart"/>
      <w:r w:rsidR="008E5B79">
        <w:rPr>
          <w:i/>
          <w:iCs/>
        </w:rPr>
        <w:t>Borikas</w:t>
      </w:r>
      <w:proofErr w:type="spellEnd"/>
      <w:r w:rsidR="008E5B79">
        <w:t xml:space="preserve">, at p. 144.) </w:t>
      </w:r>
      <w:r w:rsidR="008E5B79" w:rsidRPr="008E5B79">
        <w:t xml:space="preserve"> </w:t>
      </w:r>
      <w:r w:rsidR="002D783C">
        <w:t xml:space="preserve">Various legal challenges ensued, and the Legislature </w:t>
      </w:r>
      <w:r w:rsidR="00EF5F8B">
        <w:t xml:space="preserve">subsequently </w:t>
      </w:r>
      <w:r w:rsidR="002D783C">
        <w:t xml:space="preserve">enacted </w:t>
      </w:r>
      <w:r w:rsidR="00B66FA9">
        <w:t>special</w:t>
      </w:r>
      <w:r w:rsidR="002D783C">
        <w:t xml:space="preserve"> legislation for school districts.  (</w:t>
      </w:r>
      <w:r w:rsidR="002D783C">
        <w:rPr>
          <w:i/>
          <w:iCs/>
        </w:rPr>
        <w:t>Id</w:t>
      </w:r>
      <w:r w:rsidR="002D783C">
        <w:t>. at p. 145.)</w:t>
      </w:r>
      <w:r w:rsidR="002D783C">
        <w:rPr>
          <w:i/>
          <w:iCs/>
        </w:rPr>
        <w:t xml:space="preserve"> </w:t>
      </w:r>
      <w:r w:rsidR="002D783C">
        <w:t xml:space="preserve"> </w:t>
      </w:r>
    </w:p>
    <w:p w14:paraId="5B7C3826" w14:textId="702E66B6" w:rsidR="00E00A66" w:rsidRDefault="00D23DB7" w:rsidP="00FA66E7">
      <w:pPr>
        <w:ind w:firstLine="0"/>
      </w:pPr>
      <w:r>
        <w:tab/>
      </w:r>
      <w:r w:rsidR="008E5B79">
        <w:t>Government Code section 50079 specifically authorizes school districts, subject to article XIII A, section 4, to “</w:t>
      </w:r>
      <w:r w:rsidR="008E5B79" w:rsidRPr="00BF5529">
        <w:t>impose qualified special taxes within the distric</w:t>
      </w:r>
      <w:r w:rsidR="008E5B79">
        <w:t xml:space="preserve">t.”  (Gov. Code, § 50079, subd. (a).)  The statute defines </w:t>
      </w:r>
      <w:proofErr w:type="gramStart"/>
      <w:r w:rsidR="008E5B79">
        <w:t>“ ‘</w:t>
      </w:r>
      <w:proofErr w:type="gramEnd"/>
      <w:r w:rsidR="008E5B79">
        <w:t>qualified special taxes’ ” as “</w:t>
      </w:r>
      <w:r w:rsidR="008E5B79" w:rsidRPr="00BF5529">
        <w:t>special taxes that apply uniformly to all taxpayers or all real property within the school district, except that unimproved property may be taxed at a lower rate than improved property.</w:t>
      </w:r>
      <w:r w:rsidR="008E5B79">
        <w:t>”  (</w:t>
      </w:r>
      <w:r w:rsidR="008E5B79">
        <w:rPr>
          <w:i/>
          <w:iCs/>
        </w:rPr>
        <w:t>Id</w:t>
      </w:r>
      <w:r w:rsidR="008E5B79">
        <w:t>., subd. (b)</w:t>
      </w:r>
      <w:r w:rsidR="00283401">
        <w:t>(1)</w:t>
      </w:r>
      <w:r w:rsidR="008E5B79">
        <w:t>.)</w:t>
      </w:r>
      <w:r w:rsidR="008E5B79" w:rsidRPr="00BF5529">
        <w:t xml:space="preserve"> </w:t>
      </w:r>
      <w:r w:rsidR="008E5B79">
        <w:t xml:space="preserve"> It also authorizes exemptions from the </w:t>
      </w:r>
      <w:proofErr w:type="gramStart"/>
      <w:r w:rsidR="008E5B79">
        <w:t>“</w:t>
      </w:r>
      <w:r w:rsidR="00C32909">
        <w:t xml:space="preserve"> ‘</w:t>
      </w:r>
      <w:proofErr w:type="gramEnd"/>
      <w:r w:rsidR="00C32909">
        <w:t>[</w:t>
      </w:r>
      <w:r w:rsidR="008E5B79">
        <w:t>q</w:t>
      </w:r>
      <w:r w:rsidR="00C32909">
        <w:t>]</w:t>
      </w:r>
      <w:proofErr w:type="spellStart"/>
      <w:r w:rsidR="008E5B79">
        <w:t>ualified</w:t>
      </w:r>
      <w:proofErr w:type="spellEnd"/>
      <w:r w:rsidR="008E5B79">
        <w:t xml:space="preserve"> special tax</w:t>
      </w:r>
      <w:r w:rsidR="00C32909">
        <w:t>es</w:t>
      </w:r>
      <w:r w:rsidR="00283401">
        <w:t>’</w:t>
      </w:r>
      <w:r w:rsidR="003D67BC">
        <w:t> </w:t>
      </w:r>
      <w:r w:rsidR="008E5B79">
        <w:t>” f</w:t>
      </w:r>
      <w:r w:rsidR="008E5B79" w:rsidRPr="006F3780">
        <w:t xml:space="preserve">or </w:t>
      </w:r>
      <w:r w:rsidR="0017590C">
        <w:t>specified</w:t>
      </w:r>
      <w:r w:rsidR="008E5B79">
        <w:t xml:space="preserve"> categories of taxpayers.</w:t>
      </w:r>
      <w:r w:rsidR="008E5B79" w:rsidRPr="006F3780">
        <w:t xml:space="preserve"> </w:t>
      </w:r>
      <w:r w:rsidR="008E5B79">
        <w:t xml:space="preserve"> (</w:t>
      </w:r>
      <w:r w:rsidR="008E5B79">
        <w:rPr>
          <w:i/>
          <w:iCs/>
        </w:rPr>
        <w:t>Ibid</w:t>
      </w:r>
      <w:r w:rsidR="008E5B79">
        <w:t>.)</w:t>
      </w:r>
      <w:r>
        <w:t xml:space="preserve">  School districts</w:t>
      </w:r>
      <w:r w:rsidR="00B66FA9">
        <w:t xml:space="preserve"> </w:t>
      </w:r>
      <w:r>
        <w:t xml:space="preserve">thus </w:t>
      </w:r>
      <w:r w:rsidR="005705BB">
        <w:t xml:space="preserve">have the power </w:t>
      </w:r>
      <w:r w:rsidR="00BB270B">
        <w:t>to impose</w:t>
      </w:r>
      <w:r w:rsidR="00BB270B" w:rsidRPr="00BB270B">
        <w:t xml:space="preserve"> </w:t>
      </w:r>
      <w:r w:rsidR="00BB270B">
        <w:t>special</w:t>
      </w:r>
      <w:r w:rsidR="00BB270B" w:rsidRPr="00BB270B">
        <w:t xml:space="preserve"> taxes</w:t>
      </w:r>
      <w:r w:rsidR="00BB270B">
        <w:t xml:space="preserve"> by a two-thirds vote of the qualified electors of the district</w:t>
      </w:r>
      <w:r>
        <w:t>, consistent with the constitutional requirements of a</w:t>
      </w:r>
      <w:r w:rsidR="00BB270B" w:rsidRPr="00BB270B">
        <w:t>rt</w:t>
      </w:r>
      <w:r>
        <w:t>icle</w:t>
      </w:r>
      <w:r w:rsidR="00BB270B">
        <w:t xml:space="preserve"> </w:t>
      </w:r>
      <w:r w:rsidR="00BB270B" w:rsidRPr="00BB270B">
        <w:t xml:space="preserve">XIII A, </w:t>
      </w:r>
      <w:r>
        <w:t>section</w:t>
      </w:r>
      <w:r w:rsidR="00BB270B">
        <w:t> </w:t>
      </w:r>
      <w:r w:rsidR="00BB270B" w:rsidRPr="00BB270B">
        <w:t>4</w:t>
      </w:r>
      <w:r>
        <w:t xml:space="preserve">, and </w:t>
      </w:r>
      <w:r w:rsidR="00BB270B">
        <w:t>art</w:t>
      </w:r>
      <w:r>
        <w:t>icle</w:t>
      </w:r>
      <w:r w:rsidR="00BB270B">
        <w:t xml:space="preserve"> XIII C, </w:t>
      </w:r>
      <w:r>
        <w:t>sections 1 and</w:t>
      </w:r>
      <w:r w:rsidR="00BB270B">
        <w:t> 2, subd</w:t>
      </w:r>
      <w:r>
        <w:t>ivisions</w:t>
      </w:r>
      <w:r w:rsidR="00BB270B">
        <w:t xml:space="preserve"> (a), (d)</w:t>
      </w:r>
      <w:bookmarkStart w:id="8" w:name="_Hlk165494910"/>
      <w:r>
        <w:t xml:space="preserve">.  </w:t>
      </w:r>
    </w:p>
    <w:p w14:paraId="22022408" w14:textId="64D7797D" w:rsidR="00C44482" w:rsidRDefault="00D23DB7" w:rsidP="00FA66E7">
      <w:pPr>
        <w:ind w:firstLine="0"/>
      </w:pPr>
      <w:r>
        <w:tab/>
      </w:r>
      <w:bookmarkEnd w:id="8"/>
      <w:r w:rsidR="00C34431">
        <w:t>W</w:t>
      </w:r>
      <w:r>
        <w:t xml:space="preserve">e turn to </w:t>
      </w:r>
      <w:r w:rsidR="00C74CC5">
        <w:t xml:space="preserve">whether </w:t>
      </w:r>
      <w:r w:rsidR="00111105">
        <w:t xml:space="preserve">the initiative </w:t>
      </w:r>
      <w:r w:rsidR="008E08AF">
        <w:t xml:space="preserve">at issue here, which </w:t>
      </w:r>
      <w:r w:rsidR="000138F1">
        <w:t xml:space="preserve">would </w:t>
      </w:r>
      <w:r w:rsidR="00283FF2">
        <w:t>add an exemption to th</w:t>
      </w:r>
      <w:r w:rsidR="00111105">
        <w:t>e district’s parcel tax</w:t>
      </w:r>
      <w:r w:rsidR="008E08AF">
        <w:t>,</w:t>
      </w:r>
      <w:r w:rsidR="00111105">
        <w:t xml:space="preserve"> is</w:t>
      </w:r>
      <w:r w:rsidR="003975F5">
        <w:t xml:space="preserve"> a</w:t>
      </w:r>
      <w:r w:rsidR="00111105">
        <w:t xml:space="preserve"> </w:t>
      </w:r>
      <w:r w:rsidR="00283FF2">
        <w:t>valid</w:t>
      </w:r>
      <w:r w:rsidR="00111105">
        <w:t xml:space="preserve"> </w:t>
      </w:r>
      <w:r w:rsidR="003975F5">
        <w:t xml:space="preserve">exercise of the initiative power under section 3 </w:t>
      </w:r>
      <w:r w:rsidR="00B22AC8">
        <w:t xml:space="preserve">that </w:t>
      </w:r>
      <w:r w:rsidR="000C6A82">
        <w:t>should have been put to district voters.</w:t>
      </w:r>
    </w:p>
    <w:p w14:paraId="4505E7AB" w14:textId="42851D2D" w:rsidR="00112D89" w:rsidRDefault="00D23DB7" w:rsidP="006E7BDE">
      <w:pPr>
        <w:pStyle w:val="Heading3"/>
      </w:pPr>
      <w:r>
        <w:t>Analysis</w:t>
      </w:r>
    </w:p>
    <w:p w14:paraId="0319AEE7" w14:textId="69151FC5" w:rsidR="009726C0" w:rsidRDefault="00D23DB7" w:rsidP="00510320">
      <w:pPr>
        <w:ind w:firstLine="0"/>
      </w:pPr>
      <w:r>
        <w:tab/>
      </w:r>
      <w:bookmarkStart w:id="9" w:name="_Hlk167901065"/>
      <w:r w:rsidR="00415BB9">
        <w:t>When construing</w:t>
      </w:r>
      <w:r w:rsidR="00510320">
        <w:t xml:space="preserve"> constitutional provisions and statutes, including those enacted through voter initiative, we apply </w:t>
      </w:r>
      <w:r w:rsidR="00415BB9">
        <w:t xml:space="preserve">the same </w:t>
      </w:r>
      <w:r w:rsidR="00510320">
        <w:t xml:space="preserve">principles of </w:t>
      </w:r>
      <w:r w:rsidR="00415BB9">
        <w:t>interpretation</w:t>
      </w:r>
      <w:r w:rsidR="00510320">
        <w:t xml:space="preserve">.  </w:t>
      </w:r>
      <w:r w:rsidR="00415BB9">
        <w:t>(</w:t>
      </w:r>
      <w:r w:rsidR="00510320" w:rsidRPr="00415BB9">
        <w:rPr>
          <w:i/>
          <w:iCs/>
        </w:rPr>
        <w:t>California Cannabis</w:t>
      </w:r>
      <w:r w:rsidR="00415BB9">
        <w:t xml:space="preserve">, </w:t>
      </w:r>
      <w:r w:rsidR="00415BB9">
        <w:rPr>
          <w:i/>
          <w:iCs/>
        </w:rPr>
        <w:t>supra</w:t>
      </w:r>
      <w:r w:rsidR="00415BB9">
        <w:t>,</w:t>
      </w:r>
      <w:r w:rsidR="00415BB9">
        <w:rPr>
          <w:i/>
          <w:iCs/>
        </w:rPr>
        <w:t xml:space="preserve"> </w:t>
      </w:r>
      <w:r w:rsidR="00510320">
        <w:t xml:space="preserve">3 Cal.5th </w:t>
      </w:r>
      <w:r w:rsidR="00415BB9">
        <w:t>at p. </w:t>
      </w:r>
      <w:r w:rsidR="00510320">
        <w:t>933</w:t>
      </w:r>
      <w:r w:rsidR="00415BB9">
        <w:t>.</w:t>
      </w:r>
      <w:r w:rsidR="00510320">
        <w:t>)</w:t>
      </w:r>
      <w:r w:rsidR="00415BB9">
        <w:t xml:space="preserve">  “</w:t>
      </w:r>
      <w:r w:rsidR="00415BB9" w:rsidRPr="00415BB9">
        <w:t>Our primary concern is giving effect to the intended purpose of the provisions at issue.</w:t>
      </w:r>
      <w:r w:rsidR="00415BB9">
        <w:t>”  (</w:t>
      </w:r>
      <w:r w:rsidR="00415BB9">
        <w:rPr>
          <w:i/>
          <w:iCs/>
        </w:rPr>
        <w:t>Ibid</w:t>
      </w:r>
      <w:r w:rsidR="00415BB9">
        <w:t xml:space="preserve">.)  </w:t>
      </w:r>
      <w:r w:rsidR="00510320">
        <w:t>“</w:t>
      </w:r>
      <w:r w:rsidRPr="009726C0">
        <w:t>When, as here, the voters enacted the provision, their intent governs.</w:t>
      </w:r>
      <w:r>
        <w:t>”  (</w:t>
      </w:r>
      <w:r w:rsidR="00283FF2" w:rsidRPr="003C0187">
        <w:rPr>
          <w:i/>
          <w:iCs/>
        </w:rPr>
        <w:t xml:space="preserve">Bighorn-Desert View Water Agency v. </w:t>
      </w:r>
      <w:proofErr w:type="spellStart"/>
      <w:r w:rsidR="00283FF2" w:rsidRPr="003C0187">
        <w:rPr>
          <w:i/>
          <w:iCs/>
        </w:rPr>
        <w:t>Verjil</w:t>
      </w:r>
      <w:proofErr w:type="spellEnd"/>
      <w:r w:rsidR="00283FF2">
        <w:t xml:space="preserve"> (2006) 39 Cal.4th 205, 212 (</w:t>
      </w:r>
      <w:r w:rsidR="00283FF2" w:rsidRPr="003C0187">
        <w:rPr>
          <w:i/>
          <w:iCs/>
        </w:rPr>
        <w:t>Bighorn-Desert</w:t>
      </w:r>
      <w:r w:rsidR="00283FF2">
        <w:t>)</w:t>
      </w:r>
      <w:r>
        <w:t xml:space="preserve">.)  </w:t>
      </w:r>
      <w:r w:rsidR="00415BB9" w:rsidRPr="009726C0">
        <w:t>To determine the voters</w:t>
      </w:r>
      <w:r w:rsidR="00415BB9">
        <w:t>’</w:t>
      </w:r>
      <w:r w:rsidR="00415BB9" w:rsidRPr="009726C0">
        <w:t xml:space="preserve"> intent, </w:t>
      </w:r>
      <w:r w:rsidR="00415BB9" w:rsidRPr="00415BB9">
        <w:t xml:space="preserve">we analyze </w:t>
      </w:r>
      <w:r w:rsidR="00415BB9">
        <w:t xml:space="preserve">the text of the </w:t>
      </w:r>
      <w:r w:rsidR="00415BB9" w:rsidRPr="00415BB9">
        <w:t xml:space="preserve">provision in </w:t>
      </w:r>
      <w:r w:rsidR="00415BB9">
        <w:t>its</w:t>
      </w:r>
      <w:r w:rsidR="00415BB9" w:rsidRPr="00415BB9">
        <w:t xml:space="preserve"> relevant context</w:t>
      </w:r>
      <w:r w:rsidR="00415BB9">
        <w:t>, “a</w:t>
      </w:r>
      <w:r w:rsidR="00415BB9" w:rsidRPr="00415BB9">
        <w:t>scribing to words their ordinary meaning</w:t>
      </w:r>
      <w:r w:rsidR="00415BB9">
        <w:t>” and</w:t>
      </w:r>
      <w:r w:rsidR="00415BB9" w:rsidRPr="00415BB9">
        <w:t xml:space="preserve"> </w:t>
      </w:r>
      <w:r w:rsidR="00415BB9">
        <w:t>“</w:t>
      </w:r>
      <w:r w:rsidR="00415BB9" w:rsidRPr="00415BB9">
        <w:t>taking account of related provisions and the structure of the relevant statutory and constitutional scheme</w:t>
      </w:r>
      <w:r w:rsidR="00415BB9">
        <w:t>.”  (</w:t>
      </w:r>
      <w:r w:rsidR="00415BB9" w:rsidRPr="00415BB9">
        <w:rPr>
          <w:i/>
          <w:iCs/>
        </w:rPr>
        <w:t>California Cannabis</w:t>
      </w:r>
      <w:r w:rsidR="00415BB9">
        <w:t xml:space="preserve">, at p. 933.)  </w:t>
      </w:r>
    </w:p>
    <w:p w14:paraId="153AF453" w14:textId="21E4EF8D" w:rsidR="00D6523F" w:rsidRDefault="00D23DB7" w:rsidP="00510320">
      <w:pPr>
        <w:ind w:firstLine="0"/>
      </w:pPr>
      <w:r>
        <w:lastRenderedPageBreak/>
        <w:tab/>
      </w:r>
      <w:r w:rsidR="00913D6E">
        <w:t>S</w:t>
      </w:r>
      <w:r w:rsidR="00055137">
        <w:t xml:space="preserve">ection 3 </w:t>
      </w:r>
      <w:r w:rsidR="00055137" w:rsidRPr="00055137">
        <w:t xml:space="preserve">expressly states that the initiative power cannot be limited or prohibited when an initiative proposes </w:t>
      </w:r>
      <w:r w:rsidR="00055137">
        <w:t>“</w:t>
      </w:r>
      <w:r w:rsidR="00055137" w:rsidRPr="00055137">
        <w:t>reduc</w:t>
      </w:r>
      <w:r w:rsidR="00055137">
        <w:t>ing</w:t>
      </w:r>
      <w:r w:rsidR="00055137" w:rsidRPr="00055137">
        <w:t xml:space="preserve"> or repeal</w:t>
      </w:r>
      <w:r w:rsidR="00055137">
        <w:t>ing</w:t>
      </w:r>
      <w:r w:rsidR="00055137" w:rsidRPr="00055137">
        <w:t xml:space="preserve"> any local tax, assessment, fee or charge.</w:t>
      </w:r>
      <w:r w:rsidR="00936563">
        <w:t>”</w:t>
      </w:r>
      <w:r w:rsidR="00055137">
        <w:t xml:space="preserve">  </w:t>
      </w:r>
      <w:r w:rsidR="00EC74FF">
        <w:t>Section 3 further states that “[t]</w:t>
      </w:r>
      <w:proofErr w:type="gramStart"/>
      <w:r w:rsidR="00EC74FF" w:rsidRPr="00EC74FF">
        <w:t>he</w:t>
      </w:r>
      <w:proofErr w:type="gramEnd"/>
      <w:r w:rsidR="00EC74FF" w:rsidRPr="00EC74FF">
        <w:t xml:space="preserve"> power of initiative to affect local taxes, </w:t>
      </w:r>
      <w:r w:rsidR="00EC74FF">
        <w:t>. . .</w:t>
      </w:r>
      <w:r w:rsidR="00EC74FF" w:rsidRPr="00EC74FF">
        <w:t xml:space="preserve"> shall be applicable to all local governments and neither the Legislature nor any local government charter shall impose a signature requirement higher than that applicable to statewide statutory initiatives.</w:t>
      </w:r>
      <w:r w:rsidR="00EC74FF">
        <w:t xml:space="preserve">”  </w:t>
      </w:r>
    </w:p>
    <w:p w14:paraId="44D72AB7" w14:textId="1EB0BBFC" w:rsidR="00686D0A" w:rsidRDefault="00D23DB7" w:rsidP="00181059">
      <w:pPr>
        <w:ind w:firstLine="0"/>
      </w:pPr>
      <w:r>
        <w:tab/>
      </w:r>
      <w:r w:rsidR="008C57BD" w:rsidRPr="00BB4DAD">
        <w:t>Measure A taxes all parcels</w:t>
      </w:r>
      <w:r w:rsidR="008C57BD">
        <w:t xml:space="preserve"> within the district assessed at over $2,000</w:t>
      </w:r>
      <w:r w:rsidR="008C57BD" w:rsidRPr="00BB4DAD">
        <w:t xml:space="preserve"> </w:t>
      </w:r>
      <w:r w:rsidR="008C57BD">
        <w:t>at the rate of $647 per parcel</w:t>
      </w:r>
      <w:r w:rsidR="00C43032">
        <w:t>.  It includes</w:t>
      </w:r>
      <w:r w:rsidR="008C57BD">
        <w:t xml:space="preserve"> </w:t>
      </w:r>
      <w:r w:rsidR="008C57BD" w:rsidRPr="00BB4DAD">
        <w:t xml:space="preserve">exemptions for </w:t>
      </w:r>
      <w:r w:rsidR="008C57BD">
        <w:t>parcels used for single-family residences and whose owners fall into one or more of the following categories</w:t>
      </w:r>
      <w:proofErr w:type="gramStart"/>
      <w:r w:rsidR="00654632">
        <w:t xml:space="preserve">: </w:t>
      </w:r>
      <w:r w:rsidR="0037036C">
        <w:t xml:space="preserve"> </w:t>
      </w:r>
      <w:r w:rsidR="008C57BD" w:rsidRPr="00BB4DAD">
        <w:t>(</w:t>
      </w:r>
      <w:proofErr w:type="gramEnd"/>
      <w:r w:rsidR="008C57BD" w:rsidRPr="00BB4DAD">
        <w:t>a) are senior citizens (</w:t>
      </w:r>
      <w:r w:rsidR="008C57BD">
        <w:t xml:space="preserve">i.e., </w:t>
      </w:r>
      <w:r w:rsidR="008C57BD" w:rsidRPr="00BB4DAD">
        <w:t>age</w:t>
      </w:r>
      <w:r w:rsidR="008C57BD">
        <w:t>d</w:t>
      </w:r>
      <w:r w:rsidR="008C57BD" w:rsidRPr="00BB4DAD">
        <w:t xml:space="preserve"> 65 </w:t>
      </w:r>
      <w:r w:rsidR="008C57BD">
        <w:t>or</w:t>
      </w:r>
      <w:r w:rsidR="008C57BD" w:rsidRPr="00BB4DAD">
        <w:t xml:space="preserve"> older); (b)</w:t>
      </w:r>
      <w:r w:rsidR="008C57BD">
        <w:t> </w:t>
      </w:r>
      <w:r w:rsidR="008C57BD" w:rsidRPr="00BB4DAD">
        <w:t xml:space="preserve">possess contiguous parcels; and/or (c) receive Supplemental Security Income for a disability. </w:t>
      </w:r>
      <w:r w:rsidR="008C57BD" w:rsidRPr="00E70262">
        <w:t xml:space="preserve"> </w:t>
      </w:r>
      <w:r w:rsidR="008C57BD">
        <w:t>The parties agree</w:t>
      </w:r>
      <w:r w:rsidR="00936563">
        <w:t xml:space="preserve"> that the district’s Measure A parcel tax </w:t>
      </w:r>
      <w:r w:rsidR="004F14E8">
        <w:t xml:space="preserve">of $647 per parcel (for properties assessed at </w:t>
      </w:r>
      <w:r w:rsidR="006727BF">
        <w:t xml:space="preserve">a value </w:t>
      </w:r>
      <w:r w:rsidR="004F14E8">
        <w:t>over $2,000)</w:t>
      </w:r>
      <w:r w:rsidR="004F14E8" w:rsidRPr="00E70262">
        <w:t xml:space="preserve"> </w:t>
      </w:r>
      <w:r w:rsidR="00936563">
        <w:t xml:space="preserve">constitutes a “local tax” within the meaning of </w:t>
      </w:r>
      <w:r w:rsidR="004F14E8">
        <w:t>section 3.</w:t>
      </w:r>
    </w:p>
    <w:p w14:paraId="59A8E9A7" w14:textId="179F2D38" w:rsidR="008C57BD" w:rsidRPr="00B76D4D" w:rsidRDefault="00D23DB7" w:rsidP="00181059">
      <w:pPr>
        <w:ind w:firstLine="0"/>
      </w:pPr>
      <w:r>
        <w:tab/>
      </w:r>
      <w:r w:rsidR="004F14E8">
        <w:t>T</w:t>
      </w:r>
      <w:r w:rsidR="003B32EC">
        <w:t xml:space="preserve">he initiative </w:t>
      </w:r>
      <w:r w:rsidR="000138F1">
        <w:t>would create a new</w:t>
      </w:r>
      <w:r>
        <w:t xml:space="preserve"> </w:t>
      </w:r>
      <w:r w:rsidR="00B4539A">
        <w:t>exemption</w:t>
      </w:r>
      <w:r w:rsidR="00D6523F">
        <w:t xml:space="preserve"> </w:t>
      </w:r>
      <w:r w:rsidR="00280E5E">
        <w:t>to</w:t>
      </w:r>
      <w:r w:rsidR="000138F1">
        <w:t xml:space="preserve"> </w:t>
      </w:r>
      <w:r w:rsidR="00280E5E">
        <w:t xml:space="preserve">any </w:t>
      </w:r>
      <w:r w:rsidR="000138F1">
        <w:t>district parcel tax for</w:t>
      </w:r>
      <w:r w:rsidR="00D6523F">
        <w:t xml:space="preserve"> persons who</w:t>
      </w:r>
      <w:r>
        <w:t xml:space="preserve"> are over 65 years old and</w:t>
      </w:r>
      <w:r w:rsidR="00D6523F">
        <w:t xml:space="preserve"> pay the </w:t>
      </w:r>
      <w:r w:rsidR="00CA22AC">
        <w:t xml:space="preserve">property </w:t>
      </w:r>
      <w:r w:rsidR="00D6523F">
        <w:t xml:space="preserve">taxes on </w:t>
      </w:r>
      <w:r>
        <w:t xml:space="preserve">undeveloped </w:t>
      </w:r>
      <w:r w:rsidR="00CA22AC">
        <w:t xml:space="preserve">or unimproved </w:t>
      </w:r>
      <w:r w:rsidR="00D6523F">
        <w:t>parcels</w:t>
      </w:r>
      <w:r w:rsidR="00B4539A">
        <w:t xml:space="preserve">.  </w:t>
      </w:r>
      <w:r w:rsidR="00B30FBE">
        <w:t>According to the proof of publication,</w:t>
      </w:r>
      <w:r>
        <w:rPr>
          <w:rStyle w:val="FootnoteReference"/>
          <w:b/>
          <w:bCs/>
        </w:rPr>
        <w:footnoteReference w:id="12"/>
      </w:r>
      <w:r w:rsidR="00B30FBE">
        <w:t xml:space="preserve"> t</w:t>
      </w:r>
      <w:r w:rsidR="00D6523F">
        <w:t xml:space="preserve">he initiative </w:t>
      </w:r>
      <w:r w:rsidR="00B30FBE">
        <w:t>reads</w:t>
      </w:r>
      <w:r w:rsidR="00D6523F">
        <w:t xml:space="preserve">, </w:t>
      </w:r>
      <w:proofErr w:type="gramStart"/>
      <w:r w:rsidR="00D6523F">
        <w:t>“</w:t>
      </w:r>
      <w:r w:rsidR="006F28A4">
        <w:t xml:space="preserve"> ‘</w:t>
      </w:r>
      <w:proofErr w:type="gramEnd"/>
      <w:r w:rsidR="00D6523F">
        <w:t>Upon application any property tax payer</w:t>
      </w:r>
      <w:r w:rsidR="00D6523F">
        <w:rPr>
          <w:i/>
          <w:iCs/>
        </w:rPr>
        <w:t xml:space="preserve"> </w:t>
      </w:r>
      <w:r w:rsidR="00D6523F">
        <w:t>over the age of 65 shall be granted an exemption from any Lakeside Joint School District parcel tax if that parcel is unimproved.</w:t>
      </w:r>
      <w:r w:rsidR="006F28A4">
        <w:t xml:space="preserve">’ </w:t>
      </w:r>
      <w:r w:rsidR="00D6523F">
        <w:t xml:space="preserve">”  </w:t>
      </w:r>
      <w:r w:rsidR="00280E5E">
        <w:t>T</w:t>
      </w:r>
      <w:r>
        <w:t xml:space="preserve">he initiative does not specifically reference Measure A </w:t>
      </w:r>
      <w:r w:rsidR="00434792">
        <w:t>or the district’s current parcel tax</w:t>
      </w:r>
      <w:r w:rsidR="00653987">
        <w:t>.  Instead, the initiative would</w:t>
      </w:r>
      <w:r w:rsidR="00B76D4D">
        <w:t xml:space="preserve"> create an</w:t>
      </w:r>
      <w:r w:rsidR="00434792">
        <w:t xml:space="preserve"> exemption for qualifying taxpayers </w:t>
      </w:r>
      <w:proofErr w:type="gramStart"/>
      <w:r w:rsidR="00434792">
        <w:t>“ ‘</w:t>
      </w:r>
      <w:proofErr w:type="gramEnd"/>
      <w:r w:rsidR="00434792">
        <w:t xml:space="preserve">from </w:t>
      </w:r>
      <w:r w:rsidR="00434792">
        <w:rPr>
          <w:i/>
          <w:iCs/>
        </w:rPr>
        <w:t>any</w:t>
      </w:r>
      <w:r w:rsidR="00434792">
        <w:t xml:space="preserve"> [district] parcel tax if that parcel is unimproved.’ ”</w:t>
      </w:r>
      <w:r>
        <w:rPr>
          <w:rStyle w:val="FootnoteReference"/>
          <w:b/>
          <w:bCs/>
        </w:rPr>
        <w:footnoteReference w:id="13"/>
      </w:r>
      <w:r w:rsidR="00434792">
        <w:t xml:space="preserve"> </w:t>
      </w:r>
      <w:r w:rsidR="00B76D4D">
        <w:t xml:space="preserve"> (Italics added.)   </w:t>
      </w:r>
    </w:p>
    <w:p w14:paraId="6D0E3D38" w14:textId="498C8B58" w:rsidR="0037036C" w:rsidRDefault="00D23DB7" w:rsidP="001B64B5">
      <w:pPr>
        <w:ind w:firstLine="0"/>
      </w:pPr>
      <w:r>
        <w:lastRenderedPageBreak/>
        <w:tab/>
      </w:r>
      <w:bookmarkStart w:id="10" w:name="_Hlk167901520"/>
      <w:r w:rsidR="00B4539A">
        <w:t xml:space="preserve">The district argues that </w:t>
      </w:r>
      <w:r w:rsidR="00D6523F">
        <w:t xml:space="preserve">the proposed change does not seek to </w:t>
      </w:r>
      <w:r w:rsidR="00D6523F" w:rsidRPr="004A1B4A">
        <w:t>reduce</w:t>
      </w:r>
      <w:r w:rsidR="00D6523F" w:rsidRPr="00181059">
        <w:rPr>
          <w:i/>
          <w:iCs/>
        </w:rPr>
        <w:t xml:space="preserve"> </w:t>
      </w:r>
      <w:r w:rsidR="00D6523F" w:rsidRPr="004A1B4A">
        <w:t>or repeal</w:t>
      </w:r>
      <w:r w:rsidR="00D6523F">
        <w:t xml:space="preserve"> the </w:t>
      </w:r>
      <w:r w:rsidR="00CE005D">
        <w:t xml:space="preserve">Measure A </w:t>
      </w:r>
      <w:r w:rsidR="00D6523F">
        <w:t>tax rate</w:t>
      </w:r>
      <w:r w:rsidR="00C43032">
        <w:t xml:space="preserve"> and thus is not authorized by section 3</w:t>
      </w:r>
      <w:r w:rsidR="00D6523F">
        <w:t xml:space="preserve">. </w:t>
      </w:r>
      <w:r w:rsidR="000956AA">
        <w:t xml:space="preserve"> </w:t>
      </w:r>
      <w:proofErr w:type="spellStart"/>
      <w:r w:rsidR="00DA140A">
        <w:t>Loeber</w:t>
      </w:r>
      <w:proofErr w:type="spellEnd"/>
      <w:r w:rsidR="00DA140A">
        <w:t xml:space="preserve"> counters that the initiative is consistent with the purpose of section 3 and Proposition 218 because it “affects taxes and reduces revenue.”  (Boldface omitted.)  </w:t>
      </w:r>
      <w:r w:rsidR="006E3D0D">
        <w:t xml:space="preserve">He </w:t>
      </w:r>
      <w:r w:rsidR="00DA140A">
        <w:t xml:space="preserve">maintains </w:t>
      </w:r>
      <w:r w:rsidR="00D6523F">
        <w:t xml:space="preserve">that the initiative </w:t>
      </w:r>
      <w:r w:rsidR="00CE005D">
        <w:t>does</w:t>
      </w:r>
      <w:r w:rsidR="00D6523F">
        <w:t xml:space="preserve"> reduce a local tax on undeveloped parcels.  He </w:t>
      </w:r>
      <w:r w:rsidR="00CA22AC">
        <w:t>asserts that “an exemption is the same as a rate cut except the taxpayer must make application</w:t>
      </w:r>
      <w:r w:rsidR="00CF778D">
        <w:t>.</w:t>
      </w:r>
      <w:r w:rsidR="00CA22AC">
        <w:t>”</w:t>
      </w:r>
    </w:p>
    <w:p w14:paraId="4AF0F5E3" w14:textId="392B1EAE" w:rsidR="001B64B5" w:rsidRDefault="00D23DB7" w:rsidP="00654632">
      <w:proofErr w:type="spellStart"/>
      <w:r>
        <w:t>Loeber</w:t>
      </w:r>
      <w:proofErr w:type="spellEnd"/>
      <w:r>
        <w:t xml:space="preserve"> does not cite any authority that holds that expanding </w:t>
      </w:r>
      <w:r w:rsidR="001C0885">
        <w:t xml:space="preserve">or establishing </w:t>
      </w:r>
      <w:r>
        <w:t>a tax exemption constitutes “reducing” a tax within the meaning of section 3</w:t>
      </w:r>
      <w:r w:rsidR="0037036C">
        <w:t>.  O</w:t>
      </w:r>
      <w:r>
        <w:t xml:space="preserve">ur independent research </w:t>
      </w:r>
      <w:r w:rsidR="0037036C">
        <w:t xml:space="preserve">likewise </w:t>
      </w:r>
      <w:r>
        <w:t xml:space="preserve">has not located any </w:t>
      </w:r>
      <w:r w:rsidR="0037036C">
        <w:t>authority directly on point</w:t>
      </w:r>
      <w:r>
        <w:t>.</w:t>
      </w:r>
      <w:r w:rsidRPr="001B64B5">
        <w:t xml:space="preserve"> </w:t>
      </w:r>
      <w:r>
        <w:t xml:space="preserve"> </w:t>
      </w:r>
      <w:r w:rsidR="0037036C">
        <w:t>In the absence of binding precedent, we</w:t>
      </w:r>
      <w:r w:rsidR="00B22AC8">
        <w:t xml:space="preserve"> analyze the question before us </w:t>
      </w:r>
      <w:r w:rsidR="0037036C">
        <w:t xml:space="preserve">using </w:t>
      </w:r>
      <w:r w:rsidR="00B22AC8">
        <w:t>familiar tools of statutory interpretation.</w:t>
      </w:r>
    </w:p>
    <w:p w14:paraId="06F3D3A4" w14:textId="03F9BC3A" w:rsidR="00B22AC8" w:rsidRDefault="00D23DB7" w:rsidP="00B22AC8">
      <w:r>
        <w:t>In construing the voters’ intent with respect to an initiative, “we begin with the text as the first and best indicator of intent.”  (</w:t>
      </w:r>
      <w:r w:rsidRPr="003D577F">
        <w:rPr>
          <w:i/>
          <w:iCs/>
        </w:rPr>
        <w:t>Kwikset Corp. v. Superior Court</w:t>
      </w:r>
      <w:r>
        <w:t xml:space="preserve"> (2011) 51 Cal.4th 310, 321.)</w:t>
      </w:r>
      <w:r w:rsidR="00DA140A">
        <w:t xml:space="preserve"> </w:t>
      </w:r>
      <w:r w:rsidR="00B871AB">
        <w:t xml:space="preserve"> </w:t>
      </w:r>
      <w:r w:rsidR="0037036C">
        <w:t>Section 3</w:t>
      </w:r>
      <w:r w:rsidR="006C012E">
        <w:t xml:space="preserve"> </w:t>
      </w:r>
      <w:r>
        <w:t xml:space="preserve">prohibits </w:t>
      </w:r>
      <w:r w:rsidR="006C012E">
        <w:t>limiting or prohibiting</w:t>
      </w:r>
      <w:r w:rsidR="006C012E" w:rsidRPr="00055137">
        <w:t xml:space="preserve"> the initiative power </w:t>
      </w:r>
      <w:r w:rsidR="00CF778D">
        <w:t>in</w:t>
      </w:r>
      <w:r w:rsidR="006C012E">
        <w:t xml:space="preserve"> “</w:t>
      </w:r>
      <w:r w:rsidR="006C012E" w:rsidRPr="00055137">
        <w:t>reduc</w:t>
      </w:r>
      <w:r w:rsidR="006C012E">
        <w:t>ing</w:t>
      </w:r>
      <w:r w:rsidR="006C012E" w:rsidRPr="00055137">
        <w:t xml:space="preserve"> or repeal</w:t>
      </w:r>
      <w:r w:rsidR="006C012E">
        <w:t>ing</w:t>
      </w:r>
      <w:r w:rsidR="006C012E" w:rsidRPr="00055137">
        <w:t xml:space="preserve"> any local tax, assessment, fee or charge.</w:t>
      </w:r>
      <w:r w:rsidR="006C012E">
        <w:t xml:space="preserve">”  (Art. XIII C, § 3.)  </w:t>
      </w:r>
      <w:r w:rsidR="00D6523F">
        <w:t xml:space="preserve">Article XIII C </w:t>
      </w:r>
      <w:r w:rsidR="0037036C">
        <w:t xml:space="preserve">itself </w:t>
      </w:r>
      <w:r w:rsidR="00D6523F">
        <w:t xml:space="preserve">does not define “reducing” a local tax.  Nor </w:t>
      </w:r>
      <w:r w:rsidR="0037036C">
        <w:t>is the term</w:t>
      </w:r>
      <w:r w:rsidR="00D6523F">
        <w:t xml:space="preserve"> defined </w:t>
      </w:r>
      <w:r w:rsidR="00684C04">
        <w:t>elsewhere</w:t>
      </w:r>
      <w:r w:rsidR="00D6523F">
        <w:t xml:space="preserve"> in Proposition 218</w:t>
      </w:r>
      <w:r w:rsidR="00E92886">
        <w:t xml:space="preserve"> or in relevant case authority.</w:t>
      </w:r>
      <w:r w:rsidR="00D6523F">
        <w:t xml:space="preserve">  </w:t>
      </w:r>
      <w:r w:rsidR="00C43032">
        <w:t xml:space="preserve">In the absence of a special definition, we </w:t>
      </w:r>
      <w:r w:rsidR="0096521C">
        <w:t xml:space="preserve">look to the </w:t>
      </w:r>
      <w:r w:rsidR="0037036C">
        <w:t xml:space="preserve">term’s </w:t>
      </w:r>
      <w:r w:rsidR="0096521C">
        <w:t>ordinary meaning</w:t>
      </w:r>
      <w:r w:rsidR="00684C04">
        <w:t>.  (</w:t>
      </w:r>
      <w:r w:rsidR="00684C04" w:rsidRPr="00415BB9">
        <w:rPr>
          <w:i/>
          <w:iCs/>
        </w:rPr>
        <w:t>California Cannabis</w:t>
      </w:r>
      <w:r w:rsidR="00684C04">
        <w:t xml:space="preserve">, </w:t>
      </w:r>
      <w:r w:rsidR="00684C04">
        <w:rPr>
          <w:i/>
          <w:iCs/>
        </w:rPr>
        <w:t>supra</w:t>
      </w:r>
      <w:r w:rsidR="00684C04">
        <w:t>,</w:t>
      </w:r>
      <w:r w:rsidR="00684C04">
        <w:rPr>
          <w:i/>
          <w:iCs/>
        </w:rPr>
        <w:t xml:space="preserve"> </w:t>
      </w:r>
      <w:r w:rsidR="00684C04">
        <w:t xml:space="preserve">3 Cal.5th at p. 933; </w:t>
      </w:r>
      <w:r w:rsidR="00684C04" w:rsidRPr="00E20C75">
        <w:rPr>
          <w:i/>
          <w:iCs/>
        </w:rPr>
        <w:t>Bighorn-Desert</w:t>
      </w:r>
      <w:r w:rsidR="00684C04">
        <w:t xml:space="preserve">, </w:t>
      </w:r>
      <w:r w:rsidR="00684C04">
        <w:rPr>
          <w:i/>
          <w:iCs/>
        </w:rPr>
        <w:t>supra</w:t>
      </w:r>
      <w:r w:rsidR="00684C04">
        <w:t>,</w:t>
      </w:r>
      <w:r w:rsidR="00684C04" w:rsidRPr="00E20C75">
        <w:rPr>
          <w:i/>
          <w:iCs/>
        </w:rPr>
        <w:t xml:space="preserve"> </w:t>
      </w:r>
      <w:r w:rsidR="00684C04">
        <w:t xml:space="preserve">39 Cal.4th at p. 212.)  </w:t>
      </w:r>
    </w:p>
    <w:p w14:paraId="20A3D880" w14:textId="39AF8C01" w:rsidR="00686816" w:rsidRDefault="00D23DB7" w:rsidP="00B22AC8">
      <w:r>
        <w:t>“</w:t>
      </w:r>
      <w:r w:rsidR="00187F91">
        <w:t>Reduce</w:t>
      </w:r>
      <w:r>
        <w:t xml:space="preserve">” </w:t>
      </w:r>
      <w:r w:rsidR="00280E5E">
        <w:t>means</w:t>
      </w:r>
      <w:r w:rsidR="00617B78">
        <w:t xml:space="preserve"> </w:t>
      </w:r>
      <w:r w:rsidR="00EC68B4">
        <w:t>“[t]</w:t>
      </w:r>
      <w:r w:rsidR="00EC68B4" w:rsidRPr="00EC68B4">
        <w:t>o contract, condense; to make smaller, diminish.</w:t>
      </w:r>
      <w:r w:rsidR="00EC68B4">
        <w:t xml:space="preserve">”  </w:t>
      </w:r>
      <w:r w:rsidR="00845180">
        <w:t>(Oxford English Dict. Online, &lt;</w:t>
      </w:r>
      <w:r w:rsidR="00845180" w:rsidRPr="00845180">
        <w:t>https://www.oed.com/dictionary/reduce_v?tab=meaning_and_use#26408625</w:t>
      </w:r>
      <w:r w:rsidR="00845180">
        <w:t xml:space="preserve">&gt; </w:t>
      </w:r>
      <w:r w:rsidR="00FB3CD0">
        <w:t>[as of June 24, 2024],</w:t>
      </w:r>
      <w:r w:rsidR="00845180">
        <w:t xml:space="preserve"> &lt;</w:t>
      </w:r>
      <w:r w:rsidR="00FB3CD0" w:rsidRPr="005C354A">
        <w:rPr>
          <w:shd w:val="clear" w:color="auto" w:fill="FFFFFF"/>
        </w:rPr>
        <w:t>https://perma.cc/5NNM-A9QZ</w:t>
      </w:r>
      <w:r w:rsidR="00845180">
        <w:t>&gt;</w:t>
      </w:r>
      <w:r w:rsidR="00617B78">
        <w:t xml:space="preserve">; see also Webster’s Third New </w:t>
      </w:r>
      <w:proofErr w:type="spellStart"/>
      <w:r w:rsidR="00617B78">
        <w:t>Internat.</w:t>
      </w:r>
      <w:proofErr w:type="spellEnd"/>
      <w:r w:rsidR="00617B78">
        <w:t xml:space="preserve"> Dict. (1993) p. 905, co1. 1 [defining “reduce” as “to diminish in size, amount, extent, or number”]</w:t>
      </w:r>
      <w:r w:rsidR="00845180">
        <w:t xml:space="preserve">.)  </w:t>
      </w:r>
      <w:r>
        <w:t>Consistent with its ordinary meaning,</w:t>
      </w:r>
      <w:r w:rsidR="00240BCC">
        <w:t xml:space="preserve"> </w:t>
      </w:r>
      <w:r w:rsidR="00845180">
        <w:t>“</w:t>
      </w:r>
      <w:r w:rsidR="00240BCC">
        <w:t>r</w:t>
      </w:r>
      <w:r w:rsidR="00845180">
        <w:t>educing”</w:t>
      </w:r>
      <w:r w:rsidR="00EC68B4">
        <w:t xml:space="preserve"> </w:t>
      </w:r>
      <w:r w:rsidR="00845180">
        <w:t xml:space="preserve">a local tax </w:t>
      </w:r>
      <w:r w:rsidR="009F0153">
        <w:t xml:space="preserve">may </w:t>
      </w:r>
      <w:r w:rsidR="009F0153">
        <w:lastRenderedPageBreak/>
        <w:t>be</w:t>
      </w:r>
      <w:r w:rsidR="00240BCC">
        <w:t xml:space="preserve"> understood as a</w:t>
      </w:r>
      <w:r w:rsidR="009F0153">
        <w:t xml:space="preserve">n action </w:t>
      </w:r>
      <w:r w:rsidR="00240BCC">
        <w:t>that</w:t>
      </w:r>
      <w:r w:rsidR="00845180">
        <w:t xml:space="preserve"> </w:t>
      </w:r>
      <w:r w:rsidR="00240BCC">
        <w:t xml:space="preserve">decreases </w:t>
      </w:r>
      <w:r w:rsidR="00845180">
        <w:t>the tax by making it smaller in size, amount, or extent</w:t>
      </w:r>
      <w:r>
        <w:t xml:space="preserve">. </w:t>
      </w:r>
      <w:r w:rsidR="00AE10A3">
        <w:t xml:space="preserve"> </w:t>
      </w:r>
    </w:p>
    <w:p w14:paraId="46B1848C" w14:textId="3C06D414" w:rsidR="007D1A44" w:rsidRDefault="00D23DB7" w:rsidP="00B22AC8">
      <w:r>
        <w:t xml:space="preserve">This </w:t>
      </w:r>
      <w:r w:rsidR="00280E5E">
        <w:t>understanding</w:t>
      </w:r>
      <w:r w:rsidR="0037036C">
        <w:t>, however,</w:t>
      </w:r>
      <w:r>
        <w:t xml:space="preserve"> does not </w:t>
      </w:r>
      <w:r w:rsidR="00F574CF">
        <w:t>re</w:t>
      </w:r>
      <w:r>
        <w:t xml:space="preserve">solve the question before us.  </w:t>
      </w:r>
      <w:r w:rsidR="00280E5E">
        <w:t xml:space="preserve">As applied to the existing parcel tax the </w:t>
      </w:r>
      <w:r>
        <w:t xml:space="preserve">proposed initiative would not reduce </w:t>
      </w:r>
      <w:r w:rsidR="00280E5E">
        <w:t xml:space="preserve">its </w:t>
      </w:r>
      <w:r>
        <w:t>“size” or “amount</w:t>
      </w:r>
      <w:r w:rsidR="00280E5E">
        <w:t>,</w:t>
      </w:r>
      <w:r>
        <w:t xml:space="preserve">” because it does not </w:t>
      </w:r>
      <w:r w:rsidR="0037036C">
        <w:t xml:space="preserve">change </w:t>
      </w:r>
      <w:r>
        <w:t>the tax rate</w:t>
      </w:r>
      <w:r w:rsidR="00FB0035">
        <w:t xml:space="preserve"> which</w:t>
      </w:r>
      <w:r w:rsidR="0037036C">
        <w:t xml:space="preserve">, </w:t>
      </w:r>
      <w:r w:rsidR="00FB0035">
        <w:t xml:space="preserve">even if the initiative passed, </w:t>
      </w:r>
      <w:r w:rsidR="00187F91">
        <w:t xml:space="preserve">would remain </w:t>
      </w:r>
      <w:r w:rsidR="0037036C">
        <w:t>at $647 per parcel</w:t>
      </w:r>
      <w:r>
        <w:t xml:space="preserve">.  </w:t>
      </w:r>
      <w:r w:rsidR="006A7F58">
        <w:t>B</w:t>
      </w:r>
      <w:r w:rsidR="00292768">
        <w:t xml:space="preserve">y its own terms, </w:t>
      </w:r>
      <w:r w:rsidR="001C0885">
        <w:t xml:space="preserve">the initiative does not specify any direct effect on the </w:t>
      </w:r>
      <w:r w:rsidR="00280E5E">
        <w:t xml:space="preserve">existing </w:t>
      </w:r>
      <w:r w:rsidR="001C0885">
        <w:t>parcel tax</w:t>
      </w:r>
      <w:r w:rsidR="00280E5E">
        <w:t xml:space="preserve">.  </w:t>
      </w:r>
      <w:r w:rsidR="00986F79">
        <w:t xml:space="preserve">Nevertheless, the </w:t>
      </w:r>
      <w:r w:rsidR="00280E5E">
        <w:t xml:space="preserve">initiative would establish a freestanding exemption </w:t>
      </w:r>
      <w:r w:rsidR="00686816">
        <w:t xml:space="preserve">(not tied to a specific parcel tax) </w:t>
      </w:r>
      <w:r w:rsidR="00292768">
        <w:t xml:space="preserve">for certain individuals.  </w:t>
      </w:r>
      <w:r w:rsidR="00686816">
        <w:t>I</w:t>
      </w:r>
      <w:r w:rsidR="00280E5E">
        <w:t xml:space="preserve">f “reducing” were given its broadest possible meaning, </w:t>
      </w:r>
      <w:r>
        <w:t xml:space="preserve">the initiative </w:t>
      </w:r>
      <w:r w:rsidR="0037036C">
        <w:t xml:space="preserve">could be construed </w:t>
      </w:r>
      <w:r w:rsidR="00FB0035">
        <w:t>as reducing</w:t>
      </w:r>
      <w:r>
        <w:t xml:space="preserve"> the “extent” of the tax because it presumably </w:t>
      </w:r>
      <w:r w:rsidR="00187F91">
        <w:t xml:space="preserve">would lower </w:t>
      </w:r>
      <w:r>
        <w:t xml:space="preserve">the district’s </w:t>
      </w:r>
      <w:r w:rsidRPr="00644031">
        <w:t>tax</w:t>
      </w:r>
      <w:r>
        <w:t xml:space="preserve"> </w:t>
      </w:r>
      <w:r>
        <w:rPr>
          <w:i/>
          <w:iCs/>
        </w:rPr>
        <w:t>revenue</w:t>
      </w:r>
      <w:r w:rsidR="00292768">
        <w:rPr>
          <w:i/>
          <w:iCs/>
        </w:rPr>
        <w:t xml:space="preserve"> </w:t>
      </w:r>
      <w:r w:rsidR="00292768">
        <w:t>from any district parcel tax</w:t>
      </w:r>
      <w:r>
        <w:t xml:space="preserve">.  </w:t>
      </w:r>
    </w:p>
    <w:p w14:paraId="1212D249" w14:textId="38B5E3A8" w:rsidR="00EC45D0" w:rsidRDefault="00D23DB7" w:rsidP="00BE1B2C">
      <w:r>
        <w:t xml:space="preserve">Because the ordinary meaning </w:t>
      </w:r>
      <w:r w:rsidR="00FB0035">
        <w:t xml:space="preserve">of “reduce” </w:t>
      </w:r>
      <w:r>
        <w:t xml:space="preserve">is susceptible to </w:t>
      </w:r>
      <w:r w:rsidR="009A6DA7">
        <w:t xml:space="preserve">both </w:t>
      </w:r>
      <w:r w:rsidR="00280E5E">
        <w:t xml:space="preserve">narrow and broad </w:t>
      </w:r>
      <w:r>
        <w:t xml:space="preserve">constructions, we apply other canons of statutory construction to determine whether </w:t>
      </w:r>
      <w:r w:rsidR="00F574CF">
        <w:t xml:space="preserve">section 3 preserves the initiative power </w:t>
      </w:r>
      <w:r w:rsidR="0037036C">
        <w:t xml:space="preserve">solely </w:t>
      </w:r>
      <w:r w:rsidR="00F574CF">
        <w:t xml:space="preserve">for measures that reduce the </w:t>
      </w:r>
      <w:r w:rsidR="00F574CF" w:rsidRPr="00FB0035">
        <w:rPr>
          <w:i/>
          <w:iCs/>
        </w:rPr>
        <w:t>size</w:t>
      </w:r>
      <w:r w:rsidR="00F574CF">
        <w:t xml:space="preserve"> or </w:t>
      </w:r>
      <w:r w:rsidR="00F574CF" w:rsidRPr="00FB0035">
        <w:rPr>
          <w:i/>
          <w:iCs/>
        </w:rPr>
        <w:t>amount</w:t>
      </w:r>
      <w:r w:rsidR="00F574CF">
        <w:t xml:space="preserve"> of a tax </w:t>
      </w:r>
      <w:r w:rsidR="00280E5E">
        <w:t xml:space="preserve">as a whole </w:t>
      </w:r>
      <w:r w:rsidR="00F574CF">
        <w:t>or whether the provision</w:t>
      </w:r>
      <w:r w:rsidR="0037036C">
        <w:t xml:space="preserve"> </w:t>
      </w:r>
      <w:r w:rsidR="00F574CF">
        <w:t xml:space="preserve">extends to measures that reduce </w:t>
      </w:r>
      <w:r w:rsidR="00F574CF" w:rsidRPr="00FB0035">
        <w:rPr>
          <w:i/>
          <w:iCs/>
        </w:rPr>
        <w:t>tax revenue</w:t>
      </w:r>
      <w:r w:rsidR="00280E5E">
        <w:rPr>
          <w:i/>
          <w:iCs/>
        </w:rPr>
        <w:t xml:space="preserve"> </w:t>
      </w:r>
      <w:r w:rsidR="00280E5E">
        <w:t>paid by a subset of taxpayers</w:t>
      </w:r>
      <w:r w:rsidR="00F574CF">
        <w:t xml:space="preserve">.  </w:t>
      </w:r>
      <w:r w:rsidR="00BE1B2C">
        <w:t>(</w:t>
      </w:r>
      <w:proofErr w:type="spellStart"/>
      <w:r w:rsidR="00BE1B2C" w:rsidRPr="00334F99">
        <w:rPr>
          <w:i/>
          <w:iCs/>
        </w:rPr>
        <w:t>McCarther</w:t>
      </w:r>
      <w:proofErr w:type="spellEnd"/>
      <w:r w:rsidR="00BE1B2C" w:rsidRPr="00334F99">
        <w:rPr>
          <w:i/>
          <w:iCs/>
        </w:rPr>
        <w:t xml:space="preserve"> v. Pacific Telesis Group</w:t>
      </w:r>
      <w:r w:rsidR="00BE1B2C">
        <w:t xml:space="preserve"> (2010) 48 Cal.4th 104, 110.)</w:t>
      </w:r>
      <w:r w:rsidR="00F53821">
        <w:t xml:space="preserve"> </w:t>
      </w:r>
    </w:p>
    <w:bookmarkEnd w:id="10"/>
    <w:p w14:paraId="2750BE11" w14:textId="2CAEA153" w:rsidR="00F574CF" w:rsidRDefault="00D23DB7" w:rsidP="00E64BCE">
      <w:pPr>
        <w:ind w:firstLine="0"/>
      </w:pPr>
      <w:r>
        <w:tab/>
      </w:r>
      <w:r w:rsidR="00B84254">
        <w:t xml:space="preserve">Several considerations </w:t>
      </w:r>
      <w:r w:rsidR="006C012E">
        <w:t>lead us to conclude that the</w:t>
      </w:r>
      <w:r w:rsidR="00B84254">
        <w:t xml:space="preserve"> language of section 3 </w:t>
      </w:r>
      <w:r w:rsidR="00E64BCE">
        <w:t xml:space="preserve">does not support </w:t>
      </w:r>
      <w:r w:rsidR="0037036C">
        <w:t xml:space="preserve">the latter </w:t>
      </w:r>
      <w:r>
        <w:t>interpretation</w:t>
      </w:r>
      <w:r w:rsidR="00E64BCE">
        <w:t xml:space="preserve">.  </w:t>
      </w:r>
      <w:r>
        <w:t>First, s</w:t>
      </w:r>
      <w:r w:rsidRPr="005E3D1F">
        <w:t>ection 3 expressly prohibits limits on initiatives</w:t>
      </w:r>
      <w:r w:rsidR="00CF778D">
        <w:t xml:space="preserve"> aimed at</w:t>
      </w:r>
      <w:r w:rsidRPr="005E3D1F">
        <w:t xml:space="preserve"> “reducing” or “repealing” </w:t>
      </w:r>
      <w:r>
        <w:t xml:space="preserve">any local </w:t>
      </w:r>
      <w:r w:rsidRPr="005E3D1F">
        <w:t>tax</w:t>
      </w:r>
      <w:r>
        <w:t xml:space="preserve"> but </w:t>
      </w:r>
      <w:r w:rsidR="00191796">
        <w:t xml:space="preserve">does not </w:t>
      </w:r>
      <w:r w:rsidR="0037036C">
        <w:t xml:space="preserve">refer to </w:t>
      </w:r>
      <w:r w:rsidR="00187F91">
        <w:t>tax “revenue.”</w:t>
      </w:r>
      <w:r w:rsidR="00191796">
        <w:t xml:space="preserve"> </w:t>
      </w:r>
    </w:p>
    <w:p w14:paraId="78223E1C" w14:textId="7AF2E1DC" w:rsidR="00240BCC" w:rsidRDefault="00D23DB7" w:rsidP="00B871AB">
      <w:r>
        <w:t>In addition, w</w:t>
      </w:r>
      <w:r w:rsidR="00F574CF">
        <w:t xml:space="preserve">e accord </w:t>
      </w:r>
      <w:proofErr w:type="gramStart"/>
      <w:r w:rsidR="00F574CF">
        <w:t>“ ‘</w:t>
      </w:r>
      <w:proofErr w:type="gramEnd"/>
      <w:r w:rsidR="00F574CF">
        <w:t>significance, if possible, to every word, phrase and sentence in pursuance of the legislative purpose.’ ”  (</w:t>
      </w:r>
      <w:r w:rsidR="00F574CF" w:rsidRPr="00B22AC8">
        <w:rPr>
          <w:i/>
          <w:iCs/>
        </w:rPr>
        <w:t>People v. Valencia</w:t>
      </w:r>
      <w:r w:rsidR="00F574CF">
        <w:t xml:space="preserve"> (2017) 3 Cal.5th 347, 357 (</w:t>
      </w:r>
      <w:r w:rsidR="00F574CF">
        <w:rPr>
          <w:i/>
          <w:iCs/>
        </w:rPr>
        <w:t>Valencia</w:t>
      </w:r>
      <w:r w:rsidR="00F574CF">
        <w:t xml:space="preserve">).)  Section 3 expressly prohibits limits on initiatives “reducing” or “repealing” taxes.  </w:t>
      </w:r>
      <w:r w:rsidR="005E3D1F" w:rsidRPr="005E3D1F">
        <w:t xml:space="preserve">If </w:t>
      </w:r>
      <w:r w:rsidR="005E3D1F">
        <w:t>the voters</w:t>
      </w:r>
      <w:r w:rsidR="005E3D1F" w:rsidRPr="005E3D1F">
        <w:t xml:space="preserve"> had </w:t>
      </w:r>
      <w:r w:rsidR="005E3D1F">
        <w:t xml:space="preserve">intended </w:t>
      </w:r>
      <w:r w:rsidR="005E3D1F" w:rsidRPr="005E3D1F">
        <w:t xml:space="preserve">the word “reducing” </w:t>
      </w:r>
      <w:r w:rsidR="005E3D1F">
        <w:t>to apply</w:t>
      </w:r>
      <w:r w:rsidR="005E3D1F" w:rsidRPr="005E3D1F">
        <w:t xml:space="preserve"> </w:t>
      </w:r>
      <w:r w:rsidR="005E3D1F">
        <w:t xml:space="preserve">in its </w:t>
      </w:r>
      <w:r w:rsidR="005E3D1F" w:rsidRPr="005E3D1F">
        <w:t xml:space="preserve">broadest sense to mean any decrease in </w:t>
      </w:r>
      <w:r w:rsidR="005E3D1F">
        <w:t xml:space="preserve">the </w:t>
      </w:r>
      <w:r w:rsidR="005E3D1F" w:rsidRPr="00B22AC8">
        <w:rPr>
          <w:i/>
          <w:iCs/>
        </w:rPr>
        <w:t>extent</w:t>
      </w:r>
      <w:r w:rsidR="005E3D1F" w:rsidRPr="005E3D1F">
        <w:t xml:space="preserve"> </w:t>
      </w:r>
      <w:r w:rsidR="005E3D1F">
        <w:t xml:space="preserve">or application </w:t>
      </w:r>
      <w:r w:rsidR="005E3D1F" w:rsidRPr="005E3D1F">
        <w:t xml:space="preserve">of a tax, it would not have been necessary to prohibit limits on initiatives “repealing” </w:t>
      </w:r>
      <w:r w:rsidR="005E3D1F">
        <w:t>taxes</w:t>
      </w:r>
      <w:r w:rsidR="00187F91">
        <w:t xml:space="preserve">.  After all, </w:t>
      </w:r>
      <w:r>
        <w:t>repeal</w:t>
      </w:r>
      <w:r w:rsidR="00187F91">
        <w:t>ing a tax</w:t>
      </w:r>
      <w:r>
        <w:t xml:space="preserve"> </w:t>
      </w:r>
      <w:r>
        <w:lastRenderedPageBreak/>
        <w:t>effectively reduces</w:t>
      </w:r>
      <w:r w:rsidR="005E3D1F" w:rsidRPr="005E3D1F">
        <w:t xml:space="preserve"> to zero the extent of the tax.  </w:t>
      </w:r>
      <w:proofErr w:type="spellStart"/>
      <w:r w:rsidR="00187F91">
        <w:t>Loeber’s</w:t>
      </w:r>
      <w:proofErr w:type="spellEnd"/>
      <w:r w:rsidR="00187F91">
        <w:t xml:space="preserve"> </w:t>
      </w:r>
      <w:r w:rsidR="00E64BCE">
        <w:t xml:space="preserve">interpretation of the statute </w:t>
      </w:r>
      <w:r w:rsidR="00187F91">
        <w:t>would</w:t>
      </w:r>
      <w:r w:rsidR="00E64BCE">
        <w:t xml:space="preserve"> render the alternative phrase “repealing . . . any tax” surplusage.  </w:t>
      </w:r>
    </w:p>
    <w:p w14:paraId="48A5D8C4" w14:textId="6FB47D55" w:rsidR="0037036C" w:rsidRDefault="00D23DB7" w:rsidP="00B22AC8">
      <w:pPr>
        <w:ind w:firstLine="0"/>
      </w:pPr>
      <w:r>
        <w:tab/>
        <w:t>Furthermore</w:t>
      </w:r>
      <w:r w:rsidR="006C79EB">
        <w:t xml:space="preserve">, section 3 must be considered in context of the </w:t>
      </w:r>
      <w:r>
        <w:t>“</w:t>
      </w:r>
      <w:r w:rsidRPr="00415BB9">
        <w:t>related provisions</w:t>
      </w:r>
      <w:r w:rsidR="006C79EB">
        <w:t>. . </w:t>
      </w:r>
      <w:r w:rsidR="006C79EB">
        <w:rPr>
          <w:sz w:val="28"/>
          <w:szCs w:val="28"/>
        </w:rPr>
        <w:t>. </w:t>
      </w:r>
      <w:r w:rsidRPr="00415BB9">
        <w:t>and constitutional scheme</w:t>
      </w:r>
      <w:r>
        <w:t>.”  (</w:t>
      </w:r>
      <w:r w:rsidRPr="00415BB9">
        <w:rPr>
          <w:i/>
          <w:iCs/>
        </w:rPr>
        <w:t>California Cannabis</w:t>
      </w:r>
      <w:r>
        <w:t xml:space="preserve">, </w:t>
      </w:r>
      <w:r w:rsidR="00CF778D">
        <w:rPr>
          <w:i/>
          <w:iCs/>
        </w:rPr>
        <w:t>supra</w:t>
      </w:r>
      <w:r w:rsidR="00CF778D">
        <w:t>,</w:t>
      </w:r>
      <w:r w:rsidR="00CF778D" w:rsidRPr="00CF778D">
        <w:t xml:space="preserve"> </w:t>
      </w:r>
      <w:r w:rsidR="00CF778D">
        <w:t>3 Cal.5th</w:t>
      </w:r>
      <w:r w:rsidR="00CF778D">
        <w:rPr>
          <w:i/>
          <w:iCs/>
        </w:rPr>
        <w:t xml:space="preserve"> </w:t>
      </w:r>
      <w:r>
        <w:t xml:space="preserve">at p. 933.)  </w:t>
      </w:r>
      <w:r w:rsidR="006C79EB">
        <w:t>“</w:t>
      </w:r>
      <w:r w:rsidR="00E04634">
        <w:t>[A]</w:t>
      </w:r>
      <w:r w:rsidR="006C79EB">
        <w:t xml:space="preserve">n initiative’s </w:t>
      </w:r>
      <w:proofErr w:type="gramStart"/>
      <w:r w:rsidR="006C79EB">
        <w:t>‘ “</w:t>
      </w:r>
      <w:proofErr w:type="gramEnd"/>
      <w:r w:rsidR="006C79EB">
        <w:t>language must also be construed in the context of the statute as a whole</w:t>
      </w:r>
      <w:r w:rsidR="00772B83">
        <w:t xml:space="preserve">” </w:t>
      </w:r>
      <w:r w:rsidR="006C79EB">
        <w:t>’ and its ‘ “overall . . </w:t>
      </w:r>
      <w:r w:rsidR="006C79EB">
        <w:rPr>
          <w:sz w:val="28"/>
          <w:szCs w:val="28"/>
        </w:rPr>
        <w:t>. </w:t>
      </w:r>
      <w:r w:rsidR="006C79EB">
        <w:t>scheme.” ’ ”  (</w:t>
      </w:r>
      <w:r w:rsidR="006C79EB" w:rsidRPr="00B22AC8">
        <w:rPr>
          <w:i/>
          <w:iCs/>
        </w:rPr>
        <w:t>Valencia</w:t>
      </w:r>
      <w:r w:rsidR="006C79EB">
        <w:t xml:space="preserve">, </w:t>
      </w:r>
      <w:r w:rsidR="00E04634">
        <w:rPr>
          <w:i/>
          <w:iCs/>
        </w:rPr>
        <w:t>supra</w:t>
      </w:r>
      <w:r w:rsidR="00E04634">
        <w:t>,</w:t>
      </w:r>
      <w:r w:rsidR="006C79EB">
        <w:t xml:space="preserve"> 3 Cal.5th </w:t>
      </w:r>
      <w:r w:rsidR="00E04634">
        <w:t>at p. </w:t>
      </w:r>
      <w:r w:rsidR="006C79EB">
        <w:t>358</w:t>
      </w:r>
      <w:r w:rsidR="00E04634">
        <w:t xml:space="preserve">.)  </w:t>
      </w:r>
      <w:r>
        <w:t xml:space="preserve">While here we examine language that </w:t>
      </w:r>
      <w:r w:rsidRPr="00654632">
        <w:rPr>
          <w:i/>
          <w:iCs/>
        </w:rPr>
        <w:t>reduces</w:t>
      </w:r>
      <w:r>
        <w:t xml:space="preserve"> a tax, other provisions in Article XIII C </w:t>
      </w:r>
      <w:r w:rsidR="00E04634">
        <w:t>address</w:t>
      </w:r>
      <w:r>
        <w:t xml:space="preserve"> </w:t>
      </w:r>
      <w:r w:rsidRPr="00654632">
        <w:rPr>
          <w:i/>
          <w:iCs/>
        </w:rPr>
        <w:t>increases</w:t>
      </w:r>
      <w:r>
        <w:t xml:space="preserve"> in </w:t>
      </w:r>
      <w:r w:rsidR="00E04634">
        <w:t xml:space="preserve">local government </w:t>
      </w:r>
      <w:r>
        <w:t>tax</w:t>
      </w:r>
      <w:r w:rsidR="00E04634">
        <w:t>es</w:t>
      </w:r>
      <w:r>
        <w:t xml:space="preserve">.  </w:t>
      </w:r>
      <w:proofErr w:type="gramStart"/>
      <w:r>
        <w:t>In particular, section</w:t>
      </w:r>
      <w:proofErr w:type="gramEnd"/>
      <w:r>
        <w:t xml:space="preserve"> 2 states that a local government may not “impose, extend, or increase any general tax” without taxpayer approval and that such taxes will not be deemed increased if “imposed at a rate </w:t>
      </w:r>
      <w:r w:rsidR="00772B83">
        <w:t xml:space="preserve">not </w:t>
      </w:r>
      <w:r>
        <w:t>higher than the maximum rate so approved.”  (</w:t>
      </w:r>
      <w:r w:rsidR="00E04634">
        <w:t>A</w:t>
      </w:r>
      <w:r>
        <w:t xml:space="preserve">rt. XIII C, </w:t>
      </w:r>
      <w:r w:rsidR="00C63B40">
        <w:t>§</w:t>
      </w:r>
      <w:r w:rsidR="00A85494">
        <w:t xml:space="preserve"> 2, </w:t>
      </w:r>
      <w:r>
        <w:t>subd. (b) [general tax</w:t>
      </w:r>
      <w:r w:rsidR="00695FFF">
        <w:t>].)  Section 2 of article XIII C similarly provides that a local government may not “impose, extend, or increase any special tax” without taxpayer approval (by a two-thirds vote, as compared to the majority vote applicable to a general tax).  (</w:t>
      </w:r>
      <w:r w:rsidR="00695FFF">
        <w:rPr>
          <w:i/>
          <w:iCs/>
        </w:rPr>
        <w:t>I</w:t>
      </w:r>
      <w:r>
        <w:rPr>
          <w:i/>
          <w:iCs/>
        </w:rPr>
        <w:t>d</w:t>
      </w:r>
      <w:r>
        <w:t xml:space="preserve">., subd. (d) [special tax].)  </w:t>
      </w:r>
    </w:p>
    <w:p w14:paraId="322396CC" w14:textId="744F4F3A" w:rsidR="00A01ED3" w:rsidRDefault="00D23DB7" w:rsidP="00654632">
      <w:r>
        <w:t xml:space="preserve">Courts have construed </w:t>
      </w:r>
      <w:r w:rsidR="00240BCC">
        <w:t xml:space="preserve">the phrase “increase </w:t>
      </w:r>
      <w:r w:rsidR="00FB0035">
        <w:t xml:space="preserve">any </w:t>
      </w:r>
      <w:r w:rsidR="00772B83">
        <w:t>[]</w:t>
      </w:r>
      <w:r w:rsidR="00240BCC">
        <w:t xml:space="preserve"> tax” to refer to changes that augment or elevate tax </w:t>
      </w:r>
      <w:r w:rsidR="00240BCC" w:rsidRPr="00654632">
        <w:rPr>
          <w:i/>
          <w:iCs/>
        </w:rPr>
        <w:t>rates</w:t>
      </w:r>
      <w:r w:rsidR="001F789A">
        <w:rPr>
          <w:i/>
          <w:iCs/>
        </w:rPr>
        <w:t xml:space="preserve"> </w:t>
      </w:r>
      <w:r w:rsidR="0018616D">
        <w:t xml:space="preserve">or alter how the tax is calculated, resulting in an </w:t>
      </w:r>
      <w:r w:rsidR="0018616D" w:rsidRPr="00187F91">
        <w:t>in</w:t>
      </w:r>
      <w:r w:rsidR="0018616D" w:rsidRPr="00644031">
        <w:t xml:space="preserve">creased </w:t>
      </w:r>
      <w:r w:rsidR="00097B91" w:rsidRPr="00644031">
        <w:t>amount</w:t>
      </w:r>
      <w:r w:rsidR="00097B91">
        <w:t xml:space="preserve"> of tax on any person or parcel</w:t>
      </w:r>
      <w:r w:rsidR="00240BCC">
        <w:t xml:space="preserve">.  </w:t>
      </w:r>
      <w:r w:rsidR="00003818">
        <w:t xml:space="preserve">(See </w:t>
      </w:r>
      <w:r w:rsidR="00003818" w:rsidRPr="00B22AC8">
        <w:rPr>
          <w:i/>
          <w:iCs/>
        </w:rPr>
        <w:t>AB Cellular LA, LLC v. City of Los Angeles</w:t>
      </w:r>
      <w:r w:rsidR="00003818">
        <w:t xml:space="preserve"> (2007) 150 Cal.App.</w:t>
      </w:r>
      <w:r w:rsidR="00097B91">
        <w:t>4th</w:t>
      </w:r>
      <w:r w:rsidR="00003818">
        <w:t xml:space="preserve"> 747, 762</w:t>
      </w:r>
      <w:r w:rsidR="00732BB0">
        <w:t>–763</w:t>
      </w:r>
      <w:r w:rsidR="00003818">
        <w:t xml:space="preserve"> [</w:t>
      </w:r>
      <w:r w:rsidR="00003818" w:rsidRPr="00003818">
        <w:t>city</w:t>
      </w:r>
      <w:r w:rsidR="00003818">
        <w:t>’</w:t>
      </w:r>
      <w:r w:rsidR="00003818" w:rsidRPr="00003818">
        <w:t xml:space="preserve">s decision to </w:t>
      </w:r>
      <w:r w:rsidR="00003818">
        <w:t xml:space="preserve">revise methodology to </w:t>
      </w:r>
      <w:r w:rsidR="00732BB0">
        <w:t>ex</w:t>
      </w:r>
      <w:r w:rsidR="00CF778D">
        <w:t>tend</w:t>
      </w:r>
      <w:r w:rsidR="00003818">
        <w:t xml:space="preserve"> </w:t>
      </w:r>
      <w:r w:rsidR="00003818" w:rsidRPr="00003818">
        <w:t xml:space="preserve">cell tax </w:t>
      </w:r>
      <w:r w:rsidR="00CF778D">
        <w:t>to cover</w:t>
      </w:r>
      <w:r w:rsidR="00003818" w:rsidRPr="00003818">
        <w:t xml:space="preserve"> all airtime was </w:t>
      </w:r>
      <w:r w:rsidR="00732BB0">
        <w:t xml:space="preserve">an “increase” requiring </w:t>
      </w:r>
      <w:r w:rsidR="00003818" w:rsidRPr="00003818">
        <w:t>voter approval under Proposition 218</w:t>
      </w:r>
      <w:r w:rsidR="00003818">
        <w:t>]</w:t>
      </w:r>
      <w:r w:rsidR="001F789A">
        <w:t xml:space="preserve">; see also Gov. Code, </w:t>
      </w:r>
      <w:bookmarkStart w:id="11" w:name="_Hlk169264981"/>
      <w:r w:rsidR="001F789A">
        <w:t>§</w:t>
      </w:r>
      <w:bookmarkEnd w:id="11"/>
      <w:r w:rsidR="001F789A">
        <w:t xml:space="preserve"> 53750, subds. (h)(1), (2) </w:t>
      </w:r>
      <w:r w:rsidR="0018616D">
        <w:t xml:space="preserve">[defining the term </w:t>
      </w:r>
      <w:proofErr w:type="gramStart"/>
      <w:r w:rsidR="0018616D">
        <w:t>“ ‘</w:t>
      </w:r>
      <w:proofErr w:type="gramEnd"/>
      <w:r w:rsidR="0018616D">
        <w:t>[</w:t>
      </w:r>
      <w:proofErr w:type="spellStart"/>
      <w:r w:rsidR="0018616D">
        <w:t>i</w:t>
      </w:r>
      <w:proofErr w:type="spellEnd"/>
      <w:r w:rsidR="0018616D">
        <w:t>]</w:t>
      </w:r>
      <w:proofErr w:type="spellStart"/>
      <w:r w:rsidR="0018616D">
        <w:t>ncreased</w:t>
      </w:r>
      <w:proofErr w:type="spellEnd"/>
      <w:r w:rsidR="0018616D">
        <w:t xml:space="preserve">’ ” </w:t>
      </w:r>
      <w:r w:rsidR="0018616D" w:rsidRPr="0018616D">
        <w:t>when applied to a tax</w:t>
      </w:r>
      <w:r w:rsidR="0018616D">
        <w:t xml:space="preserve">, assessment, or property-related fee for </w:t>
      </w:r>
      <w:r w:rsidR="0018616D" w:rsidRPr="0018616D">
        <w:t xml:space="preserve">purposes of </w:t>
      </w:r>
      <w:r w:rsidR="0018616D">
        <w:t>a</w:t>
      </w:r>
      <w:r w:rsidR="0018616D" w:rsidRPr="0018616D">
        <w:t>rticle</w:t>
      </w:r>
      <w:r w:rsidR="0018616D">
        <w:t>s</w:t>
      </w:r>
      <w:r w:rsidR="0018616D" w:rsidRPr="0018616D">
        <w:t xml:space="preserve"> XIII C and XIII D</w:t>
      </w:r>
      <w:r w:rsidR="0018616D">
        <w:t>]</w:t>
      </w:r>
      <w:r w:rsidR="00003818">
        <w:t xml:space="preserve">.)  </w:t>
      </w:r>
      <w:r w:rsidR="008D04CF">
        <w:t>We infer that</w:t>
      </w:r>
      <w:r>
        <w:t>,</w:t>
      </w:r>
      <w:r w:rsidR="008D04CF">
        <w:t xml:space="preserve"> just as </w:t>
      </w:r>
      <w:r w:rsidR="00772B83">
        <w:t xml:space="preserve">article XIII, </w:t>
      </w:r>
      <w:r w:rsidR="008D04CF">
        <w:t>section 2 applies to local government effort</w:t>
      </w:r>
      <w:r w:rsidR="00CF778D">
        <w:t>s</w:t>
      </w:r>
      <w:r w:rsidR="008D04CF">
        <w:t xml:space="preserve"> to “increase” tax</w:t>
      </w:r>
      <w:r w:rsidR="00247DA1">
        <w:t>es by augmenting or increasing tax rates</w:t>
      </w:r>
      <w:r w:rsidR="008D04CF">
        <w:t xml:space="preserve">, </w:t>
      </w:r>
      <w:r w:rsidR="00240BCC">
        <w:t xml:space="preserve">section 3 uses the phrase “reducing . . . </w:t>
      </w:r>
      <w:r w:rsidR="00CF778D">
        <w:t xml:space="preserve">any </w:t>
      </w:r>
      <w:r w:rsidR="00240BCC">
        <w:t xml:space="preserve">tax” </w:t>
      </w:r>
      <w:r w:rsidR="00CF778D">
        <w:t xml:space="preserve">conversely </w:t>
      </w:r>
      <w:r w:rsidR="00240BCC">
        <w:t xml:space="preserve">to refer to changes that diminish or decrease </w:t>
      </w:r>
      <w:r w:rsidR="008D04CF">
        <w:t xml:space="preserve">the </w:t>
      </w:r>
      <w:r w:rsidR="00BB75A2">
        <w:t>local</w:t>
      </w:r>
      <w:r w:rsidR="00B22AC8">
        <w:t xml:space="preserve"> </w:t>
      </w:r>
      <w:r w:rsidR="00240BCC">
        <w:t>tax rate</w:t>
      </w:r>
      <w:r w:rsidR="008D04CF">
        <w:t xml:space="preserve"> or amount</w:t>
      </w:r>
      <w:r w:rsidR="00240BCC">
        <w:t>.</w:t>
      </w:r>
      <w:r w:rsidR="008D04CF">
        <w:t xml:space="preserve">  </w:t>
      </w:r>
      <w:r w:rsidR="00187F91">
        <w:t>The proposed initiative</w:t>
      </w:r>
      <w:r w:rsidR="00292768">
        <w:t xml:space="preserve">, as described </w:t>
      </w:r>
      <w:r w:rsidR="00292768">
        <w:rPr>
          <w:i/>
          <w:iCs/>
        </w:rPr>
        <w:t>ante</w:t>
      </w:r>
      <w:r w:rsidR="00292768">
        <w:t>,</w:t>
      </w:r>
      <w:r w:rsidR="00187F91">
        <w:t xml:space="preserve"> would do neither.</w:t>
      </w:r>
    </w:p>
    <w:p w14:paraId="649A2A2F" w14:textId="7A391BE3" w:rsidR="00161AC4" w:rsidRDefault="00D23DB7" w:rsidP="00161AC4">
      <w:pPr>
        <w:ind w:firstLine="0"/>
        <w:rPr>
          <w:i/>
          <w:iCs/>
        </w:rPr>
      </w:pPr>
      <w:r>
        <w:tab/>
      </w:r>
      <w:r w:rsidR="000C0A60">
        <w:t>T</w:t>
      </w:r>
      <w:r w:rsidR="00B11D49">
        <w:t xml:space="preserve">he </w:t>
      </w:r>
      <w:r w:rsidR="00033B7A">
        <w:t>California Supreme Court</w:t>
      </w:r>
      <w:r w:rsidR="00895F54">
        <w:t xml:space="preserve">’s decision </w:t>
      </w:r>
      <w:r w:rsidR="00B11D49">
        <w:t xml:space="preserve">in </w:t>
      </w:r>
      <w:r w:rsidR="00B11D49" w:rsidRPr="00E20C75">
        <w:rPr>
          <w:i/>
          <w:iCs/>
        </w:rPr>
        <w:t>Bighorn-Desert</w:t>
      </w:r>
      <w:r w:rsidR="00B11D49">
        <w:t xml:space="preserve"> </w:t>
      </w:r>
      <w:r w:rsidR="004043D9">
        <w:t xml:space="preserve">also </w:t>
      </w:r>
      <w:r w:rsidR="0081107D">
        <w:t xml:space="preserve">supports </w:t>
      </w:r>
      <w:r w:rsidR="0037036C">
        <w:t xml:space="preserve">the </w:t>
      </w:r>
      <w:r w:rsidR="00191796">
        <w:t xml:space="preserve">narrower </w:t>
      </w:r>
      <w:r w:rsidR="0081107D">
        <w:t>interpretation</w:t>
      </w:r>
      <w:r w:rsidR="00191796">
        <w:t xml:space="preserve"> of section 3</w:t>
      </w:r>
      <w:r w:rsidR="00D80E3C">
        <w:t>.  (</w:t>
      </w:r>
      <w:r w:rsidR="00D80E3C" w:rsidRPr="00E20C75">
        <w:rPr>
          <w:i/>
          <w:iCs/>
        </w:rPr>
        <w:t>Bighorn-Desert</w:t>
      </w:r>
      <w:r w:rsidR="00D80E3C">
        <w:t xml:space="preserve">, </w:t>
      </w:r>
      <w:r w:rsidR="00D80E3C">
        <w:rPr>
          <w:i/>
          <w:iCs/>
        </w:rPr>
        <w:t>supra</w:t>
      </w:r>
      <w:r w:rsidR="00D80E3C">
        <w:t>,</w:t>
      </w:r>
      <w:r w:rsidR="00D80E3C" w:rsidRPr="00E20C75">
        <w:rPr>
          <w:i/>
          <w:iCs/>
        </w:rPr>
        <w:t xml:space="preserve"> </w:t>
      </w:r>
      <w:r w:rsidR="00D80E3C">
        <w:t xml:space="preserve">39 Cal.4th at p. 209.)  </w:t>
      </w:r>
      <w:r w:rsidR="00F0310B">
        <w:t xml:space="preserve">The </w:t>
      </w:r>
      <w:r w:rsidR="0073409F">
        <w:lastRenderedPageBreak/>
        <w:t>c</w:t>
      </w:r>
      <w:r w:rsidR="005B613D">
        <w:t>ourt</w:t>
      </w:r>
      <w:r w:rsidR="00B650CE" w:rsidRPr="00B650CE">
        <w:t xml:space="preserve"> </w:t>
      </w:r>
      <w:r w:rsidR="009F4B21">
        <w:t xml:space="preserve">in </w:t>
      </w:r>
      <w:r w:rsidR="009F4B21" w:rsidRPr="00E20C75">
        <w:rPr>
          <w:i/>
          <w:iCs/>
        </w:rPr>
        <w:t>Bighorn-Desert</w:t>
      </w:r>
      <w:r w:rsidR="009F4B21">
        <w:t xml:space="preserve"> </w:t>
      </w:r>
      <w:r w:rsidR="00AE10A3">
        <w:t>analyzed a proposed initiative that sought to reduce</w:t>
      </w:r>
      <w:r w:rsidR="00AE10A3" w:rsidRPr="00750AB7">
        <w:t xml:space="preserve"> a local public water district</w:t>
      </w:r>
      <w:r w:rsidR="00AE10A3">
        <w:t xml:space="preserve">’s </w:t>
      </w:r>
      <w:r w:rsidR="00AE10A3" w:rsidRPr="00750AB7">
        <w:t xml:space="preserve">domestic water </w:t>
      </w:r>
      <w:r w:rsidR="009F360E">
        <w:t>rates</w:t>
      </w:r>
      <w:r w:rsidR="00AE10A3">
        <w:t xml:space="preserve"> and </w:t>
      </w:r>
      <w:r w:rsidR="009F360E">
        <w:t xml:space="preserve">would have </w:t>
      </w:r>
      <w:r w:rsidR="00AE10A3" w:rsidRPr="00750AB7">
        <w:t>require</w:t>
      </w:r>
      <w:r w:rsidR="009F360E">
        <w:t>d</w:t>
      </w:r>
      <w:r w:rsidR="00AE10A3" w:rsidRPr="00750AB7">
        <w:t xml:space="preserve"> </w:t>
      </w:r>
      <w:r w:rsidR="00AE10A3">
        <w:t xml:space="preserve">voter </w:t>
      </w:r>
      <w:r w:rsidR="00AE10A3" w:rsidRPr="00750AB7">
        <w:t xml:space="preserve">preapproval for any future </w:t>
      </w:r>
      <w:r w:rsidR="00AE10A3">
        <w:t xml:space="preserve">charge </w:t>
      </w:r>
      <w:r w:rsidR="00AE10A3" w:rsidRPr="00750AB7">
        <w:t>increase</w:t>
      </w:r>
      <w:r w:rsidR="00AE10A3">
        <w:t>s.  (</w:t>
      </w:r>
      <w:r w:rsidR="00AE10A3" w:rsidRPr="00181059">
        <w:rPr>
          <w:i/>
          <w:iCs/>
        </w:rPr>
        <w:t>Ibid</w:t>
      </w:r>
      <w:r w:rsidR="00AE10A3">
        <w:t xml:space="preserve">.)  The court </w:t>
      </w:r>
      <w:r w:rsidR="005B613D">
        <w:t xml:space="preserve">construed </w:t>
      </w:r>
      <w:r w:rsidR="003D577F">
        <w:t xml:space="preserve">article </w:t>
      </w:r>
      <w:r w:rsidR="00DA0E5E">
        <w:t>XIII C</w:t>
      </w:r>
      <w:r w:rsidR="00D775ED">
        <w:t xml:space="preserve"> in part to decide whether</w:t>
      </w:r>
      <w:r w:rsidR="005B613D">
        <w:t xml:space="preserve"> the </w:t>
      </w:r>
      <w:r w:rsidR="0073409F">
        <w:t xml:space="preserve">initiative </w:t>
      </w:r>
      <w:r w:rsidR="005B613D">
        <w:t>provision that would r</w:t>
      </w:r>
      <w:r w:rsidR="005B613D" w:rsidRPr="005B613D">
        <w:t xml:space="preserve">equire the </w:t>
      </w:r>
      <w:r w:rsidR="005B613D">
        <w:t xml:space="preserve">water district </w:t>
      </w:r>
      <w:r w:rsidR="005B613D" w:rsidRPr="005B613D">
        <w:t xml:space="preserve">to obtain voter approval </w:t>
      </w:r>
      <w:r w:rsidR="00D775ED">
        <w:t>for new or future rate increase</w:t>
      </w:r>
      <w:r w:rsidR="00BB37DB">
        <w:t>s</w:t>
      </w:r>
      <w:r w:rsidR="00D775ED">
        <w:t xml:space="preserve"> came within the meaning of </w:t>
      </w:r>
      <w:proofErr w:type="gramStart"/>
      <w:r w:rsidR="00D775ED">
        <w:t>“</w:t>
      </w:r>
      <w:r w:rsidR="00A60AB6">
        <w:t xml:space="preserve"> ‘</w:t>
      </w:r>
      <w:proofErr w:type="gramEnd"/>
      <w:r w:rsidR="00D775ED">
        <w:t>reducing or repealing.</w:t>
      </w:r>
      <w:r w:rsidR="00A60AB6">
        <w:t xml:space="preserve">’ </w:t>
      </w:r>
      <w:r w:rsidR="00D775ED">
        <w:t>”</w:t>
      </w:r>
      <w:r w:rsidR="005B613D">
        <w:rPr>
          <w:i/>
          <w:iCs/>
        </w:rPr>
        <w:t xml:space="preserve">  </w:t>
      </w:r>
      <w:r w:rsidR="009B7078">
        <w:t>(</w:t>
      </w:r>
      <w:r>
        <w:rPr>
          <w:i/>
          <w:iCs/>
        </w:rPr>
        <w:t>Id</w:t>
      </w:r>
      <w:r>
        <w:t>.</w:t>
      </w:r>
      <w:r w:rsidR="00C262AB">
        <w:t xml:space="preserve"> </w:t>
      </w:r>
      <w:r w:rsidR="009B7078">
        <w:t xml:space="preserve">at p. 218.)  </w:t>
      </w:r>
      <w:r w:rsidRPr="00765BF7">
        <w:t xml:space="preserve">The </w:t>
      </w:r>
      <w:r>
        <w:t>court</w:t>
      </w:r>
      <w:r w:rsidRPr="00765BF7">
        <w:t xml:space="preserve"> held that</w:t>
      </w:r>
      <w:r>
        <w:t xml:space="preserve"> to the extent</w:t>
      </w:r>
      <w:r w:rsidRPr="00765BF7">
        <w:t xml:space="preserve"> the initiative</w:t>
      </w:r>
      <w:r>
        <w:t xml:space="preserve"> sought</w:t>
      </w:r>
      <w:r w:rsidRPr="00765BF7">
        <w:t xml:space="preserve"> </w:t>
      </w:r>
      <w:r>
        <w:t xml:space="preserve">to </w:t>
      </w:r>
      <w:r w:rsidRPr="00765BF7">
        <w:t>reduce existing water rates</w:t>
      </w:r>
      <w:r>
        <w:t>, it</w:t>
      </w:r>
      <w:r w:rsidRPr="00765BF7">
        <w:t xml:space="preserve"> was “expressly authorize[d]” by section 3. </w:t>
      </w:r>
      <w:r>
        <w:t xml:space="preserve"> </w:t>
      </w:r>
      <w:r w:rsidRPr="00765BF7">
        <w:t>(</w:t>
      </w:r>
      <w:r>
        <w:rPr>
          <w:i/>
          <w:iCs/>
        </w:rPr>
        <w:t>Id</w:t>
      </w:r>
      <w:r>
        <w:t>.</w:t>
      </w:r>
      <w:r w:rsidRPr="00765BF7">
        <w:t xml:space="preserve"> at p. 216</w:t>
      </w:r>
      <w:r>
        <w:t>.)  But to the extent</w:t>
      </w:r>
      <w:r w:rsidRPr="00765BF7">
        <w:t xml:space="preserve"> </w:t>
      </w:r>
      <w:r>
        <w:t xml:space="preserve">the </w:t>
      </w:r>
      <w:r w:rsidRPr="006F35EF">
        <w:t xml:space="preserve">initiative </w:t>
      </w:r>
      <w:r>
        <w:t xml:space="preserve">would require voter approval for future rate increases, it fell outside the constitutional authority for </w:t>
      </w:r>
      <w:r w:rsidR="009F4B21">
        <w:t xml:space="preserve">the </w:t>
      </w:r>
      <w:r>
        <w:t xml:space="preserve">initiative power in matters </w:t>
      </w:r>
      <w:r w:rsidR="009F4B21">
        <w:t>of</w:t>
      </w:r>
      <w:r>
        <w:t xml:space="preserve"> reduc</w:t>
      </w:r>
      <w:r w:rsidR="009F4B21">
        <w:t>ing</w:t>
      </w:r>
      <w:r>
        <w:t xml:space="preserve"> or repeal</w:t>
      </w:r>
      <w:r w:rsidR="009F4B21">
        <w:t>ing</w:t>
      </w:r>
      <w:r>
        <w:t xml:space="preserve"> local taxes.  (</w:t>
      </w:r>
      <w:r>
        <w:rPr>
          <w:i/>
          <w:iCs/>
        </w:rPr>
        <w:t>Id</w:t>
      </w:r>
      <w:r>
        <w:t>. at p. 218.)</w:t>
      </w:r>
      <w:r>
        <w:rPr>
          <w:i/>
          <w:iCs/>
        </w:rPr>
        <w:t xml:space="preserve">  </w:t>
      </w:r>
    </w:p>
    <w:p w14:paraId="19AAF27A" w14:textId="679361C1" w:rsidR="004C06C0" w:rsidRDefault="00D23DB7" w:rsidP="00161AC4">
      <w:pPr>
        <w:ind w:firstLine="0"/>
      </w:pPr>
      <w:r>
        <w:rPr>
          <w:i/>
          <w:iCs/>
        </w:rPr>
        <w:tab/>
      </w:r>
      <w:r>
        <w:t xml:space="preserve">In reaching this conclusion, the Supreme Court </w:t>
      </w:r>
      <w:r w:rsidR="00730287">
        <w:t xml:space="preserve">rejected </w:t>
      </w:r>
      <w:r w:rsidR="008A4B08">
        <w:t xml:space="preserve">the initiative proponent’s </w:t>
      </w:r>
      <w:r w:rsidR="00730287">
        <w:t>argument</w:t>
      </w:r>
      <w:r w:rsidR="008A4B08">
        <w:t xml:space="preserve">, </w:t>
      </w:r>
      <w:r w:rsidR="00C262AB">
        <w:t>rel</w:t>
      </w:r>
      <w:r w:rsidR="008A4B08">
        <w:t>ying</w:t>
      </w:r>
      <w:r w:rsidR="00C262AB">
        <w:t xml:space="preserve"> on the second sentence of section 3</w:t>
      </w:r>
      <w:r w:rsidR="008A4B08">
        <w:t xml:space="preserve">, </w:t>
      </w:r>
      <w:r w:rsidR="00730287">
        <w:t xml:space="preserve">that </w:t>
      </w:r>
      <w:r w:rsidR="008A4B08">
        <w:t>the</w:t>
      </w:r>
      <w:r w:rsidR="008A4B08" w:rsidRPr="00730287">
        <w:t xml:space="preserve"> initiative </w:t>
      </w:r>
      <w:r w:rsidR="00730287" w:rsidRPr="00730287">
        <w:t xml:space="preserve">imposing a voter-approval requirement on future </w:t>
      </w:r>
      <w:r w:rsidR="0010597B" w:rsidRPr="00730287">
        <w:t>charge</w:t>
      </w:r>
      <w:r w:rsidR="0010597B">
        <w:t xml:space="preserve"> </w:t>
      </w:r>
      <w:r w:rsidR="00730287" w:rsidRPr="00730287">
        <w:t xml:space="preserve">increases </w:t>
      </w:r>
      <w:r w:rsidR="008A4B08">
        <w:t>“</w:t>
      </w:r>
      <w:r w:rsidR="00730287" w:rsidRPr="00730287">
        <w:t xml:space="preserve">would </w:t>
      </w:r>
      <w:r w:rsidR="00730287">
        <w:t>‘</w:t>
      </w:r>
      <w:r w:rsidR="00730287" w:rsidRPr="00730287">
        <w:t>affect</w:t>
      </w:r>
      <w:r w:rsidR="00730287">
        <w:t>’</w:t>
      </w:r>
      <w:r w:rsidR="00730287" w:rsidRPr="00730287">
        <w:t xml:space="preserve"> those charges and therefore </w:t>
      </w:r>
      <w:r w:rsidR="00730287">
        <w:t>[</w:t>
      </w:r>
      <w:proofErr w:type="spellStart"/>
      <w:r w:rsidR="00730287">
        <w:t>wa</w:t>
      </w:r>
      <w:proofErr w:type="spellEnd"/>
      <w:r w:rsidR="00730287">
        <w:t>]s</w:t>
      </w:r>
      <w:r w:rsidR="00730287" w:rsidRPr="00730287">
        <w:t xml:space="preserve"> within the constitutional grant of initiative power.</w:t>
      </w:r>
      <w:r w:rsidR="00730287">
        <w:t>”  (</w:t>
      </w:r>
      <w:r w:rsidRPr="00E20C75">
        <w:rPr>
          <w:i/>
          <w:iCs/>
        </w:rPr>
        <w:t>Bighorn-Desert</w:t>
      </w:r>
      <w:r>
        <w:t xml:space="preserve">, </w:t>
      </w:r>
      <w:r>
        <w:rPr>
          <w:i/>
          <w:iCs/>
        </w:rPr>
        <w:t>supra</w:t>
      </w:r>
      <w:r>
        <w:t>,</w:t>
      </w:r>
      <w:r w:rsidRPr="00E20C75">
        <w:rPr>
          <w:i/>
          <w:iCs/>
        </w:rPr>
        <w:t xml:space="preserve"> </w:t>
      </w:r>
      <w:r>
        <w:t>39 Cal.4th at p. 218</w:t>
      </w:r>
      <w:r w:rsidR="00730287">
        <w:t xml:space="preserve">.)  </w:t>
      </w:r>
      <w:r w:rsidR="00C262AB">
        <w:t>The court explained that the “</w:t>
      </w:r>
      <w:r w:rsidR="00C262AB" w:rsidRPr="00C262AB">
        <w:t>evident purpose</w:t>
      </w:r>
      <w:r w:rsidR="00C262AB">
        <w:t>”</w:t>
      </w:r>
      <w:r w:rsidR="00C262AB" w:rsidRPr="00C262AB">
        <w:t xml:space="preserve"> of </w:t>
      </w:r>
      <w:r w:rsidR="00C262AB">
        <w:t>section 3’s second sentence “</w:t>
      </w:r>
      <w:r w:rsidR="00C262AB" w:rsidRPr="00C262AB">
        <w:t>is not to define how the initiative may be used to impact fees and charges, but instead to specify that the initiative power extends to charges imposed by all local public agencies and that the signature requirement applied to statewide initiatives may not be exceeded.</w:t>
      </w:r>
      <w:r w:rsidR="00C262AB">
        <w:t>”  (</w:t>
      </w:r>
      <w:r w:rsidR="00C262AB">
        <w:rPr>
          <w:i/>
          <w:iCs/>
        </w:rPr>
        <w:t>Ibid</w:t>
      </w:r>
      <w:r w:rsidR="00C262AB">
        <w:t>.)</w:t>
      </w:r>
      <w:r w:rsidR="00C262AB" w:rsidRPr="00C262AB">
        <w:t xml:space="preserve"> </w:t>
      </w:r>
      <w:r w:rsidR="00C262AB">
        <w:t xml:space="preserve"> </w:t>
      </w:r>
      <w:r w:rsidR="00C262AB" w:rsidRPr="00C262AB">
        <w:t xml:space="preserve">The </w:t>
      </w:r>
      <w:r w:rsidR="00C262AB">
        <w:t xml:space="preserve">court further reiterated that “[t]he </w:t>
      </w:r>
      <w:r w:rsidR="00C262AB" w:rsidRPr="00C262AB">
        <w:t xml:space="preserve">scope of the initiative power is set by the previous sentence, stating that </w:t>
      </w:r>
      <w:r w:rsidR="00C262AB">
        <w:t>‘</w:t>
      </w:r>
      <w:r w:rsidR="00C262AB" w:rsidRPr="00C262AB">
        <w:t xml:space="preserve">the initiative power shall not be prohibited or otherwise limited </w:t>
      </w:r>
      <w:r w:rsidR="00C262AB" w:rsidRPr="00C262AB">
        <w:rPr>
          <w:i/>
          <w:iCs/>
        </w:rPr>
        <w:t xml:space="preserve">in matters of reducing or repealing </w:t>
      </w:r>
      <w:r w:rsidR="00C262AB" w:rsidRPr="00C262AB">
        <w:t>any local tax, assessment, fee or charge.</w:t>
      </w:r>
      <w:proofErr w:type="gramStart"/>
      <w:r w:rsidR="00C262AB">
        <w:t>’ </w:t>
      </w:r>
      <w:r w:rsidR="00C262AB" w:rsidRPr="00C262AB">
        <w:t>”</w:t>
      </w:r>
      <w:proofErr w:type="gramEnd"/>
      <w:r w:rsidR="00C262AB" w:rsidRPr="00C262AB">
        <w:t xml:space="preserve"> </w:t>
      </w:r>
      <w:r w:rsidR="00C262AB">
        <w:t xml:space="preserve"> </w:t>
      </w:r>
      <w:r w:rsidR="00C262AB" w:rsidRPr="00C262AB">
        <w:t>(</w:t>
      </w:r>
      <w:r w:rsidR="00C262AB" w:rsidRPr="00C262AB">
        <w:rPr>
          <w:i/>
          <w:iCs/>
        </w:rPr>
        <w:t>Ibid</w:t>
      </w:r>
      <w:r w:rsidR="00C262AB" w:rsidRPr="00C262AB">
        <w:t xml:space="preserve">.) </w:t>
      </w:r>
      <w:r w:rsidR="00C262AB">
        <w:t xml:space="preserve"> </w:t>
      </w:r>
      <w:r w:rsidR="00C262AB" w:rsidRPr="00C262AB">
        <w:t>Thus,</w:t>
      </w:r>
      <w:r w:rsidR="00C262AB">
        <w:t xml:space="preserve"> the court </w:t>
      </w:r>
      <w:r w:rsidR="00CD7F66">
        <w:t>held</w:t>
      </w:r>
      <w:r w:rsidR="00C262AB">
        <w:t xml:space="preserve"> based on </w:t>
      </w:r>
      <w:r w:rsidR="00C262AB" w:rsidRPr="00C262AB">
        <w:t xml:space="preserve">the text of section 3 </w:t>
      </w:r>
      <w:r w:rsidR="00C262AB">
        <w:t>“</w:t>
      </w:r>
      <w:r w:rsidR="00C262AB" w:rsidRPr="00C262AB">
        <w:t xml:space="preserve">that the initiative power granted by that section extends only to </w:t>
      </w:r>
      <w:r w:rsidR="00C262AB">
        <w:t>‘</w:t>
      </w:r>
      <w:r w:rsidR="00C262AB" w:rsidRPr="00C262AB">
        <w:t>reducing or repealing</w:t>
      </w:r>
      <w:r w:rsidR="00C262AB">
        <w:t>’</w:t>
      </w:r>
      <w:r w:rsidR="00C262AB" w:rsidRPr="00C262AB">
        <w:t xml:space="preserve"> taxes, assessments, fees, and charges</w:t>
      </w:r>
      <w:r w:rsidR="00C262AB">
        <w:t xml:space="preserve">” and does not include other measures that </w:t>
      </w:r>
      <w:proofErr w:type="gramStart"/>
      <w:r w:rsidR="00C262AB">
        <w:t>“</w:t>
      </w:r>
      <w:r w:rsidR="00D817B4">
        <w:t> </w:t>
      </w:r>
      <w:r w:rsidR="00EE34A4">
        <w:t>‘</w:t>
      </w:r>
      <w:proofErr w:type="gramEnd"/>
      <w:r w:rsidR="00C262AB">
        <w:t>affect</w:t>
      </w:r>
      <w:r w:rsidR="00EE34A4">
        <w:t>’ </w:t>
      </w:r>
      <w:r w:rsidR="00C262AB">
        <w:t xml:space="preserve">” local taxes.  </w:t>
      </w:r>
      <w:r w:rsidR="00074861">
        <w:t>(</w:t>
      </w:r>
      <w:r w:rsidR="00074861">
        <w:rPr>
          <w:i/>
          <w:iCs/>
        </w:rPr>
        <w:t>Ibid</w:t>
      </w:r>
      <w:r w:rsidR="00074861">
        <w:t>., citing art. XIII C, § 3.)</w:t>
      </w:r>
      <w:r w:rsidRPr="00161AC4">
        <w:t xml:space="preserve"> </w:t>
      </w:r>
      <w:r w:rsidR="009F4B21">
        <w:t xml:space="preserve"> </w:t>
      </w:r>
      <w:r>
        <w:t xml:space="preserve">The court </w:t>
      </w:r>
      <w:r w:rsidR="00CD7F66">
        <w:t>concluded</w:t>
      </w:r>
      <w:r w:rsidRPr="006F35EF">
        <w:t xml:space="preserve"> </w:t>
      </w:r>
      <w:r>
        <w:t>that the water district properly withheld the proposed</w:t>
      </w:r>
      <w:r w:rsidRPr="006F35EF">
        <w:t xml:space="preserve"> initiative </w:t>
      </w:r>
      <w:r>
        <w:t>from the ballot</w:t>
      </w:r>
      <w:r w:rsidRPr="006F35EF">
        <w:t xml:space="preserve"> </w:t>
      </w:r>
      <w:r>
        <w:t xml:space="preserve">because the requirement </w:t>
      </w:r>
      <w:r>
        <w:lastRenderedPageBreak/>
        <w:t xml:space="preserve">for voter approval for fee increases fell outside the constitutional authority for initiative power in matters to reduce or repeal local </w:t>
      </w:r>
      <w:r w:rsidR="009F360E">
        <w:t>fees</w:t>
      </w:r>
      <w:r>
        <w:t>.  (</w:t>
      </w:r>
      <w:r>
        <w:rPr>
          <w:i/>
          <w:iCs/>
        </w:rPr>
        <w:t>Id</w:t>
      </w:r>
      <w:r>
        <w:t>. at p. 221.)</w:t>
      </w:r>
    </w:p>
    <w:p w14:paraId="7FB1504D" w14:textId="34378CCD" w:rsidR="00686816" w:rsidRDefault="00D23DB7" w:rsidP="00DD46D7">
      <w:r>
        <w:t>For these reasons</w:t>
      </w:r>
      <w:r w:rsidR="004B0C2A">
        <w:t xml:space="preserve">, </w:t>
      </w:r>
      <w:r w:rsidR="00971B57">
        <w:t xml:space="preserve">we </w:t>
      </w:r>
      <w:r>
        <w:t>decide</w:t>
      </w:r>
      <w:r w:rsidR="00971B57">
        <w:t xml:space="preserve"> that </w:t>
      </w:r>
      <w:r>
        <w:t>the initiative, which</w:t>
      </w:r>
      <w:r w:rsidR="00971B57">
        <w:t xml:space="preserve"> </w:t>
      </w:r>
      <w:r>
        <w:t xml:space="preserve">would create </w:t>
      </w:r>
      <w:r w:rsidR="00280E5E">
        <w:t xml:space="preserve">a new exemption </w:t>
      </w:r>
      <w:r>
        <w:t>applicable</w:t>
      </w:r>
      <w:r w:rsidR="00280E5E">
        <w:t xml:space="preserve"> only to a subset of taxpayers in the district</w:t>
      </w:r>
      <w:r>
        <w:t xml:space="preserve"> and would apply</w:t>
      </w:r>
      <w:r w:rsidR="00280E5E">
        <w:t xml:space="preserve"> </w:t>
      </w:r>
      <w:r w:rsidR="00531D50">
        <w:t xml:space="preserve">to </w:t>
      </w:r>
      <w:r w:rsidR="00531D50" w:rsidRPr="00E2184C">
        <w:rPr>
          <w:i/>
          <w:iCs/>
        </w:rPr>
        <w:t>any</w:t>
      </w:r>
      <w:r w:rsidR="00531D50">
        <w:t xml:space="preserve"> district parcel tax </w:t>
      </w:r>
      <w:r>
        <w:t>(including future parcel taxes)</w:t>
      </w:r>
      <w:r w:rsidR="0094394A">
        <w:t>,</w:t>
      </w:r>
      <w:r>
        <w:t xml:space="preserve"> does not fall within the constitutional provision’s reference to</w:t>
      </w:r>
      <w:r w:rsidR="00971B57">
        <w:t xml:space="preserve"> </w:t>
      </w:r>
      <w:r w:rsidR="000E0017">
        <w:t>“reducing</w:t>
      </w:r>
      <w:r w:rsidR="00531D50">
        <w:t xml:space="preserve"> any tax</w:t>
      </w:r>
      <w:r>
        <w:t>.</w:t>
      </w:r>
      <w:r w:rsidR="000E0017">
        <w:t xml:space="preserve">” </w:t>
      </w:r>
      <w:r w:rsidR="000E0017" w:rsidRPr="00B22AC8">
        <w:rPr>
          <w:b/>
          <w:bCs/>
        </w:rPr>
        <w:t xml:space="preserve"> </w:t>
      </w:r>
      <w:r w:rsidR="000E0017">
        <w:t xml:space="preserve"> </w:t>
      </w:r>
    </w:p>
    <w:p w14:paraId="69429622" w14:textId="3258939F" w:rsidR="000E66E8" w:rsidRDefault="00D23DB7" w:rsidP="00DD46D7">
      <w:r>
        <w:t xml:space="preserve">We recognize that </w:t>
      </w:r>
      <w:proofErr w:type="spellStart"/>
      <w:r>
        <w:t>Loeber’s</w:t>
      </w:r>
      <w:proofErr w:type="spellEnd"/>
      <w:r>
        <w:t xml:space="preserve"> argument resonates in some respects with the intent of Proposition 218 as stated in section 2 of the initiative’s findings and declarations.  The findings and declarations provide that “[t]he provisions of this act shall be liberally construed to effectuate its purposes of limiting local government revenue and enhancing taxpayer consent.”  (Prop. 218, § </w:t>
      </w:r>
      <w:r w:rsidR="00DD6363">
        <w:t>5</w:t>
      </w:r>
      <w:r>
        <w:t xml:space="preserve">, Stats. 1996; see </w:t>
      </w:r>
      <w:r>
        <w:rPr>
          <w:i/>
          <w:iCs/>
        </w:rPr>
        <w:t>Greene v. Marin County Flood Control &amp; Water Conservation Dist.</w:t>
      </w:r>
      <w:r>
        <w:t xml:space="preserve"> (2010) 49 Cal.4th 277, 285.)  However, </w:t>
      </w:r>
      <w:r w:rsidR="00BB75A2">
        <w:t xml:space="preserve">while </w:t>
      </w:r>
      <w:r>
        <w:t>these statements may be used as an aid in construing a statute, they “</w:t>
      </w:r>
      <w:r w:rsidRPr="0069536C">
        <w:t>do not confer power, determine rights, or enlarge the scope of a measure</w:t>
      </w:r>
      <w:r>
        <w:t>.”  (</w:t>
      </w:r>
      <w:r w:rsidRPr="00B22AC8">
        <w:rPr>
          <w:i/>
          <w:iCs/>
        </w:rPr>
        <w:t xml:space="preserve">People v. Canty </w:t>
      </w:r>
      <w:r>
        <w:t xml:space="preserve">(2004) 32 Cal.4th 1266, 1280.)  </w:t>
      </w:r>
      <w:r w:rsidR="00BB75A2">
        <w:t xml:space="preserve">Considering the plain language of section 3 and the text of the initiative at issue, </w:t>
      </w:r>
      <w:proofErr w:type="spellStart"/>
      <w:r>
        <w:t>Loeber’s</w:t>
      </w:r>
      <w:proofErr w:type="spellEnd"/>
      <w:r>
        <w:t xml:space="preserve"> position that section 3 encompasses “anything having to do with an exemption, an exclusion, an exception, a deduction, a rate reduction, or any other thing that reduces the amount required to be paid” is not consistent with, and suggests a far broader reach, than the language of the constitutional </w:t>
      </w:r>
      <w:r w:rsidR="00BB75A2">
        <w:t>text</w:t>
      </w:r>
      <w:r>
        <w:t xml:space="preserve"> approved by the voters.  </w:t>
      </w:r>
    </w:p>
    <w:p w14:paraId="323C28B7" w14:textId="2FF0576E" w:rsidR="00971E2F" w:rsidRPr="001F2047" w:rsidRDefault="00D23DB7" w:rsidP="00B22AC8">
      <w:r>
        <w:t xml:space="preserve">Neither the </w:t>
      </w:r>
      <w:r w:rsidR="000E0017">
        <w:t xml:space="preserve">clear judicial policy of liberal construction in matters concerning the initiative power </w:t>
      </w:r>
      <w:r w:rsidR="00A24AAA">
        <w:t>(</w:t>
      </w:r>
      <w:r w:rsidR="00A24AAA" w:rsidRPr="0018017C">
        <w:rPr>
          <w:i/>
          <w:iCs/>
        </w:rPr>
        <w:t>C</w:t>
      </w:r>
      <w:r w:rsidR="00A24AAA">
        <w:rPr>
          <w:i/>
          <w:iCs/>
        </w:rPr>
        <w:t>alifornia C</w:t>
      </w:r>
      <w:r w:rsidR="00A24AAA" w:rsidRPr="0018017C">
        <w:rPr>
          <w:i/>
          <w:iCs/>
        </w:rPr>
        <w:t>annabis</w:t>
      </w:r>
      <w:r w:rsidR="00A24AAA">
        <w:t xml:space="preserve">, </w:t>
      </w:r>
      <w:r w:rsidR="00A24AAA">
        <w:rPr>
          <w:i/>
          <w:iCs/>
        </w:rPr>
        <w:t>supra</w:t>
      </w:r>
      <w:r w:rsidR="00A24AAA">
        <w:t>,</w:t>
      </w:r>
      <w:r w:rsidR="00A24AAA" w:rsidRPr="0018017C">
        <w:rPr>
          <w:i/>
          <w:iCs/>
        </w:rPr>
        <w:t xml:space="preserve"> </w:t>
      </w:r>
      <w:r w:rsidR="00A24AAA">
        <w:t>3 Cal.5th at p. 936)</w:t>
      </w:r>
      <w:r w:rsidR="000E0017">
        <w:t xml:space="preserve">, </w:t>
      </w:r>
      <w:r>
        <w:t xml:space="preserve">nor the </w:t>
      </w:r>
      <w:r w:rsidR="0086563A">
        <w:t xml:space="preserve">intent </w:t>
      </w:r>
      <w:r>
        <w:t>that</w:t>
      </w:r>
      <w:r w:rsidR="0086563A">
        <w:t xml:space="preserve"> Proposition 218 </w:t>
      </w:r>
      <w:r>
        <w:t xml:space="preserve">be </w:t>
      </w:r>
      <w:r w:rsidR="0086563A">
        <w:t xml:space="preserve">liberally </w:t>
      </w:r>
      <w:r>
        <w:t xml:space="preserve">construed </w:t>
      </w:r>
      <w:proofErr w:type="gramStart"/>
      <w:r>
        <w:t>“</w:t>
      </w:r>
      <w:r w:rsidR="005834D7">
        <w:t xml:space="preserve"> ‘</w:t>
      </w:r>
      <w:proofErr w:type="gramEnd"/>
      <w:r w:rsidR="0086563A">
        <w:t>t</w:t>
      </w:r>
      <w:r w:rsidR="0086563A" w:rsidRPr="0086563A">
        <w:t>o effectuate its purposes of limiting local government revenue and enhancing taxpayer consent</w:t>
      </w:r>
      <w:r w:rsidR="005834D7">
        <w:t xml:space="preserve">’ </w:t>
      </w:r>
      <w:r w:rsidR="0086563A" w:rsidRPr="0086563A">
        <w:t>”</w:t>
      </w:r>
      <w:r w:rsidR="00A24AAA">
        <w:t xml:space="preserve"> </w:t>
      </w:r>
      <w:r w:rsidR="005834D7">
        <w:t>(</w:t>
      </w:r>
      <w:r w:rsidR="005834D7">
        <w:rPr>
          <w:i/>
          <w:iCs/>
        </w:rPr>
        <w:t>id</w:t>
      </w:r>
      <w:r w:rsidR="005834D7">
        <w:t>. at p. </w:t>
      </w:r>
      <w:r w:rsidR="00461C9B">
        <w:t>957</w:t>
      </w:r>
      <w:r w:rsidR="005834D7">
        <w:t>)</w:t>
      </w:r>
      <w:r w:rsidR="00461C9B">
        <w:t xml:space="preserve"> </w:t>
      </w:r>
      <w:r>
        <w:t xml:space="preserve">dictates </w:t>
      </w:r>
      <w:r w:rsidR="0019761A">
        <w:t xml:space="preserve">interpreting section 3 in a manner inconsistent with its </w:t>
      </w:r>
      <w:r w:rsidR="00C43032">
        <w:t>l</w:t>
      </w:r>
      <w:r w:rsidR="00C63D4D">
        <w:t>anguage</w:t>
      </w:r>
      <w:r w:rsidR="0019761A">
        <w:t>.</w:t>
      </w:r>
      <w:r w:rsidR="0089726F">
        <w:t xml:space="preserve">  We conclude that the </w:t>
      </w:r>
      <w:r w:rsidR="0089726F">
        <w:lastRenderedPageBreak/>
        <w:t xml:space="preserve">initiative </w:t>
      </w:r>
      <w:r w:rsidR="00531D75">
        <w:t xml:space="preserve">falls </w:t>
      </w:r>
      <w:r w:rsidR="0089726F">
        <w:t xml:space="preserve">outside the scope </w:t>
      </w:r>
      <w:r w:rsidR="00232EF3">
        <w:t xml:space="preserve">of </w:t>
      </w:r>
      <w:r w:rsidR="0089726F">
        <w:t xml:space="preserve">and </w:t>
      </w:r>
      <w:r w:rsidR="00531D75">
        <w:t xml:space="preserve">is </w:t>
      </w:r>
      <w:r w:rsidR="0089726F">
        <w:t>not authorized by section 3</w:t>
      </w:r>
      <w:r w:rsidR="00232EF3">
        <w:t>.</w:t>
      </w:r>
      <w:r w:rsidR="00531D75">
        <w:t xml:space="preserve">  The district </w:t>
      </w:r>
      <w:r w:rsidR="00B35604">
        <w:t xml:space="preserve">therefore </w:t>
      </w:r>
      <w:r w:rsidR="008C4EEA">
        <w:t xml:space="preserve">was </w:t>
      </w:r>
      <w:r w:rsidR="00531D75">
        <w:t>not obligated to call an election on the initiative.</w:t>
      </w:r>
      <w:r>
        <w:rPr>
          <w:rStyle w:val="FootnoteReference"/>
          <w:b/>
          <w:bCs/>
        </w:rPr>
        <w:footnoteReference w:id="14"/>
      </w:r>
    </w:p>
    <w:bookmarkEnd w:id="9"/>
    <w:p w14:paraId="68428E3D" w14:textId="77777777" w:rsidR="00004477" w:rsidRDefault="00D23DB7" w:rsidP="00752E03">
      <w:pPr>
        <w:pStyle w:val="Heading1"/>
      </w:pPr>
      <w:r>
        <w:t>iii.  disposition</w:t>
      </w:r>
    </w:p>
    <w:p w14:paraId="5C579619" w14:textId="4A371159" w:rsidR="00004477" w:rsidRDefault="00D23DB7" w:rsidP="00A93872">
      <w:pPr>
        <w:tabs>
          <w:tab w:val="clear" w:pos="720"/>
        </w:tabs>
        <w:spacing w:after="160" w:line="480" w:lineRule="exact"/>
      </w:pPr>
      <w:r w:rsidRPr="00AC65F9">
        <w:t xml:space="preserve">The judgment is </w:t>
      </w:r>
      <w:r w:rsidR="00603102">
        <w:t>modified to deny the writ petition.  We affirm the judgment as modified</w:t>
      </w:r>
      <w:r w:rsidRPr="00AC65F9">
        <w:t xml:space="preserve">.  </w:t>
      </w:r>
      <w:r w:rsidR="00EB744F" w:rsidRPr="00AC65F9">
        <w:t>In the interests of justice</w:t>
      </w:r>
      <w:r w:rsidR="00EB744F" w:rsidRPr="00181059">
        <w:t xml:space="preserve">, </w:t>
      </w:r>
      <w:r w:rsidR="00A93872">
        <w:t>the parties shall bear their</w:t>
      </w:r>
      <w:r w:rsidR="00EB744F" w:rsidRPr="00181059">
        <w:t xml:space="preserve"> own costs</w:t>
      </w:r>
      <w:r w:rsidR="00A93872">
        <w:t xml:space="preserve"> on appeal</w:t>
      </w:r>
      <w:r w:rsidR="00EB744F" w:rsidRPr="00181059">
        <w:t xml:space="preserve">.  </w:t>
      </w:r>
      <w:r w:rsidR="00A93872">
        <w:t>(Cal. Rules of Court, rule 8.278(a)(5).)</w:t>
      </w:r>
    </w:p>
    <w:p w14:paraId="3B446824" w14:textId="77777777" w:rsidR="000B4EDE" w:rsidRDefault="000B4EDE" w:rsidP="00A93872">
      <w:pPr>
        <w:tabs>
          <w:tab w:val="clear" w:pos="720"/>
        </w:tabs>
        <w:spacing w:after="160" w:line="480" w:lineRule="exact"/>
        <w:sectPr w:rsidR="000B4EDE" w:rsidSect="002D66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519B1E49" w14:textId="77777777" w:rsidR="000B4EDE" w:rsidRDefault="000B4EDE" w:rsidP="000B4EDE">
      <w:pPr>
        <w:spacing w:line="240" w:lineRule="auto"/>
      </w:pPr>
      <w:bookmarkStart w:id="12" w:name="_Hlk9420683"/>
    </w:p>
    <w:p w14:paraId="46E5BD3F" w14:textId="77777777" w:rsidR="000B4EDE" w:rsidRDefault="000B4EDE" w:rsidP="000B4EDE">
      <w:pPr>
        <w:spacing w:line="240" w:lineRule="auto"/>
      </w:pPr>
    </w:p>
    <w:p w14:paraId="7699F4D9" w14:textId="77777777" w:rsidR="000B4EDE" w:rsidRDefault="000B4EDE" w:rsidP="000B4EDE">
      <w:pPr>
        <w:spacing w:line="240" w:lineRule="auto"/>
      </w:pPr>
    </w:p>
    <w:p w14:paraId="0B53164E" w14:textId="77777777" w:rsidR="000B4EDE" w:rsidRPr="007A096D" w:rsidRDefault="000B4EDE" w:rsidP="000B4EDE">
      <w:pPr>
        <w:spacing w:line="240" w:lineRule="auto"/>
      </w:pPr>
    </w:p>
    <w:p w14:paraId="0D8B705A" w14:textId="377C7C71" w:rsidR="000B4EDE" w:rsidRPr="007A096D" w:rsidRDefault="00D23DB7" w:rsidP="000B4EDE">
      <w:pPr>
        <w:spacing w:line="240" w:lineRule="auto"/>
      </w:pPr>
      <w:r w:rsidRPr="007A096D">
        <w:tab/>
      </w:r>
      <w:r w:rsidRPr="007A096D">
        <w:tab/>
      </w:r>
      <w:r w:rsidRPr="007A096D">
        <w:tab/>
      </w:r>
      <w:r w:rsidRPr="007A096D">
        <w:tab/>
      </w:r>
      <w:r w:rsidRPr="007A096D">
        <w:tab/>
        <w:t>______________________________________</w:t>
      </w:r>
    </w:p>
    <w:p w14:paraId="3961E125" w14:textId="59600828" w:rsidR="000B4EDE" w:rsidRPr="007A096D" w:rsidRDefault="00D23DB7" w:rsidP="000B4EDE">
      <w:pPr>
        <w:spacing w:line="240" w:lineRule="auto"/>
      </w:pPr>
      <w:r w:rsidRPr="007A096D">
        <w:tab/>
      </w:r>
      <w:r w:rsidRPr="007A096D">
        <w:tab/>
      </w:r>
      <w:r w:rsidRPr="007A096D">
        <w:tab/>
      </w:r>
      <w:r w:rsidRPr="007A096D">
        <w:tab/>
      </w:r>
      <w:r w:rsidRPr="007A096D">
        <w:tab/>
      </w:r>
      <w:r w:rsidRPr="007A096D">
        <w:tab/>
      </w:r>
      <w:r w:rsidRPr="007A096D">
        <w:tab/>
        <w:t>D</w:t>
      </w:r>
      <w:r>
        <w:t>anner,</w:t>
      </w:r>
      <w:r w:rsidRPr="007A096D">
        <w:t xml:space="preserve"> J.</w:t>
      </w:r>
    </w:p>
    <w:p w14:paraId="7B0727F9" w14:textId="77777777" w:rsidR="000B4EDE" w:rsidRPr="007A096D" w:rsidRDefault="000B4EDE" w:rsidP="000B4EDE">
      <w:pPr>
        <w:spacing w:line="240" w:lineRule="auto"/>
      </w:pPr>
    </w:p>
    <w:p w14:paraId="5C956BFF" w14:textId="77777777" w:rsidR="000B4EDE" w:rsidRPr="007A096D" w:rsidRDefault="000B4EDE" w:rsidP="000B4EDE">
      <w:pPr>
        <w:spacing w:line="240" w:lineRule="auto"/>
      </w:pPr>
    </w:p>
    <w:p w14:paraId="6B5D0F3E" w14:textId="77777777" w:rsidR="000B4EDE" w:rsidRPr="007A096D" w:rsidRDefault="000B4EDE" w:rsidP="000B4EDE">
      <w:pPr>
        <w:spacing w:line="240" w:lineRule="auto"/>
      </w:pPr>
    </w:p>
    <w:p w14:paraId="6C1EB628" w14:textId="77777777" w:rsidR="000B4EDE" w:rsidRPr="007A096D" w:rsidRDefault="000B4EDE" w:rsidP="000B4EDE">
      <w:pPr>
        <w:spacing w:line="240" w:lineRule="auto"/>
      </w:pPr>
    </w:p>
    <w:p w14:paraId="713F0774" w14:textId="77777777" w:rsidR="000B4EDE" w:rsidRPr="007A096D" w:rsidRDefault="000B4EDE" w:rsidP="000B4EDE">
      <w:pPr>
        <w:spacing w:line="240" w:lineRule="auto"/>
      </w:pPr>
    </w:p>
    <w:p w14:paraId="1A0DCEC6" w14:textId="77777777" w:rsidR="000B4EDE" w:rsidRPr="007A096D" w:rsidRDefault="00D23DB7" w:rsidP="000B4EDE">
      <w:pPr>
        <w:spacing w:line="240" w:lineRule="auto"/>
      </w:pPr>
      <w:r w:rsidRPr="007A096D">
        <w:t>WE CONCUR:</w:t>
      </w:r>
    </w:p>
    <w:p w14:paraId="1EC24F7C" w14:textId="77777777" w:rsidR="000B4EDE" w:rsidRPr="007A096D" w:rsidRDefault="000B4EDE" w:rsidP="000B4EDE">
      <w:pPr>
        <w:spacing w:line="240" w:lineRule="auto"/>
      </w:pPr>
    </w:p>
    <w:p w14:paraId="1F6FFB73" w14:textId="77777777" w:rsidR="000B4EDE" w:rsidRPr="007A096D" w:rsidRDefault="000B4EDE" w:rsidP="000B4EDE">
      <w:pPr>
        <w:spacing w:line="240" w:lineRule="auto"/>
      </w:pPr>
    </w:p>
    <w:p w14:paraId="260E357C" w14:textId="77777777" w:rsidR="000B4EDE" w:rsidRDefault="000B4EDE" w:rsidP="000B4EDE">
      <w:pPr>
        <w:spacing w:line="240" w:lineRule="auto"/>
      </w:pPr>
    </w:p>
    <w:p w14:paraId="0A268D33" w14:textId="77777777" w:rsidR="000B4EDE" w:rsidRPr="007A096D" w:rsidRDefault="000B4EDE" w:rsidP="000B4EDE">
      <w:pPr>
        <w:spacing w:line="240" w:lineRule="auto"/>
      </w:pPr>
    </w:p>
    <w:p w14:paraId="04038505" w14:textId="77777777" w:rsidR="000B4EDE" w:rsidRPr="007A096D" w:rsidRDefault="000B4EDE" w:rsidP="000B4EDE">
      <w:pPr>
        <w:spacing w:line="240" w:lineRule="auto"/>
      </w:pPr>
    </w:p>
    <w:p w14:paraId="1612B9BB" w14:textId="77777777" w:rsidR="000B4EDE" w:rsidRPr="007A096D" w:rsidRDefault="000B4EDE" w:rsidP="000B4EDE">
      <w:pPr>
        <w:spacing w:line="240" w:lineRule="auto"/>
      </w:pPr>
    </w:p>
    <w:p w14:paraId="676BF527" w14:textId="77777777" w:rsidR="000B4EDE" w:rsidRPr="007A096D" w:rsidRDefault="00D23DB7" w:rsidP="000B4EDE">
      <w:pPr>
        <w:spacing w:line="240" w:lineRule="auto"/>
      </w:pPr>
      <w:r w:rsidRPr="007A096D">
        <w:t>____________________________________</w:t>
      </w:r>
    </w:p>
    <w:p w14:paraId="33A8B82E" w14:textId="77777777" w:rsidR="000B4EDE" w:rsidRPr="007A096D" w:rsidRDefault="00D23DB7" w:rsidP="000B4EDE">
      <w:pPr>
        <w:spacing w:line="240" w:lineRule="auto"/>
      </w:pPr>
      <w:proofErr w:type="spellStart"/>
      <w:r>
        <w:t>Bamattre</w:t>
      </w:r>
      <w:proofErr w:type="spellEnd"/>
      <w:r>
        <w:t>-Manoukian</w:t>
      </w:r>
      <w:r w:rsidRPr="007A096D">
        <w:t xml:space="preserve">, </w:t>
      </w:r>
      <w:r>
        <w:t xml:space="preserve">Acting P. </w:t>
      </w:r>
      <w:r w:rsidRPr="007A096D">
        <w:t>J.</w:t>
      </w:r>
    </w:p>
    <w:p w14:paraId="6AAE7C79" w14:textId="77777777" w:rsidR="000B4EDE" w:rsidRPr="007A096D" w:rsidRDefault="000B4EDE" w:rsidP="000B4EDE">
      <w:pPr>
        <w:spacing w:line="240" w:lineRule="auto"/>
      </w:pPr>
    </w:p>
    <w:p w14:paraId="42EA1DE6" w14:textId="77777777" w:rsidR="000B4EDE" w:rsidRPr="007A096D" w:rsidRDefault="000B4EDE" w:rsidP="000B4EDE">
      <w:pPr>
        <w:spacing w:line="240" w:lineRule="auto"/>
      </w:pPr>
    </w:p>
    <w:p w14:paraId="2A89E8A2" w14:textId="77777777" w:rsidR="000B4EDE" w:rsidRPr="007A096D" w:rsidRDefault="000B4EDE" w:rsidP="000B4EDE">
      <w:pPr>
        <w:spacing w:line="240" w:lineRule="auto"/>
      </w:pPr>
    </w:p>
    <w:p w14:paraId="07AE4DCC" w14:textId="77777777" w:rsidR="000B4EDE" w:rsidRPr="007A096D" w:rsidRDefault="000B4EDE" w:rsidP="000B4EDE">
      <w:pPr>
        <w:spacing w:line="240" w:lineRule="auto"/>
      </w:pPr>
    </w:p>
    <w:p w14:paraId="44EB2E67" w14:textId="77777777" w:rsidR="000B4EDE" w:rsidRPr="007A096D" w:rsidRDefault="000B4EDE" w:rsidP="000B4EDE">
      <w:pPr>
        <w:spacing w:line="240" w:lineRule="auto"/>
      </w:pPr>
    </w:p>
    <w:p w14:paraId="0D5FEE1A" w14:textId="77777777" w:rsidR="000B4EDE" w:rsidRPr="007A096D" w:rsidRDefault="000B4EDE" w:rsidP="000B4EDE">
      <w:pPr>
        <w:spacing w:line="240" w:lineRule="auto"/>
      </w:pPr>
    </w:p>
    <w:p w14:paraId="343E1644" w14:textId="77777777" w:rsidR="000B4EDE" w:rsidRPr="007A096D" w:rsidRDefault="000B4EDE" w:rsidP="000B4EDE">
      <w:pPr>
        <w:spacing w:line="240" w:lineRule="auto"/>
      </w:pPr>
    </w:p>
    <w:p w14:paraId="4CE8F8BB" w14:textId="77777777" w:rsidR="000B4EDE" w:rsidRPr="007A096D" w:rsidRDefault="00D23DB7" w:rsidP="000B4EDE">
      <w:pPr>
        <w:spacing w:line="240" w:lineRule="auto"/>
      </w:pPr>
      <w:r w:rsidRPr="007A096D">
        <w:t>____________________________________</w:t>
      </w:r>
    </w:p>
    <w:p w14:paraId="209B0975" w14:textId="77777777" w:rsidR="000B4EDE" w:rsidRPr="007A096D" w:rsidRDefault="00D23DB7" w:rsidP="000B4EDE">
      <w:pPr>
        <w:spacing w:line="240" w:lineRule="auto"/>
      </w:pPr>
      <w:r>
        <w:t>Bromberg,</w:t>
      </w:r>
      <w:r w:rsidRPr="007A096D">
        <w:t xml:space="preserve"> J.</w:t>
      </w:r>
    </w:p>
    <w:p w14:paraId="76C69A14" w14:textId="77777777" w:rsidR="000B4EDE" w:rsidRPr="007A096D" w:rsidRDefault="000B4EDE" w:rsidP="000B4EDE">
      <w:pPr>
        <w:spacing w:line="240" w:lineRule="auto"/>
      </w:pPr>
    </w:p>
    <w:p w14:paraId="3C11E388" w14:textId="77777777" w:rsidR="000B4EDE" w:rsidRPr="007A096D" w:rsidRDefault="000B4EDE" w:rsidP="000B4EDE">
      <w:pPr>
        <w:spacing w:line="240" w:lineRule="auto"/>
      </w:pPr>
    </w:p>
    <w:p w14:paraId="1552B266" w14:textId="77777777" w:rsidR="000B4EDE" w:rsidRPr="007A096D" w:rsidRDefault="000B4EDE" w:rsidP="000B4EDE">
      <w:pPr>
        <w:pStyle w:val="Footer"/>
      </w:pPr>
    </w:p>
    <w:p w14:paraId="2092AC4D" w14:textId="77777777" w:rsidR="000B4EDE" w:rsidRPr="007A096D" w:rsidRDefault="000B4EDE" w:rsidP="000B4EDE">
      <w:pPr>
        <w:spacing w:line="240" w:lineRule="auto"/>
      </w:pPr>
    </w:p>
    <w:p w14:paraId="35E8D71F" w14:textId="77777777" w:rsidR="000B4EDE" w:rsidRPr="007A096D" w:rsidRDefault="000B4EDE" w:rsidP="000B4EDE">
      <w:pPr>
        <w:spacing w:line="240" w:lineRule="auto"/>
      </w:pPr>
    </w:p>
    <w:p w14:paraId="40918F3D" w14:textId="77777777" w:rsidR="000B4EDE" w:rsidRPr="007A096D" w:rsidRDefault="000B4EDE" w:rsidP="000B4EDE">
      <w:pPr>
        <w:pStyle w:val="Footer"/>
      </w:pPr>
    </w:p>
    <w:p w14:paraId="2B30DBDF" w14:textId="77777777" w:rsidR="000B4EDE" w:rsidRPr="007A096D" w:rsidRDefault="000B4EDE" w:rsidP="000B4EDE">
      <w:pPr>
        <w:pStyle w:val="Footer"/>
      </w:pPr>
    </w:p>
    <w:p w14:paraId="0C6FC325" w14:textId="77777777" w:rsidR="000B4EDE" w:rsidRPr="007A096D" w:rsidRDefault="000B4EDE" w:rsidP="000B4EDE">
      <w:pPr>
        <w:spacing w:line="240" w:lineRule="auto"/>
      </w:pPr>
    </w:p>
    <w:p w14:paraId="369E20B5" w14:textId="77777777" w:rsidR="000B4EDE" w:rsidRPr="007A096D" w:rsidRDefault="000B4EDE" w:rsidP="000B4EDE">
      <w:pPr>
        <w:spacing w:line="240" w:lineRule="auto"/>
      </w:pPr>
    </w:p>
    <w:p w14:paraId="6B59976B" w14:textId="77777777" w:rsidR="000B4EDE" w:rsidRPr="007A096D" w:rsidRDefault="000B4EDE" w:rsidP="000B4EDE">
      <w:pPr>
        <w:spacing w:line="240" w:lineRule="auto"/>
      </w:pPr>
    </w:p>
    <w:p w14:paraId="6712D1A4" w14:textId="77777777" w:rsidR="000B4EDE" w:rsidRPr="007A096D" w:rsidRDefault="000B4EDE" w:rsidP="000B4EDE">
      <w:pPr>
        <w:spacing w:line="240" w:lineRule="auto"/>
      </w:pPr>
    </w:p>
    <w:p w14:paraId="58015E76" w14:textId="77777777" w:rsidR="000B4EDE" w:rsidRPr="007A096D" w:rsidRDefault="000B4EDE" w:rsidP="000B4EDE">
      <w:pPr>
        <w:spacing w:line="240" w:lineRule="auto"/>
      </w:pPr>
    </w:p>
    <w:bookmarkEnd w:id="12"/>
    <w:p w14:paraId="4791C58F" w14:textId="77777777" w:rsidR="000B4EDE" w:rsidRDefault="00D23DB7" w:rsidP="000B4EDE">
      <w:pPr>
        <w:spacing w:line="240" w:lineRule="auto"/>
        <w:rPr>
          <w:rStyle w:val="Title6"/>
          <w:rFonts w:eastAsiaTheme="majorEastAsia"/>
          <w:b/>
          <w:bCs/>
        </w:rPr>
      </w:pPr>
      <w:r w:rsidRPr="008C1C76">
        <w:rPr>
          <w:rStyle w:val="Title6"/>
          <w:rFonts w:eastAsiaTheme="majorEastAsia"/>
          <w:b/>
          <w:bCs/>
        </w:rPr>
        <w:t>H050</w:t>
      </w:r>
      <w:r>
        <w:rPr>
          <w:rStyle w:val="Title6"/>
          <w:rFonts w:eastAsiaTheme="majorEastAsia"/>
          <w:b/>
          <w:bCs/>
        </w:rPr>
        <w:t>688</w:t>
      </w:r>
      <w:r w:rsidRPr="008C1C76">
        <w:rPr>
          <w:rStyle w:val="Title6"/>
          <w:rFonts w:eastAsiaTheme="majorEastAsia"/>
          <w:b/>
          <w:bCs/>
        </w:rPr>
        <w:t> </w:t>
      </w:r>
    </w:p>
    <w:p w14:paraId="351B97B0" w14:textId="77777777" w:rsidR="00CA2E31" w:rsidRDefault="00D23DB7" w:rsidP="000B4EDE">
      <w:pPr>
        <w:tabs>
          <w:tab w:val="clear" w:pos="720"/>
        </w:tabs>
        <w:spacing w:after="160" w:line="240" w:lineRule="auto"/>
        <w:rPr>
          <w:b/>
          <w:bCs/>
          <w:i/>
          <w:iCs/>
        </w:rPr>
        <w:sectPr w:rsidR="00CA2E31" w:rsidSect="002D669B">
          <w:pgSz w:w="12240" w:h="15840"/>
          <w:pgMar w:top="1440" w:right="1440" w:bottom="1440" w:left="1440" w:header="720" w:footer="720" w:gutter="0"/>
          <w:cols w:space="720"/>
          <w:titlePg/>
          <w:docGrid w:linePitch="360"/>
        </w:sectPr>
      </w:pPr>
      <w:proofErr w:type="spellStart"/>
      <w:r w:rsidRPr="00E56419">
        <w:rPr>
          <w:b/>
          <w:bCs/>
          <w:i/>
          <w:iCs/>
        </w:rPr>
        <w:t>Loeber</w:t>
      </w:r>
      <w:proofErr w:type="spellEnd"/>
      <w:r w:rsidRPr="00E56419">
        <w:rPr>
          <w:b/>
          <w:bCs/>
          <w:i/>
          <w:iCs/>
        </w:rPr>
        <w:t xml:space="preserve"> v. Lakeside Joint School District</w:t>
      </w:r>
    </w:p>
    <w:p w14:paraId="7E97069D" w14:textId="77777777" w:rsidR="00CA2E31" w:rsidRPr="00E15B10" w:rsidRDefault="00CA2E31" w:rsidP="00CA2E31">
      <w:pPr>
        <w:spacing w:line="240" w:lineRule="auto"/>
        <w:ind w:firstLine="0"/>
        <w:rPr>
          <w:bCs/>
          <w:sz w:val="20"/>
          <w:szCs w:val="20"/>
        </w:rPr>
      </w:pPr>
      <w:bookmarkStart w:id="13" w:name="_Hlk171322870"/>
      <w:r w:rsidRPr="00E15B10">
        <w:rPr>
          <w:bCs/>
          <w:sz w:val="20"/>
          <w:szCs w:val="20"/>
        </w:rPr>
        <w:lastRenderedPageBreak/>
        <w:t xml:space="preserve">Filed </w:t>
      </w:r>
      <w:proofErr w:type="gramStart"/>
      <w:r w:rsidRPr="00E15B10">
        <w:rPr>
          <w:bCs/>
          <w:sz w:val="20"/>
          <w:szCs w:val="20"/>
        </w:rPr>
        <w:t>7/10/24</w:t>
      </w:r>
      <w:proofErr w:type="gramEnd"/>
    </w:p>
    <w:p w14:paraId="02E5A069" w14:textId="77777777" w:rsidR="00CA2E31" w:rsidRDefault="00CA2E31" w:rsidP="00CA2E31">
      <w:pPr>
        <w:spacing w:line="240" w:lineRule="auto"/>
        <w:ind w:firstLine="0"/>
        <w:jc w:val="center"/>
        <w:rPr>
          <w:b/>
        </w:rPr>
      </w:pPr>
    </w:p>
    <w:p w14:paraId="3E479ADC" w14:textId="77777777" w:rsidR="00CA2E31" w:rsidRDefault="00CA2E31" w:rsidP="00CA2E31">
      <w:pPr>
        <w:spacing w:line="240" w:lineRule="auto"/>
        <w:ind w:firstLine="0"/>
        <w:jc w:val="center"/>
        <w:rPr>
          <w:b/>
        </w:rPr>
      </w:pPr>
      <w:r>
        <w:rPr>
          <w:b/>
        </w:rPr>
        <w:t>CERTIFIED FOR PUBLICATION</w:t>
      </w:r>
    </w:p>
    <w:p w14:paraId="5C0CC509" w14:textId="77777777" w:rsidR="00CA2E31" w:rsidRDefault="00CA2E31" w:rsidP="00CA2E31">
      <w:pPr>
        <w:spacing w:line="240" w:lineRule="auto"/>
        <w:ind w:firstLine="0"/>
      </w:pPr>
    </w:p>
    <w:p w14:paraId="70EFD650" w14:textId="77777777" w:rsidR="00CA2E31" w:rsidRDefault="00CA2E31" w:rsidP="00CA2E31">
      <w:pPr>
        <w:spacing w:line="240" w:lineRule="auto"/>
        <w:ind w:firstLine="0"/>
        <w:jc w:val="center"/>
      </w:pPr>
      <w:r>
        <w:t>IN THE COURT OF APPEAL OF THE STATE OF CALIFORNIA</w:t>
      </w:r>
    </w:p>
    <w:p w14:paraId="3BFDB86B" w14:textId="77777777" w:rsidR="00CA2E31" w:rsidRDefault="00CA2E31" w:rsidP="00CA2E31">
      <w:pPr>
        <w:spacing w:line="240" w:lineRule="auto"/>
        <w:ind w:firstLine="0"/>
        <w:jc w:val="center"/>
      </w:pPr>
    </w:p>
    <w:p w14:paraId="0F98B65E" w14:textId="77777777" w:rsidR="00CA2E31" w:rsidRDefault="00CA2E31" w:rsidP="00CA2E31">
      <w:pPr>
        <w:spacing w:line="240" w:lineRule="auto"/>
        <w:ind w:firstLine="0"/>
        <w:jc w:val="center"/>
      </w:pPr>
      <w:r>
        <w:t>SIXTH APPELLATE DISTRICT</w:t>
      </w:r>
    </w:p>
    <w:p w14:paraId="7098F14A" w14:textId="77777777" w:rsidR="00CA2E31" w:rsidRDefault="00CA2E31" w:rsidP="00CA2E31">
      <w:pPr>
        <w:spacing w:line="240" w:lineRule="auto"/>
        <w:ind w:firstLine="0"/>
        <w:jc w:val="center"/>
      </w:pPr>
    </w:p>
    <w:p w14:paraId="366D861D" w14:textId="77777777" w:rsidR="00CA2E31" w:rsidRDefault="00CA2E31" w:rsidP="00CA2E31">
      <w:pPr>
        <w:spacing w:line="240" w:lineRule="auto"/>
        <w:ind w:firstLine="0"/>
        <w:jc w:val="center"/>
      </w:pPr>
    </w:p>
    <w:tbl>
      <w:tblPr>
        <w:tblW w:w="0" w:type="auto"/>
        <w:tblLayout w:type="fixed"/>
        <w:tblLook w:val="0000" w:firstRow="0" w:lastRow="0" w:firstColumn="0" w:lastColumn="0" w:noHBand="0" w:noVBand="0"/>
      </w:tblPr>
      <w:tblGrid>
        <w:gridCol w:w="4680"/>
        <w:gridCol w:w="4680"/>
      </w:tblGrid>
      <w:tr w:rsidR="00CA2E31" w14:paraId="0A026739" w14:textId="77777777" w:rsidTr="00741C8D">
        <w:tc>
          <w:tcPr>
            <w:tcW w:w="4680" w:type="dxa"/>
            <w:tcBorders>
              <w:bottom w:val="single" w:sz="4" w:space="0" w:color="auto"/>
              <w:right w:val="single" w:sz="4" w:space="0" w:color="auto"/>
            </w:tcBorders>
            <w:shd w:val="clear" w:color="auto" w:fill="auto"/>
          </w:tcPr>
          <w:p w14:paraId="22BEE579" w14:textId="77777777" w:rsidR="00CA2E31" w:rsidRDefault="00CA2E31" w:rsidP="00741C8D">
            <w:pPr>
              <w:spacing w:line="240" w:lineRule="auto"/>
              <w:ind w:firstLine="0"/>
            </w:pPr>
            <w:r>
              <w:t>CARLTON LOEBER,</w:t>
            </w:r>
          </w:p>
          <w:p w14:paraId="10760BC2" w14:textId="77777777" w:rsidR="00CA2E31" w:rsidRDefault="00CA2E31" w:rsidP="00741C8D">
            <w:pPr>
              <w:spacing w:line="240" w:lineRule="auto"/>
              <w:ind w:firstLine="0"/>
            </w:pPr>
          </w:p>
          <w:p w14:paraId="1BADB8D1" w14:textId="77777777" w:rsidR="00CA2E31" w:rsidRDefault="00CA2E31" w:rsidP="00741C8D">
            <w:pPr>
              <w:spacing w:line="240" w:lineRule="auto"/>
              <w:ind w:left="720" w:firstLine="0"/>
            </w:pPr>
            <w:r>
              <w:t>Plaintiff and Appellant,</w:t>
            </w:r>
          </w:p>
          <w:p w14:paraId="7297EB43" w14:textId="77777777" w:rsidR="00CA2E31" w:rsidRDefault="00CA2E31" w:rsidP="00741C8D">
            <w:pPr>
              <w:spacing w:line="240" w:lineRule="auto"/>
              <w:ind w:left="720" w:firstLine="0"/>
            </w:pPr>
          </w:p>
          <w:p w14:paraId="4929522A" w14:textId="77777777" w:rsidR="00CA2E31" w:rsidRPr="002D669B" w:rsidRDefault="00CA2E31" w:rsidP="00741C8D">
            <w:pPr>
              <w:spacing w:line="240" w:lineRule="auto"/>
              <w:ind w:left="720" w:firstLine="0"/>
            </w:pPr>
            <w:r w:rsidRPr="002D669B">
              <w:t>v.</w:t>
            </w:r>
          </w:p>
          <w:p w14:paraId="5141F398" w14:textId="77777777" w:rsidR="00CA2E31" w:rsidRPr="002D669B" w:rsidRDefault="00CA2E31" w:rsidP="00741C8D">
            <w:pPr>
              <w:spacing w:line="240" w:lineRule="auto"/>
              <w:ind w:firstLine="0"/>
            </w:pPr>
          </w:p>
          <w:p w14:paraId="6A2ADBFE" w14:textId="77777777" w:rsidR="00CA2E31" w:rsidRPr="002D669B" w:rsidRDefault="00CA2E31" w:rsidP="00741C8D">
            <w:pPr>
              <w:spacing w:line="240" w:lineRule="auto"/>
              <w:ind w:firstLine="0"/>
            </w:pPr>
            <w:r>
              <w:t>LAKESIDE JOINT SCHOOL DISTRICT,</w:t>
            </w:r>
          </w:p>
          <w:p w14:paraId="09468DF2" w14:textId="77777777" w:rsidR="00CA2E31" w:rsidRPr="002D669B" w:rsidRDefault="00CA2E31" w:rsidP="00741C8D">
            <w:pPr>
              <w:spacing w:line="240" w:lineRule="auto"/>
              <w:ind w:firstLine="0"/>
            </w:pPr>
          </w:p>
          <w:p w14:paraId="72C03B40" w14:textId="77777777" w:rsidR="00CA2E31" w:rsidRPr="002D669B" w:rsidRDefault="00CA2E31" w:rsidP="00741C8D">
            <w:pPr>
              <w:spacing w:line="240" w:lineRule="auto"/>
              <w:ind w:left="720" w:firstLine="0"/>
            </w:pPr>
            <w:r>
              <w:t>Defendant and Respondent.</w:t>
            </w:r>
          </w:p>
          <w:p w14:paraId="53AE0B3F" w14:textId="77777777" w:rsidR="00CA2E31" w:rsidRPr="002D669B" w:rsidRDefault="00CA2E31" w:rsidP="00741C8D">
            <w:pPr>
              <w:spacing w:line="240" w:lineRule="auto"/>
              <w:ind w:firstLine="0"/>
            </w:pPr>
          </w:p>
        </w:tc>
        <w:tc>
          <w:tcPr>
            <w:tcW w:w="4680" w:type="dxa"/>
            <w:tcBorders>
              <w:left w:val="single" w:sz="4" w:space="0" w:color="auto"/>
            </w:tcBorders>
            <w:shd w:val="clear" w:color="auto" w:fill="auto"/>
          </w:tcPr>
          <w:p w14:paraId="56F2599C" w14:textId="77777777" w:rsidR="00CA2E31" w:rsidRDefault="00CA2E31" w:rsidP="00741C8D">
            <w:pPr>
              <w:spacing w:line="240" w:lineRule="auto"/>
              <w:ind w:firstLine="0"/>
            </w:pPr>
            <w:r w:rsidRPr="002D669B">
              <w:t xml:space="preserve">      </w:t>
            </w:r>
            <w:r>
              <w:t>H050688</w:t>
            </w:r>
          </w:p>
          <w:p w14:paraId="2A649AD4" w14:textId="77777777" w:rsidR="00CA2E31" w:rsidRDefault="00CA2E31" w:rsidP="00741C8D">
            <w:pPr>
              <w:spacing w:line="240" w:lineRule="auto"/>
              <w:ind w:firstLine="0"/>
            </w:pPr>
            <w:r>
              <w:t xml:space="preserve">     (Santa Clara County</w:t>
            </w:r>
          </w:p>
          <w:p w14:paraId="709472BB" w14:textId="77777777" w:rsidR="00CA2E31" w:rsidRDefault="00CA2E31" w:rsidP="00741C8D">
            <w:pPr>
              <w:spacing w:line="240" w:lineRule="auto"/>
              <w:ind w:firstLine="0"/>
            </w:pPr>
            <w:r>
              <w:t xml:space="preserve">      Super. Ct. No. </w:t>
            </w:r>
            <w:r w:rsidRPr="0068133F">
              <w:t>22CV402078</w:t>
            </w:r>
            <w:r>
              <w:t>)</w:t>
            </w:r>
          </w:p>
        </w:tc>
      </w:tr>
    </w:tbl>
    <w:p w14:paraId="193EAFC7" w14:textId="77777777" w:rsidR="00CA2E31" w:rsidRDefault="00CA2E31" w:rsidP="00CA2E31">
      <w:pPr>
        <w:spacing w:line="240" w:lineRule="auto"/>
        <w:ind w:firstLine="0"/>
        <w:jc w:val="center"/>
      </w:pPr>
    </w:p>
    <w:p w14:paraId="14EA365E" w14:textId="77777777" w:rsidR="00CA2E31" w:rsidRDefault="00CA2E31" w:rsidP="00CA2E31">
      <w:r>
        <w:t>BY THE COURT:</w:t>
      </w:r>
    </w:p>
    <w:p w14:paraId="78347C27" w14:textId="77777777" w:rsidR="00CA2E31" w:rsidRDefault="00CA2E31" w:rsidP="00CA2E31">
      <w:pPr>
        <w:ind w:firstLine="0"/>
      </w:pPr>
      <w:r>
        <w:tab/>
        <w:t xml:space="preserve">The opinion in this case filed June 24, 2024, was not certified for publication.  </w:t>
      </w:r>
      <w:r w:rsidRPr="00494E2D">
        <w:t>After the court’s review of a request under California Rules of Court, rule 8.1120</w:t>
      </w:r>
      <w:r>
        <w:t>(a)</w:t>
      </w:r>
      <w:r w:rsidRPr="00494E2D">
        <w:t>, and</w:t>
      </w:r>
      <w:r>
        <w:t xml:space="preserve"> it </w:t>
      </w:r>
      <w:proofErr w:type="gramStart"/>
      <w:r w:rsidRPr="00BE1222">
        <w:t>appearing</w:t>
      </w:r>
      <w:proofErr w:type="gramEnd"/>
      <w:r w:rsidRPr="00BE1222">
        <w:t xml:space="preserve"> </w:t>
      </w:r>
      <w:r>
        <w:t xml:space="preserve">that </w:t>
      </w:r>
      <w:r w:rsidRPr="00BE1222">
        <w:t>the opinion meet</w:t>
      </w:r>
      <w:r>
        <w:t>s</w:t>
      </w:r>
      <w:r w:rsidRPr="00BE1222">
        <w:t xml:space="preserve"> the standards for publication </w:t>
      </w:r>
      <w:r>
        <w:t>under</w:t>
      </w:r>
      <w:r w:rsidRPr="00BE1222">
        <w:t xml:space="preserve"> California Rules of Court, rule 8.1105</w:t>
      </w:r>
      <w:r w:rsidRPr="00494E2D">
        <w:t xml:space="preserve">, </w:t>
      </w:r>
      <w:r w:rsidRPr="00377AAA">
        <w:t>it is therefore ordered that the opinion be published in the Official Reports</w:t>
      </w:r>
      <w:r>
        <w:t>.</w:t>
      </w:r>
    </w:p>
    <w:p w14:paraId="108BD35D" w14:textId="77777777" w:rsidR="00CA2E31" w:rsidRDefault="00CA2E31" w:rsidP="00CA2E31">
      <w:pPr>
        <w:ind w:firstLine="0"/>
      </w:pPr>
    </w:p>
    <w:bookmarkEnd w:id="13"/>
    <w:p w14:paraId="5F385F8A" w14:textId="77777777" w:rsidR="00CA2E31" w:rsidRDefault="00CA2E31" w:rsidP="00CA2E31">
      <w:pPr>
        <w:sectPr w:rsidR="00CA2E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10B61949" w14:textId="77777777" w:rsidR="00CA2E31" w:rsidRDefault="00CA2E31" w:rsidP="00CA2E31">
      <w:bookmarkStart w:id="14" w:name="_Hlk134609816"/>
    </w:p>
    <w:p w14:paraId="34F4CB6E" w14:textId="77777777" w:rsidR="00CA2E31" w:rsidRPr="007A096D" w:rsidRDefault="00CA2E31" w:rsidP="00CA2E31"/>
    <w:p w14:paraId="2E2D007F" w14:textId="77777777" w:rsidR="00CA2E31" w:rsidRPr="007A096D" w:rsidRDefault="00CA2E31" w:rsidP="00CA2E31">
      <w:pPr>
        <w:spacing w:line="240" w:lineRule="auto"/>
      </w:pPr>
      <w:r w:rsidRPr="007A096D">
        <w:tab/>
      </w:r>
      <w:r w:rsidRPr="007A096D">
        <w:tab/>
      </w:r>
      <w:r w:rsidRPr="007A096D">
        <w:tab/>
      </w:r>
      <w:r w:rsidRPr="007A096D">
        <w:tab/>
      </w:r>
      <w:r w:rsidRPr="007A096D">
        <w:tab/>
        <w:t>______________________________________</w:t>
      </w:r>
    </w:p>
    <w:p w14:paraId="0F78D132" w14:textId="77777777" w:rsidR="00CA2E31" w:rsidRPr="007A096D" w:rsidRDefault="00CA2E31" w:rsidP="00CA2E31">
      <w:pPr>
        <w:spacing w:line="240" w:lineRule="auto"/>
      </w:pPr>
      <w:r w:rsidRPr="007A096D">
        <w:tab/>
      </w:r>
      <w:r w:rsidRPr="007A096D">
        <w:tab/>
      </w:r>
      <w:r w:rsidRPr="007A096D">
        <w:tab/>
      </w:r>
      <w:r w:rsidRPr="007A096D">
        <w:tab/>
      </w:r>
      <w:r w:rsidRPr="007A096D">
        <w:tab/>
      </w:r>
      <w:r w:rsidRPr="007A096D">
        <w:tab/>
        <w:t>D</w:t>
      </w:r>
      <w:r>
        <w:t>anner,</w:t>
      </w:r>
      <w:r w:rsidRPr="007A096D">
        <w:t xml:space="preserve"> J.</w:t>
      </w:r>
    </w:p>
    <w:p w14:paraId="28FE2276" w14:textId="77777777" w:rsidR="00CA2E31" w:rsidRPr="007A096D" w:rsidRDefault="00CA2E31" w:rsidP="00CA2E31">
      <w:pPr>
        <w:spacing w:line="240" w:lineRule="auto"/>
      </w:pPr>
    </w:p>
    <w:p w14:paraId="387CE4A8" w14:textId="77777777" w:rsidR="00CA2E31" w:rsidRDefault="00CA2E31" w:rsidP="00CA2E31">
      <w:pPr>
        <w:spacing w:line="240" w:lineRule="auto"/>
      </w:pPr>
    </w:p>
    <w:p w14:paraId="2A5CC811" w14:textId="77777777" w:rsidR="00CA2E31" w:rsidRPr="007A096D" w:rsidRDefault="00CA2E31" w:rsidP="00CA2E31">
      <w:pPr>
        <w:spacing w:line="240" w:lineRule="auto"/>
      </w:pPr>
    </w:p>
    <w:p w14:paraId="4473EF25" w14:textId="77777777" w:rsidR="00CA2E31" w:rsidRPr="007A096D" w:rsidRDefault="00CA2E31" w:rsidP="00CA2E31">
      <w:pPr>
        <w:spacing w:line="240" w:lineRule="auto"/>
      </w:pPr>
    </w:p>
    <w:p w14:paraId="2EAA3669" w14:textId="77777777" w:rsidR="00CA2E31" w:rsidRPr="007A096D" w:rsidRDefault="00CA2E31" w:rsidP="00CA2E31">
      <w:pPr>
        <w:spacing w:line="240" w:lineRule="auto"/>
      </w:pPr>
      <w:r>
        <w:tab/>
      </w:r>
      <w:r>
        <w:tab/>
      </w:r>
      <w:r>
        <w:tab/>
      </w:r>
      <w:r>
        <w:tab/>
      </w:r>
      <w:r>
        <w:tab/>
      </w:r>
      <w:r w:rsidRPr="007A096D">
        <w:t>____________________________</w:t>
      </w:r>
      <w:r>
        <w:t>_</w:t>
      </w:r>
      <w:r w:rsidRPr="007A096D">
        <w:t>________</w:t>
      </w:r>
    </w:p>
    <w:p w14:paraId="52F6170F" w14:textId="77777777" w:rsidR="00CA2E31" w:rsidRPr="007A096D" w:rsidRDefault="00CA2E31" w:rsidP="00CA2E31">
      <w:pPr>
        <w:spacing w:line="240" w:lineRule="auto"/>
      </w:pPr>
      <w:r>
        <w:tab/>
      </w:r>
      <w:r>
        <w:tab/>
      </w:r>
      <w:r>
        <w:tab/>
      </w:r>
      <w:r>
        <w:tab/>
      </w:r>
      <w:r>
        <w:tab/>
      </w:r>
      <w:r>
        <w:tab/>
      </w:r>
      <w:proofErr w:type="spellStart"/>
      <w:r>
        <w:t>Bamattre</w:t>
      </w:r>
      <w:proofErr w:type="spellEnd"/>
      <w:r>
        <w:t>-Manoukian</w:t>
      </w:r>
      <w:r w:rsidRPr="007A096D">
        <w:t xml:space="preserve">, </w:t>
      </w:r>
      <w:r>
        <w:t>Acting</w:t>
      </w:r>
      <w:r w:rsidRPr="007A096D">
        <w:t xml:space="preserve"> </w:t>
      </w:r>
      <w:r>
        <w:t>P</w:t>
      </w:r>
      <w:r w:rsidRPr="007A096D">
        <w:t>.</w:t>
      </w:r>
      <w:r>
        <w:t xml:space="preserve"> </w:t>
      </w:r>
      <w:r w:rsidRPr="007A096D">
        <w:t>J.</w:t>
      </w:r>
    </w:p>
    <w:p w14:paraId="45DF8E23" w14:textId="77777777" w:rsidR="00CA2E31" w:rsidRPr="007A096D" w:rsidRDefault="00CA2E31" w:rsidP="00CA2E31">
      <w:pPr>
        <w:spacing w:line="240" w:lineRule="auto"/>
      </w:pPr>
    </w:p>
    <w:p w14:paraId="2C5CBFF0" w14:textId="77777777" w:rsidR="00CA2E31" w:rsidRPr="007A096D" w:rsidRDefault="00CA2E31" w:rsidP="00CA2E31">
      <w:pPr>
        <w:spacing w:line="240" w:lineRule="auto"/>
      </w:pPr>
    </w:p>
    <w:p w14:paraId="7D3C3140" w14:textId="77777777" w:rsidR="00CA2E31" w:rsidRPr="007A096D" w:rsidRDefault="00CA2E31" w:rsidP="00CA2E31">
      <w:pPr>
        <w:spacing w:line="240" w:lineRule="auto"/>
      </w:pPr>
    </w:p>
    <w:p w14:paraId="093A6701" w14:textId="77777777" w:rsidR="00CA2E31" w:rsidRPr="007A096D" w:rsidRDefault="00CA2E31" w:rsidP="00CA2E31">
      <w:pPr>
        <w:spacing w:line="240" w:lineRule="auto"/>
      </w:pPr>
    </w:p>
    <w:p w14:paraId="208E437E" w14:textId="77777777" w:rsidR="00CA2E31" w:rsidRPr="007A096D" w:rsidRDefault="00CA2E31" w:rsidP="00CA2E31">
      <w:pPr>
        <w:spacing w:line="240" w:lineRule="auto"/>
      </w:pPr>
      <w:r>
        <w:tab/>
      </w:r>
      <w:r>
        <w:tab/>
      </w:r>
      <w:r>
        <w:tab/>
      </w:r>
      <w:r>
        <w:tab/>
      </w:r>
      <w:r>
        <w:tab/>
      </w:r>
      <w:r w:rsidRPr="007A096D">
        <w:t>_____________________</w:t>
      </w:r>
      <w:r>
        <w:t>_</w:t>
      </w:r>
      <w:r w:rsidRPr="007A096D">
        <w:t>_______________</w:t>
      </w:r>
    </w:p>
    <w:p w14:paraId="0CC0001C" w14:textId="77777777" w:rsidR="00CA2E31" w:rsidRPr="007A096D" w:rsidRDefault="00CA2E31" w:rsidP="00CA2E31">
      <w:pPr>
        <w:spacing w:line="240" w:lineRule="auto"/>
      </w:pPr>
      <w:r>
        <w:tab/>
      </w:r>
      <w:r>
        <w:tab/>
      </w:r>
      <w:r>
        <w:tab/>
      </w:r>
      <w:r>
        <w:tab/>
      </w:r>
      <w:r>
        <w:tab/>
      </w:r>
      <w:r>
        <w:tab/>
      </w:r>
      <w:r w:rsidRPr="00392B4A">
        <w:t>Bromberg, J.</w:t>
      </w:r>
    </w:p>
    <w:p w14:paraId="3CD0E2A7" w14:textId="77777777" w:rsidR="00CA2E31" w:rsidRPr="007A096D" w:rsidRDefault="00CA2E31" w:rsidP="00CA2E31">
      <w:pPr>
        <w:spacing w:line="240" w:lineRule="auto"/>
      </w:pPr>
    </w:p>
    <w:p w14:paraId="3493E827" w14:textId="77777777" w:rsidR="00CA2E31" w:rsidRPr="007A096D" w:rsidRDefault="00CA2E31" w:rsidP="00CA2E31">
      <w:pPr>
        <w:spacing w:line="240" w:lineRule="auto"/>
      </w:pPr>
    </w:p>
    <w:p w14:paraId="293DDE96" w14:textId="77777777" w:rsidR="00CA2E31" w:rsidRPr="007A096D" w:rsidRDefault="00CA2E31" w:rsidP="00CA2E31">
      <w:pPr>
        <w:pStyle w:val="Footer"/>
      </w:pPr>
    </w:p>
    <w:p w14:paraId="4590DFBB" w14:textId="77777777" w:rsidR="00CA2E31" w:rsidRPr="007A096D" w:rsidRDefault="00CA2E31" w:rsidP="00CA2E31">
      <w:pPr>
        <w:spacing w:line="240" w:lineRule="auto"/>
      </w:pPr>
    </w:p>
    <w:p w14:paraId="61E3EE76" w14:textId="77777777" w:rsidR="00CA2E31" w:rsidRPr="007A096D" w:rsidRDefault="00CA2E31" w:rsidP="00CA2E31">
      <w:pPr>
        <w:spacing w:line="240" w:lineRule="auto"/>
      </w:pPr>
    </w:p>
    <w:p w14:paraId="0040036E" w14:textId="77777777" w:rsidR="00CA2E31" w:rsidRDefault="00CA2E31" w:rsidP="00CA2E31">
      <w:pPr>
        <w:tabs>
          <w:tab w:val="clear" w:pos="720"/>
        </w:tabs>
        <w:spacing w:after="160" w:line="480" w:lineRule="exact"/>
        <w:ind w:firstLine="0"/>
      </w:pPr>
    </w:p>
    <w:p w14:paraId="32D04F48" w14:textId="77777777" w:rsidR="00CA2E31" w:rsidRDefault="00CA2E31" w:rsidP="00CA2E31">
      <w:pPr>
        <w:tabs>
          <w:tab w:val="clear" w:pos="720"/>
        </w:tabs>
        <w:spacing w:after="160" w:line="480" w:lineRule="exact"/>
        <w:ind w:firstLine="0"/>
      </w:pPr>
    </w:p>
    <w:p w14:paraId="7C7E3919" w14:textId="77777777" w:rsidR="00CA2E31" w:rsidRDefault="00CA2E31" w:rsidP="00CA2E31">
      <w:pPr>
        <w:tabs>
          <w:tab w:val="clear" w:pos="720"/>
        </w:tabs>
        <w:spacing w:after="160" w:line="480" w:lineRule="exact"/>
        <w:ind w:firstLine="0"/>
      </w:pPr>
    </w:p>
    <w:p w14:paraId="1161684D" w14:textId="77777777" w:rsidR="00CA2E31" w:rsidRDefault="00CA2E31" w:rsidP="00CA2E31">
      <w:pPr>
        <w:tabs>
          <w:tab w:val="clear" w:pos="720"/>
        </w:tabs>
        <w:spacing w:after="160" w:line="480" w:lineRule="exact"/>
        <w:ind w:firstLine="0"/>
      </w:pPr>
    </w:p>
    <w:p w14:paraId="60EAFAF5" w14:textId="77777777" w:rsidR="00CA2E31" w:rsidRDefault="00CA2E31" w:rsidP="00CA2E31">
      <w:pPr>
        <w:spacing w:line="240" w:lineRule="auto"/>
        <w:rPr>
          <w:b/>
        </w:rPr>
      </w:pPr>
    </w:p>
    <w:p w14:paraId="31AA708E" w14:textId="77777777" w:rsidR="00CA2E31" w:rsidRDefault="00CA2E31" w:rsidP="00CA2E31">
      <w:pPr>
        <w:spacing w:line="240" w:lineRule="auto"/>
        <w:rPr>
          <w:rStyle w:val="Title6"/>
          <w:b/>
          <w:bCs/>
        </w:rPr>
      </w:pPr>
    </w:p>
    <w:p w14:paraId="72ACD279" w14:textId="77777777" w:rsidR="00CA2E31" w:rsidRDefault="00CA2E31" w:rsidP="00CA2E31">
      <w:pPr>
        <w:spacing w:line="240" w:lineRule="auto"/>
        <w:rPr>
          <w:rStyle w:val="Title6"/>
          <w:b/>
          <w:bCs/>
        </w:rPr>
      </w:pPr>
    </w:p>
    <w:p w14:paraId="6B135275" w14:textId="77777777" w:rsidR="00CA2E31" w:rsidRDefault="00CA2E31" w:rsidP="00CA2E31">
      <w:pPr>
        <w:spacing w:line="240" w:lineRule="auto"/>
        <w:rPr>
          <w:rStyle w:val="Title6"/>
          <w:b/>
          <w:bCs/>
        </w:rPr>
      </w:pPr>
    </w:p>
    <w:p w14:paraId="5F4F3EEC" w14:textId="77777777" w:rsidR="00CA2E31" w:rsidRDefault="00CA2E31" w:rsidP="00CA2E31">
      <w:pPr>
        <w:spacing w:line="240" w:lineRule="auto"/>
        <w:rPr>
          <w:rStyle w:val="Title6"/>
          <w:b/>
          <w:bCs/>
        </w:rPr>
      </w:pPr>
    </w:p>
    <w:p w14:paraId="7E2DDDA4" w14:textId="77777777" w:rsidR="00CA2E31" w:rsidRDefault="00CA2E31" w:rsidP="00CA2E31">
      <w:pPr>
        <w:spacing w:line="240" w:lineRule="auto"/>
        <w:rPr>
          <w:rStyle w:val="Title6"/>
          <w:b/>
          <w:bCs/>
        </w:rPr>
      </w:pPr>
    </w:p>
    <w:p w14:paraId="409CCAB9" w14:textId="77777777" w:rsidR="00CA2E31" w:rsidRDefault="00CA2E31" w:rsidP="00CA2E31">
      <w:pPr>
        <w:spacing w:line="240" w:lineRule="auto"/>
        <w:rPr>
          <w:rStyle w:val="Title6"/>
          <w:b/>
          <w:bCs/>
        </w:rPr>
      </w:pPr>
    </w:p>
    <w:p w14:paraId="5A19F5A5" w14:textId="77777777" w:rsidR="00CA2E31" w:rsidRDefault="00CA2E31" w:rsidP="00CA2E31">
      <w:pPr>
        <w:spacing w:line="240" w:lineRule="auto"/>
        <w:ind w:firstLine="0"/>
        <w:rPr>
          <w:rStyle w:val="Title6"/>
          <w:b/>
          <w:bCs/>
        </w:rPr>
      </w:pPr>
      <w:r>
        <w:rPr>
          <w:rStyle w:val="Title6"/>
        </w:rPr>
        <w:tab/>
      </w:r>
      <w:r w:rsidRPr="008C1C76">
        <w:rPr>
          <w:rStyle w:val="Title6"/>
        </w:rPr>
        <w:t>H050</w:t>
      </w:r>
      <w:r>
        <w:rPr>
          <w:rStyle w:val="Title6"/>
        </w:rPr>
        <w:t>688</w:t>
      </w:r>
      <w:r w:rsidRPr="008C1C76">
        <w:rPr>
          <w:rStyle w:val="Title6"/>
        </w:rPr>
        <w:t> </w:t>
      </w:r>
    </w:p>
    <w:p w14:paraId="30F19DFF" w14:textId="77777777" w:rsidR="00CA2E31" w:rsidRDefault="00CA2E31" w:rsidP="00CA2E31">
      <w:pPr>
        <w:tabs>
          <w:tab w:val="clear" w:pos="720"/>
        </w:tabs>
        <w:spacing w:after="160" w:line="240" w:lineRule="auto"/>
        <w:rPr>
          <w:b/>
          <w:bCs/>
          <w:i/>
          <w:iCs/>
        </w:rPr>
      </w:pPr>
      <w:proofErr w:type="spellStart"/>
      <w:r w:rsidRPr="00E56419">
        <w:rPr>
          <w:b/>
          <w:bCs/>
          <w:i/>
          <w:iCs/>
        </w:rPr>
        <w:t>Loeber</w:t>
      </w:r>
      <w:proofErr w:type="spellEnd"/>
      <w:r w:rsidRPr="00E56419">
        <w:rPr>
          <w:b/>
          <w:bCs/>
          <w:i/>
          <w:iCs/>
        </w:rPr>
        <w:t xml:space="preserve"> v. Lakeside Joint School District</w:t>
      </w:r>
    </w:p>
    <w:p w14:paraId="40471E6C" w14:textId="77777777" w:rsidR="00CA2E31" w:rsidRDefault="00CA2E31" w:rsidP="00CA2E31">
      <w:pPr>
        <w:tabs>
          <w:tab w:val="clear" w:pos="720"/>
        </w:tabs>
        <w:spacing w:after="160" w:line="240" w:lineRule="auto"/>
        <w:sectPr w:rsidR="00CA2E31">
          <w:pgSz w:w="12240" w:h="15840"/>
          <w:pgMar w:top="1440" w:right="1440" w:bottom="1440" w:left="1440" w:header="720" w:footer="720" w:gutter="0"/>
          <w:cols w:space="720"/>
          <w:docGrid w:linePitch="360"/>
        </w:sectPr>
      </w:pPr>
    </w:p>
    <w:p w14:paraId="0366E676" w14:textId="77777777" w:rsidR="00CA2E31" w:rsidRDefault="00CA2E31" w:rsidP="00CA2E31">
      <w:pPr>
        <w:tabs>
          <w:tab w:val="clear" w:pos="720"/>
        </w:tabs>
        <w:spacing w:line="240" w:lineRule="auto"/>
        <w:rPr>
          <w:rFonts w:eastAsia="Times New Roman"/>
          <w:bCs/>
          <w:i/>
          <w:iCs/>
        </w:rPr>
      </w:pPr>
    </w:p>
    <w:p w14:paraId="1DA3EC73" w14:textId="77777777" w:rsidR="00CA2E31" w:rsidRDefault="00CA2E31" w:rsidP="00CA2E31">
      <w:pPr>
        <w:spacing w:line="240" w:lineRule="atLeast"/>
        <w:ind w:right="430" w:firstLine="0"/>
      </w:pPr>
      <w:r>
        <w:t>Trial Court:</w:t>
      </w:r>
      <w:r>
        <w:tab/>
      </w:r>
      <w:r>
        <w:tab/>
      </w:r>
      <w:r>
        <w:tab/>
        <w:t>Santa Clara County Superior Court</w:t>
      </w:r>
    </w:p>
    <w:p w14:paraId="34B2B85E" w14:textId="77777777" w:rsidR="00CA2E31" w:rsidRDefault="00CA2E31" w:rsidP="00CA2E31">
      <w:pPr>
        <w:spacing w:line="240" w:lineRule="atLeast"/>
        <w:ind w:right="430" w:firstLine="0"/>
      </w:pPr>
    </w:p>
    <w:p w14:paraId="4757B7A7" w14:textId="77777777" w:rsidR="00CA2E31" w:rsidRDefault="00CA2E31" w:rsidP="00CA2E31">
      <w:pPr>
        <w:spacing w:line="240" w:lineRule="atLeast"/>
        <w:ind w:right="430" w:firstLine="0"/>
      </w:pPr>
      <w:r>
        <w:t>Trial Judge:</w:t>
      </w:r>
      <w:r>
        <w:tab/>
      </w:r>
      <w:r>
        <w:tab/>
      </w:r>
      <w:r>
        <w:tab/>
        <w:t xml:space="preserve">The Honorable Julie A. </w:t>
      </w:r>
      <w:proofErr w:type="spellStart"/>
      <w:r>
        <w:t>Emede</w:t>
      </w:r>
      <w:proofErr w:type="spellEnd"/>
      <w:r>
        <w:t xml:space="preserve"> </w:t>
      </w:r>
    </w:p>
    <w:p w14:paraId="0B2D62C7" w14:textId="77777777" w:rsidR="00CA2E31" w:rsidRDefault="00CA2E31" w:rsidP="00CA2E31">
      <w:pPr>
        <w:spacing w:line="240" w:lineRule="atLeast"/>
        <w:ind w:right="430" w:firstLine="0"/>
      </w:pPr>
    </w:p>
    <w:p w14:paraId="67332F5A" w14:textId="77777777" w:rsidR="00CA2E31" w:rsidRDefault="00CA2E31" w:rsidP="00CA2E31">
      <w:pPr>
        <w:tabs>
          <w:tab w:val="clear" w:pos="720"/>
        </w:tabs>
        <w:spacing w:line="240" w:lineRule="auto"/>
        <w:ind w:firstLine="0"/>
        <w:rPr>
          <w:rFonts w:eastAsia="Times New Roman"/>
          <w:bCs/>
        </w:rPr>
      </w:pPr>
      <w:r>
        <w:rPr>
          <w:rFonts w:eastAsia="Times New Roman"/>
          <w:bCs/>
        </w:rPr>
        <w:t xml:space="preserve">Carlton </w:t>
      </w:r>
      <w:proofErr w:type="spellStart"/>
      <w:r>
        <w:rPr>
          <w:rFonts w:eastAsia="Times New Roman"/>
          <w:bCs/>
        </w:rPr>
        <w:t>Loeber</w:t>
      </w:r>
      <w:proofErr w:type="spellEnd"/>
      <w:r>
        <w:rPr>
          <w:rFonts w:eastAsia="Times New Roman"/>
          <w:bCs/>
        </w:rPr>
        <w:t>, in pro. per., for Plaintiff and Appellant.</w:t>
      </w:r>
    </w:p>
    <w:p w14:paraId="31AC7F57" w14:textId="77777777" w:rsidR="00CA2E31" w:rsidRDefault="00CA2E31" w:rsidP="00CA2E31">
      <w:pPr>
        <w:tabs>
          <w:tab w:val="clear" w:pos="720"/>
        </w:tabs>
        <w:spacing w:line="240" w:lineRule="auto"/>
        <w:ind w:firstLine="0"/>
        <w:rPr>
          <w:rFonts w:eastAsia="Times New Roman"/>
          <w:bCs/>
        </w:rPr>
      </w:pPr>
    </w:p>
    <w:p w14:paraId="419DF8CF" w14:textId="77777777" w:rsidR="00CA2E31" w:rsidRPr="00371400" w:rsidRDefault="00CA2E31" w:rsidP="00CA2E31">
      <w:pPr>
        <w:tabs>
          <w:tab w:val="clear" w:pos="720"/>
        </w:tabs>
        <w:spacing w:line="240" w:lineRule="auto"/>
        <w:ind w:firstLine="0"/>
        <w:rPr>
          <w:rFonts w:eastAsia="Times New Roman"/>
          <w:bCs/>
        </w:rPr>
      </w:pPr>
      <w:r>
        <w:rPr>
          <w:rFonts w:eastAsia="Times New Roman"/>
          <w:bCs/>
        </w:rPr>
        <w:t xml:space="preserve">Seth Eckstein, Fagen, Friedman &amp; </w:t>
      </w:r>
      <w:proofErr w:type="spellStart"/>
      <w:r>
        <w:rPr>
          <w:rFonts w:eastAsia="Times New Roman"/>
          <w:bCs/>
        </w:rPr>
        <w:t>Fulfrost</w:t>
      </w:r>
      <w:proofErr w:type="spellEnd"/>
      <w:r>
        <w:rPr>
          <w:rFonts w:eastAsia="Times New Roman"/>
          <w:bCs/>
        </w:rPr>
        <w:t>, for Defendant and Respondent.</w:t>
      </w:r>
    </w:p>
    <w:p w14:paraId="645EEC9F" w14:textId="77777777" w:rsidR="00CA2E31" w:rsidRDefault="00CA2E31" w:rsidP="00CA2E31"/>
    <w:p w14:paraId="28A87E48" w14:textId="77777777" w:rsidR="00CA2E31" w:rsidRDefault="00CA2E31" w:rsidP="00CA2E31"/>
    <w:p w14:paraId="630166EC" w14:textId="77777777" w:rsidR="00CA2E31" w:rsidRDefault="00CA2E31" w:rsidP="00CA2E31"/>
    <w:p w14:paraId="47D6529C" w14:textId="77777777" w:rsidR="00CA2E31" w:rsidRDefault="00CA2E31" w:rsidP="00CA2E31"/>
    <w:p w14:paraId="042C1393" w14:textId="77777777" w:rsidR="00CA2E31" w:rsidRDefault="00CA2E31" w:rsidP="00CA2E31"/>
    <w:p w14:paraId="29F7AD45" w14:textId="77777777" w:rsidR="00CA2E31" w:rsidRDefault="00CA2E31" w:rsidP="00CA2E31"/>
    <w:p w14:paraId="1DBEF2C1" w14:textId="77777777" w:rsidR="00CA2E31" w:rsidRDefault="00CA2E31" w:rsidP="00CA2E31"/>
    <w:p w14:paraId="4173A2EA" w14:textId="77777777" w:rsidR="00CA2E31" w:rsidRDefault="00CA2E31" w:rsidP="00CA2E31"/>
    <w:p w14:paraId="0C3DCBD2" w14:textId="77777777" w:rsidR="00CA2E31" w:rsidRDefault="00CA2E31" w:rsidP="00CA2E31">
      <w:pPr>
        <w:ind w:firstLine="0"/>
      </w:pPr>
    </w:p>
    <w:p w14:paraId="39C0DE7A" w14:textId="77777777" w:rsidR="00CA2E31" w:rsidRDefault="00CA2E31" w:rsidP="00CA2E31"/>
    <w:p w14:paraId="3723C816" w14:textId="77777777" w:rsidR="00CA2E31" w:rsidRDefault="00CA2E31" w:rsidP="00CA2E31">
      <w:pPr>
        <w:spacing w:line="240" w:lineRule="auto"/>
        <w:rPr>
          <w:b/>
        </w:rPr>
      </w:pPr>
    </w:p>
    <w:p w14:paraId="72BFBEB1" w14:textId="77777777" w:rsidR="00CA2E31" w:rsidRDefault="00CA2E31" w:rsidP="00CA2E31">
      <w:pPr>
        <w:spacing w:line="240" w:lineRule="auto"/>
        <w:rPr>
          <w:b/>
        </w:rPr>
      </w:pPr>
    </w:p>
    <w:p w14:paraId="4103902D" w14:textId="77777777" w:rsidR="00CA2E31" w:rsidRDefault="00CA2E31" w:rsidP="00CA2E31">
      <w:pPr>
        <w:spacing w:line="240" w:lineRule="auto"/>
        <w:rPr>
          <w:b/>
        </w:rPr>
      </w:pPr>
    </w:p>
    <w:p w14:paraId="40BEDC33" w14:textId="77777777" w:rsidR="00CA2E31" w:rsidRDefault="00CA2E31" w:rsidP="00CA2E31">
      <w:pPr>
        <w:spacing w:line="240" w:lineRule="auto"/>
        <w:rPr>
          <w:b/>
        </w:rPr>
      </w:pPr>
    </w:p>
    <w:p w14:paraId="75125FCC" w14:textId="77777777" w:rsidR="00CA2E31" w:rsidRDefault="00CA2E31" w:rsidP="00CA2E31">
      <w:pPr>
        <w:spacing w:line="240" w:lineRule="auto"/>
        <w:rPr>
          <w:b/>
        </w:rPr>
      </w:pPr>
    </w:p>
    <w:p w14:paraId="5CF21C0E" w14:textId="77777777" w:rsidR="00CA2E31" w:rsidRDefault="00CA2E31" w:rsidP="00CA2E31">
      <w:pPr>
        <w:spacing w:line="240" w:lineRule="auto"/>
        <w:rPr>
          <w:b/>
        </w:rPr>
      </w:pPr>
    </w:p>
    <w:p w14:paraId="4F2B242B" w14:textId="77777777" w:rsidR="00CA2E31" w:rsidRDefault="00CA2E31" w:rsidP="00CA2E31">
      <w:pPr>
        <w:spacing w:line="240" w:lineRule="auto"/>
        <w:rPr>
          <w:b/>
        </w:rPr>
      </w:pPr>
    </w:p>
    <w:p w14:paraId="451772B7" w14:textId="77777777" w:rsidR="00CA2E31" w:rsidRDefault="00CA2E31" w:rsidP="00CA2E31">
      <w:pPr>
        <w:spacing w:line="240" w:lineRule="auto"/>
        <w:rPr>
          <w:b/>
        </w:rPr>
      </w:pPr>
    </w:p>
    <w:p w14:paraId="2F98C24E" w14:textId="77777777" w:rsidR="00CA2E31" w:rsidRDefault="00CA2E31" w:rsidP="00CA2E31">
      <w:pPr>
        <w:spacing w:line="240" w:lineRule="auto"/>
        <w:rPr>
          <w:b/>
        </w:rPr>
      </w:pPr>
    </w:p>
    <w:p w14:paraId="1262EC6D" w14:textId="77777777" w:rsidR="00CA2E31" w:rsidRDefault="00CA2E31" w:rsidP="00CA2E31">
      <w:pPr>
        <w:spacing w:line="240" w:lineRule="auto"/>
        <w:rPr>
          <w:b/>
        </w:rPr>
      </w:pPr>
    </w:p>
    <w:p w14:paraId="7814CD03" w14:textId="77777777" w:rsidR="00CA2E31" w:rsidRDefault="00CA2E31" w:rsidP="00CA2E31">
      <w:pPr>
        <w:spacing w:line="240" w:lineRule="auto"/>
        <w:rPr>
          <w:b/>
        </w:rPr>
      </w:pPr>
    </w:p>
    <w:p w14:paraId="5109EDDD" w14:textId="77777777" w:rsidR="00CA2E31" w:rsidRDefault="00CA2E31" w:rsidP="00CA2E31">
      <w:pPr>
        <w:spacing w:line="240" w:lineRule="auto"/>
        <w:rPr>
          <w:b/>
        </w:rPr>
      </w:pPr>
    </w:p>
    <w:p w14:paraId="04F72835" w14:textId="77777777" w:rsidR="00CA2E31" w:rsidRDefault="00CA2E31" w:rsidP="00CA2E31">
      <w:pPr>
        <w:spacing w:line="240" w:lineRule="auto"/>
        <w:rPr>
          <w:b/>
        </w:rPr>
      </w:pPr>
    </w:p>
    <w:p w14:paraId="18CE2278" w14:textId="77777777" w:rsidR="00CA2E31" w:rsidRDefault="00CA2E31" w:rsidP="00CA2E31">
      <w:pPr>
        <w:spacing w:line="240" w:lineRule="auto"/>
        <w:rPr>
          <w:b/>
        </w:rPr>
      </w:pPr>
    </w:p>
    <w:p w14:paraId="370D0553" w14:textId="77777777" w:rsidR="00CA2E31" w:rsidRDefault="00CA2E31" w:rsidP="00CA2E31">
      <w:pPr>
        <w:spacing w:line="240" w:lineRule="auto"/>
        <w:rPr>
          <w:b/>
        </w:rPr>
      </w:pPr>
    </w:p>
    <w:p w14:paraId="09920FAE" w14:textId="77777777" w:rsidR="00CA2E31" w:rsidRDefault="00CA2E31" w:rsidP="00CA2E31">
      <w:pPr>
        <w:spacing w:line="240" w:lineRule="auto"/>
        <w:ind w:firstLine="0"/>
        <w:rPr>
          <w:rStyle w:val="Title6"/>
          <w:b/>
          <w:bCs/>
        </w:rPr>
      </w:pPr>
      <w:r w:rsidRPr="008C1C76">
        <w:rPr>
          <w:rStyle w:val="Title6"/>
        </w:rPr>
        <w:t>H050</w:t>
      </w:r>
      <w:r>
        <w:rPr>
          <w:rStyle w:val="Title6"/>
        </w:rPr>
        <w:t>688</w:t>
      </w:r>
      <w:r w:rsidRPr="008C1C76">
        <w:rPr>
          <w:rStyle w:val="Title6"/>
        </w:rPr>
        <w:t> </w:t>
      </w:r>
    </w:p>
    <w:p w14:paraId="5DA171C3" w14:textId="681A9262" w:rsidR="000B4EDE" w:rsidRPr="0000716F" w:rsidRDefault="00CA2E31" w:rsidP="00CA2E31">
      <w:pPr>
        <w:tabs>
          <w:tab w:val="clear" w:pos="720"/>
        </w:tabs>
        <w:spacing w:after="160" w:line="240" w:lineRule="auto"/>
        <w:ind w:firstLine="0"/>
      </w:pPr>
      <w:proofErr w:type="spellStart"/>
      <w:r w:rsidRPr="00E56419">
        <w:rPr>
          <w:b/>
          <w:bCs/>
          <w:i/>
          <w:iCs/>
        </w:rPr>
        <w:t>Loeber</w:t>
      </w:r>
      <w:proofErr w:type="spellEnd"/>
      <w:r w:rsidRPr="00E56419">
        <w:rPr>
          <w:b/>
          <w:bCs/>
          <w:i/>
          <w:iCs/>
        </w:rPr>
        <w:t xml:space="preserve"> v. Lakeside Joint School District</w:t>
      </w:r>
      <w:bookmarkEnd w:id="14"/>
    </w:p>
    <w:sectPr w:rsidR="000B4EDE" w:rsidRPr="00007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26D3" w14:textId="77777777" w:rsidR="00D23DB7" w:rsidRDefault="00D23DB7">
      <w:pPr>
        <w:spacing w:line="240" w:lineRule="auto"/>
      </w:pPr>
      <w:r>
        <w:separator/>
      </w:r>
    </w:p>
  </w:endnote>
  <w:endnote w:type="continuationSeparator" w:id="0">
    <w:p w14:paraId="428B6E4F" w14:textId="77777777" w:rsidR="00D23DB7" w:rsidRDefault="00D23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977D" w14:textId="77777777" w:rsidR="002C7AA8" w:rsidRDefault="002C7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68512"/>
      <w:docPartObj>
        <w:docPartGallery w:val="Page Numbers (Bottom of Page)"/>
        <w:docPartUnique/>
      </w:docPartObj>
    </w:sdtPr>
    <w:sdtEndPr>
      <w:rPr>
        <w:noProof/>
      </w:rPr>
    </w:sdtEndPr>
    <w:sdtContent>
      <w:p w14:paraId="13649665" w14:textId="77777777" w:rsidR="002D669B" w:rsidRDefault="00D23DB7">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14EA69C0" w14:textId="77777777" w:rsidR="002D669B" w:rsidRDefault="002D6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8D25" w14:textId="77777777" w:rsidR="002C7AA8" w:rsidRDefault="002C7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A6BA" w14:textId="7B17154E" w:rsidR="00CA2E31" w:rsidRDefault="00CA2E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071D" w14:textId="09691405" w:rsidR="00CA2E31" w:rsidRDefault="00CA2E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A677" w14:textId="211F09B8" w:rsidR="00CA2E31" w:rsidRDefault="00CA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14F7" w14:textId="77777777" w:rsidR="00CF12F1" w:rsidRDefault="00D23DB7" w:rsidP="002D669B">
      <w:pPr>
        <w:spacing w:line="240" w:lineRule="auto"/>
      </w:pPr>
      <w:r>
        <w:separator/>
      </w:r>
    </w:p>
  </w:footnote>
  <w:footnote w:type="continuationSeparator" w:id="0">
    <w:p w14:paraId="637BF42A" w14:textId="77777777" w:rsidR="00CF12F1" w:rsidRDefault="00D23DB7" w:rsidP="002D669B">
      <w:pPr>
        <w:spacing w:line="240" w:lineRule="auto"/>
      </w:pPr>
      <w:r>
        <w:continuationSeparator/>
      </w:r>
    </w:p>
  </w:footnote>
  <w:footnote w:type="continuationNotice" w:id="1">
    <w:p w14:paraId="7497AEA3" w14:textId="77777777" w:rsidR="00CF12F1" w:rsidRDefault="00CF12F1">
      <w:pPr>
        <w:spacing w:line="240" w:lineRule="auto"/>
      </w:pPr>
    </w:p>
  </w:footnote>
  <w:footnote w:id="2">
    <w:p w14:paraId="6765C259" w14:textId="77777777" w:rsidR="00DA7B23" w:rsidRDefault="00D23DB7" w:rsidP="00181059">
      <w:pPr>
        <w:pStyle w:val="Subtitle"/>
      </w:pPr>
      <w:r w:rsidRPr="00A66757">
        <w:rPr>
          <w:rStyle w:val="FootnoteReference"/>
          <w:b/>
          <w:bCs/>
        </w:rPr>
        <w:footnoteRef/>
      </w:r>
      <w:r w:rsidRPr="00A66757">
        <w:rPr>
          <w:b/>
          <w:bCs/>
        </w:rPr>
        <w:t xml:space="preserve"> </w:t>
      </w:r>
      <w:r w:rsidRPr="00A66757">
        <w:t>Unspecified references to “article” are to the California Constitution.</w:t>
      </w:r>
    </w:p>
  </w:footnote>
  <w:footnote w:id="3">
    <w:p w14:paraId="6075E538" w14:textId="00EC629D" w:rsidR="00E70262" w:rsidRDefault="00D23DB7" w:rsidP="00E70262">
      <w:pPr>
        <w:pStyle w:val="FootnoteText"/>
        <w:spacing w:line="240" w:lineRule="atLeast"/>
      </w:pPr>
      <w:r w:rsidRPr="00535B1E">
        <w:rPr>
          <w:rStyle w:val="FootnoteReference"/>
          <w:b/>
          <w:bCs/>
        </w:rPr>
        <w:footnoteRef/>
      </w:r>
      <w:r>
        <w:t xml:space="preserve"> The California Constitution authorizes cities, counties and “special districts” to impose “special taxes” “by a two-thirds vote of the qualified electors of such district.”  (Cal. Const., art. </w:t>
      </w:r>
      <w:r w:rsidR="00A14F7C">
        <w:t>XIII</w:t>
      </w:r>
      <w:r w:rsidR="000B27F8">
        <w:t xml:space="preserve"> </w:t>
      </w:r>
      <w:r w:rsidR="00A14F7C">
        <w:t>A</w:t>
      </w:r>
      <w:r>
        <w:t xml:space="preserve">, § 4; see also Gov. Code, § 50075.)  </w:t>
      </w:r>
      <w:r w:rsidR="00A14F7C">
        <w:t xml:space="preserve">The Legislature has specified that </w:t>
      </w:r>
      <w:proofErr w:type="gramStart"/>
      <w:r w:rsidR="00A14F7C">
        <w:t>“ ‘</w:t>
      </w:r>
      <w:proofErr w:type="gramEnd"/>
      <w:r w:rsidR="00A14F7C">
        <w:t>[s]</w:t>
      </w:r>
      <w:proofErr w:type="spellStart"/>
      <w:r w:rsidR="00A14F7C">
        <w:t>pecial</w:t>
      </w:r>
      <w:proofErr w:type="spellEnd"/>
      <w:r w:rsidR="00A14F7C">
        <w:t xml:space="preserve"> district’ ” as used in </w:t>
      </w:r>
      <w:r w:rsidR="00D15384">
        <w:t>a</w:t>
      </w:r>
      <w:r w:rsidR="00A14F7C" w:rsidRPr="00A14F7C">
        <w:t xml:space="preserve">rticle XIII A </w:t>
      </w:r>
      <w:r w:rsidR="00A14F7C">
        <w:t xml:space="preserve">includes but is not limited to “a school district.”  (Gov. Code, § 50075.5, subd. (b).)  </w:t>
      </w:r>
    </w:p>
  </w:footnote>
  <w:footnote w:id="4">
    <w:p w14:paraId="54B0B78E" w14:textId="7F64498F" w:rsidR="008D2FE1" w:rsidRDefault="00D23DB7" w:rsidP="008D2FE1">
      <w:pPr>
        <w:pStyle w:val="FootnoteText"/>
        <w:spacing w:line="240" w:lineRule="atLeast"/>
      </w:pPr>
      <w:r w:rsidRPr="008D2FE1">
        <w:rPr>
          <w:rStyle w:val="FootnoteReference"/>
          <w:b/>
          <w:bCs/>
        </w:rPr>
        <w:footnoteRef/>
      </w:r>
      <w:r w:rsidRPr="008D2FE1">
        <w:rPr>
          <w:b/>
          <w:bCs/>
        </w:rPr>
        <w:t xml:space="preserve"> </w:t>
      </w:r>
      <w:r w:rsidR="003C1801">
        <w:t xml:space="preserve">As </w:t>
      </w:r>
      <w:r>
        <w:t>Measure A was enacted in 2017</w:t>
      </w:r>
      <w:r w:rsidR="003C1801">
        <w:t xml:space="preserve">, we </w:t>
      </w:r>
      <w:r w:rsidR="001600A9">
        <w:t xml:space="preserve">assume that </w:t>
      </w:r>
      <w:proofErr w:type="spellStart"/>
      <w:r>
        <w:t>Loeber’s</w:t>
      </w:r>
      <w:proofErr w:type="spellEnd"/>
      <w:r>
        <w:t xml:space="preserve"> statement that he has paid $10,824 in parcel taxes to the district since 2010 includes </w:t>
      </w:r>
      <w:r w:rsidR="0089141A">
        <w:t xml:space="preserve">prior </w:t>
      </w:r>
      <w:r>
        <w:t>parcel taxes not identified in the record.</w:t>
      </w:r>
    </w:p>
  </w:footnote>
  <w:footnote w:id="5">
    <w:p w14:paraId="244B1E73" w14:textId="387DA8DD" w:rsidR="000B60F2" w:rsidRDefault="00D23DB7" w:rsidP="000B60F2">
      <w:pPr>
        <w:pStyle w:val="FootnoteText"/>
        <w:spacing w:line="240" w:lineRule="atLeast"/>
      </w:pPr>
      <w:r w:rsidRPr="00D97862">
        <w:rPr>
          <w:rStyle w:val="FootnoteReference"/>
          <w:b/>
          <w:bCs/>
        </w:rPr>
        <w:footnoteRef/>
      </w:r>
      <w:r>
        <w:t xml:space="preserve"> </w:t>
      </w:r>
      <w:r w:rsidR="00F81C2C">
        <w:t xml:space="preserve">According to the proof of publication filed </w:t>
      </w:r>
      <w:r w:rsidR="000B130E">
        <w:t xml:space="preserve">with the </w:t>
      </w:r>
      <w:r w:rsidR="00F81C2C">
        <w:t>registrar of voters on March 15, 2021,</w:t>
      </w:r>
      <w:r w:rsidR="0089141A">
        <w:t xml:space="preserve"> </w:t>
      </w:r>
      <w:r w:rsidR="00F81C2C">
        <w:t>t</w:t>
      </w:r>
      <w:r>
        <w:t>he initiative text</w:t>
      </w:r>
      <w:r w:rsidR="00F81C2C">
        <w:t xml:space="preserve"> reads</w:t>
      </w:r>
      <w:r w:rsidR="00604B64">
        <w:t>,</w:t>
      </w:r>
      <w:r>
        <w:t xml:space="preserve"> </w:t>
      </w:r>
      <w:proofErr w:type="gramStart"/>
      <w:r>
        <w:t>“</w:t>
      </w:r>
      <w:r w:rsidR="007E3E77">
        <w:t xml:space="preserve"> ‘</w:t>
      </w:r>
      <w:proofErr w:type="gramEnd"/>
      <w:r>
        <w:t>Upon application any property tax payer over the age of 65 shall be granted an exemption from any Lakeside Joint School District parcel tax if that parcel is unimproved.</w:t>
      </w:r>
      <w:r w:rsidR="007E3E77">
        <w:t xml:space="preserve">’ </w:t>
      </w:r>
      <w:r>
        <w:t xml:space="preserve">” </w:t>
      </w:r>
      <w:r w:rsidR="00AB24F6">
        <w:t xml:space="preserve"> </w:t>
      </w:r>
      <w:r w:rsidR="00486D22">
        <w:t xml:space="preserve">As </w:t>
      </w:r>
      <w:proofErr w:type="gramStart"/>
      <w:r w:rsidR="00486D22">
        <w:t>discussed</w:t>
      </w:r>
      <w:proofErr w:type="gramEnd"/>
      <w:r w:rsidR="00486D22">
        <w:t xml:space="preserve"> further </w:t>
      </w:r>
      <w:r w:rsidR="00486D22">
        <w:rPr>
          <w:i/>
          <w:iCs/>
        </w:rPr>
        <w:t>post</w:t>
      </w:r>
      <w:r w:rsidR="00486D22">
        <w:t xml:space="preserve"> (pt. II.C.2</w:t>
      </w:r>
      <w:r w:rsidR="00772B83">
        <w:t>.</w:t>
      </w:r>
      <w:r w:rsidR="00486D22">
        <w:t>),</w:t>
      </w:r>
      <w:r w:rsidR="00486D22">
        <w:rPr>
          <w:i/>
          <w:iCs/>
        </w:rPr>
        <w:t xml:space="preserve"> </w:t>
      </w:r>
      <w:r w:rsidR="00486D22">
        <w:t>t</w:t>
      </w:r>
      <w:r w:rsidR="004148BB">
        <w:t xml:space="preserve">he initiative text does not </w:t>
      </w:r>
      <w:r w:rsidR="00276161">
        <w:t>specifically reference Measure A or the current parcel tax exemptions.</w:t>
      </w:r>
    </w:p>
  </w:footnote>
  <w:footnote w:id="6">
    <w:p w14:paraId="2A808F72" w14:textId="470630F2" w:rsidR="006422CD" w:rsidRDefault="00D23DB7" w:rsidP="006422CD">
      <w:pPr>
        <w:pStyle w:val="FootnoteText"/>
        <w:spacing w:line="240" w:lineRule="atLeast"/>
      </w:pPr>
      <w:r w:rsidRPr="00594512">
        <w:rPr>
          <w:rStyle w:val="FootnoteReference"/>
          <w:b/>
          <w:bCs/>
        </w:rPr>
        <w:footnoteRef/>
      </w:r>
      <w:r>
        <w:t xml:space="preserve"> </w:t>
      </w:r>
      <w:r w:rsidRPr="004B7EF6">
        <w:t xml:space="preserve">Elections Code </w:t>
      </w:r>
      <w:r>
        <w:t>section 9310, subdivision (a) provides that, for a qualifying initiative petition, the district board “shall . . . </w:t>
      </w:r>
      <w:r w:rsidR="009D2245">
        <w:t xml:space="preserve"> </w:t>
      </w:r>
      <w:r>
        <w:t>[¶]</w:t>
      </w:r>
      <w:r w:rsidR="009D2245">
        <w:t xml:space="preserve"> </w:t>
      </w:r>
      <w:r>
        <w:t xml:space="preserve"> </w:t>
      </w:r>
      <w:r w:rsidR="009D2245">
        <w:t>. . .  [</w:t>
      </w:r>
      <w:proofErr w:type="gramStart"/>
      <w:r w:rsidR="009D2245">
        <w:t xml:space="preserve">¶]  </w:t>
      </w:r>
      <w:r>
        <w:t>(</w:t>
      </w:r>
      <w:proofErr w:type="gramEnd"/>
      <w:r>
        <w:t>2) [s]</w:t>
      </w:r>
      <w:proofErr w:type="spellStart"/>
      <w:r w:rsidRPr="004B7EF6">
        <w:t>ubmit</w:t>
      </w:r>
      <w:proofErr w:type="spellEnd"/>
      <w:r w:rsidRPr="004B7EF6">
        <w:t xml:space="preserve"> the ordinance, without alteration, to the voters pursuant to </w:t>
      </w:r>
      <w:r w:rsidR="009D2245">
        <w:t>[s]</w:t>
      </w:r>
      <w:proofErr w:type="spellStart"/>
      <w:r w:rsidRPr="004B7EF6">
        <w:t>ection</w:t>
      </w:r>
      <w:proofErr w:type="spellEnd"/>
      <w:r w:rsidRPr="004B7EF6">
        <w:t xml:space="preserve"> 1405.</w:t>
      </w:r>
      <w:r>
        <w:t xml:space="preserve">”  </w:t>
      </w:r>
    </w:p>
    <w:p w14:paraId="210BC0EA" w14:textId="30E5C504" w:rsidR="006422CD" w:rsidRDefault="00D23DB7" w:rsidP="006422CD">
      <w:pPr>
        <w:pStyle w:val="FootnoteText"/>
        <w:spacing w:line="240" w:lineRule="atLeast"/>
      </w:pPr>
      <w:r>
        <w:t xml:space="preserve">Elections Code </w:t>
      </w:r>
      <w:r w:rsidRPr="004B7EF6">
        <w:t>section 1405</w:t>
      </w:r>
      <w:r>
        <w:t xml:space="preserve">, </w:t>
      </w:r>
      <w:r w:rsidRPr="004B7EF6">
        <w:t>states</w:t>
      </w:r>
      <w:proofErr w:type="gramStart"/>
      <w:r w:rsidRPr="004B7EF6">
        <w:t xml:space="preserve">: </w:t>
      </w:r>
      <w:r>
        <w:t xml:space="preserve"> “</w:t>
      </w:r>
      <w:proofErr w:type="gramEnd"/>
      <w:r w:rsidRPr="004B7EF6">
        <w:t xml:space="preserve">(a) Except as provided in subdivision (b), the election for a county initiative that qualifies pursuant to </w:t>
      </w:r>
      <w:r>
        <w:t>[s]</w:t>
      </w:r>
      <w:proofErr w:type="spellStart"/>
      <w:r w:rsidRPr="004B7EF6">
        <w:t>ection</w:t>
      </w:r>
      <w:proofErr w:type="spellEnd"/>
      <w:r w:rsidRPr="004B7EF6">
        <w:t xml:space="preserve"> 9118 shall be held at the next statewide election occurring not less than 88 days after the date of the order of election. </w:t>
      </w:r>
      <w:r>
        <w:t xml:space="preserve"> </w:t>
      </w:r>
      <w:r w:rsidRPr="004B7EF6">
        <w:t xml:space="preserve">The election for a municipal or district initiative that qualifies pursuant to </w:t>
      </w:r>
      <w:r w:rsidR="002C1AC8">
        <w:t>[s]</w:t>
      </w:r>
      <w:proofErr w:type="spellStart"/>
      <w:r w:rsidRPr="004B7EF6">
        <w:t>ection</w:t>
      </w:r>
      <w:proofErr w:type="spellEnd"/>
      <w:r w:rsidRPr="004B7EF6">
        <w:t xml:space="preserve"> 9215 or 9310 shall be held at the jurisdiction</w:t>
      </w:r>
      <w:r>
        <w:t>’</w:t>
      </w:r>
      <w:r w:rsidRPr="004B7EF6">
        <w:t>s next regular election occurring not less than 88 days after the date of the order of election.</w:t>
      </w:r>
      <w:r>
        <w:t xml:space="preserve">  [</w:t>
      </w:r>
      <w:proofErr w:type="gramStart"/>
      <w:r>
        <w:t>¶]  (</w:t>
      </w:r>
      <w:proofErr w:type="gramEnd"/>
      <w:r>
        <w:t xml:space="preserve">b)  </w:t>
      </w:r>
      <w:r w:rsidRPr="004B7EF6">
        <w:t>The governing body of a county, city, or district may call a special election for the purpose of submitting an initiative measure to the voters before the date on which the initiative measure would appear on the ballot pursuant to subdivision (a).</w:t>
      </w:r>
      <w:r>
        <w:t xml:space="preserve"> </w:t>
      </w:r>
      <w:r w:rsidRPr="004B7EF6">
        <w:t xml:space="preserve"> If the governing body calls a special election pursuant to this subdivision, the election shall be held not less than 88 days nor more than 103 days after the order of the election.</w:t>
      </w:r>
      <w:r>
        <w:t xml:space="preserve">” </w:t>
      </w:r>
    </w:p>
    <w:p w14:paraId="09272AD2" w14:textId="221AC7FA" w:rsidR="00BB03B3" w:rsidRDefault="00D23DB7" w:rsidP="006422CD">
      <w:pPr>
        <w:pStyle w:val="FootnoteText"/>
        <w:spacing w:line="240" w:lineRule="atLeast"/>
      </w:pPr>
      <w:r>
        <w:t xml:space="preserve">As both </w:t>
      </w:r>
      <w:proofErr w:type="spellStart"/>
      <w:r>
        <w:t>Loeber</w:t>
      </w:r>
      <w:proofErr w:type="spellEnd"/>
      <w:r>
        <w:t xml:space="preserve"> and the district note in their briefing, the</w:t>
      </w:r>
      <w:r w:rsidR="004C7A1F">
        <w:t xml:space="preserve"> </w:t>
      </w:r>
      <w:r>
        <w:t xml:space="preserve">Elections Code provisions </w:t>
      </w:r>
      <w:r w:rsidR="004C7A1F">
        <w:t xml:space="preserve">cited by the county in its June 2021 letter </w:t>
      </w:r>
      <w:r>
        <w:t>pertain to cities</w:t>
      </w:r>
      <w:r w:rsidR="004C7A1F">
        <w:t xml:space="preserve">, </w:t>
      </w:r>
      <w:r>
        <w:t>counties</w:t>
      </w:r>
      <w:r w:rsidR="004C7A1F">
        <w:t xml:space="preserve">, and special districts with ordinance power.  </w:t>
      </w:r>
      <w:r>
        <w:t>(</w:t>
      </w:r>
      <w:r w:rsidR="004C7A1F">
        <w:t xml:space="preserve">See </w:t>
      </w:r>
      <w:r>
        <w:t>Elec. Code, §</w:t>
      </w:r>
      <w:r w:rsidR="004C7A1F">
        <w:t>§</w:t>
      </w:r>
      <w:r>
        <w:t> 1405</w:t>
      </w:r>
      <w:r w:rsidR="004C7A1F">
        <w:t>, 9300 et seq. [</w:t>
      </w:r>
      <w:r w:rsidR="00E2184C">
        <w:t xml:space="preserve">certain </w:t>
      </w:r>
      <w:r w:rsidR="004C7A1F">
        <w:t xml:space="preserve">districts excepted from procedures for enacting ordinance].)  </w:t>
      </w:r>
      <w:proofErr w:type="spellStart"/>
      <w:r w:rsidR="00D61637">
        <w:t>Loeber</w:t>
      </w:r>
      <w:proofErr w:type="spellEnd"/>
      <w:r w:rsidR="00D61637">
        <w:t xml:space="preserve"> and the district </w:t>
      </w:r>
      <w:r w:rsidR="00C5521B">
        <w:t xml:space="preserve">appear to agree that there is no </w:t>
      </w:r>
      <w:r w:rsidR="004C7A1F">
        <w:t xml:space="preserve">Elections Code </w:t>
      </w:r>
      <w:r w:rsidR="00D61637">
        <w:t xml:space="preserve">provision that explicitly addresses </w:t>
      </w:r>
      <w:r w:rsidR="004C7A1F">
        <w:t xml:space="preserve">school district initiatives. </w:t>
      </w:r>
    </w:p>
  </w:footnote>
  <w:footnote w:id="7">
    <w:p w14:paraId="221D05D8" w14:textId="77777777" w:rsidR="00041D60" w:rsidRDefault="00D23DB7" w:rsidP="00041D60">
      <w:pPr>
        <w:pStyle w:val="Subtitle"/>
      </w:pPr>
      <w:r w:rsidRPr="00C86EB7">
        <w:rPr>
          <w:rStyle w:val="FootnoteReference"/>
          <w:b/>
          <w:bCs/>
        </w:rPr>
        <w:footnoteRef/>
      </w:r>
      <w:r>
        <w:t xml:space="preserve"> Unless otherwise indicated, all dates were in 2022. </w:t>
      </w:r>
    </w:p>
  </w:footnote>
  <w:footnote w:id="8">
    <w:p w14:paraId="757B5499" w14:textId="4A83837F" w:rsidR="00B86668" w:rsidRDefault="00D23DB7" w:rsidP="00B86668">
      <w:pPr>
        <w:pStyle w:val="FootnoteText"/>
        <w:spacing w:line="240" w:lineRule="atLeast"/>
      </w:pPr>
      <w:r w:rsidRPr="00B86668">
        <w:rPr>
          <w:rStyle w:val="FootnoteReference"/>
          <w:b/>
          <w:bCs/>
        </w:rPr>
        <w:footnoteRef/>
      </w:r>
      <w:r>
        <w:t xml:space="preserve"> </w:t>
      </w:r>
      <w:r w:rsidR="00913D6E">
        <w:t>S</w:t>
      </w:r>
      <w:r>
        <w:t>ection 3 states, “</w:t>
      </w:r>
      <w:r w:rsidRPr="00B86668">
        <w:t xml:space="preserve">Notwithstanding any other provision of this Constitution, including, but not limited to, </w:t>
      </w:r>
      <w:r w:rsidR="00913D6E">
        <w:t>[s]</w:t>
      </w:r>
      <w:proofErr w:type="spellStart"/>
      <w:r w:rsidRPr="00B86668">
        <w:t>ections</w:t>
      </w:r>
      <w:proofErr w:type="spellEnd"/>
      <w:r w:rsidRPr="00B86668">
        <w:t xml:space="preserve"> 8 and 9 of </w:t>
      </w:r>
      <w:r w:rsidR="00913D6E">
        <w:t>[a]</w:t>
      </w:r>
      <w:proofErr w:type="spellStart"/>
      <w:r w:rsidRPr="00B86668">
        <w:t>rticle</w:t>
      </w:r>
      <w:proofErr w:type="spellEnd"/>
      <w:r w:rsidRPr="00B86668">
        <w:t xml:space="preserve"> II, the initiative power shall not be prohibited or otherwise limited in matters of reducing or repealing any local tax, assessment, </w:t>
      </w:r>
      <w:proofErr w:type="gramStart"/>
      <w:r w:rsidRPr="00B86668">
        <w:t>fee</w:t>
      </w:r>
      <w:proofErr w:type="gramEnd"/>
      <w:r w:rsidRPr="00B86668">
        <w:t xml:space="preserve"> or charge.</w:t>
      </w:r>
      <w:r>
        <w:t xml:space="preserve"> </w:t>
      </w:r>
      <w:r w:rsidRPr="00B86668">
        <w:t xml:space="preserve"> The power of initiative to affect local taxes, assessments, </w:t>
      </w:r>
      <w:proofErr w:type="gramStart"/>
      <w:r w:rsidRPr="00B86668">
        <w:t>fees</w:t>
      </w:r>
      <w:proofErr w:type="gramEnd"/>
      <w:r w:rsidRPr="00B86668">
        <w:t xml:space="preserve"> and charges shall be applicable to all local governments and neither the Legislature nor any local government charter shall impose a signature requirement higher than that applicable to statewide statutory initiatives.</w:t>
      </w:r>
      <w:r>
        <w:t>”</w:t>
      </w:r>
      <w:r w:rsidR="007F3CF8">
        <w:t xml:space="preserve">  We discuss this provision in more detail below.</w:t>
      </w:r>
    </w:p>
  </w:footnote>
  <w:footnote w:id="9">
    <w:p w14:paraId="4029CBF9" w14:textId="0503D424" w:rsidR="00E06C90" w:rsidRDefault="00D23DB7" w:rsidP="00D61637">
      <w:pPr>
        <w:pStyle w:val="FootnoteText"/>
        <w:spacing w:line="240" w:lineRule="atLeast"/>
      </w:pPr>
      <w:r w:rsidRPr="00D61637">
        <w:rPr>
          <w:rStyle w:val="FootnoteReference"/>
          <w:b/>
          <w:bCs/>
        </w:rPr>
        <w:footnoteRef/>
      </w:r>
      <w:r>
        <w:t xml:space="preserve"> The timing provisions of Elections Code section 140</w:t>
      </w:r>
      <w:r w:rsidR="003409DC">
        <w:t>5, which</w:t>
      </w:r>
      <w:r>
        <w:t xml:space="preserve"> require the election on a qualifying initiative to be held not less than 88 days after the date of the order of election </w:t>
      </w:r>
      <w:r w:rsidR="00126BA9">
        <w:t>(or, n</w:t>
      </w:r>
      <w:r w:rsidR="00126BA9" w:rsidRPr="00126BA9">
        <w:t>ot less than 88 days nor more than 103 days after the order of the election</w:t>
      </w:r>
      <w:r w:rsidR="00126BA9">
        <w:t xml:space="preserve"> on a special election)</w:t>
      </w:r>
      <w:r w:rsidR="003409DC">
        <w:t xml:space="preserve"> govern the relevant timelines.  However, the district cites no legal authority to suggest </w:t>
      </w:r>
      <w:r w:rsidR="004F7DC5">
        <w:t>that the party advocating for the initiative bears</w:t>
      </w:r>
      <w:r w:rsidR="003409DC">
        <w:t xml:space="preserve"> the burden of</w:t>
      </w:r>
      <w:r w:rsidR="006C1224">
        <w:t xml:space="preserve"> </w:t>
      </w:r>
      <w:r w:rsidR="00F70650">
        <w:t>ensur</w:t>
      </w:r>
      <w:r w:rsidR="004F7DC5">
        <w:t>ing</w:t>
      </w:r>
      <w:r w:rsidR="003409DC">
        <w:t xml:space="preserve"> a timely order of electio</w:t>
      </w:r>
      <w:r w:rsidR="00F70650">
        <w:t>n by the government agency</w:t>
      </w:r>
      <w:r>
        <w:t>.</w:t>
      </w:r>
    </w:p>
  </w:footnote>
  <w:footnote w:id="10">
    <w:p w14:paraId="24B5576F" w14:textId="2DA2CACA" w:rsidR="002301FA" w:rsidRDefault="00D23DB7" w:rsidP="00267261">
      <w:pPr>
        <w:pStyle w:val="FootnoteText"/>
        <w:spacing w:line="240" w:lineRule="atLeast"/>
      </w:pPr>
      <w:r w:rsidRPr="00267261">
        <w:rPr>
          <w:rStyle w:val="FootnoteReference"/>
          <w:b/>
          <w:bCs/>
        </w:rPr>
        <w:footnoteRef/>
      </w:r>
      <w:r w:rsidRPr="00267261">
        <w:rPr>
          <w:b/>
          <w:bCs/>
        </w:rPr>
        <w:t xml:space="preserve"> </w:t>
      </w:r>
      <w:r>
        <w:t xml:space="preserve">We further acknowledge </w:t>
      </w:r>
      <w:r w:rsidR="00DF4370">
        <w:t xml:space="preserve">the filing in this court </w:t>
      </w:r>
      <w:r w:rsidR="00267261">
        <w:t xml:space="preserve">on January 8, 2024, </w:t>
      </w:r>
      <w:r w:rsidR="00DF4370">
        <w:t xml:space="preserve">of a </w:t>
      </w:r>
      <w:r w:rsidR="00267261">
        <w:t>“</w:t>
      </w:r>
      <w:r w:rsidR="00D2570F">
        <w:t>j</w:t>
      </w:r>
      <w:r w:rsidR="00DF4370">
        <w:t xml:space="preserve">oint </w:t>
      </w:r>
      <w:r w:rsidR="00D2570F">
        <w:t>m</w:t>
      </w:r>
      <w:r w:rsidR="00267261">
        <w:t xml:space="preserve">otion in </w:t>
      </w:r>
      <w:r w:rsidR="00D2570F">
        <w:t>i</w:t>
      </w:r>
      <w:r w:rsidR="00267261">
        <w:t xml:space="preserve">ntervention </w:t>
      </w:r>
      <w:r w:rsidR="00A34ED3">
        <w:t>j</w:t>
      </w:r>
      <w:r w:rsidR="00267261">
        <w:t xml:space="preserve">oint </w:t>
      </w:r>
      <w:r w:rsidR="00A34ED3">
        <w:t>p</w:t>
      </w:r>
      <w:r w:rsidR="00267261">
        <w:t xml:space="preserve">etition for </w:t>
      </w:r>
      <w:r w:rsidR="00A34ED3">
        <w:t>w</w:t>
      </w:r>
      <w:r w:rsidR="00267261">
        <w:t xml:space="preserve">rit of </w:t>
      </w:r>
      <w:r w:rsidR="00A34ED3">
        <w:t>m</w:t>
      </w:r>
      <w:r w:rsidR="00267261">
        <w:t xml:space="preserve">andate and </w:t>
      </w:r>
      <w:r w:rsidR="00A34ED3">
        <w:t>r</w:t>
      </w:r>
      <w:r w:rsidR="00267261">
        <w:t xml:space="preserve">equest for </w:t>
      </w:r>
      <w:r w:rsidR="00A34ED3">
        <w:t>d</w:t>
      </w:r>
      <w:r w:rsidR="00267261">
        <w:t xml:space="preserve">eclaratory </w:t>
      </w:r>
      <w:r w:rsidR="00A34ED3">
        <w:t>r</w:t>
      </w:r>
      <w:r w:rsidR="00267261">
        <w:t xml:space="preserve">elief” </w:t>
      </w:r>
      <w:r w:rsidR="00A34ED3">
        <w:t xml:space="preserve">(capitalization omitted) </w:t>
      </w:r>
      <w:r w:rsidR="00267261">
        <w:t>with accompanying declarations of initiative proponent William Bull and district residents and initiative signers John L. Miller and Steve Scott</w:t>
      </w:r>
      <w:r w:rsidR="00E63F6F">
        <w:t>.  T</w:t>
      </w:r>
      <w:r w:rsidR="00267261">
        <w:t xml:space="preserve">his court denied </w:t>
      </w:r>
      <w:r w:rsidR="00E63F6F">
        <w:t>the “joint motion” because</w:t>
      </w:r>
      <w:r w:rsidR="00267261">
        <w:t xml:space="preserve"> the relief sought </w:t>
      </w:r>
      <w:r w:rsidR="00E63F6F">
        <w:t>wa</w:t>
      </w:r>
      <w:r w:rsidR="00A44476">
        <w:t xml:space="preserve">s not cognizable in this court. </w:t>
      </w:r>
      <w:r w:rsidR="00267261">
        <w:t xml:space="preserve"> </w:t>
      </w:r>
    </w:p>
  </w:footnote>
  <w:footnote w:id="11">
    <w:p w14:paraId="4A936E59" w14:textId="482D4C19" w:rsidR="00F3367D" w:rsidRDefault="00D23DB7" w:rsidP="00F3367D">
      <w:pPr>
        <w:pStyle w:val="FootnoteText"/>
        <w:spacing w:line="240" w:lineRule="atLeast"/>
      </w:pPr>
      <w:r w:rsidRPr="00F3367D">
        <w:rPr>
          <w:rStyle w:val="FootnoteReference"/>
          <w:b/>
          <w:bCs/>
        </w:rPr>
        <w:footnoteRef/>
      </w:r>
      <w:r w:rsidRPr="00F3367D">
        <w:rPr>
          <w:b/>
          <w:bCs/>
        </w:rPr>
        <w:t xml:space="preserve"> </w:t>
      </w:r>
      <w:r>
        <w:t xml:space="preserve">Having concluded that the public interest exception applies, we need not address </w:t>
      </w:r>
      <w:proofErr w:type="spellStart"/>
      <w:r>
        <w:t>Loeber’s</w:t>
      </w:r>
      <w:proofErr w:type="spellEnd"/>
      <w:r>
        <w:t xml:space="preserve"> alternative request to treat the appeal as an original petition for writ of mandate and, if necessary, allow him to file a joint petition with one of the sign</w:t>
      </w:r>
      <w:r w:rsidR="00DF7E37">
        <w:t>e</w:t>
      </w:r>
      <w:r>
        <w:t xml:space="preserve">rs of the initiative petition. </w:t>
      </w:r>
      <w:r w:rsidR="00DF7E37">
        <w:t xml:space="preserve"> </w:t>
      </w:r>
    </w:p>
  </w:footnote>
  <w:footnote w:id="12">
    <w:p w14:paraId="2F806BF7" w14:textId="3721C558" w:rsidR="00F6190C" w:rsidRPr="006B48B0" w:rsidRDefault="00D23DB7" w:rsidP="00D57209">
      <w:pPr>
        <w:pStyle w:val="FootnoteText"/>
        <w:spacing w:line="240" w:lineRule="atLeast"/>
      </w:pPr>
      <w:r w:rsidRPr="00D57209">
        <w:rPr>
          <w:rStyle w:val="FootnoteReference"/>
          <w:b/>
          <w:bCs/>
        </w:rPr>
        <w:footnoteRef/>
      </w:r>
      <w:r w:rsidRPr="00D57209">
        <w:rPr>
          <w:b/>
          <w:bCs/>
        </w:rPr>
        <w:t xml:space="preserve"> </w:t>
      </w:r>
      <w:r w:rsidRPr="00D57209">
        <w:t>Under Elections Code</w:t>
      </w:r>
      <w:r>
        <w:rPr>
          <w:b/>
          <w:bCs/>
        </w:rPr>
        <w:t xml:space="preserve"> </w:t>
      </w:r>
      <w:r w:rsidR="006B48B0" w:rsidRPr="00D57209">
        <w:t>section</w:t>
      </w:r>
      <w:r w:rsidR="006B48B0">
        <w:t xml:space="preserve"> 9105, prior to circulating the petition for an initiative measure, the proponents of the proposed measure must “</w:t>
      </w:r>
      <w:r w:rsidR="006B48B0" w:rsidRPr="006B48B0">
        <w:t>publish the Notice of Intention, and the ballot title and summary of the proposed measure in a newspaper of general circulation published in that county, and file proof of publication with the county elections official.</w:t>
      </w:r>
      <w:r w:rsidR="006B48B0">
        <w:t>”  (Elec. Code, § 9105, subd. (b).)</w:t>
      </w:r>
    </w:p>
  </w:footnote>
  <w:footnote w:id="13">
    <w:p w14:paraId="329489D3" w14:textId="01692C81" w:rsidR="00280E5E" w:rsidRDefault="00D23DB7" w:rsidP="00253E63">
      <w:pPr>
        <w:pStyle w:val="Subtitle"/>
      </w:pPr>
      <w:r w:rsidRPr="00253E63">
        <w:rPr>
          <w:rStyle w:val="FootnoteReference"/>
          <w:b/>
          <w:bCs/>
        </w:rPr>
        <w:footnoteRef/>
      </w:r>
      <w:r>
        <w:t xml:space="preserve"> At oral argument</w:t>
      </w:r>
      <w:r w:rsidR="001B5282">
        <w:t xml:space="preserve"> before this court</w:t>
      </w:r>
      <w:r>
        <w:t xml:space="preserve">, </w:t>
      </w:r>
      <w:proofErr w:type="spellStart"/>
      <w:r w:rsidRPr="00B76D4D">
        <w:t>Loeber</w:t>
      </w:r>
      <w:proofErr w:type="spellEnd"/>
      <w:r w:rsidRPr="00B76D4D">
        <w:t xml:space="preserve"> </w:t>
      </w:r>
      <w:r>
        <w:t>stated that</w:t>
      </w:r>
      <w:r w:rsidRPr="00B76D4D">
        <w:t xml:space="preserve"> the initiative does not merely </w:t>
      </w:r>
      <w:r>
        <w:t>“</w:t>
      </w:r>
      <w:r w:rsidRPr="00B76D4D">
        <w:t>expand</w:t>
      </w:r>
      <w:r>
        <w:t>”</w:t>
      </w:r>
      <w:r w:rsidRPr="00B76D4D">
        <w:t xml:space="preserve"> the </w:t>
      </w:r>
      <w:r>
        <w:t xml:space="preserve">existing </w:t>
      </w:r>
      <w:r w:rsidRPr="00B76D4D">
        <w:t xml:space="preserve">parcel tax exemption but “sets a new exemption” that is not tied to the current </w:t>
      </w:r>
      <w:r>
        <w:t xml:space="preserve">parcel tax </w:t>
      </w:r>
      <w:r w:rsidRPr="00B76D4D">
        <w:t xml:space="preserve">exemption under Measure A and thus would not end when the current parcel tax expires. </w:t>
      </w:r>
    </w:p>
  </w:footnote>
  <w:footnote w:id="14">
    <w:p w14:paraId="4803F044" w14:textId="5957F656" w:rsidR="00920862" w:rsidRDefault="00D23DB7" w:rsidP="00920862">
      <w:pPr>
        <w:pStyle w:val="FootnoteText"/>
        <w:spacing w:line="240" w:lineRule="atLeast"/>
      </w:pPr>
      <w:r w:rsidRPr="00920862">
        <w:rPr>
          <w:rStyle w:val="FootnoteReference"/>
          <w:b/>
          <w:bCs/>
        </w:rPr>
        <w:footnoteRef/>
      </w:r>
      <w:r w:rsidRPr="00920862">
        <w:rPr>
          <w:b/>
          <w:bCs/>
        </w:rPr>
        <w:t xml:space="preserve"> </w:t>
      </w:r>
      <w:r>
        <w:t xml:space="preserve">Having determined that the initiative was not a valid exercise of the initiative power on matters of local tax reduction or repeal under section 3, we need not </w:t>
      </w:r>
      <w:r w:rsidR="00191796">
        <w:t xml:space="preserve">resolve the scope of the initiative power (if any) to school districts.  We also need not </w:t>
      </w:r>
      <w:r>
        <w:t xml:space="preserve">address </w:t>
      </w:r>
      <w:proofErr w:type="spellStart"/>
      <w:r>
        <w:t>Loeber’s</w:t>
      </w:r>
      <w:proofErr w:type="spellEnd"/>
      <w:r>
        <w:t xml:space="preserve"> remaining arguments concerning the applicable procedural statutes governing placement of the initiative on the ballot</w:t>
      </w:r>
      <w:r w:rsidR="00C43032">
        <w:t xml:space="preserve"> or the relevance of </w:t>
      </w:r>
      <w:r w:rsidR="0017590C">
        <w:t xml:space="preserve">Government Code section 50079’s </w:t>
      </w:r>
      <w:r w:rsidR="00C43032">
        <w:t xml:space="preserve">statutory requirements </w:t>
      </w:r>
      <w:r w:rsidR="00862DCC">
        <w:t xml:space="preserve">for </w:t>
      </w:r>
      <w:r w:rsidR="0017590C">
        <w:t>school district</w:t>
      </w:r>
      <w:r w:rsidR="00C43032">
        <w:t xml:space="preserve"> </w:t>
      </w:r>
      <w:r w:rsidR="002D5EE6">
        <w:t xml:space="preserve">special </w:t>
      </w:r>
      <w:r w:rsidR="00C43032">
        <w:t>taxes</w:t>
      </w:r>
      <w:r>
        <w:t xml:space="preserve">. </w:t>
      </w:r>
      <w:r w:rsidR="00DD6363">
        <w:t xml:space="preserve"> </w:t>
      </w:r>
      <w:r w:rsidR="00DD6363">
        <w:rPr>
          <w:rFonts w:eastAsia="Times New Roman"/>
        </w:rPr>
        <w:t xml:space="preserve">We have considered all other arguments raised by </w:t>
      </w:r>
      <w:proofErr w:type="spellStart"/>
      <w:r w:rsidR="00DD6363">
        <w:rPr>
          <w:rFonts w:eastAsia="Times New Roman"/>
        </w:rPr>
        <w:t>Loeber</w:t>
      </w:r>
      <w:proofErr w:type="spellEnd"/>
      <w:r w:rsidR="00DD6363">
        <w:rPr>
          <w:rFonts w:eastAsia="Times New Roman"/>
        </w:rPr>
        <w:t xml:space="preserve"> and, to the extent that they were properly raised, we reject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FAFE" w14:textId="77777777" w:rsidR="002C7AA8" w:rsidRDefault="002C7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0755" w14:textId="77777777" w:rsidR="002C7AA8" w:rsidRDefault="002C7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55F6" w14:textId="77777777" w:rsidR="002C7AA8" w:rsidRDefault="002C7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E3F1" w14:textId="5D5F19AE" w:rsidR="00CA2E31" w:rsidRDefault="00CA2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0348" w14:textId="2702919E" w:rsidR="00CA2E31" w:rsidRDefault="00CA2E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4023" w14:textId="5B716F62" w:rsidR="00CA2E31" w:rsidRDefault="00CA2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61BC"/>
    <w:multiLevelType w:val="hybridMultilevel"/>
    <w:tmpl w:val="36A0E528"/>
    <w:lvl w:ilvl="0" w:tplc="3640C402">
      <w:start w:val="1"/>
      <w:numFmt w:val="upperLetter"/>
      <w:lvlText w:val="%1."/>
      <w:lvlJc w:val="left"/>
      <w:pPr>
        <w:ind w:left="1080" w:hanging="360"/>
      </w:pPr>
      <w:rPr>
        <w:rFonts w:hint="default"/>
      </w:rPr>
    </w:lvl>
    <w:lvl w:ilvl="1" w:tplc="2A9C0BAC" w:tentative="1">
      <w:start w:val="1"/>
      <w:numFmt w:val="lowerLetter"/>
      <w:lvlText w:val="%2."/>
      <w:lvlJc w:val="left"/>
      <w:pPr>
        <w:ind w:left="1800" w:hanging="360"/>
      </w:pPr>
    </w:lvl>
    <w:lvl w:ilvl="2" w:tplc="02AA976E" w:tentative="1">
      <w:start w:val="1"/>
      <w:numFmt w:val="lowerRoman"/>
      <w:lvlText w:val="%3."/>
      <w:lvlJc w:val="right"/>
      <w:pPr>
        <w:ind w:left="2520" w:hanging="180"/>
      </w:pPr>
    </w:lvl>
    <w:lvl w:ilvl="3" w:tplc="FD228CB0" w:tentative="1">
      <w:start w:val="1"/>
      <w:numFmt w:val="decimal"/>
      <w:lvlText w:val="%4."/>
      <w:lvlJc w:val="left"/>
      <w:pPr>
        <w:ind w:left="3240" w:hanging="360"/>
      </w:pPr>
    </w:lvl>
    <w:lvl w:ilvl="4" w:tplc="A8B0F638" w:tentative="1">
      <w:start w:val="1"/>
      <w:numFmt w:val="lowerLetter"/>
      <w:lvlText w:val="%5."/>
      <w:lvlJc w:val="left"/>
      <w:pPr>
        <w:ind w:left="3960" w:hanging="360"/>
      </w:pPr>
    </w:lvl>
    <w:lvl w:ilvl="5" w:tplc="81E83DE8" w:tentative="1">
      <w:start w:val="1"/>
      <w:numFmt w:val="lowerRoman"/>
      <w:lvlText w:val="%6."/>
      <w:lvlJc w:val="right"/>
      <w:pPr>
        <w:ind w:left="4680" w:hanging="180"/>
      </w:pPr>
    </w:lvl>
    <w:lvl w:ilvl="6" w:tplc="56B85178" w:tentative="1">
      <w:start w:val="1"/>
      <w:numFmt w:val="decimal"/>
      <w:lvlText w:val="%7."/>
      <w:lvlJc w:val="left"/>
      <w:pPr>
        <w:ind w:left="5400" w:hanging="360"/>
      </w:pPr>
    </w:lvl>
    <w:lvl w:ilvl="7" w:tplc="DBC4950C" w:tentative="1">
      <w:start w:val="1"/>
      <w:numFmt w:val="lowerLetter"/>
      <w:lvlText w:val="%8."/>
      <w:lvlJc w:val="left"/>
      <w:pPr>
        <w:ind w:left="6120" w:hanging="360"/>
      </w:pPr>
    </w:lvl>
    <w:lvl w:ilvl="8" w:tplc="778E0F9A" w:tentative="1">
      <w:start w:val="1"/>
      <w:numFmt w:val="lowerRoman"/>
      <w:lvlText w:val="%9."/>
      <w:lvlJc w:val="right"/>
      <w:pPr>
        <w:ind w:left="6840" w:hanging="180"/>
      </w:pPr>
    </w:lvl>
  </w:abstractNum>
  <w:abstractNum w:abstractNumId="1" w15:restartNumberingAfterBreak="0">
    <w:nsid w:val="3B607F89"/>
    <w:multiLevelType w:val="hybridMultilevel"/>
    <w:tmpl w:val="7B20FEA0"/>
    <w:lvl w:ilvl="0" w:tplc="0EC63A30">
      <w:start w:val="1"/>
      <w:numFmt w:val="decimal"/>
      <w:pStyle w:val="Heading3"/>
      <w:lvlText w:val="%1."/>
      <w:lvlJc w:val="left"/>
      <w:pPr>
        <w:ind w:left="1800" w:hanging="360"/>
      </w:pPr>
    </w:lvl>
    <w:lvl w:ilvl="1" w:tplc="9690BA12" w:tentative="1">
      <w:start w:val="1"/>
      <w:numFmt w:val="lowerLetter"/>
      <w:lvlText w:val="%2."/>
      <w:lvlJc w:val="left"/>
      <w:pPr>
        <w:ind w:left="2520" w:hanging="360"/>
      </w:pPr>
    </w:lvl>
    <w:lvl w:ilvl="2" w:tplc="BC7ECB8E" w:tentative="1">
      <w:start w:val="1"/>
      <w:numFmt w:val="lowerRoman"/>
      <w:lvlText w:val="%3."/>
      <w:lvlJc w:val="right"/>
      <w:pPr>
        <w:ind w:left="3240" w:hanging="180"/>
      </w:pPr>
    </w:lvl>
    <w:lvl w:ilvl="3" w:tplc="AF1083C2" w:tentative="1">
      <w:start w:val="1"/>
      <w:numFmt w:val="decimal"/>
      <w:lvlText w:val="%4."/>
      <w:lvlJc w:val="left"/>
      <w:pPr>
        <w:ind w:left="3960" w:hanging="360"/>
      </w:pPr>
    </w:lvl>
    <w:lvl w:ilvl="4" w:tplc="533E03D2" w:tentative="1">
      <w:start w:val="1"/>
      <w:numFmt w:val="lowerLetter"/>
      <w:lvlText w:val="%5."/>
      <w:lvlJc w:val="left"/>
      <w:pPr>
        <w:ind w:left="4680" w:hanging="360"/>
      </w:pPr>
    </w:lvl>
    <w:lvl w:ilvl="5" w:tplc="DCA64510" w:tentative="1">
      <w:start w:val="1"/>
      <w:numFmt w:val="lowerRoman"/>
      <w:lvlText w:val="%6."/>
      <w:lvlJc w:val="right"/>
      <w:pPr>
        <w:ind w:left="5400" w:hanging="180"/>
      </w:pPr>
    </w:lvl>
    <w:lvl w:ilvl="6" w:tplc="E2A2FAD8" w:tentative="1">
      <w:start w:val="1"/>
      <w:numFmt w:val="decimal"/>
      <w:lvlText w:val="%7."/>
      <w:lvlJc w:val="left"/>
      <w:pPr>
        <w:ind w:left="6120" w:hanging="360"/>
      </w:pPr>
    </w:lvl>
    <w:lvl w:ilvl="7" w:tplc="E6D4D7DC" w:tentative="1">
      <w:start w:val="1"/>
      <w:numFmt w:val="lowerLetter"/>
      <w:lvlText w:val="%8."/>
      <w:lvlJc w:val="left"/>
      <w:pPr>
        <w:ind w:left="6840" w:hanging="360"/>
      </w:pPr>
    </w:lvl>
    <w:lvl w:ilvl="8" w:tplc="A34ABF7E" w:tentative="1">
      <w:start w:val="1"/>
      <w:numFmt w:val="lowerRoman"/>
      <w:lvlText w:val="%9."/>
      <w:lvlJc w:val="right"/>
      <w:pPr>
        <w:ind w:left="7560" w:hanging="180"/>
      </w:pPr>
    </w:lvl>
  </w:abstractNum>
  <w:num w:numId="1" w16cid:durableId="598682391">
    <w:abstractNumId w:val="1"/>
  </w:num>
  <w:num w:numId="2" w16cid:durableId="1887596939">
    <w:abstractNumId w:val="0"/>
  </w:num>
  <w:num w:numId="3" w16cid:durableId="60904634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77"/>
    <w:rsid w:val="00000792"/>
    <w:rsid w:val="00000A40"/>
    <w:rsid w:val="00002184"/>
    <w:rsid w:val="00003818"/>
    <w:rsid w:val="00003A68"/>
    <w:rsid w:val="00004114"/>
    <w:rsid w:val="0000434F"/>
    <w:rsid w:val="0000437D"/>
    <w:rsid w:val="00004477"/>
    <w:rsid w:val="00004EEE"/>
    <w:rsid w:val="00005C2D"/>
    <w:rsid w:val="000060F3"/>
    <w:rsid w:val="00006199"/>
    <w:rsid w:val="0000676B"/>
    <w:rsid w:val="0000716F"/>
    <w:rsid w:val="00007275"/>
    <w:rsid w:val="000079B4"/>
    <w:rsid w:val="00012A27"/>
    <w:rsid w:val="00013179"/>
    <w:rsid w:val="00013306"/>
    <w:rsid w:val="00013837"/>
    <w:rsid w:val="000138F1"/>
    <w:rsid w:val="00016698"/>
    <w:rsid w:val="00020142"/>
    <w:rsid w:val="00022013"/>
    <w:rsid w:val="000222DA"/>
    <w:rsid w:val="00023DE8"/>
    <w:rsid w:val="00023F66"/>
    <w:rsid w:val="00024C37"/>
    <w:rsid w:val="00024C8A"/>
    <w:rsid w:val="00025143"/>
    <w:rsid w:val="00025418"/>
    <w:rsid w:val="000257FD"/>
    <w:rsid w:val="00030C03"/>
    <w:rsid w:val="00031782"/>
    <w:rsid w:val="0003242F"/>
    <w:rsid w:val="00032438"/>
    <w:rsid w:val="00033B7A"/>
    <w:rsid w:val="00034088"/>
    <w:rsid w:val="000341FF"/>
    <w:rsid w:val="0003547C"/>
    <w:rsid w:val="00035E72"/>
    <w:rsid w:val="00037525"/>
    <w:rsid w:val="0004055C"/>
    <w:rsid w:val="00041D60"/>
    <w:rsid w:val="000424B3"/>
    <w:rsid w:val="00042F3A"/>
    <w:rsid w:val="000446DB"/>
    <w:rsid w:val="0004786D"/>
    <w:rsid w:val="000479B1"/>
    <w:rsid w:val="000509CB"/>
    <w:rsid w:val="00053184"/>
    <w:rsid w:val="000536CD"/>
    <w:rsid w:val="00053D44"/>
    <w:rsid w:val="00054358"/>
    <w:rsid w:val="000549D3"/>
    <w:rsid w:val="00054DDE"/>
    <w:rsid w:val="00055137"/>
    <w:rsid w:val="000557BC"/>
    <w:rsid w:val="0005619D"/>
    <w:rsid w:val="00056858"/>
    <w:rsid w:val="000576A2"/>
    <w:rsid w:val="0006058D"/>
    <w:rsid w:val="00060ECF"/>
    <w:rsid w:val="000615B7"/>
    <w:rsid w:val="0006249E"/>
    <w:rsid w:val="00063557"/>
    <w:rsid w:val="00063F62"/>
    <w:rsid w:val="00066C80"/>
    <w:rsid w:val="000673C7"/>
    <w:rsid w:val="00072F7C"/>
    <w:rsid w:val="000730FE"/>
    <w:rsid w:val="00073B7D"/>
    <w:rsid w:val="00074861"/>
    <w:rsid w:val="000760A1"/>
    <w:rsid w:val="0007638B"/>
    <w:rsid w:val="0007687B"/>
    <w:rsid w:val="0007779C"/>
    <w:rsid w:val="00082375"/>
    <w:rsid w:val="0008387C"/>
    <w:rsid w:val="0008474E"/>
    <w:rsid w:val="00084CFB"/>
    <w:rsid w:val="00084D3D"/>
    <w:rsid w:val="00086750"/>
    <w:rsid w:val="00091473"/>
    <w:rsid w:val="000926CF"/>
    <w:rsid w:val="00092FFF"/>
    <w:rsid w:val="00093C6B"/>
    <w:rsid w:val="000956AA"/>
    <w:rsid w:val="0009595C"/>
    <w:rsid w:val="000966CC"/>
    <w:rsid w:val="00096E51"/>
    <w:rsid w:val="00097B91"/>
    <w:rsid w:val="000A0B7A"/>
    <w:rsid w:val="000A20DC"/>
    <w:rsid w:val="000A289B"/>
    <w:rsid w:val="000A2A3F"/>
    <w:rsid w:val="000A6DD7"/>
    <w:rsid w:val="000B101F"/>
    <w:rsid w:val="000B130E"/>
    <w:rsid w:val="000B2239"/>
    <w:rsid w:val="000B27F8"/>
    <w:rsid w:val="000B2BB2"/>
    <w:rsid w:val="000B300A"/>
    <w:rsid w:val="000B404A"/>
    <w:rsid w:val="000B454C"/>
    <w:rsid w:val="000B4EC3"/>
    <w:rsid w:val="000B4EDE"/>
    <w:rsid w:val="000B537B"/>
    <w:rsid w:val="000B60F2"/>
    <w:rsid w:val="000B6BCF"/>
    <w:rsid w:val="000B7C2B"/>
    <w:rsid w:val="000C0A60"/>
    <w:rsid w:val="000C10C2"/>
    <w:rsid w:val="000C32C7"/>
    <w:rsid w:val="000C5F89"/>
    <w:rsid w:val="000C645C"/>
    <w:rsid w:val="000C6A82"/>
    <w:rsid w:val="000C6D58"/>
    <w:rsid w:val="000D06F9"/>
    <w:rsid w:val="000D0921"/>
    <w:rsid w:val="000D1F44"/>
    <w:rsid w:val="000D402B"/>
    <w:rsid w:val="000D4BAE"/>
    <w:rsid w:val="000D4E4B"/>
    <w:rsid w:val="000D7218"/>
    <w:rsid w:val="000D73CE"/>
    <w:rsid w:val="000E0017"/>
    <w:rsid w:val="000E035E"/>
    <w:rsid w:val="000E2032"/>
    <w:rsid w:val="000E286F"/>
    <w:rsid w:val="000E38FF"/>
    <w:rsid w:val="000E444A"/>
    <w:rsid w:val="000E4946"/>
    <w:rsid w:val="000E5AF2"/>
    <w:rsid w:val="000E66E8"/>
    <w:rsid w:val="000E6EC2"/>
    <w:rsid w:val="000E78AB"/>
    <w:rsid w:val="000F1A8F"/>
    <w:rsid w:val="000F1FC3"/>
    <w:rsid w:val="000F22E8"/>
    <w:rsid w:val="000F3BDF"/>
    <w:rsid w:val="000F49CA"/>
    <w:rsid w:val="000F5F8E"/>
    <w:rsid w:val="000F6057"/>
    <w:rsid w:val="00101736"/>
    <w:rsid w:val="00102D52"/>
    <w:rsid w:val="00104489"/>
    <w:rsid w:val="00104D4C"/>
    <w:rsid w:val="0010597B"/>
    <w:rsid w:val="00105F81"/>
    <w:rsid w:val="00110ABF"/>
    <w:rsid w:val="00111105"/>
    <w:rsid w:val="001119C4"/>
    <w:rsid w:val="00112381"/>
    <w:rsid w:val="00112B9D"/>
    <w:rsid w:val="00112D89"/>
    <w:rsid w:val="0011362D"/>
    <w:rsid w:val="0011697D"/>
    <w:rsid w:val="001178D6"/>
    <w:rsid w:val="00120D4C"/>
    <w:rsid w:val="00121282"/>
    <w:rsid w:val="00123C03"/>
    <w:rsid w:val="00123DE2"/>
    <w:rsid w:val="00125A01"/>
    <w:rsid w:val="00126BA9"/>
    <w:rsid w:val="0012706F"/>
    <w:rsid w:val="00127BA1"/>
    <w:rsid w:val="00127C5C"/>
    <w:rsid w:val="00130D09"/>
    <w:rsid w:val="001310DC"/>
    <w:rsid w:val="00131849"/>
    <w:rsid w:val="00131FC0"/>
    <w:rsid w:val="0013214B"/>
    <w:rsid w:val="00134125"/>
    <w:rsid w:val="00134409"/>
    <w:rsid w:val="00135A15"/>
    <w:rsid w:val="001366F2"/>
    <w:rsid w:val="00137987"/>
    <w:rsid w:val="00142291"/>
    <w:rsid w:val="001428CD"/>
    <w:rsid w:val="00142C44"/>
    <w:rsid w:val="00142CE3"/>
    <w:rsid w:val="00142FD9"/>
    <w:rsid w:val="0014496C"/>
    <w:rsid w:val="00147F9A"/>
    <w:rsid w:val="00150C6E"/>
    <w:rsid w:val="001515B5"/>
    <w:rsid w:val="00152778"/>
    <w:rsid w:val="00152D8C"/>
    <w:rsid w:val="00154FCF"/>
    <w:rsid w:val="0015566E"/>
    <w:rsid w:val="001600A9"/>
    <w:rsid w:val="0016044A"/>
    <w:rsid w:val="001607FE"/>
    <w:rsid w:val="00161AC4"/>
    <w:rsid w:val="0016299B"/>
    <w:rsid w:val="0016357A"/>
    <w:rsid w:val="00165F5B"/>
    <w:rsid w:val="001673EB"/>
    <w:rsid w:val="00167F4A"/>
    <w:rsid w:val="0017106E"/>
    <w:rsid w:val="0017115A"/>
    <w:rsid w:val="0017166F"/>
    <w:rsid w:val="001718B6"/>
    <w:rsid w:val="00171BE7"/>
    <w:rsid w:val="001721C3"/>
    <w:rsid w:val="00172971"/>
    <w:rsid w:val="00172E86"/>
    <w:rsid w:val="0017590C"/>
    <w:rsid w:val="00175B54"/>
    <w:rsid w:val="001766AD"/>
    <w:rsid w:val="0017775A"/>
    <w:rsid w:val="0018017C"/>
    <w:rsid w:val="00181059"/>
    <w:rsid w:val="0018459D"/>
    <w:rsid w:val="00185810"/>
    <w:rsid w:val="0018616D"/>
    <w:rsid w:val="001862EC"/>
    <w:rsid w:val="00186888"/>
    <w:rsid w:val="00186CC3"/>
    <w:rsid w:val="00187F91"/>
    <w:rsid w:val="001900B6"/>
    <w:rsid w:val="00190D56"/>
    <w:rsid w:val="00190D66"/>
    <w:rsid w:val="00191796"/>
    <w:rsid w:val="00191893"/>
    <w:rsid w:val="001919C9"/>
    <w:rsid w:val="00193591"/>
    <w:rsid w:val="00194E9F"/>
    <w:rsid w:val="00194FDD"/>
    <w:rsid w:val="001952F8"/>
    <w:rsid w:val="00195420"/>
    <w:rsid w:val="00195AB3"/>
    <w:rsid w:val="00196F35"/>
    <w:rsid w:val="0019761A"/>
    <w:rsid w:val="001A045B"/>
    <w:rsid w:val="001A1C2D"/>
    <w:rsid w:val="001A5814"/>
    <w:rsid w:val="001B1D0B"/>
    <w:rsid w:val="001B462B"/>
    <w:rsid w:val="001B4D88"/>
    <w:rsid w:val="001B50DE"/>
    <w:rsid w:val="001B5282"/>
    <w:rsid w:val="001B5D11"/>
    <w:rsid w:val="001B64B5"/>
    <w:rsid w:val="001B7D77"/>
    <w:rsid w:val="001C01EB"/>
    <w:rsid w:val="001C0885"/>
    <w:rsid w:val="001C1BCB"/>
    <w:rsid w:val="001C240D"/>
    <w:rsid w:val="001C2D11"/>
    <w:rsid w:val="001C45D0"/>
    <w:rsid w:val="001C598D"/>
    <w:rsid w:val="001C6354"/>
    <w:rsid w:val="001C655A"/>
    <w:rsid w:val="001D0C93"/>
    <w:rsid w:val="001D15B9"/>
    <w:rsid w:val="001D67B5"/>
    <w:rsid w:val="001D7FBF"/>
    <w:rsid w:val="001E02CA"/>
    <w:rsid w:val="001E15BB"/>
    <w:rsid w:val="001E179A"/>
    <w:rsid w:val="001E1A2E"/>
    <w:rsid w:val="001E1CC7"/>
    <w:rsid w:val="001E24CA"/>
    <w:rsid w:val="001E27EC"/>
    <w:rsid w:val="001E2EA0"/>
    <w:rsid w:val="001E34E0"/>
    <w:rsid w:val="001E3904"/>
    <w:rsid w:val="001E47A5"/>
    <w:rsid w:val="001E49A7"/>
    <w:rsid w:val="001E5ED6"/>
    <w:rsid w:val="001F147D"/>
    <w:rsid w:val="001F2047"/>
    <w:rsid w:val="001F349C"/>
    <w:rsid w:val="001F3699"/>
    <w:rsid w:val="001F3E13"/>
    <w:rsid w:val="001F416A"/>
    <w:rsid w:val="001F5136"/>
    <w:rsid w:val="001F51CF"/>
    <w:rsid w:val="001F789A"/>
    <w:rsid w:val="00200BC3"/>
    <w:rsid w:val="002017FA"/>
    <w:rsid w:val="002027C6"/>
    <w:rsid w:val="00204419"/>
    <w:rsid w:val="00204F86"/>
    <w:rsid w:val="002052EC"/>
    <w:rsid w:val="00206BB6"/>
    <w:rsid w:val="00206DA7"/>
    <w:rsid w:val="0020736C"/>
    <w:rsid w:val="00207AF6"/>
    <w:rsid w:val="00207D8C"/>
    <w:rsid w:val="00207F44"/>
    <w:rsid w:val="00207FD6"/>
    <w:rsid w:val="002110BA"/>
    <w:rsid w:val="00211DCE"/>
    <w:rsid w:val="00212864"/>
    <w:rsid w:val="00213589"/>
    <w:rsid w:val="00214275"/>
    <w:rsid w:val="00214C5C"/>
    <w:rsid w:val="00217284"/>
    <w:rsid w:val="00221FF8"/>
    <w:rsid w:val="00222179"/>
    <w:rsid w:val="00222995"/>
    <w:rsid w:val="0022302A"/>
    <w:rsid w:val="00223141"/>
    <w:rsid w:val="00224783"/>
    <w:rsid w:val="002249B8"/>
    <w:rsid w:val="002301FA"/>
    <w:rsid w:val="00232D7E"/>
    <w:rsid w:val="00232EF3"/>
    <w:rsid w:val="00233442"/>
    <w:rsid w:val="002338B9"/>
    <w:rsid w:val="002345BC"/>
    <w:rsid w:val="00234B41"/>
    <w:rsid w:val="00235C54"/>
    <w:rsid w:val="002379C1"/>
    <w:rsid w:val="00237A80"/>
    <w:rsid w:val="00240BB4"/>
    <w:rsid w:val="00240BCC"/>
    <w:rsid w:val="002410E9"/>
    <w:rsid w:val="00242910"/>
    <w:rsid w:val="002458D7"/>
    <w:rsid w:val="0024618C"/>
    <w:rsid w:val="002461E1"/>
    <w:rsid w:val="0024662B"/>
    <w:rsid w:val="00246A65"/>
    <w:rsid w:val="00247DA1"/>
    <w:rsid w:val="002510C8"/>
    <w:rsid w:val="002514DD"/>
    <w:rsid w:val="0025217D"/>
    <w:rsid w:val="00252408"/>
    <w:rsid w:val="00253239"/>
    <w:rsid w:val="00253CD2"/>
    <w:rsid w:val="00253E63"/>
    <w:rsid w:val="002544B0"/>
    <w:rsid w:val="0025571C"/>
    <w:rsid w:val="00255D89"/>
    <w:rsid w:val="00257DF4"/>
    <w:rsid w:val="00263750"/>
    <w:rsid w:val="00263E1A"/>
    <w:rsid w:val="00263FBB"/>
    <w:rsid w:val="002648EB"/>
    <w:rsid w:val="00265556"/>
    <w:rsid w:val="00266209"/>
    <w:rsid w:val="00267261"/>
    <w:rsid w:val="002678E8"/>
    <w:rsid w:val="00267DAA"/>
    <w:rsid w:val="00270072"/>
    <w:rsid w:val="00273D0F"/>
    <w:rsid w:val="002745DD"/>
    <w:rsid w:val="00274C60"/>
    <w:rsid w:val="00276161"/>
    <w:rsid w:val="002761D9"/>
    <w:rsid w:val="0027655F"/>
    <w:rsid w:val="00276DE9"/>
    <w:rsid w:val="00276E73"/>
    <w:rsid w:val="00276EC5"/>
    <w:rsid w:val="002772A1"/>
    <w:rsid w:val="0027789B"/>
    <w:rsid w:val="0027797C"/>
    <w:rsid w:val="002803BB"/>
    <w:rsid w:val="00280ADD"/>
    <w:rsid w:val="00280E5E"/>
    <w:rsid w:val="00281124"/>
    <w:rsid w:val="0028200F"/>
    <w:rsid w:val="00282099"/>
    <w:rsid w:val="00283401"/>
    <w:rsid w:val="00283FF2"/>
    <w:rsid w:val="00284384"/>
    <w:rsid w:val="002843F8"/>
    <w:rsid w:val="00284406"/>
    <w:rsid w:val="002863E7"/>
    <w:rsid w:val="002905C8"/>
    <w:rsid w:val="00291C23"/>
    <w:rsid w:val="00292222"/>
    <w:rsid w:val="00292768"/>
    <w:rsid w:val="00294D64"/>
    <w:rsid w:val="00297E84"/>
    <w:rsid w:val="002A0C64"/>
    <w:rsid w:val="002A1DDC"/>
    <w:rsid w:val="002A2C0E"/>
    <w:rsid w:val="002A4363"/>
    <w:rsid w:val="002A6200"/>
    <w:rsid w:val="002A73B4"/>
    <w:rsid w:val="002B0CCF"/>
    <w:rsid w:val="002B119E"/>
    <w:rsid w:val="002B1813"/>
    <w:rsid w:val="002B20A5"/>
    <w:rsid w:val="002B383B"/>
    <w:rsid w:val="002B4719"/>
    <w:rsid w:val="002B4EED"/>
    <w:rsid w:val="002B5C88"/>
    <w:rsid w:val="002B7869"/>
    <w:rsid w:val="002C1AC8"/>
    <w:rsid w:val="002C2CA5"/>
    <w:rsid w:val="002C2E58"/>
    <w:rsid w:val="002C3204"/>
    <w:rsid w:val="002C3434"/>
    <w:rsid w:val="002C3BF1"/>
    <w:rsid w:val="002C5F8D"/>
    <w:rsid w:val="002C7AA8"/>
    <w:rsid w:val="002C7E01"/>
    <w:rsid w:val="002D05F4"/>
    <w:rsid w:val="002D1356"/>
    <w:rsid w:val="002D172C"/>
    <w:rsid w:val="002D190F"/>
    <w:rsid w:val="002D2D74"/>
    <w:rsid w:val="002D3F6C"/>
    <w:rsid w:val="002D4177"/>
    <w:rsid w:val="002D4387"/>
    <w:rsid w:val="002D5C27"/>
    <w:rsid w:val="002D5EE6"/>
    <w:rsid w:val="002D6611"/>
    <w:rsid w:val="002D669B"/>
    <w:rsid w:val="002D7791"/>
    <w:rsid w:val="002D783C"/>
    <w:rsid w:val="002E183F"/>
    <w:rsid w:val="002E18B2"/>
    <w:rsid w:val="002E3B3D"/>
    <w:rsid w:val="002E5574"/>
    <w:rsid w:val="002E6514"/>
    <w:rsid w:val="002E6966"/>
    <w:rsid w:val="002F02BD"/>
    <w:rsid w:val="002F1CEE"/>
    <w:rsid w:val="002F26D4"/>
    <w:rsid w:val="002F35A4"/>
    <w:rsid w:val="002F3DA5"/>
    <w:rsid w:val="002F44D3"/>
    <w:rsid w:val="002F4A72"/>
    <w:rsid w:val="002F4EF9"/>
    <w:rsid w:val="002F5768"/>
    <w:rsid w:val="002F6508"/>
    <w:rsid w:val="002F69CB"/>
    <w:rsid w:val="002F69F7"/>
    <w:rsid w:val="002F6C08"/>
    <w:rsid w:val="002F7D4A"/>
    <w:rsid w:val="00301522"/>
    <w:rsid w:val="00303138"/>
    <w:rsid w:val="0030326E"/>
    <w:rsid w:val="003038D5"/>
    <w:rsid w:val="003045BD"/>
    <w:rsid w:val="00305DA3"/>
    <w:rsid w:val="00305F32"/>
    <w:rsid w:val="0030727D"/>
    <w:rsid w:val="00307E3B"/>
    <w:rsid w:val="00311EE6"/>
    <w:rsid w:val="00314FF4"/>
    <w:rsid w:val="00316754"/>
    <w:rsid w:val="00317801"/>
    <w:rsid w:val="003217F0"/>
    <w:rsid w:val="003245D7"/>
    <w:rsid w:val="0032460C"/>
    <w:rsid w:val="003247AD"/>
    <w:rsid w:val="0032496A"/>
    <w:rsid w:val="0032687A"/>
    <w:rsid w:val="00326F46"/>
    <w:rsid w:val="00327B48"/>
    <w:rsid w:val="0033330F"/>
    <w:rsid w:val="00333848"/>
    <w:rsid w:val="00334F99"/>
    <w:rsid w:val="003377F8"/>
    <w:rsid w:val="003409DC"/>
    <w:rsid w:val="003417C6"/>
    <w:rsid w:val="0034537F"/>
    <w:rsid w:val="00346E35"/>
    <w:rsid w:val="00347E0D"/>
    <w:rsid w:val="0035016E"/>
    <w:rsid w:val="00350DA6"/>
    <w:rsid w:val="00351ACD"/>
    <w:rsid w:val="003526DB"/>
    <w:rsid w:val="00356A24"/>
    <w:rsid w:val="00357695"/>
    <w:rsid w:val="003576B9"/>
    <w:rsid w:val="003606FC"/>
    <w:rsid w:val="00362563"/>
    <w:rsid w:val="003630B8"/>
    <w:rsid w:val="00364710"/>
    <w:rsid w:val="00367541"/>
    <w:rsid w:val="0037036C"/>
    <w:rsid w:val="0037048D"/>
    <w:rsid w:val="0037104A"/>
    <w:rsid w:val="00371DC4"/>
    <w:rsid w:val="00374676"/>
    <w:rsid w:val="00380275"/>
    <w:rsid w:val="00381B4A"/>
    <w:rsid w:val="00383611"/>
    <w:rsid w:val="00384044"/>
    <w:rsid w:val="003840CA"/>
    <w:rsid w:val="00384D8B"/>
    <w:rsid w:val="00385176"/>
    <w:rsid w:val="003865CC"/>
    <w:rsid w:val="003913A1"/>
    <w:rsid w:val="003975F5"/>
    <w:rsid w:val="00397688"/>
    <w:rsid w:val="00397B17"/>
    <w:rsid w:val="00397ECA"/>
    <w:rsid w:val="003A0790"/>
    <w:rsid w:val="003A22A7"/>
    <w:rsid w:val="003A23A5"/>
    <w:rsid w:val="003A5652"/>
    <w:rsid w:val="003A6790"/>
    <w:rsid w:val="003A7E4D"/>
    <w:rsid w:val="003B02AD"/>
    <w:rsid w:val="003B32EC"/>
    <w:rsid w:val="003B39AE"/>
    <w:rsid w:val="003B53CA"/>
    <w:rsid w:val="003B6465"/>
    <w:rsid w:val="003B6E88"/>
    <w:rsid w:val="003B7833"/>
    <w:rsid w:val="003B7F08"/>
    <w:rsid w:val="003C0187"/>
    <w:rsid w:val="003C079F"/>
    <w:rsid w:val="003C0DDE"/>
    <w:rsid w:val="003C1801"/>
    <w:rsid w:val="003C4AD8"/>
    <w:rsid w:val="003C585D"/>
    <w:rsid w:val="003C672E"/>
    <w:rsid w:val="003D3326"/>
    <w:rsid w:val="003D491B"/>
    <w:rsid w:val="003D4FF7"/>
    <w:rsid w:val="003D577F"/>
    <w:rsid w:val="003D5A29"/>
    <w:rsid w:val="003D67BC"/>
    <w:rsid w:val="003D7371"/>
    <w:rsid w:val="003D7D68"/>
    <w:rsid w:val="003E29EB"/>
    <w:rsid w:val="003E399D"/>
    <w:rsid w:val="003E3D4F"/>
    <w:rsid w:val="003E4CAD"/>
    <w:rsid w:val="003E5083"/>
    <w:rsid w:val="003E5089"/>
    <w:rsid w:val="003E53AC"/>
    <w:rsid w:val="003E54C8"/>
    <w:rsid w:val="003E6B48"/>
    <w:rsid w:val="003E6F9E"/>
    <w:rsid w:val="003F0FC7"/>
    <w:rsid w:val="003F151F"/>
    <w:rsid w:val="003F15FD"/>
    <w:rsid w:val="003F1EFE"/>
    <w:rsid w:val="003F3D2E"/>
    <w:rsid w:val="003F4C13"/>
    <w:rsid w:val="003F505C"/>
    <w:rsid w:val="003F51AC"/>
    <w:rsid w:val="003F550D"/>
    <w:rsid w:val="003F72D4"/>
    <w:rsid w:val="0040062A"/>
    <w:rsid w:val="00400DCA"/>
    <w:rsid w:val="00400E84"/>
    <w:rsid w:val="0040338E"/>
    <w:rsid w:val="004043D9"/>
    <w:rsid w:val="0040444B"/>
    <w:rsid w:val="0040609D"/>
    <w:rsid w:val="004063EC"/>
    <w:rsid w:val="00406678"/>
    <w:rsid w:val="00406A61"/>
    <w:rsid w:val="0041098B"/>
    <w:rsid w:val="00411346"/>
    <w:rsid w:val="004132D9"/>
    <w:rsid w:val="004134BB"/>
    <w:rsid w:val="00413A68"/>
    <w:rsid w:val="00413BDD"/>
    <w:rsid w:val="004148BB"/>
    <w:rsid w:val="0041509D"/>
    <w:rsid w:val="00415BB9"/>
    <w:rsid w:val="00417604"/>
    <w:rsid w:val="004178B8"/>
    <w:rsid w:val="00420981"/>
    <w:rsid w:val="00420A38"/>
    <w:rsid w:val="00423EC1"/>
    <w:rsid w:val="00424E0B"/>
    <w:rsid w:val="0042613C"/>
    <w:rsid w:val="0042751F"/>
    <w:rsid w:val="004317B1"/>
    <w:rsid w:val="00431ADD"/>
    <w:rsid w:val="00434792"/>
    <w:rsid w:val="00434AB6"/>
    <w:rsid w:val="004353B6"/>
    <w:rsid w:val="004373A6"/>
    <w:rsid w:val="00437ABB"/>
    <w:rsid w:val="00437F24"/>
    <w:rsid w:val="00441F71"/>
    <w:rsid w:val="004436F5"/>
    <w:rsid w:val="00444B43"/>
    <w:rsid w:val="00444DE6"/>
    <w:rsid w:val="004471E8"/>
    <w:rsid w:val="00447A3E"/>
    <w:rsid w:val="004517FA"/>
    <w:rsid w:val="004523B4"/>
    <w:rsid w:val="004540ED"/>
    <w:rsid w:val="004551FC"/>
    <w:rsid w:val="00455253"/>
    <w:rsid w:val="0045580E"/>
    <w:rsid w:val="00455DE5"/>
    <w:rsid w:val="00460059"/>
    <w:rsid w:val="00460621"/>
    <w:rsid w:val="00460D4A"/>
    <w:rsid w:val="00461C9B"/>
    <w:rsid w:val="00461F38"/>
    <w:rsid w:val="004622E6"/>
    <w:rsid w:val="00462D52"/>
    <w:rsid w:val="0046304B"/>
    <w:rsid w:val="00463ADB"/>
    <w:rsid w:val="00464022"/>
    <w:rsid w:val="004675EE"/>
    <w:rsid w:val="0046760B"/>
    <w:rsid w:val="00470108"/>
    <w:rsid w:val="004711DD"/>
    <w:rsid w:val="004714DA"/>
    <w:rsid w:val="00472F02"/>
    <w:rsid w:val="00474BDC"/>
    <w:rsid w:val="00476129"/>
    <w:rsid w:val="0047719A"/>
    <w:rsid w:val="004773A7"/>
    <w:rsid w:val="004808DA"/>
    <w:rsid w:val="0048179B"/>
    <w:rsid w:val="00482388"/>
    <w:rsid w:val="00482763"/>
    <w:rsid w:val="00482C9B"/>
    <w:rsid w:val="00484EBA"/>
    <w:rsid w:val="0048632C"/>
    <w:rsid w:val="00486D22"/>
    <w:rsid w:val="00487FA9"/>
    <w:rsid w:val="00491AEA"/>
    <w:rsid w:val="00491ED1"/>
    <w:rsid w:val="00492C4A"/>
    <w:rsid w:val="0049315A"/>
    <w:rsid w:val="00494AE5"/>
    <w:rsid w:val="00494B18"/>
    <w:rsid w:val="00495D65"/>
    <w:rsid w:val="00496773"/>
    <w:rsid w:val="00496931"/>
    <w:rsid w:val="004973CC"/>
    <w:rsid w:val="004977D9"/>
    <w:rsid w:val="00497D8F"/>
    <w:rsid w:val="004A0133"/>
    <w:rsid w:val="004A0AB1"/>
    <w:rsid w:val="004A1B4A"/>
    <w:rsid w:val="004A21F6"/>
    <w:rsid w:val="004A2F6A"/>
    <w:rsid w:val="004A4AB2"/>
    <w:rsid w:val="004A53D0"/>
    <w:rsid w:val="004A7930"/>
    <w:rsid w:val="004A7984"/>
    <w:rsid w:val="004B0C2A"/>
    <w:rsid w:val="004B0E3D"/>
    <w:rsid w:val="004B17B5"/>
    <w:rsid w:val="004B26F0"/>
    <w:rsid w:val="004B2E45"/>
    <w:rsid w:val="004B487C"/>
    <w:rsid w:val="004B48F1"/>
    <w:rsid w:val="004B64C3"/>
    <w:rsid w:val="004B7E62"/>
    <w:rsid w:val="004B7EF6"/>
    <w:rsid w:val="004C06C0"/>
    <w:rsid w:val="004C2067"/>
    <w:rsid w:val="004C3B2F"/>
    <w:rsid w:val="004C40C7"/>
    <w:rsid w:val="004C4143"/>
    <w:rsid w:val="004C5F79"/>
    <w:rsid w:val="004C676C"/>
    <w:rsid w:val="004C6EE6"/>
    <w:rsid w:val="004C7A1F"/>
    <w:rsid w:val="004C7B60"/>
    <w:rsid w:val="004C7EF3"/>
    <w:rsid w:val="004D1B0F"/>
    <w:rsid w:val="004D3D7E"/>
    <w:rsid w:val="004D6F53"/>
    <w:rsid w:val="004E3909"/>
    <w:rsid w:val="004E3B08"/>
    <w:rsid w:val="004E515E"/>
    <w:rsid w:val="004E5A1F"/>
    <w:rsid w:val="004E632A"/>
    <w:rsid w:val="004E71CF"/>
    <w:rsid w:val="004E73F2"/>
    <w:rsid w:val="004E761C"/>
    <w:rsid w:val="004F13F7"/>
    <w:rsid w:val="004F14E8"/>
    <w:rsid w:val="004F2D99"/>
    <w:rsid w:val="004F5A06"/>
    <w:rsid w:val="004F6D57"/>
    <w:rsid w:val="004F6F61"/>
    <w:rsid w:val="004F759B"/>
    <w:rsid w:val="004F7B9E"/>
    <w:rsid w:val="004F7DC5"/>
    <w:rsid w:val="00500A21"/>
    <w:rsid w:val="0050102D"/>
    <w:rsid w:val="00503CDA"/>
    <w:rsid w:val="00503FA7"/>
    <w:rsid w:val="00506782"/>
    <w:rsid w:val="0051004C"/>
    <w:rsid w:val="00510320"/>
    <w:rsid w:val="00512085"/>
    <w:rsid w:val="0051263A"/>
    <w:rsid w:val="00512815"/>
    <w:rsid w:val="00512A8C"/>
    <w:rsid w:val="005130E3"/>
    <w:rsid w:val="00514C41"/>
    <w:rsid w:val="00515CD3"/>
    <w:rsid w:val="00517164"/>
    <w:rsid w:val="00517C47"/>
    <w:rsid w:val="00521D42"/>
    <w:rsid w:val="005228EE"/>
    <w:rsid w:val="00523098"/>
    <w:rsid w:val="00523C2F"/>
    <w:rsid w:val="00526234"/>
    <w:rsid w:val="0052626C"/>
    <w:rsid w:val="00526360"/>
    <w:rsid w:val="00526AC3"/>
    <w:rsid w:val="00526E0E"/>
    <w:rsid w:val="00527D99"/>
    <w:rsid w:val="00530EDF"/>
    <w:rsid w:val="0053150B"/>
    <w:rsid w:val="0053197B"/>
    <w:rsid w:val="00531AF0"/>
    <w:rsid w:val="00531D50"/>
    <w:rsid w:val="00531D75"/>
    <w:rsid w:val="0053207A"/>
    <w:rsid w:val="0053291F"/>
    <w:rsid w:val="00532B2A"/>
    <w:rsid w:val="00532CB4"/>
    <w:rsid w:val="00535B1E"/>
    <w:rsid w:val="00535DF9"/>
    <w:rsid w:val="00535F88"/>
    <w:rsid w:val="00536346"/>
    <w:rsid w:val="0053689B"/>
    <w:rsid w:val="005421EE"/>
    <w:rsid w:val="005434A7"/>
    <w:rsid w:val="005461CC"/>
    <w:rsid w:val="005464EB"/>
    <w:rsid w:val="0054762C"/>
    <w:rsid w:val="00547FFD"/>
    <w:rsid w:val="005506B4"/>
    <w:rsid w:val="00550F44"/>
    <w:rsid w:val="00552B90"/>
    <w:rsid w:val="00553FDC"/>
    <w:rsid w:val="0055448B"/>
    <w:rsid w:val="00555DAF"/>
    <w:rsid w:val="00555E6C"/>
    <w:rsid w:val="00560A56"/>
    <w:rsid w:val="00560CB8"/>
    <w:rsid w:val="005611A2"/>
    <w:rsid w:val="00561C93"/>
    <w:rsid w:val="00566A93"/>
    <w:rsid w:val="0057045F"/>
    <w:rsid w:val="005705BB"/>
    <w:rsid w:val="00572432"/>
    <w:rsid w:val="00573AF9"/>
    <w:rsid w:val="00573E10"/>
    <w:rsid w:val="0057551E"/>
    <w:rsid w:val="00582190"/>
    <w:rsid w:val="00582AC2"/>
    <w:rsid w:val="00582DD2"/>
    <w:rsid w:val="005834D7"/>
    <w:rsid w:val="00583863"/>
    <w:rsid w:val="00583C6E"/>
    <w:rsid w:val="005851ED"/>
    <w:rsid w:val="0059069A"/>
    <w:rsid w:val="00591295"/>
    <w:rsid w:val="00591E2D"/>
    <w:rsid w:val="00592244"/>
    <w:rsid w:val="00592469"/>
    <w:rsid w:val="00593153"/>
    <w:rsid w:val="00594512"/>
    <w:rsid w:val="00594E35"/>
    <w:rsid w:val="0059650E"/>
    <w:rsid w:val="00596665"/>
    <w:rsid w:val="00596C79"/>
    <w:rsid w:val="005A0CC5"/>
    <w:rsid w:val="005A5AF3"/>
    <w:rsid w:val="005A5E6E"/>
    <w:rsid w:val="005A64C3"/>
    <w:rsid w:val="005A6918"/>
    <w:rsid w:val="005A7A5D"/>
    <w:rsid w:val="005A7D63"/>
    <w:rsid w:val="005A7FE0"/>
    <w:rsid w:val="005B0EF3"/>
    <w:rsid w:val="005B15C2"/>
    <w:rsid w:val="005B2145"/>
    <w:rsid w:val="005B25DF"/>
    <w:rsid w:val="005B3339"/>
    <w:rsid w:val="005B3D0D"/>
    <w:rsid w:val="005B46C9"/>
    <w:rsid w:val="005B46FA"/>
    <w:rsid w:val="005B4BA9"/>
    <w:rsid w:val="005B613D"/>
    <w:rsid w:val="005B6388"/>
    <w:rsid w:val="005C04C7"/>
    <w:rsid w:val="005C0E11"/>
    <w:rsid w:val="005C2205"/>
    <w:rsid w:val="005C354A"/>
    <w:rsid w:val="005C4059"/>
    <w:rsid w:val="005C6745"/>
    <w:rsid w:val="005C77BC"/>
    <w:rsid w:val="005C7EA5"/>
    <w:rsid w:val="005D21C4"/>
    <w:rsid w:val="005D3917"/>
    <w:rsid w:val="005D4C1C"/>
    <w:rsid w:val="005D529E"/>
    <w:rsid w:val="005D6128"/>
    <w:rsid w:val="005D6EB9"/>
    <w:rsid w:val="005D705B"/>
    <w:rsid w:val="005E0893"/>
    <w:rsid w:val="005E0AD5"/>
    <w:rsid w:val="005E2898"/>
    <w:rsid w:val="005E36AE"/>
    <w:rsid w:val="005E3D1F"/>
    <w:rsid w:val="005E47DD"/>
    <w:rsid w:val="005E68E6"/>
    <w:rsid w:val="005E7963"/>
    <w:rsid w:val="005F0C18"/>
    <w:rsid w:val="005F25C0"/>
    <w:rsid w:val="005F299B"/>
    <w:rsid w:val="005F3ABD"/>
    <w:rsid w:val="005F44EA"/>
    <w:rsid w:val="005F488F"/>
    <w:rsid w:val="005F5255"/>
    <w:rsid w:val="005F5636"/>
    <w:rsid w:val="00600E2B"/>
    <w:rsid w:val="00602226"/>
    <w:rsid w:val="00603102"/>
    <w:rsid w:val="006031A8"/>
    <w:rsid w:val="00604277"/>
    <w:rsid w:val="00604770"/>
    <w:rsid w:val="0060490B"/>
    <w:rsid w:val="00604B64"/>
    <w:rsid w:val="00604D8D"/>
    <w:rsid w:val="00606004"/>
    <w:rsid w:val="00610076"/>
    <w:rsid w:val="006109CF"/>
    <w:rsid w:val="0061167A"/>
    <w:rsid w:val="00612AB0"/>
    <w:rsid w:val="00614136"/>
    <w:rsid w:val="006160AF"/>
    <w:rsid w:val="006160E3"/>
    <w:rsid w:val="006161B8"/>
    <w:rsid w:val="006164DD"/>
    <w:rsid w:val="00616BBE"/>
    <w:rsid w:val="00617786"/>
    <w:rsid w:val="00617B78"/>
    <w:rsid w:val="006227B9"/>
    <w:rsid w:val="0062286C"/>
    <w:rsid w:val="00622C9D"/>
    <w:rsid w:val="00623EFF"/>
    <w:rsid w:val="00624E30"/>
    <w:rsid w:val="006250FE"/>
    <w:rsid w:val="006263A8"/>
    <w:rsid w:val="0063047B"/>
    <w:rsid w:val="0063207A"/>
    <w:rsid w:val="00632745"/>
    <w:rsid w:val="0063325B"/>
    <w:rsid w:val="0063618D"/>
    <w:rsid w:val="006408FD"/>
    <w:rsid w:val="00641FEC"/>
    <w:rsid w:val="006422CD"/>
    <w:rsid w:val="00643884"/>
    <w:rsid w:val="00644031"/>
    <w:rsid w:val="00644254"/>
    <w:rsid w:val="006457AE"/>
    <w:rsid w:val="00646DAB"/>
    <w:rsid w:val="0064781E"/>
    <w:rsid w:val="0065053B"/>
    <w:rsid w:val="00651331"/>
    <w:rsid w:val="00651396"/>
    <w:rsid w:val="0065338E"/>
    <w:rsid w:val="00653987"/>
    <w:rsid w:val="00653BF4"/>
    <w:rsid w:val="00653DD0"/>
    <w:rsid w:val="00654616"/>
    <w:rsid w:val="00654632"/>
    <w:rsid w:val="006559F4"/>
    <w:rsid w:val="00661813"/>
    <w:rsid w:val="00661B9B"/>
    <w:rsid w:val="00663C1B"/>
    <w:rsid w:val="00663DD2"/>
    <w:rsid w:val="0066655D"/>
    <w:rsid w:val="00666A3D"/>
    <w:rsid w:val="00666FC9"/>
    <w:rsid w:val="0066740E"/>
    <w:rsid w:val="006674F1"/>
    <w:rsid w:val="00667CD6"/>
    <w:rsid w:val="00667CE0"/>
    <w:rsid w:val="00670046"/>
    <w:rsid w:val="006706E5"/>
    <w:rsid w:val="00670BC3"/>
    <w:rsid w:val="00671A22"/>
    <w:rsid w:val="006727BF"/>
    <w:rsid w:val="00673A10"/>
    <w:rsid w:val="006741D1"/>
    <w:rsid w:val="00675970"/>
    <w:rsid w:val="006769D9"/>
    <w:rsid w:val="0067745D"/>
    <w:rsid w:val="0067776E"/>
    <w:rsid w:val="00677F4E"/>
    <w:rsid w:val="00681018"/>
    <w:rsid w:val="0068133F"/>
    <w:rsid w:val="00681F22"/>
    <w:rsid w:val="00682294"/>
    <w:rsid w:val="006823F1"/>
    <w:rsid w:val="006829B4"/>
    <w:rsid w:val="006829D4"/>
    <w:rsid w:val="00684C04"/>
    <w:rsid w:val="00686816"/>
    <w:rsid w:val="0068688A"/>
    <w:rsid w:val="00686D0A"/>
    <w:rsid w:val="006873B9"/>
    <w:rsid w:val="0069056C"/>
    <w:rsid w:val="00690902"/>
    <w:rsid w:val="00690A61"/>
    <w:rsid w:val="00692348"/>
    <w:rsid w:val="006928E0"/>
    <w:rsid w:val="00693375"/>
    <w:rsid w:val="00693A75"/>
    <w:rsid w:val="0069536C"/>
    <w:rsid w:val="00695FFF"/>
    <w:rsid w:val="00696041"/>
    <w:rsid w:val="00696839"/>
    <w:rsid w:val="00696EC6"/>
    <w:rsid w:val="006A0AD8"/>
    <w:rsid w:val="006A1817"/>
    <w:rsid w:val="006A33A8"/>
    <w:rsid w:val="006A4AB3"/>
    <w:rsid w:val="006A636B"/>
    <w:rsid w:val="006A7F58"/>
    <w:rsid w:val="006B04E5"/>
    <w:rsid w:val="006B07A5"/>
    <w:rsid w:val="006B0EE0"/>
    <w:rsid w:val="006B1092"/>
    <w:rsid w:val="006B1C62"/>
    <w:rsid w:val="006B2A1C"/>
    <w:rsid w:val="006B48B0"/>
    <w:rsid w:val="006B57C4"/>
    <w:rsid w:val="006B57D9"/>
    <w:rsid w:val="006B6727"/>
    <w:rsid w:val="006C012E"/>
    <w:rsid w:val="006C1224"/>
    <w:rsid w:val="006C1367"/>
    <w:rsid w:val="006C1827"/>
    <w:rsid w:val="006C1A65"/>
    <w:rsid w:val="006C1C85"/>
    <w:rsid w:val="006C3A37"/>
    <w:rsid w:val="006C3F40"/>
    <w:rsid w:val="006C5257"/>
    <w:rsid w:val="006C5415"/>
    <w:rsid w:val="006C5BB7"/>
    <w:rsid w:val="006C79EB"/>
    <w:rsid w:val="006C7E5D"/>
    <w:rsid w:val="006C7E6C"/>
    <w:rsid w:val="006D00C3"/>
    <w:rsid w:val="006D1FE7"/>
    <w:rsid w:val="006D2C0B"/>
    <w:rsid w:val="006D458E"/>
    <w:rsid w:val="006D7A83"/>
    <w:rsid w:val="006E1706"/>
    <w:rsid w:val="006E1B63"/>
    <w:rsid w:val="006E1DA7"/>
    <w:rsid w:val="006E29C8"/>
    <w:rsid w:val="006E3D0D"/>
    <w:rsid w:val="006E3E8E"/>
    <w:rsid w:val="006E4348"/>
    <w:rsid w:val="006E4FC0"/>
    <w:rsid w:val="006E6038"/>
    <w:rsid w:val="006E72F9"/>
    <w:rsid w:val="006E7BDE"/>
    <w:rsid w:val="006F02DD"/>
    <w:rsid w:val="006F1283"/>
    <w:rsid w:val="006F1478"/>
    <w:rsid w:val="006F1EE4"/>
    <w:rsid w:val="006F28A4"/>
    <w:rsid w:val="006F293D"/>
    <w:rsid w:val="006F35EF"/>
    <w:rsid w:val="006F3780"/>
    <w:rsid w:val="006F4C2D"/>
    <w:rsid w:val="006F6753"/>
    <w:rsid w:val="006F6CF6"/>
    <w:rsid w:val="007003E3"/>
    <w:rsid w:val="0070196B"/>
    <w:rsid w:val="00701C7B"/>
    <w:rsid w:val="00702BC3"/>
    <w:rsid w:val="00702E0D"/>
    <w:rsid w:val="0070392D"/>
    <w:rsid w:val="00703AAE"/>
    <w:rsid w:val="00704E9A"/>
    <w:rsid w:val="00706105"/>
    <w:rsid w:val="00707DCB"/>
    <w:rsid w:val="00711858"/>
    <w:rsid w:val="00712CAB"/>
    <w:rsid w:val="007153B9"/>
    <w:rsid w:val="00716667"/>
    <w:rsid w:val="00717127"/>
    <w:rsid w:val="00717C6F"/>
    <w:rsid w:val="00720BE5"/>
    <w:rsid w:val="0072115D"/>
    <w:rsid w:val="0072269E"/>
    <w:rsid w:val="007251E3"/>
    <w:rsid w:val="00725D4F"/>
    <w:rsid w:val="007265F6"/>
    <w:rsid w:val="00730287"/>
    <w:rsid w:val="00732BB0"/>
    <w:rsid w:val="00733AC2"/>
    <w:rsid w:val="0073409F"/>
    <w:rsid w:val="0073502C"/>
    <w:rsid w:val="007358C5"/>
    <w:rsid w:val="00736659"/>
    <w:rsid w:val="00737FEB"/>
    <w:rsid w:val="0074420E"/>
    <w:rsid w:val="00745257"/>
    <w:rsid w:val="00745B17"/>
    <w:rsid w:val="00750043"/>
    <w:rsid w:val="00750AB7"/>
    <w:rsid w:val="007523B8"/>
    <w:rsid w:val="0075281E"/>
    <w:rsid w:val="00752E03"/>
    <w:rsid w:val="00753E60"/>
    <w:rsid w:val="00754DFB"/>
    <w:rsid w:val="00755761"/>
    <w:rsid w:val="007561BC"/>
    <w:rsid w:val="00757266"/>
    <w:rsid w:val="00757648"/>
    <w:rsid w:val="00760006"/>
    <w:rsid w:val="00760F83"/>
    <w:rsid w:val="00762DE7"/>
    <w:rsid w:val="00764050"/>
    <w:rsid w:val="00764E65"/>
    <w:rsid w:val="00765BF7"/>
    <w:rsid w:val="00765D70"/>
    <w:rsid w:val="00766484"/>
    <w:rsid w:val="00766BCE"/>
    <w:rsid w:val="0076767A"/>
    <w:rsid w:val="00767E3C"/>
    <w:rsid w:val="00771ECB"/>
    <w:rsid w:val="00772B83"/>
    <w:rsid w:val="00772D67"/>
    <w:rsid w:val="0077423E"/>
    <w:rsid w:val="00774E57"/>
    <w:rsid w:val="00776870"/>
    <w:rsid w:val="00777D27"/>
    <w:rsid w:val="00781457"/>
    <w:rsid w:val="007844EE"/>
    <w:rsid w:val="00785253"/>
    <w:rsid w:val="007864E4"/>
    <w:rsid w:val="00787269"/>
    <w:rsid w:val="00790039"/>
    <w:rsid w:val="00792A5F"/>
    <w:rsid w:val="00793769"/>
    <w:rsid w:val="007940BE"/>
    <w:rsid w:val="007943E7"/>
    <w:rsid w:val="007946BE"/>
    <w:rsid w:val="0079736A"/>
    <w:rsid w:val="007A096D"/>
    <w:rsid w:val="007A12B7"/>
    <w:rsid w:val="007A29E4"/>
    <w:rsid w:val="007A3BF7"/>
    <w:rsid w:val="007A4B8C"/>
    <w:rsid w:val="007A6CDA"/>
    <w:rsid w:val="007B0D2E"/>
    <w:rsid w:val="007B271F"/>
    <w:rsid w:val="007B2B5A"/>
    <w:rsid w:val="007B7BB8"/>
    <w:rsid w:val="007B7EDB"/>
    <w:rsid w:val="007C0B1E"/>
    <w:rsid w:val="007C36D4"/>
    <w:rsid w:val="007C443A"/>
    <w:rsid w:val="007C4BB8"/>
    <w:rsid w:val="007C5335"/>
    <w:rsid w:val="007C5FA6"/>
    <w:rsid w:val="007C667E"/>
    <w:rsid w:val="007D1A44"/>
    <w:rsid w:val="007D2E74"/>
    <w:rsid w:val="007D33AB"/>
    <w:rsid w:val="007D6812"/>
    <w:rsid w:val="007D6986"/>
    <w:rsid w:val="007D6AB6"/>
    <w:rsid w:val="007D6BE1"/>
    <w:rsid w:val="007D7398"/>
    <w:rsid w:val="007D7BBD"/>
    <w:rsid w:val="007D7C8D"/>
    <w:rsid w:val="007E1279"/>
    <w:rsid w:val="007E1578"/>
    <w:rsid w:val="007E18BE"/>
    <w:rsid w:val="007E2242"/>
    <w:rsid w:val="007E2B4B"/>
    <w:rsid w:val="007E3E77"/>
    <w:rsid w:val="007E4C23"/>
    <w:rsid w:val="007E572E"/>
    <w:rsid w:val="007E60ED"/>
    <w:rsid w:val="007F07EE"/>
    <w:rsid w:val="007F25E9"/>
    <w:rsid w:val="007F26B5"/>
    <w:rsid w:val="007F3013"/>
    <w:rsid w:val="007F3CF8"/>
    <w:rsid w:val="007F45D7"/>
    <w:rsid w:val="007F64E6"/>
    <w:rsid w:val="007F6EC6"/>
    <w:rsid w:val="0080187C"/>
    <w:rsid w:val="00801AE3"/>
    <w:rsid w:val="00802D38"/>
    <w:rsid w:val="00802EA3"/>
    <w:rsid w:val="00803820"/>
    <w:rsid w:val="00805EBF"/>
    <w:rsid w:val="0080652D"/>
    <w:rsid w:val="00810C71"/>
    <w:rsid w:val="0081107D"/>
    <w:rsid w:val="00812656"/>
    <w:rsid w:val="008141AB"/>
    <w:rsid w:val="00815624"/>
    <w:rsid w:val="00815F4F"/>
    <w:rsid w:val="00815F90"/>
    <w:rsid w:val="00816482"/>
    <w:rsid w:val="00816E83"/>
    <w:rsid w:val="00820D57"/>
    <w:rsid w:val="008213DA"/>
    <w:rsid w:val="00822822"/>
    <w:rsid w:val="00823E4E"/>
    <w:rsid w:val="008250A2"/>
    <w:rsid w:val="00825705"/>
    <w:rsid w:val="00825BD5"/>
    <w:rsid w:val="0082609B"/>
    <w:rsid w:val="00831CBF"/>
    <w:rsid w:val="00831E49"/>
    <w:rsid w:val="0083390A"/>
    <w:rsid w:val="00834F37"/>
    <w:rsid w:val="00842B98"/>
    <w:rsid w:val="00844F42"/>
    <w:rsid w:val="00845180"/>
    <w:rsid w:val="00845496"/>
    <w:rsid w:val="008459A6"/>
    <w:rsid w:val="00846127"/>
    <w:rsid w:val="008464F3"/>
    <w:rsid w:val="00846C4A"/>
    <w:rsid w:val="00846C7C"/>
    <w:rsid w:val="0084745D"/>
    <w:rsid w:val="008512F4"/>
    <w:rsid w:val="0085420E"/>
    <w:rsid w:val="00854300"/>
    <w:rsid w:val="0085759B"/>
    <w:rsid w:val="00861E1F"/>
    <w:rsid w:val="00862B5B"/>
    <w:rsid w:val="00862DCC"/>
    <w:rsid w:val="00862E99"/>
    <w:rsid w:val="0086563A"/>
    <w:rsid w:val="00867428"/>
    <w:rsid w:val="008675C7"/>
    <w:rsid w:val="0087154D"/>
    <w:rsid w:val="00871FD9"/>
    <w:rsid w:val="00872778"/>
    <w:rsid w:val="00872EB7"/>
    <w:rsid w:val="00873342"/>
    <w:rsid w:val="00877097"/>
    <w:rsid w:val="00881ADA"/>
    <w:rsid w:val="00882172"/>
    <w:rsid w:val="00882323"/>
    <w:rsid w:val="0088375B"/>
    <w:rsid w:val="00884530"/>
    <w:rsid w:val="00886819"/>
    <w:rsid w:val="00890957"/>
    <w:rsid w:val="00890E90"/>
    <w:rsid w:val="0089141A"/>
    <w:rsid w:val="00892E9C"/>
    <w:rsid w:val="00893DB1"/>
    <w:rsid w:val="00893FCE"/>
    <w:rsid w:val="00894104"/>
    <w:rsid w:val="00895272"/>
    <w:rsid w:val="00895F54"/>
    <w:rsid w:val="0089726F"/>
    <w:rsid w:val="008A0411"/>
    <w:rsid w:val="008A0D09"/>
    <w:rsid w:val="008A3442"/>
    <w:rsid w:val="008A3613"/>
    <w:rsid w:val="008A4B08"/>
    <w:rsid w:val="008A6741"/>
    <w:rsid w:val="008A68BB"/>
    <w:rsid w:val="008A7EA6"/>
    <w:rsid w:val="008B03F4"/>
    <w:rsid w:val="008B0F75"/>
    <w:rsid w:val="008B278E"/>
    <w:rsid w:val="008B3310"/>
    <w:rsid w:val="008B5DE8"/>
    <w:rsid w:val="008B7CC2"/>
    <w:rsid w:val="008B7FAD"/>
    <w:rsid w:val="008C0255"/>
    <w:rsid w:val="008C1C76"/>
    <w:rsid w:val="008C2B33"/>
    <w:rsid w:val="008C4A1D"/>
    <w:rsid w:val="008C4C30"/>
    <w:rsid w:val="008C4EEA"/>
    <w:rsid w:val="008C51D6"/>
    <w:rsid w:val="008C57BD"/>
    <w:rsid w:val="008C65B1"/>
    <w:rsid w:val="008C6FA6"/>
    <w:rsid w:val="008D04CF"/>
    <w:rsid w:val="008D22F6"/>
    <w:rsid w:val="008D2FE1"/>
    <w:rsid w:val="008D632D"/>
    <w:rsid w:val="008D6B5F"/>
    <w:rsid w:val="008D7362"/>
    <w:rsid w:val="008E059E"/>
    <w:rsid w:val="008E08AF"/>
    <w:rsid w:val="008E1EDE"/>
    <w:rsid w:val="008E4098"/>
    <w:rsid w:val="008E4D93"/>
    <w:rsid w:val="008E504B"/>
    <w:rsid w:val="008E560F"/>
    <w:rsid w:val="008E5B79"/>
    <w:rsid w:val="008E5C50"/>
    <w:rsid w:val="008E5D17"/>
    <w:rsid w:val="008F05EA"/>
    <w:rsid w:val="008F0D49"/>
    <w:rsid w:val="008F4170"/>
    <w:rsid w:val="008F4AE9"/>
    <w:rsid w:val="008F7073"/>
    <w:rsid w:val="00900D38"/>
    <w:rsid w:val="00901C2A"/>
    <w:rsid w:val="00901C3B"/>
    <w:rsid w:val="0090348F"/>
    <w:rsid w:val="009040F8"/>
    <w:rsid w:val="0090458A"/>
    <w:rsid w:val="00905A54"/>
    <w:rsid w:val="00906349"/>
    <w:rsid w:val="009112AE"/>
    <w:rsid w:val="009118CB"/>
    <w:rsid w:val="00912A4C"/>
    <w:rsid w:val="00912B24"/>
    <w:rsid w:val="00913D6E"/>
    <w:rsid w:val="00914D94"/>
    <w:rsid w:val="00915F12"/>
    <w:rsid w:val="00916BDB"/>
    <w:rsid w:val="00916EF2"/>
    <w:rsid w:val="00920862"/>
    <w:rsid w:val="0092360C"/>
    <w:rsid w:val="00923881"/>
    <w:rsid w:val="00923B92"/>
    <w:rsid w:val="00923E40"/>
    <w:rsid w:val="00925F4C"/>
    <w:rsid w:val="00927586"/>
    <w:rsid w:val="009312E2"/>
    <w:rsid w:val="00931760"/>
    <w:rsid w:val="00932441"/>
    <w:rsid w:val="00932C71"/>
    <w:rsid w:val="00933BE6"/>
    <w:rsid w:val="0093481A"/>
    <w:rsid w:val="00936563"/>
    <w:rsid w:val="00937DEE"/>
    <w:rsid w:val="00937DFA"/>
    <w:rsid w:val="00941695"/>
    <w:rsid w:val="0094394A"/>
    <w:rsid w:val="009441CA"/>
    <w:rsid w:val="009457FE"/>
    <w:rsid w:val="0094640B"/>
    <w:rsid w:val="00950435"/>
    <w:rsid w:val="009504DB"/>
    <w:rsid w:val="009510B9"/>
    <w:rsid w:val="009527EF"/>
    <w:rsid w:val="0095309A"/>
    <w:rsid w:val="00953CBB"/>
    <w:rsid w:val="00953D6D"/>
    <w:rsid w:val="00954465"/>
    <w:rsid w:val="0095451C"/>
    <w:rsid w:val="009578DE"/>
    <w:rsid w:val="009624A9"/>
    <w:rsid w:val="009629CE"/>
    <w:rsid w:val="00963B35"/>
    <w:rsid w:val="00964201"/>
    <w:rsid w:val="00964EEF"/>
    <w:rsid w:val="00965211"/>
    <w:rsid w:val="0096521C"/>
    <w:rsid w:val="0096561A"/>
    <w:rsid w:val="009703F9"/>
    <w:rsid w:val="0097108B"/>
    <w:rsid w:val="00971B57"/>
    <w:rsid w:val="00971E2F"/>
    <w:rsid w:val="009723F8"/>
    <w:rsid w:val="009726C0"/>
    <w:rsid w:val="0097377C"/>
    <w:rsid w:val="0097416C"/>
    <w:rsid w:val="009745D7"/>
    <w:rsid w:val="00974923"/>
    <w:rsid w:val="00974A63"/>
    <w:rsid w:val="00975230"/>
    <w:rsid w:val="009756BB"/>
    <w:rsid w:val="0097583A"/>
    <w:rsid w:val="009775CB"/>
    <w:rsid w:val="00980A44"/>
    <w:rsid w:val="009814B2"/>
    <w:rsid w:val="00981505"/>
    <w:rsid w:val="00981727"/>
    <w:rsid w:val="00982AF6"/>
    <w:rsid w:val="00982BBA"/>
    <w:rsid w:val="00983776"/>
    <w:rsid w:val="00984631"/>
    <w:rsid w:val="00984E53"/>
    <w:rsid w:val="00986F79"/>
    <w:rsid w:val="00990BCD"/>
    <w:rsid w:val="009921D8"/>
    <w:rsid w:val="00993200"/>
    <w:rsid w:val="009932B1"/>
    <w:rsid w:val="0099554C"/>
    <w:rsid w:val="00997187"/>
    <w:rsid w:val="00997C77"/>
    <w:rsid w:val="009A10FE"/>
    <w:rsid w:val="009A1D5C"/>
    <w:rsid w:val="009A3BCD"/>
    <w:rsid w:val="009A4750"/>
    <w:rsid w:val="009A6DA7"/>
    <w:rsid w:val="009A6DBE"/>
    <w:rsid w:val="009B073F"/>
    <w:rsid w:val="009B23C0"/>
    <w:rsid w:val="009B2B0F"/>
    <w:rsid w:val="009B2C14"/>
    <w:rsid w:val="009B37EB"/>
    <w:rsid w:val="009B4330"/>
    <w:rsid w:val="009B5004"/>
    <w:rsid w:val="009B5C51"/>
    <w:rsid w:val="009B5CF4"/>
    <w:rsid w:val="009B6A65"/>
    <w:rsid w:val="009B6D94"/>
    <w:rsid w:val="009B7078"/>
    <w:rsid w:val="009C10C3"/>
    <w:rsid w:val="009C1791"/>
    <w:rsid w:val="009C3832"/>
    <w:rsid w:val="009C4474"/>
    <w:rsid w:val="009C57AB"/>
    <w:rsid w:val="009C5959"/>
    <w:rsid w:val="009D0E78"/>
    <w:rsid w:val="009D2245"/>
    <w:rsid w:val="009D2677"/>
    <w:rsid w:val="009D33AE"/>
    <w:rsid w:val="009D3C8C"/>
    <w:rsid w:val="009D3DCF"/>
    <w:rsid w:val="009D4AAA"/>
    <w:rsid w:val="009D4E23"/>
    <w:rsid w:val="009D51CD"/>
    <w:rsid w:val="009D7217"/>
    <w:rsid w:val="009E0443"/>
    <w:rsid w:val="009E4F0E"/>
    <w:rsid w:val="009E5A34"/>
    <w:rsid w:val="009E6C6E"/>
    <w:rsid w:val="009F0153"/>
    <w:rsid w:val="009F24A8"/>
    <w:rsid w:val="009F2CEB"/>
    <w:rsid w:val="009F360E"/>
    <w:rsid w:val="009F3A25"/>
    <w:rsid w:val="009F4B21"/>
    <w:rsid w:val="009F4B61"/>
    <w:rsid w:val="009F4DD5"/>
    <w:rsid w:val="009F5A16"/>
    <w:rsid w:val="009F6C20"/>
    <w:rsid w:val="00A0064F"/>
    <w:rsid w:val="00A010CF"/>
    <w:rsid w:val="00A01351"/>
    <w:rsid w:val="00A01B88"/>
    <w:rsid w:val="00A01ED3"/>
    <w:rsid w:val="00A03808"/>
    <w:rsid w:val="00A04A02"/>
    <w:rsid w:val="00A068BC"/>
    <w:rsid w:val="00A11718"/>
    <w:rsid w:val="00A128DE"/>
    <w:rsid w:val="00A14F7C"/>
    <w:rsid w:val="00A155E2"/>
    <w:rsid w:val="00A16742"/>
    <w:rsid w:val="00A173C7"/>
    <w:rsid w:val="00A200ED"/>
    <w:rsid w:val="00A20CDD"/>
    <w:rsid w:val="00A21829"/>
    <w:rsid w:val="00A21C68"/>
    <w:rsid w:val="00A2222F"/>
    <w:rsid w:val="00A237AF"/>
    <w:rsid w:val="00A23FAD"/>
    <w:rsid w:val="00A24AAA"/>
    <w:rsid w:val="00A24CAF"/>
    <w:rsid w:val="00A261B2"/>
    <w:rsid w:val="00A301B7"/>
    <w:rsid w:val="00A30731"/>
    <w:rsid w:val="00A318BC"/>
    <w:rsid w:val="00A3249C"/>
    <w:rsid w:val="00A325B1"/>
    <w:rsid w:val="00A34274"/>
    <w:rsid w:val="00A34ED3"/>
    <w:rsid w:val="00A35618"/>
    <w:rsid w:val="00A378A8"/>
    <w:rsid w:val="00A37B08"/>
    <w:rsid w:val="00A40B7F"/>
    <w:rsid w:val="00A41E70"/>
    <w:rsid w:val="00A44178"/>
    <w:rsid w:val="00A44476"/>
    <w:rsid w:val="00A44E80"/>
    <w:rsid w:val="00A4648F"/>
    <w:rsid w:val="00A511D9"/>
    <w:rsid w:val="00A529C0"/>
    <w:rsid w:val="00A5401F"/>
    <w:rsid w:val="00A541D9"/>
    <w:rsid w:val="00A54579"/>
    <w:rsid w:val="00A548B4"/>
    <w:rsid w:val="00A56032"/>
    <w:rsid w:val="00A576EE"/>
    <w:rsid w:val="00A6033C"/>
    <w:rsid w:val="00A60AB6"/>
    <w:rsid w:val="00A61326"/>
    <w:rsid w:val="00A63DF0"/>
    <w:rsid w:val="00A64A70"/>
    <w:rsid w:val="00A6507A"/>
    <w:rsid w:val="00A65537"/>
    <w:rsid w:val="00A65D16"/>
    <w:rsid w:val="00A66757"/>
    <w:rsid w:val="00A66DB5"/>
    <w:rsid w:val="00A72178"/>
    <w:rsid w:val="00A73401"/>
    <w:rsid w:val="00A76F49"/>
    <w:rsid w:val="00A77D17"/>
    <w:rsid w:val="00A80712"/>
    <w:rsid w:val="00A8250C"/>
    <w:rsid w:val="00A83B50"/>
    <w:rsid w:val="00A84D96"/>
    <w:rsid w:val="00A85494"/>
    <w:rsid w:val="00A8690A"/>
    <w:rsid w:val="00A86FDA"/>
    <w:rsid w:val="00A874E7"/>
    <w:rsid w:val="00A87576"/>
    <w:rsid w:val="00A907EF"/>
    <w:rsid w:val="00A90A89"/>
    <w:rsid w:val="00A91475"/>
    <w:rsid w:val="00A91678"/>
    <w:rsid w:val="00A93872"/>
    <w:rsid w:val="00A9478F"/>
    <w:rsid w:val="00AA0422"/>
    <w:rsid w:val="00AA0D8F"/>
    <w:rsid w:val="00AA1661"/>
    <w:rsid w:val="00AA1E72"/>
    <w:rsid w:val="00AA313D"/>
    <w:rsid w:val="00AB055D"/>
    <w:rsid w:val="00AB1DBF"/>
    <w:rsid w:val="00AB1DE7"/>
    <w:rsid w:val="00AB1E54"/>
    <w:rsid w:val="00AB21BC"/>
    <w:rsid w:val="00AB24F6"/>
    <w:rsid w:val="00AB24FE"/>
    <w:rsid w:val="00AB3F75"/>
    <w:rsid w:val="00AB46FF"/>
    <w:rsid w:val="00AB4897"/>
    <w:rsid w:val="00AB5DD5"/>
    <w:rsid w:val="00AB6B21"/>
    <w:rsid w:val="00AC0EFB"/>
    <w:rsid w:val="00AC125A"/>
    <w:rsid w:val="00AC430D"/>
    <w:rsid w:val="00AC4314"/>
    <w:rsid w:val="00AC4B11"/>
    <w:rsid w:val="00AC50E3"/>
    <w:rsid w:val="00AC59C0"/>
    <w:rsid w:val="00AC65F9"/>
    <w:rsid w:val="00AC79BC"/>
    <w:rsid w:val="00AD01AB"/>
    <w:rsid w:val="00AD0812"/>
    <w:rsid w:val="00AD0925"/>
    <w:rsid w:val="00AD4C3F"/>
    <w:rsid w:val="00AD56DC"/>
    <w:rsid w:val="00AD5F48"/>
    <w:rsid w:val="00AD5FA6"/>
    <w:rsid w:val="00AD6214"/>
    <w:rsid w:val="00AD682B"/>
    <w:rsid w:val="00AD68C1"/>
    <w:rsid w:val="00AE0252"/>
    <w:rsid w:val="00AE10A3"/>
    <w:rsid w:val="00AE21FD"/>
    <w:rsid w:val="00AE2710"/>
    <w:rsid w:val="00AE3777"/>
    <w:rsid w:val="00AE4251"/>
    <w:rsid w:val="00AE51D7"/>
    <w:rsid w:val="00AE60C6"/>
    <w:rsid w:val="00AE724E"/>
    <w:rsid w:val="00AE738E"/>
    <w:rsid w:val="00AE7D77"/>
    <w:rsid w:val="00AF0270"/>
    <w:rsid w:val="00AF1683"/>
    <w:rsid w:val="00AF1B9D"/>
    <w:rsid w:val="00AF1ED3"/>
    <w:rsid w:val="00AF4F98"/>
    <w:rsid w:val="00AF5F49"/>
    <w:rsid w:val="00AF7AF4"/>
    <w:rsid w:val="00AF7EC3"/>
    <w:rsid w:val="00B0248A"/>
    <w:rsid w:val="00B02F99"/>
    <w:rsid w:val="00B04D15"/>
    <w:rsid w:val="00B06617"/>
    <w:rsid w:val="00B1033D"/>
    <w:rsid w:val="00B10468"/>
    <w:rsid w:val="00B108D7"/>
    <w:rsid w:val="00B11C82"/>
    <w:rsid w:val="00B11D49"/>
    <w:rsid w:val="00B11FAF"/>
    <w:rsid w:val="00B13B04"/>
    <w:rsid w:val="00B14A14"/>
    <w:rsid w:val="00B14E59"/>
    <w:rsid w:val="00B160D0"/>
    <w:rsid w:val="00B16689"/>
    <w:rsid w:val="00B2160B"/>
    <w:rsid w:val="00B21DBD"/>
    <w:rsid w:val="00B21E08"/>
    <w:rsid w:val="00B22AC8"/>
    <w:rsid w:val="00B24620"/>
    <w:rsid w:val="00B2483B"/>
    <w:rsid w:val="00B26F55"/>
    <w:rsid w:val="00B27DF1"/>
    <w:rsid w:val="00B302D8"/>
    <w:rsid w:val="00B30FBE"/>
    <w:rsid w:val="00B3133B"/>
    <w:rsid w:val="00B3160E"/>
    <w:rsid w:val="00B31EF9"/>
    <w:rsid w:val="00B33E63"/>
    <w:rsid w:val="00B3417A"/>
    <w:rsid w:val="00B35604"/>
    <w:rsid w:val="00B357C8"/>
    <w:rsid w:val="00B3588E"/>
    <w:rsid w:val="00B37C5E"/>
    <w:rsid w:val="00B37E5B"/>
    <w:rsid w:val="00B403DA"/>
    <w:rsid w:val="00B409BC"/>
    <w:rsid w:val="00B41DD7"/>
    <w:rsid w:val="00B41E61"/>
    <w:rsid w:val="00B43464"/>
    <w:rsid w:val="00B43C53"/>
    <w:rsid w:val="00B4483D"/>
    <w:rsid w:val="00B4539A"/>
    <w:rsid w:val="00B4594F"/>
    <w:rsid w:val="00B46AD5"/>
    <w:rsid w:val="00B47F83"/>
    <w:rsid w:val="00B501F8"/>
    <w:rsid w:val="00B50714"/>
    <w:rsid w:val="00B518E0"/>
    <w:rsid w:val="00B51C64"/>
    <w:rsid w:val="00B526E7"/>
    <w:rsid w:val="00B528FA"/>
    <w:rsid w:val="00B535D2"/>
    <w:rsid w:val="00B53F2C"/>
    <w:rsid w:val="00B5524D"/>
    <w:rsid w:val="00B569C3"/>
    <w:rsid w:val="00B56C9B"/>
    <w:rsid w:val="00B56E94"/>
    <w:rsid w:val="00B6000B"/>
    <w:rsid w:val="00B62635"/>
    <w:rsid w:val="00B640A3"/>
    <w:rsid w:val="00B650CE"/>
    <w:rsid w:val="00B65F0F"/>
    <w:rsid w:val="00B66FA9"/>
    <w:rsid w:val="00B67433"/>
    <w:rsid w:val="00B67EA6"/>
    <w:rsid w:val="00B7044B"/>
    <w:rsid w:val="00B718BE"/>
    <w:rsid w:val="00B727D3"/>
    <w:rsid w:val="00B73F9B"/>
    <w:rsid w:val="00B767FD"/>
    <w:rsid w:val="00B76CA6"/>
    <w:rsid w:val="00B76D4D"/>
    <w:rsid w:val="00B76D67"/>
    <w:rsid w:val="00B82FE7"/>
    <w:rsid w:val="00B83441"/>
    <w:rsid w:val="00B83B38"/>
    <w:rsid w:val="00B8414E"/>
    <w:rsid w:val="00B84254"/>
    <w:rsid w:val="00B849BA"/>
    <w:rsid w:val="00B85E14"/>
    <w:rsid w:val="00B86668"/>
    <w:rsid w:val="00B870CE"/>
    <w:rsid w:val="00B871AB"/>
    <w:rsid w:val="00B875B8"/>
    <w:rsid w:val="00B908DD"/>
    <w:rsid w:val="00B90F91"/>
    <w:rsid w:val="00B91CDF"/>
    <w:rsid w:val="00B92D58"/>
    <w:rsid w:val="00B92FA7"/>
    <w:rsid w:val="00B95937"/>
    <w:rsid w:val="00B96E90"/>
    <w:rsid w:val="00B97F08"/>
    <w:rsid w:val="00BA22A5"/>
    <w:rsid w:val="00BA3BB3"/>
    <w:rsid w:val="00BA4911"/>
    <w:rsid w:val="00BA506E"/>
    <w:rsid w:val="00BA6D9D"/>
    <w:rsid w:val="00BB03B3"/>
    <w:rsid w:val="00BB0E63"/>
    <w:rsid w:val="00BB1055"/>
    <w:rsid w:val="00BB110A"/>
    <w:rsid w:val="00BB21AB"/>
    <w:rsid w:val="00BB24DF"/>
    <w:rsid w:val="00BB270B"/>
    <w:rsid w:val="00BB3663"/>
    <w:rsid w:val="00BB37DB"/>
    <w:rsid w:val="00BB3927"/>
    <w:rsid w:val="00BB4837"/>
    <w:rsid w:val="00BB4DAD"/>
    <w:rsid w:val="00BB5821"/>
    <w:rsid w:val="00BB75A2"/>
    <w:rsid w:val="00BB7B8A"/>
    <w:rsid w:val="00BC4BD2"/>
    <w:rsid w:val="00BC515C"/>
    <w:rsid w:val="00BC55EF"/>
    <w:rsid w:val="00BC6132"/>
    <w:rsid w:val="00BC6506"/>
    <w:rsid w:val="00BC6E8F"/>
    <w:rsid w:val="00BC7E30"/>
    <w:rsid w:val="00BD43D1"/>
    <w:rsid w:val="00BE05F5"/>
    <w:rsid w:val="00BE1B2C"/>
    <w:rsid w:val="00BE1DE0"/>
    <w:rsid w:val="00BE201C"/>
    <w:rsid w:val="00BE3D89"/>
    <w:rsid w:val="00BE6B2D"/>
    <w:rsid w:val="00BE7D6F"/>
    <w:rsid w:val="00BF139D"/>
    <w:rsid w:val="00BF1EC2"/>
    <w:rsid w:val="00BF3A06"/>
    <w:rsid w:val="00BF5529"/>
    <w:rsid w:val="00BF5A83"/>
    <w:rsid w:val="00BF6440"/>
    <w:rsid w:val="00BF7C71"/>
    <w:rsid w:val="00C0039C"/>
    <w:rsid w:val="00C00A9C"/>
    <w:rsid w:val="00C01628"/>
    <w:rsid w:val="00C02B04"/>
    <w:rsid w:val="00C033AB"/>
    <w:rsid w:val="00C06676"/>
    <w:rsid w:val="00C068AA"/>
    <w:rsid w:val="00C06BD5"/>
    <w:rsid w:val="00C07860"/>
    <w:rsid w:val="00C10359"/>
    <w:rsid w:val="00C12738"/>
    <w:rsid w:val="00C129B9"/>
    <w:rsid w:val="00C143C9"/>
    <w:rsid w:val="00C14A75"/>
    <w:rsid w:val="00C1507E"/>
    <w:rsid w:val="00C15CFD"/>
    <w:rsid w:val="00C20807"/>
    <w:rsid w:val="00C21C4C"/>
    <w:rsid w:val="00C262AB"/>
    <w:rsid w:val="00C269C2"/>
    <w:rsid w:val="00C26A9C"/>
    <w:rsid w:val="00C26CB9"/>
    <w:rsid w:val="00C308A4"/>
    <w:rsid w:val="00C32909"/>
    <w:rsid w:val="00C3322D"/>
    <w:rsid w:val="00C33255"/>
    <w:rsid w:val="00C34431"/>
    <w:rsid w:val="00C34853"/>
    <w:rsid w:val="00C34BA8"/>
    <w:rsid w:val="00C36B35"/>
    <w:rsid w:val="00C36CB1"/>
    <w:rsid w:val="00C37225"/>
    <w:rsid w:val="00C4007B"/>
    <w:rsid w:val="00C4286B"/>
    <w:rsid w:val="00C4301D"/>
    <w:rsid w:val="00C43032"/>
    <w:rsid w:val="00C43D7E"/>
    <w:rsid w:val="00C4415B"/>
    <w:rsid w:val="00C4420A"/>
    <w:rsid w:val="00C44482"/>
    <w:rsid w:val="00C464DA"/>
    <w:rsid w:val="00C46EA8"/>
    <w:rsid w:val="00C50013"/>
    <w:rsid w:val="00C511A5"/>
    <w:rsid w:val="00C52038"/>
    <w:rsid w:val="00C53BA2"/>
    <w:rsid w:val="00C53C12"/>
    <w:rsid w:val="00C547F6"/>
    <w:rsid w:val="00C5521B"/>
    <w:rsid w:val="00C56B24"/>
    <w:rsid w:val="00C56B56"/>
    <w:rsid w:val="00C63B40"/>
    <w:rsid w:val="00C63D4D"/>
    <w:rsid w:val="00C645B7"/>
    <w:rsid w:val="00C667D8"/>
    <w:rsid w:val="00C66FD7"/>
    <w:rsid w:val="00C67EF5"/>
    <w:rsid w:val="00C707F1"/>
    <w:rsid w:val="00C71A86"/>
    <w:rsid w:val="00C721AF"/>
    <w:rsid w:val="00C721DF"/>
    <w:rsid w:val="00C73270"/>
    <w:rsid w:val="00C74CC5"/>
    <w:rsid w:val="00C754A3"/>
    <w:rsid w:val="00C76E65"/>
    <w:rsid w:val="00C81B59"/>
    <w:rsid w:val="00C83A48"/>
    <w:rsid w:val="00C83A82"/>
    <w:rsid w:val="00C83AB0"/>
    <w:rsid w:val="00C85D7E"/>
    <w:rsid w:val="00C865DC"/>
    <w:rsid w:val="00C867F5"/>
    <w:rsid w:val="00C86EB7"/>
    <w:rsid w:val="00C903C9"/>
    <w:rsid w:val="00C9084A"/>
    <w:rsid w:val="00C91BE5"/>
    <w:rsid w:val="00C92836"/>
    <w:rsid w:val="00C940DC"/>
    <w:rsid w:val="00C95916"/>
    <w:rsid w:val="00C95A72"/>
    <w:rsid w:val="00CA0894"/>
    <w:rsid w:val="00CA08D0"/>
    <w:rsid w:val="00CA10C8"/>
    <w:rsid w:val="00CA22AC"/>
    <w:rsid w:val="00CA2E31"/>
    <w:rsid w:val="00CA4AF1"/>
    <w:rsid w:val="00CA535E"/>
    <w:rsid w:val="00CA53E3"/>
    <w:rsid w:val="00CA6B33"/>
    <w:rsid w:val="00CA7618"/>
    <w:rsid w:val="00CB0FF4"/>
    <w:rsid w:val="00CB1C62"/>
    <w:rsid w:val="00CB2553"/>
    <w:rsid w:val="00CB2B90"/>
    <w:rsid w:val="00CB45AC"/>
    <w:rsid w:val="00CB5D06"/>
    <w:rsid w:val="00CB5DBE"/>
    <w:rsid w:val="00CB61A2"/>
    <w:rsid w:val="00CB7856"/>
    <w:rsid w:val="00CB7CDC"/>
    <w:rsid w:val="00CC2DB3"/>
    <w:rsid w:val="00CC3130"/>
    <w:rsid w:val="00CC3FD1"/>
    <w:rsid w:val="00CC4F71"/>
    <w:rsid w:val="00CC6F62"/>
    <w:rsid w:val="00CC7EDB"/>
    <w:rsid w:val="00CD3C92"/>
    <w:rsid w:val="00CD4C44"/>
    <w:rsid w:val="00CD6A3E"/>
    <w:rsid w:val="00CD6F20"/>
    <w:rsid w:val="00CD7678"/>
    <w:rsid w:val="00CD7F66"/>
    <w:rsid w:val="00CE005D"/>
    <w:rsid w:val="00CE19C7"/>
    <w:rsid w:val="00CE3BBE"/>
    <w:rsid w:val="00CE3DD8"/>
    <w:rsid w:val="00CE57B9"/>
    <w:rsid w:val="00CE5966"/>
    <w:rsid w:val="00CE7514"/>
    <w:rsid w:val="00CF0670"/>
    <w:rsid w:val="00CF09E4"/>
    <w:rsid w:val="00CF0B75"/>
    <w:rsid w:val="00CF12F1"/>
    <w:rsid w:val="00CF13A0"/>
    <w:rsid w:val="00CF1560"/>
    <w:rsid w:val="00CF1B3F"/>
    <w:rsid w:val="00CF2D1F"/>
    <w:rsid w:val="00CF2EA1"/>
    <w:rsid w:val="00CF3894"/>
    <w:rsid w:val="00CF3A1C"/>
    <w:rsid w:val="00CF3CDD"/>
    <w:rsid w:val="00CF44B7"/>
    <w:rsid w:val="00CF4FCE"/>
    <w:rsid w:val="00CF554D"/>
    <w:rsid w:val="00CF6022"/>
    <w:rsid w:val="00CF778D"/>
    <w:rsid w:val="00CF781E"/>
    <w:rsid w:val="00D0041F"/>
    <w:rsid w:val="00D00F2B"/>
    <w:rsid w:val="00D02D84"/>
    <w:rsid w:val="00D03665"/>
    <w:rsid w:val="00D03911"/>
    <w:rsid w:val="00D06A0B"/>
    <w:rsid w:val="00D11EDD"/>
    <w:rsid w:val="00D1470A"/>
    <w:rsid w:val="00D15384"/>
    <w:rsid w:val="00D17A7C"/>
    <w:rsid w:val="00D2030D"/>
    <w:rsid w:val="00D216A2"/>
    <w:rsid w:val="00D225BD"/>
    <w:rsid w:val="00D22FC2"/>
    <w:rsid w:val="00D23390"/>
    <w:rsid w:val="00D23DB7"/>
    <w:rsid w:val="00D24165"/>
    <w:rsid w:val="00D24634"/>
    <w:rsid w:val="00D24F39"/>
    <w:rsid w:val="00D2567D"/>
    <w:rsid w:val="00D2570F"/>
    <w:rsid w:val="00D25C5C"/>
    <w:rsid w:val="00D264E1"/>
    <w:rsid w:val="00D27425"/>
    <w:rsid w:val="00D30B80"/>
    <w:rsid w:val="00D3190C"/>
    <w:rsid w:val="00D31C04"/>
    <w:rsid w:val="00D320B9"/>
    <w:rsid w:val="00D32CE7"/>
    <w:rsid w:val="00D33F02"/>
    <w:rsid w:val="00D33F95"/>
    <w:rsid w:val="00D3765C"/>
    <w:rsid w:val="00D409AE"/>
    <w:rsid w:val="00D424F2"/>
    <w:rsid w:val="00D43458"/>
    <w:rsid w:val="00D44D13"/>
    <w:rsid w:val="00D45C47"/>
    <w:rsid w:val="00D46F5F"/>
    <w:rsid w:val="00D47145"/>
    <w:rsid w:val="00D50B63"/>
    <w:rsid w:val="00D5194A"/>
    <w:rsid w:val="00D5276D"/>
    <w:rsid w:val="00D52D91"/>
    <w:rsid w:val="00D535EB"/>
    <w:rsid w:val="00D54229"/>
    <w:rsid w:val="00D5576D"/>
    <w:rsid w:val="00D56CAB"/>
    <w:rsid w:val="00D57209"/>
    <w:rsid w:val="00D61637"/>
    <w:rsid w:val="00D61BF2"/>
    <w:rsid w:val="00D6264B"/>
    <w:rsid w:val="00D641BE"/>
    <w:rsid w:val="00D6523F"/>
    <w:rsid w:val="00D65AFB"/>
    <w:rsid w:val="00D6628A"/>
    <w:rsid w:val="00D66DA5"/>
    <w:rsid w:val="00D70952"/>
    <w:rsid w:val="00D709BA"/>
    <w:rsid w:val="00D70CF8"/>
    <w:rsid w:val="00D71347"/>
    <w:rsid w:val="00D7199A"/>
    <w:rsid w:val="00D73104"/>
    <w:rsid w:val="00D74789"/>
    <w:rsid w:val="00D74E06"/>
    <w:rsid w:val="00D775ED"/>
    <w:rsid w:val="00D80489"/>
    <w:rsid w:val="00D80E3C"/>
    <w:rsid w:val="00D80E53"/>
    <w:rsid w:val="00D812FD"/>
    <w:rsid w:val="00D817B4"/>
    <w:rsid w:val="00D820CB"/>
    <w:rsid w:val="00D82BC7"/>
    <w:rsid w:val="00D82C2E"/>
    <w:rsid w:val="00D83230"/>
    <w:rsid w:val="00D851ED"/>
    <w:rsid w:val="00D90232"/>
    <w:rsid w:val="00D90539"/>
    <w:rsid w:val="00D91381"/>
    <w:rsid w:val="00D9367F"/>
    <w:rsid w:val="00D94EA1"/>
    <w:rsid w:val="00D97862"/>
    <w:rsid w:val="00DA01E5"/>
    <w:rsid w:val="00DA06ED"/>
    <w:rsid w:val="00DA0E5E"/>
    <w:rsid w:val="00DA140A"/>
    <w:rsid w:val="00DA1E80"/>
    <w:rsid w:val="00DA32E4"/>
    <w:rsid w:val="00DA3F75"/>
    <w:rsid w:val="00DA480F"/>
    <w:rsid w:val="00DA76FA"/>
    <w:rsid w:val="00DA786B"/>
    <w:rsid w:val="00DA7B23"/>
    <w:rsid w:val="00DB0D2C"/>
    <w:rsid w:val="00DB162D"/>
    <w:rsid w:val="00DB19CF"/>
    <w:rsid w:val="00DB222C"/>
    <w:rsid w:val="00DB2AF9"/>
    <w:rsid w:val="00DB3C98"/>
    <w:rsid w:val="00DB420D"/>
    <w:rsid w:val="00DB5A59"/>
    <w:rsid w:val="00DB5CD1"/>
    <w:rsid w:val="00DB6116"/>
    <w:rsid w:val="00DB64B0"/>
    <w:rsid w:val="00DB6565"/>
    <w:rsid w:val="00DC07B2"/>
    <w:rsid w:val="00DC12BA"/>
    <w:rsid w:val="00DC21C0"/>
    <w:rsid w:val="00DC2333"/>
    <w:rsid w:val="00DC2BC6"/>
    <w:rsid w:val="00DC35D7"/>
    <w:rsid w:val="00DC3ED1"/>
    <w:rsid w:val="00DC449D"/>
    <w:rsid w:val="00DC4F2A"/>
    <w:rsid w:val="00DC4FEA"/>
    <w:rsid w:val="00DD0780"/>
    <w:rsid w:val="00DD159B"/>
    <w:rsid w:val="00DD171B"/>
    <w:rsid w:val="00DD1989"/>
    <w:rsid w:val="00DD2F27"/>
    <w:rsid w:val="00DD3172"/>
    <w:rsid w:val="00DD40A9"/>
    <w:rsid w:val="00DD46D7"/>
    <w:rsid w:val="00DD564F"/>
    <w:rsid w:val="00DD577A"/>
    <w:rsid w:val="00DD613D"/>
    <w:rsid w:val="00DD6363"/>
    <w:rsid w:val="00DD7557"/>
    <w:rsid w:val="00DD79DF"/>
    <w:rsid w:val="00DE0DB6"/>
    <w:rsid w:val="00DE1036"/>
    <w:rsid w:val="00DE18E3"/>
    <w:rsid w:val="00DE3D82"/>
    <w:rsid w:val="00DE3E7F"/>
    <w:rsid w:val="00DE551A"/>
    <w:rsid w:val="00DE556A"/>
    <w:rsid w:val="00DE5F9D"/>
    <w:rsid w:val="00DE6263"/>
    <w:rsid w:val="00DE6ED6"/>
    <w:rsid w:val="00DF0373"/>
    <w:rsid w:val="00DF0828"/>
    <w:rsid w:val="00DF170C"/>
    <w:rsid w:val="00DF1D1E"/>
    <w:rsid w:val="00DF4370"/>
    <w:rsid w:val="00DF5A6F"/>
    <w:rsid w:val="00DF6197"/>
    <w:rsid w:val="00DF7E37"/>
    <w:rsid w:val="00E0040F"/>
    <w:rsid w:val="00E00965"/>
    <w:rsid w:val="00E00A66"/>
    <w:rsid w:val="00E00BBB"/>
    <w:rsid w:val="00E01D81"/>
    <w:rsid w:val="00E02A15"/>
    <w:rsid w:val="00E030F6"/>
    <w:rsid w:val="00E03C10"/>
    <w:rsid w:val="00E04634"/>
    <w:rsid w:val="00E04F00"/>
    <w:rsid w:val="00E052A1"/>
    <w:rsid w:val="00E0686F"/>
    <w:rsid w:val="00E06C90"/>
    <w:rsid w:val="00E07097"/>
    <w:rsid w:val="00E074A0"/>
    <w:rsid w:val="00E10097"/>
    <w:rsid w:val="00E11AA7"/>
    <w:rsid w:val="00E11F5E"/>
    <w:rsid w:val="00E1292E"/>
    <w:rsid w:val="00E140CD"/>
    <w:rsid w:val="00E20C75"/>
    <w:rsid w:val="00E20F32"/>
    <w:rsid w:val="00E20FA6"/>
    <w:rsid w:val="00E2103A"/>
    <w:rsid w:val="00E2184C"/>
    <w:rsid w:val="00E21F12"/>
    <w:rsid w:val="00E21F20"/>
    <w:rsid w:val="00E22564"/>
    <w:rsid w:val="00E22776"/>
    <w:rsid w:val="00E227D4"/>
    <w:rsid w:val="00E22A99"/>
    <w:rsid w:val="00E22B0C"/>
    <w:rsid w:val="00E23740"/>
    <w:rsid w:val="00E2440A"/>
    <w:rsid w:val="00E24A76"/>
    <w:rsid w:val="00E254ED"/>
    <w:rsid w:val="00E264F2"/>
    <w:rsid w:val="00E27B1D"/>
    <w:rsid w:val="00E32FF6"/>
    <w:rsid w:val="00E3443C"/>
    <w:rsid w:val="00E34499"/>
    <w:rsid w:val="00E348CD"/>
    <w:rsid w:val="00E35994"/>
    <w:rsid w:val="00E36B9F"/>
    <w:rsid w:val="00E37C54"/>
    <w:rsid w:val="00E4034D"/>
    <w:rsid w:val="00E40A96"/>
    <w:rsid w:val="00E41144"/>
    <w:rsid w:val="00E42C25"/>
    <w:rsid w:val="00E4501D"/>
    <w:rsid w:val="00E452EA"/>
    <w:rsid w:val="00E47C01"/>
    <w:rsid w:val="00E5052C"/>
    <w:rsid w:val="00E5152C"/>
    <w:rsid w:val="00E53036"/>
    <w:rsid w:val="00E538A8"/>
    <w:rsid w:val="00E539B6"/>
    <w:rsid w:val="00E54882"/>
    <w:rsid w:val="00E5527A"/>
    <w:rsid w:val="00E55556"/>
    <w:rsid w:val="00E56419"/>
    <w:rsid w:val="00E602B4"/>
    <w:rsid w:val="00E603F1"/>
    <w:rsid w:val="00E63A5F"/>
    <w:rsid w:val="00E63F6F"/>
    <w:rsid w:val="00E64BCE"/>
    <w:rsid w:val="00E64CFA"/>
    <w:rsid w:val="00E64D16"/>
    <w:rsid w:val="00E661B5"/>
    <w:rsid w:val="00E6669D"/>
    <w:rsid w:val="00E671CE"/>
    <w:rsid w:val="00E67634"/>
    <w:rsid w:val="00E70262"/>
    <w:rsid w:val="00E7030E"/>
    <w:rsid w:val="00E70859"/>
    <w:rsid w:val="00E72FC6"/>
    <w:rsid w:val="00E74D5B"/>
    <w:rsid w:val="00E75693"/>
    <w:rsid w:val="00E75B5F"/>
    <w:rsid w:val="00E76380"/>
    <w:rsid w:val="00E76C16"/>
    <w:rsid w:val="00E80FA7"/>
    <w:rsid w:val="00E81009"/>
    <w:rsid w:val="00E8135A"/>
    <w:rsid w:val="00E813A0"/>
    <w:rsid w:val="00E8228D"/>
    <w:rsid w:val="00E84279"/>
    <w:rsid w:val="00E84568"/>
    <w:rsid w:val="00E8564C"/>
    <w:rsid w:val="00E90B10"/>
    <w:rsid w:val="00E91099"/>
    <w:rsid w:val="00E91FAA"/>
    <w:rsid w:val="00E92231"/>
    <w:rsid w:val="00E92886"/>
    <w:rsid w:val="00E954CE"/>
    <w:rsid w:val="00E9705D"/>
    <w:rsid w:val="00EA095D"/>
    <w:rsid w:val="00EA149C"/>
    <w:rsid w:val="00EA1CE8"/>
    <w:rsid w:val="00EA2A76"/>
    <w:rsid w:val="00EA34B1"/>
    <w:rsid w:val="00EA4B1F"/>
    <w:rsid w:val="00EA56FA"/>
    <w:rsid w:val="00EA5D17"/>
    <w:rsid w:val="00EA6323"/>
    <w:rsid w:val="00EA7433"/>
    <w:rsid w:val="00EB255D"/>
    <w:rsid w:val="00EB29A3"/>
    <w:rsid w:val="00EB31DE"/>
    <w:rsid w:val="00EB390C"/>
    <w:rsid w:val="00EB4064"/>
    <w:rsid w:val="00EB4B1D"/>
    <w:rsid w:val="00EB4E4F"/>
    <w:rsid w:val="00EB57AD"/>
    <w:rsid w:val="00EB5A05"/>
    <w:rsid w:val="00EB6783"/>
    <w:rsid w:val="00EB744F"/>
    <w:rsid w:val="00EB789E"/>
    <w:rsid w:val="00EC1F89"/>
    <w:rsid w:val="00EC34B1"/>
    <w:rsid w:val="00EC45D0"/>
    <w:rsid w:val="00EC527F"/>
    <w:rsid w:val="00EC64FA"/>
    <w:rsid w:val="00EC68B4"/>
    <w:rsid w:val="00EC718F"/>
    <w:rsid w:val="00EC745E"/>
    <w:rsid w:val="00EC74AB"/>
    <w:rsid w:val="00EC74FF"/>
    <w:rsid w:val="00EC7925"/>
    <w:rsid w:val="00EC79A6"/>
    <w:rsid w:val="00EC7B08"/>
    <w:rsid w:val="00EC7D70"/>
    <w:rsid w:val="00ED081D"/>
    <w:rsid w:val="00ED20FC"/>
    <w:rsid w:val="00ED38C3"/>
    <w:rsid w:val="00ED4802"/>
    <w:rsid w:val="00ED4DE7"/>
    <w:rsid w:val="00EE34A4"/>
    <w:rsid w:val="00EE40D0"/>
    <w:rsid w:val="00EE470D"/>
    <w:rsid w:val="00EE7501"/>
    <w:rsid w:val="00EE7EEF"/>
    <w:rsid w:val="00EE7F3B"/>
    <w:rsid w:val="00EF0878"/>
    <w:rsid w:val="00EF0E77"/>
    <w:rsid w:val="00EF2E66"/>
    <w:rsid w:val="00EF3D25"/>
    <w:rsid w:val="00EF44EE"/>
    <w:rsid w:val="00EF54A6"/>
    <w:rsid w:val="00EF5670"/>
    <w:rsid w:val="00EF5F0D"/>
    <w:rsid w:val="00EF5F8B"/>
    <w:rsid w:val="00EF6DCE"/>
    <w:rsid w:val="00EF7BC2"/>
    <w:rsid w:val="00EF7FBE"/>
    <w:rsid w:val="00F0310B"/>
    <w:rsid w:val="00F03FC5"/>
    <w:rsid w:val="00F10437"/>
    <w:rsid w:val="00F12C8C"/>
    <w:rsid w:val="00F15D75"/>
    <w:rsid w:val="00F16AD9"/>
    <w:rsid w:val="00F16F90"/>
    <w:rsid w:val="00F171D3"/>
    <w:rsid w:val="00F201FB"/>
    <w:rsid w:val="00F20FF4"/>
    <w:rsid w:val="00F2157C"/>
    <w:rsid w:val="00F21822"/>
    <w:rsid w:val="00F22976"/>
    <w:rsid w:val="00F23259"/>
    <w:rsid w:val="00F2356E"/>
    <w:rsid w:val="00F23E79"/>
    <w:rsid w:val="00F250AF"/>
    <w:rsid w:val="00F25E92"/>
    <w:rsid w:val="00F2610F"/>
    <w:rsid w:val="00F276B0"/>
    <w:rsid w:val="00F27E9E"/>
    <w:rsid w:val="00F3260D"/>
    <w:rsid w:val="00F3294F"/>
    <w:rsid w:val="00F3367D"/>
    <w:rsid w:val="00F33B83"/>
    <w:rsid w:val="00F36665"/>
    <w:rsid w:val="00F37A10"/>
    <w:rsid w:val="00F4036B"/>
    <w:rsid w:val="00F413B1"/>
    <w:rsid w:val="00F42579"/>
    <w:rsid w:val="00F42E93"/>
    <w:rsid w:val="00F42FA5"/>
    <w:rsid w:val="00F442B1"/>
    <w:rsid w:val="00F444B8"/>
    <w:rsid w:val="00F44CD4"/>
    <w:rsid w:val="00F4556D"/>
    <w:rsid w:val="00F46262"/>
    <w:rsid w:val="00F46CE1"/>
    <w:rsid w:val="00F50AE6"/>
    <w:rsid w:val="00F50E9E"/>
    <w:rsid w:val="00F512C5"/>
    <w:rsid w:val="00F51684"/>
    <w:rsid w:val="00F5315E"/>
    <w:rsid w:val="00F53367"/>
    <w:rsid w:val="00F53821"/>
    <w:rsid w:val="00F539AA"/>
    <w:rsid w:val="00F53D3E"/>
    <w:rsid w:val="00F56804"/>
    <w:rsid w:val="00F56F13"/>
    <w:rsid w:val="00F574CF"/>
    <w:rsid w:val="00F57858"/>
    <w:rsid w:val="00F610DE"/>
    <w:rsid w:val="00F6127C"/>
    <w:rsid w:val="00F6190C"/>
    <w:rsid w:val="00F64527"/>
    <w:rsid w:val="00F64CB0"/>
    <w:rsid w:val="00F64F0B"/>
    <w:rsid w:val="00F6534D"/>
    <w:rsid w:val="00F65F96"/>
    <w:rsid w:val="00F66752"/>
    <w:rsid w:val="00F67E21"/>
    <w:rsid w:val="00F70650"/>
    <w:rsid w:val="00F708B0"/>
    <w:rsid w:val="00F719F0"/>
    <w:rsid w:val="00F71AC4"/>
    <w:rsid w:val="00F73087"/>
    <w:rsid w:val="00F73EF5"/>
    <w:rsid w:val="00F757DE"/>
    <w:rsid w:val="00F75D99"/>
    <w:rsid w:val="00F75E45"/>
    <w:rsid w:val="00F81C2C"/>
    <w:rsid w:val="00F83799"/>
    <w:rsid w:val="00F845A5"/>
    <w:rsid w:val="00F84C3D"/>
    <w:rsid w:val="00F85343"/>
    <w:rsid w:val="00F87E23"/>
    <w:rsid w:val="00F87E24"/>
    <w:rsid w:val="00F90BFD"/>
    <w:rsid w:val="00F90F01"/>
    <w:rsid w:val="00F918D8"/>
    <w:rsid w:val="00F92A3E"/>
    <w:rsid w:val="00F9407F"/>
    <w:rsid w:val="00F95245"/>
    <w:rsid w:val="00F9537A"/>
    <w:rsid w:val="00F964B7"/>
    <w:rsid w:val="00F97B32"/>
    <w:rsid w:val="00FA01CC"/>
    <w:rsid w:val="00FA0A94"/>
    <w:rsid w:val="00FA1A21"/>
    <w:rsid w:val="00FA1B6A"/>
    <w:rsid w:val="00FA24E7"/>
    <w:rsid w:val="00FA50EB"/>
    <w:rsid w:val="00FA5DBB"/>
    <w:rsid w:val="00FA66E7"/>
    <w:rsid w:val="00FA6A89"/>
    <w:rsid w:val="00FB0035"/>
    <w:rsid w:val="00FB194E"/>
    <w:rsid w:val="00FB300A"/>
    <w:rsid w:val="00FB3CD0"/>
    <w:rsid w:val="00FB50B0"/>
    <w:rsid w:val="00FB638A"/>
    <w:rsid w:val="00FB6E99"/>
    <w:rsid w:val="00FB78AE"/>
    <w:rsid w:val="00FC015F"/>
    <w:rsid w:val="00FC099A"/>
    <w:rsid w:val="00FC171D"/>
    <w:rsid w:val="00FC4159"/>
    <w:rsid w:val="00FC71C6"/>
    <w:rsid w:val="00FC7924"/>
    <w:rsid w:val="00FC7C97"/>
    <w:rsid w:val="00FD1969"/>
    <w:rsid w:val="00FD2DD8"/>
    <w:rsid w:val="00FD415F"/>
    <w:rsid w:val="00FD6159"/>
    <w:rsid w:val="00FD644E"/>
    <w:rsid w:val="00FD7231"/>
    <w:rsid w:val="00FD7BF4"/>
    <w:rsid w:val="00FD7FCB"/>
    <w:rsid w:val="00FE06BF"/>
    <w:rsid w:val="00FE0E05"/>
    <w:rsid w:val="00FE21E5"/>
    <w:rsid w:val="00FE4A94"/>
    <w:rsid w:val="00FE5208"/>
    <w:rsid w:val="00FE6DA8"/>
    <w:rsid w:val="00FE6DE1"/>
    <w:rsid w:val="00FF0BF8"/>
    <w:rsid w:val="00FF0EF7"/>
    <w:rsid w:val="00FF30E2"/>
    <w:rsid w:val="00FF3703"/>
    <w:rsid w:val="00FF581E"/>
    <w:rsid w:val="00FF592C"/>
    <w:rsid w:val="00FF5E5B"/>
    <w:rsid w:val="00FF602E"/>
    <w:rsid w:val="00FF60C1"/>
    <w:rsid w:val="00FF6932"/>
    <w:rsid w:val="00FF6B84"/>
    <w:rsid w:val="00FF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1D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4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385176"/>
    <w:pPr>
      <w:tabs>
        <w:tab w:val="left" w:pos="720"/>
      </w:tabs>
      <w:spacing w:after="0" w:line="480" w:lineRule="atLeast"/>
      <w:ind w:firstLine="720"/>
    </w:pPr>
  </w:style>
  <w:style w:type="paragraph" w:styleId="Heading1">
    <w:name w:val="heading 1"/>
    <w:basedOn w:val="Normal"/>
    <w:next w:val="Normal"/>
    <w:link w:val="Heading1Char"/>
    <w:autoRedefine/>
    <w:uiPriority w:val="9"/>
    <w:qFormat/>
    <w:rsid w:val="00752E03"/>
    <w:pPr>
      <w:keepNext/>
      <w:ind w:firstLine="0"/>
      <w:jc w:val="center"/>
      <w:outlineLvl w:val="0"/>
    </w:pPr>
    <w:rPr>
      <w:rFonts w:eastAsiaTheme="majorEastAsia"/>
      <w:b/>
      <w:bCs/>
      <w:caps/>
      <w:szCs w:val="32"/>
    </w:rPr>
  </w:style>
  <w:style w:type="paragraph" w:styleId="Heading2">
    <w:name w:val="heading 2"/>
    <w:basedOn w:val="Normal"/>
    <w:next w:val="Normal"/>
    <w:link w:val="Heading2Char"/>
    <w:uiPriority w:val="9"/>
    <w:qFormat/>
    <w:rsid w:val="00752E03"/>
    <w:pPr>
      <w:keepNext/>
      <w:ind w:left="720" w:firstLine="0"/>
      <w:outlineLvl w:val="1"/>
    </w:pPr>
    <w:rPr>
      <w:rFonts w:eastAsiaTheme="majorEastAsia"/>
      <w:bCs/>
      <w:i/>
      <w:iCs/>
      <w:szCs w:val="28"/>
    </w:rPr>
  </w:style>
  <w:style w:type="paragraph" w:styleId="Heading3">
    <w:name w:val="heading 3"/>
    <w:basedOn w:val="Normal"/>
    <w:next w:val="Normal"/>
    <w:link w:val="Heading3Char"/>
    <w:autoRedefine/>
    <w:uiPriority w:val="9"/>
    <w:qFormat/>
    <w:rsid w:val="006E7BDE"/>
    <w:pPr>
      <w:keepNext/>
      <w:numPr>
        <w:numId w:val="1"/>
      </w:numPr>
      <w:outlineLvl w:val="2"/>
    </w:pPr>
    <w:rPr>
      <w:rFonts w:eastAsiaTheme="majorEastAsia"/>
      <w:bCs/>
      <w:u w:val="single"/>
    </w:rPr>
  </w:style>
  <w:style w:type="paragraph" w:styleId="Heading4">
    <w:name w:val="heading 4"/>
    <w:basedOn w:val="Normal"/>
    <w:next w:val="Normal"/>
    <w:link w:val="Heading4Char"/>
    <w:autoRedefine/>
    <w:uiPriority w:val="9"/>
    <w:unhideWhenUsed/>
    <w:qFormat/>
    <w:rsid w:val="00752E03"/>
    <w:pPr>
      <w:keepNext/>
      <w:keepLines/>
      <w:ind w:left="1440" w:firstLine="0"/>
      <w:outlineLvl w:val="3"/>
    </w:pPr>
    <w:rPr>
      <w:rFonts w:eastAsiaTheme="majorEastAsia" w:cstheme="majorBidi"/>
      <w:iCs/>
      <w:color w:val="000000" w:themeColor="text1"/>
      <w:szCs w:val="24"/>
    </w:rPr>
  </w:style>
  <w:style w:type="paragraph" w:styleId="Heading6">
    <w:name w:val="heading 6"/>
    <w:basedOn w:val="Normal"/>
    <w:next w:val="Normal"/>
    <w:link w:val="Heading6Char"/>
    <w:uiPriority w:val="9"/>
    <w:semiHidden/>
    <w:unhideWhenUsed/>
    <w:qFormat/>
    <w:rsid w:val="006E1706"/>
    <w:pPr>
      <w:spacing w:before="240" w:after="60"/>
      <w:outlineLvl w:val="5"/>
    </w:pPr>
    <w:rPr>
      <w:b/>
      <w:bCs/>
    </w:rPr>
  </w:style>
  <w:style w:type="paragraph" w:styleId="Heading7">
    <w:name w:val="heading 7"/>
    <w:basedOn w:val="Normal"/>
    <w:next w:val="Normal"/>
    <w:link w:val="Heading7Char"/>
    <w:uiPriority w:val="9"/>
    <w:semiHidden/>
    <w:unhideWhenUsed/>
    <w:qFormat/>
    <w:rsid w:val="006E1706"/>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E1706"/>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E170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E1706"/>
    <w:pPr>
      <w:tabs>
        <w:tab w:val="clear" w:pos="720"/>
        <w:tab w:val="center" w:pos="4680"/>
        <w:tab w:val="right" w:pos="9360"/>
      </w:tabs>
      <w:spacing w:line="240" w:lineRule="auto"/>
    </w:pPr>
    <w:rPr>
      <w:szCs w:val="24"/>
    </w:rPr>
  </w:style>
  <w:style w:type="character" w:customStyle="1" w:styleId="FooterChar">
    <w:name w:val="Footer Char"/>
    <w:basedOn w:val="DefaultParagraphFont"/>
    <w:link w:val="Footer"/>
    <w:rsid w:val="006E1706"/>
    <w:rPr>
      <w:szCs w:val="24"/>
    </w:rPr>
  </w:style>
  <w:style w:type="character" w:styleId="FootnoteReference">
    <w:name w:val="footnote reference"/>
    <w:basedOn w:val="DefaultParagraphFont"/>
    <w:uiPriority w:val="99"/>
    <w:semiHidden/>
    <w:unhideWhenUsed/>
    <w:rsid w:val="006E1706"/>
    <w:rPr>
      <w:vertAlign w:val="superscript"/>
    </w:rPr>
  </w:style>
  <w:style w:type="paragraph" w:styleId="FootnoteText">
    <w:name w:val="footnote text"/>
    <w:basedOn w:val="Normal"/>
    <w:link w:val="FootnoteTextChar"/>
    <w:uiPriority w:val="99"/>
    <w:unhideWhenUsed/>
    <w:rsid w:val="006E1706"/>
    <w:rPr>
      <w:szCs w:val="20"/>
    </w:rPr>
  </w:style>
  <w:style w:type="character" w:customStyle="1" w:styleId="FootnoteTextChar">
    <w:name w:val="Footnote Text Char"/>
    <w:basedOn w:val="DefaultParagraphFont"/>
    <w:link w:val="FootnoteText"/>
    <w:uiPriority w:val="99"/>
    <w:rsid w:val="006E1706"/>
    <w:rPr>
      <w:szCs w:val="20"/>
    </w:rPr>
  </w:style>
  <w:style w:type="character" w:customStyle="1" w:styleId="Heading1Char">
    <w:name w:val="Heading 1 Char"/>
    <w:basedOn w:val="DefaultParagraphFont"/>
    <w:link w:val="Heading1"/>
    <w:uiPriority w:val="9"/>
    <w:rsid w:val="00752E03"/>
    <w:rPr>
      <w:rFonts w:eastAsiaTheme="majorEastAsia"/>
      <w:b/>
      <w:bCs/>
      <w:caps/>
      <w:szCs w:val="32"/>
    </w:rPr>
  </w:style>
  <w:style w:type="character" w:customStyle="1" w:styleId="Heading2Char">
    <w:name w:val="Heading 2 Char"/>
    <w:basedOn w:val="DefaultParagraphFont"/>
    <w:link w:val="Heading2"/>
    <w:uiPriority w:val="9"/>
    <w:rsid w:val="00752E03"/>
    <w:rPr>
      <w:rFonts w:eastAsiaTheme="majorEastAsia"/>
      <w:bCs/>
      <w:i/>
      <w:iCs/>
      <w:szCs w:val="28"/>
    </w:rPr>
  </w:style>
  <w:style w:type="character" w:customStyle="1" w:styleId="Heading3Char">
    <w:name w:val="Heading 3 Char"/>
    <w:basedOn w:val="DefaultParagraphFont"/>
    <w:link w:val="Heading3"/>
    <w:uiPriority w:val="9"/>
    <w:rsid w:val="006E7BDE"/>
    <w:rPr>
      <w:rFonts w:eastAsiaTheme="majorEastAsia"/>
      <w:bCs/>
      <w:u w:val="single"/>
    </w:rPr>
  </w:style>
  <w:style w:type="character" w:customStyle="1" w:styleId="Heading4Char">
    <w:name w:val="Heading 4 Char"/>
    <w:basedOn w:val="DefaultParagraphFont"/>
    <w:link w:val="Heading4"/>
    <w:uiPriority w:val="9"/>
    <w:rsid w:val="00752E03"/>
    <w:rPr>
      <w:rFonts w:eastAsiaTheme="majorEastAsia" w:cstheme="majorBidi"/>
      <w:iCs/>
      <w:color w:val="000000" w:themeColor="text1"/>
      <w:szCs w:val="24"/>
    </w:rPr>
  </w:style>
  <w:style w:type="character" w:customStyle="1" w:styleId="Heading6Char">
    <w:name w:val="Heading 6 Char"/>
    <w:basedOn w:val="DefaultParagraphFont"/>
    <w:link w:val="Heading6"/>
    <w:uiPriority w:val="9"/>
    <w:semiHidden/>
    <w:rsid w:val="006E1706"/>
    <w:rPr>
      <w:b/>
      <w:bCs/>
    </w:rPr>
  </w:style>
  <w:style w:type="character" w:customStyle="1" w:styleId="Heading7Char">
    <w:name w:val="Heading 7 Char"/>
    <w:basedOn w:val="DefaultParagraphFont"/>
    <w:link w:val="Heading7"/>
    <w:uiPriority w:val="9"/>
    <w:semiHidden/>
    <w:rsid w:val="006E1706"/>
    <w:rPr>
      <w:sz w:val="24"/>
      <w:szCs w:val="24"/>
    </w:rPr>
  </w:style>
  <w:style w:type="character" w:customStyle="1" w:styleId="Heading8Char">
    <w:name w:val="Heading 8 Char"/>
    <w:basedOn w:val="DefaultParagraphFont"/>
    <w:link w:val="Heading8"/>
    <w:uiPriority w:val="9"/>
    <w:semiHidden/>
    <w:rsid w:val="006E1706"/>
    <w:rPr>
      <w:i/>
      <w:iCs/>
      <w:sz w:val="24"/>
      <w:szCs w:val="24"/>
    </w:rPr>
  </w:style>
  <w:style w:type="character" w:customStyle="1" w:styleId="Heading9Char">
    <w:name w:val="Heading 9 Char"/>
    <w:basedOn w:val="DefaultParagraphFont"/>
    <w:link w:val="Heading9"/>
    <w:uiPriority w:val="9"/>
    <w:semiHidden/>
    <w:rsid w:val="006E1706"/>
    <w:rPr>
      <w:rFonts w:asciiTheme="majorHAnsi" w:eastAsiaTheme="majorEastAsia" w:hAnsiTheme="majorHAnsi"/>
    </w:rPr>
  </w:style>
  <w:style w:type="paragraph" w:styleId="Subtitle">
    <w:name w:val="Subtitle"/>
    <w:basedOn w:val="Normal"/>
    <w:next w:val="Normal"/>
    <w:link w:val="SubtitleChar"/>
    <w:uiPriority w:val="11"/>
    <w:qFormat/>
    <w:rsid w:val="006E1706"/>
    <w:pPr>
      <w:spacing w:line="240" w:lineRule="atLeast"/>
      <w:outlineLvl w:val="1"/>
    </w:pPr>
    <w:rPr>
      <w:rFonts w:eastAsiaTheme="majorEastAsia"/>
      <w:szCs w:val="24"/>
    </w:rPr>
  </w:style>
  <w:style w:type="character" w:customStyle="1" w:styleId="SubtitleChar">
    <w:name w:val="Subtitle Char"/>
    <w:basedOn w:val="DefaultParagraphFont"/>
    <w:link w:val="Subtitle"/>
    <w:uiPriority w:val="11"/>
    <w:rsid w:val="006E1706"/>
    <w:rPr>
      <w:rFonts w:eastAsiaTheme="majorEastAsia"/>
      <w:szCs w:val="24"/>
    </w:rPr>
  </w:style>
  <w:style w:type="paragraph" w:styleId="Header">
    <w:name w:val="header"/>
    <w:basedOn w:val="Normal"/>
    <w:link w:val="HeaderChar"/>
    <w:uiPriority w:val="99"/>
    <w:unhideWhenUsed/>
    <w:rsid w:val="002D669B"/>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2D669B"/>
  </w:style>
  <w:style w:type="character" w:styleId="CommentReference">
    <w:name w:val="annotation reference"/>
    <w:basedOn w:val="DefaultParagraphFont"/>
    <w:uiPriority w:val="99"/>
    <w:semiHidden/>
    <w:unhideWhenUsed/>
    <w:rsid w:val="001F2047"/>
    <w:rPr>
      <w:sz w:val="16"/>
      <w:szCs w:val="16"/>
    </w:rPr>
  </w:style>
  <w:style w:type="paragraph" w:styleId="CommentText">
    <w:name w:val="annotation text"/>
    <w:basedOn w:val="Normal"/>
    <w:link w:val="CommentTextChar"/>
    <w:uiPriority w:val="99"/>
    <w:unhideWhenUsed/>
    <w:rsid w:val="001F2047"/>
    <w:pPr>
      <w:spacing w:line="240" w:lineRule="auto"/>
    </w:pPr>
    <w:rPr>
      <w:sz w:val="20"/>
      <w:szCs w:val="20"/>
    </w:rPr>
  </w:style>
  <w:style w:type="character" w:customStyle="1" w:styleId="CommentTextChar">
    <w:name w:val="Comment Text Char"/>
    <w:basedOn w:val="DefaultParagraphFont"/>
    <w:link w:val="CommentText"/>
    <w:uiPriority w:val="99"/>
    <w:rsid w:val="001F2047"/>
    <w:rPr>
      <w:sz w:val="20"/>
      <w:szCs w:val="20"/>
    </w:rPr>
  </w:style>
  <w:style w:type="paragraph" w:styleId="BalloonText">
    <w:name w:val="Balloon Text"/>
    <w:basedOn w:val="Normal"/>
    <w:link w:val="BalloonTextChar"/>
    <w:uiPriority w:val="99"/>
    <w:semiHidden/>
    <w:unhideWhenUsed/>
    <w:rsid w:val="001F20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047"/>
    <w:rPr>
      <w:rFonts w:ascii="Segoe UI" w:hAnsi="Segoe UI" w:cs="Segoe UI"/>
      <w:sz w:val="18"/>
      <w:szCs w:val="18"/>
    </w:rPr>
  </w:style>
  <w:style w:type="paragraph" w:styleId="Revision">
    <w:name w:val="Revision"/>
    <w:hidden/>
    <w:uiPriority w:val="99"/>
    <w:semiHidden/>
    <w:rsid w:val="00583C6E"/>
    <w:pPr>
      <w:spacing w:after="0" w:line="240" w:lineRule="auto"/>
    </w:pPr>
  </w:style>
  <w:style w:type="paragraph" w:styleId="ListParagraph">
    <w:name w:val="List Paragraph"/>
    <w:basedOn w:val="Normal"/>
    <w:uiPriority w:val="34"/>
    <w:rsid w:val="001366F2"/>
    <w:pPr>
      <w:ind w:left="720"/>
      <w:contextualSpacing/>
    </w:pPr>
  </w:style>
  <w:style w:type="paragraph" w:styleId="CommentSubject">
    <w:name w:val="annotation subject"/>
    <w:basedOn w:val="CommentText"/>
    <w:next w:val="CommentText"/>
    <w:link w:val="CommentSubjectChar"/>
    <w:uiPriority w:val="99"/>
    <w:semiHidden/>
    <w:unhideWhenUsed/>
    <w:rsid w:val="001B7D77"/>
    <w:rPr>
      <w:b/>
      <w:bCs/>
    </w:rPr>
  </w:style>
  <w:style w:type="character" w:customStyle="1" w:styleId="CommentSubjectChar">
    <w:name w:val="Comment Subject Char"/>
    <w:basedOn w:val="CommentTextChar"/>
    <w:link w:val="CommentSubject"/>
    <w:uiPriority w:val="99"/>
    <w:semiHidden/>
    <w:rsid w:val="001B7D77"/>
    <w:rPr>
      <w:b/>
      <w:bCs/>
      <w:sz w:val="20"/>
      <w:szCs w:val="20"/>
    </w:rPr>
  </w:style>
  <w:style w:type="character" w:customStyle="1" w:styleId="Title6">
    <w:name w:val="Title6"/>
    <w:basedOn w:val="DefaultParagraphFont"/>
    <w:rsid w:val="000B4EDE"/>
  </w:style>
  <w:style w:type="character" w:styleId="Strong">
    <w:name w:val="Strong"/>
    <w:basedOn w:val="DefaultParagraphFont"/>
    <w:uiPriority w:val="22"/>
    <w:qFormat/>
    <w:rsid w:val="00FB3CD0"/>
    <w:rPr>
      <w:b/>
      <w:bCs/>
    </w:rPr>
  </w:style>
  <w:style w:type="character" w:styleId="Hyperlink">
    <w:name w:val="Hyperlink"/>
    <w:basedOn w:val="DefaultParagraphFont"/>
    <w:uiPriority w:val="99"/>
    <w:unhideWhenUsed/>
    <w:rsid w:val="00FB3CD0"/>
    <w:rPr>
      <w:color w:val="0563C1" w:themeColor="hyperlink"/>
      <w:u w:val="single"/>
    </w:rPr>
  </w:style>
  <w:style w:type="character" w:customStyle="1" w:styleId="UnresolvedMention1">
    <w:name w:val="Unresolved Mention1"/>
    <w:basedOn w:val="DefaultParagraphFont"/>
    <w:uiPriority w:val="99"/>
    <w:semiHidden/>
    <w:unhideWhenUsed/>
    <w:rsid w:val="00FB3CD0"/>
    <w:rPr>
      <w:color w:val="605E5C"/>
      <w:shd w:val="clear" w:color="auto" w:fill="E1DFDD"/>
    </w:rPr>
  </w:style>
  <w:style w:type="character" w:styleId="FollowedHyperlink">
    <w:name w:val="FollowedHyperlink"/>
    <w:basedOn w:val="DefaultParagraphFont"/>
    <w:uiPriority w:val="99"/>
    <w:semiHidden/>
    <w:unhideWhenUsed/>
    <w:rsid w:val="00FB3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63C3-09A3-4156-BCDC-3B20DEC5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11248</Words>
  <Characters>59140</Characters>
  <Application>Microsoft Office Word</Application>
  <DocSecurity>0</DocSecurity>
  <Lines>1011</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2024-07-10T17:15:00Z</dcterms:created>
  <dcterms:modified xsi:type="dcterms:W3CDTF">2024-07-10T17:15:00Z</dcterms:modified>
  <cp:category/>
</cp:coreProperties>
</file>