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55D0E" w14:textId="77777777" w:rsidR="00932EE2" w:rsidRPr="00537AFA" w:rsidRDefault="00932EE2" w:rsidP="006418E2">
      <w:pPr>
        <w:spacing w:line="240" w:lineRule="auto"/>
        <w:rPr>
          <w:sz w:val="20"/>
          <w:szCs w:val="20"/>
        </w:rPr>
      </w:pPr>
      <w:r w:rsidRPr="00537AFA">
        <w:rPr>
          <w:sz w:val="20"/>
          <w:szCs w:val="20"/>
        </w:rPr>
        <w:t>Filed 6/</w:t>
      </w:r>
      <w:r w:rsidRPr="00537AFA">
        <w:rPr>
          <w:sz w:val="20"/>
          <w:szCs w:val="20"/>
        </w:rPr>
        <w:t>2</w:t>
      </w:r>
      <w:r w:rsidRPr="00537AFA">
        <w:rPr>
          <w:sz w:val="20"/>
          <w:szCs w:val="20"/>
        </w:rPr>
        <w:t>8</w:t>
      </w:r>
      <w:r w:rsidRPr="00537AFA">
        <w:rPr>
          <w:sz w:val="20"/>
          <w:szCs w:val="20"/>
        </w:rPr>
        <w:t>/24</w:t>
      </w:r>
    </w:p>
    <w:p w14:paraId="697F8E84" w14:textId="77777777" w:rsidR="00932EE2" w:rsidRPr="006418E2" w:rsidRDefault="00932EE2" w:rsidP="006418E2">
      <w:pPr>
        <w:spacing w:line="240" w:lineRule="auto"/>
        <w:jc w:val="center"/>
      </w:pPr>
      <w:r w:rsidRPr="006418E2">
        <w:t>CERTIFIED FOR PUBLICATION</w:t>
      </w:r>
    </w:p>
    <w:p w14:paraId="5D8B5324" w14:textId="77777777" w:rsidR="00932EE2" w:rsidRPr="006418E2" w:rsidRDefault="00932EE2" w:rsidP="006418E2">
      <w:pPr>
        <w:spacing w:line="240" w:lineRule="auto"/>
      </w:pPr>
    </w:p>
    <w:p w14:paraId="45016937" w14:textId="77777777" w:rsidR="00932EE2" w:rsidRPr="006418E2" w:rsidRDefault="00932EE2" w:rsidP="006418E2">
      <w:pPr>
        <w:spacing w:line="240" w:lineRule="auto"/>
      </w:pPr>
    </w:p>
    <w:p w14:paraId="622E345A" w14:textId="77777777" w:rsidR="00932EE2" w:rsidRPr="006418E2" w:rsidRDefault="00932EE2" w:rsidP="006418E2">
      <w:pPr>
        <w:spacing w:line="240" w:lineRule="auto"/>
        <w:jc w:val="center"/>
      </w:pPr>
      <w:r w:rsidRPr="006418E2">
        <w:t>IN THE COURT OF APPEAL OF THE STATE OF CALIFORNIA</w:t>
      </w:r>
    </w:p>
    <w:p w14:paraId="219B4494" w14:textId="77777777" w:rsidR="00932EE2" w:rsidRPr="006418E2" w:rsidRDefault="00932EE2" w:rsidP="006418E2">
      <w:pPr>
        <w:spacing w:line="240" w:lineRule="auto"/>
        <w:jc w:val="center"/>
      </w:pPr>
    </w:p>
    <w:p w14:paraId="5CA29A1C" w14:textId="77777777" w:rsidR="00932EE2" w:rsidRPr="006418E2" w:rsidRDefault="00932EE2" w:rsidP="006418E2">
      <w:pPr>
        <w:spacing w:line="240" w:lineRule="auto"/>
        <w:jc w:val="center"/>
      </w:pPr>
      <w:r w:rsidRPr="006418E2">
        <w:t>SIXTH APPELLATE DISTRICT</w:t>
      </w:r>
    </w:p>
    <w:p w14:paraId="64FF14CA" w14:textId="77777777" w:rsidR="00932EE2" w:rsidRPr="006418E2" w:rsidRDefault="00932EE2" w:rsidP="006418E2">
      <w:pPr>
        <w:spacing w:line="240" w:lineRule="auto"/>
        <w:jc w:val="center"/>
      </w:pPr>
    </w:p>
    <w:p w14:paraId="28CD6373" w14:textId="77777777" w:rsidR="00932EE2" w:rsidRPr="006418E2" w:rsidRDefault="00932EE2" w:rsidP="006418E2">
      <w:pPr>
        <w:spacing w:line="240" w:lineRule="auto"/>
        <w:jc w:val="center"/>
      </w:pPr>
    </w:p>
    <w:tbl>
      <w:tblPr>
        <w:tblW w:w="0" w:type="auto"/>
        <w:tblLayout w:type="fixed"/>
        <w:tblLook w:val="0000" w:firstRow="0" w:lastRow="0" w:firstColumn="0" w:lastColumn="0" w:noHBand="0" w:noVBand="0"/>
      </w:tblPr>
      <w:tblGrid>
        <w:gridCol w:w="4680"/>
        <w:gridCol w:w="4680"/>
      </w:tblGrid>
      <w:tr w:rsidR="00FB18A7" w14:paraId="07428590" w14:textId="77777777" w:rsidTr="00074D07">
        <w:tc>
          <w:tcPr>
            <w:tcW w:w="4680" w:type="dxa"/>
            <w:tcBorders>
              <w:bottom w:val="single" w:sz="4" w:space="0" w:color="auto"/>
              <w:right w:val="single" w:sz="4" w:space="0" w:color="auto"/>
            </w:tcBorders>
            <w:shd w:val="clear" w:color="auto" w:fill="auto"/>
          </w:tcPr>
          <w:p w14:paraId="6A6CF2FD" w14:textId="77777777" w:rsidR="00932EE2" w:rsidRPr="006418E2" w:rsidRDefault="00932EE2" w:rsidP="006418E2">
            <w:pPr>
              <w:spacing w:line="240" w:lineRule="auto"/>
            </w:pPr>
            <w:r w:rsidRPr="006418E2">
              <w:t>MILTON JONAS ARIAS MOLINA,</w:t>
            </w:r>
          </w:p>
          <w:p w14:paraId="70B2C74C" w14:textId="77777777" w:rsidR="00932EE2" w:rsidRPr="006418E2" w:rsidRDefault="00932EE2" w:rsidP="006418E2">
            <w:pPr>
              <w:spacing w:line="240" w:lineRule="auto"/>
            </w:pPr>
          </w:p>
          <w:p w14:paraId="1594A453" w14:textId="77777777" w:rsidR="00932EE2" w:rsidRPr="006418E2" w:rsidRDefault="00932EE2" w:rsidP="006418E2">
            <w:pPr>
              <w:spacing w:line="240" w:lineRule="auto"/>
              <w:ind w:left="720"/>
            </w:pPr>
            <w:r w:rsidRPr="006418E2">
              <w:t>Petitioner,</w:t>
            </w:r>
          </w:p>
          <w:p w14:paraId="0270C56B" w14:textId="77777777" w:rsidR="00932EE2" w:rsidRPr="006418E2" w:rsidRDefault="00932EE2" w:rsidP="006418E2">
            <w:pPr>
              <w:spacing w:line="240" w:lineRule="auto"/>
              <w:ind w:left="720"/>
            </w:pPr>
          </w:p>
          <w:p w14:paraId="3B52555D" w14:textId="77777777" w:rsidR="00932EE2" w:rsidRPr="006418E2" w:rsidRDefault="00932EE2" w:rsidP="006418E2">
            <w:pPr>
              <w:spacing w:line="240" w:lineRule="auto"/>
              <w:ind w:left="720"/>
            </w:pPr>
            <w:r w:rsidRPr="006418E2">
              <w:t>v.</w:t>
            </w:r>
          </w:p>
          <w:p w14:paraId="60A1B32B" w14:textId="77777777" w:rsidR="00932EE2" w:rsidRPr="006418E2" w:rsidRDefault="00932EE2" w:rsidP="006418E2">
            <w:pPr>
              <w:spacing w:line="240" w:lineRule="auto"/>
            </w:pPr>
          </w:p>
          <w:p w14:paraId="3663560F" w14:textId="77777777" w:rsidR="00932EE2" w:rsidRPr="006418E2" w:rsidRDefault="00932EE2" w:rsidP="006418E2">
            <w:pPr>
              <w:spacing w:line="240" w:lineRule="auto"/>
            </w:pPr>
            <w:r w:rsidRPr="006418E2">
              <w:t>THE SUPERIOR COURT OF SANTA CRUZ</w:t>
            </w:r>
          </w:p>
          <w:p w14:paraId="1BE94455" w14:textId="77777777" w:rsidR="00932EE2" w:rsidRPr="006418E2" w:rsidRDefault="00932EE2" w:rsidP="006418E2">
            <w:pPr>
              <w:spacing w:line="240" w:lineRule="auto"/>
            </w:pPr>
          </w:p>
          <w:p w14:paraId="5EEF4446" w14:textId="6CDB5E36" w:rsidR="00932EE2" w:rsidRPr="006418E2" w:rsidRDefault="00932EE2" w:rsidP="006418E2">
            <w:pPr>
              <w:spacing w:line="240" w:lineRule="auto"/>
              <w:ind w:left="720"/>
            </w:pPr>
            <w:r w:rsidRPr="006418E2">
              <w:t>Respondent</w:t>
            </w:r>
            <w:r w:rsidR="00537AFA">
              <w:t>;</w:t>
            </w:r>
          </w:p>
          <w:p w14:paraId="1C1B11A4" w14:textId="77777777" w:rsidR="00932EE2" w:rsidRPr="006418E2" w:rsidRDefault="00932EE2" w:rsidP="006418E2">
            <w:pPr>
              <w:spacing w:line="240" w:lineRule="auto"/>
            </w:pPr>
          </w:p>
          <w:p w14:paraId="55807CBF" w14:textId="77777777" w:rsidR="00932EE2" w:rsidRPr="006418E2" w:rsidRDefault="00932EE2" w:rsidP="006418E2">
            <w:pPr>
              <w:spacing w:line="240" w:lineRule="auto"/>
            </w:pPr>
            <w:r w:rsidRPr="006418E2">
              <w:t>THE PEOPLE,</w:t>
            </w:r>
          </w:p>
          <w:p w14:paraId="3D3E7FC2" w14:textId="77777777" w:rsidR="00932EE2" w:rsidRPr="006418E2" w:rsidRDefault="00932EE2" w:rsidP="006418E2">
            <w:pPr>
              <w:spacing w:line="240" w:lineRule="auto"/>
            </w:pPr>
          </w:p>
          <w:p w14:paraId="21B7FD2F" w14:textId="77777777" w:rsidR="00932EE2" w:rsidRPr="006418E2" w:rsidRDefault="00932EE2" w:rsidP="006418E2">
            <w:pPr>
              <w:spacing w:line="240" w:lineRule="auto"/>
              <w:ind w:left="720"/>
            </w:pPr>
            <w:r w:rsidRPr="006418E2">
              <w:t xml:space="preserve">Real Party in </w:t>
            </w:r>
            <w:r w:rsidRPr="006418E2">
              <w:t>Interest.</w:t>
            </w:r>
          </w:p>
          <w:p w14:paraId="2A78C765" w14:textId="77777777" w:rsidR="00932EE2" w:rsidRPr="006418E2" w:rsidRDefault="00932EE2" w:rsidP="006418E2">
            <w:pPr>
              <w:spacing w:line="240" w:lineRule="auto"/>
            </w:pPr>
          </w:p>
        </w:tc>
        <w:tc>
          <w:tcPr>
            <w:tcW w:w="4680" w:type="dxa"/>
            <w:tcBorders>
              <w:left w:val="single" w:sz="4" w:space="0" w:color="auto"/>
            </w:tcBorders>
            <w:shd w:val="clear" w:color="auto" w:fill="auto"/>
          </w:tcPr>
          <w:p w14:paraId="768646EE" w14:textId="77777777" w:rsidR="00932EE2" w:rsidRPr="006418E2" w:rsidRDefault="00932EE2" w:rsidP="006418E2">
            <w:pPr>
              <w:spacing w:line="240" w:lineRule="auto"/>
            </w:pPr>
            <w:r w:rsidRPr="006418E2">
              <w:t xml:space="preserve">      No. H050669</w:t>
            </w:r>
          </w:p>
          <w:p w14:paraId="185BFF1E" w14:textId="77777777" w:rsidR="00932EE2" w:rsidRPr="006418E2" w:rsidRDefault="00932EE2" w:rsidP="006418E2">
            <w:pPr>
              <w:spacing w:line="240" w:lineRule="auto"/>
            </w:pPr>
            <w:r w:rsidRPr="006418E2">
              <w:t xml:space="preserve">     (Santa Cruz</w:t>
            </w:r>
          </w:p>
          <w:p w14:paraId="1C56CFAF" w14:textId="77777777" w:rsidR="00932EE2" w:rsidRPr="006418E2" w:rsidRDefault="00932EE2" w:rsidP="006418E2">
            <w:pPr>
              <w:spacing w:line="240" w:lineRule="auto"/>
            </w:pPr>
            <w:r w:rsidRPr="006418E2">
              <w:t xml:space="preserve">      Super. Ct. No. 18CR06559)</w:t>
            </w:r>
          </w:p>
          <w:p w14:paraId="496A1F60" w14:textId="77777777" w:rsidR="00932EE2" w:rsidRPr="006418E2" w:rsidRDefault="00932EE2" w:rsidP="006418E2">
            <w:pPr>
              <w:spacing w:line="240" w:lineRule="auto"/>
            </w:pPr>
          </w:p>
        </w:tc>
      </w:tr>
    </w:tbl>
    <w:p w14:paraId="1E0A9711" w14:textId="77777777" w:rsidR="00932EE2" w:rsidRPr="006418E2" w:rsidRDefault="00932EE2" w:rsidP="006418E2">
      <w:r w:rsidRPr="006418E2">
        <w:tab/>
      </w:r>
      <w:r w:rsidRPr="006418E2">
        <w:t>In this mandamus proceeding</w:t>
      </w:r>
      <w:r w:rsidRPr="006418E2">
        <w:t>,</w:t>
      </w:r>
      <w:r w:rsidRPr="006418E2">
        <w:t xml:space="preserve"> the petitioner, Milton Jonas Arias Molina, was held to answer on charges of special circumstances murder, conspiracy to commit murder, and street terrorism after a preliminary examination at which he and his two codefendants</w:t>
      </w:r>
      <w:r w:rsidRPr="006418E2">
        <w:t xml:space="preserve">, Jose Leonard Alfaro </w:t>
      </w:r>
      <w:proofErr w:type="gramStart"/>
      <w:r w:rsidRPr="006418E2">
        <w:t>Juarez</w:t>
      </w:r>
      <w:proofErr w:type="gramEnd"/>
      <w:r w:rsidRPr="006418E2">
        <w:t xml:space="preserve"> and Elmer Ernesto Mendez Lopez, </w:t>
      </w:r>
      <w:r w:rsidRPr="006418E2">
        <w:t>were required to share</w:t>
      </w:r>
      <w:r w:rsidRPr="006418E2">
        <w:t xml:space="preserve"> </w:t>
      </w:r>
      <w:r w:rsidRPr="006418E2">
        <w:t>a single</w:t>
      </w:r>
      <w:r w:rsidRPr="006418E2">
        <w:t xml:space="preserve"> Spanish-language interpreter</w:t>
      </w:r>
      <w:r w:rsidRPr="006418E2">
        <w:t xml:space="preserve"> during</w:t>
      </w:r>
      <w:r w:rsidRPr="006418E2">
        <w:t xml:space="preserve"> the presentation of</w:t>
      </w:r>
      <w:r w:rsidRPr="006418E2">
        <w:t xml:space="preserve"> evidence</w:t>
      </w:r>
      <w:r w:rsidRPr="006418E2">
        <w:t>.  Molina</w:t>
      </w:r>
      <w:r w:rsidRPr="006418E2">
        <w:t xml:space="preserve"> </w:t>
      </w:r>
      <w:r w:rsidRPr="006418E2">
        <w:t xml:space="preserve">seeks writ relief after the trial court denied his subsequent </w:t>
      </w:r>
      <w:r w:rsidRPr="006418E2">
        <w:t>Penal Code section 995</w:t>
      </w:r>
      <w:r>
        <w:rPr>
          <w:rStyle w:val="FootnoteReference"/>
        </w:rPr>
        <w:footnoteReference w:id="2"/>
      </w:r>
      <w:r w:rsidRPr="006418E2">
        <w:t> motion to dismiss</w:t>
      </w:r>
      <w:r w:rsidRPr="006418E2">
        <w:t xml:space="preserve"> based on the failure to provide him with his own interpreter throughout the preliminary examination</w:t>
      </w:r>
      <w:r w:rsidRPr="006418E2">
        <w:t>.</w:t>
      </w:r>
    </w:p>
    <w:p w14:paraId="17523208" w14:textId="77777777" w:rsidR="00932EE2" w:rsidRPr="006418E2" w:rsidRDefault="00932EE2" w:rsidP="006418E2">
      <w:pPr>
        <w:autoSpaceDE w:val="0"/>
        <w:autoSpaceDN w:val="0"/>
        <w:adjustRightInd w:val="0"/>
        <w:rPr>
          <w:color w:val="000000"/>
        </w:rPr>
      </w:pPr>
      <w:r w:rsidRPr="006418E2">
        <w:rPr>
          <w:color w:val="000000"/>
        </w:rPr>
        <w:tab/>
        <w:t xml:space="preserve">As we explain below, </w:t>
      </w:r>
      <w:r w:rsidRPr="006418E2">
        <w:rPr>
          <w:color w:val="000000"/>
        </w:rPr>
        <w:t xml:space="preserve">based on the circumstances of this case, </w:t>
      </w:r>
      <w:r w:rsidRPr="006418E2">
        <w:rPr>
          <w:color w:val="000000"/>
        </w:rPr>
        <w:t>we conclude that</w:t>
      </w:r>
      <w:r w:rsidRPr="006418E2">
        <w:rPr>
          <w:color w:val="000000"/>
        </w:rPr>
        <w:t xml:space="preserve"> the failure to provide </w:t>
      </w:r>
      <w:r w:rsidRPr="006418E2">
        <w:rPr>
          <w:color w:val="000000"/>
        </w:rPr>
        <w:t>an indi</w:t>
      </w:r>
      <w:r w:rsidRPr="006418E2">
        <w:rPr>
          <w:color w:val="000000"/>
        </w:rPr>
        <w:t xml:space="preserve">vidual </w:t>
      </w:r>
      <w:r w:rsidRPr="006418E2">
        <w:rPr>
          <w:color w:val="000000"/>
        </w:rPr>
        <w:t>interpreter for</w:t>
      </w:r>
      <w:r w:rsidRPr="006418E2">
        <w:rPr>
          <w:color w:val="000000"/>
        </w:rPr>
        <w:t xml:space="preserve"> Molina </w:t>
      </w:r>
      <w:r w:rsidRPr="006418E2">
        <w:rPr>
          <w:color w:val="000000"/>
        </w:rPr>
        <w:t>at</w:t>
      </w:r>
      <w:r w:rsidRPr="006418E2">
        <w:rPr>
          <w:color w:val="000000"/>
        </w:rPr>
        <w:t xml:space="preserve"> his</w:t>
      </w:r>
      <w:r w:rsidRPr="006418E2">
        <w:rPr>
          <w:color w:val="000000"/>
        </w:rPr>
        <w:t xml:space="preserve"> preliminary examination </w:t>
      </w:r>
      <w:r w:rsidRPr="006418E2">
        <w:rPr>
          <w:color w:val="000000"/>
        </w:rPr>
        <w:lastRenderedPageBreak/>
        <w:t>reasonably might have affected the outcome</w:t>
      </w:r>
      <w:r w:rsidRPr="006418E2">
        <w:rPr>
          <w:color w:val="000000"/>
        </w:rPr>
        <w:t>.</w:t>
      </w:r>
      <w:r w:rsidRPr="006418E2">
        <w:rPr>
          <w:color w:val="000000"/>
        </w:rPr>
        <w:t xml:space="preserve">  </w:t>
      </w:r>
      <w:r w:rsidRPr="006418E2">
        <w:rPr>
          <w:color w:val="000000"/>
        </w:rPr>
        <w:t>Accordingly, we will issue the writ of mandate instruct</w:t>
      </w:r>
      <w:r w:rsidRPr="006418E2">
        <w:rPr>
          <w:color w:val="000000"/>
        </w:rPr>
        <w:t>ing</w:t>
      </w:r>
      <w:r w:rsidRPr="006418E2">
        <w:rPr>
          <w:color w:val="000000"/>
        </w:rPr>
        <w:t xml:space="preserve"> the trial court to vacate its order denying Molina’s motion to dismiss and enter a new order granting that motion</w:t>
      </w:r>
      <w:r w:rsidRPr="006418E2">
        <w:rPr>
          <w:color w:val="000000"/>
        </w:rPr>
        <w:t>,</w:t>
      </w:r>
      <w:r w:rsidRPr="006418E2">
        <w:rPr>
          <w:color w:val="000000"/>
        </w:rPr>
        <w:t xml:space="preserve"> without prejudice to the Santa Cruz County District Attorney refiling the charges and conducting a new preliminary examination.  </w:t>
      </w:r>
      <w:r w:rsidRPr="006418E2">
        <w:rPr>
          <w:color w:val="000000"/>
        </w:rPr>
        <w:t xml:space="preserve"> </w:t>
      </w:r>
    </w:p>
    <w:p w14:paraId="475621FD" w14:textId="77777777" w:rsidR="00932EE2" w:rsidRPr="006418E2" w:rsidRDefault="00932EE2" w:rsidP="006418E2">
      <w:pPr>
        <w:jc w:val="center"/>
        <w:rPr>
          <w:bCs/>
        </w:rPr>
      </w:pPr>
      <w:r w:rsidRPr="006418E2">
        <w:rPr>
          <w:b/>
          <w:smallCaps/>
        </w:rPr>
        <w:t>I.</w:t>
      </w:r>
      <w:r w:rsidRPr="006418E2">
        <w:rPr>
          <w:b/>
          <w:smallCaps/>
        </w:rPr>
        <w:tab/>
        <w:t>Factual and Procedural Background</w:t>
      </w:r>
    </w:p>
    <w:p w14:paraId="4E62D2E2" w14:textId="77777777" w:rsidR="00932EE2" w:rsidRPr="006418E2" w:rsidRDefault="00932EE2" w:rsidP="006418E2">
      <w:pPr>
        <w:rPr>
          <w:b/>
          <w:bCs/>
          <w:i/>
          <w:iCs/>
        </w:rPr>
      </w:pPr>
      <w:r w:rsidRPr="006418E2">
        <w:tab/>
      </w:r>
      <w:r w:rsidRPr="006418E2">
        <w:rPr>
          <w:b/>
          <w:bCs/>
          <w:i/>
          <w:iCs/>
        </w:rPr>
        <w:t>A. The preliminary examination</w:t>
      </w:r>
    </w:p>
    <w:p w14:paraId="4040F820" w14:textId="77777777" w:rsidR="00932EE2" w:rsidRPr="006418E2" w:rsidRDefault="00932EE2" w:rsidP="006418E2">
      <w:r w:rsidRPr="006418E2">
        <w:tab/>
      </w:r>
      <w:r w:rsidRPr="006418E2">
        <w:t xml:space="preserve">The charges in this case arise from a homicide that took place in October 2018.  </w:t>
      </w:r>
      <w:r w:rsidRPr="006418E2">
        <w:t>In a complaint filed on October 18, 2018, the Santa Cruz County District Attorney charged Molina and his two codefendants with one count of murder (§ 182, subd. (a)(1)</w:t>
      </w:r>
      <w:r>
        <w:t>;</w:t>
      </w:r>
      <w:r w:rsidRPr="006418E2">
        <w:t xml:space="preserve"> count 1), one count of conspiracy to commit murder (§ 187, subd. (a)</w:t>
      </w:r>
      <w:r>
        <w:t>;</w:t>
      </w:r>
      <w:r w:rsidRPr="006418E2">
        <w:t xml:space="preserve"> count 2), and one count of street terrorism (§ 186.22, subd. (a)</w:t>
      </w:r>
      <w:r>
        <w:t>;</w:t>
      </w:r>
      <w:r w:rsidRPr="006418E2">
        <w:t xml:space="preserve"> count 3).  The complaint further alleged two special circumstances</w:t>
      </w:r>
      <w:r>
        <w:t>—</w:t>
      </w:r>
      <w:r w:rsidRPr="006418E2">
        <w:t xml:space="preserve">that </w:t>
      </w:r>
      <w:r>
        <w:t xml:space="preserve">the murder was </w:t>
      </w:r>
      <w:r w:rsidRPr="006418E2">
        <w:t>committed by means of lying in wait (§ </w:t>
      </w:r>
      <w:r w:rsidRPr="006418E2">
        <w:t>190.2, subd. (a)(15))</w:t>
      </w:r>
      <w:r>
        <w:t xml:space="preserve">, </w:t>
      </w:r>
      <w:r w:rsidRPr="006418E2">
        <w:t xml:space="preserve">and </w:t>
      </w:r>
      <w:r>
        <w:t xml:space="preserve">that the murder was committed </w:t>
      </w:r>
      <w:r w:rsidRPr="006418E2">
        <w:t>for the benefit of a criminal street gang (§ 190.2, subd. (a)(</w:t>
      </w:r>
      <w:proofErr w:type="gramStart"/>
      <w:r w:rsidRPr="006418E2">
        <w:t>22))</w:t>
      </w:r>
      <w:proofErr w:type="gramEnd"/>
      <w:r>
        <w:t>—</w:t>
      </w:r>
      <w:r w:rsidRPr="006418E2">
        <w:t xml:space="preserve">along with various other firearm and gang sentencing enhancements. </w:t>
      </w:r>
    </w:p>
    <w:p w14:paraId="177BBD2B" w14:textId="77777777" w:rsidR="00932EE2" w:rsidRPr="006418E2" w:rsidRDefault="00932EE2" w:rsidP="006418E2">
      <w:r w:rsidRPr="006418E2">
        <w:tab/>
      </w:r>
      <w:r w:rsidRPr="006418E2">
        <w:t>According to the testimony presented at the preliminary examination by cooperating witnesses</w:t>
      </w:r>
      <w:r w:rsidRPr="006418E2">
        <w:t xml:space="preserve"> (Witness 1 and Witness 2)</w:t>
      </w:r>
      <w:r w:rsidRPr="006418E2">
        <w:t xml:space="preserve">, </w:t>
      </w:r>
      <w:r w:rsidRPr="006418E2">
        <w:t>Molina is alleged to have planned the killing</w:t>
      </w:r>
      <w:r w:rsidRPr="006418E2">
        <w:t>.  Witness 1 and Witness 2</w:t>
      </w:r>
      <w:r w:rsidRPr="006418E2">
        <w:t xml:space="preserve">, who were members of the same gang as Molina, </w:t>
      </w:r>
      <w:r w:rsidRPr="006418E2">
        <w:t xml:space="preserve">testified that Molina </w:t>
      </w:r>
      <w:r w:rsidRPr="006418E2">
        <w:t xml:space="preserve">taught them about the gang’s structure </w:t>
      </w:r>
      <w:proofErr w:type="gramStart"/>
      <w:r w:rsidRPr="006418E2">
        <w:t>and also</w:t>
      </w:r>
      <w:proofErr w:type="gramEnd"/>
      <w:r w:rsidRPr="006418E2">
        <w:t xml:space="preserve"> </w:t>
      </w:r>
      <w:r w:rsidRPr="006418E2">
        <w:t xml:space="preserve">organized </w:t>
      </w:r>
      <w:r w:rsidRPr="006418E2">
        <w:t xml:space="preserve">and </w:t>
      </w:r>
      <w:r w:rsidRPr="006418E2">
        <w:t xml:space="preserve">oversaw </w:t>
      </w:r>
      <w:r w:rsidRPr="006418E2">
        <w:t>the gang’s meetings</w:t>
      </w:r>
      <w:r w:rsidRPr="006418E2">
        <w:t xml:space="preserve">.  </w:t>
      </w:r>
      <w:r w:rsidRPr="006418E2">
        <w:t xml:space="preserve">Witness 1 described Molina as a “shot caller” for the gang.  </w:t>
      </w:r>
      <w:r w:rsidRPr="006418E2">
        <w:t>B</w:t>
      </w:r>
      <w:r w:rsidRPr="006418E2">
        <w:t xml:space="preserve">oth </w:t>
      </w:r>
      <w:r w:rsidRPr="006418E2">
        <w:t xml:space="preserve">Witness 1 and Witness 2 </w:t>
      </w:r>
      <w:r w:rsidRPr="006418E2">
        <w:t>testified that</w:t>
      </w:r>
      <w:r w:rsidRPr="006418E2">
        <w:t xml:space="preserve">, </w:t>
      </w:r>
      <w:r w:rsidRPr="006418E2">
        <w:t>at Molina’s direction</w:t>
      </w:r>
      <w:r w:rsidRPr="006418E2">
        <w:t xml:space="preserve">, they took part in transporting </w:t>
      </w:r>
      <w:r w:rsidRPr="006418E2">
        <w:t xml:space="preserve">the victim </w:t>
      </w:r>
      <w:r w:rsidRPr="006418E2">
        <w:t xml:space="preserve">to </w:t>
      </w:r>
      <w:r w:rsidRPr="006418E2">
        <w:t xml:space="preserve">a remote location in the Santa Cruz </w:t>
      </w:r>
      <w:r w:rsidRPr="006418E2">
        <w:t>Mountains</w:t>
      </w:r>
      <w:r w:rsidRPr="006418E2">
        <w:t>.  Molina’s codefendants</w:t>
      </w:r>
      <w:r w:rsidRPr="006418E2">
        <w:t xml:space="preserve">, </w:t>
      </w:r>
      <w:proofErr w:type="gramStart"/>
      <w:r w:rsidRPr="006418E2">
        <w:t>Juarez</w:t>
      </w:r>
      <w:proofErr w:type="gramEnd"/>
      <w:r w:rsidRPr="006418E2">
        <w:t xml:space="preserve"> and Lopez,</w:t>
      </w:r>
      <w:r w:rsidRPr="006418E2">
        <w:t xml:space="preserve"> were present </w:t>
      </w:r>
      <w:r w:rsidRPr="006418E2">
        <w:t xml:space="preserve">as well. </w:t>
      </w:r>
      <w:r w:rsidRPr="006418E2">
        <w:t xml:space="preserve"> </w:t>
      </w:r>
      <w:r w:rsidRPr="006418E2">
        <w:t xml:space="preserve">As the group sat near the side of the road drinking beer, Molina shot the victim in the head before encouraging his two codefendants, as well as Witness 1 and Witness 2, to stab the victim. </w:t>
      </w:r>
      <w:r w:rsidRPr="006418E2">
        <w:t xml:space="preserve"> </w:t>
      </w:r>
      <w:r w:rsidRPr="006418E2">
        <w:t xml:space="preserve">Molina’s DNA, as </w:t>
      </w:r>
      <w:r w:rsidRPr="006418E2">
        <w:lastRenderedPageBreak/>
        <w:t xml:space="preserve">well as </w:t>
      </w:r>
      <w:r w:rsidRPr="006418E2">
        <w:t>both codefendants’ DNA,</w:t>
      </w:r>
      <w:r w:rsidRPr="006418E2">
        <w:t xml:space="preserve"> was found on </w:t>
      </w:r>
      <w:r w:rsidRPr="006418E2">
        <w:t xml:space="preserve">cigarette butts and beer cans </w:t>
      </w:r>
      <w:r w:rsidRPr="006418E2">
        <w:t xml:space="preserve">recovered from the scene of the murder. </w:t>
      </w:r>
      <w:r w:rsidRPr="006418E2">
        <w:t xml:space="preserve"> </w:t>
      </w:r>
    </w:p>
    <w:p w14:paraId="0114D06C" w14:textId="77777777" w:rsidR="00932EE2" w:rsidRPr="006418E2" w:rsidRDefault="00932EE2" w:rsidP="006418E2">
      <w:pPr>
        <w:rPr>
          <w:rFonts w:cstheme="minorHAnsi"/>
        </w:rPr>
      </w:pPr>
      <w:r w:rsidRPr="006418E2">
        <w:tab/>
      </w:r>
      <w:r w:rsidRPr="006418E2">
        <w:t>In all,</w:t>
      </w:r>
      <w:r w:rsidRPr="006418E2">
        <w:t xml:space="preserve"> </w:t>
      </w:r>
      <w:r w:rsidRPr="006418E2">
        <w:t xml:space="preserve">the preliminary </w:t>
      </w:r>
      <w:r w:rsidRPr="006418E2">
        <w:t>examination</w:t>
      </w:r>
      <w:r w:rsidRPr="006418E2">
        <w:t xml:space="preserve"> </w:t>
      </w:r>
      <w:r w:rsidRPr="006418E2">
        <w:t>was</w:t>
      </w:r>
      <w:r w:rsidRPr="006418E2">
        <w:t xml:space="preserve"> conducted </w:t>
      </w:r>
      <w:r w:rsidRPr="006418E2">
        <w:t xml:space="preserve">in </w:t>
      </w:r>
      <w:r w:rsidRPr="006418E2">
        <w:t>13</w:t>
      </w:r>
      <w:r w:rsidRPr="006418E2">
        <w:t xml:space="preserve"> </w:t>
      </w:r>
      <w:r w:rsidRPr="006418E2">
        <w:t>se</w:t>
      </w:r>
      <w:r w:rsidRPr="006418E2">
        <w:t>ssions</w:t>
      </w:r>
      <w:r w:rsidRPr="006418E2">
        <w:t xml:space="preserve"> over the course of </w:t>
      </w:r>
      <w:r w:rsidRPr="006418E2">
        <w:t xml:space="preserve">15 </w:t>
      </w:r>
      <w:r w:rsidRPr="006418E2">
        <w:t xml:space="preserve">months, with the first hearing taking place on March 9, </w:t>
      </w:r>
      <w:proofErr w:type="gramStart"/>
      <w:r w:rsidRPr="006418E2">
        <w:t>2020</w:t>
      </w:r>
      <w:proofErr w:type="gramEnd"/>
      <w:r w:rsidRPr="006418E2">
        <w:t xml:space="preserve"> and the last on June 25, 2021.  </w:t>
      </w:r>
      <w:r w:rsidRPr="006418E2">
        <w:t xml:space="preserve">Due to safety concerns raised by </w:t>
      </w:r>
      <w:r w:rsidRPr="006418E2">
        <w:t xml:space="preserve">the Santa Cruz County Sheriff’s Department, Molina and his codefendants </w:t>
      </w:r>
      <w:r w:rsidRPr="006418E2">
        <w:t xml:space="preserve">had both hands and their legs </w:t>
      </w:r>
      <w:r w:rsidRPr="006418E2">
        <w:t>shackled</w:t>
      </w:r>
      <w:r w:rsidRPr="006418E2">
        <w:t xml:space="preserve"> during the testimony of Witness 1 and Witness 2</w:t>
      </w:r>
      <w:r w:rsidRPr="006418E2">
        <w:t>.  T</w:t>
      </w:r>
      <w:r w:rsidRPr="006418E2">
        <w:t xml:space="preserve">he trial court </w:t>
      </w:r>
      <w:r w:rsidRPr="006418E2">
        <w:t xml:space="preserve">allowed </w:t>
      </w:r>
      <w:r w:rsidRPr="006418E2">
        <w:t>the defendants</w:t>
      </w:r>
      <w:r w:rsidRPr="006418E2">
        <w:t xml:space="preserve"> to have one hand free during the remainder of the proceedings.</w:t>
      </w:r>
      <w:r>
        <w:rPr>
          <w:rStyle w:val="FootnoteReference"/>
        </w:rPr>
        <w:footnoteReference w:id="3"/>
      </w:r>
      <w:r w:rsidRPr="006418E2">
        <w:t xml:space="preserve"> </w:t>
      </w:r>
      <w:r w:rsidRPr="006418E2">
        <w:t xml:space="preserve"> </w:t>
      </w:r>
      <w:r w:rsidRPr="006418E2">
        <w:t>On</w:t>
      </w:r>
      <w:r w:rsidRPr="006418E2">
        <w:t xml:space="preserve"> </w:t>
      </w:r>
      <w:r w:rsidRPr="006418E2">
        <w:t>the first day of the preliminary examination</w:t>
      </w:r>
      <w:r w:rsidRPr="006418E2">
        <w:t>,</w:t>
      </w:r>
      <w:r w:rsidRPr="006418E2">
        <w:t xml:space="preserve"> </w:t>
      </w:r>
      <w:r w:rsidRPr="006418E2">
        <w:rPr>
          <w:rFonts w:cstheme="minorHAnsi"/>
        </w:rPr>
        <w:t xml:space="preserve">Molina’s counsel objected that </w:t>
      </w:r>
      <w:r w:rsidRPr="006418E2">
        <w:rPr>
          <w:rFonts w:cstheme="minorHAnsi"/>
        </w:rPr>
        <w:t>t</w:t>
      </w:r>
      <w:r w:rsidRPr="006418E2">
        <w:rPr>
          <w:rFonts w:cstheme="minorHAnsi"/>
        </w:rPr>
        <w:t xml:space="preserve">he </w:t>
      </w:r>
      <w:r w:rsidRPr="006418E2">
        <w:rPr>
          <w:rFonts w:cstheme="minorHAnsi"/>
        </w:rPr>
        <w:t xml:space="preserve">hearing would be conducted with a single </w:t>
      </w:r>
      <w:r w:rsidRPr="006418E2">
        <w:rPr>
          <w:rFonts w:cstheme="minorHAnsi"/>
        </w:rPr>
        <w:t>interpreter</w:t>
      </w:r>
      <w:r w:rsidRPr="006418E2">
        <w:rPr>
          <w:rFonts w:cstheme="minorHAnsi"/>
        </w:rPr>
        <w:t xml:space="preserve"> </w:t>
      </w:r>
      <w:r>
        <w:rPr>
          <w:rFonts w:cstheme="minorHAnsi"/>
        </w:rPr>
        <w:t xml:space="preserve">for all three defendants </w:t>
      </w:r>
      <w:r w:rsidRPr="006418E2">
        <w:rPr>
          <w:rFonts w:cstheme="minorHAnsi"/>
        </w:rPr>
        <w:t xml:space="preserve">in violation of the California Constitution. </w:t>
      </w:r>
      <w:r w:rsidRPr="006418E2">
        <w:rPr>
          <w:rFonts w:cstheme="minorHAnsi"/>
        </w:rPr>
        <w:t xml:space="preserve"> Counsel for </w:t>
      </w:r>
      <w:r>
        <w:rPr>
          <w:rFonts w:cstheme="minorHAnsi"/>
        </w:rPr>
        <w:t xml:space="preserve">Molina’s </w:t>
      </w:r>
      <w:r w:rsidRPr="006418E2">
        <w:rPr>
          <w:rFonts w:cstheme="minorHAnsi"/>
        </w:rPr>
        <w:t xml:space="preserve">codefendants </w:t>
      </w:r>
      <w:r w:rsidRPr="006418E2">
        <w:rPr>
          <w:rFonts w:cstheme="minorHAnsi"/>
        </w:rPr>
        <w:t>joined in the objection</w:t>
      </w:r>
      <w:r w:rsidRPr="006418E2">
        <w:rPr>
          <w:rFonts w:cstheme="minorHAnsi"/>
        </w:rPr>
        <w:t>.</w:t>
      </w:r>
      <w:r w:rsidRPr="006418E2">
        <w:rPr>
          <w:rFonts w:cstheme="minorHAnsi"/>
        </w:rPr>
        <w:t xml:space="preserve"> </w:t>
      </w:r>
      <w:r w:rsidRPr="006418E2">
        <w:rPr>
          <w:rFonts w:cstheme="minorHAnsi"/>
        </w:rPr>
        <w:t xml:space="preserve"> </w:t>
      </w:r>
      <w:r w:rsidRPr="006418E2">
        <w:rPr>
          <w:rFonts w:cstheme="minorHAnsi"/>
        </w:rPr>
        <w:t>The</w:t>
      </w:r>
      <w:r w:rsidRPr="006418E2">
        <w:rPr>
          <w:rFonts w:cstheme="minorHAnsi"/>
        </w:rPr>
        <w:t xml:space="preserve"> </w:t>
      </w:r>
      <w:r w:rsidRPr="006418E2">
        <w:rPr>
          <w:rFonts w:cstheme="minorHAnsi"/>
        </w:rPr>
        <w:t xml:space="preserve">prosecutor </w:t>
      </w:r>
      <w:r w:rsidRPr="006418E2">
        <w:rPr>
          <w:rFonts w:cstheme="minorHAnsi"/>
        </w:rPr>
        <w:t xml:space="preserve">also voiced her concerns about the lack of interpreters, stating she did not want to “go through a preliminary hearing just to have to do it again.” </w:t>
      </w:r>
      <w:r w:rsidRPr="006418E2">
        <w:rPr>
          <w:rFonts w:cstheme="minorHAnsi"/>
        </w:rPr>
        <w:t xml:space="preserve"> The </w:t>
      </w:r>
      <w:r w:rsidRPr="006418E2">
        <w:rPr>
          <w:rFonts w:cstheme="minorHAnsi"/>
        </w:rPr>
        <w:t xml:space="preserve">magistrate stated that he intended to proceed with the hearing, with the </w:t>
      </w:r>
      <w:r w:rsidRPr="006418E2">
        <w:rPr>
          <w:rFonts w:cstheme="minorHAnsi"/>
        </w:rPr>
        <w:t>understanding that if any of the defendants needed to speak with counsel, he would interrupt the proceedings to permit that.  The magistrate also advised the parties that if “any of [the defendants] have a</w:t>
      </w:r>
      <w:r w:rsidRPr="006418E2">
        <w:rPr>
          <w:rFonts w:cstheme="minorHAnsi"/>
        </w:rPr>
        <w:t xml:space="preserve"> </w:t>
      </w:r>
      <w:r w:rsidRPr="006418E2">
        <w:rPr>
          <w:rFonts w:cstheme="minorHAnsi"/>
        </w:rPr>
        <w:t xml:space="preserve">problem understanding what is happening in the courtroom, they should immediately advise their counsel so that we can stop and make certain that they understand exactly what’s happening.” </w:t>
      </w:r>
      <w:r w:rsidRPr="006418E2">
        <w:rPr>
          <w:rFonts w:cstheme="minorHAnsi"/>
        </w:rPr>
        <w:t xml:space="preserve"> The minute order on March 9, </w:t>
      </w:r>
      <w:proofErr w:type="gramStart"/>
      <w:r w:rsidRPr="006418E2">
        <w:rPr>
          <w:rFonts w:cstheme="minorHAnsi"/>
        </w:rPr>
        <w:t>2020</w:t>
      </w:r>
      <w:proofErr w:type="gramEnd"/>
      <w:r w:rsidRPr="006418E2">
        <w:rPr>
          <w:rFonts w:cstheme="minorHAnsi"/>
        </w:rPr>
        <w:t xml:space="preserve"> reflects five different interpreters were utilized.</w:t>
      </w:r>
      <w:r>
        <w:rPr>
          <w:rStyle w:val="FootnoteReference"/>
          <w:rFonts w:cstheme="minorHAnsi"/>
        </w:rPr>
        <w:footnoteReference w:id="4"/>
      </w:r>
      <w:r w:rsidRPr="006418E2">
        <w:rPr>
          <w:rFonts w:cstheme="minorHAnsi"/>
        </w:rPr>
        <w:t xml:space="preserve"> </w:t>
      </w:r>
      <w:r w:rsidRPr="006418E2">
        <w:rPr>
          <w:rFonts w:cstheme="minorHAnsi"/>
        </w:rPr>
        <w:t xml:space="preserve"> </w:t>
      </w:r>
      <w:r w:rsidRPr="006418E2">
        <w:rPr>
          <w:rFonts w:cstheme="minorHAnsi"/>
        </w:rPr>
        <w:t xml:space="preserve">It does </w:t>
      </w:r>
      <w:r w:rsidRPr="006418E2">
        <w:rPr>
          <w:rFonts w:cstheme="minorHAnsi"/>
        </w:rPr>
        <w:lastRenderedPageBreak/>
        <w:t xml:space="preserve">not appear from the record (and no party has suggested) that Molina was ever provided more than a single </w:t>
      </w:r>
      <w:r w:rsidRPr="006418E2">
        <w:rPr>
          <w:rFonts w:cstheme="minorHAnsi"/>
        </w:rPr>
        <w:t>interpreter to share with his codefendants at any given time during the 15</w:t>
      </w:r>
      <w:r w:rsidRPr="006418E2">
        <w:rPr>
          <w:rFonts w:cstheme="minorHAnsi"/>
        </w:rPr>
        <w:t>-</w:t>
      </w:r>
      <w:r w:rsidRPr="006418E2">
        <w:rPr>
          <w:rFonts w:cstheme="minorHAnsi"/>
        </w:rPr>
        <w:t>month preliminary examination.</w:t>
      </w:r>
      <w:r w:rsidRPr="006418E2">
        <w:rPr>
          <w:rStyle w:val="CommentReference"/>
        </w:rPr>
        <w:t xml:space="preserve"> </w:t>
      </w:r>
    </w:p>
    <w:p w14:paraId="168C82BF" w14:textId="77777777" w:rsidR="00932EE2" w:rsidRPr="006418E2" w:rsidRDefault="00932EE2" w:rsidP="006418E2">
      <w:pPr>
        <w:rPr>
          <w:rFonts w:cstheme="minorHAnsi"/>
        </w:rPr>
      </w:pPr>
      <w:r w:rsidRPr="006418E2">
        <w:rPr>
          <w:rFonts w:cstheme="minorHAnsi"/>
        </w:rPr>
        <w:tab/>
        <w:t xml:space="preserve">We briefly recount pertinent details from the </w:t>
      </w:r>
      <w:r w:rsidRPr="006418E2">
        <w:rPr>
          <w:rFonts w:cstheme="minorHAnsi"/>
        </w:rPr>
        <w:t xml:space="preserve">subsequent </w:t>
      </w:r>
      <w:r w:rsidRPr="006418E2">
        <w:rPr>
          <w:rFonts w:cstheme="minorHAnsi"/>
        </w:rPr>
        <w:t xml:space="preserve">12 </w:t>
      </w:r>
      <w:r w:rsidRPr="006418E2">
        <w:rPr>
          <w:rFonts w:cstheme="minorHAnsi"/>
        </w:rPr>
        <w:t>hearings to provide further context:</w:t>
      </w:r>
    </w:p>
    <w:p w14:paraId="2780A61E" w14:textId="77777777" w:rsidR="00932EE2" w:rsidRPr="006418E2" w:rsidRDefault="00932EE2" w:rsidP="006418E2">
      <w:pPr>
        <w:rPr>
          <w:rFonts w:cstheme="minorHAnsi"/>
        </w:rPr>
      </w:pPr>
      <w:r w:rsidRPr="006418E2">
        <w:rPr>
          <w:rFonts w:cstheme="minorHAnsi"/>
        </w:rPr>
        <w:tab/>
        <w:t>(1)</w:t>
      </w:r>
      <w:r w:rsidRPr="006418E2">
        <w:rPr>
          <w:rFonts w:cstheme="minorHAnsi"/>
          <w:b/>
          <w:bCs/>
        </w:rPr>
        <w:t xml:space="preserve"> </w:t>
      </w:r>
      <w:r w:rsidRPr="006418E2">
        <w:rPr>
          <w:rFonts w:cstheme="minorHAnsi"/>
        </w:rPr>
        <w:t xml:space="preserve">March 10, 2020 – the </w:t>
      </w:r>
      <w:r w:rsidRPr="006418E2">
        <w:rPr>
          <w:rFonts w:cstheme="minorHAnsi"/>
        </w:rPr>
        <w:t>magistrate</w:t>
      </w:r>
      <w:r w:rsidRPr="006418E2">
        <w:rPr>
          <w:rFonts w:cstheme="minorHAnsi"/>
        </w:rPr>
        <w:t xml:space="preserve"> opened the hearing by indicating that he had inquired about additional interpreters </w:t>
      </w:r>
      <w:r w:rsidRPr="006418E2">
        <w:rPr>
          <w:rFonts w:cstheme="minorHAnsi"/>
        </w:rPr>
        <w:t xml:space="preserve">for the preliminary examination </w:t>
      </w:r>
      <w:r w:rsidRPr="006418E2">
        <w:rPr>
          <w:rFonts w:cstheme="minorHAnsi"/>
        </w:rPr>
        <w:t xml:space="preserve">and </w:t>
      </w:r>
      <w:r w:rsidRPr="006418E2">
        <w:rPr>
          <w:rFonts w:cstheme="minorHAnsi"/>
        </w:rPr>
        <w:t>had been informed that other departments had a need for interpreter services as well</w:t>
      </w:r>
      <w:r w:rsidRPr="006418E2">
        <w:rPr>
          <w:rFonts w:cstheme="minorHAnsi"/>
        </w:rPr>
        <w:t>.  However, the magistrate indicated</w:t>
      </w:r>
      <w:r w:rsidRPr="006418E2">
        <w:rPr>
          <w:rFonts w:cstheme="minorHAnsi"/>
        </w:rPr>
        <w:t xml:space="preserve"> “[w]</w:t>
      </w:r>
      <w:proofErr w:type="spellStart"/>
      <w:r w:rsidRPr="006418E2">
        <w:rPr>
          <w:rFonts w:cstheme="minorHAnsi"/>
        </w:rPr>
        <w:t>e’re</w:t>
      </w:r>
      <w:proofErr w:type="spellEnd"/>
      <w:r w:rsidRPr="006418E2">
        <w:rPr>
          <w:rFonts w:cstheme="minorHAnsi"/>
        </w:rPr>
        <w:t xml:space="preserve"> trying to get as many interpreters in this courtroom as possible.”  The transcript from the hearing does not disclose how many interpreters were present in court during the testimony of the first three witnesses, all of whom spok</w:t>
      </w:r>
      <w:r w:rsidRPr="006418E2">
        <w:rPr>
          <w:rFonts w:cstheme="minorHAnsi"/>
        </w:rPr>
        <w:t>e English.</w:t>
      </w:r>
      <w:r>
        <w:rPr>
          <w:rStyle w:val="FootnoteReference"/>
          <w:rFonts w:cstheme="minorHAnsi"/>
        </w:rPr>
        <w:footnoteReference w:id="5"/>
      </w:r>
      <w:r w:rsidRPr="006418E2">
        <w:rPr>
          <w:rFonts w:cstheme="minorHAnsi"/>
        </w:rPr>
        <w:t xml:space="preserve">  Witness 1 took the stand</w:t>
      </w:r>
      <w:r w:rsidRPr="006418E2">
        <w:rPr>
          <w:rFonts w:cstheme="minorHAnsi"/>
        </w:rPr>
        <w:t xml:space="preserve"> and testified in Spanish</w:t>
      </w:r>
      <w:r w:rsidRPr="006418E2">
        <w:rPr>
          <w:rFonts w:cstheme="minorHAnsi"/>
        </w:rPr>
        <w:t>.</w:t>
      </w:r>
      <w:r w:rsidRPr="006418E2">
        <w:rPr>
          <w:rFonts w:cstheme="minorHAnsi"/>
        </w:rPr>
        <w:t xml:space="preserve"> </w:t>
      </w:r>
      <w:r w:rsidRPr="006418E2">
        <w:rPr>
          <w:rFonts w:cstheme="minorHAnsi"/>
        </w:rPr>
        <w:t xml:space="preserve"> </w:t>
      </w:r>
      <w:r w:rsidRPr="006418E2">
        <w:rPr>
          <w:rFonts w:cstheme="minorHAnsi"/>
        </w:rPr>
        <w:t>T</w:t>
      </w:r>
      <w:r w:rsidRPr="006418E2">
        <w:rPr>
          <w:rFonts w:cstheme="minorHAnsi"/>
        </w:rPr>
        <w:t xml:space="preserve">he </w:t>
      </w:r>
      <w:r w:rsidRPr="006418E2">
        <w:rPr>
          <w:rFonts w:cstheme="minorHAnsi"/>
        </w:rPr>
        <w:t xml:space="preserve">magistrate </w:t>
      </w:r>
      <w:r w:rsidRPr="006418E2">
        <w:rPr>
          <w:rFonts w:cstheme="minorHAnsi"/>
        </w:rPr>
        <w:t xml:space="preserve">told “the interpreters” that if they needed a break at any time, the court would accommodate their request.  During a later break in proceedings, the </w:t>
      </w:r>
      <w:r w:rsidRPr="006418E2">
        <w:rPr>
          <w:rFonts w:cstheme="minorHAnsi"/>
        </w:rPr>
        <w:t xml:space="preserve">magistrate </w:t>
      </w:r>
      <w:r w:rsidRPr="006418E2">
        <w:rPr>
          <w:rFonts w:cstheme="minorHAnsi"/>
        </w:rPr>
        <w:t xml:space="preserve">asked that the three </w:t>
      </w:r>
      <w:r w:rsidRPr="006418E2">
        <w:rPr>
          <w:rFonts w:cstheme="minorHAnsi"/>
        </w:rPr>
        <w:t>interpreters present in the courtroom identify themselves for the record</w:t>
      </w:r>
      <w:r w:rsidRPr="006418E2">
        <w:rPr>
          <w:rFonts w:cstheme="minorHAnsi"/>
        </w:rPr>
        <w:t>, which they did</w:t>
      </w:r>
      <w:r w:rsidRPr="006418E2">
        <w:rPr>
          <w:rFonts w:cstheme="minorHAnsi"/>
        </w:rPr>
        <w:t xml:space="preserve">. </w:t>
      </w:r>
      <w:r w:rsidRPr="006418E2">
        <w:rPr>
          <w:rFonts w:cstheme="minorHAnsi"/>
        </w:rPr>
        <w:t xml:space="preserve"> </w:t>
      </w:r>
      <w:r w:rsidRPr="006418E2">
        <w:rPr>
          <w:rFonts w:cstheme="minorHAnsi"/>
        </w:rPr>
        <w:lastRenderedPageBreak/>
        <w:t>The minute order for that hearing reflected</w:t>
      </w:r>
      <w:r w:rsidRPr="006418E2">
        <w:rPr>
          <w:rFonts w:cstheme="minorHAnsi"/>
        </w:rPr>
        <w:t xml:space="preserve"> </w:t>
      </w:r>
      <w:proofErr w:type="gramStart"/>
      <w:r w:rsidRPr="006418E2">
        <w:rPr>
          <w:rFonts w:cstheme="minorHAnsi"/>
        </w:rPr>
        <w:t>that four interpreters</w:t>
      </w:r>
      <w:proofErr w:type="gramEnd"/>
      <w:r w:rsidRPr="006418E2">
        <w:rPr>
          <w:rFonts w:cstheme="minorHAnsi"/>
        </w:rPr>
        <w:t xml:space="preserve"> </w:t>
      </w:r>
      <w:r>
        <w:rPr>
          <w:rFonts w:cstheme="minorHAnsi"/>
        </w:rPr>
        <w:t xml:space="preserve">in all </w:t>
      </w:r>
      <w:r w:rsidRPr="006418E2">
        <w:rPr>
          <w:rFonts w:cstheme="minorHAnsi"/>
        </w:rPr>
        <w:t>had appeared</w:t>
      </w:r>
      <w:r w:rsidRPr="006418E2">
        <w:rPr>
          <w:rFonts w:cstheme="minorHAnsi"/>
        </w:rPr>
        <w:t xml:space="preserve"> throughout the </w:t>
      </w:r>
      <w:r w:rsidRPr="006418E2">
        <w:rPr>
          <w:rFonts w:cstheme="minorHAnsi"/>
        </w:rPr>
        <w:t>session</w:t>
      </w:r>
      <w:r w:rsidRPr="006418E2">
        <w:rPr>
          <w:rFonts w:cstheme="minorHAnsi"/>
        </w:rPr>
        <w:t>.</w:t>
      </w:r>
      <w:r>
        <w:rPr>
          <w:rStyle w:val="FootnoteReference"/>
          <w:rFonts w:cstheme="minorHAnsi"/>
        </w:rPr>
        <w:footnoteReference w:id="6"/>
      </w:r>
      <w:r w:rsidRPr="006418E2">
        <w:rPr>
          <w:rFonts w:cstheme="minorHAnsi"/>
        </w:rPr>
        <w:t xml:space="preserve"> </w:t>
      </w:r>
    </w:p>
    <w:p w14:paraId="0D718BE1" w14:textId="77777777" w:rsidR="00932EE2" w:rsidRPr="006418E2" w:rsidRDefault="00932EE2" w:rsidP="006418E2">
      <w:pPr>
        <w:rPr>
          <w:rFonts w:cstheme="minorHAnsi"/>
        </w:rPr>
      </w:pPr>
      <w:r w:rsidRPr="006418E2">
        <w:rPr>
          <w:rFonts w:cstheme="minorHAnsi"/>
          <w:b/>
          <w:bCs/>
        </w:rPr>
        <w:tab/>
      </w:r>
      <w:r w:rsidRPr="006418E2">
        <w:rPr>
          <w:rFonts w:cstheme="minorHAnsi"/>
        </w:rPr>
        <w:t xml:space="preserve">(2) </w:t>
      </w:r>
      <w:r w:rsidRPr="006418E2">
        <w:rPr>
          <w:rFonts w:cstheme="minorHAnsi"/>
        </w:rPr>
        <w:t xml:space="preserve">March 11, 2020 – Witness 1 </w:t>
      </w:r>
      <w:r w:rsidRPr="006418E2">
        <w:rPr>
          <w:rFonts w:cstheme="minorHAnsi"/>
        </w:rPr>
        <w:t>return</w:t>
      </w:r>
      <w:r w:rsidRPr="006418E2">
        <w:rPr>
          <w:rFonts w:cstheme="minorHAnsi"/>
        </w:rPr>
        <w:t>ed</w:t>
      </w:r>
      <w:r w:rsidRPr="006418E2">
        <w:rPr>
          <w:rFonts w:cstheme="minorHAnsi"/>
        </w:rPr>
        <w:t xml:space="preserve"> to the</w:t>
      </w:r>
      <w:r w:rsidRPr="006418E2">
        <w:rPr>
          <w:rFonts w:cstheme="minorHAnsi"/>
        </w:rPr>
        <w:t xml:space="preserve"> stand</w:t>
      </w:r>
      <w:r w:rsidRPr="006418E2">
        <w:rPr>
          <w:rFonts w:cstheme="minorHAnsi"/>
        </w:rPr>
        <w:t xml:space="preserve"> and although the court noted that all parties and counsel </w:t>
      </w:r>
      <w:r w:rsidRPr="006418E2">
        <w:rPr>
          <w:rFonts w:cstheme="minorHAnsi"/>
        </w:rPr>
        <w:t>were</w:t>
      </w:r>
      <w:r w:rsidRPr="006418E2">
        <w:rPr>
          <w:rFonts w:cstheme="minorHAnsi"/>
        </w:rPr>
        <w:t xml:space="preserve"> present, there </w:t>
      </w:r>
      <w:r w:rsidRPr="006418E2">
        <w:rPr>
          <w:rFonts w:cstheme="minorHAnsi"/>
        </w:rPr>
        <w:t>was</w:t>
      </w:r>
      <w:r w:rsidRPr="006418E2">
        <w:rPr>
          <w:rFonts w:cstheme="minorHAnsi"/>
        </w:rPr>
        <w:t xml:space="preserve"> no indication as to how many interpreters </w:t>
      </w:r>
      <w:r w:rsidRPr="006418E2">
        <w:rPr>
          <w:rFonts w:cstheme="minorHAnsi"/>
        </w:rPr>
        <w:t>were</w:t>
      </w:r>
      <w:r w:rsidRPr="006418E2">
        <w:rPr>
          <w:rFonts w:cstheme="minorHAnsi"/>
        </w:rPr>
        <w:t xml:space="preserve"> in the courtroom.</w:t>
      </w:r>
      <w:r>
        <w:rPr>
          <w:rStyle w:val="FootnoteReference"/>
          <w:rFonts w:cstheme="minorHAnsi"/>
        </w:rPr>
        <w:footnoteReference w:id="7"/>
      </w:r>
      <w:r w:rsidRPr="006418E2">
        <w:rPr>
          <w:rFonts w:cstheme="minorHAnsi"/>
        </w:rPr>
        <w:t xml:space="preserve"> </w:t>
      </w:r>
      <w:r w:rsidRPr="006418E2">
        <w:rPr>
          <w:rFonts w:cstheme="minorHAnsi"/>
        </w:rPr>
        <w:t xml:space="preserve"> </w:t>
      </w:r>
      <w:r w:rsidRPr="006418E2">
        <w:rPr>
          <w:rFonts w:cstheme="minorHAnsi"/>
        </w:rPr>
        <w:t>At some point, one of the defense attorneys note</w:t>
      </w:r>
      <w:r w:rsidRPr="006418E2">
        <w:rPr>
          <w:rFonts w:cstheme="minorHAnsi"/>
        </w:rPr>
        <w:t>d</w:t>
      </w:r>
      <w:r w:rsidRPr="006418E2">
        <w:rPr>
          <w:rFonts w:cstheme="minorHAnsi"/>
        </w:rPr>
        <w:t xml:space="preserve"> that there </w:t>
      </w:r>
      <w:r w:rsidRPr="006418E2">
        <w:rPr>
          <w:rFonts w:cstheme="minorHAnsi"/>
        </w:rPr>
        <w:t>were</w:t>
      </w:r>
      <w:r w:rsidRPr="006418E2">
        <w:rPr>
          <w:rFonts w:cstheme="minorHAnsi"/>
        </w:rPr>
        <w:t xml:space="preserve"> some technical issues with the audio equipment </w:t>
      </w:r>
      <w:r w:rsidRPr="006418E2">
        <w:rPr>
          <w:rFonts w:cstheme="minorHAnsi"/>
        </w:rPr>
        <w:t xml:space="preserve">and, after the proceedings </w:t>
      </w:r>
      <w:r w:rsidRPr="006418E2">
        <w:rPr>
          <w:rFonts w:cstheme="minorHAnsi"/>
        </w:rPr>
        <w:t>were</w:t>
      </w:r>
      <w:r w:rsidRPr="006418E2">
        <w:rPr>
          <w:rFonts w:cstheme="minorHAnsi"/>
        </w:rPr>
        <w:t xml:space="preserve"> paused and then resumed, a second defense attorney noted that the audio problems </w:t>
      </w:r>
      <w:r w:rsidRPr="006418E2">
        <w:rPr>
          <w:rFonts w:cstheme="minorHAnsi"/>
        </w:rPr>
        <w:t>continued</w:t>
      </w:r>
      <w:r w:rsidRPr="006418E2">
        <w:rPr>
          <w:rFonts w:cstheme="minorHAnsi"/>
        </w:rPr>
        <w:t xml:space="preserve"> and she was concerned about her client’s “ability to perceive” what </w:t>
      </w:r>
      <w:r w:rsidRPr="006418E2">
        <w:rPr>
          <w:rFonts w:cstheme="minorHAnsi"/>
        </w:rPr>
        <w:t>had occurred</w:t>
      </w:r>
      <w:r w:rsidRPr="006418E2">
        <w:rPr>
          <w:rFonts w:cstheme="minorHAnsi"/>
        </w:rPr>
        <w:t>.</w:t>
      </w:r>
      <w:r>
        <w:rPr>
          <w:rStyle w:val="FootnoteReference"/>
          <w:rFonts w:cstheme="minorHAnsi"/>
        </w:rPr>
        <w:footnoteReference w:id="8"/>
      </w:r>
      <w:r w:rsidRPr="006418E2">
        <w:rPr>
          <w:rFonts w:cstheme="minorHAnsi"/>
        </w:rPr>
        <w:t xml:space="preserve">  When testimony resumed, the record d</w:t>
      </w:r>
      <w:r w:rsidRPr="006418E2">
        <w:rPr>
          <w:rFonts w:cstheme="minorHAnsi"/>
        </w:rPr>
        <w:t>id</w:t>
      </w:r>
      <w:r w:rsidRPr="006418E2">
        <w:rPr>
          <w:rFonts w:cstheme="minorHAnsi"/>
        </w:rPr>
        <w:t xml:space="preserve"> not indicate how many interpreters </w:t>
      </w:r>
      <w:r w:rsidRPr="006418E2">
        <w:rPr>
          <w:rFonts w:cstheme="minorHAnsi"/>
        </w:rPr>
        <w:t>were</w:t>
      </w:r>
      <w:r w:rsidRPr="006418E2">
        <w:rPr>
          <w:rFonts w:cstheme="minorHAnsi"/>
        </w:rPr>
        <w:t xml:space="preserve"> present, but there </w:t>
      </w:r>
      <w:r w:rsidRPr="006418E2">
        <w:rPr>
          <w:rFonts w:cstheme="minorHAnsi"/>
        </w:rPr>
        <w:t>were</w:t>
      </w:r>
      <w:r w:rsidRPr="006418E2">
        <w:rPr>
          <w:rFonts w:cstheme="minorHAnsi"/>
        </w:rPr>
        <w:t xml:space="preserve"> </w:t>
      </w:r>
      <w:r w:rsidRPr="006418E2">
        <w:rPr>
          <w:rFonts w:cstheme="minorHAnsi"/>
        </w:rPr>
        <w:t>several</w:t>
      </w:r>
      <w:r w:rsidRPr="006418E2">
        <w:rPr>
          <w:rFonts w:cstheme="minorHAnsi"/>
        </w:rPr>
        <w:t xml:space="preserve"> points later in the hearing where the record reflect</w:t>
      </w:r>
      <w:r w:rsidRPr="006418E2">
        <w:rPr>
          <w:rFonts w:cstheme="minorHAnsi"/>
        </w:rPr>
        <w:t>ed</w:t>
      </w:r>
      <w:r w:rsidRPr="006418E2">
        <w:rPr>
          <w:rFonts w:cstheme="minorHAnsi"/>
        </w:rPr>
        <w:t xml:space="preserve"> a pause for a new interpreter. </w:t>
      </w:r>
      <w:r w:rsidRPr="006418E2">
        <w:rPr>
          <w:rFonts w:cstheme="minorHAnsi"/>
        </w:rPr>
        <w:t xml:space="preserve"> </w:t>
      </w:r>
      <w:r w:rsidRPr="006418E2">
        <w:rPr>
          <w:rFonts w:cstheme="minorHAnsi"/>
        </w:rPr>
        <w:t>The minute order for that hearing reflected</w:t>
      </w:r>
      <w:r w:rsidRPr="006418E2">
        <w:rPr>
          <w:rFonts w:cstheme="minorHAnsi"/>
        </w:rPr>
        <w:t xml:space="preserve"> four interpreters </w:t>
      </w:r>
      <w:r w:rsidRPr="006418E2">
        <w:rPr>
          <w:rFonts w:cstheme="minorHAnsi"/>
        </w:rPr>
        <w:t>had appeared</w:t>
      </w:r>
      <w:r w:rsidRPr="006418E2">
        <w:rPr>
          <w:rFonts w:cstheme="minorHAnsi"/>
        </w:rPr>
        <w:t xml:space="preserve"> throughout the session</w:t>
      </w:r>
      <w:r w:rsidRPr="006418E2">
        <w:rPr>
          <w:rFonts w:cstheme="minorHAnsi"/>
        </w:rPr>
        <w:t xml:space="preserve">. </w:t>
      </w:r>
    </w:p>
    <w:p w14:paraId="580FF0B2" w14:textId="77777777" w:rsidR="00932EE2" w:rsidRPr="006418E2" w:rsidRDefault="00932EE2" w:rsidP="006418E2">
      <w:pPr>
        <w:rPr>
          <w:rFonts w:cstheme="minorHAnsi"/>
        </w:rPr>
      </w:pPr>
      <w:r w:rsidRPr="006418E2">
        <w:rPr>
          <w:rFonts w:cstheme="minorHAnsi"/>
        </w:rPr>
        <w:tab/>
        <w:t xml:space="preserve">(3) August 17, 2020 – Witness 1 </w:t>
      </w:r>
      <w:r w:rsidRPr="006418E2">
        <w:rPr>
          <w:rFonts w:cstheme="minorHAnsi"/>
        </w:rPr>
        <w:t>continued his testimony</w:t>
      </w:r>
      <w:r w:rsidRPr="006418E2">
        <w:rPr>
          <w:rFonts w:cstheme="minorHAnsi"/>
        </w:rPr>
        <w:t>.</w:t>
      </w:r>
      <w:r w:rsidRPr="006418E2">
        <w:rPr>
          <w:rFonts w:cstheme="minorHAnsi"/>
        </w:rPr>
        <w:t xml:space="preserve">  </w:t>
      </w:r>
      <w:r w:rsidRPr="006418E2">
        <w:rPr>
          <w:rFonts w:cstheme="minorHAnsi"/>
        </w:rPr>
        <w:t>T</w:t>
      </w:r>
      <w:r w:rsidRPr="006418E2">
        <w:rPr>
          <w:rFonts w:cstheme="minorHAnsi"/>
        </w:rPr>
        <w:t xml:space="preserve">he </w:t>
      </w:r>
      <w:r w:rsidRPr="006418E2">
        <w:rPr>
          <w:rFonts w:cstheme="minorHAnsi"/>
        </w:rPr>
        <w:t>magistrate</w:t>
      </w:r>
      <w:r w:rsidRPr="006418E2">
        <w:rPr>
          <w:rFonts w:cstheme="minorHAnsi"/>
        </w:rPr>
        <w:t xml:space="preserve"> note</w:t>
      </w:r>
      <w:r w:rsidRPr="006418E2">
        <w:rPr>
          <w:rFonts w:cstheme="minorHAnsi"/>
        </w:rPr>
        <w:t>d</w:t>
      </w:r>
      <w:r w:rsidRPr="006418E2">
        <w:rPr>
          <w:rFonts w:cstheme="minorHAnsi"/>
        </w:rPr>
        <w:t xml:space="preserve"> at the outset of the hearing that “all defendants are being assisted by our court certified interpreter, who satisfies the criteria of Government Code 68561[, subdivision] (g).”  All defense counsel renewed their objection that their clients did not have an individual interpreter, with one attorney noting “the interpreter that is translating for the defendants will also be translating for the witness, and the witness’s answer</w:t>
      </w:r>
      <w:r w:rsidRPr="006418E2">
        <w:rPr>
          <w:rFonts w:cstheme="minorHAnsi"/>
        </w:rPr>
        <w:t xml:space="preserve"> will </w:t>
      </w:r>
      <w:r w:rsidRPr="006418E2">
        <w:rPr>
          <w:rFonts w:cstheme="minorHAnsi"/>
        </w:rPr>
        <w:t>be translated by a different i</w:t>
      </w:r>
      <w:r w:rsidRPr="006418E2">
        <w:rPr>
          <w:rFonts w:cstheme="minorHAnsi"/>
        </w:rPr>
        <w:t xml:space="preserve">nterpreter.”  The court again informed the defendants that they should interrupt the proceedings if they did not understand what was happening or if they needed to talk to counsel.  </w:t>
      </w:r>
      <w:r w:rsidRPr="006418E2">
        <w:rPr>
          <w:rFonts w:cstheme="minorHAnsi"/>
        </w:rPr>
        <w:t xml:space="preserve">At the conclusion of the hearing, an interpreter stated that interpretation </w:t>
      </w:r>
      <w:r w:rsidRPr="006418E2">
        <w:rPr>
          <w:rFonts w:cstheme="minorHAnsi"/>
        </w:rPr>
        <w:lastRenderedPageBreak/>
        <w:t>services</w:t>
      </w:r>
      <w:r w:rsidRPr="006418E2">
        <w:rPr>
          <w:rFonts w:cstheme="minorHAnsi"/>
        </w:rPr>
        <w:t xml:space="preserve"> </w:t>
      </w:r>
      <w:r w:rsidRPr="006418E2">
        <w:rPr>
          <w:rFonts w:cstheme="minorHAnsi"/>
        </w:rPr>
        <w:t xml:space="preserve">for </w:t>
      </w:r>
      <w:r w:rsidRPr="006418E2">
        <w:rPr>
          <w:rFonts w:cstheme="minorHAnsi"/>
        </w:rPr>
        <w:t>the following day</w:t>
      </w:r>
      <w:r w:rsidRPr="006418E2">
        <w:rPr>
          <w:rFonts w:cstheme="minorHAnsi"/>
        </w:rPr>
        <w:t xml:space="preserve"> would be “very tight” as there were only “three interpreters</w:t>
      </w:r>
      <w:r w:rsidRPr="006418E2">
        <w:rPr>
          <w:rFonts w:cstheme="minorHAnsi"/>
        </w:rPr>
        <w:t>.</w:t>
      </w:r>
      <w:r w:rsidRPr="006418E2">
        <w:rPr>
          <w:rFonts w:cstheme="minorHAnsi"/>
        </w:rPr>
        <w:t xml:space="preserve">” </w:t>
      </w:r>
      <w:r w:rsidRPr="006418E2">
        <w:rPr>
          <w:rFonts w:cstheme="minorHAnsi"/>
        </w:rPr>
        <w:t xml:space="preserve"> </w:t>
      </w:r>
      <w:bookmarkStart w:id="0" w:name="_Hlk162080248"/>
      <w:r w:rsidRPr="006418E2">
        <w:rPr>
          <w:rFonts w:cstheme="minorHAnsi"/>
        </w:rPr>
        <w:t xml:space="preserve">The minute order </w:t>
      </w:r>
      <w:r w:rsidRPr="006418E2">
        <w:rPr>
          <w:rFonts w:cstheme="minorHAnsi"/>
        </w:rPr>
        <w:t xml:space="preserve">for that hearing </w:t>
      </w:r>
      <w:r w:rsidRPr="006418E2">
        <w:rPr>
          <w:rFonts w:cstheme="minorHAnsi"/>
        </w:rPr>
        <w:t>reflected</w:t>
      </w:r>
      <w:r w:rsidRPr="006418E2">
        <w:rPr>
          <w:rFonts w:cstheme="minorHAnsi"/>
        </w:rPr>
        <w:t xml:space="preserve"> </w:t>
      </w:r>
      <w:r w:rsidRPr="006418E2">
        <w:rPr>
          <w:rFonts w:cstheme="minorHAnsi"/>
        </w:rPr>
        <w:t>four interpreters</w:t>
      </w:r>
      <w:r w:rsidRPr="006418E2">
        <w:rPr>
          <w:rFonts w:cstheme="minorHAnsi"/>
        </w:rPr>
        <w:t xml:space="preserve"> had appeared</w:t>
      </w:r>
      <w:r w:rsidRPr="006418E2">
        <w:rPr>
          <w:rFonts w:cstheme="minorHAnsi"/>
        </w:rPr>
        <w:t xml:space="preserve"> throughout the session</w:t>
      </w:r>
      <w:r w:rsidRPr="006418E2">
        <w:rPr>
          <w:rFonts w:cstheme="minorHAnsi"/>
        </w:rPr>
        <w:t>, specifically</w:t>
      </w:r>
      <w:r w:rsidRPr="006418E2">
        <w:rPr>
          <w:rFonts w:cstheme="minorHAnsi"/>
        </w:rPr>
        <w:t xml:space="preserve"> identif</w:t>
      </w:r>
      <w:r w:rsidRPr="006418E2">
        <w:rPr>
          <w:rFonts w:cstheme="minorHAnsi"/>
        </w:rPr>
        <w:t>ying</w:t>
      </w:r>
      <w:r w:rsidRPr="006418E2">
        <w:rPr>
          <w:rFonts w:cstheme="minorHAnsi"/>
        </w:rPr>
        <w:t xml:space="preserve"> one interpreter “interpreting for the defendants” and a second “interpreting for the witness.” </w:t>
      </w:r>
    </w:p>
    <w:bookmarkEnd w:id="0"/>
    <w:p w14:paraId="7691B676" w14:textId="77777777" w:rsidR="00932EE2" w:rsidRPr="006418E2" w:rsidRDefault="00932EE2" w:rsidP="006418E2">
      <w:pPr>
        <w:rPr>
          <w:rFonts w:cstheme="minorHAnsi"/>
        </w:rPr>
      </w:pPr>
      <w:r w:rsidRPr="006418E2">
        <w:rPr>
          <w:rFonts w:cstheme="minorHAnsi"/>
        </w:rPr>
        <w:tab/>
        <w:t xml:space="preserve">(4) August 18, 2020 – Witness 1 </w:t>
      </w:r>
      <w:r w:rsidRPr="006418E2">
        <w:rPr>
          <w:rFonts w:cstheme="minorHAnsi"/>
        </w:rPr>
        <w:t>continued his testimony.</w:t>
      </w:r>
      <w:r w:rsidRPr="006418E2">
        <w:rPr>
          <w:rFonts w:cstheme="minorHAnsi"/>
        </w:rPr>
        <w:t xml:space="preserve">  During the afternoon session, the </w:t>
      </w:r>
      <w:r w:rsidRPr="006418E2">
        <w:rPr>
          <w:rFonts w:cstheme="minorHAnsi"/>
        </w:rPr>
        <w:t xml:space="preserve">magistrate </w:t>
      </w:r>
      <w:r w:rsidRPr="006418E2">
        <w:rPr>
          <w:rFonts w:cstheme="minorHAnsi"/>
        </w:rPr>
        <w:t xml:space="preserve">took a break, </w:t>
      </w:r>
      <w:r w:rsidRPr="006418E2">
        <w:rPr>
          <w:rFonts w:cstheme="minorHAnsi"/>
        </w:rPr>
        <w:t>stat</w:t>
      </w:r>
      <w:r>
        <w:rPr>
          <w:rFonts w:cstheme="minorHAnsi"/>
        </w:rPr>
        <w:t>ing</w:t>
      </w:r>
      <w:r w:rsidRPr="006418E2">
        <w:rPr>
          <w:rFonts w:cstheme="minorHAnsi"/>
        </w:rPr>
        <w:t xml:space="preserve"> </w:t>
      </w:r>
      <w:r w:rsidRPr="006418E2">
        <w:rPr>
          <w:rFonts w:cstheme="minorHAnsi"/>
        </w:rPr>
        <w:t xml:space="preserve">that he had earlier promised “the interpreter” he would do so. </w:t>
      </w:r>
      <w:r w:rsidRPr="006418E2">
        <w:rPr>
          <w:rFonts w:cstheme="minorHAnsi"/>
        </w:rPr>
        <w:t xml:space="preserve"> The minute order for that hearing </w:t>
      </w:r>
      <w:r w:rsidRPr="006418E2">
        <w:rPr>
          <w:rFonts w:cstheme="minorHAnsi"/>
        </w:rPr>
        <w:t xml:space="preserve">again </w:t>
      </w:r>
      <w:r w:rsidRPr="006418E2">
        <w:rPr>
          <w:rFonts w:cstheme="minorHAnsi"/>
        </w:rPr>
        <w:t xml:space="preserve">reflected </w:t>
      </w:r>
      <w:r w:rsidRPr="006418E2">
        <w:rPr>
          <w:rFonts w:cstheme="minorHAnsi"/>
        </w:rPr>
        <w:t xml:space="preserve">four interpreters </w:t>
      </w:r>
      <w:r w:rsidRPr="006418E2">
        <w:rPr>
          <w:rFonts w:cstheme="minorHAnsi"/>
        </w:rPr>
        <w:t>had appeared</w:t>
      </w:r>
      <w:r w:rsidRPr="006418E2">
        <w:rPr>
          <w:rFonts w:cstheme="minorHAnsi"/>
        </w:rPr>
        <w:t xml:space="preserve"> with two identified as “interpreting for the [d]</w:t>
      </w:r>
      <w:proofErr w:type="spellStart"/>
      <w:r w:rsidRPr="006418E2">
        <w:rPr>
          <w:rFonts w:cstheme="minorHAnsi"/>
        </w:rPr>
        <w:t>efendants</w:t>
      </w:r>
      <w:proofErr w:type="spellEnd"/>
      <w:r w:rsidRPr="006418E2">
        <w:rPr>
          <w:rFonts w:cstheme="minorHAnsi"/>
        </w:rPr>
        <w:t xml:space="preserve">” and another two “interpreting for the witness.” </w:t>
      </w:r>
    </w:p>
    <w:p w14:paraId="4F11D4A3" w14:textId="77777777" w:rsidR="00932EE2" w:rsidRPr="006418E2" w:rsidRDefault="00932EE2" w:rsidP="006418E2">
      <w:pPr>
        <w:rPr>
          <w:rFonts w:cstheme="minorHAnsi"/>
        </w:rPr>
      </w:pPr>
      <w:r w:rsidRPr="006418E2">
        <w:rPr>
          <w:rFonts w:cstheme="minorHAnsi"/>
        </w:rPr>
        <w:tab/>
        <w:t xml:space="preserve">(5) August 19, 2020 – Witness 1 resumed his testimony, with the </w:t>
      </w:r>
      <w:r w:rsidRPr="006418E2">
        <w:rPr>
          <w:rFonts w:cstheme="minorHAnsi"/>
        </w:rPr>
        <w:t>Spanish</w:t>
      </w:r>
      <w:r w:rsidRPr="006418E2">
        <w:rPr>
          <w:rFonts w:cstheme="minorHAnsi"/>
        </w:rPr>
        <w:t>-</w:t>
      </w:r>
      <w:r w:rsidRPr="006418E2">
        <w:rPr>
          <w:rFonts w:cstheme="minorHAnsi"/>
        </w:rPr>
        <w:t>lan</w:t>
      </w:r>
      <w:r w:rsidRPr="006418E2">
        <w:rPr>
          <w:rFonts w:cstheme="minorHAnsi"/>
        </w:rPr>
        <w:t xml:space="preserve">guage </w:t>
      </w:r>
      <w:r w:rsidRPr="006418E2">
        <w:rPr>
          <w:rFonts w:cstheme="minorHAnsi"/>
        </w:rPr>
        <w:t xml:space="preserve">interpreter noting that there was a problem with the witness’s headphones.  The transcript reflects </w:t>
      </w:r>
      <w:r w:rsidRPr="006418E2">
        <w:rPr>
          <w:rFonts w:cstheme="minorHAnsi"/>
        </w:rPr>
        <w:t>two</w:t>
      </w:r>
      <w:r w:rsidRPr="006418E2">
        <w:rPr>
          <w:rFonts w:cstheme="minorHAnsi"/>
        </w:rPr>
        <w:t xml:space="preserve"> pauses due to problems with the “audio streaming.” </w:t>
      </w:r>
      <w:r w:rsidRPr="006418E2">
        <w:rPr>
          <w:rFonts w:cstheme="minorHAnsi"/>
        </w:rPr>
        <w:t xml:space="preserve"> The minute order for that hearing reflected </w:t>
      </w:r>
      <w:proofErr w:type="gramStart"/>
      <w:r w:rsidRPr="006418E2">
        <w:rPr>
          <w:rFonts w:cstheme="minorHAnsi"/>
        </w:rPr>
        <w:t>that</w:t>
      </w:r>
      <w:r w:rsidRPr="006418E2">
        <w:rPr>
          <w:rFonts w:cstheme="minorHAnsi"/>
        </w:rPr>
        <w:t xml:space="preserve"> four interpreters</w:t>
      </w:r>
      <w:proofErr w:type="gramEnd"/>
      <w:r w:rsidRPr="006418E2">
        <w:rPr>
          <w:rFonts w:cstheme="minorHAnsi"/>
        </w:rPr>
        <w:t xml:space="preserve"> </w:t>
      </w:r>
      <w:r w:rsidRPr="006418E2">
        <w:rPr>
          <w:rFonts w:cstheme="minorHAnsi"/>
        </w:rPr>
        <w:t>had appeared throughout the session</w:t>
      </w:r>
      <w:r w:rsidRPr="006418E2">
        <w:rPr>
          <w:rFonts w:cstheme="minorHAnsi"/>
        </w:rPr>
        <w:t>, with two “interpreting for the [d]</w:t>
      </w:r>
      <w:proofErr w:type="spellStart"/>
      <w:r w:rsidRPr="006418E2">
        <w:rPr>
          <w:rFonts w:cstheme="minorHAnsi"/>
        </w:rPr>
        <w:t>efendants</w:t>
      </w:r>
      <w:proofErr w:type="spellEnd"/>
      <w:r w:rsidRPr="006418E2">
        <w:rPr>
          <w:rFonts w:cstheme="minorHAnsi"/>
        </w:rPr>
        <w:t>” and two “interpreting for [] Witness []1.”</w:t>
      </w:r>
      <w:r w:rsidRPr="006418E2">
        <w:rPr>
          <w:rFonts w:cstheme="minorHAnsi"/>
        </w:rPr>
        <w:t xml:space="preserve"> </w:t>
      </w:r>
    </w:p>
    <w:p w14:paraId="7A175025" w14:textId="77777777" w:rsidR="00932EE2" w:rsidRPr="006418E2" w:rsidRDefault="00932EE2" w:rsidP="006418E2">
      <w:pPr>
        <w:rPr>
          <w:rFonts w:cstheme="minorHAnsi"/>
        </w:rPr>
      </w:pPr>
      <w:r w:rsidRPr="006418E2">
        <w:rPr>
          <w:rFonts w:cstheme="minorHAnsi"/>
          <w:b/>
          <w:bCs/>
        </w:rPr>
        <w:tab/>
      </w:r>
      <w:r w:rsidRPr="006418E2">
        <w:rPr>
          <w:rFonts w:cstheme="minorHAnsi"/>
        </w:rPr>
        <w:t>(</w:t>
      </w:r>
      <w:r>
        <w:rPr>
          <w:rFonts w:cstheme="minorHAnsi"/>
        </w:rPr>
        <w:t>6</w:t>
      </w:r>
      <w:r w:rsidRPr="006418E2">
        <w:rPr>
          <w:rFonts w:cstheme="minorHAnsi"/>
        </w:rPr>
        <w:t>) November 9, 2020</w:t>
      </w:r>
      <w:r>
        <w:rPr>
          <w:rStyle w:val="FootnoteReference"/>
          <w:rFonts w:cstheme="minorHAnsi"/>
        </w:rPr>
        <w:footnoteReference w:id="9"/>
      </w:r>
      <w:r w:rsidRPr="006418E2">
        <w:rPr>
          <w:rFonts w:cstheme="minorHAnsi"/>
        </w:rPr>
        <w:t xml:space="preserve"> </w:t>
      </w:r>
      <w:r w:rsidRPr="006418E2">
        <w:rPr>
          <w:rFonts w:cstheme="minorHAnsi"/>
        </w:rPr>
        <w:t>–</w:t>
      </w:r>
      <w:r w:rsidRPr="006418E2">
        <w:rPr>
          <w:rFonts w:cstheme="minorHAnsi"/>
        </w:rPr>
        <w:t xml:space="preserve"> Witness 1 </w:t>
      </w:r>
      <w:proofErr w:type="gramStart"/>
      <w:r w:rsidRPr="006418E2">
        <w:rPr>
          <w:rFonts w:cstheme="minorHAnsi"/>
        </w:rPr>
        <w:t>returned again</w:t>
      </w:r>
      <w:proofErr w:type="gramEnd"/>
      <w:r w:rsidRPr="006418E2">
        <w:rPr>
          <w:rFonts w:cstheme="minorHAnsi"/>
        </w:rPr>
        <w:t xml:space="preserve"> to testify</w:t>
      </w:r>
      <w:r w:rsidRPr="006418E2">
        <w:rPr>
          <w:rFonts w:cstheme="minorHAnsi"/>
        </w:rPr>
        <w:t>.  Prior</w:t>
      </w:r>
      <w:r w:rsidRPr="006418E2">
        <w:rPr>
          <w:rFonts w:cstheme="minorHAnsi"/>
        </w:rPr>
        <w:t xml:space="preserve"> to </w:t>
      </w:r>
      <w:r w:rsidRPr="006418E2">
        <w:rPr>
          <w:rFonts w:cstheme="minorHAnsi"/>
        </w:rPr>
        <w:t xml:space="preserve">his </w:t>
      </w:r>
      <w:r w:rsidRPr="006418E2">
        <w:rPr>
          <w:rFonts w:cstheme="minorHAnsi"/>
        </w:rPr>
        <w:t>testimony resuming, defense counsel indicate</w:t>
      </w:r>
      <w:r w:rsidRPr="006418E2">
        <w:rPr>
          <w:rFonts w:cstheme="minorHAnsi"/>
        </w:rPr>
        <w:t>d</w:t>
      </w:r>
      <w:r w:rsidRPr="006418E2">
        <w:rPr>
          <w:rFonts w:cstheme="minorHAnsi"/>
        </w:rPr>
        <w:t xml:space="preserve"> that only three interpreters were present and “a minimum of four” are required.  The </w:t>
      </w:r>
      <w:r w:rsidRPr="006418E2">
        <w:rPr>
          <w:rFonts w:cstheme="minorHAnsi"/>
        </w:rPr>
        <w:t xml:space="preserve">magistrate </w:t>
      </w:r>
      <w:r w:rsidRPr="006418E2">
        <w:rPr>
          <w:rFonts w:cstheme="minorHAnsi"/>
        </w:rPr>
        <w:t xml:space="preserve">acknowledged they were “short at least one interpreter” but proceeded with the hearing with the understanding that more frequent breaks would be taken.  Molina’s counsel subsequently informed the court that Molina was having difficulty understanding the interpreter </w:t>
      </w:r>
      <w:proofErr w:type="gramStart"/>
      <w:r w:rsidRPr="006418E2">
        <w:rPr>
          <w:rFonts w:cstheme="minorHAnsi"/>
        </w:rPr>
        <w:t>and also</w:t>
      </w:r>
      <w:proofErr w:type="gramEnd"/>
      <w:r w:rsidRPr="006418E2">
        <w:rPr>
          <w:rFonts w:cstheme="minorHAnsi"/>
        </w:rPr>
        <w:t xml:space="preserve"> was having issues with the audio.  </w:t>
      </w:r>
    </w:p>
    <w:p w14:paraId="6B6AA0F6" w14:textId="77777777" w:rsidR="00932EE2" w:rsidRPr="006418E2" w:rsidRDefault="00932EE2" w:rsidP="006418E2">
      <w:pPr>
        <w:rPr>
          <w:rFonts w:cstheme="minorHAnsi"/>
        </w:rPr>
      </w:pPr>
      <w:r w:rsidRPr="006418E2">
        <w:rPr>
          <w:rFonts w:cstheme="minorHAnsi"/>
        </w:rPr>
        <w:tab/>
        <w:t>(</w:t>
      </w:r>
      <w:r>
        <w:rPr>
          <w:rFonts w:cstheme="minorHAnsi"/>
        </w:rPr>
        <w:t>7</w:t>
      </w:r>
      <w:r w:rsidRPr="006418E2">
        <w:rPr>
          <w:rFonts w:cstheme="minorHAnsi"/>
        </w:rPr>
        <w:t xml:space="preserve">) November 10, 2020 – the preliminary examination continued with </w:t>
      </w:r>
      <w:r w:rsidRPr="006418E2">
        <w:rPr>
          <w:rFonts w:cstheme="minorHAnsi"/>
        </w:rPr>
        <w:t>the gang expert</w:t>
      </w:r>
      <w:r w:rsidRPr="006418E2">
        <w:rPr>
          <w:rFonts w:cstheme="minorHAnsi"/>
        </w:rPr>
        <w:t>’s testimony</w:t>
      </w:r>
      <w:r w:rsidRPr="006418E2">
        <w:rPr>
          <w:rFonts w:cstheme="minorHAnsi"/>
        </w:rPr>
        <w:t>.</w:t>
      </w:r>
      <w:r w:rsidRPr="006418E2">
        <w:rPr>
          <w:rFonts w:cstheme="minorHAnsi"/>
        </w:rPr>
        <w:t xml:space="preserve"> </w:t>
      </w:r>
      <w:r w:rsidRPr="006418E2">
        <w:rPr>
          <w:rFonts w:cstheme="minorHAnsi"/>
        </w:rPr>
        <w:t xml:space="preserve"> T</w:t>
      </w:r>
      <w:r w:rsidRPr="006418E2">
        <w:rPr>
          <w:rFonts w:cstheme="minorHAnsi"/>
        </w:rPr>
        <w:t xml:space="preserve">he transcript does not reflect how many </w:t>
      </w:r>
      <w:r w:rsidRPr="006418E2">
        <w:rPr>
          <w:rFonts w:cstheme="minorHAnsi"/>
        </w:rPr>
        <w:t>interpreters are present</w:t>
      </w:r>
      <w:r w:rsidRPr="006418E2">
        <w:rPr>
          <w:rFonts w:cstheme="minorHAnsi"/>
        </w:rPr>
        <w:t xml:space="preserve"> at </w:t>
      </w:r>
      <w:r w:rsidRPr="006418E2">
        <w:rPr>
          <w:rFonts w:cstheme="minorHAnsi"/>
        </w:rPr>
        <w:lastRenderedPageBreak/>
        <w:t>any given time</w:t>
      </w:r>
      <w:r w:rsidRPr="006418E2">
        <w:rPr>
          <w:rFonts w:cstheme="minorHAnsi"/>
        </w:rPr>
        <w:t xml:space="preserve"> or their arrangement in the courtroom.</w:t>
      </w:r>
      <w:r w:rsidRPr="006418E2">
        <w:rPr>
          <w:rFonts w:cstheme="minorHAnsi"/>
        </w:rPr>
        <w:t xml:space="preserve"> </w:t>
      </w:r>
      <w:r w:rsidRPr="006418E2">
        <w:rPr>
          <w:rFonts w:cstheme="minorHAnsi"/>
        </w:rPr>
        <w:t xml:space="preserve"> </w:t>
      </w:r>
      <w:bookmarkStart w:id="1" w:name="_Hlk162081131"/>
      <w:r w:rsidRPr="006418E2">
        <w:rPr>
          <w:rFonts w:cstheme="minorHAnsi"/>
        </w:rPr>
        <w:t>The minute order for that hearing reflected</w:t>
      </w:r>
      <w:r w:rsidRPr="006418E2">
        <w:rPr>
          <w:rFonts w:cstheme="minorHAnsi"/>
        </w:rPr>
        <w:t xml:space="preserve"> </w:t>
      </w:r>
      <w:r w:rsidRPr="006418E2">
        <w:rPr>
          <w:rFonts w:cstheme="minorHAnsi"/>
        </w:rPr>
        <w:t xml:space="preserve">only </w:t>
      </w:r>
      <w:r w:rsidRPr="006418E2">
        <w:rPr>
          <w:rFonts w:cstheme="minorHAnsi"/>
        </w:rPr>
        <w:t xml:space="preserve">two interpreters </w:t>
      </w:r>
      <w:r w:rsidRPr="006418E2">
        <w:rPr>
          <w:rFonts w:cstheme="minorHAnsi"/>
        </w:rPr>
        <w:t>had appeared throughout that session</w:t>
      </w:r>
      <w:r w:rsidRPr="006418E2">
        <w:rPr>
          <w:rFonts w:cstheme="minorHAnsi"/>
        </w:rPr>
        <w:t>.</w:t>
      </w:r>
      <w:r w:rsidRPr="006418E2">
        <w:rPr>
          <w:rFonts w:cstheme="minorHAnsi"/>
        </w:rPr>
        <w:t xml:space="preserve"> </w:t>
      </w:r>
      <w:bookmarkEnd w:id="1"/>
    </w:p>
    <w:p w14:paraId="74ADF194" w14:textId="77777777" w:rsidR="00932EE2" w:rsidRPr="006418E2" w:rsidRDefault="00932EE2" w:rsidP="006418E2">
      <w:pPr>
        <w:rPr>
          <w:rFonts w:cstheme="minorHAnsi"/>
        </w:rPr>
      </w:pPr>
      <w:r w:rsidRPr="006418E2">
        <w:rPr>
          <w:rFonts w:cstheme="minorHAnsi"/>
        </w:rPr>
        <w:tab/>
        <w:t>(</w:t>
      </w:r>
      <w:r>
        <w:rPr>
          <w:rFonts w:cstheme="minorHAnsi"/>
        </w:rPr>
        <w:t>8</w:t>
      </w:r>
      <w:r w:rsidRPr="006418E2">
        <w:rPr>
          <w:rFonts w:cstheme="minorHAnsi"/>
        </w:rPr>
        <w:t xml:space="preserve">) November 12, 2020 – at the outset of this hearing, the </w:t>
      </w:r>
      <w:r w:rsidRPr="006418E2">
        <w:rPr>
          <w:rFonts w:cstheme="minorHAnsi"/>
        </w:rPr>
        <w:t>magistrate</w:t>
      </w:r>
      <w:r w:rsidRPr="006418E2">
        <w:rPr>
          <w:rFonts w:cstheme="minorHAnsi"/>
        </w:rPr>
        <w:t xml:space="preserve"> stated on the record that “[a]</w:t>
      </w:r>
      <w:proofErr w:type="spellStart"/>
      <w:r w:rsidRPr="006418E2">
        <w:rPr>
          <w:rFonts w:cstheme="minorHAnsi"/>
        </w:rPr>
        <w:t>ll</w:t>
      </w:r>
      <w:proofErr w:type="spellEnd"/>
      <w:r w:rsidRPr="006418E2">
        <w:rPr>
          <w:rFonts w:cstheme="minorHAnsi"/>
        </w:rPr>
        <w:t xml:space="preserve"> parties are being assisted by a court certified interpreter.” </w:t>
      </w:r>
      <w:r w:rsidRPr="006418E2">
        <w:rPr>
          <w:rFonts w:cstheme="minorHAnsi"/>
        </w:rPr>
        <w:t xml:space="preserve"> The minute order for that hearing </w:t>
      </w:r>
      <w:r w:rsidRPr="006418E2">
        <w:rPr>
          <w:rFonts w:cstheme="minorHAnsi"/>
        </w:rPr>
        <w:t xml:space="preserve">indicated </w:t>
      </w:r>
      <w:r w:rsidRPr="006418E2">
        <w:rPr>
          <w:rFonts w:cstheme="minorHAnsi"/>
        </w:rPr>
        <w:t>three interpreters a</w:t>
      </w:r>
      <w:r w:rsidRPr="006418E2">
        <w:rPr>
          <w:rFonts w:cstheme="minorHAnsi"/>
        </w:rPr>
        <w:t>ppeared throughout that session</w:t>
      </w:r>
      <w:r w:rsidRPr="006418E2">
        <w:rPr>
          <w:rFonts w:cstheme="minorHAnsi"/>
        </w:rPr>
        <w:t xml:space="preserve">. </w:t>
      </w:r>
    </w:p>
    <w:p w14:paraId="5019B07A" w14:textId="77777777" w:rsidR="00932EE2" w:rsidRPr="006418E2" w:rsidRDefault="00932EE2" w:rsidP="006418E2">
      <w:pPr>
        <w:rPr>
          <w:rFonts w:cstheme="minorHAnsi"/>
        </w:rPr>
      </w:pPr>
      <w:r w:rsidRPr="006418E2">
        <w:rPr>
          <w:rFonts w:cstheme="minorHAnsi"/>
        </w:rPr>
        <w:tab/>
        <w:t>(</w:t>
      </w:r>
      <w:r>
        <w:rPr>
          <w:rFonts w:cstheme="minorHAnsi"/>
        </w:rPr>
        <w:t>9</w:t>
      </w:r>
      <w:r w:rsidRPr="006418E2">
        <w:rPr>
          <w:rFonts w:cstheme="minorHAnsi"/>
        </w:rPr>
        <w:t xml:space="preserve">) June 1, 2021 – the preliminary examination </w:t>
      </w:r>
      <w:proofErr w:type="gramStart"/>
      <w:r w:rsidRPr="006418E2">
        <w:rPr>
          <w:rFonts w:cstheme="minorHAnsi"/>
        </w:rPr>
        <w:t>resume</w:t>
      </w:r>
      <w:r w:rsidRPr="006418E2">
        <w:rPr>
          <w:rFonts w:cstheme="minorHAnsi"/>
        </w:rPr>
        <w:t>d</w:t>
      </w:r>
      <w:proofErr w:type="gramEnd"/>
      <w:r w:rsidRPr="006418E2">
        <w:rPr>
          <w:rFonts w:cstheme="minorHAnsi"/>
        </w:rPr>
        <w:t xml:space="preserve"> and</w:t>
      </w:r>
      <w:r w:rsidRPr="006418E2">
        <w:rPr>
          <w:rFonts w:cstheme="minorHAnsi"/>
        </w:rPr>
        <w:t xml:space="preserve"> the </w:t>
      </w:r>
      <w:r w:rsidRPr="006418E2">
        <w:rPr>
          <w:rFonts w:cstheme="minorHAnsi"/>
        </w:rPr>
        <w:t>magistrate</w:t>
      </w:r>
      <w:r w:rsidRPr="006418E2">
        <w:rPr>
          <w:rFonts w:cstheme="minorHAnsi"/>
        </w:rPr>
        <w:t xml:space="preserve"> again not</w:t>
      </w:r>
      <w:r w:rsidRPr="006418E2">
        <w:rPr>
          <w:rFonts w:cstheme="minorHAnsi"/>
        </w:rPr>
        <w:t>ed</w:t>
      </w:r>
      <w:r w:rsidRPr="006418E2">
        <w:rPr>
          <w:rFonts w:cstheme="minorHAnsi"/>
        </w:rPr>
        <w:t xml:space="preserve"> that “all defendants are being assisted by our interpreters throughout this process.” </w:t>
      </w:r>
      <w:bookmarkStart w:id="2" w:name="_Hlk162084708"/>
      <w:r w:rsidRPr="006418E2">
        <w:rPr>
          <w:rFonts w:cstheme="minorHAnsi"/>
        </w:rPr>
        <w:t xml:space="preserve"> </w:t>
      </w:r>
      <w:bookmarkEnd w:id="2"/>
      <w:r w:rsidRPr="006418E2">
        <w:rPr>
          <w:rFonts w:cstheme="minorHAnsi"/>
        </w:rPr>
        <w:t>Molina</w:t>
      </w:r>
      <w:r w:rsidRPr="006418E2">
        <w:rPr>
          <w:rFonts w:cstheme="minorHAnsi"/>
        </w:rPr>
        <w:t>’s counsel</w:t>
      </w:r>
      <w:r w:rsidRPr="006418E2">
        <w:rPr>
          <w:rFonts w:cstheme="minorHAnsi"/>
        </w:rPr>
        <w:t xml:space="preserve"> stated, “I did want to renew make </w:t>
      </w:r>
      <w:r w:rsidRPr="006418E2">
        <w:rPr>
          <w:rFonts w:cstheme="minorHAnsi"/>
        </w:rPr>
        <w:t>[</w:t>
      </w:r>
      <w:r w:rsidRPr="006418E2">
        <w:rPr>
          <w:rFonts w:cstheme="minorHAnsi"/>
          <w:i/>
          <w:iCs/>
        </w:rPr>
        <w:t>sic</w:t>
      </w:r>
      <w:r w:rsidRPr="006418E2">
        <w:rPr>
          <w:rFonts w:cstheme="minorHAnsi"/>
        </w:rPr>
        <w:t xml:space="preserve">] </w:t>
      </w:r>
      <w:r w:rsidRPr="006418E2">
        <w:rPr>
          <w:rFonts w:cstheme="minorHAnsi"/>
        </w:rPr>
        <w:t>a continuing motion that it is my bel</w:t>
      </w:r>
      <w:r w:rsidRPr="006418E2">
        <w:rPr>
          <w:rFonts w:cstheme="minorHAnsi"/>
        </w:rPr>
        <w:t xml:space="preserve">ief I think counsel join in that belief that each defendant is entitled to have their own </w:t>
      </w:r>
      <w:r w:rsidRPr="006418E2">
        <w:rPr>
          <w:rFonts w:cstheme="minorHAnsi"/>
        </w:rPr>
        <w:t xml:space="preserve">interpreter. </w:t>
      </w:r>
      <w:r w:rsidRPr="006418E2">
        <w:rPr>
          <w:rFonts w:cstheme="minorHAnsi"/>
        </w:rPr>
        <w:t xml:space="preserve"> [</w:t>
      </w:r>
      <w:proofErr w:type="gramStart"/>
      <w:r w:rsidRPr="006418E2">
        <w:rPr>
          <w:rFonts w:cstheme="minorHAnsi"/>
        </w:rPr>
        <w:t>¶]</w:t>
      </w:r>
      <w:r w:rsidRPr="006418E2">
        <w:rPr>
          <w:rFonts w:cstheme="minorHAnsi"/>
        </w:rPr>
        <w:t xml:space="preserve"> </w:t>
      </w:r>
      <w:r w:rsidRPr="006418E2">
        <w:rPr>
          <w:rFonts w:cstheme="minorHAnsi"/>
        </w:rPr>
        <w:t xml:space="preserve"> </w:t>
      </w:r>
      <w:r w:rsidRPr="006418E2">
        <w:rPr>
          <w:rFonts w:cstheme="minorHAnsi"/>
        </w:rPr>
        <w:t>The</w:t>
      </w:r>
      <w:proofErr w:type="gramEnd"/>
      <w:r w:rsidRPr="006418E2">
        <w:rPr>
          <w:rFonts w:cstheme="minorHAnsi"/>
        </w:rPr>
        <w:t xml:space="preserve"> Court had provided a single interpreter who is interpreting simultaneously for all three defendant</w:t>
      </w:r>
      <w:r w:rsidRPr="006418E2">
        <w:rPr>
          <w:rFonts w:cstheme="minorHAnsi"/>
        </w:rPr>
        <w:t>s and they’re all wearing headsets.</w:t>
      </w:r>
      <w:r w:rsidRPr="006418E2">
        <w:rPr>
          <w:rFonts w:cstheme="minorHAnsi"/>
        </w:rPr>
        <w:t>”</w:t>
      </w:r>
      <w:r w:rsidRPr="006418E2">
        <w:rPr>
          <w:rFonts w:cstheme="minorHAnsi"/>
        </w:rPr>
        <w:t xml:space="preserve"> </w:t>
      </w:r>
      <w:bookmarkStart w:id="3" w:name="_Hlk162084875"/>
      <w:r w:rsidRPr="006418E2">
        <w:rPr>
          <w:rFonts w:cstheme="minorHAnsi"/>
        </w:rPr>
        <w:t xml:space="preserve"> </w:t>
      </w:r>
      <w:bookmarkEnd w:id="3"/>
      <w:r w:rsidRPr="006418E2">
        <w:rPr>
          <w:rFonts w:cstheme="minorHAnsi"/>
        </w:rPr>
        <w:t>In addition</w:t>
      </w:r>
      <w:r w:rsidRPr="006418E2">
        <w:rPr>
          <w:rFonts w:cstheme="minorHAnsi"/>
        </w:rPr>
        <w:t>, Molina’s counsel indicated, “</w:t>
      </w:r>
      <w:r w:rsidRPr="006418E2">
        <w:rPr>
          <w:rFonts w:cstheme="minorHAnsi"/>
        </w:rPr>
        <w:t xml:space="preserve">when the last Spanish speaking witness was present </w:t>
      </w:r>
      <w:r w:rsidRPr="006418E2">
        <w:rPr>
          <w:rFonts w:cstheme="minorHAnsi"/>
        </w:rPr>
        <w:t xml:space="preserve">[Witness 1] </w:t>
      </w:r>
      <w:r w:rsidRPr="006418E2">
        <w:rPr>
          <w:rFonts w:cstheme="minorHAnsi"/>
        </w:rPr>
        <w:t>my understanding is that</w:t>
      </w:r>
      <w:r w:rsidRPr="006418E2">
        <w:rPr>
          <w:rFonts w:cstheme="minorHAnsi"/>
        </w:rPr>
        <w:t xml:space="preserve"> the questions posited to the witness were posited in English. </w:t>
      </w:r>
      <w:r w:rsidRPr="006418E2">
        <w:rPr>
          <w:rFonts w:cstheme="minorHAnsi"/>
        </w:rPr>
        <w:t xml:space="preserve"> [</w:t>
      </w:r>
      <w:proofErr w:type="gramStart"/>
      <w:r w:rsidRPr="006418E2">
        <w:rPr>
          <w:rFonts w:cstheme="minorHAnsi"/>
        </w:rPr>
        <w:t xml:space="preserve">¶]  </w:t>
      </w:r>
      <w:r w:rsidRPr="006418E2">
        <w:rPr>
          <w:rFonts w:cstheme="minorHAnsi"/>
        </w:rPr>
        <w:t>They</w:t>
      </w:r>
      <w:proofErr w:type="gramEnd"/>
      <w:r w:rsidRPr="006418E2">
        <w:rPr>
          <w:rFonts w:cstheme="minorHAnsi"/>
        </w:rPr>
        <w:t xml:space="preserve"> were interpreted by the </w:t>
      </w:r>
      <w:r w:rsidRPr="006418E2">
        <w:rPr>
          <w:rFonts w:cstheme="minorHAnsi"/>
        </w:rPr>
        <w:t>interpreter for the defendants and t</w:t>
      </w:r>
      <w:r w:rsidRPr="006418E2">
        <w:rPr>
          <w:rFonts w:cstheme="minorHAnsi"/>
        </w:rPr>
        <w:t xml:space="preserve">hat interpretation was the one </w:t>
      </w:r>
      <w:r w:rsidRPr="006418E2">
        <w:rPr>
          <w:rFonts w:cstheme="minorHAnsi"/>
        </w:rPr>
        <w:t xml:space="preserve">the witness received as well. </w:t>
      </w:r>
      <w:r w:rsidRPr="006418E2">
        <w:rPr>
          <w:rFonts w:cstheme="minorHAnsi"/>
        </w:rPr>
        <w:t xml:space="preserve"> </w:t>
      </w:r>
      <w:r w:rsidRPr="006418E2">
        <w:rPr>
          <w:rFonts w:cstheme="minorHAnsi"/>
        </w:rPr>
        <w:t>The witness answered in Spanish</w:t>
      </w:r>
      <w:r w:rsidRPr="006418E2">
        <w:rPr>
          <w:rFonts w:cstheme="minorHAnsi"/>
        </w:rPr>
        <w:t xml:space="preserve">. </w:t>
      </w:r>
      <w:r w:rsidRPr="006418E2">
        <w:rPr>
          <w:rFonts w:cstheme="minorHAnsi"/>
        </w:rPr>
        <w:t xml:space="preserve"> [</w:t>
      </w:r>
      <w:proofErr w:type="gramStart"/>
      <w:r w:rsidRPr="006418E2">
        <w:rPr>
          <w:rFonts w:cstheme="minorHAnsi"/>
        </w:rPr>
        <w:t xml:space="preserve">¶]  </w:t>
      </w:r>
      <w:r w:rsidRPr="006418E2">
        <w:rPr>
          <w:rFonts w:cstheme="minorHAnsi"/>
        </w:rPr>
        <w:t>The</w:t>
      </w:r>
      <w:proofErr w:type="gramEnd"/>
      <w:r w:rsidRPr="006418E2">
        <w:rPr>
          <w:rFonts w:cstheme="minorHAnsi"/>
        </w:rPr>
        <w:t xml:space="preserve"> understanding was that the defendants would try to listen to the answer in Spanish</w:t>
      </w:r>
      <w:r w:rsidRPr="006418E2">
        <w:rPr>
          <w:rFonts w:cstheme="minorHAnsi"/>
        </w:rPr>
        <w:t xml:space="preserve">.  There was </w:t>
      </w:r>
      <w:r w:rsidRPr="006418E2">
        <w:rPr>
          <w:rFonts w:cstheme="minorHAnsi"/>
        </w:rPr>
        <w:t xml:space="preserve">a </w:t>
      </w:r>
      <w:r w:rsidRPr="006418E2">
        <w:rPr>
          <w:rFonts w:cstheme="minorHAnsi"/>
        </w:rPr>
        <w:t xml:space="preserve">separate interpreter that interpreted the </w:t>
      </w:r>
      <w:r w:rsidRPr="006418E2">
        <w:rPr>
          <w:rFonts w:cstheme="minorHAnsi"/>
        </w:rPr>
        <w:t>Spanish answe</w:t>
      </w:r>
      <w:r w:rsidRPr="006418E2">
        <w:rPr>
          <w:rFonts w:cstheme="minorHAnsi"/>
        </w:rPr>
        <w:t>r</w:t>
      </w:r>
      <w:r w:rsidRPr="006418E2">
        <w:rPr>
          <w:rFonts w:cstheme="minorHAnsi"/>
        </w:rPr>
        <w:t xml:space="preserve"> </w:t>
      </w:r>
      <w:r w:rsidRPr="006418E2">
        <w:rPr>
          <w:rFonts w:cstheme="minorHAnsi"/>
        </w:rPr>
        <w:t>into English for purposes of the record</w:t>
      </w:r>
      <w:r w:rsidRPr="006418E2">
        <w:rPr>
          <w:rFonts w:cstheme="minorHAnsi"/>
        </w:rPr>
        <w:t>.</w:t>
      </w:r>
      <w:bookmarkStart w:id="4" w:name="_Hlk169618349"/>
      <w:r w:rsidRPr="006418E2">
        <w:rPr>
          <w:rFonts w:cstheme="minorHAnsi"/>
        </w:rPr>
        <w:t xml:space="preserve">  </w:t>
      </w:r>
      <w:r w:rsidRPr="006418E2">
        <w:rPr>
          <w:rFonts w:cstheme="minorHAnsi"/>
        </w:rPr>
        <w:t>[</w:t>
      </w:r>
      <w:proofErr w:type="gramStart"/>
      <w:r w:rsidRPr="006418E2">
        <w:rPr>
          <w:rFonts w:cstheme="minorHAnsi"/>
        </w:rPr>
        <w:t xml:space="preserve">¶]  </w:t>
      </w:r>
      <w:bookmarkEnd w:id="4"/>
      <w:r w:rsidRPr="006418E2">
        <w:rPr>
          <w:rFonts w:cstheme="minorHAnsi"/>
        </w:rPr>
        <w:t>That</w:t>
      </w:r>
      <w:proofErr w:type="gramEnd"/>
      <w:r w:rsidRPr="006418E2">
        <w:rPr>
          <w:rFonts w:cstheme="minorHAnsi"/>
        </w:rPr>
        <w:t xml:space="preserve"> Spanish translation </w:t>
      </w:r>
      <w:r w:rsidRPr="006418E2">
        <w:rPr>
          <w:rFonts w:cstheme="minorHAnsi"/>
        </w:rPr>
        <w:t xml:space="preserve">– </w:t>
      </w:r>
      <w:r w:rsidRPr="006418E2">
        <w:rPr>
          <w:rFonts w:cstheme="minorHAnsi"/>
        </w:rPr>
        <w:t>that</w:t>
      </w:r>
      <w:r w:rsidRPr="006418E2">
        <w:rPr>
          <w:rFonts w:cstheme="minorHAnsi"/>
        </w:rPr>
        <w:t xml:space="preserve"> </w:t>
      </w:r>
      <w:r w:rsidRPr="006418E2">
        <w:rPr>
          <w:rFonts w:cstheme="minorHAnsi"/>
        </w:rPr>
        <w:t>Spanish to English translation was not translated back for the</w:t>
      </w:r>
      <w:r w:rsidRPr="006418E2">
        <w:rPr>
          <w:rFonts w:cstheme="minorHAnsi"/>
        </w:rPr>
        <w:t xml:space="preserve"> defendants.  </w:t>
      </w:r>
      <w:proofErr w:type="gramStart"/>
      <w:r w:rsidRPr="006418E2">
        <w:rPr>
          <w:rFonts w:cstheme="minorHAnsi"/>
        </w:rPr>
        <w:t>So</w:t>
      </w:r>
      <w:proofErr w:type="gramEnd"/>
      <w:r w:rsidRPr="006418E2">
        <w:rPr>
          <w:rFonts w:cstheme="minorHAnsi"/>
        </w:rPr>
        <w:t xml:space="preserve"> they were – they did not</w:t>
      </w:r>
      <w:r w:rsidRPr="006418E2">
        <w:rPr>
          <w:rFonts w:cstheme="minorHAnsi"/>
        </w:rPr>
        <w:t xml:space="preserve"> hear – although they may have been able to hear the answer in Spanish</w:t>
      </w:r>
      <w:r w:rsidRPr="006418E2">
        <w:rPr>
          <w:rFonts w:cstheme="minorHAnsi"/>
        </w:rPr>
        <w:t>, they did not hear what was placed in the record</w:t>
      </w:r>
      <w:r>
        <w:rPr>
          <w:rFonts w:cstheme="minorHAnsi"/>
        </w:rPr>
        <w:t>.</w:t>
      </w:r>
      <w:bookmarkStart w:id="5" w:name="_Hlk169777575"/>
      <w:r w:rsidRPr="006418E2">
        <w:rPr>
          <w:rFonts w:cstheme="minorHAnsi"/>
        </w:rPr>
        <w:t xml:space="preserve"> ….</w:t>
      </w:r>
      <w:r>
        <w:rPr>
          <w:rFonts w:cstheme="minorHAnsi"/>
        </w:rPr>
        <w:t xml:space="preserve"> </w:t>
      </w:r>
      <w:bookmarkStart w:id="6" w:name="_Hlk169776123"/>
      <w:r w:rsidRPr="006418E2">
        <w:rPr>
          <w:rFonts w:cstheme="minorHAnsi"/>
        </w:rPr>
        <w:t>[</w:t>
      </w:r>
      <w:proofErr w:type="gramStart"/>
      <w:r w:rsidRPr="006418E2">
        <w:rPr>
          <w:rFonts w:cstheme="minorHAnsi"/>
        </w:rPr>
        <w:t>¶]</w:t>
      </w:r>
      <w:r>
        <w:rPr>
          <w:rFonts w:cstheme="minorHAnsi"/>
        </w:rPr>
        <w:t xml:space="preserve"> </w:t>
      </w:r>
      <w:r w:rsidRPr="006418E2">
        <w:rPr>
          <w:rFonts w:cstheme="minorHAnsi"/>
        </w:rPr>
        <w:t xml:space="preserve"> </w:t>
      </w:r>
      <w:bookmarkEnd w:id="5"/>
      <w:bookmarkEnd w:id="6"/>
      <w:r w:rsidRPr="006418E2">
        <w:rPr>
          <w:rFonts w:cstheme="minorHAnsi"/>
        </w:rPr>
        <w:t>That</w:t>
      </w:r>
      <w:proofErr w:type="gramEnd"/>
      <w:r w:rsidRPr="006418E2">
        <w:rPr>
          <w:rFonts w:cstheme="minorHAnsi"/>
        </w:rPr>
        <w:t xml:space="preserve"> may sound redundant but I think that allows them to understand what’s being placed in the record</w:t>
      </w:r>
      <w:r w:rsidRPr="006418E2">
        <w:rPr>
          <w:rFonts w:cstheme="minorHAnsi"/>
        </w:rPr>
        <w:t>.</w:t>
      </w:r>
      <w:r>
        <w:rPr>
          <w:rFonts w:cstheme="minorHAnsi"/>
        </w:rPr>
        <w:t>”</w:t>
      </w:r>
      <w:r w:rsidRPr="006418E2">
        <w:rPr>
          <w:rFonts w:cstheme="minorHAnsi"/>
        </w:rPr>
        <w:t xml:space="preserve"> </w:t>
      </w:r>
      <w:bookmarkStart w:id="7" w:name="_Hlk162085649"/>
      <w:r w:rsidRPr="006418E2">
        <w:rPr>
          <w:rFonts w:cstheme="minorHAnsi"/>
        </w:rPr>
        <w:t xml:space="preserve"> </w:t>
      </w:r>
      <w:bookmarkEnd w:id="7"/>
      <w:r w:rsidRPr="006418E2">
        <w:rPr>
          <w:rFonts w:cstheme="minorHAnsi"/>
        </w:rPr>
        <w:t>The prosecutor responded</w:t>
      </w:r>
      <w:r w:rsidRPr="006418E2">
        <w:rPr>
          <w:rFonts w:cstheme="minorHAnsi"/>
        </w:rPr>
        <w:t xml:space="preserve">, “one would hope that the interpretation is the same.  </w:t>
      </w:r>
      <w:proofErr w:type="gramStart"/>
      <w:r w:rsidRPr="006418E2">
        <w:rPr>
          <w:rFonts w:cstheme="minorHAnsi"/>
        </w:rPr>
        <w:t>O</w:t>
      </w:r>
      <w:r w:rsidRPr="006418E2">
        <w:rPr>
          <w:rFonts w:cstheme="minorHAnsi"/>
        </w:rPr>
        <w:t>therwise</w:t>
      </w:r>
      <w:proofErr w:type="gramEnd"/>
      <w:r w:rsidRPr="006418E2">
        <w:rPr>
          <w:rFonts w:cstheme="minorHAnsi"/>
        </w:rPr>
        <w:t xml:space="preserve"> I think we have a bigger issue if what i</w:t>
      </w:r>
      <w:r w:rsidRPr="006418E2">
        <w:rPr>
          <w:rFonts w:cstheme="minorHAnsi"/>
        </w:rPr>
        <w:t>s</w:t>
      </w:r>
      <w:r w:rsidRPr="006418E2">
        <w:rPr>
          <w:rFonts w:cstheme="minorHAnsi"/>
        </w:rPr>
        <w:t xml:space="preserve"> being translated is not what the witness said</w:t>
      </w:r>
      <w:r>
        <w:rPr>
          <w:rFonts w:cstheme="minorHAnsi"/>
        </w:rPr>
        <w:t>.</w:t>
      </w:r>
      <w:r w:rsidRPr="006418E2">
        <w:rPr>
          <w:rFonts w:cstheme="minorHAnsi"/>
        </w:rPr>
        <w:t xml:space="preserve"> …. </w:t>
      </w:r>
      <w:r w:rsidRPr="006418E2">
        <w:rPr>
          <w:rFonts w:cstheme="minorHAnsi"/>
        </w:rPr>
        <w:t>[</w:t>
      </w:r>
      <w:proofErr w:type="gramStart"/>
      <w:r w:rsidRPr="006418E2">
        <w:rPr>
          <w:rFonts w:cstheme="minorHAnsi"/>
        </w:rPr>
        <w:t>¶]</w:t>
      </w:r>
      <w:r>
        <w:rPr>
          <w:rFonts w:cstheme="minorHAnsi"/>
        </w:rPr>
        <w:t xml:space="preserve"> </w:t>
      </w:r>
      <w:r w:rsidRPr="006418E2">
        <w:rPr>
          <w:rFonts w:cstheme="minorHAnsi"/>
        </w:rPr>
        <w:t xml:space="preserve"> </w:t>
      </w:r>
      <w:r w:rsidRPr="006418E2">
        <w:rPr>
          <w:rFonts w:cstheme="minorHAnsi"/>
        </w:rPr>
        <w:t>But</w:t>
      </w:r>
      <w:proofErr w:type="gramEnd"/>
      <w:r w:rsidRPr="006418E2">
        <w:rPr>
          <w:rFonts w:cstheme="minorHAnsi"/>
        </w:rPr>
        <w:t xml:space="preserve"> I don’t think it’s created a due process</w:t>
      </w:r>
      <w:r w:rsidRPr="006418E2">
        <w:rPr>
          <w:rFonts w:cstheme="minorHAnsi"/>
        </w:rPr>
        <w:t xml:space="preserve"> issue thus far given there’s an oath that it’s being correctly interpreted</w:t>
      </w:r>
      <w:r w:rsidRPr="006418E2">
        <w:rPr>
          <w:rFonts w:cstheme="minorHAnsi"/>
        </w:rPr>
        <w:t>.</w:t>
      </w:r>
      <w:r w:rsidRPr="006418E2">
        <w:rPr>
          <w:rFonts w:cstheme="minorHAnsi"/>
        </w:rPr>
        <w:t>”</w:t>
      </w:r>
      <w:r w:rsidRPr="006418E2">
        <w:rPr>
          <w:rFonts w:cstheme="minorHAnsi"/>
        </w:rPr>
        <w:t xml:space="preserve"> </w:t>
      </w:r>
      <w:r w:rsidRPr="006418E2">
        <w:rPr>
          <w:rFonts w:cstheme="minorHAnsi"/>
        </w:rPr>
        <w:t xml:space="preserve"> </w:t>
      </w:r>
      <w:r w:rsidRPr="006418E2">
        <w:rPr>
          <w:rFonts w:cstheme="minorHAnsi"/>
        </w:rPr>
        <w:t xml:space="preserve">The </w:t>
      </w:r>
      <w:r w:rsidRPr="006418E2">
        <w:rPr>
          <w:rFonts w:cstheme="minorHAnsi"/>
        </w:rPr>
        <w:lastRenderedPageBreak/>
        <w:t xml:space="preserve">magistrate </w:t>
      </w:r>
      <w:r w:rsidRPr="006418E2">
        <w:rPr>
          <w:rFonts w:cstheme="minorHAnsi"/>
        </w:rPr>
        <w:t>concluded, “I don’t see it as</w:t>
      </w:r>
      <w:r w:rsidRPr="006418E2">
        <w:rPr>
          <w:rFonts w:cstheme="minorHAnsi"/>
        </w:rPr>
        <w:t xml:space="preserve"> a due process issue either. </w:t>
      </w:r>
      <w:r w:rsidRPr="006418E2">
        <w:rPr>
          <w:rFonts w:cstheme="minorHAnsi"/>
        </w:rPr>
        <w:t xml:space="preserve"> </w:t>
      </w:r>
      <w:r w:rsidRPr="006418E2">
        <w:rPr>
          <w:rFonts w:cstheme="minorHAnsi"/>
        </w:rPr>
        <w:t>But your [</w:t>
      </w:r>
      <w:r w:rsidRPr="006418E2">
        <w:rPr>
          <w:rFonts w:cstheme="minorHAnsi"/>
        </w:rPr>
        <w:t xml:space="preserve">i.e., </w:t>
      </w:r>
      <w:r w:rsidRPr="006418E2">
        <w:rPr>
          <w:rFonts w:cstheme="minorHAnsi"/>
        </w:rPr>
        <w:t>Molina’s counsel</w:t>
      </w:r>
      <w:r w:rsidRPr="006418E2">
        <w:rPr>
          <w:rFonts w:cstheme="minorHAnsi"/>
        </w:rPr>
        <w:t>’s</w:t>
      </w:r>
      <w:r w:rsidRPr="006418E2">
        <w:rPr>
          <w:rFonts w:cstheme="minorHAnsi"/>
        </w:rPr>
        <w:t xml:space="preserve">] </w:t>
      </w:r>
      <w:r w:rsidRPr="006418E2">
        <w:rPr>
          <w:rFonts w:cstheme="minorHAnsi"/>
        </w:rPr>
        <w:t>concern</w:t>
      </w:r>
      <w:r w:rsidRPr="006418E2">
        <w:rPr>
          <w:rFonts w:cstheme="minorHAnsi"/>
        </w:rPr>
        <w:t xml:space="preserve"> is noted for the record.”</w:t>
      </w:r>
      <w:r w:rsidRPr="006418E2">
        <w:rPr>
          <w:rFonts w:cstheme="minorHAnsi"/>
        </w:rPr>
        <w:t xml:space="preserve"> </w:t>
      </w:r>
      <w:r w:rsidRPr="006418E2">
        <w:rPr>
          <w:rFonts w:cstheme="minorHAnsi"/>
        </w:rPr>
        <w:t xml:space="preserve"> </w:t>
      </w:r>
      <w:r w:rsidRPr="006418E2">
        <w:rPr>
          <w:rFonts w:cstheme="minorHAnsi"/>
        </w:rPr>
        <w:t xml:space="preserve">  </w:t>
      </w:r>
    </w:p>
    <w:p w14:paraId="04941FF3" w14:textId="77777777" w:rsidR="00932EE2" w:rsidRPr="006418E2" w:rsidRDefault="00932EE2" w:rsidP="006418E2">
      <w:pPr>
        <w:rPr>
          <w:rFonts w:cstheme="minorHAnsi"/>
        </w:rPr>
      </w:pPr>
      <w:r w:rsidRPr="006418E2">
        <w:rPr>
          <w:rFonts w:cstheme="minorHAnsi"/>
        </w:rPr>
        <w:t xml:space="preserve"> </w:t>
      </w:r>
      <w:r w:rsidRPr="006418E2">
        <w:rPr>
          <w:rFonts w:cstheme="minorHAnsi"/>
        </w:rPr>
        <w:tab/>
      </w:r>
      <w:r w:rsidRPr="006418E2">
        <w:rPr>
          <w:rFonts w:cstheme="minorHAnsi"/>
        </w:rPr>
        <w:t xml:space="preserve">Before </w:t>
      </w:r>
      <w:r w:rsidRPr="006418E2">
        <w:rPr>
          <w:rFonts w:cstheme="minorHAnsi"/>
        </w:rPr>
        <w:t>Witness 2 took the stand</w:t>
      </w:r>
      <w:r w:rsidRPr="006418E2">
        <w:rPr>
          <w:rFonts w:cstheme="minorHAnsi"/>
        </w:rPr>
        <w:t xml:space="preserve">, the victim’s wife, who </w:t>
      </w:r>
      <w:r w:rsidRPr="006418E2">
        <w:rPr>
          <w:rFonts w:cstheme="minorHAnsi"/>
        </w:rPr>
        <w:t>observed</w:t>
      </w:r>
      <w:r w:rsidRPr="006418E2">
        <w:rPr>
          <w:rFonts w:cstheme="minorHAnsi"/>
        </w:rPr>
        <w:t xml:space="preserve"> the proceedings from the audience, complained that she could not hear through the equipment provided to her. </w:t>
      </w:r>
      <w:r w:rsidRPr="006418E2">
        <w:rPr>
          <w:rFonts w:cstheme="minorHAnsi"/>
        </w:rPr>
        <w:t xml:space="preserve"> After a break, the court thanked “our interpreters” for their “efforts … in working with the defendants and the individual in the courtroom.” </w:t>
      </w:r>
      <w:r w:rsidRPr="006418E2">
        <w:rPr>
          <w:rFonts w:cstheme="minorHAnsi"/>
        </w:rPr>
        <w:t xml:space="preserve"> </w:t>
      </w:r>
      <w:bookmarkStart w:id="8" w:name="_Hlk162081432"/>
      <w:r w:rsidRPr="006418E2">
        <w:rPr>
          <w:rFonts w:cstheme="minorHAnsi"/>
        </w:rPr>
        <w:t>The minute order for that hearing reflected</w:t>
      </w:r>
      <w:r w:rsidRPr="006418E2">
        <w:rPr>
          <w:rFonts w:cstheme="minorHAnsi"/>
        </w:rPr>
        <w:t xml:space="preserve"> </w:t>
      </w:r>
      <w:proofErr w:type="gramStart"/>
      <w:r w:rsidRPr="006418E2">
        <w:rPr>
          <w:rFonts w:cstheme="minorHAnsi"/>
        </w:rPr>
        <w:t>that five interpreters</w:t>
      </w:r>
      <w:proofErr w:type="gramEnd"/>
      <w:r w:rsidRPr="006418E2">
        <w:rPr>
          <w:rFonts w:cstheme="minorHAnsi"/>
        </w:rPr>
        <w:t xml:space="preserve"> appeared throughout that session.</w:t>
      </w:r>
      <w:r w:rsidRPr="006418E2">
        <w:rPr>
          <w:rFonts w:cstheme="minorHAnsi"/>
        </w:rPr>
        <w:t xml:space="preserve"> </w:t>
      </w:r>
      <w:bookmarkEnd w:id="8"/>
    </w:p>
    <w:p w14:paraId="419A68C5" w14:textId="77777777" w:rsidR="00932EE2" w:rsidRPr="006418E2" w:rsidRDefault="00932EE2" w:rsidP="006418E2">
      <w:pPr>
        <w:rPr>
          <w:rFonts w:cstheme="minorHAnsi"/>
        </w:rPr>
      </w:pPr>
      <w:r w:rsidRPr="006418E2">
        <w:rPr>
          <w:rFonts w:cstheme="minorHAnsi"/>
        </w:rPr>
        <w:tab/>
        <w:t>(</w:t>
      </w:r>
      <w:r>
        <w:rPr>
          <w:rFonts w:cstheme="minorHAnsi"/>
        </w:rPr>
        <w:t>10</w:t>
      </w:r>
      <w:r w:rsidRPr="006418E2">
        <w:rPr>
          <w:rFonts w:cstheme="minorHAnsi"/>
        </w:rPr>
        <w:t xml:space="preserve">) June 2, 2021 – </w:t>
      </w:r>
      <w:r w:rsidRPr="006418E2">
        <w:rPr>
          <w:rFonts w:cstheme="minorHAnsi"/>
        </w:rPr>
        <w:t xml:space="preserve">Witness 2 </w:t>
      </w:r>
      <w:r w:rsidRPr="006418E2">
        <w:rPr>
          <w:rFonts w:cstheme="minorHAnsi"/>
        </w:rPr>
        <w:t>continued his testimony</w:t>
      </w:r>
      <w:r w:rsidRPr="006418E2">
        <w:rPr>
          <w:rFonts w:cstheme="minorHAnsi"/>
        </w:rPr>
        <w:t xml:space="preserve"> and the court noted that the parties, counsel, and “our interpreters” were present, although </w:t>
      </w:r>
      <w:r w:rsidRPr="006418E2">
        <w:rPr>
          <w:rFonts w:cstheme="minorHAnsi"/>
        </w:rPr>
        <w:t>the</w:t>
      </w:r>
      <w:r w:rsidRPr="006418E2">
        <w:rPr>
          <w:rFonts w:cstheme="minorHAnsi"/>
        </w:rPr>
        <w:t xml:space="preserve"> number of interpreters was </w:t>
      </w:r>
      <w:r w:rsidRPr="006418E2">
        <w:rPr>
          <w:rFonts w:cstheme="minorHAnsi"/>
        </w:rPr>
        <w:t xml:space="preserve">not </w:t>
      </w:r>
      <w:r w:rsidRPr="006418E2">
        <w:rPr>
          <w:rFonts w:cstheme="minorHAnsi"/>
        </w:rPr>
        <w:t>specified</w:t>
      </w:r>
      <w:r w:rsidRPr="006418E2">
        <w:rPr>
          <w:rFonts w:cstheme="minorHAnsi"/>
        </w:rPr>
        <w:t xml:space="preserve">. </w:t>
      </w:r>
      <w:r w:rsidRPr="006418E2">
        <w:rPr>
          <w:rFonts w:cstheme="minorHAnsi"/>
        </w:rPr>
        <w:t xml:space="preserve"> At </w:t>
      </w:r>
      <w:r w:rsidRPr="006418E2">
        <w:rPr>
          <w:rFonts w:cstheme="minorHAnsi"/>
        </w:rPr>
        <w:t xml:space="preserve">one </w:t>
      </w:r>
      <w:r w:rsidRPr="006418E2">
        <w:rPr>
          <w:rFonts w:cstheme="minorHAnsi"/>
        </w:rPr>
        <w:t>point during the hearing</w:t>
      </w:r>
      <w:r w:rsidRPr="006418E2">
        <w:rPr>
          <w:rFonts w:cstheme="minorHAnsi"/>
        </w:rPr>
        <w:t>,</w:t>
      </w:r>
      <w:r w:rsidRPr="006418E2">
        <w:rPr>
          <w:rFonts w:cstheme="minorHAnsi"/>
        </w:rPr>
        <w:t xml:space="preserve"> the</w:t>
      </w:r>
      <w:r w:rsidRPr="006418E2">
        <w:rPr>
          <w:rFonts w:cstheme="minorHAnsi"/>
        </w:rPr>
        <w:t xml:space="preserve"> </w:t>
      </w:r>
      <w:r w:rsidRPr="006418E2">
        <w:rPr>
          <w:rFonts w:cstheme="minorHAnsi"/>
        </w:rPr>
        <w:t xml:space="preserve">interpreter noted an inability to “hear anything that’s happening” possibly due to “interference” from where counsel was standing. </w:t>
      </w:r>
      <w:r w:rsidRPr="006418E2">
        <w:rPr>
          <w:rFonts w:cstheme="minorHAnsi"/>
        </w:rPr>
        <w:t xml:space="preserve"> The minute order for that hearing reflected </w:t>
      </w:r>
      <w:r w:rsidRPr="006418E2">
        <w:rPr>
          <w:rFonts w:cstheme="minorHAnsi"/>
        </w:rPr>
        <w:t xml:space="preserve">three interpreters </w:t>
      </w:r>
      <w:r w:rsidRPr="006418E2">
        <w:rPr>
          <w:rFonts w:cstheme="minorHAnsi"/>
        </w:rPr>
        <w:t>appeared throughout that session</w:t>
      </w:r>
      <w:r w:rsidRPr="006418E2">
        <w:rPr>
          <w:rFonts w:cstheme="minorHAnsi"/>
        </w:rPr>
        <w:t xml:space="preserve">. </w:t>
      </w:r>
    </w:p>
    <w:p w14:paraId="5BB22FF2" w14:textId="77777777" w:rsidR="00932EE2" w:rsidRPr="006418E2" w:rsidRDefault="00932EE2" w:rsidP="006418E2">
      <w:pPr>
        <w:rPr>
          <w:rFonts w:cstheme="minorHAnsi"/>
        </w:rPr>
      </w:pPr>
      <w:r w:rsidRPr="006418E2">
        <w:rPr>
          <w:rFonts w:cstheme="minorHAnsi"/>
        </w:rPr>
        <w:tab/>
        <w:t>(1</w:t>
      </w:r>
      <w:r>
        <w:rPr>
          <w:rFonts w:cstheme="minorHAnsi"/>
        </w:rPr>
        <w:t>1</w:t>
      </w:r>
      <w:r w:rsidRPr="006418E2">
        <w:rPr>
          <w:rFonts w:cstheme="minorHAnsi"/>
        </w:rPr>
        <w:t>) June 3, 2021 – Witness 2 remained on the stand</w:t>
      </w:r>
      <w:r w:rsidRPr="006418E2">
        <w:rPr>
          <w:rFonts w:cstheme="minorHAnsi"/>
        </w:rPr>
        <w:t xml:space="preserve"> and</w:t>
      </w:r>
      <w:r>
        <w:rPr>
          <w:rFonts w:cstheme="minorHAnsi"/>
        </w:rPr>
        <w:t>,</w:t>
      </w:r>
      <w:r w:rsidRPr="006418E2">
        <w:rPr>
          <w:rFonts w:cstheme="minorHAnsi"/>
        </w:rPr>
        <w:t xml:space="preserve"> prior to testimony being taken</w:t>
      </w:r>
      <w:r>
        <w:rPr>
          <w:rFonts w:cstheme="minorHAnsi"/>
        </w:rPr>
        <w:t>,</w:t>
      </w:r>
      <w:r w:rsidRPr="006418E2">
        <w:rPr>
          <w:rFonts w:cstheme="minorHAnsi"/>
        </w:rPr>
        <w:t xml:space="preserve"> the </w:t>
      </w:r>
      <w:r w:rsidRPr="006418E2">
        <w:rPr>
          <w:rFonts w:cstheme="minorHAnsi"/>
        </w:rPr>
        <w:t>magistrate stated,</w:t>
      </w:r>
      <w:r w:rsidRPr="006418E2">
        <w:rPr>
          <w:rFonts w:cstheme="minorHAnsi"/>
        </w:rPr>
        <w:t xml:space="preserve"> “Counsel are present, parties are present, our interpreters are present, [and] our witness is present.”  Again, the </w:t>
      </w:r>
      <w:r w:rsidRPr="006418E2">
        <w:rPr>
          <w:rFonts w:cstheme="minorHAnsi"/>
        </w:rPr>
        <w:t xml:space="preserve">magistrate </w:t>
      </w:r>
      <w:r w:rsidRPr="006418E2">
        <w:rPr>
          <w:rFonts w:cstheme="minorHAnsi"/>
        </w:rPr>
        <w:t>did not specify how many interpreters were in the courtroom</w:t>
      </w:r>
      <w:r w:rsidRPr="006418E2">
        <w:rPr>
          <w:rFonts w:cstheme="minorHAnsi"/>
        </w:rPr>
        <w:t xml:space="preserve"> at any given time</w:t>
      </w:r>
      <w:r w:rsidRPr="006418E2">
        <w:rPr>
          <w:rFonts w:cstheme="minorHAnsi"/>
        </w:rPr>
        <w:t xml:space="preserve"> or</w:t>
      </w:r>
      <w:r w:rsidRPr="006418E2">
        <w:rPr>
          <w:rFonts w:cstheme="minorHAnsi"/>
        </w:rPr>
        <w:t xml:space="preserve"> which interpreter was</w:t>
      </w:r>
      <w:r w:rsidRPr="006418E2">
        <w:rPr>
          <w:rFonts w:cstheme="minorHAnsi"/>
        </w:rPr>
        <w:t xml:space="preserve"> assigned to </w:t>
      </w:r>
      <w:r w:rsidRPr="006418E2">
        <w:rPr>
          <w:rFonts w:cstheme="minorHAnsi"/>
        </w:rPr>
        <w:t xml:space="preserve">translate for the </w:t>
      </w:r>
      <w:r w:rsidRPr="006418E2">
        <w:rPr>
          <w:rFonts w:cstheme="minorHAnsi"/>
        </w:rPr>
        <w:t xml:space="preserve">defendants or </w:t>
      </w:r>
      <w:r w:rsidRPr="006418E2">
        <w:rPr>
          <w:rFonts w:cstheme="minorHAnsi"/>
        </w:rPr>
        <w:t xml:space="preserve">the </w:t>
      </w:r>
      <w:r w:rsidRPr="006418E2">
        <w:rPr>
          <w:rFonts w:cstheme="minorHAnsi"/>
        </w:rPr>
        <w:t>witness</w:t>
      </w:r>
      <w:r w:rsidRPr="006418E2">
        <w:rPr>
          <w:rFonts w:cstheme="minorHAnsi"/>
        </w:rPr>
        <w:t xml:space="preserve">. </w:t>
      </w:r>
      <w:r w:rsidRPr="006418E2">
        <w:rPr>
          <w:rFonts w:cstheme="minorHAnsi"/>
        </w:rPr>
        <w:t xml:space="preserve"> </w:t>
      </w:r>
      <w:r w:rsidRPr="006418E2">
        <w:rPr>
          <w:rFonts w:cstheme="minorHAnsi"/>
        </w:rPr>
        <w:t xml:space="preserve">The minute order for that hearing reflected </w:t>
      </w:r>
      <w:r w:rsidRPr="006418E2">
        <w:rPr>
          <w:rFonts w:cstheme="minorHAnsi"/>
        </w:rPr>
        <w:t>two interpreters</w:t>
      </w:r>
      <w:r w:rsidRPr="006418E2">
        <w:rPr>
          <w:rFonts w:cstheme="minorHAnsi"/>
        </w:rPr>
        <w:t xml:space="preserve"> appeared throughout that session</w:t>
      </w:r>
      <w:r w:rsidRPr="006418E2">
        <w:rPr>
          <w:rFonts w:cstheme="minorHAnsi"/>
        </w:rPr>
        <w:t xml:space="preserve">. </w:t>
      </w:r>
      <w:r w:rsidRPr="006418E2">
        <w:rPr>
          <w:rFonts w:cstheme="minorHAnsi"/>
        </w:rPr>
        <w:t xml:space="preserve"> </w:t>
      </w:r>
    </w:p>
    <w:p w14:paraId="5DE643B5" w14:textId="77777777" w:rsidR="00932EE2" w:rsidRPr="006418E2" w:rsidRDefault="00932EE2" w:rsidP="006418E2">
      <w:pPr>
        <w:rPr>
          <w:rFonts w:cstheme="minorHAnsi"/>
          <w:sz w:val="24"/>
        </w:rPr>
      </w:pPr>
      <w:r w:rsidRPr="006418E2">
        <w:rPr>
          <w:rFonts w:cstheme="minorHAnsi"/>
        </w:rPr>
        <w:tab/>
        <w:t>(1</w:t>
      </w:r>
      <w:r>
        <w:rPr>
          <w:rFonts w:cstheme="minorHAnsi"/>
        </w:rPr>
        <w:t>2</w:t>
      </w:r>
      <w:r w:rsidRPr="006418E2">
        <w:rPr>
          <w:rFonts w:cstheme="minorHAnsi"/>
        </w:rPr>
        <w:t xml:space="preserve">) June 25, 2021 – Witness 2 resumed testifying, and the </w:t>
      </w:r>
      <w:r w:rsidRPr="006418E2">
        <w:rPr>
          <w:rFonts w:cstheme="minorHAnsi"/>
        </w:rPr>
        <w:t>magistrate</w:t>
      </w:r>
      <w:r w:rsidRPr="006418E2">
        <w:rPr>
          <w:rFonts w:cstheme="minorHAnsi"/>
        </w:rPr>
        <w:t xml:space="preserve"> noted the presence of the parties, counsel, and the witness but did not reference any interpreters.  At one point during the morning session, the interpreter asked to switch. </w:t>
      </w:r>
      <w:r w:rsidRPr="006418E2">
        <w:rPr>
          <w:rFonts w:cstheme="minorHAnsi"/>
        </w:rPr>
        <w:t xml:space="preserve"> </w:t>
      </w:r>
      <w:r w:rsidRPr="006418E2">
        <w:rPr>
          <w:rFonts w:cstheme="minorHAnsi"/>
        </w:rPr>
        <w:t>Before adjourning</w:t>
      </w:r>
      <w:r w:rsidRPr="006418E2">
        <w:rPr>
          <w:rFonts w:cstheme="minorHAnsi"/>
        </w:rPr>
        <w:t xml:space="preserve">, the court confirmed that there was no further need for “the interpreter.”  </w:t>
      </w:r>
      <w:r w:rsidRPr="006418E2">
        <w:rPr>
          <w:rFonts w:cstheme="minorHAnsi"/>
        </w:rPr>
        <w:t xml:space="preserve">The minute order for that hearing reflected </w:t>
      </w:r>
      <w:r w:rsidRPr="006418E2">
        <w:rPr>
          <w:rFonts w:cstheme="minorHAnsi"/>
        </w:rPr>
        <w:t xml:space="preserve">two interpreters </w:t>
      </w:r>
      <w:r w:rsidRPr="006418E2">
        <w:rPr>
          <w:rFonts w:cstheme="minorHAnsi"/>
        </w:rPr>
        <w:t>appeared throughout that session.</w:t>
      </w:r>
      <w:r w:rsidRPr="006418E2">
        <w:rPr>
          <w:rFonts w:cstheme="minorHAnsi"/>
        </w:rPr>
        <w:t xml:space="preserve"> </w:t>
      </w:r>
      <w:r w:rsidRPr="006418E2">
        <w:rPr>
          <w:rFonts w:cstheme="minorHAnsi"/>
        </w:rPr>
        <w:t xml:space="preserve"> </w:t>
      </w:r>
      <w:r w:rsidRPr="006418E2">
        <w:rPr>
          <w:rFonts w:cstheme="minorHAnsi"/>
        </w:rPr>
        <w:t xml:space="preserve"> </w:t>
      </w:r>
    </w:p>
    <w:p w14:paraId="65C06D10" w14:textId="77777777" w:rsidR="00932EE2" w:rsidRPr="006418E2" w:rsidRDefault="00932EE2" w:rsidP="006418E2">
      <w:pPr>
        <w:rPr>
          <w:rFonts w:cstheme="minorHAnsi"/>
        </w:rPr>
      </w:pPr>
      <w:r w:rsidRPr="006418E2">
        <w:rPr>
          <w:rFonts w:cstheme="minorHAnsi"/>
          <w:sz w:val="24"/>
        </w:rPr>
        <w:lastRenderedPageBreak/>
        <w:tab/>
      </w:r>
      <w:r w:rsidRPr="006418E2">
        <w:rPr>
          <w:rFonts w:cstheme="minorHAnsi"/>
        </w:rPr>
        <w:t xml:space="preserve">At the conclusion of the preliminary examination, Molina and his codefendants were held to answer </w:t>
      </w:r>
      <w:r w:rsidRPr="006418E2">
        <w:rPr>
          <w:rFonts w:cstheme="minorHAnsi"/>
        </w:rPr>
        <w:t>on all charges and the Santa Cruz County District Attorney filed an information on July 12, 2021.</w:t>
      </w:r>
      <w:r>
        <w:rPr>
          <w:rStyle w:val="FootnoteReference"/>
          <w:rFonts w:cstheme="minorHAnsi"/>
        </w:rPr>
        <w:footnoteReference w:id="10"/>
      </w:r>
      <w:r w:rsidRPr="006418E2">
        <w:rPr>
          <w:rFonts w:cstheme="minorHAnsi"/>
        </w:rPr>
        <w:t xml:space="preserve">  </w:t>
      </w:r>
    </w:p>
    <w:p w14:paraId="2224F7C0" w14:textId="77777777" w:rsidR="00932EE2" w:rsidRPr="006418E2" w:rsidRDefault="00932EE2" w:rsidP="006418E2">
      <w:pPr>
        <w:rPr>
          <w:rFonts w:cstheme="minorHAnsi"/>
          <w:b/>
          <w:bCs/>
          <w:i/>
          <w:iCs/>
        </w:rPr>
      </w:pPr>
      <w:r w:rsidRPr="006418E2">
        <w:rPr>
          <w:rFonts w:cstheme="minorHAnsi"/>
        </w:rPr>
        <w:tab/>
      </w:r>
      <w:r w:rsidRPr="006418E2">
        <w:rPr>
          <w:rFonts w:cstheme="minorHAnsi"/>
          <w:b/>
          <w:bCs/>
          <w:i/>
          <w:iCs/>
        </w:rPr>
        <w:t>B. The section 995 motion to dismiss the information</w:t>
      </w:r>
    </w:p>
    <w:p w14:paraId="7F413AAB" w14:textId="77777777" w:rsidR="00932EE2" w:rsidRPr="006418E2" w:rsidRDefault="00932EE2" w:rsidP="006418E2">
      <w:pPr>
        <w:rPr>
          <w:rFonts w:cstheme="minorHAnsi"/>
        </w:rPr>
      </w:pPr>
      <w:r w:rsidRPr="006418E2">
        <w:rPr>
          <w:rFonts w:cstheme="minorHAnsi"/>
        </w:rPr>
        <w:tab/>
        <w:t xml:space="preserve">On </w:t>
      </w:r>
      <w:r w:rsidRPr="006418E2">
        <w:rPr>
          <w:rFonts w:cstheme="minorHAnsi"/>
        </w:rPr>
        <w:t>November 23, 2021</w:t>
      </w:r>
      <w:r w:rsidRPr="006418E2">
        <w:rPr>
          <w:rFonts w:cstheme="minorHAnsi"/>
        </w:rPr>
        <w:t>, </w:t>
      </w:r>
      <w:r w:rsidRPr="006418E2">
        <w:rPr>
          <w:rFonts w:cstheme="minorHAnsi"/>
        </w:rPr>
        <w:t>Molina</w:t>
      </w:r>
      <w:r w:rsidRPr="006418E2">
        <w:rPr>
          <w:rFonts w:cstheme="minorHAnsi"/>
        </w:rPr>
        <w:t xml:space="preserve"> moved to dismiss </w:t>
      </w:r>
      <w:r w:rsidRPr="006418E2">
        <w:rPr>
          <w:rFonts w:cstheme="minorHAnsi"/>
        </w:rPr>
        <w:t xml:space="preserve">the information </w:t>
      </w:r>
      <w:r w:rsidRPr="006418E2">
        <w:rPr>
          <w:rFonts w:cstheme="minorHAnsi"/>
        </w:rPr>
        <w:t xml:space="preserve">pursuant to section 995 (section 995 motion), arguing that </w:t>
      </w:r>
      <w:r w:rsidRPr="006418E2">
        <w:rPr>
          <w:rFonts w:cstheme="minorHAnsi"/>
        </w:rPr>
        <w:t>the failure to provide a separate interpreter for him throughout the preliminary examination deprived him of his constitutional right</w:t>
      </w:r>
      <w:r>
        <w:rPr>
          <w:rFonts w:cstheme="minorHAnsi"/>
        </w:rPr>
        <w:t>s</w:t>
      </w:r>
      <w:r w:rsidRPr="006418E2">
        <w:rPr>
          <w:rFonts w:cstheme="minorHAnsi"/>
        </w:rPr>
        <w:t xml:space="preserve"> to confer with counsel, effectively confront his accuser, and participate in the proceedings</w:t>
      </w:r>
      <w:r w:rsidRPr="006418E2">
        <w:rPr>
          <w:rFonts w:cstheme="minorHAnsi"/>
        </w:rPr>
        <w:t>.</w:t>
      </w:r>
      <w:r w:rsidRPr="006418E2">
        <w:rPr>
          <w:rFonts w:cstheme="minorHAnsi"/>
        </w:rPr>
        <w:t xml:space="preserve"> </w:t>
      </w:r>
    </w:p>
    <w:p w14:paraId="04749BA0" w14:textId="77777777" w:rsidR="00932EE2" w:rsidRPr="006418E2" w:rsidRDefault="00932EE2" w:rsidP="006418E2">
      <w:pPr>
        <w:rPr>
          <w:rFonts w:cstheme="minorHAnsi"/>
        </w:rPr>
      </w:pPr>
      <w:r w:rsidRPr="006418E2">
        <w:rPr>
          <w:rFonts w:cstheme="minorHAnsi"/>
        </w:rPr>
        <w:tab/>
        <w:t xml:space="preserve">The trial court denied the section 995 motion on </w:t>
      </w:r>
      <w:r w:rsidRPr="006418E2">
        <w:rPr>
          <w:rFonts w:cstheme="minorHAnsi"/>
        </w:rPr>
        <w:t>November 4, 2022</w:t>
      </w:r>
      <w:r w:rsidRPr="006418E2">
        <w:rPr>
          <w:rFonts w:cstheme="minorHAnsi"/>
        </w:rPr>
        <w:t xml:space="preserve">. </w:t>
      </w:r>
      <w:r w:rsidRPr="006418E2">
        <w:rPr>
          <w:rFonts w:cstheme="minorHAnsi"/>
        </w:rPr>
        <w:t xml:space="preserve"> </w:t>
      </w:r>
      <w:r w:rsidRPr="006418E2">
        <w:rPr>
          <w:rFonts w:cstheme="minorHAnsi"/>
        </w:rPr>
        <w:t xml:space="preserve">In </w:t>
      </w:r>
      <w:r w:rsidRPr="006418E2">
        <w:rPr>
          <w:rFonts w:cstheme="minorHAnsi"/>
        </w:rPr>
        <w:t xml:space="preserve">explaining </w:t>
      </w:r>
      <w:r w:rsidRPr="006418E2">
        <w:rPr>
          <w:rFonts w:cstheme="minorHAnsi"/>
        </w:rPr>
        <w:t>its</w:t>
      </w:r>
      <w:r w:rsidRPr="006418E2">
        <w:rPr>
          <w:rFonts w:cstheme="minorHAnsi"/>
        </w:rPr>
        <w:t xml:space="preserve"> decision</w:t>
      </w:r>
      <w:r w:rsidRPr="006418E2">
        <w:rPr>
          <w:rFonts w:cstheme="minorHAnsi"/>
        </w:rPr>
        <w:t>, the trial court acknowledged that</w:t>
      </w:r>
      <w:r w:rsidRPr="006418E2">
        <w:rPr>
          <w:rFonts w:cstheme="minorHAnsi"/>
        </w:rPr>
        <w:t xml:space="preserve"> while</w:t>
      </w:r>
      <w:r w:rsidRPr="006418E2">
        <w:rPr>
          <w:rFonts w:cstheme="minorHAnsi"/>
        </w:rPr>
        <w:t xml:space="preserve"> </w:t>
      </w:r>
      <w:r w:rsidRPr="006418E2">
        <w:rPr>
          <w:rFonts w:cstheme="minorHAnsi"/>
        </w:rPr>
        <w:t xml:space="preserve">“what occurred was not the best </w:t>
      </w:r>
      <w:proofErr w:type="gramStart"/>
      <w:r w:rsidRPr="006418E2">
        <w:rPr>
          <w:rFonts w:cstheme="minorHAnsi"/>
        </w:rPr>
        <w:t>practices[</w:t>
      </w:r>
      <w:proofErr w:type="gramEnd"/>
      <w:r w:rsidRPr="006418E2">
        <w:rPr>
          <w:rFonts w:cstheme="minorHAnsi"/>
        </w:rPr>
        <w:t>,] [</w:t>
      </w:r>
      <w:r w:rsidRPr="006418E2">
        <w:rPr>
          <w:rFonts w:cstheme="minorHAnsi"/>
          <w:i/>
          <w:iCs/>
        </w:rPr>
        <w:t>sic</w:t>
      </w:r>
      <w:r w:rsidRPr="006418E2">
        <w:rPr>
          <w:rFonts w:cstheme="minorHAnsi"/>
        </w:rPr>
        <w:t>]” it was satisfied “beyond a reasonable doubt that any error concerning the failure to provide an interpreter for each of the three defendants at the preliminary hearing [was] harmless.”  The court further noted that, at the trial, “if each of the three defendants demonstrate that each of them have a need for an interpreter, a separate interpreter will be provided for each</w:t>
      </w:r>
      <w:r w:rsidRPr="006418E2">
        <w:rPr>
          <w:rFonts w:cstheme="minorHAnsi"/>
        </w:rPr>
        <w:t xml:space="preserve"> of them … with a separate interpreter for any Spanish speaking witnesses.”  </w:t>
      </w:r>
    </w:p>
    <w:p w14:paraId="0882F303" w14:textId="77777777" w:rsidR="00932EE2" w:rsidRPr="006418E2" w:rsidRDefault="00932EE2" w:rsidP="006418E2">
      <w:pPr>
        <w:rPr>
          <w:bCs/>
        </w:rPr>
      </w:pPr>
      <w:r w:rsidRPr="006418E2">
        <w:rPr>
          <w:bCs/>
        </w:rPr>
        <w:tab/>
        <w:t>After Molina filed the instant writ petition, we stayed further proceedings</w:t>
      </w:r>
      <w:r w:rsidRPr="006418E2">
        <w:rPr>
          <w:bCs/>
        </w:rPr>
        <w:t xml:space="preserve"> and requested preliminary opposition from the Attorney General.  Having received the Attorney General’s preliminary opposition, Molina’s reply thereto, along with</w:t>
      </w:r>
      <w:r w:rsidRPr="006418E2">
        <w:rPr>
          <w:bCs/>
        </w:rPr>
        <w:t xml:space="preserve"> supplemental briefing </w:t>
      </w:r>
      <w:r w:rsidRPr="006418E2">
        <w:rPr>
          <w:bCs/>
        </w:rPr>
        <w:t>we requested from both parties</w:t>
      </w:r>
      <w:r w:rsidRPr="006418E2">
        <w:rPr>
          <w:bCs/>
        </w:rPr>
        <w:t>,</w:t>
      </w:r>
      <w:r>
        <w:rPr>
          <w:rStyle w:val="FootnoteReference"/>
          <w:bCs/>
        </w:rPr>
        <w:footnoteReference w:id="11"/>
      </w:r>
      <w:r w:rsidRPr="006418E2">
        <w:rPr>
          <w:bCs/>
        </w:rPr>
        <w:t xml:space="preserve"> </w:t>
      </w:r>
      <w:r w:rsidRPr="006418E2">
        <w:rPr>
          <w:bCs/>
        </w:rPr>
        <w:t xml:space="preserve">we </w:t>
      </w:r>
      <w:r w:rsidRPr="006418E2">
        <w:rPr>
          <w:bCs/>
        </w:rPr>
        <w:t xml:space="preserve">issued an order to show cause </w:t>
      </w:r>
      <w:r w:rsidRPr="006418E2">
        <w:rPr>
          <w:bCs/>
        </w:rPr>
        <w:lastRenderedPageBreak/>
        <w:t xml:space="preserve">on December 7, 2023.  The Attorney General elected to </w:t>
      </w:r>
      <w:r w:rsidRPr="006418E2">
        <w:rPr>
          <w:bCs/>
        </w:rPr>
        <w:t xml:space="preserve">rely on its preliminary opposition and supplement brief in lieu of </w:t>
      </w:r>
      <w:r w:rsidRPr="006418E2">
        <w:rPr>
          <w:bCs/>
        </w:rPr>
        <w:t>a return</w:t>
      </w:r>
      <w:r w:rsidRPr="006418E2">
        <w:rPr>
          <w:bCs/>
        </w:rPr>
        <w:t>.  Respondent superior court filed a response as well</w:t>
      </w:r>
      <w:r w:rsidRPr="006418E2">
        <w:rPr>
          <w:bCs/>
        </w:rPr>
        <w:t>.</w:t>
      </w:r>
      <w:r>
        <w:rPr>
          <w:rStyle w:val="FootnoteReference"/>
          <w:bCs/>
        </w:rPr>
        <w:footnoteReference w:id="12"/>
      </w:r>
      <w:r w:rsidRPr="006418E2">
        <w:rPr>
          <w:bCs/>
        </w:rPr>
        <w:t xml:space="preserve"> </w:t>
      </w:r>
      <w:r w:rsidRPr="006418E2">
        <w:rPr>
          <w:bCs/>
        </w:rPr>
        <w:t xml:space="preserve"> </w:t>
      </w:r>
      <w:r w:rsidRPr="006418E2">
        <w:rPr>
          <w:bCs/>
        </w:rPr>
        <w:t>Having reviewed the parties</w:t>
      </w:r>
      <w:r w:rsidRPr="006418E2">
        <w:rPr>
          <w:bCs/>
        </w:rPr>
        <w:t>’</w:t>
      </w:r>
      <w:r w:rsidRPr="006418E2">
        <w:rPr>
          <w:bCs/>
        </w:rPr>
        <w:t xml:space="preserve"> briefing and the </w:t>
      </w:r>
      <w:r w:rsidRPr="006418E2">
        <w:rPr>
          <w:bCs/>
        </w:rPr>
        <w:t>record</w:t>
      </w:r>
      <w:r w:rsidRPr="006418E2">
        <w:rPr>
          <w:bCs/>
        </w:rPr>
        <w:t xml:space="preserve">, we will </w:t>
      </w:r>
      <w:r w:rsidRPr="006418E2">
        <w:rPr>
          <w:bCs/>
        </w:rPr>
        <w:t>grant</w:t>
      </w:r>
      <w:r w:rsidRPr="006418E2">
        <w:rPr>
          <w:bCs/>
        </w:rPr>
        <w:t xml:space="preserve"> the petition for writ of mandate and/or prohibition.</w:t>
      </w:r>
    </w:p>
    <w:p w14:paraId="22B1822C" w14:textId="77777777" w:rsidR="00932EE2" w:rsidRPr="006418E2" w:rsidRDefault="00932EE2" w:rsidP="006418E2">
      <w:pPr>
        <w:jc w:val="center"/>
        <w:rPr>
          <w:bCs/>
        </w:rPr>
      </w:pPr>
      <w:r w:rsidRPr="006418E2">
        <w:rPr>
          <w:b/>
          <w:bCs/>
        </w:rPr>
        <w:t>II.</w:t>
      </w:r>
      <w:r w:rsidRPr="006418E2">
        <w:rPr>
          <w:b/>
          <w:bCs/>
        </w:rPr>
        <w:tab/>
      </w:r>
      <w:r w:rsidRPr="006418E2">
        <w:rPr>
          <w:b/>
          <w:bCs/>
          <w:smallCaps/>
        </w:rPr>
        <w:t>Discussion</w:t>
      </w:r>
    </w:p>
    <w:p w14:paraId="0EDBA1C9" w14:textId="77777777" w:rsidR="00932EE2" w:rsidRPr="006418E2" w:rsidRDefault="00932EE2" w:rsidP="006418E2">
      <w:pPr>
        <w:rPr>
          <w:bCs/>
        </w:rPr>
      </w:pPr>
      <w:r w:rsidRPr="006418E2">
        <w:rPr>
          <w:bCs/>
        </w:rPr>
        <w:tab/>
        <w:t>Molina argues that failing to provide an individual interpreter at the preliminary hearing violat</w:t>
      </w:r>
      <w:r w:rsidRPr="006418E2">
        <w:rPr>
          <w:bCs/>
        </w:rPr>
        <w:t>ed</w:t>
      </w:r>
      <w:r w:rsidRPr="006418E2">
        <w:rPr>
          <w:bCs/>
        </w:rPr>
        <w:t xml:space="preserve"> a substantial right and </w:t>
      </w:r>
      <w:r w:rsidRPr="006418E2">
        <w:rPr>
          <w:bCs/>
        </w:rPr>
        <w:t xml:space="preserve">was thus </w:t>
      </w:r>
      <w:proofErr w:type="gramStart"/>
      <w:r w:rsidRPr="006418E2">
        <w:rPr>
          <w:bCs/>
        </w:rPr>
        <w:t>structural</w:t>
      </w:r>
      <w:proofErr w:type="gramEnd"/>
      <w:r w:rsidRPr="006418E2">
        <w:rPr>
          <w:bCs/>
        </w:rPr>
        <w:t xml:space="preserve"> error.  Consequently, </w:t>
      </w:r>
      <w:r w:rsidRPr="006418E2">
        <w:rPr>
          <w:bCs/>
        </w:rPr>
        <w:t xml:space="preserve">in Molina’s view, </w:t>
      </w:r>
      <w:r w:rsidRPr="006418E2">
        <w:rPr>
          <w:bCs/>
        </w:rPr>
        <w:t xml:space="preserve">our analysis “should end here” and the petition should be granted without any showing of prejudice.  The Attorney General argues that not providing an individual interpreter for each defendant during a preliminary hearing is not a violation of a substantial right and does not create a structural defect requiring per se reversal.  Instead, </w:t>
      </w:r>
      <w:r w:rsidRPr="006418E2">
        <w:rPr>
          <w:bCs/>
        </w:rPr>
        <w:lastRenderedPageBreak/>
        <w:t xml:space="preserve">the Attorney General asserts the proper standard for review is whether the purported error reasonably might have affected the outcome as set forth in </w:t>
      </w:r>
      <w:r>
        <w:rPr>
          <w:bCs/>
          <w:i/>
          <w:iCs/>
        </w:rPr>
        <w:t xml:space="preserve">People v. </w:t>
      </w:r>
      <w:r w:rsidRPr="006418E2">
        <w:rPr>
          <w:bCs/>
          <w:i/>
          <w:iCs/>
        </w:rPr>
        <w:t>Konow</w:t>
      </w:r>
      <w:r>
        <w:rPr>
          <w:bCs/>
          <w:i/>
          <w:iCs/>
        </w:rPr>
        <w:t>, supr</w:t>
      </w:r>
      <w:r>
        <w:rPr>
          <w:bCs/>
          <w:i/>
          <w:iCs/>
        </w:rPr>
        <w:t>a,</w:t>
      </w:r>
      <w:r w:rsidRPr="006418E2">
        <w:rPr>
          <w:bCs/>
        </w:rPr>
        <w:t xml:space="preserve"> 32 Cal.4</w:t>
      </w:r>
      <w:r w:rsidRPr="00AF4103">
        <w:rPr>
          <w:bCs/>
        </w:rPr>
        <w:t>th</w:t>
      </w:r>
      <w:r w:rsidRPr="006418E2">
        <w:rPr>
          <w:bCs/>
        </w:rPr>
        <w:t xml:space="preserve"> 995</w:t>
      </w:r>
      <w:r>
        <w:rPr>
          <w:bCs/>
        </w:rPr>
        <w:t xml:space="preserve"> at p.</w:t>
      </w:r>
      <w:r w:rsidRPr="006418E2">
        <w:rPr>
          <w:bCs/>
        </w:rPr>
        <w:t xml:space="preserve"> </w:t>
      </w:r>
      <w:r w:rsidRPr="006418E2">
        <w:rPr>
          <w:bCs/>
        </w:rPr>
        <w:t>1024.</w:t>
      </w:r>
      <w:r w:rsidRPr="006418E2">
        <w:rPr>
          <w:bCs/>
        </w:rPr>
        <w:t xml:space="preserve"> </w:t>
      </w:r>
    </w:p>
    <w:p w14:paraId="1ADA60A8" w14:textId="77777777" w:rsidR="00932EE2" w:rsidRPr="006418E2" w:rsidRDefault="00932EE2" w:rsidP="006418E2">
      <w:pPr>
        <w:rPr>
          <w:bCs/>
        </w:rPr>
      </w:pPr>
      <w:r w:rsidRPr="006418E2">
        <w:rPr>
          <w:bCs/>
        </w:rPr>
        <w:tab/>
        <w:t xml:space="preserve">We are not aware of any California appellate decision which has addressed whether the denial of an individual interpreter at a preliminary </w:t>
      </w:r>
      <w:r w:rsidRPr="006418E2">
        <w:rPr>
          <w:bCs/>
        </w:rPr>
        <w:t>examination</w:t>
      </w:r>
      <w:r w:rsidRPr="006418E2">
        <w:rPr>
          <w:bCs/>
        </w:rPr>
        <w:t xml:space="preserve"> is within th</w:t>
      </w:r>
      <w:r w:rsidRPr="006418E2">
        <w:rPr>
          <w:bCs/>
        </w:rPr>
        <w:t>e</w:t>
      </w:r>
      <w:r w:rsidRPr="006418E2">
        <w:rPr>
          <w:bCs/>
        </w:rPr>
        <w:t xml:space="preserve"> narrow category of errors which by its very nature is a violation of a substantial right or whether it is </w:t>
      </w:r>
      <w:r w:rsidRPr="006418E2">
        <w:rPr>
          <w:bCs/>
        </w:rPr>
        <w:t xml:space="preserve">instead </w:t>
      </w:r>
      <w:r w:rsidRPr="006418E2">
        <w:rPr>
          <w:bCs/>
        </w:rPr>
        <w:t xml:space="preserve">an error which a </w:t>
      </w:r>
      <w:r w:rsidRPr="006418E2">
        <w:rPr>
          <w:bCs/>
        </w:rPr>
        <w:t>petitioner</w:t>
      </w:r>
      <w:r w:rsidRPr="006418E2">
        <w:rPr>
          <w:bCs/>
        </w:rPr>
        <w:t xml:space="preserve"> must show reasonably might have affected the outcome.  We need not </w:t>
      </w:r>
      <w:r w:rsidRPr="006418E2">
        <w:rPr>
          <w:bCs/>
        </w:rPr>
        <w:t xml:space="preserve">reach the </w:t>
      </w:r>
      <w:r w:rsidRPr="006418E2">
        <w:rPr>
          <w:bCs/>
        </w:rPr>
        <w:t>issue of</w:t>
      </w:r>
      <w:r w:rsidRPr="006418E2">
        <w:rPr>
          <w:bCs/>
        </w:rPr>
        <w:t xml:space="preserve"> </w:t>
      </w:r>
      <w:r w:rsidRPr="006418E2">
        <w:rPr>
          <w:bCs/>
        </w:rPr>
        <w:t>whether the failure to provide an individual inter</w:t>
      </w:r>
      <w:r w:rsidRPr="006418E2">
        <w:rPr>
          <w:bCs/>
        </w:rPr>
        <w:t xml:space="preserve">preter </w:t>
      </w:r>
      <w:r w:rsidRPr="006418E2">
        <w:rPr>
          <w:bCs/>
        </w:rPr>
        <w:t xml:space="preserve">for Molina </w:t>
      </w:r>
      <w:r w:rsidRPr="006418E2">
        <w:rPr>
          <w:bCs/>
        </w:rPr>
        <w:t xml:space="preserve">is a violation of a substantial right requiring reversal </w:t>
      </w:r>
      <w:r w:rsidRPr="006418E2">
        <w:rPr>
          <w:bCs/>
        </w:rPr>
        <w:t>per se</w:t>
      </w:r>
      <w:r w:rsidRPr="006418E2">
        <w:rPr>
          <w:bCs/>
        </w:rPr>
        <w:t xml:space="preserve"> because</w:t>
      </w:r>
      <w:r w:rsidRPr="006418E2">
        <w:rPr>
          <w:bCs/>
        </w:rPr>
        <w:t>,</w:t>
      </w:r>
      <w:r w:rsidRPr="006418E2">
        <w:rPr>
          <w:bCs/>
        </w:rPr>
        <w:t xml:space="preserve"> </w:t>
      </w:r>
      <w:r w:rsidRPr="006418E2">
        <w:rPr>
          <w:bCs/>
        </w:rPr>
        <w:t xml:space="preserve">even </w:t>
      </w:r>
      <w:r w:rsidRPr="006418E2">
        <w:rPr>
          <w:bCs/>
        </w:rPr>
        <w:t xml:space="preserve">reviewing for </w:t>
      </w:r>
      <w:r w:rsidRPr="006418E2">
        <w:rPr>
          <w:bCs/>
        </w:rPr>
        <w:t>prejudice</w:t>
      </w:r>
      <w:r w:rsidRPr="006418E2">
        <w:rPr>
          <w:bCs/>
        </w:rPr>
        <w:t>,</w:t>
      </w:r>
      <w:r w:rsidRPr="006418E2">
        <w:rPr>
          <w:bCs/>
        </w:rPr>
        <w:t xml:space="preserve"> we conclude </w:t>
      </w:r>
      <w:r w:rsidRPr="006418E2">
        <w:rPr>
          <w:bCs/>
        </w:rPr>
        <w:t xml:space="preserve">that </w:t>
      </w:r>
      <w:r w:rsidRPr="006418E2">
        <w:rPr>
          <w:bCs/>
        </w:rPr>
        <w:t xml:space="preserve">Molina has established that this error was </w:t>
      </w:r>
      <w:r w:rsidRPr="006418E2">
        <w:rPr>
          <w:bCs/>
        </w:rPr>
        <w:t>“</w:t>
      </w:r>
      <w:r w:rsidRPr="006418E2">
        <w:rPr>
          <w:bCs/>
        </w:rPr>
        <w:t xml:space="preserve">not minor </w:t>
      </w:r>
      <w:r w:rsidRPr="006418E2">
        <w:rPr>
          <w:bCs/>
        </w:rPr>
        <w:t>but</w:t>
      </w:r>
      <w:r w:rsidRPr="006418E2">
        <w:rPr>
          <w:bCs/>
        </w:rPr>
        <w:t xml:space="preserve"> </w:t>
      </w:r>
      <w:r w:rsidRPr="006418E2">
        <w:rPr>
          <w:bCs/>
        </w:rPr>
        <w:t>‘</w:t>
      </w:r>
      <w:r w:rsidRPr="006418E2">
        <w:rPr>
          <w:bCs/>
        </w:rPr>
        <w:t xml:space="preserve">reasonably </w:t>
      </w:r>
      <w:r w:rsidRPr="006418E2">
        <w:rPr>
          <w:bCs/>
          <w:i/>
          <w:iCs/>
        </w:rPr>
        <w:t>might</w:t>
      </w:r>
      <w:r w:rsidRPr="006418E2">
        <w:rPr>
          <w:bCs/>
        </w:rPr>
        <w:t xml:space="preserve"> have affected the outcome</w:t>
      </w:r>
      <w:proofErr w:type="gramStart"/>
      <w:r w:rsidRPr="006418E2">
        <w:rPr>
          <w:bCs/>
        </w:rPr>
        <w:t>’ ”</w:t>
      </w:r>
      <w:proofErr w:type="gramEnd"/>
      <w:r w:rsidRPr="006418E2">
        <w:rPr>
          <w:bCs/>
        </w:rPr>
        <w:t xml:space="preserve"> of the preliminary hearing.  (</w:t>
      </w:r>
      <w:r>
        <w:rPr>
          <w:bCs/>
          <w:i/>
          <w:iCs/>
        </w:rPr>
        <w:t xml:space="preserve">People v. </w:t>
      </w:r>
      <w:r w:rsidRPr="006418E2">
        <w:rPr>
          <w:bCs/>
          <w:i/>
          <w:iCs/>
        </w:rPr>
        <w:t>Standish</w:t>
      </w:r>
      <w:r>
        <w:rPr>
          <w:bCs/>
          <w:i/>
          <w:iCs/>
        </w:rPr>
        <w:t>, supra,</w:t>
      </w:r>
      <w:r w:rsidRPr="006418E2">
        <w:rPr>
          <w:bCs/>
        </w:rPr>
        <w:t xml:space="preserve"> </w:t>
      </w:r>
      <w:bookmarkStart w:id="9" w:name="_Hlk170391763"/>
      <w:r w:rsidRPr="006418E2">
        <w:rPr>
          <w:bCs/>
        </w:rPr>
        <w:t>38 Cal.4th</w:t>
      </w:r>
      <w:bookmarkEnd w:id="9"/>
      <w:r w:rsidRPr="006418E2">
        <w:rPr>
          <w:bCs/>
        </w:rPr>
        <w:t xml:space="preserve"> </w:t>
      </w:r>
      <w:r>
        <w:rPr>
          <w:bCs/>
        </w:rPr>
        <w:t>at p.</w:t>
      </w:r>
      <w:r w:rsidRPr="006418E2">
        <w:rPr>
          <w:bCs/>
        </w:rPr>
        <w:t xml:space="preserve"> </w:t>
      </w:r>
      <w:r w:rsidRPr="006418E2">
        <w:rPr>
          <w:bCs/>
        </w:rPr>
        <w:t xml:space="preserve">883.) </w:t>
      </w:r>
      <w:r w:rsidRPr="006418E2">
        <w:rPr>
          <w:bCs/>
        </w:rPr>
        <w:t xml:space="preserve"> </w:t>
      </w:r>
      <w:r w:rsidRPr="006418E2">
        <w:rPr>
          <w:bCs/>
        </w:rPr>
        <w:tab/>
      </w:r>
    </w:p>
    <w:p w14:paraId="46BACF31" w14:textId="77777777" w:rsidR="00932EE2" w:rsidRPr="006418E2" w:rsidRDefault="00932EE2" w:rsidP="006418E2">
      <w:pPr>
        <w:rPr>
          <w:b/>
          <w:i/>
          <w:iCs/>
        </w:rPr>
      </w:pPr>
      <w:r w:rsidRPr="006418E2">
        <w:rPr>
          <w:bCs/>
        </w:rPr>
        <w:tab/>
      </w:r>
      <w:r w:rsidRPr="006418E2">
        <w:rPr>
          <w:b/>
          <w:i/>
          <w:iCs/>
        </w:rPr>
        <w:t>A. Standard of review</w:t>
      </w:r>
    </w:p>
    <w:p w14:paraId="07AB738E" w14:textId="77777777" w:rsidR="00932EE2" w:rsidRPr="006418E2" w:rsidRDefault="00932EE2" w:rsidP="006418E2">
      <w:pPr>
        <w:rPr>
          <w:bCs/>
        </w:rPr>
      </w:pPr>
      <w:r w:rsidRPr="006418E2">
        <w:rPr>
          <w:bCs/>
        </w:rPr>
        <w:tab/>
      </w:r>
      <w:proofErr w:type="gramStart"/>
      <w:r w:rsidRPr="006418E2">
        <w:rPr>
          <w:bCs/>
        </w:rPr>
        <w:t>“</w:t>
      </w:r>
      <w:r w:rsidRPr="006418E2">
        <w:rPr>
          <w:bCs/>
        </w:rPr>
        <w:t xml:space="preserve"> ‘</w:t>
      </w:r>
      <w:proofErr w:type="gramEnd"/>
      <w:r w:rsidRPr="006418E2">
        <w:rPr>
          <w:bCs/>
        </w:rPr>
        <w:t xml:space="preserve">[I]n proceedings under section 995 it is the magistrate who is the finder of fact; the superior court has none of the foregoing powers, and sits merely as a reviewing </w:t>
      </w:r>
      <w:r w:rsidRPr="006418E2">
        <w:rPr>
          <w:bCs/>
        </w:rPr>
        <w:t>court; it must draw every legitimate inference in favor of the information, and cannot substitute its judgment as to the credibility or weight of the evidence for that of the magistrate.</w:t>
      </w:r>
      <w:r w:rsidRPr="006418E2">
        <w:rPr>
          <w:bCs/>
        </w:rPr>
        <w:t xml:space="preserve">  </w:t>
      </w:r>
      <w:r w:rsidRPr="006418E2">
        <w:rPr>
          <w:bCs/>
        </w:rPr>
        <w:t xml:space="preserve">[Citation.] </w:t>
      </w:r>
      <w:r w:rsidRPr="006418E2">
        <w:rPr>
          <w:bCs/>
        </w:rPr>
        <w:t xml:space="preserve"> </w:t>
      </w:r>
      <w:r w:rsidRPr="006418E2">
        <w:rPr>
          <w:bCs/>
        </w:rPr>
        <w:t>On review by appeal or writ, moreover, the appellate court in effect disregards</w:t>
      </w:r>
      <w:r w:rsidRPr="006418E2">
        <w:rPr>
          <w:bCs/>
        </w:rPr>
        <w:t xml:space="preserve"> </w:t>
      </w:r>
      <w:r w:rsidRPr="006418E2">
        <w:rPr>
          <w:bCs/>
        </w:rPr>
        <w:t xml:space="preserve">the ruling of the superior court and directly reviews the determination of the magistrate </w:t>
      </w:r>
      <w:proofErr w:type="gramStart"/>
      <w:r w:rsidRPr="006418E2">
        <w:rPr>
          <w:bCs/>
        </w:rPr>
        <w:t>… .</w:t>
      </w:r>
      <w:proofErr w:type="gramEnd"/>
      <w:r w:rsidRPr="006418E2">
        <w:rPr>
          <w:bCs/>
        </w:rPr>
        <w:t>’</w:t>
      </w:r>
      <w:r w:rsidRPr="006418E2">
        <w:rPr>
          <w:bCs/>
        </w:rPr>
        <w:t xml:space="preserve"> [Citation</w:t>
      </w:r>
      <w:r w:rsidRPr="006418E2">
        <w:rPr>
          <w:bCs/>
        </w:rPr>
        <w:t>.]”</w:t>
      </w:r>
      <w:r w:rsidRPr="006418E2">
        <w:rPr>
          <w:bCs/>
        </w:rPr>
        <w:t xml:space="preserve"> </w:t>
      </w:r>
      <w:r w:rsidRPr="006418E2">
        <w:rPr>
          <w:bCs/>
        </w:rPr>
        <w:t xml:space="preserve"> </w:t>
      </w:r>
      <w:r w:rsidRPr="006418E2">
        <w:rPr>
          <w:bCs/>
        </w:rPr>
        <w:t>(</w:t>
      </w:r>
      <w:r w:rsidRPr="006418E2">
        <w:rPr>
          <w:bCs/>
          <w:i/>
          <w:iCs/>
        </w:rPr>
        <w:t>People v. Gonzalez</w:t>
      </w:r>
      <w:r w:rsidRPr="006418E2">
        <w:rPr>
          <w:bCs/>
        </w:rPr>
        <w:t xml:space="preserve"> (2017)</w:t>
      </w:r>
      <w:r w:rsidRPr="006418E2">
        <w:rPr>
          <w:bCs/>
        </w:rPr>
        <w:t xml:space="preserve"> 2 Cal.5th 1138, 1141</w:t>
      </w:r>
      <w:r w:rsidRPr="006418E2">
        <w:rPr>
          <w:bCs/>
        </w:rPr>
        <w:t>.)</w:t>
      </w:r>
      <w:r w:rsidRPr="006418E2">
        <w:rPr>
          <w:bCs/>
        </w:rPr>
        <w:t xml:space="preserve"> </w:t>
      </w:r>
      <w:r w:rsidRPr="006418E2">
        <w:rPr>
          <w:bCs/>
        </w:rPr>
        <w:t xml:space="preserve"> </w:t>
      </w:r>
      <w:r w:rsidRPr="006418E2">
        <w:rPr>
          <w:bCs/>
        </w:rPr>
        <w:t>In this case, we must</w:t>
      </w:r>
      <w:r w:rsidRPr="006418E2">
        <w:rPr>
          <w:bCs/>
        </w:rPr>
        <w:t xml:space="preserve"> determine whether </w:t>
      </w:r>
      <w:r w:rsidRPr="006418E2">
        <w:rPr>
          <w:bCs/>
        </w:rPr>
        <w:t xml:space="preserve">the information </w:t>
      </w:r>
      <w:r w:rsidRPr="006418E2">
        <w:rPr>
          <w:bCs/>
        </w:rPr>
        <w:t>must be set asi</w:t>
      </w:r>
      <w:r w:rsidRPr="006418E2">
        <w:rPr>
          <w:bCs/>
        </w:rPr>
        <w:t>de</w:t>
      </w:r>
      <w:r w:rsidRPr="006418E2">
        <w:rPr>
          <w:bCs/>
        </w:rPr>
        <w:t> on the ground that</w:t>
      </w:r>
      <w:r w:rsidRPr="006418E2">
        <w:rPr>
          <w:bCs/>
        </w:rPr>
        <w:t xml:space="preserve"> Molina</w:t>
      </w:r>
      <w:r w:rsidRPr="006418E2">
        <w:rPr>
          <w:bCs/>
        </w:rPr>
        <w:t xml:space="preserve"> “had not been legally committed by [the] magistrate</w:t>
      </w:r>
      <w:r w:rsidRPr="006418E2">
        <w:rPr>
          <w:bCs/>
        </w:rPr>
        <w:t>.</w:t>
      </w:r>
      <w:r w:rsidRPr="006418E2">
        <w:rPr>
          <w:bCs/>
        </w:rPr>
        <w:t xml:space="preserve">” </w:t>
      </w:r>
      <w:r w:rsidRPr="006418E2">
        <w:rPr>
          <w:bCs/>
        </w:rPr>
        <w:t xml:space="preserve"> </w:t>
      </w:r>
      <w:r w:rsidRPr="006418E2">
        <w:rPr>
          <w:bCs/>
        </w:rPr>
        <w:t>(</w:t>
      </w:r>
      <w:r w:rsidRPr="006418E2">
        <w:rPr>
          <w:bCs/>
        </w:rPr>
        <w:t>§ 995, subd. (a)(2)</w:t>
      </w:r>
      <w:r w:rsidRPr="006418E2">
        <w:rPr>
          <w:bCs/>
        </w:rPr>
        <w:t>.)</w:t>
      </w:r>
    </w:p>
    <w:p w14:paraId="577CBF83" w14:textId="77777777" w:rsidR="00932EE2" w:rsidRPr="006418E2" w:rsidRDefault="00932EE2" w:rsidP="006418E2">
      <w:pPr>
        <w:rPr>
          <w:bCs/>
        </w:rPr>
      </w:pPr>
      <w:r w:rsidRPr="006418E2">
        <w:rPr>
          <w:bCs/>
        </w:rPr>
        <w:tab/>
      </w:r>
      <w:r w:rsidRPr="006418E2">
        <w:rPr>
          <w:bCs/>
        </w:rPr>
        <w:t xml:space="preserve">An information will not be set aside based on “some irregularity or minor error in procedure in the preliminary examination” but “where it appears that, during the course of the preliminary examination, </w:t>
      </w:r>
      <w:r w:rsidRPr="006418E2">
        <w:rPr>
          <w:bCs/>
          <w:i/>
          <w:iCs/>
        </w:rPr>
        <w:t>the defendant has been denied a substantial right</w:t>
      </w:r>
      <w:r w:rsidRPr="006418E2">
        <w:rPr>
          <w:bCs/>
        </w:rPr>
        <w:t xml:space="preserve">, the commitment is unlawful within the meaning of section 995, and it must be set aside upon </w:t>
      </w:r>
      <w:r w:rsidRPr="006418E2">
        <w:rPr>
          <w:bCs/>
        </w:rPr>
        <w:lastRenderedPageBreak/>
        <w:t>timely motion.”</w:t>
      </w:r>
      <w:r w:rsidRPr="006418E2">
        <w:rPr>
          <w:bCs/>
        </w:rPr>
        <w:t xml:space="preserve"> </w:t>
      </w:r>
      <w:r w:rsidRPr="006418E2">
        <w:rPr>
          <w:bCs/>
        </w:rPr>
        <w:t xml:space="preserve"> (</w:t>
      </w:r>
      <w:r w:rsidRPr="006418E2">
        <w:rPr>
          <w:bCs/>
          <w:i/>
          <w:iCs/>
        </w:rPr>
        <w:t>Jennings v. Superior Court</w:t>
      </w:r>
      <w:r w:rsidRPr="006418E2">
        <w:rPr>
          <w:bCs/>
        </w:rPr>
        <w:t xml:space="preserve"> (1967) 66 Cal.2d 867, 874, citations omitted, italics in original</w:t>
      </w:r>
      <w:r w:rsidRPr="006418E2">
        <w:rPr>
          <w:bCs/>
        </w:rPr>
        <w:t xml:space="preserve"> (</w:t>
      </w:r>
      <w:r w:rsidRPr="006418E2">
        <w:rPr>
          <w:bCs/>
          <w:i/>
          <w:iCs/>
        </w:rPr>
        <w:t>Jennings</w:t>
      </w:r>
      <w:r w:rsidRPr="006418E2">
        <w:rPr>
          <w:bCs/>
        </w:rPr>
        <w:t>)</w:t>
      </w:r>
      <w:r w:rsidRPr="006418E2">
        <w:rPr>
          <w:bCs/>
        </w:rPr>
        <w:t>.)</w:t>
      </w:r>
      <w:r>
        <w:rPr>
          <w:rStyle w:val="FootnoteReference"/>
          <w:bCs/>
        </w:rPr>
        <w:footnoteReference w:id="13"/>
      </w:r>
      <w:r w:rsidRPr="006418E2">
        <w:rPr>
          <w:bCs/>
        </w:rPr>
        <w:t xml:space="preserve"> </w:t>
      </w:r>
      <w:r w:rsidRPr="006418E2">
        <w:rPr>
          <w:bCs/>
        </w:rPr>
        <w:t xml:space="preserve"> </w:t>
      </w:r>
      <w:r w:rsidRPr="006418E2">
        <w:rPr>
          <w:bCs/>
        </w:rPr>
        <w:t xml:space="preserve">The California </w:t>
      </w:r>
      <w:r w:rsidRPr="006418E2">
        <w:rPr>
          <w:bCs/>
        </w:rPr>
        <w:t xml:space="preserve">Supreme Court </w:t>
      </w:r>
      <w:r w:rsidRPr="006418E2">
        <w:rPr>
          <w:bCs/>
        </w:rPr>
        <w:t xml:space="preserve">subsequently </w:t>
      </w:r>
      <w:r w:rsidRPr="006418E2">
        <w:rPr>
          <w:bCs/>
        </w:rPr>
        <w:t>“appl[</w:t>
      </w:r>
      <w:proofErr w:type="spellStart"/>
      <w:r w:rsidRPr="006418E2">
        <w:rPr>
          <w:bCs/>
        </w:rPr>
        <w:t>ied</w:t>
      </w:r>
      <w:proofErr w:type="spellEnd"/>
      <w:r w:rsidRPr="006418E2">
        <w:rPr>
          <w:bCs/>
        </w:rPr>
        <w:t xml:space="preserve">] the lesson of </w:t>
      </w:r>
      <w:r w:rsidRPr="006418E2">
        <w:rPr>
          <w:bCs/>
          <w:i/>
          <w:iCs/>
        </w:rPr>
        <w:t>Jennings</w:t>
      </w:r>
      <w:r w:rsidRPr="006418E2">
        <w:rPr>
          <w:bCs/>
        </w:rPr>
        <w:t xml:space="preserve"> … to hold that a defendant is denied a substantial right affecting the legality of the commitment when he or she is subjected to prejudicial error, that is, error that reasonably might have affected the outcome [citation].” </w:t>
      </w:r>
      <w:r w:rsidRPr="006418E2">
        <w:rPr>
          <w:bCs/>
        </w:rPr>
        <w:t xml:space="preserve"> </w:t>
      </w:r>
      <w:r w:rsidRPr="006418E2">
        <w:rPr>
          <w:bCs/>
        </w:rPr>
        <w:t>(</w:t>
      </w:r>
      <w:r w:rsidRPr="006418E2">
        <w:rPr>
          <w:bCs/>
          <w:i/>
          <w:iCs/>
        </w:rPr>
        <w:t>Konow</w:t>
      </w:r>
      <w:r w:rsidRPr="006418E2">
        <w:rPr>
          <w:bCs/>
        </w:rPr>
        <w:t xml:space="preserve">, </w:t>
      </w:r>
      <w:r w:rsidRPr="006418E2">
        <w:rPr>
          <w:bCs/>
          <w:i/>
          <w:iCs/>
        </w:rPr>
        <w:t>supra</w:t>
      </w:r>
      <w:r w:rsidRPr="006418E2">
        <w:rPr>
          <w:bCs/>
        </w:rPr>
        <w:t>,</w:t>
      </w:r>
      <w:r w:rsidRPr="006418E2">
        <w:rPr>
          <w:bCs/>
        </w:rPr>
        <w:t xml:space="preserve"> </w:t>
      </w:r>
      <w:bookmarkStart w:id="10" w:name="_Hlk170390788"/>
      <w:r w:rsidRPr="006418E2">
        <w:rPr>
          <w:bCs/>
        </w:rPr>
        <w:t>32 Cal.4th</w:t>
      </w:r>
      <w:bookmarkEnd w:id="10"/>
      <w:r w:rsidRPr="006418E2">
        <w:rPr>
          <w:bCs/>
        </w:rPr>
        <w:t xml:space="preserve"> </w:t>
      </w:r>
      <w:r w:rsidRPr="006418E2">
        <w:rPr>
          <w:bCs/>
        </w:rPr>
        <w:t xml:space="preserve">at p. </w:t>
      </w:r>
      <w:r w:rsidRPr="006418E2">
        <w:rPr>
          <w:bCs/>
        </w:rPr>
        <w:t xml:space="preserve">1024.) </w:t>
      </w:r>
      <w:r w:rsidRPr="006418E2">
        <w:rPr>
          <w:bCs/>
        </w:rPr>
        <w:t xml:space="preserve"> </w:t>
      </w:r>
      <w:r w:rsidRPr="006418E2">
        <w:rPr>
          <w:bCs/>
        </w:rPr>
        <w:t xml:space="preserve">Two years later, </w:t>
      </w:r>
      <w:r w:rsidRPr="006418E2">
        <w:rPr>
          <w:bCs/>
        </w:rPr>
        <w:t xml:space="preserve">the Supreme Court clarified, “[W]e </w:t>
      </w:r>
      <w:proofErr w:type="gramStart"/>
      <w:r w:rsidRPr="006418E2">
        <w:rPr>
          <w:bCs/>
        </w:rPr>
        <w:t>do</w:t>
      </w:r>
      <w:proofErr w:type="gramEnd"/>
      <w:r w:rsidRPr="006418E2">
        <w:rPr>
          <w:bCs/>
        </w:rPr>
        <w:t xml:space="preserve"> not mean that the defendant must demonstrate that it is reasonably probable he or she would not have been held to answer in the absence of the error.  Rather, the defendant</w:t>
      </w:r>
      <w:r w:rsidRPr="006418E2">
        <w:rPr>
          <w:bCs/>
        </w:rPr>
        <w:t>’</w:t>
      </w:r>
      <w:r w:rsidRPr="006418E2">
        <w:rPr>
          <w:bCs/>
        </w:rPr>
        <w:t>s substantial righ</w:t>
      </w:r>
      <w:r w:rsidRPr="006418E2">
        <w:rPr>
          <w:bCs/>
        </w:rPr>
        <w:t xml:space="preserve">ts are violated when the error is not minor but ‘reasonably </w:t>
      </w:r>
      <w:r w:rsidRPr="006418E2">
        <w:rPr>
          <w:bCs/>
          <w:i/>
          <w:iCs/>
        </w:rPr>
        <w:t>might</w:t>
      </w:r>
      <w:r w:rsidRPr="006418E2">
        <w:rPr>
          <w:bCs/>
        </w:rPr>
        <w:t xml:space="preserve"> have affected the outcome’ in the </w:t>
      </w:r>
      <w:proofErr w:type="gramStart"/>
      <w:r w:rsidRPr="006418E2">
        <w:rPr>
          <w:bCs/>
        </w:rPr>
        <w:t>particular case</w:t>
      </w:r>
      <w:proofErr w:type="gramEnd"/>
      <w:r w:rsidRPr="006418E2">
        <w:rPr>
          <w:bCs/>
        </w:rPr>
        <w:t xml:space="preserve">.  </w:t>
      </w:r>
      <w:r w:rsidRPr="006418E2">
        <w:rPr>
          <w:bCs/>
        </w:rPr>
        <w:t>[Citation.]</w:t>
      </w:r>
      <w:r w:rsidRPr="006418E2">
        <w:rPr>
          <w:bCs/>
        </w:rPr>
        <w:t>”  (</w:t>
      </w:r>
      <w:r w:rsidRPr="006418E2">
        <w:rPr>
          <w:bCs/>
          <w:i/>
          <w:iCs/>
        </w:rPr>
        <w:t>Standish</w:t>
      </w:r>
      <w:r>
        <w:rPr>
          <w:bCs/>
        </w:rPr>
        <w:t xml:space="preserve">, </w:t>
      </w:r>
      <w:r w:rsidRPr="00AF4103">
        <w:rPr>
          <w:bCs/>
          <w:i/>
          <w:iCs/>
        </w:rPr>
        <w:t>supra</w:t>
      </w:r>
      <w:r>
        <w:rPr>
          <w:bCs/>
        </w:rPr>
        <w:t>,</w:t>
      </w:r>
      <w:r>
        <w:rPr>
          <w:bCs/>
        </w:rPr>
        <w:t xml:space="preserve"> </w:t>
      </w:r>
      <w:r w:rsidRPr="006418E2">
        <w:rPr>
          <w:bCs/>
        </w:rPr>
        <w:t>38 Cal.4th</w:t>
      </w:r>
      <w:r w:rsidRPr="006418E2">
        <w:rPr>
          <w:bCs/>
        </w:rPr>
        <w:t xml:space="preserve"> </w:t>
      </w:r>
      <w:r>
        <w:rPr>
          <w:bCs/>
        </w:rPr>
        <w:t>at pp.</w:t>
      </w:r>
      <w:r w:rsidRPr="006418E2">
        <w:rPr>
          <w:bCs/>
        </w:rPr>
        <w:t xml:space="preserve"> 882–883.) </w:t>
      </w:r>
    </w:p>
    <w:p w14:paraId="67CBF5E1" w14:textId="77777777" w:rsidR="00932EE2" w:rsidRPr="006418E2" w:rsidRDefault="00932EE2" w:rsidP="006418E2">
      <w:pPr>
        <w:rPr>
          <w:bCs/>
        </w:rPr>
      </w:pPr>
      <w:r w:rsidRPr="006418E2">
        <w:rPr>
          <w:bCs/>
        </w:rPr>
        <w:tab/>
      </w:r>
      <w:r w:rsidRPr="006418E2">
        <w:rPr>
          <w:bCs/>
        </w:rPr>
        <w:t>B</w:t>
      </w:r>
      <w:r w:rsidRPr="006418E2">
        <w:rPr>
          <w:bCs/>
        </w:rPr>
        <w:t xml:space="preserve">oth </w:t>
      </w:r>
      <w:r w:rsidRPr="006418E2">
        <w:rPr>
          <w:bCs/>
          <w:i/>
          <w:iCs/>
        </w:rPr>
        <w:t>Konow</w:t>
      </w:r>
      <w:r w:rsidRPr="006418E2">
        <w:rPr>
          <w:bCs/>
        </w:rPr>
        <w:t xml:space="preserve"> and </w:t>
      </w:r>
      <w:r w:rsidRPr="006418E2">
        <w:rPr>
          <w:bCs/>
          <w:i/>
          <w:iCs/>
        </w:rPr>
        <w:t>Standish</w:t>
      </w:r>
      <w:r w:rsidRPr="006418E2">
        <w:rPr>
          <w:bCs/>
        </w:rPr>
        <w:t xml:space="preserve"> rely on </w:t>
      </w:r>
      <w:r w:rsidRPr="006418E2">
        <w:rPr>
          <w:bCs/>
          <w:i/>
          <w:iCs/>
        </w:rPr>
        <w:t>People v. Pompa-Ortiz</w:t>
      </w:r>
      <w:r w:rsidRPr="006418E2">
        <w:rPr>
          <w:bCs/>
        </w:rPr>
        <w:t xml:space="preserve"> (1980) 27 Cal.3d </w:t>
      </w:r>
      <w:r w:rsidRPr="006418E2">
        <w:rPr>
          <w:bCs/>
        </w:rPr>
        <w:t>519 (</w:t>
      </w:r>
      <w:r w:rsidRPr="006418E2">
        <w:rPr>
          <w:bCs/>
          <w:i/>
          <w:iCs/>
        </w:rPr>
        <w:t>Pompa-Ortiz</w:t>
      </w:r>
      <w:r w:rsidRPr="006418E2">
        <w:rPr>
          <w:bCs/>
        </w:rPr>
        <w:t xml:space="preserve">) in </w:t>
      </w:r>
      <w:r w:rsidRPr="006418E2">
        <w:rPr>
          <w:bCs/>
        </w:rPr>
        <w:t>addressing</w:t>
      </w:r>
      <w:r w:rsidRPr="006418E2">
        <w:rPr>
          <w:bCs/>
        </w:rPr>
        <w:t xml:space="preserve"> </w:t>
      </w:r>
      <w:r w:rsidRPr="006418E2">
        <w:rPr>
          <w:bCs/>
        </w:rPr>
        <w:t>claim</w:t>
      </w:r>
      <w:r w:rsidRPr="006418E2">
        <w:rPr>
          <w:bCs/>
        </w:rPr>
        <w:t>s</w:t>
      </w:r>
      <w:r w:rsidRPr="006418E2">
        <w:rPr>
          <w:bCs/>
        </w:rPr>
        <w:t xml:space="preserve"> of error </w:t>
      </w:r>
      <w:r w:rsidRPr="006418E2">
        <w:rPr>
          <w:bCs/>
        </w:rPr>
        <w:t xml:space="preserve">that occur </w:t>
      </w:r>
      <w:r w:rsidRPr="006418E2">
        <w:rPr>
          <w:bCs/>
        </w:rPr>
        <w:t>at the preliminary examination.</w:t>
      </w:r>
      <w:r>
        <w:rPr>
          <w:bCs/>
          <w:vertAlign w:val="superscript"/>
        </w:rPr>
        <w:footnoteReference w:id="14"/>
      </w:r>
      <w:r w:rsidRPr="006418E2">
        <w:rPr>
          <w:bCs/>
        </w:rPr>
        <w:t xml:space="preserve">  In </w:t>
      </w:r>
      <w:r w:rsidRPr="006418E2">
        <w:rPr>
          <w:bCs/>
          <w:i/>
          <w:iCs/>
        </w:rPr>
        <w:t>Pompa-Ortiz</w:t>
      </w:r>
      <w:r w:rsidRPr="006418E2">
        <w:rPr>
          <w:bCs/>
        </w:rPr>
        <w:t xml:space="preserve">, the California Supreme Court, addressing a postconviction challenge to irregularities affecting a criminal defendant’s preliminary hearing rights, held that “irregularities in the preliminary examination procedures which are not jurisdictional in the fundamental sense shall be reviewed under the appropriate standard of prejudicial </w:t>
      </w:r>
      <w:r w:rsidRPr="006418E2">
        <w:rPr>
          <w:bCs/>
        </w:rPr>
        <w:lastRenderedPageBreak/>
        <w:t xml:space="preserve">error and shall require reversal only if defendant can show that he was deprived of a fair trial or otherwise suffered prejudice as a result of the error at the </w:t>
      </w:r>
      <w:r w:rsidRPr="006418E2">
        <w:rPr>
          <w:bCs/>
        </w:rPr>
        <w:t>preliminary examination.</w:t>
      </w:r>
      <w:r w:rsidRPr="006418E2">
        <w:rPr>
          <w:bCs/>
        </w:rPr>
        <w:t xml:space="preserve">  The right to relief without any showing of prejudice will be limited to pretrial challenges of irregularities.”  </w:t>
      </w:r>
      <w:r w:rsidRPr="006418E2">
        <w:rPr>
          <w:bCs/>
        </w:rPr>
        <w:t>(</w:t>
      </w:r>
      <w:r w:rsidRPr="006418E2">
        <w:rPr>
          <w:bCs/>
          <w:i/>
          <w:iCs/>
        </w:rPr>
        <w:t>Id</w:t>
      </w:r>
      <w:r w:rsidRPr="006418E2">
        <w:rPr>
          <w:bCs/>
        </w:rPr>
        <w:t xml:space="preserve">. at p. 529.)  </w:t>
      </w:r>
      <w:r w:rsidRPr="006418E2">
        <w:rPr>
          <w:bCs/>
        </w:rPr>
        <w:t>“As </w:t>
      </w:r>
      <w:r w:rsidRPr="006418E2">
        <w:rPr>
          <w:bCs/>
          <w:i/>
          <w:iCs/>
        </w:rPr>
        <w:t>Pompa-Ortiz</w:t>
      </w:r>
      <w:r w:rsidRPr="006418E2">
        <w:rPr>
          <w:bCs/>
        </w:rPr>
        <w:t xml:space="preserve"> makes clear, the rule requiring a showing of prejudice does not apply when the denial of a substantial right at the preliminary hearing stage of the proceedings is challenged before the defendant’s trial and conviction.  When the challenge is made before the defendant’s trial and conviction, the rule </w:t>
      </w:r>
      <w:proofErr w:type="gramStart"/>
      <w:r w:rsidRPr="006418E2">
        <w:rPr>
          <w:bCs/>
        </w:rPr>
        <w:t>remains</w:t>
      </w:r>
      <w:proofErr w:type="gramEnd"/>
      <w:r w:rsidRPr="006418E2">
        <w:rPr>
          <w:bCs/>
        </w:rPr>
        <w:t xml:space="preserve"> the information must be set a</w:t>
      </w:r>
      <w:r w:rsidRPr="006418E2">
        <w:rPr>
          <w:bCs/>
        </w:rPr>
        <w:t>side without any affirmative showing of prejudice.  If the issue is raised before trial, the court reaffirmed in </w:t>
      </w:r>
      <w:r w:rsidRPr="006418E2">
        <w:rPr>
          <w:bCs/>
          <w:i/>
          <w:iCs/>
        </w:rPr>
        <w:t>Pompa-Ortiz</w:t>
      </w:r>
      <w:r w:rsidRPr="006418E2">
        <w:rPr>
          <w:bCs/>
        </w:rPr>
        <w:t xml:space="preserve">, ‘prejudice is </w:t>
      </w:r>
      <w:proofErr w:type="gramStart"/>
      <w:r w:rsidRPr="006418E2">
        <w:rPr>
          <w:bCs/>
        </w:rPr>
        <w:t>presumed</w:t>
      </w:r>
      <w:proofErr w:type="gramEnd"/>
      <w:r w:rsidRPr="006418E2">
        <w:rPr>
          <w:bCs/>
        </w:rPr>
        <w:t xml:space="preserve"> and the information is dismissed’ without any affirmative showing.  (</w:t>
      </w:r>
      <w:r w:rsidRPr="006418E2">
        <w:rPr>
          <w:bCs/>
          <w:i/>
          <w:iCs/>
        </w:rPr>
        <w:t>Pompa-Ortiz</w:t>
      </w:r>
      <w:r w:rsidRPr="006418E2">
        <w:rPr>
          <w:bCs/>
        </w:rPr>
        <w:t xml:space="preserve">, </w:t>
      </w:r>
      <w:r w:rsidRPr="006418E2">
        <w:rPr>
          <w:bCs/>
          <w:i/>
          <w:iCs/>
        </w:rPr>
        <w:t>supra</w:t>
      </w:r>
      <w:r w:rsidRPr="006418E2">
        <w:rPr>
          <w:bCs/>
        </w:rPr>
        <w:t>, 27 Cal.3d at pp. 529, 530.)”  (</w:t>
      </w:r>
      <w:r w:rsidRPr="006418E2">
        <w:rPr>
          <w:bCs/>
          <w:i/>
          <w:iCs/>
        </w:rPr>
        <w:t>Harris v. Superior Court</w:t>
      </w:r>
      <w:r w:rsidRPr="006418E2">
        <w:rPr>
          <w:bCs/>
        </w:rPr>
        <w:t xml:space="preserve"> (2014) 225 Cal.App.4th</w:t>
      </w:r>
      <w:r w:rsidRPr="006418E2">
        <w:rPr>
          <w:bCs/>
          <w:i/>
          <w:iCs/>
        </w:rPr>
        <w:t xml:space="preserve"> </w:t>
      </w:r>
      <w:r w:rsidRPr="006418E2">
        <w:rPr>
          <w:bCs/>
        </w:rPr>
        <w:t>1129, 1147.)</w:t>
      </w:r>
    </w:p>
    <w:p w14:paraId="16A4AB28" w14:textId="77777777" w:rsidR="00932EE2" w:rsidRPr="006418E2" w:rsidRDefault="00932EE2" w:rsidP="006418E2">
      <w:pPr>
        <w:rPr>
          <w:bCs/>
        </w:rPr>
      </w:pPr>
      <w:r w:rsidRPr="006418E2">
        <w:rPr>
          <w:bCs/>
        </w:rPr>
        <w:tab/>
        <w:t>The Supreme Court subsequently clarified that, in the context of pre-trial proceedings such as preliminary examinations, “a right is substantial when denial of the right results in a denial of due process.”  (</w:t>
      </w:r>
      <w:r w:rsidRPr="006418E2">
        <w:rPr>
          <w:bCs/>
          <w:i/>
          <w:iCs/>
        </w:rPr>
        <w:t>Avitia v. Superior Court</w:t>
      </w:r>
      <w:r w:rsidRPr="006418E2">
        <w:rPr>
          <w:bCs/>
        </w:rPr>
        <w:t xml:space="preserve"> (2018) 6 Cal.5th 486, 494 (</w:t>
      </w:r>
      <w:r w:rsidRPr="006418E2">
        <w:rPr>
          <w:bCs/>
          <w:i/>
          <w:iCs/>
        </w:rPr>
        <w:t>Avitia</w:t>
      </w:r>
      <w:r w:rsidRPr="006418E2">
        <w:rPr>
          <w:bCs/>
        </w:rPr>
        <w:t>).)  “[W]e hold that outside a narrow category of errors that ‘by their nature constitute a denial of a substantial right’ and hence require dismissal ‘without any showing of prejudice,’ a defendant seeking to set aside an indictment before trial must show that an error ‘reasonably might have affected the outcome.’  [Citation.]”  (</w:t>
      </w:r>
      <w:r w:rsidRPr="006418E2">
        <w:rPr>
          <w:bCs/>
          <w:i/>
          <w:iCs/>
        </w:rPr>
        <w:t>Id</w:t>
      </w:r>
      <w:r w:rsidRPr="006418E2">
        <w:rPr>
          <w:bCs/>
        </w:rPr>
        <w:t>. at p. 497.)</w:t>
      </w:r>
      <w:r w:rsidRPr="006418E2">
        <w:rPr>
          <w:bCs/>
        </w:rPr>
        <w:t xml:space="preserve"> </w:t>
      </w:r>
      <w:r w:rsidRPr="006418E2">
        <w:rPr>
          <w:bCs/>
        </w:rPr>
        <w:t xml:space="preserve"> </w:t>
      </w:r>
      <w:r w:rsidRPr="006418E2">
        <w:rPr>
          <w:bCs/>
        </w:rPr>
        <w:t>“At a preliminary hearing, ‘[s]</w:t>
      </w:r>
      <w:proofErr w:type="spellStart"/>
      <w:r w:rsidRPr="006418E2">
        <w:rPr>
          <w:bCs/>
        </w:rPr>
        <w:t>ubstantial</w:t>
      </w:r>
      <w:proofErr w:type="spellEnd"/>
      <w:r w:rsidRPr="006418E2">
        <w:rPr>
          <w:bCs/>
        </w:rPr>
        <w:t xml:space="preserve"> rights within the meaning of section 995 have been held to inc</w:t>
      </w:r>
      <w:r w:rsidRPr="006418E2">
        <w:rPr>
          <w:bCs/>
        </w:rPr>
        <w:t xml:space="preserve">lude the right to counsel, </w:t>
      </w:r>
      <w:proofErr w:type="gramStart"/>
      <w:r w:rsidRPr="006418E2">
        <w:rPr>
          <w:bCs/>
        </w:rPr>
        <w:t>cross-examination</w:t>
      </w:r>
      <w:proofErr w:type="gramEnd"/>
      <w:r w:rsidRPr="006418E2">
        <w:rPr>
          <w:bCs/>
        </w:rPr>
        <w:t xml:space="preserve"> and the presentation of an affirmative defense at the preliminary hearing, and substantial procedural rights such as the statutory right to complete the hearing in one session and to have a closed hearing. [Citations.].</w:t>
      </w:r>
      <w:proofErr w:type="gramStart"/>
      <w:r w:rsidRPr="006418E2">
        <w:rPr>
          <w:bCs/>
        </w:rPr>
        <w:t xml:space="preserve">’ </w:t>
      </w:r>
      <w:r w:rsidRPr="006418E2">
        <w:rPr>
          <w:bCs/>
        </w:rPr>
        <w:t>”</w:t>
      </w:r>
      <w:proofErr w:type="gramEnd"/>
      <w:r w:rsidRPr="006418E2">
        <w:rPr>
          <w:bCs/>
        </w:rPr>
        <w:t xml:space="preserve"> </w:t>
      </w:r>
      <w:r w:rsidRPr="006418E2">
        <w:rPr>
          <w:bCs/>
        </w:rPr>
        <w:t xml:space="preserve"> </w:t>
      </w:r>
      <w:r w:rsidRPr="006418E2">
        <w:rPr>
          <w:bCs/>
        </w:rPr>
        <w:t>(</w:t>
      </w:r>
      <w:r w:rsidRPr="006418E2">
        <w:rPr>
          <w:bCs/>
          <w:i/>
          <w:iCs/>
        </w:rPr>
        <w:t>Jackson v. Superior Court</w:t>
      </w:r>
      <w:r w:rsidRPr="006418E2">
        <w:rPr>
          <w:bCs/>
        </w:rPr>
        <w:t xml:space="preserve"> (2018) 25 Cal.App.5th 515</w:t>
      </w:r>
      <w:r w:rsidRPr="006418E2">
        <w:rPr>
          <w:bCs/>
        </w:rPr>
        <w:t>,</w:t>
      </w:r>
      <w:r w:rsidRPr="006418E2">
        <w:rPr>
          <w:bCs/>
        </w:rPr>
        <w:t xml:space="preserve"> </w:t>
      </w:r>
      <w:r w:rsidRPr="006418E2">
        <w:rPr>
          <w:bCs/>
        </w:rPr>
        <w:t>537.)</w:t>
      </w:r>
      <w:r w:rsidRPr="006418E2">
        <w:rPr>
          <w:bCs/>
        </w:rPr>
        <w:t xml:space="preserve"> </w:t>
      </w:r>
    </w:p>
    <w:p w14:paraId="4646DF05" w14:textId="77777777" w:rsidR="00932EE2" w:rsidRPr="006418E2" w:rsidRDefault="00932EE2" w:rsidP="009C7FB3">
      <w:pPr>
        <w:keepNext/>
        <w:spacing w:before="120" w:line="240" w:lineRule="auto"/>
        <w:ind w:left="936" w:hanging="216"/>
        <w:rPr>
          <w:bCs/>
          <w:sz w:val="25"/>
          <w:szCs w:val="25"/>
        </w:rPr>
      </w:pPr>
      <w:r w:rsidRPr="006418E2">
        <w:rPr>
          <w:b/>
          <w:bCs/>
          <w:i/>
          <w:iCs/>
          <w:sz w:val="25"/>
          <w:szCs w:val="25"/>
        </w:rPr>
        <w:lastRenderedPageBreak/>
        <w:t xml:space="preserve">B. </w:t>
      </w:r>
      <w:r w:rsidRPr="006418E2">
        <w:rPr>
          <w:b/>
          <w:bCs/>
          <w:i/>
          <w:iCs/>
          <w:sz w:val="25"/>
          <w:szCs w:val="25"/>
        </w:rPr>
        <w:t>C</w:t>
      </w:r>
      <w:r w:rsidRPr="006418E2">
        <w:rPr>
          <w:b/>
          <w:bCs/>
          <w:i/>
          <w:iCs/>
          <w:sz w:val="25"/>
          <w:szCs w:val="25"/>
        </w:rPr>
        <w:t>riminal defendants</w:t>
      </w:r>
      <w:r w:rsidRPr="006418E2">
        <w:rPr>
          <w:b/>
          <w:bCs/>
          <w:i/>
          <w:iCs/>
          <w:sz w:val="25"/>
          <w:szCs w:val="25"/>
        </w:rPr>
        <w:t xml:space="preserve"> </w:t>
      </w:r>
      <w:r w:rsidRPr="006418E2">
        <w:rPr>
          <w:b/>
          <w:bCs/>
          <w:i/>
          <w:iCs/>
          <w:sz w:val="25"/>
          <w:szCs w:val="25"/>
        </w:rPr>
        <w:t>have a r</w:t>
      </w:r>
      <w:r w:rsidRPr="006418E2">
        <w:rPr>
          <w:b/>
          <w:bCs/>
          <w:i/>
          <w:iCs/>
          <w:sz w:val="25"/>
          <w:szCs w:val="25"/>
        </w:rPr>
        <w:t xml:space="preserve">ight to an </w:t>
      </w:r>
      <w:r w:rsidRPr="006418E2">
        <w:rPr>
          <w:b/>
          <w:bCs/>
          <w:i/>
          <w:iCs/>
          <w:sz w:val="25"/>
          <w:szCs w:val="25"/>
        </w:rPr>
        <w:t xml:space="preserve">individual </w:t>
      </w:r>
      <w:r w:rsidRPr="006418E2">
        <w:rPr>
          <w:b/>
          <w:bCs/>
          <w:i/>
          <w:iCs/>
          <w:sz w:val="25"/>
          <w:szCs w:val="25"/>
        </w:rPr>
        <w:t>interpreter</w:t>
      </w:r>
      <w:r w:rsidRPr="006418E2">
        <w:rPr>
          <w:b/>
          <w:bCs/>
          <w:i/>
          <w:iCs/>
          <w:sz w:val="25"/>
          <w:szCs w:val="25"/>
        </w:rPr>
        <w:t xml:space="preserve"> at a preliminary </w:t>
      </w:r>
      <w:r w:rsidRPr="006418E2">
        <w:rPr>
          <w:b/>
          <w:bCs/>
          <w:i/>
          <w:iCs/>
          <w:sz w:val="25"/>
          <w:szCs w:val="25"/>
        </w:rPr>
        <w:t>examination</w:t>
      </w:r>
    </w:p>
    <w:p w14:paraId="27E69337" w14:textId="77777777" w:rsidR="00932EE2" w:rsidRPr="006418E2" w:rsidRDefault="00932EE2" w:rsidP="006418E2">
      <w:pPr>
        <w:rPr>
          <w:bCs/>
        </w:rPr>
      </w:pPr>
      <w:r w:rsidRPr="006418E2">
        <w:rPr>
          <w:bCs/>
          <w:sz w:val="25"/>
          <w:szCs w:val="25"/>
        </w:rPr>
        <w:tab/>
      </w:r>
      <w:r w:rsidRPr="006418E2">
        <w:rPr>
          <w:bCs/>
          <w:sz w:val="25"/>
          <w:szCs w:val="25"/>
        </w:rPr>
        <w:t xml:space="preserve">In California </w:t>
      </w:r>
      <w:r w:rsidRPr="006418E2">
        <w:rPr>
          <w:bCs/>
          <w:sz w:val="25"/>
          <w:szCs w:val="25"/>
        </w:rPr>
        <w:t>“</w:t>
      </w:r>
      <w:r w:rsidRPr="006418E2">
        <w:rPr>
          <w:bCs/>
          <w:sz w:val="25"/>
          <w:szCs w:val="25"/>
        </w:rPr>
        <w:t>[t]</w:t>
      </w:r>
      <w:r w:rsidRPr="006418E2">
        <w:rPr>
          <w:bCs/>
          <w:sz w:val="25"/>
          <w:szCs w:val="25"/>
        </w:rPr>
        <w:t xml:space="preserve">he right to an interpreter has its underpinnings in a number of state and federal constitutional rights.” </w:t>
      </w:r>
      <w:r w:rsidRPr="006418E2">
        <w:rPr>
          <w:bCs/>
          <w:sz w:val="25"/>
          <w:szCs w:val="25"/>
        </w:rPr>
        <w:t xml:space="preserve"> </w:t>
      </w:r>
      <w:r w:rsidRPr="006418E2">
        <w:rPr>
          <w:bCs/>
          <w:sz w:val="25"/>
          <w:szCs w:val="25"/>
        </w:rPr>
        <w:t>(</w:t>
      </w:r>
      <w:r w:rsidRPr="006418E2">
        <w:rPr>
          <w:bCs/>
          <w:i/>
          <w:iCs/>
          <w:sz w:val="25"/>
          <w:szCs w:val="25"/>
        </w:rPr>
        <w:t>Romero</w:t>
      </w:r>
      <w:r>
        <w:rPr>
          <w:bCs/>
          <w:i/>
          <w:iCs/>
          <w:sz w:val="25"/>
          <w:szCs w:val="25"/>
        </w:rPr>
        <w:t>, supra,</w:t>
      </w:r>
      <w:r w:rsidRPr="006418E2">
        <w:rPr>
          <w:bCs/>
          <w:sz w:val="25"/>
          <w:szCs w:val="25"/>
        </w:rPr>
        <w:t xml:space="preserve"> 4</w:t>
      </w:r>
      <w:r w:rsidRPr="006418E2">
        <w:rPr>
          <w:bCs/>
          <w:sz w:val="25"/>
          <w:szCs w:val="25"/>
        </w:rPr>
        <w:t>4</w:t>
      </w:r>
      <w:r w:rsidRPr="006418E2">
        <w:rPr>
          <w:bCs/>
          <w:sz w:val="25"/>
          <w:szCs w:val="25"/>
        </w:rPr>
        <w:t xml:space="preserve"> Cal.</w:t>
      </w:r>
      <w:r w:rsidRPr="006418E2">
        <w:rPr>
          <w:bCs/>
          <w:sz w:val="25"/>
          <w:szCs w:val="25"/>
        </w:rPr>
        <w:t>4th</w:t>
      </w:r>
      <w:r w:rsidRPr="006418E2">
        <w:rPr>
          <w:bCs/>
          <w:sz w:val="25"/>
          <w:szCs w:val="25"/>
        </w:rPr>
        <w:t xml:space="preserve"> </w:t>
      </w:r>
      <w:r>
        <w:rPr>
          <w:bCs/>
          <w:sz w:val="25"/>
          <w:szCs w:val="25"/>
        </w:rPr>
        <w:t>at p.</w:t>
      </w:r>
      <w:r w:rsidRPr="006418E2">
        <w:rPr>
          <w:bCs/>
          <w:sz w:val="25"/>
          <w:szCs w:val="25"/>
        </w:rPr>
        <w:t xml:space="preserve"> 410</w:t>
      </w:r>
      <w:r w:rsidRPr="006418E2">
        <w:rPr>
          <w:bCs/>
          <w:sz w:val="25"/>
          <w:szCs w:val="25"/>
        </w:rPr>
        <w:t>.)</w:t>
      </w:r>
      <w:r w:rsidRPr="001269BC">
        <w:rPr>
          <w:bCs/>
          <w:sz w:val="25"/>
          <w:szCs w:val="25"/>
        </w:rPr>
        <w:t xml:space="preserve"> </w:t>
      </w:r>
      <w:r w:rsidRPr="001269BC">
        <w:rPr>
          <w:bCs/>
          <w:sz w:val="25"/>
          <w:szCs w:val="25"/>
        </w:rPr>
        <w:t xml:space="preserve"> </w:t>
      </w:r>
      <w:r w:rsidRPr="006418E2">
        <w:rPr>
          <w:bCs/>
          <w:sz w:val="25"/>
          <w:szCs w:val="25"/>
        </w:rPr>
        <w:t xml:space="preserve">Specifically, </w:t>
      </w:r>
      <w:r w:rsidRPr="006418E2">
        <w:rPr>
          <w:bCs/>
        </w:rPr>
        <w:t>a</w:t>
      </w:r>
      <w:r w:rsidRPr="006418E2">
        <w:rPr>
          <w:bCs/>
        </w:rPr>
        <w:t xml:space="preserve">rticle I section 14 of the California Constitution provides that, “[a] person unable to understand English who is charged with a crime has a right to an interpreter throughout the proceedings.”  (Cal. Const., </w:t>
      </w:r>
      <w:r>
        <w:rPr>
          <w:bCs/>
        </w:rPr>
        <w:t>a</w:t>
      </w:r>
      <w:r w:rsidRPr="006418E2">
        <w:rPr>
          <w:bCs/>
        </w:rPr>
        <w:t>rt. I § 14.)  The right to an interpreter implicates several constitutional interests, including “the right of a defendant to due process, t</w:t>
      </w:r>
      <w:r w:rsidRPr="006418E2">
        <w:rPr>
          <w:bCs/>
        </w:rPr>
        <w:t>o confrontation, to effective assistance of counsel, and to be present at trial.”  (</w:t>
      </w:r>
      <w:r>
        <w:rPr>
          <w:bCs/>
          <w:i/>
          <w:iCs/>
        </w:rPr>
        <w:t xml:space="preserve">People v. </w:t>
      </w:r>
      <w:r w:rsidRPr="006418E2">
        <w:rPr>
          <w:bCs/>
          <w:i/>
          <w:iCs/>
        </w:rPr>
        <w:t>Rodriguez</w:t>
      </w:r>
      <w:r>
        <w:rPr>
          <w:bCs/>
          <w:i/>
          <w:iCs/>
        </w:rPr>
        <w:t>, supra,</w:t>
      </w:r>
      <w:r w:rsidRPr="006418E2">
        <w:rPr>
          <w:bCs/>
        </w:rPr>
        <w:t xml:space="preserve"> 42 Cal.3d </w:t>
      </w:r>
      <w:r>
        <w:rPr>
          <w:bCs/>
        </w:rPr>
        <w:t>at p.</w:t>
      </w:r>
      <w:r w:rsidRPr="006418E2">
        <w:rPr>
          <w:bCs/>
        </w:rPr>
        <w:t xml:space="preserve"> 1011.)  </w:t>
      </w:r>
    </w:p>
    <w:p w14:paraId="53AA7AFF" w14:textId="77777777" w:rsidR="00932EE2" w:rsidRPr="006418E2" w:rsidRDefault="00932EE2" w:rsidP="006418E2">
      <w:pPr>
        <w:rPr>
          <w:bCs/>
        </w:rPr>
      </w:pPr>
      <w:r w:rsidRPr="006418E2">
        <w:rPr>
          <w:bCs/>
        </w:rPr>
        <w:tab/>
      </w:r>
      <w:r w:rsidRPr="006418E2">
        <w:rPr>
          <w:bCs/>
        </w:rPr>
        <w:t>T</w:t>
      </w:r>
      <w:r w:rsidRPr="006418E2">
        <w:rPr>
          <w:bCs/>
        </w:rPr>
        <w:t>he California Supreme Court has made clear</w:t>
      </w:r>
      <w:r w:rsidRPr="006418E2">
        <w:rPr>
          <w:bCs/>
        </w:rPr>
        <w:t xml:space="preserve"> </w:t>
      </w:r>
      <w:r w:rsidRPr="006418E2">
        <w:rPr>
          <w:bCs/>
        </w:rPr>
        <w:t xml:space="preserve">“California’s Constitution does not provide a half measure of protection.  Rather, it requires that when an interpreter is appointed for a criminal defendant, that interpreter must be provided to aid the accused </w:t>
      </w:r>
      <w:r w:rsidRPr="006418E2">
        <w:rPr>
          <w:bCs/>
          <w:i/>
          <w:iCs/>
        </w:rPr>
        <w:t>during the whole course of the proceedings</w:t>
      </w:r>
      <w:r w:rsidRPr="006418E2">
        <w:rPr>
          <w:bCs/>
        </w:rPr>
        <w:t>.”  (</w:t>
      </w:r>
      <w:r w:rsidRPr="00FD7AE8">
        <w:rPr>
          <w:bCs/>
          <w:i/>
          <w:iCs/>
        </w:rPr>
        <w:t>People v.</w:t>
      </w:r>
      <w:r>
        <w:rPr>
          <w:bCs/>
        </w:rPr>
        <w:t xml:space="preserve"> </w:t>
      </w:r>
      <w:bookmarkStart w:id="11" w:name="_Hlk169777112"/>
      <w:r w:rsidRPr="006418E2">
        <w:rPr>
          <w:bCs/>
          <w:i/>
          <w:iCs/>
        </w:rPr>
        <w:t>Aguilar</w:t>
      </w:r>
      <w:r w:rsidRPr="006418E2">
        <w:rPr>
          <w:bCs/>
        </w:rPr>
        <w:t xml:space="preserve"> </w:t>
      </w:r>
      <w:bookmarkEnd w:id="11"/>
      <w:r>
        <w:rPr>
          <w:bCs/>
        </w:rPr>
        <w:t>(1984)</w:t>
      </w:r>
      <w:r w:rsidRPr="006418E2">
        <w:rPr>
          <w:bCs/>
        </w:rPr>
        <w:t xml:space="preserve"> </w:t>
      </w:r>
      <w:r w:rsidRPr="006418E2">
        <w:rPr>
          <w:bCs/>
        </w:rPr>
        <w:t>35 Cal.3d</w:t>
      </w:r>
      <w:r w:rsidRPr="006418E2">
        <w:rPr>
          <w:bCs/>
        </w:rPr>
        <w:t xml:space="preserve"> </w:t>
      </w:r>
      <w:r>
        <w:rPr>
          <w:bCs/>
        </w:rPr>
        <w:t>785, 790</w:t>
      </w:r>
      <w:r w:rsidRPr="006418E2">
        <w:rPr>
          <w:bCs/>
        </w:rPr>
        <w:t xml:space="preserve"> </w:t>
      </w:r>
      <w:r>
        <w:rPr>
          <w:bCs/>
        </w:rPr>
        <w:t>(</w:t>
      </w:r>
      <w:r w:rsidRPr="0048098B">
        <w:rPr>
          <w:bCs/>
          <w:i/>
          <w:iCs/>
        </w:rPr>
        <w:t>Aguilar</w:t>
      </w:r>
      <w:r>
        <w:rPr>
          <w:bCs/>
        </w:rPr>
        <w:t>)</w:t>
      </w:r>
      <w:r>
        <w:rPr>
          <w:bCs/>
        </w:rPr>
        <w:t xml:space="preserve">, </w:t>
      </w:r>
      <w:r w:rsidRPr="006418E2">
        <w:rPr>
          <w:bCs/>
        </w:rPr>
        <w:t>italics added</w:t>
      </w:r>
      <w:r w:rsidRPr="006418E2">
        <w:rPr>
          <w:bCs/>
        </w:rPr>
        <w:t>.)</w:t>
      </w:r>
      <w:r w:rsidRPr="006418E2">
        <w:rPr>
          <w:bCs/>
        </w:rPr>
        <w:t xml:space="preserve">  As </w:t>
      </w:r>
      <w:r w:rsidRPr="006418E2">
        <w:rPr>
          <w:bCs/>
        </w:rPr>
        <w:t xml:space="preserve">highlighted in </w:t>
      </w:r>
      <w:r w:rsidRPr="006418E2">
        <w:rPr>
          <w:bCs/>
          <w:i/>
          <w:iCs/>
        </w:rPr>
        <w:t>Aguilar</w:t>
      </w:r>
      <w:r w:rsidRPr="006418E2">
        <w:rPr>
          <w:bCs/>
        </w:rPr>
        <w:t>,</w:t>
      </w:r>
      <w:r w:rsidRPr="006418E2">
        <w:rPr>
          <w:bCs/>
        </w:rPr>
        <w:t xml:space="preserve"> “</w:t>
      </w:r>
      <w:r w:rsidRPr="006418E2">
        <w:rPr>
          <w:bCs/>
        </w:rPr>
        <w:t>[t]</w:t>
      </w:r>
      <w:r w:rsidRPr="006418E2">
        <w:rPr>
          <w:bCs/>
        </w:rPr>
        <w:t xml:space="preserve">he defendant’s right to understand the instructions and rulings of the judge, the questions and objections of defense counsel and the prosecution, as </w:t>
      </w:r>
      <w:r w:rsidRPr="006418E2">
        <w:rPr>
          <w:bCs/>
        </w:rPr>
        <w:t>well as the testimony of the witnesses is a continuous one.  At moments crucial to the defense—when evidentiary rulings and jury instructions are given by the court, when damaging testimony is being introduced—the non-English speaking defendant who is denied the assistance of an interpreter, is unable to communicate with the court or with counsel and is unable to understand and participate in the proceedings which hold the key to freedom.  Thus, the ‘borrowing’ of the interpreter, the accused’s only means o</w:t>
      </w:r>
      <w:r w:rsidRPr="006418E2">
        <w:rPr>
          <w:bCs/>
        </w:rPr>
        <w:t>f communicating with defense counsel and understanding the proceedings, was a denial of a constitutional right.”  (</w:t>
      </w:r>
      <w:bookmarkStart w:id="12" w:name="_Hlk169776979"/>
      <w:r w:rsidRPr="005B55FE">
        <w:rPr>
          <w:bCs/>
          <w:i/>
          <w:iCs/>
        </w:rPr>
        <w:t>Id</w:t>
      </w:r>
      <w:r>
        <w:rPr>
          <w:bCs/>
        </w:rPr>
        <w:t xml:space="preserve">. </w:t>
      </w:r>
      <w:bookmarkEnd w:id="12"/>
      <w:r w:rsidRPr="006418E2">
        <w:rPr>
          <w:bCs/>
        </w:rPr>
        <w:t>at pp. 790</w:t>
      </w:r>
      <w:r>
        <w:rPr>
          <w:bCs/>
        </w:rPr>
        <w:t>–</w:t>
      </w:r>
      <w:r w:rsidRPr="006418E2">
        <w:rPr>
          <w:bCs/>
        </w:rPr>
        <w:t xml:space="preserve">791.)  “Without an interpreter, the trial is reduced to ‘a babble of voices’ to the defendant.  [Citation.]  Sensitivity toward language difficulties is the hallmark of our multilingual state.  This sensitivity has been appropriately elevated to constitutional proportions when </w:t>
      </w:r>
      <w:r w:rsidRPr="006418E2">
        <w:rPr>
          <w:bCs/>
        </w:rPr>
        <w:lastRenderedPageBreak/>
        <w:t>the state, through the criminal process, places the life and liberty of the non-English speaker in jeopa</w:t>
      </w:r>
      <w:r w:rsidRPr="006418E2">
        <w:rPr>
          <w:bCs/>
        </w:rPr>
        <w:t>rdy.”  (</w:t>
      </w:r>
      <w:r w:rsidRPr="006418E2">
        <w:rPr>
          <w:bCs/>
          <w:i/>
          <w:iCs/>
        </w:rPr>
        <w:t>Id</w:t>
      </w:r>
      <w:r w:rsidRPr="006418E2">
        <w:rPr>
          <w:bCs/>
        </w:rPr>
        <w:t>. at p. 794.)</w:t>
      </w:r>
      <w:r w:rsidRPr="006418E2">
        <w:rPr>
          <w:bCs/>
        </w:rPr>
        <w:t xml:space="preserve"> </w:t>
      </w:r>
      <w:r w:rsidRPr="006418E2">
        <w:rPr>
          <w:bCs/>
        </w:rPr>
        <w:t xml:space="preserve"> </w:t>
      </w:r>
      <w:r w:rsidRPr="006418E2">
        <w:rPr>
          <w:bCs/>
        </w:rPr>
        <w:t>B</w:t>
      </w:r>
      <w:r w:rsidRPr="006418E2">
        <w:rPr>
          <w:bCs/>
        </w:rPr>
        <w:t xml:space="preserve">ecause the California </w:t>
      </w:r>
      <w:r w:rsidRPr="006418E2">
        <w:rPr>
          <w:bCs/>
        </w:rPr>
        <w:t xml:space="preserve">Supreme Court has determined </w:t>
      </w:r>
      <w:r w:rsidRPr="006418E2">
        <w:rPr>
          <w:bCs/>
        </w:rPr>
        <w:t xml:space="preserve">that the right to an individual interpreter </w:t>
      </w:r>
      <w:r w:rsidRPr="006418E2">
        <w:rPr>
          <w:bCs/>
        </w:rPr>
        <w:t xml:space="preserve">exists during the </w:t>
      </w:r>
      <w:r w:rsidRPr="006418E2">
        <w:rPr>
          <w:bCs/>
        </w:rPr>
        <w:t xml:space="preserve">entire course of </w:t>
      </w:r>
      <w:r w:rsidRPr="006418E2">
        <w:rPr>
          <w:bCs/>
        </w:rPr>
        <w:t>criminal</w:t>
      </w:r>
      <w:r w:rsidRPr="006418E2">
        <w:rPr>
          <w:bCs/>
        </w:rPr>
        <w:t xml:space="preserve"> proceedings</w:t>
      </w:r>
      <w:r>
        <w:rPr>
          <w:bCs/>
        </w:rPr>
        <w:t xml:space="preserve"> </w:t>
      </w:r>
      <w:r w:rsidRPr="006418E2">
        <w:rPr>
          <w:bCs/>
        </w:rPr>
        <w:t>(</w:t>
      </w:r>
      <w:r>
        <w:rPr>
          <w:bCs/>
          <w:i/>
          <w:iCs/>
        </w:rPr>
        <w:t>i</w:t>
      </w:r>
      <w:r w:rsidRPr="006418E2">
        <w:rPr>
          <w:bCs/>
          <w:i/>
          <w:iCs/>
        </w:rPr>
        <w:t>d</w:t>
      </w:r>
      <w:r w:rsidRPr="006418E2">
        <w:rPr>
          <w:bCs/>
        </w:rPr>
        <w:t>. at p. 790)</w:t>
      </w:r>
      <w:r w:rsidRPr="006418E2">
        <w:rPr>
          <w:bCs/>
        </w:rPr>
        <w:t xml:space="preserve">, </w:t>
      </w:r>
      <w:r w:rsidRPr="006418E2">
        <w:rPr>
          <w:bCs/>
        </w:rPr>
        <w:t xml:space="preserve">a defendant has the right to </w:t>
      </w:r>
      <w:proofErr w:type="gramStart"/>
      <w:r w:rsidRPr="006418E2">
        <w:rPr>
          <w:bCs/>
        </w:rPr>
        <w:t>an</w:t>
      </w:r>
      <w:proofErr w:type="gramEnd"/>
      <w:r w:rsidRPr="006418E2">
        <w:rPr>
          <w:bCs/>
        </w:rPr>
        <w:t xml:space="preserve"> </w:t>
      </w:r>
      <w:r w:rsidRPr="006418E2">
        <w:rPr>
          <w:bCs/>
        </w:rPr>
        <w:t xml:space="preserve">individual interpreter at the preliminary hearing </w:t>
      </w:r>
      <w:r w:rsidRPr="006418E2">
        <w:rPr>
          <w:bCs/>
        </w:rPr>
        <w:t xml:space="preserve">as well as </w:t>
      </w:r>
      <w:r w:rsidRPr="006418E2">
        <w:rPr>
          <w:bCs/>
        </w:rPr>
        <w:t xml:space="preserve">at </w:t>
      </w:r>
      <w:r w:rsidRPr="006418E2">
        <w:rPr>
          <w:bCs/>
        </w:rPr>
        <w:t>trial.</w:t>
      </w:r>
      <w:r w:rsidRPr="006418E2">
        <w:rPr>
          <w:bCs/>
        </w:rPr>
        <w:t xml:space="preserve">  </w:t>
      </w:r>
    </w:p>
    <w:p w14:paraId="4E3D768E" w14:textId="77777777" w:rsidR="00932EE2" w:rsidRPr="006418E2" w:rsidRDefault="00932EE2" w:rsidP="006418E2">
      <w:pPr>
        <w:rPr>
          <w:bCs/>
        </w:rPr>
      </w:pPr>
      <w:r w:rsidRPr="006418E2">
        <w:rPr>
          <w:bCs/>
        </w:rPr>
        <w:tab/>
      </w:r>
      <w:r w:rsidRPr="006418E2">
        <w:rPr>
          <w:bCs/>
        </w:rPr>
        <w:t>Under California law</w:t>
      </w:r>
      <w:r w:rsidRPr="006418E2">
        <w:rPr>
          <w:bCs/>
        </w:rPr>
        <w:t>,</w:t>
      </w:r>
      <w:r w:rsidRPr="006418E2">
        <w:rPr>
          <w:bCs/>
        </w:rPr>
        <w:t xml:space="preserve"> and contrary to </w:t>
      </w:r>
      <w:r w:rsidRPr="006418E2">
        <w:rPr>
          <w:bCs/>
        </w:rPr>
        <w:t>the trial court</w:t>
      </w:r>
      <w:r w:rsidRPr="006418E2">
        <w:rPr>
          <w:bCs/>
        </w:rPr>
        <w:t xml:space="preserve">’s </w:t>
      </w:r>
      <w:r w:rsidRPr="006418E2">
        <w:rPr>
          <w:bCs/>
        </w:rPr>
        <w:t>statement</w:t>
      </w:r>
      <w:r w:rsidRPr="006418E2">
        <w:rPr>
          <w:bCs/>
        </w:rPr>
        <w:t xml:space="preserve">, appointment of an individual interpreter to a criminal defendant during a preliminary hearing is not just </w:t>
      </w:r>
      <w:r w:rsidRPr="006418E2">
        <w:rPr>
          <w:bCs/>
        </w:rPr>
        <w:t>“</w:t>
      </w:r>
      <w:r w:rsidRPr="006418E2">
        <w:rPr>
          <w:bCs/>
        </w:rPr>
        <w:t xml:space="preserve">best </w:t>
      </w:r>
      <w:r w:rsidRPr="006418E2">
        <w:rPr>
          <w:bCs/>
        </w:rPr>
        <w:t>practices,</w:t>
      </w:r>
      <w:r w:rsidRPr="006418E2">
        <w:rPr>
          <w:bCs/>
        </w:rPr>
        <w:t>”</w:t>
      </w:r>
      <w:r w:rsidRPr="006418E2">
        <w:rPr>
          <w:bCs/>
        </w:rPr>
        <w:t xml:space="preserve"> it is </w:t>
      </w:r>
      <w:r w:rsidRPr="006418E2">
        <w:rPr>
          <w:bCs/>
        </w:rPr>
        <w:t>a constitutional right</w:t>
      </w:r>
      <w:r w:rsidRPr="006418E2">
        <w:rPr>
          <w:bCs/>
        </w:rPr>
        <w:t>.</w:t>
      </w:r>
      <w:r w:rsidRPr="006418E2">
        <w:rPr>
          <w:bCs/>
        </w:rPr>
        <w:t xml:space="preserve"> </w:t>
      </w:r>
      <w:r w:rsidRPr="006418E2">
        <w:rPr>
          <w:bCs/>
        </w:rPr>
        <w:t xml:space="preserve"> </w:t>
      </w:r>
      <w:proofErr w:type="gramStart"/>
      <w:r w:rsidRPr="006418E2">
        <w:rPr>
          <w:bCs/>
        </w:rPr>
        <w:t>“ ‘</w:t>
      </w:r>
      <w:proofErr w:type="gramEnd"/>
      <w:r w:rsidRPr="006418E2">
        <w:rPr>
          <w:bCs/>
        </w:rPr>
        <w:t>The California Constitution, as interpreted by the California Supreme Court, makes it clear that a defendant is entitled to two interpreters, one to interpret the witnesses’ testimony and the other to be the personal interpreter for the defendant.’ [Citation.]”  (</w:t>
      </w:r>
      <w:r w:rsidRPr="006418E2">
        <w:rPr>
          <w:bCs/>
          <w:i/>
          <w:iCs/>
        </w:rPr>
        <w:t>People v. Suarez</w:t>
      </w:r>
      <w:r w:rsidRPr="006418E2">
        <w:rPr>
          <w:bCs/>
        </w:rPr>
        <w:t xml:space="preserve"> (2020) 10 Cal.5th 116, 146.)  “Compelling reasons exist for the appointment of more than one interpreter: ‘[It] is nearly impossible for one interpreter to translate the testimony of a </w:t>
      </w:r>
      <w:r w:rsidRPr="006418E2">
        <w:rPr>
          <w:bCs/>
        </w:rPr>
        <w:t>witness while simultaneously translating and listening to the discussions between defendant and counsel.  It is in these circumstances that a defense interpreter is most needed to ensure adequate representation by the defendant</w:t>
      </w:r>
      <w:r w:rsidRPr="006418E2">
        <w:rPr>
          <w:bCs/>
        </w:rPr>
        <w:t>’</w:t>
      </w:r>
      <w:r w:rsidRPr="006418E2">
        <w:rPr>
          <w:bCs/>
        </w:rPr>
        <w:t>s counsel.’  (Chang &amp; Araujo, [</w:t>
      </w:r>
      <w:r w:rsidRPr="006418E2">
        <w:rPr>
          <w:bCs/>
          <w:i/>
          <w:iCs/>
        </w:rPr>
        <w:t>Interpreters for the Defense: Due Process for the Non-English-Speaking Defendant</w:t>
      </w:r>
      <w:r w:rsidRPr="006418E2">
        <w:rPr>
          <w:bCs/>
        </w:rPr>
        <w:t xml:space="preserve"> (1975) 63 </w:t>
      </w:r>
      <w:proofErr w:type="spellStart"/>
      <w:r w:rsidRPr="006418E2">
        <w:rPr>
          <w:bCs/>
        </w:rPr>
        <w:t>Cal.L.Rev</w:t>
      </w:r>
      <w:proofErr w:type="spellEnd"/>
      <w:r w:rsidRPr="006418E2">
        <w:rPr>
          <w:bCs/>
        </w:rPr>
        <w:t>. 801,] 821</w:t>
      </w:r>
      <w:r>
        <w:rPr>
          <w:bCs/>
        </w:rPr>
        <w:t>–</w:t>
      </w:r>
      <w:r w:rsidRPr="006418E2">
        <w:rPr>
          <w:bCs/>
        </w:rPr>
        <w:t>822.)</w:t>
      </w:r>
      <w:r>
        <w:rPr>
          <w:bCs/>
        </w:rPr>
        <w:t>”  (</w:t>
      </w:r>
      <w:r w:rsidRPr="00881851">
        <w:rPr>
          <w:bCs/>
          <w:i/>
          <w:iCs/>
        </w:rPr>
        <w:t>Aguilar</w:t>
      </w:r>
      <w:r>
        <w:rPr>
          <w:bCs/>
        </w:rPr>
        <w:t xml:space="preserve">, </w:t>
      </w:r>
      <w:r w:rsidRPr="00881851">
        <w:rPr>
          <w:bCs/>
          <w:i/>
          <w:iCs/>
        </w:rPr>
        <w:t>supra</w:t>
      </w:r>
      <w:r>
        <w:rPr>
          <w:bCs/>
        </w:rPr>
        <w:t>, 35 Cal.3d at p. 793.)</w:t>
      </w:r>
      <w:r w:rsidRPr="006418E2">
        <w:rPr>
          <w:bCs/>
        </w:rPr>
        <w:t xml:space="preserve">  Requiring </w:t>
      </w:r>
      <w:r w:rsidRPr="006418E2">
        <w:rPr>
          <w:bCs/>
        </w:rPr>
        <w:t xml:space="preserve">an interpreter for the witness and an individual interpreter for each defendant </w:t>
      </w:r>
      <w:r>
        <w:rPr>
          <w:bCs/>
        </w:rPr>
        <w:t>“</w:t>
      </w:r>
      <w:r w:rsidRPr="006418E2">
        <w:rPr>
          <w:bCs/>
        </w:rPr>
        <w:t>ha</w:t>
      </w:r>
      <w:r w:rsidRPr="006418E2">
        <w:rPr>
          <w:bCs/>
        </w:rPr>
        <w:t xml:space="preserve">s additional benefits to the criminal justice system because ‘it is difficult for an interpreter who has worked closely with the defendant and his counsel in the preparation of the defense from the pretrial stage to translate the court proceedings impartially.  Finally, a separate defense interpreter would serve to ensure the accuracy of the proceedings and witness interpreters.’  [Citation.]”  </w:t>
      </w:r>
      <w:r>
        <w:rPr>
          <w:bCs/>
        </w:rPr>
        <w:t>(</w:t>
      </w:r>
      <w:r w:rsidRPr="00882B8A">
        <w:rPr>
          <w:bCs/>
          <w:i/>
          <w:iCs/>
        </w:rPr>
        <w:t>Ibid</w:t>
      </w:r>
      <w:r>
        <w:rPr>
          <w:bCs/>
        </w:rPr>
        <w:t>.)</w:t>
      </w:r>
    </w:p>
    <w:p w14:paraId="26FA1156" w14:textId="77777777" w:rsidR="00932EE2" w:rsidRPr="006418E2" w:rsidRDefault="00932EE2" w:rsidP="006418E2">
      <w:pPr>
        <w:rPr>
          <w:bCs/>
        </w:rPr>
      </w:pPr>
      <w:r w:rsidRPr="006418E2">
        <w:rPr>
          <w:bCs/>
        </w:rPr>
        <w:tab/>
        <w:t xml:space="preserve">We are mindful that “[t]he denial of an interpreter in any given case may take many forms and may affect any, all or none of [the] constitutional rights [to due process, </w:t>
      </w:r>
      <w:r w:rsidRPr="006418E2">
        <w:rPr>
          <w:bCs/>
        </w:rPr>
        <w:lastRenderedPageBreak/>
        <w:t>to confrontation, to effective assistance of counsel, and to be present at trial].  Violations of article I, section 14</w:t>
      </w:r>
      <w:r>
        <w:rPr>
          <w:bCs/>
        </w:rPr>
        <w:t xml:space="preserve"> [of the California Constitution]</w:t>
      </w:r>
      <w:r w:rsidRPr="006418E2">
        <w:rPr>
          <w:bCs/>
        </w:rPr>
        <w:t xml:space="preserve">, may range from complete failure to provide an interpreter to the momentary absence of an interpreter at an inconsequential moment in the proceedings.” </w:t>
      </w:r>
      <w:r>
        <w:rPr>
          <w:bCs/>
        </w:rPr>
        <w:t xml:space="preserve"> </w:t>
      </w:r>
      <w:r w:rsidRPr="006418E2">
        <w:rPr>
          <w:bCs/>
        </w:rPr>
        <w:t>(</w:t>
      </w:r>
      <w:r w:rsidRPr="006418E2">
        <w:rPr>
          <w:bCs/>
          <w:i/>
          <w:iCs/>
        </w:rPr>
        <w:t>Rodriguez</w:t>
      </w:r>
      <w:r w:rsidRPr="006418E2">
        <w:rPr>
          <w:bCs/>
        </w:rPr>
        <w:t xml:space="preserve">, </w:t>
      </w:r>
      <w:r w:rsidRPr="006418E2">
        <w:rPr>
          <w:bCs/>
          <w:i/>
          <w:iCs/>
        </w:rPr>
        <w:t>supra</w:t>
      </w:r>
      <w:r w:rsidRPr="006418E2">
        <w:rPr>
          <w:bCs/>
        </w:rPr>
        <w:t xml:space="preserve">, 42 Cal.3d at </w:t>
      </w:r>
      <w:r>
        <w:rPr>
          <w:bCs/>
        </w:rPr>
        <w:t xml:space="preserve">p. </w:t>
      </w:r>
      <w:r w:rsidRPr="006418E2">
        <w:rPr>
          <w:bCs/>
        </w:rPr>
        <w:t xml:space="preserve">1012.)  </w:t>
      </w:r>
    </w:p>
    <w:p w14:paraId="6277CB5C" w14:textId="77777777" w:rsidR="00932EE2" w:rsidRPr="006418E2" w:rsidRDefault="00932EE2" w:rsidP="006418E2">
      <w:pPr>
        <w:rPr>
          <w:bCs/>
        </w:rPr>
      </w:pPr>
      <w:r w:rsidRPr="006418E2">
        <w:rPr>
          <w:bCs/>
        </w:rPr>
        <w:tab/>
        <w:t xml:space="preserve">Although the United States Supreme Court has not </w:t>
      </w:r>
      <w:r w:rsidRPr="006418E2">
        <w:rPr>
          <w:bCs/>
        </w:rPr>
        <w:t>recognized a constitutional right to a court-appointed interpreter, (</w:t>
      </w:r>
      <w:r w:rsidRPr="006418E2">
        <w:rPr>
          <w:bCs/>
          <w:i/>
          <w:iCs/>
        </w:rPr>
        <w:t>United States v. Johnson</w:t>
      </w:r>
      <w:r w:rsidRPr="006418E2">
        <w:rPr>
          <w:bCs/>
        </w:rPr>
        <w:t xml:space="preserve"> (7th Cir. 2001) 248 F.3d 655, 663), it is axiomatic that “[c]</w:t>
      </w:r>
      <w:proofErr w:type="spellStart"/>
      <w:r w:rsidRPr="006418E2">
        <w:rPr>
          <w:bCs/>
        </w:rPr>
        <w:t>onsiderations</w:t>
      </w:r>
      <w:proofErr w:type="spellEnd"/>
      <w:r w:rsidRPr="006418E2">
        <w:rPr>
          <w:bCs/>
        </w:rPr>
        <w:t xml:space="preserve"> of fairness, the integrity of the fact-finding process, and the potency of our adversary system of justice forbid that the state should prosecute a defendant who is not present at </w:t>
      </w:r>
      <w:r w:rsidRPr="006418E2">
        <w:rPr>
          <w:bCs/>
        </w:rPr>
        <w:t>[their]</w:t>
      </w:r>
      <w:r w:rsidRPr="006418E2">
        <w:rPr>
          <w:bCs/>
        </w:rPr>
        <w:t xml:space="preserve"> own trial, </w:t>
      </w:r>
      <w:r w:rsidRPr="006418E2">
        <w:rPr>
          <w:bCs/>
        </w:rPr>
        <w:t>[citation]</w:t>
      </w:r>
      <w:r w:rsidRPr="006418E2">
        <w:rPr>
          <w:bCs/>
        </w:rPr>
        <w:t xml:space="preserve">, unless by </w:t>
      </w:r>
      <w:r w:rsidRPr="006418E2">
        <w:rPr>
          <w:bCs/>
        </w:rPr>
        <w:t>[their]</w:t>
      </w:r>
      <w:r w:rsidRPr="006418E2">
        <w:rPr>
          <w:bCs/>
        </w:rPr>
        <w:t xml:space="preserve"> conduct </w:t>
      </w:r>
      <w:r w:rsidRPr="006418E2">
        <w:rPr>
          <w:bCs/>
        </w:rPr>
        <w:t xml:space="preserve">[they] </w:t>
      </w:r>
      <w:r w:rsidRPr="006418E2">
        <w:rPr>
          <w:bCs/>
        </w:rPr>
        <w:t>waive</w:t>
      </w:r>
      <w:r w:rsidRPr="006418E2">
        <w:rPr>
          <w:bCs/>
        </w:rPr>
        <w:t>[]</w:t>
      </w:r>
      <w:r w:rsidRPr="006418E2">
        <w:rPr>
          <w:bCs/>
        </w:rPr>
        <w:t xml:space="preserve"> that right. </w:t>
      </w:r>
      <w:r w:rsidRPr="006418E2">
        <w:rPr>
          <w:bCs/>
        </w:rPr>
        <w:t xml:space="preserve"> [Citation.]”  (</w:t>
      </w:r>
      <w:r w:rsidRPr="006418E2">
        <w:rPr>
          <w:bCs/>
          <w:i/>
          <w:iCs/>
        </w:rPr>
        <w:t>United States ex rel. Negron v. New York</w:t>
      </w:r>
      <w:r w:rsidRPr="006418E2">
        <w:rPr>
          <w:bCs/>
        </w:rPr>
        <w:t xml:space="preserve"> (2d. Cir. 1970) 434 F.2d 386, 389 (</w:t>
      </w:r>
      <w:r w:rsidRPr="006418E2">
        <w:rPr>
          <w:bCs/>
          <w:i/>
          <w:iCs/>
        </w:rPr>
        <w:t>Negron</w:t>
      </w:r>
      <w:r w:rsidRPr="006418E2">
        <w:rPr>
          <w:bCs/>
        </w:rPr>
        <w:t>).)  Further, “</w:t>
      </w:r>
      <w:r w:rsidRPr="006418E2">
        <w:rPr>
          <w:bCs/>
        </w:rPr>
        <w:t>it is equally imperative that every criminal defendant</w:t>
      </w:r>
      <w:r w:rsidRPr="006418E2">
        <w:rPr>
          <w:bCs/>
        </w:rPr>
        <w:t>—</w:t>
      </w:r>
      <w:r w:rsidRPr="006418E2">
        <w:rPr>
          <w:bCs/>
        </w:rPr>
        <w:t>if the right to be present is to have meaning</w:t>
      </w:r>
      <w:r w:rsidRPr="006418E2">
        <w:rPr>
          <w:bCs/>
        </w:rPr>
        <w:t>—</w:t>
      </w:r>
      <w:r w:rsidRPr="006418E2">
        <w:rPr>
          <w:bCs/>
        </w:rPr>
        <w:t xml:space="preserve">possess </w:t>
      </w:r>
      <w:r w:rsidRPr="006418E2">
        <w:rPr>
          <w:bCs/>
        </w:rPr>
        <w:t>‘</w:t>
      </w:r>
      <w:r w:rsidRPr="006418E2">
        <w:rPr>
          <w:bCs/>
        </w:rPr>
        <w:t xml:space="preserve">sufficient </w:t>
      </w:r>
      <w:r w:rsidRPr="006418E2">
        <w:rPr>
          <w:bCs/>
        </w:rPr>
        <w:t xml:space="preserve">present ability to consult with </w:t>
      </w:r>
      <w:r w:rsidRPr="006418E2">
        <w:rPr>
          <w:bCs/>
        </w:rPr>
        <w:t xml:space="preserve">[their] </w:t>
      </w:r>
      <w:r w:rsidRPr="006418E2">
        <w:rPr>
          <w:bCs/>
        </w:rPr>
        <w:t>lawyer with a reasonable degree of rational understanding.</w:t>
      </w:r>
      <w:r w:rsidRPr="006418E2">
        <w:rPr>
          <w:bCs/>
        </w:rPr>
        <w:t>’  [Citation.]”  (</w:t>
      </w:r>
      <w:r w:rsidRPr="006418E2">
        <w:rPr>
          <w:bCs/>
          <w:i/>
          <w:iCs/>
        </w:rPr>
        <w:t>Ibid</w:t>
      </w:r>
      <w:r w:rsidRPr="006418E2">
        <w:rPr>
          <w:bCs/>
        </w:rPr>
        <w:t xml:space="preserve">.) </w:t>
      </w:r>
      <w:r w:rsidRPr="006418E2">
        <w:rPr>
          <w:bCs/>
        </w:rPr>
        <w:t xml:space="preserve"> The criminal defendant’s</w:t>
      </w:r>
      <w:r w:rsidRPr="006418E2">
        <w:rPr>
          <w:bCs/>
        </w:rPr>
        <w:t xml:space="preserve"> </w:t>
      </w:r>
      <w:r w:rsidRPr="006418E2">
        <w:rPr>
          <w:bCs/>
        </w:rPr>
        <w:t>“i</w:t>
      </w:r>
      <w:r w:rsidRPr="006418E2">
        <w:rPr>
          <w:bCs/>
        </w:rPr>
        <w:t>ncapacity to respond to specific testimony would inevitably hamper the capacity of his counsel to conduct effective cross-examination.</w:t>
      </w:r>
      <w:r w:rsidRPr="006418E2">
        <w:rPr>
          <w:bCs/>
        </w:rPr>
        <w:t>”</w:t>
      </w:r>
      <w:r w:rsidRPr="006418E2">
        <w:rPr>
          <w:bCs/>
        </w:rPr>
        <w:t xml:space="preserve"> </w:t>
      </w:r>
      <w:r w:rsidRPr="006418E2">
        <w:rPr>
          <w:bCs/>
        </w:rPr>
        <w:t xml:space="preserve"> </w:t>
      </w:r>
      <w:r w:rsidRPr="006418E2">
        <w:rPr>
          <w:bCs/>
        </w:rPr>
        <w:t>(</w:t>
      </w:r>
      <w:r w:rsidRPr="006418E2">
        <w:rPr>
          <w:bCs/>
          <w:i/>
          <w:iCs/>
        </w:rPr>
        <w:t>Id</w:t>
      </w:r>
      <w:r w:rsidRPr="006418E2">
        <w:rPr>
          <w:bCs/>
        </w:rPr>
        <w:t>. at p. 390.)</w:t>
      </w:r>
      <w:r w:rsidRPr="006418E2">
        <w:rPr>
          <w:bCs/>
        </w:rPr>
        <w:t xml:space="preserve"> </w:t>
      </w:r>
    </w:p>
    <w:p w14:paraId="28C16E53" w14:textId="77777777" w:rsidR="00932EE2" w:rsidRPr="006418E2" w:rsidRDefault="00932EE2" w:rsidP="006418E2">
      <w:pPr>
        <w:spacing w:before="120" w:line="240" w:lineRule="auto"/>
        <w:ind w:left="936" w:hanging="216"/>
        <w:rPr>
          <w:bCs/>
        </w:rPr>
      </w:pPr>
      <w:bookmarkStart w:id="13" w:name="_Hlk165718470"/>
      <w:r w:rsidRPr="006418E2">
        <w:rPr>
          <w:b/>
          <w:bCs/>
          <w:i/>
          <w:iCs/>
        </w:rPr>
        <w:t xml:space="preserve">C. </w:t>
      </w:r>
      <w:r w:rsidRPr="006418E2">
        <w:rPr>
          <w:b/>
          <w:bCs/>
          <w:i/>
          <w:iCs/>
        </w:rPr>
        <w:t>Failing to provide Molina an individual interpreter</w:t>
      </w:r>
      <w:r w:rsidRPr="006418E2">
        <w:rPr>
          <w:b/>
          <w:bCs/>
          <w:i/>
          <w:iCs/>
        </w:rPr>
        <w:t xml:space="preserve"> reasonably might have affected the outcome of the preliminary hearing</w:t>
      </w:r>
      <w:bookmarkEnd w:id="13"/>
    </w:p>
    <w:p w14:paraId="1FB24131" w14:textId="77777777" w:rsidR="00932EE2" w:rsidRPr="006418E2" w:rsidRDefault="00932EE2" w:rsidP="006418E2">
      <w:pPr>
        <w:rPr>
          <w:bCs/>
        </w:rPr>
      </w:pPr>
      <w:r w:rsidRPr="006418E2">
        <w:rPr>
          <w:bCs/>
        </w:rPr>
        <w:tab/>
        <w:t xml:space="preserve">As stated above, </w:t>
      </w:r>
      <w:r w:rsidRPr="006418E2">
        <w:rPr>
          <w:bCs/>
        </w:rPr>
        <w:t xml:space="preserve">“a defendant bringing a pretrial challenge to an information on the basis that he or she was not </w:t>
      </w:r>
      <w:proofErr w:type="gramStart"/>
      <w:r w:rsidRPr="006418E2">
        <w:rPr>
          <w:bCs/>
        </w:rPr>
        <w:t>‘</w:t>
      </w:r>
      <w:r w:rsidRPr="006418E2">
        <w:rPr>
          <w:bCs/>
        </w:rPr>
        <w:t xml:space="preserve"> </w:t>
      </w:r>
      <w:r w:rsidRPr="006418E2">
        <w:rPr>
          <w:bCs/>
        </w:rPr>
        <w:t>“</w:t>
      </w:r>
      <w:proofErr w:type="gramEnd"/>
      <w:r w:rsidRPr="006418E2">
        <w:rPr>
          <w:bCs/>
        </w:rPr>
        <w:t>legally committed</w:t>
      </w:r>
      <w:r w:rsidRPr="006418E2">
        <w:rPr>
          <w:bCs/>
        </w:rPr>
        <w:t>”</w:t>
      </w:r>
      <w:r w:rsidRPr="006418E2">
        <w:rPr>
          <w:bCs/>
        </w:rPr>
        <w:t xml:space="preserve"> ’ </w:t>
      </w:r>
      <w:r w:rsidRPr="006418E2">
        <w:rPr>
          <w:bCs/>
        </w:rPr>
        <w:t xml:space="preserve">by a magistrate, need only show that the error </w:t>
      </w:r>
      <w:r w:rsidRPr="006418E2">
        <w:rPr>
          <w:bCs/>
        </w:rPr>
        <w:t>‘</w:t>
      </w:r>
      <w:r w:rsidRPr="006418E2">
        <w:rPr>
          <w:bCs/>
        </w:rPr>
        <w:t xml:space="preserve"> </w:t>
      </w:r>
      <w:r w:rsidRPr="006418E2">
        <w:rPr>
          <w:bCs/>
        </w:rPr>
        <w:t>“</w:t>
      </w:r>
      <w:r w:rsidRPr="006418E2">
        <w:t>reasonably </w:t>
      </w:r>
      <w:r w:rsidRPr="006418E2">
        <w:rPr>
          <w:i/>
          <w:iCs/>
        </w:rPr>
        <w:t>might</w:t>
      </w:r>
      <w:r w:rsidRPr="006418E2">
        <w:rPr>
          <w:bCs/>
        </w:rPr>
        <w:t> have affected the outcome</w:t>
      </w:r>
      <w:r w:rsidRPr="006418E2">
        <w:rPr>
          <w:bCs/>
        </w:rPr>
        <w:t xml:space="preserve">” </w:t>
      </w:r>
      <w:r w:rsidRPr="006418E2">
        <w:rPr>
          <w:bCs/>
        </w:rPr>
        <w:t>’</w:t>
      </w:r>
      <w:r w:rsidRPr="006418E2">
        <w:rPr>
          <w:bCs/>
        </w:rPr>
        <w:t xml:space="preserve"> and need not show </w:t>
      </w:r>
      <w:r w:rsidRPr="006418E2">
        <w:rPr>
          <w:bCs/>
        </w:rPr>
        <w:t>‘</w:t>
      </w:r>
      <w:r w:rsidRPr="006418E2">
        <w:rPr>
          <w:bCs/>
        </w:rPr>
        <w:t>it is reasonably </w:t>
      </w:r>
      <w:r w:rsidRPr="006418E2">
        <w:rPr>
          <w:bCs/>
          <w:i/>
          <w:iCs/>
        </w:rPr>
        <w:t>probable</w:t>
      </w:r>
      <w:r w:rsidRPr="006418E2">
        <w:rPr>
          <w:bCs/>
        </w:rPr>
        <w:t xml:space="preserve"> he or she would not have been held to answer in the </w:t>
      </w:r>
      <w:r w:rsidRPr="006418E2">
        <w:rPr>
          <w:bCs/>
        </w:rPr>
        <w:t>absence of the error.</w:t>
      </w:r>
      <w:r w:rsidRPr="006418E2">
        <w:rPr>
          <w:bCs/>
        </w:rPr>
        <w:t>’</w:t>
      </w:r>
      <w:r w:rsidRPr="006418E2">
        <w:rPr>
          <w:bCs/>
        </w:rPr>
        <w:t xml:space="preserve"> </w:t>
      </w:r>
      <w:r w:rsidRPr="006418E2">
        <w:rPr>
          <w:bCs/>
        </w:rPr>
        <w:t>[Citation.]</w:t>
      </w:r>
      <w:r w:rsidRPr="006418E2">
        <w:rPr>
          <w:bCs/>
        </w:rPr>
        <w:t>”</w:t>
      </w:r>
      <w:r w:rsidRPr="006418E2">
        <w:rPr>
          <w:bCs/>
        </w:rPr>
        <w:t xml:space="preserve"> </w:t>
      </w:r>
      <w:r w:rsidRPr="006418E2">
        <w:rPr>
          <w:bCs/>
        </w:rPr>
        <w:t xml:space="preserve"> </w:t>
      </w:r>
      <w:r w:rsidRPr="006418E2">
        <w:rPr>
          <w:bCs/>
        </w:rPr>
        <w:t>(</w:t>
      </w:r>
      <w:r w:rsidRPr="006418E2">
        <w:rPr>
          <w:bCs/>
          <w:i/>
          <w:iCs/>
        </w:rPr>
        <w:t>Berardi v. Superior Court</w:t>
      </w:r>
      <w:r w:rsidRPr="006418E2">
        <w:rPr>
          <w:bCs/>
        </w:rPr>
        <w:t xml:space="preserve"> (</w:t>
      </w:r>
      <w:r w:rsidRPr="006418E2">
        <w:rPr>
          <w:bCs/>
        </w:rPr>
        <w:t>2007)</w:t>
      </w:r>
      <w:r w:rsidRPr="006418E2">
        <w:rPr>
          <w:bCs/>
        </w:rPr>
        <w:t xml:space="preserve"> 149 Cal.App.4th </w:t>
      </w:r>
      <w:r w:rsidRPr="006418E2">
        <w:rPr>
          <w:bCs/>
        </w:rPr>
        <w:t>476, 493.</w:t>
      </w:r>
      <w:r w:rsidRPr="006418E2">
        <w:rPr>
          <w:bCs/>
        </w:rPr>
        <w:t xml:space="preserve">) </w:t>
      </w:r>
      <w:r w:rsidRPr="006418E2">
        <w:rPr>
          <w:bCs/>
        </w:rPr>
        <w:t xml:space="preserve"> </w:t>
      </w:r>
      <w:r w:rsidRPr="006418E2">
        <w:rPr>
          <w:bCs/>
        </w:rPr>
        <w:t>U</w:t>
      </w:r>
      <w:r w:rsidRPr="006418E2">
        <w:rPr>
          <w:bCs/>
        </w:rPr>
        <w:t>tili</w:t>
      </w:r>
      <w:r w:rsidRPr="006418E2">
        <w:rPr>
          <w:bCs/>
        </w:rPr>
        <w:t xml:space="preserve">zing the </w:t>
      </w:r>
      <w:proofErr w:type="gramStart"/>
      <w:r w:rsidRPr="006418E2">
        <w:rPr>
          <w:bCs/>
        </w:rPr>
        <w:t>aforementioned</w:t>
      </w:r>
      <w:r w:rsidRPr="006418E2">
        <w:rPr>
          <w:bCs/>
        </w:rPr>
        <w:t xml:space="preserve"> </w:t>
      </w:r>
      <w:r w:rsidRPr="006418E2">
        <w:rPr>
          <w:bCs/>
        </w:rPr>
        <w:t>standard</w:t>
      </w:r>
      <w:proofErr w:type="gramEnd"/>
      <w:r w:rsidRPr="006418E2">
        <w:rPr>
          <w:bCs/>
        </w:rPr>
        <w:t>,</w:t>
      </w:r>
      <w:r w:rsidRPr="006418E2">
        <w:rPr>
          <w:bCs/>
        </w:rPr>
        <w:t xml:space="preserve"> based on the circumstances in this case,</w:t>
      </w:r>
      <w:r w:rsidRPr="006418E2">
        <w:rPr>
          <w:bCs/>
        </w:rPr>
        <w:t xml:space="preserve"> </w:t>
      </w:r>
      <w:r w:rsidRPr="006418E2">
        <w:rPr>
          <w:bCs/>
        </w:rPr>
        <w:t>w</w:t>
      </w:r>
      <w:r w:rsidRPr="006418E2">
        <w:rPr>
          <w:bCs/>
        </w:rPr>
        <w:t xml:space="preserve">e conclude </w:t>
      </w:r>
      <w:r w:rsidRPr="006418E2">
        <w:rPr>
          <w:bCs/>
        </w:rPr>
        <w:t xml:space="preserve">that </w:t>
      </w:r>
      <w:r w:rsidRPr="006418E2">
        <w:rPr>
          <w:bCs/>
        </w:rPr>
        <w:t xml:space="preserve">the </w:t>
      </w:r>
      <w:r w:rsidRPr="006418E2">
        <w:rPr>
          <w:bCs/>
        </w:rPr>
        <w:t>record suff</w:t>
      </w:r>
      <w:r w:rsidRPr="006418E2">
        <w:rPr>
          <w:bCs/>
        </w:rPr>
        <w:t xml:space="preserve">iciently establishes that </w:t>
      </w:r>
      <w:r w:rsidRPr="006418E2">
        <w:rPr>
          <w:bCs/>
        </w:rPr>
        <w:t xml:space="preserve">the failure to provide Molina an individual interpreter </w:t>
      </w:r>
      <w:r w:rsidRPr="006418E2">
        <w:rPr>
          <w:bCs/>
        </w:rPr>
        <w:t xml:space="preserve">over the course of 15 months and 13 </w:t>
      </w:r>
      <w:r w:rsidRPr="006418E2">
        <w:rPr>
          <w:bCs/>
        </w:rPr>
        <w:t xml:space="preserve">sessions </w:t>
      </w:r>
      <w:r w:rsidRPr="006418E2">
        <w:rPr>
          <w:bCs/>
        </w:rPr>
        <w:t>precluded hi</w:t>
      </w:r>
      <w:r w:rsidRPr="006418E2">
        <w:rPr>
          <w:bCs/>
        </w:rPr>
        <w:t xml:space="preserve">s ability </w:t>
      </w:r>
      <w:r w:rsidRPr="006418E2">
        <w:rPr>
          <w:bCs/>
        </w:rPr>
        <w:lastRenderedPageBreak/>
        <w:t>to meaningfully participate</w:t>
      </w:r>
      <w:r w:rsidRPr="006418E2">
        <w:rPr>
          <w:bCs/>
        </w:rPr>
        <w:t xml:space="preserve"> </w:t>
      </w:r>
      <w:r w:rsidRPr="006418E2">
        <w:rPr>
          <w:bCs/>
        </w:rPr>
        <w:t xml:space="preserve">in a criminal proceeding </w:t>
      </w:r>
      <w:r w:rsidRPr="006418E2">
        <w:rPr>
          <w:bCs/>
        </w:rPr>
        <w:t>and</w:t>
      </w:r>
      <w:r w:rsidRPr="006418E2">
        <w:rPr>
          <w:bCs/>
        </w:rPr>
        <w:t xml:space="preserve"> limited his ability to</w:t>
      </w:r>
      <w:r w:rsidRPr="006418E2">
        <w:rPr>
          <w:bCs/>
        </w:rPr>
        <w:t xml:space="preserve"> challenge the evidence</w:t>
      </w:r>
      <w:r w:rsidRPr="006418E2">
        <w:rPr>
          <w:bCs/>
        </w:rPr>
        <w:t xml:space="preserve"> </w:t>
      </w:r>
      <w:r w:rsidRPr="006418E2">
        <w:rPr>
          <w:bCs/>
        </w:rPr>
        <w:t>presented against him</w:t>
      </w:r>
      <w:r w:rsidRPr="006418E2">
        <w:rPr>
          <w:bCs/>
        </w:rPr>
        <w:t>.</w:t>
      </w:r>
      <w:r w:rsidRPr="006418E2">
        <w:rPr>
          <w:bCs/>
        </w:rPr>
        <w:t xml:space="preserve">  Therefore, such an error</w:t>
      </w:r>
      <w:r w:rsidRPr="006418E2">
        <w:rPr>
          <w:bCs/>
        </w:rPr>
        <w:t xml:space="preserve"> </w:t>
      </w:r>
      <w:r w:rsidRPr="006418E2">
        <w:rPr>
          <w:bCs/>
        </w:rPr>
        <w:t>“</w:t>
      </w:r>
      <w:r w:rsidRPr="006418E2">
        <w:rPr>
          <w:bCs/>
        </w:rPr>
        <w:t>reasonably might have affected the outcome.</w:t>
      </w:r>
      <w:r w:rsidRPr="006418E2">
        <w:rPr>
          <w:bCs/>
        </w:rPr>
        <w:t>”  (</w:t>
      </w:r>
      <w:r w:rsidRPr="006418E2">
        <w:rPr>
          <w:bCs/>
          <w:i/>
          <w:iCs/>
        </w:rPr>
        <w:t>Konow</w:t>
      </w:r>
      <w:r w:rsidRPr="006418E2">
        <w:rPr>
          <w:bCs/>
        </w:rPr>
        <w:t xml:space="preserve">, </w:t>
      </w:r>
      <w:r w:rsidRPr="006418E2">
        <w:rPr>
          <w:bCs/>
          <w:i/>
          <w:iCs/>
        </w:rPr>
        <w:t>supra</w:t>
      </w:r>
      <w:r w:rsidRPr="006418E2">
        <w:rPr>
          <w:bCs/>
        </w:rPr>
        <w:t>, 32 Cal.4th at p. 1024.)</w:t>
      </w:r>
    </w:p>
    <w:p w14:paraId="147BC2E1" w14:textId="77777777" w:rsidR="00932EE2" w:rsidRPr="006418E2" w:rsidRDefault="00932EE2" w:rsidP="006418E2">
      <w:pPr>
        <w:rPr>
          <w:bCs/>
        </w:rPr>
      </w:pPr>
      <w:r w:rsidRPr="006418E2">
        <w:rPr>
          <w:bCs/>
        </w:rPr>
        <w:tab/>
      </w:r>
      <w:r w:rsidRPr="006418E2">
        <w:rPr>
          <w:bCs/>
        </w:rPr>
        <w:t xml:space="preserve">The Attorney General </w:t>
      </w:r>
      <w:r w:rsidRPr="006418E2">
        <w:rPr>
          <w:bCs/>
        </w:rPr>
        <w:t>mainly relies on</w:t>
      </w:r>
      <w:r w:rsidRPr="006418E2">
        <w:rPr>
          <w:bCs/>
        </w:rPr>
        <w:t xml:space="preserve"> </w:t>
      </w:r>
      <w:r w:rsidRPr="006418E2">
        <w:rPr>
          <w:bCs/>
          <w:i/>
          <w:iCs/>
        </w:rPr>
        <w:t>Rodriguez</w:t>
      </w:r>
      <w:r w:rsidRPr="006418E2">
        <w:rPr>
          <w:bCs/>
        </w:rPr>
        <w:t xml:space="preserve"> for the proposition that failing to provide an individual interpreter for </w:t>
      </w:r>
      <w:r w:rsidRPr="006418E2">
        <w:rPr>
          <w:bCs/>
        </w:rPr>
        <w:t>Molina</w:t>
      </w:r>
      <w:r w:rsidRPr="006418E2">
        <w:rPr>
          <w:bCs/>
        </w:rPr>
        <w:t xml:space="preserve"> was harmless.  In </w:t>
      </w:r>
      <w:r w:rsidRPr="006418E2">
        <w:rPr>
          <w:bCs/>
          <w:i/>
          <w:iCs/>
        </w:rPr>
        <w:t>Rodriguez</w:t>
      </w:r>
      <w:r w:rsidRPr="006418E2">
        <w:rPr>
          <w:bCs/>
        </w:rPr>
        <w:t xml:space="preserve">, at both the joint preliminary hearing and trial, two interpreters were assigned to assist both defendants. </w:t>
      </w:r>
      <w:r w:rsidRPr="006418E2">
        <w:rPr>
          <w:bCs/>
        </w:rPr>
        <w:t xml:space="preserve"> </w:t>
      </w:r>
      <w:r w:rsidRPr="006418E2">
        <w:rPr>
          <w:bCs/>
        </w:rPr>
        <w:t>On several occasions, one of the assigned interpreters was used to assist a Spanish</w:t>
      </w:r>
      <w:r w:rsidRPr="006418E2">
        <w:rPr>
          <w:bCs/>
        </w:rPr>
        <w:t>-</w:t>
      </w:r>
      <w:r w:rsidRPr="006418E2">
        <w:rPr>
          <w:bCs/>
        </w:rPr>
        <w:t xml:space="preserve">speaking witness during their testimony, leaving one interpreter for the </w:t>
      </w:r>
      <w:r>
        <w:rPr>
          <w:bCs/>
        </w:rPr>
        <w:t xml:space="preserve">two </w:t>
      </w:r>
      <w:r w:rsidRPr="006418E2">
        <w:rPr>
          <w:bCs/>
        </w:rPr>
        <w:t>defendants</w:t>
      </w:r>
      <w:r w:rsidRPr="006418E2">
        <w:rPr>
          <w:bCs/>
        </w:rPr>
        <w:t>.</w:t>
      </w:r>
      <w:r w:rsidRPr="006418E2">
        <w:rPr>
          <w:bCs/>
        </w:rPr>
        <w:t xml:space="preserve"> </w:t>
      </w:r>
      <w:r w:rsidRPr="006418E2">
        <w:rPr>
          <w:bCs/>
        </w:rPr>
        <w:t xml:space="preserve"> </w:t>
      </w:r>
      <w:r w:rsidRPr="006418E2">
        <w:rPr>
          <w:bCs/>
        </w:rPr>
        <w:t>(</w:t>
      </w:r>
      <w:r w:rsidRPr="006418E2">
        <w:rPr>
          <w:bCs/>
          <w:i/>
          <w:iCs/>
        </w:rPr>
        <w:t>Rodriguez</w:t>
      </w:r>
      <w:r w:rsidRPr="006418E2">
        <w:rPr>
          <w:bCs/>
        </w:rPr>
        <w:t xml:space="preserve">, </w:t>
      </w:r>
      <w:r w:rsidRPr="006418E2">
        <w:rPr>
          <w:bCs/>
          <w:i/>
          <w:iCs/>
        </w:rPr>
        <w:t>supra</w:t>
      </w:r>
      <w:r w:rsidRPr="006418E2">
        <w:rPr>
          <w:bCs/>
        </w:rPr>
        <w:t xml:space="preserve">, 42 Cal.3d at </w:t>
      </w:r>
      <w:r>
        <w:rPr>
          <w:bCs/>
        </w:rPr>
        <w:t xml:space="preserve">pp. </w:t>
      </w:r>
      <w:r w:rsidRPr="006418E2">
        <w:rPr>
          <w:bCs/>
        </w:rPr>
        <w:t>10</w:t>
      </w:r>
      <w:r w:rsidRPr="006418E2">
        <w:rPr>
          <w:bCs/>
        </w:rPr>
        <w:t>09</w:t>
      </w:r>
      <w:r>
        <w:rPr>
          <w:bCs/>
        </w:rPr>
        <w:t>–</w:t>
      </w:r>
      <w:r w:rsidRPr="006418E2">
        <w:rPr>
          <w:bCs/>
        </w:rPr>
        <w:t>1010.)</w:t>
      </w:r>
      <w:r w:rsidRPr="006418E2">
        <w:rPr>
          <w:bCs/>
        </w:rPr>
        <w:t xml:space="preserve"> </w:t>
      </w:r>
      <w:r w:rsidRPr="006418E2">
        <w:rPr>
          <w:bCs/>
        </w:rPr>
        <w:t xml:space="preserve"> Utilizing the </w:t>
      </w:r>
      <w:r w:rsidRPr="006418E2">
        <w:rPr>
          <w:bCs/>
          <w:i/>
          <w:iCs/>
        </w:rPr>
        <w:t>Chapman</w:t>
      </w:r>
      <w:r w:rsidRPr="006418E2">
        <w:rPr>
          <w:bCs/>
        </w:rPr>
        <w:t xml:space="preserve"> standard</w:t>
      </w:r>
      <w:r w:rsidRPr="006418E2">
        <w:rPr>
          <w:bCs/>
        </w:rPr>
        <w:t xml:space="preserve"> in conducting a post</w:t>
      </w:r>
      <w:r w:rsidRPr="006418E2">
        <w:rPr>
          <w:bCs/>
        </w:rPr>
        <w:t>-</w:t>
      </w:r>
      <w:r w:rsidRPr="006418E2">
        <w:rPr>
          <w:bCs/>
        </w:rPr>
        <w:t xml:space="preserve">trial review, the </w:t>
      </w:r>
      <w:r w:rsidRPr="006418E2">
        <w:rPr>
          <w:bCs/>
          <w:i/>
          <w:iCs/>
        </w:rPr>
        <w:t>Rodriguez</w:t>
      </w:r>
      <w:r w:rsidRPr="006418E2">
        <w:rPr>
          <w:bCs/>
        </w:rPr>
        <w:t xml:space="preserve"> court concluded</w:t>
      </w:r>
      <w:r w:rsidRPr="006418E2">
        <w:rPr>
          <w:bCs/>
        </w:rPr>
        <w:t xml:space="preserve"> </w:t>
      </w:r>
      <w:r w:rsidRPr="006418E2">
        <w:rPr>
          <w:bCs/>
        </w:rPr>
        <w:t>t</w:t>
      </w:r>
      <w:r w:rsidRPr="006418E2">
        <w:rPr>
          <w:bCs/>
        </w:rPr>
        <w:t xml:space="preserve">he record was devoid of any indication from counsel, the court, or the defendants that there was an </w:t>
      </w:r>
      <w:r w:rsidRPr="006418E2">
        <w:rPr>
          <w:bCs/>
        </w:rPr>
        <w:t>objection</w:t>
      </w:r>
      <w:r w:rsidRPr="006418E2">
        <w:rPr>
          <w:bCs/>
        </w:rPr>
        <w:t xml:space="preserve"> to</w:t>
      </w:r>
      <w:r w:rsidRPr="006418E2">
        <w:rPr>
          <w:bCs/>
        </w:rPr>
        <w:t xml:space="preserve"> the interpreter assignments and relatedly any problems </w:t>
      </w:r>
      <w:r w:rsidRPr="006418E2">
        <w:rPr>
          <w:bCs/>
        </w:rPr>
        <w:t>with</w:t>
      </w:r>
      <w:r w:rsidRPr="006418E2">
        <w:rPr>
          <w:bCs/>
        </w:rPr>
        <w:t xml:space="preserve"> communication or comprehension by the defendants. </w:t>
      </w:r>
      <w:r w:rsidRPr="006418E2">
        <w:rPr>
          <w:bCs/>
        </w:rPr>
        <w:t xml:space="preserve"> </w:t>
      </w:r>
      <w:r w:rsidRPr="006418E2">
        <w:rPr>
          <w:bCs/>
        </w:rPr>
        <w:t>(</w:t>
      </w:r>
      <w:r w:rsidRPr="006418E2">
        <w:rPr>
          <w:bCs/>
          <w:i/>
          <w:iCs/>
        </w:rPr>
        <w:t>Rodriguez</w:t>
      </w:r>
      <w:r w:rsidRPr="006418E2">
        <w:rPr>
          <w:bCs/>
        </w:rPr>
        <w:t xml:space="preserve">, </w:t>
      </w:r>
      <w:r w:rsidRPr="00881851">
        <w:rPr>
          <w:bCs/>
          <w:i/>
          <w:iCs/>
        </w:rPr>
        <w:t>supra</w:t>
      </w:r>
      <w:r w:rsidRPr="006418E2">
        <w:rPr>
          <w:bCs/>
        </w:rPr>
        <w:t xml:space="preserve">, at </w:t>
      </w:r>
      <w:r>
        <w:rPr>
          <w:bCs/>
        </w:rPr>
        <w:t xml:space="preserve">pp. </w:t>
      </w:r>
      <w:r w:rsidRPr="006418E2">
        <w:rPr>
          <w:bCs/>
        </w:rPr>
        <w:t>1014</w:t>
      </w:r>
      <w:r>
        <w:rPr>
          <w:bCs/>
        </w:rPr>
        <w:t>–</w:t>
      </w:r>
      <w:r w:rsidRPr="006418E2">
        <w:rPr>
          <w:bCs/>
        </w:rPr>
        <w:t xml:space="preserve">15.) </w:t>
      </w:r>
      <w:r w:rsidRPr="006418E2">
        <w:rPr>
          <w:bCs/>
        </w:rPr>
        <w:t xml:space="preserve"> Ultimately,</w:t>
      </w:r>
      <w:r w:rsidRPr="006418E2">
        <w:rPr>
          <w:bCs/>
        </w:rPr>
        <w:t xml:space="preserve"> “</w:t>
      </w:r>
      <w:r w:rsidRPr="006418E2">
        <w:rPr>
          <w:bCs/>
        </w:rPr>
        <w:t>[t]</w:t>
      </w:r>
      <w:r w:rsidRPr="006418E2">
        <w:rPr>
          <w:bCs/>
        </w:rPr>
        <w:t xml:space="preserve">he test is whether an actual interference with defendant’s rights has been shown or even asserted.” </w:t>
      </w:r>
      <w:r w:rsidRPr="006418E2">
        <w:rPr>
          <w:bCs/>
        </w:rPr>
        <w:t xml:space="preserve"> </w:t>
      </w:r>
      <w:r w:rsidRPr="006418E2">
        <w:rPr>
          <w:bCs/>
        </w:rPr>
        <w:t>(</w:t>
      </w:r>
      <w:r w:rsidRPr="006418E2">
        <w:rPr>
          <w:bCs/>
          <w:i/>
          <w:iCs/>
        </w:rPr>
        <w:t>Id.</w:t>
      </w:r>
      <w:r w:rsidRPr="006418E2">
        <w:rPr>
          <w:bCs/>
        </w:rPr>
        <w:t xml:space="preserve"> at </w:t>
      </w:r>
      <w:r w:rsidRPr="006418E2">
        <w:rPr>
          <w:bCs/>
        </w:rPr>
        <w:t xml:space="preserve">p. </w:t>
      </w:r>
      <w:r w:rsidRPr="006418E2">
        <w:rPr>
          <w:bCs/>
        </w:rPr>
        <w:t>1014</w:t>
      </w:r>
      <w:r w:rsidRPr="006418E2">
        <w:rPr>
          <w:bCs/>
        </w:rPr>
        <w:t>,</w:t>
      </w:r>
      <w:r w:rsidRPr="006418E2">
        <w:rPr>
          <w:bCs/>
        </w:rPr>
        <w:t xml:space="preserve"> fn. 6.)</w:t>
      </w:r>
      <w:r w:rsidRPr="006418E2">
        <w:rPr>
          <w:bCs/>
        </w:rPr>
        <w:t xml:space="preserve"> </w:t>
      </w:r>
      <w:r w:rsidRPr="006418E2">
        <w:rPr>
          <w:bCs/>
        </w:rPr>
        <w:t xml:space="preserve"> This case is distinguishable from </w:t>
      </w:r>
      <w:r w:rsidRPr="006418E2">
        <w:rPr>
          <w:bCs/>
          <w:i/>
          <w:iCs/>
        </w:rPr>
        <w:t>Rodriguez</w:t>
      </w:r>
      <w:r w:rsidRPr="006418E2">
        <w:rPr>
          <w:bCs/>
        </w:rPr>
        <w:t xml:space="preserve"> for several reasons</w:t>
      </w:r>
      <w:r w:rsidRPr="006418E2">
        <w:rPr>
          <w:bCs/>
        </w:rPr>
        <w:t>.</w:t>
      </w:r>
      <w:r w:rsidRPr="006418E2">
        <w:rPr>
          <w:bCs/>
        </w:rPr>
        <w:t xml:space="preserve"> </w:t>
      </w:r>
    </w:p>
    <w:p w14:paraId="6AEFEF8D" w14:textId="77777777" w:rsidR="00932EE2" w:rsidRPr="006418E2" w:rsidRDefault="00932EE2" w:rsidP="006418E2">
      <w:pPr>
        <w:rPr>
          <w:bCs/>
        </w:rPr>
      </w:pPr>
      <w:r w:rsidRPr="006418E2">
        <w:rPr>
          <w:bCs/>
        </w:rPr>
        <w:tab/>
        <w:t>First, o</w:t>
      </w:r>
      <w:r w:rsidRPr="006418E2">
        <w:rPr>
          <w:bCs/>
        </w:rPr>
        <w:t xml:space="preserve">n March 9, the </w:t>
      </w:r>
      <w:r w:rsidRPr="006418E2">
        <w:rPr>
          <w:bCs/>
        </w:rPr>
        <w:t>initial</w:t>
      </w:r>
      <w:r w:rsidRPr="006418E2">
        <w:rPr>
          <w:bCs/>
        </w:rPr>
        <w:t xml:space="preserve"> day of the preliminary examination, Molina’s counsel</w:t>
      </w:r>
      <w:r w:rsidRPr="006418E2">
        <w:rPr>
          <w:bCs/>
        </w:rPr>
        <w:t xml:space="preserve"> </w:t>
      </w:r>
      <w:r w:rsidRPr="006418E2">
        <w:rPr>
          <w:bCs/>
        </w:rPr>
        <w:t xml:space="preserve">objected </w:t>
      </w:r>
      <w:r w:rsidRPr="006418E2">
        <w:rPr>
          <w:bCs/>
        </w:rPr>
        <w:t xml:space="preserve">to </w:t>
      </w:r>
      <w:r w:rsidRPr="006418E2">
        <w:rPr>
          <w:bCs/>
        </w:rPr>
        <w:t xml:space="preserve">the prospect of sharing a single interpreter among the </w:t>
      </w:r>
      <w:r w:rsidRPr="006418E2">
        <w:rPr>
          <w:bCs/>
        </w:rPr>
        <w:t xml:space="preserve">three </w:t>
      </w:r>
      <w:r w:rsidRPr="006418E2">
        <w:rPr>
          <w:bCs/>
        </w:rPr>
        <w:t>defendants.  C</w:t>
      </w:r>
      <w:r w:rsidRPr="006418E2">
        <w:rPr>
          <w:bCs/>
        </w:rPr>
        <w:t xml:space="preserve">odefendant </w:t>
      </w:r>
      <w:r w:rsidRPr="006418E2">
        <w:rPr>
          <w:bCs/>
        </w:rPr>
        <w:t xml:space="preserve">Lopez’s counsel </w:t>
      </w:r>
      <w:r w:rsidRPr="006418E2">
        <w:rPr>
          <w:bCs/>
        </w:rPr>
        <w:t xml:space="preserve">joined in the objection and raised the ongoing issues with the headsets “where sometimes not all the words are interpreted or understood by the mechanism of the headset.  Therefore, </w:t>
      </w:r>
      <w:r w:rsidRPr="006418E2">
        <w:rPr>
          <w:bCs/>
        </w:rPr>
        <w:t>[</w:t>
      </w:r>
      <w:r>
        <w:rPr>
          <w:bCs/>
        </w:rPr>
        <w:t>my</w:t>
      </w:r>
      <w:r w:rsidRPr="006418E2">
        <w:rPr>
          <w:bCs/>
        </w:rPr>
        <w:t xml:space="preserve"> </w:t>
      </w:r>
      <w:r w:rsidRPr="006418E2">
        <w:rPr>
          <w:bCs/>
        </w:rPr>
        <w:t xml:space="preserve">client was </w:t>
      </w:r>
      <w:r w:rsidRPr="006418E2">
        <w:rPr>
          <w:bCs/>
        </w:rPr>
        <w:t>being]</w:t>
      </w:r>
      <w:r w:rsidRPr="006418E2">
        <w:rPr>
          <w:bCs/>
        </w:rPr>
        <w:t xml:space="preserve"> </w:t>
      </w:r>
      <w:r w:rsidRPr="006418E2">
        <w:rPr>
          <w:bCs/>
        </w:rPr>
        <w:t xml:space="preserve">denied his right to … confront and cross-examine the witnesses against him.”  </w:t>
      </w:r>
      <w:r w:rsidRPr="006418E2">
        <w:rPr>
          <w:bCs/>
        </w:rPr>
        <w:t>Codefendant Juarez’s counsel</w:t>
      </w:r>
      <w:r w:rsidRPr="006418E2">
        <w:rPr>
          <w:bCs/>
        </w:rPr>
        <w:t xml:space="preserve"> </w:t>
      </w:r>
      <w:r w:rsidRPr="006418E2">
        <w:rPr>
          <w:bCs/>
        </w:rPr>
        <w:t>added</w:t>
      </w:r>
      <w:r w:rsidRPr="006418E2">
        <w:rPr>
          <w:bCs/>
        </w:rPr>
        <w:t xml:space="preserve"> “it’s</w:t>
      </w:r>
      <w:r w:rsidRPr="006418E2">
        <w:rPr>
          <w:bCs/>
        </w:rPr>
        <w:t xml:space="preserve"> very hard to effectively represent</w:t>
      </w:r>
      <w:r w:rsidRPr="006418E2">
        <w:rPr>
          <w:bCs/>
        </w:rPr>
        <w:t xml:space="preserve"> [</w:t>
      </w:r>
      <w:r>
        <w:rPr>
          <w:bCs/>
        </w:rPr>
        <w:t>my</w:t>
      </w:r>
      <w:r w:rsidRPr="006418E2">
        <w:rPr>
          <w:bCs/>
        </w:rPr>
        <w:t xml:space="preserve"> </w:t>
      </w:r>
      <w:r w:rsidRPr="006418E2">
        <w:rPr>
          <w:bCs/>
        </w:rPr>
        <w:t>client]</w:t>
      </w:r>
      <w:r w:rsidRPr="006418E2">
        <w:rPr>
          <w:bCs/>
        </w:rPr>
        <w:t xml:space="preserve"> without the ability to confer with him during the proceedings when we have a situation with the headphones.”  The prosecutor was also keenly aware of the significance of this problem and the risk of proceeding with the </w:t>
      </w:r>
      <w:r w:rsidRPr="006418E2">
        <w:rPr>
          <w:bCs/>
        </w:rPr>
        <w:t xml:space="preserve">preliminary </w:t>
      </w:r>
      <w:r w:rsidRPr="006418E2">
        <w:rPr>
          <w:bCs/>
        </w:rPr>
        <w:t>examination</w:t>
      </w:r>
      <w:r w:rsidRPr="006418E2">
        <w:rPr>
          <w:bCs/>
        </w:rPr>
        <w:t xml:space="preserve"> under these circumstances.  She stated, “I </w:t>
      </w:r>
      <w:proofErr w:type="gramStart"/>
      <w:r w:rsidRPr="006418E2">
        <w:rPr>
          <w:bCs/>
        </w:rPr>
        <w:lastRenderedPageBreak/>
        <w:t>actually join</w:t>
      </w:r>
      <w:proofErr w:type="gramEnd"/>
      <w:r w:rsidRPr="006418E2">
        <w:rPr>
          <w:bCs/>
        </w:rPr>
        <w:t xml:space="preserve"> in the concerns </w:t>
      </w:r>
      <w:r>
        <w:rPr>
          <w:bCs/>
        </w:rPr>
        <w:t>[</w:t>
      </w:r>
      <w:r w:rsidRPr="006418E2">
        <w:rPr>
          <w:bCs/>
        </w:rPr>
        <w:t>of the defendants</w:t>
      </w:r>
      <w:r>
        <w:rPr>
          <w:bCs/>
        </w:rPr>
        <w:t>]</w:t>
      </w:r>
      <w:r w:rsidRPr="006418E2">
        <w:rPr>
          <w:bCs/>
        </w:rPr>
        <w:t xml:space="preserve"> </w:t>
      </w:r>
      <w:r w:rsidRPr="006418E2">
        <w:rPr>
          <w:bCs/>
        </w:rPr>
        <w:t>Your Honor … given the complexity of this case</w:t>
      </w:r>
      <w:r>
        <w:rPr>
          <w:bCs/>
        </w:rPr>
        <w:t>.</w:t>
      </w:r>
      <w:r w:rsidRPr="006418E2">
        <w:rPr>
          <w:rFonts w:cstheme="minorHAnsi"/>
        </w:rPr>
        <w:t xml:space="preserve"> …</w:t>
      </w:r>
      <w:r>
        <w:rPr>
          <w:rFonts w:cstheme="minorHAnsi"/>
        </w:rPr>
        <w:t xml:space="preserve"> </w:t>
      </w:r>
      <w:r w:rsidRPr="006418E2">
        <w:rPr>
          <w:rFonts w:cstheme="minorHAnsi"/>
        </w:rPr>
        <w:t>[</w:t>
      </w:r>
      <w:proofErr w:type="gramStart"/>
      <w:r w:rsidRPr="006418E2">
        <w:rPr>
          <w:rFonts w:cstheme="minorHAnsi"/>
        </w:rPr>
        <w:t>¶]</w:t>
      </w:r>
      <w:r>
        <w:rPr>
          <w:rFonts w:cstheme="minorHAnsi"/>
        </w:rPr>
        <w:t xml:space="preserve"> </w:t>
      </w:r>
      <w:r w:rsidRPr="006418E2">
        <w:rPr>
          <w:rFonts w:cstheme="minorHAnsi"/>
        </w:rPr>
        <w:t xml:space="preserve"> </w:t>
      </w:r>
      <w:r w:rsidRPr="006418E2">
        <w:rPr>
          <w:bCs/>
        </w:rPr>
        <w:t>I</w:t>
      </w:r>
      <w:proofErr w:type="gramEnd"/>
      <w:r w:rsidRPr="006418E2">
        <w:rPr>
          <w:bCs/>
        </w:rPr>
        <w:t xml:space="preserve"> certainly don’t want to go through a preliminary hearing just to have to do it again.” </w:t>
      </w:r>
    </w:p>
    <w:p w14:paraId="11C5EECF" w14:textId="77777777" w:rsidR="00932EE2" w:rsidRPr="006418E2" w:rsidRDefault="00932EE2" w:rsidP="006418E2">
      <w:pPr>
        <w:rPr>
          <w:bCs/>
        </w:rPr>
      </w:pPr>
      <w:r w:rsidRPr="006418E2">
        <w:rPr>
          <w:bCs/>
        </w:rPr>
        <w:tab/>
      </w:r>
      <w:r w:rsidRPr="006418E2">
        <w:rPr>
          <w:bCs/>
        </w:rPr>
        <w:t xml:space="preserve">The objections concerning the limited number of interpreters continued throughout the preliminary </w:t>
      </w:r>
      <w:r w:rsidRPr="006418E2">
        <w:rPr>
          <w:bCs/>
        </w:rPr>
        <w:t xml:space="preserve">examination.  </w:t>
      </w:r>
      <w:r w:rsidRPr="006418E2">
        <w:rPr>
          <w:bCs/>
        </w:rPr>
        <w:t xml:space="preserve">Unlike </w:t>
      </w:r>
      <w:r w:rsidRPr="006418E2">
        <w:rPr>
          <w:bCs/>
          <w:i/>
          <w:iCs/>
        </w:rPr>
        <w:t>Rodri</w:t>
      </w:r>
      <w:r w:rsidRPr="006418E2">
        <w:rPr>
          <w:bCs/>
          <w:i/>
          <w:iCs/>
        </w:rPr>
        <w:t>guez</w:t>
      </w:r>
      <w:r w:rsidRPr="006418E2">
        <w:rPr>
          <w:bCs/>
        </w:rPr>
        <w:t>, t</w:t>
      </w:r>
      <w:r w:rsidRPr="006418E2">
        <w:rPr>
          <w:bCs/>
        </w:rPr>
        <w:t>he preliminary examination record</w:t>
      </w:r>
      <w:r w:rsidRPr="006418E2">
        <w:rPr>
          <w:bCs/>
        </w:rPr>
        <w:t xml:space="preserve"> in this case</w:t>
      </w:r>
      <w:r w:rsidRPr="006418E2">
        <w:rPr>
          <w:bCs/>
        </w:rPr>
        <w:t xml:space="preserve"> is replete with ongoing objections by counsel</w:t>
      </w:r>
      <w:r w:rsidRPr="006418E2">
        <w:rPr>
          <w:bCs/>
        </w:rPr>
        <w:t>,</w:t>
      </w:r>
      <w:r w:rsidRPr="006418E2">
        <w:rPr>
          <w:bCs/>
        </w:rPr>
        <w:t xml:space="preserve"> </w:t>
      </w:r>
      <w:r w:rsidRPr="006418E2">
        <w:rPr>
          <w:bCs/>
        </w:rPr>
        <w:t>problems</w:t>
      </w:r>
      <w:r w:rsidRPr="006418E2">
        <w:rPr>
          <w:bCs/>
        </w:rPr>
        <w:t xml:space="preserve"> hearing witnesses</w:t>
      </w:r>
      <w:r w:rsidRPr="006418E2">
        <w:rPr>
          <w:bCs/>
        </w:rPr>
        <w:t>,</w:t>
      </w:r>
      <w:r w:rsidRPr="006418E2">
        <w:rPr>
          <w:bCs/>
        </w:rPr>
        <w:t xml:space="preserve"> or </w:t>
      </w:r>
      <w:r w:rsidRPr="006418E2">
        <w:rPr>
          <w:bCs/>
        </w:rPr>
        <w:t>improperly working</w:t>
      </w:r>
      <w:r w:rsidRPr="006418E2">
        <w:rPr>
          <w:bCs/>
        </w:rPr>
        <w:t xml:space="preserve"> headsets. </w:t>
      </w:r>
      <w:r w:rsidRPr="006418E2">
        <w:rPr>
          <w:bCs/>
        </w:rPr>
        <w:t xml:space="preserve"> For example, </w:t>
      </w:r>
      <w:r w:rsidRPr="006418E2">
        <w:rPr>
          <w:bCs/>
        </w:rPr>
        <w:t xml:space="preserve">counsel for codefendant Lopez </w:t>
      </w:r>
      <w:r w:rsidRPr="006418E2">
        <w:rPr>
          <w:bCs/>
        </w:rPr>
        <w:t xml:space="preserve">informed the court that her client could not “hear anything on his headphones” </w:t>
      </w:r>
      <w:r w:rsidRPr="006418E2">
        <w:rPr>
          <w:bCs/>
        </w:rPr>
        <w:t>on M</w:t>
      </w:r>
      <w:r>
        <w:rPr>
          <w:bCs/>
        </w:rPr>
        <w:t>arch</w:t>
      </w:r>
      <w:r w:rsidRPr="006418E2">
        <w:rPr>
          <w:bCs/>
        </w:rPr>
        <w:t xml:space="preserve"> 9, 2020 (Day 1)</w:t>
      </w:r>
      <w:r w:rsidRPr="006418E2">
        <w:rPr>
          <w:bCs/>
        </w:rPr>
        <w:t xml:space="preserve">. </w:t>
      </w:r>
      <w:r w:rsidRPr="006418E2">
        <w:rPr>
          <w:bCs/>
        </w:rPr>
        <w:t xml:space="preserve"> </w:t>
      </w:r>
      <w:r w:rsidRPr="006418E2">
        <w:rPr>
          <w:bCs/>
        </w:rPr>
        <w:t>O</w:t>
      </w:r>
      <w:r w:rsidRPr="006418E2">
        <w:rPr>
          <w:bCs/>
        </w:rPr>
        <w:t>n Ma</w:t>
      </w:r>
      <w:r>
        <w:rPr>
          <w:bCs/>
        </w:rPr>
        <w:t>rch</w:t>
      </w:r>
      <w:r w:rsidRPr="006418E2">
        <w:rPr>
          <w:bCs/>
        </w:rPr>
        <w:t xml:space="preserve"> 10, 2020 (Day 2), </w:t>
      </w:r>
      <w:r w:rsidRPr="006418E2">
        <w:rPr>
          <w:bCs/>
        </w:rPr>
        <w:t xml:space="preserve">Lopez’s counsel said </w:t>
      </w:r>
      <w:r w:rsidRPr="006418E2">
        <w:rPr>
          <w:bCs/>
        </w:rPr>
        <w:t xml:space="preserve">that </w:t>
      </w:r>
      <w:r w:rsidRPr="006418E2">
        <w:rPr>
          <w:bCs/>
        </w:rPr>
        <w:t>there was feedback on “t</w:t>
      </w:r>
      <w:r w:rsidRPr="006418E2">
        <w:rPr>
          <w:bCs/>
        </w:rPr>
        <w:t>he headset” and later said there was “</w:t>
      </w:r>
      <w:r w:rsidRPr="006418E2">
        <w:rPr>
          <w:bCs/>
        </w:rPr>
        <w:t>a crackling, static sound going on with my client’s headphone</w:t>
      </w:r>
      <w:r w:rsidRPr="006418E2">
        <w:rPr>
          <w:bCs/>
        </w:rPr>
        <w:t xml:space="preserve">” </w:t>
      </w:r>
      <w:r w:rsidRPr="006418E2">
        <w:rPr>
          <w:bCs/>
        </w:rPr>
        <w:t>which caused her</w:t>
      </w:r>
      <w:r w:rsidRPr="006418E2">
        <w:rPr>
          <w:bCs/>
        </w:rPr>
        <w:t xml:space="preserve"> </w:t>
      </w:r>
      <w:r w:rsidRPr="006418E2">
        <w:rPr>
          <w:bCs/>
        </w:rPr>
        <w:t>“</w:t>
      </w:r>
      <w:proofErr w:type="gramStart"/>
      <w:r w:rsidRPr="006418E2">
        <w:rPr>
          <w:bCs/>
        </w:rPr>
        <w:t>concern</w:t>
      </w:r>
      <w:r w:rsidRPr="006418E2">
        <w:rPr>
          <w:bCs/>
        </w:rPr>
        <w:t>[</w:t>
      </w:r>
      <w:proofErr w:type="gramEnd"/>
      <w:r w:rsidRPr="006418E2">
        <w:rPr>
          <w:bCs/>
        </w:rPr>
        <w:t>]</w:t>
      </w:r>
      <w:r w:rsidRPr="006418E2">
        <w:rPr>
          <w:bCs/>
        </w:rPr>
        <w:t xml:space="preserve"> </w:t>
      </w:r>
      <w:r w:rsidRPr="006418E2">
        <w:rPr>
          <w:bCs/>
        </w:rPr>
        <w:t>[as to]</w:t>
      </w:r>
      <w:r w:rsidRPr="006418E2">
        <w:rPr>
          <w:bCs/>
        </w:rPr>
        <w:t xml:space="preserve"> how that’s affecting his ability to perceive everything that’s happening</w:t>
      </w:r>
      <w:r w:rsidRPr="006418E2">
        <w:rPr>
          <w:bCs/>
        </w:rPr>
        <w:t>.</w:t>
      </w:r>
      <w:r w:rsidRPr="006418E2">
        <w:rPr>
          <w:bCs/>
        </w:rPr>
        <w:t>”</w:t>
      </w:r>
      <w:r w:rsidRPr="006418E2">
        <w:rPr>
          <w:bCs/>
        </w:rPr>
        <w:t xml:space="preserve"> </w:t>
      </w:r>
      <w:r w:rsidRPr="006418E2">
        <w:rPr>
          <w:bCs/>
        </w:rPr>
        <w:t xml:space="preserve"> </w:t>
      </w:r>
      <w:r w:rsidRPr="006418E2">
        <w:rPr>
          <w:bCs/>
        </w:rPr>
        <w:t xml:space="preserve">At the August 17, </w:t>
      </w:r>
      <w:proofErr w:type="gramStart"/>
      <w:r w:rsidRPr="006418E2">
        <w:rPr>
          <w:bCs/>
        </w:rPr>
        <w:t>2020</w:t>
      </w:r>
      <w:proofErr w:type="gramEnd"/>
      <w:r w:rsidRPr="006418E2">
        <w:rPr>
          <w:bCs/>
        </w:rPr>
        <w:t xml:space="preserve"> hearing </w:t>
      </w:r>
      <w:r w:rsidRPr="006418E2">
        <w:rPr>
          <w:bCs/>
        </w:rPr>
        <w:t>(Day 4)</w:t>
      </w:r>
      <w:r w:rsidRPr="006418E2">
        <w:rPr>
          <w:bCs/>
        </w:rPr>
        <w:t>,</w:t>
      </w:r>
      <w:r w:rsidRPr="006418E2">
        <w:rPr>
          <w:bCs/>
        </w:rPr>
        <w:t xml:space="preserve"> </w:t>
      </w:r>
      <w:r w:rsidRPr="006418E2">
        <w:rPr>
          <w:bCs/>
        </w:rPr>
        <w:t xml:space="preserve">as Molina’s counsel was beginning his cross-examination of Witness 1, he </w:t>
      </w:r>
      <w:r w:rsidRPr="006418E2">
        <w:rPr>
          <w:bCs/>
        </w:rPr>
        <w:t>renewed his objection to not having an individual interpreter</w:t>
      </w:r>
      <w:r w:rsidRPr="006418E2">
        <w:rPr>
          <w:bCs/>
        </w:rPr>
        <w:t xml:space="preserve">, </w:t>
      </w:r>
      <w:r w:rsidRPr="006418E2">
        <w:rPr>
          <w:bCs/>
        </w:rPr>
        <w:t>add</w:t>
      </w:r>
      <w:r w:rsidRPr="006418E2">
        <w:rPr>
          <w:bCs/>
        </w:rPr>
        <w:t>ing</w:t>
      </w:r>
      <w:r w:rsidRPr="006418E2">
        <w:rPr>
          <w:bCs/>
        </w:rPr>
        <w:t xml:space="preserve"> that </w:t>
      </w:r>
      <w:r w:rsidRPr="006418E2">
        <w:rPr>
          <w:bCs/>
        </w:rPr>
        <w:t xml:space="preserve">the </w:t>
      </w:r>
      <w:r w:rsidRPr="006418E2">
        <w:rPr>
          <w:bCs/>
        </w:rPr>
        <w:t xml:space="preserve">COVID protocols increased the challenges of having a single interpreter. </w:t>
      </w:r>
      <w:r w:rsidRPr="006418E2">
        <w:rPr>
          <w:bCs/>
        </w:rPr>
        <w:t xml:space="preserve"> Counsel </w:t>
      </w:r>
      <w:r w:rsidRPr="006418E2">
        <w:rPr>
          <w:bCs/>
        </w:rPr>
        <w:t xml:space="preserve">stated, “I believe the situation today to maintain social distancing is different than what we had five months ago. </w:t>
      </w:r>
      <w:r w:rsidRPr="006418E2">
        <w:rPr>
          <w:bCs/>
        </w:rPr>
        <w:t xml:space="preserve"> </w:t>
      </w:r>
      <w:r w:rsidRPr="006418E2">
        <w:rPr>
          <w:bCs/>
        </w:rPr>
        <w:t>My understanding is that the interpreter tha</w:t>
      </w:r>
      <w:r w:rsidRPr="006418E2">
        <w:rPr>
          <w:bCs/>
        </w:rPr>
        <w:t xml:space="preserve">t is translating for the defendants will also be translating for the witness, and the witness’s answer will be translated by a different interpreter. </w:t>
      </w:r>
      <w:r w:rsidRPr="006418E2">
        <w:rPr>
          <w:bCs/>
        </w:rPr>
        <w:t xml:space="preserve"> </w:t>
      </w:r>
      <w:r w:rsidRPr="006418E2">
        <w:rPr>
          <w:bCs/>
        </w:rPr>
        <w:t xml:space="preserve">To the extent that that is even farther afield than my position, I want to raise an objection and just make the record clear on that.”  </w:t>
      </w:r>
      <w:r w:rsidRPr="006418E2">
        <w:rPr>
          <w:bCs/>
        </w:rPr>
        <w:t xml:space="preserve">Then, on </w:t>
      </w:r>
      <w:r w:rsidRPr="006418E2">
        <w:rPr>
          <w:bCs/>
        </w:rPr>
        <w:t>June 1, 2021</w:t>
      </w:r>
      <w:r w:rsidRPr="006418E2">
        <w:rPr>
          <w:bCs/>
        </w:rPr>
        <w:t xml:space="preserve"> (Day 10)</w:t>
      </w:r>
      <w:r w:rsidRPr="006418E2">
        <w:rPr>
          <w:bCs/>
        </w:rPr>
        <w:t xml:space="preserve">, just before Witness 2 took the stand, Molina’s counsel </w:t>
      </w:r>
      <w:r w:rsidRPr="006418E2">
        <w:rPr>
          <w:bCs/>
        </w:rPr>
        <w:t>renewed his objection and made</w:t>
      </w:r>
      <w:r w:rsidRPr="006418E2">
        <w:rPr>
          <w:bCs/>
        </w:rPr>
        <w:t xml:space="preserve"> “a continuing motion </w:t>
      </w:r>
      <w:r w:rsidRPr="006418E2">
        <w:rPr>
          <w:bCs/>
        </w:rPr>
        <w:t xml:space="preserve">… </w:t>
      </w:r>
      <w:r w:rsidRPr="006418E2">
        <w:rPr>
          <w:bCs/>
        </w:rPr>
        <w:t xml:space="preserve">that each defendant is entitled to have their own interpreter.” </w:t>
      </w:r>
    </w:p>
    <w:p w14:paraId="716734F7" w14:textId="77777777" w:rsidR="00932EE2" w:rsidRPr="006418E2" w:rsidRDefault="00932EE2" w:rsidP="006418E2">
      <w:pPr>
        <w:rPr>
          <w:bCs/>
        </w:rPr>
      </w:pPr>
      <w:r w:rsidRPr="006418E2">
        <w:rPr>
          <w:bCs/>
        </w:rPr>
        <w:tab/>
        <w:t>We specifically highlight the problem</w:t>
      </w:r>
      <w:r w:rsidRPr="006418E2">
        <w:rPr>
          <w:bCs/>
        </w:rPr>
        <w:t xml:space="preserve"> noted</w:t>
      </w:r>
      <w:r w:rsidRPr="006418E2">
        <w:rPr>
          <w:bCs/>
        </w:rPr>
        <w:t xml:space="preserve"> by </w:t>
      </w:r>
      <w:r w:rsidRPr="006418E2">
        <w:rPr>
          <w:bCs/>
        </w:rPr>
        <w:t xml:space="preserve">Molina’s </w:t>
      </w:r>
      <w:r w:rsidRPr="006418E2">
        <w:rPr>
          <w:bCs/>
        </w:rPr>
        <w:t>counsel after the testimony of Witness 1</w:t>
      </w:r>
      <w:r w:rsidRPr="006418E2">
        <w:rPr>
          <w:bCs/>
        </w:rPr>
        <w:t xml:space="preserve">.  </w:t>
      </w:r>
      <w:r w:rsidRPr="006418E2">
        <w:rPr>
          <w:bCs/>
        </w:rPr>
        <w:t>After each question was presented in English to Witness 1, the</w:t>
      </w:r>
      <w:r w:rsidRPr="006418E2">
        <w:rPr>
          <w:bCs/>
        </w:rPr>
        <w:t xml:space="preserve"> </w:t>
      </w:r>
      <w:r w:rsidRPr="006418E2">
        <w:rPr>
          <w:bCs/>
        </w:rPr>
        <w:t xml:space="preserve">proceedings </w:t>
      </w:r>
      <w:r w:rsidRPr="006418E2">
        <w:rPr>
          <w:bCs/>
        </w:rPr>
        <w:t>interpreter</w:t>
      </w:r>
      <w:r w:rsidRPr="006418E2">
        <w:rPr>
          <w:bCs/>
        </w:rPr>
        <w:t xml:space="preserve"> </w:t>
      </w:r>
      <w:r w:rsidRPr="006418E2">
        <w:rPr>
          <w:bCs/>
        </w:rPr>
        <w:t xml:space="preserve">provided a Spanish translation </w:t>
      </w:r>
      <w:r w:rsidRPr="006418E2">
        <w:rPr>
          <w:bCs/>
        </w:rPr>
        <w:t xml:space="preserve">of the question </w:t>
      </w:r>
      <w:r w:rsidRPr="006418E2">
        <w:rPr>
          <w:bCs/>
        </w:rPr>
        <w:t>to the</w:t>
      </w:r>
      <w:r w:rsidRPr="006418E2">
        <w:rPr>
          <w:bCs/>
        </w:rPr>
        <w:t xml:space="preserve"> three</w:t>
      </w:r>
      <w:r w:rsidRPr="006418E2">
        <w:rPr>
          <w:bCs/>
        </w:rPr>
        <w:t xml:space="preserve"> </w:t>
      </w:r>
      <w:r w:rsidRPr="006418E2">
        <w:rPr>
          <w:bCs/>
        </w:rPr>
        <w:lastRenderedPageBreak/>
        <w:t>defendants</w:t>
      </w:r>
      <w:r w:rsidRPr="006418E2">
        <w:rPr>
          <w:bCs/>
        </w:rPr>
        <w:t xml:space="preserve">, the witness, and the general audience.  </w:t>
      </w:r>
      <w:r w:rsidRPr="006418E2">
        <w:rPr>
          <w:bCs/>
        </w:rPr>
        <w:t>After Witness 1 provided a response in Spanish</w:t>
      </w:r>
      <w:r w:rsidRPr="006418E2">
        <w:rPr>
          <w:bCs/>
        </w:rPr>
        <w:t xml:space="preserve">, the witness interpreter translated </w:t>
      </w:r>
      <w:r w:rsidRPr="006418E2">
        <w:rPr>
          <w:bCs/>
        </w:rPr>
        <w:t>Witness 1’s</w:t>
      </w:r>
      <w:r w:rsidRPr="006418E2">
        <w:rPr>
          <w:bCs/>
        </w:rPr>
        <w:t xml:space="preserve"> response into English for the record</w:t>
      </w:r>
      <w:r w:rsidRPr="006418E2">
        <w:rPr>
          <w:bCs/>
        </w:rPr>
        <w:t>.</w:t>
      </w:r>
      <w:r w:rsidRPr="006418E2">
        <w:rPr>
          <w:bCs/>
        </w:rPr>
        <w:t xml:space="preserve">  It appears </w:t>
      </w:r>
      <w:r w:rsidRPr="006418E2">
        <w:rPr>
          <w:bCs/>
        </w:rPr>
        <w:t xml:space="preserve">undisputed </w:t>
      </w:r>
      <w:r w:rsidRPr="006418E2">
        <w:rPr>
          <w:bCs/>
        </w:rPr>
        <w:t>from the record</w:t>
      </w:r>
      <w:r w:rsidRPr="006418E2">
        <w:rPr>
          <w:bCs/>
        </w:rPr>
        <w:t xml:space="preserve"> that t</w:t>
      </w:r>
      <w:r w:rsidRPr="006418E2">
        <w:rPr>
          <w:bCs/>
        </w:rPr>
        <w:t xml:space="preserve">he defendants </w:t>
      </w:r>
      <w:r w:rsidRPr="006418E2">
        <w:rPr>
          <w:bCs/>
          <w:i/>
          <w:iCs/>
        </w:rPr>
        <w:t xml:space="preserve">never received a Spanish </w:t>
      </w:r>
      <w:r w:rsidRPr="006418E2">
        <w:rPr>
          <w:bCs/>
          <w:i/>
          <w:iCs/>
        </w:rPr>
        <w:t>translation</w:t>
      </w:r>
      <w:r w:rsidRPr="006418E2">
        <w:rPr>
          <w:bCs/>
          <w:i/>
          <w:iCs/>
        </w:rPr>
        <w:t xml:space="preserve"> of the </w:t>
      </w:r>
      <w:r w:rsidRPr="006418E2">
        <w:rPr>
          <w:bCs/>
          <w:i/>
          <w:iCs/>
        </w:rPr>
        <w:t xml:space="preserve">English which </w:t>
      </w:r>
      <w:r w:rsidRPr="006418E2">
        <w:rPr>
          <w:bCs/>
          <w:i/>
          <w:iCs/>
        </w:rPr>
        <w:t>became</w:t>
      </w:r>
      <w:r w:rsidRPr="006418E2">
        <w:rPr>
          <w:bCs/>
          <w:i/>
          <w:iCs/>
        </w:rPr>
        <w:t xml:space="preserve"> the </w:t>
      </w:r>
      <w:r w:rsidRPr="006418E2">
        <w:rPr>
          <w:bCs/>
          <w:i/>
          <w:iCs/>
        </w:rPr>
        <w:t>record</w:t>
      </w:r>
      <w:r w:rsidRPr="006418E2">
        <w:rPr>
          <w:bCs/>
        </w:rPr>
        <w:t xml:space="preserve"> related to Witness 1’s testimony. </w:t>
      </w:r>
      <w:r w:rsidRPr="006418E2">
        <w:rPr>
          <w:bCs/>
        </w:rPr>
        <w:t xml:space="preserve"> </w:t>
      </w:r>
      <w:r w:rsidRPr="006418E2">
        <w:rPr>
          <w:bCs/>
        </w:rPr>
        <w:t xml:space="preserve">Molina’s counsel objected that </w:t>
      </w:r>
      <w:r w:rsidRPr="006418E2">
        <w:rPr>
          <w:bCs/>
        </w:rPr>
        <w:t>his client, as relates to the critical testimony of Witness 1, “did not hear what was placed in the record.”</w:t>
      </w:r>
      <w:r w:rsidRPr="006418E2">
        <w:rPr>
          <w:bCs/>
        </w:rPr>
        <w:t xml:space="preserve"> </w:t>
      </w:r>
    </w:p>
    <w:p w14:paraId="1F67E9A9" w14:textId="77777777" w:rsidR="00932EE2" w:rsidRPr="006418E2" w:rsidRDefault="00932EE2" w:rsidP="006418E2">
      <w:pPr>
        <w:rPr>
          <w:bCs/>
        </w:rPr>
      </w:pPr>
      <w:r w:rsidRPr="006418E2">
        <w:rPr>
          <w:bCs/>
        </w:rPr>
        <w:tab/>
      </w:r>
      <w:r w:rsidRPr="006418E2">
        <w:rPr>
          <w:bCs/>
        </w:rPr>
        <w:t>W</w:t>
      </w:r>
      <w:r w:rsidRPr="006418E2">
        <w:rPr>
          <w:bCs/>
        </w:rPr>
        <w:t xml:space="preserve">ithout the </w:t>
      </w:r>
      <w:r w:rsidRPr="006418E2">
        <w:rPr>
          <w:bCs/>
        </w:rPr>
        <w:t>assistance of an individual interpreter</w:t>
      </w:r>
      <w:r w:rsidRPr="006418E2">
        <w:rPr>
          <w:bCs/>
        </w:rPr>
        <w:t xml:space="preserve"> to provide such translation for Witness 1</w:t>
      </w:r>
      <w:r w:rsidRPr="006418E2">
        <w:rPr>
          <w:bCs/>
        </w:rPr>
        <w:t xml:space="preserve">, neither Molina nor his attorney were </w:t>
      </w:r>
      <w:proofErr w:type="gramStart"/>
      <w:r w:rsidRPr="006418E2">
        <w:rPr>
          <w:bCs/>
        </w:rPr>
        <w:t>in a position</w:t>
      </w:r>
      <w:proofErr w:type="gramEnd"/>
      <w:r w:rsidRPr="006418E2">
        <w:rPr>
          <w:bCs/>
        </w:rPr>
        <w:t xml:space="preserve"> to challenge the </w:t>
      </w:r>
      <w:r w:rsidRPr="006418E2">
        <w:rPr>
          <w:bCs/>
        </w:rPr>
        <w:t xml:space="preserve">contents of a </w:t>
      </w:r>
      <w:r>
        <w:rPr>
          <w:bCs/>
        </w:rPr>
        <w:t>key</w:t>
      </w:r>
      <w:r w:rsidRPr="006418E2">
        <w:rPr>
          <w:bCs/>
        </w:rPr>
        <w:t xml:space="preserve"> portion of the</w:t>
      </w:r>
      <w:r w:rsidRPr="006418E2">
        <w:rPr>
          <w:bCs/>
        </w:rPr>
        <w:t xml:space="preserve"> record which was utilized </w:t>
      </w:r>
      <w:r w:rsidRPr="006418E2">
        <w:rPr>
          <w:bCs/>
        </w:rPr>
        <w:t>to</w:t>
      </w:r>
      <w:r w:rsidRPr="006418E2">
        <w:rPr>
          <w:bCs/>
        </w:rPr>
        <w:t xml:space="preserve"> establish the elements of the charges and related enhancements.  Such an error is not minor or inconsequential. </w:t>
      </w:r>
      <w:r w:rsidRPr="006418E2">
        <w:rPr>
          <w:bCs/>
        </w:rPr>
        <w:t xml:space="preserve"> </w:t>
      </w:r>
      <w:r w:rsidRPr="006418E2">
        <w:rPr>
          <w:bCs/>
        </w:rPr>
        <w:t>“[I]f a defendant does not understand both questions and answers, he is denied the ability to ‘spontaneously</w:t>
      </w:r>
      <w:r>
        <w:rPr>
          <w:bCs/>
        </w:rPr>
        <w:t xml:space="preserve"> </w:t>
      </w:r>
      <w:r w:rsidRPr="006418E2">
        <w:rPr>
          <w:bCs/>
        </w:rPr>
        <w:t>understand’ the testimony.”  (</w:t>
      </w:r>
      <w:r w:rsidRPr="006418E2">
        <w:rPr>
          <w:bCs/>
          <w:i/>
          <w:iCs/>
        </w:rPr>
        <w:t>In re Dung T.</w:t>
      </w:r>
      <w:r w:rsidRPr="006418E2">
        <w:rPr>
          <w:bCs/>
        </w:rPr>
        <w:t xml:space="preserve"> (1984) 160 Cal.App.3d 697, 708.) </w:t>
      </w:r>
      <w:r w:rsidRPr="006418E2">
        <w:rPr>
          <w:bCs/>
        </w:rPr>
        <w:t xml:space="preserve"> </w:t>
      </w:r>
    </w:p>
    <w:p w14:paraId="707BAAAB" w14:textId="77777777" w:rsidR="00932EE2" w:rsidRPr="006418E2" w:rsidRDefault="00932EE2" w:rsidP="006418E2">
      <w:pPr>
        <w:rPr>
          <w:bCs/>
        </w:rPr>
      </w:pPr>
      <w:r w:rsidRPr="006418E2">
        <w:rPr>
          <w:bCs/>
        </w:rPr>
        <w:tab/>
      </w:r>
      <w:r>
        <w:rPr>
          <w:bCs/>
        </w:rPr>
        <w:t>T</w:t>
      </w:r>
      <w:r w:rsidRPr="006418E2">
        <w:rPr>
          <w:bCs/>
        </w:rPr>
        <w:t xml:space="preserve">he California Supreme Court in </w:t>
      </w:r>
      <w:r w:rsidRPr="006418E2">
        <w:rPr>
          <w:bCs/>
          <w:i/>
          <w:iCs/>
        </w:rPr>
        <w:t>Aguilar</w:t>
      </w:r>
      <w:r w:rsidRPr="006418E2">
        <w:rPr>
          <w:bCs/>
        </w:rPr>
        <w:t xml:space="preserve"> noted the importance of having two interpreters: One to interpret a non-English-speaking witness’s testimony into English for the record and the second to translate the English translation back into the defendant’s language in order “to check the accuracy or competency of the</w:t>
      </w:r>
      <w:r w:rsidRPr="006418E2">
        <w:rPr>
          <w:bCs/>
        </w:rPr>
        <w:t xml:space="preserve"> </w:t>
      </w:r>
      <w:r w:rsidRPr="006418E2">
        <w:rPr>
          <w:bCs/>
        </w:rPr>
        <w:t>witness</w:t>
      </w:r>
      <w:r w:rsidRPr="006418E2">
        <w:rPr>
          <w:bCs/>
        </w:rPr>
        <w:t xml:space="preserve"> </w:t>
      </w:r>
      <w:r w:rsidRPr="006418E2">
        <w:rPr>
          <w:bCs/>
        </w:rPr>
        <w:t>interpreter’s</w:t>
      </w:r>
      <w:r>
        <w:rPr>
          <w:bCs/>
        </w:rPr>
        <w:t xml:space="preserve"> </w:t>
      </w:r>
      <w:r w:rsidRPr="006418E2">
        <w:rPr>
          <w:bCs/>
        </w:rPr>
        <w:t>translation.”  (</w:t>
      </w:r>
      <w:r w:rsidRPr="006418E2">
        <w:rPr>
          <w:bCs/>
          <w:i/>
          <w:iCs/>
        </w:rPr>
        <w:t>Aguilar</w:t>
      </w:r>
      <w:r w:rsidRPr="006418E2">
        <w:rPr>
          <w:bCs/>
        </w:rPr>
        <w:t xml:space="preserve">, </w:t>
      </w:r>
      <w:r w:rsidRPr="006418E2">
        <w:rPr>
          <w:bCs/>
          <w:i/>
          <w:iCs/>
        </w:rPr>
        <w:t>supra</w:t>
      </w:r>
      <w:r w:rsidRPr="006418E2">
        <w:rPr>
          <w:bCs/>
        </w:rPr>
        <w:t>, 35 Cal.3d at p. 793, fn. 10.)  Without a second interpreter, the defense is “effectively preclude[d] … from challenging or impeaching the int</w:t>
      </w:r>
      <w:r w:rsidRPr="006418E2">
        <w:rPr>
          <w:bCs/>
        </w:rPr>
        <w:t>erpretation rendered, because objection regarding accuracy of the interpretation must be made below.  [Citation.]”  (</w:t>
      </w:r>
      <w:r w:rsidRPr="006418E2">
        <w:rPr>
          <w:bCs/>
          <w:i/>
          <w:iCs/>
        </w:rPr>
        <w:t>Ibid</w:t>
      </w:r>
      <w:r w:rsidRPr="006418E2">
        <w:rPr>
          <w:bCs/>
        </w:rPr>
        <w:t xml:space="preserve">.) </w:t>
      </w:r>
      <w:r w:rsidRPr="006418E2">
        <w:rPr>
          <w:bCs/>
        </w:rPr>
        <w:t xml:space="preserve"> </w:t>
      </w:r>
      <w:r w:rsidRPr="006418E2">
        <w:rPr>
          <w:bCs/>
        </w:rPr>
        <w:t>In this case, without an individual interpreter for himself and another for witnesses, the preliminary examination “is reduced to ‘a babble of voices.</w:t>
      </w:r>
      <w:proofErr w:type="gramStart"/>
      <w:r w:rsidRPr="006418E2">
        <w:rPr>
          <w:bCs/>
        </w:rPr>
        <w:t>’ ”</w:t>
      </w:r>
      <w:proofErr w:type="gramEnd"/>
      <w:r w:rsidRPr="006418E2">
        <w:rPr>
          <w:bCs/>
        </w:rPr>
        <w:t xml:space="preserve">  (</w:t>
      </w:r>
      <w:r w:rsidRPr="00881851">
        <w:rPr>
          <w:bCs/>
          <w:i/>
          <w:iCs/>
        </w:rPr>
        <w:t>Id</w:t>
      </w:r>
      <w:r>
        <w:rPr>
          <w:bCs/>
        </w:rPr>
        <w:t xml:space="preserve">. </w:t>
      </w:r>
      <w:r w:rsidRPr="006418E2">
        <w:rPr>
          <w:bCs/>
        </w:rPr>
        <w:t>at p. 794.)</w:t>
      </w:r>
      <w:r w:rsidRPr="006418E2">
        <w:rPr>
          <w:bCs/>
        </w:rPr>
        <w:tab/>
      </w:r>
    </w:p>
    <w:p w14:paraId="534F5DC0" w14:textId="77777777" w:rsidR="00932EE2" w:rsidRPr="006418E2" w:rsidRDefault="00932EE2" w:rsidP="006418E2">
      <w:pPr>
        <w:rPr>
          <w:bCs/>
        </w:rPr>
      </w:pPr>
      <w:r w:rsidRPr="006418E2">
        <w:rPr>
          <w:bCs/>
        </w:rPr>
        <w:tab/>
      </w:r>
      <w:r w:rsidRPr="006418E2">
        <w:rPr>
          <w:bCs/>
        </w:rPr>
        <w:t xml:space="preserve">The Attorney General argues that the record from the preliminary examination does not indicate that Molina’s ability to communicate with counsel or comprehend what was occurring at the hearing was materially impacted by sharing an interpreter with his </w:t>
      </w:r>
      <w:r w:rsidRPr="006418E2">
        <w:rPr>
          <w:bCs/>
        </w:rPr>
        <w:lastRenderedPageBreak/>
        <w:t xml:space="preserve">codefendants and witnesses.  </w:t>
      </w:r>
      <w:r w:rsidRPr="006418E2">
        <w:rPr>
          <w:bCs/>
        </w:rPr>
        <w:t xml:space="preserve">The Attorney General does not articulate what the record </w:t>
      </w:r>
      <w:r w:rsidRPr="009E2DD3">
        <w:rPr>
          <w:bCs/>
          <w:i/>
          <w:iCs/>
        </w:rPr>
        <w:t>should</w:t>
      </w:r>
      <w:r w:rsidRPr="006418E2">
        <w:rPr>
          <w:bCs/>
        </w:rPr>
        <w:t xml:space="preserve"> show </w:t>
      </w:r>
      <w:r w:rsidRPr="006418E2">
        <w:rPr>
          <w:bCs/>
        </w:rPr>
        <w:t xml:space="preserve">beyond the repeated objections of </w:t>
      </w:r>
      <w:r w:rsidRPr="006418E2">
        <w:rPr>
          <w:bCs/>
        </w:rPr>
        <w:t>defense counsel</w:t>
      </w:r>
      <w:r w:rsidRPr="006418E2">
        <w:rPr>
          <w:bCs/>
        </w:rPr>
        <w:t xml:space="preserve"> and confirmation </w:t>
      </w:r>
      <w:r w:rsidRPr="006418E2">
        <w:rPr>
          <w:bCs/>
        </w:rPr>
        <w:t xml:space="preserve">that </w:t>
      </w:r>
      <w:r w:rsidRPr="006418E2">
        <w:rPr>
          <w:bCs/>
        </w:rPr>
        <w:t xml:space="preserve">a </w:t>
      </w:r>
      <w:r w:rsidRPr="006418E2">
        <w:rPr>
          <w:bCs/>
        </w:rPr>
        <w:t>critical portion of the record w</w:t>
      </w:r>
      <w:r w:rsidRPr="006418E2">
        <w:rPr>
          <w:bCs/>
        </w:rPr>
        <w:t>as</w:t>
      </w:r>
      <w:r w:rsidRPr="006418E2">
        <w:rPr>
          <w:bCs/>
        </w:rPr>
        <w:t xml:space="preserve"> not </w:t>
      </w:r>
      <w:r w:rsidRPr="006418E2">
        <w:rPr>
          <w:bCs/>
        </w:rPr>
        <w:t>translated into Spanish</w:t>
      </w:r>
      <w:r w:rsidRPr="006418E2">
        <w:rPr>
          <w:bCs/>
        </w:rPr>
        <w:t xml:space="preserve"> for Molina</w:t>
      </w:r>
      <w:r w:rsidRPr="006418E2">
        <w:rPr>
          <w:bCs/>
        </w:rPr>
        <w:t>.</w:t>
      </w:r>
      <w:r w:rsidRPr="006418E2">
        <w:rPr>
          <w:bCs/>
        </w:rPr>
        <w:t xml:space="preserve">  </w:t>
      </w:r>
      <w:r w:rsidRPr="006418E2">
        <w:rPr>
          <w:bCs/>
        </w:rPr>
        <w:t>For example,</w:t>
      </w:r>
      <w:r w:rsidRPr="006418E2">
        <w:rPr>
          <w:bCs/>
        </w:rPr>
        <w:t xml:space="preserve"> we do not</w:t>
      </w:r>
      <w:r w:rsidRPr="006418E2">
        <w:rPr>
          <w:bCs/>
        </w:rPr>
        <w:t xml:space="preserve"> expect Molina</w:t>
      </w:r>
      <w:r w:rsidRPr="006418E2">
        <w:rPr>
          <w:bCs/>
        </w:rPr>
        <w:t xml:space="preserve"> or his attorney</w:t>
      </w:r>
      <w:r w:rsidRPr="006418E2">
        <w:rPr>
          <w:bCs/>
        </w:rPr>
        <w:t xml:space="preserve"> to waive attorney-client privilege and disclose to this court and the prosecution</w:t>
      </w:r>
      <w:r w:rsidRPr="006418E2">
        <w:rPr>
          <w:bCs/>
        </w:rPr>
        <w:t>—</w:t>
      </w:r>
      <w:r w:rsidRPr="006418E2">
        <w:rPr>
          <w:bCs/>
        </w:rPr>
        <w:t>while charges are currently pending in the trial court</w:t>
      </w:r>
      <w:r w:rsidRPr="006418E2">
        <w:rPr>
          <w:bCs/>
        </w:rPr>
        <w:t>—</w:t>
      </w:r>
      <w:r w:rsidRPr="006418E2">
        <w:rPr>
          <w:bCs/>
        </w:rPr>
        <w:t>what</w:t>
      </w:r>
      <w:r w:rsidRPr="006418E2">
        <w:rPr>
          <w:bCs/>
        </w:rPr>
        <w:t xml:space="preserve"> </w:t>
      </w:r>
      <w:r w:rsidRPr="006418E2">
        <w:rPr>
          <w:bCs/>
        </w:rPr>
        <w:t>subject</w:t>
      </w:r>
      <w:r w:rsidRPr="006418E2">
        <w:rPr>
          <w:bCs/>
        </w:rPr>
        <w:t xml:space="preserve"> matters</w:t>
      </w:r>
      <w:r w:rsidRPr="006418E2">
        <w:rPr>
          <w:bCs/>
        </w:rPr>
        <w:t xml:space="preserve"> </w:t>
      </w:r>
      <w:r w:rsidRPr="006418E2">
        <w:rPr>
          <w:bCs/>
        </w:rPr>
        <w:t>Molina</w:t>
      </w:r>
      <w:r w:rsidRPr="006418E2">
        <w:rPr>
          <w:bCs/>
        </w:rPr>
        <w:t xml:space="preserve"> </w:t>
      </w:r>
      <w:r w:rsidRPr="006418E2">
        <w:rPr>
          <w:bCs/>
        </w:rPr>
        <w:t xml:space="preserve">misunderstood or </w:t>
      </w:r>
      <w:r w:rsidRPr="006418E2">
        <w:rPr>
          <w:bCs/>
        </w:rPr>
        <w:t xml:space="preserve">that he </w:t>
      </w:r>
      <w:r w:rsidRPr="006418E2">
        <w:rPr>
          <w:bCs/>
        </w:rPr>
        <w:t xml:space="preserve">might have discussed with counsel at the preliminary examination but was unable to do so due to the lack of an </w:t>
      </w:r>
      <w:r w:rsidRPr="006418E2">
        <w:rPr>
          <w:bCs/>
        </w:rPr>
        <w:t xml:space="preserve">individual </w:t>
      </w:r>
      <w:r w:rsidRPr="006418E2">
        <w:rPr>
          <w:bCs/>
        </w:rPr>
        <w:t>interpreter.</w:t>
      </w:r>
      <w:r w:rsidRPr="006418E2">
        <w:rPr>
          <w:bCs/>
        </w:rPr>
        <w:t xml:space="preserve">  </w:t>
      </w:r>
    </w:p>
    <w:p w14:paraId="26CC83DD" w14:textId="77777777" w:rsidR="00932EE2" w:rsidRPr="006418E2" w:rsidRDefault="00932EE2" w:rsidP="006418E2">
      <w:pPr>
        <w:rPr>
          <w:bCs/>
        </w:rPr>
      </w:pPr>
      <w:r w:rsidRPr="006418E2">
        <w:rPr>
          <w:bCs/>
        </w:rPr>
        <w:tab/>
      </w:r>
      <w:r w:rsidRPr="006418E2">
        <w:rPr>
          <w:bCs/>
        </w:rPr>
        <w:t>The Attorney General als</w:t>
      </w:r>
      <w:r w:rsidRPr="006418E2">
        <w:rPr>
          <w:bCs/>
        </w:rPr>
        <w:t xml:space="preserve">o </w:t>
      </w:r>
      <w:r w:rsidRPr="006418E2">
        <w:rPr>
          <w:bCs/>
        </w:rPr>
        <w:t xml:space="preserve">finds </w:t>
      </w:r>
      <w:r>
        <w:rPr>
          <w:bCs/>
        </w:rPr>
        <w:t xml:space="preserve">it </w:t>
      </w:r>
      <w:r w:rsidRPr="006418E2">
        <w:rPr>
          <w:bCs/>
        </w:rPr>
        <w:t>significant that</w:t>
      </w:r>
      <w:r w:rsidRPr="006418E2">
        <w:rPr>
          <w:bCs/>
        </w:rPr>
        <w:t xml:space="preserve"> </w:t>
      </w:r>
      <w:r w:rsidRPr="006418E2">
        <w:rPr>
          <w:bCs/>
        </w:rPr>
        <w:t xml:space="preserve">the court invited the </w:t>
      </w:r>
      <w:r w:rsidRPr="006418E2">
        <w:rPr>
          <w:bCs/>
        </w:rPr>
        <w:t xml:space="preserve">defendants </w:t>
      </w:r>
      <w:r w:rsidRPr="006418E2">
        <w:rPr>
          <w:bCs/>
        </w:rPr>
        <w:t>to</w:t>
      </w:r>
      <w:r w:rsidRPr="006418E2">
        <w:rPr>
          <w:bCs/>
        </w:rPr>
        <w:t xml:space="preserve"> ask for</w:t>
      </w:r>
      <w:r w:rsidRPr="006418E2">
        <w:rPr>
          <w:bCs/>
        </w:rPr>
        <w:t xml:space="preserve"> breaks</w:t>
      </w:r>
      <w:r w:rsidRPr="006418E2">
        <w:rPr>
          <w:bCs/>
        </w:rPr>
        <w:t xml:space="preserve"> if they wanted to speak with</w:t>
      </w:r>
      <w:r w:rsidRPr="006418E2">
        <w:rPr>
          <w:bCs/>
        </w:rPr>
        <w:t xml:space="preserve"> </w:t>
      </w:r>
      <w:r w:rsidRPr="006418E2">
        <w:rPr>
          <w:bCs/>
        </w:rPr>
        <w:t>their attorney during the preliminary examination</w:t>
      </w:r>
      <w:r w:rsidRPr="006418E2">
        <w:rPr>
          <w:bCs/>
        </w:rPr>
        <w:t>.</w:t>
      </w:r>
      <w:r w:rsidRPr="006418E2">
        <w:rPr>
          <w:bCs/>
        </w:rPr>
        <w:t xml:space="preserve">  However, we are</w:t>
      </w:r>
      <w:r w:rsidRPr="006418E2">
        <w:rPr>
          <w:bCs/>
        </w:rPr>
        <w:t xml:space="preserve"> not persuaded that the magistrate’s standing offer to interrupt the proceedings if any of the defendants wished to communicate privately with counsel </w:t>
      </w:r>
      <w:r w:rsidRPr="006418E2">
        <w:rPr>
          <w:bCs/>
        </w:rPr>
        <w:t>adequately addressed</w:t>
      </w:r>
      <w:r w:rsidRPr="006418E2">
        <w:rPr>
          <w:bCs/>
        </w:rPr>
        <w:t xml:space="preserve"> the prejudice</w:t>
      </w:r>
      <w:r w:rsidRPr="006418E2">
        <w:rPr>
          <w:bCs/>
        </w:rPr>
        <w:t xml:space="preserve"> shown here</w:t>
      </w:r>
      <w:r w:rsidRPr="006418E2">
        <w:rPr>
          <w:bCs/>
        </w:rPr>
        <w:t>.  “The fact that a defendant can arrange for consultation with his attorney by interrupting the proceedings has been held to be insufficient to dispel prejudice.”  (</w:t>
      </w:r>
      <w:r w:rsidRPr="006418E2">
        <w:rPr>
          <w:bCs/>
          <w:i/>
          <w:iCs/>
        </w:rPr>
        <w:t>People v. Baez</w:t>
      </w:r>
      <w:r w:rsidRPr="006418E2">
        <w:rPr>
          <w:bCs/>
        </w:rPr>
        <w:t xml:space="preserve"> (1987) 195 Cal.App.3d 1431, 1436.) </w:t>
      </w:r>
      <w:r w:rsidRPr="006418E2">
        <w:rPr>
          <w:bCs/>
        </w:rPr>
        <w:t xml:space="preserve"> Mo</w:t>
      </w:r>
      <w:r w:rsidRPr="006418E2">
        <w:rPr>
          <w:bCs/>
        </w:rPr>
        <w:t xml:space="preserve">reover, </w:t>
      </w:r>
      <w:r w:rsidRPr="006418E2">
        <w:rPr>
          <w:bCs/>
        </w:rPr>
        <w:t>we note that</w:t>
      </w:r>
      <w:r>
        <w:rPr>
          <w:bCs/>
        </w:rPr>
        <w:t>, on the first day of the preliminary examination,</w:t>
      </w:r>
      <w:r w:rsidRPr="006418E2">
        <w:rPr>
          <w:bCs/>
        </w:rPr>
        <w:t xml:space="preserve"> </w:t>
      </w:r>
      <w:r w:rsidRPr="006418E2">
        <w:rPr>
          <w:bCs/>
        </w:rPr>
        <w:t xml:space="preserve">Molina’s counsel asked to speak with </w:t>
      </w:r>
      <w:r w:rsidRPr="006418E2">
        <w:rPr>
          <w:bCs/>
        </w:rPr>
        <w:t xml:space="preserve">his </w:t>
      </w:r>
      <w:r w:rsidRPr="006418E2">
        <w:rPr>
          <w:bCs/>
        </w:rPr>
        <w:t>client privately</w:t>
      </w:r>
      <w:r w:rsidRPr="006418E2">
        <w:rPr>
          <w:bCs/>
        </w:rPr>
        <w:t xml:space="preserve">, </w:t>
      </w:r>
      <w:r w:rsidRPr="006418E2">
        <w:rPr>
          <w:bCs/>
        </w:rPr>
        <w:t>and</w:t>
      </w:r>
      <w:r w:rsidRPr="006418E2">
        <w:rPr>
          <w:bCs/>
        </w:rPr>
        <w:t xml:space="preserve"> the court ask</w:t>
      </w:r>
      <w:r w:rsidRPr="006418E2">
        <w:rPr>
          <w:bCs/>
        </w:rPr>
        <w:t>ed</w:t>
      </w:r>
      <w:r w:rsidRPr="006418E2">
        <w:rPr>
          <w:bCs/>
        </w:rPr>
        <w:t>,</w:t>
      </w:r>
      <w:r w:rsidRPr="006418E2">
        <w:rPr>
          <w:bCs/>
        </w:rPr>
        <w:t xml:space="preserve"> “For how long?” </w:t>
      </w:r>
      <w:r w:rsidRPr="006418E2">
        <w:rPr>
          <w:bCs/>
        </w:rPr>
        <w:t xml:space="preserve"> </w:t>
      </w:r>
      <w:r w:rsidRPr="006418E2">
        <w:rPr>
          <w:bCs/>
        </w:rPr>
        <w:t>The court’s</w:t>
      </w:r>
      <w:r w:rsidRPr="006418E2">
        <w:rPr>
          <w:bCs/>
        </w:rPr>
        <w:t xml:space="preserve"> query</w:t>
      </w:r>
      <w:r w:rsidRPr="006418E2">
        <w:rPr>
          <w:bCs/>
        </w:rPr>
        <w:t xml:space="preserve">, under these circumstances, </w:t>
      </w:r>
      <w:r>
        <w:rPr>
          <w:bCs/>
        </w:rPr>
        <w:t xml:space="preserve">could </w:t>
      </w:r>
      <w:r>
        <w:rPr>
          <w:bCs/>
        </w:rPr>
        <w:t xml:space="preserve">reasonably be understood to </w:t>
      </w:r>
      <w:r w:rsidRPr="006418E2">
        <w:rPr>
          <w:bCs/>
        </w:rPr>
        <w:t xml:space="preserve">convey that </w:t>
      </w:r>
      <w:r w:rsidRPr="006418E2">
        <w:rPr>
          <w:bCs/>
        </w:rPr>
        <w:t xml:space="preserve">attorney-client </w:t>
      </w:r>
      <w:r w:rsidRPr="006418E2">
        <w:rPr>
          <w:bCs/>
        </w:rPr>
        <w:t>communications</w:t>
      </w:r>
      <w:r w:rsidRPr="006418E2">
        <w:rPr>
          <w:bCs/>
        </w:rPr>
        <w:t xml:space="preserve"> would</w:t>
      </w:r>
      <w:r w:rsidRPr="006418E2">
        <w:rPr>
          <w:bCs/>
        </w:rPr>
        <w:t xml:space="preserve"> </w:t>
      </w:r>
      <w:r w:rsidRPr="006418E2">
        <w:rPr>
          <w:bCs/>
        </w:rPr>
        <w:t>not be without</w:t>
      </w:r>
      <w:r w:rsidRPr="006418E2">
        <w:rPr>
          <w:bCs/>
        </w:rPr>
        <w:t xml:space="preserve"> limit</w:t>
      </w:r>
      <w:r w:rsidRPr="006418E2">
        <w:rPr>
          <w:bCs/>
        </w:rPr>
        <w:t>ations</w:t>
      </w:r>
      <w:r w:rsidRPr="006418E2">
        <w:rPr>
          <w:bCs/>
        </w:rPr>
        <w:t xml:space="preserve"> during these proceedings</w:t>
      </w:r>
      <w:r w:rsidRPr="006418E2">
        <w:rPr>
          <w:bCs/>
        </w:rPr>
        <w:t>.</w:t>
      </w:r>
    </w:p>
    <w:p w14:paraId="0EEB8B75" w14:textId="77777777" w:rsidR="00932EE2" w:rsidRPr="006418E2" w:rsidRDefault="00932EE2" w:rsidP="006418E2">
      <w:pPr>
        <w:rPr>
          <w:bCs/>
        </w:rPr>
      </w:pPr>
      <w:r w:rsidRPr="006418E2">
        <w:rPr>
          <w:bCs/>
        </w:rPr>
        <w:tab/>
      </w:r>
      <w:r w:rsidRPr="006418E2">
        <w:rPr>
          <w:bCs/>
        </w:rPr>
        <w:t xml:space="preserve">In a criminal trial or preliminary examination involving either an English-speaking defendant or a non-English speaking defendant, it is necessary for a </w:t>
      </w:r>
      <w:r w:rsidRPr="006418E2">
        <w:rPr>
          <w:bCs/>
        </w:rPr>
        <w:t>defendant and counsel to have some means of immediate communication as testimony is being taken, objections are being made, and rulings by the court are issued.</w:t>
      </w:r>
      <w:r w:rsidRPr="006418E2">
        <w:rPr>
          <w:bCs/>
        </w:rPr>
        <w:t xml:space="preserve">  </w:t>
      </w:r>
      <w:r w:rsidRPr="006418E2">
        <w:rPr>
          <w:bCs/>
        </w:rPr>
        <w:t xml:space="preserve">As stated in </w:t>
      </w:r>
      <w:r w:rsidRPr="006418E2">
        <w:rPr>
          <w:bCs/>
          <w:i/>
          <w:iCs/>
        </w:rPr>
        <w:t>People v. Rioz</w:t>
      </w:r>
      <w:r w:rsidRPr="006418E2">
        <w:rPr>
          <w:bCs/>
        </w:rPr>
        <w:t xml:space="preserve"> (1984) 161 Cal.App.3d 905, “in any proceeding at which witnesses are called and testimony taken, </w:t>
      </w:r>
      <w:r w:rsidRPr="006418E2">
        <w:rPr>
          <w:bCs/>
          <w:i/>
          <w:iCs/>
        </w:rPr>
        <w:t xml:space="preserve">the fundamental rights of a defendant to understand the proceedings </w:t>
      </w:r>
      <w:r w:rsidRPr="006418E2">
        <w:rPr>
          <w:bCs/>
          <w:i/>
          <w:iCs/>
        </w:rPr>
        <w:lastRenderedPageBreak/>
        <w:t>bein</w:t>
      </w:r>
      <w:r w:rsidRPr="006418E2">
        <w:rPr>
          <w:bCs/>
          <w:i/>
          <w:iCs/>
        </w:rPr>
        <w:t>g taken against him and to immediately communicate with counsel when the need arises require that each non-English-speaking defendant be afforded an individual interpreter throughout the proceedings</w:t>
      </w:r>
      <w:r w:rsidRPr="006418E2">
        <w:rPr>
          <w:bCs/>
        </w:rPr>
        <w:t>.”  (</w:t>
      </w:r>
      <w:r w:rsidRPr="006418E2">
        <w:rPr>
          <w:bCs/>
          <w:i/>
          <w:iCs/>
        </w:rPr>
        <w:t>Id</w:t>
      </w:r>
      <w:r w:rsidRPr="006418E2">
        <w:rPr>
          <w:bCs/>
        </w:rPr>
        <w:t xml:space="preserve">. at p. 913, italics added.)  Because “the one interpreter could not act even as a proceedings interpreter and as defense interpreter for all defendants, the conclusion is inescapable that [a] </w:t>
      </w:r>
      <w:proofErr w:type="gramStart"/>
      <w:r w:rsidRPr="006418E2">
        <w:rPr>
          <w:bCs/>
        </w:rPr>
        <w:t>defendant[</w:t>
      </w:r>
      <w:proofErr w:type="gramEnd"/>
      <w:r w:rsidRPr="006418E2">
        <w:rPr>
          <w:bCs/>
        </w:rPr>
        <w:t xml:space="preserve">] [will] not know at all times what [is] going on in the proceedings, or they had no effective means of </w:t>
      </w:r>
      <w:r w:rsidRPr="006418E2">
        <w:rPr>
          <w:bCs/>
        </w:rPr>
        <w:t>communicating with their respective attorneys at critical points of the [proceeding], or both.”  (</w:t>
      </w:r>
      <w:r w:rsidRPr="006418E2">
        <w:rPr>
          <w:bCs/>
          <w:i/>
          <w:iCs/>
        </w:rPr>
        <w:t>Ibid</w:t>
      </w:r>
      <w:r w:rsidRPr="006418E2">
        <w:rPr>
          <w:bCs/>
        </w:rPr>
        <w:t xml:space="preserve">.)  </w:t>
      </w:r>
      <w:r w:rsidRPr="006418E2">
        <w:rPr>
          <w:bCs/>
        </w:rPr>
        <w:t>Similarly, requiring that Molina share a proceedings</w:t>
      </w:r>
      <w:r w:rsidRPr="006418E2">
        <w:rPr>
          <w:bCs/>
        </w:rPr>
        <w:t xml:space="preserve"> </w:t>
      </w:r>
      <w:r w:rsidRPr="006418E2">
        <w:rPr>
          <w:bCs/>
        </w:rPr>
        <w:t>interpreter</w:t>
      </w:r>
      <w:r w:rsidRPr="006418E2">
        <w:rPr>
          <w:bCs/>
        </w:rPr>
        <w:t xml:space="preserve"> </w:t>
      </w:r>
      <w:r w:rsidRPr="006418E2">
        <w:rPr>
          <w:bCs/>
        </w:rPr>
        <w:t xml:space="preserve">during his preliminary hearing </w:t>
      </w:r>
      <w:r w:rsidRPr="006418E2">
        <w:rPr>
          <w:bCs/>
        </w:rPr>
        <w:t xml:space="preserve">involving </w:t>
      </w:r>
      <w:r>
        <w:rPr>
          <w:bCs/>
        </w:rPr>
        <w:t>three defendants</w:t>
      </w:r>
      <w:r w:rsidRPr="006418E2">
        <w:rPr>
          <w:bCs/>
        </w:rPr>
        <w:t xml:space="preserve"> </w:t>
      </w:r>
      <w:r w:rsidRPr="006418E2">
        <w:rPr>
          <w:bCs/>
        </w:rPr>
        <w:t>limited Molina’s ability to meaningfully engage with counsel for his own defense during a critical stage of the proceeding.</w:t>
      </w:r>
      <w:r w:rsidRPr="006418E2">
        <w:rPr>
          <w:bCs/>
        </w:rPr>
        <w:t xml:space="preserve"> </w:t>
      </w:r>
    </w:p>
    <w:p w14:paraId="7D51B6A1" w14:textId="77777777" w:rsidR="00932EE2" w:rsidRPr="006418E2" w:rsidRDefault="00932EE2" w:rsidP="006418E2">
      <w:pPr>
        <w:rPr>
          <w:bCs/>
        </w:rPr>
      </w:pPr>
      <w:r w:rsidRPr="006418E2">
        <w:rPr>
          <w:bCs/>
        </w:rPr>
        <w:tab/>
      </w:r>
      <w:r w:rsidRPr="006418E2">
        <w:rPr>
          <w:bCs/>
        </w:rPr>
        <w:t>Second</w:t>
      </w:r>
      <w:r w:rsidRPr="006418E2">
        <w:rPr>
          <w:bCs/>
        </w:rPr>
        <w:t>, the</w:t>
      </w:r>
      <w:r w:rsidRPr="006418E2">
        <w:rPr>
          <w:bCs/>
        </w:rPr>
        <w:t xml:space="preserve"> error in failing to provide an individual interpreter </w:t>
      </w:r>
      <w:r w:rsidRPr="006418E2">
        <w:rPr>
          <w:bCs/>
        </w:rPr>
        <w:t xml:space="preserve">for Molina </w:t>
      </w:r>
      <w:r w:rsidRPr="006418E2">
        <w:rPr>
          <w:bCs/>
        </w:rPr>
        <w:t>was compounded by the importance</w:t>
      </w:r>
      <w:r w:rsidRPr="006418E2">
        <w:rPr>
          <w:bCs/>
        </w:rPr>
        <w:t xml:space="preserve"> and </w:t>
      </w:r>
      <w:r>
        <w:rPr>
          <w:bCs/>
        </w:rPr>
        <w:t xml:space="preserve">the </w:t>
      </w:r>
      <w:r w:rsidRPr="006418E2">
        <w:rPr>
          <w:bCs/>
        </w:rPr>
        <w:t xml:space="preserve">compromised </w:t>
      </w:r>
      <w:r w:rsidRPr="006418E2">
        <w:rPr>
          <w:bCs/>
        </w:rPr>
        <w:t>nature of</w:t>
      </w:r>
      <w:r w:rsidRPr="006418E2">
        <w:rPr>
          <w:bCs/>
        </w:rPr>
        <w:t xml:space="preserve"> Witness 1 and Witness 2’s testimony</w:t>
      </w:r>
      <w:r w:rsidRPr="006418E2">
        <w:rPr>
          <w:bCs/>
        </w:rPr>
        <w:t>.  Their testimony</w:t>
      </w:r>
      <w:r w:rsidRPr="006418E2">
        <w:rPr>
          <w:bCs/>
        </w:rPr>
        <w:t xml:space="preserve"> formed, in part, the basis for the holding order for the crimes </w:t>
      </w:r>
      <w:r w:rsidRPr="006418E2">
        <w:rPr>
          <w:bCs/>
        </w:rPr>
        <w:t xml:space="preserve">of </w:t>
      </w:r>
      <w:r w:rsidRPr="006418E2">
        <w:rPr>
          <w:bCs/>
        </w:rPr>
        <w:t>conspiracy to commit murder</w:t>
      </w:r>
      <w:r w:rsidRPr="006418E2">
        <w:rPr>
          <w:bCs/>
        </w:rPr>
        <w:t xml:space="preserve">, </w:t>
      </w:r>
      <w:r w:rsidRPr="006418E2">
        <w:rPr>
          <w:bCs/>
        </w:rPr>
        <w:t>murder</w:t>
      </w:r>
      <w:r w:rsidRPr="006418E2">
        <w:rPr>
          <w:bCs/>
        </w:rPr>
        <w:t>,</w:t>
      </w:r>
      <w:r w:rsidRPr="006418E2">
        <w:rPr>
          <w:bCs/>
        </w:rPr>
        <w:t xml:space="preserve"> and </w:t>
      </w:r>
      <w:r w:rsidRPr="006418E2">
        <w:rPr>
          <w:bCs/>
        </w:rPr>
        <w:t xml:space="preserve">the </w:t>
      </w:r>
      <w:r w:rsidRPr="006418E2">
        <w:rPr>
          <w:bCs/>
        </w:rPr>
        <w:t xml:space="preserve">related allegations that the murder was committed by means of lying in wait, committed for </w:t>
      </w:r>
      <w:r w:rsidRPr="006418E2">
        <w:rPr>
          <w:bCs/>
        </w:rPr>
        <w:t xml:space="preserve">the benefit of </w:t>
      </w:r>
      <w:r w:rsidRPr="006418E2">
        <w:rPr>
          <w:bCs/>
        </w:rPr>
        <w:t xml:space="preserve">a street gang, and </w:t>
      </w:r>
      <w:r w:rsidRPr="006418E2">
        <w:rPr>
          <w:bCs/>
        </w:rPr>
        <w:t xml:space="preserve">that Molina </w:t>
      </w:r>
      <w:r w:rsidRPr="006418E2">
        <w:rPr>
          <w:bCs/>
        </w:rPr>
        <w:t>personal</w:t>
      </w:r>
      <w:r w:rsidRPr="006418E2">
        <w:rPr>
          <w:bCs/>
        </w:rPr>
        <w:t>ly</w:t>
      </w:r>
      <w:r w:rsidRPr="006418E2">
        <w:rPr>
          <w:bCs/>
        </w:rPr>
        <w:t xml:space="preserve"> and intentional</w:t>
      </w:r>
      <w:r w:rsidRPr="006418E2">
        <w:rPr>
          <w:bCs/>
        </w:rPr>
        <w:t>ly</w:t>
      </w:r>
      <w:r w:rsidRPr="006418E2">
        <w:rPr>
          <w:bCs/>
        </w:rPr>
        <w:t xml:space="preserve"> discharge</w:t>
      </w:r>
      <w:r w:rsidRPr="006418E2">
        <w:rPr>
          <w:bCs/>
        </w:rPr>
        <w:t>d</w:t>
      </w:r>
      <w:r w:rsidRPr="006418E2">
        <w:rPr>
          <w:bCs/>
        </w:rPr>
        <w:t xml:space="preserve"> a firearm</w:t>
      </w:r>
      <w:r w:rsidRPr="006418E2">
        <w:rPr>
          <w:bCs/>
        </w:rPr>
        <w:t xml:space="preserve"> in committing the murder</w:t>
      </w:r>
      <w:r w:rsidRPr="006418E2">
        <w:rPr>
          <w:bCs/>
        </w:rPr>
        <w:t xml:space="preserve">.  Although there was circumstantial evidence at the preliminary </w:t>
      </w:r>
      <w:r w:rsidRPr="006418E2">
        <w:rPr>
          <w:bCs/>
        </w:rPr>
        <w:t>examination</w:t>
      </w:r>
      <w:r w:rsidRPr="006418E2">
        <w:rPr>
          <w:bCs/>
        </w:rPr>
        <w:t xml:space="preserve"> placing Molina at the scene of the murder</w:t>
      </w:r>
      <w:r w:rsidRPr="006418E2">
        <w:rPr>
          <w:bCs/>
        </w:rPr>
        <w:t xml:space="preserve"> through DNA</w:t>
      </w:r>
      <w:r w:rsidRPr="006418E2">
        <w:rPr>
          <w:bCs/>
        </w:rPr>
        <w:t xml:space="preserve">, </w:t>
      </w:r>
      <w:r w:rsidRPr="006418E2">
        <w:rPr>
          <w:bCs/>
        </w:rPr>
        <w:t xml:space="preserve">the gravamen of the </w:t>
      </w:r>
      <w:r w:rsidRPr="006418E2">
        <w:rPr>
          <w:bCs/>
        </w:rPr>
        <w:t>evidence related to conspiracy</w:t>
      </w:r>
      <w:r w:rsidRPr="006418E2">
        <w:rPr>
          <w:bCs/>
        </w:rPr>
        <w:t xml:space="preserve"> to commit murder, murder, </w:t>
      </w:r>
      <w:r w:rsidRPr="006418E2">
        <w:rPr>
          <w:bCs/>
        </w:rPr>
        <w:t>lying in wait</w:t>
      </w:r>
      <w:r w:rsidRPr="006418E2">
        <w:rPr>
          <w:bCs/>
        </w:rPr>
        <w:t xml:space="preserve">, and </w:t>
      </w:r>
      <w:r w:rsidRPr="006418E2">
        <w:rPr>
          <w:bCs/>
        </w:rPr>
        <w:t>personal and intentional discharge of a firearm</w:t>
      </w:r>
      <w:r w:rsidRPr="006418E2">
        <w:rPr>
          <w:bCs/>
        </w:rPr>
        <w:t xml:space="preserve"> w</w:t>
      </w:r>
      <w:r w:rsidRPr="006418E2">
        <w:rPr>
          <w:bCs/>
        </w:rPr>
        <w:t>as</w:t>
      </w:r>
      <w:r w:rsidRPr="006418E2">
        <w:rPr>
          <w:bCs/>
        </w:rPr>
        <w:t xml:space="preserve"> </w:t>
      </w:r>
      <w:r w:rsidRPr="006418E2">
        <w:rPr>
          <w:bCs/>
        </w:rPr>
        <w:t xml:space="preserve">entirely </w:t>
      </w:r>
      <w:r w:rsidRPr="006418E2">
        <w:rPr>
          <w:bCs/>
        </w:rPr>
        <w:t>dependent on the testimony of Witness 1 and Witness 2</w:t>
      </w:r>
      <w:r w:rsidRPr="00867807">
        <w:rPr>
          <w:bCs/>
        </w:rPr>
        <w:t xml:space="preserve"> </w:t>
      </w:r>
      <w:r w:rsidRPr="006418E2">
        <w:rPr>
          <w:bCs/>
        </w:rPr>
        <w:t xml:space="preserve">and </w:t>
      </w:r>
      <w:r>
        <w:rPr>
          <w:bCs/>
        </w:rPr>
        <w:t xml:space="preserve">their </w:t>
      </w:r>
      <w:r w:rsidRPr="006418E2">
        <w:rPr>
          <w:bCs/>
        </w:rPr>
        <w:t>credibility</w:t>
      </w:r>
      <w:r w:rsidRPr="006418E2">
        <w:rPr>
          <w:bCs/>
        </w:rPr>
        <w:t>.  It is undisputed that both witnesses: 1) had cooperation agreements with the District Attorney’s Office which, in exchan</w:t>
      </w:r>
      <w:r w:rsidRPr="006418E2">
        <w:rPr>
          <w:bCs/>
        </w:rPr>
        <w:t>ge for their testimony against Molina, allowed them to avoid being charged as adult</w:t>
      </w:r>
      <w:r w:rsidRPr="006418E2">
        <w:rPr>
          <w:bCs/>
        </w:rPr>
        <w:t>s</w:t>
      </w:r>
      <w:r w:rsidRPr="006418E2">
        <w:rPr>
          <w:bCs/>
        </w:rPr>
        <w:t>; 2)</w:t>
      </w:r>
      <w:r w:rsidRPr="006418E2">
        <w:rPr>
          <w:bCs/>
        </w:rPr>
        <w:t xml:space="preserve"> testified that</w:t>
      </w:r>
      <w:r w:rsidRPr="006418E2">
        <w:rPr>
          <w:bCs/>
        </w:rPr>
        <w:t xml:space="preserve"> they</w:t>
      </w:r>
      <w:r w:rsidRPr="006418E2">
        <w:rPr>
          <w:bCs/>
        </w:rPr>
        <w:t xml:space="preserve"> directly participated in the murder by stabbing the victim multiple times; and 3) </w:t>
      </w:r>
      <w:r w:rsidRPr="006418E2">
        <w:rPr>
          <w:bCs/>
        </w:rPr>
        <w:lastRenderedPageBreak/>
        <w:t>initially lied to police about their</w:t>
      </w:r>
      <w:r w:rsidRPr="006418E2">
        <w:rPr>
          <w:bCs/>
        </w:rPr>
        <w:t xml:space="preserve"> (and Molina’s)</w:t>
      </w:r>
      <w:r w:rsidRPr="006418E2">
        <w:rPr>
          <w:bCs/>
        </w:rPr>
        <w:t xml:space="preserve"> involvement in the murder.</w:t>
      </w:r>
      <w:r>
        <w:rPr>
          <w:rStyle w:val="FootnoteReference"/>
          <w:bCs/>
        </w:rPr>
        <w:footnoteReference w:id="15"/>
      </w:r>
      <w:r w:rsidRPr="006418E2">
        <w:rPr>
          <w:bCs/>
        </w:rPr>
        <w:t xml:space="preserve"> </w:t>
      </w:r>
      <w:r w:rsidRPr="006418E2">
        <w:rPr>
          <w:bCs/>
        </w:rPr>
        <w:t xml:space="preserve"> </w:t>
      </w:r>
      <w:r w:rsidRPr="006418E2">
        <w:rPr>
          <w:bCs/>
        </w:rPr>
        <w:t xml:space="preserve">In fact, upon learning that other members of the gang were speaking to the police, Witness 1 initially claimed that Witness 2 was the shooter.  </w:t>
      </w:r>
      <w:r w:rsidRPr="006418E2">
        <w:rPr>
          <w:bCs/>
        </w:rPr>
        <w:t xml:space="preserve">Once </w:t>
      </w:r>
      <w:r w:rsidRPr="006418E2">
        <w:rPr>
          <w:bCs/>
        </w:rPr>
        <w:t xml:space="preserve">an offer was made by the District Attorney’s Office, wherein Witness 1 understood that he would not be charged as an adult and would be released at the age of 25, he implicated Molina as the shooter. </w:t>
      </w:r>
      <w:r w:rsidRPr="006418E2">
        <w:rPr>
          <w:bCs/>
        </w:rPr>
        <w:t xml:space="preserve"> </w:t>
      </w:r>
    </w:p>
    <w:p w14:paraId="42D8485B" w14:textId="77777777" w:rsidR="00932EE2" w:rsidRPr="006418E2" w:rsidRDefault="00932EE2" w:rsidP="006418E2">
      <w:pPr>
        <w:rPr>
          <w:bCs/>
        </w:rPr>
      </w:pPr>
      <w:r w:rsidRPr="006418E2">
        <w:rPr>
          <w:bCs/>
        </w:rPr>
        <w:tab/>
      </w:r>
      <w:r w:rsidRPr="006418E2">
        <w:rPr>
          <w:bCs/>
        </w:rPr>
        <w:t xml:space="preserve">The cooperation agreement and the issues with Witness 1 and Witness 2’s testimony </w:t>
      </w:r>
      <w:proofErr w:type="gramStart"/>
      <w:r w:rsidRPr="006418E2">
        <w:rPr>
          <w:bCs/>
        </w:rPr>
        <w:t>do</w:t>
      </w:r>
      <w:proofErr w:type="gramEnd"/>
      <w:r w:rsidRPr="006418E2">
        <w:rPr>
          <w:bCs/>
        </w:rPr>
        <w:t xml:space="preserve"> not mean that </w:t>
      </w:r>
      <w:r w:rsidRPr="006418E2">
        <w:rPr>
          <w:bCs/>
        </w:rPr>
        <w:t xml:space="preserve">these witness </w:t>
      </w:r>
      <w:r w:rsidRPr="006418E2">
        <w:rPr>
          <w:bCs/>
        </w:rPr>
        <w:t xml:space="preserve">could not provide </w:t>
      </w:r>
      <w:r w:rsidRPr="006418E2">
        <w:rPr>
          <w:bCs/>
        </w:rPr>
        <w:t>credible</w:t>
      </w:r>
      <w:r w:rsidRPr="006418E2">
        <w:rPr>
          <w:bCs/>
        </w:rPr>
        <w:t xml:space="preserve"> testimony against Molina.  Rather </w:t>
      </w:r>
      <w:r w:rsidRPr="006418E2">
        <w:rPr>
          <w:bCs/>
        </w:rPr>
        <w:t>these</w:t>
      </w:r>
      <w:r w:rsidRPr="006418E2">
        <w:rPr>
          <w:bCs/>
        </w:rPr>
        <w:t xml:space="preserve"> </w:t>
      </w:r>
      <w:r w:rsidRPr="006418E2">
        <w:rPr>
          <w:bCs/>
        </w:rPr>
        <w:t xml:space="preserve">issues </w:t>
      </w:r>
      <w:r w:rsidRPr="006418E2">
        <w:rPr>
          <w:bCs/>
        </w:rPr>
        <w:t>highlight the importance of affording Molina and his counsel an</w:t>
      </w:r>
      <w:r w:rsidRPr="006418E2">
        <w:rPr>
          <w:bCs/>
        </w:rPr>
        <w:t xml:space="preserve"> immediate</w:t>
      </w:r>
      <w:r w:rsidRPr="006418E2">
        <w:rPr>
          <w:bCs/>
        </w:rPr>
        <w:t xml:space="preserve"> opportunity </w:t>
      </w:r>
      <w:r w:rsidRPr="006418E2">
        <w:rPr>
          <w:bCs/>
        </w:rPr>
        <w:t xml:space="preserve">to </w:t>
      </w:r>
      <w:r w:rsidRPr="006418E2">
        <w:rPr>
          <w:bCs/>
        </w:rPr>
        <w:t>communicate (</w:t>
      </w:r>
      <w:r w:rsidRPr="006418E2">
        <w:rPr>
          <w:bCs/>
        </w:rPr>
        <w:t>through</w:t>
      </w:r>
      <w:r w:rsidRPr="006418E2">
        <w:rPr>
          <w:bCs/>
        </w:rPr>
        <w:t xml:space="preserve"> a</w:t>
      </w:r>
      <w:r w:rsidRPr="006418E2">
        <w:rPr>
          <w:bCs/>
        </w:rPr>
        <w:t xml:space="preserve"> defense</w:t>
      </w:r>
      <w:r w:rsidRPr="006418E2">
        <w:rPr>
          <w:bCs/>
        </w:rPr>
        <w:t xml:space="preserve"> interpreter)</w:t>
      </w:r>
      <w:r w:rsidRPr="006418E2">
        <w:rPr>
          <w:bCs/>
        </w:rPr>
        <w:t xml:space="preserve"> </w:t>
      </w:r>
      <w:proofErr w:type="gramStart"/>
      <w:r w:rsidRPr="006418E2">
        <w:rPr>
          <w:bCs/>
        </w:rPr>
        <w:t xml:space="preserve">in order </w:t>
      </w:r>
      <w:r w:rsidRPr="006418E2">
        <w:rPr>
          <w:bCs/>
        </w:rPr>
        <w:t>to</w:t>
      </w:r>
      <w:proofErr w:type="gramEnd"/>
      <w:r w:rsidRPr="006418E2">
        <w:rPr>
          <w:bCs/>
        </w:rPr>
        <w:t xml:space="preserve"> thoroughly </w:t>
      </w:r>
      <w:r w:rsidRPr="006418E2">
        <w:rPr>
          <w:bCs/>
        </w:rPr>
        <w:t xml:space="preserve">understand and </w:t>
      </w:r>
      <w:r>
        <w:rPr>
          <w:bCs/>
        </w:rPr>
        <w:t>discuss</w:t>
      </w:r>
      <w:r w:rsidRPr="006418E2">
        <w:rPr>
          <w:bCs/>
        </w:rPr>
        <w:t xml:space="preserve"> </w:t>
      </w:r>
      <w:r w:rsidRPr="006418E2">
        <w:rPr>
          <w:bCs/>
        </w:rPr>
        <w:t>their testimony</w:t>
      </w:r>
      <w:r>
        <w:rPr>
          <w:bCs/>
        </w:rPr>
        <w:t xml:space="preserve"> while they were on the </w:t>
      </w:r>
      <w:r>
        <w:rPr>
          <w:bCs/>
        </w:rPr>
        <w:t>stand</w:t>
      </w:r>
      <w:r w:rsidRPr="006418E2">
        <w:rPr>
          <w:bCs/>
        </w:rPr>
        <w:t>.</w:t>
      </w:r>
      <w:r w:rsidRPr="006418E2">
        <w:rPr>
          <w:bCs/>
        </w:rPr>
        <w:t xml:space="preserve"> </w:t>
      </w:r>
      <w:r w:rsidRPr="006418E2">
        <w:rPr>
          <w:bCs/>
        </w:rPr>
        <w:t xml:space="preserve"> In</w:t>
      </w:r>
      <w:r w:rsidRPr="006418E2">
        <w:rPr>
          <w:bCs/>
        </w:rPr>
        <w:t xml:space="preserve"> circumstances</w:t>
      </w:r>
      <w:r w:rsidRPr="006418E2">
        <w:rPr>
          <w:bCs/>
        </w:rPr>
        <w:t xml:space="preserve">, like </w:t>
      </w:r>
      <w:r w:rsidRPr="006418E2">
        <w:rPr>
          <w:bCs/>
        </w:rPr>
        <w:t>here,</w:t>
      </w:r>
      <w:r w:rsidRPr="006418E2">
        <w:rPr>
          <w:bCs/>
        </w:rPr>
        <w:t xml:space="preserve"> where </w:t>
      </w:r>
      <w:r w:rsidRPr="006418E2">
        <w:rPr>
          <w:bCs/>
        </w:rPr>
        <w:t>a defendant</w:t>
      </w:r>
      <w:r w:rsidRPr="006418E2">
        <w:rPr>
          <w:bCs/>
        </w:rPr>
        <w:t xml:space="preserve"> </w:t>
      </w:r>
      <w:r w:rsidRPr="006418E2">
        <w:rPr>
          <w:bCs/>
        </w:rPr>
        <w:t>knows the witness or witnesses</w:t>
      </w:r>
      <w:r w:rsidRPr="006418E2">
        <w:rPr>
          <w:bCs/>
        </w:rPr>
        <w:t xml:space="preserve">, </w:t>
      </w:r>
      <w:r w:rsidRPr="006418E2">
        <w:rPr>
          <w:bCs/>
        </w:rPr>
        <w:t>the defendant</w:t>
      </w:r>
      <w:r w:rsidRPr="006418E2">
        <w:rPr>
          <w:bCs/>
        </w:rPr>
        <w:t xml:space="preserve"> </w:t>
      </w:r>
      <w:r w:rsidRPr="006418E2">
        <w:rPr>
          <w:bCs/>
        </w:rPr>
        <w:t>become</w:t>
      </w:r>
      <w:r w:rsidRPr="006418E2">
        <w:rPr>
          <w:bCs/>
        </w:rPr>
        <w:t>s</w:t>
      </w:r>
      <w:r w:rsidRPr="006418E2">
        <w:rPr>
          <w:bCs/>
        </w:rPr>
        <w:t xml:space="preserve"> the primary source</w:t>
      </w:r>
      <w:r w:rsidRPr="006418E2">
        <w:rPr>
          <w:bCs/>
        </w:rPr>
        <w:t xml:space="preserve"> of </w:t>
      </w:r>
      <w:r w:rsidRPr="006418E2">
        <w:rPr>
          <w:bCs/>
        </w:rPr>
        <w:t>knowledge</w:t>
      </w:r>
      <w:r w:rsidRPr="006418E2">
        <w:rPr>
          <w:bCs/>
        </w:rPr>
        <w:t xml:space="preserve"> to immediately equip </w:t>
      </w:r>
      <w:r>
        <w:rPr>
          <w:bCs/>
        </w:rPr>
        <w:t xml:space="preserve">defense </w:t>
      </w:r>
      <w:r w:rsidRPr="006418E2">
        <w:rPr>
          <w:bCs/>
        </w:rPr>
        <w:t>counsel with</w:t>
      </w:r>
      <w:r w:rsidRPr="006418E2">
        <w:rPr>
          <w:bCs/>
        </w:rPr>
        <w:t xml:space="preserve"> information </w:t>
      </w:r>
      <w:r w:rsidRPr="006418E2">
        <w:rPr>
          <w:bCs/>
        </w:rPr>
        <w:t xml:space="preserve">to </w:t>
      </w:r>
      <w:r w:rsidRPr="006418E2">
        <w:rPr>
          <w:bCs/>
        </w:rPr>
        <w:t>further</w:t>
      </w:r>
      <w:r w:rsidRPr="006418E2">
        <w:rPr>
          <w:bCs/>
        </w:rPr>
        <w:t xml:space="preserve"> </w:t>
      </w:r>
      <w:r w:rsidRPr="006418E2">
        <w:rPr>
          <w:bCs/>
        </w:rPr>
        <w:t>impeach th</w:t>
      </w:r>
      <w:r w:rsidRPr="006418E2">
        <w:rPr>
          <w:bCs/>
        </w:rPr>
        <w:t xml:space="preserve">at </w:t>
      </w:r>
      <w:r w:rsidRPr="006418E2">
        <w:rPr>
          <w:bCs/>
        </w:rPr>
        <w:t>testimony</w:t>
      </w:r>
      <w:r w:rsidRPr="006418E2">
        <w:rPr>
          <w:bCs/>
        </w:rPr>
        <w:t xml:space="preserve"> or </w:t>
      </w:r>
      <w:r>
        <w:rPr>
          <w:bCs/>
        </w:rPr>
        <w:t xml:space="preserve">the witness’s </w:t>
      </w:r>
      <w:r w:rsidRPr="006418E2">
        <w:rPr>
          <w:bCs/>
        </w:rPr>
        <w:t>credibility</w:t>
      </w:r>
      <w:r w:rsidRPr="006418E2">
        <w:rPr>
          <w:bCs/>
        </w:rPr>
        <w:t xml:space="preserve">.  </w:t>
      </w:r>
      <w:r>
        <w:rPr>
          <w:bCs/>
        </w:rPr>
        <w:t>A</w:t>
      </w:r>
      <w:r w:rsidRPr="006418E2">
        <w:rPr>
          <w:bCs/>
        </w:rPr>
        <w:t xml:space="preserve"> defendant unable to communicate with counsel during such testimony </w:t>
      </w:r>
      <w:r w:rsidRPr="006418E2">
        <w:rPr>
          <w:bCs/>
        </w:rPr>
        <w:t xml:space="preserve">is relegated to </w:t>
      </w:r>
      <w:r w:rsidRPr="006418E2">
        <w:rPr>
          <w:bCs/>
        </w:rPr>
        <w:t xml:space="preserve">the </w:t>
      </w:r>
      <w:r w:rsidRPr="006418E2">
        <w:rPr>
          <w:bCs/>
        </w:rPr>
        <w:t xml:space="preserve">role of </w:t>
      </w:r>
      <w:r w:rsidRPr="006418E2">
        <w:rPr>
          <w:bCs/>
        </w:rPr>
        <w:t>a spectator</w:t>
      </w:r>
      <w:r w:rsidRPr="006418E2">
        <w:rPr>
          <w:bCs/>
        </w:rPr>
        <w:t xml:space="preserve"> </w:t>
      </w:r>
      <w:r w:rsidRPr="006418E2">
        <w:rPr>
          <w:bCs/>
        </w:rPr>
        <w:t>in his own criminal case.</w:t>
      </w:r>
      <w:r w:rsidRPr="006418E2">
        <w:rPr>
          <w:bCs/>
        </w:rPr>
        <w:t xml:space="preserve"> </w:t>
      </w:r>
      <w:r w:rsidRPr="006418E2">
        <w:rPr>
          <w:bCs/>
        </w:rPr>
        <w:t xml:space="preserve"> </w:t>
      </w:r>
      <w:r w:rsidRPr="006418E2">
        <w:rPr>
          <w:bCs/>
        </w:rPr>
        <w:t>Under such circumstances</w:t>
      </w:r>
      <w:r w:rsidRPr="006418E2">
        <w:rPr>
          <w:bCs/>
        </w:rPr>
        <w:t>,</w:t>
      </w:r>
      <w:r w:rsidRPr="006418E2">
        <w:rPr>
          <w:bCs/>
        </w:rPr>
        <w:t xml:space="preserve"> and as repeatedly argued by counsel before, during, and after the preliminary examination, there were considerable lost opportunities for Molina to engage in the most fundamental aspects of a</w:t>
      </w:r>
      <w:r w:rsidRPr="006418E2">
        <w:rPr>
          <w:bCs/>
        </w:rPr>
        <w:t xml:space="preserve">ttorney and client consultation during a criminal proceeding.  For example, as discussed in </w:t>
      </w:r>
      <w:r w:rsidRPr="006418E2">
        <w:rPr>
          <w:bCs/>
          <w:i/>
          <w:iCs/>
        </w:rPr>
        <w:t>Negron</w:t>
      </w:r>
      <w:r w:rsidRPr="006418E2">
        <w:rPr>
          <w:bCs/>
        </w:rPr>
        <w:t xml:space="preserve">, a defendant’s inability to communicate with his or her counsel in real time, at a minimum hampers counsel’s ability to prepare an adequate </w:t>
      </w:r>
      <w:r w:rsidRPr="006418E2">
        <w:rPr>
          <w:bCs/>
        </w:rPr>
        <w:t>cross-examination.  (</w:t>
      </w:r>
      <w:r w:rsidRPr="006418E2">
        <w:rPr>
          <w:bCs/>
          <w:i/>
          <w:iCs/>
        </w:rPr>
        <w:t>Negron</w:t>
      </w:r>
      <w:r w:rsidRPr="006418E2">
        <w:rPr>
          <w:bCs/>
        </w:rPr>
        <w:t xml:space="preserve">, </w:t>
      </w:r>
      <w:r w:rsidRPr="006418E2">
        <w:rPr>
          <w:bCs/>
          <w:i/>
          <w:iCs/>
        </w:rPr>
        <w:t>supra</w:t>
      </w:r>
      <w:r w:rsidRPr="006418E2">
        <w:rPr>
          <w:bCs/>
        </w:rPr>
        <w:t xml:space="preserve">, 434 F.2d at p. 390.)  </w:t>
      </w:r>
      <w:r w:rsidRPr="006418E2">
        <w:rPr>
          <w:bCs/>
        </w:rPr>
        <w:t xml:space="preserve">Under California law, </w:t>
      </w:r>
      <w:r w:rsidRPr="006418E2">
        <w:rPr>
          <w:bCs/>
        </w:rPr>
        <w:t xml:space="preserve">Molina </w:t>
      </w:r>
      <w:r w:rsidRPr="006418E2">
        <w:rPr>
          <w:bCs/>
        </w:rPr>
        <w:t xml:space="preserve">was required to be provided with an individual interpreter during the preliminary examination to engage with his </w:t>
      </w:r>
      <w:r w:rsidRPr="006418E2">
        <w:rPr>
          <w:bCs/>
        </w:rPr>
        <w:t xml:space="preserve">counsel and </w:t>
      </w:r>
      <w:r w:rsidRPr="006418E2">
        <w:rPr>
          <w:bCs/>
        </w:rPr>
        <w:t>to</w:t>
      </w:r>
      <w:r w:rsidRPr="006418E2">
        <w:rPr>
          <w:bCs/>
        </w:rPr>
        <w:t xml:space="preserve"> </w:t>
      </w:r>
      <w:r w:rsidRPr="006418E2">
        <w:rPr>
          <w:bCs/>
        </w:rPr>
        <w:t>thoroughly challenge</w:t>
      </w:r>
      <w:r w:rsidRPr="006418E2">
        <w:rPr>
          <w:bCs/>
        </w:rPr>
        <w:t xml:space="preserve"> </w:t>
      </w:r>
      <w:r w:rsidRPr="006418E2">
        <w:rPr>
          <w:bCs/>
        </w:rPr>
        <w:t>the</w:t>
      </w:r>
      <w:r w:rsidRPr="006418E2">
        <w:rPr>
          <w:bCs/>
        </w:rPr>
        <w:t xml:space="preserve"> evidence</w:t>
      </w:r>
      <w:r w:rsidRPr="006418E2">
        <w:rPr>
          <w:bCs/>
        </w:rPr>
        <w:t xml:space="preserve"> being presented against him</w:t>
      </w:r>
      <w:r w:rsidRPr="006418E2">
        <w:rPr>
          <w:bCs/>
        </w:rPr>
        <w:t xml:space="preserve">.   </w:t>
      </w:r>
    </w:p>
    <w:p w14:paraId="7E5CAD49" w14:textId="77777777" w:rsidR="00932EE2" w:rsidRPr="006418E2" w:rsidRDefault="00932EE2" w:rsidP="006418E2">
      <w:pPr>
        <w:rPr>
          <w:bCs/>
        </w:rPr>
      </w:pPr>
      <w:r w:rsidRPr="006418E2">
        <w:rPr>
          <w:bCs/>
        </w:rPr>
        <w:lastRenderedPageBreak/>
        <w:tab/>
      </w:r>
      <w:r w:rsidRPr="006418E2">
        <w:rPr>
          <w:bCs/>
        </w:rPr>
        <w:t>Third, and f</w:t>
      </w:r>
      <w:r w:rsidRPr="006418E2">
        <w:rPr>
          <w:bCs/>
        </w:rPr>
        <w:t>inally</w:t>
      </w:r>
      <w:r w:rsidRPr="006418E2">
        <w:rPr>
          <w:bCs/>
        </w:rPr>
        <w:t xml:space="preserve">, </w:t>
      </w:r>
      <w:r w:rsidRPr="006418E2">
        <w:rPr>
          <w:bCs/>
        </w:rPr>
        <w:t>prejudice is further established</w:t>
      </w:r>
      <w:r w:rsidRPr="006418E2">
        <w:rPr>
          <w:bCs/>
        </w:rPr>
        <w:t xml:space="preserve"> in the record</w:t>
      </w:r>
      <w:r w:rsidRPr="006418E2">
        <w:rPr>
          <w:bCs/>
        </w:rPr>
        <w:t xml:space="preserve"> </w:t>
      </w:r>
      <w:r w:rsidRPr="006418E2">
        <w:rPr>
          <w:bCs/>
        </w:rPr>
        <w:t>by</w:t>
      </w:r>
      <w:r w:rsidRPr="006418E2">
        <w:rPr>
          <w:bCs/>
        </w:rPr>
        <w:t xml:space="preserve"> the </w:t>
      </w:r>
      <w:r w:rsidRPr="006418E2">
        <w:rPr>
          <w:bCs/>
        </w:rPr>
        <w:t xml:space="preserve">significant </w:t>
      </w:r>
      <w:r w:rsidRPr="006418E2">
        <w:rPr>
          <w:bCs/>
        </w:rPr>
        <w:t>amount</w:t>
      </w:r>
      <w:r w:rsidRPr="006418E2">
        <w:rPr>
          <w:bCs/>
        </w:rPr>
        <w:t xml:space="preserve"> of </w:t>
      </w:r>
      <w:r w:rsidRPr="006418E2">
        <w:rPr>
          <w:bCs/>
        </w:rPr>
        <w:t xml:space="preserve">time </w:t>
      </w:r>
      <w:r w:rsidRPr="006418E2">
        <w:rPr>
          <w:bCs/>
        </w:rPr>
        <w:t xml:space="preserve">Molina was required to share an interpreter </w:t>
      </w:r>
      <w:r w:rsidRPr="006418E2">
        <w:rPr>
          <w:bCs/>
        </w:rPr>
        <w:t xml:space="preserve">for the </w:t>
      </w:r>
      <w:r w:rsidRPr="006418E2">
        <w:rPr>
          <w:bCs/>
        </w:rPr>
        <w:t>preliminary examination</w:t>
      </w:r>
      <w:r w:rsidRPr="006418E2">
        <w:rPr>
          <w:bCs/>
        </w:rPr>
        <w:t>.</w:t>
      </w:r>
      <w:r w:rsidRPr="006418E2">
        <w:rPr>
          <w:bCs/>
        </w:rPr>
        <w:t xml:space="preserve"> </w:t>
      </w:r>
      <w:r w:rsidRPr="006418E2">
        <w:rPr>
          <w:bCs/>
        </w:rPr>
        <w:t xml:space="preserve"> </w:t>
      </w:r>
      <w:r w:rsidRPr="006418E2">
        <w:rPr>
          <w:bCs/>
        </w:rPr>
        <w:t xml:space="preserve">Our Supreme Court stated in </w:t>
      </w:r>
      <w:r w:rsidRPr="006418E2">
        <w:rPr>
          <w:bCs/>
          <w:i/>
          <w:iCs/>
        </w:rPr>
        <w:t>Rodriguez</w:t>
      </w:r>
      <w:r w:rsidRPr="006418E2">
        <w:rPr>
          <w:bCs/>
        </w:rPr>
        <w:t>, “</w:t>
      </w:r>
      <w:r w:rsidRPr="006418E2">
        <w:rPr>
          <w:bCs/>
        </w:rPr>
        <w:t xml:space="preserve">[I]n some cases, even </w:t>
      </w:r>
      <w:r w:rsidRPr="006418E2">
        <w:rPr>
          <w:bCs/>
        </w:rPr>
        <w:t>where some deprivation is shown, the absence of a personal interpr</w:t>
      </w:r>
      <w:r w:rsidRPr="006418E2">
        <w:rPr>
          <w:bCs/>
        </w:rPr>
        <w:t>eter may be found harmless</w:t>
      </w:r>
      <w:r w:rsidRPr="006418E2">
        <w:rPr>
          <w:bCs/>
        </w:rPr>
        <w:t xml:space="preserve"> because the proceedings which took place while the </w:t>
      </w:r>
      <w:r w:rsidRPr="006418E2">
        <w:rPr>
          <w:bCs/>
        </w:rPr>
        <w:t xml:space="preserve">interpreter was absent may be insubstantial or concern matters which are not possibly prejudicial </w:t>
      </w:r>
      <w:r w:rsidRPr="006418E2">
        <w:rPr>
          <w:bCs/>
        </w:rPr>
        <w:t>to the defendant ….”</w:t>
      </w:r>
      <w:r w:rsidRPr="006418E2">
        <w:rPr>
          <w:bCs/>
        </w:rPr>
        <w:t xml:space="preserve"> </w:t>
      </w:r>
      <w:r w:rsidRPr="006418E2">
        <w:rPr>
          <w:bCs/>
        </w:rPr>
        <w:t xml:space="preserve"> </w:t>
      </w:r>
      <w:r w:rsidRPr="006418E2">
        <w:rPr>
          <w:bCs/>
        </w:rPr>
        <w:t>(</w:t>
      </w:r>
      <w:r w:rsidRPr="006418E2">
        <w:rPr>
          <w:bCs/>
          <w:i/>
          <w:iCs/>
        </w:rPr>
        <w:t>Rodriguez</w:t>
      </w:r>
      <w:r w:rsidRPr="006418E2">
        <w:rPr>
          <w:bCs/>
        </w:rPr>
        <w:t>, supra</w:t>
      </w:r>
      <w:r w:rsidRPr="006418E2">
        <w:rPr>
          <w:bCs/>
        </w:rPr>
        <w:t>,</w:t>
      </w:r>
      <w:r w:rsidRPr="006418E2">
        <w:rPr>
          <w:bCs/>
        </w:rPr>
        <w:t xml:space="preserve"> </w:t>
      </w:r>
      <w:r w:rsidRPr="006418E2">
        <w:rPr>
          <w:bCs/>
        </w:rPr>
        <w:t>42 Cal.3d at</w:t>
      </w:r>
      <w:r w:rsidRPr="006418E2">
        <w:rPr>
          <w:bCs/>
        </w:rPr>
        <w:t xml:space="preserve"> </w:t>
      </w:r>
      <w:r>
        <w:rPr>
          <w:bCs/>
        </w:rPr>
        <w:t xml:space="preserve">p. </w:t>
      </w:r>
      <w:r w:rsidRPr="006418E2">
        <w:rPr>
          <w:bCs/>
        </w:rPr>
        <w:t>1015</w:t>
      </w:r>
      <w:r w:rsidRPr="006418E2">
        <w:rPr>
          <w:bCs/>
        </w:rPr>
        <w:t>.)</w:t>
      </w:r>
      <w:r w:rsidRPr="006418E2">
        <w:rPr>
          <w:bCs/>
        </w:rPr>
        <w:t xml:space="preserve"> </w:t>
      </w:r>
      <w:r w:rsidRPr="006418E2">
        <w:rPr>
          <w:bCs/>
        </w:rPr>
        <w:t xml:space="preserve"> </w:t>
      </w:r>
      <w:r w:rsidRPr="006418E2">
        <w:rPr>
          <w:bCs/>
        </w:rPr>
        <w:t>Here, however, critical moments occurred o</w:t>
      </w:r>
      <w:r w:rsidRPr="006418E2">
        <w:rPr>
          <w:bCs/>
        </w:rPr>
        <w:t xml:space="preserve">ver the course of </w:t>
      </w:r>
      <w:r w:rsidRPr="006418E2">
        <w:rPr>
          <w:bCs/>
        </w:rPr>
        <w:t xml:space="preserve">the preliminary examination lasting </w:t>
      </w:r>
      <w:r w:rsidRPr="006418E2">
        <w:rPr>
          <w:bCs/>
        </w:rPr>
        <w:t xml:space="preserve">15 months and 13 </w:t>
      </w:r>
      <w:r w:rsidRPr="006418E2">
        <w:rPr>
          <w:bCs/>
        </w:rPr>
        <w:t>sessions</w:t>
      </w:r>
      <w:r w:rsidRPr="006418E2">
        <w:rPr>
          <w:bCs/>
        </w:rPr>
        <w:t>,</w:t>
      </w:r>
      <w:r w:rsidRPr="006418E2">
        <w:rPr>
          <w:bCs/>
        </w:rPr>
        <w:t xml:space="preserve"> </w:t>
      </w:r>
      <w:r w:rsidRPr="006418E2">
        <w:rPr>
          <w:bCs/>
        </w:rPr>
        <w:t xml:space="preserve">during which Molina was not provided with an individual interpreter.  </w:t>
      </w:r>
    </w:p>
    <w:p w14:paraId="4470CEBE" w14:textId="77777777" w:rsidR="00932EE2" w:rsidRPr="006418E2" w:rsidRDefault="00932EE2" w:rsidP="006418E2">
      <w:pPr>
        <w:rPr>
          <w:bCs/>
        </w:rPr>
      </w:pPr>
      <w:r w:rsidRPr="006418E2">
        <w:rPr>
          <w:bCs/>
        </w:rPr>
        <w:tab/>
      </w:r>
      <w:r w:rsidRPr="006418E2">
        <w:rPr>
          <w:bCs/>
        </w:rPr>
        <w:t xml:space="preserve">Molina’s counsel repeatedly objected to the lack of an individual interpreter for </w:t>
      </w:r>
      <w:r>
        <w:rPr>
          <w:bCs/>
        </w:rPr>
        <w:t>his client</w:t>
      </w:r>
      <w:r w:rsidRPr="006418E2">
        <w:rPr>
          <w:bCs/>
        </w:rPr>
        <w:t xml:space="preserve">, citing issues with the audio equipment, challenges caused by COVID protocols, and the lack of a Spanish translation of the English </w:t>
      </w:r>
      <w:r w:rsidRPr="006418E2">
        <w:rPr>
          <w:bCs/>
        </w:rPr>
        <w:t xml:space="preserve">that became the record. </w:t>
      </w:r>
      <w:r w:rsidRPr="006418E2">
        <w:rPr>
          <w:bCs/>
        </w:rPr>
        <w:t xml:space="preserve"> </w:t>
      </w:r>
      <w:r>
        <w:rPr>
          <w:bCs/>
        </w:rPr>
        <w:t>R</w:t>
      </w:r>
      <w:r w:rsidRPr="006418E2">
        <w:rPr>
          <w:bCs/>
        </w:rPr>
        <w:t xml:space="preserve">equiring Molina to share a proceedings interpreter during the testimony of Witness 1 and Witness 2 limited Molina’s ability to meaningfully engage with </w:t>
      </w:r>
      <w:r w:rsidRPr="006418E2">
        <w:rPr>
          <w:bCs/>
        </w:rPr>
        <w:t xml:space="preserve">his defense counsel </w:t>
      </w:r>
      <w:r>
        <w:rPr>
          <w:bCs/>
        </w:rPr>
        <w:t xml:space="preserve">at </w:t>
      </w:r>
      <w:r w:rsidRPr="006418E2">
        <w:rPr>
          <w:bCs/>
        </w:rPr>
        <w:t>a critical stage of the proceeding.  The error in failing to provide an individual int</w:t>
      </w:r>
      <w:r w:rsidRPr="006418E2">
        <w:rPr>
          <w:bCs/>
        </w:rPr>
        <w:t>erpreter for Molina was compounded by the impor</w:t>
      </w:r>
      <w:r w:rsidRPr="006418E2">
        <w:rPr>
          <w:bCs/>
        </w:rPr>
        <w:t>t</w:t>
      </w:r>
      <w:r w:rsidRPr="006418E2">
        <w:rPr>
          <w:bCs/>
        </w:rPr>
        <w:t xml:space="preserve"> and the compromised nature of </w:t>
      </w:r>
      <w:r>
        <w:rPr>
          <w:bCs/>
        </w:rPr>
        <w:t xml:space="preserve">the testimony of those witnesses.  </w:t>
      </w:r>
      <w:r w:rsidRPr="006418E2">
        <w:rPr>
          <w:bCs/>
        </w:rPr>
        <w:t xml:space="preserve">Further, Molina was required to share an interpreter </w:t>
      </w:r>
      <w:r>
        <w:rPr>
          <w:bCs/>
        </w:rPr>
        <w:t>throughout</w:t>
      </w:r>
      <w:r w:rsidRPr="006418E2">
        <w:rPr>
          <w:bCs/>
        </w:rPr>
        <w:t xml:space="preserve"> </w:t>
      </w:r>
      <w:r w:rsidRPr="006418E2">
        <w:rPr>
          <w:bCs/>
        </w:rPr>
        <w:t xml:space="preserve">the course of the extended preliminary examination.  </w:t>
      </w:r>
      <w:r w:rsidRPr="006418E2">
        <w:rPr>
          <w:bCs/>
        </w:rPr>
        <w:t xml:space="preserve">Based on </w:t>
      </w:r>
      <w:r w:rsidRPr="006418E2">
        <w:rPr>
          <w:bCs/>
        </w:rPr>
        <w:t>our independent review of the magistrate’s order</w:t>
      </w:r>
      <w:r>
        <w:rPr>
          <w:bCs/>
        </w:rPr>
        <w:t xml:space="preserve"> and</w:t>
      </w:r>
      <w:r w:rsidRPr="006418E2">
        <w:rPr>
          <w:bCs/>
        </w:rPr>
        <w:t xml:space="preserve"> the entire record</w:t>
      </w:r>
      <w:r w:rsidRPr="006418E2">
        <w:rPr>
          <w:bCs/>
        </w:rPr>
        <w:t xml:space="preserve">, we conclude that the error in not </w:t>
      </w:r>
      <w:r w:rsidRPr="006418E2">
        <w:rPr>
          <w:bCs/>
        </w:rPr>
        <w:t>providing Molina an individual interpreter</w:t>
      </w:r>
      <w:r>
        <w:rPr>
          <w:bCs/>
        </w:rPr>
        <w:t>, under the circumstances presented here,</w:t>
      </w:r>
      <w:r w:rsidRPr="006418E2">
        <w:rPr>
          <w:bCs/>
        </w:rPr>
        <w:t xml:space="preserve"> was “not minor but ‘reasonably </w:t>
      </w:r>
      <w:r w:rsidRPr="006418E2">
        <w:rPr>
          <w:bCs/>
          <w:i/>
          <w:iCs/>
        </w:rPr>
        <w:t>might</w:t>
      </w:r>
      <w:r w:rsidRPr="006418E2">
        <w:rPr>
          <w:bCs/>
        </w:rPr>
        <w:t xml:space="preserve"> have affected the outcome</w:t>
      </w:r>
      <w:proofErr w:type="gramStart"/>
      <w:r w:rsidRPr="006418E2">
        <w:rPr>
          <w:bCs/>
        </w:rPr>
        <w:t>’ ”</w:t>
      </w:r>
      <w:proofErr w:type="gramEnd"/>
      <w:r w:rsidRPr="006418E2">
        <w:rPr>
          <w:bCs/>
        </w:rPr>
        <w:t xml:space="preserve"> of the prelimina</w:t>
      </w:r>
      <w:r w:rsidRPr="006418E2">
        <w:rPr>
          <w:bCs/>
        </w:rPr>
        <w:t>ry hearing.  (</w:t>
      </w:r>
      <w:r w:rsidRPr="006418E2">
        <w:rPr>
          <w:bCs/>
          <w:i/>
          <w:iCs/>
        </w:rPr>
        <w:t>Standish</w:t>
      </w:r>
      <w:r w:rsidRPr="006418E2">
        <w:rPr>
          <w:bCs/>
        </w:rPr>
        <w:t xml:space="preserve">, </w:t>
      </w:r>
      <w:r w:rsidRPr="006418E2">
        <w:rPr>
          <w:bCs/>
          <w:i/>
          <w:iCs/>
        </w:rPr>
        <w:t>supra</w:t>
      </w:r>
      <w:r w:rsidRPr="006418E2">
        <w:rPr>
          <w:bCs/>
        </w:rPr>
        <w:t>, 38 Cal.4th at p. 883.)</w:t>
      </w:r>
    </w:p>
    <w:p w14:paraId="36B8275D" w14:textId="77777777" w:rsidR="00932EE2" w:rsidRPr="006418E2" w:rsidRDefault="00932EE2" w:rsidP="006418E2">
      <w:pPr>
        <w:rPr>
          <w:b/>
        </w:rPr>
      </w:pPr>
      <w:r w:rsidRPr="006418E2">
        <w:rPr>
          <w:bCs/>
        </w:rPr>
        <w:tab/>
      </w:r>
      <w:r w:rsidRPr="006418E2">
        <w:rPr>
          <w:b/>
          <w:i/>
          <w:iCs/>
        </w:rPr>
        <w:t>D. The superior court</w:t>
      </w:r>
      <w:r w:rsidRPr="006418E2">
        <w:rPr>
          <w:b/>
          <w:i/>
          <w:iCs/>
        </w:rPr>
        <w:t>’s response</w:t>
      </w:r>
    </w:p>
    <w:p w14:paraId="51CAFA8B" w14:textId="77777777" w:rsidR="00932EE2" w:rsidRPr="006418E2" w:rsidRDefault="00932EE2" w:rsidP="006418E2">
      <w:pPr>
        <w:rPr>
          <w:bCs/>
        </w:rPr>
      </w:pPr>
      <w:r w:rsidRPr="006418E2">
        <w:rPr>
          <w:bCs/>
        </w:rPr>
        <w:tab/>
        <w:t xml:space="preserve">Finally, we briefly address </w:t>
      </w:r>
      <w:r w:rsidRPr="006418E2">
        <w:rPr>
          <w:bCs/>
        </w:rPr>
        <w:t>several o</w:t>
      </w:r>
      <w:r w:rsidRPr="006418E2">
        <w:rPr>
          <w:bCs/>
        </w:rPr>
        <w:t xml:space="preserve">f </w:t>
      </w:r>
      <w:r w:rsidRPr="006418E2">
        <w:rPr>
          <w:bCs/>
        </w:rPr>
        <w:t xml:space="preserve">the superior court’s </w:t>
      </w:r>
      <w:r w:rsidRPr="006418E2">
        <w:rPr>
          <w:bCs/>
        </w:rPr>
        <w:t xml:space="preserve">arguments in </w:t>
      </w:r>
      <w:r w:rsidRPr="006418E2">
        <w:rPr>
          <w:bCs/>
        </w:rPr>
        <w:t xml:space="preserve">response to the writ petition and explain why </w:t>
      </w:r>
      <w:r w:rsidRPr="006418E2">
        <w:rPr>
          <w:bCs/>
        </w:rPr>
        <w:t xml:space="preserve">they </w:t>
      </w:r>
      <w:r w:rsidRPr="006418E2">
        <w:rPr>
          <w:bCs/>
        </w:rPr>
        <w:t xml:space="preserve">cannot </w:t>
      </w:r>
      <w:r>
        <w:rPr>
          <w:bCs/>
        </w:rPr>
        <w:t>govern</w:t>
      </w:r>
      <w:r w:rsidRPr="006418E2">
        <w:rPr>
          <w:bCs/>
        </w:rPr>
        <w:t xml:space="preserve"> </w:t>
      </w:r>
      <w:r w:rsidRPr="006418E2">
        <w:rPr>
          <w:bCs/>
        </w:rPr>
        <w:t>our decision in this case</w:t>
      </w:r>
      <w:r w:rsidRPr="006418E2">
        <w:rPr>
          <w:bCs/>
        </w:rPr>
        <w:t xml:space="preserve">.  </w:t>
      </w:r>
      <w:r w:rsidRPr="006418E2">
        <w:rPr>
          <w:bCs/>
        </w:rPr>
        <w:t>We note t</w:t>
      </w:r>
      <w:r w:rsidRPr="006418E2">
        <w:rPr>
          <w:bCs/>
        </w:rPr>
        <w:t>hat</w:t>
      </w:r>
      <w:r w:rsidRPr="006418E2">
        <w:rPr>
          <w:bCs/>
        </w:rPr>
        <w:t xml:space="preserve"> the superior court’s </w:t>
      </w:r>
      <w:r w:rsidRPr="006418E2">
        <w:rPr>
          <w:bCs/>
        </w:rPr>
        <w:t xml:space="preserve">response does not address the constitutional aspects of the writ </w:t>
      </w:r>
      <w:r w:rsidRPr="006418E2">
        <w:rPr>
          <w:bCs/>
        </w:rPr>
        <w:lastRenderedPageBreak/>
        <w:t xml:space="preserve">petition but limits its discussion to the adverse impacts to court operations, procedures, and finances that would accrue were we to grant the petition.  </w:t>
      </w:r>
      <w:r w:rsidRPr="006418E2">
        <w:rPr>
          <w:bCs/>
        </w:rPr>
        <w:t>The superior court argues</w:t>
      </w:r>
      <w:r w:rsidRPr="006418E2">
        <w:rPr>
          <w:bCs/>
        </w:rPr>
        <w:t xml:space="preserve">: (1) it only has a limited number of full-time Spanish-language interpreters; (2) </w:t>
      </w:r>
      <w:r w:rsidRPr="006418E2">
        <w:rPr>
          <w:bCs/>
        </w:rPr>
        <w:t>its courtrooms are not physically capable of accommodating</w:t>
      </w:r>
      <w:r w:rsidRPr="006418E2">
        <w:rPr>
          <w:bCs/>
        </w:rPr>
        <w:t xml:space="preserve"> separate interpreters, along with their equipment, for each defendant</w:t>
      </w:r>
      <w:r w:rsidRPr="006418E2">
        <w:rPr>
          <w:bCs/>
        </w:rPr>
        <w:t>;</w:t>
      </w:r>
      <w:r w:rsidRPr="006418E2">
        <w:rPr>
          <w:bCs/>
        </w:rPr>
        <w:t xml:space="preserve"> </w:t>
      </w:r>
      <w:r w:rsidRPr="006418E2">
        <w:rPr>
          <w:bCs/>
        </w:rPr>
        <w:t>(3)</w:t>
      </w:r>
      <w:r w:rsidRPr="006418E2">
        <w:rPr>
          <w:bCs/>
        </w:rPr>
        <w:t xml:space="preserve"> </w:t>
      </w:r>
      <w:r w:rsidRPr="006418E2">
        <w:rPr>
          <w:bCs/>
        </w:rPr>
        <w:t>having separate interpreters would be disruptive to the proceedings as multiple attorney-client conversations would possibly be occurring simultaneously</w:t>
      </w:r>
      <w:r w:rsidRPr="006418E2">
        <w:rPr>
          <w:bCs/>
        </w:rPr>
        <w:t>; and</w:t>
      </w:r>
      <w:r w:rsidRPr="006418E2">
        <w:rPr>
          <w:bCs/>
        </w:rPr>
        <w:t xml:space="preserve"> </w:t>
      </w:r>
      <w:r w:rsidRPr="006418E2">
        <w:rPr>
          <w:bCs/>
        </w:rPr>
        <w:t xml:space="preserve">(4) </w:t>
      </w:r>
      <w:r w:rsidRPr="006418E2">
        <w:rPr>
          <w:bCs/>
        </w:rPr>
        <w:t xml:space="preserve">requiring multiple interpreters at preliminary examinations will adversely affect </w:t>
      </w:r>
      <w:r>
        <w:rPr>
          <w:bCs/>
        </w:rPr>
        <w:t>court</w:t>
      </w:r>
      <w:r w:rsidRPr="006418E2">
        <w:rPr>
          <w:bCs/>
        </w:rPr>
        <w:t xml:space="preserve"> </w:t>
      </w:r>
      <w:r w:rsidRPr="006418E2">
        <w:rPr>
          <w:bCs/>
        </w:rPr>
        <w:t xml:space="preserve">finances. </w:t>
      </w:r>
    </w:p>
    <w:p w14:paraId="72FA8594" w14:textId="77777777" w:rsidR="00932EE2" w:rsidRPr="006418E2" w:rsidRDefault="00932EE2" w:rsidP="006418E2">
      <w:pPr>
        <w:rPr>
          <w:bCs/>
        </w:rPr>
      </w:pPr>
      <w:r w:rsidRPr="006418E2">
        <w:rPr>
          <w:bCs/>
        </w:rPr>
        <w:tab/>
      </w:r>
      <w:r w:rsidRPr="006418E2">
        <w:rPr>
          <w:bCs/>
        </w:rPr>
        <w:t xml:space="preserve">In a preliminary examination involving three defendants and a witness who </w:t>
      </w:r>
      <w:r w:rsidRPr="006418E2">
        <w:rPr>
          <w:bCs/>
        </w:rPr>
        <w:t xml:space="preserve">concurrently </w:t>
      </w:r>
      <w:r w:rsidRPr="006418E2">
        <w:rPr>
          <w:bCs/>
        </w:rPr>
        <w:t xml:space="preserve">required </w:t>
      </w:r>
      <w:r w:rsidRPr="006418E2">
        <w:rPr>
          <w:bCs/>
        </w:rPr>
        <w:t>interpreter</w:t>
      </w:r>
      <w:r w:rsidRPr="006418E2">
        <w:rPr>
          <w:bCs/>
        </w:rPr>
        <w:t xml:space="preserve"> </w:t>
      </w:r>
      <w:r w:rsidRPr="006418E2">
        <w:rPr>
          <w:bCs/>
        </w:rPr>
        <w:t>services, w</w:t>
      </w:r>
      <w:r w:rsidRPr="006418E2">
        <w:rPr>
          <w:bCs/>
        </w:rPr>
        <w:t xml:space="preserve">e </w:t>
      </w:r>
      <w:r w:rsidRPr="006418E2">
        <w:rPr>
          <w:bCs/>
        </w:rPr>
        <w:t xml:space="preserve">fully </w:t>
      </w:r>
      <w:r w:rsidRPr="006418E2">
        <w:rPr>
          <w:bCs/>
        </w:rPr>
        <w:t>appreciate</w:t>
      </w:r>
      <w:r w:rsidRPr="006418E2">
        <w:rPr>
          <w:bCs/>
        </w:rPr>
        <w:t xml:space="preserve"> the superior court’s articulated concerns regarding personnel, finances, physical space, </w:t>
      </w:r>
      <w:r w:rsidRPr="006418E2">
        <w:rPr>
          <w:bCs/>
        </w:rPr>
        <w:t>and the challenges associated with providing for “simultaneous attorney-client communications” through individual interpreters</w:t>
      </w:r>
      <w:r w:rsidRPr="006418E2">
        <w:rPr>
          <w:bCs/>
        </w:rPr>
        <w:t>.</w:t>
      </w:r>
      <w:r w:rsidRPr="006418E2">
        <w:rPr>
          <w:bCs/>
        </w:rPr>
        <w:t xml:space="preserve"> </w:t>
      </w:r>
      <w:r w:rsidRPr="006418E2">
        <w:rPr>
          <w:bCs/>
        </w:rPr>
        <w:t xml:space="preserve"> However, </w:t>
      </w:r>
      <w:r w:rsidRPr="006418E2">
        <w:rPr>
          <w:bCs/>
        </w:rPr>
        <w:t xml:space="preserve">as discussed earlier, our Supreme Court has determined that </w:t>
      </w:r>
      <w:r w:rsidRPr="006418E2">
        <w:rPr>
          <w:bCs/>
        </w:rPr>
        <w:t xml:space="preserve">the </w:t>
      </w:r>
      <w:r w:rsidRPr="006418E2">
        <w:rPr>
          <w:bCs/>
        </w:rPr>
        <w:t xml:space="preserve">California Constitution </w:t>
      </w:r>
      <w:r w:rsidRPr="006418E2">
        <w:rPr>
          <w:bCs/>
        </w:rPr>
        <w:t xml:space="preserve">requires that a </w:t>
      </w:r>
      <w:r w:rsidRPr="006418E2">
        <w:rPr>
          <w:bCs/>
        </w:rPr>
        <w:t xml:space="preserve">non-English speaking </w:t>
      </w:r>
      <w:r w:rsidRPr="006418E2">
        <w:rPr>
          <w:bCs/>
        </w:rPr>
        <w:t>criminal defendant be provided</w:t>
      </w:r>
      <w:r w:rsidRPr="006418E2">
        <w:rPr>
          <w:bCs/>
        </w:rPr>
        <w:t xml:space="preserve"> an individual interpreter during the</w:t>
      </w:r>
      <w:r w:rsidRPr="006418E2">
        <w:rPr>
          <w:bCs/>
        </w:rPr>
        <w:t xml:space="preserve"> entire course of a criminal proceeding, </w:t>
      </w:r>
      <w:r w:rsidRPr="006418E2">
        <w:rPr>
          <w:bCs/>
        </w:rPr>
        <w:t xml:space="preserve">which </w:t>
      </w:r>
      <w:r w:rsidRPr="006418E2">
        <w:rPr>
          <w:bCs/>
        </w:rPr>
        <w:t>includes</w:t>
      </w:r>
      <w:r w:rsidRPr="006418E2">
        <w:rPr>
          <w:bCs/>
        </w:rPr>
        <w:t xml:space="preserve"> </w:t>
      </w:r>
      <w:r w:rsidRPr="006418E2">
        <w:rPr>
          <w:bCs/>
        </w:rPr>
        <w:t>preliminary examination and trial.</w:t>
      </w:r>
      <w:r w:rsidRPr="006418E2">
        <w:rPr>
          <w:bCs/>
        </w:rPr>
        <w:t xml:space="preserve">  </w:t>
      </w:r>
      <w:r w:rsidRPr="006418E2">
        <w:rPr>
          <w:bCs/>
        </w:rPr>
        <w:t>We are not aware of any exceptions to this requirement</w:t>
      </w:r>
      <w:r w:rsidRPr="006418E2">
        <w:rPr>
          <w:bCs/>
        </w:rPr>
        <w:t>,</w:t>
      </w:r>
      <w:r w:rsidRPr="006418E2">
        <w:rPr>
          <w:bCs/>
        </w:rPr>
        <w:t xml:space="preserve"> and it would </w:t>
      </w:r>
      <w:r w:rsidRPr="006418E2">
        <w:rPr>
          <w:bCs/>
        </w:rPr>
        <w:t>be in</w:t>
      </w:r>
      <w:r w:rsidRPr="006418E2">
        <w:rPr>
          <w:bCs/>
        </w:rPr>
        <w:t xml:space="preserve">appropriate for us to consider </w:t>
      </w:r>
      <w:r w:rsidRPr="006418E2">
        <w:rPr>
          <w:bCs/>
        </w:rPr>
        <w:t xml:space="preserve">the </w:t>
      </w:r>
      <w:proofErr w:type="gramStart"/>
      <w:r w:rsidRPr="006418E2">
        <w:rPr>
          <w:bCs/>
        </w:rPr>
        <w:t>aforementioned arguments</w:t>
      </w:r>
      <w:proofErr w:type="gramEnd"/>
      <w:r w:rsidRPr="006418E2">
        <w:rPr>
          <w:bCs/>
        </w:rPr>
        <w:t xml:space="preserve"> by the superior court</w:t>
      </w:r>
      <w:r w:rsidRPr="006418E2">
        <w:rPr>
          <w:bCs/>
        </w:rPr>
        <w:t xml:space="preserve"> </w:t>
      </w:r>
      <w:r w:rsidRPr="006418E2">
        <w:rPr>
          <w:bCs/>
        </w:rPr>
        <w:t xml:space="preserve">as a basis </w:t>
      </w:r>
      <w:r w:rsidRPr="006418E2">
        <w:rPr>
          <w:bCs/>
        </w:rPr>
        <w:t>for</w:t>
      </w:r>
      <w:r w:rsidRPr="006418E2">
        <w:rPr>
          <w:bCs/>
        </w:rPr>
        <w:t xml:space="preserve"> our determination in this case.</w:t>
      </w:r>
      <w:r w:rsidRPr="006418E2">
        <w:rPr>
          <w:bCs/>
        </w:rPr>
        <w:t xml:space="preserve">  </w:t>
      </w:r>
      <w:r w:rsidRPr="006418E2">
        <w:rPr>
          <w:bCs/>
        </w:rPr>
        <w:t>Unfortunately,</w:t>
      </w:r>
      <w:r>
        <w:rPr>
          <w:bCs/>
        </w:rPr>
        <w:t xml:space="preserve"> </w:t>
      </w:r>
      <w:r w:rsidRPr="006418E2">
        <w:rPr>
          <w:bCs/>
        </w:rPr>
        <w:t>o</w:t>
      </w:r>
      <w:r w:rsidRPr="006418E2">
        <w:rPr>
          <w:bCs/>
        </w:rPr>
        <w:t xml:space="preserve">ur trial courts regularly face the unenviable task of </w:t>
      </w:r>
      <w:r w:rsidRPr="006418E2">
        <w:rPr>
          <w:bCs/>
        </w:rPr>
        <w:t>stretching limited resources</w:t>
      </w:r>
      <w:r w:rsidRPr="006418E2">
        <w:rPr>
          <w:bCs/>
        </w:rPr>
        <w:t xml:space="preserve"> to meet</w:t>
      </w:r>
      <w:r w:rsidRPr="006418E2">
        <w:rPr>
          <w:bCs/>
        </w:rPr>
        <w:t xml:space="preserve"> th</w:t>
      </w:r>
      <w:r w:rsidRPr="006418E2">
        <w:rPr>
          <w:bCs/>
        </w:rPr>
        <w:t xml:space="preserve">e obligations of </w:t>
      </w:r>
      <w:r w:rsidRPr="006418E2">
        <w:rPr>
          <w:bCs/>
        </w:rPr>
        <w:t>their</w:t>
      </w:r>
      <w:r w:rsidRPr="006418E2">
        <w:rPr>
          <w:bCs/>
        </w:rPr>
        <w:t xml:space="preserve"> daily operations and our decision today is not meant to minimize this reality.  Nevertheless, this court and the superior court are required to follow the law, including the decisions of our Supreme Court</w:t>
      </w:r>
      <w:r w:rsidRPr="006418E2">
        <w:rPr>
          <w:bCs/>
        </w:rPr>
        <w:t>,</w:t>
      </w:r>
      <w:r w:rsidRPr="006418E2">
        <w:rPr>
          <w:bCs/>
        </w:rPr>
        <w:t xml:space="preserve"> that </w:t>
      </w:r>
      <w:r>
        <w:rPr>
          <w:bCs/>
        </w:rPr>
        <w:t>dictate</w:t>
      </w:r>
      <w:r w:rsidRPr="006418E2">
        <w:rPr>
          <w:bCs/>
        </w:rPr>
        <w:t xml:space="preserve"> </w:t>
      </w:r>
      <w:r w:rsidRPr="006418E2">
        <w:rPr>
          <w:bCs/>
        </w:rPr>
        <w:t>Molina be provided an individual interpreter during his preliminary examination.</w:t>
      </w:r>
      <w:r w:rsidRPr="006418E2">
        <w:rPr>
          <w:bCs/>
        </w:rPr>
        <w:t xml:space="preserve">  </w:t>
      </w:r>
    </w:p>
    <w:p w14:paraId="0FE36BDD" w14:textId="77777777" w:rsidR="00932EE2" w:rsidRPr="006418E2" w:rsidRDefault="00932EE2" w:rsidP="006418E2">
      <w:pPr>
        <w:rPr>
          <w:bCs/>
          <w:sz w:val="25"/>
          <w:szCs w:val="25"/>
        </w:rPr>
      </w:pPr>
      <w:r w:rsidRPr="006418E2">
        <w:rPr>
          <w:bCs/>
        </w:rPr>
        <w:tab/>
      </w:r>
      <w:r w:rsidRPr="006418E2">
        <w:rPr>
          <w:bCs/>
        </w:rPr>
        <w:t>U</w:t>
      </w:r>
      <w:r w:rsidRPr="006418E2">
        <w:rPr>
          <w:bCs/>
        </w:rPr>
        <w:t>nder the circumstances presented here the error in not providing an individual interpreter for Molina “reasonably might have affected the outcome” of the preliminary examination (</w:t>
      </w:r>
      <w:r w:rsidRPr="006418E2">
        <w:rPr>
          <w:bCs/>
          <w:i/>
          <w:iCs/>
        </w:rPr>
        <w:t>Konow</w:t>
      </w:r>
      <w:r w:rsidRPr="006418E2">
        <w:rPr>
          <w:bCs/>
        </w:rPr>
        <w:t xml:space="preserve">, </w:t>
      </w:r>
      <w:r w:rsidRPr="006418E2">
        <w:rPr>
          <w:bCs/>
          <w:i/>
          <w:iCs/>
        </w:rPr>
        <w:t>supra</w:t>
      </w:r>
      <w:r w:rsidRPr="006418E2">
        <w:rPr>
          <w:bCs/>
        </w:rPr>
        <w:t>, 32 Cal.4th at p. 1024)</w:t>
      </w:r>
      <w:r w:rsidRPr="006418E2">
        <w:rPr>
          <w:bCs/>
        </w:rPr>
        <w:t xml:space="preserve">, </w:t>
      </w:r>
      <w:r w:rsidRPr="006418E2">
        <w:rPr>
          <w:bCs/>
        </w:rPr>
        <w:t xml:space="preserve">and therefore </w:t>
      </w:r>
      <w:r w:rsidRPr="006418E2">
        <w:rPr>
          <w:bCs/>
        </w:rPr>
        <w:t xml:space="preserve">we must issue a </w:t>
      </w:r>
      <w:r w:rsidRPr="006418E2">
        <w:rPr>
          <w:bCs/>
        </w:rPr>
        <w:lastRenderedPageBreak/>
        <w:t xml:space="preserve">peremptory writ of prohibition.  If the district attorney refiles charges and a new preliminary examination takes place, the superior court must determine how to satisfy the requirement for an individual interpreter for Molina despite </w:t>
      </w:r>
      <w:r w:rsidRPr="006418E2">
        <w:rPr>
          <w:bCs/>
        </w:rPr>
        <w:t xml:space="preserve">some of </w:t>
      </w:r>
      <w:r w:rsidRPr="006418E2">
        <w:rPr>
          <w:bCs/>
        </w:rPr>
        <w:t>the understandable ch</w:t>
      </w:r>
      <w:r w:rsidRPr="006418E2">
        <w:rPr>
          <w:bCs/>
        </w:rPr>
        <w:t>allenges</w:t>
      </w:r>
      <w:r w:rsidRPr="006418E2">
        <w:rPr>
          <w:bCs/>
        </w:rPr>
        <w:t xml:space="preserve"> identified in its response</w:t>
      </w:r>
      <w:r w:rsidRPr="006418E2">
        <w:rPr>
          <w:bCs/>
        </w:rPr>
        <w:t>.</w:t>
      </w:r>
      <w:r w:rsidRPr="006418E2">
        <w:rPr>
          <w:bCs/>
          <w:sz w:val="25"/>
          <w:szCs w:val="25"/>
        </w:rPr>
        <w:t xml:space="preserve"> </w:t>
      </w:r>
    </w:p>
    <w:p w14:paraId="22ADC2BF" w14:textId="77777777" w:rsidR="00932EE2" w:rsidRPr="006418E2" w:rsidRDefault="00932EE2" w:rsidP="006418E2">
      <w:pPr>
        <w:jc w:val="center"/>
      </w:pPr>
      <w:r w:rsidRPr="006418E2">
        <w:rPr>
          <w:b/>
        </w:rPr>
        <w:t>III.</w:t>
      </w:r>
      <w:r w:rsidRPr="006418E2">
        <w:rPr>
          <w:b/>
        </w:rPr>
        <w:tab/>
      </w:r>
      <w:r w:rsidRPr="006418E2">
        <w:rPr>
          <w:b/>
          <w:smallCaps/>
        </w:rPr>
        <w:t>Disposition</w:t>
      </w:r>
    </w:p>
    <w:p w14:paraId="7F14DB78" w14:textId="77777777" w:rsidR="00932EE2" w:rsidRDefault="00932EE2" w:rsidP="006418E2">
      <w:pPr>
        <w:autoSpaceDE w:val="0"/>
        <w:autoSpaceDN w:val="0"/>
        <w:adjustRightInd w:val="0"/>
        <w:rPr>
          <w:color w:val="000000"/>
        </w:rPr>
        <w:sectPr w:rsidR="00EF0D1D" w:rsidSect="004E5B38">
          <w:footerReference w:type="default" r:id="rId7"/>
          <w:pgSz w:w="12240" w:h="15840" w:code="1"/>
          <w:pgMar w:top="1440" w:right="1440" w:bottom="1440" w:left="1440" w:header="720" w:footer="720" w:gutter="0"/>
          <w:cols w:space="720"/>
          <w:titlePg/>
          <w:docGrid w:linePitch="360"/>
        </w:sectPr>
      </w:pPr>
      <w:r w:rsidRPr="006418E2">
        <w:tab/>
      </w:r>
      <w:bookmarkStart w:id="14" w:name="_Hlk161925698"/>
      <w:r w:rsidRPr="006418E2">
        <w:rPr>
          <w:color w:val="000000"/>
        </w:rPr>
        <w:t>Let a peremptory writ of prohibition issue</w:t>
      </w:r>
      <w:r w:rsidRPr="006418E2">
        <w:rPr>
          <w:color w:val="000000"/>
        </w:rPr>
        <w:t xml:space="preserve">: </w:t>
      </w:r>
      <w:r w:rsidRPr="006418E2">
        <w:rPr>
          <w:color w:val="000000"/>
        </w:rPr>
        <w:t>(1)</w:t>
      </w:r>
      <w:r w:rsidRPr="006418E2">
        <w:rPr>
          <w:color w:val="000000"/>
        </w:rPr>
        <w:t xml:space="preserve"> restraining respondent court from taking any further action against petitioner </w:t>
      </w:r>
      <w:r w:rsidRPr="006418E2">
        <w:rPr>
          <w:color w:val="000000"/>
        </w:rPr>
        <w:t>Milton Jonas Arias Molina</w:t>
      </w:r>
      <w:r w:rsidRPr="006418E2">
        <w:rPr>
          <w:color w:val="000000"/>
        </w:rPr>
        <w:t xml:space="preserve"> based upon the charges in the information in the above-entitled action</w:t>
      </w:r>
      <w:r w:rsidRPr="006418E2">
        <w:rPr>
          <w:color w:val="000000"/>
        </w:rPr>
        <w:t>,</w:t>
      </w:r>
      <w:r w:rsidRPr="006418E2">
        <w:rPr>
          <w:color w:val="000000"/>
        </w:rPr>
        <w:t xml:space="preserve"> and </w:t>
      </w:r>
      <w:r w:rsidRPr="006418E2">
        <w:rPr>
          <w:color w:val="000000"/>
        </w:rPr>
        <w:t xml:space="preserve">(2) </w:t>
      </w:r>
      <w:r w:rsidRPr="006418E2">
        <w:rPr>
          <w:color w:val="000000"/>
        </w:rPr>
        <w:t xml:space="preserve">directing respondent court to vacate its </w:t>
      </w:r>
      <w:r w:rsidRPr="006418E2">
        <w:rPr>
          <w:color w:val="000000"/>
        </w:rPr>
        <w:t>November 4</w:t>
      </w:r>
      <w:r w:rsidRPr="006418E2">
        <w:rPr>
          <w:color w:val="000000"/>
        </w:rPr>
        <w:t>, 2022 order denying petitioner</w:t>
      </w:r>
      <w:r w:rsidRPr="006418E2">
        <w:rPr>
          <w:color w:val="000000"/>
        </w:rPr>
        <w:t>’</w:t>
      </w:r>
      <w:r w:rsidRPr="006418E2">
        <w:rPr>
          <w:color w:val="000000"/>
        </w:rPr>
        <w:t xml:space="preserve">s Penal Code section 995 motion to set aside the information and </w:t>
      </w:r>
      <w:r>
        <w:rPr>
          <w:color w:val="000000"/>
        </w:rPr>
        <w:t xml:space="preserve">to </w:t>
      </w:r>
      <w:r w:rsidRPr="006418E2">
        <w:rPr>
          <w:color w:val="000000"/>
        </w:rPr>
        <w:t>enter a new order granting the motion</w:t>
      </w:r>
      <w:r w:rsidRPr="006418E2">
        <w:rPr>
          <w:color w:val="000000"/>
        </w:rPr>
        <w:t xml:space="preserve">, without prejudice to </w:t>
      </w:r>
      <w:r w:rsidRPr="006418E2">
        <w:rPr>
          <w:color w:val="000000"/>
        </w:rPr>
        <w:t>the Santa Cruz County District Attorney refiling the charges</w:t>
      </w:r>
      <w:r w:rsidRPr="006418E2">
        <w:rPr>
          <w:color w:val="000000"/>
        </w:rPr>
        <w:t xml:space="preserve">. </w:t>
      </w:r>
      <w:r w:rsidRPr="006418E2">
        <w:rPr>
          <w:color w:val="000000"/>
        </w:rPr>
        <w:t xml:space="preserve"> </w:t>
      </w:r>
      <w:r w:rsidRPr="006418E2">
        <w:rPr>
          <w:color w:val="000000"/>
        </w:rPr>
        <w:t>The r</w:t>
      </w:r>
      <w:r w:rsidRPr="006418E2">
        <w:rPr>
          <w:color w:val="000000"/>
        </w:rPr>
        <w:t xml:space="preserve">espondent court is further directed to provide a separate interpreter for petitioner throughout any subsequent criminal proceedings, including a renewed preliminary examination.  </w:t>
      </w:r>
      <w:r w:rsidRPr="006418E2">
        <w:rPr>
          <w:color w:val="000000"/>
        </w:rPr>
        <w:t xml:space="preserve">This opinion is made final as to this court seven days from the date of filing.  (Cal. Rules of Court, rule 8.490(b)(2)(A).)  </w:t>
      </w:r>
      <w:r w:rsidRPr="006418E2">
        <w:rPr>
          <w:color w:val="000000"/>
        </w:rPr>
        <w:t>Upon issuance of the remittitur, the temporary stay is vacated.</w:t>
      </w:r>
      <w:r w:rsidRPr="00AF790C">
        <w:rPr>
          <w:color w:val="000000"/>
        </w:rPr>
        <w:br/>
      </w:r>
      <w:bookmarkEnd w:id="14"/>
    </w:p>
    <w:p w14:paraId="5E3492BD" w14:textId="77777777" w:rsidR="00932EE2" w:rsidRDefault="00932EE2" w:rsidP="00EF0D1D">
      <w:pPr>
        <w:pStyle w:val="NoSpacing"/>
      </w:pPr>
    </w:p>
    <w:p w14:paraId="21EE3826" w14:textId="77777777" w:rsidR="00932EE2" w:rsidRDefault="00932EE2" w:rsidP="00EF0D1D">
      <w:pPr>
        <w:pStyle w:val="NoSpacing"/>
      </w:pPr>
    </w:p>
    <w:p w14:paraId="4AECDB54" w14:textId="77777777" w:rsidR="00932EE2" w:rsidRPr="00EF0D1D" w:rsidRDefault="00932EE2" w:rsidP="00DA6F0A">
      <w:pPr>
        <w:pStyle w:val="NoSpacing"/>
      </w:pPr>
    </w:p>
    <w:p w14:paraId="7BA6F0F7" w14:textId="77777777" w:rsidR="00932EE2" w:rsidRPr="00EF0D1D" w:rsidRDefault="00932EE2" w:rsidP="00DA6F0A">
      <w:pPr>
        <w:pStyle w:val="NoSpacing"/>
      </w:pPr>
    </w:p>
    <w:p w14:paraId="4E77308F" w14:textId="77777777" w:rsidR="00932EE2" w:rsidRPr="00EF0D1D" w:rsidRDefault="00932EE2" w:rsidP="00DA6F0A">
      <w:pPr>
        <w:pStyle w:val="NoSpacing"/>
      </w:pPr>
    </w:p>
    <w:p w14:paraId="4D8ECF77" w14:textId="77777777" w:rsidR="00932EE2" w:rsidRPr="00EF0D1D" w:rsidRDefault="00932EE2" w:rsidP="00DA6F0A">
      <w:pPr>
        <w:pStyle w:val="NoSpacing"/>
      </w:pPr>
      <w:r w:rsidRPr="00EF0D1D">
        <w:tab/>
      </w:r>
      <w:r w:rsidRPr="00EF0D1D">
        <w:tab/>
      </w:r>
      <w:r w:rsidRPr="00EF0D1D">
        <w:tab/>
      </w:r>
      <w:r w:rsidRPr="00EF0D1D">
        <w:tab/>
      </w:r>
      <w:r w:rsidRPr="00EF0D1D">
        <w:tab/>
      </w:r>
      <w:r w:rsidRPr="00EF0D1D">
        <w:tab/>
        <w:t>______________________________________</w:t>
      </w:r>
    </w:p>
    <w:p w14:paraId="7AB9E92F" w14:textId="77777777" w:rsidR="00932EE2" w:rsidRPr="00EF0D1D" w:rsidRDefault="00932EE2" w:rsidP="00DA6F0A">
      <w:pPr>
        <w:pStyle w:val="NoSpacing"/>
      </w:pPr>
      <w:r w:rsidRPr="00EF0D1D">
        <w:tab/>
      </w:r>
      <w:r w:rsidRPr="00EF0D1D">
        <w:tab/>
      </w:r>
      <w:r w:rsidRPr="00EF0D1D">
        <w:tab/>
      </w:r>
      <w:r w:rsidRPr="00EF0D1D">
        <w:tab/>
      </w:r>
      <w:r w:rsidRPr="00EF0D1D">
        <w:tab/>
      </w:r>
      <w:r w:rsidRPr="00EF0D1D">
        <w:tab/>
        <w:t>WILSON, J.</w:t>
      </w:r>
    </w:p>
    <w:p w14:paraId="4933B1ED" w14:textId="77777777" w:rsidR="00932EE2" w:rsidRPr="00EF0D1D" w:rsidRDefault="00932EE2" w:rsidP="00DA6F0A">
      <w:pPr>
        <w:pStyle w:val="NoSpacing"/>
      </w:pPr>
    </w:p>
    <w:p w14:paraId="5F3DA2B1" w14:textId="77777777" w:rsidR="00932EE2" w:rsidRPr="00EF0D1D" w:rsidRDefault="00932EE2" w:rsidP="00DA6F0A">
      <w:pPr>
        <w:pStyle w:val="NoSpacing"/>
      </w:pPr>
    </w:p>
    <w:p w14:paraId="5A975915" w14:textId="77777777" w:rsidR="00932EE2" w:rsidRPr="00EF0D1D" w:rsidRDefault="00932EE2" w:rsidP="00DA6F0A">
      <w:pPr>
        <w:pStyle w:val="NoSpacing"/>
      </w:pPr>
    </w:p>
    <w:p w14:paraId="7B417356" w14:textId="77777777" w:rsidR="00932EE2" w:rsidRPr="00EF0D1D" w:rsidRDefault="00932EE2" w:rsidP="00DA6F0A">
      <w:pPr>
        <w:pStyle w:val="NoSpacing"/>
      </w:pPr>
    </w:p>
    <w:p w14:paraId="18F29BFC" w14:textId="77777777" w:rsidR="00932EE2" w:rsidRPr="00EF0D1D" w:rsidRDefault="00932EE2" w:rsidP="00DA6F0A">
      <w:pPr>
        <w:pStyle w:val="NoSpacing"/>
      </w:pPr>
    </w:p>
    <w:p w14:paraId="2E56E232" w14:textId="77777777" w:rsidR="00932EE2" w:rsidRPr="00EF0D1D" w:rsidRDefault="00932EE2" w:rsidP="00DA6F0A">
      <w:pPr>
        <w:pStyle w:val="NoSpacing"/>
      </w:pPr>
      <w:r w:rsidRPr="00EF0D1D">
        <w:t>WE CONCUR:</w:t>
      </w:r>
    </w:p>
    <w:p w14:paraId="56307539" w14:textId="77777777" w:rsidR="00932EE2" w:rsidRPr="00EF0D1D" w:rsidRDefault="00932EE2" w:rsidP="00DA6F0A">
      <w:pPr>
        <w:pStyle w:val="NoSpacing"/>
      </w:pPr>
    </w:p>
    <w:p w14:paraId="1C0DFC7A" w14:textId="77777777" w:rsidR="00932EE2" w:rsidRPr="00EF0D1D" w:rsidRDefault="00932EE2" w:rsidP="00DA6F0A">
      <w:pPr>
        <w:pStyle w:val="NoSpacing"/>
      </w:pPr>
    </w:p>
    <w:p w14:paraId="5F9B95F5" w14:textId="77777777" w:rsidR="00932EE2" w:rsidRPr="00EF0D1D" w:rsidRDefault="00932EE2" w:rsidP="00DA6F0A">
      <w:pPr>
        <w:pStyle w:val="NoSpacing"/>
      </w:pPr>
    </w:p>
    <w:p w14:paraId="6ED4B656" w14:textId="77777777" w:rsidR="00932EE2" w:rsidRPr="00EF0D1D" w:rsidRDefault="00932EE2" w:rsidP="00DA6F0A">
      <w:pPr>
        <w:pStyle w:val="NoSpacing"/>
      </w:pPr>
    </w:p>
    <w:p w14:paraId="7163F561" w14:textId="77777777" w:rsidR="00932EE2" w:rsidRPr="00EF0D1D" w:rsidRDefault="00932EE2" w:rsidP="00DA6F0A">
      <w:pPr>
        <w:pStyle w:val="NoSpacing"/>
      </w:pPr>
    </w:p>
    <w:p w14:paraId="22C9790F" w14:textId="77777777" w:rsidR="00932EE2" w:rsidRPr="00EF0D1D" w:rsidRDefault="00932EE2" w:rsidP="00DA6F0A">
      <w:pPr>
        <w:pStyle w:val="NoSpacing"/>
      </w:pPr>
      <w:r w:rsidRPr="00EF0D1D">
        <w:t>____________________________________</w:t>
      </w:r>
    </w:p>
    <w:p w14:paraId="263600CE" w14:textId="77777777" w:rsidR="00932EE2" w:rsidRPr="00EF0D1D" w:rsidRDefault="00932EE2" w:rsidP="00DA6F0A">
      <w:pPr>
        <w:pStyle w:val="NoSpacing"/>
      </w:pPr>
      <w:r w:rsidRPr="00EF0D1D">
        <w:t>BAMATTRE-MANOUKIAN, ACTING P.J.</w:t>
      </w:r>
    </w:p>
    <w:p w14:paraId="00C995D6" w14:textId="77777777" w:rsidR="00932EE2" w:rsidRPr="00EF0D1D" w:rsidRDefault="00932EE2" w:rsidP="00DA6F0A">
      <w:pPr>
        <w:pStyle w:val="NoSpacing"/>
      </w:pPr>
    </w:p>
    <w:p w14:paraId="5085F2A8" w14:textId="77777777" w:rsidR="00932EE2" w:rsidRPr="00EF0D1D" w:rsidRDefault="00932EE2" w:rsidP="00DA6F0A">
      <w:pPr>
        <w:pStyle w:val="NoSpacing"/>
      </w:pPr>
    </w:p>
    <w:p w14:paraId="3DBAEE8D" w14:textId="77777777" w:rsidR="00932EE2" w:rsidRPr="00EF0D1D" w:rsidRDefault="00932EE2" w:rsidP="00DA6F0A">
      <w:pPr>
        <w:pStyle w:val="NoSpacing"/>
      </w:pPr>
    </w:p>
    <w:p w14:paraId="475E5C28" w14:textId="77777777" w:rsidR="00932EE2" w:rsidRPr="00EF0D1D" w:rsidRDefault="00932EE2" w:rsidP="00DA6F0A">
      <w:pPr>
        <w:pStyle w:val="NoSpacing"/>
      </w:pPr>
    </w:p>
    <w:p w14:paraId="0A024892" w14:textId="77777777" w:rsidR="00932EE2" w:rsidRPr="00EF0D1D" w:rsidRDefault="00932EE2" w:rsidP="00DA6F0A">
      <w:pPr>
        <w:pStyle w:val="NoSpacing"/>
      </w:pPr>
    </w:p>
    <w:p w14:paraId="14A6BAF2" w14:textId="77777777" w:rsidR="00932EE2" w:rsidRPr="00EF0D1D" w:rsidRDefault="00932EE2" w:rsidP="00DA6F0A">
      <w:pPr>
        <w:pStyle w:val="NoSpacing"/>
      </w:pPr>
    </w:p>
    <w:p w14:paraId="5B5E8857" w14:textId="77777777" w:rsidR="00932EE2" w:rsidRPr="00EF0D1D" w:rsidRDefault="00932EE2" w:rsidP="00DA6F0A">
      <w:pPr>
        <w:pStyle w:val="NoSpacing"/>
      </w:pPr>
    </w:p>
    <w:p w14:paraId="54A154CF" w14:textId="77777777" w:rsidR="00932EE2" w:rsidRPr="00EF0D1D" w:rsidRDefault="00932EE2" w:rsidP="00DA6F0A">
      <w:pPr>
        <w:pStyle w:val="NoSpacing"/>
      </w:pPr>
      <w:r w:rsidRPr="00EF0D1D">
        <w:t>____________________________________</w:t>
      </w:r>
    </w:p>
    <w:p w14:paraId="4C3F75EB" w14:textId="77777777" w:rsidR="00932EE2" w:rsidRPr="00EF0D1D" w:rsidRDefault="00932EE2" w:rsidP="00DA6F0A">
      <w:pPr>
        <w:pStyle w:val="NoSpacing"/>
      </w:pPr>
      <w:r w:rsidRPr="00EF0D1D">
        <w:t>GROVER, J.</w:t>
      </w:r>
    </w:p>
    <w:p w14:paraId="399BA7B7" w14:textId="77777777" w:rsidR="00932EE2" w:rsidRPr="00EF0D1D" w:rsidRDefault="00932EE2" w:rsidP="00DA6F0A">
      <w:pPr>
        <w:pStyle w:val="NoSpacing"/>
      </w:pPr>
    </w:p>
    <w:p w14:paraId="237DEE2D" w14:textId="77777777" w:rsidR="00932EE2" w:rsidRPr="00EF0D1D" w:rsidRDefault="00932EE2" w:rsidP="00DA6F0A">
      <w:pPr>
        <w:pStyle w:val="NoSpacing"/>
      </w:pPr>
    </w:p>
    <w:p w14:paraId="3126EDE5" w14:textId="77777777" w:rsidR="00932EE2" w:rsidRPr="00EF0D1D" w:rsidRDefault="00932EE2" w:rsidP="00DA6F0A">
      <w:pPr>
        <w:pStyle w:val="NoSpacing"/>
      </w:pPr>
    </w:p>
    <w:p w14:paraId="3D8130D9" w14:textId="77777777" w:rsidR="00932EE2" w:rsidRPr="00EF0D1D" w:rsidRDefault="00932EE2" w:rsidP="00DA6F0A">
      <w:pPr>
        <w:pStyle w:val="NoSpacing"/>
      </w:pPr>
    </w:p>
    <w:p w14:paraId="203BD9B0" w14:textId="77777777" w:rsidR="00932EE2" w:rsidRPr="00EF0D1D" w:rsidRDefault="00932EE2" w:rsidP="00DA6F0A">
      <w:pPr>
        <w:pStyle w:val="NoSpacing"/>
      </w:pPr>
    </w:p>
    <w:p w14:paraId="331AFB25" w14:textId="77777777" w:rsidR="00932EE2" w:rsidRPr="00EF0D1D" w:rsidRDefault="00932EE2" w:rsidP="00DA6F0A">
      <w:pPr>
        <w:pStyle w:val="NoSpacing"/>
      </w:pPr>
    </w:p>
    <w:p w14:paraId="2D219BDA" w14:textId="77777777" w:rsidR="00932EE2" w:rsidRPr="00EF0D1D" w:rsidRDefault="00932EE2" w:rsidP="00DA6F0A">
      <w:pPr>
        <w:pStyle w:val="NoSpacing"/>
      </w:pPr>
    </w:p>
    <w:p w14:paraId="7D64B2C3" w14:textId="77777777" w:rsidR="00932EE2" w:rsidRPr="00EF0D1D" w:rsidRDefault="00932EE2" w:rsidP="00DA6F0A">
      <w:pPr>
        <w:pStyle w:val="NoSpacing"/>
      </w:pPr>
    </w:p>
    <w:p w14:paraId="1B2AE85D" w14:textId="77777777" w:rsidR="00932EE2" w:rsidRPr="00EF0D1D" w:rsidRDefault="00932EE2" w:rsidP="00DA6F0A">
      <w:pPr>
        <w:pStyle w:val="NoSpacing"/>
      </w:pPr>
    </w:p>
    <w:p w14:paraId="582105A2" w14:textId="77777777" w:rsidR="00932EE2" w:rsidRPr="00EF0D1D" w:rsidRDefault="00932EE2" w:rsidP="00DA6F0A">
      <w:pPr>
        <w:pStyle w:val="NoSpacing"/>
      </w:pPr>
    </w:p>
    <w:p w14:paraId="05E20D7E" w14:textId="77777777" w:rsidR="00932EE2" w:rsidRPr="00EF0D1D" w:rsidRDefault="00932EE2" w:rsidP="00DA6F0A">
      <w:pPr>
        <w:pStyle w:val="NoSpacing"/>
      </w:pPr>
    </w:p>
    <w:p w14:paraId="4C2C54FE" w14:textId="77777777" w:rsidR="00932EE2" w:rsidRPr="00EF0D1D" w:rsidRDefault="00932EE2" w:rsidP="00DA6F0A">
      <w:pPr>
        <w:pStyle w:val="NoSpacing"/>
      </w:pPr>
      <w:r w:rsidRPr="00EF0D1D">
        <w:t>H050669</w:t>
      </w:r>
    </w:p>
    <w:p w14:paraId="5BC57348" w14:textId="77777777" w:rsidR="00932EE2" w:rsidRPr="00DA6F0A" w:rsidRDefault="00932EE2" w:rsidP="00DA6F0A">
      <w:pPr>
        <w:pStyle w:val="NoSpacing"/>
        <w:rPr>
          <w:i/>
          <w:iCs/>
        </w:rPr>
      </w:pPr>
      <w:r w:rsidRPr="00DA6F0A">
        <w:rPr>
          <w:i/>
          <w:iCs/>
        </w:rPr>
        <w:t>Molina v. Superior Court</w:t>
      </w:r>
    </w:p>
    <w:p w14:paraId="40E47749" w14:textId="77777777" w:rsidR="00932EE2" w:rsidRDefault="00932EE2" w:rsidP="00EF0D1D">
      <w:pPr>
        <w:pStyle w:val="NoSpacing"/>
        <w:sectPr w:rsidR="00EF0D1D" w:rsidSect="004E5B38">
          <w:pgSz w:w="12240" w:h="15840" w:code="1"/>
          <w:pgMar w:top="1440" w:right="1440" w:bottom="1440" w:left="1440" w:header="720" w:footer="720" w:gutter="0"/>
          <w:cols w:space="720"/>
          <w:titlePg/>
          <w:docGrid w:linePitch="360"/>
        </w:sectPr>
      </w:pPr>
    </w:p>
    <w:p w14:paraId="17C0F51A" w14:textId="77777777" w:rsidR="00932EE2" w:rsidRPr="00EF0D1D" w:rsidRDefault="00932EE2" w:rsidP="00EF0D1D">
      <w:pPr>
        <w:spacing w:line="240" w:lineRule="atLeast"/>
        <w:ind w:right="430"/>
        <w:rPr>
          <w:rFonts w:eastAsiaTheme="minorHAns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8"/>
        <w:gridCol w:w="4918"/>
      </w:tblGrid>
      <w:tr w:rsidR="00FB18A7" w14:paraId="3CD6C47B" w14:textId="77777777" w:rsidTr="00FD7AE8">
        <w:tc>
          <w:tcPr>
            <w:tcW w:w="4658" w:type="dxa"/>
          </w:tcPr>
          <w:p w14:paraId="6087A828" w14:textId="77777777" w:rsidR="00932EE2" w:rsidRPr="00EF0D1D" w:rsidRDefault="00932EE2" w:rsidP="00EF0D1D">
            <w:pPr>
              <w:spacing w:line="240" w:lineRule="atLeast"/>
              <w:ind w:right="430"/>
              <w:rPr>
                <w:rFonts w:eastAsiaTheme="minorHAnsi"/>
              </w:rPr>
            </w:pPr>
            <w:r w:rsidRPr="00EF0D1D">
              <w:rPr>
                <w:rFonts w:eastAsiaTheme="minorHAnsi"/>
              </w:rPr>
              <w:t>Trial Court:</w:t>
            </w:r>
          </w:p>
          <w:p w14:paraId="4F4AEBD5" w14:textId="77777777" w:rsidR="00932EE2" w:rsidRPr="00EF0D1D" w:rsidRDefault="00932EE2" w:rsidP="00EF0D1D">
            <w:pPr>
              <w:spacing w:line="240" w:lineRule="atLeast"/>
              <w:ind w:right="430"/>
              <w:rPr>
                <w:rFonts w:eastAsiaTheme="minorHAnsi"/>
              </w:rPr>
            </w:pPr>
          </w:p>
        </w:tc>
        <w:tc>
          <w:tcPr>
            <w:tcW w:w="4918" w:type="dxa"/>
          </w:tcPr>
          <w:p w14:paraId="08463A67" w14:textId="77777777" w:rsidR="00932EE2" w:rsidRPr="00EF0D1D" w:rsidRDefault="00932EE2" w:rsidP="00EF0D1D">
            <w:pPr>
              <w:spacing w:line="240" w:lineRule="atLeast"/>
              <w:ind w:right="430"/>
              <w:rPr>
                <w:rFonts w:eastAsiaTheme="minorHAnsi"/>
              </w:rPr>
            </w:pPr>
            <w:r w:rsidRPr="00EF0D1D">
              <w:rPr>
                <w:rFonts w:eastAsiaTheme="minorHAnsi"/>
              </w:rPr>
              <w:t>Santa Cruz County Superior Court</w:t>
            </w:r>
          </w:p>
          <w:p w14:paraId="093B23BD" w14:textId="77777777" w:rsidR="00932EE2" w:rsidRPr="00EF0D1D" w:rsidRDefault="00932EE2" w:rsidP="00EF0D1D">
            <w:pPr>
              <w:spacing w:line="240" w:lineRule="atLeast"/>
              <w:ind w:right="430"/>
              <w:rPr>
                <w:rFonts w:eastAsiaTheme="minorHAnsi"/>
              </w:rPr>
            </w:pPr>
          </w:p>
        </w:tc>
      </w:tr>
      <w:tr w:rsidR="00FB18A7" w14:paraId="1531F928" w14:textId="77777777" w:rsidTr="00FD7AE8">
        <w:tc>
          <w:tcPr>
            <w:tcW w:w="4658" w:type="dxa"/>
          </w:tcPr>
          <w:p w14:paraId="163C6CB7" w14:textId="77777777" w:rsidR="00932EE2" w:rsidRPr="00EF0D1D" w:rsidRDefault="00932EE2" w:rsidP="00EF0D1D">
            <w:pPr>
              <w:spacing w:line="240" w:lineRule="atLeast"/>
              <w:ind w:right="430"/>
              <w:rPr>
                <w:rFonts w:eastAsiaTheme="minorHAnsi"/>
              </w:rPr>
            </w:pPr>
            <w:r w:rsidRPr="00EF0D1D">
              <w:rPr>
                <w:rFonts w:eastAsiaTheme="minorHAnsi"/>
              </w:rPr>
              <w:t>Trial Judge:</w:t>
            </w:r>
          </w:p>
        </w:tc>
        <w:tc>
          <w:tcPr>
            <w:tcW w:w="4918" w:type="dxa"/>
          </w:tcPr>
          <w:p w14:paraId="27236DA4" w14:textId="77777777" w:rsidR="00932EE2" w:rsidRPr="00EF0D1D" w:rsidRDefault="00932EE2" w:rsidP="00EF0D1D">
            <w:pPr>
              <w:spacing w:line="240" w:lineRule="atLeast"/>
              <w:ind w:right="430"/>
              <w:rPr>
                <w:rFonts w:eastAsiaTheme="minorHAnsi"/>
              </w:rPr>
            </w:pPr>
            <w:r w:rsidRPr="00EF0D1D">
              <w:rPr>
                <w:rFonts w:eastAsiaTheme="minorHAnsi"/>
              </w:rPr>
              <w:t>Hon. Paul P. Burdick</w:t>
            </w:r>
          </w:p>
        </w:tc>
      </w:tr>
      <w:tr w:rsidR="00FB18A7" w14:paraId="08092A7A" w14:textId="77777777" w:rsidTr="00FD7AE8">
        <w:tc>
          <w:tcPr>
            <w:tcW w:w="4658" w:type="dxa"/>
          </w:tcPr>
          <w:p w14:paraId="39303F6F" w14:textId="77777777" w:rsidR="00932EE2" w:rsidRPr="00EF0D1D" w:rsidRDefault="00932EE2" w:rsidP="00EF0D1D">
            <w:pPr>
              <w:spacing w:line="240" w:lineRule="atLeast"/>
              <w:ind w:right="430"/>
              <w:rPr>
                <w:rFonts w:eastAsiaTheme="minorHAnsi"/>
              </w:rPr>
            </w:pPr>
            <w:r w:rsidRPr="00EF0D1D">
              <w:rPr>
                <w:rFonts w:eastAsiaTheme="minorHAnsi"/>
              </w:rPr>
              <w:t>Counsel for Petitioner</w:t>
            </w:r>
          </w:p>
          <w:p w14:paraId="0AFE5F3E" w14:textId="77777777" w:rsidR="00932EE2" w:rsidRPr="00EF0D1D" w:rsidRDefault="00932EE2" w:rsidP="00EF0D1D">
            <w:pPr>
              <w:spacing w:line="240" w:lineRule="atLeast"/>
              <w:ind w:right="430"/>
              <w:rPr>
                <w:rFonts w:eastAsiaTheme="minorHAnsi"/>
              </w:rPr>
            </w:pPr>
            <w:r w:rsidRPr="00EF0D1D">
              <w:rPr>
                <w:rFonts w:eastAsiaTheme="minorHAnsi"/>
              </w:rPr>
              <w:t>Milton Jonas Arias Molina:</w:t>
            </w:r>
          </w:p>
          <w:p w14:paraId="5B987FCD" w14:textId="77777777" w:rsidR="00932EE2" w:rsidRPr="00EF0D1D" w:rsidRDefault="00932EE2" w:rsidP="00EF0D1D">
            <w:pPr>
              <w:spacing w:line="240" w:lineRule="atLeast"/>
              <w:ind w:right="430"/>
              <w:rPr>
                <w:rFonts w:eastAsiaTheme="minorHAnsi"/>
              </w:rPr>
            </w:pPr>
          </w:p>
        </w:tc>
        <w:tc>
          <w:tcPr>
            <w:tcW w:w="4918" w:type="dxa"/>
          </w:tcPr>
          <w:p w14:paraId="046BB0BF" w14:textId="77777777" w:rsidR="00932EE2" w:rsidRPr="00EF0D1D" w:rsidRDefault="00932EE2" w:rsidP="00EF0D1D">
            <w:pPr>
              <w:spacing w:line="240" w:lineRule="auto"/>
              <w:rPr>
                <w:rFonts w:eastAsiaTheme="minorHAnsi"/>
              </w:rPr>
            </w:pPr>
            <w:r w:rsidRPr="00EF0D1D">
              <w:rPr>
                <w:rFonts w:eastAsiaTheme="minorHAnsi"/>
              </w:rPr>
              <w:t>James McMillin</w:t>
            </w:r>
          </w:p>
          <w:p w14:paraId="326837A0" w14:textId="77777777" w:rsidR="00932EE2" w:rsidRPr="00EF0D1D" w:rsidRDefault="00932EE2" w:rsidP="00EF0D1D">
            <w:pPr>
              <w:spacing w:line="240" w:lineRule="auto"/>
              <w:rPr>
                <w:rFonts w:eastAsiaTheme="minorHAnsi"/>
              </w:rPr>
            </w:pPr>
            <w:r w:rsidRPr="00EF0D1D">
              <w:rPr>
                <w:rFonts w:eastAsiaTheme="minorHAnsi"/>
              </w:rPr>
              <w:t>Heather Ruth Rogers</w:t>
            </w:r>
          </w:p>
          <w:p w14:paraId="632ABD5B" w14:textId="77777777" w:rsidR="00932EE2" w:rsidRPr="00EF0D1D" w:rsidRDefault="00932EE2" w:rsidP="00EF0D1D">
            <w:pPr>
              <w:spacing w:line="240" w:lineRule="auto"/>
              <w:rPr>
                <w:rFonts w:eastAsiaTheme="minorHAnsi"/>
              </w:rPr>
            </w:pPr>
            <w:r w:rsidRPr="00EF0D1D">
              <w:rPr>
                <w:rFonts w:eastAsiaTheme="minorHAnsi"/>
              </w:rPr>
              <w:t>Santa Cruz County Public Defender</w:t>
            </w:r>
          </w:p>
          <w:p w14:paraId="79AF29CA" w14:textId="77777777" w:rsidR="00932EE2" w:rsidRPr="00EF0D1D" w:rsidRDefault="00932EE2" w:rsidP="00EF0D1D">
            <w:pPr>
              <w:spacing w:line="240" w:lineRule="auto"/>
              <w:rPr>
                <w:rFonts w:eastAsiaTheme="minorHAnsi"/>
              </w:rPr>
            </w:pPr>
          </w:p>
          <w:p w14:paraId="4FE33380" w14:textId="77777777" w:rsidR="00932EE2" w:rsidRPr="00EF0D1D" w:rsidRDefault="00932EE2" w:rsidP="00EF0D1D">
            <w:pPr>
              <w:spacing w:line="240" w:lineRule="auto"/>
              <w:rPr>
                <w:rFonts w:eastAsiaTheme="minorHAnsi"/>
              </w:rPr>
            </w:pPr>
            <w:r w:rsidRPr="00EF0D1D">
              <w:rPr>
                <w:rFonts w:eastAsiaTheme="minorHAnsi"/>
              </w:rPr>
              <w:t>Athena Rose Reis</w:t>
            </w:r>
          </w:p>
          <w:p w14:paraId="5A3B9EEC" w14:textId="77777777" w:rsidR="00932EE2" w:rsidRPr="00EF0D1D" w:rsidRDefault="00932EE2" w:rsidP="00EF0D1D">
            <w:pPr>
              <w:spacing w:line="240" w:lineRule="auto"/>
              <w:rPr>
                <w:rFonts w:eastAsiaTheme="minorHAnsi"/>
              </w:rPr>
            </w:pPr>
            <w:proofErr w:type="spellStart"/>
            <w:r w:rsidRPr="00EF0D1D">
              <w:rPr>
                <w:rFonts w:eastAsiaTheme="minorHAnsi"/>
              </w:rPr>
              <w:t>Biggam</w:t>
            </w:r>
            <w:proofErr w:type="spellEnd"/>
            <w:r w:rsidRPr="00EF0D1D">
              <w:rPr>
                <w:rFonts w:eastAsiaTheme="minorHAnsi"/>
              </w:rPr>
              <w:t xml:space="preserve">, Christensen &amp; </w:t>
            </w:r>
            <w:proofErr w:type="spellStart"/>
            <w:r w:rsidRPr="00EF0D1D">
              <w:rPr>
                <w:rFonts w:eastAsiaTheme="minorHAnsi"/>
              </w:rPr>
              <w:t>Minsloff</w:t>
            </w:r>
            <w:proofErr w:type="spellEnd"/>
          </w:p>
          <w:p w14:paraId="3C4CB361" w14:textId="77777777" w:rsidR="00932EE2" w:rsidRPr="00EF0D1D" w:rsidRDefault="00932EE2" w:rsidP="00EF0D1D">
            <w:pPr>
              <w:spacing w:line="240" w:lineRule="auto"/>
              <w:rPr>
                <w:rFonts w:eastAsiaTheme="minorHAnsi"/>
              </w:rPr>
            </w:pPr>
          </w:p>
          <w:p w14:paraId="658A5C70" w14:textId="77777777" w:rsidR="00932EE2" w:rsidRPr="00EF0D1D" w:rsidRDefault="00932EE2" w:rsidP="00EF0D1D">
            <w:pPr>
              <w:spacing w:line="240" w:lineRule="auto"/>
              <w:rPr>
                <w:rFonts w:eastAsiaTheme="minorHAnsi"/>
              </w:rPr>
            </w:pPr>
          </w:p>
        </w:tc>
      </w:tr>
      <w:tr w:rsidR="00FB18A7" w14:paraId="088FB67D" w14:textId="77777777" w:rsidTr="00FD7AE8">
        <w:tc>
          <w:tcPr>
            <w:tcW w:w="4658" w:type="dxa"/>
          </w:tcPr>
          <w:p w14:paraId="62AF5279" w14:textId="77777777" w:rsidR="00932EE2" w:rsidRPr="00EF0D1D" w:rsidRDefault="00932EE2" w:rsidP="00EF0D1D">
            <w:pPr>
              <w:spacing w:line="240" w:lineRule="atLeast"/>
              <w:ind w:right="430"/>
              <w:rPr>
                <w:rFonts w:eastAsiaTheme="minorHAnsi"/>
              </w:rPr>
            </w:pPr>
            <w:r w:rsidRPr="00EF0D1D">
              <w:rPr>
                <w:rFonts w:eastAsiaTheme="minorHAnsi"/>
              </w:rPr>
              <w:t>Counsel for Respondent</w:t>
            </w:r>
          </w:p>
          <w:p w14:paraId="7AFBE916" w14:textId="77777777" w:rsidR="00932EE2" w:rsidRPr="00EF0D1D" w:rsidRDefault="00932EE2" w:rsidP="00EF0D1D">
            <w:pPr>
              <w:spacing w:line="240" w:lineRule="atLeast"/>
              <w:ind w:right="430"/>
              <w:rPr>
                <w:rFonts w:eastAsiaTheme="minorHAnsi"/>
              </w:rPr>
            </w:pPr>
            <w:r w:rsidRPr="00EF0D1D">
              <w:rPr>
                <w:rFonts w:eastAsiaTheme="minorHAnsi"/>
              </w:rPr>
              <w:t xml:space="preserve">The Superior Court of </w:t>
            </w:r>
            <w:r w:rsidRPr="00EF0D1D">
              <w:rPr>
                <w:rFonts w:eastAsiaTheme="minorHAnsi"/>
              </w:rPr>
              <w:t>Santa Cruz County: The People Real Party in Interest</w:t>
            </w:r>
          </w:p>
          <w:p w14:paraId="2D29D7DF" w14:textId="77777777" w:rsidR="00932EE2" w:rsidRPr="00EF0D1D" w:rsidRDefault="00932EE2" w:rsidP="00EF0D1D">
            <w:pPr>
              <w:spacing w:line="240" w:lineRule="atLeast"/>
              <w:ind w:right="430"/>
              <w:rPr>
                <w:rFonts w:eastAsiaTheme="minorHAnsi"/>
              </w:rPr>
            </w:pPr>
          </w:p>
        </w:tc>
        <w:tc>
          <w:tcPr>
            <w:tcW w:w="4918" w:type="dxa"/>
          </w:tcPr>
          <w:p w14:paraId="394B48A0" w14:textId="77777777" w:rsidR="00932EE2" w:rsidRPr="00EF0D1D" w:rsidRDefault="00932EE2" w:rsidP="00EF0D1D">
            <w:pPr>
              <w:spacing w:line="240" w:lineRule="auto"/>
              <w:rPr>
                <w:rFonts w:eastAsiaTheme="minorHAnsi"/>
              </w:rPr>
            </w:pPr>
            <w:r w:rsidRPr="00EF0D1D">
              <w:rPr>
                <w:rFonts w:eastAsiaTheme="minorHAnsi"/>
              </w:rPr>
              <w:t>Brady A. Baldwin</w:t>
            </w:r>
          </w:p>
          <w:p w14:paraId="182DE7F6" w14:textId="77777777" w:rsidR="00932EE2" w:rsidRPr="00EF0D1D" w:rsidRDefault="00932EE2" w:rsidP="00EF0D1D">
            <w:pPr>
              <w:spacing w:line="240" w:lineRule="auto"/>
              <w:rPr>
                <w:rFonts w:eastAsiaTheme="minorHAnsi"/>
              </w:rPr>
            </w:pPr>
            <w:r w:rsidRPr="00EF0D1D">
              <w:rPr>
                <w:rFonts w:eastAsiaTheme="minorHAnsi"/>
              </w:rPr>
              <w:t>Alice X. Wang</w:t>
            </w:r>
          </w:p>
          <w:p w14:paraId="342886EF" w14:textId="77777777" w:rsidR="00932EE2" w:rsidRPr="00EF0D1D" w:rsidRDefault="00932EE2" w:rsidP="00EF0D1D">
            <w:pPr>
              <w:spacing w:line="240" w:lineRule="auto"/>
              <w:rPr>
                <w:rFonts w:eastAsiaTheme="minorHAnsi"/>
              </w:rPr>
            </w:pPr>
            <w:r w:rsidRPr="00EF0D1D">
              <w:rPr>
                <w:rFonts w:eastAsiaTheme="minorHAnsi"/>
              </w:rPr>
              <w:t>Office of the Attorney General</w:t>
            </w:r>
          </w:p>
          <w:p w14:paraId="11CD4C01" w14:textId="77777777" w:rsidR="00932EE2" w:rsidRPr="00EF0D1D" w:rsidRDefault="00932EE2" w:rsidP="00EF0D1D">
            <w:pPr>
              <w:spacing w:line="240" w:lineRule="auto"/>
              <w:rPr>
                <w:rFonts w:eastAsiaTheme="minorHAnsi"/>
              </w:rPr>
            </w:pPr>
          </w:p>
          <w:p w14:paraId="0BE9794A" w14:textId="77777777" w:rsidR="00932EE2" w:rsidRPr="00EF0D1D" w:rsidRDefault="00932EE2" w:rsidP="00EF0D1D">
            <w:pPr>
              <w:spacing w:line="240" w:lineRule="auto"/>
              <w:rPr>
                <w:rFonts w:eastAsiaTheme="minorHAnsi"/>
              </w:rPr>
            </w:pPr>
            <w:r w:rsidRPr="00EF0D1D">
              <w:rPr>
                <w:rFonts w:eastAsiaTheme="minorHAnsi"/>
              </w:rPr>
              <w:t>Gregory James Peinado</w:t>
            </w:r>
          </w:p>
          <w:p w14:paraId="16DEC4D5" w14:textId="77777777" w:rsidR="00932EE2" w:rsidRPr="00EF0D1D" w:rsidRDefault="00932EE2" w:rsidP="00EF0D1D">
            <w:pPr>
              <w:spacing w:line="240" w:lineRule="auto"/>
              <w:rPr>
                <w:rFonts w:eastAsiaTheme="minorHAnsi"/>
              </w:rPr>
            </w:pPr>
            <w:r w:rsidRPr="00EF0D1D">
              <w:rPr>
                <w:rFonts w:eastAsiaTheme="minorHAnsi"/>
              </w:rPr>
              <w:t>Santa Cruz County District Attorney's Office  </w:t>
            </w:r>
          </w:p>
          <w:p w14:paraId="7B31D4A6" w14:textId="77777777" w:rsidR="00932EE2" w:rsidRPr="00EF0D1D" w:rsidRDefault="00932EE2" w:rsidP="00EF0D1D">
            <w:pPr>
              <w:spacing w:line="240" w:lineRule="auto"/>
              <w:rPr>
                <w:rFonts w:eastAsiaTheme="minorHAnsi"/>
              </w:rPr>
            </w:pPr>
          </w:p>
          <w:p w14:paraId="41B7EA20" w14:textId="77777777" w:rsidR="00932EE2" w:rsidRPr="00EF0D1D" w:rsidRDefault="00932EE2" w:rsidP="00EF0D1D">
            <w:pPr>
              <w:spacing w:line="240" w:lineRule="auto"/>
              <w:rPr>
                <w:rFonts w:eastAsiaTheme="minorHAnsi"/>
              </w:rPr>
            </w:pPr>
            <w:r w:rsidRPr="00EF0D1D">
              <w:rPr>
                <w:rFonts w:eastAsiaTheme="minorHAnsi"/>
              </w:rPr>
              <w:t>Johanna Rose Schonfield</w:t>
            </w:r>
          </w:p>
          <w:p w14:paraId="479DB759" w14:textId="77777777" w:rsidR="00932EE2" w:rsidRPr="00EF0D1D" w:rsidRDefault="00932EE2" w:rsidP="00EF0D1D">
            <w:pPr>
              <w:spacing w:line="240" w:lineRule="auto"/>
              <w:rPr>
                <w:rFonts w:eastAsiaTheme="minorHAnsi"/>
              </w:rPr>
            </w:pPr>
            <w:r w:rsidRPr="00EF0D1D">
              <w:rPr>
                <w:rFonts w:eastAsiaTheme="minorHAnsi"/>
              </w:rPr>
              <w:t xml:space="preserve">Office of District Attorney, Santa Cruz </w:t>
            </w:r>
            <w:r w:rsidRPr="00EF0D1D">
              <w:rPr>
                <w:rFonts w:eastAsiaTheme="minorHAnsi"/>
              </w:rPr>
              <w:t>County</w:t>
            </w:r>
          </w:p>
        </w:tc>
      </w:tr>
    </w:tbl>
    <w:p w14:paraId="0C589522" w14:textId="77777777" w:rsidR="00932EE2" w:rsidRPr="00EF0D1D" w:rsidRDefault="00932EE2" w:rsidP="00EF0D1D">
      <w:pPr>
        <w:spacing w:line="240" w:lineRule="auto"/>
        <w:rPr>
          <w:rFonts w:eastAsiaTheme="minorHAnsi"/>
          <w:b/>
        </w:rPr>
      </w:pPr>
    </w:p>
    <w:p w14:paraId="3D5DE3E9" w14:textId="77777777" w:rsidR="00932EE2" w:rsidRPr="00EF0D1D" w:rsidRDefault="00932EE2" w:rsidP="00EF0D1D">
      <w:pPr>
        <w:spacing w:line="240" w:lineRule="auto"/>
        <w:rPr>
          <w:rFonts w:eastAsiaTheme="minorHAnsi"/>
          <w:b/>
        </w:rPr>
      </w:pPr>
    </w:p>
    <w:p w14:paraId="55FD4214" w14:textId="77777777" w:rsidR="00932EE2" w:rsidRPr="00EF0D1D" w:rsidRDefault="00932EE2" w:rsidP="00EF0D1D">
      <w:pPr>
        <w:spacing w:line="240" w:lineRule="auto"/>
        <w:rPr>
          <w:rFonts w:eastAsiaTheme="minorHAnsi"/>
          <w:b/>
        </w:rPr>
      </w:pPr>
    </w:p>
    <w:p w14:paraId="6FDCCA56" w14:textId="77777777" w:rsidR="00932EE2" w:rsidRPr="00EF0D1D" w:rsidRDefault="00932EE2" w:rsidP="00EF0D1D">
      <w:pPr>
        <w:spacing w:line="240" w:lineRule="auto"/>
        <w:rPr>
          <w:rFonts w:eastAsiaTheme="minorHAnsi"/>
          <w:b/>
        </w:rPr>
      </w:pPr>
    </w:p>
    <w:p w14:paraId="044B339E" w14:textId="77777777" w:rsidR="00932EE2" w:rsidRPr="00EF0D1D" w:rsidRDefault="00932EE2" w:rsidP="00EF0D1D">
      <w:pPr>
        <w:spacing w:line="240" w:lineRule="auto"/>
        <w:rPr>
          <w:rFonts w:eastAsiaTheme="minorHAnsi"/>
          <w:b/>
        </w:rPr>
      </w:pPr>
    </w:p>
    <w:p w14:paraId="5407D6F1" w14:textId="77777777" w:rsidR="00932EE2" w:rsidRPr="00EF0D1D" w:rsidRDefault="00932EE2" w:rsidP="00EF0D1D">
      <w:pPr>
        <w:spacing w:line="240" w:lineRule="auto"/>
        <w:rPr>
          <w:rFonts w:eastAsiaTheme="minorHAnsi"/>
          <w:b/>
        </w:rPr>
      </w:pPr>
    </w:p>
    <w:p w14:paraId="4BCDAB46" w14:textId="77777777" w:rsidR="00932EE2" w:rsidRPr="00EF0D1D" w:rsidRDefault="00932EE2" w:rsidP="00EF0D1D">
      <w:pPr>
        <w:spacing w:line="240" w:lineRule="auto"/>
        <w:rPr>
          <w:rFonts w:eastAsiaTheme="minorHAnsi"/>
          <w:b/>
        </w:rPr>
      </w:pPr>
    </w:p>
    <w:p w14:paraId="2C308076" w14:textId="77777777" w:rsidR="00932EE2" w:rsidRPr="00EF0D1D" w:rsidRDefault="00932EE2" w:rsidP="00EF0D1D">
      <w:pPr>
        <w:spacing w:line="240" w:lineRule="auto"/>
        <w:rPr>
          <w:rFonts w:eastAsiaTheme="minorHAnsi"/>
          <w:b/>
        </w:rPr>
      </w:pPr>
    </w:p>
    <w:p w14:paraId="5BBCF526" w14:textId="77777777" w:rsidR="00932EE2" w:rsidRPr="00EF0D1D" w:rsidRDefault="00932EE2" w:rsidP="00EF0D1D">
      <w:pPr>
        <w:spacing w:line="240" w:lineRule="auto"/>
        <w:rPr>
          <w:rFonts w:eastAsiaTheme="minorHAnsi"/>
          <w:b/>
        </w:rPr>
      </w:pPr>
    </w:p>
    <w:p w14:paraId="7B159B2D" w14:textId="77777777" w:rsidR="00932EE2" w:rsidRPr="00EF0D1D" w:rsidRDefault="00932EE2" w:rsidP="00EF0D1D">
      <w:pPr>
        <w:spacing w:line="240" w:lineRule="auto"/>
        <w:rPr>
          <w:rFonts w:eastAsiaTheme="minorHAnsi"/>
          <w:b/>
        </w:rPr>
      </w:pPr>
    </w:p>
    <w:p w14:paraId="06EF0E87" w14:textId="77777777" w:rsidR="00932EE2" w:rsidRPr="00EF0D1D" w:rsidRDefault="00932EE2" w:rsidP="00EF0D1D">
      <w:pPr>
        <w:spacing w:line="240" w:lineRule="auto"/>
        <w:rPr>
          <w:rFonts w:eastAsiaTheme="minorHAnsi"/>
          <w:b/>
        </w:rPr>
      </w:pPr>
    </w:p>
    <w:p w14:paraId="1C0D0A37" w14:textId="77777777" w:rsidR="00932EE2" w:rsidRPr="00EF0D1D" w:rsidRDefault="00932EE2" w:rsidP="00EF0D1D">
      <w:pPr>
        <w:spacing w:line="240" w:lineRule="auto"/>
        <w:rPr>
          <w:rFonts w:eastAsiaTheme="minorHAnsi"/>
          <w:b/>
        </w:rPr>
      </w:pPr>
    </w:p>
    <w:p w14:paraId="3B4DAA29" w14:textId="77777777" w:rsidR="00932EE2" w:rsidRPr="00EF0D1D" w:rsidRDefault="00932EE2" w:rsidP="00EF0D1D">
      <w:pPr>
        <w:spacing w:line="240" w:lineRule="auto"/>
        <w:rPr>
          <w:rFonts w:eastAsiaTheme="minorHAnsi"/>
          <w:b/>
        </w:rPr>
      </w:pPr>
    </w:p>
    <w:p w14:paraId="2D85B9FE" w14:textId="77777777" w:rsidR="00932EE2" w:rsidRPr="00EF0D1D" w:rsidRDefault="00932EE2" w:rsidP="00EF0D1D">
      <w:pPr>
        <w:spacing w:line="240" w:lineRule="auto"/>
        <w:rPr>
          <w:rFonts w:eastAsiaTheme="minorHAnsi"/>
          <w:b/>
        </w:rPr>
      </w:pPr>
    </w:p>
    <w:p w14:paraId="7E3D099B" w14:textId="77777777" w:rsidR="00932EE2" w:rsidRPr="00EF0D1D" w:rsidRDefault="00932EE2" w:rsidP="00EF0D1D">
      <w:pPr>
        <w:spacing w:line="240" w:lineRule="auto"/>
        <w:rPr>
          <w:rFonts w:eastAsiaTheme="minorHAnsi"/>
          <w:b/>
        </w:rPr>
      </w:pPr>
    </w:p>
    <w:p w14:paraId="06A67254" w14:textId="77777777" w:rsidR="00932EE2" w:rsidRPr="00EF0D1D" w:rsidRDefault="00932EE2" w:rsidP="00EF0D1D">
      <w:pPr>
        <w:spacing w:line="240" w:lineRule="auto"/>
        <w:rPr>
          <w:rFonts w:eastAsiaTheme="minorHAnsi"/>
          <w:b/>
        </w:rPr>
      </w:pPr>
    </w:p>
    <w:p w14:paraId="3A7CAD19" w14:textId="77777777" w:rsidR="00932EE2" w:rsidRPr="00DA6F0A" w:rsidRDefault="00932EE2" w:rsidP="00EF0D1D">
      <w:pPr>
        <w:spacing w:line="240" w:lineRule="auto"/>
        <w:rPr>
          <w:rFonts w:eastAsiaTheme="minorHAnsi"/>
          <w:bCs/>
        </w:rPr>
      </w:pPr>
      <w:r w:rsidRPr="00DA6F0A">
        <w:rPr>
          <w:rFonts w:eastAsiaTheme="minorHAnsi"/>
          <w:bCs/>
        </w:rPr>
        <w:t>H</w:t>
      </w:r>
      <w:r w:rsidRPr="00DA6F0A">
        <w:rPr>
          <w:rFonts w:eastAsiaTheme="minorHAnsi"/>
          <w:bCs/>
          <w:kern w:val="2"/>
        </w:rPr>
        <w:t>0550669</w:t>
      </w:r>
    </w:p>
    <w:p w14:paraId="5C0974D8" w14:textId="77777777" w:rsidR="00932EE2" w:rsidRPr="00EF0D1D" w:rsidRDefault="00932EE2" w:rsidP="00EF0D1D">
      <w:pPr>
        <w:tabs>
          <w:tab w:val="clear" w:pos="720"/>
        </w:tabs>
        <w:spacing w:after="160" w:line="240" w:lineRule="auto"/>
        <w:rPr>
          <w:rFonts w:eastAsiaTheme="minorHAnsi"/>
          <w:bCs/>
        </w:rPr>
      </w:pPr>
      <w:r w:rsidRPr="00DA6F0A">
        <w:rPr>
          <w:rFonts w:eastAsiaTheme="minorHAnsi"/>
          <w:bCs/>
          <w:i/>
          <w:iCs/>
        </w:rPr>
        <w:t>Molina v. Superior Court</w:t>
      </w:r>
    </w:p>
    <w:p w14:paraId="71D4575C" w14:textId="77777777" w:rsidR="00932EE2" w:rsidRPr="006870D6" w:rsidRDefault="00932EE2" w:rsidP="00DA6F0A">
      <w:pPr>
        <w:pStyle w:val="NoSpacing"/>
      </w:pPr>
    </w:p>
    <w:sectPr w:rsidR="00074D07" w:rsidRPr="006870D6" w:rsidSect="002D669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B9EEA" w14:textId="77777777" w:rsidR="00932EE2" w:rsidRDefault="00932EE2">
      <w:pPr>
        <w:spacing w:line="240" w:lineRule="auto"/>
      </w:pPr>
      <w:r>
        <w:separator/>
      </w:r>
    </w:p>
  </w:endnote>
  <w:endnote w:type="continuationSeparator" w:id="0">
    <w:p w14:paraId="36D27912" w14:textId="77777777" w:rsidR="00932EE2" w:rsidRDefault="00932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77838"/>
      <w:docPartObj>
        <w:docPartGallery w:val="Page Numbers (Bottom of Page)"/>
        <w:docPartUnique/>
      </w:docPartObj>
    </w:sdtPr>
    <w:sdtEndPr/>
    <w:sdtContent>
      <w:p w14:paraId="7410D88E" w14:textId="77777777" w:rsidR="00932EE2" w:rsidRDefault="00932EE2">
        <w:pPr>
          <w:pStyle w:val="Footer"/>
          <w:jc w:val="center"/>
        </w:pPr>
        <w:r>
          <w:rPr>
            <w:noProof/>
          </w:rPr>
          <w:fldChar w:fldCharType="begin"/>
        </w:r>
        <w:r>
          <w:rPr>
            <w:noProof/>
          </w:rPr>
          <w:instrText xml:space="preserve"> PAGE   \* MERGEFORMAT </w:instrText>
        </w:r>
        <w:r>
          <w:rPr>
            <w:noProof/>
          </w:rPr>
          <w:fldChar w:fldCharType="separate"/>
        </w:r>
        <w:r>
          <w:rPr>
            <w:noProof/>
          </w:rPr>
          <w:t>15</w:t>
        </w:r>
        <w:r>
          <w:rPr>
            <w:noProof/>
          </w:rPr>
          <w:fldChar w:fldCharType="end"/>
        </w:r>
      </w:p>
    </w:sdtContent>
  </w:sdt>
  <w:p w14:paraId="4550AD95" w14:textId="77777777" w:rsidR="00932EE2" w:rsidRDefault="00932EE2">
    <w:pPr>
      <w:pStyle w:val="Footer"/>
    </w:pPr>
  </w:p>
  <w:p w14:paraId="431FF97B" w14:textId="77777777" w:rsidR="00932EE2" w:rsidRDefault="00932E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2CDC9" w14:textId="77777777" w:rsidR="00932EE2" w:rsidRDefault="00932EE2" w:rsidP="00344B88">
      <w:pPr>
        <w:spacing w:line="240" w:lineRule="auto"/>
      </w:pPr>
      <w:r>
        <w:separator/>
      </w:r>
    </w:p>
  </w:footnote>
  <w:footnote w:type="continuationSeparator" w:id="0">
    <w:p w14:paraId="73D46BDB" w14:textId="77777777" w:rsidR="00932EE2" w:rsidRDefault="00932EE2" w:rsidP="00344B88">
      <w:pPr>
        <w:spacing w:line="240" w:lineRule="auto"/>
      </w:pPr>
      <w:r>
        <w:continuationSeparator/>
      </w:r>
    </w:p>
  </w:footnote>
  <w:footnote w:type="continuationNotice" w:id="1">
    <w:p w14:paraId="620655BA" w14:textId="77777777" w:rsidR="00932EE2" w:rsidRDefault="00932EE2">
      <w:pPr>
        <w:spacing w:line="240" w:lineRule="auto"/>
      </w:pPr>
    </w:p>
  </w:footnote>
  <w:footnote w:id="2">
    <w:p w14:paraId="37FEB9F2" w14:textId="77777777" w:rsidR="00932EE2" w:rsidRDefault="00932EE2" w:rsidP="00966374">
      <w:pPr>
        <w:pStyle w:val="FootnoteText"/>
        <w:spacing w:after="120"/>
        <w:ind w:firstLine="720"/>
      </w:pPr>
      <w:r>
        <w:rPr>
          <w:rStyle w:val="FootnoteReference"/>
        </w:rPr>
        <w:footnoteRef/>
      </w:r>
      <w:r>
        <w:t xml:space="preserve"> Unspecified statutory references are to the Penal Code.</w:t>
      </w:r>
    </w:p>
  </w:footnote>
  <w:footnote w:id="3">
    <w:p w14:paraId="423058BF" w14:textId="77777777" w:rsidR="00932EE2" w:rsidRDefault="00932EE2" w:rsidP="00D65CE5">
      <w:pPr>
        <w:pStyle w:val="FootnoteText"/>
        <w:spacing w:after="120"/>
      </w:pPr>
      <w:r>
        <w:tab/>
      </w:r>
      <w:r>
        <w:rPr>
          <w:rStyle w:val="FootnoteReference"/>
        </w:rPr>
        <w:footnoteRef/>
      </w:r>
      <w:r>
        <w:t xml:space="preserve"> </w:t>
      </w:r>
      <w:r>
        <w:t xml:space="preserve">Molina’s counsel </w:t>
      </w:r>
      <w:r>
        <w:t xml:space="preserve">objected and asked that Molina have both hands free, but the trial court denied that </w:t>
      </w:r>
      <w:r>
        <w:t xml:space="preserve">request. </w:t>
      </w:r>
      <w:r>
        <w:t xml:space="preserve"> </w:t>
      </w:r>
      <w:r>
        <w:t>Molina does not raise this issue in his writ petitio</w:t>
      </w:r>
      <w:r>
        <w:t>n</w:t>
      </w:r>
      <w:r>
        <w:t>.</w:t>
      </w:r>
    </w:p>
  </w:footnote>
  <w:footnote w:id="4">
    <w:p w14:paraId="53C97D70" w14:textId="77777777" w:rsidR="00932EE2" w:rsidRPr="00F43D7A" w:rsidRDefault="00932EE2" w:rsidP="00DD1024">
      <w:pPr>
        <w:pStyle w:val="FootnoteText"/>
        <w:spacing w:after="120"/>
        <w:rPr>
          <w:rFonts w:cstheme="minorHAnsi"/>
        </w:rPr>
      </w:pPr>
      <w:r>
        <w:tab/>
      </w:r>
      <w:r>
        <w:rPr>
          <w:rStyle w:val="FootnoteReference"/>
        </w:rPr>
        <w:footnoteRef/>
      </w:r>
      <w:r>
        <w:t xml:space="preserve"> </w:t>
      </w:r>
      <w:r w:rsidRPr="005439B3">
        <w:t>Throughout the entirety of the preliminary examination, the minute orders</w:t>
      </w:r>
      <w:r>
        <w:t xml:space="preserve"> and</w:t>
      </w:r>
      <w:r>
        <w:t xml:space="preserve"> transcript</w:t>
      </w:r>
      <w:r w:rsidRPr="005439B3">
        <w:t xml:space="preserve"> from each hearing indicate that there were as few as one or as many as five interpreters present</w:t>
      </w:r>
      <w:r>
        <w:t xml:space="preserve"> throughout</w:t>
      </w:r>
      <w:r w:rsidRPr="005439B3">
        <w:t xml:space="preserve"> a given day</w:t>
      </w:r>
      <w:r>
        <w:t xml:space="preserve">. </w:t>
      </w:r>
      <w:r>
        <w:t xml:space="preserve"> </w:t>
      </w:r>
      <w:r>
        <w:t xml:space="preserve">Unfortunately, </w:t>
      </w:r>
      <w:r>
        <w:rPr>
          <w:rFonts w:cstheme="minorHAnsi"/>
        </w:rPr>
        <w:t>the</w:t>
      </w:r>
      <w:r>
        <w:rPr>
          <w:rFonts w:cstheme="minorHAnsi"/>
        </w:rPr>
        <w:t xml:space="preserve"> record</w:t>
      </w:r>
      <w:r>
        <w:rPr>
          <w:rFonts w:cstheme="minorHAnsi"/>
        </w:rPr>
        <w:t xml:space="preserve"> do</w:t>
      </w:r>
      <w:r>
        <w:rPr>
          <w:rFonts w:cstheme="minorHAnsi"/>
        </w:rPr>
        <w:t>es</w:t>
      </w:r>
      <w:r>
        <w:rPr>
          <w:rFonts w:cstheme="minorHAnsi"/>
        </w:rPr>
        <w:t xml:space="preserve"> not consistently reflect how many interpreters are present </w:t>
      </w:r>
      <w:r>
        <w:rPr>
          <w:rFonts w:cstheme="minorHAnsi"/>
        </w:rPr>
        <w:t>at any given time</w:t>
      </w:r>
      <w:r>
        <w:rPr>
          <w:rFonts w:cstheme="minorHAnsi"/>
        </w:rPr>
        <w:t xml:space="preserve"> </w:t>
      </w:r>
      <w:r>
        <w:rPr>
          <w:rFonts w:cstheme="minorHAnsi"/>
        </w:rPr>
        <w:t>or how they are involved in the hearing, i.e., whether they were interpreting for one or more of the defendants, for the witnesses, or both.</w:t>
      </w:r>
      <w:r>
        <w:rPr>
          <w:rFonts w:cstheme="minorHAnsi"/>
        </w:rPr>
        <w:t xml:space="preserve"> </w:t>
      </w:r>
      <w:r>
        <w:rPr>
          <w:rFonts w:cstheme="minorHAnsi"/>
        </w:rPr>
        <w:t xml:space="preserve"> </w:t>
      </w:r>
      <w:r w:rsidRPr="00EA5155">
        <w:t>“In a criminal proceeding, an interpreter may perform three interrelated but distinct roles: (1) as a ‘witness interpreter,’ to enable ques</w:t>
      </w:r>
      <w:r w:rsidRPr="00EA5155">
        <w:t xml:space="preserve">tioning of witnesses who do not speak English; (2) as a ‘proceedings interpreter,’ to assist a non-English-speaking defendant to understand the exchanges at trial among attorneys, witnesses, and the court; and (3) as a ‘defense interpreter,’ to enable a non-English-speaking defendant to communicate with the defendant's English-speaking attorney. </w:t>
      </w:r>
      <w:r>
        <w:t xml:space="preserve"> </w:t>
      </w:r>
      <w:r w:rsidRPr="00EA5155">
        <w:t xml:space="preserve">[Citation].)” </w:t>
      </w:r>
      <w:r>
        <w:t xml:space="preserve"> (</w:t>
      </w:r>
      <w:r w:rsidRPr="00EA5155">
        <w:rPr>
          <w:bCs/>
          <w:i/>
          <w:iCs/>
        </w:rPr>
        <w:t>People v. Romero</w:t>
      </w:r>
      <w:r w:rsidRPr="00EA5155">
        <w:rPr>
          <w:bCs/>
        </w:rPr>
        <w:t xml:space="preserve"> (2008) 44 Cal.4th 386, 410 (</w:t>
      </w:r>
      <w:r w:rsidRPr="00EA5155">
        <w:rPr>
          <w:bCs/>
          <w:i/>
          <w:iCs/>
        </w:rPr>
        <w:t>Romero</w:t>
      </w:r>
      <w:r w:rsidRPr="00EA5155">
        <w:rPr>
          <w:bCs/>
        </w:rPr>
        <w:t>)</w:t>
      </w:r>
      <w:r w:rsidRPr="00EA5155">
        <w:t>.)</w:t>
      </w:r>
      <w:r>
        <w:t xml:space="preserve">  </w:t>
      </w:r>
      <w:r>
        <w:t>W</w:t>
      </w:r>
      <w:r w:rsidRPr="00EA5155">
        <w:t xml:space="preserve">e encourage trial courts to identify on the record the names of the interpreters who are </w:t>
      </w:r>
      <w:r>
        <w:t>p</w:t>
      </w:r>
      <w:r>
        <w:t>resent</w:t>
      </w:r>
      <w:r>
        <w:t xml:space="preserve"> </w:t>
      </w:r>
      <w:r w:rsidRPr="00EA5155">
        <w:t xml:space="preserve">as well as </w:t>
      </w:r>
      <w:r>
        <w:t xml:space="preserve">which of the three </w:t>
      </w:r>
      <w:proofErr w:type="gramStart"/>
      <w:r>
        <w:t>aforementioned roles</w:t>
      </w:r>
      <w:proofErr w:type="gramEnd"/>
      <w:r>
        <w:t xml:space="preserve"> they </w:t>
      </w:r>
      <w:r>
        <w:t xml:space="preserve">performed </w:t>
      </w:r>
      <w:r w:rsidRPr="00EA5155">
        <w:t xml:space="preserve">during the proceedings.  </w:t>
      </w:r>
    </w:p>
  </w:footnote>
  <w:footnote w:id="5">
    <w:p w14:paraId="73DE1AA9" w14:textId="77777777" w:rsidR="00932EE2" w:rsidRDefault="00932EE2" w:rsidP="00782CCB">
      <w:pPr>
        <w:pStyle w:val="FootnoteText"/>
        <w:spacing w:after="120"/>
      </w:pPr>
      <w:r>
        <w:tab/>
      </w:r>
      <w:r>
        <w:rPr>
          <w:rStyle w:val="FootnoteReference"/>
        </w:rPr>
        <w:footnoteRef/>
      </w:r>
      <w:r>
        <w:t xml:space="preserve"> We say this because at no time during those witnesses’ testimony was there any interruption in the proceedings where a new interpreter was brought in to provide a break for the prior interpreter nor was there any request from an interpreter to clarify what an attorney or a witness said. </w:t>
      </w:r>
    </w:p>
  </w:footnote>
  <w:footnote w:id="6">
    <w:p w14:paraId="2AB1B198" w14:textId="77777777" w:rsidR="00932EE2" w:rsidRDefault="00932EE2" w:rsidP="00936E03">
      <w:pPr>
        <w:pStyle w:val="FootnoteText"/>
        <w:spacing w:after="120"/>
      </w:pPr>
      <w:r>
        <w:tab/>
      </w:r>
      <w:r>
        <w:rPr>
          <w:rStyle w:val="FootnoteReference"/>
        </w:rPr>
        <w:footnoteRef/>
      </w:r>
      <w:r>
        <w:t xml:space="preserve"> Presumably the fourth interpreter was not physically present in the courtroom at the time the three interpreters identified themselves on the record. </w:t>
      </w:r>
    </w:p>
  </w:footnote>
  <w:footnote w:id="7">
    <w:p w14:paraId="7DF6D2C8" w14:textId="77777777" w:rsidR="00932EE2" w:rsidRDefault="00932EE2" w:rsidP="00CB0237">
      <w:pPr>
        <w:pStyle w:val="FootnoteText"/>
        <w:spacing w:after="120"/>
      </w:pPr>
      <w:r>
        <w:tab/>
      </w:r>
      <w:r>
        <w:rPr>
          <w:rStyle w:val="FootnoteReference"/>
        </w:rPr>
        <w:footnoteRef/>
      </w:r>
      <w:r>
        <w:t xml:space="preserve"> At least one interpreter </w:t>
      </w:r>
      <w:r>
        <w:t xml:space="preserve">was </w:t>
      </w:r>
      <w:r>
        <w:t xml:space="preserve">present, as the transcript reflects an occasional interruption from an interpreter to clarify testimony or questioning.  </w:t>
      </w:r>
    </w:p>
  </w:footnote>
  <w:footnote w:id="8">
    <w:p w14:paraId="01013633" w14:textId="77777777" w:rsidR="00932EE2" w:rsidRDefault="00932EE2">
      <w:pPr>
        <w:pStyle w:val="FootnoteText"/>
      </w:pPr>
      <w:r>
        <w:tab/>
      </w:r>
      <w:r>
        <w:rPr>
          <w:rStyle w:val="FootnoteReference"/>
        </w:rPr>
        <w:footnoteRef/>
      </w:r>
      <w:r>
        <w:t xml:space="preserve"> T</w:t>
      </w:r>
      <w:r w:rsidRPr="00B7793C">
        <w:t xml:space="preserve">he hearings were periodically interrupted due to malfunctioning audio equipment.  </w:t>
      </w:r>
    </w:p>
  </w:footnote>
  <w:footnote w:id="9">
    <w:p w14:paraId="2688F99A" w14:textId="77777777" w:rsidR="00932EE2" w:rsidRDefault="00932EE2" w:rsidP="00CB0237">
      <w:pPr>
        <w:pStyle w:val="FootnoteText"/>
        <w:spacing w:after="120"/>
      </w:pPr>
      <w:r>
        <w:tab/>
      </w:r>
      <w:r>
        <w:rPr>
          <w:rStyle w:val="FootnoteReference"/>
        </w:rPr>
        <w:footnoteRef/>
      </w:r>
      <w:r>
        <w:t xml:space="preserve"> The record does not include a copy of the minute order from this </w:t>
      </w:r>
      <w:proofErr w:type="gramStart"/>
      <w:r>
        <w:t>hearing</w:t>
      </w:r>
      <w:proofErr w:type="gramEnd"/>
      <w:r>
        <w:t xml:space="preserve"> so we do not know how many interpreters were identified in that doc</w:t>
      </w:r>
      <w:r>
        <w:t>ument or appeared during that session</w:t>
      </w:r>
      <w:r>
        <w:t xml:space="preserve">. </w:t>
      </w:r>
    </w:p>
  </w:footnote>
  <w:footnote w:id="10">
    <w:p w14:paraId="6FDC4FD3" w14:textId="77777777" w:rsidR="00932EE2" w:rsidRDefault="00932EE2" w:rsidP="00D65CE5">
      <w:pPr>
        <w:pStyle w:val="FootnoteText"/>
        <w:spacing w:after="120"/>
      </w:pPr>
      <w:r>
        <w:tab/>
      </w:r>
      <w:r>
        <w:rPr>
          <w:rStyle w:val="FootnoteReference"/>
        </w:rPr>
        <w:footnoteRef/>
      </w:r>
      <w:r>
        <w:t xml:space="preserve"> </w:t>
      </w:r>
      <w:r w:rsidRPr="00AB26DE">
        <w:t>The information was substantially identical to the complaint except that</w:t>
      </w:r>
      <w:r>
        <w:t xml:space="preserve"> </w:t>
      </w:r>
      <w:r>
        <w:t>it transposed counts 1 and 2, i.e., the</w:t>
      </w:r>
      <w:r>
        <w:t xml:space="preserve"> charge of murder</w:t>
      </w:r>
      <w:r>
        <w:t xml:space="preserve"> </w:t>
      </w:r>
      <w:r>
        <w:t>(</w:t>
      </w:r>
      <w:r>
        <w:t>count 1 in the complaint</w:t>
      </w:r>
      <w:r>
        <w:t>)</w:t>
      </w:r>
      <w:r>
        <w:t xml:space="preserve"> </w:t>
      </w:r>
      <w:r>
        <w:t xml:space="preserve">was </w:t>
      </w:r>
      <w:r>
        <w:t>count 2 in the information and the charge of conspiracy to commit murder</w:t>
      </w:r>
      <w:r>
        <w:t xml:space="preserve"> (</w:t>
      </w:r>
      <w:r>
        <w:t xml:space="preserve">count 2 in the </w:t>
      </w:r>
      <w:r>
        <w:t xml:space="preserve">complaint) became count 1 in the information.  </w:t>
      </w:r>
    </w:p>
  </w:footnote>
  <w:footnote w:id="11">
    <w:p w14:paraId="71EF56E9" w14:textId="77777777" w:rsidR="00932EE2" w:rsidRDefault="00932EE2" w:rsidP="00C34317">
      <w:pPr>
        <w:pStyle w:val="FootnoteText"/>
        <w:spacing w:after="120"/>
      </w:pPr>
      <w:r>
        <w:tab/>
      </w:r>
      <w:r>
        <w:rPr>
          <w:rStyle w:val="FootnoteReference"/>
        </w:rPr>
        <w:footnoteRef/>
      </w:r>
      <w:r>
        <w:t xml:space="preserve"> In our request for supplemental briefing, w</w:t>
      </w:r>
      <w:r w:rsidRPr="00C34317">
        <w:t xml:space="preserve">e asked the parties </w:t>
      </w:r>
      <w:r>
        <w:t>whether the proper standard of review is “</w:t>
      </w:r>
      <w:r w:rsidRPr="00C34317">
        <w:t xml:space="preserve">the harmless beyond a reasonable doubt standard outlined in </w:t>
      </w:r>
      <w:r w:rsidRPr="00C34317">
        <w:rPr>
          <w:i/>
          <w:iCs/>
        </w:rPr>
        <w:t>Chapman v. California</w:t>
      </w:r>
      <w:r w:rsidRPr="00C34317">
        <w:t xml:space="preserve"> (1967) 386 U.S. 18, which the Supreme Court used when deciding whether a judgment should be reversed for the improper denial of an interpreter at trial (see </w:t>
      </w:r>
      <w:r w:rsidRPr="00C34317">
        <w:rPr>
          <w:i/>
          <w:iCs/>
        </w:rPr>
        <w:t>People v. Rodriguez</w:t>
      </w:r>
      <w:r w:rsidRPr="00C34317">
        <w:t xml:space="preserve"> (1986) 42 Cal.3d 1005, 1010); the prejudicial error standard, which the Supreme Court has used when deciding whether the denial of a pre-trial def</w:t>
      </w:r>
      <w:r w:rsidRPr="00C34317">
        <w:t>endant</w:t>
      </w:r>
      <w:r>
        <w:t>’</w:t>
      </w:r>
      <w:r w:rsidRPr="00C34317">
        <w:t xml:space="preserve">s substantial right at the preliminary examination affects the legality of his or her commitment (see, e.g., </w:t>
      </w:r>
      <w:r w:rsidRPr="00C34317">
        <w:rPr>
          <w:i/>
          <w:iCs/>
        </w:rPr>
        <w:t>People v. Konow</w:t>
      </w:r>
      <w:r w:rsidRPr="00C34317">
        <w:t xml:space="preserve"> (2004) 32 Cal.4th 995, 1024; </w:t>
      </w:r>
      <w:r w:rsidRPr="00C34317">
        <w:rPr>
          <w:i/>
          <w:iCs/>
        </w:rPr>
        <w:t>People v. Standish</w:t>
      </w:r>
      <w:r w:rsidRPr="00C34317">
        <w:t xml:space="preserve"> (2006) 38 Cal.4th 858, 882); or some other standard?</w:t>
      </w:r>
      <w:r>
        <w:t xml:space="preserve">”  We further asked that the parties “identify </w:t>
      </w:r>
      <w:r w:rsidRPr="00C34317">
        <w:t>specific parts of the record showing whether petitioner suffered prejudice sufficient to meet the proper standard of review.</w:t>
      </w:r>
      <w:r>
        <w:t xml:space="preserve">” </w:t>
      </w:r>
      <w:r w:rsidRPr="00C34317">
        <w:t xml:space="preserve"> </w:t>
      </w:r>
      <w:r>
        <w:t xml:space="preserve"> </w:t>
      </w:r>
    </w:p>
  </w:footnote>
  <w:footnote w:id="12">
    <w:p w14:paraId="05E6179E" w14:textId="77777777" w:rsidR="00932EE2" w:rsidRDefault="00932EE2" w:rsidP="00CB0237">
      <w:pPr>
        <w:pStyle w:val="FootnoteText"/>
        <w:spacing w:after="120"/>
      </w:pPr>
      <w:r>
        <w:tab/>
      </w:r>
      <w:r>
        <w:rPr>
          <w:rStyle w:val="FootnoteReference"/>
        </w:rPr>
        <w:footnoteRef/>
      </w:r>
      <w:r>
        <w:t xml:space="preserve"> </w:t>
      </w:r>
      <w:r>
        <w:t xml:space="preserve">Normally, in a mandamus proceeding, </w:t>
      </w:r>
      <w:r w:rsidRPr="00E23FF6">
        <w:t xml:space="preserve">“the trial court </w:t>
      </w:r>
      <w:r>
        <w:t>…</w:t>
      </w:r>
      <w:r w:rsidRPr="00E23FF6">
        <w:t xml:space="preserve"> though a nominal respondent, is nonetheless a </w:t>
      </w:r>
      <w:r w:rsidRPr="00CB0237">
        <w:t>neutral</w:t>
      </w:r>
      <w:r w:rsidRPr="00E23FF6">
        <w:t> party in the underlying controversy between the parties, and as such, has a duty to remain </w:t>
      </w:r>
      <w:r w:rsidRPr="00CB0237">
        <w:t>impartial</w:t>
      </w:r>
      <w:r w:rsidRPr="00E23FF6">
        <w:t>.</w:t>
      </w:r>
      <w:r>
        <w:t xml:space="preserve">”  </w:t>
      </w:r>
      <w:r w:rsidRPr="00E23FF6">
        <w:t>(</w:t>
      </w:r>
      <w:r w:rsidRPr="00E23FF6">
        <w:rPr>
          <w:i/>
          <w:iCs/>
        </w:rPr>
        <w:t>James G. v. Superior Court</w:t>
      </w:r>
      <w:r w:rsidRPr="00E23FF6">
        <w:t> (2000) 80 Cal.App.4th 275, 280.)</w:t>
      </w:r>
      <w:r>
        <w:t xml:space="preserve">  That is because it is “t</w:t>
      </w:r>
      <w:r w:rsidRPr="00E23FF6">
        <w:t>he real party in interest, not the respondent court,</w:t>
      </w:r>
      <w:r>
        <w:t xml:space="preserve"> [which]</w:t>
      </w:r>
      <w:r w:rsidRPr="00E23FF6">
        <w:t xml:space="preserve"> has [a] beneficial interest in the litigation and is the aggrieved party.”</w:t>
      </w:r>
      <w:r>
        <w:t xml:space="preserve"> </w:t>
      </w:r>
      <w:r w:rsidRPr="00E23FF6">
        <w:t xml:space="preserve"> (</w:t>
      </w:r>
      <w:r w:rsidRPr="00CB0237">
        <w:rPr>
          <w:i/>
          <w:iCs/>
        </w:rPr>
        <w:t>Ibid</w:t>
      </w:r>
      <w:r>
        <w:t>.)  Nonetheless, “</w:t>
      </w:r>
      <w:r>
        <w:t>[t]</w:t>
      </w:r>
      <w:r w:rsidRPr="00E23FF6">
        <w:t>here are some types of mandate proceedings</w:t>
      </w:r>
      <w:r>
        <w:t xml:space="preserve"> … </w:t>
      </w:r>
      <w:r w:rsidRPr="00E23FF6">
        <w:t xml:space="preserve">in which the trial court is the real adverse party, as where a writ proceeding </w:t>
      </w:r>
      <w:r w:rsidRPr="00CB0237">
        <w:rPr>
          <w:i/>
          <w:iCs/>
        </w:rPr>
        <w:t xml:space="preserve">directly affects the operations and procedures of the trial court or may impose financial obligations that would directly affect the </w:t>
      </w:r>
      <w:r w:rsidRPr="00CB0237">
        <w:rPr>
          <w:i/>
          <w:iCs/>
        </w:rPr>
        <w:t>court</w:t>
      </w:r>
      <w:r>
        <w:rPr>
          <w:i/>
          <w:iCs/>
        </w:rPr>
        <w:t>’</w:t>
      </w:r>
      <w:r w:rsidRPr="00CB0237">
        <w:rPr>
          <w:i/>
          <w:iCs/>
        </w:rPr>
        <w:t xml:space="preserve">s </w:t>
      </w:r>
      <w:r w:rsidRPr="00CB0237">
        <w:rPr>
          <w:i/>
          <w:iCs/>
        </w:rPr>
        <w:t>operations</w:t>
      </w:r>
      <w:r w:rsidRPr="00E23FF6">
        <w:t>.</w:t>
      </w:r>
      <w:r>
        <w:t xml:space="preserve">  [Citation.]”</w:t>
      </w:r>
      <w:r w:rsidRPr="00E23FF6">
        <w:t xml:space="preserve"> </w:t>
      </w:r>
      <w:r>
        <w:t xml:space="preserve"> (</w:t>
      </w:r>
      <w:r w:rsidRPr="00CB0237">
        <w:rPr>
          <w:i/>
          <w:iCs/>
        </w:rPr>
        <w:t>State Farm Mutual Automobile Ins. Co. v. Superior Court</w:t>
      </w:r>
      <w:r>
        <w:t xml:space="preserve"> (2004)</w:t>
      </w:r>
      <w:r w:rsidRPr="00E23FF6">
        <w:t xml:space="preserve"> 121 Cal.App</w:t>
      </w:r>
      <w:r>
        <w:t>.</w:t>
      </w:r>
      <w:r w:rsidRPr="00E23FF6">
        <w:t>4th 490, 499</w:t>
      </w:r>
      <w:r>
        <w:t>, italics added.)  As we reco</w:t>
      </w:r>
      <w:r>
        <w:t>gnize that our decision here</w:t>
      </w:r>
      <w:r>
        <w:t xml:space="preserve"> may</w:t>
      </w:r>
      <w:r>
        <w:t xml:space="preserve"> directly impact both the trial court’s operations and its financial obligations, we have filed respondent superior court’s response and address its arguments below. </w:t>
      </w:r>
    </w:p>
  </w:footnote>
  <w:footnote w:id="13">
    <w:p w14:paraId="6724BC52" w14:textId="77777777" w:rsidR="00932EE2" w:rsidRDefault="00932EE2" w:rsidP="00CB0237">
      <w:pPr>
        <w:pStyle w:val="FootnoteText"/>
        <w:spacing w:after="120"/>
      </w:pPr>
      <w:r>
        <w:tab/>
      </w:r>
      <w:r>
        <w:rPr>
          <w:rStyle w:val="FootnoteReference"/>
        </w:rPr>
        <w:footnoteRef/>
      </w:r>
      <w:r>
        <w:t xml:space="preserve"> </w:t>
      </w:r>
      <w:r w:rsidRPr="00CB0237">
        <w:rPr>
          <w:i/>
          <w:iCs/>
        </w:rPr>
        <w:t>Jennings</w:t>
      </w:r>
      <w:r>
        <w:t xml:space="preserve"> listed several examples of substantial rights the denial of which had been found to merit dismissal of the indictment including denial of “the right to the assistance of counsel at the preliminary hearing [citations],” failure to advise the accused of the right to counsel, conducting a hearing on the accused’s evidentiary objections in the absence of defense counsel, etc.  (</w:t>
      </w:r>
      <w:r w:rsidRPr="00CB0237">
        <w:rPr>
          <w:i/>
          <w:iCs/>
        </w:rPr>
        <w:t>Jennings</w:t>
      </w:r>
      <w:r>
        <w:t xml:space="preserve">, </w:t>
      </w:r>
      <w:r w:rsidRPr="00CB0237">
        <w:rPr>
          <w:i/>
          <w:iCs/>
        </w:rPr>
        <w:t>supra</w:t>
      </w:r>
      <w:r>
        <w:t xml:space="preserve">, </w:t>
      </w:r>
      <w:r>
        <w:t>at pp. 874</w:t>
      </w:r>
      <w:r>
        <w:t>–</w:t>
      </w:r>
      <w:r>
        <w:t>875.)</w:t>
      </w:r>
      <w:r>
        <w:t xml:space="preserve"> </w:t>
      </w:r>
    </w:p>
  </w:footnote>
  <w:footnote w:id="14">
    <w:p w14:paraId="07599146" w14:textId="77777777" w:rsidR="00932EE2" w:rsidRDefault="00932EE2" w:rsidP="00A2498D">
      <w:pPr>
        <w:pStyle w:val="FootnoteText"/>
        <w:spacing w:after="120"/>
      </w:pPr>
      <w:r>
        <w:tab/>
      </w:r>
      <w:r>
        <w:rPr>
          <w:rStyle w:val="FootnoteReference"/>
        </w:rPr>
        <w:footnoteRef/>
      </w:r>
      <w:r>
        <w:t xml:space="preserve"> </w:t>
      </w:r>
      <w:proofErr w:type="gramStart"/>
      <w:r w:rsidRPr="00EC655A">
        <w:t>“ ‘</w:t>
      </w:r>
      <w:proofErr w:type="gramEnd"/>
      <w:r>
        <w:t>[D]</w:t>
      </w:r>
      <w:proofErr w:type="spellStart"/>
      <w:r w:rsidRPr="00EC655A">
        <w:t>enial</w:t>
      </w:r>
      <w:proofErr w:type="spellEnd"/>
      <w:r w:rsidRPr="00EC655A">
        <w:t xml:space="preserve"> of a substantial right at the preliminary examination renders the ensuing commitment illegal and entitles a defendant to dismissal of the information on timely motion … .’ ”</w:t>
      </w:r>
      <w:r>
        <w:t xml:space="preserve"> </w:t>
      </w:r>
      <w:r w:rsidRPr="00EC655A">
        <w:t xml:space="preserve"> (</w:t>
      </w:r>
      <w:r w:rsidRPr="00EC655A">
        <w:rPr>
          <w:i/>
          <w:iCs/>
        </w:rPr>
        <w:t>Konow</w:t>
      </w:r>
      <w:r>
        <w:rPr>
          <w:i/>
          <w:iCs/>
        </w:rPr>
        <w:t xml:space="preserve">, supra, </w:t>
      </w:r>
      <w:r w:rsidRPr="006418E2">
        <w:rPr>
          <w:bCs/>
        </w:rPr>
        <w:t>32 Cal.4th</w:t>
      </w:r>
      <w:r w:rsidRPr="00EC655A">
        <w:t xml:space="preserve"> at p. 1023, quoting </w:t>
      </w:r>
      <w:r w:rsidRPr="00EC655A">
        <w:rPr>
          <w:i/>
          <w:iCs/>
        </w:rPr>
        <w:t>Pompa-Ortiz, supra</w:t>
      </w:r>
      <w:r w:rsidRPr="00EC655A">
        <w:t>, 27 Cal.3d at p. 523.)</w:t>
      </w:r>
      <w:r>
        <w:t xml:space="preserve">  </w:t>
      </w:r>
      <w:r w:rsidRPr="00CB0237">
        <w:rPr>
          <w:i/>
          <w:iCs/>
        </w:rPr>
        <w:t>Standish</w:t>
      </w:r>
      <w:r>
        <w:t xml:space="preserve">, however, cautioned that </w:t>
      </w:r>
      <w:r w:rsidRPr="00EC655A">
        <w:t>“</w:t>
      </w:r>
      <w:r w:rsidRPr="00EC655A">
        <w:rPr>
          <w:i/>
          <w:iCs/>
        </w:rPr>
        <w:t>People v. Pompa-Ortiz</w:t>
      </w:r>
      <w:r w:rsidRPr="00EC655A">
        <w:t xml:space="preserve"> must not be read overbroadly. </w:t>
      </w:r>
      <w:r>
        <w:t xml:space="preserve"> </w:t>
      </w:r>
      <w:r w:rsidRPr="00EC655A">
        <w:t xml:space="preserve">That case did not </w:t>
      </w:r>
      <w:r w:rsidRPr="00EC655A">
        <w:t>establish that </w:t>
      </w:r>
      <w:proofErr w:type="gramStart"/>
      <w:r w:rsidRPr="00EC655A">
        <w:rPr>
          <w:i/>
          <w:iCs/>
        </w:rPr>
        <w:t>any and all</w:t>
      </w:r>
      <w:proofErr w:type="gramEnd"/>
      <w:r w:rsidRPr="00EC655A">
        <w:t> irregularities that precede or bear some relationship to the preliminary examination require that the information be set aside</w:t>
      </w:r>
      <w:r>
        <w:t>.</w:t>
      </w:r>
      <w:r w:rsidRPr="00EC655A">
        <w:t xml:space="preserve">” </w:t>
      </w:r>
      <w:r>
        <w:t xml:space="preserve"> </w:t>
      </w:r>
      <w:r w:rsidRPr="00EC655A">
        <w:t>(</w:t>
      </w:r>
      <w:r w:rsidRPr="00EC655A">
        <w:rPr>
          <w:i/>
          <w:iCs/>
        </w:rPr>
        <w:t>Standish</w:t>
      </w:r>
      <w:r w:rsidRPr="00EC655A">
        <w:t>, </w:t>
      </w:r>
      <w:r w:rsidRPr="00EC655A">
        <w:rPr>
          <w:i/>
          <w:iCs/>
        </w:rPr>
        <w:t>supra</w:t>
      </w:r>
      <w:r w:rsidRPr="00EC655A">
        <w:t>, 38 Cal.4th at p. 885.)</w:t>
      </w:r>
    </w:p>
  </w:footnote>
  <w:footnote w:id="15">
    <w:p w14:paraId="1226EB19" w14:textId="77777777" w:rsidR="00932EE2" w:rsidRDefault="00932EE2" w:rsidP="007A1969">
      <w:pPr>
        <w:pStyle w:val="FootnoteText"/>
        <w:spacing w:after="120"/>
      </w:pPr>
      <w:r>
        <w:tab/>
      </w:r>
      <w:r w:rsidRPr="006418E2">
        <w:rPr>
          <w:rStyle w:val="FootnoteReference"/>
        </w:rPr>
        <w:footnoteRef/>
      </w:r>
      <w:r w:rsidRPr="006418E2">
        <w:t xml:space="preserve"> </w:t>
      </w:r>
      <w:r w:rsidRPr="006418E2">
        <w:t xml:space="preserve">Witness 1 testified that he told police </w:t>
      </w:r>
      <w:proofErr w:type="gramStart"/>
      <w:r w:rsidRPr="006418E2">
        <w:t>“quite</w:t>
      </w:r>
      <w:proofErr w:type="gramEnd"/>
      <w:r w:rsidRPr="006418E2">
        <w:t xml:space="preserve"> a lot of lies” about the killing after </w:t>
      </w:r>
      <w:r w:rsidRPr="006418E2">
        <w:t xml:space="preserve">he was arrested, while Witness 2 testified that he lied to police regarding “a lot of </w:t>
      </w:r>
      <w:r>
        <w:t xml:space="preserve">the </w:t>
      </w:r>
      <w:r w:rsidRPr="006418E2">
        <w:t xml:space="preserve">important details about </w:t>
      </w:r>
      <w:r w:rsidRPr="006418E2">
        <w:t xml:space="preserve">what happened,” including his involvement in the killing.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64C5D"/>
    <w:multiLevelType w:val="hybridMultilevel"/>
    <w:tmpl w:val="F868611C"/>
    <w:lvl w:ilvl="0" w:tplc="4D58AC64">
      <w:start w:val="1"/>
      <w:numFmt w:val="upperLetter"/>
      <w:lvlText w:val="%1."/>
      <w:lvlJc w:val="left"/>
      <w:pPr>
        <w:ind w:left="1080" w:hanging="360"/>
      </w:pPr>
      <w:rPr>
        <w:rFonts w:hint="default"/>
      </w:rPr>
    </w:lvl>
    <w:lvl w:ilvl="1" w:tplc="25904F26" w:tentative="1">
      <w:start w:val="1"/>
      <w:numFmt w:val="lowerLetter"/>
      <w:lvlText w:val="%2."/>
      <w:lvlJc w:val="left"/>
      <w:pPr>
        <w:ind w:left="1800" w:hanging="360"/>
      </w:pPr>
    </w:lvl>
    <w:lvl w:ilvl="2" w:tplc="C84459DA" w:tentative="1">
      <w:start w:val="1"/>
      <w:numFmt w:val="lowerRoman"/>
      <w:lvlText w:val="%3."/>
      <w:lvlJc w:val="right"/>
      <w:pPr>
        <w:ind w:left="2520" w:hanging="180"/>
      </w:pPr>
    </w:lvl>
    <w:lvl w:ilvl="3" w:tplc="69C29752" w:tentative="1">
      <w:start w:val="1"/>
      <w:numFmt w:val="decimal"/>
      <w:lvlText w:val="%4."/>
      <w:lvlJc w:val="left"/>
      <w:pPr>
        <w:ind w:left="3240" w:hanging="360"/>
      </w:pPr>
    </w:lvl>
    <w:lvl w:ilvl="4" w:tplc="B476B0E8" w:tentative="1">
      <w:start w:val="1"/>
      <w:numFmt w:val="lowerLetter"/>
      <w:lvlText w:val="%5."/>
      <w:lvlJc w:val="left"/>
      <w:pPr>
        <w:ind w:left="3960" w:hanging="360"/>
      </w:pPr>
    </w:lvl>
    <w:lvl w:ilvl="5" w:tplc="3FCCD560" w:tentative="1">
      <w:start w:val="1"/>
      <w:numFmt w:val="lowerRoman"/>
      <w:lvlText w:val="%6."/>
      <w:lvlJc w:val="right"/>
      <w:pPr>
        <w:ind w:left="4680" w:hanging="180"/>
      </w:pPr>
    </w:lvl>
    <w:lvl w:ilvl="6" w:tplc="6BB46378" w:tentative="1">
      <w:start w:val="1"/>
      <w:numFmt w:val="decimal"/>
      <w:lvlText w:val="%7."/>
      <w:lvlJc w:val="left"/>
      <w:pPr>
        <w:ind w:left="5400" w:hanging="360"/>
      </w:pPr>
    </w:lvl>
    <w:lvl w:ilvl="7" w:tplc="898AE550" w:tentative="1">
      <w:start w:val="1"/>
      <w:numFmt w:val="lowerLetter"/>
      <w:lvlText w:val="%8."/>
      <w:lvlJc w:val="left"/>
      <w:pPr>
        <w:ind w:left="6120" w:hanging="360"/>
      </w:pPr>
    </w:lvl>
    <w:lvl w:ilvl="8" w:tplc="D346A420" w:tentative="1">
      <w:start w:val="1"/>
      <w:numFmt w:val="lowerRoman"/>
      <w:lvlText w:val="%9."/>
      <w:lvlJc w:val="right"/>
      <w:pPr>
        <w:ind w:left="6840" w:hanging="180"/>
      </w:pPr>
    </w:lvl>
  </w:abstractNum>
  <w:abstractNum w:abstractNumId="1" w15:restartNumberingAfterBreak="0">
    <w:nsid w:val="19266FFF"/>
    <w:multiLevelType w:val="hybridMultilevel"/>
    <w:tmpl w:val="825C727A"/>
    <w:lvl w:ilvl="0" w:tplc="476EAF98">
      <w:start w:val="1"/>
      <w:numFmt w:val="upperLetter"/>
      <w:lvlText w:val="%1."/>
      <w:lvlJc w:val="left"/>
      <w:pPr>
        <w:ind w:left="720" w:hanging="360"/>
      </w:pPr>
      <w:rPr>
        <w:rFonts w:hint="default"/>
      </w:rPr>
    </w:lvl>
    <w:lvl w:ilvl="1" w:tplc="05166626">
      <w:start w:val="1"/>
      <w:numFmt w:val="lowerLetter"/>
      <w:lvlText w:val="%2."/>
      <w:lvlJc w:val="left"/>
      <w:pPr>
        <w:ind w:left="1440" w:hanging="360"/>
      </w:pPr>
    </w:lvl>
    <w:lvl w:ilvl="2" w:tplc="4900F7C8" w:tentative="1">
      <w:start w:val="1"/>
      <w:numFmt w:val="lowerRoman"/>
      <w:lvlText w:val="%3."/>
      <w:lvlJc w:val="right"/>
      <w:pPr>
        <w:ind w:left="2160" w:hanging="180"/>
      </w:pPr>
    </w:lvl>
    <w:lvl w:ilvl="3" w:tplc="388015A8" w:tentative="1">
      <w:start w:val="1"/>
      <w:numFmt w:val="decimal"/>
      <w:lvlText w:val="%4."/>
      <w:lvlJc w:val="left"/>
      <w:pPr>
        <w:ind w:left="2880" w:hanging="360"/>
      </w:pPr>
    </w:lvl>
    <w:lvl w:ilvl="4" w:tplc="2E8E7022" w:tentative="1">
      <w:start w:val="1"/>
      <w:numFmt w:val="lowerLetter"/>
      <w:lvlText w:val="%5."/>
      <w:lvlJc w:val="left"/>
      <w:pPr>
        <w:ind w:left="3600" w:hanging="360"/>
      </w:pPr>
    </w:lvl>
    <w:lvl w:ilvl="5" w:tplc="22C89D74" w:tentative="1">
      <w:start w:val="1"/>
      <w:numFmt w:val="lowerRoman"/>
      <w:lvlText w:val="%6."/>
      <w:lvlJc w:val="right"/>
      <w:pPr>
        <w:ind w:left="4320" w:hanging="180"/>
      </w:pPr>
    </w:lvl>
    <w:lvl w:ilvl="6" w:tplc="0C30DA32" w:tentative="1">
      <w:start w:val="1"/>
      <w:numFmt w:val="decimal"/>
      <w:lvlText w:val="%7."/>
      <w:lvlJc w:val="left"/>
      <w:pPr>
        <w:ind w:left="5040" w:hanging="360"/>
      </w:pPr>
    </w:lvl>
    <w:lvl w:ilvl="7" w:tplc="7284BA3E" w:tentative="1">
      <w:start w:val="1"/>
      <w:numFmt w:val="lowerLetter"/>
      <w:lvlText w:val="%8."/>
      <w:lvlJc w:val="left"/>
      <w:pPr>
        <w:ind w:left="5760" w:hanging="360"/>
      </w:pPr>
    </w:lvl>
    <w:lvl w:ilvl="8" w:tplc="78028344" w:tentative="1">
      <w:start w:val="1"/>
      <w:numFmt w:val="lowerRoman"/>
      <w:lvlText w:val="%9."/>
      <w:lvlJc w:val="right"/>
      <w:pPr>
        <w:ind w:left="6480" w:hanging="180"/>
      </w:pPr>
    </w:lvl>
  </w:abstractNum>
  <w:abstractNum w:abstractNumId="2" w15:restartNumberingAfterBreak="0">
    <w:nsid w:val="1B357D35"/>
    <w:multiLevelType w:val="hybridMultilevel"/>
    <w:tmpl w:val="55B8E8FE"/>
    <w:lvl w:ilvl="0" w:tplc="C3A2AACC">
      <w:start w:val="1"/>
      <w:numFmt w:val="upperLetter"/>
      <w:lvlText w:val="%1."/>
      <w:lvlJc w:val="left"/>
      <w:pPr>
        <w:ind w:left="1080" w:hanging="360"/>
      </w:pPr>
      <w:rPr>
        <w:rFonts w:hint="default"/>
      </w:rPr>
    </w:lvl>
    <w:lvl w:ilvl="1" w:tplc="D2E65C70" w:tentative="1">
      <w:start w:val="1"/>
      <w:numFmt w:val="lowerLetter"/>
      <w:lvlText w:val="%2."/>
      <w:lvlJc w:val="left"/>
      <w:pPr>
        <w:ind w:left="1800" w:hanging="360"/>
      </w:pPr>
    </w:lvl>
    <w:lvl w:ilvl="2" w:tplc="A8F2D850" w:tentative="1">
      <w:start w:val="1"/>
      <w:numFmt w:val="lowerRoman"/>
      <w:lvlText w:val="%3."/>
      <w:lvlJc w:val="right"/>
      <w:pPr>
        <w:ind w:left="2520" w:hanging="180"/>
      </w:pPr>
    </w:lvl>
    <w:lvl w:ilvl="3" w:tplc="205E1CBC" w:tentative="1">
      <w:start w:val="1"/>
      <w:numFmt w:val="decimal"/>
      <w:lvlText w:val="%4."/>
      <w:lvlJc w:val="left"/>
      <w:pPr>
        <w:ind w:left="3240" w:hanging="360"/>
      </w:pPr>
    </w:lvl>
    <w:lvl w:ilvl="4" w:tplc="C9289A9A" w:tentative="1">
      <w:start w:val="1"/>
      <w:numFmt w:val="lowerLetter"/>
      <w:lvlText w:val="%5."/>
      <w:lvlJc w:val="left"/>
      <w:pPr>
        <w:ind w:left="3960" w:hanging="360"/>
      </w:pPr>
    </w:lvl>
    <w:lvl w:ilvl="5" w:tplc="A3465C96" w:tentative="1">
      <w:start w:val="1"/>
      <w:numFmt w:val="lowerRoman"/>
      <w:lvlText w:val="%6."/>
      <w:lvlJc w:val="right"/>
      <w:pPr>
        <w:ind w:left="4680" w:hanging="180"/>
      </w:pPr>
    </w:lvl>
    <w:lvl w:ilvl="6" w:tplc="83D89D74" w:tentative="1">
      <w:start w:val="1"/>
      <w:numFmt w:val="decimal"/>
      <w:lvlText w:val="%7."/>
      <w:lvlJc w:val="left"/>
      <w:pPr>
        <w:ind w:left="5400" w:hanging="360"/>
      </w:pPr>
    </w:lvl>
    <w:lvl w:ilvl="7" w:tplc="E7F64672" w:tentative="1">
      <w:start w:val="1"/>
      <w:numFmt w:val="lowerLetter"/>
      <w:lvlText w:val="%8."/>
      <w:lvlJc w:val="left"/>
      <w:pPr>
        <w:ind w:left="6120" w:hanging="360"/>
      </w:pPr>
    </w:lvl>
    <w:lvl w:ilvl="8" w:tplc="EC120E96" w:tentative="1">
      <w:start w:val="1"/>
      <w:numFmt w:val="lowerRoman"/>
      <w:lvlText w:val="%9."/>
      <w:lvlJc w:val="right"/>
      <w:pPr>
        <w:ind w:left="6840" w:hanging="180"/>
      </w:pPr>
    </w:lvl>
  </w:abstractNum>
  <w:abstractNum w:abstractNumId="3" w15:restartNumberingAfterBreak="0">
    <w:nsid w:val="31FE23F5"/>
    <w:multiLevelType w:val="hybridMultilevel"/>
    <w:tmpl w:val="CDA6D64A"/>
    <w:lvl w:ilvl="0" w:tplc="333E520A">
      <w:start w:val="1"/>
      <w:numFmt w:val="upperRoman"/>
      <w:lvlText w:val="%1."/>
      <w:lvlJc w:val="left"/>
      <w:pPr>
        <w:ind w:left="1080" w:hanging="720"/>
      </w:pPr>
      <w:rPr>
        <w:rFonts w:hint="default"/>
      </w:rPr>
    </w:lvl>
    <w:lvl w:ilvl="1" w:tplc="CADA9EC8">
      <w:start w:val="1"/>
      <w:numFmt w:val="upperLetter"/>
      <w:lvlText w:val="%2."/>
      <w:lvlJc w:val="left"/>
      <w:pPr>
        <w:ind w:left="1440" w:hanging="360"/>
      </w:pPr>
    </w:lvl>
    <w:lvl w:ilvl="2" w:tplc="1042149E">
      <w:start w:val="1"/>
      <w:numFmt w:val="lowerRoman"/>
      <w:lvlText w:val="%3."/>
      <w:lvlJc w:val="right"/>
      <w:pPr>
        <w:ind w:left="2160" w:hanging="180"/>
      </w:pPr>
      <w:rPr>
        <w:b w:val="0"/>
        <w:bCs w:val="0"/>
      </w:rPr>
    </w:lvl>
    <w:lvl w:ilvl="3" w:tplc="44085A7E">
      <w:start w:val="1"/>
      <w:numFmt w:val="decimal"/>
      <w:lvlText w:val="%4."/>
      <w:lvlJc w:val="left"/>
      <w:pPr>
        <w:ind w:left="2880" w:hanging="360"/>
      </w:pPr>
      <w:rPr>
        <w:b w:val="0"/>
        <w:bCs w:val="0"/>
      </w:rPr>
    </w:lvl>
    <w:lvl w:ilvl="4" w:tplc="0E866940" w:tentative="1">
      <w:start w:val="1"/>
      <w:numFmt w:val="lowerLetter"/>
      <w:lvlText w:val="%5."/>
      <w:lvlJc w:val="left"/>
      <w:pPr>
        <w:ind w:left="3600" w:hanging="360"/>
      </w:pPr>
    </w:lvl>
    <w:lvl w:ilvl="5" w:tplc="33ACACF8" w:tentative="1">
      <w:start w:val="1"/>
      <w:numFmt w:val="lowerRoman"/>
      <w:lvlText w:val="%6."/>
      <w:lvlJc w:val="right"/>
      <w:pPr>
        <w:ind w:left="4320" w:hanging="180"/>
      </w:pPr>
    </w:lvl>
    <w:lvl w:ilvl="6" w:tplc="3344487A" w:tentative="1">
      <w:start w:val="1"/>
      <w:numFmt w:val="decimal"/>
      <w:lvlText w:val="%7."/>
      <w:lvlJc w:val="left"/>
      <w:pPr>
        <w:ind w:left="5040" w:hanging="360"/>
      </w:pPr>
    </w:lvl>
    <w:lvl w:ilvl="7" w:tplc="D4DA5B92" w:tentative="1">
      <w:start w:val="1"/>
      <w:numFmt w:val="lowerLetter"/>
      <w:lvlText w:val="%8."/>
      <w:lvlJc w:val="left"/>
      <w:pPr>
        <w:ind w:left="5760" w:hanging="360"/>
      </w:pPr>
    </w:lvl>
    <w:lvl w:ilvl="8" w:tplc="41EA1F2C" w:tentative="1">
      <w:start w:val="1"/>
      <w:numFmt w:val="lowerRoman"/>
      <w:lvlText w:val="%9."/>
      <w:lvlJc w:val="right"/>
      <w:pPr>
        <w:ind w:left="6480" w:hanging="180"/>
      </w:pPr>
    </w:lvl>
  </w:abstractNum>
  <w:abstractNum w:abstractNumId="4" w15:restartNumberingAfterBreak="0">
    <w:nsid w:val="4B36247C"/>
    <w:multiLevelType w:val="multilevel"/>
    <w:tmpl w:val="C2AE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E3810"/>
    <w:multiLevelType w:val="hybridMultilevel"/>
    <w:tmpl w:val="56C2E44C"/>
    <w:lvl w:ilvl="0" w:tplc="7D7EA822">
      <w:start w:val="1"/>
      <w:numFmt w:val="decimal"/>
      <w:lvlText w:val="%1."/>
      <w:lvlJc w:val="left"/>
      <w:pPr>
        <w:ind w:left="1800" w:hanging="360"/>
      </w:pPr>
      <w:rPr>
        <w:rFonts w:hint="default"/>
      </w:rPr>
    </w:lvl>
    <w:lvl w:ilvl="1" w:tplc="C16255A0" w:tentative="1">
      <w:start w:val="1"/>
      <w:numFmt w:val="lowerLetter"/>
      <w:lvlText w:val="%2."/>
      <w:lvlJc w:val="left"/>
      <w:pPr>
        <w:ind w:left="2520" w:hanging="360"/>
      </w:pPr>
    </w:lvl>
    <w:lvl w:ilvl="2" w:tplc="44FA8614" w:tentative="1">
      <w:start w:val="1"/>
      <w:numFmt w:val="lowerRoman"/>
      <w:lvlText w:val="%3."/>
      <w:lvlJc w:val="right"/>
      <w:pPr>
        <w:ind w:left="3240" w:hanging="180"/>
      </w:pPr>
    </w:lvl>
    <w:lvl w:ilvl="3" w:tplc="3C48E1A6" w:tentative="1">
      <w:start w:val="1"/>
      <w:numFmt w:val="decimal"/>
      <w:lvlText w:val="%4."/>
      <w:lvlJc w:val="left"/>
      <w:pPr>
        <w:ind w:left="3960" w:hanging="360"/>
      </w:pPr>
    </w:lvl>
    <w:lvl w:ilvl="4" w:tplc="561E4B02" w:tentative="1">
      <w:start w:val="1"/>
      <w:numFmt w:val="lowerLetter"/>
      <w:lvlText w:val="%5."/>
      <w:lvlJc w:val="left"/>
      <w:pPr>
        <w:ind w:left="4680" w:hanging="360"/>
      </w:pPr>
    </w:lvl>
    <w:lvl w:ilvl="5" w:tplc="055E5744" w:tentative="1">
      <w:start w:val="1"/>
      <w:numFmt w:val="lowerRoman"/>
      <w:lvlText w:val="%6."/>
      <w:lvlJc w:val="right"/>
      <w:pPr>
        <w:ind w:left="5400" w:hanging="180"/>
      </w:pPr>
    </w:lvl>
    <w:lvl w:ilvl="6" w:tplc="37C03C84" w:tentative="1">
      <w:start w:val="1"/>
      <w:numFmt w:val="decimal"/>
      <w:lvlText w:val="%7."/>
      <w:lvlJc w:val="left"/>
      <w:pPr>
        <w:ind w:left="6120" w:hanging="360"/>
      </w:pPr>
    </w:lvl>
    <w:lvl w:ilvl="7" w:tplc="F1666492" w:tentative="1">
      <w:start w:val="1"/>
      <w:numFmt w:val="lowerLetter"/>
      <w:lvlText w:val="%8."/>
      <w:lvlJc w:val="left"/>
      <w:pPr>
        <w:ind w:left="6840" w:hanging="360"/>
      </w:pPr>
    </w:lvl>
    <w:lvl w:ilvl="8" w:tplc="A58EC1E6" w:tentative="1">
      <w:start w:val="1"/>
      <w:numFmt w:val="lowerRoman"/>
      <w:lvlText w:val="%9."/>
      <w:lvlJc w:val="right"/>
      <w:pPr>
        <w:ind w:left="7560" w:hanging="180"/>
      </w:pPr>
    </w:lvl>
  </w:abstractNum>
  <w:abstractNum w:abstractNumId="6" w15:restartNumberingAfterBreak="0">
    <w:nsid w:val="4F1C3BC5"/>
    <w:multiLevelType w:val="hybridMultilevel"/>
    <w:tmpl w:val="CC906606"/>
    <w:lvl w:ilvl="0" w:tplc="768E8164">
      <w:start w:val="1"/>
      <w:numFmt w:val="decimal"/>
      <w:lvlText w:val="%1."/>
      <w:lvlJc w:val="left"/>
      <w:pPr>
        <w:ind w:left="1080" w:hanging="360"/>
      </w:pPr>
      <w:rPr>
        <w:rFonts w:hint="default"/>
      </w:rPr>
    </w:lvl>
    <w:lvl w:ilvl="1" w:tplc="5956C216">
      <w:start w:val="1"/>
      <w:numFmt w:val="lowerLetter"/>
      <w:lvlText w:val="%2."/>
      <w:lvlJc w:val="left"/>
      <w:pPr>
        <w:ind w:left="2160" w:hanging="720"/>
      </w:pPr>
      <w:rPr>
        <w:rFonts w:hint="default"/>
      </w:rPr>
    </w:lvl>
    <w:lvl w:ilvl="2" w:tplc="4DAADF40" w:tentative="1">
      <w:start w:val="1"/>
      <w:numFmt w:val="lowerRoman"/>
      <w:lvlText w:val="%3."/>
      <w:lvlJc w:val="right"/>
      <w:pPr>
        <w:ind w:left="2520" w:hanging="180"/>
      </w:pPr>
    </w:lvl>
    <w:lvl w:ilvl="3" w:tplc="31F279E0" w:tentative="1">
      <w:start w:val="1"/>
      <w:numFmt w:val="decimal"/>
      <w:lvlText w:val="%4."/>
      <w:lvlJc w:val="left"/>
      <w:pPr>
        <w:ind w:left="3240" w:hanging="360"/>
      </w:pPr>
    </w:lvl>
    <w:lvl w:ilvl="4" w:tplc="0FC0A928" w:tentative="1">
      <w:start w:val="1"/>
      <w:numFmt w:val="lowerLetter"/>
      <w:lvlText w:val="%5."/>
      <w:lvlJc w:val="left"/>
      <w:pPr>
        <w:ind w:left="3960" w:hanging="360"/>
      </w:pPr>
    </w:lvl>
    <w:lvl w:ilvl="5" w:tplc="D66694D2" w:tentative="1">
      <w:start w:val="1"/>
      <w:numFmt w:val="lowerRoman"/>
      <w:lvlText w:val="%6."/>
      <w:lvlJc w:val="right"/>
      <w:pPr>
        <w:ind w:left="4680" w:hanging="180"/>
      </w:pPr>
    </w:lvl>
    <w:lvl w:ilvl="6" w:tplc="E37A62CC" w:tentative="1">
      <w:start w:val="1"/>
      <w:numFmt w:val="decimal"/>
      <w:lvlText w:val="%7."/>
      <w:lvlJc w:val="left"/>
      <w:pPr>
        <w:ind w:left="5400" w:hanging="360"/>
      </w:pPr>
    </w:lvl>
    <w:lvl w:ilvl="7" w:tplc="91C84D8C" w:tentative="1">
      <w:start w:val="1"/>
      <w:numFmt w:val="lowerLetter"/>
      <w:lvlText w:val="%8."/>
      <w:lvlJc w:val="left"/>
      <w:pPr>
        <w:ind w:left="6120" w:hanging="360"/>
      </w:pPr>
    </w:lvl>
    <w:lvl w:ilvl="8" w:tplc="4DD6588C" w:tentative="1">
      <w:start w:val="1"/>
      <w:numFmt w:val="lowerRoman"/>
      <w:lvlText w:val="%9."/>
      <w:lvlJc w:val="right"/>
      <w:pPr>
        <w:ind w:left="6840" w:hanging="180"/>
      </w:pPr>
    </w:lvl>
  </w:abstractNum>
  <w:abstractNum w:abstractNumId="7" w15:restartNumberingAfterBreak="0">
    <w:nsid w:val="4F37413F"/>
    <w:multiLevelType w:val="multilevel"/>
    <w:tmpl w:val="8C36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36F52"/>
    <w:multiLevelType w:val="hybridMultilevel"/>
    <w:tmpl w:val="F5D8F996"/>
    <w:lvl w:ilvl="0" w:tplc="5A90DA52">
      <w:start w:val="1"/>
      <w:numFmt w:val="upperLetter"/>
      <w:lvlText w:val="%1&gt;"/>
      <w:lvlJc w:val="left"/>
      <w:pPr>
        <w:ind w:left="1080" w:hanging="360"/>
      </w:pPr>
      <w:rPr>
        <w:rFonts w:hint="default"/>
      </w:rPr>
    </w:lvl>
    <w:lvl w:ilvl="1" w:tplc="0A84ABFA" w:tentative="1">
      <w:start w:val="1"/>
      <w:numFmt w:val="lowerLetter"/>
      <w:lvlText w:val="%2."/>
      <w:lvlJc w:val="left"/>
      <w:pPr>
        <w:ind w:left="1800" w:hanging="360"/>
      </w:pPr>
    </w:lvl>
    <w:lvl w:ilvl="2" w:tplc="2E10A168" w:tentative="1">
      <w:start w:val="1"/>
      <w:numFmt w:val="lowerRoman"/>
      <w:lvlText w:val="%3."/>
      <w:lvlJc w:val="right"/>
      <w:pPr>
        <w:ind w:left="2520" w:hanging="180"/>
      </w:pPr>
    </w:lvl>
    <w:lvl w:ilvl="3" w:tplc="9552F86A" w:tentative="1">
      <w:start w:val="1"/>
      <w:numFmt w:val="decimal"/>
      <w:lvlText w:val="%4."/>
      <w:lvlJc w:val="left"/>
      <w:pPr>
        <w:ind w:left="3240" w:hanging="360"/>
      </w:pPr>
    </w:lvl>
    <w:lvl w:ilvl="4" w:tplc="9A88CEE4" w:tentative="1">
      <w:start w:val="1"/>
      <w:numFmt w:val="lowerLetter"/>
      <w:lvlText w:val="%5."/>
      <w:lvlJc w:val="left"/>
      <w:pPr>
        <w:ind w:left="3960" w:hanging="360"/>
      </w:pPr>
    </w:lvl>
    <w:lvl w:ilvl="5" w:tplc="B436E9BA" w:tentative="1">
      <w:start w:val="1"/>
      <w:numFmt w:val="lowerRoman"/>
      <w:lvlText w:val="%6."/>
      <w:lvlJc w:val="right"/>
      <w:pPr>
        <w:ind w:left="4680" w:hanging="180"/>
      </w:pPr>
    </w:lvl>
    <w:lvl w:ilvl="6" w:tplc="2760FE0C" w:tentative="1">
      <w:start w:val="1"/>
      <w:numFmt w:val="decimal"/>
      <w:lvlText w:val="%7."/>
      <w:lvlJc w:val="left"/>
      <w:pPr>
        <w:ind w:left="5400" w:hanging="360"/>
      </w:pPr>
    </w:lvl>
    <w:lvl w:ilvl="7" w:tplc="C98A538E" w:tentative="1">
      <w:start w:val="1"/>
      <w:numFmt w:val="lowerLetter"/>
      <w:lvlText w:val="%8."/>
      <w:lvlJc w:val="left"/>
      <w:pPr>
        <w:ind w:left="6120" w:hanging="360"/>
      </w:pPr>
    </w:lvl>
    <w:lvl w:ilvl="8" w:tplc="EDB84D52" w:tentative="1">
      <w:start w:val="1"/>
      <w:numFmt w:val="lowerRoman"/>
      <w:lvlText w:val="%9."/>
      <w:lvlJc w:val="right"/>
      <w:pPr>
        <w:ind w:left="6840" w:hanging="180"/>
      </w:pPr>
    </w:lvl>
  </w:abstractNum>
  <w:abstractNum w:abstractNumId="9" w15:restartNumberingAfterBreak="0">
    <w:nsid w:val="65A07683"/>
    <w:multiLevelType w:val="hybridMultilevel"/>
    <w:tmpl w:val="952434F2"/>
    <w:lvl w:ilvl="0" w:tplc="2E90926E">
      <w:start w:val="1"/>
      <w:numFmt w:val="upperLetter"/>
      <w:lvlText w:val="%1."/>
      <w:lvlJc w:val="left"/>
      <w:pPr>
        <w:ind w:left="1080" w:hanging="360"/>
      </w:pPr>
      <w:rPr>
        <w:rFonts w:hint="default"/>
      </w:rPr>
    </w:lvl>
    <w:lvl w:ilvl="1" w:tplc="2848CDEC" w:tentative="1">
      <w:start w:val="1"/>
      <w:numFmt w:val="lowerLetter"/>
      <w:lvlText w:val="%2."/>
      <w:lvlJc w:val="left"/>
      <w:pPr>
        <w:ind w:left="1800" w:hanging="360"/>
      </w:pPr>
    </w:lvl>
    <w:lvl w:ilvl="2" w:tplc="8466B434" w:tentative="1">
      <w:start w:val="1"/>
      <w:numFmt w:val="lowerRoman"/>
      <w:lvlText w:val="%3."/>
      <w:lvlJc w:val="right"/>
      <w:pPr>
        <w:ind w:left="2520" w:hanging="180"/>
      </w:pPr>
    </w:lvl>
    <w:lvl w:ilvl="3" w:tplc="C634484A" w:tentative="1">
      <w:start w:val="1"/>
      <w:numFmt w:val="decimal"/>
      <w:lvlText w:val="%4."/>
      <w:lvlJc w:val="left"/>
      <w:pPr>
        <w:ind w:left="3240" w:hanging="360"/>
      </w:pPr>
    </w:lvl>
    <w:lvl w:ilvl="4" w:tplc="9EBE48AC" w:tentative="1">
      <w:start w:val="1"/>
      <w:numFmt w:val="lowerLetter"/>
      <w:lvlText w:val="%5."/>
      <w:lvlJc w:val="left"/>
      <w:pPr>
        <w:ind w:left="3960" w:hanging="360"/>
      </w:pPr>
    </w:lvl>
    <w:lvl w:ilvl="5" w:tplc="851C1548" w:tentative="1">
      <w:start w:val="1"/>
      <w:numFmt w:val="lowerRoman"/>
      <w:lvlText w:val="%6."/>
      <w:lvlJc w:val="right"/>
      <w:pPr>
        <w:ind w:left="4680" w:hanging="180"/>
      </w:pPr>
    </w:lvl>
    <w:lvl w:ilvl="6" w:tplc="E410F16A" w:tentative="1">
      <w:start w:val="1"/>
      <w:numFmt w:val="decimal"/>
      <w:lvlText w:val="%7."/>
      <w:lvlJc w:val="left"/>
      <w:pPr>
        <w:ind w:left="5400" w:hanging="360"/>
      </w:pPr>
    </w:lvl>
    <w:lvl w:ilvl="7" w:tplc="15E66A8A" w:tentative="1">
      <w:start w:val="1"/>
      <w:numFmt w:val="lowerLetter"/>
      <w:lvlText w:val="%8."/>
      <w:lvlJc w:val="left"/>
      <w:pPr>
        <w:ind w:left="6120" w:hanging="360"/>
      </w:pPr>
    </w:lvl>
    <w:lvl w:ilvl="8" w:tplc="A02AFFE4" w:tentative="1">
      <w:start w:val="1"/>
      <w:numFmt w:val="lowerRoman"/>
      <w:lvlText w:val="%9."/>
      <w:lvlJc w:val="right"/>
      <w:pPr>
        <w:ind w:left="6840" w:hanging="180"/>
      </w:pPr>
    </w:lvl>
  </w:abstractNum>
  <w:abstractNum w:abstractNumId="10" w15:restartNumberingAfterBreak="0">
    <w:nsid w:val="682F2344"/>
    <w:multiLevelType w:val="hybridMultilevel"/>
    <w:tmpl w:val="9F562AA6"/>
    <w:lvl w:ilvl="0" w:tplc="8B1C4FF6">
      <w:start w:val="1"/>
      <w:numFmt w:val="upperLetter"/>
      <w:lvlText w:val="%1."/>
      <w:lvlJc w:val="left"/>
      <w:pPr>
        <w:ind w:left="1080" w:hanging="360"/>
      </w:pPr>
      <w:rPr>
        <w:rFonts w:hint="default"/>
      </w:rPr>
    </w:lvl>
    <w:lvl w:ilvl="1" w:tplc="F0FEDB8E" w:tentative="1">
      <w:start w:val="1"/>
      <w:numFmt w:val="lowerLetter"/>
      <w:lvlText w:val="%2."/>
      <w:lvlJc w:val="left"/>
      <w:pPr>
        <w:ind w:left="1800" w:hanging="360"/>
      </w:pPr>
    </w:lvl>
    <w:lvl w:ilvl="2" w:tplc="75BAC75E" w:tentative="1">
      <w:start w:val="1"/>
      <w:numFmt w:val="lowerRoman"/>
      <w:lvlText w:val="%3."/>
      <w:lvlJc w:val="right"/>
      <w:pPr>
        <w:ind w:left="2520" w:hanging="180"/>
      </w:pPr>
    </w:lvl>
    <w:lvl w:ilvl="3" w:tplc="1E5274E4" w:tentative="1">
      <w:start w:val="1"/>
      <w:numFmt w:val="decimal"/>
      <w:lvlText w:val="%4."/>
      <w:lvlJc w:val="left"/>
      <w:pPr>
        <w:ind w:left="3240" w:hanging="360"/>
      </w:pPr>
    </w:lvl>
    <w:lvl w:ilvl="4" w:tplc="CB4CD4E6" w:tentative="1">
      <w:start w:val="1"/>
      <w:numFmt w:val="lowerLetter"/>
      <w:lvlText w:val="%5."/>
      <w:lvlJc w:val="left"/>
      <w:pPr>
        <w:ind w:left="3960" w:hanging="360"/>
      </w:pPr>
    </w:lvl>
    <w:lvl w:ilvl="5" w:tplc="F7066790" w:tentative="1">
      <w:start w:val="1"/>
      <w:numFmt w:val="lowerRoman"/>
      <w:lvlText w:val="%6."/>
      <w:lvlJc w:val="right"/>
      <w:pPr>
        <w:ind w:left="4680" w:hanging="180"/>
      </w:pPr>
    </w:lvl>
    <w:lvl w:ilvl="6" w:tplc="8C145CB4" w:tentative="1">
      <w:start w:val="1"/>
      <w:numFmt w:val="decimal"/>
      <w:lvlText w:val="%7."/>
      <w:lvlJc w:val="left"/>
      <w:pPr>
        <w:ind w:left="5400" w:hanging="360"/>
      </w:pPr>
    </w:lvl>
    <w:lvl w:ilvl="7" w:tplc="E4868434" w:tentative="1">
      <w:start w:val="1"/>
      <w:numFmt w:val="lowerLetter"/>
      <w:lvlText w:val="%8."/>
      <w:lvlJc w:val="left"/>
      <w:pPr>
        <w:ind w:left="6120" w:hanging="360"/>
      </w:pPr>
    </w:lvl>
    <w:lvl w:ilvl="8" w:tplc="3FF2A466" w:tentative="1">
      <w:start w:val="1"/>
      <w:numFmt w:val="lowerRoman"/>
      <w:lvlText w:val="%9."/>
      <w:lvlJc w:val="right"/>
      <w:pPr>
        <w:ind w:left="6840" w:hanging="180"/>
      </w:pPr>
    </w:lvl>
  </w:abstractNum>
  <w:abstractNum w:abstractNumId="11" w15:restartNumberingAfterBreak="0">
    <w:nsid w:val="70E25238"/>
    <w:multiLevelType w:val="hybridMultilevel"/>
    <w:tmpl w:val="E7926EF4"/>
    <w:lvl w:ilvl="0" w:tplc="C958CD56">
      <w:start w:val="1"/>
      <w:numFmt w:val="decimal"/>
      <w:lvlText w:val="%1."/>
      <w:lvlJc w:val="left"/>
      <w:pPr>
        <w:ind w:left="1080" w:hanging="360"/>
      </w:pPr>
      <w:rPr>
        <w:rFonts w:hint="default"/>
      </w:rPr>
    </w:lvl>
    <w:lvl w:ilvl="1" w:tplc="EFDA3F8C" w:tentative="1">
      <w:start w:val="1"/>
      <w:numFmt w:val="lowerLetter"/>
      <w:lvlText w:val="%2."/>
      <w:lvlJc w:val="left"/>
      <w:pPr>
        <w:ind w:left="1800" w:hanging="360"/>
      </w:pPr>
    </w:lvl>
    <w:lvl w:ilvl="2" w:tplc="63ECEE7E" w:tentative="1">
      <w:start w:val="1"/>
      <w:numFmt w:val="lowerRoman"/>
      <w:lvlText w:val="%3."/>
      <w:lvlJc w:val="right"/>
      <w:pPr>
        <w:ind w:left="2520" w:hanging="180"/>
      </w:pPr>
    </w:lvl>
    <w:lvl w:ilvl="3" w:tplc="F2486B5C" w:tentative="1">
      <w:start w:val="1"/>
      <w:numFmt w:val="decimal"/>
      <w:lvlText w:val="%4."/>
      <w:lvlJc w:val="left"/>
      <w:pPr>
        <w:ind w:left="3240" w:hanging="360"/>
      </w:pPr>
    </w:lvl>
    <w:lvl w:ilvl="4" w:tplc="025CDEAE" w:tentative="1">
      <w:start w:val="1"/>
      <w:numFmt w:val="lowerLetter"/>
      <w:lvlText w:val="%5."/>
      <w:lvlJc w:val="left"/>
      <w:pPr>
        <w:ind w:left="3960" w:hanging="360"/>
      </w:pPr>
    </w:lvl>
    <w:lvl w:ilvl="5" w:tplc="3350106C" w:tentative="1">
      <w:start w:val="1"/>
      <w:numFmt w:val="lowerRoman"/>
      <w:lvlText w:val="%6."/>
      <w:lvlJc w:val="right"/>
      <w:pPr>
        <w:ind w:left="4680" w:hanging="180"/>
      </w:pPr>
    </w:lvl>
    <w:lvl w:ilvl="6" w:tplc="678CEA20" w:tentative="1">
      <w:start w:val="1"/>
      <w:numFmt w:val="decimal"/>
      <w:lvlText w:val="%7."/>
      <w:lvlJc w:val="left"/>
      <w:pPr>
        <w:ind w:left="5400" w:hanging="360"/>
      </w:pPr>
    </w:lvl>
    <w:lvl w:ilvl="7" w:tplc="8A8EEC24" w:tentative="1">
      <w:start w:val="1"/>
      <w:numFmt w:val="lowerLetter"/>
      <w:lvlText w:val="%8."/>
      <w:lvlJc w:val="left"/>
      <w:pPr>
        <w:ind w:left="6120" w:hanging="360"/>
      </w:pPr>
    </w:lvl>
    <w:lvl w:ilvl="8" w:tplc="BA3E75E8" w:tentative="1">
      <w:start w:val="1"/>
      <w:numFmt w:val="lowerRoman"/>
      <w:lvlText w:val="%9."/>
      <w:lvlJc w:val="right"/>
      <w:pPr>
        <w:ind w:left="6840" w:hanging="180"/>
      </w:pPr>
    </w:lvl>
  </w:abstractNum>
  <w:abstractNum w:abstractNumId="12" w15:restartNumberingAfterBreak="0">
    <w:nsid w:val="78D55D31"/>
    <w:multiLevelType w:val="hybridMultilevel"/>
    <w:tmpl w:val="6A640A76"/>
    <w:lvl w:ilvl="0" w:tplc="1BCA6002">
      <w:start w:val="1"/>
      <w:numFmt w:val="upperLetter"/>
      <w:lvlText w:val="%1."/>
      <w:lvlJc w:val="left"/>
      <w:pPr>
        <w:ind w:left="1440" w:hanging="720"/>
      </w:pPr>
      <w:rPr>
        <w:rFonts w:hint="default"/>
      </w:rPr>
    </w:lvl>
    <w:lvl w:ilvl="1" w:tplc="802A54A8" w:tentative="1">
      <w:start w:val="1"/>
      <w:numFmt w:val="lowerLetter"/>
      <w:lvlText w:val="%2."/>
      <w:lvlJc w:val="left"/>
      <w:pPr>
        <w:ind w:left="1800" w:hanging="360"/>
      </w:pPr>
    </w:lvl>
    <w:lvl w:ilvl="2" w:tplc="0D9EAAB0" w:tentative="1">
      <w:start w:val="1"/>
      <w:numFmt w:val="lowerRoman"/>
      <w:lvlText w:val="%3."/>
      <w:lvlJc w:val="right"/>
      <w:pPr>
        <w:ind w:left="2520" w:hanging="180"/>
      </w:pPr>
    </w:lvl>
    <w:lvl w:ilvl="3" w:tplc="D7D21C4E" w:tentative="1">
      <w:start w:val="1"/>
      <w:numFmt w:val="decimal"/>
      <w:lvlText w:val="%4."/>
      <w:lvlJc w:val="left"/>
      <w:pPr>
        <w:ind w:left="3240" w:hanging="360"/>
      </w:pPr>
    </w:lvl>
    <w:lvl w:ilvl="4" w:tplc="4B7417DA" w:tentative="1">
      <w:start w:val="1"/>
      <w:numFmt w:val="lowerLetter"/>
      <w:lvlText w:val="%5."/>
      <w:lvlJc w:val="left"/>
      <w:pPr>
        <w:ind w:left="3960" w:hanging="360"/>
      </w:pPr>
    </w:lvl>
    <w:lvl w:ilvl="5" w:tplc="7D2A2786" w:tentative="1">
      <w:start w:val="1"/>
      <w:numFmt w:val="lowerRoman"/>
      <w:lvlText w:val="%6."/>
      <w:lvlJc w:val="right"/>
      <w:pPr>
        <w:ind w:left="4680" w:hanging="180"/>
      </w:pPr>
    </w:lvl>
    <w:lvl w:ilvl="6" w:tplc="C6288B26" w:tentative="1">
      <w:start w:val="1"/>
      <w:numFmt w:val="decimal"/>
      <w:lvlText w:val="%7."/>
      <w:lvlJc w:val="left"/>
      <w:pPr>
        <w:ind w:left="5400" w:hanging="360"/>
      </w:pPr>
    </w:lvl>
    <w:lvl w:ilvl="7" w:tplc="9E48BCB2" w:tentative="1">
      <w:start w:val="1"/>
      <w:numFmt w:val="lowerLetter"/>
      <w:lvlText w:val="%8."/>
      <w:lvlJc w:val="left"/>
      <w:pPr>
        <w:ind w:left="6120" w:hanging="360"/>
      </w:pPr>
    </w:lvl>
    <w:lvl w:ilvl="8" w:tplc="805A91F2" w:tentative="1">
      <w:start w:val="1"/>
      <w:numFmt w:val="lowerRoman"/>
      <w:lvlText w:val="%9."/>
      <w:lvlJc w:val="right"/>
      <w:pPr>
        <w:ind w:left="6840" w:hanging="180"/>
      </w:pPr>
    </w:lvl>
  </w:abstractNum>
  <w:num w:numId="1" w16cid:durableId="981352816">
    <w:abstractNumId w:val="0"/>
  </w:num>
  <w:num w:numId="2" w16cid:durableId="715161183">
    <w:abstractNumId w:val="2"/>
  </w:num>
  <w:num w:numId="3" w16cid:durableId="784227150">
    <w:abstractNumId w:val="10"/>
  </w:num>
  <w:num w:numId="4" w16cid:durableId="666054910">
    <w:abstractNumId w:val="5"/>
  </w:num>
  <w:num w:numId="5" w16cid:durableId="388765108">
    <w:abstractNumId w:val="12"/>
  </w:num>
  <w:num w:numId="6" w16cid:durableId="383527486">
    <w:abstractNumId w:val="8"/>
  </w:num>
  <w:num w:numId="7" w16cid:durableId="1205094265">
    <w:abstractNumId w:val="9"/>
  </w:num>
  <w:num w:numId="8" w16cid:durableId="678626155">
    <w:abstractNumId w:val="6"/>
  </w:num>
  <w:num w:numId="9" w16cid:durableId="1632907288">
    <w:abstractNumId w:val="3"/>
  </w:num>
  <w:num w:numId="10" w16cid:durableId="1405490967">
    <w:abstractNumId w:val="7"/>
  </w:num>
  <w:num w:numId="11" w16cid:durableId="150483726">
    <w:abstractNumId w:val="4"/>
  </w:num>
  <w:num w:numId="12" w16cid:durableId="509298878">
    <w:abstractNumId w:val="1"/>
  </w:num>
  <w:num w:numId="13" w16cid:durableId="17384377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removePersonalInformation/>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A7"/>
    <w:rsid w:val="00537AFA"/>
    <w:rsid w:val="005F2061"/>
    <w:rsid w:val="00932EE2"/>
    <w:rsid w:val="00D31B2B"/>
    <w:rsid w:val="00D377FA"/>
    <w:rsid w:val="00FB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B88"/>
    <w:pPr>
      <w:tabs>
        <w:tab w:val="left" w:pos="720"/>
      </w:tabs>
      <w:spacing w:after="0" w:line="480" w:lineRule="atLeast"/>
    </w:pPr>
    <w:rPr>
      <w:rFonts w:ascii="Times New Roman" w:eastAsia="Times New Roman" w:hAnsi="Times New Roman" w:cs="Times New Roman"/>
      <w:kern w:val="0"/>
      <w:sz w:val="26"/>
      <w:szCs w:val="26"/>
      <w14:ligatures w14:val="none"/>
    </w:rPr>
  </w:style>
  <w:style w:type="paragraph" w:styleId="Heading1">
    <w:name w:val="heading 1"/>
    <w:basedOn w:val="Normal"/>
    <w:next w:val="Normal"/>
    <w:link w:val="Heading1Char"/>
    <w:uiPriority w:val="9"/>
    <w:qFormat/>
    <w:rsid w:val="00344B88"/>
    <w:pPr>
      <w:keepNext/>
      <w:tabs>
        <w:tab w:val="left" w:pos="0"/>
      </w:tabs>
      <w:jc w:val="center"/>
      <w:outlineLvl w:val="0"/>
    </w:pPr>
    <w:rPr>
      <w:rFonts w:eastAsiaTheme="majorEastAsia"/>
      <w:b/>
      <w:bCs/>
      <w:caps/>
      <w:color w:val="000000" w:themeColor="text1"/>
      <w:kern w:val="32"/>
      <w:szCs w:val="32"/>
      <w:lang w:bidi="en-US"/>
    </w:rPr>
  </w:style>
  <w:style w:type="paragraph" w:styleId="Heading2">
    <w:name w:val="heading 2"/>
    <w:basedOn w:val="Normal"/>
    <w:next w:val="Normal"/>
    <w:link w:val="Heading2Char"/>
    <w:uiPriority w:val="9"/>
    <w:unhideWhenUsed/>
    <w:qFormat/>
    <w:rsid w:val="00344B88"/>
    <w:pPr>
      <w:outlineLvl w:val="1"/>
    </w:pPr>
    <w:rPr>
      <w:rFonts w:eastAsiaTheme="minorHAnsi"/>
      <w:b/>
      <w:i/>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B88"/>
    <w:rPr>
      <w:rFonts w:ascii="Times New Roman" w:eastAsiaTheme="majorEastAsia" w:hAnsi="Times New Roman" w:cs="Times New Roman"/>
      <w:b/>
      <w:bCs/>
      <w:caps/>
      <w:color w:val="000000" w:themeColor="text1"/>
      <w:kern w:val="32"/>
      <w:sz w:val="26"/>
      <w:szCs w:val="32"/>
      <w:lang w:bidi="en-US"/>
      <w14:ligatures w14:val="none"/>
    </w:rPr>
  </w:style>
  <w:style w:type="character" w:customStyle="1" w:styleId="Heading2Char">
    <w:name w:val="Heading 2 Char"/>
    <w:basedOn w:val="DefaultParagraphFont"/>
    <w:link w:val="Heading2"/>
    <w:uiPriority w:val="9"/>
    <w:rsid w:val="00344B88"/>
    <w:rPr>
      <w:rFonts w:ascii="Times New Roman" w:hAnsi="Times New Roman" w:cs="Times New Roman"/>
      <w:b/>
      <w:i/>
      <w:kern w:val="0"/>
      <w:sz w:val="26"/>
      <w:szCs w:val="24"/>
      <w:lang w:bidi="en-US"/>
      <w14:ligatures w14:val="none"/>
    </w:rPr>
  </w:style>
  <w:style w:type="paragraph" w:styleId="FootnoteText">
    <w:name w:val="footnote text"/>
    <w:aliases w:val="Footnote"/>
    <w:basedOn w:val="Normal"/>
    <w:link w:val="FootnoteTextChar"/>
    <w:uiPriority w:val="99"/>
    <w:qFormat/>
    <w:rsid w:val="00344B88"/>
    <w:pPr>
      <w:overflowPunct w:val="0"/>
      <w:autoSpaceDE w:val="0"/>
      <w:autoSpaceDN w:val="0"/>
      <w:adjustRightInd w:val="0"/>
      <w:spacing w:line="240" w:lineRule="auto"/>
      <w:textAlignment w:val="baseline"/>
    </w:pPr>
    <w:rPr>
      <w:szCs w:val="20"/>
    </w:rPr>
  </w:style>
  <w:style w:type="character" w:customStyle="1" w:styleId="FootnoteTextChar">
    <w:name w:val="Footnote Text Char"/>
    <w:aliases w:val="Footnote Char"/>
    <w:basedOn w:val="DefaultParagraphFont"/>
    <w:link w:val="FootnoteText"/>
    <w:uiPriority w:val="99"/>
    <w:rsid w:val="00344B88"/>
    <w:rPr>
      <w:rFonts w:ascii="Times New Roman" w:eastAsia="Times New Roman" w:hAnsi="Times New Roman" w:cs="Times New Roman"/>
      <w:kern w:val="0"/>
      <w:sz w:val="26"/>
      <w:szCs w:val="20"/>
      <w14:ligatures w14:val="none"/>
    </w:rPr>
  </w:style>
  <w:style w:type="character" w:styleId="FootnoteReference">
    <w:name w:val="footnote reference"/>
    <w:basedOn w:val="DefaultParagraphFont"/>
    <w:uiPriority w:val="99"/>
    <w:semiHidden/>
    <w:rsid w:val="00344B88"/>
    <w:rPr>
      <w:rFonts w:ascii="Times New Roman" w:hAnsi="Times New Roman"/>
      <w:sz w:val="26"/>
      <w:vertAlign w:val="superscript"/>
    </w:rPr>
  </w:style>
  <w:style w:type="character" w:customStyle="1" w:styleId="StyleFootnoteReferenceBold">
    <w:name w:val="Style Footnote Reference + Bold"/>
    <w:basedOn w:val="FootnoteReference"/>
    <w:rsid w:val="00344B88"/>
    <w:rPr>
      <w:rFonts w:ascii="Times New Roman" w:hAnsi="Times New Roman"/>
      <w:bCs/>
      <w:sz w:val="26"/>
      <w:vertAlign w:val="superscript"/>
    </w:rPr>
  </w:style>
  <w:style w:type="character" w:customStyle="1" w:styleId="StyleFootnoteReferenceNotBold">
    <w:name w:val="Style Footnote Reference + Not Bold"/>
    <w:basedOn w:val="FootnoteReference"/>
    <w:rsid w:val="00344B88"/>
    <w:rPr>
      <w:rFonts w:ascii="Times New Roman" w:hAnsi="Times New Roman"/>
      <w:b/>
      <w:dstrike w:val="0"/>
      <w:sz w:val="26"/>
      <w:vertAlign w:val="superscript"/>
    </w:rPr>
  </w:style>
  <w:style w:type="paragraph" w:styleId="Header">
    <w:name w:val="header"/>
    <w:basedOn w:val="Normal"/>
    <w:link w:val="HeaderChar"/>
    <w:rsid w:val="00344B88"/>
    <w:pPr>
      <w:tabs>
        <w:tab w:val="center" w:pos="4680"/>
        <w:tab w:val="right" w:pos="9360"/>
      </w:tabs>
      <w:spacing w:line="240" w:lineRule="auto"/>
    </w:pPr>
  </w:style>
  <w:style w:type="character" w:customStyle="1" w:styleId="HeaderChar">
    <w:name w:val="Header Char"/>
    <w:basedOn w:val="DefaultParagraphFont"/>
    <w:link w:val="Header"/>
    <w:rsid w:val="00344B88"/>
    <w:rPr>
      <w:rFonts w:ascii="Times New Roman" w:eastAsia="Times New Roman" w:hAnsi="Times New Roman" w:cs="Times New Roman"/>
      <w:kern w:val="0"/>
      <w:sz w:val="26"/>
      <w:szCs w:val="26"/>
      <w14:ligatures w14:val="none"/>
    </w:rPr>
  </w:style>
  <w:style w:type="paragraph" w:styleId="Footer">
    <w:name w:val="footer"/>
    <w:basedOn w:val="Normal"/>
    <w:link w:val="FooterChar"/>
    <w:rsid w:val="00344B88"/>
    <w:pPr>
      <w:tabs>
        <w:tab w:val="center" w:pos="4680"/>
        <w:tab w:val="right" w:pos="9360"/>
      </w:tabs>
      <w:spacing w:line="240" w:lineRule="auto"/>
    </w:pPr>
  </w:style>
  <w:style w:type="character" w:customStyle="1" w:styleId="FooterChar">
    <w:name w:val="Footer Char"/>
    <w:basedOn w:val="DefaultParagraphFont"/>
    <w:link w:val="Footer"/>
    <w:rsid w:val="00344B88"/>
    <w:rPr>
      <w:rFonts w:ascii="Times New Roman" w:eastAsia="Times New Roman" w:hAnsi="Times New Roman" w:cs="Times New Roman"/>
      <w:kern w:val="0"/>
      <w:sz w:val="26"/>
      <w:szCs w:val="26"/>
      <w14:ligatures w14:val="none"/>
    </w:rPr>
  </w:style>
  <w:style w:type="character" w:customStyle="1" w:styleId="isysmarkup">
    <w:name w:val="__isysmarkup"/>
    <w:basedOn w:val="DefaultParagraphFont"/>
    <w:rsid w:val="00344B88"/>
  </w:style>
  <w:style w:type="paragraph" w:customStyle="1" w:styleId="EnvelopeReturn1">
    <w:name w:val="Envelope Return1"/>
    <w:basedOn w:val="Normal"/>
    <w:rsid w:val="00344B88"/>
    <w:pPr>
      <w:spacing w:line="240" w:lineRule="auto"/>
    </w:pPr>
    <w:rPr>
      <w:rFonts w:ascii="CG Times (WN)" w:hAnsi="CG Times (WN)"/>
      <w:szCs w:val="20"/>
    </w:rPr>
  </w:style>
  <w:style w:type="paragraph" w:styleId="BodyText">
    <w:name w:val="Body Text"/>
    <w:basedOn w:val="Normal"/>
    <w:link w:val="BodyTextChar"/>
    <w:rsid w:val="00344B88"/>
    <w:pPr>
      <w:spacing w:after="120"/>
    </w:pPr>
    <w:rPr>
      <w:szCs w:val="24"/>
    </w:rPr>
  </w:style>
  <w:style w:type="character" w:customStyle="1" w:styleId="BodyTextChar">
    <w:name w:val="Body Text Char"/>
    <w:basedOn w:val="DefaultParagraphFont"/>
    <w:link w:val="BodyText"/>
    <w:rsid w:val="00344B88"/>
    <w:rPr>
      <w:rFonts w:ascii="Times New Roman" w:eastAsia="Times New Roman" w:hAnsi="Times New Roman" w:cs="Times New Roman"/>
      <w:kern w:val="0"/>
      <w:sz w:val="26"/>
      <w:szCs w:val="24"/>
      <w14:ligatures w14:val="none"/>
    </w:rPr>
  </w:style>
  <w:style w:type="paragraph" w:customStyle="1" w:styleId="Normal1">
    <w:name w:val="Normal1"/>
    <w:basedOn w:val="Normal"/>
    <w:rsid w:val="00344B88"/>
    <w:pPr>
      <w:spacing w:before="100" w:beforeAutospacing="1" w:after="100" w:afterAutospacing="1" w:line="240" w:lineRule="auto"/>
    </w:pPr>
    <w:rPr>
      <w:sz w:val="24"/>
      <w:szCs w:val="24"/>
    </w:rPr>
  </w:style>
  <w:style w:type="character" w:customStyle="1" w:styleId="isysentitymarkup">
    <w:name w:val="__isysentitymarkup"/>
    <w:basedOn w:val="DefaultParagraphFont"/>
    <w:rsid w:val="00344B88"/>
  </w:style>
  <w:style w:type="character" w:customStyle="1" w:styleId="ssit">
    <w:name w:val="ss_it"/>
    <w:basedOn w:val="DefaultParagraphFont"/>
    <w:rsid w:val="00344B88"/>
  </w:style>
  <w:style w:type="paragraph" w:styleId="NormalWeb">
    <w:name w:val="Normal (Web)"/>
    <w:basedOn w:val="Normal"/>
    <w:uiPriority w:val="99"/>
    <w:semiHidden/>
    <w:unhideWhenUsed/>
    <w:rsid w:val="00344B88"/>
    <w:pPr>
      <w:spacing w:before="100" w:beforeAutospacing="1" w:after="100" w:afterAutospacing="1" w:line="240" w:lineRule="auto"/>
    </w:pPr>
    <w:rPr>
      <w:sz w:val="24"/>
      <w:szCs w:val="24"/>
    </w:rPr>
  </w:style>
  <w:style w:type="character" w:customStyle="1" w:styleId="ssib">
    <w:name w:val="ss_ib"/>
    <w:basedOn w:val="DefaultParagraphFont"/>
    <w:rsid w:val="00344B88"/>
  </w:style>
  <w:style w:type="character" w:customStyle="1" w:styleId="ssbf">
    <w:name w:val="ss_bf"/>
    <w:basedOn w:val="DefaultParagraphFont"/>
    <w:rsid w:val="00344B88"/>
  </w:style>
  <w:style w:type="character" w:customStyle="1" w:styleId="ssrfcpassagedeactivated">
    <w:name w:val="ss_rfcpassage_deactivated"/>
    <w:basedOn w:val="DefaultParagraphFont"/>
    <w:rsid w:val="00344B88"/>
  </w:style>
  <w:style w:type="character" w:customStyle="1" w:styleId="ssprior">
    <w:name w:val="ss_prior"/>
    <w:basedOn w:val="DefaultParagraphFont"/>
    <w:rsid w:val="00344B88"/>
  </w:style>
  <w:style w:type="character" w:customStyle="1" w:styleId="cosearchterm">
    <w:name w:val="co_searchterm"/>
    <w:basedOn w:val="DefaultParagraphFont"/>
    <w:rsid w:val="00344B88"/>
  </w:style>
  <w:style w:type="paragraph" w:customStyle="1" w:styleId="Default">
    <w:name w:val="Default"/>
    <w:rsid w:val="00344B88"/>
    <w:pPr>
      <w:autoSpaceDE w:val="0"/>
      <w:autoSpaceDN w:val="0"/>
      <w:adjustRightInd w:val="0"/>
      <w:spacing w:after="0" w:line="240" w:lineRule="auto"/>
    </w:pPr>
    <w:rPr>
      <w:rFonts w:ascii="Book Antiqua" w:eastAsia="Times New Roman" w:hAnsi="Book Antiqua" w:cs="Book Antiqua"/>
      <w:color w:val="000000"/>
      <w:kern w:val="0"/>
      <w:sz w:val="24"/>
      <w:szCs w:val="24"/>
      <w14:ligatures w14:val="none"/>
    </w:rPr>
  </w:style>
  <w:style w:type="paragraph" w:styleId="BalloonText">
    <w:name w:val="Balloon Text"/>
    <w:basedOn w:val="Normal"/>
    <w:link w:val="BalloonTextChar"/>
    <w:rsid w:val="00344B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344B88"/>
    <w:rPr>
      <w:rFonts w:ascii="Segoe UI" w:eastAsia="Times New Roman" w:hAnsi="Segoe UI" w:cs="Segoe UI"/>
      <w:kern w:val="0"/>
      <w:sz w:val="18"/>
      <w:szCs w:val="18"/>
      <w14:ligatures w14:val="none"/>
    </w:rPr>
  </w:style>
  <w:style w:type="character" w:customStyle="1" w:styleId="ssparacontent">
    <w:name w:val="ss_paracontent"/>
    <w:basedOn w:val="DefaultParagraphFont"/>
    <w:rsid w:val="00344B88"/>
  </w:style>
  <w:style w:type="character" w:customStyle="1" w:styleId="ssparalabel">
    <w:name w:val="ss_paralabel"/>
    <w:basedOn w:val="DefaultParagraphFont"/>
    <w:rsid w:val="00344B88"/>
  </w:style>
  <w:style w:type="character" w:customStyle="1" w:styleId="sssh">
    <w:name w:val="ss_sh"/>
    <w:basedOn w:val="DefaultParagraphFont"/>
    <w:rsid w:val="00344B88"/>
  </w:style>
  <w:style w:type="paragraph" w:styleId="EndnoteText">
    <w:name w:val="endnote text"/>
    <w:basedOn w:val="Normal"/>
    <w:link w:val="EndnoteTextChar"/>
    <w:semiHidden/>
    <w:unhideWhenUsed/>
    <w:rsid w:val="00344B88"/>
    <w:pPr>
      <w:spacing w:line="240" w:lineRule="auto"/>
    </w:pPr>
    <w:rPr>
      <w:sz w:val="20"/>
      <w:szCs w:val="20"/>
    </w:rPr>
  </w:style>
  <w:style w:type="character" w:customStyle="1" w:styleId="EndnoteTextChar">
    <w:name w:val="Endnote Text Char"/>
    <w:basedOn w:val="DefaultParagraphFont"/>
    <w:link w:val="EndnoteText"/>
    <w:semiHidden/>
    <w:rsid w:val="00344B88"/>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semiHidden/>
    <w:unhideWhenUsed/>
    <w:rsid w:val="00344B88"/>
    <w:rPr>
      <w:vertAlign w:val="superscript"/>
    </w:rPr>
  </w:style>
  <w:style w:type="character" w:styleId="Hyperlink">
    <w:name w:val="Hyperlink"/>
    <w:basedOn w:val="DefaultParagraphFont"/>
    <w:unhideWhenUsed/>
    <w:rsid w:val="00344B88"/>
    <w:rPr>
      <w:color w:val="0563C1" w:themeColor="hyperlink"/>
      <w:u w:val="single"/>
    </w:rPr>
  </w:style>
  <w:style w:type="character" w:customStyle="1" w:styleId="UnresolvedMention1">
    <w:name w:val="Unresolved Mention1"/>
    <w:basedOn w:val="DefaultParagraphFont"/>
    <w:uiPriority w:val="99"/>
    <w:semiHidden/>
    <w:unhideWhenUsed/>
    <w:rsid w:val="00344B88"/>
    <w:rPr>
      <w:color w:val="605E5C"/>
      <w:shd w:val="clear" w:color="auto" w:fill="E1DFDD"/>
    </w:rPr>
  </w:style>
  <w:style w:type="paragraph" w:styleId="ListParagraph">
    <w:name w:val="List Paragraph"/>
    <w:basedOn w:val="Normal"/>
    <w:uiPriority w:val="34"/>
    <w:qFormat/>
    <w:rsid w:val="00344B88"/>
    <w:pPr>
      <w:ind w:left="720"/>
      <w:contextualSpacing/>
    </w:pPr>
  </w:style>
  <w:style w:type="character" w:customStyle="1" w:styleId="UnresolvedMention2">
    <w:name w:val="Unresolved Mention2"/>
    <w:basedOn w:val="DefaultParagraphFont"/>
    <w:uiPriority w:val="99"/>
    <w:semiHidden/>
    <w:unhideWhenUsed/>
    <w:rsid w:val="00344B88"/>
    <w:rPr>
      <w:color w:val="605E5C"/>
      <w:shd w:val="clear" w:color="auto" w:fill="E1DFDD"/>
    </w:rPr>
  </w:style>
  <w:style w:type="paragraph" w:customStyle="1" w:styleId="OpnText">
    <w:name w:val="Opn. Text"/>
    <w:basedOn w:val="Normal"/>
    <w:link w:val="OpnTextChar"/>
    <w:autoRedefine/>
    <w:qFormat/>
    <w:rsid w:val="00344B88"/>
    <w:pPr>
      <w:ind w:firstLine="720"/>
    </w:pPr>
    <w:rPr>
      <w:rFonts w:eastAsiaTheme="minorHAnsi"/>
      <w:color w:val="212121"/>
      <w:szCs w:val="25"/>
    </w:rPr>
  </w:style>
  <w:style w:type="character" w:customStyle="1" w:styleId="OpnTextChar">
    <w:name w:val="Opn. Text Char"/>
    <w:basedOn w:val="DefaultParagraphFont"/>
    <w:link w:val="OpnText"/>
    <w:rsid w:val="00344B88"/>
    <w:rPr>
      <w:rFonts w:ascii="Times New Roman" w:hAnsi="Times New Roman" w:cs="Times New Roman"/>
      <w:color w:val="212121"/>
      <w:kern w:val="0"/>
      <w:sz w:val="26"/>
      <w:szCs w:val="25"/>
      <w14:ligatures w14:val="none"/>
    </w:rPr>
  </w:style>
  <w:style w:type="paragraph" w:styleId="NoSpacing">
    <w:name w:val="No Spacing"/>
    <w:uiPriority w:val="1"/>
    <w:qFormat/>
    <w:rsid w:val="00344B88"/>
    <w:pPr>
      <w:spacing w:after="0" w:line="240" w:lineRule="auto"/>
    </w:pPr>
    <w:rPr>
      <w:rFonts w:ascii="Times New Roman" w:eastAsia="Times New Roman" w:hAnsi="Times New Roman" w:cs="Times New Roman"/>
      <w:kern w:val="0"/>
      <w:sz w:val="26"/>
      <w:szCs w:val="26"/>
      <w14:ligatures w14:val="none"/>
    </w:rPr>
  </w:style>
  <w:style w:type="character" w:styleId="CommentReference">
    <w:name w:val="annotation reference"/>
    <w:basedOn w:val="DefaultParagraphFont"/>
    <w:semiHidden/>
    <w:unhideWhenUsed/>
    <w:rsid w:val="00344B88"/>
    <w:rPr>
      <w:sz w:val="16"/>
      <w:szCs w:val="16"/>
    </w:rPr>
  </w:style>
  <w:style w:type="paragraph" w:styleId="CommentText">
    <w:name w:val="annotation text"/>
    <w:basedOn w:val="Normal"/>
    <w:link w:val="CommentTextChar"/>
    <w:unhideWhenUsed/>
    <w:rsid w:val="00344B88"/>
    <w:pPr>
      <w:spacing w:line="240" w:lineRule="auto"/>
    </w:pPr>
    <w:rPr>
      <w:sz w:val="20"/>
      <w:szCs w:val="20"/>
    </w:rPr>
  </w:style>
  <w:style w:type="character" w:customStyle="1" w:styleId="CommentTextChar">
    <w:name w:val="Comment Text Char"/>
    <w:basedOn w:val="DefaultParagraphFont"/>
    <w:link w:val="CommentText"/>
    <w:rsid w:val="00344B88"/>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semiHidden/>
    <w:unhideWhenUsed/>
    <w:rsid w:val="00344B88"/>
    <w:rPr>
      <w:b/>
      <w:bCs/>
    </w:rPr>
  </w:style>
  <w:style w:type="character" w:customStyle="1" w:styleId="CommentSubjectChar">
    <w:name w:val="Comment Subject Char"/>
    <w:basedOn w:val="CommentTextChar"/>
    <w:link w:val="CommentSubject"/>
    <w:semiHidden/>
    <w:rsid w:val="00344B88"/>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344B88"/>
    <w:pPr>
      <w:spacing w:after="0" w:line="240" w:lineRule="auto"/>
    </w:pPr>
    <w:rPr>
      <w:rFonts w:ascii="Times New Roman" w:eastAsia="Times New Roman" w:hAnsi="Times New Roman" w:cs="Times New Roman"/>
      <w:kern w:val="0"/>
      <w:sz w:val="26"/>
      <w:szCs w:val="26"/>
      <w14:ligatures w14:val="none"/>
    </w:rPr>
  </w:style>
  <w:style w:type="character" w:customStyle="1" w:styleId="ssrfcsection">
    <w:name w:val="ss_rfcsection"/>
    <w:basedOn w:val="DefaultParagraphFont"/>
    <w:rsid w:val="00344B88"/>
  </w:style>
  <w:style w:type="character" w:customStyle="1" w:styleId="acy">
    <w:name w:val="acy"/>
    <w:basedOn w:val="DefaultParagraphFont"/>
    <w:rsid w:val="00344B88"/>
  </w:style>
  <w:style w:type="paragraph" w:styleId="BodyTextIndent2">
    <w:name w:val="Body Text Indent 2"/>
    <w:basedOn w:val="Normal"/>
    <w:link w:val="BodyTextIndent2Char"/>
    <w:uiPriority w:val="99"/>
    <w:semiHidden/>
    <w:unhideWhenUsed/>
    <w:rsid w:val="000D7F62"/>
    <w:pPr>
      <w:spacing w:after="120" w:line="480" w:lineRule="auto"/>
      <w:ind w:left="360"/>
    </w:pPr>
  </w:style>
  <w:style w:type="character" w:customStyle="1" w:styleId="BodyTextIndent2Char">
    <w:name w:val="Body Text Indent 2 Char"/>
    <w:basedOn w:val="DefaultParagraphFont"/>
    <w:link w:val="BodyTextIndent2"/>
    <w:uiPriority w:val="99"/>
    <w:semiHidden/>
    <w:rsid w:val="000D7F62"/>
    <w:rPr>
      <w:rFonts w:ascii="Times New Roman" w:eastAsia="Times New Roman" w:hAnsi="Times New Roman" w:cs="Times New Roman"/>
      <w:kern w:val="0"/>
      <w:sz w:val="26"/>
      <w:szCs w:val="26"/>
      <w14:ligatures w14:val="none"/>
    </w:rPr>
  </w:style>
  <w:style w:type="paragraph" w:styleId="Title">
    <w:name w:val="Title"/>
    <w:basedOn w:val="Normal"/>
    <w:link w:val="TitleChar"/>
    <w:qFormat/>
    <w:rsid w:val="000D7F62"/>
    <w:pPr>
      <w:overflowPunct w:val="0"/>
      <w:autoSpaceDE w:val="0"/>
      <w:autoSpaceDN w:val="0"/>
      <w:adjustRightInd w:val="0"/>
      <w:spacing w:line="240" w:lineRule="auto"/>
      <w:jc w:val="center"/>
      <w:textAlignment w:val="baseline"/>
    </w:pPr>
    <w:rPr>
      <w:b/>
      <w:szCs w:val="20"/>
    </w:rPr>
  </w:style>
  <w:style w:type="character" w:customStyle="1" w:styleId="TitleChar">
    <w:name w:val="Title Char"/>
    <w:basedOn w:val="DefaultParagraphFont"/>
    <w:link w:val="Title"/>
    <w:rsid w:val="000D7F62"/>
    <w:rPr>
      <w:rFonts w:ascii="Times New Roman" w:eastAsia="Times New Roman" w:hAnsi="Times New Roman" w:cs="Times New Roman"/>
      <w:b/>
      <w:kern w:val="0"/>
      <w:sz w:val="26"/>
      <w:szCs w:val="20"/>
      <w14:ligatures w14:val="none"/>
    </w:rPr>
  </w:style>
  <w:style w:type="character" w:styleId="FollowedHyperlink">
    <w:name w:val="FollowedHyperlink"/>
    <w:basedOn w:val="DefaultParagraphFont"/>
    <w:uiPriority w:val="99"/>
    <w:semiHidden/>
    <w:unhideWhenUsed/>
    <w:rsid w:val="00DA4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7221</Words>
  <Characters>39384</Characters>
  <Application>Microsoft Office Word</Application>
  <DocSecurity>0</DocSecurity>
  <Lines>683</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2024-06-28T22:45:00Z</dcterms:created>
  <dcterms:modified xsi:type="dcterms:W3CDTF">2024-06-28T22:45:00Z</dcterms:modified>
  <cp:category/>
</cp:coreProperties>
</file>