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E9C780" w14:textId="77777777" w:rsidR="004864A9" w:rsidRPr="002A1BC5" w:rsidRDefault="004864A9" w:rsidP="003E74BF">
      <w:pPr>
        <w:spacing w:line="240" w:lineRule="auto"/>
        <w:rPr>
          <w:sz w:val="20"/>
          <w:szCs w:val="20"/>
        </w:rPr>
      </w:pPr>
      <w:r w:rsidRPr="002A1BC5">
        <w:rPr>
          <w:sz w:val="20"/>
          <w:szCs w:val="20"/>
        </w:rPr>
        <w:t>Filed 6/28/24</w:t>
      </w:r>
    </w:p>
    <w:p w14:paraId="449735F8" w14:textId="77777777" w:rsidR="004864A9" w:rsidRDefault="004864A9" w:rsidP="00317ADE">
      <w:pPr>
        <w:spacing w:line="240" w:lineRule="auto"/>
        <w:jc w:val="center"/>
      </w:pPr>
      <w:r>
        <w:t>CERTIFIED FOR PUBLICATION</w:t>
      </w:r>
    </w:p>
    <w:p w14:paraId="77FE34F8" w14:textId="77777777" w:rsidR="004864A9" w:rsidRDefault="004864A9" w:rsidP="008E111B">
      <w:pPr>
        <w:spacing w:line="240" w:lineRule="auto"/>
      </w:pPr>
    </w:p>
    <w:p w14:paraId="6E43120A" w14:textId="77777777" w:rsidR="004864A9" w:rsidRDefault="004864A9" w:rsidP="008E111B">
      <w:pPr>
        <w:spacing w:line="240" w:lineRule="auto"/>
        <w:jc w:val="center"/>
      </w:pPr>
      <w:r>
        <w:t>IN THE COURT OF APPEAL OF THE STATE OF CALIFORNIA</w:t>
      </w:r>
    </w:p>
    <w:p w14:paraId="1E1804E4" w14:textId="77777777" w:rsidR="004864A9" w:rsidRDefault="004864A9" w:rsidP="008E111B">
      <w:pPr>
        <w:spacing w:line="240" w:lineRule="auto"/>
        <w:jc w:val="center"/>
      </w:pPr>
    </w:p>
    <w:p w14:paraId="1A807107" w14:textId="77777777" w:rsidR="004864A9" w:rsidRDefault="004864A9" w:rsidP="008E111B">
      <w:pPr>
        <w:spacing w:line="240" w:lineRule="auto"/>
        <w:jc w:val="center"/>
      </w:pPr>
      <w:r>
        <w:t>SIXTH APPELLATE DISTRICT</w:t>
      </w:r>
    </w:p>
    <w:p w14:paraId="4C7CD6FC" w14:textId="77777777" w:rsidR="004864A9" w:rsidRDefault="004864A9" w:rsidP="008E111B">
      <w:pPr>
        <w:spacing w:line="240" w:lineRule="auto"/>
        <w:jc w:val="center"/>
      </w:pPr>
    </w:p>
    <w:tbl>
      <w:tblPr>
        <w:tblW w:w="0" w:type="auto"/>
        <w:tblLayout w:type="fixed"/>
        <w:tblLook w:val="0000" w:firstRow="0" w:lastRow="0" w:firstColumn="0" w:lastColumn="0" w:noHBand="0" w:noVBand="0"/>
      </w:tblPr>
      <w:tblGrid>
        <w:gridCol w:w="4680"/>
        <w:gridCol w:w="4680"/>
      </w:tblGrid>
      <w:tr w:rsidR="00256EB7" w14:paraId="2E64A61D" w14:textId="77777777" w:rsidTr="00F42597">
        <w:tc>
          <w:tcPr>
            <w:tcW w:w="4680" w:type="dxa"/>
            <w:tcBorders>
              <w:right w:val="single" w:sz="4" w:space="0" w:color="auto"/>
            </w:tcBorders>
            <w:shd w:val="clear" w:color="auto" w:fill="auto"/>
          </w:tcPr>
          <w:p w14:paraId="6C505949" w14:textId="77777777" w:rsidR="004864A9" w:rsidRDefault="004864A9" w:rsidP="00F42597">
            <w:pPr>
              <w:spacing w:line="240" w:lineRule="auto"/>
            </w:pPr>
            <w:r>
              <w:t>THE PEOPLE,</w:t>
            </w:r>
          </w:p>
          <w:p w14:paraId="617E3A42" w14:textId="77777777" w:rsidR="004864A9" w:rsidRDefault="004864A9" w:rsidP="00F42597">
            <w:pPr>
              <w:spacing w:line="240" w:lineRule="auto"/>
            </w:pPr>
          </w:p>
          <w:p w14:paraId="428DCFD1" w14:textId="77777777" w:rsidR="004864A9" w:rsidRDefault="004864A9" w:rsidP="00F42597">
            <w:pPr>
              <w:spacing w:line="240" w:lineRule="auto"/>
              <w:ind w:left="720"/>
            </w:pPr>
            <w:r>
              <w:t>Plaintiff and Respondent,</w:t>
            </w:r>
          </w:p>
          <w:p w14:paraId="556A5699" w14:textId="77777777" w:rsidR="004864A9" w:rsidRDefault="004864A9" w:rsidP="00F42597">
            <w:pPr>
              <w:spacing w:line="240" w:lineRule="auto"/>
              <w:ind w:left="720"/>
            </w:pPr>
          </w:p>
          <w:p w14:paraId="6B8904F8" w14:textId="77777777" w:rsidR="004864A9" w:rsidRDefault="004864A9" w:rsidP="00F42597">
            <w:pPr>
              <w:spacing w:line="240" w:lineRule="auto"/>
              <w:ind w:left="720"/>
            </w:pPr>
            <w:r>
              <w:t>v.</w:t>
            </w:r>
          </w:p>
          <w:p w14:paraId="029092B0" w14:textId="77777777" w:rsidR="004864A9" w:rsidRDefault="004864A9" w:rsidP="00F42597">
            <w:pPr>
              <w:spacing w:line="240" w:lineRule="auto"/>
            </w:pPr>
          </w:p>
          <w:p w14:paraId="7F580F53" w14:textId="77777777" w:rsidR="004864A9" w:rsidRDefault="004864A9" w:rsidP="00F42597">
            <w:pPr>
              <w:spacing w:line="240" w:lineRule="auto"/>
            </w:pPr>
            <w:r>
              <w:t>CHRISTOPHER LEE COFER,</w:t>
            </w:r>
          </w:p>
          <w:p w14:paraId="7050D57E" w14:textId="77777777" w:rsidR="004864A9" w:rsidRDefault="004864A9" w:rsidP="00F42597">
            <w:pPr>
              <w:spacing w:line="240" w:lineRule="auto"/>
            </w:pPr>
          </w:p>
          <w:p w14:paraId="681B3ABB" w14:textId="77777777" w:rsidR="004864A9" w:rsidRDefault="004864A9" w:rsidP="00F42597">
            <w:pPr>
              <w:spacing w:line="240" w:lineRule="auto"/>
              <w:ind w:left="720"/>
            </w:pPr>
            <w:r>
              <w:t>Defendant and Appellant.</w:t>
            </w:r>
          </w:p>
          <w:p w14:paraId="77A910CA" w14:textId="77777777" w:rsidR="004864A9" w:rsidRDefault="004864A9" w:rsidP="00F42597">
            <w:pPr>
              <w:spacing w:line="240" w:lineRule="auto"/>
            </w:pPr>
          </w:p>
        </w:tc>
        <w:tc>
          <w:tcPr>
            <w:tcW w:w="4680" w:type="dxa"/>
            <w:tcBorders>
              <w:left w:val="single" w:sz="4" w:space="0" w:color="auto"/>
            </w:tcBorders>
            <w:shd w:val="clear" w:color="auto" w:fill="auto"/>
          </w:tcPr>
          <w:p w14:paraId="2BF61510" w14:textId="77777777" w:rsidR="004864A9" w:rsidRDefault="004864A9" w:rsidP="00F42597">
            <w:pPr>
              <w:spacing w:line="240" w:lineRule="auto"/>
            </w:pPr>
            <w:r>
              <w:t xml:space="preserve">     H050122</w:t>
            </w:r>
          </w:p>
          <w:p w14:paraId="1A92CE12" w14:textId="77777777" w:rsidR="004864A9" w:rsidRDefault="004864A9" w:rsidP="00F42597">
            <w:pPr>
              <w:spacing w:line="240" w:lineRule="auto"/>
            </w:pPr>
            <w:r>
              <w:t xml:space="preserve">     (Monterey County</w:t>
            </w:r>
          </w:p>
          <w:p w14:paraId="0CF8586B" w14:textId="77777777" w:rsidR="004864A9" w:rsidRDefault="004864A9" w:rsidP="00317ADE">
            <w:pPr>
              <w:spacing w:line="240" w:lineRule="auto"/>
              <w:ind w:left="357" w:hanging="357"/>
            </w:pPr>
            <w:r>
              <w:t xml:space="preserve">     Super. Ct. No</w:t>
            </w:r>
            <w:r>
              <w:t>s</w:t>
            </w:r>
            <w:r>
              <w:t xml:space="preserve">. 20CR010763; </w:t>
            </w:r>
            <w:r>
              <w:t>2</w:t>
            </w:r>
            <w:r>
              <w:t>0CR008059; 21C500245; 21CR001076; 21CR001243)</w:t>
            </w:r>
          </w:p>
        </w:tc>
      </w:tr>
      <w:tr w:rsidR="00256EB7" w14:paraId="49C1C2D0" w14:textId="77777777" w:rsidTr="00F42597">
        <w:tc>
          <w:tcPr>
            <w:tcW w:w="4680" w:type="dxa"/>
            <w:tcBorders>
              <w:bottom w:val="single" w:sz="4" w:space="0" w:color="auto"/>
              <w:right w:val="single" w:sz="4" w:space="0" w:color="auto"/>
            </w:tcBorders>
            <w:shd w:val="clear" w:color="auto" w:fill="auto"/>
          </w:tcPr>
          <w:p w14:paraId="66456493" w14:textId="77777777" w:rsidR="004864A9" w:rsidRDefault="004864A9" w:rsidP="00F42597">
            <w:pPr>
              <w:spacing w:line="240" w:lineRule="auto"/>
            </w:pPr>
          </w:p>
        </w:tc>
        <w:tc>
          <w:tcPr>
            <w:tcW w:w="4680" w:type="dxa"/>
            <w:tcBorders>
              <w:left w:val="single" w:sz="4" w:space="0" w:color="auto"/>
            </w:tcBorders>
            <w:shd w:val="clear" w:color="auto" w:fill="auto"/>
          </w:tcPr>
          <w:p w14:paraId="0F304488" w14:textId="77777777" w:rsidR="004864A9" w:rsidRDefault="004864A9" w:rsidP="00F42597">
            <w:pPr>
              <w:spacing w:line="240" w:lineRule="auto"/>
            </w:pPr>
          </w:p>
        </w:tc>
      </w:tr>
    </w:tbl>
    <w:p w14:paraId="295B8240" w14:textId="77777777" w:rsidR="004864A9" w:rsidRDefault="004864A9" w:rsidP="008E111B">
      <w:pPr>
        <w:spacing w:line="480" w:lineRule="exact"/>
      </w:pPr>
      <w:r>
        <w:tab/>
        <w:t>Defendant Christopher Lee Cofer was sentenced at a single hearing</w:t>
      </w:r>
      <w:r w:rsidRPr="003A21DA">
        <w:t xml:space="preserve"> </w:t>
      </w:r>
      <w:r>
        <w:t xml:space="preserve">as part of a negotiated disposition of five </w:t>
      </w:r>
      <w:r>
        <w:t xml:space="preserve">open </w:t>
      </w:r>
      <w:r>
        <w:t xml:space="preserve">cases.  </w:t>
      </w:r>
      <w:proofErr w:type="gramStart"/>
      <w:r>
        <w:t>A</w:t>
      </w:r>
      <w:r>
        <w:t>ll</w:t>
      </w:r>
      <w:r>
        <w:t xml:space="preserve"> of</w:t>
      </w:r>
      <w:proofErr w:type="gramEnd"/>
      <w:r>
        <w:t xml:space="preserve"> the</w:t>
      </w:r>
      <w:r>
        <w:t xml:space="preserve"> sentences </w:t>
      </w:r>
      <w:r>
        <w:t>were</w:t>
      </w:r>
      <w:r>
        <w:t xml:space="preserve"> concurrent</w:t>
      </w:r>
      <w:r>
        <w:t xml:space="preserve"> with the six-year principal term</w:t>
      </w:r>
      <w:r>
        <w:t xml:space="preserve">.  </w:t>
      </w:r>
      <w:r>
        <w:t xml:space="preserve">Relying </w:t>
      </w:r>
      <w:r>
        <w:t>on a</w:t>
      </w:r>
      <w:r>
        <w:t xml:space="preserve"> previous</w:t>
      </w:r>
      <w:r>
        <w:t xml:space="preserve"> </w:t>
      </w:r>
      <w:r>
        <w:t xml:space="preserve">decision by a </w:t>
      </w:r>
      <w:r>
        <w:t xml:space="preserve">different panel of this court in </w:t>
      </w:r>
      <w:r w:rsidRPr="00925762">
        <w:rPr>
          <w:i/>
          <w:iCs/>
        </w:rPr>
        <w:t>People v. Jacobs</w:t>
      </w:r>
      <w:r>
        <w:t xml:space="preserve"> (2013) 220 Cal.App.4th 67 </w:t>
      </w:r>
      <w:r>
        <w:t>(</w:t>
      </w:r>
      <w:r w:rsidRPr="00C71794">
        <w:rPr>
          <w:i/>
          <w:iCs/>
        </w:rPr>
        <w:t>Jacobs</w:t>
      </w:r>
      <w:r>
        <w:t xml:space="preserve">), the trial court did not award presentence custody credits </w:t>
      </w:r>
      <w:r>
        <w:t xml:space="preserve">in all of the cases for all of the </w:t>
      </w:r>
      <w:proofErr w:type="gramStart"/>
      <w:r>
        <w:t>days</w:t>
      </w:r>
      <w:proofErr w:type="gramEnd"/>
      <w:r>
        <w:t xml:space="preserve"> </w:t>
      </w:r>
      <w:r>
        <w:t xml:space="preserve">defendant </w:t>
      </w:r>
      <w:r>
        <w:t>was in actual custody</w:t>
      </w:r>
      <w:r>
        <w:t>.  We respect</w:t>
      </w:r>
      <w:r>
        <w:t>ful</w:t>
      </w:r>
      <w:r>
        <w:t xml:space="preserve">ly disagree with </w:t>
      </w:r>
      <w:r>
        <w:rPr>
          <w:i/>
          <w:iCs/>
        </w:rPr>
        <w:t>Jacobs</w:t>
      </w:r>
      <w:r>
        <w:t xml:space="preserve"> and conclude that when a defendant is sentenced concurrently at a single hearing to resolve multiple cases that were not previously the subject of a judgment of conviction or probationary disposition, Penal Code section 2900.5 </w:t>
      </w:r>
      <w:r>
        <w:t>requires the trial court to a</w:t>
      </w:r>
      <w:r>
        <w:t>pply</w:t>
      </w:r>
      <w:r>
        <w:t xml:space="preserve"> presentence credits for all periods of </w:t>
      </w:r>
      <w:r>
        <w:t>actual</w:t>
      </w:r>
      <w:r>
        <w:t xml:space="preserve"> custody </w:t>
      </w:r>
      <w:r>
        <w:t>toward</w:t>
      </w:r>
      <w:r>
        <w:t xml:space="preserve"> </w:t>
      </w:r>
      <w:proofErr w:type="gramStart"/>
      <w:r>
        <w:t xml:space="preserve">all </w:t>
      </w:r>
      <w:r>
        <w:t>of</w:t>
      </w:r>
      <w:proofErr w:type="gramEnd"/>
      <w:r>
        <w:t xml:space="preserve"> those concurrent sentences.</w:t>
      </w:r>
    </w:p>
    <w:p w14:paraId="36A09F2D" w14:textId="77777777" w:rsidR="004864A9" w:rsidRDefault="004864A9" w:rsidP="00573EFD">
      <w:pPr>
        <w:pStyle w:val="Heading1"/>
      </w:pPr>
      <w:r>
        <w:t>Trial Court Proceedings</w:t>
      </w:r>
    </w:p>
    <w:p w14:paraId="4B075797" w14:textId="77777777" w:rsidR="004864A9" w:rsidRPr="00573EFD" w:rsidRDefault="004864A9" w:rsidP="00573EFD">
      <w:pPr>
        <w:spacing w:line="480" w:lineRule="exact"/>
        <w:rPr>
          <w:rFonts w:eastAsia="Times New Roman"/>
        </w:rPr>
      </w:pPr>
      <w:r>
        <w:rPr>
          <w:lang w:bidi="en-US"/>
        </w:rPr>
        <w:tab/>
      </w:r>
      <w:r w:rsidRPr="00573EFD">
        <w:rPr>
          <w:rFonts w:eastAsia="Times New Roman"/>
        </w:rPr>
        <w:t xml:space="preserve">This case involves the award of presentence credit in five criminal cases that were resolved together.  </w:t>
      </w:r>
      <w:r>
        <w:rPr>
          <w:rFonts w:eastAsia="Times New Roman"/>
        </w:rPr>
        <w:t>We omit the facts of the offenses as they are not relevant to the analysis and disposition of this appeal.</w:t>
      </w:r>
    </w:p>
    <w:p w14:paraId="73B81850" w14:textId="77777777" w:rsidR="004864A9" w:rsidRPr="00573EFD" w:rsidRDefault="004864A9" w:rsidP="00573EFD">
      <w:pPr>
        <w:spacing w:line="480" w:lineRule="exact"/>
        <w:rPr>
          <w:rFonts w:eastAsia="Times New Roman"/>
        </w:rPr>
      </w:pPr>
      <w:r w:rsidRPr="00573EFD">
        <w:rPr>
          <w:rFonts w:eastAsia="Times New Roman"/>
        </w:rPr>
        <w:lastRenderedPageBreak/>
        <w:tab/>
        <w:t xml:space="preserve">The information in case No. 20CR008059 (“case A”) charged Cofer with </w:t>
      </w:r>
      <w:r>
        <w:rPr>
          <w:rFonts w:eastAsia="Times New Roman"/>
        </w:rPr>
        <w:t>vehicle</w:t>
      </w:r>
      <w:r w:rsidRPr="00573EFD">
        <w:rPr>
          <w:rFonts w:eastAsia="Times New Roman"/>
        </w:rPr>
        <w:t xml:space="preserve"> burglary (</w:t>
      </w:r>
      <w:r>
        <w:rPr>
          <w:rFonts w:eastAsia="Times New Roman"/>
        </w:rPr>
        <w:t xml:space="preserve">Pen. Code, </w:t>
      </w:r>
      <w:r w:rsidRPr="00573EFD">
        <w:rPr>
          <w:rFonts w:eastAsia="Times New Roman"/>
        </w:rPr>
        <w:t>§ 459); possession of burglar’s tools (</w:t>
      </w:r>
      <w:r>
        <w:rPr>
          <w:rFonts w:eastAsia="Times New Roman"/>
        </w:rPr>
        <w:t xml:space="preserve">Pen. Code, </w:t>
      </w:r>
      <w:r w:rsidRPr="00573EFD">
        <w:rPr>
          <w:rFonts w:eastAsia="Times New Roman"/>
        </w:rPr>
        <w:t xml:space="preserve">§ 466); driving </w:t>
      </w:r>
      <w:r w:rsidRPr="00573EFD">
        <w:rPr>
          <w:rFonts w:eastAsia="Times New Roman"/>
        </w:rPr>
        <w:t>without a license (Veh. Code § 12500, subd. (</w:t>
      </w:r>
      <w:proofErr w:type="gramStart"/>
      <w:r w:rsidRPr="00573EFD">
        <w:rPr>
          <w:rFonts w:eastAsia="Times New Roman"/>
        </w:rPr>
        <w:t>a))</w:t>
      </w:r>
      <w:proofErr w:type="gramEnd"/>
      <w:r w:rsidRPr="00573EFD">
        <w:rPr>
          <w:rFonts w:eastAsia="Times New Roman"/>
        </w:rPr>
        <w:t>; and grand theft of personal property (</w:t>
      </w:r>
      <w:r>
        <w:rPr>
          <w:rFonts w:eastAsia="Times New Roman"/>
        </w:rPr>
        <w:t xml:space="preserve">Pen. Code, </w:t>
      </w:r>
      <w:r w:rsidRPr="00573EFD">
        <w:rPr>
          <w:rFonts w:eastAsia="Times New Roman"/>
        </w:rPr>
        <w:t>§ 487, subd. (</w:t>
      </w:r>
      <w:proofErr w:type="gramStart"/>
      <w:r w:rsidRPr="00573EFD">
        <w:rPr>
          <w:rFonts w:eastAsia="Times New Roman"/>
        </w:rPr>
        <w:t>a)</w:t>
      </w:r>
      <w:r>
        <w:rPr>
          <w:rFonts w:eastAsia="Times New Roman"/>
        </w:rPr>
        <w:t>)</w:t>
      </w:r>
      <w:proofErr w:type="gramEnd"/>
      <w:r>
        <w:rPr>
          <w:rFonts w:eastAsia="Times New Roman"/>
        </w:rPr>
        <w:t xml:space="preserve">.  </w:t>
      </w:r>
      <w:r w:rsidRPr="00573EFD">
        <w:rPr>
          <w:rFonts w:eastAsia="Times New Roman"/>
        </w:rPr>
        <w:t>The information alleged two prior strike convictions.  (</w:t>
      </w:r>
      <w:r>
        <w:rPr>
          <w:rFonts w:eastAsia="Times New Roman"/>
        </w:rPr>
        <w:t xml:space="preserve">Pen. Code, </w:t>
      </w:r>
      <w:r w:rsidRPr="00573EFD">
        <w:rPr>
          <w:rFonts w:eastAsia="Times New Roman"/>
        </w:rPr>
        <w:t xml:space="preserve">§§ 667, subds. (d), (e)(1), 1170.12, subd. (c)(1).) </w:t>
      </w:r>
      <w:r>
        <w:rPr>
          <w:rFonts w:eastAsia="Times New Roman"/>
        </w:rPr>
        <w:t xml:space="preserve"> (Unspecified statutory references are to the Penal Code.)  </w:t>
      </w:r>
    </w:p>
    <w:p w14:paraId="7889BACE" w14:textId="77777777" w:rsidR="004864A9" w:rsidRPr="00573EFD" w:rsidRDefault="004864A9" w:rsidP="00573EFD">
      <w:pPr>
        <w:spacing w:line="480" w:lineRule="exact"/>
        <w:rPr>
          <w:rFonts w:eastAsia="Times New Roman"/>
        </w:rPr>
      </w:pPr>
      <w:r w:rsidRPr="00573EFD">
        <w:rPr>
          <w:rFonts w:eastAsia="Times New Roman"/>
        </w:rPr>
        <w:tab/>
      </w:r>
      <w:r>
        <w:rPr>
          <w:rFonts w:eastAsia="Times New Roman"/>
        </w:rPr>
        <w:t>Several months later,</w:t>
      </w:r>
      <w:r w:rsidRPr="00573EFD">
        <w:rPr>
          <w:rFonts w:eastAsia="Times New Roman"/>
        </w:rPr>
        <w:t xml:space="preserve"> Cofer was charged </w:t>
      </w:r>
      <w:r>
        <w:rPr>
          <w:rFonts w:eastAsia="Times New Roman"/>
        </w:rPr>
        <w:t>by</w:t>
      </w:r>
      <w:r w:rsidRPr="00573EFD">
        <w:rPr>
          <w:rFonts w:eastAsia="Times New Roman"/>
        </w:rPr>
        <w:t xml:space="preserve"> information in case No. 20CR</w:t>
      </w:r>
      <w:r>
        <w:rPr>
          <w:rFonts w:eastAsia="Times New Roman"/>
        </w:rPr>
        <w:t>0</w:t>
      </w:r>
      <w:r w:rsidRPr="00573EFD">
        <w:rPr>
          <w:rFonts w:eastAsia="Times New Roman"/>
        </w:rPr>
        <w:t xml:space="preserve">10763 (“case B”) with </w:t>
      </w:r>
      <w:r>
        <w:rPr>
          <w:rFonts w:eastAsia="Times New Roman"/>
        </w:rPr>
        <w:t>vehicle</w:t>
      </w:r>
      <w:r w:rsidRPr="00573EFD">
        <w:rPr>
          <w:rFonts w:eastAsia="Times New Roman"/>
        </w:rPr>
        <w:t xml:space="preserve"> burglary (§ 459).  The information alleged </w:t>
      </w:r>
      <w:r>
        <w:rPr>
          <w:rFonts w:eastAsia="Times New Roman"/>
        </w:rPr>
        <w:t>one</w:t>
      </w:r>
      <w:r w:rsidRPr="00573EFD">
        <w:rPr>
          <w:rFonts w:eastAsia="Times New Roman"/>
        </w:rPr>
        <w:t xml:space="preserve"> prior strike conviction.  (§§ 667, subds. (d), (e)(1), 1170.12, subd. (c)(1).) </w:t>
      </w:r>
      <w:r>
        <w:rPr>
          <w:rFonts w:eastAsia="Times New Roman"/>
        </w:rPr>
        <w:t xml:space="preserve"> Another </w:t>
      </w:r>
      <w:r w:rsidRPr="00573EFD">
        <w:rPr>
          <w:rFonts w:eastAsia="Times New Roman"/>
        </w:rPr>
        <w:t xml:space="preserve">information </w:t>
      </w:r>
      <w:r>
        <w:rPr>
          <w:rFonts w:eastAsia="Times New Roman"/>
        </w:rPr>
        <w:t xml:space="preserve">filed the same day </w:t>
      </w:r>
      <w:r w:rsidRPr="00573EFD">
        <w:rPr>
          <w:rFonts w:eastAsia="Times New Roman"/>
        </w:rPr>
        <w:t>in case No. 21CR000245 (“case C”) charg</w:t>
      </w:r>
      <w:r>
        <w:rPr>
          <w:rFonts w:eastAsia="Times New Roman"/>
        </w:rPr>
        <w:t>ed</w:t>
      </w:r>
      <w:r w:rsidRPr="00573EFD">
        <w:rPr>
          <w:rFonts w:eastAsia="Times New Roman"/>
        </w:rPr>
        <w:t xml:space="preserve"> Cofer with </w:t>
      </w:r>
      <w:r>
        <w:rPr>
          <w:rFonts w:eastAsia="Times New Roman"/>
        </w:rPr>
        <w:t>second degree</w:t>
      </w:r>
      <w:r w:rsidRPr="00573EFD">
        <w:rPr>
          <w:rFonts w:eastAsia="Times New Roman"/>
        </w:rPr>
        <w:t xml:space="preserve"> burglary (§ 459) and vandalism under $400 (§ 594, subd. (b)(2)(A)).  Th</w:t>
      </w:r>
      <w:r>
        <w:rPr>
          <w:rFonts w:eastAsia="Times New Roman"/>
        </w:rPr>
        <w:t>at</w:t>
      </w:r>
      <w:r w:rsidRPr="00573EFD">
        <w:rPr>
          <w:rFonts w:eastAsia="Times New Roman"/>
        </w:rPr>
        <w:t xml:space="preserve"> information also alleged a prior strike conviction.  (§§ 667, subds. (d), (e)(1), 1170.12, subd. (c)(1)</w:t>
      </w:r>
      <w:r w:rsidRPr="00573EFD">
        <w:rPr>
          <w:rFonts w:eastAsia="Times New Roman"/>
        </w:rPr>
        <w:t xml:space="preserve">.) </w:t>
      </w:r>
    </w:p>
    <w:p w14:paraId="56D079E1" w14:textId="77777777" w:rsidR="004864A9" w:rsidRPr="00573EFD" w:rsidRDefault="004864A9" w:rsidP="00573EFD">
      <w:pPr>
        <w:spacing w:line="480" w:lineRule="exact"/>
        <w:rPr>
          <w:rFonts w:eastAsia="Times New Roman"/>
        </w:rPr>
      </w:pPr>
      <w:r w:rsidRPr="00573EFD">
        <w:rPr>
          <w:rFonts w:eastAsia="Times New Roman"/>
        </w:rPr>
        <w:tab/>
      </w:r>
      <w:proofErr w:type="gramStart"/>
      <w:r>
        <w:rPr>
          <w:rFonts w:eastAsia="Times New Roman"/>
        </w:rPr>
        <w:t>Also</w:t>
      </w:r>
      <w:proofErr w:type="gramEnd"/>
      <w:r>
        <w:rPr>
          <w:rFonts w:eastAsia="Times New Roman"/>
        </w:rPr>
        <w:t xml:space="preserve"> that</w:t>
      </w:r>
      <w:r w:rsidRPr="00573EFD">
        <w:rPr>
          <w:rFonts w:eastAsia="Times New Roman"/>
        </w:rPr>
        <w:t xml:space="preserve"> day, Cofer was charged </w:t>
      </w:r>
      <w:r>
        <w:rPr>
          <w:rFonts w:eastAsia="Times New Roman"/>
        </w:rPr>
        <w:t>by</w:t>
      </w:r>
      <w:r w:rsidRPr="00573EFD">
        <w:rPr>
          <w:rFonts w:eastAsia="Times New Roman"/>
        </w:rPr>
        <w:t xml:space="preserve"> information in case No. 21CR001076 (“case</w:t>
      </w:r>
      <w:r>
        <w:rPr>
          <w:rFonts w:eastAsia="Times New Roman"/>
        </w:rPr>
        <w:t> </w:t>
      </w:r>
      <w:r w:rsidRPr="00573EFD">
        <w:rPr>
          <w:rFonts w:eastAsia="Times New Roman"/>
        </w:rPr>
        <w:t xml:space="preserve">D”) and case No. 21CR001243 (“case E”).  The information in case D charged him with </w:t>
      </w:r>
      <w:r>
        <w:rPr>
          <w:rFonts w:eastAsia="Times New Roman"/>
        </w:rPr>
        <w:t>second degree</w:t>
      </w:r>
      <w:r w:rsidRPr="00573EFD">
        <w:rPr>
          <w:rFonts w:eastAsia="Times New Roman"/>
        </w:rPr>
        <w:t xml:space="preserve"> burglary (§ 459); possession of burglar’s tools (§ 466); and possession of </w:t>
      </w:r>
      <w:r>
        <w:rPr>
          <w:rFonts w:eastAsia="Times New Roman"/>
        </w:rPr>
        <w:t>paraphernalia</w:t>
      </w:r>
      <w:r w:rsidRPr="00573EFD">
        <w:rPr>
          <w:rFonts w:eastAsia="Times New Roman"/>
        </w:rPr>
        <w:t xml:space="preserve"> (Health &amp; </w:t>
      </w:r>
      <w:proofErr w:type="spellStart"/>
      <w:r w:rsidRPr="00573EFD">
        <w:rPr>
          <w:rFonts w:eastAsia="Times New Roman"/>
        </w:rPr>
        <w:t>Saf</w:t>
      </w:r>
      <w:proofErr w:type="spellEnd"/>
      <w:r w:rsidRPr="00573EFD">
        <w:rPr>
          <w:rFonts w:eastAsia="Times New Roman"/>
        </w:rPr>
        <w:t>. Code § 11364, subd. (</w:t>
      </w:r>
      <w:proofErr w:type="gramStart"/>
      <w:r w:rsidRPr="00573EFD">
        <w:rPr>
          <w:rFonts w:eastAsia="Times New Roman"/>
        </w:rPr>
        <w:t>a))</w:t>
      </w:r>
      <w:proofErr w:type="gramEnd"/>
      <w:r w:rsidRPr="00573EFD">
        <w:rPr>
          <w:rFonts w:eastAsia="Times New Roman"/>
        </w:rPr>
        <w:t xml:space="preserve">.  The information in case D </w:t>
      </w:r>
      <w:r>
        <w:rPr>
          <w:rFonts w:eastAsia="Times New Roman"/>
        </w:rPr>
        <w:t>contained one</w:t>
      </w:r>
      <w:r w:rsidRPr="00573EFD">
        <w:rPr>
          <w:rFonts w:eastAsia="Times New Roman"/>
        </w:rPr>
        <w:t xml:space="preserve"> prior strike </w:t>
      </w:r>
      <w:r>
        <w:rPr>
          <w:rFonts w:eastAsia="Times New Roman"/>
        </w:rPr>
        <w:t>allegation</w:t>
      </w:r>
      <w:r w:rsidRPr="00573EFD">
        <w:rPr>
          <w:rFonts w:eastAsia="Times New Roman"/>
        </w:rPr>
        <w:t xml:space="preserve"> (§§ 667, subds. (d), (e)(1), 1170.12, subd.</w:t>
      </w:r>
      <w:r>
        <w:rPr>
          <w:rFonts w:eastAsia="Times New Roman"/>
        </w:rPr>
        <w:t> </w:t>
      </w:r>
      <w:r w:rsidRPr="00573EFD">
        <w:rPr>
          <w:rFonts w:eastAsia="Times New Roman"/>
        </w:rPr>
        <w:t xml:space="preserve">(c)(1)) </w:t>
      </w:r>
      <w:r>
        <w:rPr>
          <w:rFonts w:eastAsia="Times New Roman"/>
        </w:rPr>
        <w:t>and</w:t>
      </w:r>
      <w:r w:rsidRPr="00573EFD">
        <w:rPr>
          <w:rFonts w:eastAsia="Times New Roman"/>
        </w:rPr>
        <w:t xml:space="preserve"> alleg</w:t>
      </w:r>
      <w:r>
        <w:rPr>
          <w:rFonts w:eastAsia="Times New Roman"/>
        </w:rPr>
        <w:t>ed</w:t>
      </w:r>
      <w:r w:rsidRPr="00573EFD">
        <w:rPr>
          <w:rFonts w:eastAsia="Times New Roman"/>
        </w:rPr>
        <w:t xml:space="preserve"> that Cofer </w:t>
      </w:r>
      <w:r>
        <w:rPr>
          <w:rFonts w:eastAsia="Times New Roman"/>
        </w:rPr>
        <w:t>c</w:t>
      </w:r>
      <w:r w:rsidRPr="00573EFD">
        <w:rPr>
          <w:rFonts w:eastAsia="Times New Roman"/>
        </w:rPr>
        <w:t xml:space="preserve">ommitted the </w:t>
      </w:r>
      <w:r>
        <w:rPr>
          <w:rFonts w:eastAsia="Times New Roman"/>
        </w:rPr>
        <w:t xml:space="preserve">charged </w:t>
      </w:r>
      <w:r w:rsidRPr="00573EFD">
        <w:rPr>
          <w:rFonts w:eastAsia="Times New Roman"/>
        </w:rPr>
        <w:t>offense</w:t>
      </w:r>
      <w:r>
        <w:rPr>
          <w:rFonts w:eastAsia="Times New Roman"/>
        </w:rPr>
        <w:t>s</w:t>
      </w:r>
      <w:r w:rsidRPr="00573EFD">
        <w:rPr>
          <w:rFonts w:eastAsia="Times New Roman"/>
        </w:rPr>
        <w:t xml:space="preserve"> while released on bail or </w:t>
      </w:r>
      <w:r>
        <w:rPr>
          <w:rFonts w:eastAsia="Times New Roman"/>
        </w:rPr>
        <w:t xml:space="preserve">his </w:t>
      </w:r>
      <w:r w:rsidRPr="00573EFD">
        <w:rPr>
          <w:rFonts w:eastAsia="Times New Roman"/>
        </w:rPr>
        <w:t>own recognizance (§ 12022.1, subd. (</w:t>
      </w:r>
      <w:proofErr w:type="gramStart"/>
      <w:r w:rsidRPr="00573EFD">
        <w:rPr>
          <w:rFonts w:eastAsia="Times New Roman"/>
        </w:rPr>
        <w:t>d)</w:t>
      </w:r>
      <w:r>
        <w:rPr>
          <w:rFonts w:eastAsia="Times New Roman"/>
        </w:rPr>
        <w:t>)</w:t>
      </w:r>
      <w:proofErr w:type="gramEnd"/>
      <w:r w:rsidRPr="00573EFD">
        <w:rPr>
          <w:rFonts w:eastAsia="Times New Roman"/>
        </w:rPr>
        <w:t xml:space="preserve">.  The information in case E charged Cofer with second degree burglary (§ 459), and it also alleged </w:t>
      </w:r>
      <w:r>
        <w:rPr>
          <w:rFonts w:eastAsia="Times New Roman"/>
        </w:rPr>
        <w:t>a prior</w:t>
      </w:r>
      <w:r w:rsidRPr="00573EFD">
        <w:rPr>
          <w:rFonts w:eastAsia="Times New Roman"/>
        </w:rPr>
        <w:t xml:space="preserve"> strike.  (§§</w:t>
      </w:r>
      <w:r>
        <w:rPr>
          <w:rFonts w:eastAsia="Times New Roman"/>
        </w:rPr>
        <w:t> </w:t>
      </w:r>
      <w:r w:rsidRPr="00573EFD">
        <w:rPr>
          <w:rFonts w:eastAsia="Times New Roman"/>
        </w:rPr>
        <w:t xml:space="preserve">667, subds. (d), (e)(1), 1170.12, subd. (c)(1).) </w:t>
      </w:r>
    </w:p>
    <w:p w14:paraId="16E08F1F" w14:textId="77777777" w:rsidR="004864A9" w:rsidRPr="00573EFD" w:rsidRDefault="004864A9" w:rsidP="00573EFD">
      <w:pPr>
        <w:spacing w:line="480" w:lineRule="exact"/>
        <w:rPr>
          <w:rFonts w:eastAsia="Times New Roman"/>
        </w:rPr>
      </w:pPr>
      <w:r w:rsidRPr="00573EFD">
        <w:rPr>
          <w:rFonts w:eastAsia="Times New Roman"/>
        </w:rPr>
        <w:tab/>
        <w:t>Cofer resolved all five cases by plea agreement</w:t>
      </w:r>
      <w:r>
        <w:rPr>
          <w:rFonts w:eastAsia="Times New Roman"/>
        </w:rPr>
        <w:t xml:space="preserve"> some ten months later</w:t>
      </w:r>
      <w:r w:rsidRPr="00573EFD">
        <w:rPr>
          <w:rFonts w:eastAsia="Times New Roman"/>
        </w:rPr>
        <w:t>.</w:t>
      </w:r>
      <w:r>
        <w:rPr>
          <w:rStyle w:val="FootnoteReference"/>
          <w:rFonts w:eastAsia="Times New Roman"/>
        </w:rPr>
        <w:footnoteReference w:id="2"/>
      </w:r>
      <w:r w:rsidRPr="00573EFD">
        <w:rPr>
          <w:rFonts w:eastAsia="Times New Roman"/>
        </w:rPr>
        <w:t xml:space="preserve">  </w:t>
      </w:r>
      <w:r>
        <w:rPr>
          <w:rFonts w:eastAsia="Times New Roman"/>
        </w:rPr>
        <w:t xml:space="preserve">Consistent with the parties’ agreement, </w:t>
      </w:r>
      <w:r w:rsidRPr="00573EFD">
        <w:rPr>
          <w:rFonts w:eastAsia="Times New Roman"/>
        </w:rPr>
        <w:t xml:space="preserve">the trial court sentenced Cofer to </w:t>
      </w:r>
      <w:r>
        <w:rPr>
          <w:rFonts w:eastAsia="Times New Roman"/>
        </w:rPr>
        <w:t>a</w:t>
      </w:r>
      <w:r w:rsidRPr="00573EFD">
        <w:rPr>
          <w:rFonts w:eastAsia="Times New Roman"/>
        </w:rPr>
        <w:t xml:space="preserve"> six-year term </w:t>
      </w:r>
      <w:r w:rsidRPr="00573EFD">
        <w:rPr>
          <w:rFonts w:eastAsia="Times New Roman"/>
        </w:rPr>
        <w:lastRenderedPageBreak/>
        <w:t xml:space="preserve">in case B and </w:t>
      </w:r>
      <w:r>
        <w:rPr>
          <w:rFonts w:eastAsia="Times New Roman"/>
        </w:rPr>
        <w:t>concurrent</w:t>
      </w:r>
      <w:r w:rsidRPr="00573EFD">
        <w:rPr>
          <w:rFonts w:eastAsia="Times New Roman"/>
        </w:rPr>
        <w:t xml:space="preserve"> terms in the </w:t>
      </w:r>
      <w:r>
        <w:rPr>
          <w:rFonts w:eastAsia="Times New Roman"/>
        </w:rPr>
        <w:t xml:space="preserve">other </w:t>
      </w:r>
      <w:r w:rsidRPr="00573EFD">
        <w:rPr>
          <w:rFonts w:eastAsia="Times New Roman"/>
        </w:rPr>
        <w:t xml:space="preserve">cases.  In case A, the court awarded </w:t>
      </w:r>
      <w:r>
        <w:rPr>
          <w:rFonts w:eastAsia="Times New Roman"/>
        </w:rPr>
        <w:t xml:space="preserve">presentence custody credits of </w:t>
      </w:r>
      <w:r w:rsidRPr="00573EFD">
        <w:rPr>
          <w:rFonts w:eastAsia="Times New Roman"/>
        </w:rPr>
        <w:t xml:space="preserve">66 </w:t>
      </w:r>
      <w:r>
        <w:rPr>
          <w:rFonts w:eastAsia="Times New Roman"/>
        </w:rPr>
        <w:t xml:space="preserve">actual custody </w:t>
      </w:r>
      <w:r w:rsidRPr="00573EFD">
        <w:rPr>
          <w:rFonts w:eastAsia="Times New Roman"/>
        </w:rPr>
        <w:t xml:space="preserve">days and 66 days conduct credit; in case B, the court awarded 21 days of </w:t>
      </w:r>
      <w:r>
        <w:rPr>
          <w:rFonts w:eastAsia="Times New Roman"/>
        </w:rPr>
        <w:t xml:space="preserve">actual </w:t>
      </w:r>
      <w:r w:rsidRPr="00573EFD">
        <w:rPr>
          <w:rFonts w:eastAsia="Times New Roman"/>
        </w:rPr>
        <w:t xml:space="preserve">custody and 20 days conduct credit; in case C, the court awarded 225 </w:t>
      </w:r>
      <w:r>
        <w:rPr>
          <w:rFonts w:eastAsia="Times New Roman"/>
        </w:rPr>
        <w:t xml:space="preserve">days of actual </w:t>
      </w:r>
      <w:r w:rsidRPr="00573EFD">
        <w:rPr>
          <w:rFonts w:eastAsia="Times New Roman"/>
        </w:rPr>
        <w:t xml:space="preserve">custody and 224 </w:t>
      </w:r>
      <w:r>
        <w:rPr>
          <w:rFonts w:eastAsia="Times New Roman"/>
        </w:rPr>
        <w:t xml:space="preserve">days </w:t>
      </w:r>
      <w:r w:rsidRPr="00573EFD">
        <w:rPr>
          <w:rFonts w:eastAsia="Times New Roman"/>
        </w:rPr>
        <w:t xml:space="preserve">conduct credit; in cases D and E, the court </w:t>
      </w:r>
      <w:r>
        <w:rPr>
          <w:rFonts w:eastAsia="Times New Roman"/>
        </w:rPr>
        <w:t>deemed the sentences served with</w:t>
      </w:r>
      <w:r w:rsidRPr="00573EFD">
        <w:rPr>
          <w:rFonts w:eastAsia="Times New Roman"/>
        </w:rPr>
        <w:t xml:space="preserve"> 183 </w:t>
      </w:r>
      <w:r>
        <w:rPr>
          <w:rFonts w:eastAsia="Times New Roman"/>
        </w:rPr>
        <w:t xml:space="preserve">days of actual </w:t>
      </w:r>
      <w:r w:rsidRPr="00573EFD">
        <w:rPr>
          <w:rFonts w:eastAsia="Times New Roman"/>
        </w:rPr>
        <w:t xml:space="preserve">custody </w:t>
      </w:r>
      <w:r w:rsidRPr="00573EFD">
        <w:rPr>
          <w:rFonts w:eastAsia="Times New Roman"/>
        </w:rPr>
        <w:t xml:space="preserve">and 182 </w:t>
      </w:r>
      <w:r>
        <w:rPr>
          <w:rFonts w:eastAsia="Times New Roman"/>
        </w:rPr>
        <w:t xml:space="preserve">days </w:t>
      </w:r>
      <w:r w:rsidRPr="00573EFD">
        <w:rPr>
          <w:rFonts w:eastAsia="Times New Roman"/>
        </w:rPr>
        <w:t>conduct credit in each</w:t>
      </w:r>
      <w:r>
        <w:rPr>
          <w:rFonts w:eastAsia="Times New Roman"/>
        </w:rPr>
        <w:t>.</w:t>
      </w:r>
    </w:p>
    <w:p w14:paraId="3FDF5EB2" w14:textId="77777777" w:rsidR="004864A9" w:rsidRPr="00573EFD" w:rsidRDefault="004864A9" w:rsidP="00573EFD">
      <w:pPr>
        <w:spacing w:line="480" w:lineRule="exact"/>
        <w:rPr>
          <w:rFonts w:eastAsia="Times New Roman"/>
        </w:rPr>
      </w:pPr>
      <w:r w:rsidRPr="00573EFD">
        <w:rPr>
          <w:rFonts w:eastAsia="Times New Roman"/>
        </w:rPr>
        <w:tab/>
        <w:t xml:space="preserve">Cofer filed a timely notice of appeal, and the trial court granted a certificate of probable cause to challenge </w:t>
      </w:r>
      <w:r>
        <w:rPr>
          <w:rFonts w:eastAsia="Times New Roman"/>
        </w:rPr>
        <w:t>the calculation of presentence</w:t>
      </w:r>
      <w:r w:rsidRPr="00573EFD">
        <w:rPr>
          <w:rFonts w:eastAsia="Times New Roman"/>
        </w:rPr>
        <w:t xml:space="preserve"> custody credits. </w:t>
      </w:r>
      <w:r>
        <w:rPr>
          <w:rFonts w:eastAsia="Times New Roman"/>
        </w:rPr>
        <w:t xml:space="preserve"> Cofer then moved </w:t>
      </w:r>
      <w:proofErr w:type="gramStart"/>
      <w:r>
        <w:rPr>
          <w:rFonts w:eastAsia="Times New Roman"/>
        </w:rPr>
        <w:t>in</w:t>
      </w:r>
      <w:proofErr w:type="gramEnd"/>
      <w:r>
        <w:rPr>
          <w:rFonts w:eastAsia="Times New Roman"/>
        </w:rPr>
        <w:t xml:space="preserve"> the trial court under section 1237.1 to correct his presentence credits.</w:t>
      </w:r>
      <w:r w:rsidRPr="00573EFD">
        <w:rPr>
          <w:rFonts w:eastAsia="Times New Roman"/>
        </w:rPr>
        <w:t xml:space="preserve"> </w:t>
      </w:r>
      <w:r>
        <w:rPr>
          <w:rFonts w:eastAsia="Times New Roman"/>
        </w:rPr>
        <w:t xml:space="preserve"> </w:t>
      </w:r>
      <w:r w:rsidRPr="00573EFD">
        <w:rPr>
          <w:rFonts w:eastAsia="Times New Roman"/>
        </w:rPr>
        <w:t xml:space="preserve">Cofer provided information with the section 12371.1 motion as to his custody status in each of </w:t>
      </w:r>
      <w:r>
        <w:rPr>
          <w:rFonts w:eastAsia="Times New Roman"/>
        </w:rPr>
        <w:t xml:space="preserve">the </w:t>
      </w:r>
      <w:r w:rsidRPr="00573EFD">
        <w:rPr>
          <w:rFonts w:eastAsia="Times New Roman"/>
        </w:rPr>
        <w:t>five cases</w:t>
      </w:r>
      <w:r>
        <w:rPr>
          <w:rFonts w:eastAsia="Times New Roman"/>
        </w:rPr>
        <w:t>:</w:t>
      </w:r>
    </w:p>
    <w:p w14:paraId="7740A29C" w14:textId="77777777" w:rsidR="004864A9" w:rsidRPr="00573EFD" w:rsidRDefault="004864A9" w:rsidP="00573EFD">
      <w:pPr>
        <w:spacing w:line="480" w:lineRule="exact"/>
        <w:rPr>
          <w:rFonts w:eastAsia="Times New Roman"/>
        </w:rPr>
      </w:pPr>
      <w:r w:rsidRPr="00573EFD">
        <w:rPr>
          <w:rFonts w:eastAsia="Times New Roman"/>
        </w:rPr>
        <w:tab/>
        <w:t xml:space="preserve">In case A, Cofer was arrested on September 27, 2020, and remained in custody until November 10, 2020, when he posted bail and was released.  </w:t>
      </w:r>
      <w:r>
        <w:rPr>
          <w:rFonts w:eastAsia="Times New Roman"/>
        </w:rPr>
        <w:t>H</w:t>
      </w:r>
      <w:r w:rsidRPr="00573EFD">
        <w:rPr>
          <w:rFonts w:eastAsia="Times New Roman"/>
        </w:rPr>
        <w:t xml:space="preserve">e was in </w:t>
      </w:r>
      <w:r>
        <w:rPr>
          <w:rFonts w:eastAsia="Times New Roman"/>
        </w:rPr>
        <w:t>custody on the</w:t>
      </w:r>
      <w:r w:rsidRPr="00573EFD">
        <w:rPr>
          <w:rFonts w:eastAsia="Times New Roman"/>
        </w:rPr>
        <w:t xml:space="preserve"> new charges brought in cases B and C</w:t>
      </w:r>
      <w:r w:rsidRPr="00C279C9">
        <w:rPr>
          <w:rFonts w:eastAsia="Times New Roman"/>
        </w:rPr>
        <w:t xml:space="preserve"> </w:t>
      </w:r>
      <w:r>
        <w:rPr>
          <w:rFonts w:eastAsia="Times New Roman"/>
        </w:rPr>
        <w:t>f</w:t>
      </w:r>
      <w:r w:rsidRPr="00573EFD">
        <w:rPr>
          <w:rFonts w:eastAsia="Times New Roman"/>
        </w:rPr>
        <w:t>rom January 12 to January 18, 2021</w:t>
      </w:r>
      <w:r w:rsidRPr="00573EFD">
        <w:rPr>
          <w:rFonts w:eastAsia="Times New Roman"/>
        </w:rPr>
        <w:t xml:space="preserve">.  </w:t>
      </w:r>
      <w:r>
        <w:rPr>
          <w:rFonts w:eastAsia="Times New Roman"/>
        </w:rPr>
        <w:t>When Cofer</w:t>
      </w:r>
      <w:r w:rsidRPr="00573EFD">
        <w:rPr>
          <w:rFonts w:eastAsia="Times New Roman"/>
        </w:rPr>
        <w:t xml:space="preserve"> was released on his own recognizance in </w:t>
      </w:r>
      <w:r>
        <w:rPr>
          <w:rFonts w:eastAsia="Times New Roman"/>
        </w:rPr>
        <w:t xml:space="preserve">those </w:t>
      </w:r>
      <w:r w:rsidRPr="00573EFD">
        <w:rPr>
          <w:rFonts w:eastAsia="Times New Roman"/>
        </w:rPr>
        <w:t>cases</w:t>
      </w:r>
      <w:r>
        <w:rPr>
          <w:rFonts w:eastAsia="Times New Roman"/>
        </w:rPr>
        <w:t>, the</w:t>
      </w:r>
      <w:r w:rsidRPr="00573EFD">
        <w:rPr>
          <w:rFonts w:eastAsia="Times New Roman"/>
        </w:rPr>
        <w:t xml:space="preserve"> </w:t>
      </w:r>
      <w:r w:rsidRPr="00573EFD">
        <w:rPr>
          <w:rFonts w:eastAsia="Times New Roman"/>
        </w:rPr>
        <w:t xml:space="preserve">court did not revoke </w:t>
      </w:r>
      <w:r>
        <w:rPr>
          <w:rFonts w:eastAsia="Times New Roman"/>
        </w:rPr>
        <w:t xml:space="preserve">his </w:t>
      </w:r>
      <w:r w:rsidRPr="00573EFD">
        <w:rPr>
          <w:rFonts w:eastAsia="Times New Roman"/>
        </w:rPr>
        <w:t xml:space="preserve">bail in case A. </w:t>
      </w:r>
      <w:r w:rsidRPr="00573EFD">
        <w:rPr>
          <w:rFonts w:eastAsia="Times New Roman"/>
        </w:rPr>
        <w:t xml:space="preserve"> On February 13, 2021, he was arrested and remanded </w:t>
      </w:r>
      <w:r>
        <w:rPr>
          <w:rFonts w:eastAsia="Times New Roman"/>
        </w:rPr>
        <w:t>i</w:t>
      </w:r>
      <w:r w:rsidRPr="00573EFD">
        <w:rPr>
          <w:rFonts w:eastAsia="Times New Roman"/>
        </w:rPr>
        <w:t>n cases D and E</w:t>
      </w:r>
      <w:r>
        <w:rPr>
          <w:rFonts w:eastAsia="Times New Roman"/>
        </w:rPr>
        <w:t>.  While in custody in cases D and E, he remained technically out of custody in cases A, B, and C.</w:t>
      </w:r>
      <w:r>
        <w:rPr>
          <w:rFonts w:eastAsia="Times New Roman"/>
        </w:rPr>
        <w:t xml:space="preserve">  On A</w:t>
      </w:r>
      <w:r w:rsidRPr="00573EFD">
        <w:rPr>
          <w:rFonts w:eastAsia="Times New Roman"/>
        </w:rPr>
        <w:t>ugust 18, 2021, the court revoked Cofer’s bail status</w:t>
      </w:r>
      <w:r>
        <w:rPr>
          <w:rFonts w:eastAsia="Times New Roman"/>
        </w:rPr>
        <w:t xml:space="preserve"> </w:t>
      </w:r>
      <w:r w:rsidRPr="00573EFD">
        <w:rPr>
          <w:rFonts w:eastAsia="Times New Roman"/>
        </w:rPr>
        <w:t>in cases</w:t>
      </w:r>
      <w:r>
        <w:rPr>
          <w:rFonts w:eastAsia="Times New Roman"/>
        </w:rPr>
        <w:t xml:space="preserve"> A,</w:t>
      </w:r>
      <w:r w:rsidRPr="00573EFD">
        <w:rPr>
          <w:rFonts w:eastAsia="Times New Roman"/>
        </w:rPr>
        <w:t xml:space="preserve"> B</w:t>
      </w:r>
      <w:r>
        <w:rPr>
          <w:rFonts w:eastAsia="Times New Roman"/>
        </w:rPr>
        <w:t>,</w:t>
      </w:r>
      <w:r w:rsidRPr="00573EFD">
        <w:rPr>
          <w:rFonts w:eastAsia="Times New Roman"/>
        </w:rPr>
        <w:t xml:space="preserve"> and C</w:t>
      </w:r>
      <w:r>
        <w:rPr>
          <w:rFonts w:eastAsia="Times New Roman"/>
        </w:rPr>
        <w:t xml:space="preserve"> when it remanded him for a competency evaluation</w:t>
      </w:r>
      <w:r w:rsidRPr="00573EFD">
        <w:rPr>
          <w:rFonts w:eastAsia="Times New Roman"/>
        </w:rPr>
        <w:t>.  On September 1, 2021, the court found him competent to stand trial, discharged the bail bond, and released Cofer on</w:t>
      </w:r>
      <w:r w:rsidRPr="00573EFD">
        <w:rPr>
          <w:rFonts w:eastAsia="Times New Roman"/>
        </w:rPr>
        <w:t xml:space="preserve"> his </w:t>
      </w:r>
      <w:r w:rsidRPr="00573EFD">
        <w:rPr>
          <w:rFonts w:eastAsia="Times New Roman"/>
        </w:rPr>
        <w:lastRenderedPageBreak/>
        <w:t xml:space="preserve">own recognizance in cases A and B, but ordered him to remain in custody in cases C, D, and E.  On March 25, 2022, the trial court remanded Cofer in cases A and B pending sentencing, and on March 30, 2022, the court sentenced him </w:t>
      </w:r>
      <w:r>
        <w:rPr>
          <w:rFonts w:eastAsia="Times New Roman"/>
        </w:rPr>
        <w:t>i</w:t>
      </w:r>
      <w:r w:rsidRPr="00573EFD">
        <w:rPr>
          <w:rFonts w:eastAsia="Times New Roman"/>
        </w:rPr>
        <w:t xml:space="preserve">n all five cases. </w:t>
      </w:r>
    </w:p>
    <w:p w14:paraId="05AB339C" w14:textId="77777777" w:rsidR="004864A9" w:rsidRPr="00573EFD" w:rsidRDefault="004864A9" w:rsidP="00573EFD">
      <w:pPr>
        <w:spacing w:line="480" w:lineRule="exact"/>
        <w:rPr>
          <w:rFonts w:eastAsia="Times New Roman"/>
        </w:rPr>
      </w:pPr>
      <w:r w:rsidRPr="00573EFD">
        <w:rPr>
          <w:rFonts w:eastAsia="Times New Roman"/>
        </w:rPr>
        <w:tab/>
        <w:t xml:space="preserve">In </w:t>
      </w:r>
      <w:r>
        <w:rPr>
          <w:rFonts w:eastAsia="Times New Roman"/>
        </w:rPr>
        <w:t>his section 1237.1</w:t>
      </w:r>
      <w:r w:rsidRPr="00573EFD">
        <w:rPr>
          <w:rFonts w:eastAsia="Times New Roman"/>
        </w:rPr>
        <w:t xml:space="preserve"> motion, Cofer requested an award of dual presentence credit for the time that he was on bail </w:t>
      </w:r>
      <w:r>
        <w:rPr>
          <w:rFonts w:eastAsia="Times New Roman"/>
        </w:rPr>
        <w:t>or</w:t>
      </w:r>
      <w:r w:rsidRPr="00573EFD">
        <w:rPr>
          <w:rFonts w:eastAsia="Times New Roman"/>
        </w:rPr>
        <w:t xml:space="preserve"> on his own recognizance in cases A, B, and C while simultaneously in custody on cases D and E.  He also </w:t>
      </w:r>
      <w:r>
        <w:rPr>
          <w:rFonts w:eastAsia="Times New Roman"/>
        </w:rPr>
        <w:t xml:space="preserve">asked that any presentence credits </w:t>
      </w:r>
      <w:proofErr w:type="gramStart"/>
      <w:r>
        <w:rPr>
          <w:rFonts w:eastAsia="Times New Roman"/>
        </w:rPr>
        <w:t>in excess of</w:t>
      </w:r>
      <w:proofErr w:type="gramEnd"/>
      <w:r>
        <w:rPr>
          <w:rFonts w:eastAsia="Times New Roman"/>
        </w:rPr>
        <w:t xml:space="preserve"> the one-year sentences deemed served in the misdemeanor </w:t>
      </w:r>
      <w:r w:rsidRPr="00573EFD">
        <w:rPr>
          <w:rFonts w:eastAsia="Times New Roman"/>
        </w:rPr>
        <w:t xml:space="preserve">cases D and E be applied “to another case.”  </w:t>
      </w:r>
    </w:p>
    <w:p w14:paraId="13E7A1BF" w14:textId="77777777" w:rsidR="004864A9" w:rsidRPr="00573EFD" w:rsidRDefault="004864A9" w:rsidP="00573EFD">
      <w:pPr>
        <w:spacing w:line="480" w:lineRule="exact"/>
        <w:rPr>
          <w:rFonts w:eastAsia="Times New Roman"/>
        </w:rPr>
      </w:pPr>
      <w:r w:rsidRPr="00573EFD">
        <w:rPr>
          <w:rFonts w:eastAsia="Times New Roman"/>
        </w:rPr>
        <w:tab/>
      </w:r>
      <w:r>
        <w:rPr>
          <w:rFonts w:eastAsia="Times New Roman"/>
        </w:rPr>
        <w:t>T</w:t>
      </w:r>
      <w:r w:rsidRPr="00573EFD">
        <w:rPr>
          <w:rFonts w:eastAsia="Times New Roman"/>
        </w:rPr>
        <w:t xml:space="preserve">he trial court denied the request for dual presentence credits, ruling that under </w:t>
      </w:r>
      <w:r w:rsidRPr="00573EFD">
        <w:rPr>
          <w:rFonts w:eastAsia="Times New Roman"/>
          <w:i/>
          <w:iCs/>
        </w:rPr>
        <w:t>Jacobs</w:t>
      </w:r>
      <w:r w:rsidRPr="00573EFD">
        <w:rPr>
          <w:rFonts w:eastAsia="Times New Roman"/>
        </w:rPr>
        <w:t xml:space="preserve">, Cofer was not entitled to dual credits for cases </w:t>
      </w:r>
      <w:r>
        <w:rPr>
          <w:rFonts w:eastAsia="Times New Roman"/>
        </w:rPr>
        <w:t>where</w:t>
      </w:r>
      <w:r w:rsidRPr="00573EFD">
        <w:rPr>
          <w:rFonts w:eastAsia="Times New Roman"/>
        </w:rPr>
        <w:t xml:space="preserve"> he remained on bail or on his own recognizance while in presentence custody </w:t>
      </w:r>
      <w:r>
        <w:rPr>
          <w:rFonts w:eastAsia="Times New Roman"/>
        </w:rPr>
        <w:t>i</w:t>
      </w:r>
      <w:r w:rsidRPr="00573EFD">
        <w:rPr>
          <w:rFonts w:eastAsia="Times New Roman"/>
        </w:rPr>
        <w:t xml:space="preserve">n other cases.  </w:t>
      </w:r>
      <w:r>
        <w:rPr>
          <w:rFonts w:eastAsia="Times New Roman"/>
        </w:rPr>
        <w:t>The trial court</w:t>
      </w:r>
      <w:r w:rsidRPr="00573EFD">
        <w:rPr>
          <w:rFonts w:eastAsia="Times New Roman"/>
        </w:rPr>
        <w:t xml:space="preserve"> awarded 15 additional days in case C and an additional 15 days in case B based on its interpretation of</w:t>
      </w:r>
      <w:r>
        <w:rPr>
          <w:rFonts w:eastAsia="Times New Roman"/>
        </w:rPr>
        <w:t xml:space="preserve"> the</w:t>
      </w:r>
      <w:r w:rsidRPr="00573EFD">
        <w:rPr>
          <w:rFonts w:eastAsia="Times New Roman"/>
        </w:rPr>
        <w:t xml:space="preserve"> records</w:t>
      </w:r>
      <w:r>
        <w:rPr>
          <w:rFonts w:eastAsia="Times New Roman"/>
        </w:rPr>
        <w:t xml:space="preserve"> Cofer</w:t>
      </w:r>
      <w:r w:rsidRPr="00573EFD">
        <w:rPr>
          <w:rFonts w:eastAsia="Times New Roman"/>
        </w:rPr>
        <w:t xml:space="preserve"> submitted in support of the motion.  The court denied Cofer’s request to reduce his term of imprisonment with the credits </w:t>
      </w:r>
      <w:r>
        <w:rPr>
          <w:rFonts w:eastAsia="Times New Roman"/>
        </w:rPr>
        <w:t>exceeding one</w:t>
      </w:r>
      <w:r>
        <w:rPr>
          <w:rFonts w:eastAsia="Times New Roman"/>
        </w:rPr>
        <w:t xml:space="preserve"> year in</w:t>
      </w:r>
      <w:r w:rsidRPr="00573EFD">
        <w:rPr>
          <w:rFonts w:eastAsia="Times New Roman"/>
        </w:rPr>
        <w:t xml:space="preserve"> cases D and E. </w:t>
      </w:r>
    </w:p>
    <w:p w14:paraId="3834C719" w14:textId="77777777" w:rsidR="004864A9" w:rsidRDefault="004864A9" w:rsidP="00573EFD">
      <w:pPr>
        <w:pStyle w:val="Heading1"/>
        <w:rPr>
          <w:lang w:bidi="en-US"/>
        </w:rPr>
      </w:pPr>
      <w:r>
        <w:rPr>
          <w:lang w:bidi="en-US"/>
        </w:rPr>
        <w:t>Discussion</w:t>
      </w:r>
    </w:p>
    <w:p w14:paraId="5BC6D216" w14:textId="77777777" w:rsidR="004864A9" w:rsidRDefault="004864A9" w:rsidP="00573EFD">
      <w:pPr>
        <w:spacing w:line="480" w:lineRule="exact"/>
        <w:rPr>
          <w:lang w:bidi="en-US"/>
        </w:rPr>
      </w:pPr>
      <w:r>
        <w:rPr>
          <w:lang w:bidi="en-US"/>
        </w:rPr>
        <w:tab/>
      </w:r>
      <w:bookmarkStart w:id="0" w:name="_Hlk156896977"/>
      <w:r>
        <w:rPr>
          <w:lang w:bidi="en-US"/>
        </w:rPr>
        <w:t>Section 2900.5, subdivision (a) provides in relevant part that in “</w:t>
      </w:r>
      <w:r w:rsidRPr="00A41A16">
        <w:rPr>
          <w:lang w:bidi="en-US"/>
        </w:rPr>
        <w:t>all felony and misdemeanor convictions</w:t>
      </w:r>
      <w:r>
        <w:rPr>
          <w:lang w:bidi="en-US"/>
        </w:rPr>
        <w:t> ... </w:t>
      </w:r>
      <w:r w:rsidRPr="00A41A16">
        <w:rPr>
          <w:lang w:bidi="en-US"/>
        </w:rPr>
        <w:t>when the defendant has been in custody, including, but not limited to, any time spent in a jail</w:t>
      </w:r>
      <w:r>
        <w:rPr>
          <w:lang w:bidi="en-US"/>
        </w:rPr>
        <w:t> ... </w:t>
      </w:r>
      <w:r w:rsidRPr="00A41A16">
        <w:rPr>
          <w:lang w:bidi="en-US"/>
        </w:rPr>
        <w:t>all days of custody of the defendant</w:t>
      </w:r>
      <w:r>
        <w:rPr>
          <w:lang w:bidi="en-US"/>
        </w:rPr>
        <w:t>, including days ... </w:t>
      </w:r>
      <w:r w:rsidRPr="00A41A16">
        <w:rPr>
          <w:lang w:bidi="en-US"/>
        </w:rPr>
        <w:t>credited to the period of confinement pursuant to Section 4019</w:t>
      </w:r>
      <w:r>
        <w:rPr>
          <w:lang w:bidi="en-US"/>
        </w:rPr>
        <w:t> ... </w:t>
      </w:r>
      <w:r w:rsidRPr="00A41A16">
        <w:rPr>
          <w:lang w:bidi="en-US"/>
        </w:rPr>
        <w:t xml:space="preserve">shall be credited upon his or her term of imprisonment.”  </w:t>
      </w:r>
      <w:r>
        <w:rPr>
          <w:lang w:bidi="en-US"/>
        </w:rPr>
        <w:t>Section 2900.5, subdivision (b) states</w:t>
      </w:r>
      <w:proofErr w:type="gramStart"/>
      <w:r>
        <w:rPr>
          <w:lang w:bidi="en-US"/>
        </w:rPr>
        <w:t>:  “</w:t>
      </w:r>
      <w:proofErr w:type="gramEnd"/>
      <w:r w:rsidRPr="00A41A16">
        <w:rPr>
          <w:lang w:bidi="en-US"/>
        </w:rPr>
        <w:t>For the purposes of this section, credit shall be given only where the custody</w:t>
      </w:r>
      <w:r w:rsidRPr="00A41A16">
        <w:rPr>
          <w:lang w:bidi="en-US"/>
        </w:rPr>
        <w:t xml:space="preserve"> to be credited is attributable to proceedings related to the same conduct for which the defendant has been convicted. </w:t>
      </w:r>
      <w:r>
        <w:rPr>
          <w:lang w:bidi="en-US"/>
        </w:rPr>
        <w:t xml:space="preserve"> </w:t>
      </w:r>
      <w:r w:rsidRPr="00A41A16">
        <w:rPr>
          <w:lang w:bidi="en-US"/>
        </w:rPr>
        <w:t>Credit shall be given only once for a single period of custody attributable to multiple offenses for which a consecutive sentence is imposed.</w:t>
      </w:r>
      <w:r>
        <w:rPr>
          <w:lang w:bidi="en-US"/>
        </w:rPr>
        <w:t>”</w:t>
      </w:r>
      <w:r>
        <w:rPr>
          <w:lang w:bidi="en-US"/>
        </w:rPr>
        <w:t xml:space="preserve">  </w:t>
      </w:r>
      <w:bookmarkEnd w:id="0"/>
      <w:r>
        <w:rPr>
          <w:lang w:bidi="en-US"/>
        </w:rPr>
        <w:t xml:space="preserve">Applying that statute to defendant’s case is a question of statutory </w:t>
      </w:r>
      <w:r>
        <w:rPr>
          <w:lang w:bidi="en-US"/>
        </w:rPr>
        <w:t>interpretation that we review de novo</w:t>
      </w:r>
      <w:r>
        <w:rPr>
          <w:lang w:bidi="en-US"/>
        </w:rPr>
        <w:t>.</w:t>
      </w:r>
      <w:r>
        <w:rPr>
          <w:lang w:bidi="en-US"/>
        </w:rPr>
        <w:t xml:space="preserve">  (</w:t>
      </w:r>
      <w:r w:rsidRPr="00425319">
        <w:rPr>
          <w:i/>
          <w:iCs/>
          <w:lang w:bidi="en-US"/>
        </w:rPr>
        <w:t>People v. Gonzalez</w:t>
      </w:r>
      <w:r w:rsidRPr="00425319">
        <w:rPr>
          <w:lang w:bidi="en-US"/>
        </w:rPr>
        <w:t xml:space="preserve"> (2017) 2 Cal.5th 1138, 1141</w:t>
      </w:r>
      <w:r>
        <w:rPr>
          <w:lang w:bidi="en-US"/>
        </w:rPr>
        <w:t>.)</w:t>
      </w:r>
    </w:p>
    <w:p w14:paraId="7576852F" w14:textId="77777777" w:rsidR="004864A9" w:rsidRPr="00435EC9" w:rsidRDefault="004864A9" w:rsidP="00425319">
      <w:pPr>
        <w:pStyle w:val="Heading2"/>
        <w:rPr>
          <w:lang w:bidi="en-US"/>
        </w:rPr>
      </w:pPr>
      <w:r>
        <w:rPr>
          <w:lang w:bidi="en-US"/>
        </w:rPr>
        <w:lastRenderedPageBreak/>
        <w:t>Supreme Court Authorities</w:t>
      </w:r>
    </w:p>
    <w:p w14:paraId="5EE04B31" w14:textId="77777777" w:rsidR="004864A9" w:rsidRDefault="004864A9" w:rsidP="00573EFD">
      <w:pPr>
        <w:spacing w:line="480" w:lineRule="exact"/>
        <w:rPr>
          <w:lang w:bidi="en-US"/>
        </w:rPr>
      </w:pPr>
      <w:r>
        <w:rPr>
          <w:lang w:bidi="en-US"/>
        </w:rPr>
        <w:tab/>
        <w:t xml:space="preserve">The Supreme Court has interpreted section 2900.5 in multiple opinions.  In </w:t>
      </w:r>
      <w:r w:rsidRPr="005737E6">
        <w:rPr>
          <w:i/>
          <w:iCs/>
          <w:lang w:bidi="en-US"/>
        </w:rPr>
        <w:t>In re Joyner</w:t>
      </w:r>
      <w:r>
        <w:rPr>
          <w:lang w:bidi="en-US"/>
        </w:rPr>
        <w:t xml:space="preserve"> (1989) 48 Cal.3d 487</w:t>
      </w:r>
      <w:r>
        <w:rPr>
          <w:lang w:bidi="en-US"/>
        </w:rPr>
        <w:t xml:space="preserve"> (</w:t>
      </w:r>
      <w:r>
        <w:rPr>
          <w:i/>
          <w:iCs/>
          <w:lang w:bidi="en-US"/>
        </w:rPr>
        <w:t>Joyner</w:t>
      </w:r>
      <w:r>
        <w:rPr>
          <w:lang w:bidi="en-US"/>
        </w:rPr>
        <w:t>)</w:t>
      </w:r>
      <w:r>
        <w:rPr>
          <w:lang w:bidi="en-US"/>
        </w:rPr>
        <w:t xml:space="preserve">, </w:t>
      </w:r>
      <w:r>
        <w:rPr>
          <w:lang w:bidi="en-US"/>
        </w:rPr>
        <w:t xml:space="preserve">Joyner was charged with crimes committed in California and </w:t>
      </w:r>
      <w:r>
        <w:rPr>
          <w:lang w:bidi="en-US"/>
        </w:rPr>
        <w:t>was l</w:t>
      </w:r>
      <w:r>
        <w:rPr>
          <w:lang w:bidi="en-US"/>
        </w:rPr>
        <w:t>ater arrested in Florida for additional crimes he committed there.  (</w:t>
      </w:r>
      <w:r>
        <w:rPr>
          <w:i/>
          <w:iCs/>
          <w:lang w:bidi="en-US"/>
        </w:rPr>
        <w:t>Id.</w:t>
      </w:r>
      <w:r>
        <w:rPr>
          <w:i/>
          <w:iCs/>
          <w:lang w:bidi="en-US"/>
        </w:rPr>
        <w:t> </w:t>
      </w:r>
      <w:r>
        <w:rPr>
          <w:lang w:bidi="en-US"/>
        </w:rPr>
        <w:t xml:space="preserve">at p. 489.)  </w:t>
      </w:r>
      <w:r>
        <w:rPr>
          <w:lang w:bidi="en-US"/>
        </w:rPr>
        <w:t>After h</w:t>
      </w:r>
      <w:r>
        <w:rPr>
          <w:lang w:bidi="en-US"/>
        </w:rPr>
        <w:t>e was convicted o</w:t>
      </w:r>
      <w:r>
        <w:rPr>
          <w:lang w:bidi="en-US"/>
        </w:rPr>
        <w:t>f</w:t>
      </w:r>
      <w:r>
        <w:rPr>
          <w:lang w:bidi="en-US"/>
        </w:rPr>
        <w:t xml:space="preserve"> the Florida </w:t>
      </w:r>
      <w:r>
        <w:rPr>
          <w:lang w:bidi="en-US"/>
        </w:rPr>
        <w:t>charges,</w:t>
      </w:r>
      <w:r>
        <w:rPr>
          <w:lang w:bidi="en-US"/>
        </w:rPr>
        <w:t xml:space="preserve"> the Florida court awarded presentence custody credit for all days Joyner spent in custody</w:t>
      </w:r>
      <w:r>
        <w:rPr>
          <w:lang w:bidi="en-US"/>
        </w:rPr>
        <w:t xml:space="preserve"> there</w:t>
      </w:r>
      <w:r>
        <w:rPr>
          <w:lang w:bidi="en-US"/>
        </w:rPr>
        <w:t xml:space="preserve">.  Joyner was thereafter convicted and sentenced </w:t>
      </w:r>
      <w:r>
        <w:rPr>
          <w:lang w:bidi="en-US"/>
        </w:rPr>
        <w:t xml:space="preserve">to </w:t>
      </w:r>
      <w:r>
        <w:rPr>
          <w:lang w:bidi="en-US"/>
        </w:rPr>
        <w:t>concurrent</w:t>
      </w:r>
      <w:r>
        <w:rPr>
          <w:lang w:bidi="en-US"/>
        </w:rPr>
        <w:t xml:space="preserve"> time</w:t>
      </w:r>
      <w:r>
        <w:rPr>
          <w:lang w:bidi="en-US"/>
        </w:rPr>
        <w:t xml:space="preserve"> on the California </w:t>
      </w:r>
      <w:r>
        <w:rPr>
          <w:lang w:bidi="en-US"/>
        </w:rPr>
        <w:t>charges</w:t>
      </w:r>
      <w:r>
        <w:rPr>
          <w:lang w:bidi="en-US"/>
        </w:rPr>
        <w:t xml:space="preserve">, with the </w:t>
      </w:r>
      <w:r>
        <w:rPr>
          <w:lang w:bidi="en-US"/>
        </w:rPr>
        <w:t xml:space="preserve">California </w:t>
      </w:r>
      <w:r>
        <w:rPr>
          <w:lang w:bidi="en-US"/>
        </w:rPr>
        <w:t xml:space="preserve">court </w:t>
      </w:r>
      <w:r>
        <w:rPr>
          <w:lang w:bidi="en-US"/>
        </w:rPr>
        <w:t>denying his request for presentence custody credits.  (</w:t>
      </w:r>
      <w:r>
        <w:rPr>
          <w:i/>
          <w:iCs/>
          <w:lang w:bidi="en-US"/>
        </w:rPr>
        <w:t>Id</w:t>
      </w:r>
      <w:r>
        <w:rPr>
          <w:lang w:bidi="en-US"/>
        </w:rPr>
        <w:t xml:space="preserve">. at p. 490.)  </w:t>
      </w:r>
      <w:bookmarkStart w:id="1" w:name="_Hlk156896602"/>
      <w:r>
        <w:rPr>
          <w:lang w:bidi="en-US"/>
        </w:rPr>
        <w:t xml:space="preserve">On review, the Supreme Court </w:t>
      </w:r>
      <w:r>
        <w:rPr>
          <w:lang w:bidi="en-US"/>
        </w:rPr>
        <w:t>identified “</w:t>
      </w:r>
      <w:r w:rsidRPr="00CE6EB1">
        <w:rPr>
          <w:lang w:bidi="en-US"/>
        </w:rPr>
        <w:t xml:space="preserve">two </w:t>
      </w:r>
      <w:r w:rsidRPr="00CE6EB1">
        <w:rPr>
          <w:lang w:bidi="en-US"/>
        </w:rPr>
        <w:t>purposes for awarding presentence credits: (1)</w:t>
      </w:r>
      <w:r>
        <w:rPr>
          <w:lang w:bidi="en-US"/>
        </w:rPr>
        <w:t> </w:t>
      </w:r>
      <w:r w:rsidRPr="00CE6EB1">
        <w:rPr>
          <w:lang w:bidi="en-US"/>
        </w:rPr>
        <w:t>eliminating the unequal treatment suffered by indigent defendants who, because of their inability to post bail, serve a longer overall confinement for a given offense than their wealthier counterparts</w:t>
      </w:r>
      <w:r>
        <w:rPr>
          <w:lang w:bidi="en-US"/>
        </w:rPr>
        <w:t>,” and “</w:t>
      </w:r>
      <w:r w:rsidRPr="00CE6EB1">
        <w:rPr>
          <w:lang w:bidi="en-US"/>
        </w:rPr>
        <w:t>(2) equalizing the actual time served in custody by defendants convicted of the same offense</w:t>
      </w:r>
      <w:r>
        <w:rPr>
          <w:lang w:bidi="en-US"/>
        </w:rPr>
        <w:t>.”  (</w:t>
      </w:r>
      <w:r>
        <w:rPr>
          <w:i/>
          <w:iCs/>
          <w:lang w:bidi="en-US"/>
        </w:rPr>
        <w:t>Id.</w:t>
      </w:r>
      <w:r>
        <w:rPr>
          <w:lang w:bidi="en-US"/>
        </w:rPr>
        <w:t xml:space="preserve"> at p. 494.)  The court </w:t>
      </w:r>
      <w:r>
        <w:rPr>
          <w:lang w:bidi="en-US"/>
        </w:rPr>
        <w:t>observed that in resolving “</w:t>
      </w:r>
      <w:r w:rsidRPr="00F12C6B">
        <w:rPr>
          <w:lang w:bidi="en-US"/>
        </w:rPr>
        <w:t>presentence credit issues, our aim is to provide for section 2900.5 a construction which is faithful to i</w:t>
      </w:r>
      <w:r w:rsidRPr="00F12C6B">
        <w:rPr>
          <w:lang w:bidi="en-US"/>
        </w:rPr>
        <w:t>ts language, which produces fair and reasonable results in a majority of cases, and which can be readily understood and applied by trial courts.</w:t>
      </w:r>
      <w:r>
        <w:rPr>
          <w:lang w:bidi="en-US"/>
        </w:rPr>
        <w:t>”  (</w:t>
      </w:r>
      <w:r>
        <w:rPr>
          <w:i/>
          <w:iCs/>
          <w:lang w:bidi="en-US"/>
        </w:rPr>
        <w:t>Id.</w:t>
      </w:r>
      <w:r>
        <w:rPr>
          <w:lang w:bidi="en-US"/>
        </w:rPr>
        <w:t xml:space="preserve"> at p. 495.)  </w:t>
      </w:r>
      <w:bookmarkEnd w:id="1"/>
      <w:r>
        <w:rPr>
          <w:lang w:bidi="en-US"/>
        </w:rPr>
        <w:t>The court affirmed the denial of credits, holding that “</w:t>
      </w:r>
      <w:proofErr w:type="gramStart"/>
      <w:r w:rsidRPr="00F12C6B">
        <w:rPr>
          <w:lang w:bidi="en-US"/>
        </w:rPr>
        <w:t>a period of time</w:t>
      </w:r>
      <w:proofErr w:type="gramEnd"/>
      <w:r w:rsidRPr="00F12C6B">
        <w:rPr>
          <w:lang w:bidi="en-US"/>
        </w:rPr>
        <w:t xml:space="preserve"> previously credited against a sentence for unrelated offenses cannot be deemed </w:t>
      </w:r>
      <w:r>
        <w:rPr>
          <w:lang w:bidi="en-US"/>
        </w:rPr>
        <w:t>‘</w:t>
      </w:r>
      <w:r w:rsidRPr="00F12C6B">
        <w:rPr>
          <w:lang w:bidi="en-US"/>
        </w:rPr>
        <w:t>attributable to proceedings</w:t>
      </w:r>
      <w:r>
        <w:rPr>
          <w:lang w:bidi="en-US"/>
        </w:rPr>
        <w:t>’</w:t>
      </w:r>
      <w:r w:rsidRPr="00F12C6B">
        <w:rPr>
          <w:lang w:bidi="en-US"/>
        </w:rPr>
        <w:t xml:space="preserve"> resulting in a later-imposed sentence unless it is demonstrated that the claimant would have been at liberty during the period were it not for a restraint relating t</w:t>
      </w:r>
      <w:r w:rsidRPr="00F12C6B">
        <w:rPr>
          <w:lang w:bidi="en-US"/>
        </w:rPr>
        <w:t>o the proceedings resulting in the later sentence</w:t>
      </w:r>
      <w:r>
        <w:rPr>
          <w:lang w:bidi="en-US"/>
        </w:rPr>
        <w:t>.”  (</w:t>
      </w:r>
      <w:r>
        <w:rPr>
          <w:i/>
          <w:iCs/>
          <w:lang w:bidi="en-US"/>
        </w:rPr>
        <w:t>Id.</w:t>
      </w:r>
      <w:r>
        <w:rPr>
          <w:lang w:bidi="en-US"/>
        </w:rPr>
        <w:t xml:space="preserve"> at p. 489.)  The court stated that “</w:t>
      </w:r>
      <w:r w:rsidRPr="00F12C6B">
        <w:rPr>
          <w:lang w:bidi="en-US"/>
        </w:rPr>
        <w:t>duplicative credits against separately imposed concurrent sentences for unrelated offenses will be granted only on a showing of strict causation.</w:t>
      </w:r>
      <w:r>
        <w:rPr>
          <w:lang w:bidi="en-US"/>
        </w:rPr>
        <w:t>”  (</w:t>
      </w:r>
      <w:r>
        <w:rPr>
          <w:i/>
          <w:iCs/>
          <w:lang w:bidi="en-US"/>
        </w:rPr>
        <w:t>Ibid.</w:t>
      </w:r>
      <w:r>
        <w:rPr>
          <w:lang w:bidi="en-US"/>
        </w:rPr>
        <w:t>)</w:t>
      </w:r>
    </w:p>
    <w:p w14:paraId="5DB17F06" w14:textId="77777777" w:rsidR="004864A9" w:rsidRDefault="004864A9" w:rsidP="008D3F94">
      <w:pPr>
        <w:spacing w:line="480" w:lineRule="exact"/>
        <w:rPr>
          <w:lang w:bidi="en-US"/>
        </w:rPr>
      </w:pPr>
      <w:r>
        <w:rPr>
          <w:lang w:bidi="en-US"/>
        </w:rPr>
        <w:tab/>
        <w:t xml:space="preserve">The Supreme Court returned to section 2900.5 in </w:t>
      </w:r>
      <w:r w:rsidRPr="008D3F94">
        <w:rPr>
          <w:i/>
          <w:iCs/>
          <w:lang w:bidi="en-US"/>
        </w:rPr>
        <w:t>People v. Bruner</w:t>
      </w:r>
      <w:r>
        <w:rPr>
          <w:lang w:bidi="en-US"/>
        </w:rPr>
        <w:t xml:space="preserve"> (1995) 9 Cal.4th 1178</w:t>
      </w:r>
      <w:r>
        <w:rPr>
          <w:lang w:bidi="en-US"/>
        </w:rPr>
        <w:t xml:space="preserve"> (</w:t>
      </w:r>
      <w:r>
        <w:rPr>
          <w:i/>
          <w:iCs/>
          <w:lang w:bidi="en-US"/>
        </w:rPr>
        <w:t>Bruner</w:t>
      </w:r>
      <w:r>
        <w:rPr>
          <w:lang w:bidi="en-US"/>
        </w:rPr>
        <w:t>)</w:t>
      </w:r>
      <w:r>
        <w:rPr>
          <w:lang w:bidi="en-US"/>
        </w:rPr>
        <w:t xml:space="preserve">.  </w:t>
      </w:r>
      <w:r>
        <w:rPr>
          <w:lang w:bidi="en-US"/>
        </w:rPr>
        <w:t xml:space="preserve">While on parole following a robbery conviction, Bruner was arrested for multiple parole violations.  Bruner possessed “a substantial quantity of rock cocaine” when he was arrested.  He was cited for </w:t>
      </w:r>
      <w:proofErr w:type="gramStart"/>
      <w:r>
        <w:rPr>
          <w:lang w:bidi="en-US"/>
        </w:rPr>
        <w:t>the cocaine</w:t>
      </w:r>
      <w:proofErr w:type="gramEnd"/>
      <w:r>
        <w:rPr>
          <w:lang w:bidi="en-US"/>
        </w:rPr>
        <w:t xml:space="preserve"> possession and release</w:t>
      </w:r>
      <w:r>
        <w:rPr>
          <w:lang w:bidi="en-US"/>
        </w:rPr>
        <w:t>d</w:t>
      </w:r>
      <w:r>
        <w:rPr>
          <w:lang w:bidi="en-US"/>
        </w:rPr>
        <w:t xml:space="preserve"> on </w:t>
      </w:r>
      <w:r>
        <w:rPr>
          <w:lang w:bidi="en-US"/>
        </w:rPr>
        <w:lastRenderedPageBreak/>
        <w:t>his own recognizance “on that charge</w:t>
      </w:r>
      <w:r>
        <w:rPr>
          <w:lang w:bidi="en-US"/>
        </w:rPr>
        <w:t>,</w:t>
      </w:r>
      <w:r>
        <w:rPr>
          <w:lang w:bidi="en-US"/>
        </w:rPr>
        <w:t xml:space="preserve">” while remaining in physical custody </w:t>
      </w:r>
      <w:r>
        <w:rPr>
          <w:lang w:bidi="en-US"/>
        </w:rPr>
        <w:t>on</w:t>
      </w:r>
      <w:r>
        <w:rPr>
          <w:lang w:bidi="en-US"/>
        </w:rPr>
        <w:t xml:space="preserve"> a parole hold</w:t>
      </w:r>
      <w:r>
        <w:rPr>
          <w:lang w:bidi="en-US"/>
        </w:rPr>
        <w:t xml:space="preserve"> for the parole violations</w:t>
      </w:r>
      <w:r>
        <w:rPr>
          <w:lang w:bidi="en-US"/>
        </w:rPr>
        <w:t>.  (</w:t>
      </w:r>
      <w:r>
        <w:rPr>
          <w:i/>
          <w:iCs/>
          <w:lang w:bidi="en-US"/>
        </w:rPr>
        <w:t>Id</w:t>
      </w:r>
      <w:r>
        <w:rPr>
          <w:lang w:bidi="en-US"/>
        </w:rPr>
        <w:t xml:space="preserve">. at p. 1181.)  </w:t>
      </w:r>
      <w:r>
        <w:rPr>
          <w:lang w:bidi="en-US"/>
        </w:rPr>
        <w:t xml:space="preserve">Parole was revoked and Bruner was sentenced to a </w:t>
      </w:r>
      <w:r>
        <w:rPr>
          <w:lang w:bidi="en-US"/>
        </w:rPr>
        <w:t xml:space="preserve">further </w:t>
      </w:r>
      <w:r>
        <w:rPr>
          <w:lang w:bidi="en-US"/>
        </w:rPr>
        <w:t>one-year prison term; he rec</w:t>
      </w:r>
      <w:r>
        <w:rPr>
          <w:lang w:bidi="en-US"/>
        </w:rPr>
        <w:t xml:space="preserve">eived credit for the time spent in custody on the parole hold.  </w:t>
      </w:r>
      <w:r>
        <w:rPr>
          <w:lang w:bidi="en-US"/>
        </w:rPr>
        <w:t>W</w:t>
      </w:r>
      <w:r>
        <w:rPr>
          <w:lang w:bidi="en-US"/>
        </w:rPr>
        <w:t xml:space="preserve">hile Bruner was serving the parole revocation term, </w:t>
      </w:r>
      <w:r>
        <w:rPr>
          <w:lang w:bidi="en-US"/>
        </w:rPr>
        <w:t xml:space="preserve">a new information was filed </w:t>
      </w:r>
      <w:r>
        <w:rPr>
          <w:lang w:bidi="en-US"/>
        </w:rPr>
        <w:t xml:space="preserve">charging him with cocaine possession.  Bruner was convicted by plea in the new case and received a concurrent sentence; </w:t>
      </w:r>
      <w:r>
        <w:rPr>
          <w:lang w:bidi="en-US"/>
        </w:rPr>
        <w:t>he</w:t>
      </w:r>
      <w:r>
        <w:rPr>
          <w:lang w:bidi="en-US"/>
        </w:rPr>
        <w:t xml:space="preserve"> received no presentence custody credits in the </w:t>
      </w:r>
      <w:r>
        <w:rPr>
          <w:lang w:bidi="en-US"/>
        </w:rPr>
        <w:t>cocaine possession</w:t>
      </w:r>
      <w:r>
        <w:rPr>
          <w:lang w:bidi="en-US"/>
        </w:rPr>
        <w:t xml:space="preserve"> case.  (</w:t>
      </w:r>
      <w:r>
        <w:rPr>
          <w:i/>
          <w:iCs/>
          <w:lang w:bidi="en-US"/>
        </w:rPr>
        <w:t>Id.</w:t>
      </w:r>
      <w:r>
        <w:rPr>
          <w:lang w:bidi="en-US"/>
        </w:rPr>
        <w:t xml:space="preserve"> at pp. 1181–1182.)  On review, the Supreme Court concluded that “</w:t>
      </w:r>
      <w:r w:rsidRPr="007C4AE4">
        <w:rPr>
          <w:lang w:bidi="en-US"/>
        </w:rPr>
        <w:t xml:space="preserve">when presentence custody may be concurrently attributable to two or more unrelated acts, and where the defendant has already received credit for such custody in another proceeding, the strict causation rules of </w:t>
      </w:r>
      <w:r w:rsidRPr="00C85AEE">
        <w:rPr>
          <w:i/>
          <w:iCs/>
          <w:lang w:bidi="en-US"/>
        </w:rPr>
        <w:t>Joyner</w:t>
      </w:r>
      <w:r w:rsidRPr="007C4AE4">
        <w:rPr>
          <w:lang w:bidi="en-US"/>
        </w:rPr>
        <w:t xml:space="preserve"> should apply</w:t>
      </w:r>
      <w:r>
        <w:rPr>
          <w:lang w:bidi="en-US"/>
        </w:rPr>
        <w:t>.”  (</w:t>
      </w:r>
      <w:r>
        <w:rPr>
          <w:i/>
          <w:iCs/>
          <w:lang w:bidi="en-US"/>
        </w:rPr>
        <w:t>Id.</w:t>
      </w:r>
      <w:r>
        <w:rPr>
          <w:lang w:bidi="en-US"/>
        </w:rPr>
        <w:t xml:space="preserve"> at p. 1180.)  The court reasoned that Bruner was not entitled to custody credits in the cocaine possession case because “</w:t>
      </w:r>
      <w:r w:rsidRPr="00C85AEE">
        <w:rPr>
          <w:lang w:bidi="en-US"/>
        </w:rPr>
        <w:t xml:space="preserve">once </w:t>
      </w:r>
      <w:r>
        <w:rPr>
          <w:lang w:bidi="en-US"/>
        </w:rPr>
        <w:t>[Bruner]</w:t>
      </w:r>
      <w:r w:rsidRPr="00C85AEE">
        <w:rPr>
          <w:lang w:bidi="en-US"/>
        </w:rPr>
        <w:t xml:space="preserve"> began serving a parole revocation term founded upon multiple, unrelated acts of misconduct, his custody was unavoidable on that basis rega</w:t>
      </w:r>
      <w:r w:rsidRPr="00C85AEE">
        <w:rPr>
          <w:lang w:bidi="en-US"/>
        </w:rPr>
        <w:t>rdless of the fact that he was simultaneously awaiting trial on the single criminal charge</w:t>
      </w:r>
      <w:r>
        <w:rPr>
          <w:lang w:bidi="en-US"/>
        </w:rPr>
        <w:t>.”  (</w:t>
      </w:r>
      <w:r>
        <w:rPr>
          <w:i/>
          <w:iCs/>
          <w:lang w:bidi="en-US"/>
        </w:rPr>
        <w:t>Id.</w:t>
      </w:r>
      <w:r>
        <w:rPr>
          <w:lang w:bidi="en-US"/>
        </w:rPr>
        <w:t xml:space="preserve"> at p. 1192.)</w:t>
      </w:r>
    </w:p>
    <w:p w14:paraId="7D62FC6A" w14:textId="77777777" w:rsidR="004864A9" w:rsidRPr="00285C48" w:rsidRDefault="004864A9" w:rsidP="008D3F94">
      <w:pPr>
        <w:spacing w:line="480" w:lineRule="exact"/>
        <w:rPr>
          <w:lang w:bidi="en-US"/>
        </w:rPr>
      </w:pPr>
      <w:r>
        <w:rPr>
          <w:lang w:bidi="en-US"/>
        </w:rPr>
        <w:tab/>
      </w:r>
      <w:r>
        <w:rPr>
          <w:i/>
          <w:iCs/>
          <w:lang w:bidi="en-US"/>
        </w:rPr>
        <w:t xml:space="preserve">Joyner </w:t>
      </w:r>
      <w:r>
        <w:rPr>
          <w:lang w:bidi="en-US"/>
        </w:rPr>
        <w:t xml:space="preserve">and </w:t>
      </w:r>
      <w:r>
        <w:rPr>
          <w:i/>
          <w:iCs/>
          <w:lang w:bidi="en-US"/>
        </w:rPr>
        <w:t xml:space="preserve">Bruner </w:t>
      </w:r>
      <w:r>
        <w:rPr>
          <w:lang w:bidi="en-US"/>
        </w:rPr>
        <w:t xml:space="preserve">thus </w:t>
      </w:r>
      <w:r>
        <w:rPr>
          <w:lang w:bidi="en-US"/>
        </w:rPr>
        <w:t xml:space="preserve">involved situations where </w:t>
      </w:r>
      <w:r>
        <w:rPr>
          <w:lang w:bidi="en-US"/>
        </w:rPr>
        <w:t>a</w:t>
      </w:r>
      <w:r>
        <w:rPr>
          <w:lang w:bidi="en-US"/>
        </w:rPr>
        <w:t xml:space="preserve"> defendant had already received presentence custody credits in another proceeding</w:t>
      </w:r>
      <w:r>
        <w:rPr>
          <w:lang w:bidi="en-US"/>
        </w:rPr>
        <w:t xml:space="preserve"> before </w:t>
      </w:r>
      <w:r>
        <w:rPr>
          <w:lang w:bidi="en-US"/>
        </w:rPr>
        <w:t>being</w:t>
      </w:r>
      <w:r>
        <w:rPr>
          <w:lang w:bidi="en-US"/>
        </w:rPr>
        <w:t xml:space="preserve"> s</w:t>
      </w:r>
      <w:r>
        <w:rPr>
          <w:lang w:bidi="en-US"/>
        </w:rPr>
        <w:t>e</w:t>
      </w:r>
      <w:r>
        <w:rPr>
          <w:lang w:bidi="en-US"/>
        </w:rPr>
        <w:t xml:space="preserve">ntenced in the case for which he sought credit.  That posture distinguishes them from </w:t>
      </w:r>
      <w:r>
        <w:rPr>
          <w:lang w:bidi="en-US"/>
        </w:rPr>
        <w:t>this</w:t>
      </w:r>
      <w:r>
        <w:rPr>
          <w:lang w:bidi="en-US"/>
        </w:rPr>
        <w:t xml:space="preserve"> </w:t>
      </w:r>
      <w:r>
        <w:rPr>
          <w:lang w:bidi="en-US"/>
        </w:rPr>
        <w:t>appeal, where defendant seeks</w:t>
      </w:r>
      <w:r>
        <w:rPr>
          <w:lang w:bidi="en-US"/>
        </w:rPr>
        <w:t xml:space="preserve"> presentence custody credits for all cases resolved in a single negotiated disposition </w:t>
      </w:r>
      <w:r>
        <w:rPr>
          <w:lang w:bidi="en-US"/>
        </w:rPr>
        <w:t xml:space="preserve">and sentenced </w:t>
      </w:r>
      <w:r>
        <w:rPr>
          <w:lang w:bidi="en-US"/>
        </w:rPr>
        <w:t>at a single hearing.</w:t>
      </w:r>
    </w:p>
    <w:p w14:paraId="597A7CA5" w14:textId="77777777" w:rsidR="004864A9" w:rsidRDefault="004864A9" w:rsidP="00285C48">
      <w:pPr>
        <w:pStyle w:val="Heading2"/>
        <w:rPr>
          <w:lang w:bidi="en-US"/>
        </w:rPr>
      </w:pPr>
      <w:r>
        <w:rPr>
          <w:lang w:bidi="en-US"/>
        </w:rPr>
        <w:t>Intermediate</w:t>
      </w:r>
      <w:r>
        <w:rPr>
          <w:lang w:bidi="en-US"/>
        </w:rPr>
        <w:t xml:space="preserve"> Court Interpretations</w:t>
      </w:r>
    </w:p>
    <w:p w14:paraId="4B0CB5CF" w14:textId="77777777" w:rsidR="004864A9" w:rsidRPr="00301E7C" w:rsidRDefault="004864A9" w:rsidP="008D3F94">
      <w:pPr>
        <w:spacing w:line="480" w:lineRule="exact"/>
        <w:rPr>
          <w:lang w:bidi="en-US"/>
        </w:rPr>
      </w:pPr>
      <w:r>
        <w:rPr>
          <w:lang w:bidi="en-US"/>
        </w:rPr>
        <w:tab/>
      </w:r>
      <w:r>
        <w:rPr>
          <w:lang w:bidi="en-US"/>
        </w:rPr>
        <w:t xml:space="preserve">Two intermediate appellate decisions involved a procedural posture more </w:t>
      </w:r>
      <w:proofErr w:type="gramStart"/>
      <w:r>
        <w:rPr>
          <w:lang w:bidi="en-US"/>
        </w:rPr>
        <w:t>similar to</w:t>
      </w:r>
      <w:proofErr w:type="gramEnd"/>
      <w:r>
        <w:rPr>
          <w:lang w:bidi="en-US"/>
        </w:rPr>
        <w:t xml:space="preserve"> </w:t>
      </w:r>
      <w:r>
        <w:rPr>
          <w:lang w:bidi="en-US"/>
        </w:rPr>
        <w:t xml:space="preserve">that presented </w:t>
      </w:r>
      <w:r>
        <w:rPr>
          <w:lang w:bidi="en-US"/>
        </w:rPr>
        <w:t xml:space="preserve">here.  </w:t>
      </w:r>
      <w:r>
        <w:rPr>
          <w:lang w:bidi="en-US"/>
        </w:rPr>
        <w:t xml:space="preserve">In </w:t>
      </w:r>
      <w:r>
        <w:rPr>
          <w:i/>
          <w:iCs/>
          <w:lang w:bidi="en-US"/>
        </w:rPr>
        <w:t xml:space="preserve">People v. Kunath </w:t>
      </w:r>
      <w:r>
        <w:rPr>
          <w:lang w:bidi="en-US"/>
        </w:rPr>
        <w:t>(2012) 203 Cal.App.4th</w:t>
      </w:r>
      <w:r w:rsidRPr="00435EC9">
        <w:rPr>
          <w:lang w:bidi="en-US"/>
        </w:rPr>
        <w:t> </w:t>
      </w:r>
      <w:r>
        <w:rPr>
          <w:lang w:bidi="en-US"/>
        </w:rPr>
        <w:t xml:space="preserve">906 </w:t>
      </w:r>
      <w:r>
        <w:rPr>
          <w:lang w:bidi="en-US"/>
        </w:rPr>
        <w:t xml:space="preserve">the </w:t>
      </w:r>
      <w:r>
        <w:rPr>
          <w:lang w:bidi="en-US"/>
        </w:rPr>
        <w:t>defendant was arrested for a controlled substance offense and released on bail.  Kunath was</w:t>
      </w:r>
      <w:r>
        <w:rPr>
          <w:lang w:bidi="en-US"/>
        </w:rPr>
        <w:t xml:space="preserve"> then</w:t>
      </w:r>
      <w:r>
        <w:rPr>
          <w:lang w:bidi="en-US"/>
        </w:rPr>
        <w:t xml:space="preserve"> arrested while on bail and charged in a new case for a new controlled substance offense.  He remained in custody until he pleaded guilty in both cases and was sentenced concurrently at a single hearing.  (</w:t>
      </w:r>
      <w:r>
        <w:rPr>
          <w:i/>
          <w:iCs/>
          <w:lang w:bidi="en-US"/>
        </w:rPr>
        <w:t>Id</w:t>
      </w:r>
      <w:r>
        <w:rPr>
          <w:lang w:bidi="en-US"/>
        </w:rPr>
        <w:t xml:space="preserve">. at p. 909.)  </w:t>
      </w:r>
      <w:r>
        <w:rPr>
          <w:lang w:bidi="en-US"/>
        </w:rPr>
        <w:t xml:space="preserve">It is not clear whether Kunath </w:t>
      </w:r>
      <w:r>
        <w:rPr>
          <w:lang w:bidi="en-US"/>
        </w:rPr>
        <w:t xml:space="preserve">was </w:t>
      </w:r>
      <w:r>
        <w:rPr>
          <w:lang w:bidi="en-US"/>
        </w:rPr>
        <w:lastRenderedPageBreak/>
        <w:t>re</w:t>
      </w:r>
      <w:r>
        <w:rPr>
          <w:lang w:bidi="en-US"/>
        </w:rPr>
        <w:t xml:space="preserve">manded to custody </w:t>
      </w:r>
      <w:r>
        <w:rPr>
          <w:lang w:bidi="en-US"/>
        </w:rPr>
        <w:t xml:space="preserve">in the first case </w:t>
      </w:r>
      <w:r>
        <w:rPr>
          <w:lang w:bidi="en-US"/>
        </w:rPr>
        <w:t>once</w:t>
      </w:r>
      <w:r>
        <w:rPr>
          <w:lang w:bidi="en-US"/>
        </w:rPr>
        <w:t xml:space="preserve"> he was in custody in the second case, but the opinion describes Kunath as having been “in custody on both cases.”  (</w:t>
      </w:r>
      <w:r>
        <w:rPr>
          <w:i/>
          <w:iCs/>
          <w:lang w:bidi="en-US"/>
        </w:rPr>
        <w:t>Ibid.</w:t>
      </w:r>
      <w:r>
        <w:rPr>
          <w:lang w:bidi="en-US"/>
        </w:rPr>
        <w:t xml:space="preserve">)  The </w:t>
      </w:r>
      <w:r>
        <w:rPr>
          <w:i/>
          <w:iCs/>
          <w:lang w:bidi="en-US"/>
        </w:rPr>
        <w:t xml:space="preserve">Kunath </w:t>
      </w:r>
      <w:r>
        <w:rPr>
          <w:lang w:bidi="en-US"/>
        </w:rPr>
        <w:t>court determined that where a “</w:t>
      </w:r>
      <w:r w:rsidRPr="00301E7C">
        <w:rPr>
          <w:lang w:bidi="en-US"/>
        </w:rPr>
        <w:t>defendant</w:t>
      </w:r>
      <w:r>
        <w:rPr>
          <w:lang w:bidi="en-US"/>
        </w:rPr>
        <w:t>’</w:t>
      </w:r>
      <w:r w:rsidRPr="00301E7C">
        <w:rPr>
          <w:lang w:bidi="en-US"/>
        </w:rPr>
        <w:t>s custody is solely presentence on all charges and he is simultaneously sentenced on all charges to concurrent terms</w:t>
      </w:r>
      <w:r>
        <w:rPr>
          <w:lang w:bidi="en-US"/>
        </w:rPr>
        <w:t>,” presentence custody credits “</w:t>
      </w:r>
      <w:r w:rsidRPr="00301E7C">
        <w:rPr>
          <w:lang w:bidi="en-US"/>
        </w:rPr>
        <w:t>must apply to all charges to equalize the total time in custody between those who obtain presentence release and those who do not</w:t>
      </w:r>
      <w:r>
        <w:rPr>
          <w:lang w:bidi="en-US"/>
        </w:rPr>
        <w:t>.”  (</w:t>
      </w:r>
      <w:r>
        <w:rPr>
          <w:i/>
          <w:iCs/>
          <w:lang w:bidi="en-US"/>
        </w:rPr>
        <w:t>Id</w:t>
      </w:r>
      <w:r>
        <w:rPr>
          <w:lang w:bidi="en-US"/>
        </w:rPr>
        <w:t>. at p. 911.)  The</w:t>
      </w:r>
      <w:r>
        <w:rPr>
          <w:lang w:bidi="en-US"/>
        </w:rPr>
        <w:t xml:space="preserve"> </w:t>
      </w:r>
      <w:r>
        <w:rPr>
          <w:lang w:bidi="en-US"/>
        </w:rPr>
        <w:t xml:space="preserve">court </w:t>
      </w:r>
      <w:r>
        <w:rPr>
          <w:lang w:bidi="en-US"/>
        </w:rPr>
        <w:t xml:space="preserve">thus </w:t>
      </w:r>
      <w:r>
        <w:rPr>
          <w:lang w:bidi="en-US"/>
        </w:rPr>
        <w:t xml:space="preserve">concluded Kunath was </w:t>
      </w:r>
      <w:r>
        <w:rPr>
          <w:lang w:bidi="en-US"/>
        </w:rPr>
        <w:t xml:space="preserve">entitled to full credit in both cases for </w:t>
      </w:r>
      <w:r>
        <w:rPr>
          <w:lang w:bidi="en-US"/>
        </w:rPr>
        <w:t>all</w:t>
      </w:r>
      <w:r>
        <w:rPr>
          <w:lang w:bidi="en-US"/>
        </w:rPr>
        <w:t xml:space="preserve"> time he spent in presentence custody.</w:t>
      </w:r>
    </w:p>
    <w:p w14:paraId="41A7A74E" w14:textId="77777777" w:rsidR="004864A9" w:rsidRPr="005E56FB" w:rsidRDefault="004864A9" w:rsidP="00573EFD">
      <w:pPr>
        <w:spacing w:line="480" w:lineRule="exact"/>
        <w:rPr>
          <w:lang w:bidi="en-US"/>
        </w:rPr>
      </w:pPr>
      <w:r>
        <w:rPr>
          <w:lang w:bidi="en-US"/>
        </w:rPr>
        <w:tab/>
      </w:r>
      <w:r>
        <w:rPr>
          <w:lang w:bidi="en-US"/>
        </w:rPr>
        <w:t xml:space="preserve">In </w:t>
      </w:r>
      <w:r>
        <w:rPr>
          <w:i/>
          <w:iCs/>
          <w:lang w:bidi="en-US"/>
        </w:rPr>
        <w:t>Jacobs</w:t>
      </w:r>
      <w:r>
        <w:rPr>
          <w:lang w:bidi="en-US"/>
        </w:rPr>
        <w:t>, the defendant</w:t>
      </w:r>
      <w:r>
        <w:rPr>
          <w:lang w:bidi="en-US"/>
        </w:rPr>
        <w:t xml:space="preserve"> </w:t>
      </w:r>
      <w:r>
        <w:rPr>
          <w:lang w:bidi="en-US"/>
        </w:rPr>
        <w:t xml:space="preserve">was arrested on suspicion of committing forcible rape.  He </w:t>
      </w:r>
      <w:proofErr w:type="gramStart"/>
      <w:r>
        <w:rPr>
          <w:lang w:bidi="en-US"/>
        </w:rPr>
        <w:t>posted</w:t>
      </w:r>
      <w:proofErr w:type="gramEnd"/>
      <w:r>
        <w:rPr>
          <w:lang w:bidi="en-US"/>
        </w:rPr>
        <w:t xml:space="preserve"> bail and was released.  While released on bail in the </w:t>
      </w:r>
      <w:r>
        <w:rPr>
          <w:lang w:bidi="en-US"/>
        </w:rPr>
        <w:t>first case</w:t>
      </w:r>
      <w:r>
        <w:rPr>
          <w:lang w:bidi="en-US"/>
        </w:rPr>
        <w:t xml:space="preserve">, Jacobs was arrested </w:t>
      </w:r>
      <w:r>
        <w:rPr>
          <w:lang w:bidi="en-US"/>
        </w:rPr>
        <w:t>and charged in a new case with new offenses that included another forcible rape.</w:t>
      </w:r>
      <w:r>
        <w:rPr>
          <w:lang w:bidi="en-US"/>
        </w:rPr>
        <w:t xml:space="preserve">  </w:t>
      </w:r>
      <w:r>
        <w:rPr>
          <w:lang w:bidi="en-US"/>
        </w:rPr>
        <w:t xml:space="preserve">For the next several months, Jacobs remained in custody in the second case while his custody status in the first case was </w:t>
      </w:r>
      <w:r>
        <w:rPr>
          <w:lang w:bidi="en-US"/>
        </w:rPr>
        <w:t>noted</w:t>
      </w:r>
      <w:r>
        <w:rPr>
          <w:lang w:bidi="en-US"/>
        </w:rPr>
        <w:t xml:space="preserve"> as </w:t>
      </w:r>
      <w:proofErr w:type="gramStart"/>
      <w:r>
        <w:rPr>
          <w:lang w:bidi="en-US"/>
        </w:rPr>
        <w:t>“ ‘</w:t>
      </w:r>
      <w:proofErr w:type="gramEnd"/>
      <w:r>
        <w:rPr>
          <w:lang w:bidi="en-US"/>
        </w:rPr>
        <w:t>released on bail posted.’ ”  (</w:t>
      </w:r>
      <w:r w:rsidRPr="00320244">
        <w:rPr>
          <w:i/>
          <w:iCs/>
          <w:lang w:bidi="en-US"/>
        </w:rPr>
        <w:t>Jacobs</w:t>
      </w:r>
      <w:r>
        <w:rPr>
          <w:lang w:bidi="en-US"/>
        </w:rPr>
        <w:t xml:space="preserve">, </w:t>
      </w:r>
      <w:r>
        <w:rPr>
          <w:i/>
          <w:iCs/>
          <w:lang w:bidi="en-US"/>
        </w:rPr>
        <w:t>supra</w:t>
      </w:r>
      <w:r>
        <w:rPr>
          <w:lang w:bidi="en-US"/>
        </w:rPr>
        <w:t>, 220 Cal.App.4th at pp.</w:t>
      </w:r>
      <w:r>
        <w:rPr>
          <w:lang w:bidi="en-US"/>
        </w:rPr>
        <w:t xml:space="preserve"> 72–73.)</w:t>
      </w:r>
      <w:r>
        <w:rPr>
          <w:lang w:bidi="en-US"/>
        </w:rPr>
        <w:t xml:space="preserve">  The two cases were resolved by a “plea bar</w:t>
      </w:r>
      <w:r>
        <w:rPr>
          <w:lang w:bidi="en-US"/>
        </w:rPr>
        <w:t>gain involving both cases.”  (</w:t>
      </w:r>
      <w:r>
        <w:rPr>
          <w:i/>
          <w:iCs/>
          <w:lang w:bidi="en-US"/>
        </w:rPr>
        <w:t>Id.</w:t>
      </w:r>
      <w:r>
        <w:rPr>
          <w:lang w:bidi="en-US"/>
        </w:rPr>
        <w:t xml:space="preserve"> at p. 73.) </w:t>
      </w:r>
      <w:r>
        <w:rPr>
          <w:lang w:bidi="en-US"/>
        </w:rPr>
        <w:t xml:space="preserve"> The trial court </w:t>
      </w:r>
      <w:r>
        <w:rPr>
          <w:lang w:bidi="en-US"/>
        </w:rPr>
        <w:t xml:space="preserve">exonerated </w:t>
      </w:r>
      <w:r>
        <w:rPr>
          <w:lang w:bidi="en-US"/>
        </w:rPr>
        <w:t xml:space="preserve">the bail bond </w:t>
      </w:r>
      <w:r>
        <w:rPr>
          <w:lang w:bidi="en-US"/>
        </w:rPr>
        <w:t xml:space="preserve">in the first case on the date of the change of plea hearing, but Jacobs remained in custody on a </w:t>
      </w:r>
      <w:proofErr w:type="gramStart"/>
      <w:r>
        <w:rPr>
          <w:lang w:bidi="en-US"/>
        </w:rPr>
        <w:t>“ ‘</w:t>
      </w:r>
      <w:proofErr w:type="gramEnd"/>
      <w:r>
        <w:rPr>
          <w:lang w:bidi="en-US"/>
        </w:rPr>
        <w:t xml:space="preserve">body only hold’ ” in that case until sentencing.  </w:t>
      </w:r>
      <w:r>
        <w:rPr>
          <w:lang w:bidi="en-US"/>
        </w:rPr>
        <w:t>T</w:t>
      </w:r>
      <w:r>
        <w:rPr>
          <w:lang w:bidi="en-US"/>
        </w:rPr>
        <w:t xml:space="preserve">he court granted </w:t>
      </w:r>
      <w:r>
        <w:rPr>
          <w:lang w:bidi="en-US"/>
        </w:rPr>
        <w:t>“</w:t>
      </w:r>
      <w:r>
        <w:rPr>
          <w:lang w:bidi="en-US"/>
        </w:rPr>
        <w:t>own recognizance</w:t>
      </w:r>
      <w:r>
        <w:rPr>
          <w:lang w:bidi="en-US"/>
        </w:rPr>
        <w:t>”</w:t>
      </w:r>
      <w:r>
        <w:rPr>
          <w:lang w:bidi="en-US"/>
        </w:rPr>
        <w:t xml:space="preserve"> release </w:t>
      </w:r>
      <w:r>
        <w:rPr>
          <w:lang w:bidi="en-US"/>
        </w:rPr>
        <w:t xml:space="preserve">in the second case, </w:t>
      </w:r>
      <w:r>
        <w:rPr>
          <w:lang w:bidi="en-US"/>
        </w:rPr>
        <w:t xml:space="preserve">even though Jacobs remained in </w:t>
      </w:r>
      <w:r>
        <w:rPr>
          <w:lang w:bidi="en-US"/>
        </w:rPr>
        <w:t xml:space="preserve">jail </w:t>
      </w:r>
      <w:r>
        <w:rPr>
          <w:lang w:bidi="en-US"/>
        </w:rPr>
        <w:t>i</w:t>
      </w:r>
      <w:r>
        <w:rPr>
          <w:lang w:bidi="en-US"/>
        </w:rPr>
        <w:t>n the first case.  (</w:t>
      </w:r>
      <w:r>
        <w:rPr>
          <w:i/>
          <w:iCs/>
          <w:lang w:bidi="en-US"/>
        </w:rPr>
        <w:t>Id.</w:t>
      </w:r>
      <w:r>
        <w:rPr>
          <w:lang w:bidi="en-US"/>
        </w:rPr>
        <w:t xml:space="preserve"> at p.</w:t>
      </w:r>
      <w:r>
        <w:rPr>
          <w:lang w:bidi="en-US"/>
        </w:rPr>
        <w:t> </w:t>
      </w:r>
      <w:r>
        <w:rPr>
          <w:lang w:bidi="en-US"/>
        </w:rPr>
        <w:t xml:space="preserve">74.)  </w:t>
      </w:r>
      <w:r>
        <w:rPr>
          <w:lang w:bidi="en-US"/>
        </w:rPr>
        <w:t>At a single sentencing hearing, t</w:t>
      </w:r>
      <w:r>
        <w:rPr>
          <w:lang w:bidi="en-US"/>
        </w:rPr>
        <w:t xml:space="preserve">he trial court </w:t>
      </w:r>
      <w:r>
        <w:rPr>
          <w:lang w:bidi="en-US"/>
        </w:rPr>
        <w:t>imposed a prison sentence in</w:t>
      </w:r>
      <w:r>
        <w:rPr>
          <w:lang w:bidi="en-US"/>
        </w:rPr>
        <w:t xml:space="preserve"> the first case and </w:t>
      </w:r>
      <w:r>
        <w:rPr>
          <w:lang w:bidi="en-US"/>
        </w:rPr>
        <w:t>a</w:t>
      </w:r>
      <w:r>
        <w:rPr>
          <w:lang w:bidi="en-US"/>
        </w:rPr>
        <w:t xml:space="preserve"> concurrent</w:t>
      </w:r>
      <w:r>
        <w:rPr>
          <w:lang w:bidi="en-US"/>
        </w:rPr>
        <w:t xml:space="preserve"> sentence in the second case.  The trial court did not award presentence custody credits in the first case for time Jacobs </w:t>
      </w:r>
      <w:r>
        <w:rPr>
          <w:lang w:bidi="en-US"/>
        </w:rPr>
        <w:t>remained “on bail” in that case, despite being in actual</w:t>
      </w:r>
      <w:r>
        <w:rPr>
          <w:lang w:bidi="en-US"/>
        </w:rPr>
        <w:t xml:space="preserve"> custody </w:t>
      </w:r>
      <w:r>
        <w:rPr>
          <w:lang w:bidi="en-US"/>
        </w:rPr>
        <w:t xml:space="preserve">during that time </w:t>
      </w:r>
      <w:r>
        <w:rPr>
          <w:lang w:bidi="en-US"/>
        </w:rPr>
        <w:t>in the second case.  (</w:t>
      </w:r>
      <w:r>
        <w:rPr>
          <w:i/>
          <w:iCs/>
          <w:lang w:bidi="en-US"/>
        </w:rPr>
        <w:t>Ibid</w:t>
      </w:r>
      <w:r>
        <w:rPr>
          <w:lang w:bidi="en-US"/>
        </w:rPr>
        <w:t>.)</w:t>
      </w:r>
    </w:p>
    <w:p w14:paraId="57CA44C2" w14:textId="77777777" w:rsidR="004864A9" w:rsidRPr="0001527B" w:rsidRDefault="004864A9" w:rsidP="005737E6">
      <w:pPr>
        <w:spacing w:line="480" w:lineRule="exact"/>
        <w:rPr>
          <w:lang w:bidi="en-US"/>
        </w:rPr>
      </w:pPr>
      <w:r>
        <w:rPr>
          <w:lang w:bidi="en-US"/>
        </w:rPr>
        <w:tab/>
      </w:r>
      <w:r>
        <w:rPr>
          <w:lang w:bidi="en-US"/>
        </w:rPr>
        <w:t xml:space="preserve">Jacobs argued he was entitled to presentence custody credit in both cases for all </w:t>
      </w:r>
      <w:r>
        <w:rPr>
          <w:lang w:bidi="en-US"/>
        </w:rPr>
        <w:t>days</w:t>
      </w:r>
      <w:r>
        <w:rPr>
          <w:lang w:bidi="en-US"/>
        </w:rPr>
        <w:t xml:space="preserve"> spent in actual custody.  (</w:t>
      </w:r>
      <w:r>
        <w:rPr>
          <w:i/>
          <w:iCs/>
          <w:lang w:bidi="en-US"/>
        </w:rPr>
        <w:t>Jacobs</w:t>
      </w:r>
      <w:r>
        <w:rPr>
          <w:lang w:bidi="en-US"/>
        </w:rPr>
        <w:t xml:space="preserve">, </w:t>
      </w:r>
      <w:r>
        <w:rPr>
          <w:i/>
          <w:iCs/>
          <w:lang w:bidi="en-US"/>
        </w:rPr>
        <w:t>supra</w:t>
      </w:r>
      <w:r>
        <w:rPr>
          <w:lang w:bidi="en-US"/>
        </w:rPr>
        <w:t>, 220 Cal.App.4th at p. 81.)</w:t>
      </w:r>
      <w:r>
        <w:rPr>
          <w:lang w:bidi="en-US"/>
        </w:rPr>
        <w:t xml:space="preserve">  Reviewing </w:t>
      </w:r>
      <w:r>
        <w:rPr>
          <w:i/>
          <w:iCs/>
          <w:lang w:bidi="en-US"/>
        </w:rPr>
        <w:t>Joyner</w:t>
      </w:r>
      <w:r>
        <w:rPr>
          <w:lang w:bidi="en-US"/>
        </w:rPr>
        <w:t xml:space="preserve">, </w:t>
      </w:r>
      <w:r>
        <w:rPr>
          <w:i/>
          <w:iCs/>
          <w:lang w:bidi="en-US"/>
        </w:rPr>
        <w:t>Bruner</w:t>
      </w:r>
      <w:r>
        <w:rPr>
          <w:lang w:bidi="en-US"/>
        </w:rPr>
        <w:t xml:space="preserve">, and </w:t>
      </w:r>
      <w:r>
        <w:rPr>
          <w:i/>
          <w:iCs/>
          <w:lang w:bidi="en-US"/>
        </w:rPr>
        <w:t>Kunath</w:t>
      </w:r>
      <w:r>
        <w:rPr>
          <w:lang w:bidi="en-US"/>
        </w:rPr>
        <w:t xml:space="preserve">, the </w:t>
      </w:r>
      <w:r>
        <w:rPr>
          <w:i/>
          <w:iCs/>
          <w:lang w:bidi="en-US"/>
        </w:rPr>
        <w:t xml:space="preserve">Jacobs </w:t>
      </w:r>
      <w:r>
        <w:rPr>
          <w:lang w:bidi="en-US"/>
        </w:rPr>
        <w:t>court interpreted “</w:t>
      </w:r>
      <w:r w:rsidRPr="0001527B">
        <w:rPr>
          <w:i/>
          <w:iCs/>
          <w:lang w:bidi="en-US"/>
        </w:rPr>
        <w:t>Kunath</w:t>
      </w:r>
      <w:r w:rsidRPr="0001527B">
        <w:rPr>
          <w:lang w:bidi="en-US"/>
        </w:rPr>
        <w:t xml:space="preserve"> as holding, consistent with </w:t>
      </w:r>
      <w:r>
        <w:rPr>
          <w:lang w:bidi="en-US"/>
        </w:rPr>
        <w:t>[section 2900.5]</w:t>
      </w:r>
      <w:r w:rsidRPr="0001527B">
        <w:rPr>
          <w:lang w:bidi="en-US"/>
        </w:rPr>
        <w:t xml:space="preserve"> and with </w:t>
      </w:r>
      <w:r w:rsidRPr="0001527B">
        <w:rPr>
          <w:i/>
          <w:iCs/>
          <w:lang w:bidi="en-US"/>
        </w:rPr>
        <w:t>Bruner</w:t>
      </w:r>
      <w:r w:rsidRPr="0001527B">
        <w:rPr>
          <w:lang w:bidi="en-US"/>
        </w:rPr>
        <w:t xml:space="preserve">, that when a trial court imposes only concurrent sentences in multiple cases at the same time, a defendant is entitled to all presentence </w:t>
      </w:r>
      <w:r w:rsidRPr="0001527B">
        <w:rPr>
          <w:lang w:bidi="en-US"/>
        </w:rPr>
        <w:lastRenderedPageBreak/>
        <w:t>custody attributable to each of the proceedings so long as that custody has not b</w:t>
      </w:r>
      <w:r w:rsidRPr="0001527B">
        <w:rPr>
          <w:lang w:bidi="en-US"/>
        </w:rPr>
        <w:t>een already credited to a previously imposed sentence.</w:t>
      </w:r>
      <w:r>
        <w:rPr>
          <w:lang w:bidi="en-US"/>
        </w:rPr>
        <w:t>”  (</w:t>
      </w:r>
      <w:r>
        <w:rPr>
          <w:i/>
          <w:iCs/>
          <w:lang w:bidi="en-US"/>
        </w:rPr>
        <w:t>Jacobs</w:t>
      </w:r>
      <w:r>
        <w:rPr>
          <w:lang w:bidi="en-US"/>
        </w:rPr>
        <w:t xml:space="preserve">, at p. 83.)  But </w:t>
      </w:r>
      <w:r>
        <w:rPr>
          <w:lang w:bidi="en-US"/>
        </w:rPr>
        <w:t>t</w:t>
      </w:r>
      <w:r>
        <w:rPr>
          <w:lang w:bidi="en-US"/>
        </w:rPr>
        <w:t xml:space="preserve">he </w:t>
      </w:r>
      <w:r>
        <w:rPr>
          <w:i/>
          <w:iCs/>
          <w:lang w:bidi="en-US"/>
        </w:rPr>
        <w:t>Jacobs</w:t>
      </w:r>
      <w:r>
        <w:rPr>
          <w:lang w:bidi="en-US"/>
        </w:rPr>
        <w:t xml:space="preserve"> court did not believe </w:t>
      </w:r>
      <w:r>
        <w:rPr>
          <w:lang w:bidi="en-US"/>
        </w:rPr>
        <w:t>section 2900.5 or the cases interpreting it authorized “</w:t>
      </w:r>
      <w:r w:rsidRPr="008D0A0A">
        <w:rPr>
          <w:lang w:bidi="en-US"/>
        </w:rPr>
        <w:t xml:space="preserve">credit for a period of </w:t>
      </w:r>
      <w:r w:rsidRPr="008D0A0A">
        <w:rPr>
          <w:lang w:bidi="en-US"/>
        </w:rPr>
        <w:t>custody that cannot be attributed to a proceeding.</w:t>
      </w:r>
      <w:r>
        <w:rPr>
          <w:lang w:bidi="en-US"/>
        </w:rPr>
        <w:t>”  (</w:t>
      </w:r>
      <w:r>
        <w:rPr>
          <w:i/>
          <w:iCs/>
          <w:lang w:bidi="en-US"/>
        </w:rPr>
        <w:t>Jacobs</w:t>
      </w:r>
      <w:r>
        <w:rPr>
          <w:lang w:bidi="en-US"/>
        </w:rPr>
        <w:t>, at p. 83.)  The</w:t>
      </w:r>
      <w:r>
        <w:rPr>
          <w:lang w:bidi="en-US"/>
        </w:rPr>
        <w:t xml:space="preserve"> court</w:t>
      </w:r>
      <w:r>
        <w:rPr>
          <w:lang w:bidi="en-US"/>
        </w:rPr>
        <w:t xml:space="preserve"> concluded</w:t>
      </w:r>
      <w:r>
        <w:rPr>
          <w:lang w:bidi="en-US"/>
        </w:rPr>
        <w:t xml:space="preserve"> that</w:t>
      </w:r>
      <w:r>
        <w:rPr>
          <w:lang w:bidi="en-US"/>
        </w:rPr>
        <w:t xml:space="preserve"> </w:t>
      </w:r>
      <w:r>
        <w:rPr>
          <w:i/>
          <w:iCs/>
          <w:lang w:bidi="en-US"/>
        </w:rPr>
        <w:t>Kunath</w:t>
      </w:r>
      <w:r>
        <w:rPr>
          <w:lang w:bidi="en-US"/>
        </w:rPr>
        <w:t xml:space="preserve">’s holding </w:t>
      </w:r>
      <w:r>
        <w:rPr>
          <w:lang w:bidi="en-US"/>
        </w:rPr>
        <w:t>did not extend</w:t>
      </w:r>
      <w:r>
        <w:rPr>
          <w:lang w:bidi="en-US"/>
        </w:rPr>
        <w:t xml:space="preserve"> to Jacobs’s situation because his on-bail status in the first case meant “</w:t>
      </w:r>
      <w:r w:rsidRPr="0001527B">
        <w:rPr>
          <w:lang w:bidi="en-US"/>
        </w:rPr>
        <w:t>his presentence custody during that period was not attributable to that proceeding.</w:t>
      </w:r>
      <w:r>
        <w:rPr>
          <w:lang w:bidi="en-US"/>
        </w:rPr>
        <w:t>”  (</w:t>
      </w:r>
      <w:r>
        <w:rPr>
          <w:i/>
          <w:iCs/>
          <w:lang w:bidi="en-US"/>
        </w:rPr>
        <w:t>Id.</w:t>
      </w:r>
      <w:r>
        <w:rPr>
          <w:lang w:bidi="en-US"/>
        </w:rPr>
        <w:t xml:space="preserve"> at p. 84.)  </w:t>
      </w:r>
    </w:p>
    <w:p w14:paraId="05BCB620" w14:textId="77777777" w:rsidR="004864A9" w:rsidRDefault="004864A9" w:rsidP="00CE6EB1">
      <w:pPr>
        <w:pStyle w:val="Heading2"/>
        <w:rPr>
          <w:lang w:bidi="en-US"/>
        </w:rPr>
      </w:pPr>
      <w:r>
        <w:rPr>
          <w:lang w:bidi="en-US"/>
        </w:rPr>
        <w:t xml:space="preserve">Defendant is Entitled to </w:t>
      </w:r>
      <w:r>
        <w:rPr>
          <w:lang w:bidi="en-US"/>
        </w:rPr>
        <w:t>Additional Presentence</w:t>
      </w:r>
      <w:r>
        <w:rPr>
          <w:lang w:bidi="en-US"/>
        </w:rPr>
        <w:t xml:space="preserve"> Custody Credit</w:t>
      </w:r>
    </w:p>
    <w:p w14:paraId="33A38F77" w14:textId="77777777" w:rsidR="004864A9" w:rsidRDefault="004864A9" w:rsidP="005737E6">
      <w:pPr>
        <w:spacing w:line="480" w:lineRule="exact"/>
        <w:rPr>
          <w:lang w:bidi="en-US"/>
        </w:rPr>
      </w:pPr>
      <w:r>
        <w:rPr>
          <w:lang w:bidi="en-US"/>
        </w:rPr>
        <w:tab/>
      </w:r>
      <w:r>
        <w:rPr>
          <w:lang w:bidi="en-US"/>
        </w:rPr>
        <w:t xml:space="preserve">The parties agree that this case turns on </w:t>
      </w:r>
      <w:r>
        <w:rPr>
          <w:lang w:bidi="en-US"/>
        </w:rPr>
        <w:t xml:space="preserve">how to </w:t>
      </w:r>
      <w:r>
        <w:rPr>
          <w:lang w:bidi="en-US"/>
        </w:rPr>
        <w:t>interpret th</w:t>
      </w:r>
      <w:r>
        <w:rPr>
          <w:lang w:bidi="en-US"/>
        </w:rPr>
        <w:t>e first</w:t>
      </w:r>
      <w:r>
        <w:rPr>
          <w:lang w:bidi="en-US"/>
        </w:rPr>
        <w:t xml:space="preserve"> sentence </w:t>
      </w:r>
      <w:r>
        <w:rPr>
          <w:lang w:bidi="en-US"/>
        </w:rPr>
        <w:t>of</w:t>
      </w:r>
      <w:r>
        <w:rPr>
          <w:lang w:bidi="en-US"/>
        </w:rPr>
        <w:t xml:space="preserve"> section 2900.5, subdivision (b)</w:t>
      </w:r>
      <w:proofErr w:type="gramStart"/>
      <w:r>
        <w:rPr>
          <w:lang w:bidi="en-US"/>
        </w:rPr>
        <w:t>:  “</w:t>
      </w:r>
      <w:proofErr w:type="gramEnd"/>
      <w:r w:rsidRPr="00786B70">
        <w:rPr>
          <w:lang w:bidi="en-US"/>
        </w:rPr>
        <w:t>For the purposes of this section, credit shall be given only where the custody to be credited is attributable to proceedings related to the same conduct for which the defendant has been convicted</w:t>
      </w:r>
      <w:r>
        <w:rPr>
          <w:lang w:bidi="en-US"/>
        </w:rPr>
        <w:t xml:space="preserve">.”  </w:t>
      </w:r>
      <w:r>
        <w:rPr>
          <w:lang w:bidi="en-US"/>
        </w:rPr>
        <w:t xml:space="preserve">The </w:t>
      </w:r>
      <w:r>
        <w:rPr>
          <w:lang w:bidi="en-US"/>
        </w:rPr>
        <w:t xml:space="preserve">sentence </w:t>
      </w:r>
      <w:r>
        <w:rPr>
          <w:lang w:bidi="en-US"/>
        </w:rPr>
        <w:t xml:space="preserve">is </w:t>
      </w:r>
      <w:r>
        <w:rPr>
          <w:lang w:bidi="en-US"/>
        </w:rPr>
        <w:t>ambiguous as applied to defendant’s case</w:t>
      </w:r>
      <w:r>
        <w:rPr>
          <w:lang w:bidi="en-US"/>
        </w:rPr>
        <w:t>s</w:t>
      </w:r>
      <w:r>
        <w:rPr>
          <w:lang w:bidi="en-US"/>
        </w:rPr>
        <w:t>.</w:t>
      </w:r>
      <w:r>
        <w:rPr>
          <w:rStyle w:val="FootnoteReference"/>
          <w:lang w:bidi="en-US"/>
        </w:rPr>
        <w:footnoteReference w:id="3"/>
      </w:r>
    </w:p>
    <w:p w14:paraId="24C397A8" w14:textId="77777777" w:rsidR="004864A9" w:rsidRDefault="004864A9" w:rsidP="005737E6">
      <w:pPr>
        <w:spacing w:line="480" w:lineRule="exact"/>
        <w:rPr>
          <w:lang w:bidi="en-US"/>
        </w:rPr>
      </w:pPr>
      <w:r>
        <w:rPr>
          <w:lang w:bidi="en-US"/>
        </w:rPr>
        <w:tab/>
      </w:r>
      <w:r>
        <w:rPr>
          <w:lang w:bidi="en-US"/>
        </w:rPr>
        <w:t>The phrase “</w:t>
      </w:r>
      <w:r w:rsidRPr="00786B70">
        <w:rPr>
          <w:lang w:bidi="en-US"/>
        </w:rPr>
        <w:t>attributable to proceedings related to the same conduct</w:t>
      </w:r>
      <w:r>
        <w:rPr>
          <w:lang w:bidi="en-US"/>
        </w:rPr>
        <w:t>”</w:t>
      </w:r>
      <w:r>
        <w:rPr>
          <w:lang w:bidi="en-US"/>
        </w:rPr>
        <w:t xml:space="preserve"> could mean—consistent with </w:t>
      </w:r>
      <w:r>
        <w:rPr>
          <w:i/>
          <w:iCs/>
          <w:lang w:bidi="en-US"/>
        </w:rPr>
        <w:t>Jacobs</w:t>
      </w:r>
      <w:r>
        <w:t xml:space="preserve"> and the trial court’s decision</w:t>
      </w:r>
      <w:r>
        <w:rPr>
          <w:lang w:bidi="en-US"/>
        </w:rPr>
        <w:t xml:space="preserve">—that </w:t>
      </w:r>
      <w:r>
        <w:rPr>
          <w:lang w:bidi="en-US"/>
        </w:rPr>
        <w:t xml:space="preserve">each criminal case must be considered a separate proceeding even if resolved and sentenced </w:t>
      </w:r>
      <w:r>
        <w:rPr>
          <w:lang w:bidi="en-US"/>
        </w:rPr>
        <w:t>at the same time</w:t>
      </w:r>
      <w:r>
        <w:rPr>
          <w:lang w:bidi="en-US"/>
        </w:rPr>
        <w:t xml:space="preserve">.  </w:t>
      </w:r>
      <w:r>
        <w:rPr>
          <w:lang w:bidi="en-US"/>
        </w:rPr>
        <w:t>Under that interpretation</w:t>
      </w:r>
      <w:r>
        <w:rPr>
          <w:lang w:bidi="en-US"/>
        </w:rPr>
        <w:t xml:space="preserve">, a defendant would not receive credit </w:t>
      </w:r>
      <w:r>
        <w:rPr>
          <w:lang w:bidi="en-US"/>
        </w:rPr>
        <w:t xml:space="preserve">in </w:t>
      </w:r>
      <w:r>
        <w:rPr>
          <w:lang w:bidi="en-US"/>
        </w:rPr>
        <w:t>one</w:t>
      </w:r>
      <w:r>
        <w:rPr>
          <w:lang w:bidi="en-US"/>
        </w:rPr>
        <w:t xml:space="preserve"> case </w:t>
      </w:r>
      <w:r>
        <w:rPr>
          <w:lang w:bidi="en-US"/>
        </w:rPr>
        <w:t xml:space="preserve">for </w:t>
      </w:r>
      <w:r>
        <w:rPr>
          <w:lang w:bidi="en-US"/>
        </w:rPr>
        <w:t>time spent in</w:t>
      </w:r>
      <w:r>
        <w:rPr>
          <w:lang w:bidi="en-US"/>
        </w:rPr>
        <w:t xml:space="preserve"> actual custody in a second case if the defendant was technically “on bail” </w:t>
      </w:r>
      <w:r>
        <w:rPr>
          <w:lang w:bidi="en-US"/>
        </w:rPr>
        <w:t>in the first case</w:t>
      </w:r>
      <w:r>
        <w:rPr>
          <w:lang w:bidi="en-US"/>
        </w:rPr>
        <w:t xml:space="preserve">.  But </w:t>
      </w:r>
      <w:r>
        <w:rPr>
          <w:lang w:bidi="en-US"/>
        </w:rPr>
        <w:t>“</w:t>
      </w:r>
      <w:r w:rsidRPr="00786B70">
        <w:rPr>
          <w:lang w:bidi="en-US"/>
        </w:rPr>
        <w:t>attributable to proceedings related to the same conduct</w:t>
      </w:r>
      <w:r>
        <w:rPr>
          <w:lang w:bidi="en-US"/>
        </w:rPr>
        <w:t>” could also mean that a defendant is entitled to credit in all cases that are resolved and sentenced together for all custody attributable to all conduc</w:t>
      </w:r>
      <w:r>
        <w:rPr>
          <w:lang w:bidi="en-US"/>
        </w:rPr>
        <w:t xml:space="preserve">t in those cases occurring after the defendant’s </w:t>
      </w:r>
      <w:r>
        <w:rPr>
          <w:lang w:bidi="en-US"/>
        </w:rPr>
        <w:lastRenderedPageBreak/>
        <w:t xml:space="preserve">arrest in any given case.  Under the latter interpretation, a defendant would receive credit for all days of actual custody without regard to contemporaneous “on bail” or “own recognizance” status in any </w:t>
      </w:r>
      <w:proofErr w:type="gramStart"/>
      <w:r>
        <w:rPr>
          <w:lang w:bidi="en-US"/>
        </w:rPr>
        <w:t>particular case</w:t>
      </w:r>
      <w:proofErr w:type="gramEnd"/>
      <w:r>
        <w:rPr>
          <w:lang w:bidi="en-US"/>
        </w:rPr>
        <w:t>.</w:t>
      </w:r>
    </w:p>
    <w:p w14:paraId="7E9DD02F" w14:textId="77777777" w:rsidR="004864A9" w:rsidRDefault="004864A9" w:rsidP="005737E6">
      <w:pPr>
        <w:spacing w:line="480" w:lineRule="exact"/>
        <w:rPr>
          <w:lang w:bidi="en-US"/>
        </w:rPr>
      </w:pPr>
      <w:r>
        <w:rPr>
          <w:lang w:bidi="en-US"/>
        </w:rPr>
        <w:tab/>
        <w:t>We find the latter interpretation more consistent with the purposes of awarding presentence credit</w:t>
      </w:r>
      <w:r>
        <w:rPr>
          <w:lang w:bidi="en-US"/>
        </w:rPr>
        <w:t xml:space="preserve">, and </w:t>
      </w:r>
      <w:r>
        <w:rPr>
          <w:lang w:bidi="en-US"/>
        </w:rPr>
        <w:t xml:space="preserve">it is </w:t>
      </w:r>
      <w:r>
        <w:rPr>
          <w:lang w:bidi="en-US"/>
        </w:rPr>
        <w:t>not foreclosed by any Supreme Court authority</w:t>
      </w:r>
      <w:r>
        <w:rPr>
          <w:lang w:bidi="en-US"/>
        </w:rPr>
        <w:t xml:space="preserve">.  </w:t>
      </w:r>
      <w:r>
        <w:rPr>
          <w:lang w:bidi="en-US"/>
        </w:rPr>
        <w:t>We have noted</w:t>
      </w:r>
      <w:r>
        <w:rPr>
          <w:lang w:bidi="en-US"/>
        </w:rPr>
        <w:t xml:space="preserve"> </w:t>
      </w:r>
      <w:r>
        <w:rPr>
          <w:i/>
          <w:iCs/>
          <w:lang w:bidi="en-US"/>
        </w:rPr>
        <w:t>Joyner</w:t>
      </w:r>
      <w:r>
        <w:rPr>
          <w:i/>
          <w:iCs/>
          <w:lang w:bidi="en-US"/>
        </w:rPr>
        <w:t>’s</w:t>
      </w:r>
      <w:r>
        <w:rPr>
          <w:i/>
          <w:iCs/>
          <w:lang w:bidi="en-US"/>
        </w:rPr>
        <w:t xml:space="preserve"> </w:t>
      </w:r>
      <w:r>
        <w:rPr>
          <w:lang w:bidi="en-US"/>
        </w:rPr>
        <w:t xml:space="preserve">observation </w:t>
      </w:r>
      <w:r>
        <w:rPr>
          <w:lang w:bidi="en-US"/>
        </w:rPr>
        <w:t>that courts should aim to “</w:t>
      </w:r>
      <w:r w:rsidRPr="00763F29">
        <w:rPr>
          <w:lang w:bidi="en-US"/>
        </w:rPr>
        <w:t>provide for section 2900.5 a construction which is faithful to its language, which produces fair and reasonable results in a majority of cases, and which can be readily understood and applied by trial courts.”</w:t>
      </w:r>
      <w:r>
        <w:rPr>
          <w:lang w:bidi="en-US"/>
        </w:rPr>
        <w:t xml:space="preserve">  (</w:t>
      </w:r>
      <w:r w:rsidRPr="005737E6">
        <w:rPr>
          <w:i/>
          <w:iCs/>
          <w:lang w:bidi="en-US"/>
        </w:rPr>
        <w:t>Joyner</w:t>
      </w:r>
      <w:r>
        <w:rPr>
          <w:lang w:bidi="en-US"/>
        </w:rPr>
        <w:t xml:space="preserve">, </w:t>
      </w:r>
      <w:r>
        <w:rPr>
          <w:i/>
          <w:iCs/>
          <w:lang w:bidi="en-US"/>
        </w:rPr>
        <w:t>supra</w:t>
      </w:r>
      <w:r>
        <w:rPr>
          <w:lang w:bidi="en-US"/>
        </w:rPr>
        <w:t xml:space="preserve">, 48 Cal.3d at p. 495.)  </w:t>
      </w:r>
      <w:r>
        <w:rPr>
          <w:lang w:bidi="en-US"/>
        </w:rPr>
        <w:t xml:space="preserve">Where a defendant is convicted and sentenced at the same </w:t>
      </w:r>
      <w:r>
        <w:rPr>
          <w:lang w:bidi="en-US"/>
        </w:rPr>
        <w:t>hearing</w:t>
      </w:r>
      <w:r>
        <w:rPr>
          <w:lang w:bidi="en-US"/>
        </w:rPr>
        <w:t xml:space="preserve"> </w:t>
      </w:r>
      <w:r>
        <w:rPr>
          <w:lang w:bidi="en-US"/>
        </w:rPr>
        <w:t>on</w:t>
      </w:r>
      <w:r>
        <w:rPr>
          <w:lang w:bidi="en-US"/>
        </w:rPr>
        <w:t xml:space="preserve"> multiple </w:t>
      </w:r>
      <w:r>
        <w:rPr>
          <w:lang w:bidi="en-US"/>
        </w:rPr>
        <w:t>open</w:t>
      </w:r>
      <w:r>
        <w:rPr>
          <w:lang w:bidi="en-US"/>
        </w:rPr>
        <w:t xml:space="preserve"> cases, we believe it is fair and reasonable that the defen</w:t>
      </w:r>
      <w:r>
        <w:rPr>
          <w:lang w:bidi="en-US"/>
        </w:rPr>
        <w:t xml:space="preserve">dant receive credit for all </w:t>
      </w:r>
      <w:r>
        <w:rPr>
          <w:lang w:bidi="en-US"/>
        </w:rPr>
        <w:t xml:space="preserve">days </w:t>
      </w:r>
      <w:proofErr w:type="gramStart"/>
      <w:r>
        <w:rPr>
          <w:lang w:bidi="en-US"/>
        </w:rPr>
        <w:t>actually spent</w:t>
      </w:r>
      <w:proofErr w:type="gramEnd"/>
      <w:r>
        <w:rPr>
          <w:lang w:bidi="en-US"/>
        </w:rPr>
        <w:t xml:space="preserve"> in presentence custody; those days should not be limited based on purely technical noncustodial status in any particular case</w:t>
      </w:r>
      <w:r>
        <w:rPr>
          <w:lang w:bidi="en-US"/>
        </w:rPr>
        <w:t xml:space="preserve">.  Our interpretation can be readily understood and applied by trial courts because it will </w:t>
      </w:r>
      <w:r>
        <w:rPr>
          <w:lang w:bidi="en-US"/>
        </w:rPr>
        <w:t>reduce</w:t>
      </w:r>
      <w:r>
        <w:rPr>
          <w:lang w:bidi="en-US"/>
        </w:rPr>
        <w:t xml:space="preserve"> the need to parse actual versus technical custody status in </w:t>
      </w:r>
      <w:r>
        <w:rPr>
          <w:lang w:bidi="en-US"/>
        </w:rPr>
        <w:t>multiple open cases</w:t>
      </w:r>
      <w:r>
        <w:rPr>
          <w:lang w:bidi="en-US"/>
        </w:rPr>
        <w:t xml:space="preserve">.  And our interpretation is not foreclosed by </w:t>
      </w:r>
      <w:r>
        <w:rPr>
          <w:i/>
          <w:iCs/>
          <w:lang w:bidi="en-US"/>
        </w:rPr>
        <w:t xml:space="preserve">Joyner </w:t>
      </w:r>
      <w:r>
        <w:rPr>
          <w:lang w:bidi="en-US"/>
        </w:rPr>
        <w:t xml:space="preserve">or </w:t>
      </w:r>
      <w:r>
        <w:rPr>
          <w:i/>
          <w:iCs/>
          <w:lang w:bidi="en-US"/>
        </w:rPr>
        <w:t>Bruner</w:t>
      </w:r>
      <w:r>
        <w:rPr>
          <w:lang w:bidi="en-US"/>
        </w:rPr>
        <w:t xml:space="preserve"> because the strict causation </w:t>
      </w:r>
      <w:proofErr w:type="gramStart"/>
      <w:r>
        <w:rPr>
          <w:lang w:bidi="en-US"/>
        </w:rPr>
        <w:t>test</w:t>
      </w:r>
      <w:proofErr w:type="gramEnd"/>
      <w:r>
        <w:rPr>
          <w:lang w:bidi="en-US"/>
        </w:rPr>
        <w:t xml:space="preserve"> they </w:t>
      </w:r>
      <w:r>
        <w:rPr>
          <w:lang w:bidi="en-US"/>
        </w:rPr>
        <w:t>describe</w:t>
      </w:r>
      <w:r>
        <w:rPr>
          <w:lang w:bidi="en-US"/>
        </w:rPr>
        <w:t xml:space="preserve"> applies “</w:t>
      </w:r>
      <w:r w:rsidRPr="007C4AE4">
        <w:rPr>
          <w:lang w:bidi="en-US"/>
        </w:rPr>
        <w:t>where the defendant has already received</w:t>
      </w:r>
      <w:r w:rsidRPr="007C4AE4">
        <w:rPr>
          <w:lang w:bidi="en-US"/>
        </w:rPr>
        <w:t xml:space="preserve"> credit for such custody in another proceeding</w:t>
      </w:r>
      <w:r>
        <w:rPr>
          <w:lang w:bidi="en-US"/>
        </w:rPr>
        <w:t xml:space="preserve">.”  </w:t>
      </w:r>
      <w:r>
        <w:rPr>
          <w:lang w:bidi="en-US"/>
        </w:rPr>
        <w:t>(</w:t>
      </w:r>
      <w:r>
        <w:rPr>
          <w:i/>
          <w:iCs/>
          <w:lang w:bidi="en-US"/>
        </w:rPr>
        <w:t>Bruner</w:t>
      </w:r>
      <w:r>
        <w:rPr>
          <w:lang w:bidi="en-US"/>
        </w:rPr>
        <w:t xml:space="preserve">, </w:t>
      </w:r>
      <w:r>
        <w:rPr>
          <w:i/>
          <w:iCs/>
          <w:lang w:bidi="en-US"/>
        </w:rPr>
        <w:t>supra</w:t>
      </w:r>
      <w:r>
        <w:rPr>
          <w:lang w:bidi="en-US"/>
        </w:rPr>
        <w:t>, 9 Cal.4th </w:t>
      </w:r>
      <w:r>
        <w:rPr>
          <w:lang w:bidi="en-US"/>
        </w:rPr>
        <w:t>at p. 1180</w:t>
      </w:r>
      <w:r>
        <w:rPr>
          <w:lang w:bidi="en-US"/>
        </w:rPr>
        <w:t>.</w:t>
      </w:r>
      <w:r>
        <w:rPr>
          <w:lang w:bidi="en-US"/>
        </w:rPr>
        <w:t>)</w:t>
      </w:r>
      <w:r>
        <w:rPr>
          <w:lang w:bidi="en-US"/>
        </w:rPr>
        <w:t xml:space="preserve">  </w:t>
      </w:r>
    </w:p>
    <w:p w14:paraId="07489835" w14:textId="77777777" w:rsidR="004864A9" w:rsidRDefault="004864A9" w:rsidP="005737E6">
      <w:pPr>
        <w:spacing w:line="480" w:lineRule="exact"/>
        <w:rPr>
          <w:lang w:bidi="en-US"/>
        </w:rPr>
      </w:pPr>
      <w:r>
        <w:rPr>
          <w:lang w:bidi="en-US"/>
        </w:rPr>
        <w:tab/>
        <w:t xml:space="preserve">We note that </w:t>
      </w:r>
      <w:r>
        <w:rPr>
          <w:lang w:bidi="en-US"/>
        </w:rPr>
        <w:t xml:space="preserve">the </w:t>
      </w:r>
      <w:r>
        <w:rPr>
          <w:lang w:bidi="en-US"/>
        </w:rPr>
        <w:t xml:space="preserve">outcome we </w:t>
      </w:r>
      <w:r>
        <w:rPr>
          <w:lang w:bidi="en-US"/>
        </w:rPr>
        <w:t xml:space="preserve">conclude </w:t>
      </w:r>
      <w:r>
        <w:rPr>
          <w:lang w:bidi="en-US"/>
        </w:rPr>
        <w:t xml:space="preserve">is </w:t>
      </w:r>
      <w:r>
        <w:rPr>
          <w:lang w:bidi="en-US"/>
        </w:rPr>
        <w:t>required by section 2900.5 on these facts</w:t>
      </w:r>
      <w:r>
        <w:rPr>
          <w:lang w:bidi="en-US"/>
        </w:rPr>
        <w:t xml:space="preserve"> applies to concurrent sentences.  If a trial court elects to</w:t>
      </w:r>
      <w:r>
        <w:rPr>
          <w:lang w:bidi="en-US"/>
        </w:rPr>
        <w:t xml:space="preserve"> impose consecutive sentences, </w:t>
      </w:r>
      <w:r>
        <w:rPr>
          <w:lang w:bidi="en-US"/>
        </w:rPr>
        <w:t>the statute specifies presentence credit</w:t>
      </w:r>
      <w:r>
        <w:rPr>
          <w:lang w:bidi="en-US"/>
        </w:rPr>
        <w:t xml:space="preserve"> “</w:t>
      </w:r>
      <w:r w:rsidRPr="000C0C8D">
        <w:rPr>
          <w:lang w:bidi="en-US"/>
        </w:rPr>
        <w:t>shall be given only once for a single period of custody attributable to multiple offenses</w:t>
      </w:r>
      <w:r>
        <w:rPr>
          <w:lang w:bidi="en-US"/>
        </w:rPr>
        <w:t xml:space="preserve">.”  (§ 2900.5, subd. (b).) </w:t>
      </w:r>
      <w:r w:rsidRPr="000C0C8D">
        <w:rPr>
          <w:lang w:bidi="en-US"/>
        </w:rPr>
        <w:t xml:space="preserve"> </w:t>
      </w:r>
      <w:r>
        <w:rPr>
          <w:lang w:bidi="en-US"/>
        </w:rPr>
        <w:t xml:space="preserve">There is also nothing </w:t>
      </w:r>
      <w:r>
        <w:rPr>
          <w:lang w:bidi="en-US"/>
        </w:rPr>
        <w:t>in the statute to prevent</w:t>
      </w:r>
      <w:r>
        <w:rPr>
          <w:lang w:bidi="en-US"/>
        </w:rPr>
        <w:t xml:space="preserve"> the parties from </w:t>
      </w:r>
      <w:r>
        <w:rPr>
          <w:lang w:bidi="en-US"/>
        </w:rPr>
        <w:t>expressly addressin</w:t>
      </w:r>
      <w:r>
        <w:rPr>
          <w:lang w:bidi="en-US"/>
        </w:rPr>
        <w:t>g</w:t>
      </w:r>
      <w:r>
        <w:rPr>
          <w:lang w:bidi="en-US"/>
        </w:rPr>
        <w:t xml:space="preserve"> in a negotiated disposition</w:t>
      </w:r>
      <w:r>
        <w:rPr>
          <w:lang w:bidi="en-US"/>
        </w:rPr>
        <w:t xml:space="preserve"> </w:t>
      </w:r>
      <w:r>
        <w:rPr>
          <w:lang w:bidi="en-US"/>
        </w:rPr>
        <w:t>whether presentence custody days will be waived or awarded in any given case</w:t>
      </w:r>
      <w:r>
        <w:rPr>
          <w:lang w:bidi="en-US"/>
        </w:rPr>
        <w:t xml:space="preserve">. </w:t>
      </w:r>
    </w:p>
    <w:p w14:paraId="0703E9EC" w14:textId="77777777" w:rsidR="004864A9" w:rsidRDefault="004864A9" w:rsidP="00046B1F">
      <w:pPr>
        <w:spacing w:line="480" w:lineRule="exact"/>
        <w:rPr>
          <w:lang w:bidi="en-US"/>
        </w:rPr>
      </w:pPr>
      <w:r>
        <w:rPr>
          <w:lang w:bidi="en-US"/>
        </w:rPr>
        <w:tab/>
        <w:t xml:space="preserve">The Attorney General argues awarding credits </w:t>
      </w:r>
      <w:r>
        <w:rPr>
          <w:lang w:bidi="en-US"/>
        </w:rPr>
        <w:t xml:space="preserve">on all cases </w:t>
      </w:r>
      <w:r>
        <w:rPr>
          <w:lang w:bidi="en-US"/>
        </w:rPr>
        <w:t xml:space="preserve">sentenced </w:t>
      </w:r>
      <w:r>
        <w:rPr>
          <w:lang w:bidi="en-US"/>
        </w:rPr>
        <w:t xml:space="preserve">concurrently </w:t>
      </w:r>
      <w:r>
        <w:rPr>
          <w:lang w:bidi="en-US"/>
        </w:rPr>
        <w:t>on the same date will result in a windfall.  He contends awarding credit for time defendant “</w:t>
      </w:r>
      <w:r w:rsidRPr="000C0C8D">
        <w:rPr>
          <w:lang w:bidi="en-US"/>
        </w:rPr>
        <w:t xml:space="preserve">was simultaneously in custody and on bail and his own recognizance would simply reward his criminal behavior and incentivize other defendants to engage in the </w:t>
      </w:r>
      <w:r w:rsidRPr="000C0C8D">
        <w:rPr>
          <w:lang w:bidi="en-US"/>
        </w:rPr>
        <w:lastRenderedPageBreak/>
        <w:t>same while out on bail or on their own recognizance</w:t>
      </w:r>
      <w:r>
        <w:rPr>
          <w:lang w:bidi="en-US"/>
        </w:rPr>
        <w:t xml:space="preserve">.”  </w:t>
      </w:r>
      <w:r>
        <w:rPr>
          <w:lang w:bidi="en-US"/>
        </w:rPr>
        <w:t xml:space="preserve">We acknowledge </w:t>
      </w:r>
      <w:proofErr w:type="gramStart"/>
      <w:r>
        <w:rPr>
          <w:lang w:bidi="en-US"/>
        </w:rPr>
        <w:t>defendant</w:t>
      </w:r>
      <w:proofErr w:type="gramEnd"/>
      <w:r>
        <w:rPr>
          <w:lang w:bidi="en-US"/>
        </w:rPr>
        <w:t xml:space="preserve"> is an imperfect candidate for relief, and we in no way condone or ignore recidivism.  But we nonetheless conclude that the result we reach here </w:t>
      </w:r>
      <w:r>
        <w:rPr>
          <w:lang w:bidi="en-US"/>
        </w:rPr>
        <w:t>is compelled by section 2900.5.  O</w:t>
      </w:r>
      <w:r>
        <w:rPr>
          <w:lang w:bidi="en-US"/>
        </w:rPr>
        <w:t xml:space="preserve">ne purpose of awarding presentence credits is to </w:t>
      </w:r>
      <w:r w:rsidRPr="000C0C8D">
        <w:rPr>
          <w:lang w:bidi="en-US"/>
        </w:rPr>
        <w:t>eliminat</w:t>
      </w:r>
      <w:r>
        <w:rPr>
          <w:lang w:bidi="en-US"/>
        </w:rPr>
        <w:t>e</w:t>
      </w:r>
      <w:r w:rsidRPr="000C0C8D">
        <w:rPr>
          <w:lang w:bidi="en-US"/>
        </w:rPr>
        <w:t xml:space="preserve"> unequal treatment </w:t>
      </w:r>
      <w:r>
        <w:rPr>
          <w:lang w:bidi="en-US"/>
        </w:rPr>
        <w:t xml:space="preserve">between </w:t>
      </w:r>
      <w:r w:rsidRPr="000C0C8D">
        <w:rPr>
          <w:lang w:bidi="en-US"/>
        </w:rPr>
        <w:t xml:space="preserve">defendants </w:t>
      </w:r>
      <w:r>
        <w:rPr>
          <w:lang w:bidi="en-US"/>
        </w:rPr>
        <w:t xml:space="preserve">who </w:t>
      </w:r>
      <w:r>
        <w:rPr>
          <w:lang w:bidi="en-US"/>
        </w:rPr>
        <w:t>are versus are not able to</w:t>
      </w:r>
      <w:r>
        <w:rPr>
          <w:lang w:bidi="en-US"/>
        </w:rPr>
        <w:t xml:space="preserve"> post bail.  (</w:t>
      </w:r>
      <w:r w:rsidRPr="005737E6">
        <w:rPr>
          <w:i/>
          <w:iCs/>
          <w:lang w:bidi="en-US"/>
        </w:rPr>
        <w:t>Joyner</w:t>
      </w:r>
      <w:r>
        <w:rPr>
          <w:lang w:bidi="en-US"/>
        </w:rPr>
        <w:t xml:space="preserve">, </w:t>
      </w:r>
      <w:r>
        <w:rPr>
          <w:i/>
          <w:iCs/>
          <w:lang w:bidi="en-US"/>
        </w:rPr>
        <w:t>supra</w:t>
      </w:r>
      <w:r>
        <w:rPr>
          <w:lang w:bidi="en-US"/>
        </w:rPr>
        <w:t>, 48</w:t>
      </w:r>
      <w:r>
        <w:rPr>
          <w:lang w:bidi="en-US"/>
        </w:rPr>
        <w:t> </w:t>
      </w:r>
      <w:r>
        <w:rPr>
          <w:lang w:bidi="en-US"/>
        </w:rPr>
        <w:t xml:space="preserve">Cal.3d at p. 494.)  Here, although defendant was able to post bail </w:t>
      </w:r>
      <w:r>
        <w:rPr>
          <w:lang w:bidi="en-US"/>
        </w:rPr>
        <w:t xml:space="preserve">in </w:t>
      </w:r>
      <w:r>
        <w:rPr>
          <w:lang w:bidi="en-US"/>
        </w:rPr>
        <w:t xml:space="preserve">case </w:t>
      </w:r>
      <w:proofErr w:type="gramStart"/>
      <w:r>
        <w:rPr>
          <w:lang w:bidi="en-US"/>
        </w:rPr>
        <w:t>A</w:t>
      </w:r>
      <w:proofErr w:type="gramEnd"/>
      <w:r>
        <w:rPr>
          <w:lang w:bidi="en-US"/>
        </w:rPr>
        <w:t xml:space="preserve"> he was </w:t>
      </w:r>
      <w:r>
        <w:rPr>
          <w:lang w:bidi="en-US"/>
        </w:rPr>
        <w:t>apparently</w:t>
      </w:r>
      <w:r>
        <w:rPr>
          <w:lang w:bidi="en-US"/>
        </w:rPr>
        <w:t xml:space="preserve"> unable to post bail </w:t>
      </w:r>
      <w:r>
        <w:rPr>
          <w:lang w:bidi="en-US"/>
        </w:rPr>
        <w:t>in</w:t>
      </w:r>
      <w:r>
        <w:rPr>
          <w:lang w:bidi="en-US"/>
        </w:rPr>
        <w:t xml:space="preserve"> the later cases.  Our decision ensures equal treatment between defendant and individuals who could afford bail on </w:t>
      </w:r>
      <w:r>
        <w:rPr>
          <w:lang w:bidi="en-US"/>
        </w:rPr>
        <w:t>additional</w:t>
      </w:r>
      <w:r>
        <w:rPr>
          <w:lang w:bidi="en-US"/>
        </w:rPr>
        <w:t xml:space="preserve"> cases.  </w:t>
      </w:r>
    </w:p>
    <w:p w14:paraId="3C31ACD8" w14:textId="77777777" w:rsidR="004864A9" w:rsidRDefault="004864A9" w:rsidP="00046B1F">
      <w:pPr>
        <w:spacing w:line="480" w:lineRule="exact"/>
        <w:rPr>
          <w:lang w:bidi="en-US"/>
        </w:rPr>
      </w:pPr>
      <w:r>
        <w:rPr>
          <w:lang w:bidi="en-US"/>
        </w:rPr>
        <w:tab/>
        <w:t>We</w:t>
      </w:r>
      <w:r>
        <w:rPr>
          <w:lang w:bidi="en-US"/>
        </w:rPr>
        <w:t xml:space="preserve"> also</w:t>
      </w:r>
      <w:r>
        <w:rPr>
          <w:lang w:bidi="en-US"/>
        </w:rPr>
        <w:t xml:space="preserve"> acknowledge that </w:t>
      </w:r>
      <w:r>
        <w:rPr>
          <w:lang w:bidi="en-US"/>
        </w:rPr>
        <w:t>some defendants who are arrested while released on bail</w:t>
      </w:r>
      <w:r>
        <w:rPr>
          <w:lang w:bidi="en-US"/>
        </w:rPr>
        <w:t xml:space="preserve"> may seek to retain</w:t>
      </w:r>
      <w:r>
        <w:rPr>
          <w:lang w:bidi="en-US"/>
        </w:rPr>
        <w:t xml:space="preserve"> their</w:t>
      </w:r>
      <w:r>
        <w:rPr>
          <w:lang w:bidi="en-US"/>
        </w:rPr>
        <w:t xml:space="preserve"> on-bail status in an earlier case in the hope of </w:t>
      </w:r>
      <w:r>
        <w:rPr>
          <w:lang w:bidi="en-US"/>
        </w:rPr>
        <w:t>finding</w:t>
      </w:r>
      <w:r>
        <w:rPr>
          <w:lang w:bidi="en-US"/>
        </w:rPr>
        <w:t xml:space="preserve"> sufficient resources to </w:t>
      </w:r>
      <w:r>
        <w:rPr>
          <w:lang w:bidi="en-US"/>
        </w:rPr>
        <w:t>post</w:t>
      </w:r>
      <w:r>
        <w:rPr>
          <w:lang w:bidi="en-US"/>
        </w:rPr>
        <w:t xml:space="preserve"> bail </w:t>
      </w:r>
      <w:r>
        <w:rPr>
          <w:lang w:bidi="en-US"/>
        </w:rPr>
        <w:t>in</w:t>
      </w:r>
      <w:r>
        <w:rPr>
          <w:lang w:bidi="en-US"/>
        </w:rPr>
        <w:t xml:space="preserve"> a later-filed case</w:t>
      </w:r>
      <w:r>
        <w:rPr>
          <w:lang w:bidi="en-US"/>
        </w:rPr>
        <w:t xml:space="preserve"> or cases</w:t>
      </w:r>
      <w:r>
        <w:rPr>
          <w:lang w:bidi="en-US"/>
        </w:rPr>
        <w:t>.  But we do not believe a defendant’s decision to do so should prevent the</w:t>
      </w:r>
      <w:r>
        <w:rPr>
          <w:lang w:bidi="en-US"/>
        </w:rPr>
        <w:t>m</w:t>
      </w:r>
      <w:r>
        <w:rPr>
          <w:lang w:bidi="en-US"/>
        </w:rPr>
        <w:t xml:space="preserve"> from receiving credit for all time in actual custody when </w:t>
      </w:r>
      <w:r>
        <w:rPr>
          <w:lang w:bidi="en-US"/>
        </w:rPr>
        <w:t xml:space="preserve">they are ultimately sentenced in </w:t>
      </w:r>
      <w:r>
        <w:rPr>
          <w:lang w:bidi="en-US"/>
        </w:rPr>
        <w:t>multiple cases</w:t>
      </w:r>
      <w:r>
        <w:rPr>
          <w:lang w:bidi="en-US"/>
        </w:rPr>
        <w:t>.</w:t>
      </w:r>
    </w:p>
    <w:p w14:paraId="58C0B774" w14:textId="77777777" w:rsidR="004864A9" w:rsidRDefault="004864A9" w:rsidP="00A41FBF">
      <w:pPr>
        <w:spacing w:line="480" w:lineRule="exact"/>
        <w:rPr>
          <w:lang w:bidi="en-US"/>
        </w:rPr>
      </w:pPr>
      <w:r>
        <w:rPr>
          <w:lang w:bidi="en-US"/>
        </w:rPr>
        <w:tab/>
      </w:r>
      <w:r>
        <w:rPr>
          <w:lang w:bidi="en-US"/>
        </w:rPr>
        <w:t>W</w:t>
      </w:r>
      <w:r>
        <w:rPr>
          <w:lang w:bidi="en-US"/>
        </w:rPr>
        <w:t xml:space="preserve">e agree with </w:t>
      </w:r>
      <w:r>
        <w:rPr>
          <w:i/>
          <w:iCs/>
          <w:lang w:bidi="en-US"/>
        </w:rPr>
        <w:t xml:space="preserve">Kunath </w:t>
      </w:r>
      <w:r>
        <w:rPr>
          <w:lang w:bidi="en-US"/>
        </w:rPr>
        <w:t>i</w:t>
      </w:r>
      <w:r>
        <w:rPr>
          <w:lang w:bidi="en-US"/>
        </w:rPr>
        <w:t xml:space="preserve">n concluding </w:t>
      </w:r>
      <w:r>
        <w:rPr>
          <w:lang w:bidi="en-US"/>
        </w:rPr>
        <w:t xml:space="preserve">that </w:t>
      </w:r>
      <w:r>
        <w:rPr>
          <w:lang w:bidi="en-US"/>
        </w:rPr>
        <w:t>a defendant who is simultaneously sentenced to concurrent terms in multiple open cases</w:t>
      </w:r>
      <w:r>
        <w:rPr>
          <w:lang w:bidi="en-US"/>
        </w:rPr>
        <w:t>, where</w:t>
      </w:r>
      <w:r>
        <w:rPr>
          <w:lang w:bidi="en-US"/>
        </w:rPr>
        <w:t xml:space="preserve"> all presentence custody derives solely from those charges</w:t>
      </w:r>
      <w:r>
        <w:rPr>
          <w:lang w:bidi="en-US"/>
        </w:rPr>
        <w:t>,</w:t>
      </w:r>
      <w:r>
        <w:rPr>
          <w:lang w:bidi="en-US"/>
        </w:rPr>
        <w:t xml:space="preserve"> is entitled to </w:t>
      </w:r>
      <w:r>
        <w:rPr>
          <w:lang w:bidi="en-US"/>
        </w:rPr>
        <w:t xml:space="preserve">presentence custody </w:t>
      </w:r>
      <w:r>
        <w:rPr>
          <w:lang w:bidi="en-US"/>
        </w:rPr>
        <w:t xml:space="preserve">credit </w:t>
      </w:r>
      <w:r>
        <w:rPr>
          <w:lang w:bidi="en-US"/>
        </w:rPr>
        <w:t xml:space="preserve">toward </w:t>
      </w:r>
      <w:proofErr w:type="gramStart"/>
      <w:r>
        <w:rPr>
          <w:lang w:bidi="en-US"/>
        </w:rPr>
        <w:t>all of</w:t>
      </w:r>
      <w:proofErr w:type="gramEnd"/>
      <w:r>
        <w:rPr>
          <w:lang w:bidi="en-US"/>
        </w:rPr>
        <w:t xml:space="preserve"> those sentences</w:t>
      </w:r>
      <w:r>
        <w:rPr>
          <w:lang w:bidi="en-US"/>
        </w:rPr>
        <w:t>.</w:t>
      </w:r>
      <w:r>
        <w:rPr>
          <w:lang w:bidi="en-US"/>
        </w:rPr>
        <w:t xml:space="preserve">  </w:t>
      </w:r>
      <w:r>
        <w:rPr>
          <w:lang w:bidi="en-US"/>
        </w:rPr>
        <w:t>T</w:t>
      </w:r>
      <w:r>
        <w:rPr>
          <w:lang w:bidi="en-US"/>
        </w:rPr>
        <w:t>h</w:t>
      </w:r>
      <w:r>
        <w:rPr>
          <w:lang w:bidi="en-US"/>
        </w:rPr>
        <w:t>e</w:t>
      </w:r>
      <w:r>
        <w:rPr>
          <w:lang w:bidi="en-US"/>
        </w:rPr>
        <w:t xml:space="preserve"> </w:t>
      </w:r>
      <w:r>
        <w:rPr>
          <w:lang w:bidi="en-US"/>
        </w:rPr>
        <w:t>principle</w:t>
      </w:r>
      <w:r>
        <w:rPr>
          <w:lang w:bidi="en-US"/>
        </w:rPr>
        <w:t xml:space="preserve"> applies even when, as here, </w:t>
      </w:r>
      <w:r>
        <w:rPr>
          <w:lang w:bidi="en-US"/>
        </w:rPr>
        <w:t>a</w:t>
      </w:r>
      <w:r>
        <w:rPr>
          <w:lang w:bidi="en-US"/>
        </w:rPr>
        <w:t xml:space="preserve"> defendant </w:t>
      </w:r>
      <w:proofErr w:type="gramStart"/>
      <w:r>
        <w:rPr>
          <w:lang w:bidi="en-US"/>
        </w:rPr>
        <w:t>i</w:t>
      </w:r>
      <w:r>
        <w:rPr>
          <w:lang w:bidi="en-US"/>
        </w:rPr>
        <w:t>s not technically in custody at all times</w:t>
      </w:r>
      <w:proofErr w:type="gramEnd"/>
      <w:r>
        <w:rPr>
          <w:lang w:bidi="en-US"/>
        </w:rPr>
        <w:t xml:space="preserve"> in all cases.  </w:t>
      </w:r>
      <w:r>
        <w:rPr>
          <w:lang w:bidi="en-US"/>
        </w:rPr>
        <w:t xml:space="preserve">We </w:t>
      </w:r>
      <w:r>
        <w:rPr>
          <w:lang w:bidi="en-US"/>
        </w:rPr>
        <w:t xml:space="preserve">do not mean to suggest, however, that a </w:t>
      </w:r>
      <w:proofErr w:type="gramStart"/>
      <w:r>
        <w:rPr>
          <w:lang w:bidi="en-US"/>
        </w:rPr>
        <w:t>defendant would</w:t>
      </w:r>
      <w:proofErr w:type="gramEnd"/>
      <w:r>
        <w:rPr>
          <w:lang w:bidi="en-US"/>
        </w:rPr>
        <w:t xml:space="preserve"> receive credit for </w:t>
      </w:r>
      <w:r>
        <w:rPr>
          <w:lang w:bidi="en-US"/>
        </w:rPr>
        <w:t xml:space="preserve">time spent in custody before </w:t>
      </w:r>
      <w:r>
        <w:rPr>
          <w:lang w:bidi="en-US"/>
        </w:rPr>
        <w:t>the initial</w:t>
      </w:r>
      <w:r>
        <w:rPr>
          <w:lang w:bidi="en-US"/>
        </w:rPr>
        <w:t xml:space="preserve"> arrest </w:t>
      </w:r>
      <w:r>
        <w:rPr>
          <w:lang w:bidi="en-US"/>
        </w:rPr>
        <w:t>in any given</w:t>
      </w:r>
      <w:r>
        <w:rPr>
          <w:lang w:bidi="en-US"/>
        </w:rPr>
        <w:t xml:space="preserve"> case</w:t>
      </w:r>
      <w:r>
        <w:rPr>
          <w:lang w:bidi="en-US"/>
        </w:rPr>
        <w:t>.  (As applied here, d</w:t>
      </w:r>
      <w:r>
        <w:rPr>
          <w:lang w:bidi="en-US"/>
        </w:rPr>
        <w:t>efendant will not receive credit in case B</w:t>
      </w:r>
      <w:r>
        <w:rPr>
          <w:lang w:bidi="en-US"/>
        </w:rPr>
        <w:t>, the principal term, for custody days</w:t>
      </w:r>
      <w:r>
        <w:rPr>
          <w:lang w:bidi="en-US"/>
        </w:rPr>
        <w:t xml:space="preserve"> </w:t>
      </w:r>
      <w:r>
        <w:rPr>
          <w:lang w:bidi="en-US"/>
        </w:rPr>
        <w:t>from</w:t>
      </w:r>
      <w:r>
        <w:rPr>
          <w:lang w:bidi="en-US"/>
        </w:rPr>
        <w:t xml:space="preserve"> 2020</w:t>
      </w:r>
      <w:r>
        <w:rPr>
          <w:lang w:bidi="en-US"/>
        </w:rPr>
        <w:t xml:space="preserve"> </w:t>
      </w:r>
      <w:r>
        <w:rPr>
          <w:lang w:bidi="en-US"/>
        </w:rPr>
        <w:t xml:space="preserve">before he was arrested in </w:t>
      </w:r>
      <w:r>
        <w:rPr>
          <w:lang w:bidi="en-US"/>
        </w:rPr>
        <w:t>that case.</w:t>
      </w:r>
      <w:r>
        <w:rPr>
          <w:lang w:bidi="en-US"/>
        </w:rPr>
        <w:t>)</w:t>
      </w:r>
    </w:p>
    <w:p w14:paraId="744AC6F0" w14:textId="77777777" w:rsidR="004864A9" w:rsidRPr="00A41FBF" w:rsidRDefault="004864A9" w:rsidP="00A41FBF">
      <w:pPr>
        <w:spacing w:line="480" w:lineRule="exact"/>
        <w:rPr>
          <w:lang w:bidi="en-US"/>
        </w:rPr>
      </w:pPr>
      <w:r>
        <w:rPr>
          <w:lang w:bidi="en-US"/>
        </w:rPr>
        <w:tab/>
      </w:r>
      <w:r w:rsidRPr="00A41FBF">
        <w:rPr>
          <w:lang w:bidi="en-US"/>
        </w:rPr>
        <w:t>We</w:t>
      </w:r>
      <w:r>
        <w:rPr>
          <w:lang w:bidi="en-US"/>
        </w:rPr>
        <w:t xml:space="preserve"> commend the trial court for its conscientious attention to applying </w:t>
      </w:r>
      <w:r>
        <w:rPr>
          <w:i/>
          <w:iCs/>
          <w:lang w:bidi="en-US"/>
        </w:rPr>
        <w:t>Jacobs</w:t>
      </w:r>
      <w:r>
        <w:rPr>
          <w:lang w:bidi="en-US"/>
        </w:rPr>
        <w:t xml:space="preserve">, a published decision by a different panel of this court.  With respect, both to the trial court and the previous panel, we disagree with the reasoning of </w:t>
      </w:r>
      <w:r>
        <w:rPr>
          <w:i/>
          <w:iCs/>
          <w:lang w:bidi="en-US"/>
        </w:rPr>
        <w:t>Jacobs</w:t>
      </w:r>
      <w:r>
        <w:rPr>
          <w:lang w:bidi="en-US"/>
        </w:rPr>
        <w:t xml:space="preserve"> and decline to follow its path.  We will therefore reverse and remand this matter for the limited purpose of recalculating presentence custody credits </w:t>
      </w:r>
      <w:r>
        <w:rPr>
          <w:lang w:bidi="en-US"/>
        </w:rPr>
        <w:t>as we have described</w:t>
      </w:r>
      <w:r w:rsidRPr="00A41FBF">
        <w:rPr>
          <w:lang w:bidi="en-US"/>
        </w:rPr>
        <w:t>.</w:t>
      </w:r>
      <w:r>
        <w:rPr>
          <w:lang w:bidi="en-US"/>
        </w:rPr>
        <w:t xml:space="preserve">  </w:t>
      </w:r>
      <w:proofErr w:type="gramStart"/>
      <w:r>
        <w:rPr>
          <w:lang w:bidi="en-US"/>
        </w:rPr>
        <w:t>In light of</w:t>
      </w:r>
      <w:proofErr w:type="gramEnd"/>
      <w:r>
        <w:rPr>
          <w:lang w:bidi="en-US"/>
        </w:rPr>
        <w:t xml:space="preserve"> this result, </w:t>
      </w:r>
      <w:r>
        <w:rPr>
          <w:lang w:bidi="en-US"/>
        </w:rPr>
        <w:t xml:space="preserve">we do not reach defendant’s alternative </w:t>
      </w:r>
      <w:r>
        <w:rPr>
          <w:lang w:bidi="en-US"/>
        </w:rPr>
        <w:t>argument</w:t>
      </w:r>
      <w:r>
        <w:rPr>
          <w:lang w:bidi="en-US"/>
        </w:rPr>
        <w:t xml:space="preserve"> for reversal.</w:t>
      </w:r>
    </w:p>
    <w:p w14:paraId="73BED14E" w14:textId="77777777" w:rsidR="004864A9" w:rsidRDefault="004864A9" w:rsidP="00046B1F">
      <w:pPr>
        <w:pStyle w:val="Heading1"/>
        <w:rPr>
          <w:lang w:bidi="en-US"/>
        </w:rPr>
      </w:pPr>
      <w:r>
        <w:rPr>
          <w:lang w:bidi="en-US"/>
        </w:rPr>
        <w:lastRenderedPageBreak/>
        <w:t>Disposition</w:t>
      </w:r>
    </w:p>
    <w:p w14:paraId="7A70A1BB" w14:textId="77777777" w:rsidR="004864A9" w:rsidRDefault="004864A9" w:rsidP="005737E6">
      <w:pPr>
        <w:spacing w:line="480" w:lineRule="exact"/>
        <w:rPr>
          <w:lang w:bidi="en-US"/>
        </w:rPr>
        <w:sectPr w:rsidR="00320244" w:rsidSect="008E111B">
          <w:footerReference w:type="default" r:id="rId7"/>
          <w:pgSz w:w="12240" w:h="15840"/>
          <w:pgMar w:top="1440" w:right="1440" w:bottom="1440" w:left="1440" w:header="720" w:footer="720" w:gutter="0"/>
          <w:cols w:space="720"/>
          <w:titlePg/>
          <w:docGrid w:linePitch="360"/>
        </w:sectPr>
      </w:pPr>
      <w:r>
        <w:rPr>
          <w:lang w:bidi="en-US"/>
        </w:rPr>
        <w:tab/>
      </w:r>
      <w:r>
        <w:rPr>
          <w:lang w:bidi="en-US"/>
        </w:rPr>
        <w:t xml:space="preserve">The judgment is </w:t>
      </w:r>
      <w:proofErr w:type="gramStart"/>
      <w:r>
        <w:rPr>
          <w:lang w:bidi="en-US"/>
        </w:rPr>
        <w:t>reversed</w:t>
      </w:r>
      <w:proofErr w:type="gramEnd"/>
      <w:r>
        <w:rPr>
          <w:lang w:bidi="en-US"/>
        </w:rPr>
        <w:t xml:space="preserve"> and the matter is remanded for the limited purpose of recalculating defendant’s presentence custody credits.  </w:t>
      </w:r>
    </w:p>
    <w:p w14:paraId="4DF981A3" w14:textId="77777777" w:rsidR="004864A9" w:rsidRPr="00B20006" w:rsidRDefault="004864A9" w:rsidP="00320244">
      <w:pPr>
        <w:tabs>
          <w:tab w:val="clear" w:pos="720"/>
        </w:tabs>
        <w:spacing w:line="240" w:lineRule="auto"/>
        <w:rPr>
          <w:rFonts w:eastAsia="Times New Roman"/>
        </w:rPr>
      </w:pPr>
    </w:p>
    <w:p w14:paraId="77EF2A0C" w14:textId="77777777" w:rsidR="004864A9" w:rsidRPr="00B20006" w:rsidRDefault="004864A9" w:rsidP="00320244">
      <w:pPr>
        <w:tabs>
          <w:tab w:val="clear" w:pos="720"/>
        </w:tabs>
        <w:spacing w:line="240" w:lineRule="auto"/>
        <w:rPr>
          <w:rFonts w:eastAsia="Times New Roman"/>
        </w:rPr>
      </w:pPr>
    </w:p>
    <w:p w14:paraId="2D2CF46A" w14:textId="77777777" w:rsidR="004864A9" w:rsidRPr="00B20006" w:rsidRDefault="004864A9" w:rsidP="00320244">
      <w:pPr>
        <w:tabs>
          <w:tab w:val="clear" w:pos="720"/>
        </w:tabs>
        <w:spacing w:line="360" w:lineRule="auto"/>
        <w:rPr>
          <w:rFonts w:eastAsia="Times New Roman"/>
          <w:szCs w:val="26"/>
        </w:rPr>
      </w:pPr>
      <w:r w:rsidRPr="00B20006">
        <w:rPr>
          <w:rFonts w:eastAsia="Times New Roman"/>
          <w:szCs w:val="26"/>
        </w:rPr>
        <w:tab/>
      </w:r>
      <w:r w:rsidRPr="00B20006">
        <w:rPr>
          <w:rFonts w:eastAsia="Times New Roman"/>
          <w:szCs w:val="26"/>
        </w:rPr>
        <w:tab/>
      </w:r>
      <w:r w:rsidRPr="00B20006">
        <w:rPr>
          <w:rFonts w:eastAsia="Times New Roman"/>
          <w:szCs w:val="26"/>
        </w:rPr>
        <w:tab/>
      </w:r>
      <w:r w:rsidRPr="00B20006">
        <w:rPr>
          <w:rFonts w:eastAsia="Times New Roman"/>
          <w:szCs w:val="26"/>
        </w:rPr>
        <w:tab/>
      </w:r>
      <w:r w:rsidRPr="00B20006">
        <w:rPr>
          <w:rFonts w:eastAsia="Times New Roman"/>
          <w:szCs w:val="26"/>
        </w:rPr>
        <w:tab/>
      </w:r>
      <w:r w:rsidRPr="00B20006">
        <w:rPr>
          <w:rFonts w:eastAsia="Times New Roman"/>
          <w:szCs w:val="26"/>
        </w:rPr>
        <w:tab/>
        <w:t>____________________________________</w:t>
      </w:r>
    </w:p>
    <w:p w14:paraId="30A94945" w14:textId="77777777" w:rsidR="004864A9" w:rsidRPr="00B20006" w:rsidRDefault="004864A9" w:rsidP="00320244">
      <w:pPr>
        <w:tabs>
          <w:tab w:val="clear" w:pos="720"/>
        </w:tabs>
        <w:spacing w:line="360" w:lineRule="auto"/>
        <w:rPr>
          <w:rFonts w:eastAsia="Times New Roman"/>
          <w:szCs w:val="26"/>
        </w:rPr>
      </w:pPr>
      <w:r w:rsidRPr="00B20006">
        <w:rPr>
          <w:rFonts w:eastAsia="Times New Roman"/>
          <w:szCs w:val="26"/>
        </w:rPr>
        <w:tab/>
      </w:r>
      <w:r w:rsidRPr="00B20006">
        <w:rPr>
          <w:rFonts w:eastAsia="Times New Roman"/>
          <w:szCs w:val="26"/>
        </w:rPr>
        <w:tab/>
      </w:r>
      <w:r w:rsidRPr="00B20006">
        <w:rPr>
          <w:rFonts w:eastAsia="Times New Roman"/>
          <w:szCs w:val="26"/>
        </w:rPr>
        <w:tab/>
      </w:r>
      <w:r w:rsidRPr="00B20006">
        <w:rPr>
          <w:rFonts w:eastAsia="Times New Roman"/>
          <w:szCs w:val="26"/>
        </w:rPr>
        <w:tab/>
      </w:r>
      <w:r w:rsidRPr="00B20006">
        <w:rPr>
          <w:rFonts w:eastAsia="Times New Roman"/>
          <w:szCs w:val="26"/>
        </w:rPr>
        <w:tab/>
      </w:r>
      <w:r w:rsidRPr="00B20006">
        <w:rPr>
          <w:rFonts w:eastAsia="Times New Roman"/>
          <w:szCs w:val="26"/>
        </w:rPr>
        <w:tab/>
        <w:t>Grover, J.</w:t>
      </w:r>
    </w:p>
    <w:p w14:paraId="696CAFD6" w14:textId="77777777" w:rsidR="004864A9" w:rsidRPr="00B20006" w:rsidRDefault="004864A9" w:rsidP="00320244">
      <w:pPr>
        <w:tabs>
          <w:tab w:val="clear" w:pos="720"/>
        </w:tabs>
        <w:spacing w:line="360" w:lineRule="auto"/>
        <w:rPr>
          <w:rFonts w:eastAsia="Times New Roman"/>
          <w:szCs w:val="26"/>
        </w:rPr>
      </w:pPr>
    </w:p>
    <w:p w14:paraId="09A2816F" w14:textId="77777777" w:rsidR="004864A9" w:rsidRPr="00B20006" w:rsidRDefault="004864A9" w:rsidP="00320244">
      <w:pPr>
        <w:tabs>
          <w:tab w:val="clear" w:pos="720"/>
        </w:tabs>
        <w:spacing w:line="360" w:lineRule="auto"/>
        <w:rPr>
          <w:rFonts w:eastAsia="Times New Roman"/>
          <w:szCs w:val="26"/>
        </w:rPr>
      </w:pPr>
    </w:p>
    <w:p w14:paraId="3A4C26E3" w14:textId="77777777" w:rsidR="004864A9" w:rsidRPr="00B20006" w:rsidRDefault="004864A9" w:rsidP="00320244">
      <w:pPr>
        <w:tabs>
          <w:tab w:val="clear" w:pos="720"/>
        </w:tabs>
        <w:spacing w:line="360" w:lineRule="auto"/>
        <w:rPr>
          <w:rFonts w:eastAsia="Times New Roman"/>
          <w:szCs w:val="26"/>
        </w:rPr>
      </w:pPr>
    </w:p>
    <w:p w14:paraId="167CA8B6" w14:textId="77777777" w:rsidR="004864A9" w:rsidRPr="00B20006" w:rsidRDefault="004864A9" w:rsidP="00320244">
      <w:pPr>
        <w:tabs>
          <w:tab w:val="clear" w:pos="720"/>
        </w:tabs>
        <w:spacing w:line="360" w:lineRule="auto"/>
        <w:rPr>
          <w:rFonts w:eastAsia="Times New Roman"/>
          <w:szCs w:val="26"/>
        </w:rPr>
      </w:pPr>
    </w:p>
    <w:p w14:paraId="47610437" w14:textId="77777777" w:rsidR="004864A9" w:rsidRPr="00B20006" w:rsidRDefault="004864A9" w:rsidP="00320244">
      <w:pPr>
        <w:tabs>
          <w:tab w:val="clear" w:pos="720"/>
        </w:tabs>
        <w:spacing w:line="360" w:lineRule="auto"/>
        <w:rPr>
          <w:rFonts w:eastAsia="Times New Roman"/>
          <w:b/>
          <w:szCs w:val="26"/>
        </w:rPr>
      </w:pPr>
      <w:r>
        <w:rPr>
          <w:rFonts w:eastAsia="Times New Roman"/>
          <w:b/>
          <w:szCs w:val="26"/>
        </w:rPr>
        <w:t>I</w:t>
      </w:r>
      <w:r w:rsidRPr="00B20006">
        <w:rPr>
          <w:rFonts w:eastAsia="Times New Roman"/>
          <w:b/>
          <w:szCs w:val="26"/>
        </w:rPr>
        <w:t xml:space="preserve"> CONCUR:</w:t>
      </w:r>
    </w:p>
    <w:p w14:paraId="6FEB915D" w14:textId="77777777" w:rsidR="004864A9" w:rsidRPr="00B20006" w:rsidRDefault="004864A9" w:rsidP="00320244">
      <w:pPr>
        <w:tabs>
          <w:tab w:val="clear" w:pos="720"/>
        </w:tabs>
        <w:spacing w:line="360" w:lineRule="auto"/>
        <w:rPr>
          <w:rFonts w:eastAsia="Times New Roman"/>
          <w:szCs w:val="26"/>
        </w:rPr>
      </w:pPr>
    </w:p>
    <w:p w14:paraId="3B347F64" w14:textId="77777777" w:rsidR="004864A9" w:rsidRPr="00B20006" w:rsidRDefault="004864A9" w:rsidP="00320244">
      <w:pPr>
        <w:tabs>
          <w:tab w:val="clear" w:pos="720"/>
        </w:tabs>
        <w:spacing w:line="360" w:lineRule="auto"/>
        <w:rPr>
          <w:rFonts w:eastAsia="Times New Roman"/>
          <w:szCs w:val="26"/>
        </w:rPr>
      </w:pPr>
    </w:p>
    <w:p w14:paraId="6807FAAA" w14:textId="77777777" w:rsidR="004864A9" w:rsidRPr="00B20006" w:rsidRDefault="004864A9" w:rsidP="00320244">
      <w:pPr>
        <w:tabs>
          <w:tab w:val="clear" w:pos="720"/>
        </w:tabs>
        <w:spacing w:line="360" w:lineRule="auto"/>
        <w:rPr>
          <w:rFonts w:eastAsia="Times New Roman"/>
          <w:szCs w:val="26"/>
        </w:rPr>
      </w:pPr>
    </w:p>
    <w:p w14:paraId="152835B6" w14:textId="77777777" w:rsidR="004864A9" w:rsidRPr="00B20006" w:rsidRDefault="004864A9" w:rsidP="00320244">
      <w:pPr>
        <w:tabs>
          <w:tab w:val="clear" w:pos="720"/>
        </w:tabs>
        <w:spacing w:line="360" w:lineRule="auto"/>
        <w:rPr>
          <w:rFonts w:eastAsia="Times New Roman"/>
          <w:szCs w:val="26"/>
        </w:rPr>
      </w:pPr>
    </w:p>
    <w:p w14:paraId="42A13473" w14:textId="77777777" w:rsidR="004864A9" w:rsidRPr="00B20006" w:rsidRDefault="004864A9" w:rsidP="00320244">
      <w:pPr>
        <w:tabs>
          <w:tab w:val="clear" w:pos="720"/>
        </w:tabs>
        <w:spacing w:line="360" w:lineRule="auto"/>
        <w:rPr>
          <w:rFonts w:eastAsia="Times New Roman"/>
          <w:szCs w:val="26"/>
        </w:rPr>
      </w:pPr>
      <w:r w:rsidRPr="00B20006">
        <w:rPr>
          <w:rFonts w:eastAsia="Times New Roman"/>
          <w:szCs w:val="26"/>
        </w:rPr>
        <w:t>____________________________</w:t>
      </w:r>
    </w:p>
    <w:p w14:paraId="3D65F57F" w14:textId="77777777" w:rsidR="004864A9" w:rsidRPr="00B20006" w:rsidRDefault="004864A9" w:rsidP="00320244">
      <w:pPr>
        <w:tabs>
          <w:tab w:val="clear" w:pos="720"/>
        </w:tabs>
        <w:spacing w:line="360" w:lineRule="auto"/>
        <w:rPr>
          <w:rFonts w:eastAsia="Times New Roman"/>
          <w:szCs w:val="26"/>
        </w:rPr>
      </w:pPr>
      <w:r w:rsidRPr="00B20006">
        <w:rPr>
          <w:rFonts w:eastAsia="Times New Roman"/>
          <w:szCs w:val="26"/>
        </w:rPr>
        <w:t xml:space="preserve">Greenwood, P. J. </w:t>
      </w:r>
    </w:p>
    <w:p w14:paraId="0B87DB30" w14:textId="77777777" w:rsidR="004864A9" w:rsidRPr="00B20006" w:rsidRDefault="004864A9" w:rsidP="00320244">
      <w:pPr>
        <w:tabs>
          <w:tab w:val="clear" w:pos="720"/>
        </w:tabs>
        <w:spacing w:line="360" w:lineRule="auto"/>
        <w:rPr>
          <w:rFonts w:eastAsia="Times New Roman"/>
          <w:szCs w:val="26"/>
        </w:rPr>
      </w:pPr>
    </w:p>
    <w:p w14:paraId="75F06FF0" w14:textId="77777777" w:rsidR="004864A9" w:rsidRPr="00B20006" w:rsidRDefault="004864A9" w:rsidP="00320244">
      <w:pPr>
        <w:tabs>
          <w:tab w:val="clear" w:pos="720"/>
        </w:tabs>
        <w:spacing w:line="360" w:lineRule="auto"/>
        <w:rPr>
          <w:rFonts w:eastAsia="Times New Roman"/>
          <w:szCs w:val="26"/>
        </w:rPr>
      </w:pPr>
    </w:p>
    <w:p w14:paraId="24035089" w14:textId="77777777" w:rsidR="004864A9" w:rsidRPr="00B20006" w:rsidRDefault="004864A9" w:rsidP="00320244">
      <w:pPr>
        <w:tabs>
          <w:tab w:val="clear" w:pos="720"/>
        </w:tabs>
        <w:spacing w:line="360" w:lineRule="auto"/>
        <w:rPr>
          <w:rFonts w:eastAsia="Times New Roman"/>
          <w:szCs w:val="26"/>
        </w:rPr>
      </w:pPr>
    </w:p>
    <w:p w14:paraId="2E356579" w14:textId="77777777" w:rsidR="004864A9" w:rsidRPr="00B20006" w:rsidRDefault="004864A9" w:rsidP="00320244">
      <w:pPr>
        <w:tabs>
          <w:tab w:val="clear" w:pos="720"/>
        </w:tabs>
        <w:spacing w:line="360" w:lineRule="auto"/>
        <w:rPr>
          <w:rFonts w:eastAsia="Times New Roman"/>
          <w:szCs w:val="26"/>
        </w:rPr>
      </w:pPr>
    </w:p>
    <w:p w14:paraId="5182944B" w14:textId="77777777" w:rsidR="004864A9" w:rsidRDefault="004864A9" w:rsidP="00320244">
      <w:pPr>
        <w:tabs>
          <w:tab w:val="clear" w:pos="720"/>
        </w:tabs>
        <w:spacing w:line="360" w:lineRule="auto"/>
        <w:rPr>
          <w:rFonts w:eastAsia="Times New Roman"/>
          <w:szCs w:val="26"/>
        </w:rPr>
      </w:pPr>
    </w:p>
    <w:p w14:paraId="197FEA13" w14:textId="77777777" w:rsidR="004864A9" w:rsidRDefault="004864A9" w:rsidP="00320244">
      <w:pPr>
        <w:tabs>
          <w:tab w:val="clear" w:pos="720"/>
        </w:tabs>
        <w:spacing w:line="360" w:lineRule="auto"/>
        <w:rPr>
          <w:rFonts w:eastAsia="Times New Roman"/>
          <w:szCs w:val="26"/>
        </w:rPr>
      </w:pPr>
    </w:p>
    <w:p w14:paraId="5B4392CC" w14:textId="77777777" w:rsidR="004864A9" w:rsidRPr="00B20006" w:rsidRDefault="004864A9" w:rsidP="00320244">
      <w:pPr>
        <w:tabs>
          <w:tab w:val="clear" w:pos="720"/>
        </w:tabs>
        <w:spacing w:line="360" w:lineRule="auto"/>
        <w:rPr>
          <w:rFonts w:eastAsia="Times New Roman"/>
          <w:szCs w:val="26"/>
        </w:rPr>
      </w:pPr>
    </w:p>
    <w:p w14:paraId="4A638948" w14:textId="77777777" w:rsidR="004864A9" w:rsidRPr="00B20006" w:rsidRDefault="004864A9" w:rsidP="00320244">
      <w:pPr>
        <w:tabs>
          <w:tab w:val="clear" w:pos="720"/>
        </w:tabs>
        <w:spacing w:line="360" w:lineRule="auto"/>
        <w:rPr>
          <w:rFonts w:eastAsia="Times New Roman"/>
          <w:szCs w:val="26"/>
        </w:rPr>
      </w:pPr>
    </w:p>
    <w:p w14:paraId="67965B95" w14:textId="77777777" w:rsidR="004864A9" w:rsidRPr="00B20006" w:rsidRDefault="004864A9" w:rsidP="00320244">
      <w:pPr>
        <w:tabs>
          <w:tab w:val="clear" w:pos="720"/>
        </w:tabs>
        <w:spacing w:line="360" w:lineRule="auto"/>
        <w:rPr>
          <w:rFonts w:eastAsia="Times New Roman"/>
          <w:szCs w:val="26"/>
        </w:rPr>
      </w:pPr>
    </w:p>
    <w:p w14:paraId="0E444776" w14:textId="77777777" w:rsidR="004864A9" w:rsidRPr="00B20006" w:rsidRDefault="004864A9" w:rsidP="00320244">
      <w:pPr>
        <w:tabs>
          <w:tab w:val="clear" w:pos="720"/>
        </w:tabs>
        <w:spacing w:line="360" w:lineRule="auto"/>
        <w:rPr>
          <w:rFonts w:eastAsia="Times New Roman"/>
          <w:szCs w:val="26"/>
        </w:rPr>
      </w:pPr>
    </w:p>
    <w:p w14:paraId="6C7635A8" w14:textId="77777777" w:rsidR="004864A9" w:rsidRPr="00B20006" w:rsidRDefault="004864A9" w:rsidP="00320244">
      <w:pPr>
        <w:tabs>
          <w:tab w:val="clear" w:pos="720"/>
        </w:tabs>
        <w:spacing w:line="360" w:lineRule="auto"/>
        <w:rPr>
          <w:rFonts w:eastAsia="Times New Roman"/>
          <w:szCs w:val="26"/>
        </w:rPr>
      </w:pPr>
    </w:p>
    <w:p w14:paraId="0DF56C4A" w14:textId="77777777" w:rsidR="004864A9" w:rsidRPr="00B20006" w:rsidRDefault="004864A9" w:rsidP="00320244">
      <w:pPr>
        <w:tabs>
          <w:tab w:val="clear" w:pos="720"/>
        </w:tabs>
        <w:spacing w:line="360" w:lineRule="auto"/>
        <w:rPr>
          <w:rFonts w:eastAsia="Times New Roman"/>
          <w:b/>
          <w:bCs/>
          <w:szCs w:val="26"/>
        </w:rPr>
      </w:pPr>
    </w:p>
    <w:p w14:paraId="1B4808E9" w14:textId="77777777" w:rsidR="004864A9" w:rsidRPr="00B20006" w:rsidRDefault="004864A9" w:rsidP="00320244">
      <w:pPr>
        <w:tabs>
          <w:tab w:val="clear" w:pos="720"/>
        </w:tabs>
        <w:spacing w:line="360" w:lineRule="auto"/>
        <w:rPr>
          <w:rFonts w:eastAsia="Times New Roman"/>
          <w:b/>
          <w:bCs/>
          <w:szCs w:val="26"/>
        </w:rPr>
      </w:pPr>
    </w:p>
    <w:p w14:paraId="358A84B3" w14:textId="77777777" w:rsidR="004864A9" w:rsidRPr="00B20006" w:rsidRDefault="004864A9" w:rsidP="00320244">
      <w:pPr>
        <w:tabs>
          <w:tab w:val="clear" w:pos="720"/>
        </w:tabs>
        <w:spacing w:line="240" w:lineRule="auto"/>
        <w:rPr>
          <w:rFonts w:eastAsia="Times New Roman"/>
          <w:b/>
          <w:bCs/>
          <w:sz w:val="24"/>
        </w:rPr>
      </w:pPr>
      <w:r w:rsidRPr="00B20006">
        <w:rPr>
          <w:rFonts w:eastAsia="Times New Roman"/>
          <w:b/>
          <w:bCs/>
          <w:sz w:val="24"/>
        </w:rPr>
        <w:t>H050122</w:t>
      </w:r>
    </w:p>
    <w:p w14:paraId="1E118765" w14:textId="77777777" w:rsidR="004864A9" w:rsidRDefault="004864A9" w:rsidP="00320244">
      <w:pPr>
        <w:tabs>
          <w:tab w:val="clear" w:pos="720"/>
        </w:tabs>
        <w:spacing w:line="240" w:lineRule="auto"/>
        <w:rPr>
          <w:rFonts w:eastAsia="Times New Roman"/>
          <w:b/>
          <w:bCs/>
          <w:i/>
          <w:iCs/>
          <w:sz w:val="24"/>
        </w:rPr>
        <w:sectPr w:rsidR="00320244">
          <w:footerReference w:type="default" r:id="rId8"/>
          <w:pgSz w:w="12240" w:h="15840"/>
          <w:pgMar w:top="1440" w:right="1440" w:bottom="1440" w:left="1440" w:header="720" w:footer="720" w:gutter="0"/>
          <w:cols w:space="720"/>
          <w:docGrid w:linePitch="360"/>
        </w:sectPr>
      </w:pPr>
      <w:r w:rsidRPr="00B20006">
        <w:rPr>
          <w:rFonts w:eastAsia="Times New Roman"/>
          <w:b/>
          <w:bCs/>
          <w:i/>
          <w:iCs/>
          <w:sz w:val="24"/>
        </w:rPr>
        <w:t>People v. Cofer</w:t>
      </w:r>
    </w:p>
    <w:p w14:paraId="2183E24B" w14:textId="77777777" w:rsidR="004864A9" w:rsidRPr="00A317E5" w:rsidRDefault="004864A9" w:rsidP="00A317E5">
      <w:pPr>
        <w:tabs>
          <w:tab w:val="clear" w:pos="720"/>
        </w:tabs>
        <w:rPr>
          <w:rFonts w:eastAsia="Calibri"/>
          <w:kern w:val="2"/>
          <w:szCs w:val="26"/>
          <w14:ligatures w14:val="standardContextual"/>
        </w:rPr>
      </w:pPr>
      <w:r w:rsidRPr="00A317E5">
        <w:rPr>
          <w:rFonts w:eastAsia="Calibri"/>
          <w:kern w:val="2"/>
          <w:szCs w:val="26"/>
          <w14:ligatures w14:val="standardContextual"/>
        </w:rPr>
        <w:lastRenderedPageBreak/>
        <w:t>Lie, J., Dissenting:</w:t>
      </w:r>
    </w:p>
    <w:p w14:paraId="5B8D1E5A" w14:textId="77777777" w:rsidR="004864A9" w:rsidRPr="00A317E5" w:rsidRDefault="004864A9" w:rsidP="00A317E5">
      <w:pPr>
        <w:tabs>
          <w:tab w:val="clear" w:pos="720"/>
        </w:tabs>
        <w:rPr>
          <w:rFonts w:eastAsia="Calibri"/>
          <w:kern w:val="2"/>
          <w:szCs w:val="26"/>
          <w14:ligatures w14:val="standardContextual"/>
        </w:rPr>
      </w:pPr>
      <w:r w:rsidRPr="00A317E5">
        <w:rPr>
          <w:rFonts w:eastAsia="Calibri"/>
          <w:kern w:val="2"/>
          <w:szCs w:val="26"/>
          <w14:ligatures w14:val="standardContextual"/>
        </w:rPr>
        <w:tab/>
      </w:r>
      <w:r w:rsidRPr="00A317E5">
        <w:rPr>
          <w:rFonts w:eastAsia="Calibri"/>
          <w:kern w:val="2"/>
          <w:szCs w:val="26"/>
          <w14:ligatures w14:val="standardContextual"/>
        </w:rPr>
        <w:t xml:space="preserve">I share the majority’s belief that “it is fair and reasonable” for defendant Christopher Lee Cofer to “receive credit for all days actually spent in presentence custody” and that “those days should not be limited based on purely technical noncustodial status in any particular case.”  (Maj. </w:t>
      </w:r>
      <w:proofErr w:type="spellStart"/>
      <w:r w:rsidRPr="00A317E5">
        <w:rPr>
          <w:rFonts w:eastAsia="Calibri"/>
          <w:kern w:val="2"/>
          <w:szCs w:val="26"/>
          <w14:ligatures w14:val="standardContextual"/>
        </w:rPr>
        <w:t>opn</w:t>
      </w:r>
      <w:proofErr w:type="spellEnd"/>
      <w:r w:rsidRPr="00A317E5">
        <w:rPr>
          <w:rFonts w:eastAsia="Calibri"/>
          <w:kern w:val="2"/>
          <w:szCs w:val="26"/>
          <w14:ligatures w14:val="standardContextual"/>
        </w:rPr>
        <w:t xml:space="preserve">., </w:t>
      </w:r>
      <w:r w:rsidRPr="00A317E5">
        <w:rPr>
          <w:rFonts w:eastAsia="Calibri"/>
          <w:i/>
          <w:iCs/>
          <w:kern w:val="2"/>
          <w:szCs w:val="26"/>
          <w14:ligatures w14:val="standardContextual"/>
        </w:rPr>
        <w:t>ante</w:t>
      </w:r>
      <w:r w:rsidRPr="00A317E5">
        <w:rPr>
          <w:rFonts w:eastAsia="Calibri"/>
          <w:kern w:val="2"/>
          <w:szCs w:val="26"/>
          <w14:ligatures w14:val="standardContextual"/>
        </w:rPr>
        <w:t xml:space="preserve">, at p. 9.)  Other than its direct conflict with </w:t>
      </w:r>
      <w:r w:rsidRPr="00A317E5">
        <w:rPr>
          <w:rFonts w:eastAsia="Calibri"/>
          <w:i/>
          <w:iCs/>
          <w:kern w:val="2"/>
          <w:szCs w:val="26"/>
          <w14:ligatures w14:val="standardContextual"/>
        </w:rPr>
        <w:t>People v. Jacobs</w:t>
      </w:r>
      <w:r w:rsidRPr="00A317E5">
        <w:rPr>
          <w:rFonts w:eastAsia="Calibri"/>
          <w:kern w:val="2"/>
          <w:szCs w:val="26"/>
          <w14:ligatures w14:val="standardContextual"/>
        </w:rPr>
        <w:t xml:space="preserve"> (2013) 220 Cal.App.4th 67 (</w:t>
      </w:r>
      <w:r w:rsidRPr="00A317E5">
        <w:rPr>
          <w:rFonts w:eastAsia="Calibri"/>
          <w:i/>
          <w:iCs/>
          <w:kern w:val="2"/>
          <w:szCs w:val="26"/>
          <w14:ligatures w14:val="standardContextual"/>
        </w:rPr>
        <w:t>Jacobs</w:t>
      </w:r>
      <w:r w:rsidRPr="00A317E5">
        <w:rPr>
          <w:rFonts w:eastAsia="Calibri"/>
          <w:kern w:val="2"/>
          <w:szCs w:val="26"/>
          <w14:ligatures w14:val="standardContextual"/>
        </w:rPr>
        <w:t>), I would agree as well that the rule announced by the majority today could be “readily understood and applied”</w:t>
      </w:r>
      <w:r w:rsidRPr="00A317E5">
        <w:rPr>
          <w:rFonts w:eastAsia="Calibri"/>
          <w:kern w:val="2"/>
          <w:szCs w:val="26"/>
          <w14:ligatures w14:val="standardContextual"/>
        </w:rPr>
        <w:t xml:space="preserve"> by trial courts.  (Maj. </w:t>
      </w:r>
      <w:proofErr w:type="spellStart"/>
      <w:r w:rsidRPr="00A317E5">
        <w:rPr>
          <w:rFonts w:eastAsia="Calibri"/>
          <w:kern w:val="2"/>
          <w:szCs w:val="26"/>
          <w14:ligatures w14:val="standardContextual"/>
        </w:rPr>
        <w:t>opn</w:t>
      </w:r>
      <w:proofErr w:type="spellEnd"/>
      <w:r w:rsidRPr="00A317E5">
        <w:rPr>
          <w:rFonts w:eastAsia="Calibri"/>
          <w:kern w:val="2"/>
          <w:szCs w:val="26"/>
          <w14:ligatures w14:val="standardContextual"/>
        </w:rPr>
        <w:t xml:space="preserve">., </w:t>
      </w:r>
      <w:r w:rsidRPr="00A317E5">
        <w:rPr>
          <w:rFonts w:eastAsia="Calibri"/>
          <w:i/>
          <w:iCs/>
          <w:kern w:val="2"/>
          <w:szCs w:val="26"/>
          <w14:ligatures w14:val="standardContextual"/>
        </w:rPr>
        <w:t>ante</w:t>
      </w:r>
      <w:r w:rsidRPr="00A317E5">
        <w:rPr>
          <w:rFonts w:eastAsia="Calibri"/>
          <w:kern w:val="2"/>
          <w:szCs w:val="26"/>
          <w14:ligatures w14:val="standardContextual"/>
        </w:rPr>
        <w:t>, at p. 9.)  I am obliged to disagree, however, with the majority’s conviction that we may bend Penal Code section 2900.5, subdivision (b)</w:t>
      </w:r>
      <w:r>
        <w:rPr>
          <w:rFonts w:eastAsia="Calibri"/>
          <w:kern w:val="2"/>
          <w:szCs w:val="26"/>
          <w:vertAlign w:val="superscript"/>
          <w14:ligatures w14:val="standardContextual"/>
        </w:rPr>
        <w:footnoteReference w:id="4"/>
      </w:r>
      <w:r w:rsidRPr="00A317E5">
        <w:rPr>
          <w:rFonts w:eastAsia="Calibri"/>
          <w:kern w:val="2"/>
          <w:szCs w:val="26"/>
          <w14:ligatures w14:val="standardContextual"/>
        </w:rPr>
        <w:t xml:space="preserve"> to our own sense of what is fair and reasonable—without either legislative action or the California Supreme Court’s reconsideration of its own more restrictive interpretations of the legislative intent.  </w:t>
      </w:r>
    </w:p>
    <w:p w14:paraId="4FD24AFF" w14:textId="77777777" w:rsidR="004864A9" w:rsidRPr="00A317E5" w:rsidRDefault="004864A9" w:rsidP="00A317E5">
      <w:pPr>
        <w:tabs>
          <w:tab w:val="clear" w:pos="720"/>
        </w:tabs>
        <w:ind w:firstLine="720"/>
        <w:rPr>
          <w:rFonts w:eastAsia="Calibri"/>
          <w:b/>
          <w:bCs/>
          <w:kern w:val="2"/>
          <w:szCs w:val="26"/>
          <w14:ligatures w14:val="standardContextual"/>
        </w:rPr>
      </w:pPr>
      <w:r w:rsidRPr="00A317E5">
        <w:rPr>
          <w:rFonts w:eastAsia="Calibri"/>
          <w:b/>
          <w:bCs/>
          <w:kern w:val="2"/>
          <w:szCs w:val="26"/>
          <w14:ligatures w14:val="standardContextual"/>
        </w:rPr>
        <w:t>I.</w:t>
      </w:r>
      <w:r w:rsidRPr="00A317E5">
        <w:rPr>
          <w:rFonts w:eastAsia="Calibri"/>
          <w:b/>
          <w:bCs/>
          <w:kern w:val="2"/>
          <w:szCs w:val="26"/>
          <w14:ligatures w14:val="standardContextual"/>
        </w:rPr>
        <w:tab/>
      </w:r>
      <w:r w:rsidRPr="00A317E5">
        <w:rPr>
          <w:rFonts w:eastAsia="Calibri"/>
          <w:b/>
          <w:bCs/>
          <w:i/>
          <w:iCs/>
          <w:kern w:val="2"/>
          <w:szCs w:val="26"/>
          <w14:ligatures w14:val="standardContextual"/>
        </w:rPr>
        <w:t>Section 2900.5 and its</w:t>
      </w:r>
      <w:r w:rsidRPr="00A317E5">
        <w:rPr>
          <w:rFonts w:eastAsia="Calibri"/>
          <w:b/>
          <w:bCs/>
          <w:kern w:val="2"/>
          <w:szCs w:val="26"/>
          <w14:ligatures w14:val="standardContextual"/>
        </w:rPr>
        <w:t xml:space="preserve"> </w:t>
      </w:r>
      <w:r w:rsidRPr="00A317E5">
        <w:rPr>
          <w:rFonts w:eastAsia="Calibri"/>
          <w:b/>
          <w:bCs/>
          <w:i/>
          <w:iCs/>
          <w:kern w:val="2"/>
          <w:szCs w:val="26"/>
          <w14:ligatures w14:val="standardContextual"/>
        </w:rPr>
        <w:t>Application</w:t>
      </w:r>
    </w:p>
    <w:p w14:paraId="5193EC7B" w14:textId="77777777" w:rsidR="004864A9" w:rsidRPr="00A317E5" w:rsidRDefault="004864A9" w:rsidP="00A317E5">
      <w:pPr>
        <w:tabs>
          <w:tab w:val="clear" w:pos="720"/>
        </w:tabs>
        <w:rPr>
          <w:rFonts w:eastAsia="Calibri"/>
          <w:kern w:val="2"/>
          <w:szCs w:val="26"/>
          <w14:ligatures w14:val="standardContextual"/>
        </w:rPr>
      </w:pPr>
      <w:r w:rsidRPr="00A317E5">
        <w:rPr>
          <w:rFonts w:eastAsia="Calibri"/>
          <w:kern w:val="2"/>
          <w:szCs w:val="26"/>
          <w14:ligatures w14:val="standardContextual"/>
        </w:rPr>
        <w:tab/>
        <w:t>Under section 2900.5, subdivision (a), Cofer is entitled to have “all days of custody . . . credited upon his . . . term of imprisonment.”  In providing that “[c]</w:t>
      </w:r>
      <w:proofErr w:type="spellStart"/>
      <w:r w:rsidRPr="00A317E5">
        <w:rPr>
          <w:rFonts w:eastAsia="Calibri"/>
          <w:kern w:val="2"/>
          <w:szCs w:val="26"/>
          <w14:ligatures w14:val="standardContextual"/>
        </w:rPr>
        <w:t>redit</w:t>
      </w:r>
      <w:proofErr w:type="spellEnd"/>
      <w:r w:rsidRPr="00A317E5">
        <w:rPr>
          <w:rFonts w:eastAsia="Calibri"/>
          <w:kern w:val="2"/>
          <w:szCs w:val="26"/>
          <w14:ligatures w14:val="standardContextual"/>
        </w:rPr>
        <w:t xml:space="preserve"> shall be given only once for a single period of custody attributable to multiple offenses for which a consecutive sentence is imposed,” the Legislature implicitly sanctioned giving credit more than once for a single period of custody attributable to multiple offenses, so long as the sentences for those multiple offenses were concurrent.  (§ 2900.5, subd. (b).)  But “credit shall be given </w:t>
      </w:r>
      <w:r w:rsidRPr="00A317E5">
        <w:rPr>
          <w:rFonts w:eastAsia="Calibri"/>
          <w:i/>
          <w:iCs/>
          <w:kern w:val="2"/>
          <w:szCs w:val="26"/>
          <w14:ligatures w14:val="standardContextual"/>
        </w:rPr>
        <w:t>only</w:t>
      </w:r>
      <w:r w:rsidRPr="00A317E5">
        <w:rPr>
          <w:rFonts w:eastAsia="Calibri"/>
          <w:kern w:val="2"/>
          <w:szCs w:val="26"/>
          <w14:ligatures w14:val="standardContextual"/>
        </w:rPr>
        <w:t xml:space="preserve"> where the custody to be credited is attributable to </w:t>
      </w:r>
      <w:r w:rsidRPr="00A317E5">
        <w:rPr>
          <w:rFonts w:eastAsia="Calibri"/>
          <w:i/>
          <w:iCs/>
          <w:kern w:val="2"/>
          <w:szCs w:val="26"/>
          <w14:ligatures w14:val="standardContextual"/>
        </w:rPr>
        <w:t>proceedings related to the same conduct</w:t>
      </w:r>
      <w:r w:rsidRPr="00A317E5">
        <w:rPr>
          <w:rFonts w:eastAsia="Calibri"/>
          <w:kern w:val="2"/>
          <w:szCs w:val="26"/>
          <w14:ligatures w14:val="standardContextual"/>
        </w:rPr>
        <w:t xml:space="preserve"> for which the defe</w:t>
      </w:r>
      <w:r w:rsidRPr="00A317E5">
        <w:rPr>
          <w:rFonts w:eastAsia="Calibri"/>
          <w:kern w:val="2"/>
          <w:szCs w:val="26"/>
          <w14:ligatures w14:val="standardContextual"/>
        </w:rPr>
        <w:t>ndant has been convicted.”  (</w:t>
      </w:r>
      <w:r w:rsidRPr="00A317E5">
        <w:rPr>
          <w:rFonts w:eastAsia="Calibri"/>
          <w:i/>
          <w:iCs/>
          <w:kern w:val="2"/>
          <w:szCs w:val="26"/>
          <w14:ligatures w14:val="standardContextual"/>
        </w:rPr>
        <w:t>Ibid</w:t>
      </w:r>
      <w:r w:rsidRPr="00A317E5">
        <w:rPr>
          <w:rFonts w:eastAsia="Calibri"/>
          <w:kern w:val="2"/>
          <w:szCs w:val="26"/>
          <w14:ligatures w14:val="standardContextual"/>
        </w:rPr>
        <w:t>., italics added.)  In other words, “[p]</w:t>
      </w:r>
      <w:proofErr w:type="spellStart"/>
      <w:r w:rsidRPr="00A317E5">
        <w:rPr>
          <w:rFonts w:eastAsia="Calibri"/>
          <w:kern w:val="2"/>
          <w:szCs w:val="26"/>
          <w14:ligatures w14:val="standardContextual"/>
        </w:rPr>
        <w:t>ersons</w:t>
      </w:r>
      <w:proofErr w:type="spellEnd"/>
      <w:r w:rsidRPr="00A317E5">
        <w:rPr>
          <w:rFonts w:eastAsia="Calibri"/>
          <w:kern w:val="2"/>
          <w:szCs w:val="26"/>
          <w14:ligatures w14:val="standardContextual"/>
        </w:rPr>
        <w:t xml:space="preserve"> who remain in custody prior to sentencing receive credit against their prison terms for all of those days spent in custody prior to sentencing, so long as the presentence custody is attributable to the conduct that led to the conviction.”  (</w:t>
      </w:r>
      <w:r w:rsidRPr="00A317E5">
        <w:rPr>
          <w:rFonts w:eastAsia="Calibri"/>
          <w:i/>
          <w:iCs/>
          <w:kern w:val="2"/>
          <w:szCs w:val="26"/>
          <w14:ligatures w14:val="standardContextual"/>
        </w:rPr>
        <w:t xml:space="preserve">People v. Duff </w:t>
      </w:r>
      <w:r w:rsidRPr="00A317E5">
        <w:rPr>
          <w:rFonts w:eastAsia="Calibri"/>
          <w:kern w:val="2"/>
          <w:szCs w:val="26"/>
          <w14:ligatures w14:val="standardContextual"/>
        </w:rPr>
        <w:t>(2010) 50 Cal.4th 787, 793 (</w:t>
      </w:r>
      <w:r w:rsidRPr="00A317E5">
        <w:rPr>
          <w:rFonts w:eastAsia="Calibri"/>
          <w:i/>
          <w:iCs/>
          <w:kern w:val="2"/>
          <w:szCs w:val="26"/>
          <w14:ligatures w14:val="standardContextual"/>
        </w:rPr>
        <w:t>Duff</w:t>
      </w:r>
      <w:r w:rsidRPr="00A317E5">
        <w:rPr>
          <w:rFonts w:eastAsia="Calibri"/>
          <w:kern w:val="2"/>
          <w:szCs w:val="26"/>
          <w14:ligatures w14:val="standardContextual"/>
        </w:rPr>
        <w:t xml:space="preserve">).)  </w:t>
      </w:r>
    </w:p>
    <w:p w14:paraId="32E40E57" w14:textId="77777777" w:rsidR="004864A9" w:rsidRPr="00A317E5" w:rsidRDefault="004864A9" w:rsidP="00A317E5">
      <w:pPr>
        <w:tabs>
          <w:tab w:val="clear" w:pos="720"/>
        </w:tabs>
        <w:rPr>
          <w:rFonts w:eastAsia="Calibri"/>
          <w:kern w:val="2"/>
          <w:szCs w:val="26"/>
          <w14:ligatures w14:val="standardContextual"/>
        </w:rPr>
      </w:pPr>
      <w:r w:rsidRPr="00A317E5">
        <w:rPr>
          <w:rFonts w:eastAsia="Calibri"/>
          <w:kern w:val="2"/>
          <w:szCs w:val="26"/>
          <w14:ligatures w14:val="standardContextual"/>
        </w:rPr>
        <w:lastRenderedPageBreak/>
        <w:tab/>
        <w:t>Unless words that are otherwise clear become “ambiguous with respect to the particular factual circumstances” of a novel application, we do not venture beyond the text and statutory context.  (</w:t>
      </w:r>
      <w:r w:rsidRPr="00A317E5">
        <w:rPr>
          <w:rFonts w:eastAsia="Calibri"/>
          <w:i/>
          <w:iCs/>
          <w:kern w:val="2"/>
          <w:szCs w:val="26"/>
          <w14:ligatures w14:val="standardContextual"/>
        </w:rPr>
        <w:t>Allen v. Sully-Miller Contracting Co.</w:t>
      </w:r>
      <w:r w:rsidRPr="00A317E5">
        <w:rPr>
          <w:rFonts w:eastAsia="Calibri"/>
          <w:kern w:val="2"/>
          <w:szCs w:val="26"/>
          <w14:ligatures w14:val="standardContextual"/>
        </w:rPr>
        <w:t xml:space="preserve"> (2002) 28 Cal.4th 222, 228.)  I read section 2900.5 to mean that credit for a single period in presentence custody will be given against multiple concurrent sentences imposed in multiple cases, so long as the presentence custody is attributable to each of those cases.  </w:t>
      </w:r>
    </w:p>
    <w:p w14:paraId="7206E968" w14:textId="77777777" w:rsidR="004864A9" w:rsidRPr="00A317E5" w:rsidRDefault="004864A9" w:rsidP="00A317E5">
      <w:pPr>
        <w:tabs>
          <w:tab w:val="clear" w:pos="720"/>
        </w:tabs>
        <w:rPr>
          <w:rFonts w:eastAsia="Calibri"/>
          <w:kern w:val="2"/>
          <w:szCs w:val="26"/>
          <w14:ligatures w14:val="standardContextual"/>
        </w:rPr>
      </w:pPr>
      <w:r w:rsidRPr="00A317E5">
        <w:rPr>
          <w:rFonts w:eastAsia="Calibri"/>
          <w:kern w:val="2"/>
          <w:szCs w:val="26"/>
          <w14:ligatures w14:val="standardContextual"/>
        </w:rPr>
        <w:tab/>
        <w:t xml:space="preserve">Here, Cofer seeks presentence credit in each of cases A, B, C, D, and E, for the time he was in custody for cases D and E (and later for case C) but nominally released on bail or on his own recognizance in cases A and B.  Cofer’s separate criminal cases, though later sentenced together in a negotiated disposition that resulted in concurrent sentences of widely varying lengths, arose from separate acts and arrests.  His presentence credits earned while in actual custody for cases C, D, and </w:t>
      </w:r>
      <w:proofErr w:type="spellStart"/>
      <w:r w:rsidRPr="00A317E5">
        <w:rPr>
          <w:rFonts w:eastAsia="Calibri"/>
          <w:kern w:val="2"/>
          <w:szCs w:val="26"/>
          <w14:ligatures w14:val="standardContextual"/>
        </w:rPr>
        <w:t>E</w:t>
      </w:r>
      <w:proofErr w:type="spellEnd"/>
      <w:r w:rsidRPr="00A317E5">
        <w:rPr>
          <w:rFonts w:eastAsia="Calibri"/>
          <w:kern w:val="2"/>
          <w:szCs w:val="26"/>
          <w14:ligatures w14:val="standardContextual"/>
        </w:rPr>
        <w:t xml:space="preserve"> are not “attributable to proceedings related to the same conduct for which [he] ha[d] been convicted” (§ 2900.5, subd. (b)) in cases A and B.  (See, e.g., </w:t>
      </w:r>
      <w:r w:rsidRPr="00A317E5">
        <w:rPr>
          <w:rFonts w:eastAsia="Calibri"/>
          <w:i/>
          <w:iCs/>
          <w:kern w:val="2"/>
          <w:szCs w:val="26"/>
          <w14:ligatures w14:val="standardContextual"/>
        </w:rPr>
        <w:t>Jacobs</w:t>
      </w:r>
      <w:r w:rsidRPr="00A317E5">
        <w:rPr>
          <w:rFonts w:eastAsia="Calibri"/>
          <w:kern w:val="2"/>
          <w:szCs w:val="26"/>
          <w14:ligatures w14:val="standardContextual"/>
        </w:rPr>
        <w:t xml:space="preserve">, </w:t>
      </w:r>
      <w:r w:rsidRPr="00A317E5">
        <w:rPr>
          <w:rFonts w:eastAsia="Calibri"/>
          <w:i/>
          <w:iCs/>
          <w:kern w:val="2"/>
          <w:szCs w:val="26"/>
          <w14:ligatures w14:val="standardContextual"/>
        </w:rPr>
        <w:t>supra</w:t>
      </w:r>
      <w:r w:rsidRPr="00A317E5">
        <w:rPr>
          <w:rFonts w:eastAsia="Calibri"/>
          <w:kern w:val="2"/>
          <w:szCs w:val="26"/>
          <w14:ligatures w14:val="standardContextual"/>
        </w:rPr>
        <w:t xml:space="preserve">, 220 Cal.App.4th at p. 84.)  </w:t>
      </w:r>
      <w:proofErr w:type="gramStart"/>
      <w:r w:rsidRPr="00A317E5">
        <w:rPr>
          <w:rFonts w:eastAsia="Calibri"/>
          <w:kern w:val="2"/>
          <w:szCs w:val="26"/>
          <w14:ligatures w14:val="standardContextual"/>
        </w:rPr>
        <w:t>So</w:t>
      </w:r>
      <w:proofErr w:type="gramEnd"/>
      <w:r w:rsidRPr="00A317E5">
        <w:rPr>
          <w:rFonts w:eastAsia="Calibri"/>
          <w:kern w:val="2"/>
          <w:szCs w:val="26"/>
          <w14:ligatures w14:val="standardContextual"/>
        </w:rPr>
        <w:t xml:space="preserve"> under the statute, he would not be entitled to credit in cases A or B for time accrued only in cases C, D, and E.  That all cases were later sentenced in a single coordinated hearing did not retroactively change his release status in cases A, B, and C or expand the bases for his confinement in cases D and E.</w:t>
      </w:r>
      <w:r w:rsidRPr="00A317E5">
        <w:rPr>
          <w:rFonts w:eastAsia="Calibri"/>
          <w:kern w:val="2"/>
          <w:szCs w:val="26"/>
          <w14:ligatures w14:val="standardContextual"/>
        </w:rPr>
        <w:t xml:space="preserve">  </w:t>
      </w:r>
    </w:p>
    <w:p w14:paraId="0E3537C4" w14:textId="77777777" w:rsidR="004864A9" w:rsidRPr="00A317E5" w:rsidRDefault="004864A9" w:rsidP="00A317E5">
      <w:pPr>
        <w:tabs>
          <w:tab w:val="clear" w:pos="720"/>
        </w:tabs>
        <w:rPr>
          <w:rFonts w:eastAsia="Calibri"/>
          <w:kern w:val="2"/>
          <w:szCs w:val="26"/>
          <w14:ligatures w14:val="standardContextual"/>
        </w:rPr>
      </w:pPr>
      <w:r w:rsidRPr="00A317E5">
        <w:rPr>
          <w:rFonts w:eastAsia="Calibri"/>
          <w:kern w:val="2"/>
          <w:szCs w:val="26"/>
          <w14:ligatures w14:val="standardContextual"/>
        </w:rPr>
        <w:tab/>
        <w:t xml:space="preserve">This is how trial counsel and the courts have long understood section 2900.5.  (See </w:t>
      </w:r>
      <w:r w:rsidRPr="00A317E5">
        <w:rPr>
          <w:rFonts w:eastAsia="Calibri"/>
          <w:i/>
          <w:iCs/>
          <w:kern w:val="2"/>
          <w:szCs w:val="26"/>
          <w14:ligatures w14:val="standardContextual"/>
        </w:rPr>
        <w:t>Duff</w:t>
      </w:r>
      <w:r w:rsidRPr="00A317E5">
        <w:rPr>
          <w:rFonts w:eastAsia="Calibri"/>
          <w:kern w:val="2"/>
          <w:szCs w:val="26"/>
          <w14:ligatures w14:val="standardContextual"/>
        </w:rPr>
        <w:t xml:space="preserve">, </w:t>
      </w:r>
      <w:r w:rsidRPr="00A317E5">
        <w:rPr>
          <w:rFonts w:eastAsia="Calibri"/>
          <w:i/>
          <w:iCs/>
          <w:kern w:val="2"/>
          <w:szCs w:val="26"/>
          <w14:ligatures w14:val="standardContextual"/>
        </w:rPr>
        <w:t>supra</w:t>
      </w:r>
      <w:r w:rsidRPr="00A317E5">
        <w:rPr>
          <w:rFonts w:eastAsia="Calibri"/>
          <w:kern w:val="2"/>
          <w:szCs w:val="26"/>
          <w14:ligatures w14:val="standardContextual"/>
        </w:rPr>
        <w:t xml:space="preserve">, 50 Cal.4th at p. 793; see also </w:t>
      </w:r>
      <w:r w:rsidRPr="00A317E5">
        <w:rPr>
          <w:rFonts w:eastAsia="Calibri"/>
          <w:i/>
          <w:iCs/>
          <w:kern w:val="2"/>
          <w:szCs w:val="26"/>
          <w14:ligatures w14:val="standardContextual"/>
        </w:rPr>
        <w:t>People v. Adrian</w:t>
      </w:r>
      <w:r w:rsidRPr="00A317E5">
        <w:rPr>
          <w:rFonts w:eastAsia="Calibri"/>
          <w:kern w:val="2"/>
          <w:szCs w:val="26"/>
          <w14:ligatures w14:val="standardContextual"/>
        </w:rPr>
        <w:t xml:space="preserve"> (1987) 191 Cal.App.3d 868.)  When “multiple proceedings </w:t>
      </w:r>
      <w:proofErr w:type="gramStart"/>
      <w:r w:rsidRPr="00A317E5">
        <w:rPr>
          <w:rFonts w:eastAsia="Calibri"/>
          <w:kern w:val="2"/>
          <w:szCs w:val="26"/>
          <w14:ligatures w14:val="standardContextual"/>
        </w:rPr>
        <w:t>lead[</w:t>
      </w:r>
      <w:proofErr w:type="gramEnd"/>
      <w:r w:rsidRPr="00A317E5">
        <w:rPr>
          <w:rFonts w:eastAsia="Calibri"/>
          <w:kern w:val="2"/>
          <w:szCs w:val="26"/>
          <w14:ligatures w14:val="standardContextual"/>
        </w:rPr>
        <w:t>] to terms which are consolidated . . . , the ‘attributable’ limitation still applies. . . . [C]</w:t>
      </w:r>
      <w:proofErr w:type="spellStart"/>
      <w:r w:rsidRPr="00A317E5">
        <w:rPr>
          <w:rFonts w:eastAsia="Calibri"/>
          <w:kern w:val="2"/>
          <w:szCs w:val="26"/>
          <w14:ligatures w14:val="standardContextual"/>
        </w:rPr>
        <w:t>redits</w:t>
      </w:r>
      <w:proofErr w:type="spellEnd"/>
      <w:r w:rsidRPr="00A317E5">
        <w:rPr>
          <w:rFonts w:eastAsia="Calibri"/>
          <w:kern w:val="2"/>
          <w:szCs w:val="26"/>
          <w14:ligatures w14:val="standardContextual"/>
        </w:rPr>
        <w:t xml:space="preserve"> are not reallocated:  they </w:t>
      </w:r>
      <w:r w:rsidRPr="00A317E5">
        <w:rPr>
          <w:rFonts w:eastAsia="Calibri"/>
          <w:kern w:val="2"/>
          <w:szCs w:val="26"/>
          <w14:ligatures w14:val="standardContextual"/>
        </w:rPr>
        <w:t>remain assigned only to the proceedings in which they were earned.”  (</w:t>
      </w:r>
      <w:r w:rsidRPr="00A317E5">
        <w:rPr>
          <w:rFonts w:eastAsia="Calibri"/>
          <w:i/>
          <w:iCs/>
          <w:kern w:val="2"/>
          <w:szCs w:val="26"/>
          <w14:ligatures w14:val="standardContextual"/>
        </w:rPr>
        <w:t>Adrian</w:t>
      </w:r>
      <w:r w:rsidRPr="00A317E5">
        <w:rPr>
          <w:rFonts w:eastAsia="Calibri"/>
          <w:kern w:val="2"/>
          <w:szCs w:val="26"/>
          <w14:ligatures w14:val="standardContextual"/>
        </w:rPr>
        <w:t xml:space="preserve">, at p. 877.)  The statute is sufficiently clear that the typical means of avoiding the suboptimal allocation of credits would have been for Cofer to promptly seek remand in cases A, B, and C upon his latest arrest and failure to secure release in cases D and E.  </w:t>
      </w:r>
    </w:p>
    <w:p w14:paraId="2AA90CC8" w14:textId="77777777" w:rsidR="004864A9" w:rsidRPr="00A317E5" w:rsidRDefault="004864A9" w:rsidP="00A317E5">
      <w:pPr>
        <w:tabs>
          <w:tab w:val="clear" w:pos="720"/>
        </w:tabs>
        <w:rPr>
          <w:rFonts w:eastAsia="Calibri"/>
          <w:kern w:val="2"/>
          <w:szCs w:val="26"/>
          <w14:ligatures w14:val="standardContextual"/>
        </w:rPr>
      </w:pPr>
      <w:r w:rsidRPr="00A317E5">
        <w:rPr>
          <w:rFonts w:eastAsia="Calibri"/>
          <w:kern w:val="2"/>
          <w:szCs w:val="26"/>
          <w14:ligatures w14:val="standardContextual"/>
        </w:rPr>
        <w:lastRenderedPageBreak/>
        <w:tab/>
        <w:t>Cofer himself understood this.  Personally protesting the court’s announcement of his custody credits, Cofer volunteered</w:t>
      </w:r>
      <w:proofErr w:type="gramStart"/>
      <w:r w:rsidRPr="00A317E5">
        <w:rPr>
          <w:rFonts w:eastAsia="Calibri"/>
          <w:kern w:val="2"/>
          <w:szCs w:val="26"/>
          <w14:ligatures w14:val="standardContextual"/>
        </w:rPr>
        <w:t>:  “</w:t>
      </w:r>
      <w:proofErr w:type="gramEnd"/>
      <w:r w:rsidRPr="00A317E5">
        <w:rPr>
          <w:rFonts w:eastAsia="Calibri"/>
          <w:i/>
          <w:iCs/>
          <w:kern w:val="2"/>
          <w:szCs w:val="26"/>
          <w14:ligatures w14:val="standardContextual"/>
        </w:rPr>
        <w:t>I asked for my bail to be revoked</w:t>
      </w:r>
      <w:r w:rsidRPr="00A317E5">
        <w:rPr>
          <w:rFonts w:eastAsia="Calibri"/>
          <w:kern w:val="2"/>
          <w:szCs w:val="26"/>
          <w14:ligatures w14:val="standardContextual"/>
        </w:rPr>
        <w:t xml:space="preserve"> when I came in.  I had a parole hold.  </w:t>
      </w:r>
      <w:proofErr w:type="gramStart"/>
      <w:r w:rsidRPr="00A317E5">
        <w:rPr>
          <w:rFonts w:eastAsia="Calibri"/>
          <w:kern w:val="2"/>
          <w:szCs w:val="26"/>
          <w14:ligatures w14:val="standardContextual"/>
        </w:rPr>
        <w:t>So</w:t>
      </w:r>
      <w:proofErr w:type="gramEnd"/>
      <w:r w:rsidRPr="00A317E5">
        <w:rPr>
          <w:rFonts w:eastAsia="Calibri"/>
          <w:kern w:val="2"/>
          <w:szCs w:val="26"/>
          <w14:ligatures w14:val="standardContextual"/>
        </w:rPr>
        <w:t xml:space="preserve"> I’ve been here since February [2021].  And </w:t>
      </w:r>
      <w:r w:rsidRPr="00A317E5">
        <w:rPr>
          <w:rFonts w:eastAsia="Calibri"/>
          <w:i/>
          <w:iCs/>
          <w:kern w:val="2"/>
          <w:szCs w:val="26"/>
          <w14:ligatures w14:val="standardContextual"/>
        </w:rPr>
        <w:t>I asked my lawyer</w:t>
      </w:r>
      <w:r w:rsidRPr="00A317E5">
        <w:rPr>
          <w:rFonts w:eastAsia="Calibri"/>
          <w:kern w:val="2"/>
          <w:szCs w:val="26"/>
          <w14:ligatures w14:val="standardContextual"/>
        </w:rPr>
        <w:t xml:space="preserve"> when I came in . . . </w:t>
      </w:r>
      <w:r w:rsidRPr="00A317E5">
        <w:rPr>
          <w:rFonts w:eastAsia="Calibri"/>
          <w:i/>
          <w:iCs/>
          <w:kern w:val="2"/>
          <w:szCs w:val="26"/>
          <w14:ligatures w14:val="standardContextual"/>
        </w:rPr>
        <w:t>to revoke my bail</w:t>
      </w:r>
      <w:r w:rsidRPr="00A317E5">
        <w:rPr>
          <w:rFonts w:eastAsia="Calibri"/>
          <w:kern w:val="2"/>
          <w:szCs w:val="26"/>
          <w14:ligatures w14:val="standardContextual"/>
        </w:rPr>
        <w:t>.”</w:t>
      </w:r>
      <w:r>
        <w:rPr>
          <w:rFonts w:eastAsia="Calibri"/>
          <w:kern w:val="2"/>
          <w:szCs w:val="26"/>
          <w:vertAlign w:val="superscript"/>
          <w14:ligatures w14:val="standardContextual"/>
        </w:rPr>
        <w:footnoteReference w:id="5"/>
      </w:r>
      <w:r w:rsidRPr="00A317E5">
        <w:rPr>
          <w:rFonts w:eastAsia="Calibri"/>
          <w:kern w:val="2"/>
          <w:szCs w:val="26"/>
          <w14:ligatures w14:val="standardContextual"/>
        </w:rPr>
        <w:t xml:space="preserve">  (Italics added.)  Nothing in this unprompted acknowledgment of section 2900.5’s limits </w:t>
      </w:r>
      <w:proofErr w:type="gramStart"/>
      <w:r w:rsidRPr="00A317E5">
        <w:rPr>
          <w:rFonts w:eastAsia="Calibri"/>
          <w:kern w:val="2"/>
          <w:szCs w:val="26"/>
          <w14:ligatures w14:val="standardContextual"/>
        </w:rPr>
        <w:t>suggests</w:t>
      </w:r>
      <w:proofErr w:type="gramEnd"/>
      <w:r w:rsidRPr="00A317E5">
        <w:rPr>
          <w:rFonts w:eastAsia="Calibri"/>
          <w:kern w:val="2"/>
          <w:szCs w:val="26"/>
          <w14:ligatures w14:val="standardContextual"/>
        </w:rPr>
        <w:t xml:space="preserve"> an expectation that the scheduling of his disparate cases for simultaneous sentencing might entitle him to credit in all cases for presentence custody nominally served in only some of them.  </w:t>
      </w:r>
    </w:p>
    <w:p w14:paraId="325C1F70" w14:textId="77777777" w:rsidR="004864A9" w:rsidRPr="00A317E5" w:rsidRDefault="004864A9" w:rsidP="00A317E5">
      <w:pPr>
        <w:tabs>
          <w:tab w:val="clear" w:pos="720"/>
        </w:tabs>
        <w:rPr>
          <w:rFonts w:eastAsia="Calibri"/>
          <w:kern w:val="2"/>
          <w:szCs w:val="26"/>
          <w14:ligatures w14:val="standardContextual"/>
        </w:rPr>
      </w:pPr>
      <w:r w:rsidRPr="00A317E5">
        <w:rPr>
          <w:rFonts w:eastAsia="Calibri"/>
          <w:kern w:val="2"/>
          <w:szCs w:val="26"/>
          <w14:ligatures w14:val="standardContextual"/>
        </w:rPr>
        <w:tab/>
        <w:t xml:space="preserve">The majority finds ambiguity in the statutory language as applied to Cofer’s </w:t>
      </w:r>
      <w:proofErr w:type="gramStart"/>
      <w:r w:rsidRPr="00A317E5">
        <w:rPr>
          <w:rFonts w:eastAsia="Calibri"/>
          <w:kern w:val="2"/>
          <w:szCs w:val="26"/>
          <w14:ligatures w14:val="standardContextual"/>
        </w:rPr>
        <w:t>particular predicament</w:t>
      </w:r>
      <w:proofErr w:type="gramEnd"/>
      <w:r w:rsidRPr="00A317E5">
        <w:rPr>
          <w:rFonts w:eastAsia="Calibri"/>
          <w:kern w:val="2"/>
          <w:szCs w:val="26"/>
          <w14:ligatures w14:val="standardContextual"/>
        </w:rPr>
        <w:t xml:space="preserve"> and suggests that “proceedings” might be the equivalent of a coordinated hearing, in which multiple cases corresponding to one defendant’s unrelated offenses “are resolved and sentenced together.”  (Maj. </w:t>
      </w:r>
      <w:proofErr w:type="spellStart"/>
      <w:r w:rsidRPr="00A317E5">
        <w:rPr>
          <w:rFonts w:eastAsia="Calibri"/>
          <w:kern w:val="2"/>
          <w:szCs w:val="26"/>
          <w14:ligatures w14:val="standardContextual"/>
        </w:rPr>
        <w:t>opn</w:t>
      </w:r>
      <w:proofErr w:type="spellEnd"/>
      <w:r w:rsidRPr="00A317E5">
        <w:rPr>
          <w:rFonts w:eastAsia="Calibri"/>
          <w:kern w:val="2"/>
          <w:szCs w:val="26"/>
          <w14:ligatures w14:val="standardContextual"/>
        </w:rPr>
        <w:t xml:space="preserve">., </w:t>
      </w:r>
      <w:r w:rsidRPr="00A317E5">
        <w:rPr>
          <w:rFonts w:eastAsia="Calibri"/>
          <w:i/>
          <w:iCs/>
          <w:kern w:val="2"/>
          <w:szCs w:val="26"/>
          <w14:ligatures w14:val="standardContextual"/>
        </w:rPr>
        <w:t>ante</w:t>
      </w:r>
      <w:r w:rsidRPr="00A317E5">
        <w:rPr>
          <w:rFonts w:eastAsia="Calibri"/>
          <w:kern w:val="2"/>
          <w:szCs w:val="26"/>
          <w14:ligatures w14:val="standardContextual"/>
        </w:rPr>
        <w:t xml:space="preserve">, at pp. 8, 9.)  Choosing this interpretation, as the majority does, makes it unnecessary to differentiate between the five cases and Cofer’s custodial status in each.  </w:t>
      </w:r>
    </w:p>
    <w:p w14:paraId="132EC9CE" w14:textId="77777777" w:rsidR="004864A9" w:rsidRPr="00A317E5" w:rsidRDefault="004864A9" w:rsidP="00A317E5">
      <w:pPr>
        <w:tabs>
          <w:tab w:val="clear" w:pos="720"/>
        </w:tabs>
        <w:rPr>
          <w:rFonts w:eastAsia="Calibri"/>
          <w:kern w:val="2"/>
          <w:szCs w:val="26"/>
          <w14:ligatures w14:val="standardContextual"/>
        </w:rPr>
      </w:pPr>
      <w:r w:rsidRPr="00A317E5">
        <w:rPr>
          <w:rFonts w:eastAsia="Calibri"/>
          <w:kern w:val="2"/>
          <w:szCs w:val="26"/>
          <w14:ligatures w14:val="standardContextual"/>
        </w:rPr>
        <w:tab/>
        <w:t>But “California courts have long recognized that the term ‘proceedings’ is broader than the term ‘hearings.’  [Citations.]  Indeed, . . . any attempt to equate the two ‘flies in the face of the ordinary meaning of “proceedings.</w:t>
      </w:r>
      <w:proofErr w:type="gramStart"/>
      <w:r w:rsidRPr="00A317E5">
        <w:rPr>
          <w:rFonts w:eastAsia="Calibri"/>
          <w:kern w:val="2"/>
          <w:szCs w:val="26"/>
          <w14:ligatures w14:val="standardContextual"/>
        </w:rPr>
        <w:t>” ’</w:t>
      </w:r>
      <w:proofErr w:type="gramEnd"/>
      <w:r w:rsidRPr="00A317E5">
        <w:rPr>
          <w:rFonts w:eastAsia="Calibri"/>
          <w:kern w:val="2"/>
          <w:szCs w:val="26"/>
          <w14:ligatures w14:val="standardContextual"/>
        </w:rPr>
        <w:t> ”  (</w:t>
      </w:r>
      <w:r w:rsidRPr="00A317E5">
        <w:rPr>
          <w:rFonts w:eastAsia="Calibri"/>
          <w:i/>
          <w:iCs/>
          <w:kern w:val="2"/>
          <w:szCs w:val="26"/>
          <w14:ligatures w14:val="standardContextual"/>
        </w:rPr>
        <w:t>Recorder v. Commission on Judicial Performance</w:t>
      </w:r>
      <w:r w:rsidRPr="00A317E5">
        <w:rPr>
          <w:rFonts w:eastAsia="Calibri"/>
          <w:kern w:val="2"/>
          <w:szCs w:val="26"/>
          <w14:ligatures w14:val="standardContextual"/>
        </w:rPr>
        <w:t xml:space="preserve"> (1999) 72 Cal.App.4th 258, 271–272.)  </w:t>
      </w:r>
      <w:proofErr w:type="gramStart"/>
      <w:r w:rsidRPr="00A317E5">
        <w:rPr>
          <w:rFonts w:eastAsia="Calibri"/>
          <w:kern w:val="2"/>
          <w:szCs w:val="26"/>
          <w14:ligatures w14:val="standardContextual"/>
        </w:rPr>
        <w:t>“ ‘</w:t>
      </w:r>
      <w:proofErr w:type="gramEnd"/>
      <w:r w:rsidRPr="00A317E5">
        <w:rPr>
          <w:rFonts w:eastAsia="Calibri"/>
          <w:kern w:val="2"/>
          <w:szCs w:val="26"/>
          <w14:ligatures w14:val="standardContextual"/>
        </w:rPr>
        <w:t>[P]</w:t>
      </w:r>
      <w:proofErr w:type="spellStart"/>
      <w:r w:rsidRPr="00A317E5">
        <w:rPr>
          <w:rFonts w:eastAsia="Calibri"/>
          <w:kern w:val="2"/>
          <w:szCs w:val="26"/>
          <w14:ligatures w14:val="standardContextual"/>
        </w:rPr>
        <w:t>roceeding</w:t>
      </w:r>
      <w:proofErr w:type="spellEnd"/>
      <w:r w:rsidRPr="00A317E5">
        <w:rPr>
          <w:rFonts w:eastAsia="Calibri"/>
          <w:kern w:val="2"/>
          <w:szCs w:val="26"/>
          <w14:ligatures w14:val="standardContextual"/>
        </w:rPr>
        <w:t>’ ” has a “well[-]known and accepted sense as designating a form of action . . . .”  (</w:t>
      </w:r>
      <w:r w:rsidRPr="00A317E5">
        <w:rPr>
          <w:rFonts w:eastAsia="Calibri"/>
          <w:i/>
          <w:iCs/>
          <w:kern w:val="2"/>
          <w:szCs w:val="26"/>
          <w14:ligatures w14:val="standardContextual"/>
        </w:rPr>
        <w:t xml:space="preserve">Thornley v. Superior Court </w:t>
      </w:r>
      <w:r w:rsidRPr="00A317E5">
        <w:rPr>
          <w:rFonts w:eastAsia="Calibri"/>
          <w:kern w:val="2"/>
          <w:szCs w:val="26"/>
          <w14:ligatures w14:val="standardContextual"/>
        </w:rPr>
        <w:t xml:space="preserve">(1949) 89 Cal.App.2d 662, 663–664; see also </w:t>
      </w:r>
      <w:r w:rsidRPr="00A317E5">
        <w:rPr>
          <w:rFonts w:eastAsia="Calibri"/>
          <w:i/>
          <w:iCs/>
          <w:kern w:val="2"/>
          <w:szCs w:val="26"/>
          <w14:ligatures w14:val="standardContextual"/>
        </w:rPr>
        <w:t>People v. Williams</w:t>
      </w:r>
      <w:r w:rsidRPr="00A317E5">
        <w:rPr>
          <w:rFonts w:eastAsia="Calibri"/>
          <w:kern w:val="2"/>
          <w:szCs w:val="26"/>
          <w14:ligatures w14:val="standardContextual"/>
        </w:rPr>
        <w:t xml:space="preserve"> (1992) 10 Cal.App.4th 827, 833 [defining </w:t>
      </w:r>
      <w:proofErr w:type="gramStart"/>
      <w:r w:rsidRPr="00A317E5">
        <w:rPr>
          <w:rFonts w:eastAsia="Calibri"/>
          <w:kern w:val="2"/>
          <w:szCs w:val="26"/>
          <w14:ligatures w14:val="standardContextual"/>
        </w:rPr>
        <w:t>“ ‘</w:t>
      </w:r>
      <w:proofErr w:type="gramEnd"/>
      <w:r w:rsidRPr="00A317E5">
        <w:rPr>
          <w:rFonts w:eastAsia="Calibri"/>
          <w:kern w:val="2"/>
          <w:szCs w:val="26"/>
          <w14:ligatures w14:val="standardContextual"/>
        </w:rPr>
        <w:t xml:space="preserve">[l]egal proceedings’ ” as “ ‘all proceedings authorized or . . . instituted in a court  . . . [for] the enforcement of a remedy’ ”].)  </w:t>
      </w:r>
      <w:r w:rsidRPr="00A317E5">
        <w:rPr>
          <w:rFonts w:eastAsia="Calibri"/>
          <w:kern w:val="2"/>
          <w:szCs w:val="26"/>
          <w14:ligatures w14:val="standardContextual"/>
        </w:rPr>
        <w:lastRenderedPageBreak/>
        <w:t>Consistent with these authorities, “proceeding” t</w:t>
      </w:r>
      <w:r w:rsidRPr="00A317E5">
        <w:rPr>
          <w:rFonts w:eastAsia="Calibri"/>
          <w:kern w:val="2"/>
          <w:szCs w:val="26"/>
          <w14:ligatures w14:val="standardContextual"/>
        </w:rPr>
        <w:t xml:space="preserve">urns on the operative charging documents that allege the criminal conduct for which the People seek punishment, not on a purely procedural decision to coordinate scheduling for multiple actions.  Presentence custody is not “attributable to” hearings, only to the cases heard.  </w:t>
      </w:r>
    </w:p>
    <w:p w14:paraId="0500AD92" w14:textId="77777777" w:rsidR="004864A9" w:rsidRPr="00A317E5" w:rsidRDefault="004864A9" w:rsidP="00A317E5">
      <w:pPr>
        <w:tabs>
          <w:tab w:val="clear" w:pos="720"/>
        </w:tabs>
        <w:rPr>
          <w:rFonts w:eastAsia="Calibri"/>
          <w:kern w:val="2"/>
          <w:szCs w:val="26"/>
          <w14:ligatures w14:val="standardContextual"/>
        </w:rPr>
      </w:pPr>
      <w:r w:rsidRPr="00A317E5">
        <w:rPr>
          <w:rFonts w:eastAsia="Calibri"/>
          <w:kern w:val="2"/>
          <w:szCs w:val="26"/>
          <w14:ligatures w14:val="standardContextual"/>
        </w:rPr>
        <w:tab/>
        <w:t xml:space="preserve">Nor is the coordination of multiple cases for sentencing a procedural innovation that invites the majority’s reading of section 2900.5.  Since at least </w:t>
      </w:r>
      <w:r w:rsidRPr="00A317E5">
        <w:rPr>
          <w:rFonts w:eastAsia="Calibri"/>
          <w:i/>
          <w:iCs/>
          <w:kern w:val="2"/>
          <w:szCs w:val="26"/>
          <w14:ligatures w14:val="standardContextual"/>
        </w:rPr>
        <w:t>In re Joyner</w:t>
      </w:r>
      <w:r w:rsidRPr="00A317E5">
        <w:rPr>
          <w:rFonts w:eastAsia="Calibri"/>
          <w:kern w:val="2"/>
          <w:szCs w:val="26"/>
          <w14:ligatures w14:val="standardContextual"/>
        </w:rPr>
        <w:t xml:space="preserve"> (1989) 48 Cal.3d 487 (</w:t>
      </w:r>
      <w:r w:rsidRPr="00A317E5">
        <w:rPr>
          <w:rFonts w:eastAsia="Calibri"/>
          <w:i/>
          <w:iCs/>
          <w:kern w:val="2"/>
          <w:szCs w:val="26"/>
          <w14:ligatures w14:val="standardContextual"/>
        </w:rPr>
        <w:t>Joyner</w:t>
      </w:r>
      <w:r w:rsidRPr="00A317E5">
        <w:rPr>
          <w:rFonts w:eastAsia="Calibri"/>
          <w:kern w:val="2"/>
          <w:szCs w:val="26"/>
          <w14:ligatures w14:val="standardContextual"/>
        </w:rPr>
        <w:t>), had there been “</w:t>
      </w:r>
      <w:r w:rsidRPr="00A317E5">
        <w:rPr>
          <w:rFonts w:eastAsia="Calibri"/>
          <w:i/>
          <w:iCs/>
          <w:kern w:val="2"/>
          <w:szCs w:val="26"/>
          <w14:ligatures w14:val="standardContextual"/>
        </w:rPr>
        <w:t>separately</w:t>
      </w:r>
      <w:r w:rsidRPr="00A317E5">
        <w:rPr>
          <w:rFonts w:eastAsia="Calibri"/>
          <w:kern w:val="2"/>
          <w:szCs w:val="26"/>
          <w14:ligatures w14:val="standardContextual"/>
        </w:rPr>
        <w:t xml:space="preserve"> imposed concurrent sentences,” even the presentence custody credited in the first case(s) to be sentenced would have become unavailable to be credited to any of the later sentences, absent a showing that “the claimant would have been at liberty during the period were it not for a restraint relating to the proceedings resulting in the later sentence.”  (</w:t>
      </w:r>
      <w:r w:rsidRPr="00A317E5">
        <w:rPr>
          <w:rFonts w:eastAsia="Calibri"/>
          <w:i/>
          <w:iCs/>
          <w:kern w:val="2"/>
          <w:szCs w:val="26"/>
          <w14:ligatures w14:val="standardContextual"/>
        </w:rPr>
        <w:t>Joyner</w:t>
      </w:r>
      <w:r w:rsidRPr="00A317E5">
        <w:rPr>
          <w:rFonts w:eastAsia="Calibri"/>
          <w:kern w:val="2"/>
          <w:szCs w:val="26"/>
          <w14:ligatures w14:val="standardContextual"/>
        </w:rPr>
        <w:t>, at p. 489, italics added [announcing requirement of “strict causation”</w:t>
      </w:r>
      <w:proofErr w:type="gramStart"/>
      <w:r w:rsidRPr="00A317E5">
        <w:rPr>
          <w:rFonts w:eastAsia="Calibri"/>
          <w:kern w:val="2"/>
          <w:szCs w:val="26"/>
          <w14:ligatures w14:val="standardContextual"/>
        </w:rPr>
        <w:t>];</w:t>
      </w:r>
      <w:proofErr w:type="gramEnd"/>
      <w:r w:rsidRPr="00A317E5">
        <w:rPr>
          <w:rFonts w:eastAsia="Calibri"/>
          <w:kern w:val="2"/>
          <w:szCs w:val="26"/>
          <w14:ligatures w14:val="standardContextual"/>
        </w:rPr>
        <w:t xml:space="preserve"> cf. </w:t>
      </w:r>
      <w:r w:rsidRPr="00A317E5">
        <w:rPr>
          <w:rFonts w:eastAsia="Calibri"/>
          <w:i/>
          <w:iCs/>
          <w:kern w:val="2"/>
          <w:szCs w:val="26"/>
          <w14:ligatures w14:val="standardContextual"/>
        </w:rPr>
        <w:t>P</w:t>
      </w:r>
      <w:r w:rsidRPr="00A317E5">
        <w:rPr>
          <w:rFonts w:eastAsia="Calibri"/>
          <w:i/>
          <w:iCs/>
          <w:kern w:val="2"/>
          <w:szCs w:val="26"/>
          <w14:ligatures w14:val="standardContextual"/>
        </w:rPr>
        <w:t>eople v. Kunath</w:t>
      </w:r>
      <w:r w:rsidRPr="00A317E5">
        <w:rPr>
          <w:rFonts w:eastAsia="Calibri"/>
          <w:kern w:val="2"/>
          <w:szCs w:val="26"/>
          <w14:ligatures w14:val="standardContextual"/>
        </w:rPr>
        <w:t xml:space="preserve"> (2012) 203 Cal.App.4th 906, 908–909 (</w:t>
      </w:r>
      <w:r w:rsidRPr="00A317E5">
        <w:rPr>
          <w:rFonts w:eastAsia="Calibri"/>
          <w:i/>
          <w:iCs/>
          <w:kern w:val="2"/>
          <w:szCs w:val="26"/>
          <w14:ligatures w14:val="standardContextual"/>
        </w:rPr>
        <w:t>Kunath</w:t>
      </w:r>
      <w:r w:rsidRPr="00A317E5">
        <w:rPr>
          <w:rFonts w:eastAsia="Calibri"/>
          <w:kern w:val="2"/>
          <w:szCs w:val="26"/>
          <w14:ligatures w14:val="standardContextual"/>
        </w:rPr>
        <w:t xml:space="preserve">) [holding that, unlike </w:t>
      </w:r>
      <w:proofErr w:type="gramStart"/>
      <w:r w:rsidRPr="00A317E5">
        <w:rPr>
          <w:rFonts w:eastAsia="Calibri"/>
          <w:kern w:val="2"/>
          <w:szCs w:val="26"/>
          <w14:ligatures w14:val="standardContextual"/>
        </w:rPr>
        <w:t>“ ‘</w:t>
      </w:r>
      <w:proofErr w:type="gramEnd"/>
      <w:r w:rsidRPr="00A317E5">
        <w:rPr>
          <w:rFonts w:eastAsia="Calibri"/>
          <w:kern w:val="2"/>
          <w:szCs w:val="26"/>
          <w14:ligatures w14:val="standardContextual"/>
        </w:rPr>
        <w:t xml:space="preserve">difficult problems’ ” involving separately imposed sentences, a defendant is entitled to credit against each of concurrent sentences imposed at the same time “for the time he was in custody on </w:t>
      </w:r>
      <w:r w:rsidRPr="00A317E5">
        <w:rPr>
          <w:rFonts w:eastAsia="Calibri"/>
          <w:i/>
          <w:iCs/>
          <w:kern w:val="2"/>
          <w:szCs w:val="26"/>
          <w14:ligatures w14:val="standardContextual"/>
        </w:rPr>
        <w:t>both</w:t>
      </w:r>
      <w:r w:rsidRPr="00A317E5">
        <w:rPr>
          <w:rFonts w:eastAsia="Calibri"/>
          <w:kern w:val="2"/>
          <w:szCs w:val="26"/>
          <w14:ligatures w14:val="standardContextual"/>
        </w:rPr>
        <w:t xml:space="preserve"> cases” (italics added)].)  In other words, had the sentence in case C been imposed first and presentence custody duly credited, the custody available to be credited to cases D and E would have been reduced by the days that Cofer</w:t>
      </w:r>
      <w:r w:rsidRPr="00A317E5">
        <w:rPr>
          <w:rFonts w:eastAsia="Calibri"/>
          <w:kern w:val="2"/>
          <w:szCs w:val="26"/>
          <w14:ligatures w14:val="standardContextual"/>
        </w:rPr>
        <w:t xml:space="preserve"> had been in presentence custody on all three of these cases, and by the days between the imposition of sentence in case C and the eventual sentencing date in cases D and E.  In this scenario, denominating the sentences D and E as concurrent to sentence C would not spare Cofer the obligation under </w:t>
      </w:r>
      <w:r w:rsidRPr="00A317E5">
        <w:rPr>
          <w:rFonts w:eastAsia="Calibri"/>
          <w:i/>
          <w:iCs/>
          <w:kern w:val="2"/>
          <w:szCs w:val="26"/>
          <w14:ligatures w14:val="standardContextual"/>
        </w:rPr>
        <w:t>Joyner</w:t>
      </w:r>
      <w:r w:rsidRPr="00A317E5">
        <w:rPr>
          <w:rFonts w:eastAsia="Calibri"/>
          <w:kern w:val="2"/>
          <w:szCs w:val="26"/>
          <w14:ligatures w14:val="standardContextual"/>
        </w:rPr>
        <w:t xml:space="preserve"> to prove that he would have been at liberty but for cases D and E, a showing that his in</w:t>
      </w:r>
      <w:r w:rsidRPr="00A317E5">
        <w:rPr>
          <w:rFonts w:eastAsia="Calibri"/>
          <w:kern w:val="2"/>
          <w:szCs w:val="26"/>
          <w14:ligatures w14:val="standardContextual"/>
        </w:rPr>
        <w:noBreakHyphen/>
        <w:t xml:space="preserve">custody status in case C would defeat.  </w:t>
      </w:r>
    </w:p>
    <w:p w14:paraId="060F6354" w14:textId="77777777" w:rsidR="004864A9" w:rsidRPr="00A317E5" w:rsidRDefault="004864A9" w:rsidP="00A317E5">
      <w:pPr>
        <w:tabs>
          <w:tab w:val="clear" w:pos="720"/>
        </w:tabs>
        <w:rPr>
          <w:rFonts w:eastAsia="Calibri"/>
          <w:kern w:val="2"/>
          <w:szCs w:val="26"/>
          <w14:ligatures w14:val="standardContextual"/>
        </w:rPr>
      </w:pPr>
      <w:r w:rsidRPr="00A317E5">
        <w:rPr>
          <w:rFonts w:eastAsia="Calibri"/>
          <w:kern w:val="2"/>
          <w:szCs w:val="26"/>
          <w14:ligatures w14:val="standardContextual"/>
        </w:rPr>
        <w:tab/>
        <w:t xml:space="preserve">Coordination of Cofer’s cases for sentencing ensured only that the trial court would credit him in each case with the days he was in custody for that </w:t>
      </w:r>
      <w:proofErr w:type="gramStart"/>
      <w:r w:rsidRPr="00A317E5">
        <w:rPr>
          <w:rFonts w:eastAsia="Calibri"/>
          <w:kern w:val="2"/>
          <w:szCs w:val="26"/>
          <w14:ligatures w14:val="standardContextual"/>
        </w:rPr>
        <w:t>particular case</w:t>
      </w:r>
      <w:proofErr w:type="gramEnd"/>
      <w:r w:rsidRPr="00A317E5">
        <w:rPr>
          <w:rFonts w:eastAsia="Calibri"/>
          <w:kern w:val="2"/>
          <w:szCs w:val="26"/>
          <w14:ligatures w14:val="standardContextual"/>
        </w:rPr>
        <w:t xml:space="preserve">, even though those same days were also credited in another case or two or three—because </w:t>
      </w:r>
      <w:r w:rsidRPr="00A317E5">
        <w:rPr>
          <w:rFonts w:eastAsia="Calibri"/>
          <w:kern w:val="2"/>
          <w:szCs w:val="26"/>
          <w14:ligatures w14:val="standardContextual"/>
        </w:rPr>
        <w:lastRenderedPageBreak/>
        <w:t>his custody was attributable to each case to be credited.  (</w:t>
      </w:r>
      <w:r w:rsidRPr="00A317E5">
        <w:rPr>
          <w:rFonts w:eastAsia="Calibri"/>
          <w:i/>
          <w:iCs/>
          <w:kern w:val="2"/>
          <w:szCs w:val="26"/>
          <w14:ligatures w14:val="standardContextual"/>
        </w:rPr>
        <w:t>Kunath</w:t>
      </w:r>
      <w:r w:rsidRPr="00A317E5">
        <w:rPr>
          <w:rFonts w:eastAsia="Calibri"/>
          <w:kern w:val="2"/>
          <w:szCs w:val="26"/>
          <w14:ligatures w14:val="standardContextual"/>
        </w:rPr>
        <w:t xml:space="preserve">, </w:t>
      </w:r>
      <w:r w:rsidRPr="00A317E5">
        <w:rPr>
          <w:rFonts w:eastAsia="Calibri"/>
          <w:i/>
          <w:iCs/>
          <w:kern w:val="2"/>
          <w:szCs w:val="26"/>
          <w14:ligatures w14:val="standardContextual"/>
        </w:rPr>
        <w:t>supra</w:t>
      </w:r>
      <w:r w:rsidRPr="00A317E5">
        <w:rPr>
          <w:rFonts w:eastAsia="Calibri"/>
          <w:kern w:val="2"/>
          <w:szCs w:val="26"/>
          <w14:ligatures w14:val="standardContextual"/>
        </w:rPr>
        <w:t xml:space="preserve">, 203 Cal.App.4th at pp. 910–911.)  But nothing in the statute authorizes more than this.  </w:t>
      </w:r>
    </w:p>
    <w:p w14:paraId="17624437" w14:textId="77777777" w:rsidR="004864A9" w:rsidRPr="00A317E5" w:rsidRDefault="004864A9" w:rsidP="00A317E5">
      <w:pPr>
        <w:tabs>
          <w:tab w:val="clear" w:pos="720"/>
        </w:tabs>
        <w:ind w:firstLine="720"/>
        <w:rPr>
          <w:rFonts w:eastAsia="Calibri"/>
          <w:b/>
          <w:bCs/>
          <w:kern w:val="2"/>
          <w:szCs w:val="26"/>
          <w14:ligatures w14:val="standardContextual"/>
        </w:rPr>
      </w:pPr>
      <w:r w:rsidRPr="00A317E5">
        <w:rPr>
          <w:rFonts w:eastAsia="Calibri"/>
          <w:b/>
          <w:bCs/>
          <w:kern w:val="2"/>
          <w:szCs w:val="26"/>
          <w14:ligatures w14:val="standardContextual"/>
        </w:rPr>
        <w:t>II.</w:t>
      </w:r>
      <w:r w:rsidRPr="00A317E5">
        <w:rPr>
          <w:rFonts w:eastAsia="Calibri"/>
          <w:b/>
          <w:bCs/>
          <w:kern w:val="2"/>
          <w:szCs w:val="26"/>
          <w14:ligatures w14:val="standardContextual"/>
        </w:rPr>
        <w:tab/>
      </w:r>
      <w:r w:rsidRPr="00A317E5">
        <w:rPr>
          <w:rFonts w:eastAsia="Calibri"/>
          <w:b/>
          <w:bCs/>
          <w:i/>
          <w:iCs/>
          <w:kern w:val="2"/>
          <w:szCs w:val="26"/>
          <w14:ligatures w14:val="standardContextual"/>
        </w:rPr>
        <w:t>The Supreme Court’s Treatment of Custodial Status</w:t>
      </w:r>
    </w:p>
    <w:p w14:paraId="2FDFBC63" w14:textId="77777777" w:rsidR="004864A9" w:rsidRPr="00A317E5" w:rsidRDefault="004864A9" w:rsidP="00A317E5">
      <w:pPr>
        <w:tabs>
          <w:tab w:val="clear" w:pos="720"/>
        </w:tabs>
        <w:ind w:firstLine="720"/>
        <w:rPr>
          <w:rFonts w:eastAsia="Calibri"/>
          <w:kern w:val="2"/>
          <w:szCs w:val="26"/>
          <w14:ligatures w14:val="standardContextual"/>
        </w:rPr>
      </w:pPr>
      <w:r w:rsidRPr="00A317E5">
        <w:rPr>
          <w:rFonts w:eastAsia="Calibri"/>
          <w:kern w:val="2"/>
          <w:szCs w:val="26"/>
          <w14:ligatures w14:val="standardContextual"/>
        </w:rPr>
        <w:t xml:space="preserve">It is true that my disagreement with the majority turns on what it aptly terms a “purely technical” distinction in custodial status.  (Maj. </w:t>
      </w:r>
      <w:proofErr w:type="spellStart"/>
      <w:r w:rsidRPr="00A317E5">
        <w:rPr>
          <w:rFonts w:eastAsia="Calibri"/>
          <w:kern w:val="2"/>
          <w:szCs w:val="26"/>
          <w14:ligatures w14:val="standardContextual"/>
        </w:rPr>
        <w:t>opn</w:t>
      </w:r>
      <w:proofErr w:type="spellEnd"/>
      <w:r w:rsidRPr="00A317E5">
        <w:rPr>
          <w:rFonts w:eastAsia="Calibri"/>
          <w:kern w:val="2"/>
          <w:szCs w:val="26"/>
          <w14:ligatures w14:val="standardContextual"/>
        </w:rPr>
        <w:t xml:space="preserve">., </w:t>
      </w:r>
      <w:r w:rsidRPr="00A317E5">
        <w:rPr>
          <w:rFonts w:eastAsia="Calibri"/>
          <w:i/>
          <w:iCs/>
          <w:kern w:val="2"/>
          <w:szCs w:val="26"/>
          <w14:ligatures w14:val="standardContextual"/>
        </w:rPr>
        <w:t>ante</w:t>
      </w:r>
      <w:r w:rsidRPr="00A317E5">
        <w:rPr>
          <w:rFonts w:eastAsia="Calibri"/>
          <w:kern w:val="2"/>
          <w:szCs w:val="26"/>
          <w14:ligatures w14:val="standardContextual"/>
        </w:rPr>
        <w:t xml:space="preserve">, at p. 9.)  And yet it is just such a technical reading of custody “attributable to proceedings related to the same conduct” that the Supreme Court imposed in </w:t>
      </w:r>
      <w:r w:rsidRPr="00A317E5">
        <w:rPr>
          <w:rFonts w:eastAsia="Calibri"/>
          <w:i/>
          <w:iCs/>
          <w:kern w:val="2"/>
          <w:szCs w:val="26"/>
          <w14:ligatures w14:val="standardContextual"/>
        </w:rPr>
        <w:t xml:space="preserve">Joyner </w:t>
      </w:r>
      <w:r w:rsidRPr="00A317E5">
        <w:rPr>
          <w:rFonts w:eastAsia="Calibri"/>
          <w:kern w:val="2"/>
          <w:szCs w:val="26"/>
          <w14:ligatures w14:val="standardContextual"/>
        </w:rPr>
        <w:t xml:space="preserve">and reaffirmed in </w:t>
      </w:r>
      <w:r w:rsidRPr="00A317E5">
        <w:rPr>
          <w:rFonts w:eastAsia="Calibri"/>
          <w:i/>
          <w:iCs/>
          <w:kern w:val="2"/>
          <w:szCs w:val="26"/>
          <w14:ligatures w14:val="standardContextual"/>
        </w:rPr>
        <w:t>People v. Bruner</w:t>
      </w:r>
      <w:r w:rsidRPr="00A317E5">
        <w:rPr>
          <w:rFonts w:eastAsia="Calibri"/>
          <w:kern w:val="2"/>
          <w:szCs w:val="26"/>
          <w14:ligatures w14:val="standardContextual"/>
        </w:rPr>
        <w:t xml:space="preserve"> (1995) 9 Cal.4th 1178</w:t>
      </w:r>
      <w:r w:rsidRPr="00A317E5">
        <w:rPr>
          <w:rFonts w:eastAsia="Calibri"/>
          <w:i/>
          <w:iCs/>
          <w:kern w:val="2"/>
          <w:szCs w:val="26"/>
          <w14:ligatures w14:val="standardContextual"/>
        </w:rPr>
        <w:t xml:space="preserve"> </w:t>
      </w:r>
      <w:r w:rsidRPr="00A317E5">
        <w:rPr>
          <w:rFonts w:eastAsia="Calibri"/>
          <w:kern w:val="2"/>
          <w:szCs w:val="26"/>
          <w14:ligatures w14:val="standardContextual"/>
        </w:rPr>
        <w:t>(</w:t>
      </w:r>
      <w:r w:rsidRPr="00A317E5">
        <w:rPr>
          <w:rFonts w:eastAsia="Calibri"/>
          <w:i/>
          <w:iCs/>
          <w:kern w:val="2"/>
          <w:szCs w:val="26"/>
          <w14:ligatures w14:val="standardContextual"/>
        </w:rPr>
        <w:t>Bruner</w:t>
      </w:r>
      <w:r w:rsidRPr="00A317E5">
        <w:rPr>
          <w:rFonts w:eastAsia="Calibri"/>
          <w:kern w:val="2"/>
          <w:szCs w:val="26"/>
          <w14:ligatures w14:val="standardContextual"/>
        </w:rPr>
        <w:t xml:space="preserve">) when it repudiated the “relaxed causation” standard it had once espoused in </w:t>
      </w:r>
      <w:proofErr w:type="gramStart"/>
      <w:r w:rsidRPr="00A317E5">
        <w:rPr>
          <w:rFonts w:eastAsia="Calibri"/>
          <w:i/>
          <w:iCs/>
          <w:kern w:val="2"/>
          <w:szCs w:val="26"/>
          <w14:ligatures w14:val="standardContextual"/>
        </w:rPr>
        <w:t>In</w:t>
      </w:r>
      <w:proofErr w:type="gramEnd"/>
      <w:r w:rsidRPr="00A317E5">
        <w:rPr>
          <w:rFonts w:eastAsia="Calibri"/>
          <w:i/>
          <w:iCs/>
          <w:kern w:val="2"/>
          <w:szCs w:val="26"/>
          <w14:ligatures w14:val="standardContextual"/>
        </w:rPr>
        <w:t xml:space="preserve"> re</w:t>
      </w:r>
      <w:r w:rsidRPr="00A317E5">
        <w:rPr>
          <w:rFonts w:eastAsia="Calibri"/>
          <w:kern w:val="2"/>
          <w:szCs w:val="26"/>
          <w14:ligatures w14:val="standardContextual"/>
        </w:rPr>
        <w:t xml:space="preserve"> </w:t>
      </w:r>
      <w:r w:rsidRPr="00A317E5">
        <w:rPr>
          <w:rFonts w:eastAsia="Calibri"/>
          <w:i/>
          <w:iCs/>
          <w:kern w:val="2"/>
          <w:szCs w:val="26"/>
          <w14:ligatures w14:val="standardContextual"/>
        </w:rPr>
        <w:t>Atiles</w:t>
      </w:r>
      <w:r w:rsidRPr="00A317E5">
        <w:rPr>
          <w:rFonts w:eastAsia="Calibri"/>
          <w:kern w:val="2"/>
          <w:szCs w:val="26"/>
          <w14:ligatures w14:val="standardContextual"/>
        </w:rPr>
        <w:t xml:space="preserve"> (1983) 33 Cal.3d 805 (</w:t>
      </w:r>
      <w:r w:rsidRPr="00A317E5">
        <w:rPr>
          <w:rFonts w:eastAsia="Calibri"/>
          <w:i/>
          <w:iCs/>
          <w:kern w:val="2"/>
          <w:szCs w:val="26"/>
          <w14:ligatures w14:val="standardContextual"/>
        </w:rPr>
        <w:t>Atiles</w:t>
      </w:r>
      <w:r w:rsidRPr="00A317E5">
        <w:rPr>
          <w:rFonts w:eastAsia="Calibri"/>
          <w:kern w:val="2"/>
          <w:szCs w:val="26"/>
          <w14:ligatures w14:val="standardContextual"/>
        </w:rPr>
        <w:t>).  (</w:t>
      </w:r>
      <w:r w:rsidRPr="00A317E5">
        <w:rPr>
          <w:rFonts w:eastAsia="Calibri"/>
          <w:i/>
          <w:iCs/>
          <w:kern w:val="2"/>
          <w:szCs w:val="26"/>
          <w14:ligatures w14:val="standardContextual"/>
        </w:rPr>
        <w:t>Bruner</w:t>
      </w:r>
      <w:r w:rsidRPr="00A317E5">
        <w:rPr>
          <w:rFonts w:eastAsia="Calibri"/>
          <w:kern w:val="2"/>
          <w:szCs w:val="26"/>
          <w14:ligatures w14:val="standardContextual"/>
        </w:rPr>
        <w:t xml:space="preserve">, at p. 1180; see also </w:t>
      </w:r>
      <w:r w:rsidRPr="00A317E5">
        <w:rPr>
          <w:rFonts w:eastAsia="Calibri"/>
          <w:i/>
          <w:iCs/>
          <w:kern w:val="2"/>
          <w:szCs w:val="26"/>
          <w14:ligatures w14:val="standardContextual"/>
        </w:rPr>
        <w:t>Joyner</w:t>
      </w:r>
      <w:r w:rsidRPr="00A317E5">
        <w:rPr>
          <w:rFonts w:eastAsia="Calibri"/>
          <w:kern w:val="2"/>
          <w:szCs w:val="26"/>
          <w14:ligatures w14:val="standardContextual"/>
        </w:rPr>
        <w:t xml:space="preserve">, </w:t>
      </w:r>
      <w:r w:rsidRPr="00A317E5">
        <w:rPr>
          <w:rFonts w:eastAsia="Calibri"/>
          <w:i/>
          <w:iCs/>
          <w:kern w:val="2"/>
          <w:szCs w:val="26"/>
          <w14:ligatures w14:val="standardContextual"/>
        </w:rPr>
        <w:t>supra</w:t>
      </w:r>
      <w:r w:rsidRPr="00A317E5">
        <w:rPr>
          <w:rFonts w:eastAsia="Calibri"/>
          <w:kern w:val="2"/>
          <w:szCs w:val="26"/>
          <w14:ligatures w14:val="standardContextual"/>
        </w:rPr>
        <w:t xml:space="preserve">, 48 Cal.3d at pp. 494, 493 [faulting </w:t>
      </w:r>
      <w:r w:rsidRPr="00A317E5">
        <w:rPr>
          <w:rFonts w:eastAsia="Calibri"/>
          <w:i/>
          <w:iCs/>
          <w:kern w:val="2"/>
          <w:szCs w:val="26"/>
          <w14:ligatures w14:val="standardContextual"/>
        </w:rPr>
        <w:t xml:space="preserve">Atiles </w:t>
      </w:r>
      <w:r w:rsidRPr="00A317E5">
        <w:rPr>
          <w:rFonts w:eastAsia="Calibri"/>
          <w:kern w:val="2"/>
          <w:szCs w:val="26"/>
          <w14:ligatures w14:val="standardContextual"/>
        </w:rPr>
        <w:t xml:space="preserve">for going “astray” from the legislative purpose of § 2900.5].)  Indeed, the </w:t>
      </w:r>
      <w:r w:rsidRPr="00A317E5">
        <w:rPr>
          <w:rFonts w:eastAsia="Calibri"/>
          <w:i/>
          <w:iCs/>
          <w:kern w:val="2"/>
          <w:szCs w:val="26"/>
          <w14:ligatures w14:val="standardContextual"/>
        </w:rPr>
        <w:t>Joyner</w:t>
      </w:r>
      <w:r w:rsidRPr="00A317E5">
        <w:rPr>
          <w:rFonts w:eastAsia="Calibri"/>
          <w:kern w:val="2"/>
          <w:szCs w:val="26"/>
          <w14:ligatures w14:val="standardContextual"/>
        </w:rPr>
        <w:t xml:space="preserve"> court</w:t>
      </w:r>
      <w:r w:rsidRPr="00A317E5">
        <w:rPr>
          <w:rFonts w:eastAsia="Calibri"/>
          <w:i/>
          <w:iCs/>
          <w:kern w:val="2"/>
          <w:szCs w:val="26"/>
          <w14:ligatures w14:val="standardContextual"/>
        </w:rPr>
        <w:t xml:space="preserve"> </w:t>
      </w:r>
      <w:r w:rsidRPr="00A317E5">
        <w:rPr>
          <w:rFonts w:eastAsia="Calibri"/>
          <w:kern w:val="2"/>
          <w:szCs w:val="26"/>
          <w14:ligatures w14:val="standardContextual"/>
        </w:rPr>
        <w:t xml:space="preserve">“attacked” </w:t>
      </w:r>
      <w:r w:rsidRPr="00A317E5">
        <w:rPr>
          <w:rFonts w:eastAsia="Calibri"/>
          <w:i/>
          <w:iCs/>
          <w:kern w:val="2"/>
          <w:szCs w:val="26"/>
          <w14:ligatures w14:val="standardContextual"/>
        </w:rPr>
        <w:t>Atiles</w:t>
      </w:r>
      <w:r w:rsidRPr="00A317E5">
        <w:rPr>
          <w:rFonts w:eastAsia="Calibri"/>
          <w:kern w:val="2"/>
          <w:szCs w:val="26"/>
          <w14:ligatures w14:val="standardContextual"/>
        </w:rPr>
        <w:t xml:space="preserve"> for having construed section 2900.5, subdivision (b)—much as the majority’s interpretation does here—to “maximize the concurrency of sentences imposed in multiple proceedings.”  (</w:t>
      </w:r>
      <w:r w:rsidRPr="00A317E5">
        <w:rPr>
          <w:rFonts w:eastAsia="Calibri"/>
          <w:i/>
          <w:iCs/>
          <w:kern w:val="2"/>
          <w:szCs w:val="26"/>
          <w14:ligatures w14:val="standardContextual"/>
        </w:rPr>
        <w:t>Bruner</w:t>
      </w:r>
      <w:r w:rsidRPr="00A317E5">
        <w:rPr>
          <w:rFonts w:eastAsia="Calibri"/>
          <w:kern w:val="2"/>
          <w:szCs w:val="26"/>
          <w14:ligatures w14:val="standardContextual"/>
        </w:rPr>
        <w:t>, at p. 1</w:t>
      </w:r>
      <w:r w:rsidRPr="00A317E5">
        <w:rPr>
          <w:rFonts w:eastAsia="Calibri"/>
          <w:kern w:val="2"/>
          <w:szCs w:val="26"/>
          <w14:ligatures w14:val="standardContextual"/>
        </w:rPr>
        <w:t xml:space="preserve">190 [characterizing </w:t>
      </w:r>
      <w:r w:rsidRPr="00A317E5">
        <w:rPr>
          <w:rFonts w:eastAsia="Calibri"/>
          <w:i/>
          <w:iCs/>
          <w:kern w:val="2"/>
          <w:szCs w:val="26"/>
          <w14:ligatures w14:val="standardContextual"/>
        </w:rPr>
        <w:t>Joyner</w:t>
      </w:r>
      <w:r w:rsidRPr="00A317E5">
        <w:rPr>
          <w:rFonts w:eastAsia="Calibri"/>
          <w:kern w:val="2"/>
          <w:szCs w:val="26"/>
          <w14:ligatures w14:val="standardContextual"/>
        </w:rPr>
        <w:t xml:space="preserve">’s rejection of petitioner’s reliance on </w:t>
      </w:r>
      <w:r w:rsidRPr="00A317E5">
        <w:rPr>
          <w:rFonts w:eastAsia="Calibri"/>
          <w:i/>
          <w:iCs/>
          <w:kern w:val="2"/>
          <w:szCs w:val="26"/>
          <w14:ligatures w14:val="standardContextual"/>
        </w:rPr>
        <w:t>Atiles</w:t>
      </w:r>
      <w:r w:rsidRPr="00A317E5">
        <w:rPr>
          <w:rFonts w:eastAsia="Calibri"/>
          <w:kern w:val="2"/>
          <w:szCs w:val="26"/>
          <w14:ligatures w14:val="standardContextual"/>
        </w:rPr>
        <w:t xml:space="preserve">]; see </w:t>
      </w:r>
      <w:proofErr w:type="spellStart"/>
      <w:r w:rsidRPr="00A317E5">
        <w:rPr>
          <w:rFonts w:eastAsia="Calibri"/>
          <w:kern w:val="2"/>
          <w:szCs w:val="26"/>
          <w14:ligatures w14:val="standardContextual"/>
        </w:rPr>
        <w:t>maj.</w:t>
      </w:r>
      <w:proofErr w:type="spellEnd"/>
      <w:r w:rsidRPr="00A317E5">
        <w:rPr>
          <w:rFonts w:eastAsia="Calibri"/>
          <w:kern w:val="2"/>
          <w:szCs w:val="26"/>
          <w14:ligatures w14:val="standardContextual"/>
        </w:rPr>
        <w:t xml:space="preserve"> </w:t>
      </w:r>
      <w:proofErr w:type="spellStart"/>
      <w:r w:rsidRPr="00A317E5">
        <w:rPr>
          <w:rFonts w:eastAsia="Calibri"/>
          <w:kern w:val="2"/>
          <w:szCs w:val="26"/>
          <w14:ligatures w14:val="standardContextual"/>
        </w:rPr>
        <w:t>opn</w:t>
      </w:r>
      <w:proofErr w:type="spellEnd"/>
      <w:r w:rsidRPr="00A317E5">
        <w:rPr>
          <w:rFonts w:eastAsia="Calibri"/>
          <w:kern w:val="2"/>
          <w:szCs w:val="26"/>
          <w14:ligatures w14:val="standardContextual"/>
        </w:rPr>
        <w:t xml:space="preserve">., </w:t>
      </w:r>
      <w:r w:rsidRPr="00A317E5">
        <w:rPr>
          <w:rFonts w:eastAsia="Calibri"/>
          <w:i/>
          <w:iCs/>
          <w:kern w:val="2"/>
          <w:szCs w:val="26"/>
          <w14:ligatures w14:val="standardContextual"/>
        </w:rPr>
        <w:t>ante</w:t>
      </w:r>
      <w:r w:rsidRPr="00A317E5">
        <w:rPr>
          <w:rFonts w:eastAsia="Calibri"/>
          <w:kern w:val="2"/>
          <w:szCs w:val="26"/>
          <w14:ligatures w14:val="standardContextual"/>
        </w:rPr>
        <w:t xml:space="preserve">, at p. 10.)  </w:t>
      </w:r>
    </w:p>
    <w:p w14:paraId="354AE39A" w14:textId="77777777" w:rsidR="004864A9" w:rsidRPr="00A317E5" w:rsidRDefault="004864A9" w:rsidP="00A317E5">
      <w:pPr>
        <w:tabs>
          <w:tab w:val="clear" w:pos="720"/>
        </w:tabs>
        <w:ind w:firstLine="720"/>
        <w:rPr>
          <w:rFonts w:eastAsia="Calibri"/>
          <w:kern w:val="2"/>
          <w:szCs w:val="26"/>
          <w14:ligatures w14:val="standardContextual"/>
        </w:rPr>
      </w:pPr>
      <w:r w:rsidRPr="00A317E5">
        <w:rPr>
          <w:rFonts w:eastAsia="Calibri"/>
          <w:kern w:val="2"/>
          <w:szCs w:val="26"/>
          <w14:ligatures w14:val="standardContextual"/>
        </w:rPr>
        <w:t xml:space="preserve">In </w:t>
      </w:r>
      <w:r w:rsidRPr="00A317E5">
        <w:rPr>
          <w:rFonts w:eastAsia="Calibri"/>
          <w:i/>
          <w:iCs/>
          <w:kern w:val="2"/>
          <w:szCs w:val="26"/>
          <w14:ligatures w14:val="standardContextual"/>
        </w:rPr>
        <w:t>Joyner</w:t>
      </w:r>
      <w:r w:rsidRPr="00A317E5">
        <w:rPr>
          <w:rFonts w:eastAsia="Calibri"/>
          <w:kern w:val="2"/>
          <w:szCs w:val="26"/>
          <w14:ligatures w14:val="standardContextual"/>
        </w:rPr>
        <w:t>, the high court in applying its technical “strict causation” test required trial courts to deny dual credit against separately imposed concurrent sentences, even for days spent in presentence custody on both cases.  (</w:t>
      </w:r>
      <w:r w:rsidRPr="00A317E5">
        <w:rPr>
          <w:rFonts w:eastAsia="Calibri"/>
          <w:i/>
          <w:iCs/>
          <w:kern w:val="2"/>
          <w:szCs w:val="26"/>
          <w14:ligatures w14:val="standardContextual"/>
        </w:rPr>
        <w:t>Joyner</w:t>
      </w:r>
      <w:r w:rsidRPr="00A317E5">
        <w:rPr>
          <w:rFonts w:eastAsia="Calibri"/>
          <w:kern w:val="2"/>
          <w:szCs w:val="26"/>
          <w14:ligatures w14:val="standardContextual"/>
        </w:rPr>
        <w:t xml:space="preserve">, </w:t>
      </w:r>
      <w:r w:rsidRPr="00A317E5">
        <w:rPr>
          <w:rFonts w:eastAsia="Calibri"/>
          <w:i/>
          <w:iCs/>
          <w:kern w:val="2"/>
          <w:szCs w:val="26"/>
          <w14:ligatures w14:val="standardContextual"/>
        </w:rPr>
        <w:t>supra</w:t>
      </w:r>
      <w:r w:rsidRPr="00A317E5">
        <w:rPr>
          <w:rFonts w:eastAsia="Calibri"/>
          <w:kern w:val="2"/>
          <w:szCs w:val="26"/>
          <w14:ligatures w14:val="standardContextual"/>
        </w:rPr>
        <w:t>, 48 Cal.3d at p. 489.)  The court found “no persuasive indication” to support interpreting section 2900.5 to implement an “equalization-of-concurrent-terms rationale.”  (</w:t>
      </w:r>
      <w:r w:rsidRPr="00A317E5">
        <w:rPr>
          <w:rFonts w:eastAsia="Calibri"/>
          <w:i/>
          <w:iCs/>
          <w:kern w:val="2"/>
          <w:szCs w:val="26"/>
          <w14:ligatures w14:val="standardContextual"/>
        </w:rPr>
        <w:t>Joyner</w:t>
      </w:r>
      <w:r w:rsidRPr="00A317E5">
        <w:rPr>
          <w:rFonts w:eastAsia="Calibri"/>
          <w:kern w:val="2"/>
          <w:szCs w:val="26"/>
          <w14:ligatures w14:val="standardContextual"/>
        </w:rPr>
        <w:t xml:space="preserve">, at pp. 494–495; but see </w:t>
      </w:r>
      <w:r w:rsidRPr="00A317E5">
        <w:rPr>
          <w:rFonts w:eastAsia="Calibri"/>
          <w:i/>
          <w:iCs/>
          <w:kern w:val="2"/>
          <w:szCs w:val="26"/>
          <w14:ligatures w14:val="standardContextual"/>
        </w:rPr>
        <w:t>id.</w:t>
      </w:r>
      <w:r w:rsidRPr="00A317E5">
        <w:rPr>
          <w:rFonts w:eastAsia="Calibri"/>
          <w:kern w:val="2"/>
          <w:szCs w:val="26"/>
          <w14:ligatures w14:val="standardContextual"/>
        </w:rPr>
        <w:t xml:space="preserve"> at p. 496 (dis. </w:t>
      </w:r>
      <w:proofErr w:type="spellStart"/>
      <w:r w:rsidRPr="00A317E5">
        <w:rPr>
          <w:rFonts w:eastAsia="Calibri"/>
          <w:kern w:val="2"/>
          <w:szCs w:val="26"/>
          <w14:ligatures w14:val="standardContextual"/>
        </w:rPr>
        <w:t>opn</w:t>
      </w:r>
      <w:proofErr w:type="spellEnd"/>
      <w:r w:rsidRPr="00A317E5">
        <w:rPr>
          <w:rFonts w:eastAsia="Calibri"/>
          <w:kern w:val="2"/>
          <w:szCs w:val="26"/>
          <w14:ligatures w14:val="standardContextual"/>
        </w:rPr>
        <w:t xml:space="preserve">. of Broussard, J.) [criticizing majority ruling </w:t>
      </w:r>
      <w:r w:rsidRPr="00A317E5">
        <w:rPr>
          <w:rFonts w:eastAsia="Calibri"/>
          <w:kern w:val="2"/>
          <w:szCs w:val="26"/>
          <w14:ligatures w14:val="standardContextual"/>
        </w:rPr>
        <w:t>as “inconsistent with our previous interpretation of the applicable statute,” “inequitable,” “</w:t>
      </w:r>
      <w:proofErr w:type="spellStart"/>
      <w:r w:rsidRPr="00A317E5">
        <w:rPr>
          <w:rFonts w:eastAsia="Calibri"/>
          <w:kern w:val="2"/>
          <w:szCs w:val="26"/>
          <w14:ligatures w14:val="standardContextual"/>
        </w:rPr>
        <w:t>discriminat</w:t>
      </w:r>
      <w:proofErr w:type="spellEnd"/>
      <w:r w:rsidRPr="00A317E5">
        <w:rPr>
          <w:rFonts w:eastAsia="Calibri"/>
          <w:kern w:val="2"/>
          <w:szCs w:val="26"/>
          <w14:ligatures w14:val="standardContextual"/>
        </w:rPr>
        <w:t>[</w:t>
      </w:r>
      <w:proofErr w:type="spellStart"/>
      <w:r w:rsidRPr="00A317E5">
        <w:rPr>
          <w:rFonts w:eastAsia="Calibri"/>
          <w:kern w:val="2"/>
          <w:szCs w:val="26"/>
          <w14:ligatures w14:val="standardContextual"/>
        </w:rPr>
        <w:t>ory</w:t>
      </w:r>
      <w:proofErr w:type="spellEnd"/>
      <w:r w:rsidRPr="00A317E5">
        <w:rPr>
          <w:rFonts w:eastAsia="Calibri"/>
          <w:kern w:val="2"/>
          <w:szCs w:val="26"/>
          <w14:ligatures w14:val="standardContextual"/>
        </w:rPr>
        <w:t xml:space="preserve">] against indigent defendants,” and bound to be “an administrative nightmare”].)  And in </w:t>
      </w:r>
      <w:r w:rsidRPr="00A317E5">
        <w:rPr>
          <w:rFonts w:eastAsia="Calibri"/>
          <w:i/>
          <w:iCs/>
          <w:kern w:val="2"/>
          <w:szCs w:val="26"/>
          <w14:ligatures w14:val="standardContextual"/>
        </w:rPr>
        <w:t>Bruner</w:t>
      </w:r>
      <w:r w:rsidRPr="00A317E5">
        <w:rPr>
          <w:rFonts w:eastAsia="Calibri"/>
          <w:kern w:val="2"/>
          <w:szCs w:val="26"/>
          <w14:ligatures w14:val="standardContextual"/>
        </w:rPr>
        <w:t>, the court interpreted section 2900.5 to deny the petitioner pretrial credits for time served in a parole revocation proceeding attributable in part to the same conduct charged in the criminal action.  (</w:t>
      </w:r>
      <w:r w:rsidRPr="00A317E5">
        <w:rPr>
          <w:rFonts w:eastAsia="Calibri"/>
          <w:i/>
          <w:iCs/>
          <w:kern w:val="2"/>
          <w:szCs w:val="26"/>
          <w14:ligatures w14:val="standardContextual"/>
        </w:rPr>
        <w:t>Bruner</w:t>
      </w:r>
      <w:r w:rsidRPr="00A317E5">
        <w:rPr>
          <w:rFonts w:eastAsia="Calibri"/>
          <w:kern w:val="2"/>
          <w:szCs w:val="26"/>
          <w14:ligatures w14:val="standardContextual"/>
        </w:rPr>
        <w:t>,</w:t>
      </w:r>
      <w:r w:rsidRPr="00A317E5">
        <w:rPr>
          <w:rFonts w:eastAsia="Calibri"/>
          <w:i/>
          <w:iCs/>
          <w:kern w:val="2"/>
          <w:szCs w:val="26"/>
          <w14:ligatures w14:val="standardContextual"/>
        </w:rPr>
        <w:t xml:space="preserve"> supra</w:t>
      </w:r>
      <w:r w:rsidRPr="00A317E5">
        <w:rPr>
          <w:rFonts w:eastAsia="Calibri"/>
          <w:kern w:val="2"/>
          <w:szCs w:val="26"/>
          <w14:ligatures w14:val="standardContextual"/>
        </w:rPr>
        <w:t>, 9 Cal.4th at p. 1180.)  Even though that parole revocation would seem to meet section 290</w:t>
      </w:r>
      <w:r w:rsidRPr="00A317E5">
        <w:rPr>
          <w:rFonts w:eastAsia="Calibri"/>
          <w:kern w:val="2"/>
          <w:szCs w:val="26"/>
          <w14:ligatures w14:val="standardContextual"/>
        </w:rPr>
        <w:t xml:space="preserve">0.5’s requirement of </w:t>
      </w:r>
      <w:proofErr w:type="gramStart"/>
      <w:r w:rsidRPr="00A317E5">
        <w:rPr>
          <w:rFonts w:eastAsia="Calibri"/>
          <w:kern w:val="2"/>
          <w:szCs w:val="26"/>
          <w14:ligatures w14:val="standardContextual"/>
        </w:rPr>
        <w:lastRenderedPageBreak/>
        <w:t>“ ‘</w:t>
      </w:r>
      <w:proofErr w:type="gramEnd"/>
      <w:r w:rsidRPr="00A317E5">
        <w:rPr>
          <w:rFonts w:eastAsia="Calibri"/>
          <w:i/>
          <w:iCs/>
          <w:kern w:val="2"/>
          <w:szCs w:val="26"/>
          <w14:ligatures w14:val="standardContextual"/>
        </w:rPr>
        <w:t>proceedings related</w:t>
      </w:r>
      <w:r w:rsidRPr="00A317E5">
        <w:rPr>
          <w:rFonts w:eastAsia="Calibri"/>
          <w:kern w:val="2"/>
          <w:szCs w:val="26"/>
          <w14:ligatures w14:val="standardContextual"/>
        </w:rPr>
        <w:t xml:space="preserve"> to the same conduct for which the defendant has been convicted,’ ” the </w:t>
      </w:r>
      <w:r w:rsidRPr="00A317E5">
        <w:rPr>
          <w:rFonts w:eastAsia="Calibri"/>
          <w:i/>
          <w:iCs/>
          <w:kern w:val="2"/>
          <w:szCs w:val="26"/>
          <w14:ligatures w14:val="standardContextual"/>
        </w:rPr>
        <w:t xml:space="preserve">Bruner </w:t>
      </w:r>
      <w:r w:rsidRPr="00A317E5">
        <w:rPr>
          <w:rFonts w:eastAsia="Calibri"/>
          <w:kern w:val="2"/>
          <w:szCs w:val="26"/>
          <w14:ligatures w14:val="standardContextual"/>
        </w:rPr>
        <w:t>court opted to construe the statutory language restrictively, for the “straightforward” fear of “bestow[</w:t>
      </w:r>
      <w:proofErr w:type="spellStart"/>
      <w:r w:rsidRPr="00A317E5">
        <w:rPr>
          <w:rFonts w:eastAsia="Calibri"/>
          <w:kern w:val="2"/>
          <w:szCs w:val="26"/>
          <w14:ligatures w14:val="standardContextual"/>
        </w:rPr>
        <w:t>ing</w:t>
      </w:r>
      <w:proofErr w:type="spellEnd"/>
      <w:r w:rsidRPr="00A317E5">
        <w:rPr>
          <w:rFonts w:eastAsia="Calibri"/>
          <w:kern w:val="2"/>
          <w:szCs w:val="26"/>
          <w14:ligatures w14:val="standardContextual"/>
        </w:rPr>
        <w:t>] [a] windfall of duplicative credits . . . .”  (</w:t>
      </w:r>
      <w:r w:rsidRPr="00A317E5">
        <w:rPr>
          <w:rFonts w:eastAsia="Calibri"/>
          <w:i/>
          <w:iCs/>
          <w:kern w:val="2"/>
          <w:szCs w:val="26"/>
          <w14:ligatures w14:val="standardContextual"/>
        </w:rPr>
        <w:t>Bruner</w:t>
      </w:r>
      <w:r w:rsidRPr="00A317E5">
        <w:rPr>
          <w:rFonts w:eastAsia="Calibri"/>
          <w:kern w:val="2"/>
          <w:szCs w:val="26"/>
          <w14:ligatures w14:val="standardContextual"/>
        </w:rPr>
        <w:t xml:space="preserve">, at p. 1191.)  Building on </w:t>
      </w:r>
      <w:r w:rsidRPr="00A317E5">
        <w:rPr>
          <w:rFonts w:eastAsia="Calibri"/>
          <w:i/>
          <w:iCs/>
          <w:kern w:val="2"/>
          <w:szCs w:val="26"/>
          <w14:ligatures w14:val="standardContextual"/>
        </w:rPr>
        <w:t>Joyner</w:t>
      </w:r>
      <w:r w:rsidRPr="00A317E5">
        <w:rPr>
          <w:rFonts w:eastAsia="Calibri"/>
          <w:kern w:val="2"/>
          <w:szCs w:val="26"/>
          <w14:ligatures w14:val="standardContextual"/>
        </w:rPr>
        <w:t xml:space="preserve">, </w:t>
      </w:r>
      <w:r w:rsidRPr="00A317E5">
        <w:rPr>
          <w:rFonts w:eastAsia="Calibri"/>
          <w:i/>
          <w:iCs/>
          <w:kern w:val="2"/>
          <w:szCs w:val="26"/>
          <w14:ligatures w14:val="standardContextual"/>
        </w:rPr>
        <w:t xml:space="preserve">Bruner </w:t>
      </w:r>
      <w:r w:rsidRPr="00A317E5">
        <w:rPr>
          <w:rFonts w:eastAsia="Calibri"/>
          <w:kern w:val="2"/>
          <w:szCs w:val="26"/>
          <w14:ligatures w14:val="standardContextual"/>
        </w:rPr>
        <w:t xml:space="preserve">announced for the first time that section 2900.5 “is intended only to prevent inequalities in total confinement among defendants, each similarly sentenced in a </w:t>
      </w:r>
      <w:r w:rsidRPr="00A317E5">
        <w:rPr>
          <w:rFonts w:eastAsia="Calibri"/>
          <w:i/>
          <w:iCs/>
          <w:kern w:val="2"/>
          <w:szCs w:val="26"/>
          <w14:ligatures w14:val="standardContextual"/>
        </w:rPr>
        <w:t>single proceeding</w:t>
      </w:r>
      <w:r w:rsidRPr="00A317E5">
        <w:rPr>
          <w:rFonts w:eastAsia="Calibri"/>
          <w:kern w:val="2"/>
          <w:szCs w:val="26"/>
          <w14:ligatures w14:val="standardContextual"/>
        </w:rPr>
        <w:t>” and no</w:t>
      </w:r>
      <w:r w:rsidRPr="00A317E5">
        <w:rPr>
          <w:rFonts w:eastAsia="Calibri"/>
          <w:kern w:val="2"/>
          <w:szCs w:val="26"/>
          <w14:ligatures w14:val="standardContextual"/>
        </w:rPr>
        <w:t>t to maximize presentence credits across multiple proceedings.  (</w:t>
      </w:r>
      <w:r w:rsidRPr="00A317E5">
        <w:rPr>
          <w:rFonts w:eastAsia="Calibri"/>
          <w:i/>
          <w:iCs/>
          <w:kern w:val="2"/>
          <w:szCs w:val="26"/>
          <w14:ligatures w14:val="standardContextual"/>
        </w:rPr>
        <w:t>Bruner</w:t>
      </w:r>
      <w:r w:rsidRPr="00A317E5">
        <w:rPr>
          <w:rFonts w:eastAsia="Calibri"/>
          <w:kern w:val="2"/>
          <w:szCs w:val="26"/>
          <w14:ligatures w14:val="standardContextual"/>
        </w:rPr>
        <w:t xml:space="preserve">, at pp. 1191–1192.)  </w:t>
      </w:r>
    </w:p>
    <w:p w14:paraId="150A6948" w14:textId="77777777" w:rsidR="004864A9" w:rsidRPr="00A317E5" w:rsidRDefault="004864A9" w:rsidP="00A317E5">
      <w:pPr>
        <w:tabs>
          <w:tab w:val="clear" w:pos="720"/>
        </w:tabs>
        <w:ind w:firstLine="720"/>
        <w:rPr>
          <w:rFonts w:eastAsia="Calibri"/>
          <w:kern w:val="2"/>
          <w:szCs w:val="26"/>
          <w14:ligatures w14:val="standardContextual"/>
        </w:rPr>
      </w:pPr>
      <w:r w:rsidRPr="00A317E5">
        <w:rPr>
          <w:rFonts w:eastAsia="Calibri"/>
          <w:kern w:val="2"/>
          <w:szCs w:val="26"/>
          <w14:ligatures w14:val="standardContextual"/>
        </w:rPr>
        <w:t xml:space="preserve">The Legislature could reasonably have disagreed with the Supreme Court’s interpretation of section 2900.5.  (See, e.g., Stats. 1976, </w:t>
      </w:r>
      <w:proofErr w:type="spellStart"/>
      <w:r w:rsidRPr="00A317E5">
        <w:rPr>
          <w:rFonts w:eastAsia="Calibri"/>
          <w:kern w:val="2"/>
          <w:szCs w:val="26"/>
          <w14:ligatures w14:val="standardContextual"/>
        </w:rPr>
        <w:t>ch.</w:t>
      </w:r>
      <w:proofErr w:type="spellEnd"/>
      <w:r w:rsidRPr="00A317E5">
        <w:rPr>
          <w:rFonts w:eastAsia="Calibri"/>
          <w:kern w:val="2"/>
          <w:szCs w:val="26"/>
          <w14:ligatures w14:val="standardContextual"/>
        </w:rPr>
        <w:t> 1045, § 2 [replacing “charges arising from the same criminal act or acts” with the current “proceedings related to the same conduct”]; see also Sen. Com. on Judiciary, Rep. on Assem. Bill No. 3653 (1975–1976 Reg. Sess.), background information, ¶ 2 [noting the amendment would “[e]</w:t>
      </w:r>
      <w:proofErr w:type="spellStart"/>
      <w:r w:rsidRPr="00A317E5">
        <w:rPr>
          <w:rFonts w:eastAsia="Calibri"/>
          <w:kern w:val="2"/>
          <w:szCs w:val="26"/>
          <w14:ligatures w14:val="standardContextual"/>
        </w:rPr>
        <w:t>nsure</w:t>
      </w:r>
      <w:proofErr w:type="spellEnd"/>
      <w:r w:rsidRPr="00A317E5">
        <w:rPr>
          <w:rFonts w:eastAsia="Calibri"/>
          <w:kern w:val="2"/>
          <w:szCs w:val="26"/>
          <w14:ligatures w14:val="standardContextual"/>
        </w:rPr>
        <w:t xml:space="preserve"> that the Adult Authority no longer frustrate[s] the intent of [§] 2900.5” by denying inmates custody credit in calculating minimum parole eligibility dates].)  But in the intervening decades the Legislature has perceived </w:t>
      </w:r>
      <w:r w:rsidRPr="00A317E5">
        <w:rPr>
          <w:rFonts w:eastAsia="Calibri"/>
          <w:kern w:val="2"/>
          <w:szCs w:val="26"/>
          <w14:ligatures w14:val="standardContextual"/>
        </w:rPr>
        <w:t xml:space="preserve">no need to clarify the breadth of “proceeding” or “related to the same conduct” as used in section 2900.5.  (See Stats. 1996, </w:t>
      </w:r>
      <w:proofErr w:type="spellStart"/>
      <w:r w:rsidRPr="00A317E5">
        <w:rPr>
          <w:rFonts w:eastAsia="Calibri"/>
          <w:kern w:val="2"/>
          <w:szCs w:val="26"/>
          <w14:ligatures w14:val="standardContextual"/>
        </w:rPr>
        <w:t>ch.</w:t>
      </w:r>
      <w:proofErr w:type="spellEnd"/>
      <w:r w:rsidRPr="00A317E5">
        <w:rPr>
          <w:rFonts w:eastAsia="Calibri"/>
          <w:kern w:val="2"/>
          <w:szCs w:val="26"/>
          <w14:ligatures w14:val="standardContextual"/>
        </w:rPr>
        <w:t xml:space="preserve"> 1077, § 28; Stats. 1998, </w:t>
      </w:r>
      <w:proofErr w:type="spellStart"/>
      <w:r w:rsidRPr="00A317E5">
        <w:rPr>
          <w:rFonts w:eastAsia="Calibri"/>
          <w:kern w:val="2"/>
          <w:szCs w:val="26"/>
          <w14:ligatures w14:val="standardContextual"/>
        </w:rPr>
        <w:t>ch.</w:t>
      </w:r>
      <w:proofErr w:type="spellEnd"/>
      <w:r w:rsidRPr="00A317E5">
        <w:rPr>
          <w:rFonts w:eastAsia="Calibri"/>
          <w:kern w:val="2"/>
          <w:szCs w:val="26"/>
          <w14:ligatures w14:val="standardContextual"/>
        </w:rPr>
        <w:t xml:space="preserve"> 338, § 6; Stats. 2011, </w:t>
      </w:r>
      <w:proofErr w:type="spellStart"/>
      <w:r w:rsidRPr="00A317E5">
        <w:rPr>
          <w:rFonts w:eastAsia="Calibri"/>
          <w:kern w:val="2"/>
          <w:szCs w:val="26"/>
          <w14:ligatures w14:val="standardContextual"/>
        </w:rPr>
        <w:t>ch.</w:t>
      </w:r>
      <w:proofErr w:type="spellEnd"/>
      <w:r w:rsidRPr="00A317E5">
        <w:rPr>
          <w:rFonts w:eastAsia="Calibri"/>
          <w:kern w:val="2"/>
          <w:szCs w:val="26"/>
          <w14:ligatures w14:val="standardContextual"/>
        </w:rPr>
        <w:t xml:space="preserve"> 15, § 466; Stats. 2013, </w:t>
      </w:r>
      <w:proofErr w:type="spellStart"/>
      <w:r w:rsidRPr="00A317E5">
        <w:rPr>
          <w:rFonts w:eastAsia="Calibri"/>
          <w:kern w:val="2"/>
          <w:szCs w:val="26"/>
          <w14:ligatures w14:val="standardContextual"/>
        </w:rPr>
        <w:t>ch.</w:t>
      </w:r>
      <w:proofErr w:type="spellEnd"/>
      <w:r w:rsidRPr="00A317E5">
        <w:rPr>
          <w:rFonts w:eastAsia="Calibri"/>
          <w:kern w:val="2"/>
          <w:szCs w:val="26"/>
          <w14:ligatures w14:val="standardContextual"/>
        </w:rPr>
        <w:t xml:space="preserve"> 59, § 7; Stats. 2014, </w:t>
      </w:r>
      <w:proofErr w:type="spellStart"/>
      <w:r w:rsidRPr="00A317E5">
        <w:rPr>
          <w:rFonts w:eastAsia="Calibri"/>
          <w:kern w:val="2"/>
          <w:szCs w:val="26"/>
          <w14:ligatures w14:val="standardContextual"/>
        </w:rPr>
        <w:t>ch.</w:t>
      </w:r>
      <w:proofErr w:type="spellEnd"/>
      <w:r w:rsidRPr="00A317E5">
        <w:rPr>
          <w:rFonts w:eastAsia="Calibri"/>
          <w:kern w:val="2"/>
          <w:szCs w:val="26"/>
          <w14:ligatures w14:val="standardContextual"/>
        </w:rPr>
        <w:t xml:space="preserve"> 612, § 5; Stats. 2015, </w:t>
      </w:r>
      <w:proofErr w:type="spellStart"/>
      <w:r w:rsidRPr="00A317E5">
        <w:rPr>
          <w:rFonts w:eastAsia="Calibri"/>
          <w:kern w:val="2"/>
          <w:szCs w:val="26"/>
          <w14:ligatures w14:val="standardContextual"/>
        </w:rPr>
        <w:t>ch.</w:t>
      </w:r>
      <w:proofErr w:type="spellEnd"/>
      <w:r w:rsidRPr="00A317E5">
        <w:rPr>
          <w:rFonts w:eastAsia="Calibri"/>
          <w:kern w:val="2"/>
          <w:szCs w:val="26"/>
          <w14:ligatures w14:val="standardContextual"/>
        </w:rPr>
        <w:t xml:space="preserve"> 209 § 2; Stats. 2016, </w:t>
      </w:r>
      <w:proofErr w:type="spellStart"/>
      <w:r w:rsidRPr="00A317E5">
        <w:rPr>
          <w:rFonts w:eastAsia="Calibri"/>
          <w:kern w:val="2"/>
          <w:szCs w:val="26"/>
          <w14:ligatures w14:val="standardContextual"/>
        </w:rPr>
        <w:t>ch.</w:t>
      </w:r>
      <w:proofErr w:type="spellEnd"/>
      <w:r w:rsidRPr="00A317E5">
        <w:rPr>
          <w:rFonts w:eastAsia="Calibri"/>
          <w:kern w:val="2"/>
          <w:szCs w:val="26"/>
          <w14:ligatures w14:val="standardContextual"/>
        </w:rPr>
        <w:t xml:space="preserve"> 769, § 2.)  </w:t>
      </w:r>
    </w:p>
    <w:p w14:paraId="4B75BCEE" w14:textId="77777777" w:rsidR="004864A9" w:rsidRPr="00A317E5" w:rsidRDefault="004864A9" w:rsidP="00A317E5">
      <w:pPr>
        <w:tabs>
          <w:tab w:val="clear" w:pos="720"/>
        </w:tabs>
        <w:rPr>
          <w:rFonts w:eastAsia="Calibri"/>
          <w:kern w:val="2"/>
          <w:szCs w:val="26"/>
          <w14:ligatures w14:val="standardContextual"/>
        </w:rPr>
      </w:pPr>
      <w:r w:rsidRPr="00A317E5">
        <w:rPr>
          <w:rFonts w:eastAsia="Calibri"/>
          <w:kern w:val="2"/>
          <w:szCs w:val="26"/>
          <w14:ligatures w14:val="standardContextual"/>
        </w:rPr>
        <w:tab/>
        <w:t xml:space="preserve">Nor does a </w:t>
      </w:r>
      <w:proofErr w:type="gramStart"/>
      <w:r w:rsidRPr="00A317E5">
        <w:rPr>
          <w:rFonts w:eastAsia="Calibri"/>
          <w:kern w:val="2"/>
          <w:szCs w:val="26"/>
          <w14:ligatures w14:val="standardContextual"/>
        </w:rPr>
        <w:t>looser</w:t>
      </w:r>
      <w:proofErr w:type="gramEnd"/>
      <w:r w:rsidRPr="00A317E5">
        <w:rPr>
          <w:rFonts w:eastAsia="Calibri"/>
          <w:kern w:val="2"/>
          <w:szCs w:val="26"/>
          <w14:ligatures w14:val="standardContextual"/>
        </w:rPr>
        <w:t xml:space="preserve"> interpretation of “attributable to proceedings” emerge from other caselaw.  Of all the section 2900.5, subdivision (b) cases cited by the majority, save for </w:t>
      </w:r>
      <w:r w:rsidRPr="00A317E5">
        <w:rPr>
          <w:rFonts w:eastAsia="Calibri"/>
          <w:i/>
          <w:iCs/>
          <w:kern w:val="2"/>
          <w:szCs w:val="26"/>
          <w14:ligatures w14:val="standardContextual"/>
        </w:rPr>
        <w:t>Jacobs</w:t>
      </w:r>
      <w:r w:rsidRPr="00A317E5">
        <w:rPr>
          <w:rFonts w:eastAsia="Calibri"/>
          <w:kern w:val="2"/>
          <w:szCs w:val="26"/>
          <w14:ligatures w14:val="standardContextual"/>
        </w:rPr>
        <w:t>, it was undisputed that the custodial time for which the defendant was seeking presentence credits was attributable at least in part to the cases to be credited.  (</w:t>
      </w:r>
      <w:r w:rsidRPr="00A317E5">
        <w:rPr>
          <w:rFonts w:eastAsia="Calibri"/>
          <w:i/>
          <w:iCs/>
          <w:kern w:val="2"/>
          <w:szCs w:val="26"/>
          <w14:ligatures w14:val="standardContextual"/>
        </w:rPr>
        <w:t>Joyner</w:t>
      </w:r>
      <w:r w:rsidRPr="00A317E5">
        <w:rPr>
          <w:rFonts w:eastAsia="Calibri"/>
          <w:kern w:val="2"/>
          <w:szCs w:val="26"/>
          <w14:ligatures w14:val="standardContextual"/>
        </w:rPr>
        <w:t xml:space="preserve">, </w:t>
      </w:r>
      <w:r w:rsidRPr="00A317E5">
        <w:rPr>
          <w:rFonts w:eastAsia="Calibri"/>
          <w:i/>
          <w:iCs/>
          <w:kern w:val="2"/>
          <w:szCs w:val="26"/>
          <w14:ligatures w14:val="standardContextual"/>
        </w:rPr>
        <w:t>supra</w:t>
      </w:r>
      <w:r w:rsidRPr="00A317E5">
        <w:rPr>
          <w:rFonts w:eastAsia="Calibri"/>
          <w:kern w:val="2"/>
          <w:szCs w:val="26"/>
          <w14:ligatures w14:val="standardContextual"/>
        </w:rPr>
        <w:t xml:space="preserve">, 48 Cal.3d at p. 489 [subject to a </w:t>
      </w:r>
      <w:proofErr w:type="gramStart"/>
      <w:r w:rsidRPr="00A317E5">
        <w:rPr>
          <w:rFonts w:eastAsia="Calibri"/>
          <w:kern w:val="2"/>
          <w:szCs w:val="26"/>
          <w14:ligatures w14:val="standardContextual"/>
        </w:rPr>
        <w:t>“ ‘</w:t>
      </w:r>
      <w:proofErr w:type="gramEnd"/>
      <w:r w:rsidRPr="00A317E5">
        <w:rPr>
          <w:rFonts w:eastAsia="Calibri"/>
          <w:kern w:val="2"/>
          <w:szCs w:val="26"/>
          <w14:ligatures w14:val="standardContextual"/>
        </w:rPr>
        <w:t xml:space="preserve">hold’ ” for California offenses while serving a Florida sentence]; </w:t>
      </w:r>
      <w:r w:rsidRPr="00A317E5">
        <w:rPr>
          <w:rFonts w:eastAsia="Calibri"/>
          <w:i/>
          <w:iCs/>
          <w:kern w:val="2"/>
          <w:szCs w:val="26"/>
          <w14:ligatures w14:val="standardContextual"/>
        </w:rPr>
        <w:t>Bruner</w:t>
      </w:r>
      <w:r w:rsidRPr="00A317E5">
        <w:rPr>
          <w:rFonts w:eastAsia="Calibri"/>
          <w:kern w:val="2"/>
          <w:szCs w:val="26"/>
          <w14:ligatures w14:val="standardContextual"/>
        </w:rPr>
        <w:t xml:space="preserve">, </w:t>
      </w:r>
      <w:r w:rsidRPr="00A317E5">
        <w:rPr>
          <w:rFonts w:eastAsia="Calibri"/>
          <w:i/>
          <w:iCs/>
          <w:kern w:val="2"/>
          <w:szCs w:val="26"/>
          <w14:ligatures w14:val="standardContextual"/>
        </w:rPr>
        <w:t>supra</w:t>
      </w:r>
      <w:r w:rsidRPr="00A317E5">
        <w:rPr>
          <w:rFonts w:eastAsia="Calibri"/>
          <w:kern w:val="2"/>
          <w:szCs w:val="26"/>
          <w14:ligatures w14:val="standardContextual"/>
        </w:rPr>
        <w:t>, 9 Cal.4th at p. 1180 [“presentence custody </w:t>
      </w:r>
      <w:r w:rsidRPr="00A317E5">
        <w:rPr>
          <w:rFonts w:eastAsia="Calibri"/>
          <w:kern w:val="2"/>
          <w:szCs w:val="26"/>
          <w14:ligatures w14:val="standardContextual"/>
        </w:rPr>
        <w:t xml:space="preserve">. . . attributable to two or more unrelated acts”]; </w:t>
      </w:r>
      <w:r w:rsidRPr="00A317E5">
        <w:rPr>
          <w:rFonts w:eastAsia="Calibri"/>
          <w:i/>
          <w:iCs/>
          <w:kern w:val="2"/>
          <w:szCs w:val="26"/>
          <w14:ligatures w14:val="standardContextual"/>
        </w:rPr>
        <w:t>Kunath</w:t>
      </w:r>
      <w:r w:rsidRPr="00A317E5">
        <w:rPr>
          <w:rFonts w:eastAsia="Calibri"/>
          <w:kern w:val="2"/>
          <w:szCs w:val="26"/>
          <w14:ligatures w14:val="standardContextual"/>
        </w:rPr>
        <w:t xml:space="preserve">, </w:t>
      </w:r>
      <w:r w:rsidRPr="00A317E5">
        <w:rPr>
          <w:rFonts w:eastAsia="Calibri"/>
          <w:i/>
          <w:iCs/>
          <w:kern w:val="2"/>
          <w:szCs w:val="26"/>
          <w14:ligatures w14:val="standardContextual"/>
        </w:rPr>
        <w:t>supra</w:t>
      </w:r>
      <w:r w:rsidRPr="00A317E5">
        <w:rPr>
          <w:rFonts w:eastAsia="Calibri"/>
          <w:kern w:val="2"/>
          <w:szCs w:val="26"/>
          <w14:ligatures w14:val="standardContextual"/>
        </w:rPr>
        <w:t xml:space="preserve">, 203 Cal.App.4th at p. 909 [presentence credits “for the time he was in custody on both cases”].)  So too in </w:t>
      </w:r>
      <w:r w:rsidRPr="00A317E5">
        <w:rPr>
          <w:rFonts w:eastAsia="Calibri"/>
          <w:i/>
          <w:iCs/>
          <w:kern w:val="2"/>
          <w:szCs w:val="26"/>
          <w14:ligatures w14:val="standardContextual"/>
        </w:rPr>
        <w:lastRenderedPageBreak/>
        <w:t xml:space="preserve">In re Rojas </w:t>
      </w:r>
      <w:r w:rsidRPr="00A317E5">
        <w:rPr>
          <w:rFonts w:eastAsia="Calibri"/>
          <w:kern w:val="2"/>
          <w:szCs w:val="26"/>
          <w14:ligatures w14:val="standardContextual"/>
        </w:rPr>
        <w:t xml:space="preserve">(1979) 23 Cal.3d 152, 154–155 (defendant held in pretrial custody at one county’s jail while serving prison sentence imposed in another county), in even the discredited </w:t>
      </w:r>
      <w:r w:rsidRPr="00A317E5">
        <w:rPr>
          <w:rFonts w:eastAsia="Calibri"/>
          <w:i/>
          <w:iCs/>
          <w:kern w:val="2"/>
          <w:szCs w:val="26"/>
          <w14:ligatures w14:val="standardContextual"/>
        </w:rPr>
        <w:t>Atiles</w:t>
      </w:r>
      <w:r w:rsidRPr="00A317E5">
        <w:rPr>
          <w:rFonts w:eastAsia="Calibri"/>
          <w:kern w:val="2"/>
          <w:szCs w:val="26"/>
          <w14:ligatures w14:val="standardContextual"/>
        </w:rPr>
        <w:t xml:space="preserve">, </w:t>
      </w:r>
      <w:r w:rsidRPr="00A317E5">
        <w:rPr>
          <w:rFonts w:eastAsia="Calibri"/>
          <w:i/>
          <w:iCs/>
          <w:kern w:val="2"/>
          <w:szCs w:val="26"/>
          <w14:ligatures w14:val="standardContextual"/>
        </w:rPr>
        <w:t>supra</w:t>
      </w:r>
      <w:r w:rsidRPr="00A317E5">
        <w:rPr>
          <w:rFonts w:eastAsia="Calibri"/>
          <w:kern w:val="2"/>
          <w:szCs w:val="26"/>
          <w14:ligatures w14:val="standardContextual"/>
        </w:rPr>
        <w:t xml:space="preserve">, 33 Cal.3d at page 807 (defendant in pretrial custody while also subject to parole hold), and in </w:t>
      </w:r>
      <w:r w:rsidRPr="00A317E5">
        <w:rPr>
          <w:rFonts w:eastAsia="Calibri"/>
          <w:i/>
          <w:iCs/>
          <w:kern w:val="2"/>
          <w:szCs w:val="26"/>
          <w14:ligatures w14:val="standardContextual"/>
        </w:rPr>
        <w:t>In re Marquez</w:t>
      </w:r>
      <w:r w:rsidRPr="00A317E5">
        <w:rPr>
          <w:rFonts w:eastAsia="Calibri"/>
          <w:kern w:val="2"/>
          <w:szCs w:val="26"/>
          <w14:ligatures w14:val="standardContextual"/>
        </w:rPr>
        <w:t xml:space="preserve"> (2003) 30 Cal.4th 14, 19 (</w:t>
      </w:r>
      <w:r w:rsidRPr="00A317E5">
        <w:rPr>
          <w:rFonts w:eastAsia="Calibri"/>
          <w:i/>
          <w:iCs/>
          <w:kern w:val="2"/>
          <w:szCs w:val="26"/>
          <w14:ligatures w14:val="standardContextual"/>
        </w:rPr>
        <w:t>Marquez</w:t>
      </w:r>
      <w:r w:rsidRPr="00A317E5">
        <w:rPr>
          <w:rFonts w:eastAsia="Calibri"/>
          <w:kern w:val="2"/>
          <w:szCs w:val="26"/>
          <w14:ligatures w14:val="standardContextual"/>
        </w:rPr>
        <w:t xml:space="preserve">) (in custody in one county but subject to another county’s hold).  None of the cases Cofer cites in his own briefs, except </w:t>
      </w:r>
      <w:r w:rsidRPr="00A317E5">
        <w:rPr>
          <w:rFonts w:eastAsia="Calibri"/>
          <w:i/>
          <w:iCs/>
          <w:kern w:val="2"/>
          <w:szCs w:val="26"/>
          <w14:ligatures w14:val="standardContextual"/>
        </w:rPr>
        <w:t>Jacobs</w:t>
      </w:r>
      <w:r w:rsidRPr="00A317E5">
        <w:rPr>
          <w:rFonts w:eastAsia="Calibri"/>
          <w:kern w:val="2"/>
          <w:szCs w:val="26"/>
          <w14:ligatures w14:val="standardContextual"/>
        </w:rPr>
        <w:t xml:space="preserve">, involve a defendant seeking credit for days served in custody in one case against a sentence in another where he was (nominally) released on his own recognizance or on bail.  </w:t>
      </w:r>
    </w:p>
    <w:p w14:paraId="7EDDE520" w14:textId="77777777" w:rsidR="004864A9" w:rsidRPr="00A317E5" w:rsidRDefault="004864A9" w:rsidP="00A317E5">
      <w:pPr>
        <w:tabs>
          <w:tab w:val="clear" w:pos="720"/>
        </w:tabs>
        <w:rPr>
          <w:rFonts w:eastAsia="Calibri"/>
          <w:kern w:val="2"/>
          <w:szCs w:val="26"/>
          <w14:ligatures w14:val="standardContextual"/>
        </w:rPr>
      </w:pPr>
      <w:r w:rsidRPr="00A317E5">
        <w:rPr>
          <w:rFonts w:eastAsia="Calibri"/>
          <w:kern w:val="2"/>
          <w:szCs w:val="26"/>
          <w14:ligatures w14:val="standardContextual"/>
        </w:rPr>
        <w:tab/>
        <w:t xml:space="preserve">To the contrary, in </w:t>
      </w:r>
      <w:r w:rsidRPr="00A317E5">
        <w:rPr>
          <w:rFonts w:eastAsia="Calibri"/>
          <w:i/>
          <w:iCs/>
          <w:kern w:val="2"/>
          <w:szCs w:val="26"/>
          <w14:ligatures w14:val="standardContextual"/>
        </w:rPr>
        <w:t>Marquez</w:t>
      </w:r>
      <w:r w:rsidRPr="00A317E5">
        <w:rPr>
          <w:rFonts w:eastAsia="Calibri"/>
          <w:kern w:val="2"/>
          <w:szCs w:val="26"/>
          <w14:ligatures w14:val="standardContextual"/>
        </w:rPr>
        <w:t xml:space="preserve">, for example, the Supreme Court made clear that for presentence custody to be attributable to any one case, that case must be at least a </w:t>
      </w:r>
      <w:r w:rsidRPr="00A317E5">
        <w:rPr>
          <w:rFonts w:eastAsia="Calibri"/>
          <w:i/>
          <w:iCs/>
          <w:kern w:val="2"/>
          <w:szCs w:val="26"/>
          <w14:ligatures w14:val="standardContextual"/>
        </w:rPr>
        <w:t>contributing</w:t>
      </w:r>
      <w:r w:rsidRPr="00A317E5">
        <w:rPr>
          <w:rFonts w:eastAsia="Calibri"/>
          <w:kern w:val="2"/>
          <w:szCs w:val="26"/>
          <w14:ligatures w14:val="standardContextual"/>
        </w:rPr>
        <w:t xml:space="preserve"> cause of a defendant’s restraint when the strict causation rule of </w:t>
      </w:r>
      <w:r w:rsidRPr="00A317E5">
        <w:rPr>
          <w:rFonts w:eastAsia="Calibri"/>
          <w:i/>
          <w:iCs/>
          <w:kern w:val="2"/>
          <w:szCs w:val="26"/>
          <w14:ligatures w14:val="standardContextual"/>
        </w:rPr>
        <w:t xml:space="preserve">Joyner </w:t>
      </w:r>
      <w:r w:rsidRPr="00A317E5">
        <w:rPr>
          <w:rFonts w:eastAsia="Calibri"/>
          <w:kern w:val="2"/>
          <w:szCs w:val="26"/>
          <w14:ligatures w14:val="standardContextual"/>
        </w:rPr>
        <w:t xml:space="preserve">and </w:t>
      </w:r>
      <w:r w:rsidRPr="00A317E5">
        <w:rPr>
          <w:rFonts w:eastAsia="Calibri"/>
          <w:i/>
          <w:iCs/>
          <w:kern w:val="2"/>
          <w:szCs w:val="26"/>
          <w14:ligatures w14:val="standardContextual"/>
        </w:rPr>
        <w:t>Bruner</w:t>
      </w:r>
      <w:r w:rsidRPr="00A317E5">
        <w:rPr>
          <w:rFonts w:eastAsia="Calibri"/>
          <w:kern w:val="2"/>
          <w:szCs w:val="26"/>
          <w14:ligatures w14:val="standardContextual"/>
        </w:rPr>
        <w:t xml:space="preserve"> does not apply.  (See </w:t>
      </w:r>
      <w:r w:rsidRPr="00A317E5">
        <w:rPr>
          <w:rFonts w:eastAsia="Calibri"/>
          <w:i/>
          <w:iCs/>
          <w:kern w:val="2"/>
          <w:szCs w:val="26"/>
          <w14:ligatures w14:val="standardContextual"/>
        </w:rPr>
        <w:t>Marquez</w:t>
      </w:r>
      <w:r w:rsidRPr="00A317E5">
        <w:rPr>
          <w:rFonts w:eastAsia="Calibri"/>
          <w:kern w:val="2"/>
          <w:szCs w:val="26"/>
          <w14:ligatures w14:val="standardContextual"/>
        </w:rPr>
        <w:t xml:space="preserve">, </w:t>
      </w:r>
      <w:r w:rsidRPr="00A317E5">
        <w:rPr>
          <w:rFonts w:eastAsia="Calibri"/>
          <w:i/>
          <w:iCs/>
          <w:kern w:val="2"/>
          <w:szCs w:val="26"/>
          <w14:ligatures w14:val="standardContextual"/>
        </w:rPr>
        <w:t>supra</w:t>
      </w:r>
      <w:r w:rsidRPr="00A317E5">
        <w:rPr>
          <w:rFonts w:eastAsia="Calibri"/>
          <w:kern w:val="2"/>
          <w:szCs w:val="26"/>
          <w14:ligatures w14:val="standardContextual"/>
        </w:rPr>
        <w:t xml:space="preserve">, 30 Cal.4th 14, 20–21; </w:t>
      </w:r>
      <w:r w:rsidRPr="00A317E5">
        <w:rPr>
          <w:rFonts w:eastAsia="Calibri"/>
          <w:i/>
          <w:iCs/>
          <w:kern w:val="2"/>
          <w:szCs w:val="26"/>
          <w14:ligatures w14:val="standardContextual"/>
        </w:rPr>
        <w:t>id.</w:t>
      </w:r>
      <w:r w:rsidRPr="00A317E5">
        <w:rPr>
          <w:rFonts w:eastAsia="Calibri"/>
          <w:kern w:val="2"/>
          <w:szCs w:val="26"/>
          <w14:ligatures w14:val="standardContextual"/>
        </w:rPr>
        <w:t xml:space="preserve"> at p. 23 [</w:t>
      </w:r>
      <w:r w:rsidRPr="00A317E5">
        <w:rPr>
          <w:rFonts w:eastAsia="Calibri"/>
          <w:i/>
          <w:iCs/>
          <w:kern w:val="2"/>
          <w:szCs w:val="26"/>
          <w14:ligatures w14:val="standardContextual"/>
        </w:rPr>
        <w:t>Joyner</w:t>
      </w:r>
      <w:r w:rsidRPr="00A317E5">
        <w:rPr>
          <w:rFonts w:eastAsia="Calibri"/>
          <w:kern w:val="2"/>
          <w:szCs w:val="26"/>
          <w14:ligatures w14:val="standardContextual"/>
        </w:rPr>
        <w:t xml:space="preserve"> and </w:t>
      </w:r>
      <w:r w:rsidRPr="00A317E5">
        <w:rPr>
          <w:rFonts w:eastAsia="Calibri"/>
          <w:i/>
          <w:iCs/>
          <w:kern w:val="2"/>
          <w:szCs w:val="26"/>
          <w14:ligatures w14:val="standardContextual"/>
        </w:rPr>
        <w:t>Bruner</w:t>
      </w:r>
      <w:r w:rsidRPr="00A317E5">
        <w:rPr>
          <w:rFonts w:eastAsia="Calibri"/>
          <w:kern w:val="2"/>
          <w:szCs w:val="26"/>
          <w14:ligatures w14:val="standardContextual"/>
        </w:rPr>
        <w:t xml:space="preserve"> strict causation rule applies in cases involving the possibility of duplicate credit].)  The petitioner in </w:t>
      </w:r>
      <w:r w:rsidRPr="00A317E5">
        <w:rPr>
          <w:rFonts w:eastAsia="Calibri"/>
          <w:i/>
          <w:iCs/>
          <w:kern w:val="2"/>
          <w:szCs w:val="26"/>
          <w14:ligatures w14:val="standardContextual"/>
        </w:rPr>
        <w:t>Marquez</w:t>
      </w:r>
      <w:r w:rsidRPr="00A317E5">
        <w:rPr>
          <w:rFonts w:eastAsia="Calibri"/>
          <w:kern w:val="2"/>
          <w:szCs w:val="26"/>
          <w14:ligatures w14:val="standardContextual"/>
        </w:rPr>
        <w:t xml:space="preserve"> was sentenced first in Santa Cruz County (where presentence cr</w:t>
      </w:r>
      <w:r w:rsidRPr="00A317E5">
        <w:rPr>
          <w:rFonts w:eastAsia="Calibri"/>
          <w:kern w:val="2"/>
          <w:szCs w:val="26"/>
          <w14:ligatures w14:val="standardContextual"/>
        </w:rPr>
        <w:t xml:space="preserve">edits were applied) then in Monterey County (where the 113 days from the Santa Cruz sentencing hearing to the Monterey sentencing hearing were not applied, under </w:t>
      </w:r>
      <w:r w:rsidRPr="00A317E5">
        <w:rPr>
          <w:rFonts w:eastAsia="Calibri"/>
          <w:i/>
          <w:iCs/>
          <w:kern w:val="2"/>
          <w:szCs w:val="26"/>
          <w14:ligatures w14:val="standardContextual"/>
        </w:rPr>
        <w:t>Joyner</w:t>
      </w:r>
      <w:r w:rsidRPr="00A317E5">
        <w:rPr>
          <w:rFonts w:eastAsia="Calibri"/>
          <w:kern w:val="2"/>
          <w:szCs w:val="26"/>
          <w14:ligatures w14:val="standardContextual"/>
        </w:rPr>
        <w:t xml:space="preserve"> and </w:t>
      </w:r>
      <w:r w:rsidRPr="00A317E5">
        <w:rPr>
          <w:rFonts w:eastAsia="Calibri"/>
          <w:i/>
          <w:iCs/>
          <w:kern w:val="2"/>
          <w:szCs w:val="26"/>
          <w14:ligatures w14:val="standardContextual"/>
        </w:rPr>
        <w:t>Bruner</w:t>
      </w:r>
      <w:r w:rsidRPr="00A317E5">
        <w:rPr>
          <w:rFonts w:eastAsia="Calibri"/>
          <w:kern w:val="2"/>
          <w:szCs w:val="26"/>
          <w14:ligatures w14:val="standardContextual"/>
        </w:rPr>
        <w:t>), but Santa Cruz eventually vacated its sentence and dismissed its charges.  Despite concluding the Santa Cruz dismissal entitled petitioner to credit for the 113</w:t>
      </w:r>
      <w:r w:rsidRPr="00A317E5">
        <w:rPr>
          <w:rFonts w:eastAsia="Calibri"/>
          <w:kern w:val="2"/>
          <w:szCs w:val="26"/>
          <w14:ligatures w14:val="standardContextual"/>
        </w:rPr>
        <w:noBreakHyphen/>
        <w:t xml:space="preserve">day period against the remaining Monterey sentence, the court observed that </w:t>
      </w:r>
      <w:proofErr w:type="gramStart"/>
      <w:r w:rsidRPr="00A317E5">
        <w:rPr>
          <w:rFonts w:eastAsia="Calibri"/>
          <w:kern w:val="2"/>
          <w:szCs w:val="26"/>
          <w14:ligatures w14:val="standardContextual"/>
        </w:rPr>
        <w:t>“ ‘</w:t>
      </w:r>
      <w:proofErr w:type="gramEnd"/>
      <w:r w:rsidRPr="00A317E5">
        <w:rPr>
          <w:rFonts w:eastAsia="Calibri"/>
          <w:kern w:val="2"/>
          <w:szCs w:val="26"/>
          <w14:ligatures w14:val="standardContextual"/>
        </w:rPr>
        <w:t>dead time,’ that is, time spent in custody for which [a defendant] receives no benefit” is</w:t>
      </w:r>
      <w:r w:rsidRPr="00A317E5">
        <w:rPr>
          <w:rFonts w:eastAsia="Calibri"/>
          <w:kern w:val="2"/>
          <w:szCs w:val="26"/>
          <w14:ligatures w14:val="standardContextual"/>
        </w:rPr>
        <w:t xml:space="preserve"> sometimes “unavoidable.”  (</w:t>
      </w:r>
      <w:r w:rsidRPr="00A317E5">
        <w:rPr>
          <w:rFonts w:eastAsia="Calibri"/>
          <w:i/>
          <w:iCs/>
          <w:kern w:val="2"/>
          <w:szCs w:val="26"/>
          <w14:ligatures w14:val="standardContextual"/>
        </w:rPr>
        <w:t>Marquez</w:t>
      </w:r>
      <w:r w:rsidRPr="00A317E5">
        <w:rPr>
          <w:rFonts w:eastAsia="Calibri"/>
          <w:kern w:val="2"/>
          <w:szCs w:val="26"/>
          <w14:ligatures w14:val="standardContextual"/>
        </w:rPr>
        <w:t xml:space="preserve">, at p. 20.)  The </w:t>
      </w:r>
      <w:r w:rsidRPr="00A317E5">
        <w:rPr>
          <w:rFonts w:eastAsia="Calibri"/>
          <w:i/>
          <w:iCs/>
          <w:kern w:val="2"/>
          <w:szCs w:val="26"/>
          <w14:ligatures w14:val="standardContextual"/>
        </w:rPr>
        <w:t xml:space="preserve">Marquez </w:t>
      </w:r>
      <w:r w:rsidRPr="00A317E5">
        <w:rPr>
          <w:rFonts w:eastAsia="Calibri"/>
          <w:kern w:val="2"/>
          <w:szCs w:val="26"/>
          <w14:ligatures w14:val="standardContextual"/>
        </w:rPr>
        <w:t xml:space="preserve">court’s illustration of unavoidable dead time is particularly telling and supports the trial court’s application of </w:t>
      </w:r>
      <w:r w:rsidRPr="00A317E5">
        <w:rPr>
          <w:rFonts w:eastAsia="Calibri"/>
          <w:i/>
          <w:iCs/>
          <w:kern w:val="2"/>
          <w:szCs w:val="26"/>
          <w14:ligatures w14:val="standardContextual"/>
        </w:rPr>
        <w:t>Jacobs</w:t>
      </w:r>
      <w:r w:rsidRPr="00A317E5">
        <w:rPr>
          <w:rFonts w:eastAsia="Calibri"/>
          <w:kern w:val="2"/>
          <w:szCs w:val="26"/>
          <w14:ligatures w14:val="standardContextual"/>
        </w:rPr>
        <w:t>:  The claimed custody credits, the high court explained, would have been “attributable solely to the Santa Cruz County charges” if “Monterey County [had] never placed a hold” on the defendant for Monterey County’s own charges.  In such a scenario, even “dismissal of the Santa Cruz County charges would have left petitioner with</w:t>
      </w:r>
      <w:r w:rsidRPr="00A317E5">
        <w:rPr>
          <w:rFonts w:eastAsia="Calibri"/>
          <w:kern w:val="2"/>
          <w:szCs w:val="26"/>
          <w14:ligatures w14:val="standardContextual"/>
        </w:rPr>
        <w:t xml:space="preserve"> no sentence against which credit for that period could be applied.”  (</w:t>
      </w:r>
      <w:r w:rsidRPr="00A317E5">
        <w:rPr>
          <w:rFonts w:eastAsia="Calibri"/>
          <w:i/>
          <w:iCs/>
          <w:kern w:val="2"/>
          <w:szCs w:val="26"/>
          <w14:ligatures w14:val="standardContextual"/>
        </w:rPr>
        <w:t>Marquez</w:t>
      </w:r>
      <w:r w:rsidRPr="00A317E5">
        <w:rPr>
          <w:rFonts w:eastAsia="Calibri"/>
          <w:kern w:val="2"/>
          <w:szCs w:val="26"/>
          <w14:ligatures w14:val="standardContextual"/>
        </w:rPr>
        <w:t xml:space="preserve">, at pp. 20–21.)  </w:t>
      </w:r>
    </w:p>
    <w:p w14:paraId="21AC07B2" w14:textId="77777777" w:rsidR="004864A9" w:rsidRPr="00A317E5" w:rsidRDefault="004864A9" w:rsidP="00A317E5">
      <w:pPr>
        <w:tabs>
          <w:tab w:val="clear" w:pos="720"/>
        </w:tabs>
        <w:rPr>
          <w:rFonts w:eastAsia="Calibri"/>
          <w:kern w:val="2"/>
          <w:szCs w:val="26"/>
          <w14:ligatures w14:val="standardContextual"/>
        </w:rPr>
      </w:pPr>
      <w:r w:rsidRPr="00A317E5">
        <w:rPr>
          <w:rFonts w:eastAsia="Calibri"/>
          <w:kern w:val="2"/>
          <w:szCs w:val="26"/>
          <w14:ligatures w14:val="standardContextual"/>
        </w:rPr>
        <w:lastRenderedPageBreak/>
        <w:tab/>
        <w:t xml:space="preserve">I of course recognize the </w:t>
      </w:r>
      <w:r w:rsidRPr="00A317E5">
        <w:rPr>
          <w:rFonts w:eastAsia="Calibri"/>
          <w:i/>
          <w:iCs/>
          <w:kern w:val="2"/>
          <w:szCs w:val="26"/>
          <w14:ligatures w14:val="standardContextual"/>
        </w:rPr>
        <w:t>Marquez</w:t>
      </w:r>
      <w:r w:rsidRPr="00A317E5">
        <w:rPr>
          <w:rFonts w:eastAsia="Calibri"/>
          <w:kern w:val="2"/>
          <w:szCs w:val="26"/>
          <w14:ligatures w14:val="standardContextual"/>
        </w:rPr>
        <w:t xml:space="preserve"> court’s no</w:t>
      </w:r>
      <w:r w:rsidRPr="00A317E5">
        <w:rPr>
          <w:rFonts w:eastAsia="Calibri"/>
          <w:kern w:val="2"/>
          <w:szCs w:val="26"/>
          <w14:ligatures w14:val="standardContextual"/>
        </w:rPr>
        <w:noBreakHyphen/>
        <w:t xml:space="preserve">hold illustration as dictum based on hypothetical facts, but </w:t>
      </w:r>
      <w:r w:rsidRPr="00A317E5">
        <w:rPr>
          <w:rFonts w:eastAsia="Calibri"/>
          <w:iCs/>
          <w:kern w:val="2"/>
          <w:szCs w:val="26"/>
          <w14:ligatures w14:val="standardContextual"/>
        </w:rPr>
        <w:t>“an intermediate appellate court . . . [does] not lightly disregard dictum from our Supreme Court.”  (</w:t>
      </w:r>
      <w:r w:rsidRPr="00A317E5">
        <w:rPr>
          <w:rFonts w:eastAsia="Calibri"/>
          <w:i/>
          <w:kern w:val="2"/>
          <w:szCs w:val="26"/>
          <w14:ligatures w14:val="standardContextual"/>
        </w:rPr>
        <w:t>Bigler-Engler v. Breg</w:t>
      </w:r>
      <w:r w:rsidRPr="00A317E5">
        <w:rPr>
          <w:rFonts w:eastAsia="Calibri"/>
          <w:iCs/>
          <w:kern w:val="2"/>
          <w:szCs w:val="26"/>
          <w14:ligatures w14:val="standardContextual"/>
        </w:rPr>
        <w:t>,</w:t>
      </w:r>
      <w:r w:rsidRPr="00A317E5">
        <w:rPr>
          <w:rFonts w:eastAsia="Calibri"/>
          <w:i/>
          <w:kern w:val="2"/>
          <w:szCs w:val="26"/>
          <w14:ligatures w14:val="standardContextual"/>
        </w:rPr>
        <w:t xml:space="preserve"> Inc.</w:t>
      </w:r>
      <w:r w:rsidRPr="00A317E5">
        <w:rPr>
          <w:rFonts w:eastAsia="Calibri"/>
          <w:iCs/>
          <w:kern w:val="2"/>
          <w:szCs w:val="26"/>
          <w14:ligatures w14:val="standardContextual"/>
        </w:rPr>
        <w:t xml:space="preserve"> (2017) 7 Cal.App.5th 276, 330.)  And under section 2900.5, subdivision (b), I am unable to meaningfully distinguish the omission of a hold from the omission of a remand order in cases A and B or the delay in issuing a remand order in case C.  </w:t>
      </w:r>
    </w:p>
    <w:p w14:paraId="5FAFEFEF" w14:textId="77777777" w:rsidR="004864A9" w:rsidRPr="00A317E5" w:rsidRDefault="004864A9" w:rsidP="00A317E5">
      <w:pPr>
        <w:tabs>
          <w:tab w:val="clear" w:pos="720"/>
        </w:tabs>
        <w:rPr>
          <w:rFonts w:eastAsia="Calibri"/>
          <w:kern w:val="2"/>
          <w:szCs w:val="26"/>
          <w14:ligatures w14:val="standardContextual"/>
        </w:rPr>
      </w:pPr>
      <w:r w:rsidRPr="00A317E5">
        <w:rPr>
          <w:rFonts w:eastAsia="Calibri"/>
          <w:kern w:val="2"/>
          <w:szCs w:val="26"/>
          <w14:ligatures w14:val="standardContextual"/>
        </w:rPr>
        <w:tab/>
        <w:t xml:space="preserve">So remaining bound by the Supreme Court’s express refusal in </w:t>
      </w:r>
      <w:r w:rsidRPr="00A317E5">
        <w:rPr>
          <w:rFonts w:eastAsia="Calibri"/>
          <w:i/>
          <w:iCs/>
          <w:kern w:val="2"/>
          <w:szCs w:val="26"/>
          <w14:ligatures w14:val="standardContextual"/>
        </w:rPr>
        <w:t xml:space="preserve">Joyner </w:t>
      </w:r>
      <w:r w:rsidRPr="00A317E5">
        <w:rPr>
          <w:rFonts w:eastAsia="Calibri"/>
          <w:kern w:val="2"/>
          <w:szCs w:val="26"/>
          <w14:ligatures w14:val="standardContextual"/>
        </w:rPr>
        <w:t xml:space="preserve">and </w:t>
      </w:r>
      <w:r w:rsidRPr="00A317E5">
        <w:rPr>
          <w:rFonts w:eastAsia="Calibri"/>
          <w:i/>
          <w:iCs/>
          <w:kern w:val="2"/>
          <w:szCs w:val="26"/>
          <w14:ligatures w14:val="standardContextual"/>
        </w:rPr>
        <w:t xml:space="preserve">Bruner </w:t>
      </w:r>
      <w:r w:rsidRPr="00A317E5">
        <w:rPr>
          <w:rFonts w:eastAsia="Calibri"/>
          <w:kern w:val="2"/>
          <w:szCs w:val="26"/>
          <w14:ligatures w14:val="standardContextual"/>
        </w:rPr>
        <w:t>to apply section 2900.5, subdivision (b) to maximize concurrency of sentences, I am unable to join the majority’s fairness</w:t>
      </w:r>
      <w:r w:rsidRPr="00A317E5">
        <w:rPr>
          <w:rFonts w:eastAsia="Calibri"/>
          <w:kern w:val="2"/>
          <w:szCs w:val="26"/>
          <w14:ligatures w14:val="standardContextual"/>
        </w:rPr>
        <w:noBreakHyphen/>
        <w:t xml:space="preserve">based reinterpretation of the statute to equalize Cofer’s concurrent terms, when our conception of what is fair and reasonable under section 2900.5 appears at odds with what our high court long ago announced.  (See </w:t>
      </w:r>
      <w:r w:rsidRPr="00A317E5">
        <w:rPr>
          <w:rFonts w:eastAsia="Calibri"/>
          <w:i/>
          <w:iCs/>
          <w:kern w:val="2"/>
          <w:szCs w:val="26"/>
          <w14:ligatures w14:val="standardContextual"/>
        </w:rPr>
        <w:t>Auto Equity Sales, Inc. v. Superior Court</w:t>
      </w:r>
      <w:r w:rsidRPr="00A317E5">
        <w:rPr>
          <w:rFonts w:eastAsia="Calibri"/>
          <w:kern w:val="2"/>
          <w:szCs w:val="26"/>
          <w14:ligatures w14:val="standardContextual"/>
        </w:rPr>
        <w:t xml:space="preserve"> (1962) 57 Cal.2d 450, 454.)  </w:t>
      </w:r>
    </w:p>
    <w:p w14:paraId="7B948D78" w14:textId="77777777" w:rsidR="004864A9" w:rsidRPr="00A317E5" w:rsidRDefault="004864A9" w:rsidP="00A317E5">
      <w:pPr>
        <w:tabs>
          <w:tab w:val="clear" w:pos="720"/>
        </w:tabs>
        <w:rPr>
          <w:rFonts w:eastAsia="Calibri"/>
          <w:kern w:val="2"/>
          <w:szCs w:val="26"/>
          <w14:ligatures w14:val="standardContextual"/>
        </w:rPr>
      </w:pPr>
      <w:r w:rsidRPr="00A317E5">
        <w:rPr>
          <w:rFonts w:eastAsia="Calibri"/>
          <w:kern w:val="2"/>
          <w:szCs w:val="26"/>
          <w14:ligatures w14:val="standardContextual"/>
        </w:rPr>
        <w:tab/>
        <w:t xml:space="preserve">I respectfully dissent.  </w:t>
      </w:r>
    </w:p>
    <w:p w14:paraId="0D043925" w14:textId="77777777" w:rsidR="004864A9" w:rsidRPr="00A317E5" w:rsidRDefault="004864A9" w:rsidP="00A317E5">
      <w:pPr>
        <w:tabs>
          <w:tab w:val="clear" w:pos="720"/>
        </w:tabs>
        <w:rPr>
          <w:rFonts w:eastAsia="Calibri"/>
          <w:kern w:val="2"/>
          <w:szCs w:val="26"/>
          <w14:ligatures w14:val="standardContextual"/>
        </w:rPr>
        <w:sectPr w:rsidR="00A317E5" w:rsidRPr="00A317E5" w:rsidSect="00AA3C29">
          <w:footerReference w:type="default" r:id="rId9"/>
          <w:footnotePr>
            <w:numRestart w:val="eachSect"/>
          </w:footnotePr>
          <w:pgSz w:w="12240" w:h="15840"/>
          <w:pgMar w:top="1440" w:right="1440" w:bottom="1440" w:left="1440" w:header="720" w:footer="720" w:gutter="0"/>
          <w:pgNumType w:start="1"/>
          <w:cols w:space="720"/>
          <w:titlePg/>
          <w:docGrid w:linePitch="360"/>
        </w:sectPr>
      </w:pPr>
    </w:p>
    <w:p w14:paraId="7611005A" w14:textId="77777777" w:rsidR="004864A9" w:rsidRPr="00A317E5" w:rsidRDefault="004864A9" w:rsidP="00A317E5">
      <w:pPr>
        <w:tabs>
          <w:tab w:val="clear" w:pos="720"/>
        </w:tabs>
        <w:spacing w:after="160" w:line="259" w:lineRule="auto"/>
        <w:rPr>
          <w:rFonts w:eastAsia="Times New Roman"/>
          <w:kern w:val="2"/>
          <w:szCs w:val="26"/>
          <w14:ligatures w14:val="standardContextual"/>
        </w:rPr>
      </w:pPr>
    </w:p>
    <w:p w14:paraId="05477A94" w14:textId="77777777" w:rsidR="004864A9" w:rsidRPr="00A317E5" w:rsidRDefault="004864A9" w:rsidP="00A317E5">
      <w:pPr>
        <w:tabs>
          <w:tab w:val="clear" w:pos="720"/>
        </w:tabs>
        <w:spacing w:after="160" w:line="259" w:lineRule="auto"/>
        <w:rPr>
          <w:rFonts w:eastAsia="Times New Roman"/>
          <w:kern w:val="2"/>
          <w:szCs w:val="26"/>
          <w14:ligatures w14:val="standardContextual"/>
        </w:rPr>
      </w:pPr>
    </w:p>
    <w:p w14:paraId="2236393D" w14:textId="77777777" w:rsidR="004864A9" w:rsidRPr="00A317E5" w:rsidRDefault="004864A9" w:rsidP="00A317E5">
      <w:pPr>
        <w:tabs>
          <w:tab w:val="clear" w:pos="720"/>
        </w:tabs>
        <w:spacing w:line="360" w:lineRule="auto"/>
        <w:rPr>
          <w:rFonts w:eastAsia="Times New Roman"/>
          <w:kern w:val="2"/>
          <w:szCs w:val="26"/>
          <w14:ligatures w14:val="standardContextual"/>
        </w:rPr>
      </w:pPr>
      <w:r w:rsidRPr="00A317E5">
        <w:rPr>
          <w:rFonts w:eastAsia="Times New Roman"/>
          <w:kern w:val="2"/>
          <w:szCs w:val="26"/>
          <w14:ligatures w14:val="standardContextual"/>
        </w:rPr>
        <w:tab/>
      </w:r>
      <w:r w:rsidRPr="00A317E5">
        <w:rPr>
          <w:rFonts w:eastAsia="Times New Roman"/>
          <w:kern w:val="2"/>
          <w:szCs w:val="26"/>
          <w14:ligatures w14:val="standardContextual"/>
        </w:rPr>
        <w:tab/>
      </w:r>
      <w:r w:rsidRPr="00A317E5">
        <w:rPr>
          <w:rFonts w:eastAsia="Times New Roman"/>
          <w:kern w:val="2"/>
          <w:szCs w:val="26"/>
          <w14:ligatures w14:val="standardContextual"/>
        </w:rPr>
        <w:tab/>
      </w:r>
      <w:r w:rsidRPr="00A317E5">
        <w:rPr>
          <w:rFonts w:eastAsia="Times New Roman"/>
          <w:kern w:val="2"/>
          <w:szCs w:val="26"/>
          <w14:ligatures w14:val="standardContextual"/>
        </w:rPr>
        <w:tab/>
      </w:r>
      <w:r w:rsidRPr="00A317E5">
        <w:rPr>
          <w:rFonts w:eastAsia="Times New Roman"/>
          <w:kern w:val="2"/>
          <w:szCs w:val="26"/>
          <w14:ligatures w14:val="standardContextual"/>
        </w:rPr>
        <w:tab/>
      </w:r>
      <w:r w:rsidRPr="00A317E5">
        <w:rPr>
          <w:rFonts w:eastAsia="Times New Roman"/>
          <w:kern w:val="2"/>
          <w:szCs w:val="26"/>
          <w14:ligatures w14:val="standardContextual"/>
        </w:rPr>
        <w:tab/>
        <w:t>____________________________________</w:t>
      </w:r>
    </w:p>
    <w:p w14:paraId="153E98DA" w14:textId="77777777" w:rsidR="004864A9" w:rsidRPr="00A317E5" w:rsidRDefault="004864A9" w:rsidP="00A317E5">
      <w:pPr>
        <w:tabs>
          <w:tab w:val="clear" w:pos="720"/>
        </w:tabs>
        <w:spacing w:line="360" w:lineRule="auto"/>
        <w:rPr>
          <w:rFonts w:eastAsia="Times New Roman"/>
          <w:kern w:val="2"/>
          <w:szCs w:val="26"/>
          <w14:ligatures w14:val="standardContextual"/>
        </w:rPr>
      </w:pPr>
      <w:r w:rsidRPr="00A317E5">
        <w:rPr>
          <w:rFonts w:eastAsia="Times New Roman"/>
          <w:kern w:val="2"/>
          <w:szCs w:val="26"/>
          <w14:ligatures w14:val="standardContextual"/>
        </w:rPr>
        <w:tab/>
      </w:r>
      <w:r w:rsidRPr="00A317E5">
        <w:rPr>
          <w:rFonts w:eastAsia="Times New Roman"/>
          <w:kern w:val="2"/>
          <w:szCs w:val="26"/>
          <w14:ligatures w14:val="standardContextual"/>
        </w:rPr>
        <w:tab/>
      </w:r>
      <w:r w:rsidRPr="00A317E5">
        <w:rPr>
          <w:rFonts w:eastAsia="Times New Roman"/>
          <w:kern w:val="2"/>
          <w:szCs w:val="26"/>
          <w14:ligatures w14:val="standardContextual"/>
        </w:rPr>
        <w:tab/>
      </w:r>
      <w:r w:rsidRPr="00A317E5">
        <w:rPr>
          <w:rFonts w:eastAsia="Times New Roman"/>
          <w:kern w:val="2"/>
          <w:szCs w:val="26"/>
          <w14:ligatures w14:val="standardContextual"/>
        </w:rPr>
        <w:tab/>
      </w:r>
      <w:r w:rsidRPr="00A317E5">
        <w:rPr>
          <w:rFonts w:eastAsia="Times New Roman"/>
          <w:kern w:val="2"/>
          <w:szCs w:val="26"/>
          <w14:ligatures w14:val="standardContextual"/>
        </w:rPr>
        <w:tab/>
      </w:r>
      <w:r w:rsidRPr="00A317E5">
        <w:rPr>
          <w:rFonts w:eastAsia="Times New Roman"/>
          <w:kern w:val="2"/>
          <w:szCs w:val="26"/>
          <w14:ligatures w14:val="standardContextual"/>
        </w:rPr>
        <w:tab/>
        <w:t>Lie, J.</w:t>
      </w:r>
    </w:p>
    <w:p w14:paraId="1D7AA5CF" w14:textId="77777777" w:rsidR="004864A9" w:rsidRPr="00A317E5" w:rsidRDefault="004864A9" w:rsidP="00A317E5">
      <w:pPr>
        <w:tabs>
          <w:tab w:val="clear" w:pos="720"/>
        </w:tabs>
        <w:spacing w:after="160" w:line="259" w:lineRule="auto"/>
        <w:rPr>
          <w:rFonts w:eastAsia="Times New Roman"/>
          <w:kern w:val="2"/>
          <w:szCs w:val="26"/>
          <w14:ligatures w14:val="standardContextual"/>
        </w:rPr>
      </w:pPr>
    </w:p>
    <w:p w14:paraId="0537BC09" w14:textId="77777777" w:rsidR="004864A9" w:rsidRPr="00A317E5" w:rsidRDefault="004864A9" w:rsidP="00A317E5">
      <w:pPr>
        <w:tabs>
          <w:tab w:val="clear" w:pos="720"/>
        </w:tabs>
        <w:spacing w:after="160" w:line="259" w:lineRule="auto"/>
        <w:rPr>
          <w:rFonts w:eastAsia="Times New Roman"/>
          <w:kern w:val="2"/>
          <w:szCs w:val="26"/>
          <w14:ligatures w14:val="standardContextual"/>
        </w:rPr>
      </w:pPr>
    </w:p>
    <w:p w14:paraId="463563D6" w14:textId="77777777" w:rsidR="004864A9" w:rsidRPr="00A317E5" w:rsidRDefault="004864A9" w:rsidP="00A317E5">
      <w:pPr>
        <w:tabs>
          <w:tab w:val="clear" w:pos="720"/>
        </w:tabs>
        <w:spacing w:after="160" w:line="259" w:lineRule="auto"/>
        <w:rPr>
          <w:rFonts w:eastAsia="Times New Roman"/>
          <w:kern w:val="2"/>
          <w:szCs w:val="26"/>
          <w14:ligatures w14:val="standardContextual"/>
        </w:rPr>
      </w:pPr>
    </w:p>
    <w:p w14:paraId="0943D5EC" w14:textId="77777777" w:rsidR="004864A9" w:rsidRPr="00A317E5" w:rsidRDefault="004864A9" w:rsidP="00A317E5">
      <w:pPr>
        <w:tabs>
          <w:tab w:val="clear" w:pos="720"/>
        </w:tabs>
        <w:spacing w:after="160" w:line="259" w:lineRule="auto"/>
        <w:rPr>
          <w:rFonts w:eastAsia="Times New Roman"/>
          <w:kern w:val="2"/>
          <w:szCs w:val="26"/>
          <w14:ligatures w14:val="standardContextual"/>
        </w:rPr>
      </w:pPr>
    </w:p>
    <w:p w14:paraId="0A7275A9" w14:textId="77777777" w:rsidR="004864A9" w:rsidRPr="00A317E5" w:rsidRDefault="004864A9" w:rsidP="00A317E5">
      <w:pPr>
        <w:tabs>
          <w:tab w:val="clear" w:pos="720"/>
        </w:tabs>
        <w:spacing w:after="160" w:line="259" w:lineRule="auto"/>
        <w:rPr>
          <w:rFonts w:eastAsia="Times New Roman"/>
          <w:kern w:val="2"/>
          <w:szCs w:val="26"/>
          <w14:ligatures w14:val="standardContextual"/>
        </w:rPr>
      </w:pPr>
    </w:p>
    <w:p w14:paraId="64188D57" w14:textId="77777777" w:rsidR="004864A9" w:rsidRPr="00A317E5" w:rsidRDefault="004864A9" w:rsidP="00A317E5">
      <w:pPr>
        <w:tabs>
          <w:tab w:val="clear" w:pos="720"/>
        </w:tabs>
        <w:spacing w:after="160" w:line="259" w:lineRule="auto"/>
        <w:rPr>
          <w:rFonts w:eastAsia="Times New Roman"/>
          <w:kern w:val="2"/>
          <w:szCs w:val="26"/>
          <w14:ligatures w14:val="standardContextual"/>
        </w:rPr>
      </w:pPr>
    </w:p>
    <w:p w14:paraId="1CF31E3F" w14:textId="77777777" w:rsidR="004864A9" w:rsidRPr="00A317E5" w:rsidRDefault="004864A9" w:rsidP="00A317E5">
      <w:pPr>
        <w:tabs>
          <w:tab w:val="clear" w:pos="720"/>
        </w:tabs>
        <w:spacing w:after="160" w:line="259" w:lineRule="auto"/>
        <w:rPr>
          <w:rFonts w:eastAsia="Times New Roman"/>
          <w:kern w:val="2"/>
          <w:szCs w:val="26"/>
          <w14:ligatures w14:val="standardContextual"/>
        </w:rPr>
      </w:pPr>
    </w:p>
    <w:p w14:paraId="35DC0FFC" w14:textId="77777777" w:rsidR="004864A9" w:rsidRPr="00A317E5" w:rsidRDefault="004864A9" w:rsidP="00A317E5">
      <w:pPr>
        <w:tabs>
          <w:tab w:val="clear" w:pos="720"/>
        </w:tabs>
        <w:spacing w:after="160" w:line="259" w:lineRule="auto"/>
        <w:rPr>
          <w:rFonts w:eastAsia="Times New Roman"/>
          <w:kern w:val="2"/>
          <w:szCs w:val="26"/>
          <w14:ligatures w14:val="standardContextual"/>
        </w:rPr>
      </w:pPr>
    </w:p>
    <w:p w14:paraId="565DF9C2" w14:textId="77777777" w:rsidR="004864A9" w:rsidRPr="00A317E5" w:rsidRDefault="004864A9" w:rsidP="00A317E5">
      <w:pPr>
        <w:tabs>
          <w:tab w:val="clear" w:pos="720"/>
        </w:tabs>
        <w:spacing w:after="160" w:line="259" w:lineRule="auto"/>
        <w:rPr>
          <w:rFonts w:eastAsia="Times New Roman"/>
          <w:kern w:val="2"/>
          <w:szCs w:val="26"/>
          <w14:ligatures w14:val="standardContextual"/>
        </w:rPr>
      </w:pPr>
    </w:p>
    <w:p w14:paraId="6E435EB1" w14:textId="77777777" w:rsidR="004864A9" w:rsidRPr="00A317E5" w:rsidRDefault="004864A9" w:rsidP="00A317E5">
      <w:pPr>
        <w:tabs>
          <w:tab w:val="clear" w:pos="720"/>
        </w:tabs>
        <w:spacing w:after="160" w:line="259" w:lineRule="auto"/>
        <w:rPr>
          <w:rFonts w:eastAsia="Times New Roman"/>
          <w:kern w:val="2"/>
          <w:szCs w:val="26"/>
          <w14:ligatures w14:val="standardContextual"/>
        </w:rPr>
      </w:pPr>
    </w:p>
    <w:p w14:paraId="299496A0" w14:textId="77777777" w:rsidR="004864A9" w:rsidRPr="00A317E5" w:rsidRDefault="004864A9" w:rsidP="00A317E5">
      <w:pPr>
        <w:tabs>
          <w:tab w:val="clear" w:pos="720"/>
        </w:tabs>
        <w:spacing w:after="160" w:line="259" w:lineRule="auto"/>
        <w:rPr>
          <w:rFonts w:eastAsia="Times New Roman"/>
          <w:kern w:val="2"/>
          <w:szCs w:val="26"/>
          <w14:ligatures w14:val="standardContextual"/>
        </w:rPr>
      </w:pPr>
    </w:p>
    <w:p w14:paraId="44634860" w14:textId="77777777" w:rsidR="004864A9" w:rsidRPr="00A317E5" w:rsidRDefault="004864A9" w:rsidP="00A317E5">
      <w:pPr>
        <w:tabs>
          <w:tab w:val="clear" w:pos="720"/>
        </w:tabs>
        <w:spacing w:after="160" w:line="259" w:lineRule="auto"/>
        <w:rPr>
          <w:rFonts w:eastAsia="Times New Roman"/>
          <w:kern w:val="2"/>
          <w:szCs w:val="26"/>
          <w14:ligatures w14:val="standardContextual"/>
        </w:rPr>
      </w:pPr>
    </w:p>
    <w:p w14:paraId="2FDC52F5" w14:textId="77777777" w:rsidR="004864A9" w:rsidRPr="00A317E5" w:rsidRDefault="004864A9" w:rsidP="00A317E5">
      <w:pPr>
        <w:tabs>
          <w:tab w:val="clear" w:pos="720"/>
        </w:tabs>
        <w:spacing w:after="160" w:line="259" w:lineRule="auto"/>
        <w:rPr>
          <w:rFonts w:eastAsia="Times New Roman"/>
          <w:kern w:val="2"/>
          <w:szCs w:val="26"/>
          <w14:ligatures w14:val="standardContextual"/>
        </w:rPr>
      </w:pPr>
    </w:p>
    <w:p w14:paraId="326750CE" w14:textId="77777777" w:rsidR="004864A9" w:rsidRPr="00A317E5" w:rsidRDefault="004864A9" w:rsidP="00A317E5">
      <w:pPr>
        <w:tabs>
          <w:tab w:val="clear" w:pos="720"/>
        </w:tabs>
        <w:spacing w:after="160" w:line="259" w:lineRule="auto"/>
        <w:rPr>
          <w:rFonts w:eastAsia="Times New Roman"/>
          <w:kern w:val="2"/>
          <w:szCs w:val="26"/>
          <w14:ligatures w14:val="standardContextual"/>
        </w:rPr>
      </w:pPr>
    </w:p>
    <w:p w14:paraId="4093B378" w14:textId="77777777" w:rsidR="004864A9" w:rsidRPr="00A317E5" w:rsidRDefault="004864A9" w:rsidP="00A317E5">
      <w:pPr>
        <w:tabs>
          <w:tab w:val="clear" w:pos="720"/>
        </w:tabs>
        <w:spacing w:after="160" w:line="259" w:lineRule="auto"/>
        <w:rPr>
          <w:rFonts w:eastAsia="Times New Roman"/>
          <w:kern w:val="2"/>
          <w:szCs w:val="26"/>
          <w14:ligatures w14:val="standardContextual"/>
        </w:rPr>
      </w:pPr>
    </w:p>
    <w:p w14:paraId="7D58EB1E" w14:textId="77777777" w:rsidR="004864A9" w:rsidRPr="00A317E5" w:rsidRDefault="004864A9" w:rsidP="00A317E5">
      <w:pPr>
        <w:tabs>
          <w:tab w:val="clear" w:pos="720"/>
        </w:tabs>
        <w:spacing w:after="160" w:line="259" w:lineRule="auto"/>
        <w:rPr>
          <w:rFonts w:eastAsia="Times New Roman"/>
          <w:kern w:val="2"/>
          <w:szCs w:val="26"/>
          <w14:ligatures w14:val="standardContextual"/>
        </w:rPr>
      </w:pPr>
    </w:p>
    <w:p w14:paraId="5740C6A6" w14:textId="77777777" w:rsidR="004864A9" w:rsidRPr="00A317E5" w:rsidRDefault="004864A9" w:rsidP="00A317E5">
      <w:pPr>
        <w:tabs>
          <w:tab w:val="clear" w:pos="720"/>
        </w:tabs>
        <w:spacing w:after="160" w:line="259" w:lineRule="auto"/>
        <w:rPr>
          <w:rFonts w:eastAsia="Times New Roman"/>
          <w:kern w:val="2"/>
          <w:szCs w:val="26"/>
          <w14:ligatures w14:val="standardContextual"/>
        </w:rPr>
      </w:pPr>
    </w:p>
    <w:p w14:paraId="6B11A5BE" w14:textId="77777777" w:rsidR="004864A9" w:rsidRPr="00A317E5" w:rsidRDefault="004864A9" w:rsidP="00A317E5">
      <w:pPr>
        <w:tabs>
          <w:tab w:val="clear" w:pos="720"/>
        </w:tabs>
        <w:spacing w:after="160" w:line="259" w:lineRule="auto"/>
        <w:rPr>
          <w:rFonts w:eastAsia="Times New Roman"/>
          <w:kern w:val="2"/>
          <w:szCs w:val="26"/>
          <w14:ligatures w14:val="standardContextual"/>
        </w:rPr>
      </w:pPr>
    </w:p>
    <w:p w14:paraId="1F106941" w14:textId="77777777" w:rsidR="004864A9" w:rsidRPr="00A317E5" w:rsidRDefault="004864A9" w:rsidP="00A317E5">
      <w:pPr>
        <w:tabs>
          <w:tab w:val="clear" w:pos="720"/>
        </w:tabs>
        <w:spacing w:after="160" w:line="259" w:lineRule="auto"/>
        <w:rPr>
          <w:rFonts w:eastAsia="Times New Roman"/>
          <w:kern w:val="2"/>
          <w:szCs w:val="26"/>
          <w14:ligatures w14:val="standardContextual"/>
        </w:rPr>
      </w:pPr>
    </w:p>
    <w:p w14:paraId="53A2A693" w14:textId="77777777" w:rsidR="004864A9" w:rsidRPr="00A317E5" w:rsidRDefault="004864A9" w:rsidP="00A317E5">
      <w:pPr>
        <w:tabs>
          <w:tab w:val="clear" w:pos="720"/>
        </w:tabs>
        <w:spacing w:after="160" w:line="259" w:lineRule="auto"/>
        <w:rPr>
          <w:rFonts w:eastAsia="Times New Roman"/>
          <w:kern w:val="2"/>
          <w:szCs w:val="26"/>
          <w14:ligatures w14:val="standardContextual"/>
        </w:rPr>
      </w:pPr>
    </w:p>
    <w:p w14:paraId="21DD2594" w14:textId="77777777" w:rsidR="004864A9" w:rsidRPr="00A317E5" w:rsidRDefault="004864A9" w:rsidP="00A317E5">
      <w:pPr>
        <w:tabs>
          <w:tab w:val="clear" w:pos="720"/>
        </w:tabs>
        <w:spacing w:after="160" w:line="259" w:lineRule="auto"/>
        <w:rPr>
          <w:rFonts w:eastAsia="Times New Roman"/>
          <w:kern w:val="2"/>
          <w:szCs w:val="26"/>
          <w14:ligatures w14:val="standardContextual"/>
        </w:rPr>
      </w:pPr>
    </w:p>
    <w:p w14:paraId="3BF75FE1" w14:textId="77777777" w:rsidR="004864A9" w:rsidRPr="00A317E5" w:rsidRDefault="004864A9" w:rsidP="00A317E5">
      <w:pPr>
        <w:tabs>
          <w:tab w:val="clear" w:pos="720"/>
        </w:tabs>
        <w:spacing w:line="240" w:lineRule="auto"/>
        <w:rPr>
          <w:rFonts w:eastAsia="Times New Roman"/>
          <w:b/>
          <w:bCs/>
          <w:kern w:val="2"/>
          <w:sz w:val="24"/>
          <w:szCs w:val="22"/>
          <w14:ligatures w14:val="standardContextual"/>
        </w:rPr>
      </w:pPr>
      <w:r w:rsidRPr="00A317E5">
        <w:rPr>
          <w:rFonts w:eastAsia="Times New Roman"/>
          <w:b/>
          <w:bCs/>
          <w:kern w:val="2"/>
          <w:sz w:val="24"/>
          <w:szCs w:val="22"/>
          <w14:ligatures w14:val="standardContextual"/>
        </w:rPr>
        <w:t>H050122</w:t>
      </w:r>
    </w:p>
    <w:p w14:paraId="1C260EA9" w14:textId="77777777" w:rsidR="004864A9" w:rsidRDefault="004864A9" w:rsidP="00A317E5">
      <w:pPr>
        <w:tabs>
          <w:tab w:val="clear" w:pos="720"/>
        </w:tabs>
        <w:spacing w:line="240" w:lineRule="auto"/>
        <w:rPr>
          <w:rFonts w:eastAsia="Times New Roman"/>
          <w:b/>
          <w:bCs/>
          <w:i/>
          <w:iCs/>
          <w:sz w:val="24"/>
        </w:rPr>
      </w:pPr>
      <w:r w:rsidRPr="00A317E5">
        <w:rPr>
          <w:rFonts w:eastAsia="Times New Roman"/>
          <w:b/>
          <w:bCs/>
          <w:i/>
          <w:iCs/>
          <w:kern w:val="2"/>
          <w:sz w:val="24"/>
          <w:szCs w:val="22"/>
          <w14:ligatures w14:val="standardContextual"/>
        </w:rPr>
        <w:t>People v. Cofer</w:t>
      </w:r>
      <w:r>
        <w:rPr>
          <w:rFonts w:eastAsia="Times New Roman"/>
          <w:b/>
          <w:bCs/>
          <w:i/>
          <w:iCs/>
          <w:sz w:val="24"/>
        </w:rPr>
        <w:br w:type="page"/>
      </w:r>
    </w:p>
    <w:p w14:paraId="7B0D2DA7" w14:textId="77777777" w:rsidR="004864A9" w:rsidRDefault="004864A9" w:rsidP="00320244">
      <w:pPr>
        <w:tabs>
          <w:tab w:val="clear" w:pos="720"/>
        </w:tabs>
        <w:spacing w:line="240" w:lineRule="auto"/>
        <w:rPr>
          <w:rFonts w:eastAsia="Times New Roman"/>
          <w:b/>
          <w:bCs/>
          <w:i/>
          <w:iCs/>
          <w:sz w:val="24"/>
        </w:rPr>
        <w:sectPr w:rsidR="00320244">
          <w:footerReference w:type="default" r:id="rId10"/>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7"/>
        <w:gridCol w:w="5003"/>
      </w:tblGrid>
      <w:tr w:rsidR="00256EB7" w14:paraId="339FA7B2" w14:textId="77777777" w:rsidTr="00425D57">
        <w:tc>
          <w:tcPr>
            <w:tcW w:w="4428" w:type="dxa"/>
          </w:tcPr>
          <w:p w14:paraId="439D4BB7" w14:textId="77777777" w:rsidR="004864A9" w:rsidRPr="00B20006" w:rsidRDefault="004864A9" w:rsidP="00425D57">
            <w:pPr>
              <w:tabs>
                <w:tab w:val="clear" w:pos="720"/>
              </w:tabs>
              <w:spacing w:line="240" w:lineRule="auto"/>
              <w:ind w:right="430"/>
              <w:rPr>
                <w:rFonts w:eastAsia="Times New Roman"/>
                <w:sz w:val="24"/>
              </w:rPr>
            </w:pPr>
            <w:bookmarkStart w:id="2" w:name="_Hlk64363070"/>
            <w:r w:rsidRPr="00B20006">
              <w:rPr>
                <w:rFonts w:eastAsia="Times New Roman"/>
                <w:sz w:val="24"/>
              </w:rPr>
              <w:lastRenderedPageBreak/>
              <w:t xml:space="preserve">Trial Court:  </w:t>
            </w:r>
          </w:p>
          <w:p w14:paraId="046E82A0" w14:textId="77777777" w:rsidR="004864A9" w:rsidRPr="00B20006" w:rsidRDefault="004864A9" w:rsidP="00425D57">
            <w:pPr>
              <w:tabs>
                <w:tab w:val="clear" w:pos="720"/>
              </w:tabs>
              <w:spacing w:line="240" w:lineRule="auto"/>
              <w:ind w:right="430"/>
              <w:rPr>
                <w:rFonts w:eastAsia="Times New Roman"/>
                <w:sz w:val="24"/>
              </w:rPr>
            </w:pPr>
          </w:p>
          <w:p w14:paraId="1E95F11E" w14:textId="77777777" w:rsidR="004864A9" w:rsidRPr="00B20006" w:rsidRDefault="004864A9" w:rsidP="00425D57">
            <w:pPr>
              <w:tabs>
                <w:tab w:val="clear" w:pos="720"/>
              </w:tabs>
              <w:spacing w:line="240" w:lineRule="auto"/>
              <w:ind w:right="430"/>
              <w:rPr>
                <w:rFonts w:eastAsia="Times New Roman"/>
                <w:sz w:val="24"/>
              </w:rPr>
            </w:pPr>
          </w:p>
        </w:tc>
        <w:tc>
          <w:tcPr>
            <w:tcW w:w="5148" w:type="dxa"/>
          </w:tcPr>
          <w:p w14:paraId="794FE031" w14:textId="77777777" w:rsidR="004864A9" w:rsidRPr="00B20006" w:rsidRDefault="004864A9" w:rsidP="00425D57">
            <w:pPr>
              <w:tabs>
                <w:tab w:val="clear" w:pos="720"/>
              </w:tabs>
              <w:spacing w:line="240" w:lineRule="auto"/>
              <w:ind w:right="430"/>
              <w:rPr>
                <w:rFonts w:eastAsia="Times New Roman"/>
                <w:sz w:val="24"/>
              </w:rPr>
            </w:pPr>
            <w:r w:rsidRPr="00B20006">
              <w:rPr>
                <w:rFonts w:eastAsia="Times New Roman"/>
                <w:sz w:val="24"/>
              </w:rPr>
              <w:t>Monterey Co. Sup. Ct. Case Nos.</w:t>
            </w:r>
          </w:p>
          <w:p w14:paraId="08589EE8" w14:textId="77777777" w:rsidR="004864A9" w:rsidRPr="00B20006" w:rsidRDefault="004864A9" w:rsidP="00425D57">
            <w:pPr>
              <w:tabs>
                <w:tab w:val="clear" w:pos="720"/>
              </w:tabs>
              <w:spacing w:line="240" w:lineRule="auto"/>
              <w:ind w:right="430"/>
              <w:rPr>
                <w:rFonts w:eastAsia="Times New Roman"/>
                <w:sz w:val="24"/>
              </w:rPr>
            </w:pPr>
            <w:r w:rsidRPr="00B20006">
              <w:rPr>
                <w:rFonts w:eastAsia="Times New Roman"/>
                <w:sz w:val="24"/>
              </w:rPr>
              <w:t xml:space="preserve">20CR010763; </w:t>
            </w:r>
            <w:proofErr w:type="gramStart"/>
            <w:r w:rsidRPr="00B20006">
              <w:rPr>
                <w:rFonts w:eastAsia="Times New Roman"/>
                <w:sz w:val="24"/>
              </w:rPr>
              <w:t>20CR008059;</w:t>
            </w:r>
            <w:proofErr w:type="gramEnd"/>
          </w:p>
          <w:p w14:paraId="4AD4DB5C" w14:textId="77777777" w:rsidR="004864A9" w:rsidRPr="00B20006" w:rsidRDefault="004864A9" w:rsidP="00425D57">
            <w:pPr>
              <w:tabs>
                <w:tab w:val="clear" w:pos="720"/>
              </w:tabs>
              <w:spacing w:line="240" w:lineRule="auto"/>
              <w:ind w:right="430"/>
              <w:rPr>
                <w:rFonts w:eastAsia="Times New Roman"/>
                <w:sz w:val="24"/>
              </w:rPr>
            </w:pPr>
            <w:r w:rsidRPr="00B20006">
              <w:rPr>
                <w:rFonts w:eastAsia="Times New Roman"/>
                <w:sz w:val="24"/>
              </w:rPr>
              <w:t xml:space="preserve">21CR000245; </w:t>
            </w:r>
            <w:proofErr w:type="gramStart"/>
            <w:r w:rsidRPr="00B20006">
              <w:rPr>
                <w:rFonts w:eastAsia="Times New Roman"/>
                <w:sz w:val="24"/>
              </w:rPr>
              <w:t>21CR001076;</w:t>
            </w:r>
            <w:proofErr w:type="gramEnd"/>
            <w:r w:rsidRPr="00B20006">
              <w:rPr>
                <w:rFonts w:eastAsia="Times New Roman"/>
                <w:sz w:val="24"/>
              </w:rPr>
              <w:t xml:space="preserve"> </w:t>
            </w:r>
          </w:p>
          <w:p w14:paraId="62F03149" w14:textId="77777777" w:rsidR="004864A9" w:rsidRPr="00B20006" w:rsidRDefault="004864A9" w:rsidP="00425D57">
            <w:pPr>
              <w:tabs>
                <w:tab w:val="clear" w:pos="720"/>
              </w:tabs>
              <w:spacing w:line="240" w:lineRule="auto"/>
              <w:ind w:right="430"/>
              <w:rPr>
                <w:rFonts w:eastAsia="Times New Roman"/>
                <w:sz w:val="24"/>
              </w:rPr>
            </w:pPr>
            <w:r w:rsidRPr="00B20006">
              <w:rPr>
                <w:rFonts w:eastAsia="Times New Roman"/>
                <w:sz w:val="24"/>
              </w:rPr>
              <w:t>21CR001243</w:t>
            </w:r>
          </w:p>
        </w:tc>
      </w:tr>
      <w:tr w:rsidR="00256EB7" w14:paraId="665B5C99" w14:textId="77777777" w:rsidTr="00425D57">
        <w:trPr>
          <w:trHeight w:val="440"/>
        </w:trPr>
        <w:tc>
          <w:tcPr>
            <w:tcW w:w="4428" w:type="dxa"/>
          </w:tcPr>
          <w:p w14:paraId="0EF119E7" w14:textId="77777777" w:rsidR="004864A9" w:rsidRPr="00B20006" w:rsidRDefault="004864A9" w:rsidP="00425D57">
            <w:pPr>
              <w:tabs>
                <w:tab w:val="clear" w:pos="720"/>
              </w:tabs>
              <w:spacing w:line="240" w:lineRule="auto"/>
              <w:ind w:right="430"/>
              <w:rPr>
                <w:rFonts w:eastAsia="Times New Roman"/>
                <w:sz w:val="24"/>
              </w:rPr>
            </w:pPr>
            <w:r w:rsidRPr="00B20006">
              <w:rPr>
                <w:rFonts w:eastAsia="Times New Roman"/>
                <w:sz w:val="24"/>
              </w:rPr>
              <w:t>Trial Judge:</w:t>
            </w:r>
          </w:p>
        </w:tc>
        <w:tc>
          <w:tcPr>
            <w:tcW w:w="5148" w:type="dxa"/>
          </w:tcPr>
          <w:p w14:paraId="527B7C46" w14:textId="77777777" w:rsidR="004864A9" w:rsidRPr="00B20006" w:rsidRDefault="004864A9" w:rsidP="00425D57">
            <w:pPr>
              <w:tabs>
                <w:tab w:val="clear" w:pos="720"/>
              </w:tabs>
              <w:spacing w:line="240" w:lineRule="auto"/>
              <w:ind w:right="430"/>
              <w:rPr>
                <w:rFonts w:eastAsia="Times New Roman"/>
                <w:sz w:val="24"/>
              </w:rPr>
            </w:pPr>
            <w:r w:rsidRPr="00B20006">
              <w:rPr>
                <w:rFonts w:eastAsia="Times New Roman"/>
                <w:sz w:val="24"/>
              </w:rPr>
              <w:t>Hon. Stephanie E. Hulsey</w:t>
            </w:r>
          </w:p>
        </w:tc>
      </w:tr>
      <w:tr w:rsidR="00256EB7" w14:paraId="35F786CA" w14:textId="77777777" w:rsidTr="00425D57">
        <w:tc>
          <w:tcPr>
            <w:tcW w:w="4428" w:type="dxa"/>
          </w:tcPr>
          <w:p w14:paraId="59FC4B3F" w14:textId="77777777" w:rsidR="004864A9" w:rsidRPr="00B20006" w:rsidRDefault="004864A9" w:rsidP="00425D57">
            <w:pPr>
              <w:tabs>
                <w:tab w:val="clear" w:pos="720"/>
              </w:tabs>
              <w:spacing w:line="240" w:lineRule="auto"/>
              <w:ind w:right="430"/>
              <w:rPr>
                <w:rFonts w:eastAsia="Times New Roman"/>
                <w:sz w:val="24"/>
              </w:rPr>
            </w:pPr>
            <w:r w:rsidRPr="00B20006">
              <w:rPr>
                <w:rFonts w:eastAsia="Times New Roman"/>
                <w:sz w:val="24"/>
              </w:rPr>
              <w:t>Attorneys for Plaintiff/Respondent</w:t>
            </w:r>
          </w:p>
          <w:p w14:paraId="3EDF9EC8" w14:textId="77777777" w:rsidR="004864A9" w:rsidRPr="00B20006" w:rsidRDefault="004864A9" w:rsidP="00425D57">
            <w:pPr>
              <w:tabs>
                <w:tab w:val="clear" w:pos="720"/>
              </w:tabs>
              <w:spacing w:line="240" w:lineRule="auto"/>
              <w:ind w:right="430"/>
              <w:rPr>
                <w:rFonts w:eastAsia="Times New Roman"/>
                <w:sz w:val="24"/>
              </w:rPr>
            </w:pPr>
            <w:r w:rsidRPr="00B20006">
              <w:rPr>
                <w:rFonts w:eastAsia="Times New Roman"/>
                <w:sz w:val="24"/>
              </w:rPr>
              <w:t>The People:</w:t>
            </w:r>
          </w:p>
          <w:p w14:paraId="23DB31E7" w14:textId="77777777" w:rsidR="004864A9" w:rsidRPr="00B20006" w:rsidRDefault="004864A9" w:rsidP="00425D57">
            <w:pPr>
              <w:tabs>
                <w:tab w:val="clear" w:pos="720"/>
              </w:tabs>
              <w:spacing w:line="240" w:lineRule="auto"/>
              <w:ind w:right="430"/>
              <w:rPr>
                <w:rFonts w:eastAsia="Times New Roman"/>
                <w:sz w:val="24"/>
              </w:rPr>
            </w:pPr>
          </w:p>
        </w:tc>
        <w:tc>
          <w:tcPr>
            <w:tcW w:w="5148" w:type="dxa"/>
          </w:tcPr>
          <w:p w14:paraId="2B163D31" w14:textId="77777777" w:rsidR="004864A9" w:rsidRPr="00B20006" w:rsidRDefault="004864A9" w:rsidP="00425D57">
            <w:pPr>
              <w:tabs>
                <w:tab w:val="clear" w:pos="720"/>
              </w:tabs>
              <w:spacing w:line="240" w:lineRule="auto"/>
              <w:rPr>
                <w:rFonts w:eastAsia="Times New Roman"/>
                <w:sz w:val="24"/>
              </w:rPr>
            </w:pPr>
            <w:r w:rsidRPr="00B20006">
              <w:rPr>
                <w:rFonts w:eastAsia="Times New Roman"/>
                <w:sz w:val="24"/>
              </w:rPr>
              <w:t xml:space="preserve">Ron Bonta </w:t>
            </w:r>
          </w:p>
          <w:p w14:paraId="0F364537" w14:textId="77777777" w:rsidR="004864A9" w:rsidRPr="00B20006" w:rsidRDefault="004864A9" w:rsidP="00425D57">
            <w:pPr>
              <w:tabs>
                <w:tab w:val="clear" w:pos="720"/>
              </w:tabs>
              <w:spacing w:line="240" w:lineRule="auto"/>
              <w:rPr>
                <w:rFonts w:eastAsia="Times New Roman"/>
                <w:sz w:val="24"/>
              </w:rPr>
            </w:pPr>
            <w:r w:rsidRPr="00B20006">
              <w:rPr>
                <w:rFonts w:eastAsia="Times New Roman"/>
                <w:sz w:val="24"/>
              </w:rPr>
              <w:t xml:space="preserve">  Attorney General of California </w:t>
            </w:r>
          </w:p>
          <w:p w14:paraId="3009FC3D" w14:textId="77777777" w:rsidR="004864A9" w:rsidRPr="00B20006" w:rsidRDefault="004864A9" w:rsidP="00425D57">
            <w:pPr>
              <w:tabs>
                <w:tab w:val="clear" w:pos="720"/>
              </w:tabs>
              <w:spacing w:line="240" w:lineRule="auto"/>
              <w:rPr>
                <w:rFonts w:eastAsia="Times New Roman"/>
                <w:sz w:val="24"/>
              </w:rPr>
            </w:pPr>
            <w:r w:rsidRPr="00B20006">
              <w:rPr>
                <w:rFonts w:eastAsia="Times New Roman"/>
                <w:sz w:val="24"/>
              </w:rPr>
              <w:t xml:space="preserve">Lance E. Winters </w:t>
            </w:r>
          </w:p>
          <w:p w14:paraId="0A1E7EEA" w14:textId="77777777" w:rsidR="004864A9" w:rsidRPr="00B20006" w:rsidRDefault="004864A9" w:rsidP="00425D57">
            <w:pPr>
              <w:tabs>
                <w:tab w:val="clear" w:pos="720"/>
              </w:tabs>
              <w:spacing w:line="240" w:lineRule="auto"/>
              <w:rPr>
                <w:rFonts w:eastAsia="Times New Roman"/>
                <w:sz w:val="24"/>
              </w:rPr>
            </w:pPr>
            <w:r w:rsidRPr="00B20006">
              <w:rPr>
                <w:rFonts w:eastAsia="Times New Roman"/>
                <w:sz w:val="24"/>
              </w:rPr>
              <w:t xml:space="preserve">  Chief Assistant Attorney General</w:t>
            </w:r>
          </w:p>
          <w:p w14:paraId="4EF786D0" w14:textId="77777777" w:rsidR="004864A9" w:rsidRPr="00B20006" w:rsidRDefault="004864A9" w:rsidP="00425D57">
            <w:pPr>
              <w:tabs>
                <w:tab w:val="clear" w:pos="720"/>
              </w:tabs>
              <w:spacing w:line="240" w:lineRule="auto"/>
              <w:rPr>
                <w:rFonts w:eastAsia="Times New Roman"/>
                <w:sz w:val="24"/>
              </w:rPr>
            </w:pPr>
            <w:r w:rsidRPr="00B20006">
              <w:rPr>
                <w:rFonts w:eastAsia="Times New Roman"/>
                <w:sz w:val="24"/>
              </w:rPr>
              <w:t>Jeffrey M. Laurence</w:t>
            </w:r>
          </w:p>
          <w:p w14:paraId="08FBAF0F" w14:textId="77777777" w:rsidR="004864A9" w:rsidRPr="00B20006" w:rsidRDefault="004864A9" w:rsidP="00425D57">
            <w:pPr>
              <w:tabs>
                <w:tab w:val="clear" w:pos="720"/>
              </w:tabs>
              <w:spacing w:line="240" w:lineRule="auto"/>
              <w:rPr>
                <w:rFonts w:eastAsia="Times New Roman"/>
                <w:sz w:val="24"/>
              </w:rPr>
            </w:pPr>
            <w:r w:rsidRPr="00B20006">
              <w:rPr>
                <w:rFonts w:eastAsia="Times New Roman"/>
                <w:sz w:val="24"/>
              </w:rPr>
              <w:t xml:space="preserve">  Senior Assistant Attorney General</w:t>
            </w:r>
          </w:p>
          <w:p w14:paraId="3A778F97" w14:textId="77777777" w:rsidR="004864A9" w:rsidRPr="00B20006" w:rsidRDefault="004864A9" w:rsidP="00425D57">
            <w:pPr>
              <w:tabs>
                <w:tab w:val="clear" w:pos="720"/>
              </w:tabs>
              <w:spacing w:line="240" w:lineRule="auto"/>
              <w:rPr>
                <w:rFonts w:eastAsia="Times New Roman"/>
                <w:sz w:val="24"/>
              </w:rPr>
            </w:pPr>
            <w:r w:rsidRPr="00B20006">
              <w:rPr>
                <w:rFonts w:eastAsia="Times New Roman"/>
                <w:sz w:val="24"/>
              </w:rPr>
              <w:t>Amit Kurlekar</w:t>
            </w:r>
          </w:p>
          <w:p w14:paraId="17CC7617" w14:textId="77777777" w:rsidR="004864A9" w:rsidRPr="00B20006" w:rsidRDefault="004864A9" w:rsidP="00425D57">
            <w:pPr>
              <w:tabs>
                <w:tab w:val="clear" w:pos="720"/>
              </w:tabs>
              <w:spacing w:line="240" w:lineRule="auto"/>
              <w:rPr>
                <w:rFonts w:eastAsia="Times New Roman"/>
                <w:sz w:val="24"/>
              </w:rPr>
            </w:pPr>
            <w:r w:rsidRPr="00B20006">
              <w:rPr>
                <w:rFonts w:eastAsia="Times New Roman"/>
                <w:sz w:val="24"/>
              </w:rPr>
              <w:t xml:space="preserve">  Deputy Attorney General</w:t>
            </w:r>
          </w:p>
          <w:p w14:paraId="19DB08DB" w14:textId="77777777" w:rsidR="004864A9" w:rsidRPr="00B20006" w:rsidRDefault="004864A9" w:rsidP="00425D57">
            <w:pPr>
              <w:tabs>
                <w:tab w:val="clear" w:pos="720"/>
              </w:tabs>
              <w:spacing w:line="240" w:lineRule="auto"/>
              <w:rPr>
                <w:rFonts w:eastAsia="Times New Roman"/>
                <w:sz w:val="24"/>
              </w:rPr>
            </w:pPr>
            <w:r w:rsidRPr="00B20006">
              <w:rPr>
                <w:rFonts w:eastAsia="Times New Roman"/>
                <w:sz w:val="24"/>
              </w:rPr>
              <w:t xml:space="preserve">Victoria </w:t>
            </w:r>
            <w:proofErr w:type="spellStart"/>
            <w:r w:rsidRPr="00B20006">
              <w:rPr>
                <w:rFonts w:eastAsia="Times New Roman"/>
                <w:sz w:val="24"/>
              </w:rPr>
              <w:t>Ratnikova</w:t>
            </w:r>
            <w:proofErr w:type="spellEnd"/>
          </w:p>
          <w:p w14:paraId="02EF6B64" w14:textId="77777777" w:rsidR="004864A9" w:rsidRPr="00B20006" w:rsidRDefault="004864A9" w:rsidP="00425D57">
            <w:pPr>
              <w:tabs>
                <w:tab w:val="clear" w:pos="720"/>
              </w:tabs>
              <w:spacing w:line="240" w:lineRule="auto"/>
              <w:rPr>
                <w:rFonts w:eastAsia="Times New Roman"/>
                <w:sz w:val="24"/>
              </w:rPr>
            </w:pPr>
            <w:r w:rsidRPr="00B20006">
              <w:rPr>
                <w:rFonts w:eastAsia="Times New Roman"/>
                <w:sz w:val="24"/>
              </w:rPr>
              <w:t xml:space="preserve">  Deputy Attorney General</w:t>
            </w:r>
          </w:p>
        </w:tc>
      </w:tr>
      <w:tr w:rsidR="00256EB7" w14:paraId="0E529362" w14:textId="77777777" w:rsidTr="00425D57">
        <w:tc>
          <w:tcPr>
            <w:tcW w:w="4428" w:type="dxa"/>
          </w:tcPr>
          <w:p w14:paraId="73FAB458" w14:textId="77777777" w:rsidR="004864A9" w:rsidRPr="00B20006" w:rsidRDefault="004864A9" w:rsidP="00425D57">
            <w:pPr>
              <w:tabs>
                <w:tab w:val="clear" w:pos="720"/>
              </w:tabs>
              <w:spacing w:line="240" w:lineRule="auto"/>
              <w:ind w:right="430"/>
              <w:rPr>
                <w:rFonts w:eastAsia="Times New Roman"/>
                <w:sz w:val="24"/>
              </w:rPr>
            </w:pPr>
            <w:r w:rsidRPr="00B20006">
              <w:rPr>
                <w:rFonts w:eastAsia="Times New Roman"/>
                <w:sz w:val="24"/>
              </w:rPr>
              <w:t>Attorneys for Defendant/Appellant</w:t>
            </w:r>
          </w:p>
          <w:p w14:paraId="73E59751" w14:textId="77777777" w:rsidR="004864A9" w:rsidRPr="00B20006" w:rsidRDefault="004864A9" w:rsidP="00425D57">
            <w:pPr>
              <w:tabs>
                <w:tab w:val="clear" w:pos="720"/>
              </w:tabs>
              <w:spacing w:line="240" w:lineRule="auto"/>
              <w:ind w:right="430"/>
              <w:rPr>
                <w:rFonts w:eastAsia="Times New Roman"/>
                <w:sz w:val="24"/>
              </w:rPr>
            </w:pPr>
            <w:r w:rsidRPr="00B20006">
              <w:rPr>
                <w:rFonts w:eastAsia="Times New Roman"/>
                <w:sz w:val="24"/>
              </w:rPr>
              <w:t>Christopher Cofer</w:t>
            </w:r>
            <w:r>
              <w:rPr>
                <w:rFonts w:eastAsia="Times New Roman"/>
                <w:sz w:val="24"/>
              </w:rPr>
              <w:t>:</w:t>
            </w:r>
          </w:p>
          <w:p w14:paraId="49EAE84D" w14:textId="77777777" w:rsidR="004864A9" w:rsidRPr="00B20006" w:rsidRDefault="004864A9" w:rsidP="00425D57">
            <w:pPr>
              <w:tabs>
                <w:tab w:val="clear" w:pos="720"/>
              </w:tabs>
              <w:spacing w:line="240" w:lineRule="auto"/>
              <w:ind w:right="430"/>
              <w:rPr>
                <w:rFonts w:eastAsia="Times New Roman"/>
                <w:sz w:val="24"/>
              </w:rPr>
            </w:pPr>
          </w:p>
        </w:tc>
        <w:tc>
          <w:tcPr>
            <w:tcW w:w="5148" w:type="dxa"/>
          </w:tcPr>
          <w:p w14:paraId="53DE9EC6" w14:textId="77777777" w:rsidR="004864A9" w:rsidRDefault="004864A9" w:rsidP="00425D57">
            <w:pPr>
              <w:tabs>
                <w:tab w:val="clear" w:pos="720"/>
              </w:tabs>
              <w:spacing w:line="240" w:lineRule="auto"/>
              <w:ind w:right="430"/>
              <w:rPr>
                <w:rFonts w:eastAsia="Times New Roman"/>
                <w:sz w:val="24"/>
              </w:rPr>
            </w:pPr>
            <w:r w:rsidRPr="00B20006">
              <w:rPr>
                <w:rFonts w:eastAsia="Times New Roman"/>
                <w:sz w:val="24"/>
              </w:rPr>
              <w:t>Mary Jo Strnad</w:t>
            </w:r>
          </w:p>
          <w:p w14:paraId="1E7DF2BD" w14:textId="77777777" w:rsidR="004864A9" w:rsidRPr="00B20006" w:rsidRDefault="004864A9" w:rsidP="00425D57">
            <w:pPr>
              <w:tabs>
                <w:tab w:val="clear" w:pos="720"/>
              </w:tabs>
              <w:spacing w:line="240" w:lineRule="auto"/>
              <w:ind w:right="430"/>
              <w:rPr>
                <w:rFonts w:eastAsia="Times New Roman"/>
                <w:sz w:val="24"/>
              </w:rPr>
            </w:pPr>
            <w:r>
              <w:rPr>
                <w:rFonts w:eastAsia="Times New Roman"/>
                <w:sz w:val="24"/>
              </w:rPr>
              <w:t xml:space="preserve">By Appointment from the Sixth District Appellate Program </w:t>
            </w:r>
          </w:p>
          <w:p w14:paraId="60D60A36" w14:textId="77777777" w:rsidR="004864A9" w:rsidRPr="00B20006" w:rsidRDefault="004864A9" w:rsidP="00425D57">
            <w:pPr>
              <w:tabs>
                <w:tab w:val="clear" w:pos="720"/>
              </w:tabs>
              <w:spacing w:line="240" w:lineRule="auto"/>
              <w:ind w:right="430"/>
              <w:rPr>
                <w:rFonts w:eastAsia="Times New Roman"/>
                <w:sz w:val="24"/>
              </w:rPr>
            </w:pPr>
          </w:p>
        </w:tc>
      </w:tr>
      <w:bookmarkEnd w:id="2"/>
    </w:tbl>
    <w:p w14:paraId="10ECE14F" w14:textId="77777777" w:rsidR="004864A9" w:rsidRPr="00B20006" w:rsidRDefault="004864A9" w:rsidP="00320244">
      <w:pPr>
        <w:tabs>
          <w:tab w:val="clear" w:pos="720"/>
        </w:tabs>
        <w:spacing w:line="240" w:lineRule="auto"/>
        <w:rPr>
          <w:rFonts w:eastAsia="Times New Roman"/>
          <w:sz w:val="24"/>
        </w:rPr>
      </w:pPr>
    </w:p>
    <w:sectPr w:rsidR="00320244" w:rsidRPr="00B20006" w:rsidSect="008E111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A3D0D0" w14:textId="77777777" w:rsidR="004864A9" w:rsidRDefault="004864A9">
      <w:pPr>
        <w:spacing w:line="240" w:lineRule="auto"/>
      </w:pPr>
      <w:r>
        <w:separator/>
      </w:r>
    </w:p>
  </w:endnote>
  <w:endnote w:type="continuationSeparator" w:id="0">
    <w:p w14:paraId="3F95C49B" w14:textId="77777777" w:rsidR="004864A9" w:rsidRDefault="004864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7761181"/>
      <w:docPartObj>
        <w:docPartGallery w:val="Page Numbers (Bottom of Page)"/>
        <w:docPartUnique/>
      </w:docPartObj>
    </w:sdtPr>
    <w:sdtEndPr>
      <w:rPr>
        <w:noProof/>
      </w:rPr>
    </w:sdtEndPr>
    <w:sdtContent>
      <w:p w14:paraId="098B0CD9" w14:textId="77777777" w:rsidR="004864A9" w:rsidRDefault="004864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7888EB" w14:textId="77777777" w:rsidR="004864A9" w:rsidRDefault="00486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17285" w14:textId="77777777" w:rsidR="004864A9" w:rsidRDefault="004864A9">
    <w:pPr>
      <w:pStyle w:val="Footer"/>
      <w:jc w:val="center"/>
    </w:pPr>
  </w:p>
  <w:p w14:paraId="16333A53" w14:textId="77777777" w:rsidR="004864A9" w:rsidRDefault="004864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51387267"/>
      <w:docPartObj>
        <w:docPartGallery w:val="Page Numbers (Bottom of Page)"/>
        <w:docPartUnique/>
      </w:docPartObj>
    </w:sdtPr>
    <w:sdtEndPr>
      <w:rPr>
        <w:noProof/>
        <w:szCs w:val="26"/>
      </w:rPr>
    </w:sdtEndPr>
    <w:sdtContent>
      <w:p w14:paraId="37E18C5D" w14:textId="77777777" w:rsidR="004864A9" w:rsidRPr="00AA3C29" w:rsidRDefault="004864A9">
        <w:pPr>
          <w:pStyle w:val="Footer"/>
          <w:jc w:val="center"/>
          <w:rPr>
            <w:szCs w:val="26"/>
          </w:rPr>
        </w:pPr>
        <w:r w:rsidRPr="00AA3C29">
          <w:rPr>
            <w:szCs w:val="26"/>
          </w:rPr>
          <w:fldChar w:fldCharType="begin"/>
        </w:r>
        <w:r w:rsidRPr="00AA3C29">
          <w:rPr>
            <w:szCs w:val="26"/>
          </w:rPr>
          <w:instrText xml:space="preserve"> PAGE   \* MERGEFORMAT </w:instrText>
        </w:r>
        <w:r w:rsidRPr="00AA3C29">
          <w:rPr>
            <w:szCs w:val="26"/>
          </w:rPr>
          <w:fldChar w:fldCharType="separate"/>
        </w:r>
        <w:r w:rsidRPr="00AA3C29">
          <w:rPr>
            <w:noProof/>
            <w:szCs w:val="26"/>
          </w:rPr>
          <w:t>2</w:t>
        </w:r>
        <w:r w:rsidRPr="00AA3C29">
          <w:rPr>
            <w:noProof/>
            <w:szCs w:val="26"/>
          </w:rPr>
          <w:fldChar w:fldCharType="end"/>
        </w:r>
      </w:p>
    </w:sdtContent>
  </w:sdt>
  <w:p w14:paraId="62D29C7B" w14:textId="77777777" w:rsidR="004864A9" w:rsidRDefault="004864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5140D7" w14:textId="77777777" w:rsidR="004864A9" w:rsidRPr="00AA3C29" w:rsidRDefault="004864A9">
    <w:pPr>
      <w:pStyle w:val="Footer"/>
      <w:jc w:val="center"/>
      <w:rPr>
        <w:szCs w:val="26"/>
      </w:rPr>
    </w:pPr>
  </w:p>
  <w:p w14:paraId="46313EFD" w14:textId="77777777" w:rsidR="004864A9" w:rsidRDefault="00486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38216A" w14:textId="77777777" w:rsidR="004864A9" w:rsidRDefault="004864A9" w:rsidP="008E111B">
      <w:pPr>
        <w:spacing w:line="240" w:lineRule="auto"/>
      </w:pPr>
      <w:r>
        <w:separator/>
      </w:r>
    </w:p>
  </w:footnote>
  <w:footnote w:type="continuationSeparator" w:id="0">
    <w:p w14:paraId="2EA7B415" w14:textId="77777777" w:rsidR="004864A9" w:rsidRDefault="004864A9" w:rsidP="008E111B">
      <w:pPr>
        <w:spacing w:line="240" w:lineRule="auto"/>
      </w:pPr>
      <w:r>
        <w:continuationSeparator/>
      </w:r>
    </w:p>
  </w:footnote>
  <w:footnote w:type="continuationNotice" w:id="1">
    <w:p w14:paraId="0AE90055" w14:textId="77777777" w:rsidR="004864A9" w:rsidRPr="00317ADE" w:rsidRDefault="004864A9" w:rsidP="00317ADE">
      <w:pPr>
        <w:spacing w:line="240" w:lineRule="auto"/>
        <w:jc w:val="right"/>
        <w:rPr>
          <w:sz w:val="20"/>
          <w:szCs w:val="20"/>
        </w:rPr>
      </w:pPr>
      <w:r w:rsidRPr="00317ADE">
        <w:rPr>
          <w:sz w:val="20"/>
          <w:szCs w:val="20"/>
        </w:rPr>
        <w:t>(</w:t>
      </w:r>
      <w:r w:rsidRPr="00317ADE">
        <w:rPr>
          <w:i/>
          <w:iCs/>
          <w:sz w:val="20"/>
          <w:szCs w:val="20"/>
        </w:rPr>
        <w:t>Continued</w:t>
      </w:r>
      <w:r w:rsidRPr="00317ADE">
        <w:rPr>
          <w:sz w:val="20"/>
          <w:szCs w:val="20"/>
        </w:rPr>
        <w:t>)</w:t>
      </w:r>
    </w:p>
  </w:footnote>
  <w:footnote w:id="2">
    <w:p w14:paraId="5D33A206" w14:textId="77777777" w:rsidR="004864A9" w:rsidRPr="00D45B58" w:rsidRDefault="004864A9" w:rsidP="00A976E0">
      <w:pPr>
        <w:spacing w:line="240" w:lineRule="auto"/>
        <w:rPr>
          <w:rFonts w:eastAsia="Times New Roman"/>
          <w:szCs w:val="26"/>
        </w:rPr>
      </w:pPr>
      <w:r w:rsidRPr="00D45B58">
        <w:rPr>
          <w:szCs w:val="26"/>
        </w:rPr>
        <w:tab/>
      </w:r>
      <w:r w:rsidRPr="00D45B58">
        <w:rPr>
          <w:rStyle w:val="FootnoteReference"/>
          <w:szCs w:val="26"/>
        </w:rPr>
        <w:footnoteRef/>
      </w:r>
      <w:r w:rsidRPr="00D45B58">
        <w:rPr>
          <w:szCs w:val="26"/>
        </w:rPr>
        <w:t xml:space="preserve"> </w:t>
      </w:r>
      <w:r w:rsidRPr="00D45B58">
        <w:rPr>
          <w:szCs w:val="26"/>
        </w:rPr>
        <w:t xml:space="preserve"> </w:t>
      </w:r>
      <w:r w:rsidRPr="00D45B58">
        <w:rPr>
          <w:rFonts w:eastAsia="Times New Roman"/>
          <w:szCs w:val="26"/>
        </w:rPr>
        <w:t xml:space="preserve">In case A, the court dismissed the prior strike allegation on the prosecution’s motion and Cofer pleaded no contest to vehicle burglary in exchange for a sentence of two years, to run concurrent with the term to be imposed in case B.  In case B, Cofer pleaded no contest to vehicle burglary and admitted the prior strike allegation in exchange for a sentence of six years.  In case C, Cofer pleaded no contest to </w:t>
      </w:r>
      <w:r>
        <w:rPr>
          <w:rFonts w:eastAsia="Times New Roman"/>
          <w:szCs w:val="26"/>
        </w:rPr>
        <w:t xml:space="preserve">second degree </w:t>
      </w:r>
      <w:r w:rsidRPr="00D45B58">
        <w:rPr>
          <w:rFonts w:eastAsia="Times New Roman"/>
          <w:szCs w:val="26"/>
        </w:rPr>
        <w:t xml:space="preserve">burglary in exchange for a two-year term to run concurrent with the sentence in case </w:t>
      </w:r>
      <w:r w:rsidRPr="00D45B58">
        <w:rPr>
          <w:rFonts w:eastAsia="Times New Roman"/>
          <w:szCs w:val="26"/>
        </w:rPr>
        <w:t xml:space="preserve">B, and the trial court struck the prior strike allegation at the request of the prosecution.  In cases D and E, the court granted the prosecution’s motion to add a misdemeanor burglary charge (§ 459), and Cofer pleaded no contest to </w:t>
      </w:r>
      <w:r w:rsidRPr="00D45B58">
        <w:rPr>
          <w:rFonts w:eastAsia="Times New Roman"/>
          <w:szCs w:val="26"/>
        </w:rPr>
        <w:t xml:space="preserve">the </w:t>
      </w:r>
      <w:r w:rsidRPr="00D45B58">
        <w:rPr>
          <w:rFonts w:eastAsia="Times New Roman"/>
          <w:szCs w:val="26"/>
        </w:rPr>
        <w:t>amended counts in exchange for a one-year jail term in each case, concurrent with the term imposed in case B.  Remaining counts in all cases were dismissed on the prosecution’s motion, as agreed by the parties.</w:t>
      </w:r>
    </w:p>
    <w:p w14:paraId="20DBBAEA" w14:textId="77777777" w:rsidR="004864A9" w:rsidRPr="00C020CE" w:rsidRDefault="004864A9" w:rsidP="00A976E0">
      <w:pPr>
        <w:pStyle w:val="FootnoteText"/>
        <w:rPr>
          <w:sz w:val="26"/>
          <w:szCs w:val="26"/>
        </w:rPr>
      </w:pPr>
    </w:p>
  </w:footnote>
  <w:footnote w:id="3">
    <w:p w14:paraId="289E6AB7" w14:textId="77777777" w:rsidR="004864A9" w:rsidRPr="00C020CE" w:rsidRDefault="004864A9" w:rsidP="0060368D">
      <w:pPr>
        <w:pStyle w:val="FootnoteText"/>
        <w:rPr>
          <w:sz w:val="26"/>
          <w:szCs w:val="26"/>
        </w:rPr>
      </w:pPr>
      <w:r w:rsidRPr="00C020CE">
        <w:rPr>
          <w:sz w:val="26"/>
          <w:szCs w:val="26"/>
        </w:rPr>
        <w:tab/>
      </w:r>
      <w:r w:rsidRPr="00C020CE">
        <w:rPr>
          <w:rStyle w:val="FootnoteReference"/>
          <w:sz w:val="26"/>
          <w:szCs w:val="26"/>
        </w:rPr>
        <w:footnoteRef/>
      </w:r>
      <w:r w:rsidRPr="00C020CE">
        <w:rPr>
          <w:sz w:val="26"/>
          <w:szCs w:val="26"/>
        </w:rPr>
        <w:t xml:space="preserve">  At our invitation, the parties submitted briefs on some of the legislative history of section 2900.5, subdivision (b), specifically a 1976 amendment which changed text in the first sentence of that subdivision from “charges arising from the same criminal act or acts” to “proceedings related to the same conduct.”  (Assem</w:t>
      </w:r>
      <w:r>
        <w:rPr>
          <w:sz w:val="26"/>
          <w:szCs w:val="26"/>
        </w:rPr>
        <w:t>.</w:t>
      </w:r>
      <w:r w:rsidRPr="00C020CE">
        <w:rPr>
          <w:sz w:val="26"/>
          <w:szCs w:val="26"/>
        </w:rPr>
        <w:t xml:space="preserve"> Bill No. 3653 </w:t>
      </w:r>
      <w:r>
        <w:rPr>
          <w:sz w:val="26"/>
          <w:szCs w:val="26"/>
        </w:rPr>
        <w:t>(</w:t>
      </w:r>
      <w:r w:rsidRPr="00C020CE">
        <w:rPr>
          <w:sz w:val="26"/>
          <w:szCs w:val="26"/>
        </w:rPr>
        <w:t>1975–1976 Reg. Sess.</w:t>
      </w:r>
      <w:r>
        <w:rPr>
          <w:sz w:val="26"/>
          <w:szCs w:val="26"/>
        </w:rPr>
        <w:t>)</w:t>
      </w:r>
      <w:r w:rsidRPr="00C020CE">
        <w:rPr>
          <w:sz w:val="26"/>
          <w:szCs w:val="26"/>
        </w:rPr>
        <w:t xml:space="preserve"> §</w:t>
      </w:r>
      <w:r>
        <w:rPr>
          <w:sz w:val="26"/>
          <w:szCs w:val="26"/>
        </w:rPr>
        <w:t> </w:t>
      </w:r>
      <w:r w:rsidRPr="00C020CE">
        <w:rPr>
          <w:sz w:val="26"/>
          <w:szCs w:val="26"/>
        </w:rPr>
        <w:t xml:space="preserve">2.)  We acknowledge the analyses offered by the parties in support of their respective interpretations. </w:t>
      </w:r>
      <w:r>
        <w:rPr>
          <w:sz w:val="26"/>
          <w:szCs w:val="26"/>
        </w:rPr>
        <w:t xml:space="preserve"> </w:t>
      </w:r>
      <w:r w:rsidRPr="00C020CE">
        <w:rPr>
          <w:sz w:val="26"/>
          <w:szCs w:val="26"/>
        </w:rPr>
        <w:t>We conclude, however, that the 1976 amendm</w:t>
      </w:r>
      <w:r w:rsidRPr="00C020CE">
        <w:rPr>
          <w:sz w:val="26"/>
          <w:szCs w:val="26"/>
        </w:rPr>
        <w:t>ent does not reveal the Legislature’s intent regarding the award of credits in circumstances such as those presented here.</w:t>
      </w:r>
    </w:p>
  </w:footnote>
  <w:footnote w:id="4">
    <w:p w14:paraId="6070C1CD" w14:textId="77777777" w:rsidR="004864A9" w:rsidRPr="006E4D85" w:rsidRDefault="004864A9" w:rsidP="00A317E5">
      <w:pPr>
        <w:pStyle w:val="FootnoteText"/>
        <w:spacing w:after="240"/>
        <w:ind w:firstLine="720"/>
        <w:rPr>
          <w:sz w:val="26"/>
          <w:szCs w:val="26"/>
        </w:rPr>
      </w:pPr>
      <w:r w:rsidRPr="006E4D85">
        <w:rPr>
          <w:rStyle w:val="FootnoteReference"/>
          <w:sz w:val="26"/>
          <w:szCs w:val="26"/>
        </w:rPr>
        <w:footnoteRef/>
      </w:r>
      <w:r w:rsidRPr="006E4D85">
        <w:rPr>
          <w:sz w:val="26"/>
          <w:szCs w:val="26"/>
        </w:rPr>
        <w:t xml:space="preserve"> Undesignated statutory references are to the Penal Code.</w:t>
      </w:r>
      <w:r>
        <w:rPr>
          <w:sz w:val="26"/>
          <w:szCs w:val="26"/>
        </w:rPr>
        <w:t xml:space="preserve">  </w:t>
      </w:r>
    </w:p>
  </w:footnote>
  <w:footnote w:id="5">
    <w:p w14:paraId="60C7AEB6" w14:textId="77777777" w:rsidR="004864A9" w:rsidRPr="004A57DC" w:rsidRDefault="004864A9" w:rsidP="00A317E5">
      <w:pPr>
        <w:pStyle w:val="FootnoteText"/>
        <w:spacing w:after="240"/>
        <w:ind w:firstLine="720"/>
        <w:rPr>
          <w:sz w:val="26"/>
          <w:szCs w:val="26"/>
        </w:rPr>
      </w:pPr>
      <w:r w:rsidRPr="004A57DC">
        <w:rPr>
          <w:rStyle w:val="FootnoteReference"/>
          <w:sz w:val="26"/>
          <w:szCs w:val="26"/>
        </w:rPr>
        <w:footnoteRef/>
      </w:r>
      <w:r w:rsidRPr="004A57DC">
        <w:rPr>
          <w:sz w:val="26"/>
          <w:szCs w:val="26"/>
        </w:rPr>
        <w:t xml:space="preserve"> Cofer’s attorney, having earlier conveyed Cofer’s objection to the calculation of credits on case B</w:t>
      </w:r>
      <w:r>
        <w:rPr>
          <w:sz w:val="26"/>
          <w:szCs w:val="26"/>
        </w:rPr>
        <w:t>,</w:t>
      </w:r>
      <w:r w:rsidRPr="004A57DC">
        <w:rPr>
          <w:sz w:val="26"/>
          <w:szCs w:val="26"/>
        </w:rPr>
        <w:t xml:space="preserve"> neither confirmed nor denied Cofer’s claim.  The record reflects that Cofer moved unsuccessfully for release on his own recognizance in cases D and E a month after his rearrest.  </w:t>
      </w:r>
      <w:r>
        <w:rPr>
          <w:sz w:val="26"/>
          <w:szCs w:val="26"/>
        </w:rPr>
        <w:t>The record on appeal does not disclose whether counsel might have negotiated a disposition that would have swapped the parties’ treatment of cases B and C, for example,</w:t>
      </w:r>
      <w:r w:rsidRPr="00DF3DBD">
        <w:rPr>
          <w:sz w:val="26"/>
          <w:szCs w:val="26"/>
        </w:rPr>
        <w:t xml:space="preserve"> </w:t>
      </w:r>
      <w:r>
        <w:rPr>
          <w:sz w:val="26"/>
          <w:szCs w:val="26"/>
        </w:rPr>
        <w:t xml:space="preserve">to ensure that the case resulting in the longest of the concurrent sentences was one in which Cofer had spent substantially more time in custody.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C2482"/>
    <w:multiLevelType w:val="hybridMultilevel"/>
    <w:tmpl w:val="8EA6EBBA"/>
    <w:lvl w:ilvl="0" w:tplc="9A2ACC12">
      <w:start w:val="1"/>
      <w:numFmt w:val="lowerLetter"/>
      <w:pStyle w:val="Title"/>
      <w:lvlText w:val="%1."/>
      <w:lvlJc w:val="left"/>
      <w:pPr>
        <w:ind w:left="720" w:hanging="360"/>
      </w:pPr>
    </w:lvl>
    <w:lvl w:ilvl="1" w:tplc="6452F33C" w:tentative="1">
      <w:start w:val="1"/>
      <w:numFmt w:val="lowerLetter"/>
      <w:lvlText w:val="%2."/>
      <w:lvlJc w:val="left"/>
      <w:pPr>
        <w:ind w:left="1440" w:hanging="360"/>
      </w:pPr>
    </w:lvl>
    <w:lvl w:ilvl="2" w:tplc="E5C20AA0" w:tentative="1">
      <w:start w:val="1"/>
      <w:numFmt w:val="lowerRoman"/>
      <w:lvlText w:val="%3."/>
      <w:lvlJc w:val="right"/>
      <w:pPr>
        <w:ind w:left="2160" w:hanging="180"/>
      </w:pPr>
    </w:lvl>
    <w:lvl w:ilvl="3" w:tplc="06E0237C" w:tentative="1">
      <w:start w:val="1"/>
      <w:numFmt w:val="decimal"/>
      <w:lvlText w:val="%4."/>
      <w:lvlJc w:val="left"/>
      <w:pPr>
        <w:ind w:left="2880" w:hanging="360"/>
      </w:pPr>
    </w:lvl>
    <w:lvl w:ilvl="4" w:tplc="AFD2A6F4" w:tentative="1">
      <w:start w:val="1"/>
      <w:numFmt w:val="lowerLetter"/>
      <w:lvlText w:val="%5."/>
      <w:lvlJc w:val="left"/>
      <w:pPr>
        <w:ind w:left="3600" w:hanging="360"/>
      </w:pPr>
    </w:lvl>
    <w:lvl w:ilvl="5" w:tplc="80DE5064" w:tentative="1">
      <w:start w:val="1"/>
      <w:numFmt w:val="lowerRoman"/>
      <w:lvlText w:val="%6."/>
      <w:lvlJc w:val="right"/>
      <w:pPr>
        <w:ind w:left="4320" w:hanging="180"/>
      </w:pPr>
    </w:lvl>
    <w:lvl w:ilvl="6" w:tplc="88524C00" w:tentative="1">
      <w:start w:val="1"/>
      <w:numFmt w:val="decimal"/>
      <w:lvlText w:val="%7."/>
      <w:lvlJc w:val="left"/>
      <w:pPr>
        <w:ind w:left="5040" w:hanging="360"/>
      </w:pPr>
    </w:lvl>
    <w:lvl w:ilvl="7" w:tplc="ED766E9C" w:tentative="1">
      <w:start w:val="1"/>
      <w:numFmt w:val="lowerLetter"/>
      <w:lvlText w:val="%8."/>
      <w:lvlJc w:val="left"/>
      <w:pPr>
        <w:ind w:left="5760" w:hanging="360"/>
      </w:pPr>
    </w:lvl>
    <w:lvl w:ilvl="8" w:tplc="E47ABB22" w:tentative="1">
      <w:start w:val="1"/>
      <w:numFmt w:val="lowerRoman"/>
      <w:lvlText w:val="%9."/>
      <w:lvlJc w:val="right"/>
      <w:pPr>
        <w:ind w:left="6480" w:hanging="180"/>
      </w:pPr>
    </w:lvl>
  </w:abstractNum>
  <w:abstractNum w:abstractNumId="1" w15:restartNumberingAfterBreak="0">
    <w:nsid w:val="0BC9501C"/>
    <w:multiLevelType w:val="hybridMultilevel"/>
    <w:tmpl w:val="EF96ECD8"/>
    <w:lvl w:ilvl="0" w:tplc="E19EF1FC">
      <w:start w:val="1"/>
      <w:numFmt w:val="upperRoman"/>
      <w:pStyle w:val="Heading1"/>
      <w:lvlText w:val="%1."/>
      <w:lvlJc w:val="right"/>
      <w:pPr>
        <w:ind w:left="720" w:hanging="360"/>
      </w:pPr>
    </w:lvl>
    <w:lvl w:ilvl="1" w:tplc="FD648998" w:tentative="1">
      <w:start w:val="1"/>
      <w:numFmt w:val="lowerLetter"/>
      <w:lvlText w:val="%2."/>
      <w:lvlJc w:val="left"/>
      <w:pPr>
        <w:ind w:left="1440" w:hanging="360"/>
      </w:pPr>
    </w:lvl>
    <w:lvl w:ilvl="2" w:tplc="20D845F8" w:tentative="1">
      <w:start w:val="1"/>
      <w:numFmt w:val="lowerRoman"/>
      <w:lvlText w:val="%3."/>
      <w:lvlJc w:val="right"/>
      <w:pPr>
        <w:ind w:left="2160" w:hanging="180"/>
      </w:pPr>
    </w:lvl>
    <w:lvl w:ilvl="3" w:tplc="B68CB94C" w:tentative="1">
      <w:start w:val="1"/>
      <w:numFmt w:val="decimal"/>
      <w:lvlText w:val="%4."/>
      <w:lvlJc w:val="left"/>
      <w:pPr>
        <w:ind w:left="2880" w:hanging="360"/>
      </w:pPr>
    </w:lvl>
    <w:lvl w:ilvl="4" w:tplc="0CE04EFC" w:tentative="1">
      <w:start w:val="1"/>
      <w:numFmt w:val="lowerLetter"/>
      <w:lvlText w:val="%5."/>
      <w:lvlJc w:val="left"/>
      <w:pPr>
        <w:ind w:left="3600" w:hanging="360"/>
      </w:pPr>
    </w:lvl>
    <w:lvl w:ilvl="5" w:tplc="93E05F32" w:tentative="1">
      <w:start w:val="1"/>
      <w:numFmt w:val="lowerRoman"/>
      <w:lvlText w:val="%6."/>
      <w:lvlJc w:val="right"/>
      <w:pPr>
        <w:ind w:left="4320" w:hanging="180"/>
      </w:pPr>
    </w:lvl>
    <w:lvl w:ilvl="6" w:tplc="8F785A28" w:tentative="1">
      <w:start w:val="1"/>
      <w:numFmt w:val="decimal"/>
      <w:lvlText w:val="%7."/>
      <w:lvlJc w:val="left"/>
      <w:pPr>
        <w:ind w:left="5040" w:hanging="360"/>
      </w:pPr>
    </w:lvl>
    <w:lvl w:ilvl="7" w:tplc="07165B7A" w:tentative="1">
      <w:start w:val="1"/>
      <w:numFmt w:val="lowerLetter"/>
      <w:lvlText w:val="%8."/>
      <w:lvlJc w:val="left"/>
      <w:pPr>
        <w:ind w:left="5760" w:hanging="360"/>
      </w:pPr>
    </w:lvl>
    <w:lvl w:ilvl="8" w:tplc="F24CE804" w:tentative="1">
      <w:start w:val="1"/>
      <w:numFmt w:val="lowerRoman"/>
      <w:lvlText w:val="%9."/>
      <w:lvlJc w:val="right"/>
      <w:pPr>
        <w:ind w:left="6480" w:hanging="180"/>
      </w:pPr>
    </w:lvl>
  </w:abstractNum>
  <w:abstractNum w:abstractNumId="2" w15:restartNumberingAfterBreak="0">
    <w:nsid w:val="2A234441"/>
    <w:multiLevelType w:val="hybridMultilevel"/>
    <w:tmpl w:val="69568ACA"/>
    <w:lvl w:ilvl="0" w:tplc="08B45304">
      <w:start w:val="1"/>
      <w:numFmt w:val="lowerRoman"/>
      <w:pStyle w:val="Subtitle"/>
      <w:lvlText w:val="%1."/>
      <w:lvlJc w:val="right"/>
      <w:pPr>
        <w:ind w:left="720" w:hanging="360"/>
      </w:pPr>
    </w:lvl>
    <w:lvl w:ilvl="1" w:tplc="42FC264C" w:tentative="1">
      <w:start w:val="1"/>
      <w:numFmt w:val="lowerLetter"/>
      <w:lvlText w:val="%2."/>
      <w:lvlJc w:val="left"/>
      <w:pPr>
        <w:ind w:left="1440" w:hanging="360"/>
      </w:pPr>
    </w:lvl>
    <w:lvl w:ilvl="2" w:tplc="7F963918" w:tentative="1">
      <w:start w:val="1"/>
      <w:numFmt w:val="lowerRoman"/>
      <w:lvlText w:val="%3."/>
      <w:lvlJc w:val="right"/>
      <w:pPr>
        <w:ind w:left="2160" w:hanging="180"/>
      </w:pPr>
    </w:lvl>
    <w:lvl w:ilvl="3" w:tplc="B896CF24" w:tentative="1">
      <w:start w:val="1"/>
      <w:numFmt w:val="decimal"/>
      <w:lvlText w:val="%4."/>
      <w:lvlJc w:val="left"/>
      <w:pPr>
        <w:ind w:left="2880" w:hanging="360"/>
      </w:pPr>
    </w:lvl>
    <w:lvl w:ilvl="4" w:tplc="39D8891A" w:tentative="1">
      <w:start w:val="1"/>
      <w:numFmt w:val="lowerLetter"/>
      <w:lvlText w:val="%5."/>
      <w:lvlJc w:val="left"/>
      <w:pPr>
        <w:ind w:left="3600" w:hanging="360"/>
      </w:pPr>
    </w:lvl>
    <w:lvl w:ilvl="5" w:tplc="197C1304" w:tentative="1">
      <w:start w:val="1"/>
      <w:numFmt w:val="lowerRoman"/>
      <w:lvlText w:val="%6."/>
      <w:lvlJc w:val="right"/>
      <w:pPr>
        <w:ind w:left="4320" w:hanging="180"/>
      </w:pPr>
    </w:lvl>
    <w:lvl w:ilvl="6" w:tplc="E98AF382" w:tentative="1">
      <w:start w:val="1"/>
      <w:numFmt w:val="decimal"/>
      <w:lvlText w:val="%7."/>
      <w:lvlJc w:val="left"/>
      <w:pPr>
        <w:ind w:left="5040" w:hanging="360"/>
      </w:pPr>
    </w:lvl>
    <w:lvl w:ilvl="7" w:tplc="61F0C262" w:tentative="1">
      <w:start w:val="1"/>
      <w:numFmt w:val="lowerLetter"/>
      <w:lvlText w:val="%8."/>
      <w:lvlJc w:val="left"/>
      <w:pPr>
        <w:ind w:left="5760" w:hanging="360"/>
      </w:pPr>
    </w:lvl>
    <w:lvl w:ilvl="8" w:tplc="B622D3A8" w:tentative="1">
      <w:start w:val="1"/>
      <w:numFmt w:val="lowerRoman"/>
      <w:lvlText w:val="%9."/>
      <w:lvlJc w:val="right"/>
      <w:pPr>
        <w:ind w:left="6480" w:hanging="180"/>
      </w:pPr>
    </w:lvl>
  </w:abstractNum>
  <w:abstractNum w:abstractNumId="3" w15:restartNumberingAfterBreak="0">
    <w:nsid w:val="36872084"/>
    <w:multiLevelType w:val="hybridMultilevel"/>
    <w:tmpl w:val="26AAC960"/>
    <w:lvl w:ilvl="0" w:tplc="CD2CC062">
      <w:start w:val="1"/>
      <w:numFmt w:val="upperLetter"/>
      <w:pStyle w:val="Heading2"/>
      <w:lvlText w:val="%1."/>
      <w:lvlJc w:val="left"/>
      <w:pPr>
        <w:ind w:left="720" w:hanging="360"/>
      </w:pPr>
    </w:lvl>
    <w:lvl w:ilvl="1" w:tplc="126E57F6" w:tentative="1">
      <w:start w:val="1"/>
      <w:numFmt w:val="lowerLetter"/>
      <w:lvlText w:val="%2."/>
      <w:lvlJc w:val="left"/>
      <w:pPr>
        <w:ind w:left="1440" w:hanging="360"/>
      </w:pPr>
    </w:lvl>
    <w:lvl w:ilvl="2" w:tplc="F612A472" w:tentative="1">
      <w:start w:val="1"/>
      <w:numFmt w:val="lowerRoman"/>
      <w:lvlText w:val="%3."/>
      <w:lvlJc w:val="right"/>
      <w:pPr>
        <w:ind w:left="2160" w:hanging="180"/>
      </w:pPr>
    </w:lvl>
    <w:lvl w:ilvl="3" w:tplc="363E75CC" w:tentative="1">
      <w:start w:val="1"/>
      <w:numFmt w:val="decimal"/>
      <w:lvlText w:val="%4."/>
      <w:lvlJc w:val="left"/>
      <w:pPr>
        <w:ind w:left="2880" w:hanging="360"/>
      </w:pPr>
    </w:lvl>
    <w:lvl w:ilvl="4" w:tplc="B2E800C8" w:tentative="1">
      <w:start w:val="1"/>
      <w:numFmt w:val="lowerLetter"/>
      <w:lvlText w:val="%5."/>
      <w:lvlJc w:val="left"/>
      <w:pPr>
        <w:ind w:left="3600" w:hanging="360"/>
      </w:pPr>
    </w:lvl>
    <w:lvl w:ilvl="5" w:tplc="4548684A" w:tentative="1">
      <w:start w:val="1"/>
      <w:numFmt w:val="lowerRoman"/>
      <w:lvlText w:val="%6."/>
      <w:lvlJc w:val="right"/>
      <w:pPr>
        <w:ind w:left="4320" w:hanging="180"/>
      </w:pPr>
    </w:lvl>
    <w:lvl w:ilvl="6" w:tplc="6A2CB308" w:tentative="1">
      <w:start w:val="1"/>
      <w:numFmt w:val="decimal"/>
      <w:lvlText w:val="%7."/>
      <w:lvlJc w:val="left"/>
      <w:pPr>
        <w:ind w:left="5040" w:hanging="360"/>
      </w:pPr>
    </w:lvl>
    <w:lvl w:ilvl="7" w:tplc="DA2EB5D0" w:tentative="1">
      <w:start w:val="1"/>
      <w:numFmt w:val="lowerLetter"/>
      <w:lvlText w:val="%8."/>
      <w:lvlJc w:val="left"/>
      <w:pPr>
        <w:ind w:left="5760" w:hanging="360"/>
      </w:pPr>
    </w:lvl>
    <w:lvl w:ilvl="8" w:tplc="6D6A0C1E" w:tentative="1">
      <w:start w:val="1"/>
      <w:numFmt w:val="lowerRoman"/>
      <w:lvlText w:val="%9."/>
      <w:lvlJc w:val="right"/>
      <w:pPr>
        <w:ind w:left="6480" w:hanging="180"/>
      </w:pPr>
    </w:lvl>
  </w:abstractNum>
  <w:abstractNum w:abstractNumId="4" w15:restartNumberingAfterBreak="0">
    <w:nsid w:val="734A311D"/>
    <w:multiLevelType w:val="hybridMultilevel"/>
    <w:tmpl w:val="DDBE4612"/>
    <w:lvl w:ilvl="0" w:tplc="005AC200">
      <w:start w:val="1"/>
      <w:numFmt w:val="decimal"/>
      <w:pStyle w:val="Heading3"/>
      <w:lvlText w:val="%1."/>
      <w:lvlJc w:val="left"/>
      <w:pPr>
        <w:ind w:left="1440" w:hanging="360"/>
      </w:pPr>
    </w:lvl>
    <w:lvl w:ilvl="1" w:tplc="1C6A7F40" w:tentative="1">
      <w:start w:val="1"/>
      <w:numFmt w:val="lowerLetter"/>
      <w:lvlText w:val="%2."/>
      <w:lvlJc w:val="left"/>
      <w:pPr>
        <w:ind w:left="2160" w:hanging="360"/>
      </w:pPr>
    </w:lvl>
    <w:lvl w:ilvl="2" w:tplc="224870CC" w:tentative="1">
      <w:start w:val="1"/>
      <w:numFmt w:val="lowerRoman"/>
      <w:lvlText w:val="%3."/>
      <w:lvlJc w:val="right"/>
      <w:pPr>
        <w:ind w:left="2880" w:hanging="180"/>
      </w:pPr>
    </w:lvl>
    <w:lvl w:ilvl="3" w:tplc="A014A954" w:tentative="1">
      <w:start w:val="1"/>
      <w:numFmt w:val="decimal"/>
      <w:lvlText w:val="%4."/>
      <w:lvlJc w:val="left"/>
      <w:pPr>
        <w:ind w:left="3600" w:hanging="360"/>
      </w:pPr>
    </w:lvl>
    <w:lvl w:ilvl="4" w:tplc="7C068B6C" w:tentative="1">
      <w:start w:val="1"/>
      <w:numFmt w:val="lowerLetter"/>
      <w:lvlText w:val="%5."/>
      <w:lvlJc w:val="left"/>
      <w:pPr>
        <w:ind w:left="4320" w:hanging="360"/>
      </w:pPr>
    </w:lvl>
    <w:lvl w:ilvl="5" w:tplc="1E1ED8F0" w:tentative="1">
      <w:start w:val="1"/>
      <w:numFmt w:val="lowerRoman"/>
      <w:lvlText w:val="%6."/>
      <w:lvlJc w:val="right"/>
      <w:pPr>
        <w:ind w:left="5040" w:hanging="180"/>
      </w:pPr>
    </w:lvl>
    <w:lvl w:ilvl="6" w:tplc="05CE2920" w:tentative="1">
      <w:start w:val="1"/>
      <w:numFmt w:val="decimal"/>
      <w:lvlText w:val="%7."/>
      <w:lvlJc w:val="left"/>
      <w:pPr>
        <w:ind w:left="5760" w:hanging="360"/>
      </w:pPr>
    </w:lvl>
    <w:lvl w:ilvl="7" w:tplc="05D86D7A" w:tentative="1">
      <w:start w:val="1"/>
      <w:numFmt w:val="lowerLetter"/>
      <w:lvlText w:val="%8."/>
      <w:lvlJc w:val="left"/>
      <w:pPr>
        <w:ind w:left="6480" w:hanging="360"/>
      </w:pPr>
    </w:lvl>
    <w:lvl w:ilvl="8" w:tplc="781E8E9E" w:tentative="1">
      <w:start w:val="1"/>
      <w:numFmt w:val="lowerRoman"/>
      <w:lvlText w:val="%9."/>
      <w:lvlJc w:val="right"/>
      <w:pPr>
        <w:ind w:left="7200" w:hanging="180"/>
      </w:pPr>
    </w:lvl>
  </w:abstractNum>
  <w:num w:numId="1" w16cid:durableId="1740130339">
    <w:abstractNumId w:val="1"/>
  </w:num>
  <w:num w:numId="2" w16cid:durableId="1602957629">
    <w:abstractNumId w:val="3"/>
  </w:num>
  <w:num w:numId="3" w16cid:durableId="1252544854">
    <w:abstractNumId w:val="4"/>
  </w:num>
  <w:num w:numId="4" w16cid:durableId="1635451741">
    <w:abstractNumId w:val="0"/>
  </w:num>
  <w:num w:numId="5" w16cid:durableId="1105883880">
    <w:abstractNumId w:val="0"/>
  </w:num>
  <w:num w:numId="6" w16cid:durableId="1410804816">
    <w:abstractNumId w:val="2"/>
  </w:num>
  <w:num w:numId="7" w16cid:durableId="1116218196">
    <w:abstractNumId w:val="1"/>
  </w:num>
  <w:num w:numId="8" w16cid:durableId="1481192732">
    <w:abstractNumId w:val="1"/>
  </w:num>
  <w:num w:numId="9" w16cid:durableId="1917745088">
    <w:abstractNumId w:val="3"/>
  </w:num>
  <w:num w:numId="10" w16cid:durableId="1669595766">
    <w:abstractNumId w:val="4"/>
  </w:num>
  <w:num w:numId="11" w16cid:durableId="576784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EB7"/>
    <w:rsid w:val="00256EB7"/>
    <w:rsid w:val="002A1BC5"/>
    <w:rsid w:val="004864A9"/>
    <w:rsid w:val="00546E3C"/>
    <w:rsid w:val="005F2061"/>
    <w:rsid w:val="009B4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C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6"/>
        <w:szCs w:val="24"/>
        <w:lang w:val="en-US" w:eastAsia="en-US" w:bidi="en-US"/>
      </w:rPr>
    </w:rPrDefault>
    <w:pPrDefault>
      <w:pPr>
        <w:spacing w:line="4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E111B"/>
    <w:pPr>
      <w:tabs>
        <w:tab w:val="left" w:pos="720"/>
      </w:tabs>
      <w:spacing w:line="480" w:lineRule="atLeast"/>
    </w:pPr>
    <w:rPr>
      <w:lang w:bidi="ar-SA"/>
    </w:rPr>
  </w:style>
  <w:style w:type="paragraph" w:styleId="Heading1">
    <w:name w:val="heading 1"/>
    <w:basedOn w:val="Normal"/>
    <w:next w:val="Normal"/>
    <w:link w:val="Heading1Char"/>
    <w:uiPriority w:val="9"/>
    <w:qFormat/>
    <w:rsid w:val="005729D1"/>
    <w:pPr>
      <w:keepNext/>
      <w:numPr>
        <w:numId w:val="8"/>
      </w:numPr>
      <w:spacing w:line="480" w:lineRule="exact"/>
      <w:jc w:val="center"/>
      <w:outlineLvl w:val="0"/>
    </w:pPr>
    <w:rPr>
      <w:rFonts w:eastAsiaTheme="majorEastAsia"/>
      <w:b/>
      <w:bCs/>
      <w:caps/>
      <w:color w:val="000000" w:themeColor="text1"/>
      <w:kern w:val="32"/>
      <w:szCs w:val="32"/>
    </w:rPr>
  </w:style>
  <w:style w:type="paragraph" w:styleId="Heading2">
    <w:name w:val="heading 2"/>
    <w:basedOn w:val="Normal"/>
    <w:next w:val="Normal"/>
    <w:link w:val="Heading2Char"/>
    <w:uiPriority w:val="9"/>
    <w:qFormat/>
    <w:rsid w:val="005729D1"/>
    <w:pPr>
      <w:keepNext/>
      <w:numPr>
        <w:numId w:val="9"/>
      </w:numPr>
      <w:spacing w:line="480" w:lineRule="exact"/>
      <w:outlineLvl w:val="1"/>
    </w:pPr>
    <w:rPr>
      <w:rFonts w:eastAsiaTheme="majorEastAsia"/>
      <w:b/>
      <w:bCs/>
      <w:iCs/>
      <w:smallCaps/>
      <w:szCs w:val="28"/>
    </w:rPr>
  </w:style>
  <w:style w:type="paragraph" w:styleId="Heading3">
    <w:name w:val="heading 3"/>
    <w:basedOn w:val="Normal"/>
    <w:next w:val="Normal"/>
    <w:link w:val="Heading3Char"/>
    <w:uiPriority w:val="9"/>
    <w:qFormat/>
    <w:rsid w:val="005729D1"/>
    <w:pPr>
      <w:keepNext/>
      <w:numPr>
        <w:numId w:val="10"/>
      </w:numPr>
      <w:spacing w:line="480" w:lineRule="exact"/>
      <w:outlineLvl w:val="2"/>
    </w:pPr>
    <w:rPr>
      <w:rFonts w:eastAsiaTheme="majorEastAsia"/>
      <w:b/>
      <w:bCs/>
      <w:szCs w:val="26"/>
    </w:rPr>
  </w:style>
  <w:style w:type="paragraph" w:styleId="Heading6">
    <w:name w:val="heading 6"/>
    <w:basedOn w:val="Normal"/>
    <w:next w:val="Normal"/>
    <w:link w:val="Heading6Char"/>
    <w:uiPriority w:val="9"/>
    <w:semiHidden/>
    <w:unhideWhenUsed/>
    <w:qFormat/>
    <w:rsid w:val="007A0088"/>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7A0088"/>
    <w:pPr>
      <w:spacing w:before="240" w:after="60"/>
      <w:outlineLvl w:val="6"/>
    </w:pPr>
    <w:rPr>
      <w:sz w:val="24"/>
    </w:rPr>
  </w:style>
  <w:style w:type="paragraph" w:styleId="Heading8">
    <w:name w:val="heading 8"/>
    <w:basedOn w:val="Normal"/>
    <w:next w:val="Normal"/>
    <w:link w:val="Heading8Char"/>
    <w:uiPriority w:val="9"/>
    <w:semiHidden/>
    <w:unhideWhenUsed/>
    <w:qFormat/>
    <w:rsid w:val="007A0088"/>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7A0088"/>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9D1"/>
    <w:rPr>
      <w:rFonts w:eastAsiaTheme="majorEastAsia"/>
      <w:b/>
      <w:bCs/>
      <w:caps/>
      <w:color w:val="000000" w:themeColor="text1"/>
      <w:kern w:val="32"/>
      <w:szCs w:val="32"/>
    </w:rPr>
  </w:style>
  <w:style w:type="character" w:customStyle="1" w:styleId="Heading2Char">
    <w:name w:val="Heading 2 Char"/>
    <w:basedOn w:val="DefaultParagraphFont"/>
    <w:link w:val="Heading2"/>
    <w:uiPriority w:val="9"/>
    <w:rsid w:val="005729D1"/>
    <w:rPr>
      <w:rFonts w:eastAsiaTheme="majorEastAsia"/>
      <w:b/>
      <w:bCs/>
      <w:iCs/>
      <w:smallCaps/>
      <w:szCs w:val="28"/>
    </w:rPr>
  </w:style>
  <w:style w:type="character" w:customStyle="1" w:styleId="Heading3Char">
    <w:name w:val="Heading 3 Char"/>
    <w:basedOn w:val="DefaultParagraphFont"/>
    <w:link w:val="Heading3"/>
    <w:uiPriority w:val="9"/>
    <w:rsid w:val="005729D1"/>
    <w:rPr>
      <w:rFonts w:eastAsiaTheme="majorEastAsia"/>
      <w:b/>
      <w:bCs/>
      <w:szCs w:val="26"/>
    </w:rPr>
  </w:style>
  <w:style w:type="character" w:customStyle="1" w:styleId="Heading6Char">
    <w:name w:val="Heading 6 Char"/>
    <w:basedOn w:val="DefaultParagraphFont"/>
    <w:link w:val="Heading6"/>
    <w:uiPriority w:val="9"/>
    <w:semiHidden/>
    <w:rsid w:val="007A0088"/>
    <w:rPr>
      <w:b/>
      <w:bCs/>
    </w:rPr>
  </w:style>
  <w:style w:type="character" w:customStyle="1" w:styleId="Heading7Char">
    <w:name w:val="Heading 7 Char"/>
    <w:basedOn w:val="DefaultParagraphFont"/>
    <w:link w:val="Heading7"/>
    <w:uiPriority w:val="9"/>
    <w:semiHidden/>
    <w:rsid w:val="007A0088"/>
    <w:rPr>
      <w:sz w:val="24"/>
      <w:szCs w:val="24"/>
    </w:rPr>
  </w:style>
  <w:style w:type="character" w:customStyle="1" w:styleId="Heading8Char">
    <w:name w:val="Heading 8 Char"/>
    <w:basedOn w:val="DefaultParagraphFont"/>
    <w:link w:val="Heading8"/>
    <w:uiPriority w:val="9"/>
    <w:semiHidden/>
    <w:rsid w:val="007A0088"/>
    <w:rPr>
      <w:i/>
      <w:iCs/>
      <w:sz w:val="24"/>
      <w:szCs w:val="24"/>
    </w:rPr>
  </w:style>
  <w:style w:type="character" w:customStyle="1" w:styleId="Heading9Char">
    <w:name w:val="Heading 9 Char"/>
    <w:basedOn w:val="DefaultParagraphFont"/>
    <w:link w:val="Heading9"/>
    <w:uiPriority w:val="9"/>
    <w:semiHidden/>
    <w:rsid w:val="007A0088"/>
    <w:rPr>
      <w:rFonts w:asciiTheme="majorHAnsi" w:eastAsiaTheme="majorEastAsia" w:hAnsiTheme="majorHAnsi"/>
    </w:rPr>
  </w:style>
  <w:style w:type="paragraph" w:styleId="Title">
    <w:name w:val="Title"/>
    <w:aliases w:val="heading 4"/>
    <w:basedOn w:val="Normal"/>
    <w:next w:val="Normal"/>
    <w:link w:val="TitleChar"/>
    <w:uiPriority w:val="10"/>
    <w:qFormat/>
    <w:rsid w:val="005729D1"/>
    <w:pPr>
      <w:numPr>
        <w:numId w:val="11"/>
      </w:numPr>
      <w:spacing w:line="480" w:lineRule="exact"/>
      <w:outlineLvl w:val="4"/>
    </w:pPr>
    <w:rPr>
      <w:rFonts w:eastAsiaTheme="majorEastAsia"/>
      <w:b/>
      <w:bCs/>
      <w:kern w:val="28"/>
      <w:szCs w:val="32"/>
    </w:rPr>
  </w:style>
  <w:style w:type="character" w:customStyle="1" w:styleId="TitleChar">
    <w:name w:val="Title Char"/>
    <w:aliases w:val="heading 4 Char"/>
    <w:basedOn w:val="DefaultParagraphFont"/>
    <w:link w:val="Title"/>
    <w:uiPriority w:val="10"/>
    <w:rsid w:val="005729D1"/>
    <w:rPr>
      <w:rFonts w:eastAsiaTheme="majorEastAsia"/>
      <w:b/>
      <w:bCs/>
      <w:kern w:val="28"/>
      <w:szCs w:val="32"/>
    </w:rPr>
  </w:style>
  <w:style w:type="paragraph" w:styleId="Subtitle">
    <w:name w:val="Subtitle"/>
    <w:aliases w:val="heading 5"/>
    <w:basedOn w:val="Normal"/>
    <w:next w:val="Normal"/>
    <w:link w:val="SubtitleChar"/>
    <w:uiPriority w:val="11"/>
    <w:qFormat/>
    <w:rsid w:val="009A0302"/>
    <w:pPr>
      <w:numPr>
        <w:numId w:val="6"/>
      </w:numPr>
      <w:spacing w:after="120"/>
      <w:outlineLvl w:val="4"/>
    </w:pPr>
    <w:rPr>
      <w:rFonts w:eastAsiaTheme="majorEastAsia"/>
      <w:b/>
      <w:i/>
    </w:rPr>
  </w:style>
  <w:style w:type="character" w:customStyle="1" w:styleId="SubtitleChar">
    <w:name w:val="Subtitle Char"/>
    <w:aliases w:val="heading 5 Char"/>
    <w:basedOn w:val="DefaultParagraphFont"/>
    <w:link w:val="Subtitle"/>
    <w:uiPriority w:val="11"/>
    <w:rsid w:val="009A0302"/>
    <w:rPr>
      <w:rFonts w:eastAsiaTheme="majorEastAsia"/>
      <w:b/>
      <w:i/>
    </w:rPr>
  </w:style>
  <w:style w:type="paragraph" w:styleId="TOCHeading">
    <w:name w:val="TOC Heading"/>
    <w:basedOn w:val="Heading1"/>
    <w:next w:val="Normal"/>
    <w:uiPriority w:val="39"/>
    <w:semiHidden/>
    <w:unhideWhenUsed/>
    <w:qFormat/>
    <w:rsid w:val="007A0088"/>
    <w:pPr>
      <w:outlineLvl w:val="9"/>
    </w:pPr>
  </w:style>
  <w:style w:type="paragraph" w:styleId="Header">
    <w:name w:val="header"/>
    <w:basedOn w:val="Normal"/>
    <w:link w:val="HeaderChar"/>
    <w:uiPriority w:val="99"/>
    <w:unhideWhenUsed/>
    <w:rsid w:val="008E111B"/>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8E111B"/>
    <w:rPr>
      <w:lang w:bidi="ar-SA"/>
    </w:rPr>
  </w:style>
  <w:style w:type="paragraph" w:styleId="Footer">
    <w:name w:val="footer"/>
    <w:basedOn w:val="Normal"/>
    <w:link w:val="FooterChar"/>
    <w:uiPriority w:val="99"/>
    <w:unhideWhenUsed/>
    <w:rsid w:val="008E111B"/>
    <w:pPr>
      <w:tabs>
        <w:tab w:val="clear" w:pos="720"/>
        <w:tab w:val="center" w:pos="4680"/>
        <w:tab w:val="right" w:pos="9360"/>
      </w:tabs>
      <w:spacing w:line="240" w:lineRule="auto"/>
    </w:pPr>
  </w:style>
  <w:style w:type="character" w:customStyle="1" w:styleId="FooterChar">
    <w:name w:val="Footer Char"/>
    <w:basedOn w:val="DefaultParagraphFont"/>
    <w:link w:val="Footer"/>
    <w:uiPriority w:val="99"/>
    <w:rsid w:val="008E111B"/>
    <w:rPr>
      <w:lang w:bidi="ar-SA"/>
    </w:rPr>
  </w:style>
  <w:style w:type="character" w:styleId="FootnoteReference">
    <w:name w:val="footnote reference"/>
    <w:basedOn w:val="DefaultParagraphFont"/>
    <w:uiPriority w:val="99"/>
    <w:semiHidden/>
    <w:unhideWhenUsed/>
    <w:rsid w:val="00573EFD"/>
    <w:rPr>
      <w:vertAlign w:val="superscript"/>
    </w:rPr>
  </w:style>
  <w:style w:type="paragraph" w:customStyle="1" w:styleId="Footnote">
    <w:name w:val="Footnote"/>
    <w:basedOn w:val="FootnoteText"/>
    <w:link w:val="FootnoteChar"/>
    <w:qFormat/>
    <w:rsid w:val="00573EFD"/>
  </w:style>
  <w:style w:type="character" w:customStyle="1" w:styleId="FootnoteChar">
    <w:name w:val="Footnote Char"/>
    <w:basedOn w:val="FootnoteTextChar"/>
    <w:link w:val="Footnote"/>
    <w:rsid w:val="00573EFD"/>
    <w:rPr>
      <w:sz w:val="20"/>
      <w:szCs w:val="20"/>
      <w:lang w:bidi="ar-SA"/>
    </w:rPr>
  </w:style>
  <w:style w:type="paragraph" w:styleId="FootnoteText">
    <w:name w:val="footnote text"/>
    <w:basedOn w:val="Normal"/>
    <w:link w:val="FootnoteTextChar"/>
    <w:uiPriority w:val="99"/>
    <w:semiHidden/>
    <w:unhideWhenUsed/>
    <w:rsid w:val="00573EFD"/>
    <w:pPr>
      <w:spacing w:line="240" w:lineRule="auto"/>
    </w:pPr>
    <w:rPr>
      <w:sz w:val="20"/>
      <w:szCs w:val="20"/>
    </w:rPr>
  </w:style>
  <w:style w:type="character" w:customStyle="1" w:styleId="FootnoteTextChar">
    <w:name w:val="Footnote Text Char"/>
    <w:basedOn w:val="DefaultParagraphFont"/>
    <w:link w:val="FootnoteText"/>
    <w:uiPriority w:val="99"/>
    <w:semiHidden/>
    <w:rsid w:val="00573EFD"/>
    <w:rPr>
      <w:sz w:val="20"/>
      <w:szCs w:val="20"/>
      <w:lang w:bidi="ar-SA"/>
    </w:rPr>
  </w:style>
  <w:style w:type="paragraph" w:styleId="Revision">
    <w:name w:val="Revision"/>
    <w:hidden/>
    <w:uiPriority w:val="99"/>
    <w:semiHidden/>
    <w:rsid w:val="009522B4"/>
    <w:pPr>
      <w:spacing w:line="240" w:lineRule="auto"/>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5974</Words>
  <Characters>30628</Characters>
  <Application>Microsoft Office Word</Application>
  <DocSecurity>0</DocSecurity>
  <Lines>549</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36826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2024-06-28T22:20:00Z</dcterms:created>
  <dcterms:modified xsi:type="dcterms:W3CDTF">2024-06-28T22:20:00Z</dcterms:modified>
  <cp:category/>
</cp:coreProperties>
</file>