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724AB" w:rsidRPr="000956E0" w:rsidP="004724AB">
      <w:pPr>
        <w:spacing w:line="240" w:lineRule="auto"/>
        <w:rPr>
          <w:bCs/>
          <w:sz w:val="20"/>
          <w:szCs w:val="20"/>
        </w:rPr>
      </w:pPr>
      <w:r>
        <w:rPr>
          <w:bCs/>
          <w:sz w:val="20"/>
          <w:szCs w:val="20"/>
        </w:rPr>
        <w:t>Filed 4/2/24 (unmodified opn. attached)</w:t>
      </w:r>
    </w:p>
    <w:p w:rsidR="004724AB" w:rsidP="004724AB">
      <w:pPr>
        <w:spacing w:line="240" w:lineRule="auto"/>
        <w:jc w:val="center"/>
      </w:pPr>
      <w:r>
        <w:t>CERTIFIED FOR PUBLICATION</w:t>
      </w:r>
    </w:p>
    <w:p w:rsidR="004724AB" w:rsidP="004724AB">
      <w:pPr>
        <w:spacing w:line="240" w:lineRule="auto"/>
        <w:rPr>
          <w:b/>
        </w:rPr>
      </w:pPr>
    </w:p>
    <w:p w:rsidR="004724AB" w:rsidP="004724AB">
      <w:pPr>
        <w:spacing w:line="240" w:lineRule="auto"/>
        <w:rPr>
          <w:b/>
        </w:rPr>
      </w:pPr>
    </w:p>
    <w:p w:rsidR="004724AB" w:rsidP="004724AB">
      <w:pPr>
        <w:spacing w:line="240" w:lineRule="auto"/>
        <w:jc w:val="center"/>
      </w:pPr>
      <w:r>
        <w:t>IN THE COURT OF APPEAL OF THE STATE OF CALIFORNIA</w:t>
      </w:r>
    </w:p>
    <w:p w:rsidR="004724AB" w:rsidP="004724AB">
      <w:pPr>
        <w:spacing w:line="240" w:lineRule="auto"/>
        <w:jc w:val="center"/>
      </w:pPr>
    </w:p>
    <w:p w:rsidR="004724AB" w:rsidP="004724AB">
      <w:pPr>
        <w:spacing w:line="240" w:lineRule="auto"/>
        <w:jc w:val="center"/>
      </w:pPr>
      <w:r>
        <w:t>SIXTH APPELLATE DISTRICT</w:t>
      </w:r>
    </w:p>
    <w:p w:rsidR="004724AB" w:rsidP="004724AB">
      <w:pPr>
        <w:spacing w:line="240" w:lineRule="auto"/>
        <w:jc w:val="center"/>
      </w:pPr>
    </w:p>
    <w:p w:rsidR="004724AB" w:rsidRPr="006A6928" w:rsidP="004724AB">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624EF3">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4724AB" w:rsidRPr="006A6928"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STEVE WOZNIAK et al.,</w:t>
            </w:r>
          </w:p>
          <w:p w:rsidR="004724AB" w:rsidRPr="006A6928"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p>
          <w:p w:rsidR="004724AB" w:rsidRPr="006A6928" w:rsidP="00624EF3">
            <w:pPr>
              <w:tabs>
                <w:tab w:val="left" w:pos="720"/>
              </w:tabs>
              <w:spacing w:after="0" w:line="240" w:lineRule="auto"/>
              <w:ind w:left="720"/>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Plaintiffs and Appellants,</w:t>
            </w:r>
          </w:p>
          <w:p w:rsidR="004724AB" w:rsidRPr="006A6928" w:rsidP="00624EF3">
            <w:pPr>
              <w:tabs>
                <w:tab w:val="left" w:pos="720"/>
              </w:tabs>
              <w:spacing w:after="0" w:line="240" w:lineRule="auto"/>
              <w:ind w:left="720"/>
              <w:rPr>
                <w:rStyle w:val="DefaultParagraphFont"/>
                <w:rFonts w:ascii="Times New Roman" w:hAnsi="Times New Roman" w:eastAsiaTheme="minorHAnsi" w:cs="Times New Roman"/>
                <w:sz w:val="26"/>
                <w:szCs w:val="22"/>
                <w:lang w:val="en-US" w:eastAsia="en-US" w:bidi="ar-SA"/>
              </w:rPr>
            </w:pPr>
          </w:p>
          <w:p w:rsidR="004724AB" w:rsidRPr="006A6928" w:rsidP="00624EF3">
            <w:pPr>
              <w:tabs>
                <w:tab w:val="left" w:pos="720"/>
              </w:tabs>
              <w:spacing w:after="0" w:line="240" w:lineRule="auto"/>
              <w:ind w:left="720"/>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v.</w:t>
            </w:r>
          </w:p>
          <w:p w:rsidR="004724AB" w:rsidRPr="006A6928"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p>
          <w:p w:rsidR="004724AB" w:rsidRPr="006A6928"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YOUTUBE, LLC</w:t>
            </w:r>
            <w:r>
              <w:rPr>
                <w:rFonts w:ascii="Times New Roman" w:hAnsi="Times New Roman" w:eastAsiaTheme="minorHAnsi" w:cs="Times New Roman"/>
                <w:sz w:val="26"/>
                <w:szCs w:val="22"/>
                <w:lang w:val="en-US" w:eastAsia="en-US" w:bidi="ar-SA"/>
              </w:rPr>
              <w:t>,</w:t>
            </w:r>
            <w:r w:rsidRPr="006A6928">
              <w:rPr>
                <w:rFonts w:ascii="Times New Roman" w:hAnsi="Times New Roman" w:eastAsiaTheme="minorHAnsi" w:cs="Times New Roman"/>
                <w:sz w:val="26"/>
                <w:szCs w:val="22"/>
                <w:lang w:val="en-US" w:eastAsia="en-US" w:bidi="ar-SA"/>
              </w:rPr>
              <w:t xml:space="preserve"> </w:t>
            </w:r>
            <w:r>
              <w:rPr>
                <w:rFonts w:ascii="Times New Roman" w:hAnsi="Times New Roman" w:eastAsiaTheme="minorHAnsi" w:cs="Times New Roman"/>
                <w:sz w:val="26"/>
                <w:szCs w:val="22"/>
                <w:lang w:val="en-US" w:eastAsia="en-US" w:bidi="ar-SA"/>
              </w:rPr>
              <w:t>et al.</w:t>
            </w:r>
            <w:r w:rsidRPr="006A6928">
              <w:rPr>
                <w:rFonts w:ascii="Times New Roman" w:hAnsi="Times New Roman" w:eastAsiaTheme="minorHAnsi" w:cs="Times New Roman"/>
                <w:sz w:val="26"/>
                <w:szCs w:val="22"/>
                <w:lang w:val="en-US" w:eastAsia="en-US" w:bidi="ar-SA"/>
              </w:rPr>
              <w:t>,</w:t>
            </w:r>
          </w:p>
          <w:p w:rsidR="004724AB" w:rsidRPr="006A6928"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p>
          <w:p w:rsidR="004724AB" w:rsidRPr="006A6928" w:rsidP="00624EF3">
            <w:pPr>
              <w:tabs>
                <w:tab w:val="left" w:pos="720"/>
              </w:tabs>
              <w:spacing w:after="0" w:line="240" w:lineRule="auto"/>
              <w:ind w:left="720"/>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Defendants and Respondents.</w:t>
            </w:r>
          </w:p>
          <w:p w:rsidR="004724AB" w:rsidRPr="006A6928" w:rsidP="00624EF3">
            <w:pPr>
              <w:tabs>
                <w:tab w:val="left" w:pos="720"/>
              </w:tabs>
              <w:spacing w:after="0" w:line="240" w:lineRule="auto"/>
              <w:ind w:left="1440"/>
              <w:rPr>
                <w:rStyle w:val="DefaultParagraphFont"/>
                <w:rFonts w:ascii="Times New Roman" w:hAnsi="Times New Roman" w:eastAsiaTheme="minorHAnsi" w:cs="Times New Roman"/>
                <w:sz w:val="26"/>
                <w:szCs w:val="22"/>
                <w:lang w:val="en-US" w:eastAsia="en-US" w:bidi="ar-SA"/>
              </w:rPr>
            </w:pPr>
          </w:p>
        </w:tc>
        <w:tc>
          <w:tcPr>
            <w:tcW w:w="4680" w:type="dxa"/>
            <w:tcBorders>
              <w:left w:val="single" w:sz="4" w:space="0" w:color="auto"/>
            </w:tcBorders>
            <w:shd w:val="clear" w:color="auto" w:fill="auto"/>
          </w:tcPr>
          <w:p w:rsidR="004724AB" w:rsidRPr="006A6928"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 xml:space="preserve">      H050042</w:t>
            </w:r>
          </w:p>
          <w:p w:rsidR="004724AB" w:rsidRPr="006A6928" w:rsidP="00624EF3">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r w:rsidRPr="006A6928">
              <w:rPr>
                <w:rFonts w:ascii="Times New Roman" w:hAnsi="Times New Roman" w:eastAsiaTheme="minorHAnsi" w:cs="Times New Roman"/>
                <w:sz w:val="26"/>
                <w:szCs w:val="26"/>
                <w:lang w:val="en-US" w:eastAsia="en-US" w:bidi="ar-SA"/>
              </w:rPr>
              <w:t xml:space="preserve">      (Santa Clara County</w:t>
            </w:r>
          </w:p>
          <w:p w:rsidR="004724AB" w:rsidRPr="006A6928" w:rsidP="00624EF3">
            <w:pPr>
              <w:pStyle w:val="Default"/>
              <w:autoSpaceDE w:val="0"/>
              <w:autoSpaceDN w:val="0"/>
              <w:adjustRightInd w:val="0"/>
              <w:spacing w:after="0" w:line="240" w:lineRule="auto"/>
              <w:rPr>
                <w:rStyle w:val="DefaultParagraphFont"/>
                <w:rFonts w:ascii="Times New Roman" w:hAnsi="Times New Roman" w:eastAsiaTheme="minorHAnsi" w:cs="Times New Roman"/>
                <w:color w:val="000000"/>
                <w:sz w:val="26"/>
                <w:szCs w:val="26"/>
                <w:lang w:val="en-US" w:eastAsia="en-US" w:bidi="ar-SA"/>
              </w:rPr>
            </w:pPr>
            <w:r w:rsidRPr="006A6928">
              <w:rPr>
                <w:rFonts w:ascii="Times New Roman" w:hAnsi="Times New Roman" w:eastAsiaTheme="minorHAnsi" w:cs="Times New Roman"/>
                <w:color w:val="000000"/>
                <w:sz w:val="26"/>
                <w:szCs w:val="26"/>
                <w:lang w:val="en-US" w:eastAsia="en-US" w:bidi="ar-SA"/>
              </w:rPr>
              <w:t xml:space="preserve">      Super. Ct. No. 20CV370338) </w:t>
            </w:r>
          </w:p>
          <w:p w:rsidR="004724AB"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p>
          <w:p w:rsidR="004724AB" w:rsidP="00624EF3">
            <w:pPr>
              <w:tabs>
                <w:tab w:val="left" w:pos="720"/>
              </w:tabs>
              <w:spacing w:after="0" w:line="240" w:lineRule="auto"/>
              <w:ind w:left="340"/>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ORDER MODIFYING OPINION, </w:t>
            </w:r>
          </w:p>
          <w:p w:rsidR="004724AB"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DENYING PETITION FOR</w:t>
            </w:r>
          </w:p>
          <w:p w:rsidR="004724AB"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REHEARING; </w:t>
            </w:r>
          </w:p>
          <w:p w:rsidR="004724AB" w:rsidRPr="006A6928" w:rsidP="00624EF3">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NO CHANGE IN JUDGMENT</w:t>
            </w:r>
          </w:p>
        </w:tc>
      </w:tr>
    </w:tbl>
    <w:p w:rsidR="004724AB" w:rsidP="004724AB">
      <w:pPr>
        <w:spacing w:line="480" w:lineRule="exact"/>
        <w:ind w:firstLine="720"/>
      </w:pPr>
      <w:r>
        <w:t>BY THE COURT:</w:t>
      </w:r>
    </w:p>
    <w:p w:rsidR="004724AB" w:rsidRPr="00D576E6" w:rsidP="004724AB">
      <w:pPr>
        <w:spacing w:line="480" w:lineRule="exact"/>
        <w:ind w:firstLine="720"/>
      </w:pPr>
      <w:r>
        <w:t xml:space="preserve">It </w:t>
      </w:r>
      <w:r w:rsidRPr="00D576E6">
        <w:t xml:space="preserve">is ordered that the opinion filed herein on </w:t>
      </w:r>
      <w:r>
        <w:t>March 15, 2024</w:t>
      </w:r>
      <w:r w:rsidRPr="00D576E6">
        <w:t>, be modified as follows:</w:t>
      </w:r>
    </w:p>
    <w:p w:rsidR="004724AB" w:rsidRPr="008B2597" w:rsidP="004724AB">
      <w:pPr>
        <w:spacing w:line="480" w:lineRule="exact"/>
        <w:rPr>
          <w:color w:val="000000"/>
          <w:szCs w:val="26"/>
        </w:rPr>
      </w:pPr>
      <w:r w:rsidRPr="00D576E6">
        <w:tab/>
      </w:r>
      <w:r>
        <w:t>On page 1, the sec</w:t>
      </w:r>
      <w:r w:rsidRPr="008B2597">
        <w:rPr>
          <w:szCs w:val="26"/>
        </w:rPr>
        <w:t xml:space="preserve">ond full paragraph shall now read: </w:t>
      </w:r>
      <w:r w:rsidRPr="008B2597">
        <w:rPr>
          <w:color w:val="000000"/>
          <w:szCs w:val="26"/>
        </w:rPr>
        <w:t xml:space="preserve"> </w:t>
      </w:r>
    </w:p>
    <w:p w:rsidR="004724AB" w:rsidP="004724AB">
      <w:pPr>
        <w:spacing w:line="480" w:lineRule="exact"/>
        <w:ind w:firstLine="720"/>
        <w:rPr>
          <w:color w:val="000000"/>
          <w:szCs w:val="26"/>
        </w:rPr>
      </w:pPr>
      <w:r w:rsidRPr="008B2597">
        <w:rPr>
          <w:color w:val="000000"/>
          <w:szCs w:val="26"/>
        </w:rPr>
        <w:t>“Plaintiffs are Steve Wozniak</w:t>
      </w:r>
      <w:r>
        <w:rPr>
          <w:color w:val="000000"/>
          <w:szCs w:val="26"/>
        </w:rPr>
        <w:t xml:space="preserve">—whose name and likeness were used in the fake videos—and </w:t>
      </w:r>
      <w:r w:rsidRPr="008B2597">
        <w:rPr>
          <w:color w:val="000000"/>
          <w:szCs w:val="26"/>
        </w:rPr>
        <w:t>17 individuals who fell victim to the scam and lost varying amounts of cryptocurrency. They sued YouTube and Google (defendants), asserting nine causes of action alleging that defendants have been knowingly hosting, promoting, and profiting from the scam for years.”</w:t>
      </w:r>
    </w:p>
    <w:p w:rsidR="004724AB" w:rsidP="004724AB">
      <w:pPr>
        <w:spacing w:line="480" w:lineRule="exact"/>
        <w:ind w:firstLine="720"/>
        <w:rPr>
          <w:color w:val="000000"/>
          <w:szCs w:val="26"/>
        </w:rPr>
      </w:pPr>
      <w:r>
        <w:rPr>
          <w:color w:val="000000"/>
          <w:szCs w:val="26"/>
        </w:rPr>
        <w:t>On page 17, the first full paragraph shall now read:</w:t>
      </w:r>
    </w:p>
    <w:p w:rsidR="004724AB" w:rsidP="004724AB">
      <w:pPr>
        <w:spacing w:line="480" w:lineRule="exact"/>
        <w:ind w:firstLine="720"/>
        <w:rPr>
          <w:szCs w:val="26"/>
        </w:rPr>
      </w:pPr>
      <w:r>
        <w:rPr>
          <w:color w:val="000000"/>
          <w:szCs w:val="26"/>
        </w:rPr>
        <w:t>“</w:t>
      </w:r>
      <w:r>
        <w:rPr>
          <w:szCs w:val="26"/>
        </w:rPr>
        <w:t>The allegations in the SAC do not support that characterization, though. Plaintiffs have not alleged that the mere hijacking of channels, without more, caused them harm. Nor have they alleged that defendants owed them a duty to prevent the hijacking of channels, regardless of whether any harmful content follows.”</w:t>
      </w:r>
    </w:p>
    <w:p w:rsidR="004724AB" w:rsidP="004724AB">
      <w:pPr>
        <w:spacing w:line="480" w:lineRule="exact"/>
        <w:ind w:firstLine="720"/>
        <w:rPr>
          <w:szCs w:val="26"/>
        </w:rPr>
      </w:pPr>
      <w:r>
        <w:rPr>
          <w:szCs w:val="26"/>
        </w:rPr>
        <w:t>On page 17, the last full paragraph shall now read:</w:t>
      </w:r>
    </w:p>
    <w:p w:rsidR="004724AB" w:rsidP="004724AB">
      <w:pPr>
        <w:spacing w:line="480" w:lineRule="exact"/>
        <w:ind w:firstLine="720"/>
        <w:rPr>
          <w:szCs w:val="26"/>
        </w:rPr>
      </w:pPr>
      <w:r>
        <w:rPr>
          <w:szCs w:val="26"/>
        </w:rPr>
        <w:t>“Lastly, we recognize that the individual plaintiffs in this action do not make identical allegations. For instance, only the bitcoin plaintiffs allege they were scammed into transferring their cryptocurrency, and only Wozniak alleges that his name and likeness were misappropriated, thereby causing reputational damage. However, the allegations in the negligence cause of action do not distinguish between Wozniak and the bitcoin plaintiffs. Nor have plaintiffs argued in their briefs that any individual plaintiffs made different allegations in support of their negligent security claim.”</w:t>
      </w:r>
    </w:p>
    <w:p w:rsidR="004724AB" w:rsidP="004724AB">
      <w:pPr>
        <w:spacing w:line="480" w:lineRule="exact"/>
        <w:ind w:firstLine="720"/>
        <w:rPr>
          <w:color w:val="000000"/>
          <w:szCs w:val="26"/>
        </w:rPr>
      </w:pPr>
    </w:p>
    <w:p w:rsidR="004724AB" w:rsidRPr="008B2597" w:rsidP="004724AB">
      <w:pPr>
        <w:spacing w:line="480" w:lineRule="exact"/>
        <w:ind w:firstLine="720"/>
        <w:rPr>
          <w:szCs w:val="26"/>
        </w:rPr>
      </w:pPr>
      <w:r>
        <w:t>There is no change in the judgment.  The petition for rehearing is denied.</w:t>
      </w:r>
    </w:p>
    <w:p w:rsidR="004724AB" w:rsidRPr="006A6928" w:rsidP="004724AB">
      <w:pPr>
        <w:ind w:firstLine="720"/>
        <w:rPr>
          <w:szCs w:val="26"/>
        </w:rPr>
        <w:sectPr w:rsidSect="00306034">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0" w:footer="720" w:gutter="0"/>
          <w:cols w:space="720"/>
          <w:titlePg/>
          <w:docGrid w:linePitch="360"/>
        </w:sectPr>
      </w:pPr>
    </w:p>
    <w:p w:rsidR="004724AB" w:rsidRPr="006A6928" w:rsidP="004724AB">
      <w:pPr>
        <w:tabs>
          <w:tab w:val="clear" w:pos="720"/>
        </w:tabs>
        <w:spacing w:after="160" w:line="259" w:lineRule="auto"/>
        <w:rPr>
          <w:szCs w:val="26"/>
        </w:rPr>
      </w:pPr>
    </w:p>
    <w:p w:rsidR="004724AB" w:rsidRPr="006A6928" w:rsidP="004724AB">
      <w:pPr>
        <w:spacing w:line="240" w:lineRule="auto"/>
        <w:ind w:left="3600"/>
        <w:rPr>
          <w:kern w:val="2"/>
          <w:szCs w:val="26"/>
        </w:rPr>
      </w:pPr>
      <w:r w:rsidRPr="006A6928">
        <w:rPr>
          <w:bCs/>
          <w:kern w:val="2"/>
          <w:szCs w:val="26"/>
        </w:rPr>
        <w:t>___________________________________</w:t>
      </w:r>
    </w:p>
    <w:p w:rsidR="004724AB" w:rsidRPr="006A6928" w:rsidP="004724AB">
      <w:pPr>
        <w:spacing w:line="240" w:lineRule="auto"/>
        <w:ind w:left="3600"/>
        <w:rPr>
          <w:bCs/>
          <w:kern w:val="2"/>
          <w:szCs w:val="26"/>
        </w:rPr>
      </w:pPr>
      <w:r w:rsidRPr="006A6928">
        <w:rPr>
          <w:bCs/>
          <w:kern w:val="2"/>
          <w:szCs w:val="26"/>
        </w:rPr>
        <w:tab/>
      </w:r>
      <w:r w:rsidRPr="006A6928">
        <w:rPr>
          <w:bCs/>
          <w:kern w:val="2"/>
          <w:szCs w:val="26"/>
        </w:rPr>
        <w:tab/>
      </w:r>
      <w:r w:rsidRPr="006A6928">
        <w:rPr>
          <w:bCs/>
          <w:kern w:val="2"/>
          <w:szCs w:val="26"/>
        </w:rPr>
        <w:tab/>
        <w:t>Wilson, J.</w:t>
      </w: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r w:rsidRPr="006A6928">
        <w:rPr>
          <w:bCs/>
          <w:kern w:val="2"/>
          <w:szCs w:val="26"/>
        </w:rPr>
        <w:t>WE CONCUR:</w:t>
      </w: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r w:rsidRPr="006A6928">
        <w:rPr>
          <w:bCs/>
          <w:kern w:val="2"/>
          <w:szCs w:val="26"/>
        </w:rPr>
        <w:t>__________________________________________</w:t>
      </w:r>
    </w:p>
    <w:p w:rsidR="004724AB" w:rsidRPr="006A6928" w:rsidP="004724AB">
      <w:pPr>
        <w:spacing w:line="240" w:lineRule="auto"/>
        <w:rPr>
          <w:bCs/>
          <w:kern w:val="2"/>
          <w:szCs w:val="26"/>
        </w:rPr>
      </w:pPr>
      <w:r w:rsidRPr="006A6928">
        <w:rPr>
          <w:bCs/>
          <w:kern w:val="2"/>
          <w:szCs w:val="26"/>
        </w:rPr>
        <w:tab/>
      </w:r>
      <w:r w:rsidRPr="006A6928">
        <w:rPr>
          <w:bCs/>
          <w:kern w:val="2"/>
          <w:szCs w:val="26"/>
        </w:rPr>
        <w:tab/>
      </w:r>
      <w:r w:rsidRPr="006A6928">
        <w:rPr>
          <w:bCs/>
          <w:kern w:val="2"/>
          <w:szCs w:val="26"/>
        </w:rPr>
        <w:tab/>
        <w:t>Danner, Acting P.J.</w:t>
      </w: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r w:rsidRPr="006A6928">
        <w:rPr>
          <w:bCs/>
          <w:kern w:val="2"/>
          <w:szCs w:val="26"/>
        </w:rPr>
        <w:t>______________________________________</w:t>
      </w:r>
    </w:p>
    <w:p w:rsidR="004724AB" w:rsidRPr="006A6928" w:rsidP="004724AB">
      <w:pPr>
        <w:spacing w:line="240" w:lineRule="auto"/>
        <w:rPr>
          <w:bCs/>
          <w:kern w:val="2"/>
          <w:szCs w:val="26"/>
        </w:rPr>
      </w:pPr>
      <w:r w:rsidRPr="006A6928">
        <w:rPr>
          <w:bCs/>
          <w:kern w:val="2"/>
          <w:szCs w:val="26"/>
        </w:rPr>
        <w:tab/>
      </w:r>
      <w:r w:rsidRPr="006A6928">
        <w:rPr>
          <w:bCs/>
          <w:kern w:val="2"/>
          <w:szCs w:val="26"/>
        </w:rPr>
        <w:tab/>
      </w:r>
      <w:r w:rsidRPr="006A6928">
        <w:rPr>
          <w:bCs/>
          <w:kern w:val="2"/>
          <w:szCs w:val="26"/>
        </w:rPr>
        <w:tab/>
        <w:t>Bromberg, J.</w:t>
      </w: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6A6928" w:rsidP="004724AB">
      <w:pPr>
        <w:spacing w:line="240" w:lineRule="auto"/>
        <w:rPr>
          <w:bCs/>
          <w:kern w:val="2"/>
          <w:szCs w:val="26"/>
        </w:rPr>
      </w:pPr>
    </w:p>
    <w:p w:rsidR="004724AB" w:rsidRPr="00ED63C8" w:rsidP="004724AB">
      <w:pPr>
        <w:spacing w:line="240" w:lineRule="auto"/>
        <w:rPr>
          <w:bCs/>
          <w:i/>
          <w:iCs/>
          <w:szCs w:val="26"/>
        </w:rPr>
      </w:pPr>
      <w:r w:rsidRPr="00ED63C8">
        <w:rPr>
          <w:bCs/>
          <w:i/>
          <w:iCs/>
          <w:szCs w:val="26"/>
        </w:rPr>
        <w:t xml:space="preserve">Wozniak et al. v. Youtube, LLC </w:t>
      </w:r>
      <w:r>
        <w:rPr>
          <w:bCs/>
          <w:i/>
          <w:iCs/>
          <w:szCs w:val="26"/>
        </w:rPr>
        <w:t>et al.</w:t>
      </w:r>
      <w:r w:rsidRPr="00ED63C8">
        <w:rPr>
          <w:bCs/>
          <w:i/>
          <w:iCs/>
          <w:szCs w:val="26"/>
        </w:rPr>
        <w:t xml:space="preserve">  </w:t>
      </w:r>
    </w:p>
    <w:p w:rsidR="004724AB" w:rsidRPr="00FD1D50" w:rsidP="004724AB">
      <w:pPr>
        <w:spacing w:line="240" w:lineRule="auto"/>
        <w:rPr>
          <w:szCs w:val="26"/>
        </w:rPr>
      </w:pPr>
      <w:r w:rsidRPr="006A6928">
        <w:rPr>
          <w:bCs/>
          <w:szCs w:val="26"/>
        </w:rPr>
        <w:t>H</w:t>
      </w:r>
      <w:r w:rsidRPr="006A6928">
        <w:rPr>
          <w:bCs/>
          <w:kern w:val="2"/>
          <w:szCs w:val="26"/>
        </w:rPr>
        <w:t>050042</w:t>
      </w:r>
    </w:p>
    <w:p w:rsidR="004724AB" w:rsidP="000956E0">
      <w:pPr>
        <w:spacing w:line="240" w:lineRule="auto"/>
        <w:rPr>
          <w:bCs/>
          <w:sz w:val="20"/>
          <w:szCs w:val="20"/>
        </w:rPr>
        <w:sectPr w:rsidSect="00306034">
          <w:footerReference w:type="default" r:id="rId11"/>
          <w:pgSz w:w="12240" w:h="15840" w:code="1"/>
          <w:pgMar w:top="1440" w:right="1440" w:bottom="1440" w:left="1440" w:header="0" w:footer="720" w:gutter="0"/>
          <w:cols w:space="720"/>
          <w:titlePg/>
          <w:docGrid w:linePitch="360"/>
        </w:sectPr>
      </w:pPr>
    </w:p>
    <w:p w:rsidR="001131BF" w:rsidRPr="000956E0" w:rsidP="000956E0">
      <w:pPr>
        <w:spacing w:line="240" w:lineRule="auto"/>
        <w:rPr>
          <w:bCs/>
          <w:sz w:val="20"/>
          <w:szCs w:val="20"/>
        </w:rPr>
      </w:pPr>
      <w:r>
        <w:rPr>
          <w:bCs/>
          <w:sz w:val="20"/>
          <w:szCs w:val="20"/>
        </w:rPr>
        <w:t>Filed 3/</w:t>
      </w:r>
      <w:r w:rsidR="001C2E16">
        <w:rPr>
          <w:bCs/>
          <w:sz w:val="20"/>
          <w:szCs w:val="20"/>
        </w:rPr>
        <w:t>1</w:t>
      </w:r>
      <w:r w:rsidR="008B0EA8">
        <w:rPr>
          <w:bCs/>
          <w:sz w:val="20"/>
          <w:szCs w:val="20"/>
        </w:rPr>
        <w:t>5</w:t>
      </w:r>
      <w:r>
        <w:rPr>
          <w:bCs/>
          <w:sz w:val="20"/>
          <w:szCs w:val="20"/>
        </w:rPr>
        <w:t>/24</w:t>
      </w:r>
      <w:r w:rsidR="004724AB">
        <w:rPr>
          <w:bCs/>
          <w:sz w:val="20"/>
          <w:szCs w:val="20"/>
        </w:rPr>
        <w:t xml:space="preserve"> (unmodified opinion)</w:t>
      </w:r>
    </w:p>
    <w:p w:rsidR="0099795E" w:rsidP="0099795E">
      <w:pPr>
        <w:spacing w:line="240" w:lineRule="auto"/>
        <w:jc w:val="center"/>
      </w:pPr>
      <w:r>
        <w:t>CERTIFIED FOR PUBLICATION</w:t>
      </w:r>
    </w:p>
    <w:p w:rsidR="0099795E" w:rsidP="0099795E">
      <w:pPr>
        <w:spacing w:line="240" w:lineRule="auto"/>
        <w:rPr>
          <w:b/>
        </w:rPr>
      </w:pPr>
    </w:p>
    <w:p w:rsidR="0099795E" w:rsidP="0099795E">
      <w:pPr>
        <w:spacing w:line="240" w:lineRule="auto"/>
        <w:rPr>
          <w:b/>
        </w:rPr>
      </w:pPr>
    </w:p>
    <w:p w:rsidR="0099795E" w:rsidP="0099795E">
      <w:pPr>
        <w:spacing w:line="240" w:lineRule="auto"/>
        <w:jc w:val="center"/>
      </w:pPr>
      <w:r>
        <w:t>IN THE COURT OF APPEAL OF THE STATE OF CALIFORNIA</w:t>
      </w:r>
    </w:p>
    <w:p w:rsidR="0099795E" w:rsidP="0099795E">
      <w:pPr>
        <w:spacing w:line="240" w:lineRule="auto"/>
        <w:jc w:val="center"/>
      </w:pPr>
    </w:p>
    <w:p w:rsidR="0099795E" w:rsidP="0099795E">
      <w:pPr>
        <w:spacing w:line="240" w:lineRule="auto"/>
        <w:jc w:val="center"/>
      </w:pPr>
      <w:r>
        <w:t>SIXTH APPELLATE DISTRICT</w:t>
      </w:r>
    </w:p>
    <w:p w:rsidR="00CE37C0" w:rsidP="00CE37C0">
      <w:pPr>
        <w:spacing w:line="240" w:lineRule="auto"/>
        <w:jc w:val="center"/>
      </w:pPr>
    </w:p>
    <w:p w:rsidR="0099795E" w:rsidRPr="006A6928" w:rsidP="00CE37C0">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CE37C0">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CE37C0" w:rsidRPr="006A6928" w:rsidP="00CE37C0">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STEVE WOZNIAK et al.,</w:t>
            </w:r>
          </w:p>
          <w:p w:rsidR="00CE37C0" w:rsidRPr="006A6928" w:rsidP="00CE37C0">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p>
          <w:p w:rsidR="00CE37C0" w:rsidRPr="006A6928" w:rsidP="00CE37C0">
            <w:pPr>
              <w:tabs>
                <w:tab w:val="left" w:pos="720"/>
              </w:tabs>
              <w:spacing w:after="0" w:line="240" w:lineRule="auto"/>
              <w:ind w:left="720"/>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Plaintiff</w:t>
            </w:r>
            <w:r w:rsidRPr="006A6928" w:rsidR="008C6E87">
              <w:rPr>
                <w:rFonts w:ascii="Times New Roman" w:hAnsi="Times New Roman" w:eastAsiaTheme="minorHAnsi" w:cs="Times New Roman"/>
                <w:sz w:val="26"/>
                <w:szCs w:val="22"/>
                <w:lang w:val="en-US" w:eastAsia="en-US" w:bidi="ar-SA"/>
              </w:rPr>
              <w:t>s</w:t>
            </w:r>
            <w:r w:rsidRPr="006A6928" w:rsidR="00C81765">
              <w:rPr>
                <w:rFonts w:ascii="Times New Roman" w:hAnsi="Times New Roman" w:eastAsiaTheme="minorHAnsi" w:cs="Times New Roman"/>
                <w:sz w:val="26"/>
                <w:szCs w:val="22"/>
                <w:lang w:val="en-US" w:eastAsia="en-US" w:bidi="ar-SA"/>
              </w:rPr>
              <w:t xml:space="preserve"> an</w:t>
            </w:r>
            <w:r w:rsidRPr="006A6928" w:rsidR="003E1E8D">
              <w:rPr>
                <w:rFonts w:ascii="Times New Roman" w:hAnsi="Times New Roman" w:eastAsiaTheme="minorHAnsi" w:cs="Times New Roman"/>
                <w:sz w:val="26"/>
                <w:szCs w:val="22"/>
                <w:lang w:val="en-US" w:eastAsia="en-US" w:bidi="ar-SA"/>
              </w:rPr>
              <w:t xml:space="preserve">d </w:t>
            </w:r>
            <w:r w:rsidRPr="006A6928" w:rsidR="008C6E87">
              <w:rPr>
                <w:rFonts w:ascii="Times New Roman" w:hAnsi="Times New Roman" w:eastAsiaTheme="minorHAnsi" w:cs="Times New Roman"/>
                <w:sz w:val="26"/>
                <w:szCs w:val="22"/>
                <w:lang w:val="en-US" w:eastAsia="en-US" w:bidi="ar-SA"/>
              </w:rPr>
              <w:t>Appellants</w:t>
            </w:r>
            <w:r w:rsidRPr="006A6928">
              <w:rPr>
                <w:rFonts w:ascii="Times New Roman" w:hAnsi="Times New Roman" w:eastAsiaTheme="minorHAnsi" w:cs="Times New Roman"/>
                <w:sz w:val="26"/>
                <w:szCs w:val="22"/>
                <w:lang w:val="en-US" w:eastAsia="en-US" w:bidi="ar-SA"/>
              </w:rPr>
              <w:t>,</w:t>
            </w:r>
          </w:p>
          <w:p w:rsidR="00CE37C0" w:rsidRPr="006A6928" w:rsidP="00CE37C0">
            <w:pPr>
              <w:tabs>
                <w:tab w:val="left" w:pos="720"/>
              </w:tabs>
              <w:spacing w:after="0" w:line="240" w:lineRule="auto"/>
              <w:ind w:left="720"/>
              <w:rPr>
                <w:rStyle w:val="DefaultParagraphFont"/>
                <w:rFonts w:ascii="Times New Roman" w:hAnsi="Times New Roman" w:eastAsiaTheme="minorHAnsi" w:cs="Times New Roman"/>
                <w:sz w:val="26"/>
                <w:szCs w:val="22"/>
                <w:lang w:val="en-US" w:eastAsia="en-US" w:bidi="ar-SA"/>
              </w:rPr>
            </w:pPr>
          </w:p>
          <w:p w:rsidR="00CE37C0" w:rsidRPr="006A6928" w:rsidP="00CE37C0">
            <w:pPr>
              <w:tabs>
                <w:tab w:val="left" w:pos="720"/>
              </w:tabs>
              <w:spacing w:after="0" w:line="240" w:lineRule="auto"/>
              <w:ind w:left="720"/>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v.</w:t>
            </w:r>
          </w:p>
          <w:p w:rsidR="00CE37C0" w:rsidRPr="006A6928" w:rsidP="00CE37C0">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p>
          <w:p w:rsidR="00CE37C0" w:rsidRPr="006A6928" w:rsidP="00CE37C0">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 xml:space="preserve">YOUTUBE, LLC </w:t>
            </w:r>
            <w:r w:rsidR="0015321B">
              <w:rPr>
                <w:rFonts w:ascii="Times New Roman" w:hAnsi="Times New Roman" w:eastAsiaTheme="minorHAnsi" w:cs="Times New Roman"/>
                <w:sz w:val="26"/>
                <w:szCs w:val="22"/>
                <w:lang w:val="en-US" w:eastAsia="en-US" w:bidi="ar-SA"/>
              </w:rPr>
              <w:t>et al.</w:t>
            </w:r>
            <w:r w:rsidRPr="006A6928" w:rsidR="00583C6E">
              <w:rPr>
                <w:rFonts w:ascii="Times New Roman" w:hAnsi="Times New Roman" w:eastAsiaTheme="minorHAnsi" w:cs="Times New Roman"/>
                <w:sz w:val="26"/>
                <w:szCs w:val="22"/>
                <w:lang w:val="en-US" w:eastAsia="en-US" w:bidi="ar-SA"/>
              </w:rPr>
              <w:t>,</w:t>
            </w:r>
          </w:p>
          <w:p w:rsidR="00CE37C0" w:rsidRPr="006A6928" w:rsidP="00CE37C0">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p>
          <w:p w:rsidR="00CE37C0" w:rsidRPr="006A6928" w:rsidP="00CE37C0">
            <w:pPr>
              <w:tabs>
                <w:tab w:val="left" w:pos="720"/>
              </w:tabs>
              <w:spacing w:after="0" w:line="240" w:lineRule="auto"/>
              <w:ind w:left="720"/>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Defendant</w:t>
            </w:r>
            <w:r w:rsidRPr="006A6928" w:rsidR="008C6E87">
              <w:rPr>
                <w:rFonts w:ascii="Times New Roman" w:hAnsi="Times New Roman" w:eastAsiaTheme="minorHAnsi" w:cs="Times New Roman"/>
                <w:sz w:val="26"/>
                <w:szCs w:val="22"/>
                <w:lang w:val="en-US" w:eastAsia="en-US" w:bidi="ar-SA"/>
              </w:rPr>
              <w:t>s</w:t>
            </w:r>
            <w:r w:rsidRPr="006A6928">
              <w:rPr>
                <w:rFonts w:ascii="Times New Roman" w:hAnsi="Times New Roman" w:eastAsiaTheme="minorHAnsi" w:cs="Times New Roman"/>
                <w:sz w:val="26"/>
                <w:szCs w:val="22"/>
                <w:lang w:val="en-US" w:eastAsia="en-US" w:bidi="ar-SA"/>
              </w:rPr>
              <w:t xml:space="preserve"> and </w:t>
            </w:r>
            <w:r w:rsidRPr="006A6928" w:rsidR="008C6E87">
              <w:rPr>
                <w:rFonts w:ascii="Times New Roman" w:hAnsi="Times New Roman" w:eastAsiaTheme="minorHAnsi" w:cs="Times New Roman"/>
                <w:sz w:val="26"/>
                <w:szCs w:val="22"/>
                <w:lang w:val="en-US" w:eastAsia="en-US" w:bidi="ar-SA"/>
              </w:rPr>
              <w:t>Respondents</w:t>
            </w:r>
            <w:r w:rsidRPr="006A6928">
              <w:rPr>
                <w:rFonts w:ascii="Times New Roman" w:hAnsi="Times New Roman" w:eastAsiaTheme="minorHAnsi" w:cs="Times New Roman"/>
                <w:sz w:val="26"/>
                <w:szCs w:val="22"/>
                <w:lang w:val="en-US" w:eastAsia="en-US" w:bidi="ar-SA"/>
              </w:rPr>
              <w:t>.</w:t>
            </w:r>
          </w:p>
          <w:p w:rsidR="00CE37C0" w:rsidRPr="006A6928" w:rsidP="00CE37C0">
            <w:pPr>
              <w:tabs>
                <w:tab w:val="left" w:pos="720"/>
              </w:tabs>
              <w:spacing w:after="0" w:line="240" w:lineRule="auto"/>
              <w:ind w:left="1440"/>
              <w:rPr>
                <w:rStyle w:val="DefaultParagraphFont"/>
                <w:rFonts w:ascii="Times New Roman" w:hAnsi="Times New Roman" w:eastAsiaTheme="minorHAnsi" w:cs="Times New Roman"/>
                <w:sz w:val="26"/>
                <w:szCs w:val="22"/>
                <w:lang w:val="en-US" w:eastAsia="en-US" w:bidi="ar-SA"/>
              </w:rPr>
            </w:pPr>
          </w:p>
        </w:tc>
        <w:tc>
          <w:tcPr>
            <w:tcW w:w="4680" w:type="dxa"/>
            <w:tcBorders>
              <w:left w:val="single" w:sz="4" w:space="0" w:color="auto"/>
            </w:tcBorders>
            <w:shd w:val="clear" w:color="auto" w:fill="auto"/>
          </w:tcPr>
          <w:p w:rsidR="00CE37C0" w:rsidRPr="006A6928" w:rsidP="00CE37C0">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r w:rsidRPr="006A6928">
              <w:rPr>
                <w:rFonts w:ascii="Times New Roman" w:hAnsi="Times New Roman" w:eastAsiaTheme="minorHAnsi" w:cs="Times New Roman"/>
                <w:sz w:val="26"/>
                <w:szCs w:val="22"/>
                <w:lang w:val="en-US" w:eastAsia="en-US" w:bidi="ar-SA"/>
              </w:rPr>
              <w:t xml:space="preserve">      </w:t>
            </w:r>
            <w:r w:rsidRPr="006A6928" w:rsidR="00583C6E">
              <w:rPr>
                <w:rFonts w:ascii="Times New Roman" w:hAnsi="Times New Roman" w:eastAsiaTheme="minorHAnsi" w:cs="Times New Roman"/>
                <w:sz w:val="26"/>
                <w:szCs w:val="22"/>
                <w:lang w:val="en-US" w:eastAsia="en-US" w:bidi="ar-SA"/>
              </w:rPr>
              <w:t>H0</w:t>
            </w:r>
            <w:r w:rsidRPr="006A6928" w:rsidR="00C81765">
              <w:rPr>
                <w:rFonts w:ascii="Times New Roman" w:hAnsi="Times New Roman" w:eastAsiaTheme="minorHAnsi" w:cs="Times New Roman"/>
                <w:sz w:val="26"/>
                <w:szCs w:val="22"/>
                <w:lang w:val="en-US" w:eastAsia="en-US" w:bidi="ar-SA"/>
              </w:rPr>
              <w:t>50</w:t>
            </w:r>
            <w:r w:rsidRPr="006A6928" w:rsidR="008C6E87">
              <w:rPr>
                <w:rFonts w:ascii="Times New Roman" w:hAnsi="Times New Roman" w:eastAsiaTheme="minorHAnsi" w:cs="Times New Roman"/>
                <w:sz w:val="26"/>
                <w:szCs w:val="22"/>
                <w:lang w:val="en-US" w:eastAsia="en-US" w:bidi="ar-SA"/>
              </w:rPr>
              <w:t>042</w:t>
            </w:r>
          </w:p>
          <w:p w:rsidR="00CE37C0" w:rsidRPr="006A6928" w:rsidP="00CE37C0">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r w:rsidRPr="006A6928">
              <w:rPr>
                <w:rFonts w:ascii="Times New Roman" w:hAnsi="Times New Roman" w:eastAsiaTheme="minorHAnsi" w:cs="Times New Roman"/>
                <w:sz w:val="26"/>
                <w:szCs w:val="26"/>
                <w:lang w:val="en-US" w:eastAsia="en-US" w:bidi="ar-SA"/>
              </w:rPr>
              <w:t xml:space="preserve">     </w:t>
            </w:r>
            <w:r w:rsidRPr="006A6928" w:rsidR="008D6684">
              <w:rPr>
                <w:rFonts w:ascii="Times New Roman" w:hAnsi="Times New Roman" w:eastAsiaTheme="minorHAnsi" w:cs="Times New Roman"/>
                <w:sz w:val="26"/>
                <w:szCs w:val="26"/>
                <w:lang w:val="en-US" w:eastAsia="en-US" w:bidi="ar-SA"/>
              </w:rPr>
              <w:t xml:space="preserve"> </w:t>
            </w:r>
            <w:r w:rsidRPr="006A6928">
              <w:rPr>
                <w:rFonts w:ascii="Times New Roman" w:hAnsi="Times New Roman" w:eastAsiaTheme="minorHAnsi" w:cs="Times New Roman"/>
                <w:sz w:val="26"/>
                <w:szCs w:val="26"/>
                <w:lang w:val="en-US" w:eastAsia="en-US" w:bidi="ar-SA"/>
              </w:rPr>
              <w:t>(</w:t>
            </w:r>
            <w:r w:rsidRPr="006A6928" w:rsidR="00032E7B">
              <w:rPr>
                <w:rFonts w:ascii="Times New Roman" w:hAnsi="Times New Roman" w:eastAsiaTheme="minorHAnsi" w:cs="Times New Roman"/>
                <w:sz w:val="26"/>
                <w:szCs w:val="26"/>
                <w:lang w:val="en-US" w:eastAsia="en-US" w:bidi="ar-SA"/>
              </w:rPr>
              <w:t>San</w:t>
            </w:r>
            <w:r w:rsidRPr="006A6928" w:rsidR="001131BF">
              <w:rPr>
                <w:rFonts w:ascii="Times New Roman" w:hAnsi="Times New Roman" w:eastAsiaTheme="minorHAnsi" w:cs="Times New Roman"/>
                <w:sz w:val="26"/>
                <w:szCs w:val="26"/>
                <w:lang w:val="en-US" w:eastAsia="en-US" w:bidi="ar-SA"/>
              </w:rPr>
              <w:t xml:space="preserve">ta Clara </w:t>
            </w:r>
            <w:r w:rsidRPr="006A6928">
              <w:rPr>
                <w:rFonts w:ascii="Times New Roman" w:hAnsi="Times New Roman" w:eastAsiaTheme="minorHAnsi" w:cs="Times New Roman"/>
                <w:sz w:val="26"/>
                <w:szCs w:val="26"/>
                <w:lang w:val="en-US" w:eastAsia="en-US" w:bidi="ar-SA"/>
              </w:rPr>
              <w:t>County</w:t>
            </w:r>
          </w:p>
          <w:p w:rsidR="00CE37C0" w:rsidRPr="006A6928" w:rsidP="00B874E7">
            <w:pPr>
              <w:pStyle w:val="Default"/>
              <w:autoSpaceDE w:val="0"/>
              <w:autoSpaceDN w:val="0"/>
              <w:adjustRightInd w:val="0"/>
              <w:spacing w:after="0" w:line="240" w:lineRule="auto"/>
              <w:rPr>
                <w:rStyle w:val="DefaultParagraphFont"/>
                <w:rFonts w:ascii="Times New Roman" w:hAnsi="Times New Roman" w:eastAsiaTheme="minorHAnsi" w:cs="Times New Roman"/>
                <w:color w:val="000000"/>
                <w:sz w:val="26"/>
                <w:szCs w:val="26"/>
                <w:lang w:val="en-US" w:eastAsia="en-US" w:bidi="ar-SA"/>
              </w:rPr>
            </w:pPr>
            <w:r w:rsidRPr="006A6928">
              <w:rPr>
                <w:rFonts w:ascii="Times New Roman" w:hAnsi="Times New Roman" w:eastAsiaTheme="minorHAnsi" w:cs="Times New Roman"/>
                <w:color w:val="000000"/>
                <w:sz w:val="26"/>
                <w:szCs w:val="26"/>
                <w:lang w:val="en-US" w:eastAsia="en-US" w:bidi="ar-SA"/>
              </w:rPr>
              <w:t xml:space="preserve">      Super. Ct. No.</w:t>
            </w:r>
            <w:r w:rsidRPr="006A6928" w:rsidR="00B874E7">
              <w:rPr>
                <w:rFonts w:ascii="Times New Roman" w:hAnsi="Times New Roman" w:eastAsiaTheme="minorHAnsi" w:cs="Times New Roman"/>
                <w:color w:val="000000"/>
                <w:sz w:val="26"/>
                <w:szCs w:val="26"/>
                <w:lang w:val="en-US" w:eastAsia="en-US" w:bidi="ar-SA"/>
              </w:rPr>
              <w:t xml:space="preserve"> </w:t>
            </w:r>
            <w:r w:rsidRPr="006A6928" w:rsidR="00C81765">
              <w:rPr>
                <w:rFonts w:ascii="Times New Roman" w:hAnsi="Times New Roman" w:eastAsiaTheme="minorHAnsi" w:cs="Times New Roman"/>
                <w:color w:val="000000"/>
                <w:sz w:val="26"/>
                <w:szCs w:val="26"/>
                <w:lang w:val="en-US" w:eastAsia="en-US" w:bidi="ar-SA"/>
              </w:rPr>
              <w:t>2</w:t>
            </w:r>
            <w:r w:rsidRPr="006A6928" w:rsidR="00130B6F">
              <w:rPr>
                <w:rFonts w:ascii="Times New Roman" w:hAnsi="Times New Roman" w:eastAsiaTheme="minorHAnsi" w:cs="Times New Roman"/>
                <w:color w:val="000000"/>
                <w:sz w:val="26"/>
                <w:szCs w:val="26"/>
                <w:lang w:val="en-US" w:eastAsia="en-US" w:bidi="ar-SA"/>
              </w:rPr>
              <w:t>0</w:t>
            </w:r>
            <w:r w:rsidRPr="006A6928" w:rsidR="00B7484D">
              <w:rPr>
                <w:rFonts w:ascii="Times New Roman" w:hAnsi="Times New Roman" w:eastAsiaTheme="minorHAnsi" w:cs="Times New Roman"/>
                <w:color w:val="000000"/>
                <w:sz w:val="26"/>
                <w:szCs w:val="26"/>
                <w:lang w:val="en-US" w:eastAsia="en-US" w:bidi="ar-SA"/>
              </w:rPr>
              <w:t>CV</w:t>
            </w:r>
            <w:r w:rsidRPr="006A6928" w:rsidR="00C81765">
              <w:rPr>
                <w:rFonts w:ascii="Times New Roman" w:hAnsi="Times New Roman" w:eastAsiaTheme="minorHAnsi" w:cs="Times New Roman"/>
                <w:color w:val="000000"/>
                <w:sz w:val="26"/>
                <w:szCs w:val="26"/>
                <w:lang w:val="en-US" w:eastAsia="en-US" w:bidi="ar-SA"/>
              </w:rPr>
              <w:t>3</w:t>
            </w:r>
            <w:r w:rsidRPr="006A6928" w:rsidR="00130B6F">
              <w:rPr>
                <w:rFonts w:ascii="Times New Roman" w:hAnsi="Times New Roman" w:eastAsiaTheme="minorHAnsi" w:cs="Times New Roman"/>
                <w:color w:val="000000"/>
                <w:sz w:val="26"/>
                <w:szCs w:val="26"/>
                <w:lang w:val="en-US" w:eastAsia="en-US" w:bidi="ar-SA"/>
              </w:rPr>
              <w:t>7</w:t>
            </w:r>
            <w:r w:rsidRPr="006A6928" w:rsidR="008C6E87">
              <w:rPr>
                <w:rFonts w:ascii="Times New Roman" w:hAnsi="Times New Roman" w:eastAsiaTheme="minorHAnsi" w:cs="Times New Roman"/>
                <w:color w:val="000000"/>
                <w:sz w:val="26"/>
                <w:szCs w:val="26"/>
                <w:lang w:val="en-US" w:eastAsia="en-US" w:bidi="ar-SA"/>
              </w:rPr>
              <w:t>0338</w:t>
            </w:r>
            <w:r w:rsidRPr="006A6928" w:rsidR="00B874E7">
              <w:rPr>
                <w:rFonts w:ascii="Times New Roman" w:hAnsi="Times New Roman" w:eastAsiaTheme="minorHAnsi" w:cs="Times New Roman"/>
                <w:color w:val="000000"/>
                <w:sz w:val="26"/>
                <w:szCs w:val="26"/>
                <w:lang w:val="en-US" w:eastAsia="en-US" w:bidi="ar-SA"/>
              </w:rPr>
              <w:t>)</w:t>
            </w:r>
            <w:r w:rsidRPr="006A6928">
              <w:rPr>
                <w:rFonts w:ascii="Times New Roman" w:hAnsi="Times New Roman" w:eastAsiaTheme="minorHAnsi" w:cs="Times New Roman"/>
                <w:color w:val="000000"/>
                <w:sz w:val="26"/>
                <w:szCs w:val="26"/>
                <w:lang w:val="en-US" w:eastAsia="en-US" w:bidi="ar-SA"/>
              </w:rPr>
              <w:t xml:space="preserve"> </w:t>
            </w:r>
          </w:p>
          <w:p w:rsidR="00CE37C0" w:rsidRPr="006A6928" w:rsidP="00CE37C0">
            <w:pPr>
              <w:tabs>
                <w:tab w:val="left" w:pos="720"/>
              </w:tabs>
              <w:spacing w:after="0" w:line="240" w:lineRule="auto"/>
              <w:rPr>
                <w:rStyle w:val="DefaultParagraphFont"/>
                <w:rFonts w:ascii="Times New Roman" w:hAnsi="Times New Roman" w:eastAsiaTheme="minorHAnsi" w:cs="Times New Roman"/>
                <w:sz w:val="26"/>
                <w:szCs w:val="22"/>
                <w:lang w:val="en-US" w:eastAsia="en-US" w:bidi="ar-SA"/>
              </w:rPr>
            </w:pPr>
          </w:p>
        </w:tc>
      </w:tr>
    </w:tbl>
    <w:p w:rsidR="00AD79B6" w:rsidRPr="006A6928" w:rsidP="00AD79B6">
      <w:pPr>
        <w:ind w:firstLine="720"/>
        <w:rPr>
          <w:szCs w:val="26"/>
        </w:rPr>
      </w:pPr>
      <w:r w:rsidRPr="006A6928">
        <w:rPr>
          <w:szCs w:val="26"/>
        </w:rPr>
        <w:t>This lawsuit stems from a common cryptocurrency scam perpetrated on YouTube</w:t>
      </w:r>
      <w:r w:rsidRPr="006A6928" w:rsidR="00A84B21">
        <w:rPr>
          <w:szCs w:val="26"/>
        </w:rPr>
        <w:t xml:space="preserve">: </w:t>
      </w:r>
      <w:r w:rsidRPr="006A6928">
        <w:rPr>
          <w:szCs w:val="26"/>
        </w:rPr>
        <w:t>popular channels are hijacked to show fake videos depicting a tech celebrity hosting a live event</w:t>
      </w:r>
      <w:r w:rsidRPr="006A6928" w:rsidR="00A84B21">
        <w:rPr>
          <w:szCs w:val="26"/>
        </w:rPr>
        <w:t>,</w:t>
      </w:r>
      <w:r w:rsidRPr="006A6928">
        <w:rPr>
          <w:szCs w:val="26"/>
        </w:rPr>
        <w:t xml:space="preserve"> during which anyone who sends cryptocurrency to a specified account will receive twice as much </w:t>
      </w:r>
      <w:r w:rsidRPr="006A6928" w:rsidR="00436471">
        <w:rPr>
          <w:szCs w:val="26"/>
        </w:rPr>
        <w:t>in return</w:t>
      </w:r>
      <w:r w:rsidRPr="006A6928">
        <w:rPr>
          <w:szCs w:val="26"/>
        </w:rPr>
        <w:t xml:space="preserve">.  </w:t>
      </w:r>
      <w:r w:rsidRPr="006A6928" w:rsidR="00940740">
        <w:rPr>
          <w:szCs w:val="26"/>
        </w:rPr>
        <w:t>U</w:t>
      </w:r>
      <w:r w:rsidRPr="006A6928">
        <w:rPr>
          <w:szCs w:val="26"/>
        </w:rPr>
        <w:t xml:space="preserve">sers who send their cryptocurrency </w:t>
      </w:r>
      <w:r w:rsidRPr="006A6928" w:rsidR="0064598F">
        <w:rPr>
          <w:szCs w:val="26"/>
        </w:rPr>
        <w:t xml:space="preserve">in response </w:t>
      </w:r>
      <w:r w:rsidRPr="006A6928" w:rsidR="006C2CB5">
        <w:rPr>
          <w:szCs w:val="26"/>
        </w:rPr>
        <w:t xml:space="preserve">actually </w:t>
      </w:r>
      <w:r w:rsidRPr="006A6928">
        <w:rPr>
          <w:szCs w:val="26"/>
        </w:rPr>
        <w:t xml:space="preserve">receive </w:t>
      </w:r>
      <w:r w:rsidRPr="006A6928" w:rsidR="00940740">
        <w:rPr>
          <w:szCs w:val="26"/>
        </w:rPr>
        <w:t>nothing</w:t>
      </w:r>
      <w:r w:rsidRPr="006A6928">
        <w:rPr>
          <w:szCs w:val="26"/>
        </w:rPr>
        <w:t xml:space="preserve"> in return. </w:t>
      </w:r>
    </w:p>
    <w:p w:rsidR="00AD79B6" w:rsidRPr="006A6928" w:rsidP="00AD79B6">
      <w:pPr>
        <w:ind w:firstLine="720"/>
        <w:rPr>
          <w:szCs w:val="26"/>
        </w:rPr>
      </w:pPr>
      <w:r w:rsidRPr="006A6928">
        <w:rPr>
          <w:szCs w:val="26"/>
        </w:rPr>
        <w:t>Plaintiffs are Steve Wozniak—whose YouTube channel was among those hijacked—and 1</w:t>
      </w:r>
      <w:r w:rsidRPr="006A6928" w:rsidR="00733F5A">
        <w:rPr>
          <w:szCs w:val="26"/>
        </w:rPr>
        <w:t>7</w:t>
      </w:r>
      <w:r w:rsidRPr="006A6928">
        <w:rPr>
          <w:szCs w:val="26"/>
        </w:rPr>
        <w:t xml:space="preserve"> individuals who fell victim to the scam and lost varying amounts of cryptocurrency.  They sued YouTube and Google (defendants), asserting nine causes of action alleging </w:t>
      </w:r>
      <w:r w:rsidRPr="006A6928" w:rsidR="00940740">
        <w:rPr>
          <w:szCs w:val="26"/>
        </w:rPr>
        <w:t>that defendants</w:t>
      </w:r>
      <w:r w:rsidRPr="006A6928">
        <w:rPr>
          <w:szCs w:val="26"/>
        </w:rPr>
        <w:t xml:space="preserve"> have been knowingly hosting, </w:t>
      </w:r>
      <w:r w:rsidRPr="006A6928" w:rsidR="008A0EA9">
        <w:rPr>
          <w:szCs w:val="26"/>
        </w:rPr>
        <w:t>promoting,</w:t>
      </w:r>
      <w:r w:rsidRPr="006A6928">
        <w:rPr>
          <w:szCs w:val="26"/>
        </w:rPr>
        <w:t xml:space="preserve"> and profiting from the scam for years. </w:t>
      </w:r>
    </w:p>
    <w:p w:rsidR="00AD79B6" w:rsidRPr="006A6928" w:rsidP="00AD79B6">
      <w:pPr>
        <w:ind w:firstLine="720"/>
        <w:rPr>
          <w:szCs w:val="26"/>
        </w:rPr>
      </w:pPr>
      <w:r w:rsidRPr="006A6928">
        <w:rPr>
          <w:szCs w:val="26"/>
        </w:rPr>
        <w:t xml:space="preserve">The trial court sustained defendants’ demurrer on the ground that plaintiffs’ claims </w:t>
      </w:r>
      <w:r w:rsidRPr="006A6928" w:rsidR="006C2CB5">
        <w:rPr>
          <w:szCs w:val="26"/>
        </w:rPr>
        <w:t xml:space="preserve">are </w:t>
      </w:r>
      <w:r w:rsidRPr="006A6928">
        <w:rPr>
          <w:szCs w:val="26"/>
        </w:rPr>
        <w:t>barred by the Communications Decency Act of 1996</w:t>
      </w:r>
      <w:r w:rsidR="00426139">
        <w:rPr>
          <w:szCs w:val="26"/>
        </w:rPr>
        <w:t>,</w:t>
      </w:r>
      <w:r w:rsidRPr="006A6928">
        <w:rPr>
          <w:szCs w:val="26"/>
        </w:rPr>
        <w:t xml:space="preserve"> 47 U.S.C. § 230</w:t>
      </w:r>
      <w:r w:rsidRPr="006A6928" w:rsidR="00940740">
        <w:rPr>
          <w:szCs w:val="26"/>
        </w:rPr>
        <w:t xml:space="preserve"> (section 230)</w:t>
      </w:r>
      <w:r w:rsidRPr="006A6928">
        <w:rPr>
          <w:szCs w:val="26"/>
        </w:rPr>
        <w:t xml:space="preserve">, which generally provides immunity to interactive computer services </w:t>
      </w:r>
      <w:r w:rsidRPr="006A6928" w:rsidR="00940740">
        <w:rPr>
          <w:szCs w:val="26"/>
        </w:rPr>
        <w:t xml:space="preserve">that </w:t>
      </w:r>
      <w:r w:rsidRPr="006A6928">
        <w:rPr>
          <w:szCs w:val="26"/>
        </w:rPr>
        <w:t xml:space="preserve">a plaintiff seeks to treat as a publisher or speaker of information provided by another content provider.  </w:t>
      </w:r>
    </w:p>
    <w:p w:rsidR="00AD79B6" w:rsidRPr="006A6928" w:rsidP="00AD79B6">
      <w:pPr>
        <w:ind w:firstLine="720"/>
        <w:rPr>
          <w:szCs w:val="26"/>
        </w:rPr>
      </w:pPr>
      <w:r w:rsidRPr="006A6928">
        <w:rPr>
          <w:szCs w:val="26"/>
        </w:rPr>
        <w:t xml:space="preserve">On appeal, plaintiffs argue their claims are not subject to section 230 immunity because they do not seek to treat defendants as </w:t>
      </w:r>
      <w:r w:rsidRPr="006A6928" w:rsidR="00940740">
        <w:rPr>
          <w:szCs w:val="26"/>
        </w:rPr>
        <w:t xml:space="preserve">a </w:t>
      </w:r>
      <w:r w:rsidRPr="006A6928">
        <w:rPr>
          <w:szCs w:val="26"/>
        </w:rPr>
        <w:t xml:space="preserve">publisher or speaker of third-party content, but instead seek to hold them liable for engaging in actions they knew would further criminal activity, </w:t>
      </w:r>
      <w:r w:rsidRPr="006A6928" w:rsidR="00940740">
        <w:rPr>
          <w:szCs w:val="26"/>
        </w:rPr>
        <w:t xml:space="preserve">thereby </w:t>
      </w:r>
      <w:r w:rsidRPr="006A6928">
        <w:rPr>
          <w:szCs w:val="26"/>
        </w:rPr>
        <w:t xml:space="preserve">materially contributing to its illegality.  </w:t>
      </w:r>
    </w:p>
    <w:p w:rsidR="007645D4" w:rsidRPr="006A6928" w:rsidP="004F72D0">
      <w:pPr>
        <w:ind w:firstLine="720"/>
        <w:rPr>
          <w:szCs w:val="26"/>
        </w:rPr>
      </w:pPr>
      <w:r w:rsidRPr="006A6928">
        <w:rPr>
          <w:szCs w:val="26"/>
        </w:rPr>
        <w:t xml:space="preserve">We hold that most of plaintiffs’ claims seek to treat defendants as </w:t>
      </w:r>
      <w:r w:rsidRPr="006A6928" w:rsidR="00940740">
        <w:rPr>
          <w:szCs w:val="26"/>
        </w:rPr>
        <w:t xml:space="preserve">a </w:t>
      </w:r>
      <w:r w:rsidRPr="006A6928">
        <w:rPr>
          <w:szCs w:val="26"/>
        </w:rPr>
        <w:t xml:space="preserve">publisher or speaker of third-party content and are therefore precluded by section 230.  However, we also conclude that </w:t>
      </w:r>
      <w:r w:rsidRPr="006A6928" w:rsidR="007D69EB">
        <w:rPr>
          <w:szCs w:val="26"/>
        </w:rPr>
        <w:t>one of plaintiffs’ claims</w:t>
      </w:r>
      <w:r w:rsidRPr="006A6928" w:rsidR="002631DE">
        <w:rPr>
          <w:szCs w:val="26"/>
        </w:rPr>
        <w:t xml:space="preserve">—that defendants </w:t>
      </w:r>
      <w:r w:rsidRPr="006A6928" w:rsidR="00CB50B3">
        <w:rPr>
          <w:szCs w:val="26"/>
        </w:rPr>
        <w:t xml:space="preserve">created their own content and </w:t>
      </w:r>
      <w:r w:rsidRPr="006A6928" w:rsidR="002631DE">
        <w:rPr>
          <w:szCs w:val="26"/>
        </w:rPr>
        <w:t>materially contributed to the unlawfulness of the scam by providing verification badges to hijacked YouTube channels</w:t>
      </w:r>
      <w:r w:rsidRPr="006A6928" w:rsidR="0016052D">
        <w:rPr>
          <w:szCs w:val="26"/>
        </w:rPr>
        <w:t xml:space="preserve">—includes allegations which </w:t>
      </w:r>
      <w:r w:rsidRPr="006A6928" w:rsidR="00464A21">
        <w:rPr>
          <w:szCs w:val="26"/>
        </w:rPr>
        <w:t xml:space="preserve">potentially </w:t>
      </w:r>
      <w:r w:rsidRPr="006A6928" w:rsidR="0016052D">
        <w:rPr>
          <w:szCs w:val="26"/>
        </w:rPr>
        <w:t xml:space="preserve">could </w:t>
      </w:r>
      <w:r w:rsidRPr="006A6928" w:rsidR="00BB7F4A">
        <w:rPr>
          <w:szCs w:val="26"/>
        </w:rPr>
        <w:t xml:space="preserve">fall </w:t>
      </w:r>
      <w:r w:rsidRPr="006A6928" w:rsidR="00BB7F4A">
        <w:rPr>
          <w:rFonts w:eastAsia="Times New Roman"/>
          <w:szCs w:val="26"/>
        </w:rPr>
        <w:t>outside the scope of section 230 immunity</w:t>
      </w:r>
      <w:r w:rsidRPr="006A6928" w:rsidR="0016052D">
        <w:rPr>
          <w:szCs w:val="26"/>
        </w:rPr>
        <w:t xml:space="preserve">.  As currently pleaded, </w:t>
      </w:r>
      <w:r w:rsidRPr="006A6928" w:rsidR="004F72D0">
        <w:rPr>
          <w:szCs w:val="26"/>
        </w:rPr>
        <w:t xml:space="preserve">though, </w:t>
      </w:r>
      <w:r w:rsidRPr="006A6928" w:rsidR="0016052D">
        <w:rPr>
          <w:szCs w:val="26"/>
        </w:rPr>
        <w:t xml:space="preserve">we are unable to conclude that those allegations save any of plaintiffs’ causes of action.  </w:t>
      </w:r>
    </w:p>
    <w:p w:rsidR="00D81EE7" w:rsidRPr="006A6928" w:rsidP="004F72D0">
      <w:pPr>
        <w:ind w:firstLine="720"/>
        <w:rPr>
          <w:szCs w:val="26"/>
        </w:rPr>
      </w:pPr>
      <w:r w:rsidRPr="006A6928">
        <w:rPr>
          <w:szCs w:val="26"/>
        </w:rPr>
        <w:t>Nevertheless</w:t>
      </w:r>
      <w:r w:rsidRPr="006A6928" w:rsidR="0016052D">
        <w:rPr>
          <w:szCs w:val="26"/>
        </w:rPr>
        <w:t>,</w:t>
      </w:r>
      <w:r w:rsidRPr="006A6928" w:rsidR="00BE361B">
        <w:rPr>
          <w:szCs w:val="26"/>
        </w:rPr>
        <w:t xml:space="preserve"> because there is a reasonable possibility plaintiffs could cure the defects, we also </w:t>
      </w:r>
      <w:r w:rsidRPr="006A6928" w:rsidR="0016052D">
        <w:rPr>
          <w:szCs w:val="26"/>
        </w:rPr>
        <w:t xml:space="preserve">conclude the trial court abused its discretion in not granting leave to amend </w:t>
      </w:r>
      <w:r w:rsidRPr="006A6928" w:rsidR="003B6404">
        <w:rPr>
          <w:szCs w:val="26"/>
        </w:rPr>
        <w:t xml:space="preserve">the </w:t>
      </w:r>
      <w:r w:rsidRPr="006A6928" w:rsidR="0016052D">
        <w:rPr>
          <w:szCs w:val="26"/>
        </w:rPr>
        <w:t>claims</w:t>
      </w:r>
      <w:r w:rsidRPr="006A6928" w:rsidR="00BB7F4A">
        <w:rPr>
          <w:szCs w:val="26"/>
        </w:rPr>
        <w:t xml:space="preserve"> related to verification badges</w:t>
      </w:r>
      <w:r w:rsidRPr="006A6928" w:rsidR="0016052D">
        <w:rPr>
          <w:szCs w:val="26"/>
        </w:rPr>
        <w:t xml:space="preserve">.  </w:t>
      </w:r>
      <w:r w:rsidRPr="006A6928" w:rsidR="007608E1">
        <w:rPr>
          <w:szCs w:val="26"/>
        </w:rPr>
        <w:t>Accordingly, we reverse and remand for further proceedings.</w:t>
      </w:r>
      <w:r w:rsidRPr="006A6928" w:rsidR="00896A04">
        <w:rPr>
          <w:szCs w:val="26"/>
        </w:rPr>
        <w:t xml:space="preserve"> </w:t>
      </w:r>
    </w:p>
    <w:p w:rsidR="0039586A" w:rsidRPr="006A6928" w:rsidP="00C116EA">
      <w:pPr>
        <w:pStyle w:val="ListParagraph"/>
        <w:keepNext/>
        <w:numPr>
          <w:ilvl w:val="0"/>
          <w:numId w:val="1"/>
        </w:numPr>
        <w:contextualSpacing w:val="0"/>
        <w:jc w:val="center"/>
        <w:rPr>
          <w:b/>
          <w:bCs/>
          <w:smallCaps/>
        </w:rPr>
      </w:pPr>
      <w:r w:rsidRPr="006A6928">
        <w:rPr>
          <w:b/>
          <w:bCs/>
          <w:smallCaps/>
        </w:rPr>
        <w:t xml:space="preserve">Factual and </w:t>
      </w:r>
      <w:r w:rsidRPr="006A6928">
        <w:rPr>
          <w:b/>
          <w:bCs/>
          <w:caps/>
        </w:rPr>
        <w:t>p</w:t>
      </w:r>
      <w:r w:rsidRPr="006A6928">
        <w:rPr>
          <w:b/>
          <w:bCs/>
          <w:smallCaps/>
        </w:rPr>
        <w:t xml:space="preserve">rocedural </w:t>
      </w:r>
      <w:r w:rsidRPr="006A6928">
        <w:rPr>
          <w:b/>
          <w:bCs/>
          <w:caps/>
        </w:rPr>
        <w:t>b</w:t>
      </w:r>
      <w:r w:rsidRPr="006A6928">
        <w:rPr>
          <w:b/>
          <w:bCs/>
          <w:smallCaps/>
        </w:rPr>
        <w:t>ackground</w:t>
      </w:r>
      <w:r>
        <w:rPr>
          <w:rStyle w:val="FootnoteReference"/>
          <w:b/>
          <w:bCs/>
          <w:smallCaps/>
        </w:rPr>
        <w:footnoteReference w:id="3"/>
      </w:r>
    </w:p>
    <w:p w:rsidR="009B437D" w:rsidRPr="006A6928" w:rsidP="00D760B8">
      <w:pPr>
        <w:pStyle w:val="ListParagraph"/>
        <w:keepNext/>
        <w:numPr>
          <w:ilvl w:val="0"/>
          <w:numId w:val="32"/>
        </w:numPr>
        <w:rPr>
          <w:rFonts w:eastAsia="Times New Roman"/>
          <w:b/>
          <w:bCs/>
          <w:i/>
          <w:iCs/>
          <w:szCs w:val="26"/>
        </w:rPr>
      </w:pPr>
      <w:r w:rsidRPr="006A6928">
        <w:rPr>
          <w:rFonts w:eastAsia="Times New Roman"/>
          <w:b/>
          <w:bCs/>
          <w:i/>
          <w:iCs/>
          <w:szCs w:val="26"/>
        </w:rPr>
        <w:t>YouTube c</w:t>
      </w:r>
      <w:r w:rsidRPr="006A6928" w:rsidR="00094C41">
        <w:rPr>
          <w:rFonts w:eastAsia="Times New Roman"/>
          <w:b/>
          <w:bCs/>
          <w:i/>
          <w:iCs/>
          <w:szCs w:val="26"/>
        </w:rPr>
        <w:t>ryptocurrency scam</w:t>
      </w:r>
      <w:r w:rsidRPr="006A6928" w:rsidR="00EE7689">
        <w:rPr>
          <w:rFonts w:eastAsia="Times New Roman"/>
          <w:b/>
          <w:bCs/>
          <w:i/>
          <w:iCs/>
          <w:szCs w:val="26"/>
        </w:rPr>
        <w:t>s</w:t>
      </w:r>
    </w:p>
    <w:p w:rsidR="003860FD" w:rsidRPr="006A6928" w:rsidP="003860FD">
      <w:pPr>
        <w:ind w:firstLine="720"/>
        <w:rPr>
          <w:szCs w:val="26"/>
        </w:rPr>
      </w:pPr>
      <w:r w:rsidRPr="006A6928">
        <w:rPr>
          <w:szCs w:val="26"/>
        </w:rPr>
        <w:t>YouTube</w:t>
      </w:r>
      <w:r w:rsidRPr="006A6928" w:rsidR="00E322D1">
        <w:rPr>
          <w:szCs w:val="26"/>
        </w:rPr>
        <w:t>, LLC (YouTube)</w:t>
      </w:r>
      <w:r w:rsidRPr="006A6928">
        <w:rPr>
          <w:szCs w:val="26"/>
        </w:rPr>
        <w:t xml:space="preserve"> is a video-sharing </w:t>
      </w:r>
      <w:r w:rsidRPr="006A6928" w:rsidR="00940740">
        <w:rPr>
          <w:szCs w:val="26"/>
        </w:rPr>
        <w:t>service</w:t>
      </w:r>
      <w:r w:rsidRPr="006A6928">
        <w:rPr>
          <w:szCs w:val="26"/>
        </w:rPr>
        <w:t xml:space="preserve"> that enables its users to view, post, and comment on video content hosted on its platform.</w:t>
      </w:r>
      <w:r>
        <w:rPr>
          <w:rStyle w:val="FootnoteReference"/>
          <w:szCs w:val="26"/>
        </w:rPr>
        <w:footnoteReference w:id="4"/>
      </w:r>
      <w:r w:rsidRPr="006A6928">
        <w:rPr>
          <w:szCs w:val="26"/>
        </w:rPr>
        <w:t xml:space="preserve">  Users can create their own YouTube channels, thereby making it easy for other users to find a creator’s content in one place and be notified when new content is uploaded.  The most popular YouTube channels have millions of subscribers.  </w:t>
      </w:r>
    </w:p>
    <w:p w:rsidR="003860FD" w:rsidRPr="006A6928" w:rsidP="003860FD">
      <w:pPr>
        <w:ind w:firstLine="720"/>
        <w:rPr>
          <w:szCs w:val="26"/>
        </w:rPr>
      </w:pPr>
      <w:r w:rsidRPr="006A6928">
        <w:rPr>
          <w:szCs w:val="26"/>
        </w:rPr>
        <w:t>User</w:t>
      </w:r>
      <w:r w:rsidR="00426139">
        <w:rPr>
          <w:szCs w:val="26"/>
        </w:rPr>
        <w:t>-</w:t>
      </w:r>
      <w:r w:rsidRPr="006A6928">
        <w:rPr>
          <w:szCs w:val="26"/>
        </w:rPr>
        <w:t xml:space="preserve">personalized video recommendations appear when a user first opens the YouTube website or mobile app, and then automatically play after a video ends.  YouTube utilizes an algorithm that recommends videos to users based on </w:t>
      </w:r>
      <w:r w:rsidR="00BE4B96">
        <w:rPr>
          <w:szCs w:val="26"/>
        </w:rPr>
        <w:t xml:space="preserve">their </w:t>
      </w:r>
      <w:r w:rsidRPr="006A6928">
        <w:rPr>
          <w:szCs w:val="26"/>
        </w:rPr>
        <w:t>personal information and data</w:t>
      </w:r>
      <w:r w:rsidRPr="006A6928" w:rsidR="00A67EAE">
        <w:rPr>
          <w:szCs w:val="26"/>
        </w:rPr>
        <w:t xml:space="preserve"> </w:t>
      </w:r>
      <w:r w:rsidRPr="006A6928">
        <w:rPr>
          <w:szCs w:val="26"/>
        </w:rPr>
        <w:t xml:space="preserve">that YouTube and Google have collected, including clicks, watch time, likes and dislikes, comments, and upload frequency.  </w:t>
      </w:r>
    </w:p>
    <w:p w:rsidR="003860FD" w:rsidRPr="006A6928" w:rsidP="003860FD">
      <w:pPr>
        <w:ind w:firstLine="720"/>
        <w:rPr>
          <w:rFonts w:eastAsia="Times New Roman"/>
          <w:szCs w:val="26"/>
        </w:rPr>
      </w:pPr>
      <w:r w:rsidRPr="006A6928">
        <w:rPr>
          <w:rFonts w:eastAsia="Times New Roman"/>
          <w:szCs w:val="26"/>
        </w:rPr>
        <w:t xml:space="preserve">According to plaintiffs, YouTube’s lax security practices over the years have led to a steady stream of security breaches through which popular YouTube channels are hijacked and taken over by criminals who then use the channels to perpetrate a scam that has defrauded YouTube users of millions of dollars.  YouTube </w:t>
      </w:r>
      <w:r w:rsidRPr="006A6928" w:rsidR="006C2CB5">
        <w:rPr>
          <w:rFonts w:eastAsia="Times New Roman"/>
          <w:szCs w:val="26"/>
        </w:rPr>
        <w:t xml:space="preserve">has not only </w:t>
      </w:r>
      <w:r w:rsidRPr="006A6928">
        <w:rPr>
          <w:rFonts w:eastAsia="Times New Roman"/>
          <w:szCs w:val="26"/>
        </w:rPr>
        <w:t>knowingly allowed the security breaches and scams</w:t>
      </w:r>
      <w:r w:rsidRPr="006A6928" w:rsidR="00BE352B">
        <w:rPr>
          <w:rFonts w:eastAsia="Times New Roman"/>
          <w:szCs w:val="26"/>
        </w:rPr>
        <w:t>,</w:t>
      </w:r>
      <w:r w:rsidRPr="006A6928">
        <w:rPr>
          <w:rFonts w:eastAsia="Times New Roman"/>
          <w:szCs w:val="26"/>
        </w:rPr>
        <w:t xml:space="preserve"> it has also affirmatively promoted and profited from them. </w:t>
      </w:r>
    </w:p>
    <w:p w:rsidR="00CA4AF0" w:rsidRPr="006A6928" w:rsidP="003860FD">
      <w:pPr>
        <w:ind w:firstLine="720"/>
        <w:rPr>
          <w:rFonts w:eastAsia="Times New Roman"/>
          <w:szCs w:val="26"/>
        </w:rPr>
      </w:pPr>
      <w:r w:rsidRPr="006A6928">
        <w:rPr>
          <w:rFonts w:eastAsia="Times New Roman"/>
          <w:szCs w:val="26"/>
        </w:rPr>
        <w:t>The scam generally operate</w:t>
      </w:r>
      <w:r w:rsidRPr="006A6928" w:rsidR="003860FD">
        <w:rPr>
          <w:rFonts w:eastAsia="Times New Roman"/>
          <w:szCs w:val="26"/>
        </w:rPr>
        <w:t>s</w:t>
      </w:r>
      <w:r w:rsidRPr="006A6928">
        <w:rPr>
          <w:rFonts w:eastAsia="Times New Roman"/>
          <w:szCs w:val="26"/>
        </w:rPr>
        <w:t xml:space="preserve"> as follows. </w:t>
      </w:r>
      <w:r w:rsidRPr="006A6928" w:rsidR="003860FD">
        <w:rPr>
          <w:rFonts w:eastAsia="Times New Roman"/>
          <w:szCs w:val="26"/>
        </w:rPr>
        <w:t xml:space="preserve"> First, scammers will breach YouTube’s security to unlawfully gain access to verified and popular YouTube channels with tens or hundreds of thousands of subscribers.  </w:t>
      </w:r>
      <w:r w:rsidRPr="006A6928" w:rsidR="006C2CB5">
        <w:rPr>
          <w:rFonts w:eastAsia="Times New Roman"/>
          <w:szCs w:val="26"/>
        </w:rPr>
        <w:t>T</w:t>
      </w:r>
      <w:r w:rsidRPr="006A6928" w:rsidR="003860FD">
        <w:rPr>
          <w:rFonts w:eastAsia="Times New Roman"/>
          <w:szCs w:val="26"/>
        </w:rPr>
        <w:t xml:space="preserve">he scammers </w:t>
      </w:r>
      <w:r w:rsidRPr="006A6928" w:rsidR="006C2CB5">
        <w:rPr>
          <w:rFonts w:eastAsia="Times New Roman"/>
          <w:szCs w:val="26"/>
        </w:rPr>
        <w:t xml:space="preserve">then </w:t>
      </w:r>
      <w:r w:rsidRPr="006A6928" w:rsidR="003860FD">
        <w:rPr>
          <w:rFonts w:eastAsia="Times New Roman"/>
          <w:szCs w:val="26"/>
        </w:rPr>
        <w:t>transfer ownership or control of the channel to themselves or a co-conspirator, rename the channel</w:t>
      </w:r>
      <w:r w:rsidRPr="006A6928">
        <w:rPr>
          <w:rFonts w:eastAsia="Times New Roman"/>
          <w:szCs w:val="26"/>
        </w:rPr>
        <w:t xml:space="preserve"> to impersonate tech celebrities or companies</w:t>
      </w:r>
      <w:r w:rsidRPr="006A6928" w:rsidR="003860FD">
        <w:rPr>
          <w:rFonts w:eastAsia="Times New Roman"/>
          <w:szCs w:val="26"/>
        </w:rPr>
        <w:t xml:space="preserve">, and delete </w:t>
      </w:r>
      <w:r w:rsidRPr="006A6928">
        <w:rPr>
          <w:rFonts w:eastAsia="Times New Roman"/>
          <w:szCs w:val="26"/>
        </w:rPr>
        <w:t xml:space="preserve">the channel’s pre-existing content. </w:t>
      </w:r>
      <w:r w:rsidRPr="006A6928" w:rsidR="003860FD">
        <w:rPr>
          <w:rFonts w:eastAsia="Times New Roman"/>
          <w:szCs w:val="26"/>
        </w:rPr>
        <w:t xml:space="preserve"> </w:t>
      </w:r>
    </w:p>
    <w:p w:rsidR="00364918" w:rsidRPr="006A6928" w:rsidP="00364918">
      <w:pPr>
        <w:ind w:firstLine="720"/>
        <w:rPr>
          <w:rFonts w:eastAsia="Times New Roman"/>
          <w:szCs w:val="26"/>
        </w:rPr>
      </w:pPr>
      <w:r w:rsidRPr="006A6928">
        <w:rPr>
          <w:rFonts w:eastAsia="Times New Roman"/>
          <w:szCs w:val="26"/>
        </w:rPr>
        <w:t xml:space="preserve">Next, they </w:t>
      </w:r>
      <w:r w:rsidRPr="006A6928" w:rsidR="00CA4AF0">
        <w:rPr>
          <w:rFonts w:eastAsia="Times New Roman"/>
          <w:szCs w:val="26"/>
        </w:rPr>
        <w:t xml:space="preserve">upload and play </w:t>
      </w:r>
      <w:r w:rsidRPr="006A6928" w:rsidR="006E7124">
        <w:rPr>
          <w:rFonts w:eastAsia="Times New Roman"/>
          <w:szCs w:val="26"/>
        </w:rPr>
        <w:t xml:space="preserve">scam </w:t>
      </w:r>
      <w:r w:rsidRPr="006A6928" w:rsidR="00CA4AF0">
        <w:rPr>
          <w:rFonts w:eastAsia="Times New Roman"/>
          <w:szCs w:val="26"/>
        </w:rPr>
        <w:t>video</w:t>
      </w:r>
      <w:r w:rsidRPr="006A6928" w:rsidR="006E7124">
        <w:rPr>
          <w:rFonts w:eastAsia="Times New Roman"/>
          <w:szCs w:val="26"/>
        </w:rPr>
        <w:t>s</w:t>
      </w:r>
      <w:r w:rsidRPr="006A6928" w:rsidR="00CA4AF0">
        <w:rPr>
          <w:rFonts w:eastAsia="Times New Roman"/>
          <w:szCs w:val="26"/>
        </w:rPr>
        <w:t xml:space="preserve"> </w:t>
      </w:r>
      <w:r w:rsidRPr="006A6928" w:rsidR="006E7124">
        <w:rPr>
          <w:rFonts w:eastAsia="Times New Roman"/>
          <w:szCs w:val="26"/>
        </w:rPr>
        <w:t xml:space="preserve">they have created </w:t>
      </w:r>
      <w:r w:rsidRPr="006A6928" w:rsidR="00CA4AF0">
        <w:rPr>
          <w:rFonts w:eastAsia="Times New Roman"/>
          <w:szCs w:val="26"/>
        </w:rPr>
        <w:t xml:space="preserve">using </w:t>
      </w:r>
      <w:r w:rsidRPr="006A6928" w:rsidR="006E7124">
        <w:rPr>
          <w:rFonts w:eastAsia="Times New Roman"/>
          <w:szCs w:val="26"/>
        </w:rPr>
        <w:t xml:space="preserve">pre-existing </w:t>
      </w:r>
      <w:r w:rsidRPr="006A6928" w:rsidR="00CA4AF0">
        <w:rPr>
          <w:rFonts w:eastAsia="Times New Roman"/>
          <w:szCs w:val="26"/>
        </w:rPr>
        <w:t xml:space="preserve">images and videos of famous tech </w:t>
      </w:r>
      <w:r w:rsidRPr="006A6928" w:rsidR="006E7124">
        <w:rPr>
          <w:szCs w:val="26"/>
        </w:rPr>
        <w:t xml:space="preserve">entrepreneurs such </w:t>
      </w:r>
      <w:r w:rsidR="002D4A6C">
        <w:rPr>
          <w:szCs w:val="26"/>
        </w:rPr>
        <w:t xml:space="preserve">as </w:t>
      </w:r>
      <w:r w:rsidRPr="006A6928" w:rsidR="006E7124">
        <w:rPr>
          <w:szCs w:val="26"/>
        </w:rPr>
        <w:t xml:space="preserve">plaintiff Wozniak, Bill Gates or Elon Musk speaking at a cryptocurrency or technology conference, </w:t>
      </w:r>
      <w:r w:rsidRPr="006A6928" w:rsidR="00940740">
        <w:rPr>
          <w:szCs w:val="26"/>
        </w:rPr>
        <w:t xml:space="preserve">which is </w:t>
      </w:r>
      <w:r w:rsidRPr="006A6928" w:rsidR="006E7124">
        <w:rPr>
          <w:szCs w:val="26"/>
        </w:rPr>
        <w:t xml:space="preserve">intended to </w:t>
      </w:r>
      <w:r w:rsidR="002D4A6C">
        <w:rPr>
          <w:szCs w:val="26"/>
        </w:rPr>
        <w:t>deceive</w:t>
      </w:r>
      <w:r w:rsidRPr="006A6928" w:rsidR="002D4A6C">
        <w:rPr>
          <w:szCs w:val="26"/>
        </w:rPr>
        <w:t xml:space="preserve"> </w:t>
      </w:r>
      <w:r w:rsidRPr="006A6928" w:rsidR="006E7124">
        <w:rPr>
          <w:szCs w:val="26"/>
        </w:rPr>
        <w:t xml:space="preserve">YouTube users </w:t>
      </w:r>
      <w:r w:rsidR="002D4A6C">
        <w:rPr>
          <w:szCs w:val="26"/>
        </w:rPr>
        <w:t xml:space="preserve">into believing </w:t>
      </w:r>
      <w:r w:rsidRPr="006A6928" w:rsidR="006E7124">
        <w:rPr>
          <w:szCs w:val="26"/>
        </w:rPr>
        <w:t xml:space="preserve">that </w:t>
      </w:r>
      <w:r w:rsidRPr="006A6928" w:rsidR="00CA4AF0">
        <w:rPr>
          <w:rFonts w:eastAsia="Times New Roman"/>
          <w:szCs w:val="26"/>
        </w:rPr>
        <w:t>the celebrity is hosting a live “bitcoin giveaway” event.</w:t>
      </w:r>
      <w:r>
        <w:rPr>
          <w:rStyle w:val="FootnoteReference"/>
          <w:rFonts w:eastAsia="Times New Roman"/>
          <w:szCs w:val="26"/>
        </w:rPr>
        <w:footnoteReference w:id="5"/>
      </w:r>
      <w:r w:rsidRPr="006A6928" w:rsidR="00CA4AF0">
        <w:rPr>
          <w:rFonts w:eastAsia="Times New Roman"/>
          <w:szCs w:val="26"/>
        </w:rPr>
        <w:t xml:space="preserve">  </w:t>
      </w:r>
      <w:r w:rsidRPr="006A6928">
        <w:rPr>
          <w:rFonts w:eastAsia="Times New Roman"/>
          <w:szCs w:val="26"/>
        </w:rPr>
        <w:t xml:space="preserve">Plaintiffs allege that </w:t>
      </w:r>
      <w:r w:rsidR="002D4A6C">
        <w:rPr>
          <w:rFonts w:eastAsia="Times New Roman"/>
          <w:szCs w:val="26"/>
        </w:rPr>
        <w:t>Wozniak, who co-founded Apple Computer in the 1970s,</w:t>
      </w:r>
      <w:r w:rsidRPr="006A6928" w:rsidR="002D4A6C">
        <w:rPr>
          <w:rFonts w:eastAsia="Times New Roman"/>
          <w:szCs w:val="26"/>
        </w:rPr>
        <w:t xml:space="preserve"> </w:t>
      </w:r>
      <w:r w:rsidRPr="006A6928">
        <w:rPr>
          <w:rFonts w:eastAsia="Times New Roman"/>
          <w:szCs w:val="26"/>
        </w:rPr>
        <w:t xml:space="preserve">is a “Silicon Valley icon,” who has “engaged in many entrepreneurial and philanthropic ventures” and is a “widely known, recognized, and beloved public figure.” </w:t>
      </w:r>
    </w:p>
    <w:p w:rsidR="008A358A" w:rsidRPr="006A6928" w:rsidP="0021507F">
      <w:pPr>
        <w:ind w:firstLine="720"/>
        <w:rPr>
          <w:rFonts w:eastAsia="Times New Roman"/>
          <w:szCs w:val="26"/>
        </w:rPr>
      </w:pPr>
      <w:r w:rsidRPr="006A6928">
        <w:rPr>
          <w:rFonts w:eastAsia="Times New Roman"/>
          <w:szCs w:val="26"/>
        </w:rPr>
        <w:t>The scam video is surrounded with i</w:t>
      </w:r>
      <w:r w:rsidRPr="006A6928">
        <w:rPr>
          <w:szCs w:val="26"/>
        </w:rPr>
        <w:t>mages and text stating</w:t>
      </w:r>
      <w:r w:rsidRPr="006A6928" w:rsidR="00E823BA">
        <w:rPr>
          <w:rFonts w:eastAsia="Times New Roman"/>
          <w:szCs w:val="26"/>
        </w:rPr>
        <w:t xml:space="preserve"> that, for a limited time, anyone who sends bitcoin to a specified </w:t>
      </w:r>
      <w:r w:rsidRPr="006A6928">
        <w:rPr>
          <w:rFonts w:eastAsia="Times New Roman"/>
          <w:szCs w:val="26"/>
        </w:rPr>
        <w:t xml:space="preserve">account, via a QR code included in the video, will receive twice as much in return.  </w:t>
      </w:r>
      <w:r w:rsidRPr="006A6928">
        <w:rPr>
          <w:szCs w:val="26"/>
        </w:rPr>
        <w:t xml:space="preserve">The images and text often include trademarks, such as the Apple logo, and a link to a fraudulent web address that incorporates the particular tech entrepreneur’s name.  </w:t>
      </w:r>
      <w:r w:rsidRPr="006A6928">
        <w:rPr>
          <w:rFonts w:eastAsia="Times New Roman"/>
          <w:szCs w:val="26"/>
        </w:rPr>
        <w:t xml:space="preserve">However, after the users transfer their cryptocurrency in an irreversible transaction, they receive nothing in return and the scam is complete. </w:t>
      </w:r>
      <w:r w:rsidRPr="006A6928" w:rsidR="00E41D50">
        <w:rPr>
          <w:rFonts w:eastAsia="Times New Roman"/>
          <w:szCs w:val="26"/>
        </w:rPr>
        <w:t xml:space="preserve"> </w:t>
      </w:r>
    </w:p>
    <w:p w:rsidR="008A358A" w:rsidRPr="006A6928" w:rsidP="0021507F">
      <w:pPr>
        <w:ind w:firstLine="720"/>
        <w:rPr>
          <w:rFonts w:eastAsia="Times New Roman"/>
          <w:szCs w:val="26"/>
        </w:rPr>
      </w:pPr>
      <w:r w:rsidRPr="006A6928">
        <w:rPr>
          <w:rFonts w:eastAsia="Times New Roman"/>
          <w:szCs w:val="26"/>
        </w:rPr>
        <w:t xml:space="preserve">The scam has existed on YouTube since at least October 2018 and has been replicated many times in substantially the same form. </w:t>
      </w:r>
      <w:r w:rsidRPr="006A6928" w:rsidR="00212481">
        <w:rPr>
          <w:rFonts w:eastAsia="Times New Roman"/>
          <w:szCs w:val="26"/>
        </w:rPr>
        <w:t xml:space="preserve"> </w:t>
      </w:r>
      <w:r w:rsidRPr="006A6928" w:rsidR="006066C3">
        <w:rPr>
          <w:rFonts w:eastAsia="Times New Roman"/>
          <w:szCs w:val="26"/>
        </w:rPr>
        <w:t xml:space="preserve">In the process, millions of people have viewed the scam videos, resulting in the loss of millions of dollars of bitcoin and other cryptocurrencies.  </w:t>
      </w:r>
      <w:r w:rsidRPr="006A6928" w:rsidR="00D162C3">
        <w:rPr>
          <w:rFonts w:eastAsia="Times New Roman"/>
          <w:szCs w:val="26"/>
        </w:rPr>
        <w:t>Specific to this lawsuit</w:t>
      </w:r>
      <w:r w:rsidRPr="006A6928" w:rsidR="00DB166B">
        <w:rPr>
          <w:rFonts w:eastAsia="Times New Roman"/>
          <w:szCs w:val="26"/>
        </w:rPr>
        <w:t>, unnamed third</w:t>
      </w:r>
      <w:r w:rsidRPr="006A6928" w:rsidR="00D162C3">
        <w:rPr>
          <w:rFonts w:eastAsia="Times New Roman"/>
          <w:szCs w:val="26"/>
        </w:rPr>
        <w:t xml:space="preserve"> </w:t>
      </w:r>
      <w:r w:rsidRPr="006A6928" w:rsidR="00DB166B">
        <w:rPr>
          <w:rFonts w:eastAsia="Times New Roman"/>
          <w:szCs w:val="26"/>
        </w:rPr>
        <w:t xml:space="preserve">parties </w:t>
      </w:r>
      <w:r w:rsidRPr="006A6928" w:rsidR="00D162C3">
        <w:rPr>
          <w:rFonts w:eastAsia="Times New Roman"/>
          <w:szCs w:val="26"/>
        </w:rPr>
        <w:t xml:space="preserve">have </w:t>
      </w:r>
      <w:r w:rsidRPr="006A6928" w:rsidR="00DB166B">
        <w:rPr>
          <w:rFonts w:eastAsia="Times New Roman"/>
          <w:szCs w:val="26"/>
        </w:rPr>
        <w:t xml:space="preserve">perpetrated the scam </w:t>
      </w:r>
      <w:r w:rsidRPr="006A6928" w:rsidR="008C178F">
        <w:rPr>
          <w:rFonts w:eastAsia="Times New Roman"/>
          <w:szCs w:val="26"/>
        </w:rPr>
        <w:t xml:space="preserve">since at least May 8, 2020, </w:t>
      </w:r>
      <w:r w:rsidRPr="006A6928" w:rsidR="00DB166B">
        <w:rPr>
          <w:rFonts w:eastAsia="Times New Roman"/>
          <w:szCs w:val="26"/>
        </w:rPr>
        <w:t>using Wozniak’s name and likeness</w:t>
      </w:r>
      <w:r w:rsidRPr="006A6928" w:rsidR="008C178F">
        <w:rPr>
          <w:rFonts w:eastAsia="Times New Roman"/>
          <w:szCs w:val="26"/>
        </w:rPr>
        <w:t xml:space="preserve"> and</w:t>
      </w:r>
      <w:r w:rsidRPr="006A6928" w:rsidR="00DB166B">
        <w:rPr>
          <w:rFonts w:eastAsia="Times New Roman"/>
          <w:szCs w:val="26"/>
        </w:rPr>
        <w:t xml:space="preserve"> </w:t>
      </w:r>
      <w:r w:rsidRPr="006A6928" w:rsidR="005A3976">
        <w:rPr>
          <w:rFonts w:eastAsia="Times New Roman"/>
          <w:szCs w:val="26"/>
        </w:rPr>
        <w:t xml:space="preserve">thereby </w:t>
      </w:r>
      <w:r w:rsidRPr="006A6928" w:rsidR="00DB166B">
        <w:rPr>
          <w:rFonts w:eastAsia="Times New Roman"/>
          <w:szCs w:val="26"/>
        </w:rPr>
        <w:t xml:space="preserve">stealing </w:t>
      </w:r>
      <w:r w:rsidRPr="006A6928" w:rsidR="00BD16C6">
        <w:rPr>
          <w:rFonts w:eastAsia="Times New Roman"/>
          <w:szCs w:val="26"/>
        </w:rPr>
        <w:t xml:space="preserve">hundreds of </w:t>
      </w:r>
      <w:r w:rsidRPr="006A6928" w:rsidR="00DB166B">
        <w:rPr>
          <w:rFonts w:eastAsia="Times New Roman"/>
          <w:szCs w:val="26"/>
        </w:rPr>
        <w:t>thousands of dollars worth of bitcoi</w:t>
      </w:r>
      <w:r w:rsidRPr="006A6928" w:rsidR="005A3976">
        <w:rPr>
          <w:rFonts w:eastAsia="Times New Roman"/>
          <w:szCs w:val="26"/>
        </w:rPr>
        <w:t>n</w:t>
      </w:r>
      <w:r w:rsidRPr="006A6928" w:rsidR="008C178F">
        <w:rPr>
          <w:rFonts w:eastAsia="Times New Roman"/>
          <w:szCs w:val="26"/>
        </w:rPr>
        <w:t xml:space="preserve"> and similar cryptocurrencies</w:t>
      </w:r>
      <w:r w:rsidRPr="006A6928" w:rsidR="005A3976">
        <w:rPr>
          <w:rFonts w:eastAsia="Times New Roman"/>
          <w:szCs w:val="26"/>
        </w:rPr>
        <w:t xml:space="preserve"> from the </w:t>
      </w:r>
      <w:r w:rsidRPr="006A6928" w:rsidR="00D162C3">
        <w:rPr>
          <w:rFonts w:eastAsia="Times New Roman"/>
          <w:szCs w:val="26"/>
        </w:rPr>
        <w:t>17</w:t>
      </w:r>
      <w:r w:rsidRPr="006A6928" w:rsidR="005A3976">
        <w:rPr>
          <w:rFonts w:eastAsia="Times New Roman"/>
          <w:szCs w:val="26"/>
        </w:rPr>
        <w:t xml:space="preserve"> </w:t>
      </w:r>
      <w:r w:rsidRPr="006A6928" w:rsidR="008C178F">
        <w:rPr>
          <w:rFonts w:eastAsia="Times New Roman"/>
          <w:szCs w:val="26"/>
        </w:rPr>
        <w:t xml:space="preserve">other </w:t>
      </w:r>
      <w:r w:rsidRPr="006A6928" w:rsidR="005A3976">
        <w:rPr>
          <w:rFonts w:eastAsia="Times New Roman"/>
          <w:szCs w:val="26"/>
        </w:rPr>
        <w:t>named plaintiffs.</w:t>
      </w:r>
      <w:r w:rsidRPr="006A6928" w:rsidR="00D162C3">
        <w:rPr>
          <w:rFonts w:eastAsia="Times New Roman"/>
          <w:szCs w:val="26"/>
        </w:rPr>
        <w:t xml:space="preserve">  </w:t>
      </w:r>
      <w:r w:rsidRPr="006A6928" w:rsidR="008C178F">
        <w:rPr>
          <w:rFonts w:eastAsia="Times New Roman"/>
          <w:szCs w:val="26"/>
        </w:rPr>
        <w:t xml:space="preserve">The scam has continued through the date plaintiffs filed the initial complaint in this action.  </w:t>
      </w:r>
    </w:p>
    <w:p w:rsidR="00B23CF7" w:rsidRPr="006A6928" w:rsidP="009F024B">
      <w:pPr>
        <w:ind w:firstLine="720"/>
        <w:rPr>
          <w:rFonts w:eastAsia="Times New Roman"/>
          <w:szCs w:val="26"/>
        </w:rPr>
      </w:pPr>
      <w:r w:rsidRPr="006A6928">
        <w:rPr>
          <w:rFonts w:eastAsia="Times New Roman"/>
          <w:szCs w:val="26"/>
        </w:rPr>
        <w:t xml:space="preserve">According to plaintiffs, </w:t>
      </w:r>
      <w:r w:rsidRPr="006A6928" w:rsidR="00AB55DC">
        <w:rPr>
          <w:rFonts w:eastAsia="Times New Roman"/>
          <w:szCs w:val="26"/>
        </w:rPr>
        <w:t>defendants have</w:t>
      </w:r>
      <w:r w:rsidRPr="006A6928">
        <w:rPr>
          <w:rFonts w:eastAsia="Times New Roman"/>
          <w:szCs w:val="26"/>
        </w:rPr>
        <w:t xml:space="preserve"> known about the scam</w:t>
      </w:r>
      <w:r w:rsidRPr="006A6928" w:rsidR="007B2215">
        <w:rPr>
          <w:rFonts w:eastAsia="Times New Roman"/>
          <w:szCs w:val="26"/>
        </w:rPr>
        <w:t>, yet have</w:t>
      </w:r>
      <w:r w:rsidRPr="006A6928">
        <w:rPr>
          <w:rFonts w:eastAsia="Times New Roman"/>
          <w:szCs w:val="26"/>
        </w:rPr>
        <w:t xml:space="preserve"> allowed it to </w:t>
      </w:r>
      <w:r w:rsidRPr="006A6928" w:rsidR="007B2215">
        <w:rPr>
          <w:rFonts w:eastAsia="Times New Roman"/>
          <w:szCs w:val="26"/>
        </w:rPr>
        <w:t>continue</w:t>
      </w:r>
      <w:r w:rsidRPr="006A6928">
        <w:rPr>
          <w:rFonts w:eastAsia="Times New Roman"/>
          <w:szCs w:val="26"/>
        </w:rPr>
        <w:t xml:space="preserve">. </w:t>
      </w:r>
      <w:r w:rsidRPr="006A6928" w:rsidR="007B2215">
        <w:rPr>
          <w:rFonts w:eastAsia="Times New Roman"/>
          <w:szCs w:val="26"/>
        </w:rPr>
        <w:t xml:space="preserve"> </w:t>
      </w:r>
      <w:r w:rsidRPr="006A6928" w:rsidR="009F024B">
        <w:rPr>
          <w:rFonts w:eastAsia="Times New Roman"/>
          <w:szCs w:val="26"/>
        </w:rPr>
        <w:t xml:space="preserve">In many instances, YouTube knew specific channels had been hijacked but failed to remove or suspend the pre-existing verification badges appearing on those channels.  </w:t>
      </w:r>
      <w:r w:rsidRPr="006A6928" w:rsidR="00E13307">
        <w:rPr>
          <w:rFonts w:eastAsia="Times New Roman"/>
          <w:szCs w:val="26"/>
        </w:rPr>
        <w:t xml:space="preserve">In at least one instance, YouTube issued a verification badge to a channel while it was perpetrating the scam.  </w:t>
      </w:r>
      <w:r w:rsidRPr="006A6928" w:rsidR="009F024B">
        <w:rPr>
          <w:rFonts w:eastAsia="Times New Roman"/>
          <w:szCs w:val="26"/>
        </w:rPr>
        <w:t xml:space="preserve">YouTube has allowed the scam to continue, despite its own </w:t>
      </w:r>
      <w:r w:rsidRPr="006A6928" w:rsidR="00BE3739">
        <w:rPr>
          <w:rFonts w:eastAsia="Times New Roman"/>
          <w:szCs w:val="26"/>
        </w:rPr>
        <w:t>stated policies</w:t>
      </w:r>
      <w:r w:rsidRPr="006A6928" w:rsidR="009F024B">
        <w:rPr>
          <w:rFonts w:eastAsia="Times New Roman"/>
          <w:szCs w:val="26"/>
        </w:rPr>
        <w:t xml:space="preserve"> that it does not allow</w:t>
      </w:r>
      <w:r w:rsidRPr="006A6928" w:rsidR="00E13307">
        <w:rPr>
          <w:rFonts w:eastAsia="Times New Roman"/>
          <w:szCs w:val="26"/>
        </w:rPr>
        <w:t xml:space="preserve"> </w:t>
      </w:r>
      <w:r w:rsidRPr="006A6928" w:rsidR="009F024B">
        <w:rPr>
          <w:rFonts w:eastAsia="Times New Roman"/>
          <w:szCs w:val="26"/>
        </w:rPr>
        <w:t>scams or other deceptive practices tha</w:t>
      </w:r>
      <w:r w:rsidRPr="006A6928" w:rsidR="00EE5D12">
        <w:rPr>
          <w:rFonts w:eastAsia="Times New Roman"/>
          <w:szCs w:val="26"/>
        </w:rPr>
        <w:t xml:space="preserve">t take advantage of the YouTube community. </w:t>
      </w:r>
      <w:r w:rsidRPr="006A6928" w:rsidR="00BE3739">
        <w:rPr>
          <w:rFonts w:eastAsia="Times New Roman"/>
          <w:szCs w:val="26"/>
        </w:rPr>
        <w:t xml:space="preserve"> </w:t>
      </w:r>
    </w:p>
    <w:p w:rsidR="00A9409E" w:rsidRPr="006A6928" w:rsidP="003F5C21">
      <w:pPr>
        <w:ind w:firstLine="720"/>
        <w:rPr>
          <w:rFonts w:eastAsia="Times New Roman"/>
          <w:szCs w:val="26"/>
        </w:rPr>
      </w:pPr>
      <w:r w:rsidRPr="006A6928">
        <w:rPr>
          <w:rFonts w:eastAsia="Times New Roman"/>
          <w:szCs w:val="26"/>
        </w:rPr>
        <w:t xml:space="preserve">Defendants have both the human and technological capabilities to implement reasonable security measures that would prevent hijacking of popular channels and quickly detect and remove scam videos.  </w:t>
      </w:r>
      <w:r w:rsidRPr="006A6928" w:rsidR="00F12082">
        <w:rPr>
          <w:rFonts w:eastAsia="Times New Roman"/>
          <w:szCs w:val="26"/>
        </w:rPr>
        <w:t xml:space="preserve">Despite having the means to stop or limit the proliferation of the scam, defendants have declined to do so. </w:t>
      </w:r>
    </w:p>
    <w:p w:rsidR="000A4ECD" w:rsidRPr="006A6928" w:rsidP="000A4ECD">
      <w:pPr>
        <w:ind w:firstLine="720"/>
        <w:rPr>
          <w:rFonts w:eastAsia="Times New Roman"/>
          <w:szCs w:val="26"/>
        </w:rPr>
      </w:pPr>
      <w:r w:rsidRPr="006A6928">
        <w:rPr>
          <w:rFonts w:eastAsia="Times New Roman"/>
          <w:szCs w:val="26"/>
        </w:rPr>
        <w:t>According to plaintiffs,</w:t>
      </w:r>
      <w:r w:rsidRPr="006A6928" w:rsidR="00E1176F">
        <w:rPr>
          <w:rFonts w:eastAsia="Times New Roman"/>
          <w:szCs w:val="26"/>
        </w:rPr>
        <w:t xml:space="preserve"> </w:t>
      </w:r>
      <w:r w:rsidRPr="006A6928">
        <w:rPr>
          <w:rFonts w:eastAsia="Times New Roman"/>
          <w:szCs w:val="26"/>
        </w:rPr>
        <w:t>b</w:t>
      </w:r>
      <w:r w:rsidRPr="006A6928" w:rsidR="00F12082">
        <w:rPr>
          <w:rFonts w:eastAsia="Times New Roman"/>
          <w:szCs w:val="26"/>
        </w:rPr>
        <w:t>eyond merely allowing it to continue, defendants have actively promoted and profited from the scam.  For instance,</w:t>
      </w:r>
      <w:r w:rsidRPr="006A6928" w:rsidR="006E15D6">
        <w:rPr>
          <w:rFonts w:eastAsia="Times New Roman"/>
          <w:szCs w:val="26"/>
        </w:rPr>
        <w:t xml:space="preserve"> YouTube has promoted the scam videos in plaintiffs’ and other</w:t>
      </w:r>
      <w:r w:rsidRPr="006A6928" w:rsidR="00A00B3D">
        <w:rPr>
          <w:rFonts w:eastAsia="Times New Roman"/>
          <w:szCs w:val="26"/>
        </w:rPr>
        <w:t xml:space="preserve"> users</w:t>
      </w:r>
      <w:r w:rsidRPr="006A6928" w:rsidR="006E15D6">
        <w:rPr>
          <w:rFonts w:eastAsia="Times New Roman"/>
          <w:szCs w:val="26"/>
        </w:rPr>
        <w:t>’ home page video recommendations, in their “up-next” videos which often begin playing automatically</w:t>
      </w:r>
      <w:r w:rsidRPr="006A6928" w:rsidR="00A00B3D">
        <w:rPr>
          <w:rFonts w:eastAsia="Times New Roman"/>
          <w:szCs w:val="26"/>
        </w:rPr>
        <w:t xml:space="preserve"> upon the conclusion of the previous video</w:t>
      </w:r>
      <w:r w:rsidRPr="006A6928" w:rsidR="006E15D6">
        <w:rPr>
          <w:rFonts w:eastAsia="Times New Roman"/>
          <w:szCs w:val="26"/>
        </w:rPr>
        <w:t xml:space="preserve">, and in the list of recommended videos shown while one video is playing.  </w:t>
      </w:r>
      <w:r w:rsidRPr="006A6928" w:rsidR="00A00B3D">
        <w:rPr>
          <w:rFonts w:eastAsia="Times New Roman"/>
          <w:szCs w:val="26"/>
        </w:rPr>
        <w:t>YouTube’s algorithm targets the scam videos directly at plaintiffs because the personal information and data that defendants have collected about them</w:t>
      </w:r>
      <w:r w:rsidRPr="006A6928" w:rsidR="00497BE1">
        <w:rPr>
          <w:rFonts w:eastAsia="Times New Roman"/>
          <w:szCs w:val="26"/>
        </w:rPr>
        <w:t>—such as clicks, watch time, likes and dislikes, comments, upload frequency</w:t>
      </w:r>
      <w:r w:rsidRPr="006A6928">
        <w:rPr>
          <w:rFonts w:eastAsia="Times New Roman"/>
          <w:szCs w:val="26"/>
        </w:rPr>
        <w:t xml:space="preserve">, emails sent and received, saved photos and videos, documents and spreadsheets created, YouTube video comments, and </w:t>
      </w:r>
      <w:r w:rsidRPr="006A6928" w:rsidR="00E13307">
        <w:rPr>
          <w:rFonts w:eastAsia="Times New Roman"/>
          <w:szCs w:val="26"/>
        </w:rPr>
        <w:t xml:space="preserve">other </w:t>
      </w:r>
      <w:r w:rsidRPr="006A6928">
        <w:rPr>
          <w:rFonts w:eastAsia="Times New Roman"/>
          <w:szCs w:val="26"/>
        </w:rPr>
        <w:t xml:space="preserve">behavior through their apps, </w:t>
      </w:r>
      <w:r w:rsidRPr="006A6928" w:rsidR="008238E0">
        <w:rPr>
          <w:rFonts w:eastAsia="Times New Roman"/>
          <w:szCs w:val="26"/>
        </w:rPr>
        <w:t>browsers,</w:t>
      </w:r>
      <w:r w:rsidRPr="006A6928">
        <w:rPr>
          <w:rFonts w:eastAsia="Times New Roman"/>
          <w:szCs w:val="26"/>
        </w:rPr>
        <w:t xml:space="preserve"> and devices</w:t>
      </w:r>
      <w:r w:rsidRPr="006A6928" w:rsidR="00497BE1">
        <w:rPr>
          <w:rFonts w:eastAsia="Times New Roman"/>
          <w:szCs w:val="26"/>
        </w:rPr>
        <w:t xml:space="preserve">—indicated </w:t>
      </w:r>
      <w:r w:rsidRPr="006A6928" w:rsidR="00A00B3D">
        <w:rPr>
          <w:rFonts w:eastAsia="Times New Roman"/>
          <w:szCs w:val="26"/>
        </w:rPr>
        <w:t xml:space="preserve">they were interested in cryptocurrency. </w:t>
      </w:r>
    </w:p>
    <w:p w:rsidR="00352902" w:rsidRPr="006A6928" w:rsidP="00352902">
      <w:pPr>
        <w:ind w:firstLine="720"/>
        <w:rPr>
          <w:rFonts w:eastAsia="Times New Roman"/>
          <w:szCs w:val="26"/>
        </w:rPr>
      </w:pPr>
      <w:r w:rsidRPr="006A6928">
        <w:rPr>
          <w:rFonts w:eastAsia="Times New Roman"/>
          <w:szCs w:val="26"/>
        </w:rPr>
        <w:t>YouTube</w:t>
      </w:r>
      <w:r w:rsidR="001351AC">
        <w:rPr>
          <w:rFonts w:eastAsia="Times New Roman"/>
          <w:szCs w:val="26"/>
        </w:rPr>
        <w:t xml:space="preserve"> also</w:t>
      </w:r>
      <w:r w:rsidRPr="006A6928">
        <w:rPr>
          <w:rFonts w:eastAsia="Times New Roman"/>
          <w:szCs w:val="26"/>
        </w:rPr>
        <w:t xml:space="preserve"> </w:t>
      </w:r>
      <w:r w:rsidRPr="006A6928" w:rsidR="00E13307">
        <w:rPr>
          <w:rFonts w:eastAsia="Times New Roman"/>
          <w:szCs w:val="26"/>
        </w:rPr>
        <w:t>issues</w:t>
      </w:r>
      <w:r w:rsidRPr="006A6928">
        <w:rPr>
          <w:rFonts w:eastAsia="Times New Roman"/>
          <w:szCs w:val="26"/>
        </w:rPr>
        <w:t xml:space="preserve"> verification badges to certify to its users that a verified channel has been vetted and is trustworthy.  According to plaintiffs, in issuing </w:t>
      </w:r>
      <w:r w:rsidR="001351AC">
        <w:rPr>
          <w:rFonts w:eastAsia="Times New Roman"/>
          <w:szCs w:val="26"/>
        </w:rPr>
        <w:t>a</w:t>
      </w:r>
      <w:r w:rsidRPr="006A6928" w:rsidR="001351AC">
        <w:rPr>
          <w:rFonts w:eastAsia="Times New Roman"/>
          <w:szCs w:val="26"/>
        </w:rPr>
        <w:t xml:space="preserve"> </w:t>
      </w:r>
      <w:r w:rsidRPr="006A6928">
        <w:rPr>
          <w:rFonts w:eastAsia="Times New Roman"/>
          <w:szCs w:val="26"/>
        </w:rPr>
        <w:t xml:space="preserve">verification badge, YouTube is communicating that an account is “the official channel of a creator, artist, company or public figure” and therefore can be trusted.  YouTube has maintained verification badges on channels it knew had been hijacked.  </w:t>
      </w:r>
    </w:p>
    <w:p w:rsidR="00C15AA2" w:rsidRPr="006A6928" w:rsidP="00BA46D7">
      <w:pPr>
        <w:ind w:firstLine="720"/>
        <w:rPr>
          <w:rFonts w:ascii="CIDFont+F2" w:hAnsi="CIDFont+F2" w:cs="CIDFont+F2"/>
          <w:sz w:val="22"/>
        </w:rPr>
      </w:pPr>
      <w:r w:rsidRPr="006A6928">
        <w:rPr>
          <w:rFonts w:eastAsia="Times New Roman"/>
          <w:szCs w:val="26"/>
        </w:rPr>
        <w:t xml:space="preserve">Plaintiffs allege </w:t>
      </w:r>
      <w:r w:rsidRPr="006A6928" w:rsidR="00B062B5">
        <w:rPr>
          <w:rFonts w:eastAsia="Times New Roman"/>
          <w:szCs w:val="26"/>
        </w:rPr>
        <w:t xml:space="preserve">YouTube has </w:t>
      </w:r>
      <w:r w:rsidRPr="006A6928">
        <w:rPr>
          <w:rFonts w:eastAsia="Times New Roman"/>
          <w:szCs w:val="26"/>
        </w:rPr>
        <w:t xml:space="preserve">also </w:t>
      </w:r>
      <w:r w:rsidRPr="006A6928" w:rsidR="00B062B5">
        <w:rPr>
          <w:rFonts w:eastAsia="Times New Roman"/>
          <w:szCs w:val="26"/>
        </w:rPr>
        <w:t xml:space="preserve">negligently designed its video metrics and other public-facing features of its platform to permit the scammers to </w:t>
      </w:r>
      <w:r w:rsidRPr="006A6928" w:rsidR="003409F5">
        <w:rPr>
          <w:rFonts w:eastAsia="Times New Roman"/>
          <w:szCs w:val="26"/>
        </w:rPr>
        <w:t xml:space="preserve">falsely represent that large numbers of viewers have “liked” and viewed the videos when they have not. </w:t>
      </w:r>
      <w:r w:rsidRPr="006A6928" w:rsidR="0068732B">
        <w:rPr>
          <w:rFonts w:eastAsia="Times New Roman"/>
          <w:szCs w:val="26"/>
        </w:rPr>
        <w:t xml:space="preserve"> </w:t>
      </w:r>
      <w:r w:rsidRPr="006A6928" w:rsidR="00BA46D7">
        <w:rPr>
          <w:rFonts w:eastAsia="Times New Roman"/>
          <w:szCs w:val="26"/>
        </w:rPr>
        <w:t xml:space="preserve">The scammers use bots and other tools to falsely inflate the number of likes, views, and those currently watching, to make the videos appear </w:t>
      </w:r>
      <w:r w:rsidRPr="006A6928">
        <w:rPr>
          <w:rFonts w:eastAsia="Times New Roman"/>
          <w:szCs w:val="26"/>
        </w:rPr>
        <w:t xml:space="preserve">authentic and </w:t>
      </w:r>
      <w:r w:rsidRPr="006A6928" w:rsidR="00BA46D7">
        <w:rPr>
          <w:rFonts w:eastAsia="Times New Roman"/>
          <w:szCs w:val="26"/>
        </w:rPr>
        <w:t xml:space="preserve">more legitimate.  </w:t>
      </w:r>
      <w:r w:rsidRPr="006A6928">
        <w:rPr>
          <w:rFonts w:eastAsia="Times New Roman"/>
          <w:szCs w:val="26"/>
        </w:rPr>
        <w:t xml:space="preserve">Similarly, YouTube enables the scammers to falsely represent that </w:t>
      </w:r>
      <w:r w:rsidR="001351AC">
        <w:rPr>
          <w:rFonts w:eastAsia="Times New Roman"/>
          <w:szCs w:val="26"/>
        </w:rPr>
        <w:t>an</w:t>
      </w:r>
      <w:r w:rsidRPr="006A6928" w:rsidR="001351AC">
        <w:rPr>
          <w:rFonts w:eastAsia="Times New Roman"/>
          <w:szCs w:val="26"/>
        </w:rPr>
        <w:t xml:space="preserve"> </w:t>
      </w:r>
      <w:r w:rsidRPr="006A6928">
        <w:rPr>
          <w:rFonts w:eastAsia="Times New Roman"/>
          <w:szCs w:val="26"/>
        </w:rPr>
        <w:t xml:space="preserve">event is live when it is not.  </w:t>
      </w:r>
    </w:p>
    <w:p w:rsidR="003576D7" w:rsidRPr="006A6928" w:rsidP="0021507F">
      <w:pPr>
        <w:ind w:firstLine="720"/>
        <w:rPr>
          <w:rFonts w:eastAsia="Times New Roman"/>
          <w:szCs w:val="26"/>
        </w:rPr>
      </w:pPr>
      <w:r w:rsidRPr="006A6928">
        <w:rPr>
          <w:rFonts w:eastAsia="Times New Roman"/>
          <w:szCs w:val="26"/>
        </w:rPr>
        <w:t>Lastly</w:t>
      </w:r>
      <w:r w:rsidRPr="006A6928" w:rsidR="006E15D6">
        <w:rPr>
          <w:rFonts w:eastAsia="Times New Roman"/>
          <w:szCs w:val="26"/>
        </w:rPr>
        <w:t xml:space="preserve">, </w:t>
      </w:r>
      <w:r w:rsidRPr="006A6928" w:rsidR="002F2475">
        <w:rPr>
          <w:rFonts w:eastAsia="Times New Roman"/>
          <w:szCs w:val="26"/>
        </w:rPr>
        <w:t xml:space="preserve">defendants sold the scammers paid advertising </w:t>
      </w:r>
      <w:r w:rsidRPr="006A6928" w:rsidR="002341AA">
        <w:rPr>
          <w:rFonts w:eastAsia="Times New Roman"/>
          <w:szCs w:val="26"/>
        </w:rPr>
        <w:t xml:space="preserve">space </w:t>
      </w:r>
      <w:r w:rsidRPr="006A6928" w:rsidR="002F2475">
        <w:rPr>
          <w:rFonts w:eastAsia="Times New Roman"/>
          <w:szCs w:val="26"/>
        </w:rPr>
        <w:t>that targeted users based on their browsing history and other personal information defendants have collected</w:t>
      </w:r>
      <w:r w:rsidR="001351AC">
        <w:rPr>
          <w:rFonts w:eastAsia="Times New Roman"/>
          <w:szCs w:val="26"/>
        </w:rPr>
        <w:t xml:space="preserve"> and</w:t>
      </w:r>
      <w:r w:rsidRPr="006A6928" w:rsidR="002F2475">
        <w:rPr>
          <w:rFonts w:eastAsia="Times New Roman"/>
          <w:szCs w:val="26"/>
        </w:rPr>
        <w:t xml:space="preserve"> analyzed</w:t>
      </w:r>
      <w:r w:rsidR="001351AC">
        <w:rPr>
          <w:rFonts w:eastAsia="Times New Roman"/>
          <w:szCs w:val="26"/>
        </w:rPr>
        <w:t xml:space="preserve">, which </w:t>
      </w:r>
      <w:r w:rsidRPr="006A6928" w:rsidR="002F2475">
        <w:rPr>
          <w:rFonts w:eastAsia="Times New Roman"/>
          <w:szCs w:val="26"/>
        </w:rPr>
        <w:t xml:space="preserve">indicates an interest in cryptocurrency.  </w:t>
      </w:r>
      <w:r w:rsidRPr="006A6928" w:rsidR="008E0991">
        <w:rPr>
          <w:rFonts w:eastAsia="Times New Roman"/>
          <w:szCs w:val="26"/>
        </w:rPr>
        <w:t xml:space="preserve">According to plaintiffs, despite knowing about the cryptocurrency scams, defendants have continued to sell scammers “all the targeted </w:t>
      </w:r>
      <w:r w:rsidR="0015321B">
        <w:rPr>
          <w:rFonts w:eastAsia="Times New Roman"/>
          <w:szCs w:val="26"/>
        </w:rPr>
        <w:t xml:space="preserve">scam </w:t>
      </w:r>
      <w:r w:rsidRPr="006A6928" w:rsidR="008E0991">
        <w:rPr>
          <w:rFonts w:eastAsia="Times New Roman"/>
          <w:szCs w:val="26"/>
        </w:rPr>
        <w:t xml:space="preserve">ads that they are willing to buy,” and </w:t>
      </w:r>
      <w:r w:rsidRPr="006A6928" w:rsidR="006C2CB5">
        <w:rPr>
          <w:rFonts w:eastAsia="Times New Roman"/>
          <w:szCs w:val="26"/>
        </w:rPr>
        <w:t xml:space="preserve">have </w:t>
      </w:r>
      <w:r w:rsidRPr="006A6928" w:rsidR="008E0991">
        <w:rPr>
          <w:rFonts w:eastAsia="Times New Roman"/>
          <w:szCs w:val="26"/>
        </w:rPr>
        <w:t xml:space="preserve">delivered those ads directly to plaintiffs and other users likely to be interested in the scam video content.  </w:t>
      </w:r>
      <w:r w:rsidRPr="006A6928" w:rsidR="00482025">
        <w:rPr>
          <w:rFonts w:eastAsia="Times New Roman"/>
          <w:szCs w:val="26"/>
        </w:rPr>
        <w:t>YouTube has continued selling these targeted advertisements</w:t>
      </w:r>
      <w:r w:rsidRPr="006A6928" w:rsidR="00A30CC9">
        <w:rPr>
          <w:rFonts w:eastAsia="Times New Roman"/>
          <w:szCs w:val="26"/>
        </w:rPr>
        <w:t xml:space="preserve"> to the scammers</w:t>
      </w:r>
      <w:r w:rsidRPr="006A6928" w:rsidR="00482025">
        <w:rPr>
          <w:rFonts w:eastAsia="Times New Roman"/>
          <w:szCs w:val="26"/>
        </w:rPr>
        <w:t>, notwithstanding its own stated polic</w:t>
      </w:r>
      <w:r w:rsidRPr="006A6928" w:rsidR="00A30CC9">
        <w:rPr>
          <w:rFonts w:eastAsia="Times New Roman"/>
          <w:szCs w:val="26"/>
        </w:rPr>
        <w:t xml:space="preserve">es </w:t>
      </w:r>
      <w:r w:rsidRPr="006A6928" w:rsidR="00482025">
        <w:rPr>
          <w:rFonts w:eastAsia="Times New Roman"/>
          <w:szCs w:val="26"/>
        </w:rPr>
        <w:t>that it verifies the identity of its advertisers</w:t>
      </w:r>
      <w:r w:rsidRPr="006A6928" w:rsidR="00C976D1">
        <w:rPr>
          <w:rFonts w:eastAsia="Times New Roman"/>
          <w:szCs w:val="26"/>
        </w:rPr>
        <w:t xml:space="preserve">. </w:t>
      </w:r>
      <w:r w:rsidRPr="006A6928" w:rsidR="00482025">
        <w:rPr>
          <w:rFonts w:eastAsia="Times New Roman"/>
          <w:szCs w:val="26"/>
        </w:rPr>
        <w:t xml:space="preserve"> </w:t>
      </w:r>
    </w:p>
    <w:p w:rsidR="00FF4968" w:rsidRPr="006A6928" w:rsidP="00FF4968">
      <w:pPr>
        <w:pStyle w:val="ListParagraph"/>
        <w:numPr>
          <w:ilvl w:val="0"/>
          <w:numId w:val="32"/>
        </w:numPr>
        <w:rPr>
          <w:b/>
          <w:bCs/>
          <w:i/>
          <w:iCs/>
          <w:szCs w:val="26"/>
        </w:rPr>
      </w:pPr>
      <w:r w:rsidRPr="006A6928">
        <w:rPr>
          <w:b/>
          <w:bCs/>
          <w:i/>
          <w:iCs/>
          <w:szCs w:val="26"/>
        </w:rPr>
        <w:t>Initial c</w:t>
      </w:r>
      <w:r w:rsidRPr="006A6928" w:rsidR="00094C41">
        <w:rPr>
          <w:b/>
          <w:bCs/>
          <w:i/>
          <w:iCs/>
          <w:szCs w:val="26"/>
        </w:rPr>
        <w:t>omplaint</w:t>
      </w:r>
      <w:r w:rsidRPr="006A6928" w:rsidR="009A363F">
        <w:rPr>
          <w:b/>
          <w:bCs/>
          <w:i/>
          <w:iCs/>
          <w:szCs w:val="26"/>
        </w:rPr>
        <w:t>s</w:t>
      </w:r>
      <w:r w:rsidRPr="006A6928">
        <w:rPr>
          <w:b/>
          <w:bCs/>
          <w:i/>
          <w:iCs/>
          <w:szCs w:val="26"/>
        </w:rPr>
        <w:t xml:space="preserve"> and </w:t>
      </w:r>
      <w:r w:rsidRPr="006A6928" w:rsidR="009A363F">
        <w:rPr>
          <w:b/>
          <w:bCs/>
          <w:i/>
          <w:iCs/>
          <w:szCs w:val="26"/>
        </w:rPr>
        <w:t xml:space="preserve">first </w:t>
      </w:r>
      <w:r w:rsidRPr="006A6928">
        <w:rPr>
          <w:b/>
          <w:bCs/>
          <w:i/>
          <w:iCs/>
          <w:szCs w:val="26"/>
        </w:rPr>
        <w:t>demurrer</w:t>
      </w:r>
    </w:p>
    <w:p w:rsidR="00C902B4" w:rsidRPr="006A6928" w:rsidP="0000222C">
      <w:pPr>
        <w:ind w:firstLine="720"/>
        <w:rPr>
          <w:szCs w:val="26"/>
        </w:rPr>
      </w:pPr>
      <w:r w:rsidRPr="006A6928">
        <w:rPr>
          <w:szCs w:val="26"/>
        </w:rPr>
        <w:t xml:space="preserve">Plaintiffs filed the initial complaint in this action </w:t>
      </w:r>
      <w:r w:rsidRPr="006A6928" w:rsidR="006E0CAB">
        <w:rPr>
          <w:szCs w:val="26"/>
        </w:rPr>
        <w:t xml:space="preserve">in San Mateo County Superior Court </w:t>
      </w:r>
      <w:r w:rsidRPr="006A6928">
        <w:rPr>
          <w:szCs w:val="26"/>
        </w:rPr>
        <w:t xml:space="preserve">on </w:t>
      </w:r>
      <w:r w:rsidRPr="006A6928" w:rsidR="00523534">
        <w:rPr>
          <w:szCs w:val="26"/>
        </w:rPr>
        <w:t>July 21, 2020</w:t>
      </w:r>
      <w:r w:rsidRPr="006A6928" w:rsidR="006E0CAB">
        <w:rPr>
          <w:szCs w:val="26"/>
        </w:rPr>
        <w:t>, naming YouTube and Google as defendants.</w:t>
      </w:r>
      <w:r>
        <w:rPr>
          <w:rStyle w:val="FootnoteReference"/>
          <w:szCs w:val="26"/>
        </w:rPr>
        <w:footnoteReference w:id="6"/>
      </w:r>
      <w:r w:rsidRPr="006A6928" w:rsidR="006E0CAB">
        <w:rPr>
          <w:szCs w:val="26"/>
        </w:rPr>
        <w:t xml:space="preserve">  The matter was transferred to Santa Clara County Superior Court, </w:t>
      </w:r>
      <w:r w:rsidR="001351AC">
        <w:rPr>
          <w:szCs w:val="26"/>
        </w:rPr>
        <w:t>which</w:t>
      </w:r>
      <w:r w:rsidRPr="006A6928" w:rsidR="006E0CAB">
        <w:rPr>
          <w:szCs w:val="26"/>
        </w:rPr>
        <w:t xml:space="preserve"> issued an order deeming the case complex and staying all discovery.  On February 16, 2021, plaintiffs filed the firs</w:t>
      </w:r>
      <w:r w:rsidRPr="006A6928" w:rsidR="009A363F">
        <w:rPr>
          <w:szCs w:val="26"/>
        </w:rPr>
        <w:t>t amended complaint (FAC)</w:t>
      </w:r>
      <w:r w:rsidR="008238E0">
        <w:rPr>
          <w:szCs w:val="26"/>
        </w:rPr>
        <w:t>.</w:t>
      </w:r>
      <w:r w:rsidRPr="006A6928" w:rsidR="00523534">
        <w:rPr>
          <w:szCs w:val="26"/>
        </w:rPr>
        <w:t xml:space="preserve">  </w:t>
      </w:r>
      <w:r w:rsidRPr="006A6928" w:rsidR="009A363F">
        <w:rPr>
          <w:szCs w:val="26"/>
        </w:rPr>
        <w:t>The FAC alleged causes of action for misappropriat</w:t>
      </w:r>
      <w:r w:rsidRPr="006A6928" w:rsidR="00887419">
        <w:rPr>
          <w:szCs w:val="26"/>
        </w:rPr>
        <w:t>ion</w:t>
      </w:r>
      <w:r w:rsidRPr="006A6928" w:rsidR="009A363F">
        <w:rPr>
          <w:szCs w:val="26"/>
        </w:rPr>
        <w:t xml:space="preserve"> of likeness—brought by Wozniak only</w:t>
      </w:r>
      <w:r w:rsidRPr="006A6928">
        <w:rPr>
          <w:szCs w:val="26"/>
        </w:rPr>
        <w:t xml:space="preserve">—fraud and misrepresentation, aiding and abetting fraud, unfair business practices, negligence, negligent failure to warn, and injunctive relief.  </w:t>
      </w:r>
    </w:p>
    <w:p w:rsidR="00E31F2F" w:rsidRPr="006A6928" w:rsidP="006E0CAB">
      <w:pPr>
        <w:ind w:firstLine="720"/>
        <w:rPr>
          <w:szCs w:val="26"/>
        </w:rPr>
      </w:pPr>
      <w:r w:rsidRPr="006A6928">
        <w:rPr>
          <w:szCs w:val="26"/>
        </w:rPr>
        <w:t xml:space="preserve">Defendants filed a demurrer to the FAC on April 5, 2021.  </w:t>
      </w:r>
      <w:r w:rsidRPr="006A6928" w:rsidR="00C902B4">
        <w:rPr>
          <w:szCs w:val="26"/>
        </w:rPr>
        <w:t xml:space="preserve">They argued </w:t>
      </w:r>
      <w:r w:rsidRPr="006A6928" w:rsidR="004B5935">
        <w:rPr>
          <w:szCs w:val="26"/>
        </w:rPr>
        <w:t xml:space="preserve">that </w:t>
      </w:r>
      <w:r w:rsidRPr="006A6928" w:rsidR="007D0F3D">
        <w:rPr>
          <w:szCs w:val="26"/>
        </w:rPr>
        <w:t xml:space="preserve">plaintiffs’ claims are precluded by section 230, which was enacted to protect websites against liability for </w:t>
      </w:r>
      <w:r w:rsidR="00B32349">
        <w:rPr>
          <w:szCs w:val="26"/>
        </w:rPr>
        <w:t xml:space="preserve">the </w:t>
      </w:r>
      <w:r w:rsidRPr="006A6928" w:rsidR="007D0F3D">
        <w:rPr>
          <w:szCs w:val="26"/>
        </w:rPr>
        <w:t xml:space="preserve">failure to remove offensive content.  </w:t>
      </w:r>
      <w:r w:rsidRPr="006A6928" w:rsidR="001F3189">
        <w:rPr>
          <w:szCs w:val="26"/>
        </w:rPr>
        <w:t xml:space="preserve">According to defendants, plaintiffs were not contending that YouTube actually perpetrated the scam or created any of its content; instead, they sought to hold YouTube liable for not acting more aggressively to monitor, block and remove the material </w:t>
      </w:r>
      <w:r w:rsidRPr="006A6928" w:rsidR="00AD6508">
        <w:rPr>
          <w:szCs w:val="26"/>
        </w:rPr>
        <w:t>the</w:t>
      </w:r>
      <w:r w:rsidRPr="006A6928" w:rsidR="001F3189">
        <w:rPr>
          <w:szCs w:val="26"/>
        </w:rPr>
        <w:t xml:space="preserve"> third</w:t>
      </w:r>
      <w:r w:rsidRPr="006A6928" w:rsidR="00AD6508">
        <w:rPr>
          <w:szCs w:val="26"/>
        </w:rPr>
        <w:t xml:space="preserve"> </w:t>
      </w:r>
      <w:r w:rsidRPr="006A6928" w:rsidR="001F3189">
        <w:rPr>
          <w:szCs w:val="26"/>
        </w:rPr>
        <w:t>part</w:t>
      </w:r>
      <w:r w:rsidRPr="006A6928" w:rsidR="00AD6508">
        <w:rPr>
          <w:szCs w:val="26"/>
        </w:rPr>
        <w:t xml:space="preserve">ies </w:t>
      </w:r>
      <w:r w:rsidRPr="006A6928" w:rsidR="001F3189">
        <w:rPr>
          <w:szCs w:val="26"/>
        </w:rPr>
        <w:t xml:space="preserve">posted, or for providing neutral tools to its users that the </w:t>
      </w:r>
      <w:r w:rsidRPr="006A6928" w:rsidR="00AD6508">
        <w:rPr>
          <w:szCs w:val="26"/>
        </w:rPr>
        <w:t>third parties used to perpetrate the scam</w:t>
      </w:r>
      <w:r w:rsidRPr="006A6928" w:rsidR="001F3189">
        <w:rPr>
          <w:szCs w:val="26"/>
        </w:rPr>
        <w:t xml:space="preserve">. </w:t>
      </w:r>
      <w:r w:rsidRPr="006A6928" w:rsidR="00762BAE">
        <w:rPr>
          <w:szCs w:val="26"/>
        </w:rPr>
        <w:t xml:space="preserve"> Under </w:t>
      </w:r>
      <w:r w:rsidRPr="006A6928">
        <w:rPr>
          <w:szCs w:val="26"/>
        </w:rPr>
        <w:t xml:space="preserve">section </w:t>
      </w:r>
      <w:r w:rsidRPr="006A6928" w:rsidR="00762BAE">
        <w:rPr>
          <w:szCs w:val="26"/>
        </w:rPr>
        <w:t>230, they argued, lawsuits “</w:t>
      </w:r>
      <w:r w:rsidR="00F841D2">
        <w:rPr>
          <w:szCs w:val="26"/>
        </w:rPr>
        <w:t> </w:t>
      </w:r>
      <w:r w:rsidRPr="006A6928">
        <w:rPr>
          <w:szCs w:val="26"/>
        </w:rPr>
        <w:t>‘</w:t>
      </w:r>
      <w:r w:rsidR="000A7C85">
        <w:rPr>
          <w:szCs w:val="26"/>
        </w:rPr>
        <w:t> “</w:t>
      </w:r>
      <w:r w:rsidRPr="006A6928" w:rsidR="00762BAE">
        <w:rPr>
          <w:szCs w:val="26"/>
        </w:rPr>
        <w:t xml:space="preserve">seeking to hold a service provider </w:t>
      </w:r>
      <w:r w:rsidRPr="006A6928">
        <w:rPr>
          <w:szCs w:val="26"/>
        </w:rPr>
        <w:t>liable for its exercise of a publisher’s traditional editorial functions—such as deciding whether to publish, withdraw, postpone or alter content—are barred,</w:t>
      </w:r>
      <w:r w:rsidR="000A7C85">
        <w:rPr>
          <w:szCs w:val="26"/>
        </w:rPr>
        <w:t>”</w:t>
      </w:r>
      <w:r w:rsidR="00F841D2">
        <w:rPr>
          <w:szCs w:val="26"/>
        </w:rPr>
        <w:t> </w:t>
      </w:r>
      <w:r w:rsidRPr="006A6928">
        <w:rPr>
          <w:szCs w:val="26"/>
        </w:rPr>
        <w:t>’</w:t>
      </w:r>
      <w:r w:rsidR="00F841D2">
        <w:rPr>
          <w:szCs w:val="26"/>
        </w:rPr>
        <w:t> </w:t>
      </w:r>
      <w:r w:rsidRPr="006A6928">
        <w:rPr>
          <w:szCs w:val="26"/>
        </w:rPr>
        <w:t xml:space="preserve">” citing </w:t>
      </w:r>
      <w:r w:rsidRPr="006A6928">
        <w:rPr>
          <w:i/>
          <w:iCs/>
          <w:szCs w:val="26"/>
        </w:rPr>
        <w:t>Murphy v. Twitter</w:t>
      </w:r>
      <w:r w:rsidRPr="006A6928">
        <w:rPr>
          <w:szCs w:val="26"/>
        </w:rPr>
        <w:t xml:space="preserve"> (2021) 60 Cal.App.</w:t>
      </w:r>
      <w:r w:rsidRPr="006A6928" w:rsidR="007A164E">
        <w:rPr>
          <w:szCs w:val="26"/>
        </w:rPr>
        <w:t>5</w:t>
      </w:r>
      <w:r w:rsidRPr="006A6928">
        <w:rPr>
          <w:szCs w:val="26"/>
        </w:rPr>
        <w:t>th 12, 26</w:t>
      </w:r>
      <w:r w:rsidRPr="006A6928" w:rsidR="007A164E">
        <w:rPr>
          <w:szCs w:val="26"/>
        </w:rPr>
        <w:t xml:space="preserve"> (</w:t>
      </w:r>
      <w:r w:rsidRPr="006A6928" w:rsidR="007A164E">
        <w:rPr>
          <w:i/>
          <w:iCs/>
          <w:szCs w:val="26"/>
        </w:rPr>
        <w:t>Murphy</w:t>
      </w:r>
      <w:r w:rsidRPr="006A6928" w:rsidR="007A164E">
        <w:rPr>
          <w:szCs w:val="26"/>
        </w:rPr>
        <w:t>)</w:t>
      </w:r>
      <w:r w:rsidRPr="006A6928">
        <w:rPr>
          <w:szCs w:val="26"/>
        </w:rPr>
        <w:t>.</w:t>
      </w:r>
    </w:p>
    <w:p w:rsidR="003867BE" w:rsidRPr="006A6928" w:rsidP="00E43314">
      <w:pPr>
        <w:ind w:firstLine="720"/>
        <w:rPr>
          <w:szCs w:val="26"/>
        </w:rPr>
      </w:pPr>
      <w:r w:rsidRPr="006A6928">
        <w:rPr>
          <w:szCs w:val="26"/>
        </w:rPr>
        <w:t xml:space="preserve">They also argued that, </w:t>
      </w:r>
      <w:r w:rsidRPr="006A6928" w:rsidR="00E43314">
        <w:rPr>
          <w:szCs w:val="26"/>
        </w:rPr>
        <w:t xml:space="preserve">even apart from section 230 immunity, plaintiffs had failed to state a viable cause of action.  According to defendants, the law does not recognize a theory of secondary liability for misappropriation of likeness and there is no plausible allegation that YouTube itself actually used Wozniak’s likeness.  In addition, they argued, plaintiffs cannot establish that YouTube owed them a special duty of care because they did not allege YouTube itself engaged in the allegedly unlawful conduct necessary for each claim. </w:t>
      </w:r>
    </w:p>
    <w:p w:rsidR="00094C41" w:rsidRPr="006A6928" w:rsidP="00B913DF">
      <w:pPr>
        <w:ind w:firstLine="720"/>
        <w:rPr>
          <w:szCs w:val="26"/>
        </w:rPr>
      </w:pPr>
      <w:r w:rsidRPr="006A6928">
        <w:rPr>
          <w:szCs w:val="26"/>
        </w:rPr>
        <w:t>The trial court</w:t>
      </w:r>
      <w:r w:rsidRPr="006A6928" w:rsidR="006F6BD9">
        <w:rPr>
          <w:szCs w:val="26"/>
        </w:rPr>
        <w:t xml:space="preserve"> sustained the demurrer on section 230 immunity grounds but granted plaintiffs leave to amend.  </w:t>
      </w:r>
    </w:p>
    <w:p w:rsidR="00094C41" w:rsidRPr="006A6928" w:rsidP="00094C41">
      <w:pPr>
        <w:pStyle w:val="ListParagraph"/>
        <w:numPr>
          <w:ilvl w:val="0"/>
          <w:numId w:val="32"/>
        </w:numPr>
        <w:rPr>
          <w:rFonts w:eastAsia="Times New Roman"/>
          <w:b/>
          <w:bCs/>
          <w:i/>
          <w:iCs/>
          <w:szCs w:val="26"/>
        </w:rPr>
      </w:pPr>
      <w:r w:rsidRPr="006A6928">
        <w:rPr>
          <w:rFonts w:eastAsia="Times New Roman"/>
          <w:b/>
          <w:bCs/>
          <w:i/>
          <w:iCs/>
          <w:szCs w:val="26"/>
        </w:rPr>
        <w:t>Discovery stay</w:t>
      </w:r>
    </w:p>
    <w:p w:rsidR="00230E16" w:rsidRPr="006A6928" w:rsidP="00651A3E">
      <w:pPr>
        <w:ind w:firstLine="720"/>
        <w:rPr>
          <w:rFonts w:eastAsia="Times New Roman"/>
          <w:szCs w:val="26"/>
        </w:rPr>
      </w:pPr>
      <w:r w:rsidRPr="006A6928">
        <w:rPr>
          <w:rFonts w:eastAsia="Times New Roman"/>
          <w:szCs w:val="26"/>
        </w:rPr>
        <w:t>Prior to filing their second amended complaint, plaintiffs moved to lift the discovery stay</w:t>
      </w:r>
      <w:r w:rsidRPr="006A6928" w:rsidR="006E0CAB">
        <w:rPr>
          <w:rFonts w:eastAsia="Times New Roman"/>
          <w:szCs w:val="26"/>
        </w:rPr>
        <w:t>.</w:t>
      </w:r>
      <w:r w:rsidRPr="006A6928">
        <w:rPr>
          <w:rFonts w:eastAsia="Times New Roman"/>
          <w:szCs w:val="26"/>
        </w:rPr>
        <w:t xml:space="preserve">  </w:t>
      </w:r>
      <w:r w:rsidRPr="006A6928" w:rsidR="00A3589E">
        <w:rPr>
          <w:rFonts w:eastAsia="Times New Roman"/>
          <w:szCs w:val="26"/>
        </w:rPr>
        <w:t>They</w:t>
      </w:r>
      <w:r w:rsidRPr="006A6928">
        <w:rPr>
          <w:rFonts w:eastAsia="Times New Roman"/>
          <w:szCs w:val="26"/>
        </w:rPr>
        <w:t xml:space="preserve"> argued that </w:t>
      </w:r>
      <w:r w:rsidRPr="006A6928" w:rsidR="00651A3E">
        <w:rPr>
          <w:rFonts w:eastAsia="Times New Roman"/>
          <w:szCs w:val="26"/>
        </w:rPr>
        <w:t xml:space="preserve">the critical factual dispute in the case is the extent of defendants’ involvement in creating and contributing to the scam videos and advertisements driving the scams.  According to plaintiffs, they were entitled to obtain critical facts in defendants’ sole possession to more fully support their allegations, and “[p]laintiffs’ inability to do so in this case has and continues to severely prejudice their ability to have their grievance fairly and fully heard by the Superior Court.” </w:t>
      </w:r>
    </w:p>
    <w:p w:rsidR="0069467A" w:rsidRPr="006A6928" w:rsidP="0069467A">
      <w:pPr>
        <w:ind w:firstLine="720"/>
        <w:rPr>
          <w:rFonts w:ascii="GDPFNTCI-CourierNew" w:hAnsiTheme="minorHAnsi" w:cs="GDPFNTCI-CourierNew"/>
          <w:sz w:val="13"/>
          <w:szCs w:val="13"/>
        </w:rPr>
      </w:pPr>
      <w:r w:rsidRPr="006A6928">
        <w:rPr>
          <w:rFonts w:eastAsia="Times New Roman"/>
          <w:szCs w:val="26"/>
        </w:rPr>
        <w:t>Defendants opposed the motion, arguing that</w:t>
      </w:r>
      <w:r w:rsidRPr="006A6928" w:rsidR="00C847F2">
        <w:rPr>
          <w:rFonts w:eastAsia="Times New Roman"/>
          <w:szCs w:val="26"/>
        </w:rPr>
        <w:t xml:space="preserve"> section 230 provides broad immunity that warrants staying discovery.  </w:t>
      </w:r>
      <w:r w:rsidRPr="006A6928">
        <w:rPr>
          <w:rFonts w:eastAsia="Times New Roman"/>
          <w:szCs w:val="26"/>
        </w:rPr>
        <w:t xml:space="preserve">They contended that courts have consistently stayed discovery when defendants have brought a case-dispositive section 230 defense, and that plaintiffs have not cited any authority involving a section 230 case where a discovery stay has been lifted to allow a party “to conduct intrusive discovery in the face of a broad immunity that the court has already held bars the claims at issue.” </w:t>
      </w:r>
    </w:p>
    <w:p w:rsidR="003D5E63" w:rsidRPr="006A6928" w:rsidP="003D5E63">
      <w:pPr>
        <w:ind w:firstLine="720"/>
        <w:rPr>
          <w:rFonts w:eastAsia="Times New Roman"/>
          <w:szCs w:val="26"/>
        </w:rPr>
      </w:pPr>
      <w:r w:rsidRPr="006A6928">
        <w:rPr>
          <w:rFonts w:eastAsia="Times New Roman"/>
          <w:szCs w:val="26"/>
        </w:rPr>
        <w:t>The trial court</w:t>
      </w:r>
      <w:r w:rsidRPr="006A6928" w:rsidR="002314AB">
        <w:rPr>
          <w:rFonts w:eastAsia="Times New Roman"/>
          <w:szCs w:val="26"/>
        </w:rPr>
        <w:t xml:space="preserve"> denied </w:t>
      </w:r>
      <w:r w:rsidR="00B32349">
        <w:rPr>
          <w:rFonts w:eastAsia="Times New Roman"/>
          <w:szCs w:val="26"/>
        </w:rPr>
        <w:t>plaintiffs’</w:t>
      </w:r>
      <w:r w:rsidRPr="006A6928" w:rsidR="00B32349">
        <w:rPr>
          <w:rFonts w:eastAsia="Times New Roman"/>
          <w:szCs w:val="26"/>
        </w:rPr>
        <w:t xml:space="preserve"> </w:t>
      </w:r>
      <w:r w:rsidRPr="006A6928" w:rsidR="002314AB">
        <w:rPr>
          <w:rFonts w:eastAsia="Times New Roman"/>
          <w:szCs w:val="26"/>
        </w:rPr>
        <w:t>motion</w:t>
      </w:r>
      <w:r w:rsidRPr="006A6928" w:rsidR="00A62445">
        <w:rPr>
          <w:rFonts w:eastAsia="Times New Roman"/>
          <w:szCs w:val="26"/>
        </w:rPr>
        <w:t xml:space="preserve">.  </w:t>
      </w:r>
      <w:r w:rsidRPr="006A6928" w:rsidR="002314AB">
        <w:rPr>
          <w:rFonts w:eastAsia="Times New Roman"/>
          <w:szCs w:val="26"/>
        </w:rPr>
        <w:t>It relied on the “significant public interest” in section 230 to protect websites from ultimate liability and from having to fight costly and protracted legal battles</w:t>
      </w:r>
      <w:r w:rsidRPr="006A6928" w:rsidR="00960FD8">
        <w:rPr>
          <w:rFonts w:eastAsia="Times New Roman"/>
          <w:szCs w:val="26"/>
        </w:rPr>
        <w:t xml:space="preserve">, and </w:t>
      </w:r>
      <w:r w:rsidR="00B32349">
        <w:rPr>
          <w:rFonts w:eastAsia="Times New Roman"/>
          <w:szCs w:val="26"/>
        </w:rPr>
        <w:t xml:space="preserve">on </w:t>
      </w:r>
      <w:r w:rsidRPr="006A6928" w:rsidR="00960FD8">
        <w:rPr>
          <w:rFonts w:eastAsia="Times New Roman"/>
          <w:szCs w:val="26"/>
        </w:rPr>
        <w:t>the importance of resolving immunity questions at the earliest possible stage in litigation to avoid unnecessary discovery and other burdens</w:t>
      </w:r>
      <w:r w:rsidRPr="006A6928" w:rsidR="002314AB">
        <w:rPr>
          <w:rFonts w:eastAsia="Times New Roman"/>
          <w:szCs w:val="26"/>
        </w:rPr>
        <w:t xml:space="preserve">. </w:t>
      </w:r>
      <w:r w:rsidRPr="006A6928" w:rsidR="00960FD8">
        <w:rPr>
          <w:rFonts w:eastAsia="Times New Roman"/>
          <w:szCs w:val="26"/>
        </w:rPr>
        <w:t xml:space="preserve"> The court noted that “federal courts routinely stay discovery in cases apparently subject to </w:t>
      </w:r>
      <w:r w:rsidR="0015321B">
        <w:rPr>
          <w:rFonts w:eastAsia="Times New Roman"/>
          <w:szCs w:val="26"/>
        </w:rPr>
        <w:t>S</w:t>
      </w:r>
      <w:r w:rsidRPr="006A6928" w:rsidR="0015321B">
        <w:rPr>
          <w:rFonts w:eastAsia="Times New Roman"/>
          <w:szCs w:val="26"/>
        </w:rPr>
        <w:t xml:space="preserve">ection </w:t>
      </w:r>
      <w:r w:rsidRPr="006A6928" w:rsidR="00960FD8">
        <w:rPr>
          <w:rFonts w:eastAsia="Times New Roman"/>
          <w:szCs w:val="26"/>
        </w:rPr>
        <w:t xml:space="preserve">230 until the complaint is deemed adequate to avoid [section 230] immunity.”  According to the court, plaintiffs’ </w:t>
      </w:r>
      <w:r w:rsidRPr="006A6928" w:rsidR="00887419">
        <w:rPr>
          <w:rFonts w:eastAsia="Times New Roman"/>
          <w:szCs w:val="26"/>
        </w:rPr>
        <w:t>“</w:t>
      </w:r>
      <w:r w:rsidRPr="006A6928" w:rsidR="00960FD8">
        <w:rPr>
          <w:rFonts w:eastAsia="Times New Roman"/>
          <w:szCs w:val="26"/>
        </w:rPr>
        <w:t>vague contentions</w:t>
      </w:r>
      <w:r w:rsidR="00B32349">
        <w:rPr>
          <w:rFonts w:eastAsia="Times New Roman"/>
          <w:szCs w:val="26"/>
        </w:rPr>
        <w:t>”</w:t>
      </w:r>
      <w:r w:rsidRPr="006A6928" w:rsidR="00960FD8">
        <w:rPr>
          <w:rFonts w:eastAsia="Times New Roman"/>
          <w:szCs w:val="26"/>
        </w:rPr>
        <w:t xml:space="preserve"> th</w:t>
      </w:r>
      <w:r w:rsidR="00B32349">
        <w:rPr>
          <w:rFonts w:eastAsia="Times New Roman"/>
          <w:szCs w:val="26"/>
        </w:rPr>
        <w:t>at</w:t>
      </w:r>
      <w:r w:rsidRPr="006A6928" w:rsidR="00960FD8">
        <w:rPr>
          <w:rFonts w:eastAsia="Times New Roman"/>
          <w:szCs w:val="26"/>
        </w:rPr>
        <w:t xml:space="preserve"> discovery is necessary fail to explain sufficiently </w:t>
      </w:r>
      <w:r w:rsidR="00B32349">
        <w:rPr>
          <w:rFonts w:eastAsia="Times New Roman"/>
          <w:szCs w:val="26"/>
        </w:rPr>
        <w:t>“</w:t>
      </w:r>
      <w:r w:rsidRPr="006A6928" w:rsidR="00960FD8">
        <w:rPr>
          <w:rFonts w:eastAsia="Times New Roman"/>
          <w:szCs w:val="26"/>
        </w:rPr>
        <w:t xml:space="preserve">what sort of facts they believe discovery would reveal that would change the section 230 analysis….” </w:t>
      </w:r>
      <w:r w:rsidR="00161956">
        <w:rPr>
          <w:rFonts w:eastAsia="Times New Roman"/>
          <w:szCs w:val="26"/>
        </w:rPr>
        <w:t xml:space="preserve"> </w:t>
      </w:r>
      <w:r w:rsidRPr="006A6928" w:rsidR="00EC6D51">
        <w:rPr>
          <w:rFonts w:eastAsia="Times New Roman"/>
          <w:szCs w:val="26"/>
        </w:rPr>
        <w:t xml:space="preserve">The court added that plaintiffs “might be able to do that in the future, but haven’t done that yet.” </w:t>
      </w:r>
    </w:p>
    <w:p w:rsidR="00094C41" w:rsidRPr="006A6928" w:rsidP="00B913DF">
      <w:pPr>
        <w:pStyle w:val="ListParagraph"/>
        <w:numPr>
          <w:ilvl w:val="0"/>
          <w:numId w:val="32"/>
        </w:numPr>
        <w:rPr>
          <w:rFonts w:eastAsia="Times New Roman"/>
          <w:b/>
          <w:bCs/>
          <w:i/>
          <w:iCs/>
          <w:szCs w:val="26"/>
        </w:rPr>
      </w:pPr>
      <w:r w:rsidRPr="006A6928">
        <w:rPr>
          <w:rFonts w:eastAsia="Times New Roman"/>
          <w:b/>
          <w:bCs/>
          <w:i/>
          <w:iCs/>
          <w:szCs w:val="26"/>
        </w:rPr>
        <w:t>Second amended complaint</w:t>
      </w:r>
      <w:r w:rsidRPr="006A6928" w:rsidR="00832F17">
        <w:rPr>
          <w:rFonts w:eastAsia="Times New Roman"/>
          <w:b/>
          <w:bCs/>
          <w:i/>
          <w:iCs/>
          <w:szCs w:val="26"/>
        </w:rPr>
        <w:t>,</w:t>
      </w:r>
      <w:r w:rsidRPr="006A6928">
        <w:rPr>
          <w:rFonts w:eastAsia="Times New Roman"/>
          <w:b/>
          <w:bCs/>
          <w:i/>
          <w:iCs/>
          <w:szCs w:val="26"/>
        </w:rPr>
        <w:t xml:space="preserve"> demurrer</w:t>
      </w:r>
      <w:r w:rsidRPr="006A6928" w:rsidR="00832F17">
        <w:rPr>
          <w:rFonts w:eastAsia="Times New Roman"/>
          <w:b/>
          <w:bCs/>
          <w:i/>
          <w:iCs/>
          <w:szCs w:val="26"/>
        </w:rPr>
        <w:t>, and motion to lift discovery stay</w:t>
      </w:r>
    </w:p>
    <w:p w:rsidR="00607C74" w:rsidRPr="006A6928" w:rsidP="00B42E0B">
      <w:pPr>
        <w:ind w:firstLine="720"/>
        <w:rPr>
          <w:szCs w:val="26"/>
        </w:rPr>
      </w:pPr>
      <w:r w:rsidRPr="006A6928">
        <w:rPr>
          <w:rFonts w:eastAsia="Times New Roman"/>
          <w:szCs w:val="26"/>
        </w:rPr>
        <w:t>Plaintiffs filed the operative second amended complaint on September 9, 2021 (SAC).  The SAC sets forth the allegations summarized above in the factual background, and assert</w:t>
      </w:r>
      <w:r w:rsidRPr="006A6928" w:rsidR="00887419">
        <w:rPr>
          <w:rFonts w:eastAsia="Times New Roman"/>
          <w:szCs w:val="26"/>
        </w:rPr>
        <w:t>s</w:t>
      </w:r>
      <w:r w:rsidRPr="006A6928">
        <w:rPr>
          <w:rFonts w:eastAsia="Times New Roman"/>
          <w:szCs w:val="26"/>
        </w:rPr>
        <w:t xml:space="preserve"> nine causes of actio</w:t>
      </w:r>
      <w:r w:rsidRPr="006A6928" w:rsidR="00B05807">
        <w:rPr>
          <w:rFonts w:eastAsia="Times New Roman"/>
          <w:szCs w:val="26"/>
        </w:rPr>
        <w:t xml:space="preserve">n:  (1) </w:t>
      </w:r>
      <w:r w:rsidRPr="006A6928" w:rsidR="00B05807">
        <w:rPr>
          <w:szCs w:val="26"/>
        </w:rPr>
        <w:t>misappropriat</w:t>
      </w:r>
      <w:r w:rsidRPr="006A6928" w:rsidR="00887419">
        <w:rPr>
          <w:szCs w:val="26"/>
        </w:rPr>
        <w:t>ion</w:t>
      </w:r>
      <w:r w:rsidRPr="006A6928" w:rsidR="00B05807">
        <w:rPr>
          <w:szCs w:val="26"/>
        </w:rPr>
        <w:t xml:space="preserve"> of likeness, brought by Wozniak only; (2) fraud and misrepresentation; (3) aiding and abetting fraud; (4) unfair business practices; (5) negligence; (6) negligent design; (7) negligent failure to warn; (8) breach of implied contract; and (9) promissory estoppel.  </w:t>
      </w:r>
    </w:p>
    <w:p w:rsidR="004162A9" w:rsidRPr="006A6928" w:rsidP="004162A9">
      <w:pPr>
        <w:ind w:firstLine="720"/>
        <w:rPr>
          <w:szCs w:val="26"/>
        </w:rPr>
      </w:pPr>
      <w:r w:rsidRPr="006A6928">
        <w:rPr>
          <w:szCs w:val="26"/>
        </w:rPr>
        <w:t xml:space="preserve">At the same </w:t>
      </w:r>
      <w:r w:rsidRPr="006A6928" w:rsidR="0015321B">
        <w:rPr>
          <w:szCs w:val="26"/>
        </w:rPr>
        <w:t>time</w:t>
      </w:r>
      <w:r w:rsidRPr="006A6928" w:rsidR="00887419">
        <w:rPr>
          <w:szCs w:val="26"/>
        </w:rPr>
        <w:t xml:space="preserve"> they filed the SAC</w:t>
      </w:r>
      <w:r w:rsidRPr="006A6928">
        <w:rPr>
          <w:szCs w:val="26"/>
        </w:rPr>
        <w:t xml:space="preserve">, plaintiffs submitted a renewed motion to lift the discovery stay.  They restated their previous arguments that they were entitled to discovery on their initial causes of action, and argued they were </w:t>
      </w:r>
      <w:r w:rsidR="00B32349">
        <w:rPr>
          <w:szCs w:val="26"/>
        </w:rPr>
        <w:t xml:space="preserve">also </w:t>
      </w:r>
      <w:r w:rsidRPr="006A6928">
        <w:rPr>
          <w:szCs w:val="26"/>
        </w:rPr>
        <w:t xml:space="preserve">entitled to discovery on their new </w:t>
      </w:r>
      <w:r w:rsidRPr="006A6928" w:rsidR="00CB3D95">
        <w:rPr>
          <w:szCs w:val="26"/>
        </w:rPr>
        <w:t xml:space="preserve">theories of liability </w:t>
      </w:r>
      <w:r w:rsidRPr="006A6928">
        <w:rPr>
          <w:szCs w:val="26"/>
        </w:rPr>
        <w:t xml:space="preserve">because they did not implicate section 230 immunity. </w:t>
      </w:r>
      <w:r w:rsidRPr="006A6928" w:rsidR="00CB3D95">
        <w:rPr>
          <w:szCs w:val="26"/>
        </w:rPr>
        <w:t xml:space="preserve"> According to plaintiffs, those new theories included:  (1) negligent security resulting in the regular hijacking of YouTube channels; (2) negligent design of YouTube video metrics, channel information, and security features; (3) wrongful disclosure of </w:t>
      </w:r>
      <w:r w:rsidR="00161956">
        <w:rPr>
          <w:szCs w:val="26"/>
        </w:rPr>
        <w:t>p</w:t>
      </w:r>
      <w:r w:rsidRPr="006A6928" w:rsidR="00CB3D95">
        <w:rPr>
          <w:szCs w:val="26"/>
        </w:rPr>
        <w:t xml:space="preserve">laintiffs’ personal information to scammers, including information indicating </w:t>
      </w:r>
      <w:r w:rsidR="00161956">
        <w:rPr>
          <w:szCs w:val="26"/>
        </w:rPr>
        <w:t>p</w:t>
      </w:r>
      <w:r w:rsidRPr="006A6928" w:rsidR="00CB3D95">
        <w:rPr>
          <w:szCs w:val="26"/>
        </w:rPr>
        <w:t xml:space="preserve">laintiffs’ interest in cryptocurrency; (4) promissory estoppel arising from </w:t>
      </w:r>
      <w:r w:rsidRPr="006A6928" w:rsidR="00887419">
        <w:rPr>
          <w:szCs w:val="26"/>
        </w:rPr>
        <w:t>d</w:t>
      </w:r>
      <w:r w:rsidRPr="006A6928" w:rsidR="00CB3D95">
        <w:rPr>
          <w:szCs w:val="26"/>
        </w:rPr>
        <w:t xml:space="preserve">efendants’ promises about providing excellent security, scam protection, accurate video metrics and channel information, and responsible use of its users’ </w:t>
      </w:r>
      <w:r w:rsidR="00B32349">
        <w:rPr>
          <w:szCs w:val="26"/>
        </w:rPr>
        <w:t>personal information</w:t>
      </w:r>
      <w:r w:rsidRPr="006A6928" w:rsidR="00CB3D95">
        <w:rPr>
          <w:szCs w:val="26"/>
        </w:rPr>
        <w:t xml:space="preserve">; and (5) negligent failure to warn </w:t>
      </w:r>
      <w:r w:rsidR="00161956">
        <w:rPr>
          <w:szCs w:val="26"/>
        </w:rPr>
        <w:t>p</w:t>
      </w:r>
      <w:r w:rsidRPr="006A6928" w:rsidR="00CB3D95">
        <w:rPr>
          <w:szCs w:val="26"/>
        </w:rPr>
        <w:t xml:space="preserve">laintiffs about each of the foregoing. </w:t>
      </w:r>
      <w:r w:rsidRPr="006A6928">
        <w:rPr>
          <w:szCs w:val="26"/>
        </w:rPr>
        <w:t xml:space="preserve"> P</w:t>
      </w:r>
      <w:r w:rsidRPr="006A6928" w:rsidR="00CB3D95">
        <w:rPr>
          <w:szCs w:val="26"/>
        </w:rPr>
        <w:t>laintiffs contended</w:t>
      </w:r>
      <w:r w:rsidRPr="006A6928" w:rsidR="00887419">
        <w:rPr>
          <w:szCs w:val="26"/>
        </w:rPr>
        <w:t xml:space="preserve"> that</w:t>
      </w:r>
      <w:r w:rsidRPr="006A6928" w:rsidR="00CB3D95">
        <w:rPr>
          <w:szCs w:val="26"/>
        </w:rPr>
        <w:t xml:space="preserve"> </w:t>
      </w:r>
      <w:r w:rsidRPr="006A6928">
        <w:rPr>
          <w:szCs w:val="26"/>
        </w:rPr>
        <w:t xml:space="preserve">section 230 does not apply to those claims because they do not seek to impose liability on defendants for their conduct as a publisher or speaker, so the discovery stay should be lifted. </w:t>
      </w:r>
    </w:p>
    <w:p w:rsidR="003D5E63" w:rsidRPr="006A6928" w:rsidP="003D5E63">
      <w:pPr>
        <w:ind w:firstLine="720"/>
        <w:rPr>
          <w:szCs w:val="26"/>
        </w:rPr>
      </w:pPr>
      <w:r w:rsidRPr="006A6928">
        <w:rPr>
          <w:szCs w:val="26"/>
        </w:rPr>
        <w:t>Defendants demurred to the SAC</w:t>
      </w:r>
      <w:r w:rsidR="0043726C">
        <w:rPr>
          <w:szCs w:val="26"/>
        </w:rPr>
        <w:t xml:space="preserve"> as well</w:t>
      </w:r>
      <w:r w:rsidRPr="006A6928">
        <w:rPr>
          <w:szCs w:val="26"/>
        </w:rPr>
        <w:t>, presenting the same general arguments set forth in the initial demurrer</w:t>
      </w:r>
      <w:r w:rsidRPr="006A6928" w:rsidR="00574372">
        <w:rPr>
          <w:szCs w:val="26"/>
        </w:rPr>
        <w:t>, including as to the new causes of action</w:t>
      </w:r>
      <w:r w:rsidRPr="006A6928">
        <w:rPr>
          <w:szCs w:val="26"/>
        </w:rPr>
        <w:t xml:space="preserve">. </w:t>
      </w:r>
      <w:r w:rsidRPr="006A6928" w:rsidR="00574372">
        <w:rPr>
          <w:szCs w:val="26"/>
        </w:rPr>
        <w:t xml:space="preserve"> </w:t>
      </w:r>
      <w:r w:rsidRPr="006A6928" w:rsidR="006C1291">
        <w:rPr>
          <w:szCs w:val="26"/>
        </w:rPr>
        <w:t>Defendants also opposed the renewed motion to lift the discovery stay</w:t>
      </w:r>
      <w:r w:rsidRPr="006A6928" w:rsidR="004162A9">
        <w:rPr>
          <w:szCs w:val="26"/>
        </w:rPr>
        <w:t xml:space="preserve"> on the same grounds</w:t>
      </w:r>
      <w:r w:rsidRPr="006A6928" w:rsidR="006C1291">
        <w:rPr>
          <w:szCs w:val="26"/>
        </w:rPr>
        <w:t>.</w:t>
      </w:r>
      <w:r w:rsidRPr="006A6928" w:rsidR="004162A9">
        <w:rPr>
          <w:szCs w:val="26"/>
        </w:rPr>
        <w:t xml:space="preserve"> </w:t>
      </w:r>
    </w:p>
    <w:p w:rsidR="00094C41" w:rsidRPr="006A6928" w:rsidP="00094C41">
      <w:pPr>
        <w:pStyle w:val="ListParagraph"/>
        <w:numPr>
          <w:ilvl w:val="0"/>
          <w:numId w:val="32"/>
        </w:numPr>
        <w:rPr>
          <w:rFonts w:eastAsia="Times New Roman"/>
          <w:b/>
          <w:bCs/>
          <w:i/>
          <w:iCs/>
          <w:szCs w:val="26"/>
        </w:rPr>
      </w:pPr>
      <w:r w:rsidRPr="006A6928">
        <w:rPr>
          <w:rFonts w:eastAsia="Times New Roman"/>
          <w:b/>
          <w:bCs/>
          <w:i/>
          <w:iCs/>
          <w:szCs w:val="26"/>
        </w:rPr>
        <w:t>Trial court ruling</w:t>
      </w:r>
    </w:p>
    <w:p w:rsidR="00F65002" w:rsidRPr="006A6928" w:rsidP="00481870">
      <w:pPr>
        <w:ind w:firstLine="720"/>
        <w:rPr>
          <w:rFonts w:eastAsia="Times New Roman"/>
          <w:szCs w:val="26"/>
        </w:rPr>
      </w:pPr>
      <w:r w:rsidRPr="006A6928">
        <w:rPr>
          <w:rFonts w:eastAsia="Times New Roman"/>
          <w:szCs w:val="26"/>
        </w:rPr>
        <w:t xml:space="preserve">The trial court sustained the demurrer </w:t>
      </w:r>
      <w:r w:rsidR="00161956">
        <w:rPr>
          <w:rFonts w:eastAsia="Times New Roman"/>
          <w:szCs w:val="26"/>
        </w:rPr>
        <w:t xml:space="preserve">to the SAC </w:t>
      </w:r>
      <w:r w:rsidRPr="006A6928">
        <w:rPr>
          <w:rFonts w:eastAsia="Times New Roman"/>
          <w:szCs w:val="26"/>
        </w:rPr>
        <w:t xml:space="preserve">and denied the renewed motion to lift the discovery stay. </w:t>
      </w:r>
      <w:r w:rsidRPr="006A6928" w:rsidR="008D4A1C">
        <w:rPr>
          <w:rFonts w:eastAsia="Times New Roman"/>
          <w:szCs w:val="26"/>
        </w:rPr>
        <w:t xml:space="preserve"> </w:t>
      </w:r>
      <w:r w:rsidRPr="006A6928" w:rsidR="00717978">
        <w:rPr>
          <w:rFonts w:eastAsia="Times New Roman"/>
          <w:szCs w:val="26"/>
        </w:rPr>
        <w:t xml:space="preserve">It </w:t>
      </w:r>
      <w:r w:rsidRPr="006A6928" w:rsidR="00481870">
        <w:rPr>
          <w:rFonts w:eastAsia="Times New Roman"/>
          <w:szCs w:val="26"/>
        </w:rPr>
        <w:t>first</w:t>
      </w:r>
      <w:r w:rsidRPr="006A6928" w:rsidR="00717978">
        <w:rPr>
          <w:rFonts w:eastAsia="Times New Roman"/>
          <w:szCs w:val="26"/>
        </w:rPr>
        <w:t xml:space="preserve"> addressed plaintiffs’ allegations</w:t>
      </w:r>
      <w:r w:rsidRPr="006A6928" w:rsidR="00481870">
        <w:rPr>
          <w:rFonts w:eastAsia="Times New Roman"/>
          <w:szCs w:val="26"/>
        </w:rPr>
        <w:t>, re-stated from the FAC,</w:t>
      </w:r>
      <w:r w:rsidRPr="006A6928" w:rsidR="00717978">
        <w:rPr>
          <w:rFonts w:eastAsia="Times New Roman"/>
          <w:szCs w:val="26"/>
        </w:rPr>
        <w:t xml:space="preserve"> that defendants had materially contributed to the illegal scam by actively promoting the videos, selling targeted ads, falsely verifying the channels, and providing false and misleading information to promote the videos.  </w:t>
      </w:r>
      <w:r w:rsidRPr="006A6928" w:rsidR="002341AA">
        <w:rPr>
          <w:rFonts w:eastAsia="Times New Roman"/>
          <w:szCs w:val="26"/>
        </w:rPr>
        <w:t>T</w:t>
      </w:r>
      <w:r w:rsidRPr="006A6928" w:rsidR="00717978">
        <w:rPr>
          <w:rFonts w:eastAsia="Times New Roman"/>
          <w:szCs w:val="26"/>
        </w:rPr>
        <w:t>he court held that</w:t>
      </w:r>
      <w:r w:rsidRPr="006A6928">
        <w:rPr>
          <w:rFonts w:eastAsia="Times New Roman"/>
          <w:szCs w:val="26"/>
        </w:rPr>
        <w:t xml:space="preserve"> these actions constituted “neutral tools” and, under existing precedent, plaintiffs cannot plead around section 230 immunity by framing such neutral website features as content.  </w:t>
      </w:r>
      <w:r w:rsidRPr="006A6928" w:rsidR="00481870">
        <w:rPr>
          <w:rFonts w:eastAsia="Times New Roman"/>
          <w:szCs w:val="26"/>
        </w:rPr>
        <w:t xml:space="preserve">“In sum,” the court stated, “all of Plaintiffs’ claims seek to hold Defendants liable as the publisher of content created by others, and not for Defendants’ own content that </w:t>
      </w:r>
      <w:r w:rsidR="0015321B">
        <w:rPr>
          <w:rFonts w:eastAsia="Times New Roman"/>
          <w:szCs w:val="26"/>
        </w:rPr>
        <w:t>‘</w:t>
      </w:r>
      <w:r w:rsidRPr="006A6928" w:rsidR="00481870">
        <w:rPr>
          <w:rFonts w:eastAsia="Times New Roman"/>
          <w:szCs w:val="26"/>
        </w:rPr>
        <w:t>contributes materially to the alleged illegality of</w:t>
      </w:r>
      <w:r w:rsidR="0015321B">
        <w:rPr>
          <w:rFonts w:eastAsia="Times New Roman"/>
          <w:szCs w:val="26"/>
        </w:rPr>
        <w:t>’</w:t>
      </w:r>
      <w:r w:rsidRPr="006A6928" w:rsidR="00481870">
        <w:rPr>
          <w:rFonts w:eastAsia="Times New Roman"/>
          <w:szCs w:val="26"/>
        </w:rPr>
        <w:t xml:space="preserve"> the scams at issue here.” </w:t>
      </w:r>
    </w:p>
    <w:p w:rsidR="005434CC" w:rsidRPr="006A6928" w:rsidP="0080403E">
      <w:pPr>
        <w:ind w:firstLine="720"/>
        <w:rPr>
          <w:rFonts w:eastAsia="Times New Roman"/>
          <w:szCs w:val="26"/>
        </w:rPr>
      </w:pPr>
      <w:r w:rsidRPr="006A6928">
        <w:rPr>
          <w:rFonts w:eastAsia="Times New Roman"/>
          <w:szCs w:val="26"/>
        </w:rPr>
        <w:t>The court then addressed the new</w:t>
      </w:r>
      <w:r w:rsidRPr="006A6928" w:rsidR="0026307B">
        <w:rPr>
          <w:rFonts w:eastAsia="Times New Roman"/>
          <w:szCs w:val="26"/>
        </w:rPr>
        <w:t xml:space="preserve"> </w:t>
      </w:r>
      <w:r w:rsidRPr="006A6928" w:rsidR="00125379">
        <w:rPr>
          <w:rFonts w:eastAsia="Times New Roman"/>
          <w:szCs w:val="26"/>
        </w:rPr>
        <w:t xml:space="preserve">facts and theories alleged in the SAC, specifically security- or design-related </w:t>
      </w:r>
      <w:r w:rsidRPr="006A6928" w:rsidR="001C2E16">
        <w:rPr>
          <w:rFonts w:eastAsia="Times New Roman"/>
          <w:szCs w:val="26"/>
        </w:rPr>
        <w:t>claims</w:t>
      </w:r>
      <w:r w:rsidRPr="006A6928" w:rsidR="00125379">
        <w:rPr>
          <w:rFonts w:eastAsia="Times New Roman"/>
          <w:szCs w:val="26"/>
        </w:rPr>
        <w:t xml:space="preserve"> and contract-related causes of action.  </w:t>
      </w:r>
      <w:r w:rsidRPr="006A6928" w:rsidR="00704A61">
        <w:rPr>
          <w:rFonts w:eastAsia="Times New Roman"/>
          <w:szCs w:val="26"/>
        </w:rPr>
        <w:t xml:space="preserve">With respect to the former, the court concluded that the theories of liability still depend on third-party content, without which no liability could exist.  With respect to the latter, the court held that, while styled as claims for breach of contract and negligent misrepresentation, in reality they treat defendants as publishers and seek to hold them liable for third-party conduct, thereby coming within the scope of section 230 immunity.  </w:t>
      </w:r>
    </w:p>
    <w:p w:rsidR="008D4A1C" w:rsidRPr="006A6928" w:rsidP="0080403E">
      <w:pPr>
        <w:ind w:firstLine="720"/>
        <w:rPr>
          <w:rFonts w:eastAsia="Times New Roman"/>
          <w:szCs w:val="26"/>
        </w:rPr>
      </w:pPr>
      <w:r w:rsidRPr="006A6928">
        <w:rPr>
          <w:rFonts w:eastAsia="Times New Roman"/>
          <w:szCs w:val="26"/>
        </w:rPr>
        <w:t xml:space="preserve">The court did not address defendants’ alternative arguments that, </w:t>
      </w:r>
      <w:r w:rsidR="0043726C">
        <w:rPr>
          <w:rFonts w:eastAsia="Times New Roman"/>
          <w:szCs w:val="26"/>
        </w:rPr>
        <w:t>independent of</w:t>
      </w:r>
      <w:r w:rsidRPr="006A6928">
        <w:rPr>
          <w:rFonts w:eastAsia="Times New Roman"/>
          <w:szCs w:val="26"/>
        </w:rPr>
        <w:t xml:space="preserve"> section 230, the causes of action failed to state sufficient claims for relief.</w:t>
      </w:r>
    </w:p>
    <w:p w:rsidR="005434CC" w:rsidRPr="006A6928" w:rsidP="0080403E">
      <w:pPr>
        <w:ind w:firstLine="720"/>
        <w:rPr>
          <w:rFonts w:eastAsia="Times New Roman"/>
          <w:szCs w:val="26"/>
        </w:rPr>
      </w:pPr>
      <w:r w:rsidRPr="006A6928">
        <w:rPr>
          <w:rFonts w:eastAsia="Times New Roman"/>
          <w:szCs w:val="26"/>
        </w:rPr>
        <w:t xml:space="preserve">The court sustained the demurrer without leave to amend because plaintiffs had not explained how they could amend </w:t>
      </w:r>
      <w:r w:rsidRPr="006A6928" w:rsidR="00887419">
        <w:rPr>
          <w:rFonts w:eastAsia="Times New Roman"/>
          <w:szCs w:val="26"/>
        </w:rPr>
        <w:t>the SAC</w:t>
      </w:r>
      <w:r w:rsidRPr="006A6928">
        <w:rPr>
          <w:rFonts w:eastAsia="Times New Roman"/>
          <w:szCs w:val="26"/>
        </w:rPr>
        <w:t xml:space="preserve"> to avo</w:t>
      </w:r>
      <w:r w:rsidRPr="006A6928" w:rsidR="00DF5823">
        <w:rPr>
          <w:rFonts w:eastAsia="Times New Roman"/>
          <w:szCs w:val="26"/>
        </w:rPr>
        <w:t xml:space="preserve">id section 230 immunity, and the court could not discern any such reasonable possibility.  The order was entered on January 26, 2022.  </w:t>
      </w:r>
    </w:p>
    <w:p w:rsidR="0048609F" w:rsidRPr="006A6928" w:rsidP="0080403E">
      <w:pPr>
        <w:ind w:firstLine="720"/>
        <w:rPr>
          <w:rFonts w:eastAsia="Times New Roman"/>
          <w:szCs w:val="26"/>
        </w:rPr>
      </w:pPr>
      <w:r w:rsidRPr="006A6928">
        <w:rPr>
          <w:rFonts w:eastAsia="Times New Roman"/>
          <w:szCs w:val="26"/>
        </w:rPr>
        <w:t xml:space="preserve">A judgment of dismissal (judgment) was entered on May 4, 2022.  </w:t>
      </w:r>
    </w:p>
    <w:p w:rsidR="00094C41" w:rsidRPr="006A6928" w:rsidP="00C976D1">
      <w:pPr>
        <w:ind w:firstLine="720"/>
        <w:rPr>
          <w:rFonts w:eastAsia="Times New Roman"/>
          <w:b/>
          <w:bCs/>
          <w:szCs w:val="26"/>
        </w:rPr>
      </w:pPr>
      <w:r w:rsidRPr="006A6928">
        <w:rPr>
          <w:rFonts w:eastAsia="Times New Roman"/>
          <w:szCs w:val="26"/>
        </w:rPr>
        <w:t xml:space="preserve">Plaintiffs timely appealed. </w:t>
      </w:r>
    </w:p>
    <w:p w:rsidR="00576A23" w:rsidRPr="006A6928" w:rsidP="007C0EA7">
      <w:pPr>
        <w:pStyle w:val="ListParagraph"/>
        <w:keepNext/>
        <w:numPr>
          <w:ilvl w:val="0"/>
          <w:numId w:val="1"/>
        </w:numPr>
        <w:jc w:val="center"/>
        <w:rPr>
          <w:b/>
          <w:bCs/>
          <w:smallCaps/>
        </w:rPr>
      </w:pPr>
      <w:r w:rsidRPr="006A6928">
        <w:rPr>
          <w:b/>
          <w:bCs/>
          <w:smallCaps/>
        </w:rPr>
        <w:t>Discussion</w:t>
      </w:r>
      <w:bookmarkStart w:id="0" w:name="_Hlk115265962"/>
    </w:p>
    <w:p w:rsidR="00E714C3" w:rsidRPr="006A6928" w:rsidP="008D4D33">
      <w:pPr>
        <w:ind w:firstLine="720"/>
        <w:textAlignment w:val="baseline"/>
        <w:rPr>
          <w:color w:val="000000"/>
          <w:szCs w:val="26"/>
        </w:rPr>
      </w:pPr>
      <w:r w:rsidRPr="006A6928">
        <w:rPr>
          <w:color w:val="000000"/>
          <w:szCs w:val="26"/>
        </w:rPr>
        <w:t xml:space="preserve">Plaintiffs argue </w:t>
      </w:r>
      <w:r w:rsidRPr="006A6928" w:rsidR="008464C9">
        <w:rPr>
          <w:color w:val="000000"/>
          <w:szCs w:val="26"/>
        </w:rPr>
        <w:t xml:space="preserve">on appeal that </w:t>
      </w:r>
      <w:r w:rsidRPr="006A6928">
        <w:rPr>
          <w:color w:val="000000"/>
          <w:szCs w:val="26"/>
        </w:rPr>
        <w:t xml:space="preserve">(1) </w:t>
      </w:r>
      <w:r w:rsidRPr="006A6928" w:rsidR="008464C9">
        <w:rPr>
          <w:color w:val="000000"/>
          <w:szCs w:val="26"/>
        </w:rPr>
        <w:t>section 230 does not apply to the conduct alleged in this case,</w:t>
      </w:r>
      <w:r w:rsidRPr="006A6928">
        <w:rPr>
          <w:color w:val="000000"/>
          <w:szCs w:val="26"/>
        </w:rPr>
        <w:t xml:space="preserve"> </w:t>
      </w:r>
      <w:r w:rsidRPr="006A6928" w:rsidR="002F4F0E">
        <w:rPr>
          <w:color w:val="000000"/>
          <w:szCs w:val="26"/>
        </w:rPr>
        <w:t xml:space="preserve">which seeks to hold defendants liable for choosing to engage in actions they knew would further entirely criminal activity, and (2) the trial court abused its discretion in imposing a blanket stay of all discovery and repeatedly refusing to lift the stay.  </w:t>
      </w:r>
      <w:r w:rsidRPr="006A6928">
        <w:rPr>
          <w:color w:val="000000"/>
          <w:szCs w:val="26"/>
        </w:rPr>
        <w:t xml:space="preserve"> </w:t>
      </w:r>
    </w:p>
    <w:p w:rsidR="00163437" w:rsidRPr="006A6928" w:rsidP="004C59A8">
      <w:pPr>
        <w:ind w:firstLine="720"/>
        <w:textAlignment w:val="baseline"/>
        <w:rPr>
          <w:szCs w:val="26"/>
        </w:rPr>
      </w:pPr>
      <w:r w:rsidRPr="006A6928">
        <w:rPr>
          <w:color w:val="000000"/>
          <w:szCs w:val="26"/>
        </w:rPr>
        <w:t>Defendants argue that (1)</w:t>
      </w:r>
      <w:r w:rsidRPr="006A6928" w:rsidR="00B81BEA">
        <w:rPr>
          <w:color w:val="000000"/>
          <w:szCs w:val="26"/>
        </w:rPr>
        <w:t xml:space="preserve"> plaintiffs’ claims seek to impose liability for harm caused by third-party videos hosted on YouTube, which section 230 precludes; </w:t>
      </w:r>
      <w:r w:rsidRPr="006A6928">
        <w:rPr>
          <w:color w:val="000000"/>
          <w:szCs w:val="26"/>
        </w:rPr>
        <w:t xml:space="preserve">(2) even if section 230 </w:t>
      </w:r>
      <w:r w:rsidR="00161956">
        <w:rPr>
          <w:color w:val="000000"/>
          <w:szCs w:val="26"/>
        </w:rPr>
        <w:t>does</w:t>
      </w:r>
      <w:r w:rsidRPr="006A6928" w:rsidR="00161956">
        <w:rPr>
          <w:color w:val="000000"/>
          <w:szCs w:val="26"/>
        </w:rPr>
        <w:t xml:space="preserve"> </w:t>
      </w:r>
      <w:r w:rsidRPr="006A6928">
        <w:rPr>
          <w:color w:val="000000"/>
          <w:szCs w:val="26"/>
        </w:rPr>
        <w:t xml:space="preserve">not apply, plaintiffs have still failed to state viable claims because they </w:t>
      </w:r>
      <w:r w:rsidRPr="006A6928">
        <w:rPr>
          <w:szCs w:val="26"/>
        </w:rPr>
        <w:t>improperly attempt to impose vicarious liability for harms caused by unrelated third parties</w:t>
      </w:r>
      <w:r w:rsidRPr="006A6928" w:rsidR="00B81BEA">
        <w:rPr>
          <w:color w:val="000000"/>
          <w:szCs w:val="26"/>
        </w:rPr>
        <w:t xml:space="preserve">; and (3) </w:t>
      </w:r>
      <w:r w:rsidRPr="006A6928">
        <w:rPr>
          <w:color w:val="000000"/>
          <w:szCs w:val="26"/>
        </w:rPr>
        <w:t>t</w:t>
      </w:r>
      <w:r w:rsidRPr="006A6928">
        <w:rPr>
          <w:szCs w:val="26"/>
        </w:rPr>
        <w:t xml:space="preserve">he trial court properly exercised its discretion </w:t>
      </w:r>
      <w:r w:rsidRPr="006A6928" w:rsidR="004C59A8">
        <w:rPr>
          <w:szCs w:val="26"/>
        </w:rPr>
        <w:t xml:space="preserve">in imposing limits on discovery. </w:t>
      </w:r>
    </w:p>
    <w:p w:rsidR="00094C41" w:rsidRPr="006A6928" w:rsidP="00163437">
      <w:pPr>
        <w:ind w:firstLine="720"/>
        <w:textAlignment w:val="baseline"/>
        <w:rPr>
          <w:color w:val="000000"/>
          <w:szCs w:val="26"/>
        </w:rPr>
      </w:pPr>
      <w:r w:rsidRPr="006A6928">
        <w:rPr>
          <w:color w:val="000000"/>
          <w:szCs w:val="26"/>
        </w:rPr>
        <w:t xml:space="preserve">We address these arguments in turn below. </w:t>
      </w:r>
    </w:p>
    <w:p w:rsidR="007C0EA7" w:rsidRPr="006A6928" w:rsidP="007C0EA7">
      <w:pPr>
        <w:pStyle w:val="ListParagraph"/>
        <w:numPr>
          <w:ilvl w:val="0"/>
          <w:numId w:val="11"/>
        </w:numPr>
        <w:textAlignment w:val="baseline"/>
        <w:rPr>
          <w:rFonts w:eastAsia="Times New Roman"/>
          <w:b/>
          <w:bCs/>
          <w:i/>
          <w:iCs/>
          <w:szCs w:val="26"/>
        </w:rPr>
      </w:pPr>
      <w:r w:rsidRPr="006A6928">
        <w:rPr>
          <w:rFonts w:eastAsia="Times New Roman"/>
          <w:b/>
          <w:bCs/>
          <w:i/>
          <w:iCs/>
          <w:szCs w:val="26"/>
        </w:rPr>
        <w:t>Section 230 immunity</w:t>
      </w:r>
    </w:p>
    <w:p w:rsidR="00094C41" w:rsidRPr="006A6928" w:rsidP="00094C41">
      <w:pPr>
        <w:pStyle w:val="ListParagraph"/>
        <w:numPr>
          <w:ilvl w:val="0"/>
          <w:numId w:val="43"/>
        </w:numPr>
        <w:ind w:left="1800"/>
        <w:textAlignment w:val="baseline"/>
        <w:rPr>
          <w:rFonts w:eastAsia="Times New Roman"/>
          <w:b/>
          <w:bCs/>
          <w:i/>
          <w:iCs/>
          <w:szCs w:val="26"/>
        </w:rPr>
      </w:pPr>
      <w:r w:rsidRPr="006A6928">
        <w:rPr>
          <w:rFonts w:eastAsia="Times New Roman"/>
          <w:b/>
          <w:bCs/>
          <w:i/>
          <w:iCs/>
          <w:szCs w:val="26"/>
        </w:rPr>
        <w:t>Applicable law and standard of review</w:t>
      </w:r>
    </w:p>
    <w:p w:rsidR="00640BB7" w:rsidRPr="006A6928" w:rsidP="00C12D55">
      <w:pPr>
        <w:ind w:firstLine="720"/>
        <w:textAlignment w:val="baseline"/>
        <w:rPr>
          <w:rFonts w:eastAsia="Times New Roman"/>
          <w:szCs w:val="26"/>
        </w:rPr>
      </w:pPr>
      <w:r w:rsidRPr="006A6928">
        <w:rPr>
          <w:rFonts w:eastAsia="Times New Roman"/>
          <w:szCs w:val="26"/>
        </w:rPr>
        <w:t>“When reviewing a ruling on a demurrer, we examine de novo whether the complaint alleges facts sufficient to state a cause of action.”  (</w:t>
      </w:r>
      <w:r w:rsidRPr="006A6928">
        <w:rPr>
          <w:rFonts w:eastAsia="Times New Roman"/>
          <w:i/>
          <w:iCs/>
          <w:szCs w:val="26"/>
        </w:rPr>
        <w:t xml:space="preserve">Liapes v. Facebook </w:t>
      </w:r>
      <w:r w:rsidRPr="006A6928">
        <w:rPr>
          <w:rFonts w:eastAsia="Times New Roman"/>
          <w:szCs w:val="26"/>
        </w:rPr>
        <w:t xml:space="preserve">(2023) </w:t>
      </w:r>
      <w:bookmarkStart w:id="1" w:name="_Hlk161132677"/>
      <w:r w:rsidRPr="006A6928">
        <w:rPr>
          <w:rFonts w:eastAsia="Times New Roman"/>
          <w:szCs w:val="26"/>
        </w:rPr>
        <w:t xml:space="preserve">95 Cal.App.5th </w:t>
      </w:r>
      <w:bookmarkEnd w:id="1"/>
      <w:r w:rsidRPr="006A6928">
        <w:rPr>
          <w:rFonts w:eastAsia="Times New Roman"/>
          <w:szCs w:val="26"/>
        </w:rPr>
        <w:t>910, 919</w:t>
      </w:r>
      <w:r w:rsidRPr="006A6928" w:rsidR="00CE3255">
        <w:rPr>
          <w:rFonts w:eastAsia="Times New Roman"/>
          <w:szCs w:val="26"/>
        </w:rPr>
        <w:t xml:space="preserve"> (</w:t>
      </w:r>
      <w:r w:rsidRPr="006A6928" w:rsidR="00CE3255">
        <w:rPr>
          <w:rFonts w:eastAsia="Times New Roman"/>
          <w:i/>
          <w:iCs/>
          <w:szCs w:val="26"/>
        </w:rPr>
        <w:t>Liapes</w:t>
      </w:r>
      <w:r w:rsidRPr="006A6928" w:rsidR="00C976D1">
        <w:rPr>
          <w:rFonts w:eastAsia="Times New Roman"/>
          <w:szCs w:val="26"/>
        </w:rPr>
        <w:t>)</w:t>
      </w:r>
      <w:r w:rsidR="00161956">
        <w:rPr>
          <w:rFonts w:eastAsia="Times New Roman"/>
          <w:szCs w:val="26"/>
        </w:rPr>
        <w:t>,</w:t>
      </w:r>
      <w:r w:rsidRPr="006A6928">
        <w:rPr>
          <w:rFonts w:eastAsia="Times New Roman"/>
          <w:szCs w:val="26"/>
        </w:rPr>
        <w:t xml:space="preserve"> citing </w:t>
      </w:r>
      <w:bookmarkStart w:id="2" w:name="_Hlk161132954"/>
      <w:r w:rsidRPr="006A6928">
        <w:rPr>
          <w:rFonts w:eastAsia="Times New Roman"/>
          <w:i/>
          <w:iCs/>
          <w:szCs w:val="26"/>
        </w:rPr>
        <w:t>Regent</w:t>
      </w:r>
      <w:r w:rsidRPr="006A6928" w:rsidR="000510CD">
        <w:rPr>
          <w:rFonts w:eastAsia="Times New Roman"/>
          <w:i/>
          <w:iCs/>
          <w:szCs w:val="26"/>
        </w:rPr>
        <w:t>s</w:t>
      </w:r>
      <w:bookmarkEnd w:id="2"/>
      <w:r w:rsidRPr="006A6928" w:rsidR="000510CD">
        <w:rPr>
          <w:rFonts w:eastAsia="Times New Roman"/>
          <w:i/>
          <w:iCs/>
          <w:szCs w:val="26"/>
        </w:rPr>
        <w:t xml:space="preserve"> of University of California v. Superior Court </w:t>
      </w:r>
      <w:r w:rsidRPr="006A6928" w:rsidR="000510CD">
        <w:rPr>
          <w:rFonts w:eastAsia="Times New Roman"/>
          <w:szCs w:val="26"/>
        </w:rPr>
        <w:t xml:space="preserve">(2013) </w:t>
      </w:r>
      <w:bookmarkStart w:id="3" w:name="_Hlk161132553"/>
      <w:r w:rsidRPr="006A6928" w:rsidR="000510CD">
        <w:rPr>
          <w:rFonts w:eastAsia="Times New Roman"/>
          <w:szCs w:val="26"/>
        </w:rPr>
        <w:t>220 Cal.App.4th</w:t>
      </w:r>
      <w:bookmarkEnd w:id="3"/>
      <w:r w:rsidRPr="006A6928" w:rsidR="000510CD">
        <w:rPr>
          <w:rFonts w:eastAsia="Times New Roman"/>
          <w:szCs w:val="26"/>
        </w:rPr>
        <w:t xml:space="preserve"> 549, 558</w:t>
      </w:r>
      <w:r w:rsidR="006A46EA">
        <w:rPr>
          <w:rFonts w:eastAsia="Times New Roman"/>
          <w:szCs w:val="26"/>
        </w:rPr>
        <w:t xml:space="preserve"> (</w:t>
      </w:r>
      <w:r w:rsidRPr="006A46EA" w:rsidR="006A46EA">
        <w:rPr>
          <w:rFonts w:eastAsia="Times New Roman"/>
          <w:i/>
          <w:iCs/>
          <w:szCs w:val="26"/>
        </w:rPr>
        <w:t>Regents</w:t>
      </w:r>
      <w:r w:rsidR="006A46EA">
        <w:rPr>
          <w:rFonts w:eastAsia="Times New Roman"/>
          <w:szCs w:val="26"/>
        </w:rPr>
        <w:t>)</w:t>
      </w:r>
      <w:r w:rsidRPr="006A6928" w:rsidR="000510CD">
        <w:rPr>
          <w:rFonts w:eastAsia="Times New Roman"/>
          <w:szCs w:val="26"/>
        </w:rPr>
        <w:t>.)</w:t>
      </w:r>
      <w:r w:rsidRPr="006A6928">
        <w:rPr>
          <w:rFonts w:ascii="Source Sans Pro" w:eastAsia="Times New Roman" w:hAnsi="Source Sans Pro"/>
          <w:color w:val="000000"/>
          <w:sz w:val="24"/>
          <w:szCs w:val="24"/>
        </w:rPr>
        <w:t xml:space="preserve"> </w:t>
      </w:r>
      <w:r w:rsidRPr="006A6928" w:rsidR="000510CD">
        <w:rPr>
          <w:rFonts w:eastAsia="Times New Roman"/>
          <w:szCs w:val="26"/>
        </w:rPr>
        <w:t xml:space="preserve"> </w:t>
      </w:r>
      <w:r w:rsidRPr="006A6928">
        <w:rPr>
          <w:rFonts w:eastAsia="Times New Roman"/>
          <w:szCs w:val="26"/>
        </w:rPr>
        <w:t>“</w:t>
      </w:r>
      <w:r w:rsidRPr="006A6928" w:rsidR="000510CD">
        <w:rPr>
          <w:rFonts w:eastAsia="Times New Roman"/>
          <w:szCs w:val="26"/>
        </w:rPr>
        <w:t xml:space="preserve"> ‘</w:t>
      </w:r>
      <w:r w:rsidRPr="006A6928">
        <w:rPr>
          <w:rFonts w:eastAsia="Times New Roman"/>
          <w:szCs w:val="26"/>
        </w:rPr>
        <w:t>We assume the truth of the properly pleaded factual allegations, [and] facts that reasonably can be inferred from those expressly pleaded.</w:t>
      </w:r>
      <w:r w:rsidRPr="006A6928" w:rsidR="002C19AE">
        <w:rPr>
          <w:rFonts w:eastAsia="Times New Roman"/>
          <w:szCs w:val="26"/>
        </w:rPr>
        <w:t xml:space="preserve">’ [Citation.] </w:t>
      </w:r>
      <w:r w:rsidRPr="006A6928">
        <w:rPr>
          <w:rFonts w:eastAsia="Times New Roman"/>
          <w:szCs w:val="26"/>
        </w:rPr>
        <w:t xml:space="preserve">But we do not assume the truth of </w:t>
      </w:r>
      <w:r w:rsidRPr="006A6928" w:rsidR="002C19AE">
        <w:rPr>
          <w:rFonts w:eastAsia="Times New Roman"/>
          <w:szCs w:val="26"/>
        </w:rPr>
        <w:t>‘</w:t>
      </w:r>
      <w:r w:rsidRPr="006A6928">
        <w:rPr>
          <w:rFonts w:eastAsia="Times New Roman"/>
          <w:szCs w:val="26"/>
        </w:rPr>
        <w:t>contentions, deductions,</w:t>
      </w:r>
      <w:r w:rsidRPr="006A6928" w:rsidR="00CE3255">
        <w:rPr>
          <w:rFonts w:eastAsia="Times New Roman"/>
          <w:szCs w:val="26"/>
        </w:rPr>
        <w:t xml:space="preserve"> </w:t>
      </w:r>
      <w:r w:rsidRPr="006A6928">
        <w:rPr>
          <w:rFonts w:eastAsia="Times New Roman"/>
          <w:szCs w:val="26"/>
        </w:rPr>
        <w:t>or conclusions of law.</w:t>
      </w:r>
      <w:r w:rsidRPr="006A6928" w:rsidR="002C19AE">
        <w:rPr>
          <w:rFonts w:eastAsia="Times New Roman"/>
          <w:szCs w:val="26"/>
        </w:rPr>
        <w:t xml:space="preserve">’ </w:t>
      </w:r>
      <w:r w:rsidRPr="006A6928">
        <w:rPr>
          <w:rFonts w:eastAsia="Times New Roman"/>
          <w:szCs w:val="26"/>
        </w:rPr>
        <w:t xml:space="preserve">” </w:t>
      </w:r>
      <w:r w:rsidRPr="006A6928" w:rsidR="002C19AE">
        <w:rPr>
          <w:rFonts w:eastAsia="Times New Roman"/>
          <w:szCs w:val="26"/>
        </w:rPr>
        <w:t xml:space="preserve"> (</w:t>
      </w:r>
      <w:r w:rsidRPr="006A6928" w:rsidR="002C19AE">
        <w:rPr>
          <w:rFonts w:eastAsia="Times New Roman"/>
          <w:i/>
          <w:iCs/>
          <w:szCs w:val="26"/>
        </w:rPr>
        <w:t>Liapes, supra</w:t>
      </w:r>
      <w:r w:rsidRPr="006A6928" w:rsidR="002C19AE">
        <w:rPr>
          <w:rFonts w:eastAsia="Times New Roman"/>
          <w:szCs w:val="26"/>
        </w:rPr>
        <w:t xml:space="preserve">, at p. 919, quoting </w:t>
      </w:r>
      <w:r w:rsidRPr="006A6928">
        <w:rPr>
          <w:rFonts w:eastAsia="Times New Roman"/>
          <w:i/>
          <w:iCs/>
          <w:szCs w:val="26"/>
          <w:bdr w:val="none" w:sz="0" w:space="0" w:color="auto" w:frame="1"/>
        </w:rPr>
        <w:t>Stearn v. County of San Bernardino</w:t>
      </w:r>
      <w:r w:rsidRPr="006A6928">
        <w:rPr>
          <w:rFonts w:eastAsia="Times New Roman"/>
          <w:szCs w:val="26"/>
        </w:rPr>
        <w:t xml:space="preserve"> (2009) 170 Cal.App.4th 434, 440</w:t>
      </w:r>
      <w:r w:rsidRPr="006A6928" w:rsidR="002C19AE">
        <w:rPr>
          <w:rFonts w:eastAsia="Times New Roman"/>
          <w:szCs w:val="26"/>
        </w:rPr>
        <w:t xml:space="preserve">.) </w:t>
      </w:r>
      <w:r w:rsidRPr="006A6928">
        <w:rPr>
          <w:rFonts w:eastAsia="Times New Roman"/>
          <w:szCs w:val="26"/>
        </w:rPr>
        <w:t xml:space="preserve"> </w:t>
      </w:r>
    </w:p>
    <w:p w:rsidR="00640BB7" w:rsidRPr="006A6928" w:rsidP="00640BB7">
      <w:pPr>
        <w:ind w:firstLine="720"/>
        <w:textAlignment w:val="baseline"/>
        <w:rPr>
          <w:rFonts w:eastAsia="Times New Roman"/>
          <w:szCs w:val="26"/>
        </w:rPr>
      </w:pPr>
      <w:r w:rsidRPr="006A6928">
        <w:rPr>
          <w:rFonts w:eastAsia="Times New Roman"/>
          <w:szCs w:val="26"/>
        </w:rPr>
        <w:t>“</w:t>
      </w:r>
      <w:r w:rsidRPr="006A6928" w:rsidR="00C6795C">
        <w:rPr>
          <w:rFonts w:eastAsia="Times New Roman"/>
          <w:szCs w:val="26"/>
        </w:rPr>
        <w:t xml:space="preserve">We liberally construe the complaint </w:t>
      </w:r>
      <w:r w:rsidRPr="006A6928">
        <w:rPr>
          <w:rFonts w:eastAsia="Times New Roman"/>
          <w:szCs w:val="26"/>
        </w:rPr>
        <w:t>‘</w:t>
      </w:r>
      <w:r w:rsidRPr="006A6928" w:rsidR="00C6795C">
        <w:rPr>
          <w:rFonts w:eastAsia="Times New Roman"/>
          <w:szCs w:val="26"/>
        </w:rPr>
        <w:t>with a view to substantial justice between the parties,</w:t>
      </w:r>
      <w:r w:rsidRPr="006A6928">
        <w:rPr>
          <w:rFonts w:eastAsia="Times New Roman"/>
          <w:szCs w:val="26"/>
        </w:rPr>
        <w:t>’</w:t>
      </w:r>
      <w:r w:rsidRPr="006A6928" w:rsidR="00C6795C">
        <w:rPr>
          <w:rFonts w:eastAsia="Times New Roman"/>
          <w:szCs w:val="26"/>
        </w:rPr>
        <w:t xml:space="preserve"> drawing </w:t>
      </w:r>
      <w:r w:rsidRPr="006A6928">
        <w:rPr>
          <w:rFonts w:eastAsia="Times New Roman"/>
          <w:szCs w:val="26"/>
        </w:rPr>
        <w:t>‘</w:t>
      </w:r>
      <w:r w:rsidRPr="006A6928" w:rsidR="00C6795C">
        <w:rPr>
          <w:rFonts w:eastAsia="Times New Roman"/>
          <w:szCs w:val="26"/>
        </w:rPr>
        <w:t>all reasonable inferences in favor of the asserted claims.</w:t>
      </w:r>
      <w:r w:rsidRPr="006A6928">
        <w:rPr>
          <w:rFonts w:eastAsia="Times New Roman"/>
          <w:szCs w:val="26"/>
        </w:rPr>
        <w:t xml:space="preserve">’ </w:t>
      </w:r>
      <w:r w:rsidRPr="006A6928" w:rsidR="00C6795C">
        <w:rPr>
          <w:rFonts w:eastAsia="Times New Roman"/>
          <w:szCs w:val="26"/>
        </w:rPr>
        <w:t>”</w:t>
      </w:r>
      <w:r w:rsidRPr="006A6928">
        <w:rPr>
          <w:rFonts w:eastAsia="Times New Roman"/>
          <w:szCs w:val="26"/>
        </w:rPr>
        <w:t xml:space="preserve">  (</w:t>
      </w:r>
      <w:r w:rsidRPr="006A6928">
        <w:rPr>
          <w:rFonts w:eastAsia="Times New Roman"/>
          <w:i/>
          <w:iCs/>
          <w:szCs w:val="26"/>
        </w:rPr>
        <w:t xml:space="preserve">Liapes, supra, </w:t>
      </w:r>
      <w:r w:rsidRPr="006A46EA" w:rsidR="006A46EA">
        <w:rPr>
          <w:rFonts w:eastAsia="Times New Roman"/>
          <w:szCs w:val="26"/>
        </w:rPr>
        <w:t xml:space="preserve">95 Cal.App.5th </w:t>
      </w:r>
      <w:r w:rsidRPr="006A6928">
        <w:rPr>
          <w:rFonts w:eastAsia="Times New Roman"/>
          <w:szCs w:val="26"/>
        </w:rPr>
        <w:t xml:space="preserve">at p. 919, quoting </w:t>
      </w:r>
      <w:r w:rsidRPr="006A6928" w:rsidR="00C6795C">
        <w:rPr>
          <w:rFonts w:eastAsia="Times New Roman"/>
          <w:i/>
          <w:iCs/>
          <w:szCs w:val="26"/>
          <w:bdr w:val="none" w:sz="0" w:space="0" w:color="auto" w:frame="1"/>
        </w:rPr>
        <w:t>Regents</w:t>
      </w:r>
      <w:r w:rsidRPr="006A6928">
        <w:rPr>
          <w:rFonts w:eastAsia="Times New Roman"/>
          <w:i/>
          <w:iCs/>
          <w:szCs w:val="26"/>
          <w:bdr w:val="none" w:sz="0" w:space="0" w:color="auto" w:frame="1"/>
        </w:rPr>
        <w:t>, supra</w:t>
      </w:r>
      <w:r w:rsidRPr="006A6928" w:rsidR="00C6795C">
        <w:rPr>
          <w:rFonts w:eastAsia="Times New Roman"/>
          <w:szCs w:val="26"/>
        </w:rPr>
        <w:t xml:space="preserve">, </w:t>
      </w:r>
      <w:r w:rsidRPr="006A46EA" w:rsidR="006A46EA">
        <w:rPr>
          <w:rFonts w:eastAsia="Times New Roman"/>
          <w:szCs w:val="26"/>
        </w:rPr>
        <w:t xml:space="preserve">220 Cal.App.4th </w:t>
      </w:r>
      <w:r w:rsidRPr="006A6928" w:rsidR="00C6795C">
        <w:rPr>
          <w:rFonts w:eastAsia="Times New Roman"/>
          <w:szCs w:val="26"/>
        </w:rPr>
        <w:t>at p. 558</w:t>
      </w:r>
      <w:r w:rsidRPr="006A6928">
        <w:rPr>
          <w:rFonts w:eastAsia="Times New Roman"/>
          <w:szCs w:val="26"/>
        </w:rPr>
        <w:t>.)</w:t>
      </w:r>
      <w:r w:rsidRPr="006A6928" w:rsidR="00C6795C">
        <w:rPr>
          <w:rFonts w:eastAsia="Times New Roman"/>
          <w:szCs w:val="26"/>
        </w:rPr>
        <w:t xml:space="preserve"> </w:t>
      </w:r>
      <w:r w:rsidRPr="006A6928">
        <w:rPr>
          <w:rFonts w:eastAsia="Times New Roman"/>
          <w:szCs w:val="26"/>
        </w:rPr>
        <w:t xml:space="preserve"> “</w:t>
      </w:r>
      <w:r w:rsidRPr="006A6928" w:rsidR="00C6795C">
        <w:rPr>
          <w:rFonts w:eastAsia="Times New Roman"/>
          <w:szCs w:val="26"/>
        </w:rPr>
        <w:t>The plaintiff must demonstrate the court erroneously sustained the demurrer and</w:t>
      </w:r>
      <w:r w:rsidRPr="006A6928">
        <w:rPr>
          <w:rFonts w:eastAsia="Times New Roman"/>
          <w:szCs w:val="26"/>
        </w:rPr>
        <w:t xml:space="preserve"> </w:t>
      </w:r>
      <w:bookmarkStart w:id="4" w:name="_Hlk160547788"/>
      <w:r w:rsidRPr="006A6928">
        <w:rPr>
          <w:rFonts w:eastAsia="Times New Roman"/>
          <w:szCs w:val="26"/>
        </w:rPr>
        <w:t>‘</w:t>
      </w:r>
      <w:r w:rsidRPr="006A6928" w:rsidR="00C6795C">
        <w:rPr>
          <w:rFonts w:eastAsia="Times New Roman"/>
          <w:szCs w:val="26"/>
        </w:rPr>
        <w:t>must show the complaint alleges facts sufficient to establish every element of each cause of action.</w:t>
      </w:r>
      <w:r w:rsidRPr="006A6928">
        <w:rPr>
          <w:rFonts w:eastAsia="Times New Roman"/>
          <w:szCs w:val="26"/>
        </w:rPr>
        <w:t xml:space="preserve">’ </w:t>
      </w:r>
      <w:r w:rsidRPr="006A6928" w:rsidR="00C6795C">
        <w:rPr>
          <w:rFonts w:eastAsia="Times New Roman"/>
          <w:szCs w:val="26"/>
        </w:rPr>
        <w:t>”</w:t>
      </w:r>
      <w:r w:rsidRPr="006A6928">
        <w:rPr>
          <w:rFonts w:eastAsia="Times New Roman"/>
          <w:szCs w:val="26"/>
        </w:rPr>
        <w:t xml:space="preserve">  (</w:t>
      </w:r>
      <w:r w:rsidRPr="006A6928">
        <w:rPr>
          <w:rFonts w:eastAsia="Times New Roman"/>
          <w:i/>
          <w:iCs/>
          <w:szCs w:val="26"/>
        </w:rPr>
        <w:t>Liapes, supra</w:t>
      </w:r>
      <w:r w:rsidRPr="006A6928">
        <w:rPr>
          <w:rFonts w:eastAsia="Times New Roman"/>
          <w:szCs w:val="26"/>
        </w:rPr>
        <w:t>, at p. 919</w:t>
      </w:r>
      <w:bookmarkEnd w:id="4"/>
      <w:r w:rsidRPr="006A6928">
        <w:rPr>
          <w:rFonts w:eastAsia="Times New Roman"/>
          <w:szCs w:val="26"/>
        </w:rPr>
        <w:t xml:space="preserve">, quoting </w:t>
      </w:r>
      <w:r w:rsidRPr="006A6928" w:rsidR="00C6795C">
        <w:rPr>
          <w:rFonts w:eastAsia="Times New Roman"/>
          <w:i/>
          <w:iCs/>
          <w:szCs w:val="26"/>
          <w:bdr w:val="none" w:sz="0" w:space="0" w:color="auto" w:frame="1"/>
        </w:rPr>
        <w:t>Rakestraw v. California Physicians’ Service</w:t>
      </w:r>
      <w:r w:rsidRPr="006A6928" w:rsidR="00C6795C">
        <w:rPr>
          <w:rFonts w:eastAsia="Times New Roman"/>
          <w:szCs w:val="26"/>
        </w:rPr>
        <w:t xml:space="preserve"> (2000) 81 Cal.App.4th 39, 43</w:t>
      </w:r>
      <w:r w:rsidRPr="006A6928">
        <w:rPr>
          <w:rFonts w:eastAsia="Times New Roman"/>
          <w:szCs w:val="26"/>
        </w:rPr>
        <w:t>.</w:t>
      </w:r>
      <w:r w:rsidRPr="006A6928" w:rsidR="00364918">
        <w:rPr>
          <w:rFonts w:eastAsia="Times New Roman"/>
          <w:szCs w:val="26"/>
        </w:rPr>
        <w:t>)</w:t>
      </w:r>
      <w:r w:rsidRPr="006A6928" w:rsidR="000108AC">
        <w:rPr>
          <w:rFonts w:eastAsia="Times New Roman"/>
          <w:szCs w:val="26"/>
        </w:rPr>
        <w:t xml:space="preserve">  </w:t>
      </w:r>
    </w:p>
    <w:p w:rsidR="00C04062" w:rsidP="00C12D55">
      <w:pPr>
        <w:ind w:firstLine="720"/>
        <w:textAlignment w:val="baseline"/>
        <w:rPr>
          <w:rFonts w:eastAsia="Times New Roman"/>
          <w:szCs w:val="26"/>
        </w:rPr>
      </w:pPr>
      <w:r w:rsidRPr="006A6928">
        <w:rPr>
          <w:rFonts w:eastAsia="Times New Roman"/>
          <w:szCs w:val="26"/>
          <w:bdr w:val="none" w:sz="0" w:space="0" w:color="auto" w:frame="1"/>
          <w:shd w:val="clear" w:color="auto" w:fill="FFFFFF"/>
        </w:rPr>
        <w:t>When a demurrer is sustained without leave to amend, “we decide whether there is a reasonable possibility that the defect can be cured by amendment: if it can be, the trial court has abused its discretion and we reverse; if not, there has been no abuse of discretion and we affirm. [Citations.] The burden of proving such reasonable possibility is squarely on the plaintiff.”</w:t>
      </w:r>
      <w:r w:rsidRPr="006A6928">
        <w:rPr>
          <w:rFonts w:eastAsia="Times New Roman"/>
          <w:szCs w:val="26"/>
        </w:rPr>
        <w:t xml:space="preserve">  (</w:t>
      </w:r>
      <w:r w:rsidRPr="0015321B" w:rsidR="0015321B">
        <w:rPr>
          <w:rFonts w:eastAsia="Times New Roman"/>
          <w:i/>
          <w:iCs/>
          <w:szCs w:val="26"/>
          <w:bdr w:val="none" w:sz="0" w:space="0" w:color="auto" w:frame="1"/>
          <w:shd w:val="clear" w:color="auto" w:fill="FFFFFF"/>
        </w:rPr>
        <w:t>Blank</w:t>
      </w:r>
      <w:r w:rsidRPr="006A6928" w:rsidR="00D2732A">
        <w:rPr>
          <w:rFonts w:eastAsia="Times New Roman"/>
          <w:i/>
          <w:iCs/>
          <w:szCs w:val="26"/>
          <w:bdr w:val="none" w:sz="0" w:space="0" w:color="auto" w:frame="1"/>
          <w:shd w:val="clear" w:color="auto" w:fill="FFFFFF"/>
        </w:rPr>
        <w:t xml:space="preserve"> </w:t>
      </w:r>
      <w:r w:rsidRPr="006A6928">
        <w:rPr>
          <w:rFonts w:eastAsia="Times New Roman"/>
          <w:i/>
          <w:iCs/>
          <w:szCs w:val="26"/>
          <w:bdr w:val="none" w:sz="0" w:space="0" w:color="auto" w:frame="1"/>
          <w:shd w:val="clear" w:color="auto" w:fill="FFFFFF"/>
        </w:rPr>
        <w:t>v. Kirwan</w:t>
      </w:r>
      <w:r w:rsidRPr="006A6928">
        <w:rPr>
          <w:rFonts w:eastAsia="Times New Roman"/>
          <w:szCs w:val="26"/>
          <w:bdr w:val="none" w:sz="0" w:space="0" w:color="auto" w:frame="1"/>
          <w:shd w:val="clear" w:color="auto" w:fill="FFFFFF"/>
        </w:rPr>
        <w:t xml:space="preserve"> (1985) 39 Cal.3d 311, 318</w:t>
      </w:r>
      <w:r w:rsidRPr="006A6928" w:rsidR="00724CAD">
        <w:rPr>
          <w:rFonts w:eastAsia="Times New Roman"/>
          <w:szCs w:val="26"/>
          <w:bdr w:val="none" w:sz="0" w:space="0" w:color="auto" w:frame="1"/>
          <w:shd w:val="clear" w:color="auto" w:fill="FFFFFF"/>
        </w:rPr>
        <w:t xml:space="preserve"> (</w:t>
      </w:r>
      <w:bookmarkStart w:id="5" w:name="_Hlk161143698"/>
      <w:r w:rsidRPr="006A6928" w:rsidR="00724CAD">
        <w:rPr>
          <w:rFonts w:eastAsia="Times New Roman"/>
          <w:i/>
          <w:iCs/>
          <w:szCs w:val="26"/>
          <w:bdr w:val="none" w:sz="0" w:space="0" w:color="auto" w:frame="1"/>
          <w:shd w:val="clear" w:color="auto" w:fill="FFFFFF"/>
        </w:rPr>
        <w:t>Blank</w:t>
      </w:r>
      <w:bookmarkEnd w:id="5"/>
      <w:r w:rsidRPr="006A6928" w:rsidR="00724CAD">
        <w:rPr>
          <w:rFonts w:eastAsia="Times New Roman"/>
          <w:szCs w:val="26"/>
          <w:bdr w:val="none" w:sz="0" w:space="0" w:color="auto" w:frame="1"/>
          <w:shd w:val="clear" w:color="auto" w:fill="FFFFFF"/>
        </w:rPr>
        <w:t>)</w:t>
      </w:r>
      <w:r w:rsidRPr="006A6928">
        <w:rPr>
          <w:rFonts w:eastAsia="Times New Roman"/>
          <w:szCs w:val="26"/>
        </w:rPr>
        <w:t>.)</w:t>
      </w:r>
      <w:r>
        <w:rPr>
          <w:rFonts w:eastAsia="Times New Roman"/>
          <w:szCs w:val="26"/>
        </w:rPr>
        <w:t xml:space="preserve">  </w:t>
      </w:r>
      <w:r w:rsidRPr="006A6928" w:rsidR="000108AC">
        <w:rPr>
          <w:rFonts w:eastAsia="Times New Roman"/>
          <w:szCs w:val="26"/>
        </w:rPr>
        <w:t xml:space="preserve">In the context of a demurrer on section 230 grounds, “when </w:t>
      </w:r>
      <w:r w:rsidRPr="006A6928" w:rsidR="008F5F38">
        <w:rPr>
          <w:szCs w:val="26"/>
        </w:rPr>
        <w:t>a plaintiff cannot allege enough facts to overcome Section 230 immunity, a plaintiff’s claims should be dismissed.”  (</w:t>
      </w:r>
      <w:r w:rsidRPr="006A6928" w:rsidR="008F5F38">
        <w:rPr>
          <w:i/>
          <w:iCs/>
          <w:szCs w:val="26"/>
        </w:rPr>
        <w:t xml:space="preserve">Dyroff </w:t>
      </w:r>
      <w:r w:rsidR="002715F2">
        <w:rPr>
          <w:i/>
          <w:iCs/>
          <w:szCs w:val="26"/>
        </w:rPr>
        <w:t xml:space="preserve">v. </w:t>
      </w:r>
      <w:r w:rsidRPr="006A6928" w:rsidR="008F5F38">
        <w:rPr>
          <w:i/>
          <w:iCs/>
          <w:szCs w:val="26"/>
        </w:rPr>
        <w:t>Ultimate Software Gr</w:t>
      </w:r>
      <w:r w:rsidR="002715F2">
        <w:rPr>
          <w:i/>
          <w:iCs/>
          <w:szCs w:val="26"/>
        </w:rPr>
        <w:t>ou</w:t>
      </w:r>
      <w:r w:rsidRPr="006A6928" w:rsidR="008F5F38">
        <w:rPr>
          <w:i/>
          <w:iCs/>
          <w:szCs w:val="26"/>
        </w:rPr>
        <w:t>p, Inc</w:t>
      </w:r>
      <w:r w:rsidRPr="006A6928" w:rsidR="008F5F38">
        <w:rPr>
          <w:szCs w:val="26"/>
        </w:rPr>
        <w:t>. (9th Cir. 2019) 934 F.3d 1093, 1097 (</w:t>
      </w:r>
      <w:r w:rsidRPr="006A6928" w:rsidR="008F5F38">
        <w:rPr>
          <w:i/>
          <w:iCs/>
          <w:szCs w:val="26"/>
        </w:rPr>
        <w:t>Dyroff</w:t>
      </w:r>
      <w:r w:rsidRPr="006A6928" w:rsidR="008F5F38">
        <w:rPr>
          <w:szCs w:val="26"/>
        </w:rPr>
        <w:t>).)</w:t>
      </w:r>
      <w:r>
        <w:rPr>
          <w:rStyle w:val="FootnoteReference"/>
          <w:rFonts w:eastAsia="Times New Roman"/>
          <w:szCs w:val="26"/>
        </w:rPr>
        <w:footnoteReference w:id="7"/>
      </w:r>
      <w:r w:rsidRPr="006A6928">
        <w:rPr>
          <w:rFonts w:eastAsia="Times New Roman"/>
          <w:szCs w:val="26"/>
        </w:rPr>
        <w:t xml:space="preserve">  </w:t>
      </w:r>
    </w:p>
    <w:p w:rsidR="00C12D55" w:rsidRPr="006A6928" w:rsidP="00C12D55">
      <w:pPr>
        <w:ind w:firstLine="720"/>
        <w:textAlignment w:val="baseline"/>
        <w:rPr>
          <w:rFonts w:eastAsia="Times New Roman"/>
          <w:szCs w:val="26"/>
        </w:rPr>
      </w:pPr>
      <w:r w:rsidRPr="006A6928">
        <w:rPr>
          <w:rFonts w:eastAsia="Times New Roman"/>
          <w:szCs w:val="26"/>
        </w:rPr>
        <w:t xml:space="preserve">Section 230 </w:t>
      </w:r>
      <w:r w:rsidRPr="006A6928" w:rsidR="005B097E">
        <w:rPr>
          <w:rFonts w:eastAsia="Times New Roman"/>
          <w:szCs w:val="26"/>
        </w:rPr>
        <w:t xml:space="preserve">“ </w:t>
      </w:r>
      <w:r w:rsidRPr="006A6928">
        <w:rPr>
          <w:rFonts w:eastAsia="Times New Roman"/>
          <w:szCs w:val="26"/>
        </w:rPr>
        <w:t>‘immunizes providers of interactive computer services against liability arising from content created by third parties.’ ”  (</w:t>
      </w:r>
      <w:r w:rsidRPr="006A6928">
        <w:rPr>
          <w:rFonts w:eastAsia="Times New Roman"/>
          <w:i/>
          <w:iCs/>
          <w:szCs w:val="26"/>
        </w:rPr>
        <w:t>Liapes, supra,</w:t>
      </w:r>
      <w:r w:rsidRPr="006A6928">
        <w:rPr>
          <w:rFonts w:eastAsia="Times New Roman"/>
          <w:szCs w:val="26"/>
        </w:rPr>
        <w:t xml:space="preserve"> 95 Cal.App.5</w:t>
      </w:r>
      <w:bookmarkStart w:id="8" w:name="_Hlk161143530"/>
      <w:r w:rsidR="0015321B">
        <w:rPr>
          <w:rFonts w:eastAsia="Times New Roman"/>
          <w:szCs w:val="26"/>
        </w:rPr>
        <w:t>th</w:t>
      </w:r>
      <w:bookmarkEnd w:id="8"/>
      <w:r w:rsidR="0015321B">
        <w:rPr>
          <w:rFonts w:eastAsia="Times New Roman"/>
          <w:szCs w:val="26"/>
        </w:rPr>
        <w:t xml:space="preserve"> </w:t>
      </w:r>
      <w:r w:rsidRPr="006A6928">
        <w:rPr>
          <w:rFonts w:eastAsia="Times New Roman"/>
          <w:szCs w:val="26"/>
        </w:rPr>
        <w:t xml:space="preserve">at p. 928, quoting </w:t>
      </w:r>
      <w:r w:rsidRPr="006A6928">
        <w:rPr>
          <w:rFonts w:eastAsia="Times New Roman"/>
          <w:i/>
          <w:iCs/>
          <w:szCs w:val="26"/>
        </w:rPr>
        <w:t xml:space="preserve">Fair Housing Council of San Fernando Valley v. Roommates.com, LLC </w:t>
      </w:r>
      <w:r w:rsidRPr="006A6928">
        <w:rPr>
          <w:rFonts w:eastAsia="Times New Roman"/>
          <w:szCs w:val="26"/>
        </w:rPr>
        <w:t>(9</w:t>
      </w:r>
      <w:r w:rsidRPr="00EB242D" w:rsidR="00EB242D">
        <w:rPr>
          <w:rFonts w:eastAsia="Times New Roman"/>
          <w:szCs w:val="26"/>
        </w:rPr>
        <w:t>th</w:t>
      </w:r>
      <w:r w:rsidRPr="00EB242D" w:rsidR="00EB242D">
        <w:rPr>
          <w:rFonts w:eastAsia="Times New Roman"/>
          <w:szCs w:val="26"/>
          <w:vertAlign w:val="superscript"/>
        </w:rPr>
        <w:t xml:space="preserve"> </w:t>
      </w:r>
      <w:r w:rsidRPr="006A6928">
        <w:rPr>
          <w:rFonts w:eastAsia="Times New Roman"/>
          <w:szCs w:val="26"/>
        </w:rPr>
        <w:t xml:space="preserve">Cir. 2008) 521 F.3d 1157, 1162, fn. </w:t>
      </w:r>
      <w:r w:rsidRPr="006A6928" w:rsidR="00380C65">
        <w:rPr>
          <w:rFonts w:eastAsia="Times New Roman"/>
          <w:szCs w:val="26"/>
        </w:rPr>
        <w:t>omitted (</w:t>
      </w:r>
      <w:r w:rsidRPr="006A6928" w:rsidR="00380C65">
        <w:rPr>
          <w:rFonts w:eastAsia="Times New Roman"/>
          <w:i/>
          <w:iCs/>
          <w:szCs w:val="26"/>
        </w:rPr>
        <w:t>Roommates</w:t>
      </w:r>
      <w:r w:rsidRPr="006A6928" w:rsidR="00380C65">
        <w:rPr>
          <w:rFonts w:eastAsia="Times New Roman"/>
          <w:szCs w:val="26"/>
        </w:rPr>
        <w:t>)</w:t>
      </w:r>
      <w:r w:rsidRPr="006A6928">
        <w:rPr>
          <w:rFonts w:eastAsia="Times New Roman"/>
          <w:szCs w:val="26"/>
        </w:rPr>
        <w:t>.)  “Congress enacted section 230 ‘for two basic policy reasons: to promote the free exchange of information and ideas over the internet and to encourage voluntary monitoring for offensive and obscene material.’ ”</w:t>
      </w:r>
      <w:r w:rsidRPr="006A6928" w:rsidR="005B097E">
        <w:rPr>
          <w:rFonts w:eastAsia="Times New Roman"/>
          <w:szCs w:val="26"/>
        </w:rPr>
        <w:t xml:space="preserve"> </w:t>
      </w:r>
      <w:r w:rsidRPr="006A6928">
        <w:rPr>
          <w:rFonts w:eastAsia="Times New Roman"/>
          <w:szCs w:val="26"/>
        </w:rPr>
        <w:t xml:space="preserve"> (</w:t>
      </w:r>
      <w:r w:rsidRPr="006A6928">
        <w:rPr>
          <w:rFonts w:eastAsia="Times New Roman"/>
          <w:i/>
          <w:iCs/>
          <w:szCs w:val="26"/>
          <w:bdr w:val="none" w:sz="0" w:space="0" w:color="auto" w:frame="1"/>
        </w:rPr>
        <w:t>Hassell v. Bird</w:t>
      </w:r>
      <w:r w:rsidRPr="006A6928">
        <w:rPr>
          <w:rFonts w:eastAsia="Times New Roman"/>
          <w:szCs w:val="26"/>
        </w:rPr>
        <w:t xml:space="preserve"> (2018) 5 Cal.5</w:t>
      </w:r>
      <w:r w:rsidRPr="0015321B" w:rsidR="0015321B">
        <w:rPr>
          <w:rFonts w:eastAsia="Times New Roman"/>
          <w:szCs w:val="26"/>
        </w:rPr>
        <w:t>th</w:t>
      </w:r>
      <w:r w:rsidRPr="006A6928">
        <w:rPr>
          <w:rFonts w:eastAsia="Times New Roman"/>
          <w:szCs w:val="26"/>
        </w:rPr>
        <w:t xml:space="preserve"> 522, 534 (</w:t>
      </w:r>
      <w:r w:rsidRPr="006A6928">
        <w:rPr>
          <w:rFonts w:eastAsia="Times New Roman"/>
          <w:i/>
          <w:iCs/>
          <w:szCs w:val="26"/>
          <w:bdr w:val="none" w:sz="0" w:space="0" w:color="auto" w:frame="1"/>
        </w:rPr>
        <w:t>Hassell</w:t>
      </w:r>
      <w:r w:rsidRPr="006A6928">
        <w:rPr>
          <w:rFonts w:eastAsia="Times New Roman"/>
          <w:szCs w:val="26"/>
        </w:rPr>
        <w:t xml:space="preserve">), quoting </w:t>
      </w:r>
      <w:r w:rsidRPr="006A6928">
        <w:rPr>
          <w:rFonts w:eastAsia="Times New Roman"/>
          <w:i/>
          <w:iCs/>
          <w:szCs w:val="26"/>
        </w:rPr>
        <w:t xml:space="preserve">Carafano v. Metrosplash.com, Inc. </w:t>
      </w:r>
      <w:r w:rsidRPr="006A6928">
        <w:rPr>
          <w:rFonts w:eastAsia="Times New Roman"/>
          <w:szCs w:val="26"/>
        </w:rPr>
        <w:t>(9</w:t>
      </w:r>
      <w:r w:rsidRPr="0015321B" w:rsidR="0015321B">
        <w:rPr>
          <w:rFonts w:eastAsia="Times New Roman"/>
          <w:szCs w:val="26"/>
        </w:rPr>
        <w:t>th</w:t>
      </w:r>
      <w:r w:rsidRPr="006A6928">
        <w:rPr>
          <w:rFonts w:eastAsia="Times New Roman"/>
          <w:szCs w:val="26"/>
        </w:rPr>
        <w:t xml:space="preserve"> Cir. 2003) 339 F.3d 1119, 1122.)</w:t>
      </w:r>
    </w:p>
    <w:p w:rsidR="00C12D55" w:rsidRPr="006A6928" w:rsidP="00C12D55">
      <w:pPr>
        <w:ind w:firstLine="720"/>
        <w:textAlignment w:val="baseline"/>
        <w:rPr>
          <w:rFonts w:eastAsia="Times New Roman"/>
          <w:szCs w:val="26"/>
        </w:rPr>
      </w:pPr>
      <w:r w:rsidRPr="006A6928">
        <w:rPr>
          <w:rFonts w:eastAsia="Times New Roman"/>
          <w:szCs w:val="26"/>
        </w:rPr>
        <w:t xml:space="preserve">Section 230, subdivision </w:t>
      </w:r>
      <w:r w:rsidR="00254B5A">
        <w:rPr>
          <w:rFonts w:eastAsia="Times New Roman"/>
          <w:szCs w:val="26"/>
        </w:rPr>
        <w:t>(c)</w:t>
      </w:r>
      <w:r w:rsidRPr="006A6928">
        <w:rPr>
          <w:rFonts w:eastAsia="Times New Roman"/>
          <w:szCs w:val="26"/>
        </w:rPr>
        <w:t>(1) states:  “No provider or user of an interactive computer service shall be treated as the publisher or speaker of any information provided by another information content provider.”  Section 230, subdivisi</w:t>
      </w:r>
      <w:r w:rsidR="009F1512">
        <w:rPr>
          <w:rFonts w:eastAsia="Times New Roman"/>
          <w:szCs w:val="26"/>
        </w:rPr>
        <w:t xml:space="preserve">on </w:t>
      </w:r>
      <w:r w:rsidRPr="006A6928">
        <w:rPr>
          <w:rFonts w:eastAsia="Times New Roman"/>
          <w:szCs w:val="26"/>
        </w:rPr>
        <w:t xml:space="preserve">(e)(3) provides: </w:t>
      </w:r>
      <w:r w:rsidR="002715F2">
        <w:rPr>
          <w:rFonts w:eastAsia="Times New Roman"/>
          <w:szCs w:val="26"/>
        </w:rPr>
        <w:t xml:space="preserve"> </w:t>
      </w:r>
      <w:r w:rsidRPr="006A6928">
        <w:rPr>
          <w:rFonts w:eastAsia="Times New Roman"/>
          <w:szCs w:val="26"/>
        </w:rPr>
        <w:t xml:space="preserve">“No cause of action may be </w:t>
      </w:r>
      <w:r w:rsidRPr="006A6928" w:rsidR="008238E0">
        <w:rPr>
          <w:rFonts w:eastAsia="Times New Roman"/>
          <w:szCs w:val="26"/>
        </w:rPr>
        <w:t>brought,</w:t>
      </w:r>
      <w:r w:rsidRPr="006A6928">
        <w:rPr>
          <w:rFonts w:eastAsia="Times New Roman"/>
          <w:szCs w:val="26"/>
        </w:rPr>
        <w:t xml:space="preserve"> and no liability may be imposed under any State or local law that is inconsistent with this section.” </w:t>
      </w:r>
    </w:p>
    <w:p w:rsidR="009F3E52" w:rsidRPr="006A6928" w:rsidP="009F3E52">
      <w:pPr>
        <w:ind w:firstLine="720"/>
        <w:textAlignment w:val="baseline"/>
        <w:rPr>
          <w:rFonts w:eastAsia="Times New Roman"/>
          <w:szCs w:val="26"/>
        </w:rPr>
      </w:pPr>
      <w:r w:rsidRPr="006A6928">
        <w:rPr>
          <w:rFonts w:eastAsia="Times New Roman"/>
          <w:szCs w:val="26"/>
        </w:rPr>
        <w:t xml:space="preserve">An “interactive computer service” is </w:t>
      </w:r>
      <w:r w:rsidRPr="006A6928" w:rsidR="001C2E16">
        <w:rPr>
          <w:rFonts w:eastAsia="Times New Roman"/>
          <w:szCs w:val="26"/>
        </w:rPr>
        <w:t>de</w:t>
      </w:r>
      <w:r w:rsidR="001C2E16">
        <w:rPr>
          <w:rFonts w:eastAsia="Times New Roman"/>
          <w:szCs w:val="26"/>
        </w:rPr>
        <w:t>f</w:t>
      </w:r>
      <w:r w:rsidRPr="006A6928" w:rsidR="001C2E16">
        <w:rPr>
          <w:rFonts w:eastAsia="Times New Roman"/>
          <w:szCs w:val="26"/>
        </w:rPr>
        <w:t>ined</w:t>
      </w:r>
      <w:r w:rsidRPr="006A6928">
        <w:rPr>
          <w:rFonts w:eastAsia="Times New Roman"/>
          <w:szCs w:val="26"/>
        </w:rPr>
        <w:t xml:space="preserve"> in the statute as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  (§ 230</w:t>
      </w:r>
      <w:r w:rsidRPr="006A6928" w:rsidR="00E66B07">
        <w:rPr>
          <w:rFonts w:eastAsia="Times New Roman"/>
          <w:szCs w:val="26"/>
        </w:rPr>
        <w:t xml:space="preserve">, subd. </w:t>
      </w:r>
      <w:r w:rsidRPr="006A6928">
        <w:rPr>
          <w:rFonts w:eastAsia="Times New Roman"/>
          <w:szCs w:val="26"/>
        </w:rPr>
        <w:t>(f)(2).)  The statute also defines “information content provider” as “any person or entity that is responsible, in whole or in part, for the creation or development of information provided through the Internet or any other interactive computer service.”  (§ 230</w:t>
      </w:r>
      <w:r w:rsidRPr="006A6928" w:rsidR="00E66B07">
        <w:rPr>
          <w:rFonts w:eastAsia="Times New Roman"/>
          <w:szCs w:val="26"/>
        </w:rPr>
        <w:t xml:space="preserve">, subd. </w:t>
      </w:r>
      <w:r w:rsidRPr="006A6928">
        <w:rPr>
          <w:rFonts w:eastAsia="Times New Roman"/>
          <w:szCs w:val="26"/>
        </w:rPr>
        <w:t>(f)(3).)</w:t>
      </w:r>
    </w:p>
    <w:p w:rsidR="009F3E52" w:rsidRPr="006A6928" w:rsidP="009F3E52">
      <w:pPr>
        <w:ind w:firstLine="720"/>
        <w:textAlignment w:val="baseline"/>
        <w:rPr>
          <w:rFonts w:eastAsia="Times New Roman"/>
          <w:szCs w:val="26"/>
        </w:rPr>
      </w:pPr>
      <w:r w:rsidRPr="006A6928">
        <w:rPr>
          <w:rFonts w:eastAsia="Times New Roman"/>
          <w:szCs w:val="26"/>
        </w:rPr>
        <w:t>Read together</w:t>
      </w:r>
      <w:r w:rsidR="00C04062">
        <w:rPr>
          <w:rFonts w:eastAsia="Times New Roman"/>
          <w:szCs w:val="26"/>
        </w:rPr>
        <w:t>,</w:t>
      </w:r>
      <w:r w:rsidRPr="006A6928">
        <w:rPr>
          <w:rFonts w:eastAsia="Times New Roman"/>
          <w:szCs w:val="26"/>
        </w:rPr>
        <w:t xml:space="preserve"> these two provisions “ ‘protect from liability (</w:t>
      </w:r>
      <w:r w:rsidRPr="006A6928">
        <w:rPr>
          <w:rFonts w:eastAsia="Times New Roman"/>
          <w:szCs w:val="26"/>
          <w:bdr w:val="none" w:sz="0" w:space="0" w:color="auto" w:frame="1"/>
          <w:shd w:val="clear" w:color="auto" w:fill="FFFFFF"/>
        </w:rPr>
        <w:t>1</w:t>
      </w:r>
      <w:r w:rsidRPr="006A6928">
        <w:rPr>
          <w:rFonts w:eastAsia="Times New Roman"/>
          <w:szCs w:val="26"/>
        </w:rPr>
        <w:t xml:space="preserve">) </w:t>
      </w:r>
      <w:r w:rsidRPr="006A6928">
        <w:rPr>
          <w:rFonts w:eastAsia="Times New Roman"/>
          <w:szCs w:val="26"/>
          <w:bdr w:val="none" w:sz="0" w:space="0" w:color="auto" w:frame="1"/>
          <w:shd w:val="clear" w:color="auto" w:fill="FFFFFF"/>
        </w:rPr>
        <w:t>a</w:t>
      </w:r>
      <w:r w:rsidRPr="006A6928">
        <w:rPr>
          <w:rFonts w:eastAsia="Times New Roman"/>
          <w:szCs w:val="26"/>
        </w:rPr>
        <w:t xml:space="preserve"> </w:t>
      </w:r>
      <w:r w:rsidRPr="006A6928">
        <w:rPr>
          <w:rFonts w:eastAsia="Times New Roman"/>
          <w:szCs w:val="26"/>
          <w:bdr w:val="none" w:sz="0" w:space="0" w:color="auto" w:frame="1"/>
          <w:shd w:val="clear" w:color="auto" w:fill="FFFFFF"/>
        </w:rPr>
        <w:t>provider</w:t>
      </w:r>
      <w:r w:rsidRPr="006A6928">
        <w:rPr>
          <w:rFonts w:eastAsia="Times New Roman"/>
          <w:szCs w:val="26"/>
        </w:rPr>
        <w:t xml:space="preserve"> </w:t>
      </w:r>
      <w:r w:rsidRPr="006A6928">
        <w:rPr>
          <w:rFonts w:eastAsia="Times New Roman"/>
          <w:szCs w:val="26"/>
          <w:bdr w:val="none" w:sz="0" w:space="0" w:color="auto" w:frame="1"/>
          <w:shd w:val="clear" w:color="auto" w:fill="FFFFFF"/>
        </w:rPr>
        <w:t>or</w:t>
      </w:r>
      <w:r w:rsidRPr="006A6928">
        <w:rPr>
          <w:rFonts w:eastAsia="Times New Roman"/>
          <w:szCs w:val="26"/>
        </w:rPr>
        <w:t xml:space="preserve"> </w:t>
      </w:r>
      <w:r w:rsidRPr="006A6928">
        <w:rPr>
          <w:rFonts w:eastAsia="Times New Roman"/>
          <w:szCs w:val="26"/>
          <w:bdr w:val="none" w:sz="0" w:space="0" w:color="auto" w:frame="1"/>
          <w:shd w:val="clear" w:color="auto" w:fill="FFFFFF"/>
        </w:rPr>
        <w:t>user</w:t>
      </w:r>
      <w:r w:rsidRPr="006A6928">
        <w:rPr>
          <w:rFonts w:eastAsia="Times New Roman"/>
          <w:szCs w:val="26"/>
        </w:rPr>
        <w:t xml:space="preserve"> </w:t>
      </w:r>
      <w:r w:rsidRPr="006A6928">
        <w:rPr>
          <w:rFonts w:eastAsia="Times New Roman"/>
          <w:szCs w:val="26"/>
          <w:bdr w:val="none" w:sz="0" w:space="0" w:color="auto" w:frame="1"/>
          <w:shd w:val="clear" w:color="auto" w:fill="FFFFFF"/>
        </w:rPr>
        <w:t>of</w:t>
      </w:r>
      <w:r w:rsidRPr="006A6928">
        <w:rPr>
          <w:rFonts w:eastAsia="Times New Roman"/>
          <w:szCs w:val="26"/>
        </w:rPr>
        <w:t xml:space="preserve"> </w:t>
      </w:r>
      <w:r w:rsidRPr="006A6928">
        <w:rPr>
          <w:rFonts w:eastAsia="Times New Roman"/>
          <w:szCs w:val="26"/>
          <w:bdr w:val="none" w:sz="0" w:space="0" w:color="auto" w:frame="1"/>
          <w:shd w:val="clear" w:color="auto" w:fill="FFFFFF"/>
        </w:rPr>
        <w:t>an</w:t>
      </w:r>
      <w:r w:rsidRPr="006A6928">
        <w:rPr>
          <w:rFonts w:eastAsia="Times New Roman"/>
          <w:szCs w:val="26"/>
        </w:rPr>
        <w:t xml:space="preserve"> </w:t>
      </w:r>
      <w:r w:rsidRPr="006A6928">
        <w:rPr>
          <w:rFonts w:eastAsia="Times New Roman"/>
          <w:szCs w:val="26"/>
          <w:bdr w:val="none" w:sz="0" w:space="0" w:color="auto" w:frame="1"/>
          <w:shd w:val="clear" w:color="auto" w:fill="FFFFFF"/>
        </w:rPr>
        <w:t>interactive</w:t>
      </w:r>
      <w:r w:rsidRPr="006A6928">
        <w:rPr>
          <w:rFonts w:eastAsia="Times New Roman"/>
          <w:szCs w:val="26"/>
        </w:rPr>
        <w:t xml:space="preserve"> </w:t>
      </w:r>
      <w:r w:rsidRPr="006A6928">
        <w:rPr>
          <w:rFonts w:eastAsia="Times New Roman"/>
          <w:szCs w:val="26"/>
          <w:bdr w:val="none" w:sz="0" w:space="0" w:color="auto" w:frame="1"/>
          <w:shd w:val="clear" w:color="auto" w:fill="FFFFFF"/>
        </w:rPr>
        <w:t>computer</w:t>
      </w:r>
      <w:r w:rsidRPr="006A6928">
        <w:rPr>
          <w:rFonts w:eastAsia="Times New Roman"/>
          <w:szCs w:val="26"/>
        </w:rPr>
        <w:t xml:space="preserve"> </w:t>
      </w:r>
      <w:r w:rsidRPr="006A6928">
        <w:rPr>
          <w:rFonts w:eastAsia="Times New Roman"/>
          <w:szCs w:val="26"/>
          <w:bdr w:val="none" w:sz="0" w:space="0" w:color="auto" w:frame="1"/>
          <w:shd w:val="clear" w:color="auto" w:fill="FFFFFF"/>
        </w:rPr>
        <w:t>service</w:t>
      </w:r>
      <w:r w:rsidRPr="006A6928">
        <w:rPr>
          <w:rFonts w:eastAsia="Times New Roman"/>
          <w:szCs w:val="26"/>
        </w:rPr>
        <w:t xml:space="preserve"> (</w:t>
      </w:r>
      <w:r w:rsidRPr="006A6928">
        <w:rPr>
          <w:rFonts w:eastAsia="Times New Roman"/>
          <w:szCs w:val="26"/>
          <w:bdr w:val="none" w:sz="0" w:space="0" w:color="auto" w:frame="1"/>
          <w:shd w:val="clear" w:color="auto" w:fill="FFFFFF"/>
        </w:rPr>
        <w:t>2</w:t>
      </w:r>
      <w:r w:rsidRPr="006A6928">
        <w:rPr>
          <w:rFonts w:eastAsia="Times New Roman"/>
          <w:szCs w:val="26"/>
        </w:rPr>
        <w:t xml:space="preserve">) </w:t>
      </w:r>
      <w:r w:rsidRPr="006A6928">
        <w:rPr>
          <w:rFonts w:eastAsia="Times New Roman"/>
          <w:szCs w:val="26"/>
          <w:bdr w:val="none" w:sz="0" w:space="0" w:color="auto" w:frame="1"/>
          <w:shd w:val="clear" w:color="auto" w:fill="FFFFFF"/>
        </w:rPr>
        <w:t>whom</w:t>
      </w:r>
      <w:r w:rsidRPr="006A6928">
        <w:rPr>
          <w:rFonts w:eastAsia="Times New Roman"/>
          <w:szCs w:val="26"/>
        </w:rPr>
        <w:t xml:space="preserve"> </w:t>
      </w:r>
      <w:r w:rsidRPr="006A6928">
        <w:rPr>
          <w:rFonts w:eastAsia="Times New Roman"/>
          <w:szCs w:val="26"/>
          <w:bdr w:val="none" w:sz="0" w:space="0" w:color="auto" w:frame="1"/>
          <w:shd w:val="clear" w:color="auto" w:fill="FFFFFF"/>
        </w:rPr>
        <w:t>a</w:t>
      </w:r>
      <w:r w:rsidRPr="006A6928">
        <w:rPr>
          <w:rFonts w:eastAsia="Times New Roman"/>
          <w:szCs w:val="26"/>
        </w:rPr>
        <w:t xml:space="preserve"> </w:t>
      </w:r>
      <w:r w:rsidRPr="006A6928">
        <w:rPr>
          <w:rFonts w:eastAsia="Times New Roman"/>
          <w:szCs w:val="26"/>
          <w:bdr w:val="none" w:sz="0" w:space="0" w:color="auto" w:frame="1"/>
          <w:shd w:val="clear" w:color="auto" w:fill="FFFFFF"/>
        </w:rPr>
        <w:t>plaintiff</w:t>
      </w:r>
      <w:r w:rsidRPr="006A6928">
        <w:rPr>
          <w:rFonts w:eastAsia="Times New Roman"/>
          <w:szCs w:val="26"/>
        </w:rPr>
        <w:t xml:space="preserve"> </w:t>
      </w:r>
      <w:r w:rsidRPr="006A6928">
        <w:rPr>
          <w:rFonts w:eastAsia="Times New Roman"/>
          <w:szCs w:val="26"/>
          <w:bdr w:val="none" w:sz="0" w:space="0" w:color="auto" w:frame="1"/>
          <w:shd w:val="clear" w:color="auto" w:fill="FFFFFF"/>
        </w:rPr>
        <w:t>seeks</w:t>
      </w:r>
      <w:r w:rsidRPr="006A6928">
        <w:rPr>
          <w:rFonts w:eastAsia="Times New Roman"/>
          <w:szCs w:val="26"/>
        </w:rPr>
        <w:t xml:space="preserve"> </w:t>
      </w:r>
      <w:r w:rsidRPr="006A6928">
        <w:rPr>
          <w:rFonts w:eastAsia="Times New Roman"/>
          <w:szCs w:val="26"/>
          <w:bdr w:val="none" w:sz="0" w:space="0" w:color="auto" w:frame="1"/>
          <w:shd w:val="clear" w:color="auto" w:fill="FFFFFF"/>
        </w:rPr>
        <w:t>to</w:t>
      </w:r>
      <w:r w:rsidRPr="006A6928">
        <w:rPr>
          <w:rFonts w:eastAsia="Times New Roman"/>
          <w:szCs w:val="26"/>
        </w:rPr>
        <w:t xml:space="preserve"> </w:t>
      </w:r>
      <w:r w:rsidRPr="006A6928">
        <w:rPr>
          <w:rFonts w:eastAsia="Times New Roman"/>
          <w:szCs w:val="26"/>
          <w:bdr w:val="none" w:sz="0" w:space="0" w:color="auto" w:frame="1"/>
          <w:shd w:val="clear" w:color="auto" w:fill="FFFFFF"/>
        </w:rPr>
        <w:t>treat</w:t>
      </w:r>
      <w:r w:rsidRPr="006A6928">
        <w:rPr>
          <w:rFonts w:eastAsia="Times New Roman"/>
          <w:szCs w:val="26"/>
        </w:rPr>
        <w:t xml:space="preserve">, </w:t>
      </w:r>
      <w:r w:rsidRPr="006A6928">
        <w:rPr>
          <w:rFonts w:eastAsia="Times New Roman"/>
          <w:szCs w:val="26"/>
          <w:bdr w:val="none" w:sz="0" w:space="0" w:color="auto" w:frame="1"/>
          <w:shd w:val="clear" w:color="auto" w:fill="FFFFFF"/>
        </w:rPr>
        <w:t>under</w:t>
      </w:r>
      <w:r w:rsidRPr="006A6928">
        <w:rPr>
          <w:rFonts w:eastAsia="Times New Roman"/>
          <w:szCs w:val="26"/>
        </w:rPr>
        <w:t xml:space="preserve"> </w:t>
      </w:r>
      <w:r w:rsidRPr="006A6928">
        <w:rPr>
          <w:rFonts w:eastAsia="Times New Roman"/>
          <w:szCs w:val="26"/>
          <w:bdr w:val="none" w:sz="0" w:space="0" w:color="auto" w:frame="1"/>
          <w:shd w:val="clear" w:color="auto" w:fill="FFFFFF"/>
        </w:rPr>
        <w:t>a</w:t>
      </w:r>
      <w:r w:rsidRPr="006A6928">
        <w:rPr>
          <w:rFonts w:eastAsia="Times New Roman"/>
          <w:szCs w:val="26"/>
        </w:rPr>
        <w:t xml:space="preserve"> </w:t>
      </w:r>
      <w:r w:rsidRPr="006A6928">
        <w:rPr>
          <w:rFonts w:eastAsia="Times New Roman"/>
          <w:szCs w:val="26"/>
          <w:bdr w:val="none" w:sz="0" w:space="0" w:color="auto" w:frame="1"/>
          <w:shd w:val="clear" w:color="auto" w:fill="FFFFFF"/>
        </w:rPr>
        <w:t>state</w:t>
      </w:r>
      <w:r w:rsidRPr="006A6928">
        <w:rPr>
          <w:rFonts w:eastAsia="Times New Roman"/>
          <w:szCs w:val="26"/>
        </w:rPr>
        <w:t xml:space="preserve"> </w:t>
      </w:r>
      <w:r w:rsidRPr="006A6928">
        <w:rPr>
          <w:rFonts w:eastAsia="Times New Roman"/>
          <w:szCs w:val="26"/>
          <w:bdr w:val="none" w:sz="0" w:space="0" w:color="auto" w:frame="1"/>
          <w:shd w:val="clear" w:color="auto" w:fill="FFFFFF"/>
        </w:rPr>
        <w:t>law</w:t>
      </w:r>
      <w:r w:rsidRPr="006A6928">
        <w:rPr>
          <w:rFonts w:eastAsia="Times New Roman"/>
          <w:szCs w:val="26"/>
        </w:rPr>
        <w:t xml:space="preserve"> </w:t>
      </w:r>
      <w:r w:rsidRPr="006A6928">
        <w:rPr>
          <w:rFonts w:eastAsia="Times New Roman"/>
          <w:szCs w:val="26"/>
          <w:bdr w:val="none" w:sz="0" w:space="0" w:color="auto" w:frame="1"/>
          <w:shd w:val="clear" w:color="auto" w:fill="FFFFFF"/>
        </w:rPr>
        <w:t>cause</w:t>
      </w:r>
      <w:r w:rsidRPr="006A6928">
        <w:rPr>
          <w:rFonts w:eastAsia="Times New Roman"/>
          <w:szCs w:val="26"/>
        </w:rPr>
        <w:t xml:space="preserve"> </w:t>
      </w:r>
      <w:r w:rsidRPr="006A6928">
        <w:rPr>
          <w:rFonts w:eastAsia="Times New Roman"/>
          <w:szCs w:val="26"/>
          <w:bdr w:val="none" w:sz="0" w:space="0" w:color="auto" w:frame="1"/>
          <w:shd w:val="clear" w:color="auto" w:fill="FFFFFF"/>
        </w:rPr>
        <w:t>of</w:t>
      </w:r>
      <w:r w:rsidRPr="006A6928">
        <w:rPr>
          <w:rFonts w:eastAsia="Times New Roman"/>
          <w:szCs w:val="26"/>
        </w:rPr>
        <w:t xml:space="preserve"> </w:t>
      </w:r>
      <w:r w:rsidRPr="006A6928">
        <w:rPr>
          <w:rFonts w:eastAsia="Times New Roman"/>
          <w:szCs w:val="26"/>
          <w:bdr w:val="none" w:sz="0" w:space="0" w:color="auto" w:frame="1"/>
          <w:shd w:val="clear" w:color="auto" w:fill="FFFFFF"/>
        </w:rPr>
        <w:t>action</w:t>
      </w:r>
      <w:r w:rsidRPr="006A6928">
        <w:rPr>
          <w:rFonts w:eastAsia="Times New Roman"/>
          <w:szCs w:val="26"/>
        </w:rPr>
        <w:t xml:space="preserve">, </w:t>
      </w:r>
      <w:r w:rsidRPr="006A6928">
        <w:rPr>
          <w:rFonts w:eastAsia="Times New Roman"/>
          <w:szCs w:val="26"/>
          <w:bdr w:val="none" w:sz="0" w:space="0" w:color="auto" w:frame="1"/>
          <w:shd w:val="clear" w:color="auto" w:fill="FFFFFF"/>
        </w:rPr>
        <w:t>as</w:t>
      </w:r>
      <w:r w:rsidRPr="006A6928">
        <w:rPr>
          <w:rFonts w:eastAsia="Times New Roman"/>
          <w:szCs w:val="26"/>
        </w:rPr>
        <w:t xml:space="preserve"> </w:t>
      </w:r>
      <w:r w:rsidRPr="006A6928">
        <w:rPr>
          <w:rFonts w:eastAsia="Times New Roman"/>
          <w:szCs w:val="26"/>
          <w:bdr w:val="none" w:sz="0" w:space="0" w:color="auto" w:frame="1"/>
          <w:shd w:val="clear" w:color="auto" w:fill="FFFFFF"/>
        </w:rPr>
        <w:t>a</w:t>
      </w:r>
      <w:r w:rsidRPr="006A6928">
        <w:rPr>
          <w:rFonts w:eastAsia="Times New Roman"/>
          <w:szCs w:val="26"/>
        </w:rPr>
        <w:t xml:space="preserve"> </w:t>
      </w:r>
      <w:r w:rsidRPr="006A6928">
        <w:rPr>
          <w:rFonts w:eastAsia="Times New Roman"/>
          <w:szCs w:val="26"/>
          <w:bdr w:val="none" w:sz="0" w:space="0" w:color="auto" w:frame="1"/>
          <w:shd w:val="clear" w:color="auto" w:fill="FFFFFF"/>
        </w:rPr>
        <w:t>publisher</w:t>
      </w:r>
      <w:r w:rsidRPr="006A6928">
        <w:rPr>
          <w:rFonts w:eastAsia="Times New Roman"/>
          <w:szCs w:val="26"/>
        </w:rPr>
        <w:t xml:space="preserve"> </w:t>
      </w:r>
      <w:r w:rsidRPr="006A6928">
        <w:rPr>
          <w:rFonts w:eastAsia="Times New Roman"/>
          <w:szCs w:val="26"/>
          <w:bdr w:val="none" w:sz="0" w:space="0" w:color="auto" w:frame="1"/>
          <w:shd w:val="clear" w:color="auto" w:fill="FFFFFF"/>
        </w:rPr>
        <w:t>or</w:t>
      </w:r>
      <w:r w:rsidRPr="006A6928">
        <w:rPr>
          <w:rFonts w:eastAsia="Times New Roman"/>
          <w:szCs w:val="26"/>
        </w:rPr>
        <w:t xml:space="preserve"> </w:t>
      </w:r>
      <w:r w:rsidRPr="006A6928">
        <w:rPr>
          <w:rFonts w:eastAsia="Times New Roman"/>
          <w:szCs w:val="26"/>
          <w:bdr w:val="none" w:sz="0" w:space="0" w:color="auto" w:frame="1"/>
          <w:shd w:val="clear" w:color="auto" w:fill="FFFFFF"/>
        </w:rPr>
        <w:t>speaker</w:t>
      </w:r>
      <w:r w:rsidRPr="006A6928">
        <w:rPr>
          <w:rFonts w:eastAsia="Times New Roman"/>
          <w:szCs w:val="26"/>
        </w:rPr>
        <w:t xml:space="preserve"> (</w:t>
      </w:r>
      <w:r w:rsidRPr="006A6928">
        <w:rPr>
          <w:rFonts w:eastAsia="Times New Roman"/>
          <w:szCs w:val="26"/>
          <w:bdr w:val="none" w:sz="0" w:space="0" w:color="auto" w:frame="1"/>
          <w:shd w:val="clear" w:color="auto" w:fill="FFFFFF"/>
        </w:rPr>
        <w:t>3</w:t>
      </w:r>
      <w:r w:rsidRPr="006A6928">
        <w:rPr>
          <w:rFonts w:eastAsia="Times New Roman"/>
          <w:szCs w:val="26"/>
        </w:rPr>
        <w:t xml:space="preserve">) </w:t>
      </w:r>
      <w:r w:rsidRPr="006A6928">
        <w:rPr>
          <w:rFonts w:eastAsia="Times New Roman"/>
          <w:szCs w:val="26"/>
          <w:bdr w:val="none" w:sz="0" w:space="0" w:color="auto" w:frame="1"/>
          <w:shd w:val="clear" w:color="auto" w:fill="FFFFFF"/>
        </w:rPr>
        <w:t>of</w:t>
      </w:r>
      <w:r w:rsidRPr="006A6928">
        <w:rPr>
          <w:rFonts w:eastAsia="Times New Roman"/>
          <w:szCs w:val="26"/>
        </w:rPr>
        <w:t xml:space="preserve"> </w:t>
      </w:r>
      <w:r w:rsidRPr="006A6928">
        <w:rPr>
          <w:rFonts w:eastAsia="Times New Roman"/>
          <w:szCs w:val="26"/>
          <w:bdr w:val="none" w:sz="0" w:space="0" w:color="auto" w:frame="1"/>
          <w:shd w:val="clear" w:color="auto" w:fill="FFFFFF"/>
        </w:rPr>
        <w:t>information</w:t>
      </w:r>
      <w:r w:rsidRPr="006A6928">
        <w:rPr>
          <w:rFonts w:eastAsia="Times New Roman"/>
          <w:szCs w:val="26"/>
        </w:rPr>
        <w:t xml:space="preserve"> </w:t>
      </w:r>
      <w:r w:rsidRPr="006A6928">
        <w:rPr>
          <w:rFonts w:eastAsia="Times New Roman"/>
          <w:szCs w:val="26"/>
          <w:bdr w:val="none" w:sz="0" w:space="0" w:color="auto" w:frame="1"/>
          <w:shd w:val="clear" w:color="auto" w:fill="FFFFFF"/>
        </w:rPr>
        <w:t>provided</w:t>
      </w:r>
      <w:r w:rsidRPr="006A6928">
        <w:rPr>
          <w:rFonts w:eastAsia="Times New Roman"/>
          <w:szCs w:val="26"/>
        </w:rPr>
        <w:t xml:space="preserve"> </w:t>
      </w:r>
      <w:r w:rsidRPr="006A6928">
        <w:rPr>
          <w:rFonts w:eastAsia="Times New Roman"/>
          <w:szCs w:val="26"/>
          <w:bdr w:val="none" w:sz="0" w:space="0" w:color="auto" w:frame="1"/>
          <w:shd w:val="clear" w:color="auto" w:fill="FFFFFF"/>
        </w:rPr>
        <w:t>by</w:t>
      </w:r>
      <w:r w:rsidRPr="006A6928">
        <w:rPr>
          <w:rFonts w:eastAsia="Times New Roman"/>
          <w:szCs w:val="26"/>
        </w:rPr>
        <w:t xml:space="preserve"> </w:t>
      </w:r>
      <w:r w:rsidRPr="006A6928">
        <w:rPr>
          <w:rFonts w:eastAsia="Times New Roman"/>
          <w:szCs w:val="26"/>
          <w:bdr w:val="none" w:sz="0" w:space="0" w:color="auto" w:frame="1"/>
          <w:shd w:val="clear" w:color="auto" w:fill="FFFFFF"/>
        </w:rPr>
        <w:t>another</w:t>
      </w:r>
      <w:r w:rsidRPr="006A6928">
        <w:rPr>
          <w:rFonts w:eastAsia="Times New Roman"/>
          <w:szCs w:val="26"/>
        </w:rPr>
        <w:t xml:space="preserve"> </w:t>
      </w:r>
      <w:r w:rsidRPr="006A6928">
        <w:rPr>
          <w:rFonts w:eastAsia="Times New Roman"/>
          <w:szCs w:val="26"/>
          <w:bdr w:val="none" w:sz="0" w:space="0" w:color="auto" w:frame="1"/>
          <w:shd w:val="clear" w:color="auto" w:fill="FFFFFF"/>
        </w:rPr>
        <w:t>information</w:t>
      </w:r>
      <w:r w:rsidRPr="006A6928">
        <w:rPr>
          <w:rFonts w:eastAsia="Times New Roman"/>
          <w:szCs w:val="26"/>
        </w:rPr>
        <w:t xml:space="preserve"> </w:t>
      </w:r>
      <w:r w:rsidRPr="006A6928">
        <w:rPr>
          <w:rFonts w:eastAsia="Times New Roman"/>
          <w:szCs w:val="26"/>
          <w:bdr w:val="none" w:sz="0" w:space="0" w:color="auto" w:frame="1"/>
          <w:shd w:val="clear" w:color="auto" w:fill="FFFFFF"/>
        </w:rPr>
        <w:t>content</w:t>
      </w:r>
      <w:r w:rsidRPr="006A6928">
        <w:rPr>
          <w:rFonts w:eastAsia="Times New Roman"/>
          <w:szCs w:val="26"/>
        </w:rPr>
        <w:t xml:space="preserve"> </w:t>
      </w:r>
      <w:r w:rsidRPr="006A6928">
        <w:rPr>
          <w:rFonts w:eastAsia="Times New Roman"/>
          <w:szCs w:val="26"/>
          <w:bdr w:val="none" w:sz="0" w:space="0" w:color="auto" w:frame="1"/>
          <w:shd w:val="clear" w:color="auto" w:fill="FFFFFF"/>
        </w:rPr>
        <w:t>provider</w:t>
      </w:r>
      <w:r w:rsidRPr="006A6928">
        <w:rPr>
          <w:rFonts w:eastAsia="Times New Roman"/>
          <w:szCs w:val="26"/>
        </w:rPr>
        <w:t>.’ ”  (</w:t>
      </w:r>
      <w:r w:rsidRPr="006A6928">
        <w:rPr>
          <w:rFonts w:eastAsia="Times New Roman"/>
          <w:i/>
          <w:iCs/>
          <w:szCs w:val="26"/>
        </w:rPr>
        <w:t>Murphy</w:t>
      </w:r>
      <w:r w:rsidRPr="006A6928" w:rsidR="007A164E">
        <w:rPr>
          <w:rFonts w:eastAsia="Times New Roman"/>
          <w:i/>
          <w:iCs/>
          <w:szCs w:val="26"/>
        </w:rPr>
        <w:t xml:space="preserve">, supra, </w:t>
      </w:r>
      <w:r w:rsidRPr="006A6928">
        <w:rPr>
          <w:rFonts w:eastAsia="Times New Roman"/>
          <w:szCs w:val="26"/>
        </w:rPr>
        <w:t>60 Cal.App.</w:t>
      </w:r>
      <w:r w:rsidRPr="006A6928" w:rsidR="0017738F">
        <w:rPr>
          <w:rFonts w:eastAsia="Times New Roman"/>
          <w:szCs w:val="26"/>
        </w:rPr>
        <w:t>5</w:t>
      </w:r>
      <w:r w:rsidRPr="006A6928">
        <w:rPr>
          <w:rFonts w:eastAsia="Times New Roman"/>
          <w:szCs w:val="26"/>
        </w:rPr>
        <w:t xml:space="preserve">th </w:t>
      </w:r>
      <w:r w:rsidRPr="006A6928" w:rsidR="007A164E">
        <w:rPr>
          <w:rFonts w:eastAsia="Times New Roman"/>
          <w:szCs w:val="26"/>
        </w:rPr>
        <w:t xml:space="preserve">at p. </w:t>
      </w:r>
      <w:r w:rsidRPr="006A6928">
        <w:rPr>
          <w:rFonts w:eastAsia="Times New Roman"/>
          <w:szCs w:val="26"/>
        </w:rPr>
        <w:t xml:space="preserve">24, quoting </w:t>
      </w:r>
      <w:r w:rsidRPr="006A6928">
        <w:rPr>
          <w:rFonts w:eastAsia="Times New Roman"/>
          <w:i/>
          <w:iCs/>
          <w:szCs w:val="26"/>
          <w:bdr w:val="none" w:sz="0" w:space="0" w:color="auto" w:frame="1"/>
        </w:rPr>
        <w:t>Barnes v. Yahoo!, Inc.</w:t>
      </w:r>
      <w:r w:rsidRPr="006A6928">
        <w:rPr>
          <w:rFonts w:eastAsia="Times New Roman"/>
          <w:szCs w:val="26"/>
        </w:rPr>
        <w:t xml:space="preserve"> (9th Cir. 2009) 570 F.3d 1096, 1100–1101, fn. omitted (</w:t>
      </w:r>
      <w:r w:rsidRPr="006A6928">
        <w:rPr>
          <w:rFonts w:eastAsia="Times New Roman"/>
          <w:i/>
          <w:iCs/>
          <w:szCs w:val="26"/>
          <w:bdr w:val="none" w:sz="0" w:space="0" w:color="auto" w:frame="1"/>
        </w:rPr>
        <w:t>Barnes</w:t>
      </w:r>
      <w:r w:rsidRPr="006A6928">
        <w:rPr>
          <w:rFonts w:eastAsia="Times New Roman"/>
          <w:szCs w:val="26"/>
        </w:rPr>
        <w:t>).)</w:t>
      </w:r>
      <w:r>
        <w:rPr>
          <w:rStyle w:val="FootnoteReference"/>
          <w:rFonts w:eastAsia="Times New Roman"/>
          <w:szCs w:val="26"/>
        </w:rPr>
        <w:footnoteReference w:id="8"/>
      </w:r>
    </w:p>
    <w:p w:rsidR="00C12D55" w:rsidRPr="006A6928" w:rsidP="00C12D55">
      <w:pPr>
        <w:ind w:firstLine="720"/>
        <w:textAlignment w:val="baseline"/>
        <w:rPr>
          <w:rFonts w:eastAsia="Times New Roman"/>
          <w:szCs w:val="26"/>
        </w:rPr>
      </w:pPr>
      <w:r w:rsidRPr="006A6928">
        <w:rPr>
          <w:rFonts w:eastAsia="Times New Roman"/>
          <w:szCs w:val="26"/>
        </w:rPr>
        <w:t xml:space="preserve">The California Supreme Court has explained that these provisions “convey[] </w:t>
      </w:r>
      <w:r w:rsidRPr="006A6928">
        <w:rPr>
          <w:rFonts w:eastAsia="Times New Roman"/>
          <w:color w:val="000000"/>
          <w:szCs w:val="26"/>
        </w:rPr>
        <w:t>an intent to shield Internet intermediaries from the burdens associated with defending against state law claims that treat them as the publisher or speaker of third party content.” (</w:t>
      </w:r>
      <w:r w:rsidRPr="006A6928">
        <w:rPr>
          <w:rFonts w:eastAsia="Times New Roman"/>
          <w:i/>
          <w:iCs/>
          <w:color w:val="3D3D3D"/>
          <w:szCs w:val="26"/>
          <w:bdr w:val="none" w:sz="0" w:space="0" w:color="auto" w:frame="1"/>
        </w:rPr>
        <w:t>Hassell, supra,</w:t>
      </w:r>
      <w:r w:rsidRPr="006A6928">
        <w:rPr>
          <w:rFonts w:eastAsia="Times New Roman"/>
          <w:color w:val="3D3D3D"/>
          <w:szCs w:val="26"/>
          <w:bdr w:val="none" w:sz="0" w:space="0" w:color="auto" w:frame="1"/>
        </w:rPr>
        <w:t xml:space="preserve"> </w:t>
      </w:r>
      <w:r w:rsidRPr="006A6928">
        <w:rPr>
          <w:rFonts w:eastAsia="Times New Roman"/>
          <w:color w:val="000000"/>
          <w:szCs w:val="26"/>
        </w:rPr>
        <w:t xml:space="preserve">5 Cal.5th at p. 544; see also </w:t>
      </w:r>
      <w:r w:rsidRPr="006A6928">
        <w:rPr>
          <w:rFonts w:eastAsia="Times New Roman"/>
          <w:i/>
          <w:iCs/>
          <w:szCs w:val="26"/>
          <w:bdr w:val="none" w:sz="0" w:space="0" w:color="auto" w:frame="1"/>
        </w:rPr>
        <w:t>Barrett</w:t>
      </w:r>
      <w:r w:rsidR="005A2304">
        <w:rPr>
          <w:rFonts w:eastAsia="Times New Roman"/>
          <w:i/>
          <w:iCs/>
          <w:szCs w:val="26"/>
          <w:bdr w:val="none" w:sz="0" w:space="0" w:color="auto" w:frame="1"/>
        </w:rPr>
        <w:t>, supra,</w:t>
      </w:r>
      <w:r w:rsidRPr="006A6928">
        <w:rPr>
          <w:rFonts w:eastAsia="Times New Roman"/>
          <w:szCs w:val="26"/>
        </w:rPr>
        <w:t xml:space="preserve"> 40 Cal.4th 33, 39 [section 230, subdivisions (c)(1) and (e)(3) “have been widely and consistently interpreted to confer broad immunity against defamation liability for those who use the Internet to publish information that originated from another source”].)</w:t>
      </w:r>
      <w:r w:rsidRPr="006A6928" w:rsidR="00115FE6">
        <w:rPr>
          <w:rFonts w:eastAsia="Times New Roman"/>
          <w:szCs w:val="26"/>
        </w:rPr>
        <w:t xml:space="preserve"> </w:t>
      </w:r>
    </w:p>
    <w:p w:rsidR="00C253B2" w:rsidRPr="006A6928" w:rsidP="00C253B2">
      <w:pPr>
        <w:ind w:firstLine="720"/>
        <w:textAlignment w:val="baseline"/>
        <w:rPr>
          <w:rFonts w:eastAsia="Times New Roman"/>
          <w:szCs w:val="26"/>
        </w:rPr>
      </w:pPr>
      <w:r w:rsidRPr="006A6928">
        <w:rPr>
          <w:rFonts w:eastAsia="Times New Roman"/>
          <w:szCs w:val="26"/>
        </w:rPr>
        <w:t>“Accordingly, section 230 protects an interactive computer service provider’s curation of content on its platform from ‘ “</w:t>
      </w:r>
      <w:r w:rsidR="001C2E16">
        <w:rPr>
          <w:rFonts w:eastAsia="Times New Roman"/>
          <w:szCs w:val="26"/>
        </w:rPr>
        <w:t xml:space="preserve"> ‘</w:t>
      </w:r>
      <w:r w:rsidRPr="006A6928">
        <w:rPr>
          <w:rFonts w:eastAsia="Times New Roman"/>
          <w:szCs w:val="26"/>
        </w:rPr>
        <w:t>claims that would place a computer service provider in a publisher’s role.  Thus, lawsuits seeking to hold a service provider liable for its exercise of a publisher’s traditional editorial functions—such as deciding whether to publish, withdraw, postpone or alter content—are barred.</w:t>
      </w:r>
      <w:r w:rsidR="001C2E16">
        <w:rPr>
          <w:rFonts w:eastAsia="Times New Roman"/>
          <w:szCs w:val="26"/>
        </w:rPr>
        <w:t>’ </w:t>
      </w:r>
      <w:r w:rsidRPr="006A6928">
        <w:rPr>
          <w:rFonts w:eastAsia="Times New Roman"/>
          <w:szCs w:val="26"/>
        </w:rPr>
        <w:t>” ’  (</w:t>
      </w:r>
      <w:r w:rsidRPr="006A6928">
        <w:rPr>
          <w:rFonts w:eastAsia="Times New Roman"/>
          <w:i/>
          <w:iCs/>
          <w:szCs w:val="26"/>
        </w:rPr>
        <w:t>Prag</w:t>
      </w:r>
      <w:r w:rsidRPr="006A6928" w:rsidR="001862CE">
        <w:rPr>
          <w:rFonts w:eastAsia="Times New Roman"/>
          <w:i/>
          <w:iCs/>
          <w:szCs w:val="26"/>
        </w:rPr>
        <w:t>e</w:t>
      </w:r>
      <w:r w:rsidRPr="006A6928">
        <w:rPr>
          <w:rFonts w:eastAsia="Times New Roman"/>
          <w:i/>
          <w:iCs/>
          <w:szCs w:val="26"/>
        </w:rPr>
        <w:t>r</w:t>
      </w:r>
      <w:r w:rsidRPr="006A6928" w:rsidR="001862CE">
        <w:rPr>
          <w:rFonts w:eastAsia="Times New Roman"/>
          <w:i/>
          <w:iCs/>
          <w:szCs w:val="26"/>
        </w:rPr>
        <w:t xml:space="preserve"> University v. Google, LLC </w:t>
      </w:r>
      <w:r w:rsidRPr="006A6928" w:rsidR="001862CE">
        <w:rPr>
          <w:rFonts w:eastAsia="Times New Roman"/>
          <w:szCs w:val="26"/>
        </w:rPr>
        <w:t xml:space="preserve">(2022) </w:t>
      </w:r>
      <w:r w:rsidRPr="006A6928">
        <w:rPr>
          <w:rFonts w:eastAsia="Times New Roman"/>
          <w:szCs w:val="26"/>
        </w:rPr>
        <w:t xml:space="preserve">85 Cal.App.5th </w:t>
      </w:r>
      <w:r w:rsidRPr="006A6928" w:rsidR="001862CE">
        <w:rPr>
          <w:rFonts w:eastAsia="Times New Roman"/>
          <w:szCs w:val="26"/>
        </w:rPr>
        <w:t>1022, 1032 (</w:t>
      </w:r>
      <w:r w:rsidRPr="006A6928" w:rsidR="001862CE">
        <w:rPr>
          <w:rFonts w:eastAsia="Times New Roman"/>
          <w:i/>
          <w:iCs/>
          <w:szCs w:val="26"/>
        </w:rPr>
        <w:t>Prager</w:t>
      </w:r>
      <w:r w:rsidRPr="006A6928" w:rsidR="001862CE">
        <w:rPr>
          <w:rFonts w:eastAsia="Times New Roman"/>
          <w:szCs w:val="26"/>
        </w:rPr>
        <w:t>)</w:t>
      </w:r>
      <w:r w:rsidRPr="006A6928">
        <w:rPr>
          <w:rFonts w:eastAsia="Times New Roman"/>
          <w:szCs w:val="26"/>
        </w:rPr>
        <w:t xml:space="preserve">, quoting </w:t>
      </w:r>
      <w:r w:rsidRPr="006A6928">
        <w:rPr>
          <w:rFonts w:eastAsia="Times New Roman"/>
          <w:i/>
          <w:iCs/>
          <w:szCs w:val="26"/>
          <w:bdr w:val="none" w:sz="0" w:space="0" w:color="auto" w:frame="1"/>
        </w:rPr>
        <w:t>Barrett, supra</w:t>
      </w:r>
      <w:r w:rsidRPr="006A6928">
        <w:rPr>
          <w:rFonts w:eastAsia="Times New Roman"/>
          <w:szCs w:val="26"/>
        </w:rPr>
        <w:t>, 40 Cal.4th at p. 43.)</w:t>
      </w:r>
    </w:p>
    <w:p w:rsidR="007E0016" w:rsidP="009E272B">
      <w:pPr>
        <w:ind w:firstLine="720"/>
        <w:textAlignment w:val="baseline"/>
        <w:rPr>
          <w:rFonts w:eastAsia="Times New Roman"/>
          <w:szCs w:val="26"/>
        </w:rPr>
      </w:pPr>
      <w:r w:rsidRPr="006A6928">
        <w:rPr>
          <w:rFonts w:eastAsia="Times New Roman"/>
          <w:color w:val="000000"/>
          <w:szCs w:val="26"/>
        </w:rPr>
        <w:t xml:space="preserve">Notwithstanding that broad </w:t>
      </w:r>
      <w:r w:rsidRPr="006A6928" w:rsidR="00380C65">
        <w:rPr>
          <w:rFonts w:eastAsia="Times New Roman"/>
          <w:color w:val="000000"/>
          <w:szCs w:val="26"/>
        </w:rPr>
        <w:t xml:space="preserve">construction </w:t>
      </w:r>
      <w:r w:rsidRPr="006A6928">
        <w:rPr>
          <w:rFonts w:eastAsia="Times New Roman"/>
          <w:color w:val="000000"/>
          <w:szCs w:val="26"/>
        </w:rPr>
        <w:t xml:space="preserve">of section 230, </w:t>
      </w:r>
      <w:r w:rsidRPr="006A6928">
        <w:rPr>
          <w:rFonts w:eastAsia="Times New Roman"/>
          <w:szCs w:val="26"/>
        </w:rPr>
        <w:t xml:space="preserve">“an interactive computer service provider only has immunity if it is </w:t>
      </w:r>
      <w:r w:rsidRPr="006A6928">
        <w:rPr>
          <w:rFonts w:eastAsia="Times New Roman"/>
          <w:i/>
          <w:iCs/>
          <w:szCs w:val="26"/>
          <w:bdr w:val="none" w:sz="0" w:space="0" w:color="auto" w:frame="1"/>
        </w:rPr>
        <w:t>not</w:t>
      </w:r>
      <w:r w:rsidRPr="006A6928">
        <w:rPr>
          <w:rFonts w:eastAsia="Times New Roman"/>
          <w:szCs w:val="26"/>
        </w:rPr>
        <w:t xml:space="preserve"> also the information content provider — that is, someone ‘responsible, in whole or in part, for the creation or development’ of the content at issue.”  </w:t>
      </w:r>
      <w:r w:rsidRPr="006A6928" w:rsidR="00380C65">
        <w:rPr>
          <w:rFonts w:eastAsia="Times New Roman"/>
          <w:szCs w:val="26"/>
        </w:rPr>
        <w:t>(</w:t>
      </w:r>
      <w:r w:rsidRPr="006A6928" w:rsidR="00380C65">
        <w:rPr>
          <w:rFonts w:eastAsia="Times New Roman"/>
          <w:i/>
          <w:iCs/>
          <w:szCs w:val="26"/>
        </w:rPr>
        <w:t>Liapes, supra,</w:t>
      </w:r>
      <w:r w:rsidRPr="006A6928" w:rsidR="00380C65">
        <w:rPr>
          <w:rFonts w:eastAsia="Times New Roman"/>
          <w:szCs w:val="26"/>
        </w:rPr>
        <w:t xml:space="preserve"> 95 Cal.App.5th at p. 928, citing § 230, subd. (f)(3), </w:t>
      </w:r>
      <w:r w:rsidRPr="006A6928" w:rsidR="00380C65">
        <w:rPr>
          <w:rFonts w:eastAsia="Times New Roman"/>
          <w:i/>
          <w:iCs/>
          <w:szCs w:val="26"/>
        </w:rPr>
        <w:t>Roommates, supra,</w:t>
      </w:r>
      <w:r w:rsidRPr="006A6928" w:rsidR="00380C65">
        <w:rPr>
          <w:rFonts w:eastAsia="Times New Roman"/>
          <w:szCs w:val="26"/>
        </w:rPr>
        <w:t xml:space="preserve"> 521 F.3d at p. 1162.)</w:t>
      </w:r>
      <w:r w:rsidRPr="006A6928" w:rsidR="00B26B6B">
        <w:rPr>
          <w:rFonts w:eastAsia="Times New Roman"/>
          <w:szCs w:val="26"/>
        </w:rPr>
        <w:t xml:space="preserve">  “</w:t>
      </w:r>
      <w:r w:rsidRPr="006A6928">
        <w:rPr>
          <w:rFonts w:eastAsia="Times New Roman"/>
          <w:szCs w:val="26"/>
        </w:rPr>
        <w:t xml:space="preserve">Passively displaying content </w:t>
      </w:r>
      <w:r w:rsidRPr="006A6928" w:rsidR="00B26B6B">
        <w:rPr>
          <w:rFonts w:eastAsia="Times New Roman"/>
          <w:szCs w:val="26"/>
        </w:rPr>
        <w:t>‘</w:t>
      </w:r>
      <w:r w:rsidRPr="006A6928">
        <w:rPr>
          <w:rFonts w:eastAsia="Times New Roman"/>
          <w:szCs w:val="26"/>
        </w:rPr>
        <w:t>created entirely by third parties</w:t>
      </w:r>
      <w:r w:rsidRPr="006A6928" w:rsidR="00B26B6B">
        <w:rPr>
          <w:rFonts w:eastAsia="Times New Roman"/>
          <w:szCs w:val="26"/>
        </w:rPr>
        <w:t>’</w:t>
      </w:r>
      <w:r w:rsidRPr="006A6928">
        <w:rPr>
          <w:rFonts w:eastAsia="Times New Roman"/>
          <w:szCs w:val="26"/>
        </w:rPr>
        <w:t xml:space="preserve"> renders the operator only a service provider </w:t>
      </w:r>
      <w:r w:rsidRPr="006A6928" w:rsidR="00B26B6B">
        <w:rPr>
          <w:rFonts w:eastAsia="Times New Roman"/>
          <w:szCs w:val="26"/>
        </w:rPr>
        <w:t>‘</w:t>
      </w:r>
      <w:r w:rsidRPr="006A6928">
        <w:rPr>
          <w:rFonts w:eastAsia="Times New Roman"/>
          <w:szCs w:val="26"/>
        </w:rPr>
        <w:t>with respect to that content.</w:t>
      </w:r>
      <w:r w:rsidRPr="006A6928" w:rsidR="00B26B6B">
        <w:rPr>
          <w:rFonts w:eastAsia="Times New Roman"/>
          <w:szCs w:val="26"/>
        </w:rPr>
        <w:t>’</w:t>
      </w:r>
      <w:r w:rsidRPr="006A6928">
        <w:rPr>
          <w:rFonts w:eastAsia="Times New Roman"/>
          <w:szCs w:val="26"/>
        </w:rPr>
        <w:t xml:space="preserve"> </w:t>
      </w:r>
      <w:r w:rsidRPr="006A6928" w:rsidR="00A91863">
        <w:rPr>
          <w:rFonts w:eastAsia="Times New Roman"/>
          <w:szCs w:val="26"/>
        </w:rPr>
        <w:t xml:space="preserve"> </w:t>
      </w:r>
      <w:r w:rsidRPr="006A6928">
        <w:rPr>
          <w:rFonts w:eastAsia="Times New Roman"/>
          <w:szCs w:val="26"/>
        </w:rPr>
        <w:t>(</w:t>
      </w:r>
      <w:r w:rsidRPr="006A6928">
        <w:rPr>
          <w:rFonts w:eastAsia="Times New Roman"/>
          <w:i/>
          <w:iCs/>
          <w:szCs w:val="26"/>
          <w:bdr w:val="none" w:sz="0" w:space="0" w:color="auto" w:frame="1"/>
        </w:rPr>
        <w:t>Roommates</w:t>
      </w:r>
      <w:r w:rsidRPr="006A6928">
        <w:rPr>
          <w:rFonts w:eastAsia="Times New Roman"/>
          <w:szCs w:val="26"/>
        </w:rPr>
        <w:t xml:space="preserve">, at p. 1162.) </w:t>
      </w:r>
      <w:r w:rsidRPr="006A6928" w:rsidR="00B26B6B">
        <w:rPr>
          <w:rFonts w:eastAsia="Times New Roman"/>
          <w:szCs w:val="26"/>
        </w:rPr>
        <w:t xml:space="preserve"> ‘</w:t>
      </w:r>
      <w:r w:rsidRPr="006A6928">
        <w:rPr>
          <w:rFonts w:eastAsia="Times New Roman"/>
          <w:szCs w:val="26"/>
        </w:rPr>
        <w:t xml:space="preserve">But as to content that it creates itself, or is </w:t>
      </w:r>
      <w:r w:rsidRPr="006A6928" w:rsidR="00B26B6B">
        <w:rPr>
          <w:rFonts w:eastAsia="Times New Roman"/>
          <w:szCs w:val="26"/>
        </w:rPr>
        <w:t>“</w:t>
      </w:r>
      <w:r w:rsidRPr="006A6928">
        <w:rPr>
          <w:rFonts w:eastAsia="Times New Roman"/>
          <w:szCs w:val="26"/>
        </w:rPr>
        <w:t>responsible, in whole or in part</w:t>
      </w:r>
      <w:r w:rsidRPr="006A6928" w:rsidR="00B26B6B">
        <w:rPr>
          <w:rFonts w:eastAsia="Times New Roman"/>
          <w:szCs w:val="26"/>
        </w:rPr>
        <w:t>”</w:t>
      </w:r>
      <w:r w:rsidRPr="006A6928">
        <w:rPr>
          <w:rFonts w:eastAsia="Times New Roman"/>
          <w:szCs w:val="26"/>
        </w:rPr>
        <w:t xml:space="preserve"> for creating or developing, the website is also a content provider.</w:t>
      </w:r>
      <w:r w:rsidRPr="006A6928" w:rsidR="00B26B6B">
        <w:rPr>
          <w:rFonts w:eastAsia="Times New Roman"/>
          <w:szCs w:val="26"/>
        </w:rPr>
        <w:t xml:space="preserve">’  [Citation.] </w:t>
      </w:r>
      <w:r w:rsidRPr="006A6928">
        <w:rPr>
          <w:rFonts w:eastAsia="Times New Roman"/>
          <w:szCs w:val="26"/>
        </w:rPr>
        <w:t xml:space="preserve"> </w:t>
      </w:r>
      <w:r w:rsidRPr="006A6928" w:rsidR="00B26B6B">
        <w:rPr>
          <w:rFonts w:eastAsia="Times New Roman"/>
          <w:szCs w:val="26"/>
        </w:rPr>
        <w:t>‘</w:t>
      </w:r>
      <w:r w:rsidRPr="006A6928">
        <w:rPr>
          <w:rFonts w:eastAsia="Times New Roman"/>
          <w:szCs w:val="26"/>
        </w:rPr>
        <w:t>Thus, a website may be immune from liability for some of the content it displays to the public but be subject to liability for other content.</w:t>
      </w:r>
      <w:r w:rsidRPr="006A6928" w:rsidR="00B26B6B">
        <w:rPr>
          <w:rFonts w:eastAsia="Times New Roman"/>
          <w:szCs w:val="26"/>
        </w:rPr>
        <w:t xml:space="preserve">’ </w:t>
      </w:r>
      <w:r w:rsidRPr="006A6928">
        <w:rPr>
          <w:rFonts w:eastAsia="Times New Roman"/>
          <w:szCs w:val="26"/>
        </w:rPr>
        <w:t>”</w:t>
      </w:r>
      <w:r w:rsidRPr="006A6928" w:rsidR="00B26B6B">
        <w:rPr>
          <w:rFonts w:eastAsia="Times New Roman"/>
          <w:szCs w:val="26"/>
        </w:rPr>
        <w:t xml:space="preserve">  (</w:t>
      </w:r>
      <w:r w:rsidRPr="006A6928" w:rsidR="00B26B6B">
        <w:rPr>
          <w:rFonts w:eastAsia="Times New Roman"/>
          <w:i/>
          <w:iCs/>
          <w:szCs w:val="26"/>
        </w:rPr>
        <w:t>Liapes, supra,</w:t>
      </w:r>
      <w:r w:rsidRPr="006A6928" w:rsidR="00B26B6B">
        <w:rPr>
          <w:rFonts w:eastAsia="Times New Roman"/>
          <w:szCs w:val="26"/>
        </w:rPr>
        <w:t xml:space="preserve"> 95 Cal.App.5th at p. 928.)</w:t>
      </w:r>
      <w:r w:rsidRPr="006A6928" w:rsidR="00BB7FFE">
        <w:rPr>
          <w:rFonts w:eastAsia="Times New Roman"/>
          <w:szCs w:val="26"/>
        </w:rPr>
        <w:t xml:space="preserve">  </w:t>
      </w:r>
    </w:p>
    <w:p w:rsidR="00DC4E90" w:rsidRPr="006A6928" w:rsidP="009E272B">
      <w:pPr>
        <w:ind w:firstLine="720"/>
        <w:textAlignment w:val="baseline"/>
        <w:rPr>
          <w:rFonts w:ascii="Source Sans Pro" w:eastAsia="Times New Roman" w:hAnsi="Source Sans Pro"/>
          <w:color w:val="000000"/>
          <w:sz w:val="24"/>
          <w:szCs w:val="24"/>
        </w:rPr>
      </w:pPr>
      <w:r w:rsidRPr="006A6928">
        <w:rPr>
          <w:rFonts w:eastAsia="Times New Roman"/>
          <w:szCs w:val="26"/>
        </w:rPr>
        <w:t>A web</w:t>
      </w:r>
      <w:r w:rsidRPr="006A6928" w:rsidR="00500CA4">
        <w:rPr>
          <w:rFonts w:eastAsia="Times New Roman"/>
          <w:szCs w:val="26"/>
        </w:rPr>
        <w:t xml:space="preserve">site </w:t>
      </w:r>
      <w:r w:rsidRPr="006A6928">
        <w:rPr>
          <w:rFonts w:eastAsia="Times New Roman"/>
          <w:szCs w:val="26"/>
        </w:rPr>
        <w:t xml:space="preserve">creates or develops content </w:t>
      </w:r>
      <w:r w:rsidRPr="006A6928" w:rsidR="00500CA4">
        <w:rPr>
          <w:rFonts w:eastAsia="Times New Roman"/>
          <w:szCs w:val="26"/>
        </w:rPr>
        <w:t>“by making a material contribution to [its] creation or development</w:t>
      </w:r>
      <w:r w:rsidRPr="006A6928">
        <w:rPr>
          <w:rFonts w:eastAsia="Times New Roman"/>
          <w:szCs w:val="26"/>
        </w:rPr>
        <w:t>.</w:t>
      </w:r>
      <w:r w:rsidRPr="006A6928" w:rsidR="00500CA4">
        <w:rPr>
          <w:rFonts w:eastAsia="Times New Roman"/>
          <w:szCs w:val="26"/>
        </w:rPr>
        <w:t>”</w:t>
      </w:r>
      <w:r w:rsidRPr="006A6928">
        <w:rPr>
          <w:rFonts w:eastAsia="Times New Roman"/>
          <w:szCs w:val="26"/>
        </w:rPr>
        <w:t xml:space="preserve">  (</w:t>
      </w:r>
      <w:r w:rsidRPr="006A6928">
        <w:rPr>
          <w:rFonts w:eastAsia="Times New Roman"/>
          <w:i/>
          <w:iCs/>
          <w:szCs w:val="26"/>
        </w:rPr>
        <w:t xml:space="preserve">Kimzey v. Yelp, Inc. </w:t>
      </w:r>
      <w:r w:rsidRPr="006A6928">
        <w:rPr>
          <w:rFonts w:eastAsia="Times New Roman"/>
          <w:szCs w:val="26"/>
        </w:rPr>
        <w:t xml:space="preserve">(9th Cir. 2016) </w:t>
      </w:r>
      <w:r w:rsidRPr="006A6928" w:rsidR="00500CA4">
        <w:rPr>
          <w:rFonts w:eastAsia="Times New Roman"/>
          <w:szCs w:val="26"/>
        </w:rPr>
        <w:t xml:space="preserve">836 F.3d </w:t>
      </w:r>
      <w:r w:rsidRPr="006A6928">
        <w:rPr>
          <w:rFonts w:eastAsia="Times New Roman"/>
          <w:szCs w:val="26"/>
        </w:rPr>
        <w:t>1263,</w:t>
      </w:r>
      <w:r w:rsidRPr="006A6928" w:rsidR="00500CA4">
        <w:rPr>
          <w:rFonts w:eastAsia="Times New Roman"/>
          <w:szCs w:val="26"/>
        </w:rPr>
        <w:t xml:space="preserve"> 1269</w:t>
      </w:r>
      <w:r w:rsidRPr="006A6928" w:rsidR="00A91863">
        <w:rPr>
          <w:rFonts w:eastAsia="Times New Roman"/>
          <w:szCs w:val="26"/>
        </w:rPr>
        <w:t xml:space="preserve"> (</w:t>
      </w:r>
      <w:r w:rsidRPr="006A6928" w:rsidR="00A91863">
        <w:rPr>
          <w:rFonts w:eastAsia="Times New Roman"/>
          <w:i/>
          <w:iCs/>
          <w:szCs w:val="26"/>
        </w:rPr>
        <w:t>Kimzey</w:t>
      </w:r>
      <w:r w:rsidRPr="006A6928" w:rsidR="00A91863">
        <w:rPr>
          <w:rFonts w:eastAsia="Times New Roman"/>
          <w:szCs w:val="26"/>
        </w:rPr>
        <w:t>)</w:t>
      </w:r>
      <w:r w:rsidRPr="006A6928" w:rsidR="00500CA4">
        <w:rPr>
          <w:rFonts w:eastAsia="Times New Roman"/>
          <w:szCs w:val="26"/>
        </w:rPr>
        <w:t>.</w:t>
      </w:r>
      <w:r w:rsidRPr="006A6928">
        <w:rPr>
          <w:rFonts w:eastAsia="Times New Roman"/>
          <w:szCs w:val="26"/>
        </w:rPr>
        <w:t xml:space="preserve">) </w:t>
      </w:r>
      <w:r w:rsidRPr="006A6928" w:rsidR="00C253B2">
        <w:rPr>
          <w:rFonts w:eastAsia="Times New Roman"/>
          <w:szCs w:val="26"/>
        </w:rPr>
        <w:t xml:space="preserve"> </w:t>
      </w:r>
      <w:r w:rsidRPr="006A6928" w:rsidR="00500CA4">
        <w:rPr>
          <w:rFonts w:eastAsia="Times New Roman"/>
          <w:szCs w:val="26"/>
        </w:rPr>
        <w:t xml:space="preserve">A </w:t>
      </w:r>
      <w:r w:rsidRPr="006A6928" w:rsidR="00C253B2">
        <w:rPr>
          <w:rFonts w:eastAsia="Times New Roman"/>
          <w:szCs w:val="26"/>
        </w:rPr>
        <w:t>“</w:t>
      </w:r>
      <w:r w:rsidRPr="006A6928" w:rsidR="00500CA4">
        <w:rPr>
          <w:rFonts w:eastAsia="Times New Roman"/>
          <w:szCs w:val="26"/>
        </w:rPr>
        <w:t>material contribution</w:t>
      </w:r>
      <w:r w:rsidRPr="006A6928" w:rsidR="00C253B2">
        <w:rPr>
          <w:rFonts w:eastAsia="Times New Roman"/>
          <w:szCs w:val="26"/>
        </w:rPr>
        <w:t>”</w:t>
      </w:r>
      <w:r w:rsidRPr="006A6928" w:rsidR="00500CA4">
        <w:rPr>
          <w:rFonts w:eastAsia="Times New Roman"/>
          <w:szCs w:val="26"/>
        </w:rPr>
        <w:t xml:space="preserve"> does not </w:t>
      </w:r>
      <w:r w:rsidRPr="006A6928" w:rsidR="00C253B2">
        <w:rPr>
          <w:rFonts w:eastAsia="Times New Roman"/>
          <w:szCs w:val="26"/>
        </w:rPr>
        <w:t>refer to</w:t>
      </w:r>
      <w:r w:rsidRPr="006A6928" w:rsidR="00500CA4">
        <w:rPr>
          <w:rFonts w:eastAsia="Times New Roman"/>
          <w:szCs w:val="26"/>
        </w:rPr>
        <w:t xml:space="preserve"> </w:t>
      </w:r>
      <w:r w:rsidRPr="006A6928" w:rsidR="00C253B2">
        <w:rPr>
          <w:rFonts w:eastAsia="Times New Roman"/>
          <w:szCs w:val="26"/>
        </w:rPr>
        <w:t>“</w:t>
      </w:r>
      <w:r w:rsidRPr="006A6928" w:rsidR="00500CA4">
        <w:rPr>
          <w:rFonts w:eastAsia="Times New Roman"/>
          <w:szCs w:val="26"/>
        </w:rPr>
        <w:t xml:space="preserve">merely </w:t>
      </w:r>
      <w:r w:rsidRPr="006A6928" w:rsidR="00C253B2">
        <w:rPr>
          <w:rFonts w:eastAsia="Times New Roman"/>
          <w:szCs w:val="26"/>
        </w:rPr>
        <w:t xml:space="preserve">. . . </w:t>
      </w:r>
      <w:r w:rsidRPr="006A6928" w:rsidR="00500CA4">
        <w:rPr>
          <w:rFonts w:eastAsia="Times New Roman"/>
          <w:szCs w:val="26"/>
        </w:rPr>
        <w:t xml:space="preserve">augmenting the content generally, but to materially contributing </w:t>
      </w:r>
      <w:r w:rsidRPr="006A6928" w:rsidR="00500CA4">
        <w:rPr>
          <w:rFonts w:eastAsia="Times New Roman"/>
          <w:szCs w:val="26"/>
          <w:bdr w:val="none" w:sz="0" w:space="0" w:color="auto" w:frame="1"/>
        </w:rPr>
        <w:t>to its alleged unlawfulness</w:t>
      </w:r>
      <w:r w:rsidRPr="006A6928" w:rsidR="00500CA4">
        <w:rPr>
          <w:rFonts w:eastAsia="Times New Roman"/>
          <w:szCs w:val="26"/>
        </w:rPr>
        <w:t>.”</w:t>
      </w:r>
      <w:r w:rsidRPr="006A6928">
        <w:rPr>
          <w:rFonts w:eastAsia="Times New Roman"/>
          <w:szCs w:val="26"/>
        </w:rPr>
        <w:t xml:space="preserve"> </w:t>
      </w:r>
      <w:r w:rsidRPr="006A6928" w:rsidR="00500CA4">
        <w:rPr>
          <w:rFonts w:eastAsia="Times New Roman"/>
          <w:szCs w:val="26"/>
        </w:rPr>
        <w:t xml:space="preserve"> </w:t>
      </w:r>
      <w:r w:rsidRPr="006A6928">
        <w:rPr>
          <w:rFonts w:eastAsia="Times New Roman"/>
          <w:szCs w:val="26"/>
        </w:rPr>
        <w:t>(</w:t>
      </w:r>
      <w:r w:rsidRPr="006A6928">
        <w:rPr>
          <w:rFonts w:eastAsia="Times New Roman"/>
          <w:i/>
          <w:iCs/>
          <w:szCs w:val="26"/>
        </w:rPr>
        <w:t>Roommates, supra</w:t>
      </w:r>
      <w:r w:rsidRPr="006A6928">
        <w:rPr>
          <w:rFonts w:eastAsia="Times New Roman"/>
          <w:szCs w:val="26"/>
        </w:rPr>
        <w:t>, 521 F.3d at pp. 1167-1168</w:t>
      </w:r>
      <w:r w:rsidRPr="006A6928" w:rsidR="00C253B2">
        <w:rPr>
          <w:rFonts w:eastAsia="Times New Roman"/>
          <w:szCs w:val="26"/>
        </w:rPr>
        <w:t>.)</w:t>
      </w:r>
    </w:p>
    <w:p w:rsidR="00E64C68" w:rsidRPr="006A6928" w:rsidP="00ED63C8">
      <w:pPr>
        <w:pStyle w:val="ListParagraph"/>
        <w:keepNext/>
        <w:numPr>
          <w:ilvl w:val="0"/>
          <w:numId w:val="43"/>
        </w:numPr>
        <w:ind w:left="1800"/>
        <w:textAlignment w:val="baseline"/>
        <w:rPr>
          <w:rFonts w:eastAsia="Times New Roman"/>
          <w:b/>
          <w:bCs/>
          <w:i/>
          <w:iCs/>
          <w:szCs w:val="26"/>
        </w:rPr>
      </w:pPr>
      <w:r w:rsidRPr="006A6928">
        <w:rPr>
          <w:rFonts w:eastAsia="Times New Roman"/>
          <w:b/>
          <w:bCs/>
          <w:i/>
          <w:iCs/>
          <w:szCs w:val="26"/>
        </w:rPr>
        <w:t>Analysis</w:t>
      </w:r>
    </w:p>
    <w:p w:rsidR="00094C41" w:rsidRPr="006A6928" w:rsidP="00287323">
      <w:pPr>
        <w:ind w:firstLine="720"/>
        <w:textAlignment w:val="baseline"/>
        <w:rPr>
          <w:rFonts w:eastAsia="Times New Roman"/>
          <w:b/>
          <w:bCs/>
          <w:szCs w:val="26"/>
        </w:rPr>
      </w:pPr>
      <w:r w:rsidRPr="006A6928">
        <w:rPr>
          <w:rFonts w:eastAsia="Times New Roman"/>
          <w:szCs w:val="26"/>
        </w:rPr>
        <w:t>In the</w:t>
      </w:r>
      <w:r w:rsidRPr="006A6928" w:rsidR="00414404">
        <w:rPr>
          <w:rFonts w:eastAsia="Times New Roman"/>
          <w:szCs w:val="26"/>
        </w:rPr>
        <w:t>ir</w:t>
      </w:r>
      <w:r w:rsidRPr="006A6928">
        <w:rPr>
          <w:rFonts w:eastAsia="Times New Roman"/>
          <w:szCs w:val="26"/>
        </w:rPr>
        <w:t xml:space="preserve"> briefs on appeal, </w:t>
      </w:r>
      <w:r w:rsidRPr="006A6928" w:rsidR="008B0A66">
        <w:rPr>
          <w:rFonts w:eastAsia="Times New Roman"/>
          <w:szCs w:val="26"/>
        </w:rPr>
        <w:t>p</w:t>
      </w:r>
      <w:r w:rsidRPr="006A6928" w:rsidR="00CE73F7">
        <w:rPr>
          <w:rFonts w:eastAsia="Times New Roman"/>
          <w:szCs w:val="26"/>
        </w:rPr>
        <w:t xml:space="preserve">laintiffs </w:t>
      </w:r>
      <w:r w:rsidRPr="006A6928" w:rsidR="00287323">
        <w:rPr>
          <w:rFonts w:eastAsia="Times New Roman"/>
          <w:szCs w:val="26"/>
        </w:rPr>
        <w:t>group</w:t>
      </w:r>
      <w:r w:rsidRPr="006A6928" w:rsidR="00CE73F7">
        <w:rPr>
          <w:rFonts w:eastAsia="Times New Roman"/>
          <w:szCs w:val="26"/>
        </w:rPr>
        <w:t xml:space="preserve"> their claims into six general categories, rather than addressing each </w:t>
      </w:r>
      <w:r w:rsidR="007E0016">
        <w:rPr>
          <w:rFonts w:eastAsia="Times New Roman"/>
          <w:szCs w:val="26"/>
        </w:rPr>
        <w:t xml:space="preserve">of the nine </w:t>
      </w:r>
      <w:r w:rsidRPr="006A6928" w:rsidR="00CE73F7">
        <w:rPr>
          <w:rFonts w:eastAsia="Times New Roman"/>
          <w:szCs w:val="26"/>
        </w:rPr>
        <w:t>cause</w:t>
      </w:r>
      <w:r w:rsidR="007E0016">
        <w:rPr>
          <w:rFonts w:eastAsia="Times New Roman"/>
          <w:szCs w:val="26"/>
        </w:rPr>
        <w:t>s</w:t>
      </w:r>
      <w:r w:rsidRPr="006A6928" w:rsidR="00CE73F7">
        <w:rPr>
          <w:rFonts w:eastAsia="Times New Roman"/>
          <w:szCs w:val="26"/>
        </w:rPr>
        <w:t xml:space="preserve"> of action </w:t>
      </w:r>
      <w:r w:rsidRPr="006A6928" w:rsidR="00287323">
        <w:rPr>
          <w:rFonts w:eastAsia="Times New Roman"/>
          <w:szCs w:val="26"/>
        </w:rPr>
        <w:t>individually</w:t>
      </w:r>
      <w:r w:rsidRPr="006A6928" w:rsidR="00CE73F7">
        <w:rPr>
          <w:rFonts w:eastAsia="Times New Roman"/>
          <w:szCs w:val="26"/>
        </w:rPr>
        <w:t xml:space="preserve">.  Our discussion below </w:t>
      </w:r>
      <w:r w:rsidRPr="006A6928" w:rsidR="00287323">
        <w:rPr>
          <w:rFonts w:eastAsia="Times New Roman"/>
          <w:szCs w:val="26"/>
        </w:rPr>
        <w:t>tracks</w:t>
      </w:r>
      <w:r w:rsidRPr="006A6928" w:rsidR="00CE73F7">
        <w:rPr>
          <w:rFonts w:eastAsia="Times New Roman"/>
          <w:szCs w:val="26"/>
        </w:rPr>
        <w:t xml:space="preserve"> those </w:t>
      </w:r>
      <w:r w:rsidR="007E0016">
        <w:rPr>
          <w:rFonts w:eastAsia="Times New Roman"/>
          <w:szCs w:val="26"/>
        </w:rPr>
        <w:t xml:space="preserve">six </w:t>
      </w:r>
      <w:r w:rsidRPr="006A6928" w:rsidR="00CE73F7">
        <w:rPr>
          <w:rFonts w:eastAsia="Times New Roman"/>
          <w:szCs w:val="26"/>
        </w:rPr>
        <w:t>categories</w:t>
      </w:r>
      <w:r w:rsidRPr="006A6928" w:rsidR="00201E64">
        <w:rPr>
          <w:rFonts w:eastAsia="Times New Roman"/>
          <w:szCs w:val="26"/>
        </w:rPr>
        <w:t>.</w:t>
      </w:r>
    </w:p>
    <w:p w:rsidR="00094C41" w:rsidRPr="006A6928" w:rsidP="00513B7D">
      <w:pPr>
        <w:pStyle w:val="ListParagraph"/>
        <w:numPr>
          <w:ilvl w:val="1"/>
          <w:numId w:val="11"/>
        </w:numPr>
        <w:ind w:left="2160"/>
        <w:textAlignment w:val="baseline"/>
        <w:rPr>
          <w:rFonts w:eastAsia="Times New Roman"/>
          <w:b/>
          <w:bCs/>
          <w:i/>
          <w:iCs/>
          <w:szCs w:val="26"/>
        </w:rPr>
      </w:pPr>
      <w:r w:rsidRPr="006A6928">
        <w:rPr>
          <w:rFonts w:eastAsia="Times New Roman"/>
          <w:b/>
          <w:bCs/>
          <w:i/>
          <w:iCs/>
          <w:szCs w:val="26"/>
        </w:rPr>
        <w:t>Negligent security claim</w:t>
      </w:r>
    </w:p>
    <w:p w:rsidR="00DA3170" w:rsidRPr="006A6928" w:rsidP="00D472EC">
      <w:pPr>
        <w:ind w:firstLine="720"/>
        <w:textAlignment w:val="baseline"/>
        <w:rPr>
          <w:rFonts w:eastAsia="Times New Roman"/>
          <w:szCs w:val="26"/>
        </w:rPr>
      </w:pPr>
      <w:r w:rsidRPr="006A6928">
        <w:rPr>
          <w:rFonts w:eastAsia="Times New Roman"/>
          <w:szCs w:val="26"/>
        </w:rPr>
        <w:t xml:space="preserve">Plaintiffs characterize their “negligent security claim” as an allegation that defendants “failed to implement reasonable security measures to protect verified and popular YouTube channels from being regularly hijacked and transformed to broadcast the scam videos.”  </w:t>
      </w:r>
      <w:r w:rsidRPr="006A6928" w:rsidR="004A3C77">
        <w:rPr>
          <w:rFonts w:eastAsia="Times New Roman"/>
          <w:szCs w:val="26"/>
        </w:rPr>
        <w:t xml:space="preserve">Plaintiffs contend </w:t>
      </w:r>
      <w:r w:rsidRPr="006A6928" w:rsidR="00DE19C2">
        <w:rPr>
          <w:rFonts w:eastAsia="Times New Roman"/>
          <w:szCs w:val="26"/>
        </w:rPr>
        <w:t xml:space="preserve">this claim does not treat defendants as the publisher or speaker of third-party content, and section 230 does not immunize failures to secure software from intrusion.  They argue that the negligent-security claim is “not concerned with whether YouTube engaged in traditional editorial functions immunized by </w:t>
      </w:r>
      <w:r w:rsidR="001C2E16">
        <w:rPr>
          <w:rFonts w:eastAsia="Times New Roman"/>
          <w:szCs w:val="26"/>
        </w:rPr>
        <w:t>S</w:t>
      </w:r>
      <w:r w:rsidRPr="006A6928" w:rsidR="001C2E16">
        <w:rPr>
          <w:rFonts w:eastAsia="Times New Roman"/>
          <w:szCs w:val="26"/>
        </w:rPr>
        <w:t xml:space="preserve">ection </w:t>
      </w:r>
      <w:r w:rsidRPr="006A6928" w:rsidR="00DE19C2">
        <w:rPr>
          <w:rFonts w:eastAsia="Times New Roman"/>
          <w:szCs w:val="26"/>
        </w:rPr>
        <w:t xml:space="preserve">230, such as blocking or removing user content.”  </w:t>
      </w:r>
      <w:r w:rsidRPr="006A6928" w:rsidR="00D472EC">
        <w:rPr>
          <w:rFonts w:eastAsia="Times New Roman"/>
          <w:szCs w:val="26"/>
        </w:rPr>
        <w:t xml:space="preserve">Instead, they argue, the claim is concerned with the failure to </w:t>
      </w:r>
      <w:r w:rsidRPr="006A6928" w:rsidR="00C43550">
        <w:rPr>
          <w:rFonts w:eastAsia="Times New Roman"/>
          <w:szCs w:val="26"/>
        </w:rPr>
        <w:t xml:space="preserve">employ reasonable security measures to protect channels from </w:t>
      </w:r>
      <w:r w:rsidRPr="006A6928" w:rsidR="00D472EC">
        <w:rPr>
          <w:rFonts w:eastAsia="Times New Roman"/>
          <w:szCs w:val="26"/>
        </w:rPr>
        <w:t xml:space="preserve">hijacking.  </w:t>
      </w:r>
    </w:p>
    <w:p w:rsidR="00CC2DCC" w:rsidRPr="006A6928" w:rsidP="00E908FB">
      <w:pPr>
        <w:ind w:firstLine="720"/>
        <w:textAlignment w:val="baseline"/>
        <w:rPr>
          <w:rFonts w:eastAsia="Times New Roman"/>
          <w:szCs w:val="26"/>
        </w:rPr>
      </w:pPr>
      <w:r w:rsidRPr="006A6928">
        <w:rPr>
          <w:rFonts w:eastAsia="Times New Roman"/>
          <w:szCs w:val="26"/>
        </w:rPr>
        <w:t>Applying the standards summarized above</w:t>
      </w:r>
      <w:r w:rsidRPr="006A6928" w:rsidR="00A11372">
        <w:rPr>
          <w:rFonts w:eastAsia="Times New Roman"/>
          <w:szCs w:val="26"/>
        </w:rPr>
        <w:t xml:space="preserve">, </w:t>
      </w:r>
      <w:r w:rsidRPr="006A6928" w:rsidR="00343742">
        <w:rPr>
          <w:rFonts w:eastAsia="Times New Roman"/>
          <w:szCs w:val="26"/>
        </w:rPr>
        <w:t>we conclude plaintiffs’ negligent security claim is subject to section 230 immunity</w:t>
      </w:r>
      <w:r w:rsidRPr="006A6928" w:rsidR="00E908FB">
        <w:rPr>
          <w:rFonts w:eastAsia="Times New Roman"/>
          <w:szCs w:val="26"/>
        </w:rPr>
        <w:t xml:space="preserve"> because it seeks to treat defendants as a publisher and speaker of </w:t>
      </w:r>
      <w:r w:rsidRPr="006A6928" w:rsidR="00E908FB">
        <w:rPr>
          <w:rFonts w:eastAsia="Times New Roman"/>
          <w:szCs w:val="26"/>
          <w:bdr w:val="none" w:sz="0" w:space="0" w:color="auto" w:frame="1"/>
          <w:shd w:val="clear" w:color="auto" w:fill="FFFFFF"/>
        </w:rPr>
        <w:t>information</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provided</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by</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another</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information</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content</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provider</w:t>
      </w:r>
      <w:r w:rsidRPr="006A6928" w:rsidR="00E908FB">
        <w:rPr>
          <w:rFonts w:eastAsia="Times New Roman"/>
          <w:szCs w:val="26"/>
        </w:rPr>
        <w:t>.  (</w:t>
      </w:r>
      <w:r w:rsidRPr="006A6928" w:rsidR="00E908FB">
        <w:rPr>
          <w:rFonts w:eastAsia="Times New Roman"/>
          <w:i/>
          <w:iCs/>
          <w:szCs w:val="26"/>
        </w:rPr>
        <w:t>Murphy, supra,</w:t>
      </w:r>
      <w:r w:rsidRPr="006A6928" w:rsidR="00E908FB">
        <w:rPr>
          <w:rFonts w:eastAsia="Times New Roman"/>
          <w:szCs w:val="26"/>
        </w:rPr>
        <w:t xml:space="preserve"> 60 Cal.App.</w:t>
      </w:r>
      <w:r w:rsidRPr="006A6928" w:rsidR="00DC0976">
        <w:rPr>
          <w:rFonts w:eastAsia="Times New Roman"/>
          <w:szCs w:val="26"/>
        </w:rPr>
        <w:t>5</w:t>
      </w:r>
      <w:r w:rsidRPr="006A6928" w:rsidR="00E908FB">
        <w:rPr>
          <w:rFonts w:eastAsia="Times New Roman"/>
          <w:szCs w:val="26"/>
        </w:rPr>
        <w:t xml:space="preserve">th at p. 24.)  </w:t>
      </w:r>
      <w:r w:rsidRPr="006A6928">
        <w:rPr>
          <w:rFonts w:eastAsia="Times New Roman"/>
          <w:szCs w:val="26"/>
        </w:rPr>
        <w:t>In their briefs, plaintiffs do not identify which causes of action include their “negligent security” claim, and there is no claim in the SAC with that label.  Instead, plaintiffs cite various allegations from the SAC which are found within the “negligence” cause of action.  We construe this as a concession that the other causes of action do not purport to allege liability for these “security-related” claims, and we limit our analysis here to the negligence cause of action.</w:t>
      </w:r>
    </w:p>
    <w:p w:rsidR="00904C20" w:rsidRPr="006A6928" w:rsidP="00904C20">
      <w:pPr>
        <w:ind w:firstLine="720"/>
        <w:textAlignment w:val="baseline"/>
        <w:rPr>
          <w:rFonts w:ascii="CIDFont+F2" w:hAnsi="CIDFont+F2" w:cs="CIDFont+F2"/>
          <w:sz w:val="22"/>
        </w:rPr>
      </w:pPr>
      <w:r w:rsidRPr="006A6928">
        <w:rPr>
          <w:rFonts w:eastAsia="Times New Roman"/>
          <w:szCs w:val="26"/>
        </w:rPr>
        <w:t xml:space="preserve">In </w:t>
      </w:r>
      <w:r w:rsidRPr="006A6928" w:rsidR="0056792E">
        <w:rPr>
          <w:rFonts w:eastAsia="Times New Roman"/>
          <w:szCs w:val="26"/>
        </w:rPr>
        <w:t>the negligence</w:t>
      </w:r>
      <w:r w:rsidRPr="006A6928">
        <w:rPr>
          <w:rFonts w:eastAsia="Times New Roman"/>
          <w:szCs w:val="26"/>
        </w:rPr>
        <w:t xml:space="preserve"> cause of action, plaintiffs allege</w:t>
      </w:r>
      <w:r w:rsidRPr="006A6928" w:rsidR="0056792E">
        <w:rPr>
          <w:rFonts w:eastAsia="Times New Roman"/>
          <w:szCs w:val="26"/>
        </w:rPr>
        <w:t>, among other things, that</w:t>
      </w:r>
      <w:r w:rsidRPr="006A6928">
        <w:rPr>
          <w:rFonts w:eastAsia="Times New Roman"/>
          <w:szCs w:val="26"/>
        </w:rPr>
        <w:t xml:space="preserve">: defendants had knowledge of all relevant aspects of the scam before plaintiffs were harmed by it; defendants owed plaintiffs a duty to use reasonable care to prevent harm to others, including to prevent or mitigate the foreseeable risk that plaintiffs and other users would be victimized by the scam; defendants breached that duty by failing to implement reasonable security protocols to prevent or shut down the scam on their platforms; and, plaintiffs were harmed by those breaches.  </w:t>
      </w:r>
    </w:p>
    <w:p w:rsidR="00212FD3" w:rsidRPr="006A6928" w:rsidP="00212FD3">
      <w:pPr>
        <w:ind w:firstLine="720"/>
        <w:textAlignment w:val="baseline"/>
        <w:rPr>
          <w:szCs w:val="26"/>
        </w:rPr>
      </w:pPr>
      <w:r w:rsidRPr="006A6928">
        <w:rPr>
          <w:rFonts w:eastAsia="Times New Roman"/>
          <w:szCs w:val="26"/>
        </w:rPr>
        <w:t xml:space="preserve">Ultimately, </w:t>
      </w:r>
      <w:r w:rsidRPr="006A6928" w:rsidR="00904C20">
        <w:rPr>
          <w:rFonts w:eastAsia="Times New Roman"/>
          <w:szCs w:val="26"/>
        </w:rPr>
        <w:t>this</w:t>
      </w:r>
      <w:r w:rsidRPr="006A6928">
        <w:rPr>
          <w:rFonts w:eastAsia="Times New Roman"/>
          <w:szCs w:val="26"/>
        </w:rPr>
        <w:t xml:space="preserve"> claim seeks to hold YouTube liable for allowing the scam videos to be shown on the hijacked channels.</w:t>
      </w:r>
      <w:r w:rsidRPr="006A6928" w:rsidR="00300E72">
        <w:rPr>
          <w:rFonts w:eastAsia="Times New Roman"/>
          <w:szCs w:val="26"/>
        </w:rPr>
        <w:t xml:space="preserve">  </w:t>
      </w:r>
      <w:r w:rsidRPr="006A6928">
        <w:rPr>
          <w:rFonts w:eastAsia="Times New Roman"/>
          <w:szCs w:val="26"/>
        </w:rPr>
        <w:t xml:space="preserve">YouTube’s actions allowing the </w:t>
      </w:r>
      <w:r w:rsidRPr="006A6928" w:rsidR="00DC0976">
        <w:rPr>
          <w:rFonts w:eastAsia="Times New Roman"/>
          <w:szCs w:val="26"/>
        </w:rPr>
        <w:t xml:space="preserve">scam </w:t>
      </w:r>
      <w:r w:rsidRPr="006A6928">
        <w:rPr>
          <w:rFonts w:eastAsia="Times New Roman"/>
          <w:szCs w:val="26"/>
        </w:rPr>
        <w:t xml:space="preserve">videos to be shown </w:t>
      </w:r>
      <w:r w:rsidRPr="006A6928" w:rsidR="00DC0976">
        <w:rPr>
          <w:rFonts w:eastAsia="Times New Roman"/>
          <w:szCs w:val="26"/>
        </w:rPr>
        <w:t xml:space="preserve">on hijacked channels </w:t>
      </w:r>
      <w:r w:rsidRPr="006A6928">
        <w:rPr>
          <w:rFonts w:eastAsia="Times New Roman"/>
          <w:szCs w:val="26"/>
        </w:rPr>
        <w:t>amount to a</w:t>
      </w:r>
      <w:r w:rsidRPr="006A6928" w:rsidR="00904C20">
        <w:rPr>
          <w:rFonts w:eastAsia="Times New Roman"/>
          <w:szCs w:val="26"/>
        </w:rPr>
        <w:t xml:space="preserve"> publishing </w:t>
      </w:r>
      <w:r w:rsidRPr="006A6928">
        <w:rPr>
          <w:rFonts w:eastAsia="Times New Roman"/>
          <w:szCs w:val="26"/>
        </w:rPr>
        <w:t>decision not to prevent or alter the videos—that is, “ ‘deciding whether to exclude material that third parties seek to post online.’ ”  (</w:t>
      </w:r>
      <w:r w:rsidRPr="006A6928" w:rsidR="00DC0976">
        <w:rPr>
          <w:rFonts w:eastAsia="Times New Roman"/>
          <w:i/>
          <w:iCs/>
          <w:szCs w:val="26"/>
        </w:rPr>
        <w:t xml:space="preserve">Murphy, supra, </w:t>
      </w:r>
      <w:r w:rsidRPr="006A6928" w:rsidR="00DC0976">
        <w:rPr>
          <w:rFonts w:eastAsia="Times New Roman"/>
          <w:szCs w:val="26"/>
        </w:rPr>
        <w:t>60 Cal.App.5th at p. 24</w:t>
      </w:r>
      <w:r w:rsidRPr="006A6928">
        <w:rPr>
          <w:rFonts w:eastAsia="Times New Roman"/>
          <w:szCs w:val="26"/>
        </w:rPr>
        <w:t xml:space="preserve">, quoting </w:t>
      </w:r>
      <w:r w:rsidRPr="006A6928">
        <w:rPr>
          <w:rFonts w:eastAsia="Times New Roman"/>
          <w:i/>
          <w:iCs/>
          <w:szCs w:val="26"/>
        </w:rPr>
        <w:t>Roommates, supra</w:t>
      </w:r>
      <w:r w:rsidRPr="006A6928">
        <w:rPr>
          <w:rFonts w:eastAsia="Times New Roman"/>
          <w:szCs w:val="26"/>
        </w:rPr>
        <w:t>, 521 F.3d at pp. 1170-1171.)</w:t>
      </w:r>
      <w:r w:rsidRPr="006A6928" w:rsidR="00300E72">
        <w:rPr>
          <w:rFonts w:eastAsia="Times New Roman"/>
          <w:szCs w:val="26"/>
        </w:rPr>
        <w:t xml:space="preserve">  </w:t>
      </w:r>
      <w:r w:rsidRPr="006A6928" w:rsidR="00E908FB">
        <w:rPr>
          <w:rFonts w:eastAsia="Times New Roman"/>
          <w:szCs w:val="26"/>
        </w:rPr>
        <w:t xml:space="preserve">Plaintiffs </w:t>
      </w:r>
      <w:r w:rsidRPr="006A6928" w:rsidR="00DC0976">
        <w:rPr>
          <w:rFonts w:eastAsia="Times New Roman"/>
          <w:szCs w:val="26"/>
        </w:rPr>
        <w:t xml:space="preserve">insist their claim is not </w:t>
      </w:r>
      <w:r w:rsidRPr="006A6928">
        <w:rPr>
          <w:szCs w:val="26"/>
        </w:rPr>
        <w:t xml:space="preserve">concerned with whether YouTube engaged in traditional editorial functions such as blocking or removing user content; instead, they allege defendants failed to implement “common-sense security measures to prevent rampant hijacking and unfettered repurposing of YouTube channels and the resulting harm to users, including Plaintiffs.”  In other words, they argue their claim is content-neutral because it is not predicated on the harmful content that flowed from the security failures. </w:t>
      </w:r>
    </w:p>
    <w:p w:rsidR="00B91419" w:rsidRPr="006A6928" w:rsidP="009C44EF">
      <w:pPr>
        <w:ind w:firstLine="720"/>
        <w:textAlignment w:val="baseline"/>
        <w:rPr>
          <w:rFonts w:eastAsia="Times New Roman"/>
          <w:szCs w:val="26"/>
        </w:rPr>
      </w:pPr>
      <w:r w:rsidRPr="006A6928">
        <w:rPr>
          <w:rFonts w:eastAsia="Times New Roman"/>
          <w:szCs w:val="26"/>
        </w:rPr>
        <w:t xml:space="preserve">Plaintiffs rely </w:t>
      </w:r>
      <w:r w:rsidRPr="006A6928" w:rsidR="00212FD3">
        <w:rPr>
          <w:rFonts w:eastAsia="Times New Roman"/>
          <w:szCs w:val="26"/>
        </w:rPr>
        <w:t>solely</w:t>
      </w:r>
      <w:r w:rsidRPr="006A6928" w:rsidR="00EF5B5B">
        <w:rPr>
          <w:rFonts w:eastAsia="Times New Roman"/>
          <w:szCs w:val="26"/>
        </w:rPr>
        <w:t xml:space="preserve"> </w:t>
      </w:r>
      <w:r w:rsidRPr="006A6928">
        <w:rPr>
          <w:rFonts w:eastAsia="Times New Roman"/>
          <w:szCs w:val="26"/>
        </w:rPr>
        <w:t>on a recent case from the northern district of California—</w:t>
      </w:r>
      <w:r w:rsidRPr="006A6928">
        <w:rPr>
          <w:rFonts w:eastAsia="Times New Roman"/>
          <w:i/>
          <w:iCs/>
          <w:szCs w:val="26"/>
        </w:rPr>
        <w:t>In re Zoom Video Communications Inc. Privacy Litigation</w:t>
      </w:r>
      <w:r w:rsidRPr="006A6928" w:rsidR="00134EF1">
        <w:rPr>
          <w:rFonts w:eastAsia="Times New Roman"/>
          <w:szCs w:val="26"/>
        </w:rPr>
        <w:t xml:space="preserve"> (N.D. Cal. 2021) 525 F.Supp.3d 1017 (</w:t>
      </w:r>
      <w:r w:rsidRPr="006A6928" w:rsidR="00134EF1">
        <w:rPr>
          <w:rFonts w:eastAsia="Times New Roman"/>
          <w:i/>
          <w:iCs/>
          <w:szCs w:val="26"/>
        </w:rPr>
        <w:t>In re Zoom</w:t>
      </w:r>
      <w:r w:rsidRPr="006A6928" w:rsidR="00134EF1">
        <w:rPr>
          <w:rFonts w:eastAsia="Times New Roman"/>
          <w:szCs w:val="26"/>
        </w:rPr>
        <w:t xml:space="preserve">).  In that case, </w:t>
      </w:r>
      <w:r w:rsidRPr="006A6928" w:rsidR="00212FD3">
        <w:rPr>
          <w:rFonts w:eastAsia="Times New Roman"/>
          <w:szCs w:val="26"/>
        </w:rPr>
        <w:t xml:space="preserve">the </w:t>
      </w:r>
      <w:r w:rsidRPr="006A6928" w:rsidR="009C44EF">
        <w:rPr>
          <w:rFonts w:eastAsia="Times New Roman"/>
          <w:szCs w:val="26"/>
        </w:rPr>
        <w:t>plaintiffs were Zoom users who alleged that Zoom had made harmful misrepresentations and failed to secure Zoom meetings from intruders known as “Zoombombers.”  (</w:t>
      </w:r>
      <w:r w:rsidRPr="006A6928" w:rsidR="009C44EF">
        <w:rPr>
          <w:rFonts w:eastAsia="Times New Roman"/>
          <w:i/>
          <w:iCs/>
          <w:szCs w:val="26"/>
        </w:rPr>
        <w:t>Id</w:t>
      </w:r>
      <w:r w:rsidRPr="006A6928" w:rsidR="009C44EF">
        <w:rPr>
          <w:rFonts w:eastAsia="Times New Roman"/>
          <w:szCs w:val="26"/>
        </w:rPr>
        <w:t>. at p. 1023.)</w:t>
      </w:r>
      <w:r w:rsidRPr="006A6928" w:rsidR="000E06B3">
        <w:rPr>
          <w:rFonts w:eastAsia="Times New Roman"/>
          <w:szCs w:val="26"/>
        </w:rPr>
        <w:t xml:space="preserve">  </w:t>
      </w:r>
      <w:r w:rsidRPr="006A6928">
        <w:rPr>
          <w:rFonts w:eastAsia="Times New Roman"/>
          <w:szCs w:val="26"/>
        </w:rPr>
        <w:t>The plaintiffs argued that they sought to hold Zoom accountable not for its actions as a content provider, publisher or speaker, but rather for its failure to provide promised security and privacy.  (</w:t>
      </w:r>
      <w:r w:rsidRPr="006A6928">
        <w:rPr>
          <w:rFonts w:eastAsia="Times New Roman"/>
          <w:i/>
          <w:iCs/>
          <w:szCs w:val="26"/>
        </w:rPr>
        <w:t xml:space="preserve">Id. </w:t>
      </w:r>
      <w:r w:rsidRPr="006A6928">
        <w:rPr>
          <w:rFonts w:eastAsia="Times New Roman"/>
          <w:szCs w:val="26"/>
        </w:rPr>
        <w:t xml:space="preserve">at p. 1030.)  </w:t>
      </w:r>
      <w:r w:rsidRPr="006A6928" w:rsidR="000E06B3">
        <w:rPr>
          <w:rFonts w:eastAsia="Times New Roman"/>
          <w:szCs w:val="26"/>
        </w:rPr>
        <w:t>Zoom moved to dismiss, arguing that section 230 immunized them from all such claims.  (</w:t>
      </w:r>
      <w:r w:rsidRPr="006A6928" w:rsidR="000E06B3">
        <w:rPr>
          <w:rFonts w:eastAsia="Times New Roman"/>
          <w:i/>
          <w:iCs/>
          <w:szCs w:val="26"/>
        </w:rPr>
        <w:t>Ibid</w:t>
      </w:r>
      <w:r w:rsidRPr="006A6928" w:rsidR="000E06B3">
        <w:rPr>
          <w:rFonts w:eastAsia="Times New Roman"/>
          <w:szCs w:val="26"/>
        </w:rPr>
        <w:t>.)</w:t>
      </w:r>
    </w:p>
    <w:p w:rsidR="00356065" w:rsidRPr="006A6928" w:rsidP="00356065">
      <w:pPr>
        <w:ind w:firstLine="720"/>
        <w:textAlignment w:val="baseline"/>
        <w:rPr>
          <w:rFonts w:eastAsia="Times New Roman"/>
          <w:szCs w:val="26"/>
        </w:rPr>
      </w:pPr>
      <w:r w:rsidRPr="006A6928">
        <w:rPr>
          <w:rFonts w:eastAsia="Times New Roman"/>
          <w:szCs w:val="26"/>
        </w:rPr>
        <w:t>The court</w:t>
      </w:r>
      <w:r w:rsidRPr="006A6928" w:rsidR="00283EA0">
        <w:rPr>
          <w:rFonts w:eastAsia="Times New Roman"/>
          <w:szCs w:val="26"/>
        </w:rPr>
        <w:t xml:space="preserve"> analyzed section 230’s text, legislative history </w:t>
      </w:r>
      <w:r w:rsidRPr="006A6928" w:rsidR="009C44EF">
        <w:rPr>
          <w:rFonts w:eastAsia="Times New Roman"/>
          <w:szCs w:val="26"/>
        </w:rPr>
        <w:t xml:space="preserve">and </w:t>
      </w:r>
      <w:r w:rsidRPr="006A6928" w:rsidR="00283EA0">
        <w:rPr>
          <w:rFonts w:eastAsia="Times New Roman"/>
          <w:szCs w:val="26"/>
        </w:rPr>
        <w:t xml:space="preserve">case law, and explained </w:t>
      </w:r>
      <w:r w:rsidRPr="006A6928" w:rsidR="009C44EF">
        <w:rPr>
          <w:rFonts w:eastAsia="Times New Roman"/>
          <w:szCs w:val="26"/>
        </w:rPr>
        <w:t>that the immunity does not apply to claims that are either (1) content neutral, or (2) do not derive from the defendant’s status or conduct as a publisher or speaker.  (</w:t>
      </w:r>
      <w:r w:rsidRPr="006A6928" w:rsidR="009C44EF">
        <w:rPr>
          <w:rFonts w:eastAsia="Times New Roman"/>
          <w:i/>
          <w:iCs/>
          <w:szCs w:val="26"/>
        </w:rPr>
        <w:t>Id.</w:t>
      </w:r>
      <w:r w:rsidRPr="006A6928" w:rsidR="009C44EF">
        <w:rPr>
          <w:rFonts w:eastAsia="Times New Roman"/>
          <w:szCs w:val="26"/>
        </w:rPr>
        <w:t xml:space="preserve"> at p. 1032</w:t>
      </w:r>
      <w:r w:rsidRPr="006A6928" w:rsidR="00775571">
        <w:rPr>
          <w:rFonts w:eastAsia="Times New Roman"/>
          <w:szCs w:val="26"/>
        </w:rPr>
        <w:t xml:space="preserve">, citing </w:t>
      </w:r>
      <w:r w:rsidRPr="006A6928">
        <w:rPr>
          <w:rFonts w:eastAsia="Times New Roman"/>
          <w:i/>
          <w:iCs/>
          <w:szCs w:val="26"/>
        </w:rPr>
        <w:t>HomeAway.com v. City of Santa Monica</w:t>
      </w:r>
      <w:r w:rsidRPr="006A6928">
        <w:rPr>
          <w:rFonts w:eastAsia="Times New Roman"/>
          <w:szCs w:val="26"/>
        </w:rPr>
        <w:t xml:space="preserve"> (9th Cir. 2019) 918 F.3d 676, 680 [section 230, subdivision (c)(1) immunity does not apply to content-neutral liability); </w:t>
      </w:r>
      <w:r w:rsidRPr="006A6928">
        <w:rPr>
          <w:rFonts w:eastAsia="Times New Roman"/>
          <w:i/>
          <w:iCs/>
          <w:szCs w:val="26"/>
        </w:rPr>
        <w:t xml:space="preserve">Nunes v. Twitter </w:t>
      </w:r>
      <w:r w:rsidRPr="006A6928">
        <w:rPr>
          <w:rFonts w:eastAsia="Times New Roman"/>
          <w:szCs w:val="26"/>
        </w:rPr>
        <w:t>(N.D. Cal. 2016) 194 F.Supp.3d 959, 968 [where statute imposes liability regardless of content, section 230, subdivision (c)(1) immunity does not apply]</w:t>
      </w:r>
      <w:r w:rsidRPr="006A6928" w:rsidR="00275C0D">
        <w:rPr>
          <w:rFonts w:eastAsia="Times New Roman"/>
          <w:szCs w:val="26"/>
        </w:rPr>
        <w:t xml:space="preserve">; </w:t>
      </w:r>
      <w:r w:rsidRPr="006A6928" w:rsidR="00275C0D">
        <w:rPr>
          <w:rFonts w:eastAsia="Times New Roman"/>
          <w:i/>
          <w:iCs/>
          <w:szCs w:val="26"/>
        </w:rPr>
        <w:t>Barnes</w:t>
      </w:r>
      <w:r w:rsidRPr="006A6928" w:rsidR="009F3E52">
        <w:rPr>
          <w:rFonts w:eastAsia="Times New Roman"/>
          <w:i/>
          <w:iCs/>
          <w:szCs w:val="26"/>
        </w:rPr>
        <w:t>, supra,</w:t>
      </w:r>
      <w:r w:rsidRPr="006A6928" w:rsidR="00275C0D">
        <w:rPr>
          <w:rFonts w:eastAsia="Times New Roman"/>
          <w:szCs w:val="26"/>
        </w:rPr>
        <w:t xml:space="preserve"> 570 F.3d </w:t>
      </w:r>
      <w:r w:rsidRPr="006A6928" w:rsidR="009F3E52">
        <w:rPr>
          <w:rFonts w:eastAsia="Times New Roman"/>
          <w:szCs w:val="26"/>
        </w:rPr>
        <w:t>at p.</w:t>
      </w:r>
      <w:r w:rsidRPr="006A6928" w:rsidR="00275C0D">
        <w:rPr>
          <w:rFonts w:eastAsia="Times New Roman"/>
          <w:szCs w:val="26"/>
        </w:rPr>
        <w:t xml:space="preserve"> 1107</w:t>
      </w:r>
      <w:r w:rsidRPr="006A6928" w:rsidR="00775571">
        <w:rPr>
          <w:rFonts w:eastAsia="Times New Roman"/>
          <w:i/>
          <w:iCs/>
          <w:szCs w:val="26"/>
        </w:rPr>
        <w:t xml:space="preserve"> </w:t>
      </w:r>
      <w:r w:rsidRPr="006A6928" w:rsidR="00275C0D">
        <w:rPr>
          <w:rFonts w:eastAsia="Times New Roman"/>
          <w:szCs w:val="26"/>
        </w:rPr>
        <w:t>[section 230, subdivision (c)(1) did not preclude plaintiff’s contract-based liability claims, where contract generated legal duty distinct from Yahoo’s status as publisher].)</w:t>
      </w:r>
    </w:p>
    <w:p w:rsidR="00D472EC" w:rsidRPr="006A6928" w:rsidP="009C44EF">
      <w:pPr>
        <w:ind w:firstLine="720"/>
        <w:textAlignment w:val="baseline"/>
        <w:rPr>
          <w:rFonts w:eastAsia="Times New Roman"/>
          <w:szCs w:val="26"/>
        </w:rPr>
      </w:pPr>
      <w:r w:rsidRPr="006A6928">
        <w:rPr>
          <w:rFonts w:eastAsia="Times New Roman"/>
          <w:szCs w:val="26"/>
        </w:rPr>
        <w:t>Under that framework</w:t>
      </w:r>
      <w:r w:rsidRPr="006A6928" w:rsidR="00E0775A">
        <w:rPr>
          <w:rFonts w:eastAsia="Times New Roman"/>
          <w:szCs w:val="26"/>
        </w:rPr>
        <w:t>, the court</w:t>
      </w:r>
      <w:r w:rsidRPr="006A6928" w:rsidR="000E06B3">
        <w:rPr>
          <w:rFonts w:eastAsia="Times New Roman"/>
          <w:szCs w:val="26"/>
        </w:rPr>
        <w:t xml:space="preserve"> held that </w:t>
      </w:r>
      <w:r w:rsidRPr="006A6928" w:rsidR="00087CBB">
        <w:rPr>
          <w:rFonts w:eastAsia="Times New Roman"/>
          <w:szCs w:val="26"/>
        </w:rPr>
        <w:t>the bulk</w:t>
      </w:r>
      <w:r w:rsidRPr="006A6928" w:rsidR="000E06B3">
        <w:rPr>
          <w:rFonts w:eastAsia="Times New Roman"/>
          <w:szCs w:val="26"/>
        </w:rPr>
        <w:t xml:space="preserve"> of</w:t>
      </w:r>
      <w:r w:rsidRPr="006A6928" w:rsidR="00087CBB">
        <w:rPr>
          <w:rFonts w:eastAsia="Times New Roman"/>
          <w:szCs w:val="26"/>
        </w:rPr>
        <w:t xml:space="preserve"> the</w:t>
      </w:r>
      <w:r w:rsidRPr="006A6928" w:rsidR="000E06B3">
        <w:rPr>
          <w:rFonts w:eastAsia="Times New Roman"/>
          <w:szCs w:val="26"/>
        </w:rPr>
        <w:t xml:space="preserve"> plaintiffs’ claims were immunized by section 230</w:t>
      </w:r>
      <w:r w:rsidRPr="006A6928" w:rsidR="00E62AA6">
        <w:rPr>
          <w:rFonts w:eastAsia="Times New Roman"/>
          <w:szCs w:val="26"/>
        </w:rPr>
        <w:t>,</w:t>
      </w:r>
      <w:r w:rsidRPr="006A6928" w:rsidR="000E06B3">
        <w:rPr>
          <w:rFonts w:eastAsia="Times New Roman"/>
          <w:szCs w:val="26"/>
        </w:rPr>
        <w:t xml:space="preserve"> because</w:t>
      </w:r>
      <w:r w:rsidRPr="006A6928" w:rsidR="00087CBB">
        <w:rPr>
          <w:rFonts w:eastAsia="Times New Roman"/>
          <w:szCs w:val="26"/>
        </w:rPr>
        <w:t xml:space="preserve"> they challenged the harmfulness of specific content provided by </w:t>
      </w:r>
      <w:r w:rsidRPr="006A6928" w:rsidR="00212FD3">
        <w:rPr>
          <w:rFonts w:eastAsia="Times New Roman"/>
          <w:szCs w:val="26"/>
        </w:rPr>
        <w:t xml:space="preserve">the </w:t>
      </w:r>
      <w:r w:rsidRPr="006A6928" w:rsidR="00087CBB">
        <w:rPr>
          <w:rFonts w:eastAsia="Times New Roman"/>
          <w:szCs w:val="26"/>
        </w:rPr>
        <w:t>third part</w:t>
      </w:r>
      <w:r w:rsidRPr="006A6928" w:rsidR="00212FD3">
        <w:rPr>
          <w:rFonts w:eastAsia="Times New Roman"/>
          <w:szCs w:val="26"/>
        </w:rPr>
        <w:t>y Zoombombers</w:t>
      </w:r>
      <w:r w:rsidRPr="006A6928" w:rsidR="00087CBB">
        <w:rPr>
          <w:rFonts w:eastAsia="Times New Roman"/>
          <w:szCs w:val="26"/>
        </w:rPr>
        <w:t xml:space="preserve"> and alleged Zoom should have done more to moderate or block that content. </w:t>
      </w:r>
      <w:r w:rsidRPr="006A6928" w:rsidR="00212FD3">
        <w:rPr>
          <w:rFonts w:eastAsia="Times New Roman"/>
          <w:szCs w:val="26"/>
        </w:rPr>
        <w:t xml:space="preserve"> </w:t>
      </w:r>
      <w:r w:rsidRPr="006A6928" w:rsidR="00087CBB">
        <w:rPr>
          <w:rFonts w:eastAsia="Times New Roman"/>
          <w:szCs w:val="26"/>
        </w:rPr>
        <w:t>(</w:t>
      </w:r>
      <w:r w:rsidRPr="006A6928" w:rsidR="00087CBB">
        <w:rPr>
          <w:rFonts w:eastAsia="Times New Roman"/>
          <w:i/>
          <w:iCs/>
          <w:szCs w:val="26"/>
        </w:rPr>
        <w:t>In re Zoom</w:t>
      </w:r>
      <w:r w:rsidRPr="006A6928" w:rsidR="00087CBB">
        <w:rPr>
          <w:rFonts w:eastAsia="Times New Roman"/>
          <w:szCs w:val="26"/>
        </w:rPr>
        <w:t xml:space="preserve">, </w:t>
      </w:r>
      <w:r w:rsidRPr="006A6928" w:rsidR="00087CBB">
        <w:rPr>
          <w:rFonts w:eastAsia="Times New Roman"/>
          <w:i/>
          <w:iCs/>
          <w:szCs w:val="26"/>
        </w:rPr>
        <w:t>supra,</w:t>
      </w:r>
      <w:r w:rsidRPr="006A6928" w:rsidR="00087CBB">
        <w:rPr>
          <w:rFonts w:eastAsia="Times New Roman"/>
          <w:szCs w:val="26"/>
        </w:rPr>
        <w:t xml:space="preserve"> 525 F.Supp.3d at p. 1035.)  </w:t>
      </w:r>
      <w:r w:rsidRPr="006A6928" w:rsidR="000E06B3">
        <w:rPr>
          <w:rFonts w:eastAsia="Times New Roman"/>
          <w:szCs w:val="26"/>
        </w:rPr>
        <w:t xml:space="preserve">However, </w:t>
      </w:r>
      <w:r w:rsidRPr="006A6928" w:rsidR="00C5414E">
        <w:rPr>
          <w:rFonts w:eastAsia="Times New Roman"/>
          <w:szCs w:val="26"/>
        </w:rPr>
        <w:t>t</w:t>
      </w:r>
      <w:r w:rsidRPr="006A6928" w:rsidR="00E66B07">
        <w:rPr>
          <w:rFonts w:eastAsia="Times New Roman"/>
          <w:szCs w:val="26"/>
        </w:rPr>
        <w:t xml:space="preserve">he plaintiffs’ </w:t>
      </w:r>
      <w:r w:rsidRPr="006A6928" w:rsidR="00C5414E">
        <w:rPr>
          <w:rFonts w:eastAsia="Times New Roman"/>
          <w:szCs w:val="26"/>
        </w:rPr>
        <w:t xml:space="preserve">contract-based </w:t>
      </w:r>
      <w:r w:rsidRPr="006A6928" w:rsidR="00E66B07">
        <w:rPr>
          <w:rFonts w:eastAsia="Times New Roman"/>
          <w:szCs w:val="26"/>
        </w:rPr>
        <w:t>claims were not subject to section 230 immunity</w:t>
      </w:r>
      <w:r w:rsidRPr="006A6928" w:rsidR="00C5414E">
        <w:rPr>
          <w:rFonts w:eastAsia="Times New Roman"/>
          <w:szCs w:val="26"/>
        </w:rPr>
        <w:t xml:space="preserve"> because they did not derive from Zoom’s status or conduct as a publisher or speaker</w:t>
      </w:r>
      <w:r w:rsidRPr="006A6928" w:rsidR="00E66B07">
        <w:rPr>
          <w:rFonts w:eastAsia="Times New Roman"/>
          <w:szCs w:val="26"/>
        </w:rPr>
        <w:t xml:space="preserve">.  </w:t>
      </w:r>
      <w:r w:rsidRPr="006A6928" w:rsidR="00C5414E">
        <w:rPr>
          <w:rFonts w:eastAsia="Times New Roman"/>
          <w:szCs w:val="26"/>
        </w:rPr>
        <w:t>(</w:t>
      </w:r>
      <w:r w:rsidRPr="006A6928" w:rsidR="00C5414E">
        <w:rPr>
          <w:rFonts w:eastAsia="Times New Roman"/>
          <w:i/>
          <w:iCs/>
          <w:szCs w:val="26"/>
        </w:rPr>
        <w:t>Ibid</w:t>
      </w:r>
      <w:r w:rsidRPr="006A6928" w:rsidR="00C5414E">
        <w:rPr>
          <w:rFonts w:eastAsia="Times New Roman"/>
          <w:szCs w:val="26"/>
        </w:rPr>
        <w:t xml:space="preserve">.)  </w:t>
      </w:r>
      <w:r w:rsidRPr="006A6928" w:rsidR="00B727DC">
        <w:rPr>
          <w:rFonts w:eastAsia="Times New Roman"/>
          <w:szCs w:val="26"/>
        </w:rPr>
        <w:t>T</w:t>
      </w:r>
      <w:r w:rsidRPr="006A6928" w:rsidR="00A37F1C">
        <w:rPr>
          <w:rFonts w:eastAsia="Times New Roman"/>
          <w:szCs w:val="26"/>
        </w:rPr>
        <w:t xml:space="preserve">he court </w:t>
      </w:r>
      <w:r w:rsidRPr="006A6928" w:rsidR="00B727DC">
        <w:rPr>
          <w:rFonts w:eastAsia="Times New Roman"/>
          <w:szCs w:val="26"/>
        </w:rPr>
        <w:t xml:space="preserve">also </w:t>
      </w:r>
      <w:r w:rsidRPr="006A6928" w:rsidR="00A37F1C">
        <w:rPr>
          <w:rFonts w:eastAsia="Times New Roman"/>
          <w:szCs w:val="26"/>
        </w:rPr>
        <w:t>denied the motion to dismiss the plaintiffs’ claims “to the extent they are content-neutral.”  (</w:t>
      </w:r>
      <w:r w:rsidRPr="006A6928" w:rsidR="00A37F1C">
        <w:rPr>
          <w:rFonts w:eastAsia="Times New Roman"/>
          <w:i/>
          <w:iCs/>
          <w:szCs w:val="26"/>
        </w:rPr>
        <w:t>Ibid</w:t>
      </w:r>
      <w:r w:rsidRPr="006A6928" w:rsidR="00A37F1C">
        <w:rPr>
          <w:rFonts w:eastAsia="Times New Roman"/>
          <w:szCs w:val="26"/>
        </w:rPr>
        <w:t xml:space="preserve">.) </w:t>
      </w:r>
    </w:p>
    <w:p w:rsidR="00287505" w:rsidRPr="006A6928" w:rsidP="00287505">
      <w:pPr>
        <w:ind w:firstLine="720"/>
        <w:textAlignment w:val="baseline"/>
        <w:rPr>
          <w:szCs w:val="26"/>
        </w:rPr>
      </w:pPr>
      <w:r w:rsidRPr="006A6928">
        <w:rPr>
          <w:szCs w:val="26"/>
        </w:rPr>
        <w:t xml:space="preserve">We agree with the general proposition described in </w:t>
      </w:r>
      <w:r w:rsidRPr="006A6928">
        <w:rPr>
          <w:i/>
          <w:iCs/>
          <w:szCs w:val="26"/>
        </w:rPr>
        <w:t>Zoom</w:t>
      </w:r>
      <w:r w:rsidRPr="006A6928">
        <w:rPr>
          <w:szCs w:val="26"/>
        </w:rPr>
        <w:t xml:space="preserve"> that </w:t>
      </w:r>
      <w:r w:rsidRPr="006A6928">
        <w:rPr>
          <w:rFonts w:eastAsia="Times New Roman"/>
          <w:szCs w:val="26"/>
        </w:rPr>
        <w:t xml:space="preserve">section 230 immunity </w:t>
      </w:r>
      <w:r w:rsidRPr="006A6928" w:rsidR="00B727DC">
        <w:rPr>
          <w:rFonts w:eastAsia="Times New Roman"/>
          <w:szCs w:val="26"/>
        </w:rPr>
        <w:t>may</w:t>
      </w:r>
      <w:r w:rsidRPr="006A6928">
        <w:rPr>
          <w:rFonts w:eastAsia="Times New Roman"/>
          <w:szCs w:val="26"/>
        </w:rPr>
        <w:t xml:space="preserve"> not apply when a plaintiff alleges harm resulting solely from a security failure or statutory violation, </w:t>
      </w:r>
      <w:r w:rsidRPr="006A6928">
        <w:rPr>
          <w:rFonts w:eastAsia="Times New Roman"/>
          <w:i/>
          <w:iCs/>
          <w:szCs w:val="26"/>
        </w:rPr>
        <w:t>independent of</w:t>
      </w:r>
      <w:r w:rsidRPr="006A6928">
        <w:rPr>
          <w:rFonts w:eastAsia="Times New Roman"/>
          <w:szCs w:val="26"/>
        </w:rPr>
        <w:t xml:space="preserve"> any harmful third-party content resulting from the violation.  (</w:t>
      </w:r>
      <w:r w:rsidRPr="006A6928" w:rsidR="007A164E">
        <w:rPr>
          <w:rFonts w:eastAsia="Times New Roman"/>
          <w:i/>
          <w:iCs/>
          <w:szCs w:val="26"/>
        </w:rPr>
        <w:t xml:space="preserve">In re </w:t>
      </w:r>
      <w:r w:rsidRPr="006A6928">
        <w:rPr>
          <w:rFonts w:eastAsia="Times New Roman"/>
          <w:i/>
          <w:iCs/>
          <w:szCs w:val="26"/>
        </w:rPr>
        <w:t>Zoom, supra,</w:t>
      </w:r>
      <w:r w:rsidRPr="006A6928">
        <w:rPr>
          <w:rFonts w:eastAsia="Times New Roman"/>
          <w:szCs w:val="26"/>
        </w:rPr>
        <w:t xml:space="preserve"> 525 F.Supp.3d at p. 1032.)  However, that is not what plaintiffs alleged here.  As we have explained, the negligence cause of action is predicated on YouTube allowing </w:t>
      </w:r>
      <w:r w:rsidRPr="00915CD1">
        <w:rPr>
          <w:rFonts w:eastAsia="Times New Roman"/>
          <w:i/>
          <w:iCs/>
          <w:szCs w:val="26"/>
        </w:rPr>
        <w:t>the scam videos</w:t>
      </w:r>
      <w:r w:rsidRPr="006A6928">
        <w:rPr>
          <w:rFonts w:eastAsia="Times New Roman"/>
          <w:szCs w:val="26"/>
        </w:rPr>
        <w:t xml:space="preserve"> to be shown on the hijacked channels.  </w:t>
      </w:r>
    </w:p>
    <w:p w:rsidR="00287505" w:rsidRPr="006A6928" w:rsidP="00212FD3">
      <w:pPr>
        <w:ind w:firstLine="720"/>
        <w:textAlignment w:val="baseline"/>
        <w:rPr>
          <w:szCs w:val="26"/>
        </w:rPr>
      </w:pPr>
      <w:r w:rsidRPr="006A6928">
        <w:rPr>
          <w:rFonts w:eastAsia="Times New Roman"/>
          <w:szCs w:val="26"/>
        </w:rPr>
        <w:t>Plaintiffs argue that “[w]</w:t>
      </w:r>
      <w:r w:rsidRPr="006A6928">
        <w:rPr>
          <w:szCs w:val="26"/>
        </w:rPr>
        <w:t xml:space="preserve">hile the content of the scam videos were [sic] themselves also undoubtedly harmful to Plaintiffs, that is separate and distinct from the harm caused by Defendants in failing to remedy known security flaws that Defendants knew criminals </w:t>
      </w:r>
      <w:r w:rsidRPr="006A6928">
        <w:rPr>
          <w:rFonts w:ascii="TimesNewRomanPSMT" w:hAnsi="TimesNewRomanPSMT" w:cs="TimesNewRomanPSMT"/>
          <w:szCs w:val="26"/>
        </w:rPr>
        <w:t xml:space="preserve">were actively exploiting to harm YouTube’s </w:t>
      </w:r>
      <w:r w:rsidRPr="006A6928">
        <w:rPr>
          <w:szCs w:val="26"/>
        </w:rPr>
        <w:t>users.”  In other words, plaintiffs seek to characterize their claim as alleging both that (1) the security failure itself caused harm, and (2) the resulting bitcoin scam caused further independent harm.</w:t>
      </w:r>
    </w:p>
    <w:p w:rsidR="00FE44CA" w:rsidRPr="006A6928" w:rsidP="00FE44CA">
      <w:pPr>
        <w:ind w:firstLine="720"/>
        <w:textAlignment w:val="baseline"/>
        <w:rPr>
          <w:szCs w:val="26"/>
        </w:rPr>
      </w:pPr>
      <w:r w:rsidRPr="006A6928">
        <w:rPr>
          <w:szCs w:val="26"/>
        </w:rPr>
        <w:t xml:space="preserve">The allegations in the SAC do not support that characterization, though.  Plaintiffs have not alleged that the mere hijacking of </w:t>
      </w:r>
      <w:r w:rsidRPr="006A6928" w:rsidR="00595D1E">
        <w:rPr>
          <w:szCs w:val="26"/>
        </w:rPr>
        <w:t xml:space="preserve">Wozniak’s and </w:t>
      </w:r>
      <w:r w:rsidRPr="006A6928">
        <w:rPr>
          <w:szCs w:val="26"/>
        </w:rPr>
        <w:t xml:space="preserve">other users’ channels, without more, caused them harm.  Nor have they alleged that defendants owed them a duty to prevent the hijacking of </w:t>
      </w:r>
      <w:r w:rsidRPr="006A6928" w:rsidR="00595D1E">
        <w:rPr>
          <w:szCs w:val="26"/>
        </w:rPr>
        <w:t xml:space="preserve">Wozniak’s or </w:t>
      </w:r>
      <w:r w:rsidRPr="006A6928">
        <w:rPr>
          <w:szCs w:val="26"/>
        </w:rPr>
        <w:t xml:space="preserve">other users’ channels, regardless of whether any harmful content follows.  </w:t>
      </w:r>
    </w:p>
    <w:p w:rsidR="00201E64" w:rsidRPr="006A6928" w:rsidP="00D52C80">
      <w:pPr>
        <w:ind w:firstLine="720"/>
        <w:textAlignment w:val="baseline"/>
        <w:rPr>
          <w:szCs w:val="26"/>
        </w:rPr>
      </w:pPr>
      <w:r w:rsidRPr="006A6928">
        <w:rPr>
          <w:rFonts w:eastAsia="Times New Roman"/>
          <w:szCs w:val="26"/>
        </w:rPr>
        <w:t>The negligence cause of action does include an allegation that defendants owed plaintiffs a duty to take reasonable steps “</w:t>
      </w:r>
      <w:r w:rsidRPr="006A6928">
        <w:rPr>
          <w:szCs w:val="26"/>
        </w:rPr>
        <w:t>to design, maintain, implement, monitor, test, and comply with reliable security systems, protocols, and practices to ensure that its website, including YOUTUBE channels, were adequately secured from unauthorized access.”  Yet, even liberally construing the SAC, we do not read that as an allegation that defendants owed plaintiffs such a duty independent of any resulting harmful content.</w:t>
      </w:r>
      <w:r w:rsidRPr="006A6928" w:rsidR="00F6694E">
        <w:rPr>
          <w:szCs w:val="26"/>
        </w:rPr>
        <w:t xml:space="preserve">  </w:t>
      </w:r>
      <w:r w:rsidRPr="006A6928" w:rsidR="00D52C80">
        <w:rPr>
          <w:szCs w:val="26"/>
        </w:rPr>
        <w:t xml:space="preserve">At bottom, the negligence cause of action and the SAC as a whole demonstrate that plaintiffs’ </w:t>
      </w:r>
      <w:r w:rsidRPr="006A6928" w:rsidR="003201CC">
        <w:rPr>
          <w:szCs w:val="26"/>
        </w:rPr>
        <w:t xml:space="preserve">security-based </w:t>
      </w:r>
      <w:r w:rsidRPr="006A6928" w:rsidR="00D52C80">
        <w:rPr>
          <w:szCs w:val="26"/>
        </w:rPr>
        <w:t xml:space="preserve">claim is predicated on the </w:t>
      </w:r>
      <w:r w:rsidR="008D4318">
        <w:rPr>
          <w:szCs w:val="26"/>
        </w:rPr>
        <w:t xml:space="preserve">harmful content of the </w:t>
      </w:r>
      <w:r w:rsidRPr="006A6928" w:rsidR="00D52C80">
        <w:rPr>
          <w:szCs w:val="26"/>
        </w:rPr>
        <w:t xml:space="preserve">scam videos, without which there would </w:t>
      </w:r>
      <w:r w:rsidRPr="006A6928" w:rsidR="003201CC">
        <w:rPr>
          <w:szCs w:val="26"/>
        </w:rPr>
        <w:t xml:space="preserve">likely </w:t>
      </w:r>
      <w:r w:rsidRPr="006A6928" w:rsidR="00D52C80">
        <w:rPr>
          <w:szCs w:val="26"/>
        </w:rPr>
        <w:t>be no lawsuit.</w:t>
      </w:r>
      <w:r w:rsidRPr="006A6928">
        <w:rPr>
          <w:szCs w:val="26"/>
        </w:rPr>
        <w:t xml:space="preserve">  (See, e.g., </w:t>
      </w:r>
      <w:r w:rsidRPr="006A6928">
        <w:rPr>
          <w:i/>
          <w:iCs/>
          <w:szCs w:val="26"/>
        </w:rPr>
        <w:t>Murphy, supra</w:t>
      </w:r>
      <w:r w:rsidRPr="006A6928">
        <w:rPr>
          <w:szCs w:val="26"/>
        </w:rPr>
        <w:t>, 60 Cal.App.5th at p. 30</w:t>
      </w:r>
      <w:r w:rsidR="00426139">
        <w:rPr>
          <w:szCs w:val="26"/>
        </w:rPr>
        <w:t>, fn. 6</w:t>
      </w:r>
      <w:r w:rsidRPr="006A6928">
        <w:rPr>
          <w:szCs w:val="26"/>
        </w:rPr>
        <w:t xml:space="preserve"> [</w:t>
      </w:r>
      <w:r w:rsidRPr="006A6928">
        <w:rPr>
          <w:rFonts w:eastAsia="Times New Roman"/>
          <w:szCs w:val="26"/>
        </w:rPr>
        <w:t xml:space="preserve">gravamen of each cause of action </w:t>
      </w:r>
      <w:r w:rsidRPr="006A6928" w:rsidR="002A6BF8">
        <w:rPr>
          <w:rFonts w:eastAsia="Times New Roman"/>
          <w:szCs w:val="26"/>
        </w:rPr>
        <w:t>“</w:t>
      </w:r>
      <w:r w:rsidRPr="006A6928">
        <w:rPr>
          <w:rFonts w:eastAsia="Times New Roman"/>
          <w:szCs w:val="26"/>
        </w:rPr>
        <w:t>concern</w:t>
      </w:r>
      <w:r w:rsidR="00426139">
        <w:rPr>
          <w:rFonts w:eastAsia="Times New Roman"/>
          <w:szCs w:val="26"/>
        </w:rPr>
        <w:t>[</w:t>
      </w:r>
      <w:r w:rsidRPr="006A6928">
        <w:rPr>
          <w:rFonts w:eastAsia="Times New Roman"/>
          <w:szCs w:val="26"/>
        </w:rPr>
        <w:t>ed</w:t>
      </w:r>
      <w:r w:rsidR="001C2E16">
        <w:rPr>
          <w:rFonts w:eastAsia="Times New Roman"/>
          <w:szCs w:val="26"/>
        </w:rPr>
        <w:t>]</w:t>
      </w:r>
      <w:r w:rsidRPr="006A6928">
        <w:rPr>
          <w:rFonts w:eastAsia="Times New Roman"/>
          <w:szCs w:val="26"/>
        </w:rPr>
        <w:t xml:space="preserve"> Twitter’s editorial decisions not to publish content—as reflected by the fact that </w:t>
      </w:r>
      <w:r w:rsidRPr="006A6928" w:rsidR="002A6BF8">
        <w:rPr>
          <w:rFonts w:eastAsia="Times New Roman"/>
          <w:szCs w:val="26"/>
        </w:rPr>
        <w:t>[plaintiff]</w:t>
      </w:r>
      <w:r w:rsidRPr="006A6928">
        <w:rPr>
          <w:rFonts w:eastAsia="Times New Roman"/>
          <w:szCs w:val="26"/>
        </w:rPr>
        <w:t xml:space="preserve"> alleges no specific injury from the alleged notice and retroactivity violations but complains instead of the harm caused by Twitter</w:t>
      </w:r>
      <w:r w:rsidRPr="006A6928" w:rsidR="002A6BF8">
        <w:rPr>
          <w:rFonts w:eastAsia="Times New Roman"/>
          <w:szCs w:val="26"/>
        </w:rPr>
        <w:t>’</w:t>
      </w:r>
      <w:r w:rsidRPr="006A6928">
        <w:rPr>
          <w:rFonts w:eastAsia="Times New Roman"/>
          <w:szCs w:val="26"/>
        </w:rPr>
        <w:t>s ban on her and others’ free speech rights</w:t>
      </w:r>
      <w:r w:rsidRPr="006A6928" w:rsidR="002A6BF8">
        <w:rPr>
          <w:rFonts w:eastAsia="Times New Roman"/>
          <w:szCs w:val="26"/>
        </w:rPr>
        <w:t>”].)</w:t>
      </w:r>
    </w:p>
    <w:p w:rsidR="00E74675" w:rsidRPr="006A6928" w:rsidP="00B727DC">
      <w:pPr>
        <w:ind w:firstLine="720"/>
        <w:textAlignment w:val="baseline"/>
        <w:rPr>
          <w:rFonts w:eastAsia="Times New Roman"/>
          <w:b/>
          <w:bCs/>
          <w:szCs w:val="26"/>
        </w:rPr>
      </w:pPr>
      <w:r w:rsidRPr="006A6928">
        <w:rPr>
          <w:szCs w:val="26"/>
        </w:rPr>
        <w:t xml:space="preserve">Lastly, we recognize that the individual </w:t>
      </w:r>
      <w:r w:rsidRPr="006A6928">
        <w:rPr>
          <w:rFonts w:eastAsia="Times New Roman"/>
          <w:szCs w:val="26"/>
        </w:rPr>
        <w:t xml:space="preserve">plaintiffs in this action do not make identical allegations.  </w:t>
      </w:r>
      <w:r w:rsidRPr="006A6928" w:rsidR="008A0485">
        <w:rPr>
          <w:rFonts w:eastAsia="Times New Roman"/>
          <w:szCs w:val="26"/>
        </w:rPr>
        <w:t>For instance</w:t>
      </w:r>
      <w:r w:rsidRPr="006A6928">
        <w:rPr>
          <w:rFonts w:eastAsia="Times New Roman"/>
          <w:szCs w:val="26"/>
        </w:rPr>
        <w:t xml:space="preserve">, only the bitcoin plaintiffs allege they were scammed into transferring their cryptocurrency, and only Wozniak alleges that his YouTube channel was hijacked, thereby causing reputational damage.  </w:t>
      </w:r>
      <w:r w:rsidRPr="006A6928" w:rsidR="008A0485">
        <w:rPr>
          <w:rFonts w:eastAsia="Times New Roman"/>
          <w:szCs w:val="26"/>
        </w:rPr>
        <w:t xml:space="preserve">However, </w:t>
      </w:r>
      <w:r w:rsidRPr="006A6928" w:rsidR="00A71D54">
        <w:rPr>
          <w:rFonts w:eastAsia="Times New Roman"/>
          <w:szCs w:val="26"/>
        </w:rPr>
        <w:t xml:space="preserve">the allegations in the negligence cause of action do not distinguish between Wozniak and the bitcoin plaintiffs.  </w:t>
      </w:r>
      <w:r w:rsidRPr="006A6928" w:rsidR="00595D1E">
        <w:rPr>
          <w:rFonts w:eastAsia="Times New Roman"/>
          <w:szCs w:val="26"/>
        </w:rPr>
        <w:t xml:space="preserve">Nor have plaintiffs argued in their briefs that </w:t>
      </w:r>
      <w:r w:rsidRPr="006A6928" w:rsidR="00300E72">
        <w:rPr>
          <w:rFonts w:eastAsia="Times New Roman"/>
          <w:szCs w:val="26"/>
        </w:rPr>
        <w:t>any individual</w:t>
      </w:r>
      <w:r w:rsidRPr="006A6928" w:rsidR="00595D1E">
        <w:rPr>
          <w:rFonts w:eastAsia="Times New Roman"/>
          <w:szCs w:val="26"/>
        </w:rPr>
        <w:t xml:space="preserve"> plaintiffs made different allegations in support of their negligent security claim. </w:t>
      </w:r>
      <w:r w:rsidRPr="006A6928" w:rsidR="00193FF9">
        <w:rPr>
          <w:b/>
          <w:bCs/>
          <w:szCs w:val="26"/>
        </w:rPr>
        <w:t xml:space="preserve">  </w:t>
      </w:r>
    </w:p>
    <w:p w:rsidR="00094C41" w:rsidRPr="006A6928" w:rsidP="00ED63C8">
      <w:pPr>
        <w:pStyle w:val="ListParagraph"/>
        <w:keepNext/>
        <w:numPr>
          <w:ilvl w:val="1"/>
          <w:numId w:val="11"/>
        </w:numPr>
        <w:ind w:left="2160"/>
        <w:textAlignment w:val="baseline"/>
        <w:rPr>
          <w:rFonts w:eastAsia="Times New Roman"/>
          <w:b/>
          <w:bCs/>
          <w:i/>
          <w:iCs/>
          <w:szCs w:val="26"/>
        </w:rPr>
      </w:pPr>
      <w:r w:rsidRPr="006A6928">
        <w:rPr>
          <w:rFonts w:eastAsia="Times New Roman"/>
          <w:b/>
          <w:bCs/>
          <w:i/>
          <w:iCs/>
          <w:szCs w:val="26"/>
        </w:rPr>
        <w:t>Negligent design claim</w:t>
      </w:r>
    </w:p>
    <w:p w:rsidR="00F84D57" w:rsidRPr="006A6928" w:rsidP="00F84D57">
      <w:pPr>
        <w:ind w:firstLine="720"/>
        <w:textAlignment w:val="baseline"/>
        <w:rPr>
          <w:rFonts w:eastAsia="Times New Roman"/>
          <w:szCs w:val="26"/>
        </w:rPr>
      </w:pPr>
      <w:r w:rsidRPr="006A6928">
        <w:rPr>
          <w:rFonts w:eastAsia="Times New Roman"/>
          <w:szCs w:val="26"/>
        </w:rPr>
        <w:t>Plaintiffs</w:t>
      </w:r>
      <w:r w:rsidRPr="006A6928" w:rsidR="00D22DBA">
        <w:rPr>
          <w:rFonts w:eastAsia="Times New Roman"/>
          <w:szCs w:val="26"/>
        </w:rPr>
        <w:t xml:space="preserve">’ characterization of </w:t>
      </w:r>
      <w:r w:rsidRPr="006A6928" w:rsidR="00FE4091">
        <w:rPr>
          <w:rFonts w:eastAsia="Times New Roman"/>
          <w:szCs w:val="26"/>
        </w:rPr>
        <w:t>their</w:t>
      </w:r>
      <w:r w:rsidRPr="006A6928" w:rsidR="00D22DBA">
        <w:rPr>
          <w:rFonts w:eastAsia="Times New Roman"/>
          <w:szCs w:val="26"/>
        </w:rPr>
        <w:t xml:space="preserve"> negligent design claim is similar to </w:t>
      </w:r>
      <w:r w:rsidRPr="006A6928" w:rsidR="005F0F1E">
        <w:rPr>
          <w:rFonts w:eastAsia="Times New Roman"/>
          <w:szCs w:val="26"/>
        </w:rPr>
        <w:t xml:space="preserve">that of </w:t>
      </w:r>
      <w:r w:rsidRPr="006A6928" w:rsidR="00FE4091">
        <w:rPr>
          <w:rFonts w:eastAsia="Times New Roman"/>
          <w:szCs w:val="26"/>
        </w:rPr>
        <w:t>their</w:t>
      </w:r>
      <w:r w:rsidRPr="006A6928" w:rsidR="00D22DBA">
        <w:rPr>
          <w:rFonts w:eastAsia="Times New Roman"/>
          <w:szCs w:val="26"/>
        </w:rPr>
        <w:t xml:space="preserve"> negligent security claim</w:t>
      </w:r>
      <w:r w:rsidRPr="006A6928" w:rsidR="005F0F1E">
        <w:rPr>
          <w:rFonts w:eastAsia="Times New Roman"/>
          <w:szCs w:val="26"/>
        </w:rPr>
        <w:t xml:space="preserve">.  </w:t>
      </w:r>
      <w:r w:rsidRPr="006A6928" w:rsidR="005D2031">
        <w:rPr>
          <w:szCs w:val="26"/>
        </w:rPr>
        <w:t>They argue that the duty defendants violated springs from their distinct capacity as product designers</w:t>
      </w:r>
      <w:r w:rsidRPr="006A6928" w:rsidR="0090497B">
        <w:rPr>
          <w:szCs w:val="26"/>
        </w:rPr>
        <w:t xml:space="preserve"> rather than as publisher</w:t>
      </w:r>
      <w:r w:rsidRPr="006A6928">
        <w:rPr>
          <w:szCs w:val="26"/>
        </w:rPr>
        <w:t>s</w:t>
      </w:r>
      <w:r w:rsidRPr="006A6928" w:rsidR="0090497B">
        <w:rPr>
          <w:szCs w:val="26"/>
        </w:rPr>
        <w:t xml:space="preserve"> or speaker</w:t>
      </w:r>
      <w:r w:rsidRPr="006A6928">
        <w:rPr>
          <w:szCs w:val="26"/>
        </w:rPr>
        <w:t>s</w:t>
      </w:r>
      <w:r w:rsidRPr="006A6928" w:rsidR="005D2031">
        <w:rPr>
          <w:szCs w:val="26"/>
        </w:rPr>
        <w:t xml:space="preserve">, and that plaintiffs allege design flaws that do not derive from the content of third-party videos or posts.  </w:t>
      </w:r>
      <w:r w:rsidRPr="006A6928">
        <w:rPr>
          <w:szCs w:val="26"/>
        </w:rPr>
        <w:t>For the same reasons set forth above regarding the negligent-security claim, we conclude this claim seek</w:t>
      </w:r>
      <w:r w:rsidRPr="006A6928" w:rsidR="00300E72">
        <w:rPr>
          <w:szCs w:val="26"/>
        </w:rPr>
        <w:t>s</w:t>
      </w:r>
      <w:r w:rsidRPr="006A6928">
        <w:rPr>
          <w:szCs w:val="26"/>
        </w:rPr>
        <w:t xml:space="preserve"> to treat defendants as a publisher and speaker of information provided by another information content provider.  </w:t>
      </w:r>
      <w:r w:rsidRPr="006A6928">
        <w:rPr>
          <w:rFonts w:eastAsia="Times New Roman"/>
          <w:szCs w:val="26"/>
        </w:rPr>
        <w:t>(</w:t>
      </w:r>
      <w:r w:rsidRPr="006A6928">
        <w:rPr>
          <w:rFonts w:eastAsia="Times New Roman"/>
          <w:i/>
          <w:iCs/>
          <w:szCs w:val="26"/>
        </w:rPr>
        <w:t>Murphy, supra,</w:t>
      </w:r>
      <w:r w:rsidRPr="006A6928">
        <w:rPr>
          <w:rFonts w:eastAsia="Times New Roman"/>
          <w:szCs w:val="26"/>
        </w:rPr>
        <w:t xml:space="preserve"> 60 Cal.App.5th at p. 24.)  </w:t>
      </w:r>
    </w:p>
    <w:p w:rsidR="00C4486E" w:rsidRPr="006A6928" w:rsidP="00C4486E">
      <w:pPr>
        <w:ind w:firstLine="720"/>
        <w:textAlignment w:val="baseline"/>
        <w:rPr>
          <w:szCs w:val="26"/>
        </w:rPr>
      </w:pPr>
      <w:r w:rsidRPr="006A6928">
        <w:rPr>
          <w:rFonts w:eastAsia="Times New Roman"/>
          <w:szCs w:val="26"/>
        </w:rPr>
        <w:t>In support of their arguments, plaintiffs cite allegations in their negligence and negligent design causes of action.  The negligent design claim makes similar allegations as the negligence claim.  For instance, it alleges that</w:t>
      </w:r>
      <w:r w:rsidRPr="006A6928" w:rsidR="005D2031">
        <w:rPr>
          <w:szCs w:val="26"/>
        </w:rPr>
        <w:t xml:space="preserve"> </w:t>
      </w:r>
      <w:r w:rsidRPr="006A6928" w:rsidR="00D22DBA">
        <w:rPr>
          <w:rFonts w:eastAsia="Times New Roman"/>
          <w:szCs w:val="26"/>
        </w:rPr>
        <w:t>Y</w:t>
      </w:r>
      <w:r w:rsidRPr="006A6928" w:rsidR="00C11D89">
        <w:rPr>
          <w:szCs w:val="26"/>
        </w:rPr>
        <w:t xml:space="preserve">ouTube negligently designed </w:t>
      </w:r>
      <w:r w:rsidRPr="006A6928">
        <w:rPr>
          <w:szCs w:val="26"/>
        </w:rPr>
        <w:t>its</w:t>
      </w:r>
      <w:r w:rsidRPr="006A6928" w:rsidR="00C11D89">
        <w:rPr>
          <w:szCs w:val="26"/>
        </w:rPr>
        <w:t xml:space="preserve"> security protocols</w:t>
      </w:r>
      <w:r w:rsidRPr="006A6928" w:rsidR="005D2031">
        <w:rPr>
          <w:szCs w:val="26"/>
        </w:rPr>
        <w:t xml:space="preserve"> and</w:t>
      </w:r>
      <w:r w:rsidRPr="006A6928" w:rsidR="00C11D89">
        <w:rPr>
          <w:szCs w:val="26"/>
        </w:rPr>
        <w:t xml:space="preserve"> video metrics</w:t>
      </w:r>
      <w:r w:rsidRPr="006A6928" w:rsidR="005D2031">
        <w:rPr>
          <w:szCs w:val="26"/>
        </w:rPr>
        <w:t xml:space="preserve"> such as </w:t>
      </w:r>
      <w:r w:rsidRPr="006A6928" w:rsidR="00C11D89">
        <w:rPr>
          <w:szCs w:val="26"/>
        </w:rPr>
        <w:t xml:space="preserve">likes, dislikes, views, </w:t>
      </w:r>
      <w:r w:rsidRPr="006A6928" w:rsidR="005D2031">
        <w:rPr>
          <w:szCs w:val="26"/>
        </w:rPr>
        <w:t>“</w:t>
      </w:r>
      <w:r w:rsidRPr="006A6928" w:rsidR="00C11D89">
        <w:rPr>
          <w:szCs w:val="26"/>
        </w:rPr>
        <w:t>currently watching</w:t>
      </w:r>
      <w:r w:rsidRPr="006A6928" w:rsidR="005D2031">
        <w:rPr>
          <w:szCs w:val="26"/>
        </w:rPr>
        <w:t>”</w:t>
      </w:r>
      <w:r w:rsidRPr="006A6928" w:rsidR="00C11D89">
        <w:rPr>
          <w:szCs w:val="26"/>
        </w:rPr>
        <w:t xml:space="preserve"> count, livestream indicator, </w:t>
      </w:r>
      <w:r w:rsidRPr="006A6928" w:rsidR="005D2031">
        <w:rPr>
          <w:szCs w:val="26"/>
        </w:rPr>
        <w:t xml:space="preserve">and </w:t>
      </w:r>
      <w:r w:rsidRPr="006A6928" w:rsidR="00C11D89">
        <w:rPr>
          <w:szCs w:val="26"/>
        </w:rPr>
        <w:t>verification badges</w:t>
      </w:r>
      <w:r w:rsidRPr="006A6928" w:rsidR="005D2031">
        <w:rPr>
          <w:szCs w:val="26"/>
        </w:rPr>
        <w:t xml:space="preserve">.  As a result, </w:t>
      </w:r>
      <w:r w:rsidRPr="006A6928">
        <w:rPr>
          <w:szCs w:val="26"/>
        </w:rPr>
        <w:t>YouTube’s</w:t>
      </w:r>
      <w:r w:rsidRPr="006A6928" w:rsidR="005D2031">
        <w:rPr>
          <w:szCs w:val="26"/>
        </w:rPr>
        <w:t xml:space="preserve"> platform </w:t>
      </w:r>
      <w:r w:rsidRPr="006A6928" w:rsidR="0090497B">
        <w:rPr>
          <w:szCs w:val="26"/>
        </w:rPr>
        <w:t>is</w:t>
      </w:r>
      <w:r w:rsidRPr="006A6928" w:rsidR="00C11D89">
        <w:rPr>
          <w:szCs w:val="26"/>
        </w:rPr>
        <w:t xml:space="preserve"> </w:t>
      </w:r>
      <w:r w:rsidRPr="006A6928" w:rsidR="005D2031">
        <w:rPr>
          <w:szCs w:val="26"/>
        </w:rPr>
        <w:t>“</w:t>
      </w:r>
      <w:r w:rsidRPr="006A6928" w:rsidR="00C11D89">
        <w:rPr>
          <w:szCs w:val="26"/>
        </w:rPr>
        <w:t>easily exploitable</w:t>
      </w:r>
      <w:r w:rsidRPr="006A6928" w:rsidR="00D22DBA">
        <w:rPr>
          <w:szCs w:val="26"/>
        </w:rPr>
        <w:t xml:space="preserve"> </w:t>
      </w:r>
      <w:r w:rsidRPr="006A6928" w:rsidR="00C11D89">
        <w:rPr>
          <w:szCs w:val="26"/>
        </w:rPr>
        <w:t>by bad actors</w:t>
      </w:r>
      <w:r w:rsidRPr="006A6928" w:rsidR="00464CD1">
        <w:rPr>
          <w:szCs w:val="26"/>
        </w:rPr>
        <w:t xml:space="preserve">” and “allow[s] </w:t>
      </w:r>
      <w:r w:rsidRPr="006A6928" w:rsidR="00C11D89">
        <w:rPr>
          <w:szCs w:val="26"/>
        </w:rPr>
        <w:t>scammers free reign to modify hijacked channels to perpetrate</w:t>
      </w:r>
      <w:r w:rsidRPr="006A6928" w:rsidR="00D22DBA">
        <w:rPr>
          <w:szCs w:val="26"/>
        </w:rPr>
        <w:t xml:space="preserve"> </w:t>
      </w:r>
      <w:r w:rsidRPr="006A6928" w:rsidR="00C11D89">
        <w:rPr>
          <w:szCs w:val="26"/>
        </w:rPr>
        <w:t>the scam—all while assuring its users these issues do not exist.</w:t>
      </w:r>
      <w:r w:rsidRPr="006A6928" w:rsidR="00D22DBA">
        <w:rPr>
          <w:szCs w:val="26"/>
        </w:rPr>
        <w:t xml:space="preserve">”  </w:t>
      </w:r>
      <w:r w:rsidRPr="006A6928" w:rsidR="00300E72">
        <w:rPr>
          <w:szCs w:val="26"/>
        </w:rPr>
        <w:t>They further allege that</w:t>
      </w:r>
      <w:r w:rsidRPr="006A6928">
        <w:rPr>
          <w:szCs w:val="26"/>
        </w:rPr>
        <w:t xml:space="preserve"> those video and channel metrics “did not perform as safely as an ordinary consumer would have expected them to perform when used in an intended or reasonably foreseeable way, such as occurred when Plaintiffs used YOUTUBE to watch videos and were scammed out of cryptocurrency due in significant part to the false and misleading video metrics and other information displayed about the scam videos, and which were a significant factor and cause in Plaintiffs believing the scam videos were legitimate and in transferring their cryptocurrency to the scammers.”  </w:t>
      </w:r>
    </w:p>
    <w:p w:rsidR="006939D7" w:rsidRPr="006A6928" w:rsidP="00D70C1E">
      <w:pPr>
        <w:ind w:firstLine="720"/>
        <w:textAlignment w:val="baseline"/>
        <w:rPr>
          <w:rFonts w:eastAsia="Times New Roman"/>
          <w:szCs w:val="26"/>
        </w:rPr>
      </w:pPr>
      <w:r w:rsidRPr="006A6928">
        <w:rPr>
          <w:rFonts w:eastAsia="Times New Roman"/>
          <w:szCs w:val="26"/>
        </w:rPr>
        <w:t>Ultimately, this claim seeks to hold YouTube liable for allowing the scam videos to be shown on the hijacked channels</w:t>
      </w:r>
      <w:r w:rsidRPr="006A6928" w:rsidR="00300E72">
        <w:rPr>
          <w:rFonts w:eastAsia="Times New Roman"/>
          <w:szCs w:val="26"/>
        </w:rPr>
        <w:t xml:space="preserve"> and is predicated on that third-party content</w:t>
      </w:r>
      <w:r w:rsidRPr="006A6928">
        <w:rPr>
          <w:rFonts w:eastAsia="Times New Roman"/>
          <w:szCs w:val="26"/>
        </w:rPr>
        <w:t>.  YouTube’s actions</w:t>
      </w:r>
      <w:r w:rsidRPr="006A6928" w:rsidR="00C4486E">
        <w:rPr>
          <w:rFonts w:eastAsia="Times New Roman"/>
          <w:szCs w:val="26"/>
        </w:rPr>
        <w:t xml:space="preserve"> </w:t>
      </w:r>
      <w:r w:rsidRPr="006A6928">
        <w:rPr>
          <w:rFonts w:eastAsia="Times New Roman"/>
          <w:szCs w:val="26"/>
        </w:rPr>
        <w:t>amount to a publishing decision not to prevent or alter the videos—that is, “ ‘deciding whether to exclude material that third parties seek to post online.’ ”  (</w:t>
      </w:r>
      <w:r w:rsidRPr="006A6928">
        <w:rPr>
          <w:rFonts w:eastAsia="Times New Roman"/>
          <w:i/>
          <w:iCs/>
          <w:szCs w:val="26"/>
        </w:rPr>
        <w:t xml:space="preserve">Murphy, supra, </w:t>
      </w:r>
      <w:r w:rsidRPr="006A6928">
        <w:rPr>
          <w:rFonts w:eastAsia="Times New Roman"/>
          <w:szCs w:val="26"/>
        </w:rPr>
        <w:t xml:space="preserve">60 Cal.App.5th at p. 24, quoting </w:t>
      </w:r>
      <w:r w:rsidRPr="006A6928">
        <w:rPr>
          <w:rFonts w:eastAsia="Times New Roman"/>
          <w:i/>
          <w:iCs/>
          <w:szCs w:val="26"/>
        </w:rPr>
        <w:t>Roommates, supra</w:t>
      </w:r>
      <w:r w:rsidRPr="006A6928">
        <w:rPr>
          <w:rFonts w:eastAsia="Times New Roman"/>
          <w:szCs w:val="26"/>
        </w:rPr>
        <w:t xml:space="preserve">, 521 F.3d at pp. 1170-1171.)  </w:t>
      </w:r>
    </w:p>
    <w:p w:rsidR="00CE674D" w:rsidRPr="006A6928" w:rsidP="00CE674D">
      <w:pPr>
        <w:ind w:firstLine="720"/>
        <w:textAlignment w:val="baseline"/>
        <w:rPr>
          <w:szCs w:val="26"/>
        </w:rPr>
      </w:pPr>
      <w:r w:rsidRPr="006A6928">
        <w:rPr>
          <w:szCs w:val="26"/>
        </w:rPr>
        <w:t xml:space="preserve">Plaintiffs rely on </w:t>
      </w:r>
      <w:bookmarkStart w:id="9" w:name="_Hlk161214150"/>
      <w:r w:rsidRPr="006A6928">
        <w:rPr>
          <w:i/>
          <w:iCs/>
          <w:szCs w:val="26"/>
        </w:rPr>
        <w:t>Lemmon</w:t>
      </w:r>
      <w:bookmarkEnd w:id="9"/>
      <w:r w:rsidRPr="006A6928">
        <w:rPr>
          <w:i/>
          <w:iCs/>
          <w:szCs w:val="26"/>
        </w:rPr>
        <w:t xml:space="preserve"> v. Snap, Inc</w:t>
      </w:r>
      <w:r w:rsidRPr="006A6928" w:rsidR="00113FE0">
        <w:rPr>
          <w:i/>
          <w:iCs/>
          <w:szCs w:val="26"/>
        </w:rPr>
        <w:t>.</w:t>
      </w:r>
      <w:r w:rsidRPr="006A6928" w:rsidR="00113FE0">
        <w:rPr>
          <w:szCs w:val="26"/>
        </w:rPr>
        <w:t xml:space="preserve"> (9th Cir. 2021) </w:t>
      </w:r>
      <w:bookmarkStart w:id="10" w:name="_Hlk161214281"/>
      <w:r w:rsidRPr="006A6928" w:rsidR="00113FE0">
        <w:rPr>
          <w:szCs w:val="26"/>
        </w:rPr>
        <w:t>995 F.3d 1085</w:t>
      </w:r>
      <w:bookmarkEnd w:id="10"/>
      <w:r w:rsidR="001C2E16">
        <w:rPr>
          <w:szCs w:val="26"/>
        </w:rPr>
        <w:t xml:space="preserve"> (</w:t>
      </w:r>
      <w:r w:rsidRPr="001C2E16" w:rsidR="001C2E16">
        <w:rPr>
          <w:i/>
          <w:iCs/>
          <w:szCs w:val="26"/>
        </w:rPr>
        <w:t>Lemmon</w:t>
      </w:r>
      <w:r w:rsidR="001C2E16">
        <w:rPr>
          <w:szCs w:val="26"/>
        </w:rPr>
        <w:t>)</w:t>
      </w:r>
      <w:r w:rsidRPr="006A6928" w:rsidR="00113FE0">
        <w:rPr>
          <w:szCs w:val="26"/>
        </w:rPr>
        <w:t xml:space="preserve">.  In that case, </w:t>
      </w:r>
      <w:r w:rsidRPr="006A6928" w:rsidR="0057146A">
        <w:rPr>
          <w:szCs w:val="26"/>
        </w:rPr>
        <w:t>a 20-year</w:t>
      </w:r>
      <w:r w:rsidRPr="006A6928" w:rsidR="0053192D">
        <w:rPr>
          <w:szCs w:val="26"/>
        </w:rPr>
        <w:t>-</w:t>
      </w:r>
      <w:r w:rsidRPr="006A6928" w:rsidR="0057146A">
        <w:rPr>
          <w:szCs w:val="26"/>
        </w:rPr>
        <w:t>old man and two 17-year</w:t>
      </w:r>
      <w:r w:rsidRPr="006A6928" w:rsidR="0053192D">
        <w:rPr>
          <w:szCs w:val="26"/>
        </w:rPr>
        <w:t>-</w:t>
      </w:r>
      <w:r w:rsidRPr="006A6928" w:rsidR="0057146A">
        <w:rPr>
          <w:szCs w:val="26"/>
        </w:rPr>
        <w:t>old boys died after driving their car over 100 miles per hour and crashing into a tree.  (</w:t>
      </w:r>
      <w:r w:rsidRPr="006A6928" w:rsidR="0057146A">
        <w:rPr>
          <w:i/>
          <w:iCs/>
          <w:szCs w:val="26"/>
        </w:rPr>
        <w:t>Id</w:t>
      </w:r>
      <w:r w:rsidRPr="006A6928" w:rsidR="0057146A">
        <w:rPr>
          <w:szCs w:val="26"/>
        </w:rPr>
        <w:t xml:space="preserve">. at p. </w:t>
      </w:r>
      <w:r w:rsidRPr="006A6928">
        <w:rPr>
          <w:szCs w:val="26"/>
        </w:rPr>
        <w:t>10</w:t>
      </w:r>
      <w:r w:rsidRPr="006A6928" w:rsidR="00661CAC">
        <w:rPr>
          <w:szCs w:val="26"/>
        </w:rPr>
        <w:t>89</w:t>
      </w:r>
      <w:r w:rsidRPr="006A6928" w:rsidR="0057146A">
        <w:rPr>
          <w:szCs w:val="26"/>
        </w:rPr>
        <w:t xml:space="preserve">.)  </w:t>
      </w:r>
      <w:r w:rsidRPr="006A6928" w:rsidR="002B1E78">
        <w:rPr>
          <w:szCs w:val="26"/>
        </w:rPr>
        <w:t>Shortly before the crash, one of the boys ha</w:t>
      </w:r>
      <w:r w:rsidRPr="006A6928" w:rsidR="0053192D">
        <w:rPr>
          <w:szCs w:val="26"/>
        </w:rPr>
        <w:t>d</w:t>
      </w:r>
      <w:r w:rsidRPr="006A6928" w:rsidR="002B1E78">
        <w:rPr>
          <w:szCs w:val="26"/>
        </w:rPr>
        <w:t xml:space="preserve"> opened </w:t>
      </w:r>
      <w:r w:rsidRPr="006A6928" w:rsidR="0053192D">
        <w:rPr>
          <w:szCs w:val="26"/>
        </w:rPr>
        <w:t xml:space="preserve">the </w:t>
      </w:r>
      <w:r w:rsidRPr="006A6928" w:rsidR="002B1E78">
        <w:rPr>
          <w:szCs w:val="26"/>
        </w:rPr>
        <w:t>Snapcha</w:t>
      </w:r>
      <w:r w:rsidRPr="006A6928" w:rsidR="0053192D">
        <w:rPr>
          <w:szCs w:val="26"/>
        </w:rPr>
        <w:t>t</w:t>
      </w:r>
      <w:r w:rsidRPr="006A6928" w:rsidR="002B1E78">
        <w:rPr>
          <w:szCs w:val="26"/>
        </w:rPr>
        <w:t xml:space="preserve"> application</w:t>
      </w:r>
      <w:r w:rsidRPr="006A6928" w:rsidR="0053192D">
        <w:rPr>
          <w:szCs w:val="26"/>
        </w:rPr>
        <w:t xml:space="preserve"> on his smartphone to document how fast they were driving.  (</w:t>
      </w:r>
      <w:r w:rsidRPr="006A6928" w:rsidR="0053192D">
        <w:rPr>
          <w:i/>
          <w:iCs/>
          <w:szCs w:val="26"/>
        </w:rPr>
        <w:t>Ibid</w:t>
      </w:r>
      <w:r w:rsidRPr="006A6928" w:rsidR="0053192D">
        <w:rPr>
          <w:szCs w:val="26"/>
        </w:rPr>
        <w:t xml:space="preserve">.)  </w:t>
      </w:r>
      <w:r w:rsidRPr="006A6928" w:rsidR="002B1E78">
        <w:rPr>
          <w:szCs w:val="26"/>
        </w:rPr>
        <w:t xml:space="preserve">The boys’ parents </w:t>
      </w:r>
      <w:r w:rsidRPr="006A6928" w:rsidR="0053192D">
        <w:rPr>
          <w:szCs w:val="26"/>
        </w:rPr>
        <w:t xml:space="preserve">sued Snap, </w:t>
      </w:r>
      <w:r w:rsidRPr="006A6928" w:rsidR="004715DA">
        <w:rPr>
          <w:szCs w:val="26"/>
        </w:rPr>
        <w:t>the</w:t>
      </w:r>
      <w:r w:rsidR="008D4318">
        <w:rPr>
          <w:szCs w:val="26"/>
        </w:rPr>
        <w:t xml:space="preserve"> </w:t>
      </w:r>
      <w:r w:rsidRPr="006A6928" w:rsidR="0053192D">
        <w:rPr>
          <w:szCs w:val="26"/>
        </w:rPr>
        <w:t>social media provider</w:t>
      </w:r>
      <w:r w:rsidRPr="006A6928" w:rsidR="004715DA">
        <w:rPr>
          <w:szCs w:val="26"/>
        </w:rPr>
        <w:t xml:space="preserve"> that owns the Snapchat application</w:t>
      </w:r>
      <w:r w:rsidRPr="006A6928" w:rsidR="0053192D">
        <w:rPr>
          <w:szCs w:val="26"/>
        </w:rPr>
        <w:t>, alleging it encouraged their sons to drive at dangerous speed and thus caused their death through the negligent design of its application.  (</w:t>
      </w:r>
      <w:r w:rsidRPr="006A6928" w:rsidR="0053192D">
        <w:rPr>
          <w:i/>
          <w:iCs/>
          <w:szCs w:val="26"/>
        </w:rPr>
        <w:t xml:space="preserve">Id. </w:t>
      </w:r>
      <w:r w:rsidRPr="006A6928" w:rsidR="0053192D">
        <w:rPr>
          <w:szCs w:val="26"/>
        </w:rPr>
        <w:t>at p. 109</w:t>
      </w:r>
      <w:r w:rsidRPr="006A6928">
        <w:rPr>
          <w:szCs w:val="26"/>
        </w:rPr>
        <w:t>0-109</w:t>
      </w:r>
      <w:r w:rsidRPr="006A6928" w:rsidR="0053192D">
        <w:rPr>
          <w:szCs w:val="26"/>
        </w:rPr>
        <w:t>1.)</w:t>
      </w:r>
      <w:r w:rsidRPr="006A6928">
        <w:rPr>
          <w:szCs w:val="26"/>
        </w:rPr>
        <w:t xml:space="preserve">  Specifically, they alleged that the application uses a “speed filter”—which allows users to record and share their real-life speed—and a reward system with trophies and social recognitions</w:t>
      </w:r>
      <w:r w:rsidRPr="006A6928" w:rsidR="00661CAC">
        <w:rPr>
          <w:szCs w:val="26"/>
        </w:rPr>
        <w:t>, combining to create an incentive for users to reach 100 miles per hour and document it on the application.  (</w:t>
      </w:r>
      <w:r w:rsidRPr="006A6928" w:rsidR="00661CAC">
        <w:rPr>
          <w:i/>
          <w:iCs/>
          <w:szCs w:val="26"/>
        </w:rPr>
        <w:t>Id</w:t>
      </w:r>
      <w:r w:rsidRPr="006A6928" w:rsidR="00661CAC">
        <w:rPr>
          <w:szCs w:val="26"/>
        </w:rPr>
        <w:t>. at p. 1089.)</w:t>
      </w:r>
    </w:p>
    <w:p w:rsidR="008520D7" w:rsidRPr="006A6928" w:rsidP="0078764C">
      <w:pPr>
        <w:ind w:firstLine="720"/>
        <w:textAlignment w:val="baseline"/>
        <w:rPr>
          <w:rFonts w:eastAsia="Times New Roman"/>
          <w:szCs w:val="26"/>
        </w:rPr>
      </w:pPr>
      <w:r w:rsidRPr="006A6928">
        <w:rPr>
          <w:szCs w:val="26"/>
        </w:rPr>
        <w:t>The court held that the negligent design claim was not barred by section 230</w:t>
      </w:r>
      <w:r w:rsidRPr="006A6928" w:rsidR="00661CAC">
        <w:rPr>
          <w:szCs w:val="26"/>
        </w:rPr>
        <w:t>.  The parents’ claim rested on the premise that manufacturers have a duty to exercise due care in supplying products that do not present an unreasonable risk of injury or harm to the public.  (</w:t>
      </w:r>
      <w:r w:rsidRPr="006A6928" w:rsidR="001C2E16">
        <w:rPr>
          <w:i/>
          <w:iCs/>
          <w:szCs w:val="26"/>
        </w:rPr>
        <w:t>Lemmon</w:t>
      </w:r>
      <w:r w:rsidR="001C2E16">
        <w:rPr>
          <w:i/>
          <w:iCs/>
          <w:szCs w:val="26"/>
        </w:rPr>
        <w:t>, supra</w:t>
      </w:r>
      <w:r w:rsidRPr="008A0EA9" w:rsidR="001C2E16">
        <w:rPr>
          <w:szCs w:val="26"/>
        </w:rPr>
        <w:t>,</w:t>
      </w:r>
      <w:r w:rsidRPr="00646D28" w:rsidR="00646D28">
        <w:rPr>
          <w:szCs w:val="26"/>
        </w:rPr>
        <w:t xml:space="preserve"> 995 F.3d </w:t>
      </w:r>
      <w:r w:rsidRPr="006A6928" w:rsidR="00661CAC">
        <w:rPr>
          <w:szCs w:val="26"/>
        </w:rPr>
        <w:t>at p. 1091-1092.)  As the court explained, “[t]</w:t>
      </w:r>
      <w:r w:rsidRPr="006A6928" w:rsidR="00661CAC">
        <w:rPr>
          <w:rFonts w:eastAsia="Times New Roman"/>
          <w:szCs w:val="26"/>
        </w:rPr>
        <w:t xml:space="preserve">he duty underlying such a claim differs markedly from the duties of publishers as defined in the CDA. Manufacturers have a specific duty to refrain from designing a product that poses an unreasonable risk of injury or harm to consumers. </w:t>
      </w:r>
      <w:r w:rsidRPr="006A6928" w:rsidR="00661CAC">
        <w:rPr>
          <w:rFonts w:eastAsia="Times New Roman"/>
          <w:szCs w:val="26"/>
          <w:bdr w:val="none" w:sz="0" w:space="0" w:color="auto" w:frame="1"/>
        </w:rPr>
        <w:t>[Citation</w:t>
      </w:r>
      <w:r w:rsidRPr="006A6928" w:rsidR="00661CAC">
        <w:rPr>
          <w:rFonts w:eastAsia="Times New Roman"/>
          <w:szCs w:val="26"/>
        </w:rPr>
        <w:t>.] Meanwhile, entities acting solely as publishers—</w:t>
      </w:r>
      <w:r w:rsidRPr="006A6928" w:rsidR="00661CAC">
        <w:rPr>
          <w:rFonts w:eastAsia="Times New Roman"/>
          <w:i/>
          <w:iCs/>
          <w:szCs w:val="26"/>
          <w:bdr w:val="none" w:sz="0" w:space="0" w:color="auto" w:frame="1"/>
        </w:rPr>
        <w:t>i.e.</w:t>
      </w:r>
      <w:r w:rsidRPr="006A6928" w:rsidR="00661CAC">
        <w:rPr>
          <w:rFonts w:eastAsia="Times New Roman"/>
          <w:szCs w:val="26"/>
        </w:rPr>
        <w:t xml:space="preserve">, those that ‘review[ ] material submitted for publication, perhaps edit[ ] it for style or technical fluency, and then decide[ ] whether to publish it,’ </w:t>
      </w:r>
      <w:r w:rsidRPr="006A6928" w:rsidR="00661CAC">
        <w:rPr>
          <w:rFonts w:eastAsia="Times New Roman"/>
          <w:szCs w:val="26"/>
          <w:bdr w:val="none" w:sz="0" w:space="0" w:color="auto" w:frame="1"/>
        </w:rPr>
        <w:t>[citation]</w:t>
      </w:r>
      <w:r w:rsidRPr="006A6928" w:rsidR="00661CAC">
        <w:rPr>
          <w:rFonts w:eastAsia="Times New Roman"/>
          <w:szCs w:val="26"/>
        </w:rPr>
        <w:t>—generally have no similar duty.”  (</w:t>
      </w:r>
      <w:r w:rsidRPr="006A6928" w:rsidR="00661CAC">
        <w:rPr>
          <w:rFonts w:eastAsia="Times New Roman"/>
          <w:i/>
          <w:iCs/>
          <w:szCs w:val="26"/>
        </w:rPr>
        <w:t>Id</w:t>
      </w:r>
      <w:r w:rsidRPr="006A6928" w:rsidR="00661CAC">
        <w:rPr>
          <w:rFonts w:eastAsia="Times New Roman"/>
          <w:szCs w:val="26"/>
        </w:rPr>
        <w:t xml:space="preserve">. at p. 1092.)  </w:t>
      </w:r>
      <w:r w:rsidRPr="006A6928" w:rsidR="0078764C">
        <w:rPr>
          <w:rFonts w:eastAsia="Times New Roman"/>
          <w:szCs w:val="26"/>
        </w:rPr>
        <w:t xml:space="preserve">The duty </w:t>
      </w:r>
      <w:r w:rsidRPr="006A6928" w:rsidR="00300E72">
        <w:rPr>
          <w:rFonts w:eastAsia="Times New Roman"/>
          <w:szCs w:val="26"/>
        </w:rPr>
        <w:t xml:space="preserve">that </w:t>
      </w:r>
      <w:r w:rsidRPr="006A6928" w:rsidR="0078764C">
        <w:rPr>
          <w:rFonts w:eastAsia="Times New Roman"/>
          <w:szCs w:val="26"/>
        </w:rPr>
        <w:t xml:space="preserve">Snap allegedly violated “ ‘springs from’ its </w:t>
      </w:r>
      <w:r w:rsidRPr="006A6928">
        <w:rPr>
          <w:rFonts w:eastAsia="Times New Roman"/>
          <w:szCs w:val="26"/>
        </w:rPr>
        <w:t>distinct capacity as a product designer</w:t>
      </w:r>
      <w:r w:rsidRPr="006A6928" w:rsidR="0078764C">
        <w:rPr>
          <w:rFonts w:eastAsia="Times New Roman"/>
          <w:szCs w:val="26"/>
        </w:rPr>
        <w:t xml:space="preserve">,” as “evidenced </w:t>
      </w:r>
      <w:r w:rsidRPr="006A6928">
        <w:rPr>
          <w:rFonts w:eastAsia="Times New Roman"/>
          <w:szCs w:val="26"/>
        </w:rPr>
        <w:t xml:space="preserve">by the fact that Snap could have satisfied its </w:t>
      </w:r>
      <w:r w:rsidR="006A2D42">
        <w:rPr>
          <w:rFonts w:eastAsia="Times New Roman"/>
          <w:szCs w:val="26"/>
        </w:rPr>
        <w:t>‘</w:t>
      </w:r>
      <w:r w:rsidRPr="006A6928">
        <w:rPr>
          <w:rFonts w:eastAsia="Times New Roman"/>
          <w:szCs w:val="26"/>
        </w:rPr>
        <w:t>alleged obligation</w:t>
      </w:r>
      <w:r w:rsidR="006A2D42">
        <w:rPr>
          <w:rFonts w:eastAsia="Times New Roman"/>
          <w:szCs w:val="26"/>
        </w:rPr>
        <w:t>’…</w:t>
      </w:r>
      <w:r w:rsidRPr="006A6928" w:rsidR="0078764C">
        <w:rPr>
          <w:rFonts w:eastAsia="Times New Roman"/>
          <w:szCs w:val="26"/>
        </w:rPr>
        <w:t xml:space="preserve"> </w:t>
      </w:r>
      <w:r w:rsidRPr="006A6928">
        <w:rPr>
          <w:rFonts w:eastAsia="Times New Roman"/>
          <w:szCs w:val="26"/>
        </w:rPr>
        <w:t>without altering the content that Snapchat</w:t>
      </w:r>
      <w:r w:rsidRPr="006A6928" w:rsidR="0078764C">
        <w:rPr>
          <w:rFonts w:eastAsia="Times New Roman"/>
          <w:szCs w:val="26"/>
        </w:rPr>
        <w:t>’</w:t>
      </w:r>
      <w:r w:rsidRPr="006A6928">
        <w:rPr>
          <w:rFonts w:eastAsia="Times New Roman"/>
          <w:szCs w:val="26"/>
        </w:rPr>
        <w:t>s users generate.</w:t>
      </w:r>
      <w:r w:rsidRPr="006A6928" w:rsidR="0078764C">
        <w:rPr>
          <w:rFonts w:eastAsia="Times New Roman"/>
          <w:szCs w:val="26"/>
        </w:rPr>
        <w:t>”  (</w:t>
      </w:r>
      <w:r w:rsidRPr="006A6928" w:rsidR="0078764C">
        <w:rPr>
          <w:rFonts w:eastAsia="Times New Roman"/>
          <w:i/>
          <w:iCs/>
          <w:szCs w:val="26"/>
        </w:rPr>
        <w:t>Id</w:t>
      </w:r>
      <w:r w:rsidRPr="006A6928" w:rsidR="0078764C">
        <w:rPr>
          <w:rFonts w:eastAsia="Times New Roman"/>
          <w:szCs w:val="26"/>
        </w:rPr>
        <w:t xml:space="preserve">. at p. 1092, quoting </w:t>
      </w:r>
      <w:r w:rsidRPr="006A6928" w:rsidR="0078764C">
        <w:rPr>
          <w:rFonts w:eastAsia="Times New Roman"/>
          <w:i/>
          <w:iCs/>
          <w:szCs w:val="26"/>
        </w:rPr>
        <w:t>Barnes, supra</w:t>
      </w:r>
      <w:r w:rsidRPr="006A6928" w:rsidR="0078764C">
        <w:rPr>
          <w:rFonts w:eastAsia="Times New Roman"/>
          <w:szCs w:val="26"/>
        </w:rPr>
        <w:t>, 570 F.3d at p. 1107.)</w:t>
      </w:r>
    </w:p>
    <w:p w:rsidR="00094C41" w:rsidRPr="006A6928" w:rsidP="00864D71">
      <w:pPr>
        <w:ind w:firstLine="720"/>
        <w:textAlignment w:val="baseline"/>
        <w:rPr>
          <w:rFonts w:eastAsia="Times New Roman"/>
          <w:szCs w:val="26"/>
        </w:rPr>
      </w:pPr>
      <w:r w:rsidRPr="006A6928">
        <w:rPr>
          <w:rFonts w:eastAsia="Times New Roman"/>
          <w:szCs w:val="26"/>
        </w:rPr>
        <w:t>We find the case distinct for the same</w:t>
      </w:r>
      <w:r w:rsidRPr="006A6928" w:rsidR="00D32C69">
        <w:rPr>
          <w:rFonts w:eastAsia="Times New Roman"/>
          <w:szCs w:val="26"/>
        </w:rPr>
        <w:t xml:space="preserve"> general</w:t>
      </w:r>
      <w:r w:rsidRPr="006A6928">
        <w:rPr>
          <w:rFonts w:eastAsia="Times New Roman"/>
          <w:szCs w:val="26"/>
        </w:rPr>
        <w:t xml:space="preserve"> reasons set forth above with respect to </w:t>
      </w:r>
      <w:r w:rsidRPr="006A6928">
        <w:rPr>
          <w:rFonts w:eastAsia="Times New Roman"/>
          <w:i/>
          <w:iCs/>
          <w:szCs w:val="26"/>
        </w:rPr>
        <w:t>In re Zoom</w:t>
      </w:r>
      <w:r w:rsidRPr="006A6928">
        <w:rPr>
          <w:rFonts w:eastAsia="Times New Roman"/>
          <w:szCs w:val="26"/>
        </w:rPr>
        <w:t xml:space="preserve">.  </w:t>
      </w:r>
      <w:r w:rsidRPr="006A6928" w:rsidR="00622D3F">
        <w:rPr>
          <w:rFonts w:eastAsia="Times New Roman"/>
          <w:szCs w:val="26"/>
        </w:rPr>
        <w:t xml:space="preserve">While the negligent design claim in </w:t>
      </w:r>
      <w:r w:rsidRPr="006A6928" w:rsidR="00622D3F">
        <w:rPr>
          <w:rFonts w:eastAsia="Times New Roman"/>
          <w:i/>
          <w:iCs/>
          <w:szCs w:val="26"/>
        </w:rPr>
        <w:t>Snap</w:t>
      </w:r>
      <w:r w:rsidRPr="006A6928" w:rsidR="00622D3F">
        <w:rPr>
          <w:rFonts w:eastAsia="Times New Roman"/>
          <w:szCs w:val="26"/>
        </w:rPr>
        <w:t xml:space="preserve"> was not predicated on any third-party content</w:t>
      </w:r>
      <w:r w:rsidRPr="006A6928" w:rsidR="00E0756D">
        <w:rPr>
          <w:rFonts w:eastAsia="Times New Roman"/>
          <w:szCs w:val="26"/>
        </w:rPr>
        <w:t>—indeed, the alleged harm flowed directly and solely from the negligent design</w:t>
      </w:r>
      <w:r w:rsidRPr="006A6928" w:rsidR="00300E72">
        <w:rPr>
          <w:rFonts w:eastAsia="Times New Roman"/>
          <w:szCs w:val="26"/>
        </w:rPr>
        <w:t xml:space="preserve"> and occurred without any third-party content</w:t>
      </w:r>
      <w:r w:rsidRPr="006A6928" w:rsidR="00E0756D">
        <w:rPr>
          <w:rFonts w:eastAsia="Times New Roman"/>
          <w:szCs w:val="26"/>
        </w:rPr>
        <w:t xml:space="preserve">—the </w:t>
      </w:r>
      <w:r w:rsidRPr="006A6928" w:rsidR="00622D3F">
        <w:rPr>
          <w:rFonts w:eastAsia="Times New Roman"/>
          <w:szCs w:val="26"/>
        </w:rPr>
        <w:t>same is not true here.  Instead, t</w:t>
      </w:r>
      <w:r w:rsidRPr="006A6928" w:rsidR="00622D3F">
        <w:rPr>
          <w:szCs w:val="26"/>
        </w:rPr>
        <w:t xml:space="preserve">he negligent design claim and the SAC as a whole </w:t>
      </w:r>
      <w:r w:rsidRPr="006A6928" w:rsidR="007604AB">
        <w:rPr>
          <w:szCs w:val="26"/>
        </w:rPr>
        <w:t>are</w:t>
      </w:r>
      <w:r w:rsidRPr="006A6928" w:rsidR="00622D3F">
        <w:rPr>
          <w:szCs w:val="26"/>
        </w:rPr>
        <w:t xml:space="preserve"> predicated on the scam videos, without which there would likely be no lawsuit.</w:t>
      </w:r>
      <w:r w:rsidRPr="006A6928" w:rsidR="00864D71">
        <w:rPr>
          <w:szCs w:val="26"/>
        </w:rPr>
        <w:t xml:space="preserve">  </w:t>
      </w:r>
      <w:r w:rsidRPr="006A6928" w:rsidR="00E0756D">
        <w:rPr>
          <w:szCs w:val="26"/>
        </w:rPr>
        <w:t>W</w:t>
      </w:r>
      <w:r w:rsidRPr="006A6928" w:rsidR="00622D3F">
        <w:rPr>
          <w:rFonts w:eastAsia="Times New Roman"/>
          <w:szCs w:val="26"/>
        </w:rPr>
        <w:t xml:space="preserve">hile a plaintiff </w:t>
      </w:r>
      <w:r w:rsidRPr="006A6928" w:rsidR="00622D3F">
        <w:rPr>
          <w:rFonts w:eastAsia="Times New Roman"/>
          <w:i/>
          <w:iCs/>
          <w:szCs w:val="26"/>
        </w:rPr>
        <w:t>may</w:t>
      </w:r>
      <w:r w:rsidRPr="006A6928" w:rsidR="00622D3F">
        <w:rPr>
          <w:rFonts w:eastAsia="Times New Roman"/>
          <w:szCs w:val="26"/>
        </w:rPr>
        <w:t xml:space="preserve"> avoid application of section 230 immunity by alleging a negligent design claim </w:t>
      </w:r>
      <w:r w:rsidRPr="006A6928" w:rsidR="00864D71">
        <w:rPr>
          <w:rFonts w:eastAsia="Times New Roman"/>
          <w:szCs w:val="26"/>
        </w:rPr>
        <w:t xml:space="preserve">that is independent of third-party content, that is not what plaintiffs alleged </w:t>
      </w:r>
      <w:r w:rsidRPr="006A6928" w:rsidR="00D32C69">
        <w:rPr>
          <w:rFonts w:eastAsia="Times New Roman"/>
          <w:szCs w:val="26"/>
        </w:rPr>
        <w:t>in the SAC</w:t>
      </w:r>
      <w:r w:rsidRPr="006A6928" w:rsidR="00300E72">
        <w:rPr>
          <w:rFonts w:eastAsia="Times New Roman"/>
          <w:szCs w:val="26"/>
        </w:rPr>
        <w:t xml:space="preserve"> here</w:t>
      </w:r>
      <w:r w:rsidRPr="006A6928" w:rsidR="00864D71">
        <w:rPr>
          <w:rFonts w:eastAsia="Times New Roman"/>
          <w:szCs w:val="26"/>
        </w:rPr>
        <w:t>.</w:t>
      </w:r>
    </w:p>
    <w:p w:rsidR="00094C41" w:rsidRPr="006A6928" w:rsidP="003A3015">
      <w:pPr>
        <w:pStyle w:val="ListParagraph"/>
        <w:numPr>
          <w:ilvl w:val="1"/>
          <w:numId w:val="11"/>
        </w:numPr>
        <w:ind w:left="2160"/>
        <w:textAlignment w:val="baseline"/>
        <w:rPr>
          <w:rFonts w:eastAsia="Times New Roman"/>
          <w:b/>
          <w:bCs/>
          <w:i/>
          <w:iCs/>
          <w:szCs w:val="26"/>
        </w:rPr>
      </w:pPr>
      <w:r w:rsidRPr="006A6928">
        <w:rPr>
          <w:rFonts w:eastAsia="Times New Roman"/>
          <w:b/>
          <w:bCs/>
          <w:i/>
          <w:iCs/>
          <w:szCs w:val="26"/>
        </w:rPr>
        <w:t>Negligent failure to warn claim</w:t>
      </w:r>
    </w:p>
    <w:p w:rsidR="004766B7" w:rsidRPr="006A6928" w:rsidP="004766B7">
      <w:pPr>
        <w:ind w:firstLine="720"/>
        <w:textAlignment w:val="baseline"/>
        <w:rPr>
          <w:rFonts w:eastAsia="Times New Roman"/>
          <w:szCs w:val="26"/>
        </w:rPr>
      </w:pPr>
      <w:r w:rsidRPr="006A6928">
        <w:rPr>
          <w:rFonts w:eastAsia="Times New Roman"/>
          <w:szCs w:val="26"/>
        </w:rPr>
        <w:t>Plaintiffs</w:t>
      </w:r>
      <w:r w:rsidRPr="006A6928" w:rsidR="0005368B">
        <w:rPr>
          <w:rFonts w:eastAsia="Times New Roman"/>
          <w:szCs w:val="26"/>
        </w:rPr>
        <w:t xml:space="preserve"> argue</w:t>
      </w:r>
      <w:r w:rsidRPr="006A6928" w:rsidR="00A52004">
        <w:rPr>
          <w:rFonts w:eastAsia="Times New Roman"/>
          <w:szCs w:val="26"/>
        </w:rPr>
        <w:t xml:space="preserve"> that</w:t>
      </w:r>
      <w:r w:rsidRPr="006A6928" w:rsidR="0005368B">
        <w:rPr>
          <w:rFonts w:eastAsia="Times New Roman"/>
          <w:szCs w:val="26"/>
        </w:rPr>
        <w:t xml:space="preserve"> </w:t>
      </w:r>
      <w:r w:rsidRPr="006A6928" w:rsidR="00B8435D">
        <w:rPr>
          <w:rFonts w:eastAsia="Times New Roman"/>
          <w:szCs w:val="26"/>
        </w:rPr>
        <w:t>th</w:t>
      </w:r>
      <w:r w:rsidRPr="006A6928" w:rsidR="00CC7F5A">
        <w:rPr>
          <w:rFonts w:eastAsia="Times New Roman"/>
          <w:szCs w:val="26"/>
        </w:rPr>
        <w:t xml:space="preserve">eir negligent failure to warn cause of action is not immunized by section 230.  According to plaintiffs, section 230 does not apply because </w:t>
      </w:r>
      <w:r w:rsidRPr="006A6928" w:rsidR="00F364A9">
        <w:rPr>
          <w:rFonts w:eastAsia="Times New Roman"/>
          <w:szCs w:val="26"/>
        </w:rPr>
        <w:t xml:space="preserve">(1) </w:t>
      </w:r>
      <w:r w:rsidRPr="006A6928">
        <w:rPr>
          <w:rFonts w:eastAsia="Times New Roman"/>
          <w:szCs w:val="26"/>
        </w:rPr>
        <w:t xml:space="preserve">they allege defendants knew about the scam without having to monitor </w:t>
      </w:r>
      <w:r w:rsidRPr="006A6928" w:rsidR="00F364A9">
        <w:rPr>
          <w:rFonts w:eastAsia="Times New Roman"/>
          <w:szCs w:val="26"/>
        </w:rPr>
        <w:t xml:space="preserve">any third-party content, </w:t>
      </w:r>
      <w:r w:rsidRPr="006A6928">
        <w:rPr>
          <w:rFonts w:eastAsia="Times New Roman"/>
          <w:szCs w:val="26"/>
        </w:rPr>
        <w:t xml:space="preserve">and </w:t>
      </w:r>
      <w:r w:rsidRPr="006A6928" w:rsidR="00F364A9">
        <w:rPr>
          <w:rFonts w:eastAsia="Times New Roman"/>
          <w:szCs w:val="26"/>
        </w:rPr>
        <w:t xml:space="preserve">(2) there is no exception to the duty of care defendants owed plaintiffs.  </w:t>
      </w:r>
    </w:p>
    <w:p w:rsidR="00780D12" w:rsidRPr="006A6928" w:rsidP="00780D12">
      <w:pPr>
        <w:ind w:firstLine="720"/>
        <w:textAlignment w:val="baseline"/>
        <w:rPr>
          <w:szCs w:val="26"/>
        </w:rPr>
      </w:pPr>
      <w:r w:rsidRPr="006A6928">
        <w:rPr>
          <w:rFonts w:eastAsia="Times New Roman"/>
          <w:szCs w:val="26"/>
        </w:rPr>
        <w:t xml:space="preserve">With respect to the first of those arguments, </w:t>
      </w:r>
      <w:r w:rsidRPr="006A6928" w:rsidR="00165C47">
        <w:rPr>
          <w:rFonts w:eastAsia="Times New Roman"/>
          <w:szCs w:val="26"/>
        </w:rPr>
        <w:t xml:space="preserve">plaintiffs rely on </w:t>
      </w:r>
      <w:r w:rsidRPr="006A6928" w:rsidR="00165C47">
        <w:rPr>
          <w:rFonts w:eastAsia="Times New Roman"/>
          <w:i/>
          <w:iCs/>
          <w:szCs w:val="26"/>
        </w:rPr>
        <w:t xml:space="preserve">Doe v. Internet Brands, Inc. </w:t>
      </w:r>
      <w:r w:rsidRPr="006A6928" w:rsidR="00165C47">
        <w:rPr>
          <w:rFonts w:eastAsia="Times New Roman"/>
          <w:szCs w:val="26"/>
        </w:rPr>
        <w:t xml:space="preserve">(9th Cir. 2016) 824 F.3d 846.  In that case, </w:t>
      </w:r>
      <w:r w:rsidRPr="006A6928">
        <w:rPr>
          <w:szCs w:val="26"/>
        </w:rPr>
        <w:t>two men used a networking website for models to lure women to fake photo shoots, where they drugged and raped them.  (</w:t>
      </w:r>
      <w:r w:rsidRPr="006A6928">
        <w:rPr>
          <w:i/>
          <w:iCs/>
          <w:szCs w:val="26"/>
        </w:rPr>
        <w:t>Id</w:t>
      </w:r>
      <w:r w:rsidRPr="006A6928">
        <w:rPr>
          <w:szCs w:val="26"/>
        </w:rPr>
        <w:t xml:space="preserve">. at pp. 848-849.)  </w:t>
      </w:r>
      <w:r w:rsidR="008168D1">
        <w:rPr>
          <w:szCs w:val="26"/>
        </w:rPr>
        <w:t>The p</w:t>
      </w:r>
      <w:r w:rsidRPr="006A6928">
        <w:rPr>
          <w:szCs w:val="26"/>
        </w:rPr>
        <w:t xml:space="preserve">laintiff, one of the victimized women, sued the website for negligent failure to warn, alleging it knew of the ongoing scheme but breached its duty to warn her </w:t>
      </w:r>
      <w:r w:rsidRPr="006A6928" w:rsidR="00300E72">
        <w:rPr>
          <w:szCs w:val="26"/>
        </w:rPr>
        <w:t>and</w:t>
      </w:r>
      <w:r w:rsidRPr="006A6928">
        <w:rPr>
          <w:szCs w:val="26"/>
        </w:rPr>
        <w:t xml:space="preserve"> other users.  (</w:t>
      </w:r>
      <w:r w:rsidRPr="006A6928">
        <w:rPr>
          <w:i/>
          <w:iCs/>
          <w:szCs w:val="26"/>
        </w:rPr>
        <w:t>Ibid</w:t>
      </w:r>
      <w:r w:rsidRPr="006A6928">
        <w:rPr>
          <w:szCs w:val="26"/>
        </w:rPr>
        <w:t xml:space="preserve">.)  The Ninth Circuit held that section 230 did not </w:t>
      </w:r>
      <w:r w:rsidRPr="006A6928" w:rsidR="003B7B98">
        <w:rPr>
          <w:szCs w:val="26"/>
        </w:rPr>
        <w:t>bar</w:t>
      </w:r>
      <w:r w:rsidRPr="006A6928">
        <w:rPr>
          <w:szCs w:val="26"/>
        </w:rPr>
        <w:t xml:space="preserve"> </w:t>
      </w:r>
      <w:r w:rsidR="008168D1">
        <w:rPr>
          <w:szCs w:val="26"/>
        </w:rPr>
        <w:t xml:space="preserve">the </w:t>
      </w:r>
      <w:r w:rsidRPr="006A6928">
        <w:rPr>
          <w:szCs w:val="26"/>
        </w:rPr>
        <w:t>plaintiff’s claim because she did not seek to hold the defendant liable as a publisher or speaker of any third-party content.  (</w:t>
      </w:r>
      <w:r w:rsidRPr="006A6928">
        <w:rPr>
          <w:i/>
          <w:iCs/>
          <w:szCs w:val="26"/>
        </w:rPr>
        <w:t>Id.</w:t>
      </w:r>
      <w:r w:rsidRPr="006A6928">
        <w:rPr>
          <w:szCs w:val="26"/>
        </w:rPr>
        <w:t xml:space="preserve"> at p. 851.)  Instead, she sought to hold </w:t>
      </w:r>
      <w:r w:rsidR="008168D1">
        <w:rPr>
          <w:szCs w:val="26"/>
        </w:rPr>
        <w:t>it</w:t>
      </w:r>
      <w:r w:rsidRPr="006A6928" w:rsidR="008168D1">
        <w:rPr>
          <w:szCs w:val="26"/>
        </w:rPr>
        <w:t xml:space="preserve"> </w:t>
      </w:r>
      <w:r w:rsidRPr="006A6928">
        <w:rPr>
          <w:szCs w:val="26"/>
        </w:rPr>
        <w:t xml:space="preserve">liable for failing to warn about information </w:t>
      </w:r>
      <w:r w:rsidR="008168D1">
        <w:rPr>
          <w:szCs w:val="26"/>
        </w:rPr>
        <w:t>it</w:t>
      </w:r>
      <w:r w:rsidRPr="006A6928" w:rsidR="008168D1">
        <w:rPr>
          <w:szCs w:val="26"/>
        </w:rPr>
        <w:t xml:space="preserve"> </w:t>
      </w:r>
      <w:r w:rsidRPr="006A6928">
        <w:rPr>
          <w:szCs w:val="26"/>
        </w:rPr>
        <w:t>had obtained from an outside source about the scheme.  (</w:t>
      </w:r>
      <w:r w:rsidRPr="006A6928">
        <w:rPr>
          <w:i/>
          <w:iCs/>
          <w:szCs w:val="26"/>
        </w:rPr>
        <w:t>Ibid</w:t>
      </w:r>
      <w:r w:rsidRPr="006A6928">
        <w:rPr>
          <w:szCs w:val="26"/>
        </w:rPr>
        <w:t>.)</w:t>
      </w:r>
    </w:p>
    <w:p w:rsidR="00F364A9" w:rsidRPr="006A6928" w:rsidP="004766B7">
      <w:pPr>
        <w:ind w:firstLine="720"/>
        <w:textAlignment w:val="baseline"/>
        <w:rPr>
          <w:rFonts w:eastAsia="Times New Roman"/>
          <w:szCs w:val="26"/>
        </w:rPr>
      </w:pPr>
      <w:r w:rsidRPr="006A6928">
        <w:rPr>
          <w:rFonts w:eastAsia="Times New Roman"/>
          <w:szCs w:val="26"/>
        </w:rPr>
        <w:t xml:space="preserve">Again, we find the case inapposite.  Here, plaintiffs’ claim is predicated on the third-party content, of which they assert defendants had a duty to warn.  </w:t>
      </w:r>
      <w:r w:rsidRPr="006A6928" w:rsidR="00BC2B57">
        <w:rPr>
          <w:rFonts w:eastAsia="Times New Roman"/>
          <w:szCs w:val="26"/>
        </w:rPr>
        <w:t xml:space="preserve">Plaintiffs thus seek to impose liability on defendants resulting from the third-party information they publish on their platform.  </w:t>
      </w:r>
      <w:r w:rsidRPr="006A6928">
        <w:rPr>
          <w:rFonts w:eastAsia="Times New Roman"/>
          <w:szCs w:val="26"/>
        </w:rPr>
        <w:t xml:space="preserve">In </w:t>
      </w:r>
      <w:r w:rsidRPr="006A6928">
        <w:rPr>
          <w:rFonts w:eastAsia="Times New Roman"/>
          <w:i/>
          <w:iCs/>
          <w:szCs w:val="26"/>
        </w:rPr>
        <w:t>Internet Brands</w:t>
      </w:r>
      <w:r w:rsidRPr="006A6928">
        <w:rPr>
          <w:rFonts w:eastAsia="Times New Roman"/>
          <w:szCs w:val="26"/>
        </w:rPr>
        <w:t xml:space="preserve">, by contrast, the alleged duty to warn existed independent of any third-party content on the defendant’s platform.  The plaintiff </w:t>
      </w:r>
      <w:r w:rsidRPr="006A6928" w:rsidR="00922F8B">
        <w:rPr>
          <w:rFonts w:eastAsia="Times New Roman"/>
          <w:szCs w:val="26"/>
        </w:rPr>
        <w:t xml:space="preserve">there </w:t>
      </w:r>
      <w:r w:rsidRPr="006A6928">
        <w:rPr>
          <w:rFonts w:eastAsia="Times New Roman"/>
          <w:szCs w:val="26"/>
        </w:rPr>
        <w:t xml:space="preserve">alleged a duty to warn of the possibility of being drugged and raped at a fake photo shoot—in so doing, she was not treating the defendant as a publisher or speaker of third-party information. </w:t>
      </w:r>
    </w:p>
    <w:p w:rsidR="001633BB" w:rsidRPr="006A6928" w:rsidP="001633BB">
      <w:pPr>
        <w:ind w:firstLine="720"/>
        <w:textAlignment w:val="baseline"/>
        <w:rPr>
          <w:szCs w:val="26"/>
        </w:rPr>
      </w:pPr>
      <w:r w:rsidRPr="006A6928">
        <w:rPr>
          <w:rFonts w:eastAsia="Times New Roman"/>
          <w:szCs w:val="26"/>
        </w:rPr>
        <w:t>With respect to plaintiffs’ second argument</w:t>
      </w:r>
      <w:r w:rsidRPr="006A6928" w:rsidR="00BC2B57">
        <w:rPr>
          <w:rFonts w:eastAsia="Times New Roman"/>
          <w:szCs w:val="26"/>
        </w:rPr>
        <w:t xml:space="preserve">, they contend </w:t>
      </w:r>
      <w:r w:rsidRPr="006A6928">
        <w:rPr>
          <w:rFonts w:eastAsia="Times New Roman"/>
          <w:szCs w:val="26"/>
        </w:rPr>
        <w:t>defendants owed them a tort duty to warn pursuant to the basic principle in Civil Code section 1714, subdivision (a) that “[e]veryone is responsible, n</w:t>
      </w:r>
      <w:r w:rsidRPr="006A6928">
        <w:rPr>
          <w:szCs w:val="26"/>
        </w:rPr>
        <w:t>ot only for the result of his or her willful acts, but also for an injury occasioned to another by his or her want of ordinary care or skill in the management of his or her property or person</w:t>
      </w:r>
      <w:r w:rsidRPr="006A6928" w:rsidR="00D62617">
        <w:rPr>
          <w:szCs w:val="26"/>
        </w:rPr>
        <w:t>,</w:t>
      </w:r>
      <w:r w:rsidRPr="006A6928">
        <w:rPr>
          <w:szCs w:val="26"/>
        </w:rPr>
        <w:t>”</w:t>
      </w:r>
      <w:r w:rsidRPr="006A6928" w:rsidR="00D62617">
        <w:rPr>
          <w:szCs w:val="26"/>
        </w:rPr>
        <w:t xml:space="preserve"> and that no exception exists.</w:t>
      </w:r>
      <w:r w:rsidRPr="006A6928">
        <w:rPr>
          <w:szCs w:val="26"/>
        </w:rPr>
        <w:t xml:space="preserve"> </w:t>
      </w:r>
      <w:r w:rsidRPr="006A6928" w:rsidR="00D62617">
        <w:rPr>
          <w:szCs w:val="26"/>
        </w:rPr>
        <w:t xml:space="preserve"> </w:t>
      </w:r>
    </w:p>
    <w:p w:rsidR="00094C41" w:rsidRPr="006A6928" w:rsidP="00170EAE">
      <w:pPr>
        <w:ind w:firstLine="720"/>
        <w:textAlignment w:val="baseline"/>
        <w:rPr>
          <w:rFonts w:eastAsia="Times New Roman"/>
          <w:szCs w:val="26"/>
        </w:rPr>
      </w:pPr>
      <w:r w:rsidRPr="006A6928">
        <w:rPr>
          <w:szCs w:val="26"/>
        </w:rPr>
        <w:t xml:space="preserve">However, section 230 is an exception.  </w:t>
      </w:r>
      <w:r w:rsidRPr="006A6928" w:rsidR="00922F8B">
        <w:rPr>
          <w:szCs w:val="26"/>
        </w:rPr>
        <w:t>(</w:t>
      </w:r>
      <w:r w:rsidRPr="006A6928" w:rsidR="00922F8B">
        <w:rPr>
          <w:i/>
          <w:iCs/>
          <w:szCs w:val="26"/>
        </w:rPr>
        <w:t>Prager, supra</w:t>
      </w:r>
      <w:r w:rsidRPr="006A6928" w:rsidR="00922F8B">
        <w:rPr>
          <w:szCs w:val="26"/>
        </w:rPr>
        <w:t>, 85 Cal.App.5th at p. 1043 [</w:t>
      </w:r>
      <w:r w:rsidRPr="006A6928" w:rsidR="00922F8B">
        <w:rPr>
          <w:rFonts w:eastAsia="Times New Roman"/>
          <w:szCs w:val="26"/>
        </w:rPr>
        <w:t xml:space="preserve">“Section </w:t>
      </w:r>
      <w:r w:rsidRPr="006A6928" w:rsidR="00922F8B">
        <w:rPr>
          <w:rFonts w:eastAsia="Times New Roman"/>
          <w:szCs w:val="26"/>
          <w:bdr w:val="none" w:sz="0" w:space="0" w:color="auto" w:frame="1"/>
          <w:shd w:val="clear" w:color="auto" w:fill="FFFFFF"/>
        </w:rPr>
        <w:t>230</w:t>
      </w:r>
      <w:r w:rsidRPr="006A6928" w:rsidR="00922F8B">
        <w:rPr>
          <w:rFonts w:eastAsia="Times New Roman"/>
          <w:szCs w:val="26"/>
        </w:rPr>
        <w:t xml:space="preserve">(c)(1) and (e)(3) reflect the unambiguous exercise of Congress’s constitutional power to preempt state laws”].) </w:t>
      </w:r>
      <w:r w:rsidRPr="006A6928" w:rsidR="00922F8B">
        <w:rPr>
          <w:szCs w:val="26"/>
        </w:rPr>
        <w:t xml:space="preserve"> </w:t>
      </w:r>
      <w:r w:rsidRPr="006A6928" w:rsidR="00D069D7">
        <w:rPr>
          <w:szCs w:val="26"/>
        </w:rPr>
        <w:t xml:space="preserve">It provides immunity </w:t>
      </w:r>
      <w:r w:rsidRPr="006A6928" w:rsidR="00922F8B">
        <w:rPr>
          <w:szCs w:val="26"/>
        </w:rPr>
        <w:t>from</w:t>
      </w:r>
      <w:r w:rsidRPr="006A6928" w:rsidR="00D069D7">
        <w:rPr>
          <w:szCs w:val="26"/>
        </w:rPr>
        <w:t xml:space="preserve"> certain causes of action that seek to treat defendants as a publisher or speaker of</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information</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provided</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by</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another</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information</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content</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provider</w:t>
      </w:r>
      <w:r w:rsidRPr="006A6928" w:rsidR="00D069D7">
        <w:rPr>
          <w:rFonts w:eastAsia="Times New Roman"/>
          <w:szCs w:val="26"/>
        </w:rPr>
        <w:t>.  (</w:t>
      </w:r>
      <w:r w:rsidRPr="006A6928" w:rsidR="00D069D7">
        <w:rPr>
          <w:rFonts w:eastAsia="Times New Roman"/>
          <w:i/>
          <w:iCs/>
          <w:szCs w:val="26"/>
        </w:rPr>
        <w:t xml:space="preserve">Murphy, supra, </w:t>
      </w:r>
      <w:r w:rsidRPr="006A6928" w:rsidR="00D069D7">
        <w:rPr>
          <w:rFonts w:eastAsia="Times New Roman"/>
          <w:szCs w:val="26"/>
        </w:rPr>
        <w:t xml:space="preserve">60 Cal.App.5th at p. 24.)  Plaintiffs’ argument would allow </w:t>
      </w:r>
      <w:r w:rsidRPr="006A6928" w:rsidR="00DB193E">
        <w:rPr>
          <w:rFonts w:eastAsia="Times New Roman"/>
          <w:szCs w:val="26"/>
        </w:rPr>
        <w:t xml:space="preserve">essentially </w:t>
      </w:r>
      <w:r w:rsidRPr="006A6928" w:rsidR="00D069D7">
        <w:rPr>
          <w:rFonts w:eastAsia="Times New Roman"/>
          <w:szCs w:val="26"/>
        </w:rPr>
        <w:t xml:space="preserve">every state cause of action </w:t>
      </w:r>
      <w:r w:rsidRPr="006A6928" w:rsidR="00DB193E">
        <w:rPr>
          <w:rFonts w:eastAsia="Times New Roman"/>
          <w:szCs w:val="26"/>
        </w:rPr>
        <w:t xml:space="preserve">otherwise immunized by section 230 to be pleaded as a failure to warn of such information published by a defendant.  </w:t>
      </w:r>
      <w:r w:rsidRPr="006A6928" w:rsidR="00F517E0">
        <w:rPr>
          <w:rFonts w:eastAsia="Times New Roman"/>
          <w:szCs w:val="26"/>
        </w:rPr>
        <w:t>That</w:t>
      </w:r>
      <w:r w:rsidRPr="006A6928" w:rsidR="00170EAE">
        <w:rPr>
          <w:rFonts w:eastAsia="Times New Roman"/>
          <w:szCs w:val="26"/>
        </w:rPr>
        <w:t xml:space="preserve"> construction of the law runs counter to the authority we have summarized above. </w:t>
      </w:r>
    </w:p>
    <w:p w:rsidR="003A3015" w:rsidRPr="006A6928" w:rsidP="003A3015">
      <w:pPr>
        <w:pStyle w:val="ListParagraph"/>
        <w:spacing w:line="240" w:lineRule="auto"/>
        <w:ind w:left="2160"/>
        <w:textAlignment w:val="baseline"/>
        <w:rPr>
          <w:rFonts w:eastAsia="Times New Roman"/>
          <w:b/>
          <w:bCs/>
          <w:i/>
          <w:iCs/>
          <w:szCs w:val="26"/>
        </w:rPr>
      </w:pPr>
    </w:p>
    <w:p w:rsidR="00094C41" w:rsidRPr="006A6928" w:rsidP="003A3015">
      <w:pPr>
        <w:pStyle w:val="ListParagraph"/>
        <w:numPr>
          <w:ilvl w:val="1"/>
          <w:numId w:val="11"/>
        </w:numPr>
        <w:spacing w:line="240" w:lineRule="auto"/>
        <w:ind w:left="2160"/>
        <w:textAlignment w:val="baseline"/>
        <w:rPr>
          <w:rFonts w:eastAsia="Times New Roman"/>
          <w:b/>
          <w:bCs/>
          <w:i/>
          <w:iCs/>
          <w:szCs w:val="26"/>
        </w:rPr>
      </w:pPr>
      <w:r w:rsidRPr="006A6928">
        <w:rPr>
          <w:rFonts w:eastAsia="Times New Roman"/>
          <w:b/>
          <w:bCs/>
          <w:i/>
          <w:iCs/>
          <w:szCs w:val="26"/>
        </w:rPr>
        <w:t>Claims based on knowingly selling and delivering scam ads and scam video recommendations to vulnerable users</w:t>
      </w:r>
    </w:p>
    <w:p w:rsidR="006D41CC" w:rsidRPr="006A6928" w:rsidP="00191F08">
      <w:pPr>
        <w:ind w:firstLine="720"/>
        <w:textAlignment w:val="baseline"/>
        <w:rPr>
          <w:rFonts w:eastAsia="Times New Roman"/>
          <w:szCs w:val="26"/>
        </w:rPr>
      </w:pPr>
      <w:r w:rsidRPr="006A6928">
        <w:rPr>
          <w:rFonts w:eastAsia="Times New Roman"/>
          <w:szCs w:val="26"/>
        </w:rPr>
        <w:t xml:space="preserve">Plaintiffs argue section 230 does not immunize from claims </w:t>
      </w:r>
      <w:r w:rsidRPr="006A6928" w:rsidR="00341843">
        <w:rPr>
          <w:rFonts w:eastAsia="Times New Roman"/>
          <w:szCs w:val="26"/>
        </w:rPr>
        <w:t>that defendants (1)</w:t>
      </w:r>
      <w:r w:rsidRPr="006A6928">
        <w:rPr>
          <w:rFonts w:eastAsia="Times New Roman"/>
          <w:szCs w:val="26"/>
        </w:rPr>
        <w:t xml:space="preserve"> knowingly sold and delivered scam advertisements</w:t>
      </w:r>
      <w:r w:rsidRPr="006A6928" w:rsidR="00341843">
        <w:rPr>
          <w:rFonts w:eastAsia="Times New Roman"/>
          <w:szCs w:val="26"/>
        </w:rPr>
        <w:t>,</w:t>
      </w:r>
      <w:r w:rsidRPr="006A6928">
        <w:rPr>
          <w:rFonts w:eastAsia="Times New Roman"/>
          <w:szCs w:val="26"/>
        </w:rPr>
        <w:t xml:space="preserve"> </w:t>
      </w:r>
      <w:r w:rsidRPr="006A6928" w:rsidR="00341843">
        <w:rPr>
          <w:rFonts w:eastAsia="Times New Roman"/>
          <w:szCs w:val="26"/>
        </w:rPr>
        <w:t>or (2)</w:t>
      </w:r>
      <w:r w:rsidRPr="006A6928">
        <w:rPr>
          <w:rFonts w:eastAsia="Times New Roman"/>
          <w:szCs w:val="26"/>
        </w:rPr>
        <w:t xml:space="preserve"> </w:t>
      </w:r>
      <w:r w:rsidRPr="006A6928" w:rsidR="00341843">
        <w:rPr>
          <w:rFonts w:eastAsia="Times New Roman"/>
          <w:szCs w:val="26"/>
        </w:rPr>
        <w:t xml:space="preserve">recommended scam videos </w:t>
      </w:r>
      <w:r w:rsidRPr="006A6928">
        <w:rPr>
          <w:rFonts w:eastAsia="Times New Roman"/>
          <w:szCs w:val="26"/>
        </w:rPr>
        <w:t xml:space="preserve">to vulnerable users.  </w:t>
      </w:r>
      <w:r w:rsidRPr="006A6928" w:rsidR="00341843">
        <w:rPr>
          <w:rFonts w:eastAsia="Times New Roman"/>
          <w:szCs w:val="26"/>
        </w:rPr>
        <w:t>Plaintiffs’ theory is that</w:t>
      </w:r>
      <w:r w:rsidRPr="006A6928">
        <w:rPr>
          <w:rFonts w:eastAsia="Times New Roman"/>
          <w:szCs w:val="26"/>
        </w:rPr>
        <w:t xml:space="preserve"> defendants are </w:t>
      </w:r>
      <w:r w:rsidRPr="006A6928" w:rsidR="002934E5">
        <w:rPr>
          <w:rFonts w:eastAsia="Times New Roman"/>
          <w:szCs w:val="26"/>
        </w:rPr>
        <w:t>“</w:t>
      </w:r>
      <w:r w:rsidRPr="006A6928">
        <w:rPr>
          <w:rFonts w:eastAsia="Times New Roman"/>
          <w:szCs w:val="26"/>
        </w:rPr>
        <w:t>knowingly selling criminals the ads necessary to fuel their criminal activity, and the ads are being purchased with the proceeds of their criminal activity</w:t>
      </w:r>
      <w:r w:rsidRPr="006A6928" w:rsidR="002934E5">
        <w:rPr>
          <w:rFonts w:eastAsia="Times New Roman"/>
          <w:szCs w:val="26"/>
        </w:rPr>
        <w:t>,” constituting “financial entanglement” that falls outside the scope of section 230 immunity.</w:t>
      </w:r>
      <w:r w:rsidRPr="006A6928">
        <w:rPr>
          <w:rFonts w:eastAsia="Times New Roman"/>
          <w:szCs w:val="26"/>
        </w:rPr>
        <w:t xml:space="preserve">  In addition, </w:t>
      </w:r>
      <w:r w:rsidRPr="006A6928" w:rsidR="00341843">
        <w:rPr>
          <w:rFonts w:eastAsia="Times New Roman"/>
          <w:szCs w:val="26"/>
        </w:rPr>
        <w:t>they</w:t>
      </w:r>
      <w:r w:rsidRPr="006A6928">
        <w:rPr>
          <w:rFonts w:eastAsia="Times New Roman"/>
          <w:szCs w:val="26"/>
        </w:rPr>
        <w:t xml:space="preserve"> are </w:t>
      </w:r>
      <w:r w:rsidRPr="006A6928" w:rsidR="001F6DCA">
        <w:rPr>
          <w:rFonts w:eastAsia="Times New Roman"/>
          <w:szCs w:val="26"/>
        </w:rPr>
        <w:t>“</w:t>
      </w:r>
      <w:r w:rsidRPr="006A6928">
        <w:rPr>
          <w:rFonts w:eastAsia="Times New Roman"/>
          <w:szCs w:val="26"/>
        </w:rPr>
        <w:t xml:space="preserve">recommending scam videos </w:t>
      </w:r>
      <w:r w:rsidR="00646D28">
        <w:rPr>
          <w:rFonts w:eastAsia="Times New Roman"/>
          <w:szCs w:val="26"/>
        </w:rPr>
        <w:t>or</w:t>
      </w:r>
      <w:r w:rsidRPr="006A6928" w:rsidR="00646D28">
        <w:rPr>
          <w:rFonts w:eastAsia="Times New Roman"/>
          <w:szCs w:val="26"/>
        </w:rPr>
        <w:t xml:space="preserve"> </w:t>
      </w:r>
      <w:r w:rsidRPr="006A6928" w:rsidR="002934E5">
        <w:rPr>
          <w:rFonts w:eastAsia="Times New Roman"/>
          <w:szCs w:val="26"/>
        </w:rPr>
        <w:t xml:space="preserve">other activity involving algorithms to knowingly help criminals target vulnerable users.” </w:t>
      </w:r>
    </w:p>
    <w:p w:rsidR="001F6DCA" w:rsidRPr="006A6928" w:rsidP="00191F08">
      <w:pPr>
        <w:ind w:firstLine="720"/>
        <w:textAlignment w:val="baseline"/>
        <w:rPr>
          <w:rFonts w:eastAsia="Times New Roman"/>
          <w:szCs w:val="26"/>
        </w:rPr>
      </w:pPr>
      <w:r w:rsidRPr="006A6928">
        <w:rPr>
          <w:rFonts w:eastAsia="Times New Roman"/>
          <w:szCs w:val="26"/>
        </w:rPr>
        <w:t xml:space="preserve">Plaintiffs characterize </w:t>
      </w:r>
      <w:r w:rsidRPr="006A6928" w:rsidR="00341843">
        <w:rPr>
          <w:rFonts w:eastAsia="Times New Roman"/>
          <w:szCs w:val="26"/>
        </w:rPr>
        <w:t>these</w:t>
      </w:r>
      <w:r w:rsidRPr="006A6928">
        <w:rPr>
          <w:rFonts w:eastAsia="Times New Roman"/>
          <w:szCs w:val="26"/>
        </w:rPr>
        <w:t xml:space="preserve"> as independent theor</w:t>
      </w:r>
      <w:r w:rsidRPr="006A6928" w:rsidR="00341843">
        <w:rPr>
          <w:rFonts w:eastAsia="Times New Roman"/>
          <w:szCs w:val="26"/>
        </w:rPr>
        <w:t>ies</w:t>
      </w:r>
      <w:r w:rsidRPr="006A6928">
        <w:rPr>
          <w:rFonts w:eastAsia="Times New Roman"/>
          <w:szCs w:val="26"/>
        </w:rPr>
        <w:t xml:space="preserve"> of liability </w:t>
      </w:r>
      <w:r w:rsidRPr="006A6928" w:rsidR="00341843">
        <w:rPr>
          <w:rFonts w:eastAsia="Times New Roman"/>
          <w:szCs w:val="26"/>
        </w:rPr>
        <w:t>“</w:t>
      </w:r>
      <w:r w:rsidRPr="006A6928">
        <w:rPr>
          <w:rFonts w:eastAsia="Times New Roman"/>
          <w:szCs w:val="26"/>
        </w:rPr>
        <w:t xml:space="preserve">underlying most of [their] claims.”  </w:t>
      </w:r>
      <w:r w:rsidRPr="006A6928">
        <w:rPr>
          <w:rFonts w:ascii="TimesNewRomanPSMT" w:hAnsi="TimesNewRomanPSMT" w:cs="TimesNewRomanPSMT"/>
          <w:szCs w:val="26"/>
        </w:rPr>
        <w:t xml:space="preserve">They specifically cite </w:t>
      </w:r>
      <w:r w:rsidRPr="006A6928">
        <w:rPr>
          <w:rFonts w:eastAsia="Times New Roman"/>
          <w:szCs w:val="26"/>
        </w:rPr>
        <w:t xml:space="preserve">allegations in the SAC found in the negligence, negligent failure to warn, and breach of implied contract causes of action.  </w:t>
      </w:r>
    </w:p>
    <w:p w:rsidR="009C1EA9" w:rsidRPr="006A6928" w:rsidP="00674A5F">
      <w:pPr>
        <w:ind w:firstLine="720"/>
        <w:textAlignment w:val="baseline"/>
        <w:rPr>
          <w:rFonts w:eastAsia="Times New Roman"/>
          <w:szCs w:val="26"/>
        </w:rPr>
      </w:pPr>
      <w:r w:rsidRPr="006A6928">
        <w:rPr>
          <w:rFonts w:eastAsia="Times New Roman"/>
          <w:szCs w:val="26"/>
        </w:rPr>
        <w:t xml:space="preserve">First, we address plaintiffs’ </w:t>
      </w:r>
      <w:r w:rsidRPr="006A6928" w:rsidR="004C2A45">
        <w:rPr>
          <w:rFonts w:eastAsia="Times New Roman"/>
          <w:szCs w:val="26"/>
        </w:rPr>
        <w:t xml:space="preserve">arguments regarding the sale of advertisements. </w:t>
      </w:r>
      <w:r w:rsidRPr="006A6928" w:rsidR="003D40B8">
        <w:rPr>
          <w:rFonts w:eastAsia="Times New Roman"/>
          <w:szCs w:val="26"/>
        </w:rPr>
        <w:t xml:space="preserve"> </w:t>
      </w:r>
      <w:r w:rsidRPr="006A6928">
        <w:rPr>
          <w:rFonts w:eastAsia="Times New Roman"/>
          <w:szCs w:val="26"/>
        </w:rPr>
        <w:t xml:space="preserve">As with their previous claims, this, too, is ultimately predicated on the third-party content of the scam videos.  Plaintiffs do not object to the mere act of </w:t>
      </w:r>
      <w:r w:rsidRPr="006A6928" w:rsidR="00674A5F">
        <w:rPr>
          <w:rFonts w:eastAsia="Times New Roman"/>
          <w:szCs w:val="26"/>
        </w:rPr>
        <w:t>defendants</w:t>
      </w:r>
      <w:r w:rsidRPr="006A6928">
        <w:rPr>
          <w:rFonts w:eastAsia="Times New Roman"/>
          <w:szCs w:val="26"/>
        </w:rPr>
        <w:t xml:space="preserve"> selling advertisements to third parties.  Instead, they object to the content of the advertisements themselves, which promote the scam.  </w:t>
      </w:r>
      <w:r w:rsidRPr="006A6928" w:rsidR="00674A5F">
        <w:rPr>
          <w:rFonts w:eastAsia="Times New Roman"/>
          <w:szCs w:val="26"/>
        </w:rPr>
        <w:t>For instance, in the negligence cause of action, they allege that defendants breached their duties by, among other things, “selling ads for, and otherwise promoting, materially contributing to, and profiting from the scam.”  There is no allegation that selling ad</w:t>
      </w:r>
      <w:r w:rsidRPr="006A6928" w:rsidR="003B7B98">
        <w:rPr>
          <w:rFonts w:eastAsia="Times New Roman"/>
          <w:szCs w:val="26"/>
        </w:rPr>
        <w:t>vertisement</w:t>
      </w:r>
      <w:r w:rsidRPr="006A6928" w:rsidR="00674A5F">
        <w:rPr>
          <w:rFonts w:eastAsia="Times New Roman"/>
          <w:szCs w:val="26"/>
        </w:rPr>
        <w:t xml:space="preserve">s, by itself and independent of their content, constituted the breach.  Nor is there any allegation that defendants themselves created the advertisements or any of their content.  Instead, the claims treat defendants as the publisher of those advertisements.  </w:t>
      </w:r>
      <w:r w:rsidRPr="006A6928">
        <w:rPr>
          <w:rFonts w:eastAsia="Times New Roman"/>
          <w:szCs w:val="26"/>
        </w:rPr>
        <w:t>(</w:t>
      </w:r>
      <w:r w:rsidRPr="006A6928">
        <w:rPr>
          <w:rFonts w:eastAsia="Times New Roman"/>
          <w:i/>
          <w:iCs/>
          <w:szCs w:val="26"/>
        </w:rPr>
        <w:t xml:space="preserve">Murphy, supra, </w:t>
      </w:r>
      <w:r w:rsidRPr="006A6928">
        <w:rPr>
          <w:rFonts w:eastAsia="Times New Roman"/>
          <w:szCs w:val="26"/>
        </w:rPr>
        <w:t>60 Cal.App.5th at p. 24</w:t>
      </w:r>
      <w:r w:rsidRPr="006A6928" w:rsidR="00674A5F">
        <w:rPr>
          <w:rFonts w:eastAsia="Times New Roman"/>
          <w:szCs w:val="26"/>
        </w:rPr>
        <w:t>.)</w:t>
      </w:r>
    </w:p>
    <w:p w:rsidR="00957298" w:rsidRPr="006A6928" w:rsidP="00957298">
      <w:pPr>
        <w:ind w:firstLine="720"/>
        <w:textAlignment w:val="baseline"/>
        <w:rPr>
          <w:color w:val="3D3D3D"/>
          <w:szCs w:val="26"/>
          <w:shd w:val="clear" w:color="auto" w:fill="FFFFFF"/>
        </w:rPr>
      </w:pPr>
      <w:r w:rsidRPr="006A6928">
        <w:rPr>
          <w:rFonts w:eastAsia="Times New Roman"/>
          <w:szCs w:val="26"/>
        </w:rPr>
        <w:t>Plaintiffs argue that</w:t>
      </w:r>
      <w:r w:rsidRPr="006A6928" w:rsidR="00994E0D">
        <w:rPr>
          <w:rFonts w:eastAsia="Times New Roman"/>
          <w:szCs w:val="26"/>
        </w:rPr>
        <w:t xml:space="preserve"> defendants’ “financial entanglement” </w:t>
      </w:r>
      <w:r w:rsidRPr="006A6928" w:rsidR="004C7A74">
        <w:rPr>
          <w:rFonts w:eastAsia="Times New Roman"/>
          <w:szCs w:val="26"/>
        </w:rPr>
        <w:t xml:space="preserve">and “revenue sharing” </w:t>
      </w:r>
      <w:r w:rsidRPr="006A6928" w:rsidR="00994E0D">
        <w:rPr>
          <w:rFonts w:eastAsia="Times New Roman"/>
          <w:szCs w:val="26"/>
        </w:rPr>
        <w:t xml:space="preserve">with the </w:t>
      </w:r>
      <w:r w:rsidRPr="006A6928" w:rsidR="004C7A74">
        <w:rPr>
          <w:rFonts w:eastAsia="Times New Roman"/>
          <w:szCs w:val="26"/>
        </w:rPr>
        <w:t xml:space="preserve">third-party </w:t>
      </w:r>
      <w:r w:rsidRPr="006A6928" w:rsidR="00994E0D">
        <w:rPr>
          <w:rFonts w:eastAsia="Times New Roman"/>
          <w:szCs w:val="26"/>
        </w:rPr>
        <w:t>criminal</w:t>
      </w:r>
      <w:r w:rsidRPr="006A6928" w:rsidR="004C7A74">
        <w:rPr>
          <w:rFonts w:eastAsia="Times New Roman"/>
          <w:szCs w:val="26"/>
        </w:rPr>
        <w:t xml:space="preserve">s </w:t>
      </w:r>
      <w:r w:rsidRPr="006A6928" w:rsidR="00994E0D">
        <w:rPr>
          <w:rFonts w:eastAsia="Times New Roman"/>
          <w:szCs w:val="26"/>
        </w:rPr>
        <w:t xml:space="preserve">takes them outside the scope of section 230 immunity.  </w:t>
      </w:r>
      <w:r w:rsidRPr="006A6928">
        <w:rPr>
          <w:rFonts w:eastAsia="Times New Roman"/>
          <w:szCs w:val="26"/>
        </w:rPr>
        <w:t>They</w:t>
      </w:r>
      <w:r w:rsidRPr="006A6928" w:rsidR="004B5935">
        <w:rPr>
          <w:rFonts w:eastAsia="Times New Roman"/>
          <w:szCs w:val="26"/>
        </w:rPr>
        <w:t xml:space="preserve"> rely on a recent case from the Ninth Circuit Court of </w:t>
      </w:r>
      <w:bookmarkStart w:id="11" w:name="_Hlk154062380"/>
      <w:r w:rsidRPr="006A6928" w:rsidR="004B5935">
        <w:rPr>
          <w:rFonts w:eastAsia="Times New Roman"/>
          <w:szCs w:val="26"/>
        </w:rPr>
        <w:t>Appeals</w:t>
      </w:r>
      <w:r w:rsidRPr="006A6928" w:rsidR="004C7A74">
        <w:rPr>
          <w:rFonts w:eastAsia="Times New Roman"/>
          <w:szCs w:val="26"/>
        </w:rPr>
        <w:t>—</w:t>
      </w:r>
      <w:r w:rsidRPr="006A6928" w:rsidR="004B5935">
        <w:rPr>
          <w:rFonts w:eastAsia="Times New Roman"/>
          <w:i/>
          <w:iCs/>
          <w:szCs w:val="26"/>
        </w:rPr>
        <w:t>Gonzalez v. Google, LLC</w:t>
      </w:r>
      <w:r w:rsidRPr="006A6928" w:rsidR="004B5935">
        <w:rPr>
          <w:rFonts w:eastAsia="Times New Roman"/>
          <w:szCs w:val="26"/>
        </w:rPr>
        <w:t xml:space="preserve"> (9th Cir. 2021) </w:t>
      </w:r>
      <w:bookmarkStart w:id="12" w:name="_Hlk161214489"/>
      <w:r w:rsidRPr="006A6928" w:rsidR="004B5935">
        <w:rPr>
          <w:rFonts w:eastAsia="Times New Roman"/>
          <w:szCs w:val="26"/>
        </w:rPr>
        <w:t xml:space="preserve">2 F.4th </w:t>
      </w:r>
      <w:bookmarkEnd w:id="12"/>
      <w:r w:rsidRPr="006A6928" w:rsidR="004B5935">
        <w:rPr>
          <w:rFonts w:eastAsia="Times New Roman"/>
          <w:szCs w:val="26"/>
        </w:rPr>
        <w:t>871</w:t>
      </w:r>
      <w:r w:rsidRPr="006A6928" w:rsidR="004715DA">
        <w:rPr>
          <w:rFonts w:eastAsia="Times New Roman"/>
          <w:szCs w:val="26"/>
        </w:rPr>
        <w:t xml:space="preserve"> (</w:t>
      </w:r>
      <w:r w:rsidRPr="006A6928" w:rsidR="004715DA">
        <w:rPr>
          <w:rFonts w:eastAsia="Times New Roman"/>
          <w:i/>
          <w:iCs/>
          <w:szCs w:val="26"/>
        </w:rPr>
        <w:t>Gonzalez</w:t>
      </w:r>
      <w:r w:rsidRPr="006A6928" w:rsidR="004715DA">
        <w:rPr>
          <w:rFonts w:eastAsia="Times New Roman"/>
          <w:szCs w:val="26"/>
        </w:rPr>
        <w:t>)</w:t>
      </w:r>
      <w:r w:rsidRPr="006A6928" w:rsidR="004B5935">
        <w:rPr>
          <w:rFonts w:eastAsia="Times New Roman"/>
          <w:szCs w:val="26"/>
        </w:rPr>
        <w:t xml:space="preserve">, </w:t>
      </w:r>
      <w:r w:rsidRPr="006A6928" w:rsidR="004B5935">
        <w:rPr>
          <w:rFonts w:eastAsia="Times New Roman"/>
          <w:i/>
          <w:iCs/>
          <w:szCs w:val="26"/>
        </w:rPr>
        <w:t>reversed on other grounds by Twitter, Inc. v. Taamneh</w:t>
      </w:r>
      <w:r w:rsidRPr="006A6928" w:rsidR="004B5935">
        <w:rPr>
          <w:rFonts w:eastAsia="Times New Roman"/>
          <w:szCs w:val="26"/>
        </w:rPr>
        <w:t xml:space="preserve"> (2023) 598 U.S. 471</w:t>
      </w:r>
      <w:r w:rsidRPr="006A6928" w:rsidR="004715DA">
        <w:rPr>
          <w:rFonts w:eastAsia="Times New Roman"/>
          <w:szCs w:val="26"/>
        </w:rPr>
        <w:t>.</w:t>
      </w:r>
      <w:r w:rsidRPr="006A6928" w:rsidR="001658DA">
        <w:rPr>
          <w:rFonts w:eastAsia="Times New Roman"/>
          <w:szCs w:val="26"/>
        </w:rPr>
        <w:t xml:space="preserve">  </w:t>
      </w:r>
      <w:bookmarkEnd w:id="11"/>
      <w:r w:rsidRPr="006A6928" w:rsidR="001658DA">
        <w:rPr>
          <w:rFonts w:eastAsia="Times New Roman"/>
          <w:szCs w:val="26"/>
        </w:rPr>
        <w:t xml:space="preserve">In </w:t>
      </w:r>
      <w:r w:rsidRPr="006A6928" w:rsidR="001658DA">
        <w:rPr>
          <w:rFonts w:eastAsia="Times New Roman"/>
          <w:i/>
          <w:iCs/>
          <w:szCs w:val="26"/>
        </w:rPr>
        <w:t>Gonzalez</w:t>
      </w:r>
      <w:r w:rsidRPr="006A6928" w:rsidR="001658DA">
        <w:rPr>
          <w:rFonts w:eastAsia="Times New Roman"/>
          <w:szCs w:val="26"/>
        </w:rPr>
        <w:t xml:space="preserve">, </w:t>
      </w:r>
      <w:r w:rsidRPr="006A6928">
        <w:rPr>
          <w:rFonts w:eastAsia="Times New Roman"/>
          <w:szCs w:val="26"/>
        </w:rPr>
        <w:t>the p</w:t>
      </w:r>
      <w:r w:rsidRPr="006A6928">
        <w:rPr>
          <w:rFonts w:eastAsia="Times New Roman"/>
          <w:color w:val="000000"/>
          <w:szCs w:val="26"/>
        </w:rPr>
        <w:t xml:space="preserve">laintiffs were the families of victims of attacks by the terror group ISIS.  They sued </w:t>
      </w:r>
      <w:r w:rsidRPr="006A6928">
        <w:rPr>
          <w:rFonts w:eastAsia="Times New Roman"/>
          <w:szCs w:val="26"/>
        </w:rPr>
        <w:t xml:space="preserve">Google, Twitter and Facebook, alleging that </w:t>
      </w:r>
      <w:r w:rsidRPr="006A6928">
        <w:rPr>
          <w:szCs w:val="26"/>
          <w:shd w:val="clear" w:color="auto" w:fill="FFFFFF"/>
        </w:rPr>
        <w:t>the social media platforms allowed ISIS to post videos and other content to communicate their message, radicalize new recruits, and further its mission.  (</w:t>
      </w:r>
      <w:r w:rsidRPr="006A6928">
        <w:rPr>
          <w:i/>
          <w:iCs/>
          <w:szCs w:val="26"/>
          <w:shd w:val="clear" w:color="auto" w:fill="FFFFFF"/>
        </w:rPr>
        <w:t xml:space="preserve">Gonzalez, supra, </w:t>
      </w:r>
      <w:r w:rsidRPr="006A6928">
        <w:rPr>
          <w:szCs w:val="26"/>
          <w:shd w:val="clear" w:color="auto" w:fill="FFFFFF"/>
        </w:rPr>
        <w:t>2 F.4th at p. 880.)  They also claimed that Google placed paid advertisements in proximity to ISIS-created content and shared the resulting ad revenue with ISIS.  (</w:t>
      </w:r>
      <w:r w:rsidRPr="006A6928">
        <w:rPr>
          <w:i/>
          <w:iCs/>
          <w:szCs w:val="26"/>
          <w:shd w:val="clear" w:color="auto" w:fill="FFFFFF"/>
        </w:rPr>
        <w:t>Ibid.</w:t>
      </w:r>
      <w:r w:rsidRPr="006A6928">
        <w:rPr>
          <w:szCs w:val="26"/>
          <w:shd w:val="clear" w:color="auto" w:fill="FFFFFF"/>
        </w:rPr>
        <w:t xml:space="preserve">)  Accordingly, they alleged, the defendants were directly liable for committing acts of international terrorism pursuant </w:t>
      </w:r>
      <w:r w:rsidRPr="006A6928" w:rsidR="003B7B98">
        <w:rPr>
          <w:szCs w:val="26"/>
          <w:shd w:val="clear" w:color="auto" w:fill="FFFFFF"/>
        </w:rPr>
        <w:t xml:space="preserve">to </w:t>
      </w:r>
      <w:r w:rsidRPr="006A6928">
        <w:rPr>
          <w:szCs w:val="26"/>
          <w:shd w:val="clear" w:color="auto" w:fill="FFFFFF"/>
        </w:rPr>
        <w:t>the Anti-Terrorism Act, 18 U.S.C. § 2333, and secondarily liable for conspiring with, and aiding and abetting, acts of international terrorism.  (</w:t>
      </w:r>
      <w:r w:rsidRPr="006A6928">
        <w:rPr>
          <w:i/>
          <w:iCs/>
          <w:szCs w:val="26"/>
          <w:shd w:val="clear" w:color="auto" w:fill="FFFFFF"/>
        </w:rPr>
        <w:t>Ibid</w:t>
      </w:r>
      <w:r w:rsidRPr="006A6928">
        <w:rPr>
          <w:szCs w:val="26"/>
          <w:shd w:val="clear" w:color="auto" w:fill="FFFFFF"/>
        </w:rPr>
        <w:t>.)</w:t>
      </w:r>
    </w:p>
    <w:p w:rsidR="00957298" w:rsidRPr="006A6928" w:rsidP="00957298">
      <w:pPr>
        <w:ind w:firstLine="720"/>
        <w:textAlignment w:val="baseline"/>
        <w:rPr>
          <w:rFonts w:eastAsia="Times New Roman"/>
          <w:szCs w:val="26"/>
        </w:rPr>
      </w:pPr>
      <w:r w:rsidRPr="006A6928">
        <w:rPr>
          <w:rFonts w:eastAsia="Times New Roman"/>
          <w:szCs w:val="26"/>
        </w:rPr>
        <w:t xml:space="preserve">The Ninth Circuit held that </w:t>
      </w:r>
      <w:r w:rsidRPr="006A6928">
        <w:rPr>
          <w:rFonts w:eastAsia="Times New Roman"/>
          <w:szCs w:val="26"/>
          <w:bdr w:val="none" w:sz="0" w:space="0" w:color="auto" w:frame="1"/>
          <w:shd w:val="clear" w:color="auto" w:fill="FFFFFF"/>
        </w:rPr>
        <w:t xml:space="preserve">the plaintiffs’ revenue-sharing theory was distinct from the other theories of liability, as </w:t>
      </w:r>
      <w:r w:rsidRPr="006A6928" w:rsidR="004715DA">
        <w:rPr>
          <w:rFonts w:eastAsia="Times New Roman"/>
          <w:szCs w:val="26"/>
          <w:bdr w:val="none" w:sz="0" w:space="0" w:color="auto" w:frame="1"/>
          <w:shd w:val="clear" w:color="auto" w:fill="FFFFFF"/>
        </w:rPr>
        <w:t>it was</w:t>
      </w:r>
      <w:r w:rsidRPr="006A6928">
        <w:rPr>
          <w:rFonts w:eastAsia="Times New Roman"/>
          <w:szCs w:val="26"/>
        </w:rPr>
        <w:t xml:space="preserve"> </w:t>
      </w:r>
      <w:r w:rsidRPr="006A6928">
        <w:rPr>
          <w:rFonts w:eastAsia="Times New Roman"/>
          <w:szCs w:val="26"/>
          <w:bdr w:val="none" w:sz="0" w:space="0" w:color="auto" w:frame="1"/>
          <w:shd w:val="clear" w:color="auto" w:fill="FFFFFF"/>
        </w:rPr>
        <w:t>“not directed to the publication of third-party information,”</w:t>
      </w:r>
      <w:r w:rsidRPr="006A6928">
        <w:rPr>
          <w:rFonts w:eastAsia="Times New Roman"/>
          <w:szCs w:val="26"/>
        </w:rPr>
        <w:t xml:space="preserve"> but instead </w:t>
      </w:r>
      <w:r w:rsidRPr="006A6928" w:rsidR="004715DA">
        <w:rPr>
          <w:rFonts w:eastAsia="Times New Roman"/>
          <w:szCs w:val="26"/>
        </w:rPr>
        <w:t xml:space="preserve">was </w:t>
      </w:r>
      <w:r w:rsidRPr="006A6928">
        <w:rPr>
          <w:rFonts w:eastAsia="Times New Roman"/>
          <w:szCs w:val="26"/>
          <w:bdr w:val="none" w:sz="0" w:space="0" w:color="auto" w:frame="1"/>
          <w:shd w:val="clear" w:color="auto" w:fill="FFFFFF"/>
        </w:rPr>
        <w:t>“premised on Google providing ISIS with material support by giving ISIS money.”  (</w:t>
      </w:r>
      <w:r w:rsidRPr="006A6928" w:rsidR="00646D28">
        <w:rPr>
          <w:rFonts w:eastAsia="Times New Roman"/>
          <w:i/>
          <w:iCs/>
          <w:szCs w:val="26"/>
        </w:rPr>
        <w:t>Gonzalez</w:t>
      </w:r>
      <w:r w:rsidR="00646D28">
        <w:rPr>
          <w:rFonts w:eastAsia="Times New Roman"/>
          <w:i/>
          <w:iCs/>
          <w:szCs w:val="26"/>
        </w:rPr>
        <w:t>, supra,</w:t>
      </w:r>
      <w:r w:rsidRPr="006A6928" w:rsidR="00646D28">
        <w:rPr>
          <w:rFonts w:eastAsia="Times New Roman"/>
          <w:i/>
          <w:iCs/>
          <w:szCs w:val="26"/>
          <w:bdr w:val="none" w:sz="0" w:space="0" w:color="auto" w:frame="1"/>
          <w:shd w:val="clear" w:color="auto" w:fill="FFFFFF"/>
        </w:rPr>
        <w:t xml:space="preserve"> </w:t>
      </w:r>
      <w:r w:rsidRPr="006A6928" w:rsidR="00646D28">
        <w:rPr>
          <w:rFonts w:eastAsia="Times New Roman"/>
          <w:szCs w:val="26"/>
        </w:rPr>
        <w:t xml:space="preserve">2 F.4th </w:t>
      </w:r>
      <w:r w:rsidRPr="006A6928">
        <w:rPr>
          <w:rFonts w:eastAsia="Times New Roman"/>
          <w:szCs w:val="26"/>
          <w:bdr w:val="none" w:sz="0" w:space="0" w:color="auto" w:frame="1"/>
          <w:shd w:val="clear" w:color="auto" w:fill="FFFFFF"/>
        </w:rPr>
        <w:t>at 898</w:t>
      </w:r>
      <w:r w:rsidRPr="006A6928">
        <w:rPr>
          <w:rFonts w:eastAsia="Times New Roman"/>
          <w:szCs w:val="26"/>
        </w:rPr>
        <w:t xml:space="preserve">.)  The court explained that the revenue-sharing theory did not depend on “the </w:t>
      </w:r>
      <w:r w:rsidRPr="006A6928">
        <w:rPr>
          <w:rFonts w:eastAsia="Times New Roman"/>
          <w:szCs w:val="26"/>
          <w:bdr w:val="none" w:sz="0" w:space="0" w:color="auto" w:frame="1"/>
          <w:shd w:val="clear" w:color="auto" w:fill="FFFFFF"/>
        </w:rPr>
        <w:t>particular content ISIS places on YouTube; this theory is solely directed to Google’s unlawful payments of money to ISIS.”</w:t>
      </w:r>
      <w:r w:rsidRPr="006A6928">
        <w:rPr>
          <w:rFonts w:eastAsia="Times New Roman"/>
          <w:szCs w:val="26"/>
        </w:rPr>
        <w:t xml:space="preserve">  (</w:t>
      </w:r>
      <w:r w:rsidRPr="006A6928">
        <w:rPr>
          <w:rFonts w:eastAsia="Times New Roman"/>
          <w:i/>
          <w:iCs/>
          <w:szCs w:val="26"/>
          <w:bdr w:val="none" w:sz="0" w:space="0" w:color="auto" w:frame="1"/>
          <w:shd w:val="clear" w:color="auto" w:fill="FFFFFF"/>
        </w:rPr>
        <w:t>I</w:t>
      </w:r>
      <w:r w:rsidRPr="006A6928" w:rsidR="003B7B98">
        <w:rPr>
          <w:rFonts w:eastAsia="Times New Roman"/>
          <w:i/>
          <w:iCs/>
          <w:szCs w:val="26"/>
          <w:bdr w:val="none" w:sz="0" w:space="0" w:color="auto" w:frame="1"/>
          <w:shd w:val="clear" w:color="auto" w:fill="FFFFFF"/>
        </w:rPr>
        <w:t>bi</w:t>
      </w:r>
      <w:r w:rsidRPr="006A6928">
        <w:rPr>
          <w:rFonts w:eastAsia="Times New Roman"/>
          <w:i/>
          <w:iCs/>
          <w:szCs w:val="26"/>
          <w:bdr w:val="none" w:sz="0" w:space="0" w:color="auto" w:frame="1"/>
          <w:shd w:val="clear" w:color="auto" w:fill="FFFFFF"/>
        </w:rPr>
        <w:t>d.</w:t>
      </w:r>
      <w:r w:rsidRPr="006A6928">
        <w:rPr>
          <w:rFonts w:eastAsia="Times New Roman"/>
          <w:szCs w:val="26"/>
          <w:bdr w:val="none" w:sz="0" w:space="0" w:color="auto" w:frame="1"/>
          <w:shd w:val="clear" w:color="auto" w:fill="FFFFFF"/>
        </w:rPr>
        <w:t xml:space="preserve">) </w:t>
      </w:r>
      <w:r w:rsidRPr="006A6928">
        <w:rPr>
          <w:rFonts w:eastAsia="Times New Roman"/>
          <w:szCs w:val="26"/>
        </w:rPr>
        <w:t xml:space="preserve"> For that reason, section </w:t>
      </w:r>
      <w:r w:rsidRPr="006A6928" w:rsidR="004715DA">
        <w:rPr>
          <w:rFonts w:eastAsia="Times New Roman"/>
          <w:szCs w:val="26"/>
        </w:rPr>
        <w:t xml:space="preserve">230 </w:t>
      </w:r>
      <w:r w:rsidRPr="006A6928">
        <w:rPr>
          <w:rFonts w:eastAsia="Times New Roman"/>
          <w:szCs w:val="26"/>
        </w:rPr>
        <w:t xml:space="preserve">immunity did not apply to the revenue-sharing claims. </w:t>
      </w:r>
      <w:r w:rsidRPr="006A6928" w:rsidR="003B7B98">
        <w:rPr>
          <w:rFonts w:eastAsia="Times New Roman"/>
          <w:szCs w:val="26"/>
        </w:rPr>
        <w:t xml:space="preserve"> </w:t>
      </w:r>
      <w:r w:rsidRPr="006A6928">
        <w:rPr>
          <w:rFonts w:eastAsia="Times New Roman"/>
          <w:szCs w:val="26"/>
        </w:rPr>
        <w:t>(</w:t>
      </w:r>
      <w:r w:rsidRPr="006A6928">
        <w:rPr>
          <w:rFonts w:eastAsia="Times New Roman"/>
          <w:i/>
          <w:iCs/>
          <w:szCs w:val="26"/>
          <w:bdr w:val="none" w:sz="0" w:space="0" w:color="auto" w:frame="1"/>
          <w:shd w:val="clear" w:color="auto" w:fill="FFFFFF"/>
        </w:rPr>
        <w:t>Id.</w:t>
      </w:r>
      <w:r w:rsidRPr="006A6928">
        <w:rPr>
          <w:rFonts w:eastAsia="Times New Roman"/>
          <w:szCs w:val="26"/>
          <w:bdr w:val="none" w:sz="0" w:space="0" w:color="auto" w:frame="1"/>
          <w:shd w:val="clear" w:color="auto" w:fill="FFFFFF"/>
        </w:rPr>
        <w:t xml:space="preserve"> at pp. 898-99</w:t>
      </w:r>
      <w:r w:rsidRPr="006A6928">
        <w:rPr>
          <w:rFonts w:eastAsia="Times New Roman"/>
          <w:szCs w:val="26"/>
        </w:rPr>
        <w:t xml:space="preserve">.)  </w:t>
      </w:r>
    </w:p>
    <w:p w:rsidR="00957298" w:rsidRPr="006A6928" w:rsidP="00957298">
      <w:pPr>
        <w:ind w:firstLine="720"/>
        <w:textAlignment w:val="baseline"/>
        <w:rPr>
          <w:rFonts w:eastAsia="Times New Roman"/>
          <w:szCs w:val="26"/>
        </w:rPr>
      </w:pPr>
      <w:r w:rsidRPr="006A6928">
        <w:rPr>
          <w:rFonts w:eastAsia="Times New Roman"/>
          <w:szCs w:val="26"/>
        </w:rPr>
        <w:t xml:space="preserve">We find the case distinct.  </w:t>
      </w:r>
      <w:r w:rsidRPr="006A6928" w:rsidR="00464544">
        <w:rPr>
          <w:rFonts w:eastAsia="Times New Roman"/>
          <w:szCs w:val="26"/>
        </w:rPr>
        <w:t xml:space="preserve">Here, plaintiffs do not allege that defendants gave money directly to the third-party scammers.  </w:t>
      </w:r>
      <w:r w:rsidRPr="006A6928" w:rsidR="00A76C99">
        <w:rPr>
          <w:rFonts w:eastAsia="Times New Roman"/>
          <w:szCs w:val="26"/>
        </w:rPr>
        <w:t xml:space="preserve">There is no allegation of wrongdoing that is not dependent on the content of the third-party information.  While plaintiffs allege that defendants knowingly profited from the advertisements and the associated criminal scheme, </w:t>
      </w:r>
      <w:r w:rsidRPr="006A6928" w:rsidR="00A76C99">
        <w:rPr>
          <w:rFonts w:eastAsia="Times New Roman"/>
          <w:i/>
          <w:iCs/>
          <w:szCs w:val="26"/>
        </w:rPr>
        <w:t>Gonzalez</w:t>
      </w:r>
      <w:r w:rsidRPr="006A6928" w:rsidR="00A76C99">
        <w:rPr>
          <w:rFonts w:eastAsia="Times New Roman"/>
          <w:szCs w:val="26"/>
        </w:rPr>
        <w:t xml:space="preserve"> did not hold that </w:t>
      </w:r>
      <w:r w:rsidRPr="006A6928" w:rsidR="001C2D4C">
        <w:rPr>
          <w:rFonts w:eastAsia="Times New Roman"/>
          <w:szCs w:val="26"/>
        </w:rPr>
        <w:t>profiting from third-party advertisements is beyond the scope of section 230 immunity.  Instead, it distinguished between activity that</w:t>
      </w:r>
      <w:r w:rsidRPr="006A6928" w:rsidR="00A76C99">
        <w:rPr>
          <w:rFonts w:eastAsia="Times New Roman"/>
          <w:szCs w:val="26"/>
        </w:rPr>
        <w:t xml:space="preserve"> </w:t>
      </w:r>
      <w:r w:rsidRPr="006A6928" w:rsidR="001C2D4C">
        <w:rPr>
          <w:rFonts w:eastAsia="Times New Roman"/>
          <w:szCs w:val="26"/>
        </w:rPr>
        <w:t xml:space="preserve">depended on the particular content placed on YouTube, and activity that did not, such as directly providing material support to ISIS by giving them money.  </w:t>
      </w:r>
    </w:p>
    <w:p w:rsidR="00072F53" w:rsidRPr="006A6928" w:rsidP="00F84B29">
      <w:pPr>
        <w:ind w:firstLine="720"/>
        <w:textAlignment w:val="baseline"/>
        <w:rPr>
          <w:rFonts w:eastAsia="Times New Roman"/>
          <w:szCs w:val="26"/>
        </w:rPr>
      </w:pPr>
      <w:r w:rsidRPr="006A6928">
        <w:rPr>
          <w:rFonts w:eastAsia="Times New Roman"/>
          <w:szCs w:val="26"/>
        </w:rPr>
        <w:t xml:space="preserve">Plaintiffs’ second theory </w:t>
      </w:r>
      <w:r w:rsidRPr="006A6928" w:rsidR="00FD6A19">
        <w:rPr>
          <w:rFonts w:eastAsia="Times New Roman"/>
          <w:szCs w:val="26"/>
        </w:rPr>
        <w:t>is that section 230 does not immunize from claim</w:t>
      </w:r>
      <w:r w:rsidRPr="006A6928" w:rsidR="00DF519B">
        <w:rPr>
          <w:rFonts w:eastAsia="Times New Roman"/>
          <w:szCs w:val="26"/>
        </w:rPr>
        <w:t>s</w:t>
      </w:r>
      <w:r w:rsidRPr="006A6928" w:rsidR="00FD6A19">
        <w:rPr>
          <w:rFonts w:eastAsia="Times New Roman"/>
          <w:szCs w:val="26"/>
        </w:rPr>
        <w:t xml:space="preserve"> that defendants are “recommending scam videos </w:t>
      </w:r>
      <w:r w:rsidR="00646D28">
        <w:rPr>
          <w:rFonts w:eastAsia="Times New Roman"/>
          <w:szCs w:val="26"/>
        </w:rPr>
        <w:t>or</w:t>
      </w:r>
      <w:r w:rsidRPr="006A6928" w:rsidR="00646D28">
        <w:rPr>
          <w:rFonts w:eastAsia="Times New Roman"/>
          <w:szCs w:val="26"/>
        </w:rPr>
        <w:t xml:space="preserve"> </w:t>
      </w:r>
      <w:r w:rsidRPr="006A6928" w:rsidR="00FD6A19">
        <w:rPr>
          <w:rFonts w:eastAsia="Times New Roman"/>
          <w:szCs w:val="26"/>
        </w:rPr>
        <w:t xml:space="preserve">other activity involving algorithms to knowingly help criminals target vulnerable users.” </w:t>
      </w:r>
      <w:r w:rsidRPr="006A6928" w:rsidR="00DF519B">
        <w:rPr>
          <w:rFonts w:eastAsia="Times New Roman"/>
          <w:szCs w:val="26"/>
        </w:rPr>
        <w:t xml:space="preserve"> They argue </w:t>
      </w:r>
      <w:r w:rsidRPr="006A6928" w:rsidR="003F5761">
        <w:rPr>
          <w:rFonts w:eastAsia="Times New Roman"/>
          <w:szCs w:val="26"/>
        </w:rPr>
        <w:t>c</w:t>
      </w:r>
      <w:r w:rsidRPr="006A6928" w:rsidR="00DF519B">
        <w:rPr>
          <w:szCs w:val="26"/>
        </w:rPr>
        <w:t xml:space="preserve">ourts </w:t>
      </w:r>
      <w:r w:rsidRPr="006A6928" w:rsidR="003F5761">
        <w:rPr>
          <w:szCs w:val="26"/>
        </w:rPr>
        <w:t xml:space="preserve">have interpreted </w:t>
      </w:r>
      <w:r w:rsidRPr="006A6928" w:rsidR="003F5761">
        <w:rPr>
          <w:i/>
          <w:iCs/>
          <w:szCs w:val="26"/>
        </w:rPr>
        <w:t>Gonzalez</w:t>
      </w:r>
      <w:r w:rsidRPr="006A6928" w:rsidR="003F5761">
        <w:rPr>
          <w:szCs w:val="26"/>
        </w:rPr>
        <w:t xml:space="preserve"> as holding that </w:t>
      </w:r>
      <w:r w:rsidRPr="006A6928" w:rsidR="00DF519B">
        <w:rPr>
          <w:szCs w:val="26"/>
        </w:rPr>
        <w:t>the products of purportedly neutral website algorithms—</w:t>
      </w:r>
      <w:r w:rsidRPr="006A6928" w:rsidR="003F5761">
        <w:rPr>
          <w:szCs w:val="26"/>
        </w:rPr>
        <w:t xml:space="preserve">such as </w:t>
      </w:r>
      <w:r w:rsidRPr="006A6928" w:rsidR="00DF519B">
        <w:rPr>
          <w:szCs w:val="26"/>
        </w:rPr>
        <w:t xml:space="preserve">targeted ads and recommendations—are outside the bounds of Section 230 </w:t>
      </w:r>
      <w:r w:rsidRPr="006A6928" w:rsidR="003F5761">
        <w:rPr>
          <w:szCs w:val="26"/>
        </w:rPr>
        <w:t>“</w:t>
      </w:r>
      <w:r w:rsidRPr="006A6928" w:rsidR="00DF519B">
        <w:rPr>
          <w:szCs w:val="26"/>
        </w:rPr>
        <w:t>if the site owner is alleged to have knowingly assisted</w:t>
      </w:r>
      <w:r w:rsidRPr="006A6928" w:rsidR="003F5761">
        <w:rPr>
          <w:szCs w:val="26"/>
        </w:rPr>
        <w:t xml:space="preserve"> </w:t>
      </w:r>
      <w:r w:rsidRPr="006A6928" w:rsidR="00DF519B">
        <w:rPr>
          <w:szCs w:val="26"/>
        </w:rPr>
        <w:t>wrongdoers who harness those algorithms to inflict harm.</w:t>
      </w:r>
      <w:r w:rsidRPr="006A6928" w:rsidR="003F5761">
        <w:rPr>
          <w:szCs w:val="26"/>
        </w:rPr>
        <w:t>”   They rely on a case from the southern district of New York</w:t>
      </w:r>
      <w:r w:rsidRPr="006A6928" w:rsidR="00F84B29">
        <w:rPr>
          <w:szCs w:val="26"/>
        </w:rPr>
        <w:t>—</w:t>
      </w:r>
      <w:r w:rsidRPr="006A6928" w:rsidR="00F84B29">
        <w:rPr>
          <w:i/>
          <w:iCs/>
          <w:szCs w:val="26"/>
        </w:rPr>
        <w:t xml:space="preserve">National Coalition on Black Civic Participation v. </w:t>
      </w:r>
      <w:bookmarkStart w:id="13" w:name="_Hlk161214552"/>
      <w:r w:rsidRPr="006A6928" w:rsidR="00F84B29">
        <w:rPr>
          <w:i/>
          <w:iCs/>
          <w:szCs w:val="26"/>
        </w:rPr>
        <w:t>Wohl</w:t>
      </w:r>
      <w:r w:rsidRPr="006A6928" w:rsidR="00F84B29">
        <w:rPr>
          <w:szCs w:val="26"/>
        </w:rPr>
        <w:t xml:space="preserve"> </w:t>
      </w:r>
      <w:bookmarkEnd w:id="13"/>
      <w:r w:rsidRPr="006A6928" w:rsidR="00F84B29">
        <w:rPr>
          <w:szCs w:val="26"/>
        </w:rPr>
        <w:t>(S.D.N.Y.</w:t>
      </w:r>
      <w:r w:rsidR="003D5D76">
        <w:rPr>
          <w:szCs w:val="26"/>
        </w:rPr>
        <w:t>,</w:t>
      </w:r>
      <w:r w:rsidRPr="006A6928" w:rsidR="00F84B29">
        <w:rPr>
          <w:szCs w:val="26"/>
        </w:rPr>
        <w:t xml:space="preserve"> Sept. 17, 2021</w:t>
      </w:r>
      <w:r w:rsidR="008477A6">
        <w:rPr>
          <w:szCs w:val="26"/>
        </w:rPr>
        <w:t xml:space="preserve">, </w:t>
      </w:r>
      <w:r w:rsidRPr="00166CE5" w:rsidR="00166CE5">
        <w:rPr>
          <w:szCs w:val="26"/>
        </w:rPr>
        <w:t xml:space="preserve">20 Civ. 8668 (VM)) </w:t>
      </w:r>
      <w:bookmarkStart w:id="14" w:name="_Hlk161218305"/>
      <w:bookmarkStart w:id="15" w:name="_Hlk161231639"/>
      <w:r w:rsidRPr="006A6928" w:rsidR="00F84B29">
        <w:rPr>
          <w:szCs w:val="26"/>
        </w:rPr>
        <w:t xml:space="preserve">2021 </w:t>
      </w:r>
      <w:r w:rsidR="008477A6">
        <w:rPr>
          <w:szCs w:val="26"/>
        </w:rPr>
        <w:t xml:space="preserve">U.S. Dist. Lexis 177589* </w:t>
      </w:r>
      <w:bookmarkEnd w:id="14"/>
      <w:bookmarkEnd w:id="15"/>
      <w:r w:rsidR="00646D28">
        <w:rPr>
          <w:szCs w:val="26"/>
        </w:rPr>
        <w:t>(</w:t>
      </w:r>
      <w:r w:rsidRPr="006A6928" w:rsidR="00646D28">
        <w:rPr>
          <w:i/>
          <w:iCs/>
          <w:szCs w:val="26"/>
        </w:rPr>
        <w:t>Wohl</w:t>
      </w:r>
      <w:r w:rsidR="00646D28">
        <w:rPr>
          <w:szCs w:val="26"/>
        </w:rPr>
        <w:t>)</w:t>
      </w:r>
      <w:r w:rsidRPr="006A6928" w:rsidR="00F84B29">
        <w:rPr>
          <w:szCs w:val="26"/>
        </w:rPr>
        <w:t xml:space="preserve">.  In </w:t>
      </w:r>
      <w:r w:rsidRPr="006A6928" w:rsidR="00F84B29">
        <w:rPr>
          <w:i/>
          <w:iCs/>
          <w:szCs w:val="26"/>
        </w:rPr>
        <w:t>Wohl</w:t>
      </w:r>
      <w:r w:rsidRPr="006A6928" w:rsidR="00F84B29">
        <w:rPr>
          <w:szCs w:val="26"/>
        </w:rPr>
        <w:t xml:space="preserve">, the </w:t>
      </w:r>
      <w:r w:rsidRPr="006A6928" w:rsidR="00F34CCB">
        <w:rPr>
          <w:szCs w:val="26"/>
        </w:rPr>
        <w:t xml:space="preserve">defendants </w:t>
      </w:r>
      <w:r w:rsidRPr="006A6928" w:rsidR="00F84B29">
        <w:rPr>
          <w:szCs w:val="26"/>
        </w:rPr>
        <w:t xml:space="preserve">allegedly </w:t>
      </w:r>
      <w:r w:rsidRPr="006A6928" w:rsidR="00F34CCB">
        <w:rPr>
          <w:szCs w:val="26"/>
        </w:rPr>
        <w:t>sent robocalls containing false information intended to prevent recipients from voting</w:t>
      </w:r>
      <w:r w:rsidRPr="006A6928" w:rsidR="00F84B29">
        <w:rPr>
          <w:szCs w:val="26"/>
        </w:rPr>
        <w:t xml:space="preserve">, in violation of the Voting Rights Act of 1965 and Ku Klux Klan Act of 1870.  The court held that section 230 immunity did not apply because the defendants had acted as more than a passive publisher or neutral intermediary.  Rather than merely transmitting robocall messages, the defendants allegedly had </w:t>
      </w:r>
      <w:r w:rsidRPr="006A6928" w:rsidR="00F84B29">
        <w:rPr>
          <w:rFonts w:eastAsia="Times New Roman"/>
          <w:szCs w:val="26"/>
        </w:rPr>
        <w:t>discussed the content or purpose of the message</w:t>
      </w:r>
      <w:r w:rsidR="00592AAD">
        <w:rPr>
          <w:rFonts w:eastAsia="Times New Roman"/>
          <w:szCs w:val="26"/>
        </w:rPr>
        <w:t>s</w:t>
      </w:r>
      <w:r w:rsidRPr="006A6928" w:rsidR="00F84B29">
        <w:rPr>
          <w:rFonts w:eastAsia="Times New Roman"/>
          <w:szCs w:val="26"/>
        </w:rPr>
        <w:t>, maintained a database of phone numbers that could be targeted for a robocall campaign, and directed the message</w:t>
      </w:r>
      <w:r w:rsidR="00592AAD">
        <w:rPr>
          <w:rFonts w:eastAsia="Times New Roman"/>
          <w:szCs w:val="26"/>
        </w:rPr>
        <w:t>s</w:t>
      </w:r>
      <w:r w:rsidRPr="006A6928" w:rsidR="00F84B29">
        <w:rPr>
          <w:rFonts w:eastAsia="Times New Roman"/>
          <w:szCs w:val="26"/>
        </w:rPr>
        <w:t xml:space="preserve"> to specific communities and zip codes selected by certain defendants, “to maximize the threatening effects the robocall would have on Black voters in New York and other large metropolitan areas.”  (</w:t>
      </w:r>
      <w:r w:rsidRPr="006A6928" w:rsidR="00F84B29">
        <w:rPr>
          <w:rFonts w:eastAsia="Times New Roman"/>
          <w:i/>
          <w:iCs/>
          <w:szCs w:val="26"/>
        </w:rPr>
        <w:t>Id</w:t>
      </w:r>
      <w:r w:rsidRPr="006A6928" w:rsidR="00F84B29">
        <w:rPr>
          <w:rFonts w:eastAsia="Times New Roman"/>
          <w:szCs w:val="26"/>
        </w:rPr>
        <w:t>. at p. 8.)</w:t>
      </w:r>
      <w:r w:rsidRPr="006A6928">
        <w:rPr>
          <w:rFonts w:eastAsia="Times New Roman"/>
          <w:szCs w:val="26"/>
        </w:rPr>
        <w:t xml:space="preserve">  </w:t>
      </w:r>
    </w:p>
    <w:p w:rsidR="003F5761" w:rsidRPr="006A6928" w:rsidP="00F84B29">
      <w:pPr>
        <w:ind w:firstLine="720"/>
        <w:textAlignment w:val="baseline"/>
        <w:rPr>
          <w:rFonts w:eastAsia="Times New Roman"/>
          <w:szCs w:val="26"/>
        </w:rPr>
      </w:pPr>
      <w:r w:rsidRPr="006A6928">
        <w:rPr>
          <w:rFonts w:eastAsia="Times New Roman"/>
          <w:szCs w:val="26"/>
        </w:rPr>
        <w:t>The court acknowledged that “the use of neutral algorithms does not constitute content development.”  (</w:t>
      </w:r>
      <w:r w:rsidRPr="006A6928" w:rsidR="00646D28">
        <w:rPr>
          <w:i/>
          <w:iCs/>
          <w:szCs w:val="26"/>
        </w:rPr>
        <w:t>Wohl</w:t>
      </w:r>
      <w:r w:rsidR="00646D28">
        <w:rPr>
          <w:i/>
          <w:iCs/>
          <w:szCs w:val="26"/>
        </w:rPr>
        <w:t>, supra,</w:t>
      </w:r>
      <w:r w:rsidRPr="006A6928" w:rsidR="00646D28">
        <w:rPr>
          <w:szCs w:val="26"/>
        </w:rPr>
        <w:t xml:space="preserve"> </w:t>
      </w:r>
      <w:r w:rsidRPr="006A6928" w:rsidR="00564DB7">
        <w:rPr>
          <w:szCs w:val="26"/>
        </w:rPr>
        <w:t xml:space="preserve">2021 </w:t>
      </w:r>
      <w:r w:rsidR="00564DB7">
        <w:rPr>
          <w:szCs w:val="26"/>
        </w:rPr>
        <w:t xml:space="preserve">U.S. Dist. Lexis 177589* </w:t>
      </w:r>
      <w:r w:rsidRPr="006A6928">
        <w:rPr>
          <w:rFonts w:eastAsia="Times New Roman"/>
          <w:szCs w:val="26"/>
        </w:rPr>
        <w:t>at p. 9.)  However, it held that the claims at issue were not based on the mere provision or use of content-neutral tools in a neutral manner.  (</w:t>
      </w:r>
      <w:r w:rsidRPr="006A6928">
        <w:rPr>
          <w:rFonts w:eastAsia="Times New Roman"/>
          <w:i/>
          <w:iCs/>
          <w:szCs w:val="26"/>
        </w:rPr>
        <w:t>Ibid</w:t>
      </w:r>
      <w:r w:rsidRPr="006A6928">
        <w:rPr>
          <w:rFonts w:eastAsia="Times New Roman"/>
          <w:szCs w:val="26"/>
        </w:rPr>
        <w:t xml:space="preserve">.)  Instead, </w:t>
      </w:r>
      <w:r w:rsidRPr="006A6928" w:rsidR="00626FE3">
        <w:rPr>
          <w:rFonts w:eastAsia="Times New Roman"/>
          <w:szCs w:val="26"/>
        </w:rPr>
        <w:t>they alleged the defendants actively and specifically aided the illegal behavior, including by curating a list of target zip codes.  (</w:t>
      </w:r>
      <w:r w:rsidRPr="006A6928" w:rsidR="00626FE3">
        <w:rPr>
          <w:rFonts w:eastAsia="Times New Roman"/>
          <w:i/>
          <w:iCs/>
          <w:szCs w:val="26"/>
        </w:rPr>
        <w:t>Ibid</w:t>
      </w:r>
      <w:r w:rsidRPr="006A6928" w:rsidR="00626FE3">
        <w:rPr>
          <w:rFonts w:eastAsia="Times New Roman"/>
          <w:szCs w:val="26"/>
        </w:rPr>
        <w:t xml:space="preserve">.)  </w:t>
      </w:r>
    </w:p>
    <w:p w:rsidR="00641459" w:rsidRPr="006A6928" w:rsidP="00191F08">
      <w:pPr>
        <w:ind w:firstLine="720"/>
        <w:textAlignment w:val="baseline"/>
        <w:rPr>
          <w:szCs w:val="26"/>
        </w:rPr>
      </w:pPr>
      <w:r w:rsidRPr="006A6928">
        <w:rPr>
          <w:rFonts w:eastAsia="Times New Roman"/>
          <w:szCs w:val="26"/>
        </w:rPr>
        <w:t xml:space="preserve">We do not find the case analogous.  </w:t>
      </w:r>
      <w:r w:rsidRPr="006A6928" w:rsidR="00EE7727">
        <w:rPr>
          <w:rFonts w:eastAsia="Times New Roman"/>
          <w:szCs w:val="26"/>
        </w:rPr>
        <w:t>Here, plaintiffs have not alleged that defendants undertook any similar acts to actively and specifically aid the illegal behavior.  Instead, they allege only that YouTube’s neutral algorithm results in recommending the scam videos to certain targeted</w:t>
      </w:r>
      <w:r w:rsidRPr="006A6928" w:rsidR="004715DA">
        <w:rPr>
          <w:rFonts w:eastAsia="Times New Roman"/>
          <w:szCs w:val="26"/>
        </w:rPr>
        <w:t xml:space="preserve"> users</w:t>
      </w:r>
      <w:r w:rsidRPr="006A6928" w:rsidR="00EE7727">
        <w:rPr>
          <w:rFonts w:eastAsia="Times New Roman"/>
          <w:szCs w:val="26"/>
        </w:rPr>
        <w:t xml:space="preserve">.  </w:t>
      </w:r>
      <w:r w:rsidRPr="006A6928" w:rsidR="00FB79C7">
        <w:rPr>
          <w:rFonts w:eastAsia="Times New Roman"/>
          <w:szCs w:val="26"/>
        </w:rPr>
        <w:t xml:space="preserve">For instance, the SAC alleges that “YouTube’s </w:t>
      </w:r>
      <w:r w:rsidRPr="006A6928" w:rsidR="00FB79C7">
        <w:rPr>
          <w:szCs w:val="26"/>
        </w:rPr>
        <w:t>state-of-the-art algorithm tailors its recommended videos to its users based on a variety of personal information and data that YOUTUBE and GOOGLE collect about their users, including ‘clicks, watch time, likes/dislikes, comments, freshness, and upload frequency.’</w:t>
      </w:r>
      <w:r w:rsidR="00D15FF9">
        <w:rPr>
          <w:szCs w:val="26"/>
        </w:rPr>
        <w:t> </w:t>
      </w:r>
      <w:r w:rsidRPr="006A6928" w:rsidR="00FB79C7">
        <w:rPr>
          <w:szCs w:val="26"/>
        </w:rPr>
        <w:t xml:space="preserve">”  There is no allegation that YouTube has done anything more than develop and use a content-neutral algorithm.  </w:t>
      </w:r>
    </w:p>
    <w:p w:rsidR="00922F8B" w:rsidRPr="006A6928" w:rsidP="00191F08">
      <w:pPr>
        <w:ind w:firstLine="720"/>
        <w:textAlignment w:val="baseline"/>
        <w:rPr>
          <w:rFonts w:eastAsia="Times New Roman"/>
          <w:szCs w:val="26"/>
        </w:rPr>
      </w:pPr>
      <w:bookmarkStart w:id="16" w:name="_Hlk154062185"/>
      <w:r w:rsidRPr="006A6928">
        <w:rPr>
          <w:szCs w:val="26"/>
        </w:rPr>
        <w:t>Courts have consistently held that such neutral tools do not take an interactive computer service outside the scope of section 230 immunity</w:t>
      </w:r>
      <w:bookmarkEnd w:id="16"/>
      <w:r w:rsidRPr="006A6928">
        <w:rPr>
          <w:szCs w:val="26"/>
        </w:rPr>
        <w:t xml:space="preserve">.  </w:t>
      </w:r>
      <w:r w:rsidRPr="006A6928" w:rsidR="00641459">
        <w:rPr>
          <w:szCs w:val="26"/>
        </w:rPr>
        <w:t xml:space="preserve">In </w:t>
      </w:r>
      <w:r w:rsidRPr="006A6928" w:rsidR="00641459">
        <w:rPr>
          <w:i/>
          <w:iCs/>
          <w:szCs w:val="26"/>
        </w:rPr>
        <w:t>Dyroff</w:t>
      </w:r>
      <w:r w:rsidRPr="006A6928" w:rsidR="00641459">
        <w:rPr>
          <w:szCs w:val="26"/>
        </w:rPr>
        <w:t>, for instance,</w:t>
      </w:r>
      <w:r w:rsidRPr="006A6928" w:rsidR="0010163F">
        <w:rPr>
          <w:szCs w:val="26"/>
        </w:rPr>
        <w:t xml:space="preserve"> t</w:t>
      </w:r>
      <w:r w:rsidRPr="006A6928" w:rsidR="0010163F">
        <w:rPr>
          <w:rFonts w:eastAsia="Times New Roman"/>
          <w:szCs w:val="26"/>
        </w:rPr>
        <w:t>he plaintiff was the family of a man who had died after using fentanyl-laced heroin, which he had acquired following communications on defendant’s online messaging board.  (</w:t>
      </w:r>
      <w:r w:rsidRPr="006A6928" w:rsidR="0010163F">
        <w:rPr>
          <w:rFonts w:eastAsia="Times New Roman"/>
          <w:i/>
          <w:iCs/>
          <w:szCs w:val="26"/>
        </w:rPr>
        <w:t>Dyroff, supra,</w:t>
      </w:r>
      <w:r w:rsidRPr="006A6928" w:rsidR="0010163F">
        <w:rPr>
          <w:rFonts w:eastAsia="Times New Roman"/>
          <w:szCs w:val="26"/>
        </w:rPr>
        <w:t xml:space="preserve"> 934 F.3d at p. 1094.)  The plaintiff contended the messaging board created content because it “used features and functions, including algorithms, to analyze user posts ... and recommend other user groups.”  (</w:t>
      </w:r>
      <w:r w:rsidRPr="006A6928" w:rsidR="0010163F">
        <w:rPr>
          <w:rFonts w:eastAsia="Times New Roman"/>
          <w:i/>
          <w:iCs/>
          <w:szCs w:val="26"/>
        </w:rPr>
        <w:t>Id</w:t>
      </w:r>
      <w:r w:rsidRPr="006A6928" w:rsidR="0010163F">
        <w:rPr>
          <w:rFonts w:eastAsia="Times New Roman"/>
          <w:szCs w:val="26"/>
        </w:rPr>
        <w:t xml:space="preserve">. at p. 1098.)  The Ninth Circuit rejected the argument, holding that </w:t>
      </w:r>
      <w:bookmarkStart w:id="17" w:name="_Hlk154062302"/>
      <w:r w:rsidRPr="006A6928" w:rsidR="0010163F">
        <w:rPr>
          <w:rFonts w:eastAsia="Times New Roman"/>
          <w:szCs w:val="26"/>
        </w:rPr>
        <w:t xml:space="preserve">“[t]hese functions—recommendations and notifications—[were] tools meant to facilitate the communication and content of others,” and </w:t>
      </w:r>
      <w:r w:rsidRPr="006A6928" w:rsidR="003B7B98">
        <w:rPr>
          <w:rFonts w:eastAsia="Times New Roman"/>
          <w:szCs w:val="26"/>
        </w:rPr>
        <w:t xml:space="preserve">were </w:t>
      </w:r>
      <w:r w:rsidRPr="006A6928" w:rsidR="0010163F">
        <w:rPr>
          <w:rFonts w:eastAsia="Times New Roman"/>
          <w:szCs w:val="26"/>
        </w:rPr>
        <w:t>“not content in and of themselves.”  (</w:t>
      </w:r>
      <w:r w:rsidRPr="006A6928" w:rsidR="0010163F">
        <w:rPr>
          <w:rFonts w:eastAsia="Times New Roman"/>
          <w:i/>
          <w:iCs/>
          <w:szCs w:val="26"/>
          <w:bdr w:val="none" w:sz="0" w:space="0" w:color="auto" w:frame="1"/>
        </w:rPr>
        <w:t>Ibid</w:t>
      </w:r>
      <w:r w:rsidRPr="006A6928" w:rsidR="0010163F">
        <w:rPr>
          <w:rFonts w:eastAsia="Times New Roman"/>
          <w:szCs w:val="26"/>
        </w:rPr>
        <w:t xml:space="preserve">.)  </w:t>
      </w:r>
    </w:p>
    <w:p w:rsidR="00F067B4" w:rsidRPr="006A6928" w:rsidP="00191F08">
      <w:pPr>
        <w:ind w:firstLine="720"/>
        <w:textAlignment w:val="baseline"/>
        <w:rPr>
          <w:rFonts w:eastAsia="Times New Roman"/>
          <w:szCs w:val="26"/>
        </w:rPr>
      </w:pPr>
      <w:r w:rsidRPr="006A6928">
        <w:rPr>
          <w:rFonts w:eastAsia="Times New Roman"/>
          <w:szCs w:val="26"/>
        </w:rPr>
        <w:t>The online message board employed neutral tools similar to the ones challenged by plaintiffs here, and there is no allegation that the algorithms treat the scam content differently than any other third-party content.  (</w:t>
      </w:r>
      <w:r w:rsidRPr="006A6928" w:rsidR="003B7B98">
        <w:rPr>
          <w:rFonts w:eastAsia="Times New Roman"/>
          <w:i/>
          <w:iCs/>
          <w:szCs w:val="26"/>
        </w:rPr>
        <w:t>Ibid</w:t>
      </w:r>
      <w:r w:rsidRPr="00166CE5" w:rsidR="003B7B98">
        <w:rPr>
          <w:rFonts w:eastAsia="Times New Roman"/>
          <w:szCs w:val="26"/>
        </w:rPr>
        <w:t>.;</w:t>
      </w:r>
      <w:r w:rsidRPr="006A6928" w:rsidR="003B7B98">
        <w:rPr>
          <w:rFonts w:eastAsia="Times New Roman"/>
          <w:i/>
          <w:iCs/>
          <w:szCs w:val="26"/>
        </w:rPr>
        <w:t xml:space="preserve"> </w:t>
      </w:r>
      <w:r w:rsidRPr="006A6928" w:rsidR="003B7B98">
        <w:rPr>
          <w:rFonts w:eastAsia="Times New Roman"/>
          <w:szCs w:val="26"/>
        </w:rPr>
        <w:t>s</w:t>
      </w:r>
      <w:r w:rsidRPr="006A6928" w:rsidR="006024A8">
        <w:rPr>
          <w:szCs w:val="26"/>
        </w:rPr>
        <w:t>ee</w:t>
      </w:r>
      <w:r w:rsidRPr="006A6928">
        <w:rPr>
          <w:szCs w:val="26"/>
        </w:rPr>
        <w:t xml:space="preserve"> also</w:t>
      </w:r>
      <w:r w:rsidRPr="006A6928" w:rsidR="006024A8">
        <w:rPr>
          <w:szCs w:val="26"/>
        </w:rPr>
        <w:t xml:space="preserve">, </w:t>
      </w:r>
      <w:r w:rsidRPr="006A6928" w:rsidR="006024A8">
        <w:rPr>
          <w:i/>
          <w:iCs/>
          <w:szCs w:val="26"/>
        </w:rPr>
        <w:t>Gonzalez, supra</w:t>
      </w:r>
      <w:r w:rsidRPr="006A6928" w:rsidR="006024A8">
        <w:rPr>
          <w:szCs w:val="26"/>
        </w:rPr>
        <w:t>, 2 F.4th at p. 896 [“</w:t>
      </w:r>
      <w:r w:rsidRPr="006A6928" w:rsidR="00D1440A">
        <w:rPr>
          <w:rFonts w:eastAsia="Times New Roman"/>
          <w:szCs w:val="26"/>
        </w:rPr>
        <w:t>a website</w:t>
      </w:r>
      <w:r w:rsidRPr="006A6928" w:rsidR="006024A8">
        <w:rPr>
          <w:rFonts w:eastAsia="Times New Roman"/>
          <w:szCs w:val="26"/>
        </w:rPr>
        <w:t>’</w:t>
      </w:r>
      <w:r w:rsidRPr="006A6928" w:rsidR="00D1440A">
        <w:rPr>
          <w:rFonts w:eastAsia="Times New Roman"/>
          <w:szCs w:val="26"/>
        </w:rPr>
        <w:t>s use of content-neutral algorithms, without more, does not expose it to liability for content posted by a third-party</w:t>
      </w:r>
      <w:r w:rsidRPr="006A6928" w:rsidR="006024A8">
        <w:rPr>
          <w:rFonts w:eastAsia="Times New Roman"/>
          <w:szCs w:val="26"/>
        </w:rPr>
        <w:t xml:space="preserve">”]; </w:t>
      </w:r>
      <w:r w:rsidRPr="006A6928" w:rsidR="006024A8">
        <w:rPr>
          <w:rFonts w:eastAsia="Times New Roman"/>
          <w:i/>
          <w:iCs/>
          <w:szCs w:val="26"/>
        </w:rPr>
        <w:t>Roommates, supra,</w:t>
      </w:r>
      <w:r w:rsidRPr="006A6928" w:rsidR="006024A8">
        <w:rPr>
          <w:rFonts w:eastAsia="Times New Roman"/>
          <w:szCs w:val="26"/>
        </w:rPr>
        <w:t xml:space="preserve"> 521 F.3d at p. 1171 [website not transformed into content creator by virtue of supplying neutral tools that deliver content in response to user inputs]</w:t>
      </w:r>
      <w:r w:rsidRPr="006A6928">
        <w:rPr>
          <w:rFonts w:eastAsia="Times New Roman"/>
          <w:szCs w:val="26"/>
        </w:rPr>
        <w:t xml:space="preserve">; </w:t>
      </w:r>
      <w:r w:rsidRPr="006A6928">
        <w:rPr>
          <w:rFonts w:eastAsia="Times New Roman"/>
          <w:i/>
          <w:iCs/>
          <w:szCs w:val="26"/>
        </w:rPr>
        <w:t xml:space="preserve">cf. Liapes, supra, </w:t>
      </w:r>
      <w:r w:rsidRPr="006A6928">
        <w:rPr>
          <w:rFonts w:eastAsia="Times New Roman"/>
          <w:szCs w:val="26"/>
        </w:rPr>
        <w:t>95 Cal.App.5th at p. 929 [Facebook’s tools were not neutral</w:t>
      </w:r>
      <w:r w:rsidRPr="006A6928" w:rsidR="002931B9">
        <w:rPr>
          <w:rFonts w:eastAsia="Times New Roman"/>
          <w:szCs w:val="26"/>
        </w:rPr>
        <w:t>—</w:t>
      </w:r>
      <w:r w:rsidRPr="006A6928">
        <w:rPr>
          <w:rFonts w:eastAsia="Times New Roman"/>
          <w:szCs w:val="26"/>
        </w:rPr>
        <w:t>rather than merely proliferate and disseminate content as a publisher, they created, shaped, and developed content by requiring users to provide information used to contribute to discriminatory unlawfulness].)</w:t>
      </w:r>
      <w:bookmarkEnd w:id="17"/>
    </w:p>
    <w:p w:rsidR="003A3015" w:rsidRPr="006A6928" w:rsidP="003A3015">
      <w:pPr>
        <w:pStyle w:val="ListParagraph"/>
        <w:spacing w:line="240" w:lineRule="auto"/>
        <w:ind w:left="2160"/>
        <w:textAlignment w:val="baseline"/>
        <w:rPr>
          <w:rFonts w:eastAsia="Times New Roman"/>
          <w:b/>
          <w:bCs/>
          <w:i/>
          <w:iCs/>
          <w:szCs w:val="26"/>
        </w:rPr>
      </w:pPr>
    </w:p>
    <w:p w:rsidR="003A3015" w:rsidRPr="006A6928" w:rsidP="003A3015">
      <w:pPr>
        <w:pStyle w:val="ListParagraph"/>
        <w:numPr>
          <w:ilvl w:val="1"/>
          <w:numId w:val="11"/>
        </w:numPr>
        <w:spacing w:line="240" w:lineRule="auto"/>
        <w:ind w:left="2160"/>
        <w:textAlignment w:val="baseline"/>
        <w:rPr>
          <w:rFonts w:eastAsia="Times New Roman"/>
          <w:b/>
          <w:bCs/>
          <w:i/>
          <w:iCs/>
          <w:szCs w:val="26"/>
        </w:rPr>
      </w:pPr>
      <w:r w:rsidRPr="006A6928">
        <w:rPr>
          <w:rFonts w:eastAsia="Times New Roman"/>
          <w:b/>
          <w:bCs/>
          <w:i/>
          <w:iCs/>
          <w:szCs w:val="26"/>
        </w:rPr>
        <w:t>Claims based on wrongful disclosure and misuse of plaintiffs’ personal information</w:t>
      </w:r>
    </w:p>
    <w:p w:rsidR="00FA163F" w:rsidRPr="006A6928" w:rsidP="00FA163F">
      <w:pPr>
        <w:ind w:firstLine="720"/>
        <w:textAlignment w:val="baseline"/>
        <w:rPr>
          <w:rFonts w:eastAsia="Times New Roman"/>
          <w:szCs w:val="26"/>
        </w:rPr>
      </w:pPr>
      <w:r w:rsidRPr="006A6928">
        <w:rPr>
          <w:rFonts w:eastAsia="Times New Roman"/>
          <w:szCs w:val="26"/>
        </w:rPr>
        <w:t xml:space="preserve">Plaintiffs argue that defendants failed to take reasonable measures to protect their personal information from being disclosed to and exploited by scammers.  </w:t>
      </w:r>
      <w:r w:rsidRPr="006A6928" w:rsidR="000C796E">
        <w:rPr>
          <w:rFonts w:eastAsia="Times New Roman"/>
          <w:szCs w:val="26"/>
        </w:rPr>
        <w:t xml:space="preserve">In support of their arguments, plaintiffs cite allegations in their negligence, </w:t>
      </w:r>
      <w:r w:rsidRPr="006A6928" w:rsidR="003B7B98">
        <w:rPr>
          <w:rFonts w:eastAsia="Times New Roman"/>
          <w:szCs w:val="26"/>
        </w:rPr>
        <w:t>unfair business practices</w:t>
      </w:r>
      <w:r w:rsidRPr="006A6928" w:rsidR="000C796E">
        <w:rPr>
          <w:rFonts w:eastAsia="Times New Roman"/>
          <w:szCs w:val="26"/>
        </w:rPr>
        <w:t>, breach of</w:t>
      </w:r>
      <w:r w:rsidRPr="006A6928" w:rsidR="00D22CFC">
        <w:rPr>
          <w:rFonts w:eastAsia="Times New Roman"/>
          <w:szCs w:val="26"/>
        </w:rPr>
        <w:t xml:space="preserve"> implied</w:t>
      </w:r>
      <w:r w:rsidRPr="006A6928" w:rsidR="000C796E">
        <w:rPr>
          <w:rFonts w:eastAsia="Times New Roman"/>
          <w:szCs w:val="26"/>
        </w:rPr>
        <w:t xml:space="preserve"> contract, and promissory estoppel causes of action.</w:t>
      </w:r>
      <w:r w:rsidRPr="006A6928">
        <w:rPr>
          <w:rFonts w:eastAsia="Times New Roman"/>
          <w:szCs w:val="26"/>
        </w:rPr>
        <w:t xml:space="preserve">  </w:t>
      </w:r>
    </w:p>
    <w:p w:rsidR="00D22CFC" w:rsidRPr="006A6928" w:rsidP="0089319C">
      <w:pPr>
        <w:ind w:firstLine="720"/>
        <w:textAlignment w:val="baseline"/>
        <w:rPr>
          <w:szCs w:val="26"/>
        </w:rPr>
      </w:pPr>
      <w:r w:rsidRPr="006A6928">
        <w:rPr>
          <w:rFonts w:eastAsia="Times New Roman"/>
          <w:szCs w:val="26"/>
        </w:rPr>
        <w:t>With respect to</w:t>
      </w:r>
      <w:r w:rsidRPr="006A6928" w:rsidR="000C796E">
        <w:rPr>
          <w:rFonts w:eastAsia="Times New Roman"/>
          <w:szCs w:val="26"/>
        </w:rPr>
        <w:t xml:space="preserve"> the</w:t>
      </w:r>
      <w:r w:rsidRPr="006A6928">
        <w:rPr>
          <w:rFonts w:eastAsia="Times New Roman"/>
          <w:szCs w:val="26"/>
        </w:rPr>
        <w:t xml:space="preserve">ir breach of implied contract, </w:t>
      </w:r>
      <w:r w:rsidRPr="006A6928" w:rsidR="000C796E">
        <w:rPr>
          <w:rFonts w:eastAsia="Times New Roman"/>
          <w:szCs w:val="26"/>
        </w:rPr>
        <w:t xml:space="preserve">negligence and </w:t>
      </w:r>
      <w:r w:rsidRPr="006A6928" w:rsidR="003B7B98">
        <w:rPr>
          <w:rFonts w:eastAsia="Times New Roman"/>
          <w:szCs w:val="26"/>
        </w:rPr>
        <w:t>unfair business practices</w:t>
      </w:r>
      <w:r w:rsidRPr="006A6928" w:rsidR="000C796E">
        <w:rPr>
          <w:rFonts w:eastAsia="Times New Roman"/>
          <w:szCs w:val="26"/>
        </w:rPr>
        <w:t xml:space="preserve"> causes of action, plaintiffs argue </w:t>
      </w:r>
      <w:r w:rsidRPr="006A6928">
        <w:rPr>
          <w:rFonts w:eastAsia="Times New Roman"/>
          <w:szCs w:val="26"/>
        </w:rPr>
        <w:t xml:space="preserve">only </w:t>
      </w:r>
      <w:r w:rsidRPr="006A6928" w:rsidR="000C796E">
        <w:rPr>
          <w:rFonts w:eastAsia="Times New Roman"/>
          <w:szCs w:val="26"/>
        </w:rPr>
        <w:t>that</w:t>
      </w:r>
      <w:r w:rsidRPr="006A6928">
        <w:rPr>
          <w:rFonts w:eastAsia="Times New Roman"/>
          <w:szCs w:val="26"/>
        </w:rPr>
        <w:t xml:space="preserve">, “for reasons </w:t>
      </w:r>
      <w:r w:rsidR="005832F2">
        <w:rPr>
          <w:rFonts w:eastAsia="Times New Roman"/>
          <w:szCs w:val="26"/>
        </w:rPr>
        <w:t xml:space="preserve">similar to those </w:t>
      </w:r>
      <w:r w:rsidRPr="006A6928">
        <w:rPr>
          <w:rFonts w:eastAsia="Times New Roman"/>
          <w:szCs w:val="26"/>
        </w:rPr>
        <w:t xml:space="preserve">above,” </w:t>
      </w:r>
      <w:r w:rsidRPr="006A6928" w:rsidR="000C796E">
        <w:rPr>
          <w:rFonts w:eastAsia="Times New Roman"/>
          <w:szCs w:val="26"/>
        </w:rPr>
        <w:t xml:space="preserve">they do not seek to hold defendants liable as the publisher or speaker of third-party content, but rather </w:t>
      </w:r>
      <w:r w:rsidRPr="006A6928" w:rsidR="0089319C">
        <w:rPr>
          <w:rFonts w:eastAsia="Times New Roman"/>
          <w:szCs w:val="26"/>
        </w:rPr>
        <w:t>“</w:t>
      </w:r>
      <w:r w:rsidRPr="006A6928" w:rsidR="000C796E">
        <w:rPr>
          <w:rFonts w:eastAsia="Times New Roman"/>
          <w:szCs w:val="26"/>
        </w:rPr>
        <w:t xml:space="preserve">for their </w:t>
      </w:r>
      <w:r w:rsidRPr="006A6928" w:rsidR="000C796E">
        <w:rPr>
          <w:szCs w:val="26"/>
        </w:rPr>
        <w:t xml:space="preserve">failure to take reasonable measures to ensure they are not selling targeted scam ads and making recommendations that weaponize Plaintiffs’ </w:t>
      </w:r>
      <w:r w:rsidR="00592AAD">
        <w:rPr>
          <w:szCs w:val="26"/>
        </w:rPr>
        <w:t>[personal information]</w:t>
      </w:r>
      <w:r w:rsidRPr="006A6928" w:rsidR="00592AAD">
        <w:rPr>
          <w:szCs w:val="26"/>
        </w:rPr>
        <w:t xml:space="preserve"> </w:t>
      </w:r>
      <w:r w:rsidRPr="006A6928" w:rsidR="000C796E">
        <w:rPr>
          <w:szCs w:val="26"/>
        </w:rPr>
        <w:t xml:space="preserve">against them.”  For support, they rely again on </w:t>
      </w:r>
      <w:r w:rsidRPr="006A6928" w:rsidR="000C796E">
        <w:rPr>
          <w:i/>
          <w:iCs/>
          <w:szCs w:val="26"/>
        </w:rPr>
        <w:t>In re Zoom</w:t>
      </w:r>
      <w:r w:rsidRPr="006A6928">
        <w:rPr>
          <w:szCs w:val="26"/>
        </w:rPr>
        <w:t xml:space="preserve">.  </w:t>
      </w:r>
    </w:p>
    <w:p w:rsidR="00D22CFC" w:rsidRPr="006A6928" w:rsidP="00D22CFC">
      <w:pPr>
        <w:ind w:firstLine="720"/>
        <w:textAlignment w:val="baseline"/>
        <w:rPr>
          <w:rFonts w:eastAsia="Times New Roman"/>
          <w:szCs w:val="26"/>
        </w:rPr>
      </w:pPr>
      <w:r w:rsidRPr="006A6928">
        <w:rPr>
          <w:szCs w:val="26"/>
        </w:rPr>
        <w:t xml:space="preserve">For the same reasons </w:t>
      </w:r>
      <w:r w:rsidRPr="006A6928" w:rsidR="0089319C">
        <w:rPr>
          <w:szCs w:val="26"/>
        </w:rPr>
        <w:t>set forth</w:t>
      </w:r>
      <w:r w:rsidRPr="006A6928">
        <w:rPr>
          <w:szCs w:val="26"/>
        </w:rPr>
        <w:t xml:space="preserve"> above in the sections discussing plaintiffs’ negligence-based claims, we conclude </w:t>
      </w:r>
      <w:r w:rsidRPr="006A6928" w:rsidR="0089319C">
        <w:rPr>
          <w:szCs w:val="26"/>
        </w:rPr>
        <w:t xml:space="preserve">these claims also seek to treat defendants as a publisher and speaker of information provided by another information content provider because they are ultimately </w:t>
      </w:r>
      <w:r w:rsidRPr="006A6928" w:rsidR="0089319C">
        <w:rPr>
          <w:rFonts w:eastAsia="Times New Roman"/>
          <w:szCs w:val="26"/>
        </w:rPr>
        <w:t xml:space="preserve">predicated on YouTube allowing the scam videos to be shown on the hijacked channels.  </w:t>
      </w:r>
      <w:r w:rsidRPr="006A6928">
        <w:rPr>
          <w:rFonts w:eastAsia="Times New Roman"/>
          <w:szCs w:val="26"/>
        </w:rPr>
        <w:t>(</w:t>
      </w:r>
      <w:r w:rsidRPr="006A6928">
        <w:rPr>
          <w:rFonts w:eastAsia="Times New Roman"/>
          <w:i/>
          <w:iCs/>
          <w:szCs w:val="26"/>
        </w:rPr>
        <w:t>Murphy, supra,</w:t>
      </w:r>
      <w:r w:rsidRPr="006A6928">
        <w:rPr>
          <w:rFonts w:eastAsia="Times New Roman"/>
          <w:szCs w:val="26"/>
        </w:rPr>
        <w:t xml:space="preserve"> 60 Cal.App.5th at p. 24.)</w:t>
      </w:r>
      <w:r>
        <w:rPr>
          <w:rStyle w:val="FootnoteReference"/>
          <w:rFonts w:eastAsia="Times New Roman"/>
          <w:szCs w:val="26"/>
        </w:rPr>
        <w:footnoteReference w:id="9"/>
      </w:r>
    </w:p>
    <w:p w:rsidR="001A1BE8" w:rsidRPr="006A6928" w:rsidP="001A1BE8">
      <w:pPr>
        <w:ind w:firstLine="720"/>
        <w:textAlignment w:val="baseline"/>
        <w:rPr>
          <w:szCs w:val="26"/>
        </w:rPr>
      </w:pPr>
      <w:r w:rsidRPr="006A6928">
        <w:rPr>
          <w:rFonts w:eastAsia="Times New Roman"/>
          <w:szCs w:val="26"/>
        </w:rPr>
        <w:t xml:space="preserve">With respect to their </w:t>
      </w:r>
      <w:r w:rsidRPr="006A6928" w:rsidR="00620759">
        <w:rPr>
          <w:rFonts w:eastAsia="Times New Roman"/>
          <w:szCs w:val="26"/>
        </w:rPr>
        <w:t>promissory estoppel cause of action, plaintiffs argue that it is based on defendants’ “p</w:t>
      </w:r>
      <w:r w:rsidRPr="006A6928" w:rsidR="00620759">
        <w:rPr>
          <w:szCs w:val="26"/>
        </w:rPr>
        <w:t xml:space="preserve">ublic and widely publicized promises about providing excellent security, protecting against scams, ensuring the accuracy of video metrics and other video and channel information, and using Plaintiffs’ personal non-public information and data in a responsible way.” </w:t>
      </w:r>
      <w:r w:rsidRPr="006A6928">
        <w:rPr>
          <w:szCs w:val="26"/>
        </w:rPr>
        <w:t xml:space="preserve"> According to plaintiffs, their “quasi-contractual claims are based on breaches of duties and promises that have nothing to do with content moderation, such as implied duties and promises to protect Plaintiffs from known security flaws and to protect Plaintiffs’ </w:t>
      </w:r>
      <w:r w:rsidRPr="006A6928" w:rsidR="00845FCE">
        <w:rPr>
          <w:szCs w:val="26"/>
        </w:rPr>
        <w:t>[personal information]</w:t>
      </w:r>
      <w:r w:rsidRPr="006A6928">
        <w:rPr>
          <w:szCs w:val="26"/>
        </w:rPr>
        <w:t xml:space="preserve"> from misuse and wrongful disclosure.” </w:t>
      </w:r>
    </w:p>
    <w:p w:rsidR="00D74848" w:rsidRPr="006A6928" w:rsidP="00D74848">
      <w:pPr>
        <w:ind w:firstLine="720"/>
        <w:textAlignment w:val="baseline"/>
        <w:rPr>
          <w:rFonts w:eastAsia="Times New Roman"/>
          <w:i/>
          <w:iCs/>
          <w:szCs w:val="26"/>
        </w:rPr>
      </w:pPr>
      <w:r w:rsidRPr="006A6928">
        <w:rPr>
          <w:szCs w:val="26"/>
        </w:rPr>
        <w:t>Plaintiffs rely chiefly on the Ninth Circuit</w:t>
      </w:r>
      <w:r w:rsidRPr="006A6928" w:rsidR="00CF285A">
        <w:rPr>
          <w:szCs w:val="26"/>
        </w:rPr>
        <w:t xml:space="preserve"> Court of Appeals</w:t>
      </w:r>
      <w:r w:rsidRPr="006A6928">
        <w:rPr>
          <w:szCs w:val="26"/>
        </w:rPr>
        <w:t xml:space="preserve">’ decision in </w:t>
      </w:r>
      <w:r w:rsidRPr="006A6928">
        <w:rPr>
          <w:i/>
          <w:iCs/>
          <w:szCs w:val="26"/>
        </w:rPr>
        <w:t>Barnes</w:t>
      </w:r>
      <w:r w:rsidRPr="006A6928">
        <w:rPr>
          <w:szCs w:val="26"/>
        </w:rPr>
        <w:t xml:space="preserve"> for support.  In that case, the plaintiff sued Yahoo after her ex-boyfriend posted unauthorized false profiles of her on its website.  </w:t>
      </w:r>
      <w:r w:rsidRPr="006A6928">
        <w:rPr>
          <w:rFonts w:eastAsia="Times New Roman"/>
          <w:szCs w:val="26"/>
        </w:rPr>
        <w:t>(</w:t>
      </w:r>
      <w:bookmarkStart w:id="18" w:name="_Hlk161220120"/>
      <w:r w:rsidRPr="006A6928">
        <w:rPr>
          <w:rFonts w:eastAsia="Times New Roman"/>
          <w:i/>
          <w:iCs/>
          <w:szCs w:val="26"/>
          <w:bdr w:val="none" w:sz="0" w:space="0" w:color="auto" w:frame="1"/>
        </w:rPr>
        <w:t>Barnes, supra</w:t>
      </w:r>
      <w:r w:rsidRPr="006A6928">
        <w:rPr>
          <w:rFonts w:eastAsia="Times New Roman"/>
          <w:szCs w:val="26"/>
          <w:bdr w:val="none" w:sz="0" w:space="0" w:color="auto" w:frame="1"/>
        </w:rPr>
        <w:t>, 570 F.3d</w:t>
      </w:r>
      <w:r w:rsidRPr="006A6928">
        <w:rPr>
          <w:rFonts w:eastAsia="Times New Roman"/>
          <w:szCs w:val="26"/>
        </w:rPr>
        <w:t xml:space="preserve"> </w:t>
      </w:r>
      <w:bookmarkEnd w:id="18"/>
      <w:r w:rsidRPr="006A6928">
        <w:rPr>
          <w:rFonts w:eastAsia="Times New Roman"/>
          <w:szCs w:val="26"/>
        </w:rPr>
        <w:t xml:space="preserve">at pp. 1098–1099.) </w:t>
      </w:r>
      <w:r w:rsidRPr="006A6928">
        <w:rPr>
          <w:szCs w:val="26"/>
        </w:rPr>
        <w:t xml:space="preserve"> In response to her demand that Yahoo remove the profiles, Yahoo’s director of communications called her and told her he would “</w:t>
      </w:r>
      <w:r w:rsidRPr="006A6928" w:rsidR="00260264">
        <w:rPr>
          <w:szCs w:val="26"/>
        </w:rPr>
        <w:t xml:space="preserve"> ‘</w:t>
      </w:r>
      <w:r w:rsidRPr="006A6928">
        <w:rPr>
          <w:rFonts w:eastAsia="Times New Roman"/>
          <w:szCs w:val="26"/>
        </w:rPr>
        <w:t>personally walk the statements over to the division responsible for stopping unauthorized profiles and they would take care of it.’ ”  (</w:t>
      </w:r>
      <w:r w:rsidRPr="006A6928">
        <w:rPr>
          <w:rFonts w:eastAsia="Times New Roman"/>
          <w:i/>
          <w:iCs/>
          <w:szCs w:val="26"/>
          <w:bdr w:val="none" w:sz="0" w:space="0" w:color="auto" w:frame="1"/>
        </w:rPr>
        <w:t xml:space="preserve">Id. </w:t>
      </w:r>
      <w:r w:rsidRPr="006A6928">
        <w:rPr>
          <w:rFonts w:eastAsia="Times New Roman"/>
          <w:szCs w:val="26"/>
        </w:rPr>
        <w:t>at pp. 1098–1099.)  After Yahoo still failed to remove the content, Barnes sued, alleging negligence and promissory estoppel.  (</w:t>
      </w:r>
      <w:r w:rsidRPr="006A6928">
        <w:rPr>
          <w:rFonts w:eastAsia="Times New Roman"/>
          <w:i/>
          <w:iCs/>
          <w:szCs w:val="26"/>
        </w:rPr>
        <w:t>Id.</w:t>
      </w:r>
      <w:r w:rsidRPr="006A6928">
        <w:rPr>
          <w:rFonts w:eastAsia="Times New Roman"/>
          <w:szCs w:val="26"/>
        </w:rPr>
        <w:t>)</w:t>
      </w:r>
      <w:r w:rsidRPr="006A6928">
        <w:rPr>
          <w:rFonts w:eastAsia="Times New Roman"/>
          <w:i/>
          <w:iCs/>
          <w:szCs w:val="26"/>
        </w:rPr>
        <w:t xml:space="preserve">  </w:t>
      </w:r>
    </w:p>
    <w:p w:rsidR="00D74848" w:rsidRPr="006A6928" w:rsidP="00D74848">
      <w:pPr>
        <w:ind w:firstLine="720"/>
        <w:textAlignment w:val="baseline"/>
        <w:rPr>
          <w:rFonts w:eastAsia="Times New Roman"/>
          <w:szCs w:val="26"/>
        </w:rPr>
      </w:pPr>
      <w:r w:rsidRPr="006A6928">
        <w:rPr>
          <w:rFonts w:eastAsia="Times New Roman"/>
          <w:szCs w:val="26"/>
        </w:rPr>
        <w:t xml:space="preserve">The Ninth Circuit drew a distinction between the two </w:t>
      </w:r>
      <w:r w:rsidRPr="006A6928" w:rsidR="00CF285A">
        <w:rPr>
          <w:rFonts w:eastAsia="Times New Roman"/>
          <w:szCs w:val="26"/>
        </w:rPr>
        <w:t xml:space="preserve">types of </w:t>
      </w:r>
      <w:r w:rsidRPr="006A6928">
        <w:rPr>
          <w:rFonts w:eastAsia="Times New Roman"/>
          <w:szCs w:val="26"/>
        </w:rPr>
        <w:t xml:space="preserve">claims.  </w:t>
      </w:r>
      <w:bookmarkStart w:id="19" w:name="_Hlk154059401"/>
      <w:r w:rsidRPr="006A6928">
        <w:rPr>
          <w:rFonts w:eastAsia="Times New Roman"/>
          <w:szCs w:val="26"/>
        </w:rPr>
        <w:t>The negligence claim was barred by section 230 because “the duty that Barnes claims Yahoo violated derives from Yahoo</w:t>
      </w:r>
      <w:r w:rsidRPr="006A6928" w:rsidR="00CF285A">
        <w:rPr>
          <w:rFonts w:eastAsia="Times New Roman"/>
          <w:szCs w:val="26"/>
        </w:rPr>
        <w:t>’</w:t>
      </w:r>
      <w:r w:rsidRPr="006A6928">
        <w:rPr>
          <w:rFonts w:eastAsia="Times New Roman"/>
          <w:szCs w:val="26"/>
        </w:rPr>
        <w:t>s conduct as a publisher—the steps it allegedly took, but later supposedly abandoned, to de-publish the offensive profiles.”  (</w:t>
      </w:r>
      <w:r w:rsidRPr="006A1585" w:rsidR="006A1585">
        <w:rPr>
          <w:rFonts w:eastAsia="Times New Roman"/>
          <w:i/>
          <w:iCs/>
          <w:szCs w:val="26"/>
        </w:rPr>
        <w:t>Barnes, supra</w:t>
      </w:r>
      <w:r w:rsidRPr="006A1585" w:rsidR="006A1585">
        <w:rPr>
          <w:rFonts w:eastAsia="Times New Roman"/>
          <w:szCs w:val="26"/>
        </w:rPr>
        <w:t xml:space="preserve">, 570 F.3d </w:t>
      </w:r>
      <w:r w:rsidRPr="006A6928">
        <w:rPr>
          <w:rFonts w:eastAsia="Times New Roman"/>
          <w:szCs w:val="26"/>
        </w:rPr>
        <w:t>at p. 1103.)  By contrast, the promissory estoppel claim was not barred because “the duty the defendant allegedly violated springs from a contract—an enforceable promise—not from any non-contractual conduct or capacity of the defendant. [Citation.] Barnes does not seek to hold Yahoo liable as a publisher or speaker of third-party content, but rather as the counter-party to a contract, as a promisor who has breached.” (</w:t>
      </w:r>
      <w:r w:rsidRPr="006A6928">
        <w:rPr>
          <w:rFonts w:eastAsia="Times New Roman"/>
          <w:i/>
          <w:iCs/>
          <w:szCs w:val="26"/>
          <w:bdr w:val="none" w:sz="0" w:space="0" w:color="auto" w:frame="1"/>
        </w:rPr>
        <w:t>Id.</w:t>
      </w:r>
      <w:r w:rsidRPr="006A6928">
        <w:rPr>
          <w:rFonts w:eastAsia="Times New Roman"/>
          <w:szCs w:val="26"/>
        </w:rPr>
        <w:t xml:space="preserve"> at p. 1107.)</w:t>
      </w:r>
    </w:p>
    <w:p w:rsidR="00431B26" w:rsidRPr="006A6928" w:rsidP="0023413E">
      <w:pPr>
        <w:ind w:firstLine="720"/>
        <w:textAlignment w:val="baseline"/>
        <w:rPr>
          <w:rFonts w:eastAsia="Times New Roman"/>
          <w:szCs w:val="26"/>
        </w:rPr>
      </w:pPr>
      <w:bookmarkEnd w:id="19"/>
      <w:r w:rsidRPr="006A6928">
        <w:rPr>
          <w:rFonts w:eastAsia="Times New Roman"/>
          <w:szCs w:val="26"/>
        </w:rPr>
        <w:t xml:space="preserve">Several courts have recently considered the extent to which section 230 bars certain contract-based claims.  In </w:t>
      </w:r>
      <w:r w:rsidRPr="006A6928">
        <w:rPr>
          <w:rFonts w:eastAsia="Times New Roman"/>
          <w:i/>
          <w:iCs/>
          <w:szCs w:val="26"/>
        </w:rPr>
        <w:t>Murphy</w:t>
      </w:r>
      <w:r w:rsidRPr="006A6928">
        <w:rPr>
          <w:rFonts w:eastAsia="Times New Roman"/>
          <w:szCs w:val="26"/>
        </w:rPr>
        <w:t xml:space="preserve">, </w:t>
      </w:r>
      <w:r w:rsidRPr="006A6928" w:rsidR="00F65625">
        <w:rPr>
          <w:rFonts w:eastAsia="Times New Roman"/>
          <w:szCs w:val="26"/>
        </w:rPr>
        <w:t xml:space="preserve">the First District Court of Appeal noted that </w:t>
      </w:r>
      <w:r w:rsidRPr="006A6928" w:rsidR="00F65625">
        <w:rPr>
          <w:rFonts w:eastAsia="Times New Roman"/>
          <w:i/>
          <w:iCs/>
          <w:szCs w:val="26"/>
        </w:rPr>
        <w:t>Barnes</w:t>
      </w:r>
      <w:r w:rsidRPr="006A6928" w:rsidR="00F65625">
        <w:rPr>
          <w:rFonts w:eastAsia="Times New Roman"/>
          <w:szCs w:val="26"/>
        </w:rPr>
        <w:t xml:space="preserve"> “never suggested</w:t>
      </w:r>
      <w:r w:rsidR="00592AAD">
        <w:rPr>
          <w:rFonts w:eastAsia="Times New Roman"/>
          <w:szCs w:val="26"/>
        </w:rPr>
        <w:t>…</w:t>
      </w:r>
      <w:r w:rsidRPr="006A6928" w:rsidR="00F65625">
        <w:rPr>
          <w:rFonts w:eastAsia="Times New Roman"/>
          <w:szCs w:val="26"/>
        </w:rPr>
        <w:t xml:space="preserve"> that </w:t>
      </w:r>
      <w:r w:rsidRPr="006A6928" w:rsidR="00F65625">
        <w:rPr>
          <w:rFonts w:eastAsia="Times New Roman"/>
          <w:i/>
          <w:iCs/>
          <w:szCs w:val="26"/>
        </w:rPr>
        <w:t>all</w:t>
      </w:r>
      <w:r w:rsidRPr="006A6928" w:rsidR="00F65625">
        <w:rPr>
          <w:rFonts w:eastAsia="Times New Roman"/>
          <w:szCs w:val="26"/>
        </w:rPr>
        <w:t xml:space="preserve"> contract or promissory estoppel claims survive CDA immunity</w:t>
      </w:r>
      <w:r w:rsidRPr="006A6928" w:rsidR="0023413E">
        <w:rPr>
          <w:rFonts w:eastAsia="Times New Roman"/>
          <w:szCs w:val="26"/>
        </w:rPr>
        <w:t>.</w:t>
      </w:r>
      <w:r w:rsidRPr="006A6928" w:rsidR="00F65625">
        <w:rPr>
          <w:rFonts w:eastAsia="Times New Roman"/>
          <w:szCs w:val="26"/>
        </w:rPr>
        <w:t>”  (</w:t>
      </w:r>
      <w:r w:rsidRPr="006A6928" w:rsidR="00F65625">
        <w:rPr>
          <w:rFonts w:eastAsia="Times New Roman"/>
          <w:i/>
          <w:iCs/>
          <w:szCs w:val="26"/>
        </w:rPr>
        <w:t>Murphy, supra,</w:t>
      </w:r>
      <w:r w:rsidRPr="006A6928" w:rsidR="00F65625">
        <w:rPr>
          <w:rFonts w:eastAsia="Times New Roman"/>
          <w:szCs w:val="26"/>
        </w:rPr>
        <w:t xml:space="preserve"> 60 Cal.App.5th at p. 29.) </w:t>
      </w:r>
      <w:r w:rsidRPr="006A6928" w:rsidR="0023413E">
        <w:rPr>
          <w:rFonts w:eastAsia="Times New Roman"/>
          <w:szCs w:val="26"/>
        </w:rPr>
        <w:t xml:space="preserve"> Instead, </w:t>
      </w:r>
      <w:r w:rsidRPr="006A6928" w:rsidR="0023413E">
        <w:rPr>
          <w:rFonts w:eastAsia="Times New Roman"/>
          <w:i/>
          <w:iCs/>
          <w:szCs w:val="26"/>
        </w:rPr>
        <w:t>Barnes</w:t>
      </w:r>
      <w:r w:rsidRPr="006A6928" w:rsidR="0023413E">
        <w:rPr>
          <w:rFonts w:eastAsia="Times New Roman"/>
          <w:szCs w:val="26"/>
        </w:rPr>
        <w:t xml:space="preserve"> had explained that, “as a matter of contract law, the promise must ‘be as clear and well defined as a promise that could serve as an offer, or that otherwise might be sufficient to give rise to a traditional contract supported by consideration,” and that “a general monitoring policy ... does not suffice for contract liability.</w:t>
      </w:r>
      <w:r w:rsidR="00C66B06">
        <w:rPr>
          <w:rFonts w:eastAsia="Times New Roman"/>
          <w:szCs w:val="26"/>
        </w:rPr>
        <w:t xml:space="preserve">’ </w:t>
      </w:r>
      <w:r w:rsidRPr="006A6928" w:rsidR="0023413E">
        <w:rPr>
          <w:rFonts w:eastAsia="Times New Roman"/>
          <w:szCs w:val="26"/>
        </w:rPr>
        <w:t>”  (</w:t>
      </w:r>
      <w:r w:rsidRPr="006A6928" w:rsidR="0023413E">
        <w:rPr>
          <w:rFonts w:eastAsia="Times New Roman"/>
          <w:i/>
          <w:iCs/>
          <w:szCs w:val="26"/>
        </w:rPr>
        <w:t>Ibid</w:t>
      </w:r>
      <w:r w:rsidRPr="006A6928" w:rsidR="0023413E">
        <w:rPr>
          <w:rFonts w:eastAsia="Times New Roman"/>
          <w:szCs w:val="26"/>
        </w:rPr>
        <w:t xml:space="preserve">., quoting </w:t>
      </w:r>
      <w:r w:rsidRPr="006A6928" w:rsidR="0023413E">
        <w:rPr>
          <w:rFonts w:eastAsia="Times New Roman"/>
          <w:i/>
          <w:iCs/>
          <w:szCs w:val="26"/>
          <w:bdr w:val="none" w:sz="0" w:space="0" w:color="auto" w:frame="1"/>
        </w:rPr>
        <w:t>Barnes</w:t>
      </w:r>
      <w:r w:rsidRPr="006A6928" w:rsidR="0023413E">
        <w:rPr>
          <w:rFonts w:eastAsia="Times New Roman"/>
          <w:szCs w:val="26"/>
        </w:rPr>
        <w:t xml:space="preserve">, </w:t>
      </w:r>
      <w:r w:rsidRPr="006A6928" w:rsidR="0023413E">
        <w:rPr>
          <w:rFonts w:eastAsia="Times New Roman"/>
          <w:i/>
          <w:iCs/>
          <w:szCs w:val="26"/>
          <w:bdr w:val="none" w:sz="0" w:space="0" w:color="auto" w:frame="1"/>
        </w:rPr>
        <w:t>supra</w:t>
      </w:r>
      <w:r w:rsidRPr="006A6928" w:rsidR="0023413E">
        <w:rPr>
          <w:rFonts w:eastAsia="Times New Roman"/>
          <w:szCs w:val="26"/>
        </w:rPr>
        <w:t xml:space="preserve">, 570 F.3d at p. 1108.)  For that reason, the court held that the plaintiff’s allegations at issue—that Twitter </w:t>
      </w:r>
      <w:r w:rsidRPr="006A6928" w:rsidR="00F65625">
        <w:rPr>
          <w:rFonts w:eastAsia="Times New Roman"/>
          <w:szCs w:val="26"/>
        </w:rPr>
        <w:t>“</w:t>
      </w:r>
      <w:r w:rsidRPr="006A6928" w:rsidR="0023413E">
        <w:rPr>
          <w:rFonts w:eastAsia="Times New Roman"/>
          <w:szCs w:val="26"/>
        </w:rPr>
        <w:t xml:space="preserve"> ‘</w:t>
      </w:r>
      <w:r w:rsidRPr="006A6928" w:rsidR="00F65625">
        <w:rPr>
          <w:rFonts w:eastAsia="Times New Roman"/>
          <w:szCs w:val="26"/>
        </w:rPr>
        <w:t>enforced its Hateful Conduct Policy in a discriminatory and targeted manner</w:t>
      </w:r>
      <w:r w:rsidRPr="006A6928" w:rsidR="0023413E">
        <w:rPr>
          <w:rFonts w:eastAsia="Times New Roman"/>
          <w:szCs w:val="26"/>
        </w:rPr>
        <w:t xml:space="preserve">’ </w:t>
      </w:r>
      <w:r w:rsidRPr="006A6928" w:rsidR="00F65625">
        <w:rPr>
          <w:rFonts w:eastAsia="Times New Roman"/>
          <w:szCs w:val="26"/>
        </w:rPr>
        <w:t>” by removing her tweets and suspending her account</w:t>
      </w:r>
      <w:r w:rsidRPr="006A6928" w:rsidR="0023413E">
        <w:rPr>
          <w:rFonts w:eastAsia="Times New Roman"/>
          <w:szCs w:val="26"/>
        </w:rPr>
        <w:t>—amounted</w:t>
      </w:r>
      <w:r w:rsidRPr="006A6928" w:rsidR="00F65625">
        <w:rPr>
          <w:rFonts w:eastAsia="Times New Roman"/>
          <w:szCs w:val="26"/>
        </w:rPr>
        <w:t xml:space="preserve"> to attacks</w:t>
      </w:r>
      <w:r w:rsidRPr="006A6928" w:rsidR="0023413E">
        <w:rPr>
          <w:rFonts w:eastAsia="Times New Roman"/>
          <w:szCs w:val="26"/>
        </w:rPr>
        <w:t xml:space="preserve"> </w:t>
      </w:r>
      <w:r w:rsidRPr="006A6928" w:rsidR="00F65625">
        <w:rPr>
          <w:rFonts w:eastAsia="Times New Roman"/>
          <w:szCs w:val="26"/>
        </w:rPr>
        <w:t>on Twitter</w:t>
      </w:r>
      <w:r w:rsidRPr="006A6928" w:rsidR="0023413E">
        <w:rPr>
          <w:rFonts w:eastAsia="Times New Roman"/>
          <w:szCs w:val="26"/>
        </w:rPr>
        <w:t>’</w:t>
      </w:r>
      <w:r w:rsidRPr="006A6928" w:rsidR="00F65625">
        <w:rPr>
          <w:rFonts w:eastAsia="Times New Roman"/>
          <w:szCs w:val="26"/>
        </w:rPr>
        <w:t xml:space="preserve">s </w:t>
      </w:r>
      <w:r w:rsidRPr="006A6928" w:rsidR="0023413E">
        <w:rPr>
          <w:rFonts w:eastAsia="Times New Roman"/>
          <w:szCs w:val="26"/>
        </w:rPr>
        <w:t>“</w:t>
      </w:r>
      <w:r w:rsidRPr="006A6928" w:rsidR="00F65625">
        <w:rPr>
          <w:rFonts w:eastAsia="Times New Roman"/>
          <w:szCs w:val="26"/>
        </w:rPr>
        <w:t>interpretation and enforcement of its own general policies rather than breach of a specific promise</w:t>
      </w:r>
      <w:r w:rsidRPr="006A6928" w:rsidR="0023413E">
        <w:rPr>
          <w:rFonts w:eastAsia="Times New Roman"/>
          <w:szCs w:val="26"/>
        </w:rPr>
        <w:t>.”  (</w:t>
      </w:r>
      <w:r w:rsidRPr="006A6928" w:rsidR="0023413E">
        <w:rPr>
          <w:rFonts w:eastAsia="Times New Roman"/>
          <w:i/>
          <w:iCs/>
          <w:szCs w:val="26"/>
        </w:rPr>
        <w:t xml:space="preserve">Murphy, supra, </w:t>
      </w:r>
      <w:r w:rsidRPr="006A6928" w:rsidR="0023413E">
        <w:rPr>
          <w:rFonts w:eastAsia="Times New Roman"/>
          <w:szCs w:val="26"/>
        </w:rPr>
        <w:t>60 Cal.App.5th at app. 29-30.)</w:t>
      </w:r>
    </w:p>
    <w:p w:rsidR="0023413E" w:rsidRPr="006A6928" w:rsidP="00431B26">
      <w:pPr>
        <w:ind w:firstLine="720"/>
        <w:textAlignment w:val="baseline"/>
        <w:rPr>
          <w:rFonts w:eastAsia="Times New Roman"/>
          <w:szCs w:val="26"/>
          <w:bdr w:val="none" w:sz="0" w:space="0" w:color="auto" w:frame="1"/>
          <w:shd w:val="clear" w:color="auto" w:fill="FFFFFF"/>
        </w:rPr>
      </w:pPr>
      <w:r w:rsidRPr="006A6928">
        <w:rPr>
          <w:rFonts w:eastAsia="Times New Roman"/>
          <w:szCs w:val="26"/>
        </w:rPr>
        <w:t>Similarly, i</w:t>
      </w:r>
      <w:r w:rsidRPr="006A6928" w:rsidR="001862CE">
        <w:rPr>
          <w:rFonts w:eastAsia="Times New Roman"/>
          <w:szCs w:val="26"/>
        </w:rPr>
        <w:t xml:space="preserve">n </w:t>
      </w:r>
      <w:r w:rsidRPr="006A6928" w:rsidR="001862CE">
        <w:rPr>
          <w:rFonts w:eastAsia="Times New Roman"/>
          <w:i/>
          <w:iCs/>
          <w:szCs w:val="26"/>
        </w:rPr>
        <w:t>Prager</w:t>
      </w:r>
      <w:r w:rsidRPr="006A6928" w:rsidR="001862CE">
        <w:rPr>
          <w:rFonts w:eastAsia="Times New Roman"/>
          <w:szCs w:val="26"/>
        </w:rPr>
        <w:t>, a different panel of this court acknowledged that section 230 does not necessarily foreclose contractual claims where the defendant “has agreed to limit its exercise of editorial discretion according to bargained-for terms and conditions.”  (</w:t>
      </w:r>
      <w:r w:rsidRPr="006A6928" w:rsidR="001862CE">
        <w:rPr>
          <w:rFonts w:eastAsia="Times New Roman"/>
          <w:i/>
          <w:iCs/>
          <w:szCs w:val="26"/>
        </w:rPr>
        <w:t>Prager, supra,</w:t>
      </w:r>
      <w:r w:rsidRPr="006A6928" w:rsidR="001862CE">
        <w:rPr>
          <w:rFonts w:eastAsia="Times New Roman"/>
          <w:szCs w:val="26"/>
        </w:rPr>
        <w:t xml:space="preserve"> 85 Cal.App.5th at p. 1035, citing </w:t>
      </w:r>
      <w:r w:rsidRPr="006A6928" w:rsidR="001862CE">
        <w:rPr>
          <w:rFonts w:eastAsia="Times New Roman"/>
          <w:i/>
          <w:iCs/>
          <w:szCs w:val="26"/>
          <w:bdr w:val="none" w:sz="0" w:space="0" w:color="auto" w:frame="1"/>
          <w:shd w:val="clear" w:color="auto" w:fill="FFFFFF"/>
        </w:rPr>
        <w:t>Murphy, supra</w:t>
      </w:r>
      <w:r w:rsidRPr="006A6928" w:rsidR="001862CE">
        <w:rPr>
          <w:rFonts w:eastAsia="Times New Roman"/>
          <w:szCs w:val="26"/>
          <w:bdr w:val="none" w:sz="0" w:space="0" w:color="auto" w:frame="1"/>
          <w:shd w:val="clear" w:color="auto" w:fill="FFFFFF"/>
        </w:rPr>
        <w:t xml:space="preserve">, 60 Cal.App.5th at pp. 28-30.)  </w:t>
      </w:r>
      <w:r w:rsidRPr="006A6928">
        <w:rPr>
          <w:rFonts w:eastAsia="Times New Roman"/>
          <w:szCs w:val="26"/>
          <w:bdr w:val="none" w:sz="0" w:space="0" w:color="auto" w:frame="1"/>
          <w:shd w:val="clear" w:color="auto" w:fill="FFFFFF"/>
        </w:rPr>
        <w:t>Nevertheless, t</w:t>
      </w:r>
      <w:r w:rsidRPr="006A6928" w:rsidR="001862CE">
        <w:rPr>
          <w:rFonts w:eastAsia="Times New Roman"/>
          <w:szCs w:val="26"/>
          <w:bdr w:val="none" w:sz="0" w:space="0" w:color="auto" w:frame="1"/>
          <w:shd w:val="clear" w:color="auto" w:fill="FFFFFF"/>
        </w:rPr>
        <w:t xml:space="preserve">he court </w:t>
      </w:r>
      <w:r w:rsidRPr="006A6928">
        <w:rPr>
          <w:rFonts w:eastAsia="Times New Roman"/>
          <w:szCs w:val="26"/>
          <w:bdr w:val="none" w:sz="0" w:space="0" w:color="auto" w:frame="1"/>
          <w:shd w:val="clear" w:color="auto" w:fill="FFFFFF"/>
        </w:rPr>
        <w:t xml:space="preserve">rejected the plaintiff’s </w:t>
      </w:r>
      <w:r w:rsidRPr="006A6928" w:rsidR="001862CE">
        <w:rPr>
          <w:rFonts w:eastAsia="Times New Roman"/>
          <w:szCs w:val="26"/>
          <w:bdr w:val="none" w:sz="0" w:space="0" w:color="auto" w:frame="1"/>
          <w:shd w:val="clear" w:color="auto" w:fill="FFFFFF"/>
        </w:rPr>
        <w:t xml:space="preserve">various theories </w:t>
      </w:r>
      <w:r w:rsidRPr="006A6928" w:rsidR="00431B26">
        <w:rPr>
          <w:rFonts w:eastAsia="Times New Roman"/>
          <w:szCs w:val="26"/>
          <w:bdr w:val="none" w:sz="0" w:space="0" w:color="auto" w:frame="1"/>
          <w:shd w:val="clear" w:color="auto" w:fill="FFFFFF"/>
        </w:rPr>
        <w:t xml:space="preserve">of liability </w:t>
      </w:r>
      <w:r w:rsidRPr="006A6928">
        <w:rPr>
          <w:rFonts w:eastAsia="Times New Roman"/>
          <w:szCs w:val="26"/>
          <w:bdr w:val="none" w:sz="0" w:space="0" w:color="auto" w:frame="1"/>
          <w:shd w:val="clear" w:color="auto" w:fill="FFFFFF"/>
        </w:rPr>
        <w:t xml:space="preserve">that were </w:t>
      </w:r>
      <w:r w:rsidRPr="006A6928" w:rsidR="00431B26">
        <w:rPr>
          <w:rFonts w:eastAsia="Times New Roman"/>
          <w:szCs w:val="26"/>
          <w:bdr w:val="none" w:sz="0" w:space="0" w:color="auto" w:frame="1"/>
          <w:shd w:val="clear" w:color="auto" w:fill="FFFFFF"/>
        </w:rPr>
        <w:t xml:space="preserve">predicated on the defendants’ </w:t>
      </w:r>
      <w:r w:rsidRPr="006A6928" w:rsidR="001862CE">
        <w:rPr>
          <w:rFonts w:eastAsia="Times New Roman"/>
          <w:szCs w:val="26"/>
          <w:bdr w:val="none" w:sz="0" w:space="0" w:color="auto" w:frame="1"/>
          <w:shd w:val="clear" w:color="auto" w:fill="FFFFFF"/>
        </w:rPr>
        <w:t>terms of service</w:t>
      </w:r>
      <w:r w:rsidRPr="006A6928" w:rsidR="00431B26">
        <w:rPr>
          <w:rFonts w:eastAsia="Times New Roman"/>
          <w:szCs w:val="26"/>
          <w:bdr w:val="none" w:sz="0" w:space="0" w:color="auto" w:frame="1"/>
          <w:shd w:val="clear" w:color="auto" w:fill="FFFFFF"/>
        </w:rPr>
        <w:t xml:space="preserve">, </w:t>
      </w:r>
      <w:r w:rsidR="00592AAD">
        <w:rPr>
          <w:rFonts w:eastAsia="Times New Roman"/>
          <w:szCs w:val="26"/>
          <w:bdr w:val="none" w:sz="0" w:space="0" w:color="auto" w:frame="1"/>
          <w:shd w:val="clear" w:color="auto" w:fill="FFFFFF"/>
        </w:rPr>
        <w:t>finding</w:t>
      </w:r>
      <w:r w:rsidRPr="006A6928" w:rsidR="00592AAD">
        <w:rPr>
          <w:rFonts w:eastAsia="Times New Roman"/>
          <w:szCs w:val="26"/>
          <w:bdr w:val="none" w:sz="0" w:space="0" w:color="auto" w:frame="1"/>
          <w:shd w:val="clear" w:color="auto" w:fill="FFFFFF"/>
        </w:rPr>
        <w:t xml:space="preserve"> </w:t>
      </w:r>
      <w:r w:rsidRPr="006A6928" w:rsidR="00431B26">
        <w:rPr>
          <w:rFonts w:eastAsia="Times New Roman"/>
          <w:szCs w:val="26"/>
          <w:bdr w:val="none" w:sz="0" w:space="0" w:color="auto" w:frame="1"/>
          <w:shd w:val="clear" w:color="auto" w:fill="FFFFFF"/>
        </w:rPr>
        <w:t xml:space="preserve">each of them deficient “as a matter of either law or pleading.”  </w:t>
      </w:r>
      <w:r w:rsidRPr="006A6928" w:rsidR="001862CE">
        <w:rPr>
          <w:rFonts w:eastAsia="Times New Roman"/>
          <w:szCs w:val="26"/>
          <w:bdr w:val="none" w:sz="0" w:space="0" w:color="auto" w:frame="1"/>
          <w:shd w:val="clear" w:color="auto" w:fill="FFFFFF"/>
        </w:rPr>
        <w:t>(</w:t>
      </w:r>
      <w:r w:rsidRPr="006A6928" w:rsidR="001862CE">
        <w:rPr>
          <w:rFonts w:eastAsia="Times New Roman"/>
          <w:i/>
          <w:iCs/>
          <w:szCs w:val="26"/>
          <w:bdr w:val="none" w:sz="0" w:space="0" w:color="auto" w:frame="1"/>
          <w:shd w:val="clear" w:color="auto" w:fill="FFFFFF"/>
        </w:rPr>
        <w:t>Ibid</w:t>
      </w:r>
      <w:r w:rsidRPr="006A6928" w:rsidR="001862CE">
        <w:rPr>
          <w:rFonts w:eastAsia="Times New Roman"/>
          <w:szCs w:val="26"/>
          <w:bdr w:val="none" w:sz="0" w:space="0" w:color="auto" w:frame="1"/>
          <w:shd w:val="clear" w:color="auto" w:fill="FFFFFF"/>
        </w:rPr>
        <w:t xml:space="preserve">.)  </w:t>
      </w:r>
    </w:p>
    <w:p w:rsidR="005911BA" w:rsidRPr="006A6928" w:rsidP="00431B26">
      <w:pPr>
        <w:ind w:firstLine="720"/>
        <w:textAlignment w:val="baseline"/>
        <w:rPr>
          <w:szCs w:val="26"/>
        </w:rPr>
      </w:pPr>
      <w:r w:rsidRPr="006A6928">
        <w:rPr>
          <w:rFonts w:eastAsia="Times New Roman"/>
          <w:szCs w:val="26"/>
          <w:bdr w:val="none" w:sz="0" w:space="0" w:color="auto" w:frame="1"/>
          <w:shd w:val="clear" w:color="auto" w:fill="FFFFFF"/>
        </w:rPr>
        <w:t>D</w:t>
      </w:r>
      <w:r w:rsidRPr="006A6928" w:rsidR="00984DC9">
        <w:rPr>
          <w:rFonts w:eastAsia="Times New Roman"/>
          <w:szCs w:val="26"/>
          <w:bdr w:val="none" w:sz="0" w:space="0" w:color="auto" w:frame="1"/>
          <w:shd w:val="clear" w:color="auto" w:fill="FFFFFF"/>
        </w:rPr>
        <w:t xml:space="preserve">efendants’ alleged promises here are closer to those in </w:t>
      </w:r>
      <w:r w:rsidRPr="006A6928">
        <w:rPr>
          <w:rFonts w:eastAsia="Times New Roman"/>
          <w:i/>
          <w:iCs/>
          <w:szCs w:val="26"/>
          <w:bdr w:val="none" w:sz="0" w:space="0" w:color="auto" w:frame="1"/>
          <w:shd w:val="clear" w:color="auto" w:fill="FFFFFF"/>
        </w:rPr>
        <w:t>Murphy</w:t>
      </w:r>
      <w:r w:rsidRPr="006A6928" w:rsidR="00984DC9">
        <w:rPr>
          <w:rFonts w:eastAsia="Times New Roman"/>
          <w:szCs w:val="26"/>
          <w:bdr w:val="none" w:sz="0" w:space="0" w:color="auto" w:frame="1"/>
          <w:shd w:val="clear" w:color="auto" w:fill="FFFFFF"/>
        </w:rPr>
        <w:t>—</w:t>
      </w:r>
      <w:r w:rsidRPr="006A6928">
        <w:rPr>
          <w:rFonts w:eastAsia="Times New Roman"/>
          <w:szCs w:val="26"/>
          <w:bdr w:val="none" w:sz="0" w:space="0" w:color="auto" w:frame="1"/>
          <w:shd w:val="clear" w:color="auto" w:fill="FFFFFF"/>
        </w:rPr>
        <w:t xml:space="preserve"> more akin to general polic</w:t>
      </w:r>
      <w:r w:rsidRPr="006A6928" w:rsidR="007934F3">
        <w:rPr>
          <w:rFonts w:eastAsia="Times New Roman"/>
          <w:szCs w:val="26"/>
          <w:bdr w:val="none" w:sz="0" w:space="0" w:color="auto" w:frame="1"/>
          <w:shd w:val="clear" w:color="auto" w:fill="FFFFFF"/>
        </w:rPr>
        <w:t>ies</w:t>
      </w:r>
      <w:r w:rsidRPr="006A6928">
        <w:rPr>
          <w:rFonts w:eastAsia="Times New Roman"/>
          <w:szCs w:val="26"/>
          <w:bdr w:val="none" w:sz="0" w:space="0" w:color="auto" w:frame="1"/>
          <w:shd w:val="clear" w:color="auto" w:fill="FFFFFF"/>
        </w:rPr>
        <w:t xml:space="preserve"> or statement</w:t>
      </w:r>
      <w:r w:rsidRPr="006A6928" w:rsidR="007934F3">
        <w:rPr>
          <w:rFonts w:eastAsia="Times New Roman"/>
          <w:szCs w:val="26"/>
          <w:bdr w:val="none" w:sz="0" w:space="0" w:color="auto" w:frame="1"/>
          <w:shd w:val="clear" w:color="auto" w:fill="FFFFFF"/>
        </w:rPr>
        <w:t>s</w:t>
      </w:r>
      <w:r w:rsidRPr="006A6928">
        <w:rPr>
          <w:rFonts w:eastAsia="Times New Roman"/>
          <w:szCs w:val="26"/>
          <w:bdr w:val="none" w:sz="0" w:space="0" w:color="auto" w:frame="1"/>
          <w:shd w:val="clear" w:color="auto" w:fill="FFFFFF"/>
        </w:rPr>
        <w:t xml:space="preserve">—than those in </w:t>
      </w:r>
      <w:r w:rsidRPr="006A6928">
        <w:rPr>
          <w:rFonts w:eastAsia="Times New Roman"/>
          <w:i/>
          <w:iCs/>
          <w:szCs w:val="26"/>
          <w:bdr w:val="none" w:sz="0" w:space="0" w:color="auto" w:frame="1"/>
          <w:shd w:val="clear" w:color="auto" w:fill="FFFFFF"/>
        </w:rPr>
        <w:t>Barnes</w:t>
      </w:r>
      <w:r w:rsidRPr="006A6928">
        <w:rPr>
          <w:rFonts w:eastAsia="Times New Roman"/>
          <w:szCs w:val="26"/>
          <w:bdr w:val="none" w:sz="0" w:space="0" w:color="auto" w:frame="1"/>
          <w:shd w:val="clear" w:color="auto" w:fill="FFFFFF"/>
        </w:rPr>
        <w:t>—personalized</w:t>
      </w:r>
      <w:r w:rsidRPr="006A6928" w:rsidR="00CF285A">
        <w:rPr>
          <w:rFonts w:eastAsia="Times New Roman"/>
          <w:szCs w:val="26"/>
          <w:bdr w:val="none" w:sz="0" w:space="0" w:color="auto" w:frame="1"/>
          <w:shd w:val="clear" w:color="auto" w:fill="FFFFFF"/>
        </w:rPr>
        <w:t xml:space="preserve"> and </w:t>
      </w:r>
      <w:r w:rsidRPr="006A6928">
        <w:rPr>
          <w:rFonts w:eastAsia="Times New Roman"/>
          <w:szCs w:val="26"/>
          <w:bdr w:val="none" w:sz="0" w:space="0" w:color="auto" w:frame="1"/>
          <w:shd w:val="clear" w:color="auto" w:fill="FFFFFF"/>
        </w:rPr>
        <w:t>constituting a clear</w:t>
      </w:r>
      <w:r w:rsidRPr="006A6928" w:rsidR="00CF285A">
        <w:rPr>
          <w:rFonts w:eastAsia="Times New Roman"/>
          <w:szCs w:val="26"/>
          <w:bdr w:val="none" w:sz="0" w:space="0" w:color="auto" w:frame="1"/>
          <w:shd w:val="clear" w:color="auto" w:fill="FFFFFF"/>
        </w:rPr>
        <w:t xml:space="preserve">, </w:t>
      </w:r>
      <w:r w:rsidRPr="006A6928">
        <w:rPr>
          <w:rFonts w:eastAsia="Times New Roman"/>
          <w:szCs w:val="26"/>
          <w:bdr w:val="none" w:sz="0" w:space="0" w:color="auto" w:frame="1"/>
          <w:shd w:val="clear" w:color="auto" w:fill="FFFFFF"/>
        </w:rPr>
        <w:t xml:space="preserve">well-defined offer.  As noted above, plaintiffs rely on defendants’ “public and widely publicized promises.”  </w:t>
      </w:r>
      <w:r w:rsidRPr="006A6928" w:rsidR="007934F3">
        <w:rPr>
          <w:rFonts w:eastAsia="Times New Roman"/>
          <w:szCs w:val="26"/>
          <w:bdr w:val="none" w:sz="0" w:space="0" w:color="auto" w:frame="1"/>
          <w:shd w:val="clear" w:color="auto" w:fill="FFFFFF"/>
        </w:rPr>
        <w:t>For instance, t</w:t>
      </w:r>
      <w:r w:rsidRPr="006A6928">
        <w:rPr>
          <w:rFonts w:eastAsia="Times New Roman"/>
          <w:szCs w:val="26"/>
          <w:bdr w:val="none" w:sz="0" w:space="0" w:color="auto" w:frame="1"/>
          <w:shd w:val="clear" w:color="auto" w:fill="FFFFFF"/>
        </w:rPr>
        <w:t xml:space="preserve">hey cite allegations </w:t>
      </w:r>
      <w:r w:rsidRPr="006A6928" w:rsidR="007934F3">
        <w:rPr>
          <w:rFonts w:eastAsia="Times New Roman"/>
          <w:szCs w:val="26"/>
          <w:bdr w:val="none" w:sz="0" w:space="0" w:color="auto" w:frame="1"/>
          <w:shd w:val="clear" w:color="auto" w:fill="FFFFFF"/>
        </w:rPr>
        <w:t xml:space="preserve">that Google states on its website:  </w:t>
      </w:r>
      <w:r w:rsidRPr="006A6928">
        <w:rPr>
          <w:szCs w:val="26"/>
        </w:rPr>
        <w:t>“When people use our products, they trust us with their information, and it’s our job to do right by them. This means always being thoughtful about what data we use, how we use it, and how we protect it.</w:t>
      </w:r>
      <w:r w:rsidRPr="006A6928" w:rsidR="007934F3">
        <w:rPr>
          <w:szCs w:val="26"/>
        </w:rPr>
        <w:t xml:space="preserve">”  </w:t>
      </w:r>
    </w:p>
    <w:p w:rsidR="005911BA" w:rsidRPr="006A6928" w:rsidP="00166CE5">
      <w:pPr>
        <w:ind w:firstLine="720"/>
        <w:textAlignment w:val="baseline"/>
        <w:rPr>
          <w:szCs w:val="26"/>
        </w:rPr>
      </w:pPr>
      <w:r w:rsidRPr="006A6928">
        <w:rPr>
          <w:szCs w:val="26"/>
        </w:rPr>
        <w:t>Similarly, they allege that Google states it uses “the world’s most advanced security</w:t>
      </w:r>
      <w:r w:rsidRPr="006A6928" w:rsidR="00CA1B40">
        <w:rPr>
          <w:szCs w:val="26"/>
        </w:rPr>
        <w:t>,</w:t>
      </w:r>
      <w:r w:rsidRPr="006A6928">
        <w:rPr>
          <w:szCs w:val="26"/>
        </w:rPr>
        <w:t>”</w:t>
      </w:r>
      <w:r w:rsidRPr="006A6928" w:rsidR="00CA1B40">
        <w:rPr>
          <w:szCs w:val="26"/>
        </w:rPr>
        <w:t xml:space="preserve"> and </w:t>
      </w:r>
      <w:r w:rsidRPr="006A6928">
        <w:rPr>
          <w:szCs w:val="26"/>
        </w:rPr>
        <w:t>“</w:t>
      </w:r>
      <w:r w:rsidRPr="006A6928" w:rsidR="00CA1B40">
        <w:rPr>
          <w:szCs w:val="26"/>
        </w:rPr>
        <w:t>[t]</w:t>
      </w:r>
      <w:r w:rsidRPr="006A6928">
        <w:rPr>
          <w:szCs w:val="26"/>
        </w:rPr>
        <w:t xml:space="preserve">o keep every Google product and service [which includes youtube.com] secure for our users, we engineer and employ one of the most advanced security infrastructures in the world. This means constantly strengthening our built-in security technologies to detect and protect against evolving online threats, before they ever reach our users.” </w:t>
      </w:r>
    </w:p>
    <w:p w:rsidR="003A3015" w:rsidRPr="006A6928" w:rsidP="00191F08">
      <w:pPr>
        <w:ind w:firstLine="720"/>
        <w:textAlignment w:val="baseline"/>
        <w:rPr>
          <w:rFonts w:eastAsia="Times New Roman"/>
          <w:szCs w:val="26"/>
        </w:rPr>
      </w:pPr>
      <w:r w:rsidRPr="006A6928">
        <w:rPr>
          <w:szCs w:val="26"/>
        </w:rPr>
        <w:t xml:space="preserve">We view </w:t>
      </w:r>
      <w:bookmarkStart w:id="20" w:name="_Hlk154059657"/>
      <w:r w:rsidRPr="006A6928">
        <w:rPr>
          <w:szCs w:val="26"/>
        </w:rPr>
        <w:t>these statements as g</w:t>
      </w:r>
      <w:r w:rsidRPr="006A6928" w:rsidR="0007096D">
        <w:rPr>
          <w:rFonts w:eastAsia="Times New Roman"/>
          <w:szCs w:val="26"/>
        </w:rPr>
        <w:t xml:space="preserve">eneral policies </w:t>
      </w:r>
      <w:r w:rsidRPr="006A6928">
        <w:rPr>
          <w:rFonts w:eastAsia="Times New Roman"/>
          <w:szCs w:val="26"/>
        </w:rPr>
        <w:t xml:space="preserve">made by defendants in their capacity as publisher, rather than </w:t>
      </w:r>
      <w:r w:rsidRPr="006A6928" w:rsidR="00CF285A">
        <w:rPr>
          <w:rFonts w:eastAsia="Times New Roman"/>
          <w:szCs w:val="26"/>
        </w:rPr>
        <w:t>as</w:t>
      </w:r>
      <w:r w:rsidRPr="006A6928">
        <w:rPr>
          <w:rFonts w:eastAsia="Times New Roman"/>
          <w:szCs w:val="26"/>
        </w:rPr>
        <w:t xml:space="preserve"> specific promise</w:t>
      </w:r>
      <w:r w:rsidRPr="006A6928" w:rsidR="00CF285A">
        <w:rPr>
          <w:rFonts w:eastAsia="Times New Roman"/>
          <w:szCs w:val="26"/>
        </w:rPr>
        <w:t>s</w:t>
      </w:r>
      <w:r w:rsidRPr="006A6928">
        <w:rPr>
          <w:rFonts w:eastAsia="Times New Roman"/>
          <w:szCs w:val="26"/>
        </w:rPr>
        <w:t xml:space="preserve">.  </w:t>
      </w:r>
      <w:bookmarkEnd w:id="20"/>
      <w:r w:rsidRPr="006A6928">
        <w:rPr>
          <w:rFonts w:eastAsia="Times New Roman"/>
          <w:szCs w:val="26"/>
        </w:rPr>
        <w:t>(</w:t>
      </w:r>
      <w:r w:rsidRPr="006A6928">
        <w:rPr>
          <w:rFonts w:eastAsia="Times New Roman"/>
          <w:i/>
          <w:iCs/>
          <w:szCs w:val="26"/>
        </w:rPr>
        <w:t xml:space="preserve">Murphy, supra, </w:t>
      </w:r>
      <w:r w:rsidRPr="006A6928">
        <w:rPr>
          <w:rFonts w:eastAsia="Times New Roman"/>
          <w:szCs w:val="26"/>
        </w:rPr>
        <w:t xml:space="preserve">60 Cal.App.5th at app. 29-30.).  As such, </w:t>
      </w:r>
      <w:r w:rsidRPr="006A6928" w:rsidR="00CF285A">
        <w:rPr>
          <w:rFonts w:eastAsia="Times New Roman"/>
          <w:szCs w:val="26"/>
        </w:rPr>
        <w:t xml:space="preserve">plaintiffs’ claim for promissory estoppel </w:t>
      </w:r>
      <w:r w:rsidRPr="006A6928">
        <w:rPr>
          <w:rFonts w:eastAsia="Times New Roman"/>
          <w:szCs w:val="26"/>
        </w:rPr>
        <w:t>do</w:t>
      </w:r>
      <w:r w:rsidRPr="006A6928" w:rsidR="00CF285A">
        <w:rPr>
          <w:rFonts w:eastAsia="Times New Roman"/>
          <w:szCs w:val="26"/>
        </w:rPr>
        <w:t>es</w:t>
      </w:r>
      <w:r w:rsidRPr="006A6928">
        <w:rPr>
          <w:rFonts w:eastAsia="Times New Roman"/>
          <w:szCs w:val="26"/>
        </w:rPr>
        <w:t xml:space="preserve"> not survive section 230 immunity. </w:t>
      </w:r>
    </w:p>
    <w:p w:rsidR="003A3015" w:rsidRPr="006A6928" w:rsidP="003A3015">
      <w:pPr>
        <w:pStyle w:val="ListParagraph"/>
        <w:spacing w:line="240" w:lineRule="auto"/>
        <w:ind w:left="1800"/>
        <w:textAlignment w:val="baseline"/>
        <w:rPr>
          <w:rFonts w:eastAsia="Times New Roman"/>
          <w:b/>
          <w:bCs/>
          <w:i/>
          <w:iCs/>
          <w:szCs w:val="26"/>
        </w:rPr>
      </w:pPr>
    </w:p>
    <w:p w:rsidR="003A3015" w:rsidRPr="006A6928" w:rsidP="00ED63C8">
      <w:pPr>
        <w:pStyle w:val="ListParagraph"/>
        <w:keepNext/>
        <w:numPr>
          <w:ilvl w:val="1"/>
          <w:numId w:val="11"/>
        </w:numPr>
        <w:spacing w:line="240" w:lineRule="auto"/>
        <w:ind w:left="2160"/>
        <w:textAlignment w:val="baseline"/>
        <w:rPr>
          <w:rFonts w:eastAsia="Times New Roman"/>
          <w:b/>
          <w:bCs/>
          <w:i/>
          <w:iCs/>
          <w:szCs w:val="26"/>
        </w:rPr>
      </w:pPr>
      <w:r w:rsidRPr="006A6928">
        <w:rPr>
          <w:rFonts w:eastAsia="Times New Roman"/>
          <w:b/>
          <w:bCs/>
          <w:i/>
          <w:iCs/>
          <w:szCs w:val="26"/>
        </w:rPr>
        <w:t>Claims based on defendants’</w:t>
      </w:r>
      <w:r w:rsidRPr="006A6928" w:rsidR="00C269E8">
        <w:rPr>
          <w:rFonts w:eastAsia="Times New Roman"/>
          <w:b/>
          <w:bCs/>
          <w:i/>
          <w:iCs/>
          <w:szCs w:val="26"/>
        </w:rPr>
        <w:t xml:space="preserve"> creation or development of information </w:t>
      </w:r>
      <w:r w:rsidRPr="006A6928">
        <w:rPr>
          <w:rFonts w:eastAsia="Times New Roman"/>
          <w:b/>
          <w:bCs/>
          <w:i/>
          <w:iCs/>
          <w:szCs w:val="26"/>
        </w:rPr>
        <w:t>material</w:t>
      </w:r>
      <w:r w:rsidRPr="006A6928" w:rsidR="00C269E8">
        <w:rPr>
          <w:rFonts w:eastAsia="Times New Roman"/>
          <w:b/>
          <w:bCs/>
          <w:i/>
          <w:iCs/>
          <w:szCs w:val="26"/>
        </w:rPr>
        <w:t>ly</w:t>
      </w:r>
      <w:r w:rsidRPr="006A6928">
        <w:rPr>
          <w:rFonts w:eastAsia="Times New Roman"/>
          <w:b/>
          <w:bCs/>
          <w:i/>
          <w:iCs/>
          <w:szCs w:val="26"/>
        </w:rPr>
        <w:t xml:space="preserve"> contribut</w:t>
      </w:r>
      <w:r w:rsidRPr="006A6928" w:rsidR="00C269E8">
        <w:rPr>
          <w:rFonts w:eastAsia="Times New Roman"/>
          <w:b/>
          <w:bCs/>
          <w:i/>
          <w:iCs/>
          <w:szCs w:val="26"/>
        </w:rPr>
        <w:t>ing</w:t>
      </w:r>
      <w:r w:rsidRPr="006A6928">
        <w:rPr>
          <w:rFonts w:eastAsia="Times New Roman"/>
          <w:b/>
          <w:bCs/>
          <w:i/>
          <w:iCs/>
          <w:szCs w:val="26"/>
        </w:rPr>
        <w:t xml:space="preserve"> to scam ads and videos</w:t>
      </w:r>
    </w:p>
    <w:p w:rsidR="00455659" w:rsidRPr="006A6928" w:rsidP="00455659">
      <w:pPr>
        <w:ind w:firstLine="720"/>
        <w:textAlignment w:val="baseline"/>
        <w:rPr>
          <w:rFonts w:eastAsia="Times New Roman"/>
          <w:szCs w:val="26"/>
        </w:rPr>
      </w:pPr>
      <w:r w:rsidRPr="006A6928">
        <w:rPr>
          <w:rFonts w:eastAsia="Times New Roman"/>
          <w:szCs w:val="26"/>
        </w:rPr>
        <w:t xml:space="preserve">Plaintiffs argue </w:t>
      </w:r>
      <w:r w:rsidRPr="006A6928" w:rsidR="00455F04">
        <w:rPr>
          <w:rFonts w:eastAsia="Times New Roman"/>
          <w:szCs w:val="26"/>
        </w:rPr>
        <w:t>defendants</w:t>
      </w:r>
      <w:r w:rsidRPr="006A6928" w:rsidR="00F861A2">
        <w:rPr>
          <w:rFonts w:eastAsia="Times New Roman"/>
          <w:szCs w:val="26"/>
        </w:rPr>
        <w:t xml:space="preserve"> were also</w:t>
      </w:r>
      <w:r w:rsidRPr="006A6928" w:rsidR="00306F42">
        <w:rPr>
          <w:rFonts w:eastAsia="Times New Roman"/>
          <w:szCs w:val="26"/>
        </w:rPr>
        <w:t xml:space="preserve"> active content provider</w:t>
      </w:r>
      <w:r w:rsidRPr="006A6928" w:rsidR="00F861A2">
        <w:rPr>
          <w:rFonts w:eastAsia="Times New Roman"/>
          <w:szCs w:val="26"/>
        </w:rPr>
        <w:t>s</w:t>
      </w:r>
      <w:r w:rsidRPr="006A6928" w:rsidR="008B117D">
        <w:rPr>
          <w:rFonts w:eastAsia="Times New Roman"/>
          <w:szCs w:val="26"/>
        </w:rPr>
        <w:t xml:space="preserve"> that </w:t>
      </w:r>
      <w:r w:rsidRPr="006A6928" w:rsidR="00306F42">
        <w:rPr>
          <w:rFonts w:eastAsia="Times New Roman"/>
          <w:szCs w:val="26"/>
        </w:rPr>
        <w:t>materially contribut</w:t>
      </w:r>
      <w:r w:rsidRPr="006A6928" w:rsidR="008B117D">
        <w:rPr>
          <w:rFonts w:eastAsia="Times New Roman"/>
          <w:szCs w:val="26"/>
        </w:rPr>
        <w:t>ed</w:t>
      </w:r>
      <w:r w:rsidRPr="006A6928" w:rsidR="00306F42">
        <w:rPr>
          <w:rFonts w:eastAsia="Times New Roman"/>
          <w:szCs w:val="26"/>
        </w:rPr>
        <w:t xml:space="preserve"> to the alleged illegality of the third-party conduct</w:t>
      </w:r>
      <w:r w:rsidRPr="006A6928" w:rsidR="00F861A2">
        <w:rPr>
          <w:rFonts w:eastAsia="Times New Roman"/>
          <w:szCs w:val="26"/>
        </w:rPr>
        <w:t xml:space="preserve"> and </w:t>
      </w:r>
      <w:r w:rsidRPr="006A6928" w:rsidR="008B117D">
        <w:rPr>
          <w:rFonts w:eastAsia="Times New Roman"/>
          <w:szCs w:val="26"/>
        </w:rPr>
        <w:t xml:space="preserve">therefore </w:t>
      </w:r>
      <w:r w:rsidRPr="006A6928" w:rsidR="00F861A2">
        <w:rPr>
          <w:rFonts w:eastAsia="Times New Roman"/>
          <w:szCs w:val="26"/>
        </w:rPr>
        <w:t>fall</w:t>
      </w:r>
      <w:r w:rsidRPr="006A6928" w:rsidR="008B117D">
        <w:rPr>
          <w:rFonts w:eastAsia="Times New Roman"/>
          <w:szCs w:val="26"/>
        </w:rPr>
        <w:t xml:space="preserve"> </w:t>
      </w:r>
      <w:r w:rsidRPr="006A6928" w:rsidR="00F861A2">
        <w:rPr>
          <w:rFonts w:eastAsia="Times New Roman"/>
          <w:szCs w:val="26"/>
        </w:rPr>
        <w:t>outside the scope of section 230 immunity</w:t>
      </w:r>
      <w:r w:rsidRPr="006A6928" w:rsidR="00306F42">
        <w:rPr>
          <w:rFonts w:eastAsia="Times New Roman"/>
          <w:szCs w:val="26"/>
        </w:rPr>
        <w:t xml:space="preserve">.  </w:t>
      </w:r>
      <w:r w:rsidRPr="006A6928" w:rsidR="00F861A2">
        <w:rPr>
          <w:rFonts w:eastAsia="Times New Roman"/>
          <w:szCs w:val="26"/>
        </w:rPr>
        <w:t xml:space="preserve">Specifically, they </w:t>
      </w:r>
      <w:r w:rsidR="00617D2C">
        <w:rPr>
          <w:rFonts w:eastAsia="Times New Roman"/>
          <w:szCs w:val="26"/>
        </w:rPr>
        <w:t>argue</w:t>
      </w:r>
      <w:r w:rsidRPr="006A6928" w:rsidR="00617D2C">
        <w:rPr>
          <w:rFonts w:eastAsia="Times New Roman"/>
          <w:szCs w:val="26"/>
        </w:rPr>
        <w:t xml:space="preserve"> </w:t>
      </w:r>
      <w:r w:rsidRPr="006A6928" w:rsidR="00F861A2">
        <w:rPr>
          <w:rFonts w:eastAsia="Times New Roman"/>
          <w:szCs w:val="26"/>
        </w:rPr>
        <w:t>that</w:t>
      </w:r>
      <w:r w:rsidRPr="006A6928" w:rsidR="0038319F">
        <w:rPr>
          <w:rFonts w:eastAsia="Times New Roman"/>
          <w:szCs w:val="26"/>
        </w:rPr>
        <w:t xml:space="preserve">, with respect to the scam, </w:t>
      </w:r>
      <w:r w:rsidRPr="006A6928" w:rsidR="00F861A2">
        <w:rPr>
          <w:rFonts w:eastAsia="Times New Roman"/>
          <w:szCs w:val="26"/>
        </w:rPr>
        <w:t xml:space="preserve">defendants </w:t>
      </w:r>
      <w:r w:rsidRPr="006A6928" w:rsidR="00037CEF">
        <w:rPr>
          <w:rFonts w:eastAsia="Times New Roman"/>
          <w:szCs w:val="26"/>
        </w:rPr>
        <w:t xml:space="preserve">are information content providers under section 230 because they </w:t>
      </w:r>
      <w:r w:rsidRPr="006A6928">
        <w:rPr>
          <w:rFonts w:eastAsia="Times New Roman"/>
          <w:szCs w:val="26"/>
        </w:rPr>
        <w:t xml:space="preserve">materially contributed to the </w:t>
      </w:r>
      <w:r w:rsidRPr="006A6928" w:rsidR="00722555">
        <w:rPr>
          <w:rFonts w:eastAsia="Times New Roman"/>
          <w:szCs w:val="26"/>
        </w:rPr>
        <w:t xml:space="preserve">scam’s </w:t>
      </w:r>
      <w:r w:rsidRPr="006A6928">
        <w:rPr>
          <w:rFonts w:eastAsia="Times New Roman"/>
          <w:szCs w:val="26"/>
        </w:rPr>
        <w:t xml:space="preserve">illegality by </w:t>
      </w:r>
      <w:r w:rsidRPr="006A6928" w:rsidR="00F861A2">
        <w:rPr>
          <w:rFonts w:eastAsia="Times New Roman"/>
          <w:szCs w:val="26"/>
        </w:rPr>
        <w:t>creat</w:t>
      </w:r>
      <w:r w:rsidRPr="006A6928">
        <w:rPr>
          <w:rFonts w:eastAsia="Times New Roman"/>
          <w:szCs w:val="26"/>
        </w:rPr>
        <w:t>ing</w:t>
      </w:r>
      <w:r w:rsidRPr="006A6928" w:rsidR="00F861A2">
        <w:rPr>
          <w:rFonts w:eastAsia="Times New Roman"/>
          <w:szCs w:val="26"/>
        </w:rPr>
        <w:t xml:space="preserve"> scam videos and paid advertising</w:t>
      </w:r>
      <w:r w:rsidRPr="006A6928">
        <w:rPr>
          <w:rFonts w:eastAsia="Times New Roman"/>
          <w:szCs w:val="26"/>
        </w:rPr>
        <w:t xml:space="preserve">; falsely representing that the scam videos were “live” and that large numbers of users were watching or had “liked” the videos; </w:t>
      </w:r>
      <w:r w:rsidRPr="006A6928" w:rsidR="00955BC6">
        <w:rPr>
          <w:rFonts w:eastAsia="Times New Roman"/>
          <w:szCs w:val="26"/>
        </w:rPr>
        <w:t xml:space="preserve">recommending videos and selling advertisements to lead vulnerable users directly to the scam; and </w:t>
      </w:r>
      <w:r w:rsidRPr="006A6928">
        <w:rPr>
          <w:rFonts w:eastAsia="Times New Roman"/>
          <w:szCs w:val="26"/>
        </w:rPr>
        <w:t>falsely displaying “verification badge</w:t>
      </w:r>
      <w:r w:rsidRPr="006A6928" w:rsidR="00CF285A">
        <w:rPr>
          <w:rFonts w:eastAsia="Times New Roman"/>
          <w:szCs w:val="26"/>
        </w:rPr>
        <w:t>s</w:t>
      </w:r>
      <w:r w:rsidRPr="006A6928">
        <w:rPr>
          <w:rFonts w:eastAsia="Times New Roman"/>
          <w:szCs w:val="26"/>
        </w:rPr>
        <w:t>,” thereby communicating that the scam video</w:t>
      </w:r>
      <w:r w:rsidRPr="006A6928" w:rsidR="00CF285A">
        <w:rPr>
          <w:rFonts w:eastAsia="Times New Roman"/>
          <w:szCs w:val="26"/>
        </w:rPr>
        <w:t>s</w:t>
      </w:r>
      <w:r w:rsidRPr="006A6928">
        <w:rPr>
          <w:rFonts w:eastAsia="Times New Roman"/>
          <w:szCs w:val="26"/>
        </w:rPr>
        <w:t xml:space="preserve"> represent</w:t>
      </w:r>
      <w:r w:rsidRPr="006A6928" w:rsidR="00CF285A">
        <w:rPr>
          <w:rFonts w:eastAsia="Times New Roman"/>
          <w:szCs w:val="26"/>
        </w:rPr>
        <w:t>ed</w:t>
      </w:r>
      <w:r w:rsidRPr="006A6928">
        <w:rPr>
          <w:rFonts w:eastAsia="Times New Roman"/>
          <w:szCs w:val="26"/>
        </w:rPr>
        <w:t xml:space="preserve"> the real individual or entity it claim</w:t>
      </w:r>
      <w:r w:rsidRPr="006A6928" w:rsidR="00CF285A">
        <w:rPr>
          <w:rFonts w:eastAsia="Times New Roman"/>
          <w:szCs w:val="26"/>
        </w:rPr>
        <w:t>ed</w:t>
      </w:r>
      <w:r w:rsidRPr="006A6928">
        <w:rPr>
          <w:rFonts w:eastAsia="Times New Roman"/>
          <w:szCs w:val="26"/>
        </w:rPr>
        <w:t xml:space="preserve"> to be “and therefore can be trusted.</w:t>
      </w:r>
      <w:r w:rsidRPr="006A6928" w:rsidR="00955BC6">
        <w:rPr>
          <w:rFonts w:eastAsia="Times New Roman"/>
          <w:szCs w:val="26"/>
        </w:rPr>
        <w:t>”</w:t>
      </w:r>
      <w:r w:rsidRPr="006A6928">
        <w:rPr>
          <w:rFonts w:eastAsia="Times New Roman"/>
          <w:szCs w:val="26"/>
        </w:rPr>
        <w:t xml:space="preserve">  </w:t>
      </w:r>
    </w:p>
    <w:p w:rsidR="00A91863" w:rsidRPr="006A6928" w:rsidP="00A91863">
      <w:pPr>
        <w:ind w:firstLine="720"/>
        <w:textAlignment w:val="baseline"/>
        <w:rPr>
          <w:rFonts w:eastAsia="Times New Roman"/>
          <w:szCs w:val="26"/>
        </w:rPr>
      </w:pPr>
      <w:r w:rsidRPr="006A6928">
        <w:rPr>
          <w:rFonts w:eastAsia="Times New Roman"/>
          <w:szCs w:val="26"/>
        </w:rPr>
        <w:t xml:space="preserve">As summarized above, </w:t>
      </w:r>
      <w:r w:rsidRPr="006A6928" w:rsidR="005C5F01">
        <w:rPr>
          <w:rFonts w:eastAsia="Times New Roman"/>
          <w:szCs w:val="26"/>
        </w:rPr>
        <w:t xml:space="preserve">“an interactive computer service provider only has immunity if it is </w:t>
      </w:r>
      <w:r w:rsidRPr="006A6928" w:rsidR="005C5F01">
        <w:rPr>
          <w:rFonts w:eastAsia="Times New Roman"/>
          <w:i/>
          <w:iCs/>
          <w:szCs w:val="26"/>
          <w:bdr w:val="none" w:sz="0" w:space="0" w:color="auto" w:frame="1"/>
        </w:rPr>
        <w:t>not</w:t>
      </w:r>
      <w:r w:rsidRPr="006A6928" w:rsidR="005C5F01">
        <w:rPr>
          <w:rFonts w:eastAsia="Times New Roman"/>
          <w:szCs w:val="26"/>
        </w:rPr>
        <w:t xml:space="preserve"> also the information content provider — that is, someone </w:t>
      </w:r>
      <w:r w:rsidRPr="006A6928" w:rsidR="00CE2E70">
        <w:rPr>
          <w:rFonts w:eastAsia="Times New Roman"/>
          <w:szCs w:val="26"/>
        </w:rPr>
        <w:t>‘</w:t>
      </w:r>
      <w:r w:rsidRPr="006A6928" w:rsidR="005C5F01">
        <w:rPr>
          <w:rFonts w:eastAsia="Times New Roman"/>
          <w:szCs w:val="26"/>
        </w:rPr>
        <w:t>responsible, in whole or in part, for the creation or development</w:t>
      </w:r>
      <w:r w:rsidRPr="006A6928" w:rsidR="00CE2E70">
        <w:rPr>
          <w:rFonts w:eastAsia="Times New Roman"/>
          <w:szCs w:val="26"/>
        </w:rPr>
        <w:t>’</w:t>
      </w:r>
      <w:r w:rsidRPr="006A6928" w:rsidR="005C5F01">
        <w:rPr>
          <w:rFonts w:eastAsia="Times New Roman"/>
          <w:szCs w:val="26"/>
        </w:rPr>
        <w:t xml:space="preserve"> of the content at issue.”  (</w:t>
      </w:r>
      <w:r w:rsidRPr="006A6928" w:rsidR="005C5F01">
        <w:rPr>
          <w:rFonts w:eastAsia="Times New Roman"/>
          <w:i/>
          <w:iCs/>
          <w:szCs w:val="26"/>
        </w:rPr>
        <w:t>Liapes, supra,</w:t>
      </w:r>
      <w:r w:rsidRPr="006A6928" w:rsidR="005C5F01">
        <w:rPr>
          <w:rFonts w:eastAsia="Times New Roman"/>
          <w:szCs w:val="26"/>
        </w:rPr>
        <w:t xml:space="preserve"> 95 Cal.App.5th at p. 928</w:t>
      </w:r>
      <w:r w:rsidRPr="006A6928" w:rsidR="00350121">
        <w:rPr>
          <w:rFonts w:eastAsia="Times New Roman"/>
          <w:szCs w:val="26"/>
        </w:rPr>
        <w:t xml:space="preserve">.)  </w:t>
      </w:r>
      <w:r w:rsidRPr="006A6928" w:rsidR="005C5F01">
        <w:rPr>
          <w:rFonts w:eastAsia="Times New Roman"/>
          <w:szCs w:val="26"/>
        </w:rPr>
        <w:t>A</w:t>
      </w:r>
      <w:r w:rsidRPr="006A6928">
        <w:rPr>
          <w:rFonts w:eastAsia="Times New Roman"/>
          <w:szCs w:val="26"/>
        </w:rPr>
        <w:t xml:space="preserve"> website </w:t>
      </w:r>
      <w:r w:rsidRPr="006A6928" w:rsidR="0021464D">
        <w:rPr>
          <w:rFonts w:eastAsia="Times New Roman"/>
          <w:szCs w:val="26"/>
        </w:rPr>
        <w:t xml:space="preserve">may </w:t>
      </w:r>
      <w:r w:rsidRPr="006A6928" w:rsidR="00722555">
        <w:rPr>
          <w:rFonts w:eastAsia="Times New Roman"/>
          <w:szCs w:val="26"/>
        </w:rPr>
        <w:t>qualify as a</w:t>
      </w:r>
      <w:r w:rsidRPr="006A6928" w:rsidR="00AC2538">
        <w:rPr>
          <w:rFonts w:eastAsia="Times New Roman"/>
          <w:szCs w:val="26"/>
        </w:rPr>
        <w:t xml:space="preserve">n information content provider and </w:t>
      </w:r>
      <w:r w:rsidRPr="006A6928" w:rsidR="0021464D">
        <w:rPr>
          <w:rFonts w:eastAsia="Times New Roman"/>
          <w:szCs w:val="26"/>
        </w:rPr>
        <w:t>lose immunity under section 230</w:t>
      </w:r>
      <w:r w:rsidRPr="006A6928">
        <w:rPr>
          <w:rFonts w:eastAsia="Times New Roman"/>
          <w:szCs w:val="26"/>
        </w:rPr>
        <w:t xml:space="preserve"> “by making a material contribution to creation or development”</w:t>
      </w:r>
      <w:r w:rsidRPr="006A6928" w:rsidR="00AC2538">
        <w:rPr>
          <w:rFonts w:eastAsia="Times New Roman"/>
          <w:szCs w:val="26"/>
        </w:rPr>
        <w:t xml:space="preserve"> of illegal content.</w:t>
      </w:r>
      <w:r w:rsidRPr="006A6928">
        <w:rPr>
          <w:rFonts w:eastAsia="Times New Roman"/>
          <w:szCs w:val="26"/>
        </w:rPr>
        <w:t xml:space="preserve">  (</w:t>
      </w:r>
      <w:r w:rsidRPr="006A6928">
        <w:rPr>
          <w:rFonts w:eastAsia="Times New Roman"/>
          <w:i/>
          <w:iCs/>
          <w:szCs w:val="26"/>
        </w:rPr>
        <w:t xml:space="preserve">Kimzey, supra, </w:t>
      </w:r>
      <w:r w:rsidRPr="006A6928">
        <w:rPr>
          <w:rFonts w:eastAsia="Times New Roman"/>
          <w:szCs w:val="26"/>
        </w:rPr>
        <w:t xml:space="preserve">836 F.3d at p. 1269.)  A “material contribution” </w:t>
      </w:r>
      <w:r w:rsidRPr="006A6928" w:rsidR="00AC2538">
        <w:rPr>
          <w:rFonts w:eastAsia="Times New Roman"/>
          <w:szCs w:val="26"/>
        </w:rPr>
        <w:t xml:space="preserve">to illegal content </w:t>
      </w:r>
      <w:r w:rsidRPr="006A6928" w:rsidR="005C5F01">
        <w:rPr>
          <w:rFonts w:eastAsia="Times New Roman"/>
          <w:szCs w:val="26"/>
        </w:rPr>
        <w:t xml:space="preserve">refers </w:t>
      </w:r>
      <w:r w:rsidRPr="006A6928">
        <w:rPr>
          <w:rFonts w:eastAsia="Times New Roman"/>
          <w:szCs w:val="26"/>
        </w:rPr>
        <w:t xml:space="preserve">to </w:t>
      </w:r>
      <w:r w:rsidRPr="006A6928" w:rsidR="005C5F01">
        <w:rPr>
          <w:rFonts w:eastAsia="Times New Roman"/>
          <w:szCs w:val="26"/>
        </w:rPr>
        <w:t>“</w:t>
      </w:r>
      <w:r w:rsidRPr="006A6928">
        <w:rPr>
          <w:rFonts w:eastAsia="Times New Roman"/>
          <w:szCs w:val="26"/>
        </w:rPr>
        <w:t xml:space="preserve">materially contributing </w:t>
      </w:r>
      <w:r w:rsidRPr="006A6928">
        <w:rPr>
          <w:rFonts w:eastAsia="Times New Roman"/>
          <w:szCs w:val="26"/>
          <w:bdr w:val="none" w:sz="0" w:space="0" w:color="auto" w:frame="1"/>
        </w:rPr>
        <w:t>to its alleged unlawfulness</w:t>
      </w:r>
      <w:r w:rsidRPr="006A6928">
        <w:rPr>
          <w:rFonts w:eastAsia="Times New Roman"/>
          <w:szCs w:val="26"/>
        </w:rPr>
        <w:t>.”  (</w:t>
      </w:r>
      <w:r w:rsidRPr="006A6928">
        <w:rPr>
          <w:rFonts w:eastAsia="Times New Roman"/>
          <w:i/>
          <w:iCs/>
          <w:szCs w:val="26"/>
        </w:rPr>
        <w:t>Roommates, supra</w:t>
      </w:r>
      <w:r w:rsidRPr="006A6928">
        <w:rPr>
          <w:rFonts w:eastAsia="Times New Roman"/>
          <w:szCs w:val="26"/>
        </w:rPr>
        <w:t>, 521 F.3d at pp. 1167-1168.)</w:t>
      </w:r>
    </w:p>
    <w:p w:rsidR="00091C1B" w:rsidRPr="006A6928" w:rsidP="00091C1B">
      <w:pPr>
        <w:ind w:firstLine="720"/>
        <w:textAlignment w:val="baseline"/>
        <w:rPr>
          <w:rFonts w:eastAsia="Times New Roman"/>
          <w:szCs w:val="26"/>
        </w:rPr>
      </w:pPr>
      <w:r w:rsidRPr="006A6928">
        <w:rPr>
          <w:rFonts w:eastAsia="Times New Roman"/>
          <w:szCs w:val="26"/>
        </w:rPr>
        <w:t xml:space="preserve">We address plaintiffs’ </w:t>
      </w:r>
      <w:r w:rsidRPr="006A6928" w:rsidR="00821574">
        <w:rPr>
          <w:rFonts w:eastAsia="Times New Roman"/>
          <w:szCs w:val="26"/>
        </w:rPr>
        <w:t xml:space="preserve">arguments </w:t>
      </w:r>
      <w:r w:rsidRPr="006A6928">
        <w:rPr>
          <w:rFonts w:eastAsia="Times New Roman"/>
          <w:szCs w:val="26"/>
        </w:rPr>
        <w:t xml:space="preserve">in turn.  First, plaintiffs </w:t>
      </w:r>
      <w:r w:rsidR="00EA305A">
        <w:rPr>
          <w:rFonts w:eastAsia="Times New Roman"/>
          <w:szCs w:val="26"/>
        </w:rPr>
        <w:t>argue on appeal</w:t>
      </w:r>
      <w:r w:rsidRPr="006A6928">
        <w:rPr>
          <w:rFonts w:eastAsia="Times New Roman"/>
          <w:szCs w:val="26"/>
        </w:rPr>
        <w:t xml:space="preserve"> that defendants </w:t>
      </w:r>
      <w:r w:rsidRPr="006A6928" w:rsidR="0038319F">
        <w:rPr>
          <w:rFonts w:eastAsia="Times New Roman"/>
          <w:szCs w:val="26"/>
        </w:rPr>
        <w:t xml:space="preserve">are </w:t>
      </w:r>
      <w:r w:rsidRPr="006A6928" w:rsidR="009727C2">
        <w:rPr>
          <w:rFonts w:eastAsia="Times New Roman"/>
          <w:szCs w:val="26"/>
        </w:rPr>
        <w:t xml:space="preserve">information content providers </w:t>
      </w:r>
      <w:r w:rsidRPr="006A6928" w:rsidR="00AC2538">
        <w:rPr>
          <w:rFonts w:eastAsia="Times New Roman"/>
          <w:szCs w:val="26"/>
        </w:rPr>
        <w:t xml:space="preserve">with respect to the scam </w:t>
      </w:r>
      <w:r w:rsidRPr="006A6928" w:rsidR="009727C2">
        <w:rPr>
          <w:rFonts w:eastAsia="Times New Roman"/>
          <w:szCs w:val="26"/>
        </w:rPr>
        <w:t xml:space="preserve">because they </w:t>
      </w:r>
      <w:r w:rsidRPr="006A6928" w:rsidR="00D3308D">
        <w:rPr>
          <w:rFonts w:eastAsia="Times New Roman"/>
          <w:szCs w:val="26"/>
        </w:rPr>
        <w:t xml:space="preserve">created </w:t>
      </w:r>
      <w:r w:rsidRPr="006A6928" w:rsidR="00772317">
        <w:rPr>
          <w:rFonts w:eastAsia="Times New Roman"/>
          <w:szCs w:val="26"/>
        </w:rPr>
        <w:t xml:space="preserve">scam videos and paid advertisements.  While such behavior theoretically could </w:t>
      </w:r>
      <w:r w:rsidRPr="006A6928" w:rsidR="00D3308D">
        <w:rPr>
          <w:rFonts w:eastAsia="Times New Roman"/>
          <w:szCs w:val="26"/>
        </w:rPr>
        <w:t xml:space="preserve">make </w:t>
      </w:r>
      <w:r w:rsidR="00EA305A">
        <w:rPr>
          <w:rFonts w:eastAsia="Times New Roman"/>
          <w:szCs w:val="26"/>
        </w:rPr>
        <w:t>defendants</w:t>
      </w:r>
      <w:r w:rsidRPr="006A6928" w:rsidR="00EA305A">
        <w:rPr>
          <w:rFonts w:eastAsia="Times New Roman"/>
          <w:szCs w:val="26"/>
        </w:rPr>
        <w:t xml:space="preserve"> </w:t>
      </w:r>
      <w:r w:rsidRPr="006A6928" w:rsidR="00D3308D">
        <w:rPr>
          <w:rFonts w:eastAsia="Times New Roman"/>
          <w:szCs w:val="26"/>
        </w:rPr>
        <w:t>information content providers</w:t>
      </w:r>
      <w:r w:rsidRPr="006A6928" w:rsidR="00373B0C">
        <w:rPr>
          <w:rFonts w:eastAsia="Times New Roman"/>
          <w:szCs w:val="26"/>
        </w:rPr>
        <w:t xml:space="preserve"> under section 230</w:t>
      </w:r>
      <w:r w:rsidRPr="006A6928" w:rsidR="00772317">
        <w:rPr>
          <w:rFonts w:eastAsia="Times New Roman"/>
          <w:szCs w:val="26"/>
        </w:rPr>
        <w:t xml:space="preserve">, the SAC does not actually allege that </w:t>
      </w:r>
      <w:r w:rsidRPr="006A6928" w:rsidR="00772317">
        <w:rPr>
          <w:rFonts w:eastAsia="Times New Roman"/>
          <w:i/>
          <w:iCs/>
          <w:szCs w:val="26"/>
        </w:rPr>
        <w:t>defendants</w:t>
      </w:r>
      <w:r w:rsidRPr="006A6928" w:rsidR="00772317">
        <w:rPr>
          <w:rFonts w:eastAsia="Times New Roman"/>
          <w:szCs w:val="26"/>
        </w:rPr>
        <w:t xml:space="preserve"> created scam videos or advertisements.  Instead, </w:t>
      </w:r>
      <w:r w:rsidR="00EA305A">
        <w:rPr>
          <w:rFonts w:eastAsia="Times New Roman"/>
          <w:szCs w:val="26"/>
        </w:rPr>
        <w:t>it</w:t>
      </w:r>
      <w:r w:rsidRPr="006A6928" w:rsidR="00EA305A">
        <w:rPr>
          <w:rFonts w:eastAsia="Times New Roman"/>
          <w:szCs w:val="26"/>
        </w:rPr>
        <w:t xml:space="preserve"> </w:t>
      </w:r>
      <w:r w:rsidRPr="006A6928" w:rsidR="00772317">
        <w:rPr>
          <w:rFonts w:eastAsia="Times New Roman"/>
          <w:szCs w:val="26"/>
        </w:rPr>
        <w:t>allege</w:t>
      </w:r>
      <w:r w:rsidR="00EA305A">
        <w:rPr>
          <w:rFonts w:eastAsia="Times New Roman"/>
          <w:szCs w:val="26"/>
        </w:rPr>
        <w:t>s</w:t>
      </w:r>
      <w:r w:rsidRPr="006A6928" w:rsidR="00772317">
        <w:rPr>
          <w:rFonts w:eastAsia="Times New Roman"/>
          <w:szCs w:val="26"/>
        </w:rPr>
        <w:t xml:space="preserve"> that the third-party scammers created the videos and the advertisements, and defendants allowed them to be published on their platforms</w:t>
      </w:r>
      <w:r w:rsidRPr="006A6928">
        <w:rPr>
          <w:rFonts w:eastAsia="Times New Roman"/>
          <w:szCs w:val="26"/>
        </w:rPr>
        <w:t xml:space="preserve">: “Defendants </w:t>
      </w:r>
      <w:r w:rsidRPr="006A6928">
        <w:rPr>
          <w:szCs w:val="26"/>
        </w:rPr>
        <w:t xml:space="preserve">materially contributed to them by promoting the videos to a specific audience identified through its algorithm, by selling targeted ads driving traffic to the videos, by falsely verifying YOUTUBE channels that carry the videos….” </w:t>
      </w:r>
      <w:r w:rsidRPr="006A6928" w:rsidR="00270FF7">
        <w:rPr>
          <w:szCs w:val="26"/>
        </w:rPr>
        <w:t xml:space="preserve"> </w:t>
      </w:r>
    </w:p>
    <w:p w:rsidR="00270FF7" w:rsidRPr="006A6928" w:rsidP="00270FF7">
      <w:pPr>
        <w:ind w:firstLine="720"/>
        <w:textAlignment w:val="baseline"/>
        <w:rPr>
          <w:szCs w:val="26"/>
        </w:rPr>
      </w:pPr>
      <w:r w:rsidRPr="006A6928">
        <w:rPr>
          <w:rFonts w:eastAsia="Times New Roman"/>
          <w:szCs w:val="26"/>
        </w:rPr>
        <w:t xml:space="preserve">Second, the SAC similarly does not allege that </w:t>
      </w:r>
      <w:r w:rsidRPr="006A6928">
        <w:rPr>
          <w:rFonts w:eastAsia="Times New Roman"/>
          <w:i/>
          <w:iCs/>
          <w:szCs w:val="26"/>
        </w:rPr>
        <w:t>defendants</w:t>
      </w:r>
      <w:r w:rsidRPr="006A6928">
        <w:rPr>
          <w:rFonts w:eastAsia="Times New Roman"/>
          <w:szCs w:val="26"/>
        </w:rPr>
        <w:t xml:space="preserve"> falsely represented that the scam videos were live and that large numbers of users were watching and liked the videos.  Instead, it alleges that defendants “</w:t>
      </w:r>
      <w:r w:rsidRPr="006A6928">
        <w:rPr>
          <w:szCs w:val="26"/>
        </w:rPr>
        <w:t xml:space="preserve">negligently designed video metrics and other public-facing features of its platform that </w:t>
      </w:r>
      <w:r w:rsidRPr="006A6928">
        <w:rPr>
          <w:i/>
          <w:iCs/>
          <w:szCs w:val="26"/>
        </w:rPr>
        <w:t>permit</w:t>
      </w:r>
      <w:r w:rsidRPr="006A6928">
        <w:rPr>
          <w:szCs w:val="26"/>
        </w:rPr>
        <w:t xml:space="preserve"> </w:t>
      </w:r>
      <w:r w:rsidRPr="006A6928">
        <w:rPr>
          <w:i/>
          <w:iCs/>
          <w:szCs w:val="26"/>
        </w:rPr>
        <w:t>the scammers to falsely represent</w:t>
      </w:r>
      <w:r w:rsidRPr="006A6928">
        <w:rPr>
          <w:szCs w:val="26"/>
        </w:rPr>
        <w:t xml:space="preserve"> that the scam videos are ‘live’ when they are not, that large numbers of users who are ‘currently watching’ live scam videos when they are not, that a large number of users have ‘viewed’ the videos when they have not, that large numbers of users have ‘liked’ the videos when they have not, and other similarly false or misleading statements of fact that cause the scam videos and promotions to appear authentic.” </w:t>
      </w:r>
      <w:r w:rsidRPr="006A6928" w:rsidR="00350121">
        <w:rPr>
          <w:szCs w:val="26"/>
        </w:rPr>
        <w:t xml:space="preserve"> (Emphasis added.) </w:t>
      </w:r>
      <w:r w:rsidRPr="006A6928">
        <w:rPr>
          <w:szCs w:val="26"/>
        </w:rPr>
        <w:t xml:space="preserve"> In other words, plaintiffs allege that the scammers created that </w:t>
      </w:r>
      <w:r w:rsidRPr="006A6928" w:rsidR="00733093">
        <w:rPr>
          <w:szCs w:val="26"/>
        </w:rPr>
        <w:t>information</w:t>
      </w:r>
      <w:r w:rsidRPr="006A6928">
        <w:rPr>
          <w:szCs w:val="26"/>
        </w:rPr>
        <w:t xml:space="preserve">, not defendants. </w:t>
      </w:r>
    </w:p>
    <w:p w:rsidR="00CE2E70" w:rsidRPr="006A6928" w:rsidP="00270FF7">
      <w:pPr>
        <w:ind w:firstLine="720"/>
        <w:textAlignment w:val="baseline"/>
        <w:rPr>
          <w:rFonts w:eastAsia="Times New Roman"/>
          <w:szCs w:val="26"/>
        </w:rPr>
      </w:pPr>
      <w:r w:rsidRPr="006A6928">
        <w:rPr>
          <w:rFonts w:eastAsia="Times New Roman"/>
          <w:szCs w:val="26"/>
        </w:rPr>
        <w:t xml:space="preserve">Third, </w:t>
      </w:r>
      <w:r w:rsidRPr="006A6928" w:rsidR="006A4ED6">
        <w:rPr>
          <w:rFonts w:eastAsia="Times New Roman"/>
          <w:szCs w:val="26"/>
        </w:rPr>
        <w:t xml:space="preserve">defendants’ </w:t>
      </w:r>
      <w:r w:rsidRPr="006A6928">
        <w:rPr>
          <w:rFonts w:eastAsia="Times New Roman"/>
          <w:szCs w:val="26"/>
        </w:rPr>
        <w:t>recommendation of videos and sale of advertisements does not</w:t>
      </w:r>
      <w:r w:rsidRPr="006A6928" w:rsidR="00CD1770">
        <w:rPr>
          <w:rFonts w:eastAsia="Times New Roman"/>
          <w:szCs w:val="26"/>
        </w:rPr>
        <w:t xml:space="preserve"> make them information content providers because those recommendations did not</w:t>
      </w:r>
      <w:r w:rsidRPr="006A6928">
        <w:rPr>
          <w:rFonts w:eastAsia="Times New Roman"/>
          <w:szCs w:val="26"/>
        </w:rPr>
        <w:t xml:space="preserve"> materially contribute to the illegality of </w:t>
      </w:r>
      <w:r w:rsidRPr="006A6928" w:rsidR="00CD7DF9">
        <w:rPr>
          <w:rFonts w:eastAsia="Times New Roman"/>
          <w:szCs w:val="26"/>
        </w:rPr>
        <w:t xml:space="preserve">the content underlying </w:t>
      </w:r>
      <w:r w:rsidRPr="006A6928">
        <w:rPr>
          <w:rFonts w:eastAsia="Times New Roman"/>
          <w:szCs w:val="26"/>
        </w:rPr>
        <w:t xml:space="preserve">the scam.  </w:t>
      </w:r>
      <w:r w:rsidRPr="006A6928" w:rsidR="00C80DFF">
        <w:rPr>
          <w:rFonts w:eastAsia="Times New Roman"/>
          <w:szCs w:val="26"/>
        </w:rPr>
        <w:t xml:space="preserve">A </w:t>
      </w:r>
      <w:r w:rsidR="005832F2">
        <w:rPr>
          <w:rFonts w:eastAsia="Times New Roman"/>
          <w:szCs w:val="26"/>
        </w:rPr>
        <w:t>“</w:t>
      </w:r>
      <w:r w:rsidRPr="006A6928" w:rsidR="00C80DFF">
        <w:rPr>
          <w:rFonts w:eastAsia="Times New Roman"/>
          <w:szCs w:val="26"/>
        </w:rPr>
        <w:t>material contribution</w:t>
      </w:r>
      <w:r w:rsidR="005832F2">
        <w:rPr>
          <w:rFonts w:eastAsia="Times New Roman"/>
          <w:szCs w:val="26"/>
        </w:rPr>
        <w:t>”</w:t>
      </w:r>
      <w:r w:rsidRPr="006A6928" w:rsidR="00C80DFF">
        <w:rPr>
          <w:rFonts w:eastAsia="Times New Roman"/>
          <w:szCs w:val="26"/>
        </w:rPr>
        <w:t xml:space="preserve"> does not </w:t>
      </w:r>
      <w:r w:rsidR="005832F2">
        <w:rPr>
          <w:rFonts w:eastAsia="Times New Roman"/>
          <w:szCs w:val="26"/>
        </w:rPr>
        <w:t xml:space="preserve">merely </w:t>
      </w:r>
      <w:r w:rsidRPr="006A6928" w:rsidR="00C80DFF">
        <w:rPr>
          <w:rFonts w:eastAsia="Times New Roman"/>
          <w:szCs w:val="26"/>
        </w:rPr>
        <w:t xml:space="preserve">refer to </w:t>
      </w:r>
      <w:r w:rsidR="005832F2">
        <w:rPr>
          <w:rFonts w:eastAsia="Times New Roman"/>
          <w:szCs w:val="26"/>
        </w:rPr>
        <w:t>“</w:t>
      </w:r>
      <w:r w:rsidRPr="006A6928" w:rsidR="00C80DFF">
        <w:rPr>
          <w:rFonts w:eastAsia="Times New Roman"/>
          <w:szCs w:val="26"/>
        </w:rPr>
        <w:t xml:space="preserve">augmenting the content generally, but to materially contributing </w:t>
      </w:r>
      <w:r w:rsidRPr="006A6928" w:rsidR="00C80DFF">
        <w:rPr>
          <w:rFonts w:eastAsia="Times New Roman"/>
          <w:i/>
          <w:iCs/>
          <w:szCs w:val="26"/>
          <w:bdr w:val="none" w:sz="0" w:space="0" w:color="auto" w:frame="1"/>
        </w:rPr>
        <w:t>to its alleged unlawfulness</w:t>
      </w:r>
      <w:r w:rsidRPr="006A6928" w:rsidR="00C80DFF">
        <w:rPr>
          <w:rFonts w:eastAsia="Times New Roman"/>
          <w:szCs w:val="26"/>
        </w:rPr>
        <w:t>.”  (</w:t>
      </w:r>
      <w:r w:rsidRPr="006A6928" w:rsidR="00C80DFF">
        <w:rPr>
          <w:rFonts w:eastAsia="Times New Roman"/>
          <w:i/>
          <w:iCs/>
          <w:szCs w:val="26"/>
          <w:bdr w:val="none" w:sz="0" w:space="0" w:color="auto" w:frame="1"/>
        </w:rPr>
        <w:t>Roommates</w:t>
      </w:r>
      <w:r w:rsidRPr="006A6928" w:rsidR="00C80DFF">
        <w:rPr>
          <w:rFonts w:eastAsia="Times New Roman"/>
          <w:szCs w:val="26"/>
        </w:rPr>
        <w:t xml:space="preserve">, </w:t>
      </w:r>
      <w:r w:rsidRPr="006A6928" w:rsidR="00C80DFF">
        <w:rPr>
          <w:rFonts w:eastAsia="Times New Roman"/>
          <w:i/>
          <w:iCs/>
          <w:szCs w:val="26"/>
        </w:rPr>
        <w:t xml:space="preserve">supra, </w:t>
      </w:r>
      <w:r w:rsidRPr="006A6928" w:rsidR="00C80DFF">
        <w:rPr>
          <w:rFonts w:eastAsia="Times New Roman"/>
          <w:szCs w:val="26"/>
        </w:rPr>
        <w:t xml:space="preserve">521 F.3d at </w:t>
      </w:r>
      <w:r w:rsidRPr="006A6928" w:rsidR="00BA51B9">
        <w:rPr>
          <w:rFonts w:eastAsia="Times New Roman"/>
          <w:szCs w:val="26"/>
        </w:rPr>
        <w:t xml:space="preserve">pp. </w:t>
      </w:r>
      <w:r w:rsidRPr="006A6928" w:rsidR="00C80DFF">
        <w:rPr>
          <w:rFonts w:eastAsia="Times New Roman"/>
          <w:szCs w:val="26"/>
        </w:rPr>
        <w:t>1167–68 (emphasis added).  “This test ‘draw[s] the line at the “crucial distinction between, on the one hand, taking actions” to display ‘actionable content and, on the other hand, responsibility for what makes the displayed content [itself] illegal or actionable.’ ”  (</w:t>
      </w:r>
      <w:r w:rsidRPr="006A6928" w:rsidR="00C80DFF">
        <w:rPr>
          <w:rFonts w:eastAsia="Times New Roman"/>
          <w:i/>
          <w:iCs/>
          <w:szCs w:val="26"/>
          <w:bdr w:val="none" w:sz="0" w:space="0" w:color="auto" w:frame="1"/>
        </w:rPr>
        <w:t>Kimzey</w:t>
      </w:r>
      <w:r w:rsidRPr="006A6928" w:rsidR="00C80DFF">
        <w:rPr>
          <w:rFonts w:eastAsia="Times New Roman"/>
          <w:szCs w:val="26"/>
        </w:rPr>
        <w:t xml:space="preserve">, </w:t>
      </w:r>
      <w:r w:rsidRPr="006A6928" w:rsidR="00C80DFF">
        <w:rPr>
          <w:rFonts w:eastAsia="Times New Roman"/>
          <w:i/>
          <w:iCs/>
          <w:szCs w:val="26"/>
        </w:rPr>
        <w:t xml:space="preserve">supra, </w:t>
      </w:r>
      <w:r w:rsidRPr="006A6928" w:rsidR="00C80DFF">
        <w:rPr>
          <w:rFonts w:eastAsia="Times New Roman"/>
          <w:szCs w:val="26"/>
        </w:rPr>
        <w:t xml:space="preserve">836 F.3d at </w:t>
      </w:r>
      <w:r w:rsidRPr="006A6928" w:rsidR="00BA51B9">
        <w:rPr>
          <w:rFonts w:eastAsia="Times New Roman"/>
          <w:szCs w:val="26"/>
        </w:rPr>
        <w:t xml:space="preserve">p. </w:t>
      </w:r>
      <w:r w:rsidRPr="006A6928" w:rsidR="00C80DFF">
        <w:rPr>
          <w:rFonts w:eastAsia="Times New Roman"/>
          <w:szCs w:val="26"/>
        </w:rPr>
        <w:t>1269</w:t>
      </w:r>
      <w:r w:rsidRPr="006A6928" w:rsidR="00BA51B9">
        <w:rPr>
          <w:rFonts w:eastAsia="Times New Roman"/>
          <w:szCs w:val="26"/>
        </w:rPr>
        <w:t>,</w:t>
      </w:r>
      <w:r w:rsidRPr="006A6928" w:rsidR="00C80DFF">
        <w:rPr>
          <w:rFonts w:eastAsia="Times New Roman"/>
          <w:szCs w:val="26"/>
        </w:rPr>
        <w:t xml:space="preserve"> fn.4 (internal quotation marks omitted) (quoting </w:t>
      </w:r>
      <w:r w:rsidRPr="006A6928" w:rsidR="00C80DFF">
        <w:rPr>
          <w:rFonts w:eastAsia="Times New Roman"/>
          <w:i/>
          <w:iCs/>
          <w:szCs w:val="26"/>
          <w:bdr w:val="none" w:sz="0" w:space="0" w:color="auto" w:frame="1"/>
        </w:rPr>
        <w:t>Jones v. Dirty World Ent</w:t>
      </w:r>
      <w:r w:rsidRPr="006A6928" w:rsidR="00BA51B9">
        <w:rPr>
          <w:rFonts w:eastAsia="Times New Roman"/>
          <w:i/>
          <w:iCs/>
          <w:szCs w:val="26"/>
          <w:bdr w:val="none" w:sz="0" w:space="0" w:color="auto" w:frame="1"/>
        </w:rPr>
        <w:t>ertainment</w:t>
      </w:r>
      <w:r w:rsidRPr="006A6928" w:rsidR="00C80DFF">
        <w:rPr>
          <w:rFonts w:eastAsia="Times New Roman"/>
          <w:i/>
          <w:iCs/>
          <w:szCs w:val="26"/>
          <w:bdr w:val="none" w:sz="0" w:space="0" w:color="auto" w:frame="1"/>
        </w:rPr>
        <w:t xml:space="preserve"> Recordings LLC</w:t>
      </w:r>
      <w:r w:rsidRPr="006A6928" w:rsidR="00C80DFF">
        <w:rPr>
          <w:rFonts w:eastAsia="Times New Roman"/>
          <w:szCs w:val="26"/>
        </w:rPr>
        <w:t xml:space="preserve"> (6th Cir. 2014) 755 F.3d 398, 413–14).  Here, recommending videos and selling advertisements may display </w:t>
      </w:r>
      <w:r w:rsidR="00EA305A">
        <w:rPr>
          <w:rFonts w:eastAsia="Times New Roman"/>
          <w:szCs w:val="26"/>
        </w:rPr>
        <w:t xml:space="preserve">and augment </w:t>
      </w:r>
      <w:r w:rsidRPr="006A6928" w:rsidR="00C80DFF">
        <w:rPr>
          <w:rFonts w:eastAsia="Times New Roman"/>
          <w:szCs w:val="26"/>
        </w:rPr>
        <w:t>the illegal content, but it does not contribute to what makes it illega</w:t>
      </w:r>
      <w:r w:rsidRPr="006A6928" w:rsidR="00BA51B9">
        <w:rPr>
          <w:rFonts w:eastAsia="Times New Roman"/>
          <w:szCs w:val="26"/>
        </w:rPr>
        <w:t>l.</w:t>
      </w:r>
      <w:r w:rsidRPr="006A6928">
        <w:rPr>
          <w:rFonts w:eastAsia="Times New Roman"/>
          <w:szCs w:val="26"/>
        </w:rPr>
        <w:t xml:space="preserve">  (See, e.g., </w:t>
      </w:r>
      <w:r w:rsidRPr="006A6928">
        <w:rPr>
          <w:i/>
          <w:iCs/>
          <w:szCs w:val="26"/>
        </w:rPr>
        <w:t>Dyroff, supra</w:t>
      </w:r>
      <w:r w:rsidRPr="006A6928">
        <w:rPr>
          <w:szCs w:val="26"/>
        </w:rPr>
        <w:t>, 934 F.3d at p. 1099 [“The recommendation and notification functions helped facilitate this user-to-user communication, but it did not materially contribute, as Plaintiff argues, to the alleged unlawfulness of the content.”].)</w:t>
      </w:r>
    </w:p>
    <w:p w:rsidR="001D1B41" w:rsidRPr="006A6928" w:rsidP="001D1B41">
      <w:pPr>
        <w:ind w:firstLine="720"/>
        <w:textAlignment w:val="baseline"/>
        <w:rPr>
          <w:rFonts w:eastAsia="Times New Roman"/>
          <w:b/>
          <w:bCs/>
          <w:szCs w:val="26"/>
        </w:rPr>
      </w:pPr>
      <w:bookmarkStart w:id="21" w:name="_Hlk157605252"/>
      <w:r w:rsidRPr="006A6928">
        <w:rPr>
          <w:rFonts w:eastAsia="Times New Roman"/>
          <w:szCs w:val="26"/>
        </w:rPr>
        <w:t xml:space="preserve">Lastly, plaintiffs argue that </w:t>
      </w:r>
      <w:r w:rsidRPr="006A6928" w:rsidR="00017E42">
        <w:rPr>
          <w:rFonts w:eastAsia="Times New Roman"/>
          <w:szCs w:val="26"/>
        </w:rPr>
        <w:t xml:space="preserve">defendants acted as information content providers in </w:t>
      </w:r>
      <w:r w:rsidRPr="006A6928">
        <w:rPr>
          <w:rFonts w:eastAsia="Times New Roman"/>
          <w:szCs w:val="26"/>
        </w:rPr>
        <w:t>displaying verification badge</w:t>
      </w:r>
      <w:r w:rsidRPr="006A6928" w:rsidR="00A85193">
        <w:rPr>
          <w:rFonts w:eastAsia="Times New Roman"/>
          <w:szCs w:val="26"/>
        </w:rPr>
        <w:t xml:space="preserve">s </w:t>
      </w:r>
      <w:r w:rsidRPr="006A6928" w:rsidR="00D5514D">
        <w:rPr>
          <w:rFonts w:eastAsia="Times New Roman"/>
          <w:szCs w:val="26"/>
        </w:rPr>
        <w:t xml:space="preserve">which </w:t>
      </w:r>
      <w:r w:rsidRPr="006A6928" w:rsidR="00EB4AC8">
        <w:rPr>
          <w:rFonts w:eastAsia="Times New Roman"/>
          <w:szCs w:val="26"/>
        </w:rPr>
        <w:t>fals</w:t>
      </w:r>
      <w:r w:rsidRPr="006A6928" w:rsidR="00674C58">
        <w:rPr>
          <w:rFonts w:eastAsia="Times New Roman"/>
          <w:szCs w:val="26"/>
        </w:rPr>
        <w:t>ely identif</w:t>
      </w:r>
      <w:r w:rsidRPr="006A6928" w:rsidR="005146ED">
        <w:rPr>
          <w:rFonts w:eastAsia="Times New Roman"/>
          <w:szCs w:val="26"/>
        </w:rPr>
        <w:t>ied</w:t>
      </w:r>
      <w:r w:rsidRPr="006A6928" w:rsidR="00674C58">
        <w:rPr>
          <w:rFonts w:eastAsia="Times New Roman"/>
          <w:szCs w:val="26"/>
        </w:rPr>
        <w:t xml:space="preserve"> </w:t>
      </w:r>
      <w:r w:rsidRPr="006A6928" w:rsidR="00144EDB">
        <w:rPr>
          <w:rFonts w:eastAsia="Times New Roman"/>
          <w:szCs w:val="26"/>
        </w:rPr>
        <w:t>hijacked channels</w:t>
      </w:r>
      <w:r w:rsidRPr="006A6928" w:rsidR="00724072">
        <w:rPr>
          <w:rFonts w:eastAsia="Times New Roman"/>
          <w:szCs w:val="26"/>
        </w:rPr>
        <w:t xml:space="preserve"> </w:t>
      </w:r>
      <w:r w:rsidRPr="006A6928" w:rsidR="00BB7F4A">
        <w:rPr>
          <w:rFonts w:eastAsia="Times New Roman"/>
          <w:szCs w:val="26"/>
        </w:rPr>
        <w:t>as vetted and trustworthy</w:t>
      </w:r>
      <w:r w:rsidRPr="006A6928" w:rsidR="00826113">
        <w:rPr>
          <w:rFonts w:eastAsia="Times New Roman"/>
          <w:szCs w:val="26"/>
        </w:rPr>
        <w:t xml:space="preserve">. </w:t>
      </w:r>
      <w:bookmarkEnd w:id="21"/>
      <w:r w:rsidRPr="006A6928" w:rsidR="00826113">
        <w:rPr>
          <w:rFonts w:eastAsia="Times New Roman"/>
          <w:szCs w:val="26"/>
        </w:rPr>
        <w:t xml:space="preserve"> </w:t>
      </w:r>
      <w:r w:rsidRPr="006A6928">
        <w:rPr>
          <w:rFonts w:eastAsia="Times New Roman"/>
          <w:szCs w:val="26"/>
        </w:rPr>
        <w:t>As explain</w:t>
      </w:r>
      <w:r w:rsidRPr="006A6928" w:rsidR="00A85193">
        <w:rPr>
          <w:rFonts w:eastAsia="Times New Roman"/>
          <w:szCs w:val="26"/>
        </w:rPr>
        <w:t>ed</w:t>
      </w:r>
      <w:r w:rsidRPr="006A6928">
        <w:rPr>
          <w:rFonts w:eastAsia="Times New Roman"/>
          <w:szCs w:val="26"/>
        </w:rPr>
        <w:t xml:space="preserve"> below, we conclude that</w:t>
      </w:r>
      <w:r w:rsidR="00BD6B7B">
        <w:rPr>
          <w:rFonts w:eastAsia="Times New Roman"/>
          <w:szCs w:val="26"/>
        </w:rPr>
        <w:t>, while the SAC</w:t>
      </w:r>
      <w:r w:rsidRPr="006A6928" w:rsidR="00A85193">
        <w:rPr>
          <w:rFonts w:eastAsia="Times New Roman"/>
          <w:szCs w:val="26"/>
        </w:rPr>
        <w:t xml:space="preserve"> allege</w:t>
      </w:r>
      <w:r w:rsidR="00BD6B7B">
        <w:rPr>
          <w:rFonts w:eastAsia="Times New Roman"/>
          <w:szCs w:val="26"/>
        </w:rPr>
        <w:t>s</w:t>
      </w:r>
      <w:r w:rsidRPr="006A6928" w:rsidR="00A85193">
        <w:rPr>
          <w:rFonts w:eastAsia="Times New Roman"/>
          <w:szCs w:val="26"/>
        </w:rPr>
        <w:t xml:space="preserve"> </w:t>
      </w:r>
      <w:r w:rsidR="00EE7642">
        <w:rPr>
          <w:rFonts w:eastAsia="Times New Roman"/>
          <w:szCs w:val="26"/>
        </w:rPr>
        <w:t>defendants created</w:t>
      </w:r>
      <w:r w:rsidRPr="006A6928" w:rsidR="00EE7642">
        <w:rPr>
          <w:rFonts w:eastAsia="Times New Roman"/>
          <w:szCs w:val="26"/>
        </w:rPr>
        <w:t xml:space="preserve"> </w:t>
      </w:r>
      <w:r w:rsidRPr="006A6928" w:rsidR="00A85193">
        <w:rPr>
          <w:rFonts w:eastAsia="Times New Roman"/>
          <w:szCs w:val="26"/>
        </w:rPr>
        <w:t xml:space="preserve">the verification badges </w:t>
      </w:r>
      <w:r w:rsidR="00EE7642">
        <w:rPr>
          <w:rFonts w:eastAsia="Times New Roman"/>
          <w:szCs w:val="26"/>
        </w:rPr>
        <w:t>and</w:t>
      </w:r>
      <w:r w:rsidRPr="006A6928" w:rsidR="00A85193">
        <w:rPr>
          <w:rFonts w:eastAsia="Times New Roman"/>
          <w:szCs w:val="26"/>
        </w:rPr>
        <w:t xml:space="preserve"> materially contribute</w:t>
      </w:r>
      <w:r w:rsidRPr="006A6928" w:rsidR="002410F2">
        <w:rPr>
          <w:rFonts w:eastAsia="Times New Roman"/>
          <w:szCs w:val="26"/>
        </w:rPr>
        <w:t>d</w:t>
      </w:r>
      <w:r w:rsidRPr="006A6928" w:rsidR="00A85193">
        <w:rPr>
          <w:rFonts w:eastAsia="Times New Roman"/>
          <w:szCs w:val="26"/>
        </w:rPr>
        <w:t xml:space="preserve"> to the </w:t>
      </w:r>
      <w:r w:rsidR="00EE7642">
        <w:rPr>
          <w:rFonts w:eastAsia="Times New Roman"/>
          <w:szCs w:val="26"/>
        </w:rPr>
        <w:t xml:space="preserve">development of the unlawful </w:t>
      </w:r>
      <w:r w:rsidRPr="006A6928" w:rsidR="00A85193">
        <w:rPr>
          <w:rFonts w:eastAsia="Times New Roman"/>
          <w:szCs w:val="26"/>
        </w:rPr>
        <w:t>scam</w:t>
      </w:r>
      <w:r w:rsidR="00EE7642">
        <w:rPr>
          <w:rFonts w:eastAsia="Times New Roman"/>
          <w:szCs w:val="26"/>
        </w:rPr>
        <w:t>, the allegations</w:t>
      </w:r>
      <w:r w:rsidRPr="006A6928" w:rsidR="00A85193">
        <w:rPr>
          <w:rFonts w:eastAsia="Times New Roman"/>
          <w:szCs w:val="26"/>
        </w:rPr>
        <w:t xml:space="preserve"> are too conclusory to </w:t>
      </w:r>
      <w:r w:rsidRPr="006A6928" w:rsidR="001A3BE1">
        <w:rPr>
          <w:rFonts w:eastAsia="Times New Roman"/>
          <w:szCs w:val="26"/>
        </w:rPr>
        <w:t xml:space="preserve">involve </w:t>
      </w:r>
      <w:r w:rsidRPr="006A6928" w:rsidR="005F1967">
        <w:rPr>
          <w:rFonts w:eastAsia="Times New Roman"/>
          <w:szCs w:val="26"/>
        </w:rPr>
        <w:t xml:space="preserve">them in </w:t>
      </w:r>
      <w:r w:rsidRPr="006A6928" w:rsidR="00471220">
        <w:rPr>
          <w:rFonts w:eastAsia="Times New Roman"/>
          <w:szCs w:val="26"/>
        </w:rPr>
        <w:t xml:space="preserve">the creation or development of </w:t>
      </w:r>
      <w:r w:rsidRPr="006A6928" w:rsidR="00E5340E">
        <w:rPr>
          <w:rFonts w:eastAsia="Times New Roman"/>
          <w:szCs w:val="26"/>
        </w:rPr>
        <w:t>that content</w:t>
      </w:r>
      <w:r w:rsidRPr="006A6928" w:rsidR="005F1967">
        <w:rPr>
          <w:rFonts w:eastAsia="Times New Roman"/>
          <w:szCs w:val="26"/>
        </w:rPr>
        <w:t xml:space="preserve"> and make them </w:t>
      </w:r>
      <w:r w:rsidRPr="006A6928" w:rsidR="00E5340E">
        <w:rPr>
          <w:rFonts w:eastAsia="Times New Roman"/>
          <w:szCs w:val="26"/>
        </w:rPr>
        <w:t xml:space="preserve">information content </w:t>
      </w:r>
      <w:r w:rsidRPr="006A6928" w:rsidR="005F1967">
        <w:rPr>
          <w:rFonts w:eastAsia="Times New Roman"/>
          <w:szCs w:val="26"/>
        </w:rPr>
        <w:t xml:space="preserve">providers </w:t>
      </w:r>
      <w:r w:rsidRPr="006A6928" w:rsidR="00817851">
        <w:rPr>
          <w:rFonts w:eastAsia="Times New Roman"/>
          <w:szCs w:val="26"/>
        </w:rPr>
        <w:t xml:space="preserve">under </w:t>
      </w:r>
      <w:r w:rsidRPr="006A6928" w:rsidR="00A85193">
        <w:rPr>
          <w:rFonts w:eastAsia="Times New Roman"/>
          <w:szCs w:val="26"/>
        </w:rPr>
        <w:t>section 230.  However,</w:t>
      </w:r>
      <w:r w:rsidRPr="006A6928">
        <w:rPr>
          <w:rFonts w:eastAsia="Times New Roman"/>
          <w:szCs w:val="26"/>
        </w:rPr>
        <w:t xml:space="preserve"> because there is a reasonable possibility that th</w:t>
      </w:r>
      <w:r w:rsidRPr="006A6928" w:rsidR="002410F2">
        <w:rPr>
          <w:rFonts w:eastAsia="Times New Roman"/>
          <w:szCs w:val="26"/>
        </w:rPr>
        <w:t>is</w:t>
      </w:r>
      <w:r w:rsidRPr="006A6928">
        <w:rPr>
          <w:rFonts w:eastAsia="Times New Roman"/>
          <w:szCs w:val="26"/>
        </w:rPr>
        <w:t xml:space="preserve"> defect </w:t>
      </w:r>
      <w:r w:rsidRPr="006A6928" w:rsidR="000C166B">
        <w:rPr>
          <w:rFonts w:eastAsia="Times New Roman"/>
          <w:szCs w:val="26"/>
        </w:rPr>
        <w:t>could</w:t>
      </w:r>
      <w:r w:rsidRPr="006A6928">
        <w:rPr>
          <w:rFonts w:eastAsia="Times New Roman"/>
          <w:szCs w:val="26"/>
        </w:rPr>
        <w:t xml:space="preserve"> be cured by amendment, plaintiffs </w:t>
      </w:r>
      <w:r w:rsidRPr="006A6928" w:rsidR="000C166B">
        <w:rPr>
          <w:rFonts w:eastAsia="Times New Roman"/>
          <w:szCs w:val="26"/>
        </w:rPr>
        <w:t>must</w:t>
      </w:r>
      <w:r w:rsidRPr="006A6928">
        <w:rPr>
          <w:rFonts w:eastAsia="Times New Roman"/>
          <w:szCs w:val="26"/>
        </w:rPr>
        <w:t xml:space="preserve"> be given leave to amend those particular claims. </w:t>
      </w:r>
    </w:p>
    <w:p w:rsidR="00A6509F" w:rsidRPr="006A6928" w:rsidP="006A6928">
      <w:pPr>
        <w:pStyle w:val="ListParagraph"/>
        <w:spacing w:line="240" w:lineRule="auto"/>
        <w:ind w:left="2534"/>
        <w:textAlignment w:val="baseline"/>
        <w:rPr>
          <w:rFonts w:eastAsia="Times New Roman"/>
          <w:b/>
          <w:bCs/>
          <w:i/>
          <w:iCs/>
          <w:szCs w:val="26"/>
        </w:rPr>
      </w:pPr>
    </w:p>
    <w:p w:rsidR="001D1B41" w:rsidRPr="006A6928" w:rsidP="006A6928">
      <w:pPr>
        <w:pStyle w:val="ListParagraph"/>
        <w:numPr>
          <w:ilvl w:val="2"/>
          <w:numId w:val="43"/>
        </w:numPr>
        <w:spacing w:line="240" w:lineRule="auto"/>
        <w:ind w:left="2534" w:hanging="187"/>
        <w:textAlignment w:val="baseline"/>
        <w:rPr>
          <w:rFonts w:eastAsia="Times New Roman"/>
          <w:b/>
          <w:bCs/>
          <w:i/>
          <w:iCs/>
          <w:szCs w:val="26"/>
        </w:rPr>
      </w:pPr>
      <w:r w:rsidRPr="006A6928">
        <w:rPr>
          <w:rFonts w:eastAsia="Times New Roman"/>
          <w:b/>
          <w:bCs/>
          <w:i/>
          <w:iCs/>
          <w:szCs w:val="26"/>
        </w:rPr>
        <w:t>Responsibility</w:t>
      </w:r>
      <w:r w:rsidRPr="006A6928" w:rsidR="008A1635">
        <w:rPr>
          <w:rFonts w:eastAsia="Times New Roman"/>
          <w:b/>
          <w:bCs/>
          <w:i/>
          <w:iCs/>
          <w:szCs w:val="26"/>
        </w:rPr>
        <w:t xml:space="preserve"> </w:t>
      </w:r>
      <w:r w:rsidRPr="006A6928" w:rsidR="0047407B">
        <w:rPr>
          <w:rFonts w:eastAsia="Times New Roman"/>
          <w:b/>
          <w:bCs/>
          <w:i/>
          <w:iCs/>
          <w:szCs w:val="26"/>
        </w:rPr>
        <w:t>for creation o</w:t>
      </w:r>
      <w:r w:rsidRPr="006A6928" w:rsidR="00316857">
        <w:rPr>
          <w:rFonts w:eastAsia="Times New Roman"/>
          <w:b/>
          <w:bCs/>
          <w:i/>
          <w:iCs/>
          <w:szCs w:val="26"/>
        </w:rPr>
        <w:t>r</w:t>
      </w:r>
      <w:r w:rsidRPr="006A6928" w:rsidR="0047407B">
        <w:rPr>
          <w:rFonts w:eastAsia="Times New Roman"/>
          <w:b/>
          <w:bCs/>
          <w:i/>
          <w:iCs/>
          <w:szCs w:val="26"/>
        </w:rPr>
        <w:t xml:space="preserve"> development of information</w:t>
      </w:r>
    </w:p>
    <w:p w:rsidR="00D06A4B" w:rsidRPr="006A6928" w:rsidP="000C166B">
      <w:pPr>
        <w:ind w:firstLine="720"/>
        <w:rPr>
          <w:rFonts w:eastAsia="Times New Roman"/>
          <w:szCs w:val="26"/>
        </w:rPr>
      </w:pPr>
      <w:bookmarkStart w:id="22" w:name="_Hlk158638756"/>
      <w:r w:rsidRPr="006A6928">
        <w:rPr>
          <w:rFonts w:eastAsia="Times New Roman"/>
          <w:szCs w:val="26"/>
        </w:rPr>
        <w:t xml:space="preserve">In certain circumstances, a website operator </w:t>
      </w:r>
      <w:r w:rsidRPr="006A6928" w:rsidR="0025716E">
        <w:rPr>
          <w:rFonts w:eastAsia="Times New Roman"/>
          <w:szCs w:val="26"/>
        </w:rPr>
        <w:t>may b</w:t>
      </w:r>
      <w:r w:rsidRPr="006A6928" w:rsidR="001B265A">
        <w:rPr>
          <w:rFonts w:eastAsia="Times New Roman"/>
          <w:szCs w:val="26"/>
        </w:rPr>
        <w:t>e deemed</w:t>
      </w:r>
      <w:r w:rsidRPr="006A6928" w:rsidR="0025716E">
        <w:rPr>
          <w:rFonts w:eastAsia="Times New Roman"/>
          <w:szCs w:val="26"/>
        </w:rPr>
        <w:t xml:space="preserve"> </w:t>
      </w:r>
      <w:r w:rsidRPr="006A6928" w:rsidR="002A28E3">
        <w:rPr>
          <w:rFonts w:eastAsia="Times New Roman"/>
          <w:szCs w:val="26"/>
        </w:rPr>
        <w:t>responsibl</w:t>
      </w:r>
      <w:r w:rsidRPr="006A6928" w:rsidR="00C54BE4">
        <w:rPr>
          <w:rFonts w:eastAsia="Times New Roman"/>
          <w:szCs w:val="26"/>
        </w:rPr>
        <w:t xml:space="preserve">e for </w:t>
      </w:r>
      <w:r w:rsidRPr="006A6928" w:rsidR="001E5F6B">
        <w:rPr>
          <w:rFonts w:eastAsia="Times New Roman"/>
          <w:szCs w:val="26"/>
        </w:rPr>
        <w:t>creating or developing</w:t>
      </w:r>
      <w:r w:rsidRPr="006A6928" w:rsidR="001B265A">
        <w:rPr>
          <w:rFonts w:eastAsia="Times New Roman"/>
          <w:szCs w:val="26"/>
        </w:rPr>
        <w:t xml:space="preserve"> information</w:t>
      </w:r>
      <w:r w:rsidRPr="006A6928" w:rsidR="001E5F6B">
        <w:rPr>
          <w:rFonts w:eastAsia="Times New Roman"/>
          <w:szCs w:val="26"/>
        </w:rPr>
        <w:t>, in whole or in part,</w:t>
      </w:r>
      <w:r w:rsidRPr="006A6928" w:rsidR="001B265A">
        <w:rPr>
          <w:rFonts w:eastAsia="Times New Roman"/>
          <w:szCs w:val="26"/>
        </w:rPr>
        <w:t xml:space="preserve"> under section 230.</w:t>
      </w:r>
      <w:r w:rsidRPr="006A6928">
        <w:rPr>
          <w:rFonts w:eastAsia="Times New Roman"/>
          <w:szCs w:val="26"/>
        </w:rPr>
        <w:t xml:space="preserve"> </w:t>
      </w:r>
      <w:r w:rsidRPr="006A6928" w:rsidR="008A1635">
        <w:rPr>
          <w:rFonts w:eastAsia="Times New Roman"/>
          <w:szCs w:val="26"/>
        </w:rPr>
        <w:t xml:space="preserve"> (§ 230</w:t>
      </w:r>
      <w:r w:rsidR="006A5FE4">
        <w:rPr>
          <w:rFonts w:eastAsia="Times New Roman"/>
          <w:szCs w:val="26"/>
        </w:rPr>
        <w:t xml:space="preserve">, subd. </w:t>
      </w:r>
      <w:r w:rsidRPr="006A6928" w:rsidR="008A1635">
        <w:rPr>
          <w:rFonts w:eastAsia="Times New Roman"/>
          <w:szCs w:val="26"/>
        </w:rPr>
        <w:t>(f)(3).)</w:t>
      </w:r>
    </w:p>
    <w:p w:rsidR="0036454A" w:rsidP="00670EFF">
      <w:pPr>
        <w:ind w:firstLine="720"/>
        <w:rPr>
          <w:szCs w:val="26"/>
        </w:rPr>
      </w:pPr>
      <w:bookmarkEnd w:id="22"/>
      <w:r w:rsidRPr="006A6928">
        <w:rPr>
          <w:rFonts w:eastAsia="Times New Roman"/>
          <w:szCs w:val="26"/>
        </w:rPr>
        <w:t xml:space="preserve">A website operator is not deemed </w:t>
      </w:r>
      <w:r w:rsidRPr="006A6928" w:rsidR="00471220">
        <w:rPr>
          <w:rFonts w:eastAsia="Times New Roman"/>
          <w:szCs w:val="26"/>
        </w:rPr>
        <w:t xml:space="preserve">responsible for </w:t>
      </w:r>
      <w:r w:rsidRPr="006A6928">
        <w:rPr>
          <w:rFonts w:eastAsia="Times New Roman"/>
          <w:szCs w:val="26"/>
        </w:rPr>
        <w:t xml:space="preserve">information </w:t>
      </w:r>
      <w:r w:rsidRPr="006A6928" w:rsidR="00471220">
        <w:rPr>
          <w:rFonts w:eastAsia="Times New Roman"/>
          <w:szCs w:val="26"/>
        </w:rPr>
        <w:t>mere</w:t>
      </w:r>
      <w:r w:rsidRPr="006A6928" w:rsidR="009E672D">
        <w:rPr>
          <w:rFonts w:eastAsia="Times New Roman"/>
          <w:szCs w:val="26"/>
        </w:rPr>
        <w:t xml:space="preserve">ly because it compiled </w:t>
      </w:r>
      <w:r w:rsidRPr="006A6928" w:rsidR="00913322">
        <w:rPr>
          <w:rFonts w:eastAsia="Times New Roman"/>
          <w:szCs w:val="26"/>
        </w:rPr>
        <w:t xml:space="preserve">information voluntarily supplied by users.  </w:t>
      </w:r>
      <w:r w:rsidRPr="006A6928" w:rsidR="00670EFF">
        <w:rPr>
          <w:rFonts w:eastAsia="Times New Roman"/>
          <w:szCs w:val="26"/>
        </w:rPr>
        <w:t xml:space="preserve">In </w:t>
      </w:r>
      <w:r w:rsidRPr="006A6928" w:rsidR="00487077">
        <w:rPr>
          <w:rFonts w:eastAsia="Times New Roman"/>
          <w:i/>
          <w:iCs/>
          <w:szCs w:val="26"/>
        </w:rPr>
        <w:t>Gentry v. eBay, Inc.</w:t>
      </w:r>
      <w:r w:rsidRPr="006A6928" w:rsidR="00487077">
        <w:rPr>
          <w:rFonts w:eastAsia="Times New Roman"/>
          <w:szCs w:val="26"/>
        </w:rPr>
        <w:t xml:space="preserve"> (2002) 99 Cal.App.4</w:t>
      </w:r>
      <w:r w:rsidRPr="006A6928" w:rsidR="00D83105">
        <w:rPr>
          <w:rFonts w:eastAsia="Times New Roman"/>
          <w:szCs w:val="26"/>
        </w:rPr>
        <w:t>th</w:t>
      </w:r>
      <w:r w:rsidRPr="006A6928" w:rsidR="00487077">
        <w:rPr>
          <w:rFonts w:eastAsia="Times New Roman"/>
          <w:szCs w:val="26"/>
        </w:rPr>
        <w:t xml:space="preserve"> 816</w:t>
      </w:r>
      <w:r w:rsidRPr="006A6928" w:rsidR="002410F2">
        <w:rPr>
          <w:rFonts w:eastAsia="Times New Roman"/>
          <w:szCs w:val="26"/>
        </w:rPr>
        <w:t>, the pl</w:t>
      </w:r>
      <w:r w:rsidRPr="006A6928" w:rsidR="002410F2">
        <w:rPr>
          <w:szCs w:val="26"/>
        </w:rPr>
        <w:t xml:space="preserve">aintiffs sued </w:t>
      </w:r>
      <w:r w:rsidRPr="006A6928" w:rsidR="00670EFF">
        <w:rPr>
          <w:szCs w:val="26"/>
        </w:rPr>
        <w:t>eBay, a web</w:t>
      </w:r>
      <w:r w:rsidRPr="006A6928" w:rsidR="00E8018E">
        <w:rPr>
          <w:szCs w:val="26"/>
        </w:rPr>
        <w:t xml:space="preserve">site operator, </w:t>
      </w:r>
      <w:r w:rsidRPr="006A6928" w:rsidR="002410F2">
        <w:rPr>
          <w:szCs w:val="26"/>
        </w:rPr>
        <w:t>after purchasing sports memorabilia on eBay that proved to be fake.  They alleged eBay had violated Civil Code section 1739.7, which requires memorabilia dealers to provide certificates of authenticity to purchasers.  (</w:t>
      </w:r>
      <w:r w:rsidRPr="006A6928" w:rsidR="002410F2">
        <w:rPr>
          <w:i/>
          <w:iCs/>
          <w:szCs w:val="26"/>
        </w:rPr>
        <w:t>Id</w:t>
      </w:r>
      <w:r w:rsidRPr="006A6928" w:rsidR="002410F2">
        <w:rPr>
          <w:szCs w:val="26"/>
        </w:rPr>
        <w:t xml:space="preserve">. at p. </w:t>
      </w:r>
      <w:r w:rsidRPr="006A6928" w:rsidR="00225DD4">
        <w:rPr>
          <w:szCs w:val="26"/>
        </w:rPr>
        <w:t>826</w:t>
      </w:r>
      <w:r w:rsidRPr="006A6928" w:rsidR="002410F2">
        <w:rPr>
          <w:szCs w:val="26"/>
        </w:rPr>
        <w:t>.)  The court of appeal held that section 230 barred the claims because eBay merely published content provided by third parties who had falsely identified the items as authentic.  (</w:t>
      </w:r>
      <w:r w:rsidRPr="006A6928" w:rsidR="002410F2">
        <w:rPr>
          <w:i/>
          <w:iCs/>
          <w:szCs w:val="26"/>
        </w:rPr>
        <w:t>Id</w:t>
      </w:r>
      <w:r w:rsidRPr="006A6928" w:rsidR="002410F2">
        <w:rPr>
          <w:szCs w:val="26"/>
        </w:rPr>
        <w:t>.</w:t>
      </w:r>
      <w:r w:rsidRPr="006A6928" w:rsidR="00F2208E">
        <w:rPr>
          <w:szCs w:val="26"/>
        </w:rPr>
        <w:t xml:space="preserve"> at pp. 828-833</w:t>
      </w:r>
      <w:r w:rsidRPr="006A6928" w:rsidR="008A1635">
        <w:rPr>
          <w:szCs w:val="26"/>
        </w:rPr>
        <w:t>.</w:t>
      </w:r>
      <w:r w:rsidRPr="006A6928" w:rsidR="002410F2">
        <w:rPr>
          <w:szCs w:val="26"/>
        </w:rPr>
        <w:t xml:space="preserve">)  </w:t>
      </w:r>
    </w:p>
    <w:p w:rsidR="002410F2" w:rsidRPr="006A6928" w:rsidP="00670EFF">
      <w:pPr>
        <w:ind w:firstLine="720"/>
        <w:rPr>
          <w:szCs w:val="26"/>
        </w:rPr>
      </w:pPr>
      <w:r w:rsidRPr="006A6928">
        <w:rPr>
          <w:szCs w:val="26"/>
        </w:rPr>
        <w:t xml:space="preserve">The court </w:t>
      </w:r>
      <w:r w:rsidRPr="006A6928" w:rsidR="0022619F">
        <w:rPr>
          <w:szCs w:val="26"/>
        </w:rPr>
        <w:t xml:space="preserve">concluded eBay was not responsible </w:t>
      </w:r>
      <w:r w:rsidRPr="006A6928" w:rsidR="008A1635">
        <w:rPr>
          <w:szCs w:val="26"/>
        </w:rPr>
        <w:t xml:space="preserve">for </w:t>
      </w:r>
      <w:r w:rsidRPr="006A6928" w:rsidR="000E264E">
        <w:rPr>
          <w:szCs w:val="26"/>
        </w:rPr>
        <w:t xml:space="preserve">that </w:t>
      </w:r>
      <w:r w:rsidRPr="006A6928" w:rsidR="000D0B1F">
        <w:rPr>
          <w:szCs w:val="26"/>
        </w:rPr>
        <w:t>content</w:t>
      </w:r>
      <w:r w:rsidR="002652CE">
        <w:rPr>
          <w:szCs w:val="26"/>
        </w:rPr>
        <w:t>,</w:t>
      </w:r>
      <w:r w:rsidRPr="006A6928" w:rsidR="000E264E">
        <w:rPr>
          <w:szCs w:val="26"/>
        </w:rPr>
        <w:t xml:space="preserve"> </w:t>
      </w:r>
      <w:r w:rsidRPr="006A6928">
        <w:rPr>
          <w:szCs w:val="26"/>
        </w:rPr>
        <w:t xml:space="preserve">based on a declaration from eBay and other documents of which the trial court had taken judicial </w:t>
      </w:r>
      <w:r w:rsidRPr="006A6928" w:rsidR="000E264E">
        <w:rPr>
          <w:szCs w:val="26"/>
        </w:rPr>
        <w:t xml:space="preserve">notice </w:t>
      </w:r>
      <w:r w:rsidRPr="006A6928">
        <w:rPr>
          <w:szCs w:val="26"/>
        </w:rPr>
        <w:t xml:space="preserve">demonstrating how eBay’s website works.  </w:t>
      </w:r>
      <w:r w:rsidRPr="006A6928" w:rsidR="00AC2EAF">
        <w:rPr>
          <w:szCs w:val="26"/>
        </w:rPr>
        <w:t>(</w:t>
      </w:r>
      <w:r w:rsidRPr="006A6928" w:rsidR="00AC2EAF">
        <w:rPr>
          <w:i/>
          <w:iCs/>
          <w:szCs w:val="26"/>
        </w:rPr>
        <w:t xml:space="preserve">Id. </w:t>
      </w:r>
      <w:r w:rsidRPr="006A6928" w:rsidR="00AC2EAF">
        <w:rPr>
          <w:szCs w:val="26"/>
        </w:rPr>
        <w:t xml:space="preserve">at pp. 831-832.)  </w:t>
      </w:r>
      <w:r w:rsidRPr="006A6928" w:rsidR="002D434F">
        <w:rPr>
          <w:szCs w:val="26"/>
        </w:rPr>
        <w:t>Because of</w:t>
      </w:r>
      <w:r w:rsidRPr="006A6928">
        <w:rPr>
          <w:szCs w:val="26"/>
        </w:rPr>
        <w:t xml:space="preserve"> that information, and concessions made by the plaintiffs, the court held that “the substance of appellants’ allegations reveal [sic] they ultimately seek to hold eBay responsible for</w:t>
      </w:r>
      <w:r w:rsidRPr="006A6928" w:rsidR="000E264E">
        <w:rPr>
          <w:szCs w:val="26"/>
        </w:rPr>
        <w:t xml:space="preserve"> </w:t>
      </w:r>
      <w:r w:rsidRPr="006A6928">
        <w:rPr>
          <w:szCs w:val="26"/>
        </w:rPr>
        <w:t>… eBay’s dissemination of representations made by the [third parties], or the posting of compilations of information generated by those defendants and other third parties.” (</w:t>
      </w:r>
      <w:r w:rsidRPr="006A6928">
        <w:rPr>
          <w:i/>
          <w:iCs/>
          <w:szCs w:val="26"/>
        </w:rPr>
        <w:t>Gentry</w:t>
      </w:r>
      <w:r w:rsidRPr="006A6928">
        <w:rPr>
          <w:szCs w:val="26"/>
        </w:rPr>
        <w:t>, 99 Cal.App.4th at p. 831.)</w:t>
      </w:r>
      <w:r w:rsidRPr="006A6928" w:rsidR="004E696E">
        <w:rPr>
          <w:szCs w:val="26"/>
        </w:rPr>
        <w:t xml:space="preserve">  Similarly, </w:t>
      </w:r>
      <w:r w:rsidRPr="006A6928" w:rsidR="00A239E4">
        <w:rPr>
          <w:szCs w:val="26"/>
        </w:rPr>
        <w:t>the court found that</w:t>
      </w:r>
      <w:r w:rsidRPr="006A6928" w:rsidR="00BC4810">
        <w:rPr>
          <w:szCs w:val="26"/>
        </w:rPr>
        <w:t xml:space="preserve"> </w:t>
      </w:r>
      <w:r w:rsidRPr="006A6928" w:rsidR="006E335F">
        <w:rPr>
          <w:szCs w:val="26"/>
        </w:rPr>
        <w:t>eBay</w:t>
      </w:r>
      <w:r w:rsidRPr="006A6928" w:rsidR="00153ED2">
        <w:rPr>
          <w:szCs w:val="26"/>
        </w:rPr>
        <w:t xml:space="preserve"> </w:t>
      </w:r>
      <w:r w:rsidRPr="006A6928" w:rsidR="006E4427">
        <w:rPr>
          <w:szCs w:val="26"/>
        </w:rPr>
        <w:t xml:space="preserve">was not responsible for the information </w:t>
      </w:r>
      <w:r w:rsidRPr="006A6928" w:rsidR="009F6B36">
        <w:rPr>
          <w:szCs w:val="26"/>
        </w:rPr>
        <w:t xml:space="preserve">in its </w:t>
      </w:r>
      <w:r w:rsidRPr="006A6928" w:rsidR="006E335F">
        <w:rPr>
          <w:szCs w:val="26"/>
        </w:rPr>
        <w:t>ratings and “Power Sellers</w:t>
      </w:r>
      <w:r w:rsidR="00617D2C">
        <w:rPr>
          <w:szCs w:val="26"/>
        </w:rPr>
        <w:t>”</w:t>
      </w:r>
      <w:r w:rsidRPr="006A6928" w:rsidR="006E335F">
        <w:rPr>
          <w:szCs w:val="26"/>
        </w:rPr>
        <w:t xml:space="preserve"> designations for sellers because </w:t>
      </w:r>
      <w:r w:rsidRPr="006A6928" w:rsidR="00FD48AC">
        <w:rPr>
          <w:szCs w:val="26"/>
        </w:rPr>
        <w:t>th</w:t>
      </w:r>
      <w:r w:rsidRPr="006A6928" w:rsidR="00153ED2">
        <w:rPr>
          <w:szCs w:val="26"/>
        </w:rPr>
        <w:t>os</w:t>
      </w:r>
      <w:r w:rsidRPr="006A6928" w:rsidR="00FD48AC">
        <w:rPr>
          <w:szCs w:val="26"/>
        </w:rPr>
        <w:t>e ratings and d</w:t>
      </w:r>
      <w:r w:rsidRPr="006A6928" w:rsidR="00153ED2">
        <w:rPr>
          <w:szCs w:val="26"/>
        </w:rPr>
        <w:t>e</w:t>
      </w:r>
      <w:r w:rsidRPr="006A6928" w:rsidR="00FD48AC">
        <w:rPr>
          <w:szCs w:val="26"/>
        </w:rPr>
        <w:t xml:space="preserve">signations </w:t>
      </w:r>
      <w:r w:rsidRPr="006A6928" w:rsidR="007834B5">
        <w:rPr>
          <w:szCs w:val="26"/>
        </w:rPr>
        <w:t xml:space="preserve">reflected </w:t>
      </w:r>
      <w:r w:rsidRPr="006A6928" w:rsidR="00153ED2">
        <w:rPr>
          <w:szCs w:val="26"/>
        </w:rPr>
        <w:t>“</w:t>
      </w:r>
      <w:r w:rsidRPr="006A6928" w:rsidR="003D58B1">
        <w:rPr>
          <w:szCs w:val="26"/>
        </w:rPr>
        <w:t>information provided by third party consumers and dealers.</w:t>
      </w:r>
      <w:r w:rsidRPr="006A6928" w:rsidR="00153ED2">
        <w:rPr>
          <w:szCs w:val="26"/>
        </w:rPr>
        <w:t>”</w:t>
      </w:r>
      <w:r w:rsidRPr="006A6928" w:rsidR="003D58B1">
        <w:rPr>
          <w:szCs w:val="26"/>
        </w:rPr>
        <w:t xml:space="preserve">  (</w:t>
      </w:r>
      <w:r w:rsidRPr="006A6928" w:rsidR="003D58B1">
        <w:rPr>
          <w:i/>
          <w:iCs/>
          <w:szCs w:val="26"/>
        </w:rPr>
        <w:t>Id</w:t>
      </w:r>
      <w:r w:rsidRPr="006A6928" w:rsidR="003D58B1">
        <w:rPr>
          <w:szCs w:val="26"/>
        </w:rPr>
        <w:t xml:space="preserve">. at p. 834.)  </w:t>
      </w:r>
    </w:p>
    <w:p w:rsidR="000C166B" w:rsidRPr="006A6928" w:rsidP="00592D81">
      <w:pPr>
        <w:ind w:firstLine="720"/>
        <w:rPr>
          <w:rFonts w:eastAsia="Times New Roman"/>
          <w:color w:val="000000"/>
          <w:szCs w:val="26"/>
        </w:rPr>
      </w:pPr>
      <w:r w:rsidRPr="006A6928">
        <w:rPr>
          <w:szCs w:val="26"/>
        </w:rPr>
        <w:t xml:space="preserve">By contrast, </w:t>
      </w:r>
      <w:bookmarkStart w:id="23" w:name="_Hlk160551847"/>
      <w:r w:rsidRPr="006A6928" w:rsidR="002D434F">
        <w:rPr>
          <w:szCs w:val="26"/>
        </w:rPr>
        <w:t xml:space="preserve">in certain instances </w:t>
      </w:r>
      <w:r w:rsidRPr="006A6928">
        <w:rPr>
          <w:szCs w:val="26"/>
        </w:rPr>
        <w:t xml:space="preserve">where website operators </w:t>
      </w:r>
      <w:r w:rsidRPr="006A6928" w:rsidR="00592D81">
        <w:rPr>
          <w:szCs w:val="26"/>
        </w:rPr>
        <w:t xml:space="preserve">either create their own information or </w:t>
      </w:r>
      <w:r w:rsidRPr="006A6928">
        <w:rPr>
          <w:szCs w:val="26"/>
        </w:rPr>
        <w:t>require users to supply information</w:t>
      </w:r>
      <w:r w:rsidRPr="006A6928" w:rsidR="007E13BB">
        <w:rPr>
          <w:szCs w:val="26"/>
        </w:rPr>
        <w:t xml:space="preserve"> specified by the website</w:t>
      </w:r>
      <w:r w:rsidRPr="006A6928">
        <w:rPr>
          <w:szCs w:val="26"/>
        </w:rPr>
        <w:t xml:space="preserve">, courts have </w:t>
      </w:r>
      <w:r w:rsidRPr="006A6928" w:rsidR="00D42935">
        <w:rPr>
          <w:szCs w:val="26"/>
        </w:rPr>
        <w:t xml:space="preserve">held the operators </w:t>
      </w:r>
      <w:r w:rsidRPr="006A6928" w:rsidR="00877304">
        <w:rPr>
          <w:szCs w:val="26"/>
        </w:rPr>
        <w:t>responsible</w:t>
      </w:r>
      <w:r w:rsidRPr="006A6928">
        <w:rPr>
          <w:szCs w:val="26"/>
        </w:rPr>
        <w:t xml:space="preserve">. </w:t>
      </w:r>
      <w:bookmarkEnd w:id="23"/>
      <w:r w:rsidRPr="006A6928">
        <w:rPr>
          <w:szCs w:val="26"/>
        </w:rPr>
        <w:t xml:space="preserve"> </w:t>
      </w:r>
      <w:r w:rsidRPr="006A6928" w:rsidR="00877304">
        <w:rPr>
          <w:szCs w:val="26"/>
        </w:rPr>
        <w:t xml:space="preserve">(See </w:t>
      </w:r>
      <w:bookmarkStart w:id="24" w:name="_Hlk161221007"/>
      <w:r w:rsidRPr="006A6928" w:rsidR="00A63B66">
        <w:rPr>
          <w:i/>
          <w:iCs/>
          <w:szCs w:val="26"/>
        </w:rPr>
        <w:t>Roommates, supra,</w:t>
      </w:r>
      <w:r w:rsidRPr="006A6928" w:rsidR="00A63B66">
        <w:rPr>
          <w:szCs w:val="26"/>
        </w:rPr>
        <w:t xml:space="preserve"> </w:t>
      </w:r>
      <w:r w:rsidRPr="006A6928" w:rsidR="00A63B66">
        <w:rPr>
          <w:rFonts w:eastAsia="Times New Roman"/>
          <w:szCs w:val="26"/>
        </w:rPr>
        <w:t>521 F.3d</w:t>
      </w:r>
      <w:bookmarkEnd w:id="24"/>
      <w:r w:rsidRPr="006A6928" w:rsidR="00A63B66">
        <w:rPr>
          <w:rFonts w:eastAsia="Times New Roman"/>
          <w:szCs w:val="26"/>
        </w:rPr>
        <w:t xml:space="preserve"> 1157; </w:t>
      </w:r>
      <w:r w:rsidRPr="006A6928" w:rsidR="00877304">
        <w:rPr>
          <w:szCs w:val="26"/>
        </w:rPr>
        <w:t>§ 230, subd. (f)(3) [</w:t>
      </w:r>
      <w:r w:rsidRPr="006A6928" w:rsidR="00D7713F">
        <w:rPr>
          <w:szCs w:val="26"/>
        </w:rPr>
        <w:t xml:space="preserve">treating </w:t>
      </w:r>
      <w:r w:rsidRPr="006A6928" w:rsidR="00FA2AB3">
        <w:rPr>
          <w:szCs w:val="26"/>
        </w:rPr>
        <w:t xml:space="preserve">any person “responsible, in whole or in part, for the creation </w:t>
      </w:r>
      <w:r w:rsidRPr="006A6928" w:rsidR="00D7713F">
        <w:rPr>
          <w:szCs w:val="26"/>
        </w:rPr>
        <w:t xml:space="preserve">or development of information” as an “information content provider”].)  </w:t>
      </w:r>
      <w:r w:rsidRPr="006A6928" w:rsidR="001D1B41">
        <w:rPr>
          <w:rFonts w:eastAsia="Times New Roman"/>
          <w:szCs w:val="26"/>
        </w:rPr>
        <w:t xml:space="preserve">In </w:t>
      </w:r>
      <w:r w:rsidRPr="006A6928" w:rsidR="001D1B41">
        <w:rPr>
          <w:rFonts w:eastAsia="Times New Roman"/>
          <w:i/>
          <w:iCs/>
          <w:szCs w:val="26"/>
        </w:rPr>
        <w:t xml:space="preserve">Roommates, </w:t>
      </w:r>
      <w:r w:rsidRPr="006A6928" w:rsidR="001D1B41">
        <w:rPr>
          <w:rFonts w:eastAsia="Times New Roman"/>
          <w:szCs w:val="26"/>
        </w:rPr>
        <w:t>a roommate</w:t>
      </w:r>
      <w:r w:rsidRPr="006A6928">
        <w:rPr>
          <w:rFonts w:eastAsia="Times New Roman"/>
          <w:szCs w:val="26"/>
        </w:rPr>
        <w:t>-</w:t>
      </w:r>
      <w:r w:rsidRPr="006A6928" w:rsidR="001D1B41">
        <w:rPr>
          <w:rFonts w:eastAsia="Times New Roman"/>
          <w:szCs w:val="26"/>
        </w:rPr>
        <w:t xml:space="preserve">matching </w:t>
      </w:r>
      <w:r w:rsidRPr="006A6928" w:rsidR="001D1B41">
        <w:rPr>
          <w:szCs w:val="26"/>
          <w:shd w:val="clear" w:color="auto" w:fill="FFFFFF"/>
        </w:rPr>
        <w:t>website required users to state the</w:t>
      </w:r>
      <w:r w:rsidRPr="006A6928">
        <w:rPr>
          <w:szCs w:val="26"/>
          <w:shd w:val="clear" w:color="auto" w:fill="FFFFFF"/>
        </w:rPr>
        <w:t>ir</w:t>
      </w:r>
      <w:r w:rsidRPr="006A6928" w:rsidR="001D1B41">
        <w:rPr>
          <w:szCs w:val="26"/>
          <w:shd w:val="clear" w:color="auto" w:fill="FFFFFF"/>
        </w:rPr>
        <w:t> gender, sexual orientation, and familial status</w:t>
      </w:r>
      <w:r w:rsidRPr="006A6928" w:rsidR="002D434F">
        <w:rPr>
          <w:szCs w:val="26"/>
          <w:shd w:val="clear" w:color="auto" w:fill="FFFFFF"/>
        </w:rPr>
        <w:t>,</w:t>
      </w:r>
      <w:r w:rsidRPr="006A6928" w:rsidR="001D1B41">
        <w:rPr>
          <w:szCs w:val="26"/>
          <w:shd w:val="clear" w:color="auto" w:fill="FFFFFF"/>
        </w:rPr>
        <w:t xml:space="preserve"> </w:t>
      </w:r>
      <w:r w:rsidRPr="006A6928">
        <w:rPr>
          <w:szCs w:val="26"/>
          <w:shd w:val="clear" w:color="auto" w:fill="FFFFFF"/>
        </w:rPr>
        <w:t xml:space="preserve">and indicate whether they </w:t>
      </w:r>
      <w:r w:rsidRPr="006A6928" w:rsidR="00D42935">
        <w:rPr>
          <w:szCs w:val="26"/>
          <w:shd w:val="clear" w:color="auto" w:fill="FFFFFF"/>
        </w:rPr>
        <w:t>were</w:t>
      </w:r>
      <w:r w:rsidRPr="006A6928">
        <w:rPr>
          <w:szCs w:val="26"/>
          <w:shd w:val="clear" w:color="auto" w:fill="FFFFFF"/>
        </w:rPr>
        <w:t xml:space="preserve"> willing to live with persons of various genders, sexual orientations, and familial status</w:t>
      </w:r>
      <w:r w:rsidRPr="006A6928" w:rsidR="001D1B41">
        <w:rPr>
          <w:szCs w:val="26"/>
          <w:shd w:val="clear" w:color="auto" w:fill="FFFFFF"/>
        </w:rPr>
        <w:t>.  (</w:t>
      </w:r>
      <w:r w:rsidRPr="006A6928">
        <w:rPr>
          <w:i/>
          <w:iCs/>
          <w:szCs w:val="26"/>
          <w:shd w:val="clear" w:color="auto" w:fill="FFFFFF"/>
        </w:rPr>
        <w:t>Id.</w:t>
      </w:r>
      <w:r w:rsidRPr="006A6928" w:rsidR="001D1B41">
        <w:rPr>
          <w:szCs w:val="26"/>
          <w:shd w:val="clear" w:color="auto" w:fill="FFFFFF"/>
        </w:rPr>
        <w:t xml:space="preserve"> </w:t>
      </w:r>
      <w:r w:rsidRPr="006A6928">
        <w:rPr>
          <w:szCs w:val="26"/>
          <w:shd w:val="clear" w:color="auto" w:fill="FFFFFF"/>
        </w:rPr>
        <w:t>a</w:t>
      </w:r>
      <w:r w:rsidRPr="006A6928" w:rsidR="001D1B41">
        <w:rPr>
          <w:szCs w:val="26"/>
          <w:shd w:val="clear" w:color="auto" w:fill="FFFFFF"/>
        </w:rPr>
        <w:t xml:space="preserve">t p. 1161.)  </w:t>
      </w:r>
      <w:r w:rsidRPr="006A6928" w:rsidR="001D1B41">
        <w:rPr>
          <w:rFonts w:eastAsia="Times New Roman"/>
          <w:color w:val="000000"/>
          <w:szCs w:val="26"/>
        </w:rPr>
        <w:t xml:space="preserve">It then </w:t>
      </w:r>
      <w:r w:rsidRPr="006A6928">
        <w:rPr>
          <w:rFonts w:eastAsia="Times New Roman"/>
          <w:color w:val="000000"/>
          <w:szCs w:val="26"/>
        </w:rPr>
        <w:t>posted this information on the user</w:t>
      </w:r>
      <w:r w:rsidRPr="006A6928" w:rsidR="002D434F">
        <w:rPr>
          <w:rFonts w:eastAsia="Times New Roman"/>
          <w:color w:val="000000"/>
          <w:szCs w:val="26"/>
        </w:rPr>
        <w:t xml:space="preserve">s’ </w:t>
      </w:r>
      <w:r w:rsidRPr="006A6928">
        <w:rPr>
          <w:rFonts w:eastAsia="Times New Roman"/>
          <w:color w:val="000000"/>
          <w:szCs w:val="26"/>
        </w:rPr>
        <w:t xml:space="preserve">profile pages </w:t>
      </w:r>
      <w:r w:rsidRPr="006A6928" w:rsidR="002D434F">
        <w:rPr>
          <w:rFonts w:eastAsia="Times New Roman"/>
          <w:color w:val="000000"/>
          <w:szCs w:val="26"/>
        </w:rPr>
        <w:t>and used it</w:t>
      </w:r>
      <w:r w:rsidRPr="006A6928" w:rsidR="001D1B41">
        <w:rPr>
          <w:rFonts w:eastAsia="Times New Roman"/>
          <w:color w:val="000000"/>
          <w:szCs w:val="26"/>
        </w:rPr>
        <w:t xml:space="preserve"> to determine which postings</w:t>
      </w:r>
      <w:r w:rsidRPr="006A6928">
        <w:rPr>
          <w:rFonts w:eastAsia="Times New Roman"/>
          <w:color w:val="000000"/>
          <w:szCs w:val="26"/>
        </w:rPr>
        <w:t xml:space="preserve"> to show </w:t>
      </w:r>
      <w:r w:rsidRPr="006A6928" w:rsidR="001D1B41">
        <w:rPr>
          <w:rFonts w:eastAsia="Times New Roman"/>
          <w:color w:val="000000"/>
          <w:szCs w:val="26"/>
        </w:rPr>
        <w:t>other users.  (</w:t>
      </w:r>
      <w:r w:rsidRPr="006A6928" w:rsidR="001D1B41">
        <w:rPr>
          <w:rFonts w:eastAsia="Times New Roman"/>
          <w:i/>
          <w:iCs/>
          <w:color w:val="3D3D3D"/>
          <w:szCs w:val="26"/>
          <w:bdr w:val="none" w:sz="0" w:space="0" w:color="auto" w:frame="1"/>
        </w:rPr>
        <w:t>Id</w:t>
      </w:r>
      <w:r w:rsidRPr="006A6928" w:rsidR="001D1B41">
        <w:rPr>
          <w:rFonts w:eastAsia="Times New Roman"/>
          <w:color w:val="000000"/>
          <w:szCs w:val="26"/>
        </w:rPr>
        <w:t xml:space="preserve">. at pp. 1161–1162, 1165.)  Because the website itself </w:t>
      </w:r>
      <w:r w:rsidRPr="006A6928">
        <w:rPr>
          <w:rFonts w:eastAsia="Times New Roman"/>
          <w:color w:val="000000"/>
          <w:szCs w:val="26"/>
        </w:rPr>
        <w:t xml:space="preserve">required </w:t>
      </w:r>
      <w:r w:rsidRPr="006A6928" w:rsidR="002E3A12">
        <w:rPr>
          <w:rFonts w:eastAsia="Times New Roman"/>
          <w:color w:val="000000"/>
          <w:szCs w:val="26"/>
        </w:rPr>
        <w:t xml:space="preserve">users to provide </w:t>
      </w:r>
      <w:r w:rsidRPr="006A6928">
        <w:rPr>
          <w:rFonts w:eastAsia="Times New Roman"/>
          <w:color w:val="000000"/>
          <w:szCs w:val="26"/>
        </w:rPr>
        <w:t xml:space="preserve">this </w:t>
      </w:r>
      <w:r w:rsidRPr="006A6928" w:rsidR="001D1B41">
        <w:rPr>
          <w:rFonts w:eastAsia="Times New Roman"/>
          <w:color w:val="000000"/>
          <w:szCs w:val="26"/>
        </w:rPr>
        <w:t xml:space="preserve">information, the Ninth Circuit held </w:t>
      </w:r>
      <w:r w:rsidRPr="006A6928">
        <w:rPr>
          <w:rFonts w:eastAsia="Times New Roman"/>
          <w:color w:val="000000"/>
          <w:szCs w:val="26"/>
        </w:rPr>
        <w:t>the operator</w:t>
      </w:r>
      <w:r w:rsidRPr="006A6928" w:rsidR="001D1B41">
        <w:rPr>
          <w:rFonts w:eastAsia="Times New Roman"/>
          <w:color w:val="000000"/>
          <w:szCs w:val="26"/>
        </w:rPr>
        <w:t xml:space="preserve"> was partially responsible for the </w:t>
      </w:r>
      <w:r w:rsidRPr="006A6928">
        <w:rPr>
          <w:rFonts w:eastAsia="Times New Roman"/>
          <w:color w:val="000000"/>
          <w:szCs w:val="26"/>
        </w:rPr>
        <w:t xml:space="preserve">creation or </w:t>
      </w:r>
      <w:r w:rsidRPr="006A6928" w:rsidR="001D1B41">
        <w:rPr>
          <w:rFonts w:eastAsia="Times New Roman"/>
          <w:color w:val="000000"/>
          <w:szCs w:val="26"/>
        </w:rPr>
        <w:t xml:space="preserve">development of </w:t>
      </w:r>
      <w:r w:rsidRPr="006A6928" w:rsidR="002D434F">
        <w:rPr>
          <w:rFonts w:eastAsia="Times New Roman"/>
          <w:color w:val="000000"/>
          <w:szCs w:val="26"/>
        </w:rPr>
        <w:t>the</w:t>
      </w:r>
      <w:r w:rsidRPr="006A6928">
        <w:rPr>
          <w:rFonts w:eastAsia="Times New Roman"/>
          <w:color w:val="000000"/>
          <w:szCs w:val="26"/>
        </w:rPr>
        <w:t xml:space="preserve"> information</w:t>
      </w:r>
      <w:r w:rsidRPr="006A6928" w:rsidR="001D1B41">
        <w:rPr>
          <w:rFonts w:eastAsia="Times New Roman"/>
          <w:color w:val="000000"/>
          <w:szCs w:val="26"/>
        </w:rPr>
        <w:t xml:space="preserve">, even though </w:t>
      </w:r>
      <w:r w:rsidRPr="006A6928">
        <w:rPr>
          <w:rFonts w:eastAsia="Times New Roman"/>
          <w:color w:val="000000"/>
          <w:szCs w:val="26"/>
        </w:rPr>
        <w:t>the</w:t>
      </w:r>
      <w:r w:rsidRPr="006A6928" w:rsidR="00873326">
        <w:rPr>
          <w:rFonts w:eastAsia="Times New Roman"/>
          <w:color w:val="000000"/>
          <w:szCs w:val="26"/>
        </w:rPr>
        <w:t xml:space="preserve"> specifics were supplied by</w:t>
      </w:r>
      <w:r w:rsidRPr="006A6928" w:rsidR="001D1B41">
        <w:rPr>
          <w:rFonts w:eastAsia="Times New Roman"/>
          <w:color w:val="000000"/>
          <w:szCs w:val="26"/>
        </w:rPr>
        <w:t xml:space="preserve"> third parties.  (</w:t>
      </w:r>
      <w:r w:rsidRPr="006A6928" w:rsidR="001D1B41">
        <w:rPr>
          <w:rFonts w:eastAsia="Times New Roman"/>
          <w:i/>
          <w:iCs/>
          <w:color w:val="000000"/>
          <w:szCs w:val="26"/>
        </w:rPr>
        <w:t>Id</w:t>
      </w:r>
      <w:r w:rsidRPr="006A6928" w:rsidR="001D1B41">
        <w:rPr>
          <w:rFonts w:eastAsia="Times New Roman"/>
          <w:color w:val="000000"/>
          <w:szCs w:val="26"/>
        </w:rPr>
        <w:t>. at pp. 1165-1167.)</w:t>
      </w:r>
    </w:p>
    <w:p w:rsidR="002D434F" w:rsidRPr="006A6928" w:rsidP="00873326">
      <w:pPr>
        <w:ind w:firstLine="720"/>
        <w:rPr>
          <w:rFonts w:eastAsia="Times New Roman"/>
          <w:szCs w:val="26"/>
        </w:rPr>
      </w:pPr>
      <w:r w:rsidRPr="006A6928">
        <w:rPr>
          <w:rFonts w:eastAsia="Times New Roman"/>
          <w:color w:val="000000"/>
          <w:szCs w:val="26"/>
        </w:rPr>
        <w:t>As the court explained, a website operator “</w:t>
      </w:r>
      <w:r w:rsidRPr="006A6928">
        <w:rPr>
          <w:rFonts w:eastAsia="Times New Roman"/>
          <w:szCs w:val="26"/>
        </w:rPr>
        <w:t>can be both a service provider and a content provider: If it passively displays content that is created entirely by third parties, then it is only a service provider with respect to that content. But as to content that it creates itself, or is ‘responsible, in whole or in part’ for creating or developing, the website is also a content provider.”  (</w:t>
      </w:r>
      <w:r w:rsidRPr="00C66B06" w:rsidR="00C66B06">
        <w:rPr>
          <w:rFonts w:eastAsia="Times New Roman"/>
          <w:i/>
          <w:iCs/>
          <w:szCs w:val="26"/>
        </w:rPr>
        <w:t>Roommates, supra,</w:t>
      </w:r>
      <w:r w:rsidRPr="00C66B06" w:rsidR="00C66B06">
        <w:rPr>
          <w:rFonts w:eastAsia="Times New Roman"/>
          <w:szCs w:val="26"/>
        </w:rPr>
        <w:t xml:space="preserve"> 521 F.3d</w:t>
      </w:r>
      <w:r w:rsidRPr="00C66B06" w:rsidR="00C66B06">
        <w:rPr>
          <w:rFonts w:eastAsia="Times New Roman"/>
          <w:i/>
          <w:iCs/>
          <w:szCs w:val="26"/>
        </w:rPr>
        <w:t xml:space="preserve"> </w:t>
      </w:r>
      <w:r w:rsidRPr="006A6928">
        <w:rPr>
          <w:rFonts w:eastAsia="Times New Roman"/>
          <w:szCs w:val="26"/>
        </w:rPr>
        <w:t>at pp. 1162-1163.)</w:t>
      </w:r>
      <w:r w:rsidRPr="006A6928" w:rsidR="00873326">
        <w:rPr>
          <w:rFonts w:eastAsia="Times New Roman"/>
          <w:szCs w:val="26"/>
        </w:rPr>
        <w:t xml:space="preserve">  </w:t>
      </w:r>
    </w:p>
    <w:p w:rsidR="001D1B41" w:rsidRPr="006A6928" w:rsidP="00873326">
      <w:pPr>
        <w:ind w:firstLine="720"/>
        <w:rPr>
          <w:rFonts w:eastAsia="Times New Roman"/>
          <w:color w:val="000000"/>
          <w:szCs w:val="26"/>
        </w:rPr>
      </w:pPr>
      <w:r w:rsidRPr="006A6928">
        <w:rPr>
          <w:rFonts w:eastAsia="Times New Roman"/>
          <w:szCs w:val="26"/>
        </w:rPr>
        <w:t>The court first held that “</w:t>
      </w:r>
      <w:r w:rsidRPr="006A6928">
        <w:rPr>
          <w:rFonts w:eastAsia="Times New Roman"/>
          <w:color w:val="000000"/>
          <w:szCs w:val="26"/>
        </w:rPr>
        <w:t>Roommate’s own acts—posting the questionnaire and requiring answers to it—are entirely its doing and thus section 230 of the CDA does not apply to them. Roommate is entitled to no immunity.”  (</w:t>
      </w:r>
      <w:r w:rsidRPr="00C66B06" w:rsidR="00C66B06">
        <w:rPr>
          <w:rFonts w:eastAsia="Times New Roman"/>
          <w:i/>
          <w:iCs/>
          <w:color w:val="000000"/>
          <w:szCs w:val="26"/>
        </w:rPr>
        <w:t>Roommates, supra,</w:t>
      </w:r>
      <w:r w:rsidRPr="00C66B06" w:rsidR="00C66B06">
        <w:rPr>
          <w:rFonts w:eastAsia="Times New Roman"/>
          <w:color w:val="000000"/>
          <w:szCs w:val="26"/>
        </w:rPr>
        <w:t xml:space="preserve"> 521 F.3d</w:t>
      </w:r>
      <w:r w:rsidRPr="00C66B06" w:rsidR="00C66B06">
        <w:rPr>
          <w:rFonts w:eastAsia="Times New Roman"/>
          <w:i/>
          <w:iCs/>
          <w:color w:val="000000"/>
          <w:szCs w:val="26"/>
        </w:rPr>
        <w:t xml:space="preserve"> </w:t>
      </w:r>
      <w:r w:rsidRPr="006A6928">
        <w:rPr>
          <w:rFonts w:eastAsia="Times New Roman"/>
          <w:color w:val="000000"/>
          <w:szCs w:val="26"/>
        </w:rPr>
        <w:t>at p. 1165.)  Further</w:t>
      </w:r>
      <w:r w:rsidRPr="006A6928" w:rsidR="00592D81">
        <w:rPr>
          <w:rFonts w:eastAsia="Times New Roman"/>
          <w:szCs w:val="26"/>
        </w:rPr>
        <w:t xml:space="preserve">, </w:t>
      </w:r>
      <w:r w:rsidRPr="006A6928">
        <w:rPr>
          <w:rFonts w:eastAsia="Times New Roman"/>
          <w:szCs w:val="26"/>
        </w:rPr>
        <w:t xml:space="preserve">with respect to the information ultimately provided by the users, the fact that they are “information content providers does not preclude Roommate from </w:t>
      </w:r>
      <w:r w:rsidRPr="006A6928">
        <w:rPr>
          <w:rFonts w:eastAsia="Times New Roman"/>
          <w:i/>
          <w:iCs/>
          <w:szCs w:val="26"/>
          <w:bdr w:val="none" w:sz="0" w:space="0" w:color="auto" w:frame="1"/>
        </w:rPr>
        <w:t>also</w:t>
      </w:r>
      <w:r w:rsidRPr="006A6928">
        <w:rPr>
          <w:rFonts w:eastAsia="Times New Roman"/>
          <w:szCs w:val="26"/>
        </w:rPr>
        <w:t xml:space="preserve"> being an information content provider by helping ‘develop’ at least ‘in part’ the information in the profiles.”  (</w:t>
      </w:r>
      <w:r w:rsidRPr="006A6928">
        <w:rPr>
          <w:rFonts w:eastAsia="Times New Roman"/>
          <w:i/>
          <w:iCs/>
          <w:szCs w:val="26"/>
        </w:rPr>
        <w:t>Ibid</w:t>
      </w:r>
      <w:r w:rsidRPr="006A6928">
        <w:rPr>
          <w:rFonts w:eastAsia="Times New Roman"/>
          <w:szCs w:val="26"/>
        </w:rPr>
        <w:t xml:space="preserve">.)  Thus, </w:t>
      </w:r>
      <w:r w:rsidRPr="006A6928" w:rsidR="00592D81">
        <w:rPr>
          <w:rFonts w:eastAsia="Times New Roman"/>
          <w:szCs w:val="26"/>
        </w:rPr>
        <w:t>i</w:t>
      </w:r>
      <w:r w:rsidRPr="006A6928" w:rsidR="00873326">
        <w:rPr>
          <w:rFonts w:eastAsia="Times New Roman"/>
          <w:szCs w:val="26"/>
        </w:rPr>
        <w:t>n sharp contrast to websites that merely provide “</w:t>
      </w:r>
      <w:r w:rsidRPr="006A6928">
        <w:rPr>
          <w:rFonts w:eastAsia="Times New Roman"/>
          <w:color w:val="000000"/>
          <w:szCs w:val="26"/>
        </w:rPr>
        <w:t>neutral tools</w:t>
      </w:r>
      <w:r w:rsidRPr="006A6928" w:rsidR="00873326">
        <w:rPr>
          <w:rFonts w:eastAsia="Times New Roman"/>
          <w:color w:val="000000"/>
          <w:szCs w:val="26"/>
        </w:rPr>
        <w:t>” based on “</w:t>
      </w:r>
      <w:r w:rsidRPr="006A6928">
        <w:rPr>
          <w:rFonts w:eastAsia="Times New Roman"/>
          <w:color w:val="000000"/>
          <w:szCs w:val="26"/>
        </w:rPr>
        <w:t>voluntary inputs</w:t>
      </w:r>
      <w:r w:rsidRPr="006A6928" w:rsidR="00873326">
        <w:rPr>
          <w:rFonts w:eastAsia="Times New Roman"/>
          <w:color w:val="000000"/>
          <w:szCs w:val="26"/>
        </w:rPr>
        <w:t>,” the court observed</w:t>
      </w:r>
      <w:r w:rsidRPr="006A6928" w:rsidR="002D434F">
        <w:rPr>
          <w:rFonts w:eastAsia="Times New Roman"/>
          <w:color w:val="000000"/>
          <w:szCs w:val="26"/>
        </w:rPr>
        <w:t>,</w:t>
      </w:r>
      <w:r w:rsidRPr="006A6928" w:rsidR="007129D5">
        <w:rPr>
          <w:rFonts w:eastAsia="Times New Roman"/>
          <w:color w:val="000000"/>
          <w:szCs w:val="26"/>
        </w:rPr>
        <w:t xml:space="preserve"> </w:t>
      </w:r>
      <w:r w:rsidRPr="006A6928" w:rsidR="00873326">
        <w:rPr>
          <w:rFonts w:eastAsia="Times New Roman"/>
          <w:color w:val="000000"/>
          <w:szCs w:val="26"/>
        </w:rPr>
        <w:t>“</w:t>
      </w:r>
      <w:r w:rsidRPr="006A6928">
        <w:rPr>
          <w:rFonts w:eastAsia="Times New Roman"/>
          <w:color w:val="000000"/>
          <w:szCs w:val="26"/>
        </w:rPr>
        <w:t>Roommate’s website is designed to force subscribers to divulge protected characteristics and discriminatory preferences</w:t>
      </w:r>
      <w:r w:rsidRPr="006A6928" w:rsidR="00873326">
        <w:rPr>
          <w:rFonts w:eastAsia="Times New Roman"/>
          <w:color w:val="000000"/>
          <w:szCs w:val="26"/>
        </w:rPr>
        <w:t>.</w:t>
      </w:r>
      <w:r w:rsidRPr="006A6928" w:rsidR="00EF5E64">
        <w:rPr>
          <w:rFonts w:eastAsia="Times New Roman"/>
          <w:color w:val="000000"/>
          <w:szCs w:val="26"/>
        </w:rPr>
        <w:t>”</w:t>
      </w:r>
      <w:r w:rsidRPr="006A6928" w:rsidR="00873326">
        <w:rPr>
          <w:rFonts w:eastAsia="Times New Roman"/>
          <w:color w:val="000000"/>
          <w:szCs w:val="26"/>
        </w:rPr>
        <w:t xml:space="preserve">  (</w:t>
      </w:r>
      <w:r w:rsidRPr="006A6928" w:rsidR="00873326">
        <w:rPr>
          <w:rFonts w:eastAsia="Times New Roman"/>
          <w:i/>
          <w:iCs/>
          <w:color w:val="000000"/>
          <w:szCs w:val="26"/>
        </w:rPr>
        <w:t>Id.</w:t>
      </w:r>
      <w:r w:rsidRPr="006A6928">
        <w:rPr>
          <w:rFonts w:eastAsia="Times New Roman"/>
          <w:color w:val="000000"/>
          <w:szCs w:val="26"/>
        </w:rPr>
        <w:t xml:space="preserve"> at p. 1172.)</w:t>
      </w:r>
    </w:p>
    <w:p w:rsidR="001D1B41" w:rsidRPr="006A6928" w:rsidP="001D1B41">
      <w:pPr>
        <w:ind w:firstLine="720"/>
        <w:rPr>
          <w:szCs w:val="26"/>
          <w:shd w:val="clear" w:color="auto" w:fill="FFFFFF"/>
        </w:rPr>
      </w:pPr>
      <w:r w:rsidRPr="006A6928">
        <w:rPr>
          <w:rFonts w:eastAsia="Times New Roman"/>
          <w:szCs w:val="26"/>
        </w:rPr>
        <w:t xml:space="preserve">Similarly, in </w:t>
      </w:r>
      <w:r w:rsidRPr="006A6928">
        <w:rPr>
          <w:rFonts w:eastAsia="Times New Roman"/>
          <w:i/>
          <w:iCs/>
          <w:szCs w:val="26"/>
        </w:rPr>
        <w:t>Liapes</w:t>
      </w:r>
      <w:r w:rsidRPr="006A6928">
        <w:rPr>
          <w:rFonts w:eastAsia="Times New Roman"/>
          <w:szCs w:val="26"/>
        </w:rPr>
        <w:t xml:space="preserve">, the First District Court of Appeal </w:t>
      </w:r>
      <w:r w:rsidRPr="006A6928" w:rsidR="009D1C14">
        <w:rPr>
          <w:rFonts w:eastAsia="Times New Roman"/>
          <w:szCs w:val="26"/>
        </w:rPr>
        <w:t xml:space="preserve">held that </w:t>
      </w:r>
      <w:r w:rsidRPr="006A6928" w:rsidR="00873326">
        <w:rPr>
          <w:rFonts w:eastAsia="Times New Roman"/>
          <w:szCs w:val="26"/>
        </w:rPr>
        <w:t xml:space="preserve">Facebook was responsible </w:t>
      </w:r>
      <w:r w:rsidRPr="006A6928" w:rsidR="008816A8">
        <w:rPr>
          <w:rFonts w:eastAsia="Times New Roman"/>
          <w:szCs w:val="26"/>
        </w:rPr>
        <w:t xml:space="preserve">under section 230 </w:t>
      </w:r>
      <w:r w:rsidRPr="006A6928" w:rsidR="00873326">
        <w:rPr>
          <w:rFonts w:eastAsia="Times New Roman"/>
          <w:szCs w:val="26"/>
        </w:rPr>
        <w:t>for</w:t>
      </w:r>
      <w:r w:rsidRPr="006A6928" w:rsidR="007B4B99">
        <w:rPr>
          <w:rFonts w:eastAsia="Times New Roman"/>
          <w:szCs w:val="26"/>
        </w:rPr>
        <w:t xml:space="preserve"> information used in advertisements on its website because </w:t>
      </w:r>
      <w:r w:rsidRPr="006A6928" w:rsidR="00A63B66">
        <w:rPr>
          <w:rFonts w:eastAsia="Times New Roman"/>
          <w:szCs w:val="26"/>
        </w:rPr>
        <w:t>the company</w:t>
      </w:r>
      <w:r w:rsidRPr="006A6928" w:rsidR="007B4B99">
        <w:rPr>
          <w:rFonts w:eastAsia="Times New Roman"/>
          <w:szCs w:val="26"/>
        </w:rPr>
        <w:t xml:space="preserve"> </w:t>
      </w:r>
      <w:r w:rsidRPr="006A6928" w:rsidR="003A1558">
        <w:rPr>
          <w:rFonts w:eastAsia="Times New Roman"/>
          <w:szCs w:val="26"/>
        </w:rPr>
        <w:t>required users to disclose that information</w:t>
      </w:r>
      <w:r w:rsidRPr="006A6928" w:rsidR="00873326">
        <w:rPr>
          <w:rFonts w:eastAsia="Times New Roman"/>
          <w:szCs w:val="26"/>
        </w:rPr>
        <w:t xml:space="preserve">.  Much like the website in </w:t>
      </w:r>
      <w:r w:rsidRPr="006A6928" w:rsidR="00873326">
        <w:rPr>
          <w:rFonts w:eastAsia="Times New Roman"/>
          <w:i/>
          <w:iCs/>
          <w:szCs w:val="26"/>
        </w:rPr>
        <w:t>Roommates</w:t>
      </w:r>
      <w:r w:rsidRPr="006A6928" w:rsidR="00873326">
        <w:rPr>
          <w:rFonts w:eastAsia="Times New Roman"/>
          <w:szCs w:val="26"/>
        </w:rPr>
        <w:t xml:space="preserve">, Facebook </w:t>
      </w:r>
      <w:r w:rsidRPr="006A6928" w:rsidR="00BD3A60">
        <w:rPr>
          <w:rFonts w:eastAsia="Times New Roman"/>
          <w:szCs w:val="26"/>
        </w:rPr>
        <w:t xml:space="preserve">required </w:t>
      </w:r>
      <w:r w:rsidRPr="006A6928" w:rsidR="00873326">
        <w:rPr>
          <w:rFonts w:eastAsia="Times New Roman"/>
          <w:szCs w:val="26"/>
        </w:rPr>
        <w:t>users to</w:t>
      </w:r>
      <w:r w:rsidRPr="006A6928" w:rsidR="00823C44">
        <w:rPr>
          <w:rFonts w:eastAsia="Times New Roman"/>
          <w:szCs w:val="26"/>
        </w:rPr>
        <w:t xml:space="preserve"> supply information</w:t>
      </w:r>
      <w:r w:rsidRPr="006A6928" w:rsidR="0024789E">
        <w:rPr>
          <w:rFonts w:eastAsia="Times New Roman"/>
          <w:szCs w:val="26"/>
        </w:rPr>
        <w:t xml:space="preserve"> to</w:t>
      </w:r>
      <w:r w:rsidRPr="006A6928" w:rsidR="00873326">
        <w:rPr>
          <w:rFonts w:eastAsia="Times New Roman"/>
          <w:szCs w:val="26"/>
        </w:rPr>
        <w:t xml:space="preserve"> describe their age and gender.  (</w:t>
      </w:r>
      <w:r w:rsidRPr="006A6928" w:rsidR="00AC4CA6">
        <w:rPr>
          <w:rFonts w:eastAsia="Times New Roman"/>
          <w:i/>
          <w:iCs/>
          <w:szCs w:val="26"/>
        </w:rPr>
        <w:t>Liapes, supra,</w:t>
      </w:r>
      <w:r w:rsidRPr="006A6928" w:rsidR="00873326">
        <w:rPr>
          <w:rFonts w:eastAsia="Times New Roman"/>
          <w:szCs w:val="26"/>
        </w:rPr>
        <w:t xml:space="preserve"> </w:t>
      </w:r>
      <w:r w:rsidRPr="006A6928" w:rsidR="00AC4CA6">
        <w:rPr>
          <w:rFonts w:eastAsia="Times New Roman"/>
          <w:szCs w:val="26"/>
        </w:rPr>
        <w:t>95 Cal.App.5th at</w:t>
      </w:r>
      <w:r w:rsidRPr="006A6928" w:rsidR="00873326">
        <w:rPr>
          <w:rFonts w:eastAsia="Times New Roman"/>
          <w:szCs w:val="26"/>
        </w:rPr>
        <w:t xml:space="preserve"> p. 929.)  </w:t>
      </w:r>
      <w:r w:rsidR="0036454A">
        <w:rPr>
          <w:rFonts w:eastAsia="Times New Roman"/>
          <w:szCs w:val="26"/>
        </w:rPr>
        <w:t>It</w:t>
      </w:r>
      <w:r w:rsidRPr="006A6928" w:rsidR="00E30172">
        <w:rPr>
          <w:rFonts w:eastAsia="Times New Roman"/>
          <w:szCs w:val="26"/>
        </w:rPr>
        <w:t xml:space="preserve"> also required </w:t>
      </w:r>
      <w:r w:rsidRPr="006A6928" w:rsidR="00873326">
        <w:rPr>
          <w:rFonts w:eastAsia="Times New Roman"/>
          <w:szCs w:val="26"/>
        </w:rPr>
        <w:t xml:space="preserve">advertisers to select age and gender parameters, which were </w:t>
      </w:r>
      <w:r w:rsidRPr="006A6928" w:rsidR="00C236B4">
        <w:rPr>
          <w:rFonts w:eastAsia="Times New Roman"/>
          <w:szCs w:val="26"/>
        </w:rPr>
        <w:t>used</w:t>
      </w:r>
      <w:r w:rsidRPr="006A6928" w:rsidR="0024789E">
        <w:rPr>
          <w:rFonts w:eastAsia="Times New Roman"/>
          <w:szCs w:val="26"/>
        </w:rPr>
        <w:t>, along with other parameters,</w:t>
      </w:r>
      <w:r w:rsidRPr="006A6928" w:rsidR="00C236B4">
        <w:rPr>
          <w:rFonts w:eastAsia="Times New Roman"/>
          <w:szCs w:val="26"/>
        </w:rPr>
        <w:t xml:space="preserve"> to target ads.  (</w:t>
      </w:r>
      <w:r w:rsidRPr="006A6928" w:rsidR="00C236B4">
        <w:rPr>
          <w:rFonts w:eastAsia="Times New Roman"/>
          <w:i/>
          <w:iCs/>
          <w:szCs w:val="26"/>
        </w:rPr>
        <w:t>Ibid</w:t>
      </w:r>
      <w:r w:rsidRPr="006A6928" w:rsidR="00C236B4">
        <w:rPr>
          <w:rFonts w:eastAsia="Times New Roman"/>
          <w:szCs w:val="26"/>
        </w:rPr>
        <w:t xml:space="preserve">.) </w:t>
      </w:r>
      <w:r w:rsidRPr="006A6928">
        <w:rPr>
          <w:rFonts w:eastAsia="Times New Roman"/>
          <w:szCs w:val="26"/>
        </w:rPr>
        <w:t xml:space="preserve"> Analogizing to </w:t>
      </w:r>
      <w:r w:rsidRPr="006A6928">
        <w:rPr>
          <w:rFonts w:eastAsia="Times New Roman"/>
          <w:i/>
          <w:iCs/>
          <w:szCs w:val="26"/>
        </w:rPr>
        <w:t>Roommates</w:t>
      </w:r>
      <w:r w:rsidRPr="006A6928">
        <w:rPr>
          <w:rFonts w:eastAsia="Times New Roman"/>
          <w:szCs w:val="26"/>
        </w:rPr>
        <w:t xml:space="preserve">, the </w:t>
      </w:r>
      <w:r w:rsidRPr="006A6928">
        <w:rPr>
          <w:szCs w:val="26"/>
          <w:shd w:val="clear" w:color="auto" w:fill="FFFFFF"/>
        </w:rPr>
        <w:t xml:space="preserve">court </w:t>
      </w:r>
      <w:r w:rsidRPr="006A6928" w:rsidR="00600A00">
        <w:rPr>
          <w:szCs w:val="26"/>
          <w:shd w:val="clear" w:color="auto" w:fill="FFFFFF"/>
        </w:rPr>
        <w:t>concluded</w:t>
      </w:r>
      <w:r w:rsidRPr="006A6928" w:rsidR="00C236B4">
        <w:rPr>
          <w:szCs w:val="26"/>
          <w:shd w:val="clear" w:color="auto" w:fill="FFFFFF"/>
        </w:rPr>
        <w:t xml:space="preserve"> that Facebook</w:t>
      </w:r>
      <w:r w:rsidRPr="006A6928" w:rsidR="00600A00">
        <w:rPr>
          <w:szCs w:val="26"/>
          <w:shd w:val="clear" w:color="auto" w:fill="FFFFFF"/>
        </w:rPr>
        <w:t xml:space="preserve">’s </w:t>
      </w:r>
      <w:r w:rsidRPr="006A6928">
        <w:rPr>
          <w:szCs w:val="26"/>
          <w:shd w:val="clear" w:color="auto" w:fill="FFFFFF"/>
        </w:rPr>
        <w:t xml:space="preserve">ad-delivery tools did not “merely proliferate and disseminate content as a publisher”; they created, shaped, or developed </w:t>
      </w:r>
      <w:r w:rsidRPr="006A6928" w:rsidR="00C236B4">
        <w:rPr>
          <w:szCs w:val="26"/>
          <w:shd w:val="clear" w:color="auto" w:fill="FFFFFF"/>
        </w:rPr>
        <w:t xml:space="preserve">that </w:t>
      </w:r>
      <w:r w:rsidRPr="006A6928">
        <w:rPr>
          <w:szCs w:val="26"/>
          <w:shd w:val="clear" w:color="auto" w:fill="FFFFFF"/>
        </w:rPr>
        <w:t>content</w:t>
      </w:r>
      <w:r w:rsidRPr="006A6928" w:rsidR="00C236B4">
        <w:rPr>
          <w:szCs w:val="26"/>
          <w:shd w:val="clear" w:color="auto" w:fill="FFFFFF"/>
        </w:rPr>
        <w:t xml:space="preserve">. </w:t>
      </w:r>
      <w:r w:rsidRPr="006A6928">
        <w:rPr>
          <w:szCs w:val="26"/>
          <w:shd w:val="clear" w:color="auto" w:fill="FFFFFF"/>
        </w:rPr>
        <w:t xml:space="preserve"> (</w:t>
      </w:r>
      <w:r w:rsidRPr="006A6928" w:rsidR="00C236B4">
        <w:rPr>
          <w:i/>
          <w:iCs/>
          <w:szCs w:val="26"/>
          <w:shd w:val="clear" w:color="auto" w:fill="FFFFFF"/>
        </w:rPr>
        <w:t>Id</w:t>
      </w:r>
      <w:r w:rsidRPr="006A6928" w:rsidR="00C236B4">
        <w:rPr>
          <w:szCs w:val="26"/>
          <w:shd w:val="clear" w:color="auto" w:fill="FFFFFF"/>
        </w:rPr>
        <w:t>.</w:t>
      </w:r>
      <w:r w:rsidRPr="006A6928">
        <w:rPr>
          <w:szCs w:val="26"/>
          <w:shd w:val="clear" w:color="auto" w:fill="FFFFFF"/>
        </w:rPr>
        <w:t xml:space="preserve"> at p. 929, quoting </w:t>
      </w:r>
      <w:r w:rsidRPr="006A6928">
        <w:rPr>
          <w:i/>
          <w:iCs/>
          <w:szCs w:val="26"/>
          <w:shd w:val="clear" w:color="auto" w:fill="FFFFFF"/>
        </w:rPr>
        <w:t>Roommates, supra</w:t>
      </w:r>
      <w:r w:rsidRPr="006A6928">
        <w:rPr>
          <w:szCs w:val="26"/>
          <w:shd w:val="clear" w:color="auto" w:fill="FFFFFF"/>
        </w:rPr>
        <w:t>, 521 F.3d at pp. 1167-1168.)</w:t>
      </w:r>
    </w:p>
    <w:p w:rsidR="00FD6492" w:rsidRPr="006A6928" w:rsidP="001D1B41">
      <w:pPr>
        <w:ind w:firstLine="720"/>
        <w:rPr>
          <w:rFonts w:eastAsia="Times New Roman"/>
          <w:szCs w:val="26"/>
        </w:rPr>
      </w:pPr>
      <w:bookmarkStart w:id="25" w:name="_Hlk158637873"/>
      <w:bookmarkStart w:id="26" w:name="_Hlk160552315"/>
      <w:r w:rsidRPr="006A6928">
        <w:rPr>
          <w:szCs w:val="26"/>
          <w:shd w:val="clear" w:color="auto" w:fill="FFFFFF"/>
        </w:rPr>
        <w:t xml:space="preserve">In sum, existing precedent holds that </w:t>
      </w:r>
      <w:r w:rsidRPr="006A6928">
        <w:rPr>
          <w:rFonts w:eastAsia="Times New Roman"/>
          <w:szCs w:val="26"/>
        </w:rPr>
        <w:t xml:space="preserve">where a website operator </w:t>
      </w:r>
      <w:r w:rsidRPr="006A6928" w:rsidR="00ED0790">
        <w:rPr>
          <w:rFonts w:eastAsia="Times New Roman"/>
          <w:szCs w:val="26"/>
        </w:rPr>
        <w:t xml:space="preserve">either </w:t>
      </w:r>
      <w:r w:rsidRPr="006A6928" w:rsidR="00600A00">
        <w:rPr>
          <w:rFonts w:eastAsia="Times New Roman"/>
          <w:szCs w:val="26"/>
        </w:rPr>
        <w:t xml:space="preserve">creates its own content or </w:t>
      </w:r>
      <w:r w:rsidRPr="006A6928" w:rsidR="00520AD5">
        <w:rPr>
          <w:rFonts w:eastAsia="Times New Roman"/>
          <w:szCs w:val="26"/>
        </w:rPr>
        <w:t xml:space="preserve">requires </w:t>
      </w:r>
      <w:r w:rsidRPr="006A6928" w:rsidR="00C236B4">
        <w:rPr>
          <w:rFonts w:eastAsia="Times New Roman"/>
          <w:szCs w:val="26"/>
        </w:rPr>
        <w:t>users to provide information</w:t>
      </w:r>
      <w:r w:rsidRPr="006A6928" w:rsidR="00600A00">
        <w:rPr>
          <w:rFonts w:eastAsia="Times New Roman"/>
          <w:szCs w:val="26"/>
        </w:rPr>
        <w:t xml:space="preserve"> and then disseminates </w:t>
      </w:r>
      <w:r w:rsidR="00466606">
        <w:rPr>
          <w:rFonts w:eastAsia="Times New Roman"/>
          <w:szCs w:val="26"/>
        </w:rPr>
        <w:t>it</w:t>
      </w:r>
      <w:r w:rsidRPr="006A6928" w:rsidR="00C236B4">
        <w:rPr>
          <w:rFonts w:eastAsia="Times New Roman"/>
          <w:szCs w:val="26"/>
        </w:rPr>
        <w:t xml:space="preserve">, </w:t>
      </w:r>
      <w:r w:rsidR="0036454A">
        <w:rPr>
          <w:rFonts w:eastAsia="Times New Roman"/>
          <w:szCs w:val="26"/>
        </w:rPr>
        <w:t xml:space="preserve">thereby materially contributing to the development of the unlawful information, </w:t>
      </w:r>
      <w:r w:rsidRPr="006A6928" w:rsidR="00C236B4">
        <w:rPr>
          <w:rFonts w:eastAsia="Times New Roman"/>
          <w:szCs w:val="26"/>
        </w:rPr>
        <w:t xml:space="preserve">it </w:t>
      </w:r>
      <w:r w:rsidRPr="006A6928" w:rsidR="00A63B66">
        <w:rPr>
          <w:rFonts w:eastAsia="Times New Roman"/>
          <w:szCs w:val="26"/>
        </w:rPr>
        <w:t>may be</w:t>
      </w:r>
      <w:r w:rsidRPr="006A6928" w:rsidR="00283F4F">
        <w:rPr>
          <w:rFonts w:eastAsia="Times New Roman"/>
          <w:szCs w:val="26"/>
        </w:rPr>
        <w:t xml:space="preserve"> </w:t>
      </w:r>
      <w:r w:rsidRPr="006A6928" w:rsidR="00D979DE">
        <w:rPr>
          <w:rFonts w:eastAsia="Times New Roman"/>
          <w:szCs w:val="26"/>
        </w:rPr>
        <w:t>considered responsible</w:t>
      </w:r>
      <w:r w:rsidRPr="006A6928" w:rsidR="00600A00">
        <w:rPr>
          <w:rFonts w:eastAsia="Times New Roman"/>
          <w:szCs w:val="26"/>
        </w:rPr>
        <w:t xml:space="preserve"> for </w:t>
      </w:r>
      <w:r w:rsidRPr="006A6928" w:rsidR="004D6CD9">
        <w:rPr>
          <w:rFonts w:eastAsia="Times New Roman"/>
          <w:szCs w:val="26"/>
        </w:rPr>
        <w:t xml:space="preserve">that </w:t>
      </w:r>
      <w:r w:rsidRPr="006A6928" w:rsidR="00C236B4">
        <w:rPr>
          <w:rFonts w:eastAsia="Times New Roman"/>
          <w:szCs w:val="26"/>
        </w:rPr>
        <w:t>information</w:t>
      </w:r>
      <w:r w:rsidRPr="006A6928" w:rsidR="00600A00">
        <w:rPr>
          <w:rFonts w:eastAsia="Times New Roman"/>
          <w:szCs w:val="26"/>
        </w:rPr>
        <w:t xml:space="preserve">, and </w:t>
      </w:r>
      <w:r w:rsidR="0036454A">
        <w:rPr>
          <w:rFonts w:eastAsia="Times New Roman"/>
          <w:szCs w:val="26"/>
        </w:rPr>
        <w:t xml:space="preserve">thus </w:t>
      </w:r>
      <w:r w:rsidRPr="006A6928" w:rsidR="00600A00">
        <w:rPr>
          <w:rFonts w:eastAsia="Times New Roman"/>
          <w:szCs w:val="26"/>
        </w:rPr>
        <w:t>be an “information content provider.”  (§ 230</w:t>
      </w:r>
      <w:r w:rsidR="006A5FE4">
        <w:rPr>
          <w:rFonts w:eastAsia="Times New Roman"/>
          <w:szCs w:val="26"/>
        </w:rPr>
        <w:t xml:space="preserve">, subd. </w:t>
      </w:r>
      <w:r w:rsidRPr="006A6928" w:rsidR="00600A00">
        <w:rPr>
          <w:rFonts w:eastAsia="Times New Roman"/>
          <w:szCs w:val="26"/>
        </w:rPr>
        <w:t xml:space="preserve">(f)(3).) </w:t>
      </w:r>
      <w:r w:rsidRPr="006A6928" w:rsidR="00C236B4">
        <w:rPr>
          <w:rFonts w:eastAsia="Times New Roman"/>
          <w:szCs w:val="26"/>
        </w:rPr>
        <w:t xml:space="preserve">  </w:t>
      </w:r>
      <w:bookmarkEnd w:id="25"/>
    </w:p>
    <w:p w:rsidR="00724CAD" w:rsidRPr="006A6928">
      <w:pPr>
        <w:ind w:firstLine="720"/>
        <w:rPr>
          <w:szCs w:val="26"/>
        </w:rPr>
      </w:pPr>
      <w:r w:rsidRPr="006A6928">
        <w:rPr>
          <w:rFonts w:eastAsia="Times New Roman"/>
          <w:szCs w:val="26"/>
        </w:rPr>
        <w:t xml:space="preserve">The SAC </w:t>
      </w:r>
      <w:r w:rsidRPr="006A6928" w:rsidR="000C166B">
        <w:rPr>
          <w:rFonts w:eastAsia="Times New Roman"/>
          <w:szCs w:val="26"/>
        </w:rPr>
        <w:t xml:space="preserve">here </w:t>
      </w:r>
      <w:r w:rsidRPr="006A6928">
        <w:rPr>
          <w:rFonts w:eastAsia="Times New Roman"/>
          <w:szCs w:val="26"/>
        </w:rPr>
        <w:t xml:space="preserve">includes allegations </w:t>
      </w:r>
      <w:r w:rsidR="0036454A">
        <w:rPr>
          <w:rFonts w:eastAsia="Times New Roman"/>
          <w:szCs w:val="26"/>
        </w:rPr>
        <w:t xml:space="preserve">potentially </w:t>
      </w:r>
      <w:r w:rsidRPr="006A6928" w:rsidR="00736CE4">
        <w:rPr>
          <w:rFonts w:eastAsia="Times New Roman"/>
          <w:szCs w:val="26"/>
        </w:rPr>
        <w:t xml:space="preserve">fitting </w:t>
      </w:r>
      <w:r w:rsidRPr="006A6928">
        <w:rPr>
          <w:rFonts w:eastAsia="Times New Roman"/>
          <w:szCs w:val="26"/>
        </w:rPr>
        <w:t xml:space="preserve">within this category.  </w:t>
      </w:r>
      <w:bookmarkEnd w:id="26"/>
      <w:r w:rsidRPr="006A6928">
        <w:rPr>
          <w:rFonts w:eastAsia="Times New Roman"/>
          <w:szCs w:val="26"/>
        </w:rPr>
        <w:t xml:space="preserve">For instance, </w:t>
      </w:r>
      <w:r w:rsidR="00466606">
        <w:rPr>
          <w:rFonts w:eastAsia="Times New Roman"/>
          <w:szCs w:val="26"/>
        </w:rPr>
        <w:t>it</w:t>
      </w:r>
      <w:r w:rsidRPr="006A6928" w:rsidR="00466606">
        <w:rPr>
          <w:rFonts w:eastAsia="Times New Roman"/>
          <w:szCs w:val="26"/>
        </w:rPr>
        <w:t xml:space="preserve"> </w:t>
      </w:r>
      <w:r w:rsidRPr="006A6928">
        <w:rPr>
          <w:rFonts w:eastAsia="Times New Roman"/>
          <w:szCs w:val="26"/>
        </w:rPr>
        <w:t>allege</w:t>
      </w:r>
      <w:r w:rsidR="00466606">
        <w:rPr>
          <w:rFonts w:eastAsia="Times New Roman"/>
          <w:szCs w:val="26"/>
        </w:rPr>
        <w:t>s</w:t>
      </w:r>
      <w:r w:rsidRPr="006A6928">
        <w:rPr>
          <w:rFonts w:eastAsia="Times New Roman"/>
          <w:szCs w:val="26"/>
        </w:rPr>
        <w:t xml:space="preserve"> that </w:t>
      </w:r>
      <w:r w:rsidRPr="006A6928">
        <w:rPr>
          <w:szCs w:val="26"/>
        </w:rPr>
        <w:t xml:space="preserve">“YOUTUBE has continued to maintain the verification of channels that have been hijacked to broadcast BITCOIN GIVEAWAY scam videos and, in at least one instance, even issued a verification badge to a channel at the very time it was actively broadcasting scam videos.”  </w:t>
      </w:r>
    </w:p>
    <w:p w:rsidR="00ED0790" w:rsidRPr="006A6928" w:rsidP="00C236B4">
      <w:pPr>
        <w:ind w:firstLine="720"/>
        <w:rPr>
          <w:szCs w:val="26"/>
        </w:rPr>
      </w:pPr>
      <w:r w:rsidRPr="006A6928">
        <w:rPr>
          <w:szCs w:val="26"/>
        </w:rPr>
        <w:t>It</w:t>
      </w:r>
      <w:r w:rsidRPr="006A6928" w:rsidR="000C166B">
        <w:rPr>
          <w:szCs w:val="26"/>
        </w:rPr>
        <w:t xml:space="preserve"> also</w:t>
      </w:r>
      <w:r w:rsidRPr="006A6928" w:rsidR="001D1B41">
        <w:rPr>
          <w:szCs w:val="26"/>
        </w:rPr>
        <w:t xml:space="preserve"> allege</w:t>
      </w:r>
      <w:r w:rsidRPr="006A6928">
        <w:rPr>
          <w:szCs w:val="26"/>
        </w:rPr>
        <w:t>s</w:t>
      </w:r>
      <w:r w:rsidRPr="006A6928" w:rsidR="001D1B41">
        <w:rPr>
          <w:szCs w:val="26"/>
        </w:rPr>
        <w:t xml:space="preserve">: “When YOUTUBE verifies a channel, YOUTUBE is communicating to its users that ‘it’s the official channel of a creator, artist, company, or public figure,’ and that the channel ‘represent[s] the real creator, brand, or entity it claims to be’ because YOUTUBE has ‘check[ed] different factors to help verify [the channel owner’s] identity.’ YOUTUBE also verifies channels to ‘distinguish official channels from other channels with similar names.’ ” </w:t>
      </w:r>
      <w:r w:rsidRPr="006A6928" w:rsidR="00C236B4">
        <w:rPr>
          <w:szCs w:val="26"/>
        </w:rPr>
        <w:t xml:space="preserve"> </w:t>
      </w:r>
      <w:r w:rsidRPr="006A6928">
        <w:rPr>
          <w:szCs w:val="26"/>
        </w:rPr>
        <w:t xml:space="preserve">Further, “YOUTUBE’s users, including numerous Plaintiffs here, relied on YOUTUBE’s representations that the verified channels are authentic and that the verification badge means the channel’s owner is who they claim to be.”  </w:t>
      </w:r>
    </w:p>
    <w:p w:rsidR="006C3648" w:rsidRPr="006A6928" w:rsidP="006C3648">
      <w:pPr>
        <w:ind w:firstLine="720"/>
        <w:rPr>
          <w:szCs w:val="26"/>
        </w:rPr>
      </w:pPr>
      <w:r w:rsidRPr="006A6928">
        <w:rPr>
          <w:szCs w:val="26"/>
        </w:rPr>
        <w:t>It can reasonably be inferred from t</w:t>
      </w:r>
      <w:r w:rsidRPr="006A6928" w:rsidR="001D1B41">
        <w:rPr>
          <w:szCs w:val="26"/>
        </w:rPr>
        <w:t xml:space="preserve">hese allegations that YouTube </w:t>
      </w:r>
      <w:r w:rsidRPr="006A6928" w:rsidR="00F77083">
        <w:rPr>
          <w:szCs w:val="26"/>
        </w:rPr>
        <w:t xml:space="preserve">is </w:t>
      </w:r>
      <w:r w:rsidRPr="006A6928" w:rsidR="00ED0790">
        <w:rPr>
          <w:szCs w:val="26"/>
        </w:rPr>
        <w:t xml:space="preserve">wholly </w:t>
      </w:r>
      <w:r w:rsidRPr="006A6928" w:rsidR="00F77083">
        <w:rPr>
          <w:szCs w:val="26"/>
        </w:rPr>
        <w:t xml:space="preserve">responsible for </w:t>
      </w:r>
      <w:r w:rsidRPr="006A6928" w:rsidR="00ED0790">
        <w:rPr>
          <w:szCs w:val="26"/>
        </w:rPr>
        <w:t xml:space="preserve">creating </w:t>
      </w:r>
      <w:r w:rsidRPr="006A6928" w:rsidR="00C236B4">
        <w:rPr>
          <w:szCs w:val="26"/>
        </w:rPr>
        <w:t xml:space="preserve">the information </w:t>
      </w:r>
      <w:r w:rsidRPr="006A6928" w:rsidR="00AE7E20">
        <w:rPr>
          <w:szCs w:val="26"/>
        </w:rPr>
        <w:t xml:space="preserve">concerning the </w:t>
      </w:r>
      <w:r w:rsidRPr="006A6928" w:rsidR="0026378C">
        <w:rPr>
          <w:szCs w:val="26"/>
        </w:rPr>
        <w:t xml:space="preserve">authenticity of the </w:t>
      </w:r>
      <w:r w:rsidRPr="006A6928" w:rsidR="00AE7E20">
        <w:rPr>
          <w:szCs w:val="26"/>
        </w:rPr>
        <w:t xml:space="preserve">channel owners </w:t>
      </w:r>
      <w:r w:rsidRPr="006A6928" w:rsidR="00C236B4">
        <w:rPr>
          <w:rFonts w:eastAsia="Times New Roman"/>
          <w:szCs w:val="26"/>
        </w:rPr>
        <w:t xml:space="preserve">in </w:t>
      </w:r>
      <w:r w:rsidRPr="006A6928" w:rsidR="001D1B41">
        <w:rPr>
          <w:rFonts w:eastAsia="Times New Roman"/>
          <w:szCs w:val="26"/>
        </w:rPr>
        <w:t>the verification badges.  Unlike the scam videos themselves, the third-party scammers did not create or develop the verification badge</w:t>
      </w:r>
      <w:r w:rsidR="0021181D">
        <w:rPr>
          <w:rFonts w:eastAsia="Times New Roman"/>
          <w:szCs w:val="26"/>
        </w:rPr>
        <w:t>s</w:t>
      </w:r>
      <w:r w:rsidRPr="006A6928" w:rsidR="001D1B41">
        <w:rPr>
          <w:rFonts w:eastAsia="Times New Roman"/>
          <w:szCs w:val="26"/>
        </w:rPr>
        <w:t xml:space="preserve">—defendants allegedly did.  </w:t>
      </w:r>
      <w:r w:rsidRPr="006A6928" w:rsidR="0066755F">
        <w:rPr>
          <w:rFonts w:eastAsia="Times New Roman"/>
          <w:szCs w:val="26"/>
        </w:rPr>
        <w:t xml:space="preserve">Nor is there any suggestion in the </w:t>
      </w:r>
      <w:r w:rsidRPr="006A6928" w:rsidR="001728A8">
        <w:rPr>
          <w:rFonts w:eastAsia="Times New Roman"/>
          <w:szCs w:val="26"/>
        </w:rPr>
        <w:t>SAC that t</w:t>
      </w:r>
      <w:r w:rsidRPr="006A6928" w:rsidR="00840FF9">
        <w:rPr>
          <w:rFonts w:eastAsia="Times New Roman"/>
          <w:szCs w:val="26"/>
        </w:rPr>
        <w:t xml:space="preserve">he verification badges contain information voluntarily provided by users and thus </w:t>
      </w:r>
      <w:r w:rsidRPr="006A6928" w:rsidR="001D1B41">
        <w:rPr>
          <w:rFonts w:eastAsia="Times New Roman"/>
          <w:szCs w:val="26"/>
        </w:rPr>
        <w:t>merely redirect or highlight third-party content</w:t>
      </w:r>
      <w:r w:rsidRPr="006A6928" w:rsidR="00840FF9">
        <w:rPr>
          <w:rFonts w:eastAsia="Times New Roman"/>
          <w:szCs w:val="26"/>
        </w:rPr>
        <w:t xml:space="preserve">.  </w:t>
      </w:r>
      <w:bookmarkStart w:id="27" w:name="_Hlk160552574"/>
      <w:r w:rsidRPr="006A6928" w:rsidR="001B4889">
        <w:rPr>
          <w:rFonts w:eastAsia="Times New Roman"/>
          <w:szCs w:val="26"/>
        </w:rPr>
        <w:t xml:space="preserve">We therefore conclude </w:t>
      </w:r>
      <w:r w:rsidRPr="006A6928" w:rsidR="00840FF9">
        <w:rPr>
          <w:rFonts w:eastAsia="Times New Roman"/>
          <w:szCs w:val="26"/>
        </w:rPr>
        <w:t>the SAC adequately alleges that</w:t>
      </w:r>
      <w:r w:rsidRPr="006A6928" w:rsidR="00FA7FDA">
        <w:rPr>
          <w:rFonts w:eastAsia="Times New Roman"/>
          <w:szCs w:val="26"/>
        </w:rPr>
        <w:t xml:space="preserve"> under section 230</w:t>
      </w:r>
      <w:r w:rsidRPr="006A6928" w:rsidR="00FA243D">
        <w:rPr>
          <w:rFonts w:eastAsia="Times New Roman"/>
          <w:szCs w:val="26"/>
        </w:rPr>
        <w:t>,</w:t>
      </w:r>
      <w:r w:rsidRPr="006A6928" w:rsidR="00840FF9">
        <w:rPr>
          <w:rFonts w:eastAsia="Times New Roman"/>
          <w:szCs w:val="26"/>
        </w:rPr>
        <w:t xml:space="preserve"> YouTube is responsibl</w:t>
      </w:r>
      <w:r w:rsidRPr="006A6928" w:rsidR="00FA7FDA">
        <w:rPr>
          <w:rFonts w:eastAsia="Times New Roman"/>
          <w:szCs w:val="26"/>
        </w:rPr>
        <w:t xml:space="preserve">e </w:t>
      </w:r>
      <w:r w:rsidRPr="006A6928" w:rsidR="00840FF9">
        <w:rPr>
          <w:rFonts w:eastAsia="Times New Roman"/>
          <w:szCs w:val="26"/>
        </w:rPr>
        <w:t xml:space="preserve">for </w:t>
      </w:r>
      <w:r w:rsidRPr="006A6928" w:rsidR="00FA243D">
        <w:rPr>
          <w:rFonts w:eastAsia="Times New Roman"/>
          <w:szCs w:val="26"/>
        </w:rPr>
        <w:t xml:space="preserve">creating </w:t>
      </w:r>
      <w:r w:rsidRPr="006A6928" w:rsidR="00840FF9">
        <w:rPr>
          <w:rFonts w:eastAsia="Times New Roman"/>
          <w:szCs w:val="26"/>
        </w:rPr>
        <w:t xml:space="preserve">the information in </w:t>
      </w:r>
      <w:r w:rsidRPr="006A6928" w:rsidR="001D1B41">
        <w:rPr>
          <w:rFonts w:eastAsia="Times New Roman"/>
          <w:szCs w:val="26"/>
        </w:rPr>
        <w:t>the verification badge</w:t>
      </w:r>
      <w:r w:rsidRPr="006A6928" w:rsidR="00840FF9">
        <w:rPr>
          <w:rFonts w:eastAsia="Times New Roman"/>
          <w:szCs w:val="26"/>
        </w:rPr>
        <w:t>s</w:t>
      </w:r>
      <w:r w:rsidRPr="006A6928" w:rsidR="00A355CC">
        <w:rPr>
          <w:rFonts w:eastAsia="Times New Roman"/>
          <w:szCs w:val="26"/>
        </w:rPr>
        <w:t>.</w:t>
      </w:r>
      <w:bookmarkEnd w:id="27"/>
      <w:r w:rsidRPr="006A6928" w:rsidR="00FA243D">
        <w:rPr>
          <w:rFonts w:eastAsia="Times New Roman"/>
          <w:szCs w:val="26"/>
        </w:rPr>
        <w:t xml:space="preserve"> </w:t>
      </w:r>
    </w:p>
    <w:p w:rsidR="006C3648" w:rsidRPr="006A6928" w:rsidP="006A6928">
      <w:pPr>
        <w:pStyle w:val="ListParagraph"/>
        <w:numPr>
          <w:ilvl w:val="2"/>
          <w:numId w:val="43"/>
        </w:numPr>
        <w:rPr>
          <w:rFonts w:eastAsia="Times New Roman"/>
          <w:b/>
          <w:bCs/>
          <w:i/>
          <w:iCs/>
          <w:szCs w:val="26"/>
        </w:rPr>
      </w:pPr>
      <w:r w:rsidRPr="006A6928">
        <w:rPr>
          <w:rFonts w:eastAsia="Times New Roman"/>
          <w:b/>
          <w:bCs/>
          <w:i/>
          <w:iCs/>
          <w:szCs w:val="26"/>
        </w:rPr>
        <w:t>Material Contribution</w:t>
      </w:r>
    </w:p>
    <w:p w:rsidR="00A24B6B" w:rsidRPr="006A6928" w:rsidP="00466606">
      <w:pPr>
        <w:ind w:firstLine="720"/>
        <w:rPr>
          <w:rFonts w:eastAsia="Times New Roman"/>
          <w:b/>
          <w:bCs/>
          <w:i/>
          <w:iCs/>
          <w:szCs w:val="26"/>
        </w:rPr>
      </w:pPr>
      <w:bookmarkStart w:id="28" w:name="_Hlk160553701"/>
      <w:r w:rsidRPr="006A6928">
        <w:rPr>
          <w:szCs w:val="26"/>
        </w:rPr>
        <w:t>Despite these allegations, we cannot conclude that</w:t>
      </w:r>
      <w:r w:rsidRPr="006A6928" w:rsidR="001E706E">
        <w:rPr>
          <w:szCs w:val="26"/>
        </w:rPr>
        <w:t xml:space="preserve"> </w:t>
      </w:r>
      <w:r w:rsidRPr="006A6928" w:rsidR="00B42F27">
        <w:rPr>
          <w:szCs w:val="26"/>
        </w:rPr>
        <w:t xml:space="preserve">defendants are </w:t>
      </w:r>
      <w:r w:rsidRPr="006A6928" w:rsidR="00B66157">
        <w:rPr>
          <w:szCs w:val="26"/>
        </w:rPr>
        <w:t>“</w:t>
      </w:r>
      <w:r w:rsidRPr="006A6928" w:rsidR="00B42F27">
        <w:rPr>
          <w:szCs w:val="26"/>
        </w:rPr>
        <w:t>information content providers</w:t>
      </w:r>
      <w:r w:rsidRPr="006A6928" w:rsidR="00B66157">
        <w:rPr>
          <w:szCs w:val="26"/>
        </w:rPr>
        <w:t>”</w:t>
      </w:r>
      <w:r w:rsidRPr="006A6928" w:rsidR="00B42F27">
        <w:rPr>
          <w:szCs w:val="26"/>
        </w:rPr>
        <w:t xml:space="preserve"> </w:t>
      </w:r>
      <w:r w:rsidRPr="006A6928" w:rsidR="0026378C">
        <w:rPr>
          <w:szCs w:val="26"/>
        </w:rPr>
        <w:t xml:space="preserve">within the meaning of section 230 </w:t>
      </w:r>
      <w:r w:rsidRPr="006A6928" w:rsidR="00E06D75">
        <w:rPr>
          <w:szCs w:val="26"/>
        </w:rPr>
        <w:t xml:space="preserve">because the </w:t>
      </w:r>
      <w:r w:rsidRPr="006A6928" w:rsidR="00AC1800">
        <w:rPr>
          <w:szCs w:val="26"/>
        </w:rPr>
        <w:t xml:space="preserve">SAC, as currently pleaded, does not adequately allege that </w:t>
      </w:r>
      <w:r w:rsidRPr="006A6928" w:rsidR="008D38C9">
        <w:rPr>
          <w:szCs w:val="26"/>
        </w:rPr>
        <w:t>the</w:t>
      </w:r>
      <w:r w:rsidRPr="006A6928" w:rsidR="00AC1800">
        <w:rPr>
          <w:szCs w:val="26"/>
        </w:rPr>
        <w:t xml:space="preserve"> information</w:t>
      </w:r>
      <w:r w:rsidRPr="006A6928" w:rsidR="008D38C9">
        <w:rPr>
          <w:szCs w:val="26"/>
        </w:rPr>
        <w:t xml:space="preserve"> for which defendants are responsible</w:t>
      </w:r>
      <w:r w:rsidR="00466606">
        <w:rPr>
          <w:szCs w:val="26"/>
        </w:rPr>
        <w:t xml:space="preserve"> gives rise to their asserted liability or</w:t>
      </w:r>
      <w:r w:rsidRPr="006A6928" w:rsidR="00AC1800">
        <w:rPr>
          <w:szCs w:val="26"/>
        </w:rPr>
        <w:t xml:space="preserve"> materially contributed to the illegal</w:t>
      </w:r>
      <w:r w:rsidRPr="006A6928" w:rsidR="00FD33C7">
        <w:rPr>
          <w:szCs w:val="26"/>
        </w:rPr>
        <w:t>ity of the</w:t>
      </w:r>
      <w:r w:rsidRPr="006A6928" w:rsidR="00AC1800">
        <w:rPr>
          <w:szCs w:val="26"/>
        </w:rPr>
        <w:t xml:space="preserve"> </w:t>
      </w:r>
      <w:r w:rsidRPr="006A6928" w:rsidR="003F01ED">
        <w:rPr>
          <w:szCs w:val="26"/>
        </w:rPr>
        <w:t>conduct at issue</w:t>
      </w:r>
      <w:r w:rsidRPr="006A6928" w:rsidR="00AC1800">
        <w:rPr>
          <w:szCs w:val="26"/>
        </w:rPr>
        <w:t xml:space="preserve">.  </w:t>
      </w:r>
      <w:bookmarkEnd w:id="28"/>
    </w:p>
    <w:p w:rsidR="00194C78" w:rsidRPr="006A6928" w:rsidP="00FA4F47">
      <w:pPr>
        <w:ind w:firstLine="720"/>
        <w:rPr>
          <w:szCs w:val="26"/>
        </w:rPr>
      </w:pPr>
      <w:r w:rsidRPr="006A6928">
        <w:rPr>
          <w:szCs w:val="26"/>
        </w:rPr>
        <w:t>Section 23</w:t>
      </w:r>
      <w:r w:rsidRPr="006A6928" w:rsidR="00984366">
        <w:rPr>
          <w:szCs w:val="26"/>
        </w:rPr>
        <w:t>0 defines “information content provider” as a person responsible</w:t>
      </w:r>
      <w:r w:rsidRPr="006A6928" w:rsidR="00845956">
        <w:rPr>
          <w:szCs w:val="26"/>
        </w:rPr>
        <w:t>, in whole or in part,</w:t>
      </w:r>
      <w:r w:rsidRPr="006A6928" w:rsidR="00984366">
        <w:rPr>
          <w:szCs w:val="26"/>
        </w:rPr>
        <w:t xml:space="preserve"> for “the creation or development</w:t>
      </w:r>
      <w:r w:rsidRPr="006A6928" w:rsidR="00274D59">
        <w:rPr>
          <w:szCs w:val="26"/>
        </w:rPr>
        <w:t>” of information</w:t>
      </w:r>
      <w:r w:rsidR="006A5FE4">
        <w:rPr>
          <w:szCs w:val="26"/>
        </w:rPr>
        <w:t xml:space="preserve">. </w:t>
      </w:r>
      <w:r w:rsidRPr="006A6928" w:rsidR="00D47D31">
        <w:rPr>
          <w:szCs w:val="26"/>
        </w:rPr>
        <w:t xml:space="preserve"> (§ 230, subd. (f)(3))</w:t>
      </w:r>
      <w:r w:rsidRPr="006A6928" w:rsidR="00845956">
        <w:rPr>
          <w:szCs w:val="26"/>
        </w:rPr>
        <w:t xml:space="preserve">.  </w:t>
      </w:r>
      <w:bookmarkStart w:id="29" w:name="_Hlk160553988"/>
      <w:r w:rsidRPr="006A6928" w:rsidR="00845956">
        <w:rPr>
          <w:szCs w:val="26"/>
        </w:rPr>
        <w:t>C</w:t>
      </w:r>
      <w:r w:rsidRPr="006A6928" w:rsidR="00D47D31">
        <w:rPr>
          <w:szCs w:val="26"/>
        </w:rPr>
        <w:t>ases have long interp</w:t>
      </w:r>
      <w:r w:rsidRPr="006A6928" w:rsidR="007D541A">
        <w:rPr>
          <w:szCs w:val="26"/>
        </w:rPr>
        <w:t xml:space="preserve">reted “creation” and “development” to require </w:t>
      </w:r>
      <w:r w:rsidRPr="006A6928" w:rsidR="00A661CB">
        <w:rPr>
          <w:szCs w:val="26"/>
        </w:rPr>
        <w:t>a</w:t>
      </w:r>
      <w:r w:rsidRPr="006A6928" w:rsidR="00470D2F">
        <w:rPr>
          <w:szCs w:val="26"/>
        </w:rPr>
        <w:t xml:space="preserve"> “material contribut</w:t>
      </w:r>
      <w:r w:rsidRPr="006A6928" w:rsidR="0020518B">
        <w:rPr>
          <w:szCs w:val="26"/>
        </w:rPr>
        <w:t>i</w:t>
      </w:r>
      <w:r w:rsidRPr="006A6928" w:rsidR="00A661CB">
        <w:rPr>
          <w:szCs w:val="26"/>
        </w:rPr>
        <w:t>o</w:t>
      </w:r>
      <w:r w:rsidRPr="006A6928" w:rsidR="0020518B">
        <w:rPr>
          <w:szCs w:val="26"/>
        </w:rPr>
        <w:t>n</w:t>
      </w:r>
      <w:r w:rsidRPr="006A6928" w:rsidR="00470D2F">
        <w:rPr>
          <w:szCs w:val="26"/>
        </w:rPr>
        <w:t>” t</w:t>
      </w:r>
      <w:r w:rsidRPr="006A6928" w:rsidR="00A83539">
        <w:rPr>
          <w:szCs w:val="26"/>
        </w:rPr>
        <w:t>o the alleged unlawfulness of</w:t>
      </w:r>
      <w:r w:rsidRPr="006A6928" w:rsidR="00FC371A">
        <w:rPr>
          <w:szCs w:val="26"/>
        </w:rPr>
        <w:t xml:space="preserve"> </w:t>
      </w:r>
      <w:r w:rsidRPr="006A6928" w:rsidR="00845956">
        <w:rPr>
          <w:szCs w:val="26"/>
        </w:rPr>
        <w:t>the information at issue</w:t>
      </w:r>
      <w:r w:rsidRPr="006A6928" w:rsidR="00CF2F7C">
        <w:rPr>
          <w:szCs w:val="26"/>
        </w:rPr>
        <w:t xml:space="preserve">. </w:t>
      </w:r>
      <w:bookmarkEnd w:id="29"/>
      <w:r w:rsidRPr="006A6928" w:rsidR="00CF2F7C">
        <w:rPr>
          <w:szCs w:val="26"/>
        </w:rPr>
        <w:t xml:space="preserve"> (</w:t>
      </w:r>
      <w:r w:rsidRPr="006A6928" w:rsidR="00CF2F7C">
        <w:rPr>
          <w:i/>
          <w:iCs/>
          <w:szCs w:val="26"/>
        </w:rPr>
        <w:t>Roommates</w:t>
      </w:r>
      <w:r w:rsidRPr="006A6928" w:rsidR="00CF2F7C">
        <w:rPr>
          <w:szCs w:val="26"/>
        </w:rPr>
        <w:t xml:space="preserve">, </w:t>
      </w:r>
      <w:r w:rsidRPr="006A6928" w:rsidR="00CF2F7C">
        <w:rPr>
          <w:i/>
          <w:iCs/>
          <w:szCs w:val="26"/>
        </w:rPr>
        <w:t>supra</w:t>
      </w:r>
      <w:r w:rsidRPr="006A6928" w:rsidR="00CF2F7C">
        <w:rPr>
          <w:szCs w:val="26"/>
        </w:rPr>
        <w:t>, 521 F.3d at p. 1167-1168</w:t>
      </w:r>
      <w:r w:rsidRPr="006A6928" w:rsidR="00CB4CDD">
        <w:rPr>
          <w:szCs w:val="26"/>
        </w:rPr>
        <w:t xml:space="preserve"> </w:t>
      </w:r>
      <w:r w:rsidRPr="006A6928" w:rsidR="00E15710">
        <w:rPr>
          <w:szCs w:val="26"/>
        </w:rPr>
        <w:t>[“We believe that both the immunity for passive conduits and the exception for co-developers</w:t>
      </w:r>
      <w:r w:rsidRPr="006A6928" w:rsidR="00FA4F47">
        <w:rPr>
          <w:szCs w:val="26"/>
        </w:rPr>
        <w:t xml:space="preserve"> must be given their proper scope and to that end we interpret the term ‘development</w:t>
      </w:r>
      <w:r w:rsidR="00A115A1">
        <w:rPr>
          <w:szCs w:val="26"/>
        </w:rPr>
        <w:t>’</w:t>
      </w:r>
      <w:r w:rsidRPr="006A6928" w:rsidR="00FA4F47">
        <w:rPr>
          <w:szCs w:val="26"/>
        </w:rPr>
        <w:t xml:space="preserve"> as </w:t>
      </w:r>
      <w:r w:rsidRPr="006A6928" w:rsidR="008F40C5">
        <w:rPr>
          <w:szCs w:val="26"/>
        </w:rPr>
        <w:t xml:space="preserve">referring not merely to augmenting content generally, but to materially contributing </w:t>
      </w:r>
      <w:r w:rsidRPr="006A6928" w:rsidR="008A2AE1">
        <w:rPr>
          <w:szCs w:val="26"/>
        </w:rPr>
        <w:t>to its alleged unlawfulness.”</w:t>
      </w:r>
      <w:r w:rsidRPr="006A6928" w:rsidR="00CB4CDD">
        <w:rPr>
          <w:szCs w:val="26"/>
        </w:rPr>
        <w:t xml:space="preserve">]; </w:t>
      </w:r>
      <w:r w:rsidRPr="006A6928" w:rsidR="00843DC0">
        <w:rPr>
          <w:szCs w:val="26"/>
        </w:rPr>
        <w:t xml:space="preserve">see also </w:t>
      </w:r>
      <w:r w:rsidRPr="006A6928" w:rsidR="00843DC0">
        <w:rPr>
          <w:i/>
          <w:iCs/>
          <w:szCs w:val="26"/>
        </w:rPr>
        <w:t>Kimzey</w:t>
      </w:r>
      <w:r w:rsidRPr="006A6928" w:rsidR="00843DC0">
        <w:rPr>
          <w:szCs w:val="26"/>
        </w:rPr>
        <w:t xml:space="preserve">, </w:t>
      </w:r>
      <w:r w:rsidRPr="006A6928" w:rsidR="00843DC0">
        <w:rPr>
          <w:i/>
          <w:iCs/>
          <w:szCs w:val="26"/>
        </w:rPr>
        <w:t>supra</w:t>
      </w:r>
      <w:r w:rsidRPr="006A6928" w:rsidR="00843DC0">
        <w:rPr>
          <w:szCs w:val="26"/>
        </w:rPr>
        <w:t xml:space="preserve">, 836 F.3d at p. 1269 [applying the material contribution requirement to </w:t>
      </w:r>
      <w:r w:rsidRPr="006A6928" w:rsidR="00FC7211">
        <w:rPr>
          <w:szCs w:val="26"/>
        </w:rPr>
        <w:t>“creation”].)  “</w:t>
      </w:r>
      <w:r w:rsidRPr="006A6928" w:rsidR="00FC371A">
        <w:rPr>
          <w:szCs w:val="26"/>
        </w:rPr>
        <w:t xml:space="preserve">In other words, </w:t>
      </w:r>
      <w:r w:rsidRPr="006A6928" w:rsidR="00FC7211">
        <w:rPr>
          <w:szCs w:val="26"/>
        </w:rPr>
        <w:t xml:space="preserve">a website </w:t>
      </w:r>
      <w:r w:rsidRPr="006A6928" w:rsidR="005061F3">
        <w:rPr>
          <w:szCs w:val="26"/>
        </w:rPr>
        <w:t>helps to develop unlawful content, and thus falls within the exception to section 230, if it contributes materially to the alleged illegality of the conduct.”</w:t>
      </w:r>
      <w:r w:rsidRPr="006A6928" w:rsidR="005D097C">
        <w:rPr>
          <w:szCs w:val="26"/>
        </w:rPr>
        <w:t xml:space="preserve">  (</w:t>
      </w:r>
      <w:r w:rsidRPr="006A6928" w:rsidR="005D097C">
        <w:rPr>
          <w:i/>
          <w:iCs/>
          <w:szCs w:val="26"/>
        </w:rPr>
        <w:t>Roommates</w:t>
      </w:r>
      <w:r w:rsidRPr="006A6928" w:rsidR="005D097C">
        <w:rPr>
          <w:szCs w:val="26"/>
        </w:rPr>
        <w:t xml:space="preserve">, </w:t>
      </w:r>
      <w:r w:rsidRPr="006A6928" w:rsidR="005D097C">
        <w:rPr>
          <w:i/>
          <w:iCs/>
          <w:szCs w:val="26"/>
        </w:rPr>
        <w:t>supra</w:t>
      </w:r>
      <w:r w:rsidRPr="006A6928" w:rsidR="005D097C">
        <w:rPr>
          <w:szCs w:val="26"/>
        </w:rPr>
        <w:t>, 521 F.3d at p.</w:t>
      </w:r>
      <w:r w:rsidRPr="006A6928" w:rsidR="00FC371A">
        <w:rPr>
          <w:szCs w:val="26"/>
        </w:rPr>
        <w:t> </w:t>
      </w:r>
      <w:r w:rsidRPr="006A6928" w:rsidR="005D097C">
        <w:rPr>
          <w:szCs w:val="26"/>
        </w:rPr>
        <w:t xml:space="preserve">1168.)  </w:t>
      </w:r>
    </w:p>
    <w:p w:rsidR="00972577" w:rsidRPr="006A6928" w:rsidP="004A302F">
      <w:pPr>
        <w:ind w:firstLine="720"/>
        <w:rPr>
          <w:szCs w:val="26"/>
        </w:rPr>
      </w:pPr>
      <w:r w:rsidRPr="006A6928">
        <w:rPr>
          <w:szCs w:val="26"/>
        </w:rPr>
        <w:t>The SAC asse</w:t>
      </w:r>
      <w:r w:rsidRPr="006A6928" w:rsidR="0042119E">
        <w:rPr>
          <w:szCs w:val="26"/>
        </w:rPr>
        <w:t>r</w:t>
      </w:r>
      <w:r w:rsidRPr="006A6928">
        <w:rPr>
          <w:szCs w:val="26"/>
        </w:rPr>
        <w:t>ts</w:t>
      </w:r>
      <w:r w:rsidRPr="006A6928" w:rsidR="00845956">
        <w:rPr>
          <w:szCs w:val="26"/>
        </w:rPr>
        <w:t xml:space="preserve"> </w:t>
      </w:r>
      <w:r w:rsidRPr="006A6928">
        <w:rPr>
          <w:szCs w:val="26"/>
        </w:rPr>
        <w:t xml:space="preserve">that the verification badges </w:t>
      </w:r>
      <w:r w:rsidR="00710BF0">
        <w:rPr>
          <w:szCs w:val="26"/>
        </w:rPr>
        <w:t xml:space="preserve">are </w:t>
      </w:r>
      <w:r w:rsidRPr="006A6928" w:rsidR="0042119E">
        <w:rPr>
          <w:szCs w:val="26"/>
        </w:rPr>
        <w:t>“materially contribut</w:t>
      </w:r>
      <w:r w:rsidR="00710BF0">
        <w:rPr>
          <w:szCs w:val="26"/>
        </w:rPr>
        <w:t>ing</w:t>
      </w:r>
      <w:r w:rsidRPr="006A6928" w:rsidR="0042119E">
        <w:rPr>
          <w:szCs w:val="26"/>
        </w:rPr>
        <w:t xml:space="preserve"> to the criminally fraudulent enterpr</w:t>
      </w:r>
      <w:r w:rsidRPr="006A6928" w:rsidR="00373B9C">
        <w:rPr>
          <w:szCs w:val="26"/>
        </w:rPr>
        <w:t xml:space="preserve">ise that is the BITCOIN GIVEAWAY scam.” </w:t>
      </w:r>
      <w:r w:rsidRPr="006A6928" w:rsidR="003E3461">
        <w:rPr>
          <w:szCs w:val="26"/>
        </w:rPr>
        <w:t xml:space="preserve"> </w:t>
      </w:r>
      <w:r w:rsidRPr="006A6928" w:rsidR="00845956">
        <w:rPr>
          <w:szCs w:val="26"/>
        </w:rPr>
        <w:t>Yet t</w:t>
      </w:r>
      <w:r w:rsidRPr="006A6928" w:rsidR="00F71E0F">
        <w:rPr>
          <w:szCs w:val="26"/>
        </w:rPr>
        <w:t xml:space="preserve">he SAC fails to allege </w:t>
      </w:r>
      <w:r w:rsidRPr="006A6928" w:rsidR="00845956">
        <w:rPr>
          <w:szCs w:val="26"/>
        </w:rPr>
        <w:t xml:space="preserve">specific </w:t>
      </w:r>
      <w:r w:rsidRPr="006A6928" w:rsidR="00DE0577">
        <w:rPr>
          <w:szCs w:val="26"/>
        </w:rPr>
        <w:t xml:space="preserve">facts showing </w:t>
      </w:r>
      <w:r w:rsidRPr="006A6928" w:rsidR="00845956">
        <w:rPr>
          <w:i/>
          <w:iCs/>
          <w:szCs w:val="26"/>
        </w:rPr>
        <w:t>how</w:t>
      </w:r>
      <w:r w:rsidRPr="006A6928" w:rsidR="00DE0577">
        <w:rPr>
          <w:szCs w:val="26"/>
        </w:rPr>
        <w:t xml:space="preserve"> t</w:t>
      </w:r>
      <w:r w:rsidRPr="006A6928" w:rsidR="00F71E0F">
        <w:rPr>
          <w:szCs w:val="26"/>
        </w:rPr>
        <w:t xml:space="preserve">he </w:t>
      </w:r>
      <w:r w:rsidRPr="006A6928" w:rsidR="004A4BB9">
        <w:rPr>
          <w:szCs w:val="26"/>
        </w:rPr>
        <w:t>badges materially contributed to the illegal</w:t>
      </w:r>
      <w:r w:rsidRPr="006A6928" w:rsidR="004A302F">
        <w:rPr>
          <w:szCs w:val="26"/>
        </w:rPr>
        <w:t xml:space="preserve"> conduct by plaintiffs. </w:t>
      </w:r>
      <w:r w:rsidRPr="006A6928" w:rsidR="004A302F">
        <w:rPr>
          <w:rFonts w:eastAsia="Times New Roman"/>
          <w:szCs w:val="26"/>
        </w:rPr>
        <w:t xml:space="preserve"> </w:t>
      </w:r>
      <w:r w:rsidRPr="006A6928" w:rsidR="001D1B41">
        <w:rPr>
          <w:rFonts w:eastAsia="Times New Roman"/>
          <w:szCs w:val="26"/>
        </w:rPr>
        <w:t>For instance, the first cause of action for misappropriat</w:t>
      </w:r>
      <w:r w:rsidRPr="006A6928" w:rsidR="00215E3E">
        <w:rPr>
          <w:rFonts w:eastAsia="Times New Roman"/>
          <w:szCs w:val="26"/>
        </w:rPr>
        <w:t>ion</w:t>
      </w:r>
      <w:r w:rsidRPr="006A6928" w:rsidR="001D1B41">
        <w:rPr>
          <w:rFonts w:eastAsia="Times New Roman"/>
          <w:szCs w:val="26"/>
        </w:rPr>
        <w:t xml:space="preserve"> of likeness alleges in part that “</w:t>
      </w:r>
      <w:r w:rsidRPr="006A6928" w:rsidR="001D1B41">
        <w:rPr>
          <w:szCs w:val="26"/>
        </w:rPr>
        <w:t>Defendants’ false or misleading statements include but are not limited to statements that</w:t>
      </w:r>
      <w:r w:rsidRPr="006A6928" w:rsidR="006F1E71">
        <w:rPr>
          <w:szCs w:val="26"/>
        </w:rPr>
        <w:t xml:space="preserve"> </w:t>
      </w:r>
      <w:r w:rsidRPr="006A6928" w:rsidR="001D1B41">
        <w:rPr>
          <w:szCs w:val="26"/>
        </w:rPr>
        <w:t xml:space="preserve">… the scam videos were being aired by ‘verified’ or otherwise legitimate accounts or channels.”  </w:t>
      </w:r>
      <w:r w:rsidRPr="006A6928" w:rsidR="00371AE8">
        <w:rPr>
          <w:szCs w:val="26"/>
        </w:rPr>
        <w:t xml:space="preserve">However, the gravamen of the misappropriation claim is that </w:t>
      </w:r>
      <w:r w:rsidRPr="006A6928" w:rsidR="000B7545">
        <w:rPr>
          <w:szCs w:val="26"/>
        </w:rPr>
        <w:t xml:space="preserve">the scammers used plaintiff Wozniak’s name, likeness, and identity without </w:t>
      </w:r>
      <w:r w:rsidRPr="006A6928" w:rsidR="007A6A2C">
        <w:rPr>
          <w:szCs w:val="26"/>
        </w:rPr>
        <w:t>his con</w:t>
      </w:r>
      <w:r w:rsidR="00B631EE">
        <w:rPr>
          <w:szCs w:val="26"/>
        </w:rPr>
        <w:t>s</w:t>
      </w:r>
      <w:r w:rsidRPr="006A6928" w:rsidR="007A6A2C">
        <w:rPr>
          <w:szCs w:val="26"/>
        </w:rPr>
        <w:t xml:space="preserve">ent. </w:t>
      </w:r>
      <w:r w:rsidRPr="006A6928" w:rsidR="0065172F">
        <w:rPr>
          <w:szCs w:val="26"/>
        </w:rPr>
        <w:t xml:space="preserve"> </w:t>
      </w:r>
      <w:r w:rsidRPr="006A6928" w:rsidR="0039528D">
        <w:rPr>
          <w:szCs w:val="26"/>
        </w:rPr>
        <w:t xml:space="preserve">The </w:t>
      </w:r>
      <w:r w:rsidR="00A115A1">
        <w:rPr>
          <w:szCs w:val="26"/>
        </w:rPr>
        <w:t>SAC</w:t>
      </w:r>
      <w:r w:rsidRPr="006A6928" w:rsidR="00A115A1">
        <w:rPr>
          <w:szCs w:val="26"/>
        </w:rPr>
        <w:t xml:space="preserve"> </w:t>
      </w:r>
      <w:r w:rsidRPr="006A6928" w:rsidR="0039528D">
        <w:rPr>
          <w:szCs w:val="26"/>
        </w:rPr>
        <w:t xml:space="preserve">does not </w:t>
      </w:r>
      <w:r w:rsidRPr="006A6928" w:rsidR="00F658AD">
        <w:rPr>
          <w:szCs w:val="26"/>
        </w:rPr>
        <w:t xml:space="preserve">explain how statements concerning verification of the accounts or channels </w:t>
      </w:r>
      <w:r w:rsidRPr="006A6928" w:rsidR="005E53FD">
        <w:rPr>
          <w:szCs w:val="26"/>
        </w:rPr>
        <w:t xml:space="preserve">materially contribute to the </w:t>
      </w:r>
      <w:r w:rsidRPr="006A6928" w:rsidR="00077658">
        <w:rPr>
          <w:szCs w:val="26"/>
        </w:rPr>
        <w:t xml:space="preserve">illegality of using that likeness without his </w:t>
      </w:r>
      <w:r w:rsidRPr="006A6928" w:rsidR="0026378C">
        <w:rPr>
          <w:szCs w:val="26"/>
        </w:rPr>
        <w:t>consent</w:t>
      </w:r>
      <w:r w:rsidRPr="006A6928" w:rsidR="00077658">
        <w:rPr>
          <w:szCs w:val="26"/>
        </w:rPr>
        <w:t>.</w:t>
      </w:r>
      <w:r w:rsidRPr="006A6928" w:rsidR="003F55BF">
        <w:rPr>
          <w:szCs w:val="26"/>
        </w:rPr>
        <w:t xml:space="preserve">  As a consequence, </w:t>
      </w:r>
      <w:r w:rsidRPr="006A6928" w:rsidR="00FA6325">
        <w:rPr>
          <w:szCs w:val="26"/>
        </w:rPr>
        <w:t xml:space="preserve">the verification badges </w:t>
      </w:r>
      <w:r w:rsidRPr="006A6928" w:rsidR="00EF1DB5">
        <w:rPr>
          <w:szCs w:val="26"/>
        </w:rPr>
        <w:t>provide no basis for treating defendants as the creator or developer of the content misappropriating plaintiff’s Wozniak’s likeness.</w:t>
      </w:r>
      <w:r w:rsidRPr="006A6928" w:rsidR="00845956">
        <w:rPr>
          <w:szCs w:val="26"/>
        </w:rPr>
        <w:t xml:space="preserve">  It is well-settled that “ ‘conclusory allegations will not withstand demurrer.’ ”  (</w:t>
      </w:r>
      <w:r w:rsidRPr="006A6928" w:rsidR="00845956">
        <w:rPr>
          <w:i/>
          <w:iCs/>
          <w:szCs w:val="26"/>
        </w:rPr>
        <w:t>Fox v. Ethicon Endo-Surgery, Inc</w:t>
      </w:r>
      <w:r w:rsidRPr="006A6928" w:rsidR="00845956">
        <w:rPr>
          <w:szCs w:val="26"/>
        </w:rPr>
        <w:t xml:space="preserve">. (2005) 35 Cal.4th 797, 808.)  </w:t>
      </w:r>
    </w:p>
    <w:p w:rsidR="00070541" w:rsidRPr="006A6928" w:rsidP="00070541">
      <w:pPr>
        <w:ind w:firstLine="720"/>
        <w:rPr>
          <w:szCs w:val="26"/>
        </w:rPr>
      </w:pPr>
      <w:r w:rsidRPr="006A6928">
        <w:rPr>
          <w:szCs w:val="26"/>
        </w:rPr>
        <w:t xml:space="preserve">Similarly, the second cause of action for fraud alleges that “Defendants falsely represented to Plaintiffs and their other users who viewed BITCOIN GIVEAWAY scam videos on YOUTUBE’s website that… they were being broadcast by </w:t>
      </w:r>
      <w:r w:rsidRPr="006A6928" w:rsidR="00215E3E">
        <w:rPr>
          <w:szCs w:val="26"/>
        </w:rPr>
        <w:t>‘</w:t>
      </w:r>
      <w:r w:rsidRPr="006A6928">
        <w:rPr>
          <w:szCs w:val="26"/>
        </w:rPr>
        <w:t>verified</w:t>
      </w:r>
      <w:r w:rsidRPr="006A6928" w:rsidR="00215E3E">
        <w:rPr>
          <w:szCs w:val="26"/>
        </w:rPr>
        <w:t>’</w:t>
      </w:r>
      <w:r w:rsidRPr="006A6928">
        <w:rPr>
          <w:szCs w:val="26"/>
        </w:rPr>
        <w:t xml:space="preserve"> or otherwise legitimate channels with large numbers of subscribers….”  Further, it alleges </w:t>
      </w:r>
      <w:r w:rsidRPr="006A6928" w:rsidR="00B111F4">
        <w:rPr>
          <w:szCs w:val="26"/>
        </w:rPr>
        <w:t>scammers hijacked popular YouTube channels</w:t>
      </w:r>
      <w:r w:rsidRPr="006A6928" w:rsidR="00022031">
        <w:rPr>
          <w:szCs w:val="26"/>
        </w:rPr>
        <w:t xml:space="preserve"> and </w:t>
      </w:r>
      <w:r w:rsidRPr="006A6928" w:rsidR="006C2A71">
        <w:rPr>
          <w:szCs w:val="26"/>
        </w:rPr>
        <w:t xml:space="preserve">falsely represented that </w:t>
      </w:r>
      <w:r w:rsidRPr="006A6928">
        <w:rPr>
          <w:szCs w:val="26"/>
        </w:rPr>
        <w:t xml:space="preserve">the </w:t>
      </w:r>
      <w:r w:rsidRPr="006A6928" w:rsidR="006C2A71">
        <w:rPr>
          <w:szCs w:val="26"/>
        </w:rPr>
        <w:t xml:space="preserve">scam videos </w:t>
      </w:r>
      <w:r w:rsidRPr="006A6928" w:rsidR="007E3E1F">
        <w:rPr>
          <w:szCs w:val="26"/>
        </w:rPr>
        <w:t xml:space="preserve">they were broadcasting </w:t>
      </w:r>
      <w:r w:rsidRPr="006A6928" w:rsidR="006C2A71">
        <w:rPr>
          <w:szCs w:val="26"/>
        </w:rPr>
        <w:t xml:space="preserve">were live </w:t>
      </w:r>
      <w:r w:rsidRPr="006A6928" w:rsidR="00EC027A">
        <w:rPr>
          <w:szCs w:val="26"/>
        </w:rPr>
        <w:t>and</w:t>
      </w:r>
      <w:r w:rsidRPr="006A6928" w:rsidR="00427CA8">
        <w:rPr>
          <w:szCs w:val="26"/>
        </w:rPr>
        <w:t xml:space="preserve"> viewers were “liking” the videos</w:t>
      </w:r>
      <w:r w:rsidRPr="006A6928" w:rsidR="00EC027A">
        <w:rPr>
          <w:szCs w:val="26"/>
        </w:rPr>
        <w:t xml:space="preserve">.  </w:t>
      </w:r>
      <w:r w:rsidRPr="006A6928" w:rsidR="00B64AE1">
        <w:rPr>
          <w:szCs w:val="26"/>
        </w:rPr>
        <w:t xml:space="preserve"> </w:t>
      </w:r>
    </w:p>
    <w:p w:rsidR="006D388E" w:rsidRPr="00EA042B" w:rsidP="00070541">
      <w:pPr>
        <w:ind w:firstLine="720"/>
        <w:rPr>
          <w:szCs w:val="26"/>
        </w:rPr>
      </w:pPr>
      <w:r w:rsidRPr="006A6928">
        <w:rPr>
          <w:szCs w:val="26"/>
        </w:rPr>
        <w:t>However,</w:t>
      </w:r>
      <w:r w:rsidRPr="006A6928" w:rsidR="00015AF8">
        <w:rPr>
          <w:szCs w:val="26"/>
        </w:rPr>
        <w:t xml:space="preserve"> </w:t>
      </w:r>
      <w:r w:rsidRPr="006A6928">
        <w:rPr>
          <w:szCs w:val="26"/>
        </w:rPr>
        <w:t>the</w:t>
      </w:r>
      <w:r w:rsidRPr="006A6928" w:rsidR="002D434F">
        <w:rPr>
          <w:szCs w:val="26"/>
        </w:rPr>
        <w:t>se</w:t>
      </w:r>
      <w:r w:rsidRPr="006A6928">
        <w:rPr>
          <w:szCs w:val="26"/>
        </w:rPr>
        <w:t xml:space="preserve"> allegations do not demonstrate that the </w:t>
      </w:r>
      <w:r w:rsidRPr="006A6928" w:rsidR="009E567B">
        <w:rPr>
          <w:szCs w:val="26"/>
        </w:rPr>
        <w:t xml:space="preserve">verification badges played </w:t>
      </w:r>
      <w:r w:rsidRPr="006A6928" w:rsidR="000B536C">
        <w:rPr>
          <w:szCs w:val="26"/>
        </w:rPr>
        <w:t xml:space="preserve">any significant </w:t>
      </w:r>
      <w:r w:rsidRPr="006A6928">
        <w:rPr>
          <w:szCs w:val="26"/>
        </w:rPr>
        <w:t xml:space="preserve">or meaningful </w:t>
      </w:r>
      <w:r w:rsidRPr="006A6928" w:rsidR="009F6518">
        <w:rPr>
          <w:szCs w:val="26"/>
        </w:rPr>
        <w:t xml:space="preserve">role in conveying false impressions concerning the source </w:t>
      </w:r>
      <w:r w:rsidRPr="006A6928">
        <w:rPr>
          <w:szCs w:val="26"/>
        </w:rPr>
        <w:t xml:space="preserve">or authenticity </w:t>
      </w:r>
      <w:r w:rsidRPr="006A6928" w:rsidR="00887ABD">
        <w:rPr>
          <w:szCs w:val="26"/>
        </w:rPr>
        <w:t xml:space="preserve">of the videos.  </w:t>
      </w:r>
      <w:r w:rsidRPr="006A6928" w:rsidR="002311A3">
        <w:rPr>
          <w:szCs w:val="26"/>
        </w:rPr>
        <w:t xml:space="preserve">Indeed, </w:t>
      </w:r>
      <w:r w:rsidRPr="006A6928" w:rsidR="004654D3">
        <w:rPr>
          <w:rFonts w:eastAsia="Times New Roman"/>
          <w:szCs w:val="26"/>
        </w:rPr>
        <w:t>only seven of the 1</w:t>
      </w:r>
      <w:r w:rsidR="00A115A1">
        <w:rPr>
          <w:rFonts w:eastAsia="Times New Roman"/>
          <w:szCs w:val="26"/>
        </w:rPr>
        <w:t>7</w:t>
      </w:r>
      <w:r w:rsidRPr="006A6928" w:rsidR="004654D3">
        <w:rPr>
          <w:rFonts w:eastAsia="Times New Roman"/>
          <w:szCs w:val="26"/>
        </w:rPr>
        <w:t xml:space="preserve"> bitcoin plaintiffs </w:t>
      </w:r>
      <w:r w:rsidRPr="006A6928">
        <w:rPr>
          <w:rFonts w:eastAsia="Times New Roman"/>
          <w:szCs w:val="26"/>
        </w:rPr>
        <w:t xml:space="preserve">even </w:t>
      </w:r>
      <w:r w:rsidRPr="006A6928" w:rsidR="004654D3">
        <w:rPr>
          <w:rFonts w:eastAsia="Times New Roman"/>
          <w:szCs w:val="26"/>
        </w:rPr>
        <w:t>allege that they relied on false verification of channels.</w:t>
      </w:r>
      <w:r>
        <w:rPr>
          <w:rStyle w:val="FootnoteReference"/>
          <w:rFonts w:eastAsia="Times New Roman"/>
          <w:szCs w:val="26"/>
        </w:rPr>
        <w:footnoteReference w:id="10"/>
      </w:r>
      <w:r w:rsidRPr="006A6928" w:rsidR="004654D3">
        <w:rPr>
          <w:rFonts w:eastAsia="Times New Roman"/>
          <w:szCs w:val="26"/>
        </w:rPr>
        <w:t xml:space="preserve">  </w:t>
      </w:r>
      <w:r w:rsidRPr="006A6928" w:rsidR="00BB3CC2">
        <w:rPr>
          <w:rFonts w:eastAsia="Times New Roman"/>
          <w:szCs w:val="26"/>
        </w:rPr>
        <w:t>Moreover, it is unc</w:t>
      </w:r>
      <w:r w:rsidRPr="006A6928" w:rsidR="0059346E">
        <w:rPr>
          <w:rFonts w:eastAsia="Times New Roman"/>
          <w:szCs w:val="26"/>
        </w:rPr>
        <w:t>lear how many times defendants allegedly issued verification b</w:t>
      </w:r>
      <w:r w:rsidRPr="006A6928" w:rsidR="008E09FA">
        <w:rPr>
          <w:rFonts w:eastAsia="Times New Roman"/>
          <w:szCs w:val="26"/>
        </w:rPr>
        <w:t>adges while a channel was broadcasting a scam video</w:t>
      </w:r>
      <w:r w:rsidRPr="006A6928" w:rsidR="0020518B">
        <w:rPr>
          <w:rFonts w:eastAsia="Times New Roman"/>
          <w:szCs w:val="26"/>
        </w:rPr>
        <w:t>.</w:t>
      </w:r>
      <w:r w:rsidRPr="006A6928" w:rsidR="008E09FA">
        <w:rPr>
          <w:rFonts w:eastAsia="Times New Roman"/>
          <w:szCs w:val="26"/>
        </w:rPr>
        <w:t xml:space="preserve">  </w:t>
      </w:r>
      <w:r w:rsidRPr="006A6928" w:rsidR="0020518B">
        <w:rPr>
          <w:rFonts w:eastAsia="Times New Roman"/>
          <w:szCs w:val="26"/>
        </w:rPr>
        <w:t>Although</w:t>
      </w:r>
      <w:r w:rsidRPr="006A6928" w:rsidR="00DA77A2">
        <w:rPr>
          <w:rFonts w:eastAsia="Times New Roman"/>
          <w:szCs w:val="26"/>
        </w:rPr>
        <w:t xml:space="preserve"> </w:t>
      </w:r>
      <w:r w:rsidRPr="006A6928" w:rsidR="008E09FA">
        <w:rPr>
          <w:rFonts w:eastAsia="Times New Roman"/>
          <w:szCs w:val="26"/>
        </w:rPr>
        <w:t xml:space="preserve">the SAC alleges </w:t>
      </w:r>
      <w:r w:rsidRPr="006A6928" w:rsidR="004060ED">
        <w:rPr>
          <w:rFonts w:eastAsia="Times New Roman"/>
          <w:szCs w:val="26"/>
        </w:rPr>
        <w:t>YouTube did so “in at least one instance</w:t>
      </w:r>
      <w:r w:rsidR="00A115A1">
        <w:rPr>
          <w:rFonts w:eastAsia="Times New Roman"/>
          <w:szCs w:val="26"/>
        </w:rPr>
        <w:t>,</w:t>
      </w:r>
      <w:r w:rsidRPr="006A6928" w:rsidR="004060ED">
        <w:rPr>
          <w:rFonts w:eastAsia="Times New Roman"/>
          <w:szCs w:val="26"/>
        </w:rPr>
        <w:t>”</w:t>
      </w:r>
      <w:r w:rsidRPr="006A6928" w:rsidR="00DA77A2">
        <w:rPr>
          <w:szCs w:val="26"/>
        </w:rPr>
        <w:t xml:space="preserve"> </w:t>
      </w:r>
      <w:r w:rsidRPr="006A6928" w:rsidR="004060ED">
        <w:rPr>
          <w:szCs w:val="26"/>
        </w:rPr>
        <w:t xml:space="preserve">plaintiffs argue on appeal that “YouTube has also awarded channels that were actively running scam videos its ‘verification badge,’ ” using the plural to suggest there were multiple instances. </w:t>
      </w:r>
      <w:r w:rsidRPr="006A6928" w:rsidR="0064200D">
        <w:rPr>
          <w:szCs w:val="26"/>
        </w:rPr>
        <w:t xml:space="preserve"> </w:t>
      </w:r>
      <w:r w:rsidRPr="006A6928" w:rsidR="00EE3433">
        <w:rPr>
          <w:szCs w:val="26"/>
        </w:rPr>
        <w:t>T</w:t>
      </w:r>
      <w:r w:rsidRPr="006A6928" w:rsidR="005E3D32">
        <w:rPr>
          <w:szCs w:val="26"/>
        </w:rPr>
        <w:t xml:space="preserve">he SAC </w:t>
      </w:r>
      <w:r w:rsidRPr="006A6928" w:rsidR="002D434F">
        <w:rPr>
          <w:szCs w:val="26"/>
        </w:rPr>
        <w:t xml:space="preserve">also </w:t>
      </w:r>
      <w:r w:rsidRPr="006A6928" w:rsidR="00EE3433">
        <w:rPr>
          <w:szCs w:val="26"/>
        </w:rPr>
        <w:t xml:space="preserve">does not </w:t>
      </w:r>
      <w:r w:rsidRPr="006A6928" w:rsidR="005E3D32">
        <w:rPr>
          <w:szCs w:val="26"/>
        </w:rPr>
        <w:t>specify whether defendants knew the channels had been hijacked, or whether the verifications were issued before or after the hijacking.</w:t>
      </w:r>
      <w:r w:rsidRPr="006A6928" w:rsidR="00876F70">
        <w:rPr>
          <w:szCs w:val="26"/>
        </w:rPr>
        <w:t xml:space="preserve">  </w:t>
      </w:r>
      <w:r w:rsidRPr="006A6928" w:rsidR="00EE3433">
        <w:rPr>
          <w:szCs w:val="26"/>
        </w:rPr>
        <w:t xml:space="preserve">Nor does </w:t>
      </w:r>
      <w:r w:rsidRPr="006A6928" w:rsidR="002D434F">
        <w:rPr>
          <w:szCs w:val="26"/>
        </w:rPr>
        <w:t>it</w:t>
      </w:r>
      <w:r w:rsidRPr="006A6928" w:rsidR="00C4703C">
        <w:rPr>
          <w:rFonts w:eastAsia="Times New Roman"/>
          <w:szCs w:val="26"/>
        </w:rPr>
        <w:t xml:space="preserve"> </w:t>
      </w:r>
      <w:r w:rsidRPr="006A6928" w:rsidR="002D434F">
        <w:rPr>
          <w:rFonts w:eastAsia="Times New Roman"/>
          <w:szCs w:val="26"/>
        </w:rPr>
        <w:t>make clear</w:t>
      </w:r>
      <w:r w:rsidRPr="006A6928" w:rsidR="00C4703C">
        <w:rPr>
          <w:rFonts w:eastAsia="Times New Roman"/>
          <w:szCs w:val="26"/>
        </w:rPr>
        <w:t xml:space="preserve"> which causes of action </w:t>
      </w:r>
      <w:r w:rsidRPr="006A6928" w:rsidR="002D434F">
        <w:rPr>
          <w:rFonts w:eastAsia="Times New Roman"/>
          <w:szCs w:val="26"/>
        </w:rPr>
        <w:t xml:space="preserve">and theories of liability </w:t>
      </w:r>
      <w:r w:rsidRPr="006A6928" w:rsidR="00C4703C">
        <w:rPr>
          <w:rFonts w:eastAsia="Times New Roman"/>
          <w:szCs w:val="26"/>
        </w:rPr>
        <w:t xml:space="preserve">are predicated on </w:t>
      </w:r>
      <w:r w:rsidRPr="006A6928" w:rsidR="002D434F">
        <w:rPr>
          <w:rFonts w:eastAsia="Times New Roman"/>
          <w:szCs w:val="26"/>
        </w:rPr>
        <w:t xml:space="preserve">the </w:t>
      </w:r>
      <w:r w:rsidRPr="006A6928" w:rsidR="00C4703C">
        <w:rPr>
          <w:rFonts w:eastAsia="Times New Roman"/>
          <w:szCs w:val="26"/>
        </w:rPr>
        <w:t xml:space="preserve">allegations regarding the verification badges.  </w:t>
      </w:r>
      <w:r w:rsidR="00EA042B">
        <w:rPr>
          <w:rFonts w:eastAsia="Times New Roman"/>
          <w:szCs w:val="26"/>
        </w:rPr>
        <w:t>(</w:t>
      </w:r>
      <w:r w:rsidR="00EA042B">
        <w:rPr>
          <w:rFonts w:eastAsia="Times New Roman"/>
          <w:i/>
          <w:iCs/>
          <w:szCs w:val="26"/>
        </w:rPr>
        <w:t>Liapes, supra,</w:t>
      </w:r>
      <w:r w:rsidR="00EA042B">
        <w:rPr>
          <w:rFonts w:eastAsia="Times New Roman"/>
          <w:szCs w:val="26"/>
        </w:rPr>
        <w:t xml:space="preserve"> 95 Cal.App.5th at p. 919 [to survive demurrer, plaintiff “</w:t>
      </w:r>
      <w:r w:rsidR="009450D4">
        <w:rPr>
          <w:rFonts w:eastAsia="Times New Roman"/>
          <w:szCs w:val="26"/>
        </w:rPr>
        <w:t xml:space="preserve"> ‘</w:t>
      </w:r>
      <w:r w:rsidR="00EA042B">
        <w:rPr>
          <w:rFonts w:eastAsia="Times New Roman"/>
          <w:szCs w:val="26"/>
        </w:rPr>
        <w:t>must show the complaint alleges facts sufficient to establish every element of each cause of action</w:t>
      </w:r>
      <w:r w:rsidR="009450D4">
        <w:rPr>
          <w:rFonts w:eastAsia="Times New Roman"/>
          <w:szCs w:val="26"/>
        </w:rPr>
        <w:t xml:space="preserve">’ </w:t>
      </w:r>
      <w:r w:rsidR="00EA042B">
        <w:rPr>
          <w:rFonts w:eastAsia="Times New Roman"/>
          <w:szCs w:val="26"/>
        </w:rPr>
        <w:t>”].)</w:t>
      </w:r>
    </w:p>
    <w:p w:rsidR="0043726C" w:rsidRPr="006A6928" w:rsidP="00EA042B">
      <w:pPr>
        <w:ind w:firstLine="720"/>
        <w:rPr>
          <w:rFonts w:eastAsia="Times New Roman"/>
          <w:szCs w:val="26"/>
        </w:rPr>
      </w:pPr>
      <w:r w:rsidRPr="006A6928">
        <w:rPr>
          <w:szCs w:val="26"/>
        </w:rPr>
        <w:t>Accordingly, t</w:t>
      </w:r>
      <w:r w:rsidRPr="006A6928" w:rsidR="00887ABD">
        <w:rPr>
          <w:szCs w:val="26"/>
        </w:rPr>
        <w:t>he SAC fails to provide a basis for</w:t>
      </w:r>
      <w:r w:rsidRPr="006A6928" w:rsidR="00954836">
        <w:rPr>
          <w:szCs w:val="26"/>
        </w:rPr>
        <w:t xml:space="preserve"> concluding that defendants materially contributed to </w:t>
      </w:r>
      <w:r w:rsidR="00EA042B">
        <w:rPr>
          <w:szCs w:val="26"/>
        </w:rPr>
        <w:t>the</w:t>
      </w:r>
      <w:r w:rsidRPr="006A6928" w:rsidR="00EA042B">
        <w:rPr>
          <w:szCs w:val="26"/>
        </w:rPr>
        <w:t xml:space="preserve"> </w:t>
      </w:r>
      <w:r w:rsidRPr="006A6928" w:rsidR="00954836">
        <w:rPr>
          <w:szCs w:val="26"/>
        </w:rPr>
        <w:t>illegal content and</w:t>
      </w:r>
      <w:r w:rsidRPr="006A6928" w:rsidR="00887ABD">
        <w:rPr>
          <w:szCs w:val="26"/>
        </w:rPr>
        <w:t xml:space="preserve"> </w:t>
      </w:r>
      <w:r w:rsidRPr="006A6928" w:rsidR="00180ACA">
        <w:rPr>
          <w:szCs w:val="26"/>
        </w:rPr>
        <w:t xml:space="preserve">should be treated </w:t>
      </w:r>
      <w:r w:rsidRPr="006A6928" w:rsidR="00887ABD">
        <w:rPr>
          <w:szCs w:val="26"/>
        </w:rPr>
        <w:t xml:space="preserve">as the creators or developers </w:t>
      </w:r>
      <w:r w:rsidRPr="006A6928" w:rsidR="00954836">
        <w:rPr>
          <w:szCs w:val="26"/>
        </w:rPr>
        <w:t xml:space="preserve">of that content.  </w:t>
      </w:r>
      <w:r w:rsidRPr="006A6928" w:rsidR="001D1B41">
        <w:rPr>
          <w:rFonts w:eastAsia="Times New Roman"/>
          <w:szCs w:val="26"/>
        </w:rPr>
        <w:t>(</w:t>
      </w:r>
      <w:r w:rsidRPr="006A6928" w:rsidR="001D1B41">
        <w:rPr>
          <w:rFonts w:eastAsia="Times New Roman"/>
          <w:i/>
          <w:iCs/>
          <w:szCs w:val="26"/>
        </w:rPr>
        <w:t>Roommates, supra</w:t>
      </w:r>
      <w:r w:rsidRPr="006A6928" w:rsidR="001D1B41">
        <w:rPr>
          <w:rFonts w:eastAsia="Times New Roman"/>
          <w:szCs w:val="26"/>
        </w:rPr>
        <w:t xml:space="preserve">, 521 F.3d at p. </w:t>
      </w:r>
      <w:r w:rsidR="00E94CE6">
        <w:rPr>
          <w:rFonts w:eastAsia="Times New Roman"/>
          <w:szCs w:val="26"/>
        </w:rPr>
        <w:t>1174</w:t>
      </w:r>
      <w:r w:rsidRPr="006A6928" w:rsidR="001D1B41">
        <w:rPr>
          <w:rFonts w:eastAsia="Times New Roman"/>
          <w:szCs w:val="26"/>
        </w:rPr>
        <w:t xml:space="preserve"> [close cases must be resolved in favor of immunity</w:t>
      </w:r>
      <w:r w:rsidR="00E94CE6">
        <w:rPr>
          <w:rFonts w:eastAsia="Times New Roman"/>
          <w:szCs w:val="26"/>
        </w:rPr>
        <w:t>]</w:t>
      </w:r>
      <w:r w:rsidRPr="006A6928" w:rsidR="001D1B41">
        <w:rPr>
          <w:rFonts w:eastAsia="Times New Roman"/>
          <w:szCs w:val="26"/>
        </w:rPr>
        <w:t>.)</w:t>
      </w:r>
    </w:p>
    <w:p w:rsidR="001D1B41" w:rsidRPr="006A6928" w:rsidP="006A6928">
      <w:pPr>
        <w:pStyle w:val="ListParagraph"/>
        <w:numPr>
          <w:ilvl w:val="0"/>
          <w:numId w:val="43"/>
        </w:numPr>
        <w:rPr>
          <w:rFonts w:eastAsia="Times New Roman"/>
          <w:b/>
          <w:bCs/>
          <w:i/>
          <w:iCs/>
          <w:szCs w:val="26"/>
        </w:rPr>
      </w:pPr>
      <w:r w:rsidRPr="006A6928">
        <w:rPr>
          <w:rFonts w:eastAsia="Times New Roman"/>
          <w:b/>
          <w:bCs/>
          <w:i/>
          <w:iCs/>
          <w:szCs w:val="26"/>
        </w:rPr>
        <w:t>Leave to amend</w:t>
      </w:r>
    </w:p>
    <w:p w:rsidR="00215E3E" w:rsidRPr="006A6928" w:rsidP="00C51632">
      <w:pPr>
        <w:ind w:firstLine="720"/>
        <w:textAlignment w:val="baseline"/>
        <w:rPr>
          <w:rFonts w:eastAsia="Times New Roman"/>
          <w:color w:val="000000"/>
          <w:szCs w:val="26"/>
        </w:rPr>
      </w:pPr>
      <w:r w:rsidRPr="006A6928">
        <w:rPr>
          <w:rFonts w:eastAsia="Times New Roman"/>
          <w:szCs w:val="26"/>
        </w:rPr>
        <w:t>Nevertheless, the SAC’s allegations regarding verification badges are sufficient to justify granting plaintiffs leave to amend, because there is a reasonable possibility that the infirmities we have discussed can be cured by amendment.  (</w:t>
      </w:r>
      <w:r w:rsidRPr="006A6928" w:rsidR="00724CAD">
        <w:rPr>
          <w:rFonts w:eastAsia="Times New Roman"/>
          <w:i/>
          <w:iCs/>
          <w:szCs w:val="26"/>
        </w:rPr>
        <w:t>Blank, supra,</w:t>
      </w:r>
      <w:r w:rsidRPr="006A6928" w:rsidR="00724CAD">
        <w:rPr>
          <w:rFonts w:eastAsia="Times New Roman"/>
          <w:szCs w:val="26"/>
        </w:rPr>
        <w:t xml:space="preserve"> 39 Cal.3d at p. 318.)</w:t>
      </w:r>
      <w:r w:rsidRPr="006A6928">
        <w:rPr>
          <w:rFonts w:eastAsia="Times New Roman"/>
          <w:szCs w:val="26"/>
        </w:rPr>
        <w:t xml:space="preserve">  In </w:t>
      </w:r>
      <w:r w:rsidRPr="006A6928">
        <w:rPr>
          <w:rFonts w:eastAsia="Times New Roman"/>
          <w:i/>
          <w:iCs/>
          <w:szCs w:val="26"/>
        </w:rPr>
        <w:t>Murphy,</w:t>
      </w:r>
      <w:r w:rsidRPr="006A6928">
        <w:rPr>
          <w:rFonts w:eastAsia="Times New Roman"/>
          <w:szCs w:val="26"/>
        </w:rPr>
        <w:t xml:space="preserve"> the court explained in a section 230 context that “</w:t>
      </w:r>
      <w:r w:rsidR="005F0DFD">
        <w:rPr>
          <w:rFonts w:eastAsia="Times New Roman"/>
          <w:szCs w:val="26"/>
        </w:rPr>
        <w:t xml:space="preserve"> ‘</w:t>
      </w:r>
      <w:r w:rsidRPr="006A6928">
        <w:rPr>
          <w:rFonts w:eastAsia="Times New Roman"/>
          <w:szCs w:val="26"/>
        </w:rPr>
        <w:t>[w]</w:t>
      </w:r>
      <w:r w:rsidRPr="006A6928">
        <w:rPr>
          <w:rFonts w:eastAsia="Times New Roman"/>
          <w:color w:val="000000"/>
          <w:szCs w:val="26"/>
        </w:rPr>
        <w:t xml:space="preserve">here the appellant offers no allegations to support the possibility of amendment and no legal authority showing the viability of new causes of action, there is no basis for finding the trial court abused its discretion when it sustained the demurrer without </w:t>
      </w:r>
      <w:r w:rsidRPr="006A6928">
        <w:rPr>
          <w:rFonts w:eastAsia="Times New Roman"/>
          <w:color w:val="000000"/>
          <w:szCs w:val="26"/>
          <w:bdr w:val="none" w:sz="0" w:space="0" w:color="auto" w:frame="1"/>
          <w:shd w:val="clear" w:color="auto" w:fill="FFFFFF"/>
        </w:rPr>
        <w:t>leave</w:t>
      </w:r>
      <w:r w:rsidRPr="006A6928">
        <w:rPr>
          <w:rFonts w:eastAsia="Times New Roman"/>
          <w:color w:val="000000"/>
          <w:szCs w:val="26"/>
        </w:rPr>
        <w:t xml:space="preserve"> </w:t>
      </w:r>
      <w:r w:rsidRPr="006A6928">
        <w:rPr>
          <w:rFonts w:eastAsia="Times New Roman"/>
          <w:color w:val="000000"/>
          <w:szCs w:val="26"/>
          <w:bdr w:val="none" w:sz="0" w:space="0" w:color="auto" w:frame="1"/>
          <w:shd w:val="clear" w:color="auto" w:fill="FFFFFF"/>
        </w:rPr>
        <w:t>to</w:t>
      </w:r>
      <w:r w:rsidRPr="006A6928">
        <w:rPr>
          <w:rFonts w:eastAsia="Times New Roman"/>
          <w:color w:val="000000"/>
          <w:szCs w:val="26"/>
        </w:rPr>
        <w:t xml:space="preserve"> </w:t>
      </w:r>
      <w:r w:rsidRPr="006A6928">
        <w:rPr>
          <w:rFonts w:eastAsia="Times New Roman"/>
          <w:color w:val="000000"/>
          <w:szCs w:val="26"/>
          <w:bdr w:val="none" w:sz="0" w:space="0" w:color="auto" w:frame="1"/>
          <w:shd w:val="clear" w:color="auto" w:fill="FFFFFF"/>
        </w:rPr>
        <w:t>amend</w:t>
      </w:r>
      <w:r w:rsidRPr="006A6928">
        <w:rPr>
          <w:rFonts w:eastAsia="Times New Roman"/>
          <w:color w:val="000000"/>
          <w:szCs w:val="26"/>
        </w:rPr>
        <w:t>.’ ”  (</w:t>
      </w:r>
      <w:r w:rsidRPr="006A6928">
        <w:rPr>
          <w:rFonts w:eastAsia="Times New Roman"/>
          <w:i/>
          <w:iCs/>
          <w:color w:val="000000"/>
          <w:szCs w:val="26"/>
        </w:rPr>
        <w:t>Murphy, supra,</w:t>
      </w:r>
      <w:r w:rsidRPr="006A6928">
        <w:rPr>
          <w:rFonts w:eastAsia="Times New Roman"/>
          <w:color w:val="000000"/>
          <w:szCs w:val="26"/>
        </w:rPr>
        <w:t xml:space="preserve"> 60 Cal.App.5th at p. 42, quoting </w:t>
      </w:r>
      <w:r w:rsidRPr="006A6928">
        <w:rPr>
          <w:rFonts w:eastAsia="Times New Roman"/>
          <w:i/>
          <w:iCs/>
          <w:color w:val="000000"/>
          <w:szCs w:val="26"/>
        </w:rPr>
        <w:t>Total Call International, Inc. v. Peerless Insurance Co.</w:t>
      </w:r>
      <w:r w:rsidRPr="006A6928">
        <w:rPr>
          <w:rFonts w:eastAsia="Times New Roman"/>
          <w:color w:val="000000"/>
          <w:szCs w:val="26"/>
        </w:rPr>
        <w:t xml:space="preserve"> (2010) 181 Cal.App.4th 161, 173.)  Here, though, </w:t>
      </w:r>
      <w:r w:rsidRPr="006A6928" w:rsidR="00556C72">
        <w:rPr>
          <w:rFonts w:eastAsia="Times New Roman"/>
          <w:color w:val="000000"/>
          <w:szCs w:val="26"/>
        </w:rPr>
        <w:t xml:space="preserve">we conclude plaintiffs have adequately alleged that defendants are responsible for the information in the verification badges, and although </w:t>
      </w:r>
      <w:r w:rsidRPr="006A6928" w:rsidR="00F314C0">
        <w:rPr>
          <w:rFonts w:eastAsia="Times New Roman"/>
          <w:color w:val="000000"/>
          <w:szCs w:val="26"/>
        </w:rPr>
        <w:t xml:space="preserve">the </w:t>
      </w:r>
      <w:r w:rsidRPr="006A6928" w:rsidR="009F1A21">
        <w:rPr>
          <w:rFonts w:eastAsia="Times New Roman"/>
          <w:color w:val="000000"/>
          <w:szCs w:val="26"/>
        </w:rPr>
        <w:t xml:space="preserve">SAC fails to </w:t>
      </w:r>
      <w:r w:rsidRPr="006A6928" w:rsidR="00F314C0">
        <w:rPr>
          <w:rFonts w:eastAsia="Times New Roman"/>
          <w:color w:val="000000"/>
          <w:szCs w:val="26"/>
        </w:rPr>
        <w:t>allege</w:t>
      </w:r>
      <w:r w:rsidRPr="006A6928" w:rsidR="009F1A21">
        <w:rPr>
          <w:rFonts w:eastAsia="Times New Roman"/>
          <w:color w:val="000000"/>
          <w:szCs w:val="26"/>
        </w:rPr>
        <w:t xml:space="preserve"> that this information materially contributed to the illegal conduct o</w:t>
      </w:r>
      <w:r w:rsidRPr="006A6928" w:rsidR="00AC7D42">
        <w:rPr>
          <w:rFonts w:eastAsia="Times New Roman"/>
          <w:color w:val="000000"/>
          <w:szCs w:val="26"/>
        </w:rPr>
        <w:t>r</w:t>
      </w:r>
      <w:r w:rsidRPr="006A6928" w:rsidR="009F1A21">
        <w:rPr>
          <w:rFonts w:eastAsia="Times New Roman"/>
          <w:color w:val="000000"/>
          <w:szCs w:val="26"/>
        </w:rPr>
        <w:t xml:space="preserve"> content</w:t>
      </w:r>
      <w:r w:rsidRPr="006A6928" w:rsidR="00AC7D42">
        <w:rPr>
          <w:rFonts w:eastAsia="Times New Roman"/>
          <w:color w:val="000000"/>
          <w:szCs w:val="26"/>
        </w:rPr>
        <w:t xml:space="preserve"> from third parties, </w:t>
      </w:r>
      <w:r w:rsidRPr="006A6928" w:rsidR="00C1272B">
        <w:rPr>
          <w:rFonts w:eastAsia="Times New Roman"/>
          <w:color w:val="000000"/>
          <w:szCs w:val="26"/>
        </w:rPr>
        <w:t>we cannot conclude there is no possibility of plaintiffs amending the complaint to do</w:t>
      </w:r>
      <w:r w:rsidR="00820A73">
        <w:rPr>
          <w:rFonts w:eastAsia="Times New Roman"/>
          <w:color w:val="000000"/>
          <w:szCs w:val="26"/>
        </w:rPr>
        <w:t xml:space="preserve"> so</w:t>
      </w:r>
      <w:r w:rsidRPr="006A6928">
        <w:rPr>
          <w:rFonts w:eastAsia="Times New Roman"/>
          <w:color w:val="000000"/>
          <w:szCs w:val="26"/>
        </w:rPr>
        <w:t>.</w:t>
      </w:r>
    </w:p>
    <w:p w:rsidR="00BA06E3" w:rsidRPr="006A6928" w:rsidP="00215E3E">
      <w:pPr>
        <w:ind w:firstLine="720"/>
        <w:textAlignment w:val="baseline"/>
        <w:rPr>
          <w:rFonts w:ascii="Source Sans Pro" w:eastAsia="Times New Roman" w:hAnsi="Source Sans Pro"/>
          <w:color w:val="3D3D3D"/>
          <w:sz w:val="19"/>
          <w:szCs w:val="19"/>
          <w:bdr w:val="none" w:sz="0" w:space="0" w:color="auto" w:frame="1"/>
        </w:rPr>
      </w:pPr>
      <w:r w:rsidRPr="006A6928">
        <w:rPr>
          <w:rFonts w:eastAsia="Times New Roman"/>
          <w:color w:val="000000"/>
          <w:szCs w:val="26"/>
        </w:rPr>
        <w:t xml:space="preserve">We caution that we express no opinion regarding the viability of </w:t>
      </w:r>
      <w:r w:rsidRPr="006A6928" w:rsidR="00DB1F87">
        <w:rPr>
          <w:rFonts w:eastAsia="Times New Roman"/>
          <w:color w:val="000000"/>
          <w:szCs w:val="26"/>
        </w:rPr>
        <w:t xml:space="preserve">any claims </w:t>
      </w:r>
      <w:r w:rsidRPr="006A6928" w:rsidR="00AD7D32">
        <w:rPr>
          <w:rFonts w:eastAsia="Times New Roman"/>
          <w:color w:val="000000"/>
          <w:szCs w:val="26"/>
        </w:rPr>
        <w:t xml:space="preserve">in </w:t>
      </w:r>
      <w:r w:rsidRPr="006A6928">
        <w:rPr>
          <w:rFonts w:eastAsia="Times New Roman"/>
          <w:color w:val="000000"/>
          <w:szCs w:val="26"/>
        </w:rPr>
        <w:t>a subsequent amended complaint</w:t>
      </w:r>
      <w:r w:rsidRPr="006A6928" w:rsidR="00DF7F19">
        <w:rPr>
          <w:rFonts w:eastAsia="Times New Roman"/>
          <w:color w:val="000000"/>
          <w:szCs w:val="26"/>
        </w:rPr>
        <w:t xml:space="preserve">.  We </w:t>
      </w:r>
      <w:r w:rsidRPr="006A6928" w:rsidR="0026378C">
        <w:rPr>
          <w:rFonts w:eastAsia="Times New Roman"/>
          <w:color w:val="000000"/>
          <w:szCs w:val="26"/>
        </w:rPr>
        <w:t>limit our conclusion as to the reasonable possibility of amendment solely to the allegations regarding verification badges.</w:t>
      </w:r>
      <w:r w:rsidRPr="006A6928">
        <w:rPr>
          <w:rFonts w:eastAsia="Times New Roman"/>
          <w:color w:val="000000"/>
          <w:szCs w:val="26"/>
        </w:rPr>
        <w:t xml:space="preserve">  </w:t>
      </w:r>
    </w:p>
    <w:p w:rsidR="00B5528F" w:rsidRPr="006A6928" w:rsidP="00B5528F">
      <w:pPr>
        <w:pStyle w:val="ListParagraph"/>
        <w:numPr>
          <w:ilvl w:val="0"/>
          <w:numId w:val="11"/>
        </w:numPr>
        <w:textAlignment w:val="baseline"/>
        <w:rPr>
          <w:b/>
          <w:bCs/>
          <w:i/>
          <w:iCs/>
          <w:color w:val="000000"/>
          <w:szCs w:val="26"/>
        </w:rPr>
      </w:pPr>
      <w:r w:rsidRPr="006A6928">
        <w:rPr>
          <w:b/>
          <w:bCs/>
          <w:i/>
          <w:iCs/>
          <w:color w:val="000000"/>
          <w:szCs w:val="26"/>
        </w:rPr>
        <w:t>Failure to state a claim for relief</w:t>
      </w:r>
    </w:p>
    <w:p w:rsidR="00CB0720" w:rsidRPr="006A6928" w:rsidP="00CB0720">
      <w:pPr>
        <w:ind w:firstLine="720"/>
        <w:textAlignment w:val="baseline"/>
        <w:rPr>
          <w:color w:val="000000"/>
          <w:szCs w:val="26"/>
        </w:rPr>
      </w:pPr>
      <w:r w:rsidRPr="006A6928">
        <w:rPr>
          <w:color w:val="000000"/>
          <w:szCs w:val="26"/>
        </w:rPr>
        <w:t xml:space="preserve">Because the trial court ruled that section 230 provided immunity for all of plaintiffs’ causes of action, it did not reach defendants’ separate argument that the causes failed to state claims for relief.  Defendants argue on appeal that, even if section 230 does not apply, this court should affirm on </w:t>
      </w:r>
      <w:r w:rsidRPr="006A6928" w:rsidR="003729AF">
        <w:rPr>
          <w:color w:val="000000"/>
          <w:szCs w:val="26"/>
        </w:rPr>
        <w:t>this alternative</w:t>
      </w:r>
      <w:r w:rsidRPr="006A6928">
        <w:rPr>
          <w:color w:val="000000"/>
          <w:szCs w:val="26"/>
        </w:rPr>
        <w:t xml:space="preserve"> ground.  Plaintiffs argue this court should instead remand to the trial court to decide the issue in the first instance. </w:t>
      </w:r>
    </w:p>
    <w:p w:rsidR="00BD40A5" w:rsidRPr="006A6928" w:rsidP="00FD601D">
      <w:pPr>
        <w:ind w:firstLine="720"/>
        <w:textAlignment w:val="baseline"/>
        <w:rPr>
          <w:color w:val="000000"/>
          <w:szCs w:val="26"/>
        </w:rPr>
      </w:pPr>
      <w:bookmarkStart w:id="30" w:name="_Hlk154064435"/>
      <w:r w:rsidRPr="006A6928">
        <w:rPr>
          <w:color w:val="000000"/>
          <w:szCs w:val="26"/>
        </w:rPr>
        <w:t xml:space="preserve">  </w:t>
      </w:r>
      <w:bookmarkEnd w:id="30"/>
      <w:r w:rsidRPr="006A6928" w:rsidR="00A25313">
        <w:rPr>
          <w:color w:val="000000"/>
          <w:szCs w:val="26"/>
        </w:rPr>
        <w:t xml:space="preserve">Because we reverse and remand for plaintiffs to be given leave to amend as to their allegations regarding the verification badges, we need not reach this issue. </w:t>
      </w:r>
    </w:p>
    <w:p w:rsidR="00BD40A5" w:rsidRPr="006A6928" w:rsidP="00BD40A5">
      <w:pPr>
        <w:pStyle w:val="ListParagraph"/>
        <w:numPr>
          <w:ilvl w:val="0"/>
          <w:numId w:val="11"/>
        </w:numPr>
        <w:textAlignment w:val="baseline"/>
        <w:rPr>
          <w:b/>
          <w:bCs/>
          <w:i/>
          <w:iCs/>
          <w:color w:val="000000"/>
          <w:szCs w:val="26"/>
        </w:rPr>
      </w:pPr>
      <w:r w:rsidRPr="006A6928">
        <w:rPr>
          <w:b/>
          <w:bCs/>
          <w:i/>
          <w:iCs/>
          <w:color w:val="000000"/>
          <w:szCs w:val="26"/>
        </w:rPr>
        <w:t>Discovery stay</w:t>
      </w:r>
    </w:p>
    <w:p w:rsidR="00655CED" w:rsidRPr="006A6928" w:rsidP="00FD601D">
      <w:pPr>
        <w:ind w:firstLine="720"/>
        <w:textAlignment w:val="baseline"/>
        <w:rPr>
          <w:rFonts w:eastAsia="Times New Roman"/>
          <w:szCs w:val="26"/>
        </w:rPr>
      </w:pPr>
      <w:r w:rsidRPr="006A6928">
        <w:rPr>
          <w:color w:val="000000"/>
          <w:szCs w:val="26"/>
        </w:rPr>
        <w:t xml:space="preserve">The trial court based its denial of plaintiffs’ motion to lift the discovery stay on </w:t>
      </w:r>
      <w:r w:rsidRPr="006A6928">
        <w:rPr>
          <w:rFonts w:eastAsia="Times New Roman"/>
          <w:szCs w:val="26"/>
        </w:rPr>
        <w:t xml:space="preserve">the “significant public interest” of protecting websites from ultimate liability and from having to fight costly and protracted legal battles, and the importance of resolving immunity questions at the earliest possible stage in litigation to avoid unnecessary discovery and other burdens.  The court also noted that “federal courts routinely stay discovery in cases apparently subject to </w:t>
      </w:r>
      <w:r w:rsidR="009450D4">
        <w:rPr>
          <w:rFonts w:eastAsia="Times New Roman"/>
          <w:szCs w:val="26"/>
        </w:rPr>
        <w:t>S</w:t>
      </w:r>
      <w:r w:rsidRPr="006A6928" w:rsidR="009450D4">
        <w:rPr>
          <w:rFonts w:eastAsia="Times New Roman"/>
          <w:szCs w:val="26"/>
        </w:rPr>
        <w:t xml:space="preserve">ection </w:t>
      </w:r>
      <w:r w:rsidRPr="006A6928">
        <w:rPr>
          <w:rFonts w:eastAsia="Times New Roman"/>
          <w:szCs w:val="26"/>
        </w:rPr>
        <w:t xml:space="preserve">230 until the complaint is deemed adequate to avoid [section 230] immunity.”  </w:t>
      </w:r>
    </w:p>
    <w:p w:rsidR="008C6E87" w:rsidRPr="006A6928" w:rsidP="005D31CA">
      <w:pPr>
        <w:ind w:firstLine="720"/>
        <w:textAlignment w:val="baseline"/>
        <w:rPr>
          <w:color w:val="000000"/>
          <w:szCs w:val="26"/>
        </w:rPr>
      </w:pPr>
      <w:r w:rsidRPr="006A6928">
        <w:rPr>
          <w:rFonts w:eastAsia="Times New Roman"/>
          <w:szCs w:val="26"/>
        </w:rPr>
        <w:t xml:space="preserve">Those grounds have now </w:t>
      </w:r>
      <w:r w:rsidRPr="006A6928" w:rsidR="001C2E16">
        <w:rPr>
          <w:rFonts w:eastAsia="Times New Roman"/>
          <w:szCs w:val="26"/>
        </w:rPr>
        <w:t>shifted,</w:t>
      </w:r>
      <w:r w:rsidRPr="006A6928">
        <w:rPr>
          <w:rFonts w:eastAsia="Times New Roman"/>
          <w:szCs w:val="26"/>
        </w:rPr>
        <w:t xml:space="preserve"> and we remand for the trial court and the parties to consider the appropriate scope of discovery in light of our decision and subsequent developments in the trial court.  </w:t>
      </w:r>
      <w:bookmarkEnd w:id="0"/>
    </w:p>
    <w:p w:rsidR="00851BD3" w:rsidRPr="006A6928" w:rsidP="00C116EA">
      <w:pPr>
        <w:pStyle w:val="ListParagraph"/>
        <w:keepNext/>
        <w:numPr>
          <w:ilvl w:val="0"/>
          <w:numId w:val="1"/>
        </w:numPr>
        <w:jc w:val="center"/>
        <w:rPr>
          <w:b/>
          <w:bCs/>
          <w:smallCaps/>
          <w:szCs w:val="26"/>
        </w:rPr>
      </w:pPr>
      <w:r w:rsidRPr="006A6928">
        <w:rPr>
          <w:b/>
          <w:bCs/>
          <w:smallCaps/>
          <w:szCs w:val="26"/>
        </w:rPr>
        <w:t>Disposition</w:t>
      </w:r>
    </w:p>
    <w:p w:rsidR="008C6E87" w:rsidRPr="006A6928" w:rsidP="00B330BE">
      <w:pPr>
        <w:ind w:firstLine="720"/>
        <w:rPr>
          <w:szCs w:val="26"/>
        </w:rPr>
      </w:pPr>
      <w:r w:rsidRPr="006A6928">
        <w:rPr>
          <w:szCs w:val="26"/>
        </w:rPr>
        <w:t xml:space="preserve">The judgment is </w:t>
      </w:r>
      <w:r w:rsidRPr="006A6928" w:rsidR="001C2E16">
        <w:rPr>
          <w:szCs w:val="26"/>
        </w:rPr>
        <w:t>reversed</w:t>
      </w:r>
      <w:r w:rsidRPr="006A6928" w:rsidR="00F14541">
        <w:rPr>
          <w:szCs w:val="26"/>
        </w:rPr>
        <w:t xml:space="preserve"> and the matter is remanded with directions to the trial court to enter a new order </w:t>
      </w:r>
      <w:r w:rsidRPr="006A6928" w:rsidR="0072028F">
        <w:rPr>
          <w:szCs w:val="26"/>
        </w:rPr>
        <w:t xml:space="preserve">sustaining the demurrer </w:t>
      </w:r>
      <w:r w:rsidRPr="006A6928" w:rsidR="00F84E7C">
        <w:rPr>
          <w:szCs w:val="26"/>
        </w:rPr>
        <w:t>with leave to amend</w:t>
      </w:r>
      <w:r w:rsidRPr="006A6928" w:rsidR="0072028F">
        <w:rPr>
          <w:szCs w:val="26"/>
        </w:rPr>
        <w:t>, consistent with this opinion</w:t>
      </w:r>
      <w:r w:rsidRPr="006A6928">
        <w:rPr>
          <w:szCs w:val="26"/>
        </w:rPr>
        <w:t>.</w:t>
      </w:r>
      <w:r w:rsidRPr="006A6928" w:rsidR="00F14541">
        <w:rPr>
          <w:szCs w:val="26"/>
        </w:rPr>
        <w:t xml:space="preserve">  </w:t>
      </w:r>
      <w:r w:rsidRPr="006A6928" w:rsidR="0072028F">
        <w:rPr>
          <w:szCs w:val="26"/>
        </w:rPr>
        <w:t>In the interests of justice, the parties shall bear their own costs on appeal</w:t>
      </w:r>
      <w:r w:rsidRPr="006A6928" w:rsidR="00F14541">
        <w:rPr>
          <w:szCs w:val="26"/>
        </w:rPr>
        <w:t>.</w:t>
      </w:r>
      <w:r w:rsidRPr="006A6928" w:rsidR="0072028F">
        <w:rPr>
          <w:szCs w:val="26"/>
        </w:rPr>
        <w:t xml:space="preserve">  (Cal. Rules</w:t>
      </w:r>
      <w:r w:rsidRPr="006A6928" w:rsidR="00671180">
        <w:rPr>
          <w:szCs w:val="26"/>
        </w:rPr>
        <w:t xml:space="preserve"> of</w:t>
      </w:r>
      <w:r w:rsidRPr="006A6928" w:rsidR="0072028F">
        <w:rPr>
          <w:szCs w:val="26"/>
        </w:rPr>
        <w:t xml:space="preserve"> Court, rule </w:t>
      </w:r>
      <w:r w:rsidRPr="006A6928" w:rsidR="00671180">
        <w:rPr>
          <w:szCs w:val="26"/>
        </w:rPr>
        <w:t>8.278(a)(5)</w:t>
      </w:r>
      <w:r w:rsidRPr="006A6928" w:rsidR="0072028F">
        <w:rPr>
          <w:szCs w:val="26"/>
        </w:rPr>
        <w:t xml:space="preserve">.) </w:t>
      </w:r>
      <w:r w:rsidRPr="006A6928" w:rsidR="00F14541">
        <w:rPr>
          <w:szCs w:val="26"/>
        </w:rPr>
        <w:t xml:space="preserve"> </w:t>
      </w:r>
    </w:p>
    <w:p w:rsidR="00D0708A" w:rsidRPr="006A6928" w:rsidP="00B330BE">
      <w:pPr>
        <w:ind w:firstLine="720"/>
        <w:rPr>
          <w:szCs w:val="26"/>
        </w:rPr>
        <w:sectPr w:rsidSect="004724AB">
          <w:pgSz w:w="12240" w:h="15840" w:code="1"/>
          <w:pgMar w:top="1440" w:right="1440" w:bottom="1440" w:left="1440" w:header="0" w:footer="720" w:gutter="0"/>
          <w:pgNumType w:start="1"/>
          <w:cols w:space="720"/>
          <w:titlePg/>
          <w:docGrid w:linePitch="360"/>
        </w:sectPr>
      </w:pPr>
      <w:r w:rsidRPr="006A6928">
        <w:rPr>
          <w:szCs w:val="26"/>
        </w:rPr>
        <w:t xml:space="preserve"> </w:t>
      </w:r>
      <w:r w:rsidRPr="006A6928" w:rsidR="00754A03">
        <w:rPr>
          <w:szCs w:val="26"/>
        </w:rPr>
        <w:t xml:space="preserve"> </w:t>
      </w:r>
      <w:r w:rsidRPr="006A6928" w:rsidR="00323B8A">
        <w:rPr>
          <w:szCs w:val="26"/>
        </w:rPr>
        <w:t xml:space="preserve"> </w:t>
      </w:r>
    </w:p>
    <w:p w:rsidR="002865BA" w:rsidRPr="006A6928">
      <w:pPr>
        <w:tabs>
          <w:tab w:val="clear" w:pos="720"/>
        </w:tabs>
        <w:spacing w:after="160" w:line="259" w:lineRule="auto"/>
        <w:rPr>
          <w:szCs w:val="26"/>
        </w:rPr>
      </w:pPr>
    </w:p>
    <w:p w:rsidR="002865BA" w:rsidRPr="006A6928" w:rsidP="002865BA">
      <w:pPr>
        <w:spacing w:line="240" w:lineRule="auto"/>
        <w:ind w:left="3600"/>
        <w:rPr>
          <w:kern w:val="2"/>
          <w:szCs w:val="26"/>
        </w:rPr>
      </w:pPr>
      <w:r w:rsidRPr="006A6928">
        <w:rPr>
          <w:bCs/>
          <w:kern w:val="2"/>
          <w:szCs w:val="26"/>
        </w:rPr>
        <w:t>___________________________________</w:t>
      </w:r>
    </w:p>
    <w:p w:rsidR="002865BA" w:rsidRPr="006A6928" w:rsidP="002865BA">
      <w:pPr>
        <w:spacing w:line="240" w:lineRule="auto"/>
        <w:ind w:left="3600"/>
        <w:rPr>
          <w:bCs/>
          <w:kern w:val="2"/>
          <w:szCs w:val="26"/>
        </w:rPr>
      </w:pPr>
      <w:r w:rsidRPr="006A6928">
        <w:rPr>
          <w:bCs/>
          <w:kern w:val="2"/>
          <w:szCs w:val="26"/>
        </w:rPr>
        <w:tab/>
      </w:r>
      <w:r w:rsidRPr="006A6928">
        <w:rPr>
          <w:bCs/>
          <w:kern w:val="2"/>
          <w:szCs w:val="26"/>
        </w:rPr>
        <w:tab/>
      </w:r>
      <w:r w:rsidRPr="006A6928">
        <w:rPr>
          <w:bCs/>
          <w:kern w:val="2"/>
          <w:szCs w:val="26"/>
        </w:rPr>
        <w:tab/>
        <w:t>Wilson, J.</w:t>
      </w: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r w:rsidRPr="006A6928">
        <w:rPr>
          <w:bCs/>
          <w:kern w:val="2"/>
          <w:szCs w:val="26"/>
        </w:rPr>
        <w:t>WE CONCUR:</w:t>
      </w: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r w:rsidRPr="006A6928">
        <w:rPr>
          <w:bCs/>
          <w:kern w:val="2"/>
          <w:szCs w:val="26"/>
        </w:rPr>
        <w:t>__________________________________________</w:t>
      </w:r>
    </w:p>
    <w:p w:rsidR="000757EE" w:rsidRPr="006A6928" w:rsidP="000757EE">
      <w:pPr>
        <w:spacing w:line="240" w:lineRule="auto"/>
        <w:rPr>
          <w:bCs/>
          <w:kern w:val="2"/>
          <w:szCs w:val="26"/>
        </w:rPr>
      </w:pPr>
      <w:r w:rsidRPr="006A6928">
        <w:rPr>
          <w:bCs/>
          <w:kern w:val="2"/>
          <w:szCs w:val="26"/>
        </w:rPr>
        <w:tab/>
      </w:r>
      <w:r w:rsidRPr="006A6928">
        <w:rPr>
          <w:bCs/>
          <w:kern w:val="2"/>
          <w:szCs w:val="26"/>
        </w:rPr>
        <w:tab/>
      </w:r>
      <w:r w:rsidRPr="006A6928">
        <w:rPr>
          <w:bCs/>
          <w:kern w:val="2"/>
          <w:szCs w:val="26"/>
        </w:rPr>
        <w:tab/>
      </w:r>
      <w:r w:rsidRPr="006A6928" w:rsidR="008C6E87">
        <w:rPr>
          <w:bCs/>
          <w:kern w:val="2"/>
          <w:szCs w:val="26"/>
        </w:rPr>
        <w:t>Danner</w:t>
      </w:r>
      <w:r w:rsidRPr="006A6928">
        <w:rPr>
          <w:bCs/>
          <w:kern w:val="2"/>
          <w:szCs w:val="26"/>
        </w:rPr>
        <w:t xml:space="preserve">, </w:t>
      </w:r>
      <w:r w:rsidRPr="006A6928" w:rsidR="008C6E87">
        <w:rPr>
          <w:bCs/>
          <w:kern w:val="2"/>
          <w:szCs w:val="26"/>
        </w:rPr>
        <w:t xml:space="preserve">Acting </w:t>
      </w:r>
      <w:r w:rsidRPr="006A6928">
        <w:rPr>
          <w:bCs/>
          <w:kern w:val="2"/>
          <w:szCs w:val="26"/>
        </w:rPr>
        <w:t>P.J.</w:t>
      </w:r>
    </w:p>
    <w:p w:rsidR="002865BA" w:rsidRPr="006A6928" w:rsidP="002865BA">
      <w:pPr>
        <w:spacing w:line="240" w:lineRule="auto"/>
        <w:rPr>
          <w:bCs/>
          <w:kern w:val="2"/>
          <w:szCs w:val="26"/>
        </w:rPr>
      </w:pPr>
    </w:p>
    <w:p w:rsidR="000757EE"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r w:rsidRPr="006A6928">
        <w:rPr>
          <w:bCs/>
          <w:kern w:val="2"/>
          <w:szCs w:val="26"/>
        </w:rPr>
        <w:t>______________________________________</w:t>
      </w:r>
    </w:p>
    <w:p w:rsidR="002865BA" w:rsidRPr="006A6928" w:rsidP="002865BA">
      <w:pPr>
        <w:spacing w:line="240" w:lineRule="auto"/>
        <w:rPr>
          <w:bCs/>
          <w:kern w:val="2"/>
          <w:szCs w:val="26"/>
        </w:rPr>
      </w:pPr>
      <w:r w:rsidRPr="006A6928">
        <w:rPr>
          <w:bCs/>
          <w:kern w:val="2"/>
          <w:szCs w:val="26"/>
        </w:rPr>
        <w:tab/>
      </w:r>
      <w:r w:rsidRPr="006A6928">
        <w:rPr>
          <w:bCs/>
          <w:kern w:val="2"/>
          <w:szCs w:val="26"/>
        </w:rPr>
        <w:tab/>
      </w:r>
      <w:r w:rsidRPr="006A6928">
        <w:rPr>
          <w:bCs/>
          <w:kern w:val="2"/>
          <w:szCs w:val="26"/>
        </w:rPr>
        <w:tab/>
      </w:r>
      <w:r w:rsidRPr="006A6928" w:rsidR="008C6E87">
        <w:rPr>
          <w:bCs/>
          <w:kern w:val="2"/>
          <w:szCs w:val="26"/>
        </w:rPr>
        <w:t>Bromberg</w:t>
      </w:r>
      <w:r w:rsidRPr="006A6928">
        <w:rPr>
          <w:bCs/>
          <w:kern w:val="2"/>
          <w:szCs w:val="26"/>
        </w:rPr>
        <w:t>, J.</w:t>
      </w: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6A6928" w:rsidP="002865BA">
      <w:pPr>
        <w:spacing w:line="240" w:lineRule="auto"/>
        <w:rPr>
          <w:bCs/>
          <w:kern w:val="2"/>
          <w:szCs w:val="26"/>
        </w:rPr>
      </w:pPr>
    </w:p>
    <w:p w:rsidR="002865BA" w:rsidRPr="00ED63C8" w:rsidP="002865BA">
      <w:pPr>
        <w:spacing w:line="240" w:lineRule="auto"/>
        <w:rPr>
          <w:bCs/>
          <w:i/>
          <w:iCs/>
          <w:szCs w:val="26"/>
        </w:rPr>
      </w:pPr>
      <w:r w:rsidRPr="00ED63C8">
        <w:rPr>
          <w:bCs/>
          <w:i/>
          <w:iCs/>
          <w:szCs w:val="26"/>
        </w:rPr>
        <w:t xml:space="preserve">Wozniak et al. v. Youtube, LLC </w:t>
      </w:r>
      <w:r w:rsidR="008238E0">
        <w:rPr>
          <w:bCs/>
          <w:i/>
          <w:iCs/>
          <w:szCs w:val="26"/>
        </w:rPr>
        <w:t>et al.</w:t>
      </w:r>
      <w:r w:rsidRPr="00ED63C8" w:rsidR="005D3B6C">
        <w:rPr>
          <w:bCs/>
          <w:i/>
          <w:iCs/>
          <w:szCs w:val="26"/>
        </w:rPr>
        <w:t xml:space="preserve"> </w:t>
      </w:r>
      <w:r w:rsidRPr="00ED63C8" w:rsidR="00205B73">
        <w:rPr>
          <w:bCs/>
          <w:i/>
          <w:iCs/>
          <w:szCs w:val="26"/>
        </w:rPr>
        <w:t xml:space="preserve"> </w:t>
      </w:r>
    </w:p>
    <w:p w:rsidR="00647DBE" w:rsidP="001C0C2B">
      <w:pPr>
        <w:spacing w:line="240" w:lineRule="auto"/>
        <w:rPr>
          <w:bCs/>
          <w:kern w:val="2"/>
          <w:szCs w:val="26"/>
        </w:rPr>
        <w:sectPr w:rsidSect="00306034">
          <w:pgSz w:w="12240" w:h="15840" w:code="1"/>
          <w:pgMar w:top="1440" w:right="1440" w:bottom="1440" w:left="1440" w:header="0" w:footer="720" w:gutter="0"/>
          <w:cols w:space="720"/>
          <w:titlePg/>
          <w:docGrid w:linePitch="360"/>
        </w:sectPr>
      </w:pPr>
      <w:r w:rsidRPr="006A6928">
        <w:rPr>
          <w:bCs/>
          <w:szCs w:val="26"/>
        </w:rPr>
        <w:t>H</w:t>
      </w:r>
      <w:r w:rsidRPr="006A6928">
        <w:rPr>
          <w:bCs/>
          <w:kern w:val="2"/>
          <w:szCs w:val="26"/>
        </w:rPr>
        <w:t>0</w:t>
      </w:r>
      <w:r w:rsidRPr="006A6928" w:rsidR="007A7CBB">
        <w:rPr>
          <w:bCs/>
          <w:kern w:val="2"/>
          <w:szCs w:val="26"/>
        </w:rPr>
        <w:t>50</w:t>
      </w:r>
      <w:r w:rsidRPr="006A6928" w:rsidR="008C6E87">
        <w:rPr>
          <w:bCs/>
          <w:kern w:val="2"/>
          <w:szCs w:val="26"/>
        </w:rPr>
        <w:t>042</w:t>
      </w:r>
    </w:p>
    <w:p w:rsidR="00647DBE" w:rsidRPr="00647DBE" w:rsidP="00647DBE">
      <w:pPr>
        <w:spacing w:line="240" w:lineRule="auto"/>
        <w:rPr>
          <w:szCs w:val="26"/>
        </w:rPr>
      </w:pPr>
      <w:r w:rsidRPr="00647DBE">
        <w:rPr>
          <w:szCs w:val="26"/>
        </w:rPr>
        <w:t>Trial Court:</w:t>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Santa Clara County</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Superior Court No.:  20CV370338</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p>
    <w:p w:rsidR="00647DBE" w:rsidRPr="00647DBE" w:rsidP="00647DBE">
      <w:pPr>
        <w:spacing w:line="240" w:lineRule="auto"/>
        <w:rPr>
          <w:szCs w:val="26"/>
        </w:rPr>
      </w:pPr>
      <w:r w:rsidRPr="00647DBE">
        <w:rPr>
          <w:szCs w:val="26"/>
        </w:rPr>
        <w:t>Trial Judge:</w:t>
      </w:r>
      <w:r w:rsidRPr="00647DBE">
        <w:rPr>
          <w:szCs w:val="26"/>
        </w:rPr>
        <w:tab/>
        <w:t>The Honorable Sunil R. Kulkarni</w:t>
      </w:r>
    </w:p>
    <w:p w:rsidR="00647DBE" w:rsidRPr="00647DBE" w:rsidP="00647DBE">
      <w:pPr>
        <w:spacing w:line="240" w:lineRule="auto"/>
        <w:rPr>
          <w:szCs w:val="26"/>
        </w:rPr>
      </w:pPr>
    </w:p>
    <w:p w:rsidR="00647DBE" w:rsidRPr="00647DBE" w:rsidP="00647DBE">
      <w:pPr>
        <w:spacing w:line="240" w:lineRule="auto"/>
        <w:rPr>
          <w:szCs w:val="26"/>
        </w:rPr>
      </w:pPr>
    </w:p>
    <w:p w:rsidR="00647DBE" w:rsidRPr="00647DBE" w:rsidP="00647DBE">
      <w:pPr>
        <w:spacing w:line="240" w:lineRule="auto"/>
        <w:rPr>
          <w:szCs w:val="26"/>
        </w:rPr>
      </w:pPr>
    </w:p>
    <w:p w:rsidR="00647DBE" w:rsidRPr="00647DBE" w:rsidP="00647DBE">
      <w:pPr>
        <w:spacing w:line="240" w:lineRule="auto"/>
        <w:rPr>
          <w:szCs w:val="26"/>
        </w:rPr>
      </w:pPr>
      <w:r w:rsidRPr="00647DBE">
        <w:rPr>
          <w:szCs w:val="26"/>
        </w:rPr>
        <w:t>Attorneys for Plaintiffs and Appellants</w:t>
      </w:r>
      <w:r w:rsidRPr="00647DBE">
        <w:rPr>
          <w:szCs w:val="26"/>
        </w:rPr>
        <w:tab/>
      </w:r>
      <w:r w:rsidRPr="00647DBE">
        <w:rPr>
          <w:szCs w:val="26"/>
        </w:rPr>
        <w:tab/>
        <w:t>Joseph W. Cotchett</w:t>
      </w:r>
    </w:p>
    <w:p w:rsidR="00647DBE" w:rsidRPr="00647DBE" w:rsidP="00647DBE">
      <w:pPr>
        <w:spacing w:line="240" w:lineRule="auto"/>
        <w:rPr>
          <w:szCs w:val="26"/>
        </w:rPr>
      </w:pPr>
      <w:r w:rsidRPr="00647DBE">
        <w:rPr>
          <w:szCs w:val="26"/>
        </w:rPr>
        <w:t>Steve Wozniak et al.:</w:t>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 xml:space="preserve">Brian Danitz </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Christopher Owen Holleran</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 xml:space="preserve">Julia Qisi Peng </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Andrew F. Kirtley</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 xml:space="preserve">Gia Jung </w:t>
      </w:r>
    </w:p>
    <w:p w:rsidR="00647DBE" w:rsidRPr="00647DBE" w:rsidP="00647DBE">
      <w:pPr>
        <w:spacing w:line="240" w:lineRule="auto"/>
        <w:rPr>
          <w:szCs w:val="26"/>
        </w:rPr>
      </w:pP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p>
    <w:p w:rsidR="00647DBE" w:rsidRPr="00647DBE" w:rsidP="00647DBE">
      <w:pPr>
        <w:spacing w:line="240" w:lineRule="auto"/>
        <w:rPr>
          <w:szCs w:val="26"/>
        </w:rPr>
      </w:pPr>
    </w:p>
    <w:p w:rsidR="00647DBE" w:rsidRPr="00647DBE" w:rsidP="00647DBE">
      <w:pPr>
        <w:spacing w:line="240" w:lineRule="auto"/>
        <w:rPr>
          <w:szCs w:val="26"/>
        </w:rPr>
      </w:pPr>
      <w:r w:rsidRPr="00647DBE">
        <w:rPr>
          <w:szCs w:val="26"/>
        </w:rPr>
        <w:t xml:space="preserve">Attorneys for Defendants and Respondents </w:t>
      </w:r>
      <w:r w:rsidRPr="00647DBE">
        <w:rPr>
          <w:szCs w:val="26"/>
        </w:rPr>
        <w:tab/>
        <w:t xml:space="preserve">David H. Kramer </w:t>
      </w:r>
    </w:p>
    <w:p w:rsidR="00647DBE" w:rsidRPr="00647DBE" w:rsidP="00647DBE">
      <w:pPr>
        <w:spacing w:line="240" w:lineRule="auto"/>
        <w:rPr>
          <w:szCs w:val="26"/>
        </w:rPr>
      </w:pPr>
      <w:r w:rsidRPr="00647DBE">
        <w:rPr>
          <w:szCs w:val="26"/>
        </w:rPr>
        <w:t>YouTube, LLC et al.:</w:t>
      </w:r>
      <w:r w:rsidRPr="00647DBE">
        <w:rPr>
          <w:szCs w:val="26"/>
        </w:rPr>
        <w:tab/>
      </w:r>
      <w:r w:rsidRPr="00647DBE">
        <w:rPr>
          <w:szCs w:val="26"/>
        </w:rPr>
        <w:tab/>
      </w:r>
      <w:r w:rsidRPr="00647DBE">
        <w:rPr>
          <w:szCs w:val="26"/>
        </w:rPr>
        <w:tab/>
        <w:t xml:space="preserve"> </w:t>
      </w:r>
      <w:r w:rsidRPr="00647DBE">
        <w:rPr>
          <w:szCs w:val="26"/>
        </w:rPr>
        <w:tab/>
        <w:t>Amit Q. Gressel</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 xml:space="preserve">Carmen Sobczak </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t xml:space="preserve">           </w:t>
      </w:r>
      <w:r>
        <w:rPr>
          <w:szCs w:val="26"/>
        </w:rPr>
        <w:tab/>
      </w:r>
      <w:r>
        <w:rPr>
          <w:szCs w:val="26"/>
        </w:rPr>
        <w:tab/>
      </w:r>
      <w:r>
        <w:rPr>
          <w:szCs w:val="26"/>
        </w:rPr>
        <w:tab/>
      </w:r>
      <w:r w:rsidRPr="00647DBE">
        <w:rPr>
          <w:szCs w:val="26"/>
        </w:rPr>
        <w:t xml:space="preserve">Mark R Yohalem </w:t>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Ariel C. Green Anaba</w:t>
      </w:r>
    </w:p>
    <w:p w:rsidR="00647DBE" w:rsidRPr="00647DBE" w:rsidP="00647DBE">
      <w:pPr>
        <w:spacing w:line="240" w:lineRule="auto"/>
        <w:rPr>
          <w:szCs w:val="26"/>
        </w:rPr>
      </w:pPr>
    </w:p>
    <w:p w:rsidR="00647DBE" w:rsidRPr="00647DBE" w:rsidP="00647DBE">
      <w:pPr>
        <w:spacing w:line="240" w:lineRule="auto"/>
        <w:rPr>
          <w:szCs w:val="26"/>
        </w:rPr>
      </w:pP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pPr>
        <w:spacing w:line="240" w:lineRule="auto"/>
        <w:rPr>
          <w:i/>
          <w:iCs/>
          <w:szCs w:val="26"/>
        </w:rPr>
      </w:pPr>
      <w:r w:rsidRPr="00647DBE">
        <w:rPr>
          <w:i/>
          <w:iCs/>
          <w:szCs w:val="26"/>
        </w:rPr>
        <w:t>Wozniak et al. v. YouTube, LLC et al.</w:t>
      </w:r>
    </w:p>
    <w:p w:rsidR="00647DBE" w:rsidRPr="00647DBE" w:rsidP="00647DBE">
      <w:pPr>
        <w:spacing w:line="240" w:lineRule="auto"/>
        <w:rPr>
          <w:szCs w:val="26"/>
        </w:rPr>
      </w:pPr>
      <w:r w:rsidRPr="00647DBE">
        <w:rPr>
          <w:szCs w:val="26"/>
        </w:rPr>
        <w:t>H050042</w:t>
      </w:r>
    </w:p>
    <w:p w:rsidR="002865BA" w:rsidRPr="00FD1D50" w:rsidP="001C0C2B">
      <w:pPr>
        <w:spacing w:line="240" w:lineRule="auto"/>
        <w:rPr>
          <w:szCs w:val="26"/>
        </w:rPr>
      </w:pPr>
    </w:p>
    <w:sectPr w:rsidSect="0076207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8070000" w:usb2="00000010" w:usb3="00000000" w:csb0="00020001" w:csb1="00000000"/>
  </w:font>
  <w:font w:name="GDPFNTCI-CourierNew">
    <w:altName w:val="Arial"/>
    <w:panose1 w:val="00000000000000000000"/>
    <w:charset w:val="B2"/>
    <w:family w:val="auto"/>
    <w:notTrueType/>
    <w:pitch w:val="default"/>
    <w:sig w:usb0="00002001" w:usb1="00000000" w:usb2="00000000" w:usb3="00000000" w:csb0="00000040"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6563368"/>
      <w:docPartObj>
        <w:docPartGallery w:val="Page Numbers (Bottom of Page)"/>
        <w:docPartUnique/>
      </w:docPartObj>
    </w:sdtPr>
    <w:sdtEndPr>
      <w:rPr>
        <w:noProof/>
      </w:rPr>
    </w:sdtEndPr>
    <w:sdtContent>
      <w:p w:rsidR="004724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3049490"/>
      <w:docPartObj>
        <w:docPartGallery w:val="Page Numbers (Bottom of Page)"/>
        <w:docPartUnique/>
      </w:docPartObj>
    </w:sdtPr>
    <w:sdtEndPr>
      <w:rPr>
        <w:noProof/>
      </w:rPr>
    </w:sdtEndPr>
    <w:sdtContent>
      <w:p w:rsidR="00EE7C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177D" w:rsidP="00824272">
      <w:pPr>
        <w:spacing w:line="240" w:lineRule="auto"/>
      </w:pPr>
      <w:r>
        <w:separator/>
      </w:r>
    </w:p>
  </w:footnote>
  <w:footnote w:type="continuationSeparator" w:id="1">
    <w:p w:rsidR="0072177D" w:rsidP="00824272">
      <w:pPr>
        <w:spacing w:line="240" w:lineRule="auto"/>
      </w:pPr>
      <w:r>
        <w:continuationSeparator/>
      </w:r>
    </w:p>
  </w:footnote>
  <w:footnote w:type="continuationNotice" w:id="2">
    <w:p w:rsidR="0072177D" w:rsidRPr="00C116EA" w:rsidP="00C116EA">
      <w:pPr>
        <w:pStyle w:val="Footer"/>
      </w:pPr>
      <w:r>
        <w:t>(continued)</w:t>
      </w:r>
    </w:p>
  </w:footnote>
  <w:footnote w:id="3">
    <w:p w:rsidR="00D81EE7" w:rsidRPr="00D81EE7" w:rsidP="00D81EE7">
      <w:pPr>
        <w:pStyle w:val="FootnoteText"/>
        <w:ind w:firstLine="720"/>
        <w:rPr>
          <w:rFonts w:eastAsia="Times New Roman"/>
          <w:szCs w:val="26"/>
        </w:rPr>
      </w:pPr>
      <w:r>
        <w:rPr>
          <w:rStyle w:val="FootnoteReference"/>
        </w:rPr>
        <w:footnoteRef/>
      </w:r>
      <w:r>
        <w:t xml:space="preserve"> </w:t>
      </w:r>
      <w:r w:rsidRPr="00D81EE7">
        <w:rPr>
          <w:szCs w:val="26"/>
        </w:rPr>
        <w:t>“</w:t>
      </w:r>
      <w:r w:rsidRPr="00D81EE7">
        <w:rPr>
          <w:rFonts w:eastAsia="Times New Roman"/>
          <w:szCs w:val="26"/>
        </w:rPr>
        <w:t>We derive our facts from those properly pleaded in the complaint and matters properly judicially noticed. [Citations</w:t>
      </w:r>
      <w:r w:rsidR="003C7E12">
        <w:rPr>
          <w:rFonts w:eastAsia="Times New Roman"/>
          <w:szCs w:val="26"/>
        </w:rPr>
        <w:t>.</w:t>
      </w:r>
      <w:r w:rsidRPr="00D81EE7">
        <w:rPr>
          <w:rFonts w:eastAsia="Times New Roman"/>
          <w:szCs w:val="26"/>
        </w:rPr>
        <w:t>] We take as true properly pleaded material facts alleged in the pleadings, disregarding contentions, deductions, and conclusions of fact or law. [Citation.]”  (</w:t>
      </w:r>
      <w:r w:rsidRPr="00D81EE7">
        <w:rPr>
          <w:rFonts w:eastAsia="Times New Roman"/>
          <w:i/>
          <w:iCs/>
          <w:szCs w:val="26"/>
        </w:rPr>
        <w:t xml:space="preserve">County of Santa Clara v. Superior Court </w:t>
      </w:r>
      <w:r w:rsidRPr="00D81EE7">
        <w:rPr>
          <w:rFonts w:eastAsia="Times New Roman"/>
          <w:szCs w:val="26"/>
        </w:rPr>
        <w:t>(2023) 87 Cal.App.5th 347, 355, fn. 2</w:t>
      </w:r>
      <w:r w:rsidR="0069539A">
        <w:rPr>
          <w:rFonts w:eastAsia="Times New Roman"/>
          <w:szCs w:val="26"/>
        </w:rPr>
        <w:t>.)</w:t>
      </w:r>
    </w:p>
  </w:footnote>
  <w:footnote w:id="4">
    <w:p w:rsidR="00E322D1" w:rsidP="00E322D1">
      <w:pPr>
        <w:pStyle w:val="FootnoteText"/>
        <w:ind w:firstLine="720"/>
      </w:pPr>
      <w:r>
        <w:rPr>
          <w:rStyle w:val="FootnoteReference"/>
        </w:rPr>
        <w:footnoteRef/>
      </w:r>
      <w:r>
        <w:t xml:space="preserve"> YouTube is a wholly owned and controlled subsidiary of defendant Google, LLC (Google). </w:t>
      </w:r>
    </w:p>
  </w:footnote>
  <w:footnote w:id="5">
    <w:p w:rsidR="006E7124" w:rsidRPr="006E7124" w:rsidP="00E13307">
      <w:pPr>
        <w:shd w:val="clear" w:color="auto" w:fill="FFFFFF"/>
        <w:tabs>
          <w:tab w:val="clear" w:pos="720"/>
        </w:tabs>
        <w:spacing w:line="320" w:lineRule="atLeast"/>
        <w:ind w:firstLine="720"/>
        <w:rPr>
          <w:rFonts w:eastAsia="Times New Roman"/>
          <w:szCs w:val="26"/>
        </w:rPr>
      </w:pPr>
      <w:r>
        <w:rPr>
          <w:rStyle w:val="FootnoteReference"/>
        </w:rPr>
        <w:footnoteRef/>
      </w:r>
      <w:r>
        <w:t xml:space="preserve"> </w:t>
      </w:r>
      <w:r w:rsidRPr="004D7200" w:rsidR="00E13307">
        <w:rPr>
          <w:rFonts w:eastAsia="Times New Roman"/>
          <w:szCs w:val="26"/>
          <w:bdr w:val="none" w:sz="0" w:space="0" w:color="auto" w:frame="1"/>
          <w:shd w:val="clear" w:color="auto" w:fill="FFFFFF"/>
        </w:rPr>
        <w:t>“Bitcoin</w:t>
      </w:r>
      <w:r w:rsidRPr="004D7200" w:rsidR="00E13307">
        <w:rPr>
          <w:rFonts w:eastAsia="Times New Roman"/>
          <w:szCs w:val="26"/>
        </w:rPr>
        <w:t xml:space="preserve"> </w:t>
      </w:r>
      <w:r w:rsidRPr="004D7200" w:rsidR="00E13307">
        <w:rPr>
          <w:rFonts w:eastAsia="Times New Roman"/>
          <w:szCs w:val="26"/>
          <w:bdr w:val="none" w:sz="0" w:space="0" w:color="auto" w:frame="1"/>
          <w:shd w:val="clear" w:color="auto" w:fill="FFFFFF"/>
        </w:rPr>
        <w:t>is</w:t>
      </w:r>
      <w:r w:rsidRPr="004D7200" w:rsidR="00E13307">
        <w:rPr>
          <w:rFonts w:eastAsia="Times New Roman"/>
          <w:szCs w:val="26"/>
        </w:rPr>
        <w:t xml:space="preserve"> among the world</w:t>
      </w:r>
      <w:r w:rsidR="00E13307">
        <w:rPr>
          <w:rFonts w:eastAsia="Times New Roman"/>
          <w:szCs w:val="26"/>
        </w:rPr>
        <w:t>’</w:t>
      </w:r>
      <w:r w:rsidRPr="004D7200" w:rsidR="00E13307">
        <w:rPr>
          <w:rFonts w:eastAsia="Times New Roman"/>
          <w:szCs w:val="26"/>
        </w:rPr>
        <w:t>s most well-known digital currencies….”  (</w:t>
      </w:r>
      <w:r w:rsidRPr="004D7200" w:rsidR="00E13307">
        <w:rPr>
          <w:rFonts w:eastAsia="Times New Roman"/>
          <w:i/>
          <w:iCs/>
          <w:szCs w:val="26"/>
        </w:rPr>
        <w:t xml:space="preserve">Archer v. Coinbase, Inc. </w:t>
      </w:r>
      <w:r w:rsidRPr="004D7200" w:rsidR="00E13307">
        <w:rPr>
          <w:rFonts w:eastAsia="Times New Roman"/>
          <w:szCs w:val="26"/>
        </w:rPr>
        <w:t xml:space="preserve">(2020) 53 Cal.App.5th 266, 269.)  “A digital currency (also known as ‘cryptocurrency’) is a type of currency maintained by a decentralized network of participants’ computers, rather than a centralized government or organization.”  </w:t>
      </w:r>
      <w:r w:rsidR="00E13307">
        <w:rPr>
          <w:rFonts w:eastAsia="Times New Roman"/>
          <w:szCs w:val="26"/>
        </w:rPr>
        <w:t>(</w:t>
      </w:r>
      <w:r w:rsidR="00E13307">
        <w:rPr>
          <w:rFonts w:eastAsia="Times New Roman"/>
          <w:i/>
          <w:iCs/>
          <w:szCs w:val="26"/>
        </w:rPr>
        <w:t>Ibid</w:t>
      </w:r>
      <w:r w:rsidR="00E13307">
        <w:rPr>
          <w:rFonts w:eastAsia="Times New Roman"/>
          <w:szCs w:val="26"/>
        </w:rPr>
        <w:t>.)</w:t>
      </w:r>
    </w:p>
  </w:footnote>
  <w:footnote w:id="6">
    <w:p w:rsidR="006E0CAB" w:rsidRPr="00610339" w:rsidP="006E0CAB">
      <w:pPr>
        <w:pStyle w:val="FootnoteText"/>
        <w:ind w:firstLine="720"/>
        <w:rPr>
          <w:rFonts w:ascii="CIDFont+F3" w:hAnsi="CIDFont+F3" w:cs="CIDFont+F3"/>
          <w:sz w:val="22"/>
        </w:rPr>
      </w:pPr>
      <w:r>
        <w:rPr>
          <w:rStyle w:val="FootnoteReference"/>
        </w:rPr>
        <w:footnoteRef/>
      </w:r>
      <w:r>
        <w:t xml:space="preserve"> Plaintiffs </w:t>
      </w:r>
      <w:r w:rsidR="00495697">
        <w:t>include</w:t>
      </w:r>
      <w:r>
        <w:t xml:space="preserve"> Wozniak</w:t>
      </w:r>
      <w:r w:rsidR="00495697">
        <w:t>,</w:t>
      </w:r>
      <w:r>
        <w:t xml:space="preserve"> and the following individuals</w:t>
      </w:r>
      <w:r w:rsidR="00495697">
        <w:t xml:space="preserve"> who claim to have been harmed by the cryptocurrency scam on YouTube</w:t>
      </w:r>
      <w:r>
        <w:t>:  Alex Naray, James Denitto, Bernardo Garcia, Alexander Geisler, Asa Jacques, Zhenyu Li, Jin Liu, Anthony Martinez, Harivarmah Nagalinggam, Paul Newman, Myrielle Philistin, Dario Lopez Portilla, Eric Restrepo, Raul Moreño Romero, David Schrader, Luke Thomas and Lung Hung Yang.  In this opinion, the term “plaintiffs” refers to all 18 plaintiffs</w:t>
      </w:r>
      <w:r w:rsidR="00A11372">
        <w:t xml:space="preserve">; we refer to the non-Wozniak plaintiffs as the “bitcoin plaintiffs” where necessary to distinguish. </w:t>
      </w:r>
    </w:p>
  </w:footnote>
  <w:footnote w:id="7">
    <w:p w:rsidR="005B097E" w:rsidP="005B097E">
      <w:pPr>
        <w:pStyle w:val="FootnoteText"/>
        <w:ind w:firstLine="720"/>
      </w:pPr>
      <w:r>
        <w:rPr>
          <w:rStyle w:val="FootnoteReference"/>
        </w:rPr>
        <w:footnoteRef/>
      </w:r>
      <w:r>
        <w:t xml:space="preserve"> </w:t>
      </w:r>
      <w:r w:rsidRPr="009E272B">
        <w:rPr>
          <w:rFonts w:eastAsia="Times New Roman"/>
          <w:szCs w:val="26"/>
        </w:rPr>
        <w:t>Although federal precedents interpreting section 230</w:t>
      </w:r>
      <w:r w:rsidRPr="00BD4339">
        <w:rPr>
          <w:rFonts w:eastAsia="Times New Roman"/>
          <w:szCs w:val="26"/>
        </w:rPr>
        <w:t xml:space="preserve"> </w:t>
      </w:r>
      <w:r w:rsidRPr="009E272B">
        <w:rPr>
          <w:rFonts w:eastAsia="Times New Roman"/>
          <w:szCs w:val="26"/>
        </w:rPr>
        <w:t>are</w:t>
      </w:r>
      <w:r w:rsidRPr="00BD4339">
        <w:rPr>
          <w:rFonts w:eastAsia="Times New Roman"/>
          <w:szCs w:val="26"/>
        </w:rPr>
        <w:t xml:space="preserve"> not binding upon this court</w:t>
      </w:r>
      <w:r w:rsidRPr="009E272B">
        <w:rPr>
          <w:rFonts w:eastAsia="Times New Roman"/>
          <w:szCs w:val="26"/>
        </w:rPr>
        <w:t>, “</w:t>
      </w:r>
      <w:r w:rsidRPr="00BD4339">
        <w:rPr>
          <w:rFonts w:eastAsia="Times New Roman"/>
          <w:szCs w:val="26"/>
        </w:rPr>
        <w:t xml:space="preserve">where the decisions of the federal courts on a federal question are </w:t>
      </w:r>
      <w:r w:rsidR="00EB242D">
        <w:rPr>
          <w:rFonts w:eastAsia="Times New Roman"/>
          <w:szCs w:val="26"/>
        </w:rPr>
        <w:t>‘</w:t>
      </w:r>
      <w:bookmarkStart w:id="6" w:name="_Hlk161144219"/>
      <w:r w:rsidR="00EB242D">
        <w:rPr>
          <w:rFonts w:eastAsia="Times New Roman"/>
          <w:szCs w:val="26"/>
        </w:rPr>
        <w:t> </w:t>
      </w:r>
      <w:bookmarkEnd w:id="6"/>
      <w:r w:rsidR="00EB242D">
        <w:rPr>
          <w:rFonts w:eastAsia="Times New Roman"/>
          <w:szCs w:val="26"/>
        </w:rPr>
        <w:t>“ </w:t>
      </w:r>
      <w:r w:rsidRPr="009E272B">
        <w:rPr>
          <w:rFonts w:eastAsia="Times New Roman"/>
          <w:szCs w:val="26"/>
        </w:rPr>
        <w:t>‘</w:t>
      </w:r>
      <w:r w:rsidRPr="00BD4339">
        <w:rPr>
          <w:rFonts w:eastAsia="Times New Roman"/>
          <w:szCs w:val="26"/>
        </w:rPr>
        <w:t>both numerous and consistent,</w:t>
      </w:r>
      <w:r w:rsidRPr="009E272B">
        <w:rPr>
          <w:rFonts w:eastAsia="Times New Roman"/>
          <w:szCs w:val="26"/>
        </w:rPr>
        <w:t>’</w:t>
      </w:r>
      <w:r w:rsidRPr="00EB242D" w:rsidR="00EB242D">
        <w:rPr>
          <w:rFonts w:eastAsia="Times New Roman"/>
          <w:szCs w:val="26"/>
        </w:rPr>
        <w:t> </w:t>
      </w:r>
      <w:r w:rsidR="00EB242D">
        <w:rPr>
          <w:rFonts w:eastAsia="Times New Roman"/>
          <w:szCs w:val="26"/>
        </w:rPr>
        <w:t>”</w:t>
      </w:r>
      <w:r w:rsidRPr="00EB242D" w:rsidR="00EB242D">
        <w:rPr>
          <w:rFonts w:eastAsia="Times New Roman"/>
          <w:szCs w:val="26"/>
        </w:rPr>
        <w:t> </w:t>
      </w:r>
      <w:r w:rsidR="00EB242D">
        <w:rPr>
          <w:rFonts w:eastAsia="Times New Roman"/>
          <w:szCs w:val="26"/>
        </w:rPr>
        <w:t>’</w:t>
      </w:r>
      <w:r w:rsidRPr="00BD4339">
        <w:rPr>
          <w:rFonts w:eastAsia="Times New Roman"/>
          <w:szCs w:val="26"/>
        </w:rPr>
        <w:t xml:space="preserve"> we should hesitate to reject their authority [citation].</w:t>
      </w:r>
      <w:r w:rsidRPr="009E272B">
        <w:rPr>
          <w:rFonts w:eastAsia="Times New Roman"/>
          <w:szCs w:val="26"/>
        </w:rPr>
        <w:t>”  (</w:t>
      </w:r>
      <w:r w:rsidRPr="009E272B">
        <w:rPr>
          <w:rFonts w:eastAsia="Times New Roman"/>
          <w:i/>
          <w:iCs/>
          <w:szCs w:val="26"/>
        </w:rPr>
        <w:t xml:space="preserve">Doe II v. MySpace, Inc. </w:t>
      </w:r>
      <w:r w:rsidRPr="009E272B">
        <w:rPr>
          <w:rFonts w:eastAsia="Times New Roman"/>
          <w:szCs w:val="26"/>
        </w:rPr>
        <w:t xml:space="preserve">(2009) 175 Cal.App.4th 561, 571, quoting </w:t>
      </w:r>
      <w:bookmarkStart w:id="7" w:name="_Hlk161146078"/>
      <w:r w:rsidRPr="009E272B">
        <w:rPr>
          <w:rFonts w:eastAsia="Times New Roman"/>
          <w:i/>
          <w:iCs/>
          <w:szCs w:val="26"/>
        </w:rPr>
        <w:t>Barrett</w:t>
      </w:r>
      <w:bookmarkEnd w:id="7"/>
      <w:r w:rsidRPr="009E272B">
        <w:rPr>
          <w:rFonts w:eastAsia="Times New Roman"/>
          <w:i/>
          <w:iCs/>
          <w:szCs w:val="26"/>
        </w:rPr>
        <w:t xml:space="preserve"> v. Rosenthal</w:t>
      </w:r>
      <w:r w:rsidRPr="009E272B">
        <w:rPr>
          <w:rFonts w:eastAsia="Times New Roman"/>
          <w:szCs w:val="26"/>
        </w:rPr>
        <w:t xml:space="preserve"> (2006) 40 Cal.4th 33, 58</w:t>
      </w:r>
      <w:r w:rsidR="005A2304">
        <w:rPr>
          <w:rFonts w:eastAsia="Times New Roman"/>
          <w:szCs w:val="26"/>
        </w:rPr>
        <w:t xml:space="preserve"> (</w:t>
      </w:r>
      <w:r w:rsidRPr="005A2304" w:rsidR="005A2304">
        <w:rPr>
          <w:rFonts w:eastAsia="Times New Roman"/>
          <w:i/>
          <w:iCs/>
          <w:szCs w:val="26"/>
        </w:rPr>
        <w:t>Barrett</w:t>
      </w:r>
      <w:r w:rsidR="005A2304">
        <w:rPr>
          <w:rFonts w:eastAsia="Times New Roman"/>
          <w:szCs w:val="26"/>
        </w:rPr>
        <w:t>)</w:t>
      </w:r>
      <w:r w:rsidRPr="009E272B">
        <w:rPr>
          <w:rFonts w:eastAsia="Times New Roman"/>
          <w:szCs w:val="26"/>
        </w:rPr>
        <w:t xml:space="preserve">; </w:t>
      </w:r>
      <w:r w:rsidRPr="00BD4339">
        <w:rPr>
          <w:rFonts w:eastAsia="Times New Roman"/>
          <w:i/>
          <w:iCs/>
          <w:szCs w:val="26"/>
          <w:bdr w:val="none" w:sz="0" w:space="0" w:color="auto" w:frame="1"/>
        </w:rPr>
        <w:t>Etcheverry v. Tri–Ag Service, Inc.</w:t>
      </w:r>
      <w:r w:rsidRPr="00BD4339">
        <w:rPr>
          <w:rFonts w:eastAsia="Times New Roman"/>
          <w:szCs w:val="26"/>
        </w:rPr>
        <w:t xml:space="preserve"> (2000) 22 Cal.4th 316, 320–321</w:t>
      </w:r>
      <w:r w:rsidRPr="009E272B">
        <w:rPr>
          <w:rFonts w:eastAsia="Times New Roman"/>
          <w:szCs w:val="26"/>
        </w:rPr>
        <w:t xml:space="preserve"> [</w:t>
      </w:r>
      <w:r w:rsidRPr="00BD4339">
        <w:rPr>
          <w:rFonts w:eastAsia="Times New Roman"/>
          <w:szCs w:val="26"/>
        </w:rPr>
        <w:t>“While we are not bound by decisions of the lower federal courts, even on federal questions, they are persuasive and entitled to great weight.</w:t>
      </w:r>
      <w:r w:rsidRPr="009E272B">
        <w:rPr>
          <w:rFonts w:eastAsia="Times New Roman"/>
          <w:szCs w:val="26"/>
        </w:rPr>
        <w:t>”].)</w:t>
      </w:r>
    </w:p>
  </w:footnote>
  <w:footnote w:id="8">
    <w:p w:rsidR="00D2478A" w:rsidP="00D2478A">
      <w:pPr>
        <w:pStyle w:val="FootnoteText"/>
        <w:ind w:firstLine="720"/>
      </w:pPr>
      <w:r>
        <w:rPr>
          <w:rStyle w:val="FootnoteReference"/>
        </w:rPr>
        <w:footnoteRef/>
      </w:r>
      <w:r>
        <w:t xml:space="preserve"> The parties agree that YouTube is an interactive computer service—accordingly, our discussion below focuses only on the second and third elements. </w:t>
      </w:r>
    </w:p>
  </w:footnote>
  <w:footnote w:id="9">
    <w:p w:rsidR="00D22CFC" w:rsidRPr="00620759" w:rsidP="00620759">
      <w:pPr>
        <w:spacing w:line="240" w:lineRule="auto"/>
        <w:ind w:firstLine="720"/>
        <w:rPr>
          <w:rFonts w:eastAsia="Times New Roman"/>
          <w:szCs w:val="26"/>
        </w:rPr>
      </w:pPr>
      <w:r>
        <w:rPr>
          <w:rStyle w:val="FootnoteReference"/>
        </w:rPr>
        <w:footnoteRef/>
      </w:r>
      <w:r>
        <w:t xml:space="preserve"> Plaintiffs cite to the allegations in their breach of implied contract cause of action, but offer no argument in support beyond their reference to “reasons </w:t>
      </w:r>
      <w:r w:rsidR="002352A5">
        <w:t>similar to those</w:t>
      </w:r>
      <w:r>
        <w:t xml:space="preserve"> above.”  To the extent their argument regarding that cause of action is any different than for their negligence and UCL causes of action, they have failed to support it with reasoned argument and we consider it forfeited.</w:t>
      </w:r>
      <w:r w:rsidR="00620759">
        <w:t xml:space="preserve">  </w:t>
      </w:r>
      <w:r w:rsidRPr="003D5E63" w:rsidR="00620759">
        <w:rPr>
          <w:szCs w:val="26"/>
        </w:rPr>
        <w:t>(</w:t>
      </w:r>
      <w:r w:rsidRPr="003D5E63" w:rsidR="00620759">
        <w:rPr>
          <w:i/>
          <w:iCs/>
          <w:szCs w:val="26"/>
        </w:rPr>
        <w:t>Badie v. Bank of America</w:t>
      </w:r>
      <w:r w:rsidRPr="003D5E63" w:rsidR="00620759">
        <w:rPr>
          <w:szCs w:val="26"/>
        </w:rPr>
        <w:t xml:space="preserve"> (1998) 67 Cal.App.4th 779, 784-785</w:t>
      </w:r>
      <w:r w:rsidRPr="00056496" w:rsidR="00620759">
        <w:rPr>
          <w:szCs w:val="26"/>
        </w:rPr>
        <w:t xml:space="preserve"> [</w:t>
      </w:r>
      <w:r w:rsidRPr="00056496" w:rsidR="00620759">
        <w:rPr>
          <w:rFonts w:eastAsia="Times New Roman"/>
          <w:szCs w:val="26"/>
        </w:rPr>
        <w:t>“When an appellant fails to raise a point, or asserts it but fails to support it with reasoned argument and citations to authority, we treat the point as waived”</w:t>
      </w:r>
      <w:r w:rsidR="00CF285A">
        <w:rPr>
          <w:rFonts w:eastAsia="Times New Roman"/>
          <w:szCs w:val="26"/>
        </w:rPr>
        <w:t>]</w:t>
      </w:r>
      <w:r w:rsidRPr="00056496" w:rsidR="00620759">
        <w:rPr>
          <w:rFonts w:eastAsia="Times New Roman"/>
          <w:szCs w:val="26"/>
        </w:rPr>
        <w:t>.)</w:t>
      </w:r>
    </w:p>
  </w:footnote>
  <w:footnote w:id="10">
    <w:p w:rsidR="004654D3" w:rsidRPr="00672958" w:rsidP="004654D3">
      <w:pPr>
        <w:pStyle w:val="FootnoteText"/>
        <w:ind w:firstLine="720"/>
        <w:rPr>
          <w:szCs w:val="26"/>
        </w:rPr>
      </w:pPr>
      <w:r w:rsidRPr="004F752D">
        <w:rPr>
          <w:rStyle w:val="FootnoteReference"/>
          <w:szCs w:val="26"/>
        </w:rPr>
        <w:footnoteRef/>
      </w:r>
      <w:r w:rsidRPr="004F752D">
        <w:rPr>
          <w:szCs w:val="26"/>
        </w:rPr>
        <w:t xml:space="preserve"> The SAC alleges that the following bitcoin plaintiffs relied on false verifications: James Denitto, Bernardo Garcia, Jin Liu, Anthony Martinez, Myrielle Philistin, Daria Lopez Portilla, and Eric Restrepo.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77310"/>
    <w:multiLevelType w:val="hybridMultilevel"/>
    <w:tmpl w:val="900A50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0C049B"/>
    <w:multiLevelType w:val="hybridMultilevel"/>
    <w:tmpl w:val="6FFC8C44"/>
    <w:lvl w:ilvl="0">
      <w:start w:val="3"/>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1224B3"/>
    <w:multiLevelType w:val="hybridMultilevel"/>
    <w:tmpl w:val="40789CA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10250C51"/>
    <w:multiLevelType w:val="hybridMultilevel"/>
    <w:tmpl w:val="88A80FE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D51A12"/>
    <w:multiLevelType w:val="hybridMultilevel"/>
    <w:tmpl w:val="C3A649D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3263E5E"/>
    <w:multiLevelType w:val="hybridMultilevel"/>
    <w:tmpl w:val="BB66A91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4FD64F2"/>
    <w:multiLevelType w:val="hybridMultilevel"/>
    <w:tmpl w:val="398075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8E07205"/>
    <w:multiLevelType w:val="hybridMultilevel"/>
    <w:tmpl w:val="3B76A12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F037A40"/>
    <w:multiLevelType w:val="hybridMultilevel"/>
    <w:tmpl w:val="B2784C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460DAC"/>
    <w:multiLevelType w:val="hybridMultilevel"/>
    <w:tmpl w:val="94FE3D2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2B23DB1"/>
    <w:multiLevelType w:val="hybridMultilevel"/>
    <w:tmpl w:val="463034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8E81828"/>
    <w:multiLevelType w:val="hybridMultilevel"/>
    <w:tmpl w:val="D57A2FE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A5C3B5A"/>
    <w:multiLevelType w:val="hybridMultilevel"/>
    <w:tmpl w:val="BCA0D0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D2230E1"/>
    <w:multiLevelType w:val="hybridMultilevel"/>
    <w:tmpl w:val="16FABB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F4F1B06"/>
    <w:multiLevelType w:val="hybridMultilevel"/>
    <w:tmpl w:val="34D8B704"/>
    <w:lvl w:ilvl="0">
      <w:start w:val="1"/>
      <w:numFmt w:val="upperRoman"/>
      <w:lvlText w:val="%1."/>
      <w:lvlJc w:val="left"/>
      <w:pPr>
        <w:ind w:left="1080" w:hanging="720"/>
      </w:pPr>
      <w:rPr>
        <w:rFonts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44596A"/>
    <w:multiLevelType w:val="hybridMultilevel"/>
    <w:tmpl w:val="3FEA40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5C0378A"/>
    <w:multiLevelType w:val="hybridMultilevel"/>
    <w:tmpl w:val="BC0C9064"/>
    <w:lvl w:ilvl="0">
      <w:start w:val="9"/>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8154461"/>
    <w:multiLevelType w:val="hybridMultilevel"/>
    <w:tmpl w:val="CA887B5C"/>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BD93C51"/>
    <w:multiLevelType w:val="hybridMultilevel"/>
    <w:tmpl w:val="4CE41DC2"/>
    <w:lvl w:ilvl="0">
      <w:start w:val="1"/>
      <w:numFmt w:val="lowerRoman"/>
      <w:lvlText w:val="%1."/>
      <w:lvlJc w:val="right"/>
      <w:pPr>
        <w:ind w:left="2520" w:hanging="18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FC5D8A"/>
    <w:multiLevelType w:val="hybridMultilevel"/>
    <w:tmpl w:val="9CE456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rPr>
        <w:b/>
        <w:bCs/>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0931155"/>
    <w:multiLevelType w:val="hybridMultilevel"/>
    <w:tmpl w:val="3D4E69F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3AB4A70"/>
    <w:multiLevelType w:val="hybridMultilevel"/>
    <w:tmpl w:val="25A2FFA8"/>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456C7984"/>
    <w:multiLevelType w:val="hybridMultilevel"/>
    <w:tmpl w:val="E94E019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82E6299"/>
    <w:multiLevelType w:val="hybridMultilevel"/>
    <w:tmpl w:val="DBB67A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A625ECC"/>
    <w:multiLevelType w:val="hybridMultilevel"/>
    <w:tmpl w:val="5CB86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B9F6A9F"/>
    <w:multiLevelType w:val="hybridMultilevel"/>
    <w:tmpl w:val="A2425428"/>
    <w:lvl w:ilvl="0">
      <w:start w:val="1"/>
      <w:numFmt w:val="decimal"/>
      <w:lvlText w:val="%1."/>
      <w:lvlJc w:val="left"/>
      <w:pPr>
        <w:ind w:left="1080" w:hanging="360"/>
      </w:pPr>
      <w:rPr>
        <w:rFonts w:eastAsia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BE313A6"/>
    <w:multiLevelType w:val="hybridMultilevel"/>
    <w:tmpl w:val="76E495A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E26468C"/>
    <w:multiLevelType w:val="hybridMultilevel"/>
    <w:tmpl w:val="22F43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19045BA"/>
    <w:multiLevelType w:val="hybridMultilevel"/>
    <w:tmpl w:val="F7D2B7A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541D23B3"/>
    <w:multiLevelType w:val="hybridMultilevel"/>
    <w:tmpl w:val="F844E6A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8D77BC"/>
    <w:multiLevelType w:val="hybridMultilevel"/>
    <w:tmpl w:val="0590B36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1">
    <w:nsid w:val="55E9090E"/>
    <w:multiLevelType w:val="hybridMultilevel"/>
    <w:tmpl w:val="1292BD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88B14A8"/>
    <w:multiLevelType w:val="hybridMultilevel"/>
    <w:tmpl w:val="5822A88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94C75D8"/>
    <w:multiLevelType w:val="hybridMultilevel"/>
    <w:tmpl w:val="30F0F79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5A646F8B"/>
    <w:multiLevelType w:val="hybridMultilevel"/>
    <w:tmpl w:val="D28001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EC73735"/>
    <w:multiLevelType w:val="hybridMultilevel"/>
    <w:tmpl w:val="CFEE60B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2692E98"/>
    <w:multiLevelType w:val="hybridMultilevel"/>
    <w:tmpl w:val="41689328"/>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7">
    <w:nsid w:val="62B334C5"/>
    <w:multiLevelType w:val="hybridMultilevel"/>
    <w:tmpl w:val="D87CCF3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62CF6B25"/>
    <w:multiLevelType w:val="hybridMultilevel"/>
    <w:tmpl w:val="0A2235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3D07851"/>
    <w:multiLevelType w:val="hybridMultilevel"/>
    <w:tmpl w:val="3800C20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53A3BB9"/>
    <w:multiLevelType w:val="hybridMultilevel"/>
    <w:tmpl w:val="09A45E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6812F42"/>
    <w:multiLevelType w:val="hybridMultilevel"/>
    <w:tmpl w:val="EA6A7020"/>
    <w:lvl w:ilvl="0">
      <w:start w:val="9"/>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4506E12"/>
    <w:multiLevelType w:val="hybridMultilevel"/>
    <w:tmpl w:val="8836FB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4830EBD"/>
    <w:multiLevelType w:val="hybridMultilevel"/>
    <w:tmpl w:val="68BEB92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4FB033C"/>
    <w:multiLevelType w:val="hybridMultilevel"/>
    <w:tmpl w:val="3EACBB4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5">
    <w:nsid w:val="75CE3F69"/>
    <w:multiLevelType w:val="hybridMultilevel"/>
    <w:tmpl w:val="80FA95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AE03126"/>
    <w:multiLevelType w:val="hybridMultilevel"/>
    <w:tmpl w:val="6BEA8C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B844356"/>
    <w:multiLevelType w:val="hybridMultilevel"/>
    <w:tmpl w:val="BF2EF1FA"/>
    <w:lvl w:ilvl="0">
      <w:start w:val="1"/>
      <w:numFmt w:val="upperLetter"/>
      <w:lvlText w:val="%1."/>
      <w:lvlJc w:val="left"/>
      <w:pPr>
        <w:ind w:left="1080" w:hanging="360"/>
      </w:pPr>
      <w:rPr>
        <w:rFonts w:hint="default"/>
        <w:i/>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7E28076F"/>
    <w:multiLevelType w:val="hybridMultilevel"/>
    <w:tmpl w:val="AC827D56"/>
    <w:lvl w:ilvl="0">
      <w:start w:val="1"/>
      <w:numFmt w:val="upperLetter"/>
      <w:lvlText w:val="%1."/>
      <w:lvlJc w:val="left"/>
      <w:pPr>
        <w:ind w:left="1080" w:hanging="360"/>
      </w:pPr>
      <w:rPr>
        <w:rFonts w:hint="default"/>
        <w:i/>
        <w:iCs/>
      </w:rPr>
    </w:lvl>
    <w:lvl w:ilvl="1">
      <w:start w:val="1"/>
      <w:numFmt w:val="lowerLetter"/>
      <w:lvlText w:val="%2."/>
      <w:lvlJc w:val="left"/>
      <w:pPr>
        <w:ind w:left="1800" w:hanging="360"/>
      </w:pPr>
      <w:rPr>
        <w:i/>
        <w:iCs/>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7FD732F1"/>
    <w:multiLevelType w:val="hybridMultilevel"/>
    <w:tmpl w:val="4058F77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4"/>
  </w:num>
  <w:num w:numId="2">
    <w:abstractNumId w:val="24"/>
  </w:num>
  <w:num w:numId="3">
    <w:abstractNumId w:val="48"/>
  </w:num>
  <w:num w:numId="4">
    <w:abstractNumId w:val="21"/>
  </w:num>
  <w:num w:numId="5">
    <w:abstractNumId w:val="2"/>
  </w:num>
  <w:num w:numId="6">
    <w:abstractNumId w:val="6"/>
  </w:num>
  <w:num w:numId="7">
    <w:abstractNumId w:val="5"/>
  </w:num>
  <w:num w:numId="8">
    <w:abstractNumId w:val="15"/>
  </w:num>
  <w:num w:numId="9">
    <w:abstractNumId w:val="1"/>
  </w:num>
  <w:num w:numId="10">
    <w:abstractNumId w:val="28"/>
  </w:num>
  <w:num w:numId="11">
    <w:abstractNumId w:val="7"/>
  </w:num>
  <w:num w:numId="12">
    <w:abstractNumId w:val="49"/>
  </w:num>
  <w:num w:numId="13">
    <w:abstractNumId w:val="36"/>
  </w:num>
  <w:num w:numId="14">
    <w:abstractNumId w:val="30"/>
  </w:num>
  <w:num w:numId="15">
    <w:abstractNumId w:val="4"/>
  </w:num>
  <w:num w:numId="16">
    <w:abstractNumId w:val="26"/>
  </w:num>
  <w:num w:numId="17">
    <w:abstractNumId w:val="37"/>
  </w:num>
  <w:num w:numId="18">
    <w:abstractNumId w:val="31"/>
  </w:num>
  <w:num w:numId="19">
    <w:abstractNumId w:val="39"/>
  </w:num>
  <w:num w:numId="20">
    <w:abstractNumId w:val="11"/>
  </w:num>
  <w:num w:numId="21">
    <w:abstractNumId w:val="46"/>
  </w:num>
  <w:num w:numId="22">
    <w:abstractNumId w:val="44"/>
  </w:num>
  <w:num w:numId="23">
    <w:abstractNumId w:val="43"/>
  </w:num>
  <w:num w:numId="24">
    <w:abstractNumId w:val="9"/>
  </w:num>
  <w:num w:numId="25">
    <w:abstractNumId w:val="17"/>
  </w:num>
  <w:num w:numId="26">
    <w:abstractNumId w:val="12"/>
  </w:num>
  <w:num w:numId="27">
    <w:abstractNumId w:val="10"/>
  </w:num>
  <w:num w:numId="28">
    <w:abstractNumId w:val="45"/>
  </w:num>
  <w:num w:numId="29">
    <w:abstractNumId w:val="33"/>
  </w:num>
  <w:num w:numId="30">
    <w:abstractNumId w:val="34"/>
  </w:num>
  <w:num w:numId="31">
    <w:abstractNumId w:val="42"/>
  </w:num>
  <w:num w:numId="32">
    <w:abstractNumId w:val="47"/>
  </w:num>
  <w:num w:numId="33">
    <w:abstractNumId w:val="13"/>
  </w:num>
  <w:num w:numId="34">
    <w:abstractNumId w:val="8"/>
  </w:num>
  <w:num w:numId="35">
    <w:abstractNumId w:val="32"/>
  </w:num>
  <w:num w:numId="36">
    <w:abstractNumId w:val="25"/>
  </w:num>
  <w:num w:numId="37">
    <w:abstractNumId w:val="22"/>
  </w:num>
  <w:num w:numId="38">
    <w:abstractNumId w:val="0"/>
  </w:num>
  <w:num w:numId="39">
    <w:abstractNumId w:val="27"/>
  </w:num>
  <w:num w:numId="40">
    <w:abstractNumId w:val="38"/>
  </w:num>
  <w:num w:numId="41">
    <w:abstractNumId w:val="20"/>
  </w:num>
  <w:num w:numId="42">
    <w:abstractNumId w:val="35"/>
  </w:num>
  <w:num w:numId="43">
    <w:abstractNumId w:val="19"/>
  </w:num>
  <w:num w:numId="44">
    <w:abstractNumId w:val="3"/>
  </w:num>
  <w:num w:numId="45">
    <w:abstractNumId w:val="16"/>
  </w:num>
  <w:num w:numId="46">
    <w:abstractNumId w:val="23"/>
  </w:num>
  <w:num w:numId="47">
    <w:abstractNumId w:val="40"/>
  </w:num>
  <w:num w:numId="48">
    <w:abstractNumId w:val="29"/>
  </w:num>
  <w:num w:numId="49">
    <w:abstractNumId w:val="4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paragraph" w:styleId="Heading3">
    <w:name w:val="heading 3"/>
    <w:basedOn w:val="Normal"/>
    <w:link w:val="Heading3Char"/>
    <w:uiPriority w:val="9"/>
    <w:qFormat/>
    <w:rsid w:val="00DF1CD3"/>
    <w:pPr>
      <w:tabs>
        <w:tab w:val="clear" w:pos="720"/>
      </w:tabs>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37C0"/>
    <w:pPr>
      <w:spacing w:line="240" w:lineRule="auto"/>
    </w:pPr>
    <w:rPr>
      <w:szCs w:val="20"/>
    </w:rPr>
  </w:style>
  <w:style w:type="character" w:customStyle="1" w:styleId="FootnoteTextChar">
    <w:name w:val="Footnote Text Char"/>
    <w:basedOn w:val="DefaultParagraphFont"/>
    <w:link w:val="FootnoteText"/>
    <w:uiPriority w:val="99"/>
    <w:rsid w:val="00CE37C0"/>
    <w:rPr>
      <w:rFonts w:ascii="Times New Roman" w:hAnsi="Times New Roman" w:cs="Times New Roman"/>
      <w:sz w:val="26"/>
      <w:szCs w:val="20"/>
    </w:rPr>
  </w:style>
  <w:style w:type="paragraph" w:styleId="ListParagraph">
    <w:name w:val="List Paragraph"/>
    <w:basedOn w:val="Normal"/>
    <w:uiPriority w:val="34"/>
    <w:qFormat/>
    <w:rsid w:val="0039586A"/>
    <w:pPr>
      <w:ind w:left="720"/>
      <w:contextualSpacing/>
    </w:pPr>
  </w:style>
  <w:style w:type="character" w:customStyle="1" w:styleId="ssit">
    <w:name w:val="ss_it"/>
    <w:basedOn w:val="DefaultParagraphFont"/>
    <w:rsid w:val="00987E10"/>
  </w:style>
  <w:style w:type="character" w:styleId="Hyperlink">
    <w:name w:val="Hyperlink"/>
    <w:basedOn w:val="DefaultParagraphFont"/>
    <w:uiPriority w:val="99"/>
    <w:semiHidden/>
    <w:unhideWhenUsed/>
    <w:rsid w:val="00987E10"/>
    <w:rPr>
      <w:color w:val="0000FF"/>
      <w:u w:val="single"/>
    </w:rPr>
  </w:style>
  <w:style w:type="character" w:styleId="Emphasis">
    <w:name w:val="Emphasis"/>
    <w:basedOn w:val="DefaultParagraphFont"/>
    <w:uiPriority w:val="20"/>
    <w:qFormat/>
    <w:rsid w:val="003C2361"/>
    <w:rPr>
      <w:i/>
      <w:iCs/>
    </w:rPr>
  </w:style>
  <w:style w:type="character" w:customStyle="1" w:styleId="coconcept115">
    <w:name w:val="co_concept_1_15"/>
    <w:basedOn w:val="DefaultParagraphFont"/>
    <w:rsid w:val="003C2361"/>
  </w:style>
  <w:style w:type="character" w:customStyle="1" w:styleId="coconcept2037">
    <w:name w:val="co_concept_20_37"/>
    <w:basedOn w:val="DefaultParagraphFont"/>
    <w:rsid w:val="003C2361"/>
  </w:style>
  <w:style w:type="character" w:customStyle="1" w:styleId="coconcept7390">
    <w:name w:val="co_concept_73_90"/>
    <w:basedOn w:val="DefaultParagraphFont"/>
    <w:rsid w:val="003C2361"/>
  </w:style>
  <w:style w:type="character" w:customStyle="1" w:styleId="coconcept4367">
    <w:name w:val="co_concept_43_67"/>
    <w:basedOn w:val="DefaultParagraphFont"/>
    <w:rsid w:val="003C2361"/>
  </w:style>
  <w:style w:type="character" w:styleId="FootnoteReference">
    <w:name w:val="footnote reference"/>
    <w:basedOn w:val="DefaultParagraphFont"/>
    <w:uiPriority w:val="99"/>
    <w:semiHidden/>
    <w:unhideWhenUsed/>
    <w:rsid w:val="00824272"/>
    <w:rPr>
      <w:vertAlign w:val="superscript"/>
    </w:rPr>
  </w:style>
  <w:style w:type="paragraph" w:styleId="NormalWeb">
    <w:name w:val="Normal (Web)"/>
    <w:basedOn w:val="Normal"/>
    <w:uiPriority w:val="99"/>
    <w:unhideWhenUsed/>
    <w:rsid w:val="006C27B7"/>
    <w:pPr>
      <w:tabs>
        <w:tab w:val="clear" w:pos="720"/>
      </w:tabs>
      <w:spacing w:before="100" w:beforeAutospacing="1" w:after="100" w:afterAutospacing="1" w:line="240" w:lineRule="auto"/>
    </w:pPr>
    <w:rPr>
      <w:rFonts w:eastAsia="Times New Roman"/>
      <w:sz w:val="24"/>
      <w:szCs w:val="24"/>
    </w:rPr>
  </w:style>
  <w:style w:type="character" w:customStyle="1" w:styleId="ssrfcpassagedeactivated">
    <w:name w:val="ss_rfcpassage_deactivated"/>
    <w:basedOn w:val="DefaultParagraphFont"/>
    <w:rsid w:val="006C27B7"/>
  </w:style>
  <w:style w:type="character" w:customStyle="1" w:styleId="ssrfcsection">
    <w:name w:val="ss_rfcsection"/>
    <w:basedOn w:val="DefaultParagraphFont"/>
    <w:rsid w:val="006C27B7"/>
  </w:style>
  <w:style w:type="character" w:customStyle="1" w:styleId="costarpage">
    <w:name w:val="co_starpage"/>
    <w:basedOn w:val="DefaultParagraphFont"/>
    <w:rsid w:val="001E3C8B"/>
  </w:style>
  <w:style w:type="character" w:customStyle="1" w:styleId="cohighlightpoints">
    <w:name w:val="co_highlightpoints"/>
    <w:basedOn w:val="DefaultParagraphFont"/>
    <w:rsid w:val="00B91900"/>
  </w:style>
  <w:style w:type="character" w:customStyle="1" w:styleId="cosearchterm">
    <w:name w:val="co_searchterm"/>
    <w:basedOn w:val="DefaultParagraphFont"/>
    <w:rsid w:val="00D40FB7"/>
  </w:style>
  <w:style w:type="paragraph" w:customStyle="1" w:styleId="Default">
    <w:name w:val="Default"/>
    <w:rsid w:val="00B874E7"/>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coconcept1318">
    <w:name w:val="co_concept_13_18"/>
    <w:basedOn w:val="DefaultParagraphFont"/>
    <w:rsid w:val="00B01A5D"/>
  </w:style>
  <w:style w:type="character" w:customStyle="1" w:styleId="coconcept2324">
    <w:name w:val="co_concept_23_24"/>
    <w:basedOn w:val="DefaultParagraphFont"/>
    <w:rsid w:val="00B01A5D"/>
  </w:style>
  <w:style w:type="character" w:customStyle="1" w:styleId="coconcept2629">
    <w:name w:val="co_concept_26_29"/>
    <w:basedOn w:val="DefaultParagraphFont"/>
    <w:rsid w:val="00B01A5D"/>
  </w:style>
  <w:style w:type="character" w:customStyle="1" w:styleId="coconcept18">
    <w:name w:val="co_concept_1_8"/>
    <w:basedOn w:val="DefaultParagraphFont"/>
    <w:rsid w:val="00B01A5D"/>
  </w:style>
  <w:style w:type="character" w:customStyle="1" w:styleId="coconcept116">
    <w:name w:val="co_concept_1_16"/>
    <w:basedOn w:val="DefaultParagraphFont"/>
    <w:rsid w:val="00700DF6"/>
  </w:style>
  <w:style w:type="character" w:customStyle="1" w:styleId="coconcept3642">
    <w:name w:val="co_concept_36_42"/>
    <w:basedOn w:val="DefaultParagraphFont"/>
    <w:rsid w:val="00700DF6"/>
  </w:style>
  <w:style w:type="character" w:customStyle="1" w:styleId="coconcept1320">
    <w:name w:val="co_concept_13_20"/>
    <w:basedOn w:val="DefaultParagraphFont"/>
    <w:rsid w:val="00541DC9"/>
  </w:style>
  <w:style w:type="character" w:customStyle="1" w:styleId="coconcept4057">
    <w:name w:val="co_concept_40_57"/>
    <w:basedOn w:val="DefaultParagraphFont"/>
    <w:rsid w:val="00541DC9"/>
  </w:style>
  <w:style w:type="character" w:customStyle="1" w:styleId="coconcept2535">
    <w:name w:val="co_concept_25_35"/>
    <w:basedOn w:val="DefaultParagraphFont"/>
    <w:rsid w:val="00541DC9"/>
  </w:style>
  <w:style w:type="character" w:customStyle="1" w:styleId="coconcept8087">
    <w:name w:val="co_concept_80_87"/>
    <w:basedOn w:val="DefaultParagraphFont"/>
    <w:rsid w:val="0091550E"/>
  </w:style>
  <w:style w:type="character" w:customStyle="1" w:styleId="coconcept6775">
    <w:name w:val="co_concept_67_75"/>
    <w:basedOn w:val="DefaultParagraphFont"/>
    <w:rsid w:val="0091550E"/>
  </w:style>
  <w:style w:type="character" w:customStyle="1" w:styleId="coconcept1530">
    <w:name w:val="co_concept_15_30"/>
    <w:basedOn w:val="DefaultParagraphFont"/>
    <w:rsid w:val="005248E0"/>
  </w:style>
  <w:style w:type="character" w:customStyle="1" w:styleId="coconcept3443">
    <w:name w:val="co_concept_34_43"/>
    <w:basedOn w:val="DefaultParagraphFont"/>
    <w:rsid w:val="001A6F0D"/>
  </w:style>
  <w:style w:type="character" w:customStyle="1" w:styleId="coconcept15">
    <w:name w:val="co_concept_1_5"/>
    <w:basedOn w:val="DefaultParagraphFont"/>
    <w:rsid w:val="001A6F0D"/>
  </w:style>
  <w:style w:type="character" w:customStyle="1" w:styleId="coconcept2329">
    <w:name w:val="co_concept_23_29"/>
    <w:basedOn w:val="DefaultParagraphFont"/>
    <w:rsid w:val="001A6F0D"/>
  </w:style>
  <w:style w:type="character" w:customStyle="1" w:styleId="coconcept1018">
    <w:name w:val="co_concept_10_18"/>
    <w:basedOn w:val="DefaultParagraphFont"/>
    <w:rsid w:val="001A6F0D"/>
  </w:style>
  <w:style w:type="paragraph" w:styleId="Header">
    <w:name w:val="header"/>
    <w:basedOn w:val="Normal"/>
    <w:link w:val="HeaderChar"/>
    <w:uiPriority w:val="99"/>
    <w:unhideWhenUsed/>
    <w:rsid w:val="001300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3009B"/>
    <w:rPr>
      <w:rFonts w:ascii="Times New Roman" w:hAnsi="Times New Roman" w:cs="Times New Roman"/>
      <w:sz w:val="26"/>
    </w:rPr>
  </w:style>
  <w:style w:type="paragraph" w:styleId="Footer">
    <w:name w:val="footer"/>
    <w:basedOn w:val="Normal"/>
    <w:link w:val="FooterChar"/>
    <w:uiPriority w:val="99"/>
    <w:unhideWhenUsed/>
    <w:rsid w:val="0013009B"/>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13009B"/>
    <w:rPr>
      <w:rFonts w:ascii="Times New Roman" w:hAnsi="Times New Roman" w:cs="Times New Roman"/>
      <w:sz w:val="26"/>
    </w:rPr>
  </w:style>
  <w:style w:type="character" w:styleId="CommentReference">
    <w:name w:val="annotation reference"/>
    <w:basedOn w:val="DefaultParagraphFont"/>
    <w:uiPriority w:val="99"/>
    <w:semiHidden/>
    <w:unhideWhenUsed/>
    <w:rsid w:val="00A52653"/>
    <w:rPr>
      <w:sz w:val="16"/>
      <w:szCs w:val="16"/>
    </w:rPr>
  </w:style>
  <w:style w:type="paragraph" w:styleId="CommentText">
    <w:name w:val="annotation text"/>
    <w:basedOn w:val="Normal"/>
    <w:link w:val="CommentTextChar"/>
    <w:uiPriority w:val="99"/>
    <w:unhideWhenUsed/>
    <w:rsid w:val="00A52653"/>
    <w:pPr>
      <w:spacing w:line="240" w:lineRule="auto"/>
    </w:pPr>
    <w:rPr>
      <w:sz w:val="20"/>
      <w:szCs w:val="20"/>
    </w:rPr>
  </w:style>
  <w:style w:type="character" w:customStyle="1" w:styleId="CommentTextChar">
    <w:name w:val="Comment Text Char"/>
    <w:basedOn w:val="DefaultParagraphFont"/>
    <w:link w:val="CommentText"/>
    <w:uiPriority w:val="99"/>
    <w:rsid w:val="00A526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653"/>
    <w:rPr>
      <w:b/>
      <w:bCs/>
    </w:rPr>
  </w:style>
  <w:style w:type="character" w:customStyle="1" w:styleId="CommentSubjectChar">
    <w:name w:val="Comment Subject Char"/>
    <w:basedOn w:val="CommentTextChar"/>
    <w:link w:val="CommentSubject"/>
    <w:uiPriority w:val="99"/>
    <w:semiHidden/>
    <w:rsid w:val="00A52653"/>
    <w:rPr>
      <w:rFonts w:ascii="Times New Roman" w:hAnsi="Times New Roman" w:cs="Times New Roman"/>
      <w:b/>
      <w:bCs/>
      <w:sz w:val="20"/>
      <w:szCs w:val="20"/>
    </w:rPr>
  </w:style>
  <w:style w:type="character" w:customStyle="1" w:styleId="copinpointicon">
    <w:name w:val="co_pinpointicon"/>
    <w:basedOn w:val="DefaultParagraphFont"/>
    <w:rsid w:val="00D36A22"/>
  </w:style>
  <w:style w:type="character" w:customStyle="1" w:styleId="coconcept3948">
    <w:name w:val="co_concept_39_48"/>
    <w:basedOn w:val="DefaultParagraphFont"/>
    <w:rsid w:val="001D3198"/>
  </w:style>
  <w:style w:type="character" w:customStyle="1" w:styleId="coconcept2534">
    <w:name w:val="co_concept_25_34"/>
    <w:basedOn w:val="DefaultParagraphFont"/>
    <w:rsid w:val="001D3198"/>
  </w:style>
  <w:style w:type="character" w:customStyle="1" w:styleId="coconcept2732">
    <w:name w:val="co_concept_27_32"/>
    <w:basedOn w:val="DefaultParagraphFont"/>
    <w:rsid w:val="00AD55C2"/>
  </w:style>
  <w:style w:type="character" w:customStyle="1" w:styleId="coconcept1522">
    <w:name w:val="co_concept_15_22"/>
    <w:basedOn w:val="DefaultParagraphFont"/>
    <w:rsid w:val="00AD55C2"/>
  </w:style>
  <w:style w:type="paragraph" w:styleId="Revision">
    <w:name w:val="Revision"/>
    <w:hidden/>
    <w:uiPriority w:val="99"/>
    <w:semiHidden/>
    <w:rsid w:val="00075A95"/>
    <w:pPr>
      <w:spacing w:after="0" w:line="240" w:lineRule="auto"/>
    </w:pPr>
    <w:rPr>
      <w:rFonts w:ascii="Times New Roman" w:hAnsi="Times New Roman" w:cs="Times New Roman"/>
      <w:sz w:val="26"/>
    </w:rPr>
  </w:style>
  <w:style w:type="character" w:styleId="FollowedHyperlink">
    <w:name w:val="FollowedHyperlink"/>
    <w:basedOn w:val="DefaultParagraphFont"/>
    <w:uiPriority w:val="99"/>
    <w:semiHidden/>
    <w:unhideWhenUsed/>
    <w:rsid w:val="00121A17"/>
    <w:rPr>
      <w:color w:val="954F72" w:themeColor="followedHyperlink"/>
      <w:u w:val="single"/>
    </w:rPr>
  </w:style>
  <w:style w:type="character" w:customStyle="1" w:styleId="coconcept113">
    <w:name w:val="co_concept_1_13"/>
    <w:basedOn w:val="DefaultParagraphFont"/>
    <w:rsid w:val="00382607"/>
  </w:style>
  <w:style w:type="character" w:customStyle="1" w:styleId="coconcept1826">
    <w:name w:val="co_concept_18_26"/>
    <w:basedOn w:val="DefaultParagraphFont"/>
    <w:rsid w:val="00382607"/>
  </w:style>
  <w:style w:type="character" w:customStyle="1" w:styleId="coinlinekeyciteflag">
    <w:name w:val="co_inlinekeyciteflag"/>
    <w:basedOn w:val="DefaultParagraphFont"/>
    <w:rsid w:val="00376E40"/>
  </w:style>
  <w:style w:type="character" w:customStyle="1" w:styleId="coconcept118">
    <w:name w:val="co_concept_1_18"/>
    <w:basedOn w:val="DefaultParagraphFont"/>
    <w:rsid w:val="00886840"/>
  </w:style>
  <w:style w:type="character" w:customStyle="1" w:styleId="coconcept1319">
    <w:name w:val="co_concept_13_19"/>
    <w:basedOn w:val="DefaultParagraphFont"/>
    <w:rsid w:val="00BA770D"/>
  </w:style>
  <w:style w:type="character" w:customStyle="1" w:styleId="coconcept120">
    <w:name w:val="co_concept_1_20"/>
    <w:basedOn w:val="DefaultParagraphFont"/>
    <w:rsid w:val="00942730"/>
  </w:style>
  <w:style w:type="character" w:customStyle="1" w:styleId="coconcept2530">
    <w:name w:val="co_concept_25_30"/>
    <w:basedOn w:val="DefaultParagraphFont"/>
    <w:rsid w:val="00942730"/>
  </w:style>
  <w:style w:type="character" w:customStyle="1" w:styleId="coconcept3544">
    <w:name w:val="co_concept_35_44"/>
    <w:basedOn w:val="DefaultParagraphFont"/>
    <w:rsid w:val="00D875FE"/>
  </w:style>
  <w:style w:type="character" w:customStyle="1" w:styleId="coconcept2330">
    <w:name w:val="co_concept_23_30"/>
    <w:basedOn w:val="DefaultParagraphFont"/>
    <w:rsid w:val="00D875FE"/>
  </w:style>
  <w:style w:type="character" w:styleId="Strong">
    <w:name w:val="Strong"/>
    <w:basedOn w:val="DefaultParagraphFont"/>
    <w:uiPriority w:val="22"/>
    <w:qFormat/>
    <w:rsid w:val="006110B8"/>
    <w:rPr>
      <w:b/>
      <w:bCs/>
    </w:rPr>
  </w:style>
  <w:style w:type="character" w:customStyle="1" w:styleId="coconcept4553">
    <w:name w:val="co_concept_45_53"/>
    <w:basedOn w:val="DefaultParagraphFont"/>
    <w:rsid w:val="005B20EC"/>
  </w:style>
  <w:style w:type="character" w:customStyle="1" w:styleId="coconcept122">
    <w:name w:val="co_concept_1_22"/>
    <w:basedOn w:val="DefaultParagraphFont"/>
    <w:rsid w:val="005B20EC"/>
  </w:style>
  <w:style w:type="character" w:customStyle="1" w:styleId="coconcept2740">
    <w:name w:val="co_concept_27_40"/>
    <w:basedOn w:val="DefaultParagraphFont"/>
    <w:rsid w:val="005B20EC"/>
  </w:style>
  <w:style w:type="character" w:customStyle="1" w:styleId="coconcept14">
    <w:name w:val="co_concept_1_4"/>
    <w:basedOn w:val="DefaultParagraphFont"/>
    <w:rsid w:val="00412F74"/>
  </w:style>
  <w:style w:type="character" w:customStyle="1" w:styleId="coconcept3140">
    <w:name w:val="co_concept_31_40"/>
    <w:basedOn w:val="DefaultParagraphFont"/>
    <w:rsid w:val="00412F74"/>
  </w:style>
  <w:style w:type="character" w:customStyle="1" w:styleId="coconcept926">
    <w:name w:val="co_concept_9_26"/>
    <w:basedOn w:val="DefaultParagraphFont"/>
    <w:rsid w:val="00412F74"/>
  </w:style>
  <w:style w:type="character" w:customStyle="1" w:styleId="coconcept1724">
    <w:name w:val="co_concept_17_24"/>
    <w:basedOn w:val="DefaultParagraphFont"/>
    <w:rsid w:val="00910AF1"/>
  </w:style>
  <w:style w:type="character" w:customStyle="1" w:styleId="coconcept912">
    <w:name w:val="co_concept_9_12"/>
    <w:basedOn w:val="DefaultParagraphFont"/>
    <w:rsid w:val="00910AF1"/>
  </w:style>
  <w:style w:type="character" w:customStyle="1" w:styleId="coconcept1217">
    <w:name w:val="co_concept_12_17"/>
    <w:basedOn w:val="DefaultParagraphFont"/>
    <w:rsid w:val="00A01213"/>
  </w:style>
  <w:style w:type="character" w:customStyle="1" w:styleId="coconcept17">
    <w:name w:val="co_concept_1_7"/>
    <w:basedOn w:val="DefaultParagraphFont"/>
    <w:rsid w:val="00A01213"/>
  </w:style>
  <w:style w:type="character" w:customStyle="1" w:styleId="coconcept2240">
    <w:name w:val="co_concept_22_40"/>
    <w:basedOn w:val="DefaultParagraphFont"/>
    <w:rsid w:val="00A01213"/>
  </w:style>
  <w:style w:type="character" w:customStyle="1" w:styleId="act-cal">
    <w:name w:val="act-cal"/>
    <w:basedOn w:val="DefaultParagraphFont"/>
    <w:rsid w:val="00446CAA"/>
  </w:style>
  <w:style w:type="character" w:customStyle="1" w:styleId="coconcept2836">
    <w:name w:val="co_concept_28_36"/>
    <w:basedOn w:val="DefaultParagraphFont"/>
    <w:rsid w:val="008E0D2E"/>
  </w:style>
  <w:style w:type="character" w:customStyle="1" w:styleId="coconcept4146">
    <w:name w:val="co_concept_41_46"/>
    <w:basedOn w:val="DefaultParagraphFont"/>
    <w:rsid w:val="008E0D2E"/>
  </w:style>
  <w:style w:type="character" w:customStyle="1" w:styleId="coconcept19">
    <w:name w:val="co_concept_1_9"/>
    <w:basedOn w:val="DefaultParagraphFont"/>
    <w:rsid w:val="008E0D2E"/>
  </w:style>
  <w:style w:type="character" w:customStyle="1" w:styleId="coconcept1423">
    <w:name w:val="co_concept_14_23"/>
    <w:basedOn w:val="DefaultParagraphFont"/>
    <w:rsid w:val="008E0D2E"/>
  </w:style>
  <w:style w:type="character" w:customStyle="1" w:styleId="coconcept2229">
    <w:name w:val="co_concept_22_29"/>
    <w:basedOn w:val="DefaultParagraphFont"/>
    <w:rsid w:val="008055B9"/>
  </w:style>
  <w:style w:type="character" w:customStyle="1" w:styleId="coconcept1317">
    <w:name w:val="co_concept_13_17"/>
    <w:basedOn w:val="DefaultParagraphFont"/>
    <w:rsid w:val="008055B9"/>
  </w:style>
  <w:style w:type="character" w:customStyle="1" w:styleId="coconcept2427">
    <w:name w:val="co_concept_24_27"/>
    <w:basedOn w:val="DefaultParagraphFont"/>
    <w:rsid w:val="0057342B"/>
  </w:style>
  <w:style w:type="character" w:customStyle="1" w:styleId="coconcept1219">
    <w:name w:val="co_concept_12_19"/>
    <w:basedOn w:val="DefaultParagraphFont"/>
    <w:rsid w:val="0057342B"/>
  </w:style>
  <w:style w:type="character" w:customStyle="1" w:styleId="coconcept1235">
    <w:name w:val="co_concept_1_235"/>
    <w:basedOn w:val="DefaultParagraphFont"/>
    <w:rsid w:val="000108AC"/>
  </w:style>
  <w:style w:type="character" w:customStyle="1" w:styleId="Heading3Char">
    <w:name w:val="Heading 3 Char"/>
    <w:basedOn w:val="DefaultParagraphFont"/>
    <w:link w:val="Heading3"/>
    <w:uiPriority w:val="9"/>
    <w:rsid w:val="00DF1CD3"/>
    <w:rPr>
      <w:rFonts w:ascii="Times New Roman" w:eastAsia="Times New Roman" w:hAnsi="Times New Roman" w:cs="Times New Roman"/>
      <w:b/>
      <w:bCs/>
      <w:sz w:val="27"/>
      <w:szCs w:val="27"/>
    </w:rPr>
  </w:style>
  <w:style w:type="character" w:customStyle="1" w:styleId="coconcept1417">
    <w:name w:val="co_concept_14_17"/>
    <w:basedOn w:val="DefaultParagraphFont"/>
    <w:rsid w:val="0078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11959</Words>
  <Characters>68171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2024-04-02T20:35:45Z</dcterms:created>
  <dcterms:modified xsi:type="dcterms:W3CDTF">2024-04-02T20:35:45Z</dcterms:modified>
</cp:coreProperties>
</file>