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C83EA5" w:rsidRPr="0055529D" w:rsidP="00875A69" w14:paraId="3A5F57D2" w14:textId="5687D187">
      <w:pPr>
        <w:ind w:firstLine="0"/>
        <w:rPr>
          <w:sz w:val="20"/>
          <w:szCs w:val="20"/>
        </w:rPr>
      </w:pPr>
      <w:r w:rsidRPr="0055529D">
        <w:rPr>
          <w:sz w:val="20"/>
          <w:szCs w:val="20"/>
        </w:rPr>
        <w:t>Filed 4/15/24</w:t>
      </w:r>
      <w:r w:rsidR="00202A47">
        <w:rPr>
          <w:sz w:val="20"/>
          <w:szCs w:val="20"/>
        </w:rPr>
        <w:t>; Certified for Publication 5/9/24 (order attached)</w:t>
      </w:r>
    </w:p>
    <w:p w:rsidR="00004477" w:rsidP="00752E03" w14:paraId="5EE78B63" w14:textId="69F6593E">
      <w:pPr>
        <w:spacing w:line="240" w:lineRule="auto"/>
        <w:ind w:firstLine="0"/>
        <w:jc w:val="center"/>
        <w:rPr>
          <w:b/>
        </w:rPr>
      </w:pPr>
    </w:p>
    <w:p w:rsidR="00004477" w:rsidP="00752E03" w14:paraId="73DB365E" w14:textId="77777777">
      <w:pPr>
        <w:spacing w:line="240" w:lineRule="auto"/>
        <w:ind w:firstLine="0"/>
        <w:jc w:val="center"/>
        <w:rPr>
          <w:b/>
        </w:rPr>
      </w:pPr>
    </w:p>
    <w:p w:rsidR="00004477" w:rsidP="00752E03" w14:paraId="5EEE99F9" w14:textId="77777777">
      <w:pPr>
        <w:spacing w:line="240" w:lineRule="auto"/>
        <w:ind w:firstLine="0"/>
        <w:rPr>
          <w:rFonts w:ascii="Arial" w:hAnsi="Arial" w:cs="Arial"/>
          <w:b/>
          <w:sz w:val="16"/>
        </w:rPr>
      </w:pPr>
    </w:p>
    <w:p w:rsidR="00202A47" w:rsidP="00752E03" w14:paraId="361185C6" w14:textId="77777777">
      <w:pPr>
        <w:spacing w:line="240" w:lineRule="auto"/>
        <w:ind w:firstLine="0"/>
        <w:rPr>
          <w:rFonts w:ascii="Arial" w:hAnsi="Arial" w:cs="Arial"/>
          <w:b/>
          <w:sz w:val="16"/>
        </w:rPr>
      </w:pPr>
    </w:p>
    <w:p w:rsidR="00202A47" w:rsidP="00752E03" w14:paraId="680DAC92" w14:textId="77777777">
      <w:pPr>
        <w:spacing w:line="240" w:lineRule="auto"/>
        <w:ind w:firstLine="0"/>
        <w:rPr>
          <w:rFonts w:ascii="Arial" w:hAnsi="Arial" w:cs="Arial"/>
          <w:b/>
          <w:sz w:val="16"/>
        </w:rPr>
      </w:pPr>
    </w:p>
    <w:p w:rsidR="00202A47" w:rsidP="00752E03" w14:paraId="41AC5309" w14:textId="77777777">
      <w:pPr>
        <w:spacing w:line="240" w:lineRule="auto"/>
        <w:ind w:firstLine="0"/>
        <w:rPr>
          <w:rFonts w:ascii="Arial" w:hAnsi="Arial" w:cs="Arial"/>
          <w:b/>
          <w:sz w:val="16"/>
        </w:rPr>
      </w:pPr>
    </w:p>
    <w:p w:rsidR="00202A47" w:rsidP="00752E03" w14:paraId="3E68D7FC" w14:textId="77777777">
      <w:pPr>
        <w:spacing w:line="240" w:lineRule="auto"/>
        <w:ind w:firstLine="0"/>
        <w:rPr>
          <w:rFonts w:ascii="Arial" w:hAnsi="Arial" w:cs="Arial"/>
          <w:b/>
          <w:sz w:val="16"/>
        </w:rPr>
      </w:pPr>
    </w:p>
    <w:p w:rsidR="00202A47" w:rsidP="00752E03" w14:paraId="51D8289E" w14:textId="77777777">
      <w:pPr>
        <w:spacing w:line="240" w:lineRule="auto"/>
        <w:ind w:firstLine="0"/>
        <w:rPr>
          <w:rFonts w:ascii="Arial" w:hAnsi="Arial" w:cs="Arial"/>
          <w:b/>
          <w:sz w:val="16"/>
        </w:rPr>
      </w:pPr>
    </w:p>
    <w:p w:rsidR="00202A47" w:rsidP="00752E03" w14:paraId="12E0F1A1" w14:textId="77777777">
      <w:pPr>
        <w:spacing w:line="240" w:lineRule="auto"/>
        <w:ind w:firstLine="0"/>
        <w:rPr>
          <w:rFonts w:ascii="Arial" w:hAnsi="Arial" w:cs="Arial"/>
          <w:b/>
          <w:sz w:val="16"/>
        </w:rPr>
      </w:pPr>
    </w:p>
    <w:p w:rsidR="00202A47" w:rsidP="00752E03" w14:paraId="2423A1BF" w14:textId="77777777">
      <w:pPr>
        <w:spacing w:line="240" w:lineRule="auto"/>
        <w:ind w:firstLine="0"/>
      </w:pPr>
    </w:p>
    <w:p w:rsidR="00004477" w:rsidP="00752E03" w14:paraId="0295C90A" w14:textId="77777777">
      <w:pPr>
        <w:spacing w:line="240" w:lineRule="auto"/>
        <w:ind w:firstLine="0"/>
        <w:jc w:val="center"/>
      </w:pPr>
      <w:r>
        <w:t>IN THE COURT OF APPEAL OF THE STATE OF CALIFORNIA</w:t>
      </w:r>
    </w:p>
    <w:p w:rsidR="00004477" w:rsidP="00752E03" w14:paraId="474E4778" w14:textId="77777777">
      <w:pPr>
        <w:spacing w:line="240" w:lineRule="auto"/>
        <w:ind w:firstLine="0"/>
        <w:jc w:val="center"/>
      </w:pPr>
    </w:p>
    <w:p w:rsidR="00004477" w:rsidP="00752E03" w14:paraId="2118A156" w14:textId="77777777">
      <w:pPr>
        <w:spacing w:line="240" w:lineRule="auto"/>
        <w:ind w:firstLine="0"/>
        <w:jc w:val="center"/>
      </w:pPr>
      <w:r>
        <w:t>SIXTH APPELLATE DISTRICT</w:t>
      </w:r>
    </w:p>
    <w:p w:rsidR="00004477" w:rsidP="00752E03" w14:paraId="48F22972" w14:textId="77777777">
      <w:pPr>
        <w:spacing w:line="240" w:lineRule="auto"/>
        <w:ind w:firstLine="0"/>
        <w:jc w:val="center"/>
      </w:pPr>
    </w:p>
    <w:p w:rsidR="00004477" w:rsidP="00752E03" w14:paraId="0D2CE604" w14:textId="77777777">
      <w:pPr>
        <w:spacing w:line="240" w:lineRule="auto"/>
        <w:ind w:firstLine="0"/>
        <w:jc w:val="center"/>
      </w:pPr>
    </w:p>
    <w:tbl>
      <w:tblPr>
        <w:tblW w:w="0" w:type="auto"/>
        <w:tblLayout w:type="fixed"/>
        <w:tblLook w:val="0000"/>
      </w:tblPr>
      <w:tblGrid>
        <w:gridCol w:w="4680"/>
        <w:gridCol w:w="4680"/>
      </w:tblGrid>
      <w:tr w14:paraId="54E56C18" w14:textId="77777777" w:rsidTr="00004477">
        <w:tblPrEx>
          <w:tblW w:w="0" w:type="auto"/>
          <w:tblLayout w:type="fixed"/>
          <w:tblLook w:val="0000"/>
        </w:tblPrEx>
        <w:tc>
          <w:tcPr>
            <w:tcW w:w="4680" w:type="dxa"/>
            <w:tcBorders>
              <w:bottom w:val="single" w:sz="4" w:space="0" w:color="auto"/>
              <w:right w:val="single" w:sz="4" w:space="0" w:color="auto"/>
            </w:tcBorders>
            <w:shd w:val="clear" w:color="auto" w:fill="auto"/>
          </w:tcPr>
          <w:p w:rsidR="00004477" w:rsidP="00752E03" w14:paraId="0E80D4A3" w14:textId="5CEA9619">
            <w:pPr>
              <w:spacing w:line="240" w:lineRule="auto"/>
              <w:ind w:firstLine="0"/>
            </w:pPr>
            <w:r>
              <w:t>ROBERT BASSI,</w:t>
            </w:r>
          </w:p>
          <w:p w:rsidR="00004477" w:rsidP="00752E03" w14:paraId="7F6A38FE" w14:textId="77777777">
            <w:pPr>
              <w:spacing w:line="240" w:lineRule="auto"/>
              <w:ind w:firstLine="0"/>
            </w:pPr>
          </w:p>
          <w:p w:rsidR="00004477" w:rsidP="00752E03" w14:paraId="291968ED" w14:textId="09B3A559">
            <w:pPr>
              <w:spacing w:line="240" w:lineRule="auto"/>
              <w:ind w:left="720" w:firstLine="0"/>
            </w:pPr>
            <w:r>
              <w:t xml:space="preserve">Plaintiff and </w:t>
            </w:r>
            <w:r w:rsidR="00396DEB">
              <w:t>Respondent,</w:t>
            </w:r>
          </w:p>
          <w:p w:rsidR="00004477" w:rsidP="00752E03" w14:paraId="4EDB214A" w14:textId="77777777">
            <w:pPr>
              <w:spacing w:line="240" w:lineRule="auto"/>
              <w:ind w:left="720" w:firstLine="0"/>
            </w:pPr>
          </w:p>
          <w:p w:rsidR="00004477" w:rsidRPr="002D669B" w:rsidP="00752E03" w14:paraId="479901E1" w14:textId="77777777">
            <w:pPr>
              <w:spacing w:line="240" w:lineRule="auto"/>
              <w:ind w:left="720" w:firstLine="0"/>
            </w:pPr>
            <w:r w:rsidRPr="002D669B">
              <w:t>v.</w:t>
            </w:r>
          </w:p>
          <w:p w:rsidR="00004477" w:rsidRPr="002D669B" w:rsidP="00752E03" w14:paraId="53E9E117" w14:textId="77777777">
            <w:pPr>
              <w:spacing w:line="240" w:lineRule="auto"/>
              <w:ind w:firstLine="0"/>
            </w:pPr>
          </w:p>
          <w:p w:rsidR="00004477" w:rsidRPr="002D669B" w:rsidP="00752E03" w14:paraId="4E6D0CB7" w14:textId="0320156F">
            <w:pPr>
              <w:spacing w:line="240" w:lineRule="auto"/>
              <w:ind w:firstLine="0"/>
            </w:pPr>
            <w:r>
              <w:t>SUSAN BASSI</w:t>
            </w:r>
            <w:r w:rsidRPr="002D669B">
              <w:t>,</w:t>
            </w:r>
          </w:p>
          <w:p w:rsidR="00004477" w:rsidRPr="002D669B" w:rsidP="00752E03" w14:paraId="488DAEC2" w14:textId="77777777">
            <w:pPr>
              <w:spacing w:line="240" w:lineRule="auto"/>
              <w:ind w:firstLine="0"/>
            </w:pPr>
          </w:p>
          <w:p w:rsidR="00004477" w:rsidRPr="002D669B" w:rsidP="00752E03" w14:paraId="7E761FFD" w14:textId="1743D770">
            <w:pPr>
              <w:spacing w:line="240" w:lineRule="auto"/>
              <w:ind w:left="720" w:firstLine="0"/>
            </w:pPr>
            <w:r>
              <w:t xml:space="preserve">Defendant and </w:t>
            </w:r>
            <w:r w:rsidR="00396DEB">
              <w:t>Appellant</w:t>
            </w:r>
            <w:r w:rsidRPr="002D669B" w:rsidR="00396DEB">
              <w:t>.</w:t>
            </w:r>
          </w:p>
          <w:p w:rsidR="00004477" w:rsidRPr="002D669B" w:rsidP="00752E03" w14:paraId="14B6331C" w14:textId="77777777">
            <w:pPr>
              <w:spacing w:line="240" w:lineRule="auto"/>
              <w:ind w:firstLine="0"/>
            </w:pPr>
          </w:p>
        </w:tc>
        <w:tc>
          <w:tcPr>
            <w:tcW w:w="4680" w:type="dxa"/>
            <w:tcBorders>
              <w:left w:val="single" w:sz="4" w:space="0" w:color="auto"/>
            </w:tcBorders>
            <w:shd w:val="clear" w:color="auto" w:fill="auto"/>
          </w:tcPr>
          <w:p w:rsidR="00004477" w:rsidP="00752E03" w14:paraId="2CD378F0" w14:textId="6C4F5D5E">
            <w:pPr>
              <w:spacing w:line="240" w:lineRule="auto"/>
              <w:ind w:firstLine="0"/>
            </w:pPr>
            <w:r w:rsidRPr="002D669B">
              <w:t xml:space="preserve">      </w:t>
            </w:r>
            <w:r>
              <w:t>H0</w:t>
            </w:r>
            <w:r w:rsidR="00DE1A43">
              <w:t>49873</w:t>
            </w:r>
          </w:p>
          <w:p w:rsidR="00004477" w:rsidP="00752E03" w14:paraId="47D358C4" w14:textId="2A52699E">
            <w:pPr>
              <w:spacing w:line="240" w:lineRule="auto"/>
              <w:ind w:firstLine="0"/>
            </w:pPr>
            <w:r>
              <w:t xml:space="preserve">     (</w:t>
            </w:r>
            <w:r w:rsidR="00DE1A43">
              <w:t>Santa Clara</w:t>
            </w:r>
            <w:r>
              <w:t xml:space="preserve"> County</w:t>
            </w:r>
          </w:p>
          <w:p w:rsidR="00004477" w:rsidP="00752E03" w14:paraId="12013F48" w14:textId="55C4FBC5">
            <w:pPr>
              <w:spacing w:line="240" w:lineRule="auto"/>
              <w:ind w:firstLine="0"/>
            </w:pPr>
            <w:r>
              <w:t xml:space="preserve">      Super. Ct. No. </w:t>
            </w:r>
            <w:r w:rsidRPr="00DE1A43" w:rsidR="00DE1A43">
              <w:t>2012FL009065</w:t>
            </w:r>
            <w:r>
              <w:t>)</w:t>
            </w:r>
          </w:p>
        </w:tc>
      </w:tr>
    </w:tbl>
    <w:p w:rsidR="002C7CD9" w:rsidP="00AE3633" w14:paraId="455EF562" w14:textId="3B023558">
      <w:pPr>
        <w:ind w:firstLine="0"/>
        <w:jc w:val="center"/>
      </w:pPr>
      <w:r w:rsidRPr="0069122C">
        <w:rPr>
          <w:b/>
          <w:bCs/>
          <w:smallCaps/>
          <w:u w:val="single"/>
        </w:rPr>
        <w:t>The Court</w:t>
      </w:r>
      <w:r>
        <w:rPr>
          <w:b/>
          <w:bCs/>
          <w:vertAlign w:val="superscript"/>
        </w:rPr>
        <w:footnoteReference w:id="3"/>
      </w:r>
    </w:p>
    <w:p w:rsidR="00E2704E" w:rsidP="00004477" w14:paraId="73A095D5" w14:textId="5B20B6D0">
      <w:r>
        <w:t>Susan Bassi</w:t>
      </w:r>
      <w:r w:rsidR="00337297">
        <w:t xml:space="preserve"> appeals the denial of her </w:t>
      </w:r>
      <w:r>
        <w:t>anti-SLAPP motion</w:t>
      </w:r>
      <w:r>
        <w:rPr>
          <w:rStyle w:val="FootnoteReference"/>
          <w:b/>
          <w:bCs/>
        </w:rPr>
        <w:footnoteReference w:id="4"/>
      </w:r>
      <w:r w:rsidR="00896A38">
        <w:t xml:space="preserve"> </w:t>
      </w:r>
      <w:r>
        <w:t xml:space="preserve">to strike </w:t>
      </w:r>
      <w:r w:rsidR="00337297">
        <w:t xml:space="preserve">a </w:t>
      </w:r>
      <w:r>
        <w:t xml:space="preserve">petition for a domestic violence restraining order (DVRO) </w:t>
      </w:r>
      <w:r w:rsidR="00C50FD7">
        <w:t>brought</w:t>
      </w:r>
      <w:r>
        <w:t xml:space="preserve"> by </w:t>
      </w:r>
      <w:r w:rsidR="00810780">
        <w:t xml:space="preserve">her </w:t>
      </w:r>
      <w:r>
        <w:t>ex-husband, Robert Bassi.</w:t>
      </w:r>
      <w:r>
        <w:rPr>
          <w:rStyle w:val="FootnoteReference"/>
          <w:b/>
          <w:bCs/>
        </w:rPr>
        <w:footnoteReference w:id="5"/>
      </w:r>
      <w:r>
        <w:t xml:space="preserve">  </w:t>
      </w:r>
      <w:r w:rsidR="00C50FD7">
        <w:t xml:space="preserve">Robert filed the petition for DVRO </w:t>
      </w:r>
      <w:r w:rsidR="00896A38">
        <w:t xml:space="preserve">in response to </w:t>
      </w:r>
      <w:r w:rsidR="002C7CD9">
        <w:t>a series of e-mails from Susan that</w:t>
      </w:r>
      <w:r w:rsidR="00587D02">
        <w:t xml:space="preserve"> he</w:t>
      </w:r>
      <w:r w:rsidR="002C7CD9">
        <w:t xml:space="preserve"> contends were harassing,</w:t>
      </w:r>
      <w:r w:rsidR="00896A38">
        <w:t xml:space="preserve"> disturbed his peace, interfered with his business, and affected his standing</w:t>
      </w:r>
      <w:r w:rsidR="00233277">
        <w:t xml:space="preserve"> in the community</w:t>
      </w:r>
      <w:r w:rsidR="00896A38">
        <w:t xml:space="preserve">.  Susan </w:t>
      </w:r>
      <w:r w:rsidR="00ED7D0C">
        <w:t xml:space="preserve">asserts </w:t>
      </w:r>
      <w:r w:rsidR="00896A38">
        <w:t xml:space="preserve">the e-mails </w:t>
      </w:r>
      <w:r w:rsidR="00587D02">
        <w:t xml:space="preserve">are protected free speech and </w:t>
      </w:r>
      <w:r w:rsidR="00587D02">
        <w:t xml:space="preserve">litigation correspondence </w:t>
      </w:r>
      <w:r w:rsidR="006066D4">
        <w:t xml:space="preserve">informing </w:t>
      </w:r>
      <w:r w:rsidR="00587D02">
        <w:t xml:space="preserve">Robert of </w:t>
      </w:r>
      <w:r w:rsidR="001F5E7C">
        <w:t xml:space="preserve">her </w:t>
      </w:r>
      <w:r w:rsidR="00D65C2F">
        <w:t>intent to file</w:t>
      </w:r>
      <w:r w:rsidR="00587D02">
        <w:t xml:space="preserve"> an “agricultural racketeering RICO”</w:t>
      </w:r>
      <w:r>
        <w:rPr>
          <w:rStyle w:val="FootnoteReference"/>
          <w:b/>
          <w:bCs/>
        </w:rPr>
        <w:footnoteReference w:id="6"/>
      </w:r>
      <w:r w:rsidR="00587D02">
        <w:t xml:space="preserve"> action against him and others.</w:t>
      </w:r>
      <w:r w:rsidR="001F5E7C">
        <w:t xml:space="preserve">  </w:t>
      </w:r>
    </w:p>
    <w:p w:rsidR="00004477" w:rsidP="00004477" w14:paraId="01384F58" w14:textId="02AA0C71">
      <w:r>
        <w:t xml:space="preserve">The trial court denied </w:t>
      </w:r>
      <w:r w:rsidR="00E2704E">
        <w:t xml:space="preserve">Susan’s </w:t>
      </w:r>
      <w:r>
        <w:t xml:space="preserve">anti-SLAPP motion after deciding that several of the e-mails were not privileged or protected speech, and Robert had </w:t>
      </w:r>
      <w:r w:rsidRPr="000B116A">
        <w:t>demonstrate</w:t>
      </w:r>
      <w:r>
        <w:t>d</w:t>
      </w:r>
      <w:r w:rsidRPr="000B116A">
        <w:t xml:space="preserve"> </w:t>
      </w:r>
      <w:r>
        <w:t xml:space="preserve">a likelihood of prevailing on the </w:t>
      </w:r>
      <w:r w:rsidRPr="000B116A">
        <w:t>merit</w:t>
      </w:r>
      <w:r>
        <w:t xml:space="preserve">s </w:t>
      </w:r>
      <w:r w:rsidRPr="000B116A">
        <w:t xml:space="preserve">of </w:t>
      </w:r>
      <w:r>
        <w:t xml:space="preserve">his DVRO petition.  </w:t>
      </w:r>
      <w:r w:rsidR="00B75944">
        <w:t>We affirm the order</w:t>
      </w:r>
      <w:r w:rsidR="00761BE2">
        <w:t>.</w:t>
      </w:r>
    </w:p>
    <w:p w:rsidR="00004477" w:rsidP="005E1B17" w14:paraId="68489DC9" w14:textId="0AB4B77B">
      <w:pPr>
        <w:pStyle w:val="Heading1"/>
        <w:numPr>
          <w:ilvl w:val="0"/>
          <w:numId w:val="2"/>
        </w:numPr>
      </w:pPr>
      <w:r>
        <w:t>Facts and procedural background</w:t>
      </w:r>
      <w:r>
        <w:rPr>
          <w:rStyle w:val="FootnoteReference"/>
        </w:rPr>
        <w:footnoteReference w:id="7"/>
      </w:r>
    </w:p>
    <w:p w:rsidR="004E6134" w:rsidP="004E6134" w14:paraId="53FE5D54" w14:textId="4EB07B55">
      <w:pPr>
        <w:pStyle w:val="Heading2"/>
      </w:pPr>
      <w:r>
        <w:t>A.  Petition For Domestic Violence Restraining Order</w:t>
      </w:r>
    </w:p>
    <w:p w:rsidR="00004477" w:rsidP="00004477" w14:paraId="44DA23E9" w14:textId="4549474F">
      <w:r>
        <w:t xml:space="preserve">This appeal arises from </w:t>
      </w:r>
      <w:r w:rsidR="008C55A1">
        <w:t xml:space="preserve">a </w:t>
      </w:r>
      <w:r>
        <w:t xml:space="preserve">DVRO petition </w:t>
      </w:r>
      <w:r w:rsidR="008C55A1">
        <w:t xml:space="preserve">filed </w:t>
      </w:r>
      <w:r w:rsidR="00D65C2F">
        <w:t xml:space="preserve">toward </w:t>
      </w:r>
      <w:r w:rsidR="008C55A1">
        <w:t>the end of a</w:t>
      </w:r>
      <w:r w:rsidR="006066D4">
        <w:t xml:space="preserve"> </w:t>
      </w:r>
      <w:r>
        <w:t xml:space="preserve">protracted and contentious marital dissolution between Susan and Robert.  </w:t>
      </w:r>
      <w:r w:rsidR="009831FC">
        <w:t>In 2018, the trial court entered judgment in the marital dissolution</w:t>
      </w:r>
      <w:r w:rsidR="00D65C2F">
        <w:t>;</w:t>
      </w:r>
      <w:r w:rsidR="00665C7D">
        <w:t xml:space="preserve"> this court affirmed the judgment</w:t>
      </w:r>
      <w:r w:rsidR="008C55A1">
        <w:t xml:space="preserve"> in 2023</w:t>
      </w:r>
      <w:r w:rsidR="009831FC">
        <w:t>.</w:t>
      </w:r>
      <w:r>
        <w:rPr>
          <w:rStyle w:val="FootnoteReference"/>
          <w:b/>
          <w:bCs/>
        </w:rPr>
        <w:footnoteReference w:id="8"/>
      </w:r>
      <w:r w:rsidR="009831FC">
        <w:t xml:space="preserve">  </w:t>
      </w:r>
    </w:p>
    <w:p w:rsidR="00342C74" w:rsidP="00004477" w14:paraId="6567D48D" w14:textId="63F0D7CB">
      <w:r>
        <w:t>In 2021, Robert filed a petition for DVRO</w:t>
      </w:r>
      <w:r w:rsidR="005C2403">
        <w:t xml:space="preserve"> (hereafter, petition)</w:t>
      </w:r>
      <w:r w:rsidR="002A52BA">
        <w:t xml:space="preserve"> and obtained a temporary restraining order against Susan</w:t>
      </w:r>
      <w:r w:rsidR="003F28D6">
        <w:t xml:space="preserve">. </w:t>
      </w:r>
      <w:r w:rsidR="00AC6231">
        <w:t xml:space="preserve"> </w:t>
      </w:r>
      <w:r w:rsidR="005C2403">
        <w:t xml:space="preserve">The petition indicated that Robert and Susan were previously married, </w:t>
      </w:r>
      <w:r w:rsidR="00B12F3D">
        <w:t xml:space="preserve">had </w:t>
      </w:r>
      <w:r w:rsidR="005C2403">
        <w:t>initiated</w:t>
      </w:r>
      <w:r w:rsidR="002A52BA">
        <w:t xml:space="preserve"> a divorce action </w:t>
      </w:r>
      <w:r w:rsidR="005C2403">
        <w:t xml:space="preserve">in 2012, and that Susan was </w:t>
      </w:r>
      <w:r w:rsidR="00233277">
        <w:t xml:space="preserve">previously </w:t>
      </w:r>
      <w:r w:rsidR="005C2403">
        <w:t xml:space="preserve">declared a vexatious litigant by the </w:t>
      </w:r>
      <w:r w:rsidR="002A52BA">
        <w:t>superior court</w:t>
      </w:r>
      <w:r w:rsidR="005C2403">
        <w:t xml:space="preserve">. </w:t>
      </w:r>
    </w:p>
    <w:p w:rsidR="003B4E69" w:rsidP="00004477" w14:paraId="4589E2A0" w14:textId="26DA31F6">
      <w:r>
        <w:t xml:space="preserve">The </w:t>
      </w:r>
      <w:r w:rsidR="00D25CDA">
        <w:t xml:space="preserve">2021 </w:t>
      </w:r>
      <w:r>
        <w:t>petition</w:t>
      </w:r>
      <w:r w:rsidR="00200847">
        <w:t xml:space="preserve"> </w:t>
      </w:r>
      <w:r w:rsidR="00D65C2F">
        <w:t>cited</w:t>
      </w:r>
      <w:r w:rsidR="00F15BEF">
        <w:t xml:space="preserve"> </w:t>
      </w:r>
      <w:r w:rsidR="008C55A1">
        <w:t xml:space="preserve">a </w:t>
      </w:r>
      <w:r w:rsidR="00F15BEF">
        <w:t xml:space="preserve">“barrage” of </w:t>
      </w:r>
      <w:r>
        <w:t>e-mail communications</w:t>
      </w:r>
      <w:r w:rsidR="00F15BEF">
        <w:t xml:space="preserve"> </w:t>
      </w:r>
      <w:r w:rsidR="008C55A1">
        <w:t xml:space="preserve">from Susan </w:t>
      </w:r>
      <w:r w:rsidR="00D65C2F">
        <w:t xml:space="preserve">as </w:t>
      </w:r>
      <w:r>
        <w:t xml:space="preserve">the basis </w:t>
      </w:r>
      <w:r w:rsidR="00B12F3D">
        <w:t>of</w:t>
      </w:r>
      <w:r>
        <w:t xml:space="preserve"> the </w:t>
      </w:r>
      <w:r w:rsidR="00D25CDA">
        <w:t xml:space="preserve">requested </w:t>
      </w:r>
      <w:r w:rsidR="00342C74">
        <w:t xml:space="preserve">restraining order.  </w:t>
      </w:r>
      <w:r w:rsidR="00B12F3D">
        <w:t>Robert</w:t>
      </w:r>
      <w:r w:rsidR="00342C74">
        <w:t xml:space="preserve"> asserted, “Susan Bassi has been harassing me for months by email, disturbing my peace, and interfering with my business.  The harassing emails make accusations that I have engaged in criminal acts, fraud, vast </w:t>
      </w:r>
      <w:r w:rsidR="00342C74">
        <w:t xml:space="preserve">conspiracies, and threaten me directly.  The emails are often copied to business associates and customers, subjecting me to contempt, ridicule, and lost opportunities.  My lawyer asked </w:t>
      </w:r>
      <w:r w:rsidR="007E6936">
        <w:t>[</w:t>
      </w:r>
      <w:r w:rsidR="000E660E">
        <w:t>the</w:t>
      </w:r>
      <w:r w:rsidR="007E6936">
        <w:t>]</w:t>
      </w:r>
      <w:r w:rsidR="00342C74">
        <w:t xml:space="preserve"> lawyer for Susan Bassi to stop with the harassing emails and all she did was step up the number of harassing emails.”</w:t>
      </w:r>
      <w:r w:rsidR="00200847">
        <w:t xml:space="preserve"> </w:t>
      </w:r>
      <w:r w:rsidR="00342C74">
        <w:t xml:space="preserve"> </w:t>
      </w:r>
    </w:p>
    <w:p w:rsidR="002A52BA" w:rsidP="00004477" w14:paraId="7BB63549" w14:textId="56BEDB81">
      <w:r>
        <w:t>Robert</w:t>
      </w:r>
      <w:r w:rsidR="00F15BEF">
        <w:t xml:space="preserve"> </w:t>
      </w:r>
      <w:r w:rsidR="00810780">
        <w:t xml:space="preserve">contended </w:t>
      </w:r>
      <w:r w:rsidR="00F15BEF">
        <w:t xml:space="preserve">that the e-mails served “no legitimate purpose” because he and </w:t>
      </w:r>
      <w:r w:rsidR="00D25CDA">
        <w:t>Susan</w:t>
      </w:r>
      <w:r w:rsidR="00F15BEF">
        <w:t xml:space="preserve"> were </w:t>
      </w:r>
      <w:r w:rsidR="00D25CDA">
        <w:t>each</w:t>
      </w:r>
      <w:r w:rsidR="00F15BEF">
        <w:t xml:space="preserve"> represented by counsel and there was no need for her to </w:t>
      </w:r>
      <w:r w:rsidR="00D65C2F">
        <w:t>personally</w:t>
      </w:r>
      <w:r w:rsidR="00ED7D0C">
        <w:t xml:space="preserve"> </w:t>
      </w:r>
      <w:r w:rsidR="00F15BEF">
        <w:t xml:space="preserve">contact him.  </w:t>
      </w:r>
      <w:r>
        <w:t>He</w:t>
      </w:r>
      <w:r w:rsidR="00FA784E">
        <w:t xml:space="preserve"> interpreted the e-mails </w:t>
      </w:r>
      <w:r w:rsidR="00D25CDA">
        <w:t>as threats</w:t>
      </w:r>
      <w:r w:rsidR="00FA784E">
        <w:t xml:space="preserve">, including statements </w:t>
      </w:r>
      <w:r w:rsidR="00D31912">
        <w:t xml:space="preserve">about </w:t>
      </w:r>
      <w:r w:rsidR="00FA784E">
        <w:t xml:space="preserve">Robert’s girlfriend </w:t>
      </w:r>
      <w:r w:rsidR="00A77246">
        <w:t>(</w:t>
      </w:r>
      <w:r w:rsidR="00FA784E">
        <w:t>calling her a “ ‘RICO bookkeeper’ ”</w:t>
      </w:r>
      <w:r w:rsidR="00A77246">
        <w:t>),</w:t>
      </w:r>
      <w:r w:rsidR="00FA784E">
        <w:t xml:space="preserve"> </w:t>
      </w:r>
      <w:r w:rsidR="000E660E">
        <w:t xml:space="preserve">and </w:t>
      </w:r>
      <w:r w:rsidR="00FA784E">
        <w:t xml:space="preserve">statements accusing Robert of involving his and Susan’s children and grandchildren and of being “an ‘AG mob boss,’ ” likening him to “Bernie Madoff,” and telling him that his “ ‘window is narrow’ ” and he “ ‘will have to answer for </w:t>
      </w:r>
      <w:r w:rsidR="00B12F3D">
        <w:t>[his conduct]</w:t>
      </w:r>
      <w:r w:rsidR="00FA784E">
        <w:t xml:space="preserve">.’ ” </w:t>
      </w:r>
      <w:r>
        <w:t xml:space="preserve"> </w:t>
      </w:r>
    </w:p>
    <w:p w:rsidR="007F7FB9" w:rsidP="00004477" w14:paraId="196B24D2" w14:textId="440A8077">
      <w:r>
        <w:t>T</w:t>
      </w:r>
      <w:r w:rsidR="00FD7847">
        <w:t>he petition</w:t>
      </w:r>
      <w:r>
        <w:t xml:space="preserve"> included copies of e-mails sent by Susan to Robert</w:t>
      </w:r>
      <w:r w:rsidR="00FD7847">
        <w:t xml:space="preserve"> </w:t>
      </w:r>
      <w:r>
        <w:t>in June and July 2021,</w:t>
      </w:r>
      <w:r>
        <w:rPr>
          <w:rStyle w:val="FootnoteReference"/>
          <w:b/>
          <w:bCs/>
        </w:rPr>
        <w:footnoteReference w:id="9"/>
      </w:r>
      <w:r w:rsidR="003B4E69">
        <w:t xml:space="preserve"> </w:t>
      </w:r>
      <w:r>
        <w:t xml:space="preserve">which he asserted were “just the recent emails.” </w:t>
      </w:r>
    </w:p>
    <w:p w:rsidR="004E6134" w:rsidRPr="003112FC" w:rsidP="004E6134" w14:paraId="182B949D" w14:textId="5B6260D8">
      <w:pPr>
        <w:pStyle w:val="Heading2"/>
      </w:pPr>
      <w:r>
        <w:t xml:space="preserve">B.  </w:t>
      </w:r>
      <w:r w:rsidR="00C14F3A">
        <w:t>Special Motion to Strike DVRO Petition (Anti-SLAPP Motion)</w:t>
      </w:r>
    </w:p>
    <w:p w:rsidR="007D1882" w:rsidP="00004477" w14:paraId="10F79325" w14:textId="193AB18E">
      <w:r>
        <w:t>The trial court continued the hearing on</w:t>
      </w:r>
      <w:r w:rsidR="001E2D0E">
        <w:t xml:space="preserve"> </w:t>
      </w:r>
      <w:r>
        <w:t xml:space="preserve">the petition to </w:t>
      </w:r>
      <w:r w:rsidR="001E2D0E">
        <w:t>allow for</w:t>
      </w:r>
      <w:r>
        <w:t xml:space="preserve"> proper</w:t>
      </w:r>
      <w:r w:rsidR="001E2D0E">
        <w:t xml:space="preserve"> service</w:t>
      </w:r>
      <w:r>
        <w:t xml:space="preserve"> on Susan,</w:t>
      </w:r>
      <w:r w:rsidR="001E2D0E">
        <w:t xml:space="preserve"> during which time Susan filed a substitution of attorney to represent herself</w:t>
      </w:r>
      <w:r w:rsidR="008137EE">
        <w:t>.  She subsequently</w:t>
      </w:r>
      <w:r>
        <w:t xml:space="preserve"> filed a notice of limited scope representation identifying attorney Patrick Evans</w:t>
      </w:r>
      <w:r w:rsidR="002C7CD9">
        <w:t>, her attorney for the future RICO action,</w:t>
      </w:r>
      <w:r w:rsidR="000E660E">
        <w:t xml:space="preserve"> </w:t>
      </w:r>
      <w:r>
        <w:t xml:space="preserve">as her attorney for purposes of the DVRO petition. </w:t>
      </w:r>
      <w:r w:rsidR="00D90DA3">
        <w:t>On October 25</w:t>
      </w:r>
      <w:r w:rsidR="00506CF0">
        <w:t xml:space="preserve">, </w:t>
      </w:r>
      <w:r w:rsidR="00B12F3D">
        <w:t xml:space="preserve">prior to the scheduled </w:t>
      </w:r>
      <w:r w:rsidR="000E660E">
        <w:t>DVRO hearing</w:t>
      </w:r>
      <w:r w:rsidR="00B12F3D">
        <w:t xml:space="preserve">, </w:t>
      </w:r>
      <w:r w:rsidR="005E165E">
        <w:t>Susan</w:t>
      </w:r>
      <w:r w:rsidR="00D90DA3">
        <w:t xml:space="preserve"> </w:t>
      </w:r>
      <w:r w:rsidR="00506CF0">
        <w:t>filed</w:t>
      </w:r>
      <w:r w:rsidR="00A25030">
        <w:t xml:space="preserve"> </w:t>
      </w:r>
      <w:r w:rsidR="005E165E">
        <w:t>the anti-SLAPP motion at issue in this appeal (motion)</w:t>
      </w:r>
      <w:r w:rsidR="00C618EC">
        <w:t>.</w:t>
      </w:r>
      <w:r w:rsidR="00D90DA3">
        <w:t xml:space="preserve"> </w:t>
      </w:r>
    </w:p>
    <w:p w:rsidR="00302EC4" w:rsidP="00004477" w14:paraId="21C9F22C" w14:textId="793E8841">
      <w:r>
        <w:t>The</w:t>
      </w:r>
      <w:r w:rsidR="00B30A94">
        <w:t xml:space="preserve"> motion </w:t>
      </w:r>
      <w:r w:rsidR="00B12539">
        <w:t xml:space="preserve">alleged that Robert </w:t>
      </w:r>
      <w:r w:rsidR="00485373">
        <w:t xml:space="preserve">filed the petition not to protect himself from harassment but to “suppress and punish his ex-wife [Susan]’s exercise of free and litigation privileged speech.” </w:t>
      </w:r>
      <w:r w:rsidR="006674B4">
        <w:t xml:space="preserve"> </w:t>
      </w:r>
      <w:r w:rsidR="00E852AF">
        <w:t xml:space="preserve">Susan asserted that Robert sought to restrain her from “voicing claims that he and co-conspirators engage in racketeering to produce and sell counterfeit seed used to grow phony ‘organic’ lettuce for consumers”—conduct she argued was of great public interest because “it cheats seed patent holders out of intellectual property and defrauds consumers into believing they are buying ‘organic.’ ”  </w:t>
      </w:r>
      <w:r w:rsidR="00606C6B">
        <w:t xml:space="preserve">The motion claimed that </w:t>
      </w:r>
      <w:r w:rsidR="00FF2563">
        <w:t>it was not harassment that prompted the petitio</w:t>
      </w:r>
      <w:r w:rsidR="00A555A2">
        <w:t xml:space="preserve">n, </w:t>
      </w:r>
      <w:r w:rsidR="00A4415F">
        <w:t>which</w:t>
      </w:r>
      <w:r w:rsidR="00A555A2">
        <w:t xml:space="preserve"> was filed “months” after the purportedly offending e-mails, but rather “Robert’s alarm at Susan’s fact-based RICO complaint” of which she had informed Robert and his </w:t>
      </w:r>
      <w:r w:rsidR="006762BD">
        <w:t xml:space="preserve">family law </w:t>
      </w:r>
      <w:r w:rsidR="00A555A2">
        <w:t>counsel</w:t>
      </w:r>
      <w:r w:rsidR="000E660E">
        <w:t>, Carlos Martinez</w:t>
      </w:r>
      <w:r w:rsidR="00A555A2">
        <w:t xml:space="preserve">.  </w:t>
      </w:r>
      <w:r w:rsidR="00A4415F">
        <w:t xml:space="preserve">Susan </w:t>
      </w:r>
      <w:r w:rsidR="00A546B5">
        <w:t xml:space="preserve">argued that Robert never designated an attorney to receive communications about the forthcoming RICO action, and because </w:t>
      </w:r>
      <w:r w:rsidR="006762BD">
        <w:t>Martinez</w:t>
      </w:r>
      <w:r w:rsidR="00A546B5">
        <w:t xml:space="preserve"> refused to receive any communications from Susan’s attorney </w:t>
      </w:r>
      <w:r w:rsidR="006762BD">
        <w:t>related to</w:t>
      </w:r>
      <w:r w:rsidR="00A546B5">
        <w:t xml:space="preserve"> her </w:t>
      </w:r>
      <w:r w:rsidR="00637109">
        <w:t>proposed</w:t>
      </w:r>
      <w:r w:rsidR="006762BD">
        <w:t xml:space="preserve"> </w:t>
      </w:r>
      <w:r w:rsidR="00A546B5">
        <w:t xml:space="preserve">RICO </w:t>
      </w:r>
      <w:r w:rsidR="00637109">
        <w:t>action</w:t>
      </w:r>
      <w:r w:rsidR="00233277">
        <w:t xml:space="preserve"> and blocked those e-mails</w:t>
      </w:r>
      <w:r w:rsidR="00A546B5">
        <w:t xml:space="preserve">, her only option was to contact Robert directly.  </w:t>
      </w:r>
    </w:p>
    <w:p w:rsidR="008C55A1" w:rsidP="00DD0517" w14:paraId="144178FF" w14:textId="3EAE0F7A">
      <w:r>
        <w:t>On the merits</w:t>
      </w:r>
      <w:r w:rsidR="00302EC4">
        <w:t xml:space="preserve">, </w:t>
      </w:r>
      <w:r>
        <w:t>the motion</w:t>
      </w:r>
      <w:r w:rsidR="00302EC4">
        <w:t xml:space="preserve"> maintained </w:t>
      </w:r>
      <w:r w:rsidR="00233277">
        <w:t>as</w:t>
      </w:r>
      <w:r w:rsidR="009C4715">
        <w:t xml:space="preserve"> to the first </w:t>
      </w:r>
      <w:r w:rsidR="00637109">
        <w:t>step</w:t>
      </w:r>
      <w:r w:rsidR="009C4715">
        <w:t xml:space="preserve"> of the anti-SLAPP analysis </w:t>
      </w:r>
      <w:r w:rsidR="00302EC4">
        <w:t>that the e-mails to Robert consisted of speech related to litigation</w:t>
      </w:r>
      <w:r w:rsidR="00C14F3A">
        <w:t xml:space="preserve"> and made before government agencies, including law enforcement and executive agencies such as “the USDA, the IRS, the CCOF [organic certification</w:t>
      </w:r>
      <w:r w:rsidR="00233277">
        <w:t>]</w:t>
      </w:r>
      <w:r w:rsidR="00C14F3A">
        <w:t xml:space="preserve">, and the SEC.”  </w:t>
      </w:r>
      <w:r>
        <w:t xml:space="preserve">The motion identified the litigation to which the e-mails related as “seed RICO.”  </w:t>
      </w:r>
    </w:p>
    <w:p w:rsidR="00C675D7" w:rsidP="00DD0517" w14:paraId="75D0020B" w14:textId="091DBF6B">
      <w:r>
        <w:t>F</w:t>
      </w:r>
      <w:r w:rsidR="00267216">
        <w:t xml:space="preserve">or each e-mail identified in Robert’s petition, Susan sought to explain the </w:t>
      </w:r>
      <w:r w:rsidR="008C55A1">
        <w:t xml:space="preserve">“seed RICO” </w:t>
      </w:r>
      <w:r w:rsidR="00267216">
        <w:t>litigation</w:t>
      </w:r>
      <w:r w:rsidR="00D65C2F">
        <w:t>-</w:t>
      </w:r>
      <w:r w:rsidR="00267216">
        <w:t>related purpose of the communication</w:t>
      </w:r>
      <w:r>
        <w:t xml:space="preserve">, </w:t>
      </w:r>
      <w:r w:rsidR="00233277">
        <w:t>acknowledging</w:t>
      </w:r>
      <w:r>
        <w:t xml:space="preserve"> the e-mails would otherwise “seem ‘off topic</w:t>
      </w:r>
      <w:r w:rsidR="00D65C2F">
        <w:t>.</w:t>
      </w:r>
      <w:r>
        <w:t>’</w:t>
      </w:r>
      <w:r w:rsidR="00D65C2F">
        <w:t xml:space="preserve"> ”</w:t>
      </w:r>
      <w:r>
        <w:t xml:space="preserve"> </w:t>
      </w:r>
      <w:r w:rsidR="00267216">
        <w:t xml:space="preserve"> </w:t>
      </w:r>
      <w:r>
        <w:t xml:space="preserve">She </w:t>
      </w:r>
      <w:r w:rsidR="00C3548C">
        <w:t>argued</w:t>
      </w:r>
      <w:r>
        <w:t xml:space="preserve"> that each of the e-mails </w:t>
      </w:r>
      <w:r w:rsidR="002F0F6B">
        <w:t>pertained</w:t>
      </w:r>
      <w:r>
        <w:t xml:space="preserve"> to the forthcoming RICO action</w:t>
      </w:r>
      <w:r w:rsidR="00233277">
        <w:t xml:space="preserve">—for example, </w:t>
      </w:r>
      <w:r w:rsidR="002F0F6B">
        <w:t>by</w:t>
      </w:r>
      <w:r>
        <w:t xml:space="preserve"> informing Robert of </w:t>
      </w:r>
      <w:r w:rsidR="00233277">
        <w:t xml:space="preserve">information related </w:t>
      </w:r>
      <w:r>
        <w:t xml:space="preserve">to the RICO draft complaint, </w:t>
      </w:r>
      <w:r w:rsidR="00233277">
        <w:t xml:space="preserve">suggesting that he </w:t>
      </w:r>
      <w:r>
        <w:t xml:space="preserve">keep the RICO matter confidential and avoid involving their children and grandchildren, </w:t>
      </w:r>
      <w:r w:rsidR="00233277">
        <w:t>and</w:t>
      </w:r>
      <w:r>
        <w:t xml:space="preserve"> </w:t>
      </w:r>
      <w:r w:rsidR="00233277">
        <w:t>asserting she had</w:t>
      </w:r>
      <w:r>
        <w:t xml:space="preserve"> evidence that “tied” </w:t>
      </w:r>
      <w:r w:rsidR="00250F59">
        <w:t>Robert’s girlfriend</w:t>
      </w:r>
      <w:r>
        <w:t xml:space="preserve"> </w:t>
      </w:r>
      <w:r w:rsidR="00250F59">
        <w:t xml:space="preserve">to </w:t>
      </w:r>
      <w:r>
        <w:t xml:space="preserve">the alleged racketeering </w:t>
      </w:r>
      <w:r w:rsidR="00250F59">
        <w:t xml:space="preserve">and </w:t>
      </w:r>
      <w:r>
        <w:t xml:space="preserve">made her a target defendant.  </w:t>
      </w:r>
      <w:r w:rsidR="000C4076">
        <w:t>Susan</w:t>
      </w:r>
      <w:r w:rsidR="00BA4D53">
        <w:t xml:space="preserve"> </w:t>
      </w:r>
      <w:r w:rsidR="000C4076">
        <w:t xml:space="preserve">also claimed that her communications were protected speech because she is an investigative journalist who </w:t>
      </w:r>
      <w:r w:rsidR="00233277">
        <w:t>reports</w:t>
      </w:r>
      <w:r w:rsidR="000C4076">
        <w:t xml:space="preserve"> to the public</w:t>
      </w:r>
      <w:r w:rsidR="002F0F6B">
        <w:t xml:space="preserve"> </w:t>
      </w:r>
      <w:r w:rsidR="000C4076">
        <w:t>on agricultur</w:t>
      </w:r>
      <w:r w:rsidR="00233277">
        <w:t>al topics</w:t>
      </w:r>
      <w:r w:rsidR="00DD0517">
        <w:t>, and that Robert’s petition seeks to discredit her and “restrain journalistic inquiry.”</w:t>
      </w:r>
      <w:r w:rsidRPr="00DD0517" w:rsidR="00DD0517">
        <w:t xml:space="preserve"> </w:t>
      </w:r>
    </w:p>
    <w:p w:rsidR="00B30A94" w:rsidP="00004477" w14:paraId="0E8BF3B3" w14:textId="5CC40AAB">
      <w:r>
        <w:t>As to</w:t>
      </w:r>
      <w:r w:rsidR="002F0F6B">
        <w:t xml:space="preserve"> the second prong of the </w:t>
      </w:r>
      <w:r w:rsidR="000F7C4B">
        <w:t xml:space="preserve">anti-SLAPP </w:t>
      </w:r>
      <w:r w:rsidR="002F0F6B">
        <w:t xml:space="preserve">analysis, </w:t>
      </w:r>
      <w:r w:rsidR="00BA1337">
        <w:t>the motion asserted</w:t>
      </w:r>
      <w:r w:rsidR="002F0F6B">
        <w:t xml:space="preserve"> that the petition cannot prevail as a matter of law because Robert has not shown the e-mails constituted “abuse” within the meaning of the </w:t>
      </w:r>
      <w:r w:rsidR="002F462B">
        <w:t>applicable restraining order statute</w:t>
      </w:r>
      <w:r w:rsidR="00BA1337">
        <w:t xml:space="preserve"> and moreover</w:t>
      </w:r>
      <w:r w:rsidR="00A81F2B">
        <w:t>,</w:t>
      </w:r>
      <w:r w:rsidR="00BA1337">
        <w:t xml:space="preserve"> cannot show that her speech was not</w:t>
      </w:r>
      <w:r w:rsidR="00D44203">
        <w:t xml:space="preserve"> protected by the</w:t>
      </w:r>
      <w:r w:rsidR="00BA1337">
        <w:t xml:space="preserve"> litigation privilege.  The motion characterized Robert’s declaration that</w:t>
      </w:r>
      <w:r w:rsidR="002F462B">
        <w:t xml:space="preserve"> he is “disturbed” by the “seed RICO” allegations</w:t>
      </w:r>
      <w:r w:rsidR="00BA1337">
        <w:t xml:space="preserve"> as an “adoptive admission of RICO charges</w:t>
      </w:r>
      <w:r w:rsidR="002F462B">
        <w:t>,</w:t>
      </w:r>
      <w:r w:rsidR="00BA1337">
        <w:t>”</w:t>
      </w:r>
      <w:r w:rsidR="002F462B">
        <w:t xml:space="preserve"> the truth of which</w:t>
      </w:r>
      <w:r w:rsidR="00E90553">
        <w:t>, according to the motion,</w:t>
      </w:r>
      <w:r w:rsidR="002F462B">
        <w:t xml:space="preserve"> </w:t>
      </w:r>
      <w:r w:rsidR="00E90553">
        <w:t>Robert</w:t>
      </w:r>
      <w:r w:rsidR="002F462B">
        <w:t xml:space="preserve"> ha</w:t>
      </w:r>
      <w:r w:rsidR="001F2E9C">
        <w:t>s</w:t>
      </w:r>
      <w:r w:rsidR="002F462B">
        <w:t xml:space="preserve"> not denied.</w:t>
      </w:r>
      <w:r w:rsidRPr="00E90553" w:rsidR="00E90553">
        <w:t xml:space="preserve"> </w:t>
      </w:r>
      <w:r w:rsidR="002F462B">
        <w:t xml:space="preserve"> </w:t>
      </w:r>
    </w:p>
    <w:p w:rsidR="00370C8D" w:rsidP="00E90553" w14:paraId="739947B3" w14:textId="69E7746A">
      <w:r>
        <w:t xml:space="preserve">The </w:t>
      </w:r>
      <w:r w:rsidRPr="0090026F">
        <w:t xml:space="preserve">motion </w:t>
      </w:r>
      <w:r>
        <w:t>included</w:t>
      </w:r>
      <w:r w:rsidRPr="0090026F">
        <w:t xml:space="preserve"> </w:t>
      </w:r>
      <w:r w:rsidR="00C93983">
        <w:t xml:space="preserve">the </w:t>
      </w:r>
      <w:r w:rsidRPr="0090026F">
        <w:t>declarations</w:t>
      </w:r>
      <w:r w:rsidR="00C93983">
        <w:t xml:space="preserve"> of Susan and Evans (Susan’s </w:t>
      </w:r>
      <w:r>
        <w:t xml:space="preserve">limited scope </w:t>
      </w:r>
      <w:r w:rsidR="00C93983">
        <w:t xml:space="preserve">attorney for the proposed RICO action and </w:t>
      </w:r>
      <w:r w:rsidR="001F2E9C">
        <w:t>petition</w:t>
      </w:r>
      <w:r w:rsidR="00C93983">
        <w:t xml:space="preserve">), </w:t>
      </w:r>
      <w:r w:rsidRPr="0090026F">
        <w:t>exhibits</w:t>
      </w:r>
      <w:r w:rsidR="00615FB4">
        <w:t>, and</w:t>
      </w:r>
      <w:r w:rsidR="00D66794">
        <w:t xml:space="preserve"> </w:t>
      </w:r>
      <w:r w:rsidR="00615FB4">
        <w:t xml:space="preserve">a series of evidentiary objections to the statements set forth in Robert’s declaration in support of his petition. </w:t>
      </w:r>
      <w:r w:rsidR="00C93983">
        <w:t xml:space="preserve">The exhibits </w:t>
      </w:r>
      <w:r>
        <w:t xml:space="preserve">included </w:t>
      </w:r>
      <w:r w:rsidR="00C93983">
        <w:t xml:space="preserve">a copy of </w:t>
      </w:r>
      <w:r w:rsidR="003D53F8">
        <w:t xml:space="preserve">a </w:t>
      </w:r>
      <w:r w:rsidR="00C93983">
        <w:t xml:space="preserve">revised draft RICO complaint, </w:t>
      </w:r>
      <w:r>
        <w:t xml:space="preserve">which Evans had sent to Robert’s attorney Martinez, </w:t>
      </w:r>
      <w:r w:rsidR="00C93983">
        <w:t xml:space="preserve">and </w:t>
      </w:r>
      <w:r>
        <w:t>copies of Evans’s</w:t>
      </w:r>
      <w:r w:rsidR="00C93983">
        <w:t xml:space="preserve"> </w:t>
      </w:r>
      <w:r w:rsidR="00B32DB0">
        <w:t>correspondence</w:t>
      </w:r>
      <w:r w:rsidR="00C93983">
        <w:t xml:space="preserve"> to </w:t>
      </w:r>
      <w:r>
        <w:t xml:space="preserve">Martinez and to </w:t>
      </w:r>
      <w:r w:rsidR="00C93983">
        <w:t xml:space="preserve">counsel for one of the target corporate defendants in the proposed RICO action. </w:t>
      </w:r>
    </w:p>
    <w:p w:rsidR="00C93983" w:rsidP="00E90553" w14:paraId="066A1D0C" w14:textId="1244A3E1">
      <w:r>
        <w:t>Evans’s declaration state</w:t>
      </w:r>
      <w:r w:rsidR="008F18F8">
        <w:t>d</w:t>
      </w:r>
      <w:r>
        <w:t xml:space="preserve"> that he </w:t>
      </w:r>
      <w:r w:rsidR="005E165E">
        <w:t>is</w:t>
      </w:r>
      <w:r>
        <w:t xml:space="preserve"> Susan’s attorney investigating the agricultural racketeering scheme, is “skilled at assessing how individuals and firms are conducting themselves unlawfully but covering with a legitimate business façade,” and </w:t>
      </w:r>
      <w:r w:rsidR="00B857CF">
        <w:t xml:space="preserve">based on his review and due diligence “contend[s] there is basis for probable cause to believe that the claims and allegations in the discussion draft RICO complaint . . . are true.” </w:t>
      </w:r>
      <w:r w:rsidR="008F18F8">
        <w:t xml:space="preserve"> Evans’s declaration summarized the basis for the draft seed RICO </w:t>
      </w:r>
      <w:r w:rsidR="00CA365B">
        <w:t>case</w:t>
      </w:r>
      <w:r w:rsidR="008F18F8">
        <w:t xml:space="preserve">, which </w:t>
      </w:r>
      <w:r w:rsidR="001F2E9C">
        <w:t>alleges</w:t>
      </w:r>
      <w:r w:rsidR="005E165E">
        <w:t xml:space="preserve"> that Robert and others are engaged in</w:t>
      </w:r>
      <w:r w:rsidR="008F18F8">
        <w:t xml:space="preserve"> the manufacture and sale of counterfeit stock seed sold as “</w:t>
      </w:r>
      <w:r w:rsidR="00A81F2B">
        <w:t> </w:t>
      </w:r>
      <w:r w:rsidR="00DD0523">
        <w:t>‘</w:t>
      </w:r>
      <w:r w:rsidR="008F18F8">
        <w:t>organic</w:t>
      </w:r>
      <w:r w:rsidR="00DD0523">
        <w:t xml:space="preserve">’ </w:t>
      </w:r>
      <w:r w:rsidR="008F18F8">
        <w:t xml:space="preserve">” </w:t>
      </w:r>
      <w:r w:rsidR="005E165E">
        <w:t xml:space="preserve">seed, in alleged </w:t>
      </w:r>
      <w:r w:rsidR="008F18F8">
        <w:t>violation of federal law</w:t>
      </w:r>
      <w:r w:rsidR="008B3928">
        <w:t xml:space="preserve"> and state and local trade association regulations</w:t>
      </w:r>
      <w:r w:rsidR="008F18F8">
        <w:t xml:space="preserve">.  </w:t>
      </w:r>
    </w:p>
    <w:p w:rsidR="0067317E" w:rsidP="00E90553" w14:paraId="187358B1" w14:textId="4983B64F">
      <w:r>
        <w:t>In her declaration,</w:t>
      </w:r>
      <w:r w:rsidRPr="00D66794" w:rsidR="00D66794">
        <w:t xml:space="preserve"> </w:t>
      </w:r>
      <w:r>
        <w:t xml:space="preserve">Susan described the seed businesses that she and Robert </w:t>
      </w:r>
      <w:r w:rsidR="00976545">
        <w:t xml:space="preserve">had </w:t>
      </w:r>
      <w:r>
        <w:t xml:space="preserve">formed, her </w:t>
      </w:r>
      <w:r w:rsidR="00370C8D">
        <w:t xml:space="preserve">prior </w:t>
      </w:r>
      <w:r>
        <w:t xml:space="preserve">consulting </w:t>
      </w:r>
      <w:r w:rsidR="00D65C2F">
        <w:t xml:space="preserve">work </w:t>
      </w:r>
      <w:r w:rsidR="00D66794">
        <w:t xml:space="preserve">in </w:t>
      </w:r>
      <w:r>
        <w:t xml:space="preserve">organic seed and agriculture, her </w:t>
      </w:r>
      <w:r w:rsidR="00E962ED">
        <w:t>discovery of the “racket</w:t>
      </w:r>
      <w:r w:rsidR="00370C8D">
        <w:t>,</w:t>
      </w:r>
      <w:r w:rsidR="00E962ED">
        <w:t xml:space="preserve">” and Robert’s </w:t>
      </w:r>
      <w:r w:rsidR="001F2E9C">
        <w:t xml:space="preserve">purported </w:t>
      </w:r>
      <w:r w:rsidR="00E962ED">
        <w:t xml:space="preserve">efforts through the decade of divorce proceedings to “completely shut [her] out from knowing about or investigating the businesses.”  </w:t>
      </w:r>
      <w:r w:rsidR="00020907">
        <w:t>Susan declared that after gaining access to certain books and records</w:t>
      </w:r>
      <w:r w:rsidR="00FB5D4C">
        <w:t xml:space="preserve"> through the divorce proceedings</w:t>
      </w:r>
      <w:r w:rsidR="00020907">
        <w:t xml:space="preserve"> in 2014, she learned of transactions that concerned her but was barred from reporting on </w:t>
      </w:r>
      <w:r w:rsidR="00D66794">
        <w:t>the</w:t>
      </w:r>
      <w:r w:rsidR="00020907">
        <w:t xml:space="preserve"> alleged tax and regulatory violations by the appointed discovery referee in the divorce </w:t>
      </w:r>
      <w:r w:rsidR="00976545">
        <w:t>case</w:t>
      </w:r>
      <w:r w:rsidR="00020907">
        <w:t xml:space="preserve">.  Susan </w:t>
      </w:r>
      <w:r>
        <w:t>further declared that</w:t>
      </w:r>
      <w:r w:rsidR="00370C8D">
        <w:t xml:space="preserve"> various family</w:t>
      </w:r>
      <w:r>
        <w:t xml:space="preserve"> </w:t>
      </w:r>
      <w:r w:rsidR="00D66794">
        <w:t xml:space="preserve">court orders </w:t>
      </w:r>
      <w:r>
        <w:t xml:space="preserve">denied </w:t>
      </w:r>
      <w:r w:rsidR="00D66794">
        <w:t xml:space="preserve">her </w:t>
      </w:r>
      <w:r>
        <w:t xml:space="preserve">access to the “ ‘double books’ for seed RICO that [she] believe[s]” </w:t>
      </w:r>
      <w:r w:rsidR="00E962ED">
        <w:t>Robert</w:t>
      </w:r>
      <w:r>
        <w:t xml:space="preserve">’s girlfriend “maintains for the RICO enterprise.”  Susan asserted that through her preparation </w:t>
      </w:r>
      <w:r w:rsidR="00D66794">
        <w:t>of</w:t>
      </w:r>
      <w:r>
        <w:t xml:space="preserve"> the “seed RICO</w:t>
      </w:r>
      <w:r w:rsidR="00D66794">
        <w:t xml:space="preserve"> allegations</w:t>
      </w:r>
      <w:r>
        <w:t>,”</w:t>
      </w:r>
      <w:r w:rsidR="00E962ED">
        <w:t xml:space="preserve"> </w:t>
      </w:r>
      <w:r>
        <w:t xml:space="preserve">she filed complaints to government agencies including the USDA and SEC, reported her concerns to law </w:t>
      </w:r>
      <w:r w:rsidR="00D66794">
        <w:t>enforcement</w:t>
      </w:r>
      <w:r w:rsidR="00B44284">
        <w:t xml:space="preserve">, </w:t>
      </w:r>
      <w:r>
        <w:t xml:space="preserve">and engaged with the IRS about tax issues, leading the IRS </w:t>
      </w:r>
      <w:r w:rsidR="009763B6">
        <w:t xml:space="preserve">to </w:t>
      </w:r>
      <w:r>
        <w:t xml:space="preserve">request a copy of her </w:t>
      </w:r>
      <w:r w:rsidR="00370C8D">
        <w:t xml:space="preserve">draft </w:t>
      </w:r>
      <w:r>
        <w:t xml:space="preserve">RICO complaint.  </w:t>
      </w:r>
      <w:r w:rsidR="00B24249">
        <w:t xml:space="preserve">Susan asserted that she “will file the seed RICO federal complaint.” </w:t>
      </w:r>
    </w:p>
    <w:p w:rsidR="0061441D" w:rsidP="00976545" w14:paraId="250D8170" w14:textId="7BBA455C">
      <w:r>
        <w:t>Robert</w:t>
      </w:r>
      <w:r w:rsidRPr="003449A0" w:rsidR="00FF4566">
        <w:t xml:space="preserve"> filed written opposition to the anti-SLAPP motion</w:t>
      </w:r>
      <w:r w:rsidR="00E53890">
        <w:t xml:space="preserve"> and requested an award of attorney fees and costs.  </w:t>
      </w:r>
      <w:r w:rsidR="0050626D">
        <w:t>Robert</w:t>
      </w:r>
      <w:r>
        <w:t xml:space="preserve"> object</w:t>
      </w:r>
      <w:r w:rsidR="00F215E1">
        <w:t>ed</w:t>
      </w:r>
      <w:r>
        <w:t xml:space="preserve"> to the declarations of Susan and Evans “in their entirety” on </w:t>
      </w:r>
      <w:r w:rsidR="00F215E1">
        <w:t xml:space="preserve">grounds </w:t>
      </w:r>
      <w:r w:rsidR="00B44284">
        <w:t xml:space="preserve">including </w:t>
      </w:r>
      <w:r w:rsidR="005E165E">
        <w:t xml:space="preserve">lack of </w:t>
      </w:r>
      <w:r w:rsidR="00F215E1">
        <w:t>relevanc</w:t>
      </w:r>
      <w:r w:rsidR="005E165E">
        <w:t>e or</w:t>
      </w:r>
      <w:r w:rsidR="00F215E1">
        <w:t xml:space="preserve"> foundation, hearsay, and “argumentative nonsense that is at best merely conclusory rather than stating any actual facts based on personal knowledge.”  </w:t>
      </w:r>
      <w:r w:rsidR="008B6505">
        <w:t xml:space="preserve">Robert contended that speech that violates the </w:t>
      </w:r>
      <w:r w:rsidRPr="00112A97" w:rsidR="008B6505">
        <w:t>Domestic Violence Prevention Act</w:t>
      </w:r>
      <w:r w:rsidR="008B6505">
        <w:t xml:space="preserve"> (</w:t>
      </w:r>
      <w:r w:rsidRPr="00112A97" w:rsidR="008B6505">
        <w:t>DVPA)</w:t>
      </w:r>
      <w:r w:rsidR="008B6505">
        <w:t xml:space="preserve"> under Family Code sections 6203 and 6320—which together define “abuse” </w:t>
      </w:r>
      <w:r w:rsidR="00976545">
        <w:t>to include</w:t>
      </w:r>
      <w:r w:rsidR="008B6505">
        <w:t xml:space="preserve"> </w:t>
      </w:r>
      <w:r w:rsidRPr="00505792" w:rsidR="008B6505">
        <w:t>conduct that</w:t>
      </w:r>
      <w:r w:rsidR="008B6505">
        <w:t xml:space="preserve"> “</w:t>
      </w:r>
      <w:r w:rsidR="007B10CB">
        <w:t xml:space="preserve"> ‘</w:t>
      </w:r>
      <w:r w:rsidRPr="00505792" w:rsidR="008B6505">
        <w:t>destroys the mental or emotional calm of the other party</w:t>
      </w:r>
      <w:r w:rsidR="007B10CB">
        <w:t xml:space="preserve">’ </w:t>
      </w:r>
      <w:r w:rsidR="008B6505">
        <w:t xml:space="preserve">”—is not protected speech.  Robert </w:t>
      </w:r>
      <w:r w:rsidR="00F86365">
        <w:t>argued</w:t>
      </w:r>
      <w:r w:rsidR="008B6505">
        <w:t xml:space="preserve"> that </w:t>
      </w:r>
      <w:r w:rsidR="00F86365">
        <w:t>the</w:t>
      </w:r>
      <w:r w:rsidR="008B6505">
        <w:t xml:space="preserve"> e-mails could not qualify as prelitigation communications due to the lack of factual foundation for the proposed RICO action, which </w:t>
      </w:r>
      <w:r w:rsidR="00F86365">
        <w:t>he maintained Susan had threatened in order to</w:t>
      </w:r>
      <w:r w:rsidR="008B6505">
        <w:t xml:space="preserve"> exact a settlement from him in the dissolution matter.  Robert pointed to case authority clarifying that threats to commence litigation are not privileged if made only as a means of inducing settlement of a claim and not in good faith contemplation of a lawsuit.  Robert</w:t>
      </w:r>
      <w:r w:rsidR="001F2E9C">
        <w:t xml:space="preserve"> further</w:t>
      </w:r>
      <w:r w:rsidR="008B6505">
        <w:t xml:space="preserve"> contended that even if Susan were able to </w:t>
      </w:r>
      <w:r w:rsidR="00F86365">
        <w:t xml:space="preserve">show the e-mails were </w:t>
      </w:r>
      <w:r w:rsidR="00976545">
        <w:t>protected litigation speech</w:t>
      </w:r>
      <w:r w:rsidR="008B6505">
        <w:t xml:space="preserve">, his DVRO petition claims are sufficient to </w:t>
      </w:r>
      <w:r w:rsidR="001F2E9C">
        <w:t>prevail</w:t>
      </w:r>
      <w:r w:rsidR="008B6505">
        <w:t xml:space="preserve">.  Robert asserted that the grant of a temporary restraining order demonstrates he “has already made a legally and factually sufficient case as a matter of law.” </w:t>
      </w:r>
    </w:p>
    <w:p w:rsidR="00E90553" w:rsidP="00900780" w14:paraId="18D41DC0" w14:textId="2CE359EA">
      <w:r>
        <w:t>Robert</w:t>
      </w:r>
      <w:r w:rsidRPr="003449A0" w:rsidR="00FF4566">
        <w:t xml:space="preserve"> submitted a declaration </w:t>
      </w:r>
      <w:r w:rsidR="00F92FDF">
        <w:t>in support of the opposition</w:t>
      </w:r>
      <w:r w:rsidR="00722932">
        <w:t xml:space="preserve">.  He </w:t>
      </w:r>
      <w:r w:rsidR="00016362">
        <w:t>respond</w:t>
      </w:r>
      <w:r w:rsidR="00722932">
        <w:t>ed</w:t>
      </w:r>
      <w:r w:rsidR="00016362">
        <w:t xml:space="preserve"> to the facts asserted </w:t>
      </w:r>
      <w:r w:rsidR="00722932">
        <w:t>by</w:t>
      </w:r>
      <w:r w:rsidR="00016362">
        <w:t xml:space="preserve"> Susan and Evans and declar</w:t>
      </w:r>
      <w:r w:rsidR="00722932">
        <w:t>ed</w:t>
      </w:r>
      <w:r w:rsidR="00016362">
        <w:t xml:space="preserve"> them to be </w:t>
      </w:r>
      <w:r w:rsidR="003A0D85">
        <w:t xml:space="preserve">wildly </w:t>
      </w:r>
      <w:r w:rsidR="00016362">
        <w:t>speculati</w:t>
      </w:r>
      <w:r w:rsidR="003A0D85">
        <w:t>ve</w:t>
      </w:r>
      <w:r w:rsidR="00016362">
        <w:t xml:space="preserve"> and lacking any factual basis.  Robert</w:t>
      </w:r>
      <w:r w:rsidR="00722932">
        <w:t xml:space="preserve"> </w:t>
      </w:r>
      <w:r w:rsidR="00016362">
        <w:t xml:space="preserve">explained his seed farming business, methods for growing (multiplying) stock seed provided by customers, and </w:t>
      </w:r>
      <w:r w:rsidR="00776D5D">
        <w:t xml:space="preserve">reasons that the claimed “seed RICO allegations” involving the “ ‘manufacture’ ” of “ ‘counterfeit’ ” seeds exhibited a lack of knowledge of the seed farming industry and of the relationship between seed </w:t>
      </w:r>
      <w:r w:rsidR="00F216FC">
        <w:t xml:space="preserve">growing </w:t>
      </w:r>
      <w:r w:rsidR="00776D5D">
        <w:t xml:space="preserve">and organic farming. </w:t>
      </w:r>
      <w:r w:rsidR="00FD0398">
        <w:t xml:space="preserve"> Robert </w:t>
      </w:r>
      <w:r w:rsidR="00CC3F7B">
        <w:t>addressed statements regarding his girlfriend</w:t>
      </w:r>
      <w:r w:rsidR="00875A75">
        <w:t xml:space="preserve"> and</w:t>
      </w:r>
      <w:r w:rsidR="000615C8">
        <w:t xml:space="preserve"> </w:t>
      </w:r>
      <w:r w:rsidR="00875A75">
        <w:t>asserted</w:t>
      </w:r>
      <w:r w:rsidR="00CC3F7B">
        <w:t xml:space="preserve"> </w:t>
      </w:r>
      <w:r w:rsidR="00875A75">
        <w:t xml:space="preserve">she </w:t>
      </w:r>
      <w:r w:rsidR="00F216FC">
        <w:t xml:space="preserve">does not have access to the financial records and </w:t>
      </w:r>
      <w:r w:rsidR="00CC3F7B">
        <w:t xml:space="preserve">has never worked for him or his businesses as a </w:t>
      </w:r>
      <w:r w:rsidR="00875A75">
        <w:t>“</w:t>
      </w:r>
      <w:r w:rsidR="00CC3F7B">
        <w:t>bookkeeper</w:t>
      </w:r>
      <w:r w:rsidR="00F216FC">
        <w:t>.</w:t>
      </w:r>
      <w:r w:rsidR="00875A75">
        <w:t>”</w:t>
      </w:r>
      <w:r w:rsidR="00CC3F7B">
        <w:t xml:space="preserve">  </w:t>
      </w:r>
      <w:r w:rsidR="000615C8">
        <w:t xml:space="preserve">He </w:t>
      </w:r>
      <w:r w:rsidR="00875A75">
        <w:t xml:space="preserve">declared </w:t>
      </w:r>
      <w:r w:rsidR="000615C8">
        <w:t xml:space="preserve">that Susan has been pressing her RICO theories </w:t>
      </w:r>
      <w:r w:rsidR="008B171B">
        <w:t xml:space="preserve">on him </w:t>
      </w:r>
      <w:r w:rsidR="000615C8">
        <w:t xml:space="preserve">“for at least a year” and though he is unconcerned about the “phony lawsuit” intended for federal court, he </w:t>
      </w:r>
      <w:r w:rsidR="00FB5D4C">
        <w:t xml:space="preserve">is seeking </w:t>
      </w:r>
      <w:r w:rsidR="000615C8">
        <w:t xml:space="preserve">DVRO protection to stop her harassment of him. </w:t>
      </w:r>
      <w:r w:rsidR="00900780">
        <w:t xml:space="preserve"> </w:t>
      </w:r>
      <w:r>
        <w:t xml:space="preserve">Martinez, </w:t>
      </w:r>
      <w:r w:rsidR="007E57AD">
        <w:t>Robert</w:t>
      </w:r>
      <w:r>
        <w:t xml:space="preserve">’s counsel, also submitted a declaration in support of the opposition to the anti-SLAPP motion and in support of Robert’s </w:t>
      </w:r>
      <w:r w:rsidR="0061441D">
        <w:t xml:space="preserve">request for attorney fees and costs. </w:t>
      </w:r>
    </w:p>
    <w:p w:rsidR="00E357A1" w:rsidP="00004477" w14:paraId="7743A204" w14:textId="14D6D076">
      <w:r>
        <w:t>Susan filed a reply brief</w:t>
      </w:r>
      <w:r w:rsidR="00EE01B7">
        <w:t xml:space="preserve"> in further support of her anti-SLAPP motion</w:t>
      </w:r>
      <w:r>
        <w:t xml:space="preserve">. </w:t>
      </w:r>
      <w:r w:rsidR="001C12BF">
        <w:t xml:space="preserve"> </w:t>
      </w:r>
      <w:r w:rsidR="00722932">
        <w:t>She</w:t>
      </w:r>
      <w:r>
        <w:t xml:space="preserve"> contended that Robert </w:t>
      </w:r>
      <w:r w:rsidR="000A31EB">
        <w:t>“admits that the communications are meant to exact settlement” and argued that</w:t>
      </w:r>
      <w:r w:rsidR="00404FB9">
        <w:t xml:space="preserve"> </w:t>
      </w:r>
      <w:r w:rsidR="000A31EB">
        <w:t>he offers no authority that settlement communications “are sufficient for a DVRO.”  She likewise</w:t>
      </w:r>
      <w:r w:rsidR="00066FC4">
        <w:t xml:space="preserve"> contended that Robert had not demonstrated that speech “</w:t>
      </w:r>
      <w:r>
        <w:t>on the national new</w:t>
      </w:r>
      <w:r w:rsidR="0086659F">
        <w:t>s</w:t>
      </w:r>
      <w:r>
        <w:t xml:space="preserve"> topic of agricultural fraud with phony ‘inorganic’ labels</w:t>
      </w:r>
      <w:r w:rsidR="00066FC4">
        <w:t>” may be subject to a DVRO</w:t>
      </w:r>
      <w:r w:rsidR="001F48DE">
        <w:t>,</w:t>
      </w:r>
      <w:r w:rsidR="007F636B">
        <w:t xml:space="preserve"> </w:t>
      </w:r>
      <w:r w:rsidR="00404FB9">
        <w:t>maintained that the RICO lawsuit is not frivolous</w:t>
      </w:r>
      <w:r w:rsidR="001F48DE">
        <w:t>,</w:t>
      </w:r>
      <w:r w:rsidR="00404FB9">
        <w:t xml:space="preserve"> and</w:t>
      </w:r>
      <w:r w:rsidR="001F48DE">
        <w:t xml:space="preserve"> asserted the suit</w:t>
      </w:r>
      <w:r w:rsidR="00404FB9">
        <w:t xml:space="preserve"> is “on track for filing.” </w:t>
      </w:r>
      <w:r w:rsidR="0086659F">
        <w:t xml:space="preserve"> (Boldface &amp; capitalization omitted.) </w:t>
      </w:r>
      <w:r w:rsidR="00404FB9">
        <w:t xml:space="preserve"> She also disputed his likening of her settlement related communications </w:t>
      </w:r>
      <w:r w:rsidR="00722932">
        <w:t>to</w:t>
      </w:r>
      <w:r w:rsidR="00404FB9">
        <w:t xml:space="preserve"> extortion and asserted that the litigation privilege is absolute, and if extortion were at issue</w:t>
      </w:r>
      <w:r w:rsidR="00C74DCD">
        <w:t>,</w:t>
      </w:r>
      <w:r w:rsidR="00404FB9">
        <w:t xml:space="preserve"> then Robert’s remedy would be to sue for civil extortion.  </w:t>
      </w:r>
    </w:p>
    <w:p w:rsidR="00526B80" w:rsidP="00526B80" w14:paraId="625211F7" w14:textId="23AF5409">
      <w:pPr>
        <w:pStyle w:val="Heading2"/>
      </w:pPr>
      <w:r>
        <w:t>C.  Order Denying the Anti-SLAPP Motion</w:t>
      </w:r>
    </w:p>
    <w:p w:rsidR="00725E5C" w:rsidP="00725E5C" w14:paraId="2C058405" w14:textId="3D9D09BA">
      <w:r>
        <w:t>The trial court issued a</w:t>
      </w:r>
      <w:r w:rsidR="00307BAF">
        <w:t xml:space="preserve"> written</w:t>
      </w:r>
      <w:r>
        <w:t xml:space="preserve"> tentative ruling denying the anti-SLAPP motion.  After hearing argument</w:t>
      </w:r>
      <w:r w:rsidR="00875A75">
        <w:t xml:space="preserve"> from both sides,</w:t>
      </w:r>
      <w:r>
        <w:t xml:space="preserve"> the court adopted its tentative </w:t>
      </w:r>
      <w:r w:rsidR="00875A75">
        <w:t>ruling</w:t>
      </w:r>
      <w:r>
        <w:t xml:space="preserve"> as its final order</w:t>
      </w:r>
      <w:r w:rsidR="00B80AC3">
        <w:t xml:space="preserve"> and overruled, for purposes of the anti-SLAPP motion only, Susan’s evidentiary objections to Robert’s declaration in support of his petition</w:t>
      </w:r>
      <w:r>
        <w:t xml:space="preserve">. </w:t>
      </w:r>
    </w:p>
    <w:p w:rsidR="00346F33" w:rsidP="00307BAF" w14:paraId="576F72AB" w14:textId="0A0ED7DE">
      <w:r>
        <w:t xml:space="preserve">The order denying </w:t>
      </w:r>
      <w:r w:rsidR="00C90F36">
        <w:t>the</w:t>
      </w:r>
      <w:r>
        <w:t xml:space="preserve"> anti-SLAPP motion addressed both steps of the anti-SLAPP analysis.  </w:t>
      </w:r>
      <w:r w:rsidR="003677D5">
        <w:t>It</w:t>
      </w:r>
      <w:r w:rsidR="009C61D8">
        <w:t xml:space="preserve"> </w:t>
      </w:r>
      <w:r>
        <w:t xml:space="preserve">explained, citing case authority, that prelitigation statements and writings made in connection with litigation contemplated in good faith are protected under the anti-SLAPP statute, while </w:t>
      </w:r>
      <w:r w:rsidR="00EF28E7">
        <w:t>communications “substantially extraneous to the judicial proceedings</w:t>
      </w:r>
      <w:r w:rsidR="00B540CB">
        <w:t>”</w:t>
      </w:r>
      <w:r w:rsidR="00EF28E7">
        <w:t xml:space="preserve"> are not protected</w:t>
      </w:r>
      <w:r w:rsidR="00B540CB">
        <w:t>.</w:t>
      </w:r>
      <w:r w:rsidR="00EF28E7">
        <w:t xml:space="preserve">  </w:t>
      </w:r>
      <w:r w:rsidR="00DB35B4">
        <w:t xml:space="preserve">As applied to the e-mails cited in Robert’s petition, the court rejected Robert’s assertion that Susan’s missives were mere empty threats, given that she had retained counsel for purposes of the proposed RICO litigation and provided a detailed draft complaint.  </w:t>
      </w:r>
      <w:r w:rsidR="0038614A">
        <w:t xml:space="preserve">Nevertheless, the court concluded that “several of the subject e-mails are not substantially related to the substantive issues in the litigation.”  </w:t>
      </w:r>
    </w:p>
    <w:p w:rsidR="00DB35B4" w:rsidP="00307BAF" w14:paraId="354B30C0" w14:textId="7678566E">
      <w:r>
        <w:t xml:space="preserve">The trial court </w:t>
      </w:r>
      <w:r w:rsidR="00E17D88">
        <w:t xml:space="preserve">further concluded that even if Susan </w:t>
      </w:r>
      <w:r w:rsidR="00336CF4">
        <w:t>did</w:t>
      </w:r>
      <w:r w:rsidR="00E17D88">
        <w:t xml:space="preserve"> me</w:t>
      </w:r>
      <w:r w:rsidR="00336CF4">
        <w:t>e</w:t>
      </w:r>
      <w:r w:rsidR="00E17D88">
        <w:t xml:space="preserve">t her burden </w:t>
      </w:r>
      <w:r w:rsidR="00336CF4">
        <w:t>at the first step</w:t>
      </w:r>
      <w:r w:rsidR="00E939CA">
        <w:t xml:space="preserve">, </w:t>
      </w:r>
      <w:r w:rsidR="00E67BB6">
        <w:t xml:space="preserve">the motion </w:t>
      </w:r>
      <w:r w:rsidR="00336CF4">
        <w:t>would fail</w:t>
      </w:r>
      <w:r w:rsidR="00E67BB6">
        <w:t xml:space="preserve"> because </w:t>
      </w:r>
      <w:r w:rsidR="00E939CA">
        <w:t xml:space="preserve">Robert had </w:t>
      </w:r>
      <w:r w:rsidR="00E67BB6">
        <w:t xml:space="preserve">met his burden </w:t>
      </w:r>
      <w:r w:rsidR="00336CF4">
        <w:t>o</w:t>
      </w:r>
      <w:r w:rsidR="00E67BB6">
        <w:t xml:space="preserve">f demonstrating a probability of success on the merits of his petition.  The court noted that it had previously </w:t>
      </w:r>
      <w:r w:rsidR="00D063C5">
        <w:t>found, in granting the requested temporary personal conduct and stay-away order, that Robert’s petition was sufficient to establish a prima facie case for a permanent DVRO under the applicable Family Code provisions.</w:t>
      </w:r>
      <w:r w:rsidR="0095198D">
        <w:t xml:space="preserve">  It therefore denied Susan’s anti-SLAPP motion and further denied both parties’ request for attorney fee</w:t>
      </w:r>
      <w:r w:rsidR="00E97FCC">
        <w:t>s</w:t>
      </w:r>
      <w:r w:rsidR="0095198D">
        <w:t xml:space="preserve"> and costs awards.</w:t>
      </w:r>
      <w:r w:rsidR="00D063C5">
        <w:t xml:space="preserve">  </w:t>
      </w:r>
    </w:p>
    <w:p w:rsidR="00725E5C" w:rsidRPr="00725E5C" w:rsidP="00BD17B8" w14:paraId="1837B41D" w14:textId="1585CC09">
      <w:r>
        <w:t xml:space="preserve">Susan appealed from the order denying her anti-SLAPP motion.  </w:t>
      </w:r>
      <w:r w:rsidR="00371DF7">
        <w:t>(Code Civ</w:t>
      </w:r>
      <w:r w:rsidR="00134475">
        <w:t>.</w:t>
      </w:r>
      <w:r w:rsidR="00371DF7">
        <w:t xml:space="preserve"> Proc</w:t>
      </w:r>
      <w:r w:rsidR="00134475">
        <w:t>.</w:t>
      </w:r>
      <w:r w:rsidR="00371DF7">
        <w:t>, § 904.1, subd. (a)(13)</w:t>
      </w:r>
      <w:r w:rsidR="00E97FCC">
        <w:t>.</w:t>
      </w:r>
      <w:r>
        <w:rPr>
          <w:rStyle w:val="FootnoteReference"/>
          <w:b/>
          <w:bCs/>
        </w:rPr>
        <w:footnoteReference w:id="10"/>
      </w:r>
      <w:r w:rsidR="00371DF7">
        <w:t>)</w:t>
      </w:r>
    </w:p>
    <w:p w:rsidR="00004477" w:rsidP="00E73DCB" w14:paraId="7FA084D9" w14:textId="44496E26">
      <w:pPr>
        <w:pStyle w:val="Heading1"/>
      </w:pPr>
      <w:r>
        <w:t>ii.  discussion</w:t>
      </w:r>
    </w:p>
    <w:p w:rsidR="0052411C" w:rsidP="00537BA5" w14:paraId="4A8E4E29" w14:textId="52ED8222">
      <w:r>
        <w:t xml:space="preserve">Susan </w:t>
      </w:r>
      <w:r w:rsidR="00130086">
        <w:t xml:space="preserve">challenges </w:t>
      </w:r>
      <w:r>
        <w:t xml:space="preserve">the trial court’s denial of her anti-SLAPP motion.  She </w:t>
      </w:r>
      <w:r w:rsidR="00B540CB">
        <w:t>asserts her</w:t>
      </w:r>
      <w:r>
        <w:t xml:space="preserve"> </w:t>
      </w:r>
      <w:r w:rsidR="00130086">
        <w:t>e-mail</w:t>
      </w:r>
      <w:r w:rsidR="00B540CB">
        <w:t>s</w:t>
      </w:r>
      <w:r w:rsidR="00130086">
        <w:t xml:space="preserve"> </w:t>
      </w:r>
      <w:r w:rsidR="00B540CB">
        <w:t>are</w:t>
      </w:r>
      <w:r>
        <w:t xml:space="preserve"> protected speech</w:t>
      </w:r>
      <w:r w:rsidR="001D6C7A">
        <w:t xml:space="preserve"> </w:t>
      </w:r>
      <w:r w:rsidR="00D31912">
        <w:t>under the categories enumerated in the anti-SLAPP statute (§ 425.16, subds. (b)(1), (e))</w:t>
      </w:r>
      <w:r>
        <w:t xml:space="preserve"> and</w:t>
      </w:r>
      <w:r w:rsidR="009B4858">
        <w:t xml:space="preserve"> </w:t>
      </w:r>
      <w:r w:rsidR="00D31912">
        <w:t>to which the statutory litigation privilege applies (Civ. Code, § 47)</w:t>
      </w:r>
      <w:r w:rsidR="00AA003A">
        <w:t xml:space="preserve">. </w:t>
      </w:r>
      <w:r w:rsidR="006549E3">
        <w:t xml:space="preserve"> </w:t>
      </w:r>
      <w:r w:rsidR="00130086">
        <w:t>Susan also contends that case law does not support imposition of a domestic violence restraining order based on nonthreatening e-mail communications sent by one litigant to another.  She asserts that Robert never gave a clear “</w:t>
      </w:r>
      <w:r w:rsidR="00BA545C">
        <w:t xml:space="preserve"> ‘</w:t>
      </w:r>
      <w:r w:rsidR="00130086">
        <w:t xml:space="preserve">no </w:t>
      </w:r>
      <w:r w:rsidR="00BA545C">
        <w:t xml:space="preserve">party </w:t>
      </w:r>
      <w:r w:rsidR="00130086">
        <w:t>contact</w:t>
      </w:r>
      <w:r w:rsidR="00BA545C">
        <w:t>’</w:t>
      </w:r>
      <w:r w:rsidR="00C74DCD">
        <w:t> </w:t>
      </w:r>
      <w:r w:rsidR="00130086">
        <w:t>” directive or designated an attorney to receive RICO related communications.  She maintains that under these circumstances, the court’s denial of her anti-SLAPP motion creates a “dangerous precedent that chills settlement effort</w:t>
      </w:r>
      <w:r w:rsidR="00BA545C">
        <w:t>[</w:t>
      </w:r>
      <w:r w:rsidR="00130086">
        <w:t>s</w:t>
      </w:r>
      <w:r w:rsidR="00BA545C">
        <w:t>]</w:t>
      </w:r>
      <w:r w:rsidR="00130086">
        <w:t xml:space="preserve">” for family law litigants. </w:t>
      </w:r>
      <w:r w:rsidR="00BA545C">
        <w:t xml:space="preserve"> (Boldface &amp; capitalization omitted.)</w:t>
      </w:r>
      <w:r w:rsidR="00C374B3">
        <w:t xml:space="preserve"> </w:t>
      </w:r>
    </w:p>
    <w:p w:rsidR="001F2047" w:rsidP="00AE76B5" w14:paraId="6BE5C1A3" w14:textId="5A3BD027">
      <w:pPr>
        <w:pStyle w:val="Heading2"/>
      </w:pPr>
      <w:r>
        <w:t>A.  The Anti-SLAPP Statute</w:t>
      </w:r>
    </w:p>
    <w:p w:rsidR="00926787" w:rsidP="00926787" w14:paraId="4C50A26B" w14:textId="60FFF14C">
      <w:r>
        <w:t xml:space="preserve">Section </w:t>
      </w:r>
      <w:r w:rsidRPr="00243EAE">
        <w:t>425.16</w:t>
      </w:r>
      <w:r w:rsidR="009B09AB">
        <w:t xml:space="preserve"> </w:t>
      </w:r>
      <w:r w:rsidRPr="003D3D56">
        <w:t>provides that a cause of action arising from an act in furtherance of a person</w:t>
      </w:r>
      <w:r>
        <w:t>’</w:t>
      </w:r>
      <w:r w:rsidRPr="003D3D56">
        <w:t>s constitutional right of petition or free speech in connection with a public issue is subject to a special motion to strike, unless the plaintiff</w:t>
      </w:r>
      <w:r w:rsidR="002309B2">
        <w:t xml:space="preserve">—here, Robert as </w:t>
      </w:r>
      <w:r w:rsidR="00990186">
        <w:t xml:space="preserve">the </w:t>
      </w:r>
      <w:r w:rsidR="002309B2">
        <w:t>party seeking the DVRO—</w:t>
      </w:r>
      <w:r w:rsidRPr="003D3D56">
        <w:t xml:space="preserve">establishes a probability </w:t>
      </w:r>
      <w:r>
        <w:t>of</w:t>
      </w:r>
      <w:r w:rsidRPr="003D3D56">
        <w:t xml:space="preserve"> prevail</w:t>
      </w:r>
      <w:r>
        <w:t>ing</w:t>
      </w:r>
      <w:r w:rsidRPr="003D3D56">
        <w:t xml:space="preserve"> on </w:t>
      </w:r>
      <w:r>
        <w:t>the</w:t>
      </w:r>
      <w:r w:rsidRPr="003D3D56">
        <w:t xml:space="preserve"> claim.</w:t>
      </w:r>
      <w:r>
        <w:t xml:space="preserve">  (§ </w:t>
      </w:r>
      <w:r w:rsidRPr="003D3D56">
        <w:t>425.16, subd</w:t>
      </w:r>
      <w:r>
        <w:t>.</w:t>
      </w:r>
      <w:r w:rsidRPr="003D3D56">
        <w:t xml:space="preserve"> (b)(1)</w:t>
      </w:r>
      <w:r>
        <w:t xml:space="preserve">.)  </w:t>
      </w:r>
      <w:r w:rsidR="009B6BDB">
        <w:t xml:space="preserve">The statute </w:t>
      </w:r>
      <w:r>
        <w:t>“allows defendants to request early judicial screening of legal claims targeting free speech or petitioning activities.”  (</w:t>
      </w:r>
      <w:r w:rsidRPr="004F411B">
        <w:rPr>
          <w:i/>
          <w:iCs/>
        </w:rPr>
        <w:t>Wilson v</w:t>
      </w:r>
      <w:r w:rsidRPr="00EE3627">
        <w:rPr>
          <w:iCs/>
        </w:rPr>
        <w:t>.</w:t>
      </w:r>
      <w:r w:rsidRPr="004F411B">
        <w:rPr>
          <w:i/>
          <w:iCs/>
        </w:rPr>
        <w:t xml:space="preserve"> Cable News Network</w:t>
      </w:r>
      <w:r w:rsidRPr="00EE3627">
        <w:rPr>
          <w:iCs/>
        </w:rPr>
        <w:t>,</w:t>
      </w:r>
      <w:r w:rsidRPr="004F411B">
        <w:rPr>
          <w:i/>
          <w:iCs/>
        </w:rPr>
        <w:t xml:space="preserve"> Inc</w:t>
      </w:r>
      <w:r w:rsidRPr="00EE3627">
        <w:rPr>
          <w:iCs/>
        </w:rPr>
        <w:t>.</w:t>
      </w:r>
      <w:r>
        <w:t xml:space="preserve"> (2019) 7 </w:t>
      </w:r>
      <w:r w:rsidRPr="00CF1A7B">
        <w:t>Ca</w:t>
      </w:r>
      <w:r w:rsidRPr="00CF1A7B" w:rsidR="00CF1A7B">
        <w:t>l</w:t>
      </w:r>
      <w:r w:rsidR="005E39D7">
        <w:t>.</w:t>
      </w:r>
      <w:r>
        <w:t>5th 871, 880</w:t>
      </w:r>
      <w:r>
        <w:noBreakHyphen/>
        <w:t>881 (</w:t>
      </w:r>
      <w:r>
        <w:rPr>
          <w:i/>
          <w:iCs/>
        </w:rPr>
        <w:t>Wilson</w:t>
      </w:r>
      <w:r>
        <w:t xml:space="preserve">).)  </w:t>
      </w:r>
    </w:p>
    <w:p w:rsidR="000B48C6" w:rsidP="000B48C6" w14:paraId="758475A3" w14:textId="419C0ECB">
      <w:r>
        <w:t>A</w:t>
      </w:r>
      <w:r w:rsidRPr="00207852">
        <w:t xml:space="preserve"> court evaluates a special motion to strike </w:t>
      </w:r>
      <w:r>
        <w:t>in two steps.</w:t>
      </w:r>
      <w:r w:rsidRPr="00207852">
        <w:t xml:space="preserve"> </w:t>
      </w:r>
      <w:r>
        <w:t xml:space="preserve"> T</w:t>
      </w:r>
      <w:r w:rsidRPr="00207852">
        <w:t>he first</w:t>
      </w:r>
      <w:r w:rsidR="009B09AB">
        <w:t xml:space="preserve"> </w:t>
      </w:r>
      <w:r w:rsidRPr="00207852">
        <w:t>examines the nature of the conduct that underlies the plaintiff</w:t>
      </w:r>
      <w:r>
        <w:t>’</w:t>
      </w:r>
      <w:r w:rsidRPr="00207852">
        <w:t xml:space="preserve">s allegations to determine whether </w:t>
      </w:r>
      <w:r>
        <w:t>it</w:t>
      </w:r>
      <w:r w:rsidRPr="00207852">
        <w:t xml:space="preserve"> is protected by section 425.16; the second assesses the merits of the plaintiff</w:t>
      </w:r>
      <w:r>
        <w:t>’</w:t>
      </w:r>
      <w:r w:rsidRPr="00207852">
        <w:t xml:space="preserve">s claim. </w:t>
      </w:r>
      <w:r>
        <w:t xml:space="preserve"> </w:t>
      </w:r>
      <w:r w:rsidRPr="00207852">
        <w:t>(</w:t>
      </w:r>
      <w:r w:rsidRPr="0088023F" w:rsidR="00990186">
        <w:rPr>
          <w:i/>
          <w:iCs/>
        </w:rPr>
        <w:t>Barry v</w:t>
      </w:r>
      <w:r w:rsidRPr="00EE3627" w:rsidR="00990186">
        <w:rPr>
          <w:iCs/>
        </w:rPr>
        <w:t>.</w:t>
      </w:r>
      <w:r w:rsidRPr="0088023F" w:rsidR="00990186">
        <w:rPr>
          <w:i/>
          <w:iCs/>
        </w:rPr>
        <w:t xml:space="preserve"> State Bar of California</w:t>
      </w:r>
      <w:r w:rsidR="00990186">
        <w:t xml:space="preserve"> (2017) 2 Ca</w:t>
      </w:r>
      <w:r w:rsidRPr="00CF1A7B" w:rsidR="00990186">
        <w:t>l.</w:t>
      </w:r>
      <w:r w:rsidR="00990186">
        <w:t>5th 318, 321 (</w:t>
      </w:r>
      <w:r w:rsidRPr="0088023F" w:rsidR="00990186">
        <w:rPr>
          <w:i/>
          <w:iCs/>
        </w:rPr>
        <w:t>Barry</w:t>
      </w:r>
      <w:r w:rsidR="00990186">
        <w:t>)</w:t>
      </w:r>
      <w:r>
        <w:t xml:space="preserve">; see also </w:t>
      </w:r>
      <w:r w:rsidRPr="0004302D" w:rsidR="00990186">
        <w:rPr>
          <w:i/>
          <w:iCs/>
        </w:rPr>
        <w:t>Laker</w:t>
      </w:r>
      <w:r w:rsidR="00D828E7">
        <w:t xml:space="preserve">, </w:t>
      </w:r>
      <w:r w:rsidR="00D828E7">
        <w:rPr>
          <w:i/>
          <w:iCs/>
        </w:rPr>
        <w:t>supra</w:t>
      </w:r>
      <w:r w:rsidR="00D828E7">
        <w:t>,</w:t>
      </w:r>
      <w:r w:rsidRPr="0004302D" w:rsidR="00990186">
        <w:rPr>
          <w:i/>
          <w:iCs/>
        </w:rPr>
        <w:t xml:space="preserve"> </w:t>
      </w:r>
      <w:r w:rsidR="00CF1A7B">
        <w:t xml:space="preserve">32 Cal.App.5th </w:t>
      </w:r>
      <w:r w:rsidR="00D828E7">
        <w:t>at p. </w:t>
      </w:r>
      <w:r w:rsidR="00990186">
        <w:t>760</w:t>
      </w:r>
      <w:r w:rsidRPr="00207852">
        <w:t xml:space="preserve">.) </w:t>
      </w:r>
      <w:r>
        <w:t xml:space="preserve"> </w:t>
      </w:r>
      <w:r w:rsidR="001D6C7A">
        <w:t>T</w:t>
      </w:r>
      <w:r w:rsidRPr="00CD24BD" w:rsidR="00990186">
        <w:t>he anti</w:t>
      </w:r>
      <w:r w:rsidR="00990186">
        <w:noBreakHyphen/>
      </w:r>
      <w:r w:rsidRPr="00CD24BD" w:rsidR="00990186">
        <w:t>SLAPP statute</w:t>
      </w:r>
      <w:r w:rsidR="00990186">
        <w:t xml:space="preserve"> is to</w:t>
      </w:r>
      <w:r w:rsidRPr="00CD24BD" w:rsidR="00990186">
        <w:t xml:space="preserve"> </w:t>
      </w:r>
      <w:r w:rsidR="00990186">
        <w:t xml:space="preserve">“be construed broadly” in furtherance of its stated goals.  (§ 425.16, subd. (a); </w:t>
      </w:r>
      <w:r w:rsidRPr="0088023F" w:rsidR="00990186">
        <w:rPr>
          <w:i/>
          <w:iCs/>
        </w:rPr>
        <w:t>Barry</w:t>
      </w:r>
      <w:r w:rsidR="00990186">
        <w:t>, at p. 321.)</w:t>
      </w:r>
    </w:p>
    <w:p w:rsidR="000B48C6" w:rsidP="000B48C6" w14:paraId="75A1D77B" w14:textId="718C4012">
      <w:r>
        <w:t>In t</w:t>
      </w:r>
      <w:r w:rsidRPr="00AB6B81">
        <w:t>he first step</w:t>
      </w:r>
      <w:r>
        <w:t xml:space="preserve">, </w:t>
      </w:r>
      <w:r w:rsidRPr="00AB6B81">
        <w:t xml:space="preserve">the trial court determines whether the </w:t>
      </w:r>
      <w:r w:rsidR="002309B2">
        <w:t>claim “ </w:t>
      </w:r>
      <w:r w:rsidRPr="00AB6B81">
        <w:t>‘arises from’ an ‘</w:t>
      </w:r>
      <w:r w:rsidR="00390079">
        <w:t> “ ‘</w:t>
      </w:r>
      <w:r w:rsidRPr="00AB6B81">
        <w:t>act in furtherance of a person’s right of petition or free speech under the United States or California Constitution in connection with a public issue</w:t>
      </w:r>
      <w:r>
        <w:t>.</w:t>
      </w:r>
      <w:r w:rsidRPr="00AB6B81">
        <w:t>’ ”</w:t>
      </w:r>
      <w:r w:rsidR="00390079">
        <w:t xml:space="preserve"> ’ ”</w:t>
      </w:r>
      <w:r w:rsidRPr="00AB6B81">
        <w:t xml:space="preserve"> </w:t>
      </w:r>
      <w:r w:rsidR="00D4379C">
        <w:t xml:space="preserve"> </w:t>
      </w:r>
      <w:r w:rsidRPr="00AB6B81">
        <w:t>(</w:t>
      </w:r>
      <w:r w:rsidR="00990186">
        <w:rPr>
          <w:i/>
          <w:iCs/>
        </w:rPr>
        <w:t>Laker</w:t>
      </w:r>
      <w:r w:rsidR="00990186">
        <w:t xml:space="preserve">, </w:t>
      </w:r>
      <w:r w:rsidR="00990186">
        <w:rPr>
          <w:i/>
          <w:iCs/>
        </w:rPr>
        <w:t>supra</w:t>
      </w:r>
      <w:r w:rsidR="00990186">
        <w:t>,</w:t>
      </w:r>
      <w:r w:rsidRPr="00125373" w:rsidR="00990186">
        <w:rPr>
          <w:i/>
          <w:iCs/>
        </w:rPr>
        <w:t xml:space="preserve"> </w:t>
      </w:r>
      <w:r w:rsidR="00990186">
        <w:t>32 Cal.</w:t>
      </w:r>
      <w:r w:rsidR="004017FD">
        <w:t>App.</w:t>
      </w:r>
      <w:r w:rsidR="00990186">
        <w:t>5th at p</w:t>
      </w:r>
      <w:r w:rsidR="00C374B3">
        <w:t>p</w:t>
      </w:r>
      <w:r w:rsidR="00990186">
        <w:t>. </w:t>
      </w:r>
      <w:r w:rsidR="00C374B3">
        <w:t>759</w:t>
      </w:r>
      <w:r w:rsidR="00D4379C">
        <w:t>—</w:t>
      </w:r>
      <w:r w:rsidR="00990186">
        <w:t>760</w:t>
      </w:r>
      <w:r w:rsidRPr="00AB6B81">
        <w:t xml:space="preserve">, quoting </w:t>
      </w:r>
      <w:r w:rsidRPr="00AB6B81">
        <w:rPr>
          <w:i/>
          <w:iCs/>
        </w:rPr>
        <w:t>City of Montebello v. Vasquez</w:t>
      </w:r>
      <w:r w:rsidRPr="00AB6B81">
        <w:t xml:space="preserve"> (2016) 1 Ca</w:t>
      </w:r>
      <w:r w:rsidRPr="00CF1A7B">
        <w:t>l</w:t>
      </w:r>
      <w:r w:rsidR="00CF1A7B">
        <w:t>.</w:t>
      </w:r>
      <w:r w:rsidRPr="00AB6B81">
        <w:t>5th 409, 422</w:t>
      </w:r>
      <w:r>
        <w:t>.</w:t>
      </w:r>
      <w:r w:rsidRPr="00AB6B81">
        <w:t xml:space="preserve">)  </w:t>
      </w:r>
      <w:r w:rsidR="001C7206">
        <w:t xml:space="preserve">The court must </w:t>
      </w:r>
      <w:r w:rsidRPr="001C7206" w:rsidR="001C7206">
        <w:t xml:space="preserve">evaluate whether the </w:t>
      </w:r>
      <w:r w:rsidR="005D4E00">
        <w:t xml:space="preserve">moving </w:t>
      </w:r>
      <w:r w:rsidRPr="001C7206" w:rsidR="001C7206">
        <w:t xml:space="preserve">defendant has shown </w:t>
      </w:r>
      <w:r w:rsidR="001C7206">
        <w:t>the speech or act underlying the plaintiff’s claim</w:t>
      </w:r>
      <w:r w:rsidRPr="001C7206" w:rsidR="001C7206">
        <w:t xml:space="preserve"> fall</w:t>
      </w:r>
      <w:r w:rsidR="001C7206">
        <w:t>s</w:t>
      </w:r>
      <w:r w:rsidRPr="001C7206" w:rsidR="001C7206">
        <w:t xml:space="preserve"> within </w:t>
      </w:r>
      <w:r>
        <w:t>one</w:t>
      </w:r>
      <w:r w:rsidR="008A3DEA">
        <w:t xml:space="preserve"> or more</w:t>
      </w:r>
      <w:r>
        <w:t xml:space="preserve"> of the four categories of protected acts </w:t>
      </w:r>
      <w:r w:rsidR="004D4716">
        <w:t>set out</w:t>
      </w:r>
      <w:r>
        <w:t xml:space="preserve"> in section 425.16</w:t>
      </w:r>
      <w:r w:rsidR="00DC4A30">
        <w:t xml:space="preserve">, subdivision </w:t>
      </w:r>
      <w:r>
        <w:t>(e)</w:t>
      </w:r>
      <w:r w:rsidR="00DC4A30">
        <w:t xml:space="preserve"> (hereafter, section 425.16(e))</w:t>
      </w:r>
      <w:r>
        <w:t>.  (</w:t>
      </w:r>
      <w:r w:rsidRPr="00C62773">
        <w:rPr>
          <w:i/>
          <w:iCs/>
        </w:rPr>
        <w:t>Wilson</w:t>
      </w:r>
      <w:r w:rsidR="001E16E1">
        <w:t xml:space="preserve">, </w:t>
      </w:r>
      <w:r w:rsidR="001E16E1">
        <w:rPr>
          <w:i/>
          <w:iCs/>
        </w:rPr>
        <w:t>supra</w:t>
      </w:r>
      <w:r w:rsidR="001E16E1">
        <w:t>,</w:t>
      </w:r>
      <w:r w:rsidRPr="00C62773">
        <w:rPr>
          <w:i/>
          <w:iCs/>
        </w:rPr>
        <w:t xml:space="preserve"> </w:t>
      </w:r>
      <w:r w:rsidR="00CF1A7B">
        <w:t>7 Cal.5th</w:t>
      </w:r>
      <w:r>
        <w:t xml:space="preserve"> </w:t>
      </w:r>
      <w:r w:rsidR="001E16E1">
        <w:t>at p. </w:t>
      </w:r>
      <w:r>
        <w:t xml:space="preserve">884.)  </w:t>
      </w:r>
      <w:r w:rsidR="00990186">
        <w:t xml:space="preserve">The </w:t>
      </w:r>
      <w:r>
        <w:t xml:space="preserve">categories </w:t>
      </w:r>
      <w:r w:rsidR="004D4716">
        <w:t>protect any written or oral statement or writing</w:t>
      </w:r>
      <w:r>
        <w:t xml:space="preserve"> </w:t>
      </w:r>
      <w:r w:rsidR="004D4716">
        <w:t xml:space="preserve">made </w:t>
      </w:r>
      <w:r w:rsidRPr="004D4716" w:rsidR="004D4716">
        <w:t>(1) “before a legislative, executive, or judicial proceeding, or any other official proceeding authorized by law</w:t>
      </w:r>
      <w:r w:rsidR="004D4716">
        <w:t>,”</w:t>
      </w:r>
      <w:r w:rsidRPr="004D4716" w:rsidR="004D4716">
        <w:t xml:space="preserve"> (2) “in connection with an issue under consideration or review by a legislative, executive, or judicial body, or any other official proceeding authorized by law</w:t>
      </w:r>
      <w:r w:rsidR="004D4716">
        <w:t>,</w:t>
      </w:r>
      <w:r w:rsidRPr="004D4716" w:rsidR="004D4716">
        <w:t>” (3) “in a place open to the public or a public forum in connection with an issue of public interest</w:t>
      </w:r>
      <w:r w:rsidR="004D4716">
        <w:t>,</w:t>
      </w:r>
      <w:r w:rsidRPr="004D4716" w:rsidR="004D4716">
        <w:t xml:space="preserve">” or (4) “any other conduct in furtherance of the exercise of the constitutional right of petition or the constitutional right of free speech in connection with a public issue or an issue of public interest.” </w:t>
      </w:r>
      <w:r w:rsidR="004D4716">
        <w:t xml:space="preserve"> </w:t>
      </w:r>
      <w:r w:rsidRPr="004D4716" w:rsidR="004D4716">
        <w:t>(§</w:t>
      </w:r>
      <w:r w:rsidR="00A1734E">
        <w:t> 425.16(e)</w:t>
      </w:r>
      <w:r w:rsidRPr="004D4716" w:rsidR="004D4716">
        <w:t xml:space="preserve">.) </w:t>
      </w:r>
      <w:r w:rsidR="004D4716">
        <w:t xml:space="preserve"> </w:t>
      </w:r>
    </w:p>
    <w:p w:rsidR="000B48C6" w:rsidP="00193E56" w14:paraId="5F0B6E9C" w14:textId="042B9A5B">
      <w:r>
        <w:t xml:space="preserve">If the defendant prevails at the first step, the </w:t>
      </w:r>
      <w:r w:rsidRPr="000B116A">
        <w:t>burden shifts</w:t>
      </w:r>
      <w:r>
        <w:t xml:space="preserve"> </w:t>
      </w:r>
      <w:r w:rsidRPr="000B116A">
        <w:t>to the plaintiff</w:t>
      </w:r>
      <w:r w:rsidR="00945614">
        <w:t xml:space="preserve"> to demonstrate the merit of the claim</w:t>
      </w:r>
      <w:r>
        <w:t xml:space="preserve">. </w:t>
      </w:r>
      <w:r w:rsidRPr="00963C3E">
        <w:t xml:space="preserve"> (§</w:t>
      </w:r>
      <w:r>
        <w:t> </w:t>
      </w:r>
      <w:r w:rsidRPr="00963C3E">
        <w:t>425.16, subd. (b)(1);</w:t>
      </w:r>
      <w:r>
        <w:t xml:space="preserve"> </w:t>
      </w:r>
      <w:r w:rsidRPr="004F411B">
        <w:rPr>
          <w:i/>
          <w:iCs/>
        </w:rPr>
        <w:t>Wilson</w:t>
      </w:r>
      <w:r w:rsidRPr="00767B26">
        <w:t>,</w:t>
      </w:r>
      <w:r>
        <w:rPr>
          <w:i/>
          <w:iCs/>
        </w:rPr>
        <w:t xml:space="preserve"> supra</w:t>
      </w:r>
      <w:r w:rsidRPr="00767B26">
        <w:t>,</w:t>
      </w:r>
      <w:r>
        <w:rPr>
          <w:i/>
          <w:iCs/>
        </w:rPr>
        <w:t xml:space="preserve"> </w:t>
      </w:r>
      <w:r>
        <w:t>7</w:t>
      </w:r>
      <w:r w:rsidRPr="00CF1A7B">
        <w:rPr>
          <w:vertAlign w:val="superscript"/>
        </w:rPr>
        <w:t xml:space="preserve"> </w:t>
      </w:r>
      <w:r w:rsidRPr="00CF1A7B">
        <w:t>C</w:t>
      </w:r>
      <w:r>
        <w:t>al.5th at p.</w:t>
      </w:r>
      <w:r w:rsidR="00193E56">
        <w:t> </w:t>
      </w:r>
      <w:r>
        <w:t>884.)  In th</w:t>
      </w:r>
      <w:r w:rsidR="00193E56">
        <w:t>e</w:t>
      </w:r>
      <w:r>
        <w:t xml:space="preserve"> second step, </w:t>
      </w:r>
      <w:bookmarkStart w:id="0" w:name="_Hlk157677849"/>
      <w:r>
        <w:t xml:space="preserve">the plaintiff must </w:t>
      </w:r>
      <w:r w:rsidR="00945614">
        <w:t>show</w:t>
      </w:r>
      <w:r>
        <w:t xml:space="preserve"> “ ‘that the complaint is both legally sufficient and supported by a sufficient prima facie showing of facts to sustain a favorable judgment if the evidence submitted by the plaintiff is credited.’ ”  (</w:t>
      </w:r>
      <w:r w:rsidRPr="00BD69A5">
        <w:rPr>
          <w:i/>
          <w:iCs/>
        </w:rPr>
        <w:t>Soukup v. Law Offices of Herbert Hafif</w:t>
      </w:r>
      <w:r w:rsidR="00F139E0">
        <w:t xml:space="preserve"> </w:t>
      </w:r>
      <w:r>
        <w:t xml:space="preserve">(2006) </w:t>
      </w:r>
      <w:r w:rsidR="00CF1A7B">
        <w:t>39 Cal.4th</w:t>
      </w:r>
      <w:r>
        <w:t xml:space="preserve"> 260, 291</w:t>
      </w:r>
      <w:r w:rsidR="00573E7A">
        <w:t xml:space="preserve"> (</w:t>
      </w:r>
      <w:r w:rsidR="00573E7A">
        <w:rPr>
          <w:i/>
          <w:iCs/>
        </w:rPr>
        <w:t>Soukup</w:t>
      </w:r>
      <w:r w:rsidR="00573E7A">
        <w:t>)</w:t>
      </w:r>
      <w:r>
        <w:t>.)</w:t>
      </w:r>
      <w:r>
        <w:rPr>
          <w:i/>
          <w:iCs/>
        </w:rPr>
        <w:t xml:space="preserve">  </w:t>
      </w:r>
      <w:bookmarkEnd w:id="0"/>
      <w:r>
        <w:t>“</w:t>
      </w:r>
      <w:r w:rsidRPr="00EA15C2">
        <w:t>If the plaintiff is unable to demonstrate that his or her claim has at least minimal merit, then the trial court should deem the cause of action a SLAPP and should strike it.</w:t>
      </w:r>
      <w:r>
        <w:t>”</w:t>
      </w:r>
      <w:r w:rsidRPr="00EA15C2">
        <w:t xml:space="preserve"> </w:t>
      </w:r>
      <w:r>
        <w:t xml:space="preserve"> </w:t>
      </w:r>
      <w:r w:rsidRPr="00EA15C2">
        <w:t>(</w:t>
      </w:r>
      <w:r w:rsidRPr="00AB6B81">
        <w:rPr>
          <w:i/>
          <w:iCs/>
        </w:rPr>
        <w:t>Laker</w:t>
      </w:r>
      <w:r w:rsidRPr="00AB6B81">
        <w:t xml:space="preserve">, </w:t>
      </w:r>
      <w:r w:rsidRPr="00AB6B81">
        <w:rPr>
          <w:i/>
          <w:iCs/>
        </w:rPr>
        <w:t>supra</w:t>
      </w:r>
      <w:r w:rsidRPr="00AB6B81">
        <w:t>,</w:t>
      </w:r>
      <w:r w:rsidRPr="00AB6B81">
        <w:rPr>
          <w:i/>
          <w:iCs/>
        </w:rPr>
        <w:t xml:space="preserve"> </w:t>
      </w:r>
      <w:r w:rsidRPr="00AB6B81">
        <w:t>32 Cal</w:t>
      </w:r>
      <w:r w:rsidR="00F47275">
        <w:t>.</w:t>
      </w:r>
      <w:r w:rsidRPr="00810780">
        <w:t>A</w:t>
      </w:r>
      <w:r w:rsidRPr="00AB6B81">
        <w:t>pp.5th at p. 760</w:t>
      </w:r>
      <w:r w:rsidRPr="00EA15C2">
        <w:t>.)</w:t>
      </w:r>
      <w:r w:rsidR="00193E56">
        <w:t xml:space="preserve">  </w:t>
      </w:r>
      <w:r w:rsidRPr="004921FF">
        <w:t xml:space="preserve">“Only a cause of action that satisfies </w:t>
      </w:r>
      <w:r w:rsidRPr="00F7137A">
        <w:rPr>
          <w:i/>
          <w:iCs/>
        </w:rPr>
        <w:t>both</w:t>
      </w:r>
      <w:r w:rsidRPr="004921FF">
        <w:t xml:space="preserve"> prongs of the anti</w:t>
      </w:r>
      <w:r>
        <w:noBreakHyphen/>
      </w:r>
      <w:r w:rsidRPr="004921FF">
        <w:t xml:space="preserve">SLAPP statute—i.e., that arises from protected speech or petitioning </w:t>
      </w:r>
      <w:r w:rsidRPr="001052F0">
        <w:rPr>
          <w:i/>
          <w:iCs/>
        </w:rPr>
        <w:t>and</w:t>
      </w:r>
      <w:r w:rsidRPr="004921FF">
        <w:t xml:space="preserve"> lacks even minimal merit—is a SLAPP, subject to being stricken under the statute.” </w:t>
      </w:r>
      <w:r>
        <w:t xml:space="preserve"> </w:t>
      </w:r>
      <w:r w:rsidRPr="004921FF">
        <w:t>(</w:t>
      </w:r>
      <w:r w:rsidRPr="00DF08A3">
        <w:rPr>
          <w:i/>
          <w:iCs/>
        </w:rPr>
        <w:t xml:space="preserve">Navellier v. Sletten </w:t>
      </w:r>
      <w:r w:rsidRPr="00DF08A3">
        <w:t xml:space="preserve">(2002) </w:t>
      </w:r>
      <w:r w:rsidR="00CF1A7B">
        <w:t>29 Cal.</w:t>
      </w:r>
      <w:r w:rsidRPr="00DF08A3">
        <w:t>4th 82, 89</w:t>
      </w:r>
      <w:r>
        <w:t>.)</w:t>
      </w:r>
    </w:p>
    <w:p w:rsidR="00AE76B5" w:rsidP="00945614" w14:paraId="7B309FD4" w14:textId="3CF5B398">
      <w:pPr>
        <w:pStyle w:val="Heading2"/>
      </w:pPr>
      <w:r>
        <w:t>B.  Standard of Review</w:t>
      </w:r>
    </w:p>
    <w:p w:rsidR="00945614" w:rsidP="00945614" w14:paraId="0F927DA7" w14:textId="20DF115E">
      <w:r w:rsidRPr="00F53D7F">
        <w:t xml:space="preserve">“We review de novo the grant or denial of any anti-SLAPP motion. </w:t>
      </w:r>
      <w:r>
        <w:t xml:space="preserve"> </w:t>
      </w:r>
      <w:r w:rsidRPr="00F53D7F">
        <w:t xml:space="preserve">[Citation.] </w:t>
      </w:r>
      <w:r>
        <w:t xml:space="preserve"> </w:t>
      </w:r>
      <w:r w:rsidRPr="00F53D7F">
        <w:t xml:space="preserve">We exercise independent judgment in determining whether, based on our own review of the record, the challenged claims arise from protected activity.” </w:t>
      </w:r>
      <w:r>
        <w:t xml:space="preserve"> </w:t>
      </w:r>
      <w:r w:rsidRPr="00F53D7F">
        <w:t>(</w:t>
      </w:r>
      <w:r w:rsidRPr="00F53D7F">
        <w:rPr>
          <w:i/>
          <w:iCs/>
        </w:rPr>
        <w:t>Park</w:t>
      </w:r>
      <w:r w:rsidRPr="00F53D7F">
        <w:t xml:space="preserve">, </w:t>
      </w:r>
      <w:r w:rsidRPr="00F53D7F">
        <w:rPr>
          <w:i/>
          <w:iCs/>
        </w:rPr>
        <w:t>supra</w:t>
      </w:r>
      <w:r w:rsidRPr="00F53D7F">
        <w:t xml:space="preserve">, </w:t>
      </w:r>
      <w:r w:rsidR="00CF1A7B">
        <w:t xml:space="preserve">2 Cal.5th </w:t>
      </w:r>
      <w:r w:rsidRPr="00F53D7F">
        <w:t xml:space="preserve">at p. 1067.) </w:t>
      </w:r>
      <w:r>
        <w:t xml:space="preserve"> </w:t>
      </w:r>
      <w:r w:rsidRPr="00F53D7F">
        <w:t xml:space="preserve">We consider the pleadings and declarations, accepting as true the evidence that favors the plaintiff </w:t>
      </w:r>
      <w:r>
        <w:t xml:space="preserve">(here, </w:t>
      </w:r>
      <w:r w:rsidR="00D828E7">
        <w:t>Robert</w:t>
      </w:r>
      <w:r>
        <w:t xml:space="preserve">) </w:t>
      </w:r>
      <w:r w:rsidRPr="00F53D7F">
        <w:t>and evaluating the defendant</w:t>
      </w:r>
      <w:r>
        <w:t>’</w:t>
      </w:r>
      <w:r w:rsidRPr="00F53D7F">
        <w:t xml:space="preserve">s </w:t>
      </w:r>
      <w:r w:rsidR="008137EE">
        <w:t xml:space="preserve">(Susan’s) </w:t>
      </w:r>
      <w:r w:rsidRPr="00F53D7F">
        <w:t>evidence “ ‘</w:t>
      </w:r>
      <w:r>
        <w:t xml:space="preserve"> “ ‘</w:t>
      </w:r>
      <w:r w:rsidRPr="00F53D7F">
        <w:t>only to determine if it has defeated that submitted by the plaintiff as a matter of law.</w:t>
      </w:r>
      <w:r>
        <w:t xml:space="preserve">’ ” </w:t>
      </w:r>
      <w:r w:rsidRPr="00F53D7F">
        <w:t>’ ”</w:t>
      </w:r>
      <w:r>
        <w:t xml:space="preserve"> </w:t>
      </w:r>
      <w:r w:rsidRPr="00F53D7F">
        <w:t xml:space="preserve"> (</w:t>
      </w:r>
      <w:r w:rsidRPr="00F53D7F">
        <w:rPr>
          <w:i/>
          <w:iCs/>
        </w:rPr>
        <w:t>Barry</w:t>
      </w:r>
      <w:r>
        <w:t xml:space="preserve">, </w:t>
      </w:r>
      <w:r>
        <w:rPr>
          <w:i/>
          <w:iCs/>
        </w:rPr>
        <w:t>supra</w:t>
      </w:r>
      <w:r>
        <w:t>,</w:t>
      </w:r>
      <w:r w:rsidRPr="00F53D7F">
        <w:t xml:space="preserve"> </w:t>
      </w:r>
      <w:r w:rsidR="00CF1A7B">
        <w:t>2 Cal.5th</w:t>
      </w:r>
      <w:r w:rsidRPr="00F53D7F">
        <w:t xml:space="preserve"> </w:t>
      </w:r>
      <w:r>
        <w:t>at p.</w:t>
      </w:r>
      <w:r w:rsidRPr="00F53D7F">
        <w:t xml:space="preserve"> 321.)</w:t>
      </w:r>
      <w:r>
        <w:t xml:space="preserve">  </w:t>
      </w:r>
    </w:p>
    <w:p w:rsidR="00945614" w:rsidRPr="00945614" w:rsidP="00945614" w14:paraId="38F7A570" w14:textId="62D25ED2">
      <w:pPr>
        <w:pStyle w:val="Heading2"/>
      </w:pPr>
      <w:r>
        <w:t>C.  Analysis</w:t>
      </w:r>
    </w:p>
    <w:p w:rsidR="009C167B" w:rsidP="009B0CC0" w14:paraId="0E866E5B" w14:textId="0EE60949">
      <w:r>
        <w:t xml:space="preserve">We </w:t>
      </w:r>
      <w:r w:rsidR="00193E56">
        <w:t>first</w:t>
      </w:r>
      <w:r>
        <w:t xml:space="preserve"> address Susan’s framing of the issue on appeal.  </w:t>
      </w:r>
      <w:r w:rsidR="00D95AEA">
        <w:t xml:space="preserve">Susan </w:t>
      </w:r>
      <w:r w:rsidR="00CD7E61">
        <w:t xml:space="preserve">contends that </w:t>
      </w:r>
      <w:r w:rsidR="00230EE4">
        <w:t xml:space="preserve">the trial court recognized </w:t>
      </w:r>
      <w:r w:rsidR="00193E56">
        <w:t>that her</w:t>
      </w:r>
      <w:r w:rsidR="00CD7E61">
        <w:t xml:space="preserve"> e-mail communications were made in connection with forthcoming litigation</w:t>
      </w:r>
      <w:r w:rsidR="00230EE4">
        <w:t xml:space="preserve"> but</w:t>
      </w:r>
      <w:r w:rsidR="00F65FA6">
        <w:t xml:space="preserve"> </w:t>
      </w:r>
      <w:r w:rsidR="00230EE4">
        <w:t>erroneously</w:t>
      </w:r>
      <w:r w:rsidR="00CD7E61">
        <w:t xml:space="preserve"> “carved out one email” as outside the scope of protected speech. </w:t>
      </w:r>
      <w:r w:rsidR="00F65FA6">
        <w:t xml:space="preserve"> She argues that the “</w:t>
      </w:r>
      <w:r w:rsidRPr="00F65FA6" w:rsidR="00F65FA6">
        <w:t>sole question</w:t>
      </w:r>
      <w:r w:rsidR="00F65FA6">
        <w:t>” on appeal “</w:t>
      </w:r>
      <w:r w:rsidRPr="00F65FA6" w:rsidR="00F65FA6">
        <w:t>is whether the single email and others like it are privileged, and anti-SLAPP protected.</w:t>
      </w:r>
      <w:r w:rsidR="00F65FA6">
        <w:t xml:space="preserve">” </w:t>
      </w:r>
      <w:r w:rsidR="006127EE">
        <w:t xml:space="preserve"> </w:t>
      </w:r>
    </w:p>
    <w:p w:rsidR="001E4A59" w:rsidP="00053EC0" w14:paraId="7FF18FB8" w14:textId="6D36BD6D">
      <w:r>
        <w:t xml:space="preserve">We disagree with Susan that the trial court based its decision only on the e-mail that it quoted in its order, or even “found” (as Susan contends) “that most of the email was litigation privileged.”  </w:t>
      </w:r>
      <w:r w:rsidR="00A53E31">
        <w:t>T</w:t>
      </w:r>
      <w:r>
        <w:t xml:space="preserve">he court cited the language of </w:t>
      </w:r>
      <w:r w:rsidR="00990C54">
        <w:t>an</w:t>
      </w:r>
      <w:r>
        <w:t xml:space="preserve"> e-mail</w:t>
      </w:r>
      <w:r w:rsidR="00A53E31">
        <w:t xml:space="preserve"> </w:t>
      </w:r>
      <w:r w:rsidR="00990C54">
        <w:t xml:space="preserve">from June 27 </w:t>
      </w:r>
      <w:r w:rsidR="00A53E31">
        <w:t>and</w:t>
      </w:r>
      <w:r>
        <w:t xml:space="preserve"> concluded that “this e-mail (and several others like it) are not protected activity as contemplated by” section 425.16(e)(1) and (2).  </w:t>
      </w:r>
    </w:p>
    <w:p w:rsidR="008177C0" w:rsidP="00053EC0" w14:paraId="7450A7C0" w14:textId="0EB8CBE0">
      <w:r>
        <w:t>We</w:t>
      </w:r>
      <w:r w:rsidRPr="00F53D7F">
        <w:t xml:space="preserve"> </w:t>
      </w:r>
      <w:r>
        <w:t>independently review</w:t>
      </w:r>
      <w:r w:rsidRPr="00F53D7F">
        <w:t xml:space="preserve"> </w:t>
      </w:r>
      <w:r w:rsidR="00F850AD">
        <w:t xml:space="preserve">the court’s </w:t>
      </w:r>
      <w:r>
        <w:t xml:space="preserve">determination </w:t>
      </w:r>
      <w:r w:rsidR="00F850AD">
        <w:t xml:space="preserve">that Susan failed to meet her burden at step one.  We </w:t>
      </w:r>
      <w:r>
        <w:t>are not bound by the trial court’s findings with respect to the nature of the communications</w:t>
      </w:r>
      <w:r w:rsidR="00F850AD">
        <w:t xml:space="preserve"> and </w:t>
      </w:r>
      <w:r>
        <w:t>review the trial court’s ruling, not its reasoning.  (</w:t>
      </w:r>
      <w:r w:rsidRPr="00DB70D4">
        <w:rPr>
          <w:i/>
          <w:iCs/>
        </w:rPr>
        <w:t>Trinity</w:t>
      </w:r>
      <w:r>
        <w:t xml:space="preserve"> </w:t>
      </w:r>
      <w:r w:rsidRPr="00FB6BAD">
        <w:rPr>
          <w:i/>
          <w:iCs/>
        </w:rPr>
        <w:t>Risk Management, LLC v. Simplified Labor Staffing Solutions, Inc.</w:t>
      </w:r>
      <w:r>
        <w:t xml:space="preserve"> (2021) 59 Cal</w:t>
      </w:r>
      <w:r w:rsidRPr="00CF1A7B">
        <w:t>.A</w:t>
      </w:r>
      <w:r>
        <w:t>pp.5th 995, 1002</w:t>
      </w:r>
      <w:r w:rsidR="00DB70D4">
        <w:t xml:space="preserve"> (</w:t>
      </w:r>
      <w:r w:rsidR="00DB70D4">
        <w:rPr>
          <w:i/>
          <w:iCs/>
        </w:rPr>
        <w:t>Trinity</w:t>
      </w:r>
      <w:r w:rsidR="00DB70D4">
        <w:t>)</w:t>
      </w:r>
      <w:r>
        <w:t xml:space="preserve">.)  </w:t>
      </w:r>
    </w:p>
    <w:p w:rsidR="00155911" w:rsidP="00053EC0" w14:paraId="781F6039" w14:textId="7495860D">
      <w:r>
        <w:t>T</w:t>
      </w:r>
      <w:r w:rsidR="002F6BE3">
        <w:t xml:space="preserve">here is no dispute that Robert’s petition arises </w:t>
      </w:r>
      <w:r w:rsidR="000F52C8">
        <w:t xml:space="preserve">generally </w:t>
      </w:r>
      <w:r w:rsidR="002F6BE3">
        <w:t xml:space="preserve">from </w:t>
      </w:r>
      <w:r w:rsidR="00063445">
        <w:t>speech</w:t>
      </w:r>
      <w:r w:rsidR="002F6BE3">
        <w:t xml:space="preserve"> activity</w:t>
      </w:r>
      <w:r w:rsidR="000B5F44">
        <w:t xml:space="preserve">, namely, </w:t>
      </w:r>
      <w:r w:rsidR="002F6BE3">
        <w:t xml:space="preserve">Susan’s e-mails communicating what she contends is litigation related information.  </w:t>
      </w:r>
      <w:r w:rsidR="00063445">
        <w:t xml:space="preserve">The </w:t>
      </w:r>
      <w:r w:rsidR="00DD1A73">
        <w:t xml:space="preserve">disputed </w:t>
      </w:r>
      <w:r w:rsidR="00063445">
        <w:t xml:space="preserve">question is </w:t>
      </w:r>
      <w:r w:rsidR="00F930D5">
        <w:t xml:space="preserve">whether Susan </w:t>
      </w:r>
      <w:r w:rsidRPr="00F930D5" w:rsidR="00F930D5">
        <w:t xml:space="preserve">has shown </w:t>
      </w:r>
      <w:r w:rsidR="00F930D5">
        <w:t xml:space="preserve">that </w:t>
      </w:r>
      <w:r w:rsidR="000F52C8">
        <w:t>the</w:t>
      </w:r>
      <w:r w:rsidRPr="00F930D5" w:rsidR="00F930D5">
        <w:t xml:space="preserve"> </w:t>
      </w:r>
      <w:r w:rsidR="00B378EB">
        <w:t>e-mails</w:t>
      </w:r>
      <w:r w:rsidRPr="00F930D5" w:rsidR="00F930D5">
        <w:t xml:space="preserve"> fall within one or more of the four categories of </w:t>
      </w:r>
      <w:r w:rsidR="00F930D5">
        <w:t>“</w:t>
      </w:r>
      <w:r w:rsidR="0064366F">
        <w:t> ‘</w:t>
      </w:r>
      <w:r w:rsidRPr="00F930D5" w:rsidR="00F930D5">
        <w:t>act[s]</w:t>
      </w:r>
      <w:r w:rsidR="0064366F">
        <w:t>’ </w:t>
      </w:r>
      <w:r w:rsidR="00F930D5">
        <w:t>”</w:t>
      </w:r>
      <w:r w:rsidRPr="00C63923" w:rsidR="00C63923">
        <w:t xml:space="preserve"> set out in section 425.16(e).</w:t>
      </w:r>
    </w:p>
    <w:p w:rsidR="00053EC0" w:rsidP="00B5690B" w14:paraId="1DE0C63D" w14:textId="454EE458">
      <w:pPr>
        <w:pStyle w:val="Heading3"/>
      </w:pPr>
      <w:r>
        <w:t>First Step:  Protected Acts</w:t>
      </w:r>
    </w:p>
    <w:p w:rsidR="005B307F" w:rsidP="001F2047" w14:paraId="57072995" w14:textId="781BFE02">
      <w:bookmarkStart w:id="1" w:name="_Hlk158808376"/>
      <w:r>
        <w:t xml:space="preserve">In her anti-SLAPP motion, Susan </w:t>
      </w:r>
      <w:r w:rsidR="00DD1A73">
        <w:t xml:space="preserve">asserted </w:t>
      </w:r>
      <w:r>
        <w:t xml:space="preserve">that her e-mails </w:t>
      </w:r>
      <w:r w:rsidR="007B1015">
        <w:t>fall under all</w:t>
      </w:r>
      <w:r>
        <w:t xml:space="preserve"> </w:t>
      </w:r>
      <w:r w:rsidR="00053EC0">
        <w:t xml:space="preserve">four </w:t>
      </w:r>
      <w:bookmarkEnd w:id="1"/>
      <w:r w:rsidR="00155911">
        <w:t xml:space="preserve">anti-SLAPP </w:t>
      </w:r>
      <w:r>
        <w:t>categories but focused on section 425.16(e)(1) and (2)</w:t>
      </w:r>
      <w:r w:rsidR="00782A7E">
        <w:t xml:space="preserve">, </w:t>
      </w:r>
      <w:r w:rsidR="00B378EB">
        <w:t>asserting</w:t>
      </w:r>
      <w:r w:rsidR="00782A7E">
        <w:t xml:space="preserve"> only in a conclusory manner that “(3) and (4) also apply</w:t>
      </w:r>
      <w:r>
        <w:t>.</w:t>
      </w:r>
      <w:r w:rsidR="00782A7E">
        <w:t>”</w:t>
      </w:r>
      <w:r>
        <w:t xml:space="preserve">  On appeal, Susan </w:t>
      </w:r>
      <w:r w:rsidR="00B378EB">
        <w:t>generally reiterates this position</w:t>
      </w:r>
      <w:r>
        <w:t>.  However, she proffers argument only to support her</w:t>
      </w:r>
      <w:r w:rsidR="00B378EB">
        <w:t xml:space="preserve"> claim </w:t>
      </w:r>
      <w:r>
        <w:t>that the</w:t>
      </w:r>
      <w:r w:rsidR="007855E0">
        <w:t xml:space="preserve"> e</w:t>
      </w:r>
      <w:r w:rsidR="00B378EB">
        <w:t>-mail</w:t>
      </w:r>
      <w:r w:rsidR="007855E0">
        <w:t>s come under</w:t>
      </w:r>
      <w:r w:rsidR="00B378EB">
        <w:t xml:space="preserve"> section 425.16</w:t>
      </w:r>
      <w:r w:rsidR="003A2C52">
        <w:t xml:space="preserve">, subdivision </w:t>
      </w:r>
      <w:r w:rsidR="00B378EB">
        <w:t>(e)(2</w:t>
      </w:r>
      <w:r w:rsidR="007855E0">
        <w:t xml:space="preserve">) </w:t>
      </w:r>
      <w:r w:rsidR="003A2C52">
        <w:t>(hereafter, § </w:t>
      </w:r>
      <w:r w:rsidRPr="005064C2" w:rsidR="003A2C52">
        <w:t>425.16(e)(2)</w:t>
      </w:r>
      <w:r w:rsidR="003A2C52">
        <w:t xml:space="preserve">) </w:t>
      </w:r>
      <w:r w:rsidR="007855E0">
        <w:t>as</w:t>
      </w:r>
      <w:r w:rsidR="00B378EB">
        <w:t xml:space="preserve"> “</w:t>
      </w:r>
      <w:r w:rsidR="007855E0">
        <w:t> </w:t>
      </w:r>
      <w:r w:rsidR="00B378EB">
        <w:t xml:space="preserve">‘writing made in connection with an issue under consideration by . . . a judicial body,’ that being the family court.”  </w:t>
      </w:r>
      <w:r w:rsidR="00097A57">
        <w:t>While</w:t>
      </w:r>
      <w:r>
        <w:t xml:space="preserve"> she also</w:t>
      </w:r>
      <w:r w:rsidR="006137C4">
        <w:t xml:space="preserve"> asserts th</w:t>
      </w:r>
      <w:r>
        <w:t>at her</w:t>
      </w:r>
      <w:r w:rsidR="006137C4">
        <w:t xml:space="preserve"> e-mail qualifies as protected speech under section 425.16</w:t>
      </w:r>
      <w:r w:rsidR="00B378EB">
        <w:t xml:space="preserve">(e)(4) </w:t>
      </w:r>
      <w:r w:rsidR="006137C4">
        <w:t>“because it concerned the f</w:t>
      </w:r>
      <w:r w:rsidR="00446214">
        <w:t>o</w:t>
      </w:r>
      <w:r w:rsidR="006137C4">
        <w:t>od supply and chain, the mis-labeling of ‘organic’ lettuce</w:t>
      </w:r>
      <w:r>
        <w:t>,</w:t>
      </w:r>
      <w:r w:rsidR="006137C4">
        <w:t xml:space="preserve">” </w:t>
      </w:r>
      <w:bookmarkStart w:id="2" w:name="_Hlk157084621"/>
      <w:r w:rsidR="000968C2">
        <w:t xml:space="preserve">she provides no additional analysis or authority to support the application of </w:t>
      </w:r>
      <w:r w:rsidR="00097A57">
        <w:t>this provision</w:t>
      </w:r>
      <w:r w:rsidR="000968C2">
        <w:t xml:space="preserve"> to her e-mail communications.  </w:t>
      </w:r>
      <w:r w:rsidR="00097A57">
        <w:t xml:space="preserve">Insofar as Susan </w:t>
      </w:r>
      <w:r w:rsidR="000968C2">
        <w:t xml:space="preserve">has failed to support </w:t>
      </w:r>
      <w:r w:rsidR="00097A57">
        <w:t>any argument on</w:t>
      </w:r>
      <w:r w:rsidR="000968C2">
        <w:t xml:space="preserve"> the applicability of section 425.16(e)(1), (3), and (4)</w:t>
      </w:r>
      <w:r w:rsidR="00097A57">
        <w:t xml:space="preserve"> to the communications underlying the petition, we deem those points forfeited</w:t>
      </w:r>
      <w:r w:rsidR="000968C2">
        <w:t>.  (</w:t>
      </w:r>
      <w:r w:rsidRPr="00660C81" w:rsidR="000968C2">
        <w:rPr>
          <w:i/>
          <w:iCs/>
        </w:rPr>
        <w:t>L.O. v. Kilrain</w:t>
      </w:r>
      <w:r w:rsidR="000968C2">
        <w:t xml:space="preserve"> (2023) 96 Cal</w:t>
      </w:r>
      <w:r w:rsidRPr="001D3EE5" w:rsidR="001F5665">
        <w:t>.A</w:t>
      </w:r>
      <w:r w:rsidR="000968C2">
        <w:t>pp.5th 616</w:t>
      </w:r>
      <w:r w:rsidR="000C6920">
        <w:t>, 620</w:t>
      </w:r>
      <w:r w:rsidR="00097A57">
        <w:t xml:space="preserve">; see </w:t>
      </w:r>
      <w:r w:rsidRPr="00F2521D" w:rsidR="00675324">
        <w:rPr>
          <w:i/>
          <w:iCs/>
        </w:rPr>
        <w:t xml:space="preserve">Hernandez v. First Student, Inc. </w:t>
      </w:r>
      <w:r w:rsidRPr="00F2521D" w:rsidR="00675324">
        <w:t>(2019) 37 Cal</w:t>
      </w:r>
      <w:r w:rsidR="00CF1A7B">
        <w:t>App.</w:t>
      </w:r>
      <w:r w:rsidRPr="00F2521D" w:rsidR="00675324">
        <w:t xml:space="preserve">5th 270, </w:t>
      </w:r>
      <w:r w:rsidRPr="00F2521D" w:rsidR="00097A57">
        <w:t>277</w:t>
      </w:r>
      <w:r w:rsidR="000968C2">
        <w:t>.)</w:t>
      </w:r>
      <w:r w:rsidR="00097A57">
        <w:t xml:space="preserve">  We </w:t>
      </w:r>
      <w:r w:rsidR="004017FD">
        <w:t xml:space="preserve">therefore </w:t>
      </w:r>
      <w:r w:rsidR="007F7743">
        <w:t>consider only</w:t>
      </w:r>
      <w:r w:rsidR="00097A57">
        <w:t xml:space="preserve"> </w:t>
      </w:r>
      <w:r w:rsidR="007F7743">
        <w:t>whether Susan’s e-mails come within the intended scope and meaning of section 425.16(e)(2).</w:t>
      </w:r>
    </w:p>
    <w:bookmarkEnd w:id="2"/>
    <w:p w:rsidR="0092046A" w:rsidP="00553804" w14:paraId="3A6D5A6F" w14:textId="1BAC26B2">
      <w:r>
        <w:t>S</w:t>
      </w:r>
      <w:r w:rsidRPr="005064C2">
        <w:t xml:space="preserve">ection 425.16(e)(2) protects “any written or oral statement or writing made </w:t>
      </w:r>
      <w:r w:rsidRPr="003A361E">
        <w:rPr>
          <w:i/>
          <w:iCs/>
        </w:rPr>
        <w:t>in connection</w:t>
      </w:r>
      <w:r w:rsidRPr="005064C2">
        <w:t xml:space="preserve"> </w:t>
      </w:r>
      <w:r w:rsidRPr="00700151">
        <w:rPr>
          <w:i/>
          <w:iCs/>
        </w:rPr>
        <w:t>with</w:t>
      </w:r>
      <w:r w:rsidRPr="005064C2">
        <w:t xml:space="preserve"> an issue under consideration or review by a legislative, executive, or judicial body</w:t>
      </w:r>
      <w:r w:rsidR="00700151">
        <w:t>.</w:t>
      </w:r>
      <w:r w:rsidRPr="005064C2">
        <w:t xml:space="preserve">” </w:t>
      </w:r>
      <w:r w:rsidR="005D4285">
        <w:t xml:space="preserve"> </w:t>
      </w:r>
      <w:r w:rsidRPr="005064C2">
        <w:t>(§ 425.16(e)(2), italics added.)</w:t>
      </w:r>
      <w:r w:rsidR="00700151">
        <w:t xml:space="preserve">  This does not</w:t>
      </w:r>
      <w:r w:rsidRPr="00DA4DF3" w:rsidR="00700151">
        <w:t xml:space="preserve"> require that the </w:t>
      </w:r>
      <w:r w:rsidR="0020773D">
        <w:t>“</w:t>
      </w:r>
      <w:r w:rsidR="005B503C">
        <w:t xml:space="preserve"> ‘</w:t>
      </w:r>
      <w:r w:rsidR="0020773D">
        <w:t>issue under consideration</w:t>
      </w:r>
      <w:r w:rsidR="005B503C">
        <w:t xml:space="preserve">’ </w:t>
      </w:r>
      <w:r w:rsidR="0020773D">
        <w:t>”</w:t>
      </w:r>
      <w:r w:rsidRPr="00DA4DF3" w:rsidR="00700151">
        <w:t xml:space="preserve"> concern a matter of public interest.</w:t>
      </w:r>
      <w:r w:rsidR="00700151">
        <w:t xml:space="preserve">  (</w:t>
      </w:r>
      <w:r w:rsidRPr="00BD1CA7" w:rsidR="00700151">
        <w:rPr>
          <w:i/>
          <w:iCs/>
        </w:rPr>
        <w:t xml:space="preserve">Neville v. Chudacoff </w:t>
      </w:r>
      <w:r w:rsidR="00700151">
        <w:t>(2008) 160 Cal.App.4th 1255, 1261 (</w:t>
      </w:r>
      <w:r w:rsidR="00700151">
        <w:rPr>
          <w:i/>
          <w:iCs/>
        </w:rPr>
        <w:t>Neville</w:t>
      </w:r>
      <w:r w:rsidR="00700151">
        <w:t xml:space="preserve">).)  </w:t>
      </w:r>
      <w:r w:rsidR="008137EE">
        <w:t>T</w:t>
      </w:r>
      <w:r w:rsidR="0020773D">
        <w:t xml:space="preserve">he protection </w:t>
      </w:r>
      <w:r w:rsidR="00092519">
        <w:t xml:space="preserve">is not </w:t>
      </w:r>
      <w:r w:rsidRPr="0020773D" w:rsidR="0020773D">
        <w:t xml:space="preserve">limited to statements made after the commencement of </w:t>
      </w:r>
      <w:r w:rsidR="0020773D">
        <w:t>a legal or other</w:t>
      </w:r>
      <w:r w:rsidRPr="0020773D" w:rsidR="0020773D">
        <w:t xml:space="preserve"> </w:t>
      </w:r>
      <w:r w:rsidR="0020773D">
        <w:t xml:space="preserve">official </w:t>
      </w:r>
      <w:r w:rsidRPr="0020773D" w:rsidR="0020773D">
        <w:t xml:space="preserve">proceeding. </w:t>
      </w:r>
      <w:r w:rsidR="0020773D">
        <w:t xml:space="preserve"> (</w:t>
      </w:r>
      <w:r w:rsidRPr="0020773D" w:rsidR="0020773D">
        <w:rPr>
          <w:i/>
          <w:iCs/>
        </w:rPr>
        <w:t>Digerati Holdings, LLC v. Young Money Entertainment, LLC</w:t>
      </w:r>
      <w:r w:rsidR="0020773D">
        <w:t xml:space="preserve"> (2011) 194 Cal.App.4th 873, 886–887</w:t>
      </w:r>
      <w:r w:rsidR="00B54806">
        <w:t xml:space="preserve"> (</w:t>
      </w:r>
      <w:r w:rsidRPr="0020773D" w:rsidR="00B54806">
        <w:rPr>
          <w:i/>
          <w:iCs/>
        </w:rPr>
        <w:t>Digerati</w:t>
      </w:r>
      <w:r w:rsidR="00B54806">
        <w:t>)</w:t>
      </w:r>
      <w:r w:rsidR="0020773D">
        <w:t xml:space="preserve">.)  </w:t>
      </w:r>
    </w:p>
    <w:p w:rsidR="005C0568" w:rsidRPr="00BF6E59" w:rsidP="00553804" w14:paraId="37C0D1C0" w14:textId="6CF0D39F">
      <w:r>
        <w:t xml:space="preserve">“In the anti-SLAPP context, ‘ “[a]ny act” includes communicative conduct such as the filing, funding, and prosecution of a civil action.’ ” </w:t>
      </w:r>
      <w:r w:rsidR="00A77246">
        <w:t xml:space="preserve"> </w:t>
      </w:r>
      <w:r>
        <w:t>(</w:t>
      </w:r>
      <w:r w:rsidRPr="005C0568">
        <w:rPr>
          <w:i/>
          <w:iCs/>
        </w:rPr>
        <w:t xml:space="preserve">Timothy W. v. Julie W. </w:t>
      </w:r>
      <w:r>
        <w:t>(2022) 85 Cal.App.5th 648, 658</w:t>
      </w:r>
      <w:r w:rsidR="00793C27">
        <w:t xml:space="preserve"> (</w:t>
      </w:r>
      <w:r w:rsidRPr="005C0568" w:rsidR="00793C27">
        <w:rPr>
          <w:i/>
          <w:iCs/>
        </w:rPr>
        <w:t>Timothy W.</w:t>
      </w:r>
      <w:r w:rsidRPr="00D4379C" w:rsidR="00793C27">
        <w:t>)</w:t>
      </w:r>
      <w:r>
        <w:t xml:space="preserve">, quoting </w:t>
      </w:r>
      <w:r w:rsidRPr="005C0568">
        <w:rPr>
          <w:i/>
          <w:iCs/>
        </w:rPr>
        <w:t>Rusheen v. Cohen</w:t>
      </w:r>
      <w:r>
        <w:t xml:space="preserve"> (2006) 37 Cal.4th 1048, 1056.)  </w:t>
      </w:r>
      <w:r w:rsidR="00C0570E">
        <w:t xml:space="preserve">This includes </w:t>
      </w:r>
      <w:r w:rsidRPr="00C0570E" w:rsidR="00C0570E">
        <w:t xml:space="preserve">communications </w:t>
      </w:r>
      <w:r w:rsidR="00092519">
        <w:t xml:space="preserve">made </w:t>
      </w:r>
      <w:r w:rsidRPr="00C0570E" w:rsidR="00C0570E">
        <w:t xml:space="preserve">in </w:t>
      </w:r>
      <w:r w:rsidR="00092519">
        <w:t>anticipation of</w:t>
      </w:r>
      <w:r w:rsidRPr="00C0570E" w:rsidR="00C0570E">
        <w:t xml:space="preserve"> litigation</w:t>
      </w:r>
      <w:r w:rsidR="00C0570E">
        <w:t xml:space="preserve">.  </w:t>
      </w:r>
      <w:r w:rsidR="008E2650">
        <w:t>(</w:t>
      </w:r>
      <w:r w:rsidRPr="00BD1CA7" w:rsidR="008E2650">
        <w:rPr>
          <w:i/>
          <w:iCs/>
        </w:rPr>
        <w:t>Neville</w:t>
      </w:r>
      <w:r w:rsidR="008E2650">
        <w:t xml:space="preserve">, </w:t>
      </w:r>
      <w:r w:rsidR="008E2650">
        <w:rPr>
          <w:i/>
          <w:iCs/>
        </w:rPr>
        <w:t>supra</w:t>
      </w:r>
      <w:r w:rsidR="008E2650">
        <w:t>,</w:t>
      </w:r>
      <w:r w:rsidRPr="00BD1CA7" w:rsidR="008E2650">
        <w:rPr>
          <w:i/>
          <w:iCs/>
        </w:rPr>
        <w:t xml:space="preserve"> </w:t>
      </w:r>
      <w:r w:rsidR="008E2650">
        <w:t>160 Cal.App.4th at p. 1263</w:t>
      </w:r>
      <w:r w:rsidR="00F96313">
        <w:t xml:space="preserve">; </w:t>
      </w:r>
      <w:r w:rsidRPr="00F96313" w:rsidR="00F96313">
        <w:rPr>
          <w:i/>
          <w:iCs/>
        </w:rPr>
        <w:t>Trinity</w:t>
      </w:r>
      <w:r w:rsidR="00DB70D4">
        <w:t xml:space="preserve">, </w:t>
      </w:r>
      <w:r w:rsidR="00DB70D4">
        <w:rPr>
          <w:i/>
          <w:iCs/>
        </w:rPr>
        <w:t>supra</w:t>
      </w:r>
      <w:r w:rsidR="00DB70D4">
        <w:t>,</w:t>
      </w:r>
      <w:r w:rsidRPr="00F96313" w:rsidR="00F96313">
        <w:rPr>
          <w:i/>
          <w:iCs/>
        </w:rPr>
        <w:t xml:space="preserve"> </w:t>
      </w:r>
      <w:r w:rsidR="00F96313">
        <w:t xml:space="preserve">59 Cal.App.5th </w:t>
      </w:r>
      <w:r w:rsidR="00FE0A4C">
        <w:t>at p. </w:t>
      </w:r>
      <w:r w:rsidR="00F96313">
        <w:t>1005</w:t>
      </w:r>
      <w:r w:rsidR="008E2650">
        <w:t xml:space="preserve">.)  </w:t>
      </w:r>
      <w:r w:rsidR="00F376E3">
        <w:t>However, protection is not accorded to statements “having any connection, however remote, with an official proceeding.”  (</w:t>
      </w:r>
      <w:r w:rsidRPr="00F376E3" w:rsidR="00F376E3">
        <w:rPr>
          <w:i/>
          <w:iCs/>
        </w:rPr>
        <w:t>Paul v. Friedman</w:t>
      </w:r>
      <w:r w:rsidR="00F376E3">
        <w:t xml:space="preserve"> (2002) 95 Cal.App.4th 853, 866 (</w:t>
      </w:r>
      <w:r w:rsidR="00F376E3">
        <w:rPr>
          <w:i/>
          <w:iCs/>
        </w:rPr>
        <w:t>Paul</w:t>
      </w:r>
      <w:r w:rsidR="00F376E3">
        <w:t>).</w:t>
      </w:r>
      <w:r w:rsidR="007D2BFB">
        <w:t>)</w:t>
      </w:r>
      <w:r w:rsidR="00F376E3">
        <w:t xml:space="preserve">  </w:t>
      </w:r>
      <w:r w:rsidR="00BF6E59">
        <w:t>Rather, “[t]</w:t>
      </w:r>
      <w:r w:rsidRPr="00BF6E59" w:rsidR="00BF6E59">
        <w:t xml:space="preserve">he statements or writings in question must occur in connection with </w:t>
      </w:r>
      <w:r w:rsidR="00BF6E59">
        <w:t>‘</w:t>
      </w:r>
      <w:r w:rsidRPr="00BF6E59" w:rsidR="00BF6E59">
        <w:t>an issue under consideration or review</w:t>
      </w:r>
      <w:r w:rsidR="00BF6E59">
        <w:t>’</w:t>
      </w:r>
      <w:r w:rsidRPr="00BF6E59" w:rsidR="00BF6E59">
        <w:t xml:space="preserve"> in the proceeding</w:t>
      </w:r>
      <w:r w:rsidR="00BF6E59">
        <w:t xml:space="preserve">” </w:t>
      </w:r>
      <w:r w:rsidR="00553804">
        <w:t xml:space="preserve">or </w:t>
      </w:r>
      <w:r w:rsidR="001E64BA">
        <w:t xml:space="preserve">the </w:t>
      </w:r>
      <w:r w:rsidR="00553804">
        <w:t xml:space="preserve">anticipated action.  </w:t>
      </w:r>
      <w:r w:rsidR="00BF6E59">
        <w:t>(</w:t>
      </w:r>
      <w:r w:rsidR="00BF6E59">
        <w:rPr>
          <w:i/>
          <w:iCs/>
        </w:rPr>
        <w:t>Ibid</w:t>
      </w:r>
      <w:r w:rsidR="00BF6E59">
        <w:t>.)</w:t>
      </w:r>
    </w:p>
    <w:p w:rsidR="001E64BA" w:rsidP="007D2BFB" w14:paraId="6530B4AF" w14:textId="22F16A39">
      <w:r>
        <w:t>As interpreted by the Courts of Appeal, a</w:t>
      </w:r>
      <w:r w:rsidR="00A4005D">
        <w:t xml:space="preserve"> statement or writing </w:t>
      </w:r>
      <w:r>
        <w:t xml:space="preserve">is </w:t>
      </w:r>
      <w:r w:rsidR="00A4005D">
        <w:t>“</w:t>
      </w:r>
      <w:r>
        <w:t xml:space="preserve">made </w:t>
      </w:r>
      <w:r w:rsidR="005B503C">
        <w:t>‘</w:t>
      </w:r>
      <w:r w:rsidR="00A4005D">
        <w:t>in connection with</w:t>
      </w:r>
      <w:r w:rsidR="005B503C">
        <w:t xml:space="preserve">’ </w:t>
      </w:r>
      <w:r w:rsidR="00A4005D">
        <w:t xml:space="preserve">” </w:t>
      </w:r>
      <w:r>
        <w:t xml:space="preserve">litigation under section </w:t>
      </w:r>
      <w:r w:rsidR="00A4005D">
        <w:t>425</w:t>
      </w:r>
      <w:r w:rsidRPr="005064C2" w:rsidR="00A4005D">
        <w:t>.16(e)(2)</w:t>
      </w:r>
      <w:r>
        <w:t>—including anticipat</w:t>
      </w:r>
      <w:r w:rsidR="00F43A09">
        <w:t>ed</w:t>
      </w:r>
      <w:r>
        <w:t xml:space="preserve"> litigation—“i</w:t>
      </w:r>
      <w:r w:rsidRPr="00753565">
        <w:t>f it relates to the substantive issues in the litigation and is directed to persons having some interest in the litigation.</w:t>
      </w:r>
      <w:r>
        <w:t>”  (</w:t>
      </w:r>
      <w:r w:rsidRPr="00BD1CA7">
        <w:rPr>
          <w:i/>
          <w:iCs/>
        </w:rPr>
        <w:t>Neville</w:t>
      </w:r>
      <w:r>
        <w:t xml:space="preserve">, </w:t>
      </w:r>
      <w:r>
        <w:rPr>
          <w:i/>
          <w:iCs/>
        </w:rPr>
        <w:t>supra</w:t>
      </w:r>
      <w:r>
        <w:t>,</w:t>
      </w:r>
      <w:r w:rsidRPr="00BD1CA7">
        <w:rPr>
          <w:i/>
          <w:iCs/>
        </w:rPr>
        <w:t xml:space="preserve"> </w:t>
      </w:r>
      <w:r>
        <w:t xml:space="preserve">160 Cal.App.4th at p. 1266.)  </w:t>
      </w:r>
    </w:p>
    <w:p w:rsidR="0092046A" w:rsidP="007D2BFB" w14:paraId="7E41FB9C" w14:textId="449ABF1E">
      <w:r>
        <w:t>D</w:t>
      </w:r>
      <w:r w:rsidR="008A3756">
        <w:t>rawing guidance from the scope of the litigation privilege set forth in Civil Code section 47, subdivision (b),</w:t>
      </w:r>
      <w:r>
        <w:rPr>
          <w:rStyle w:val="FootnoteReference"/>
          <w:b/>
          <w:bCs/>
        </w:rPr>
        <w:footnoteReference w:id="11"/>
      </w:r>
      <w:r w:rsidR="008A3756">
        <w:t xml:space="preserve"> c</w:t>
      </w:r>
      <w:r w:rsidRPr="00AF2596" w:rsidR="008A3756">
        <w:t xml:space="preserve">ourts have </w:t>
      </w:r>
      <w:r w:rsidR="008A3756">
        <w:t xml:space="preserve">articulated the standard </w:t>
      </w:r>
      <w:r w:rsidR="00885F94">
        <w:t>to reflect the reasonable relevancy requirement incorporated in the litigation privilege.</w:t>
      </w:r>
      <w:r w:rsidR="008A3756">
        <w:t xml:space="preserve">  </w:t>
      </w:r>
      <w:r w:rsidR="00885F94">
        <w:t>(</w:t>
      </w:r>
      <w:r w:rsidRPr="00BD1CA7" w:rsidR="00885F94">
        <w:rPr>
          <w:i/>
          <w:iCs/>
        </w:rPr>
        <w:t>Neville</w:t>
      </w:r>
      <w:r w:rsidR="00885F94">
        <w:t xml:space="preserve">, </w:t>
      </w:r>
      <w:r w:rsidR="001E64BA">
        <w:rPr>
          <w:i/>
          <w:iCs/>
        </w:rPr>
        <w:t>supra</w:t>
      </w:r>
      <w:r w:rsidR="001E64BA">
        <w:t>,</w:t>
      </w:r>
      <w:r w:rsidRPr="00BD1CA7" w:rsidR="001E64BA">
        <w:rPr>
          <w:i/>
          <w:iCs/>
        </w:rPr>
        <w:t xml:space="preserve"> </w:t>
      </w:r>
      <w:r w:rsidR="001E64BA">
        <w:t xml:space="preserve">160 Cal.App.4th </w:t>
      </w:r>
      <w:r w:rsidR="00885F94">
        <w:t>at p. 1266 [“The reasonable relevancy requirement of [Civil Code] section 47 is analogous to the ‘in connection with’ standard of section 425.16, subdivision (e)(2).”].)</w:t>
      </w:r>
      <w:r w:rsidRPr="008A3756" w:rsidR="00885F94">
        <w:t xml:space="preserve"> </w:t>
      </w:r>
      <w:r w:rsidR="00885F94">
        <w:t xml:space="preserve"> </w:t>
      </w:r>
      <w:r w:rsidR="00BD7B40">
        <w:t xml:space="preserve">“To be protected by </w:t>
      </w:r>
      <w:r w:rsidR="00A4005D">
        <w:t>the litigation privilege</w:t>
      </w:r>
      <w:r w:rsidR="00BD7B40">
        <w:t xml:space="preserve">, a communication must be </w:t>
      </w:r>
      <w:r w:rsidR="00A4005D">
        <w:t>‘in furtherance of the objects of the litigation.’ ”  (</w:t>
      </w:r>
      <w:r w:rsidRPr="00A4005D" w:rsidR="00A4005D">
        <w:rPr>
          <w:i/>
          <w:iCs/>
        </w:rPr>
        <w:t>Action Apartment</w:t>
      </w:r>
      <w:r w:rsidR="00CB1EA2">
        <w:rPr>
          <w:i/>
          <w:iCs/>
        </w:rPr>
        <w:t xml:space="preserve"> Assn., Inc. v. City of Santa Monica</w:t>
      </w:r>
      <w:r w:rsidR="00D73E55">
        <w:t xml:space="preserve"> </w:t>
      </w:r>
      <w:r w:rsidR="00CB1EA2">
        <w:t>(2007)</w:t>
      </w:r>
      <w:r w:rsidRPr="00A4005D" w:rsidR="00A4005D">
        <w:rPr>
          <w:i/>
          <w:iCs/>
        </w:rPr>
        <w:t xml:space="preserve"> </w:t>
      </w:r>
      <w:r w:rsidR="00A4005D">
        <w:t xml:space="preserve">41 Cal.4th </w:t>
      </w:r>
      <w:r w:rsidR="00CB1EA2">
        <w:t>1232,</w:t>
      </w:r>
      <w:r w:rsidR="00D73E55">
        <w:t> </w:t>
      </w:r>
      <w:r w:rsidR="00A4005D">
        <w:t>1251</w:t>
      </w:r>
      <w:r w:rsidR="00CB1EA2">
        <w:t xml:space="preserve"> (</w:t>
      </w:r>
      <w:r w:rsidRPr="00A4005D" w:rsidR="00CB1EA2">
        <w:rPr>
          <w:i/>
          <w:iCs/>
        </w:rPr>
        <w:t>Action Apartment</w:t>
      </w:r>
      <w:r w:rsidRPr="00D4379C" w:rsidR="00CB1EA2">
        <w:t>)</w:t>
      </w:r>
      <w:r w:rsidR="00A4005D">
        <w:t xml:space="preserve">.) </w:t>
      </w:r>
    </w:p>
    <w:p w:rsidR="003D12AD" w:rsidP="007D2BFB" w14:paraId="040A70B2" w14:textId="0A78CEA8">
      <w:r w:rsidRPr="00BC5A3C">
        <w:t>Put</w:t>
      </w:r>
      <w:r w:rsidRPr="00BC5A3C" w:rsidR="004873C4">
        <w:t xml:space="preserve"> diff</w:t>
      </w:r>
      <w:r w:rsidR="004873C4">
        <w:t xml:space="preserve">erently, the </w:t>
      </w:r>
      <w:r w:rsidR="00BD7B40">
        <w:t>statement</w:t>
      </w:r>
      <w:r w:rsidR="004873C4">
        <w:t xml:space="preserve"> must “ ‘</w:t>
      </w:r>
      <w:r w:rsidRPr="004873C4" w:rsidR="004873C4">
        <w:t>be connected with, or have some logical relation to</w:t>
      </w:r>
      <w:r w:rsidRPr="00AF2596" w:rsidR="004873C4">
        <w:t xml:space="preserve">, the action, i.e., </w:t>
      </w:r>
      <w:r>
        <w:t>. </w:t>
      </w:r>
      <w:r w:rsidRPr="00AF2596" w:rsidR="004873C4">
        <w:t>. . not be extraneous to the action.’ ”  (</w:t>
      </w:r>
      <w:r w:rsidRPr="00A4005D" w:rsidR="00762AB4">
        <w:rPr>
          <w:i/>
          <w:iCs/>
        </w:rPr>
        <w:t>Action Apartment</w:t>
      </w:r>
      <w:r w:rsidR="00762AB4">
        <w:t xml:space="preserve">, </w:t>
      </w:r>
      <w:r w:rsidR="00762AB4">
        <w:rPr>
          <w:i/>
          <w:iCs/>
        </w:rPr>
        <w:t>supra</w:t>
      </w:r>
      <w:r w:rsidR="00762AB4">
        <w:t>,</w:t>
      </w:r>
      <w:r w:rsidRPr="00A4005D" w:rsidR="00762AB4">
        <w:rPr>
          <w:i/>
          <w:iCs/>
        </w:rPr>
        <w:t xml:space="preserve"> </w:t>
      </w:r>
      <w:r w:rsidR="00762AB4">
        <w:t>41 Cal.4th at p. 1251</w:t>
      </w:r>
      <w:r w:rsidR="00BD7B40">
        <w:t xml:space="preserve">; see </w:t>
      </w:r>
      <w:r w:rsidRPr="00BD1CA7" w:rsidR="00BD7B40">
        <w:rPr>
          <w:i/>
          <w:iCs/>
        </w:rPr>
        <w:t>Neville</w:t>
      </w:r>
      <w:r w:rsidR="00BD7B40">
        <w:t xml:space="preserve">, </w:t>
      </w:r>
      <w:r w:rsidR="00BD7B40">
        <w:rPr>
          <w:i/>
          <w:iCs/>
        </w:rPr>
        <w:t>supra</w:t>
      </w:r>
      <w:r w:rsidR="00BD7B40">
        <w:t>,</w:t>
      </w:r>
      <w:r w:rsidRPr="00BD1CA7" w:rsidR="00BD7B40">
        <w:rPr>
          <w:i/>
          <w:iCs/>
        </w:rPr>
        <w:t xml:space="preserve"> </w:t>
      </w:r>
      <w:r w:rsidR="00BD7B40">
        <w:t>160 Cal.App.4th at p. 1266.)</w:t>
      </w:r>
      <w:r w:rsidRPr="00AF2596" w:rsidR="004873C4">
        <w:t xml:space="preserve"> </w:t>
      </w:r>
      <w:r w:rsidR="00AF2596">
        <w:t xml:space="preserve"> </w:t>
      </w:r>
      <w:r w:rsidR="00BC5A3C">
        <w:t>“</w:t>
      </w:r>
      <w:r>
        <w:t>A</w:t>
      </w:r>
      <w:r w:rsidRPr="00AF2596" w:rsidR="008630E6">
        <w:t xml:space="preserve"> prelitigation communication is privileged only when it relates to litigation that is contemplated in good faith and under serious consideration.”  (</w:t>
      </w:r>
      <w:r w:rsidRPr="00A4005D" w:rsidR="00D92A0B">
        <w:rPr>
          <w:i/>
          <w:iCs/>
        </w:rPr>
        <w:t>Action Apartment</w:t>
      </w:r>
      <w:r w:rsidR="00D92A0B">
        <w:t>, at p. 1251.)</w:t>
      </w:r>
      <w:r w:rsidRPr="00AF2596" w:rsidR="00D92A0B">
        <w:t xml:space="preserve"> </w:t>
      </w:r>
      <w:r w:rsidR="00D92A0B">
        <w:t xml:space="preserve"> </w:t>
      </w:r>
      <w:r w:rsidRPr="00AF2596" w:rsidR="0037791B">
        <w:t>“ ‘Good faith’ in this context refers to a good faith intention to file a lawsuit rather than a good faith belief in the truth of the communication.</w:t>
      </w:r>
      <w:r w:rsidR="00AF2596">
        <w:t>”</w:t>
      </w:r>
      <w:r w:rsidRPr="00AF2596" w:rsidR="0037791B">
        <w:t xml:space="preserve"> </w:t>
      </w:r>
      <w:r w:rsidR="00AF2596">
        <w:t xml:space="preserve"> </w:t>
      </w:r>
      <w:r w:rsidRPr="00AF2596" w:rsidR="0037791B">
        <w:t>(</w:t>
      </w:r>
      <w:r w:rsidRPr="0020773D" w:rsidR="00AF2596">
        <w:rPr>
          <w:i/>
          <w:iCs/>
        </w:rPr>
        <w:t>Digerati</w:t>
      </w:r>
      <w:r w:rsidR="00AF2596">
        <w:t xml:space="preserve">, </w:t>
      </w:r>
      <w:r w:rsidR="00AF2596">
        <w:rPr>
          <w:i/>
          <w:iCs/>
        </w:rPr>
        <w:t>supra</w:t>
      </w:r>
      <w:r w:rsidR="00AF2596">
        <w:t>,</w:t>
      </w:r>
      <w:r w:rsidRPr="0020773D" w:rsidR="00AF2596">
        <w:rPr>
          <w:i/>
          <w:iCs/>
        </w:rPr>
        <w:t xml:space="preserve"> </w:t>
      </w:r>
      <w:r w:rsidR="00AF2596">
        <w:t xml:space="preserve">194 Cal.App.4th at p. 887.)  </w:t>
      </w:r>
      <w:r w:rsidR="000D372F">
        <w:t xml:space="preserve">Courts have concluded on </w:t>
      </w:r>
      <w:r>
        <w:t xml:space="preserve">this </w:t>
      </w:r>
      <w:r w:rsidR="000D372F">
        <w:t>basis that “a</w:t>
      </w:r>
      <w:r w:rsidRPr="00AF2596" w:rsidR="000D372F">
        <w:t xml:space="preserve"> prelitigation statement falls within clause (1) or (2) of section 425.16</w:t>
      </w:r>
      <w:r w:rsidR="00BC5A3C">
        <w:t xml:space="preserve">, subdivision </w:t>
      </w:r>
      <w:r w:rsidRPr="00AF2596" w:rsidR="000D372F">
        <w:t>(e) if the statement ‘</w:t>
      </w:r>
      <w:r w:rsidR="000D372F">
        <w:t> “</w:t>
      </w:r>
      <w:r w:rsidRPr="00AF2596" w:rsidR="000D372F">
        <w:t>concern[s] the subject of the dispute</w:t>
      </w:r>
      <w:r w:rsidR="000D372F">
        <w:t>”</w:t>
      </w:r>
      <w:r w:rsidRPr="00AF2596" w:rsidR="000D372F">
        <w:t xml:space="preserve"> and is made </w:t>
      </w:r>
      <w:r w:rsidR="000D372F">
        <w:t>“</w:t>
      </w:r>
      <w:r w:rsidRPr="00AF2596" w:rsidR="000D372F">
        <w:t xml:space="preserve">in anticipation of litigation </w:t>
      </w:r>
      <w:r w:rsidR="000D372F">
        <w:t>‘</w:t>
      </w:r>
      <w:r w:rsidRPr="00AF2596" w:rsidR="000D372F">
        <w:t>contemplated in good faith and under serious consideration</w:t>
      </w:r>
      <w:r w:rsidR="00D4379C">
        <w:t>.</w:t>
      </w:r>
      <w:r w:rsidR="000D372F">
        <w:t>’ </w:t>
      </w:r>
      <w:r w:rsidRPr="00AF2596" w:rsidR="000D372F">
        <w:t xml:space="preserve">” </w:t>
      </w:r>
      <w:r w:rsidR="000D372F">
        <w:t>’ </w:t>
      </w:r>
      <w:r w:rsidRPr="00AF2596" w:rsidR="000D372F">
        <w:t xml:space="preserve">” </w:t>
      </w:r>
      <w:r w:rsidR="000D372F">
        <w:t xml:space="preserve"> </w:t>
      </w:r>
      <w:r w:rsidRPr="00AF2596" w:rsidR="000D372F">
        <w:t>(</w:t>
      </w:r>
      <w:r w:rsidRPr="0020773D" w:rsidR="000D372F">
        <w:rPr>
          <w:i/>
          <w:iCs/>
        </w:rPr>
        <w:t>Digerati</w:t>
      </w:r>
      <w:r w:rsidR="000D372F">
        <w:t>, at p. 887</w:t>
      </w:r>
      <w:r>
        <w:t xml:space="preserve">; </w:t>
      </w:r>
      <w:r w:rsidR="006C2D71">
        <w:t xml:space="preserve">accord, </w:t>
      </w:r>
      <w:r w:rsidRPr="00BD1CA7">
        <w:rPr>
          <w:i/>
          <w:iCs/>
        </w:rPr>
        <w:t>Neville</w:t>
      </w:r>
      <w:r>
        <w:t>, at p. 1268</w:t>
      </w:r>
      <w:r w:rsidR="000D372F">
        <w:t xml:space="preserve">.)  </w:t>
      </w:r>
    </w:p>
    <w:p w:rsidR="006C2D71" w:rsidP="00203F69" w14:paraId="7CA21A03" w14:textId="49981D0F">
      <w:r>
        <w:t xml:space="preserve">Robert asserts that </w:t>
      </w:r>
      <w:r w:rsidR="00584D9F">
        <w:t xml:space="preserve">the e-mails from Susan </w:t>
      </w:r>
      <w:r w:rsidR="00FF677D">
        <w:t>do not qualify as protected litigation related communications because there was no “legitimate litigation” being communicated</w:t>
      </w:r>
      <w:bookmarkStart w:id="3" w:name="_Hlk158971179"/>
      <w:r w:rsidR="00990C54">
        <w:t xml:space="preserve">.  </w:t>
      </w:r>
      <w:bookmarkEnd w:id="3"/>
      <w:r w:rsidRPr="00AB137D" w:rsidR="00F42BF2">
        <w:t>We agree</w:t>
      </w:r>
      <w:r w:rsidR="00F42BF2">
        <w:t xml:space="preserve"> that</w:t>
      </w:r>
      <w:r w:rsidR="007B1015">
        <w:t>,</w:t>
      </w:r>
      <w:r w:rsidR="00F42BF2">
        <w:t xml:space="preserve"> </w:t>
      </w:r>
      <w:r w:rsidR="00D63F74">
        <w:t xml:space="preserve">even </w:t>
      </w:r>
      <w:r w:rsidR="00F42BF2">
        <w:t xml:space="preserve">under the </w:t>
      </w:r>
      <w:r w:rsidR="000C716F">
        <w:t>broad construction afforded section 425.16</w:t>
      </w:r>
      <w:r w:rsidR="00F42BF2">
        <w:t xml:space="preserve">, not all communications that </w:t>
      </w:r>
      <w:r w:rsidR="00E234C7">
        <w:t xml:space="preserve">reference </w:t>
      </w:r>
      <w:r w:rsidR="00B05015">
        <w:t>proposed or threatened</w:t>
      </w:r>
      <w:r w:rsidR="00E234C7">
        <w:t xml:space="preserve"> litigation </w:t>
      </w:r>
      <w:r w:rsidR="00F42BF2">
        <w:t xml:space="preserve">satisfy the relevancy and good faith criteria for a statement </w:t>
      </w:r>
      <w:r w:rsidR="00D63F74">
        <w:t xml:space="preserve">or writing </w:t>
      </w:r>
      <w:r w:rsidR="00F42BF2">
        <w:t>“made in connection with</w:t>
      </w:r>
      <w:r w:rsidR="00D63F74">
        <w:t xml:space="preserve"> an issue under consideration </w:t>
      </w:r>
      <w:r w:rsidR="00BC5A3C">
        <w:t>. . . </w:t>
      </w:r>
      <w:r w:rsidR="00D63F74">
        <w:t xml:space="preserve">by </w:t>
      </w:r>
      <w:r w:rsidR="00BC5A3C">
        <w:t xml:space="preserve">a </w:t>
      </w:r>
      <w:r w:rsidR="00D63F74">
        <w:t>. . . judicial body</w:t>
      </w:r>
      <w:r w:rsidR="00F42BF2">
        <w:t xml:space="preserve">” </w:t>
      </w:r>
      <w:r w:rsidR="00D63F74">
        <w:t>within the ambit of section</w:t>
      </w:r>
      <w:r w:rsidR="00F42BF2">
        <w:t xml:space="preserve"> 425</w:t>
      </w:r>
      <w:r w:rsidRPr="005064C2" w:rsidR="00F42BF2">
        <w:t>.16(e)(2)</w:t>
      </w:r>
      <w:r w:rsidR="00F42BF2">
        <w:t>.</w:t>
      </w:r>
      <w:r w:rsidR="00B90C97">
        <w:t xml:space="preserve">  </w:t>
      </w:r>
    </w:p>
    <w:p w:rsidR="00C757CF" w:rsidP="00A17755" w14:paraId="24AE2B11" w14:textId="5CE95B15">
      <w:r>
        <w:t xml:space="preserve">Robert’s petition </w:t>
      </w:r>
      <w:r w:rsidR="005A5BD2">
        <w:t>contains</w:t>
      </w:r>
      <w:r w:rsidR="007B1015">
        <w:t xml:space="preserve"> </w:t>
      </w:r>
      <w:r>
        <w:t>10 e-mails from Susan.  M</w:t>
      </w:r>
      <w:r w:rsidR="00A63F9D">
        <w:t>any</w:t>
      </w:r>
      <w:r w:rsidR="00191837">
        <w:t xml:space="preserve"> of</w:t>
      </w:r>
      <w:r w:rsidR="00E45652">
        <w:t xml:space="preserve"> </w:t>
      </w:r>
      <w:r w:rsidR="009A38DD">
        <w:t xml:space="preserve">the </w:t>
      </w:r>
      <w:r w:rsidR="00976382">
        <w:t>communications lack logical relevanc</w:t>
      </w:r>
      <w:r w:rsidR="004141D1">
        <w:t>e</w:t>
      </w:r>
      <w:r w:rsidR="00976382">
        <w:t xml:space="preserve"> to the threatened </w:t>
      </w:r>
      <w:r w:rsidR="00A17755">
        <w:t xml:space="preserve">“seed RICO” </w:t>
      </w:r>
      <w:r w:rsidR="00976382">
        <w:t>dispute</w:t>
      </w:r>
      <w:r w:rsidR="007D2BFB">
        <w:t xml:space="preserve"> and </w:t>
      </w:r>
      <w:r w:rsidR="00976382">
        <w:t>fail to further any discernible object of the anticipated litigation</w:t>
      </w:r>
      <w:r w:rsidR="007D2BFB">
        <w:t xml:space="preserve"> or address an issue under review in connection with that proceeding</w:t>
      </w:r>
      <w:r w:rsidR="00976382">
        <w:t>.</w:t>
      </w:r>
      <w:r>
        <w:rPr>
          <w:rStyle w:val="FootnoteReference"/>
          <w:b/>
          <w:bCs/>
        </w:rPr>
        <w:footnoteReference w:id="12"/>
      </w:r>
      <w:r w:rsidR="00976382">
        <w:t xml:space="preserve"> </w:t>
      </w:r>
      <w:r w:rsidR="007D2BFB">
        <w:t xml:space="preserve"> </w:t>
      </w:r>
      <w:r w:rsidR="00976382">
        <w:t>(</w:t>
      </w:r>
      <w:r w:rsidR="007D2BFB">
        <w:t>See</w:t>
      </w:r>
      <w:r w:rsidR="00976382">
        <w:t xml:space="preserve"> </w:t>
      </w:r>
      <w:r w:rsidRPr="00BD1CA7" w:rsidR="007D2BFB">
        <w:rPr>
          <w:i/>
          <w:iCs/>
        </w:rPr>
        <w:t>Neville</w:t>
      </w:r>
      <w:r w:rsidR="007D2BFB">
        <w:t xml:space="preserve">, </w:t>
      </w:r>
      <w:r w:rsidR="007D2BFB">
        <w:rPr>
          <w:i/>
          <w:iCs/>
        </w:rPr>
        <w:t>supra</w:t>
      </w:r>
      <w:r w:rsidR="007D2BFB">
        <w:t>,</w:t>
      </w:r>
      <w:r w:rsidRPr="00BD1CA7" w:rsidR="007D2BFB">
        <w:rPr>
          <w:i/>
          <w:iCs/>
        </w:rPr>
        <w:t xml:space="preserve"> </w:t>
      </w:r>
      <w:r w:rsidR="007D2BFB">
        <w:t xml:space="preserve">160 Cal.App.4th at p. 1266; </w:t>
      </w:r>
      <w:r w:rsidR="007D2BFB">
        <w:rPr>
          <w:i/>
          <w:iCs/>
        </w:rPr>
        <w:t>Paul</w:t>
      </w:r>
      <w:r w:rsidR="007D2BFB">
        <w:t xml:space="preserve">, </w:t>
      </w:r>
      <w:r w:rsidR="007D2BFB">
        <w:rPr>
          <w:i/>
          <w:iCs/>
        </w:rPr>
        <w:t>supra</w:t>
      </w:r>
      <w:r w:rsidR="007D2BFB">
        <w:t>,</w:t>
      </w:r>
      <w:r w:rsidR="007D2BFB">
        <w:rPr>
          <w:i/>
          <w:iCs/>
        </w:rPr>
        <w:t xml:space="preserve"> </w:t>
      </w:r>
      <w:r w:rsidR="007D2BFB">
        <w:t>95 Cal.App.4th at p. 866</w:t>
      </w:r>
      <w:r w:rsidR="00D73E55">
        <w:t>.</w:t>
      </w:r>
      <w:r w:rsidR="00976382">
        <w:t>)</w:t>
      </w:r>
      <w:r w:rsidRPr="00AF2596" w:rsidR="00976382">
        <w:t xml:space="preserve"> </w:t>
      </w:r>
      <w:r w:rsidR="00976382">
        <w:t xml:space="preserve"> </w:t>
      </w:r>
      <w:r w:rsidR="00BC33CD">
        <w:t>In particular, t</w:t>
      </w:r>
      <w:r w:rsidR="00E126E6">
        <w:t xml:space="preserve">he June 11, </w:t>
      </w:r>
      <w:r w:rsidR="00D26584">
        <w:t xml:space="preserve">June 12, </w:t>
      </w:r>
      <w:r w:rsidR="007C51FA">
        <w:t xml:space="preserve">June 15, </w:t>
      </w:r>
      <w:r w:rsidR="00E126E6">
        <w:t>June 17, June 27</w:t>
      </w:r>
      <w:r w:rsidR="00511E49">
        <w:t>, and first July 1</w:t>
      </w:r>
      <w:r w:rsidR="007C51FA">
        <w:t xml:space="preserve"> </w:t>
      </w:r>
      <w:r w:rsidR="00E126E6">
        <w:t xml:space="preserve">e-mails </w:t>
      </w:r>
      <w:r w:rsidR="00BC33CD">
        <w:t xml:space="preserve">are irrelevant </w:t>
      </w:r>
      <w:r w:rsidR="00D90704">
        <w:t xml:space="preserve">or highly peripheral </w:t>
      </w:r>
      <w:r w:rsidR="00BC33CD">
        <w:t xml:space="preserve">to the </w:t>
      </w:r>
      <w:r w:rsidR="00D26584">
        <w:t>proposed</w:t>
      </w:r>
      <w:r w:rsidR="00BC33CD">
        <w:t xml:space="preserve"> </w:t>
      </w:r>
      <w:r w:rsidR="00FD6578">
        <w:t xml:space="preserve">RICO </w:t>
      </w:r>
      <w:r w:rsidR="00BC33CD">
        <w:t>litigation.</w:t>
      </w:r>
      <w:r w:rsidRPr="00FD6578" w:rsidR="00BC33CD">
        <w:rPr>
          <w:b/>
          <w:bCs/>
        </w:rPr>
        <w:t xml:space="preserve"> </w:t>
      </w:r>
      <w:r w:rsidR="00BC33CD">
        <w:t xml:space="preserve"> </w:t>
      </w:r>
      <w:r w:rsidR="00EE76BA">
        <w:t>By contrast, t</w:t>
      </w:r>
      <w:r w:rsidR="00D26584">
        <w:t>he other e-mails in the petition (</w:t>
      </w:r>
      <w:r w:rsidR="00BB626C">
        <w:t xml:space="preserve">the </w:t>
      </w:r>
      <w:r w:rsidR="00511E49">
        <w:t xml:space="preserve">second </w:t>
      </w:r>
      <w:r w:rsidR="00BB626C">
        <w:t xml:space="preserve">e-mail on </w:t>
      </w:r>
      <w:r w:rsidR="00D26584">
        <w:t>July 1</w:t>
      </w:r>
      <w:r w:rsidR="00BB626C">
        <w:t xml:space="preserve"> and the e-mails on</w:t>
      </w:r>
      <w:r w:rsidR="00D26584">
        <w:t xml:space="preserve"> July 2 and July 7) </w:t>
      </w:r>
      <w:r w:rsidR="004952FC">
        <w:t xml:space="preserve">make direct assertions about </w:t>
      </w:r>
      <w:r w:rsidR="00D26584">
        <w:t>the alleged facts underlying Susan’s proposed RICO action.</w:t>
      </w:r>
      <w:r w:rsidR="004952FC">
        <w:t xml:space="preserve">  </w:t>
      </w:r>
      <w:r w:rsidR="008C5A30">
        <w:t xml:space="preserve">Nevertheless, </w:t>
      </w:r>
      <w:r w:rsidR="004952FC">
        <w:t>Robert contends the e-mails are not protected because they were not</w:t>
      </w:r>
      <w:r w:rsidR="00D26584">
        <w:t xml:space="preserve"> </w:t>
      </w:r>
      <w:r w:rsidRPr="00F6438D" w:rsidR="00D26584">
        <w:t xml:space="preserve">made in anticipation of litigation </w:t>
      </w:r>
      <w:r w:rsidR="00D26584">
        <w:t>“ ‘</w:t>
      </w:r>
      <w:r w:rsidRPr="00F6438D" w:rsidR="00D26584">
        <w:t>contemplated in good faith and under serious consideration</w:t>
      </w:r>
      <w:r w:rsidR="00D26584">
        <w:t>.’ </w:t>
      </w:r>
      <w:r w:rsidRPr="00AF2596" w:rsidR="00D26584">
        <w:t>”</w:t>
      </w:r>
      <w:r w:rsidR="00D26584">
        <w:t xml:space="preserve">  </w:t>
      </w:r>
      <w:r w:rsidRPr="00AF2596" w:rsidR="00D26584">
        <w:t>(</w:t>
      </w:r>
      <w:r w:rsidRPr="0020773D" w:rsidR="00D26584">
        <w:rPr>
          <w:i/>
          <w:iCs/>
        </w:rPr>
        <w:t>Digerati</w:t>
      </w:r>
      <w:r w:rsidR="00D26584">
        <w:t xml:space="preserve">, </w:t>
      </w:r>
      <w:r w:rsidR="00D26584">
        <w:rPr>
          <w:i/>
          <w:iCs/>
        </w:rPr>
        <w:t>supra</w:t>
      </w:r>
      <w:r w:rsidR="00D26584">
        <w:t>,</w:t>
      </w:r>
      <w:r w:rsidRPr="0020773D" w:rsidR="00D26584">
        <w:rPr>
          <w:i/>
          <w:iCs/>
        </w:rPr>
        <w:t xml:space="preserve"> </w:t>
      </w:r>
      <w:r w:rsidR="00D26584">
        <w:t>194 Cal.App.4th at p. 887.)</w:t>
      </w:r>
      <w:r w:rsidR="008C5A30">
        <w:t xml:space="preserve">  </w:t>
      </w:r>
    </w:p>
    <w:p w:rsidR="00633D56" w:rsidP="00A17755" w14:paraId="4478F929" w14:textId="24879D4C">
      <w:r>
        <w:t xml:space="preserve">Having reviewed each e-mail </w:t>
      </w:r>
      <w:r w:rsidR="00BB626C">
        <w:t>under</w:t>
      </w:r>
      <w:r>
        <w:t xml:space="preserve"> the applicable standard for protected speech under s</w:t>
      </w:r>
      <w:r w:rsidRPr="005064C2">
        <w:t>ection 425.16(e)(2)</w:t>
      </w:r>
      <w:r>
        <w:t>, we</w:t>
      </w:r>
      <w:r w:rsidR="004952FC">
        <w:t xml:space="preserve"> conclude </w:t>
      </w:r>
      <w:r>
        <w:t xml:space="preserve">that </w:t>
      </w:r>
      <w:r w:rsidRPr="004952FC" w:rsidR="004952FC">
        <w:t xml:space="preserve">certain e-mails </w:t>
      </w:r>
      <w:r>
        <w:t>(namely, the second July 1 e-mail</w:t>
      </w:r>
      <w:r w:rsidR="00EE76BA">
        <w:t xml:space="preserve"> and the</w:t>
      </w:r>
      <w:r w:rsidR="00996517">
        <w:t xml:space="preserve"> </w:t>
      </w:r>
      <w:r>
        <w:t>July 2</w:t>
      </w:r>
      <w:r w:rsidR="00890135">
        <w:t xml:space="preserve"> and both July 7 e-mails)</w:t>
      </w:r>
      <w:r w:rsidRPr="004952FC" w:rsidR="004952FC">
        <w:t xml:space="preserve"> </w:t>
      </w:r>
      <w:r w:rsidR="00EE76BA">
        <w:t>qualify as</w:t>
      </w:r>
      <w:r w:rsidRPr="004952FC" w:rsidR="00EE76BA">
        <w:t xml:space="preserve"> </w:t>
      </w:r>
      <w:r w:rsidRPr="004952FC" w:rsidR="00890135">
        <w:t>protected</w:t>
      </w:r>
      <w:r w:rsidR="00890135">
        <w:t xml:space="preserve"> </w:t>
      </w:r>
      <w:r w:rsidR="00EE76BA">
        <w:t xml:space="preserve">conduct under the anti-SLAPP statute </w:t>
      </w:r>
      <w:r w:rsidR="00890135">
        <w:t>as written statements</w:t>
      </w:r>
      <w:r w:rsidRPr="005064C2" w:rsidR="00890135">
        <w:t xml:space="preserve"> “made </w:t>
      </w:r>
      <w:r w:rsidRPr="0044798B" w:rsidR="00890135">
        <w:t>in connection</w:t>
      </w:r>
      <w:r w:rsidRPr="00890135" w:rsidR="00890135">
        <w:t xml:space="preserve"> </w:t>
      </w:r>
      <w:r w:rsidRPr="0044798B" w:rsidR="00890135">
        <w:t>with</w:t>
      </w:r>
      <w:r w:rsidR="00890135">
        <w:t xml:space="preserve">” </w:t>
      </w:r>
      <w:r w:rsidRPr="005064C2" w:rsidR="00890135">
        <w:t>(§</w:t>
      </w:r>
      <w:r w:rsidR="00EE76BA">
        <w:t> </w:t>
      </w:r>
      <w:r w:rsidRPr="005064C2" w:rsidR="00890135">
        <w:t>425.16(e)(2)</w:t>
      </w:r>
      <w:r w:rsidR="00890135">
        <w:t>)</w:t>
      </w:r>
      <w:r w:rsidRPr="00890135" w:rsidR="00890135">
        <w:t xml:space="preserve"> </w:t>
      </w:r>
      <w:r w:rsidR="00890135">
        <w:t>the proposed RICO litigation</w:t>
      </w:r>
      <w:r w:rsidR="00EE76BA">
        <w:t>.  T</w:t>
      </w:r>
      <w:r w:rsidR="00890135">
        <w:t xml:space="preserve">he other e-mails </w:t>
      </w:r>
      <w:r w:rsidR="00BB626C">
        <w:t xml:space="preserve">(on June 11, June 12, June 15, June 17, June 27, and the first July 1 e-mail) </w:t>
      </w:r>
      <w:r w:rsidR="00890135">
        <w:t>bear no meaningful connection to the litigation</w:t>
      </w:r>
      <w:r w:rsidR="00EE76BA">
        <w:t xml:space="preserve"> and are not protected by the statute</w:t>
      </w:r>
      <w:r w:rsidR="00890135">
        <w:t>.</w:t>
      </w:r>
    </w:p>
    <w:p w:rsidR="00BB626C" w:rsidP="00BB626C" w14:paraId="3CA20988" w14:textId="7865382D">
      <w:r>
        <w:t>For example, t</w:t>
      </w:r>
      <w:r w:rsidR="00AB137D">
        <w:t xml:space="preserve">he </w:t>
      </w:r>
      <w:r w:rsidR="00E26CCE">
        <w:t>June 11</w:t>
      </w:r>
      <w:r w:rsidR="00AB137D">
        <w:t xml:space="preserve"> e-mail </w:t>
      </w:r>
      <w:r w:rsidR="005A5BD2">
        <w:t>describes</w:t>
      </w:r>
      <w:r w:rsidR="00AB137D">
        <w:t xml:space="preserve"> the allegedly unethical behavior of Robert’s former family law counsel</w:t>
      </w:r>
      <w:r w:rsidR="00D26584">
        <w:t>.</w:t>
      </w:r>
      <w:r w:rsidR="00AB137D">
        <w:t xml:space="preserve"> </w:t>
      </w:r>
      <w:r w:rsidR="00D26584">
        <w:t xml:space="preserve"> </w:t>
      </w:r>
      <w:r w:rsidR="0092046A">
        <w:t xml:space="preserve">The e-mail </w:t>
      </w:r>
      <w:r w:rsidR="00AB137D">
        <w:t>neither appears to “ ‘</w:t>
      </w:r>
      <w:r w:rsidRPr="00C837F9" w:rsidR="00AB137D">
        <w:t>concern[] the subject of the dispute</w:t>
      </w:r>
      <w:r w:rsidR="00AB137D">
        <w:t>’ </w:t>
      </w:r>
      <w:r w:rsidRPr="00C837F9" w:rsidR="00AB137D">
        <w:t xml:space="preserve">” </w:t>
      </w:r>
      <w:r w:rsidR="00AB137D">
        <w:t xml:space="preserve">in the proposed RICO action nor reflect good faith contemplation of the RICO-related action.  (See </w:t>
      </w:r>
      <w:r w:rsidRPr="00BD1CA7" w:rsidR="00AB137D">
        <w:rPr>
          <w:i/>
          <w:iCs/>
        </w:rPr>
        <w:t>Neville</w:t>
      </w:r>
      <w:r w:rsidR="00AB137D">
        <w:t xml:space="preserve">, </w:t>
      </w:r>
      <w:r w:rsidR="00AB137D">
        <w:rPr>
          <w:i/>
          <w:iCs/>
        </w:rPr>
        <w:t>supra</w:t>
      </w:r>
      <w:r w:rsidR="00AB137D">
        <w:t>,</w:t>
      </w:r>
      <w:r w:rsidRPr="00BD1CA7" w:rsidR="00AB137D">
        <w:rPr>
          <w:i/>
          <w:iCs/>
        </w:rPr>
        <w:t xml:space="preserve"> </w:t>
      </w:r>
      <w:r w:rsidR="00AB137D">
        <w:t>160 Cal.App.4th at p. 1268.)</w:t>
      </w:r>
      <w:r w:rsidRPr="00AF2596" w:rsidR="00AB137D">
        <w:t xml:space="preserve"> </w:t>
      </w:r>
      <w:r w:rsidR="00AB137D">
        <w:t xml:space="preserve"> </w:t>
      </w:r>
      <w:r w:rsidR="00890135">
        <w:t>T</w:t>
      </w:r>
      <w:r w:rsidR="00E26CCE">
        <w:t>he</w:t>
      </w:r>
      <w:r w:rsidR="00AB137D">
        <w:t xml:space="preserve"> spate of references </w:t>
      </w:r>
      <w:r w:rsidR="001E4B0D">
        <w:t xml:space="preserve">in the June 17 e-mail </w:t>
      </w:r>
      <w:r w:rsidR="00AB137D">
        <w:t xml:space="preserve">to </w:t>
      </w:r>
      <w:r w:rsidR="00BC33CD">
        <w:t>the alleged involvement of Robert’s girlfriend (M.)</w:t>
      </w:r>
      <w:r>
        <w:rPr>
          <w:rStyle w:val="FootnoteReference"/>
          <w:b/>
          <w:bCs/>
        </w:rPr>
        <w:footnoteReference w:id="13"/>
      </w:r>
      <w:r w:rsidR="00AB137D">
        <w:t xml:space="preserve"> </w:t>
      </w:r>
      <w:r w:rsidR="001E4B0D">
        <w:t>in the “racket”</w:t>
      </w:r>
      <w:r w:rsidR="00AB137D">
        <w:t xml:space="preserve"> </w:t>
      </w:r>
      <w:r w:rsidR="006A6FD1">
        <w:t xml:space="preserve">(calling her “Legal Assistant to Private Judge Mobster, Bookkeeper for the Midnight Shovel Breeder Mob, Paralegal for the GA based Mobster lawyer, and legal affairs manager for the seed counterfeiter divorce cases”) similarly </w:t>
      </w:r>
      <w:r w:rsidR="00890135">
        <w:t xml:space="preserve">do not </w:t>
      </w:r>
      <w:r w:rsidR="00AB137D">
        <w:t xml:space="preserve">render the communication relevant in any meaningful way “to </w:t>
      </w:r>
      <w:r w:rsidRPr="00753565" w:rsidR="00AB137D">
        <w:t>the substantive issues</w:t>
      </w:r>
      <w:r w:rsidR="00AB137D">
        <w:t>”</w:t>
      </w:r>
      <w:r w:rsidRPr="00753565" w:rsidR="00AB137D">
        <w:t xml:space="preserve"> in the </w:t>
      </w:r>
      <w:r w:rsidR="00AB137D">
        <w:t>proposed</w:t>
      </w:r>
      <w:r w:rsidR="00EE76BA">
        <w:t xml:space="preserve"> RICO</w:t>
      </w:r>
      <w:r w:rsidR="00AB137D">
        <w:t xml:space="preserve"> </w:t>
      </w:r>
      <w:r w:rsidRPr="00753565" w:rsidR="00AB137D">
        <w:t>litigation</w:t>
      </w:r>
      <w:r w:rsidR="00AB137D">
        <w:t>.  (</w:t>
      </w:r>
      <w:r w:rsidR="00E26CCE">
        <w:rPr>
          <w:i/>
          <w:iCs/>
        </w:rPr>
        <w:t>Id</w:t>
      </w:r>
      <w:r w:rsidR="00E26CCE">
        <w:t>.</w:t>
      </w:r>
      <w:r w:rsidR="00AB137D">
        <w:t xml:space="preserve"> at p. 1266.)  </w:t>
      </w:r>
      <w:r w:rsidR="00C757CF">
        <w:t>And d</w:t>
      </w:r>
      <w:r>
        <w:t>espite making offhand references to the seed companies “stealing” varieties, “stealing” genetics and “illegally growing seed,” t</w:t>
      </w:r>
      <w:r w:rsidR="00E26CCE">
        <w:t xml:space="preserve">he June </w:t>
      </w:r>
      <w:r w:rsidR="007C51FA">
        <w:t xml:space="preserve">12, 15, and June </w:t>
      </w:r>
      <w:r w:rsidR="00E26CCE">
        <w:t>27 e-mail</w:t>
      </w:r>
      <w:r w:rsidR="007C51FA">
        <w:t>s</w:t>
      </w:r>
      <w:r w:rsidR="00E26CCE">
        <w:t xml:space="preserve"> </w:t>
      </w:r>
      <w:r w:rsidR="00655F15">
        <w:t xml:space="preserve">offer </w:t>
      </w:r>
      <w:r w:rsidR="003E77D8">
        <w:t>no information on any “substantive issue</w:t>
      </w:r>
      <w:r w:rsidR="009169B3">
        <w:t>[]</w:t>
      </w:r>
      <w:r w:rsidR="003E77D8">
        <w:t xml:space="preserve">” in the </w:t>
      </w:r>
      <w:r w:rsidR="00655F15">
        <w:t xml:space="preserve">proposed RICO litigation </w:t>
      </w:r>
      <w:r w:rsidR="003E77D8">
        <w:t>(</w:t>
      </w:r>
      <w:r w:rsidR="008137EE">
        <w:rPr>
          <w:i/>
          <w:iCs/>
        </w:rPr>
        <w:t>i</w:t>
      </w:r>
      <w:r w:rsidR="009169B3">
        <w:rPr>
          <w:i/>
          <w:iCs/>
        </w:rPr>
        <w:t>bid</w:t>
      </w:r>
      <w:r w:rsidR="009169B3">
        <w:t>.</w:t>
      </w:r>
      <w:r w:rsidR="003E77D8">
        <w:t>)</w:t>
      </w:r>
      <w:r w:rsidR="00655F15">
        <w:t xml:space="preserve"> and contain numerous comments extraneous to any such proposed action (</w:t>
      </w:r>
      <w:r w:rsidRPr="00A4005D" w:rsidR="00655F15">
        <w:rPr>
          <w:i/>
          <w:iCs/>
        </w:rPr>
        <w:t>Action Apartment</w:t>
      </w:r>
      <w:r w:rsidR="00655F15">
        <w:t xml:space="preserve">, </w:t>
      </w:r>
      <w:r w:rsidR="00655F15">
        <w:rPr>
          <w:i/>
          <w:iCs/>
        </w:rPr>
        <w:t>supra</w:t>
      </w:r>
      <w:r w:rsidR="00655F15">
        <w:t>,</w:t>
      </w:r>
      <w:r w:rsidRPr="00A4005D" w:rsidR="00655F15">
        <w:rPr>
          <w:i/>
          <w:iCs/>
        </w:rPr>
        <w:t xml:space="preserve"> </w:t>
      </w:r>
      <w:r w:rsidR="00655F15">
        <w:t xml:space="preserve">41 Cal.4th at p. 1251).  </w:t>
      </w:r>
    </w:p>
    <w:p w:rsidR="007C51FA" w:rsidP="00123612" w14:paraId="329ACEEB" w14:textId="762B4FE9">
      <w:r>
        <w:t>The first July 1 e-mail also lacks substantive connection to the anticipated litigation, instead expressing hostility to Robert, warning him not to underestimate Susan, and asserting that she ha</w:t>
      </w:r>
      <w:r w:rsidR="00651735">
        <w:t xml:space="preserve">s </w:t>
      </w:r>
      <w:r>
        <w:t xml:space="preserve">copied Robert’s girlfriend’s second divorce case files from the public court file and </w:t>
      </w:r>
      <w:r w:rsidR="00651735">
        <w:t>has</w:t>
      </w:r>
      <w:r>
        <w:t xml:space="preserve"> “</w:t>
      </w:r>
      <w:r w:rsidRPr="00CC3375">
        <w:t>the first case ready to scan</w:t>
      </w:r>
      <w:r w:rsidRPr="0035608D">
        <w:rPr>
          <w:i/>
          <w:iCs/>
        </w:rPr>
        <w:t xml:space="preserve"> </w:t>
      </w:r>
      <w:r w:rsidRPr="00CC3375">
        <w:t xml:space="preserve">when </w:t>
      </w:r>
      <w:r>
        <w:t>[she]</w:t>
      </w:r>
      <w:r w:rsidRPr="00CC3375">
        <w:t xml:space="preserve"> feel</w:t>
      </w:r>
      <w:r>
        <w:t>[s]</w:t>
      </w:r>
      <w:r w:rsidRPr="00CC3375">
        <w:t xml:space="preserve"> like it</w:t>
      </w:r>
      <w:r>
        <w:t>.</w:t>
      </w:r>
      <w:r w:rsidR="00651735">
        <w:t>”</w:t>
      </w:r>
      <w:r w:rsidRPr="00584A55">
        <w:rPr>
          <w:b/>
          <w:bCs/>
        </w:rPr>
        <w:t xml:space="preserve"> </w:t>
      </w:r>
    </w:p>
    <w:p w:rsidR="00671D9B" w:rsidRPr="00A447B7" w:rsidP="00CF1A7B" w14:paraId="34EA5F49" w14:textId="1002D3F9">
      <w:pPr>
        <w:ind w:firstLine="0"/>
      </w:pPr>
      <w:r>
        <w:tab/>
        <w:t>None of t</w:t>
      </w:r>
      <w:r w:rsidR="00655F15">
        <w:t>hese e-mails</w:t>
      </w:r>
      <w:r w:rsidR="001C7206">
        <w:t>, or related evidence,</w:t>
      </w:r>
      <w:r w:rsidR="00655F15">
        <w:t xml:space="preserve"> suggest</w:t>
      </w:r>
      <w:r w:rsidR="00C757CF">
        <w:t>s</w:t>
      </w:r>
      <w:r w:rsidR="00655F15">
        <w:t xml:space="preserve"> a </w:t>
      </w:r>
      <w:r w:rsidRPr="00AF2596" w:rsidR="00655F15">
        <w:t>“good faith intention to file a lawsuit</w:t>
      </w:r>
      <w:r w:rsidR="00655F15">
        <w:t>”</w:t>
      </w:r>
      <w:r w:rsidRPr="00AF2596" w:rsidR="00655F15">
        <w:t xml:space="preserve"> (</w:t>
      </w:r>
      <w:r w:rsidRPr="0020773D" w:rsidR="00655F15">
        <w:rPr>
          <w:i/>
          <w:iCs/>
        </w:rPr>
        <w:t>Digerati</w:t>
      </w:r>
      <w:r w:rsidR="00655F15">
        <w:t xml:space="preserve">, </w:t>
      </w:r>
      <w:r w:rsidR="00655F15">
        <w:rPr>
          <w:i/>
          <w:iCs/>
        </w:rPr>
        <w:t>supra</w:t>
      </w:r>
      <w:r w:rsidR="00655F15">
        <w:t>,</w:t>
      </w:r>
      <w:r w:rsidRPr="0020773D" w:rsidR="00655F15">
        <w:rPr>
          <w:i/>
          <w:iCs/>
        </w:rPr>
        <w:t xml:space="preserve"> </w:t>
      </w:r>
      <w:r w:rsidR="00655F15">
        <w:t xml:space="preserve">194 Cal.App.4th at p. 887) and </w:t>
      </w:r>
      <w:r w:rsidR="001C7206">
        <w:t xml:space="preserve">the e-mails </w:t>
      </w:r>
      <w:r w:rsidR="003E77D8">
        <w:t>b</w:t>
      </w:r>
      <w:r w:rsidR="0046285B">
        <w:t xml:space="preserve">ear little resemblance to communications in other cases </w:t>
      </w:r>
      <w:r w:rsidR="004F7E5E">
        <w:t xml:space="preserve">that have found </w:t>
      </w:r>
      <w:r w:rsidR="00534323">
        <w:t xml:space="preserve">prelitigation </w:t>
      </w:r>
      <w:r w:rsidR="00E82F42">
        <w:t xml:space="preserve">or litigation related </w:t>
      </w:r>
      <w:r w:rsidR="00534323">
        <w:t xml:space="preserve">communications protected under section 425.16(e)(2). </w:t>
      </w:r>
      <w:r>
        <w:t xml:space="preserve"> (See, e.g., </w:t>
      </w:r>
      <w:r w:rsidRPr="0020773D">
        <w:rPr>
          <w:i/>
          <w:iCs/>
        </w:rPr>
        <w:t>Digerati</w:t>
      </w:r>
      <w:r>
        <w:t>, at pp. 887–888 [</w:t>
      </w:r>
      <w:r w:rsidR="0020103E">
        <w:t>holding that musician’s statements in film dispute</w:t>
      </w:r>
      <w:r w:rsidR="00575E3A">
        <w:t xml:space="preserve"> were made in furtherance of the musician’s right of petition under § 425.16(e)(2), where the statements </w:t>
      </w:r>
      <w:r w:rsidR="0020103E">
        <w:t>assert</w:t>
      </w:r>
      <w:r w:rsidR="00575E3A">
        <w:t>ed</w:t>
      </w:r>
      <w:r w:rsidR="0020103E">
        <w:t xml:space="preserve"> the musician’s final right of approval </w:t>
      </w:r>
      <w:r w:rsidR="00575E3A">
        <w:t>for</w:t>
      </w:r>
      <w:r w:rsidR="0020103E">
        <w:t xml:space="preserve"> the film, advis</w:t>
      </w:r>
      <w:r w:rsidR="00575E3A">
        <w:t>ed</w:t>
      </w:r>
      <w:r w:rsidR="0020103E">
        <w:t xml:space="preserve"> distributors that the film was unauthorized, and threatened litigation</w:t>
      </w:r>
      <w:r>
        <w:t xml:space="preserve">]; </w:t>
      </w:r>
      <w:r w:rsidRPr="00BD1CA7">
        <w:rPr>
          <w:i/>
          <w:iCs/>
        </w:rPr>
        <w:t>Neville</w:t>
      </w:r>
      <w:r>
        <w:t xml:space="preserve">, </w:t>
      </w:r>
      <w:r>
        <w:rPr>
          <w:i/>
          <w:iCs/>
        </w:rPr>
        <w:t>supra</w:t>
      </w:r>
      <w:r>
        <w:t>,</w:t>
      </w:r>
      <w:r w:rsidRPr="00BD1CA7">
        <w:rPr>
          <w:i/>
          <w:iCs/>
        </w:rPr>
        <w:t xml:space="preserve"> </w:t>
      </w:r>
      <w:r>
        <w:t>160 Cal.App.4th at</w:t>
      </w:r>
      <w:r w:rsidRPr="006A6FD1">
        <w:t xml:space="preserve"> </w:t>
      </w:r>
      <w:r>
        <w:t>p. 1267</w:t>
      </w:r>
      <w:r w:rsidR="008137EE">
        <w:t>–1268</w:t>
      </w:r>
      <w:r>
        <w:t xml:space="preserve"> [</w:t>
      </w:r>
      <w:r w:rsidR="00575E3A">
        <w:t>deciding that employer’s letters to a former employee’s third-party customers were protected where letters “</w:t>
      </w:r>
      <w:r w:rsidRPr="00E4747F" w:rsidR="00575E3A">
        <w:t>related directly to</w:t>
      </w:r>
      <w:r w:rsidR="00575E3A">
        <w:t xml:space="preserve">” the alleged </w:t>
      </w:r>
      <w:r w:rsidRPr="00E4747F" w:rsidR="00575E3A">
        <w:t xml:space="preserve">misappropriation </w:t>
      </w:r>
      <w:r w:rsidR="00575E3A">
        <w:t>of confidential information by the former employee</w:t>
      </w:r>
      <w:r w:rsidR="008137EE">
        <w:t xml:space="preserve">, </w:t>
      </w:r>
      <w:r w:rsidR="00575E3A">
        <w:t>sought</w:t>
      </w:r>
      <w:r w:rsidRPr="00E4747F" w:rsidR="00575E3A">
        <w:t xml:space="preserve"> to prevent further misuse of proprietary information</w:t>
      </w:r>
      <w:r w:rsidR="00575E3A">
        <w:t>, and “</w:t>
      </w:r>
      <w:r w:rsidRPr="00E4747F" w:rsidR="00575E3A">
        <w:t xml:space="preserve">contained no statements of fact concerning </w:t>
      </w:r>
      <w:r w:rsidR="00575E3A">
        <w:t>[the former employee]</w:t>
      </w:r>
      <w:r w:rsidRPr="00E4747F" w:rsidR="00575E3A">
        <w:t xml:space="preserve"> </w:t>
      </w:r>
      <w:bookmarkStart w:id="4" w:name="_Hlk161055633"/>
      <w:r w:rsidRPr="00E4747F" w:rsidR="00575E3A">
        <w:t>that were not based on or related to the allegations</w:t>
      </w:r>
      <w:bookmarkEnd w:id="4"/>
      <w:r w:rsidR="00575E3A">
        <w:t>”</w:t>
      </w:r>
      <w:r w:rsidRPr="00E4747F" w:rsidR="00575E3A">
        <w:t xml:space="preserve"> </w:t>
      </w:r>
      <w:r w:rsidR="00575E3A">
        <w:t>at issue</w:t>
      </w:r>
      <w:r>
        <w:t xml:space="preserve">]; </w:t>
      </w:r>
      <w:r w:rsidRPr="00F96313">
        <w:rPr>
          <w:i/>
          <w:iCs/>
        </w:rPr>
        <w:t>Trinity</w:t>
      </w:r>
      <w:r>
        <w:t xml:space="preserve">, </w:t>
      </w:r>
      <w:r>
        <w:rPr>
          <w:i/>
          <w:iCs/>
        </w:rPr>
        <w:t>supra</w:t>
      </w:r>
      <w:r>
        <w:t>,</w:t>
      </w:r>
      <w:r w:rsidRPr="00F96313">
        <w:rPr>
          <w:i/>
          <w:iCs/>
        </w:rPr>
        <w:t xml:space="preserve"> </w:t>
      </w:r>
      <w:r>
        <w:t>59 Cal.App.5th at p. </w:t>
      </w:r>
      <w:r w:rsidR="002A65DD">
        <w:t xml:space="preserve">1005 </w:t>
      </w:r>
      <w:r>
        <w:t>[</w:t>
      </w:r>
      <w:r w:rsidR="002A65DD">
        <w:t>explaining that e-mails sent on behalf of</w:t>
      </w:r>
      <w:r w:rsidR="003000CD">
        <w:t xml:space="preserve"> the plaintiff corporation requesting information about insurance coverage dispute “</w:t>
      </w:r>
      <w:r w:rsidRPr="008D46BA" w:rsidR="003000CD">
        <w:t>were ‘</w:t>
      </w:r>
      <w:r w:rsidR="003000CD">
        <w:t> “</w:t>
      </w:r>
      <w:r w:rsidRPr="008D46BA" w:rsidR="003000CD">
        <w:t>communications preparatory to or in anticipation of the bringing of an action</w:t>
      </w:r>
      <w:r w:rsidR="003000CD">
        <w:t>” </w:t>
      </w:r>
      <w:r w:rsidRPr="008D46BA" w:rsidR="003000CD">
        <w:t>’</w:t>
      </w:r>
      <w:r w:rsidR="002A65DD">
        <w:t> </w:t>
      </w:r>
      <w:r w:rsidRPr="008D46BA" w:rsidR="003000CD">
        <w:t>”</w:t>
      </w:r>
      <w:r w:rsidR="003000CD">
        <w:t xml:space="preserve"> </w:t>
      </w:r>
      <w:r w:rsidR="002A65DD">
        <w:t xml:space="preserve">because </w:t>
      </w:r>
      <w:r w:rsidRPr="008D46BA" w:rsidR="003000CD">
        <w:t xml:space="preserve">the e-mail </w:t>
      </w:r>
      <w:r w:rsidR="003000CD">
        <w:t>preced</w:t>
      </w:r>
      <w:r w:rsidR="002A65DD">
        <w:t>ed</w:t>
      </w:r>
      <w:r w:rsidR="003000CD">
        <w:t xml:space="preserve"> the filing of litigation</w:t>
      </w:r>
      <w:r w:rsidR="002A65DD">
        <w:t>,</w:t>
      </w:r>
      <w:r w:rsidR="003000CD">
        <w:t xml:space="preserve"> asked</w:t>
      </w:r>
      <w:r w:rsidRPr="008D46BA" w:rsidR="003000CD">
        <w:t xml:space="preserve"> for documents and pos</w:t>
      </w:r>
      <w:r w:rsidR="003000CD">
        <w:t xml:space="preserve">ed </w:t>
      </w:r>
      <w:r w:rsidRPr="008D46BA" w:rsidR="003000CD">
        <w:t xml:space="preserve">questions about the workers’ compensation insurance policy </w:t>
      </w:r>
      <w:r w:rsidR="003000CD">
        <w:t xml:space="preserve">at issue, </w:t>
      </w:r>
      <w:r w:rsidR="002A65DD">
        <w:t>and served</w:t>
      </w:r>
      <w:r w:rsidR="003000CD">
        <w:t xml:space="preserve"> “</w:t>
      </w:r>
      <w:r w:rsidRPr="008D46BA" w:rsidR="003000CD">
        <w:t>essentially</w:t>
      </w:r>
      <w:r w:rsidR="003000CD">
        <w:t>”</w:t>
      </w:r>
      <w:r w:rsidRPr="008D46BA" w:rsidR="003000CD">
        <w:t xml:space="preserve"> </w:t>
      </w:r>
      <w:r w:rsidR="003000CD">
        <w:t>as informal</w:t>
      </w:r>
      <w:r w:rsidRPr="008D46BA" w:rsidR="003000CD">
        <w:t xml:space="preserve"> discovery prior to the filing of any civil complaint</w:t>
      </w:r>
      <w:r>
        <w:t xml:space="preserve">].)  </w:t>
      </w:r>
    </w:p>
    <w:p w:rsidR="00633D56" w:rsidP="00123612" w14:paraId="6C9438DD" w14:textId="2D9C25C3">
      <w:pPr>
        <w:rPr>
          <w:i/>
          <w:iCs/>
        </w:rPr>
      </w:pPr>
      <w:r>
        <w:t xml:space="preserve">The June 11, June 12, June 15, June 17, June 27, and the first July 1 </w:t>
      </w:r>
      <w:r w:rsidR="000A1A67">
        <w:t xml:space="preserve">e-mails </w:t>
      </w:r>
      <w:r w:rsidR="00BA0D80">
        <w:t xml:space="preserve">are </w:t>
      </w:r>
      <w:r w:rsidR="000456AC">
        <w:t xml:space="preserve">largely or wholly </w:t>
      </w:r>
      <w:r w:rsidR="00BA0D80">
        <w:t>composed of</w:t>
      </w:r>
      <w:r w:rsidR="00311E61">
        <w:t xml:space="preserve"> </w:t>
      </w:r>
      <w:r w:rsidR="000456AC">
        <w:t xml:space="preserve">assertions and </w:t>
      </w:r>
      <w:r w:rsidR="0012775E">
        <w:t>innuendo</w:t>
      </w:r>
      <w:r w:rsidR="000456AC">
        <w:t xml:space="preserve"> that bear no </w:t>
      </w:r>
      <w:r w:rsidR="00620991">
        <w:t>clear</w:t>
      </w:r>
      <w:r w:rsidR="000456AC">
        <w:t xml:space="preserve"> relation to </w:t>
      </w:r>
      <w:r w:rsidR="0012775E">
        <w:t>Susan’s anticipated RICO action</w:t>
      </w:r>
      <w:r w:rsidR="006B0F19">
        <w:t xml:space="preserve">. </w:t>
      </w:r>
      <w:r w:rsidR="00A72D57">
        <w:t xml:space="preserve"> </w:t>
      </w:r>
      <w:r w:rsidR="00311E61">
        <w:t>Th</w:t>
      </w:r>
      <w:r w:rsidR="0012775E">
        <w:t>is</w:t>
      </w:r>
      <w:r w:rsidR="006B0F19">
        <w:t xml:space="preserve"> </w:t>
      </w:r>
      <w:r w:rsidR="00F540CC">
        <w:t xml:space="preserve">lack of relatedness </w:t>
      </w:r>
      <w:r w:rsidR="00311E61">
        <w:t>more closely resemble</w:t>
      </w:r>
      <w:r w:rsidR="00F540CC">
        <w:t>s</w:t>
      </w:r>
      <w:r w:rsidR="00311E61">
        <w:t xml:space="preserve"> th</w:t>
      </w:r>
      <w:r w:rsidR="00F540CC">
        <w:t xml:space="preserve">e </w:t>
      </w:r>
      <w:r w:rsidR="00BA0D80">
        <w:t xml:space="preserve">circumstances </w:t>
      </w:r>
      <w:r w:rsidR="00F540CC">
        <w:t>i</w:t>
      </w:r>
      <w:r w:rsidR="00BA0D80">
        <w:t>n</w:t>
      </w:r>
      <w:r w:rsidR="00311E61">
        <w:t xml:space="preserve"> </w:t>
      </w:r>
      <w:r w:rsidR="00C13B26">
        <w:rPr>
          <w:i/>
          <w:iCs/>
        </w:rPr>
        <w:t>Paul</w:t>
      </w:r>
      <w:r w:rsidR="0074103B">
        <w:t xml:space="preserve">, a case involving </w:t>
      </w:r>
      <w:r w:rsidRPr="00721F6C" w:rsidR="00721F6C">
        <w:t xml:space="preserve">intentional infliction of emotional </w:t>
      </w:r>
      <w:r w:rsidR="00721F6C">
        <w:t>d</w:t>
      </w:r>
      <w:r w:rsidRPr="00721F6C" w:rsidR="00721F6C">
        <w:t>istress,</w:t>
      </w:r>
      <w:r w:rsidR="00721F6C">
        <w:t xml:space="preserve"> </w:t>
      </w:r>
      <w:r w:rsidRPr="00721F6C" w:rsidR="00721F6C">
        <w:t>invasion of privac</w:t>
      </w:r>
      <w:r w:rsidR="00721F6C">
        <w:t xml:space="preserve">y, and other tortious interference claims arising from </w:t>
      </w:r>
      <w:r w:rsidR="0074103B">
        <w:t xml:space="preserve">a lawyer’s investigative acts </w:t>
      </w:r>
      <w:r w:rsidR="00EC09AC">
        <w:t>while</w:t>
      </w:r>
      <w:r w:rsidR="0074103B">
        <w:t xml:space="preserve"> prosecuting his client’s arbitration claims against a security broker.  </w:t>
      </w:r>
      <w:r w:rsidR="00721F6C">
        <w:t>(</w:t>
      </w:r>
      <w:r w:rsidR="00EC09AC">
        <w:rPr>
          <w:i/>
          <w:iCs/>
        </w:rPr>
        <w:t>Paul</w:t>
      </w:r>
      <w:r w:rsidR="00EC09AC">
        <w:t xml:space="preserve">, </w:t>
      </w:r>
      <w:r w:rsidR="00EC09AC">
        <w:rPr>
          <w:i/>
          <w:iCs/>
        </w:rPr>
        <w:t>supra</w:t>
      </w:r>
      <w:r w:rsidR="00EC09AC">
        <w:t>,</w:t>
      </w:r>
      <w:r w:rsidR="00EC09AC">
        <w:rPr>
          <w:i/>
          <w:iCs/>
        </w:rPr>
        <w:t xml:space="preserve"> </w:t>
      </w:r>
      <w:r w:rsidR="00EC09AC">
        <w:t>95 Cal.App.4th at p. 864.)  T</w:t>
      </w:r>
      <w:r w:rsidR="00311E61">
        <w:t xml:space="preserve">he appellate court held that </w:t>
      </w:r>
      <w:r w:rsidR="00175847">
        <w:t xml:space="preserve">the </w:t>
      </w:r>
      <w:r w:rsidR="0074103B">
        <w:t xml:space="preserve">attorney’s </w:t>
      </w:r>
      <w:r w:rsidR="00175847">
        <w:t>“intrusive pre-hearing investigation of and</w:t>
      </w:r>
      <w:r w:rsidR="0074103B">
        <w:t xml:space="preserve"> disclosure</w:t>
      </w:r>
      <w:r w:rsidR="00175847">
        <w:t xml:space="preserve">s concerning” the security broker’s </w:t>
      </w:r>
      <w:r w:rsidR="0074103B">
        <w:t xml:space="preserve">personal </w:t>
      </w:r>
      <w:r w:rsidR="00175847">
        <w:t>affairs</w:t>
      </w:r>
      <w:r w:rsidR="0074103B">
        <w:t xml:space="preserve"> extended beyond the scope of issues related to the arbitration</w:t>
      </w:r>
      <w:r w:rsidR="00175847">
        <w:t xml:space="preserve"> </w:t>
      </w:r>
      <w:r w:rsidR="00847B15">
        <w:t>(</w:t>
      </w:r>
      <w:r w:rsidR="00847B15">
        <w:rPr>
          <w:i/>
          <w:iCs/>
        </w:rPr>
        <w:t>id</w:t>
      </w:r>
      <w:r w:rsidR="00847B15">
        <w:t xml:space="preserve">. at p. 867) </w:t>
      </w:r>
      <w:r w:rsidR="00204493">
        <w:t>and did not pertain to “</w:t>
      </w:r>
      <w:r w:rsidR="00847B15">
        <w:t xml:space="preserve"> ‘</w:t>
      </w:r>
      <w:r w:rsidR="00204493">
        <w:t>an issue under consideration or review</w:t>
      </w:r>
      <w:r w:rsidR="00847B15">
        <w:t xml:space="preserve">’ </w:t>
      </w:r>
      <w:r w:rsidR="00204493">
        <w:t>” in that proceeding.  (</w:t>
      </w:r>
      <w:r w:rsidR="00204493">
        <w:rPr>
          <w:i/>
          <w:iCs/>
        </w:rPr>
        <w:t>Id</w:t>
      </w:r>
      <w:r w:rsidR="00204493">
        <w:t>. at p. 86</w:t>
      </w:r>
      <w:r w:rsidR="00847B15">
        <w:t>8</w:t>
      </w:r>
      <w:r w:rsidR="00204493">
        <w:t>.)  The attorney</w:t>
      </w:r>
      <w:r w:rsidR="0012775E">
        <w:t xml:space="preserve"> </w:t>
      </w:r>
      <w:r w:rsidR="00204493">
        <w:t xml:space="preserve">failed to establish that his investigation and disclosures were </w:t>
      </w:r>
      <w:r w:rsidR="00175847">
        <w:t>acts “in connection with” an official proceeding</w:t>
      </w:r>
      <w:r w:rsidR="00204493">
        <w:t xml:space="preserve"> protected by the anti-SLAPP statute.</w:t>
      </w:r>
      <w:r w:rsidR="00175847">
        <w:t xml:space="preserve">  </w:t>
      </w:r>
      <w:r w:rsidR="00204493">
        <w:t>(</w:t>
      </w:r>
      <w:r w:rsidR="00204493">
        <w:rPr>
          <w:i/>
          <w:iCs/>
        </w:rPr>
        <w:t>I</w:t>
      </w:r>
      <w:r w:rsidR="00847B15">
        <w:rPr>
          <w:i/>
          <w:iCs/>
        </w:rPr>
        <w:t>bi</w:t>
      </w:r>
      <w:r w:rsidR="00204493">
        <w:rPr>
          <w:i/>
          <w:iCs/>
        </w:rPr>
        <w:t>d</w:t>
      </w:r>
      <w:r w:rsidR="00204493">
        <w:t>.)</w:t>
      </w:r>
      <w:r w:rsidR="00204493">
        <w:rPr>
          <w:i/>
          <w:iCs/>
        </w:rPr>
        <w:t xml:space="preserve"> </w:t>
      </w:r>
    </w:p>
    <w:p w:rsidR="00F16F2E" w:rsidP="00523B9E" w14:paraId="42223952" w14:textId="43107084">
      <w:r>
        <w:t xml:space="preserve">As the court did </w:t>
      </w:r>
      <w:r w:rsidR="00511AA3">
        <w:t xml:space="preserve">in </w:t>
      </w:r>
      <w:r w:rsidR="00511AA3">
        <w:rPr>
          <w:i/>
          <w:iCs/>
        </w:rPr>
        <w:t>Paul</w:t>
      </w:r>
      <w:r w:rsidR="00511AA3">
        <w:t xml:space="preserve">, </w:t>
      </w:r>
      <w:r w:rsidR="007A7802">
        <w:t xml:space="preserve">we conclude it is insufficient </w:t>
      </w:r>
      <w:r w:rsidR="002A2B7C">
        <w:t>for Susan to generally aver a connection between her c</w:t>
      </w:r>
      <w:r w:rsidR="007A7802">
        <w:t xml:space="preserve">ommunications to Robert </w:t>
      </w:r>
      <w:r w:rsidR="002A2B7C">
        <w:t xml:space="preserve">and the </w:t>
      </w:r>
      <w:r w:rsidR="007A7802">
        <w:t xml:space="preserve">anticipated exercise of her petitioning rights </w:t>
      </w:r>
      <w:r w:rsidR="002A2B7C">
        <w:t xml:space="preserve">by </w:t>
      </w:r>
      <w:r w:rsidR="007A7802">
        <w:t>filing a federal RICO action</w:t>
      </w:r>
      <w:r w:rsidR="00633D56">
        <w:t>.  T</w:t>
      </w:r>
      <w:r w:rsidR="002A2B7C">
        <w:t xml:space="preserve">he </w:t>
      </w:r>
      <w:r w:rsidR="00FB2649">
        <w:t>statements must be “in connection with” the subject of the dispute and “</w:t>
      </w:r>
      <w:r w:rsidR="000D046B">
        <w:t xml:space="preserve">an issue </w:t>
      </w:r>
      <w:r w:rsidR="00FB2649">
        <w:t xml:space="preserve">under consideration or review” in the </w:t>
      </w:r>
      <w:r w:rsidR="00083A2F">
        <w:t>anticipated litigation.</w:t>
      </w:r>
      <w:r w:rsidR="0012775E">
        <w:t xml:space="preserve">  </w:t>
      </w:r>
      <w:r w:rsidR="00735609">
        <w:t xml:space="preserve">(§ 425.16(e)(2); </w:t>
      </w:r>
      <w:r w:rsidR="00735609">
        <w:rPr>
          <w:i/>
          <w:iCs/>
        </w:rPr>
        <w:t>Paul</w:t>
      </w:r>
      <w:r w:rsidR="00735609">
        <w:t xml:space="preserve">, </w:t>
      </w:r>
      <w:r w:rsidR="00735609">
        <w:rPr>
          <w:i/>
          <w:iCs/>
        </w:rPr>
        <w:t>supra</w:t>
      </w:r>
      <w:r w:rsidR="00735609">
        <w:t>,</w:t>
      </w:r>
      <w:r w:rsidR="00735609">
        <w:rPr>
          <w:i/>
          <w:iCs/>
        </w:rPr>
        <w:t xml:space="preserve"> </w:t>
      </w:r>
      <w:r w:rsidR="00735609">
        <w:t>95 Cal.App.4th at pp. 867</w:t>
      </w:r>
      <w:r w:rsidR="00847B15">
        <w:t>–</w:t>
      </w:r>
      <w:r w:rsidR="00735609">
        <w:t xml:space="preserve">868.)  </w:t>
      </w:r>
    </w:p>
    <w:p w:rsidR="00DA27CD" w:rsidP="00DA27CD" w14:paraId="355D4B85" w14:textId="3519F200">
      <w:r>
        <w:t xml:space="preserve">Susan disputes this characterization of her e-mails and insists that nonthreatening (nonviolent) communications between divorcing spouses, however angry in tone, bothersome, or offensive, remain litigation privileged.  She points to the recent decision in </w:t>
      </w:r>
      <w:r>
        <w:rPr>
          <w:i/>
          <w:iCs/>
        </w:rPr>
        <w:t xml:space="preserve">Hansen v. Volkov </w:t>
      </w:r>
      <w:r>
        <w:t>(2023) 96 Cal.App.5th 94 (</w:t>
      </w:r>
      <w:r>
        <w:rPr>
          <w:i/>
          <w:iCs/>
        </w:rPr>
        <w:t>Hansen</w:t>
      </w:r>
      <w:r>
        <w:t xml:space="preserve">) for the proposition that her communications to Robert, however “annoying,” were constitutionally protected. </w:t>
      </w:r>
      <w:r w:rsidR="00847B15">
        <w:t xml:space="preserve"> (</w:t>
      </w:r>
      <w:r w:rsidR="00847B15">
        <w:rPr>
          <w:i/>
          <w:iCs/>
        </w:rPr>
        <w:t>Id</w:t>
      </w:r>
      <w:r w:rsidR="00847B15">
        <w:t>. at p. 97.)</w:t>
      </w:r>
    </w:p>
    <w:p w:rsidR="00DA27CD" w:rsidP="00DA27CD" w14:paraId="57270009" w14:textId="4199E571">
      <w:r>
        <w:rPr>
          <w:i/>
          <w:iCs/>
        </w:rPr>
        <w:t xml:space="preserve">Hansen </w:t>
      </w:r>
      <w:r>
        <w:t>is not an anti-SLAPP</w:t>
      </w:r>
      <w:r>
        <w:rPr>
          <w:i/>
          <w:iCs/>
        </w:rPr>
        <w:t xml:space="preserve"> </w:t>
      </w:r>
      <w:r>
        <w:t>case and does not assist Susan.  The appeal in that case addressed the imposition of a civil harassment restraining order in a dispute between opposing counsel in a dissolution proceeding.  (</w:t>
      </w:r>
      <w:r>
        <w:rPr>
          <w:i/>
          <w:iCs/>
        </w:rPr>
        <w:t>Hansen</w:t>
      </w:r>
      <w:r>
        <w:t xml:space="preserve">, </w:t>
      </w:r>
      <w:r>
        <w:rPr>
          <w:i/>
          <w:iCs/>
        </w:rPr>
        <w:t>supra</w:t>
      </w:r>
      <w:r>
        <w:t xml:space="preserve">, 96 Cal.App.5th at p. 97.)  In reversing the order granting the restraining order, the appellate court observed that the </w:t>
      </w:r>
      <w:r w:rsidRPr="0022302A">
        <w:t>e</w:t>
      </w:r>
      <w:r>
        <w:t>-</w:t>
      </w:r>
      <w:r w:rsidRPr="0022302A">
        <w:t xml:space="preserve">mails sent by </w:t>
      </w:r>
      <w:r>
        <w:t>the defendant attorney to his opposing counsel after he learned she had canceled his client’s</w:t>
      </w:r>
      <w:r w:rsidRPr="0022302A">
        <w:t xml:space="preserve"> deposition were “seriously annoying</w:t>
      </w:r>
      <w:r>
        <w:t>” but “</w:t>
      </w:r>
      <w:r w:rsidRPr="0022302A">
        <w:t>did not contain any threats of violence</w:t>
      </w:r>
      <w:r>
        <w:t>” and “</w:t>
      </w:r>
      <w:r w:rsidRPr="0022302A">
        <w:t>were constitutionally protected litigation activity</w:t>
      </w:r>
      <w:r>
        <w:t>” that could not be “p</w:t>
      </w:r>
      <w:r w:rsidRPr="005E0927">
        <w:t>roperly considered part of a course of conduct of harassment.</w:t>
      </w:r>
      <w:r>
        <w:t>”  (</w:t>
      </w:r>
      <w:r>
        <w:rPr>
          <w:i/>
          <w:iCs/>
        </w:rPr>
        <w:t>Id</w:t>
      </w:r>
      <w:r>
        <w:t>. at p. 105.)  The e-mails in question specifically addressed a disputed deposition appearance in the context of the ongoing litigation.  (</w:t>
      </w:r>
      <w:r>
        <w:rPr>
          <w:i/>
          <w:iCs/>
        </w:rPr>
        <w:t xml:space="preserve">Id. </w:t>
      </w:r>
      <w:r>
        <w:t xml:space="preserve">at p. 100.) </w:t>
      </w:r>
      <w:r>
        <w:rPr>
          <w:i/>
          <w:iCs/>
        </w:rPr>
        <w:t xml:space="preserve"> </w:t>
      </w:r>
      <w:r>
        <w:t xml:space="preserve">The court’s observation that they constituted protected litigation activity therefore offers no authority for the entirely different proposition that e-mails between divorcing spouses are </w:t>
      </w:r>
      <w:r>
        <w:rPr>
          <w:i/>
          <w:iCs/>
        </w:rPr>
        <w:t xml:space="preserve">per se </w:t>
      </w:r>
      <w:r>
        <w:t>litigation related within the meaning of the anti-SLAPP statute, however remote the topics addressed might be from the subject of the litigation</w:t>
      </w:r>
      <w:r w:rsidR="00F53768">
        <w:t xml:space="preserve"> raised in the anti-SLAPP motion</w:t>
      </w:r>
      <w:r>
        <w:t>.  (</w:t>
      </w:r>
      <w:r w:rsidRPr="0022302A">
        <w:rPr>
          <w:i/>
          <w:iCs/>
        </w:rPr>
        <w:t>B.B. v. County of Los Angeles</w:t>
      </w:r>
      <w:r>
        <w:t xml:space="preserve"> (2020) 10 Cal.5th 1, 11 [“ </w:t>
      </w:r>
      <w:r w:rsidRPr="00527D99">
        <w:t>‘</w:t>
      </w:r>
      <w:r w:rsidR="00847B15">
        <w:t xml:space="preserve"> “</w:t>
      </w:r>
      <w:r>
        <w:t>[C]</w:t>
      </w:r>
      <w:r w:rsidRPr="00527D99">
        <w:t>ases are not authority for propositions not considered.</w:t>
      </w:r>
      <w:r>
        <w:t>” </w:t>
      </w:r>
      <w:r w:rsidRPr="00527D99">
        <w:t>’ ”</w:t>
      </w:r>
      <w:r>
        <w:t xml:space="preserve">].)  </w:t>
      </w:r>
    </w:p>
    <w:p w:rsidR="00EB5EC8" w:rsidP="00EB5EC8" w14:paraId="3F9BFDD8" w14:textId="7ED7B877">
      <w:r>
        <w:t xml:space="preserve">We reach a different conclusion as to the </w:t>
      </w:r>
      <w:r w:rsidR="0061587C">
        <w:t>remaining e-</w:t>
      </w:r>
      <w:r w:rsidR="00A72D57">
        <w:t xml:space="preserve">mails </w:t>
      </w:r>
      <w:r>
        <w:t>(the second e-mail on July 1</w:t>
      </w:r>
      <w:r w:rsidR="00996517">
        <w:t>,</w:t>
      </w:r>
      <w:r>
        <w:t xml:space="preserve"> and e-mails on July 2 and </w:t>
      </w:r>
      <w:r w:rsidR="00BE58D0">
        <w:t xml:space="preserve">July </w:t>
      </w:r>
      <w:r>
        <w:t xml:space="preserve">7) </w:t>
      </w:r>
      <w:r w:rsidR="00A72D57">
        <w:t>giving rise to the petition</w:t>
      </w:r>
      <w:r>
        <w:t>.  They are different</w:t>
      </w:r>
      <w:r w:rsidR="00A72D57">
        <w:t xml:space="preserve"> </w:t>
      </w:r>
      <w:r w:rsidR="0061587C">
        <w:t>because they pertain more directly to</w:t>
      </w:r>
      <w:r w:rsidR="00A72D57">
        <w:t xml:space="preserve"> Susan’s anticipated RICO lawsuit and </w:t>
      </w:r>
      <w:r w:rsidR="0061587C">
        <w:t xml:space="preserve">include or refer to </w:t>
      </w:r>
      <w:r w:rsidR="00A72D57">
        <w:t>a draft complaint</w:t>
      </w:r>
      <w:r w:rsidR="0061587C">
        <w:t xml:space="preserve"> in that action.  </w:t>
      </w:r>
      <w:r>
        <w:t xml:space="preserve">The </w:t>
      </w:r>
      <w:r w:rsidRPr="00DD325E">
        <w:t>second July 1 e-mail</w:t>
      </w:r>
      <w:r>
        <w:t xml:space="preserve"> attached a revised RICO draft complaint (citing the possibility that Robert’s counsel had “failed to forward” it to him) and advised Robert to “not underestimate [Susan’s] ability to get people to come forward with records, facts and information that would support this federal RICO case.”  Susan asserted in the e-mail that she had witnesses (“[c]urrent and former T</w:t>
      </w:r>
      <w:r w:rsidR="0047339B">
        <w:t xml:space="preserve">[animura] </w:t>
      </w:r>
      <w:r>
        <w:t>&amp;</w:t>
      </w:r>
      <w:r w:rsidR="0047339B">
        <w:t xml:space="preserve"> </w:t>
      </w:r>
      <w:r>
        <w:t>A</w:t>
      </w:r>
      <w:r w:rsidR="0047339B">
        <w:t>[ntle]</w:t>
      </w:r>
      <w:r>
        <w:t xml:space="preserve"> employees” whom </w:t>
      </w:r>
      <w:r w:rsidR="00A77246">
        <w:t>Robert’s brother “</w:t>
      </w:r>
      <w:r w:rsidR="00A7547B">
        <w:t>[</w:t>
      </w:r>
      <w:r>
        <w:t>S</w:t>
      </w:r>
      <w:r w:rsidR="00A77246">
        <w:t>.</w:t>
      </w:r>
      <w:r w:rsidR="00A7547B">
        <w:t>]</w:t>
      </w:r>
      <w:r w:rsidR="00A77246">
        <w:t>”</w:t>
      </w:r>
      <w:r>
        <w:t xml:space="preserve"> had “stepped on, and over these past 40 years”) </w:t>
      </w:r>
      <w:r w:rsidR="0050784E">
        <w:t xml:space="preserve">who could </w:t>
      </w:r>
      <w:r>
        <w:t>validat</w:t>
      </w:r>
      <w:r w:rsidR="0050784E">
        <w:t>e</w:t>
      </w:r>
      <w:r>
        <w:t xml:space="preserve"> the allegations in the draft complaint. </w:t>
      </w:r>
    </w:p>
    <w:p w:rsidR="00247A41" w:rsidP="00C83EA5" w14:paraId="59336F38" w14:textId="77162099">
      <w:r>
        <w:t>Susan wrote again o</w:t>
      </w:r>
      <w:r w:rsidR="00E901E6">
        <w:t>n July 2</w:t>
      </w:r>
      <w:r w:rsidR="005E2B77">
        <w:t>,</w:t>
      </w:r>
      <w:r w:rsidR="00E901E6">
        <w:t xml:space="preserve"> after Robert’s attorney </w:t>
      </w:r>
      <w:r w:rsidR="00FB5684">
        <w:t xml:space="preserve">had </w:t>
      </w:r>
      <w:r w:rsidR="00E901E6">
        <w:t>request</w:t>
      </w:r>
      <w:r w:rsidR="00FB5684">
        <w:t>ed</w:t>
      </w:r>
      <w:r w:rsidR="00E901E6">
        <w:t xml:space="preserve"> that Susan cease </w:t>
      </w:r>
      <w:r w:rsidR="005A5BD2">
        <w:t xml:space="preserve">sending </w:t>
      </w:r>
      <w:r w:rsidR="00E901E6">
        <w:t>e-mails to Robert</w:t>
      </w:r>
      <w:r w:rsidR="005E2B77">
        <w:t>.  Her e-mail suggested that Martinez (Robert’s attorney)</w:t>
      </w:r>
      <w:r>
        <w:t xml:space="preserve"> </w:t>
      </w:r>
      <w:r w:rsidR="005E2B77">
        <w:t xml:space="preserve">was </w:t>
      </w:r>
      <w:r>
        <w:t>“engaging in conduct that may lead to the civil RICO drafts being placed in the public court file</w:t>
      </w:r>
      <w:r w:rsidR="005E2B77">
        <w:t>.”  She asserted that while her hope had always been “</w:t>
      </w:r>
      <w:r>
        <w:t>to settle our issues without further harm to the reputations of not only those involved, but our associates and family members</w:t>
      </w:r>
      <w:r w:rsidR="005E2B77">
        <w:t>” and “</w:t>
      </w:r>
      <w:r>
        <w:t>to be able to address these issues without continuing to place deeply personal and financial issues in the public domain as Robert has insisted on for nearly 10 years</w:t>
      </w:r>
      <w:r w:rsidR="005E2B77">
        <w:t xml:space="preserve">,” </w:t>
      </w:r>
      <w:r>
        <w:t>Martinez</w:t>
      </w:r>
      <w:r w:rsidR="005E2B77">
        <w:t xml:space="preserve">’s </w:t>
      </w:r>
      <w:r>
        <w:t xml:space="preserve">conduct calling </w:t>
      </w:r>
      <w:r w:rsidR="005E2B77">
        <w:t>her “</w:t>
      </w:r>
      <w:r>
        <w:t xml:space="preserve">152- page civil RICO seed counterfeiting draft complaint and accompanying letter </w:t>
      </w:r>
      <w:r w:rsidR="005E2B77">
        <w:t>‘</w:t>
      </w:r>
      <w:r>
        <w:t>stupid</w:t>
      </w:r>
      <w:r w:rsidR="005E2B77">
        <w:t xml:space="preserve">’ ” could result in the </w:t>
      </w:r>
      <w:r>
        <w:t>public filing of th</w:t>
      </w:r>
      <w:r w:rsidR="005E2B77">
        <w:t>e</w:t>
      </w:r>
      <w:r>
        <w:t xml:space="preserve"> complaint</w:t>
      </w:r>
      <w:r w:rsidR="005E2B77">
        <w:t>,</w:t>
      </w:r>
      <w:r>
        <w:t xml:space="preserve"> </w:t>
      </w:r>
      <w:r w:rsidR="005E2B77">
        <w:t>which “</w:t>
      </w:r>
      <w:r>
        <w:t xml:space="preserve">would impact </w:t>
      </w:r>
      <w:r w:rsidR="005E2B77">
        <w:t>all</w:t>
      </w:r>
      <w:r>
        <w:t xml:space="preserve"> of </w:t>
      </w:r>
      <w:r w:rsidR="00A7547B">
        <w:t>[their]</w:t>
      </w:r>
      <w:r>
        <w:t xml:space="preserve"> children,</w:t>
      </w:r>
      <w:r w:rsidR="005E2B77">
        <w:t xml:space="preserve"> </w:t>
      </w:r>
      <w:r>
        <w:t>and grandchildren.</w:t>
      </w:r>
      <w:r w:rsidR="005E2B77">
        <w:t xml:space="preserve">”  </w:t>
      </w:r>
    </w:p>
    <w:p w:rsidR="009C0879" w:rsidP="0052527C" w14:paraId="27881B76" w14:textId="340D542A">
      <w:r>
        <w:t>Additional</w:t>
      </w:r>
      <w:r w:rsidR="00247A41">
        <w:t xml:space="preserve"> e-mails</w:t>
      </w:r>
      <w:r w:rsidR="005E2B77">
        <w:t xml:space="preserve"> on the morning and evening of July 7</w:t>
      </w:r>
      <w:r w:rsidR="00247A41">
        <w:t xml:space="preserve"> </w:t>
      </w:r>
      <w:r w:rsidR="00E40260">
        <w:t>again raised the subject of</w:t>
      </w:r>
      <w:r w:rsidR="00247A41">
        <w:t xml:space="preserve"> </w:t>
      </w:r>
      <w:r w:rsidR="0052527C">
        <w:t>the proposed RICO action</w:t>
      </w:r>
      <w:r w:rsidR="00952405">
        <w:t xml:space="preserve">.  The </w:t>
      </w:r>
      <w:r w:rsidR="00EA6DEF">
        <w:t xml:space="preserve">July </w:t>
      </w:r>
      <w:r w:rsidR="00952405">
        <w:t>7 e-mail asserted that Robert should “</w:t>
      </w:r>
      <w:r w:rsidR="00247A41">
        <w:t>find a lawyer who can help you read the federal complaint</w:t>
      </w:r>
      <w:r w:rsidR="00952405">
        <w:t xml:space="preserve"> </w:t>
      </w:r>
      <w:r w:rsidR="00247A41">
        <w:t xml:space="preserve">instead of spending more money on </w:t>
      </w:r>
      <w:r w:rsidR="00A7547B">
        <w:t>[]</w:t>
      </w:r>
      <w:r>
        <w:t xml:space="preserve"> </w:t>
      </w:r>
      <w:r w:rsidR="00247A41">
        <w:t>Martinez who sounds more and more like a mobster</w:t>
      </w:r>
      <w:r w:rsidR="00952405">
        <w:t>’</w:t>
      </w:r>
      <w:r w:rsidR="00247A41">
        <w:t>s lawyer</w:t>
      </w:r>
      <w:r w:rsidR="00952405">
        <w:t>” and protect their children</w:t>
      </w:r>
      <w:r w:rsidR="00B273B3">
        <w:t xml:space="preserve">, who would be harmed by Robert “trying </w:t>
      </w:r>
      <w:r w:rsidR="00247A41">
        <w:t>to</w:t>
      </w:r>
      <w:r w:rsidR="00B273B3">
        <w:t xml:space="preserve"> </w:t>
      </w:r>
      <w:r w:rsidR="00247A41">
        <w:t>continue the family law case as your effort to marginalize what you have done in the federal matter</w:t>
      </w:r>
      <w:r w:rsidR="00B273B3">
        <w:t>.”</w:t>
      </w:r>
      <w:r w:rsidR="00525F5B">
        <w:t xml:space="preserve"> </w:t>
      </w:r>
      <w:r w:rsidR="0052527C">
        <w:t xml:space="preserve"> </w:t>
      </w:r>
    </w:p>
    <w:p w:rsidR="009C0879" w:rsidP="0052527C" w14:paraId="6CC27472" w14:textId="20697B86">
      <w:bookmarkStart w:id="5" w:name="_Hlk157614440"/>
      <w:r>
        <w:t>Broadly construed, in view of the anti-SLAPP statute’s goals to screen legal claims targeting protected litigation related activity (</w:t>
      </w:r>
      <w:r w:rsidRPr="004F411B">
        <w:rPr>
          <w:i/>
          <w:iCs/>
        </w:rPr>
        <w:t>Wilson</w:t>
      </w:r>
      <w:r>
        <w:t xml:space="preserve">, </w:t>
      </w:r>
      <w:r>
        <w:rPr>
          <w:i/>
          <w:iCs/>
        </w:rPr>
        <w:t>supra</w:t>
      </w:r>
      <w:r>
        <w:t>,</w:t>
      </w:r>
      <w:r>
        <w:rPr>
          <w:i/>
          <w:iCs/>
        </w:rPr>
        <w:t xml:space="preserve"> </w:t>
      </w:r>
      <w:r>
        <w:t>7 Cal.5th at pp. 880</w:t>
      </w:r>
      <w:r>
        <w:noBreakHyphen/>
        <w:t xml:space="preserve">881), we </w:t>
      </w:r>
      <w:r w:rsidR="0023590A">
        <w:t>decide</w:t>
      </w:r>
      <w:r>
        <w:t xml:space="preserve"> that </w:t>
      </w:r>
      <w:r w:rsidR="003E566A">
        <w:t>t</w:t>
      </w:r>
      <w:r w:rsidR="00361EB7">
        <w:t>h</w:t>
      </w:r>
      <w:r w:rsidR="0070525A">
        <w:t>e statements in th</w:t>
      </w:r>
      <w:r>
        <w:t>e</w:t>
      </w:r>
      <w:r w:rsidR="0070525A">
        <w:t>se</w:t>
      </w:r>
      <w:r w:rsidR="00194CB2">
        <w:t xml:space="preserve"> e-mails </w:t>
      </w:r>
      <w:r w:rsidR="0070525A">
        <w:t>were</w:t>
      </w:r>
      <w:r w:rsidR="00361EB7">
        <w:t xml:space="preserve"> </w:t>
      </w:r>
      <w:r w:rsidR="0023590A">
        <w:t xml:space="preserve">arguably </w:t>
      </w:r>
      <w:r w:rsidR="0070525A">
        <w:t xml:space="preserve">“made </w:t>
      </w:r>
      <w:r w:rsidRPr="0070525A" w:rsidR="0070525A">
        <w:t>in connection with an issue under consideration or review</w:t>
      </w:r>
      <w:r w:rsidR="0070525A">
        <w:t>”</w:t>
      </w:r>
      <w:r w:rsidRPr="0070525A" w:rsidR="0070525A">
        <w:t xml:space="preserve"> </w:t>
      </w:r>
      <w:r w:rsidR="0070525A">
        <w:t>in anticipated litigation</w:t>
      </w:r>
      <w:r w:rsidRPr="0070525A" w:rsidR="0070525A">
        <w:t xml:space="preserve"> </w:t>
      </w:r>
      <w:r w:rsidR="0070525A">
        <w:t xml:space="preserve">within the scope of </w:t>
      </w:r>
      <w:r w:rsidR="00194CB2">
        <w:t>section 425.16(e)(2)</w:t>
      </w:r>
      <w:r w:rsidR="003E566A">
        <w:t xml:space="preserve">.  </w:t>
      </w:r>
    </w:p>
    <w:p w:rsidR="0070525A" w:rsidP="0052527C" w14:paraId="4BA8B594" w14:textId="6325079E">
      <w:r>
        <w:t>Having decided t</w:t>
      </w:r>
      <w:r w:rsidRPr="0070525A">
        <w:t xml:space="preserve">hat </w:t>
      </w:r>
      <w:r>
        <w:t>Robert’s</w:t>
      </w:r>
      <w:r w:rsidRPr="0070525A">
        <w:t xml:space="preserve"> </w:t>
      </w:r>
      <w:r>
        <w:t>claim for DVRO</w:t>
      </w:r>
      <w:r w:rsidRPr="0070525A">
        <w:t xml:space="preserve"> arises</w:t>
      </w:r>
      <w:r w:rsidR="00F45A67">
        <w:t xml:space="preserve"> in part </w:t>
      </w:r>
      <w:r w:rsidRPr="0070525A">
        <w:t>from protected activity under the anti-SLAPP statute</w:t>
      </w:r>
      <w:r w:rsidR="00F45A67">
        <w:t xml:space="preserve"> (and in part on unprotected activity)</w:t>
      </w:r>
      <w:r>
        <w:t xml:space="preserve">, we turn to the second step </w:t>
      </w:r>
      <w:r w:rsidR="00F45A67">
        <w:t xml:space="preserve">of the </w:t>
      </w:r>
      <w:r>
        <w:t>analysis.</w:t>
      </w:r>
    </w:p>
    <w:p w:rsidR="003E566A" w:rsidP="00B5690B" w14:paraId="04BB114D" w14:textId="4A4D2AEB">
      <w:pPr>
        <w:pStyle w:val="Heading3"/>
      </w:pPr>
      <w:r>
        <w:t xml:space="preserve">Second Step:  </w:t>
      </w:r>
      <w:r w:rsidR="00B12766">
        <w:t>Prima Facie Case</w:t>
      </w:r>
    </w:p>
    <w:p w:rsidR="0070525A" w:rsidRPr="004F4A16" w:rsidP="0070525A" w14:paraId="33FF93DE" w14:textId="34E7A213">
      <w:bookmarkStart w:id="6" w:name="_Hlk158824697"/>
      <w:r>
        <w:t xml:space="preserve">Our Supreme Court in </w:t>
      </w:r>
      <w:r w:rsidRPr="004C1BCE">
        <w:rPr>
          <w:i/>
          <w:iCs/>
        </w:rPr>
        <w:t>Baral v. Schnitt</w:t>
      </w:r>
      <w:r>
        <w:t xml:space="preserve"> (2016) 1 Cal.5th 376 has </w:t>
      </w:r>
      <w:r w:rsidR="002341FF">
        <w:t xml:space="preserve">explained </w:t>
      </w:r>
      <w:r>
        <w:t>that</w:t>
      </w:r>
      <w:r w:rsidRPr="00AF712D">
        <w:t xml:space="preserve"> </w:t>
      </w:r>
      <w:r>
        <w:t>“</w:t>
      </w:r>
      <w:r w:rsidR="00424860">
        <w:t>[</w:t>
      </w:r>
      <w:r>
        <w:t>w</w:t>
      </w:r>
      <w:r w:rsidR="00424860">
        <w:t>]</w:t>
      </w:r>
      <w:r>
        <w:t xml:space="preserve">hen </w:t>
      </w:r>
      <w:r w:rsidRPr="00AF712D">
        <w:t>relief is sought based on allegations of both protected and unprotected activity, the unprotected activity is disregarded</w:t>
      </w:r>
      <w:r>
        <w:t>” at the first stage of the anti-SLAPP analysis, and the court assess</w:t>
      </w:r>
      <w:r w:rsidRPr="004F4A16">
        <w:t xml:space="preserve"> </w:t>
      </w:r>
      <w:r>
        <w:t>whether</w:t>
      </w:r>
      <w:r w:rsidRPr="004F4A16">
        <w:t xml:space="preserve"> relief is sought based on allegations arising from </w:t>
      </w:r>
      <w:r>
        <w:t xml:space="preserve">the protected </w:t>
      </w:r>
      <w:r w:rsidRPr="004F4A16">
        <w:t>activity</w:t>
      </w:r>
      <w:r>
        <w:t>.  (</w:t>
      </w:r>
      <w:r w:rsidR="00424860">
        <w:rPr>
          <w:i/>
          <w:iCs/>
        </w:rPr>
        <w:t>Id</w:t>
      </w:r>
      <w:r w:rsidRPr="004777DB" w:rsidR="00424860">
        <w:t>.</w:t>
      </w:r>
      <w:r>
        <w:t xml:space="preserve"> at p. 396.)  “</w:t>
      </w:r>
      <w:r w:rsidRPr="004F4A16">
        <w:t xml:space="preserve">If the court determines that relief is sought based on allegations arising from activity protected by the statute, the second step is reached. </w:t>
      </w:r>
      <w:r>
        <w:t xml:space="preserve"> </w:t>
      </w:r>
      <w:r w:rsidRPr="004F4A16">
        <w:t>There, the burden shifts to the plaintiff to demonstrate that each challenged claim based on protected activity is legally sufficient and factually substantiated.</w:t>
      </w:r>
      <w:r w:rsidR="0047339B">
        <w:t xml:space="preserve"> </w:t>
      </w:r>
      <w:r w:rsidRPr="00B12766" w:rsidR="00B12766">
        <w:t xml:space="preserve"> The court, without resolving evidentiary conflicts, must determine whether the plaintiff's showing, if accepted by the trier of fact, would be sufficient to sustain a favorable judgment.</w:t>
      </w:r>
      <w:r w:rsidR="00430F62">
        <w:t xml:space="preserve"> </w:t>
      </w:r>
      <w:r w:rsidRPr="00B12766" w:rsidR="00B12766">
        <w:t xml:space="preserve"> If not, the claim is stricken.</w:t>
      </w:r>
      <w:r>
        <w:t>”  (</w:t>
      </w:r>
      <w:r>
        <w:rPr>
          <w:i/>
          <w:iCs/>
        </w:rPr>
        <w:t>Ibid</w:t>
      </w:r>
      <w:r>
        <w:t>.)</w:t>
      </w:r>
    </w:p>
    <w:p w:rsidR="00F45A67" w:rsidP="00230B7B" w14:paraId="1422F16E" w14:textId="6E175F7B">
      <w:r>
        <w:t xml:space="preserve">In addition to the e-mails we have decided are unprotected activity, </w:t>
      </w:r>
      <w:r w:rsidR="00CB6752">
        <w:t>Robert’s petition seeks relief based on allegations of abuse (Fam. Code, § 6203) arising from protected activity—</w:t>
      </w:r>
      <w:r w:rsidR="007B1015">
        <w:t xml:space="preserve">namely, </w:t>
      </w:r>
      <w:r w:rsidR="00CB6752">
        <w:t>Susan’s</w:t>
      </w:r>
      <w:r w:rsidRPr="00F21C29" w:rsidR="00F21C29">
        <w:t xml:space="preserve"> </w:t>
      </w:r>
      <w:r w:rsidR="00651735">
        <w:t xml:space="preserve">second </w:t>
      </w:r>
      <w:r w:rsidR="00F21C29">
        <w:t xml:space="preserve">July 1, </w:t>
      </w:r>
      <w:r w:rsidR="00884B39">
        <w:t xml:space="preserve">July </w:t>
      </w:r>
      <w:r w:rsidR="00F21C29">
        <w:t xml:space="preserve">2 and </w:t>
      </w:r>
      <w:r w:rsidR="00424860">
        <w:t xml:space="preserve">July </w:t>
      </w:r>
      <w:r w:rsidR="00F21C29">
        <w:t>7</w:t>
      </w:r>
      <w:r w:rsidR="00CB6752">
        <w:t xml:space="preserve"> e-mails in anticipation of filing her proposed RICO action. </w:t>
      </w:r>
      <w:r w:rsidR="00053657">
        <w:t xml:space="preserve"> </w:t>
      </w:r>
      <w:r w:rsidR="005A5BD2">
        <w:t xml:space="preserve">To avoid the court striking his petition </w:t>
      </w:r>
      <w:r w:rsidR="008A3DEA">
        <w:t xml:space="preserve">claims that arise out of protected conduct </w:t>
      </w:r>
      <w:r w:rsidR="005A5BD2">
        <w:t xml:space="preserve">as a SLAPP, </w:t>
      </w:r>
      <w:r w:rsidR="00053657">
        <w:t>Robert must show that</w:t>
      </w:r>
      <w:r w:rsidR="005A5BD2">
        <w:t>,</w:t>
      </w:r>
      <w:r w:rsidR="00053657">
        <w:t xml:space="preserve"> </w:t>
      </w:r>
      <w:r w:rsidR="00651735">
        <w:t xml:space="preserve">with respect to </w:t>
      </w:r>
      <w:r w:rsidR="008A3DEA">
        <w:t>those claims</w:t>
      </w:r>
      <w:r w:rsidR="005A5BD2">
        <w:t>, his petition</w:t>
      </w:r>
      <w:r w:rsidR="00651735">
        <w:t xml:space="preserve"> </w:t>
      </w:r>
      <w:r w:rsidR="00053657">
        <w:t>has “</w:t>
      </w:r>
      <w:r w:rsidR="00A2008E">
        <w:t> ‘</w:t>
      </w:r>
      <w:r w:rsidRPr="00EA15C2" w:rsidR="00053657">
        <w:t xml:space="preserve">at least </w:t>
      </w:r>
      <w:r w:rsidR="00A2008E">
        <w:t>“</w:t>
      </w:r>
      <w:r w:rsidRPr="00EA15C2" w:rsidR="00053657">
        <w:t>minimal merit</w:t>
      </w:r>
      <w:r w:rsidR="00A2008E">
        <w:t>” ’ </w:t>
      </w:r>
      <w:r w:rsidR="00053657">
        <w:t xml:space="preserve">” </w:t>
      </w:r>
      <w:r w:rsidR="00230B7B">
        <w:t>and he can overcome any affirmative defense Susan has raised</w:t>
      </w:r>
      <w:r w:rsidR="00053657">
        <w:t>.</w:t>
      </w:r>
      <w:r w:rsidRPr="00EA15C2" w:rsidR="00053657">
        <w:t xml:space="preserve"> </w:t>
      </w:r>
      <w:r w:rsidR="00053657">
        <w:t xml:space="preserve"> </w:t>
      </w:r>
      <w:r w:rsidRPr="00EA15C2" w:rsidR="00053657">
        <w:t>(</w:t>
      </w:r>
      <w:r w:rsidRPr="00AB6B81" w:rsidR="00053657">
        <w:rPr>
          <w:i/>
          <w:iCs/>
        </w:rPr>
        <w:t>Laker</w:t>
      </w:r>
      <w:r w:rsidRPr="00AB6B81" w:rsidR="00053657">
        <w:t xml:space="preserve">, </w:t>
      </w:r>
      <w:r w:rsidRPr="00AB6B81" w:rsidR="00053657">
        <w:rPr>
          <w:i/>
          <w:iCs/>
        </w:rPr>
        <w:t>supra</w:t>
      </w:r>
      <w:r w:rsidRPr="00AB6B81" w:rsidR="00053657">
        <w:t>,</w:t>
      </w:r>
      <w:r w:rsidRPr="00AB6B81" w:rsidR="00053657">
        <w:rPr>
          <w:i/>
          <w:iCs/>
        </w:rPr>
        <w:t xml:space="preserve"> </w:t>
      </w:r>
      <w:r w:rsidRPr="00AB6B81" w:rsidR="00053657">
        <w:t>32 Cal.App.5th at p. 760</w:t>
      </w:r>
      <w:r w:rsidR="00230B7B">
        <w:t xml:space="preserve">; </w:t>
      </w:r>
      <w:r w:rsidRPr="00810780" w:rsidR="00230B7B">
        <w:rPr>
          <w:i/>
          <w:iCs/>
        </w:rPr>
        <w:t>Dziubla v. Piazza</w:t>
      </w:r>
      <w:r w:rsidR="00230B7B">
        <w:t xml:space="preserve"> (2020) 59 Cal.App.5th 140, 154</w:t>
      </w:r>
      <w:r w:rsidRPr="00EA15C2" w:rsidR="00053657">
        <w:t>.)</w:t>
      </w:r>
      <w:r w:rsidR="00053657">
        <w:t xml:space="preserve">  </w:t>
      </w:r>
    </w:p>
    <w:p w:rsidR="00230B7B" w:rsidP="00683185" w14:paraId="081AC9F3" w14:textId="74078D69">
      <w:r>
        <w:t>A</w:t>
      </w:r>
      <w:r w:rsidR="00E33D5C">
        <w:t xml:space="preserve"> plaintiff cannot show a probability of prevailing on the merits for anti-SLAPP purposes where the claim is barred by the litigation privilege codified in Civil Code section 47.  (</w:t>
      </w:r>
      <w:r w:rsidRPr="00E33D5C" w:rsidR="00E33D5C">
        <w:rPr>
          <w:i/>
          <w:iCs/>
        </w:rPr>
        <w:t>Flickinger v. Finwall</w:t>
      </w:r>
      <w:r w:rsidR="00E33D5C">
        <w:t xml:space="preserve"> (2022) 85 Cal.App.5th 822, 840.)  </w:t>
      </w:r>
      <w:r>
        <w:t>Susan asserts that the litigation privilege applies and prevents Robert from making the showing required at the second step</w:t>
      </w:r>
      <w:r w:rsidR="00EA31F5">
        <w:t xml:space="preserve"> of the anti-SLAPP analysis</w:t>
      </w:r>
      <w:r>
        <w:t>.</w:t>
      </w:r>
      <w:r w:rsidR="00E33D5C">
        <w:t xml:space="preserve"> </w:t>
      </w:r>
      <w:r>
        <w:t xml:space="preserve"> She maintains that her protected e-mails “were not domestic violence” because they come within the litigation privilege, and “[a] litigant has </w:t>
      </w:r>
      <w:r w:rsidR="00424860">
        <w:t xml:space="preserve">[a] </w:t>
      </w:r>
      <w:r>
        <w:t>free speech right</w:t>
      </w:r>
      <w:r>
        <w:rPr>
          <w:i/>
          <w:iCs/>
        </w:rPr>
        <w:t xml:space="preserve"> </w:t>
      </w:r>
      <w:r>
        <w:t>to speak forcefully and potently to the opposing litigant.”  She argues that her e-mails were “</w:t>
      </w:r>
      <w:r w:rsidRPr="00683185">
        <w:t xml:space="preserve">designed to </w:t>
      </w:r>
      <w:r>
        <w:t>‘</w:t>
      </w:r>
      <w:r w:rsidRPr="00683185">
        <w:t>get under the skin</w:t>
      </w:r>
      <w:r>
        <w:t>’</w:t>
      </w:r>
      <w:r w:rsidRPr="00683185">
        <w:t xml:space="preserve"> of the opposing litigant</w:t>
      </w:r>
      <w:r>
        <w:t>” and asserts that “</w:t>
      </w:r>
      <w:r w:rsidRPr="00683185">
        <w:t>litigation communication has that prick purpose – to make the opponent uncomfortable</w:t>
      </w:r>
      <w:r>
        <w:t>” and promote settlement efforts.</w:t>
      </w:r>
      <w:r w:rsidRPr="00683185">
        <w:t xml:space="preserve"> </w:t>
      </w:r>
      <w:r>
        <w:t xml:space="preserve"> </w:t>
      </w:r>
    </w:p>
    <w:p w:rsidR="00683185" w:rsidP="00683185" w14:paraId="43C22B63" w14:textId="2B860452">
      <w:r>
        <w:t xml:space="preserve">Robert </w:t>
      </w:r>
      <w:r w:rsidR="005A014A">
        <w:t>disagrees</w:t>
      </w:r>
      <w:r>
        <w:t>.  He disputes Susan’s assertion of the litigation privilege, maintains that e-mails that qualify as “abuse” under the DVPA are not privileged, and points out that the California Supreme Court has recognized “</w:t>
      </w:r>
      <w:r w:rsidRPr="00557E1C">
        <w:t>exceptions to the litigation privilege based on irreconcilable conflicts between the privilege and other co-equal state laws.</w:t>
      </w:r>
      <w:r>
        <w:t>”  (</w:t>
      </w:r>
      <w:r w:rsidRPr="00A4005D">
        <w:rPr>
          <w:i/>
          <w:iCs/>
        </w:rPr>
        <w:t>Action Apartment</w:t>
      </w:r>
      <w:r>
        <w:t xml:space="preserve">, </w:t>
      </w:r>
      <w:r>
        <w:rPr>
          <w:i/>
          <w:iCs/>
        </w:rPr>
        <w:t>supra</w:t>
      </w:r>
      <w:r>
        <w:t>,</w:t>
      </w:r>
      <w:r w:rsidRPr="00A4005D">
        <w:rPr>
          <w:i/>
          <w:iCs/>
        </w:rPr>
        <w:t xml:space="preserve"> </w:t>
      </w:r>
      <w:r>
        <w:t xml:space="preserve">41 Cal.4th at p. 1247.)  </w:t>
      </w:r>
      <w:r w:rsidR="00123612">
        <w:t xml:space="preserve">Robert contends that the repetitive, harassing, </w:t>
      </w:r>
      <w:r w:rsidR="0047339B">
        <w:t xml:space="preserve">and </w:t>
      </w:r>
      <w:r w:rsidR="00123612">
        <w:t xml:space="preserve">irrelevant nature of the e-mails places them within the intended purview of the DVPA’s “disturbing the peace” provision. </w:t>
      </w:r>
      <w:r w:rsidR="0047339B">
        <w:t xml:space="preserve"> </w:t>
      </w:r>
      <w:r w:rsidR="00123612">
        <w:t xml:space="preserve">(Fam. Code, §§ 6203, subd. (a)(4), 6320, subd. (a).)  </w:t>
      </w:r>
      <w:r>
        <w:t>Since the DVPA is narrower than the generally applicable litigation privilege under Civil Code section 47, Robert argues his legal and factual showing in support of a claim for a DVPA restraining order is sufficient to carry his burden.</w:t>
      </w:r>
      <w:r w:rsidR="0047339B">
        <w:t xml:space="preserve"> </w:t>
      </w:r>
      <w:r>
        <w:t xml:space="preserve"> </w:t>
      </w:r>
    </w:p>
    <w:p w:rsidR="00683185" w:rsidRPr="00501A15" w:rsidP="00501A15" w14:paraId="0B0740A5" w14:textId="6E5D3613">
      <w:r>
        <w:t xml:space="preserve">We reject the proposition that because Susan’s </w:t>
      </w:r>
      <w:r w:rsidR="00884B39">
        <w:t xml:space="preserve">second </w:t>
      </w:r>
      <w:r>
        <w:t>July 1,</w:t>
      </w:r>
      <w:r w:rsidR="00884B39">
        <w:t xml:space="preserve"> July </w:t>
      </w:r>
      <w:r>
        <w:t>2</w:t>
      </w:r>
      <w:r w:rsidR="005A6303">
        <w:t>,</w:t>
      </w:r>
      <w:r>
        <w:t xml:space="preserve"> and </w:t>
      </w:r>
      <w:r w:rsidR="00E10BC7">
        <w:t xml:space="preserve">July </w:t>
      </w:r>
      <w:r>
        <w:t>7 e</w:t>
      </w:r>
      <w:r w:rsidR="005A6303">
        <w:t>-</w:t>
      </w:r>
      <w:r>
        <w:t xml:space="preserve">mails, broadly construed, come within section 425.16(e)(2) at the first step of the anti-SLAPP analysis, the litigation privilege necessarily </w:t>
      </w:r>
      <w:r w:rsidR="005A014A">
        <w:t>applies</w:t>
      </w:r>
      <w:r>
        <w:t>.</w:t>
      </w:r>
      <w:r w:rsidR="00430F62">
        <w:t xml:space="preserve">  </w:t>
      </w:r>
      <w:r w:rsidR="00501A15">
        <w:t>“[A]</w:t>
      </w:r>
      <w:r w:rsidRPr="00501A15" w:rsidR="00501A15">
        <w:t xml:space="preserve">cts falling within the anti-SLAPP statute because of their connection with judicial proceedings do not </w:t>
      </w:r>
      <w:r w:rsidR="00501A15">
        <w:t>‘</w:t>
      </w:r>
      <w:r w:rsidRPr="00501A15" w:rsidR="00501A15">
        <w:t>inevitably</w:t>
      </w:r>
      <w:r w:rsidR="00501A15">
        <w:t>’</w:t>
      </w:r>
      <w:r w:rsidRPr="00501A15" w:rsidR="00501A15">
        <w:t xml:space="preserve"> fall within the litigation privilege.</w:t>
      </w:r>
      <w:r w:rsidR="00662018">
        <w:t xml:space="preserve"> </w:t>
      </w:r>
      <w:r w:rsidRPr="00501A15" w:rsidR="00501A15">
        <w:t xml:space="preserve"> (</w:t>
      </w:r>
      <w:r w:rsidRPr="00501A15" w:rsidR="00501A15">
        <w:rPr>
          <w:i/>
          <w:iCs/>
        </w:rPr>
        <w:t>Crossroads Investors, L.P. v. Federal National Mortgage Assn.</w:t>
      </w:r>
      <w:r w:rsidR="00501A15">
        <w:t xml:space="preserve"> (2017) 13 Cal.App.5th 757, 787 (</w:t>
      </w:r>
      <w:r w:rsidR="00501A15">
        <w:rPr>
          <w:i/>
          <w:iCs/>
        </w:rPr>
        <w:t>Crossroads</w:t>
      </w:r>
      <w:r w:rsidR="00501A15">
        <w:t xml:space="preserve">); see </w:t>
      </w:r>
      <w:r w:rsidRPr="00501A15" w:rsidR="00501A15">
        <w:rPr>
          <w:i/>
          <w:iCs/>
        </w:rPr>
        <w:t>Navellier v. Sletten</w:t>
      </w:r>
      <w:r w:rsidRPr="00501A15" w:rsidR="00501A15">
        <w:t xml:space="preserve"> (2003) 106 Cal.App.4th 763, 770</w:t>
      </w:r>
      <w:r w:rsidR="002C76AF">
        <w:t xml:space="preserve"> [rejecting the presumption “t</w:t>
      </w:r>
      <w:r w:rsidRPr="002C76AF" w:rsidR="002C76AF">
        <w:t>hat acts falling within the anti-SLAPP statute because of their connection with judicial proceedings also inevitably fall within the litigation privilege</w:t>
      </w:r>
      <w:r w:rsidR="002C76AF">
        <w:t>”]</w:t>
      </w:r>
      <w:r w:rsidRPr="00501A15" w:rsidR="00501A15">
        <w:t xml:space="preserve">.) </w:t>
      </w:r>
    </w:p>
    <w:p w:rsidR="008C0527" w:rsidP="00683185" w14:paraId="329FF5E2" w14:textId="17D7FE96">
      <w:r>
        <w:t>While</w:t>
      </w:r>
      <w:r w:rsidR="00683185">
        <w:t xml:space="preserve"> the litigation privilege is relevant to construing the</w:t>
      </w:r>
      <w:r w:rsidRPr="00CF7301" w:rsidR="00683185">
        <w:t xml:space="preserve"> scope of </w:t>
      </w:r>
      <w:r w:rsidR="00683185">
        <w:t>section 425.16(e)(1) and (2)</w:t>
      </w:r>
      <w:r>
        <w:t>, the statutes</w:t>
      </w:r>
      <w:r w:rsidR="00683185">
        <w:t xml:space="preserve"> are not coextensive and serve </w:t>
      </w:r>
      <w:r w:rsidR="00780669">
        <w:t>different</w:t>
      </w:r>
      <w:r w:rsidR="00683185">
        <w:t xml:space="preserve"> purposes.  </w:t>
      </w:r>
      <w:r w:rsidR="00123612">
        <w:t>(</w:t>
      </w:r>
      <w:r w:rsidR="00123612">
        <w:rPr>
          <w:i/>
          <w:iCs/>
        </w:rPr>
        <w:t>Flatley</w:t>
      </w:r>
      <w:r w:rsidR="00123612">
        <w:t xml:space="preserve">, </w:t>
      </w:r>
      <w:r w:rsidR="00123612">
        <w:rPr>
          <w:i/>
          <w:iCs/>
        </w:rPr>
        <w:t>supra</w:t>
      </w:r>
      <w:r w:rsidR="00123612">
        <w:t xml:space="preserve">, 39 Cal.4th at </w:t>
      </w:r>
      <w:r w:rsidR="00683185">
        <w:t>p. 324.)  “Section 47 establishes a privilege that bars liability in tort for the making of certain statements.”  (</w:t>
      </w:r>
      <w:r w:rsidRPr="00615610" w:rsidR="00683185">
        <w:rPr>
          <w:i/>
          <w:iCs/>
        </w:rPr>
        <w:t>Hagberg v. California Federal Bank</w:t>
      </w:r>
      <w:r w:rsidR="00683185">
        <w:t xml:space="preserve"> (2004) 32 Cal.4th 350, 360.)  </w:t>
      </w:r>
      <w:r w:rsidRPr="005F37C6" w:rsidR="00683185">
        <w:t xml:space="preserve">The litigation privilege </w:t>
      </w:r>
      <w:r w:rsidR="00683185">
        <w:t>“</w:t>
      </w:r>
      <w:r w:rsidRPr="005F37C6" w:rsidR="00683185">
        <w:t>serves broad goals of guaranteeing access to the judicial process, promoting the zealous representation by counsel of their clients, and reinforcing the traditional function of the trial as the engine for the determination of truth.</w:t>
      </w:r>
      <w:r w:rsidR="00683185">
        <w:t>”  (</w:t>
      </w:r>
      <w:r w:rsidR="00683185">
        <w:rPr>
          <w:i/>
          <w:iCs/>
        </w:rPr>
        <w:t>Flatley</w:t>
      </w:r>
      <w:r w:rsidR="00683185">
        <w:t>, at p. 324.)  It affords litigants “</w:t>
      </w:r>
      <w:r w:rsidR="00E10BC7">
        <w:t xml:space="preserve"> ‘</w:t>
      </w:r>
      <w:r w:rsidRPr="005F37C6" w:rsidR="00683185">
        <w:t>the utmost freedom of access to the courts without fear of being harassed subsequently by derivative tort actions.</w:t>
      </w:r>
      <w:r w:rsidR="00E10BC7">
        <w:t xml:space="preserve">’ </w:t>
      </w:r>
      <w:r w:rsidRPr="005F37C6" w:rsidR="00683185">
        <w:t>”</w:t>
      </w:r>
      <w:r w:rsidR="00683185">
        <w:t xml:space="preserve">  (</w:t>
      </w:r>
      <w:r w:rsidR="00683185">
        <w:rPr>
          <w:i/>
          <w:iCs/>
        </w:rPr>
        <w:t>Id</w:t>
      </w:r>
      <w:r w:rsidR="00683185">
        <w:t xml:space="preserve">. at p. 321.)  </w:t>
      </w:r>
    </w:p>
    <w:p w:rsidR="009C168B" w:rsidP="00810780" w14:paraId="4B2EAEE1" w14:textId="03312819">
      <w:r>
        <w:t>The litigation privilege, however, does not apply in the face of more specific statutes.  Courts have applied this principle to conclude that “the litigation privilege does not bar an action filed under a more specific statute when application of the privilege would render the specific provision ‘significantly or wholly inoperable.’ ”  (</w:t>
      </w:r>
      <w:r w:rsidRPr="0044798B">
        <w:rPr>
          <w:i/>
          <w:iCs/>
        </w:rPr>
        <w:t>People ex rel. Alzayat v. Hebb</w:t>
      </w:r>
      <w:r>
        <w:t xml:space="preserve"> (2017) 18 Cal.App.5th 801, 808, quoting </w:t>
      </w:r>
      <w:r w:rsidRPr="0044798B">
        <w:rPr>
          <w:i/>
          <w:iCs/>
        </w:rPr>
        <w:t>Action Apartment</w:t>
      </w:r>
      <w:r>
        <w:t xml:space="preserve">, </w:t>
      </w:r>
      <w:r w:rsidR="00884B39">
        <w:rPr>
          <w:i/>
          <w:iCs/>
        </w:rPr>
        <w:t>supra</w:t>
      </w:r>
      <w:r w:rsidR="00884B39">
        <w:t>,</w:t>
      </w:r>
      <w:r w:rsidRPr="00A4005D" w:rsidR="00884B39">
        <w:rPr>
          <w:i/>
          <w:iCs/>
        </w:rPr>
        <w:t xml:space="preserve"> </w:t>
      </w:r>
      <w:r w:rsidR="00884B39">
        <w:t xml:space="preserve">41 Cal.4th </w:t>
      </w:r>
      <w:r>
        <w:t xml:space="preserve">at p. 1246.) </w:t>
      </w:r>
      <w:r w:rsidR="00884B39">
        <w:t xml:space="preserve"> </w:t>
      </w:r>
      <w:r>
        <w:t xml:space="preserve">For example, the litigation </w:t>
      </w:r>
      <w:r w:rsidR="008C7D6C">
        <w:t xml:space="preserve">privilege </w:t>
      </w:r>
      <w:r>
        <w:t>has been found inapplicable to</w:t>
      </w:r>
      <w:r w:rsidR="00EF58B3">
        <w:t xml:space="preserve"> crimes like perjury</w:t>
      </w:r>
      <w:r w:rsidR="008A3DEA">
        <w:t>,</w:t>
      </w:r>
      <w:r w:rsidR="00EF58B3">
        <w:t xml:space="preserve"> false report of a criminal </w:t>
      </w:r>
      <w:r w:rsidR="00BE3756">
        <w:t>offense</w:t>
      </w:r>
      <w:r w:rsidR="008A3DEA">
        <w:t xml:space="preserve">, and </w:t>
      </w:r>
      <w:r w:rsidRPr="008A3DEA" w:rsidR="008A3DEA">
        <w:t>attorney solicitation through the use of “</w:t>
      </w:r>
      <w:r w:rsidR="00BE58D0">
        <w:t xml:space="preserve"> ‘ “</w:t>
      </w:r>
      <w:r w:rsidRPr="008A3DEA" w:rsidR="008A3DEA">
        <w:t>runners</w:t>
      </w:r>
      <w:r w:rsidR="00BE58D0">
        <w:t xml:space="preserve">” ’ </w:t>
      </w:r>
      <w:r w:rsidRPr="008A3DEA" w:rsidR="008A3DEA">
        <w:t>” or “</w:t>
      </w:r>
      <w:r w:rsidR="00BE58D0">
        <w:t xml:space="preserve"> ‘ “</w:t>
      </w:r>
      <w:r w:rsidRPr="008A3DEA" w:rsidR="008A3DEA">
        <w:t>cappers</w:t>
      </w:r>
      <w:r w:rsidR="00BE58D0">
        <w:t xml:space="preserve">” ’ </w:t>
      </w:r>
      <w:r w:rsidRPr="008A3DEA" w:rsidR="008A3DEA">
        <w:t xml:space="preserve">” </w:t>
      </w:r>
      <w:r w:rsidR="00BE58D0">
        <w:t>(</w:t>
      </w:r>
      <w:r w:rsidRPr="00A4005D" w:rsidR="00BE58D0">
        <w:rPr>
          <w:i/>
          <w:iCs/>
        </w:rPr>
        <w:t>Action Apartment</w:t>
      </w:r>
      <w:r w:rsidR="00BE58D0">
        <w:t xml:space="preserve">, at p. 1246), </w:t>
      </w:r>
      <w:r w:rsidR="008A3DEA">
        <w:t>due to</w:t>
      </w:r>
      <w:r w:rsidR="00BE3756">
        <w:t xml:space="preserve"> </w:t>
      </w:r>
      <w:r w:rsidR="00451001">
        <w:t>“</w:t>
      </w:r>
      <w:r w:rsidRPr="00CD1EC7" w:rsidR="00451001">
        <w:t>irreconcilable conflicts between the privilege and other co-equal state laws</w:t>
      </w:r>
      <w:r w:rsidR="00451001">
        <w:t>.”  (</w:t>
      </w:r>
      <w:r w:rsidR="00BE58D0">
        <w:rPr>
          <w:i/>
          <w:iCs/>
        </w:rPr>
        <w:t>Id</w:t>
      </w:r>
      <w:r w:rsidRPr="004777DB" w:rsidR="00BE58D0">
        <w:t>.</w:t>
      </w:r>
      <w:r w:rsidR="00451001">
        <w:t xml:space="preserve"> at p. 1247.)  These exceptions </w:t>
      </w:r>
      <w:r w:rsidR="00AF025D">
        <w:t>are</w:t>
      </w:r>
      <w:r w:rsidR="00451001">
        <w:t xml:space="preserve"> “</w:t>
      </w:r>
      <w:r w:rsidRPr="00F6464B" w:rsidR="00451001">
        <w:t xml:space="preserve">guided by the </w:t>
      </w:r>
      <w:r w:rsidR="00451001">
        <w:t>‘</w:t>
      </w:r>
      <w:r w:rsidRPr="00F6464B" w:rsidR="00451001">
        <w:t>rule of statutory construction that particular provisions will prevail over general provisions.</w:t>
      </w:r>
      <w:r w:rsidR="00451001">
        <w:t>’ </w:t>
      </w:r>
      <w:r w:rsidRPr="00F6464B" w:rsidR="00451001">
        <w:t>”</w:t>
      </w:r>
      <w:r w:rsidR="00451001">
        <w:t xml:space="preserve">  (</w:t>
      </w:r>
      <w:r w:rsidR="00451001">
        <w:rPr>
          <w:i/>
          <w:iCs/>
        </w:rPr>
        <w:t>Id</w:t>
      </w:r>
      <w:r w:rsidR="00451001">
        <w:t xml:space="preserve">. at p. 1246.)  </w:t>
      </w:r>
      <w:r w:rsidR="00AF025D">
        <w:t>The</w:t>
      </w:r>
      <w:r w:rsidR="00451001">
        <w:t xml:space="preserve"> statutes for the crimes excepted from the privilege “</w:t>
      </w:r>
      <w:r w:rsidRPr="00B077C9" w:rsidR="00451001">
        <w:t xml:space="preserve">would be significantly or wholly inoperable if </w:t>
      </w:r>
      <w:r w:rsidR="00884B39">
        <w:t>[their]</w:t>
      </w:r>
      <w:r w:rsidRPr="00B077C9" w:rsidR="00884B39">
        <w:t xml:space="preserve"> </w:t>
      </w:r>
      <w:r w:rsidRPr="00B077C9" w:rsidR="00451001">
        <w:t>enforcement were barred when in conflict with the privilege</w:t>
      </w:r>
      <w:r w:rsidR="00451001">
        <w:t>.”  (</w:t>
      </w:r>
      <w:r w:rsidR="00451001">
        <w:rPr>
          <w:i/>
          <w:iCs/>
        </w:rPr>
        <w:t>Ibid</w:t>
      </w:r>
      <w:r w:rsidR="00451001">
        <w:t>.)</w:t>
      </w:r>
      <w:r w:rsidRPr="000B0DBB" w:rsidR="000B0DBB">
        <w:t xml:space="preserve"> </w:t>
      </w:r>
      <w:r w:rsidR="000B0DBB">
        <w:t xml:space="preserve"> </w:t>
      </w:r>
    </w:p>
    <w:p w:rsidR="000B0DBB" w:rsidP="00E0568A" w14:paraId="7F49FA79" w14:textId="09306FCA">
      <w:r>
        <w:t xml:space="preserve">Robert </w:t>
      </w:r>
      <w:r w:rsidR="00EA31F5">
        <w:t xml:space="preserve">appears to argue that any e-mails that constitute protected conduct are </w:t>
      </w:r>
      <w:r>
        <w:t>not privileged because they constitute abuse under the DVPA.</w:t>
      </w:r>
      <w:r w:rsidR="003B590F">
        <w:t xml:space="preserve"> </w:t>
      </w:r>
      <w:r>
        <w:t xml:space="preserve"> </w:t>
      </w:r>
      <w:r w:rsidR="009C168B">
        <w:t>We disagree with this statement as a general principle of law</w:t>
      </w:r>
      <w:r>
        <w:t>.</w:t>
      </w:r>
      <w:r w:rsidR="003B590F">
        <w:t xml:space="preserve"> </w:t>
      </w:r>
      <w:r>
        <w:t xml:space="preserve"> </w:t>
      </w:r>
      <w:r w:rsidR="009C168B">
        <w:t>T</w:t>
      </w:r>
      <w:r w:rsidR="00683185">
        <w:t xml:space="preserve">he statutory </w:t>
      </w:r>
      <w:r w:rsidR="00451001">
        <w:t>authority</w:t>
      </w:r>
      <w:r w:rsidR="00683185">
        <w:t xml:space="preserve"> for </w:t>
      </w:r>
      <w:r w:rsidR="00780669">
        <w:t xml:space="preserve">issuance of </w:t>
      </w:r>
      <w:r w:rsidR="00683185">
        <w:t xml:space="preserve">a domestic violence restraining order under the DVPA </w:t>
      </w:r>
      <w:r w:rsidR="00430F62">
        <w:t xml:space="preserve">does not </w:t>
      </w:r>
      <w:r w:rsidR="00CF2C07">
        <w:t xml:space="preserve">generally </w:t>
      </w:r>
      <w:r w:rsidR="00430F62">
        <w:t>present</w:t>
      </w:r>
      <w:r w:rsidR="008B3A77">
        <w:t xml:space="preserve"> an</w:t>
      </w:r>
      <w:r w:rsidR="00683185">
        <w:t xml:space="preserve"> “</w:t>
      </w:r>
      <w:r w:rsidRPr="00492DB0" w:rsidR="00683185">
        <w:t>irreconcilable conflict</w:t>
      </w:r>
      <w:r w:rsidR="00780669">
        <w:t>[]</w:t>
      </w:r>
      <w:r w:rsidR="00683185">
        <w:t xml:space="preserve">” </w:t>
      </w:r>
      <w:r w:rsidR="00780669">
        <w:t>with</w:t>
      </w:r>
      <w:r w:rsidRPr="00492DB0" w:rsidR="00683185">
        <w:t xml:space="preserve"> the </w:t>
      </w:r>
      <w:r w:rsidR="00780669">
        <w:t xml:space="preserve">litigation </w:t>
      </w:r>
      <w:r w:rsidRPr="00492DB0" w:rsidR="00683185">
        <w:t>privilege</w:t>
      </w:r>
      <w:r w:rsidR="00CF2C07">
        <w:t xml:space="preserve">. </w:t>
      </w:r>
      <w:r w:rsidR="008B3A77">
        <w:t xml:space="preserve"> </w:t>
      </w:r>
      <w:r w:rsidR="00683185">
        <w:t>(</w:t>
      </w:r>
      <w:r w:rsidRPr="00A4005D" w:rsidR="00683185">
        <w:rPr>
          <w:i/>
          <w:iCs/>
        </w:rPr>
        <w:t>Action Apartment</w:t>
      </w:r>
      <w:r w:rsidR="00683185">
        <w:t xml:space="preserve">, </w:t>
      </w:r>
      <w:r w:rsidR="00683185">
        <w:rPr>
          <w:i/>
          <w:iCs/>
        </w:rPr>
        <w:t>supra</w:t>
      </w:r>
      <w:r w:rsidR="00683185">
        <w:t>,</w:t>
      </w:r>
      <w:r w:rsidRPr="00A4005D" w:rsidR="00683185">
        <w:rPr>
          <w:i/>
          <w:iCs/>
        </w:rPr>
        <w:t xml:space="preserve"> </w:t>
      </w:r>
      <w:r w:rsidR="00683185">
        <w:t>41 Cal.4th at p. 1247</w:t>
      </w:r>
      <w:r w:rsidR="00CF2C07">
        <w:t>.</w:t>
      </w:r>
      <w:r w:rsidR="00683185">
        <w:t>)</w:t>
      </w:r>
      <w:r w:rsidR="00CF2C07">
        <w:t xml:space="preserve">  N</w:t>
      </w:r>
      <w:r w:rsidR="008B3A77">
        <w:t xml:space="preserve">or does there appear to be any categorical exclusion from the </w:t>
      </w:r>
      <w:r w:rsidR="004D34F2">
        <w:t xml:space="preserve">litigation </w:t>
      </w:r>
      <w:r w:rsidR="008B3A77">
        <w:t>privilege for domestic violence restraining order claims.</w:t>
      </w:r>
      <w:r w:rsidRPr="00E74E08" w:rsidR="008B3A77">
        <w:rPr>
          <w:b/>
          <w:bCs/>
        </w:rPr>
        <w:t xml:space="preserve"> </w:t>
      </w:r>
      <w:r w:rsidR="008B3A77">
        <w:t xml:space="preserve"> </w:t>
      </w:r>
      <w:r>
        <w:t xml:space="preserve">Nevertheless, we agree </w:t>
      </w:r>
      <w:r w:rsidR="007B1015">
        <w:t xml:space="preserve">with Robert </w:t>
      </w:r>
      <w:r>
        <w:t xml:space="preserve">that </w:t>
      </w:r>
      <w:r w:rsidR="009C168B">
        <w:t>the litigation privilege does not apply on these facts</w:t>
      </w:r>
      <w:r>
        <w:t xml:space="preserve">.  </w:t>
      </w:r>
    </w:p>
    <w:p w:rsidR="00575862" w:rsidP="000B0DBB" w14:paraId="0188891F" w14:textId="0F72F349">
      <w:r>
        <w:t xml:space="preserve">Robert’s petition for domestic violence restraining order </w:t>
      </w:r>
      <w:r w:rsidR="00E0568A">
        <w:t>does not seek liability in tort</w:t>
      </w:r>
      <w:r w:rsidR="00FA1D98">
        <w:t xml:space="preserve"> but invokes the narrow statutory protection afforded by the DVPA</w:t>
      </w:r>
      <w:r w:rsidR="00E0568A">
        <w:t xml:space="preserve">.  </w:t>
      </w:r>
      <w:r w:rsidR="009C168B">
        <w:t xml:space="preserve">As </w:t>
      </w:r>
      <w:r>
        <w:t xml:space="preserve">in other contexts involving non-tort claims, we consider whether application of the privilege in this case furthers the purposes behind it based on the underlying facts.  (See, e.g., </w:t>
      </w:r>
      <w:r w:rsidRPr="005418C5">
        <w:rPr>
          <w:i/>
          <w:iCs/>
        </w:rPr>
        <w:t>Timothy W. v. Julie W.</w:t>
      </w:r>
      <w:r>
        <w:t xml:space="preserve"> (2022) 85 Cal.App.5th 648, </w:t>
      </w:r>
      <w:r w:rsidR="008137EE">
        <w:t xml:space="preserve">663–664 </w:t>
      </w:r>
      <w:r>
        <w:t>[noting that “[b]</w:t>
      </w:r>
      <w:r w:rsidRPr="005418C5">
        <w:t xml:space="preserve">reach of contract claims are not categorically excluded from the </w:t>
      </w:r>
      <w:r>
        <w:t xml:space="preserve">[litigation] </w:t>
      </w:r>
      <w:r w:rsidRPr="005418C5">
        <w:t>privilege</w:t>
      </w:r>
      <w:r>
        <w:t>”</w:t>
      </w:r>
      <w:r w:rsidR="008137EE">
        <w:t xml:space="preserve"> </w:t>
      </w:r>
      <w:r>
        <w:t>and examining “</w:t>
      </w:r>
      <w:r w:rsidRPr="005418C5">
        <w:t>whether the privilege furthers the purposes behind it based on the underlying facts</w:t>
      </w:r>
      <w:r>
        <w:t xml:space="preserve">”]; accord, </w:t>
      </w:r>
      <w:r w:rsidRPr="00430F62">
        <w:rPr>
          <w:i/>
          <w:iCs/>
        </w:rPr>
        <w:t>Wentland v. Wass</w:t>
      </w:r>
      <w:r>
        <w:t xml:space="preserve"> (2005) 126 Cal.App.4th 1484, 1492; </w:t>
      </w:r>
      <w:r w:rsidRPr="00430F62">
        <w:rPr>
          <w:i/>
          <w:iCs/>
        </w:rPr>
        <w:t>McNair v. City and County of San Francisco</w:t>
      </w:r>
      <w:r>
        <w:t xml:space="preserve"> (2016) 5 Cal.App.5th 1154, 1169–1170; see also </w:t>
      </w:r>
      <w:r w:rsidRPr="00CD069B">
        <w:rPr>
          <w:i/>
          <w:iCs/>
        </w:rPr>
        <w:t>Olson v. Doe</w:t>
      </w:r>
      <w:r>
        <w:t xml:space="preserve"> (2022) 12 Cal.5th 669, 687 [declining to reach the issue of “under what circumstances the litigation privilege of Civil Code section 47, subdivision (b) applies to contract claims”].)</w:t>
      </w:r>
    </w:p>
    <w:p w:rsidR="009C168B" w:rsidP="00810780" w14:paraId="499EA56B" w14:textId="6039B71D">
      <w:pPr>
        <w:ind w:firstLine="0"/>
      </w:pPr>
      <w:r>
        <w:tab/>
      </w:r>
      <w:r w:rsidR="000B0DBB">
        <w:t xml:space="preserve">A court may issue a restraining order under the DVPA based on </w:t>
      </w:r>
      <w:r w:rsidRPr="00A06D7D" w:rsidR="000B0DBB">
        <w:t xml:space="preserve">an affidavit or testimony </w:t>
      </w:r>
      <w:r w:rsidR="000B0DBB">
        <w:t>that “shows,</w:t>
      </w:r>
      <w:r w:rsidRPr="00A06D7D" w:rsidR="000B0DBB">
        <w:t xml:space="preserve"> to the satisfaction of the court</w:t>
      </w:r>
      <w:r w:rsidR="000B0DBB">
        <w:t>, reasonable proof of a past act or acts of abuse.”  (Fam. Code, § 6300</w:t>
      </w:r>
      <w:r w:rsidR="004E6DB9">
        <w:t>, subd. (a)</w:t>
      </w:r>
      <w:r w:rsidR="000B0DBB">
        <w:t>.)  The burden of proof is preponderance of the evidence.  (</w:t>
      </w:r>
      <w:r w:rsidRPr="00AD558E" w:rsidR="000B0DBB">
        <w:rPr>
          <w:i/>
          <w:iCs/>
        </w:rPr>
        <w:t>Curcio v. Pels</w:t>
      </w:r>
      <w:r w:rsidR="000B0DBB">
        <w:t xml:space="preserve"> (2020) 47 Cal.App.5th 1, 11 (</w:t>
      </w:r>
      <w:r w:rsidR="000B0DBB">
        <w:rPr>
          <w:i/>
          <w:iCs/>
        </w:rPr>
        <w:t>Curcio</w:t>
      </w:r>
      <w:r w:rsidR="000B0DBB">
        <w:t>).)  For purposes of the DVPA, “</w:t>
      </w:r>
      <w:r w:rsidR="004E6DB9">
        <w:t xml:space="preserve"> ‘</w:t>
      </w:r>
      <w:r w:rsidR="000B0DBB">
        <w:t>abuse</w:t>
      </w:r>
      <w:r w:rsidR="004E6DB9">
        <w:t xml:space="preserve">’ </w:t>
      </w:r>
      <w:r w:rsidR="000B0DBB">
        <w:t>” includes “c</w:t>
      </w:r>
      <w:r w:rsidRPr="004448EC" w:rsidR="000B0DBB">
        <w:t>ontacting</w:t>
      </w:r>
      <w:r w:rsidR="000B0DBB">
        <w:t xml:space="preserve"> . . .</w:t>
      </w:r>
      <w:r w:rsidRPr="004448EC" w:rsidR="000B0DBB">
        <w:t xml:space="preserve"> or disturbing the peace of the other party</w:t>
      </w:r>
      <w:r w:rsidR="000B0DBB">
        <w:t>.”  (Fam. Code, §§ 6320, subd. (a), 6203, subd. (a)(4).)  “</w:t>
      </w:r>
      <w:r w:rsidR="004E6DB9">
        <w:t xml:space="preserve"> ‘[</w:t>
      </w:r>
      <w:r w:rsidR="000B0DBB">
        <w:t>D</w:t>
      </w:r>
      <w:r w:rsidR="004E6DB9">
        <w:t>]</w:t>
      </w:r>
      <w:r w:rsidR="000B0DBB">
        <w:t>isturbing the peace</w:t>
      </w:r>
      <w:r w:rsidR="004E6DB9">
        <w:t xml:space="preserve">’ </w:t>
      </w:r>
      <w:r w:rsidR="000B0DBB">
        <w:t>” means “</w:t>
      </w:r>
      <w:r w:rsidRPr="004448EC" w:rsidR="000B0DBB">
        <w:t>conduct that, based on the totality of the circumstances, destroys the mental or emotional calm of the other party.</w:t>
      </w:r>
      <w:r w:rsidR="000B0DBB">
        <w:t xml:space="preserve">”  (Fam. Code, § 6320, subd. (c); see </w:t>
      </w:r>
      <w:r w:rsidRPr="001B10E5" w:rsidR="000B0DBB">
        <w:rPr>
          <w:i/>
          <w:iCs/>
        </w:rPr>
        <w:t>In re Marriage of Nadkarni</w:t>
      </w:r>
      <w:r w:rsidR="000B0DBB">
        <w:t xml:space="preserve"> (2009) 173 </w:t>
      </w:r>
      <w:r w:rsidR="004E6DB9">
        <w:t>Cal.App.</w:t>
      </w:r>
      <w:r w:rsidR="000B0DBB">
        <w:t>4th 1483, 1497.)  A court exercises discretion to enjoin contact under the DVPA more liberally than in the civil harassment context.  (</w:t>
      </w:r>
      <w:r w:rsidRPr="00AD558E" w:rsidR="000B0DBB">
        <w:rPr>
          <w:i/>
          <w:iCs/>
        </w:rPr>
        <w:t>Curcio</w:t>
      </w:r>
      <w:r w:rsidR="000B0DBB">
        <w:t xml:space="preserve">, at p. 11; </w:t>
      </w:r>
      <w:r w:rsidRPr="006E0302" w:rsidR="000B0DBB">
        <w:rPr>
          <w:i/>
          <w:iCs/>
        </w:rPr>
        <w:t>Nakamura v. Parker</w:t>
      </w:r>
      <w:r w:rsidR="000B0DBB">
        <w:t xml:space="preserve"> (2007) 156 Cal.App.4th 327, 334.)</w:t>
      </w:r>
      <w:r w:rsidR="00575862">
        <w:tab/>
      </w:r>
    </w:p>
    <w:p w:rsidR="001B7A8D" w:rsidP="003B590F" w14:paraId="1AA2F8F2" w14:textId="50538FE6">
      <w:r>
        <w:t>In this case, the conduct</w:t>
      </w:r>
      <w:r w:rsidR="00C410EB">
        <w:t xml:space="preserve"> that under the DVPA allegedly constitutes “c</w:t>
      </w:r>
      <w:r w:rsidRPr="004448EC" w:rsidR="00C410EB">
        <w:t>ontacting</w:t>
      </w:r>
      <w:r w:rsidR="00C410EB">
        <w:t xml:space="preserve"> . . .</w:t>
      </w:r>
      <w:r w:rsidRPr="004448EC" w:rsidR="00C410EB">
        <w:t xml:space="preserve"> or disturbing the peace of the other party</w:t>
      </w:r>
      <w:r w:rsidR="00C410EB">
        <w:t xml:space="preserve">” (Fam. Code, §§ 6320, subd. (a), 6203, subd. (a)(4)) also arguably constitutes </w:t>
      </w:r>
      <w:r w:rsidRPr="00A4005D" w:rsidR="00C410EB">
        <w:t xml:space="preserve">a </w:t>
      </w:r>
      <w:r w:rsidR="00C410EB">
        <w:t>“</w:t>
      </w:r>
      <w:r w:rsidRPr="00A4005D" w:rsidR="00C410EB">
        <w:t>publication</w:t>
      </w:r>
      <w:r w:rsidR="007317A5">
        <w:t>”</w:t>
      </w:r>
      <w:r w:rsidRPr="00A4005D" w:rsidR="00C410EB">
        <w:t xml:space="preserve"> made as part of a </w:t>
      </w:r>
      <w:r w:rsidR="007317A5">
        <w:t>“</w:t>
      </w:r>
      <w:r w:rsidRPr="00A4005D" w:rsidR="00C410EB">
        <w:t>judicial proceeding” (Civ.</w:t>
      </w:r>
      <w:r w:rsidR="00C410EB">
        <w:t xml:space="preserve"> </w:t>
      </w:r>
      <w:r w:rsidRPr="00A4005D" w:rsidR="00C410EB">
        <w:t>Code, § 47, subd. (b))</w:t>
      </w:r>
      <w:r w:rsidR="00C410EB">
        <w:t xml:space="preserve"> for purposes of the litigation privilege.  However, a</w:t>
      </w:r>
      <w:r w:rsidR="00CA0C21">
        <w:t xml:space="preserve">pplying the litigation privilege </w:t>
      </w:r>
      <w:r w:rsidR="00396F37">
        <w:t>to bar Robert’s DVRO petition</w:t>
      </w:r>
      <w:r w:rsidR="00CA0C21">
        <w:t xml:space="preserve"> </w:t>
      </w:r>
      <w:r w:rsidR="0081047F">
        <w:t xml:space="preserve">based on the four protected e-mails </w:t>
      </w:r>
      <w:r w:rsidR="00CA0C21">
        <w:t xml:space="preserve">would not </w:t>
      </w:r>
      <w:r w:rsidR="00C410EB">
        <w:t xml:space="preserve">advance </w:t>
      </w:r>
      <w:r w:rsidR="00CA0C21">
        <w:t xml:space="preserve">the policies behind </w:t>
      </w:r>
      <w:r w:rsidR="0081047F">
        <w:t>the privilege</w:t>
      </w:r>
      <w:r w:rsidR="00CA0C21">
        <w:t xml:space="preserve">.  As the trial court noted in its ruling, the petition for domestic violence restraining order seeks only to prevent Susan from directly contacting Robert, who is represented by counsel.  It does not </w:t>
      </w:r>
      <w:r w:rsidR="00E0568A">
        <w:t xml:space="preserve">inhibit Susan’s access to judicial determination of her rights with respect to her “seed RICO” claims, </w:t>
      </w:r>
      <w:r w:rsidR="00CA0C21">
        <w:t>restrain her from vigorously pursuing her proposed action in federal court, or from directing legitimate litigation related communications, including settlement overtures, to Robert’s counsel</w:t>
      </w:r>
      <w:r w:rsidR="0070281F">
        <w:t xml:space="preserve"> or other individuals</w:t>
      </w:r>
      <w:r w:rsidR="00CA0C21">
        <w:t>.</w:t>
      </w:r>
      <w:r>
        <w:rPr>
          <w:rStyle w:val="FootnoteReference"/>
        </w:rPr>
        <w:footnoteReference w:id="14"/>
      </w:r>
      <w:r w:rsidR="00CA0C21">
        <w:t xml:space="preserve">  </w:t>
      </w:r>
      <w:r>
        <w:t>In these circumstances</w:t>
      </w:r>
      <w:r w:rsidR="00CA0C21">
        <w:t xml:space="preserve">, </w:t>
      </w:r>
      <w:r w:rsidR="0058655F">
        <w:t xml:space="preserve">applying the privilege would not serve the </w:t>
      </w:r>
      <w:r w:rsidRPr="005F37C6" w:rsidR="00CA0C21">
        <w:t>goal</w:t>
      </w:r>
      <w:r w:rsidR="0058655F">
        <w:t xml:space="preserve"> </w:t>
      </w:r>
      <w:r w:rsidRPr="005F37C6" w:rsidR="00CA0C21">
        <w:t xml:space="preserve">of </w:t>
      </w:r>
      <w:r w:rsidR="0058655F">
        <w:t>“</w:t>
      </w:r>
      <w:r w:rsidRPr="005F37C6" w:rsidR="00CA0C21">
        <w:t>guaranteeing access to the judicial process</w:t>
      </w:r>
      <w:r w:rsidR="0058655F">
        <w:t xml:space="preserve">” </w:t>
      </w:r>
      <w:r w:rsidR="00CA0C21">
        <w:t>(</w:t>
      </w:r>
      <w:r w:rsidR="00CA0C21">
        <w:rPr>
          <w:i/>
          <w:iCs/>
        </w:rPr>
        <w:t>Flatley</w:t>
      </w:r>
      <w:r w:rsidR="00CA0C21">
        <w:t xml:space="preserve">, </w:t>
      </w:r>
      <w:r w:rsidR="00CA0C21">
        <w:rPr>
          <w:i/>
          <w:iCs/>
        </w:rPr>
        <w:t>supra</w:t>
      </w:r>
      <w:r w:rsidR="00CA0C21">
        <w:t>,</w:t>
      </w:r>
      <w:r w:rsidRPr="001105D4" w:rsidR="001105D4">
        <w:t xml:space="preserve"> </w:t>
      </w:r>
      <w:r w:rsidR="001105D4">
        <w:t>39 Cal.4th</w:t>
      </w:r>
      <w:r w:rsidR="00CA0C21">
        <w:t xml:space="preserve"> at p. 324)</w:t>
      </w:r>
      <w:r w:rsidR="0058655F">
        <w:t xml:space="preserve"> because the DVRO does not limit or constrain </w:t>
      </w:r>
      <w:r w:rsidR="001105D4">
        <w:t xml:space="preserve">Susan’s </w:t>
      </w:r>
      <w:r w:rsidR="0058655F">
        <w:t xml:space="preserve">access to those processes.  </w:t>
      </w:r>
    </w:p>
    <w:p w:rsidR="00473952" w:rsidRPr="00EE0B82" w:rsidP="009C168B" w14:paraId="24DE0705" w14:textId="265E3367">
      <w:pPr>
        <w:rPr>
          <w:i/>
          <w:iCs/>
        </w:rPr>
      </w:pPr>
      <w:r>
        <w:t>Further, a</w:t>
      </w:r>
      <w:r w:rsidR="004B2057">
        <w:t>pplication of the litigation privilege</w:t>
      </w:r>
      <w:r w:rsidR="0058655F">
        <w:t xml:space="preserve"> </w:t>
      </w:r>
      <w:r>
        <w:t xml:space="preserve">in this circumstance </w:t>
      </w:r>
      <w:r w:rsidR="0058655F">
        <w:t xml:space="preserve">would </w:t>
      </w:r>
      <w:r w:rsidRPr="003B590F" w:rsidR="0058655F">
        <w:t>defeat</w:t>
      </w:r>
      <w:r w:rsidR="0058655F">
        <w:t xml:space="preserve"> the </w:t>
      </w:r>
      <w:r w:rsidRPr="005F37C6" w:rsidR="0058655F">
        <w:t>goal</w:t>
      </w:r>
      <w:r w:rsidR="0058655F">
        <w:t xml:space="preserve"> </w:t>
      </w:r>
      <w:r w:rsidRPr="005F37C6" w:rsidR="0058655F">
        <w:t>of guaranteeing</w:t>
      </w:r>
      <w:r>
        <w:t xml:space="preserve"> Robert’s</w:t>
      </w:r>
      <w:r w:rsidRPr="005F37C6" w:rsidR="0058655F">
        <w:t xml:space="preserve"> </w:t>
      </w:r>
      <w:r>
        <w:t>access to the courts</w:t>
      </w:r>
      <w:r w:rsidR="0058655F">
        <w:t xml:space="preserve"> by frustrating his ability to </w:t>
      </w:r>
      <w:r>
        <w:t xml:space="preserve">seek a protective order enjoining Susan from </w:t>
      </w:r>
      <w:r w:rsidR="00FA1D98">
        <w:t xml:space="preserve">a course of conduct in which she </w:t>
      </w:r>
      <w:r>
        <w:t>contin</w:t>
      </w:r>
      <w:r w:rsidR="00FA1D98">
        <w:t>ues</w:t>
      </w:r>
      <w:r>
        <w:t xml:space="preserve"> to contact him about the now-final judgment in their marital dissolution </w:t>
      </w:r>
      <w:r w:rsidR="00FA1D98">
        <w:t>under the guise of presaging</w:t>
      </w:r>
      <w:r w:rsidR="009A3405">
        <w:t xml:space="preserve"> </w:t>
      </w:r>
      <w:r>
        <w:t xml:space="preserve">her RICO claims against him.  </w:t>
      </w:r>
      <w:r w:rsidR="00EE0B82">
        <w:t xml:space="preserve">(See </w:t>
      </w:r>
      <w:r w:rsidRPr="00EE0B82" w:rsidR="00EE0B82">
        <w:rPr>
          <w:i/>
          <w:iCs/>
        </w:rPr>
        <w:t>Crossroads</w:t>
      </w:r>
      <w:r w:rsidR="003E1246">
        <w:t xml:space="preserve">, </w:t>
      </w:r>
      <w:r w:rsidR="003E1246">
        <w:rPr>
          <w:i/>
          <w:iCs/>
        </w:rPr>
        <w:t>supra</w:t>
      </w:r>
      <w:r w:rsidR="003E1246">
        <w:t>,</w:t>
      </w:r>
      <w:r w:rsidRPr="00EE0B82" w:rsidR="00EE0B82">
        <w:rPr>
          <w:i/>
          <w:iCs/>
        </w:rPr>
        <w:t xml:space="preserve"> </w:t>
      </w:r>
      <w:r w:rsidR="00EE0B82">
        <w:t xml:space="preserve">13 Cal.App.5th </w:t>
      </w:r>
      <w:r w:rsidR="003E1246">
        <w:t>at p. </w:t>
      </w:r>
      <w:r w:rsidR="00EE0B82">
        <w:t xml:space="preserve">788 [rejecting application of the </w:t>
      </w:r>
      <w:r w:rsidR="00AF77DF">
        <w:t xml:space="preserve">litigation </w:t>
      </w:r>
      <w:r w:rsidR="00EE0B82">
        <w:t xml:space="preserve">privilege </w:t>
      </w:r>
      <w:r w:rsidR="00AF77DF">
        <w:t>based on an alleged oral agreement</w:t>
      </w:r>
      <w:r w:rsidR="00563EC6">
        <w:t>,</w:t>
      </w:r>
      <w:r w:rsidR="00AF77DF">
        <w:t xml:space="preserve"> where the privilege </w:t>
      </w:r>
      <w:r w:rsidR="00EE0B82">
        <w:t>would</w:t>
      </w:r>
      <w:r w:rsidR="00AF77DF">
        <w:t xml:space="preserve"> </w:t>
      </w:r>
      <w:r w:rsidR="00563EC6">
        <w:t>effectually</w:t>
      </w:r>
      <w:r w:rsidR="00AF77DF">
        <w:t xml:space="preserve"> “</w:t>
      </w:r>
      <w:r w:rsidR="00EE0B82">
        <w:t xml:space="preserve">immunize </w:t>
      </w:r>
      <w:r w:rsidR="00AF77DF">
        <w:t>[the defendant]</w:t>
      </w:r>
      <w:r w:rsidR="00EE0B82">
        <w:t xml:space="preserve"> against any enforcement of its purported violations of the deed</w:t>
      </w:r>
      <w:r w:rsidR="00AF77DF">
        <w:t xml:space="preserve">” </w:t>
      </w:r>
      <w:r w:rsidR="00EE0B82">
        <w:t>and</w:t>
      </w:r>
      <w:r w:rsidR="00AF77DF">
        <w:t xml:space="preserve"> preclude the plaintiff from </w:t>
      </w:r>
      <w:r w:rsidR="00563EC6">
        <w:t>seek</w:t>
      </w:r>
      <w:r w:rsidR="00A7033B">
        <w:t>ing</w:t>
      </w:r>
      <w:r w:rsidR="00563EC6">
        <w:t xml:space="preserve"> judicial enforcement of its contract</w:t>
      </w:r>
      <w:r w:rsidR="00AF77DF">
        <w:t>]</w:t>
      </w:r>
      <w:r w:rsidR="00EE0B82">
        <w:t>.)</w:t>
      </w:r>
      <w:r w:rsidR="00EF58B3">
        <w:t xml:space="preserve"> </w:t>
      </w:r>
      <w:r w:rsidR="003B590F">
        <w:t xml:space="preserve"> </w:t>
      </w:r>
      <w:r w:rsidR="004C4237">
        <w:t>B</w:t>
      </w:r>
      <w:r w:rsidRPr="00FA1D98" w:rsidR="00FA1D98">
        <w:t xml:space="preserve">ecause </w:t>
      </w:r>
      <w:r w:rsidR="00C410EB">
        <w:t>Robert’s</w:t>
      </w:r>
      <w:r w:rsidRPr="00FA1D98" w:rsidR="00FA1D98">
        <w:t xml:space="preserve"> DVRO petition</w:t>
      </w:r>
      <w:r w:rsidR="00AE4CBA">
        <w:t xml:space="preserve"> is </w:t>
      </w:r>
      <w:r w:rsidRPr="00FA1D98" w:rsidR="00FA1D98">
        <w:t xml:space="preserve">based </w:t>
      </w:r>
      <w:r w:rsidR="00AE4CBA">
        <w:t xml:space="preserve">in part </w:t>
      </w:r>
      <w:r w:rsidRPr="00FA1D98" w:rsidR="00FA1D98">
        <w:t xml:space="preserve">on </w:t>
      </w:r>
      <w:r w:rsidR="00AE4CBA">
        <w:t xml:space="preserve">communications </w:t>
      </w:r>
      <w:r w:rsidR="004C4237">
        <w:t>related to Susan’s anticipated legal action</w:t>
      </w:r>
      <w:r w:rsidR="005C0D21">
        <w:t xml:space="preserve"> and in large part</w:t>
      </w:r>
      <w:r w:rsidR="004C4237">
        <w:t xml:space="preserve"> on other, unprotected e-mails, application of</w:t>
      </w:r>
      <w:r w:rsidRPr="00FA1D98" w:rsidR="00FA1D98">
        <w:t xml:space="preserve"> the privilege </w:t>
      </w:r>
      <w:r w:rsidR="004C4237">
        <w:t>would render the DVPA “significantly or wholly inoperable,” were its enforcement barred in these circumstances.  (</w:t>
      </w:r>
      <w:r w:rsidRPr="0044798B" w:rsidR="004C4237">
        <w:rPr>
          <w:i/>
          <w:iCs/>
        </w:rPr>
        <w:t>Action Apartment</w:t>
      </w:r>
      <w:r w:rsidR="004C4237">
        <w:t xml:space="preserve">, </w:t>
      </w:r>
      <w:r w:rsidR="004C4237">
        <w:rPr>
          <w:i/>
          <w:iCs/>
        </w:rPr>
        <w:t>supra</w:t>
      </w:r>
      <w:r w:rsidR="004C4237">
        <w:t>,</w:t>
      </w:r>
      <w:r w:rsidR="004C4237">
        <w:rPr>
          <w:i/>
          <w:iCs/>
        </w:rPr>
        <w:t xml:space="preserve"> </w:t>
      </w:r>
      <w:r w:rsidR="004C4237">
        <w:t>41 Cal.4th at p. 1246</w:t>
      </w:r>
      <w:r w:rsidRPr="00FA1D98" w:rsidR="00FA1D98">
        <w:t>.</w:t>
      </w:r>
      <w:r w:rsidR="004C4237">
        <w:t>)</w:t>
      </w:r>
      <w:r w:rsidR="00262F50">
        <w:t xml:space="preserve"> </w:t>
      </w:r>
      <w:r w:rsidRPr="00575862" w:rsidR="00575862">
        <w:t xml:space="preserve"> </w:t>
      </w:r>
      <w:r w:rsidR="00575862">
        <w:t>Accordingly, we conclude that under the facts presented, the litigation privilege does not bar Robert’s petition for DVRO.</w:t>
      </w:r>
    </w:p>
    <w:p w:rsidR="008B5379" w:rsidP="004F2AE8" w14:paraId="67F0AC32" w14:textId="28C0C211">
      <w:pPr>
        <w:rPr>
          <w:i/>
          <w:iCs/>
        </w:rPr>
      </w:pPr>
      <w:r>
        <w:t xml:space="preserve">Turning </w:t>
      </w:r>
      <w:r w:rsidR="001105D4">
        <w:t xml:space="preserve">to </w:t>
      </w:r>
      <w:r w:rsidR="00230B7B">
        <w:t>whether</w:t>
      </w:r>
      <w:r>
        <w:t xml:space="preserve"> Robert’s DVPA claim</w:t>
      </w:r>
      <w:r w:rsidR="00230B7B">
        <w:t xml:space="preserve"> shows “minimal merit</w:t>
      </w:r>
      <w:r>
        <w:t>,</w:t>
      </w:r>
      <w:r w:rsidR="00230B7B">
        <w:t>”</w:t>
      </w:r>
      <w:r>
        <w:t xml:space="preserve"> </w:t>
      </w:r>
      <w:r w:rsidR="00230B7B">
        <w:t xml:space="preserve">we agree with Robert that </w:t>
      </w:r>
      <w:r>
        <w:t>c</w:t>
      </w:r>
      <w:r w:rsidRPr="00390E68" w:rsidR="004F2AE8">
        <w:t>onduct involving communications such as text messages</w:t>
      </w:r>
      <w:r w:rsidR="00BA4C4D">
        <w:t xml:space="preserve"> and</w:t>
      </w:r>
      <w:r w:rsidRPr="00390E68" w:rsidR="00BA4C4D">
        <w:t xml:space="preserve"> </w:t>
      </w:r>
      <w:r w:rsidRPr="00390E68" w:rsidR="004F2AE8">
        <w:t xml:space="preserve">e-mail </w:t>
      </w:r>
      <w:r w:rsidR="004F2AE8">
        <w:t>can constitute</w:t>
      </w:r>
      <w:r w:rsidRPr="00390E68" w:rsidR="004F2AE8">
        <w:t xml:space="preserve"> abuse under the</w:t>
      </w:r>
      <w:r w:rsidR="004F2AE8">
        <w:t xml:space="preserve"> “disturbing the peace” provision of the</w:t>
      </w:r>
      <w:r w:rsidRPr="00390E68" w:rsidR="004F2AE8">
        <w:t xml:space="preserve"> DVPA.</w:t>
      </w:r>
      <w:r w:rsidR="004F2AE8">
        <w:t xml:space="preserve">  In </w:t>
      </w:r>
      <w:r w:rsidRPr="00AD0867" w:rsidR="004F2AE8">
        <w:rPr>
          <w:i/>
          <w:iCs/>
        </w:rPr>
        <w:t>Sabato v. Brooks</w:t>
      </w:r>
      <w:r w:rsidR="004F2AE8">
        <w:t xml:space="preserve"> (2015) 242 Cal.App.4th 715, the appellate court affirmed the issuance of a three-year DVRO based </w:t>
      </w:r>
      <w:r>
        <w:t xml:space="preserve">on </w:t>
      </w:r>
      <w:r w:rsidR="004F2AE8">
        <w:t>evidence that the defendant attempted frequent contact with the plaintiff after their divorce, including sending her texts and e-mails on about a weekly basis (which he characterized as “ ‘non-threatening’ ”)</w:t>
      </w:r>
      <w:r w:rsidR="00AF1DDD">
        <w:t xml:space="preserve"> (</w:t>
      </w:r>
      <w:r w:rsidRPr="00F247A7" w:rsidR="00AF1DDD">
        <w:rPr>
          <w:i/>
          <w:iCs/>
        </w:rPr>
        <w:t>id</w:t>
      </w:r>
      <w:r w:rsidR="00AF1DDD">
        <w:t>. at pp 719, 725)</w:t>
      </w:r>
      <w:r w:rsidR="004F2AE8">
        <w:t xml:space="preserve">. </w:t>
      </w:r>
      <w:r w:rsidR="004F2AE8">
        <w:rPr>
          <w:i/>
          <w:iCs/>
        </w:rPr>
        <w:t xml:space="preserve"> </w:t>
      </w:r>
      <w:r w:rsidR="004F2AE8">
        <w:t xml:space="preserve">The court reasoned that even without considering </w:t>
      </w:r>
      <w:r w:rsidR="009325B5">
        <w:t xml:space="preserve">other </w:t>
      </w:r>
      <w:r w:rsidR="004F2AE8">
        <w:t xml:space="preserve">allegations related to the </w:t>
      </w:r>
      <w:r w:rsidR="009325B5">
        <w:t xml:space="preserve">defendant taking the plaintiff’s </w:t>
      </w:r>
      <w:r w:rsidR="004F2AE8">
        <w:t>house key and “threats and/or violence,” the defendant’s “</w:t>
      </w:r>
      <w:r w:rsidRPr="004B6A64" w:rsidR="004F2AE8">
        <w:t>unilateral, unwanted and harassing contacts supported the issuance of the domestic violence restraining order</w:t>
      </w:r>
      <w:r w:rsidR="004F2AE8">
        <w:t>.”  (</w:t>
      </w:r>
      <w:r w:rsidRPr="00A27D3C" w:rsidR="00A27D3C">
        <w:rPr>
          <w:i/>
          <w:iCs/>
        </w:rPr>
        <w:t>Id</w:t>
      </w:r>
      <w:r w:rsidR="004F2AE8">
        <w:t>.</w:t>
      </w:r>
      <w:r w:rsidR="00AF1DDD">
        <w:t xml:space="preserve"> at p. 725.</w:t>
      </w:r>
      <w:r w:rsidR="004F2AE8">
        <w:t>)</w:t>
      </w:r>
      <w:r w:rsidR="004F2AE8">
        <w:rPr>
          <w:i/>
          <w:iCs/>
        </w:rPr>
        <w:t xml:space="preserve">  </w:t>
      </w:r>
    </w:p>
    <w:p w:rsidR="004F2AE8" w:rsidP="004F2AE8" w14:paraId="629916EB" w14:textId="147B8548">
      <w:r>
        <w:t xml:space="preserve">In </w:t>
      </w:r>
      <w:r w:rsidRPr="0069508E">
        <w:rPr>
          <w:i/>
          <w:iCs/>
        </w:rPr>
        <w:t>In re Marriage of Ankola</w:t>
      </w:r>
      <w:r>
        <w:t xml:space="preserve"> (2020) 53 </w:t>
      </w:r>
      <w:r w:rsidR="00653C71">
        <w:t>Cal.App.5th</w:t>
      </w:r>
      <w:r>
        <w:t xml:space="preserve"> 369</w:t>
      </w:r>
      <w:r w:rsidR="00065D7F">
        <w:t xml:space="preserve"> </w:t>
      </w:r>
      <w:r>
        <w:t>(</w:t>
      </w:r>
      <w:r>
        <w:rPr>
          <w:i/>
          <w:iCs/>
        </w:rPr>
        <w:t>Ankola</w:t>
      </w:r>
      <w:r>
        <w:t xml:space="preserve">), </w:t>
      </w:r>
      <w:r w:rsidR="00CE1646">
        <w:t>a panel of this</w:t>
      </w:r>
      <w:r>
        <w:t xml:space="preserve"> court upheld a DVRO against the plaintiff’s ex-husband based on substantial evidence not only that he had stalked the plaintiff but had repeatedly failed “</w:t>
      </w:r>
      <w:r w:rsidRPr="0069508E">
        <w:t xml:space="preserve">to respect </w:t>
      </w:r>
      <w:r>
        <w:t>[her]</w:t>
      </w:r>
      <w:r w:rsidRPr="0069508E">
        <w:t xml:space="preserve"> wishes that he not contact her</w:t>
      </w:r>
      <w:r>
        <w:t>” and continued to make contact in e-mails and telephone calls.  (</w:t>
      </w:r>
      <w:r w:rsidRPr="00A27D3C" w:rsidR="00A27D3C">
        <w:rPr>
          <w:i/>
          <w:iCs/>
        </w:rPr>
        <w:t>Id</w:t>
      </w:r>
      <w:r w:rsidR="00A27D3C">
        <w:t>.</w:t>
      </w:r>
      <w:r>
        <w:t xml:space="preserve"> at p. 81.)  Similarly, in </w:t>
      </w:r>
      <w:r w:rsidRPr="00383B01">
        <w:rPr>
          <w:i/>
          <w:iCs/>
        </w:rPr>
        <w:t>Burquet v. Brumbaugh</w:t>
      </w:r>
      <w:r>
        <w:t xml:space="preserve"> (2014) 223 Cal.App.4th 1140</w:t>
      </w:r>
      <w:r w:rsidR="00CE1646">
        <w:t>, 1147</w:t>
      </w:r>
      <w:r>
        <w:t xml:space="preserve"> (</w:t>
      </w:r>
      <w:r>
        <w:rPr>
          <w:i/>
          <w:iCs/>
        </w:rPr>
        <w:t>Burquet</w:t>
      </w:r>
      <w:r>
        <w:t>), the appellate court affirmed the imposition of a DVRO after the defendant ignored his former romantic partner’s</w:t>
      </w:r>
      <w:r w:rsidRPr="00F11B70">
        <w:t xml:space="preserve"> requests that he not contact her</w:t>
      </w:r>
      <w:r w:rsidR="00CE1646">
        <w:t>.</w:t>
      </w:r>
      <w:r>
        <w:t xml:space="preserve"> </w:t>
      </w:r>
      <w:r w:rsidR="00CE1646">
        <w:t xml:space="preserve"> The evidence showed the defendant had </w:t>
      </w:r>
      <w:r>
        <w:t>engaged “</w:t>
      </w:r>
      <w:r w:rsidRPr="00F11B70">
        <w:t xml:space="preserve">in a course of conduct of contacting </w:t>
      </w:r>
      <w:r>
        <w:t>[her]</w:t>
      </w:r>
      <w:r w:rsidRPr="00F11B70">
        <w:t xml:space="preserve"> by phone, e-mail, and text, which messages contained inappropriate sexual innuendos</w:t>
      </w:r>
      <w:r>
        <w:t xml:space="preserve">” and </w:t>
      </w:r>
      <w:r w:rsidR="00CE1646">
        <w:t xml:space="preserve">had </w:t>
      </w:r>
      <w:r>
        <w:t>appeared</w:t>
      </w:r>
      <w:r w:rsidRPr="00F11B70">
        <w:t xml:space="preserve"> at her residence uninvited and then refus</w:t>
      </w:r>
      <w:r>
        <w:t>ed</w:t>
      </w:r>
      <w:r w:rsidRPr="00F11B70">
        <w:t xml:space="preserve"> to leave. </w:t>
      </w:r>
      <w:r>
        <w:t xml:space="preserve"> (</w:t>
      </w:r>
      <w:r w:rsidR="00A27D3C">
        <w:rPr>
          <w:i/>
          <w:iCs/>
        </w:rPr>
        <w:t>Id</w:t>
      </w:r>
      <w:r w:rsidR="00A27D3C">
        <w:t>.</w:t>
      </w:r>
      <w:r>
        <w:t xml:space="preserve"> at p. 114</w:t>
      </w:r>
      <w:r w:rsidR="00FC261A">
        <w:t>4</w:t>
      </w:r>
      <w:r>
        <w:t>.)</w:t>
      </w:r>
      <w:r>
        <w:rPr>
          <w:i/>
          <w:iCs/>
        </w:rPr>
        <w:t xml:space="preserve">  </w:t>
      </w:r>
      <w:r w:rsidRPr="00F11B70">
        <w:t xml:space="preserve">The </w:t>
      </w:r>
      <w:r>
        <w:t>court explained that the</w:t>
      </w:r>
      <w:r w:rsidRPr="00F11B70">
        <w:t xml:space="preserve"> defendant</w:t>
      </w:r>
      <w:r>
        <w:t xml:space="preserve">’s actions </w:t>
      </w:r>
      <w:r w:rsidRPr="00F11B70">
        <w:t>“</w:t>
      </w:r>
      <w:r>
        <w:t> ‘</w:t>
      </w:r>
      <w:r w:rsidRPr="00F11B70">
        <w:t>disturb[ed] the peace of the other party</w:t>
      </w:r>
      <w:r>
        <w:t>’ ”</w:t>
      </w:r>
      <w:r w:rsidRPr="00F11B70">
        <w:t xml:space="preserve"> </w:t>
      </w:r>
      <w:r w:rsidR="00FC261A">
        <w:t>(</w:t>
      </w:r>
      <w:r w:rsidR="00FC261A">
        <w:rPr>
          <w:i/>
          <w:iCs/>
        </w:rPr>
        <w:t>id</w:t>
      </w:r>
      <w:r w:rsidR="00FC261A">
        <w:t xml:space="preserve">. at p. 1146) </w:t>
      </w:r>
      <w:r>
        <w:t xml:space="preserve">and constituted </w:t>
      </w:r>
      <w:r w:rsidRPr="00F11B70">
        <w:t>an act of “</w:t>
      </w:r>
      <w:r w:rsidR="00F247A7">
        <w:t> </w:t>
      </w:r>
      <w:r w:rsidR="00FC261A">
        <w:t>‘</w:t>
      </w:r>
      <w:r w:rsidRPr="00F11B70">
        <w:t>abuse</w:t>
      </w:r>
      <w:r w:rsidR="00FC261A">
        <w:t xml:space="preserve">’ </w:t>
      </w:r>
      <w:r w:rsidRPr="00F11B70">
        <w:t>” under the DVPA.</w:t>
      </w:r>
      <w:r>
        <w:t xml:space="preserve">  (</w:t>
      </w:r>
      <w:r>
        <w:rPr>
          <w:i/>
          <w:iCs/>
        </w:rPr>
        <w:t>Id</w:t>
      </w:r>
      <w:r>
        <w:t xml:space="preserve">. at p. 1147.)  </w:t>
      </w:r>
    </w:p>
    <w:p w:rsidR="0070525A" w:rsidP="00780669" w14:paraId="0A64964F" w14:textId="5FC76C81">
      <w:r>
        <w:t xml:space="preserve">By contrast, in </w:t>
      </w:r>
      <w:r>
        <w:rPr>
          <w:i/>
          <w:iCs/>
        </w:rPr>
        <w:t>Curcio</w:t>
      </w:r>
      <w:r>
        <w:t>, the appellate court held that the defendant’s “</w:t>
      </w:r>
      <w:r w:rsidRPr="006C4CC9">
        <w:t xml:space="preserve">single, </w:t>
      </w:r>
      <w:r w:rsidRPr="006C4CC9">
        <w:rPr>
          <w:i/>
          <w:iCs/>
        </w:rPr>
        <w:t>private</w:t>
      </w:r>
      <w:r w:rsidRPr="006C4CC9">
        <w:t xml:space="preserve"> Facebook post accusing </w:t>
      </w:r>
      <w:r>
        <w:t>[the plaintiff]</w:t>
      </w:r>
      <w:r w:rsidRPr="006C4CC9">
        <w:t xml:space="preserve"> of abusing her</w:t>
      </w:r>
      <w:r>
        <w:t>” during the time in which the two women dated</w:t>
      </w:r>
      <w:r w:rsidRPr="006C4CC9">
        <w:t xml:space="preserve"> </w:t>
      </w:r>
      <w:r>
        <w:t>was upsetting but did not “</w:t>
      </w:r>
      <w:r w:rsidRPr="006C4CC9">
        <w:t xml:space="preserve">rise to the level of destruction of </w:t>
      </w:r>
      <w:r>
        <w:t>[the plaintiff]’</w:t>
      </w:r>
      <w:r w:rsidRPr="006C4CC9">
        <w:t>s mental and emotional calm, sufficient to support the issuance of a domestic violence restraining order.</w:t>
      </w:r>
      <w:r>
        <w:t>”  (</w:t>
      </w:r>
      <w:r w:rsidRPr="00AD558E">
        <w:rPr>
          <w:i/>
          <w:iCs/>
        </w:rPr>
        <w:t>Curcio</w:t>
      </w:r>
      <w:r>
        <w:t xml:space="preserve">, </w:t>
      </w:r>
      <w:r>
        <w:rPr>
          <w:i/>
          <w:iCs/>
        </w:rPr>
        <w:t>supra</w:t>
      </w:r>
      <w:r>
        <w:t>,</w:t>
      </w:r>
      <w:r w:rsidRPr="00AD558E">
        <w:rPr>
          <w:i/>
          <w:iCs/>
        </w:rPr>
        <w:t xml:space="preserve"> </w:t>
      </w:r>
      <w:r>
        <w:t>47 Cal.App.5th at p. 1</w:t>
      </w:r>
      <w:r w:rsidR="00FC261A">
        <w:t>3</w:t>
      </w:r>
      <w:r>
        <w:t xml:space="preserve">.)  The court contrasted the evidence with that in other cases involving repeated </w:t>
      </w:r>
      <w:r w:rsidR="00594C4C">
        <w:t xml:space="preserve">episodes of </w:t>
      </w:r>
      <w:r>
        <w:t>unwanted contact.  (</w:t>
      </w:r>
      <w:r w:rsidR="009325B5">
        <w:rPr>
          <w:i/>
          <w:iCs/>
        </w:rPr>
        <w:t>Id</w:t>
      </w:r>
      <w:r>
        <w:t xml:space="preserve">. </w:t>
      </w:r>
      <w:r w:rsidR="00736230">
        <w:t xml:space="preserve">at </w:t>
      </w:r>
      <w:r>
        <w:t>p</w:t>
      </w:r>
      <w:r w:rsidR="00FC261A">
        <w:t>p</w:t>
      </w:r>
      <w:r>
        <w:t>. </w:t>
      </w:r>
      <w:r w:rsidR="00FC261A">
        <w:t>12–</w:t>
      </w:r>
      <w:r>
        <w:t>13</w:t>
      </w:r>
      <w:r w:rsidR="009325B5">
        <w:t>.</w:t>
      </w:r>
      <w:r>
        <w:t xml:space="preserve">) </w:t>
      </w:r>
      <w:r w:rsidR="004D34F2">
        <w:t xml:space="preserve"> </w:t>
      </w:r>
      <w:r>
        <w:t>It explained, “[t]</w:t>
      </w:r>
      <w:r w:rsidRPr="004F2AE8">
        <w:t>he DVPA was not enacted to address all disputes between former couples, or to create an alternative forum for resolution of every dispute between such individuals.</w:t>
      </w:r>
      <w:r>
        <w:t xml:space="preserve">”  </w:t>
      </w:r>
      <w:r w:rsidR="00FC261A">
        <w:t>(</w:t>
      </w:r>
      <w:r w:rsidR="00FC261A">
        <w:rPr>
          <w:i/>
          <w:iCs/>
        </w:rPr>
        <w:t>Id</w:t>
      </w:r>
      <w:r w:rsidR="00FC261A">
        <w:t>. at p. 13.)</w:t>
      </w:r>
      <w:r w:rsidRPr="004F2AE8">
        <w:t xml:space="preserve"> </w:t>
      </w:r>
      <w:r>
        <w:t xml:space="preserve"> </w:t>
      </w:r>
    </w:p>
    <w:bookmarkEnd w:id="5"/>
    <w:p w:rsidR="00976BB3" w:rsidP="00AF7236" w14:paraId="5CD3C01C" w14:textId="22EEA20B">
      <w:r>
        <w:t>We decide</w:t>
      </w:r>
      <w:r w:rsidR="009339E7">
        <w:t>, based on the evidence in the record</w:t>
      </w:r>
      <w:r w:rsidR="00060A36">
        <w:t>,</w:t>
      </w:r>
      <w:r w:rsidR="009339E7">
        <w:t xml:space="preserve"> and</w:t>
      </w:r>
      <w:r>
        <w:t xml:space="preserve"> </w:t>
      </w:r>
      <w:r w:rsidRPr="0004302D" w:rsidR="009339E7">
        <w:t>accept</w:t>
      </w:r>
      <w:r w:rsidR="009339E7">
        <w:t>ing Robert’s</w:t>
      </w:r>
      <w:r w:rsidRPr="0004302D" w:rsidR="009339E7">
        <w:t xml:space="preserve"> </w:t>
      </w:r>
      <w:r w:rsidR="009339E7">
        <w:t xml:space="preserve">factual </w:t>
      </w:r>
      <w:r w:rsidRPr="0004302D" w:rsidR="009339E7">
        <w:t xml:space="preserve">assertions </w:t>
      </w:r>
      <w:r w:rsidR="009339E7">
        <w:t xml:space="preserve">in his declaration </w:t>
      </w:r>
      <w:r w:rsidRPr="0004302D" w:rsidR="009339E7">
        <w:t xml:space="preserve">as true </w:t>
      </w:r>
      <w:r w:rsidR="009339E7">
        <w:t xml:space="preserve">for purposes of resolving the anti-SLAPP motion </w:t>
      </w:r>
      <w:r w:rsidRPr="0004302D" w:rsidR="009339E7">
        <w:t>(</w:t>
      </w:r>
      <w:r w:rsidRPr="0004302D" w:rsidR="009339E7">
        <w:rPr>
          <w:i/>
          <w:iCs/>
        </w:rPr>
        <w:t>Park</w:t>
      </w:r>
      <w:r w:rsidR="009339E7">
        <w:t>,</w:t>
      </w:r>
      <w:r w:rsidRPr="0004302D" w:rsidR="009339E7">
        <w:rPr>
          <w:i/>
          <w:iCs/>
        </w:rPr>
        <w:t xml:space="preserve"> </w:t>
      </w:r>
      <w:r w:rsidR="009325B5">
        <w:rPr>
          <w:i/>
          <w:iCs/>
        </w:rPr>
        <w:t>supra</w:t>
      </w:r>
      <w:r w:rsidR="009325B5">
        <w:t>,</w:t>
      </w:r>
      <w:r w:rsidR="009325B5">
        <w:rPr>
          <w:i/>
          <w:iCs/>
        </w:rPr>
        <w:t xml:space="preserve"> </w:t>
      </w:r>
      <w:r w:rsidRPr="0004302D" w:rsidR="009339E7">
        <w:t xml:space="preserve">2 Cal.5th </w:t>
      </w:r>
      <w:r w:rsidR="009339E7">
        <w:t>at p. </w:t>
      </w:r>
      <w:r w:rsidRPr="0004302D" w:rsidR="009339E7">
        <w:t>1067)</w:t>
      </w:r>
      <w:r w:rsidR="00335753">
        <w:t>,</w:t>
      </w:r>
      <w:r w:rsidR="009339E7">
        <w:t xml:space="preserve"> </w:t>
      </w:r>
      <w:r>
        <w:t xml:space="preserve">that Robert has met his burden </w:t>
      </w:r>
      <w:r w:rsidR="009339E7">
        <w:t xml:space="preserve">to establish a prima facie showing of abuse warranting </w:t>
      </w:r>
      <w:r w:rsidR="00335753">
        <w:t>further consideration of his claim for</w:t>
      </w:r>
      <w:r w:rsidR="009339E7">
        <w:t xml:space="preserve"> protective order under the DVPA.</w:t>
      </w:r>
      <w:r>
        <w:t xml:space="preserve">  </w:t>
      </w:r>
      <w:r w:rsidR="00335753">
        <w:t xml:space="preserve">(Fam. Code, § 6203.)  </w:t>
      </w:r>
      <w:r w:rsidR="003A555A">
        <w:t xml:space="preserve">Considered in </w:t>
      </w:r>
      <w:r w:rsidR="00FC0EB3">
        <w:t>isolation</w:t>
      </w:r>
      <w:r w:rsidR="003A555A">
        <w:t xml:space="preserve">, </w:t>
      </w:r>
      <w:r w:rsidR="00335753">
        <w:t xml:space="preserve">Susan’s </w:t>
      </w:r>
      <w:r w:rsidR="00A81F53">
        <w:t>e-mails to Robert</w:t>
      </w:r>
      <w:r w:rsidR="003A555A">
        <w:t xml:space="preserve"> might be considered mere annoyances.  </w:t>
      </w:r>
      <w:r w:rsidR="00653C71">
        <w:t>T</w:t>
      </w:r>
      <w:r>
        <w:t>he broad authority conferred by the DVPA for issuance of a DVRO</w:t>
      </w:r>
      <w:r w:rsidR="00653C71">
        <w:t xml:space="preserve">, however, allows the court to consider </w:t>
      </w:r>
      <w:r>
        <w:t>“</w:t>
      </w:r>
      <w:r w:rsidRPr="004448EC">
        <w:t>the totality of the circumstances</w:t>
      </w:r>
      <w:r w:rsidR="00653C71">
        <w:t>” in determining whether the conduct “</w:t>
      </w:r>
      <w:r w:rsidRPr="004448EC">
        <w:t>destroys the mental or emotional calm of the other party</w:t>
      </w:r>
      <w:r>
        <w:t>” (</w:t>
      </w:r>
      <w:r w:rsidR="00681E3E">
        <w:t xml:space="preserve">Fam. Code, </w:t>
      </w:r>
      <w:r>
        <w:t xml:space="preserve">§ 6320, subd. (c)).  </w:t>
      </w:r>
    </w:p>
    <w:p w:rsidR="009325B5" w:rsidP="00C654FE" w14:paraId="0ADA28CB" w14:textId="4707CDCE">
      <w:r>
        <w:t xml:space="preserve">Unlike in </w:t>
      </w:r>
      <w:r>
        <w:rPr>
          <w:i/>
          <w:iCs/>
        </w:rPr>
        <w:t>Curcio</w:t>
      </w:r>
      <w:r>
        <w:t>, which involved only a single, private social media post and no “</w:t>
      </w:r>
      <w:r w:rsidRPr="00922A60">
        <w:t>harassing, threatening, or unwanted texts or e-mails</w:t>
      </w:r>
      <w:r>
        <w:t>” (</w:t>
      </w:r>
      <w:r w:rsidRPr="00AD558E">
        <w:rPr>
          <w:i/>
          <w:iCs/>
        </w:rPr>
        <w:t>Curcio</w:t>
      </w:r>
      <w:r>
        <w:t xml:space="preserve">, </w:t>
      </w:r>
      <w:r>
        <w:rPr>
          <w:i/>
          <w:iCs/>
        </w:rPr>
        <w:t>supra</w:t>
      </w:r>
      <w:r>
        <w:t>,</w:t>
      </w:r>
      <w:r w:rsidRPr="00AD558E">
        <w:rPr>
          <w:i/>
          <w:iCs/>
        </w:rPr>
        <w:t xml:space="preserve"> </w:t>
      </w:r>
      <w:r>
        <w:t>47 Cal.App.5th at p. 13), Susan</w:t>
      </w:r>
      <w:r w:rsidR="00681E3E">
        <w:t>’s</w:t>
      </w:r>
      <w:r>
        <w:t xml:space="preserve"> e-mails </w:t>
      </w:r>
      <w:r w:rsidR="00653C71">
        <w:t>repeatedly addressed Robert</w:t>
      </w:r>
      <w:r>
        <w:t xml:space="preserve"> (though he had counsel)</w:t>
      </w:r>
      <w:r w:rsidR="008D2E33">
        <w:t xml:space="preserve">, intending to </w:t>
      </w:r>
      <w:r>
        <w:t>“ ‘</w:t>
      </w:r>
      <w:r w:rsidRPr="00AA4A8D">
        <w:t>get under the skin</w:t>
      </w:r>
      <w:r>
        <w:t>’ ”</w:t>
      </w:r>
      <w:r w:rsidRPr="00AA4A8D">
        <w:t xml:space="preserve"> </w:t>
      </w:r>
      <w:r w:rsidR="008D2E33">
        <w:t xml:space="preserve">and make him “upset, nervous, or worried.”  Although the e-mails contained no threats of physical harm or violence, and there is no evidence in the record that Susan engaged in other forms of unwanted contact with Robert during the post-dissolution period (cf. </w:t>
      </w:r>
      <w:r w:rsidR="008D2E33">
        <w:rPr>
          <w:i/>
          <w:iCs/>
        </w:rPr>
        <w:t>Burquet</w:t>
      </w:r>
      <w:r w:rsidR="008D2E33">
        <w:t xml:space="preserve">, </w:t>
      </w:r>
      <w:r w:rsidR="008D2E33">
        <w:rPr>
          <w:i/>
          <w:iCs/>
        </w:rPr>
        <w:t>supra</w:t>
      </w:r>
      <w:r w:rsidR="008D2E33">
        <w:t xml:space="preserve">, 223 Cal.App.4th at p. 1142; </w:t>
      </w:r>
      <w:r w:rsidRPr="0069508E" w:rsidR="008D2E33">
        <w:rPr>
          <w:i/>
          <w:iCs/>
        </w:rPr>
        <w:t>Ankola</w:t>
      </w:r>
      <w:r w:rsidR="008D2E33">
        <w:t xml:space="preserve">, </w:t>
      </w:r>
      <w:r w:rsidR="008D2E33">
        <w:rPr>
          <w:i/>
          <w:iCs/>
        </w:rPr>
        <w:t>supra</w:t>
      </w:r>
      <w:r w:rsidR="008D2E33">
        <w:t>,</w:t>
      </w:r>
      <w:r w:rsidR="008D2E33">
        <w:rPr>
          <w:i/>
          <w:iCs/>
        </w:rPr>
        <w:t xml:space="preserve"> </w:t>
      </w:r>
      <w:r w:rsidR="008D2E33">
        <w:t xml:space="preserve">53 </w:t>
      </w:r>
      <w:r w:rsidR="00681E3E">
        <w:t xml:space="preserve">Cal.App.5th </w:t>
      </w:r>
      <w:r w:rsidR="008D2E33">
        <w:t xml:space="preserve"> at pp. 380–381), </w:t>
      </w:r>
      <w:r w:rsidR="00C654FE">
        <w:t>“the DVPA’s definition of abuse ‘is not confined to physical abuse but specifies a multitude of behaviors which does not involve any physical injury or assaultive acts.’ ”  (</w:t>
      </w:r>
      <w:r w:rsidRPr="00C654FE" w:rsidR="00C654FE">
        <w:rPr>
          <w:i/>
          <w:iCs/>
        </w:rPr>
        <w:t>In re Marriage of Evilsizor &amp; Sweeney</w:t>
      </w:r>
      <w:r w:rsidR="00C654FE">
        <w:t xml:space="preserve"> (2015) 237 Cal.App.4th 1416, 1425.)  </w:t>
      </w:r>
      <w:r w:rsidRPr="008A3DEA" w:rsidR="008A3DEA">
        <w:t>Nor does the DVPA require, as a prerequisite to issuance of a restraining order, proof that the alleged victim (Robert) formally asked the alleged perpetrator (Susan) to stop the harassing contact (Susan’s e-mails threatening to file the RICO action).  The statute requires only a showing, to the court’s satisfaction, of “reasonable proof of a past act or acts of abuse” (Fam. Code, § 6300</w:t>
      </w:r>
      <w:r w:rsidR="00681E3E">
        <w:t>, subd. (a)</w:t>
      </w:r>
      <w:r w:rsidRPr="008A3DEA" w:rsidR="008A3DEA">
        <w:t>), where such abuse includes “contacting . . . or disturbing the peace of the other party.”  (Fam. Code, §§ 6320, subd. (a), 6203, subd. (a)(4).)</w:t>
      </w:r>
    </w:p>
    <w:p w:rsidR="008D2E33" w:rsidP="00C654FE" w14:paraId="12846F5B" w14:textId="78032481">
      <w:r>
        <w:t xml:space="preserve">Under the totality of the circumstances, </w:t>
      </w:r>
      <w:r w:rsidR="00B0482B">
        <w:t xml:space="preserve">Robert has made a prima facie showing of facts sufficient to sustain a favorable result on his DVRO petition if the facts he alleges are substantiated.  </w:t>
      </w:r>
      <w:r w:rsidR="001F3544">
        <w:t xml:space="preserve">Robert’s claim under the DVPA </w:t>
      </w:r>
      <w:r w:rsidR="00B0482B">
        <w:t xml:space="preserve">thus </w:t>
      </w:r>
      <w:r w:rsidR="001F3544">
        <w:t>has</w:t>
      </w:r>
      <w:r w:rsidR="00976BB3">
        <w:t xml:space="preserve"> at least the requisite</w:t>
      </w:r>
      <w:r w:rsidRPr="00EA15C2" w:rsidR="00976BB3">
        <w:t xml:space="preserve"> minimal merit</w:t>
      </w:r>
      <w:r w:rsidR="00976BB3">
        <w:t xml:space="preserve"> to avoid being stricken as a SLAPP.</w:t>
      </w:r>
      <w:r w:rsidRPr="00EA15C2" w:rsidR="00976BB3">
        <w:t xml:space="preserve"> </w:t>
      </w:r>
      <w:r w:rsidR="00976BB3">
        <w:t xml:space="preserve"> </w:t>
      </w:r>
      <w:r w:rsidRPr="00EA15C2" w:rsidR="00976BB3">
        <w:t>(</w:t>
      </w:r>
      <w:r w:rsidRPr="00AB6B81" w:rsidR="00976BB3">
        <w:rPr>
          <w:i/>
          <w:iCs/>
        </w:rPr>
        <w:t>Laker</w:t>
      </w:r>
      <w:r w:rsidRPr="00AB6B81" w:rsidR="00976BB3">
        <w:t xml:space="preserve">, </w:t>
      </w:r>
      <w:r w:rsidRPr="00AB6B81" w:rsidR="00976BB3">
        <w:rPr>
          <w:i/>
          <w:iCs/>
        </w:rPr>
        <w:t>supra</w:t>
      </w:r>
      <w:r w:rsidRPr="00AB6B81" w:rsidR="00976BB3">
        <w:t>,</w:t>
      </w:r>
      <w:r w:rsidRPr="00AB6B81" w:rsidR="00976BB3">
        <w:rPr>
          <w:i/>
          <w:iCs/>
        </w:rPr>
        <w:t xml:space="preserve"> </w:t>
      </w:r>
      <w:r w:rsidRPr="00AB6B81" w:rsidR="00976BB3">
        <w:t>32 Cal.App.5th at p. 760</w:t>
      </w:r>
      <w:r w:rsidRPr="00EA15C2" w:rsidR="00976BB3">
        <w:t>.)</w:t>
      </w:r>
      <w:r w:rsidR="00976BB3">
        <w:t xml:space="preserve">  </w:t>
      </w:r>
    </w:p>
    <w:bookmarkEnd w:id="6"/>
    <w:p w:rsidR="00004477" w:rsidP="00752E03" w14:paraId="68428E3D" w14:textId="77777777">
      <w:pPr>
        <w:pStyle w:val="Heading1"/>
      </w:pPr>
      <w:r>
        <w:t>iii.  disposition</w:t>
      </w:r>
    </w:p>
    <w:p w:rsidR="00202A47" w:rsidP="00781E11" w14:paraId="6773E4F7" w14:textId="77777777">
      <w:pPr>
        <w:tabs>
          <w:tab w:val="clear" w:pos="720"/>
        </w:tabs>
        <w:spacing w:after="160" w:line="480" w:lineRule="exact"/>
        <w:sectPr w:rsidSect="002D669B">
          <w:footerReference w:type="default" r:id="rId6"/>
          <w:pgSz w:w="12240" w:h="15840"/>
          <w:pgMar w:top="1440" w:right="1440" w:bottom="1440" w:left="1440" w:header="720" w:footer="720" w:gutter="0"/>
          <w:cols w:space="720"/>
          <w:titlePg/>
          <w:docGrid w:linePitch="360"/>
        </w:sectPr>
      </w:pPr>
      <w:r w:rsidRPr="008D3798">
        <w:t>The trial court</w:t>
      </w:r>
      <w:r>
        <w:t>’</w:t>
      </w:r>
      <w:r w:rsidRPr="008D3798">
        <w:t xml:space="preserve">s order denying </w:t>
      </w:r>
      <w:r w:rsidR="00031653">
        <w:t xml:space="preserve">appellant </w:t>
      </w:r>
      <w:r>
        <w:t>Susan Bassi’s</w:t>
      </w:r>
      <w:r w:rsidRPr="008D3798">
        <w:t xml:space="preserve"> special motion to strike under Code of Civil Procedure section 425.16 is affirmed. </w:t>
      </w:r>
      <w:r>
        <w:t xml:space="preserve"> </w:t>
      </w:r>
      <w:r w:rsidRPr="008D3798">
        <w:t>Respondent</w:t>
      </w:r>
      <w:r>
        <w:t xml:space="preserve"> Robert Bassi is entitled t</w:t>
      </w:r>
      <w:r w:rsidRPr="008D3798">
        <w:t xml:space="preserve">o recover </w:t>
      </w:r>
      <w:r>
        <w:t xml:space="preserve">his reasonable </w:t>
      </w:r>
      <w:r w:rsidRPr="008D3798">
        <w:t>costs on appeal.</w:t>
      </w:r>
      <w:r>
        <w:t xml:space="preserve">  (Cal. Rules of Court, rule 8.278(a)(1), (2).)</w:t>
      </w:r>
    </w:p>
    <w:p w:rsidR="00202A47" w:rsidRPr="00704A4D" w:rsidP="00202A47" w14:paraId="6423C606" w14:textId="7681D74C">
      <w:pPr>
        <w:rPr>
          <w:sz w:val="20"/>
          <w:szCs w:val="20"/>
        </w:rPr>
      </w:pPr>
      <w:r>
        <w:rPr>
          <w:sz w:val="20"/>
          <w:szCs w:val="20"/>
        </w:rPr>
        <w:t>Filed 5/9/24</w:t>
      </w:r>
    </w:p>
    <w:p w:rsidR="00202A47" w:rsidP="00202A47" w14:paraId="4B70BC68" w14:textId="77777777">
      <w:pPr>
        <w:spacing w:line="240" w:lineRule="auto"/>
        <w:ind w:firstLine="0"/>
        <w:jc w:val="center"/>
        <w:rPr>
          <w:b/>
        </w:rPr>
      </w:pPr>
      <w:r>
        <w:rPr>
          <w:b/>
        </w:rPr>
        <w:t>CERTIFIED FOR PUBLICATION</w:t>
      </w:r>
    </w:p>
    <w:p w:rsidR="00202A47" w:rsidP="00202A47" w14:paraId="3EF8AEA8" w14:textId="77777777">
      <w:pPr>
        <w:spacing w:line="240" w:lineRule="auto"/>
        <w:ind w:firstLine="0"/>
      </w:pPr>
    </w:p>
    <w:p w:rsidR="00202A47" w:rsidP="00202A47" w14:paraId="65514ACE" w14:textId="77777777">
      <w:pPr>
        <w:spacing w:line="240" w:lineRule="auto"/>
        <w:ind w:firstLine="0"/>
        <w:jc w:val="center"/>
      </w:pPr>
      <w:r>
        <w:t>IN THE COURT OF APPEAL OF THE STATE OF CALIFORNIA</w:t>
      </w:r>
    </w:p>
    <w:p w:rsidR="00202A47" w:rsidP="00202A47" w14:paraId="7AAFB0A0" w14:textId="77777777">
      <w:pPr>
        <w:spacing w:line="240" w:lineRule="auto"/>
        <w:ind w:firstLine="0"/>
        <w:jc w:val="center"/>
      </w:pPr>
    </w:p>
    <w:p w:rsidR="00202A47" w:rsidP="00202A47" w14:paraId="4117EAA1" w14:textId="77777777">
      <w:pPr>
        <w:spacing w:line="240" w:lineRule="auto"/>
        <w:ind w:firstLine="0"/>
        <w:jc w:val="center"/>
      </w:pPr>
      <w:r>
        <w:t>SIXTH APPELLATE DISTRICT</w:t>
      </w:r>
    </w:p>
    <w:p w:rsidR="00202A47" w:rsidP="00202A47" w14:paraId="4D90E9BF" w14:textId="77777777">
      <w:pPr>
        <w:spacing w:line="240" w:lineRule="auto"/>
        <w:ind w:firstLine="0"/>
        <w:jc w:val="center"/>
      </w:pPr>
    </w:p>
    <w:p w:rsidR="00202A47" w:rsidP="00202A47" w14:paraId="4B641443" w14:textId="77777777">
      <w:pPr>
        <w:spacing w:line="240" w:lineRule="auto"/>
        <w:ind w:firstLine="0"/>
        <w:jc w:val="center"/>
      </w:pPr>
    </w:p>
    <w:tbl>
      <w:tblPr>
        <w:tblW w:w="0" w:type="auto"/>
        <w:tblLayout w:type="fixed"/>
        <w:tblLook w:val="0000"/>
      </w:tblPr>
      <w:tblGrid>
        <w:gridCol w:w="4680"/>
        <w:gridCol w:w="4680"/>
      </w:tblGrid>
      <w:tr w14:paraId="0A3A2DB2" w14:textId="77777777" w:rsidTr="00C53B84">
        <w:tblPrEx>
          <w:tblW w:w="0" w:type="auto"/>
          <w:tblLayout w:type="fixed"/>
          <w:tblLook w:val="0000"/>
        </w:tblPrEx>
        <w:tc>
          <w:tcPr>
            <w:tcW w:w="4680" w:type="dxa"/>
            <w:tcBorders>
              <w:bottom w:val="single" w:sz="4" w:space="0" w:color="auto"/>
              <w:right w:val="single" w:sz="4" w:space="0" w:color="auto"/>
            </w:tcBorders>
            <w:shd w:val="clear" w:color="auto" w:fill="auto"/>
          </w:tcPr>
          <w:p w:rsidR="00202A47" w:rsidP="00C53B84" w14:paraId="596A19F1" w14:textId="77777777">
            <w:pPr>
              <w:spacing w:line="240" w:lineRule="auto"/>
              <w:ind w:firstLine="0"/>
            </w:pPr>
            <w:r>
              <w:t>ROBERT BASSI,</w:t>
            </w:r>
          </w:p>
          <w:p w:rsidR="00202A47" w:rsidP="00C53B84" w14:paraId="567216F4" w14:textId="77777777">
            <w:pPr>
              <w:spacing w:line="240" w:lineRule="auto"/>
              <w:ind w:firstLine="0"/>
            </w:pPr>
          </w:p>
          <w:p w:rsidR="00202A47" w:rsidP="00C53B84" w14:paraId="71E777C3" w14:textId="10201A0D">
            <w:pPr>
              <w:spacing w:line="240" w:lineRule="auto"/>
              <w:ind w:left="720" w:firstLine="0"/>
            </w:pPr>
            <w:r>
              <w:t xml:space="preserve">Plaintiff and </w:t>
            </w:r>
            <w:r w:rsidR="00396DEB">
              <w:t>Respondent,</w:t>
            </w:r>
          </w:p>
          <w:p w:rsidR="00202A47" w:rsidP="00C53B84" w14:paraId="57EA6DF9" w14:textId="77777777">
            <w:pPr>
              <w:spacing w:line="240" w:lineRule="auto"/>
              <w:ind w:left="720" w:firstLine="0"/>
            </w:pPr>
          </w:p>
          <w:p w:rsidR="00202A47" w:rsidRPr="002D669B" w:rsidP="00C53B84" w14:paraId="5789C64B" w14:textId="77777777">
            <w:pPr>
              <w:spacing w:line="240" w:lineRule="auto"/>
              <w:ind w:left="720" w:firstLine="0"/>
            </w:pPr>
            <w:r w:rsidRPr="002D669B">
              <w:t>v.</w:t>
            </w:r>
          </w:p>
          <w:p w:rsidR="00202A47" w:rsidRPr="002D669B" w:rsidP="00C53B84" w14:paraId="5B89071B" w14:textId="77777777">
            <w:pPr>
              <w:spacing w:line="240" w:lineRule="auto"/>
              <w:ind w:firstLine="0"/>
            </w:pPr>
          </w:p>
          <w:p w:rsidR="00202A47" w:rsidRPr="002D669B" w:rsidP="00C53B84" w14:paraId="32E28B2C" w14:textId="77777777">
            <w:pPr>
              <w:spacing w:line="240" w:lineRule="auto"/>
              <w:ind w:firstLine="0"/>
            </w:pPr>
            <w:r>
              <w:t>SUSAN BASSI</w:t>
            </w:r>
            <w:r w:rsidRPr="002D669B">
              <w:t>,</w:t>
            </w:r>
          </w:p>
          <w:p w:rsidR="00202A47" w:rsidRPr="002D669B" w:rsidP="00C53B84" w14:paraId="3801F432" w14:textId="77777777">
            <w:pPr>
              <w:spacing w:line="240" w:lineRule="auto"/>
              <w:ind w:firstLine="0"/>
            </w:pPr>
          </w:p>
          <w:p w:rsidR="00202A47" w:rsidRPr="002D669B" w:rsidP="00C53B84" w14:paraId="3E01FA81" w14:textId="4C570167">
            <w:pPr>
              <w:spacing w:line="240" w:lineRule="auto"/>
              <w:ind w:left="720" w:firstLine="0"/>
            </w:pPr>
            <w:r>
              <w:t xml:space="preserve">Defendant and </w:t>
            </w:r>
            <w:r w:rsidR="00396DEB">
              <w:t>Appellant</w:t>
            </w:r>
            <w:r w:rsidRPr="002D669B" w:rsidR="00396DEB">
              <w:t>.</w:t>
            </w:r>
          </w:p>
          <w:p w:rsidR="00202A47" w:rsidRPr="002D669B" w:rsidP="00C53B84" w14:paraId="6CF4069F" w14:textId="77777777">
            <w:pPr>
              <w:spacing w:line="240" w:lineRule="auto"/>
              <w:ind w:firstLine="0"/>
            </w:pPr>
          </w:p>
        </w:tc>
        <w:tc>
          <w:tcPr>
            <w:tcW w:w="4680" w:type="dxa"/>
            <w:tcBorders>
              <w:left w:val="single" w:sz="4" w:space="0" w:color="auto"/>
            </w:tcBorders>
            <w:shd w:val="clear" w:color="auto" w:fill="auto"/>
          </w:tcPr>
          <w:p w:rsidR="00202A47" w:rsidP="00C53B84" w14:paraId="68AEE0D8" w14:textId="77777777">
            <w:pPr>
              <w:spacing w:line="240" w:lineRule="auto"/>
              <w:ind w:firstLine="0"/>
            </w:pPr>
            <w:r w:rsidRPr="002D669B">
              <w:t xml:space="preserve">      </w:t>
            </w:r>
            <w:r>
              <w:t>H049873</w:t>
            </w:r>
          </w:p>
          <w:p w:rsidR="00202A47" w:rsidP="00C53B84" w14:paraId="17F4ABA4" w14:textId="77777777">
            <w:pPr>
              <w:spacing w:line="240" w:lineRule="auto"/>
              <w:ind w:firstLine="0"/>
            </w:pPr>
            <w:r>
              <w:t xml:space="preserve">     (Santa Clara County</w:t>
            </w:r>
          </w:p>
          <w:p w:rsidR="00202A47" w:rsidP="00C53B84" w14:paraId="20697F02" w14:textId="77777777">
            <w:pPr>
              <w:spacing w:line="240" w:lineRule="auto"/>
              <w:ind w:firstLine="0"/>
            </w:pPr>
            <w:r>
              <w:t xml:space="preserve">      Super. Ct. No. </w:t>
            </w:r>
            <w:r w:rsidRPr="00DE1A43">
              <w:t>2012FL009065</w:t>
            </w:r>
            <w:r>
              <w:t>)</w:t>
            </w:r>
          </w:p>
        </w:tc>
      </w:tr>
    </w:tbl>
    <w:p w:rsidR="00202A47" w:rsidP="00202A47" w14:paraId="74F7C174" w14:textId="77777777">
      <w:pPr>
        <w:spacing w:line="240" w:lineRule="auto"/>
        <w:ind w:firstLine="0"/>
        <w:jc w:val="center"/>
      </w:pPr>
    </w:p>
    <w:p w:rsidR="00202A47" w:rsidP="00202A47" w14:paraId="5FC57D65" w14:textId="77777777">
      <w:r>
        <w:t>BY THE COURT</w:t>
      </w:r>
      <w:r>
        <w:rPr>
          <w:b/>
          <w:bCs/>
          <w:vertAlign w:val="superscript"/>
        </w:rPr>
        <w:footnoteReference w:id="15"/>
      </w:r>
      <w:r>
        <w:t>:</w:t>
      </w:r>
    </w:p>
    <w:p w:rsidR="00202A47" w:rsidP="00202A47" w14:paraId="36686814" w14:textId="77777777"/>
    <w:p w:rsidR="00202A47" w:rsidP="00202A47" w14:paraId="5E6D9FAE" w14:textId="77777777">
      <w:r>
        <w:t xml:space="preserve">The opinion in this case filed April 15, 2024, was not certified for publication.  </w:t>
      </w:r>
      <w:r w:rsidRPr="00494E2D">
        <w:t>After the court’s review of a request under California Rules of Court, rule 8.1120</w:t>
      </w:r>
      <w:r>
        <w:t>(a)</w:t>
      </w:r>
      <w:r w:rsidRPr="00494E2D">
        <w:t>, and</w:t>
      </w:r>
      <w:r>
        <w:t xml:space="preserve"> it </w:t>
      </w:r>
      <w:r w:rsidRPr="00BE1222">
        <w:t xml:space="preserve">appearing </w:t>
      </w:r>
      <w:r>
        <w:t xml:space="preserve">that </w:t>
      </w:r>
      <w:r w:rsidRPr="00BE1222">
        <w:t>the opinion meet</w:t>
      </w:r>
      <w:r>
        <w:t>s</w:t>
      </w:r>
      <w:r w:rsidRPr="00BE1222">
        <w:t xml:space="preserve"> the standards for publication </w:t>
      </w:r>
      <w:r>
        <w:t>under</w:t>
      </w:r>
      <w:r w:rsidRPr="00BE1222">
        <w:t xml:space="preserve"> California Rules of Court, rule 8.1105</w:t>
      </w:r>
      <w:r>
        <w:t>(c)(2), (3), (4), and (6)</w:t>
      </w:r>
      <w:r w:rsidRPr="00494E2D">
        <w:t xml:space="preserve">, </w:t>
      </w:r>
      <w:r w:rsidRPr="00377AAA">
        <w:t>it is therefore ordered that the opinion be published in the Official Reports</w:t>
      </w:r>
      <w:r>
        <w:t>.</w:t>
      </w:r>
    </w:p>
    <w:p w:rsidR="00202A47" w:rsidP="00202A47" w14:paraId="2E93BCF0" w14:textId="77777777">
      <w:pPr>
        <w:sectPr w:rsidSect="00202A47">
          <w:pgSz w:w="12240" w:h="15840"/>
          <w:pgMar w:top="1440" w:right="1440" w:bottom="1440" w:left="1440" w:header="720" w:footer="720" w:gutter="0"/>
          <w:pgNumType w:start="1"/>
          <w:cols w:space="720"/>
          <w:docGrid w:linePitch="360"/>
        </w:sectPr>
      </w:pPr>
    </w:p>
    <w:p w:rsidR="00202A47" w:rsidRPr="009C3BAF" w:rsidP="00202A47" w14:paraId="74C41E26" w14:textId="77777777">
      <w:pPr>
        <w:tabs>
          <w:tab w:val="clear" w:pos="720"/>
        </w:tabs>
        <w:spacing w:line="240" w:lineRule="auto"/>
        <w:rPr>
          <w:rFonts w:eastAsia="Times New Roman"/>
          <w:bCs/>
          <w:i/>
          <w:iCs/>
        </w:rPr>
      </w:pPr>
      <w:bookmarkStart w:id="7" w:name="_Hlk134609816"/>
    </w:p>
    <w:p w:rsidR="00202A47" w:rsidP="00202A47" w14:paraId="22C58547" w14:textId="77777777">
      <w:pPr>
        <w:spacing w:line="240" w:lineRule="atLeast"/>
        <w:ind w:right="430"/>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8"/>
        <w:gridCol w:w="4918"/>
      </w:tblGrid>
      <w:tr w14:paraId="500AA7C4" w14:textId="77777777" w:rsidTr="00C53B84">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658" w:type="dxa"/>
          </w:tcPr>
          <w:p w:rsidR="00202A47" w:rsidP="00C53B84" w14:paraId="0E96B6CF" w14:textId="77777777">
            <w:pPr>
              <w:spacing w:line="240" w:lineRule="atLeast"/>
              <w:ind w:right="430" w:firstLine="0"/>
            </w:pPr>
            <w:r>
              <w:t>Trial Court:</w:t>
            </w:r>
          </w:p>
          <w:p w:rsidR="00202A47" w:rsidP="00C53B84" w14:paraId="46EFD7A6" w14:textId="77777777">
            <w:pPr>
              <w:spacing w:line="240" w:lineRule="atLeast"/>
              <w:ind w:right="430" w:firstLine="0"/>
            </w:pPr>
          </w:p>
        </w:tc>
        <w:tc>
          <w:tcPr>
            <w:tcW w:w="4918" w:type="dxa"/>
          </w:tcPr>
          <w:p w:rsidR="00202A47" w:rsidP="00C53B84" w14:paraId="7A30DAD6" w14:textId="77777777">
            <w:pPr>
              <w:spacing w:line="240" w:lineRule="atLeast"/>
              <w:ind w:right="430" w:firstLine="0"/>
            </w:pPr>
            <w:r>
              <w:t>Santa Clara County Superior Court</w:t>
            </w:r>
          </w:p>
          <w:p w:rsidR="00202A47" w:rsidP="00C53B84" w14:paraId="3F483449" w14:textId="77777777">
            <w:pPr>
              <w:spacing w:line="240" w:lineRule="atLeast"/>
              <w:ind w:right="430" w:firstLine="0"/>
            </w:pPr>
          </w:p>
        </w:tc>
      </w:tr>
      <w:tr w14:paraId="2232F18E" w14:textId="77777777" w:rsidTr="00C53B84">
        <w:tblPrEx>
          <w:tblW w:w="9576" w:type="dxa"/>
          <w:tblLayout w:type="fixed"/>
          <w:tblLook w:val="0000"/>
        </w:tblPrEx>
        <w:tc>
          <w:tcPr>
            <w:tcW w:w="4658" w:type="dxa"/>
          </w:tcPr>
          <w:p w:rsidR="00202A47" w:rsidP="00C53B84" w14:paraId="43D2DC79" w14:textId="77777777">
            <w:pPr>
              <w:spacing w:line="240" w:lineRule="atLeast"/>
              <w:ind w:right="430" w:firstLine="0"/>
            </w:pPr>
            <w:r>
              <w:t>Trial Judge:</w:t>
            </w:r>
          </w:p>
        </w:tc>
        <w:tc>
          <w:tcPr>
            <w:tcW w:w="4918" w:type="dxa"/>
          </w:tcPr>
          <w:p w:rsidR="00202A47" w:rsidP="00C53B84" w14:paraId="0B60F8BC" w14:textId="77777777">
            <w:pPr>
              <w:spacing w:line="240" w:lineRule="atLeast"/>
              <w:ind w:right="430" w:firstLine="0"/>
            </w:pPr>
            <w:r>
              <w:t>Hon. Andrea E. Flint</w:t>
            </w:r>
          </w:p>
        </w:tc>
      </w:tr>
      <w:tr w14:paraId="0641CDC4" w14:textId="77777777" w:rsidTr="00C53B84">
        <w:tblPrEx>
          <w:tblW w:w="9576" w:type="dxa"/>
          <w:tblLayout w:type="fixed"/>
          <w:tblLook w:val="0000"/>
        </w:tblPrEx>
        <w:tc>
          <w:tcPr>
            <w:tcW w:w="4658" w:type="dxa"/>
          </w:tcPr>
          <w:p w:rsidR="00202A47" w:rsidP="00C53B84" w14:paraId="1769A357" w14:textId="77777777">
            <w:pPr>
              <w:spacing w:line="240" w:lineRule="atLeast"/>
              <w:ind w:right="430" w:firstLine="0"/>
            </w:pPr>
            <w:r>
              <w:t>Counsel for Appellant Susan Bassi:</w:t>
            </w:r>
          </w:p>
          <w:p w:rsidR="00202A47" w:rsidP="00C53B84" w14:paraId="4AABF069" w14:textId="77777777">
            <w:pPr>
              <w:spacing w:line="240" w:lineRule="atLeast"/>
              <w:ind w:right="430"/>
            </w:pPr>
          </w:p>
          <w:p w:rsidR="00202A47" w:rsidP="00C53B84" w14:paraId="4132C1A3" w14:textId="77777777">
            <w:pPr>
              <w:spacing w:line="240" w:lineRule="atLeast"/>
              <w:ind w:right="430" w:firstLine="0"/>
            </w:pPr>
          </w:p>
        </w:tc>
        <w:tc>
          <w:tcPr>
            <w:tcW w:w="4918" w:type="dxa"/>
          </w:tcPr>
          <w:p w:rsidR="00202A47" w:rsidP="00C53B84" w14:paraId="533B6DB8" w14:textId="77777777">
            <w:pPr>
              <w:spacing w:line="240" w:lineRule="auto"/>
              <w:ind w:firstLine="0"/>
            </w:pPr>
            <w:r>
              <w:t>Patrick Joseph Evans</w:t>
            </w:r>
          </w:p>
          <w:p w:rsidR="00202A47" w:rsidP="00C53B84" w14:paraId="29ED0E14" w14:textId="77777777">
            <w:pPr>
              <w:spacing w:line="240" w:lineRule="auto"/>
              <w:ind w:firstLine="0"/>
            </w:pPr>
          </w:p>
        </w:tc>
      </w:tr>
      <w:tr w14:paraId="0B287860" w14:textId="77777777" w:rsidTr="00C53B84">
        <w:tblPrEx>
          <w:tblW w:w="9576" w:type="dxa"/>
          <w:tblLayout w:type="fixed"/>
          <w:tblLook w:val="0000"/>
        </w:tblPrEx>
        <w:tc>
          <w:tcPr>
            <w:tcW w:w="4658" w:type="dxa"/>
          </w:tcPr>
          <w:p w:rsidR="00202A47" w:rsidP="00C53B84" w14:paraId="257F8A08" w14:textId="77777777">
            <w:pPr>
              <w:spacing w:line="240" w:lineRule="atLeast"/>
              <w:ind w:right="430" w:firstLine="0"/>
            </w:pPr>
            <w:r>
              <w:t>Counsel Respondent Robert Bassi:</w:t>
            </w:r>
          </w:p>
          <w:p w:rsidR="00202A47" w:rsidP="00C53B84" w14:paraId="28DF26BB" w14:textId="77777777">
            <w:pPr>
              <w:spacing w:line="240" w:lineRule="atLeast"/>
              <w:ind w:right="430" w:firstLine="0"/>
            </w:pPr>
          </w:p>
        </w:tc>
        <w:tc>
          <w:tcPr>
            <w:tcW w:w="4918" w:type="dxa"/>
          </w:tcPr>
          <w:p w:rsidR="00202A47" w:rsidP="00C53B84" w14:paraId="13DD94E6" w14:textId="77777777">
            <w:pPr>
              <w:spacing w:line="240" w:lineRule="auto"/>
              <w:ind w:firstLine="0"/>
            </w:pPr>
            <w:r>
              <w:t>Carlos Martinez</w:t>
            </w:r>
          </w:p>
          <w:p w:rsidR="00202A47" w:rsidP="00C53B84" w14:paraId="36A6018A" w14:textId="77777777">
            <w:pPr>
              <w:spacing w:line="240" w:lineRule="auto"/>
              <w:ind w:firstLine="0"/>
            </w:pPr>
            <w:r>
              <w:t>Christine Fumi Kawamoto</w:t>
            </w:r>
          </w:p>
          <w:p w:rsidR="00202A47" w:rsidP="00C53B84" w14:paraId="1995D7A3" w14:textId="77777777">
            <w:pPr>
              <w:spacing w:line="240" w:lineRule="auto"/>
              <w:ind w:firstLine="0"/>
            </w:pPr>
            <w:r>
              <w:t xml:space="preserve">Bay Area Law Firm </w:t>
            </w:r>
          </w:p>
          <w:p w:rsidR="00202A47" w:rsidP="00C53B84" w14:paraId="247E4D27" w14:textId="77777777">
            <w:pPr>
              <w:spacing w:line="240" w:lineRule="auto"/>
              <w:ind w:firstLine="0"/>
            </w:pPr>
          </w:p>
          <w:p w:rsidR="00202A47" w:rsidP="00C53B84" w14:paraId="1C6288D8" w14:textId="77777777">
            <w:pPr>
              <w:spacing w:line="240" w:lineRule="auto"/>
            </w:pPr>
            <w:r>
              <w:tab/>
            </w:r>
            <w:r>
              <w:tab/>
            </w:r>
            <w:r>
              <w:tab/>
            </w:r>
            <w:r>
              <w:tab/>
            </w:r>
            <w:r>
              <w:tab/>
            </w:r>
            <w:r>
              <w:tab/>
            </w:r>
            <w:r>
              <w:tab/>
            </w:r>
          </w:p>
        </w:tc>
      </w:tr>
      <w:bookmarkEnd w:id="7"/>
    </w:tbl>
    <w:p w:rsidR="00202A47" w:rsidP="00202A47" w14:paraId="2A9EAD4E" w14:textId="77777777"/>
    <w:p w:rsidR="00202A47" w:rsidP="00202A47" w14:paraId="246B462E" w14:textId="77777777"/>
    <w:p w:rsidR="00202A47" w:rsidP="00202A47" w14:paraId="42701912" w14:textId="77777777"/>
    <w:p w:rsidR="00202A47" w:rsidP="00202A47" w14:paraId="617E9084" w14:textId="77777777"/>
    <w:p w:rsidR="00202A47" w:rsidP="00202A47" w14:paraId="4F7B1502" w14:textId="77777777"/>
    <w:p w:rsidR="00202A47" w:rsidP="00202A47" w14:paraId="3FE1CDA3" w14:textId="77777777"/>
    <w:p w:rsidR="00202A47" w:rsidP="00202A47" w14:paraId="549AACDF" w14:textId="77777777"/>
    <w:p w:rsidR="00202A47" w:rsidP="00202A47" w14:paraId="4CE6CBDD" w14:textId="77777777"/>
    <w:p w:rsidR="00202A47" w:rsidP="00202A47" w14:paraId="4D27C9DB" w14:textId="77777777"/>
    <w:p w:rsidR="00202A47" w:rsidP="00202A47" w14:paraId="0A77B7F8" w14:textId="77777777">
      <w:pPr>
        <w:ind w:firstLine="0"/>
      </w:pPr>
    </w:p>
    <w:p w:rsidR="00202A47" w:rsidP="00202A47" w14:paraId="2DD95DAB" w14:textId="77777777"/>
    <w:p w:rsidR="00202A47" w:rsidP="00202A47" w14:paraId="06EB21EC" w14:textId="77777777">
      <w:pPr>
        <w:spacing w:line="240" w:lineRule="auto"/>
        <w:rPr>
          <w:b/>
        </w:rPr>
      </w:pPr>
    </w:p>
    <w:p w:rsidR="00202A47" w:rsidP="00202A47" w14:paraId="05810213" w14:textId="77777777">
      <w:pPr>
        <w:spacing w:line="240" w:lineRule="auto"/>
        <w:rPr>
          <w:b/>
        </w:rPr>
      </w:pPr>
    </w:p>
    <w:p w:rsidR="00202A47" w:rsidP="00202A47" w14:paraId="4139543D" w14:textId="77777777">
      <w:pPr>
        <w:spacing w:line="240" w:lineRule="auto"/>
        <w:rPr>
          <w:b/>
        </w:rPr>
      </w:pPr>
    </w:p>
    <w:p w:rsidR="00202A47" w:rsidP="00202A47" w14:paraId="4F6190FC" w14:textId="77777777">
      <w:pPr>
        <w:spacing w:line="240" w:lineRule="auto"/>
        <w:rPr>
          <w:b/>
        </w:rPr>
      </w:pPr>
    </w:p>
    <w:p w:rsidR="00202A47" w:rsidP="00202A47" w14:paraId="6D03F1CE" w14:textId="77777777">
      <w:pPr>
        <w:spacing w:line="240" w:lineRule="auto"/>
        <w:rPr>
          <w:b/>
        </w:rPr>
      </w:pPr>
    </w:p>
    <w:p w:rsidR="00202A47" w:rsidP="00202A47" w14:paraId="4B605902" w14:textId="77777777">
      <w:pPr>
        <w:spacing w:line="240" w:lineRule="auto"/>
        <w:rPr>
          <w:b/>
        </w:rPr>
      </w:pPr>
    </w:p>
    <w:p w:rsidR="00202A47" w:rsidP="00202A47" w14:paraId="4A436E3A" w14:textId="77777777">
      <w:pPr>
        <w:spacing w:line="240" w:lineRule="auto"/>
        <w:rPr>
          <w:b/>
        </w:rPr>
      </w:pPr>
    </w:p>
    <w:p w:rsidR="00202A47" w:rsidP="00202A47" w14:paraId="17E8925F" w14:textId="77777777">
      <w:pPr>
        <w:spacing w:line="240" w:lineRule="auto"/>
        <w:rPr>
          <w:b/>
        </w:rPr>
      </w:pPr>
      <w:r>
        <w:rPr>
          <w:b/>
        </w:rPr>
        <w:t>H049873</w:t>
      </w:r>
    </w:p>
    <w:p w:rsidR="00202A47" w:rsidRPr="00A9781B" w:rsidP="00202A47" w14:paraId="5043FE2F" w14:textId="77777777">
      <w:pPr>
        <w:autoSpaceDE w:val="0"/>
        <w:autoSpaceDN w:val="0"/>
        <w:adjustRightInd w:val="0"/>
        <w:spacing w:line="240" w:lineRule="auto"/>
        <w:rPr>
          <w:b/>
          <w:bCs/>
          <w:i/>
          <w:iCs/>
        </w:rPr>
      </w:pPr>
      <w:r>
        <w:rPr>
          <w:b/>
          <w:bCs/>
          <w:i/>
          <w:iCs/>
        </w:rPr>
        <w:t>Bassi v. Bassi</w:t>
      </w:r>
    </w:p>
    <w:p w:rsidR="00004477" w:rsidRPr="00004477" w:rsidP="00202A47" w14:paraId="5C579619" w14:textId="4165C990">
      <w:pPr>
        <w:tabs>
          <w:tab w:val="clear" w:pos="720"/>
        </w:tabs>
        <w:spacing w:after="160" w:line="480" w:lineRule="exact"/>
        <w:ind w:firstLine="0"/>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5968512"/>
      <w:docPartObj>
        <w:docPartGallery w:val="Page Numbers (Bottom of Page)"/>
        <w:docPartUnique/>
      </w:docPartObj>
    </w:sdtPr>
    <w:sdtEndPr>
      <w:rPr>
        <w:noProof/>
      </w:rPr>
    </w:sdtEndPr>
    <w:sdtContent>
      <w:p w:rsidR="002D669B" w14:paraId="1364966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D669B" w14:paraId="14EA69C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26F79" w:rsidP="002D669B" w14:paraId="56317236" w14:textId="77777777">
      <w:pPr>
        <w:spacing w:line="240" w:lineRule="auto"/>
      </w:pPr>
      <w:r>
        <w:separator/>
      </w:r>
    </w:p>
  </w:footnote>
  <w:footnote w:type="continuationSeparator" w:id="1">
    <w:p w:rsidR="00F26F79" w:rsidP="002D669B" w14:paraId="4A905CC3" w14:textId="77777777">
      <w:pPr>
        <w:spacing w:line="240" w:lineRule="auto"/>
      </w:pPr>
      <w:r>
        <w:continuationSeparator/>
      </w:r>
    </w:p>
  </w:footnote>
  <w:footnote w:type="continuationNotice" w:id="2">
    <w:p w:rsidR="00F26F79" w14:paraId="446BB80F" w14:textId="77777777">
      <w:pPr>
        <w:spacing w:line="240" w:lineRule="auto"/>
      </w:pPr>
    </w:p>
  </w:footnote>
  <w:footnote w:id="3">
    <w:p w:rsidR="00C9226A" w:rsidRPr="00AE49F9" w:rsidP="00C9226A" w14:paraId="5380C143" w14:textId="15D449CC">
      <w:pPr>
        <w:spacing w:line="240" w:lineRule="auto"/>
        <w:rPr>
          <w:rStyle w:val="footnoteChar"/>
        </w:rPr>
      </w:pPr>
      <w:r w:rsidRPr="003E675A">
        <w:rPr>
          <w:rStyle w:val="FootnoteReference"/>
          <w:b/>
          <w:bCs/>
        </w:rPr>
        <w:footnoteRef/>
      </w:r>
      <w:r>
        <w:t xml:space="preserve"> Before Danner, Acting P. J., Wilson, J., and Bromberg, J.</w:t>
      </w:r>
    </w:p>
  </w:footnote>
  <w:footnote w:id="4">
    <w:p w:rsidR="00D509DE" w:rsidP="00D509DE" w14:paraId="52B24E81" w14:textId="77777777">
      <w:pPr>
        <w:pStyle w:val="FootnoteText"/>
        <w:spacing w:line="240" w:lineRule="atLeast"/>
      </w:pPr>
      <w:r w:rsidRPr="00EC16D6">
        <w:rPr>
          <w:rStyle w:val="FootnoteReference"/>
          <w:b/>
          <w:bCs/>
        </w:rPr>
        <w:footnoteRef/>
      </w:r>
      <w:r>
        <w:t xml:space="preserve"> An anti-SLAPP motion is “a special motion to strike a ‘strategic lawsuit against public participation (SLAPP).’ ”  (</w:t>
      </w:r>
      <w:r w:rsidRPr="00EC16D6">
        <w:rPr>
          <w:i/>
          <w:iCs/>
        </w:rPr>
        <w:t>Parrish v. Latham &amp; Watkins</w:t>
      </w:r>
      <w:r>
        <w:t xml:space="preserve"> (2017) 3 Cal.5th 767, 773–774.)</w:t>
      </w:r>
    </w:p>
  </w:footnote>
  <w:footnote w:id="5">
    <w:p w:rsidR="00D509DE" w:rsidP="00D509DE" w14:paraId="61F802F4" w14:textId="091180DC">
      <w:pPr>
        <w:pStyle w:val="FootnoteText"/>
        <w:spacing w:line="240" w:lineRule="atLeast"/>
      </w:pPr>
      <w:r w:rsidRPr="003D5A31">
        <w:rPr>
          <w:rStyle w:val="FootnoteReference"/>
          <w:b/>
          <w:bCs/>
        </w:rPr>
        <w:footnoteRef/>
      </w:r>
      <w:r w:rsidRPr="003D5A31">
        <w:rPr>
          <w:b/>
          <w:bCs/>
        </w:rPr>
        <w:t xml:space="preserve"> </w:t>
      </w:r>
      <w:r w:rsidR="002C7CD9">
        <w:t>W</w:t>
      </w:r>
      <w:r w:rsidRPr="00D509DE">
        <w:t>e refer to the parties by their first names for clarity.</w:t>
      </w:r>
      <w:r w:rsidR="002C7CD9">
        <w:t xml:space="preserve"> </w:t>
      </w:r>
      <w:r w:rsidRPr="00D509DE">
        <w:t xml:space="preserve"> (See </w:t>
      </w:r>
      <w:r w:rsidRPr="006B2E8E">
        <w:rPr>
          <w:i/>
          <w:iCs/>
        </w:rPr>
        <w:t>Rubenstein v. Rubenstein</w:t>
      </w:r>
      <w:r w:rsidRPr="00D509DE">
        <w:t xml:space="preserve"> (200</w:t>
      </w:r>
      <w:r w:rsidR="00C9226A">
        <w:t>0</w:t>
      </w:r>
      <w:r w:rsidRPr="00D509DE">
        <w:t>) 81 Cal.App.4th 1131, 1136, fn. 1.)</w:t>
      </w:r>
    </w:p>
  </w:footnote>
  <w:footnote w:id="6">
    <w:p w:rsidR="00587D02" w:rsidP="006B2E8E" w14:paraId="3C4DC29B" w14:textId="5F26D8F7">
      <w:pPr>
        <w:pStyle w:val="FootnoteText"/>
        <w:tabs>
          <w:tab w:val="left" w:pos="7830"/>
        </w:tabs>
        <w:spacing w:line="240" w:lineRule="atLeast"/>
      </w:pPr>
      <w:r w:rsidRPr="006066D4">
        <w:rPr>
          <w:rStyle w:val="FootnoteReference"/>
          <w:b/>
          <w:bCs/>
        </w:rPr>
        <w:footnoteRef/>
      </w:r>
      <w:r>
        <w:t xml:space="preserve"> </w:t>
      </w:r>
      <w:r w:rsidR="0070699E">
        <w:t xml:space="preserve">Susan </w:t>
      </w:r>
      <w:r w:rsidR="00ED7D0C">
        <w:t xml:space="preserve">states </w:t>
      </w:r>
      <w:r w:rsidR="0070699E">
        <w:t xml:space="preserve">she </w:t>
      </w:r>
      <w:r w:rsidR="000B07AF">
        <w:t>is bringing a</w:t>
      </w:r>
      <w:r w:rsidR="0070699E">
        <w:t xml:space="preserve"> federal action against Robert and others under the Racketeer </w:t>
      </w:r>
      <w:r w:rsidR="000B07AF">
        <w:t xml:space="preserve">Influenced </w:t>
      </w:r>
      <w:r w:rsidR="0070699E">
        <w:t>and Corrupt Organization</w:t>
      </w:r>
      <w:r w:rsidR="000B07AF">
        <w:t>s</w:t>
      </w:r>
      <w:r w:rsidR="0070699E">
        <w:t xml:space="preserve"> Act</w:t>
      </w:r>
      <w:r w:rsidR="007E6936">
        <w:t xml:space="preserve"> (RICO)</w:t>
      </w:r>
      <w:r w:rsidR="0070699E">
        <w:t xml:space="preserve"> </w:t>
      </w:r>
      <w:r w:rsidR="007E6936">
        <w:t>(</w:t>
      </w:r>
      <w:r w:rsidR="0070699E">
        <w:t>18 U.S.C. § 1961 et seq.</w:t>
      </w:r>
      <w:r w:rsidR="007E6936">
        <w:t>)</w:t>
      </w:r>
      <w:r w:rsidR="0070699E">
        <w:t>.</w:t>
      </w:r>
      <w:r w:rsidR="00002B32">
        <w:t xml:space="preserve"> </w:t>
      </w:r>
    </w:p>
  </w:footnote>
  <w:footnote w:id="7">
    <w:p w:rsidR="004D4716" w:rsidP="004D4716" w14:paraId="51EF900C" w14:textId="3499CA7E">
      <w:pPr>
        <w:spacing w:line="240" w:lineRule="atLeast"/>
      </w:pPr>
      <w:r w:rsidRPr="004D4716">
        <w:rPr>
          <w:rStyle w:val="FootnoteReference"/>
          <w:b/>
          <w:bCs/>
        </w:rPr>
        <w:footnoteRef/>
      </w:r>
      <w:r w:rsidRPr="004D4716">
        <w:rPr>
          <w:b/>
          <w:bCs/>
        </w:rPr>
        <w:t xml:space="preserve"> </w:t>
      </w:r>
      <w:r w:rsidRPr="0004302D">
        <w:t>We draw the following facts from the pleadings</w:t>
      </w:r>
      <w:r>
        <w:t xml:space="preserve"> and</w:t>
      </w:r>
      <w:r w:rsidRPr="0004302D">
        <w:t xml:space="preserve"> supporting declarations submitted in the trial court</w:t>
      </w:r>
      <w:r w:rsidRPr="00654112">
        <w:t>.</w:t>
      </w:r>
      <w:r>
        <w:t xml:space="preserve">  </w:t>
      </w:r>
      <w:r w:rsidRPr="0004302D">
        <w:t xml:space="preserve">We accept </w:t>
      </w:r>
      <w:r>
        <w:t>Robert’s</w:t>
      </w:r>
      <w:r w:rsidRPr="0004302D">
        <w:t xml:space="preserve"> factual assertions as true for the purpose of resolving whether the trial court erred in </w:t>
      </w:r>
      <w:r>
        <w:t>denying Susan’s</w:t>
      </w:r>
      <w:r w:rsidRPr="0004302D">
        <w:t xml:space="preserve"> </w:t>
      </w:r>
      <w:r>
        <w:t xml:space="preserve">anti-SLAPP motion </w:t>
      </w:r>
      <w:r w:rsidRPr="00CD5F3B">
        <w:t xml:space="preserve">and consider only whether any contrary evidence from </w:t>
      </w:r>
      <w:r>
        <w:t>Susan</w:t>
      </w:r>
      <w:r w:rsidRPr="00CD5F3B">
        <w:t xml:space="preserve"> establishes </w:t>
      </w:r>
      <w:r>
        <w:t>her</w:t>
      </w:r>
      <w:r w:rsidRPr="00CD5F3B">
        <w:t xml:space="preserve"> entitlement to prevail as a matter of law.</w:t>
      </w:r>
      <w:r w:rsidRPr="0004302D">
        <w:t xml:space="preserve"> </w:t>
      </w:r>
      <w:r>
        <w:t xml:space="preserve"> </w:t>
      </w:r>
      <w:r w:rsidRPr="0004302D">
        <w:t>(</w:t>
      </w:r>
      <w:r w:rsidRPr="0004302D">
        <w:rPr>
          <w:i/>
          <w:iCs/>
        </w:rPr>
        <w:t>Park v. Board of Trustees of California State University</w:t>
      </w:r>
      <w:r w:rsidRPr="0004302D">
        <w:t xml:space="preserve"> (2017) 2 Cal.5th 1057, 1067</w:t>
      </w:r>
      <w:r>
        <w:t xml:space="preserve"> </w:t>
      </w:r>
      <w:r w:rsidRPr="0004302D">
        <w:t>(</w:t>
      </w:r>
      <w:r w:rsidRPr="0004302D">
        <w:rPr>
          <w:i/>
          <w:iCs/>
        </w:rPr>
        <w:t>Park</w:t>
      </w:r>
      <w:r w:rsidRPr="0004302D">
        <w:t>)</w:t>
      </w:r>
      <w:r>
        <w:t xml:space="preserve">; </w:t>
      </w:r>
      <w:r w:rsidRPr="0004302D">
        <w:rPr>
          <w:i/>
          <w:iCs/>
        </w:rPr>
        <w:t>Laker v. Board of Trustees of California State University</w:t>
      </w:r>
      <w:r>
        <w:t xml:space="preserve"> (2019) 32 Cal.App.5th 745, 754 (</w:t>
      </w:r>
      <w:r>
        <w:rPr>
          <w:i/>
          <w:iCs/>
        </w:rPr>
        <w:t>Laker</w:t>
      </w:r>
      <w:r w:rsidRPr="0004302D">
        <w:t>)</w:t>
      </w:r>
      <w:r w:rsidR="009339E7">
        <w:t>.)</w:t>
      </w:r>
      <w:r>
        <w:t xml:space="preserve">  </w:t>
      </w:r>
    </w:p>
  </w:footnote>
  <w:footnote w:id="8">
    <w:p w:rsidR="006066D4" w:rsidP="006066D4" w14:paraId="5140E8D9" w14:textId="26CAB960">
      <w:pPr>
        <w:pStyle w:val="FootnoteText"/>
        <w:spacing w:line="240" w:lineRule="atLeast"/>
      </w:pPr>
      <w:r w:rsidRPr="006066D4">
        <w:rPr>
          <w:rStyle w:val="FootnoteReference"/>
          <w:b/>
          <w:bCs/>
        </w:rPr>
        <w:footnoteRef/>
      </w:r>
      <w:r>
        <w:t xml:space="preserve"> A panel of this court affirmed the judgment in a</w:t>
      </w:r>
      <w:r w:rsidR="00D4379C">
        <w:t>n</w:t>
      </w:r>
      <w:r>
        <w:t xml:space="preserve"> </w:t>
      </w:r>
      <w:r w:rsidR="00162E7C">
        <w:t>un</w:t>
      </w:r>
      <w:r>
        <w:t>published opinion (</w:t>
      </w:r>
      <w:r w:rsidRPr="004921CC">
        <w:rPr>
          <w:i/>
          <w:iCs/>
        </w:rPr>
        <w:t xml:space="preserve">In re the Marriage of </w:t>
      </w:r>
      <w:r>
        <w:rPr>
          <w:i/>
          <w:iCs/>
        </w:rPr>
        <w:t>Bassi</w:t>
      </w:r>
      <w:r w:rsidRPr="004921CC">
        <w:rPr>
          <w:i/>
          <w:iCs/>
        </w:rPr>
        <w:t xml:space="preserve"> </w:t>
      </w:r>
      <w:r w:rsidRPr="00175192">
        <w:t>(</w:t>
      </w:r>
      <w:r>
        <w:t>June</w:t>
      </w:r>
      <w:r w:rsidRPr="00175192">
        <w:t xml:space="preserve"> </w:t>
      </w:r>
      <w:r>
        <w:t>22</w:t>
      </w:r>
      <w:r w:rsidRPr="00175192">
        <w:t>, 2023, H0</w:t>
      </w:r>
      <w:r>
        <w:t>46284</w:t>
      </w:r>
      <w:r w:rsidRPr="00175192">
        <w:t>)</w:t>
      </w:r>
      <w:r>
        <w:t xml:space="preserve">), and the California Supreme Court denied review </w:t>
      </w:r>
      <w:r w:rsidR="00BB7046">
        <w:t>(</w:t>
      </w:r>
      <w:r w:rsidRPr="004921CC" w:rsidR="00BB7046">
        <w:rPr>
          <w:i/>
          <w:iCs/>
        </w:rPr>
        <w:t xml:space="preserve">Marriage of </w:t>
      </w:r>
      <w:r w:rsidR="00BB7046">
        <w:rPr>
          <w:i/>
          <w:iCs/>
        </w:rPr>
        <w:t>Bassi</w:t>
      </w:r>
      <w:r w:rsidRPr="004921CC" w:rsidR="00BB7046">
        <w:rPr>
          <w:i/>
          <w:iCs/>
        </w:rPr>
        <w:t xml:space="preserve"> </w:t>
      </w:r>
      <w:r>
        <w:t>(Sept</w:t>
      </w:r>
      <w:r w:rsidR="00162E7C">
        <w:t>.</w:t>
      </w:r>
      <w:r>
        <w:t xml:space="preserve"> 13, 2023, S281233)</w:t>
      </w:r>
      <w:r w:rsidR="00BB7046">
        <w:t>)</w:t>
      </w:r>
      <w:r>
        <w:t>.</w:t>
      </w:r>
    </w:p>
  </w:footnote>
  <w:footnote w:id="9">
    <w:p w:rsidR="003B4E69" w:rsidP="003B4E69" w14:paraId="5338E497" w14:textId="77777777">
      <w:pPr>
        <w:pStyle w:val="Subtitle"/>
      </w:pPr>
      <w:r w:rsidRPr="00BE11FF">
        <w:rPr>
          <w:rStyle w:val="FootnoteReference"/>
          <w:b/>
          <w:bCs/>
        </w:rPr>
        <w:footnoteRef/>
      </w:r>
      <w:r w:rsidRPr="00BE11FF">
        <w:rPr>
          <w:b/>
          <w:bCs/>
        </w:rPr>
        <w:t xml:space="preserve"> </w:t>
      </w:r>
      <w:r>
        <w:t xml:space="preserve">Unless otherwise indicated, all dates were in 2021.  </w:t>
      </w:r>
    </w:p>
  </w:footnote>
  <w:footnote w:id="10">
    <w:p w:rsidR="00D65C2F" w:rsidP="00D65C2F" w14:paraId="63A8D811" w14:textId="77777777">
      <w:pPr>
        <w:pStyle w:val="Subtitle"/>
      </w:pPr>
      <w:r w:rsidRPr="003C2F3C">
        <w:rPr>
          <w:rStyle w:val="FootnoteReference"/>
          <w:b/>
          <w:bCs/>
        </w:rPr>
        <w:footnoteRef/>
      </w:r>
      <w:r>
        <w:t xml:space="preserve"> Unspecified statutory references are to the Code of Civil Procedure.</w:t>
      </w:r>
    </w:p>
  </w:footnote>
  <w:footnote w:id="11">
    <w:p w:rsidR="008A3756" w:rsidP="008A3756" w14:paraId="0AF8A976" w14:textId="3577B78A">
      <w:pPr>
        <w:spacing w:line="240" w:lineRule="atLeast"/>
      </w:pPr>
      <w:r w:rsidRPr="008A3756">
        <w:rPr>
          <w:rStyle w:val="FootnoteReference"/>
          <w:b/>
          <w:bCs/>
        </w:rPr>
        <w:footnoteRef/>
      </w:r>
      <w:r>
        <w:t xml:space="preserve"> </w:t>
      </w:r>
      <w:r w:rsidRPr="00A4005D">
        <w:t xml:space="preserve">The </w:t>
      </w:r>
      <w:r>
        <w:t xml:space="preserve">litigation </w:t>
      </w:r>
      <w:r w:rsidRPr="00A4005D">
        <w:t xml:space="preserve">privilege applies to a publication or broadcast made as part of a </w:t>
      </w:r>
      <w:r>
        <w:t>“</w:t>
      </w:r>
      <w:r w:rsidRPr="00A4005D">
        <w:t xml:space="preserve">judicial proceeding.” </w:t>
      </w:r>
      <w:r>
        <w:t xml:space="preserve"> </w:t>
      </w:r>
      <w:r w:rsidRPr="00A4005D">
        <w:t>(Civ.</w:t>
      </w:r>
      <w:r>
        <w:t xml:space="preserve"> </w:t>
      </w:r>
      <w:r w:rsidRPr="00A4005D">
        <w:t>Code, § 47, subd. (b).)</w:t>
      </w:r>
      <w:r>
        <w:t xml:space="preserve">  Though the litigation privilege is not substantively the same as the anti-SLAPP protection, it</w:t>
      </w:r>
      <w:r w:rsidRPr="00B14455">
        <w:t xml:space="preserve"> </w:t>
      </w:r>
      <w:r>
        <w:t>may be viewed as</w:t>
      </w:r>
      <w:r w:rsidRPr="00B14455">
        <w:t xml:space="preserve"> an aid </w:t>
      </w:r>
      <w:r>
        <w:t>at</w:t>
      </w:r>
      <w:r w:rsidRPr="00B14455">
        <w:t xml:space="preserve"> </w:t>
      </w:r>
      <w:r>
        <w:t>the first step in the anti-SLAPP analysis when deciding</w:t>
      </w:r>
      <w:r w:rsidRPr="00B14455">
        <w:t xml:space="preserve"> </w:t>
      </w:r>
      <w:r>
        <w:t>“</w:t>
      </w:r>
      <w:r w:rsidRPr="00B14455">
        <w:t>whether a given communication falls within the ambit of subdivisions (e)(1) and (2)</w:t>
      </w:r>
      <w:r>
        <w:t>” of section 425.16.  (</w:t>
      </w:r>
      <w:r w:rsidRPr="006C6B35">
        <w:rPr>
          <w:i/>
          <w:iCs/>
        </w:rPr>
        <w:t>Flatley v. Mauro</w:t>
      </w:r>
      <w:r>
        <w:t xml:space="preserve"> (2006) 39 Cal.4th 299, 323</w:t>
      </w:r>
      <w:r w:rsidR="00127490">
        <w:t xml:space="preserve"> (</w:t>
      </w:r>
      <w:r w:rsidR="00127490">
        <w:rPr>
          <w:i/>
          <w:iCs/>
        </w:rPr>
        <w:t>Flatley</w:t>
      </w:r>
      <w:r w:rsidR="00127490">
        <w:t>)</w:t>
      </w:r>
      <w:r>
        <w:t xml:space="preserve">.) </w:t>
      </w:r>
    </w:p>
  </w:footnote>
  <w:footnote w:id="12">
    <w:p w:rsidR="00D26584" w:rsidP="00573E7A" w14:paraId="12CA4404" w14:textId="36553DE0">
      <w:pPr>
        <w:spacing w:line="240" w:lineRule="atLeast"/>
      </w:pPr>
      <w:r w:rsidRPr="00FD6578">
        <w:rPr>
          <w:rStyle w:val="FootnoteReference"/>
          <w:b/>
          <w:bCs/>
        </w:rPr>
        <w:footnoteRef/>
      </w:r>
      <w:r>
        <w:t xml:space="preserve"> Susan asserts on appeal that both “the marital dissolution and seed RICO were the subjects of the” e-mails that prompted Robert’s DVRO petition.  However, in reviewing de novo the anti-SLAPP motion, we look to the record before the trial court.  </w:t>
      </w:r>
      <w:r w:rsidR="00573E7A">
        <w:t xml:space="preserve">Specifically, </w:t>
      </w:r>
      <w:r w:rsidR="007B1015">
        <w:t>“</w:t>
      </w:r>
      <w:r w:rsidR="00573E7A">
        <w:t xml:space="preserve">[w]e consider ‘the pleadings, and supporting and opposing affidavits </w:t>
      </w:r>
      <w:r w:rsidR="0070719C">
        <w:t xml:space="preserve">. . . </w:t>
      </w:r>
      <w:r w:rsidR="00573E7A">
        <w:t>upon which the liability or defense is based.’</w:t>
      </w:r>
      <w:r w:rsidR="0070719C">
        <w:t xml:space="preserve"> </w:t>
      </w:r>
      <w:r w:rsidR="00573E7A">
        <w:t> (§ 425.16, subd. (b)(2).)”  (</w:t>
      </w:r>
      <w:r w:rsidRPr="00CF1A7B" w:rsidR="00573E7A">
        <w:rPr>
          <w:i/>
          <w:iCs/>
        </w:rPr>
        <w:t>Soukup</w:t>
      </w:r>
      <w:r w:rsidR="00573E7A">
        <w:t xml:space="preserve">, </w:t>
      </w:r>
      <w:r w:rsidR="00573E7A">
        <w:rPr>
          <w:i/>
          <w:iCs/>
        </w:rPr>
        <w:t>supra</w:t>
      </w:r>
      <w:r w:rsidR="00573E7A">
        <w:t>, 39 Cal.4th at p. 269</w:t>
      </w:r>
      <w:r w:rsidR="0070719C">
        <w:t>, fn. 3</w:t>
      </w:r>
      <w:r w:rsidR="00573E7A">
        <w:t xml:space="preserve">.)  </w:t>
      </w:r>
      <w:r>
        <w:t xml:space="preserve">Susan’s </w:t>
      </w:r>
      <w:r w:rsidR="00C86585">
        <w:t xml:space="preserve">declaration </w:t>
      </w:r>
      <w:r>
        <w:t xml:space="preserve">in the trial court centered on the proposed RICO action as the basis for her </w:t>
      </w:r>
      <w:r w:rsidR="007729D4">
        <w:t xml:space="preserve">anti-SLAPP </w:t>
      </w:r>
      <w:r>
        <w:t xml:space="preserve">claim, </w:t>
      </w:r>
      <w:r w:rsidR="00EE76BA">
        <w:t>with the</w:t>
      </w:r>
      <w:r>
        <w:t xml:space="preserve"> ongoing family law litigation </w:t>
      </w:r>
      <w:r w:rsidR="00C86585">
        <w:t xml:space="preserve">provided </w:t>
      </w:r>
      <w:r w:rsidR="00EE76BA">
        <w:t>only for context</w:t>
      </w:r>
      <w:r>
        <w:t xml:space="preserve">.  </w:t>
      </w:r>
      <w:r w:rsidR="005D4285">
        <w:t xml:space="preserve">The declaration of Susan’s counsel, Evans, in support of her motion similarly addresses the RICO action as the basis for the anti-SLAPP claim.  </w:t>
      </w:r>
      <w:r>
        <w:t>Accordingly, we focus our analysis of the e-mails as “seed RICO” litigation related speech.</w:t>
      </w:r>
    </w:p>
  </w:footnote>
  <w:footnote w:id="13">
    <w:p w:rsidR="00BC33CD" w:rsidP="00BC33CD" w14:paraId="7A34030A" w14:textId="2F7F21ED">
      <w:pPr>
        <w:spacing w:line="240" w:lineRule="atLeast"/>
      </w:pPr>
      <w:r w:rsidRPr="00BC33CD">
        <w:rPr>
          <w:rStyle w:val="FootnoteReference"/>
          <w:b/>
          <w:bCs/>
        </w:rPr>
        <w:footnoteRef/>
      </w:r>
      <w:r>
        <w:t xml:space="preserve"> </w:t>
      </w:r>
      <w:r w:rsidRPr="00BC6FB4">
        <w:t xml:space="preserve">We refer to </w:t>
      </w:r>
      <w:r>
        <w:t xml:space="preserve">third parties named in the e-mails </w:t>
      </w:r>
      <w:r w:rsidRPr="00BC6FB4">
        <w:t xml:space="preserve">by first initial to protect </w:t>
      </w:r>
      <w:r>
        <w:t>their</w:t>
      </w:r>
      <w:r w:rsidRPr="00BC6FB4">
        <w:t xml:space="preserve"> privacy interests. </w:t>
      </w:r>
      <w:r>
        <w:t xml:space="preserve"> </w:t>
      </w:r>
      <w:r w:rsidRPr="00BC6FB4">
        <w:t>(Cal. Rules of Court, rule 8.90(b)</w:t>
      </w:r>
      <w:r>
        <w:t>(10)</w:t>
      </w:r>
      <w:r w:rsidRPr="00BC6FB4">
        <w:t>.)</w:t>
      </w:r>
      <w:r>
        <w:t xml:space="preserve">  </w:t>
      </w:r>
    </w:p>
  </w:footnote>
  <w:footnote w:id="14">
    <w:p w:rsidR="00735090" w:rsidRPr="00735090" w:rsidP="003B4E69" w14:paraId="51F2E5FF" w14:textId="5516B86D">
      <w:pPr>
        <w:pStyle w:val="FootnoteText"/>
        <w:spacing w:line="240" w:lineRule="atLeast"/>
        <w:rPr>
          <w:szCs w:val="26"/>
        </w:rPr>
      </w:pPr>
      <w:r w:rsidRPr="003B4E69">
        <w:rPr>
          <w:rStyle w:val="FootnoteReference"/>
          <w:b/>
          <w:bCs/>
          <w:szCs w:val="26"/>
        </w:rPr>
        <w:footnoteRef/>
      </w:r>
      <w:r w:rsidRPr="00735090">
        <w:rPr>
          <w:szCs w:val="26"/>
        </w:rPr>
        <w:t xml:space="preserve"> </w:t>
      </w:r>
      <w:r w:rsidRPr="003B4E69">
        <w:rPr>
          <w:rStyle w:val="cf01"/>
          <w:rFonts w:ascii="Times New Roman" w:hAnsi="Times New Roman" w:cs="Times New Roman"/>
          <w:sz w:val="26"/>
          <w:szCs w:val="26"/>
        </w:rPr>
        <w:t>Susan points to the fact that Robert</w:t>
      </w:r>
      <w:r>
        <w:rPr>
          <w:rStyle w:val="cf01"/>
          <w:rFonts w:ascii="Times New Roman" w:hAnsi="Times New Roman" w:cs="Times New Roman"/>
          <w:sz w:val="26"/>
          <w:szCs w:val="26"/>
        </w:rPr>
        <w:t>’</w:t>
      </w:r>
      <w:r w:rsidRPr="003B4E69">
        <w:rPr>
          <w:rStyle w:val="cf01"/>
          <w:rFonts w:ascii="Times New Roman" w:hAnsi="Times New Roman" w:cs="Times New Roman"/>
          <w:sz w:val="26"/>
          <w:szCs w:val="26"/>
        </w:rPr>
        <w:t xml:space="preserve">s divorce attorney, Martinez, has refused to receive RICO-related communications, and Robert has not designated </w:t>
      </w:r>
      <w:r>
        <w:rPr>
          <w:rStyle w:val="cf01"/>
          <w:rFonts w:ascii="Times New Roman" w:hAnsi="Times New Roman" w:cs="Times New Roman"/>
          <w:sz w:val="26"/>
          <w:szCs w:val="26"/>
        </w:rPr>
        <w:t>other counsel for this purpose.</w:t>
      </w:r>
      <w:r w:rsidRPr="003B4E69">
        <w:rPr>
          <w:rStyle w:val="cf01"/>
          <w:rFonts w:ascii="Times New Roman" w:hAnsi="Times New Roman" w:cs="Times New Roman"/>
          <w:sz w:val="26"/>
          <w:szCs w:val="26"/>
        </w:rPr>
        <w:t xml:space="preserve"> </w:t>
      </w:r>
      <w:r>
        <w:rPr>
          <w:rStyle w:val="cf01"/>
          <w:rFonts w:ascii="Times New Roman" w:hAnsi="Times New Roman" w:cs="Times New Roman"/>
          <w:sz w:val="26"/>
          <w:szCs w:val="26"/>
        </w:rPr>
        <w:t xml:space="preserve"> However, this</w:t>
      </w:r>
      <w:r w:rsidRPr="003B4E69">
        <w:rPr>
          <w:rStyle w:val="cf01"/>
          <w:rFonts w:ascii="Times New Roman" w:hAnsi="Times New Roman" w:cs="Times New Roman"/>
          <w:sz w:val="26"/>
          <w:szCs w:val="26"/>
        </w:rPr>
        <w:t xml:space="preserve"> refusal would not preclude Susan from contacting </w:t>
      </w:r>
      <w:r>
        <w:rPr>
          <w:rStyle w:val="cf01"/>
          <w:rFonts w:ascii="Times New Roman" w:hAnsi="Times New Roman" w:cs="Times New Roman"/>
          <w:sz w:val="26"/>
          <w:szCs w:val="26"/>
        </w:rPr>
        <w:t>Martinez</w:t>
      </w:r>
      <w:r w:rsidRPr="003B4E69">
        <w:rPr>
          <w:rStyle w:val="cf01"/>
          <w:rFonts w:ascii="Times New Roman" w:hAnsi="Times New Roman" w:cs="Times New Roman"/>
          <w:sz w:val="26"/>
          <w:szCs w:val="26"/>
        </w:rPr>
        <w:t xml:space="preserve"> regarding settlement overtures related to the then-pending family law litigation. </w:t>
      </w:r>
      <w:r>
        <w:rPr>
          <w:rStyle w:val="cf01"/>
          <w:rFonts w:ascii="Times New Roman" w:hAnsi="Times New Roman" w:cs="Times New Roman"/>
          <w:sz w:val="26"/>
          <w:szCs w:val="26"/>
        </w:rPr>
        <w:t xml:space="preserve"> </w:t>
      </w:r>
      <w:r w:rsidRPr="003B4E69">
        <w:rPr>
          <w:rStyle w:val="cf01"/>
          <w:rFonts w:ascii="Times New Roman" w:hAnsi="Times New Roman" w:cs="Times New Roman"/>
          <w:sz w:val="26"/>
          <w:szCs w:val="26"/>
        </w:rPr>
        <w:t>Nor would that refusal prevent Susan from filing her federal complaint and effecting service of process on Robert through a process server.</w:t>
      </w:r>
    </w:p>
  </w:footnote>
  <w:footnote w:id="15">
    <w:p w:rsidR="00202A47" w:rsidRPr="00AE49F9" w:rsidP="00202A47" w14:paraId="1EEDC766" w14:textId="77777777">
      <w:pPr>
        <w:spacing w:line="240" w:lineRule="auto"/>
        <w:rPr>
          <w:rStyle w:val="footnoteChar"/>
        </w:rPr>
      </w:pPr>
      <w:r w:rsidRPr="003E675A">
        <w:rPr>
          <w:rStyle w:val="FootnoteReference"/>
          <w:b/>
          <w:bCs/>
        </w:rPr>
        <w:footnoteRef/>
      </w:r>
      <w:r>
        <w:t xml:space="preserve"> Before Danner, Acting P. J., Wilson, J., and Bromberg, 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8E2D90"/>
    <w:multiLevelType w:val="hybridMultilevel"/>
    <w:tmpl w:val="BEC2B08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B607F89"/>
    <w:multiLevelType w:val="hybridMultilevel"/>
    <w:tmpl w:val="0EE6F158"/>
    <w:lvl w:ilvl="0">
      <w:start w:val="1"/>
      <w:numFmt w:val="decimal"/>
      <w:pStyle w:val="Heading3"/>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7D1015AF"/>
    <w:multiLevelType w:val="hybridMultilevel"/>
    <w:tmpl w:val="2B58375C"/>
    <w:lvl w:ilvl="0">
      <w:start w:val="425"/>
      <w:numFmt w:val="decimal"/>
      <w:lvlText w:val="%1."/>
      <w:lvlJc w:val="left"/>
      <w:pPr>
        <w:ind w:left="1080" w:hanging="360"/>
      </w:pPr>
      <w:rPr>
        <w:rFonts w:eastAsiaTheme="minorHAnsi"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77"/>
    <w:rsid w:val="000005EC"/>
    <w:rsid w:val="00002699"/>
    <w:rsid w:val="00002B32"/>
    <w:rsid w:val="00004477"/>
    <w:rsid w:val="00006B09"/>
    <w:rsid w:val="000078CA"/>
    <w:rsid w:val="00010D81"/>
    <w:rsid w:val="00011225"/>
    <w:rsid w:val="00011C1A"/>
    <w:rsid w:val="00012BF6"/>
    <w:rsid w:val="00014174"/>
    <w:rsid w:val="00015178"/>
    <w:rsid w:val="00016362"/>
    <w:rsid w:val="000171DB"/>
    <w:rsid w:val="000172E1"/>
    <w:rsid w:val="00020907"/>
    <w:rsid w:val="0002144B"/>
    <w:rsid w:val="00022B8D"/>
    <w:rsid w:val="00023827"/>
    <w:rsid w:val="00026DD4"/>
    <w:rsid w:val="00031405"/>
    <w:rsid w:val="00031653"/>
    <w:rsid w:val="000316A0"/>
    <w:rsid w:val="00034E9E"/>
    <w:rsid w:val="0004302D"/>
    <w:rsid w:val="000456AC"/>
    <w:rsid w:val="00047799"/>
    <w:rsid w:val="00047FEE"/>
    <w:rsid w:val="000522DD"/>
    <w:rsid w:val="00053066"/>
    <w:rsid w:val="00053657"/>
    <w:rsid w:val="00053EC0"/>
    <w:rsid w:val="00054690"/>
    <w:rsid w:val="00054DDC"/>
    <w:rsid w:val="000558F0"/>
    <w:rsid w:val="00056263"/>
    <w:rsid w:val="00060A36"/>
    <w:rsid w:val="000615C8"/>
    <w:rsid w:val="00063445"/>
    <w:rsid w:val="00063F85"/>
    <w:rsid w:val="00065D7F"/>
    <w:rsid w:val="00066FC4"/>
    <w:rsid w:val="000700FB"/>
    <w:rsid w:val="00073191"/>
    <w:rsid w:val="00073522"/>
    <w:rsid w:val="00073E51"/>
    <w:rsid w:val="00074D0D"/>
    <w:rsid w:val="00074D13"/>
    <w:rsid w:val="00074E82"/>
    <w:rsid w:val="000766FC"/>
    <w:rsid w:val="0008051E"/>
    <w:rsid w:val="00081D93"/>
    <w:rsid w:val="00082F79"/>
    <w:rsid w:val="000831EC"/>
    <w:rsid w:val="00083A2F"/>
    <w:rsid w:val="00084A4F"/>
    <w:rsid w:val="00085822"/>
    <w:rsid w:val="00092519"/>
    <w:rsid w:val="00092C55"/>
    <w:rsid w:val="000939C2"/>
    <w:rsid w:val="000964B1"/>
    <w:rsid w:val="000968C2"/>
    <w:rsid w:val="00097A57"/>
    <w:rsid w:val="000A1A67"/>
    <w:rsid w:val="000A31EB"/>
    <w:rsid w:val="000A42C2"/>
    <w:rsid w:val="000A4DE7"/>
    <w:rsid w:val="000B021F"/>
    <w:rsid w:val="000B07AF"/>
    <w:rsid w:val="000B0DBB"/>
    <w:rsid w:val="000B0ED8"/>
    <w:rsid w:val="000B116A"/>
    <w:rsid w:val="000B1691"/>
    <w:rsid w:val="000B3723"/>
    <w:rsid w:val="000B48C6"/>
    <w:rsid w:val="000B59EB"/>
    <w:rsid w:val="000B5F44"/>
    <w:rsid w:val="000B63B5"/>
    <w:rsid w:val="000C061C"/>
    <w:rsid w:val="000C0734"/>
    <w:rsid w:val="000C1422"/>
    <w:rsid w:val="000C2AD9"/>
    <w:rsid w:val="000C3699"/>
    <w:rsid w:val="000C4076"/>
    <w:rsid w:val="000C5AF5"/>
    <w:rsid w:val="000C645C"/>
    <w:rsid w:val="000C6920"/>
    <w:rsid w:val="000C716F"/>
    <w:rsid w:val="000D046B"/>
    <w:rsid w:val="000D2EC7"/>
    <w:rsid w:val="000D372F"/>
    <w:rsid w:val="000D4BAB"/>
    <w:rsid w:val="000E08F6"/>
    <w:rsid w:val="000E0ACB"/>
    <w:rsid w:val="000E29B7"/>
    <w:rsid w:val="000E34E2"/>
    <w:rsid w:val="000E4655"/>
    <w:rsid w:val="000E477F"/>
    <w:rsid w:val="000E4E09"/>
    <w:rsid w:val="000E50F4"/>
    <w:rsid w:val="000E5A41"/>
    <w:rsid w:val="000E6567"/>
    <w:rsid w:val="000E660E"/>
    <w:rsid w:val="000F1FAC"/>
    <w:rsid w:val="000F52C8"/>
    <w:rsid w:val="000F5714"/>
    <w:rsid w:val="000F5C72"/>
    <w:rsid w:val="000F7C4B"/>
    <w:rsid w:val="001052F0"/>
    <w:rsid w:val="001105D4"/>
    <w:rsid w:val="0011114D"/>
    <w:rsid w:val="00112A97"/>
    <w:rsid w:val="00112D45"/>
    <w:rsid w:val="00112DB5"/>
    <w:rsid w:val="0011492E"/>
    <w:rsid w:val="00123612"/>
    <w:rsid w:val="00125373"/>
    <w:rsid w:val="00127490"/>
    <w:rsid w:val="0012775E"/>
    <w:rsid w:val="00130086"/>
    <w:rsid w:val="00133205"/>
    <w:rsid w:val="00134475"/>
    <w:rsid w:val="001346A1"/>
    <w:rsid w:val="00134D43"/>
    <w:rsid w:val="001373B0"/>
    <w:rsid w:val="00137F04"/>
    <w:rsid w:val="00141753"/>
    <w:rsid w:val="00142952"/>
    <w:rsid w:val="00144E63"/>
    <w:rsid w:val="00146C45"/>
    <w:rsid w:val="001471C5"/>
    <w:rsid w:val="00150A21"/>
    <w:rsid w:val="00151042"/>
    <w:rsid w:val="00151249"/>
    <w:rsid w:val="00151EF3"/>
    <w:rsid w:val="00153B2E"/>
    <w:rsid w:val="00153FBE"/>
    <w:rsid w:val="00154795"/>
    <w:rsid w:val="0015511D"/>
    <w:rsid w:val="00155179"/>
    <w:rsid w:val="001553F2"/>
    <w:rsid w:val="001555DB"/>
    <w:rsid w:val="00155911"/>
    <w:rsid w:val="001560CA"/>
    <w:rsid w:val="00160011"/>
    <w:rsid w:val="00160184"/>
    <w:rsid w:val="001618E3"/>
    <w:rsid w:val="00162E7C"/>
    <w:rsid w:val="0016580D"/>
    <w:rsid w:val="0017294E"/>
    <w:rsid w:val="00175192"/>
    <w:rsid w:val="00175847"/>
    <w:rsid w:val="00175890"/>
    <w:rsid w:val="00176988"/>
    <w:rsid w:val="001773BD"/>
    <w:rsid w:val="00182ADF"/>
    <w:rsid w:val="001903EE"/>
    <w:rsid w:val="00190590"/>
    <w:rsid w:val="001912E4"/>
    <w:rsid w:val="00191837"/>
    <w:rsid w:val="00192385"/>
    <w:rsid w:val="00193E56"/>
    <w:rsid w:val="00193FA7"/>
    <w:rsid w:val="00194CB2"/>
    <w:rsid w:val="00195A83"/>
    <w:rsid w:val="00195C95"/>
    <w:rsid w:val="00195EF4"/>
    <w:rsid w:val="001A06DB"/>
    <w:rsid w:val="001A36EA"/>
    <w:rsid w:val="001A461C"/>
    <w:rsid w:val="001A4657"/>
    <w:rsid w:val="001A73E1"/>
    <w:rsid w:val="001B10E5"/>
    <w:rsid w:val="001B20FD"/>
    <w:rsid w:val="001B5857"/>
    <w:rsid w:val="001B5A4E"/>
    <w:rsid w:val="001B7A8D"/>
    <w:rsid w:val="001C0B57"/>
    <w:rsid w:val="001C12BF"/>
    <w:rsid w:val="001C28D8"/>
    <w:rsid w:val="001C2CEE"/>
    <w:rsid w:val="001C2FE7"/>
    <w:rsid w:val="001C7206"/>
    <w:rsid w:val="001D2E6B"/>
    <w:rsid w:val="001D3EE5"/>
    <w:rsid w:val="001D6C7A"/>
    <w:rsid w:val="001D707B"/>
    <w:rsid w:val="001E1385"/>
    <w:rsid w:val="001E16E1"/>
    <w:rsid w:val="001E2D0E"/>
    <w:rsid w:val="001E3186"/>
    <w:rsid w:val="001E3536"/>
    <w:rsid w:val="001E4A59"/>
    <w:rsid w:val="001E4B0D"/>
    <w:rsid w:val="001E5B43"/>
    <w:rsid w:val="001E5C9D"/>
    <w:rsid w:val="001E6036"/>
    <w:rsid w:val="001E62EB"/>
    <w:rsid w:val="001E64BA"/>
    <w:rsid w:val="001F04B3"/>
    <w:rsid w:val="001F0906"/>
    <w:rsid w:val="001F2047"/>
    <w:rsid w:val="001F2E9C"/>
    <w:rsid w:val="001F3544"/>
    <w:rsid w:val="001F441F"/>
    <w:rsid w:val="001F48DE"/>
    <w:rsid w:val="001F5665"/>
    <w:rsid w:val="001F5E7C"/>
    <w:rsid w:val="001F6FD9"/>
    <w:rsid w:val="001F7DE6"/>
    <w:rsid w:val="00200847"/>
    <w:rsid w:val="002009F3"/>
    <w:rsid w:val="0020103E"/>
    <w:rsid w:val="0020179B"/>
    <w:rsid w:val="00202A47"/>
    <w:rsid w:val="00203F69"/>
    <w:rsid w:val="00204493"/>
    <w:rsid w:val="00206DE1"/>
    <w:rsid w:val="0020773D"/>
    <w:rsid w:val="00207852"/>
    <w:rsid w:val="00207DDC"/>
    <w:rsid w:val="00211FEE"/>
    <w:rsid w:val="00212A8E"/>
    <w:rsid w:val="00212FA5"/>
    <w:rsid w:val="00214040"/>
    <w:rsid w:val="00216C56"/>
    <w:rsid w:val="002171D9"/>
    <w:rsid w:val="002179AD"/>
    <w:rsid w:val="00222E85"/>
    <w:rsid w:val="0022302A"/>
    <w:rsid w:val="002230FD"/>
    <w:rsid w:val="00223518"/>
    <w:rsid w:val="002240D4"/>
    <w:rsid w:val="00230594"/>
    <w:rsid w:val="002309B2"/>
    <w:rsid w:val="00230B7B"/>
    <w:rsid w:val="00230E81"/>
    <w:rsid w:val="00230EE4"/>
    <w:rsid w:val="00231E15"/>
    <w:rsid w:val="0023270A"/>
    <w:rsid w:val="00232831"/>
    <w:rsid w:val="00233277"/>
    <w:rsid w:val="00233656"/>
    <w:rsid w:val="00233B6B"/>
    <w:rsid w:val="002341FF"/>
    <w:rsid w:val="0023590A"/>
    <w:rsid w:val="00237BCE"/>
    <w:rsid w:val="002404C0"/>
    <w:rsid w:val="002424D8"/>
    <w:rsid w:val="00242A03"/>
    <w:rsid w:val="00243630"/>
    <w:rsid w:val="00243EAE"/>
    <w:rsid w:val="00245B4A"/>
    <w:rsid w:val="00246CE6"/>
    <w:rsid w:val="00247A41"/>
    <w:rsid w:val="00250F59"/>
    <w:rsid w:val="0025130C"/>
    <w:rsid w:val="00253552"/>
    <w:rsid w:val="0025368D"/>
    <w:rsid w:val="00254534"/>
    <w:rsid w:val="00254DFB"/>
    <w:rsid w:val="00255443"/>
    <w:rsid w:val="00255C1B"/>
    <w:rsid w:val="00256FA6"/>
    <w:rsid w:val="0025754D"/>
    <w:rsid w:val="00260239"/>
    <w:rsid w:val="0026276D"/>
    <w:rsid w:val="00262A74"/>
    <w:rsid w:val="00262B1A"/>
    <w:rsid w:val="00262F50"/>
    <w:rsid w:val="002632A5"/>
    <w:rsid w:val="00263E02"/>
    <w:rsid w:val="002651E3"/>
    <w:rsid w:val="00267216"/>
    <w:rsid w:val="00267FF5"/>
    <w:rsid w:val="00270CA0"/>
    <w:rsid w:val="002713D0"/>
    <w:rsid w:val="0027252D"/>
    <w:rsid w:val="0027453C"/>
    <w:rsid w:val="00275F81"/>
    <w:rsid w:val="00282E7B"/>
    <w:rsid w:val="00290134"/>
    <w:rsid w:val="00291433"/>
    <w:rsid w:val="00294BAC"/>
    <w:rsid w:val="002A0BE8"/>
    <w:rsid w:val="002A15D9"/>
    <w:rsid w:val="002A1B18"/>
    <w:rsid w:val="002A2006"/>
    <w:rsid w:val="002A2B7C"/>
    <w:rsid w:val="002A52BA"/>
    <w:rsid w:val="002A5714"/>
    <w:rsid w:val="002A65DD"/>
    <w:rsid w:val="002A7CB5"/>
    <w:rsid w:val="002B07A5"/>
    <w:rsid w:val="002B1382"/>
    <w:rsid w:val="002B32DB"/>
    <w:rsid w:val="002B3BE3"/>
    <w:rsid w:val="002B4BCC"/>
    <w:rsid w:val="002B6365"/>
    <w:rsid w:val="002B6615"/>
    <w:rsid w:val="002B7695"/>
    <w:rsid w:val="002C0797"/>
    <w:rsid w:val="002C40B1"/>
    <w:rsid w:val="002C5660"/>
    <w:rsid w:val="002C5B25"/>
    <w:rsid w:val="002C6055"/>
    <w:rsid w:val="002C76AF"/>
    <w:rsid w:val="002C7CD9"/>
    <w:rsid w:val="002D0C42"/>
    <w:rsid w:val="002D15EE"/>
    <w:rsid w:val="002D172C"/>
    <w:rsid w:val="002D219B"/>
    <w:rsid w:val="002D368F"/>
    <w:rsid w:val="002D3BD6"/>
    <w:rsid w:val="002D5D16"/>
    <w:rsid w:val="002D669B"/>
    <w:rsid w:val="002D775C"/>
    <w:rsid w:val="002E1B84"/>
    <w:rsid w:val="002E313C"/>
    <w:rsid w:val="002E753E"/>
    <w:rsid w:val="002F0BBC"/>
    <w:rsid w:val="002F0F6B"/>
    <w:rsid w:val="002F2433"/>
    <w:rsid w:val="002F39B9"/>
    <w:rsid w:val="002F40EA"/>
    <w:rsid w:val="002F41CA"/>
    <w:rsid w:val="002F462B"/>
    <w:rsid w:val="002F6BE3"/>
    <w:rsid w:val="00300037"/>
    <w:rsid w:val="003000CD"/>
    <w:rsid w:val="00302EC4"/>
    <w:rsid w:val="003060A1"/>
    <w:rsid w:val="00307049"/>
    <w:rsid w:val="00307BAF"/>
    <w:rsid w:val="0031072C"/>
    <w:rsid w:val="003112FC"/>
    <w:rsid w:val="003119CB"/>
    <w:rsid w:val="00311E61"/>
    <w:rsid w:val="00315246"/>
    <w:rsid w:val="003179C7"/>
    <w:rsid w:val="003200FA"/>
    <w:rsid w:val="00320DA2"/>
    <w:rsid w:val="00320F62"/>
    <w:rsid w:val="00320F9C"/>
    <w:rsid w:val="003222F5"/>
    <w:rsid w:val="003245CE"/>
    <w:rsid w:val="00325E05"/>
    <w:rsid w:val="003279AC"/>
    <w:rsid w:val="00331C26"/>
    <w:rsid w:val="00332CC9"/>
    <w:rsid w:val="00334DB9"/>
    <w:rsid w:val="00335753"/>
    <w:rsid w:val="00336CF4"/>
    <w:rsid w:val="00337297"/>
    <w:rsid w:val="00337BAC"/>
    <w:rsid w:val="00342C74"/>
    <w:rsid w:val="00343687"/>
    <w:rsid w:val="003449A0"/>
    <w:rsid w:val="00345A4D"/>
    <w:rsid w:val="00346F33"/>
    <w:rsid w:val="00351896"/>
    <w:rsid w:val="0035608D"/>
    <w:rsid w:val="00356C27"/>
    <w:rsid w:val="003575CA"/>
    <w:rsid w:val="00357EC0"/>
    <w:rsid w:val="00360F3D"/>
    <w:rsid w:val="00361C4C"/>
    <w:rsid w:val="00361EB7"/>
    <w:rsid w:val="003643D9"/>
    <w:rsid w:val="00365C11"/>
    <w:rsid w:val="00366C64"/>
    <w:rsid w:val="003677D5"/>
    <w:rsid w:val="0037005E"/>
    <w:rsid w:val="00370C8D"/>
    <w:rsid w:val="00371A2C"/>
    <w:rsid w:val="00371DF7"/>
    <w:rsid w:val="0037367F"/>
    <w:rsid w:val="0037791B"/>
    <w:rsid w:val="00377AAA"/>
    <w:rsid w:val="0038093A"/>
    <w:rsid w:val="00383B01"/>
    <w:rsid w:val="003850A3"/>
    <w:rsid w:val="00385176"/>
    <w:rsid w:val="0038614A"/>
    <w:rsid w:val="00386DD6"/>
    <w:rsid w:val="00390079"/>
    <w:rsid w:val="00390E68"/>
    <w:rsid w:val="003912BA"/>
    <w:rsid w:val="0039322C"/>
    <w:rsid w:val="00396DEB"/>
    <w:rsid w:val="00396F37"/>
    <w:rsid w:val="003A0D85"/>
    <w:rsid w:val="003A1FF8"/>
    <w:rsid w:val="003A2C52"/>
    <w:rsid w:val="003A361E"/>
    <w:rsid w:val="003A3BF8"/>
    <w:rsid w:val="003A4EAC"/>
    <w:rsid w:val="003A4F0B"/>
    <w:rsid w:val="003A52BF"/>
    <w:rsid w:val="003A555A"/>
    <w:rsid w:val="003A7904"/>
    <w:rsid w:val="003B0E95"/>
    <w:rsid w:val="003B1A0A"/>
    <w:rsid w:val="003B466C"/>
    <w:rsid w:val="003B4E69"/>
    <w:rsid w:val="003B590F"/>
    <w:rsid w:val="003C0758"/>
    <w:rsid w:val="003C1110"/>
    <w:rsid w:val="003C3A88"/>
    <w:rsid w:val="003C5735"/>
    <w:rsid w:val="003C647C"/>
    <w:rsid w:val="003D12AD"/>
    <w:rsid w:val="003D2C9C"/>
    <w:rsid w:val="003D3D56"/>
    <w:rsid w:val="003D4330"/>
    <w:rsid w:val="003D53F8"/>
    <w:rsid w:val="003D5A31"/>
    <w:rsid w:val="003D7D8F"/>
    <w:rsid w:val="003E0A63"/>
    <w:rsid w:val="003E1246"/>
    <w:rsid w:val="003E1CBE"/>
    <w:rsid w:val="003E566A"/>
    <w:rsid w:val="003E675A"/>
    <w:rsid w:val="003E77D8"/>
    <w:rsid w:val="003E78E1"/>
    <w:rsid w:val="003F189D"/>
    <w:rsid w:val="003F28D6"/>
    <w:rsid w:val="003F3FB0"/>
    <w:rsid w:val="004017FD"/>
    <w:rsid w:val="00402585"/>
    <w:rsid w:val="00402973"/>
    <w:rsid w:val="00402FD4"/>
    <w:rsid w:val="004031AB"/>
    <w:rsid w:val="00403954"/>
    <w:rsid w:val="00404FB9"/>
    <w:rsid w:val="00410FE3"/>
    <w:rsid w:val="00411346"/>
    <w:rsid w:val="00412B9D"/>
    <w:rsid w:val="004141D1"/>
    <w:rsid w:val="00414E69"/>
    <w:rsid w:val="004152CD"/>
    <w:rsid w:val="00416FE0"/>
    <w:rsid w:val="004170B0"/>
    <w:rsid w:val="00421D3F"/>
    <w:rsid w:val="00421D67"/>
    <w:rsid w:val="004223A1"/>
    <w:rsid w:val="00423626"/>
    <w:rsid w:val="00424860"/>
    <w:rsid w:val="00424955"/>
    <w:rsid w:val="00424F01"/>
    <w:rsid w:val="004269EA"/>
    <w:rsid w:val="00430385"/>
    <w:rsid w:val="00430F62"/>
    <w:rsid w:val="00433CA7"/>
    <w:rsid w:val="0043453D"/>
    <w:rsid w:val="0044191E"/>
    <w:rsid w:val="004448EC"/>
    <w:rsid w:val="00445E86"/>
    <w:rsid w:val="00446214"/>
    <w:rsid w:val="00447651"/>
    <w:rsid w:val="0044798B"/>
    <w:rsid w:val="00451001"/>
    <w:rsid w:val="004543EC"/>
    <w:rsid w:val="00455E11"/>
    <w:rsid w:val="00461687"/>
    <w:rsid w:val="0046285B"/>
    <w:rsid w:val="00464F3C"/>
    <w:rsid w:val="00465C5C"/>
    <w:rsid w:val="00466A6F"/>
    <w:rsid w:val="004674A6"/>
    <w:rsid w:val="00467819"/>
    <w:rsid w:val="00467F5E"/>
    <w:rsid w:val="0047278E"/>
    <w:rsid w:val="00472EEF"/>
    <w:rsid w:val="004732C7"/>
    <w:rsid w:val="0047339B"/>
    <w:rsid w:val="00473952"/>
    <w:rsid w:val="004777DB"/>
    <w:rsid w:val="00481B75"/>
    <w:rsid w:val="00485373"/>
    <w:rsid w:val="004870BC"/>
    <w:rsid w:val="004873C4"/>
    <w:rsid w:val="00490899"/>
    <w:rsid w:val="00491F49"/>
    <w:rsid w:val="004921CC"/>
    <w:rsid w:val="004921FF"/>
    <w:rsid w:val="00492DB0"/>
    <w:rsid w:val="00494E2D"/>
    <w:rsid w:val="004952FC"/>
    <w:rsid w:val="00496351"/>
    <w:rsid w:val="00496DB4"/>
    <w:rsid w:val="00496E56"/>
    <w:rsid w:val="004A2EB1"/>
    <w:rsid w:val="004B1D50"/>
    <w:rsid w:val="004B2057"/>
    <w:rsid w:val="004B2B83"/>
    <w:rsid w:val="004B2CB6"/>
    <w:rsid w:val="004B543B"/>
    <w:rsid w:val="004B6A64"/>
    <w:rsid w:val="004B6B46"/>
    <w:rsid w:val="004B6BAD"/>
    <w:rsid w:val="004C1BCE"/>
    <w:rsid w:val="004C4237"/>
    <w:rsid w:val="004C64F9"/>
    <w:rsid w:val="004C6917"/>
    <w:rsid w:val="004C7E6C"/>
    <w:rsid w:val="004D1668"/>
    <w:rsid w:val="004D29E0"/>
    <w:rsid w:val="004D34F2"/>
    <w:rsid w:val="004D4716"/>
    <w:rsid w:val="004E2064"/>
    <w:rsid w:val="004E3CB7"/>
    <w:rsid w:val="004E5C30"/>
    <w:rsid w:val="004E6134"/>
    <w:rsid w:val="004E67AE"/>
    <w:rsid w:val="004E6D7E"/>
    <w:rsid w:val="004E6D88"/>
    <w:rsid w:val="004E6DB9"/>
    <w:rsid w:val="004E70CC"/>
    <w:rsid w:val="004E7A27"/>
    <w:rsid w:val="004F017A"/>
    <w:rsid w:val="004F2AE8"/>
    <w:rsid w:val="004F411B"/>
    <w:rsid w:val="004F4A16"/>
    <w:rsid w:val="004F6226"/>
    <w:rsid w:val="004F7E5E"/>
    <w:rsid w:val="00500D56"/>
    <w:rsid w:val="00501A15"/>
    <w:rsid w:val="00501CAA"/>
    <w:rsid w:val="00505792"/>
    <w:rsid w:val="00505ED9"/>
    <w:rsid w:val="0050626D"/>
    <w:rsid w:val="005064C2"/>
    <w:rsid w:val="005069E2"/>
    <w:rsid w:val="00506CF0"/>
    <w:rsid w:val="0050784E"/>
    <w:rsid w:val="00510CFE"/>
    <w:rsid w:val="00511A4C"/>
    <w:rsid w:val="00511AA3"/>
    <w:rsid w:val="00511E49"/>
    <w:rsid w:val="00512190"/>
    <w:rsid w:val="00512F01"/>
    <w:rsid w:val="00514CA4"/>
    <w:rsid w:val="0051549B"/>
    <w:rsid w:val="005179A9"/>
    <w:rsid w:val="00517C7C"/>
    <w:rsid w:val="005205F6"/>
    <w:rsid w:val="0052275B"/>
    <w:rsid w:val="0052386D"/>
    <w:rsid w:val="00523B9E"/>
    <w:rsid w:val="0052411C"/>
    <w:rsid w:val="0052527C"/>
    <w:rsid w:val="00525F5B"/>
    <w:rsid w:val="00526B80"/>
    <w:rsid w:val="00527D99"/>
    <w:rsid w:val="00530599"/>
    <w:rsid w:val="0053081D"/>
    <w:rsid w:val="00531FD7"/>
    <w:rsid w:val="005331D3"/>
    <w:rsid w:val="00534323"/>
    <w:rsid w:val="00534B59"/>
    <w:rsid w:val="00536004"/>
    <w:rsid w:val="0053788D"/>
    <w:rsid w:val="00537BA5"/>
    <w:rsid w:val="005409AD"/>
    <w:rsid w:val="005415BC"/>
    <w:rsid w:val="005418C5"/>
    <w:rsid w:val="005434C3"/>
    <w:rsid w:val="005458A3"/>
    <w:rsid w:val="00545CBB"/>
    <w:rsid w:val="0054637F"/>
    <w:rsid w:val="00547007"/>
    <w:rsid w:val="005503FF"/>
    <w:rsid w:val="005511C3"/>
    <w:rsid w:val="0055164A"/>
    <w:rsid w:val="00552624"/>
    <w:rsid w:val="005529E0"/>
    <w:rsid w:val="00553804"/>
    <w:rsid w:val="00553BEA"/>
    <w:rsid w:val="0055529D"/>
    <w:rsid w:val="00555EC3"/>
    <w:rsid w:val="00557E1C"/>
    <w:rsid w:val="0056004E"/>
    <w:rsid w:val="00560E01"/>
    <w:rsid w:val="00561A64"/>
    <w:rsid w:val="005639D2"/>
    <w:rsid w:val="00563EC6"/>
    <w:rsid w:val="005641D4"/>
    <w:rsid w:val="00564A47"/>
    <w:rsid w:val="00564DD5"/>
    <w:rsid w:val="00570408"/>
    <w:rsid w:val="00570A24"/>
    <w:rsid w:val="0057362B"/>
    <w:rsid w:val="00573E7A"/>
    <w:rsid w:val="00574D79"/>
    <w:rsid w:val="00575862"/>
    <w:rsid w:val="00575E3A"/>
    <w:rsid w:val="0057706B"/>
    <w:rsid w:val="0058105F"/>
    <w:rsid w:val="00581B14"/>
    <w:rsid w:val="00584A55"/>
    <w:rsid w:val="00584D9F"/>
    <w:rsid w:val="00585054"/>
    <w:rsid w:val="0058655F"/>
    <w:rsid w:val="005876F4"/>
    <w:rsid w:val="00587D02"/>
    <w:rsid w:val="00590816"/>
    <w:rsid w:val="00591269"/>
    <w:rsid w:val="005935EC"/>
    <w:rsid w:val="0059459B"/>
    <w:rsid w:val="00594778"/>
    <w:rsid w:val="00594C4C"/>
    <w:rsid w:val="0059569E"/>
    <w:rsid w:val="00596E9D"/>
    <w:rsid w:val="005A014A"/>
    <w:rsid w:val="005A2B36"/>
    <w:rsid w:val="005A4970"/>
    <w:rsid w:val="005A5BD2"/>
    <w:rsid w:val="005A5EF5"/>
    <w:rsid w:val="005A6303"/>
    <w:rsid w:val="005A7221"/>
    <w:rsid w:val="005B0976"/>
    <w:rsid w:val="005B1583"/>
    <w:rsid w:val="005B2C0F"/>
    <w:rsid w:val="005B307F"/>
    <w:rsid w:val="005B4DBA"/>
    <w:rsid w:val="005B503C"/>
    <w:rsid w:val="005B6378"/>
    <w:rsid w:val="005B6FD1"/>
    <w:rsid w:val="005B7BC5"/>
    <w:rsid w:val="005C0568"/>
    <w:rsid w:val="005C061F"/>
    <w:rsid w:val="005C0A4A"/>
    <w:rsid w:val="005C0D21"/>
    <w:rsid w:val="005C1A2C"/>
    <w:rsid w:val="005C2403"/>
    <w:rsid w:val="005C42FE"/>
    <w:rsid w:val="005C5A3B"/>
    <w:rsid w:val="005C5B6B"/>
    <w:rsid w:val="005C6311"/>
    <w:rsid w:val="005C7DF9"/>
    <w:rsid w:val="005D1185"/>
    <w:rsid w:val="005D24DF"/>
    <w:rsid w:val="005D2BCC"/>
    <w:rsid w:val="005D34A0"/>
    <w:rsid w:val="005D422B"/>
    <w:rsid w:val="005D4285"/>
    <w:rsid w:val="005D4E00"/>
    <w:rsid w:val="005E0927"/>
    <w:rsid w:val="005E165E"/>
    <w:rsid w:val="005E1B17"/>
    <w:rsid w:val="005E2437"/>
    <w:rsid w:val="005E2B77"/>
    <w:rsid w:val="005E39D7"/>
    <w:rsid w:val="005E5283"/>
    <w:rsid w:val="005E5B2A"/>
    <w:rsid w:val="005F11D4"/>
    <w:rsid w:val="005F197F"/>
    <w:rsid w:val="005F19E2"/>
    <w:rsid w:val="005F2437"/>
    <w:rsid w:val="005F37C6"/>
    <w:rsid w:val="005F3BC8"/>
    <w:rsid w:val="005F47F3"/>
    <w:rsid w:val="005F5255"/>
    <w:rsid w:val="005F5C61"/>
    <w:rsid w:val="005F642B"/>
    <w:rsid w:val="005F6844"/>
    <w:rsid w:val="00600AF5"/>
    <w:rsid w:val="006026D9"/>
    <w:rsid w:val="006066D4"/>
    <w:rsid w:val="00606C6B"/>
    <w:rsid w:val="00610BB1"/>
    <w:rsid w:val="00610FDB"/>
    <w:rsid w:val="006127EE"/>
    <w:rsid w:val="00612BFE"/>
    <w:rsid w:val="00612D8F"/>
    <w:rsid w:val="006137C4"/>
    <w:rsid w:val="00613953"/>
    <w:rsid w:val="00613BCC"/>
    <w:rsid w:val="0061441D"/>
    <w:rsid w:val="00614C1D"/>
    <w:rsid w:val="00615610"/>
    <w:rsid w:val="0061587C"/>
    <w:rsid w:val="00615FB4"/>
    <w:rsid w:val="00620991"/>
    <w:rsid w:val="0062152A"/>
    <w:rsid w:val="00625C0F"/>
    <w:rsid w:val="006263A8"/>
    <w:rsid w:val="00627AE5"/>
    <w:rsid w:val="00627DE9"/>
    <w:rsid w:val="00630439"/>
    <w:rsid w:val="006309B5"/>
    <w:rsid w:val="00631A6C"/>
    <w:rsid w:val="00633D56"/>
    <w:rsid w:val="00634137"/>
    <w:rsid w:val="00634F80"/>
    <w:rsid w:val="00637109"/>
    <w:rsid w:val="00640DD5"/>
    <w:rsid w:val="00641390"/>
    <w:rsid w:val="00641C9F"/>
    <w:rsid w:val="006427E9"/>
    <w:rsid w:val="00642982"/>
    <w:rsid w:val="0064366F"/>
    <w:rsid w:val="00644AB2"/>
    <w:rsid w:val="00645A21"/>
    <w:rsid w:val="00645ABE"/>
    <w:rsid w:val="00646078"/>
    <w:rsid w:val="00650975"/>
    <w:rsid w:val="00650B3F"/>
    <w:rsid w:val="00651735"/>
    <w:rsid w:val="006518E5"/>
    <w:rsid w:val="00653C71"/>
    <w:rsid w:val="00654112"/>
    <w:rsid w:val="006549E3"/>
    <w:rsid w:val="006551DE"/>
    <w:rsid w:val="0065548F"/>
    <w:rsid w:val="00655F15"/>
    <w:rsid w:val="00656325"/>
    <w:rsid w:val="006606C9"/>
    <w:rsid w:val="00660C81"/>
    <w:rsid w:val="00660E2A"/>
    <w:rsid w:val="00662018"/>
    <w:rsid w:val="006643F4"/>
    <w:rsid w:val="00665B53"/>
    <w:rsid w:val="00665C7D"/>
    <w:rsid w:val="0066652C"/>
    <w:rsid w:val="00666825"/>
    <w:rsid w:val="006674B4"/>
    <w:rsid w:val="006679CE"/>
    <w:rsid w:val="00671D9B"/>
    <w:rsid w:val="00672505"/>
    <w:rsid w:val="00672967"/>
    <w:rsid w:val="00672F62"/>
    <w:rsid w:val="0067317E"/>
    <w:rsid w:val="00673F2C"/>
    <w:rsid w:val="00674E62"/>
    <w:rsid w:val="00675324"/>
    <w:rsid w:val="006762BD"/>
    <w:rsid w:val="00680535"/>
    <w:rsid w:val="00680F18"/>
    <w:rsid w:val="0068132F"/>
    <w:rsid w:val="00681E3E"/>
    <w:rsid w:val="00683185"/>
    <w:rsid w:val="006832B3"/>
    <w:rsid w:val="00683D66"/>
    <w:rsid w:val="00684D77"/>
    <w:rsid w:val="00690F49"/>
    <w:rsid w:val="0069122C"/>
    <w:rsid w:val="006916E1"/>
    <w:rsid w:val="00692EE1"/>
    <w:rsid w:val="006937B2"/>
    <w:rsid w:val="0069508E"/>
    <w:rsid w:val="0069736D"/>
    <w:rsid w:val="006A1817"/>
    <w:rsid w:val="006A1B11"/>
    <w:rsid w:val="006A35C8"/>
    <w:rsid w:val="006A5F49"/>
    <w:rsid w:val="006A6FD1"/>
    <w:rsid w:val="006A724C"/>
    <w:rsid w:val="006B0F19"/>
    <w:rsid w:val="006B2E8E"/>
    <w:rsid w:val="006B3486"/>
    <w:rsid w:val="006B51FA"/>
    <w:rsid w:val="006B63FC"/>
    <w:rsid w:val="006C2D71"/>
    <w:rsid w:val="006C4374"/>
    <w:rsid w:val="006C4CC9"/>
    <w:rsid w:val="006C6B35"/>
    <w:rsid w:val="006D35B3"/>
    <w:rsid w:val="006D5818"/>
    <w:rsid w:val="006D6AC2"/>
    <w:rsid w:val="006D7FAE"/>
    <w:rsid w:val="006E0302"/>
    <w:rsid w:val="006E1706"/>
    <w:rsid w:val="006E211F"/>
    <w:rsid w:val="006E3EDD"/>
    <w:rsid w:val="006E5EE6"/>
    <w:rsid w:val="006E7193"/>
    <w:rsid w:val="006E751F"/>
    <w:rsid w:val="006E7B1D"/>
    <w:rsid w:val="006F0B54"/>
    <w:rsid w:val="006F1541"/>
    <w:rsid w:val="006F1602"/>
    <w:rsid w:val="006F3054"/>
    <w:rsid w:val="006F39D7"/>
    <w:rsid w:val="006F64C6"/>
    <w:rsid w:val="00700151"/>
    <w:rsid w:val="0070281F"/>
    <w:rsid w:val="00702C5A"/>
    <w:rsid w:val="00704A4D"/>
    <w:rsid w:val="0070525A"/>
    <w:rsid w:val="007055FD"/>
    <w:rsid w:val="007059C2"/>
    <w:rsid w:val="00706634"/>
    <w:rsid w:val="0070699E"/>
    <w:rsid w:val="0070719C"/>
    <w:rsid w:val="00707DB8"/>
    <w:rsid w:val="00713D57"/>
    <w:rsid w:val="00714298"/>
    <w:rsid w:val="00715EDE"/>
    <w:rsid w:val="00717F45"/>
    <w:rsid w:val="00721F6C"/>
    <w:rsid w:val="00722932"/>
    <w:rsid w:val="00722AD4"/>
    <w:rsid w:val="00724ACA"/>
    <w:rsid w:val="00725E5C"/>
    <w:rsid w:val="00726EBB"/>
    <w:rsid w:val="007317A5"/>
    <w:rsid w:val="00734E58"/>
    <w:rsid w:val="00735090"/>
    <w:rsid w:val="007353C5"/>
    <w:rsid w:val="00735609"/>
    <w:rsid w:val="007360B2"/>
    <w:rsid w:val="00736230"/>
    <w:rsid w:val="00740EF1"/>
    <w:rsid w:val="00740F0B"/>
    <w:rsid w:val="00740F58"/>
    <w:rsid w:val="0074103B"/>
    <w:rsid w:val="00741162"/>
    <w:rsid w:val="007412E7"/>
    <w:rsid w:val="00742257"/>
    <w:rsid w:val="00744D24"/>
    <w:rsid w:val="0074682B"/>
    <w:rsid w:val="00746ECC"/>
    <w:rsid w:val="007515A1"/>
    <w:rsid w:val="00752054"/>
    <w:rsid w:val="00752E03"/>
    <w:rsid w:val="00753565"/>
    <w:rsid w:val="007535FF"/>
    <w:rsid w:val="007544A8"/>
    <w:rsid w:val="00754945"/>
    <w:rsid w:val="00756756"/>
    <w:rsid w:val="00757164"/>
    <w:rsid w:val="00757367"/>
    <w:rsid w:val="0075798B"/>
    <w:rsid w:val="00760287"/>
    <w:rsid w:val="00761305"/>
    <w:rsid w:val="00761BE2"/>
    <w:rsid w:val="00762AB4"/>
    <w:rsid w:val="0076732A"/>
    <w:rsid w:val="00767512"/>
    <w:rsid w:val="00767B26"/>
    <w:rsid w:val="00770066"/>
    <w:rsid w:val="007709A2"/>
    <w:rsid w:val="00772454"/>
    <w:rsid w:val="007729D4"/>
    <w:rsid w:val="0077319A"/>
    <w:rsid w:val="0077657E"/>
    <w:rsid w:val="00776D5D"/>
    <w:rsid w:val="00780669"/>
    <w:rsid w:val="0078113D"/>
    <w:rsid w:val="00781144"/>
    <w:rsid w:val="00781E11"/>
    <w:rsid w:val="00782342"/>
    <w:rsid w:val="00782A7E"/>
    <w:rsid w:val="00783CF3"/>
    <w:rsid w:val="007840C8"/>
    <w:rsid w:val="00784961"/>
    <w:rsid w:val="007849C0"/>
    <w:rsid w:val="00784E31"/>
    <w:rsid w:val="007855E0"/>
    <w:rsid w:val="00791C6E"/>
    <w:rsid w:val="00792FA3"/>
    <w:rsid w:val="00793AD8"/>
    <w:rsid w:val="00793C27"/>
    <w:rsid w:val="007941A6"/>
    <w:rsid w:val="00794B53"/>
    <w:rsid w:val="007958F9"/>
    <w:rsid w:val="007A3BE7"/>
    <w:rsid w:val="007A44D8"/>
    <w:rsid w:val="007A53C4"/>
    <w:rsid w:val="007A7802"/>
    <w:rsid w:val="007A7AD3"/>
    <w:rsid w:val="007B046F"/>
    <w:rsid w:val="007B1015"/>
    <w:rsid w:val="007B10CB"/>
    <w:rsid w:val="007B31AD"/>
    <w:rsid w:val="007B34E5"/>
    <w:rsid w:val="007B4F7B"/>
    <w:rsid w:val="007B6B20"/>
    <w:rsid w:val="007C0E2D"/>
    <w:rsid w:val="007C1F92"/>
    <w:rsid w:val="007C51FA"/>
    <w:rsid w:val="007C568A"/>
    <w:rsid w:val="007C5B11"/>
    <w:rsid w:val="007C76BF"/>
    <w:rsid w:val="007D17E5"/>
    <w:rsid w:val="007D1882"/>
    <w:rsid w:val="007D2BFB"/>
    <w:rsid w:val="007D3F9F"/>
    <w:rsid w:val="007D5130"/>
    <w:rsid w:val="007D61DC"/>
    <w:rsid w:val="007D6A00"/>
    <w:rsid w:val="007D7C71"/>
    <w:rsid w:val="007E087D"/>
    <w:rsid w:val="007E325B"/>
    <w:rsid w:val="007E57AD"/>
    <w:rsid w:val="007E6936"/>
    <w:rsid w:val="007E7C38"/>
    <w:rsid w:val="007E7DEA"/>
    <w:rsid w:val="007F1F7E"/>
    <w:rsid w:val="007F2239"/>
    <w:rsid w:val="007F3B71"/>
    <w:rsid w:val="007F3D8B"/>
    <w:rsid w:val="007F5C3B"/>
    <w:rsid w:val="007F636B"/>
    <w:rsid w:val="007F6EC6"/>
    <w:rsid w:val="007F7743"/>
    <w:rsid w:val="007F7B1C"/>
    <w:rsid w:val="007F7FB9"/>
    <w:rsid w:val="00805614"/>
    <w:rsid w:val="0081047F"/>
    <w:rsid w:val="00810780"/>
    <w:rsid w:val="0081271E"/>
    <w:rsid w:val="00812CBA"/>
    <w:rsid w:val="00812D6E"/>
    <w:rsid w:val="008137EE"/>
    <w:rsid w:val="008146DA"/>
    <w:rsid w:val="008167F7"/>
    <w:rsid w:val="008177C0"/>
    <w:rsid w:val="00820F70"/>
    <w:rsid w:val="00822360"/>
    <w:rsid w:val="00824A1C"/>
    <w:rsid w:val="00825917"/>
    <w:rsid w:val="00825EEB"/>
    <w:rsid w:val="008275CA"/>
    <w:rsid w:val="00833C94"/>
    <w:rsid w:val="00833DB6"/>
    <w:rsid w:val="008357FE"/>
    <w:rsid w:val="00836169"/>
    <w:rsid w:val="0083740A"/>
    <w:rsid w:val="008434D7"/>
    <w:rsid w:val="0084535D"/>
    <w:rsid w:val="00847B15"/>
    <w:rsid w:val="00851743"/>
    <w:rsid w:val="00851896"/>
    <w:rsid w:val="00852912"/>
    <w:rsid w:val="0085310A"/>
    <w:rsid w:val="00854FB4"/>
    <w:rsid w:val="00856183"/>
    <w:rsid w:val="0085675C"/>
    <w:rsid w:val="00860657"/>
    <w:rsid w:val="008630E6"/>
    <w:rsid w:val="0086420F"/>
    <w:rsid w:val="0086498A"/>
    <w:rsid w:val="0086538C"/>
    <w:rsid w:val="0086659F"/>
    <w:rsid w:val="00866606"/>
    <w:rsid w:val="008675E6"/>
    <w:rsid w:val="0087036D"/>
    <w:rsid w:val="00874822"/>
    <w:rsid w:val="00875A69"/>
    <w:rsid w:val="00875A75"/>
    <w:rsid w:val="00877A42"/>
    <w:rsid w:val="0088023F"/>
    <w:rsid w:val="00880433"/>
    <w:rsid w:val="00881ADA"/>
    <w:rsid w:val="00881C05"/>
    <w:rsid w:val="008838B0"/>
    <w:rsid w:val="00883A3C"/>
    <w:rsid w:val="00884B39"/>
    <w:rsid w:val="00885F94"/>
    <w:rsid w:val="00890135"/>
    <w:rsid w:val="00894564"/>
    <w:rsid w:val="00894EA1"/>
    <w:rsid w:val="00896A38"/>
    <w:rsid w:val="008A0951"/>
    <w:rsid w:val="008A3756"/>
    <w:rsid w:val="008A3DEA"/>
    <w:rsid w:val="008A5268"/>
    <w:rsid w:val="008A5C54"/>
    <w:rsid w:val="008A701D"/>
    <w:rsid w:val="008A7C2D"/>
    <w:rsid w:val="008A7F32"/>
    <w:rsid w:val="008B09A4"/>
    <w:rsid w:val="008B171B"/>
    <w:rsid w:val="008B267A"/>
    <w:rsid w:val="008B345C"/>
    <w:rsid w:val="008B3928"/>
    <w:rsid w:val="008B39FD"/>
    <w:rsid w:val="008B3A77"/>
    <w:rsid w:val="008B4197"/>
    <w:rsid w:val="008B424D"/>
    <w:rsid w:val="008B5379"/>
    <w:rsid w:val="008B6505"/>
    <w:rsid w:val="008B6791"/>
    <w:rsid w:val="008B77EE"/>
    <w:rsid w:val="008C0527"/>
    <w:rsid w:val="008C0FE2"/>
    <w:rsid w:val="008C3A2B"/>
    <w:rsid w:val="008C4600"/>
    <w:rsid w:val="008C55A1"/>
    <w:rsid w:val="008C58A0"/>
    <w:rsid w:val="008C58CC"/>
    <w:rsid w:val="008C5A30"/>
    <w:rsid w:val="008C7896"/>
    <w:rsid w:val="008C7CD3"/>
    <w:rsid w:val="008C7D6C"/>
    <w:rsid w:val="008D2E33"/>
    <w:rsid w:val="008D3798"/>
    <w:rsid w:val="008D46BA"/>
    <w:rsid w:val="008D4C53"/>
    <w:rsid w:val="008D5AC5"/>
    <w:rsid w:val="008E2650"/>
    <w:rsid w:val="008E379A"/>
    <w:rsid w:val="008E536C"/>
    <w:rsid w:val="008E6EF2"/>
    <w:rsid w:val="008E7971"/>
    <w:rsid w:val="008E7B42"/>
    <w:rsid w:val="008F062F"/>
    <w:rsid w:val="008F083F"/>
    <w:rsid w:val="008F0C46"/>
    <w:rsid w:val="008F177A"/>
    <w:rsid w:val="008F18F8"/>
    <w:rsid w:val="008F22C8"/>
    <w:rsid w:val="008F254C"/>
    <w:rsid w:val="0090026F"/>
    <w:rsid w:val="00900780"/>
    <w:rsid w:val="0090706F"/>
    <w:rsid w:val="009077EB"/>
    <w:rsid w:val="00907E17"/>
    <w:rsid w:val="00907FA5"/>
    <w:rsid w:val="00915C3E"/>
    <w:rsid w:val="009169B3"/>
    <w:rsid w:val="0092046A"/>
    <w:rsid w:val="00922A60"/>
    <w:rsid w:val="00922BD8"/>
    <w:rsid w:val="00922D04"/>
    <w:rsid w:val="009237D7"/>
    <w:rsid w:val="00926787"/>
    <w:rsid w:val="00926EA4"/>
    <w:rsid w:val="00931BB9"/>
    <w:rsid w:val="00931FA5"/>
    <w:rsid w:val="009325B5"/>
    <w:rsid w:val="0093307D"/>
    <w:rsid w:val="009339E7"/>
    <w:rsid w:val="00937786"/>
    <w:rsid w:val="009446EA"/>
    <w:rsid w:val="00945102"/>
    <w:rsid w:val="00945614"/>
    <w:rsid w:val="00945A5E"/>
    <w:rsid w:val="0094780B"/>
    <w:rsid w:val="00947E12"/>
    <w:rsid w:val="0095198D"/>
    <w:rsid w:val="00952405"/>
    <w:rsid w:val="00953FD3"/>
    <w:rsid w:val="009570A1"/>
    <w:rsid w:val="0095736B"/>
    <w:rsid w:val="00960D68"/>
    <w:rsid w:val="0096266E"/>
    <w:rsid w:val="00963C3E"/>
    <w:rsid w:val="00965601"/>
    <w:rsid w:val="00966455"/>
    <w:rsid w:val="0097066A"/>
    <w:rsid w:val="0097066E"/>
    <w:rsid w:val="00970ADB"/>
    <w:rsid w:val="009714A7"/>
    <w:rsid w:val="0097452F"/>
    <w:rsid w:val="00975162"/>
    <w:rsid w:val="0097561A"/>
    <w:rsid w:val="00975DF2"/>
    <w:rsid w:val="0097624C"/>
    <w:rsid w:val="00976382"/>
    <w:rsid w:val="009763B6"/>
    <w:rsid w:val="00976545"/>
    <w:rsid w:val="00976BB3"/>
    <w:rsid w:val="00977319"/>
    <w:rsid w:val="00977C9F"/>
    <w:rsid w:val="00981ABA"/>
    <w:rsid w:val="009831FC"/>
    <w:rsid w:val="00983EFD"/>
    <w:rsid w:val="00985202"/>
    <w:rsid w:val="009862CA"/>
    <w:rsid w:val="00990186"/>
    <w:rsid w:val="00990296"/>
    <w:rsid w:val="00990BC2"/>
    <w:rsid w:val="00990C54"/>
    <w:rsid w:val="0099461F"/>
    <w:rsid w:val="0099518F"/>
    <w:rsid w:val="009958E5"/>
    <w:rsid w:val="00996517"/>
    <w:rsid w:val="00996A5F"/>
    <w:rsid w:val="0099709B"/>
    <w:rsid w:val="009A0E69"/>
    <w:rsid w:val="009A2115"/>
    <w:rsid w:val="009A21DF"/>
    <w:rsid w:val="009A3405"/>
    <w:rsid w:val="009A38DD"/>
    <w:rsid w:val="009A456B"/>
    <w:rsid w:val="009A61FC"/>
    <w:rsid w:val="009A70CE"/>
    <w:rsid w:val="009B09AB"/>
    <w:rsid w:val="009B0CC0"/>
    <w:rsid w:val="009B1190"/>
    <w:rsid w:val="009B1540"/>
    <w:rsid w:val="009B33B3"/>
    <w:rsid w:val="009B4858"/>
    <w:rsid w:val="009B546C"/>
    <w:rsid w:val="009B6630"/>
    <w:rsid w:val="009B66ED"/>
    <w:rsid w:val="009B6BDB"/>
    <w:rsid w:val="009B7E07"/>
    <w:rsid w:val="009C04C4"/>
    <w:rsid w:val="009C0879"/>
    <w:rsid w:val="009C167B"/>
    <w:rsid w:val="009C168B"/>
    <w:rsid w:val="009C3BAF"/>
    <w:rsid w:val="009C432E"/>
    <w:rsid w:val="009C4715"/>
    <w:rsid w:val="009C61D8"/>
    <w:rsid w:val="009C73E0"/>
    <w:rsid w:val="009C7CDD"/>
    <w:rsid w:val="009D08B1"/>
    <w:rsid w:val="009D11DE"/>
    <w:rsid w:val="009D1F7B"/>
    <w:rsid w:val="009D216C"/>
    <w:rsid w:val="009D3FED"/>
    <w:rsid w:val="009E034C"/>
    <w:rsid w:val="009E0B47"/>
    <w:rsid w:val="009E32D9"/>
    <w:rsid w:val="009E459B"/>
    <w:rsid w:val="009F19CC"/>
    <w:rsid w:val="009F20D5"/>
    <w:rsid w:val="009F2233"/>
    <w:rsid w:val="009F3C2B"/>
    <w:rsid w:val="009F3D1C"/>
    <w:rsid w:val="009F5A07"/>
    <w:rsid w:val="00A06D7D"/>
    <w:rsid w:val="00A073E6"/>
    <w:rsid w:val="00A12596"/>
    <w:rsid w:val="00A12650"/>
    <w:rsid w:val="00A129F4"/>
    <w:rsid w:val="00A12B3A"/>
    <w:rsid w:val="00A138B4"/>
    <w:rsid w:val="00A13BDB"/>
    <w:rsid w:val="00A158F2"/>
    <w:rsid w:val="00A1734E"/>
    <w:rsid w:val="00A17755"/>
    <w:rsid w:val="00A2008E"/>
    <w:rsid w:val="00A20E0C"/>
    <w:rsid w:val="00A22696"/>
    <w:rsid w:val="00A22B9D"/>
    <w:rsid w:val="00A23ECD"/>
    <w:rsid w:val="00A24439"/>
    <w:rsid w:val="00A25030"/>
    <w:rsid w:val="00A25867"/>
    <w:rsid w:val="00A25883"/>
    <w:rsid w:val="00A25AB6"/>
    <w:rsid w:val="00A276C2"/>
    <w:rsid w:val="00A27D3C"/>
    <w:rsid w:val="00A32935"/>
    <w:rsid w:val="00A35A3A"/>
    <w:rsid w:val="00A4005D"/>
    <w:rsid w:val="00A40DF8"/>
    <w:rsid w:val="00A4127E"/>
    <w:rsid w:val="00A41967"/>
    <w:rsid w:val="00A4415F"/>
    <w:rsid w:val="00A447B7"/>
    <w:rsid w:val="00A51220"/>
    <w:rsid w:val="00A5217A"/>
    <w:rsid w:val="00A53E31"/>
    <w:rsid w:val="00A546B5"/>
    <w:rsid w:val="00A54A45"/>
    <w:rsid w:val="00A555A2"/>
    <w:rsid w:val="00A5574B"/>
    <w:rsid w:val="00A60E86"/>
    <w:rsid w:val="00A6126B"/>
    <w:rsid w:val="00A63F9D"/>
    <w:rsid w:val="00A6782E"/>
    <w:rsid w:val="00A7033B"/>
    <w:rsid w:val="00A72D57"/>
    <w:rsid w:val="00A72EFF"/>
    <w:rsid w:val="00A7547B"/>
    <w:rsid w:val="00A76036"/>
    <w:rsid w:val="00A77246"/>
    <w:rsid w:val="00A81F2B"/>
    <w:rsid w:val="00A81F53"/>
    <w:rsid w:val="00A82F37"/>
    <w:rsid w:val="00A8460A"/>
    <w:rsid w:val="00A84E6E"/>
    <w:rsid w:val="00A85695"/>
    <w:rsid w:val="00A85E3D"/>
    <w:rsid w:val="00A8692A"/>
    <w:rsid w:val="00A90688"/>
    <w:rsid w:val="00A924B0"/>
    <w:rsid w:val="00A93E4E"/>
    <w:rsid w:val="00A9781B"/>
    <w:rsid w:val="00AA003A"/>
    <w:rsid w:val="00AA01FE"/>
    <w:rsid w:val="00AA1720"/>
    <w:rsid w:val="00AA4A8D"/>
    <w:rsid w:val="00AA53DA"/>
    <w:rsid w:val="00AA57C0"/>
    <w:rsid w:val="00AA68BC"/>
    <w:rsid w:val="00AA6E67"/>
    <w:rsid w:val="00AA775D"/>
    <w:rsid w:val="00AB137D"/>
    <w:rsid w:val="00AB6B81"/>
    <w:rsid w:val="00AC0CB2"/>
    <w:rsid w:val="00AC191F"/>
    <w:rsid w:val="00AC1A0F"/>
    <w:rsid w:val="00AC3343"/>
    <w:rsid w:val="00AC3A99"/>
    <w:rsid w:val="00AC51E5"/>
    <w:rsid w:val="00AC5F28"/>
    <w:rsid w:val="00AC6231"/>
    <w:rsid w:val="00AC6DA7"/>
    <w:rsid w:val="00AC7293"/>
    <w:rsid w:val="00AD01AB"/>
    <w:rsid w:val="00AD0867"/>
    <w:rsid w:val="00AD0EC0"/>
    <w:rsid w:val="00AD2906"/>
    <w:rsid w:val="00AD392D"/>
    <w:rsid w:val="00AD558E"/>
    <w:rsid w:val="00AE07A9"/>
    <w:rsid w:val="00AE1DC0"/>
    <w:rsid w:val="00AE3633"/>
    <w:rsid w:val="00AE397C"/>
    <w:rsid w:val="00AE48BB"/>
    <w:rsid w:val="00AE49F9"/>
    <w:rsid w:val="00AE4CBA"/>
    <w:rsid w:val="00AE5F02"/>
    <w:rsid w:val="00AE76B5"/>
    <w:rsid w:val="00AF025D"/>
    <w:rsid w:val="00AF1DDD"/>
    <w:rsid w:val="00AF2596"/>
    <w:rsid w:val="00AF38CE"/>
    <w:rsid w:val="00AF497A"/>
    <w:rsid w:val="00AF5CC5"/>
    <w:rsid w:val="00AF6B53"/>
    <w:rsid w:val="00AF712D"/>
    <w:rsid w:val="00AF7236"/>
    <w:rsid w:val="00AF77DF"/>
    <w:rsid w:val="00B0482B"/>
    <w:rsid w:val="00B05015"/>
    <w:rsid w:val="00B077C9"/>
    <w:rsid w:val="00B10382"/>
    <w:rsid w:val="00B122E7"/>
    <w:rsid w:val="00B12539"/>
    <w:rsid w:val="00B12766"/>
    <w:rsid w:val="00B12F3D"/>
    <w:rsid w:val="00B14455"/>
    <w:rsid w:val="00B16689"/>
    <w:rsid w:val="00B16C9D"/>
    <w:rsid w:val="00B22EC2"/>
    <w:rsid w:val="00B23631"/>
    <w:rsid w:val="00B23EE4"/>
    <w:rsid w:val="00B24249"/>
    <w:rsid w:val="00B24D98"/>
    <w:rsid w:val="00B2561A"/>
    <w:rsid w:val="00B273B3"/>
    <w:rsid w:val="00B301EF"/>
    <w:rsid w:val="00B30A94"/>
    <w:rsid w:val="00B32DB0"/>
    <w:rsid w:val="00B33A13"/>
    <w:rsid w:val="00B348EA"/>
    <w:rsid w:val="00B35B67"/>
    <w:rsid w:val="00B36226"/>
    <w:rsid w:val="00B378EB"/>
    <w:rsid w:val="00B37A7E"/>
    <w:rsid w:val="00B4190F"/>
    <w:rsid w:val="00B41BD9"/>
    <w:rsid w:val="00B44284"/>
    <w:rsid w:val="00B503E6"/>
    <w:rsid w:val="00B509D2"/>
    <w:rsid w:val="00B536C9"/>
    <w:rsid w:val="00B540CB"/>
    <w:rsid w:val="00B54806"/>
    <w:rsid w:val="00B5512A"/>
    <w:rsid w:val="00B5690B"/>
    <w:rsid w:val="00B57D67"/>
    <w:rsid w:val="00B60B5C"/>
    <w:rsid w:val="00B6163F"/>
    <w:rsid w:val="00B6223A"/>
    <w:rsid w:val="00B632C4"/>
    <w:rsid w:val="00B64515"/>
    <w:rsid w:val="00B67B9B"/>
    <w:rsid w:val="00B70FB5"/>
    <w:rsid w:val="00B7349A"/>
    <w:rsid w:val="00B752D8"/>
    <w:rsid w:val="00B75944"/>
    <w:rsid w:val="00B77DBD"/>
    <w:rsid w:val="00B80AC3"/>
    <w:rsid w:val="00B847FD"/>
    <w:rsid w:val="00B84825"/>
    <w:rsid w:val="00B84C6E"/>
    <w:rsid w:val="00B850B6"/>
    <w:rsid w:val="00B857CF"/>
    <w:rsid w:val="00B86765"/>
    <w:rsid w:val="00B87267"/>
    <w:rsid w:val="00B90C97"/>
    <w:rsid w:val="00B91892"/>
    <w:rsid w:val="00B92640"/>
    <w:rsid w:val="00B95FBF"/>
    <w:rsid w:val="00B96BE0"/>
    <w:rsid w:val="00B97D90"/>
    <w:rsid w:val="00BA0828"/>
    <w:rsid w:val="00BA0CB6"/>
    <w:rsid w:val="00BA0D80"/>
    <w:rsid w:val="00BA1337"/>
    <w:rsid w:val="00BA4C4D"/>
    <w:rsid w:val="00BA4D53"/>
    <w:rsid w:val="00BA545C"/>
    <w:rsid w:val="00BA5541"/>
    <w:rsid w:val="00BA5858"/>
    <w:rsid w:val="00BA7C8B"/>
    <w:rsid w:val="00BB220B"/>
    <w:rsid w:val="00BB38E6"/>
    <w:rsid w:val="00BB626C"/>
    <w:rsid w:val="00BB63BD"/>
    <w:rsid w:val="00BB7046"/>
    <w:rsid w:val="00BB7154"/>
    <w:rsid w:val="00BC0D6C"/>
    <w:rsid w:val="00BC260A"/>
    <w:rsid w:val="00BC33CD"/>
    <w:rsid w:val="00BC42F9"/>
    <w:rsid w:val="00BC5A3C"/>
    <w:rsid w:val="00BC6FB4"/>
    <w:rsid w:val="00BD10DF"/>
    <w:rsid w:val="00BD17B8"/>
    <w:rsid w:val="00BD1CA7"/>
    <w:rsid w:val="00BD1EC0"/>
    <w:rsid w:val="00BD30FF"/>
    <w:rsid w:val="00BD4B01"/>
    <w:rsid w:val="00BD69A5"/>
    <w:rsid w:val="00BD6BDE"/>
    <w:rsid w:val="00BD7368"/>
    <w:rsid w:val="00BD7B40"/>
    <w:rsid w:val="00BE11FF"/>
    <w:rsid w:val="00BE1222"/>
    <w:rsid w:val="00BE1595"/>
    <w:rsid w:val="00BE2797"/>
    <w:rsid w:val="00BE2E21"/>
    <w:rsid w:val="00BE2E38"/>
    <w:rsid w:val="00BE3756"/>
    <w:rsid w:val="00BE4DC8"/>
    <w:rsid w:val="00BE58D0"/>
    <w:rsid w:val="00BE5D0B"/>
    <w:rsid w:val="00BE7BA9"/>
    <w:rsid w:val="00BF501A"/>
    <w:rsid w:val="00BF5807"/>
    <w:rsid w:val="00BF6E32"/>
    <w:rsid w:val="00BF6E59"/>
    <w:rsid w:val="00C018B7"/>
    <w:rsid w:val="00C02D52"/>
    <w:rsid w:val="00C03C0F"/>
    <w:rsid w:val="00C03C19"/>
    <w:rsid w:val="00C0410E"/>
    <w:rsid w:val="00C0570E"/>
    <w:rsid w:val="00C10947"/>
    <w:rsid w:val="00C11F4F"/>
    <w:rsid w:val="00C13622"/>
    <w:rsid w:val="00C13672"/>
    <w:rsid w:val="00C13B26"/>
    <w:rsid w:val="00C14F3A"/>
    <w:rsid w:val="00C1564C"/>
    <w:rsid w:val="00C214C4"/>
    <w:rsid w:val="00C231D4"/>
    <w:rsid w:val="00C233B4"/>
    <w:rsid w:val="00C23BCA"/>
    <w:rsid w:val="00C26E32"/>
    <w:rsid w:val="00C278CC"/>
    <w:rsid w:val="00C3548C"/>
    <w:rsid w:val="00C36377"/>
    <w:rsid w:val="00C374B3"/>
    <w:rsid w:val="00C4084C"/>
    <w:rsid w:val="00C410EB"/>
    <w:rsid w:val="00C42196"/>
    <w:rsid w:val="00C46A15"/>
    <w:rsid w:val="00C50E61"/>
    <w:rsid w:val="00C50FD7"/>
    <w:rsid w:val="00C52007"/>
    <w:rsid w:val="00C531BA"/>
    <w:rsid w:val="00C53B84"/>
    <w:rsid w:val="00C5558B"/>
    <w:rsid w:val="00C57E6C"/>
    <w:rsid w:val="00C60FE5"/>
    <w:rsid w:val="00C618EC"/>
    <w:rsid w:val="00C61D03"/>
    <w:rsid w:val="00C62773"/>
    <w:rsid w:val="00C63923"/>
    <w:rsid w:val="00C63D27"/>
    <w:rsid w:val="00C64256"/>
    <w:rsid w:val="00C654FE"/>
    <w:rsid w:val="00C6601B"/>
    <w:rsid w:val="00C66794"/>
    <w:rsid w:val="00C670FF"/>
    <w:rsid w:val="00C675D7"/>
    <w:rsid w:val="00C70C41"/>
    <w:rsid w:val="00C71A24"/>
    <w:rsid w:val="00C71D15"/>
    <w:rsid w:val="00C72947"/>
    <w:rsid w:val="00C74DCD"/>
    <w:rsid w:val="00C754A3"/>
    <w:rsid w:val="00C757CF"/>
    <w:rsid w:val="00C8053A"/>
    <w:rsid w:val="00C82B12"/>
    <w:rsid w:val="00C837F9"/>
    <w:rsid w:val="00C83DA5"/>
    <w:rsid w:val="00C83EA5"/>
    <w:rsid w:val="00C84008"/>
    <w:rsid w:val="00C86585"/>
    <w:rsid w:val="00C909D0"/>
    <w:rsid w:val="00C90F36"/>
    <w:rsid w:val="00C9226A"/>
    <w:rsid w:val="00C93983"/>
    <w:rsid w:val="00C946E5"/>
    <w:rsid w:val="00C964D1"/>
    <w:rsid w:val="00C96FA2"/>
    <w:rsid w:val="00CA0C21"/>
    <w:rsid w:val="00CA1D7B"/>
    <w:rsid w:val="00CA2DEE"/>
    <w:rsid w:val="00CA365B"/>
    <w:rsid w:val="00CA38B3"/>
    <w:rsid w:val="00CA60E5"/>
    <w:rsid w:val="00CA74A2"/>
    <w:rsid w:val="00CA7DE4"/>
    <w:rsid w:val="00CB1EA2"/>
    <w:rsid w:val="00CB2D46"/>
    <w:rsid w:val="00CB34B7"/>
    <w:rsid w:val="00CB3F2D"/>
    <w:rsid w:val="00CB44B0"/>
    <w:rsid w:val="00CB649F"/>
    <w:rsid w:val="00CB6752"/>
    <w:rsid w:val="00CB7C8C"/>
    <w:rsid w:val="00CC012A"/>
    <w:rsid w:val="00CC1ADD"/>
    <w:rsid w:val="00CC3375"/>
    <w:rsid w:val="00CC3AD2"/>
    <w:rsid w:val="00CC3F7B"/>
    <w:rsid w:val="00CC5FBE"/>
    <w:rsid w:val="00CC606D"/>
    <w:rsid w:val="00CD069B"/>
    <w:rsid w:val="00CD0C58"/>
    <w:rsid w:val="00CD0E04"/>
    <w:rsid w:val="00CD1EC7"/>
    <w:rsid w:val="00CD24BD"/>
    <w:rsid w:val="00CD4B87"/>
    <w:rsid w:val="00CD5F3B"/>
    <w:rsid w:val="00CD7E61"/>
    <w:rsid w:val="00CD7FC5"/>
    <w:rsid w:val="00CE1646"/>
    <w:rsid w:val="00CE5282"/>
    <w:rsid w:val="00CF0AD1"/>
    <w:rsid w:val="00CF1A7B"/>
    <w:rsid w:val="00CF1D49"/>
    <w:rsid w:val="00CF2C07"/>
    <w:rsid w:val="00CF2D60"/>
    <w:rsid w:val="00CF36FA"/>
    <w:rsid w:val="00CF3CCA"/>
    <w:rsid w:val="00CF4176"/>
    <w:rsid w:val="00CF7301"/>
    <w:rsid w:val="00CF785E"/>
    <w:rsid w:val="00CF7CFE"/>
    <w:rsid w:val="00CF7FF8"/>
    <w:rsid w:val="00D00089"/>
    <w:rsid w:val="00D007F3"/>
    <w:rsid w:val="00D022E4"/>
    <w:rsid w:val="00D04A0F"/>
    <w:rsid w:val="00D05285"/>
    <w:rsid w:val="00D063C5"/>
    <w:rsid w:val="00D0743C"/>
    <w:rsid w:val="00D1169B"/>
    <w:rsid w:val="00D21F8C"/>
    <w:rsid w:val="00D23A7F"/>
    <w:rsid w:val="00D24634"/>
    <w:rsid w:val="00D25CDA"/>
    <w:rsid w:val="00D264AE"/>
    <w:rsid w:val="00D26584"/>
    <w:rsid w:val="00D31912"/>
    <w:rsid w:val="00D34D40"/>
    <w:rsid w:val="00D34F09"/>
    <w:rsid w:val="00D35A58"/>
    <w:rsid w:val="00D36ADF"/>
    <w:rsid w:val="00D37BEC"/>
    <w:rsid w:val="00D37DD9"/>
    <w:rsid w:val="00D4239D"/>
    <w:rsid w:val="00D42AF4"/>
    <w:rsid w:val="00D4379C"/>
    <w:rsid w:val="00D440BD"/>
    <w:rsid w:val="00D44203"/>
    <w:rsid w:val="00D44E05"/>
    <w:rsid w:val="00D454C6"/>
    <w:rsid w:val="00D46673"/>
    <w:rsid w:val="00D47671"/>
    <w:rsid w:val="00D509DE"/>
    <w:rsid w:val="00D51B9D"/>
    <w:rsid w:val="00D56B98"/>
    <w:rsid w:val="00D61E7D"/>
    <w:rsid w:val="00D63071"/>
    <w:rsid w:val="00D63DAF"/>
    <w:rsid w:val="00D63E93"/>
    <w:rsid w:val="00D63F74"/>
    <w:rsid w:val="00D65C2F"/>
    <w:rsid w:val="00D66794"/>
    <w:rsid w:val="00D70B62"/>
    <w:rsid w:val="00D73E55"/>
    <w:rsid w:val="00D80BA6"/>
    <w:rsid w:val="00D828E7"/>
    <w:rsid w:val="00D833CC"/>
    <w:rsid w:val="00D84084"/>
    <w:rsid w:val="00D853A3"/>
    <w:rsid w:val="00D87183"/>
    <w:rsid w:val="00D90704"/>
    <w:rsid w:val="00D90DA3"/>
    <w:rsid w:val="00D91678"/>
    <w:rsid w:val="00D91A40"/>
    <w:rsid w:val="00D91F34"/>
    <w:rsid w:val="00D92599"/>
    <w:rsid w:val="00D92A0B"/>
    <w:rsid w:val="00D93DFD"/>
    <w:rsid w:val="00D949D3"/>
    <w:rsid w:val="00D95AEA"/>
    <w:rsid w:val="00D97289"/>
    <w:rsid w:val="00D97675"/>
    <w:rsid w:val="00DA1333"/>
    <w:rsid w:val="00DA27CD"/>
    <w:rsid w:val="00DA2FE1"/>
    <w:rsid w:val="00DA4191"/>
    <w:rsid w:val="00DA4C2E"/>
    <w:rsid w:val="00DA4D3E"/>
    <w:rsid w:val="00DA4DF3"/>
    <w:rsid w:val="00DA72C6"/>
    <w:rsid w:val="00DB1503"/>
    <w:rsid w:val="00DB35B4"/>
    <w:rsid w:val="00DB3C7F"/>
    <w:rsid w:val="00DB542D"/>
    <w:rsid w:val="00DB70D4"/>
    <w:rsid w:val="00DC0235"/>
    <w:rsid w:val="00DC20C6"/>
    <w:rsid w:val="00DC3D84"/>
    <w:rsid w:val="00DC4113"/>
    <w:rsid w:val="00DC4740"/>
    <w:rsid w:val="00DC4A30"/>
    <w:rsid w:val="00DC70CF"/>
    <w:rsid w:val="00DD0517"/>
    <w:rsid w:val="00DD0523"/>
    <w:rsid w:val="00DD0709"/>
    <w:rsid w:val="00DD135D"/>
    <w:rsid w:val="00DD1A73"/>
    <w:rsid w:val="00DD1D3A"/>
    <w:rsid w:val="00DD2C51"/>
    <w:rsid w:val="00DD325E"/>
    <w:rsid w:val="00DD67F8"/>
    <w:rsid w:val="00DD73E5"/>
    <w:rsid w:val="00DE0CE1"/>
    <w:rsid w:val="00DE103F"/>
    <w:rsid w:val="00DE1A43"/>
    <w:rsid w:val="00DE1FB1"/>
    <w:rsid w:val="00DE50E8"/>
    <w:rsid w:val="00DE7F43"/>
    <w:rsid w:val="00DF048B"/>
    <w:rsid w:val="00DF08A3"/>
    <w:rsid w:val="00DF1100"/>
    <w:rsid w:val="00DF12BA"/>
    <w:rsid w:val="00DF174E"/>
    <w:rsid w:val="00DF4051"/>
    <w:rsid w:val="00DF6EDB"/>
    <w:rsid w:val="00E00A7E"/>
    <w:rsid w:val="00E0501C"/>
    <w:rsid w:val="00E0568A"/>
    <w:rsid w:val="00E05F12"/>
    <w:rsid w:val="00E10013"/>
    <w:rsid w:val="00E10BC7"/>
    <w:rsid w:val="00E10E74"/>
    <w:rsid w:val="00E11F8D"/>
    <w:rsid w:val="00E126E6"/>
    <w:rsid w:val="00E14437"/>
    <w:rsid w:val="00E15016"/>
    <w:rsid w:val="00E17D88"/>
    <w:rsid w:val="00E20FFC"/>
    <w:rsid w:val="00E21B35"/>
    <w:rsid w:val="00E234C7"/>
    <w:rsid w:val="00E242BF"/>
    <w:rsid w:val="00E2479A"/>
    <w:rsid w:val="00E2625D"/>
    <w:rsid w:val="00E26CCE"/>
    <w:rsid w:val="00E2704E"/>
    <w:rsid w:val="00E27CF6"/>
    <w:rsid w:val="00E30343"/>
    <w:rsid w:val="00E31310"/>
    <w:rsid w:val="00E33D5C"/>
    <w:rsid w:val="00E34360"/>
    <w:rsid w:val="00E357A1"/>
    <w:rsid w:val="00E35BBF"/>
    <w:rsid w:val="00E3626B"/>
    <w:rsid w:val="00E3771A"/>
    <w:rsid w:val="00E40260"/>
    <w:rsid w:val="00E44D84"/>
    <w:rsid w:val="00E45652"/>
    <w:rsid w:val="00E4568D"/>
    <w:rsid w:val="00E45EA4"/>
    <w:rsid w:val="00E4621A"/>
    <w:rsid w:val="00E46746"/>
    <w:rsid w:val="00E4702D"/>
    <w:rsid w:val="00E4747F"/>
    <w:rsid w:val="00E50476"/>
    <w:rsid w:val="00E525D1"/>
    <w:rsid w:val="00E52B73"/>
    <w:rsid w:val="00E53890"/>
    <w:rsid w:val="00E57DA8"/>
    <w:rsid w:val="00E6148F"/>
    <w:rsid w:val="00E63200"/>
    <w:rsid w:val="00E63967"/>
    <w:rsid w:val="00E63EDB"/>
    <w:rsid w:val="00E64E1D"/>
    <w:rsid w:val="00E656E1"/>
    <w:rsid w:val="00E67216"/>
    <w:rsid w:val="00E67BB6"/>
    <w:rsid w:val="00E7254D"/>
    <w:rsid w:val="00E73844"/>
    <w:rsid w:val="00E73DCB"/>
    <w:rsid w:val="00E74E08"/>
    <w:rsid w:val="00E761FE"/>
    <w:rsid w:val="00E82D72"/>
    <w:rsid w:val="00E82F42"/>
    <w:rsid w:val="00E83060"/>
    <w:rsid w:val="00E852AF"/>
    <w:rsid w:val="00E859A9"/>
    <w:rsid w:val="00E85D7E"/>
    <w:rsid w:val="00E876D4"/>
    <w:rsid w:val="00E901E6"/>
    <w:rsid w:val="00E90553"/>
    <w:rsid w:val="00E90B09"/>
    <w:rsid w:val="00E90E71"/>
    <w:rsid w:val="00E91CE7"/>
    <w:rsid w:val="00E92E24"/>
    <w:rsid w:val="00E9325C"/>
    <w:rsid w:val="00E939CA"/>
    <w:rsid w:val="00E93B4E"/>
    <w:rsid w:val="00E9594C"/>
    <w:rsid w:val="00E962ED"/>
    <w:rsid w:val="00E97134"/>
    <w:rsid w:val="00E97B13"/>
    <w:rsid w:val="00E97FCC"/>
    <w:rsid w:val="00EA15C2"/>
    <w:rsid w:val="00EA30FE"/>
    <w:rsid w:val="00EA31F5"/>
    <w:rsid w:val="00EA5942"/>
    <w:rsid w:val="00EA5D63"/>
    <w:rsid w:val="00EA6954"/>
    <w:rsid w:val="00EA6DEF"/>
    <w:rsid w:val="00EB12F7"/>
    <w:rsid w:val="00EB2D78"/>
    <w:rsid w:val="00EB4407"/>
    <w:rsid w:val="00EB50F5"/>
    <w:rsid w:val="00EB5EC8"/>
    <w:rsid w:val="00EB65BA"/>
    <w:rsid w:val="00EB751B"/>
    <w:rsid w:val="00EC09AC"/>
    <w:rsid w:val="00EC0A50"/>
    <w:rsid w:val="00EC0D11"/>
    <w:rsid w:val="00EC125E"/>
    <w:rsid w:val="00EC13DA"/>
    <w:rsid w:val="00EC16D6"/>
    <w:rsid w:val="00EC5819"/>
    <w:rsid w:val="00EC6AD3"/>
    <w:rsid w:val="00EC6F92"/>
    <w:rsid w:val="00ED1A77"/>
    <w:rsid w:val="00ED6807"/>
    <w:rsid w:val="00ED7096"/>
    <w:rsid w:val="00ED7D0C"/>
    <w:rsid w:val="00EE01B7"/>
    <w:rsid w:val="00EE0B82"/>
    <w:rsid w:val="00EE3627"/>
    <w:rsid w:val="00EE3672"/>
    <w:rsid w:val="00EE5BA8"/>
    <w:rsid w:val="00EE71A1"/>
    <w:rsid w:val="00EE76BA"/>
    <w:rsid w:val="00EF0261"/>
    <w:rsid w:val="00EF0E89"/>
    <w:rsid w:val="00EF1435"/>
    <w:rsid w:val="00EF28E7"/>
    <w:rsid w:val="00EF43DA"/>
    <w:rsid w:val="00EF4A80"/>
    <w:rsid w:val="00EF5423"/>
    <w:rsid w:val="00EF58B3"/>
    <w:rsid w:val="00EF5FC3"/>
    <w:rsid w:val="00EF6D1E"/>
    <w:rsid w:val="00F0139C"/>
    <w:rsid w:val="00F07C82"/>
    <w:rsid w:val="00F11859"/>
    <w:rsid w:val="00F11B70"/>
    <w:rsid w:val="00F12024"/>
    <w:rsid w:val="00F12AAC"/>
    <w:rsid w:val="00F139E0"/>
    <w:rsid w:val="00F1497F"/>
    <w:rsid w:val="00F15238"/>
    <w:rsid w:val="00F15397"/>
    <w:rsid w:val="00F15BEF"/>
    <w:rsid w:val="00F16F2E"/>
    <w:rsid w:val="00F174E3"/>
    <w:rsid w:val="00F20DC2"/>
    <w:rsid w:val="00F215E1"/>
    <w:rsid w:val="00F216FC"/>
    <w:rsid w:val="00F218C7"/>
    <w:rsid w:val="00F21C29"/>
    <w:rsid w:val="00F2408E"/>
    <w:rsid w:val="00F24311"/>
    <w:rsid w:val="00F247A7"/>
    <w:rsid w:val="00F2521D"/>
    <w:rsid w:val="00F2651A"/>
    <w:rsid w:val="00F26F79"/>
    <w:rsid w:val="00F31A29"/>
    <w:rsid w:val="00F3348B"/>
    <w:rsid w:val="00F33E8E"/>
    <w:rsid w:val="00F33FBC"/>
    <w:rsid w:val="00F376E3"/>
    <w:rsid w:val="00F40B17"/>
    <w:rsid w:val="00F42BF2"/>
    <w:rsid w:val="00F42E5C"/>
    <w:rsid w:val="00F4342C"/>
    <w:rsid w:val="00F43A09"/>
    <w:rsid w:val="00F4556E"/>
    <w:rsid w:val="00F45A67"/>
    <w:rsid w:val="00F46979"/>
    <w:rsid w:val="00F47275"/>
    <w:rsid w:val="00F4728C"/>
    <w:rsid w:val="00F517C3"/>
    <w:rsid w:val="00F51B31"/>
    <w:rsid w:val="00F52BDC"/>
    <w:rsid w:val="00F53768"/>
    <w:rsid w:val="00F53D7F"/>
    <w:rsid w:val="00F53FAE"/>
    <w:rsid w:val="00F540CC"/>
    <w:rsid w:val="00F54375"/>
    <w:rsid w:val="00F60C30"/>
    <w:rsid w:val="00F6221D"/>
    <w:rsid w:val="00F6337E"/>
    <w:rsid w:val="00F635DA"/>
    <w:rsid w:val="00F6438D"/>
    <w:rsid w:val="00F6464B"/>
    <w:rsid w:val="00F649CA"/>
    <w:rsid w:val="00F64C53"/>
    <w:rsid w:val="00F65FA6"/>
    <w:rsid w:val="00F67142"/>
    <w:rsid w:val="00F7036E"/>
    <w:rsid w:val="00F70E1A"/>
    <w:rsid w:val="00F7137A"/>
    <w:rsid w:val="00F73C73"/>
    <w:rsid w:val="00F80071"/>
    <w:rsid w:val="00F8028A"/>
    <w:rsid w:val="00F81871"/>
    <w:rsid w:val="00F84DA5"/>
    <w:rsid w:val="00F850AD"/>
    <w:rsid w:val="00F85DC3"/>
    <w:rsid w:val="00F86360"/>
    <w:rsid w:val="00F86365"/>
    <w:rsid w:val="00F868E3"/>
    <w:rsid w:val="00F87680"/>
    <w:rsid w:val="00F9040D"/>
    <w:rsid w:val="00F90A33"/>
    <w:rsid w:val="00F92FDF"/>
    <w:rsid w:val="00F930D5"/>
    <w:rsid w:val="00F9492D"/>
    <w:rsid w:val="00F94A4E"/>
    <w:rsid w:val="00F9527C"/>
    <w:rsid w:val="00F96313"/>
    <w:rsid w:val="00FA0287"/>
    <w:rsid w:val="00FA1D98"/>
    <w:rsid w:val="00FA2E47"/>
    <w:rsid w:val="00FA413B"/>
    <w:rsid w:val="00FA4800"/>
    <w:rsid w:val="00FA49A4"/>
    <w:rsid w:val="00FA784E"/>
    <w:rsid w:val="00FB212D"/>
    <w:rsid w:val="00FB2649"/>
    <w:rsid w:val="00FB3EA5"/>
    <w:rsid w:val="00FB5561"/>
    <w:rsid w:val="00FB5684"/>
    <w:rsid w:val="00FB5D4C"/>
    <w:rsid w:val="00FB670F"/>
    <w:rsid w:val="00FB6BAD"/>
    <w:rsid w:val="00FC0683"/>
    <w:rsid w:val="00FC0A18"/>
    <w:rsid w:val="00FC0EB3"/>
    <w:rsid w:val="00FC261A"/>
    <w:rsid w:val="00FC3E3B"/>
    <w:rsid w:val="00FC4737"/>
    <w:rsid w:val="00FC69A6"/>
    <w:rsid w:val="00FC7297"/>
    <w:rsid w:val="00FC7446"/>
    <w:rsid w:val="00FD017F"/>
    <w:rsid w:val="00FD0398"/>
    <w:rsid w:val="00FD0512"/>
    <w:rsid w:val="00FD35B6"/>
    <w:rsid w:val="00FD6578"/>
    <w:rsid w:val="00FD68BF"/>
    <w:rsid w:val="00FD7847"/>
    <w:rsid w:val="00FE0A4C"/>
    <w:rsid w:val="00FE0C75"/>
    <w:rsid w:val="00FE1AB4"/>
    <w:rsid w:val="00FE23F4"/>
    <w:rsid w:val="00FE389A"/>
    <w:rsid w:val="00FE5E3E"/>
    <w:rsid w:val="00FE712A"/>
    <w:rsid w:val="00FF2563"/>
    <w:rsid w:val="00FF3F9D"/>
    <w:rsid w:val="00FF4566"/>
    <w:rsid w:val="00FF4F3F"/>
    <w:rsid w:val="00FF5709"/>
    <w:rsid w:val="00FF5BB2"/>
    <w:rsid w:val="00FF5E97"/>
    <w:rsid w:val="00FF6470"/>
    <w:rsid w:val="00FF677D"/>
    <w:rsid w:val="00FF794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6"/>
        <w:szCs w:val="26"/>
        <w:lang w:val="en-US" w:eastAsia="en-US" w:bidi="ar-SA"/>
      </w:rPr>
    </w:rPrDefault>
    <w:pPrDefault>
      <w:pPr>
        <w:spacing w:after="160" w:line="4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385176"/>
    <w:pPr>
      <w:tabs>
        <w:tab w:val="left" w:pos="720"/>
      </w:tabs>
      <w:spacing w:after="0" w:line="480" w:lineRule="atLeast"/>
      <w:ind w:firstLine="720"/>
    </w:pPr>
  </w:style>
  <w:style w:type="paragraph" w:styleId="Heading1">
    <w:name w:val="heading 1"/>
    <w:basedOn w:val="Normal"/>
    <w:next w:val="Normal"/>
    <w:link w:val="Heading1Char"/>
    <w:autoRedefine/>
    <w:uiPriority w:val="9"/>
    <w:qFormat/>
    <w:rsid w:val="00752E03"/>
    <w:pPr>
      <w:keepNext/>
      <w:ind w:firstLine="0"/>
      <w:jc w:val="center"/>
      <w:outlineLvl w:val="0"/>
    </w:pPr>
    <w:rPr>
      <w:rFonts w:eastAsiaTheme="majorEastAsia"/>
      <w:b/>
      <w:bCs/>
      <w:caps/>
      <w:szCs w:val="32"/>
    </w:rPr>
  </w:style>
  <w:style w:type="paragraph" w:styleId="Heading2">
    <w:name w:val="heading 2"/>
    <w:basedOn w:val="Normal"/>
    <w:next w:val="Normal"/>
    <w:link w:val="Heading2Char"/>
    <w:uiPriority w:val="9"/>
    <w:qFormat/>
    <w:rsid w:val="00752E03"/>
    <w:pPr>
      <w:keepNext/>
      <w:ind w:left="720" w:firstLine="0"/>
      <w:outlineLvl w:val="1"/>
    </w:pPr>
    <w:rPr>
      <w:rFonts w:eastAsiaTheme="majorEastAsia"/>
      <w:bCs/>
      <w:i/>
      <w:iCs/>
      <w:szCs w:val="28"/>
    </w:rPr>
  </w:style>
  <w:style w:type="paragraph" w:styleId="Heading3">
    <w:name w:val="heading 3"/>
    <w:basedOn w:val="Normal"/>
    <w:next w:val="Normal"/>
    <w:link w:val="Heading3Char"/>
    <w:autoRedefine/>
    <w:uiPriority w:val="9"/>
    <w:qFormat/>
    <w:rsid w:val="00B5690B"/>
    <w:pPr>
      <w:keepNext/>
      <w:numPr>
        <w:numId w:val="1"/>
      </w:numPr>
      <w:ind w:left="1080" w:firstLine="0"/>
      <w:outlineLvl w:val="2"/>
    </w:pPr>
    <w:rPr>
      <w:rFonts w:eastAsiaTheme="majorEastAsia"/>
      <w:bCs/>
      <w:u w:val="single"/>
    </w:rPr>
  </w:style>
  <w:style w:type="paragraph" w:styleId="Heading4">
    <w:name w:val="heading 4"/>
    <w:basedOn w:val="Normal"/>
    <w:next w:val="Normal"/>
    <w:link w:val="Heading4Char"/>
    <w:autoRedefine/>
    <w:uiPriority w:val="9"/>
    <w:unhideWhenUsed/>
    <w:qFormat/>
    <w:rsid w:val="00752E03"/>
    <w:pPr>
      <w:keepNext/>
      <w:keepLines/>
      <w:ind w:left="1440" w:firstLine="0"/>
      <w:outlineLvl w:val="3"/>
    </w:pPr>
    <w:rPr>
      <w:rFonts w:eastAsiaTheme="majorEastAsia" w:cstheme="majorBidi"/>
      <w:iCs/>
      <w:color w:val="000000" w:themeColor="text1"/>
      <w:szCs w:val="24"/>
    </w:rPr>
  </w:style>
  <w:style w:type="paragraph" w:styleId="Heading6">
    <w:name w:val="heading 6"/>
    <w:basedOn w:val="Normal"/>
    <w:next w:val="Normal"/>
    <w:link w:val="Heading6Char"/>
    <w:uiPriority w:val="9"/>
    <w:semiHidden/>
    <w:unhideWhenUsed/>
    <w:qFormat/>
    <w:rsid w:val="006E1706"/>
    <w:pPr>
      <w:spacing w:before="240" w:after="60"/>
      <w:outlineLvl w:val="5"/>
    </w:pPr>
    <w:rPr>
      <w:b/>
      <w:bCs/>
    </w:rPr>
  </w:style>
  <w:style w:type="paragraph" w:styleId="Heading7">
    <w:name w:val="heading 7"/>
    <w:basedOn w:val="Normal"/>
    <w:next w:val="Normal"/>
    <w:link w:val="Heading7Char"/>
    <w:uiPriority w:val="9"/>
    <w:semiHidden/>
    <w:unhideWhenUsed/>
    <w:qFormat/>
    <w:rsid w:val="006E1706"/>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6E1706"/>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6E170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E1706"/>
    <w:pPr>
      <w:tabs>
        <w:tab w:val="clear" w:pos="720"/>
        <w:tab w:val="center" w:pos="4680"/>
        <w:tab w:val="right" w:pos="9360"/>
      </w:tabs>
      <w:spacing w:line="240" w:lineRule="auto"/>
    </w:pPr>
    <w:rPr>
      <w:szCs w:val="24"/>
    </w:rPr>
  </w:style>
  <w:style w:type="character" w:customStyle="1" w:styleId="FooterChar">
    <w:name w:val="Footer Char"/>
    <w:basedOn w:val="DefaultParagraphFont"/>
    <w:link w:val="Footer"/>
    <w:rsid w:val="006E1706"/>
    <w:rPr>
      <w:szCs w:val="24"/>
    </w:rPr>
  </w:style>
  <w:style w:type="character" w:styleId="FootnoteReference">
    <w:name w:val="footnote reference"/>
    <w:basedOn w:val="DefaultParagraphFont"/>
    <w:uiPriority w:val="99"/>
    <w:semiHidden/>
    <w:unhideWhenUsed/>
    <w:rsid w:val="006E1706"/>
    <w:rPr>
      <w:vertAlign w:val="superscript"/>
    </w:rPr>
  </w:style>
  <w:style w:type="paragraph" w:styleId="FootnoteText">
    <w:name w:val="footnote text"/>
    <w:basedOn w:val="Normal"/>
    <w:link w:val="FootnoteTextChar"/>
    <w:uiPriority w:val="99"/>
    <w:unhideWhenUsed/>
    <w:rsid w:val="006E1706"/>
    <w:rPr>
      <w:szCs w:val="20"/>
    </w:rPr>
  </w:style>
  <w:style w:type="character" w:customStyle="1" w:styleId="FootnoteTextChar">
    <w:name w:val="Footnote Text Char"/>
    <w:basedOn w:val="DefaultParagraphFont"/>
    <w:link w:val="FootnoteText"/>
    <w:uiPriority w:val="99"/>
    <w:rsid w:val="006E1706"/>
    <w:rPr>
      <w:szCs w:val="20"/>
    </w:rPr>
  </w:style>
  <w:style w:type="character" w:customStyle="1" w:styleId="Heading1Char">
    <w:name w:val="Heading 1 Char"/>
    <w:basedOn w:val="DefaultParagraphFont"/>
    <w:link w:val="Heading1"/>
    <w:uiPriority w:val="9"/>
    <w:rsid w:val="00752E03"/>
    <w:rPr>
      <w:rFonts w:eastAsiaTheme="majorEastAsia"/>
      <w:b/>
      <w:bCs/>
      <w:caps/>
      <w:szCs w:val="32"/>
    </w:rPr>
  </w:style>
  <w:style w:type="character" w:customStyle="1" w:styleId="Heading2Char">
    <w:name w:val="Heading 2 Char"/>
    <w:basedOn w:val="DefaultParagraphFont"/>
    <w:link w:val="Heading2"/>
    <w:uiPriority w:val="9"/>
    <w:rsid w:val="00752E03"/>
    <w:rPr>
      <w:rFonts w:eastAsiaTheme="majorEastAsia"/>
      <w:bCs/>
      <w:i/>
      <w:iCs/>
      <w:szCs w:val="28"/>
    </w:rPr>
  </w:style>
  <w:style w:type="character" w:customStyle="1" w:styleId="Heading3Char">
    <w:name w:val="Heading 3 Char"/>
    <w:basedOn w:val="DefaultParagraphFont"/>
    <w:link w:val="Heading3"/>
    <w:uiPriority w:val="9"/>
    <w:rsid w:val="00B5690B"/>
    <w:rPr>
      <w:rFonts w:eastAsiaTheme="majorEastAsia"/>
      <w:bCs/>
      <w:u w:val="single"/>
    </w:rPr>
  </w:style>
  <w:style w:type="character" w:customStyle="1" w:styleId="Heading4Char">
    <w:name w:val="Heading 4 Char"/>
    <w:basedOn w:val="DefaultParagraphFont"/>
    <w:link w:val="Heading4"/>
    <w:uiPriority w:val="9"/>
    <w:rsid w:val="00752E03"/>
    <w:rPr>
      <w:rFonts w:eastAsiaTheme="majorEastAsia" w:cstheme="majorBidi"/>
      <w:iCs/>
      <w:color w:val="000000" w:themeColor="text1"/>
      <w:szCs w:val="24"/>
    </w:rPr>
  </w:style>
  <w:style w:type="character" w:customStyle="1" w:styleId="Heading6Char">
    <w:name w:val="Heading 6 Char"/>
    <w:basedOn w:val="DefaultParagraphFont"/>
    <w:link w:val="Heading6"/>
    <w:uiPriority w:val="9"/>
    <w:semiHidden/>
    <w:rsid w:val="006E1706"/>
    <w:rPr>
      <w:b/>
      <w:bCs/>
    </w:rPr>
  </w:style>
  <w:style w:type="character" w:customStyle="1" w:styleId="Heading7Char">
    <w:name w:val="Heading 7 Char"/>
    <w:basedOn w:val="DefaultParagraphFont"/>
    <w:link w:val="Heading7"/>
    <w:uiPriority w:val="9"/>
    <w:semiHidden/>
    <w:rsid w:val="006E1706"/>
    <w:rPr>
      <w:sz w:val="24"/>
      <w:szCs w:val="24"/>
    </w:rPr>
  </w:style>
  <w:style w:type="character" w:customStyle="1" w:styleId="Heading8Char">
    <w:name w:val="Heading 8 Char"/>
    <w:basedOn w:val="DefaultParagraphFont"/>
    <w:link w:val="Heading8"/>
    <w:uiPriority w:val="9"/>
    <w:semiHidden/>
    <w:rsid w:val="006E1706"/>
    <w:rPr>
      <w:i/>
      <w:iCs/>
      <w:sz w:val="24"/>
      <w:szCs w:val="24"/>
    </w:rPr>
  </w:style>
  <w:style w:type="character" w:customStyle="1" w:styleId="Heading9Char">
    <w:name w:val="Heading 9 Char"/>
    <w:basedOn w:val="DefaultParagraphFont"/>
    <w:link w:val="Heading9"/>
    <w:uiPriority w:val="9"/>
    <w:semiHidden/>
    <w:rsid w:val="006E1706"/>
    <w:rPr>
      <w:rFonts w:asciiTheme="majorHAnsi" w:eastAsiaTheme="majorEastAsia" w:hAnsiTheme="majorHAnsi"/>
    </w:rPr>
  </w:style>
  <w:style w:type="paragraph" w:styleId="Subtitle">
    <w:name w:val="Subtitle"/>
    <w:basedOn w:val="Normal"/>
    <w:next w:val="Normal"/>
    <w:link w:val="SubtitleChar"/>
    <w:uiPriority w:val="11"/>
    <w:qFormat/>
    <w:rsid w:val="006E1706"/>
    <w:pPr>
      <w:spacing w:line="240" w:lineRule="atLeast"/>
      <w:outlineLvl w:val="1"/>
    </w:pPr>
    <w:rPr>
      <w:rFonts w:eastAsiaTheme="majorEastAsia"/>
      <w:szCs w:val="24"/>
    </w:rPr>
  </w:style>
  <w:style w:type="character" w:customStyle="1" w:styleId="SubtitleChar">
    <w:name w:val="Subtitle Char"/>
    <w:basedOn w:val="DefaultParagraphFont"/>
    <w:link w:val="Subtitle"/>
    <w:uiPriority w:val="11"/>
    <w:rsid w:val="006E1706"/>
    <w:rPr>
      <w:rFonts w:eastAsiaTheme="majorEastAsia"/>
      <w:szCs w:val="24"/>
    </w:rPr>
  </w:style>
  <w:style w:type="paragraph" w:styleId="Header">
    <w:name w:val="header"/>
    <w:basedOn w:val="Normal"/>
    <w:link w:val="HeaderChar"/>
    <w:uiPriority w:val="99"/>
    <w:unhideWhenUsed/>
    <w:rsid w:val="002D669B"/>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2D669B"/>
  </w:style>
  <w:style w:type="character" w:styleId="CommentReference">
    <w:name w:val="annotation reference"/>
    <w:basedOn w:val="DefaultParagraphFont"/>
    <w:uiPriority w:val="99"/>
    <w:semiHidden/>
    <w:unhideWhenUsed/>
    <w:rsid w:val="001F2047"/>
    <w:rPr>
      <w:sz w:val="16"/>
      <w:szCs w:val="16"/>
    </w:rPr>
  </w:style>
  <w:style w:type="paragraph" w:styleId="CommentText">
    <w:name w:val="annotation text"/>
    <w:basedOn w:val="Normal"/>
    <w:link w:val="CommentTextChar"/>
    <w:uiPriority w:val="99"/>
    <w:unhideWhenUsed/>
    <w:rsid w:val="001F2047"/>
    <w:pPr>
      <w:spacing w:line="240" w:lineRule="auto"/>
    </w:pPr>
    <w:rPr>
      <w:sz w:val="20"/>
      <w:szCs w:val="20"/>
    </w:rPr>
  </w:style>
  <w:style w:type="character" w:customStyle="1" w:styleId="CommentTextChar">
    <w:name w:val="Comment Text Char"/>
    <w:basedOn w:val="DefaultParagraphFont"/>
    <w:link w:val="CommentText"/>
    <w:uiPriority w:val="99"/>
    <w:rsid w:val="001F2047"/>
    <w:rPr>
      <w:sz w:val="20"/>
      <w:szCs w:val="20"/>
    </w:rPr>
  </w:style>
  <w:style w:type="paragraph" w:styleId="BalloonText">
    <w:name w:val="Balloon Text"/>
    <w:basedOn w:val="Normal"/>
    <w:link w:val="BalloonTextChar"/>
    <w:uiPriority w:val="99"/>
    <w:semiHidden/>
    <w:unhideWhenUsed/>
    <w:rsid w:val="001F20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047"/>
    <w:rPr>
      <w:rFonts w:ascii="Segoe UI" w:hAnsi="Segoe UI" w:cs="Segoe UI"/>
      <w:sz w:val="18"/>
      <w:szCs w:val="18"/>
    </w:rPr>
  </w:style>
  <w:style w:type="paragraph" w:styleId="ListParagraph">
    <w:name w:val="List Paragraph"/>
    <w:basedOn w:val="Normal"/>
    <w:uiPriority w:val="34"/>
    <w:rsid w:val="005E1B17"/>
    <w:pPr>
      <w:ind w:left="720"/>
      <w:contextualSpacing/>
    </w:pPr>
  </w:style>
  <w:style w:type="character" w:styleId="Hyperlink">
    <w:name w:val="Hyperlink"/>
    <w:basedOn w:val="DefaultParagraphFont"/>
    <w:uiPriority w:val="99"/>
    <w:unhideWhenUsed/>
    <w:rsid w:val="00700151"/>
    <w:rPr>
      <w:color w:val="0563C1" w:themeColor="hyperlink"/>
      <w:u w:val="single"/>
    </w:rPr>
  </w:style>
  <w:style w:type="character" w:customStyle="1" w:styleId="UnresolvedMention1">
    <w:name w:val="Unresolved Mention1"/>
    <w:basedOn w:val="DefaultParagraphFont"/>
    <w:uiPriority w:val="99"/>
    <w:semiHidden/>
    <w:unhideWhenUsed/>
    <w:rsid w:val="00700151"/>
    <w:rPr>
      <w:color w:val="605E5C"/>
      <w:shd w:val="clear" w:color="auto" w:fill="E1DFDD"/>
    </w:rPr>
  </w:style>
  <w:style w:type="character" w:customStyle="1" w:styleId="cohl">
    <w:name w:val="co_hl"/>
    <w:basedOn w:val="DefaultParagraphFont"/>
    <w:rsid w:val="008630E6"/>
  </w:style>
  <w:style w:type="character" w:customStyle="1" w:styleId="costarpage">
    <w:name w:val="co_starpage"/>
    <w:basedOn w:val="DefaultParagraphFont"/>
    <w:rsid w:val="0064366F"/>
  </w:style>
  <w:style w:type="paragraph" w:styleId="Revision">
    <w:name w:val="Revision"/>
    <w:hidden/>
    <w:uiPriority w:val="99"/>
    <w:semiHidden/>
    <w:rsid w:val="00ED7D0C"/>
    <w:pPr>
      <w:spacing w:after="0" w:line="240" w:lineRule="auto"/>
    </w:pPr>
  </w:style>
  <w:style w:type="paragraph" w:styleId="CommentSubject">
    <w:name w:val="annotation subject"/>
    <w:basedOn w:val="CommentText"/>
    <w:next w:val="CommentText"/>
    <w:link w:val="CommentSubjectChar"/>
    <w:uiPriority w:val="99"/>
    <w:semiHidden/>
    <w:unhideWhenUsed/>
    <w:rsid w:val="008C55A1"/>
    <w:rPr>
      <w:b/>
      <w:bCs/>
    </w:rPr>
  </w:style>
  <w:style w:type="character" w:customStyle="1" w:styleId="CommentSubjectChar">
    <w:name w:val="Comment Subject Char"/>
    <w:basedOn w:val="CommentTextChar"/>
    <w:link w:val="CommentSubject"/>
    <w:uiPriority w:val="99"/>
    <w:semiHidden/>
    <w:rsid w:val="008C55A1"/>
    <w:rPr>
      <w:b/>
      <w:bCs/>
      <w:sz w:val="20"/>
      <w:szCs w:val="20"/>
    </w:rPr>
  </w:style>
  <w:style w:type="character" w:customStyle="1" w:styleId="cf01">
    <w:name w:val="cf01"/>
    <w:basedOn w:val="DefaultParagraphFont"/>
    <w:rsid w:val="00735090"/>
    <w:rPr>
      <w:rFonts w:ascii="Segoe UI" w:hAnsi="Segoe UI" w:cs="Segoe UI" w:hint="default"/>
      <w:sz w:val="18"/>
      <w:szCs w:val="18"/>
    </w:rPr>
  </w:style>
  <w:style w:type="paragraph" w:customStyle="1" w:styleId="footnote">
    <w:name w:val="footnote"/>
    <w:link w:val="footnoteChar"/>
    <w:qFormat/>
    <w:rsid w:val="00C9226A"/>
    <w:pPr>
      <w:spacing w:after="0" w:line="240" w:lineRule="auto"/>
    </w:pPr>
    <w:rPr>
      <w:rFonts w:asciiTheme="minorHAnsi" w:hAnsiTheme="minorHAnsi"/>
    </w:rPr>
  </w:style>
  <w:style w:type="character" w:customStyle="1" w:styleId="footnoteChar">
    <w:name w:val="footnote Char"/>
    <w:link w:val="footnote"/>
    <w:rsid w:val="00C9226A"/>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8BA06-043A-4C5B-9872-74CD8A736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8096</Words>
  <Characters>46153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2024-05-09T18:06:56Z</dcterms:created>
  <dcterms:modified xsi:type="dcterms:W3CDTF">2024-05-09T18:06:56Z</dcterms:modified>
</cp:coreProperties>
</file>