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8295E" w:rsidRPr="00461833" w:rsidP="00CA2DD9">
      <w:pPr>
        <w:rPr>
          <w:rFonts w:ascii="Century Schoolbook" w:hAnsi="Century Schoolbook"/>
          <w:sz w:val="20"/>
        </w:rPr>
      </w:pPr>
      <w:r w:rsidRPr="00461833">
        <w:rPr>
          <w:rFonts w:ascii="Century Schoolbook" w:hAnsi="Century Schoolbook"/>
          <w:sz w:val="20"/>
        </w:rPr>
        <w:t>Filed 6/12/24</w:t>
      </w:r>
      <w:r w:rsidR="00307B15">
        <w:rPr>
          <w:rFonts w:ascii="Century Schoolbook" w:hAnsi="Century Schoolbook"/>
          <w:sz w:val="20"/>
        </w:rPr>
        <w:t>; certified for publication 7/2/24 (order attached)</w:t>
      </w:r>
    </w:p>
    <w:p w:rsidR="0078295E" w:rsidRPr="00AA40EF" w:rsidP="00CA2DD9">
      <w:pPr>
        <w:rPr>
          <w:rFonts w:ascii="Century Schoolbook" w:hAnsi="Century Schoolbook"/>
          <w:sz w:val="28"/>
          <w:szCs w:val="28"/>
        </w:rPr>
      </w:pPr>
    </w:p>
    <w:p w:rsidR="00CA2DD9" w:rsidRPr="00AA40EF" w:rsidP="00CA2DD9">
      <w:pPr>
        <w:rPr>
          <w:rFonts w:ascii="Century Schoolbook" w:hAnsi="Century Schoolbook"/>
          <w:sz w:val="28"/>
          <w:szCs w:val="28"/>
        </w:rPr>
      </w:pPr>
    </w:p>
    <w:p w:rsidR="00CA2DD9" w:rsidRPr="00AA40EF" w:rsidP="00CA2DD9">
      <w:pPr>
        <w:rPr>
          <w:rFonts w:ascii="Century Schoolbook" w:hAnsi="Century Schoolbook"/>
          <w:sz w:val="28"/>
          <w:szCs w:val="28"/>
        </w:rPr>
      </w:pPr>
    </w:p>
    <w:p w:rsidR="00CA2DD9" w:rsidRPr="00AA40EF" w:rsidP="00CA2DD9">
      <w:pPr>
        <w:jc w:val="center"/>
        <w:rPr>
          <w:rFonts w:ascii="Century Schoolbook" w:hAnsi="Century Schoolbook"/>
          <w:sz w:val="28"/>
          <w:szCs w:val="28"/>
        </w:rPr>
      </w:pPr>
    </w:p>
    <w:p w:rsidR="00CA2DD9" w:rsidP="00CA2DD9">
      <w:pPr>
        <w:jc w:val="center"/>
        <w:rPr>
          <w:rFonts w:ascii="Century Schoolbook" w:hAnsi="Century Schoolbook"/>
          <w:sz w:val="28"/>
          <w:szCs w:val="28"/>
        </w:rPr>
      </w:pPr>
    </w:p>
    <w:p w:rsidR="00307B15" w:rsidRPr="00AA40EF" w:rsidP="00CA2DD9">
      <w:pPr>
        <w:jc w:val="center"/>
        <w:rPr>
          <w:rFonts w:ascii="Century Schoolbook" w:hAnsi="Century Schoolbook"/>
          <w:sz w:val="28"/>
          <w:szCs w:val="28"/>
        </w:rPr>
      </w:pPr>
    </w:p>
    <w:p w:rsidR="00CA2DD9" w:rsidRPr="00AA40EF" w:rsidP="00CA2DD9">
      <w:pPr>
        <w:jc w:val="center"/>
        <w:rPr>
          <w:rFonts w:ascii="Century Schoolbook" w:hAnsi="Century Schoolbook"/>
          <w:sz w:val="28"/>
          <w:szCs w:val="28"/>
        </w:rPr>
      </w:pPr>
    </w:p>
    <w:p w:rsidR="00CA2DD9" w:rsidRPr="00AA40EF" w:rsidP="00CA2DD9">
      <w:pPr>
        <w:jc w:val="center"/>
        <w:rPr>
          <w:rFonts w:ascii="Century Schoolbook" w:hAnsi="Century Schoolbook"/>
          <w:sz w:val="28"/>
          <w:szCs w:val="28"/>
        </w:rPr>
      </w:pPr>
      <w:r w:rsidRPr="00AA40EF">
        <w:rPr>
          <w:rFonts w:ascii="Century Schoolbook" w:hAnsi="Century Schoolbook"/>
          <w:sz w:val="28"/>
          <w:szCs w:val="28"/>
        </w:rPr>
        <w:t>IN THE COURT OF APPEAL OF THE STATE OF CALIFORNIA</w:t>
      </w:r>
    </w:p>
    <w:p w:rsidR="00CA2DD9" w:rsidRPr="00AA40EF" w:rsidP="00CA2DD9">
      <w:pPr>
        <w:jc w:val="center"/>
        <w:rPr>
          <w:rFonts w:ascii="Century Schoolbook" w:hAnsi="Century Schoolbook"/>
          <w:sz w:val="28"/>
          <w:szCs w:val="28"/>
        </w:rPr>
      </w:pPr>
    </w:p>
    <w:p w:rsidR="00CA2DD9" w:rsidRPr="00AA40EF" w:rsidP="00CA2DD9">
      <w:pPr>
        <w:jc w:val="center"/>
        <w:rPr>
          <w:rFonts w:ascii="Century Schoolbook" w:hAnsi="Century Schoolbook"/>
          <w:sz w:val="28"/>
          <w:szCs w:val="28"/>
        </w:rPr>
      </w:pPr>
      <w:r w:rsidRPr="00AA40EF">
        <w:rPr>
          <w:rFonts w:ascii="Century Schoolbook" w:hAnsi="Century Schoolbook"/>
          <w:sz w:val="28"/>
          <w:szCs w:val="28"/>
        </w:rPr>
        <w:t>FOURTH APPELLATE DISTRICT</w:t>
      </w:r>
    </w:p>
    <w:p w:rsidR="00CA2DD9" w:rsidRPr="00AA40EF" w:rsidP="00CA2DD9">
      <w:pPr>
        <w:jc w:val="center"/>
        <w:rPr>
          <w:rFonts w:ascii="Century Schoolbook" w:hAnsi="Century Schoolbook"/>
          <w:sz w:val="28"/>
          <w:szCs w:val="28"/>
        </w:rPr>
      </w:pPr>
    </w:p>
    <w:p w:rsidR="00CA2DD9" w:rsidRPr="00AA40EF" w:rsidP="00CA2DD9">
      <w:pPr>
        <w:jc w:val="center"/>
        <w:rPr>
          <w:rFonts w:ascii="Century Schoolbook" w:hAnsi="Century Schoolbook"/>
          <w:sz w:val="28"/>
          <w:szCs w:val="28"/>
        </w:rPr>
      </w:pPr>
      <w:r w:rsidRPr="00AA40EF">
        <w:rPr>
          <w:rFonts w:ascii="Century Schoolbook" w:hAnsi="Century Schoolbook"/>
          <w:sz w:val="28"/>
          <w:szCs w:val="28"/>
        </w:rPr>
        <w:t>DIVISION THREE</w:t>
      </w:r>
    </w:p>
    <w:p w:rsidR="00CA2DD9" w:rsidRPr="00AA40EF" w:rsidP="00CA2DD9">
      <w:pPr>
        <w:jc w:val="center"/>
        <w:rPr>
          <w:rFonts w:ascii="Century Schoolbook" w:hAnsi="Century Schoolbook"/>
          <w:sz w:val="28"/>
          <w:szCs w:val="28"/>
        </w:rPr>
      </w:pPr>
    </w:p>
    <w:p w:rsidR="00CA2DD9" w:rsidRPr="00AA40EF" w:rsidP="00CA2DD9">
      <w:pPr>
        <w:jc w:val="center"/>
        <w:rPr>
          <w:rFonts w:ascii="Century Schoolbook" w:hAnsi="Century Schoolbook"/>
          <w:sz w:val="28"/>
          <w:szCs w:val="28"/>
        </w:rPr>
      </w:pPr>
    </w:p>
    <w:tbl>
      <w:tblPr>
        <w:tblW w:w="0" w:type="auto"/>
        <w:tblInd w:w="0" w:type="dxa"/>
        <w:tblLayout w:type="fixed"/>
        <w:tblCellMar>
          <w:top w:w="0" w:type="dxa"/>
          <w:left w:w="108" w:type="dxa"/>
          <w:bottom w:w="0" w:type="dxa"/>
          <w:right w:w="108" w:type="dxa"/>
        </w:tblCellMar>
        <w:tblLook w:val="0000"/>
      </w:tblPr>
      <w:tblGrid>
        <w:gridCol w:w="4680"/>
        <w:gridCol w:w="4680"/>
      </w:tblGrid>
      <w:tr w:rsidTr="00CA2DD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THE PEOPLE,</w:t>
            </w: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 xml:space="preserve">      </w:t>
            </w:r>
            <w:r w:rsidRPr="00AA40EF" w:rsidR="00445834">
              <w:rPr>
                <w:rFonts w:ascii="Century Schoolbook" w:hAnsi="Century Schoolbook"/>
                <w:sz w:val="28"/>
                <w:szCs w:val="28"/>
                <w:lang w:val="en-US" w:eastAsia="en-US" w:bidi="ar-SA"/>
              </w:rPr>
              <w:t xml:space="preserve">Plaintiff </w:t>
            </w:r>
            <w:r w:rsidRPr="00AA40EF" w:rsidR="00684F90">
              <w:rPr>
                <w:rFonts w:ascii="Century Schoolbook" w:hAnsi="Century Schoolbook"/>
                <w:sz w:val="28"/>
                <w:szCs w:val="28"/>
                <w:lang w:val="en-US" w:eastAsia="en-US" w:bidi="ar-SA"/>
              </w:rPr>
              <w:t xml:space="preserve">and </w:t>
            </w:r>
            <w:r w:rsidRPr="00AA40EF" w:rsidR="0078095D">
              <w:rPr>
                <w:rFonts w:ascii="Century Schoolbook" w:hAnsi="Century Schoolbook"/>
                <w:sz w:val="28"/>
                <w:szCs w:val="28"/>
                <w:lang w:val="en-US" w:eastAsia="en-US" w:bidi="ar-SA"/>
              </w:rPr>
              <w:t>Responde</w:t>
            </w:r>
            <w:r w:rsidRPr="00AA40EF">
              <w:rPr>
                <w:rFonts w:ascii="Century Schoolbook" w:hAnsi="Century Schoolbook"/>
                <w:sz w:val="28"/>
                <w:szCs w:val="28"/>
                <w:lang w:val="en-US" w:eastAsia="en-US" w:bidi="ar-SA"/>
              </w:rPr>
              <w:t>nt,</w:t>
            </w: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ab/>
              <w:t>v.</w:t>
            </w: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JOSUE RAMOS,</w:t>
            </w: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 xml:space="preserve">      </w:t>
            </w:r>
            <w:r w:rsidRPr="00AA40EF" w:rsidR="00684F90">
              <w:rPr>
                <w:rFonts w:ascii="Century Schoolbook" w:hAnsi="Century Schoolbook"/>
                <w:sz w:val="28"/>
                <w:szCs w:val="28"/>
                <w:lang w:val="en-US" w:eastAsia="en-US" w:bidi="ar-SA"/>
              </w:rPr>
              <w:t xml:space="preserve">Defendant and </w:t>
            </w:r>
            <w:r w:rsidRPr="00AA40EF" w:rsidR="0078095D">
              <w:rPr>
                <w:rFonts w:ascii="Century Schoolbook" w:hAnsi="Century Schoolbook"/>
                <w:sz w:val="28"/>
                <w:szCs w:val="28"/>
                <w:lang w:val="en-US" w:eastAsia="en-US" w:bidi="ar-SA"/>
              </w:rPr>
              <w:t>Appella</w:t>
            </w:r>
            <w:r w:rsidRPr="00AA40EF">
              <w:rPr>
                <w:rFonts w:ascii="Century Schoolbook" w:hAnsi="Century Schoolbook"/>
                <w:sz w:val="28"/>
                <w:szCs w:val="28"/>
                <w:lang w:val="en-US" w:eastAsia="en-US" w:bidi="ar-SA"/>
              </w:rPr>
              <w:t>nt.</w:t>
            </w:r>
          </w:p>
          <w:p w:rsidR="00CA2DD9" w:rsidRPr="00AA40EF" w:rsidP="00CA2DD9">
            <w:pPr>
              <w:rPr>
                <w:rStyle w:val="DefaultParagraphFont"/>
                <w:rFonts w:ascii="Century Schoolbook" w:hAnsi="Century Schoolbook"/>
                <w:sz w:val="28"/>
                <w:szCs w:val="28"/>
                <w:lang w:val="en-US" w:eastAsia="en-US" w:bidi="ar-SA"/>
              </w:rPr>
            </w:pPr>
          </w:p>
        </w:tc>
        <w:tc>
          <w:tcPr>
            <w:tcW w:w="4680" w:type="dxa"/>
            <w:tcBorders>
              <w:left w:val="single" w:sz="4" w:space="0" w:color="auto"/>
            </w:tcBorders>
            <w:shd w:val="clear" w:color="auto" w:fill="auto"/>
          </w:tcPr>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 xml:space="preserve">         </w:t>
            </w:r>
            <w:r w:rsidRPr="00AA40EF" w:rsidR="0078295E">
              <w:rPr>
                <w:rFonts w:ascii="Century Schoolbook" w:hAnsi="Century Schoolbook"/>
                <w:sz w:val="28"/>
                <w:szCs w:val="28"/>
                <w:lang w:val="en-US" w:eastAsia="en-US" w:bidi="ar-SA"/>
              </w:rPr>
              <w:t>G06</w:t>
            </w:r>
            <w:r w:rsidRPr="00AA40EF" w:rsidR="007C51C9">
              <w:rPr>
                <w:rFonts w:ascii="Century Schoolbook" w:hAnsi="Century Schoolbook"/>
                <w:sz w:val="28"/>
                <w:szCs w:val="28"/>
                <w:lang w:val="en-US" w:eastAsia="en-US" w:bidi="ar-SA"/>
              </w:rPr>
              <w:t>2</w:t>
            </w:r>
            <w:r w:rsidRPr="00AA40EF" w:rsidR="001261B5">
              <w:rPr>
                <w:rFonts w:ascii="Century Schoolbook" w:hAnsi="Century Schoolbook"/>
                <w:sz w:val="28"/>
                <w:szCs w:val="28"/>
                <w:lang w:val="en-US" w:eastAsia="en-US" w:bidi="ar-SA"/>
              </w:rPr>
              <w:t>801</w:t>
            </w:r>
          </w:p>
          <w:p w:rsidR="00CA2DD9" w:rsidRPr="00AA40EF" w:rsidP="00CA2DD9">
            <w:pPr>
              <w:rPr>
                <w:rStyle w:val="DefaultParagraphFont"/>
                <w:rFonts w:ascii="Century Schoolbook" w:hAnsi="Century Schoolbook"/>
                <w:sz w:val="28"/>
                <w:szCs w:val="28"/>
                <w:lang w:val="en-US" w:eastAsia="en-US" w:bidi="ar-SA"/>
              </w:rPr>
            </w:pPr>
          </w:p>
          <w:p w:rsidR="00CA2DD9" w:rsidRPr="00AA40EF" w:rsidP="00CA2DD9">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 xml:space="preserve">         (Super. Ct. No. </w:t>
            </w:r>
            <w:r w:rsidRPr="00AA40EF" w:rsidR="001261B5">
              <w:rPr>
                <w:rFonts w:ascii="Century Schoolbook" w:hAnsi="Century Schoolbook"/>
                <w:sz w:val="28"/>
                <w:szCs w:val="28"/>
                <w:lang w:val="en-US" w:eastAsia="en-US" w:bidi="ar-SA"/>
              </w:rPr>
              <w:t>18NF0718</w:t>
            </w:r>
            <w:r w:rsidRPr="00AA40EF">
              <w:rPr>
                <w:rFonts w:ascii="Century Schoolbook" w:hAnsi="Century Schoolbook"/>
                <w:sz w:val="28"/>
                <w:szCs w:val="28"/>
                <w:lang w:val="en-US" w:eastAsia="en-US" w:bidi="ar-SA"/>
              </w:rPr>
              <w:t>)</w:t>
            </w:r>
          </w:p>
          <w:p w:rsidR="00CA2DD9" w:rsidRPr="00AA40EF" w:rsidP="00CA2DD9">
            <w:pPr>
              <w:rPr>
                <w:rStyle w:val="DefaultParagraphFont"/>
                <w:rFonts w:ascii="Century Schoolbook" w:hAnsi="Century Schoolbook"/>
                <w:sz w:val="28"/>
                <w:szCs w:val="28"/>
                <w:lang w:val="en-US" w:eastAsia="en-US" w:bidi="ar-SA"/>
              </w:rPr>
            </w:pPr>
          </w:p>
          <w:p w:rsidR="00CA2DD9" w:rsidRPr="00AA40EF" w:rsidP="001261B5">
            <w:pPr>
              <w:rPr>
                <w:rStyle w:val="DefaultParagraphFont"/>
                <w:rFonts w:ascii="Century Schoolbook" w:hAnsi="Century Schoolbook"/>
                <w:sz w:val="28"/>
                <w:szCs w:val="28"/>
                <w:lang w:val="en-US" w:eastAsia="en-US" w:bidi="ar-SA"/>
              </w:rPr>
            </w:pPr>
            <w:r w:rsidRPr="00AA40EF">
              <w:rPr>
                <w:rFonts w:ascii="Century Schoolbook" w:hAnsi="Century Schoolbook"/>
                <w:sz w:val="28"/>
                <w:szCs w:val="28"/>
                <w:lang w:val="en-US" w:eastAsia="en-US" w:bidi="ar-SA"/>
              </w:rPr>
              <w:t xml:space="preserve">         </w:t>
            </w:r>
            <w:r w:rsidR="002C1731">
              <w:rPr>
                <w:rFonts w:ascii="Century Schoolbook" w:hAnsi="Century Schoolbook"/>
                <w:sz w:val="28"/>
                <w:szCs w:val="28"/>
                <w:lang w:val="en-US" w:eastAsia="en-US" w:bidi="ar-SA"/>
              </w:rPr>
              <w:t>O P I N I O N</w:t>
            </w:r>
          </w:p>
        </w:tc>
      </w:tr>
    </w:tbl>
    <w:p w:rsidR="00CA2DD9" w:rsidRPr="00AA40EF" w:rsidP="00CA2DD9">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p>
    <w:p w:rsidR="00CA2DD9" w:rsidRPr="00AA40EF" w:rsidP="00CA2DD9">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t xml:space="preserve">Appeal from </w:t>
      </w:r>
      <w:r w:rsidRPr="00AA40EF" w:rsidR="00D1506D">
        <w:rPr>
          <w:rFonts w:ascii="Century Schoolbook" w:hAnsi="Century Schoolbook"/>
          <w:sz w:val="28"/>
          <w:szCs w:val="28"/>
        </w:rPr>
        <w:t>a postjudgment</w:t>
      </w:r>
      <w:r w:rsidRPr="00AA40EF" w:rsidR="00126C5D">
        <w:rPr>
          <w:rFonts w:ascii="Century Schoolbook" w:hAnsi="Century Schoolbook"/>
          <w:sz w:val="28"/>
          <w:szCs w:val="28"/>
        </w:rPr>
        <w:t xml:space="preserve"> </w:t>
      </w:r>
      <w:r w:rsidRPr="00AA40EF" w:rsidR="00C10F1C">
        <w:rPr>
          <w:rFonts w:ascii="Century Schoolbook" w:hAnsi="Century Schoolbook"/>
          <w:sz w:val="28"/>
          <w:szCs w:val="28"/>
        </w:rPr>
        <w:t>order</w:t>
      </w:r>
      <w:r w:rsidRPr="00AA40EF">
        <w:rPr>
          <w:rFonts w:ascii="Century Schoolbook" w:hAnsi="Century Schoolbook"/>
          <w:sz w:val="28"/>
          <w:szCs w:val="28"/>
        </w:rPr>
        <w:t xml:space="preserve"> of the Superior Court of Orange County, </w:t>
      </w:r>
      <w:r w:rsidRPr="00AA40EF" w:rsidR="001261B5">
        <w:rPr>
          <w:rFonts w:ascii="Century Schoolbook" w:hAnsi="Century Schoolbook"/>
          <w:sz w:val="28"/>
          <w:szCs w:val="28"/>
        </w:rPr>
        <w:t>Scott A. Steiner</w:t>
      </w:r>
      <w:r w:rsidRPr="00AA40EF">
        <w:rPr>
          <w:rFonts w:ascii="Century Schoolbook" w:hAnsi="Century Schoolbook"/>
          <w:sz w:val="28"/>
          <w:szCs w:val="28"/>
        </w:rPr>
        <w:t xml:space="preserve">, Judge.  </w:t>
      </w:r>
      <w:r w:rsidRPr="00AA40EF" w:rsidR="00CB473A">
        <w:rPr>
          <w:rFonts w:ascii="Century Schoolbook" w:hAnsi="Century Schoolbook"/>
          <w:sz w:val="28"/>
          <w:szCs w:val="28"/>
        </w:rPr>
        <w:t>Affirmed</w:t>
      </w:r>
      <w:r w:rsidRPr="00AA40EF" w:rsidR="00BD1226">
        <w:rPr>
          <w:rFonts w:ascii="Century Schoolbook" w:hAnsi="Century Schoolbook"/>
          <w:sz w:val="28"/>
          <w:szCs w:val="28"/>
        </w:rPr>
        <w:t>.</w:t>
      </w:r>
    </w:p>
    <w:p w:rsidR="00CA2DD9" w:rsidRPr="00AA40EF" w:rsidP="00CA2DD9">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1261B5">
        <w:rPr>
          <w:rFonts w:ascii="Century Schoolbook" w:hAnsi="Century Schoolbook"/>
          <w:sz w:val="28"/>
          <w:szCs w:val="28"/>
        </w:rPr>
        <w:t>Laura Vavakin</w:t>
      </w:r>
      <w:r w:rsidRPr="00AA40EF" w:rsidR="009A1F35">
        <w:rPr>
          <w:rFonts w:ascii="Century Schoolbook" w:hAnsi="Century Schoolbook"/>
          <w:sz w:val="28"/>
          <w:szCs w:val="28"/>
        </w:rPr>
        <w:t xml:space="preserve">, </w:t>
      </w:r>
      <w:r w:rsidRPr="00AA40EF" w:rsidR="00A33B16">
        <w:rPr>
          <w:rFonts w:ascii="Century Schoolbook" w:hAnsi="Century Schoolbook"/>
          <w:sz w:val="28"/>
          <w:szCs w:val="28"/>
        </w:rPr>
        <w:t xml:space="preserve">under </w:t>
      </w:r>
      <w:r w:rsidRPr="00AA40EF" w:rsidR="00B34B56">
        <w:rPr>
          <w:rFonts w:ascii="Century Schoolbook" w:hAnsi="Century Schoolbook"/>
          <w:sz w:val="28"/>
          <w:szCs w:val="28"/>
        </w:rPr>
        <w:t xml:space="preserve">appointment </w:t>
      </w:r>
      <w:r w:rsidRPr="00AA40EF" w:rsidR="00A33B16">
        <w:rPr>
          <w:rFonts w:ascii="Century Schoolbook" w:hAnsi="Century Schoolbook"/>
          <w:sz w:val="28"/>
          <w:szCs w:val="28"/>
        </w:rPr>
        <w:t>by</w:t>
      </w:r>
      <w:r w:rsidRPr="00AA40EF" w:rsidR="00B34B56">
        <w:rPr>
          <w:rFonts w:ascii="Century Schoolbook" w:hAnsi="Century Schoolbook"/>
          <w:sz w:val="28"/>
          <w:szCs w:val="28"/>
        </w:rPr>
        <w:t xml:space="preserve"> the</w:t>
      </w:r>
      <w:r w:rsidRPr="00AA40EF" w:rsidR="00684F90">
        <w:rPr>
          <w:rFonts w:ascii="Century Schoolbook" w:hAnsi="Century Schoolbook"/>
          <w:sz w:val="28"/>
          <w:szCs w:val="28"/>
        </w:rPr>
        <w:t xml:space="preserve"> Court of Appeal</w:t>
      </w:r>
      <w:r w:rsidRPr="00AA40EF" w:rsidR="00F93BCF">
        <w:rPr>
          <w:rFonts w:ascii="Century Schoolbook" w:hAnsi="Century Schoolbook"/>
          <w:sz w:val="28"/>
          <w:szCs w:val="28"/>
        </w:rPr>
        <w:t>,</w:t>
      </w:r>
      <w:r w:rsidRPr="00AA40EF" w:rsidR="00684F90">
        <w:rPr>
          <w:rFonts w:ascii="Century Schoolbook" w:hAnsi="Century Schoolbook"/>
          <w:sz w:val="28"/>
          <w:szCs w:val="28"/>
        </w:rPr>
        <w:t xml:space="preserve"> </w:t>
      </w:r>
      <w:r w:rsidRPr="00AA40EF" w:rsidR="00BD1226">
        <w:rPr>
          <w:rFonts w:ascii="Century Schoolbook" w:hAnsi="Century Schoolbook"/>
          <w:sz w:val="28"/>
          <w:szCs w:val="28"/>
        </w:rPr>
        <w:t>for Defendant and Appellant</w:t>
      </w:r>
      <w:r w:rsidRPr="00AA40EF">
        <w:rPr>
          <w:rFonts w:ascii="Century Schoolbook" w:hAnsi="Century Schoolbook"/>
          <w:sz w:val="28"/>
          <w:szCs w:val="28"/>
        </w:rPr>
        <w:t>.</w:t>
      </w:r>
    </w:p>
    <w:p w:rsidR="00EB283B" w:rsidRPr="00AA40EF" w:rsidP="00CA2DD9">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684F90">
        <w:rPr>
          <w:rFonts w:ascii="Century Schoolbook" w:hAnsi="Century Schoolbook"/>
          <w:sz w:val="28"/>
          <w:szCs w:val="28"/>
        </w:rPr>
        <w:t>Rob Bonta, Attorney General, Lance E. Winters, Chief Assistant Attorney General,</w:t>
      </w:r>
      <w:r w:rsidRPr="00AA40EF" w:rsidR="00763CAC">
        <w:rPr>
          <w:rFonts w:ascii="Century Schoolbook" w:hAnsi="Century Schoolbook"/>
          <w:sz w:val="28"/>
          <w:szCs w:val="28"/>
        </w:rPr>
        <w:t xml:space="preserve"> </w:t>
      </w:r>
      <w:r w:rsidRPr="00AA40EF" w:rsidR="00684F90">
        <w:rPr>
          <w:rFonts w:ascii="Century Schoolbook" w:hAnsi="Century Schoolbook"/>
          <w:sz w:val="28"/>
          <w:szCs w:val="28"/>
        </w:rPr>
        <w:t xml:space="preserve">Charles C. Ragland, Assistant Attorney General, </w:t>
      </w:r>
      <w:r w:rsidRPr="00AA40EF" w:rsidR="001261B5">
        <w:rPr>
          <w:rFonts w:ascii="Century Schoolbook" w:hAnsi="Century Schoolbook"/>
          <w:sz w:val="28"/>
          <w:szCs w:val="28"/>
        </w:rPr>
        <w:t>James M. Toohey</w:t>
      </w:r>
      <w:r w:rsidRPr="00AA40EF" w:rsidR="007C51C9">
        <w:rPr>
          <w:rFonts w:ascii="Century Schoolbook" w:hAnsi="Century Schoolbook"/>
          <w:sz w:val="28"/>
          <w:szCs w:val="28"/>
        </w:rPr>
        <w:t xml:space="preserve"> and </w:t>
      </w:r>
      <w:r w:rsidRPr="00AA40EF" w:rsidR="001261B5">
        <w:rPr>
          <w:rFonts w:ascii="Century Schoolbook" w:hAnsi="Century Schoolbook"/>
          <w:sz w:val="28"/>
          <w:szCs w:val="28"/>
        </w:rPr>
        <w:t>Christopher P. Beesley</w:t>
      </w:r>
      <w:r w:rsidRPr="00AA40EF" w:rsidR="00724045">
        <w:rPr>
          <w:rFonts w:ascii="Century Schoolbook" w:hAnsi="Century Schoolbook"/>
          <w:sz w:val="28"/>
          <w:szCs w:val="28"/>
        </w:rPr>
        <w:t xml:space="preserve">, Deputy Attorneys General, </w:t>
      </w:r>
      <w:r w:rsidRPr="00AA40EF" w:rsidR="001F33CE">
        <w:rPr>
          <w:rFonts w:ascii="Century Schoolbook" w:hAnsi="Century Schoolbook"/>
          <w:sz w:val="28"/>
          <w:szCs w:val="28"/>
        </w:rPr>
        <w:t xml:space="preserve">for </w:t>
      </w:r>
      <w:r w:rsidRPr="00AA40EF" w:rsidR="00BD1226">
        <w:rPr>
          <w:rFonts w:ascii="Century Schoolbook" w:hAnsi="Century Schoolbook"/>
          <w:sz w:val="28"/>
          <w:szCs w:val="28"/>
        </w:rPr>
        <w:t>Plaintiff</w:t>
      </w:r>
      <w:r w:rsidRPr="00AA40EF" w:rsidR="001F33CE">
        <w:rPr>
          <w:rFonts w:ascii="Century Schoolbook" w:hAnsi="Century Schoolbook"/>
          <w:sz w:val="28"/>
          <w:szCs w:val="28"/>
        </w:rPr>
        <w:t xml:space="preserve"> and Respondent</w:t>
      </w:r>
      <w:r w:rsidRPr="00AA40EF">
        <w:rPr>
          <w:rFonts w:ascii="Century Schoolbook" w:hAnsi="Century Schoolbook"/>
          <w:sz w:val="28"/>
          <w:szCs w:val="28"/>
        </w:rPr>
        <w:t>.</w:t>
      </w:r>
    </w:p>
    <w:p w:rsidR="00EB283B" w:rsidRPr="00AA40EF" w:rsidP="00754AC0">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C95887">
        <w:rPr>
          <w:rFonts w:ascii="Century Schoolbook" w:hAnsi="Century Schoolbook"/>
          <w:sz w:val="28"/>
          <w:szCs w:val="28"/>
        </w:rPr>
        <w:t xml:space="preserve">In 2018, </w:t>
      </w:r>
      <w:r w:rsidRPr="00AA40EF" w:rsidR="001261B5">
        <w:rPr>
          <w:rFonts w:ascii="Century Schoolbook" w:hAnsi="Century Schoolbook"/>
          <w:sz w:val="28"/>
          <w:szCs w:val="28"/>
        </w:rPr>
        <w:t>Josue Ramos</w:t>
      </w:r>
      <w:r w:rsidRPr="00AA40EF" w:rsidR="003A3066">
        <w:rPr>
          <w:rFonts w:ascii="Century Schoolbook" w:hAnsi="Century Schoolbook"/>
          <w:sz w:val="28"/>
          <w:szCs w:val="28"/>
        </w:rPr>
        <w:t xml:space="preserve"> </w:t>
      </w:r>
      <w:r w:rsidRPr="00AA40EF" w:rsidR="00C95887">
        <w:rPr>
          <w:rFonts w:ascii="Century Schoolbook" w:hAnsi="Century Schoolbook"/>
          <w:sz w:val="28"/>
          <w:szCs w:val="28"/>
        </w:rPr>
        <w:t>pled guilty to aiding and abetting attempted murder, carjacking, and criminal street gang activity.  In 202</w:t>
      </w:r>
      <w:r w:rsidRPr="00AA40EF" w:rsidR="00D33A56">
        <w:rPr>
          <w:rFonts w:ascii="Century Schoolbook" w:hAnsi="Century Schoolbook"/>
          <w:sz w:val="28"/>
          <w:szCs w:val="28"/>
        </w:rPr>
        <w:t>3</w:t>
      </w:r>
      <w:r w:rsidRPr="00AA40EF" w:rsidR="00C95887">
        <w:rPr>
          <w:rFonts w:ascii="Century Schoolbook" w:hAnsi="Century Schoolbook"/>
          <w:sz w:val="28"/>
          <w:szCs w:val="28"/>
        </w:rPr>
        <w:t>, he filed a petition for res</w:t>
      </w:r>
      <w:r w:rsidRPr="00AA40EF" w:rsidR="001261B5">
        <w:rPr>
          <w:rFonts w:ascii="Century Schoolbook" w:hAnsi="Century Schoolbook"/>
          <w:sz w:val="28"/>
          <w:szCs w:val="28"/>
        </w:rPr>
        <w:t>e</w:t>
      </w:r>
      <w:r w:rsidRPr="00AA40EF" w:rsidR="00C95887">
        <w:rPr>
          <w:rFonts w:ascii="Century Schoolbook" w:hAnsi="Century Schoolbook"/>
          <w:sz w:val="28"/>
          <w:szCs w:val="28"/>
        </w:rPr>
        <w:t>n</w:t>
      </w:r>
      <w:r w:rsidRPr="00AA40EF" w:rsidR="001261B5">
        <w:rPr>
          <w:rFonts w:ascii="Century Schoolbook" w:hAnsi="Century Schoolbook"/>
          <w:sz w:val="28"/>
          <w:szCs w:val="28"/>
        </w:rPr>
        <w:t xml:space="preserve">tencing </w:t>
      </w:r>
      <w:r w:rsidRPr="00AA40EF" w:rsidR="00C95887">
        <w:rPr>
          <w:rFonts w:ascii="Century Schoolbook" w:hAnsi="Century Schoolbook"/>
          <w:sz w:val="28"/>
          <w:szCs w:val="28"/>
        </w:rPr>
        <w:t>of his attempted murder conviction, which the trial court denied at the prima facie stage of re</w:t>
      </w:r>
      <w:r w:rsidRPr="00AA40EF" w:rsidR="001261B5">
        <w:rPr>
          <w:rFonts w:ascii="Century Schoolbook" w:hAnsi="Century Schoolbook"/>
          <w:sz w:val="28"/>
          <w:szCs w:val="28"/>
        </w:rPr>
        <w:t>v</w:t>
      </w:r>
      <w:r w:rsidRPr="00AA40EF" w:rsidR="00C95887">
        <w:rPr>
          <w:rFonts w:ascii="Century Schoolbook" w:hAnsi="Century Schoolbook"/>
          <w:sz w:val="28"/>
          <w:szCs w:val="28"/>
        </w:rPr>
        <w:t>i</w:t>
      </w:r>
      <w:r w:rsidRPr="00AA40EF" w:rsidR="001261B5">
        <w:rPr>
          <w:rFonts w:ascii="Century Schoolbook" w:hAnsi="Century Schoolbook"/>
          <w:sz w:val="28"/>
          <w:szCs w:val="28"/>
        </w:rPr>
        <w:t>ew</w:t>
      </w:r>
      <w:r w:rsidRPr="00AA40EF" w:rsidR="00C95887">
        <w:rPr>
          <w:rFonts w:ascii="Century Schoolbook" w:hAnsi="Century Schoolbook"/>
          <w:sz w:val="28"/>
          <w:szCs w:val="28"/>
        </w:rPr>
        <w:t>.</w:t>
      </w:r>
      <w:r w:rsidRPr="00AA40EF" w:rsidR="003A3066">
        <w:rPr>
          <w:rFonts w:ascii="Century Schoolbook" w:hAnsi="Century Schoolbook"/>
          <w:sz w:val="28"/>
          <w:szCs w:val="28"/>
        </w:rPr>
        <w:t xml:space="preserve"> </w:t>
      </w:r>
      <w:r w:rsidRPr="00AA40EF" w:rsidR="00345E88">
        <w:rPr>
          <w:rFonts w:ascii="Century Schoolbook" w:hAnsi="Century Schoolbook"/>
          <w:sz w:val="28"/>
          <w:szCs w:val="28"/>
        </w:rPr>
        <w:t xml:space="preserve"> </w:t>
      </w:r>
      <w:r w:rsidRPr="00AA40EF" w:rsidR="006271B8">
        <w:rPr>
          <w:rFonts w:ascii="Century Schoolbook" w:hAnsi="Century Schoolbook"/>
          <w:sz w:val="28"/>
          <w:szCs w:val="28"/>
        </w:rPr>
        <w:t>The trial court concluded Ramos was statutorily inel</w:t>
      </w:r>
      <w:r w:rsidRPr="00AA40EF" w:rsidR="008F758C">
        <w:rPr>
          <w:rFonts w:ascii="Century Schoolbook" w:hAnsi="Century Schoolbook"/>
          <w:sz w:val="28"/>
          <w:szCs w:val="28"/>
        </w:rPr>
        <w:t>igible because he admitted to ai</w:t>
      </w:r>
      <w:r w:rsidRPr="00AA40EF" w:rsidR="006271B8">
        <w:rPr>
          <w:rFonts w:ascii="Century Schoolbook" w:hAnsi="Century Schoolbook"/>
          <w:sz w:val="28"/>
          <w:szCs w:val="28"/>
        </w:rPr>
        <w:t>ding and abetting the attempted murder with specific intent to kill</w:t>
      </w:r>
      <w:r w:rsidRPr="00AA40EF" w:rsidR="005708ED">
        <w:rPr>
          <w:rFonts w:ascii="Century Schoolbook" w:hAnsi="Century Schoolbook"/>
          <w:sz w:val="28"/>
          <w:szCs w:val="28"/>
        </w:rPr>
        <w:t xml:space="preserve">.  </w:t>
      </w:r>
      <w:r w:rsidRPr="00AA40EF" w:rsidR="006271B8">
        <w:rPr>
          <w:rFonts w:ascii="Century Schoolbook" w:hAnsi="Century Schoolbook"/>
          <w:sz w:val="28"/>
          <w:szCs w:val="28"/>
        </w:rPr>
        <w:t>Ramos appealed</w:t>
      </w:r>
      <w:r w:rsidRPr="00AA40EF" w:rsidR="00CB473A">
        <w:rPr>
          <w:rFonts w:ascii="Century Schoolbook" w:hAnsi="Century Schoolbook"/>
          <w:sz w:val="28"/>
          <w:szCs w:val="28"/>
        </w:rPr>
        <w:t>, arguing the factual admissions in his guilty plea did not conclusively establish he was statutorily ineligible for resentencing relief</w:t>
      </w:r>
      <w:r w:rsidRPr="00AA40EF" w:rsidR="006271B8">
        <w:rPr>
          <w:rFonts w:ascii="Century Schoolbook" w:hAnsi="Century Schoolbook"/>
          <w:sz w:val="28"/>
          <w:szCs w:val="28"/>
        </w:rPr>
        <w:t xml:space="preserve">.  </w:t>
      </w:r>
      <w:r w:rsidRPr="00AA40EF" w:rsidR="00CB473A">
        <w:rPr>
          <w:rFonts w:ascii="Century Schoolbook" w:hAnsi="Century Schoolbook"/>
          <w:sz w:val="28"/>
          <w:szCs w:val="28"/>
        </w:rPr>
        <w:t>Following a de novo review of the record</w:t>
      </w:r>
      <w:r w:rsidRPr="00AA40EF" w:rsidR="006271B8">
        <w:rPr>
          <w:rFonts w:ascii="Century Schoolbook" w:hAnsi="Century Schoolbook"/>
          <w:sz w:val="28"/>
          <w:szCs w:val="28"/>
        </w:rPr>
        <w:t xml:space="preserve">, we conclude Ramos has </w:t>
      </w:r>
      <w:r w:rsidRPr="00AA40EF" w:rsidR="00CB473A">
        <w:rPr>
          <w:rFonts w:ascii="Century Schoolbook" w:hAnsi="Century Schoolbook"/>
          <w:sz w:val="28"/>
          <w:szCs w:val="28"/>
        </w:rPr>
        <w:t>not made a prima facie case for resentencing relief under Penal Code section 1172.6.</w:t>
      </w:r>
      <w:r>
        <w:rPr>
          <w:rStyle w:val="FootnoteReference"/>
          <w:rFonts w:ascii="Century Schoolbook" w:hAnsi="Century Schoolbook"/>
          <w:sz w:val="28"/>
          <w:szCs w:val="28"/>
        </w:rPr>
        <w:footnoteReference w:id="2"/>
      </w:r>
      <w:r w:rsidRPr="00AA40EF" w:rsidR="00CB473A">
        <w:rPr>
          <w:rFonts w:ascii="Century Schoolbook" w:hAnsi="Century Schoolbook"/>
          <w:b/>
          <w:sz w:val="28"/>
          <w:szCs w:val="28"/>
        </w:rPr>
        <w:t xml:space="preserve">  </w:t>
      </w:r>
      <w:r w:rsidRPr="00AA40EF" w:rsidR="006271B8">
        <w:rPr>
          <w:rFonts w:ascii="Century Schoolbook" w:hAnsi="Century Schoolbook"/>
          <w:sz w:val="28"/>
          <w:szCs w:val="28"/>
        </w:rPr>
        <w:t>According</w:t>
      </w:r>
      <w:r w:rsidRPr="00AA40EF" w:rsidR="00CB473A">
        <w:rPr>
          <w:rFonts w:ascii="Century Schoolbook" w:hAnsi="Century Schoolbook"/>
          <w:sz w:val="28"/>
          <w:szCs w:val="28"/>
        </w:rPr>
        <w:t>ly</w:t>
      </w:r>
      <w:r w:rsidRPr="00AA40EF" w:rsidR="006271B8">
        <w:rPr>
          <w:rFonts w:ascii="Century Schoolbook" w:hAnsi="Century Schoolbook"/>
          <w:sz w:val="28"/>
          <w:szCs w:val="28"/>
        </w:rPr>
        <w:t xml:space="preserve">, we </w:t>
      </w:r>
      <w:r w:rsidRPr="00AA40EF" w:rsidR="00CB473A">
        <w:rPr>
          <w:rFonts w:ascii="Century Schoolbook" w:hAnsi="Century Schoolbook"/>
          <w:sz w:val="28"/>
          <w:szCs w:val="28"/>
        </w:rPr>
        <w:t>affirm</w:t>
      </w:r>
      <w:r w:rsidRPr="00AA40EF" w:rsidR="006271B8">
        <w:rPr>
          <w:rFonts w:ascii="Century Schoolbook" w:hAnsi="Century Schoolbook"/>
          <w:sz w:val="28"/>
          <w:szCs w:val="28"/>
        </w:rPr>
        <w:t xml:space="preserve">.  </w:t>
      </w:r>
      <w:r w:rsidRPr="00AA40EF" w:rsidR="00C95887">
        <w:rPr>
          <w:rFonts w:ascii="Century Schoolbook" w:hAnsi="Century Schoolbook"/>
          <w:sz w:val="28"/>
          <w:szCs w:val="28"/>
        </w:rPr>
        <w:t xml:space="preserve">  </w:t>
      </w:r>
    </w:p>
    <w:p w:rsidR="00826F2C" w:rsidRPr="00AA40EF" w:rsidP="00C10F1C">
      <w:pPr>
        <w:tabs>
          <w:tab w:val="left" w:pos="1440"/>
          <w:tab w:val="left" w:pos="2880"/>
          <w:tab w:val="left" w:pos="4320"/>
          <w:tab w:val="left" w:pos="5760"/>
          <w:tab w:val="left" w:pos="7200"/>
          <w:tab w:val="left" w:pos="8640"/>
        </w:tabs>
        <w:spacing w:line="480" w:lineRule="atLeast"/>
        <w:jc w:val="center"/>
        <w:rPr>
          <w:rFonts w:ascii="Century Schoolbook" w:hAnsi="Century Schoolbook"/>
          <w:b/>
          <w:sz w:val="28"/>
          <w:szCs w:val="28"/>
        </w:rPr>
      </w:pPr>
      <w:r w:rsidRPr="00AA40EF">
        <w:rPr>
          <w:rFonts w:ascii="Century Schoolbook" w:hAnsi="Century Schoolbook"/>
          <w:b/>
          <w:sz w:val="28"/>
          <w:szCs w:val="28"/>
        </w:rPr>
        <w:t>F</w:t>
      </w:r>
      <w:r w:rsidRPr="00AA40EF" w:rsidR="005C5C79">
        <w:rPr>
          <w:rFonts w:ascii="Century Schoolbook" w:hAnsi="Century Schoolbook"/>
          <w:b/>
          <w:smallCaps/>
          <w:sz w:val="28"/>
          <w:szCs w:val="28"/>
        </w:rPr>
        <w:t>ACTS</w:t>
      </w:r>
    </w:p>
    <w:p w:rsidR="00455ACA" w:rsidRPr="00AA40EF" w:rsidP="00FF2300">
      <w:pPr>
        <w:tabs>
          <w:tab w:val="left" w:pos="720"/>
          <w:tab w:val="left" w:pos="1440"/>
          <w:tab w:val="left" w:pos="2880"/>
          <w:tab w:val="left" w:pos="5760"/>
          <w:tab w:val="left" w:pos="7200"/>
          <w:tab w:val="left" w:pos="8640"/>
        </w:tabs>
        <w:spacing w:line="480" w:lineRule="atLeast"/>
        <w:rPr>
          <w:rStyle w:val="FootnoteReference"/>
          <w:rFonts w:ascii="Century Schoolbook" w:hAnsi="Century Schoolbook"/>
          <w:b/>
          <w:position w:val="0"/>
          <w:sz w:val="28"/>
          <w:szCs w:val="28"/>
          <w:vertAlign w:val="baseline"/>
        </w:rPr>
      </w:pPr>
      <w:r w:rsidRPr="00AA40EF">
        <w:rPr>
          <w:rFonts w:ascii="Century Schoolbook" w:hAnsi="Century Schoolbook"/>
          <w:sz w:val="28"/>
          <w:szCs w:val="28"/>
        </w:rPr>
        <w:t>I.</w:t>
      </w:r>
      <w:r w:rsidRPr="00AA40EF">
        <w:rPr>
          <w:rFonts w:ascii="Century Schoolbook" w:hAnsi="Century Schoolbook"/>
          <w:sz w:val="28"/>
          <w:szCs w:val="28"/>
        </w:rPr>
        <w:tab/>
      </w:r>
      <w:r w:rsidRPr="00AA40EF" w:rsidR="00C95887">
        <w:rPr>
          <w:rFonts w:ascii="Century Schoolbook" w:hAnsi="Century Schoolbook"/>
          <w:i/>
          <w:sz w:val="28"/>
          <w:szCs w:val="28"/>
        </w:rPr>
        <w:t>Charging Document and Plea</w:t>
      </w:r>
      <w:r w:rsidRPr="00AA40EF" w:rsidR="00B80718">
        <w:rPr>
          <w:rFonts w:ascii="Century Schoolbook" w:hAnsi="Century Schoolbook"/>
          <w:b/>
          <w:sz w:val="28"/>
          <w:szCs w:val="28"/>
        </w:rPr>
        <w:tab/>
      </w:r>
    </w:p>
    <w:p w:rsidR="005008DA" w:rsidRPr="00AA40EF" w:rsidP="00B34B56">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Style w:val="FootnoteReference"/>
          <w:rFonts w:ascii="Century Schoolbook" w:hAnsi="Century Schoolbook"/>
          <w:sz w:val="28"/>
          <w:szCs w:val="28"/>
        </w:rPr>
        <w:tab/>
      </w:r>
      <w:r w:rsidRPr="00AA40EF" w:rsidR="003A3066">
        <w:rPr>
          <w:rFonts w:ascii="Century Schoolbook" w:hAnsi="Century Schoolbook"/>
          <w:sz w:val="28"/>
          <w:szCs w:val="28"/>
        </w:rPr>
        <w:t>O</w:t>
      </w:r>
      <w:r w:rsidRPr="00AA40EF">
        <w:rPr>
          <w:rFonts w:ascii="Century Schoolbook" w:hAnsi="Century Schoolbook"/>
          <w:sz w:val="28"/>
          <w:szCs w:val="28"/>
        </w:rPr>
        <w:t xml:space="preserve">n </w:t>
      </w:r>
      <w:r w:rsidRPr="00AA40EF" w:rsidR="00B35DC3">
        <w:rPr>
          <w:rFonts w:ascii="Century Schoolbook" w:hAnsi="Century Schoolbook"/>
          <w:sz w:val="28"/>
          <w:szCs w:val="28"/>
        </w:rPr>
        <w:t xml:space="preserve">March 14, 2018, the Orange County </w:t>
      </w:r>
      <w:r w:rsidRPr="00AA40EF" w:rsidR="00D33A56">
        <w:rPr>
          <w:rFonts w:ascii="Century Schoolbook" w:hAnsi="Century Schoolbook"/>
          <w:sz w:val="28"/>
          <w:szCs w:val="28"/>
        </w:rPr>
        <w:t>D</w:t>
      </w:r>
      <w:r w:rsidRPr="00AA40EF" w:rsidR="00B35DC3">
        <w:rPr>
          <w:rFonts w:ascii="Century Schoolbook" w:hAnsi="Century Schoolbook"/>
          <w:sz w:val="28"/>
          <w:szCs w:val="28"/>
        </w:rPr>
        <w:t xml:space="preserve">istrict </w:t>
      </w:r>
      <w:r w:rsidRPr="00AA40EF" w:rsidR="00D33A56">
        <w:rPr>
          <w:rFonts w:ascii="Century Schoolbook" w:hAnsi="Century Schoolbook"/>
          <w:sz w:val="28"/>
          <w:szCs w:val="28"/>
        </w:rPr>
        <w:t>A</w:t>
      </w:r>
      <w:r w:rsidRPr="00AA40EF" w:rsidR="00B35DC3">
        <w:rPr>
          <w:rFonts w:ascii="Century Schoolbook" w:hAnsi="Century Schoolbook"/>
          <w:sz w:val="28"/>
          <w:szCs w:val="28"/>
        </w:rPr>
        <w:t>ttorney</w:t>
      </w:r>
      <w:r w:rsidRPr="00AA40EF" w:rsidR="00714006">
        <w:rPr>
          <w:rFonts w:ascii="Century Schoolbook" w:hAnsi="Century Schoolbook"/>
          <w:sz w:val="28"/>
          <w:szCs w:val="28"/>
        </w:rPr>
        <w:t xml:space="preserve"> filed a felony </w:t>
      </w:r>
      <w:r w:rsidRPr="00AA40EF" w:rsidR="00B35DC3">
        <w:rPr>
          <w:rFonts w:ascii="Century Schoolbook" w:hAnsi="Century Schoolbook"/>
          <w:sz w:val="28"/>
          <w:szCs w:val="28"/>
        </w:rPr>
        <w:t>complaint against Ramos and two codefendants, charging them with premeditated attempted murder</w:t>
      </w:r>
      <w:r w:rsidRPr="00AA40EF" w:rsidR="00714006">
        <w:rPr>
          <w:rFonts w:ascii="Century Schoolbook" w:hAnsi="Century Schoolbook"/>
          <w:sz w:val="28"/>
          <w:szCs w:val="28"/>
        </w:rPr>
        <w:t xml:space="preserve"> (count 1)</w:t>
      </w:r>
      <w:r w:rsidRPr="00AA40EF" w:rsidR="00B35DC3">
        <w:rPr>
          <w:rFonts w:ascii="Century Schoolbook" w:hAnsi="Century Schoolbook"/>
          <w:sz w:val="28"/>
          <w:szCs w:val="28"/>
        </w:rPr>
        <w:t>, carjacking</w:t>
      </w:r>
      <w:r w:rsidRPr="00AA40EF" w:rsidR="00714006">
        <w:rPr>
          <w:rFonts w:ascii="Century Schoolbook" w:hAnsi="Century Schoolbook"/>
          <w:sz w:val="28"/>
          <w:szCs w:val="28"/>
        </w:rPr>
        <w:t xml:space="preserve"> (count 2)</w:t>
      </w:r>
      <w:r w:rsidRPr="00AA40EF" w:rsidR="00B35DC3">
        <w:rPr>
          <w:rFonts w:ascii="Century Schoolbook" w:hAnsi="Century Schoolbook"/>
          <w:sz w:val="28"/>
          <w:szCs w:val="28"/>
        </w:rPr>
        <w:t>, and street terrorism</w:t>
      </w:r>
      <w:r w:rsidRPr="00AA40EF" w:rsidR="00714006">
        <w:rPr>
          <w:rFonts w:ascii="Century Schoolbook" w:hAnsi="Century Schoolbook"/>
          <w:sz w:val="28"/>
          <w:szCs w:val="28"/>
        </w:rPr>
        <w:t xml:space="preserve"> (count 3)</w:t>
      </w:r>
      <w:r w:rsidRPr="00AA40EF" w:rsidR="00B35DC3">
        <w:rPr>
          <w:rFonts w:ascii="Century Schoolbook" w:hAnsi="Century Schoolbook"/>
          <w:sz w:val="28"/>
          <w:szCs w:val="28"/>
        </w:rPr>
        <w:t xml:space="preserve">.  It was further alleged that </w:t>
      </w:r>
      <w:r w:rsidRPr="00AA40EF">
        <w:rPr>
          <w:rFonts w:ascii="Century Schoolbook" w:hAnsi="Century Schoolbook"/>
          <w:sz w:val="28"/>
          <w:szCs w:val="28"/>
        </w:rPr>
        <w:t>the attempted murder and carjacking were committed for the be</w:t>
      </w:r>
      <w:r w:rsidRPr="00AA40EF" w:rsidR="00FF2300">
        <w:rPr>
          <w:rFonts w:ascii="Century Schoolbook" w:hAnsi="Century Schoolbook"/>
          <w:sz w:val="28"/>
          <w:szCs w:val="28"/>
        </w:rPr>
        <w:t xml:space="preserve">nefit of, at the direction of, </w:t>
      </w:r>
      <w:r w:rsidRPr="00AA40EF">
        <w:rPr>
          <w:rFonts w:ascii="Century Schoolbook" w:hAnsi="Century Schoolbook"/>
          <w:sz w:val="28"/>
          <w:szCs w:val="28"/>
        </w:rPr>
        <w:t xml:space="preserve">and in association with a criminal street gang, Folks. </w:t>
      </w:r>
      <w:r w:rsidRPr="00AA40EF" w:rsidR="00CB473A">
        <w:rPr>
          <w:rFonts w:ascii="Century Schoolbook" w:hAnsi="Century Schoolbook"/>
          <w:sz w:val="28"/>
          <w:szCs w:val="28"/>
        </w:rPr>
        <w:t xml:space="preserve"> </w:t>
      </w:r>
    </w:p>
    <w:p w:rsidR="00455ACA" w:rsidRPr="00AA40EF" w:rsidP="00B34B56">
      <w:pPr>
        <w:tabs>
          <w:tab w:val="left" w:pos="1440"/>
          <w:tab w:val="left" w:pos="2880"/>
          <w:tab w:val="left" w:pos="4320"/>
          <w:tab w:val="left" w:pos="5760"/>
          <w:tab w:val="left" w:pos="7200"/>
          <w:tab w:val="left" w:pos="8640"/>
        </w:tabs>
        <w:spacing w:line="480" w:lineRule="atLeast"/>
        <w:rPr>
          <w:rFonts w:ascii="Century Schoolbook" w:hAnsi="Century Schoolbook"/>
          <w:b/>
          <w:sz w:val="28"/>
          <w:szCs w:val="28"/>
        </w:rPr>
      </w:pPr>
      <w:r w:rsidRPr="00AA40EF">
        <w:rPr>
          <w:rFonts w:ascii="Century Schoolbook" w:hAnsi="Century Schoolbook"/>
          <w:sz w:val="28"/>
          <w:szCs w:val="28"/>
        </w:rPr>
        <w:tab/>
        <w:t>On December 10, 2018, R</w:t>
      </w:r>
      <w:r w:rsidRPr="00AA40EF" w:rsidR="00714006">
        <w:rPr>
          <w:rFonts w:ascii="Century Schoolbook" w:hAnsi="Century Schoolbook"/>
          <w:sz w:val="28"/>
          <w:szCs w:val="28"/>
        </w:rPr>
        <w:t>amos plea</w:t>
      </w:r>
      <w:r w:rsidRPr="00AA40EF">
        <w:rPr>
          <w:rFonts w:ascii="Century Schoolbook" w:hAnsi="Century Schoolbook"/>
          <w:sz w:val="28"/>
          <w:szCs w:val="28"/>
        </w:rPr>
        <w:t>d</w:t>
      </w:r>
      <w:r w:rsidRPr="00AA40EF" w:rsidR="00714006">
        <w:rPr>
          <w:rFonts w:ascii="Century Schoolbook" w:hAnsi="Century Schoolbook"/>
          <w:sz w:val="28"/>
          <w:szCs w:val="28"/>
        </w:rPr>
        <w:t>ed</w:t>
      </w:r>
      <w:r w:rsidRPr="00AA40EF">
        <w:rPr>
          <w:rFonts w:ascii="Century Schoolbook" w:hAnsi="Century Schoolbook"/>
          <w:sz w:val="28"/>
          <w:szCs w:val="28"/>
        </w:rPr>
        <w:t xml:space="preserve"> guilty to the three counts in the felony complaint and the gang enhancement. </w:t>
      </w:r>
      <w:r w:rsidRPr="00AA40EF" w:rsidR="008F758C">
        <w:rPr>
          <w:rFonts w:ascii="Century Schoolbook" w:hAnsi="Century Schoolbook"/>
          <w:sz w:val="28"/>
          <w:szCs w:val="28"/>
        </w:rPr>
        <w:t xml:space="preserve"> As the factual basis for his p</w:t>
      </w:r>
      <w:r w:rsidRPr="00AA40EF">
        <w:rPr>
          <w:rFonts w:ascii="Century Schoolbook" w:hAnsi="Century Schoolbook"/>
          <w:sz w:val="28"/>
          <w:szCs w:val="28"/>
        </w:rPr>
        <w:t>l</w:t>
      </w:r>
      <w:r w:rsidRPr="00AA40EF" w:rsidR="008F758C">
        <w:rPr>
          <w:rFonts w:ascii="Century Schoolbook" w:hAnsi="Century Schoolbook"/>
          <w:sz w:val="28"/>
          <w:szCs w:val="28"/>
        </w:rPr>
        <w:t>e</w:t>
      </w:r>
      <w:r w:rsidRPr="00AA40EF">
        <w:rPr>
          <w:rFonts w:ascii="Century Schoolbook" w:hAnsi="Century Schoolbook"/>
          <w:sz w:val="28"/>
          <w:szCs w:val="28"/>
        </w:rPr>
        <w:t>a, he admitted that on October 10, 2017,</w:t>
      </w:r>
      <w:r w:rsidRPr="00AA40EF" w:rsidR="00FF2300">
        <w:rPr>
          <w:rFonts w:ascii="Century Schoolbook" w:hAnsi="Century Schoolbook"/>
          <w:sz w:val="28"/>
          <w:szCs w:val="28"/>
        </w:rPr>
        <w:t xml:space="preserve"> </w:t>
      </w:r>
      <w:r w:rsidRPr="00AA40EF">
        <w:rPr>
          <w:rFonts w:ascii="Century Schoolbook" w:hAnsi="Century Schoolbook"/>
          <w:sz w:val="28"/>
          <w:szCs w:val="28"/>
        </w:rPr>
        <w:t xml:space="preserve">“I aided/abetted, with the specific intent to kill, the attempt to kill John </w:t>
      </w:r>
      <w:r w:rsidRPr="00AA40EF">
        <w:rPr>
          <w:rFonts w:ascii="Century Schoolbook" w:hAnsi="Century Schoolbook"/>
          <w:sz w:val="28"/>
          <w:szCs w:val="28"/>
        </w:rPr>
        <w:t xml:space="preserve">Doe, a human being </w:t>
      </w:r>
      <w:r w:rsidR="00447482">
        <w:rPr>
          <w:rFonts w:ascii="Century Schoolbook" w:hAnsi="Century Schoolbook"/>
          <w:sz w:val="28"/>
          <w:szCs w:val="28"/>
        </w:rPr>
        <w:t>[</w:t>
      </w:r>
      <w:r w:rsidRPr="00AA40EF">
        <w:rPr>
          <w:rFonts w:ascii="Century Schoolbook" w:hAnsi="Century Schoolbook"/>
          <w:sz w:val="28"/>
          <w:szCs w:val="28"/>
        </w:rPr>
        <w:t>and</w:t>
      </w:r>
      <w:r w:rsidR="00447482">
        <w:rPr>
          <w:rFonts w:ascii="Century Schoolbook" w:hAnsi="Century Schoolbook"/>
          <w:sz w:val="28"/>
          <w:szCs w:val="28"/>
        </w:rPr>
        <w:t>]</w:t>
      </w:r>
      <w:r w:rsidRPr="00AA40EF">
        <w:rPr>
          <w:rFonts w:ascii="Century Schoolbook" w:hAnsi="Century Schoolbook"/>
          <w:sz w:val="28"/>
          <w:szCs w:val="28"/>
        </w:rPr>
        <w:t xml:space="preserve"> also the felonious and unlawful taking by means of force, a motor vehicle against the will of and </w:t>
      </w:r>
      <w:r w:rsidRPr="00AA40EF" w:rsidR="00714006">
        <w:rPr>
          <w:rFonts w:ascii="Century Schoolbook" w:hAnsi="Century Schoolbook"/>
          <w:sz w:val="28"/>
          <w:szCs w:val="28"/>
        </w:rPr>
        <w:t>from the immediate presence of J</w:t>
      </w:r>
      <w:r w:rsidRPr="00AA40EF">
        <w:rPr>
          <w:rFonts w:ascii="Century Schoolbook" w:hAnsi="Century Schoolbook"/>
          <w:sz w:val="28"/>
          <w:szCs w:val="28"/>
        </w:rPr>
        <w:t>ohn Doe, who was the driver, with</w:t>
      </w:r>
      <w:r w:rsidR="005E1487">
        <w:rPr>
          <w:rFonts w:ascii="Century Schoolbook" w:hAnsi="Century Schoolbook"/>
          <w:sz w:val="28"/>
          <w:szCs w:val="28"/>
        </w:rPr>
        <w:t>[]</w:t>
      </w:r>
      <w:r w:rsidRPr="00AA40EF">
        <w:rPr>
          <w:rFonts w:ascii="Century Schoolbook" w:hAnsi="Century Schoolbook"/>
          <w:sz w:val="28"/>
          <w:szCs w:val="28"/>
        </w:rPr>
        <w:t xml:space="preserve"> the intent to temporarily deprive him of possession.</w:t>
      </w:r>
      <w:r w:rsidRPr="00AA40EF" w:rsidR="00714006">
        <w:rPr>
          <w:rFonts w:ascii="Century Schoolbook" w:hAnsi="Century Schoolbook"/>
          <w:sz w:val="28"/>
          <w:szCs w:val="28"/>
        </w:rPr>
        <w:t xml:space="preserve"> </w:t>
      </w:r>
      <w:r w:rsidRPr="00AA40EF">
        <w:rPr>
          <w:rFonts w:ascii="Century Schoolbook" w:hAnsi="Century Schoolbook"/>
          <w:sz w:val="28"/>
          <w:szCs w:val="28"/>
        </w:rPr>
        <w:t xml:space="preserve"> I committed the crime in count 1 for the bene</w:t>
      </w:r>
      <w:r w:rsidRPr="00AA40EF" w:rsidR="00714006">
        <w:rPr>
          <w:rFonts w:ascii="Century Schoolbook" w:hAnsi="Century Schoolbook"/>
          <w:sz w:val="28"/>
          <w:szCs w:val="28"/>
        </w:rPr>
        <w:t xml:space="preserve">fit of </w:t>
      </w:r>
      <w:r w:rsidR="005E1487">
        <w:rPr>
          <w:rFonts w:ascii="Century Schoolbook" w:hAnsi="Century Schoolbook"/>
          <w:sz w:val="28"/>
          <w:szCs w:val="28"/>
        </w:rPr>
        <w:t>[</w:t>
      </w:r>
      <w:r w:rsidRPr="00AA40EF" w:rsidR="00714006">
        <w:rPr>
          <w:rFonts w:ascii="Century Schoolbook" w:hAnsi="Century Schoolbook"/>
          <w:sz w:val="28"/>
          <w:szCs w:val="28"/>
        </w:rPr>
        <w:t>and</w:t>
      </w:r>
      <w:r w:rsidR="005E1487">
        <w:rPr>
          <w:rFonts w:ascii="Century Schoolbook" w:hAnsi="Century Schoolbook"/>
          <w:sz w:val="28"/>
          <w:szCs w:val="28"/>
        </w:rPr>
        <w:t>]</w:t>
      </w:r>
      <w:r w:rsidRPr="00AA40EF" w:rsidR="00714006">
        <w:rPr>
          <w:rFonts w:ascii="Century Schoolbook" w:hAnsi="Century Schoolbook"/>
          <w:sz w:val="28"/>
          <w:szCs w:val="28"/>
        </w:rPr>
        <w:t xml:space="preserve"> in association with ‘Folks,’</w:t>
      </w:r>
      <w:r w:rsidRPr="00AA40EF">
        <w:rPr>
          <w:rFonts w:ascii="Century Schoolbook" w:hAnsi="Century Schoolbook"/>
          <w:sz w:val="28"/>
          <w:szCs w:val="28"/>
        </w:rPr>
        <w:t xml:space="preserve"> a criminal street gang per </w:t>
      </w:r>
      <w:r w:rsidR="005E1487">
        <w:rPr>
          <w:rFonts w:ascii="Century Schoolbook" w:hAnsi="Century Schoolbook"/>
          <w:sz w:val="28"/>
          <w:szCs w:val="28"/>
        </w:rPr>
        <w:t>[section]</w:t>
      </w:r>
      <w:r w:rsidRPr="00AA40EF">
        <w:rPr>
          <w:rFonts w:ascii="Century Schoolbook" w:hAnsi="Century Schoolbook"/>
          <w:sz w:val="28"/>
          <w:szCs w:val="28"/>
        </w:rPr>
        <w:t xml:space="preserve"> 186.22(a) with the intent to further criminal conduct by members of that gang while an active participant/member of Folks and with knowledge of its primary activities.</w:t>
      </w:r>
      <w:r w:rsidRPr="00AA40EF" w:rsidR="00714006">
        <w:rPr>
          <w:rFonts w:ascii="Century Schoolbook" w:hAnsi="Century Schoolbook"/>
          <w:sz w:val="28"/>
          <w:szCs w:val="28"/>
        </w:rPr>
        <w:t xml:space="preserve">” </w:t>
      </w:r>
      <w:r w:rsidRPr="00AA40EF" w:rsidR="00CB473A">
        <w:rPr>
          <w:rFonts w:ascii="Century Schoolbook" w:hAnsi="Century Schoolbook"/>
          <w:sz w:val="28"/>
          <w:szCs w:val="28"/>
        </w:rPr>
        <w:t xml:space="preserve"> </w:t>
      </w:r>
    </w:p>
    <w:p w:rsidR="00D5678B" w:rsidRPr="00AA40EF" w:rsidP="00B34B56">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b/>
          <w:sz w:val="28"/>
          <w:szCs w:val="28"/>
        </w:rPr>
        <w:tab/>
      </w:r>
      <w:r w:rsidRPr="00AA40EF">
        <w:rPr>
          <w:rFonts w:ascii="Century Schoolbook" w:hAnsi="Century Schoolbook"/>
          <w:sz w:val="28"/>
          <w:szCs w:val="28"/>
        </w:rPr>
        <w:t xml:space="preserve">The trial court sentenced Ramos to 15 years, eight months in state prison. </w:t>
      </w:r>
    </w:p>
    <w:p w:rsidR="00E8776A" w:rsidRPr="00AA40EF" w:rsidP="00E8776A">
      <w:pPr>
        <w:tabs>
          <w:tab w:val="left" w:pos="720"/>
          <w:tab w:val="left" w:pos="1440"/>
          <w:tab w:val="left" w:pos="288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II.</w:t>
      </w:r>
      <w:r w:rsidRPr="00AA40EF">
        <w:rPr>
          <w:rFonts w:ascii="Century Schoolbook" w:hAnsi="Century Schoolbook"/>
          <w:sz w:val="28"/>
          <w:szCs w:val="28"/>
        </w:rPr>
        <w:tab/>
      </w:r>
      <w:r w:rsidRPr="00AA40EF" w:rsidR="00C95887">
        <w:rPr>
          <w:rFonts w:ascii="Century Schoolbook" w:hAnsi="Century Schoolbook"/>
          <w:i/>
          <w:sz w:val="28"/>
          <w:szCs w:val="28"/>
        </w:rPr>
        <w:t>Petition for R</w:t>
      </w:r>
      <w:r w:rsidRPr="00AA40EF" w:rsidR="007E0022">
        <w:rPr>
          <w:rFonts w:ascii="Century Schoolbook" w:hAnsi="Century Schoolbook"/>
          <w:i/>
          <w:sz w:val="28"/>
          <w:szCs w:val="28"/>
        </w:rPr>
        <w:t>esentenci</w:t>
      </w:r>
      <w:r w:rsidRPr="00AA40EF" w:rsidR="00C95887">
        <w:rPr>
          <w:rFonts w:ascii="Century Schoolbook" w:hAnsi="Century Schoolbook"/>
          <w:i/>
          <w:sz w:val="28"/>
          <w:szCs w:val="28"/>
        </w:rPr>
        <w:t>ng Relief</w:t>
      </w:r>
    </w:p>
    <w:p w:rsidR="00BC0F9C" w:rsidRPr="00AA40EF" w:rsidP="00B34B56">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740D87">
        <w:rPr>
          <w:rFonts w:ascii="Century Schoolbook" w:hAnsi="Century Schoolbook"/>
          <w:sz w:val="28"/>
          <w:szCs w:val="28"/>
        </w:rPr>
        <w:t>On January 17, 2023, appellant filed a form petition for resentencing of his attempted murder conviction</w:t>
      </w:r>
      <w:r w:rsidRPr="00AA40EF" w:rsidR="00CB473A">
        <w:rPr>
          <w:rFonts w:ascii="Century Schoolbook" w:hAnsi="Century Schoolbook"/>
          <w:sz w:val="28"/>
          <w:szCs w:val="28"/>
        </w:rPr>
        <w:t>.</w:t>
      </w:r>
      <w:r w:rsidRPr="00AA40EF" w:rsidR="00BC3B55">
        <w:rPr>
          <w:rFonts w:ascii="Century Schoolbook" w:hAnsi="Century Schoolbook"/>
          <w:sz w:val="28"/>
          <w:szCs w:val="28"/>
        </w:rPr>
        <w:t xml:space="preserve"> </w:t>
      </w:r>
      <w:r w:rsidRPr="00AA40EF" w:rsidR="00740D87">
        <w:rPr>
          <w:rFonts w:ascii="Century Schoolbook" w:hAnsi="Century Schoolbook"/>
          <w:sz w:val="28"/>
          <w:szCs w:val="28"/>
        </w:rPr>
        <w:t xml:space="preserve"> In his petition, he stated that (1) he was charged with attempted murder under the natural and probable consequences doctrine; (2) he accepted a plea offer in lieu of trial at which he could have been convicted of attempted murder; and (3) he could not presently be convicted of attempted murder because of changes made to sections 188 and 189, effective January 1, 2019.   </w:t>
      </w:r>
    </w:p>
    <w:p w:rsidR="00740D87" w:rsidRPr="00AA40EF" w:rsidP="00B34B56">
      <w:pPr>
        <w:tabs>
          <w:tab w:val="left" w:pos="1440"/>
          <w:tab w:val="left" w:pos="2880"/>
          <w:tab w:val="left" w:pos="4320"/>
          <w:tab w:val="left" w:pos="5760"/>
          <w:tab w:val="left" w:pos="7200"/>
          <w:tab w:val="left" w:pos="8640"/>
        </w:tabs>
        <w:spacing w:line="480" w:lineRule="atLeast"/>
        <w:rPr>
          <w:rFonts w:ascii="Century Schoolbook" w:hAnsi="Century Schoolbook"/>
          <w:b/>
          <w:sz w:val="28"/>
          <w:szCs w:val="28"/>
        </w:rPr>
      </w:pPr>
      <w:r w:rsidRPr="00AA40EF">
        <w:rPr>
          <w:rFonts w:ascii="Century Schoolbook" w:hAnsi="Century Schoolbook"/>
          <w:sz w:val="28"/>
          <w:szCs w:val="28"/>
        </w:rPr>
        <w:tab/>
      </w:r>
      <w:r w:rsidRPr="00AA40EF" w:rsidR="002060EB">
        <w:rPr>
          <w:rFonts w:ascii="Century Schoolbook" w:hAnsi="Century Schoolbook"/>
          <w:sz w:val="28"/>
          <w:szCs w:val="28"/>
        </w:rPr>
        <w:t>In response, t</w:t>
      </w:r>
      <w:r w:rsidRPr="00AA40EF">
        <w:rPr>
          <w:rFonts w:ascii="Century Schoolbook" w:hAnsi="Century Schoolbook"/>
          <w:sz w:val="28"/>
          <w:szCs w:val="28"/>
        </w:rPr>
        <w:t xml:space="preserve">he district attorney requested the trial court deny the petition at a prima facie hearing.  </w:t>
      </w:r>
      <w:r w:rsidRPr="00AA40EF" w:rsidR="00F7537A">
        <w:rPr>
          <w:rFonts w:ascii="Century Schoolbook" w:hAnsi="Century Schoolbook"/>
          <w:sz w:val="28"/>
          <w:szCs w:val="28"/>
        </w:rPr>
        <w:t xml:space="preserve">The district attorney argued Ramos did not plead guilty to attempted murder under </w:t>
      </w:r>
      <w:r w:rsidRPr="00AA40EF" w:rsidR="00AC77CB">
        <w:rPr>
          <w:rFonts w:ascii="Century Schoolbook" w:hAnsi="Century Schoolbook"/>
          <w:sz w:val="28"/>
          <w:szCs w:val="28"/>
        </w:rPr>
        <w:t>the</w:t>
      </w:r>
      <w:r w:rsidRPr="00AA40EF" w:rsidR="00F7537A">
        <w:rPr>
          <w:rFonts w:ascii="Century Schoolbook" w:hAnsi="Century Schoolbook"/>
          <w:sz w:val="28"/>
          <w:szCs w:val="28"/>
        </w:rPr>
        <w:t xml:space="preserve"> natural and probable con</w:t>
      </w:r>
      <w:r w:rsidRPr="00AA40EF" w:rsidR="00AC77CB">
        <w:rPr>
          <w:rFonts w:ascii="Century Schoolbook" w:hAnsi="Century Schoolbook"/>
          <w:sz w:val="28"/>
          <w:szCs w:val="28"/>
        </w:rPr>
        <w:t>sequen</w:t>
      </w:r>
      <w:r w:rsidRPr="00AA40EF" w:rsidR="00F7537A">
        <w:rPr>
          <w:rFonts w:ascii="Century Schoolbook" w:hAnsi="Century Schoolbook"/>
          <w:sz w:val="28"/>
          <w:szCs w:val="28"/>
        </w:rPr>
        <w:t xml:space="preserve">ces doctrine </w:t>
      </w:r>
      <w:r w:rsidRPr="00AA40EF" w:rsidR="00AC77CB">
        <w:rPr>
          <w:rFonts w:ascii="Century Schoolbook" w:hAnsi="Century Schoolbook"/>
          <w:sz w:val="28"/>
          <w:szCs w:val="28"/>
        </w:rPr>
        <w:t>because (1) he plead</w:t>
      </w:r>
      <w:r w:rsidRPr="00AA40EF" w:rsidR="008F758C">
        <w:rPr>
          <w:rFonts w:ascii="Century Schoolbook" w:hAnsi="Century Schoolbook"/>
          <w:sz w:val="28"/>
          <w:szCs w:val="28"/>
        </w:rPr>
        <w:t>ed</w:t>
      </w:r>
      <w:r w:rsidRPr="00AA40EF" w:rsidR="00AC77CB">
        <w:rPr>
          <w:rFonts w:ascii="Century Schoolbook" w:hAnsi="Century Schoolbook"/>
          <w:sz w:val="28"/>
          <w:szCs w:val="28"/>
        </w:rPr>
        <w:t xml:space="preserve"> guilty as a direct aider and abettor with intent to kill</w:t>
      </w:r>
      <w:r w:rsidR="00761018">
        <w:rPr>
          <w:rFonts w:ascii="Century Schoolbook" w:hAnsi="Century Schoolbook"/>
          <w:sz w:val="28"/>
          <w:szCs w:val="28"/>
        </w:rPr>
        <w:t>,</w:t>
      </w:r>
      <w:r w:rsidRPr="00AA40EF" w:rsidR="00AC77CB">
        <w:rPr>
          <w:rFonts w:ascii="Century Schoolbook" w:hAnsi="Century Schoolbook"/>
          <w:sz w:val="28"/>
          <w:szCs w:val="28"/>
        </w:rPr>
        <w:t xml:space="preserve"> (2) his admission of having a</w:t>
      </w:r>
      <w:r w:rsidRPr="00AA40EF" w:rsidR="008F758C">
        <w:rPr>
          <w:rFonts w:ascii="Century Schoolbook" w:hAnsi="Century Schoolbook"/>
          <w:sz w:val="28"/>
          <w:szCs w:val="28"/>
        </w:rPr>
        <w:t>n</w:t>
      </w:r>
      <w:r w:rsidRPr="00AA40EF" w:rsidR="00AC77CB">
        <w:rPr>
          <w:rFonts w:ascii="Century Schoolbook" w:hAnsi="Century Schoolbook"/>
          <w:sz w:val="28"/>
          <w:szCs w:val="28"/>
        </w:rPr>
        <w:t xml:space="preserve"> intent to kill is inconsistent with the natural and probable consequences doctrine</w:t>
      </w:r>
      <w:r w:rsidR="00761018">
        <w:rPr>
          <w:rFonts w:ascii="Century Schoolbook" w:hAnsi="Century Schoolbook"/>
          <w:sz w:val="28"/>
          <w:szCs w:val="28"/>
        </w:rPr>
        <w:t>,</w:t>
      </w:r>
      <w:r w:rsidRPr="00AA40EF" w:rsidR="00AC77CB">
        <w:rPr>
          <w:rFonts w:ascii="Century Schoolbook" w:hAnsi="Century Schoolbook"/>
          <w:sz w:val="28"/>
          <w:szCs w:val="28"/>
        </w:rPr>
        <w:t xml:space="preserve"> and (3)</w:t>
      </w:r>
      <w:r w:rsidRPr="00AA40EF" w:rsidR="008F758C">
        <w:rPr>
          <w:rFonts w:ascii="Century Schoolbook" w:hAnsi="Century Schoolbook"/>
          <w:sz w:val="28"/>
          <w:szCs w:val="28"/>
        </w:rPr>
        <w:t xml:space="preserve"> his plea is distinguishable fro</w:t>
      </w:r>
      <w:r w:rsidRPr="00AA40EF" w:rsidR="00AC77CB">
        <w:rPr>
          <w:rFonts w:ascii="Century Schoolbook" w:hAnsi="Century Schoolbook"/>
          <w:sz w:val="28"/>
          <w:szCs w:val="28"/>
        </w:rPr>
        <w:t xml:space="preserve">m “no contest” pleas </w:t>
      </w:r>
      <w:r w:rsidRPr="00AA40EF" w:rsidR="00AC77CB">
        <w:rPr>
          <w:rFonts w:ascii="Century Schoolbook" w:hAnsi="Century Schoolbook"/>
          <w:sz w:val="28"/>
          <w:szCs w:val="28"/>
        </w:rPr>
        <w:t xml:space="preserve">because it showed how and in what manner Ramos committed the attempted murder. </w:t>
      </w:r>
    </w:p>
    <w:p w:rsidR="00FB286A" w:rsidRPr="00AA40EF" w:rsidP="003D2975">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t>I</w:t>
      </w:r>
      <w:r w:rsidRPr="00AA40EF" w:rsidR="002060EB">
        <w:rPr>
          <w:rFonts w:ascii="Century Schoolbook" w:hAnsi="Century Schoolbook"/>
          <w:sz w:val="28"/>
          <w:szCs w:val="28"/>
        </w:rPr>
        <w:t>n reply</w:t>
      </w:r>
      <w:r w:rsidRPr="00AA40EF" w:rsidR="008F758C">
        <w:rPr>
          <w:rFonts w:ascii="Century Schoolbook" w:hAnsi="Century Schoolbook"/>
          <w:sz w:val="28"/>
          <w:szCs w:val="28"/>
        </w:rPr>
        <w:t xml:space="preserve">, Ramos argued </w:t>
      </w:r>
      <w:r w:rsidRPr="00AA40EF">
        <w:rPr>
          <w:rFonts w:ascii="Century Schoolbook" w:hAnsi="Century Schoolbook"/>
          <w:sz w:val="28"/>
          <w:szCs w:val="28"/>
        </w:rPr>
        <w:t xml:space="preserve">his admission of a specific intent to kill, which is part of the generic language of attempted murder, does not legally foreclose his prosecution under a natural and probable consequences theory. </w:t>
      </w:r>
    </w:p>
    <w:p w:rsidR="00AC77CB" w:rsidRPr="00AA40EF" w:rsidP="00A156A1">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0F78FF">
        <w:rPr>
          <w:rFonts w:ascii="Century Schoolbook" w:hAnsi="Century Schoolbook"/>
          <w:sz w:val="28"/>
          <w:szCs w:val="28"/>
        </w:rPr>
        <w:t>Following</w:t>
      </w:r>
      <w:r w:rsidRPr="00AA40EF">
        <w:rPr>
          <w:rFonts w:ascii="Century Schoolbook" w:hAnsi="Century Schoolbook"/>
          <w:sz w:val="28"/>
          <w:szCs w:val="28"/>
        </w:rPr>
        <w:t xml:space="preserve"> the prima facie hearing,</w:t>
      </w:r>
      <w:r w:rsidRPr="00AA40EF" w:rsidR="000F78FF">
        <w:rPr>
          <w:rFonts w:ascii="Century Schoolbook" w:hAnsi="Century Schoolbook"/>
          <w:sz w:val="28"/>
          <w:szCs w:val="28"/>
        </w:rPr>
        <w:t xml:space="preserve"> the trial court denied the resentencing petition</w:t>
      </w:r>
      <w:r w:rsidRPr="00AA40EF" w:rsidR="001E5499">
        <w:rPr>
          <w:rFonts w:ascii="Century Schoolbook" w:hAnsi="Century Schoolbook"/>
          <w:sz w:val="28"/>
          <w:szCs w:val="28"/>
        </w:rPr>
        <w:t xml:space="preserve"> without </w:t>
      </w:r>
      <w:r w:rsidRPr="00AA40EF" w:rsidR="008F758C">
        <w:rPr>
          <w:rFonts w:ascii="Century Schoolbook" w:hAnsi="Century Schoolbook"/>
          <w:sz w:val="28"/>
          <w:szCs w:val="28"/>
        </w:rPr>
        <w:t xml:space="preserve">an </w:t>
      </w:r>
      <w:r w:rsidR="00E762DC">
        <w:rPr>
          <w:rFonts w:ascii="Century Schoolbook" w:hAnsi="Century Schoolbook"/>
          <w:sz w:val="28"/>
          <w:szCs w:val="28"/>
        </w:rPr>
        <w:t>order to show cause</w:t>
      </w:r>
      <w:r w:rsidRPr="00AA40EF" w:rsidR="000F78FF">
        <w:rPr>
          <w:rFonts w:ascii="Century Schoolbook" w:hAnsi="Century Schoolbook"/>
          <w:sz w:val="28"/>
          <w:szCs w:val="28"/>
        </w:rPr>
        <w:t xml:space="preserve">.  It concluded Ramos was </w:t>
      </w:r>
      <w:r w:rsidRPr="00AA40EF" w:rsidR="008F758C">
        <w:rPr>
          <w:rFonts w:ascii="Century Schoolbook" w:hAnsi="Century Schoolbook"/>
          <w:sz w:val="28"/>
          <w:szCs w:val="28"/>
        </w:rPr>
        <w:t>in</w:t>
      </w:r>
      <w:r w:rsidRPr="00AA40EF" w:rsidR="000F78FF">
        <w:rPr>
          <w:rFonts w:ascii="Century Schoolbook" w:hAnsi="Century Schoolbook"/>
          <w:sz w:val="28"/>
          <w:szCs w:val="28"/>
        </w:rPr>
        <w:t>eligible f</w:t>
      </w:r>
      <w:r w:rsidRPr="00AA40EF" w:rsidR="00BC3B55">
        <w:rPr>
          <w:rFonts w:ascii="Century Schoolbook" w:hAnsi="Century Schoolbook"/>
          <w:sz w:val="28"/>
          <w:szCs w:val="28"/>
        </w:rPr>
        <w:t>or resentencing relief based on</w:t>
      </w:r>
      <w:r w:rsidRPr="00AA40EF" w:rsidR="000F78FF">
        <w:rPr>
          <w:rFonts w:ascii="Century Schoolbook" w:hAnsi="Century Schoolbook"/>
          <w:sz w:val="28"/>
          <w:szCs w:val="28"/>
        </w:rPr>
        <w:t xml:space="preserve"> “</w:t>
      </w:r>
      <w:r w:rsidR="00E762DC">
        <w:rPr>
          <w:rFonts w:ascii="Century Schoolbook" w:hAnsi="Century Schoolbook"/>
          <w:sz w:val="28"/>
          <w:szCs w:val="28"/>
        </w:rPr>
        <w:t>[</w:t>
      </w:r>
      <w:r w:rsidRPr="00AA40EF" w:rsidR="000F78FF">
        <w:rPr>
          <w:rFonts w:ascii="Century Schoolbook" w:hAnsi="Century Schoolbook"/>
          <w:sz w:val="28"/>
          <w:szCs w:val="28"/>
        </w:rPr>
        <w:t>h</w:t>
      </w:r>
      <w:r w:rsidR="00E762DC">
        <w:rPr>
          <w:rFonts w:ascii="Century Schoolbook" w:hAnsi="Century Schoolbook"/>
          <w:sz w:val="28"/>
          <w:szCs w:val="28"/>
        </w:rPr>
        <w:t>]</w:t>
      </w:r>
      <w:r w:rsidRPr="00AA40EF" w:rsidR="000F78FF">
        <w:rPr>
          <w:rFonts w:ascii="Century Schoolbook" w:hAnsi="Century Schoolbook"/>
          <w:sz w:val="28"/>
          <w:szCs w:val="28"/>
        </w:rPr>
        <w:t xml:space="preserve">is express admission to aiding and abetting an attempted murder </w:t>
      </w:r>
      <w:r w:rsidRPr="00AA40EF" w:rsidR="000F78FF">
        <w:rPr>
          <w:rFonts w:ascii="Century Schoolbook" w:hAnsi="Century Schoolbook"/>
          <w:i/>
          <w:sz w:val="28"/>
          <w:szCs w:val="28"/>
        </w:rPr>
        <w:t>with the specific intent to kill</w:t>
      </w:r>
      <w:r w:rsidR="00E40DD2">
        <w:rPr>
          <w:rFonts w:ascii="Century Schoolbook" w:hAnsi="Century Schoolbook"/>
          <w:i/>
          <w:sz w:val="28"/>
          <w:szCs w:val="28"/>
        </w:rPr>
        <w:t xml:space="preserve"> . . . </w:t>
      </w:r>
      <w:r w:rsidRPr="00AA40EF" w:rsidR="000F78FF">
        <w:rPr>
          <w:rFonts w:ascii="Century Schoolbook" w:hAnsi="Century Schoolbook"/>
          <w:sz w:val="28"/>
          <w:szCs w:val="28"/>
        </w:rPr>
        <w:t>.”</w:t>
      </w:r>
      <w:r w:rsidRPr="00AA40EF" w:rsidR="00BC3B55">
        <w:rPr>
          <w:rFonts w:ascii="Century Schoolbook" w:hAnsi="Century Schoolbook"/>
          <w:sz w:val="28"/>
          <w:szCs w:val="28"/>
        </w:rPr>
        <w:t xml:space="preserve"> </w:t>
      </w:r>
    </w:p>
    <w:p w:rsidR="00AC77CB" w:rsidRPr="00AA40EF" w:rsidP="00A156A1">
      <w:pPr>
        <w:tabs>
          <w:tab w:val="left" w:pos="1440"/>
          <w:tab w:val="left" w:pos="2880"/>
          <w:tab w:val="left" w:pos="4320"/>
          <w:tab w:val="left" w:pos="5760"/>
          <w:tab w:val="left" w:pos="7200"/>
          <w:tab w:val="left" w:pos="8640"/>
        </w:tabs>
        <w:spacing w:line="480" w:lineRule="atLeast"/>
        <w:rPr>
          <w:rFonts w:ascii="Century Schoolbook" w:hAnsi="Century Schoolbook"/>
          <w:sz w:val="28"/>
          <w:szCs w:val="28"/>
        </w:rPr>
      </w:pPr>
      <w:r w:rsidRPr="00AA40EF">
        <w:rPr>
          <w:rFonts w:ascii="Century Schoolbook" w:hAnsi="Century Schoolbook"/>
          <w:sz w:val="28"/>
          <w:szCs w:val="28"/>
        </w:rPr>
        <w:tab/>
      </w:r>
      <w:r w:rsidRPr="00AA40EF" w:rsidR="006271B8">
        <w:rPr>
          <w:rFonts w:ascii="Century Schoolbook" w:hAnsi="Century Schoolbook"/>
          <w:sz w:val="28"/>
          <w:szCs w:val="28"/>
        </w:rPr>
        <w:t xml:space="preserve">On June 21, 2023, </w:t>
      </w:r>
      <w:r w:rsidRPr="00AA40EF">
        <w:rPr>
          <w:rFonts w:ascii="Century Schoolbook" w:hAnsi="Century Schoolbook"/>
          <w:sz w:val="28"/>
          <w:szCs w:val="28"/>
        </w:rPr>
        <w:t xml:space="preserve">Ramos timely </w:t>
      </w:r>
      <w:r w:rsidRPr="00AA40EF" w:rsidR="006271B8">
        <w:rPr>
          <w:rFonts w:ascii="Century Schoolbook" w:hAnsi="Century Schoolbook"/>
          <w:sz w:val="28"/>
          <w:szCs w:val="28"/>
        </w:rPr>
        <w:t>noticed an appeal from the postjudgment order denying his resentencing petition</w:t>
      </w:r>
      <w:r w:rsidRPr="00AA40EF">
        <w:rPr>
          <w:rFonts w:ascii="Century Schoolbook" w:hAnsi="Century Schoolbook"/>
          <w:sz w:val="28"/>
          <w:szCs w:val="28"/>
        </w:rPr>
        <w:t xml:space="preserve">. </w:t>
      </w:r>
    </w:p>
    <w:p w:rsidR="00A94090" w:rsidRPr="00AA40EF" w:rsidP="00A94090">
      <w:pPr>
        <w:tabs>
          <w:tab w:val="left" w:pos="1440"/>
          <w:tab w:val="left" w:pos="2880"/>
          <w:tab w:val="left" w:pos="4320"/>
          <w:tab w:val="left" w:pos="5760"/>
          <w:tab w:val="left" w:pos="7200"/>
          <w:tab w:val="left" w:pos="8640"/>
        </w:tabs>
        <w:spacing w:line="480" w:lineRule="atLeast"/>
        <w:jc w:val="center"/>
        <w:rPr>
          <w:rFonts w:ascii="Century Schoolbook" w:hAnsi="Century Schoolbook"/>
          <w:b/>
          <w:smallCaps/>
          <w:sz w:val="28"/>
          <w:szCs w:val="28"/>
        </w:rPr>
      </w:pPr>
      <w:r w:rsidRPr="00AA40EF">
        <w:rPr>
          <w:rFonts w:ascii="Century Schoolbook" w:hAnsi="Century Schoolbook"/>
          <w:b/>
          <w:sz w:val="28"/>
          <w:szCs w:val="28"/>
        </w:rPr>
        <w:t>D</w:t>
      </w:r>
      <w:r w:rsidRPr="00AA40EF" w:rsidR="005C5C79">
        <w:rPr>
          <w:rFonts w:ascii="Century Schoolbook" w:hAnsi="Century Schoolbook"/>
          <w:b/>
          <w:smallCaps/>
          <w:sz w:val="28"/>
          <w:szCs w:val="28"/>
        </w:rPr>
        <w:t>ISCUSSION</w:t>
      </w:r>
    </w:p>
    <w:p w:rsidR="004C0712" w:rsidRPr="00AA40EF" w:rsidP="004522BF">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Section </w:t>
      </w:r>
      <w:r w:rsidRPr="00AA40EF" w:rsidR="00BC3B55">
        <w:rPr>
          <w:rFonts w:ascii="Century Schoolbook" w:hAnsi="Century Schoolbook"/>
          <w:sz w:val="28"/>
          <w:szCs w:val="28"/>
        </w:rPr>
        <w:t>1172.6</w:t>
      </w:r>
      <w:r w:rsidRPr="00AA40EF" w:rsidR="002060EB">
        <w:rPr>
          <w:rFonts w:ascii="Century Schoolbook" w:hAnsi="Century Schoolbook"/>
          <w:sz w:val="28"/>
          <w:szCs w:val="28"/>
        </w:rPr>
        <w:t xml:space="preserve">, subdivision (a) </w:t>
      </w:r>
      <w:r w:rsidRPr="00AA40EF">
        <w:rPr>
          <w:rFonts w:ascii="Century Schoolbook" w:hAnsi="Century Schoolbook"/>
          <w:sz w:val="28"/>
          <w:szCs w:val="28"/>
        </w:rPr>
        <w:t>provides</w:t>
      </w:r>
      <w:r w:rsidRPr="00AA40EF" w:rsidR="003D4560">
        <w:rPr>
          <w:rFonts w:ascii="Century Schoolbook" w:hAnsi="Century Schoolbook"/>
          <w:sz w:val="28"/>
          <w:szCs w:val="28"/>
        </w:rPr>
        <w:t xml:space="preserve"> </w:t>
      </w:r>
      <w:r w:rsidRPr="00AA40EF" w:rsidR="002060EB">
        <w:rPr>
          <w:rFonts w:ascii="Century Schoolbook" w:hAnsi="Century Schoolbook"/>
          <w:sz w:val="28"/>
          <w:szCs w:val="28"/>
        </w:rPr>
        <w:t xml:space="preserve">in relevant part </w:t>
      </w:r>
      <w:r w:rsidRPr="00AA40EF" w:rsidR="003D4560">
        <w:rPr>
          <w:rFonts w:ascii="Century Schoolbook" w:hAnsi="Century Schoolbook"/>
          <w:sz w:val="28"/>
          <w:szCs w:val="28"/>
        </w:rPr>
        <w:t>that a “</w:t>
      </w:r>
      <w:r w:rsidRPr="00AA40EF" w:rsidR="002060EB">
        <w:rPr>
          <w:rFonts w:ascii="Century Schoolbook" w:hAnsi="Century Schoolbook"/>
          <w:sz w:val="28"/>
          <w:szCs w:val="28"/>
        </w:rPr>
        <w:t>person convicted of . . . attempted murder under the natural and probable consequences doctrine . . . may file a petition with the court that sentenced the petitioner to have the petitioner’s . . . attempted murder . . . conviction vacated and to be resentenced on any remaining counts when all of the following conditions apply: [¶] (1) A complaint . . . was filed against the petitioner that allowed the prosecution to proceed under a theory of . . . attempted murder under the natural and probable consequence</w:t>
      </w:r>
      <w:r w:rsidRPr="00AA40EF" w:rsidR="008F758C">
        <w:rPr>
          <w:rFonts w:ascii="Century Schoolbook" w:hAnsi="Century Schoolbook"/>
          <w:sz w:val="28"/>
          <w:szCs w:val="28"/>
        </w:rPr>
        <w:t>s doctrine.</w:t>
      </w:r>
      <w:r w:rsidRPr="00AA40EF" w:rsidR="002060EB">
        <w:rPr>
          <w:rFonts w:ascii="Century Schoolbook" w:hAnsi="Century Schoolbook"/>
          <w:sz w:val="28"/>
          <w:szCs w:val="28"/>
        </w:rPr>
        <w:t xml:space="preserve"> [¶] (2) The petitioner . . .</w:t>
      </w:r>
      <w:r w:rsidRPr="00AA40EF" w:rsidR="00400003">
        <w:rPr>
          <w:rFonts w:ascii="Century Schoolbook" w:hAnsi="Century Schoolbook"/>
          <w:sz w:val="28"/>
          <w:szCs w:val="28"/>
        </w:rPr>
        <w:t xml:space="preserve"> </w:t>
      </w:r>
      <w:r w:rsidRPr="00AA40EF" w:rsidR="002060EB">
        <w:rPr>
          <w:rFonts w:ascii="Century Schoolbook" w:hAnsi="Century Schoolbook"/>
          <w:sz w:val="28"/>
          <w:szCs w:val="28"/>
        </w:rPr>
        <w:t>accepted a plea offer in lieu of a trial at which the petitioner could have been convicted of murder or attempted murder. [¶] (3) The petitioner could not presently be convicted of . . . attempted murder because of changes to Section 188 or 189 made effective January 1, 2019.”</w:t>
      </w:r>
      <w:r w:rsidRPr="00AA40EF" w:rsidR="00742A3C">
        <w:rPr>
          <w:rFonts w:ascii="Century Schoolbook" w:hAnsi="Century Schoolbook"/>
          <w:sz w:val="28"/>
          <w:szCs w:val="28"/>
        </w:rPr>
        <w:t xml:space="preserve">  </w:t>
      </w:r>
      <w:r w:rsidRPr="00AA40EF" w:rsidR="004522BF">
        <w:rPr>
          <w:rFonts w:ascii="Century Schoolbook" w:hAnsi="Century Schoolbook"/>
          <w:sz w:val="28"/>
          <w:szCs w:val="28"/>
        </w:rPr>
        <w:t xml:space="preserve">The petitioner has the burden </w:t>
      </w:r>
      <w:r w:rsidRPr="00AA40EF" w:rsidR="004522BF">
        <w:rPr>
          <w:rFonts w:ascii="Century Schoolbook" w:hAnsi="Century Schoolbook"/>
          <w:sz w:val="28"/>
          <w:szCs w:val="28"/>
        </w:rPr>
        <w:t>of making a prima facie case for relief.  The prima facie stage bar is “‘very low,’” but not nonexistent.  (</w:t>
      </w:r>
      <w:r w:rsidRPr="00AA40EF" w:rsidR="004522BF">
        <w:rPr>
          <w:rFonts w:ascii="Century Schoolbook" w:hAnsi="Century Schoolbook"/>
          <w:i/>
          <w:sz w:val="28"/>
          <w:szCs w:val="28"/>
        </w:rPr>
        <w:t>People v. Lewis</w:t>
      </w:r>
      <w:r w:rsidRPr="00AA40EF" w:rsidR="004522BF">
        <w:rPr>
          <w:rFonts w:ascii="Century Schoolbook" w:hAnsi="Century Schoolbook"/>
          <w:sz w:val="28"/>
          <w:szCs w:val="28"/>
        </w:rPr>
        <w:t xml:space="preserve"> (2021) 11 Cal.5th 952, 972 (</w:t>
      </w:r>
      <w:r w:rsidRPr="00AA40EF" w:rsidR="004522BF">
        <w:rPr>
          <w:rFonts w:ascii="Century Schoolbook" w:hAnsi="Century Schoolbook"/>
          <w:i/>
          <w:sz w:val="28"/>
          <w:szCs w:val="28"/>
        </w:rPr>
        <w:t>Lewis</w:t>
      </w:r>
      <w:r w:rsidRPr="00AA40EF" w:rsidR="004522BF">
        <w:rPr>
          <w:rFonts w:ascii="Century Schoolbook" w:hAnsi="Century Schoolbook"/>
          <w:sz w:val="28"/>
          <w:szCs w:val="28"/>
        </w:rPr>
        <w:t xml:space="preserve">).)  “If the petitioner makes a prima facie showing that the petitioner is entitled to relief, the court shall issue an order to show cause.”  (§ 1172.6, subd. (c).)  </w:t>
      </w:r>
    </w:p>
    <w:p w:rsidR="004C0712" w:rsidRPr="00AA40EF" w:rsidP="00A5214D">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The court may deny the petition at the prima facie stage if the record of conviction discloses that the petitioner is ineligible for relief as a matter of law.  </w:t>
      </w:r>
      <w:r w:rsidRPr="00AA40EF" w:rsidR="004522BF">
        <w:rPr>
          <w:rFonts w:ascii="Century Schoolbook" w:hAnsi="Century Schoolbook"/>
          <w:sz w:val="28"/>
          <w:szCs w:val="28"/>
        </w:rPr>
        <w:t>(</w:t>
      </w:r>
      <w:r w:rsidRPr="00AA40EF" w:rsidR="004522BF">
        <w:rPr>
          <w:rFonts w:ascii="Century Schoolbook" w:hAnsi="Century Schoolbook"/>
          <w:i/>
          <w:iCs/>
          <w:sz w:val="28"/>
          <w:szCs w:val="28"/>
        </w:rPr>
        <w:t>Lewis</w:t>
      </w:r>
      <w:r w:rsidRPr="00AA40EF" w:rsidR="004522BF">
        <w:rPr>
          <w:rFonts w:ascii="Century Schoolbook" w:hAnsi="Century Schoolbook"/>
          <w:sz w:val="28"/>
          <w:szCs w:val="28"/>
        </w:rPr>
        <w:t xml:space="preserve">, </w:t>
      </w:r>
      <w:r w:rsidRPr="00AA40EF" w:rsidR="004522BF">
        <w:rPr>
          <w:rFonts w:ascii="Century Schoolbook" w:hAnsi="Century Schoolbook"/>
          <w:i/>
          <w:iCs/>
          <w:sz w:val="28"/>
          <w:szCs w:val="28"/>
        </w:rPr>
        <w:t>supra</w:t>
      </w:r>
      <w:r w:rsidRPr="00AA40EF" w:rsidR="004522BF">
        <w:rPr>
          <w:rFonts w:ascii="Century Schoolbook" w:hAnsi="Century Schoolbook"/>
          <w:sz w:val="28"/>
          <w:szCs w:val="28"/>
        </w:rPr>
        <w:t>, 11 Cal.5th at pp.</w:t>
      </w:r>
      <w:r w:rsidRPr="00AA40EF">
        <w:rPr>
          <w:rFonts w:ascii="Century Schoolbook" w:hAnsi="Century Schoolbook"/>
          <w:sz w:val="28"/>
          <w:szCs w:val="28"/>
        </w:rPr>
        <w:t xml:space="preserve"> 970-971.)</w:t>
      </w:r>
      <w:r w:rsidRPr="00AA40EF" w:rsidR="00250B69">
        <w:rPr>
          <w:rFonts w:ascii="Century Schoolbook" w:hAnsi="Century Schoolbook"/>
          <w:sz w:val="28"/>
          <w:szCs w:val="28"/>
        </w:rPr>
        <w:t xml:space="preserve">  </w:t>
      </w:r>
      <w:r w:rsidRPr="00AA40EF" w:rsidR="00A5214D">
        <w:rPr>
          <w:rFonts w:ascii="Century Schoolbook" w:hAnsi="Century Schoolbook"/>
          <w:sz w:val="28"/>
          <w:szCs w:val="28"/>
        </w:rPr>
        <w:t>“In reviewing any part of the record of conviction at this preliminary juncture, a trial court should not engage in ‘factfinding involving the weighing of evidence or the exercise of discretion.’”  (</w:t>
      </w:r>
      <w:r w:rsidRPr="00AA40EF" w:rsidR="00A5214D">
        <w:rPr>
          <w:rFonts w:ascii="Century Schoolbook" w:hAnsi="Century Schoolbook"/>
          <w:i/>
          <w:sz w:val="28"/>
          <w:szCs w:val="28"/>
        </w:rPr>
        <w:t>Id.</w:t>
      </w:r>
      <w:r w:rsidRPr="00AA40EF" w:rsidR="00A5214D">
        <w:rPr>
          <w:rFonts w:ascii="Century Schoolbook" w:hAnsi="Century Schoolbook"/>
          <w:sz w:val="28"/>
          <w:szCs w:val="28"/>
        </w:rPr>
        <w:t xml:space="preserve"> at p. 972.) </w:t>
      </w:r>
      <w:r w:rsidRPr="00AA40EF" w:rsidR="008F758C">
        <w:rPr>
          <w:rFonts w:ascii="Century Schoolbook" w:hAnsi="Century Schoolbook"/>
          <w:sz w:val="28"/>
          <w:szCs w:val="28"/>
        </w:rPr>
        <w:t xml:space="preserve"> </w:t>
      </w:r>
      <w:r w:rsidRPr="00AA40EF" w:rsidR="00250B69">
        <w:rPr>
          <w:rFonts w:ascii="Century Schoolbook" w:hAnsi="Century Schoolbook"/>
          <w:sz w:val="28"/>
          <w:szCs w:val="28"/>
        </w:rPr>
        <w:t>“</w:t>
      </w:r>
      <w:r w:rsidRPr="00AA40EF" w:rsidR="005708ED">
        <w:rPr>
          <w:rFonts w:ascii="Century Schoolbook" w:hAnsi="Century Schoolbook"/>
          <w:sz w:val="28"/>
          <w:szCs w:val="28"/>
        </w:rPr>
        <w:t>When the petitioner’</w:t>
      </w:r>
      <w:r w:rsidRPr="00AA40EF" w:rsidR="00250B69">
        <w:rPr>
          <w:rFonts w:ascii="Century Schoolbook" w:hAnsi="Century Schoolbook"/>
          <w:sz w:val="28"/>
          <w:szCs w:val="28"/>
        </w:rPr>
        <w:t>s conviction resulted from a guilty plea rather than a trial, the record of conviction includes the facts ‘the defendant admitted as the factual basis for a guilty plea.’”  (</w:t>
      </w:r>
      <w:r w:rsidRPr="00AA40EF" w:rsidR="00250B69">
        <w:rPr>
          <w:rFonts w:ascii="Century Schoolbook" w:hAnsi="Century Schoolbook"/>
          <w:i/>
          <w:sz w:val="28"/>
          <w:szCs w:val="28"/>
        </w:rPr>
        <w:t>People v. Gaillard</w:t>
      </w:r>
      <w:r w:rsidRPr="00AA40EF" w:rsidR="00250B69">
        <w:rPr>
          <w:rFonts w:ascii="Century Schoolbook" w:hAnsi="Century Schoolbook"/>
          <w:sz w:val="28"/>
          <w:szCs w:val="28"/>
        </w:rPr>
        <w:t xml:space="preserve"> (2024) 99 Cal.App.5th 1206</w:t>
      </w:r>
      <w:r w:rsidR="002F3754">
        <w:rPr>
          <w:rFonts w:ascii="Century Schoolbook" w:hAnsi="Century Schoolbook"/>
          <w:sz w:val="28"/>
          <w:szCs w:val="28"/>
        </w:rPr>
        <w:t>, 1211-1212</w:t>
      </w:r>
      <w:r w:rsidRPr="00AA40EF" w:rsidR="00250B69">
        <w:rPr>
          <w:rFonts w:ascii="Century Schoolbook" w:hAnsi="Century Schoolbook"/>
          <w:sz w:val="28"/>
          <w:szCs w:val="28"/>
        </w:rPr>
        <w:t xml:space="preserve">.)  </w:t>
      </w:r>
      <w:r w:rsidRPr="00AA40EF">
        <w:rPr>
          <w:rFonts w:ascii="Century Schoolbook" w:hAnsi="Century Schoolbook"/>
          <w:sz w:val="28"/>
          <w:szCs w:val="28"/>
        </w:rPr>
        <w:t>We indep</w:t>
      </w:r>
      <w:r w:rsidRPr="00AA40EF" w:rsidR="001E4462">
        <w:rPr>
          <w:rFonts w:ascii="Century Schoolbook" w:hAnsi="Century Schoolbook"/>
          <w:sz w:val="28"/>
          <w:szCs w:val="28"/>
        </w:rPr>
        <w:t>endently review the trial court’</w:t>
      </w:r>
      <w:r w:rsidRPr="00AA40EF">
        <w:rPr>
          <w:rFonts w:ascii="Century Schoolbook" w:hAnsi="Century Schoolbook"/>
          <w:sz w:val="28"/>
          <w:szCs w:val="28"/>
        </w:rPr>
        <w:t xml:space="preserve">s determination that the petitioner failed to make a prima facie showing for relief. </w:t>
      </w:r>
      <w:r w:rsidRPr="00AA40EF" w:rsidR="005D692E">
        <w:rPr>
          <w:rFonts w:ascii="Century Schoolbook" w:hAnsi="Century Schoolbook"/>
          <w:sz w:val="28"/>
          <w:szCs w:val="28"/>
        </w:rPr>
        <w:t xml:space="preserve"> </w:t>
      </w:r>
      <w:r w:rsidRPr="00AA40EF">
        <w:rPr>
          <w:rFonts w:ascii="Century Schoolbook" w:hAnsi="Century Schoolbook"/>
          <w:sz w:val="28"/>
          <w:szCs w:val="28"/>
        </w:rPr>
        <w:t>(</w:t>
      </w:r>
      <w:r w:rsidRPr="00AA40EF">
        <w:rPr>
          <w:rFonts w:ascii="Century Schoolbook" w:hAnsi="Century Schoolbook"/>
          <w:i/>
          <w:sz w:val="28"/>
          <w:szCs w:val="28"/>
        </w:rPr>
        <w:t>People v. Eynon</w:t>
      </w:r>
      <w:r w:rsidRPr="00AA40EF">
        <w:rPr>
          <w:rFonts w:ascii="Century Schoolbook" w:hAnsi="Century Schoolbook"/>
          <w:sz w:val="28"/>
          <w:szCs w:val="28"/>
        </w:rPr>
        <w:t xml:space="preserve"> (2021) 68 Cal.App.5</w:t>
      </w:r>
      <w:r w:rsidRPr="000F3A35">
        <w:rPr>
          <w:rFonts w:ascii="Century Schoolbook" w:hAnsi="Century Schoolbook"/>
          <w:sz w:val="28"/>
          <w:szCs w:val="28"/>
          <w:vertAlign w:val="superscript"/>
        </w:rPr>
        <w:t>th</w:t>
      </w:r>
      <w:r w:rsidRPr="00AA40EF">
        <w:rPr>
          <w:rFonts w:ascii="Century Schoolbook" w:hAnsi="Century Schoolbook"/>
          <w:sz w:val="28"/>
          <w:szCs w:val="28"/>
        </w:rPr>
        <w:t xml:space="preserve"> 967, 975 (</w:t>
      </w:r>
      <w:r w:rsidRPr="00AA40EF">
        <w:rPr>
          <w:rFonts w:ascii="Century Schoolbook" w:hAnsi="Century Schoolbook"/>
          <w:i/>
          <w:sz w:val="28"/>
          <w:szCs w:val="28"/>
        </w:rPr>
        <w:t>Eynon</w:t>
      </w:r>
      <w:r w:rsidRPr="00AA40EF">
        <w:rPr>
          <w:rFonts w:ascii="Century Schoolbook" w:hAnsi="Century Schoolbook"/>
          <w:sz w:val="28"/>
          <w:szCs w:val="28"/>
        </w:rPr>
        <w:t>).)</w:t>
      </w:r>
    </w:p>
    <w:p w:rsidR="00400003" w:rsidRPr="00AA40EF" w:rsidP="007F268E">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Here, Ramos satisfied the first prong of the prima facie case because the felony complaint generically charged Ramos with </w:t>
      </w:r>
      <w:r w:rsidRPr="00AA40EF" w:rsidR="007F268E">
        <w:rPr>
          <w:rFonts w:ascii="Century Schoolbook" w:hAnsi="Century Schoolbook"/>
          <w:sz w:val="28"/>
          <w:szCs w:val="28"/>
        </w:rPr>
        <w:t xml:space="preserve">premeditated </w:t>
      </w:r>
      <w:r w:rsidRPr="00AA40EF">
        <w:rPr>
          <w:rFonts w:ascii="Century Schoolbook" w:hAnsi="Century Schoolbook"/>
          <w:sz w:val="28"/>
          <w:szCs w:val="28"/>
        </w:rPr>
        <w:t xml:space="preserve">attempted murder.  </w:t>
      </w:r>
      <w:r w:rsidRPr="00AA40EF" w:rsidR="007F268E">
        <w:rPr>
          <w:rFonts w:ascii="Century Schoolbook" w:hAnsi="Century Schoolbook"/>
          <w:sz w:val="28"/>
          <w:szCs w:val="28"/>
        </w:rPr>
        <w:t xml:space="preserve">At the time Ramos was charged, under the natural and probable consequences doctrine, an aider and abettor </w:t>
      </w:r>
      <w:r w:rsidR="00F87DC9">
        <w:rPr>
          <w:rFonts w:ascii="Century Schoolbook" w:hAnsi="Century Schoolbook"/>
          <w:sz w:val="28"/>
          <w:szCs w:val="28"/>
        </w:rPr>
        <w:t>could</w:t>
      </w:r>
      <w:r w:rsidRPr="00AA40EF" w:rsidR="00F87DC9">
        <w:rPr>
          <w:rFonts w:ascii="Century Schoolbook" w:hAnsi="Century Schoolbook"/>
          <w:sz w:val="28"/>
          <w:szCs w:val="28"/>
        </w:rPr>
        <w:t xml:space="preserve"> </w:t>
      </w:r>
      <w:r w:rsidRPr="00AA40EF" w:rsidR="007F268E">
        <w:rPr>
          <w:rFonts w:ascii="Century Schoolbook" w:hAnsi="Century Schoolbook"/>
          <w:sz w:val="28"/>
          <w:szCs w:val="28"/>
        </w:rPr>
        <w:t>be found guilty of premeditated attempted murder, even if the aider and abettor did not personally act with premeditation and deliberation, as long as the direct perpetrator acted with premeditation and deliberation.  (</w:t>
      </w:r>
      <w:r w:rsidRPr="00AA40EF" w:rsidR="007F268E">
        <w:rPr>
          <w:rFonts w:ascii="Century Schoolbook" w:hAnsi="Century Schoolbook"/>
          <w:i/>
          <w:sz w:val="28"/>
          <w:szCs w:val="28"/>
        </w:rPr>
        <w:t>People v. Favor</w:t>
      </w:r>
      <w:r w:rsidRPr="00AA40EF" w:rsidR="007F268E">
        <w:rPr>
          <w:rFonts w:ascii="Century Schoolbook" w:hAnsi="Century Schoolbook"/>
          <w:sz w:val="28"/>
          <w:szCs w:val="28"/>
        </w:rPr>
        <w:t xml:space="preserve"> (2012) 54 Cal.4</w:t>
      </w:r>
      <w:r w:rsidRPr="000F3A35" w:rsidR="007F268E">
        <w:rPr>
          <w:rFonts w:ascii="Century Schoolbook" w:hAnsi="Century Schoolbook"/>
          <w:sz w:val="28"/>
          <w:szCs w:val="28"/>
          <w:vertAlign w:val="superscript"/>
        </w:rPr>
        <w:t>th</w:t>
      </w:r>
      <w:r w:rsidRPr="00AA40EF" w:rsidR="007F268E">
        <w:rPr>
          <w:rFonts w:ascii="Century Schoolbook" w:hAnsi="Century Schoolbook"/>
          <w:sz w:val="28"/>
          <w:szCs w:val="28"/>
        </w:rPr>
        <w:t xml:space="preserve"> 868, 880.)  Thus, “the generic [attempted] murder charge allowed the prosecution to </w:t>
      </w:r>
      <w:r w:rsidRPr="00AA40EF" w:rsidR="007F268E">
        <w:rPr>
          <w:rFonts w:ascii="Century Schoolbook" w:hAnsi="Century Schoolbook"/>
          <w:sz w:val="28"/>
          <w:szCs w:val="28"/>
        </w:rPr>
        <w:t>proceed on any theory of liability, including natural and probable consequences</w:t>
      </w:r>
      <w:r w:rsidR="002F3754">
        <w:rPr>
          <w:rFonts w:ascii="Century Schoolbook" w:hAnsi="Century Schoolbook"/>
          <w:sz w:val="28"/>
          <w:szCs w:val="28"/>
        </w:rPr>
        <w:t xml:space="preserve"> </w:t>
      </w:r>
      <w:r w:rsidRPr="00AA40EF" w:rsidR="007F268E">
        <w:rPr>
          <w:rFonts w:ascii="Century Schoolbook" w:hAnsi="Century Schoolbook"/>
          <w:sz w:val="28"/>
          <w:szCs w:val="28"/>
        </w:rPr>
        <w:t>. . . .” (</w:t>
      </w:r>
      <w:r w:rsidRPr="00AA40EF" w:rsidR="007F268E">
        <w:rPr>
          <w:rFonts w:ascii="Century Schoolbook" w:hAnsi="Century Schoolbook"/>
          <w:i/>
          <w:sz w:val="28"/>
          <w:szCs w:val="28"/>
        </w:rPr>
        <w:t>Eynon</w:t>
      </w:r>
      <w:r w:rsidRPr="00AA40EF" w:rsidR="007F268E">
        <w:rPr>
          <w:rFonts w:ascii="Century Schoolbook" w:hAnsi="Century Schoolbook"/>
          <w:sz w:val="28"/>
          <w:szCs w:val="28"/>
        </w:rPr>
        <w:t xml:space="preserve">, </w:t>
      </w:r>
      <w:r w:rsidRPr="00AA40EF" w:rsidR="007F268E">
        <w:rPr>
          <w:rFonts w:ascii="Century Schoolbook" w:hAnsi="Century Schoolbook"/>
          <w:i/>
          <w:sz w:val="28"/>
          <w:szCs w:val="28"/>
        </w:rPr>
        <w:t>supra</w:t>
      </w:r>
      <w:r w:rsidRPr="00AA40EF" w:rsidR="007F268E">
        <w:rPr>
          <w:rFonts w:ascii="Century Schoolbook" w:hAnsi="Century Schoolbook"/>
          <w:sz w:val="28"/>
          <w:szCs w:val="28"/>
        </w:rPr>
        <w:t xml:space="preserve">, 68 Cal.App.5th at p. 978.)  </w:t>
      </w:r>
    </w:p>
    <w:p w:rsidR="00372D9C" w:rsidRPr="00AA40EF" w:rsidP="00400003">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As to the second prong, Ramos accepted a plea in lieu of going to trial </w:t>
      </w:r>
      <w:r w:rsidRPr="00AA40EF" w:rsidR="00DB67FA">
        <w:rPr>
          <w:rFonts w:ascii="Century Schoolbook" w:hAnsi="Century Schoolbook"/>
          <w:sz w:val="28"/>
          <w:szCs w:val="28"/>
        </w:rPr>
        <w:t>at which he could have been convicted of attempted murder under the natural and probable consequences doctrine</w:t>
      </w:r>
      <w:r w:rsidRPr="00AA40EF">
        <w:rPr>
          <w:rFonts w:ascii="Century Schoolbook" w:hAnsi="Century Schoolbook"/>
          <w:sz w:val="28"/>
          <w:szCs w:val="28"/>
        </w:rPr>
        <w:t>.  Thus, he satisfied this element of the prima facie case.</w:t>
      </w:r>
    </w:p>
    <w:p w:rsidR="005C0EE2" w:rsidRPr="00AA40EF" w:rsidP="002A4250">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The </w:t>
      </w:r>
      <w:r w:rsidRPr="00AA40EF" w:rsidR="00372D9C">
        <w:rPr>
          <w:rFonts w:ascii="Century Schoolbook" w:hAnsi="Century Schoolbook"/>
          <w:sz w:val="28"/>
          <w:szCs w:val="28"/>
        </w:rPr>
        <w:t xml:space="preserve">third </w:t>
      </w:r>
      <w:r w:rsidRPr="00AA40EF" w:rsidR="00DB67FA">
        <w:rPr>
          <w:rFonts w:ascii="Century Schoolbook" w:hAnsi="Century Schoolbook"/>
          <w:sz w:val="28"/>
          <w:szCs w:val="28"/>
        </w:rPr>
        <w:t xml:space="preserve">and final </w:t>
      </w:r>
      <w:r w:rsidRPr="00AA40EF" w:rsidR="00372D9C">
        <w:rPr>
          <w:rFonts w:ascii="Century Schoolbook" w:hAnsi="Century Schoolbook"/>
          <w:sz w:val="28"/>
          <w:szCs w:val="28"/>
        </w:rPr>
        <w:t>pron</w:t>
      </w:r>
      <w:r w:rsidRPr="00AA40EF" w:rsidR="00DB67FA">
        <w:rPr>
          <w:rFonts w:ascii="Century Schoolbook" w:hAnsi="Century Schoolbook"/>
          <w:sz w:val="28"/>
          <w:szCs w:val="28"/>
        </w:rPr>
        <w:t>g of the prima facie case</w:t>
      </w:r>
      <w:r w:rsidRPr="00AA40EF" w:rsidR="00372D9C">
        <w:rPr>
          <w:rFonts w:ascii="Century Schoolbook" w:hAnsi="Century Schoolbook"/>
          <w:sz w:val="28"/>
          <w:szCs w:val="28"/>
        </w:rPr>
        <w:t xml:space="preserve"> requires that </w:t>
      </w:r>
      <w:r w:rsidRPr="00AA40EF">
        <w:rPr>
          <w:rFonts w:ascii="Century Schoolbook" w:hAnsi="Century Schoolbook"/>
          <w:sz w:val="28"/>
          <w:szCs w:val="28"/>
        </w:rPr>
        <w:t xml:space="preserve">Ramos </w:t>
      </w:r>
      <w:r w:rsidRPr="00AA40EF" w:rsidR="00372D9C">
        <w:rPr>
          <w:rFonts w:ascii="Century Schoolbook" w:hAnsi="Century Schoolbook"/>
          <w:sz w:val="28"/>
          <w:szCs w:val="28"/>
        </w:rPr>
        <w:t xml:space="preserve">“could not presently be convicted of . . . attempted murder because of changes to </w:t>
      </w:r>
      <w:r w:rsidR="00C83A7B">
        <w:rPr>
          <w:rFonts w:ascii="Century Schoolbook" w:hAnsi="Century Schoolbook"/>
          <w:sz w:val="28"/>
          <w:szCs w:val="28"/>
        </w:rPr>
        <w:t>s</w:t>
      </w:r>
      <w:r w:rsidRPr="00AA40EF" w:rsidR="00372D9C">
        <w:rPr>
          <w:rFonts w:ascii="Century Schoolbook" w:hAnsi="Century Schoolbook"/>
          <w:sz w:val="28"/>
          <w:szCs w:val="28"/>
        </w:rPr>
        <w:t xml:space="preserve">ection 188 or 189 made effective January 1, 2019.”  </w:t>
      </w:r>
      <w:r w:rsidR="00C83A7B">
        <w:rPr>
          <w:rFonts w:ascii="Century Schoolbook" w:hAnsi="Century Schoolbook"/>
          <w:sz w:val="28"/>
          <w:szCs w:val="28"/>
        </w:rPr>
        <w:t xml:space="preserve">(§ 1172.6 (a)(3).)  </w:t>
      </w:r>
      <w:r w:rsidRPr="00AA40EF" w:rsidR="00372D9C">
        <w:rPr>
          <w:rFonts w:ascii="Century Schoolbook" w:hAnsi="Century Schoolbook"/>
          <w:sz w:val="28"/>
          <w:szCs w:val="28"/>
        </w:rPr>
        <w:t>Although attempted murder under the natural and probable consequences doctrine no longer exists</w:t>
      </w:r>
      <w:r w:rsidRPr="00AA40EF">
        <w:rPr>
          <w:rFonts w:ascii="Century Schoolbook" w:hAnsi="Century Schoolbook"/>
          <w:sz w:val="28"/>
          <w:szCs w:val="28"/>
        </w:rPr>
        <w:t xml:space="preserve"> due to recent changes in section</w:t>
      </w:r>
      <w:r w:rsidRPr="00AA40EF" w:rsidR="00BB034A">
        <w:rPr>
          <w:rFonts w:ascii="Century Schoolbook" w:hAnsi="Century Schoolbook"/>
          <w:sz w:val="28"/>
          <w:szCs w:val="28"/>
        </w:rPr>
        <w:t>s</w:t>
      </w:r>
      <w:r w:rsidRPr="00AA40EF">
        <w:rPr>
          <w:rFonts w:ascii="Century Schoolbook" w:hAnsi="Century Schoolbook"/>
          <w:sz w:val="28"/>
          <w:szCs w:val="28"/>
        </w:rPr>
        <w:t xml:space="preserve"> 188 and 189</w:t>
      </w:r>
      <w:r w:rsidRPr="00AA40EF" w:rsidR="00372D9C">
        <w:rPr>
          <w:rFonts w:ascii="Century Schoolbook" w:hAnsi="Century Schoolbook"/>
          <w:sz w:val="28"/>
          <w:szCs w:val="28"/>
        </w:rPr>
        <w:t xml:space="preserve">, </w:t>
      </w:r>
      <w:r w:rsidRPr="00AA40EF" w:rsidR="00400003">
        <w:rPr>
          <w:rFonts w:ascii="Century Schoolbook" w:hAnsi="Century Schoolbook"/>
          <w:sz w:val="28"/>
          <w:szCs w:val="28"/>
        </w:rPr>
        <w:t>“</w:t>
      </w:r>
      <w:r w:rsidRPr="00AA40EF" w:rsidR="00372D9C">
        <w:rPr>
          <w:rFonts w:ascii="Century Schoolbook" w:hAnsi="Century Schoolbook"/>
          <w:sz w:val="28"/>
          <w:szCs w:val="28"/>
        </w:rPr>
        <w:t>[d]</w:t>
      </w:r>
      <w:r w:rsidRPr="00AA40EF" w:rsidR="00400003">
        <w:rPr>
          <w:rFonts w:ascii="Century Schoolbook" w:hAnsi="Century Schoolbook"/>
          <w:sz w:val="28"/>
          <w:szCs w:val="28"/>
        </w:rPr>
        <w:t>irect aiding and abetting remains a valid theory of attempted murder</w:t>
      </w:r>
      <w:r w:rsidRPr="00AA40EF" w:rsidR="00060DE9">
        <w:rPr>
          <w:rFonts w:ascii="Century Schoolbook" w:hAnsi="Century Schoolbook"/>
          <w:sz w:val="28"/>
          <w:szCs w:val="28"/>
        </w:rPr>
        <w:t xml:space="preserve"> . . . .</w:t>
      </w:r>
      <w:r w:rsidRPr="00AA40EF" w:rsidR="00400003">
        <w:rPr>
          <w:rFonts w:ascii="Century Schoolbook" w:hAnsi="Century Schoolbook"/>
          <w:sz w:val="28"/>
          <w:szCs w:val="28"/>
        </w:rPr>
        <w:t>”  (</w:t>
      </w:r>
      <w:r w:rsidRPr="00AA40EF" w:rsidR="00400003">
        <w:rPr>
          <w:rFonts w:ascii="Century Schoolbook" w:hAnsi="Century Schoolbook"/>
          <w:i/>
          <w:sz w:val="28"/>
          <w:szCs w:val="28"/>
        </w:rPr>
        <w:t>People v. Coley</w:t>
      </w:r>
      <w:r w:rsidRPr="00AA40EF" w:rsidR="00400003">
        <w:rPr>
          <w:rFonts w:ascii="Century Schoolbook" w:hAnsi="Century Schoolbook"/>
          <w:sz w:val="28"/>
          <w:szCs w:val="28"/>
        </w:rPr>
        <w:t xml:space="preserve"> (2022) 77 Cal.App.5th 539, 548.) </w:t>
      </w:r>
      <w:r w:rsidRPr="00AA40EF" w:rsidR="00372D9C">
        <w:rPr>
          <w:rFonts w:ascii="Century Schoolbook" w:hAnsi="Century Schoolbook"/>
          <w:sz w:val="28"/>
          <w:szCs w:val="28"/>
        </w:rPr>
        <w:t xml:space="preserve"> </w:t>
      </w:r>
      <w:r w:rsidR="00F87DC9">
        <w:rPr>
          <w:rFonts w:ascii="Century Schoolbook" w:hAnsi="Century Schoolbook"/>
          <w:sz w:val="28"/>
          <w:szCs w:val="28"/>
        </w:rPr>
        <w:t>As we explain, b</w:t>
      </w:r>
      <w:r w:rsidRPr="00AA40EF" w:rsidR="00C27F55">
        <w:rPr>
          <w:rFonts w:ascii="Century Schoolbook" w:hAnsi="Century Schoolbook"/>
          <w:sz w:val="28"/>
          <w:szCs w:val="28"/>
        </w:rPr>
        <w:t xml:space="preserve">ecause </w:t>
      </w:r>
      <w:r w:rsidRPr="00AA40EF" w:rsidR="00A34C94">
        <w:rPr>
          <w:rFonts w:ascii="Century Schoolbook" w:hAnsi="Century Schoolbook"/>
          <w:sz w:val="28"/>
          <w:szCs w:val="28"/>
        </w:rPr>
        <w:t>Ramos admitted he “aided/abetted, with the specific intent to kill, the attempt to kill John Doe, a human being,</w:t>
      </w:r>
      <w:r w:rsidRPr="00AA40EF" w:rsidR="00C27F55">
        <w:rPr>
          <w:rFonts w:ascii="Century Schoolbook" w:hAnsi="Century Schoolbook"/>
          <w:sz w:val="28"/>
          <w:szCs w:val="28"/>
        </w:rPr>
        <w:t>”</w:t>
      </w:r>
      <w:r w:rsidRPr="00AA40EF" w:rsidR="00A34C94">
        <w:rPr>
          <w:rFonts w:ascii="Century Schoolbook" w:hAnsi="Century Schoolbook"/>
          <w:sz w:val="28"/>
          <w:szCs w:val="28"/>
        </w:rPr>
        <w:t xml:space="preserve"> </w:t>
      </w:r>
      <w:r w:rsidRPr="00AA40EF" w:rsidR="00C27F55">
        <w:rPr>
          <w:rFonts w:ascii="Century Schoolbook" w:hAnsi="Century Schoolbook"/>
          <w:sz w:val="28"/>
          <w:szCs w:val="28"/>
        </w:rPr>
        <w:t xml:space="preserve">Ramos </w:t>
      </w:r>
      <w:r w:rsidRPr="00AA40EF" w:rsidR="00A34C94">
        <w:rPr>
          <w:rFonts w:ascii="Century Schoolbook" w:hAnsi="Century Schoolbook"/>
          <w:sz w:val="28"/>
          <w:szCs w:val="28"/>
        </w:rPr>
        <w:t xml:space="preserve">is statutorily </w:t>
      </w:r>
      <w:r w:rsidRPr="00AA40EF">
        <w:rPr>
          <w:rFonts w:ascii="Century Schoolbook" w:hAnsi="Century Schoolbook"/>
          <w:sz w:val="28"/>
          <w:szCs w:val="28"/>
        </w:rPr>
        <w:t>in</w:t>
      </w:r>
      <w:r w:rsidRPr="00AA40EF" w:rsidR="00A34C94">
        <w:rPr>
          <w:rFonts w:ascii="Century Schoolbook" w:hAnsi="Century Schoolbook"/>
          <w:sz w:val="28"/>
          <w:szCs w:val="28"/>
        </w:rPr>
        <w:t xml:space="preserve">eligible for resentencing relief.  </w:t>
      </w:r>
    </w:p>
    <w:p w:rsidR="00625EBC" w:rsidRPr="00AA40EF" w:rsidP="00625EBC">
      <w:pPr>
        <w:spacing w:line="480" w:lineRule="atLeast"/>
        <w:ind w:firstLine="1440"/>
        <w:rPr>
          <w:rFonts w:ascii="Century Schoolbook" w:hAnsi="Century Schoolbook"/>
          <w:sz w:val="28"/>
          <w:szCs w:val="28"/>
        </w:rPr>
      </w:pPr>
      <w:r w:rsidRPr="00AA40EF">
        <w:rPr>
          <w:rFonts w:ascii="Century Schoolbook" w:hAnsi="Century Schoolbook"/>
          <w:sz w:val="28"/>
          <w:szCs w:val="28"/>
        </w:rPr>
        <w:t>“A person aids and abets the commission of a crime when he or she, (i) with knowledge of the unlawful purpose of the perpetrator, (ii) and with the intent or purpose of committing, facilitating or encouraging commission of the crime, (iii) by act or advice, aids, promotes, encourages or instigates the commission of the crime.”  (</w:t>
      </w:r>
      <w:r w:rsidRPr="00AA40EF">
        <w:rPr>
          <w:rFonts w:ascii="Century Schoolbook" w:hAnsi="Century Schoolbook"/>
          <w:i/>
          <w:sz w:val="28"/>
          <w:szCs w:val="28"/>
        </w:rPr>
        <w:t>People v. Cooper</w:t>
      </w:r>
      <w:r w:rsidRPr="00AA40EF">
        <w:rPr>
          <w:rFonts w:ascii="Century Schoolbook" w:hAnsi="Century Schoolbook"/>
          <w:sz w:val="28"/>
          <w:szCs w:val="28"/>
        </w:rPr>
        <w:t xml:space="preserve"> (1991) 53 Cal.3d 1158, 1164, citing </w:t>
      </w:r>
      <w:r w:rsidRPr="00AA40EF">
        <w:rPr>
          <w:rFonts w:ascii="Century Schoolbook" w:hAnsi="Century Schoolbook"/>
          <w:i/>
          <w:sz w:val="28"/>
          <w:szCs w:val="28"/>
        </w:rPr>
        <w:t>People v. Beeman</w:t>
      </w:r>
      <w:r w:rsidRPr="00AA40EF">
        <w:rPr>
          <w:rFonts w:ascii="Century Schoolbook" w:hAnsi="Century Schoolbook"/>
          <w:sz w:val="28"/>
          <w:szCs w:val="28"/>
        </w:rPr>
        <w:t xml:space="preserve"> (1984) 35 Cal.3d 547, 561.)  “</w:t>
      </w:r>
      <w:r w:rsidR="00683DAB">
        <w:rPr>
          <w:rFonts w:ascii="Century Schoolbook" w:hAnsi="Century Schoolbook"/>
          <w:sz w:val="28"/>
          <w:szCs w:val="28"/>
        </w:rPr>
        <w:t>‘</w:t>
      </w:r>
      <w:r w:rsidRPr="00AA40EF">
        <w:rPr>
          <w:rFonts w:ascii="Century Schoolbook" w:hAnsi="Century Schoolbook"/>
          <w:sz w:val="28"/>
          <w:szCs w:val="28"/>
        </w:rPr>
        <w:t xml:space="preserve">[U]nder direct aiding and abetting principles, an accomplice is guilty of an offense perpetrated by another [e.g., murder] if the accomplice aids the commission of that offense with </w:t>
      </w:r>
      <w:r w:rsidR="00683DAB">
        <w:rPr>
          <w:rFonts w:ascii="Century Schoolbook" w:hAnsi="Century Schoolbook"/>
          <w:sz w:val="28"/>
          <w:szCs w:val="28"/>
        </w:rPr>
        <w:t>“</w:t>
      </w:r>
      <w:r w:rsidRPr="00AA40EF">
        <w:rPr>
          <w:rFonts w:ascii="Century Schoolbook" w:hAnsi="Century Schoolbook"/>
          <w:sz w:val="28"/>
          <w:szCs w:val="28"/>
        </w:rPr>
        <w:t>knowledge of the direct perpetrator’s unlawful intent and [with] an intent to assist in achieving those unlawful ends.</w:t>
      </w:r>
      <w:r w:rsidR="00683DAB">
        <w:rPr>
          <w:rFonts w:ascii="Century Schoolbook" w:hAnsi="Century Schoolbook"/>
          <w:sz w:val="28"/>
          <w:szCs w:val="28"/>
        </w:rPr>
        <w:t>”</w:t>
      </w:r>
      <w:r w:rsidRPr="00AA40EF">
        <w:rPr>
          <w:rFonts w:ascii="Century Schoolbook" w:hAnsi="Century Schoolbook"/>
          <w:sz w:val="28"/>
          <w:szCs w:val="28"/>
        </w:rPr>
        <w:t>’”  (</w:t>
      </w:r>
      <w:r w:rsidRPr="00AA40EF">
        <w:rPr>
          <w:rFonts w:ascii="Century Schoolbook" w:hAnsi="Century Schoolbook"/>
          <w:i/>
          <w:sz w:val="28"/>
          <w:szCs w:val="28"/>
        </w:rPr>
        <w:t>People v. Curiel</w:t>
      </w:r>
      <w:r w:rsidRPr="00AA40EF">
        <w:rPr>
          <w:rFonts w:ascii="Century Schoolbook" w:hAnsi="Century Schoolbook"/>
          <w:sz w:val="28"/>
          <w:szCs w:val="28"/>
        </w:rPr>
        <w:t xml:space="preserve"> (2023) 15 Cal.5th 433, 463, internal citation omitted</w:t>
      </w:r>
      <w:r w:rsidR="004728D4">
        <w:rPr>
          <w:rFonts w:ascii="Century Schoolbook" w:hAnsi="Century Schoolbook"/>
          <w:sz w:val="28"/>
          <w:szCs w:val="28"/>
        </w:rPr>
        <w:t xml:space="preserve"> (</w:t>
      </w:r>
      <w:r w:rsidRPr="00787847" w:rsidR="004728D4">
        <w:rPr>
          <w:rFonts w:ascii="Century Schoolbook" w:hAnsi="Century Schoolbook"/>
          <w:i/>
          <w:iCs/>
          <w:sz w:val="28"/>
          <w:szCs w:val="28"/>
        </w:rPr>
        <w:t>Curiel</w:t>
      </w:r>
      <w:r w:rsidR="004728D4">
        <w:rPr>
          <w:rFonts w:ascii="Century Schoolbook" w:hAnsi="Century Schoolbook"/>
          <w:sz w:val="28"/>
          <w:szCs w:val="28"/>
        </w:rPr>
        <w:t>)</w:t>
      </w:r>
      <w:r w:rsidRPr="00AA40EF">
        <w:rPr>
          <w:rFonts w:ascii="Century Schoolbook" w:hAnsi="Century Schoolbook"/>
          <w:sz w:val="28"/>
          <w:szCs w:val="28"/>
        </w:rPr>
        <w:t xml:space="preserve">.)  </w:t>
      </w:r>
    </w:p>
    <w:p w:rsidR="00625EBC" w:rsidRPr="00AA40EF" w:rsidP="00625EBC">
      <w:pPr>
        <w:spacing w:line="480" w:lineRule="atLeast"/>
        <w:ind w:firstLine="1440"/>
        <w:rPr>
          <w:rFonts w:ascii="Century Schoolbook" w:hAnsi="Century Schoolbook"/>
          <w:sz w:val="28"/>
          <w:szCs w:val="28"/>
        </w:rPr>
      </w:pPr>
      <w:r w:rsidRPr="00AA40EF">
        <w:rPr>
          <w:rFonts w:ascii="Century Schoolbook" w:hAnsi="Century Schoolbook"/>
          <w:sz w:val="28"/>
          <w:szCs w:val="28"/>
        </w:rPr>
        <w:t xml:space="preserve">“[T]he phrase ‘aid and abet’ represents a legal theory.  Each term therein performs a function necessary to justify the imposition of criminal liability.  ‘Aid’ requires some conduct by which one becomes ‘concerned in the commission of a crime’ ( § 31), whether it be to aid (i.e., assist or supplement), promote, encourage, or instigate.  (See </w:t>
      </w:r>
      <w:r w:rsidRPr="00AA40EF">
        <w:rPr>
          <w:rFonts w:ascii="Century Schoolbook" w:hAnsi="Century Schoolbook"/>
          <w:i/>
          <w:sz w:val="28"/>
          <w:szCs w:val="28"/>
        </w:rPr>
        <w:t>People v. Nguyen</w:t>
      </w:r>
      <w:r w:rsidRPr="00AA40EF">
        <w:rPr>
          <w:rFonts w:ascii="Century Schoolbook" w:hAnsi="Century Schoolbook"/>
          <w:sz w:val="28"/>
          <w:szCs w:val="28"/>
        </w:rPr>
        <w:t xml:space="preserve"> [(1993)] 21 Cal.App.4th [518,] 529.)  ‘Abet,’ on the other hand, requires that this conduct be accompanied by the requisite criminal state of mind, i.e., knowledge of the perpetrator’s unlawful purpose and with the intent that it be facilitated.  (</w:t>
      </w:r>
      <w:r w:rsidRPr="00AA40EF">
        <w:rPr>
          <w:rFonts w:ascii="Century Schoolbook" w:hAnsi="Century Schoolbook"/>
          <w:i/>
          <w:sz w:val="28"/>
          <w:szCs w:val="28"/>
        </w:rPr>
        <w:t>People v. Beeman</w:t>
      </w:r>
      <w:r w:rsidRPr="00AA40EF">
        <w:rPr>
          <w:rFonts w:ascii="Century Schoolbook" w:hAnsi="Century Schoolbook"/>
          <w:sz w:val="28"/>
          <w:szCs w:val="28"/>
        </w:rPr>
        <w:t xml:space="preserve">, </w:t>
      </w:r>
      <w:r w:rsidRPr="00AA40EF">
        <w:rPr>
          <w:rFonts w:ascii="Century Schoolbook" w:hAnsi="Century Schoolbook"/>
          <w:i/>
          <w:sz w:val="28"/>
          <w:szCs w:val="28"/>
        </w:rPr>
        <w:t>supra</w:t>
      </w:r>
      <w:r w:rsidRPr="00AA40EF">
        <w:rPr>
          <w:rFonts w:ascii="Century Schoolbook" w:hAnsi="Century Schoolbook"/>
          <w:sz w:val="28"/>
          <w:szCs w:val="28"/>
        </w:rPr>
        <w:t>, 35 Cal.3d at pp. 560-561.)”  (</w:t>
      </w:r>
      <w:r w:rsidRPr="00AA40EF">
        <w:rPr>
          <w:rFonts w:ascii="Century Schoolbook" w:hAnsi="Century Schoolbook"/>
          <w:i/>
          <w:sz w:val="28"/>
          <w:szCs w:val="28"/>
        </w:rPr>
        <w:t>People v. Campbell</w:t>
      </w:r>
      <w:r w:rsidRPr="00AA40EF">
        <w:rPr>
          <w:rFonts w:ascii="Century Schoolbook" w:hAnsi="Century Schoolbook"/>
          <w:sz w:val="28"/>
          <w:szCs w:val="28"/>
        </w:rPr>
        <w:t xml:space="preserve"> (1994) 25 Cal.App.4th 402, 413-414</w:t>
      </w:r>
      <w:r w:rsidRPr="00AA40EF" w:rsidR="009D0A9F">
        <w:rPr>
          <w:rFonts w:ascii="Century Schoolbook" w:hAnsi="Century Schoolbook"/>
          <w:sz w:val="28"/>
          <w:szCs w:val="28"/>
        </w:rPr>
        <w:t xml:space="preserve"> (</w:t>
      </w:r>
      <w:r w:rsidRPr="00AA40EF" w:rsidR="009D0A9F">
        <w:rPr>
          <w:rFonts w:ascii="Century Schoolbook" w:hAnsi="Century Schoolbook"/>
          <w:i/>
          <w:sz w:val="28"/>
          <w:szCs w:val="28"/>
        </w:rPr>
        <w:t>Campbell</w:t>
      </w:r>
      <w:r w:rsidRPr="00787847" w:rsidR="009D0A9F">
        <w:rPr>
          <w:rFonts w:ascii="Century Schoolbook" w:hAnsi="Century Schoolbook"/>
          <w:sz w:val="28"/>
          <w:szCs w:val="28"/>
        </w:rPr>
        <w:t>)</w:t>
      </w:r>
      <w:r w:rsidRPr="00787847">
        <w:rPr>
          <w:rFonts w:ascii="Century Schoolbook" w:hAnsi="Century Schoolbook"/>
          <w:sz w:val="28"/>
          <w:szCs w:val="28"/>
        </w:rPr>
        <w:t xml:space="preserve">.) </w:t>
      </w:r>
      <w:r w:rsidRPr="00AA40EF">
        <w:rPr>
          <w:rFonts w:ascii="Century Schoolbook" w:hAnsi="Century Schoolbook"/>
          <w:sz w:val="28"/>
          <w:szCs w:val="28"/>
        </w:rPr>
        <w:t xml:space="preserve"> </w:t>
      </w:r>
    </w:p>
    <w:p w:rsidR="008330CD" w:rsidRPr="00AA40EF" w:rsidP="00FD2249">
      <w:pPr>
        <w:spacing w:line="480" w:lineRule="atLeast"/>
        <w:ind w:firstLine="1440"/>
        <w:rPr>
          <w:rFonts w:ascii="Century Schoolbook" w:hAnsi="Century Schoolbook"/>
          <w:sz w:val="28"/>
          <w:szCs w:val="28"/>
        </w:rPr>
      </w:pPr>
      <w:r>
        <w:rPr>
          <w:rFonts w:ascii="Century Schoolbook" w:hAnsi="Century Schoolbook"/>
          <w:sz w:val="28"/>
          <w:szCs w:val="28"/>
        </w:rPr>
        <w:t>Here, t</w:t>
      </w:r>
      <w:r w:rsidRPr="00AA40EF" w:rsidR="001A13D1">
        <w:rPr>
          <w:rFonts w:ascii="Century Schoolbook" w:hAnsi="Century Schoolbook"/>
          <w:sz w:val="28"/>
          <w:szCs w:val="28"/>
        </w:rPr>
        <w:t xml:space="preserve">he factual admissions in </w:t>
      </w:r>
      <w:r>
        <w:rPr>
          <w:rFonts w:ascii="Century Schoolbook" w:hAnsi="Century Schoolbook"/>
          <w:sz w:val="28"/>
          <w:szCs w:val="28"/>
        </w:rPr>
        <w:t xml:space="preserve">Ramos’s </w:t>
      </w:r>
      <w:r w:rsidRPr="00AA40EF" w:rsidR="001A13D1">
        <w:rPr>
          <w:rFonts w:ascii="Century Schoolbook" w:hAnsi="Century Schoolbook"/>
          <w:sz w:val="28"/>
          <w:szCs w:val="28"/>
        </w:rPr>
        <w:t xml:space="preserve">guilty plea </w:t>
      </w:r>
      <w:r>
        <w:rPr>
          <w:rFonts w:ascii="Century Schoolbook" w:hAnsi="Century Schoolbook"/>
          <w:sz w:val="28"/>
          <w:szCs w:val="28"/>
        </w:rPr>
        <w:t>embody</w:t>
      </w:r>
      <w:r w:rsidRPr="00AA40EF">
        <w:rPr>
          <w:rFonts w:ascii="Century Schoolbook" w:hAnsi="Century Schoolbook"/>
          <w:sz w:val="28"/>
          <w:szCs w:val="28"/>
        </w:rPr>
        <w:t xml:space="preserve"> </w:t>
      </w:r>
      <w:r w:rsidRPr="00AA40EF" w:rsidR="001A13D1">
        <w:rPr>
          <w:rFonts w:ascii="Century Schoolbook" w:hAnsi="Century Schoolbook"/>
          <w:sz w:val="28"/>
          <w:szCs w:val="28"/>
        </w:rPr>
        <w:t xml:space="preserve">all the elements of direct aiding and abetting liability for attempted murder.  </w:t>
      </w:r>
      <w:r>
        <w:rPr>
          <w:rFonts w:ascii="Century Schoolbook" w:hAnsi="Century Schoolbook"/>
          <w:sz w:val="28"/>
          <w:szCs w:val="28"/>
        </w:rPr>
        <w:t>First, he admitted he had the specific intent to kill.  Second, h</w:t>
      </w:r>
      <w:r w:rsidRPr="00AA40EF" w:rsidR="00625EBC">
        <w:rPr>
          <w:rFonts w:ascii="Century Schoolbook" w:hAnsi="Century Schoolbook"/>
          <w:sz w:val="28"/>
          <w:szCs w:val="28"/>
        </w:rPr>
        <w:t xml:space="preserve">is </w:t>
      </w:r>
      <w:r w:rsidRPr="00AA40EF" w:rsidR="001A13D1">
        <w:rPr>
          <w:rFonts w:ascii="Century Schoolbook" w:hAnsi="Century Schoolbook"/>
          <w:sz w:val="28"/>
          <w:szCs w:val="28"/>
        </w:rPr>
        <w:t xml:space="preserve">admission he </w:t>
      </w:r>
      <w:r w:rsidRPr="00AA40EF" w:rsidR="009D0A9F">
        <w:rPr>
          <w:rFonts w:ascii="Century Schoolbook" w:hAnsi="Century Schoolbook"/>
          <w:sz w:val="28"/>
          <w:szCs w:val="28"/>
        </w:rPr>
        <w:t>provided “aid[ ]” establishe</w:t>
      </w:r>
      <w:r w:rsidR="00970291">
        <w:rPr>
          <w:rFonts w:ascii="Century Schoolbook" w:hAnsi="Century Schoolbook"/>
          <w:sz w:val="28"/>
          <w:szCs w:val="28"/>
        </w:rPr>
        <w:t>s</w:t>
      </w:r>
      <w:r w:rsidRPr="00AA40EF" w:rsidR="009D0A9F">
        <w:rPr>
          <w:rFonts w:ascii="Century Schoolbook" w:hAnsi="Century Schoolbook"/>
          <w:sz w:val="28"/>
          <w:szCs w:val="28"/>
        </w:rPr>
        <w:t xml:space="preserve"> he “assist[ed]” in achieving the attempt</w:t>
      </w:r>
      <w:r>
        <w:rPr>
          <w:rFonts w:ascii="Century Schoolbook" w:hAnsi="Century Schoolbook"/>
          <w:sz w:val="28"/>
          <w:szCs w:val="28"/>
        </w:rPr>
        <w:t xml:space="preserve"> to kill.  Third, </w:t>
      </w:r>
      <w:r w:rsidRPr="00AA40EF" w:rsidR="009D0A9F">
        <w:rPr>
          <w:rFonts w:ascii="Century Schoolbook" w:hAnsi="Century Schoolbook"/>
          <w:sz w:val="28"/>
          <w:szCs w:val="28"/>
        </w:rPr>
        <w:t>his admission he “</w:t>
      </w:r>
      <w:r w:rsidR="00B54F2A">
        <w:rPr>
          <w:rFonts w:ascii="Century Schoolbook" w:hAnsi="Century Schoolbook"/>
          <w:sz w:val="28"/>
          <w:szCs w:val="28"/>
        </w:rPr>
        <w:t>[]</w:t>
      </w:r>
      <w:r w:rsidRPr="00AA40EF" w:rsidR="009D0A9F">
        <w:rPr>
          <w:rFonts w:ascii="Century Schoolbook" w:hAnsi="Century Schoolbook"/>
          <w:sz w:val="28"/>
          <w:szCs w:val="28"/>
        </w:rPr>
        <w:t xml:space="preserve">abetted” the </w:t>
      </w:r>
      <w:r>
        <w:rPr>
          <w:rFonts w:ascii="Century Schoolbook" w:hAnsi="Century Schoolbook"/>
          <w:sz w:val="28"/>
          <w:szCs w:val="28"/>
        </w:rPr>
        <w:t>attempt to kill</w:t>
      </w:r>
      <w:r w:rsidRPr="00AA40EF">
        <w:rPr>
          <w:rFonts w:ascii="Century Schoolbook" w:hAnsi="Century Schoolbook"/>
          <w:sz w:val="28"/>
          <w:szCs w:val="28"/>
        </w:rPr>
        <w:t xml:space="preserve"> </w:t>
      </w:r>
      <w:r w:rsidRPr="00AA40EF" w:rsidR="009D0A9F">
        <w:rPr>
          <w:rFonts w:ascii="Century Schoolbook" w:hAnsi="Century Schoolbook"/>
          <w:sz w:val="28"/>
          <w:szCs w:val="28"/>
        </w:rPr>
        <w:t>establishe</w:t>
      </w:r>
      <w:r w:rsidR="00970291">
        <w:rPr>
          <w:rFonts w:ascii="Century Schoolbook" w:hAnsi="Century Schoolbook"/>
          <w:sz w:val="28"/>
          <w:szCs w:val="28"/>
        </w:rPr>
        <w:t>s</w:t>
      </w:r>
      <w:r w:rsidRPr="00AA40EF" w:rsidR="009D0A9F">
        <w:rPr>
          <w:rFonts w:ascii="Century Schoolbook" w:hAnsi="Century Schoolbook"/>
          <w:sz w:val="28"/>
          <w:szCs w:val="28"/>
        </w:rPr>
        <w:t xml:space="preserve"> he acted with “knowledge of the perpetrator’s unlawful purpose </w:t>
      </w:r>
      <w:r>
        <w:rPr>
          <w:rFonts w:ascii="Century Schoolbook" w:hAnsi="Century Schoolbook"/>
          <w:sz w:val="28"/>
          <w:szCs w:val="28"/>
        </w:rPr>
        <w:t>[vis-a-vi</w:t>
      </w:r>
      <w:r w:rsidR="004728D4">
        <w:rPr>
          <w:rFonts w:ascii="Century Schoolbook" w:hAnsi="Century Schoolbook"/>
          <w:sz w:val="28"/>
          <w:szCs w:val="28"/>
        </w:rPr>
        <w:t>s</w:t>
      </w:r>
      <w:r>
        <w:rPr>
          <w:rFonts w:ascii="Century Schoolbook" w:hAnsi="Century Schoolbook"/>
          <w:sz w:val="28"/>
          <w:szCs w:val="28"/>
        </w:rPr>
        <w:t xml:space="preserve"> the attempted killing] </w:t>
      </w:r>
      <w:r w:rsidRPr="00AA40EF" w:rsidR="009D0A9F">
        <w:rPr>
          <w:rFonts w:ascii="Century Schoolbook" w:hAnsi="Century Schoolbook"/>
          <w:sz w:val="28"/>
          <w:szCs w:val="28"/>
        </w:rPr>
        <w:t>and with the intent that it be facilitated.”  (</w:t>
      </w:r>
      <w:r w:rsidRPr="00AA40EF" w:rsidR="009D0A9F">
        <w:rPr>
          <w:rFonts w:ascii="Century Schoolbook" w:hAnsi="Century Schoolbook"/>
          <w:i/>
          <w:sz w:val="28"/>
          <w:szCs w:val="28"/>
        </w:rPr>
        <w:t>Campbell</w:t>
      </w:r>
      <w:r w:rsidRPr="00AA40EF" w:rsidR="009D0A9F">
        <w:rPr>
          <w:rFonts w:ascii="Century Schoolbook" w:hAnsi="Century Schoolbook"/>
          <w:sz w:val="28"/>
          <w:szCs w:val="28"/>
        </w:rPr>
        <w:t xml:space="preserve">, </w:t>
      </w:r>
      <w:r w:rsidRPr="00AA40EF" w:rsidR="009D0A9F">
        <w:rPr>
          <w:rFonts w:ascii="Century Schoolbook" w:hAnsi="Century Schoolbook"/>
          <w:i/>
          <w:sz w:val="28"/>
          <w:szCs w:val="28"/>
        </w:rPr>
        <w:t>supra</w:t>
      </w:r>
      <w:r w:rsidRPr="00AA40EF" w:rsidR="009D0A9F">
        <w:rPr>
          <w:rFonts w:ascii="Century Schoolbook" w:hAnsi="Century Schoolbook"/>
          <w:sz w:val="28"/>
          <w:szCs w:val="28"/>
        </w:rPr>
        <w:t xml:space="preserve">, 25 Cal.App.4th at pp. 413-414.)  </w:t>
      </w:r>
      <w:r>
        <w:rPr>
          <w:rFonts w:ascii="Century Schoolbook" w:hAnsi="Century Schoolbook"/>
          <w:sz w:val="28"/>
          <w:szCs w:val="28"/>
        </w:rPr>
        <w:t xml:space="preserve">Combined, these admissions </w:t>
      </w:r>
      <w:r w:rsidR="00970291">
        <w:rPr>
          <w:rFonts w:ascii="Century Schoolbook" w:hAnsi="Century Schoolbook"/>
          <w:sz w:val="28"/>
          <w:szCs w:val="28"/>
        </w:rPr>
        <w:t>show</w:t>
      </w:r>
      <w:r>
        <w:rPr>
          <w:rFonts w:ascii="Century Schoolbook" w:hAnsi="Century Schoolbook"/>
          <w:sz w:val="28"/>
          <w:szCs w:val="28"/>
        </w:rPr>
        <w:t xml:space="preserve"> as a matter of law Ramos committed the necessary actus reus and </w:t>
      </w:r>
      <w:r w:rsidRPr="00AA40EF" w:rsidR="009D0A9F">
        <w:rPr>
          <w:rFonts w:ascii="Century Schoolbook" w:hAnsi="Century Schoolbook"/>
          <w:sz w:val="28"/>
          <w:szCs w:val="28"/>
        </w:rPr>
        <w:t xml:space="preserve">had the requisite mental state for aiding and abetting </w:t>
      </w:r>
      <w:r w:rsidR="0069525E">
        <w:rPr>
          <w:rFonts w:ascii="Century Schoolbook" w:hAnsi="Century Schoolbook"/>
          <w:sz w:val="28"/>
          <w:szCs w:val="28"/>
        </w:rPr>
        <w:t xml:space="preserve">liability </w:t>
      </w:r>
      <w:r w:rsidRPr="00AA40EF" w:rsidR="009D0A9F">
        <w:rPr>
          <w:rFonts w:ascii="Century Schoolbook" w:hAnsi="Century Schoolbook"/>
          <w:sz w:val="28"/>
          <w:szCs w:val="28"/>
        </w:rPr>
        <w:t xml:space="preserve">because he had </w:t>
      </w:r>
      <w:r w:rsidRPr="00AA40EF" w:rsidR="00625EBC">
        <w:rPr>
          <w:rFonts w:ascii="Century Schoolbook" w:hAnsi="Century Schoolbook"/>
          <w:sz w:val="28"/>
          <w:szCs w:val="28"/>
        </w:rPr>
        <w:t>“</w:t>
      </w:r>
      <w:r w:rsidR="00D32E48">
        <w:rPr>
          <w:rFonts w:ascii="Century Schoolbook" w:hAnsi="Century Schoolbook"/>
          <w:sz w:val="28"/>
          <w:szCs w:val="28"/>
        </w:rPr>
        <w:t>‘</w:t>
      </w:r>
      <w:r w:rsidRPr="00AA40EF" w:rsidR="00625EBC">
        <w:rPr>
          <w:rFonts w:ascii="Century Schoolbook" w:hAnsi="Century Schoolbook"/>
          <w:sz w:val="28"/>
          <w:szCs w:val="28"/>
        </w:rPr>
        <w:t>knowledge of the direct perpetrator’s unlawful intent</w:t>
      </w:r>
      <w:r w:rsidR="00D32E48">
        <w:rPr>
          <w:rFonts w:ascii="Century Schoolbook" w:hAnsi="Century Schoolbook"/>
          <w:sz w:val="28"/>
          <w:szCs w:val="28"/>
        </w:rPr>
        <w:t>’</w:t>
      </w:r>
      <w:r w:rsidRPr="00AA40EF" w:rsidR="00625EBC">
        <w:rPr>
          <w:rFonts w:ascii="Century Schoolbook" w:hAnsi="Century Schoolbook"/>
          <w:sz w:val="28"/>
          <w:szCs w:val="28"/>
        </w:rPr>
        <w:t xml:space="preserve">” and his aiding was committed </w:t>
      </w:r>
      <w:r w:rsidRPr="00AA40EF" w:rsidR="00FD2249">
        <w:rPr>
          <w:rFonts w:ascii="Century Schoolbook" w:hAnsi="Century Schoolbook"/>
          <w:sz w:val="28"/>
          <w:szCs w:val="28"/>
        </w:rPr>
        <w:t xml:space="preserve">with “an </w:t>
      </w:r>
      <w:r w:rsidRPr="00AA40EF" w:rsidR="00625EBC">
        <w:rPr>
          <w:rFonts w:ascii="Century Schoolbook" w:hAnsi="Century Schoolbook"/>
          <w:sz w:val="28"/>
          <w:szCs w:val="28"/>
        </w:rPr>
        <w:t>intent to assist in achieving [the attempted murder].”  (</w:t>
      </w:r>
      <w:r w:rsidRPr="00AA40EF" w:rsidR="00625EBC">
        <w:rPr>
          <w:rFonts w:ascii="Century Schoolbook" w:hAnsi="Century Schoolbook"/>
          <w:i/>
          <w:sz w:val="28"/>
          <w:szCs w:val="28"/>
        </w:rPr>
        <w:t>Curiel</w:t>
      </w:r>
      <w:r w:rsidRPr="00AA40EF" w:rsidR="00625EBC">
        <w:rPr>
          <w:rFonts w:ascii="Century Schoolbook" w:hAnsi="Century Schoolbook"/>
          <w:sz w:val="28"/>
          <w:szCs w:val="28"/>
        </w:rPr>
        <w:t xml:space="preserve">, </w:t>
      </w:r>
      <w:r w:rsidRPr="00AA40EF" w:rsidR="00625EBC">
        <w:rPr>
          <w:rFonts w:ascii="Century Schoolbook" w:hAnsi="Century Schoolbook"/>
          <w:i/>
          <w:sz w:val="28"/>
          <w:szCs w:val="28"/>
        </w:rPr>
        <w:t>supra</w:t>
      </w:r>
      <w:r w:rsidRPr="00AA40EF" w:rsidR="00625EBC">
        <w:rPr>
          <w:rFonts w:ascii="Century Schoolbook" w:hAnsi="Century Schoolbook"/>
          <w:sz w:val="28"/>
          <w:szCs w:val="28"/>
        </w:rPr>
        <w:t xml:space="preserve">, 15 Cal.5th at p. 463.)  </w:t>
      </w:r>
      <w:r w:rsidRPr="00B54F2A" w:rsidR="00B54F2A">
        <w:rPr>
          <w:rFonts w:ascii="Century Schoolbook" w:hAnsi="Century Schoolbook"/>
          <w:sz w:val="28"/>
          <w:szCs w:val="28"/>
        </w:rPr>
        <w:t>Accordingly, Ramos was statutorily ineligible for resentencing relief o</w:t>
      </w:r>
      <w:r w:rsidR="00A8229C">
        <w:rPr>
          <w:rFonts w:ascii="Century Schoolbook" w:hAnsi="Century Schoolbook"/>
          <w:sz w:val="28"/>
          <w:szCs w:val="28"/>
        </w:rPr>
        <w:t>n</w:t>
      </w:r>
      <w:r w:rsidRPr="00B54F2A" w:rsidR="00B54F2A">
        <w:rPr>
          <w:rFonts w:ascii="Century Schoolbook" w:hAnsi="Century Schoolbook"/>
          <w:sz w:val="28"/>
          <w:szCs w:val="28"/>
        </w:rPr>
        <w:t xml:space="preserve"> his attempted murder conviction.</w:t>
      </w:r>
    </w:p>
    <w:p w:rsidR="000B192D" w:rsidRPr="00AA40EF" w:rsidP="00732C7A">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Relying on </w:t>
      </w:r>
      <w:r w:rsidRPr="00AA40EF">
        <w:rPr>
          <w:rFonts w:ascii="Century Schoolbook" w:hAnsi="Century Schoolbook"/>
          <w:i/>
          <w:sz w:val="28"/>
          <w:szCs w:val="28"/>
        </w:rPr>
        <w:t>People v. Rivera</w:t>
      </w:r>
      <w:r w:rsidRPr="00AA40EF">
        <w:rPr>
          <w:rFonts w:ascii="Century Schoolbook" w:hAnsi="Century Schoolbook"/>
          <w:sz w:val="28"/>
          <w:szCs w:val="28"/>
        </w:rPr>
        <w:t xml:space="preserve"> (2021) 62 Cal.App.5th 217 (</w:t>
      </w:r>
      <w:r w:rsidRPr="00AA40EF">
        <w:rPr>
          <w:rFonts w:ascii="Century Schoolbook" w:hAnsi="Century Schoolbook"/>
          <w:i/>
          <w:sz w:val="28"/>
          <w:szCs w:val="28"/>
        </w:rPr>
        <w:t>Rivera</w:t>
      </w:r>
      <w:r w:rsidRPr="00AA40EF">
        <w:rPr>
          <w:rFonts w:ascii="Century Schoolbook" w:hAnsi="Century Schoolbook"/>
          <w:sz w:val="28"/>
          <w:szCs w:val="28"/>
        </w:rPr>
        <w:t xml:space="preserve">), and </w:t>
      </w:r>
      <w:r w:rsidRPr="00AA40EF">
        <w:rPr>
          <w:rFonts w:ascii="Century Schoolbook" w:hAnsi="Century Schoolbook"/>
          <w:i/>
          <w:sz w:val="28"/>
          <w:szCs w:val="28"/>
        </w:rPr>
        <w:t>Eynon</w:t>
      </w:r>
      <w:r w:rsidRPr="00AA40EF" w:rsidR="00D33A56">
        <w:rPr>
          <w:rFonts w:ascii="Century Schoolbook" w:hAnsi="Century Schoolbook"/>
          <w:sz w:val="28"/>
          <w:szCs w:val="28"/>
        </w:rPr>
        <w:t xml:space="preserve">, </w:t>
      </w:r>
      <w:r w:rsidRPr="00AA40EF" w:rsidR="00D33A56">
        <w:rPr>
          <w:rFonts w:ascii="Century Schoolbook" w:hAnsi="Century Schoolbook"/>
          <w:i/>
          <w:iCs/>
          <w:sz w:val="28"/>
          <w:szCs w:val="28"/>
        </w:rPr>
        <w:t>supra</w:t>
      </w:r>
      <w:r w:rsidRPr="00AA40EF" w:rsidR="00D33A56">
        <w:rPr>
          <w:rFonts w:ascii="Century Schoolbook" w:hAnsi="Century Schoolbook"/>
          <w:sz w:val="28"/>
          <w:szCs w:val="28"/>
        </w:rPr>
        <w:t>,</w:t>
      </w:r>
      <w:r w:rsidRPr="00AA40EF">
        <w:rPr>
          <w:rFonts w:ascii="Century Schoolbook" w:hAnsi="Century Schoolbook"/>
          <w:sz w:val="28"/>
          <w:szCs w:val="28"/>
        </w:rPr>
        <w:t xml:space="preserve"> 68 Cal.App.5th 967, </w:t>
      </w:r>
      <w:r w:rsidRPr="00AA40EF" w:rsidR="005C0EE2">
        <w:rPr>
          <w:rFonts w:ascii="Century Schoolbook" w:hAnsi="Century Schoolbook"/>
          <w:sz w:val="28"/>
          <w:szCs w:val="28"/>
        </w:rPr>
        <w:t>Ramos</w:t>
      </w:r>
      <w:r w:rsidRPr="00AA40EF">
        <w:rPr>
          <w:rFonts w:ascii="Century Schoolbook" w:hAnsi="Century Schoolbook"/>
          <w:sz w:val="28"/>
          <w:szCs w:val="28"/>
        </w:rPr>
        <w:t xml:space="preserve"> contends he is not precluded from resentencing relief because the factual admissions in his guilty plea only mirror the language in the attempted murder statute.  </w:t>
      </w:r>
      <w:r w:rsidRPr="00AA40EF">
        <w:rPr>
          <w:rFonts w:ascii="Century Schoolbook" w:hAnsi="Century Schoolbook"/>
          <w:i/>
          <w:sz w:val="28"/>
          <w:szCs w:val="28"/>
        </w:rPr>
        <w:t>Rivera</w:t>
      </w:r>
      <w:r w:rsidRPr="00AA40EF">
        <w:rPr>
          <w:rFonts w:ascii="Century Schoolbook" w:hAnsi="Century Schoolbook"/>
          <w:sz w:val="28"/>
          <w:szCs w:val="28"/>
        </w:rPr>
        <w:t xml:space="preserve"> and </w:t>
      </w:r>
      <w:r w:rsidRPr="00AA40EF">
        <w:rPr>
          <w:rFonts w:ascii="Century Schoolbook" w:hAnsi="Century Schoolbook"/>
          <w:i/>
          <w:sz w:val="28"/>
          <w:szCs w:val="28"/>
        </w:rPr>
        <w:t>Eynon</w:t>
      </w:r>
      <w:r w:rsidRPr="00AA40EF">
        <w:rPr>
          <w:rFonts w:ascii="Century Schoolbook" w:hAnsi="Century Schoolbook"/>
          <w:sz w:val="28"/>
          <w:szCs w:val="28"/>
        </w:rPr>
        <w:t xml:space="preserve"> are inapposite.  In </w:t>
      </w:r>
      <w:r w:rsidRPr="00AA40EF">
        <w:rPr>
          <w:rFonts w:ascii="Century Schoolbook" w:hAnsi="Century Schoolbook"/>
          <w:i/>
          <w:sz w:val="28"/>
          <w:szCs w:val="28"/>
        </w:rPr>
        <w:t>Eynon</w:t>
      </w:r>
      <w:r w:rsidRPr="00AA40EF">
        <w:rPr>
          <w:rFonts w:ascii="Century Schoolbook" w:hAnsi="Century Schoolbook"/>
          <w:sz w:val="28"/>
          <w:szCs w:val="28"/>
        </w:rPr>
        <w:t xml:space="preserve">, the petitioner </w:t>
      </w:r>
      <w:r w:rsidRPr="00AA40EF" w:rsidR="00E726E0">
        <w:rPr>
          <w:rFonts w:ascii="Century Schoolbook" w:hAnsi="Century Schoolbook"/>
          <w:sz w:val="28"/>
          <w:szCs w:val="28"/>
        </w:rPr>
        <w:t>ple</w:t>
      </w:r>
      <w:r w:rsidRPr="00AA40EF" w:rsidR="00E015DF">
        <w:rPr>
          <w:rFonts w:ascii="Century Schoolbook" w:hAnsi="Century Schoolbook"/>
          <w:sz w:val="28"/>
          <w:szCs w:val="28"/>
        </w:rPr>
        <w:t>a</w:t>
      </w:r>
      <w:r w:rsidRPr="00AA40EF" w:rsidR="00E726E0">
        <w:rPr>
          <w:rFonts w:ascii="Century Schoolbook" w:hAnsi="Century Schoolbook"/>
          <w:sz w:val="28"/>
          <w:szCs w:val="28"/>
        </w:rPr>
        <w:t>d</w:t>
      </w:r>
      <w:r w:rsidRPr="00AA40EF" w:rsidR="00E015DF">
        <w:rPr>
          <w:rFonts w:ascii="Century Schoolbook" w:hAnsi="Century Schoolbook"/>
          <w:sz w:val="28"/>
          <w:szCs w:val="28"/>
        </w:rPr>
        <w:t>ed</w:t>
      </w:r>
      <w:r w:rsidRPr="00AA40EF" w:rsidR="00E726E0">
        <w:rPr>
          <w:rFonts w:ascii="Century Schoolbook" w:hAnsi="Century Schoolbook"/>
          <w:sz w:val="28"/>
          <w:szCs w:val="28"/>
        </w:rPr>
        <w:t xml:space="preserve"> guilty to first degree murder.  “As a factual basis for the guilty plea, Eynon admitted that he did ‘what Count 1 of th[e] Information says [he] did, when it says [he] did it.’</w:t>
      </w:r>
      <w:r w:rsidR="00D32E48">
        <w:rPr>
          <w:rFonts w:ascii="Century Schoolbook" w:hAnsi="Century Schoolbook"/>
          <w:sz w:val="28"/>
          <w:szCs w:val="28"/>
        </w:rPr>
        <w:t>”</w:t>
      </w:r>
      <w:r w:rsidR="00D02B75">
        <w:rPr>
          <w:rFonts w:ascii="Century Schoolbook" w:hAnsi="Century Schoolbook"/>
          <w:sz w:val="28"/>
          <w:szCs w:val="28"/>
        </w:rPr>
        <w:t xml:space="preserve"> (</w:t>
      </w:r>
      <w:r w:rsidRPr="000F3A35" w:rsidR="00D02B75">
        <w:rPr>
          <w:rFonts w:ascii="Century Schoolbook" w:hAnsi="Century Schoolbook"/>
          <w:i/>
          <w:iCs/>
          <w:sz w:val="28"/>
          <w:szCs w:val="28"/>
        </w:rPr>
        <w:t>Enyon, supra</w:t>
      </w:r>
      <w:r w:rsidR="00D02B75">
        <w:rPr>
          <w:rFonts w:ascii="Century Schoolbook" w:hAnsi="Century Schoolbook"/>
          <w:sz w:val="28"/>
          <w:szCs w:val="28"/>
        </w:rPr>
        <w:t>, 68 Cal.App.5th</w:t>
      </w:r>
      <w:r w:rsidRPr="00AA40EF" w:rsidR="00E726E0">
        <w:rPr>
          <w:rFonts w:ascii="Century Schoolbook" w:hAnsi="Century Schoolbook"/>
          <w:sz w:val="28"/>
          <w:szCs w:val="28"/>
        </w:rPr>
        <w:t xml:space="preserve"> </w:t>
      </w:r>
      <w:r w:rsidR="00D02B75">
        <w:rPr>
          <w:rFonts w:ascii="Century Schoolbook" w:hAnsi="Century Schoolbook"/>
          <w:sz w:val="28"/>
          <w:szCs w:val="28"/>
        </w:rPr>
        <w:t xml:space="preserve">at </w:t>
      </w:r>
      <w:r w:rsidR="00263F9F">
        <w:rPr>
          <w:rFonts w:ascii="Century Schoolbook" w:hAnsi="Century Schoolbook"/>
          <w:sz w:val="28"/>
          <w:szCs w:val="28"/>
        </w:rPr>
        <w:t>p.91.)</w:t>
      </w:r>
      <w:r w:rsidRPr="00AA40EF" w:rsidR="00E726E0">
        <w:rPr>
          <w:rFonts w:ascii="Century Schoolbook" w:hAnsi="Century Schoolbook"/>
          <w:sz w:val="28"/>
          <w:szCs w:val="28"/>
        </w:rPr>
        <w:t xml:space="preserve"> He further admitted ‘that this was a first-degree murder by virtue of being a felony murder[,] that being murder that occurred during the commission of a robbery.’”  (</w:t>
      </w:r>
      <w:r w:rsidR="00333612">
        <w:rPr>
          <w:rFonts w:ascii="Century Schoolbook" w:hAnsi="Century Schoolbook"/>
          <w:sz w:val="28"/>
          <w:szCs w:val="28"/>
        </w:rPr>
        <w:t xml:space="preserve"> </w:t>
      </w:r>
      <w:r w:rsidRPr="000F3A35" w:rsidR="00333612">
        <w:rPr>
          <w:rFonts w:ascii="Century Schoolbook" w:hAnsi="Century Schoolbook"/>
          <w:i/>
          <w:iCs/>
          <w:sz w:val="28"/>
          <w:szCs w:val="28"/>
        </w:rPr>
        <w:t>Id</w:t>
      </w:r>
      <w:r w:rsidR="00333612">
        <w:rPr>
          <w:rFonts w:ascii="Century Schoolbook" w:hAnsi="Century Schoolbook"/>
          <w:sz w:val="28"/>
          <w:szCs w:val="28"/>
        </w:rPr>
        <w:t>. at</w:t>
      </w:r>
      <w:r w:rsidRPr="00AA40EF" w:rsidR="00E726E0">
        <w:rPr>
          <w:rFonts w:ascii="Century Schoolbook" w:hAnsi="Century Schoolbook"/>
          <w:sz w:val="28"/>
          <w:szCs w:val="28"/>
        </w:rPr>
        <w:t xml:space="preserve">p. </w:t>
      </w:r>
      <w:r w:rsidR="00333612">
        <w:rPr>
          <w:rFonts w:ascii="Century Schoolbook" w:hAnsi="Century Schoolbook"/>
          <w:sz w:val="28"/>
          <w:szCs w:val="28"/>
        </w:rPr>
        <w:t>972</w:t>
      </w:r>
      <w:r w:rsidRPr="00AA40EF" w:rsidR="00E726E0">
        <w:rPr>
          <w:rFonts w:ascii="Century Schoolbook" w:hAnsi="Century Schoolbook"/>
          <w:sz w:val="28"/>
          <w:szCs w:val="28"/>
        </w:rPr>
        <w:t xml:space="preserve">.)  </w:t>
      </w:r>
      <w:r w:rsidRPr="00AA40EF" w:rsidR="00732C7A">
        <w:rPr>
          <w:rFonts w:ascii="Century Schoolbook" w:hAnsi="Century Schoolbook"/>
          <w:sz w:val="28"/>
          <w:szCs w:val="28"/>
        </w:rPr>
        <w:t>The appellate court concluded the petitioner was not categorically excluded from resentencing relief.  It reasoned: “</w:t>
      </w:r>
      <w:r w:rsidRPr="00AA40EF" w:rsidR="00E726E0">
        <w:rPr>
          <w:rFonts w:ascii="Century Schoolbook" w:hAnsi="Century Schoolbook"/>
          <w:sz w:val="28"/>
          <w:szCs w:val="28"/>
        </w:rPr>
        <w:t xml:space="preserve">Although he admitted that he was liable for a murder committed with malice, deliberation, and premeditation, he did not admit that he </w:t>
      </w:r>
      <w:r w:rsidRPr="00AA40EF" w:rsidR="00E726E0">
        <w:rPr>
          <w:rFonts w:ascii="Century Schoolbook" w:hAnsi="Century Schoolbook"/>
          <w:i/>
          <w:sz w:val="28"/>
          <w:szCs w:val="28"/>
        </w:rPr>
        <w:t>acted with</w:t>
      </w:r>
      <w:r w:rsidRPr="00AA40EF" w:rsidR="00E726E0">
        <w:rPr>
          <w:rFonts w:ascii="Century Schoolbook" w:hAnsi="Century Schoolbook"/>
          <w:sz w:val="28"/>
          <w:szCs w:val="28"/>
        </w:rPr>
        <w:t xml:space="preserve"> malice, deliberation, or premeditation. </w:t>
      </w:r>
      <w:r w:rsidRPr="00AA40EF" w:rsidR="00732C7A">
        <w:rPr>
          <w:rFonts w:ascii="Century Schoolbook" w:hAnsi="Century Schoolbook"/>
          <w:sz w:val="28"/>
          <w:szCs w:val="28"/>
        </w:rPr>
        <w:t xml:space="preserve"> </w:t>
      </w:r>
      <w:r w:rsidRPr="00AA40EF" w:rsidR="00E726E0">
        <w:rPr>
          <w:rFonts w:ascii="Century Schoolbook" w:hAnsi="Century Schoolbook"/>
          <w:sz w:val="28"/>
          <w:szCs w:val="28"/>
        </w:rPr>
        <w:t>And although he admitted that he was liable for a murder committed in the course of a robbery, he did not admit that he was the actual killer, acted with intent to kill, or was a major participant in the robbery and acted with reckless indifference to human life.</w:t>
      </w:r>
      <w:r w:rsidRPr="00AA40EF" w:rsidR="00732C7A">
        <w:rPr>
          <w:rFonts w:ascii="Century Schoolbook" w:hAnsi="Century Schoolbook"/>
          <w:sz w:val="28"/>
          <w:szCs w:val="28"/>
        </w:rPr>
        <w:t>”  (</w:t>
      </w:r>
      <w:r w:rsidRPr="00AA40EF" w:rsidR="00732C7A">
        <w:rPr>
          <w:rFonts w:ascii="Century Schoolbook" w:hAnsi="Century Schoolbook"/>
          <w:i/>
          <w:sz w:val="28"/>
          <w:szCs w:val="28"/>
        </w:rPr>
        <w:t>Id.</w:t>
      </w:r>
      <w:r w:rsidRPr="00AA40EF" w:rsidR="00732C7A">
        <w:rPr>
          <w:rFonts w:ascii="Century Schoolbook" w:hAnsi="Century Schoolbook"/>
          <w:sz w:val="28"/>
          <w:szCs w:val="28"/>
        </w:rPr>
        <w:t xml:space="preserve"> at p. </w:t>
      </w:r>
      <w:r w:rsidRPr="00AA40EF" w:rsidR="00E726E0">
        <w:rPr>
          <w:rFonts w:ascii="Century Schoolbook" w:hAnsi="Century Schoolbook"/>
          <w:sz w:val="28"/>
          <w:szCs w:val="28"/>
        </w:rPr>
        <w:t>979</w:t>
      </w:r>
      <w:r w:rsidRPr="00AA40EF" w:rsidR="00732C7A">
        <w:rPr>
          <w:rFonts w:ascii="Century Schoolbook" w:hAnsi="Century Schoolbook"/>
          <w:sz w:val="28"/>
          <w:szCs w:val="28"/>
        </w:rPr>
        <w:t xml:space="preserve">.)  Here, in contrast, Ramos admitted </w:t>
      </w:r>
      <w:r w:rsidR="00970291">
        <w:rPr>
          <w:rFonts w:ascii="Century Schoolbook" w:hAnsi="Century Schoolbook"/>
          <w:sz w:val="28"/>
          <w:szCs w:val="28"/>
        </w:rPr>
        <w:t>everything necessary for direct aider and abettor liability.</w:t>
      </w:r>
    </w:p>
    <w:p w:rsidR="00352C88" w:rsidRPr="00970291" w:rsidP="00970291">
      <w:pPr>
        <w:pStyle w:val="ListParagraph"/>
        <w:spacing w:line="480" w:lineRule="atLeast"/>
        <w:ind w:left="0" w:firstLine="1440"/>
        <w:rPr>
          <w:rFonts w:ascii="Century Schoolbook" w:hAnsi="Century Schoolbook"/>
          <w:sz w:val="28"/>
          <w:szCs w:val="28"/>
        </w:rPr>
      </w:pPr>
      <w:r w:rsidRPr="00AA40EF">
        <w:rPr>
          <w:rFonts w:ascii="Century Schoolbook" w:hAnsi="Century Schoolbook"/>
          <w:sz w:val="28"/>
          <w:szCs w:val="28"/>
        </w:rPr>
        <w:t xml:space="preserve">In </w:t>
      </w:r>
      <w:r w:rsidRPr="00AA40EF">
        <w:rPr>
          <w:rFonts w:ascii="Century Schoolbook" w:hAnsi="Century Schoolbook"/>
          <w:i/>
          <w:sz w:val="28"/>
          <w:szCs w:val="28"/>
        </w:rPr>
        <w:t>Rivera</w:t>
      </w:r>
      <w:r w:rsidRPr="00AA40EF">
        <w:rPr>
          <w:rFonts w:ascii="Century Schoolbook" w:hAnsi="Century Schoolbook"/>
          <w:sz w:val="28"/>
          <w:szCs w:val="28"/>
        </w:rPr>
        <w:t>, the petitioner had ple</w:t>
      </w:r>
      <w:r w:rsidRPr="00AA40EF" w:rsidR="00E015DF">
        <w:rPr>
          <w:rFonts w:ascii="Century Schoolbook" w:hAnsi="Century Schoolbook"/>
          <w:sz w:val="28"/>
          <w:szCs w:val="28"/>
        </w:rPr>
        <w:t>a</w:t>
      </w:r>
      <w:r w:rsidRPr="00AA40EF">
        <w:rPr>
          <w:rFonts w:ascii="Century Schoolbook" w:hAnsi="Century Schoolbook"/>
          <w:sz w:val="28"/>
          <w:szCs w:val="28"/>
        </w:rPr>
        <w:t>d</w:t>
      </w:r>
      <w:r w:rsidRPr="00AA40EF" w:rsidR="00E015DF">
        <w:rPr>
          <w:rFonts w:ascii="Century Schoolbook" w:hAnsi="Century Schoolbook"/>
          <w:sz w:val="28"/>
          <w:szCs w:val="28"/>
        </w:rPr>
        <w:t>ed</w:t>
      </w:r>
      <w:r w:rsidRPr="00AA40EF">
        <w:rPr>
          <w:rFonts w:ascii="Century Schoolbook" w:hAnsi="Century Schoolbook"/>
          <w:sz w:val="28"/>
          <w:szCs w:val="28"/>
        </w:rPr>
        <w:t xml:space="preserve"> “no contest” to </w:t>
      </w:r>
      <w:r w:rsidRPr="00AA40EF" w:rsidR="00221893">
        <w:rPr>
          <w:rFonts w:ascii="Century Schoolbook" w:hAnsi="Century Schoolbook"/>
          <w:sz w:val="28"/>
          <w:szCs w:val="28"/>
        </w:rPr>
        <w:t>“</w:t>
      </w:r>
      <w:r w:rsidRPr="00AA40EF">
        <w:rPr>
          <w:rFonts w:ascii="Century Schoolbook" w:hAnsi="Century Schoolbook"/>
          <w:sz w:val="28"/>
          <w:szCs w:val="28"/>
        </w:rPr>
        <w:t>willfully, unlawfully[,] and with malice aforethought murder</w:t>
      </w:r>
      <w:r w:rsidRPr="00AA40EF" w:rsidR="00221893">
        <w:rPr>
          <w:rFonts w:ascii="Century Schoolbook" w:hAnsi="Century Schoolbook"/>
          <w:sz w:val="28"/>
          <w:szCs w:val="28"/>
        </w:rPr>
        <w:t>[ing]” the victim.</w:t>
      </w:r>
      <w:r w:rsidRPr="00352D7C" w:rsidR="00352D7C">
        <w:rPr>
          <w:rFonts w:ascii="Century Schoolbook" w:hAnsi="Century Schoolbook"/>
          <w:i/>
          <w:sz w:val="28"/>
          <w:szCs w:val="28"/>
        </w:rPr>
        <w:t xml:space="preserve"> </w:t>
      </w:r>
      <w:r w:rsidR="00352D7C">
        <w:rPr>
          <w:rFonts w:ascii="Century Schoolbook" w:hAnsi="Century Schoolbook"/>
          <w:i/>
          <w:sz w:val="28"/>
          <w:szCs w:val="28"/>
        </w:rPr>
        <w:t>(</w:t>
      </w:r>
      <w:r w:rsidRPr="00AA40EF" w:rsidR="00352D7C">
        <w:rPr>
          <w:rFonts w:ascii="Century Schoolbook" w:hAnsi="Century Schoolbook"/>
          <w:i/>
          <w:sz w:val="28"/>
          <w:szCs w:val="28"/>
        </w:rPr>
        <w:t>Rivera</w:t>
      </w:r>
      <w:r w:rsidRPr="00AA40EF" w:rsidR="00352D7C">
        <w:rPr>
          <w:rFonts w:ascii="Century Schoolbook" w:hAnsi="Century Schoolbook"/>
          <w:sz w:val="28"/>
          <w:szCs w:val="28"/>
        </w:rPr>
        <w:t xml:space="preserve">, </w:t>
      </w:r>
      <w:r w:rsidRPr="00AA40EF" w:rsidR="00352D7C">
        <w:rPr>
          <w:rFonts w:ascii="Century Schoolbook" w:hAnsi="Century Schoolbook"/>
          <w:i/>
          <w:sz w:val="28"/>
          <w:szCs w:val="28"/>
        </w:rPr>
        <w:t>supra</w:t>
      </w:r>
      <w:r w:rsidRPr="00AA40EF" w:rsidR="00352D7C">
        <w:rPr>
          <w:rFonts w:ascii="Century Schoolbook" w:hAnsi="Century Schoolbook"/>
          <w:sz w:val="28"/>
          <w:szCs w:val="28"/>
        </w:rPr>
        <w:t xml:space="preserve">, 62 Cal.App.5th at p. 225.)  </w:t>
      </w:r>
      <w:r w:rsidRPr="00AA40EF" w:rsidR="00221893">
        <w:rPr>
          <w:rFonts w:ascii="Century Schoolbook" w:hAnsi="Century Schoolbook"/>
          <w:sz w:val="28"/>
          <w:szCs w:val="28"/>
        </w:rPr>
        <w:t xml:space="preserve">  H</w:t>
      </w:r>
      <w:r w:rsidRPr="00AA40EF">
        <w:rPr>
          <w:rFonts w:ascii="Century Schoolbook" w:hAnsi="Century Schoolbook"/>
          <w:sz w:val="28"/>
          <w:szCs w:val="28"/>
        </w:rPr>
        <w:t>is trial counsel “</w:t>
      </w:r>
      <w:r w:rsidRPr="00AA40EF" w:rsidR="00221893">
        <w:rPr>
          <w:rFonts w:ascii="Century Schoolbook" w:hAnsi="Century Schoolbook"/>
          <w:sz w:val="28"/>
          <w:szCs w:val="28"/>
        </w:rPr>
        <w:t>‘</w:t>
      </w:r>
      <w:r w:rsidRPr="00AA40EF">
        <w:rPr>
          <w:rFonts w:ascii="Century Schoolbook" w:hAnsi="Century Schoolbook"/>
          <w:sz w:val="28"/>
          <w:szCs w:val="28"/>
        </w:rPr>
        <w:t>stipulate[d] to a factual basis</w:t>
      </w:r>
      <w:r w:rsidRPr="00AA40EF" w:rsidR="00221893">
        <w:rPr>
          <w:rFonts w:ascii="Century Schoolbook" w:hAnsi="Century Schoolbook"/>
          <w:sz w:val="28"/>
          <w:szCs w:val="28"/>
        </w:rPr>
        <w:t>’</w:t>
      </w:r>
      <w:r w:rsidRPr="00AA40EF">
        <w:rPr>
          <w:rFonts w:ascii="Century Schoolbook" w:hAnsi="Century Schoolbook"/>
          <w:sz w:val="28"/>
          <w:szCs w:val="28"/>
        </w:rPr>
        <w:t xml:space="preserve"> for the plea</w:t>
      </w:r>
      <w:r w:rsidRPr="00AA40EF" w:rsidR="00221893">
        <w:rPr>
          <w:rFonts w:ascii="Century Schoolbook" w:hAnsi="Century Schoolbook"/>
          <w:sz w:val="28"/>
          <w:szCs w:val="28"/>
        </w:rPr>
        <w:t xml:space="preserve"> . . .</w:t>
      </w:r>
      <w:r w:rsidRPr="00AA40EF">
        <w:rPr>
          <w:rFonts w:ascii="Century Schoolbook" w:hAnsi="Century Schoolbook"/>
          <w:sz w:val="28"/>
          <w:szCs w:val="28"/>
        </w:rPr>
        <w:t xml:space="preserve"> based on the transcript of the grand jury proceedings.</w:t>
      </w:r>
      <w:r w:rsidRPr="00AA40EF" w:rsidR="00221893">
        <w:rPr>
          <w:rFonts w:ascii="Century Schoolbook" w:hAnsi="Century Schoolbook"/>
          <w:sz w:val="28"/>
          <w:szCs w:val="28"/>
        </w:rPr>
        <w:t>”  (</w:t>
      </w:r>
      <w:r w:rsidRPr="00AA40EF" w:rsidR="00221893">
        <w:rPr>
          <w:rFonts w:ascii="Century Schoolbook" w:hAnsi="Century Schoolbook"/>
          <w:i/>
          <w:sz w:val="28"/>
          <w:szCs w:val="28"/>
        </w:rPr>
        <w:t>Rivera</w:t>
      </w:r>
      <w:r w:rsidRPr="00AA40EF" w:rsidR="00221893">
        <w:rPr>
          <w:rFonts w:ascii="Century Schoolbook" w:hAnsi="Century Schoolbook"/>
          <w:sz w:val="28"/>
          <w:szCs w:val="28"/>
        </w:rPr>
        <w:t>, at pp. 225-226</w:t>
      </w:r>
      <w:r w:rsidR="006B3E11">
        <w:rPr>
          <w:rFonts w:ascii="Century Schoolbook" w:hAnsi="Century Schoolbook"/>
          <w:sz w:val="28"/>
          <w:szCs w:val="28"/>
        </w:rPr>
        <w:t>, fn. omitted</w:t>
      </w:r>
      <w:r w:rsidRPr="00AA40EF" w:rsidR="00221893">
        <w:rPr>
          <w:rFonts w:ascii="Century Schoolbook" w:hAnsi="Century Schoolbook"/>
          <w:sz w:val="28"/>
          <w:szCs w:val="28"/>
        </w:rPr>
        <w:t xml:space="preserve">.)  The appellate court concluded the petitioner was not ineligible for resentencing relief at the prima facie stage because he </w:t>
      </w:r>
      <w:r w:rsidRPr="00AA40EF" w:rsidR="000B192D">
        <w:rPr>
          <w:rFonts w:ascii="Century Schoolbook" w:hAnsi="Century Schoolbook"/>
          <w:sz w:val="28"/>
          <w:szCs w:val="28"/>
        </w:rPr>
        <w:t>“</w:t>
      </w:r>
      <w:r w:rsidRPr="00AA40EF" w:rsidR="00221893">
        <w:rPr>
          <w:rFonts w:ascii="Century Schoolbook" w:hAnsi="Century Schoolbook"/>
          <w:sz w:val="28"/>
          <w:szCs w:val="28"/>
        </w:rPr>
        <w:t xml:space="preserve">made no admissions related to the murder other than pleading no </w:t>
      </w:r>
      <w:r w:rsidRPr="00AA40EF" w:rsidR="000B192D">
        <w:rPr>
          <w:rFonts w:ascii="Century Schoolbook" w:hAnsi="Century Schoolbook"/>
          <w:sz w:val="28"/>
          <w:szCs w:val="28"/>
        </w:rPr>
        <w:t>contest to the count as charged,” (</w:t>
      </w:r>
      <w:r w:rsidR="006B3E11">
        <w:rPr>
          <w:rFonts w:ascii="Century Schoolbook" w:hAnsi="Century Schoolbook"/>
          <w:i/>
          <w:sz w:val="28"/>
          <w:szCs w:val="28"/>
        </w:rPr>
        <w:t>Id.</w:t>
      </w:r>
      <w:r w:rsidRPr="00AA40EF" w:rsidR="000B192D">
        <w:rPr>
          <w:rFonts w:ascii="Century Schoolbook" w:hAnsi="Century Schoolbook"/>
          <w:sz w:val="28"/>
          <w:szCs w:val="28"/>
        </w:rPr>
        <w:t xml:space="preserve"> at p. 234), and</w:t>
      </w:r>
      <w:r w:rsidRPr="00AA40EF" w:rsidR="00221893">
        <w:rPr>
          <w:rFonts w:ascii="Century Schoolbook" w:hAnsi="Century Schoolbook"/>
          <w:sz w:val="28"/>
          <w:szCs w:val="28"/>
        </w:rPr>
        <w:t xml:space="preserve"> “did not admit to the truth of any of the evidence presented to the grand jury</w:t>
      </w:r>
      <w:r w:rsidRPr="00AA40EF" w:rsidR="000B192D">
        <w:rPr>
          <w:rFonts w:ascii="Century Schoolbook" w:hAnsi="Century Schoolbook"/>
          <w:sz w:val="28"/>
          <w:szCs w:val="28"/>
        </w:rPr>
        <w:t xml:space="preserve">. </w:t>
      </w:r>
      <w:r w:rsidRPr="00AA40EF" w:rsidR="00221893">
        <w:rPr>
          <w:rFonts w:ascii="Century Schoolbook" w:hAnsi="Century Schoolbook"/>
          <w:sz w:val="28"/>
          <w:szCs w:val="28"/>
        </w:rPr>
        <w:t xml:space="preserve">” </w:t>
      </w:r>
      <w:r w:rsidRPr="00AA40EF" w:rsidR="000B192D">
        <w:rPr>
          <w:rFonts w:ascii="Century Schoolbook" w:hAnsi="Century Schoolbook"/>
          <w:sz w:val="28"/>
          <w:szCs w:val="28"/>
        </w:rPr>
        <w:t xml:space="preserve"> (</w:t>
      </w:r>
      <w:r w:rsidRPr="00AA40EF" w:rsidR="000B192D">
        <w:rPr>
          <w:rFonts w:ascii="Century Schoolbook" w:hAnsi="Century Schoolbook"/>
          <w:i/>
          <w:sz w:val="28"/>
          <w:szCs w:val="28"/>
        </w:rPr>
        <w:t>Id.</w:t>
      </w:r>
      <w:r w:rsidRPr="00AA40EF" w:rsidR="000B192D">
        <w:rPr>
          <w:rFonts w:ascii="Century Schoolbook" w:hAnsi="Century Schoolbook"/>
          <w:sz w:val="28"/>
          <w:szCs w:val="28"/>
        </w:rPr>
        <w:t xml:space="preserve"> at p. </w:t>
      </w:r>
      <w:r w:rsidRPr="00AA40EF" w:rsidR="00221893">
        <w:rPr>
          <w:rFonts w:ascii="Century Schoolbook" w:hAnsi="Century Schoolbook"/>
          <w:sz w:val="28"/>
          <w:szCs w:val="28"/>
        </w:rPr>
        <w:t>235</w:t>
      </w:r>
      <w:r w:rsidRPr="00AA40EF" w:rsidR="000B192D">
        <w:rPr>
          <w:rFonts w:ascii="Century Schoolbook" w:hAnsi="Century Schoolbook"/>
          <w:sz w:val="28"/>
          <w:szCs w:val="28"/>
        </w:rPr>
        <w:t xml:space="preserve">.)  The court, however, stated that “[i]n some cases, the record may reveal that a defendant admitted </w:t>
      </w:r>
      <w:r w:rsidRPr="00AA40EF" w:rsidR="000B192D">
        <w:rPr>
          <w:rFonts w:ascii="Century Schoolbook" w:hAnsi="Century Schoolbook"/>
          <w:i/>
          <w:sz w:val="28"/>
          <w:szCs w:val="28"/>
        </w:rPr>
        <w:t>more</w:t>
      </w:r>
      <w:r w:rsidRPr="00AA40EF" w:rsidR="000B192D">
        <w:rPr>
          <w:rFonts w:ascii="Century Schoolbook" w:hAnsi="Century Schoolbook"/>
          <w:sz w:val="28"/>
          <w:szCs w:val="28"/>
        </w:rPr>
        <w:t xml:space="preserve"> than the elements of the offense charged, and such additional admissions may preclude relief</w:t>
      </w:r>
      <w:r w:rsidR="009F18F9">
        <w:rPr>
          <w:rFonts w:ascii="Century Schoolbook" w:hAnsi="Century Schoolbook"/>
          <w:sz w:val="28"/>
          <w:szCs w:val="28"/>
        </w:rPr>
        <w:t xml:space="preserve"> . . . </w:t>
      </w:r>
      <w:r w:rsidRPr="00AA40EF" w:rsidR="000B192D">
        <w:rPr>
          <w:rFonts w:ascii="Century Schoolbook" w:hAnsi="Century Schoolbook"/>
          <w:sz w:val="28"/>
          <w:szCs w:val="28"/>
        </w:rPr>
        <w:t>.”  (</w:t>
      </w:r>
      <w:r w:rsidRPr="00AA40EF" w:rsidR="000B192D">
        <w:rPr>
          <w:rFonts w:ascii="Century Schoolbook" w:hAnsi="Century Schoolbook"/>
          <w:i/>
          <w:sz w:val="28"/>
          <w:szCs w:val="28"/>
        </w:rPr>
        <w:t>Id.</w:t>
      </w:r>
      <w:r w:rsidRPr="00AA40EF" w:rsidR="000B192D">
        <w:rPr>
          <w:rFonts w:ascii="Century Schoolbook" w:hAnsi="Century Schoolbook"/>
          <w:sz w:val="28"/>
          <w:szCs w:val="28"/>
        </w:rPr>
        <w:t xml:space="preserve"> at p.</w:t>
      </w:r>
      <w:r w:rsidRPr="00AA40EF" w:rsidR="00247972">
        <w:rPr>
          <w:rFonts w:ascii="Century Schoolbook" w:hAnsi="Century Schoolbook"/>
          <w:sz w:val="28"/>
          <w:szCs w:val="28"/>
        </w:rPr>
        <w:t xml:space="preserve"> 234.)  That is the case here.  </w:t>
      </w:r>
      <w:r w:rsidRPr="00AA40EF" w:rsidR="000B192D">
        <w:rPr>
          <w:rFonts w:ascii="Century Schoolbook" w:hAnsi="Century Schoolbook"/>
          <w:sz w:val="28"/>
          <w:szCs w:val="28"/>
        </w:rPr>
        <w:t xml:space="preserve">Ramos </w:t>
      </w:r>
      <w:r w:rsidRPr="00AA40EF" w:rsidR="00F15C5E">
        <w:rPr>
          <w:rFonts w:ascii="Century Schoolbook" w:hAnsi="Century Schoolbook"/>
          <w:sz w:val="28"/>
          <w:szCs w:val="28"/>
        </w:rPr>
        <w:t>pleaded</w:t>
      </w:r>
      <w:r w:rsidRPr="00AA40EF" w:rsidR="00732C7A">
        <w:rPr>
          <w:rFonts w:ascii="Century Schoolbook" w:hAnsi="Century Schoolbook"/>
          <w:sz w:val="28"/>
          <w:szCs w:val="28"/>
        </w:rPr>
        <w:t xml:space="preserve"> to a specific theory of liability for attempted </w:t>
      </w:r>
      <w:r w:rsidRPr="00AA40EF" w:rsidR="00F15C5E">
        <w:rPr>
          <w:rFonts w:ascii="Century Schoolbook" w:hAnsi="Century Schoolbook"/>
          <w:sz w:val="28"/>
          <w:szCs w:val="28"/>
        </w:rPr>
        <w:t>murder</w:t>
      </w:r>
      <w:r w:rsidR="00970291">
        <w:rPr>
          <w:rFonts w:ascii="Century Schoolbook" w:hAnsi="Century Schoolbook"/>
          <w:sz w:val="28"/>
          <w:szCs w:val="28"/>
        </w:rPr>
        <w:t>, and that theory of liability remains valid under the amended murder statutes.</w:t>
      </w:r>
      <w:r w:rsidRPr="00AA40EF" w:rsidR="00F15C5E">
        <w:rPr>
          <w:rFonts w:ascii="Century Schoolbook" w:hAnsi="Century Schoolbook"/>
          <w:sz w:val="28"/>
          <w:szCs w:val="28"/>
        </w:rPr>
        <w:t xml:space="preserve">  </w:t>
      </w:r>
    </w:p>
    <w:p w:rsidR="00970291" w:rsidP="007F2856">
      <w:pPr>
        <w:pStyle w:val="ListParagraph"/>
        <w:spacing w:line="480" w:lineRule="atLeast"/>
        <w:ind w:left="0" w:firstLine="1440"/>
        <w:rPr>
          <w:rFonts w:ascii="Century Schoolbook" w:hAnsi="Century Schoolbook"/>
          <w:sz w:val="28"/>
          <w:szCs w:val="28"/>
        </w:rPr>
      </w:pPr>
      <w:r>
        <w:rPr>
          <w:rFonts w:ascii="Century Schoolbook" w:hAnsi="Century Schoolbook"/>
          <w:sz w:val="28"/>
          <w:szCs w:val="28"/>
        </w:rPr>
        <w:t>In sum, t</w:t>
      </w:r>
      <w:r w:rsidRPr="00AA40EF" w:rsidR="007F2856">
        <w:rPr>
          <w:rFonts w:ascii="Century Schoolbook" w:hAnsi="Century Schoolbook"/>
          <w:sz w:val="28"/>
          <w:szCs w:val="28"/>
        </w:rPr>
        <w:t xml:space="preserve">he trial court properly denied Ramos’s petition for resentencing of his attempted murder conviction because the record of conviction conclusively refutes his claim that he could not be convicted of attempted murder under a valid theory of liability.  (See </w:t>
      </w:r>
      <w:r w:rsidRPr="00AA40EF" w:rsidR="007F2856">
        <w:rPr>
          <w:rFonts w:ascii="Century Schoolbook" w:hAnsi="Century Schoolbook"/>
          <w:i/>
          <w:sz w:val="28"/>
          <w:szCs w:val="28"/>
        </w:rPr>
        <w:t>Curiel</w:t>
      </w:r>
      <w:r w:rsidRPr="00AA40EF" w:rsidR="007F2856">
        <w:rPr>
          <w:rFonts w:ascii="Century Schoolbook" w:hAnsi="Century Schoolbook"/>
          <w:sz w:val="28"/>
          <w:szCs w:val="28"/>
        </w:rPr>
        <w:t xml:space="preserve">, </w:t>
      </w:r>
      <w:r w:rsidRPr="00AA40EF" w:rsidR="007F2856">
        <w:rPr>
          <w:rFonts w:ascii="Century Schoolbook" w:hAnsi="Century Schoolbook"/>
          <w:i/>
          <w:sz w:val="28"/>
          <w:szCs w:val="28"/>
        </w:rPr>
        <w:t>supr</w:t>
      </w:r>
      <w:r w:rsidRPr="00AA40EF" w:rsidR="007F2856">
        <w:rPr>
          <w:rFonts w:ascii="Century Schoolbook" w:hAnsi="Century Schoolbook"/>
          <w:sz w:val="28"/>
          <w:szCs w:val="28"/>
        </w:rPr>
        <w:t xml:space="preserve">a, 15 Cal.5th at p. 463 [“At the prima facie stage, a court must accept as true a petitioner’s allegation that he or she could not currently be convicted  of a homicide offense because of changes to </w:t>
      </w:r>
      <w:r w:rsidR="009F18F9">
        <w:rPr>
          <w:rFonts w:ascii="Century Schoolbook" w:hAnsi="Century Schoolbook"/>
          <w:sz w:val="28"/>
          <w:szCs w:val="28"/>
        </w:rPr>
        <w:t>s</w:t>
      </w:r>
      <w:r w:rsidRPr="00AA40EF" w:rsidR="007F2856">
        <w:rPr>
          <w:rFonts w:ascii="Century Schoolbook" w:hAnsi="Century Schoolbook"/>
          <w:sz w:val="28"/>
          <w:szCs w:val="28"/>
        </w:rPr>
        <w:t xml:space="preserve">ection 188 or 189 made effective January 1, 2019, unless the allegation is refuted by the record.”].)  </w:t>
      </w:r>
      <w:r w:rsidRPr="00AA40EF" w:rsidR="00C475C0">
        <w:rPr>
          <w:rFonts w:ascii="Century Schoolbook" w:hAnsi="Century Schoolbook"/>
          <w:sz w:val="28"/>
          <w:szCs w:val="28"/>
        </w:rPr>
        <w:t>Ramos’s</w:t>
      </w:r>
      <w:r w:rsidRPr="00AA40EF" w:rsidR="007337F7">
        <w:rPr>
          <w:rFonts w:ascii="Century Schoolbook" w:hAnsi="Century Schoolbook"/>
          <w:sz w:val="28"/>
          <w:szCs w:val="28"/>
        </w:rPr>
        <w:t xml:space="preserve"> admission he </w:t>
      </w:r>
      <w:r w:rsidRPr="00AA40EF" w:rsidR="00AA40EF">
        <w:rPr>
          <w:rFonts w:ascii="Century Schoolbook" w:hAnsi="Century Schoolbook"/>
          <w:sz w:val="28"/>
          <w:szCs w:val="28"/>
        </w:rPr>
        <w:t>“aided/abetted, with the specific intent to kill, the attempt to kill John Doe” conclusively establish</w:t>
      </w:r>
      <w:r>
        <w:rPr>
          <w:rFonts w:ascii="Century Schoolbook" w:hAnsi="Century Schoolbook"/>
          <w:sz w:val="28"/>
          <w:szCs w:val="28"/>
        </w:rPr>
        <w:t>es</w:t>
      </w:r>
      <w:r w:rsidRPr="00AA40EF" w:rsidR="00AA40EF">
        <w:rPr>
          <w:rFonts w:ascii="Century Schoolbook" w:hAnsi="Century Schoolbook"/>
          <w:sz w:val="28"/>
          <w:szCs w:val="28"/>
        </w:rPr>
        <w:t xml:space="preserve"> all of the elements for attempted murder under </w:t>
      </w:r>
      <w:r>
        <w:rPr>
          <w:rFonts w:ascii="Century Schoolbook" w:hAnsi="Century Schoolbook"/>
          <w:sz w:val="28"/>
          <w:szCs w:val="28"/>
        </w:rPr>
        <w:t xml:space="preserve">a </w:t>
      </w:r>
      <w:r w:rsidRPr="00AA40EF" w:rsidR="00AA40EF">
        <w:rPr>
          <w:rFonts w:ascii="Century Schoolbook" w:hAnsi="Century Schoolbook"/>
          <w:sz w:val="28"/>
          <w:szCs w:val="28"/>
        </w:rPr>
        <w:t xml:space="preserve">direct aiding and abetting theory of liability.  </w:t>
      </w:r>
      <w:r>
        <w:rPr>
          <w:rFonts w:ascii="Century Schoolbook" w:hAnsi="Century Schoolbook"/>
          <w:sz w:val="28"/>
          <w:szCs w:val="28"/>
        </w:rPr>
        <w:t>Thus, the trial court did not err in summarily denying his resentencing petition.</w:t>
      </w:r>
    </w:p>
    <w:p w:rsidR="003B6CDD" w:rsidP="00EB283B">
      <w:pPr>
        <w:pStyle w:val="ListParagraph"/>
        <w:spacing w:line="480" w:lineRule="atLeast"/>
        <w:ind w:left="0"/>
        <w:jc w:val="center"/>
        <w:rPr>
          <w:rFonts w:ascii="Century Schoolbook" w:hAnsi="Century Schoolbook"/>
          <w:b/>
          <w:smallCaps/>
          <w:sz w:val="28"/>
          <w:szCs w:val="28"/>
        </w:rPr>
      </w:pPr>
    </w:p>
    <w:p w:rsidR="003B6CDD" w:rsidP="00EB283B">
      <w:pPr>
        <w:pStyle w:val="ListParagraph"/>
        <w:spacing w:line="480" w:lineRule="atLeast"/>
        <w:ind w:left="0"/>
        <w:jc w:val="center"/>
        <w:rPr>
          <w:rFonts w:ascii="Century Schoolbook" w:hAnsi="Century Schoolbook"/>
          <w:b/>
          <w:smallCaps/>
          <w:sz w:val="28"/>
          <w:szCs w:val="28"/>
        </w:rPr>
      </w:pPr>
    </w:p>
    <w:p w:rsidR="00EB283B" w:rsidRPr="00AA40EF" w:rsidP="00EB283B">
      <w:pPr>
        <w:pStyle w:val="ListParagraph"/>
        <w:spacing w:line="480" w:lineRule="atLeast"/>
        <w:ind w:left="0"/>
        <w:jc w:val="center"/>
        <w:rPr>
          <w:rFonts w:ascii="Century Schoolbook" w:hAnsi="Century Schoolbook"/>
          <w:b/>
          <w:smallCaps/>
          <w:sz w:val="28"/>
          <w:szCs w:val="28"/>
        </w:rPr>
      </w:pPr>
      <w:r w:rsidRPr="00AA40EF">
        <w:rPr>
          <w:rFonts w:ascii="Century Schoolbook" w:hAnsi="Century Schoolbook"/>
          <w:b/>
          <w:smallCaps/>
          <w:sz w:val="28"/>
          <w:szCs w:val="28"/>
        </w:rPr>
        <w:t>D</w:t>
      </w:r>
      <w:r w:rsidRPr="00AA40EF" w:rsidR="005C5C79">
        <w:rPr>
          <w:rFonts w:ascii="Century Schoolbook" w:hAnsi="Century Schoolbook"/>
          <w:b/>
          <w:smallCaps/>
          <w:sz w:val="28"/>
          <w:szCs w:val="28"/>
        </w:rPr>
        <w:t>ISPOSITION</w:t>
      </w:r>
    </w:p>
    <w:p w:rsidR="00EB283B" w:rsidRPr="00AA40EF" w:rsidP="007811E6">
      <w:pPr>
        <w:tabs>
          <w:tab w:val="left" w:pos="1440"/>
          <w:tab w:val="left" w:pos="2880"/>
          <w:tab w:val="left" w:pos="4320"/>
          <w:tab w:val="left" w:pos="5760"/>
          <w:tab w:val="left" w:pos="7200"/>
          <w:tab w:val="left" w:pos="8640"/>
        </w:tabs>
        <w:spacing w:line="480" w:lineRule="atLeast"/>
        <w:ind w:firstLine="1440"/>
        <w:rPr>
          <w:rFonts w:ascii="Century Schoolbook" w:hAnsi="Century Schoolbook"/>
          <w:sz w:val="28"/>
          <w:szCs w:val="28"/>
        </w:rPr>
      </w:pPr>
      <w:r w:rsidRPr="00AA40EF">
        <w:rPr>
          <w:rFonts w:ascii="Century Schoolbook" w:hAnsi="Century Schoolbook"/>
          <w:sz w:val="28"/>
          <w:szCs w:val="28"/>
        </w:rPr>
        <w:t xml:space="preserve">The postjudgment order denying Ramos’s petition for resentencing is </w:t>
      </w:r>
      <w:r w:rsidRPr="00AA40EF" w:rsidR="00CB473A">
        <w:rPr>
          <w:rFonts w:ascii="Century Schoolbook" w:hAnsi="Century Schoolbook"/>
          <w:sz w:val="28"/>
          <w:szCs w:val="28"/>
        </w:rPr>
        <w:t>affirmed</w:t>
      </w:r>
      <w:r w:rsidRPr="00AA40EF">
        <w:rPr>
          <w:rFonts w:ascii="Century Schoolbook" w:hAnsi="Century Schoolbook"/>
          <w:sz w:val="28"/>
          <w:szCs w:val="28"/>
        </w:rPr>
        <w:t>.</w:t>
      </w:r>
    </w:p>
    <w:p w:rsidR="000D6FE2" w:rsidRPr="00AA40EF" w:rsidP="000D6FE2">
      <w:pPr>
        <w:keepNext/>
        <w:tabs>
          <w:tab w:val="left" w:pos="5040"/>
        </w:tabs>
        <w:rPr>
          <w:rFonts w:ascii="Century Schoolbook" w:hAnsi="Century Schoolbook"/>
          <w:sz w:val="28"/>
          <w:szCs w:val="28"/>
        </w:rPr>
      </w:pPr>
    </w:p>
    <w:p w:rsidR="000F3A35" w:rsidP="00A13AD4">
      <w:pPr>
        <w:keepNext/>
        <w:tabs>
          <w:tab w:val="left" w:pos="5040"/>
        </w:tabs>
        <w:rPr>
          <w:rFonts w:ascii="Century Schoolbook" w:hAnsi="Century Schoolbook"/>
          <w:sz w:val="28"/>
          <w:szCs w:val="28"/>
        </w:rPr>
      </w:pP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ab/>
        <w:t xml:space="preserve">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ab/>
      </w:r>
      <w:r w:rsidRPr="00AA40EF" w:rsidR="00A07FDB">
        <w:rPr>
          <w:rFonts w:ascii="Century Schoolbook" w:hAnsi="Century Schoolbook"/>
          <w:sz w:val="28"/>
          <w:szCs w:val="28"/>
        </w:rPr>
        <w:t>DELANEY</w:t>
      </w:r>
      <w:r w:rsidRPr="00AA40EF">
        <w:rPr>
          <w:rFonts w:ascii="Century Schoolbook" w:hAnsi="Century Schoolbook"/>
          <w:sz w:val="28"/>
          <w:szCs w:val="28"/>
        </w:rPr>
        <w:t>, J.</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WE CONCUR: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SANCHEZ</w:t>
      </w:r>
      <w:r w:rsidRPr="00AA40EF" w:rsidR="006704EB">
        <w:rPr>
          <w:rFonts w:ascii="Century Schoolbook" w:hAnsi="Century Schoolbook"/>
          <w:sz w:val="28"/>
          <w:szCs w:val="28"/>
        </w:rPr>
        <w:t xml:space="preserve">, ACTING </w:t>
      </w:r>
      <w:r w:rsidRPr="00AA40EF">
        <w:rPr>
          <w:rFonts w:ascii="Century Schoolbook" w:hAnsi="Century Schoolbook"/>
          <w:sz w:val="28"/>
          <w:szCs w:val="28"/>
        </w:rPr>
        <w:t>P.</w:t>
      </w:r>
      <w:r w:rsidR="00461833">
        <w:rPr>
          <w:rFonts w:ascii="Century Schoolbook" w:hAnsi="Century Schoolbook"/>
          <w:sz w:val="28"/>
          <w:szCs w:val="28"/>
        </w:rPr>
        <w:t xml:space="preserve"> </w:t>
      </w:r>
      <w:r w:rsidRPr="00AA40EF">
        <w:rPr>
          <w:rFonts w:ascii="Century Schoolbook" w:hAnsi="Century Schoolbook"/>
          <w:sz w:val="28"/>
          <w:szCs w:val="28"/>
        </w:rPr>
        <w:t xml:space="preserve">J.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 xml:space="preserve"> </w:t>
      </w:r>
    </w:p>
    <w:p w:rsidR="00A13AD4" w:rsidRPr="00AA40EF" w:rsidP="00A13AD4">
      <w:pPr>
        <w:keepNext/>
        <w:tabs>
          <w:tab w:val="left" w:pos="5040"/>
        </w:tabs>
        <w:rPr>
          <w:rFonts w:ascii="Century Schoolbook" w:hAnsi="Century Schoolbook"/>
          <w:sz w:val="28"/>
          <w:szCs w:val="28"/>
        </w:rPr>
      </w:pPr>
    </w:p>
    <w:p w:rsidR="00A13AD4" w:rsidRPr="00AA40EF" w:rsidP="00A13AD4">
      <w:pPr>
        <w:keepNext/>
        <w:tabs>
          <w:tab w:val="left" w:pos="5040"/>
        </w:tabs>
        <w:rPr>
          <w:rFonts w:ascii="Century Schoolbook" w:hAnsi="Century Schoolbook"/>
          <w:sz w:val="28"/>
          <w:szCs w:val="28"/>
        </w:rPr>
      </w:pPr>
      <w:r w:rsidRPr="00AA40EF">
        <w:rPr>
          <w:rFonts w:ascii="Century Schoolbook" w:hAnsi="Century Schoolbook"/>
          <w:sz w:val="28"/>
          <w:szCs w:val="28"/>
        </w:rPr>
        <w:t>GOODING, J.</w:t>
      </w:r>
    </w:p>
    <w:p w:rsidR="00AC5F75" w:rsidRPr="00AA40EF" w:rsidP="00A13AD4">
      <w:pPr>
        <w:keepNext/>
        <w:tabs>
          <w:tab w:val="left" w:pos="5040"/>
        </w:tabs>
        <w:rPr>
          <w:rFonts w:ascii="Century Schoolbook" w:hAnsi="Century Schoolbook"/>
          <w:sz w:val="28"/>
          <w:szCs w:val="28"/>
        </w:rPr>
      </w:pPr>
    </w:p>
    <w:p w:rsidR="00AC5F75" w:rsidRPr="00AA40EF" w:rsidP="00A13AD4">
      <w:pPr>
        <w:keepNext/>
        <w:tabs>
          <w:tab w:val="left" w:pos="5040"/>
        </w:tabs>
        <w:rPr>
          <w:rFonts w:ascii="Century Schoolbook" w:hAnsi="Century Schoolbook"/>
          <w:sz w:val="28"/>
          <w:szCs w:val="28"/>
        </w:rPr>
      </w:pPr>
    </w:p>
    <w:p w:rsidR="00D13958" w:rsidP="00A13AD4">
      <w:pPr>
        <w:keepNext/>
        <w:tabs>
          <w:tab w:val="left" w:pos="5040"/>
        </w:tabs>
        <w:rPr>
          <w:rFonts w:ascii="Century Schoolbook" w:hAnsi="Century Schoolbook"/>
          <w:sz w:val="28"/>
          <w:szCs w:val="28"/>
        </w:rPr>
        <w:sectPr w:rsidSect="0011457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3E5E47" w:rsidRPr="00FA4366" w:rsidP="003E5E47">
      <w:pPr>
        <w:rPr>
          <w:sz w:val="20"/>
        </w:rPr>
      </w:pPr>
      <w:r w:rsidRPr="00FA4366">
        <w:rPr>
          <w:sz w:val="20"/>
        </w:rPr>
        <w:t>Filed 7/2/24</w:t>
      </w:r>
    </w:p>
    <w:p w:rsidR="003E5E47" w:rsidRPr="00AA40EF" w:rsidP="003E5E47">
      <w:pPr>
        <w:rPr>
          <w:rFonts w:ascii="Century Schoolbook" w:hAnsi="Century Schoolbook"/>
          <w:sz w:val="28"/>
          <w:szCs w:val="28"/>
        </w:rPr>
      </w:pPr>
    </w:p>
    <w:p w:rsidR="003E5E47" w:rsidRPr="00AA40EF" w:rsidP="003E5E47">
      <w:pPr>
        <w:rPr>
          <w:rFonts w:ascii="Century Schoolbook" w:hAnsi="Century Schoolbook"/>
          <w:sz w:val="28"/>
          <w:szCs w:val="28"/>
        </w:rPr>
      </w:pPr>
    </w:p>
    <w:p w:rsidR="003E5E47" w:rsidRPr="001A55FD" w:rsidP="003E5E47">
      <w:pPr>
        <w:jc w:val="center"/>
        <w:rPr>
          <w:rFonts w:ascii="Century Schoolbook" w:hAnsi="Century Schoolbook"/>
          <w:szCs w:val="26"/>
        </w:rPr>
      </w:pPr>
      <w:r w:rsidRPr="001A55FD">
        <w:rPr>
          <w:rFonts w:ascii="Century Schoolbook" w:hAnsi="Century Schoolbook"/>
          <w:szCs w:val="26"/>
        </w:rPr>
        <w:t>IN THE COURT OF APPEAL OF THE STATE OF CALIFORNIA</w:t>
      </w:r>
    </w:p>
    <w:p w:rsidR="003E5E47" w:rsidRPr="001A55FD" w:rsidP="003E5E47">
      <w:pPr>
        <w:jc w:val="center"/>
        <w:rPr>
          <w:rFonts w:ascii="Century Schoolbook" w:hAnsi="Century Schoolbook"/>
          <w:szCs w:val="26"/>
        </w:rPr>
      </w:pPr>
    </w:p>
    <w:p w:rsidR="003E5E47" w:rsidRPr="001A55FD" w:rsidP="003E5E47">
      <w:pPr>
        <w:jc w:val="center"/>
        <w:rPr>
          <w:rFonts w:ascii="Century Schoolbook" w:hAnsi="Century Schoolbook"/>
          <w:szCs w:val="26"/>
        </w:rPr>
      </w:pPr>
      <w:r w:rsidRPr="001A55FD">
        <w:rPr>
          <w:rFonts w:ascii="Century Schoolbook" w:hAnsi="Century Schoolbook"/>
          <w:szCs w:val="26"/>
        </w:rPr>
        <w:t>FOURTH APPELLATE DISTRICT</w:t>
      </w:r>
    </w:p>
    <w:p w:rsidR="003E5E47" w:rsidRPr="001A55FD" w:rsidP="003E5E47">
      <w:pPr>
        <w:jc w:val="center"/>
        <w:rPr>
          <w:rFonts w:ascii="Century Schoolbook" w:hAnsi="Century Schoolbook"/>
          <w:szCs w:val="26"/>
        </w:rPr>
      </w:pPr>
    </w:p>
    <w:p w:rsidR="003E5E47" w:rsidRPr="001A55FD" w:rsidP="003E5E47">
      <w:pPr>
        <w:jc w:val="center"/>
        <w:rPr>
          <w:rFonts w:ascii="Century Schoolbook" w:hAnsi="Century Schoolbook"/>
          <w:szCs w:val="26"/>
        </w:rPr>
      </w:pPr>
      <w:r w:rsidRPr="001A55FD">
        <w:rPr>
          <w:rFonts w:ascii="Century Schoolbook" w:hAnsi="Century Schoolbook"/>
          <w:szCs w:val="26"/>
        </w:rPr>
        <w:t>DIVISION THREE</w:t>
      </w:r>
    </w:p>
    <w:p w:rsidR="003E5E47" w:rsidRPr="001A55FD" w:rsidP="003E5E47">
      <w:pPr>
        <w:jc w:val="center"/>
        <w:rPr>
          <w:rFonts w:ascii="Century Schoolbook" w:hAnsi="Century Schoolbook"/>
          <w:szCs w:val="26"/>
        </w:rPr>
      </w:pPr>
    </w:p>
    <w:p w:rsidR="003E5E47" w:rsidRPr="001A55FD" w:rsidP="003E5E47">
      <w:pPr>
        <w:jc w:val="center"/>
        <w:rPr>
          <w:rFonts w:ascii="Century Schoolbook" w:hAnsi="Century Schoolbook"/>
          <w:szCs w:val="26"/>
        </w:rPr>
      </w:pPr>
    </w:p>
    <w:tbl>
      <w:tblPr>
        <w:tblW w:w="0" w:type="auto"/>
        <w:tblInd w:w="0" w:type="dxa"/>
        <w:tblLayout w:type="fixed"/>
        <w:tblCellMar>
          <w:top w:w="0" w:type="dxa"/>
          <w:left w:w="108" w:type="dxa"/>
          <w:bottom w:w="0" w:type="dxa"/>
          <w:right w:w="108" w:type="dxa"/>
        </w:tblCellMar>
        <w:tblLook w:val="0000"/>
      </w:tblPr>
      <w:tblGrid>
        <w:gridCol w:w="4680"/>
        <w:gridCol w:w="4680"/>
      </w:tblGrid>
      <w:tr w:rsidTr="00F6513A">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THE PEOPLE,</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 xml:space="preserve">      Plaintiff and Respondent,</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ab/>
              <w:t>v.</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JOSUE RAMOS,</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 xml:space="preserve">      Defendant and Appellant.</w:t>
            </w:r>
          </w:p>
          <w:p w:rsidR="003E5E47" w:rsidRPr="001A55FD" w:rsidP="00F6513A">
            <w:pPr>
              <w:rPr>
                <w:rStyle w:val="DefaultParagraphFont"/>
                <w:rFonts w:ascii="Century Schoolbook" w:hAnsi="Century Schoolbook"/>
                <w:sz w:val="26"/>
                <w:szCs w:val="26"/>
                <w:lang w:val="en-US" w:eastAsia="en-US" w:bidi="ar-SA"/>
              </w:rPr>
            </w:pPr>
          </w:p>
        </w:tc>
        <w:tc>
          <w:tcPr>
            <w:tcW w:w="4680" w:type="dxa"/>
            <w:tcBorders>
              <w:left w:val="single" w:sz="4" w:space="0" w:color="auto"/>
            </w:tcBorders>
            <w:shd w:val="clear" w:color="auto" w:fill="auto"/>
          </w:tcPr>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 xml:space="preserve">         G062801</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 xml:space="preserve">         (Super. Ct. No. 18NF0718)</w:t>
            </w:r>
          </w:p>
          <w:p w:rsidR="003E5E47" w:rsidRPr="001A55FD" w:rsidP="00F6513A">
            <w:pPr>
              <w:rPr>
                <w:rStyle w:val="DefaultParagraphFont"/>
                <w:rFonts w:ascii="Century Schoolbook" w:hAnsi="Century Schoolbook"/>
                <w:sz w:val="26"/>
                <w:szCs w:val="26"/>
                <w:lang w:val="en-US" w:eastAsia="en-US" w:bidi="ar-SA"/>
              </w:rPr>
            </w:pPr>
          </w:p>
          <w:p w:rsidR="003E5E47" w:rsidRPr="001A55FD" w:rsidP="00F6513A">
            <w:pPr>
              <w:rPr>
                <w:rStyle w:val="DefaultParagraphFont"/>
                <w:rFonts w:ascii="Century Schoolbook" w:hAnsi="Century Schoolbook"/>
                <w:sz w:val="26"/>
                <w:szCs w:val="26"/>
                <w:lang w:val="en-US" w:eastAsia="en-US" w:bidi="ar-SA"/>
              </w:rPr>
            </w:pPr>
            <w:r w:rsidRPr="001A55FD">
              <w:rPr>
                <w:rFonts w:ascii="Century Schoolbook" w:hAnsi="Century Schoolbook"/>
                <w:sz w:val="26"/>
                <w:szCs w:val="26"/>
                <w:lang w:val="en-US" w:eastAsia="en-US" w:bidi="ar-SA"/>
              </w:rPr>
              <w:t xml:space="preserve">         O R D E R</w:t>
            </w:r>
          </w:p>
        </w:tc>
      </w:tr>
    </w:tbl>
    <w:p w:rsidR="003E5E47" w:rsidRPr="001A55FD" w:rsidP="003E5E47">
      <w:pPr>
        <w:spacing w:line="480" w:lineRule="atLeast"/>
        <w:rPr>
          <w:rFonts w:ascii="Century Schoolbook" w:hAnsi="Century Schoolbook"/>
        </w:rPr>
      </w:pPr>
      <w:r w:rsidRPr="00AA40EF">
        <w:rPr>
          <w:rFonts w:ascii="Century Schoolbook" w:hAnsi="Century Schoolbook"/>
          <w:sz w:val="28"/>
          <w:szCs w:val="28"/>
        </w:rPr>
        <w:tab/>
      </w:r>
      <w:r>
        <w:rPr>
          <w:rFonts w:ascii="Century Schoolbook" w:hAnsi="Century Schoolbook"/>
        </w:rPr>
        <w:t>Respondent</w:t>
      </w:r>
      <w:r w:rsidRPr="001A55FD">
        <w:rPr>
          <w:rFonts w:ascii="Century Schoolbook" w:hAnsi="Century Schoolbook"/>
        </w:rPr>
        <w:t xml:space="preserve"> has requested that our opinion, filed on </w:t>
      </w:r>
      <w:r>
        <w:rPr>
          <w:rFonts w:ascii="Century Schoolbook" w:hAnsi="Century Schoolbook"/>
        </w:rPr>
        <w:t>June 12, 2024</w:t>
      </w:r>
      <w:r w:rsidRPr="001A55FD">
        <w:rPr>
          <w:rFonts w:ascii="Century Schoolbook" w:hAnsi="Century Schoolbook"/>
        </w:rPr>
        <w:t>, be certified for publication.  It appears that our opinion meets the standards set forth in California Rules of Court, rule 8.1105(c).  The request is GRANTED.</w:t>
      </w:r>
    </w:p>
    <w:p w:rsidR="003E5E47" w:rsidRPr="000D1366" w:rsidP="003E5E47">
      <w:pPr>
        <w:spacing w:line="480" w:lineRule="atLeast"/>
        <w:rPr>
          <w:rFonts w:ascii="Century Schoolbook" w:hAnsi="Century Schoolbook"/>
        </w:rPr>
      </w:pPr>
      <w:r w:rsidRPr="001A55FD">
        <w:rPr>
          <w:rFonts w:ascii="Century Schoolbook" w:hAnsi="Century Schoolbook"/>
        </w:rPr>
        <w:tab/>
      </w:r>
      <w:r w:rsidRPr="001A55FD">
        <w:rPr>
          <w:rFonts w:ascii="Century Schoolbook" w:hAnsi="Century Schoolbook"/>
        </w:rPr>
        <w:tab/>
        <w:t>The opinion is ordered published in the Official Reports.</w:t>
      </w:r>
    </w:p>
    <w:p w:rsidR="003E5E47" w:rsidP="003E5E47">
      <w:pPr>
        <w:keepNext/>
        <w:tabs>
          <w:tab w:val="left" w:pos="5040"/>
        </w:tabs>
        <w:rPr>
          <w:rFonts w:ascii="Century Schoolbook" w:hAnsi="Century Schoolbook"/>
          <w:szCs w:val="26"/>
        </w:rPr>
      </w:pPr>
      <w:r w:rsidRPr="001A55FD">
        <w:rPr>
          <w:rFonts w:ascii="Century Schoolbook" w:hAnsi="Century Schoolbook"/>
          <w:szCs w:val="26"/>
        </w:rPr>
        <w:tab/>
      </w:r>
    </w:p>
    <w:p w:rsidR="003E5E47"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r>
        <w:rPr>
          <w:rFonts w:ascii="Century Schoolbook" w:hAnsi="Century Schoolbook"/>
          <w:szCs w:val="26"/>
        </w:rPr>
        <w:tab/>
      </w:r>
    </w:p>
    <w:p w:rsidR="003E5E47" w:rsidRPr="001A55FD" w:rsidP="003E5E47">
      <w:pPr>
        <w:keepNext/>
        <w:tabs>
          <w:tab w:val="left" w:pos="5040"/>
        </w:tabs>
        <w:rPr>
          <w:rFonts w:ascii="Century Schoolbook" w:hAnsi="Century Schoolbook"/>
          <w:szCs w:val="26"/>
        </w:rPr>
      </w:pPr>
      <w:r w:rsidRPr="001A55FD">
        <w:rPr>
          <w:rFonts w:ascii="Century Schoolbook" w:hAnsi="Century Schoolbook"/>
          <w:szCs w:val="26"/>
        </w:rPr>
        <w:tab/>
        <w:t>DELANEY, J.</w:t>
      </w: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r w:rsidRPr="001A55FD">
        <w:rPr>
          <w:rFonts w:ascii="Century Schoolbook" w:hAnsi="Century Schoolbook"/>
          <w:szCs w:val="26"/>
        </w:rPr>
        <w:t>WE CONCUR:</w:t>
      </w: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r w:rsidRPr="001A55FD">
        <w:rPr>
          <w:rFonts w:ascii="Century Schoolbook" w:hAnsi="Century Schoolbook"/>
          <w:szCs w:val="26"/>
        </w:rPr>
        <w:t>SANCHEZ, ACTING P. J.</w:t>
      </w: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p>
    <w:p w:rsidR="003E5E47" w:rsidRPr="001A55FD" w:rsidP="003E5E47">
      <w:pPr>
        <w:keepNext/>
        <w:tabs>
          <w:tab w:val="left" w:pos="5040"/>
        </w:tabs>
        <w:rPr>
          <w:rFonts w:ascii="Century Schoolbook" w:hAnsi="Century Schoolbook"/>
          <w:szCs w:val="26"/>
        </w:rPr>
      </w:pPr>
    </w:p>
    <w:p w:rsidR="003E5E47" w:rsidRPr="00AA40EF" w:rsidP="003E5E47">
      <w:pPr>
        <w:keepNext/>
        <w:tabs>
          <w:tab w:val="left" w:pos="5040"/>
        </w:tabs>
        <w:rPr>
          <w:rFonts w:ascii="Century Schoolbook" w:hAnsi="Century Schoolbook"/>
          <w:sz w:val="28"/>
          <w:szCs w:val="28"/>
        </w:rPr>
      </w:pPr>
      <w:r w:rsidRPr="001A55FD">
        <w:rPr>
          <w:rFonts w:ascii="Century Schoolbook" w:hAnsi="Century Schoolbook"/>
          <w:szCs w:val="26"/>
        </w:rPr>
        <w:t>GOODING, J.</w:t>
      </w:r>
    </w:p>
    <w:p w:rsidR="00AC5F75" w:rsidRPr="00AA40EF" w:rsidP="00A13AD4">
      <w:pPr>
        <w:keepNext/>
        <w:tabs>
          <w:tab w:val="left" w:pos="5040"/>
        </w:tabs>
        <w:rPr>
          <w:rFonts w:ascii="Century Schoolbook" w:hAnsi="Century Schoolbook"/>
          <w:sz w:val="28"/>
          <w:szCs w:val="28"/>
        </w:rPr>
      </w:pPr>
    </w:p>
    <w:sectPr w:rsidSect="00114576">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F57" w:rsidP="00DB09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B3528">
      <w:rPr>
        <w:rStyle w:val="PageNumber"/>
      </w:rPr>
      <w:fldChar w:fldCharType="separate"/>
    </w:r>
    <w:r>
      <w:rPr>
        <w:rStyle w:val="PageNumber"/>
      </w:rPr>
      <w:fldChar w:fldCharType="end"/>
    </w:r>
  </w:p>
  <w:p w:rsidR="00937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F57" w:rsidP="00DB09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525E">
      <w:rPr>
        <w:rStyle w:val="PageNumber"/>
        <w:noProof/>
      </w:rPr>
      <w:t>11</w:t>
    </w:r>
    <w:r>
      <w:rPr>
        <w:rStyle w:val="PageNumber"/>
      </w:rPr>
      <w:fldChar w:fldCharType="end"/>
    </w:r>
  </w:p>
  <w:p w:rsidR="00937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F57" w:rsidP="00CD1B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86D" w:rsidP="00CA2DD9">
      <w:r>
        <w:separator/>
      </w:r>
    </w:p>
  </w:footnote>
  <w:footnote w:type="continuationSeparator" w:id="1">
    <w:p w:rsidR="0008586D" w:rsidP="00CA2DD9">
      <w:r>
        <w:continuationSeparator/>
      </w:r>
    </w:p>
  </w:footnote>
  <w:footnote w:id="2">
    <w:p w:rsidR="00CB473A" w:rsidRPr="00916E9A" w:rsidP="00CB473A">
      <w:pPr>
        <w:pStyle w:val="FootnoteText"/>
        <w:rPr>
          <w:rFonts w:ascii="Century Schoolbook" w:hAnsi="Century Schoolbook"/>
          <w:sz w:val="28"/>
          <w:szCs w:val="28"/>
        </w:rPr>
      </w:pPr>
      <w:r w:rsidRPr="00916E9A">
        <w:rPr>
          <w:rStyle w:val="FootnoteReference"/>
          <w:rFonts w:ascii="Century Schoolbook" w:hAnsi="Century Schoolbook"/>
          <w:sz w:val="28"/>
          <w:szCs w:val="28"/>
        </w:rPr>
        <w:footnoteRef/>
      </w:r>
      <w:r w:rsidRPr="00916E9A">
        <w:rPr>
          <w:rFonts w:ascii="Century Schoolbook" w:hAnsi="Century Schoolbook"/>
          <w:sz w:val="28"/>
          <w:szCs w:val="28"/>
        </w:rPr>
        <w:t xml:space="preserve"> </w:t>
      </w:r>
      <w:r w:rsidRPr="00916E9A">
        <w:rPr>
          <w:rFonts w:ascii="Century Schoolbook" w:hAnsi="Century Schoolbook"/>
          <w:sz w:val="28"/>
          <w:szCs w:val="28"/>
        </w:rPr>
        <w:tab/>
      </w:r>
      <w:r w:rsidRPr="00916E9A">
        <w:rPr>
          <w:rFonts w:ascii="Century Schoolbook" w:hAnsi="Century Schoolbook"/>
          <w:sz w:val="28"/>
          <w:szCs w:val="28"/>
        </w:rPr>
        <w:tab/>
        <w:t>All further statutory references are to the Penal Code, unless otherwise stated.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6705A"/>
    <w:multiLevelType w:val="hybridMultilevel"/>
    <w:tmpl w:val="FEDAA26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6CA2DD1"/>
    <w:multiLevelType w:val="hybridMultilevel"/>
    <w:tmpl w:val="6AB4E8F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7654"/>
    <w:rPr>
      <w:rFonts w:ascii="Times New Roman" w:hAnsi="Times New Roman"/>
      <w:szCs w:val="20"/>
    </w:rPr>
  </w:style>
  <w:style w:type="paragraph" w:styleId="Heading1">
    <w:name w:val="heading 1"/>
    <w:basedOn w:val="Normal"/>
    <w:next w:val="Normal"/>
    <w:link w:val="Heading1Char"/>
    <w:uiPriority w:val="9"/>
    <w:qFormat/>
    <w:rsid w:val="001736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736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736EE"/>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1736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1736EE"/>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1736E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1736EE"/>
    <w:pPr>
      <w:spacing w:before="240" w:after="60"/>
      <w:outlineLvl w:val="6"/>
    </w:pPr>
    <w:rPr>
      <w:sz w:val="24"/>
    </w:rPr>
  </w:style>
  <w:style w:type="paragraph" w:styleId="Heading8">
    <w:name w:val="heading 8"/>
    <w:basedOn w:val="Normal"/>
    <w:next w:val="Normal"/>
    <w:link w:val="Heading8Char"/>
    <w:uiPriority w:val="9"/>
    <w:semiHidden/>
    <w:unhideWhenUsed/>
    <w:qFormat/>
    <w:rsid w:val="001736E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1736E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736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736E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1736E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1736E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1736E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1736EE"/>
    <w:rPr>
      <w:rFonts w:asciiTheme="majorHAnsi" w:eastAsiaTheme="majorEastAsia" w:hAnsiTheme="majorHAnsi"/>
    </w:rPr>
  </w:style>
  <w:style w:type="paragraph" w:styleId="Title">
    <w:name w:val="Title"/>
    <w:basedOn w:val="Normal"/>
    <w:next w:val="Normal"/>
    <w:link w:val="TitleChar"/>
    <w:uiPriority w:val="10"/>
    <w:qFormat/>
    <w:rsid w:val="001736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36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36E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1736E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1736EE"/>
    <w:pPr>
      <w:outlineLvl w:val="9"/>
    </w:pPr>
  </w:style>
  <w:style w:type="character" w:customStyle="1" w:styleId="Heading4Char">
    <w:name w:val="Heading 4 Char"/>
    <w:basedOn w:val="DefaultParagraphFont"/>
    <w:link w:val="Heading4"/>
    <w:uiPriority w:val="9"/>
    <w:semiHidden/>
    <w:rsid w:val="001736EE"/>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1736EE"/>
    <w:rPr>
      <w:rFonts w:ascii="Times New Roman" w:eastAsia="Times New Roman" w:hAnsi="Times New Roman"/>
      <w:b/>
      <w:bCs/>
      <w:i/>
      <w:iCs/>
    </w:rPr>
  </w:style>
  <w:style w:type="character" w:styleId="Strong">
    <w:name w:val="Strong"/>
    <w:basedOn w:val="DefaultParagraphFont"/>
    <w:uiPriority w:val="22"/>
    <w:rsid w:val="001736EE"/>
    <w:rPr>
      <w:b/>
      <w:bCs/>
    </w:rPr>
  </w:style>
  <w:style w:type="character" w:styleId="Emphasis">
    <w:name w:val="Emphasis"/>
    <w:basedOn w:val="DefaultParagraphFont"/>
    <w:uiPriority w:val="20"/>
    <w:rsid w:val="001736EE"/>
    <w:rPr>
      <w:rFonts w:asciiTheme="minorHAnsi" w:hAnsiTheme="minorHAnsi"/>
      <w:b/>
      <w:i/>
      <w:iCs/>
    </w:rPr>
  </w:style>
  <w:style w:type="paragraph" w:styleId="NoSpacing">
    <w:name w:val="No Spacing"/>
    <w:basedOn w:val="Normal"/>
    <w:uiPriority w:val="1"/>
    <w:rsid w:val="001736EE"/>
    <w:rPr>
      <w:szCs w:val="32"/>
    </w:rPr>
  </w:style>
  <w:style w:type="paragraph" w:styleId="ListParagraph">
    <w:name w:val="List Paragraph"/>
    <w:basedOn w:val="Normal"/>
    <w:uiPriority w:val="34"/>
    <w:rsid w:val="001736EE"/>
    <w:pPr>
      <w:ind w:left="720"/>
      <w:contextualSpacing/>
    </w:pPr>
  </w:style>
  <w:style w:type="paragraph" w:styleId="Quote">
    <w:name w:val="Quote"/>
    <w:basedOn w:val="Normal"/>
    <w:next w:val="Normal"/>
    <w:link w:val="QuoteChar"/>
    <w:uiPriority w:val="29"/>
    <w:rsid w:val="001736EE"/>
    <w:rPr>
      <w:i/>
    </w:rPr>
  </w:style>
  <w:style w:type="character" w:customStyle="1" w:styleId="QuoteChar">
    <w:name w:val="Quote Char"/>
    <w:basedOn w:val="DefaultParagraphFont"/>
    <w:link w:val="Quote"/>
    <w:uiPriority w:val="29"/>
    <w:rsid w:val="001736EE"/>
    <w:rPr>
      <w:rFonts w:ascii="Times New Roman" w:eastAsia="Times New Roman" w:hAnsi="Times New Roman"/>
      <w:i/>
      <w:szCs w:val="20"/>
    </w:rPr>
  </w:style>
  <w:style w:type="paragraph" w:styleId="IntenseQuote">
    <w:name w:val="Intense Quote"/>
    <w:basedOn w:val="Normal"/>
    <w:next w:val="Normal"/>
    <w:link w:val="IntenseQuoteChar"/>
    <w:uiPriority w:val="30"/>
    <w:rsid w:val="001736EE"/>
    <w:pPr>
      <w:ind w:left="720" w:right="720"/>
    </w:pPr>
    <w:rPr>
      <w:b/>
      <w:i/>
      <w:szCs w:val="22"/>
    </w:rPr>
  </w:style>
  <w:style w:type="character" w:customStyle="1" w:styleId="IntenseQuoteChar">
    <w:name w:val="Intense Quote Char"/>
    <w:basedOn w:val="DefaultParagraphFont"/>
    <w:link w:val="IntenseQuote"/>
    <w:uiPriority w:val="30"/>
    <w:rsid w:val="001736EE"/>
    <w:rPr>
      <w:rFonts w:ascii="Times New Roman" w:eastAsia="Times New Roman" w:hAnsi="Times New Roman"/>
      <w:b/>
      <w:i/>
      <w:szCs w:val="22"/>
    </w:rPr>
  </w:style>
  <w:style w:type="character" w:styleId="SubtleEmphasis">
    <w:name w:val="Subtle Emphasis"/>
    <w:uiPriority w:val="19"/>
    <w:rsid w:val="001736EE"/>
    <w:rPr>
      <w:i/>
      <w:color w:val="5A5A5A" w:themeColor="text1" w:themeTint="A5"/>
    </w:rPr>
  </w:style>
  <w:style w:type="character" w:styleId="IntenseEmphasis">
    <w:name w:val="Intense Emphasis"/>
    <w:basedOn w:val="DefaultParagraphFont"/>
    <w:uiPriority w:val="21"/>
    <w:rsid w:val="001736EE"/>
    <w:rPr>
      <w:b/>
      <w:i/>
      <w:sz w:val="24"/>
      <w:szCs w:val="24"/>
      <w:u w:val="single"/>
    </w:rPr>
  </w:style>
  <w:style w:type="character" w:styleId="SubtleReference">
    <w:name w:val="Subtle Reference"/>
    <w:basedOn w:val="DefaultParagraphFont"/>
    <w:uiPriority w:val="31"/>
    <w:rsid w:val="001736EE"/>
    <w:rPr>
      <w:sz w:val="24"/>
      <w:szCs w:val="24"/>
      <w:u w:val="single"/>
    </w:rPr>
  </w:style>
  <w:style w:type="character" w:styleId="IntenseReference">
    <w:name w:val="Intense Reference"/>
    <w:basedOn w:val="DefaultParagraphFont"/>
    <w:uiPriority w:val="32"/>
    <w:rsid w:val="001736EE"/>
    <w:rPr>
      <w:b/>
      <w:sz w:val="24"/>
      <w:u w:val="single"/>
    </w:rPr>
  </w:style>
  <w:style w:type="character" w:styleId="BookTitle">
    <w:name w:val="Book Title"/>
    <w:basedOn w:val="DefaultParagraphFont"/>
    <w:uiPriority w:val="33"/>
    <w:rsid w:val="001736EE"/>
    <w:rPr>
      <w:rFonts w:asciiTheme="majorHAnsi" w:eastAsiaTheme="majorEastAsia" w:hAnsiTheme="majorHAnsi"/>
      <w:b/>
      <w:i/>
      <w:sz w:val="24"/>
      <w:szCs w:val="24"/>
    </w:rPr>
  </w:style>
  <w:style w:type="paragraph" w:styleId="EnvelopeAddress">
    <w:name w:val="envelope address"/>
    <w:basedOn w:val="Normal"/>
    <w:rsid w:val="001736EE"/>
    <w:pPr>
      <w:framePr w:w="7920" w:h="1980" w:hRule="exact" w:hSpace="180" w:wrap="auto" w:hAnchor="page" w:xAlign="center" w:yAlign="bottom"/>
      <w:ind w:left="2880"/>
    </w:pPr>
  </w:style>
  <w:style w:type="paragraph" w:styleId="EnvelopeReturn">
    <w:name w:val="envelope return"/>
    <w:basedOn w:val="Normal"/>
    <w:rsid w:val="001736EE"/>
  </w:style>
  <w:style w:type="paragraph" w:styleId="Footer">
    <w:name w:val="footer"/>
    <w:basedOn w:val="Normal"/>
    <w:link w:val="FooterChar"/>
    <w:uiPriority w:val="99"/>
    <w:rsid w:val="001736EE"/>
    <w:pPr>
      <w:tabs>
        <w:tab w:val="center" w:pos="4320"/>
        <w:tab w:val="right" w:pos="8640"/>
      </w:tabs>
      <w:spacing w:line="520" w:lineRule="exact"/>
    </w:pPr>
  </w:style>
  <w:style w:type="character" w:customStyle="1" w:styleId="FooterChar">
    <w:name w:val="Footer Char"/>
    <w:basedOn w:val="DefaultParagraphFont"/>
    <w:link w:val="Footer"/>
    <w:uiPriority w:val="99"/>
    <w:rsid w:val="001736EE"/>
    <w:rPr>
      <w:rFonts w:ascii="Times New Roman" w:eastAsia="Times New Roman" w:hAnsi="Times New Roman"/>
      <w:szCs w:val="20"/>
    </w:rPr>
  </w:style>
  <w:style w:type="character" w:styleId="FootnoteReference">
    <w:name w:val="footnote reference"/>
    <w:basedOn w:val="DefaultParagraphFont"/>
    <w:rsid w:val="00287654"/>
    <w:rPr>
      <w:rFonts w:ascii="Times New Roman" w:hAnsi="Times New Roman"/>
      <w:b w:val="0"/>
      <w:color w:val="auto"/>
      <w:position w:val="6"/>
      <w:sz w:val="26"/>
      <w:vertAlign w:val="superscript"/>
    </w:rPr>
  </w:style>
  <w:style w:type="paragraph" w:styleId="FootnoteText">
    <w:name w:val="footnote text"/>
    <w:basedOn w:val="Normal"/>
    <w:link w:val="FootnoteTextChar"/>
    <w:rsid w:val="001736EE"/>
    <w:pPr>
      <w:keepLines/>
      <w:widowControl w:val="0"/>
    </w:pPr>
  </w:style>
  <w:style w:type="character" w:customStyle="1" w:styleId="FootnoteTextChar">
    <w:name w:val="Footnote Text Char"/>
    <w:basedOn w:val="DefaultParagraphFont"/>
    <w:link w:val="FootnoteText"/>
    <w:rsid w:val="001736EE"/>
    <w:rPr>
      <w:rFonts w:ascii="Times New Roman" w:eastAsia="Times New Roman" w:hAnsi="Times New Roman"/>
      <w:szCs w:val="20"/>
    </w:rPr>
  </w:style>
  <w:style w:type="paragraph" w:styleId="Header">
    <w:name w:val="header"/>
    <w:basedOn w:val="Normal"/>
    <w:link w:val="HeaderChar"/>
    <w:rsid w:val="001736EE"/>
    <w:pPr>
      <w:tabs>
        <w:tab w:val="center" w:pos="4320"/>
        <w:tab w:val="right" w:pos="8640"/>
      </w:tabs>
    </w:pPr>
  </w:style>
  <w:style w:type="character" w:customStyle="1" w:styleId="HeaderChar">
    <w:name w:val="Header Char"/>
    <w:basedOn w:val="DefaultParagraphFont"/>
    <w:link w:val="Header"/>
    <w:rsid w:val="001736EE"/>
    <w:rPr>
      <w:rFonts w:ascii="Times New Roman" w:eastAsia="Times New Roman" w:hAnsi="Times New Roman"/>
      <w:szCs w:val="20"/>
    </w:rPr>
  </w:style>
  <w:style w:type="paragraph" w:customStyle="1" w:styleId="IndentedQuote">
    <w:name w:val="IndentedQuote"/>
    <w:basedOn w:val="Normal"/>
    <w:rsid w:val="001736EE"/>
    <w:pPr>
      <w:spacing w:line="260" w:lineRule="exact"/>
      <w:ind w:left="1080" w:right="1080"/>
    </w:pPr>
  </w:style>
  <w:style w:type="paragraph" w:styleId="Macro">
    <w:name w:val="macro"/>
    <w:link w:val="MacroTextChar"/>
    <w:semiHidden/>
    <w:rsid w:val="001736EE"/>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1736EE"/>
    <w:rPr>
      <w:rFonts w:ascii="Times New Roman" w:eastAsia="Times New Roman" w:hAnsi="Times New Roman"/>
      <w:sz w:val="22"/>
      <w:szCs w:val="20"/>
    </w:rPr>
  </w:style>
  <w:style w:type="character" w:styleId="PageNumber">
    <w:name w:val="page number"/>
    <w:basedOn w:val="DefaultParagraphFont"/>
    <w:rsid w:val="001736EE"/>
  </w:style>
  <w:style w:type="character" w:styleId="Hyperlink">
    <w:name w:val="Hyperlink"/>
    <w:basedOn w:val="DefaultParagraphFont"/>
    <w:uiPriority w:val="99"/>
    <w:semiHidden/>
    <w:unhideWhenUsed/>
    <w:rsid w:val="006139BF"/>
    <w:rPr>
      <w:color w:val="0000FF"/>
      <w:u w:val="single"/>
    </w:rPr>
  </w:style>
  <w:style w:type="character" w:styleId="CommentReference">
    <w:name w:val="annotation reference"/>
    <w:basedOn w:val="DefaultParagraphFont"/>
    <w:uiPriority w:val="99"/>
    <w:semiHidden/>
    <w:unhideWhenUsed/>
    <w:rsid w:val="00711D31"/>
    <w:rPr>
      <w:sz w:val="16"/>
      <w:szCs w:val="16"/>
    </w:rPr>
  </w:style>
  <w:style w:type="paragraph" w:styleId="CommentText">
    <w:name w:val="annotation text"/>
    <w:basedOn w:val="Normal"/>
    <w:link w:val="CommentTextChar"/>
    <w:uiPriority w:val="99"/>
    <w:unhideWhenUsed/>
    <w:rsid w:val="00711D31"/>
    <w:rPr>
      <w:sz w:val="20"/>
    </w:rPr>
  </w:style>
  <w:style w:type="character" w:customStyle="1" w:styleId="CommentTextChar">
    <w:name w:val="Comment Text Char"/>
    <w:basedOn w:val="DefaultParagraphFont"/>
    <w:link w:val="CommentText"/>
    <w:uiPriority w:val="99"/>
    <w:rsid w:val="00711D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1D31"/>
    <w:rPr>
      <w:b/>
      <w:bCs/>
    </w:rPr>
  </w:style>
  <w:style w:type="character" w:customStyle="1" w:styleId="CommentSubjectChar">
    <w:name w:val="Comment Subject Char"/>
    <w:basedOn w:val="CommentTextChar"/>
    <w:link w:val="CommentSubject"/>
    <w:uiPriority w:val="99"/>
    <w:semiHidden/>
    <w:rsid w:val="00711D31"/>
    <w:rPr>
      <w:rFonts w:ascii="Times New Roman" w:hAnsi="Times New Roman"/>
      <w:b/>
      <w:bCs/>
      <w:sz w:val="20"/>
      <w:szCs w:val="20"/>
    </w:rPr>
  </w:style>
  <w:style w:type="paragraph" w:styleId="BalloonText">
    <w:name w:val="Balloon Text"/>
    <w:basedOn w:val="Normal"/>
    <w:link w:val="BalloonTextChar"/>
    <w:uiPriority w:val="99"/>
    <w:semiHidden/>
    <w:unhideWhenUsed/>
    <w:rsid w:val="008466D7"/>
    <w:rPr>
      <w:rFonts w:ascii="Tahoma" w:hAnsi="Tahoma" w:cs="Tahoma"/>
      <w:sz w:val="16"/>
      <w:szCs w:val="16"/>
    </w:rPr>
  </w:style>
  <w:style w:type="character" w:customStyle="1" w:styleId="BalloonTextChar">
    <w:name w:val="Balloon Text Char"/>
    <w:basedOn w:val="DefaultParagraphFont"/>
    <w:link w:val="BalloonText"/>
    <w:uiPriority w:val="99"/>
    <w:semiHidden/>
    <w:rsid w:val="008466D7"/>
    <w:rPr>
      <w:rFonts w:ascii="Tahoma" w:hAnsi="Tahoma" w:cs="Tahoma"/>
      <w:sz w:val="16"/>
      <w:szCs w:val="16"/>
    </w:rPr>
  </w:style>
  <w:style w:type="paragraph" w:styleId="Revision">
    <w:name w:val="Revision"/>
    <w:hidden/>
    <w:uiPriority w:val="99"/>
    <w:semiHidden/>
    <w:rsid w:val="00071C9A"/>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2024-07-02T23:00:17Z</dcterms:created>
  <dcterms:modified xsi:type="dcterms:W3CDTF">2024-07-02T23:00:17Z</dcterms:modified>
</cp:coreProperties>
</file>