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DC3F8" w14:textId="7A69E99C" w:rsidR="00566878" w:rsidRPr="00A8323C" w:rsidRDefault="000822F8" w:rsidP="00566878">
      <w:pPr>
        <w:spacing w:line="240" w:lineRule="auto"/>
        <w:rPr>
          <w:sz w:val="20"/>
        </w:rPr>
      </w:pPr>
      <w:r w:rsidRPr="00A8323C">
        <w:rPr>
          <w:sz w:val="20"/>
        </w:rPr>
        <w:t>Filed 5</w:t>
      </w:r>
      <w:r w:rsidR="00A8323C">
        <w:rPr>
          <w:sz w:val="20"/>
        </w:rPr>
        <w:t>/</w:t>
      </w:r>
      <w:r w:rsidRPr="00A8323C">
        <w:rPr>
          <w:sz w:val="20"/>
        </w:rPr>
        <w:t>8</w:t>
      </w:r>
      <w:r w:rsidR="00A8323C">
        <w:rPr>
          <w:sz w:val="20"/>
        </w:rPr>
        <w:t>/2</w:t>
      </w:r>
      <w:r w:rsidRPr="00A8323C">
        <w:rPr>
          <w:sz w:val="20"/>
        </w:rPr>
        <w:t>4</w:t>
      </w:r>
    </w:p>
    <w:p w14:paraId="47C3A92E" w14:textId="77777777" w:rsidR="00566878" w:rsidRDefault="00566878" w:rsidP="00566878">
      <w:pPr>
        <w:spacing w:line="240" w:lineRule="auto"/>
      </w:pPr>
    </w:p>
    <w:p w14:paraId="64579DB9" w14:textId="77777777" w:rsidR="00A8323C" w:rsidRDefault="00A8323C" w:rsidP="00566878">
      <w:pPr>
        <w:spacing w:line="240" w:lineRule="auto"/>
      </w:pPr>
    </w:p>
    <w:p w14:paraId="383E2A5F" w14:textId="77777777" w:rsidR="00566878" w:rsidRDefault="00566878" w:rsidP="00566878">
      <w:pPr>
        <w:spacing w:line="240" w:lineRule="auto"/>
      </w:pPr>
    </w:p>
    <w:p w14:paraId="0509E239" w14:textId="77777777" w:rsidR="00A524A1" w:rsidRDefault="00A524A1" w:rsidP="00566878">
      <w:pPr>
        <w:spacing w:line="240" w:lineRule="auto"/>
        <w:jc w:val="center"/>
        <w:rPr>
          <w:b/>
        </w:rPr>
      </w:pPr>
    </w:p>
    <w:p w14:paraId="28944AA0" w14:textId="77777777" w:rsidR="00B87907" w:rsidRPr="00F00293" w:rsidRDefault="00B87907" w:rsidP="00B87907">
      <w:pPr>
        <w:jc w:val="center"/>
      </w:pPr>
      <w:r>
        <w:rPr>
          <w:b/>
        </w:rPr>
        <w:t>CERTIFIED FOR PARTIAL PUBLICATION</w:t>
      </w:r>
      <w:r w:rsidRPr="00B87907">
        <w:rPr>
          <w:rStyle w:val="FootnoteReference"/>
          <w:b/>
          <w:color w:val="auto"/>
        </w:rPr>
        <w:footnoteReference w:customMarkFollows="1" w:id="1"/>
        <w:t>*</w:t>
      </w:r>
    </w:p>
    <w:p w14:paraId="24157954" w14:textId="0FFAEE4A" w:rsidR="00A349B4" w:rsidRPr="00A349B4" w:rsidRDefault="00A349B4" w:rsidP="00A349B4">
      <w:pPr>
        <w:spacing w:line="240" w:lineRule="auto"/>
        <w:jc w:val="center"/>
      </w:pPr>
    </w:p>
    <w:p w14:paraId="442E3307" w14:textId="77777777" w:rsidR="00566878" w:rsidRDefault="00566878" w:rsidP="00566878">
      <w:pPr>
        <w:spacing w:line="240" w:lineRule="auto"/>
        <w:jc w:val="center"/>
      </w:pPr>
    </w:p>
    <w:p w14:paraId="3B685F12" w14:textId="77777777" w:rsidR="00566878" w:rsidRDefault="00566878" w:rsidP="00566878">
      <w:pPr>
        <w:spacing w:line="240" w:lineRule="auto"/>
        <w:jc w:val="center"/>
      </w:pPr>
      <w:r>
        <w:t>IN THE COURT OF APPEAL OF THE STATE OF CALIFORNIA</w:t>
      </w:r>
    </w:p>
    <w:p w14:paraId="2E1412FA" w14:textId="77777777" w:rsidR="00566878" w:rsidRDefault="00566878" w:rsidP="00566878">
      <w:pPr>
        <w:spacing w:line="240" w:lineRule="auto"/>
        <w:jc w:val="center"/>
      </w:pPr>
    </w:p>
    <w:p w14:paraId="5328C7B4" w14:textId="77777777" w:rsidR="00566878" w:rsidRDefault="00566878" w:rsidP="00566878">
      <w:pPr>
        <w:spacing w:line="240" w:lineRule="auto"/>
        <w:jc w:val="center"/>
      </w:pPr>
      <w:r>
        <w:t>FOURTH APPELLATE DISTRICT</w:t>
      </w:r>
    </w:p>
    <w:p w14:paraId="5E8217C9" w14:textId="77777777" w:rsidR="00566878" w:rsidRDefault="00566878" w:rsidP="00566878">
      <w:pPr>
        <w:spacing w:line="240" w:lineRule="auto"/>
        <w:jc w:val="center"/>
      </w:pPr>
    </w:p>
    <w:p w14:paraId="3FD75A3A" w14:textId="77777777" w:rsidR="00566878" w:rsidRDefault="00566878" w:rsidP="00566878">
      <w:pPr>
        <w:spacing w:line="240" w:lineRule="auto"/>
        <w:jc w:val="center"/>
      </w:pPr>
      <w:r>
        <w:t>DIVISION THREE</w:t>
      </w:r>
    </w:p>
    <w:p w14:paraId="43AD459A" w14:textId="77777777" w:rsidR="00566878" w:rsidRDefault="00566878" w:rsidP="00566878">
      <w:pPr>
        <w:spacing w:line="240" w:lineRule="auto"/>
        <w:jc w:val="center"/>
      </w:pPr>
    </w:p>
    <w:p w14:paraId="6953F950" w14:textId="77777777" w:rsidR="00566878" w:rsidRDefault="00566878" w:rsidP="00566878">
      <w:pPr>
        <w:spacing w:line="240" w:lineRule="auto"/>
        <w:jc w:val="center"/>
      </w:pPr>
    </w:p>
    <w:tbl>
      <w:tblPr>
        <w:tblW w:w="0" w:type="auto"/>
        <w:tblLayout w:type="fixed"/>
        <w:tblLook w:val="0000" w:firstRow="0" w:lastRow="0" w:firstColumn="0" w:lastColumn="0" w:noHBand="0" w:noVBand="0"/>
      </w:tblPr>
      <w:tblGrid>
        <w:gridCol w:w="4680"/>
        <w:gridCol w:w="4680"/>
      </w:tblGrid>
      <w:tr w:rsidR="00566878" w14:paraId="474B9DA6" w14:textId="77777777" w:rsidTr="00566878">
        <w:tc>
          <w:tcPr>
            <w:tcW w:w="4680" w:type="dxa"/>
            <w:tcBorders>
              <w:bottom w:val="single" w:sz="4" w:space="0" w:color="auto"/>
              <w:right w:val="single" w:sz="4" w:space="0" w:color="auto"/>
            </w:tcBorders>
            <w:shd w:val="clear" w:color="auto" w:fill="auto"/>
          </w:tcPr>
          <w:p w14:paraId="55906022" w14:textId="77777777" w:rsidR="00566878" w:rsidRDefault="00566878" w:rsidP="00566878">
            <w:pPr>
              <w:spacing w:line="240" w:lineRule="auto"/>
            </w:pPr>
            <w:r>
              <w:t>ROSE BUI,</w:t>
            </w:r>
          </w:p>
          <w:p w14:paraId="1EC4CBAD" w14:textId="77777777" w:rsidR="00566878" w:rsidRDefault="00566878" w:rsidP="00566878">
            <w:pPr>
              <w:spacing w:line="240" w:lineRule="auto"/>
            </w:pPr>
          </w:p>
          <w:p w14:paraId="7EC65EB8" w14:textId="77777777" w:rsidR="00566878" w:rsidRDefault="00566878" w:rsidP="00566878">
            <w:pPr>
              <w:spacing w:line="240" w:lineRule="auto"/>
            </w:pPr>
            <w:r>
              <w:t xml:space="preserve">      Plaintiff and Appellant,</w:t>
            </w:r>
          </w:p>
          <w:p w14:paraId="1B2CC5DD" w14:textId="77777777" w:rsidR="00566878" w:rsidRDefault="00566878" w:rsidP="00566878">
            <w:pPr>
              <w:spacing w:line="240" w:lineRule="auto"/>
            </w:pPr>
          </w:p>
          <w:p w14:paraId="1FAF5D12" w14:textId="77777777" w:rsidR="00566878" w:rsidRDefault="00566878" w:rsidP="00566878">
            <w:pPr>
              <w:spacing w:line="240" w:lineRule="auto"/>
            </w:pPr>
            <w:r>
              <w:tab/>
              <w:t>v.</w:t>
            </w:r>
          </w:p>
          <w:p w14:paraId="25922E58" w14:textId="77777777" w:rsidR="00566878" w:rsidRDefault="00566878" w:rsidP="00566878">
            <w:pPr>
              <w:spacing w:line="240" w:lineRule="auto"/>
            </w:pPr>
          </w:p>
          <w:p w14:paraId="74089F49" w14:textId="77777777" w:rsidR="00566878" w:rsidRDefault="00566878" w:rsidP="00566878">
            <w:pPr>
              <w:spacing w:line="240" w:lineRule="auto"/>
            </w:pPr>
            <w:r w:rsidRPr="00EF071E">
              <w:t>NGO KY</w:t>
            </w:r>
            <w:r>
              <w:t xml:space="preserve"> et al.,</w:t>
            </w:r>
          </w:p>
          <w:p w14:paraId="09D3B201" w14:textId="77777777" w:rsidR="00566878" w:rsidRDefault="00566878" w:rsidP="00566878">
            <w:pPr>
              <w:spacing w:line="240" w:lineRule="auto"/>
            </w:pPr>
          </w:p>
          <w:p w14:paraId="196074DB" w14:textId="77777777" w:rsidR="00566878" w:rsidRDefault="00566878" w:rsidP="00566878">
            <w:pPr>
              <w:spacing w:line="240" w:lineRule="auto"/>
            </w:pPr>
            <w:r>
              <w:t xml:space="preserve">      Defendants and Respondents.</w:t>
            </w:r>
          </w:p>
          <w:p w14:paraId="246FBAA5" w14:textId="77777777" w:rsidR="00566878" w:rsidRDefault="00566878" w:rsidP="00566878">
            <w:pPr>
              <w:spacing w:line="240" w:lineRule="auto"/>
            </w:pPr>
          </w:p>
        </w:tc>
        <w:tc>
          <w:tcPr>
            <w:tcW w:w="4680" w:type="dxa"/>
            <w:tcBorders>
              <w:left w:val="single" w:sz="4" w:space="0" w:color="auto"/>
            </w:tcBorders>
            <w:shd w:val="clear" w:color="auto" w:fill="auto"/>
          </w:tcPr>
          <w:p w14:paraId="6D58118C" w14:textId="77777777" w:rsidR="00566878" w:rsidRDefault="00566878" w:rsidP="00566878">
            <w:pPr>
              <w:spacing w:line="240" w:lineRule="auto"/>
            </w:pPr>
          </w:p>
          <w:p w14:paraId="66A61E3E" w14:textId="77777777" w:rsidR="00566878" w:rsidRDefault="00566878" w:rsidP="00566878">
            <w:pPr>
              <w:spacing w:line="240" w:lineRule="auto"/>
            </w:pPr>
          </w:p>
          <w:p w14:paraId="0DE3306E" w14:textId="77777777" w:rsidR="00566878" w:rsidRDefault="00566878" w:rsidP="00566878">
            <w:pPr>
              <w:spacing w:line="240" w:lineRule="auto"/>
            </w:pPr>
            <w:r>
              <w:t xml:space="preserve">         G062338</w:t>
            </w:r>
          </w:p>
          <w:p w14:paraId="5FC5A1C2" w14:textId="77777777" w:rsidR="00566878" w:rsidRDefault="00566878" w:rsidP="00566878">
            <w:pPr>
              <w:spacing w:line="240" w:lineRule="auto"/>
            </w:pPr>
          </w:p>
          <w:p w14:paraId="3BDB795A" w14:textId="77777777" w:rsidR="00566878" w:rsidRDefault="00566878" w:rsidP="00566878">
            <w:pPr>
              <w:spacing w:line="240" w:lineRule="auto"/>
            </w:pPr>
            <w:r>
              <w:t xml:space="preserve">         (Super. Ct. No. 30-2022-01257749)</w:t>
            </w:r>
          </w:p>
          <w:p w14:paraId="6DCB3E6B" w14:textId="77777777" w:rsidR="00566878" w:rsidRDefault="00566878" w:rsidP="00566878">
            <w:pPr>
              <w:spacing w:line="240" w:lineRule="auto"/>
            </w:pPr>
          </w:p>
          <w:p w14:paraId="29268F13" w14:textId="7C7F6E1D" w:rsidR="00566878" w:rsidRDefault="00566878" w:rsidP="00566878">
            <w:pPr>
              <w:spacing w:line="240" w:lineRule="auto"/>
            </w:pPr>
            <w:r>
              <w:t xml:space="preserve">         </w:t>
            </w:r>
            <w:r w:rsidR="00A524A1">
              <w:t>O P I N I O N</w:t>
            </w:r>
          </w:p>
        </w:tc>
      </w:tr>
    </w:tbl>
    <w:p w14:paraId="3AEBC9AA" w14:textId="77777777" w:rsidR="00566878" w:rsidRDefault="00566878" w:rsidP="00566878">
      <w:pPr>
        <w:tabs>
          <w:tab w:val="left" w:pos="1440"/>
          <w:tab w:val="left" w:pos="2880"/>
          <w:tab w:val="left" w:pos="4320"/>
          <w:tab w:val="left" w:pos="5760"/>
          <w:tab w:val="left" w:pos="7200"/>
          <w:tab w:val="left" w:pos="8640"/>
        </w:tabs>
        <w:spacing w:line="480" w:lineRule="atLeast"/>
      </w:pPr>
    </w:p>
    <w:p w14:paraId="02A448DE" w14:textId="66CEAB0B" w:rsidR="00566878" w:rsidRDefault="00566878" w:rsidP="00566878">
      <w:pPr>
        <w:tabs>
          <w:tab w:val="left" w:pos="1440"/>
          <w:tab w:val="left" w:pos="2880"/>
          <w:tab w:val="left" w:pos="4320"/>
          <w:tab w:val="left" w:pos="5760"/>
          <w:tab w:val="left" w:pos="7200"/>
          <w:tab w:val="left" w:pos="8640"/>
        </w:tabs>
        <w:spacing w:line="480" w:lineRule="atLeast"/>
      </w:pPr>
      <w:r>
        <w:tab/>
        <w:t>Appeal from a judgment of the Superior Court of Orange County, Richard Y. Lee, Judge</w:t>
      </w:r>
      <w:r w:rsidRPr="00905FC2">
        <w:t xml:space="preserve">.  </w:t>
      </w:r>
      <w:r w:rsidR="00746E1B" w:rsidRPr="00905FC2">
        <w:t>Reverse</w:t>
      </w:r>
      <w:r w:rsidR="00B62A09">
        <w:t xml:space="preserve">d </w:t>
      </w:r>
      <w:r w:rsidR="002B6569" w:rsidRPr="00905FC2">
        <w:t>and remanded</w:t>
      </w:r>
      <w:r w:rsidR="002B6569">
        <w:t xml:space="preserve"> with directions</w:t>
      </w:r>
      <w:r>
        <w:t>.</w:t>
      </w:r>
    </w:p>
    <w:p w14:paraId="738C1269" w14:textId="612174CC" w:rsidR="00566878" w:rsidRDefault="00566878" w:rsidP="00566878">
      <w:pPr>
        <w:pStyle w:val="Body"/>
      </w:pPr>
      <w:r>
        <w:t>Hoyt E. Hart II for Plaintiff and Appellant.</w:t>
      </w:r>
    </w:p>
    <w:p w14:paraId="706A874D" w14:textId="1401CAE2" w:rsidR="00566878" w:rsidRDefault="00566878" w:rsidP="00566878">
      <w:pPr>
        <w:pStyle w:val="Body"/>
      </w:pPr>
      <w:r>
        <w:t>Mark S. Rosen for Defendant</w:t>
      </w:r>
      <w:r w:rsidR="0028132F">
        <w:t>s</w:t>
      </w:r>
      <w:r>
        <w:t xml:space="preserve"> and Respondent</w:t>
      </w:r>
      <w:r w:rsidR="0028132F">
        <w:t>s</w:t>
      </w:r>
      <w:r>
        <w:t>.</w:t>
      </w:r>
    </w:p>
    <w:p w14:paraId="3D3E3ED9" w14:textId="6168BDEC" w:rsidR="00566878" w:rsidRDefault="00566878" w:rsidP="00566878">
      <w:pPr>
        <w:jc w:val="center"/>
      </w:pPr>
      <w:r>
        <w:t>*</w:t>
      </w:r>
      <w:r>
        <w:tab/>
      </w:r>
      <w:r>
        <w:tab/>
        <w:t>*</w:t>
      </w:r>
      <w:r>
        <w:tab/>
      </w:r>
      <w:r>
        <w:tab/>
        <w:t>*</w:t>
      </w:r>
    </w:p>
    <w:p w14:paraId="75B8B785" w14:textId="42E5B07D" w:rsidR="00566878" w:rsidRDefault="00B62A09" w:rsidP="00B45CAF">
      <w:pPr>
        <w:pStyle w:val="Body"/>
        <w:widowControl w:val="0"/>
      </w:pPr>
      <w:r>
        <w:t xml:space="preserve">After defendants made certain statements on a YouTube broadcast about plaintiff and her family, at a time when plaintiff’s husband was running for political </w:t>
      </w:r>
      <w:r>
        <w:lastRenderedPageBreak/>
        <w:t xml:space="preserve">office, plaintiff filed a defamation action against defendants </w:t>
      </w:r>
      <w:r w:rsidRPr="00740338">
        <w:t>which also alleged causes</w:t>
      </w:r>
      <w:r>
        <w:t xml:space="preserve"> of action for intentional and negligent infliction of emotional distress.  Plaintiff appeals from the trial court’s grant of a special motion to strike her complaint pursuant to </w:t>
      </w:r>
      <w:r w:rsidRPr="0022500E">
        <w:t>Code of Civil Procedure section 425.16,</w:t>
      </w:r>
      <w:r w:rsidRPr="00585EC0">
        <w:rPr>
          <w:rStyle w:val="FootnoteReference"/>
          <w:color w:val="auto"/>
        </w:rPr>
        <w:footnoteReference w:id="2"/>
      </w:r>
      <w:r w:rsidRPr="0022500E">
        <w:t xml:space="preserve"> the anti-SLAPP statute.</w:t>
      </w:r>
      <w:r>
        <w:t xml:space="preserve">  She argues the court erred in concluding she was a limited purpose public figure who needed to demonstrate </w:t>
      </w:r>
      <w:r w:rsidR="0080388D">
        <w:t xml:space="preserve">actual </w:t>
      </w:r>
      <w:r>
        <w:t>malice in conjunction with her defamation claim.</w:t>
      </w:r>
    </w:p>
    <w:p w14:paraId="76CE649C" w14:textId="347A703A" w:rsidR="00566878" w:rsidRDefault="00AD05F0" w:rsidP="00566878">
      <w:pPr>
        <w:pStyle w:val="Body"/>
      </w:pPr>
      <w:r>
        <w:t>In the published portion of the opinion, f</w:t>
      </w:r>
      <w:r w:rsidR="00B57104">
        <w:t xml:space="preserve">ocusing on the specific evidence that was before the trial court, we find </w:t>
      </w:r>
      <w:r w:rsidR="006B1D9F">
        <w:t>the</w:t>
      </w:r>
      <w:r w:rsidR="00B57104">
        <w:t xml:space="preserve"> evidence </w:t>
      </w:r>
      <w:r w:rsidR="006B1D9F">
        <w:t>did not</w:t>
      </w:r>
      <w:r w:rsidR="00B57104">
        <w:t xml:space="preserve"> demonstrate plaintiff was </w:t>
      </w:r>
      <w:r w:rsidR="006B1D9F">
        <w:t>something</w:t>
      </w:r>
      <w:r w:rsidR="00B57104">
        <w:t xml:space="preserve"> other than a private figure for defamation purposes.  </w:t>
      </w:r>
      <w:r w:rsidR="00740338">
        <w:t>T</w:t>
      </w:r>
      <w:r w:rsidR="00B53934">
        <w:t>hat is, t</w:t>
      </w:r>
      <w:r w:rsidR="00B57104">
        <w:t>he totality of the circumstances did not demonstrate</w:t>
      </w:r>
      <w:r w:rsidR="00740338">
        <w:t xml:space="preserve"> </w:t>
      </w:r>
      <w:r w:rsidR="00B57104">
        <w:t xml:space="preserve">she thrust herself into the vortex of a public issue </w:t>
      </w:r>
      <w:proofErr w:type="gramStart"/>
      <w:r w:rsidR="00B57104">
        <w:t>in an attempt to</w:t>
      </w:r>
      <w:proofErr w:type="gramEnd"/>
      <w:r w:rsidR="00B57104">
        <w:t xml:space="preserve"> influence the outcome</w:t>
      </w:r>
      <w:r w:rsidR="00740338">
        <w:t xml:space="preserve"> or</w:t>
      </w:r>
      <w:r w:rsidR="00B57104">
        <w:t xml:space="preserve"> </w:t>
      </w:r>
      <w:r w:rsidR="00740338">
        <w:t xml:space="preserve">that she </w:t>
      </w:r>
      <w:r w:rsidR="00B57104">
        <w:t>assumed special prominence in the resolution of a public debate</w:t>
      </w:r>
      <w:r w:rsidR="00740338">
        <w:t xml:space="preserve">.  </w:t>
      </w:r>
      <w:r w:rsidR="00D91A71">
        <w:t xml:space="preserve">In the remainder of the opinion, considering the proper standard and plaintiff’s </w:t>
      </w:r>
      <w:r w:rsidR="001A5DCA">
        <w:t>private figure status, we conclude</w:t>
      </w:r>
      <w:r w:rsidR="00740338">
        <w:t xml:space="preserve"> plaintiff demonstrated the requisite minimal merit of her defamation claim, but she did not do so </w:t>
      </w:r>
      <w:r w:rsidR="0056230D">
        <w:t>for</w:t>
      </w:r>
      <w:r w:rsidR="00740338">
        <w:t xml:space="preserve"> her emotional distress claims.  Accordingly, we reverse the judgment</w:t>
      </w:r>
      <w:r w:rsidR="0080388D">
        <w:t xml:space="preserve">, </w:t>
      </w:r>
      <w:r w:rsidR="00740338">
        <w:t>direct the trial court to vacate its prior order</w:t>
      </w:r>
      <w:r w:rsidR="0080388D">
        <w:t>,</w:t>
      </w:r>
      <w:r w:rsidR="00740338">
        <w:t xml:space="preserve"> and </w:t>
      </w:r>
      <w:r w:rsidR="0080388D">
        <w:t xml:space="preserve">direct it to </w:t>
      </w:r>
      <w:r w:rsidR="00740338">
        <w:t>enter a new order denying defendants</w:t>
      </w:r>
      <w:r w:rsidR="008378A6">
        <w:t>’</w:t>
      </w:r>
      <w:r w:rsidR="00740338">
        <w:t xml:space="preserve"> anti-SLAPP motion with respect to the defamation cause of action and granting it with respect to the remaining causes of action.</w:t>
      </w:r>
    </w:p>
    <w:p w14:paraId="1FE4F9F4" w14:textId="09BFF217" w:rsidR="00566878" w:rsidRDefault="00566878" w:rsidP="00566878">
      <w:pPr>
        <w:pStyle w:val="Heading1"/>
      </w:pPr>
      <w:r w:rsidRPr="00E847D8">
        <w:t>FACTS</w:t>
      </w:r>
    </w:p>
    <w:p w14:paraId="4351343F" w14:textId="58521091" w:rsidR="00566878" w:rsidRPr="00477C42" w:rsidRDefault="000B2A45" w:rsidP="00477C42">
      <w:pPr>
        <w:pStyle w:val="Body"/>
      </w:pPr>
      <w:r>
        <w:t>In May 2022, based on activities that took place earlier that year, plaintiff</w:t>
      </w:r>
      <w:r w:rsidR="00DD3DF1">
        <w:t xml:space="preserve"> Rose Bui</w:t>
      </w:r>
      <w:r>
        <w:t xml:space="preserve"> sued defendants</w:t>
      </w:r>
      <w:r w:rsidR="00DD3DF1">
        <w:t xml:space="preserve"> Nam Quan and Ngo Ky</w:t>
      </w:r>
      <w:r>
        <w:t xml:space="preserve"> for defamation, intentional infliction of emotional distress</w:t>
      </w:r>
      <w:r w:rsidR="00DD3DF1">
        <w:t>,</w:t>
      </w:r>
      <w:r>
        <w:t xml:space="preserve"> and negligent infliction of emotional distress.</w:t>
      </w:r>
      <w:r w:rsidR="0078476E" w:rsidRPr="00804C34">
        <w:rPr>
          <w:rStyle w:val="FootnoteReference"/>
          <w:color w:val="auto"/>
        </w:rPr>
        <w:footnoteReference w:id="3"/>
      </w:r>
      <w:r w:rsidRPr="00804C34">
        <w:t xml:space="preserve">  </w:t>
      </w:r>
      <w:r>
        <w:t xml:space="preserve">The complaint identified </w:t>
      </w:r>
      <w:r w:rsidR="00695EE2">
        <w:t>plaintiff as a</w:t>
      </w:r>
      <w:r w:rsidR="002869FB">
        <w:t xml:space="preserve"> Fountain Valley resident and </w:t>
      </w:r>
      <w:r w:rsidR="006368E1">
        <w:t xml:space="preserve">a </w:t>
      </w:r>
      <w:r w:rsidR="00695EE2">
        <w:t>licensed attorney practicing in Orange County</w:t>
      </w:r>
      <w:r w:rsidR="00DB5FB8">
        <w:t>.</w:t>
      </w:r>
      <w:r w:rsidR="00695EE2">
        <w:t xml:space="preserve">  It alleged defendants were both Orange County resident</w:t>
      </w:r>
      <w:r w:rsidR="00477C42">
        <w:t>s</w:t>
      </w:r>
      <w:r w:rsidR="00695EE2">
        <w:t xml:space="preserve"> and </w:t>
      </w:r>
      <w:r w:rsidR="00477C42">
        <w:t xml:space="preserve">further </w:t>
      </w:r>
      <w:r w:rsidR="00477C42">
        <w:lastRenderedPageBreak/>
        <w:t xml:space="preserve">alleged </w:t>
      </w:r>
      <w:r w:rsidR="00695EE2">
        <w:t xml:space="preserve">Nam </w:t>
      </w:r>
      <w:r w:rsidR="00477C42">
        <w:t xml:space="preserve">was </w:t>
      </w:r>
      <w:r w:rsidR="00486435">
        <w:t>“</w:t>
      </w:r>
      <w:r w:rsidR="00695EE2">
        <w:t>a YOUTUBE Channel personality</w:t>
      </w:r>
      <w:r w:rsidR="00477C42">
        <w:t xml:space="preserve"> </w:t>
      </w:r>
      <w:r w:rsidR="00695EE2">
        <w:t>whose videos primarily feature Vietnamese community gossip</w:t>
      </w:r>
      <w:r w:rsidR="00477C42">
        <w:t>.</w:t>
      </w:r>
      <w:r w:rsidR="00486435">
        <w:t>”</w:t>
      </w:r>
    </w:p>
    <w:p w14:paraId="5362CD08" w14:textId="1A6C9C4C" w:rsidR="000B2A45" w:rsidRPr="00C76518" w:rsidRDefault="00C76518" w:rsidP="00C76518">
      <w:pPr>
        <w:pStyle w:val="Body"/>
      </w:pPr>
      <w:r>
        <w:t>The full scope of actions allegedly engaged in by defendants were specified in the complaint as follows</w:t>
      </w:r>
      <w:proofErr w:type="gramStart"/>
      <w:r>
        <w:t xml:space="preserve">:  </w:t>
      </w:r>
      <w:r w:rsidR="00486435">
        <w:t>“</w:t>
      </w:r>
      <w:proofErr w:type="gramEnd"/>
      <w:r>
        <w:t xml:space="preserve">On or about February 13, 2022, Defendant </w:t>
      </w:r>
      <w:r w:rsidR="00E6284E">
        <w:t>[Nam]</w:t>
      </w:r>
      <w:r>
        <w:t xml:space="preserve"> interviewed </w:t>
      </w:r>
      <w:r w:rsidR="00B1506E">
        <w:t>[Ngo]</w:t>
      </w:r>
      <w:r>
        <w:t xml:space="preserve"> on his YouTube channel.  During that interview Defendants said and implied that they knew the family of [plaintiff], that she </w:t>
      </w:r>
      <w:r w:rsidR="006368E1">
        <w:t>[</w:t>
      </w:r>
      <w:r>
        <w:t>(plaintiff)</w:t>
      </w:r>
      <w:r w:rsidR="006368E1">
        <w:t>]</w:t>
      </w:r>
      <w:r>
        <w:t xml:space="preserve"> was the daughter of a Commander of the Communist Party regime, [and] that her husband</w:t>
      </w:r>
      <w:r w:rsidR="00486435">
        <w:t>’</w:t>
      </w:r>
      <w:r>
        <w:t>s family and relatives were all communists.  Defendants identified [plaintiff</w:t>
      </w:r>
      <w:r w:rsidR="00486435">
        <w:t>’</w:t>
      </w:r>
      <w:r>
        <w:t xml:space="preserve">s] father as </w:t>
      </w:r>
      <w:r w:rsidR="00486435">
        <w:t>‘</w:t>
      </w:r>
      <w:r>
        <w:t>Vu Thanh</w:t>
      </w:r>
      <w:r w:rsidR="00486435">
        <w:t>’</w:t>
      </w:r>
      <w:r>
        <w:t xml:space="preserve">, a </w:t>
      </w:r>
      <w:proofErr w:type="gramStart"/>
      <w:r>
        <w:t>high ranking</w:t>
      </w:r>
      <w:proofErr w:type="gramEnd"/>
      <w:r>
        <w:t xml:space="preserve"> communist leader, a Commander, and published several photos of an older man in a communist uniform, confirmed by Defendant NGO KY as [plaintiff</w:t>
      </w:r>
      <w:r w:rsidR="00486435">
        <w:t>’</w:t>
      </w:r>
      <w:r>
        <w:t>s] father.  Defendants further claimed that during the 2022 Tet parade, that [plaintiff] and several friends all wore red with yellow hats, just like the communist regime</w:t>
      </w:r>
      <w:r w:rsidR="00486435">
        <w:t>’</w:t>
      </w:r>
      <w:r>
        <w:t>s flag, and that they danced and played communist music all along Bolsa Ave.</w:t>
      </w:r>
      <w:r w:rsidR="00486435">
        <w:t>”</w:t>
      </w:r>
    </w:p>
    <w:p w14:paraId="037FF772" w14:textId="2D21D3CB" w:rsidR="00C76518" w:rsidRDefault="00C76518" w:rsidP="00C76518">
      <w:pPr>
        <w:pStyle w:val="Body"/>
      </w:pPr>
      <w:r>
        <w:t>According to the complaint, these statements were false.  It elaborated</w:t>
      </w:r>
      <w:proofErr w:type="gramStart"/>
      <w:r>
        <w:t xml:space="preserve">:  </w:t>
      </w:r>
      <w:r w:rsidR="00486435">
        <w:t>“</w:t>
      </w:r>
      <w:proofErr w:type="gramEnd"/>
      <w:r>
        <w:t>[Plaintiff</w:t>
      </w:r>
      <w:r w:rsidR="00486435">
        <w:t>’</w:t>
      </w:r>
      <w:r>
        <w:t>s] father was a civil engineer who retired in 2000.</w:t>
      </w:r>
      <w:r w:rsidR="0040720C">
        <w:t xml:space="preserve"> </w:t>
      </w:r>
      <w:r>
        <w:t xml:space="preserve"> He never participated in the military. </w:t>
      </w:r>
      <w:r w:rsidR="0040720C">
        <w:t xml:space="preserve"> </w:t>
      </w:r>
      <w:r>
        <w:t xml:space="preserve">The man in uniform photo does not show </w:t>
      </w:r>
      <w:r w:rsidR="0040720C">
        <w:t>[plaintiff</w:t>
      </w:r>
      <w:r w:rsidR="00486435">
        <w:t>’</w:t>
      </w:r>
      <w:r w:rsidR="0040720C">
        <w:t>s]</w:t>
      </w:r>
      <w:r>
        <w:t xml:space="preserve"> father. </w:t>
      </w:r>
      <w:r w:rsidR="0040720C">
        <w:t xml:space="preserve"> [Plaintiff]</w:t>
      </w:r>
      <w:r>
        <w:t xml:space="preserve"> never</w:t>
      </w:r>
      <w:r w:rsidR="0040720C">
        <w:t xml:space="preserve"> </w:t>
      </w:r>
      <w:r>
        <w:t xml:space="preserve">participated or was involved with the Communist Party. </w:t>
      </w:r>
      <w:r w:rsidR="0040720C">
        <w:t xml:space="preserve"> [Plaintiff]</w:t>
      </w:r>
      <w:r>
        <w:t xml:space="preserve"> wore a red dress, symbolic</w:t>
      </w:r>
      <w:r w:rsidR="0040720C">
        <w:t xml:space="preserve"> </w:t>
      </w:r>
      <w:r>
        <w:t xml:space="preserve">of the Lunar new year, in the Tet parade. </w:t>
      </w:r>
      <w:r w:rsidR="0040720C">
        <w:t xml:space="preserve"> </w:t>
      </w:r>
      <w:r>
        <w:t>The music played was Vietnamese pop music for</w:t>
      </w:r>
      <w:r w:rsidR="0040720C">
        <w:t xml:space="preserve"> </w:t>
      </w:r>
      <w:r>
        <w:t xml:space="preserve">the young people to dance to. </w:t>
      </w:r>
      <w:r w:rsidR="0040720C">
        <w:t xml:space="preserve"> </w:t>
      </w:r>
      <w:r>
        <w:t>It was not communist music.</w:t>
      </w:r>
      <w:r w:rsidR="00486435">
        <w:t>”</w:t>
      </w:r>
      <w:r w:rsidR="0040720C">
        <w:t xml:space="preserve"> </w:t>
      </w:r>
    </w:p>
    <w:p w14:paraId="3C89DA3E" w14:textId="4D0F771A" w:rsidR="00167E9E" w:rsidRPr="003F3F1F" w:rsidRDefault="00167E9E" w:rsidP="00B722E1">
      <w:pPr>
        <w:pStyle w:val="Body"/>
      </w:pPr>
      <w:r>
        <w:t xml:space="preserve">Defendants responded to the complaint by filing a demurrer and a special motion to strike pursuant to the anti-SLAPP statute.  The anti-SLAPP motion contended </w:t>
      </w:r>
      <w:r w:rsidR="00B722E1">
        <w:t>plaintiff</w:t>
      </w:r>
      <w:r w:rsidR="00486435">
        <w:t>’</w:t>
      </w:r>
      <w:r w:rsidR="00B722E1">
        <w:t xml:space="preserve">s claims were based </w:t>
      </w:r>
      <w:r w:rsidR="00CC471C">
        <w:t>on</w:t>
      </w:r>
      <w:r w:rsidR="00B722E1">
        <w:t xml:space="preserve"> protected activity under section 425.16, subdivisions (e)(3) and (e)(4), because </w:t>
      </w:r>
      <w:r w:rsidR="00CC471C">
        <w:t xml:space="preserve">the statements allegedly made by defendants </w:t>
      </w:r>
      <w:r w:rsidR="00B722E1">
        <w:t xml:space="preserve">(1) </w:t>
      </w:r>
      <w:r w:rsidR="00CC471C">
        <w:t>were</w:t>
      </w:r>
      <w:r w:rsidR="00B722E1">
        <w:t xml:space="preserve"> </w:t>
      </w:r>
      <w:r w:rsidR="00486435">
        <w:t>“</w:t>
      </w:r>
      <w:r w:rsidR="00B722E1">
        <w:t>made in a place open to the public or a public forum in connection with an issue of public interest,</w:t>
      </w:r>
      <w:r w:rsidR="00486435">
        <w:t>”</w:t>
      </w:r>
      <w:r w:rsidR="00B722E1">
        <w:t xml:space="preserve"> and (2) </w:t>
      </w:r>
      <w:r w:rsidR="00CC471C">
        <w:t>amounted to</w:t>
      </w:r>
      <w:r w:rsidR="00B722E1">
        <w:t xml:space="preserve"> </w:t>
      </w:r>
      <w:r w:rsidR="00486435">
        <w:t>“</w:t>
      </w:r>
      <w:r w:rsidR="00B722E1">
        <w:t>conduct in furtherance of the exercise of . . . the constitutional right of free speech in connection with a public issue or an issue of public interest.</w:t>
      </w:r>
      <w:r w:rsidR="00486435">
        <w:t>”</w:t>
      </w:r>
      <w:r w:rsidR="00B722E1">
        <w:t xml:space="preserve"> </w:t>
      </w:r>
      <w:r w:rsidR="00D43677">
        <w:t xml:space="preserve"> Defendants also </w:t>
      </w:r>
      <w:r w:rsidR="009E2617">
        <w:t>asserted</w:t>
      </w:r>
      <w:r w:rsidR="00D43677">
        <w:t xml:space="preserve"> plaintiff would be unable to demonstrate </w:t>
      </w:r>
      <w:r w:rsidR="00B1506E">
        <w:t xml:space="preserve">the minimal </w:t>
      </w:r>
      <w:r w:rsidR="0099768B">
        <w:lastRenderedPageBreak/>
        <w:t xml:space="preserve">merit of </w:t>
      </w:r>
      <w:r w:rsidR="00D43677">
        <w:t xml:space="preserve">her claims because </w:t>
      </w:r>
      <w:r w:rsidR="005C455E">
        <w:t xml:space="preserve">she was a public figure who could not prove the statements were made with malice, she could not demonstrate provable falsity, </w:t>
      </w:r>
      <w:r w:rsidR="003F3F1F">
        <w:t xml:space="preserve">and </w:t>
      </w:r>
      <w:r w:rsidR="005C455E">
        <w:t>defendants</w:t>
      </w:r>
      <w:r w:rsidR="00486435">
        <w:t>’</w:t>
      </w:r>
      <w:r w:rsidR="005C455E">
        <w:t xml:space="preserve"> activities could not be the basis of liability due to protections </w:t>
      </w:r>
      <w:r w:rsidR="008C7BC5">
        <w:t xml:space="preserve">set forth </w:t>
      </w:r>
      <w:r w:rsidR="005C455E">
        <w:t xml:space="preserve">in </w:t>
      </w:r>
      <w:bookmarkStart w:id="0" w:name="dabmci_f87923a16a7c43c2801a972b53b0a096"/>
      <w:r w:rsidR="009D6759">
        <w:t xml:space="preserve">the Communications Decency Act of 1996 </w:t>
      </w:r>
      <w:r w:rsidR="00143B37">
        <w:t>(</w:t>
      </w:r>
      <w:r w:rsidR="005C455E" w:rsidRPr="00D63279">
        <w:t>47 U.S.C.</w:t>
      </w:r>
      <w:r w:rsidR="00143B37">
        <w:t>,</w:t>
      </w:r>
      <w:r w:rsidR="005C455E" w:rsidRPr="00D63279">
        <w:t xml:space="preserve"> </w:t>
      </w:r>
      <w:r w:rsidR="003E5273">
        <w:t>§</w:t>
      </w:r>
      <w:r w:rsidR="005C455E" w:rsidRPr="00D63279">
        <w:t xml:space="preserve"> 230</w:t>
      </w:r>
      <w:bookmarkEnd w:id="0"/>
      <w:r w:rsidR="003E5273">
        <w:t>;</w:t>
      </w:r>
      <w:r w:rsidR="009D6759">
        <w:t xml:space="preserve"> section 230</w:t>
      </w:r>
      <w:r w:rsidR="003E5273">
        <w:t>)</w:t>
      </w:r>
      <w:r w:rsidR="003F3F1F" w:rsidRPr="00D63279">
        <w:t>.</w:t>
      </w:r>
    </w:p>
    <w:p w14:paraId="5AC54E5B" w14:textId="21239B96" w:rsidR="00566878" w:rsidRPr="00C44605" w:rsidRDefault="00D43677" w:rsidP="00C44605">
      <w:pPr>
        <w:pStyle w:val="Body"/>
      </w:pPr>
      <w:r>
        <w:t xml:space="preserve">To support </w:t>
      </w:r>
      <w:r w:rsidR="009E2617">
        <w:t>their</w:t>
      </w:r>
      <w:r>
        <w:t xml:space="preserve"> argument</w:t>
      </w:r>
      <w:r w:rsidR="009E2617">
        <w:t>s, defendants submitted two declarations.  The first was from Ngo</w:t>
      </w:r>
      <w:r w:rsidR="00700A85">
        <w:t>,</w:t>
      </w:r>
      <w:r w:rsidR="009E2617">
        <w:t xml:space="preserve"> who described himself as a </w:t>
      </w:r>
      <w:r w:rsidR="00700A85">
        <w:t xml:space="preserve">political activist in the Orange County </w:t>
      </w:r>
      <w:proofErr w:type="gramStart"/>
      <w:r w:rsidR="00700A85">
        <w:t>Vietnamese</w:t>
      </w:r>
      <w:r w:rsidR="00F30DE6">
        <w:t>-</w:t>
      </w:r>
      <w:r w:rsidR="00700A85">
        <w:t>American</w:t>
      </w:r>
      <w:proofErr w:type="gramEnd"/>
      <w:r w:rsidR="00700A85">
        <w:t xml:space="preserve"> community since 1984.  He explained that he appears almost weekly on Trust Media Network, a social media channel on YouTube, to discuss political issues.  When he did so on February 13, 2022, the last five minutes of the show concerned the political campaign of Ted Bui, who was running for State Assembly at the time. </w:t>
      </w:r>
      <w:r w:rsidR="00901DC4">
        <w:t xml:space="preserve"> According to Ngo, he saw a Facebook post five days prior which included the following:  photos of Ted Bui and his wife</w:t>
      </w:r>
      <w:r w:rsidR="00700A85">
        <w:t xml:space="preserve"> </w:t>
      </w:r>
      <w:r w:rsidR="00901DC4">
        <w:t xml:space="preserve">carrying political posters for </w:t>
      </w:r>
      <w:r w:rsidR="0099768B">
        <w:t>his</w:t>
      </w:r>
      <w:r w:rsidR="00901DC4">
        <w:t xml:space="preserve"> campaign in a Tet (lunar new year) parade; </w:t>
      </w:r>
      <w:r w:rsidR="00486435">
        <w:t>“</w:t>
      </w:r>
      <w:r w:rsidR="00901DC4">
        <w:t>[p]hotos of a man in a Vietnam communist army official colonel uniform identified as Lan Vu</w:t>
      </w:r>
      <w:r w:rsidR="00486435">
        <w:t>’</w:t>
      </w:r>
      <w:r w:rsidR="00901DC4">
        <w:t>s father, Mr. Thanh Vu</w:t>
      </w:r>
      <w:r w:rsidR="00D34396">
        <w:t>;</w:t>
      </w:r>
      <w:r w:rsidR="00486435">
        <w:t>”</w:t>
      </w:r>
      <w:r w:rsidR="00D34396">
        <w:t xml:space="preserve"> a statement that Lan Vu was Ted Bui</w:t>
      </w:r>
      <w:r w:rsidR="00486435">
        <w:t>’</w:t>
      </w:r>
      <w:r w:rsidR="00D34396">
        <w:t xml:space="preserve">s </w:t>
      </w:r>
      <w:r w:rsidR="00F974FC">
        <w:t>wife</w:t>
      </w:r>
      <w:r w:rsidR="00D34396">
        <w:t>; and a video of Ted Bui and his wife wearing red clothing and yellow head dresses, consistent with the colors of the Vi</w:t>
      </w:r>
      <w:r w:rsidR="00C037A2">
        <w:t>e</w:t>
      </w:r>
      <w:r w:rsidR="00D34396">
        <w:t xml:space="preserve">tnamese flag, while dancing on a Westminster street </w:t>
      </w:r>
      <w:r w:rsidR="00486435">
        <w:t>“</w:t>
      </w:r>
      <w:r w:rsidR="00D34396">
        <w:t>to Vietnam communist music.</w:t>
      </w:r>
      <w:r w:rsidR="00486435">
        <w:t>”</w:t>
      </w:r>
      <w:r w:rsidR="00EC272B" w:rsidRPr="00787067">
        <w:rPr>
          <w:rStyle w:val="FootnoteReference"/>
          <w:color w:val="auto"/>
        </w:rPr>
        <w:footnoteReference w:id="4"/>
      </w:r>
      <w:r w:rsidR="00D34396" w:rsidRPr="00787067">
        <w:t xml:space="preserve"> </w:t>
      </w:r>
      <w:r w:rsidR="00C44605">
        <w:t xml:space="preserve"> </w:t>
      </w:r>
      <w:r w:rsidR="00D34396">
        <w:t>Ngo</w:t>
      </w:r>
      <w:r w:rsidR="00C44605">
        <w:t xml:space="preserve"> </w:t>
      </w:r>
      <w:r w:rsidR="00AD63C4">
        <w:t xml:space="preserve">felt compelled to share this information with the community because </w:t>
      </w:r>
      <w:r w:rsidR="00C037A2">
        <w:t xml:space="preserve">voters were determining how to cast their votes in the upcoming election and </w:t>
      </w:r>
      <w:r w:rsidR="005530A0">
        <w:t xml:space="preserve">he believed </w:t>
      </w:r>
      <w:r w:rsidR="00486435">
        <w:t>“</w:t>
      </w:r>
      <w:r w:rsidR="00C037A2">
        <w:t>Vietnamese-American refugees and their immigrant family members most likely [w</w:t>
      </w:r>
      <w:r w:rsidR="00506125">
        <w:t>ould</w:t>
      </w:r>
      <w:r w:rsidR="00C037A2">
        <w:t>] not cast a vote for anyone who is affiliated in any way with the Vietnam communist organization.</w:t>
      </w:r>
      <w:r w:rsidR="00486435">
        <w:t>”</w:t>
      </w:r>
      <w:r w:rsidR="00C44605">
        <w:t xml:space="preserve">  When he learned two weeks later from</w:t>
      </w:r>
      <w:r w:rsidR="00F974FC">
        <w:t xml:space="preserve"> the</w:t>
      </w:r>
      <w:r w:rsidR="00C44605">
        <w:t xml:space="preserve"> owner of the Facebook account that Thanh Vu is </w:t>
      </w:r>
      <w:proofErr w:type="gramStart"/>
      <w:r w:rsidR="00C44605">
        <w:t xml:space="preserve">actually </w:t>
      </w:r>
      <w:r w:rsidR="00506125">
        <w:t>plaintiff</w:t>
      </w:r>
      <w:r w:rsidR="008928DC">
        <w:t>’s</w:t>
      </w:r>
      <w:proofErr w:type="gramEnd"/>
      <w:r w:rsidR="008928DC">
        <w:t xml:space="preserve"> </w:t>
      </w:r>
      <w:r w:rsidR="00C44605">
        <w:t xml:space="preserve">uncle, </w:t>
      </w:r>
      <w:r w:rsidR="008928DC">
        <w:t>plaintiff</w:t>
      </w:r>
      <w:r w:rsidR="00486435">
        <w:t>’</w:t>
      </w:r>
      <w:r w:rsidR="00C44605">
        <w:t xml:space="preserve">s father is Chung Vu, and the person had dubbed communist music into the video depicting plaintiff and Ted Bui dancing, Ngo corrected the information in another appearance on Trust Media Network. </w:t>
      </w:r>
    </w:p>
    <w:p w14:paraId="228D37F0" w14:textId="0BFA8F4D" w:rsidR="00013E45" w:rsidRDefault="00C037A2" w:rsidP="005530A0">
      <w:pPr>
        <w:pStyle w:val="Body"/>
      </w:pPr>
      <w:r>
        <w:lastRenderedPageBreak/>
        <w:t xml:space="preserve">Attached to </w:t>
      </w:r>
      <w:r w:rsidR="005530A0">
        <w:t>Ngo</w:t>
      </w:r>
      <w:r w:rsidR="00486435">
        <w:t>’</w:t>
      </w:r>
      <w:r w:rsidR="005530A0">
        <w:t xml:space="preserve">s declaration was a transcript of </w:t>
      </w:r>
      <w:r w:rsidR="00AF001B">
        <w:t xml:space="preserve">a </w:t>
      </w:r>
      <w:r w:rsidR="005530A0">
        <w:t xml:space="preserve">portion of the February 2022 YouTube </w:t>
      </w:r>
      <w:r w:rsidR="006C15B0">
        <w:t>broadcast</w:t>
      </w:r>
      <w:r w:rsidR="005530A0">
        <w:t>.</w:t>
      </w:r>
      <w:r w:rsidR="005530A0" w:rsidRPr="005530A0">
        <w:rPr>
          <w:rStyle w:val="FootnoteReference"/>
          <w:color w:val="auto"/>
        </w:rPr>
        <w:footnoteReference w:id="5"/>
      </w:r>
      <w:r w:rsidR="005530A0">
        <w:t xml:space="preserve">  </w:t>
      </w:r>
      <w:r w:rsidR="00AF001B">
        <w:t xml:space="preserve">After showing the audience a video and criticizing Ted Bui for </w:t>
      </w:r>
      <w:r w:rsidR="00246FAB">
        <w:t>walking</w:t>
      </w:r>
      <w:r w:rsidR="00AF001B">
        <w:t xml:space="preserve"> in the Tet parade, which Ngo described as a cultural event, with a campaign banner, Ngo went on to discuss Ted Bui</w:t>
      </w:r>
      <w:r w:rsidR="00486435">
        <w:t>’</w:t>
      </w:r>
      <w:r w:rsidR="00AF001B">
        <w:t xml:space="preserve">s family.  He stated, </w:t>
      </w:r>
      <w:r w:rsidR="00486435">
        <w:t>“</w:t>
      </w:r>
      <w:r w:rsidR="00AF001B">
        <w:t>We don</w:t>
      </w:r>
      <w:r w:rsidR="00486435">
        <w:t>’</w:t>
      </w:r>
      <w:r w:rsidR="00AF001B">
        <w:t>t know much about his familial background, but on his wife</w:t>
      </w:r>
      <w:r w:rsidR="00486435">
        <w:t>’</w:t>
      </w:r>
      <w:r w:rsidR="00AF001B">
        <w:t xml:space="preserve">s side . . . His wife is . . . uh </w:t>
      </w:r>
      <w:r w:rsidR="00EA4BFB">
        <w:t xml:space="preserve">uh . . . what . . . </w:t>
      </w:r>
      <w:proofErr w:type="gramStart"/>
      <w:r w:rsidR="00EA4BFB">
        <w:t xml:space="preserve">Bui </w:t>
      </w:r>
      <w:r w:rsidR="006C15B0">
        <w:t xml:space="preserve"> </w:t>
      </w:r>
      <w:r w:rsidR="00EA4BFB">
        <w:t>. . .</w:t>
      </w:r>
      <w:proofErr w:type="gramEnd"/>
      <w:r w:rsidR="00EA4BFB">
        <w:t xml:space="preserve"> what . . . uh . .</w:t>
      </w:r>
      <w:r w:rsidR="00B10958">
        <w:t xml:space="preserve"> . </w:t>
      </w:r>
      <w:r w:rsidR="00AF001B">
        <w:t>Lan Vu is a lawyer or something, a daughter of a Communist colonel guy, a senior member of the Communist Part</w:t>
      </w:r>
      <w:r w:rsidR="004B2C28">
        <w:t>y</w:t>
      </w:r>
      <w:r w:rsidR="00AF001B">
        <w:t xml:space="preserve"> of Vietnam.  Colonel.  It</w:t>
      </w:r>
      <w:r w:rsidR="00486435">
        <w:t>’</w:t>
      </w:r>
      <w:r w:rsidR="00AF001B">
        <w:t>s . . . there</w:t>
      </w:r>
      <w:r w:rsidR="00486435">
        <w:t>’</w:t>
      </w:r>
      <w:r w:rsidR="00AF001B">
        <w:t>s the picture for you to see.  There you see, that</w:t>
      </w:r>
      <w:r w:rsidR="00486435">
        <w:t>’</w:t>
      </w:r>
      <w:r w:rsidR="00AF001B">
        <w:t>s the father of Vu Lan, the wife of this guy Ted Bui.  Ted Bui</w:t>
      </w:r>
      <w:r w:rsidR="00486435">
        <w:t>’</w:t>
      </w:r>
      <w:r w:rsidR="00AF001B">
        <w:t>s father-in-law.  His father-in-law is a Communist colonel.</w:t>
      </w:r>
      <w:r w:rsidR="00486435">
        <w:t>”</w:t>
      </w:r>
      <w:r w:rsidR="00AF001B">
        <w:t xml:space="preserve">  Ngo proceeded to describe Ted Bui</w:t>
      </w:r>
      <w:r w:rsidR="00486435">
        <w:t>’</w:t>
      </w:r>
      <w:r w:rsidR="00AF001B">
        <w:t xml:space="preserve">s supposed prior activity in France of </w:t>
      </w:r>
      <w:r w:rsidR="00486435">
        <w:t>“</w:t>
      </w:r>
      <w:r w:rsidR="00AF001B">
        <w:t>follow[ing] some Socialist Communist party.</w:t>
      </w:r>
      <w:r w:rsidR="00486435">
        <w:t>”</w:t>
      </w:r>
      <w:r w:rsidR="00AF001B">
        <w:t xml:space="preserve"> </w:t>
      </w:r>
      <w:r w:rsidR="00374EBE">
        <w:t xml:space="preserve"> </w:t>
      </w:r>
      <w:r w:rsidR="00AF001B">
        <w:t xml:space="preserve">He then showed the audience an additional image stating, </w:t>
      </w:r>
      <w:r w:rsidR="00486435">
        <w:t>“</w:t>
      </w:r>
      <w:r w:rsidR="00AF001B">
        <w:t>There, you see, look at that image, the father</w:t>
      </w:r>
      <w:r w:rsidR="00905D48">
        <w:t>-</w:t>
      </w:r>
      <w:r w:rsidR="00AF001B">
        <w:t>in</w:t>
      </w:r>
      <w:r w:rsidR="00905D48">
        <w:t>-</w:t>
      </w:r>
      <w:r w:rsidR="00AF001B">
        <w:t>law and all Communist relatives.</w:t>
      </w:r>
      <w:r w:rsidR="00486435">
        <w:t>”</w:t>
      </w:r>
      <w:r w:rsidR="00AF001B">
        <w:t xml:space="preserve"> </w:t>
      </w:r>
    </w:p>
    <w:p w14:paraId="2082B5EF" w14:textId="57FDBFEF" w:rsidR="005530A0" w:rsidRDefault="004C0798" w:rsidP="00905D48">
      <w:pPr>
        <w:pStyle w:val="Body"/>
      </w:pPr>
      <w:r>
        <w:t xml:space="preserve">Ngo continued during the </w:t>
      </w:r>
      <w:r w:rsidR="006C15B0">
        <w:t>broadcast</w:t>
      </w:r>
      <w:proofErr w:type="gramStart"/>
      <w:r>
        <w:t xml:space="preserve">:  </w:t>
      </w:r>
      <w:r w:rsidR="00486435">
        <w:t>“</w:t>
      </w:r>
      <w:proofErr w:type="gramEnd"/>
      <w:r>
        <w:t>All of a sudden, a son-in-law of a Communist colonel is now running for election and approaching the community and so on.  Therefore, we need to unmask them, we</w:t>
      </w:r>
      <w:r w:rsidR="004064F2">
        <w:t>’</w:t>
      </w:r>
      <w:r>
        <w:t xml:space="preserve">re saying </w:t>
      </w:r>
      <w:r w:rsidR="00905D48">
        <w:t xml:space="preserve">that Ted Bui, a Fountain Valley city councilman and now running for state assemblyman is a guy connected with the Communists, his wife is a lawyer . . . Is that Lan Vu?  Lan Vu, something Vu Lan, daughter of a Communist colonel.  Here, look at see the picture, folks.  When we say </w:t>
      </w:r>
      <w:proofErr w:type="gramStart"/>
      <w:r w:rsidR="00905D48">
        <w:t>something</w:t>
      </w:r>
      <w:proofErr w:type="gramEnd"/>
      <w:r w:rsidR="00905D48">
        <w:t xml:space="preserve"> we do have proofs [sic].  But just recently you see that during the parade he brought along a group of people wearing red outfits, red </w:t>
      </w:r>
      <w:proofErr w:type="gramStart"/>
      <w:r w:rsidR="00905D48">
        <w:t>clothes</w:t>
      </w:r>
      <w:proofErr w:type="gramEnd"/>
      <w:r w:rsidR="00905D48">
        <w:t xml:space="preserve"> and yellow hats, like the Communist flag, dancing and spinning on Bolsa Avenue, playing communist music and all.  So, I warn you, I caution you about Ted Bui so you can be cautious about this guy, OK?</w:t>
      </w:r>
      <w:r w:rsidR="00486435">
        <w:t>”</w:t>
      </w:r>
      <w:r w:rsidR="00905D48">
        <w:t xml:space="preserve"> </w:t>
      </w:r>
    </w:p>
    <w:p w14:paraId="43406DBC" w14:textId="33C83B98" w:rsidR="005530A0" w:rsidRPr="00A90A54" w:rsidRDefault="00905D48" w:rsidP="005530A0">
      <w:pPr>
        <w:pStyle w:val="Body"/>
      </w:pPr>
      <w:r>
        <w:t xml:space="preserve">The second declaration was from Michael Vo, </w:t>
      </w:r>
      <w:r w:rsidR="005A526F">
        <w:t xml:space="preserve">a resident of, and city councilmember for, Fountain Valley.  He explained that he and his wife had become close </w:t>
      </w:r>
      <w:r w:rsidR="005A526F">
        <w:lastRenderedPageBreak/>
        <w:t xml:space="preserve">friends with Ted Bui and </w:t>
      </w:r>
      <w:r w:rsidR="001B6B43">
        <w:t>plaintiff</w:t>
      </w:r>
      <w:r w:rsidR="005A526F">
        <w:t xml:space="preserve"> while engaged in political and business activities.  Among other things, Vo and Ted </w:t>
      </w:r>
      <w:r w:rsidR="00554405">
        <w:t>Bui</w:t>
      </w:r>
      <w:r w:rsidR="00493570">
        <w:t xml:space="preserve"> </w:t>
      </w:r>
      <w:r w:rsidR="005A526F">
        <w:t xml:space="preserve">assisted each other in running successful </w:t>
      </w:r>
      <w:r w:rsidR="00493570">
        <w:t xml:space="preserve">city council </w:t>
      </w:r>
      <w:r w:rsidR="005A526F">
        <w:t>campaigns.  Vo described a day in 2021 when plaintiff</w:t>
      </w:r>
      <w:r w:rsidR="00486435">
        <w:t>’</w:t>
      </w:r>
      <w:r w:rsidR="005A526F">
        <w:t xml:space="preserve">s father, Chung Vu, </w:t>
      </w:r>
      <w:r w:rsidR="00486435">
        <w:t>“</w:t>
      </w:r>
      <w:r w:rsidR="005A526F">
        <w:t>spontaneously shared about his past and what he achieved in Vietnam.</w:t>
      </w:r>
      <w:r w:rsidR="00486435">
        <w:t>”</w:t>
      </w:r>
      <w:r w:rsidR="005A526F">
        <w:t xml:space="preserve"> </w:t>
      </w:r>
      <w:r w:rsidR="00A90A54">
        <w:t xml:space="preserve"> He conveyed Chung Vu </w:t>
      </w:r>
      <w:r w:rsidR="00486435">
        <w:t>“</w:t>
      </w:r>
      <w:r w:rsidR="00A90A54">
        <w:t>shared his opinion about the Vietnam communist party</w:t>
      </w:r>
      <w:r w:rsidR="00486435">
        <w:t>”</w:t>
      </w:r>
      <w:r w:rsidR="00A90A54">
        <w:t xml:space="preserve"> and told </w:t>
      </w:r>
      <w:r w:rsidR="00246FAB">
        <w:t>him</w:t>
      </w:r>
      <w:r w:rsidR="00A90A54">
        <w:t xml:space="preserve"> </w:t>
      </w:r>
      <w:r w:rsidR="00486435">
        <w:t>“</w:t>
      </w:r>
      <w:r w:rsidR="00A90A54">
        <w:t xml:space="preserve">he was an officer in the Vietnam communist </w:t>
      </w:r>
      <w:proofErr w:type="gramStart"/>
      <w:r w:rsidR="00A90A54">
        <w:t>government[</w:t>
      </w:r>
      <w:proofErr w:type="gramEnd"/>
      <w:r w:rsidR="00A90A54">
        <w:t>,]</w:t>
      </w:r>
      <w:r w:rsidR="00486435">
        <w:t>”</w:t>
      </w:r>
      <w:r w:rsidR="00A90A54">
        <w:t xml:space="preserve"> although Vo could </w:t>
      </w:r>
      <w:r w:rsidR="00486435">
        <w:t>“</w:t>
      </w:r>
      <w:r w:rsidR="00A90A54">
        <w:t>not recall the exact details of when or how.</w:t>
      </w:r>
      <w:r w:rsidR="00486435">
        <w:t>”</w:t>
      </w:r>
      <w:r w:rsidR="00A90A54">
        <w:t xml:space="preserve"> </w:t>
      </w:r>
    </w:p>
    <w:p w14:paraId="42BA9E91" w14:textId="536022F7" w:rsidR="005530A0" w:rsidRDefault="00246FAB" w:rsidP="005530A0">
      <w:pPr>
        <w:pStyle w:val="Body"/>
      </w:pPr>
      <w:r>
        <w:t xml:space="preserve">Plaintiff opposed the anti-SLAPP motion.  </w:t>
      </w:r>
      <w:r w:rsidR="00B92052">
        <w:t>She contended her claims were not subject to the anti-SLAPP statute because defendants</w:t>
      </w:r>
      <w:r w:rsidR="00486435">
        <w:t>’</w:t>
      </w:r>
      <w:r w:rsidR="00B92052">
        <w:t xml:space="preserve"> comments did not concern a</w:t>
      </w:r>
      <w:r w:rsidR="00D059CB">
        <w:t xml:space="preserve"> </w:t>
      </w:r>
      <w:r w:rsidR="00B92052">
        <w:t>public controversy or an issue of public interest.  From her perspective</w:t>
      </w:r>
      <w:r w:rsidR="00554405">
        <w:t>,</w:t>
      </w:r>
      <w:r w:rsidR="00B92052">
        <w:t xml:space="preserve"> they were personal attacks on </w:t>
      </w:r>
      <w:proofErr w:type="gramStart"/>
      <w:r w:rsidR="00B92052">
        <w:t>her</w:t>
      </w:r>
      <w:proofErr w:type="gramEnd"/>
      <w:r w:rsidR="00B92052">
        <w:t xml:space="preserve"> and she was not </w:t>
      </w:r>
      <w:r w:rsidR="00D059CB">
        <w:t xml:space="preserve">a person in the limelight simply because she was married to </w:t>
      </w:r>
      <w:r w:rsidR="00420A1D">
        <w:t>a</w:t>
      </w:r>
      <w:r w:rsidR="00D059CB">
        <w:t xml:space="preserve"> local elected official with whom she appeared in public. </w:t>
      </w:r>
      <w:r w:rsidR="00374EBE">
        <w:t xml:space="preserve"> </w:t>
      </w:r>
      <w:r w:rsidR="00D059CB">
        <w:t xml:space="preserve">Plaintiff also </w:t>
      </w:r>
      <w:r w:rsidR="00513296">
        <w:t>argued her cause of action had minimal merit, rejecting defendants</w:t>
      </w:r>
      <w:r w:rsidR="00486435">
        <w:t>’</w:t>
      </w:r>
      <w:r w:rsidR="00513296">
        <w:t xml:space="preserve"> assertion she was a public figure who needed to prove actual malice.</w:t>
      </w:r>
    </w:p>
    <w:p w14:paraId="00EA03DE" w14:textId="026334B7" w:rsidR="000F6279" w:rsidRDefault="00B15323" w:rsidP="00165939">
      <w:pPr>
        <w:pStyle w:val="Body"/>
      </w:pPr>
      <w:r w:rsidRPr="00821EFB">
        <w:t>The only evidence presented</w:t>
      </w:r>
      <w:r>
        <w:t xml:space="preserve"> by plaintiff </w:t>
      </w:r>
      <w:r w:rsidR="009C1E9C">
        <w:t xml:space="preserve">was </w:t>
      </w:r>
      <w:r w:rsidR="00821EFB">
        <w:t>her own</w:t>
      </w:r>
      <w:r w:rsidR="009C1E9C">
        <w:t xml:space="preserve"> </w:t>
      </w:r>
      <w:r w:rsidR="00161294">
        <w:t>three</w:t>
      </w:r>
      <w:r w:rsidR="009C1E9C">
        <w:t xml:space="preserve"> paragraph declaration.  </w:t>
      </w:r>
      <w:r w:rsidR="00DA71BC">
        <w:t xml:space="preserve">The first paragraph </w:t>
      </w:r>
      <w:r w:rsidR="00083A15">
        <w:t>was introductory.  The second paragraph stated she saw the February 2022 YouTube broadcast</w:t>
      </w:r>
      <w:r w:rsidR="00612AA0">
        <w:t xml:space="preserve"> and identified things </w:t>
      </w:r>
      <w:r w:rsidR="00B2721C">
        <w:t>defendants said and did during it.  The third paragraph</w:t>
      </w:r>
      <w:r w:rsidR="00307412">
        <w:t xml:space="preserve"> </w:t>
      </w:r>
      <w:r w:rsidR="00B90349">
        <w:t>asserted</w:t>
      </w:r>
      <w:r w:rsidR="00307412">
        <w:t xml:space="preserve"> all defendants</w:t>
      </w:r>
      <w:r w:rsidR="00486435">
        <w:t>’</w:t>
      </w:r>
      <w:r w:rsidR="00307412">
        <w:t xml:space="preserve"> comments </w:t>
      </w:r>
      <w:r w:rsidR="00B90349">
        <w:t>were</w:t>
      </w:r>
      <w:r w:rsidR="00307412">
        <w:t xml:space="preserve"> false</w:t>
      </w:r>
      <w:r w:rsidR="009F4CAC">
        <w:t>, further explaining as follows</w:t>
      </w:r>
      <w:proofErr w:type="gramStart"/>
      <w:r w:rsidR="009F4CAC">
        <w:t xml:space="preserve">:  </w:t>
      </w:r>
      <w:r w:rsidR="00486435">
        <w:t>“</w:t>
      </w:r>
      <w:proofErr w:type="gramEnd"/>
      <w:r w:rsidR="00B87788">
        <w:t xml:space="preserve">Communist </w:t>
      </w:r>
      <w:r w:rsidR="00B90349">
        <w:t xml:space="preserve">associations or sympathies in the Vietnamese expatriate community will subject a person so charged to hatred, contempt, ridicule, and shame.  My father was a civil engineer who retired in 2000.  He never participated in the military.  The man in the photo is not my father.  I have never participated in, involved with [sic], </w:t>
      </w:r>
      <w:r w:rsidR="0061529F">
        <w:t>or supported the Communist party.  The red dress I wore at the TET parade was symbolic of the lunar new year.  The music played was Vietnamese pop music for the young people to dance to.  It was not Communist music.</w:t>
      </w:r>
      <w:r w:rsidR="00486435">
        <w:t>”</w:t>
      </w:r>
    </w:p>
    <w:p w14:paraId="76573EDE" w14:textId="6DACDF55" w:rsidR="00513296" w:rsidRPr="00525348" w:rsidRDefault="00434A49" w:rsidP="005530A0">
      <w:pPr>
        <w:pStyle w:val="Body"/>
      </w:pPr>
      <w:r>
        <w:lastRenderedPageBreak/>
        <w:t>After considering the evidence and the parties</w:t>
      </w:r>
      <w:r w:rsidR="00486435">
        <w:t>’</w:t>
      </w:r>
      <w:r>
        <w:t xml:space="preserve"> arguments</w:t>
      </w:r>
      <w:r w:rsidR="00635547" w:rsidRPr="00434A49">
        <w:t>, the trial court granted the</w:t>
      </w:r>
      <w:r w:rsidR="00513296" w:rsidRPr="00434A49">
        <w:t xml:space="preserve"> anti-SLAPP motion.</w:t>
      </w:r>
      <w:r w:rsidR="00635547" w:rsidRPr="00635547">
        <w:rPr>
          <w:rStyle w:val="FootnoteReference"/>
          <w:color w:val="auto"/>
        </w:rPr>
        <w:footnoteReference w:id="6"/>
      </w:r>
      <w:r w:rsidR="00513296">
        <w:t xml:space="preserve"> </w:t>
      </w:r>
      <w:r w:rsidR="00C30266">
        <w:t xml:space="preserve"> </w:t>
      </w:r>
      <w:r w:rsidR="007D4B36">
        <w:t>In its written order, the court first explained</w:t>
      </w:r>
      <w:r w:rsidR="00971343">
        <w:t xml:space="preserve"> i</w:t>
      </w:r>
      <w:r w:rsidR="000C7A62">
        <w:t xml:space="preserve">t </w:t>
      </w:r>
      <w:r w:rsidR="00971343">
        <w:t>found</w:t>
      </w:r>
      <w:r w:rsidR="000C7A62">
        <w:t xml:space="preserve"> </w:t>
      </w:r>
      <w:r w:rsidR="00A70064">
        <w:t xml:space="preserve">defendants met their initial burden of establishing applicability of </w:t>
      </w:r>
      <w:r w:rsidR="000C7A62">
        <w:t>the anti-</w:t>
      </w:r>
      <w:r w:rsidR="00971343">
        <w:t>SLAPP statute</w:t>
      </w:r>
      <w:r w:rsidR="002451E1">
        <w:t xml:space="preserve">.  </w:t>
      </w:r>
      <w:r w:rsidR="009C68E9">
        <w:t xml:space="preserve">Citing section 425.16, subdivision (e)(4), </w:t>
      </w:r>
      <w:r w:rsidR="002F60B3">
        <w:t>i</w:t>
      </w:r>
      <w:r w:rsidR="002451E1">
        <w:t>t outlined</w:t>
      </w:r>
      <w:r w:rsidR="00AE1E32">
        <w:t xml:space="preserve"> </w:t>
      </w:r>
      <w:r w:rsidR="00960182">
        <w:t>evidence demonstrating</w:t>
      </w:r>
      <w:r w:rsidR="002F60B3">
        <w:t xml:space="preserve"> that</w:t>
      </w:r>
      <w:r w:rsidR="00960182">
        <w:t xml:space="preserve"> defendants</w:t>
      </w:r>
      <w:r w:rsidR="00486435">
        <w:t>’</w:t>
      </w:r>
      <w:r w:rsidR="00960182">
        <w:t xml:space="preserve"> alleged conduct was </w:t>
      </w:r>
      <w:r w:rsidR="009C68E9">
        <w:t xml:space="preserve">in connection with a </w:t>
      </w:r>
      <w:r w:rsidR="002F60B3">
        <w:t>public issue or an issue of public interest</w:t>
      </w:r>
      <w:r w:rsidR="003C21C9">
        <w:t xml:space="preserve"> </w:t>
      </w:r>
      <w:r w:rsidR="00C04FF6">
        <w:t>—</w:t>
      </w:r>
      <w:r w:rsidR="003C21C9">
        <w:t xml:space="preserve"> </w:t>
      </w:r>
      <w:r w:rsidR="00C04FF6">
        <w:t>Ted Bui</w:t>
      </w:r>
      <w:r w:rsidR="00486435">
        <w:t>’</w:t>
      </w:r>
      <w:r w:rsidR="00C04FF6">
        <w:t xml:space="preserve">s </w:t>
      </w:r>
      <w:r w:rsidR="00144E7B">
        <w:t>political campaign and his qualifications for public office</w:t>
      </w:r>
      <w:r w:rsidR="008554CD">
        <w:t xml:space="preserve">, particularly from the perspective of the local </w:t>
      </w:r>
      <w:proofErr w:type="gramStart"/>
      <w:r w:rsidR="008554CD">
        <w:t>Vietnamese-American</w:t>
      </w:r>
      <w:proofErr w:type="gramEnd"/>
      <w:r w:rsidR="008554CD">
        <w:t xml:space="preserve"> community</w:t>
      </w:r>
      <w:r w:rsidR="00E078FA">
        <w:t>.</w:t>
      </w:r>
      <w:r w:rsidR="00194B3E">
        <w:t xml:space="preserve">  Second, the court</w:t>
      </w:r>
      <w:r w:rsidR="004A6AD3">
        <w:t xml:space="preserve"> analyzed whether plaintiff met her burden of establishing the minimal merit of her claims</w:t>
      </w:r>
      <w:r w:rsidR="00EA110E">
        <w:t xml:space="preserve">.  Focusing on </w:t>
      </w:r>
      <w:r w:rsidR="00721CAF">
        <w:t xml:space="preserve">the defamation cause of action, </w:t>
      </w:r>
      <w:r w:rsidR="00EA110E">
        <w:t>with a note that</w:t>
      </w:r>
      <w:r w:rsidR="00721CAF">
        <w:t xml:space="preserve"> plaintiff </w:t>
      </w:r>
      <w:r w:rsidR="00F61DF8">
        <w:t xml:space="preserve">did not </w:t>
      </w:r>
      <w:r w:rsidR="00481292">
        <w:t xml:space="preserve">address </w:t>
      </w:r>
      <w:r w:rsidR="00033912">
        <w:t>the</w:t>
      </w:r>
      <w:r w:rsidR="00481292">
        <w:t xml:space="preserve"> other claims</w:t>
      </w:r>
      <w:r w:rsidR="00C4362E">
        <w:t xml:space="preserve">, </w:t>
      </w:r>
      <w:r w:rsidR="00EA110E">
        <w:t xml:space="preserve">it </w:t>
      </w:r>
      <w:r w:rsidR="00C4362E">
        <w:t xml:space="preserve">concluded </w:t>
      </w:r>
      <w:r w:rsidR="00704BDC">
        <w:t>she</w:t>
      </w:r>
      <w:r w:rsidR="00EA110E">
        <w:t xml:space="preserve"> failed to </w:t>
      </w:r>
      <w:r w:rsidR="00704BDC">
        <w:t>do so</w:t>
      </w:r>
      <w:r w:rsidR="00A57158">
        <w:t xml:space="preserve">.  </w:t>
      </w:r>
      <w:r w:rsidR="00704BDC">
        <w:t>From its perspective,</w:t>
      </w:r>
      <w:r w:rsidR="00A57158">
        <w:t xml:space="preserve"> </w:t>
      </w:r>
      <w:r w:rsidR="00AD631F">
        <w:t xml:space="preserve">there was sufficient evidence </w:t>
      </w:r>
      <w:r w:rsidR="00FF193C">
        <w:t>the targeted statements were</w:t>
      </w:r>
      <w:r w:rsidR="00AD631F">
        <w:t xml:space="preserve"> </w:t>
      </w:r>
      <w:r w:rsidR="00E46EA1">
        <w:t xml:space="preserve">false statements </w:t>
      </w:r>
      <w:r w:rsidR="00FF193C">
        <w:t>of fact</w:t>
      </w:r>
      <w:r w:rsidR="006B57D8">
        <w:t xml:space="preserve">. </w:t>
      </w:r>
      <w:r w:rsidR="00C0129E">
        <w:t xml:space="preserve"> </w:t>
      </w:r>
      <w:r w:rsidR="001B7E58">
        <w:t xml:space="preserve">In contrast, it found </w:t>
      </w:r>
      <w:r w:rsidR="006B57D8">
        <w:t>plaintiff failed to produce any evidence of actual malice, a</w:t>
      </w:r>
      <w:r w:rsidR="004E73D5">
        <w:t>n</w:t>
      </w:r>
      <w:r w:rsidR="006B57D8">
        <w:t xml:space="preserve"> </w:t>
      </w:r>
      <w:r w:rsidR="00997F36">
        <w:t>element</w:t>
      </w:r>
      <w:r w:rsidR="001E1871">
        <w:t xml:space="preserve"> </w:t>
      </w:r>
      <w:r w:rsidR="00366898">
        <w:t xml:space="preserve">it deemed necessary </w:t>
      </w:r>
      <w:r w:rsidR="001E1871">
        <w:t xml:space="preserve">based on </w:t>
      </w:r>
      <w:r w:rsidR="001E7D57">
        <w:t>its</w:t>
      </w:r>
      <w:r w:rsidR="001E1871">
        <w:t xml:space="preserve"> conclusion </w:t>
      </w:r>
      <w:r w:rsidR="001E7D57">
        <w:t>she</w:t>
      </w:r>
      <w:r w:rsidR="001E1871">
        <w:t xml:space="preserve"> </w:t>
      </w:r>
      <w:r w:rsidR="00A57158">
        <w:t>qualified as a limited purpose public figure</w:t>
      </w:r>
      <w:r w:rsidR="00C0129E">
        <w:t xml:space="preserve">. </w:t>
      </w:r>
      <w:r w:rsidR="00033912">
        <w:t xml:space="preserve"> </w:t>
      </w:r>
      <w:r w:rsidR="0012226D">
        <w:t>Part of what led the court to conclude she was such a figure</w:t>
      </w:r>
      <w:r w:rsidR="00FF1C1C">
        <w:t xml:space="preserve"> was </w:t>
      </w:r>
      <w:r w:rsidR="00BC3256">
        <w:t>that she carried political posters for her husband</w:t>
      </w:r>
      <w:r w:rsidR="00486435">
        <w:t>’</w:t>
      </w:r>
      <w:r w:rsidR="00BC3256">
        <w:t>s campaign during the Tet parade</w:t>
      </w:r>
      <w:r w:rsidR="00C94956">
        <w:t xml:space="preserve"> while wearing </w:t>
      </w:r>
      <w:r w:rsidR="00486435">
        <w:t>“</w:t>
      </w:r>
      <w:r w:rsidR="00CE051B">
        <w:t>the current colors of Vietnam</w:t>
      </w:r>
      <w:r w:rsidR="00486435">
        <w:t>’</w:t>
      </w:r>
      <w:r w:rsidR="00CE051B">
        <w:t>s flag.</w:t>
      </w:r>
      <w:r w:rsidR="00486435">
        <w:t>”</w:t>
      </w:r>
    </w:p>
    <w:p w14:paraId="0870CEA2" w14:textId="2808205C" w:rsidR="007B304C" w:rsidRDefault="00DC72B6" w:rsidP="005530A0">
      <w:pPr>
        <w:pStyle w:val="Body"/>
      </w:pPr>
      <w:r>
        <w:t xml:space="preserve">Prior to appealing, plaintiff </w:t>
      </w:r>
      <w:r w:rsidR="001B28A6">
        <w:t xml:space="preserve">moved the trial court to reconsider its ruling.  Her motion was based on </w:t>
      </w:r>
      <w:r w:rsidR="00DB630E">
        <w:t xml:space="preserve">two </w:t>
      </w:r>
      <w:r w:rsidR="00486435">
        <w:t>“</w:t>
      </w:r>
      <w:r w:rsidR="00DB630E">
        <w:t>new or different facts</w:t>
      </w:r>
      <w:r w:rsidR="00486435">
        <w:t>”</w:t>
      </w:r>
      <w:r w:rsidR="00246E91">
        <w:t xml:space="preserve"> and one </w:t>
      </w:r>
      <w:r w:rsidR="00486435">
        <w:t>“</w:t>
      </w:r>
      <w:r w:rsidR="00246E91">
        <w:t>new or different law</w:t>
      </w:r>
      <w:r w:rsidR="00486435">
        <w:t>”</w:t>
      </w:r>
      <w:r w:rsidR="00CE0692">
        <w:t xml:space="preserve">:  </w:t>
      </w:r>
      <w:r w:rsidR="007A3FDE">
        <w:t xml:space="preserve">(1) </w:t>
      </w:r>
      <w:r w:rsidR="00486435">
        <w:t>“</w:t>
      </w:r>
      <w:r w:rsidR="0012226D">
        <w:t xml:space="preserve">[p]laintiff was not carrying </w:t>
      </w:r>
      <w:r w:rsidR="00D14244">
        <w:t>any political poster for her husband</w:t>
      </w:r>
      <w:r w:rsidR="00486435">
        <w:t>’</w:t>
      </w:r>
      <w:r w:rsidR="00D14244">
        <w:t>s campaign in the 2022 lunar new year Tet parade</w:t>
      </w:r>
      <w:r w:rsidR="00486435">
        <w:t>”</w:t>
      </w:r>
      <w:r w:rsidR="005A700C">
        <w:t xml:space="preserve">; </w:t>
      </w:r>
      <w:r w:rsidR="00D87C48">
        <w:t xml:space="preserve">(2) </w:t>
      </w:r>
      <w:r w:rsidR="005A700C">
        <w:t>“</w:t>
      </w:r>
      <w:r w:rsidR="00D87C48">
        <w:t>[r]ed and yellow, the colors worn by [p]laintiff while walking beside her husband in the 2022 lunar new year Tet parade, ar</w:t>
      </w:r>
      <w:r w:rsidR="0069709E">
        <w:t>e</w:t>
      </w:r>
      <w:r w:rsidR="00D87C48">
        <w:t xml:space="preserve"> the colors of the </w:t>
      </w:r>
      <w:r w:rsidR="00FE786E">
        <w:t>flag of the Republic of Vietnam, the formerly democratic South</w:t>
      </w:r>
      <w:r w:rsidR="00486435">
        <w:t>”</w:t>
      </w:r>
      <w:r w:rsidR="00365642">
        <w:t>;</w:t>
      </w:r>
      <w:r w:rsidR="003A19A9">
        <w:t xml:space="preserve"> </w:t>
      </w:r>
      <w:r w:rsidR="00FE786E">
        <w:t xml:space="preserve">and (3) </w:t>
      </w:r>
      <w:r w:rsidR="00486435">
        <w:t>“</w:t>
      </w:r>
      <w:r w:rsidR="00551A9B">
        <w:t>[</w:t>
      </w:r>
      <w:r w:rsidR="00FE786E">
        <w:t>m</w:t>
      </w:r>
      <w:r w:rsidR="00551A9B">
        <w:t>]</w:t>
      </w:r>
      <w:r w:rsidR="00FE786E">
        <w:t xml:space="preserve">ere </w:t>
      </w:r>
      <w:r w:rsidR="00551A9B">
        <w:t xml:space="preserve">involvement of </w:t>
      </w:r>
      <w:r w:rsidR="00365642">
        <w:t>[</w:t>
      </w:r>
      <w:r w:rsidR="00551A9B">
        <w:t>a</w:t>
      </w:r>
      <w:r w:rsidR="00365642">
        <w:t>]</w:t>
      </w:r>
      <w:r w:rsidR="00551A9B">
        <w:t xml:space="preserve"> person in a matter which media deems to be of interest to </w:t>
      </w:r>
      <w:r w:rsidR="00365642">
        <w:t xml:space="preserve">[the] </w:t>
      </w:r>
      <w:r w:rsidR="00551A9B">
        <w:t xml:space="preserve">public does not, in and of itself, require that such person become </w:t>
      </w:r>
      <w:r w:rsidR="00D33204">
        <w:t>[a] public figure for purpose[s] of [a] subsequent libel action.</w:t>
      </w:r>
      <w:r w:rsidR="00486435">
        <w:t>”</w:t>
      </w:r>
      <w:r w:rsidR="00D33204">
        <w:t xml:space="preserve"> </w:t>
      </w:r>
    </w:p>
    <w:p w14:paraId="18F43026" w14:textId="623DD088" w:rsidR="008F4A86" w:rsidRPr="00D059CB" w:rsidRDefault="007B304C" w:rsidP="00C24924">
      <w:pPr>
        <w:pStyle w:val="Body"/>
      </w:pPr>
      <w:r>
        <w:lastRenderedPageBreak/>
        <w:t>Plaintiff</w:t>
      </w:r>
      <w:r w:rsidR="002D48E2">
        <w:t xml:space="preserve"> supported her motion with </w:t>
      </w:r>
      <w:r w:rsidR="00404AFD">
        <w:t xml:space="preserve">a declaration </w:t>
      </w:r>
      <w:r w:rsidR="008F1B95">
        <w:t xml:space="preserve">nearly identical </w:t>
      </w:r>
      <w:r>
        <w:t>to her prior one</w:t>
      </w:r>
      <w:r w:rsidR="001710FC">
        <w:t>, with just one additional paragraph added.  It stated</w:t>
      </w:r>
      <w:proofErr w:type="gramStart"/>
      <w:r w:rsidR="001710FC">
        <w:t xml:space="preserve">:  </w:t>
      </w:r>
      <w:r w:rsidR="00486435">
        <w:t>“</w:t>
      </w:r>
      <w:proofErr w:type="gramEnd"/>
      <w:r w:rsidR="001710FC">
        <w:t xml:space="preserve">I never carried any political posters in the 2022 Tet parade.  Attached hereto are three (3) photos from the 2022 Tet parade showing that neither my husband </w:t>
      </w:r>
      <w:proofErr w:type="gramStart"/>
      <w:r w:rsidR="001710FC">
        <w:t>or</w:t>
      </w:r>
      <w:proofErr w:type="gramEnd"/>
      <w:r w:rsidR="001710FC">
        <w:t xml:space="preserve"> myself carried any political poster.  As a practicing attorney, I am very careful not to involve myself in political discussions generally and as to my husband</w:t>
      </w:r>
      <w:r w:rsidR="00486435">
        <w:t>’</w:t>
      </w:r>
      <w:r w:rsidR="001710FC">
        <w:t>s political positions specifically, and I did not do so during the 2022 Tet parade.</w:t>
      </w:r>
      <w:r w:rsidR="00486435">
        <w:t>”</w:t>
      </w:r>
      <w:r w:rsidR="002431AC">
        <w:t xml:space="preserve"> </w:t>
      </w:r>
    </w:p>
    <w:p w14:paraId="086D3084" w14:textId="3C37DAAB" w:rsidR="00246FAB" w:rsidRPr="001C40F5" w:rsidRDefault="005C4781" w:rsidP="005530A0">
      <w:pPr>
        <w:pStyle w:val="Body"/>
      </w:pPr>
      <w:r>
        <w:t xml:space="preserve">Defendants opposed the reconsideration motion, </w:t>
      </w:r>
      <w:r w:rsidR="001C40F5">
        <w:t xml:space="preserve">characterizing it as seeking </w:t>
      </w:r>
      <w:r w:rsidR="00486435">
        <w:t>“</w:t>
      </w:r>
      <w:r w:rsidR="001C40F5">
        <w:t>a second bite at the apple.</w:t>
      </w:r>
      <w:r w:rsidR="00486435">
        <w:t>”</w:t>
      </w:r>
      <w:r w:rsidR="001C40F5">
        <w:t xml:space="preserve"> </w:t>
      </w:r>
      <w:r w:rsidR="00D1390F">
        <w:t xml:space="preserve"> They asserted </w:t>
      </w:r>
      <w:r w:rsidR="00CE104F">
        <w:t>plaintiff</w:t>
      </w:r>
      <w:r w:rsidR="00486435">
        <w:t>’</w:t>
      </w:r>
      <w:r w:rsidR="00CE104F">
        <w:t xml:space="preserve">s </w:t>
      </w:r>
      <w:r w:rsidR="00486435">
        <w:t>“</w:t>
      </w:r>
      <w:r w:rsidR="00CE104F">
        <w:t>new</w:t>
      </w:r>
      <w:r w:rsidR="00486435">
        <w:t>”</w:t>
      </w:r>
      <w:r w:rsidR="00CE104F">
        <w:t xml:space="preserve"> evidence and law was all available to </w:t>
      </w:r>
      <w:r w:rsidR="00267EE1">
        <w:t xml:space="preserve">her at the time she opposed the anti-SLAPP motion, so it </w:t>
      </w:r>
      <w:r w:rsidR="006C7E9A">
        <w:t>c</w:t>
      </w:r>
      <w:r w:rsidR="00267EE1">
        <w:t>ould not justify reconsideration.</w:t>
      </w:r>
      <w:r w:rsidR="00D44B4E">
        <w:t xml:space="preserve"> </w:t>
      </w:r>
      <w:r w:rsidR="003A19A9">
        <w:t xml:space="preserve"> </w:t>
      </w:r>
      <w:r w:rsidR="004C76C2">
        <w:t xml:space="preserve">At the same time, they </w:t>
      </w:r>
      <w:r w:rsidR="0072530B">
        <w:t>presented their own additi</w:t>
      </w:r>
      <w:r w:rsidR="00D43D71">
        <w:t xml:space="preserve">onal evidence via a declaration </w:t>
      </w:r>
      <w:r w:rsidR="00FB4747">
        <w:t>from Ngo</w:t>
      </w:r>
      <w:r w:rsidR="00D85969">
        <w:t xml:space="preserve"> and cited</w:t>
      </w:r>
      <w:r w:rsidR="00BE7C00">
        <w:t xml:space="preserve"> one</w:t>
      </w:r>
      <w:r w:rsidR="00D85969">
        <w:t xml:space="preserve"> additional case </w:t>
      </w:r>
      <w:r w:rsidR="004A0BE2">
        <w:t xml:space="preserve">they had </w:t>
      </w:r>
      <w:r w:rsidR="00D85969">
        <w:t xml:space="preserve">not previously </w:t>
      </w:r>
      <w:r w:rsidR="004A0BE2">
        <w:t>brought to the court</w:t>
      </w:r>
      <w:r w:rsidR="00486435">
        <w:t>’</w:t>
      </w:r>
      <w:r w:rsidR="004A0BE2">
        <w:t>s attention</w:t>
      </w:r>
      <w:r w:rsidR="00FB4747">
        <w:t xml:space="preserve">. </w:t>
      </w:r>
    </w:p>
    <w:p w14:paraId="76C1AF40" w14:textId="32D9DC4C" w:rsidR="00455267" w:rsidRDefault="005330E6" w:rsidP="0082601C">
      <w:pPr>
        <w:pStyle w:val="Body"/>
      </w:pPr>
      <w:r>
        <w:t>The trial court denied plaintiff</w:t>
      </w:r>
      <w:r w:rsidR="00486435">
        <w:t>’</w:t>
      </w:r>
      <w:r>
        <w:t>s motion.  It</w:t>
      </w:r>
      <w:r w:rsidR="0077723F">
        <w:t xml:space="preserve"> </w:t>
      </w:r>
      <w:r w:rsidR="00E63B1C">
        <w:t>found there was no explanation for why plaintiff</w:t>
      </w:r>
      <w:r w:rsidR="00486435">
        <w:t>’</w:t>
      </w:r>
      <w:r w:rsidR="00E63B1C">
        <w:t>s</w:t>
      </w:r>
      <w:r w:rsidR="0077723F">
        <w:t xml:space="preserve"> </w:t>
      </w:r>
      <w:r w:rsidR="00486435">
        <w:t>“</w:t>
      </w:r>
      <w:r w:rsidR="0077723F">
        <w:t>new</w:t>
      </w:r>
      <w:r w:rsidR="00486435">
        <w:t>”</w:t>
      </w:r>
      <w:r w:rsidR="0077723F">
        <w:t xml:space="preserve"> facts</w:t>
      </w:r>
      <w:r w:rsidR="003C01B0">
        <w:t xml:space="preserve"> were not, or could not, be presented in connection with her opposition to defendants</w:t>
      </w:r>
      <w:r w:rsidR="00486435">
        <w:t>’</w:t>
      </w:r>
      <w:r w:rsidR="003C01B0">
        <w:t xml:space="preserve"> anti-SLAPP motion.</w:t>
      </w:r>
      <w:r w:rsidR="008253EA">
        <w:t xml:space="preserve">  It also noted the </w:t>
      </w:r>
      <w:r w:rsidR="00995997">
        <w:t xml:space="preserve">one </w:t>
      </w:r>
      <w:r w:rsidR="008253EA">
        <w:t xml:space="preserve">case </w:t>
      </w:r>
      <w:r w:rsidR="001E3150">
        <w:t xml:space="preserve">plaintiff </w:t>
      </w:r>
      <w:r w:rsidR="008253EA">
        <w:t xml:space="preserve">cited as </w:t>
      </w:r>
      <w:r w:rsidR="00486435">
        <w:t>“</w:t>
      </w:r>
      <w:r w:rsidR="008253EA">
        <w:t>new</w:t>
      </w:r>
      <w:r w:rsidR="00486435">
        <w:t>”</w:t>
      </w:r>
      <w:r w:rsidR="008253EA">
        <w:t xml:space="preserve"> law was 38 years old</w:t>
      </w:r>
      <w:r w:rsidR="00ED3DD2">
        <w:t xml:space="preserve"> and the court was previously aware of it because </w:t>
      </w:r>
      <w:r w:rsidR="00AF5F8F">
        <w:t>plaintiff</w:t>
      </w:r>
      <w:r w:rsidR="00060375">
        <w:t xml:space="preserve"> cited </w:t>
      </w:r>
      <w:r w:rsidR="00AF5F8F">
        <w:t>it</w:t>
      </w:r>
      <w:r w:rsidR="00060375">
        <w:t xml:space="preserve"> in her </w:t>
      </w:r>
      <w:r w:rsidR="00AF5F8F">
        <w:t>anti-SLAPP opposition</w:t>
      </w:r>
      <w:r w:rsidR="00060375">
        <w:t xml:space="preserve"> papers</w:t>
      </w:r>
      <w:r w:rsidR="00AF5F8F">
        <w:t>.</w:t>
      </w:r>
    </w:p>
    <w:p w14:paraId="57816F59" w14:textId="3BCCEF90" w:rsidR="00566878" w:rsidRDefault="00222EE5" w:rsidP="00566878">
      <w:pPr>
        <w:pStyle w:val="Body"/>
      </w:pPr>
      <w:r>
        <w:t>T</w:t>
      </w:r>
      <w:r w:rsidR="004C0CA7">
        <w:t>he trial court entered judgment in defe</w:t>
      </w:r>
      <w:r>
        <w:t>n</w:t>
      </w:r>
      <w:r w:rsidR="004C0CA7">
        <w:t>dants</w:t>
      </w:r>
      <w:r w:rsidR="00486435">
        <w:t>’</w:t>
      </w:r>
      <w:r w:rsidR="004C0CA7">
        <w:t xml:space="preserve"> favor</w:t>
      </w:r>
      <w:r>
        <w:t xml:space="preserve">.  </w:t>
      </w:r>
      <w:r w:rsidR="00B10890">
        <w:t xml:space="preserve">Plaintiff timely appealed </w:t>
      </w:r>
      <w:r w:rsidR="001D5AD0">
        <w:t xml:space="preserve">from the </w:t>
      </w:r>
      <w:r w:rsidR="00EB1511">
        <w:t>order granting defendants</w:t>
      </w:r>
      <w:r w:rsidR="00486435">
        <w:t>’</w:t>
      </w:r>
      <w:r w:rsidR="00EB1511">
        <w:t xml:space="preserve"> </w:t>
      </w:r>
      <w:r w:rsidR="000C0234">
        <w:t>anti-SLAPP motion</w:t>
      </w:r>
      <w:r w:rsidR="004C0CA7">
        <w:t xml:space="preserve"> and the ensuing judgment</w:t>
      </w:r>
      <w:r w:rsidR="000C0234">
        <w:t>.</w:t>
      </w:r>
      <w:r w:rsidR="00B12764" w:rsidRPr="00CE5D82">
        <w:rPr>
          <w:rStyle w:val="FootnoteReference"/>
          <w:color w:val="auto"/>
        </w:rPr>
        <w:footnoteReference w:id="7"/>
      </w:r>
      <w:r w:rsidR="000C0234" w:rsidRPr="00CE5D82">
        <w:t xml:space="preserve"> </w:t>
      </w:r>
    </w:p>
    <w:p w14:paraId="6BD9BA30" w14:textId="6F939E84" w:rsidR="00566878" w:rsidRDefault="00566878" w:rsidP="00566878">
      <w:pPr>
        <w:pStyle w:val="Heading1"/>
      </w:pPr>
      <w:r>
        <w:t>DISCUSSION</w:t>
      </w:r>
    </w:p>
    <w:p w14:paraId="09D59E03" w14:textId="2A2B443A" w:rsidR="009B3D70" w:rsidRDefault="0080388D" w:rsidP="00B45CAF">
      <w:pPr>
        <w:pStyle w:val="Body"/>
        <w:widowControl w:val="0"/>
      </w:pPr>
      <w:r>
        <w:t xml:space="preserve">Plaintiff contends the trial court erred in finding she was a limited purpose </w:t>
      </w:r>
      <w:r>
        <w:lastRenderedPageBreak/>
        <w:t>public figure for defamation purposes.  On this basis alone, she asks we reverse the court’s ruling and remand the case for trial.  Although</w:t>
      </w:r>
      <w:r w:rsidR="004F783C">
        <w:t>, as we explain below,</w:t>
      </w:r>
      <w:r>
        <w:t xml:space="preserve"> we agree </w:t>
      </w:r>
      <w:r w:rsidR="004F783C">
        <w:t>the evidence did not demonstrate plaintiff was a limited purpose public figure, and thus the trial court erred in granting defendants’ motion due to plaintiff’s failure to present evidence of actual malice, our analysis of the merits of the motion does not end there.  Taking the necessary further step to determine whether plaintiff met her burden of showing minimal merit of her claims, we conclude she did as to the defamation claim only.</w:t>
      </w:r>
    </w:p>
    <w:p w14:paraId="37A76EDF" w14:textId="4CEA2CD9" w:rsidR="00566878" w:rsidRDefault="00566878" w:rsidP="00566F83">
      <w:pPr>
        <w:pStyle w:val="Heading2"/>
        <w:ind w:left="900"/>
      </w:pPr>
      <w:r>
        <w:t>Anti-SLAPP Legal Principles and Standard of Review</w:t>
      </w:r>
    </w:p>
    <w:p w14:paraId="3F6DACD5" w14:textId="49C9D3CB" w:rsidR="00566878" w:rsidRDefault="00486435" w:rsidP="00566878">
      <w:pPr>
        <w:pStyle w:val="Body"/>
      </w:pPr>
      <w:r>
        <w:t>“</w:t>
      </w:r>
      <w:r w:rsidR="00566878">
        <w:t xml:space="preserve">The Legislature enacted section 425.16 in response to </w:t>
      </w:r>
      <w:r>
        <w:t>‘</w:t>
      </w:r>
      <w:r w:rsidR="00566878">
        <w:t>a disturbing increase in lawsuits brought primarily to chill the valid exercise of the constitutional rights of freedom of speech and petition for the redress of grievances.</w:t>
      </w:r>
      <w:r>
        <w:t>’”</w:t>
      </w:r>
      <w:r w:rsidR="00566878">
        <w:t xml:space="preserve">  (</w:t>
      </w:r>
      <w:bookmarkStart w:id="1" w:name="dabmci_ba81a52a0cde40248259763eef5b6d56"/>
      <w:r w:rsidR="00566878" w:rsidRPr="00566878">
        <w:rPr>
          <w:i/>
          <w:iCs/>
        </w:rPr>
        <w:t>Rand Resources, LLC v. City of Carson</w:t>
      </w:r>
      <w:r w:rsidR="00566878">
        <w:t xml:space="preserve"> (2019) 6 Cal.5th 610, 619</w:t>
      </w:r>
      <w:bookmarkEnd w:id="1"/>
      <w:r w:rsidR="00566878">
        <w:t xml:space="preserve">.)  The special motion to strike provided for in the statute is </w:t>
      </w:r>
      <w:r>
        <w:t>“‘</w:t>
      </w:r>
      <w:r w:rsidR="00566878">
        <w:t>intended to resolve quickly and relatively inexpensively meritless lawsuits that threaten free speech on matters of public interest.</w:t>
      </w:r>
      <w:r>
        <w:t>’”</w:t>
      </w:r>
      <w:r w:rsidR="00566878">
        <w:t xml:space="preserve">  (</w:t>
      </w:r>
      <w:bookmarkStart w:id="2" w:name="dabmci_2dc314a8189a41f69394b0cfe82e94f1"/>
      <w:r w:rsidR="00566878" w:rsidRPr="00566878">
        <w:rPr>
          <w:i/>
          <w:iCs/>
        </w:rPr>
        <w:t>Ibid</w:t>
      </w:r>
      <w:r w:rsidR="00566878">
        <w:t>.</w:t>
      </w:r>
      <w:bookmarkEnd w:id="2"/>
      <w:r w:rsidR="00566878">
        <w:t xml:space="preserve">)  By legislative direction, the statute is to </w:t>
      </w:r>
      <w:r>
        <w:t>“</w:t>
      </w:r>
      <w:r w:rsidR="00566878">
        <w:t>be construed broadly.</w:t>
      </w:r>
      <w:r>
        <w:t>”</w:t>
      </w:r>
      <w:r w:rsidR="00566878">
        <w:t xml:space="preserve">  (§ 425.16, subd. (a).)</w:t>
      </w:r>
    </w:p>
    <w:p w14:paraId="31713778" w14:textId="663A2718" w:rsidR="002E2D9E" w:rsidRDefault="00486435" w:rsidP="00566878">
      <w:pPr>
        <w:pStyle w:val="Body"/>
      </w:pPr>
      <w:r>
        <w:t>“</w:t>
      </w:r>
      <w:r w:rsidR="00566878">
        <w:t xml:space="preserve">Litigation of an anti-SLAPP motion involves a two-step process.  First, </w:t>
      </w:r>
      <w:r>
        <w:t>‘</w:t>
      </w:r>
      <w:r w:rsidR="00566878">
        <w:t xml:space="preserve">the moving defendant bears the burden of establishing that the challenged allegations or claims </w:t>
      </w:r>
      <w:r>
        <w:t>“</w:t>
      </w:r>
      <w:r w:rsidR="00566878">
        <w:t>aris[e] from</w:t>
      </w:r>
      <w:r>
        <w:t>”</w:t>
      </w:r>
      <w:r w:rsidR="00566878">
        <w:t xml:space="preserve"> protected activity in which the defendant has engaged.</w:t>
      </w:r>
      <w:r>
        <w:t>’”</w:t>
      </w:r>
      <w:r w:rsidR="002E2D9E">
        <w:t xml:space="preserve">  (</w:t>
      </w:r>
      <w:bookmarkStart w:id="3" w:name="dabmci_0808262763e04b38ac7814291ab2793e"/>
      <w:r w:rsidR="002E2D9E" w:rsidRPr="00566878">
        <w:rPr>
          <w:i/>
          <w:iCs/>
        </w:rPr>
        <w:t>Bonni v. St. Joseph Health System</w:t>
      </w:r>
      <w:r w:rsidR="002E2D9E">
        <w:t xml:space="preserve"> (2021) 11 Cal.5th 995, 1009 (</w:t>
      </w:r>
      <w:r w:rsidR="002E2D9E" w:rsidRPr="000779D0">
        <w:rPr>
          <w:i/>
          <w:iCs/>
        </w:rPr>
        <w:t>Bonni</w:t>
      </w:r>
      <w:r w:rsidR="002E2D9E">
        <w:t>)</w:t>
      </w:r>
      <w:bookmarkEnd w:id="3"/>
      <w:r w:rsidR="002E2D9E">
        <w:t>.)  The statute sets forth the four categories of protected activity.  (§ 425.16, subd. (e).)</w:t>
      </w:r>
    </w:p>
    <w:p w14:paraId="2CE0BB4F" w14:textId="6240F0AF" w:rsidR="002E2D9E" w:rsidRDefault="00486435" w:rsidP="002E2D9E">
      <w:pPr>
        <w:pStyle w:val="Body"/>
      </w:pPr>
      <w:r>
        <w:t>“</w:t>
      </w:r>
      <w:r w:rsidR="00566878">
        <w:t xml:space="preserve">Second, for each claim that does arise from protected activity, the plaintiff must show the claim has </w:t>
      </w:r>
      <w:r>
        <w:t>‘</w:t>
      </w:r>
      <w:r w:rsidR="00566878">
        <w:t xml:space="preserve">at least </w:t>
      </w:r>
      <w:r>
        <w:t>“</w:t>
      </w:r>
      <w:r w:rsidR="00566878">
        <w:t>minimal merit.</w:t>
      </w:r>
      <w:r>
        <w:t>”</w:t>
      </w:r>
      <w:r w:rsidR="003C7004">
        <w:t>’”</w:t>
      </w:r>
      <w:r w:rsidR="002E2D9E">
        <w:t xml:space="preserve">  (</w:t>
      </w:r>
      <w:bookmarkStart w:id="4" w:name="dabmci_1fe1def444ac49368e79bb8748474b82"/>
      <w:r w:rsidR="002E2D9E" w:rsidRPr="00566878">
        <w:rPr>
          <w:i/>
          <w:iCs/>
        </w:rPr>
        <w:t>Bonni</w:t>
      </w:r>
      <w:r w:rsidR="002E2D9E">
        <w:rPr>
          <w:i/>
          <w:iCs/>
        </w:rPr>
        <w:t xml:space="preserve">, </w:t>
      </w:r>
      <w:r w:rsidR="002E2D9E" w:rsidRPr="002E2D9E">
        <w:rPr>
          <w:i/>
          <w:iCs/>
        </w:rPr>
        <w:t>supra</w:t>
      </w:r>
      <w:r w:rsidR="002E2D9E">
        <w:t xml:space="preserve">, </w:t>
      </w:r>
      <w:r w:rsidR="002E2D9E" w:rsidRPr="002E2D9E">
        <w:t>11</w:t>
      </w:r>
      <w:r w:rsidR="002E2D9E">
        <w:t xml:space="preserve"> Cal.5th at p. 1009</w:t>
      </w:r>
      <w:bookmarkEnd w:id="4"/>
      <w:r w:rsidR="002E2D9E">
        <w:t>.)  This</w:t>
      </w:r>
      <w:r w:rsidR="002E2D9E" w:rsidRPr="002E2D9E">
        <w:t xml:space="preserve"> step of the anti-SLAPP analysis </w:t>
      </w:r>
      <w:r>
        <w:t>“</w:t>
      </w:r>
      <w:r w:rsidR="002E2D9E" w:rsidRPr="002E2D9E">
        <w:t xml:space="preserve">has been described as a summary-judgment-like procedure. </w:t>
      </w:r>
      <w:r w:rsidR="002E2D9E">
        <w:t xml:space="preserve"> [Citation.]</w:t>
      </w:r>
      <w:r w:rsidR="002E2D9E" w:rsidRPr="002E2D9E">
        <w:t xml:space="preserve"> </w:t>
      </w:r>
      <w:r w:rsidR="002E2D9E">
        <w:t xml:space="preserve"> </w:t>
      </w:r>
      <w:r w:rsidR="002E2D9E" w:rsidRPr="002E2D9E">
        <w:t xml:space="preserve">The court determines whether </w:t>
      </w:r>
      <w:r>
        <w:t>‘“</w:t>
      </w:r>
      <w:r w:rsidR="002E2D9E" w:rsidRPr="002E2D9E">
        <w:t xml:space="preserve">the plaintiff has stated a legally sufficient claim and made </w:t>
      </w:r>
      <w:proofErr w:type="gramStart"/>
      <w:r w:rsidR="002E2D9E" w:rsidRPr="002E2D9E">
        <w:t>a prima facie</w:t>
      </w:r>
      <w:proofErr w:type="gramEnd"/>
      <w:r w:rsidR="002E2D9E" w:rsidRPr="002E2D9E">
        <w:t xml:space="preserve"> factual showing sufficient to </w:t>
      </w:r>
      <w:r w:rsidR="002E2D9E" w:rsidRPr="002E2D9E">
        <w:lastRenderedPageBreak/>
        <w:t>sustain a favorable judgment.</w:t>
      </w:r>
      <w:r>
        <w:t>”</w:t>
      </w:r>
      <w:r w:rsidR="005F4776">
        <w:t>’</w:t>
      </w:r>
      <w:r w:rsidR="002E2D9E">
        <w:t xml:space="preserve">  [Citation.] </w:t>
      </w:r>
      <w:r w:rsidR="002E2D9E" w:rsidRPr="002E2D9E">
        <w:t xml:space="preserve"> The plaintiff </w:t>
      </w:r>
      <w:r>
        <w:t>‘“</w:t>
      </w:r>
      <w:r w:rsidR="002E2D9E" w:rsidRPr="002E2D9E">
        <w:t>may not rely solely on its complaint, even if verified; instead, its proof must be made upon competent admissible evidence.</w:t>
      </w:r>
      <w:r>
        <w:t>”</w:t>
      </w:r>
      <w:r w:rsidR="00423697">
        <w:t>’</w:t>
      </w:r>
      <w:r w:rsidR="002E2D9E">
        <w:t xml:space="preserve">  [Citation.] </w:t>
      </w:r>
      <w:r w:rsidR="002E2D9E" w:rsidRPr="002E2D9E">
        <w:t xml:space="preserve"> The defendant may submit evidence in support of its motion. </w:t>
      </w:r>
      <w:r w:rsidR="002E2D9E">
        <w:t xml:space="preserve"> [Citation.]</w:t>
      </w:r>
      <w:r w:rsidR="002E2D9E" w:rsidRPr="002E2D9E">
        <w:t xml:space="preserve"> </w:t>
      </w:r>
      <w:r w:rsidR="002E2D9E">
        <w:t xml:space="preserve"> </w:t>
      </w:r>
      <w:r w:rsidR="002E2D9E" w:rsidRPr="002E2D9E">
        <w:t xml:space="preserve">However, </w:t>
      </w:r>
      <w:r>
        <w:t>‘“</w:t>
      </w:r>
      <w:r w:rsidR="002E2D9E" w:rsidRPr="002E2D9E">
        <w:t>[t]he court does not weigh evidence or resolve conflicting factual claims.</w:t>
      </w:r>
      <w:r>
        <w:t>”</w:t>
      </w:r>
      <w:r w:rsidR="00423697">
        <w:t>’</w:t>
      </w:r>
      <w:r w:rsidR="002E2D9E">
        <w:t xml:space="preserve">  [Citation.] </w:t>
      </w:r>
      <w:r w:rsidR="002E2D9E" w:rsidRPr="002E2D9E">
        <w:t xml:space="preserve"> Rather, the court </w:t>
      </w:r>
      <w:r>
        <w:t>‘“</w:t>
      </w:r>
      <w:r w:rsidR="002E2D9E" w:rsidRPr="002E2D9E">
        <w:t>accepts the plaintiff</w:t>
      </w:r>
      <w:r>
        <w:t>’</w:t>
      </w:r>
      <w:r w:rsidR="002E2D9E" w:rsidRPr="002E2D9E">
        <w:t xml:space="preserve">s evidence as </w:t>
      </w:r>
      <w:proofErr w:type="gramStart"/>
      <w:r w:rsidR="002E2D9E" w:rsidRPr="002E2D9E">
        <w:t>true, and</w:t>
      </w:r>
      <w:proofErr w:type="gramEnd"/>
      <w:r w:rsidR="002E2D9E" w:rsidRPr="002E2D9E">
        <w:t xml:space="preserve"> evaluates the defendant</w:t>
      </w:r>
      <w:r>
        <w:t>’</w:t>
      </w:r>
      <w:r w:rsidR="002E2D9E" w:rsidRPr="002E2D9E">
        <w:t>s showing only to determine if it defeats the plaintiff</w:t>
      </w:r>
      <w:r>
        <w:t>’</w:t>
      </w:r>
      <w:r w:rsidR="002E2D9E" w:rsidRPr="002E2D9E">
        <w:t xml:space="preserve">s claim as a matter of law. </w:t>
      </w:r>
      <w:r w:rsidR="002E2D9E">
        <w:t xml:space="preserve"> </w:t>
      </w:r>
      <w:r w:rsidR="002E2D9E" w:rsidRPr="002E2D9E">
        <w:t xml:space="preserve">[Citation.] </w:t>
      </w:r>
      <w:r w:rsidR="002E2D9E">
        <w:t xml:space="preserve"> </w:t>
      </w:r>
      <w:r>
        <w:t>‘</w:t>
      </w:r>
      <w:r w:rsidR="002E2D9E" w:rsidRPr="002E2D9E">
        <w:t>[C]laims with the requisite minimal merit may proceed.</w:t>
      </w:r>
      <w:r>
        <w:t>’”</w:t>
      </w:r>
      <w:r w:rsidR="00423697">
        <w:t>’”</w:t>
      </w:r>
      <w:r w:rsidR="002E2D9E">
        <w:t xml:space="preserve">  (</w:t>
      </w:r>
      <w:bookmarkStart w:id="5" w:name="dabmci_97ba24f2216a47c396bd4eab8d429363"/>
      <w:r w:rsidR="002E2D9E" w:rsidRPr="002E2D9E">
        <w:rPr>
          <w:i/>
          <w:iCs/>
        </w:rPr>
        <w:t>Billauer v. Escobar-Eck</w:t>
      </w:r>
      <w:r w:rsidR="002E2D9E">
        <w:t xml:space="preserve"> (2023) </w:t>
      </w:r>
      <w:r w:rsidR="002E2D9E" w:rsidRPr="002E2D9E">
        <w:t>88 Cal.App.5th 953</w:t>
      </w:r>
      <w:r w:rsidR="002E2D9E">
        <w:t>, 962</w:t>
      </w:r>
      <w:r w:rsidR="000779D0">
        <w:t xml:space="preserve"> (</w:t>
      </w:r>
      <w:r w:rsidR="000779D0" w:rsidRPr="000779D0">
        <w:rPr>
          <w:i/>
          <w:iCs/>
        </w:rPr>
        <w:t>Billauer</w:t>
      </w:r>
      <w:r w:rsidR="000779D0">
        <w:t>)</w:t>
      </w:r>
      <w:bookmarkEnd w:id="5"/>
      <w:r w:rsidR="002E2D9E">
        <w:t xml:space="preserve">.)  Conversely, </w:t>
      </w:r>
      <w:r>
        <w:t>“</w:t>
      </w:r>
      <w:r w:rsidR="002E2D9E">
        <w:t>[i]f the plaintiff cannot make this showing, the court will strike the claim.</w:t>
      </w:r>
      <w:r>
        <w:t>”</w:t>
      </w:r>
      <w:r w:rsidR="002E2D9E" w:rsidRPr="002E2D9E">
        <w:t xml:space="preserve"> </w:t>
      </w:r>
      <w:r w:rsidR="002E2D9E">
        <w:t xml:space="preserve"> (</w:t>
      </w:r>
      <w:bookmarkStart w:id="6" w:name="dabmci_131979da5c344d308e98a85647c61019"/>
      <w:r w:rsidR="002E2D9E" w:rsidRPr="00566878">
        <w:rPr>
          <w:i/>
          <w:iCs/>
        </w:rPr>
        <w:t>Bonni</w:t>
      </w:r>
      <w:r w:rsidR="002E2D9E">
        <w:rPr>
          <w:i/>
          <w:iCs/>
        </w:rPr>
        <w:t xml:space="preserve">, </w:t>
      </w:r>
      <w:r w:rsidR="002E2D9E">
        <w:t>at p. 1009</w:t>
      </w:r>
      <w:bookmarkEnd w:id="6"/>
      <w:r w:rsidR="002E2D9E">
        <w:t>.)</w:t>
      </w:r>
    </w:p>
    <w:p w14:paraId="75811392" w14:textId="7EABA9A3" w:rsidR="00566878" w:rsidRDefault="00486435" w:rsidP="009B3D70">
      <w:pPr>
        <w:pStyle w:val="Body"/>
      </w:pPr>
      <w:r>
        <w:t>“</w:t>
      </w:r>
      <w:r w:rsidR="00566878">
        <w:t xml:space="preserve">On appeal, we review </w:t>
      </w:r>
      <w:r w:rsidR="00DC74DF">
        <w:t>[an anti-SLAPP]</w:t>
      </w:r>
      <w:r w:rsidR="00566878">
        <w:t xml:space="preserve"> motion de novo and independently determine whether the parties have met their respective burdens.</w:t>
      </w:r>
      <w:r>
        <w:t>”</w:t>
      </w:r>
      <w:r w:rsidR="00566878">
        <w:t xml:space="preserve">  (</w:t>
      </w:r>
      <w:bookmarkStart w:id="7" w:name="dabmci_cb1e10d7df4a42fc9529747814540c01"/>
      <w:r w:rsidR="00566878" w:rsidRPr="00566878">
        <w:rPr>
          <w:i/>
          <w:iCs/>
        </w:rPr>
        <w:t>Cross v. Cooper</w:t>
      </w:r>
      <w:r w:rsidR="00566878">
        <w:t xml:space="preserve"> (2011) 197 Cal.App.4th 357, 371</w:t>
      </w:r>
      <w:bookmarkEnd w:id="7"/>
      <w:r w:rsidR="00566878">
        <w:t>.)</w:t>
      </w:r>
      <w:r w:rsidR="000779D0">
        <w:t xml:space="preserve">  </w:t>
      </w:r>
      <w:r w:rsidR="000779D0" w:rsidRPr="000779D0">
        <w:t xml:space="preserve">We </w:t>
      </w:r>
      <w:r w:rsidR="000779D0">
        <w:t xml:space="preserve">employ </w:t>
      </w:r>
      <w:r w:rsidR="000779D0" w:rsidRPr="000779D0">
        <w:t xml:space="preserve">the same two-step process </w:t>
      </w:r>
      <w:r w:rsidR="000779D0">
        <w:t xml:space="preserve">used by </w:t>
      </w:r>
      <w:r w:rsidR="000779D0" w:rsidRPr="000779D0">
        <w:t>the trial court</w:t>
      </w:r>
      <w:r w:rsidR="000779D0">
        <w:t>.  (</w:t>
      </w:r>
      <w:bookmarkStart w:id="8" w:name="dabmci_7e555e3d7311400bbdc3e0be0aaae5fb"/>
      <w:r w:rsidR="000779D0" w:rsidRPr="002E2D9E">
        <w:rPr>
          <w:i/>
          <w:iCs/>
        </w:rPr>
        <w:t>Billauer</w:t>
      </w:r>
      <w:r w:rsidR="000779D0">
        <w:rPr>
          <w:i/>
          <w:iCs/>
        </w:rPr>
        <w:t xml:space="preserve">, </w:t>
      </w:r>
      <w:r w:rsidR="000779D0" w:rsidRPr="000779D0">
        <w:rPr>
          <w:i/>
          <w:iCs/>
        </w:rPr>
        <w:t>supra</w:t>
      </w:r>
      <w:r w:rsidR="000779D0">
        <w:t xml:space="preserve">, </w:t>
      </w:r>
      <w:r w:rsidR="000779D0" w:rsidRPr="000779D0">
        <w:t>88</w:t>
      </w:r>
      <w:r w:rsidR="000779D0" w:rsidRPr="002E2D9E">
        <w:t xml:space="preserve"> Cal.App.</w:t>
      </w:r>
      <w:r w:rsidR="000779D0">
        <w:t>5</w:t>
      </w:r>
      <w:r w:rsidR="000779D0" w:rsidRPr="000779D0">
        <w:t>th</w:t>
      </w:r>
      <w:r w:rsidR="000779D0">
        <w:t xml:space="preserve"> at p. 962</w:t>
      </w:r>
      <w:bookmarkEnd w:id="8"/>
      <w:r w:rsidR="000779D0">
        <w:t xml:space="preserve">.)  </w:t>
      </w:r>
      <w:r>
        <w:t>“‘</w:t>
      </w:r>
      <w:r w:rsidR="000779D0" w:rsidRPr="000779D0">
        <w:t xml:space="preserve">Only a [claim] that satisfies </w:t>
      </w:r>
      <w:r w:rsidR="000779D0" w:rsidRPr="000779D0">
        <w:rPr>
          <w:i/>
          <w:iCs/>
        </w:rPr>
        <w:t>both</w:t>
      </w:r>
      <w:r w:rsidR="000779D0" w:rsidRPr="000779D0">
        <w:t xml:space="preserve"> prongs of the anti-SLAPP statut</w:t>
      </w:r>
      <w:r w:rsidR="000779D0">
        <w:t>e</w:t>
      </w:r>
      <w:r w:rsidR="00A50A6E">
        <w:t xml:space="preserve"> </w:t>
      </w:r>
      <w:r w:rsidR="000779D0">
        <w:t>—</w:t>
      </w:r>
      <w:r w:rsidR="00A50A6E">
        <w:t xml:space="preserve"> </w:t>
      </w:r>
      <w:r w:rsidR="000779D0" w:rsidRPr="000779D0">
        <w:t xml:space="preserve">i.e., that arises from protected speech or petitioning </w:t>
      </w:r>
      <w:r w:rsidR="000779D0" w:rsidRPr="000779D0">
        <w:rPr>
          <w:i/>
          <w:iCs/>
        </w:rPr>
        <w:t>and</w:t>
      </w:r>
      <w:r w:rsidR="000779D0" w:rsidRPr="000779D0">
        <w:t xml:space="preserve"> lacks even minimal merit</w:t>
      </w:r>
      <w:r w:rsidR="00A50A6E">
        <w:t xml:space="preserve"> </w:t>
      </w:r>
      <w:r w:rsidR="000779D0" w:rsidRPr="000779D0">
        <w:t>—</w:t>
      </w:r>
      <w:r w:rsidR="00A50A6E">
        <w:t xml:space="preserve"> </w:t>
      </w:r>
      <w:r w:rsidR="000779D0" w:rsidRPr="000779D0">
        <w:t>is a SLAPP, subject to being stricken under the statute.</w:t>
      </w:r>
      <w:r>
        <w:t>’”</w:t>
      </w:r>
      <w:r w:rsidR="000779D0">
        <w:t xml:space="preserve">  (</w:t>
      </w:r>
      <w:bookmarkStart w:id="9" w:name="dabmci_c8bc6ed6fa1a46cfb82f4351a40b775c"/>
      <w:r w:rsidR="000779D0" w:rsidRPr="000779D0">
        <w:rPr>
          <w:i/>
          <w:iCs/>
        </w:rPr>
        <w:t>Ibid</w:t>
      </w:r>
      <w:r w:rsidR="000779D0">
        <w:t>.</w:t>
      </w:r>
      <w:bookmarkEnd w:id="9"/>
      <w:r w:rsidR="000779D0">
        <w:t>)</w:t>
      </w:r>
    </w:p>
    <w:p w14:paraId="32C42A29" w14:textId="0097939C" w:rsidR="009B3D70" w:rsidRDefault="00A23E62" w:rsidP="00C910BD">
      <w:pPr>
        <w:pStyle w:val="Heading2"/>
      </w:pPr>
      <w:r w:rsidRPr="00C910BD">
        <w:t>Protected</w:t>
      </w:r>
      <w:r>
        <w:t xml:space="preserve"> Activity</w:t>
      </w:r>
    </w:p>
    <w:p w14:paraId="7F4369FE" w14:textId="579C56E8" w:rsidR="00225040" w:rsidRPr="00A23E62" w:rsidRDefault="00A23E62" w:rsidP="00225040">
      <w:pPr>
        <w:pStyle w:val="Body"/>
      </w:pPr>
      <w:r>
        <w:t>The trial court concluded defendants</w:t>
      </w:r>
      <w:r w:rsidR="00486435">
        <w:t>’</w:t>
      </w:r>
      <w:r>
        <w:t xml:space="preserve"> alleged actions described in the complaint constitute activity protected by the anti-SLAPP statute.  Plaintiff does not challenge this aspect of the court</w:t>
      </w:r>
      <w:r w:rsidR="00486435">
        <w:t>’</w:t>
      </w:r>
      <w:r>
        <w:t xml:space="preserve">s ruling, instead she focuses her argument on the </w:t>
      </w:r>
      <w:r w:rsidR="00486435">
        <w:t>“</w:t>
      </w:r>
      <w:r>
        <w:t>minimal merit</w:t>
      </w:r>
      <w:r w:rsidR="00486435">
        <w:t>”</w:t>
      </w:r>
      <w:r>
        <w:t xml:space="preserve"> second prong.  Thus, we </w:t>
      </w:r>
      <w:r w:rsidR="000A254A">
        <w:t>presume</w:t>
      </w:r>
      <w:r>
        <w:t xml:space="preserve"> defendants made the requisite first-prong showing and similarly focus on the second</w:t>
      </w:r>
      <w:r w:rsidR="00F40467">
        <w:t xml:space="preserve"> </w:t>
      </w:r>
      <w:r>
        <w:t xml:space="preserve">prong.  (See </w:t>
      </w:r>
      <w:bookmarkStart w:id="10" w:name="dabmci_5a1f73a118bb467fa0f29af99ace1841"/>
      <w:r w:rsidR="0052291B" w:rsidRPr="0082263D">
        <w:rPr>
          <w:i/>
          <w:iCs/>
        </w:rPr>
        <w:t>Balla v. Hall</w:t>
      </w:r>
      <w:r w:rsidR="0052291B">
        <w:t xml:space="preserve"> (2021) </w:t>
      </w:r>
      <w:r w:rsidR="0052291B" w:rsidRPr="0082263D">
        <w:t>59 Cal.App.5th 652</w:t>
      </w:r>
      <w:r w:rsidR="0052291B">
        <w:t xml:space="preserve">, </w:t>
      </w:r>
      <w:r w:rsidR="00B70198">
        <w:t>671</w:t>
      </w:r>
      <w:r w:rsidR="0052291B">
        <w:t xml:space="preserve"> (</w:t>
      </w:r>
      <w:r w:rsidR="0052291B" w:rsidRPr="00BC2521">
        <w:rPr>
          <w:i/>
          <w:iCs/>
        </w:rPr>
        <w:t>Balla</w:t>
      </w:r>
      <w:r w:rsidR="0052291B">
        <w:t>)</w:t>
      </w:r>
      <w:bookmarkEnd w:id="10"/>
      <w:r w:rsidR="000A254A" w:rsidRPr="000A254A">
        <w:t xml:space="preserve"> </w:t>
      </w:r>
      <w:r>
        <w:t xml:space="preserve">[appellant bears burden of </w:t>
      </w:r>
      <w:r w:rsidR="00D96B4E">
        <w:t xml:space="preserve">affirmatively </w:t>
      </w:r>
      <w:r>
        <w:t>demonstrating error</w:t>
      </w:r>
      <w:r w:rsidR="00034D0F">
        <w:t xml:space="preserve"> even when standard of review is de novo</w:t>
      </w:r>
      <w:r w:rsidR="00225040">
        <w:t>]</w:t>
      </w:r>
      <w:r>
        <w:t>; see, e.g.,</w:t>
      </w:r>
      <w:r w:rsidR="00B73F0B">
        <w:t xml:space="preserve"> </w:t>
      </w:r>
      <w:bookmarkStart w:id="11" w:name="dabmci_8333a6feec4d4511adc3b1021c316628"/>
      <w:r w:rsidR="00F20665" w:rsidRPr="00F20665">
        <w:rPr>
          <w:i/>
          <w:iCs/>
        </w:rPr>
        <w:t>San Diegans for Open Government v. San Diego State University Research Foundation</w:t>
      </w:r>
      <w:r w:rsidR="00F20665" w:rsidRPr="00F20665">
        <w:t xml:space="preserve"> (2017) 13 Cal.App.5th </w:t>
      </w:r>
      <w:r w:rsidR="00F20665" w:rsidRPr="00F20665">
        <w:lastRenderedPageBreak/>
        <w:t>76</w:t>
      </w:r>
      <w:r w:rsidR="00F20665">
        <w:t xml:space="preserve">, </w:t>
      </w:r>
      <w:r w:rsidR="00547AEA">
        <w:t>106, fn. 17</w:t>
      </w:r>
      <w:bookmarkEnd w:id="11"/>
      <w:r w:rsidR="00F20665" w:rsidRPr="00F20665">
        <w:t xml:space="preserve"> </w:t>
      </w:r>
      <w:r w:rsidR="00121EFA">
        <w:t xml:space="preserve">[appellant </w:t>
      </w:r>
      <w:r w:rsidR="0079263A">
        <w:t xml:space="preserve">waived </w:t>
      </w:r>
      <w:r w:rsidR="00E3765B">
        <w:t>challenge to one</w:t>
      </w:r>
      <w:r w:rsidR="00B15D7D">
        <w:t xml:space="preserve"> aspect of</w:t>
      </w:r>
      <w:r w:rsidR="003812CB">
        <w:t xml:space="preserve"> trial court</w:t>
      </w:r>
      <w:r w:rsidR="00486435">
        <w:t>’</w:t>
      </w:r>
      <w:r w:rsidR="003812CB">
        <w:t xml:space="preserve">s </w:t>
      </w:r>
      <w:r w:rsidR="00B15D7D">
        <w:t xml:space="preserve">ruling concerning applicability of anti-SLAPP statute by failing to </w:t>
      </w:r>
      <w:r w:rsidR="00E3765B">
        <w:t>address it in opening brief]</w:t>
      </w:r>
      <w:r>
        <w:t>.)</w:t>
      </w:r>
    </w:p>
    <w:p w14:paraId="5F195DBF" w14:textId="631B8B84" w:rsidR="00566878" w:rsidRDefault="00566878" w:rsidP="00C910BD">
      <w:pPr>
        <w:pStyle w:val="Heading2"/>
      </w:pPr>
      <w:r>
        <w:t>Probability of Prevailing on the Merits</w:t>
      </w:r>
    </w:p>
    <w:p w14:paraId="42998288" w14:textId="6128F849" w:rsidR="00566878" w:rsidRDefault="00225040" w:rsidP="00566878">
      <w:pPr>
        <w:pStyle w:val="Body"/>
      </w:pPr>
      <w:r>
        <w:t xml:space="preserve">The complaint alleged three causes of action against defendants:  </w:t>
      </w:r>
      <w:r w:rsidR="007F7039">
        <w:t xml:space="preserve">          </w:t>
      </w:r>
      <w:proofErr w:type="gramStart"/>
      <w:r w:rsidR="007F7039">
        <w:t xml:space="preserve">   </w:t>
      </w:r>
      <w:r w:rsidR="0003263A">
        <w:t>(</w:t>
      </w:r>
      <w:proofErr w:type="gramEnd"/>
      <w:r w:rsidR="0003263A">
        <w:t xml:space="preserve">1) </w:t>
      </w:r>
      <w:r>
        <w:t>defamation</w:t>
      </w:r>
      <w:r w:rsidR="0003263A">
        <w:t>;</w:t>
      </w:r>
      <w:r>
        <w:t xml:space="preserve"> </w:t>
      </w:r>
      <w:r w:rsidR="0003263A">
        <w:t xml:space="preserve">(2) </w:t>
      </w:r>
      <w:r>
        <w:t>intentional infliction of emotional distress</w:t>
      </w:r>
      <w:r w:rsidR="0003263A">
        <w:t>;</w:t>
      </w:r>
      <w:r>
        <w:t xml:space="preserve"> and </w:t>
      </w:r>
      <w:r w:rsidR="00CC6BEF">
        <w:t xml:space="preserve">(3) </w:t>
      </w:r>
      <w:r>
        <w:t>negligent infliction of emotional distress.  Plaintiff, both below and on appeal, devotes all her energy to the defamation cause of action.  By failing to provide any evidence or argument on the other two causes of action, she failed to meet her burden of demonstrating the minimal merit of those claims.  Accordingly, we must affirm the trial court</w:t>
      </w:r>
      <w:r w:rsidR="00486435">
        <w:t>’</w:t>
      </w:r>
      <w:r>
        <w:t>s order in that respect and limit our further consideration to the defamation cause of action.</w:t>
      </w:r>
    </w:p>
    <w:p w14:paraId="082F3782" w14:textId="119C203F" w:rsidR="007724A8" w:rsidRDefault="0082263D" w:rsidP="00566878">
      <w:pPr>
        <w:pStyle w:val="Body"/>
      </w:pPr>
      <w:r>
        <w:t xml:space="preserve">Libel, which plaintiff alleges, </w:t>
      </w:r>
      <w:r w:rsidR="00486435">
        <w:t>“</w:t>
      </w:r>
      <w:r w:rsidRPr="0082263D">
        <w:t>is a type of defamation based on written or depicted communication.</w:t>
      </w:r>
      <w:r w:rsidR="00486435">
        <w:t>”</w:t>
      </w:r>
      <w:r>
        <w:t xml:space="preserve">  (</w:t>
      </w:r>
      <w:bookmarkStart w:id="12" w:name="dabmci_897ac88b6e794982984879ad0f362653"/>
      <w:r w:rsidRPr="0082263D">
        <w:rPr>
          <w:i/>
          <w:iCs/>
        </w:rPr>
        <w:t>Balla</w:t>
      </w:r>
      <w:r w:rsidR="0052291B">
        <w:rPr>
          <w:i/>
          <w:iCs/>
        </w:rPr>
        <w:t xml:space="preserve">, </w:t>
      </w:r>
      <w:r w:rsidR="0052291B" w:rsidRPr="0052291B">
        <w:rPr>
          <w:i/>
          <w:iCs/>
        </w:rPr>
        <w:t>supra</w:t>
      </w:r>
      <w:r w:rsidR="0052291B">
        <w:t xml:space="preserve">, </w:t>
      </w:r>
      <w:r w:rsidRPr="0052291B">
        <w:t>59</w:t>
      </w:r>
      <w:r w:rsidRPr="0082263D">
        <w:t xml:space="preserve"> Cal.App.5th </w:t>
      </w:r>
      <w:r w:rsidR="0052291B">
        <w:t>at p.</w:t>
      </w:r>
      <w:r>
        <w:t xml:space="preserve"> 675</w:t>
      </w:r>
      <w:bookmarkEnd w:id="12"/>
      <w:r>
        <w:t xml:space="preserve">.)  </w:t>
      </w:r>
      <w:r w:rsidR="00486435">
        <w:t>“‘“‘</w:t>
      </w:r>
      <w:r w:rsidR="00C453C2" w:rsidRPr="00C453C2">
        <w:t>The elements of a defamation claim are (1) a publication that is (2) false, (3) defamatory, (4) unprivileged, and (5) has a natural tendency to injure or causes special damage.</w:t>
      </w:r>
      <w:r w:rsidR="00486435">
        <w:t>’”</w:t>
      </w:r>
      <w:r w:rsidR="00B92E5A">
        <w:t>’”</w:t>
      </w:r>
      <w:r w:rsidR="00C453C2">
        <w:t xml:space="preserve">  (</w:t>
      </w:r>
      <w:bookmarkStart w:id="13" w:name="dabmci_6b51d5fd3b0b453f8c9ab57c0f00c3f1"/>
      <w:r w:rsidR="00C453C2" w:rsidRPr="00C453C2">
        <w:rPr>
          <w:i/>
          <w:iCs/>
        </w:rPr>
        <w:t>Hoang v. Tran</w:t>
      </w:r>
      <w:r w:rsidR="00C453C2" w:rsidRPr="00C453C2">
        <w:t xml:space="preserve"> (2021) 60 Cal.App.5th 513, 53</w:t>
      </w:r>
      <w:r w:rsidR="00C453C2">
        <w:t>1-</w:t>
      </w:r>
      <w:r w:rsidR="00C453C2" w:rsidRPr="00C453C2">
        <w:t>532</w:t>
      </w:r>
      <w:r w:rsidR="004E5313">
        <w:t xml:space="preserve"> (</w:t>
      </w:r>
      <w:r w:rsidR="004E5313" w:rsidRPr="004E5313">
        <w:rPr>
          <w:i/>
          <w:iCs/>
        </w:rPr>
        <w:t>Hoang</w:t>
      </w:r>
      <w:r w:rsidR="004E5313">
        <w:t>)</w:t>
      </w:r>
      <w:bookmarkEnd w:id="13"/>
      <w:r w:rsidR="00C453C2">
        <w:t>.)</w:t>
      </w:r>
      <w:r>
        <w:t xml:space="preserve">  In </w:t>
      </w:r>
      <w:bookmarkStart w:id="14" w:name="dabmci_756361ce093147459810d98059a7b02d"/>
      <w:r w:rsidRPr="0082263D">
        <w:rPr>
          <w:i/>
          <w:iCs/>
        </w:rPr>
        <w:t>New York Times Co. v. Sullivan</w:t>
      </w:r>
      <w:r w:rsidRPr="0082263D">
        <w:t xml:space="preserve"> (1964) 376 U.S. 254</w:t>
      </w:r>
      <w:bookmarkEnd w:id="14"/>
      <w:r w:rsidRPr="0082263D">
        <w:t xml:space="preserve">, </w:t>
      </w:r>
      <w:r>
        <w:t>the Supreme Court explained that federal constitutional principles require persons who qualify as public officials or public figures to prove an additional element</w:t>
      </w:r>
      <w:r w:rsidR="00B92E5A">
        <w:t xml:space="preserve"> </w:t>
      </w:r>
      <w:r>
        <w:t>—</w:t>
      </w:r>
      <w:r w:rsidR="00B92E5A">
        <w:t xml:space="preserve"> </w:t>
      </w:r>
      <w:r>
        <w:t>that the communication was made with actual malice.  (</w:t>
      </w:r>
      <w:bookmarkStart w:id="15" w:name="dabmci_ca60e1da2276445095861439d1997a80"/>
      <w:r w:rsidRPr="0082263D">
        <w:rPr>
          <w:i/>
          <w:iCs/>
        </w:rPr>
        <w:t>Id</w:t>
      </w:r>
      <w:r>
        <w:t>. at pp. 270-280</w:t>
      </w:r>
      <w:bookmarkEnd w:id="15"/>
      <w:r>
        <w:t>.)</w:t>
      </w:r>
      <w:r w:rsidR="001F2A08">
        <w:t xml:space="preserve">  </w:t>
      </w:r>
      <w:r w:rsidR="00EC1B34">
        <w:t xml:space="preserve">Private plaintiffs, in contrast, need only show </w:t>
      </w:r>
      <w:r w:rsidR="009C5EB4">
        <w:t>negligence.</w:t>
      </w:r>
    </w:p>
    <w:p w14:paraId="3C512917" w14:textId="05A727DB" w:rsidR="00962C61" w:rsidRPr="00566878" w:rsidRDefault="00E22FFC" w:rsidP="00367973">
      <w:pPr>
        <w:pStyle w:val="Heading3"/>
      </w:pPr>
      <w:r w:rsidRPr="00367973">
        <w:t>Limited</w:t>
      </w:r>
      <w:r>
        <w:t xml:space="preserve"> Purpose Public Figure</w:t>
      </w:r>
    </w:p>
    <w:p w14:paraId="40EB2387" w14:textId="23BEDEE5" w:rsidR="00566878" w:rsidRDefault="00F44984" w:rsidP="00566878">
      <w:pPr>
        <w:pStyle w:val="Body"/>
      </w:pPr>
      <w:r>
        <w:t xml:space="preserve">We begin with the biggest point of contention between the parties.  </w:t>
      </w:r>
      <w:r w:rsidR="003C6AF7">
        <w:t xml:space="preserve">Plaintiff </w:t>
      </w:r>
      <w:r w:rsidR="00B74B49">
        <w:t>argues</w:t>
      </w:r>
      <w:r w:rsidR="003C6AF7">
        <w:t xml:space="preserve"> the trial court erred in </w:t>
      </w:r>
      <w:r w:rsidR="00801E53">
        <w:t xml:space="preserve">concluding she was a limited purpose public figure </w:t>
      </w:r>
      <w:r w:rsidR="00EC446E">
        <w:t>who</w:t>
      </w:r>
      <w:r w:rsidR="00801E53">
        <w:t xml:space="preserve"> needed to prove </w:t>
      </w:r>
      <w:r w:rsidR="009A16B6">
        <w:t xml:space="preserve">actual </w:t>
      </w:r>
      <w:r w:rsidR="00801E53">
        <w:t xml:space="preserve">malice.  </w:t>
      </w:r>
      <w:r w:rsidR="00BA72BF">
        <w:t xml:space="preserve">She asserts </w:t>
      </w:r>
      <w:r w:rsidR="00BD2705">
        <w:t xml:space="preserve">she </w:t>
      </w:r>
      <w:r w:rsidR="00486435">
        <w:t>“</w:t>
      </w:r>
      <w:r w:rsidR="00BD2705">
        <w:t xml:space="preserve">did nothing to inject herself into </w:t>
      </w:r>
      <w:r w:rsidR="00365879">
        <w:t>any public controversy</w:t>
      </w:r>
      <w:r w:rsidR="00486435">
        <w:t>”</w:t>
      </w:r>
      <w:r w:rsidR="00365879">
        <w:t xml:space="preserve"> </w:t>
      </w:r>
      <w:r w:rsidR="00E51FB0">
        <w:t>and did not attempt to influence the outcome of any public discussion, controversy</w:t>
      </w:r>
      <w:r w:rsidR="00275126">
        <w:t>,</w:t>
      </w:r>
      <w:r w:rsidR="00E51FB0">
        <w:t xml:space="preserve"> or debate.  </w:t>
      </w:r>
      <w:r w:rsidR="00EC446E">
        <w:t>Defendant</w:t>
      </w:r>
      <w:r w:rsidR="00705C9F">
        <w:t>s</w:t>
      </w:r>
      <w:r w:rsidR="00EC446E">
        <w:t xml:space="preserve"> disagree, </w:t>
      </w:r>
      <w:r w:rsidR="003C2D07">
        <w:t xml:space="preserve">arguing </w:t>
      </w:r>
      <w:r w:rsidR="0068551B">
        <w:t xml:space="preserve">that </w:t>
      </w:r>
      <w:r w:rsidR="00486435">
        <w:t>“</w:t>
      </w:r>
      <w:r w:rsidR="00A863F4">
        <w:t>[</w:t>
      </w:r>
      <w:r w:rsidR="0068551B">
        <w:t>i</w:t>
      </w:r>
      <w:r w:rsidR="00A863F4">
        <w:t>]</w:t>
      </w:r>
      <w:r w:rsidR="0068551B">
        <w:t>n a political campaign, everything a spouse does becomes grist for the mill.</w:t>
      </w:r>
      <w:r w:rsidR="00486435">
        <w:t>”</w:t>
      </w:r>
      <w:r w:rsidR="0068551B">
        <w:t xml:space="preserve"> </w:t>
      </w:r>
      <w:r w:rsidR="006C52BC">
        <w:t xml:space="preserve"> We </w:t>
      </w:r>
      <w:r w:rsidR="00705BC4">
        <w:t xml:space="preserve">conclude the limited </w:t>
      </w:r>
      <w:r w:rsidR="00705BC4">
        <w:lastRenderedPageBreak/>
        <w:t xml:space="preserve">record in this case was insufficient to establish plaintiff as </w:t>
      </w:r>
      <w:r w:rsidR="00095331">
        <w:t>some</w:t>
      </w:r>
      <w:r w:rsidR="00B74B49">
        <w:t xml:space="preserve">one </w:t>
      </w:r>
      <w:r w:rsidR="00095331">
        <w:t>other than a private figure.</w:t>
      </w:r>
    </w:p>
    <w:p w14:paraId="4092FAF5" w14:textId="72A94997" w:rsidR="001A1FC6" w:rsidRDefault="00486435" w:rsidP="007A749B">
      <w:pPr>
        <w:pStyle w:val="Body"/>
      </w:pPr>
      <w:r>
        <w:t>“</w:t>
      </w:r>
      <w:r w:rsidR="001A1FC6" w:rsidRPr="001A1FC6">
        <w:t>The federal Constitution</w:t>
      </w:r>
      <w:r>
        <w:t>’</w:t>
      </w:r>
      <w:r w:rsidR="001A1FC6" w:rsidRPr="001A1FC6">
        <w:t xml:space="preserve">s First Amendment, made applicable to the states by the Fourteenth Amendment </w:t>
      </w:r>
      <w:r w:rsidR="001A1FC6">
        <w:t>[citation]</w:t>
      </w:r>
      <w:r w:rsidR="001A1FC6" w:rsidRPr="001A1FC6">
        <w:t>, guarantees freedom of speech and of the press.</w:t>
      </w:r>
      <w:r w:rsidR="001A1FC6">
        <w:t xml:space="preserve">  </w:t>
      </w:r>
      <w:r w:rsidR="001A1FC6" w:rsidRPr="001A1FC6">
        <w:t xml:space="preserve">In </w:t>
      </w:r>
      <w:r w:rsidR="001A1FC6" w:rsidRPr="001A1FC6">
        <w:rPr>
          <w:i/>
          <w:iCs/>
        </w:rPr>
        <w:t>New York Times Co.</w:t>
      </w:r>
      <w:r w:rsidR="0076653D">
        <w:t> </w:t>
      </w:r>
      <w:r w:rsidR="00A863F4">
        <w:t xml:space="preserve">v. </w:t>
      </w:r>
      <w:r w:rsidR="00A863F4" w:rsidRPr="000C290B">
        <w:rPr>
          <w:i/>
          <w:iCs/>
        </w:rPr>
        <w:t>Sullivan</w:t>
      </w:r>
      <w:r w:rsidR="00A863F4">
        <w:t xml:space="preserve"> </w:t>
      </w:r>
      <w:proofErr w:type="gramStart"/>
      <w:r w:rsidR="0076653D">
        <w:t>. . . </w:t>
      </w:r>
      <w:r w:rsidR="001A1FC6" w:rsidRPr="001A1FC6">
        <w:t>,</w:t>
      </w:r>
      <w:proofErr w:type="gramEnd"/>
      <w:r w:rsidR="001A1FC6" w:rsidRPr="001A1FC6">
        <w:t xml:space="preserve"> the United States Supreme Court for the first time construed these constitutional guarantees as imposing limitations on a state</w:t>
      </w:r>
      <w:r>
        <w:t>’</w:t>
      </w:r>
      <w:r w:rsidR="001A1FC6" w:rsidRPr="001A1FC6">
        <w:t xml:space="preserve">s authority to award damages for libel. </w:t>
      </w:r>
      <w:r w:rsidR="001A1FC6">
        <w:t xml:space="preserve"> </w:t>
      </w:r>
      <w:r w:rsidR="001A1FC6" w:rsidRPr="001A1FC6">
        <w:t xml:space="preserve">Specifically, the court held that the First Amendment </w:t>
      </w:r>
      <w:r>
        <w:t>‘</w:t>
      </w:r>
      <w:r w:rsidR="001A1FC6" w:rsidRPr="001A1FC6">
        <w:t xml:space="preserve">prohibits a public official from recovering damages for a defamatory falsehood relating to his official conduct unless he proves that the statement was made with </w:t>
      </w:r>
      <w:r>
        <w:t>“</w:t>
      </w:r>
      <w:r w:rsidR="001A1FC6" w:rsidRPr="001A1FC6">
        <w:t>actual malice</w:t>
      </w:r>
      <w:r>
        <w:t>”</w:t>
      </w:r>
      <w:r w:rsidR="00A863F4">
        <w:t xml:space="preserve"> </w:t>
      </w:r>
      <w:r w:rsidR="001A1FC6" w:rsidRPr="001A1FC6">
        <w:t>—</w:t>
      </w:r>
      <w:r w:rsidR="00A863F4">
        <w:t xml:space="preserve"> </w:t>
      </w:r>
      <w:r w:rsidR="001A1FC6" w:rsidRPr="001A1FC6">
        <w:t>that is, with knowledge that it was false or with reckless disregard of whether it was false or not.</w:t>
      </w:r>
      <w:r>
        <w:t>’</w:t>
      </w:r>
      <w:r w:rsidR="0076653D">
        <w:t xml:space="preserve"> </w:t>
      </w:r>
      <w:r w:rsidR="007A749B">
        <w:t xml:space="preserve"> . . .  </w:t>
      </w:r>
      <w:r w:rsidR="001A1FC6" w:rsidRPr="001A1FC6">
        <w:t xml:space="preserve">In </w:t>
      </w:r>
      <w:bookmarkStart w:id="16" w:name="dabmci_bd30aa4c73964c90b197c1081870441c"/>
      <w:r w:rsidR="001A1FC6" w:rsidRPr="007A749B">
        <w:rPr>
          <w:i/>
          <w:iCs/>
        </w:rPr>
        <w:t>Curtis Publishing Co. v. Butts</w:t>
      </w:r>
      <w:r w:rsidR="001A1FC6" w:rsidRPr="001A1FC6">
        <w:t xml:space="preserve"> (1967) 388 U.S. 130, 134</w:t>
      </w:r>
      <w:bookmarkEnd w:id="16"/>
      <w:r w:rsidR="001A5297">
        <w:t xml:space="preserve"> . . . </w:t>
      </w:r>
      <w:r w:rsidR="001A1FC6" w:rsidRPr="001A1FC6">
        <w:t xml:space="preserve">the high court held that this </w:t>
      </w:r>
      <w:r>
        <w:t>‘</w:t>
      </w:r>
      <w:r w:rsidR="001A1FC6" w:rsidRPr="001A1FC6">
        <w:t>actual malice</w:t>
      </w:r>
      <w:r>
        <w:t>’</w:t>
      </w:r>
      <w:r w:rsidR="001A1FC6" w:rsidRPr="001A1FC6">
        <w:t xml:space="preserve"> requirement for defamation actions brought by public officials applied also to defamation actions brought by </w:t>
      </w:r>
      <w:r>
        <w:t>‘</w:t>
      </w:r>
      <w:r w:rsidR="001A1FC6" w:rsidRPr="001A1FC6">
        <w:t>public figures.</w:t>
      </w:r>
      <w:r>
        <w:t>’”</w:t>
      </w:r>
      <w:r w:rsidR="007A749B">
        <w:t xml:space="preserve">  (</w:t>
      </w:r>
      <w:bookmarkStart w:id="17" w:name="dabmci_db006fb634074a86b14ee5457260f4f8"/>
      <w:r w:rsidR="007C0F3B" w:rsidRPr="00404960">
        <w:rPr>
          <w:i/>
          <w:iCs/>
        </w:rPr>
        <w:t>Khawar v. Globe Internat</w:t>
      </w:r>
      <w:r w:rsidR="00D265CC" w:rsidRPr="00404960">
        <w:rPr>
          <w:i/>
          <w:iCs/>
        </w:rPr>
        <w:t>.</w:t>
      </w:r>
      <w:r w:rsidR="007C0F3B" w:rsidRPr="00404960">
        <w:rPr>
          <w:i/>
          <w:iCs/>
        </w:rPr>
        <w:t>, Inc.</w:t>
      </w:r>
      <w:r w:rsidR="00D265CC">
        <w:t xml:space="preserve"> (1998) 19 Cal.4th 254, </w:t>
      </w:r>
      <w:r w:rsidR="00404960">
        <w:t>262-263</w:t>
      </w:r>
      <w:r w:rsidR="009A1174">
        <w:t xml:space="preserve"> (</w:t>
      </w:r>
      <w:r w:rsidR="009A1174" w:rsidRPr="009A1174">
        <w:rPr>
          <w:i/>
          <w:iCs/>
        </w:rPr>
        <w:t>Khawar</w:t>
      </w:r>
      <w:r w:rsidR="009A1174">
        <w:t>)</w:t>
      </w:r>
      <w:bookmarkEnd w:id="17"/>
      <w:r w:rsidR="00404960">
        <w:t>.)</w:t>
      </w:r>
    </w:p>
    <w:p w14:paraId="5E1CFE15" w14:textId="7AC3377A" w:rsidR="00801E53" w:rsidRPr="007C380C" w:rsidRDefault="00C251FC" w:rsidP="007C380C">
      <w:pPr>
        <w:pStyle w:val="Body"/>
      </w:pPr>
      <w:r>
        <w:t>The rationale for the</w:t>
      </w:r>
      <w:r w:rsidR="00162344" w:rsidRPr="00162344">
        <w:t xml:space="preserve"> distinction between public and private figure</w:t>
      </w:r>
      <w:r w:rsidR="009A27C6">
        <w:t xml:space="preserve"> defamation plaintiffs</w:t>
      </w:r>
      <w:r w:rsidR="00162344" w:rsidRPr="00162344">
        <w:t xml:space="preserve"> </w:t>
      </w:r>
      <w:r w:rsidR="00404960">
        <w:t>is twofold</w:t>
      </w:r>
      <w:r w:rsidR="00162344" w:rsidRPr="00162344">
        <w:t xml:space="preserve">. </w:t>
      </w:r>
      <w:r w:rsidR="00162344">
        <w:t xml:space="preserve"> </w:t>
      </w:r>
      <w:r w:rsidR="00162344" w:rsidRPr="00162344">
        <w:t xml:space="preserve">First, </w:t>
      </w:r>
      <w:r w:rsidR="00462EDA">
        <w:t xml:space="preserve">public figures </w:t>
      </w:r>
      <w:r w:rsidR="00486435">
        <w:t>“</w:t>
      </w:r>
      <w:r w:rsidR="00E8218F">
        <w:t>invite attention and comment</w:t>
      </w:r>
      <w:r w:rsidR="00486435">
        <w:t>”</w:t>
      </w:r>
      <w:r w:rsidR="00E8218F">
        <w:t xml:space="preserve"> </w:t>
      </w:r>
      <w:r w:rsidR="00C86912">
        <w:t xml:space="preserve">as a necessary consequence of </w:t>
      </w:r>
      <w:r w:rsidR="00351550">
        <w:t xml:space="preserve">their voluntary </w:t>
      </w:r>
      <w:r w:rsidR="006526EC">
        <w:t>assumption of a prominent, persuasive</w:t>
      </w:r>
      <w:r w:rsidR="00FF338E">
        <w:t>,</w:t>
      </w:r>
      <w:r w:rsidR="00E95C7E">
        <w:t xml:space="preserve"> or influential role in public affairs</w:t>
      </w:r>
      <w:r w:rsidR="008F71DF">
        <w:t xml:space="preserve">.  </w:t>
      </w:r>
      <w:r w:rsidR="00E95C7E">
        <w:t>(</w:t>
      </w:r>
      <w:bookmarkStart w:id="18" w:name="dabmci_132a559897df4e64b89ad09a88716226"/>
      <w:r w:rsidR="00404960" w:rsidRPr="008F71DF">
        <w:rPr>
          <w:i/>
          <w:iCs/>
        </w:rPr>
        <w:t xml:space="preserve">Gertz v. Robert Welch, Inc. </w:t>
      </w:r>
      <w:r w:rsidR="00404960">
        <w:t xml:space="preserve">(1974) </w:t>
      </w:r>
      <w:r w:rsidR="00404960" w:rsidRPr="008F71DF">
        <w:t>418 U.S. 323,</w:t>
      </w:r>
      <w:r w:rsidR="00404960">
        <w:t xml:space="preserve"> 344-345 (</w:t>
      </w:r>
      <w:r w:rsidR="00404960" w:rsidRPr="003E2186">
        <w:rPr>
          <w:i/>
          <w:iCs/>
        </w:rPr>
        <w:t>Gertz</w:t>
      </w:r>
      <w:r w:rsidR="00404960">
        <w:t>)</w:t>
      </w:r>
      <w:bookmarkEnd w:id="18"/>
      <w:r w:rsidR="00365172">
        <w:t xml:space="preserve">.)  </w:t>
      </w:r>
      <w:r w:rsidR="008F71DF">
        <w:t xml:space="preserve">Second, </w:t>
      </w:r>
      <w:r w:rsidR="00162344" w:rsidRPr="00162344">
        <w:t xml:space="preserve">public officials and public figures have </w:t>
      </w:r>
      <w:r w:rsidR="00486435">
        <w:t>“</w:t>
      </w:r>
      <w:r w:rsidR="00162344" w:rsidRPr="00162344">
        <w:t>greater access to the channels of effective communication and hence have a more realistic opportunity to counteract false statements than private individuals normally enjoy.</w:t>
      </w:r>
      <w:r w:rsidR="00486435">
        <w:t>”</w:t>
      </w:r>
      <w:r w:rsidR="00C6568C">
        <w:t xml:space="preserve">  (</w:t>
      </w:r>
      <w:bookmarkStart w:id="19" w:name="dabmci_ee8b9f31684147e9b233908c07c306ca"/>
      <w:r w:rsidR="00C6568C" w:rsidRPr="00C6568C">
        <w:rPr>
          <w:i/>
          <w:iCs/>
        </w:rPr>
        <w:t>Id</w:t>
      </w:r>
      <w:r w:rsidR="00C6568C">
        <w:t>. at p. 344</w:t>
      </w:r>
      <w:bookmarkEnd w:id="19"/>
      <w:r w:rsidR="00C6568C">
        <w:t>.)</w:t>
      </w:r>
      <w:r w:rsidR="00A60D36">
        <w:t xml:space="preserve"> </w:t>
      </w:r>
      <w:r w:rsidR="00650BC6">
        <w:t>  </w:t>
      </w:r>
    </w:p>
    <w:p w14:paraId="64C0A098" w14:textId="5081B23B" w:rsidR="002866B9" w:rsidRDefault="000F1920" w:rsidP="007C380C">
      <w:pPr>
        <w:pStyle w:val="Body"/>
      </w:pPr>
      <w:r>
        <w:t xml:space="preserve">Over time, </w:t>
      </w:r>
      <w:r w:rsidR="001D2424">
        <w:t xml:space="preserve">courts clarified </w:t>
      </w:r>
      <w:r>
        <w:t>t</w:t>
      </w:r>
      <w:r w:rsidR="00A44549">
        <w:t xml:space="preserve">here </w:t>
      </w:r>
      <w:r w:rsidR="00A95553">
        <w:t>are</w:t>
      </w:r>
      <w:r w:rsidR="00A44549">
        <w:t xml:space="preserve"> two </w:t>
      </w:r>
      <w:r w:rsidR="00A0483D">
        <w:t xml:space="preserve">general </w:t>
      </w:r>
      <w:r w:rsidR="00A44549">
        <w:t>types of p</w:t>
      </w:r>
      <w:r w:rsidR="00A0483D">
        <w:t xml:space="preserve">ublic figure individuals.  </w:t>
      </w:r>
      <w:r w:rsidR="00191B73">
        <w:t xml:space="preserve">Those </w:t>
      </w:r>
      <w:r w:rsidR="00A70AEF">
        <w:t>who</w:t>
      </w:r>
      <w:r w:rsidR="00191B73">
        <w:t xml:space="preserve"> </w:t>
      </w:r>
      <w:r w:rsidR="00486435">
        <w:t>“</w:t>
      </w:r>
      <w:r w:rsidR="00191B73">
        <w:t>achieve such pervasive fame or notoriety</w:t>
      </w:r>
      <w:r w:rsidR="00486435">
        <w:t>”</w:t>
      </w:r>
      <w:r w:rsidR="00191B73">
        <w:t xml:space="preserve"> </w:t>
      </w:r>
      <w:r w:rsidR="00A95553">
        <w:t>are</w:t>
      </w:r>
      <w:r w:rsidR="00BB48ED">
        <w:t xml:space="preserve"> </w:t>
      </w:r>
      <w:r w:rsidR="00486435">
        <w:t>“</w:t>
      </w:r>
      <w:r w:rsidR="00BB48ED">
        <w:t>public figure[s]</w:t>
      </w:r>
      <w:r w:rsidR="006943A4">
        <w:t xml:space="preserve"> for all purposes and in all contexts.</w:t>
      </w:r>
      <w:r w:rsidR="00486435">
        <w:t>”</w:t>
      </w:r>
      <w:r w:rsidR="006943A4">
        <w:t xml:space="preserve">  </w:t>
      </w:r>
      <w:r w:rsidR="00A95553">
        <w:t>(</w:t>
      </w:r>
      <w:bookmarkStart w:id="20" w:name="dabmci_4737969aa28a438d82a486f18b9f5f6c"/>
      <w:r w:rsidR="00262E6F" w:rsidRPr="00E4207D">
        <w:rPr>
          <w:i/>
          <w:iCs/>
        </w:rPr>
        <w:t>Gertz, supra</w:t>
      </w:r>
      <w:r w:rsidR="00262E6F">
        <w:t xml:space="preserve">, </w:t>
      </w:r>
      <w:r w:rsidR="00262E6F" w:rsidRPr="008F71DF">
        <w:t>418 U.S.</w:t>
      </w:r>
      <w:r w:rsidR="00262E6F">
        <w:t xml:space="preserve"> at p. </w:t>
      </w:r>
      <w:r w:rsidR="00E4207D">
        <w:t>351</w:t>
      </w:r>
      <w:bookmarkEnd w:id="20"/>
      <w:r w:rsidR="00A95553">
        <w:t xml:space="preserve">.)  </w:t>
      </w:r>
      <w:r w:rsidR="006943A4">
        <w:t xml:space="preserve">In contrast, </w:t>
      </w:r>
      <w:r w:rsidR="006D378E">
        <w:t xml:space="preserve">those </w:t>
      </w:r>
      <w:r w:rsidR="00A70AEF">
        <w:t xml:space="preserve">who </w:t>
      </w:r>
      <w:r w:rsidR="006F1EE3">
        <w:t xml:space="preserve">voluntarily inject themselves or are drawn into a </w:t>
      </w:r>
      <w:r w:rsidR="00A95553">
        <w:t xml:space="preserve">particular </w:t>
      </w:r>
      <w:r w:rsidR="006F1EE3">
        <w:t>pub</w:t>
      </w:r>
      <w:r w:rsidR="002B48C6">
        <w:t>l</w:t>
      </w:r>
      <w:r w:rsidR="006F1EE3">
        <w:t xml:space="preserve">ic controversy </w:t>
      </w:r>
      <w:r w:rsidR="002866B9">
        <w:t xml:space="preserve">become public figures for a limited range of issues.  </w:t>
      </w:r>
      <w:r w:rsidR="00A95553">
        <w:t>(</w:t>
      </w:r>
      <w:bookmarkStart w:id="21" w:name="dabmci_2b87f5e54fd64e0485b7e0b138fabb96"/>
      <w:r w:rsidR="00E4207D" w:rsidRPr="00E4207D">
        <w:rPr>
          <w:i/>
          <w:iCs/>
        </w:rPr>
        <w:t>Ibid</w:t>
      </w:r>
      <w:r w:rsidR="00A95553">
        <w:t>.</w:t>
      </w:r>
      <w:bookmarkEnd w:id="21"/>
      <w:r w:rsidR="00A95553">
        <w:t xml:space="preserve">)  </w:t>
      </w:r>
      <w:r w:rsidR="002B48C6">
        <w:t>T</w:t>
      </w:r>
      <w:r w:rsidR="002866B9">
        <w:t xml:space="preserve">hese latter types of </w:t>
      </w:r>
      <w:r w:rsidR="002866B9">
        <w:lastRenderedPageBreak/>
        <w:t xml:space="preserve">individuals </w:t>
      </w:r>
      <w:r w:rsidR="002B48C6">
        <w:t xml:space="preserve">are </w:t>
      </w:r>
      <w:r w:rsidR="00246CE4">
        <w:t xml:space="preserve">often </w:t>
      </w:r>
      <w:r w:rsidR="004B3F20">
        <w:t>referred to as</w:t>
      </w:r>
      <w:r w:rsidR="002866B9">
        <w:t xml:space="preserve"> limited purpose public figures.</w:t>
      </w:r>
      <w:r w:rsidR="00E0574F">
        <w:t xml:space="preserve">  </w:t>
      </w:r>
      <w:r w:rsidR="00E4207D">
        <w:t>(</w:t>
      </w:r>
      <w:bookmarkStart w:id="22" w:name="dabmci_fe4a95315330437da6ec9ae4336fb043"/>
      <w:r w:rsidR="00104494" w:rsidRPr="00751973">
        <w:rPr>
          <w:i/>
          <w:iCs/>
        </w:rPr>
        <w:t>Khawar, supra</w:t>
      </w:r>
      <w:r w:rsidR="00104494">
        <w:t>, 19 Cal.4th at p. 263</w:t>
      </w:r>
      <w:bookmarkEnd w:id="22"/>
      <w:r w:rsidR="00E4207D">
        <w:t>.)</w:t>
      </w:r>
    </w:p>
    <w:p w14:paraId="6A9C122E" w14:textId="487C9E4B" w:rsidR="0091171B" w:rsidRDefault="002866B9" w:rsidP="00F67275">
      <w:pPr>
        <w:pStyle w:val="Body"/>
      </w:pPr>
      <w:r>
        <w:t xml:space="preserve"> </w:t>
      </w:r>
      <w:r w:rsidR="006905FF">
        <w:t>Three</w:t>
      </w:r>
      <w:r w:rsidR="00800F0D">
        <w:t xml:space="preserve"> elements must be present to characterize someone as a limited purpose public figure.</w:t>
      </w:r>
      <w:r w:rsidR="00850C83">
        <w:t xml:space="preserve">  </w:t>
      </w:r>
      <w:r w:rsidR="004D3983">
        <w:t>(</w:t>
      </w:r>
      <w:bookmarkStart w:id="23" w:name="dabmci_cdf39ec4e2d14deca01500b5821c6025"/>
      <w:r w:rsidR="00146D90" w:rsidRPr="00146D90">
        <w:rPr>
          <w:i/>
          <w:iCs/>
        </w:rPr>
        <w:t>Ampex Corp. v. Cargle</w:t>
      </w:r>
      <w:r w:rsidR="00146D90" w:rsidRPr="00146D90">
        <w:t xml:space="preserve"> (2005) 128 Cal.App.4th 1569, 1577</w:t>
      </w:r>
      <w:bookmarkEnd w:id="23"/>
      <w:r w:rsidR="004D3983">
        <w:t xml:space="preserve">.)  </w:t>
      </w:r>
      <w:r w:rsidR="00486435">
        <w:t>“</w:t>
      </w:r>
      <w:r w:rsidR="00576CDB" w:rsidRPr="00576CDB">
        <w:t xml:space="preserve">First, there must be a public controversy, which means the issue was debated publicly and had foreseeable and substantial ramifications for nonparticipants. </w:t>
      </w:r>
      <w:r w:rsidR="006905FF">
        <w:t xml:space="preserve"> </w:t>
      </w:r>
      <w:r w:rsidR="00576CDB" w:rsidRPr="00576CDB">
        <w:t>Second, the plaintiff must have undertaken some voluntary act through which he or she sought to influence resolution of the public issue.</w:t>
      </w:r>
      <w:r w:rsidR="00486435">
        <w:t>”</w:t>
      </w:r>
      <w:r w:rsidR="00576CDB" w:rsidRPr="00576CDB">
        <w:t xml:space="preserve"> </w:t>
      </w:r>
      <w:r w:rsidR="006905FF">
        <w:t xml:space="preserve"> </w:t>
      </w:r>
      <w:r w:rsidR="00454653">
        <w:t>(</w:t>
      </w:r>
      <w:bookmarkStart w:id="24" w:name="dabmci_daddd23569254f45b5d1a1ffc7cb930d"/>
      <w:r w:rsidR="00246CE4">
        <w:rPr>
          <w:i/>
          <w:iCs/>
        </w:rPr>
        <w:t>Ibid</w:t>
      </w:r>
      <w:r w:rsidR="00454653">
        <w:t>.</w:t>
      </w:r>
      <w:bookmarkEnd w:id="24"/>
      <w:r w:rsidR="00454653">
        <w:t xml:space="preserve">)  </w:t>
      </w:r>
      <w:r w:rsidR="00576CDB" w:rsidRPr="00576CDB">
        <w:t>In this regard</w:t>
      </w:r>
      <w:r w:rsidR="00137449">
        <w:t xml:space="preserve">, the </w:t>
      </w:r>
      <w:r w:rsidR="00CD192E">
        <w:t>critical</w:t>
      </w:r>
      <w:r w:rsidR="00137449">
        <w:t xml:space="preserve"> </w:t>
      </w:r>
      <w:r w:rsidR="00C67C05">
        <w:t>focus is</w:t>
      </w:r>
      <w:r w:rsidR="00576CDB" w:rsidRPr="00576CDB">
        <w:t xml:space="preserve"> </w:t>
      </w:r>
      <w:r w:rsidR="00C67C05" w:rsidRPr="00AE320C">
        <w:t xml:space="preserve">the </w:t>
      </w:r>
      <w:r w:rsidR="00486435">
        <w:t>“‘</w:t>
      </w:r>
      <w:r w:rsidR="00C67C05" w:rsidRPr="00AE320C">
        <w:t>nature and extent of an individual</w:t>
      </w:r>
      <w:r w:rsidR="00486435">
        <w:t>’</w:t>
      </w:r>
      <w:r w:rsidR="00C67C05" w:rsidRPr="00AE320C">
        <w:t xml:space="preserve">s participation in the </w:t>
      </w:r>
      <w:proofErr w:type="gramStart"/>
      <w:r w:rsidR="00C67C05" w:rsidRPr="00AE320C">
        <w:t>particular controversy</w:t>
      </w:r>
      <w:proofErr w:type="gramEnd"/>
      <w:r w:rsidR="00C67C05" w:rsidRPr="00AE320C">
        <w:t xml:space="preserve"> giving rise to the defamation.</w:t>
      </w:r>
      <w:r w:rsidR="00486435">
        <w:t>’”</w:t>
      </w:r>
      <w:r w:rsidR="00576CDB" w:rsidRPr="00576CDB">
        <w:t xml:space="preserve"> </w:t>
      </w:r>
      <w:r w:rsidR="00F67275">
        <w:t xml:space="preserve"> </w:t>
      </w:r>
      <w:r w:rsidR="00454653">
        <w:t>(</w:t>
      </w:r>
      <w:bookmarkStart w:id="25" w:name="dabmci_bcb67a55d8154ef3906922c18585037a"/>
      <w:r w:rsidR="00454653" w:rsidRPr="007B45D8">
        <w:rPr>
          <w:i/>
          <w:iCs/>
        </w:rPr>
        <w:t>Wolston v. Reader</w:t>
      </w:r>
      <w:r w:rsidR="00486435">
        <w:rPr>
          <w:i/>
          <w:iCs/>
        </w:rPr>
        <w:t>’</w:t>
      </w:r>
      <w:r w:rsidR="00454653" w:rsidRPr="007B45D8">
        <w:rPr>
          <w:i/>
          <w:iCs/>
        </w:rPr>
        <w:t>s Digest Assn.</w:t>
      </w:r>
      <w:r w:rsidR="00161534" w:rsidRPr="007B45D8">
        <w:rPr>
          <w:i/>
          <w:iCs/>
        </w:rPr>
        <w:t>, Inc.</w:t>
      </w:r>
      <w:r w:rsidR="00161534">
        <w:t xml:space="preserve"> (1979) 443 U.S. 157, 167 (</w:t>
      </w:r>
      <w:r w:rsidR="007B45D8" w:rsidRPr="007B45D8">
        <w:rPr>
          <w:i/>
          <w:iCs/>
        </w:rPr>
        <w:t>Wolston</w:t>
      </w:r>
      <w:r w:rsidR="007B45D8">
        <w:t>)</w:t>
      </w:r>
      <w:bookmarkEnd w:id="25"/>
      <w:r w:rsidR="00161534">
        <w:t>.)</w:t>
      </w:r>
      <w:r w:rsidR="00BD653E">
        <w:t xml:space="preserve">  Although, </w:t>
      </w:r>
      <w:r w:rsidR="00486435">
        <w:t>“</w:t>
      </w:r>
      <w:r w:rsidR="00BD653E">
        <w:t>[h]</w:t>
      </w:r>
      <w:r w:rsidR="00BD653E" w:rsidRPr="003B29EB">
        <w:t xml:space="preserve">ypothetically, it may be possible for someone to become a public figure through no purposeful action of </w:t>
      </w:r>
      <w:r w:rsidR="00BD653E">
        <w:t>[their]</w:t>
      </w:r>
      <w:r w:rsidR="00BD653E" w:rsidRPr="003B29EB">
        <w:t xml:space="preserve"> own,</w:t>
      </w:r>
      <w:r w:rsidR="00486435">
        <w:t>”</w:t>
      </w:r>
      <w:r w:rsidR="00BD653E">
        <w:t xml:space="preserve"> the Supreme Court has cautioned </w:t>
      </w:r>
      <w:r w:rsidR="00486435">
        <w:t>“</w:t>
      </w:r>
      <w:r w:rsidR="00BD653E" w:rsidRPr="003B29EB">
        <w:t>the instances of truly involuntary public figures must be exceedingly rare.</w:t>
      </w:r>
      <w:r w:rsidR="00486435">
        <w:t>”</w:t>
      </w:r>
      <w:r w:rsidR="00BD653E">
        <w:t xml:space="preserve">  (</w:t>
      </w:r>
      <w:bookmarkStart w:id="26" w:name="dabmci_86a982055ecf4fd587e98521911c3e1a"/>
      <w:r w:rsidR="00BD653E" w:rsidRPr="00E4207D">
        <w:rPr>
          <w:i/>
          <w:iCs/>
        </w:rPr>
        <w:t>Gertz, supra</w:t>
      </w:r>
      <w:r w:rsidR="00BD653E">
        <w:t xml:space="preserve">, </w:t>
      </w:r>
      <w:r w:rsidR="00BD653E" w:rsidRPr="008F71DF">
        <w:t>418 U.S.</w:t>
      </w:r>
      <w:r w:rsidR="00BD653E">
        <w:t xml:space="preserve"> at p. 345</w:t>
      </w:r>
      <w:bookmarkEnd w:id="26"/>
      <w:r w:rsidR="00BD653E">
        <w:t xml:space="preserve">.) </w:t>
      </w:r>
      <w:r w:rsidR="000A37A2">
        <w:t xml:space="preserve"> </w:t>
      </w:r>
      <w:r w:rsidR="00486435">
        <w:t>“</w:t>
      </w:r>
      <w:r w:rsidR="00576CDB" w:rsidRPr="00576CDB">
        <w:t>And finally, the alleged defamation must be germane to the plaintiff</w:t>
      </w:r>
      <w:r w:rsidR="00486435">
        <w:t>’</w:t>
      </w:r>
      <w:r w:rsidR="00576CDB" w:rsidRPr="00576CDB">
        <w:t>s participation in the controversy.</w:t>
      </w:r>
      <w:r w:rsidR="000B51DB">
        <w:t xml:space="preserve">  (</w:t>
      </w:r>
      <w:bookmarkStart w:id="27" w:name="dabmci_ac659a84784b43dcab41487b7b7245e6"/>
      <w:r w:rsidR="00DE1351" w:rsidRPr="00DE1351">
        <w:rPr>
          <w:i/>
          <w:iCs/>
        </w:rPr>
        <w:t xml:space="preserve">Ampex, </w:t>
      </w:r>
      <w:r w:rsidR="000B51DB">
        <w:t xml:space="preserve">at p. </w:t>
      </w:r>
      <w:r w:rsidR="00DE1351">
        <w:t>1577</w:t>
      </w:r>
      <w:bookmarkEnd w:id="27"/>
      <w:r w:rsidR="00E07D54">
        <w:t>.)</w:t>
      </w:r>
    </w:p>
    <w:p w14:paraId="3E9A5544" w14:textId="34E51FC0" w:rsidR="00B46F3F" w:rsidRDefault="00E86041" w:rsidP="007B45D8">
      <w:pPr>
        <w:pStyle w:val="Body"/>
      </w:pPr>
      <w:r>
        <w:t xml:space="preserve">The public figure inquiry is one of law.  </w:t>
      </w:r>
      <w:r w:rsidR="009A1174">
        <w:t>(</w:t>
      </w:r>
      <w:bookmarkStart w:id="28" w:name="dabmci_da8a57ac334e437bbb1908c8489f38e4"/>
      <w:r w:rsidR="00751973" w:rsidRPr="00751973">
        <w:rPr>
          <w:i/>
          <w:iCs/>
        </w:rPr>
        <w:t>Khawar, supra</w:t>
      </w:r>
      <w:r w:rsidR="00751973">
        <w:t xml:space="preserve">, 19 Cal.4th </w:t>
      </w:r>
      <w:r w:rsidR="00772391">
        <w:t xml:space="preserve">at p. </w:t>
      </w:r>
      <w:r w:rsidR="00137449">
        <w:t>264</w:t>
      </w:r>
      <w:bookmarkEnd w:id="28"/>
      <w:r w:rsidR="004504AE">
        <w:t xml:space="preserve">; </w:t>
      </w:r>
      <w:bookmarkStart w:id="29" w:name="dabmci_3a695829d69d44e98d4f47249900cb6c"/>
      <w:r w:rsidR="004504AE" w:rsidRPr="002552C6">
        <w:rPr>
          <w:i/>
          <w:iCs/>
        </w:rPr>
        <w:t>Reader</w:t>
      </w:r>
      <w:r w:rsidR="00486435">
        <w:rPr>
          <w:i/>
          <w:iCs/>
        </w:rPr>
        <w:t>’</w:t>
      </w:r>
      <w:r w:rsidR="004504AE" w:rsidRPr="002552C6">
        <w:rPr>
          <w:i/>
          <w:iCs/>
        </w:rPr>
        <w:t>s Digest</w:t>
      </w:r>
      <w:r w:rsidR="002552C6" w:rsidRPr="002552C6">
        <w:rPr>
          <w:i/>
          <w:iCs/>
        </w:rPr>
        <w:t xml:space="preserve"> Assn.</w:t>
      </w:r>
      <w:r w:rsidR="004504AE" w:rsidRPr="002552C6">
        <w:rPr>
          <w:i/>
          <w:iCs/>
        </w:rPr>
        <w:t>, Inc. v. Superior Court</w:t>
      </w:r>
      <w:r w:rsidR="004504AE">
        <w:t xml:space="preserve"> (</w:t>
      </w:r>
      <w:r w:rsidR="00E455D2">
        <w:t xml:space="preserve">1984) 37 Cal.3d 244, </w:t>
      </w:r>
      <w:r w:rsidR="0034546D">
        <w:t>252</w:t>
      </w:r>
      <w:bookmarkEnd w:id="29"/>
      <w:r w:rsidR="00772391">
        <w:t xml:space="preserve">.)  </w:t>
      </w:r>
      <w:r w:rsidR="00A40648">
        <w:t>We review the trial court</w:t>
      </w:r>
      <w:r w:rsidR="00486435">
        <w:t>’</w:t>
      </w:r>
      <w:r w:rsidR="00A40648">
        <w:t xml:space="preserve">s resolution of </w:t>
      </w:r>
      <w:r w:rsidR="004E1C73">
        <w:t>disputed factual issues relevant to the public figure determination for substantial evidence and the court</w:t>
      </w:r>
      <w:r w:rsidR="00486435">
        <w:t>’</w:t>
      </w:r>
      <w:r w:rsidR="004E1C73">
        <w:t xml:space="preserve">s </w:t>
      </w:r>
      <w:r w:rsidR="00906891">
        <w:t>conclusion</w:t>
      </w:r>
      <w:r w:rsidR="004E1C73">
        <w:t xml:space="preserve"> </w:t>
      </w:r>
      <w:r w:rsidR="00190633">
        <w:t>on the question of public figure status de novo.</w:t>
      </w:r>
      <w:r w:rsidR="00137449">
        <w:t xml:space="preserve">  (</w:t>
      </w:r>
      <w:bookmarkStart w:id="30" w:name="dabmci_3f67a216e6d34847877239ccb22e6ef9"/>
      <w:r w:rsidR="0034546D" w:rsidRPr="00751973">
        <w:rPr>
          <w:i/>
          <w:iCs/>
        </w:rPr>
        <w:t>Khawar,</w:t>
      </w:r>
      <w:r w:rsidR="0034546D">
        <w:t xml:space="preserve"> at p. 264</w:t>
      </w:r>
      <w:bookmarkEnd w:id="30"/>
      <w:r w:rsidR="0034546D">
        <w:t>.</w:t>
      </w:r>
      <w:r w:rsidR="00137449">
        <w:t>)</w:t>
      </w:r>
    </w:p>
    <w:p w14:paraId="079295FE" w14:textId="7AA3E79D" w:rsidR="0094662C" w:rsidRDefault="002955D1" w:rsidP="0094662C">
      <w:pPr>
        <w:pStyle w:val="Body"/>
      </w:pPr>
      <w:r>
        <w:t xml:space="preserve">Defendants </w:t>
      </w:r>
      <w:r w:rsidR="00D9252C">
        <w:t xml:space="preserve">argue the relevant public </w:t>
      </w:r>
      <w:r w:rsidR="008A6EF0">
        <w:t>controversy</w:t>
      </w:r>
      <w:r w:rsidR="00D9252C">
        <w:t xml:space="preserve"> </w:t>
      </w:r>
      <w:r w:rsidR="00935431">
        <w:t>was</w:t>
      </w:r>
      <w:r w:rsidR="00D9252C">
        <w:t xml:space="preserve"> the election and the candidates.  </w:t>
      </w:r>
      <w:r w:rsidR="0094662C">
        <w:t xml:space="preserve">We agree </w:t>
      </w:r>
      <w:r w:rsidR="00A9640E">
        <w:t>an election in which various people are vying for public office</w:t>
      </w:r>
      <w:r w:rsidR="0036350B">
        <w:t>, including the respective qualifications of each candidate,</w:t>
      </w:r>
      <w:r w:rsidR="00A9640E">
        <w:t xml:space="preserve"> </w:t>
      </w:r>
      <w:r w:rsidR="0036350B">
        <w:t>amounts to</w:t>
      </w:r>
      <w:r w:rsidR="00A9640E">
        <w:t xml:space="preserve"> </w:t>
      </w:r>
      <w:r w:rsidR="0095450C">
        <w:t xml:space="preserve">a public </w:t>
      </w:r>
      <w:r w:rsidR="008C20DE">
        <w:t xml:space="preserve">debate or </w:t>
      </w:r>
      <w:r w:rsidR="0095450C">
        <w:t>controversy.</w:t>
      </w:r>
      <w:r w:rsidR="00625CC2">
        <w:t xml:space="preserve">  (</w:t>
      </w:r>
      <w:r w:rsidR="00936942">
        <w:t xml:space="preserve">See </w:t>
      </w:r>
      <w:bookmarkStart w:id="31" w:name="dabmci_caff46286d844ec88a8c89b6f874a985"/>
      <w:r w:rsidR="00BF1B80" w:rsidRPr="00A25291">
        <w:rPr>
          <w:i/>
          <w:iCs/>
        </w:rPr>
        <w:t>Annette F. v. Sharon S.</w:t>
      </w:r>
      <w:r w:rsidR="00BF1B80">
        <w:t xml:space="preserve"> (2004) </w:t>
      </w:r>
      <w:r w:rsidR="00BF1B80" w:rsidRPr="00BF1B80">
        <w:t>119 Cal.App.4th 1146</w:t>
      </w:r>
      <w:r w:rsidR="00BF1B80">
        <w:t xml:space="preserve">, </w:t>
      </w:r>
      <w:r w:rsidR="00A25291">
        <w:t>1164</w:t>
      </w:r>
      <w:r w:rsidR="00430553">
        <w:t xml:space="preserve"> (</w:t>
      </w:r>
      <w:r w:rsidR="00430553" w:rsidRPr="00430553">
        <w:rPr>
          <w:i/>
          <w:iCs/>
        </w:rPr>
        <w:t>Annette F.</w:t>
      </w:r>
      <w:r w:rsidR="00430553">
        <w:t>)</w:t>
      </w:r>
      <w:bookmarkEnd w:id="31"/>
      <w:r w:rsidR="00A25291">
        <w:t xml:space="preserve"> </w:t>
      </w:r>
      <w:r w:rsidR="00936942">
        <w:t>[</w:t>
      </w:r>
      <w:r w:rsidR="00936942" w:rsidRPr="00936942">
        <w:t xml:space="preserve">issue being debated publicly </w:t>
      </w:r>
      <w:r w:rsidR="008773E9">
        <w:t>that has</w:t>
      </w:r>
      <w:r w:rsidR="00936942" w:rsidRPr="00936942">
        <w:t xml:space="preserve"> foreseeable and substantial ramifications for nonparticipants</w:t>
      </w:r>
      <w:r w:rsidR="008773E9">
        <w:t xml:space="preserve"> is</w:t>
      </w:r>
      <w:r w:rsidR="00936942" w:rsidRPr="00936942">
        <w:t xml:space="preserve"> public controversy</w:t>
      </w:r>
      <w:r w:rsidR="00936942">
        <w:t>]</w:t>
      </w:r>
      <w:r w:rsidR="00625CC2">
        <w:t>.)</w:t>
      </w:r>
      <w:r w:rsidR="001C4B35">
        <w:t xml:space="preserve">  </w:t>
      </w:r>
      <w:r w:rsidR="007839D8">
        <w:t xml:space="preserve">In this case, the debate specifically concerned </w:t>
      </w:r>
      <w:r w:rsidR="00AE1F65">
        <w:t xml:space="preserve">the 2022 </w:t>
      </w:r>
      <w:r w:rsidR="00935431">
        <w:t xml:space="preserve">local </w:t>
      </w:r>
      <w:r w:rsidR="00AE1F65">
        <w:t xml:space="preserve">State Assembly race and </w:t>
      </w:r>
      <w:r w:rsidR="00B5313A">
        <w:t>Ted Bui</w:t>
      </w:r>
      <w:r w:rsidR="00486435">
        <w:t>’</w:t>
      </w:r>
      <w:r w:rsidR="00B5313A">
        <w:t xml:space="preserve">s </w:t>
      </w:r>
      <w:r w:rsidR="00935431">
        <w:t xml:space="preserve">related </w:t>
      </w:r>
      <w:r w:rsidR="00B5313A">
        <w:t>campaign</w:t>
      </w:r>
      <w:r w:rsidR="00935431">
        <w:t>.</w:t>
      </w:r>
    </w:p>
    <w:p w14:paraId="2816F604" w14:textId="3172E675" w:rsidR="00D71431" w:rsidRDefault="00E83015" w:rsidP="0094662C">
      <w:pPr>
        <w:pStyle w:val="Body"/>
      </w:pPr>
      <w:r>
        <w:lastRenderedPageBreak/>
        <w:t>Where we diverge from defendants</w:t>
      </w:r>
      <w:r w:rsidR="00486435">
        <w:t>’</w:t>
      </w:r>
      <w:r>
        <w:t xml:space="preserve"> proffered analysis is </w:t>
      </w:r>
      <w:r w:rsidR="00A23B75">
        <w:t>the next</w:t>
      </w:r>
      <w:r w:rsidR="00160604">
        <w:t xml:space="preserve"> step</w:t>
      </w:r>
      <w:r w:rsidR="00432ACE">
        <w:t>, which concerns plaintiff</w:t>
      </w:r>
      <w:r w:rsidR="00486435">
        <w:t>’</w:t>
      </w:r>
      <w:r w:rsidR="00432ACE">
        <w:t xml:space="preserve">s involvement in the </w:t>
      </w:r>
      <w:r w:rsidR="00862C6D">
        <w:t>debate</w:t>
      </w:r>
      <w:r w:rsidR="00160604">
        <w:t xml:space="preserve">.  </w:t>
      </w:r>
      <w:r w:rsidR="00D9252C">
        <w:t xml:space="preserve">From </w:t>
      </w:r>
      <w:r w:rsidR="00C45F91">
        <w:t>defendants</w:t>
      </w:r>
      <w:r w:rsidR="00486435">
        <w:t>’</w:t>
      </w:r>
      <w:r w:rsidR="00D9252C">
        <w:t xml:space="preserve"> perspective, </w:t>
      </w:r>
      <w:r w:rsidR="00486435">
        <w:t>“</w:t>
      </w:r>
      <w:r w:rsidR="00BC7070">
        <w:t>[</w:t>
      </w:r>
      <w:r w:rsidR="000378CD">
        <w:t>a</w:t>
      </w:r>
      <w:r w:rsidR="00BC7070">
        <w:t>]</w:t>
      </w:r>
      <w:r w:rsidR="000378CD">
        <w:t xml:space="preserve"> candidate does not run in isolation; in making </w:t>
      </w:r>
      <w:r w:rsidR="006000FB">
        <w:t>[the decision to run for office] he or she brings the candidate</w:t>
      </w:r>
      <w:r w:rsidR="00486435">
        <w:t>’</w:t>
      </w:r>
      <w:r w:rsidR="006000FB">
        <w:t>s family into the public eye.</w:t>
      </w:r>
      <w:r w:rsidR="00486435">
        <w:t>”</w:t>
      </w:r>
      <w:r w:rsidR="006000FB">
        <w:t xml:space="preserve">  </w:t>
      </w:r>
      <w:r w:rsidR="00A06A80">
        <w:t xml:space="preserve">To the extent </w:t>
      </w:r>
      <w:r w:rsidR="007F50EA">
        <w:t>this is an urge for us t</w:t>
      </w:r>
      <w:r w:rsidR="00A06A80">
        <w:t xml:space="preserve">o find </w:t>
      </w:r>
      <w:r w:rsidR="00A14664">
        <w:t>a</w:t>
      </w:r>
      <w:r w:rsidR="00AB7EAA">
        <w:t>ny</w:t>
      </w:r>
      <w:r w:rsidR="00A14664">
        <w:t xml:space="preserve"> political candidate</w:t>
      </w:r>
      <w:r w:rsidR="00486435">
        <w:t>’</w:t>
      </w:r>
      <w:r w:rsidR="00A14664">
        <w:t xml:space="preserve">s family </w:t>
      </w:r>
      <w:r w:rsidR="007313F4">
        <w:t>members</w:t>
      </w:r>
      <w:r w:rsidR="008629EA">
        <w:t xml:space="preserve"> to be limited purpose public figures simply </w:t>
      </w:r>
      <w:r w:rsidR="00AB7EAA">
        <w:t>by reason of the candidate</w:t>
      </w:r>
      <w:r w:rsidR="00486435">
        <w:t>’</w:t>
      </w:r>
      <w:r w:rsidR="00AB7EAA">
        <w:t xml:space="preserve">s choice to run for </w:t>
      </w:r>
      <w:r w:rsidR="006A32D6">
        <w:t xml:space="preserve">public </w:t>
      </w:r>
      <w:r w:rsidR="00AB7EAA">
        <w:t xml:space="preserve">office, we </w:t>
      </w:r>
      <w:r w:rsidR="006731AF">
        <w:t>decline to so hold.</w:t>
      </w:r>
      <w:r w:rsidR="00787810">
        <w:t xml:space="preserve">  </w:t>
      </w:r>
      <w:r w:rsidR="00240FE2">
        <w:t>Defendants do not point us to any authority for such a broad sweeping rule</w:t>
      </w:r>
      <w:r w:rsidR="00A93D75">
        <w:t>.</w:t>
      </w:r>
      <w:r w:rsidR="008723FC" w:rsidRPr="00463315">
        <w:rPr>
          <w:rStyle w:val="FootnoteReference"/>
          <w:color w:val="auto"/>
        </w:rPr>
        <w:footnoteReference w:id="8"/>
      </w:r>
      <w:r w:rsidR="00A93D75">
        <w:t xml:space="preserve">  </w:t>
      </w:r>
      <w:r w:rsidR="00080867">
        <w:t>Moreover</w:t>
      </w:r>
      <w:r w:rsidR="006A32D6">
        <w:t xml:space="preserve">, </w:t>
      </w:r>
      <w:r w:rsidR="00D71431">
        <w:t>doing so</w:t>
      </w:r>
      <w:r w:rsidR="00724417">
        <w:t xml:space="preserve"> </w:t>
      </w:r>
      <w:r w:rsidR="008C660F">
        <w:t>would</w:t>
      </w:r>
      <w:r w:rsidR="00724417">
        <w:t xml:space="preserve"> </w:t>
      </w:r>
      <w:r w:rsidR="00D71431">
        <w:t>effectively</w:t>
      </w:r>
      <w:r w:rsidR="008C660F">
        <w:t xml:space="preserve"> </w:t>
      </w:r>
      <w:r w:rsidR="00C03F85">
        <w:t>turn</w:t>
      </w:r>
      <w:r w:rsidR="008C660F">
        <w:t xml:space="preserve"> family members of a political candidate</w:t>
      </w:r>
      <w:r w:rsidR="00CE36B8">
        <w:t>, including children,</w:t>
      </w:r>
      <w:r w:rsidR="008C660F">
        <w:t xml:space="preserve"> </w:t>
      </w:r>
      <w:r w:rsidR="00C03F85">
        <w:t>into</w:t>
      </w:r>
      <w:r w:rsidR="008C660F">
        <w:t xml:space="preserve"> </w:t>
      </w:r>
      <w:r w:rsidR="005A1F31">
        <w:t>public figures</w:t>
      </w:r>
      <w:r w:rsidR="00C03F85">
        <w:t xml:space="preserve"> through no purposeful action of their own.  The Supreme Court has cautioned </w:t>
      </w:r>
      <w:r w:rsidR="00BC0C42">
        <w:t xml:space="preserve">that </w:t>
      </w:r>
      <w:r w:rsidR="00620614">
        <w:t xml:space="preserve">the finding of </w:t>
      </w:r>
      <w:r w:rsidR="00C03F85">
        <w:t xml:space="preserve">such </w:t>
      </w:r>
      <w:r w:rsidR="00C03F85" w:rsidRPr="003B29EB">
        <w:t>involuntary public figure</w:t>
      </w:r>
      <w:r w:rsidR="00C03F85">
        <w:t xml:space="preserve"> status</w:t>
      </w:r>
      <w:r w:rsidR="005A1F31">
        <w:t xml:space="preserve"> </w:t>
      </w:r>
      <w:r w:rsidR="00486435">
        <w:t>“</w:t>
      </w:r>
      <w:r w:rsidR="00C03F85">
        <w:t>must be</w:t>
      </w:r>
      <w:r w:rsidR="00EC2FA2">
        <w:t xml:space="preserve"> exceedingly rare.</w:t>
      </w:r>
      <w:r w:rsidR="00486435">
        <w:t>”</w:t>
      </w:r>
      <w:r w:rsidR="00D71431">
        <w:t xml:space="preserve"> </w:t>
      </w:r>
      <w:r w:rsidR="00620614">
        <w:t xml:space="preserve"> (</w:t>
      </w:r>
      <w:bookmarkStart w:id="37" w:name="dabmci_1c28ef3e74004ba3b15d4ad9ef0d16bd"/>
      <w:r w:rsidR="00620614" w:rsidRPr="00E4207D">
        <w:rPr>
          <w:i/>
          <w:iCs/>
        </w:rPr>
        <w:t>Gertz, supra</w:t>
      </w:r>
      <w:r w:rsidR="00620614">
        <w:t xml:space="preserve">, </w:t>
      </w:r>
      <w:r w:rsidR="00620614" w:rsidRPr="008F71DF">
        <w:t>418 U.S.</w:t>
      </w:r>
      <w:r w:rsidR="00620614">
        <w:t xml:space="preserve"> at p. 345</w:t>
      </w:r>
      <w:bookmarkEnd w:id="37"/>
      <w:r w:rsidR="00620614">
        <w:t>.)</w:t>
      </w:r>
      <w:r w:rsidR="00A937AC">
        <w:t xml:space="preserve"> </w:t>
      </w:r>
      <w:r w:rsidR="00080867">
        <w:t xml:space="preserve"> </w:t>
      </w:r>
      <w:r w:rsidR="00F5505F">
        <w:t xml:space="preserve">We find no justification for </w:t>
      </w:r>
      <w:r w:rsidR="00A13481">
        <w:t xml:space="preserve">the families of </w:t>
      </w:r>
      <w:r w:rsidR="001B1A4A">
        <w:t xml:space="preserve">political candidates, generally, </w:t>
      </w:r>
      <w:r w:rsidR="009C4208">
        <w:t xml:space="preserve">to be </w:t>
      </w:r>
      <w:r w:rsidR="0003263A">
        <w:t>one of those “exceedingly</w:t>
      </w:r>
      <w:r w:rsidR="009C4208">
        <w:t xml:space="preserve"> rare</w:t>
      </w:r>
      <w:r w:rsidR="0003263A">
        <w:t>”</w:t>
      </w:r>
      <w:r w:rsidR="00CC6BEF">
        <w:t xml:space="preserve"> </w:t>
      </w:r>
      <w:r w:rsidR="009C4208">
        <w:t>instance</w:t>
      </w:r>
      <w:r w:rsidR="0003263A">
        <w:t>s</w:t>
      </w:r>
      <w:r w:rsidR="0060295F">
        <w:t>.</w:t>
      </w:r>
      <w:r w:rsidR="00710E48">
        <w:t xml:space="preserve">  (</w:t>
      </w:r>
      <w:bookmarkStart w:id="38" w:name="dabmci_cbe9d9e16c244d5fb75d0c3e7471c9a0"/>
      <w:r w:rsidR="00CC6BEF" w:rsidRPr="00CC6BEF">
        <w:rPr>
          <w:i/>
          <w:iCs/>
        </w:rPr>
        <w:t>Ibid</w:t>
      </w:r>
      <w:r w:rsidR="00CC6BEF">
        <w:t>.</w:t>
      </w:r>
      <w:bookmarkEnd w:id="38"/>
      <w:r w:rsidR="00CC6BEF">
        <w:t>; s</w:t>
      </w:r>
      <w:r w:rsidR="00704E52">
        <w:t xml:space="preserve">ee </w:t>
      </w:r>
      <w:bookmarkStart w:id="39" w:name="dabmci_c402faa64d8d47f4af76e1d3a3e6f06d"/>
      <w:r w:rsidR="00C3478C" w:rsidRPr="007B45D8">
        <w:rPr>
          <w:i/>
          <w:iCs/>
        </w:rPr>
        <w:t>Wolston</w:t>
      </w:r>
      <w:r w:rsidR="00C3478C">
        <w:rPr>
          <w:i/>
          <w:iCs/>
        </w:rPr>
        <w:t xml:space="preserve">, </w:t>
      </w:r>
      <w:r w:rsidR="00C3478C" w:rsidRPr="00604859">
        <w:rPr>
          <w:i/>
          <w:iCs/>
        </w:rPr>
        <w:t>supra</w:t>
      </w:r>
      <w:r w:rsidR="00C3478C">
        <w:t xml:space="preserve">, </w:t>
      </w:r>
      <w:r w:rsidR="00C3478C" w:rsidRPr="00604859">
        <w:t>443</w:t>
      </w:r>
      <w:r w:rsidR="00C3478C">
        <w:t xml:space="preserve"> U.S. at p. </w:t>
      </w:r>
      <w:r w:rsidR="002C2046">
        <w:t>168</w:t>
      </w:r>
      <w:bookmarkEnd w:id="39"/>
      <w:r w:rsidR="008144DD">
        <w:t xml:space="preserve"> [</w:t>
      </w:r>
      <w:r w:rsidR="008144DD" w:rsidRPr="008144DD">
        <w:t>private individual not transformed into public figure by becoming involved in or associated with matter that attracts public attention</w:t>
      </w:r>
      <w:r w:rsidR="00305389">
        <w:t>]</w:t>
      </w:r>
      <w:r w:rsidR="008144DD">
        <w:t xml:space="preserve">; </w:t>
      </w:r>
      <w:bookmarkStart w:id="40" w:name="dabmci_563159696d92422eaba108dfc8ebeb3e"/>
      <w:r w:rsidR="00704E52" w:rsidRPr="00751973">
        <w:rPr>
          <w:i/>
          <w:iCs/>
        </w:rPr>
        <w:t>Khawar, supra</w:t>
      </w:r>
      <w:r w:rsidR="00704E52">
        <w:t xml:space="preserve">, 19 Cal.4th at p. </w:t>
      </w:r>
      <w:r w:rsidR="00704E52" w:rsidRPr="00704E52">
        <w:t>265</w:t>
      </w:r>
      <w:bookmarkEnd w:id="40"/>
      <w:r w:rsidR="00704E52" w:rsidRPr="00704E52">
        <w:t xml:space="preserve"> [involuntary public figure</w:t>
      </w:r>
      <w:r w:rsidR="00704E52">
        <w:t xml:space="preserve"> </w:t>
      </w:r>
      <w:r w:rsidR="00704E52" w:rsidRPr="00704E52">
        <w:t xml:space="preserve">characterization </w:t>
      </w:r>
      <w:r w:rsidR="00704E52">
        <w:t xml:space="preserve">reserved </w:t>
      </w:r>
      <w:r w:rsidR="00486435">
        <w:t>“</w:t>
      </w:r>
      <w:r w:rsidR="00704E52" w:rsidRPr="00704E52">
        <w:t xml:space="preserve">for an individual who, despite never having </w:t>
      </w:r>
      <w:r w:rsidR="00704E52" w:rsidRPr="00FA2AE8">
        <w:rPr>
          <w:i/>
          <w:iCs/>
        </w:rPr>
        <w:t>voluntarily</w:t>
      </w:r>
      <w:r w:rsidR="00704E52" w:rsidRPr="00704E52">
        <w:t xml:space="preserve"> engaged the public</w:t>
      </w:r>
      <w:r w:rsidR="00486435">
        <w:t>’</w:t>
      </w:r>
      <w:r w:rsidR="00704E52" w:rsidRPr="00704E52">
        <w:t>s attention in an attempt to influence the outcome of a public controversy, nonetheless has acquired such public prominence in relation to the controversy as to permit media access sufficient to effectively counter media-published defamatory statements</w:t>
      </w:r>
      <w:r w:rsidR="00486435">
        <w:t>”</w:t>
      </w:r>
      <w:r w:rsidR="00704E52">
        <w:t>]</w:t>
      </w:r>
      <w:r w:rsidR="00704E52" w:rsidRPr="00704E52">
        <w:t>.</w:t>
      </w:r>
      <w:r w:rsidR="00704E52">
        <w:t>)</w:t>
      </w:r>
    </w:p>
    <w:p w14:paraId="3D1E1E98" w14:textId="2EDAE56C" w:rsidR="00266ECD" w:rsidRDefault="004D5E94" w:rsidP="007B45D8">
      <w:pPr>
        <w:pStyle w:val="Body"/>
      </w:pPr>
      <w:r>
        <w:lastRenderedPageBreak/>
        <w:t>H</w:t>
      </w:r>
      <w:r w:rsidR="009D7742">
        <w:t>e</w:t>
      </w:r>
      <w:r>
        <w:t>eding</w:t>
      </w:r>
      <w:r w:rsidR="009D7742">
        <w:t xml:space="preserve"> the Supreme Court</w:t>
      </w:r>
      <w:r w:rsidR="00486435">
        <w:t>’</w:t>
      </w:r>
      <w:r w:rsidR="009D7742">
        <w:t xml:space="preserve">s </w:t>
      </w:r>
      <w:r w:rsidR="007562B1">
        <w:t xml:space="preserve">direction </w:t>
      </w:r>
      <w:r>
        <w:t>to</w:t>
      </w:r>
      <w:r w:rsidR="009D7742">
        <w:t xml:space="preserve"> focus </w:t>
      </w:r>
      <w:r>
        <w:t>on</w:t>
      </w:r>
      <w:r w:rsidR="009D7742">
        <w:t xml:space="preserve"> </w:t>
      </w:r>
      <w:r w:rsidR="0094662C">
        <w:t xml:space="preserve">the nature and extent of </w:t>
      </w:r>
      <w:r w:rsidR="007562B1">
        <w:t>plaintiff</w:t>
      </w:r>
      <w:r w:rsidR="00486435">
        <w:t>’</w:t>
      </w:r>
      <w:r w:rsidR="007562B1">
        <w:t xml:space="preserve">s </w:t>
      </w:r>
      <w:r w:rsidR="00E77759">
        <w:t xml:space="preserve">particular </w:t>
      </w:r>
      <w:r w:rsidR="0094662C">
        <w:t xml:space="preserve">involvement </w:t>
      </w:r>
      <w:r w:rsidR="00D72BAE">
        <w:t>in</w:t>
      </w:r>
      <w:r w:rsidR="00685496">
        <w:t xml:space="preserve"> </w:t>
      </w:r>
      <w:r w:rsidR="001C4B35">
        <w:t xml:space="preserve">the 2022 </w:t>
      </w:r>
      <w:r w:rsidR="00F14810">
        <w:t>election related i</w:t>
      </w:r>
      <w:r w:rsidR="007B1AD6">
        <w:t>ssue</w:t>
      </w:r>
      <w:r w:rsidR="00957D5F">
        <w:t>s</w:t>
      </w:r>
      <w:r w:rsidR="00C03887">
        <w:t xml:space="preserve"> (</w:t>
      </w:r>
      <w:bookmarkStart w:id="41" w:name="dabmci_96c5002b9ef04184b0c5088da54b7c98"/>
      <w:r w:rsidR="00604859" w:rsidRPr="007B45D8">
        <w:rPr>
          <w:i/>
          <w:iCs/>
        </w:rPr>
        <w:t>Wolston</w:t>
      </w:r>
      <w:r w:rsidR="00604859">
        <w:rPr>
          <w:i/>
          <w:iCs/>
        </w:rPr>
        <w:t xml:space="preserve">, </w:t>
      </w:r>
      <w:r w:rsidR="00604859" w:rsidRPr="00604859">
        <w:rPr>
          <w:i/>
          <w:iCs/>
        </w:rPr>
        <w:t>supra</w:t>
      </w:r>
      <w:r w:rsidR="00604859">
        <w:t xml:space="preserve">, </w:t>
      </w:r>
      <w:r w:rsidR="00604859" w:rsidRPr="00604859">
        <w:t>443</w:t>
      </w:r>
      <w:r w:rsidR="00604859">
        <w:t xml:space="preserve"> U.S. at p. 167</w:t>
      </w:r>
      <w:bookmarkEnd w:id="41"/>
      <w:r w:rsidR="00C03887">
        <w:t>)</w:t>
      </w:r>
      <w:r w:rsidR="00B0026F">
        <w:t xml:space="preserve">, we </w:t>
      </w:r>
      <w:r w:rsidR="00281945">
        <w:t>turn to the evidence that was before the trial court at the time it considered t</w:t>
      </w:r>
      <w:r w:rsidR="00463315">
        <w:t>he anti-SLAPP motion.</w:t>
      </w:r>
      <w:r w:rsidR="00727903" w:rsidRPr="00F0325B">
        <w:rPr>
          <w:rStyle w:val="FootnoteReference"/>
          <w:color w:val="auto"/>
        </w:rPr>
        <w:footnoteReference w:id="9"/>
      </w:r>
      <w:r w:rsidR="00875842">
        <w:t xml:space="preserve">  </w:t>
      </w:r>
      <w:r w:rsidR="0065443C">
        <w:t>The</w:t>
      </w:r>
      <w:r w:rsidR="00DE394A">
        <w:t xml:space="preserve"> sole evidence on this point, which was undisputed</w:t>
      </w:r>
      <w:r w:rsidR="00727903">
        <w:t xml:space="preserve"> by plaintiff at the time</w:t>
      </w:r>
      <w:r w:rsidR="00DE394A">
        <w:t xml:space="preserve">, was as follows:  </w:t>
      </w:r>
      <w:r w:rsidR="002E055F">
        <w:t>photos posted by a third</w:t>
      </w:r>
      <w:r w:rsidR="00FA2AE8">
        <w:t xml:space="preserve"> </w:t>
      </w:r>
      <w:r w:rsidR="002E055F">
        <w:t>party on Facebook</w:t>
      </w:r>
      <w:r w:rsidR="00505CBD">
        <w:t xml:space="preserve"> depicted</w:t>
      </w:r>
      <w:r w:rsidR="002E055F">
        <w:t xml:space="preserve"> </w:t>
      </w:r>
      <w:r w:rsidR="00E73037">
        <w:t xml:space="preserve">Ted Bui and </w:t>
      </w:r>
      <w:r w:rsidR="00A34F9D">
        <w:t>plaintiff</w:t>
      </w:r>
      <w:r w:rsidR="00505CBD">
        <w:t xml:space="preserve"> </w:t>
      </w:r>
      <w:r w:rsidR="00E73037">
        <w:t xml:space="preserve">carrying political posters for his campaign during </w:t>
      </w:r>
      <w:r w:rsidR="00065676">
        <w:t>a</w:t>
      </w:r>
      <w:r w:rsidR="006E1762">
        <w:t xml:space="preserve"> 2022</w:t>
      </w:r>
      <w:r w:rsidR="00E82631">
        <w:t xml:space="preserve"> </w:t>
      </w:r>
      <w:r w:rsidR="00B1412E">
        <w:t>l</w:t>
      </w:r>
      <w:r w:rsidR="006E1762">
        <w:t xml:space="preserve">unar </w:t>
      </w:r>
      <w:r w:rsidR="00B1412E">
        <w:t>n</w:t>
      </w:r>
      <w:r w:rsidR="006E1762">
        <w:t xml:space="preserve">ew </w:t>
      </w:r>
      <w:r w:rsidR="00B1412E">
        <w:t>y</w:t>
      </w:r>
      <w:r w:rsidR="006E1762">
        <w:t xml:space="preserve">ear </w:t>
      </w:r>
      <w:r w:rsidR="00E82631">
        <w:t>para</w:t>
      </w:r>
      <w:r w:rsidR="007C7203">
        <w:t>de</w:t>
      </w:r>
      <w:r w:rsidR="00013464">
        <w:t xml:space="preserve">, which was </w:t>
      </w:r>
      <w:r w:rsidR="00505CBD">
        <w:t xml:space="preserve">a </w:t>
      </w:r>
      <w:r w:rsidR="00AE4849">
        <w:t>cultural</w:t>
      </w:r>
      <w:r w:rsidR="00505CBD">
        <w:t xml:space="preserve"> </w:t>
      </w:r>
      <w:r w:rsidR="00653FCE">
        <w:t>event organized by a nonprofit.</w:t>
      </w:r>
      <w:r w:rsidR="00A34F9D">
        <w:t xml:space="preserve"> </w:t>
      </w:r>
    </w:p>
    <w:p w14:paraId="2485C18E" w14:textId="6FEB286B" w:rsidR="002A65B6" w:rsidRDefault="007304B3" w:rsidP="002A65B6">
      <w:pPr>
        <w:pStyle w:val="Body"/>
      </w:pPr>
      <w:r>
        <w:t>The one-time carrying of a campaign poster</w:t>
      </w:r>
      <w:r w:rsidR="00136F71">
        <w:t xml:space="preserve"> with an unknown message</w:t>
      </w:r>
      <w:r>
        <w:t xml:space="preserve"> by the wife of a </w:t>
      </w:r>
      <w:r w:rsidR="00266ECD">
        <w:t xml:space="preserve">political </w:t>
      </w:r>
      <w:r>
        <w:t xml:space="preserve">candidate at a </w:t>
      </w:r>
      <w:r w:rsidR="00266ECD">
        <w:t>cultural event</w:t>
      </w:r>
      <w:r w:rsidR="00695E98">
        <w:t xml:space="preserve">, </w:t>
      </w:r>
      <w:r w:rsidR="00081E08">
        <w:t>standing alone,</w:t>
      </w:r>
      <w:r w:rsidR="00266ECD">
        <w:t xml:space="preserve"> does not </w:t>
      </w:r>
      <w:r w:rsidR="00695E98">
        <w:t>amount to the type</w:t>
      </w:r>
      <w:r w:rsidR="00081E08">
        <w:t xml:space="preserve"> of voluntary injection </w:t>
      </w:r>
      <w:r w:rsidR="00A833ED">
        <w:t xml:space="preserve">in </w:t>
      </w:r>
      <w:r w:rsidR="0052703C">
        <w:t xml:space="preserve">a </w:t>
      </w:r>
      <w:r w:rsidR="00AB028E">
        <w:t>public controversy</w:t>
      </w:r>
      <w:r w:rsidR="00E906DD">
        <w:t xml:space="preserve"> at which the limited purpose public figure jurisprudence </w:t>
      </w:r>
      <w:r w:rsidR="004964DF">
        <w:t>is aimed</w:t>
      </w:r>
      <w:r w:rsidR="00E906DD">
        <w:t>.</w:t>
      </w:r>
      <w:r w:rsidR="00A833ED">
        <w:t xml:space="preserve"> </w:t>
      </w:r>
      <w:r w:rsidR="004A0471">
        <w:t xml:space="preserve"> </w:t>
      </w:r>
      <w:r w:rsidR="002A65B6">
        <w:t xml:space="preserve">We take guidance from </w:t>
      </w:r>
      <w:r w:rsidR="00A10BF7">
        <w:t>precedent</w:t>
      </w:r>
      <w:r w:rsidR="002479F9">
        <w:t xml:space="preserve"> </w:t>
      </w:r>
      <w:r w:rsidR="00FB7F9C">
        <w:t xml:space="preserve">which </w:t>
      </w:r>
      <w:r w:rsidR="00FF08E7">
        <w:t>exemplif</w:t>
      </w:r>
      <w:r w:rsidR="00A10BF7">
        <w:t>ies</w:t>
      </w:r>
      <w:r w:rsidR="00FF08E7">
        <w:t xml:space="preserve"> what it means to </w:t>
      </w:r>
      <w:r w:rsidR="00486435">
        <w:t>“</w:t>
      </w:r>
      <w:r w:rsidR="00E13301" w:rsidRPr="00E13301">
        <w:t xml:space="preserve">thrust </w:t>
      </w:r>
      <w:r w:rsidR="00E13301">
        <w:t>[oneself]</w:t>
      </w:r>
      <w:r w:rsidR="00E13301" w:rsidRPr="00E13301">
        <w:t xml:space="preserve"> into the vortex of </w:t>
      </w:r>
      <w:r w:rsidR="00E13301">
        <w:t>[a]</w:t>
      </w:r>
      <w:r w:rsidR="00E13301" w:rsidRPr="00E13301">
        <w:t xml:space="preserve"> public </w:t>
      </w:r>
      <w:r w:rsidR="00E13301" w:rsidRPr="009E3F54">
        <w:t>issue</w:t>
      </w:r>
      <w:r w:rsidR="00D82A79">
        <w:t>,</w:t>
      </w:r>
      <w:r w:rsidR="00486435">
        <w:t>”</w:t>
      </w:r>
      <w:r w:rsidR="00852747" w:rsidRPr="009E3F54">
        <w:t xml:space="preserve"> </w:t>
      </w:r>
      <w:r w:rsidR="00C96814" w:rsidRPr="009E3F54">
        <w:t xml:space="preserve">to </w:t>
      </w:r>
      <w:r w:rsidR="00486435">
        <w:t>“</w:t>
      </w:r>
      <w:r w:rsidR="00553738" w:rsidRPr="009E3F54">
        <w:t xml:space="preserve">assume special prominence in the resolution of [a] public </w:t>
      </w:r>
      <w:proofErr w:type="gramStart"/>
      <w:r w:rsidR="00553738" w:rsidRPr="009E3F54">
        <w:t>question[</w:t>
      </w:r>
      <w:proofErr w:type="gramEnd"/>
      <w:r w:rsidR="00553738" w:rsidRPr="009E3F54">
        <w:t>]</w:t>
      </w:r>
      <w:r w:rsidR="00D82A79">
        <w:t>,</w:t>
      </w:r>
      <w:r w:rsidR="00486435">
        <w:t>”</w:t>
      </w:r>
      <w:r w:rsidR="00553738" w:rsidRPr="009E3F54">
        <w:t xml:space="preserve"> </w:t>
      </w:r>
      <w:r w:rsidR="00D82A79">
        <w:t>to</w:t>
      </w:r>
      <w:r w:rsidR="000D1D29" w:rsidRPr="009E3F54">
        <w:t xml:space="preserve"> </w:t>
      </w:r>
      <w:r w:rsidR="00486435">
        <w:t>“</w:t>
      </w:r>
      <w:r w:rsidR="00DB48AD" w:rsidRPr="00DB48AD">
        <w:t>engage the public</w:t>
      </w:r>
      <w:r w:rsidR="00486435">
        <w:t>’</w:t>
      </w:r>
      <w:r w:rsidR="00DB48AD" w:rsidRPr="00DB48AD">
        <w:t xml:space="preserve">s attention in an attempt to influence </w:t>
      </w:r>
      <w:r w:rsidR="00DD43C8">
        <w:t>[the]</w:t>
      </w:r>
      <w:r w:rsidR="00DB48AD" w:rsidRPr="00DB48AD">
        <w:t xml:space="preserve"> outcome</w:t>
      </w:r>
      <w:r w:rsidR="00B712DF" w:rsidRPr="005A125E">
        <w:t>,</w:t>
      </w:r>
      <w:r w:rsidR="00486435">
        <w:t>”</w:t>
      </w:r>
      <w:r w:rsidR="00B712DF" w:rsidRPr="005A125E">
        <w:t xml:space="preserve"> </w:t>
      </w:r>
      <w:r w:rsidR="000D1D29" w:rsidRPr="005A125E">
        <w:t xml:space="preserve">and </w:t>
      </w:r>
      <w:r w:rsidR="00C96814" w:rsidRPr="005A125E">
        <w:t xml:space="preserve">to </w:t>
      </w:r>
      <w:r w:rsidR="00486435">
        <w:t>“</w:t>
      </w:r>
      <w:r w:rsidR="00CC1016" w:rsidRPr="00CC1016">
        <w:t>voluntarily inject</w:t>
      </w:r>
      <w:r w:rsidR="00CC1016">
        <w:t>[]</w:t>
      </w:r>
      <w:r w:rsidR="00CC1016" w:rsidRPr="00CC1016">
        <w:t xml:space="preserve"> </w:t>
      </w:r>
      <w:r w:rsidR="00CC1016">
        <w:t>[oneself] . . . </w:t>
      </w:r>
      <w:r w:rsidR="00CC1016" w:rsidRPr="00CC1016">
        <w:t>into a particular public controversy</w:t>
      </w:r>
      <w:r w:rsidR="005A125E">
        <w:t>.</w:t>
      </w:r>
      <w:r w:rsidR="00486435">
        <w:t>”</w:t>
      </w:r>
      <w:r w:rsidR="00D82A79">
        <w:t xml:space="preserve">  </w:t>
      </w:r>
      <w:r w:rsidR="00D82A79" w:rsidRPr="009E3F54">
        <w:t>(</w:t>
      </w:r>
      <w:bookmarkStart w:id="43" w:name="dabmci_e363d117d4574c268fbb1b197fa0fd8c"/>
      <w:r w:rsidR="00D82A79" w:rsidRPr="009E3F54">
        <w:rPr>
          <w:i/>
          <w:iCs/>
        </w:rPr>
        <w:t>Gertz, supra</w:t>
      </w:r>
      <w:r w:rsidR="00D82A79" w:rsidRPr="009E3F54">
        <w:t>, 418 U.S. at p</w:t>
      </w:r>
      <w:r w:rsidR="00D82A79">
        <w:t>p</w:t>
      </w:r>
      <w:r w:rsidR="00D82A79" w:rsidRPr="009E3F54">
        <w:t>. 35</w:t>
      </w:r>
      <w:r w:rsidR="00D82A79">
        <w:t>1-35</w:t>
      </w:r>
      <w:r w:rsidR="00D82A79" w:rsidRPr="009E3F54">
        <w:t>2</w:t>
      </w:r>
      <w:bookmarkEnd w:id="43"/>
      <w:r w:rsidR="00D82A79" w:rsidRPr="009E3F54">
        <w:t>)</w:t>
      </w:r>
    </w:p>
    <w:p w14:paraId="4176B359" w14:textId="5C0FE1D8" w:rsidR="00DB3050" w:rsidRDefault="000B1AB1" w:rsidP="002A65B6">
      <w:pPr>
        <w:pStyle w:val="Body"/>
      </w:pPr>
      <w:r w:rsidRPr="0017649A">
        <w:t xml:space="preserve">In </w:t>
      </w:r>
      <w:bookmarkStart w:id="44" w:name="dabmci_b75df240d14c4136b3a5c066644becac"/>
      <w:r w:rsidRPr="00EE5A19">
        <w:rPr>
          <w:i/>
          <w:iCs/>
        </w:rPr>
        <w:t>Time</w:t>
      </w:r>
      <w:r w:rsidR="00392F57">
        <w:rPr>
          <w:i/>
          <w:iCs/>
        </w:rPr>
        <w:t>,</w:t>
      </w:r>
      <w:r w:rsidRPr="00EE5A19">
        <w:rPr>
          <w:i/>
          <w:iCs/>
        </w:rPr>
        <w:t xml:space="preserve"> Inc. v. Firestone</w:t>
      </w:r>
      <w:r>
        <w:t xml:space="preserve"> (1976) </w:t>
      </w:r>
      <w:r w:rsidRPr="0017649A">
        <w:t>424 U.S. 448</w:t>
      </w:r>
      <w:r w:rsidR="00FE00AB">
        <w:t xml:space="preserve"> (</w:t>
      </w:r>
      <w:r w:rsidR="006B6FBD" w:rsidRPr="006B6FBD">
        <w:rPr>
          <w:i/>
          <w:iCs/>
        </w:rPr>
        <w:t>Firestone</w:t>
      </w:r>
      <w:r w:rsidR="006B6FBD">
        <w:t>)</w:t>
      </w:r>
      <w:bookmarkEnd w:id="44"/>
      <w:r w:rsidRPr="0017649A">
        <w:t xml:space="preserve">, the United States Supreme Court </w:t>
      </w:r>
      <w:r>
        <w:t xml:space="preserve">considered whether the wife of </w:t>
      </w:r>
      <w:r w:rsidR="00486435">
        <w:t>“</w:t>
      </w:r>
      <w:r w:rsidRPr="003634AA">
        <w:t>the scion of one of America</w:t>
      </w:r>
      <w:r w:rsidR="00486435">
        <w:t>’</w:t>
      </w:r>
      <w:r w:rsidRPr="003634AA">
        <w:t>s wealthier industrial families</w:t>
      </w:r>
      <w:r w:rsidR="00486435">
        <w:t>”</w:t>
      </w:r>
      <w:r>
        <w:t xml:space="preserve"> was a limited purpose public figure in relation to her divorce from her husband.  (</w:t>
      </w:r>
      <w:bookmarkStart w:id="45" w:name="dabmci_ad09c1e98a4d45e8a25614c2a07b0f76"/>
      <w:r w:rsidRPr="000F5F47">
        <w:rPr>
          <w:i/>
          <w:iCs/>
        </w:rPr>
        <w:t>Id</w:t>
      </w:r>
      <w:r>
        <w:t xml:space="preserve">. at </w:t>
      </w:r>
      <w:r w:rsidR="00D2108E">
        <w:t>p</w:t>
      </w:r>
      <w:r>
        <w:t>p. 450, 453</w:t>
      </w:r>
      <w:bookmarkEnd w:id="45"/>
      <w:r>
        <w:t xml:space="preserve">.)  Although the wife </w:t>
      </w:r>
      <w:r w:rsidRPr="0017649A">
        <w:t>held</w:t>
      </w:r>
      <w:r>
        <w:t xml:space="preserve"> a few press conferences </w:t>
      </w:r>
      <w:r w:rsidR="00486435">
        <w:t>“</w:t>
      </w:r>
      <w:r>
        <w:t>in an attempt to satisfy inquiring reporters,</w:t>
      </w:r>
      <w:r w:rsidR="00486435">
        <w:t>”</w:t>
      </w:r>
      <w:r>
        <w:t xml:space="preserve"> the court found she was not a public figure.</w:t>
      </w:r>
      <w:r w:rsidRPr="0017649A">
        <w:t xml:space="preserve"> </w:t>
      </w:r>
      <w:r w:rsidR="00D2108E">
        <w:t xml:space="preserve"> </w:t>
      </w:r>
      <w:r>
        <w:t>(</w:t>
      </w:r>
      <w:bookmarkStart w:id="46" w:name="dabmci_b408ca8aa5a747739fb6417e48d8a4a9"/>
      <w:r w:rsidRPr="00256D98">
        <w:rPr>
          <w:i/>
          <w:iCs/>
        </w:rPr>
        <w:t>Id</w:t>
      </w:r>
      <w:r>
        <w:t>. at pp. 454-455</w:t>
      </w:r>
      <w:bookmarkEnd w:id="46"/>
      <w:r>
        <w:t xml:space="preserve">, &amp; fn. 4.)  It explained, </w:t>
      </w:r>
      <w:r w:rsidRPr="0017649A">
        <w:t xml:space="preserve">she did not </w:t>
      </w:r>
      <w:r w:rsidR="00486435">
        <w:t>“</w:t>
      </w:r>
      <w:r w:rsidRPr="0017649A">
        <w:t xml:space="preserve">choose to publicize issues as to the </w:t>
      </w:r>
      <w:r w:rsidRPr="0017649A">
        <w:lastRenderedPageBreak/>
        <w:t>propriety of her married life</w:t>
      </w:r>
      <w:r>
        <w:t>,</w:t>
      </w:r>
      <w:r w:rsidR="00486435">
        <w:t>”</w:t>
      </w:r>
      <w:r>
        <w:t xml:space="preserve"> she</w:t>
      </w:r>
      <w:r w:rsidRPr="0017649A">
        <w:t xml:space="preserve"> was compelled </w:t>
      </w:r>
      <w:r>
        <w:t xml:space="preserve">by state law </w:t>
      </w:r>
      <w:r w:rsidRPr="0017649A">
        <w:t xml:space="preserve">to go to court </w:t>
      </w:r>
      <w:r>
        <w:t>to obtain a divorce, and there was no evidence the media interviews were done to impact the resolution of the legal dispute with her husband</w:t>
      </w:r>
      <w:r w:rsidRPr="0017649A">
        <w:t>.</w:t>
      </w:r>
      <w:r>
        <w:t xml:space="preserve">  (</w:t>
      </w:r>
      <w:bookmarkStart w:id="47" w:name="dabmci_3c609c2e27584914801bc94dfd468516"/>
      <w:r w:rsidRPr="00BB382E">
        <w:rPr>
          <w:i/>
          <w:iCs/>
        </w:rPr>
        <w:t>Ibid</w:t>
      </w:r>
      <w:r>
        <w:t>.</w:t>
      </w:r>
      <w:bookmarkEnd w:id="47"/>
      <w:r>
        <w:t>)</w:t>
      </w:r>
    </w:p>
    <w:p w14:paraId="615A920D" w14:textId="4A873D1D" w:rsidR="009346A0" w:rsidRDefault="007067BD" w:rsidP="002A65B6">
      <w:pPr>
        <w:pStyle w:val="Body"/>
      </w:pPr>
      <w:r>
        <w:t>Our state high court</w:t>
      </w:r>
      <w:r w:rsidR="00D0541D">
        <w:t xml:space="preserve"> came to the same conclusion</w:t>
      </w:r>
      <w:r w:rsidR="009346A0">
        <w:t xml:space="preserve"> in </w:t>
      </w:r>
      <w:bookmarkStart w:id="48" w:name="dabmci_a0ee84b5171a403789dc3a684a3fa2a4"/>
      <w:r w:rsidR="009346A0" w:rsidRPr="009346A0">
        <w:rPr>
          <w:i/>
          <w:iCs/>
        </w:rPr>
        <w:t>Khawar, supra</w:t>
      </w:r>
      <w:r w:rsidR="009346A0">
        <w:t xml:space="preserve">, </w:t>
      </w:r>
      <w:r w:rsidR="009346A0" w:rsidRPr="009346A0">
        <w:t>19 C</w:t>
      </w:r>
      <w:r w:rsidR="009346A0">
        <w:t>al</w:t>
      </w:r>
      <w:r w:rsidR="009346A0" w:rsidRPr="009346A0">
        <w:t>.4th 254</w:t>
      </w:r>
      <w:bookmarkEnd w:id="48"/>
      <w:r w:rsidR="009346A0" w:rsidRPr="009346A0">
        <w:t xml:space="preserve">, </w:t>
      </w:r>
      <w:r w:rsidR="00EE161A">
        <w:t>which involved</w:t>
      </w:r>
      <w:r w:rsidR="009346A0">
        <w:t xml:space="preserve"> a</w:t>
      </w:r>
      <w:r w:rsidR="009346A0" w:rsidRPr="009346A0">
        <w:t xml:space="preserve"> photojournalist </w:t>
      </w:r>
      <w:r w:rsidR="009346A0">
        <w:t xml:space="preserve">who </w:t>
      </w:r>
      <w:r w:rsidR="009346A0" w:rsidRPr="009346A0">
        <w:t xml:space="preserve">was photographed on a podium near a famous politician who was assassinated moments later. </w:t>
      </w:r>
      <w:r w:rsidR="009346A0">
        <w:t xml:space="preserve">  </w:t>
      </w:r>
      <w:r w:rsidR="006E3B07">
        <w:t>(</w:t>
      </w:r>
      <w:bookmarkStart w:id="49" w:name="dabmci_a496e0dd27254ddb9b778ec986317d1d"/>
      <w:r w:rsidR="006E3B07" w:rsidRPr="00722B3F">
        <w:rPr>
          <w:i/>
          <w:iCs/>
        </w:rPr>
        <w:t>Id</w:t>
      </w:r>
      <w:r w:rsidR="006E3B07">
        <w:t xml:space="preserve">. at p. </w:t>
      </w:r>
      <w:r w:rsidR="00722B3F">
        <w:t>260</w:t>
      </w:r>
      <w:bookmarkEnd w:id="49"/>
      <w:r w:rsidR="006E3B07">
        <w:t xml:space="preserve">.)  </w:t>
      </w:r>
      <w:r w:rsidR="009346A0" w:rsidRPr="009346A0">
        <w:t>Approximately 20 years later, a book</w:t>
      </w:r>
      <w:r w:rsidR="009346A0">
        <w:t xml:space="preserve"> used the</w:t>
      </w:r>
      <w:r w:rsidR="009346A0" w:rsidRPr="009346A0">
        <w:t xml:space="preserve"> photograph</w:t>
      </w:r>
      <w:r w:rsidR="009346A0">
        <w:t xml:space="preserve"> to</w:t>
      </w:r>
      <w:r w:rsidR="009346A0" w:rsidRPr="009346A0">
        <w:t xml:space="preserve"> promulgate the theory that </w:t>
      </w:r>
      <w:r w:rsidR="009346A0">
        <w:t xml:space="preserve">the </w:t>
      </w:r>
      <w:r w:rsidR="009346A0" w:rsidRPr="009346A0">
        <w:t>plaintiff was the assassin</w:t>
      </w:r>
      <w:r w:rsidR="004F4439">
        <w:t>, a story which was republished by a tabloid newspaper</w:t>
      </w:r>
      <w:r w:rsidR="009346A0" w:rsidRPr="009346A0">
        <w:t>.</w:t>
      </w:r>
      <w:r w:rsidR="009346A0">
        <w:t xml:space="preserve">  </w:t>
      </w:r>
      <w:r w:rsidR="00722B3F">
        <w:t>(</w:t>
      </w:r>
      <w:bookmarkStart w:id="50" w:name="dabmci_78a354de8c424f838267ef99e163b178"/>
      <w:r w:rsidR="00530C64" w:rsidRPr="004F4439">
        <w:rPr>
          <w:i/>
          <w:iCs/>
        </w:rPr>
        <w:t>Id</w:t>
      </w:r>
      <w:r w:rsidR="00530C64">
        <w:t>. at pp. 259-260</w:t>
      </w:r>
      <w:bookmarkEnd w:id="50"/>
      <w:r w:rsidR="00722B3F">
        <w:t xml:space="preserve">.)  </w:t>
      </w:r>
      <w:r w:rsidR="00CC51FD">
        <w:t>The court</w:t>
      </w:r>
      <w:r w:rsidR="00B14B3E">
        <w:t xml:space="preserve"> concluded the plaintiff was not a limited purpose public figure.</w:t>
      </w:r>
      <w:r w:rsidR="00A40014">
        <w:t xml:space="preserve">  </w:t>
      </w:r>
      <w:r w:rsidR="00CC51FD">
        <w:t>(</w:t>
      </w:r>
      <w:bookmarkStart w:id="51" w:name="dabmci_311779ef1ff74a8fa6a94d9e82d5415d"/>
      <w:r w:rsidR="00FC2283" w:rsidRPr="00FC2283">
        <w:rPr>
          <w:i/>
          <w:iCs/>
        </w:rPr>
        <w:t>Id</w:t>
      </w:r>
      <w:r w:rsidR="00FC2283">
        <w:t>. at pp. 267-268</w:t>
      </w:r>
      <w:bookmarkEnd w:id="51"/>
      <w:r w:rsidR="00CC51FD">
        <w:t xml:space="preserve">.)  </w:t>
      </w:r>
      <w:r w:rsidR="00BC15A3">
        <w:t xml:space="preserve">It </w:t>
      </w:r>
      <w:r w:rsidR="00AB6344">
        <w:t>noted</w:t>
      </w:r>
      <w:r w:rsidR="00BC15A3">
        <w:t xml:space="preserve"> </w:t>
      </w:r>
      <w:r w:rsidR="004F4439">
        <w:t>he</w:t>
      </w:r>
      <w:r w:rsidR="004D5DBA">
        <w:t xml:space="preserve"> was not a suspect, did not testify at trial</w:t>
      </w:r>
      <w:r w:rsidR="00BC15A3">
        <w:t xml:space="preserve">, </w:t>
      </w:r>
      <w:r w:rsidR="00B9118D">
        <w:t>did not publicize his views on the assassination</w:t>
      </w:r>
      <w:r w:rsidR="00BC15A3">
        <w:t>, and</w:t>
      </w:r>
      <w:r w:rsidR="00A40014">
        <w:t xml:space="preserve"> did not have media </w:t>
      </w:r>
      <w:r w:rsidR="00BC15A3">
        <w:t>access.</w:t>
      </w:r>
      <w:r w:rsidR="00B9118D">
        <w:t xml:space="preserve">  </w:t>
      </w:r>
      <w:r w:rsidR="00354184">
        <w:t>(</w:t>
      </w:r>
      <w:bookmarkStart w:id="52" w:name="dabmci_5392c3282fe74c7ebf5246c875f9ed0c"/>
      <w:r w:rsidR="00354184" w:rsidRPr="00354184">
        <w:rPr>
          <w:i/>
          <w:iCs/>
        </w:rPr>
        <w:t>Id</w:t>
      </w:r>
      <w:r w:rsidR="00354184">
        <w:t>. at pp. 265-266</w:t>
      </w:r>
      <w:bookmarkEnd w:id="52"/>
      <w:r w:rsidR="00354184">
        <w:t xml:space="preserve">.)  </w:t>
      </w:r>
      <w:r w:rsidR="009A33C1">
        <w:t>A</w:t>
      </w:r>
      <w:r w:rsidR="00B9118D">
        <w:t xml:space="preserve">lthough </w:t>
      </w:r>
      <w:r w:rsidR="00CF5EEE">
        <w:t xml:space="preserve">plaintiff </w:t>
      </w:r>
      <w:r w:rsidR="00855478">
        <w:t>hoped</w:t>
      </w:r>
      <w:r w:rsidR="00047386">
        <w:t xml:space="preserve"> standing next to the candidate would get him photographed</w:t>
      </w:r>
      <w:r w:rsidR="00AA63D4">
        <w:t xml:space="preserve"> </w:t>
      </w:r>
      <w:r w:rsidR="00855478">
        <w:t xml:space="preserve">for personal souvenir purposes, </w:t>
      </w:r>
      <w:r w:rsidR="00AB6344">
        <w:t>the court explained t</w:t>
      </w:r>
      <w:r w:rsidR="00251F59">
        <w:t xml:space="preserve">hat </w:t>
      </w:r>
      <w:r w:rsidR="00486435">
        <w:t>“</w:t>
      </w:r>
      <w:r w:rsidR="00661BE7" w:rsidRPr="00661BE7">
        <w:t>a journalist who is photographed with other journalists crowded around a political candidate does not thereby assume any special prominence in relation to the political campaign issues</w:t>
      </w:r>
      <w:r w:rsidR="008F45B1">
        <w:t>.</w:t>
      </w:r>
      <w:r w:rsidR="00486435">
        <w:t>”</w:t>
      </w:r>
      <w:r w:rsidR="00251F59">
        <w:t xml:space="preserve">  (</w:t>
      </w:r>
      <w:bookmarkStart w:id="53" w:name="dabmci_a48c0daa0758419d9a5769612e1265e2"/>
      <w:r w:rsidR="00251F59" w:rsidRPr="00251F59">
        <w:rPr>
          <w:i/>
          <w:iCs/>
        </w:rPr>
        <w:t>Id</w:t>
      </w:r>
      <w:r w:rsidR="00251F59">
        <w:t>. at 267</w:t>
      </w:r>
      <w:bookmarkEnd w:id="53"/>
      <w:r w:rsidR="00251F59">
        <w:t>.)</w:t>
      </w:r>
      <w:r w:rsidR="009A33C1">
        <w:t xml:space="preserve">  There was no evidence </w:t>
      </w:r>
      <w:r w:rsidR="00CF1859">
        <w:t xml:space="preserve">the plaintiff </w:t>
      </w:r>
      <w:r w:rsidR="00486435">
        <w:t>“‘</w:t>
      </w:r>
      <w:r w:rsidR="009A33C1" w:rsidRPr="009A33C1">
        <w:t xml:space="preserve">engaged the attention of the public </w:t>
      </w:r>
      <w:proofErr w:type="gramStart"/>
      <w:r w:rsidR="009A33C1" w:rsidRPr="00CF1859">
        <w:rPr>
          <w:i/>
          <w:iCs/>
        </w:rPr>
        <w:t>in an attempt to</w:t>
      </w:r>
      <w:proofErr w:type="gramEnd"/>
      <w:r w:rsidR="009A33C1" w:rsidRPr="00CF1859">
        <w:rPr>
          <w:i/>
          <w:iCs/>
        </w:rPr>
        <w:t xml:space="preserve"> influence</w:t>
      </w:r>
      <w:r w:rsidR="009A33C1" w:rsidRPr="009A33C1">
        <w:t xml:space="preserve"> the resolution of the issues involved.</w:t>
      </w:r>
      <w:r w:rsidR="00486435">
        <w:t>’”</w:t>
      </w:r>
      <w:r w:rsidR="00CF1859">
        <w:t xml:space="preserve">  (</w:t>
      </w:r>
      <w:bookmarkStart w:id="54" w:name="dabmci_26fec7a09c40429883d1b0784a628eb8"/>
      <w:r w:rsidR="00D50014">
        <w:rPr>
          <w:i/>
          <w:iCs/>
        </w:rPr>
        <w:t>Ibid</w:t>
      </w:r>
      <w:r w:rsidR="00D50014">
        <w:t>.</w:t>
      </w:r>
      <w:bookmarkEnd w:id="54"/>
      <w:r w:rsidR="00D50014">
        <w:t>)</w:t>
      </w:r>
    </w:p>
    <w:p w14:paraId="66DD00A2" w14:textId="3CA27A5F" w:rsidR="00EE6214" w:rsidRDefault="00FF3E1E" w:rsidP="007C380C">
      <w:pPr>
        <w:pStyle w:val="Body"/>
      </w:pPr>
      <w:r>
        <w:t xml:space="preserve">In contrast </w:t>
      </w:r>
      <w:r w:rsidR="0064293C">
        <w:t xml:space="preserve">to </w:t>
      </w:r>
      <w:r w:rsidR="0064293C" w:rsidRPr="00B10BCC">
        <w:rPr>
          <w:i/>
          <w:iCs/>
        </w:rPr>
        <w:t>Firestone</w:t>
      </w:r>
      <w:r w:rsidR="0064293C">
        <w:t xml:space="preserve"> and </w:t>
      </w:r>
      <w:r w:rsidR="0064293C" w:rsidRPr="00B10BCC">
        <w:rPr>
          <w:i/>
          <w:iCs/>
        </w:rPr>
        <w:t>Khawar</w:t>
      </w:r>
      <w:r w:rsidR="0064293C">
        <w:t xml:space="preserve"> stands </w:t>
      </w:r>
      <w:bookmarkStart w:id="55" w:name="_Hlk158036162"/>
      <w:bookmarkStart w:id="56" w:name="dabmci_63db34cb0a1f484d99d257ab16e8efde"/>
      <w:r w:rsidR="008F279D" w:rsidRPr="00B10BCC">
        <w:rPr>
          <w:i/>
          <w:iCs/>
        </w:rPr>
        <w:t>Annette F.</w:t>
      </w:r>
      <w:bookmarkEnd w:id="55"/>
      <w:r w:rsidR="008F279D" w:rsidRPr="00B10BCC">
        <w:rPr>
          <w:i/>
          <w:iCs/>
        </w:rPr>
        <w:t>, supra</w:t>
      </w:r>
      <w:r w:rsidR="008F279D">
        <w:t xml:space="preserve">, 119 Cal.App.4th </w:t>
      </w:r>
      <w:r w:rsidR="00B10BCC">
        <w:t>1146</w:t>
      </w:r>
      <w:bookmarkEnd w:id="56"/>
      <w:r w:rsidR="008F279D">
        <w:t>.  There</w:t>
      </w:r>
      <w:r w:rsidR="00430553">
        <w:t>, the plaintiff</w:t>
      </w:r>
      <w:r w:rsidR="00112EE6">
        <w:t xml:space="preserve"> was </w:t>
      </w:r>
      <w:r w:rsidR="00D36DEB">
        <w:t>one half of a same-sex couple who purposefully</w:t>
      </w:r>
      <w:r w:rsidR="00D36DEB" w:rsidRPr="00D36DEB">
        <w:t xml:space="preserve"> solicited public </w:t>
      </w:r>
      <w:r w:rsidR="00D06522">
        <w:t xml:space="preserve">and media </w:t>
      </w:r>
      <w:r w:rsidR="00D36DEB" w:rsidRPr="00D36DEB">
        <w:t>attention</w:t>
      </w:r>
      <w:r w:rsidR="00D06522">
        <w:t xml:space="preserve"> regarding their civil </w:t>
      </w:r>
      <w:r w:rsidR="00D36DEB" w:rsidRPr="00D36DEB">
        <w:t>commitment ceremony</w:t>
      </w:r>
      <w:r w:rsidR="00112EE6">
        <w:t xml:space="preserve">.  </w:t>
      </w:r>
      <w:r w:rsidR="00F43D9B">
        <w:t>(</w:t>
      </w:r>
      <w:bookmarkStart w:id="57" w:name="dabmci_c7a105ccff3a4c7885104c9be0a5baf2"/>
      <w:r w:rsidR="002659D4">
        <w:rPr>
          <w:i/>
          <w:iCs/>
        </w:rPr>
        <w:t>Id.</w:t>
      </w:r>
      <w:r w:rsidR="00F43D9B" w:rsidRPr="00BF1B80">
        <w:t xml:space="preserve"> </w:t>
      </w:r>
      <w:r w:rsidR="00F43D9B">
        <w:t xml:space="preserve">at p. </w:t>
      </w:r>
      <w:r w:rsidR="00380354">
        <w:t>1164</w:t>
      </w:r>
      <w:bookmarkEnd w:id="57"/>
      <w:r w:rsidR="00F43D9B">
        <w:t xml:space="preserve">.)  </w:t>
      </w:r>
      <w:r w:rsidR="00A70467">
        <w:t>The couple se</w:t>
      </w:r>
      <w:r w:rsidR="00A70467" w:rsidRPr="00A70467">
        <w:t xml:space="preserve">t up a Web site to publicize </w:t>
      </w:r>
      <w:r w:rsidR="00A70467">
        <w:t>it</w:t>
      </w:r>
      <w:r w:rsidR="00A70467" w:rsidRPr="00A70467">
        <w:t xml:space="preserve"> and to provide information about </w:t>
      </w:r>
      <w:r w:rsidR="00AE1325">
        <w:t>same sex</w:t>
      </w:r>
      <w:r w:rsidR="00A70467" w:rsidRPr="00A70467">
        <w:t xml:space="preserve"> marriage and second</w:t>
      </w:r>
      <w:r w:rsidR="00392F57">
        <w:t xml:space="preserve"> </w:t>
      </w:r>
      <w:r w:rsidR="00A70467" w:rsidRPr="00A70467">
        <w:t xml:space="preserve">parent adoptions. </w:t>
      </w:r>
      <w:r w:rsidR="0096491D">
        <w:t xml:space="preserve"> </w:t>
      </w:r>
      <w:r w:rsidR="00380354">
        <w:t>(</w:t>
      </w:r>
      <w:bookmarkStart w:id="58" w:name="dabmci_9009fd64561d401f8d59548dde2f43cd"/>
      <w:r w:rsidR="00380354" w:rsidRPr="00380354">
        <w:rPr>
          <w:i/>
          <w:iCs/>
        </w:rPr>
        <w:t>Ibid</w:t>
      </w:r>
      <w:r w:rsidR="00380354">
        <w:t>.</w:t>
      </w:r>
      <w:bookmarkEnd w:id="58"/>
      <w:r w:rsidR="00380354">
        <w:t xml:space="preserve">)  </w:t>
      </w:r>
      <w:r w:rsidR="0096491D">
        <w:t>They later</w:t>
      </w:r>
      <w:r w:rsidR="00A70467" w:rsidRPr="00A70467">
        <w:t xml:space="preserve"> willingly participated in a nationally televised show on </w:t>
      </w:r>
      <w:r w:rsidR="00AE1325">
        <w:t>same sex</w:t>
      </w:r>
      <w:r w:rsidR="00A70467" w:rsidRPr="00A70467">
        <w:t xml:space="preserve"> marriage</w:t>
      </w:r>
      <w:r w:rsidR="001C7EDB">
        <w:t xml:space="preserve"> and </w:t>
      </w:r>
      <w:r w:rsidR="00DE0465">
        <w:t>second</w:t>
      </w:r>
      <w:r w:rsidR="007A4AE2">
        <w:t xml:space="preserve"> </w:t>
      </w:r>
      <w:r w:rsidR="00DE0465">
        <w:t xml:space="preserve">parent </w:t>
      </w:r>
      <w:r w:rsidR="001C7EDB">
        <w:t>adoption efforts which received extensive press.</w:t>
      </w:r>
      <w:r w:rsidR="00A70467" w:rsidRPr="00A70467">
        <w:t xml:space="preserve"> </w:t>
      </w:r>
      <w:r w:rsidR="001C7EDB">
        <w:t xml:space="preserve"> </w:t>
      </w:r>
      <w:r w:rsidR="00380354">
        <w:t>(</w:t>
      </w:r>
      <w:bookmarkStart w:id="59" w:name="dabmci_05a3ef79e1014a5ea509f92917d3b954"/>
      <w:r w:rsidR="00380354" w:rsidRPr="000C4CC3">
        <w:rPr>
          <w:i/>
          <w:iCs/>
        </w:rPr>
        <w:t>Ibid</w:t>
      </w:r>
      <w:r w:rsidR="00380354">
        <w:t>.</w:t>
      </w:r>
      <w:bookmarkEnd w:id="59"/>
      <w:r w:rsidR="00380354">
        <w:t xml:space="preserve">)  </w:t>
      </w:r>
      <w:r w:rsidR="001C7EDB">
        <w:t xml:space="preserve">The plaintiff </w:t>
      </w:r>
      <w:r w:rsidR="00A70467" w:rsidRPr="00A70467">
        <w:t xml:space="preserve">viewed herself and </w:t>
      </w:r>
      <w:r w:rsidR="001C7EDB">
        <w:t>her partner</w:t>
      </w:r>
      <w:r w:rsidR="00A70467" w:rsidRPr="00A70467">
        <w:t xml:space="preserve"> as </w:t>
      </w:r>
      <w:r w:rsidR="00486435">
        <w:t>“‘</w:t>
      </w:r>
      <w:r w:rsidR="00A70467" w:rsidRPr="00A70467">
        <w:t>advocates for the civil rights of gay and lesbian people</w:t>
      </w:r>
      <w:r w:rsidR="001C7EDB">
        <w:t>.</w:t>
      </w:r>
      <w:r w:rsidR="00486435">
        <w:t>’”</w:t>
      </w:r>
      <w:r w:rsidR="00A70467" w:rsidRPr="00A70467">
        <w:t xml:space="preserve"> </w:t>
      </w:r>
      <w:r w:rsidR="000C3B8B">
        <w:t xml:space="preserve"> </w:t>
      </w:r>
      <w:r w:rsidR="00380354">
        <w:t>(</w:t>
      </w:r>
      <w:bookmarkStart w:id="60" w:name="dabmci_5152d1c8ddf74a978e6ee5ed83f239f4"/>
      <w:r w:rsidR="00380354" w:rsidRPr="00380354">
        <w:rPr>
          <w:i/>
          <w:iCs/>
        </w:rPr>
        <w:t>Ibid</w:t>
      </w:r>
      <w:r w:rsidR="00380354">
        <w:t>.</w:t>
      </w:r>
      <w:bookmarkEnd w:id="60"/>
      <w:r w:rsidR="00380354">
        <w:t xml:space="preserve">)  </w:t>
      </w:r>
      <w:r w:rsidR="00E652AE">
        <w:t>After the couple split, plaintiff thrust herself to the forefront of</w:t>
      </w:r>
      <w:r w:rsidR="00912F3A">
        <w:t>, and spoke to the press about,</w:t>
      </w:r>
      <w:r w:rsidR="00E652AE">
        <w:t xml:space="preserve"> a legal battle with her </w:t>
      </w:r>
      <w:r w:rsidR="00D950D7">
        <w:t>former partner</w:t>
      </w:r>
      <w:r w:rsidR="00C30FA5">
        <w:t xml:space="preserve"> regarding second</w:t>
      </w:r>
      <w:r w:rsidR="007A4AE2">
        <w:t xml:space="preserve"> </w:t>
      </w:r>
      <w:r w:rsidR="00C30FA5">
        <w:t xml:space="preserve">parent adoption of a </w:t>
      </w:r>
      <w:r w:rsidR="00C30FA5">
        <w:lastRenderedPageBreak/>
        <w:t>child</w:t>
      </w:r>
      <w:r w:rsidR="008A2D90">
        <w:t xml:space="preserve"> to which her </w:t>
      </w:r>
      <w:r w:rsidR="00D950D7">
        <w:t>former partner</w:t>
      </w:r>
      <w:r w:rsidR="008A2D90">
        <w:t xml:space="preserve"> had given birth</w:t>
      </w:r>
      <w:r w:rsidR="001C7EDB">
        <w:t xml:space="preserve">.  </w:t>
      </w:r>
      <w:r w:rsidR="000C4CC3">
        <w:t>(</w:t>
      </w:r>
      <w:bookmarkStart w:id="61" w:name="dabmci_92c1c20dfc0541508f7ad16a7f2a82b3"/>
      <w:r w:rsidR="000C4CC3" w:rsidRPr="002B7594">
        <w:rPr>
          <w:i/>
          <w:iCs/>
        </w:rPr>
        <w:t>Id</w:t>
      </w:r>
      <w:r w:rsidR="000C4CC3">
        <w:t xml:space="preserve">. at pp. </w:t>
      </w:r>
      <w:r w:rsidR="002B7594">
        <w:t>1156-1157</w:t>
      </w:r>
      <w:r w:rsidR="000C4CC3">
        <w:t>, 1165</w:t>
      </w:r>
      <w:bookmarkEnd w:id="61"/>
      <w:r w:rsidR="000C4CC3">
        <w:t xml:space="preserve">.)  </w:t>
      </w:r>
      <w:r w:rsidR="00112EE6">
        <w:t xml:space="preserve">Based on these activities, </w:t>
      </w:r>
      <w:r w:rsidR="00E40A5D">
        <w:t>t</w:t>
      </w:r>
      <w:r w:rsidR="00112EE6">
        <w:t xml:space="preserve">he appellate court concluded, </w:t>
      </w:r>
      <w:r w:rsidR="00501D48">
        <w:t>plaintiff</w:t>
      </w:r>
      <w:r w:rsidR="00486435">
        <w:t>’</w:t>
      </w:r>
      <w:r w:rsidR="00501D48">
        <w:t>s</w:t>
      </w:r>
      <w:r w:rsidR="00112EE6" w:rsidRPr="00112EE6">
        <w:t xml:space="preserve"> </w:t>
      </w:r>
      <w:r w:rsidR="00486435">
        <w:t>“</w:t>
      </w:r>
      <w:r w:rsidR="00112EE6" w:rsidRPr="00112EE6">
        <w:t xml:space="preserve">purposeful activities in drawing public attention to her relationship with </w:t>
      </w:r>
      <w:r w:rsidR="008D08A6">
        <w:t>[her former partner]</w:t>
      </w:r>
      <w:r w:rsidR="00112EE6" w:rsidRPr="00112EE6">
        <w:t xml:space="preserve"> in order to promote gay marriage and </w:t>
      </w:r>
      <w:proofErr w:type="gramStart"/>
      <w:r w:rsidR="00112EE6" w:rsidRPr="00112EE6">
        <w:t>second-parent</w:t>
      </w:r>
      <w:proofErr w:type="gramEnd"/>
      <w:r w:rsidR="00112EE6" w:rsidRPr="00112EE6">
        <w:t xml:space="preserve"> adoptions, and portraying the</w:t>
      </w:r>
      <w:r w:rsidR="008D08A6">
        <w:t> . . . </w:t>
      </w:r>
      <w:r w:rsidR="00112EE6" w:rsidRPr="00112EE6">
        <w:t>litigation as a battle to protect the rights of gay and lesbian parents and their children, made her a limited purpose public figure on the subject matter of the litigation.</w:t>
      </w:r>
      <w:r w:rsidR="00486435">
        <w:t>”</w:t>
      </w:r>
      <w:r w:rsidR="002B7594">
        <w:t xml:space="preserve">  (</w:t>
      </w:r>
      <w:bookmarkStart w:id="62" w:name="dabmci_eda79f836c7842c388f9ddab8f8263d6"/>
      <w:r w:rsidR="002B7594" w:rsidRPr="005E401E">
        <w:rPr>
          <w:i/>
          <w:iCs/>
        </w:rPr>
        <w:t>Id</w:t>
      </w:r>
      <w:r w:rsidR="002B7594">
        <w:t>. at p. 1165</w:t>
      </w:r>
      <w:bookmarkEnd w:id="62"/>
      <w:r w:rsidR="002B7594">
        <w:t>.)</w:t>
      </w:r>
    </w:p>
    <w:p w14:paraId="23AA70AF" w14:textId="3393FF34" w:rsidR="00B42DAF" w:rsidRDefault="00764C89" w:rsidP="007C380C">
      <w:pPr>
        <w:pStyle w:val="Body"/>
      </w:pPr>
      <w:r>
        <w:t>O</w:t>
      </w:r>
      <w:r w:rsidR="000D598B">
        <w:t>ther</w:t>
      </w:r>
      <w:r w:rsidR="00567912">
        <w:t xml:space="preserve"> California </w:t>
      </w:r>
      <w:r w:rsidR="000D598B">
        <w:t xml:space="preserve">appellate courts </w:t>
      </w:r>
      <w:r>
        <w:t xml:space="preserve">have </w:t>
      </w:r>
      <w:r w:rsidR="000D598B">
        <w:t>reached</w:t>
      </w:r>
      <w:r w:rsidR="00BA715D">
        <w:t xml:space="preserve"> similar conclusion</w:t>
      </w:r>
      <w:r w:rsidR="00A01E9B">
        <w:t>s</w:t>
      </w:r>
      <w:r w:rsidR="00BA715D">
        <w:t xml:space="preserve"> in cases involving publicly active and vocal plaintiffs.  </w:t>
      </w:r>
      <w:r w:rsidR="00A116E1">
        <w:t xml:space="preserve">In </w:t>
      </w:r>
      <w:bookmarkStart w:id="63" w:name="dabmci_92517bbc995048038aa0e36f17195b40"/>
      <w:r w:rsidR="00876331" w:rsidRPr="005C1B6E">
        <w:rPr>
          <w:i/>
          <w:iCs/>
        </w:rPr>
        <w:t>Balla</w:t>
      </w:r>
      <w:bookmarkEnd w:id="63"/>
      <w:r w:rsidR="00876331">
        <w:t xml:space="preserve">, the plaintiff was </w:t>
      </w:r>
      <w:r w:rsidR="00131E19">
        <w:t>a land developer</w:t>
      </w:r>
      <w:r w:rsidR="00486435">
        <w:t>’</w:t>
      </w:r>
      <w:r w:rsidR="00131E19">
        <w:t xml:space="preserve">s representative who presented at public workshops and met with </w:t>
      </w:r>
      <w:r w:rsidR="004F7D60">
        <w:t xml:space="preserve">the </w:t>
      </w:r>
      <w:r w:rsidR="00131E19">
        <w:t>selection committee</w:t>
      </w:r>
      <w:r w:rsidR="004F7D60">
        <w:t xml:space="preserve"> for a major public project</w:t>
      </w:r>
      <w:r w:rsidR="00131E19">
        <w:t xml:space="preserve"> while actively seeking </w:t>
      </w:r>
      <w:r w:rsidR="004F7D60">
        <w:t xml:space="preserve">the </w:t>
      </w:r>
      <w:r w:rsidR="00131E19">
        <w:t xml:space="preserve">contract for </w:t>
      </w:r>
      <w:r w:rsidR="004F7D60">
        <w:t>it.  (</w:t>
      </w:r>
      <w:bookmarkStart w:id="64" w:name="dabmci_92da48cab8894b30a3ad7d06ddc9d6e7"/>
      <w:r w:rsidR="004F7D60" w:rsidRPr="003B4F1C">
        <w:rPr>
          <w:i/>
          <w:iCs/>
        </w:rPr>
        <w:t xml:space="preserve">Balla, </w:t>
      </w:r>
      <w:r w:rsidR="00876331" w:rsidRPr="003B4F1C">
        <w:rPr>
          <w:i/>
          <w:iCs/>
        </w:rPr>
        <w:t>supra</w:t>
      </w:r>
      <w:r w:rsidR="00876331">
        <w:t xml:space="preserve">, </w:t>
      </w:r>
      <w:r w:rsidR="00876331" w:rsidRPr="004F4117">
        <w:t>59</w:t>
      </w:r>
      <w:r w:rsidR="00876331" w:rsidRPr="0082263D">
        <w:t xml:space="preserve"> Cal.App.5th</w:t>
      </w:r>
      <w:r w:rsidR="00876331">
        <w:t xml:space="preserve"> </w:t>
      </w:r>
      <w:r w:rsidR="003B4F1C">
        <w:t>at pp. 676-677</w:t>
      </w:r>
      <w:bookmarkEnd w:id="64"/>
      <w:r w:rsidR="003B4F1C">
        <w:t>.)</w:t>
      </w:r>
      <w:r w:rsidR="005C1B6E">
        <w:t xml:space="preserve">  </w:t>
      </w:r>
      <w:bookmarkStart w:id="65" w:name="dabmci_d93591a67c7942f98718043b4c83208a"/>
      <w:r w:rsidR="005C1B6E" w:rsidRPr="005C1B6E">
        <w:rPr>
          <w:i/>
          <w:iCs/>
        </w:rPr>
        <w:t>Gilbert v. Sykes</w:t>
      </w:r>
      <w:r w:rsidR="005C1B6E">
        <w:t xml:space="preserve"> </w:t>
      </w:r>
      <w:r w:rsidR="005C1B6E" w:rsidRPr="001F0D31">
        <w:t>(2007) 147 Cal.App.4th 13, 25</w:t>
      </w:r>
      <w:bookmarkEnd w:id="65"/>
      <w:r w:rsidR="005C1B6E">
        <w:t xml:space="preserve">, </w:t>
      </w:r>
      <w:r w:rsidR="0025379B">
        <w:t xml:space="preserve">involved a </w:t>
      </w:r>
      <w:r w:rsidR="005C1B6E" w:rsidRPr="001F0D31">
        <w:t xml:space="preserve">doctor </w:t>
      </w:r>
      <w:r w:rsidR="00C05040">
        <w:t>who</w:t>
      </w:r>
      <w:r w:rsidR="005C1B6E" w:rsidRPr="001F0D31">
        <w:t xml:space="preserve"> </w:t>
      </w:r>
      <w:r w:rsidR="00486435">
        <w:t>“</w:t>
      </w:r>
      <w:r w:rsidR="005C1B6E" w:rsidRPr="001F0D31">
        <w:t xml:space="preserve">ha[d] thrust himself into </w:t>
      </w:r>
      <w:r w:rsidR="00C05040">
        <w:t>[the]</w:t>
      </w:r>
      <w:r w:rsidR="005C1B6E" w:rsidRPr="001F0D31">
        <w:t xml:space="preserve"> debate</w:t>
      </w:r>
      <w:r w:rsidR="00C05040">
        <w:t xml:space="preserve"> [about the relative merits of plastic surgery]</w:t>
      </w:r>
      <w:r w:rsidR="005C1B6E" w:rsidRPr="001F0D31">
        <w:t xml:space="preserve"> by appearing on local television shows as well as writing numerous articles in medical journals and beauty magazines, touting the virtues of cosmetic and reconstructive surgery</w:t>
      </w:r>
      <w:r w:rsidR="00B249DA">
        <w:t>.</w:t>
      </w:r>
      <w:r w:rsidR="00486435">
        <w:t>”</w:t>
      </w:r>
      <w:r w:rsidR="00B249DA">
        <w:t xml:space="preserve">  </w:t>
      </w:r>
      <w:r w:rsidR="00DB0498">
        <w:t>I</w:t>
      </w:r>
      <w:r w:rsidR="007621B6">
        <w:t>n</w:t>
      </w:r>
      <w:r w:rsidR="00B249DA">
        <w:t xml:space="preserve"> </w:t>
      </w:r>
      <w:bookmarkStart w:id="66" w:name="dabmci_2cb3ac60441f44c79f337c7b04394aae"/>
      <w:r w:rsidR="007621B6" w:rsidRPr="007B32CB">
        <w:rPr>
          <w:i/>
          <w:iCs/>
        </w:rPr>
        <w:t>Nadel v. Regents of University of California</w:t>
      </w:r>
      <w:r w:rsidR="007621B6">
        <w:t xml:space="preserve"> (1994) 28 Cal.App.4th 1251, 1269-1270</w:t>
      </w:r>
      <w:bookmarkEnd w:id="66"/>
      <w:r w:rsidR="007621B6">
        <w:t xml:space="preserve">, </w:t>
      </w:r>
      <w:r w:rsidR="004E668D">
        <w:t>the plaintiff opposed a city park project by spe</w:t>
      </w:r>
      <w:r w:rsidR="0077323F">
        <w:t>a</w:t>
      </w:r>
      <w:r w:rsidR="004E668D">
        <w:t>king</w:t>
      </w:r>
      <w:r w:rsidR="007621B6">
        <w:t xml:space="preserve"> publicly at city council meetings and demonstrations, </w:t>
      </w:r>
      <w:r w:rsidR="004E668D">
        <w:t>writing</w:t>
      </w:r>
      <w:r w:rsidR="007621B6">
        <w:t xml:space="preserve"> to </w:t>
      </w:r>
      <w:r w:rsidR="004E668D">
        <w:t xml:space="preserve">a </w:t>
      </w:r>
      <w:r w:rsidR="007621B6">
        <w:t xml:space="preserve">local newspaper and </w:t>
      </w:r>
      <w:r w:rsidR="004E668D">
        <w:t xml:space="preserve">the </w:t>
      </w:r>
      <w:r w:rsidR="007621B6">
        <w:t xml:space="preserve">city, </w:t>
      </w:r>
      <w:r w:rsidR="004E668D">
        <w:t>appearing</w:t>
      </w:r>
      <w:r w:rsidR="007621B6">
        <w:t xml:space="preserve"> on six radio programs, </w:t>
      </w:r>
      <w:r w:rsidR="004E668D">
        <w:t>speaking</w:t>
      </w:r>
      <w:r w:rsidR="007621B6">
        <w:t xml:space="preserve"> to print media who included his comments in articles, and </w:t>
      </w:r>
      <w:r w:rsidR="004E668D">
        <w:t>staffing a</w:t>
      </w:r>
      <w:r w:rsidR="007621B6">
        <w:t xml:space="preserve"> weekly information table</w:t>
      </w:r>
      <w:r w:rsidR="00814FE1">
        <w:t xml:space="preserve"> in the park.</w:t>
      </w:r>
      <w:r w:rsidR="00DB0498">
        <w:t xml:space="preserve">  And, </w:t>
      </w:r>
      <w:r w:rsidR="0077323F">
        <w:t xml:space="preserve">in </w:t>
      </w:r>
      <w:bookmarkStart w:id="67" w:name="dabmci_a39b51b340b14c4abb3dbdbb753894c7"/>
      <w:r w:rsidR="00DB0498" w:rsidRPr="00D7070D">
        <w:rPr>
          <w:i/>
          <w:iCs/>
        </w:rPr>
        <w:t>Rudnick v. McMillan</w:t>
      </w:r>
      <w:r w:rsidR="00DB0498" w:rsidRPr="00D7070D">
        <w:t xml:space="preserve"> (1994) 25 Cal.App.4th 1183, 1190</w:t>
      </w:r>
      <w:bookmarkEnd w:id="67"/>
      <w:r w:rsidR="0077323F">
        <w:t xml:space="preserve">, the </w:t>
      </w:r>
      <w:r w:rsidR="00DB0498" w:rsidRPr="00D7070D">
        <w:t xml:space="preserve">plaintiff </w:t>
      </w:r>
      <w:r w:rsidR="0077323F">
        <w:t>publicly expressed</w:t>
      </w:r>
      <w:r w:rsidR="00DB0498" w:rsidRPr="00D7070D">
        <w:t xml:space="preserve"> concern over </w:t>
      </w:r>
      <w:r w:rsidR="0077323F">
        <w:t xml:space="preserve">a </w:t>
      </w:r>
      <w:r w:rsidR="00DB0498" w:rsidRPr="00D7070D">
        <w:t xml:space="preserve">public land preserve on which he grazed cattle and </w:t>
      </w:r>
      <w:r w:rsidR="0077323F">
        <w:t>invited</w:t>
      </w:r>
      <w:r w:rsidR="00DB0498" w:rsidRPr="00D7070D">
        <w:t xml:space="preserve"> reporters to visit </w:t>
      </w:r>
      <w:r w:rsidR="0077323F">
        <w:t>the</w:t>
      </w:r>
      <w:r w:rsidR="00DB0498" w:rsidRPr="00D7070D">
        <w:t xml:space="preserve"> preserve in </w:t>
      </w:r>
      <w:r w:rsidR="004A10D8">
        <w:t>hopes</w:t>
      </w:r>
      <w:r w:rsidR="00DB0498" w:rsidRPr="00D7070D">
        <w:t xml:space="preserve"> they would write articles about him and</w:t>
      </w:r>
      <w:r w:rsidR="004A10D8">
        <w:t xml:space="preserve"> the</w:t>
      </w:r>
      <w:r w:rsidR="00DB0498" w:rsidRPr="00D7070D">
        <w:t xml:space="preserve"> preserve</w:t>
      </w:r>
      <w:r w:rsidR="00486435">
        <w:t>’</w:t>
      </w:r>
      <w:r w:rsidR="00DB0498" w:rsidRPr="00D7070D">
        <w:t>s condition</w:t>
      </w:r>
      <w:r w:rsidR="004A10D8">
        <w:t>.</w:t>
      </w:r>
    </w:p>
    <w:p w14:paraId="72A9121F" w14:textId="1BD49FF8" w:rsidR="007B1A82" w:rsidRDefault="00CB3E12" w:rsidP="00423697">
      <w:pPr>
        <w:pStyle w:val="Body"/>
        <w:widowControl w:val="0"/>
      </w:pPr>
      <w:r>
        <w:t xml:space="preserve">Voluntary active </w:t>
      </w:r>
      <w:r w:rsidR="00411F90">
        <w:t>influenc</w:t>
      </w:r>
      <w:r w:rsidR="00E77840">
        <w:t>ing</w:t>
      </w:r>
      <w:r w:rsidR="00261C7E">
        <w:t xml:space="preserve"> of</w:t>
      </w:r>
      <w:r w:rsidR="00411F90">
        <w:t xml:space="preserve"> public matters </w:t>
      </w:r>
      <w:r w:rsidR="00261C7E">
        <w:t>has</w:t>
      </w:r>
      <w:r w:rsidR="00411F90">
        <w:t xml:space="preserve"> also been </w:t>
      </w:r>
      <w:r w:rsidR="00261C7E">
        <w:t xml:space="preserve">a defining characteristic in </w:t>
      </w:r>
      <w:r w:rsidR="00411F90">
        <w:t>federal court</w:t>
      </w:r>
      <w:r w:rsidR="00261C7E">
        <w:t xml:space="preserve"> determinations</w:t>
      </w:r>
      <w:r w:rsidR="00751C86">
        <w:t xml:space="preserve">.  For example, </w:t>
      </w:r>
      <w:r w:rsidR="00D5759F">
        <w:t xml:space="preserve">in </w:t>
      </w:r>
      <w:bookmarkStart w:id="68" w:name="dabmci_26a8f4603fb64b09b7199a5a43a98cb7"/>
      <w:r w:rsidR="00D5759F" w:rsidRPr="006C46EF">
        <w:rPr>
          <w:i/>
          <w:iCs/>
        </w:rPr>
        <w:t>McCafferty v. Newsweek Media Group</w:t>
      </w:r>
      <w:r w:rsidR="007A4AE2">
        <w:rPr>
          <w:i/>
          <w:iCs/>
        </w:rPr>
        <w:t>,</w:t>
      </w:r>
      <w:r w:rsidR="00D5759F" w:rsidRPr="006C46EF">
        <w:rPr>
          <w:i/>
          <w:iCs/>
        </w:rPr>
        <w:t xml:space="preserve"> Ltd.</w:t>
      </w:r>
      <w:r w:rsidR="00D5759F">
        <w:t xml:space="preserve"> (3d Cir. 2020) </w:t>
      </w:r>
      <w:r w:rsidR="00D5759F" w:rsidRPr="006C46EF">
        <w:t>955 F.3d 352</w:t>
      </w:r>
      <w:bookmarkEnd w:id="68"/>
      <w:r w:rsidR="00CA0206">
        <w:t xml:space="preserve">, </w:t>
      </w:r>
      <w:r w:rsidR="00751C86">
        <w:t xml:space="preserve">the </w:t>
      </w:r>
      <w:r w:rsidR="00871F1C">
        <w:t xml:space="preserve">plaintiff was </w:t>
      </w:r>
      <w:r w:rsidR="00260934">
        <w:t>a</w:t>
      </w:r>
      <w:r w:rsidR="00DE32C2">
        <w:t xml:space="preserve"> </w:t>
      </w:r>
      <w:r w:rsidR="00486435">
        <w:t>“</w:t>
      </w:r>
      <w:r w:rsidR="00DE32C2">
        <w:t>politically vocal</w:t>
      </w:r>
      <w:r w:rsidR="00486435">
        <w:t>”</w:t>
      </w:r>
      <w:r w:rsidR="00260934">
        <w:t xml:space="preserve"> </w:t>
      </w:r>
      <w:r w:rsidR="009F24D6">
        <w:t>12-year-old</w:t>
      </w:r>
      <w:r w:rsidR="00260934">
        <w:t xml:space="preserve"> who </w:t>
      </w:r>
      <w:r w:rsidR="00FA364A">
        <w:t>supported a candidate for President of the United States</w:t>
      </w:r>
      <w:r w:rsidR="008F3673">
        <w:t xml:space="preserve">.  </w:t>
      </w:r>
      <w:r w:rsidR="006C28F2">
        <w:t>(</w:t>
      </w:r>
      <w:bookmarkStart w:id="69" w:name="dabmci_dda632c06c0d48ec8358fa4fb9054ed6"/>
      <w:r w:rsidR="006C28F2" w:rsidRPr="006C28F2">
        <w:rPr>
          <w:i/>
          <w:iCs/>
        </w:rPr>
        <w:t>Id</w:t>
      </w:r>
      <w:r w:rsidR="006C28F2">
        <w:t>. at p. 355</w:t>
      </w:r>
      <w:bookmarkEnd w:id="69"/>
      <w:r w:rsidR="006C28F2">
        <w:t xml:space="preserve">.)  </w:t>
      </w:r>
      <w:r w:rsidR="000A5E79">
        <w:lastRenderedPageBreak/>
        <w:t xml:space="preserve">The </w:t>
      </w:r>
      <w:r w:rsidR="00871F1C">
        <w:t>Third Circuit Court of Appeals</w:t>
      </w:r>
      <w:r w:rsidR="008F3673">
        <w:t xml:space="preserve"> </w:t>
      </w:r>
      <w:r w:rsidR="00F21149">
        <w:t>found</w:t>
      </w:r>
      <w:r w:rsidR="008F3673">
        <w:t xml:space="preserve"> </w:t>
      </w:r>
      <w:r w:rsidR="00472DB4">
        <w:t>the plaintiff</w:t>
      </w:r>
      <w:r w:rsidR="000A5E79">
        <w:t xml:space="preserve"> to be </w:t>
      </w:r>
      <w:r w:rsidR="00472DB4">
        <w:t xml:space="preserve">a limited purpose public figure, </w:t>
      </w:r>
      <w:r w:rsidR="002C526A">
        <w:t>persuaded by</w:t>
      </w:r>
      <w:r w:rsidR="00F25364">
        <w:t xml:space="preserve"> </w:t>
      </w:r>
      <w:r w:rsidR="00472DB4">
        <w:t>evidence</w:t>
      </w:r>
      <w:r w:rsidR="00F25364">
        <w:t xml:space="preserve"> showing</w:t>
      </w:r>
      <w:r w:rsidR="008F3673">
        <w:t xml:space="preserve"> </w:t>
      </w:r>
      <w:r w:rsidR="00472DB4">
        <w:t>he</w:t>
      </w:r>
      <w:r w:rsidR="007D09DD">
        <w:t xml:space="preserve"> voluntarily injected himself in controversies surrounding the candidate</w:t>
      </w:r>
      <w:r w:rsidR="00486435">
        <w:t>’</w:t>
      </w:r>
      <w:r w:rsidR="007D09DD">
        <w:t>s campaign and the candidate</w:t>
      </w:r>
      <w:r w:rsidR="00486435">
        <w:t>’</w:t>
      </w:r>
      <w:r w:rsidR="007D09DD">
        <w:t xml:space="preserve">s critics, </w:t>
      </w:r>
      <w:r w:rsidR="00A01594">
        <w:t xml:space="preserve">he released videos </w:t>
      </w:r>
      <w:r w:rsidR="0001595B">
        <w:t xml:space="preserve">on social media </w:t>
      </w:r>
      <w:r w:rsidR="00A01594">
        <w:t xml:space="preserve">which garnered thousands of views, </w:t>
      </w:r>
      <w:r w:rsidR="0001595B">
        <w:t xml:space="preserve">and </w:t>
      </w:r>
      <w:r w:rsidR="000F02D9">
        <w:t xml:space="preserve">media outlets around the world </w:t>
      </w:r>
      <w:r w:rsidR="00486435">
        <w:t>“</w:t>
      </w:r>
      <w:r w:rsidR="000F02D9">
        <w:t>sought him out t</w:t>
      </w:r>
      <w:r w:rsidR="000173F8">
        <w:t>o discuss his political exploits.</w:t>
      </w:r>
      <w:r w:rsidR="00486435">
        <w:t>”</w:t>
      </w:r>
      <w:r w:rsidR="006F4A2F">
        <w:t xml:space="preserve">  (</w:t>
      </w:r>
      <w:bookmarkStart w:id="70" w:name="dabmci_d86004ac24f0464183dd102e1c95ecc2"/>
      <w:r w:rsidR="006F4A2F" w:rsidRPr="006F4A2F">
        <w:rPr>
          <w:i/>
          <w:iCs/>
        </w:rPr>
        <w:t>Id</w:t>
      </w:r>
      <w:r w:rsidR="006F4A2F">
        <w:t>. at p. 359</w:t>
      </w:r>
      <w:bookmarkEnd w:id="70"/>
      <w:r w:rsidR="006F4A2F">
        <w:t>.)</w:t>
      </w:r>
    </w:p>
    <w:p w14:paraId="27FBD158" w14:textId="54CC12D3" w:rsidR="005A4918" w:rsidRDefault="00983107" w:rsidP="007B1A82">
      <w:pPr>
        <w:pStyle w:val="Body"/>
      </w:pPr>
      <w:r>
        <w:t xml:space="preserve">The Eighth Circuit Court of Appeals was similarly swayed </w:t>
      </w:r>
      <w:r w:rsidR="00232F1E">
        <w:t xml:space="preserve">in </w:t>
      </w:r>
      <w:bookmarkStart w:id="71" w:name="dabmci_f0ca60a68490486c839ee69fed4bea00"/>
      <w:r w:rsidR="004575F1" w:rsidRPr="004575F1">
        <w:rPr>
          <w:i/>
          <w:iCs/>
        </w:rPr>
        <w:t>United States v. Sryniawski</w:t>
      </w:r>
      <w:r w:rsidR="004575F1" w:rsidRPr="004575F1">
        <w:t xml:space="preserve"> (8th Cir. 2022) 48 F.4th 583, </w:t>
      </w:r>
      <w:r w:rsidR="005A4918">
        <w:t>58</w:t>
      </w:r>
      <w:r w:rsidR="001B097E">
        <w:t>8</w:t>
      </w:r>
      <w:bookmarkEnd w:id="71"/>
      <w:r w:rsidR="005A4918">
        <w:t xml:space="preserve">, </w:t>
      </w:r>
      <w:r w:rsidR="00271379">
        <w:t>which included</w:t>
      </w:r>
      <w:r>
        <w:t xml:space="preserve"> evidence the</w:t>
      </w:r>
      <w:r w:rsidR="00554299">
        <w:t xml:space="preserve"> wife of a political candidate </w:t>
      </w:r>
      <w:r w:rsidR="00486435">
        <w:t>“</w:t>
      </w:r>
      <w:r w:rsidR="00870F50" w:rsidRPr="00870F50">
        <w:t xml:space="preserve">was actively involved in </w:t>
      </w:r>
      <w:r w:rsidR="00870F50">
        <w:t>[her husband</w:t>
      </w:r>
      <w:r w:rsidR="00486435">
        <w:t>’</w:t>
      </w:r>
      <w:r w:rsidR="00870F50">
        <w:t>s]</w:t>
      </w:r>
      <w:r w:rsidR="00870F50" w:rsidRPr="00870F50">
        <w:t xml:space="preserve"> campaign</w:t>
      </w:r>
      <w:r w:rsidR="00486435">
        <w:t>”</w:t>
      </w:r>
      <w:r w:rsidR="00870F50">
        <w:t xml:space="preserve"> </w:t>
      </w:r>
      <w:r w:rsidR="00FF0174">
        <w:t>and</w:t>
      </w:r>
      <w:r w:rsidR="00870F50">
        <w:t xml:space="preserve"> at one point </w:t>
      </w:r>
      <w:r w:rsidR="00FF0174">
        <w:t>had</w:t>
      </w:r>
      <w:r w:rsidR="00870F50">
        <w:t xml:space="preserve"> </w:t>
      </w:r>
      <w:r w:rsidR="00870F50" w:rsidRPr="00870F50">
        <w:t xml:space="preserve">served as </w:t>
      </w:r>
      <w:r w:rsidR="00FF0174">
        <w:t xml:space="preserve">his </w:t>
      </w:r>
      <w:r w:rsidR="00870F50" w:rsidRPr="00870F50">
        <w:t>campaign manager</w:t>
      </w:r>
      <w:r w:rsidR="004575F1">
        <w:t>.</w:t>
      </w:r>
      <w:r w:rsidR="007B1A82">
        <w:t xml:space="preserve">  </w:t>
      </w:r>
      <w:r w:rsidR="00202BBC">
        <w:t>As support, it</w:t>
      </w:r>
      <w:r w:rsidR="000330B1">
        <w:t xml:space="preserve"> </w:t>
      </w:r>
      <w:r w:rsidR="00AC43E0">
        <w:t xml:space="preserve">cited two </w:t>
      </w:r>
      <w:r w:rsidR="009D6510">
        <w:t>state</w:t>
      </w:r>
      <w:r w:rsidR="00AC43E0">
        <w:t xml:space="preserve"> </w:t>
      </w:r>
      <w:r w:rsidR="00202BBC">
        <w:t>court decisions</w:t>
      </w:r>
      <w:r w:rsidR="00AC43E0">
        <w:t xml:space="preserve"> </w:t>
      </w:r>
      <w:r w:rsidR="009D6510">
        <w:t>involving</w:t>
      </w:r>
      <w:r w:rsidR="00AC43E0">
        <w:t xml:space="preserve"> </w:t>
      </w:r>
      <w:r w:rsidR="00486435">
        <w:t>“</w:t>
      </w:r>
      <w:r w:rsidR="00AC43E0">
        <w:t>s</w:t>
      </w:r>
      <w:r w:rsidR="00AC43E0" w:rsidRPr="00AC43E0">
        <w:t xml:space="preserve">pouses of candidates for public office who </w:t>
      </w:r>
      <w:r w:rsidR="00F505D3">
        <w:t>[wer</w:t>
      </w:r>
      <w:r w:rsidR="009D6510">
        <w:t>e]</w:t>
      </w:r>
      <w:r w:rsidR="00AC43E0" w:rsidRPr="00AC43E0">
        <w:t xml:space="preserve"> actively involved in the campaign</w:t>
      </w:r>
      <w:r w:rsidR="009D6510">
        <w:t>.</w:t>
      </w:r>
      <w:r w:rsidR="00486435">
        <w:t>”</w:t>
      </w:r>
      <w:r w:rsidR="00AC43E0" w:rsidRPr="00AC43E0">
        <w:t xml:space="preserve"> </w:t>
      </w:r>
      <w:r w:rsidR="00862C7A">
        <w:t xml:space="preserve"> (</w:t>
      </w:r>
      <w:bookmarkStart w:id="72" w:name="dabmci_7869bdbb07ff472cb39f2deed0aa2953"/>
      <w:r w:rsidR="00862C7A" w:rsidRPr="00B33973">
        <w:rPr>
          <w:i/>
          <w:iCs/>
        </w:rPr>
        <w:t>Id</w:t>
      </w:r>
      <w:r w:rsidR="00862C7A">
        <w:t xml:space="preserve">. at p. </w:t>
      </w:r>
      <w:r w:rsidR="001B097E">
        <w:t>588</w:t>
      </w:r>
      <w:bookmarkEnd w:id="72"/>
      <w:r w:rsidR="001B097E">
        <w:t xml:space="preserve">, </w:t>
      </w:r>
      <w:r w:rsidR="001B097E" w:rsidRPr="00DA17E1">
        <w:t xml:space="preserve">citing </w:t>
      </w:r>
      <w:bookmarkStart w:id="73" w:name="dabmci_c51200548c3440ee9f8c0d5f56cbfb24"/>
      <w:r w:rsidR="00A77E67" w:rsidRPr="00DA17E1">
        <w:rPr>
          <w:i/>
          <w:iCs/>
        </w:rPr>
        <w:t>Krueger v. Austad</w:t>
      </w:r>
      <w:r w:rsidR="00A77E67" w:rsidRPr="00DA17E1">
        <w:t xml:space="preserve"> (S.D. 1996) 545 N.W.2d 205, 212</w:t>
      </w:r>
      <w:bookmarkEnd w:id="73"/>
      <w:r w:rsidR="00A77E67" w:rsidRPr="00DA17E1">
        <w:t xml:space="preserve"> [</w:t>
      </w:r>
      <w:r w:rsidR="007E2F2A" w:rsidRPr="00DA17E1">
        <w:t xml:space="preserve">wife of political candidate </w:t>
      </w:r>
      <w:r w:rsidR="005F7862" w:rsidRPr="00DA17E1">
        <w:t>was his campaign advisor</w:t>
      </w:r>
      <w:r w:rsidR="00C15312" w:rsidRPr="00DA17E1">
        <w:t xml:space="preserve">, </w:t>
      </w:r>
      <w:r w:rsidR="00486435">
        <w:t>“</w:t>
      </w:r>
      <w:r w:rsidR="00C15312" w:rsidRPr="00DA17E1">
        <w:t>one of [his] most enthusiastic supporters</w:t>
      </w:r>
      <w:r w:rsidR="005F7862" w:rsidRPr="00DA17E1">
        <w:t>,</w:t>
      </w:r>
      <w:r w:rsidR="00486435">
        <w:t>”</w:t>
      </w:r>
      <w:r w:rsidR="005F7862" w:rsidRPr="00DA17E1">
        <w:t xml:space="preserve"> </w:t>
      </w:r>
      <w:r w:rsidR="007E2F2A" w:rsidRPr="00DA17E1">
        <w:t>actively participated in campaign,</w:t>
      </w:r>
      <w:r w:rsidR="00C15312" w:rsidRPr="00DA17E1">
        <w:t xml:space="preserve"> and</w:t>
      </w:r>
      <w:r w:rsidR="007E2F2A" w:rsidRPr="00DA17E1">
        <w:t xml:space="preserve"> allowed her endorsement and photograph to be used in campaign literature</w:t>
      </w:r>
      <w:r w:rsidR="00C15312" w:rsidRPr="00DA17E1">
        <w:t>]</w:t>
      </w:r>
      <w:r w:rsidR="00A77E67" w:rsidRPr="00DA17E1">
        <w:t xml:space="preserve">, and </w:t>
      </w:r>
      <w:bookmarkStart w:id="74" w:name="dabmci_e3d69a4a223a44f59783353bf7fea588"/>
      <w:r w:rsidR="00A77E67" w:rsidRPr="00DA17E1">
        <w:rPr>
          <w:i/>
          <w:iCs/>
        </w:rPr>
        <w:t>Burns v. Times Argus Assn.</w:t>
      </w:r>
      <w:r w:rsidR="00DA17E1">
        <w:rPr>
          <w:i/>
          <w:iCs/>
        </w:rPr>
        <w:t>, Inc.</w:t>
      </w:r>
      <w:r w:rsidR="00A77E67" w:rsidRPr="00DA17E1">
        <w:t xml:space="preserve"> (Vt.</w:t>
      </w:r>
      <w:r w:rsidR="00B33973" w:rsidRPr="00DA17E1">
        <w:t xml:space="preserve"> 1981)</w:t>
      </w:r>
      <w:r w:rsidR="00A77E67" w:rsidRPr="00DA17E1">
        <w:t xml:space="preserve"> </w:t>
      </w:r>
      <w:r w:rsidR="002416EC" w:rsidRPr="00DA17E1">
        <w:t>430 A.2d 773, 775</w:t>
      </w:r>
      <w:bookmarkEnd w:id="74"/>
      <w:r w:rsidR="00191AA3" w:rsidRPr="00DA17E1">
        <w:t xml:space="preserve"> </w:t>
      </w:r>
      <w:r w:rsidR="00B33973" w:rsidRPr="00DA17E1">
        <w:t>[</w:t>
      </w:r>
      <w:r w:rsidR="00842BFA" w:rsidRPr="00DA17E1">
        <w:t xml:space="preserve">wife of lieutenant governor </w:t>
      </w:r>
      <w:r w:rsidR="00866526" w:rsidRPr="00DA17E1">
        <w:t xml:space="preserve">made </w:t>
      </w:r>
      <w:r w:rsidR="00CE47CB" w:rsidRPr="00DA17E1">
        <w:t xml:space="preserve">conspicuous </w:t>
      </w:r>
      <w:r w:rsidR="007D217F" w:rsidRPr="00DA17E1">
        <w:t xml:space="preserve">public </w:t>
      </w:r>
      <w:r w:rsidR="00866526" w:rsidRPr="00DA17E1">
        <w:t xml:space="preserve">appearances during his gubernatorial campaign and </w:t>
      </w:r>
      <w:r w:rsidR="00CE47CB" w:rsidRPr="00DA17E1">
        <w:t xml:space="preserve">handed out leaflets and posters </w:t>
      </w:r>
      <w:r w:rsidR="00E01A55" w:rsidRPr="00DA17E1">
        <w:t xml:space="preserve">in order to </w:t>
      </w:r>
      <w:r w:rsidR="007D217F" w:rsidRPr="00DA17E1">
        <w:t>affect outcome</w:t>
      </w:r>
      <w:r w:rsidR="00B33973" w:rsidRPr="00DA17E1">
        <w:t>]</w:t>
      </w:r>
      <w:r w:rsidR="00F11D6E" w:rsidRPr="00DA17E1">
        <w:t>; see also</w:t>
      </w:r>
      <w:r w:rsidR="00FB7712" w:rsidRPr="00DA17E1">
        <w:t xml:space="preserve"> </w:t>
      </w:r>
      <w:bookmarkStart w:id="75" w:name="dabmci_59203aed1e6240e580f39f53db2f8a97"/>
      <w:r w:rsidR="00231624" w:rsidRPr="00DA17E1">
        <w:rPr>
          <w:i/>
          <w:iCs/>
        </w:rPr>
        <w:t>Hemenway v. Blanchard</w:t>
      </w:r>
      <w:r w:rsidR="00231624" w:rsidRPr="00DA17E1">
        <w:t xml:space="preserve"> (Ga.Ct.App. 1982) </w:t>
      </w:r>
      <w:r w:rsidR="001C6BE0" w:rsidRPr="00DA17E1">
        <w:t>294 S.E.2d 603, 605-606</w:t>
      </w:r>
      <w:bookmarkEnd w:id="75"/>
      <w:r w:rsidR="00DA17E1" w:rsidRPr="00DA17E1">
        <w:t xml:space="preserve"> </w:t>
      </w:r>
      <w:r w:rsidR="00061FA5" w:rsidRPr="00DA17E1">
        <w:t xml:space="preserve">[husband of congressional candidate who </w:t>
      </w:r>
      <w:r w:rsidR="008B56A5" w:rsidRPr="00DA17E1">
        <w:t>actively participated in wife</w:t>
      </w:r>
      <w:r w:rsidR="00486435">
        <w:t>’</w:t>
      </w:r>
      <w:r w:rsidR="008B56A5" w:rsidRPr="00DA17E1">
        <w:t>s</w:t>
      </w:r>
      <w:r w:rsidR="008B56A5">
        <w:t xml:space="preserve"> </w:t>
      </w:r>
      <w:r w:rsidR="007F7404">
        <w:t>news conferences</w:t>
      </w:r>
      <w:r w:rsidR="00FA1C81">
        <w:t xml:space="preserve">, at times talking more than she did, </w:t>
      </w:r>
      <w:r w:rsidR="004855CD">
        <w:t>in attempt to influence outcome in her favor]</w:t>
      </w:r>
      <w:r w:rsidR="00B33973">
        <w:t>.)</w:t>
      </w:r>
    </w:p>
    <w:p w14:paraId="7355C7B0" w14:textId="4D72560D" w:rsidR="00266BBD" w:rsidRDefault="0085373F" w:rsidP="00821FBE">
      <w:pPr>
        <w:pStyle w:val="Body"/>
      </w:pPr>
      <w:r>
        <w:t>O</w:t>
      </w:r>
      <w:r w:rsidR="002A0292">
        <w:t xml:space="preserve">n </w:t>
      </w:r>
      <w:r w:rsidR="006A366B">
        <w:t>the record before us, we find plaintiff to be more like the</w:t>
      </w:r>
      <w:r w:rsidR="006038A2">
        <w:t xml:space="preserve"> private</w:t>
      </w:r>
      <w:r w:rsidR="007B1A82">
        <w:t xml:space="preserve"> </w:t>
      </w:r>
      <w:r w:rsidR="006038A2">
        <w:t xml:space="preserve">plaintiffs </w:t>
      </w:r>
      <w:r w:rsidR="006A366B">
        <w:t xml:space="preserve">in </w:t>
      </w:r>
      <w:r w:rsidR="007B1A82" w:rsidRPr="007B1A82">
        <w:rPr>
          <w:i/>
          <w:iCs/>
        </w:rPr>
        <w:t>Firestone</w:t>
      </w:r>
      <w:r w:rsidR="006A366B">
        <w:t xml:space="preserve"> and </w:t>
      </w:r>
      <w:r w:rsidR="007B1A82" w:rsidRPr="007B1A82">
        <w:rPr>
          <w:i/>
          <w:iCs/>
        </w:rPr>
        <w:t>Khawar</w:t>
      </w:r>
      <w:r w:rsidR="006038A2">
        <w:t xml:space="preserve">, </w:t>
      </w:r>
      <w:r w:rsidR="006A366B">
        <w:t xml:space="preserve">than </w:t>
      </w:r>
      <w:r w:rsidR="006038A2">
        <w:t>the limited purpose public figure plaintiffs</w:t>
      </w:r>
      <w:r w:rsidR="006A366B">
        <w:t xml:space="preserve"> in </w:t>
      </w:r>
      <w:r w:rsidR="0079780E" w:rsidRPr="00B10BCC">
        <w:rPr>
          <w:i/>
          <w:iCs/>
        </w:rPr>
        <w:t>Annette F.</w:t>
      </w:r>
      <w:r w:rsidR="0079780E">
        <w:t xml:space="preserve"> </w:t>
      </w:r>
      <w:r w:rsidR="006A366B">
        <w:t xml:space="preserve">and </w:t>
      </w:r>
      <w:r w:rsidR="0079780E">
        <w:t>the remaining cases</w:t>
      </w:r>
      <w:r w:rsidR="006A366B">
        <w:t>.</w:t>
      </w:r>
      <w:r w:rsidR="0018106F">
        <w:t xml:space="preserve">  </w:t>
      </w:r>
      <w:r w:rsidR="000C5A57">
        <w:t>Evidence of h</w:t>
      </w:r>
      <w:r w:rsidR="00AA7F19">
        <w:t>er one-time participation in a lunar new year parade alongside her husband</w:t>
      </w:r>
      <w:r w:rsidR="000C5A57">
        <w:t xml:space="preserve"> while carrying </w:t>
      </w:r>
      <w:r w:rsidR="003C0D48">
        <w:t>a campaign sign</w:t>
      </w:r>
      <w:r w:rsidR="006E3726">
        <w:t xml:space="preserve"> with an unknown message</w:t>
      </w:r>
      <w:r w:rsidR="003C0D48">
        <w:t xml:space="preserve"> </w:t>
      </w:r>
      <w:r w:rsidR="00266BBD">
        <w:t xml:space="preserve">can, at most, be characterized as </w:t>
      </w:r>
      <w:r w:rsidR="00486435">
        <w:t>“</w:t>
      </w:r>
      <w:r w:rsidR="0018106F">
        <w:t>[t]rivial or tangential participation</w:t>
      </w:r>
      <w:r w:rsidR="00486435">
        <w:t>”</w:t>
      </w:r>
      <w:r w:rsidR="00266BBD">
        <w:t xml:space="preserve"> </w:t>
      </w:r>
      <w:r w:rsidR="00232F06">
        <w:t xml:space="preserve">which does not </w:t>
      </w:r>
      <w:r w:rsidR="00CC3F51">
        <w:t>divest a person of their private person status.  (</w:t>
      </w:r>
      <w:bookmarkStart w:id="76" w:name="dabmci_28b5ea2acc424fac8a9a24b62a4e83f4"/>
      <w:r w:rsidR="00821FBE" w:rsidRPr="00821FBE">
        <w:rPr>
          <w:i/>
          <w:iCs/>
        </w:rPr>
        <w:t xml:space="preserve">Waldbaum v. Fairchild </w:t>
      </w:r>
      <w:r w:rsidR="00821FBE" w:rsidRPr="00821FBE">
        <w:rPr>
          <w:i/>
          <w:iCs/>
        </w:rPr>
        <w:lastRenderedPageBreak/>
        <w:t>Publications, Inc.</w:t>
      </w:r>
      <w:r w:rsidR="00821FBE">
        <w:t xml:space="preserve"> (D.C. Cir. 1980) 627 F.2d 1287, 1297</w:t>
      </w:r>
      <w:bookmarkEnd w:id="76"/>
      <w:r w:rsidR="00CC3F51">
        <w:t>;</w:t>
      </w:r>
      <w:r w:rsidR="006318EE">
        <w:t xml:space="preserve"> see </w:t>
      </w:r>
      <w:bookmarkStart w:id="77" w:name="dabmci_2e96d6293e894edb8563e151ba3ee487"/>
      <w:r w:rsidR="00821FBE" w:rsidRPr="002F2CC2">
        <w:rPr>
          <w:i/>
          <w:iCs/>
        </w:rPr>
        <w:t>Gertz, supra</w:t>
      </w:r>
      <w:r w:rsidR="00821FBE">
        <w:t xml:space="preserve">, </w:t>
      </w:r>
      <w:r w:rsidR="00DE3F9E">
        <w:t>418 U.S. at pp. 34</w:t>
      </w:r>
      <w:r w:rsidR="002F2CC2">
        <w:t>4-34</w:t>
      </w:r>
      <w:r w:rsidR="00DE3F9E">
        <w:t>5, 351-352</w:t>
      </w:r>
      <w:bookmarkEnd w:id="77"/>
      <w:r w:rsidR="006318EE">
        <w:t>.)</w:t>
      </w:r>
    </w:p>
    <w:p w14:paraId="6E6176AB" w14:textId="7346ADC2" w:rsidR="00A51F24" w:rsidRDefault="009E2EA9" w:rsidP="007C380C">
      <w:pPr>
        <w:pStyle w:val="Body"/>
      </w:pPr>
      <w:r>
        <w:t xml:space="preserve">In </w:t>
      </w:r>
      <w:r w:rsidR="006E3726">
        <w:t>so concluding</w:t>
      </w:r>
      <w:r w:rsidR="0032173C">
        <w:t xml:space="preserve">, we </w:t>
      </w:r>
      <w:r w:rsidR="003C13A1">
        <w:t>acknowledge</w:t>
      </w:r>
      <w:r w:rsidR="00003CC1">
        <w:t xml:space="preserve"> </w:t>
      </w:r>
      <w:r w:rsidR="00486435">
        <w:t>“</w:t>
      </w:r>
      <w:r w:rsidR="00357484">
        <w:t>t</w:t>
      </w:r>
      <w:r w:rsidR="00B01971" w:rsidRPr="00B01971">
        <w:t>he constitutional guarantee [of free speech] has its fullest and most urgent application</w:t>
      </w:r>
      <w:r w:rsidR="00EF796B">
        <w:t> . . . </w:t>
      </w:r>
      <w:r w:rsidR="00B01971" w:rsidRPr="00B01971">
        <w:t>to the conduct of campaigns for political office.</w:t>
      </w:r>
      <w:r w:rsidR="00486435">
        <w:t>”</w:t>
      </w:r>
      <w:r w:rsidR="00DF50FC">
        <w:t xml:space="preserve"> </w:t>
      </w:r>
      <w:r w:rsidR="00B01971" w:rsidRPr="00B01971">
        <w:t xml:space="preserve"> (</w:t>
      </w:r>
      <w:bookmarkStart w:id="78" w:name="dabmci_ccc95ecbde1044c391ccc89fdaf5c9cf"/>
      <w:r w:rsidR="00B01971" w:rsidRPr="00DE457E">
        <w:rPr>
          <w:i/>
          <w:iCs/>
        </w:rPr>
        <w:t>Buckley v. Valeo</w:t>
      </w:r>
      <w:r w:rsidR="00B01971" w:rsidRPr="00B01971">
        <w:t xml:space="preserve"> (1976) 424 U.S. 1, 15</w:t>
      </w:r>
      <w:bookmarkEnd w:id="78"/>
      <w:r w:rsidR="00DE457E">
        <w:t>.)</w:t>
      </w:r>
      <w:r w:rsidR="00B05649">
        <w:t xml:space="preserve">  </w:t>
      </w:r>
      <w:r w:rsidR="00486435">
        <w:t>“</w:t>
      </w:r>
      <w:r w:rsidR="00B05649">
        <w:t xml:space="preserve">Thus, </w:t>
      </w:r>
      <w:r w:rsidR="002033EA" w:rsidRPr="002033EA">
        <w:t xml:space="preserve">those engaged in political debate are entitled not only to speak responsibly but </w:t>
      </w:r>
      <w:r w:rsidR="00B05649">
        <w:t xml:space="preserve">[also] </w:t>
      </w:r>
      <w:r w:rsidR="002033EA" w:rsidRPr="002033EA">
        <w:t xml:space="preserve">to </w:t>
      </w:r>
      <w:r w:rsidR="00486435">
        <w:t>‘</w:t>
      </w:r>
      <w:r w:rsidR="002033EA" w:rsidRPr="002033EA">
        <w:t>. . . speak foolishly and without moderation.</w:t>
      </w:r>
      <w:r w:rsidR="00486435">
        <w:t>’”</w:t>
      </w:r>
      <w:r w:rsidR="007D0C6B" w:rsidRPr="007D0C6B">
        <w:t xml:space="preserve"> </w:t>
      </w:r>
      <w:r w:rsidR="00DE457E">
        <w:t xml:space="preserve"> </w:t>
      </w:r>
      <w:r w:rsidR="007D0C6B" w:rsidRPr="007D0C6B">
        <w:t>(</w:t>
      </w:r>
      <w:bookmarkStart w:id="79" w:name="dabmci_3b88c95389d3494d895c284a017e814e"/>
      <w:r w:rsidR="007D0C6B" w:rsidRPr="00B05649">
        <w:rPr>
          <w:i/>
          <w:iCs/>
        </w:rPr>
        <w:t>Desert Sun Publishing Co. v. Superior Court</w:t>
      </w:r>
      <w:r w:rsidR="007D0C6B" w:rsidRPr="007D0C6B">
        <w:t xml:space="preserve"> (1979) 97</w:t>
      </w:r>
      <w:r w:rsidR="00B05649">
        <w:t xml:space="preserve"> </w:t>
      </w:r>
      <w:r w:rsidR="007D0C6B" w:rsidRPr="007D0C6B">
        <w:t>Cal.App.3d 49, 52</w:t>
      </w:r>
      <w:bookmarkEnd w:id="79"/>
      <w:r w:rsidR="00B05649">
        <w:t>.)</w:t>
      </w:r>
    </w:p>
    <w:p w14:paraId="6E57A7C8" w14:textId="55ECC1EC" w:rsidR="009A16B6" w:rsidRPr="007C380C" w:rsidRDefault="009A790C" w:rsidP="007C380C">
      <w:pPr>
        <w:pStyle w:val="Body"/>
      </w:pPr>
      <w:r>
        <w:t xml:space="preserve">But there are </w:t>
      </w:r>
      <w:r w:rsidR="00515686">
        <w:t>recognized limit</w:t>
      </w:r>
      <w:r w:rsidR="0034197F">
        <w:t>ations</w:t>
      </w:r>
      <w:r w:rsidR="0040570F">
        <w:t xml:space="preserve"> because </w:t>
      </w:r>
      <w:r w:rsidR="00486435">
        <w:t>“‘</w:t>
      </w:r>
      <w:r w:rsidR="0040570F" w:rsidRPr="0040570F">
        <w:t>[a] reasonable degree of protection for a private individual</w:t>
      </w:r>
      <w:r w:rsidR="00486435">
        <w:t>’</w:t>
      </w:r>
      <w:r w:rsidR="0040570F" w:rsidRPr="0040570F">
        <w:t>s reputation is essential to our system of ordered liberty.</w:t>
      </w:r>
      <w:r w:rsidR="00486435">
        <w:t>’”</w:t>
      </w:r>
      <w:r w:rsidR="00515686">
        <w:t xml:space="preserve">  </w:t>
      </w:r>
      <w:r w:rsidR="0040570F">
        <w:t>(</w:t>
      </w:r>
      <w:bookmarkStart w:id="80" w:name="dabmci_5c3f4739832b412799b4dcd6aedee535"/>
      <w:r w:rsidR="000B5A0E" w:rsidRPr="00751973">
        <w:rPr>
          <w:i/>
          <w:iCs/>
        </w:rPr>
        <w:t>Khawar, supra</w:t>
      </w:r>
      <w:r w:rsidR="000B5A0E">
        <w:t xml:space="preserve">, 19 Cal.4th at p. </w:t>
      </w:r>
      <w:r w:rsidR="00A72542">
        <w:t>273</w:t>
      </w:r>
      <w:bookmarkEnd w:id="80"/>
      <w:r w:rsidR="00661696">
        <w:t xml:space="preserve">.)  </w:t>
      </w:r>
      <w:r w:rsidR="00726F6E">
        <w:t>T</w:t>
      </w:r>
      <w:r w:rsidR="00003CC1">
        <w:t>he</w:t>
      </w:r>
      <w:r w:rsidR="0032173C" w:rsidRPr="0032173C">
        <w:t xml:space="preserve"> </w:t>
      </w:r>
      <w:r w:rsidR="00FF796C">
        <w:t xml:space="preserve">precise scope of the limited purpose </w:t>
      </w:r>
      <w:r w:rsidR="0032173C" w:rsidRPr="0032173C">
        <w:t xml:space="preserve">public figure </w:t>
      </w:r>
      <w:r w:rsidR="0036740E">
        <w:t xml:space="preserve">category </w:t>
      </w:r>
      <w:r w:rsidR="00D65E80">
        <w:t xml:space="preserve">is </w:t>
      </w:r>
      <w:r w:rsidR="00EC251D">
        <w:t>somewhat</w:t>
      </w:r>
      <w:r w:rsidR="00D65E80">
        <w:t xml:space="preserve"> amorphou</w:t>
      </w:r>
      <w:r w:rsidR="00474303">
        <w:t>s</w:t>
      </w:r>
      <w:r w:rsidR="0032173C" w:rsidRPr="0032173C">
        <w:t>.</w:t>
      </w:r>
      <w:r w:rsidR="0032173C">
        <w:t xml:space="preserve">  </w:t>
      </w:r>
      <w:r w:rsidR="00486435">
        <w:t>“</w:t>
      </w:r>
      <w:r w:rsidR="0032173C" w:rsidRPr="0032173C">
        <w:t xml:space="preserve">One </w:t>
      </w:r>
      <w:r w:rsidR="008413F6">
        <w:t xml:space="preserve">[federal] </w:t>
      </w:r>
      <w:r w:rsidR="0032173C" w:rsidRPr="0032173C">
        <w:t xml:space="preserve">district court opined that the task of demarcating between public and private figures </w:t>
      </w:r>
      <w:r w:rsidR="00486435">
        <w:t>‘</w:t>
      </w:r>
      <w:r w:rsidR="0032173C" w:rsidRPr="0032173C">
        <w:t>is much like trying to nail a jelly fish to the wall.</w:t>
      </w:r>
      <w:r w:rsidR="00486435">
        <w:t>’”</w:t>
      </w:r>
      <w:r w:rsidR="00E01FAF">
        <w:t xml:space="preserve">  (</w:t>
      </w:r>
      <w:bookmarkStart w:id="81" w:name="dabmci_343d20e8d9fc4cdb9f05a4b5812107db"/>
      <w:r w:rsidR="00E01FAF" w:rsidRPr="00E01FAF">
        <w:rPr>
          <w:i/>
          <w:iCs/>
        </w:rPr>
        <w:t>Marcone v. Penthouse Intern. Magazine for Men</w:t>
      </w:r>
      <w:r w:rsidR="00E01FAF" w:rsidRPr="00E01FAF">
        <w:t xml:space="preserve"> (3d Cir. 1985) 754 F.2d 1072, 1082</w:t>
      </w:r>
      <w:bookmarkEnd w:id="81"/>
      <w:r w:rsidR="004A3852">
        <w:t>, fn. omitted</w:t>
      </w:r>
      <w:r w:rsidR="00E01FAF" w:rsidRPr="00E01FAF">
        <w:t xml:space="preserve">, quoting </w:t>
      </w:r>
      <w:bookmarkStart w:id="82" w:name="dabmci_5b39d354ec1c4310810495565bcf9199"/>
      <w:r w:rsidR="00E01FAF" w:rsidRPr="00E01FAF">
        <w:rPr>
          <w:i/>
          <w:iCs/>
        </w:rPr>
        <w:t>Rosanova v. Playboy Enterprises, Inc.</w:t>
      </w:r>
      <w:r w:rsidR="00E01FAF" w:rsidRPr="00E01FAF">
        <w:t xml:space="preserve"> (S.D.Ga. 1976) 411 F.Supp. 440, 443</w:t>
      </w:r>
      <w:bookmarkEnd w:id="82"/>
      <w:r w:rsidR="00E01FAF" w:rsidRPr="00E01FAF">
        <w:t xml:space="preserve">, affd. </w:t>
      </w:r>
      <w:bookmarkStart w:id="83" w:name="dabmci_a048401ddbb04890bec4b3365da52737"/>
      <w:r w:rsidR="00E01FAF" w:rsidRPr="00E01FAF">
        <w:t>(5th Cir. 1978) 580 F.2d 859</w:t>
      </w:r>
      <w:bookmarkEnd w:id="83"/>
      <w:r w:rsidR="00A2066C">
        <w:t xml:space="preserve">.)  </w:t>
      </w:r>
      <w:r w:rsidR="00DA4621">
        <w:t>However</w:t>
      </w:r>
      <w:r w:rsidR="00474303">
        <w:t>, because the evaluation hing</w:t>
      </w:r>
      <w:r w:rsidR="00C07C90">
        <w:t>es</w:t>
      </w:r>
      <w:r w:rsidR="00474303">
        <w:t xml:space="preserve"> on </w:t>
      </w:r>
      <w:r w:rsidR="00DA4621">
        <w:t xml:space="preserve">the </w:t>
      </w:r>
      <w:r w:rsidR="00474303">
        <w:t xml:space="preserve">specific facts and totality of the circumstances </w:t>
      </w:r>
      <w:r w:rsidR="009F102A">
        <w:t>in each</w:t>
      </w:r>
      <w:r w:rsidR="00474303">
        <w:t xml:space="preserve"> case</w:t>
      </w:r>
      <w:r w:rsidR="00604859">
        <w:t xml:space="preserve"> (</w:t>
      </w:r>
      <w:bookmarkStart w:id="84" w:name="dabmci_8f7b5b803d5e4e2e853d379481de899d"/>
      <w:r w:rsidR="00604859" w:rsidRPr="007B45D8">
        <w:rPr>
          <w:i/>
          <w:iCs/>
        </w:rPr>
        <w:t>Wolston</w:t>
      </w:r>
      <w:r w:rsidR="00604859">
        <w:rPr>
          <w:i/>
          <w:iCs/>
        </w:rPr>
        <w:t xml:space="preserve">, </w:t>
      </w:r>
      <w:r w:rsidR="00604859" w:rsidRPr="00604859">
        <w:rPr>
          <w:i/>
          <w:iCs/>
        </w:rPr>
        <w:t>supra</w:t>
      </w:r>
      <w:r w:rsidR="00604859">
        <w:t xml:space="preserve">, </w:t>
      </w:r>
      <w:r w:rsidR="00604859" w:rsidRPr="00604859">
        <w:t>443</w:t>
      </w:r>
      <w:r w:rsidR="00604859">
        <w:t xml:space="preserve"> U.S. at p. 167</w:t>
      </w:r>
      <w:bookmarkEnd w:id="84"/>
      <w:r w:rsidR="00604859">
        <w:t>)</w:t>
      </w:r>
      <w:r w:rsidR="00C07C90">
        <w:t>, w</w:t>
      </w:r>
      <w:r w:rsidR="00E105DD">
        <w:t>e need not</w:t>
      </w:r>
      <w:r w:rsidR="00307F29">
        <w:t xml:space="preserve"> </w:t>
      </w:r>
      <w:r w:rsidR="00E105DD">
        <w:t>fully define the bounds of the doctrine</w:t>
      </w:r>
      <w:r w:rsidR="009958B9">
        <w:t>,</w:t>
      </w:r>
      <w:r w:rsidR="003C13A1">
        <w:t xml:space="preserve"> and we do not attempt to do so</w:t>
      </w:r>
      <w:r w:rsidR="00BD629B">
        <w:t xml:space="preserve">.  Rather, we </w:t>
      </w:r>
      <w:r w:rsidR="006A5D29">
        <w:t xml:space="preserve">simply </w:t>
      </w:r>
      <w:r w:rsidR="00BD629B">
        <w:t>conclude</w:t>
      </w:r>
      <w:r w:rsidR="00002CB6">
        <w:t xml:space="preserve"> </w:t>
      </w:r>
      <w:r w:rsidR="00BD629B">
        <w:t>the facts presented to the trial court</w:t>
      </w:r>
      <w:r w:rsidR="00676B4C">
        <w:t xml:space="preserve"> in relation to the anti-SLAPP motion</w:t>
      </w:r>
      <w:r w:rsidR="00C07C90">
        <w:t xml:space="preserve"> in this case</w:t>
      </w:r>
      <w:r w:rsidR="00A238A6">
        <w:t xml:space="preserve"> do not demonstrate plaintiff is a limited purpose public figure.</w:t>
      </w:r>
      <w:r w:rsidR="005355B9">
        <w:t xml:space="preserve">  </w:t>
      </w:r>
      <w:r w:rsidR="00313112">
        <w:t xml:space="preserve">Accordingly, plaintiff did not need to show </w:t>
      </w:r>
      <w:r w:rsidR="00CC6BEF">
        <w:t>actual</w:t>
      </w:r>
      <w:r w:rsidR="00313112">
        <w:t xml:space="preserve"> malice.</w:t>
      </w:r>
    </w:p>
    <w:p w14:paraId="4CE7DE65" w14:textId="51D1CAA9" w:rsidR="009A16B6" w:rsidRDefault="007C380C" w:rsidP="00367973">
      <w:pPr>
        <w:pStyle w:val="Heading3"/>
      </w:pPr>
      <w:r>
        <w:t>False Statement of Fact</w:t>
      </w:r>
    </w:p>
    <w:p w14:paraId="1FE73E78" w14:textId="04C76ACC" w:rsidR="005C310A" w:rsidRDefault="00486435" w:rsidP="005C310A">
      <w:pPr>
        <w:pStyle w:val="Body"/>
      </w:pPr>
      <w:r>
        <w:t>“‘</w:t>
      </w:r>
      <w:r w:rsidR="004602FB" w:rsidRPr="004602FB">
        <w:t xml:space="preserve">The </w:t>
      </w:r>
      <w:r w:rsidR="004602FB" w:rsidRPr="004602FB">
        <w:rPr>
          <w:i/>
          <w:iCs/>
        </w:rPr>
        <w:t>sine qua non</w:t>
      </w:r>
      <w:r w:rsidR="004602FB" w:rsidRPr="004602FB">
        <w:t xml:space="preserve"> of recovery for defamation</w:t>
      </w:r>
      <w:r w:rsidR="004602FB">
        <w:t> . . . </w:t>
      </w:r>
      <w:r w:rsidR="004602FB" w:rsidRPr="004602FB">
        <w:t>is the existence of falsehood.</w:t>
      </w:r>
      <w:r>
        <w:t>’”</w:t>
      </w:r>
      <w:r w:rsidR="004602FB">
        <w:t xml:space="preserve">  (</w:t>
      </w:r>
      <w:bookmarkStart w:id="85" w:name="dabmci_7ee19ffaf954432b863a966fe4392fdd"/>
      <w:r w:rsidR="005A0A18" w:rsidRPr="00C929FB">
        <w:rPr>
          <w:i/>
          <w:iCs/>
        </w:rPr>
        <w:t>Sonoma</w:t>
      </w:r>
      <w:r w:rsidR="00F74A46">
        <w:rPr>
          <w:i/>
          <w:iCs/>
        </w:rPr>
        <w:t>, supra,</w:t>
      </w:r>
      <w:r w:rsidR="005A0A18">
        <w:t xml:space="preserve"> </w:t>
      </w:r>
      <w:r w:rsidR="00C929FB" w:rsidRPr="00C929FB">
        <w:t xml:space="preserve">34 Cal.App.5th </w:t>
      </w:r>
      <w:r w:rsidR="00A9103C">
        <w:t>at p.</w:t>
      </w:r>
      <w:r w:rsidR="00C929FB">
        <w:t xml:space="preserve"> 42</w:t>
      </w:r>
      <w:bookmarkEnd w:id="85"/>
      <w:r w:rsidR="00C929FB">
        <w:t xml:space="preserve">.)  </w:t>
      </w:r>
      <w:r>
        <w:t>“‘</w:t>
      </w:r>
      <w:r w:rsidR="005C310A">
        <w:t>Though mere opinions are generally not actionable,</w:t>
      </w:r>
      <w:r>
        <w:t>’</w:t>
      </w:r>
      <w:r w:rsidR="005C310A">
        <w:t xml:space="preserve"> a </w:t>
      </w:r>
      <w:r>
        <w:t>‘</w:t>
      </w:r>
      <w:r w:rsidR="005C310A">
        <w:t>statement that implies a false assertion of fact is actionable.</w:t>
      </w:r>
      <w:r>
        <w:t>’</w:t>
      </w:r>
      <w:r w:rsidR="005C310A">
        <w:t xml:space="preserve">  [Citations.] </w:t>
      </w:r>
      <w:r w:rsidR="00913590">
        <w:t xml:space="preserve"> </w:t>
      </w:r>
      <w:r>
        <w:t>‘“</w:t>
      </w:r>
      <w:r w:rsidR="005C310A">
        <w:t xml:space="preserve">[I]t is not the literal truth or falsity of each word or detail used in a </w:t>
      </w:r>
      <w:r w:rsidR="005C310A">
        <w:lastRenderedPageBreak/>
        <w:t xml:space="preserve">statement which determines </w:t>
      </w:r>
      <w:proofErr w:type="gramStart"/>
      <w:r w:rsidR="005C310A">
        <w:t>whether or not</w:t>
      </w:r>
      <w:proofErr w:type="gramEnd"/>
      <w:r w:rsidR="005C310A">
        <w:t xml:space="preserve"> it is defamatory; rather, the determinative question is whether the </w:t>
      </w:r>
      <w:r>
        <w:t>‘</w:t>
      </w:r>
      <w:r w:rsidR="005C310A">
        <w:t>gist or sting</w:t>
      </w:r>
      <w:r>
        <w:t>’</w:t>
      </w:r>
      <w:r w:rsidR="005C310A">
        <w:t xml:space="preserve"> of the statement is true or false, benign or defamatory, in substance.</w:t>
      </w:r>
      <w:r>
        <w:t>”</w:t>
      </w:r>
      <w:r w:rsidR="00B45CAF">
        <w:t>’”</w:t>
      </w:r>
      <w:r w:rsidR="00FF19A6">
        <w:t xml:space="preserve">  (</w:t>
      </w:r>
      <w:bookmarkStart w:id="86" w:name="dabmci_24c68f38cce24fd7814fe993802f733b"/>
      <w:r w:rsidR="00FF19A6" w:rsidRPr="0082263D">
        <w:rPr>
          <w:i/>
          <w:iCs/>
        </w:rPr>
        <w:t>Balla</w:t>
      </w:r>
      <w:r w:rsidR="00FF19A6">
        <w:rPr>
          <w:i/>
          <w:iCs/>
        </w:rPr>
        <w:t xml:space="preserve">, </w:t>
      </w:r>
      <w:r w:rsidR="00FF19A6" w:rsidRPr="004F4117">
        <w:rPr>
          <w:i/>
          <w:iCs/>
        </w:rPr>
        <w:t>supra</w:t>
      </w:r>
      <w:r w:rsidR="00FF19A6">
        <w:t xml:space="preserve">, </w:t>
      </w:r>
      <w:r w:rsidR="00FF19A6" w:rsidRPr="004F4117">
        <w:t>59</w:t>
      </w:r>
      <w:r w:rsidR="00FF19A6" w:rsidRPr="0082263D">
        <w:t xml:space="preserve"> Cal.App.5th</w:t>
      </w:r>
      <w:r w:rsidR="00FF19A6">
        <w:t xml:space="preserve"> at pp. 677-678</w:t>
      </w:r>
      <w:bookmarkEnd w:id="86"/>
      <w:r w:rsidR="00DF76B7">
        <w:t>.)</w:t>
      </w:r>
    </w:p>
    <w:p w14:paraId="7140EB24" w14:textId="7158D764" w:rsidR="00BA256D" w:rsidRPr="005C310A" w:rsidRDefault="00486435" w:rsidP="001439CA">
      <w:pPr>
        <w:pStyle w:val="Body"/>
      </w:pPr>
      <w:r>
        <w:t>“‘</w:t>
      </w:r>
      <w:r w:rsidR="006C117B" w:rsidRPr="006C117B">
        <w:t>To decide whether a statement is fact or opinion, a court must put itself in the place of an average reader and determine the natural and probable effect of the statement, considering both the language and the context.</w:t>
      </w:r>
      <w:r>
        <w:t>’”</w:t>
      </w:r>
      <w:r w:rsidR="006C117B">
        <w:t xml:space="preserve">  (</w:t>
      </w:r>
      <w:bookmarkStart w:id="87" w:name="dabmci_b8d6b8dd4b954376b6eed494bf943284"/>
      <w:r w:rsidR="006C117B" w:rsidRPr="00ED571F">
        <w:rPr>
          <w:i/>
          <w:iCs/>
        </w:rPr>
        <w:t>Summit Bank v. Rogers</w:t>
      </w:r>
      <w:r w:rsidR="006C117B">
        <w:t xml:space="preserve"> (2012) 206 Cal.App.4th 669, 69</w:t>
      </w:r>
      <w:r w:rsidR="00A9103C">
        <w:t>8-699</w:t>
      </w:r>
      <w:r w:rsidR="00C42676">
        <w:t xml:space="preserve"> (</w:t>
      </w:r>
      <w:r w:rsidR="00C42676" w:rsidRPr="00C42676">
        <w:rPr>
          <w:i/>
          <w:iCs/>
        </w:rPr>
        <w:t>Summit Bank</w:t>
      </w:r>
      <w:r w:rsidR="00C42676">
        <w:t>)</w:t>
      </w:r>
      <w:bookmarkEnd w:id="87"/>
      <w:r w:rsidR="006C117B">
        <w:t xml:space="preserve">.)  </w:t>
      </w:r>
      <w:r w:rsidR="00A634AF">
        <w:t xml:space="preserve">The </w:t>
      </w:r>
      <w:r w:rsidR="000E7817">
        <w:t xml:space="preserve">critical question is </w:t>
      </w:r>
      <w:r>
        <w:t>“‘</w:t>
      </w:r>
      <w:r w:rsidR="000E7817" w:rsidRPr="000E7817">
        <w:t>whether a reasonable fact finder could conclude the published statement declares or implies a provably false assertion of fact.</w:t>
      </w:r>
      <w:r>
        <w:t>’”</w:t>
      </w:r>
      <w:r w:rsidR="000E7817">
        <w:t xml:space="preserve">  </w:t>
      </w:r>
      <w:r w:rsidR="00C42676">
        <w:t>(</w:t>
      </w:r>
      <w:bookmarkStart w:id="88" w:name="dabmci_5bc0a4c80d72499f930e6deed34a9faa"/>
      <w:r w:rsidR="00702D02" w:rsidRPr="00C4384A">
        <w:rPr>
          <w:i/>
          <w:iCs/>
        </w:rPr>
        <w:t>Franklin v. Dynamic Details, Inc.</w:t>
      </w:r>
      <w:r w:rsidR="00702D02">
        <w:t xml:space="preserve"> (2004) </w:t>
      </w:r>
      <w:r w:rsidR="00C4384A">
        <w:t>116 Cal.App.4th 375, 385</w:t>
      </w:r>
      <w:bookmarkEnd w:id="88"/>
      <w:r w:rsidR="003930FC">
        <w:t xml:space="preserve">, citing </w:t>
      </w:r>
      <w:bookmarkStart w:id="89" w:name="dabmci_6ca94014c06948ada7ad546f50beece1"/>
      <w:r w:rsidR="00C42676" w:rsidRPr="003930FC">
        <w:rPr>
          <w:i/>
          <w:iCs/>
        </w:rPr>
        <w:t>Milkovich v. Lorain Journal Co.</w:t>
      </w:r>
      <w:r w:rsidR="00C42676">
        <w:t xml:space="preserve"> (1990) </w:t>
      </w:r>
      <w:r w:rsidR="0069318C">
        <w:t>497 U.S. 1</w:t>
      </w:r>
      <w:r w:rsidR="00F00437">
        <w:t xml:space="preserve">, </w:t>
      </w:r>
      <w:r w:rsidR="00B26D75">
        <w:t>19</w:t>
      </w:r>
      <w:bookmarkEnd w:id="89"/>
      <w:r w:rsidR="00F00437">
        <w:t xml:space="preserve">.)  </w:t>
      </w:r>
      <w:r w:rsidR="00993AD9">
        <w:t xml:space="preserve">Thus, couching </w:t>
      </w:r>
      <w:r w:rsidR="00993AD9" w:rsidRPr="00C21AD3">
        <w:t>statements in terms of opinion</w:t>
      </w:r>
      <w:r w:rsidR="00993AD9">
        <w:t xml:space="preserve"> does not necessarily make the statements nonactionable.  </w:t>
      </w:r>
      <w:r w:rsidR="00B26D75">
        <w:t>(</w:t>
      </w:r>
      <w:bookmarkStart w:id="90" w:name="dabmci_21c13ab216d54afe8bc71775a77c0999"/>
      <w:r w:rsidR="00422859" w:rsidRPr="00422859">
        <w:rPr>
          <w:i/>
          <w:iCs/>
        </w:rPr>
        <w:t>Franklin,</w:t>
      </w:r>
      <w:r w:rsidR="00422859">
        <w:t xml:space="preserve"> at p. </w:t>
      </w:r>
      <w:r w:rsidR="00E06D13">
        <w:t>385</w:t>
      </w:r>
      <w:bookmarkEnd w:id="90"/>
      <w:r w:rsidR="001B07D1">
        <w:t xml:space="preserve">.)  </w:t>
      </w:r>
      <w:proofErr w:type="gramStart"/>
      <w:r w:rsidR="00993AD9">
        <w:t>And,</w:t>
      </w:r>
      <w:proofErr w:type="gramEnd"/>
      <w:r w:rsidR="00993AD9">
        <w:t xml:space="preserve"> w</w:t>
      </w:r>
      <w:r w:rsidR="00B074C1">
        <w:t>hat may present as a statement of opinion in one context</w:t>
      </w:r>
      <w:r w:rsidR="00913590">
        <w:t>,</w:t>
      </w:r>
      <w:r w:rsidR="00B074C1">
        <w:t xml:space="preserve"> may </w:t>
      </w:r>
      <w:r w:rsidR="00FF19A6">
        <w:t>constitute a statement of fact in another.  (</w:t>
      </w:r>
      <w:bookmarkStart w:id="91" w:name="dabmci_6aa54b39a73e4159905aca0d6bd9a710"/>
      <w:r w:rsidR="00C42676" w:rsidRPr="00ED571F">
        <w:rPr>
          <w:i/>
          <w:iCs/>
        </w:rPr>
        <w:t>Summit Bank</w:t>
      </w:r>
      <w:r w:rsidR="00C42676">
        <w:rPr>
          <w:i/>
          <w:iCs/>
        </w:rPr>
        <w:t>,</w:t>
      </w:r>
      <w:r w:rsidR="00C42676">
        <w:t xml:space="preserve"> </w:t>
      </w:r>
      <w:r w:rsidR="00FF19A6">
        <w:t>at p. 698</w:t>
      </w:r>
      <w:bookmarkEnd w:id="91"/>
      <w:r w:rsidR="00FF19A6">
        <w:t>.)</w:t>
      </w:r>
      <w:r w:rsidR="003F2AA6">
        <w:t xml:space="preserve">  </w:t>
      </w:r>
      <w:r w:rsidR="00B26D75">
        <w:t>In each case, w</w:t>
      </w:r>
      <w:r w:rsidR="005C310A">
        <w:t xml:space="preserve">e </w:t>
      </w:r>
      <w:r w:rsidR="00F00437">
        <w:t>look to</w:t>
      </w:r>
      <w:r w:rsidR="00295C66">
        <w:t xml:space="preserve"> the </w:t>
      </w:r>
      <w:r w:rsidR="005C310A">
        <w:t>totality of the circumstances</w:t>
      </w:r>
      <w:r w:rsidR="00575D16">
        <w:t xml:space="preserve"> to determine whether the requisite factual imputation </w:t>
      </w:r>
      <w:r w:rsidR="00761D70">
        <w:t>is present.</w:t>
      </w:r>
      <w:r w:rsidR="005C310A">
        <w:t xml:space="preserve"> </w:t>
      </w:r>
      <w:r w:rsidR="00761D70">
        <w:t xml:space="preserve"> </w:t>
      </w:r>
      <w:r w:rsidR="000C5208">
        <w:t>(</w:t>
      </w:r>
      <w:bookmarkStart w:id="92" w:name="dabmci_1534a6befaec4bb39c714afe9f1c7197"/>
      <w:r w:rsidR="000C5208" w:rsidRPr="0082263D">
        <w:rPr>
          <w:i/>
          <w:iCs/>
        </w:rPr>
        <w:t>Balla</w:t>
      </w:r>
      <w:r w:rsidR="000C5208">
        <w:rPr>
          <w:i/>
          <w:iCs/>
        </w:rPr>
        <w:t xml:space="preserve">, </w:t>
      </w:r>
      <w:r w:rsidR="000C5208" w:rsidRPr="004F4117">
        <w:rPr>
          <w:i/>
          <w:iCs/>
        </w:rPr>
        <w:t>supra</w:t>
      </w:r>
      <w:r w:rsidR="000C5208">
        <w:t xml:space="preserve">, </w:t>
      </w:r>
      <w:r w:rsidR="000C5208" w:rsidRPr="004F4117">
        <w:t>59</w:t>
      </w:r>
      <w:r w:rsidR="000C5208" w:rsidRPr="0082263D">
        <w:t xml:space="preserve"> Cal.App.5th</w:t>
      </w:r>
      <w:r w:rsidR="000C5208">
        <w:t xml:space="preserve"> at p. 678</w:t>
      </w:r>
      <w:bookmarkEnd w:id="92"/>
      <w:r w:rsidR="007D2A3D">
        <w:t xml:space="preserve">; </w:t>
      </w:r>
      <w:bookmarkStart w:id="93" w:name="dabmci_cf5923f997f7416d990a65b42e28d8d3"/>
      <w:r w:rsidR="00422859" w:rsidRPr="00422859">
        <w:rPr>
          <w:i/>
          <w:iCs/>
        </w:rPr>
        <w:t xml:space="preserve">Franklin, </w:t>
      </w:r>
      <w:r w:rsidR="00422859">
        <w:t>at pp. 385-386</w:t>
      </w:r>
      <w:bookmarkEnd w:id="93"/>
      <w:r w:rsidR="000C5208">
        <w:t xml:space="preserve">.)  </w:t>
      </w:r>
      <w:r w:rsidR="00761D70">
        <w:t xml:space="preserve">The </w:t>
      </w:r>
      <w:r w:rsidR="000F56C4">
        <w:t>question is ordinarily one of law.</w:t>
      </w:r>
      <w:r w:rsidR="000C5208">
        <w:t xml:space="preserve">  (</w:t>
      </w:r>
      <w:bookmarkStart w:id="94" w:name="dabmci_d2e5523c9a2440c18d83d01dfa7dac90"/>
      <w:r w:rsidR="00AA26D3" w:rsidRPr="0082263D">
        <w:rPr>
          <w:i/>
          <w:iCs/>
        </w:rPr>
        <w:t>Balla</w:t>
      </w:r>
      <w:r w:rsidR="00AA26D3">
        <w:rPr>
          <w:i/>
          <w:iCs/>
        </w:rPr>
        <w:t xml:space="preserve">, </w:t>
      </w:r>
      <w:r w:rsidR="00AA26D3">
        <w:t>at p. 678</w:t>
      </w:r>
      <w:bookmarkEnd w:id="94"/>
      <w:r w:rsidR="00AA26D3">
        <w:t>.</w:t>
      </w:r>
      <w:r w:rsidR="000C5208">
        <w:t>)</w:t>
      </w:r>
    </w:p>
    <w:p w14:paraId="5595C571" w14:textId="02184656" w:rsidR="00BA256D" w:rsidRPr="00200DBE" w:rsidRDefault="00477150" w:rsidP="007C380C">
      <w:pPr>
        <w:pStyle w:val="Body"/>
      </w:pPr>
      <w:r>
        <w:t xml:space="preserve">The statements </w:t>
      </w:r>
      <w:r w:rsidR="00021875">
        <w:t xml:space="preserve">and implications </w:t>
      </w:r>
      <w:r w:rsidR="008827CB">
        <w:t>targeted by plaintiff</w:t>
      </w:r>
      <w:r w:rsidR="00486435">
        <w:t>’</w:t>
      </w:r>
      <w:r w:rsidR="008827CB">
        <w:t xml:space="preserve">s </w:t>
      </w:r>
      <w:r w:rsidR="009877D3">
        <w:t>complaint</w:t>
      </w:r>
      <w:r w:rsidR="00401DDF">
        <w:t>, as clarified by evidence submitted by the parties in conjunction with the anti-SLAPP motion,</w:t>
      </w:r>
      <w:r w:rsidR="008827CB">
        <w:t xml:space="preserve"> </w:t>
      </w:r>
      <w:r w:rsidR="00984F6C">
        <w:t xml:space="preserve">were </w:t>
      </w:r>
      <w:r w:rsidR="00401DDF">
        <w:t xml:space="preserve">the following:  </w:t>
      </w:r>
      <w:r w:rsidR="00984F6C">
        <w:t xml:space="preserve">that </w:t>
      </w:r>
      <w:r w:rsidR="00E638A2">
        <w:t xml:space="preserve">a person who marched in the lunar new year parade wearing a Vietnamese </w:t>
      </w:r>
      <w:r w:rsidR="00F30DE6">
        <w:t>C</w:t>
      </w:r>
      <w:r w:rsidR="00E638A2">
        <w:t xml:space="preserve">ommunist military uniform </w:t>
      </w:r>
      <w:r w:rsidR="00DA7768">
        <w:t xml:space="preserve">was </w:t>
      </w:r>
      <w:r w:rsidR="008D0532">
        <w:t>plaintiff</w:t>
      </w:r>
      <w:r w:rsidR="00486435">
        <w:t>’</w:t>
      </w:r>
      <w:r w:rsidR="008D0532">
        <w:t>s</w:t>
      </w:r>
      <w:r w:rsidR="00DA7768">
        <w:t xml:space="preserve"> father</w:t>
      </w:r>
      <w:r w:rsidR="00420A1D">
        <w:t>;</w:t>
      </w:r>
      <w:r w:rsidR="00E638A2">
        <w:t xml:space="preserve"> that </w:t>
      </w:r>
      <w:r w:rsidR="00EA32F3">
        <w:t>she</w:t>
      </w:r>
      <w:r w:rsidR="00A5592D">
        <w:t xml:space="preserve"> </w:t>
      </w:r>
      <w:r w:rsidR="00EA32F3">
        <w:t xml:space="preserve">was the daughter of </w:t>
      </w:r>
      <w:r w:rsidR="00486435">
        <w:t>“</w:t>
      </w:r>
      <w:r w:rsidR="007710DE">
        <w:t xml:space="preserve">a </w:t>
      </w:r>
      <w:r w:rsidR="00B66BB4">
        <w:t xml:space="preserve">senior member </w:t>
      </w:r>
      <w:r w:rsidR="007710DE">
        <w:t>of</w:t>
      </w:r>
      <w:r w:rsidR="00B66BB4">
        <w:t xml:space="preserve"> the Communist Party </w:t>
      </w:r>
      <w:r w:rsidR="007710DE">
        <w:t>of Vietnam</w:t>
      </w:r>
      <w:r w:rsidR="00486435">
        <w:t>”</w:t>
      </w:r>
      <w:r w:rsidR="008E3273">
        <w:t>;</w:t>
      </w:r>
      <w:r w:rsidR="00B33E4A">
        <w:t xml:space="preserve"> that </w:t>
      </w:r>
      <w:r w:rsidR="009E319F">
        <w:t xml:space="preserve">all </w:t>
      </w:r>
      <w:r w:rsidR="007710DE">
        <w:t xml:space="preserve">their </w:t>
      </w:r>
      <w:r w:rsidR="009E319F">
        <w:t xml:space="preserve">family members </w:t>
      </w:r>
      <w:r w:rsidR="00C07A2B">
        <w:t xml:space="preserve">in the parade </w:t>
      </w:r>
      <w:r w:rsidR="009E319F">
        <w:t>were</w:t>
      </w:r>
      <w:r w:rsidR="00280E69">
        <w:t xml:space="preserve"> </w:t>
      </w:r>
      <w:r w:rsidR="00426BB7">
        <w:t>C</w:t>
      </w:r>
      <w:r w:rsidR="00280E69">
        <w:t>ommunist</w:t>
      </w:r>
      <w:r w:rsidR="00A5592D">
        <w:t>s</w:t>
      </w:r>
      <w:r w:rsidR="00420A1D">
        <w:t>;</w:t>
      </w:r>
      <w:r w:rsidR="00671454">
        <w:t xml:space="preserve"> </w:t>
      </w:r>
      <w:r w:rsidR="00E9723F">
        <w:t xml:space="preserve">and </w:t>
      </w:r>
      <w:r w:rsidR="00E80378">
        <w:t xml:space="preserve">that they wore </w:t>
      </w:r>
      <w:r w:rsidR="00071BD2">
        <w:t>C</w:t>
      </w:r>
      <w:r w:rsidR="00E80378">
        <w:t xml:space="preserve">ommunist colors and </w:t>
      </w:r>
      <w:r w:rsidR="002324A1">
        <w:t>danced</w:t>
      </w:r>
      <w:r w:rsidR="009A5216">
        <w:t xml:space="preserve"> to </w:t>
      </w:r>
      <w:r w:rsidR="00426BB7">
        <w:t>C</w:t>
      </w:r>
      <w:r w:rsidR="009A5216">
        <w:t>ommunist music during the parade.</w:t>
      </w:r>
      <w:r w:rsidR="00342A8A">
        <w:t xml:space="preserve"> </w:t>
      </w:r>
      <w:r w:rsidR="006E6F37">
        <w:t xml:space="preserve"> </w:t>
      </w:r>
      <w:r w:rsidR="00FD6ADD">
        <w:t xml:space="preserve">Ngo, a self-described </w:t>
      </w:r>
      <w:r w:rsidR="00486435">
        <w:t>“</w:t>
      </w:r>
      <w:r w:rsidR="00FD6ADD">
        <w:t>activist against communism</w:t>
      </w:r>
      <w:r w:rsidR="00486435">
        <w:t>”</w:t>
      </w:r>
      <w:r w:rsidR="00B1385C">
        <w:t xml:space="preserve"> known in the </w:t>
      </w:r>
      <w:r w:rsidR="00ED571F">
        <w:t xml:space="preserve">local </w:t>
      </w:r>
      <w:proofErr w:type="gramStart"/>
      <w:r w:rsidR="00ED571F">
        <w:t>Vietnamese</w:t>
      </w:r>
      <w:r w:rsidR="002D602B">
        <w:t>-</w:t>
      </w:r>
      <w:r w:rsidR="00ED571F">
        <w:t>American</w:t>
      </w:r>
      <w:proofErr w:type="gramEnd"/>
      <w:r w:rsidR="00ED571F">
        <w:t xml:space="preserve"> community for his </w:t>
      </w:r>
      <w:r w:rsidR="00486435">
        <w:t>“</w:t>
      </w:r>
      <w:r w:rsidR="00ED571F">
        <w:t>constant appearances on . . . media channels since 1984,</w:t>
      </w:r>
      <w:r w:rsidR="00486435">
        <w:t>”</w:t>
      </w:r>
      <w:r w:rsidR="00FD6ADD">
        <w:t xml:space="preserve"> </w:t>
      </w:r>
      <w:r w:rsidR="003151FE">
        <w:t>spoke these words to</w:t>
      </w:r>
      <w:r w:rsidR="006F288D">
        <w:t xml:space="preserve"> inform voters </w:t>
      </w:r>
      <w:r w:rsidR="005C444C">
        <w:t xml:space="preserve">in the Vietnamese American community </w:t>
      </w:r>
      <w:r w:rsidR="00492904">
        <w:t xml:space="preserve">before they considered </w:t>
      </w:r>
      <w:r w:rsidR="00CF3B93">
        <w:t>voting for Ted Bui</w:t>
      </w:r>
      <w:r w:rsidR="00ED7231">
        <w:t>.</w:t>
      </w:r>
      <w:r w:rsidR="006258E4">
        <w:t xml:space="preserve">  </w:t>
      </w:r>
      <w:r w:rsidR="003151FE">
        <w:t>According to Ngo,</w:t>
      </w:r>
      <w:r w:rsidR="006258E4">
        <w:t xml:space="preserve"> </w:t>
      </w:r>
      <w:r w:rsidR="0034462A">
        <w:t>they</w:t>
      </w:r>
      <w:r w:rsidR="00687DB9">
        <w:t xml:space="preserve"> needed to </w:t>
      </w:r>
      <w:r w:rsidR="00696477">
        <w:t>know</w:t>
      </w:r>
      <w:r w:rsidR="004D5DFE">
        <w:t xml:space="preserve"> whether </w:t>
      </w:r>
      <w:r w:rsidR="00F45027">
        <w:t xml:space="preserve">Ted </w:t>
      </w:r>
      <w:r w:rsidR="006258E4">
        <w:t>Bui</w:t>
      </w:r>
      <w:r w:rsidR="004D5DFE">
        <w:t xml:space="preserve"> would </w:t>
      </w:r>
      <w:r w:rsidR="00486435">
        <w:t>“</w:t>
      </w:r>
      <w:r w:rsidR="004D5DFE">
        <w:t xml:space="preserve">serve the </w:t>
      </w:r>
      <w:r w:rsidR="004D5DFE">
        <w:lastRenderedPageBreak/>
        <w:t>interest</w:t>
      </w:r>
      <w:r w:rsidR="00117838">
        <w:t>[s]</w:t>
      </w:r>
      <w:r w:rsidR="004D5DFE">
        <w:t xml:space="preserve"> of the </w:t>
      </w:r>
      <w:r w:rsidR="00117838">
        <w:t>Vietnamese</w:t>
      </w:r>
      <w:r w:rsidR="009839CC">
        <w:t xml:space="preserve"> </w:t>
      </w:r>
      <w:r w:rsidR="00117838">
        <w:t xml:space="preserve">American refugee community when it </w:t>
      </w:r>
      <w:r w:rsidR="00913590">
        <w:t>[</w:t>
      </w:r>
      <w:r w:rsidR="00117838">
        <w:t>c</w:t>
      </w:r>
      <w:r w:rsidR="00913590">
        <w:t>a</w:t>
      </w:r>
      <w:r w:rsidR="00117838">
        <w:t>me</w:t>
      </w:r>
      <w:r w:rsidR="00913590">
        <w:t>]</w:t>
      </w:r>
      <w:r w:rsidR="00117838">
        <w:t xml:space="preserve"> to [their] </w:t>
      </w:r>
      <w:proofErr w:type="gramStart"/>
      <w:r w:rsidR="00117838">
        <w:t>fight[</w:t>
      </w:r>
      <w:proofErr w:type="gramEnd"/>
      <w:r w:rsidR="00117838">
        <w:t>] against</w:t>
      </w:r>
      <w:r w:rsidR="00ED7231">
        <w:t> </w:t>
      </w:r>
      <w:r w:rsidR="005E76F5">
        <w:t>human rights violations in Vietnam and against</w:t>
      </w:r>
      <w:r w:rsidR="00ED7231">
        <w:t xml:space="preserve"> the Vietnam </w:t>
      </w:r>
      <w:r w:rsidR="00CA4568">
        <w:t>[C]</w:t>
      </w:r>
      <w:r w:rsidR="00ED7231">
        <w:t>ommunist organization affecting [their] political views</w:t>
      </w:r>
      <w:r w:rsidR="00DD7E72">
        <w:t>.</w:t>
      </w:r>
      <w:r w:rsidR="00486435">
        <w:t>”</w:t>
      </w:r>
      <w:r w:rsidR="00200DBE">
        <w:t xml:space="preserve"> </w:t>
      </w:r>
    </w:p>
    <w:p w14:paraId="3FEFC07E" w14:textId="35F2E51B" w:rsidR="00EC228C" w:rsidRDefault="00C4667C" w:rsidP="00730849">
      <w:pPr>
        <w:pStyle w:val="Body"/>
      </w:pPr>
      <w:r>
        <w:t>The overall gist of th</w:t>
      </w:r>
      <w:r w:rsidR="006942DF">
        <w:t xml:space="preserve">ese </w:t>
      </w:r>
      <w:r w:rsidR="00EA2F1B">
        <w:t>statements</w:t>
      </w:r>
      <w:r w:rsidR="008F5EA4">
        <w:t xml:space="preserve">, taken in </w:t>
      </w:r>
      <w:r w:rsidR="003A3219">
        <w:t xml:space="preserve">the </w:t>
      </w:r>
      <w:r w:rsidR="008F5EA4">
        <w:t>context</w:t>
      </w:r>
      <w:r w:rsidR="003A3219">
        <w:t xml:space="preserve"> in which they were </w:t>
      </w:r>
      <w:r w:rsidR="006665DE">
        <w:t>made</w:t>
      </w:r>
      <w:r w:rsidR="008F5EA4">
        <w:t>,</w:t>
      </w:r>
      <w:r w:rsidR="006942DF">
        <w:t xml:space="preserve"> is </w:t>
      </w:r>
      <w:r w:rsidR="00FF5C6C">
        <w:t xml:space="preserve">that </w:t>
      </w:r>
      <w:r w:rsidR="00C235DD">
        <w:t>plaintiff, her father</w:t>
      </w:r>
      <w:r w:rsidR="006F696B">
        <w:t>,</w:t>
      </w:r>
      <w:r w:rsidR="00C235DD">
        <w:t xml:space="preserve"> and her entire family are </w:t>
      </w:r>
      <w:r w:rsidR="00D62664">
        <w:t xml:space="preserve">members </w:t>
      </w:r>
      <w:r w:rsidR="000A2DE3">
        <w:t xml:space="preserve">or supporters </w:t>
      </w:r>
      <w:r w:rsidR="00D62664">
        <w:t xml:space="preserve">of </w:t>
      </w:r>
      <w:r w:rsidR="00AE3820">
        <w:t xml:space="preserve">the Vietnamese </w:t>
      </w:r>
      <w:r w:rsidR="00B74838">
        <w:t>C</w:t>
      </w:r>
      <w:r w:rsidR="00AE3820">
        <w:t>ommuni</w:t>
      </w:r>
      <w:r w:rsidR="000A2DE3">
        <w:t>st</w:t>
      </w:r>
      <w:r w:rsidR="00AE3820">
        <w:t xml:space="preserve"> </w:t>
      </w:r>
      <w:r w:rsidR="00694A5A">
        <w:t>P</w:t>
      </w:r>
      <w:r w:rsidR="00AE3820">
        <w:t>arty</w:t>
      </w:r>
      <w:r w:rsidR="00C235DD">
        <w:t xml:space="preserve">.  </w:t>
      </w:r>
      <w:r w:rsidR="00AE3820">
        <w:t xml:space="preserve">This </w:t>
      </w:r>
      <w:r w:rsidR="00621326">
        <w:t>is a factual assertion capable of being proven true or false</w:t>
      </w:r>
      <w:r w:rsidR="00E14F01">
        <w:t xml:space="preserve">.  </w:t>
      </w:r>
      <w:r w:rsidR="004C6508">
        <w:t xml:space="preserve">(See </w:t>
      </w:r>
      <w:bookmarkStart w:id="95" w:name="dabmci_8a307513c8a04181b52cc77c37e96623"/>
      <w:r w:rsidR="00D04034" w:rsidRPr="009E3F54">
        <w:rPr>
          <w:i/>
          <w:iCs/>
        </w:rPr>
        <w:t>Gertz, supra</w:t>
      </w:r>
      <w:r w:rsidR="00D04034" w:rsidRPr="009E3F54">
        <w:t>, 418 U.S. at p</w:t>
      </w:r>
      <w:r w:rsidR="00D04034">
        <w:t>p</w:t>
      </w:r>
      <w:r w:rsidR="00D04034" w:rsidRPr="009E3F54">
        <w:t xml:space="preserve">. </w:t>
      </w:r>
      <w:r w:rsidR="00CE58B0">
        <w:t>326</w:t>
      </w:r>
      <w:r w:rsidR="00E96ABC">
        <w:t>, 339-342</w:t>
      </w:r>
      <w:bookmarkEnd w:id="95"/>
      <w:r w:rsidR="00F8206C">
        <w:t xml:space="preserve"> </w:t>
      </w:r>
      <w:r w:rsidR="00944B3E">
        <w:t>[</w:t>
      </w:r>
      <w:r w:rsidR="00B5723A">
        <w:t xml:space="preserve">implicitly finding </w:t>
      </w:r>
      <w:r w:rsidR="0043292A">
        <w:t>statement</w:t>
      </w:r>
      <w:r w:rsidR="00D04034">
        <w:t>s</w:t>
      </w:r>
      <w:r w:rsidR="0043292A">
        <w:t xml:space="preserve"> that person was a </w:t>
      </w:r>
      <w:r w:rsidR="00486435">
        <w:t>“</w:t>
      </w:r>
      <w:r w:rsidR="00337F3A">
        <w:t xml:space="preserve">a </w:t>
      </w:r>
      <w:r w:rsidR="00486435">
        <w:t>‘</w:t>
      </w:r>
      <w:r w:rsidR="0043292A" w:rsidRPr="0043292A">
        <w:t>Leninist</w:t>
      </w:r>
      <w:r w:rsidR="0043292A">
        <w:t>,</w:t>
      </w:r>
      <w:r w:rsidR="00486435">
        <w:t>’”</w:t>
      </w:r>
      <w:r w:rsidR="0043292A" w:rsidRPr="0043292A">
        <w:t xml:space="preserve"> </w:t>
      </w:r>
      <w:r w:rsidR="00486435">
        <w:t>“</w:t>
      </w:r>
      <w:r w:rsidR="0043292A" w:rsidRPr="0043292A">
        <w:t xml:space="preserve">a </w:t>
      </w:r>
      <w:r w:rsidR="00486435">
        <w:t>‘</w:t>
      </w:r>
      <w:r w:rsidR="0043292A" w:rsidRPr="0043292A">
        <w:t>Communist-fronter</w:t>
      </w:r>
      <w:r w:rsidR="00337F3A">
        <w:t>,</w:t>
      </w:r>
      <w:r w:rsidR="00486435">
        <w:t>’”</w:t>
      </w:r>
      <w:r w:rsidR="00337F3A">
        <w:t xml:space="preserve"> and an officer of a communist organization </w:t>
      </w:r>
      <w:r w:rsidR="00D04034">
        <w:t>were actionable factual assertions]</w:t>
      </w:r>
      <w:r w:rsidR="00944B3E">
        <w:t xml:space="preserve">; </w:t>
      </w:r>
      <w:bookmarkStart w:id="96" w:name="dabmci_f723db26597d41798c850f5a0607c6eb"/>
      <w:r w:rsidR="00A45DD5" w:rsidRPr="00ED571F">
        <w:rPr>
          <w:i/>
          <w:iCs/>
        </w:rPr>
        <w:t>Summit Bank</w:t>
      </w:r>
      <w:r w:rsidR="008E3273">
        <w:rPr>
          <w:i/>
          <w:iCs/>
        </w:rPr>
        <w:t>, supra,</w:t>
      </w:r>
      <w:r w:rsidR="00A45DD5">
        <w:t xml:space="preserve"> 206 Cal.App.4th </w:t>
      </w:r>
      <w:r w:rsidR="008E3273">
        <w:t>at p.</w:t>
      </w:r>
      <w:r w:rsidR="00E14F01">
        <w:t xml:space="preserve"> </w:t>
      </w:r>
      <w:r w:rsidR="00A45DD5">
        <w:t>696</w:t>
      </w:r>
      <w:bookmarkEnd w:id="96"/>
      <w:r w:rsidR="00A45DD5">
        <w:t xml:space="preserve"> </w:t>
      </w:r>
      <w:r w:rsidR="005B0F50">
        <w:t>[expression of opinion that implies false assertion of fact is actionable</w:t>
      </w:r>
      <w:r w:rsidR="00A45DD5">
        <w:t>]</w:t>
      </w:r>
      <w:r w:rsidR="005B0F50">
        <w:t xml:space="preserve">; </w:t>
      </w:r>
      <w:bookmarkStart w:id="97" w:name="dabmci_5f361100f29f4217bb9ad6cc70cc5fb7"/>
      <w:r w:rsidR="00352462" w:rsidRPr="00F36E42">
        <w:rPr>
          <w:i/>
          <w:iCs/>
        </w:rPr>
        <w:t>Buckley v. Littel</w:t>
      </w:r>
      <w:r w:rsidR="006F7614" w:rsidRPr="00F36E42">
        <w:rPr>
          <w:i/>
          <w:iCs/>
        </w:rPr>
        <w:t>l</w:t>
      </w:r>
      <w:r w:rsidR="006F7614">
        <w:t xml:space="preserve"> (2d Cir. 1976) </w:t>
      </w:r>
      <w:r w:rsidR="00F36E42" w:rsidRPr="00F36E42">
        <w:t>539 F.2d 882</w:t>
      </w:r>
      <w:r w:rsidR="00F36E42">
        <w:t>, 894</w:t>
      </w:r>
      <w:bookmarkEnd w:id="97"/>
      <w:r w:rsidR="00F36E42">
        <w:t xml:space="preserve"> </w:t>
      </w:r>
      <w:r w:rsidR="00AD4490">
        <w:t>[</w:t>
      </w:r>
      <w:r w:rsidR="00AD4490" w:rsidRPr="00AD4490">
        <w:t>allegations of membership</w:t>
      </w:r>
      <w:r w:rsidR="0086254B">
        <w:t xml:space="preserve"> in,</w:t>
      </w:r>
      <w:r w:rsidR="00AD4490" w:rsidRPr="00AD4490">
        <w:t xml:space="preserve"> or well-defined political affiliation</w:t>
      </w:r>
      <w:r w:rsidR="0086254B">
        <w:t xml:space="preserve"> with, </w:t>
      </w:r>
      <w:r w:rsidR="00694A5A">
        <w:t>C</w:t>
      </w:r>
      <w:r w:rsidR="0086254B">
        <w:t>ommunist party</w:t>
      </w:r>
      <w:r w:rsidR="00AD4490" w:rsidRPr="00AD4490">
        <w:t xml:space="preserve"> </w:t>
      </w:r>
      <w:r w:rsidR="00486435">
        <w:t>“</w:t>
      </w:r>
      <w:r w:rsidR="00AD4490" w:rsidRPr="00AD4490">
        <w:t>are readily perceivable as allegations of fact susceptible to proof or disproof of falsity</w:t>
      </w:r>
      <w:r w:rsidR="00486435">
        <w:t>”</w:t>
      </w:r>
      <w:r w:rsidR="00AD4490">
        <w:t>]</w:t>
      </w:r>
      <w:r w:rsidR="004C6508">
        <w:t>.)</w:t>
      </w:r>
    </w:p>
    <w:p w14:paraId="7AD15572" w14:textId="2DEBC0B6" w:rsidR="0061135F" w:rsidRDefault="00EC228C" w:rsidP="00730849">
      <w:pPr>
        <w:pStyle w:val="Body"/>
      </w:pPr>
      <w:r>
        <w:t>Contrary to defendants</w:t>
      </w:r>
      <w:r w:rsidR="00486435">
        <w:t>’</w:t>
      </w:r>
      <w:r>
        <w:t xml:space="preserve"> assertion, th</w:t>
      </w:r>
      <w:r w:rsidR="00A368A6">
        <w:t>e statements are not</w:t>
      </w:r>
      <w:r w:rsidR="00E14F01">
        <w:t xml:space="preserve"> </w:t>
      </w:r>
      <w:r w:rsidR="00A61B02">
        <w:t xml:space="preserve">protected </w:t>
      </w:r>
      <w:r w:rsidR="00ED571F">
        <w:t>expression</w:t>
      </w:r>
      <w:r w:rsidR="00A368A6">
        <w:t>s</w:t>
      </w:r>
      <w:r w:rsidR="00ED571F">
        <w:t xml:space="preserve"> of </w:t>
      </w:r>
      <w:r w:rsidR="00E14F01">
        <w:t xml:space="preserve">opinion.  </w:t>
      </w:r>
      <w:r w:rsidR="00EA09AC">
        <w:t xml:space="preserve">The context in which they were made </w:t>
      </w:r>
      <w:proofErr w:type="gramStart"/>
      <w:r w:rsidR="00B34218">
        <w:t>evidences</w:t>
      </w:r>
      <w:proofErr w:type="gramEnd"/>
      <w:r w:rsidR="00B34218">
        <w:t xml:space="preserve"> an attempt by Ngo to provide </w:t>
      </w:r>
      <w:r w:rsidR="00D62E61">
        <w:t>his audience</w:t>
      </w:r>
      <w:r w:rsidR="00B34218">
        <w:t xml:space="preserve"> with a fact which</w:t>
      </w:r>
      <w:r w:rsidR="00C31179">
        <w:t>, if believed,</w:t>
      </w:r>
      <w:r w:rsidR="00B34218">
        <w:t xml:space="preserve"> would be </w:t>
      </w:r>
      <w:r w:rsidR="00C31179">
        <w:t xml:space="preserve">of significant import to </w:t>
      </w:r>
      <w:r w:rsidR="00D62E61">
        <w:t>many Vietnamese</w:t>
      </w:r>
      <w:r w:rsidR="00B74838">
        <w:t>-</w:t>
      </w:r>
      <w:r w:rsidR="00D62E61">
        <w:t>American voters</w:t>
      </w:r>
      <w:r w:rsidR="00C31179">
        <w:t xml:space="preserve">.  </w:t>
      </w:r>
      <w:r w:rsidR="00A3176B">
        <w:t>(</w:t>
      </w:r>
      <w:r w:rsidR="004D3653">
        <w:t xml:space="preserve">See </w:t>
      </w:r>
      <w:bookmarkStart w:id="98" w:name="dabmci_fa0cf822626e46d68fcc7c3130e2e438"/>
      <w:r w:rsidR="004D3653" w:rsidRPr="00DF76B7">
        <w:rPr>
          <w:i/>
          <w:iCs/>
        </w:rPr>
        <w:t xml:space="preserve">Bently Reserve LP v. Papaliolios </w:t>
      </w:r>
      <w:r w:rsidR="004D3653">
        <w:t>(2013) 218 Cal.App.4th 418, 42</w:t>
      </w:r>
      <w:r w:rsidR="00F66215">
        <w:t>7</w:t>
      </w:r>
      <w:bookmarkEnd w:id="98"/>
      <w:r w:rsidR="004D3653">
        <w:t xml:space="preserve"> [knowledge and understanding of </w:t>
      </w:r>
      <w:r w:rsidR="00D06D2D">
        <w:t xml:space="preserve">audience targeted by publication must be considered].)  </w:t>
      </w:r>
      <w:r w:rsidR="00655F6D">
        <w:t xml:space="preserve">This is underscored by </w:t>
      </w:r>
      <w:r w:rsidR="005E19F9">
        <w:t>Ngo</w:t>
      </w:r>
      <w:r w:rsidR="00486435">
        <w:t>’</w:t>
      </w:r>
      <w:r w:rsidR="005E19F9">
        <w:t xml:space="preserve">s </w:t>
      </w:r>
      <w:r w:rsidR="00227FEF">
        <w:t xml:space="preserve">simultaneous effort to persuade </w:t>
      </w:r>
      <w:r w:rsidR="00646FC6">
        <w:t xml:space="preserve">viewers that </w:t>
      </w:r>
      <w:r w:rsidR="004C167D">
        <w:t xml:space="preserve">the </w:t>
      </w:r>
      <w:r w:rsidR="00A949C5">
        <w:t>information he was conveying was true</w:t>
      </w:r>
      <w:proofErr w:type="gramStart"/>
      <w:r w:rsidR="004C167D">
        <w:t xml:space="preserve">:  </w:t>
      </w:r>
      <w:r w:rsidR="00486435">
        <w:t>“</w:t>
      </w:r>
      <w:proofErr w:type="gramEnd"/>
      <w:r w:rsidR="00A949C5">
        <w:t xml:space="preserve">Is that Lan Vu?  Lan Vu, something </w:t>
      </w:r>
      <w:r w:rsidR="009F23D0">
        <w:t xml:space="preserve">[sic] </w:t>
      </w:r>
      <w:r w:rsidR="00A949C5">
        <w:t xml:space="preserve">Vu Lan, daughter of a </w:t>
      </w:r>
      <w:r w:rsidR="00153276">
        <w:t xml:space="preserve">Communist colonel.  Here, look at see the picture, folks.  When we say </w:t>
      </w:r>
      <w:proofErr w:type="gramStart"/>
      <w:r w:rsidR="00153276">
        <w:t>something</w:t>
      </w:r>
      <w:proofErr w:type="gramEnd"/>
      <w:r w:rsidR="00153276">
        <w:t xml:space="preserve"> we do have proofs [</w:t>
      </w:r>
      <w:r w:rsidR="00153276" w:rsidRPr="00560649">
        <w:rPr>
          <w:i/>
          <w:iCs/>
        </w:rPr>
        <w:t>sic</w:t>
      </w:r>
      <w:r w:rsidR="00153276">
        <w:t>]</w:t>
      </w:r>
      <w:r w:rsidR="00A368A6">
        <w:t>.</w:t>
      </w:r>
      <w:r w:rsidR="00486435">
        <w:t>”</w:t>
      </w:r>
      <w:r w:rsidR="00A368A6">
        <w:t xml:space="preserve">  </w:t>
      </w:r>
      <w:r w:rsidR="00A61B02">
        <w:t>A reasonable fact finder could conclude t</w:t>
      </w:r>
      <w:r w:rsidR="006D0EF6">
        <w:t xml:space="preserve">he </w:t>
      </w:r>
      <w:r w:rsidR="00227FEF">
        <w:t>offering of</w:t>
      </w:r>
      <w:r w:rsidR="006D0EF6">
        <w:t xml:space="preserve"> </w:t>
      </w:r>
      <w:r w:rsidR="00486435">
        <w:t>“</w:t>
      </w:r>
      <w:r w:rsidR="006D0EF6">
        <w:t>proof</w:t>
      </w:r>
      <w:r w:rsidR="00486435">
        <w:t>”</w:t>
      </w:r>
      <w:r w:rsidR="006D0EF6">
        <w:t xml:space="preserve"> suggests </w:t>
      </w:r>
      <w:r w:rsidR="00C44E90">
        <w:t>facts, not opinions, are being communicated.</w:t>
      </w:r>
      <w:r w:rsidR="009F23D0">
        <w:t xml:space="preserve">  (See </w:t>
      </w:r>
      <w:bookmarkStart w:id="99" w:name="dabmci_12d313b1a8494e1bb66ea97e6d51d6ad"/>
      <w:r w:rsidR="00247059">
        <w:rPr>
          <w:i/>
          <w:iCs/>
        </w:rPr>
        <w:t>i</w:t>
      </w:r>
      <w:r w:rsidR="00F66215">
        <w:rPr>
          <w:i/>
          <w:iCs/>
        </w:rPr>
        <w:t>d.</w:t>
      </w:r>
      <w:r w:rsidR="00F66215">
        <w:t xml:space="preserve"> at pp.</w:t>
      </w:r>
      <w:r w:rsidR="00264DF6">
        <w:t xml:space="preserve"> </w:t>
      </w:r>
      <w:r w:rsidR="00DF76B7">
        <w:t>428-429</w:t>
      </w:r>
      <w:bookmarkEnd w:id="99"/>
      <w:r w:rsidR="00DF76B7">
        <w:t>.)</w:t>
      </w:r>
    </w:p>
    <w:p w14:paraId="246B06F4" w14:textId="12FF2FB8" w:rsidR="00BA256D" w:rsidRDefault="000B0668" w:rsidP="00730849">
      <w:pPr>
        <w:pStyle w:val="Body"/>
      </w:pPr>
      <w:r>
        <w:t>Similarly, t</w:t>
      </w:r>
      <w:r w:rsidR="0061135F">
        <w:t>he context</w:t>
      </w:r>
      <w:r>
        <w:t xml:space="preserve"> and </w:t>
      </w:r>
      <w:r w:rsidR="0061135F">
        <w:t>the precise words used</w:t>
      </w:r>
      <w:r w:rsidR="0076647F">
        <w:t xml:space="preserve"> would not lead a reasonable listener to perceive </w:t>
      </w:r>
      <w:r w:rsidR="00D401EE">
        <w:t>the comments as</w:t>
      </w:r>
      <w:r w:rsidR="002D3C3B">
        <w:t xml:space="preserve"> rhetorical hyperbole.  (</w:t>
      </w:r>
      <w:r w:rsidR="00BD19AA">
        <w:t>C.f.</w:t>
      </w:r>
      <w:r w:rsidR="008175D8">
        <w:t xml:space="preserve"> </w:t>
      </w:r>
      <w:bookmarkStart w:id="100" w:name="dabmci_4eb936fe8e294ade93154576831fd98c"/>
      <w:r w:rsidR="004E5313" w:rsidRPr="00D522D9">
        <w:rPr>
          <w:i/>
          <w:iCs/>
        </w:rPr>
        <w:t>Hoang</w:t>
      </w:r>
      <w:r w:rsidR="00D522D9" w:rsidRPr="00D522D9">
        <w:rPr>
          <w:i/>
          <w:iCs/>
        </w:rPr>
        <w:t>, supra</w:t>
      </w:r>
      <w:r w:rsidR="00D522D9">
        <w:t xml:space="preserve">, </w:t>
      </w:r>
      <w:r w:rsidR="004E5313" w:rsidRPr="00D522D9">
        <w:t>60</w:t>
      </w:r>
      <w:r w:rsidR="004E5313" w:rsidRPr="00C453C2">
        <w:t xml:space="preserve"> Cal.App.5th </w:t>
      </w:r>
      <w:r w:rsidR="00D522D9">
        <w:t xml:space="preserve">at p. </w:t>
      </w:r>
      <w:r w:rsidR="008F700B">
        <w:t>534</w:t>
      </w:r>
      <w:bookmarkEnd w:id="100"/>
      <w:r w:rsidR="008F700B">
        <w:t xml:space="preserve"> </w:t>
      </w:r>
      <w:r w:rsidR="00942500">
        <w:t>[</w:t>
      </w:r>
      <w:r w:rsidR="008136C1">
        <w:t>describing</w:t>
      </w:r>
      <w:r w:rsidR="00C70E53">
        <w:t xml:space="preserve"> someone</w:t>
      </w:r>
      <w:r w:rsidR="008136C1">
        <w:t xml:space="preserve"> as a</w:t>
      </w:r>
      <w:r w:rsidR="00C70E53">
        <w:t xml:space="preserve"> </w:t>
      </w:r>
      <w:r w:rsidR="00486435">
        <w:t>“</w:t>
      </w:r>
      <w:r w:rsidR="00942500">
        <w:t>crook</w:t>
      </w:r>
      <w:r w:rsidR="00486435">
        <w:t>”</w:t>
      </w:r>
      <w:r w:rsidR="008136C1">
        <w:t xml:space="preserve"> and </w:t>
      </w:r>
      <w:r w:rsidR="00486435">
        <w:t>“</w:t>
      </w:r>
      <w:r w:rsidR="008136C1">
        <w:t>pettily cunning</w:t>
      </w:r>
      <w:r w:rsidR="00486435">
        <w:t>”</w:t>
      </w:r>
      <w:r w:rsidR="008136C1">
        <w:t xml:space="preserve"> is </w:t>
      </w:r>
      <w:r w:rsidR="004E5313">
        <w:lastRenderedPageBreak/>
        <w:t>nonactionable rhetorical hyperbole]</w:t>
      </w:r>
      <w:r w:rsidR="00942500">
        <w:t xml:space="preserve">; </w:t>
      </w:r>
      <w:bookmarkStart w:id="101" w:name="dabmci_982a66be26944357b0f216496ae1ff79"/>
      <w:r w:rsidR="00B20AB2" w:rsidRPr="00764F80">
        <w:rPr>
          <w:i/>
          <w:iCs/>
        </w:rPr>
        <w:t>Seelig v. Infinity Broadcasting Corp.</w:t>
      </w:r>
      <w:r w:rsidR="00B20AB2">
        <w:t xml:space="preserve"> (</w:t>
      </w:r>
      <w:r w:rsidR="001F053B">
        <w:t>2002</w:t>
      </w:r>
      <w:r w:rsidR="00B20AB2">
        <w:t xml:space="preserve">) </w:t>
      </w:r>
      <w:r w:rsidR="00B20AB2" w:rsidRPr="00B20AB2">
        <w:t>97 Cal.App.4th 798</w:t>
      </w:r>
      <w:r w:rsidR="00B20AB2">
        <w:t xml:space="preserve">, </w:t>
      </w:r>
      <w:r w:rsidR="00764F80">
        <w:t>810-811</w:t>
      </w:r>
      <w:bookmarkEnd w:id="101"/>
      <w:r w:rsidR="00B20AB2">
        <w:t xml:space="preserve"> </w:t>
      </w:r>
      <w:r w:rsidR="008175D8">
        <w:t>[</w:t>
      </w:r>
      <w:r w:rsidR="00486435">
        <w:t>“</w:t>
      </w:r>
      <w:r w:rsidR="008175D8" w:rsidRPr="00474CAB">
        <w:t>local loser</w:t>
      </w:r>
      <w:r w:rsidR="001F5D87">
        <w:t>,</w:t>
      </w:r>
      <w:r w:rsidR="00486435">
        <w:t>”</w:t>
      </w:r>
      <w:r w:rsidR="008175D8" w:rsidRPr="00474CAB">
        <w:t xml:space="preserve"> </w:t>
      </w:r>
      <w:r w:rsidR="00486435">
        <w:t>“</w:t>
      </w:r>
      <w:r w:rsidR="008175D8" w:rsidRPr="00474CAB">
        <w:t>chicken butt</w:t>
      </w:r>
      <w:r w:rsidR="001F5D87">
        <w:t>,</w:t>
      </w:r>
      <w:r w:rsidR="00486435">
        <w:t>”</w:t>
      </w:r>
      <w:r w:rsidR="001F5D87">
        <w:t xml:space="preserve"> and </w:t>
      </w:r>
      <w:r w:rsidR="00486435">
        <w:t>“</w:t>
      </w:r>
      <w:r w:rsidR="001F5D87">
        <w:t>big skank</w:t>
      </w:r>
      <w:r w:rsidR="00486435">
        <w:t>”</w:t>
      </w:r>
      <w:r w:rsidR="003F26FE">
        <w:t xml:space="preserve"> </w:t>
      </w:r>
      <w:r w:rsidR="008175D8" w:rsidRPr="00474CAB">
        <w:t xml:space="preserve">were </w:t>
      </w:r>
      <w:r w:rsidR="00486435">
        <w:t>“</w:t>
      </w:r>
      <w:r w:rsidR="00A3159A">
        <w:t>school yard taunt</w:t>
      </w:r>
      <w:r w:rsidR="00486435">
        <w:t>”</w:t>
      </w:r>
      <w:r w:rsidR="00A3159A">
        <w:t xml:space="preserve"> and </w:t>
      </w:r>
      <w:r w:rsidR="008175D8" w:rsidRPr="00474CAB">
        <w:t xml:space="preserve">nonactionable </w:t>
      </w:r>
      <w:r w:rsidR="00474CAB" w:rsidRPr="00474CAB">
        <w:t xml:space="preserve">rhetorical </w:t>
      </w:r>
      <w:r w:rsidR="008175D8" w:rsidRPr="00474CAB">
        <w:t>hyperbole]</w:t>
      </w:r>
      <w:r w:rsidR="00403C5D">
        <w:t xml:space="preserve">; </w:t>
      </w:r>
      <w:bookmarkStart w:id="102" w:name="dabmci_9255329ad2674289a0fa751c07ddd225"/>
      <w:r w:rsidR="00D268B2" w:rsidRPr="00D268B2">
        <w:rPr>
          <w:i/>
          <w:iCs/>
        </w:rPr>
        <w:t>Ferlauto v. Hamsher</w:t>
      </w:r>
      <w:r w:rsidR="00D268B2">
        <w:t xml:space="preserve"> </w:t>
      </w:r>
      <w:r w:rsidR="00D268B2" w:rsidRPr="00D268B2">
        <w:t>(1999) 74 Cal.App.4th 1394</w:t>
      </w:r>
      <w:r w:rsidR="00D268B2">
        <w:t xml:space="preserve">, </w:t>
      </w:r>
      <w:r w:rsidR="00275260" w:rsidRPr="00D268B2">
        <w:t>1404</w:t>
      </w:r>
      <w:bookmarkEnd w:id="102"/>
      <w:r w:rsidR="00EC6E34">
        <w:t xml:space="preserve"> [</w:t>
      </w:r>
      <w:r w:rsidR="00486435">
        <w:t>“</w:t>
      </w:r>
      <w:r w:rsidR="00EC6E34" w:rsidRPr="00EC6E34">
        <w:t>creepazoid attorney</w:t>
      </w:r>
      <w:r w:rsidR="00486435">
        <w:t>”</w:t>
      </w:r>
      <w:r w:rsidR="00EC6E34" w:rsidRPr="00EC6E34">
        <w:t xml:space="preserve"> and </w:t>
      </w:r>
      <w:r w:rsidR="00486435">
        <w:t>“</w:t>
      </w:r>
      <w:r w:rsidR="00EC6E34" w:rsidRPr="00EC6E34">
        <w:t>loser wannabe lawyer</w:t>
      </w:r>
      <w:r w:rsidR="00486435">
        <w:t>”</w:t>
      </w:r>
      <w:r w:rsidR="00EC6E34">
        <w:t xml:space="preserve"> were nonactionable rhetorical hyperbole]</w:t>
      </w:r>
      <w:r w:rsidR="00D268B2">
        <w:t>.)</w:t>
      </w:r>
    </w:p>
    <w:p w14:paraId="61B2D368" w14:textId="1BA40D44" w:rsidR="00ED151C" w:rsidRPr="007C380C" w:rsidRDefault="00ED151C" w:rsidP="00730849">
      <w:pPr>
        <w:pStyle w:val="Body"/>
      </w:pPr>
      <w:r w:rsidRPr="00DB08E7">
        <w:t>Turning to falsity</w:t>
      </w:r>
      <w:r w:rsidR="009116B8" w:rsidRPr="00DB08E7">
        <w:t xml:space="preserve"> of the fact</w:t>
      </w:r>
      <w:r w:rsidR="008D1685" w:rsidRPr="00DB08E7">
        <w:t>ual statements</w:t>
      </w:r>
      <w:r w:rsidRPr="00DB08E7">
        <w:t xml:space="preserve">, </w:t>
      </w:r>
      <w:r w:rsidR="0085622D">
        <w:t>we assume</w:t>
      </w:r>
      <w:r w:rsidR="00EC257D">
        <w:t xml:space="preserve"> without deciding</w:t>
      </w:r>
      <w:r w:rsidR="001A7D98">
        <w:t xml:space="preserve"> that </w:t>
      </w:r>
      <w:r w:rsidR="00321A53">
        <w:t xml:space="preserve">plaintiff bears the </w:t>
      </w:r>
      <w:r w:rsidR="002968EE">
        <w:t xml:space="preserve">ultimate </w:t>
      </w:r>
      <w:r w:rsidR="00321A53">
        <w:t>burden in this case of demonstrating falsity (</w:t>
      </w:r>
      <w:r w:rsidR="004411F3">
        <w:t xml:space="preserve">see </w:t>
      </w:r>
      <w:bookmarkStart w:id="103" w:name="dabmci_501157f4d1ca44c48507cb9548ee00a9"/>
      <w:r w:rsidR="004411F3" w:rsidRPr="00F8613C">
        <w:rPr>
          <w:i/>
          <w:iCs/>
        </w:rPr>
        <w:t xml:space="preserve">Nizam-Aldine v. City of Oakland </w:t>
      </w:r>
      <w:r w:rsidR="004411F3">
        <w:t xml:space="preserve">(1996) 47 Cal.App.4th </w:t>
      </w:r>
      <w:r w:rsidR="00F8613C">
        <w:t>364, 373-375</w:t>
      </w:r>
      <w:bookmarkEnd w:id="103"/>
      <w:r w:rsidR="00321A53">
        <w:t xml:space="preserve">), </w:t>
      </w:r>
      <w:r w:rsidR="001A7D98">
        <w:t xml:space="preserve">and conclude </w:t>
      </w:r>
      <w:r w:rsidR="00321A53">
        <w:t>she</w:t>
      </w:r>
      <w:r>
        <w:t xml:space="preserve"> met her </w:t>
      </w:r>
      <w:r w:rsidR="002968EE">
        <w:t xml:space="preserve">anti-SLAPP </w:t>
      </w:r>
      <w:r>
        <w:t>burden</w:t>
      </w:r>
      <w:r w:rsidR="005A5380">
        <w:t xml:space="preserve"> on </w:t>
      </w:r>
      <w:r w:rsidR="00820834">
        <w:t>the issue</w:t>
      </w:r>
      <w:r>
        <w:t xml:space="preserve">.  </w:t>
      </w:r>
      <w:r w:rsidR="006E6BDF">
        <w:t>In a declaration, she stated the person in the picture was not her father</w:t>
      </w:r>
      <w:r w:rsidR="00EC5BA4">
        <w:t xml:space="preserve">, </w:t>
      </w:r>
      <w:r w:rsidR="006E6BDF">
        <w:t xml:space="preserve">her father </w:t>
      </w:r>
      <w:r w:rsidR="00214C1A">
        <w:t>was never in the military</w:t>
      </w:r>
      <w:r w:rsidR="00EC5BA4">
        <w:t>,</w:t>
      </w:r>
      <w:r w:rsidR="007C531D">
        <w:t xml:space="preserve"> and </w:t>
      </w:r>
      <w:r w:rsidR="00B5250A">
        <w:t>she</w:t>
      </w:r>
      <w:r w:rsidR="00EC5BA4">
        <w:t xml:space="preserve"> </w:t>
      </w:r>
      <w:r w:rsidR="00A04941">
        <w:t xml:space="preserve">had </w:t>
      </w:r>
      <w:r w:rsidR="00486435">
        <w:t>“</w:t>
      </w:r>
      <w:r w:rsidR="00A04941">
        <w:t>never participated in, [been] involved with, or supported the Communist party.</w:t>
      </w:r>
      <w:r w:rsidR="00486435">
        <w:t>”</w:t>
      </w:r>
      <w:r w:rsidR="00B62C05">
        <w:t xml:space="preserve"> </w:t>
      </w:r>
      <w:r w:rsidR="001D7064">
        <w:t xml:space="preserve"> </w:t>
      </w:r>
      <w:r w:rsidR="00B62C05">
        <w:t xml:space="preserve">Such a showing was sufficient </w:t>
      </w:r>
      <w:r w:rsidR="001D7064">
        <w:t>at this stage in the litigation.  (</w:t>
      </w:r>
      <w:r w:rsidR="009B0485">
        <w:t xml:space="preserve">See </w:t>
      </w:r>
      <w:bookmarkStart w:id="104" w:name="dabmci_a311dbe7e5a0484581c91a1447b569de"/>
      <w:r w:rsidR="00733867" w:rsidRPr="002E2D9E">
        <w:rPr>
          <w:i/>
          <w:iCs/>
        </w:rPr>
        <w:t>Billauer</w:t>
      </w:r>
      <w:r w:rsidR="00733867">
        <w:rPr>
          <w:i/>
          <w:iCs/>
        </w:rPr>
        <w:t xml:space="preserve">, </w:t>
      </w:r>
      <w:r w:rsidR="00733867" w:rsidRPr="000779D0">
        <w:rPr>
          <w:i/>
          <w:iCs/>
        </w:rPr>
        <w:t>supra</w:t>
      </w:r>
      <w:r w:rsidR="00733867">
        <w:t xml:space="preserve">, </w:t>
      </w:r>
      <w:r w:rsidR="00733867" w:rsidRPr="000779D0">
        <w:t>88</w:t>
      </w:r>
      <w:r w:rsidR="00733867" w:rsidRPr="002E2D9E">
        <w:t xml:space="preserve"> Cal.App.</w:t>
      </w:r>
      <w:r w:rsidR="00733867">
        <w:t>5</w:t>
      </w:r>
      <w:r w:rsidR="00733867" w:rsidRPr="000779D0">
        <w:t>th</w:t>
      </w:r>
      <w:r w:rsidR="00733867">
        <w:t xml:space="preserve"> at p. 962</w:t>
      </w:r>
      <w:bookmarkEnd w:id="104"/>
      <w:r w:rsidR="00733867">
        <w:t xml:space="preserve"> [</w:t>
      </w:r>
      <w:r w:rsidR="00780842">
        <w:t>evidence of party opposing anti-SLAPP motion must be accepted as true]</w:t>
      </w:r>
      <w:r w:rsidR="001D7064">
        <w:t>.)</w:t>
      </w:r>
    </w:p>
    <w:p w14:paraId="46B7F7E8" w14:textId="762F0B7A" w:rsidR="00F40467" w:rsidRPr="0030629B" w:rsidRDefault="006D1F26" w:rsidP="00367973">
      <w:pPr>
        <w:pStyle w:val="Heading3"/>
      </w:pPr>
      <w:r w:rsidRPr="0030629B">
        <w:t xml:space="preserve">Publication </w:t>
      </w:r>
      <w:r w:rsidR="00BA256D" w:rsidRPr="0030629B">
        <w:t>with a Natural Tendency to Injure</w:t>
      </w:r>
    </w:p>
    <w:p w14:paraId="4B2BFC1C" w14:textId="45AEE8E7" w:rsidR="00BA256D" w:rsidRDefault="00C8401F" w:rsidP="0030629B">
      <w:pPr>
        <w:pStyle w:val="Body"/>
      </w:pPr>
      <w:r>
        <w:rPr>
          <w:iCs/>
          <w:color w:val="000000"/>
        </w:rPr>
        <w:t xml:space="preserve">There </w:t>
      </w:r>
      <w:proofErr w:type="gramStart"/>
      <w:r>
        <w:rPr>
          <w:iCs/>
          <w:color w:val="000000"/>
        </w:rPr>
        <w:t>is</w:t>
      </w:r>
      <w:proofErr w:type="gramEnd"/>
      <w:r>
        <w:rPr>
          <w:iCs/>
          <w:color w:val="000000"/>
        </w:rPr>
        <w:t xml:space="preserve"> no dispute defendants </w:t>
      </w:r>
      <w:r w:rsidR="00486435">
        <w:rPr>
          <w:iCs/>
          <w:color w:val="000000"/>
        </w:rPr>
        <w:t>“</w:t>
      </w:r>
      <w:r>
        <w:rPr>
          <w:iCs/>
          <w:color w:val="000000"/>
        </w:rPr>
        <w:t>published</w:t>
      </w:r>
      <w:r w:rsidR="00486435">
        <w:rPr>
          <w:iCs/>
          <w:color w:val="000000"/>
        </w:rPr>
        <w:t>”</w:t>
      </w:r>
      <w:r>
        <w:rPr>
          <w:iCs/>
          <w:color w:val="000000"/>
        </w:rPr>
        <w:t xml:space="preserve"> the </w:t>
      </w:r>
      <w:r w:rsidR="00A151AE">
        <w:rPr>
          <w:iCs/>
          <w:color w:val="000000"/>
        </w:rPr>
        <w:t xml:space="preserve">alleged defamatory statements, as that term is used </w:t>
      </w:r>
      <w:r w:rsidR="00C44BCB">
        <w:rPr>
          <w:iCs/>
          <w:color w:val="000000"/>
        </w:rPr>
        <w:t>in the defamation arena.  (</w:t>
      </w:r>
      <w:bookmarkStart w:id="105" w:name="dabmci_441b7ec6bb9c404896b195002d072d08"/>
      <w:r w:rsidR="00480F4A" w:rsidRPr="005A1F12">
        <w:rPr>
          <w:i/>
          <w:color w:val="000000"/>
        </w:rPr>
        <w:t>Sanchez v. Bezos</w:t>
      </w:r>
      <w:r w:rsidR="00480F4A">
        <w:rPr>
          <w:iCs/>
          <w:color w:val="000000"/>
        </w:rPr>
        <w:t xml:space="preserve"> (2022) 80 Cal.App.5th 750, </w:t>
      </w:r>
      <w:r w:rsidR="00750F7B">
        <w:rPr>
          <w:iCs/>
          <w:color w:val="000000"/>
        </w:rPr>
        <w:t>763</w:t>
      </w:r>
      <w:bookmarkEnd w:id="105"/>
      <w:r w:rsidR="00981195">
        <w:rPr>
          <w:iCs/>
          <w:color w:val="000000"/>
        </w:rPr>
        <w:t xml:space="preserve"> </w:t>
      </w:r>
      <w:r w:rsidR="003925B4">
        <w:rPr>
          <w:iCs/>
          <w:color w:val="000000"/>
        </w:rPr>
        <w:t xml:space="preserve">[publication means </w:t>
      </w:r>
      <w:r w:rsidR="003925B4" w:rsidRPr="003925B4">
        <w:rPr>
          <w:iCs/>
          <w:color w:val="000000"/>
        </w:rPr>
        <w:t xml:space="preserve">communication to third </w:t>
      </w:r>
      <w:r w:rsidR="003925B4">
        <w:rPr>
          <w:iCs/>
          <w:color w:val="000000"/>
        </w:rPr>
        <w:t>party</w:t>
      </w:r>
      <w:r w:rsidR="003925B4" w:rsidRPr="003925B4">
        <w:rPr>
          <w:iCs/>
          <w:color w:val="000000"/>
        </w:rPr>
        <w:t xml:space="preserve"> who understands defamatory meaning</w:t>
      </w:r>
      <w:r w:rsidR="00981195">
        <w:rPr>
          <w:iCs/>
          <w:color w:val="000000"/>
        </w:rPr>
        <w:t xml:space="preserve"> of statement</w:t>
      </w:r>
      <w:r w:rsidR="007325C9">
        <w:rPr>
          <w:iCs/>
          <w:color w:val="000000"/>
        </w:rPr>
        <w:t xml:space="preserve"> and its application to </w:t>
      </w:r>
      <w:r w:rsidR="00480F4A">
        <w:rPr>
          <w:iCs/>
          <w:color w:val="000000"/>
        </w:rPr>
        <w:t>person to whom reference is made</w:t>
      </w:r>
      <w:r w:rsidR="00981195">
        <w:rPr>
          <w:iCs/>
          <w:color w:val="000000"/>
        </w:rPr>
        <w:t>]</w:t>
      </w:r>
      <w:r w:rsidR="003B1468">
        <w:rPr>
          <w:iCs/>
          <w:color w:val="000000"/>
        </w:rPr>
        <w:t xml:space="preserve">.)  </w:t>
      </w:r>
      <w:r w:rsidR="006D74FE">
        <w:rPr>
          <w:iCs/>
          <w:color w:val="000000"/>
        </w:rPr>
        <w:t>And</w:t>
      </w:r>
      <w:r w:rsidR="00530CCB">
        <w:rPr>
          <w:iCs/>
          <w:color w:val="000000"/>
        </w:rPr>
        <w:t xml:space="preserve">, understandably, </w:t>
      </w:r>
      <w:r w:rsidR="006D74FE">
        <w:rPr>
          <w:iCs/>
          <w:color w:val="000000"/>
        </w:rPr>
        <w:t xml:space="preserve">no one </w:t>
      </w:r>
      <w:r w:rsidR="00530CCB">
        <w:rPr>
          <w:iCs/>
          <w:color w:val="000000"/>
        </w:rPr>
        <w:t>contends a charge of membership in the Vietnamese Communi</w:t>
      </w:r>
      <w:r w:rsidR="00CC14E5">
        <w:rPr>
          <w:iCs/>
          <w:color w:val="000000"/>
        </w:rPr>
        <w:t xml:space="preserve">st Party presented to </w:t>
      </w:r>
      <w:r w:rsidR="00D20712">
        <w:rPr>
          <w:iCs/>
          <w:color w:val="000000"/>
        </w:rPr>
        <w:t xml:space="preserve">members of </w:t>
      </w:r>
      <w:r w:rsidR="00CC14E5">
        <w:rPr>
          <w:iCs/>
          <w:color w:val="000000"/>
        </w:rPr>
        <w:t xml:space="preserve">the local </w:t>
      </w:r>
      <w:proofErr w:type="gramStart"/>
      <w:r w:rsidR="00C150CB">
        <w:rPr>
          <w:iCs/>
          <w:color w:val="000000"/>
        </w:rPr>
        <w:t>Vietnamese</w:t>
      </w:r>
      <w:r w:rsidR="00B74838">
        <w:rPr>
          <w:iCs/>
          <w:color w:val="000000"/>
        </w:rPr>
        <w:t>-</w:t>
      </w:r>
      <w:r w:rsidR="00C150CB">
        <w:rPr>
          <w:iCs/>
          <w:color w:val="000000"/>
        </w:rPr>
        <w:t>American</w:t>
      </w:r>
      <w:proofErr w:type="gramEnd"/>
      <w:r w:rsidR="00CC14E5">
        <w:rPr>
          <w:iCs/>
          <w:color w:val="000000"/>
        </w:rPr>
        <w:t xml:space="preserve"> community </w:t>
      </w:r>
      <w:r w:rsidR="00C13228">
        <w:rPr>
          <w:iCs/>
          <w:color w:val="000000"/>
        </w:rPr>
        <w:t xml:space="preserve">would </w:t>
      </w:r>
      <w:r w:rsidR="00C150CB">
        <w:rPr>
          <w:iCs/>
          <w:color w:val="000000"/>
        </w:rPr>
        <w:t xml:space="preserve">not </w:t>
      </w:r>
      <w:r w:rsidR="00C13228">
        <w:rPr>
          <w:iCs/>
          <w:color w:val="000000"/>
        </w:rPr>
        <w:t xml:space="preserve">have a natural tendency to injure.  (See </w:t>
      </w:r>
      <w:bookmarkStart w:id="106" w:name="dabmci_17a4ea3bc4dd4378a25a7513b4a4edbf"/>
      <w:r w:rsidR="000E3B63">
        <w:rPr>
          <w:i/>
          <w:color w:val="000000"/>
        </w:rPr>
        <w:t>MacLeod v. Tribune Publishing Co.</w:t>
      </w:r>
      <w:r w:rsidR="000E3B63">
        <w:rPr>
          <w:color w:val="000000"/>
        </w:rPr>
        <w:t xml:space="preserve"> (1959) 52 Cal.2d 536, 546</w:t>
      </w:r>
      <w:bookmarkEnd w:id="106"/>
      <w:r w:rsidR="000E3B63">
        <w:rPr>
          <w:color w:val="000000"/>
        </w:rPr>
        <w:t xml:space="preserve"> [</w:t>
      </w:r>
      <w:r w:rsidR="00486435">
        <w:rPr>
          <w:color w:val="000000"/>
        </w:rPr>
        <w:t>“</w:t>
      </w:r>
      <w:r w:rsidR="000E3B63">
        <w:rPr>
          <w:color w:val="000000"/>
        </w:rPr>
        <w:t>Whatever the rule may have been when anticommunist sentiment was less crystallized than it is today [citations] . .</w:t>
      </w:r>
      <w:r w:rsidR="000E3B63">
        <w:t> . a charge of membership in the Communist Party or communist affiliation or sympathy is libelous on its face</w:t>
      </w:r>
      <w:r w:rsidR="00486435">
        <w:t>”</w:t>
      </w:r>
      <w:r w:rsidR="000E3B63">
        <w:t>]</w:t>
      </w:r>
      <w:r w:rsidR="00C13228">
        <w:t xml:space="preserve">; </w:t>
      </w:r>
      <w:bookmarkStart w:id="107" w:name="dabmci_a6c725ad1a194c2d89b754d57b5937f8"/>
      <w:r w:rsidR="00056C66" w:rsidRPr="00DE72FB">
        <w:rPr>
          <w:i/>
          <w:iCs/>
        </w:rPr>
        <w:t>Lam v. Ngo</w:t>
      </w:r>
      <w:r w:rsidR="00056C66">
        <w:t xml:space="preserve"> (2001) </w:t>
      </w:r>
      <w:r w:rsidR="00DE72FB">
        <w:t>91 Cal.App.4th 832, 850-851</w:t>
      </w:r>
      <w:bookmarkEnd w:id="107"/>
      <w:r w:rsidR="0038711A">
        <w:t xml:space="preserve"> [</w:t>
      </w:r>
      <w:r w:rsidR="00486435">
        <w:t>“</w:t>
      </w:r>
      <w:r w:rsidR="00CF5FFE">
        <w:t xml:space="preserve">the word </w:t>
      </w:r>
      <w:r w:rsidR="00486435">
        <w:t>‘</w:t>
      </w:r>
      <w:r w:rsidR="00CF5FFE">
        <w:t>Communist</w:t>
      </w:r>
      <w:r w:rsidR="00486435">
        <w:t>’</w:t>
      </w:r>
      <w:r w:rsidR="00CF5FFE">
        <w:t xml:space="preserve"> has some real sting in the Vietnamese community in Orange County, California</w:t>
      </w:r>
      <w:r w:rsidR="00486435">
        <w:t>”</w:t>
      </w:r>
      <w:r w:rsidR="00D022FC">
        <w:t xml:space="preserve"> </w:t>
      </w:r>
      <w:r w:rsidR="00EC3EE4">
        <w:t xml:space="preserve">because </w:t>
      </w:r>
      <w:r w:rsidR="0017792B">
        <w:t>many of those people have actually lived under Communist regime]</w:t>
      </w:r>
      <w:r w:rsidR="00CF5FFE">
        <w:t>.)</w:t>
      </w:r>
    </w:p>
    <w:p w14:paraId="7847A75B" w14:textId="699929FD" w:rsidR="00372FBE" w:rsidRPr="00905F49" w:rsidRDefault="00503578" w:rsidP="00503578">
      <w:pPr>
        <w:pStyle w:val="Heading3"/>
      </w:pPr>
      <w:r w:rsidRPr="00905F49">
        <w:lastRenderedPageBreak/>
        <w:t>Negligence</w:t>
      </w:r>
    </w:p>
    <w:p w14:paraId="7D16C02D" w14:textId="1D10CFC4" w:rsidR="00BA256D" w:rsidRDefault="0073337B" w:rsidP="00BA256D">
      <w:pPr>
        <w:pStyle w:val="Body"/>
      </w:pPr>
      <w:r>
        <w:t xml:space="preserve">In </w:t>
      </w:r>
      <w:r w:rsidRPr="0073337B">
        <w:rPr>
          <w:i/>
          <w:iCs/>
        </w:rPr>
        <w:t>Gertz</w:t>
      </w:r>
      <w:r>
        <w:t xml:space="preserve">, the </w:t>
      </w:r>
      <w:r w:rsidRPr="0073337B">
        <w:t xml:space="preserve">United States Supreme Court held that states could define the standard of liability for defamation of private individuals, so long as the states did not impose liability without fault. </w:t>
      </w:r>
      <w:r>
        <w:t xml:space="preserve"> </w:t>
      </w:r>
      <w:r w:rsidRPr="0073337B">
        <w:t>(</w:t>
      </w:r>
      <w:bookmarkStart w:id="108" w:name="dabmci_b3988d8baca34008b218a7ce78be7c14"/>
      <w:r w:rsidR="00BE476C" w:rsidRPr="005310D0">
        <w:rPr>
          <w:i/>
          <w:iCs/>
        </w:rPr>
        <w:t>Gertz, supra</w:t>
      </w:r>
      <w:r w:rsidR="00BE476C">
        <w:t>, 418 U.S.</w:t>
      </w:r>
      <w:r w:rsidRPr="0073337B">
        <w:t xml:space="preserve"> at p. 347</w:t>
      </w:r>
      <w:bookmarkEnd w:id="108"/>
      <w:r w:rsidRPr="0073337B">
        <w:t xml:space="preserve">.) </w:t>
      </w:r>
      <w:r>
        <w:t xml:space="preserve"> Consistent therewith</w:t>
      </w:r>
      <w:r w:rsidRPr="0073337B">
        <w:t xml:space="preserve">, our state </w:t>
      </w:r>
      <w:r>
        <w:t>high court later confirmed</w:t>
      </w:r>
      <w:r w:rsidRPr="0073337B">
        <w:t xml:space="preserve"> that negligence </w:t>
      </w:r>
      <w:r>
        <w:t>is</w:t>
      </w:r>
      <w:r w:rsidRPr="0073337B">
        <w:t xml:space="preserve"> the standard in California</w:t>
      </w:r>
      <w:r>
        <w:t>.  (</w:t>
      </w:r>
      <w:bookmarkStart w:id="109" w:name="dabmci_ada7b2f624ee4a23acd133eaa32b5db0"/>
      <w:r w:rsidR="000E079E" w:rsidRPr="006A007B">
        <w:rPr>
          <w:i/>
          <w:iCs/>
        </w:rPr>
        <w:t xml:space="preserve">Comedy III Productions, Inc. v. Gary Saderup, Inc. </w:t>
      </w:r>
      <w:r w:rsidR="000E079E" w:rsidRPr="006A007B">
        <w:t>(2001) 25 Cal.4th 387, 398</w:t>
      </w:r>
      <w:bookmarkEnd w:id="109"/>
      <w:r w:rsidR="000E079E">
        <w:t xml:space="preserve">; </w:t>
      </w:r>
      <w:bookmarkStart w:id="110" w:name="dabmci_419c2e6d56924b349eaabf6182c4d9db"/>
      <w:r w:rsidR="000E079E" w:rsidRPr="006A007B">
        <w:rPr>
          <w:i/>
          <w:iCs/>
        </w:rPr>
        <w:t>Khawar</w:t>
      </w:r>
      <w:r w:rsidR="005310D0">
        <w:rPr>
          <w:i/>
          <w:iCs/>
        </w:rPr>
        <w:t xml:space="preserve">, supra, </w:t>
      </w:r>
      <w:r w:rsidR="000E079E" w:rsidRPr="006A007B">
        <w:t xml:space="preserve">19 Cal.4th </w:t>
      </w:r>
      <w:r w:rsidR="005310D0">
        <w:t>at p.</w:t>
      </w:r>
      <w:r w:rsidR="000E079E" w:rsidRPr="006A007B">
        <w:t xml:space="preserve"> 274</w:t>
      </w:r>
      <w:bookmarkEnd w:id="110"/>
      <w:r w:rsidR="000E079E">
        <w:t xml:space="preserve">; </w:t>
      </w:r>
      <w:bookmarkStart w:id="111" w:name="dabmci_19b285534a1a4d29a375461f09ca5850"/>
      <w:r w:rsidRPr="006A007B">
        <w:rPr>
          <w:i/>
          <w:iCs/>
        </w:rPr>
        <w:t>Brown v. Kelly Broadcasting Co.</w:t>
      </w:r>
      <w:r w:rsidRPr="0073337B">
        <w:t xml:space="preserve"> (1989) 48 Cal.3d 711, 742</w:t>
      </w:r>
      <w:bookmarkEnd w:id="111"/>
      <w:r>
        <w:t>.)  Thus, a private person seeking to recover for defamation must demonstrate the defendant failed to exercise reasonable care in determining the truth or falsity of the alleged defamatory statement before publishing it.  (</w:t>
      </w:r>
      <w:r w:rsidR="00842969">
        <w:t xml:space="preserve">See </w:t>
      </w:r>
      <w:bookmarkStart w:id="112" w:name="dabmci_ecf6c4a94d334a48ba14e6247ab15550"/>
      <w:r w:rsidR="00842969" w:rsidRPr="00B74B49">
        <w:rPr>
          <w:i/>
          <w:iCs/>
        </w:rPr>
        <w:t>Hecimovich</w:t>
      </w:r>
      <w:r w:rsidR="00842969" w:rsidRPr="00842969">
        <w:rPr>
          <w:i/>
          <w:iCs/>
        </w:rPr>
        <w:t xml:space="preserve"> v. Encinal School Parent Teacher Organization</w:t>
      </w:r>
      <w:r w:rsidR="00842969">
        <w:t xml:space="preserve"> (2012) 203 Cal.App.4th 450, 470</w:t>
      </w:r>
      <w:bookmarkEnd w:id="112"/>
      <w:r w:rsidR="00842969">
        <w:t xml:space="preserve">; </w:t>
      </w:r>
      <w:bookmarkStart w:id="113" w:name="dabmci_6e861b3fa6194e79975f152d630556a4"/>
      <w:r w:rsidR="00842969" w:rsidRPr="00842969">
        <w:rPr>
          <w:i/>
          <w:iCs/>
        </w:rPr>
        <w:t xml:space="preserve">Carney v. Santa Cruz Women Against Rape </w:t>
      </w:r>
      <w:r w:rsidR="00842969">
        <w:t>(1990) 221 Cal.App.3d 1009, 1016</w:t>
      </w:r>
      <w:bookmarkEnd w:id="113"/>
      <w:r>
        <w:t>.)</w:t>
      </w:r>
    </w:p>
    <w:p w14:paraId="26136EED" w14:textId="464D4304" w:rsidR="006A007B" w:rsidRDefault="0009211A" w:rsidP="00BA256D">
      <w:pPr>
        <w:pStyle w:val="Body"/>
      </w:pPr>
      <w:r>
        <w:t>Plaintiff’s complaint allege</w:t>
      </w:r>
      <w:r w:rsidR="00324F2E">
        <w:t>d</w:t>
      </w:r>
      <w:r>
        <w:t xml:space="preserve"> defendants “failed to use reasonable care to determine the truth or falsity of [the] statements before making them.”  Although none of the evidence she submitted in opposition to defendants</w:t>
      </w:r>
      <w:r w:rsidR="004A0D76">
        <w:t>’</w:t>
      </w:r>
      <w:r>
        <w:t xml:space="preserve"> motion supported that allegation, </w:t>
      </w:r>
      <w:r w:rsidR="00BF01B2">
        <w:t xml:space="preserve">evidence supplied by defendants </w:t>
      </w:r>
      <w:r>
        <w:t>did.</w:t>
      </w:r>
      <w:r w:rsidR="000145D9">
        <w:t xml:space="preserve">  </w:t>
      </w:r>
      <w:r>
        <w:t xml:space="preserve">Ngo relayed in his declaration that the photos and video on which </w:t>
      </w:r>
      <w:r w:rsidR="00324F2E">
        <w:t>defendants</w:t>
      </w:r>
      <w:r>
        <w:t xml:space="preserve"> relied in making </w:t>
      </w:r>
      <w:r w:rsidR="00324F2E">
        <w:t>their</w:t>
      </w:r>
      <w:r>
        <w:t xml:space="preserve"> comments came from another person’s Facebook post.  There </w:t>
      </w:r>
      <w:proofErr w:type="gramStart"/>
      <w:r>
        <w:t>is</w:t>
      </w:r>
      <w:proofErr w:type="gramEnd"/>
      <w:r>
        <w:t xml:space="preserve"> no indication </w:t>
      </w:r>
      <w:r w:rsidR="00324F2E">
        <w:t>defendants</w:t>
      </w:r>
      <w:r>
        <w:t xml:space="preserve"> performed any due diligence before </w:t>
      </w:r>
      <w:r w:rsidR="002135DD">
        <w:t xml:space="preserve">using them to comment about plaintiff and her family.  Quite the opposite, it appears </w:t>
      </w:r>
      <w:r w:rsidR="00324F2E">
        <w:t>they</w:t>
      </w:r>
      <w:r w:rsidR="002135DD">
        <w:t xml:space="preserve"> learned the pitfalls of blind reliance on a social media post when the original poster contacted </w:t>
      </w:r>
      <w:r w:rsidR="00324F2E">
        <w:t>Ngo</w:t>
      </w:r>
      <w:r w:rsidR="002135DD">
        <w:t xml:space="preserve"> a few weeks after the YouTube broadcast to clarify that the person depicted in the photos was plaintiff’s uncle, not her father, and that he had dubbed </w:t>
      </w:r>
      <w:r w:rsidR="00324F2E">
        <w:t xml:space="preserve">in the </w:t>
      </w:r>
      <w:r w:rsidR="002135DD">
        <w:t xml:space="preserve">communist music </w:t>
      </w:r>
      <w:r w:rsidR="00324F2E">
        <w:t>to the video</w:t>
      </w:r>
      <w:r w:rsidR="002135DD">
        <w:t>.</w:t>
      </w:r>
      <w:r w:rsidR="00324F2E">
        <w:t xml:space="preserve">  The evidence was sufficient to demonstrate minimal merit on the issue of defendants’ negligence.</w:t>
      </w:r>
    </w:p>
    <w:p w14:paraId="238EA86B" w14:textId="3B984826" w:rsidR="00BA256D" w:rsidRDefault="00BA256D" w:rsidP="00367973">
      <w:pPr>
        <w:pStyle w:val="Heading3"/>
      </w:pPr>
      <w:r>
        <w:t>Unprivileged</w:t>
      </w:r>
    </w:p>
    <w:p w14:paraId="2064FC51" w14:textId="4283F2CB" w:rsidR="00BA256D" w:rsidRDefault="00F4035F" w:rsidP="00BA256D">
      <w:pPr>
        <w:pStyle w:val="Body"/>
      </w:pPr>
      <w:r>
        <w:t xml:space="preserve">Defendants contend </w:t>
      </w:r>
      <w:r w:rsidR="00E65C19">
        <w:t xml:space="preserve">they are immune from </w:t>
      </w:r>
      <w:r w:rsidR="00FA0DDF">
        <w:t>defamation liability pursuant to a provision of federal law</w:t>
      </w:r>
      <w:r w:rsidR="00CB7493">
        <w:t xml:space="preserve"> — </w:t>
      </w:r>
      <w:bookmarkStart w:id="114" w:name="dabmci_fc76c61515c147218b1abd41956c6418"/>
      <w:r w:rsidR="006547A9">
        <w:t>section 230</w:t>
      </w:r>
      <w:bookmarkEnd w:id="114"/>
      <w:r w:rsidR="006547A9">
        <w:t xml:space="preserve"> </w:t>
      </w:r>
      <w:r w:rsidR="00CB7493">
        <w:t>—</w:t>
      </w:r>
      <w:r w:rsidR="008E34AF">
        <w:t xml:space="preserve"> because they </w:t>
      </w:r>
      <w:r w:rsidR="00E115EF">
        <w:t xml:space="preserve">simply republished something </w:t>
      </w:r>
      <w:r w:rsidR="00E115EF">
        <w:lastRenderedPageBreak/>
        <w:t xml:space="preserve">that already existed </w:t>
      </w:r>
      <w:r w:rsidR="00590950">
        <w:t>on social media</w:t>
      </w:r>
      <w:r w:rsidR="00256B5C">
        <w:t>.</w:t>
      </w:r>
      <w:r w:rsidR="00590950">
        <w:t xml:space="preserve">  </w:t>
      </w:r>
      <w:r w:rsidR="008D42E0">
        <w:t>We disagree</w:t>
      </w:r>
      <w:r w:rsidR="00680544">
        <w:t>, as the record does not evidence defendants simply republished defamatory content created by a third party</w:t>
      </w:r>
      <w:r w:rsidR="00BA1D54">
        <w:t>.</w:t>
      </w:r>
    </w:p>
    <w:p w14:paraId="44240AD5" w14:textId="0084A0F7" w:rsidR="00BA1D54" w:rsidRPr="00BA256D" w:rsidRDefault="00486435" w:rsidP="00171317">
      <w:pPr>
        <w:pStyle w:val="Body"/>
      </w:pPr>
      <w:r>
        <w:t>“</w:t>
      </w:r>
      <w:r w:rsidR="00171317">
        <w:t>In the Communications Decency Act of 1996, Congress declared</w:t>
      </w:r>
      <w:proofErr w:type="gramStart"/>
      <w:r w:rsidR="00171317">
        <w:t xml:space="preserve">:  </w:t>
      </w:r>
      <w:r>
        <w:t>‘</w:t>
      </w:r>
      <w:proofErr w:type="gramEnd"/>
      <w:r w:rsidR="00171317">
        <w:t>No provider or user of an interactive computer service shall be treated as the publisher or speaker of any information provided by another information content provider.</w:t>
      </w:r>
      <w:r>
        <w:t>’</w:t>
      </w:r>
      <w:r w:rsidR="00171317">
        <w:t xml:space="preserve">  </w:t>
      </w:r>
      <w:r w:rsidR="00A94282">
        <w:t xml:space="preserve">[Citation] </w:t>
      </w:r>
      <w:r>
        <w:t>‘</w:t>
      </w:r>
      <w:r w:rsidR="00171317">
        <w:t xml:space="preserve">No cause of action may be </w:t>
      </w:r>
      <w:proofErr w:type="gramStart"/>
      <w:r w:rsidR="00171317">
        <w:t>brought</w:t>
      </w:r>
      <w:proofErr w:type="gramEnd"/>
      <w:r w:rsidR="00171317">
        <w:t xml:space="preserve"> and no liability may be imposed under any State or local law that is inconsistent with this section.</w:t>
      </w:r>
      <w:r>
        <w:t>’</w:t>
      </w:r>
      <w:r w:rsidR="006547A9">
        <w:t xml:space="preserve"> </w:t>
      </w:r>
      <w:r w:rsidR="00171317">
        <w:t xml:space="preserve"> </w:t>
      </w:r>
      <w:r w:rsidR="0079419F">
        <w:t>[Citation]</w:t>
      </w:r>
      <w:r w:rsidR="00B949E7">
        <w:t>.</w:t>
      </w:r>
      <w:r>
        <w:t>”</w:t>
      </w:r>
      <w:r w:rsidR="006547A9">
        <w:t xml:space="preserve">  (</w:t>
      </w:r>
      <w:bookmarkStart w:id="115" w:name="dabmci_186900f58bcc474285196cb738a4082a"/>
      <w:r w:rsidR="00171317" w:rsidRPr="001A608D">
        <w:rPr>
          <w:i/>
          <w:iCs/>
        </w:rPr>
        <w:t>Barrett v. Rosenthal</w:t>
      </w:r>
      <w:r w:rsidR="00171317">
        <w:t xml:space="preserve"> (2006) 40 Cal.4th 33, 39</w:t>
      </w:r>
      <w:r w:rsidR="00F64CF8">
        <w:t xml:space="preserve"> (</w:t>
      </w:r>
      <w:r w:rsidR="00F64CF8" w:rsidRPr="00F64CF8">
        <w:rPr>
          <w:i/>
          <w:iCs/>
        </w:rPr>
        <w:t>Barrett</w:t>
      </w:r>
      <w:r w:rsidR="00F64CF8">
        <w:t>)</w:t>
      </w:r>
      <w:bookmarkEnd w:id="115"/>
      <w:r w:rsidR="007965F9">
        <w:t xml:space="preserve">, fn. </w:t>
      </w:r>
      <w:r w:rsidR="00862656">
        <w:t>o</w:t>
      </w:r>
      <w:r w:rsidR="007965F9">
        <w:t>mitted</w:t>
      </w:r>
      <w:r w:rsidR="00B949E7">
        <w:t>, citing §</w:t>
      </w:r>
      <w:r w:rsidR="00CA4568">
        <w:t xml:space="preserve"> </w:t>
      </w:r>
      <w:r w:rsidR="00B949E7">
        <w:t>230, s</w:t>
      </w:r>
      <w:r w:rsidR="00862656">
        <w:t>ubds. (c)(1)</w:t>
      </w:r>
      <w:r w:rsidR="00BE30B5">
        <w:t xml:space="preserve"> </w:t>
      </w:r>
      <w:r w:rsidR="00862656">
        <w:t>&amp;</w:t>
      </w:r>
      <w:r w:rsidR="00BE30B5">
        <w:t xml:space="preserve"> </w:t>
      </w:r>
      <w:r w:rsidR="00862656">
        <w:t>(e)(3)</w:t>
      </w:r>
      <w:r w:rsidR="001A608D">
        <w:t>.)</w:t>
      </w:r>
    </w:p>
    <w:p w14:paraId="34360DE0" w14:textId="66894371" w:rsidR="004505D7" w:rsidRDefault="002C21F8" w:rsidP="00BA256D">
      <w:pPr>
        <w:pStyle w:val="Body"/>
      </w:pPr>
      <w:r>
        <w:t xml:space="preserve">Although </w:t>
      </w:r>
      <w:r w:rsidR="00486435">
        <w:t>“</w:t>
      </w:r>
      <w:r>
        <w:t>[t]</w:t>
      </w:r>
      <w:r w:rsidR="0073688B" w:rsidRPr="0073688B">
        <w:t>hese provisions have been widely and consistently interpreted to confer broad immunity against defamation liability for those who use the Internet to publish information that originated from another source</w:t>
      </w:r>
      <w:r w:rsidR="00486435">
        <w:t>”</w:t>
      </w:r>
      <w:r w:rsidR="00F64CF8">
        <w:t xml:space="preserve"> (</w:t>
      </w:r>
      <w:bookmarkStart w:id="116" w:name="dabmci_0ecf1bb891b446a49b921287d465e288"/>
      <w:r w:rsidR="00F64CF8" w:rsidRPr="001A608D">
        <w:rPr>
          <w:i/>
          <w:iCs/>
        </w:rPr>
        <w:t>Barrett</w:t>
      </w:r>
      <w:r w:rsidR="00F64CF8">
        <w:rPr>
          <w:i/>
          <w:iCs/>
        </w:rPr>
        <w:t xml:space="preserve">, </w:t>
      </w:r>
      <w:r w:rsidR="00F64CF8" w:rsidRPr="00F64CF8">
        <w:rPr>
          <w:i/>
          <w:iCs/>
        </w:rPr>
        <w:t>supra</w:t>
      </w:r>
      <w:r w:rsidR="00F64CF8">
        <w:t xml:space="preserve">, </w:t>
      </w:r>
      <w:r w:rsidR="00F64CF8" w:rsidRPr="00F64CF8">
        <w:t>40</w:t>
      </w:r>
      <w:r w:rsidR="00F64CF8">
        <w:t xml:space="preserve"> Cal.4th at p. 39</w:t>
      </w:r>
      <w:bookmarkEnd w:id="116"/>
      <w:r w:rsidR="00F64CF8">
        <w:t>),</w:t>
      </w:r>
      <w:r w:rsidR="0073688B">
        <w:t xml:space="preserve"> </w:t>
      </w:r>
      <w:r w:rsidR="00F504C5">
        <w:t xml:space="preserve">there are recognized </w:t>
      </w:r>
      <w:r w:rsidR="00F64CF8">
        <w:t xml:space="preserve">outer </w:t>
      </w:r>
      <w:r>
        <w:t>bounds o</w:t>
      </w:r>
      <w:r w:rsidR="00F64CF8">
        <w:t>f</w:t>
      </w:r>
      <w:r>
        <w:t xml:space="preserve"> such immunity</w:t>
      </w:r>
      <w:r w:rsidR="00800325">
        <w:t xml:space="preserve">.  (See </w:t>
      </w:r>
      <w:bookmarkStart w:id="117" w:name="dabmci_808c91860299453eb1c1e435e10f498d"/>
      <w:r w:rsidR="003C39CA" w:rsidRPr="003C39CA">
        <w:rPr>
          <w:i/>
          <w:iCs/>
        </w:rPr>
        <w:t>Fair Housing Council of San Fernando Valley v. Roommates.Com, LLC</w:t>
      </w:r>
      <w:r w:rsidR="003C39CA" w:rsidRPr="003C39CA">
        <w:t xml:space="preserve"> (</w:t>
      </w:r>
      <w:r w:rsidR="00734EAA">
        <w:t xml:space="preserve">9th Cir. </w:t>
      </w:r>
      <w:r w:rsidR="003C39CA" w:rsidRPr="003C39CA">
        <w:t>2008) 521 F.3d 1157</w:t>
      </w:r>
      <w:r w:rsidR="006A1A11">
        <w:t>, 1164</w:t>
      </w:r>
      <w:r w:rsidR="003C39CA" w:rsidRPr="003C39CA">
        <w:t xml:space="preserve"> (</w:t>
      </w:r>
      <w:r w:rsidR="003C39CA" w:rsidRPr="00623530">
        <w:rPr>
          <w:i/>
          <w:iCs/>
        </w:rPr>
        <w:t>Roommates</w:t>
      </w:r>
      <w:r w:rsidR="003C39CA" w:rsidRPr="00623530">
        <w:t>)</w:t>
      </w:r>
      <w:bookmarkEnd w:id="117"/>
      <w:r w:rsidR="003C39CA" w:rsidRPr="003C39CA">
        <w:t xml:space="preserve"> </w:t>
      </w:r>
      <w:r w:rsidR="00800325">
        <w:t>[</w:t>
      </w:r>
      <w:bookmarkStart w:id="118" w:name="dabmci_41f0f653d0e442d2a11062b4939e05c0"/>
      <w:r w:rsidR="00AD6C03">
        <w:t>§</w:t>
      </w:r>
      <w:r w:rsidR="00800325">
        <w:t xml:space="preserve"> 230</w:t>
      </w:r>
      <w:bookmarkEnd w:id="118"/>
      <w:r w:rsidR="00800325">
        <w:t xml:space="preserve"> does not </w:t>
      </w:r>
      <w:r w:rsidR="00486435">
        <w:t>“</w:t>
      </w:r>
      <w:r w:rsidR="00800325" w:rsidRPr="00800325">
        <w:t>create a lawless no-man</w:t>
      </w:r>
      <w:r w:rsidR="00486435">
        <w:t>’</w:t>
      </w:r>
      <w:r w:rsidR="00800325" w:rsidRPr="00800325">
        <w:t xml:space="preserve">s-land on the </w:t>
      </w:r>
      <w:r w:rsidR="003F5B27">
        <w:t>I</w:t>
      </w:r>
      <w:r w:rsidR="00800325" w:rsidRPr="00800325">
        <w:t>nternet</w:t>
      </w:r>
      <w:r w:rsidR="00486435">
        <w:t>”</w:t>
      </w:r>
      <w:r w:rsidR="00B90B3C">
        <w:t>].</w:t>
      </w:r>
      <w:r w:rsidR="00800325">
        <w:t xml:space="preserve">)  </w:t>
      </w:r>
      <w:r w:rsidR="0000050B">
        <w:t xml:space="preserve">Of </w:t>
      </w:r>
      <w:r w:rsidR="006064BA">
        <w:t>relevance</w:t>
      </w:r>
      <w:r w:rsidR="0000050B">
        <w:t xml:space="preserve"> here, the immunity extends only to someone who </w:t>
      </w:r>
      <w:r w:rsidR="00B312DD">
        <w:t xml:space="preserve">acts as a </w:t>
      </w:r>
      <w:r w:rsidR="00A65771">
        <w:t>conduit of</w:t>
      </w:r>
      <w:r w:rsidR="0000050B">
        <w:t xml:space="preserve"> defamatory content</w:t>
      </w:r>
      <w:r w:rsidR="008D7E9A">
        <w:t xml:space="preserve"> </w:t>
      </w:r>
      <w:r w:rsidR="00C55D39">
        <w:t>created or developed by a third party</w:t>
      </w:r>
      <w:r w:rsidR="0052798F">
        <w:t>, not someone who creates or develops the defamatory content themselves</w:t>
      </w:r>
      <w:r w:rsidR="008D7E9A">
        <w:t>.  (</w:t>
      </w:r>
      <w:r w:rsidR="00C55D39">
        <w:t xml:space="preserve">See </w:t>
      </w:r>
      <w:bookmarkStart w:id="119" w:name="dabmci_c6a3fb38b3084e35b8ff301a19f0c76f"/>
      <w:r w:rsidR="00F052E9" w:rsidRPr="001A608D">
        <w:rPr>
          <w:i/>
          <w:iCs/>
        </w:rPr>
        <w:t>Barrett</w:t>
      </w:r>
      <w:r w:rsidR="00F052E9">
        <w:rPr>
          <w:i/>
          <w:iCs/>
        </w:rPr>
        <w:t>,</w:t>
      </w:r>
      <w:r w:rsidR="00F052E9">
        <w:t xml:space="preserve"> at p</w:t>
      </w:r>
      <w:r w:rsidR="00BC1D59">
        <w:t>p. 62-63</w:t>
      </w:r>
      <w:bookmarkEnd w:id="119"/>
      <w:r w:rsidR="00F052E9">
        <w:t xml:space="preserve">; </w:t>
      </w:r>
      <w:bookmarkStart w:id="120" w:name="dabmci_547fb2c3e6d1497492d579f5f8a8285e"/>
      <w:r w:rsidR="00583E50" w:rsidRPr="00D846B0">
        <w:rPr>
          <w:i/>
          <w:iCs/>
        </w:rPr>
        <w:t>Phan v. Pham</w:t>
      </w:r>
      <w:r w:rsidR="00583E50">
        <w:t xml:space="preserve"> (2010) </w:t>
      </w:r>
      <w:r w:rsidR="00417119">
        <w:t xml:space="preserve">182 Cal.App.4th 323, </w:t>
      </w:r>
      <w:r w:rsidR="00820B72">
        <w:t>328</w:t>
      </w:r>
      <w:r w:rsidR="00EF009F">
        <w:t xml:space="preserve"> (</w:t>
      </w:r>
      <w:r w:rsidR="00EF009F" w:rsidRPr="00EF009F">
        <w:rPr>
          <w:i/>
          <w:iCs/>
        </w:rPr>
        <w:t>Phan</w:t>
      </w:r>
      <w:r w:rsidR="00EF009F">
        <w:t>)</w:t>
      </w:r>
      <w:bookmarkEnd w:id="120"/>
      <w:r w:rsidR="00583E50">
        <w:t xml:space="preserve">; </w:t>
      </w:r>
      <w:r w:rsidR="00551A11" w:rsidRPr="00C2756D">
        <w:rPr>
          <w:i/>
          <w:iCs/>
        </w:rPr>
        <w:t>Room</w:t>
      </w:r>
      <w:r w:rsidR="00C2756D" w:rsidRPr="00C2756D">
        <w:rPr>
          <w:i/>
          <w:iCs/>
        </w:rPr>
        <w:t>m</w:t>
      </w:r>
      <w:r w:rsidR="00551A11" w:rsidRPr="00C2756D">
        <w:rPr>
          <w:i/>
          <w:iCs/>
        </w:rPr>
        <w:t xml:space="preserve">ates, </w:t>
      </w:r>
      <w:bookmarkStart w:id="121" w:name="dabmci_0289db34be274db9a396cd1a620e6b8b"/>
      <w:r w:rsidR="00551A11">
        <w:t>at p</w:t>
      </w:r>
      <w:r w:rsidR="007B09EE">
        <w:t>p</w:t>
      </w:r>
      <w:r w:rsidR="00551A11">
        <w:t xml:space="preserve">. </w:t>
      </w:r>
      <w:r w:rsidR="007B09EE">
        <w:t xml:space="preserve">1162, </w:t>
      </w:r>
      <w:r w:rsidR="00C2756D">
        <w:t>1167-1168</w:t>
      </w:r>
      <w:bookmarkEnd w:id="121"/>
      <w:r w:rsidR="00E271D9">
        <w:t>.)</w:t>
      </w:r>
    </w:p>
    <w:p w14:paraId="0CBD58FE" w14:textId="49F12DA3" w:rsidR="00566878" w:rsidRDefault="000D7A5E" w:rsidP="00BA256D">
      <w:pPr>
        <w:pStyle w:val="Body"/>
      </w:pPr>
      <w:r>
        <w:t>Defendants</w:t>
      </w:r>
      <w:r w:rsidR="00486435">
        <w:t>’</w:t>
      </w:r>
      <w:r>
        <w:t xml:space="preserve"> misstep is in failing to appreciate </w:t>
      </w:r>
      <w:r w:rsidR="003249D8">
        <w:t xml:space="preserve">the original source of the alleged defamatory content in this case.  </w:t>
      </w:r>
      <w:r w:rsidR="003D3D78">
        <w:t>The</w:t>
      </w:r>
      <w:r w:rsidR="001246E1">
        <w:t xml:space="preserve"> </w:t>
      </w:r>
      <w:r w:rsidR="006B1553">
        <w:t>Facebook post</w:t>
      </w:r>
      <w:r w:rsidR="00E1718A">
        <w:t xml:space="preserve"> on which </w:t>
      </w:r>
      <w:r w:rsidR="00867FB3">
        <w:t>they</w:t>
      </w:r>
      <w:r w:rsidR="00BF74EC">
        <w:t xml:space="preserve"> based their </w:t>
      </w:r>
      <w:r w:rsidR="00867FB3">
        <w:t xml:space="preserve">YouTube </w:t>
      </w:r>
      <w:r w:rsidR="00BF74EC">
        <w:t>commentary is not in the record</w:t>
      </w:r>
      <w:r w:rsidR="00DD12B3">
        <w:t xml:space="preserve">.  </w:t>
      </w:r>
      <w:r w:rsidR="00346E9B">
        <w:t>What is in the record</w:t>
      </w:r>
      <w:r w:rsidR="005571E6">
        <w:t xml:space="preserve"> is </w:t>
      </w:r>
      <w:r w:rsidR="00633886">
        <w:t xml:space="preserve">a declaration </w:t>
      </w:r>
      <w:r w:rsidR="006B1553">
        <w:t xml:space="preserve">by Ngo conveying the </w:t>
      </w:r>
      <w:r w:rsidR="00867FB3">
        <w:t>Facebook</w:t>
      </w:r>
      <w:r w:rsidR="001C4FA1">
        <w:t xml:space="preserve"> </w:t>
      </w:r>
      <w:r w:rsidR="0077474D">
        <w:t>post contained certain pictures and a video.</w:t>
      </w:r>
      <w:r w:rsidR="001831BA">
        <w:t xml:space="preserve">  </w:t>
      </w:r>
      <w:r w:rsidR="00AA033A">
        <w:t>P</w:t>
      </w:r>
      <w:r w:rsidR="00AB0959">
        <w:t>laintiff</w:t>
      </w:r>
      <w:r w:rsidR="00486435">
        <w:t>’</w:t>
      </w:r>
      <w:r w:rsidR="00AB0959">
        <w:t>s</w:t>
      </w:r>
      <w:r w:rsidR="00D508F9">
        <w:t xml:space="preserve"> </w:t>
      </w:r>
      <w:r w:rsidR="00AB0959">
        <w:t xml:space="preserve">defamation claim is not </w:t>
      </w:r>
      <w:r w:rsidR="001831BA">
        <w:t>grounded in</w:t>
      </w:r>
      <w:r w:rsidR="002C5590">
        <w:t xml:space="preserve"> those depictions</w:t>
      </w:r>
      <w:r w:rsidR="006E5FF9">
        <w:t xml:space="preserve">.  </w:t>
      </w:r>
      <w:r w:rsidR="00827B91">
        <w:t xml:space="preserve">Rather, it is aimed at </w:t>
      </w:r>
      <w:r w:rsidR="00D508F9">
        <w:t xml:space="preserve">extrapolations </w:t>
      </w:r>
      <w:r w:rsidR="00F92324">
        <w:t xml:space="preserve">about </w:t>
      </w:r>
      <w:r w:rsidR="00EA2540">
        <w:t xml:space="preserve">plaintiff made by defendants </w:t>
      </w:r>
      <w:r w:rsidR="002024F4">
        <w:t xml:space="preserve">after viewing the </w:t>
      </w:r>
      <w:r w:rsidR="00C63DFC">
        <w:t>photos and video.</w:t>
      </w:r>
      <w:r w:rsidR="00135249">
        <w:t xml:space="preserve">  </w:t>
      </w:r>
      <w:r w:rsidR="00D40180">
        <w:t xml:space="preserve">As the </w:t>
      </w:r>
      <w:r w:rsidR="00D22B16">
        <w:t xml:space="preserve">creators of the </w:t>
      </w:r>
      <w:r w:rsidR="003A44BA">
        <w:t xml:space="preserve">alleged </w:t>
      </w:r>
      <w:r w:rsidR="00D22B16">
        <w:t xml:space="preserve">defamatory content, defendants fall outside the protections of </w:t>
      </w:r>
      <w:bookmarkStart w:id="122" w:name="dabmci_81e1f7e33745498f9c12127a7b3fa838"/>
      <w:r w:rsidR="00D22B16">
        <w:t>section 230</w:t>
      </w:r>
      <w:bookmarkEnd w:id="122"/>
      <w:r w:rsidR="00D22B16">
        <w:t>.</w:t>
      </w:r>
      <w:r w:rsidR="00AE060E">
        <w:t xml:space="preserve">  (See</w:t>
      </w:r>
      <w:r w:rsidR="00312D3E">
        <w:t xml:space="preserve"> </w:t>
      </w:r>
      <w:bookmarkStart w:id="123" w:name="dabmci_886a3191d92445829e10e8c23f65c453"/>
      <w:r w:rsidR="00312D3E" w:rsidRPr="007F1660">
        <w:rPr>
          <w:i/>
          <w:iCs/>
        </w:rPr>
        <w:t>Liapes v. Facebook, Inc.</w:t>
      </w:r>
      <w:r w:rsidR="00312D3E">
        <w:t xml:space="preserve"> (2023) </w:t>
      </w:r>
      <w:r w:rsidR="007F1660">
        <w:t>95 Cal.App.5th 910, 928</w:t>
      </w:r>
      <w:bookmarkEnd w:id="123"/>
      <w:r w:rsidR="00AE060E">
        <w:t xml:space="preserve"> </w:t>
      </w:r>
      <w:r w:rsidR="009E2B83">
        <w:t>[</w:t>
      </w:r>
      <w:bookmarkStart w:id="124" w:name="dabmci_7a99f736e98147928e3b4132eea1dbc7"/>
      <w:r w:rsidR="00F84685">
        <w:t>§</w:t>
      </w:r>
      <w:r w:rsidR="009E2B83">
        <w:t xml:space="preserve"> 230</w:t>
      </w:r>
      <w:bookmarkEnd w:id="124"/>
      <w:r w:rsidR="009E2B83">
        <w:t xml:space="preserve"> does not protect person who </w:t>
      </w:r>
      <w:r w:rsidR="00B35630">
        <w:t>creates defamatory content]</w:t>
      </w:r>
      <w:r w:rsidR="00AF4A5C">
        <w:t xml:space="preserve">; </w:t>
      </w:r>
      <w:bookmarkStart w:id="125" w:name="dabmci_55b6fe1125ad4ba88eb34bcdb0b337ad"/>
      <w:r w:rsidR="00465447" w:rsidRPr="00AF4A5C">
        <w:rPr>
          <w:i/>
          <w:iCs/>
        </w:rPr>
        <w:t>La Liberte v. R</w:t>
      </w:r>
      <w:r w:rsidR="003A19A9">
        <w:rPr>
          <w:i/>
          <w:iCs/>
        </w:rPr>
        <w:t>ei</w:t>
      </w:r>
      <w:r w:rsidR="00465447" w:rsidRPr="00AF4A5C">
        <w:rPr>
          <w:i/>
          <w:iCs/>
        </w:rPr>
        <w:t>d</w:t>
      </w:r>
      <w:r w:rsidR="00465447">
        <w:t xml:space="preserve"> (</w:t>
      </w:r>
      <w:r w:rsidR="00284F19">
        <w:t xml:space="preserve">2d Cir. 2020) 966 </w:t>
      </w:r>
      <w:r w:rsidR="00284F19">
        <w:lastRenderedPageBreak/>
        <w:t xml:space="preserve">F.3d 79, </w:t>
      </w:r>
      <w:r w:rsidR="00AF4A5C">
        <w:t>89-90</w:t>
      </w:r>
      <w:bookmarkEnd w:id="125"/>
      <w:r w:rsidR="00AF4A5C">
        <w:t xml:space="preserve"> </w:t>
      </w:r>
      <w:r w:rsidR="00A26D78">
        <w:t xml:space="preserve">[concluding </w:t>
      </w:r>
      <w:bookmarkStart w:id="126" w:name="dabmci_18a37e649c4c49419e858007ac3f9ff1"/>
      <w:r w:rsidR="00F84685">
        <w:t>§</w:t>
      </w:r>
      <w:r w:rsidR="00A26D78">
        <w:t xml:space="preserve"> 230</w:t>
      </w:r>
      <w:bookmarkEnd w:id="126"/>
      <w:r w:rsidR="00A26D78">
        <w:t xml:space="preserve"> </w:t>
      </w:r>
      <w:r w:rsidR="003D21A3">
        <w:t>protection</w:t>
      </w:r>
      <w:r w:rsidR="00A26D78">
        <w:t xml:space="preserve"> did not apply because </w:t>
      </w:r>
      <w:r w:rsidR="00B26C2D">
        <w:t xml:space="preserve">social media content alleged to be defamatory was not simply </w:t>
      </w:r>
      <w:r w:rsidR="00465447">
        <w:t>repetition or sharing of content created by another]</w:t>
      </w:r>
      <w:r w:rsidR="005D155B">
        <w:t>; c</w:t>
      </w:r>
      <w:r w:rsidR="003D21A3">
        <w:t xml:space="preserve">f. </w:t>
      </w:r>
      <w:bookmarkStart w:id="127" w:name="dabmci_45c600e06b0b401baf0f6d7e4a83702f"/>
      <w:r w:rsidR="003D21A3" w:rsidRPr="00EF009F">
        <w:rPr>
          <w:i/>
          <w:iCs/>
        </w:rPr>
        <w:t>Phan, supra</w:t>
      </w:r>
      <w:r w:rsidR="003D21A3">
        <w:t xml:space="preserve">, </w:t>
      </w:r>
      <w:r w:rsidR="00135249">
        <w:t>182 Cal.App.4th at p. 328</w:t>
      </w:r>
      <w:bookmarkEnd w:id="127"/>
      <w:r w:rsidR="00135249">
        <w:t xml:space="preserve"> </w:t>
      </w:r>
      <w:r w:rsidR="003D21A3">
        <w:t xml:space="preserve">[concluding </w:t>
      </w:r>
      <w:bookmarkStart w:id="128" w:name="dabmci_8173a62738084518b423bfee69db94e7"/>
      <w:r w:rsidR="00F84685">
        <w:t>§</w:t>
      </w:r>
      <w:r w:rsidR="003D21A3">
        <w:t xml:space="preserve"> 230</w:t>
      </w:r>
      <w:bookmarkEnd w:id="128"/>
      <w:r w:rsidR="003D21A3">
        <w:t xml:space="preserve"> protection </w:t>
      </w:r>
      <w:r w:rsidR="009145C1">
        <w:t>applied</w:t>
      </w:r>
      <w:r w:rsidR="003D21A3">
        <w:t xml:space="preserve"> </w:t>
      </w:r>
      <w:r w:rsidR="00816BA5">
        <w:t xml:space="preserve">because </w:t>
      </w:r>
      <w:r w:rsidR="004F7B6A">
        <w:t xml:space="preserve">plaintiff simply forwarded </w:t>
      </w:r>
      <w:r w:rsidR="00135249">
        <w:t>alleged defamatory e-mail with no material contribution to its substance]</w:t>
      </w:r>
      <w:r w:rsidR="00465447">
        <w:t>.)</w:t>
      </w:r>
    </w:p>
    <w:p w14:paraId="2DC7B32B" w14:textId="07A74463" w:rsidR="00566878" w:rsidRDefault="00566878" w:rsidP="00D22B16">
      <w:pPr>
        <w:pStyle w:val="Heading1"/>
      </w:pPr>
      <w:r w:rsidRPr="00D22B16">
        <w:t>DISPOSITION</w:t>
      </w:r>
    </w:p>
    <w:p w14:paraId="453C5263" w14:textId="2CD06678" w:rsidR="00566878" w:rsidRDefault="00566878" w:rsidP="00566878">
      <w:pPr>
        <w:pStyle w:val="Body"/>
      </w:pPr>
      <w:r>
        <w:t xml:space="preserve">The judgment is </w:t>
      </w:r>
      <w:r w:rsidR="00F93F0C" w:rsidRPr="002B6569">
        <w:t>reversed</w:t>
      </w:r>
      <w:r w:rsidRPr="002B6569">
        <w:t xml:space="preserve">.  </w:t>
      </w:r>
      <w:r w:rsidR="002B6569" w:rsidRPr="002B6569">
        <w:t xml:space="preserve">On remand, the trial court is directed to strike its order granting defendants’ anti-SLAPP motion, and </w:t>
      </w:r>
      <w:r w:rsidR="00905FC2">
        <w:t xml:space="preserve">to </w:t>
      </w:r>
      <w:r w:rsidR="002B6569" w:rsidRPr="002B6569">
        <w:t xml:space="preserve">enter a new order denying such motion </w:t>
      </w:r>
      <w:r w:rsidR="00B62A09">
        <w:t xml:space="preserve">with respect to plaintiff’s defamation claim and granting it </w:t>
      </w:r>
      <w:r w:rsidR="00B57104">
        <w:t>with respect to plaintiff’s claims for intentional and negligent infliction of emotional distress</w:t>
      </w:r>
      <w:r w:rsidR="002B6569" w:rsidRPr="002B6569">
        <w:t xml:space="preserve">.  </w:t>
      </w:r>
      <w:r w:rsidR="002B6569">
        <w:t>Plaintiff</w:t>
      </w:r>
      <w:r w:rsidR="00F93F0C" w:rsidRPr="002B6569">
        <w:t xml:space="preserve"> is</w:t>
      </w:r>
      <w:r w:rsidRPr="002B6569">
        <w:t xml:space="preserve"> entitled</w:t>
      </w:r>
      <w:r>
        <w:t xml:space="preserve"> to costs on appeal.</w:t>
      </w:r>
    </w:p>
    <w:p w14:paraId="3B7CD907" w14:textId="77777777" w:rsidR="00486435" w:rsidRDefault="00486435" w:rsidP="00486435"/>
    <w:p w14:paraId="1CA32BB3" w14:textId="77777777" w:rsidR="00486435" w:rsidRDefault="00486435" w:rsidP="00486435">
      <w:pPr>
        <w:keepNext/>
        <w:tabs>
          <w:tab w:val="left" w:pos="5040"/>
        </w:tabs>
        <w:spacing w:line="240" w:lineRule="auto"/>
      </w:pPr>
    </w:p>
    <w:p w14:paraId="5E77F4D1" w14:textId="3C1ED803" w:rsidR="00486435" w:rsidRDefault="00486435" w:rsidP="00486435">
      <w:pPr>
        <w:keepNext/>
        <w:tabs>
          <w:tab w:val="left" w:pos="5040"/>
        </w:tabs>
        <w:spacing w:line="240" w:lineRule="auto"/>
      </w:pPr>
      <w:r>
        <w:tab/>
      </w:r>
    </w:p>
    <w:p w14:paraId="772B7EC3" w14:textId="69584529" w:rsidR="00486435" w:rsidRDefault="00486435" w:rsidP="00486435">
      <w:pPr>
        <w:keepNext/>
        <w:tabs>
          <w:tab w:val="left" w:pos="5040"/>
        </w:tabs>
        <w:spacing w:line="240" w:lineRule="auto"/>
      </w:pPr>
      <w:r>
        <w:tab/>
        <w:t>DELANEY, J.</w:t>
      </w:r>
    </w:p>
    <w:p w14:paraId="21557633" w14:textId="77777777" w:rsidR="00486435" w:rsidRDefault="00486435" w:rsidP="00486435">
      <w:pPr>
        <w:keepNext/>
        <w:tabs>
          <w:tab w:val="left" w:pos="5040"/>
        </w:tabs>
        <w:spacing w:line="240" w:lineRule="auto"/>
      </w:pPr>
    </w:p>
    <w:p w14:paraId="490E241D" w14:textId="3E8C5A75" w:rsidR="00486435" w:rsidRDefault="00486435" w:rsidP="00486435">
      <w:pPr>
        <w:keepNext/>
        <w:tabs>
          <w:tab w:val="left" w:pos="5040"/>
        </w:tabs>
        <w:spacing w:line="240" w:lineRule="auto"/>
      </w:pPr>
      <w:r>
        <w:t>WE CONCUR:</w:t>
      </w:r>
    </w:p>
    <w:p w14:paraId="554388F2" w14:textId="77777777" w:rsidR="00486435" w:rsidRDefault="00486435" w:rsidP="00486435">
      <w:pPr>
        <w:keepNext/>
        <w:tabs>
          <w:tab w:val="left" w:pos="5040"/>
        </w:tabs>
        <w:spacing w:line="240" w:lineRule="auto"/>
      </w:pPr>
    </w:p>
    <w:p w14:paraId="0D8BD9F8" w14:textId="77777777" w:rsidR="00486435" w:rsidRDefault="00486435" w:rsidP="00486435">
      <w:pPr>
        <w:keepNext/>
        <w:tabs>
          <w:tab w:val="left" w:pos="5040"/>
        </w:tabs>
        <w:spacing w:line="240" w:lineRule="auto"/>
      </w:pPr>
    </w:p>
    <w:p w14:paraId="2A4D1104" w14:textId="2F235C57" w:rsidR="00486435" w:rsidRDefault="00486435" w:rsidP="00486435">
      <w:pPr>
        <w:keepNext/>
        <w:tabs>
          <w:tab w:val="left" w:pos="5040"/>
        </w:tabs>
        <w:spacing w:line="240" w:lineRule="auto"/>
      </w:pPr>
    </w:p>
    <w:p w14:paraId="3A9FC0F6" w14:textId="1DBA75DC" w:rsidR="00486435" w:rsidRDefault="00486435" w:rsidP="00486435">
      <w:pPr>
        <w:keepNext/>
        <w:tabs>
          <w:tab w:val="left" w:pos="5040"/>
        </w:tabs>
        <w:spacing w:line="240" w:lineRule="auto"/>
      </w:pPr>
      <w:r>
        <w:t>SANCHEZ, ACTING P. J.</w:t>
      </w:r>
    </w:p>
    <w:p w14:paraId="0FD5D475" w14:textId="77777777" w:rsidR="00486435" w:rsidRDefault="00486435" w:rsidP="00486435">
      <w:pPr>
        <w:keepNext/>
        <w:tabs>
          <w:tab w:val="left" w:pos="5040"/>
        </w:tabs>
        <w:spacing w:line="240" w:lineRule="auto"/>
      </w:pPr>
    </w:p>
    <w:p w14:paraId="6D56CF53" w14:textId="77777777" w:rsidR="00486435" w:rsidRDefault="00486435" w:rsidP="00486435">
      <w:pPr>
        <w:keepNext/>
        <w:tabs>
          <w:tab w:val="left" w:pos="5040"/>
        </w:tabs>
        <w:spacing w:line="240" w:lineRule="auto"/>
      </w:pPr>
    </w:p>
    <w:p w14:paraId="16F739A5" w14:textId="08112640" w:rsidR="00486435" w:rsidRDefault="00486435" w:rsidP="00486435">
      <w:pPr>
        <w:keepNext/>
        <w:tabs>
          <w:tab w:val="left" w:pos="5040"/>
        </w:tabs>
        <w:spacing w:line="240" w:lineRule="auto"/>
      </w:pPr>
    </w:p>
    <w:p w14:paraId="3784A100" w14:textId="76213C76" w:rsidR="00486435" w:rsidRDefault="00486435" w:rsidP="00486435">
      <w:pPr>
        <w:keepNext/>
        <w:tabs>
          <w:tab w:val="left" w:pos="5040"/>
        </w:tabs>
        <w:spacing w:line="240" w:lineRule="auto"/>
      </w:pPr>
      <w:r>
        <w:t>MOTOIKE, J.</w:t>
      </w:r>
    </w:p>
    <w:p w14:paraId="0FB5DD52" w14:textId="77777777" w:rsidR="00486435" w:rsidRDefault="00486435" w:rsidP="00486435">
      <w:pPr>
        <w:keepNext/>
        <w:tabs>
          <w:tab w:val="left" w:pos="5040"/>
        </w:tabs>
        <w:spacing w:line="240" w:lineRule="auto"/>
      </w:pPr>
    </w:p>
    <w:p w14:paraId="1E1C918C" w14:textId="77777777" w:rsidR="00566878" w:rsidRPr="00566878" w:rsidRDefault="00566878" w:rsidP="00566878"/>
    <w:sectPr w:rsidR="00566878" w:rsidRPr="00566878" w:rsidSect="005668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F313B" w14:textId="77777777" w:rsidR="0098554E" w:rsidRDefault="0098554E" w:rsidP="00566878">
      <w:pPr>
        <w:spacing w:line="240" w:lineRule="auto"/>
      </w:pPr>
      <w:r>
        <w:separator/>
      </w:r>
    </w:p>
  </w:endnote>
  <w:endnote w:type="continuationSeparator" w:id="0">
    <w:p w14:paraId="6770E150" w14:textId="77777777" w:rsidR="0098554E" w:rsidRDefault="0098554E" w:rsidP="00566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270D" w14:textId="3E541E96" w:rsidR="00566878" w:rsidRDefault="00566878" w:rsidP="000A1F8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A39A9">
      <w:rPr>
        <w:rStyle w:val="PageNumber"/>
        <w:noProof/>
      </w:rPr>
      <w:t>2</w:t>
    </w:r>
    <w:r>
      <w:rPr>
        <w:rStyle w:val="PageNumber"/>
      </w:rPr>
      <w:fldChar w:fldCharType="end"/>
    </w:r>
  </w:p>
  <w:p w14:paraId="49131DA0" w14:textId="77777777" w:rsidR="00566878" w:rsidRDefault="005668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3D44" w14:textId="77777777" w:rsidR="00566878" w:rsidRDefault="00566878" w:rsidP="000A1F8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A5A2275" w14:textId="77777777" w:rsidR="00566878" w:rsidRDefault="005668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8E2B" w14:textId="77777777" w:rsidR="005542D8" w:rsidRDefault="00554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594A1" w14:textId="77777777" w:rsidR="0098554E" w:rsidRDefault="0098554E" w:rsidP="00566878">
      <w:pPr>
        <w:spacing w:line="240" w:lineRule="auto"/>
      </w:pPr>
      <w:r>
        <w:separator/>
      </w:r>
    </w:p>
  </w:footnote>
  <w:footnote w:type="continuationSeparator" w:id="0">
    <w:p w14:paraId="569FC543" w14:textId="77777777" w:rsidR="0098554E" w:rsidRDefault="0098554E" w:rsidP="00566878">
      <w:pPr>
        <w:spacing w:line="240" w:lineRule="auto"/>
      </w:pPr>
      <w:r>
        <w:continuationSeparator/>
      </w:r>
    </w:p>
  </w:footnote>
  <w:footnote w:id="1">
    <w:p w14:paraId="5BFFA960" w14:textId="3F9C5461" w:rsidR="00B87907" w:rsidRDefault="00B87907" w:rsidP="00E47C5E">
      <w:pPr>
        <w:pStyle w:val="FootnoteText"/>
        <w:spacing w:line="240" w:lineRule="auto"/>
      </w:pPr>
      <w:r w:rsidRPr="00E47C5E">
        <w:rPr>
          <w:rStyle w:val="FootnoteReference"/>
          <w:color w:val="auto"/>
        </w:rPr>
        <w:t>*</w:t>
      </w:r>
      <w:r w:rsidRPr="00E47C5E">
        <w:t xml:space="preserve"> </w:t>
      </w:r>
      <w:r>
        <w:tab/>
      </w:r>
      <w:r w:rsidR="00E47C5E">
        <w:tab/>
      </w:r>
      <w:r>
        <w:t xml:space="preserve">Pursuant to California Rules of Court, rule 8.1105(b) and 8.1110, this opinion is certified for publication </w:t>
      </w:r>
      <w:proofErr w:type="gramStart"/>
      <w:r>
        <w:t>with the exception of</w:t>
      </w:r>
      <w:proofErr w:type="gramEnd"/>
      <w:r>
        <w:t xml:space="preserve"> part</w:t>
      </w:r>
      <w:r w:rsidR="00E47C5E">
        <w:t xml:space="preserve">s III B through E of the Discussion. </w:t>
      </w:r>
      <w:r>
        <w:t xml:space="preserve"> </w:t>
      </w:r>
    </w:p>
  </w:footnote>
  <w:footnote w:id="2">
    <w:p w14:paraId="17D1215F" w14:textId="041DA40F" w:rsidR="00B62A09" w:rsidRDefault="00B62A09" w:rsidP="00804C34">
      <w:pPr>
        <w:pStyle w:val="FootnoteText"/>
        <w:spacing w:line="240" w:lineRule="auto"/>
      </w:pPr>
      <w:r w:rsidRPr="00585EC0">
        <w:rPr>
          <w:rStyle w:val="FootnoteReference"/>
          <w:color w:val="auto"/>
        </w:rPr>
        <w:footnoteRef/>
      </w:r>
      <w:r>
        <w:t xml:space="preserve"> </w:t>
      </w:r>
      <w:r>
        <w:tab/>
      </w:r>
      <w:r>
        <w:tab/>
      </w:r>
      <w:r w:rsidRPr="00A07C14">
        <w:t xml:space="preserve">All further statutory references are to the </w:t>
      </w:r>
      <w:r>
        <w:t>Code of Civil Procedure</w:t>
      </w:r>
      <w:r w:rsidR="00804C34">
        <w:t>, unless otherwise indicated</w:t>
      </w:r>
      <w:r w:rsidRPr="00A07C14">
        <w:t>.</w:t>
      </w:r>
    </w:p>
  </w:footnote>
  <w:footnote w:id="3">
    <w:p w14:paraId="046EA2D0" w14:textId="50BDB5CD" w:rsidR="0078476E" w:rsidRDefault="0078476E">
      <w:pPr>
        <w:pStyle w:val="FootnoteText"/>
      </w:pPr>
      <w:r w:rsidRPr="00804C34">
        <w:rPr>
          <w:rStyle w:val="FootnoteReference"/>
          <w:color w:val="auto"/>
        </w:rPr>
        <w:footnoteRef/>
      </w:r>
      <w:r w:rsidRPr="00804C34">
        <w:t xml:space="preserve"> </w:t>
      </w:r>
      <w:r>
        <w:tab/>
      </w:r>
      <w:r>
        <w:tab/>
        <w:t xml:space="preserve">We refer individually to defendants by their </w:t>
      </w:r>
      <w:r w:rsidR="007914CE">
        <w:t xml:space="preserve">last </w:t>
      </w:r>
      <w:r>
        <w:t>names</w:t>
      </w:r>
      <w:r w:rsidR="00E6284E">
        <w:t>,</w:t>
      </w:r>
      <w:r>
        <w:t xml:space="preserve"> </w:t>
      </w:r>
      <w:proofErr w:type="gramStart"/>
      <w:r>
        <w:t>Nam</w:t>
      </w:r>
      <w:proofErr w:type="gramEnd"/>
      <w:r>
        <w:t xml:space="preserve"> and Ngo.</w:t>
      </w:r>
    </w:p>
  </w:footnote>
  <w:footnote w:id="4">
    <w:p w14:paraId="5F1DB196" w14:textId="405A8D49" w:rsidR="00EC272B" w:rsidRDefault="00EC272B" w:rsidP="00787067">
      <w:pPr>
        <w:pStyle w:val="FootnoteText"/>
        <w:spacing w:line="240" w:lineRule="auto"/>
      </w:pPr>
      <w:r w:rsidRPr="00787067">
        <w:rPr>
          <w:rStyle w:val="FootnoteReference"/>
          <w:color w:val="auto"/>
        </w:rPr>
        <w:footnoteRef/>
      </w:r>
      <w:r w:rsidRPr="00787067">
        <w:t xml:space="preserve"> </w:t>
      </w:r>
      <w:r>
        <w:tab/>
      </w:r>
      <w:r w:rsidR="00787067">
        <w:tab/>
      </w:r>
      <w:r>
        <w:t xml:space="preserve">A separate </w:t>
      </w:r>
      <w:r w:rsidR="00787067">
        <w:t>declaration</w:t>
      </w:r>
      <w:r>
        <w:t xml:space="preserve"> clarified plaintiff also goes by the name </w:t>
      </w:r>
      <w:r w:rsidR="00B7776A">
        <w:t xml:space="preserve">Lan </w:t>
      </w:r>
      <w:proofErr w:type="gramStart"/>
      <w:r w:rsidR="00B7776A">
        <w:t>Vu</w:t>
      </w:r>
      <w:r w:rsidR="007914CE">
        <w:t>,</w:t>
      </w:r>
      <w:r w:rsidR="00B7776A">
        <w:t xml:space="preserve"> </w:t>
      </w:r>
      <w:r w:rsidR="0099768B">
        <w:t xml:space="preserve"> </w:t>
      </w:r>
      <w:r w:rsidR="007914CE">
        <w:t>a</w:t>
      </w:r>
      <w:proofErr w:type="gramEnd"/>
      <w:r w:rsidR="00B7776A">
        <w:t xml:space="preserve"> statement with which plaintiff appears to agree. </w:t>
      </w:r>
      <w:r w:rsidR="0099768B">
        <w:t xml:space="preserve"> </w:t>
      </w:r>
      <w:r w:rsidR="00B7776A">
        <w:t xml:space="preserve">For clarity, we refer to her as plaintiff. </w:t>
      </w:r>
    </w:p>
  </w:footnote>
  <w:footnote w:id="5">
    <w:p w14:paraId="3FEDE9E0" w14:textId="03E1B0F1" w:rsidR="005530A0" w:rsidRDefault="005530A0" w:rsidP="005530A0">
      <w:pPr>
        <w:pStyle w:val="FootnoteText"/>
        <w:spacing w:line="240" w:lineRule="auto"/>
      </w:pPr>
      <w:r w:rsidRPr="005530A0">
        <w:rPr>
          <w:rStyle w:val="FootnoteReference"/>
          <w:color w:val="auto"/>
        </w:rPr>
        <w:footnoteRef/>
      </w:r>
      <w:r>
        <w:t xml:space="preserve"> </w:t>
      </w:r>
      <w:r>
        <w:tab/>
      </w:r>
      <w:r>
        <w:tab/>
        <w:t xml:space="preserve">The original </w:t>
      </w:r>
      <w:r w:rsidR="007F7039">
        <w:t>broadcast</w:t>
      </w:r>
      <w:r>
        <w:t xml:space="preserve"> was in Vietnamese.  The transcript provides both the original Vietnamese and an English translation performed by a certified court interpreter.</w:t>
      </w:r>
    </w:p>
  </w:footnote>
  <w:footnote w:id="6">
    <w:p w14:paraId="36B79E52" w14:textId="1E120674" w:rsidR="00635547" w:rsidRPr="00635547" w:rsidRDefault="00635547" w:rsidP="00635547">
      <w:pPr>
        <w:pStyle w:val="FootnoteText"/>
        <w:spacing w:line="240" w:lineRule="auto"/>
      </w:pPr>
      <w:r w:rsidRPr="00635547">
        <w:rPr>
          <w:rStyle w:val="FootnoteReference"/>
          <w:color w:val="auto"/>
        </w:rPr>
        <w:footnoteRef/>
      </w:r>
      <w:r>
        <w:t xml:space="preserve"> </w:t>
      </w:r>
      <w:r>
        <w:tab/>
      </w:r>
      <w:r>
        <w:tab/>
        <w:t xml:space="preserve">Due to </w:t>
      </w:r>
      <w:r w:rsidR="006F337C">
        <w:t>its action on</w:t>
      </w:r>
      <w:r>
        <w:t xml:space="preserve"> the anti-SLAPP motion, the court concluded defendants</w:t>
      </w:r>
      <w:r w:rsidR="00486435">
        <w:t>’</w:t>
      </w:r>
      <w:r>
        <w:t xml:space="preserve"> demurrer to the complaint was moot and did not rule on it. </w:t>
      </w:r>
    </w:p>
  </w:footnote>
  <w:footnote w:id="7">
    <w:p w14:paraId="59B81117" w14:textId="4009E13B" w:rsidR="00B12764" w:rsidRDefault="00B12764" w:rsidP="00DC4CE8">
      <w:pPr>
        <w:pStyle w:val="FootnoteText"/>
        <w:spacing w:line="240" w:lineRule="auto"/>
      </w:pPr>
      <w:r w:rsidRPr="00CE5D82">
        <w:rPr>
          <w:rStyle w:val="FootnoteReference"/>
          <w:color w:val="auto"/>
        </w:rPr>
        <w:footnoteRef/>
      </w:r>
      <w:r w:rsidRPr="00CE5D82">
        <w:t xml:space="preserve"> </w:t>
      </w:r>
      <w:r>
        <w:tab/>
      </w:r>
      <w:r>
        <w:tab/>
        <w:t>Plaintiff</w:t>
      </w:r>
      <w:r w:rsidR="00486435">
        <w:t>’</w:t>
      </w:r>
      <w:r>
        <w:t>s notice of appeal also indicated she was appealing from the order denying her reconsideration motion.  However, such an order is not separately appealable</w:t>
      </w:r>
      <w:r w:rsidR="002A33D6">
        <w:t>; it</w:t>
      </w:r>
      <w:r w:rsidR="00EB570D">
        <w:t xml:space="preserve"> is reviewable on appeal from the underlying </w:t>
      </w:r>
      <w:r w:rsidR="00DC4CE8">
        <w:t xml:space="preserve">order for which she sought reconsideration and from which she </w:t>
      </w:r>
      <w:r w:rsidR="00A50A6E">
        <w:t xml:space="preserve">timely </w:t>
      </w:r>
      <w:r w:rsidR="00DC4CE8">
        <w:t>appealed.  (</w:t>
      </w:r>
      <w:r w:rsidR="00CE5D82">
        <w:t>§ 1008, subd. (g)</w:t>
      </w:r>
      <w:r w:rsidR="00DC4CE8">
        <w:t>.)</w:t>
      </w:r>
    </w:p>
  </w:footnote>
  <w:footnote w:id="8">
    <w:p w14:paraId="7EF8BA01" w14:textId="6EE2CF4D" w:rsidR="008723FC" w:rsidRDefault="008723FC" w:rsidP="00C00DF9">
      <w:pPr>
        <w:pStyle w:val="FootnoteText"/>
        <w:spacing w:line="240" w:lineRule="auto"/>
      </w:pPr>
      <w:r w:rsidRPr="00463315">
        <w:rPr>
          <w:rStyle w:val="FootnoteReference"/>
          <w:color w:val="auto"/>
        </w:rPr>
        <w:footnoteRef/>
      </w:r>
      <w:r w:rsidRPr="00463315">
        <w:t xml:space="preserve"> </w:t>
      </w:r>
      <w:r>
        <w:tab/>
      </w:r>
      <w:r>
        <w:tab/>
        <w:t xml:space="preserve">To support their argument, defendants cite </w:t>
      </w:r>
      <w:r w:rsidR="001D0CCC">
        <w:t xml:space="preserve">cases discussing </w:t>
      </w:r>
      <w:r w:rsidR="00CA7D74">
        <w:t>whether something is a matter of public concern for purposes of determining applicability of the anti-SLAPP statute.</w:t>
      </w:r>
      <w:r w:rsidR="00DC1E97">
        <w:t xml:space="preserve">  </w:t>
      </w:r>
      <w:r w:rsidR="005705AF">
        <w:t>(</w:t>
      </w:r>
      <w:bookmarkStart w:id="32" w:name="dabmci_cb37cf5c56484847af8e95f7dcfba710"/>
      <w:r w:rsidR="00F36B92" w:rsidRPr="00F36B92">
        <w:rPr>
          <w:i/>
          <w:iCs/>
        </w:rPr>
        <w:t>Sandlin v. McLaughlin</w:t>
      </w:r>
      <w:r w:rsidR="00F36B92">
        <w:t xml:space="preserve"> (2020) 50 Cal.App.5th 805, 825</w:t>
      </w:r>
      <w:bookmarkEnd w:id="32"/>
      <w:r w:rsidR="00F36B92">
        <w:t xml:space="preserve">; </w:t>
      </w:r>
      <w:bookmarkStart w:id="33" w:name="dabmci_b741035469ac43cb9f8745a2740dafa7"/>
      <w:r w:rsidR="00F36B92" w:rsidRPr="00F36B92">
        <w:rPr>
          <w:i/>
          <w:iCs/>
        </w:rPr>
        <w:t>Sonoma Media Investments, LLC v. Superior Court</w:t>
      </w:r>
      <w:r w:rsidR="00F36B92">
        <w:t xml:space="preserve"> (2019) 34 Cal.App.5th 24, 35-36</w:t>
      </w:r>
      <w:bookmarkEnd w:id="33"/>
      <w:r w:rsidR="00BC7070">
        <w:t xml:space="preserve"> (</w:t>
      </w:r>
      <w:r w:rsidR="00BC7070" w:rsidRPr="00BC7070">
        <w:rPr>
          <w:i/>
          <w:iCs/>
        </w:rPr>
        <w:t>Sonoma</w:t>
      </w:r>
      <w:r w:rsidR="00BC7070">
        <w:t>)</w:t>
      </w:r>
      <w:r w:rsidR="00F36B92">
        <w:t xml:space="preserve">; </w:t>
      </w:r>
      <w:bookmarkStart w:id="34" w:name="dabmci_dfa53110f6bb400fbce22985efeae3d4"/>
      <w:r w:rsidR="00CE5C44" w:rsidRPr="00F36B92">
        <w:rPr>
          <w:i/>
          <w:iCs/>
        </w:rPr>
        <w:t>Vogel v. Felice</w:t>
      </w:r>
      <w:r w:rsidR="00CE5C44">
        <w:t xml:space="preserve"> (2005) 127 Cal.App.4th 1006</w:t>
      </w:r>
      <w:r w:rsidR="0052177F">
        <w:t xml:space="preserve">, </w:t>
      </w:r>
      <w:r w:rsidR="00165001">
        <w:t>1015</w:t>
      </w:r>
      <w:bookmarkEnd w:id="34"/>
      <w:r w:rsidR="00CE5C44">
        <w:t xml:space="preserve">; </w:t>
      </w:r>
      <w:bookmarkStart w:id="35" w:name="dabmci_8bc0a2380dc149a7b49dc8d2bf53ae45"/>
      <w:r w:rsidR="00614372" w:rsidRPr="00F36B92">
        <w:rPr>
          <w:i/>
          <w:iCs/>
        </w:rPr>
        <w:t>Conroy v. Spitzer</w:t>
      </w:r>
      <w:r w:rsidR="00614372">
        <w:t xml:space="preserve"> (1999) 70 Cal.App.4th 14</w:t>
      </w:r>
      <w:r w:rsidR="00F8500C">
        <w:t>4</w:t>
      </w:r>
      <w:r w:rsidR="00614372">
        <w:t>6</w:t>
      </w:r>
      <w:r w:rsidR="00F8500C">
        <w:t>, 1451</w:t>
      </w:r>
      <w:bookmarkEnd w:id="35"/>
      <w:r w:rsidR="005705AF">
        <w:t xml:space="preserve">.)  </w:t>
      </w:r>
      <w:r w:rsidR="00DC1E97">
        <w:t xml:space="preserve">They also extensively </w:t>
      </w:r>
      <w:r w:rsidR="00CF03A0">
        <w:t>quote</w:t>
      </w:r>
      <w:r w:rsidR="00DC1E97">
        <w:t xml:space="preserve"> a case which </w:t>
      </w:r>
      <w:r w:rsidR="008D71E2">
        <w:t xml:space="preserve">predated </w:t>
      </w:r>
      <w:r w:rsidR="008D71E2" w:rsidRPr="008D71E2">
        <w:rPr>
          <w:i/>
          <w:iCs/>
        </w:rPr>
        <w:t>Gertz</w:t>
      </w:r>
      <w:r w:rsidR="008D71E2">
        <w:t xml:space="preserve">, </w:t>
      </w:r>
      <w:r w:rsidR="002E2824" w:rsidRPr="002E2824">
        <w:t>did not involve a public figure analysis</w:t>
      </w:r>
      <w:r w:rsidR="008D71E2">
        <w:t>,</w:t>
      </w:r>
      <w:r w:rsidR="002E2824" w:rsidRPr="002E2824">
        <w:t xml:space="preserve"> </w:t>
      </w:r>
      <w:r w:rsidR="002E2824">
        <w:t xml:space="preserve">and which </w:t>
      </w:r>
      <w:r w:rsidR="00DC1E97">
        <w:t xml:space="preserve">concerned </w:t>
      </w:r>
      <w:r w:rsidR="001634C2">
        <w:t xml:space="preserve">an alleged </w:t>
      </w:r>
      <w:r w:rsidR="001C3C56">
        <w:t xml:space="preserve">invasion of privacy, a tort which the </w:t>
      </w:r>
      <w:r w:rsidR="005705AF">
        <w:t xml:space="preserve">Supreme Court in the same opinion </w:t>
      </w:r>
      <w:r w:rsidR="00307AC7">
        <w:t>said was distinct from libe</w:t>
      </w:r>
      <w:r w:rsidR="00FF0DE8">
        <w:t>l</w:t>
      </w:r>
      <w:r w:rsidR="00307AC7">
        <w:t>.</w:t>
      </w:r>
      <w:r w:rsidR="005E0543">
        <w:t xml:space="preserve">  (</w:t>
      </w:r>
      <w:bookmarkStart w:id="36" w:name="dabmci_589ed6e029b448e3b7d76a28af63e661"/>
      <w:r w:rsidR="00105654" w:rsidRPr="002E2824">
        <w:rPr>
          <w:i/>
          <w:iCs/>
        </w:rPr>
        <w:t>Kapellas v. Kofman</w:t>
      </w:r>
      <w:r w:rsidR="00105654">
        <w:t xml:space="preserve"> (19</w:t>
      </w:r>
      <w:r w:rsidR="002E2824">
        <w:t xml:space="preserve">69) 1 Cal.3d 20, </w:t>
      </w:r>
      <w:r w:rsidR="00D7655B">
        <w:t>35</w:t>
      </w:r>
      <w:bookmarkEnd w:id="36"/>
      <w:r w:rsidR="001C2B88">
        <w:t>.)</w:t>
      </w:r>
    </w:p>
    <w:p w14:paraId="31A88B6E" w14:textId="77777777" w:rsidR="0013032E" w:rsidRDefault="0013032E" w:rsidP="00C00DF9">
      <w:pPr>
        <w:pStyle w:val="FootnoteText"/>
        <w:spacing w:line="240" w:lineRule="auto"/>
      </w:pPr>
    </w:p>
  </w:footnote>
  <w:footnote w:id="9">
    <w:p w14:paraId="387FC224" w14:textId="5346B885" w:rsidR="00727903" w:rsidRDefault="00727903" w:rsidP="00F0325B">
      <w:pPr>
        <w:pStyle w:val="FootnoteText"/>
        <w:spacing w:line="240" w:lineRule="auto"/>
      </w:pPr>
      <w:r w:rsidRPr="00F0325B">
        <w:rPr>
          <w:rStyle w:val="FootnoteReference"/>
          <w:color w:val="auto"/>
        </w:rPr>
        <w:footnoteRef/>
      </w:r>
      <w:r>
        <w:t xml:space="preserve"> </w:t>
      </w:r>
      <w:r>
        <w:tab/>
      </w:r>
      <w:r>
        <w:tab/>
        <w:t xml:space="preserve">We do not consider any of the evidence offered by plaintiff or defendants </w:t>
      </w:r>
      <w:r w:rsidR="00F0325B">
        <w:t>in conjunction with plaintiff</w:t>
      </w:r>
      <w:r w:rsidR="00486435">
        <w:t>’</w:t>
      </w:r>
      <w:r w:rsidR="00F0325B">
        <w:t xml:space="preserve">s motion for reconsideration.  </w:t>
      </w:r>
      <w:r w:rsidR="0013032E">
        <w:t xml:space="preserve">Having reviewed such evidence, it is clear </w:t>
      </w:r>
      <w:r w:rsidR="007F432E">
        <w:t xml:space="preserve">it all would have been available at the time of the anti-SLAPP motion </w:t>
      </w:r>
      <w:r w:rsidR="00A50F10">
        <w:t>and n</w:t>
      </w:r>
      <w:r w:rsidR="0013032E">
        <w:t xml:space="preserve">either side </w:t>
      </w:r>
      <w:r w:rsidR="00C00B10">
        <w:t>explained</w:t>
      </w:r>
      <w:r w:rsidR="0013032E">
        <w:t xml:space="preserve"> </w:t>
      </w:r>
      <w:r w:rsidR="00A50F10">
        <w:t xml:space="preserve">why </w:t>
      </w:r>
      <w:r w:rsidR="00C00B10">
        <w:t>they</w:t>
      </w:r>
      <w:r w:rsidR="00A50F10">
        <w:t xml:space="preserve"> failed to previously present </w:t>
      </w:r>
      <w:r w:rsidR="00C00B10">
        <w:t>it</w:t>
      </w:r>
      <w:r w:rsidR="00A50F10">
        <w:t>.</w:t>
      </w:r>
      <w:r w:rsidR="001143C4">
        <w:t xml:space="preserve">  </w:t>
      </w:r>
      <w:r w:rsidR="00B910CB">
        <w:t>(§ 1008, subd. (</w:t>
      </w:r>
      <w:r w:rsidR="005D499E">
        <w:t xml:space="preserve">a); </w:t>
      </w:r>
      <w:bookmarkStart w:id="42" w:name="dabmci_ecbf77c78459431ca09d1b45c035d200"/>
      <w:r w:rsidR="002622CE" w:rsidRPr="00B24E61">
        <w:rPr>
          <w:i/>
          <w:iCs/>
        </w:rPr>
        <w:t>Shiffer v. CBS Corp.</w:t>
      </w:r>
      <w:r w:rsidR="002622CE">
        <w:t xml:space="preserve"> (2015) </w:t>
      </w:r>
      <w:r w:rsidR="00B24E61">
        <w:t>240 Cal.App.4th 246, 255</w:t>
      </w:r>
      <w:bookmarkEnd w:id="42"/>
      <w:r w:rsidR="00B24E61">
        <w:t xml:space="preserve"> </w:t>
      </w:r>
      <w:r w:rsidR="00446221">
        <w:t xml:space="preserve">[in reconsideration context, party must provide satisfactory explanation </w:t>
      </w:r>
      <w:r w:rsidR="002622CE">
        <w:t>for failure to produce new evidence at earlier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F1D4" w14:textId="77777777" w:rsidR="005542D8" w:rsidRDefault="00554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817C2" w14:textId="77777777" w:rsidR="005542D8" w:rsidRDefault="005542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8F4E" w14:textId="77777777" w:rsidR="005542D8" w:rsidRDefault="00554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C790C"/>
    <w:multiLevelType w:val="multilevel"/>
    <w:tmpl w:val="0FBE63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B562F74"/>
    <w:multiLevelType w:val="multilevel"/>
    <w:tmpl w:val="6608A8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E942773"/>
    <w:multiLevelType w:val="multilevel"/>
    <w:tmpl w:val="23ACE0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C582D92"/>
    <w:multiLevelType w:val="hybridMultilevel"/>
    <w:tmpl w:val="9558CF7A"/>
    <w:lvl w:ilvl="0" w:tplc="1FC8C69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CD52F4"/>
    <w:multiLevelType w:val="multilevel"/>
    <w:tmpl w:val="D9482DEA"/>
    <w:lvl w:ilvl="0">
      <w:start w:val="1"/>
      <w:numFmt w:val="upperRoman"/>
      <w:pStyle w:val="Heading2"/>
      <w:lvlText w:val="%1."/>
      <w:lvlJc w:val="right"/>
      <w:pPr>
        <w:tabs>
          <w:tab w:val="num" w:pos="720"/>
        </w:tabs>
        <w:ind w:left="720" w:hanging="720"/>
      </w:pPr>
      <w:rPr>
        <w:i w:val="0"/>
        <w:iCs w:val="0"/>
      </w:rPr>
    </w:lvl>
    <w:lvl w:ilvl="1">
      <w:start w:val="1"/>
      <w:numFmt w:val="upperLetter"/>
      <w:pStyle w:val="Heading3"/>
      <w:lvlText w:val="%2."/>
      <w:lvlJc w:val="left"/>
      <w:pPr>
        <w:ind w:left="1080" w:hanging="360"/>
      </w:pPr>
      <w:rPr>
        <w:i w:val="0"/>
        <w:iCs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F17DF3"/>
    <w:multiLevelType w:val="multilevel"/>
    <w:tmpl w:val="B784EC5E"/>
    <w:lvl w:ilvl="0">
      <w:start w:val="1"/>
      <w:numFmt w:val="upperRoman"/>
      <w:lvlText w:val="%1."/>
      <w:lvlJc w:val="right"/>
      <w:pPr>
        <w:ind w:left="547"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37F1707"/>
    <w:multiLevelType w:val="hybridMultilevel"/>
    <w:tmpl w:val="B470DC36"/>
    <w:lvl w:ilvl="0" w:tplc="C64E2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1E02128"/>
    <w:multiLevelType w:val="hybridMultilevel"/>
    <w:tmpl w:val="C88AED50"/>
    <w:lvl w:ilvl="0" w:tplc="BAAE50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C83217"/>
    <w:multiLevelType w:val="hybridMultilevel"/>
    <w:tmpl w:val="96662F58"/>
    <w:lvl w:ilvl="0" w:tplc="A43ABC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A5D0E23"/>
    <w:multiLevelType w:val="hybridMultilevel"/>
    <w:tmpl w:val="B3729AA0"/>
    <w:lvl w:ilvl="0" w:tplc="E6806B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8690686">
    <w:abstractNumId w:val="9"/>
  </w:num>
  <w:num w:numId="2" w16cid:durableId="1932658766">
    <w:abstractNumId w:val="6"/>
  </w:num>
  <w:num w:numId="3" w16cid:durableId="1576932921">
    <w:abstractNumId w:val="8"/>
  </w:num>
  <w:num w:numId="4" w16cid:durableId="1034694964">
    <w:abstractNumId w:val="2"/>
  </w:num>
  <w:num w:numId="5" w16cid:durableId="2962550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03003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0185426">
    <w:abstractNumId w:val="7"/>
  </w:num>
  <w:num w:numId="8" w16cid:durableId="512841756">
    <w:abstractNumId w:val="0"/>
  </w:num>
  <w:num w:numId="9" w16cid:durableId="1780904806">
    <w:abstractNumId w:val="1"/>
  </w:num>
  <w:num w:numId="10" w16cid:durableId="1717772335">
    <w:abstractNumId w:val="3"/>
  </w:num>
  <w:num w:numId="11" w16cid:durableId="1994329342">
    <w:abstractNumId w:val="4"/>
  </w:num>
  <w:num w:numId="12" w16cid:durableId="1650162249">
    <w:abstractNumId w:val="5"/>
  </w:num>
  <w:num w:numId="13" w16cid:durableId="2023318836">
    <w:abstractNumId w:val="4"/>
  </w:num>
  <w:num w:numId="14" w16cid:durableId="6161768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78"/>
    <w:rsid w:val="0000050B"/>
    <w:rsid w:val="00001D36"/>
    <w:rsid w:val="00002CB6"/>
    <w:rsid w:val="00003CC1"/>
    <w:rsid w:val="000066BB"/>
    <w:rsid w:val="00013464"/>
    <w:rsid w:val="00013E45"/>
    <w:rsid w:val="000145D9"/>
    <w:rsid w:val="00014DD5"/>
    <w:rsid w:val="000153D9"/>
    <w:rsid w:val="0001595B"/>
    <w:rsid w:val="000165DC"/>
    <w:rsid w:val="000172F4"/>
    <w:rsid w:val="000173F8"/>
    <w:rsid w:val="0001765C"/>
    <w:rsid w:val="00021875"/>
    <w:rsid w:val="0003263A"/>
    <w:rsid w:val="000330B1"/>
    <w:rsid w:val="00033912"/>
    <w:rsid w:val="00034B3E"/>
    <w:rsid w:val="00034D0F"/>
    <w:rsid w:val="000378CD"/>
    <w:rsid w:val="00037995"/>
    <w:rsid w:val="00044375"/>
    <w:rsid w:val="000465EA"/>
    <w:rsid w:val="00047386"/>
    <w:rsid w:val="0005232D"/>
    <w:rsid w:val="000563E0"/>
    <w:rsid w:val="00056C66"/>
    <w:rsid w:val="00060375"/>
    <w:rsid w:val="00061FA5"/>
    <w:rsid w:val="0006310F"/>
    <w:rsid w:val="00064F1F"/>
    <w:rsid w:val="00065676"/>
    <w:rsid w:val="00065FB4"/>
    <w:rsid w:val="00071BD2"/>
    <w:rsid w:val="000760D8"/>
    <w:rsid w:val="000769E7"/>
    <w:rsid w:val="000779D0"/>
    <w:rsid w:val="00080867"/>
    <w:rsid w:val="00081E08"/>
    <w:rsid w:val="000822F8"/>
    <w:rsid w:val="0008239C"/>
    <w:rsid w:val="00083A15"/>
    <w:rsid w:val="00084AB6"/>
    <w:rsid w:val="0009211A"/>
    <w:rsid w:val="00095331"/>
    <w:rsid w:val="000A06E2"/>
    <w:rsid w:val="000A0B9B"/>
    <w:rsid w:val="000A254A"/>
    <w:rsid w:val="000A2DE3"/>
    <w:rsid w:val="000A37A2"/>
    <w:rsid w:val="000A39A9"/>
    <w:rsid w:val="000A3A20"/>
    <w:rsid w:val="000A5E79"/>
    <w:rsid w:val="000B0668"/>
    <w:rsid w:val="000B1AB1"/>
    <w:rsid w:val="000B2A45"/>
    <w:rsid w:val="000B51DB"/>
    <w:rsid w:val="000B5A0E"/>
    <w:rsid w:val="000C0234"/>
    <w:rsid w:val="000C290B"/>
    <w:rsid w:val="000C3741"/>
    <w:rsid w:val="000C3B8B"/>
    <w:rsid w:val="000C4CC3"/>
    <w:rsid w:val="000C5208"/>
    <w:rsid w:val="000C5A57"/>
    <w:rsid w:val="000C7A62"/>
    <w:rsid w:val="000D1619"/>
    <w:rsid w:val="000D1D29"/>
    <w:rsid w:val="000D3B29"/>
    <w:rsid w:val="000D598B"/>
    <w:rsid w:val="000D7A5E"/>
    <w:rsid w:val="000E079E"/>
    <w:rsid w:val="000E09AA"/>
    <w:rsid w:val="000E3A41"/>
    <w:rsid w:val="000E3B63"/>
    <w:rsid w:val="000E7817"/>
    <w:rsid w:val="000F02D9"/>
    <w:rsid w:val="000F1920"/>
    <w:rsid w:val="000F2829"/>
    <w:rsid w:val="000F2914"/>
    <w:rsid w:val="000F3467"/>
    <w:rsid w:val="000F56C4"/>
    <w:rsid w:val="000F5F47"/>
    <w:rsid w:val="000F6279"/>
    <w:rsid w:val="00104494"/>
    <w:rsid w:val="00105654"/>
    <w:rsid w:val="0010576D"/>
    <w:rsid w:val="00111F9D"/>
    <w:rsid w:val="00112EE6"/>
    <w:rsid w:val="00113486"/>
    <w:rsid w:val="001143C4"/>
    <w:rsid w:val="00117838"/>
    <w:rsid w:val="00121EFA"/>
    <w:rsid w:val="0012226D"/>
    <w:rsid w:val="001246E1"/>
    <w:rsid w:val="001269F6"/>
    <w:rsid w:val="0013032E"/>
    <w:rsid w:val="00131E19"/>
    <w:rsid w:val="00132A14"/>
    <w:rsid w:val="00133C40"/>
    <w:rsid w:val="00135249"/>
    <w:rsid w:val="001359CA"/>
    <w:rsid w:val="00136F71"/>
    <w:rsid w:val="00137449"/>
    <w:rsid w:val="00141C9D"/>
    <w:rsid w:val="001439CA"/>
    <w:rsid w:val="00143B37"/>
    <w:rsid w:val="001441CC"/>
    <w:rsid w:val="00144E7B"/>
    <w:rsid w:val="00146D90"/>
    <w:rsid w:val="00147396"/>
    <w:rsid w:val="00153276"/>
    <w:rsid w:val="00160604"/>
    <w:rsid w:val="00161294"/>
    <w:rsid w:val="00161534"/>
    <w:rsid w:val="00162344"/>
    <w:rsid w:val="001634C2"/>
    <w:rsid w:val="0016477C"/>
    <w:rsid w:val="00165001"/>
    <w:rsid w:val="00165939"/>
    <w:rsid w:val="00167E9E"/>
    <w:rsid w:val="001710FC"/>
    <w:rsid w:val="00171317"/>
    <w:rsid w:val="0017649A"/>
    <w:rsid w:val="00176A39"/>
    <w:rsid w:val="0017792B"/>
    <w:rsid w:val="0018106F"/>
    <w:rsid w:val="001831BA"/>
    <w:rsid w:val="001832A9"/>
    <w:rsid w:val="00190633"/>
    <w:rsid w:val="00190EE7"/>
    <w:rsid w:val="00191AA3"/>
    <w:rsid w:val="00191B73"/>
    <w:rsid w:val="00194B3E"/>
    <w:rsid w:val="001979CB"/>
    <w:rsid w:val="001A0A20"/>
    <w:rsid w:val="001A1FC6"/>
    <w:rsid w:val="001A285B"/>
    <w:rsid w:val="001A46D6"/>
    <w:rsid w:val="001A5297"/>
    <w:rsid w:val="001A5DCA"/>
    <w:rsid w:val="001A608D"/>
    <w:rsid w:val="001A60F6"/>
    <w:rsid w:val="001A740B"/>
    <w:rsid w:val="001A7D98"/>
    <w:rsid w:val="001B07D1"/>
    <w:rsid w:val="001B0830"/>
    <w:rsid w:val="001B097E"/>
    <w:rsid w:val="001B1A4A"/>
    <w:rsid w:val="001B28A6"/>
    <w:rsid w:val="001B6B43"/>
    <w:rsid w:val="001B7DB3"/>
    <w:rsid w:val="001B7E58"/>
    <w:rsid w:val="001C2B88"/>
    <w:rsid w:val="001C3C56"/>
    <w:rsid w:val="001C40F5"/>
    <w:rsid w:val="001C4B35"/>
    <w:rsid w:val="001C4FA1"/>
    <w:rsid w:val="001C6BE0"/>
    <w:rsid w:val="001C7EDB"/>
    <w:rsid w:val="001D0CCC"/>
    <w:rsid w:val="001D2424"/>
    <w:rsid w:val="001D5AD0"/>
    <w:rsid w:val="001D7064"/>
    <w:rsid w:val="001E1871"/>
    <w:rsid w:val="001E3150"/>
    <w:rsid w:val="001E61D2"/>
    <w:rsid w:val="001E7D57"/>
    <w:rsid w:val="001F053B"/>
    <w:rsid w:val="001F0D31"/>
    <w:rsid w:val="001F1704"/>
    <w:rsid w:val="001F2A08"/>
    <w:rsid w:val="001F5D87"/>
    <w:rsid w:val="001F7C5C"/>
    <w:rsid w:val="00200DBE"/>
    <w:rsid w:val="002024F4"/>
    <w:rsid w:val="00202BBC"/>
    <w:rsid w:val="002033EA"/>
    <w:rsid w:val="002135DD"/>
    <w:rsid w:val="00214C1A"/>
    <w:rsid w:val="00215D7B"/>
    <w:rsid w:val="00222EE5"/>
    <w:rsid w:val="00225040"/>
    <w:rsid w:val="00227FEF"/>
    <w:rsid w:val="0023130D"/>
    <w:rsid w:val="00231624"/>
    <w:rsid w:val="002324A1"/>
    <w:rsid w:val="00232F06"/>
    <w:rsid w:val="00232F1E"/>
    <w:rsid w:val="00237E07"/>
    <w:rsid w:val="00240FE2"/>
    <w:rsid w:val="0024152A"/>
    <w:rsid w:val="002416EC"/>
    <w:rsid w:val="002431AC"/>
    <w:rsid w:val="002451E1"/>
    <w:rsid w:val="00246CE4"/>
    <w:rsid w:val="00246E91"/>
    <w:rsid w:val="00246FAB"/>
    <w:rsid w:val="00247059"/>
    <w:rsid w:val="002479F9"/>
    <w:rsid w:val="00251F59"/>
    <w:rsid w:val="0025379B"/>
    <w:rsid w:val="002552C6"/>
    <w:rsid w:val="00256B5C"/>
    <w:rsid w:val="00256D98"/>
    <w:rsid w:val="00260934"/>
    <w:rsid w:val="002610DD"/>
    <w:rsid w:val="00261C7E"/>
    <w:rsid w:val="002622CE"/>
    <w:rsid w:val="00262E6F"/>
    <w:rsid w:val="00264DF6"/>
    <w:rsid w:val="002659D4"/>
    <w:rsid w:val="00266BBD"/>
    <w:rsid w:val="00266ECD"/>
    <w:rsid w:val="00267EE1"/>
    <w:rsid w:val="00271379"/>
    <w:rsid w:val="00275126"/>
    <w:rsid w:val="00275260"/>
    <w:rsid w:val="00280E69"/>
    <w:rsid w:val="00281093"/>
    <w:rsid w:val="0028132F"/>
    <w:rsid w:val="00281945"/>
    <w:rsid w:val="00283B52"/>
    <w:rsid w:val="00284F19"/>
    <w:rsid w:val="002866B9"/>
    <w:rsid w:val="002869FB"/>
    <w:rsid w:val="002955D1"/>
    <w:rsid w:val="00295C66"/>
    <w:rsid w:val="002968EE"/>
    <w:rsid w:val="00297229"/>
    <w:rsid w:val="002972D6"/>
    <w:rsid w:val="002A0292"/>
    <w:rsid w:val="002A125D"/>
    <w:rsid w:val="002A33D6"/>
    <w:rsid w:val="002A65B6"/>
    <w:rsid w:val="002A6FEE"/>
    <w:rsid w:val="002B48C6"/>
    <w:rsid w:val="002B6569"/>
    <w:rsid w:val="002B7594"/>
    <w:rsid w:val="002C2046"/>
    <w:rsid w:val="002C21F8"/>
    <w:rsid w:val="002C526A"/>
    <w:rsid w:val="002C5590"/>
    <w:rsid w:val="002C7FF4"/>
    <w:rsid w:val="002D310B"/>
    <w:rsid w:val="002D3C3B"/>
    <w:rsid w:val="002D48E2"/>
    <w:rsid w:val="002D602B"/>
    <w:rsid w:val="002E055F"/>
    <w:rsid w:val="002E2824"/>
    <w:rsid w:val="002E2D9E"/>
    <w:rsid w:val="002E4B2C"/>
    <w:rsid w:val="002F2CC2"/>
    <w:rsid w:val="002F48C4"/>
    <w:rsid w:val="002F60B3"/>
    <w:rsid w:val="00300212"/>
    <w:rsid w:val="00302799"/>
    <w:rsid w:val="00305389"/>
    <w:rsid w:val="0030629B"/>
    <w:rsid w:val="00307412"/>
    <w:rsid w:val="003075D0"/>
    <w:rsid w:val="00307AC7"/>
    <w:rsid w:val="00307F29"/>
    <w:rsid w:val="00312D3E"/>
    <w:rsid w:val="00313112"/>
    <w:rsid w:val="003151FE"/>
    <w:rsid w:val="00316B56"/>
    <w:rsid w:val="00317C1D"/>
    <w:rsid w:val="0032173C"/>
    <w:rsid w:val="00321A53"/>
    <w:rsid w:val="00321F00"/>
    <w:rsid w:val="003249D8"/>
    <w:rsid w:val="00324F2E"/>
    <w:rsid w:val="00337F3A"/>
    <w:rsid w:val="0034197F"/>
    <w:rsid w:val="00342109"/>
    <w:rsid w:val="00342A8A"/>
    <w:rsid w:val="0034462A"/>
    <w:rsid w:val="0034546D"/>
    <w:rsid w:val="00346C04"/>
    <w:rsid w:val="00346E9B"/>
    <w:rsid w:val="00351550"/>
    <w:rsid w:val="00352462"/>
    <w:rsid w:val="00354184"/>
    <w:rsid w:val="0035592A"/>
    <w:rsid w:val="00357484"/>
    <w:rsid w:val="003634AA"/>
    <w:rsid w:val="0036350B"/>
    <w:rsid w:val="00365172"/>
    <w:rsid w:val="00365642"/>
    <w:rsid w:val="00365879"/>
    <w:rsid w:val="00366898"/>
    <w:rsid w:val="0036740E"/>
    <w:rsid w:val="00367973"/>
    <w:rsid w:val="00372FBE"/>
    <w:rsid w:val="00374676"/>
    <w:rsid w:val="00374EBE"/>
    <w:rsid w:val="00375FF9"/>
    <w:rsid w:val="00380354"/>
    <w:rsid w:val="003812CB"/>
    <w:rsid w:val="00381314"/>
    <w:rsid w:val="0038711A"/>
    <w:rsid w:val="003925B4"/>
    <w:rsid w:val="00392F57"/>
    <w:rsid w:val="003930FC"/>
    <w:rsid w:val="003976DD"/>
    <w:rsid w:val="003A07A7"/>
    <w:rsid w:val="003A1169"/>
    <w:rsid w:val="003A19A9"/>
    <w:rsid w:val="003A1D82"/>
    <w:rsid w:val="003A2C37"/>
    <w:rsid w:val="003A2F36"/>
    <w:rsid w:val="003A3219"/>
    <w:rsid w:val="003A44BA"/>
    <w:rsid w:val="003A697E"/>
    <w:rsid w:val="003A793F"/>
    <w:rsid w:val="003B1468"/>
    <w:rsid w:val="003B29EB"/>
    <w:rsid w:val="003B4F1C"/>
    <w:rsid w:val="003C01B0"/>
    <w:rsid w:val="003C0D48"/>
    <w:rsid w:val="003C13A1"/>
    <w:rsid w:val="003C21C9"/>
    <w:rsid w:val="003C2D07"/>
    <w:rsid w:val="003C39CA"/>
    <w:rsid w:val="003C6AF7"/>
    <w:rsid w:val="003C7004"/>
    <w:rsid w:val="003D0422"/>
    <w:rsid w:val="003D21A3"/>
    <w:rsid w:val="003D3D78"/>
    <w:rsid w:val="003D5BFC"/>
    <w:rsid w:val="003E2186"/>
    <w:rsid w:val="003E2B4F"/>
    <w:rsid w:val="003E3AB5"/>
    <w:rsid w:val="003E5273"/>
    <w:rsid w:val="003F26FE"/>
    <w:rsid w:val="003F2AA6"/>
    <w:rsid w:val="003F3F1F"/>
    <w:rsid w:val="003F5B27"/>
    <w:rsid w:val="003F77F3"/>
    <w:rsid w:val="0040110E"/>
    <w:rsid w:val="00401DDF"/>
    <w:rsid w:val="004028E2"/>
    <w:rsid w:val="00403C5D"/>
    <w:rsid w:val="0040414F"/>
    <w:rsid w:val="00404960"/>
    <w:rsid w:val="00404AFD"/>
    <w:rsid w:val="0040570F"/>
    <w:rsid w:val="004064F2"/>
    <w:rsid w:val="00407178"/>
    <w:rsid w:val="0040720C"/>
    <w:rsid w:val="00411F90"/>
    <w:rsid w:val="00417119"/>
    <w:rsid w:val="00417B89"/>
    <w:rsid w:val="00420A1D"/>
    <w:rsid w:val="00422859"/>
    <w:rsid w:val="00423697"/>
    <w:rsid w:val="004257DA"/>
    <w:rsid w:val="00426BB7"/>
    <w:rsid w:val="00430553"/>
    <w:rsid w:val="00430DF1"/>
    <w:rsid w:val="00431771"/>
    <w:rsid w:val="0043292A"/>
    <w:rsid w:val="00432ACE"/>
    <w:rsid w:val="00434A49"/>
    <w:rsid w:val="004368D9"/>
    <w:rsid w:val="004411F3"/>
    <w:rsid w:val="00446221"/>
    <w:rsid w:val="004469D5"/>
    <w:rsid w:val="004504AE"/>
    <w:rsid w:val="004505D7"/>
    <w:rsid w:val="00454653"/>
    <w:rsid w:val="00454E26"/>
    <w:rsid w:val="00455267"/>
    <w:rsid w:val="004575F1"/>
    <w:rsid w:val="004602FB"/>
    <w:rsid w:val="00462EDA"/>
    <w:rsid w:val="00463315"/>
    <w:rsid w:val="00465447"/>
    <w:rsid w:val="00466D1B"/>
    <w:rsid w:val="00471D49"/>
    <w:rsid w:val="00472DB4"/>
    <w:rsid w:val="00474303"/>
    <w:rsid w:val="00474CAB"/>
    <w:rsid w:val="00477150"/>
    <w:rsid w:val="00477C42"/>
    <w:rsid w:val="00480F4A"/>
    <w:rsid w:val="00481292"/>
    <w:rsid w:val="00481861"/>
    <w:rsid w:val="004855CD"/>
    <w:rsid w:val="00486435"/>
    <w:rsid w:val="00487CC9"/>
    <w:rsid w:val="00492904"/>
    <w:rsid w:val="00493570"/>
    <w:rsid w:val="004964DF"/>
    <w:rsid w:val="00496BBE"/>
    <w:rsid w:val="004A0471"/>
    <w:rsid w:val="004A0BE2"/>
    <w:rsid w:val="004A0D76"/>
    <w:rsid w:val="004A10D8"/>
    <w:rsid w:val="004A3852"/>
    <w:rsid w:val="004A6AD3"/>
    <w:rsid w:val="004B2C28"/>
    <w:rsid w:val="004B3F20"/>
    <w:rsid w:val="004B431E"/>
    <w:rsid w:val="004C0798"/>
    <w:rsid w:val="004C0CA7"/>
    <w:rsid w:val="004C167D"/>
    <w:rsid w:val="004C6508"/>
    <w:rsid w:val="004C6ECF"/>
    <w:rsid w:val="004C76C2"/>
    <w:rsid w:val="004D0438"/>
    <w:rsid w:val="004D109C"/>
    <w:rsid w:val="004D13AD"/>
    <w:rsid w:val="004D3653"/>
    <w:rsid w:val="004D384C"/>
    <w:rsid w:val="004D3983"/>
    <w:rsid w:val="004D5DBA"/>
    <w:rsid w:val="004D5DFE"/>
    <w:rsid w:val="004D5E94"/>
    <w:rsid w:val="004D7B8D"/>
    <w:rsid w:val="004E1C73"/>
    <w:rsid w:val="004E5313"/>
    <w:rsid w:val="004E668D"/>
    <w:rsid w:val="004E73D5"/>
    <w:rsid w:val="004F4117"/>
    <w:rsid w:val="004F4439"/>
    <w:rsid w:val="004F783C"/>
    <w:rsid w:val="004F7B6A"/>
    <w:rsid w:val="004F7D60"/>
    <w:rsid w:val="00500ABB"/>
    <w:rsid w:val="00501D48"/>
    <w:rsid w:val="00503578"/>
    <w:rsid w:val="00504F68"/>
    <w:rsid w:val="0050580B"/>
    <w:rsid w:val="00505CBD"/>
    <w:rsid w:val="00506125"/>
    <w:rsid w:val="00513296"/>
    <w:rsid w:val="00515686"/>
    <w:rsid w:val="00516113"/>
    <w:rsid w:val="00516996"/>
    <w:rsid w:val="00521421"/>
    <w:rsid w:val="0052177F"/>
    <w:rsid w:val="0052291B"/>
    <w:rsid w:val="00523174"/>
    <w:rsid w:val="00525348"/>
    <w:rsid w:val="00525949"/>
    <w:rsid w:val="0052703C"/>
    <w:rsid w:val="0052798F"/>
    <w:rsid w:val="00530C64"/>
    <w:rsid w:val="00530CCB"/>
    <w:rsid w:val="005310D0"/>
    <w:rsid w:val="0053124D"/>
    <w:rsid w:val="00532CD4"/>
    <w:rsid w:val="005330E6"/>
    <w:rsid w:val="00534FB0"/>
    <w:rsid w:val="005354A7"/>
    <w:rsid w:val="005355B9"/>
    <w:rsid w:val="005441A4"/>
    <w:rsid w:val="00544DB9"/>
    <w:rsid w:val="00547AEA"/>
    <w:rsid w:val="00547E2F"/>
    <w:rsid w:val="00551002"/>
    <w:rsid w:val="00551A11"/>
    <w:rsid w:val="00551A9B"/>
    <w:rsid w:val="00551F3D"/>
    <w:rsid w:val="00552477"/>
    <w:rsid w:val="005530A0"/>
    <w:rsid w:val="00553738"/>
    <w:rsid w:val="00554299"/>
    <w:rsid w:val="005542D8"/>
    <w:rsid w:val="00554405"/>
    <w:rsid w:val="00554571"/>
    <w:rsid w:val="005562DE"/>
    <w:rsid w:val="005571E6"/>
    <w:rsid w:val="00560649"/>
    <w:rsid w:val="0056230D"/>
    <w:rsid w:val="00566878"/>
    <w:rsid w:val="00566F83"/>
    <w:rsid w:val="00567912"/>
    <w:rsid w:val="005705AF"/>
    <w:rsid w:val="005720AA"/>
    <w:rsid w:val="005748A1"/>
    <w:rsid w:val="00575D16"/>
    <w:rsid w:val="00576CDB"/>
    <w:rsid w:val="0057706B"/>
    <w:rsid w:val="00580FE3"/>
    <w:rsid w:val="00583E50"/>
    <w:rsid w:val="00586790"/>
    <w:rsid w:val="00590950"/>
    <w:rsid w:val="005A0A18"/>
    <w:rsid w:val="005A125E"/>
    <w:rsid w:val="005A1F12"/>
    <w:rsid w:val="005A1F31"/>
    <w:rsid w:val="005A3596"/>
    <w:rsid w:val="005A4918"/>
    <w:rsid w:val="005A526F"/>
    <w:rsid w:val="005A52F2"/>
    <w:rsid w:val="005A5380"/>
    <w:rsid w:val="005A700C"/>
    <w:rsid w:val="005B06AF"/>
    <w:rsid w:val="005B0F50"/>
    <w:rsid w:val="005B3004"/>
    <w:rsid w:val="005B3B5A"/>
    <w:rsid w:val="005B7135"/>
    <w:rsid w:val="005B7A06"/>
    <w:rsid w:val="005C1B6E"/>
    <w:rsid w:val="005C254D"/>
    <w:rsid w:val="005C310A"/>
    <w:rsid w:val="005C444C"/>
    <w:rsid w:val="005C455E"/>
    <w:rsid w:val="005C4781"/>
    <w:rsid w:val="005C5EB1"/>
    <w:rsid w:val="005D033D"/>
    <w:rsid w:val="005D0DD4"/>
    <w:rsid w:val="005D155B"/>
    <w:rsid w:val="005D2C37"/>
    <w:rsid w:val="005D499E"/>
    <w:rsid w:val="005D6575"/>
    <w:rsid w:val="005D6F08"/>
    <w:rsid w:val="005E0543"/>
    <w:rsid w:val="005E19F9"/>
    <w:rsid w:val="005E401E"/>
    <w:rsid w:val="005E694E"/>
    <w:rsid w:val="005E76F5"/>
    <w:rsid w:val="005F3517"/>
    <w:rsid w:val="005F4776"/>
    <w:rsid w:val="005F59F8"/>
    <w:rsid w:val="005F77E5"/>
    <w:rsid w:val="005F7862"/>
    <w:rsid w:val="005F791C"/>
    <w:rsid w:val="006000FB"/>
    <w:rsid w:val="0060295F"/>
    <w:rsid w:val="006038A2"/>
    <w:rsid w:val="00604859"/>
    <w:rsid w:val="006064BA"/>
    <w:rsid w:val="0061135F"/>
    <w:rsid w:val="00612AA0"/>
    <w:rsid w:val="006136D1"/>
    <w:rsid w:val="00614372"/>
    <w:rsid w:val="00614E9D"/>
    <w:rsid w:val="0061529F"/>
    <w:rsid w:val="00620614"/>
    <w:rsid w:val="00621326"/>
    <w:rsid w:val="0062253F"/>
    <w:rsid w:val="00623530"/>
    <w:rsid w:val="006257B8"/>
    <w:rsid w:val="006258E4"/>
    <w:rsid w:val="00625CC2"/>
    <w:rsid w:val="006315B2"/>
    <w:rsid w:val="006318EE"/>
    <w:rsid w:val="0063297F"/>
    <w:rsid w:val="00633886"/>
    <w:rsid w:val="00634880"/>
    <w:rsid w:val="00635547"/>
    <w:rsid w:val="006368E1"/>
    <w:rsid w:val="0064293C"/>
    <w:rsid w:val="0064407A"/>
    <w:rsid w:val="00645C89"/>
    <w:rsid w:val="00646FC6"/>
    <w:rsid w:val="00650BC6"/>
    <w:rsid w:val="006526EC"/>
    <w:rsid w:val="00652A2F"/>
    <w:rsid w:val="00653FCE"/>
    <w:rsid w:val="0065443C"/>
    <w:rsid w:val="006547A9"/>
    <w:rsid w:val="00655F6D"/>
    <w:rsid w:val="00661187"/>
    <w:rsid w:val="00661696"/>
    <w:rsid w:val="00661B66"/>
    <w:rsid w:val="00661BE7"/>
    <w:rsid w:val="006665DE"/>
    <w:rsid w:val="00671454"/>
    <w:rsid w:val="006731AF"/>
    <w:rsid w:val="00676B4C"/>
    <w:rsid w:val="00677C2C"/>
    <w:rsid w:val="00680544"/>
    <w:rsid w:val="006836D5"/>
    <w:rsid w:val="00683A7E"/>
    <w:rsid w:val="00685496"/>
    <w:rsid w:val="0068551B"/>
    <w:rsid w:val="00685DB4"/>
    <w:rsid w:val="00687DB9"/>
    <w:rsid w:val="006905FF"/>
    <w:rsid w:val="00691F44"/>
    <w:rsid w:val="0069318C"/>
    <w:rsid w:val="006942DF"/>
    <w:rsid w:val="006943A4"/>
    <w:rsid w:val="00694A5A"/>
    <w:rsid w:val="006955E2"/>
    <w:rsid w:val="00695E98"/>
    <w:rsid w:val="00695EE2"/>
    <w:rsid w:val="00696477"/>
    <w:rsid w:val="00696C86"/>
    <w:rsid w:val="0069709E"/>
    <w:rsid w:val="006A007B"/>
    <w:rsid w:val="006A1A11"/>
    <w:rsid w:val="006A32D6"/>
    <w:rsid w:val="006A366B"/>
    <w:rsid w:val="006A5D29"/>
    <w:rsid w:val="006A721A"/>
    <w:rsid w:val="006B11CE"/>
    <w:rsid w:val="006B1553"/>
    <w:rsid w:val="006B1D9F"/>
    <w:rsid w:val="006B57D8"/>
    <w:rsid w:val="006B6FBD"/>
    <w:rsid w:val="006C117B"/>
    <w:rsid w:val="006C152B"/>
    <w:rsid w:val="006C15B0"/>
    <w:rsid w:val="006C28F2"/>
    <w:rsid w:val="006C46EF"/>
    <w:rsid w:val="006C52BC"/>
    <w:rsid w:val="006C7E9A"/>
    <w:rsid w:val="006D0EF6"/>
    <w:rsid w:val="006D1F26"/>
    <w:rsid w:val="006D370C"/>
    <w:rsid w:val="006D378E"/>
    <w:rsid w:val="006D646B"/>
    <w:rsid w:val="006D67C3"/>
    <w:rsid w:val="006D74FE"/>
    <w:rsid w:val="006E1762"/>
    <w:rsid w:val="006E3726"/>
    <w:rsid w:val="006E3B07"/>
    <w:rsid w:val="006E5FF9"/>
    <w:rsid w:val="006E63C0"/>
    <w:rsid w:val="006E680E"/>
    <w:rsid w:val="006E6BDF"/>
    <w:rsid w:val="006E6F37"/>
    <w:rsid w:val="006F0001"/>
    <w:rsid w:val="006F1EE3"/>
    <w:rsid w:val="006F288D"/>
    <w:rsid w:val="006F337C"/>
    <w:rsid w:val="006F39A7"/>
    <w:rsid w:val="006F4A2F"/>
    <w:rsid w:val="006F696B"/>
    <w:rsid w:val="006F7614"/>
    <w:rsid w:val="00700A85"/>
    <w:rsid w:val="00702D02"/>
    <w:rsid w:val="00704BDC"/>
    <w:rsid w:val="00704E52"/>
    <w:rsid w:val="00705BC4"/>
    <w:rsid w:val="00705C9F"/>
    <w:rsid w:val="007067BD"/>
    <w:rsid w:val="0071083B"/>
    <w:rsid w:val="00710E48"/>
    <w:rsid w:val="00720F10"/>
    <w:rsid w:val="00721CAF"/>
    <w:rsid w:val="00722B3F"/>
    <w:rsid w:val="00724417"/>
    <w:rsid w:val="0072530B"/>
    <w:rsid w:val="00725EC0"/>
    <w:rsid w:val="00726F6E"/>
    <w:rsid w:val="00727903"/>
    <w:rsid w:val="007304B3"/>
    <w:rsid w:val="00730849"/>
    <w:rsid w:val="007313F4"/>
    <w:rsid w:val="007325C9"/>
    <w:rsid w:val="0073337B"/>
    <w:rsid w:val="00733867"/>
    <w:rsid w:val="00734EAA"/>
    <w:rsid w:val="00735A58"/>
    <w:rsid w:val="0073688B"/>
    <w:rsid w:val="00740338"/>
    <w:rsid w:val="00745DA2"/>
    <w:rsid w:val="00746E1B"/>
    <w:rsid w:val="00750F7B"/>
    <w:rsid w:val="00751973"/>
    <w:rsid w:val="00751C86"/>
    <w:rsid w:val="0075315E"/>
    <w:rsid w:val="00753CFD"/>
    <w:rsid w:val="00755756"/>
    <w:rsid w:val="007562B1"/>
    <w:rsid w:val="00761D70"/>
    <w:rsid w:val="007621B6"/>
    <w:rsid w:val="00764C89"/>
    <w:rsid w:val="00764F80"/>
    <w:rsid w:val="0076647F"/>
    <w:rsid w:val="0076653D"/>
    <w:rsid w:val="00767EEF"/>
    <w:rsid w:val="0077064F"/>
    <w:rsid w:val="007710DE"/>
    <w:rsid w:val="00772391"/>
    <w:rsid w:val="007724A8"/>
    <w:rsid w:val="0077323F"/>
    <w:rsid w:val="0077474D"/>
    <w:rsid w:val="0077723F"/>
    <w:rsid w:val="00780010"/>
    <w:rsid w:val="00780842"/>
    <w:rsid w:val="0078111E"/>
    <w:rsid w:val="007839D8"/>
    <w:rsid w:val="0078476E"/>
    <w:rsid w:val="00787067"/>
    <w:rsid w:val="00787810"/>
    <w:rsid w:val="00790C70"/>
    <w:rsid w:val="007914CE"/>
    <w:rsid w:val="0079263A"/>
    <w:rsid w:val="0079419F"/>
    <w:rsid w:val="00794F6B"/>
    <w:rsid w:val="007965F9"/>
    <w:rsid w:val="0079780E"/>
    <w:rsid w:val="007A0AEB"/>
    <w:rsid w:val="007A3FDE"/>
    <w:rsid w:val="007A4AE2"/>
    <w:rsid w:val="007A5EA9"/>
    <w:rsid w:val="007A749B"/>
    <w:rsid w:val="007B09EE"/>
    <w:rsid w:val="007B1A82"/>
    <w:rsid w:val="007B1AD6"/>
    <w:rsid w:val="007B20ED"/>
    <w:rsid w:val="007B304C"/>
    <w:rsid w:val="007B32CB"/>
    <w:rsid w:val="007B45D8"/>
    <w:rsid w:val="007B4C4C"/>
    <w:rsid w:val="007B6FF6"/>
    <w:rsid w:val="007C0F3B"/>
    <w:rsid w:val="007C380C"/>
    <w:rsid w:val="007C4E69"/>
    <w:rsid w:val="007C531D"/>
    <w:rsid w:val="007C59F0"/>
    <w:rsid w:val="007C7203"/>
    <w:rsid w:val="007D09DD"/>
    <w:rsid w:val="007D0C6B"/>
    <w:rsid w:val="007D2163"/>
    <w:rsid w:val="007D217F"/>
    <w:rsid w:val="007D2A3D"/>
    <w:rsid w:val="007D38DA"/>
    <w:rsid w:val="007D4B36"/>
    <w:rsid w:val="007D648A"/>
    <w:rsid w:val="007E2F2A"/>
    <w:rsid w:val="007E643A"/>
    <w:rsid w:val="007F1660"/>
    <w:rsid w:val="007F2B64"/>
    <w:rsid w:val="007F3725"/>
    <w:rsid w:val="007F3E07"/>
    <w:rsid w:val="007F432E"/>
    <w:rsid w:val="007F4A87"/>
    <w:rsid w:val="007F50EA"/>
    <w:rsid w:val="007F7039"/>
    <w:rsid w:val="007F7404"/>
    <w:rsid w:val="00800325"/>
    <w:rsid w:val="00800F0D"/>
    <w:rsid w:val="00801C0D"/>
    <w:rsid w:val="00801E53"/>
    <w:rsid w:val="0080388D"/>
    <w:rsid w:val="00804C34"/>
    <w:rsid w:val="00807151"/>
    <w:rsid w:val="008136C1"/>
    <w:rsid w:val="008137A3"/>
    <w:rsid w:val="008144DD"/>
    <w:rsid w:val="00814FE1"/>
    <w:rsid w:val="00816BA5"/>
    <w:rsid w:val="008175D8"/>
    <w:rsid w:val="00820834"/>
    <w:rsid w:val="00820B72"/>
    <w:rsid w:val="00821EFB"/>
    <w:rsid w:val="00821FBE"/>
    <w:rsid w:val="0082263D"/>
    <w:rsid w:val="008253EA"/>
    <w:rsid w:val="0082601C"/>
    <w:rsid w:val="00827B91"/>
    <w:rsid w:val="00827F56"/>
    <w:rsid w:val="0083158C"/>
    <w:rsid w:val="00831AE5"/>
    <w:rsid w:val="00837244"/>
    <w:rsid w:val="008378A6"/>
    <w:rsid w:val="00837F91"/>
    <w:rsid w:val="008413F6"/>
    <w:rsid w:val="00842969"/>
    <w:rsid w:val="00842BFA"/>
    <w:rsid w:val="0084551E"/>
    <w:rsid w:val="00847D09"/>
    <w:rsid w:val="00850C83"/>
    <w:rsid w:val="00852747"/>
    <w:rsid w:val="0085373F"/>
    <w:rsid w:val="0085529E"/>
    <w:rsid w:val="00855478"/>
    <w:rsid w:val="008554CD"/>
    <w:rsid w:val="0085622D"/>
    <w:rsid w:val="0086254B"/>
    <w:rsid w:val="00862656"/>
    <w:rsid w:val="008629EA"/>
    <w:rsid w:val="00862C6D"/>
    <w:rsid w:val="00862C7A"/>
    <w:rsid w:val="00864EA8"/>
    <w:rsid w:val="00866526"/>
    <w:rsid w:val="00867887"/>
    <w:rsid w:val="00867FB3"/>
    <w:rsid w:val="00870F50"/>
    <w:rsid w:val="00871F1C"/>
    <w:rsid w:val="008723FC"/>
    <w:rsid w:val="0087273A"/>
    <w:rsid w:val="00873292"/>
    <w:rsid w:val="00875842"/>
    <w:rsid w:val="00876331"/>
    <w:rsid w:val="008773E9"/>
    <w:rsid w:val="008827CB"/>
    <w:rsid w:val="00891354"/>
    <w:rsid w:val="008928DC"/>
    <w:rsid w:val="008A2D90"/>
    <w:rsid w:val="008A6EF0"/>
    <w:rsid w:val="008B0EFE"/>
    <w:rsid w:val="008B2F92"/>
    <w:rsid w:val="008B3B26"/>
    <w:rsid w:val="008B56A5"/>
    <w:rsid w:val="008C20DE"/>
    <w:rsid w:val="008C660F"/>
    <w:rsid w:val="008C7BC5"/>
    <w:rsid w:val="008D0532"/>
    <w:rsid w:val="008D08A6"/>
    <w:rsid w:val="008D1685"/>
    <w:rsid w:val="008D2DC9"/>
    <w:rsid w:val="008D36DD"/>
    <w:rsid w:val="008D42E0"/>
    <w:rsid w:val="008D71E2"/>
    <w:rsid w:val="008D77D1"/>
    <w:rsid w:val="008D7DB8"/>
    <w:rsid w:val="008D7E9A"/>
    <w:rsid w:val="008E14D5"/>
    <w:rsid w:val="008E3273"/>
    <w:rsid w:val="008E34AF"/>
    <w:rsid w:val="008E755C"/>
    <w:rsid w:val="008F1B95"/>
    <w:rsid w:val="008F279D"/>
    <w:rsid w:val="008F3673"/>
    <w:rsid w:val="008F4232"/>
    <w:rsid w:val="008F45B1"/>
    <w:rsid w:val="008F4A86"/>
    <w:rsid w:val="008F5EA4"/>
    <w:rsid w:val="008F700B"/>
    <w:rsid w:val="008F71DF"/>
    <w:rsid w:val="00901DC4"/>
    <w:rsid w:val="00905D48"/>
    <w:rsid w:val="00905F49"/>
    <w:rsid w:val="00905FC2"/>
    <w:rsid w:val="00906891"/>
    <w:rsid w:val="009116B8"/>
    <w:rsid w:val="0091171B"/>
    <w:rsid w:val="00911F6B"/>
    <w:rsid w:val="00912F3A"/>
    <w:rsid w:val="00913590"/>
    <w:rsid w:val="009145C1"/>
    <w:rsid w:val="00915A9C"/>
    <w:rsid w:val="009173B5"/>
    <w:rsid w:val="00920D9E"/>
    <w:rsid w:val="009266CE"/>
    <w:rsid w:val="009346A0"/>
    <w:rsid w:val="00935431"/>
    <w:rsid w:val="00936942"/>
    <w:rsid w:val="00942500"/>
    <w:rsid w:val="00944B3E"/>
    <w:rsid w:val="0094662C"/>
    <w:rsid w:val="0095450C"/>
    <w:rsid w:val="0095574E"/>
    <w:rsid w:val="00957D5F"/>
    <w:rsid w:val="00960182"/>
    <w:rsid w:val="00962C61"/>
    <w:rsid w:val="0096491D"/>
    <w:rsid w:val="00971343"/>
    <w:rsid w:val="00981195"/>
    <w:rsid w:val="00981CC3"/>
    <w:rsid w:val="00982CB1"/>
    <w:rsid w:val="00983107"/>
    <w:rsid w:val="009839CC"/>
    <w:rsid w:val="00984F6C"/>
    <w:rsid w:val="0098554E"/>
    <w:rsid w:val="009877D3"/>
    <w:rsid w:val="009911C5"/>
    <w:rsid w:val="00993AD9"/>
    <w:rsid w:val="009958B9"/>
    <w:rsid w:val="00995997"/>
    <w:rsid w:val="009970E0"/>
    <w:rsid w:val="0099768B"/>
    <w:rsid w:val="00997F36"/>
    <w:rsid w:val="009A068E"/>
    <w:rsid w:val="009A0D47"/>
    <w:rsid w:val="009A0FE3"/>
    <w:rsid w:val="009A1174"/>
    <w:rsid w:val="009A16B6"/>
    <w:rsid w:val="009A27C6"/>
    <w:rsid w:val="009A33C1"/>
    <w:rsid w:val="009A43ED"/>
    <w:rsid w:val="009A5216"/>
    <w:rsid w:val="009A650C"/>
    <w:rsid w:val="009A790C"/>
    <w:rsid w:val="009B0485"/>
    <w:rsid w:val="009B3D70"/>
    <w:rsid w:val="009C1E9C"/>
    <w:rsid w:val="009C39CA"/>
    <w:rsid w:val="009C4208"/>
    <w:rsid w:val="009C55BC"/>
    <w:rsid w:val="009C5DC0"/>
    <w:rsid w:val="009C5EB4"/>
    <w:rsid w:val="009C5F36"/>
    <w:rsid w:val="009C68E9"/>
    <w:rsid w:val="009D6510"/>
    <w:rsid w:val="009D6759"/>
    <w:rsid w:val="009D7742"/>
    <w:rsid w:val="009E2617"/>
    <w:rsid w:val="009E2B83"/>
    <w:rsid w:val="009E2EA9"/>
    <w:rsid w:val="009E319F"/>
    <w:rsid w:val="009E3F54"/>
    <w:rsid w:val="009F102A"/>
    <w:rsid w:val="009F23D0"/>
    <w:rsid w:val="009F24D6"/>
    <w:rsid w:val="009F4CAC"/>
    <w:rsid w:val="00A0119A"/>
    <w:rsid w:val="00A01594"/>
    <w:rsid w:val="00A01E9B"/>
    <w:rsid w:val="00A03610"/>
    <w:rsid w:val="00A0483D"/>
    <w:rsid w:val="00A04941"/>
    <w:rsid w:val="00A06A80"/>
    <w:rsid w:val="00A10BF7"/>
    <w:rsid w:val="00A116E1"/>
    <w:rsid w:val="00A11F32"/>
    <w:rsid w:val="00A13481"/>
    <w:rsid w:val="00A1366B"/>
    <w:rsid w:val="00A14664"/>
    <w:rsid w:val="00A151AE"/>
    <w:rsid w:val="00A2066C"/>
    <w:rsid w:val="00A238A6"/>
    <w:rsid w:val="00A23B75"/>
    <w:rsid w:val="00A23E62"/>
    <w:rsid w:val="00A25291"/>
    <w:rsid w:val="00A26D78"/>
    <w:rsid w:val="00A30BB1"/>
    <w:rsid w:val="00A3159A"/>
    <w:rsid w:val="00A316E9"/>
    <w:rsid w:val="00A3176B"/>
    <w:rsid w:val="00A349B4"/>
    <w:rsid w:val="00A34C90"/>
    <w:rsid w:val="00A34F9D"/>
    <w:rsid w:val="00A36231"/>
    <w:rsid w:val="00A368A6"/>
    <w:rsid w:val="00A37FDC"/>
    <w:rsid w:val="00A40014"/>
    <w:rsid w:val="00A404C9"/>
    <w:rsid w:val="00A40648"/>
    <w:rsid w:val="00A44549"/>
    <w:rsid w:val="00A45DD5"/>
    <w:rsid w:val="00A47783"/>
    <w:rsid w:val="00A50A6E"/>
    <w:rsid w:val="00A50F10"/>
    <w:rsid w:val="00A51F24"/>
    <w:rsid w:val="00A524A1"/>
    <w:rsid w:val="00A52BE2"/>
    <w:rsid w:val="00A5592D"/>
    <w:rsid w:val="00A57158"/>
    <w:rsid w:val="00A571B6"/>
    <w:rsid w:val="00A57246"/>
    <w:rsid w:val="00A60B7F"/>
    <w:rsid w:val="00A60D36"/>
    <w:rsid w:val="00A61B02"/>
    <w:rsid w:val="00A62619"/>
    <w:rsid w:val="00A634AF"/>
    <w:rsid w:val="00A65771"/>
    <w:rsid w:val="00A70064"/>
    <w:rsid w:val="00A70459"/>
    <w:rsid w:val="00A70467"/>
    <w:rsid w:val="00A70AEF"/>
    <w:rsid w:val="00A72542"/>
    <w:rsid w:val="00A75DC5"/>
    <w:rsid w:val="00A77E67"/>
    <w:rsid w:val="00A8323C"/>
    <w:rsid w:val="00A833ED"/>
    <w:rsid w:val="00A863F4"/>
    <w:rsid w:val="00A90A54"/>
    <w:rsid w:val="00A9103C"/>
    <w:rsid w:val="00A937AC"/>
    <w:rsid w:val="00A93D75"/>
    <w:rsid w:val="00A94282"/>
    <w:rsid w:val="00A949C5"/>
    <w:rsid w:val="00A95553"/>
    <w:rsid w:val="00A9640E"/>
    <w:rsid w:val="00AA033A"/>
    <w:rsid w:val="00AA26D3"/>
    <w:rsid w:val="00AA2E65"/>
    <w:rsid w:val="00AA63D4"/>
    <w:rsid w:val="00AA7F19"/>
    <w:rsid w:val="00AB028E"/>
    <w:rsid w:val="00AB0959"/>
    <w:rsid w:val="00AB17CA"/>
    <w:rsid w:val="00AB32C3"/>
    <w:rsid w:val="00AB61CF"/>
    <w:rsid w:val="00AB6344"/>
    <w:rsid w:val="00AB7EAA"/>
    <w:rsid w:val="00AC381C"/>
    <w:rsid w:val="00AC43E0"/>
    <w:rsid w:val="00AC59F2"/>
    <w:rsid w:val="00AC623C"/>
    <w:rsid w:val="00AD05F0"/>
    <w:rsid w:val="00AD4490"/>
    <w:rsid w:val="00AD47D6"/>
    <w:rsid w:val="00AD631F"/>
    <w:rsid w:val="00AD63C4"/>
    <w:rsid w:val="00AD6C03"/>
    <w:rsid w:val="00AD7D5D"/>
    <w:rsid w:val="00AE060E"/>
    <w:rsid w:val="00AE1325"/>
    <w:rsid w:val="00AE1E32"/>
    <w:rsid w:val="00AE1F65"/>
    <w:rsid w:val="00AE320C"/>
    <w:rsid w:val="00AE3820"/>
    <w:rsid w:val="00AE4849"/>
    <w:rsid w:val="00AE4B71"/>
    <w:rsid w:val="00AF001B"/>
    <w:rsid w:val="00AF4A5C"/>
    <w:rsid w:val="00AF5F8F"/>
    <w:rsid w:val="00AF781F"/>
    <w:rsid w:val="00B0026F"/>
    <w:rsid w:val="00B01971"/>
    <w:rsid w:val="00B03516"/>
    <w:rsid w:val="00B0531E"/>
    <w:rsid w:val="00B05649"/>
    <w:rsid w:val="00B067AC"/>
    <w:rsid w:val="00B074C1"/>
    <w:rsid w:val="00B10890"/>
    <w:rsid w:val="00B10958"/>
    <w:rsid w:val="00B10BCC"/>
    <w:rsid w:val="00B12764"/>
    <w:rsid w:val="00B1385C"/>
    <w:rsid w:val="00B1412E"/>
    <w:rsid w:val="00B14B3E"/>
    <w:rsid w:val="00B1506E"/>
    <w:rsid w:val="00B15323"/>
    <w:rsid w:val="00B15D7D"/>
    <w:rsid w:val="00B2048C"/>
    <w:rsid w:val="00B20AB2"/>
    <w:rsid w:val="00B249DA"/>
    <w:rsid w:val="00B24B89"/>
    <w:rsid w:val="00B24E61"/>
    <w:rsid w:val="00B26C2D"/>
    <w:rsid w:val="00B26D75"/>
    <w:rsid w:val="00B2721C"/>
    <w:rsid w:val="00B312DD"/>
    <w:rsid w:val="00B33973"/>
    <w:rsid w:val="00B33E4A"/>
    <w:rsid w:val="00B34218"/>
    <w:rsid w:val="00B35630"/>
    <w:rsid w:val="00B40160"/>
    <w:rsid w:val="00B42DAF"/>
    <w:rsid w:val="00B44DA7"/>
    <w:rsid w:val="00B45CAF"/>
    <w:rsid w:val="00B46F3F"/>
    <w:rsid w:val="00B47C2A"/>
    <w:rsid w:val="00B5250A"/>
    <w:rsid w:val="00B5313A"/>
    <w:rsid w:val="00B53934"/>
    <w:rsid w:val="00B5550D"/>
    <w:rsid w:val="00B55E2A"/>
    <w:rsid w:val="00B57104"/>
    <w:rsid w:val="00B5723A"/>
    <w:rsid w:val="00B618B8"/>
    <w:rsid w:val="00B62A09"/>
    <w:rsid w:val="00B62C05"/>
    <w:rsid w:val="00B66BB4"/>
    <w:rsid w:val="00B70198"/>
    <w:rsid w:val="00B705B1"/>
    <w:rsid w:val="00B712DF"/>
    <w:rsid w:val="00B722E1"/>
    <w:rsid w:val="00B73491"/>
    <w:rsid w:val="00B73F0B"/>
    <w:rsid w:val="00B74838"/>
    <w:rsid w:val="00B74B49"/>
    <w:rsid w:val="00B7776A"/>
    <w:rsid w:val="00B77823"/>
    <w:rsid w:val="00B822CB"/>
    <w:rsid w:val="00B87735"/>
    <w:rsid w:val="00B87788"/>
    <w:rsid w:val="00B87907"/>
    <w:rsid w:val="00B90349"/>
    <w:rsid w:val="00B90B3C"/>
    <w:rsid w:val="00B910CB"/>
    <w:rsid w:val="00B9118D"/>
    <w:rsid w:val="00B91393"/>
    <w:rsid w:val="00B92052"/>
    <w:rsid w:val="00B92E5A"/>
    <w:rsid w:val="00B949E7"/>
    <w:rsid w:val="00B969A5"/>
    <w:rsid w:val="00BA1D54"/>
    <w:rsid w:val="00BA256D"/>
    <w:rsid w:val="00BA715D"/>
    <w:rsid w:val="00BA72BF"/>
    <w:rsid w:val="00BB2211"/>
    <w:rsid w:val="00BB2444"/>
    <w:rsid w:val="00BB382E"/>
    <w:rsid w:val="00BB48ED"/>
    <w:rsid w:val="00BB7D22"/>
    <w:rsid w:val="00BC0C42"/>
    <w:rsid w:val="00BC15A3"/>
    <w:rsid w:val="00BC15B6"/>
    <w:rsid w:val="00BC1D59"/>
    <w:rsid w:val="00BC2521"/>
    <w:rsid w:val="00BC2914"/>
    <w:rsid w:val="00BC2941"/>
    <w:rsid w:val="00BC3256"/>
    <w:rsid w:val="00BC7070"/>
    <w:rsid w:val="00BD1827"/>
    <w:rsid w:val="00BD19AA"/>
    <w:rsid w:val="00BD2705"/>
    <w:rsid w:val="00BD629B"/>
    <w:rsid w:val="00BD653E"/>
    <w:rsid w:val="00BE057C"/>
    <w:rsid w:val="00BE30B5"/>
    <w:rsid w:val="00BE476C"/>
    <w:rsid w:val="00BE7C00"/>
    <w:rsid w:val="00BF01B2"/>
    <w:rsid w:val="00BF1B80"/>
    <w:rsid w:val="00BF74EC"/>
    <w:rsid w:val="00C00B10"/>
    <w:rsid w:val="00C00DF9"/>
    <w:rsid w:val="00C0129E"/>
    <w:rsid w:val="00C02C01"/>
    <w:rsid w:val="00C0322C"/>
    <w:rsid w:val="00C034FB"/>
    <w:rsid w:val="00C037A2"/>
    <w:rsid w:val="00C03887"/>
    <w:rsid w:val="00C03F85"/>
    <w:rsid w:val="00C04FF6"/>
    <w:rsid w:val="00C05040"/>
    <w:rsid w:val="00C065DF"/>
    <w:rsid w:val="00C07A2B"/>
    <w:rsid w:val="00C07C90"/>
    <w:rsid w:val="00C13228"/>
    <w:rsid w:val="00C13561"/>
    <w:rsid w:val="00C150CB"/>
    <w:rsid w:val="00C15312"/>
    <w:rsid w:val="00C21AD3"/>
    <w:rsid w:val="00C235DD"/>
    <w:rsid w:val="00C24924"/>
    <w:rsid w:val="00C251FC"/>
    <w:rsid w:val="00C2756D"/>
    <w:rsid w:val="00C30266"/>
    <w:rsid w:val="00C30FA5"/>
    <w:rsid w:val="00C31179"/>
    <w:rsid w:val="00C3478C"/>
    <w:rsid w:val="00C35DDC"/>
    <w:rsid w:val="00C4023D"/>
    <w:rsid w:val="00C42676"/>
    <w:rsid w:val="00C42880"/>
    <w:rsid w:val="00C4362E"/>
    <w:rsid w:val="00C4384A"/>
    <w:rsid w:val="00C44605"/>
    <w:rsid w:val="00C44BCB"/>
    <w:rsid w:val="00C44E90"/>
    <w:rsid w:val="00C453C2"/>
    <w:rsid w:val="00C45F91"/>
    <w:rsid w:val="00C4667C"/>
    <w:rsid w:val="00C47504"/>
    <w:rsid w:val="00C531AA"/>
    <w:rsid w:val="00C5548A"/>
    <w:rsid w:val="00C55D39"/>
    <w:rsid w:val="00C571C3"/>
    <w:rsid w:val="00C60A06"/>
    <w:rsid w:val="00C63556"/>
    <w:rsid w:val="00C63DFC"/>
    <w:rsid w:val="00C6426E"/>
    <w:rsid w:val="00C6568C"/>
    <w:rsid w:val="00C67C05"/>
    <w:rsid w:val="00C70E53"/>
    <w:rsid w:val="00C73F65"/>
    <w:rsid w:val="00C76518"/>
    <w:rsid w:val="00C765E0"/>
    <w:rsid w:val="00C77218"/>
    <w:rsid w:val="00C8401F"/>
    <w:rsid w:val="00C86457"/>
    <w:rsid w:val="00C868F7"/>
    <w:rsid w:val="00C86912"/>
    <w:rsid w:val="00C910BD"/>
    <w:rsid w:val="00C929FB"/>
    <w:rsid w:val="00C94956"/>
    <w:rsid w:val="00C954E9"/>
    <w:rsid w:val="00C9576B"/>
    <w:rsid w:val="00C96814"/>
    <w:rsid w:val="00CA0206"/>
    <w:rsid w:val="00CA17C4"/>
    <w:rsid w:val="00CA4568"/>
    <w:rsid w:val="00CA49D9"/>
    <w:rsid w:val="00CA7D74"/>
    <w:rsid w:val="00CB3E12"/>
    <w:rsid w:val="00CB6865"/>
    <w:rsid w:val="00CB7493"/>
    <w:rsid w:val="00CC0A1D"/>
    <w:rsid w:val="00CC1016"/>
    <w:rsid w:val="00CC14E5"/>
    <w:rsid w:val="00CC3F51"/>
    <w:rsid w:val="00CC471C"/>
    <w:rsid w:val="00CC4BFB"/>
    <w:rsid w:val="00CC51FD"/>
    <w:rsid w:val="00CC6BEF"/>
    <w:rsid w:val="00CD192E"/>
    <w:rsid w:val="00CD2FCA"/>
    <w:rsid w:val="00CD436D"/>
    <w:rsid w:val="00CD56C2"/>
    <w:rsid w:val="00CE051B"/>
    <w:rsid w:val="00CE0692"/>
    <w:rsid w:val="00CE0BDA"/>
    <w:rsid w:val="00CE104F"/>
    <w:rsid w:val="00CE15A1"/>
    <w:rsid w:val="00CE36B8"/>
    <w:rsid w:val="00CE38C6"/>
    <w:rsid w:val="00CE4364"/>
    <w:rsid w:val="00CE4395"/>
    <w:rsid w:val="00CE47CB"/>
    <w:rsid w:val="00CE58B0"/>
    <w:rsid w:val="00CE5C44"/>
    <w:rsid w:val="00CE5D82"/>
    <w:rsid w:val="00CF03A0"/>
    <w:rsid w:val="00CF1859"/>
    <w:rsid w:val="00CF3773"/>
    <w:rsid w:val="00CF3B93"/>
    <w:rsid w:val="00CF5EEE"/>
    <w:rsid w:val="00CF5FFE"/>
    <w:rsid w:val="00D00798"/>
    <w:rsid w:val="00D022FC"/>
    <w:rsid w:val="00D04034"/>
    <w:rsid w:val="00D0541D"/>
    <w:rsid w:val="00D059CB"/>
    <w:rsid w:val="00D06522"/>
    <w:rsid w:val="00D06ABD"/>
    <w:rsid w:val="00D06BA7"/>
    <w:rsid w:val="00D06D2D"/>
    <w:rsid w:val="00D1390F"/>
    <w:rsid w:val="00D14244"/>
    <w:rsid w:val="00D1761D"/>
    <w:rsid w:val="00D20712"/>
    <w:rsid w:val="00D2108E"/>
    <w:rsid w:val="00D22B16"/>
    <w:rsid w:val="00D265CC"/>
    <w:rsid w:val="00D268B2"/>
    <w:rsid w:val="00D269B4"/>
    <w:rsid w:val="00D2701F"/>
    <w:rsid w:val="00D325AD"/>
    <w:rsid w:val="00D33204"/>
    <w:rsid w:val="00D34396"/>
    <w:rsid w:val="00D36DEB"/>
    <w:rsid w:val="00D40180"/>
    <w:rsid w:val="00D401EE"/>
    <w:rsid w:val="00D40C43"/>
    <w:rsid w:val="00D43677"/>
    <w:rsid w:val="00D43D71"/>
    <w:rsid w:val="00D44B4E"/>
    <w:rsid w:val="00D45285"/>
    <w:rsid w:val="00D50014"/>
    <w:rsid w:val="00D508F9"/>
    <w:rsid w:val="00D522D9"/>
    <w:rsid w:val="00D5525D"/>
    <w:rsid w:val="00D5759F"/>
    <w:rsid w:val="00D62664"/>
    <w:rsid w:val="00D62E61"/>
    <w:rsid w:val="00D63279"/>
    <w:rsid w:val="00D65190"/>
    <w:rsid w:val="00D65E80"/>
    <w:rsid w:val="00D7070D"/>
    <w:rsid w:val="00D71431"/>
    <w:rsid w:val="00D72BAE"/>
    <w:rsid w:val="00D760A1"/>
    <w:rsid w:val="00D7655B"/>
    <w:rsid w:val="00D76C80"/>
    <w:rsid w:val="00D82A79"/>
    <w:rsid w:val="00D846B0"/>
    <w:rsid w:val="00D85969"/>
    <w:rsid w:val="00D87C48"/>
    <w:rsid w:val="00D87DF7"/>
    <w:rsid w:val="00D910D8"/>
    <w:rsid w:val="00D91A71"/>
    <w:rsid w:val="00D9252C"/>
    <w:rsid w:val="00D92C0B"/>
    <w:rsid w:val="00D950D7"/>
    <w:rsid w:val="00D96B4E"/>
    <w:rsid w:val="00DA17E1"/>
    <w:rsid w:val="00DA3EE1"/>
    <w:rsid w:val="00DA4621"/>
    <w:rsid w:val="00DA71BC"/>
    <w:rsid w:val="00DA7768"/>
    <w:rsid w:val="00DB0498"/>
    <w:rsid w:val="00DB08E7"/>
    <w:rsid w:val="00DB3050"/>
    <w:rsid w:val="00DB3C3B"/>
    <w:rsid w:val="00DB48AD"/>
    <w:rsid w:val="00DB5FB8"/>
    <w:rsid w:val="00DB630E"/>
    <w:rsid w:val="00DC1E97"/>
    <w:rsid w:val="00DC4CE8"/>
    <w:rsid w:val="00DC72B6"/>
    <w:rsid w:val="00DC74DF"/>
    <w:rsid w:val="00DD11E1"/>
    <w:rsid w:val="00DD12B3"/>
    <w:rsid w:val="00DD3DF1"/>
    <w:rsid w:val="00DD43C8"/>
    <w:rsid w:val="00DD7E72"/>
    <w:rsid w:val="00DE0465"/>
    <w:rsid w:val="00DE1351"/>
    <w:rsid w:val="00DE32C2"/>
    <w:rsid w:val="00DE394A"/>
    <w:rsid w:val="00DE3F9E"/>
    <w:rsid w:val="00DE457E"/>
    <w:rsid w:val="00DE60B6"/>
    <w:rsid w:val="00DE72FB"/>
    <w:rsid w:val="00DF3CD4"/>
    <w:rsid w:val="00DF3E5E"/>
    <w:rsid w:val="00DF50FC"/>
    <w:rsid w:val="00DF74B7"/>
    <w:rsid w:val="00DF76B7"/>
    <w:rsid w:val="00DF7E8D"/>
    <w:rsid w:val="00E0188A"/>
    <w:rsid w:val="00E01A55"/>
    <w:rsid w:val="00E01FAF"/>
    <w:rsid w:val="00E0276B"/>
    <w:rsid w:val="00E039D8"/>
    <w:rsid w:val="00E0574F"/>
    <w:rsid w:val="00E05D08"/>
    <w:rsid w:val="00E06D13"/>
    <w:rsid w:val="00E07131"/>
    <w:rsid w:val="00E078FA"/>
    <w:rsid w:val="00E07D54"/>
    <w:rsid w:val="00E105DD"/>
    <w:rsid w:val="00E115EF"/>
    <w:rsid w:val="00E13301"/>
    <w:rsid w:val="00E14F01"/>
    <w:rsid w:val="00E1718A"/>
    <w:rsid w:val="00E2277A"/>
    <w:rsid w:val="00E22FFC"/>
    <w:rsid w:val="00E271D9"/>
    <w:rsid w:val="00E35964"/>
    <w:rsid w:val="00E3765B"/>
    <w:rsid w:val="00E40A5D"/>
    <w:rsid w:val="00E4207D"/>
    <w:rsid w:val="00E455D2"/>
    <w:rsid w:val="00E46EA1"/>
    <w:rsid w:val="00E47C5E"/>
    <w:rsid w:val="00E51FB0"/>
    <w:rsid w:val="00E56482"/>
    <w:rsid w:val="00E60571"/>
    <w:rsid w:val="00E6284E"/>
    <w:rsid w:val="00E638A2"/>
    <w:rsid w:val="00E63B1C"/>
    <w:rsid w:val="00E652AE"/>
    <w:rsid w:val="00E65871"/>
    <w:rsid w:val="00E65C19"/>
    <w:rsid w:val="00E664A8"/>
    <w:rsid w:val="00E70C39"/>
    <w:rsid w:val="00E73037"/>
    <w:rsid w:val="00E77759"/>
    <w:rsid w:val="00E77840"/>
    <w:rsid w:val="00E80378"/>
    <w:rsid w:val="00E8218F"/>
    <w:rsid w:val="00E82631"/>
    <w:rsid w:val="00E83015"/>
    <w:rsid w:val="00E847BA"/>
    <w:rsid w:val="00E847D8"/>
    <w:rsid w:val="00E86041"/>
    <w:rsid w:val="00E906DD"/>
    <w:rsid w:val="00E95BF4"/>
    <w:rsid w:val="00E95C7E"/>
    <w:rsid w:val="00E96ABC"/>
    <w:rsid w:val="00E9723F"/>
    <w:rsid w:val="00EA0868"/>
    <w:rsid w:val="00EA09AC"/>
    <w:rsid w:val="00EA0DB6"/>
    <w:rsid w:val="00EA110E"/>
    <w:rsid w:val="00EA2540"/>
    <w:rsid w:val="00EA2F1B"/>
    <w:rsid w:val="00EA32F3"/>
    <w:rsid w:val="00EA4BFB"/>
    <w:rsid w:val="00EB1511"/>
    <w:rsid w:val="00EB23F6"/>
    <w:rsid w:val="00EB37A5"/>
    <w:rsid w:val="00EB570D"/>
    <w:rsid w:val="00EB7587"/>
    <w:rsid w:val="00EC1B34"/>
    <w:rsid w:val="00EC228C"/>
    <w:rsid w:val="00EC251D"/>
    <w:rsid w:val="00EC257D"/>
    <w:rsid w:val="00EC272B"/>
    <w:rsid w:val="00EC2FA2"/>
    <w:rsid w:val="00EC3EE4"/>
    <w:rsid w:val="00EC446E"/>
    <w:rsid w:val="00EC5BA4"/>
    <w:rsid w:val="00EC6E34"/>
    <w:rsid w:val="00ED151C"/>
    <w:rsid w:val="00ED347C"/>
    <w:rsid w:val="00ED3DD2"/>
    <w:rsid w:val="00ED571F"/>
    <w:rsid w:val="00ED61F9"/>
    <w:rsid w:val="00ED7231"/>
    <w:rsid w:val="00EE161A"/>
    <w:rsid w:val="00EE1C46"/>
    <w:rsid w:val="00EE5A19"/>
    <w:rsid w:val="00EE6214"/>
    <w:rsid w:val="00EE63B9"/>
    <w:rsid w:val="00EE7A7D"/>
    <w:rsid w:val="00EF009F"/>
    <w:rsid w:val="00EF071E"/>
    <w:rsid w:val="00EF473E"/>
    <w:rsid w:val="00EF796B"/>
    <w:rsid w:val="00F00437"/>
    <w:rsid w:val="00F0325B"/>
    <w:rsid w:val="00F052E9"/>
    <w:rsid w:val="00F07C12"/>
    <w:rsid w:val="00F11D6E"/>
    <w:rsid w:val="00F14810"/>
    <w:rsid w:val="00F20665"/>
    <w:rsid w:val="00F21149"/>
    <w:rsid w:val="00F22F53"/>
    <w:rsid w:val="00F25364"/>
    <w:rsid w:val="00F26F52"/>
    <w:rsid w:val="00F274AD"/>
    <w:rsid w:val="00F30DE6"/>
    <w:rsid w:val="00F36B92"/>
    <w:rsid w:val="00F36E42"/>
    <w:rsid w:val="00F378C9"/>
    <w:rsid w:val="00F4035F"/>
    <w:rsid w:val="00F40467"/>
    <w:rsid w:val="00F4153C"/>
    <w:rsid w:val="00F43D9B"/>
    <w:rsid w:val="00F44984"/>
    <w:rsid w:val="00F45027"/>
    <w:rsid w:val="00F504C5"/>
    <w:rsid w:val="00F505D3"/>
    <w:rsid w:val="00F5135A"/>
    <w:rsid w:val="00F5505F"/>
    <w:rsid w:val="00F61AF6"/>
    <w:rsid w:val="00F61DF8"/>
    <w:rsid w:val="00F64CF8"/>
    <w:rsid w:val="00F66215"/>
    <w:rsid w:val="00F67275"/>
    <w:rsid w:val="00F73381"/>
    <w:rsid w:val="00F74A46"/>
    <w:rsid w:val="00F807FF"/>
    <w:rsid w:val="00F8206C"/>
    <w:rsid w:val="00F84685"/>
    <w:rsid w:val="00F8500C"/>
    <w:rsid w:val="00F8613C"/>
    <w:rsid w:val="00F91AD6"/>
    <w:rsid w:val="00F92324"/>
    <w:rsid w:val="00F93F0C"/>
    <w:rsid w:val="00F974FC"/>
    <w:rsid w:val="00FA0DDF"/>
    <w:rsid w:val="00FA1C81"/>
    <w:rsid w:val="00FA2AE8"/>
    <w:rsid w:val="00FA364A"/>
    <w:rsid w:val="00FA4167"/>
    <w:rsid w:val="00FB08ED"/>
    <w:rsid w:val="00FB4747"/>
    <w:rsid w:val="00FB7712"/>
    <w:rsid w:val="00FB7F9C"/>
    <w:rsid w:val="00FC1C8A"/>
    <w:rsid w:val="00FC2283"/>
    <w:rsid w:val="00FC3957"/>
    <w:rsid w:val="00FC4AAA"/>
    <w:rsid w:val="00FD2AC3"/>
    <w:rsid w:val="00FD6657"/>
    <w:rsid w:val="00FD6ADD"/>
    <w:rsid w:val="00FD7226"/>
    <w:rsid w:val="00FE00AB"/>
    <w:rsid w:val="00FE779D"/>
    <w:rsid w:val="00FE786E"/>
    <w:rsid w:val="00FF0174"/>
    <w:rsid w:val="00FF08E7"/>
    <w:rsid w:val="00FF0DE8"/>
    <w:rsid w:val="00FF193C"/>
    <w:rsid w:val="00FF19A6"/>
    <w:rsid w:val="00FF1C1C"/>
    <w:rsid w:val="00FF2216"/>
    <w:rsid w:val="00FF338E"/>
    <w:rsid w:val="00FF3E1E"/>
    <w:rsid w:val="00FF5C6C"/>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1CF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kern w:val="2"/>
        <w:sz w:val="26"/>
        <w:szCs w:val="26"/>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EA9"/>
    <w:pPr>
      <w:spacing w:line="480" w:lineRule="exact"/>
    </w:pPr>
    <w:rPr>
      <w:rFonts w:ascii="Times New Roman" w:hAnsi="Times New Roman"/>
      <w:szCs w:val="20"/>
    </w:rPr>
  </w:style>
  <w:style w:type="paragraph" w:styleId="Heading1">
    <w:name w:val="heading 1"/>
    <w:basedOn w:val="Body"/>
    <w:next w:val="Normal"/>
    <w:link w:val="Heading1Char"/>
    <w:autoRedefine/>
    <w:uiPriority w:val="9"/>
    <w:qFormat/>
    <w:rsid w:val="00D22B16"/>
    <w:pPr>
      <w:keepNext/>
      <w:ind w:firstLine="0"/>
      <w:jc w:val="center"/>
      <w:outlineLvl w:val="0"/>
    </w:pPr>
    <w:rPr>
      <w:b/>
      <w:bCs/>
    </w:rPr>
  </w:style>
  <w:style w:type="paragraph" w:styleId="Heading2">
    <w:name w:val="heading 2"/>
    <w:basedOn w:val="Heading4"/>
    <w:next w:val="Normal"/>
    <w:link w:val="Heading2Char"/>
    <w:uiPriority w:val="9"/>
    <w:qFormat/>
    <w:rsid w:val="007D2163"/>
    <w:pPr>
      <w:numPr>
        <w:numId w:val="11"/>
      </w:numPr>
      <w:tabs>
        <w:tab w:val="clear" w:pos="720"/>
      </w:tabs>
      <w:spacing w:before="0" w:after="0" w:line="480" w:lineRule="atLeast"/>
      <w:ind w:left="907"/>
      <w:outlineLvl w:val="1"/>
    </w:pPr>
    <w:rPr>
      <w:b w:val="0"/>
      <w:bCs w:val="0"/>
      <w:i/>
      <w:iCs/>
      <w:sz w:val="26"/>
      <w:szCs w:val="20"/>
    </w:rPr>
  </w:style>
  <w:style w:type="paragraph" w:styleId="Heading3">
    <w:name w:val="heading 3"/>
    <w:basedOn w:val="Heading2"/>
    <w:next w:val="Normal"/>
    <w:link w:val="Heading3Char"/>
    <w:uiPriority w:val="9"/>
    <w:qFormat/>
    <w:rsid w:val="00367973"/>
    <w:pPr>
      <w:numPr>
        <w:ilvl w:val="1"/>
      </w:numPr>
      <w:ind w:left="1440" w:hanging="720"/>
      <w:outlineLvl w:val="2"/>
    </w:pPr>
  </w:style>
  <w:style w:type="paragraph" w:styleId="Heading4">
    <w:name w:val="heading 4"/>
    <w:basedOn w:val="Normal"/>
    <w:next w:val="Normal"/>
    <w:link w:val="Heading4Char"/>
    <w:uiPriority w:val="9"/>
    <w:semiHidden/>
    <w:unhideWhenUsed/>
    <w:rsid w:val="007A5EA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rsid w:val="007A5EA9"/>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7A5EA9"/>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7A5EA9"/>
    <w:pPr>
      <w:spacing w:before="240" w:after="60"/>
      <w:outlineLvl w:val="6"/>
    </w:pPr>
    <w:rPr>
      <w:sz w:val="24"/>
    </w:rPr>
  </w:style>
  <w:style w:type="paragraph" w:styleId="Heading8">
    <w:name w:val="heading 8"/>
    <w:basedOn w:val="Normal"/>
    <w:next w:val="Normal"/>
    <w:link w:val="Heading8Char"/>
    <w:uiPriority w:val="9"/>
    <w:semiHidden/>
    <w:unhideWhenUsed/>
    <w:qFormat/>
    <w:rsid w:val="007A5EA9"/>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7A5EA9"/>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B16"/>
    <w:rPr>
      <w:rFonts w:ascii="Times New Roman" w:hAnsi="Times New Roman"/>
      <w:b/>
      <w:bCs/>
      <w:szCs w:val="20"/>
    </w:rPr>
  </w:style>
  <w:style w:type="character" w:customStyle="1" w:styleId="Heading2Char">
    <w:name w:val="Heading 2 Char"/>
    <w:basedOn w:val="DefaultParagraphFont"/>
    <w:link w:val="Heading2"/>
    <w:uiPriority w:val="9"/>
    <w:rsid w:val="007D2163"/>
    <w:rPr>
      <w:rFonts w:ascii="Times New Roman" w:hAnsi="Times New Roman"/>
      <w:i/>
      <w:iCs/>
      <w:szCs w:val="20"/>
    </w:rPr>
  </w:style>
  <w:style w:type="character" w:customStyle="1" w:styleId="Heading3Char">
    <w:name w:val="Heading 3 Char"/>
    <w:basedOn w:val="DefaultParagraphFont"/>
    <w:link w:val="Heading3"/>
    <w:uiPriority w:val="9"/>
    <w:rsid w:val="00367973"/>
    <w:rPr>
      <w:rFonts w:ascii="Times New Roman" w:hAnsi="Times New Roman"/>
      <w:i/>
      <w:iCs/>
      <w:szCs w:val="20"/>
    </w:rPr>
  </w:style>
  <w:style w:type="character" w:customStyle="1" w:styleId="Heading6Char">
    <w:name w:val="Heading 6 Char"/>
    <w:basedOn w:val="DefaultParagraphFont"/>
    <w:link w:val="Heading6"/>
    <w:uiPriority w:val="9"/>
    <w:semiHidden/>
    <w:rsid w:val="007A5EA9"/>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7A5EA9"/>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7A5EA9"/>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7A5EA9"/>
    <w:rPr>
      <w:rFonts w:asciiTheme="majorHAnsi" w:eastAsiaTheme="majorEastAsia" w:hAnsiTheme="majorHAnsi"/>
    </w:rPr>
  </w:style>
  <w:style w:type="paragraph" w:styleId="Title">
    <w:name w:val="Title"/>
    <w:basedOn w:val="Normal"/>
    <w:next w:val="Normal"/>
    <w:link w:val="TitleChar"/>
    <w:uiPriority w:val="10"/>
    <w:qFormat/>
    <w:rsid w:val="007A5EA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A5EA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A5EA9"/>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7A5EA9"/>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7A5EA9"/>
    <w:pPr>
      <w:outlineLvl w:val="9"/>
    </w:pPr>
  </w:style>
  <w:style w:type="character" w:customStyle="1" w:styleId="Heading4Char">
    <w:name w:val="Heading 4 Char"/>
    <w:basedOn w:val="DefaultParagraphFont"/>
    <w:link w:val="Heading4"/>
    <w:uiPriority w:val="9"/>
    <w:semiHidden/>
    <w:rsid w:val="007A5EA9"/>
    <w:rPr>
      <w:rFonts w:ascii="Times New Roman" w:eastAsia="Times New Roman" w:hAnsi="Times New Roman"/>
      <w:b/>
      <w:bCs/>
      <w:sz w:val="28"/>
      <w:szCs w:val="28"/>
    </w:rPr>
  </w:style>
  <w:style w:type="character" w:customStyle="1" w:styleId="Heading5Char">
    <w:name w:val="Heading 5 Char"/>
    <w:basedOn w:val="DefaultParagraphFont"/>
    <w:link w:val="Heading5"/>
    <w:uiPriority w:val="9"/>
    <w:semiHidden/>
    <w:rsid w:val="007A5EA9"/>
    <w:rPr>
      <w:rFonts w:ascii="Times New Roman" w:eastAsia="Times New Roman" w:hAnsi="Times New Roman"/>
      <w:b/>
      <w:bCs/>
      <w:i/>
      <w:iCs/>
    </w:rPr>
  </w:style>
  <w:style w:type="character" w:styleId="Strong">
    <w:name w:val="Strong"/>
    <w:basedOn w:val="DefaultParagraphFont"/>
    <w:uiPriority w:val="22"/>
    <w:rsid w:val="007A5EA9"/>
    <w:rPr>
      <w:b/>
      <w:bCs/>
    </w:rPr>
  </w:style>
  <w:style w:type="character" w:styleId="Emphasis">
    <w:name w:val="Emphasis"/>
    <w:basedOn w:val="DefaultParagraphFont"/>
    <w:uiPriority w:val="20"/>
    <w:rsid w:val="007A5EA9"/>
    <w:rPr>
      <w:rFonts w:asciiTheme="minorHAnsi" w:hAnsiTheme="minorHAnsi"/>
      <w:b/>
      <w:i/>
      <w:iCs/>
    </w:rPr>
  </w:style>
  <w:style w:type="paragraph" w:styleId="NoSpacing">
    <w:name w:val="No Spacing"/>
    <w:basedOn w:val="Normal"/>
    <w:uiPriority w:val="1"/>
    <w:rsid w:val="007A5EA9"/>
    <w:rPr>
      <w:szCs w:val="32"/>
    </w:rPr>
  </w:style>
  <w:style w:type="paragraph" w:styleId="ListParagraph">
    <w:name w:val="List Paragraph"/>
    <w:basedOn w:val="Normal"/>
    <w:uiPriority w:val="34"/>
    <w:rsid w:val="007A5EA9"/>
    <w:pPr>
      <w:ind w:left="720"/>
      <w:contextualSpacing/>
    </w:pPr>
  </w:style>
  <w:style w:type="paragraph" w:styleId="Quote">
    <w:name w:val="Quote"/>
    <w:basedOn w:val="Normal"/>
    <w:next w:val="Normal"/>
    <w:link w:val="QuoteChar"/>
    <w:uiPriority w:val="29"/>
    <w:rsid w:val="007A5EA9"/>
    <w:rPr>
      <w:i/>
    </w:rPr>
  </w:style>
  <w:style w:type="character" w:customStyle="1" w:styleId="QuoteChar">
    <w:name w:val="Quote Char"/>
    <w:basedOn w:val="DefaultParagraphFont"/>
    <w:link w:val="Quote"/>
    <w:uiPriority w:val="29"/>
    <w:rsid w:val="007A5EA9"/>
    <w:rPr>
      <w:rFonts w:ascii="Times New Roman" w:eastAsia="Times New Roman" w:hAnsi="Times New Roman"/>
      <w:i/>
      <w:szCs w:val="20"/>
    </w:rPr>
  </w:style>
  <w:style w:type="paragraph" w:styleId="IntenseQuote">
    <w:name w:val="Intense Quote"/>
    <w:basedOn w:val="Normal"/>
    <w:next w:val="Normal"/>
    <w:link w:val="IntenseQuoteChar"/>
    <w:uiPriority w:val="30"/>
    <w:rsid w:val="007A5EA9"/>
    <w:pPr>
      <w:ind w:left="720" w:right="720"/>
    </w:pPr>
    <w:rPr>
      <w:b/>
      <w:i/>
      <w:szCs w:val="22"/>
    </w:rPr>
  </w:style>
  <w:style w:type="character" w:customStyle="1" w:styleId="IntenseQuoteChar">
    <w:name w:val="Intense Quote Char"/>
    <w:basedOn w:val="DefaultParagraphFont"/>
    <w:link w:val="IntenseQuote"/>
    <w:uiPriority w:val="30"/>
    <w:rsid w:val="007A5EA9"/>
    <w:rPr>
      <w:rFonts w:ascii="Times New Roman" w:eastAsia="Times New Roman" w:hAnsi="Times New Roman"/>
      <w:b/>
      <w:i/>
      <w:szCs w:val="22"/>
    </w:rPr>
  </w:style>
  <w:style w:type="character" w:styleId="SubtleEmphasis">
    <w:name w:val="Subtle Emphasis"/>
    <w:uiPriority w:val="19"/>
    <w:rsid w:val="007A5EA9"/>
    <w:rPr>
      <w:i/>
      <w:color w:val="5A5A5A" w:themeColor="text1" w:themeTint="A5"/>
    </w:rPr>
  </w:style>
  <w:style w:type="character" w:styleId="IntenseEmphasis">
    <w:name w:val="Intense Emphasis"/>
    <w:basedOn w:val="DefaultParagraphFont"/>
    <w:uiPriority w:val="21"/>
    <w:rsid w:val="007A5EA9"/>
    <w:rPr>
      <w:b/>
      <w:i/>
      <w:sz w:val="24"/>
      <w:szCs w:val="24"/>
      <w:u w:val="single"/>
    </w:rPr>
  </w:style>
  <w:style w:type="character" w:styleId="SubtleReference">
    <w:name w:val="Subtle Reference"/>
    <w:basedOn w:val="DefaultParagraphFont"/>
    <w:uiPriority w:val="31"/>
    <w:rsid w:val="007A5EA9"/>
    <w:rPr>
      <w:sz w:val="24"/>
      <w:szCs w:val="24"/>
      <w:u w:val="single"/>
    </w:rPr>
  </w:style>
  <w:style w:type="character" w:styleId="IntenseReference">
    <w:name w:val="Intense Reference"/>
    <w:basedOn w:val="DefaultParagraphFont"/>
    <w:uiPriority w:val="32"/>
    <w:rsid w:val="007A5EA9"/>
    <w:rPr>
      <w:b/>
      <w:sz w:val="24"/>
      <w:u w:val="single"/>
    </w:rPr>
  </w:style>
  <w:style w:type="character" w:styleId="BookTitle">
    <w:name w:val="Book Title"/>
    <w:basedOn w:val="DefaultParagraphFont"/>
    <w:uiPriority w:val="33"/>
    <w:rsid w:val="007A5EA9"/>
    <w:rPr>
      <w:rFonts w:asciiTheme="majorHAnsi" w:eastAsiaTheme="majorEastAsia" w:hAnsiTheme="majorHAnsi"/>
      <w:b/>
      <w:i/>
      <w:sz w:val="24"/>
      <w:szCs w:val="24"/>
    </w:rPr>
  </w:style>
  <w:style w:type="paragraph" w:styleId="EnvelopeAddress">
    <w:name w:val="envelope address"/>
    <w:basedOn w:val="Normal"/>
    <w:rsid w:val="007A5EA9"/>
    <w:pPr>
      <w:framePr w:w="7920" w:h="1980" w:hRule="exact" w:hSpace="180" w:wrap="auto" w:hAnchor="page" w:xAlign="center" w:yAlign="bottom"/>
      <w:ind w:left="2880"/>
    </w:pPr>
  </w:style>
  <w:style w:type="paragraph" w:styleId="EnvelopeReturn">
    <w:name w:val="envelope return"/>
    <w:basedOn w:val="Normal"/>
    <w:rsid w:val="007A5EA9"/>
  </w:style>
  <w:style w:type="paragraph" w:styleId="Footer">
    <w:name w:val="footer"/>
    <w:basedOn w:val="Normal"/>
    <w:link w:val="FooterChar"/>
    <w:rsid w:val="007A5EA9"/>
    <w:pPr>
      <w:tabs>
        <w:tab w:val="center" w:pos="4320"/>
        <w:tab w:val="right" w:pos="8640"/>
      </w:tabs>
      <w:spacing w:line="520" w:lineRule="exact"/>
    </w:pPr>
  </w:style>
  <w:style w:type="character" w:customStyle="1" w:styleId="FooterChar">
    <w:name w:val="Footer Char"/>
    <w:basedOn w:val="DefaultParagraphFont"/>
    <w:link w:val="Footer"/>
    <w:rsid w:val="007A5EA9"/>
    <w:rPr>
      <w:rFonts w:ascii="Times New Roman" w:eastAsia="Times New Roman" w:hAnsi="Times New Roman"/>
      <w:szCs w:val="20"/>
    </w:rPr>
  </w:style>
  <w:style w:type="character" w:styleId="FootnoteReference">
    <w:name w:val="footnote reference"/>
    <w:basedOn w:val="DefaultParagraphFont"/>
    <w:rsid w:val="007A5EA9"/>
    <w:rPr>
      <w:rFonts w:ascii="Times New Roman" w:hAnsi="Times New Roman"/>
      <w:b w:val="0"/>
      <w:color w:val="FF0000"/>
      <w:position w:val="6"/>
      <w:sz w:val="20"/>
    </w:rPr>
  </w:style>
  <w:style w:type="paragraph" w:styleId="FootnoteText">
    <w:name w:val="footnote text"/>
    <w:basedOn w:val="Normal"/>
    <w:link w:val="FootnoteTextChar"/>
    <w:rsid w:val="007A5EA9"/>
    <w:pPr>
      <w:keepLines/>
      <w:widowControl w:val="0"/>
    </w:pPr>
  </w:style>
  <w:style w:type="character" w:customStyle="1" w:styleId="FootnoteTextChar">
    <w:name w:val="Footnote Text Char"/>
    <w:basedOn w:val="DefaultParagraphFont"/>
    <w:link w:val="FootnoteText"/>
    <w:rsid w:val="007A5EA9"/>
    <w:rPr>
      <w:rFonts w:ascii="Times New Roman" w:eastAsia="Times New Roman" w:hAnsi="Times New Roman"/>
      <w:szCs w:val="20"/>
    </w:rPr>
  </w:style>
  <w:style w:type="paragraph" w:styleId="Header">
    <w:name w:val="header"/>
    <w:basedOn w:val="Normal"/>
    <w:link w:val="HeaderChar"/>
    <w:rsid w:val="007A5EA9"/>
    <w:pPr>
      <w:tabs>
        <w:tab w:val="center" w:pos="4320"/>
        <w:tab w:val="right" w:pos="8640"/>
      </w:tabs>
    </w:pPr>
  </w:style>
  <w:style w:type="character" w:customStyle="1" w:styleId="HeaderChar">
    <w:name w:val="Header Char"/>
    <w:basedOn w:val="DefaultParagraphFont"/>
    <w:link w:val="Header"/>
    <w:rsid w:val="007A5EA9"/>
    <w:rPr>
      <w:rFonts w:ascii="Times New Roman" w:eastAsia="Times New Roman" w:hAnsi="Times New Roman"/>
      <w:szCs w:val="20"/>
    </w:rPr>
  </w:style>
  <w:style w:type="paragraph" w:customStyle="1" w:styleId="IndentedQuote">
    <w:name w:val="IndentedQuote"/>
    <w:basedOn w:val="Normal"/>
    <w:rsid w:val="007A5EA9"/>
    <w:pPr>
      <w:spacing w:line="260" w:lineRule="exact"/>
      <w:ind w:left="1080" w:right="1080"/>
    </w:pPr>
  </w:style>
  <w:style w:type="paragraph" w:styleId="MacroText">
    <w:name w:val="macro"/>
    <w:link w:val="MacroTextChar"/>
    <w:semiHidden/>
    <w:rsid w:val="007A5EA9"/>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2"/>
      <w:szCs w:val="20"/>
    </w:rPr>
  </w:style>
  <w:style w:type="character" w:customStyle="1" w:styleId="MacroTextChar">
    <w:name w:val="Macro Text Char"/>
    <w:basedOn w:val="DefaultParagraphFont"/>
    <w:link w:val="MacroText"/>
    <w:semiHidden/>
    <w:rsid w:val="007A5EA9"/>
    <w:rPr>
      <w:rFonts w:ascii="Times New Roman" w:eastAsia="Times New Roman" w:hAnsi="Times New Roman"/>
      <w:sz w:val="22"/>
      <w:szCs w:val="20"/>
    </w:rPr>
  </w:style>
  <w:style w:type="character" w:styleId="PageNumber">
    <w:name w:val="page number"/>
    <w:basedOn w:val="DefaultParagraphFont"/>
    <w:rsid w:val="007A5EA9"/>
  </w:style>
  <w:style w:type="paragraph" w:customStyle="1" w:styleId="Body">
    <w:name w:val="Body"/>
    <w:basedOn w:val="Normal"/>
    <w:link w:val="BodyChar"/>
    <w:qFormat/>
    <w:rsid w:val="00A11F32"/>
    <w:pPr>
      <w:tabs>
        <w:tab w:val="left" w:pos="1440"/>
        <w:tab w:val="left" w:pos="2880"/>
        <w:tab w:val="left" w:pos="4320"/>
        <w:tab w:val="left" w:pos="5760"/>
        <w:tab w:val="left" w:pos="7200"/>
        <w:tab w:val="left" w:pos="8640"/>
      </w:tabs>
      <w:spacing w:line="480" w:lineRule="atLeast"/>
      <w:ind w:firstLine="1440"/>
    </w:pPr>
  </w:style>
  <w:style w:type="character" w:customStyle="1" w:styleId="BodyChar">
    <w:name w:val="Body Char"/>
    <w:basedOn w:val="DefaultParagraphFont"/>
    <w:link w:val="Body"/>
    <w:rsid w:val="00A11F32"/>
    <w:rPr>
      <w:rFonts w:ascii="Times New Roman" w:hAnsi="Times New Roman"/>
      <w:szCs w:val="20"/>
    </w:rPr>
  </w:style>
  <w:style w:type="paragraph" w:customStyle="1" w:styleId="Mischeading">
    <w:name w:val="Misc heading"/>
    <w:basedOn w:val="Heading2"/>
    <w:link w:val="MischeadingChar"/>
    <w:qFormat/>
    <w:rsid w:val="00B822CB"/>
    <w:pPr>
      <w:numPr>
        <w:numId w:val="0"/>
      </w:numPr>
      <w:tabs>
        <w:tab w:val="num" w:pos="720"/>
      </w:tabs>
      <w:ind w:left="720" w:hanging="720"/>
    </w:pPr>
    <w:rPr>
      <w:i w:val="0"/>
      <w:iCs w:val="0"/>
    </w:rPr>
  </w:style>
  <w:style w:type="character" w:customStyle="1" w:styleId="MischeadingChar">
    <w:name w:val="Misc heading Char"/>
    <w:basedOn w:val="Heading2Char"/>
    <w:link w:val="Mischeading"/>
    <w:rsid w:val="00B822CB"/>
    <w:rPr>
      <w:rFonts w:ascii="Times New Roman" w:hAnsi="Times New Roman"/>
      <w:i w:val="0"/>
      <w:iCs w:val="0"/>
      <w:szCs w:val="20"/>
    </w:rPr>
  </w:style>
  <w:style w:type="character" w:customStyle="1" w:styleId="cohl">
    <w:name w:val="co_hl"/>
    <w:basedOn w:val="DefaultParagraphFont"/>
    <w:rsid w:val="00580FE3"/>
  </w:style>
  <w:style w:type="paragraph" w:styleId="Revision">
    <w:name w:val="Revision"/>
    <w:hidden/>
    <w:uiPriority w:val="99"/>
    <w:semiHidden/>
    <w:rsid w:val="0003263A"/>
    <w:rPr>
      <w:rFonts w:ascii="Times New Roman" w:hAnsi="Times New Roman"/>
      <w:szCs w:val="20"/>
    </w:rPr>
  </w:style>
  <w:style w:type="character" w:styleId="CommentReference">
    <w:name w:val="annotation reference"/>
    <w:basedOn w:val="DefaultParagraphFont"/>
    <w:uiPriority w:val="99"/>
    <w:semiHidden/>
    <w:unhideWhenUsed/>
    <w:rsid w:val="0003263A"/>
    <w:rPr>
      <w:sz w:val="16"/>
      <w:szCs w:val="16"/>
    </w:rPr>
  </w:style>
  <w:style w:type="paragraph" w:styleId="CommentText">
    <w:name w:val="annotation text"/>
    <w:basedOn w:val="Normal"/>
    <w:link w:val="CommentTextChar"/>
    <w:uiPriority w:val="99"/>
    <w:unhideWhenUsed/>
    <w:rsid w:val="0003263A"/>
    <w:pPr>
      <w:spacing w:line="240" w:lineRule="auto"/>
    </w:pPr>
    <w:rPr>
      <w:sz w:val="20"/>
    </w:rPr>
  </w:style>
  <w:style w:type="character" w:customStyle="1" w:styleId="CommentTextChar">
    <w:name w:val="Comment Text Char"/>
    <w:basedOn w:val="DefaultParagraphFont"/>
    <w:link w:val="CommentText"/>
    <w:uiPriority w:val="99"/>
    <w:rsid w:val="0003263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3263A"/>
    <w:rPr>
      <w:b/>
      <w:bCs/>
    </w:rPr>
  </w:style>
  <w:style w:type="character" w:customStyle="1" w:styleId="CommentSubjectChar">
    <w:name w:val="Comment Subject Char"/>
    <w:basedOn w:val="CommentTextChar"/>
    <w:link w:val="CommentSubject"/>
    <w:uiPriority w:val="99"/>
    <w:semiHidden/>
    <w:rsid w:val="0003263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0">
      <w:bodyDiv w:val="1"/>
      <w:marLeft w:val="0"/>
      <w:marRight w:val="0"/>
      <w:marTop w:val="0"/>
      <w:marBottom w:val="0"/>
      <w:divBdr>
        <w:top w:val="none" w:sz="0" w:space="0" w:color="auto"/>
        <w:left w:val="none" w:sz="0" w:space="0" w:color="auto"/>
        <w:bottom w:val="none" w:sz="0" w:space="0" w:color="auto"/>
        <w:right w:val="none" w:sz="0" w:space="0" w:color="auto"/>
      </w:divBdr>
    </w:div>
    <w:div w:id="147332498">
      <w:bodyDiv w:val="1"/>
      <w:marLeft w:val="0"/>
      <w:marRight w:val="0"/>
      <w:marTop w:val="0"/>
      <w:marBottom w:val="0"/>
      <w:divBdr>
        <w:top w:val="none" w:sz="0" w:space="0" w:color="auto"/>
        <w:left w:val="none" w:sz="0" w:space="0" w:color="auto"/>
        <w:bottom w:val="none" w:sz="0" w:space="0" w:color="auto"/>
        <w:right w:val="none" w:sz="0" w:space="0" w:color="auto"/>
      </w:divBdr>
      <w:divsChild>
        <w:div w:id="299501920">
          <w:marLeft w:val="0"/>
          <w:marRight w:val="0"/>
          <w:marTop w:val="0"/>
          <w:marBottom w:val="0"/>
          <w:divBdr>
            <w:top w:val="none" w:sz="0" w:space="0" w:color="auto"/>
            <w:left w:val="none" w:sz="0" w:space="0" w:color="auto"/>
            <w:bottom w:val="none" w:sz="0" w:space="0" w:color="auto"/>
            <w:right w:val="none" w:sz="0" w:space="0" w:color="auto"/>
          </w:divBdr>
          <w:divsChild>
            <w:div w:id="1817451055">
              <w:marLeft w:val="0"/>
              <w:marRight w:val="0"/>
              <w:marTop w:val="0"/>
              <w:marBottom w:val="0"/>
              <w:divBdr>
                <w:top w:val="none" w:sz="0" w:space="0" w:color="auto"/>
                <w:left w:val="none" w:sz="0" w:space="0" w:color="auto"/>
                <w:bottom w:val="none" w:sz="0" w:space="0" w:color="auto"/>
                <w:right w:val="none" w:sz="0" w:space="0" w:color="auto"/>
              </w:divBdr>
            </w:div>
          </w:divsChild>
        </w:div>
        <w:div w:id="453644376">
          <w:marLeft w:val="0"/>
          <w:marRight w:val="0"/>
          <w:marTop w:val="0"/>
          <w:marBottom w:val="0"/>
          <w:divBdr>
            <w:top w:val="none" w:sz="0" w:space="0" w:color="auto"/>
            <w:left w:val="none" w:sz="0" w:space="0" w:color="auto"/>
            <w:bottom w:val="none" w:sz="0" w:space="0" w:color="auto"/>
            <w:right w:val="none" w:sz="0" w:space="0" w:color="auto"/>
          </w:divBdr>
          <w:divsChild>
            <w:div w:id="116512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0122">
      <w:bodyDiv w:val="1"/>
      <w:marLeft w:val="0"/>
      <w:marRight w:val="0"/>
      <w:marTop w:val="0"/>
      <w:marBottom w:val="0"/>
      <w:divBdr>
        <w:top w:val="none" w:sz="0" w:space="0" w:color="auto"/>
        <w:left w:val="none" w:sz="0" w:space="0" w:color="auto"/>
        <w:bottom w:val="none" w:sz="0" w:space="0" w:color="auto"/>
        <w:right w:val="none" w:sz="0" w:space="0" w:color="auto"/>
      </w:divBdr>
    </w:div>
    <w:div w:id="246621190">
      <w:bodyDiv w:val="1"/>
      <w:marLeft w:val="0"/>
      <w:marRight w:val="0"/>
      <w:marTop w:val="0"/>
      <w:marBottom w:val="0"/>
      <w:divBdr>
        <w:top w:val="none" w:sz="0" w:space="0" w:color="auto"/>
        <w:left w:val="none" w:sz="0" w:space="0" w:color="auto"/>
        <w:bottom w:val="none" w:sz="0" w:space="0" w:color="auto"/>
        <w:right w:val="none" w:sz="0" w:space="0" w:color="auto"/>
      </w:divBdr>
      <w:divsChild>
        <w:div w:id="784887783">
          <w:marLeft w:val="0"/>
          <w:marRight w:val="0"/>
          <w:marTop w:val="0"/>
          <w:marBottom w:val="0"/>
          <w:divBdr>
            <w:top w:val="none" w:sz="0" w:space="0" w:color="3D3D3D"/>
            <w:left w:val="none" w:sz="0" w:space="0" w:color="3D3D3D"/>
            <w:bottom w:val="none" w:sz="0" w:space="0" w:color="3D3D3D"/>
            <w:right w:val="none" w:sz="0" w:space="0" w:color="3D3D3D"/>
          </w:divBdr>
          <w:divsChild>
            <w:div w:id="203568767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53248074">
      <w:bodyDiv w:val="1"/>
      <w:marLeft w:val="0"/>
      <w:marRight w:val="0"/>
      <w:marTop w:val="0"/>
      <w:marBottom w:val="0"/>
      <w:divBdr>
        <w:top w:val="none" w:sz="0" w:space="0" w:color="auto"/>
        <w:left w:val="none" w:sz="0" w:space="0" w:color="auto"/>
        <w:bottom w:val="none" w:sz="0" w:space="0" w:color="auto"/>
        <w:right w:val="none" w:sz="0" w:space="0" w:color="auto"/>
      </w:divBdr>
    </w:div>
    <w:div w:id="265191087">
      <w:bodyDiv w:val="1"/>
      <w:marLeft w:val="0"/>
      <w:marRight w:val="0"/>
      <w:marTop w:val="0"/>
      <w:marBottom w:val="0"/>
      <w:divBdr>
        <w:top w:val="none" w:sz="0" w:space="0" w:color="auto"/>
        <w:left w:val="none" w:sz="0" w:space="0" w:color="auto"/>
        <w:bottom w:val="none" w:sz="0" w:space="0" w:color="auto"/>
        <w:right w:val="none" w:sz="0" w:space="0" w:color="auto"/>
      </w:divBdr>
      <w:divsChild>
        <w:div w:id="1027213966">
          <w:marLeft w:val="0"/>
          <w:marRight w:val="0"/>
          <w:marTop w:val="0"/>
          <w:marBottom w:val="0"/>
          <w:divBdr>
            <w:top w:val="none" w:sz="0" w:space="0" w:color="auto"/>
            <w:left w:val="none" w:sz="0" w:space="0" w:color="auto"/>
            <w:bottom w:val="none" w:sz="0" w:space="0" w:color="auto"/>
            <w:right w:val="none" w:sz="0" w:space="0" w:color="auto"/>
          </w:divBdr>
          <w:divsChild>
            <w:div w:id="788207406">
              <w:marLeft w:val="0"/>
              <w:marRight w:val="0"/>
              <w:marTop w:val="0"/>
              <w:marBottom w:val="0"/>
              <w:divBdr>
                <w:top w:val="none" w:sz="0" w:space="0" w:color="auto"/>
                <w:left w:val="none" w:sz="0" w:space="0" w:color="auto"/>
                <w:bottom w:val="none" w:sz="0" w:space="0" w:color="auto"/>
                <w:right w:val="none" w:sz="0" w:space="0" w:color="auto"/>
              </w:divBdr>
            </w:div>
          </w:divsChild>
        </w:div>
        <w:div w:id="1422875024">
          <w:marLeft w:val="0"/>
          <w:marRight w:val="0"/>
          <w:marTop w:val="0"/>
          <w:marBottom w:val="0"/>
          <w:divBdr>
            <w:top w:val="none" w:sz="0" w:space="0" w:color="auto"/>
            <w:left w:val="none" w:sz="0" w:space="0" w:color="auto"/>
            <w:bottom w:val="none" w:sz="0" w:space="0" w:color="auto"/>
            <w:right w:val="none" w:sz="0" w:space="0" w:color="auto"/>
          </w:divBdr>
          <w:divsChild>
            <w:div w:id="933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10682">
      <w:bodyDiv w:val="1"/>
      <w:marLeft w:val="0"/>
      <w:marRight w:val="0"/>
      <w:marTop w:val="0"/>
      <w:marBottom w:val="0"/>
      <w:divBdr>
        <w:top w:val="none" w:sz="0" w:space="0" w:color="auto"/>
        <w:left w:val="none" w:sz="0" w:space="0" w:color="auto"/>
        <w:bottom w:val="none" w:sz="0" w:space="0" w:color="auto"/>
        <w:right w:val="none" w:sz="0" w:space="0" w:color="auto"/>
      </w:divBdr>
    </w:div>
    <w:div w:id="661155502">
      <w:bodyDiv w:val="1"/>
      <w:marLeft w:val="0"/>
      <w:marRight w:val="0"/>
      <w:marTop w:val="0"/>
      <w:marBottom w:val="0"/>
      <w:divBdr>
        <w:top w:val="none" w:sz="0" w:space="0" w:color="auto"/>
        <w:left w:val="none" w:sz="0" w:space="0" w:color="auto"/>
        <w:bottom w:val="none" w:sz="0" w:space="0" w:color="auto"/>
        <w:right w:val="none" w:sz="0" w:space="0" w:color="auto"/>
      </w:divBdr>
      <w:divsChild>
        <w:div w:id="1966500419">
          <w:marLeft w:val="0"/>
          <w:marRight w:val="0"/>
          <w:marTop w:val="0"/>
          <w:marBottom w:val="0"/>
          <w:divBdr>
            <w:top w:val="none" w:sz="0" w:space="0" w:color="auto"/>
            <w:left w:val="none" w:sz="0" w:space="0" w:color="auto"/>
            <w:bottom w:val="none" w:sz="0" w:space="0" w:color="auto"/>
            <w:right w:val="none" w:sz="0" w:space="0" w:color="auto"/>
          </w:divBdr>
          <w:divsChild>
            <w:div w:id="1599831162">
              <w:marLeft w:val="0"/>
              <w:marRight w:val="0"/>
              <w:marTop w:val="0"/>
              <w:marBottom w:val="0"/>
              <w:divBdr>
                <w:top w:val="none" w:sz="0" w:space="0" w:color="auto"/>
                <w:left w:val="none" w:sz="0" w:space="0" w:color="auto"/>
                <w:bottom w:val="none" w:sz="0" w:space="0" w:color="auto"/>
                <w:right w:val="none" w:sz="0" w:space="0" w:color="auto"/>
              </w:divBdr>
            </w:div>
          </w:divsChild>
        </w:div>
        <w:div w:id="1400978671">
          <w:marLeft w:val="0"/>
          <w:marRight w:val="0"/>
          <w:marTop w:val="0"/>
          <w:marBottom w:val="0"/>
          <w:divBdr>
            <w:top w:val="none" w:sz="0" w:space="0" w:color="auto"/>
            <w:left w:val="none" w:sz="0" w:space="0" w:color="auto"/>
            <w:bottom w:val="none" w:sz="0" w:space="0" w:color="auto"/>
            <w:right w:val="none" w:sz="0" w:space="0" w:color="auto"/>
          </w:divBdr>
          <w:divsChild>
            <w:div w:id="76935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4316">
      <w:bodyDiv w:val="1"/>
      <w:marLeft w:val="0"/>
      <w:marRight w:val="0"/>
      <w:marTop w:val="0"/>
      <w:marBottom w:val="0"/>
      <w:divBdr>
        <w:top w:val="none" w:sz="0" w:space="0" w:color="auto"/>
        <w:left w:val="none" w:sz="0" w:space="0" w:color="auto"/>
        <w:bottom w:val="none" w:sz="0" w:space="0" w:color="auto"/>
        <w:right w:val="none" w:sz="0" w:space="0" w:color="auto"/>
      </w:divBdr>
      <w:divsChild>
        <w:div w:id="903760205">
          <w:marLeft w:val="0"/>
          <w:marRight w:val="0"/>
          <w:marTop w:val="0"/>
          <w:marBottom w:val="0"/>
          <w:divBdr>
            <w:top w:val="none" w:sz="0" w:space="0" w:color="3D3D3D"/>
            <w:left w:val="none" w:sz="0" w:space="0" w:color="3D3D3D"/>
            <w:bottom w:val="none" w:sz="0" w:space="0" w:color="3D3D3D"/>
            <w:right w:val="none" w:sz="0" w:space="0" w:color="3D3D3D"/>
          </w:divBdr>
          <w:divsChild>
            <w:div w:id="65591641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06888800">
      <w:bodyDiv w:val="1"/>
      <w:marLeft w:val="0"/>
      <w:marRight w:val="0"/>
      <w:marTop w:val="0"/>
      <w:marBottom w:val="0"/>
      <w:divBdr>
        <w:top w:val="none" w:sz="0" w:space="0" w:color="auto"/>
        <w:left w:val="none" w:sz="0" w:space="0" w:color="auto"/>
        <w:bottom w:val="none" w:sz="0" w:space="0" w:color="auto"/>
        <w:right w:val="none" w:sz="0" w:space="0" w:color="auto"/>
      </w:divBdr>
    </w:div>
    <w:div w:id="947347142">
      <w:bodyDiv w:val="1"/>
      <w:marLeft w:val="0"/>
      <w:marRight w:val="0"/>
      <w:marTop w:val="0"/>
      <w:marBottom w:val="0"/>
      <w:divBdr>
        <w:top w:val="none" w:sz="0" w:space="0" w:color="auto"/>
        <w:left w:val="none" w:sz="0" w:space="0" w:color="auto"/>
        <w:bottom w:val="none" w:sz="0" w:space="0" w:color="auto"/>
        <w:right w:val="none" w:sz="0" w:space="0" w:color="auto"/>
      </w:divBdr>
    </w:div>
    <w:div w:id="1492212263">
      <w:bodyDiv w:val="1"/>
      <w:marLeft w:val="0"/>
      <w:marRight w:val="0"/>
      <w:marTop w:val="0"/>
      <w:marBottom w:val="0"/>
      <w:divBdr>
        <w:top w:val="none" w:sz="0" w:space="0" w:color="auto"/>
        <w:left w:val="none" w:sz="0" w:space="0" w:color="auto"/>
        <w:bottom w:val="none" w:sz="0" w:space="0" w:color="auto"/>
        <w:right w:val="none" w:sz="0" w:space="0" w:color="auto"/>
      </w:divBdr>
    </w:div>
    <w:div w:id="1555123952">
      <w:bodyDiv w:val="1"/>
      <w:marLeft w:val="0"/>
      <w:marRight w:val="0"/>
      <w:marTop w:val="0"/>
      <w:marBottom w:val="0"/>
      <w:divBdr>
        <w:top w:val="none" w:sz="0" w:space="0" w:color="auto"/>
        <w:left w:val="none" w:sz="0" w:space="0" w:color="auto"/>
        <w:bottom w:val="none" w:sz="0" w:space="0" w:color="auto"/>
        <w:right w:val="none" w:sz="0" w:space="0" w:color="auto"/>
      </w:divBdr>
      <w:divsChild>
        <w:div w:id="2008896287">
          <w:marLeft w:val="0"/>
          <w:marRight w:val="0"/>
          <w:marTop w:val="0"/>
          <w:marBottom w:val="0"/>
          <w:divBdr>
            <w:top w:val="none" w:sz="0" w:space="0" w:color="3D3D3D"/>
            <w:left w:val="none" w:sz="0" w:space="0" w:color="3D3D3D"/>
            <w:bottom w:val="none" w:sz="0" w:space="0" w:color="3D3D3D"/>
            <w:right w:val="none" w:sz="0" w:space="0" w:color="3D3D3D"/>
          </w:divBdr>
        </w:div>
      </w:divsChild>
    </w:div>
    <w:div w:id="1567453328">
      <w:bodyDiv w:val="1"/>
      <w:marLeft w:val="0"/>
      <w:marRight w:val="0"/>
      <w:marTop w:val="0"/>
      <w:marBottom w:val="0"/>
      <w:divBdr>
        <w:top w:val="none" w:sz="0" w:space="0" w:color="auto"/>
        <w:left w:val="none" w:sz="0" w:space="0" w:color="auto"/>
        <w:bottom w:val="none" w:sz="0" w:space="0" w:color="auto"/>
        <w:right w:val="none" w:sz="0" w:space="0" w:color="auto"/>
      </w:divBdr>
      <w:divsChild>
        <w:div w:id="273682869">
          <w:marLeft w:val="0"/>
          <w:marRight w:val="0"/>
          <w:marTop w:val="0"/>
          <w:marBottom w:val="0"/>
          <w:divBdr>
            <w:top w:val="none" w:sz="0" w:space="0" w:color="3D3D3D"/>
            <w:left w:val="none" w:sz="0" w:space="0" w:color="3D3D3D"/>
            <w:bottom w:val="none" w:sz="0" w:space="0" w:color="3D3D3D"/>
            <w:right w:val="none" w:sz="0" w:space="0" w:color="3D3D3D"/>
          </w:divBdr>
        </w:div>
      </w:divsChild>
    </w:div>
    <w:div w:id="1731031740">
      <w:bodyDiv w:val="1"/>
      <w:marLeft w:val="0"/>
      <w:marRight w:val="0"/>
      <w:marTop w:val="0"/>
      <w:marBottom w:val="0"/>
      <w:divBdr>
        <w:top w:val="none" w:sz="0" w:space="0" w:color="auto"/>
        <w:left w:val="none" w:sz="0" w:space="0" w:color="auto"/>
        <w:bottom w:val="none" w:sz="0" w:space="0" w:color="auto"/>
        <w:right w:val="none" w:sz="0" w:space="0" w:color="auto"/>
      </w:divBdr>
    </w:div>
    <w:div w:id="200744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CAA65-E041-4B7F-90EB-FFB20509B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7732</Words>
  <Characters>40996</Characters>
  <Application>Microsoft Office Word</Application>
  <DocSecurity>0</DocSecurity>
  <Lines>656</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49007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2024-05-08T20:42:00Z</cp:lastPrinted>
  <dcterms:created xsi:type="dcterms:W3CDTF">2024-05-08T20:45:00Z</dcterms:created>
  <dcterms:modified xsi:type="dcterms:W3CDTF">2024-05-08T20:45:00Z</dcterms:modified>
  <cp:category/>
</cp:coreProperties>
</file>