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43225C" w:rsidRPr="00AE2ABE" w:rsidP="00AE2ABE" w14:paraId="7E4A5D7A" w14:textId="0C124F54">
      <w:pPr>
        <w:spacing w:line="240" w:lineRule="auto"/>
        <w:rPr>
          <w:sz w:val="20"/>
        </w:rPr>
      </w:pPr>
      <w:r>
        <w:rPr>
          <w:sz w:val="20"/>
        </w:rPr>
        <w:t>Filed 5/30/24</w:t>
      </w:r>
    </w:p>
    <w:p w:rsidR="00581BEC" w:rsidP="0043225C" w14:paraId="0455C7B3" w14:textId="77777777">
      <w:pPr>
        <w:spacing w:line="240" w:lineRule="auto"/>
      </w:pPr>
    </w:p>
    <w:p w:rsidR="00581BEC" w:rsidP="0043225C" w14:paraId="08960B35" w14:textId="77777777">
      <w:pPr>
        <w:spacing w:line="240" w:lineRule="auto"/>
      </w:pPr>
    </w:p>
    <w:p w:rsidR="00581BEC" w:rsidP="0043225C" w14:paraId="38E5C604" w14:textId="77777777">
      <w:pPr>
        <w:spacing w:line="240" w:lineRule="auto"/>
      </w:pPr>
    </w:p>
    <w:p w:rsidR="00581BEC" w:rsidP="0043225C" w14:paraId="7461B16B" w14:textId="77777777">
      <w:pPr>
        <w:spacing w:line="240" w:lineRule="auto"/>
      </w:pPr>
    </w:p>
    <w:p w:rsidR="0043225C" w:rsidP="0043225C" w14:paraId="05F10936" w14:textId="4AB18EC2">
      <w:pPr>
        <w:spacing w:line="240" w:lineRule="auto"/>
        <w:jc w:val="center"/>
        <w:rPr>
          <w:rStyle w:val="FootnoteReference"/>
          <w:b w:val="0"/>
        </w:rPr>
      </w:pPr>
      <w:r>
        <w:rPr>
          <w:b/>
          <w:u w:val="single"/>
        </w:rPr>
        <w:t>CERTIFIED FOR PARTIAL PUBLICATION</w:t>
      </w:r>
      <w:r>
        <w:rPr>
          <w:rStyle w:val="FootnoteReference"/>
          <w:b w:val="0"/>
        </w:rPr>
        <w:footnoteReference w:customMarkFollows="1" w:id="2"/>
        <w:t xml:space="preserve">*</w:t>
      </w:r>
    </w:p>
    <w:p w:rsidR="003C570E" w:rsidP="0043225C" w14:paraId="613D1A69" w14:textId="77777777">
      <w:pPr>
        <w:spacing w:line="240" w:lineRule="auto"/>
      </w:pPr>
    </w:p>
    <w:p w:rsidR="003C570E" w:rsidP="003C570E" w14:paraId="11DD722F" w14:textId="77721ECF">
      <w:pPr>
        <w:spacing w:before="240" w:line="240" w:lineRule="auto"/>
        <w:jc w:val="center"/>
      </w:pPr>
      <w:r>
        <w:t>IN THE COURT OF APPEAL OF THE STATE OF CALIFORNIA</w:t>
      </w:r>
    </w:p>
    <w:p w:rsidR="003C570E" w:rsidP="003C570E" w14:paraId="6AFEE616" w14:textId="4FCDDC71">
      <w:pPr>
        <w:spacing w:before="240" w:line="240" w:lineRule="auto"/>
        <w:jc w:val="center"/>
      </w:pPr>
      <w:r>
        <w:t>FIFTH APPELLATE DISTRICT</w:t>
      </w:r>
    </w:p>
    <w:p w:rsidR="003C570E" w:rsidP="003C570E" w14:paraId="2A1D10B9" w14:textId="77777777">
      <w:pPr>
        <w:spacing w:line="240" w:lineRule="auto"/>
        <w:jc w:val="center"/>
      </w:pPr>
    </w:p>
    <w:tbl>
      <w:tblPr>
        <w:tblW w:w="9504" w:type="dxa"/>
        <w:tblLayout w:type="fixed"/>
        <w:tblLook w:val="0000"/>
      </w:tblPr>
      <w:tblGrid>
        <w:gridCol w:w="5400"/>
        <w:gridCol w:w="4104"/>
      </w:tblGrid>
      <w:tr w14:paraId="1588EE89" w14:textId="77777777" w:rsidTr="00AB3662">
        <w:tblPrEx>
          <w:tblW w:w="9504" w:type="dxa"/>
          <w:tblLayout w:type="fixed"/>
          <w:tblLook w:val="0000"/>
        </w:tblPrEx>
        <w:tc>
          <w:tcPr>
            <w:tcW w:w="5400" w:type="dxa"/>
            <w:tcBorders>
              <w:bottom w:val="single" w:sz="6" w:space="0" w:color="auto"/>
              <w:right w:val="single" w:sz="6" w:space="0" w:color="auto"/>
            </w:tcBorders>
            <w:shd w:val="clear" w:color="auto" w:fill="auto"/>
          </w:tcPr>
          <w:p w:rsidR="00AB3662" w:rsidRPr="00FC2DBB" w:rsidP="00AB3662" w14:paraId="4B48834B" w14:textId="6ED021F6">
            <w:pPr>
              <w:spacing w:line="240" w:lineRule="auto"/>
            </w:pPr>
            <w:r>
              <w:t>E</w:t>
            </w:r>
            <w:r w:rsidR="00414520">
              <w:t xml:space="preserve">AGLE FIRE </w:t>
            </w:r>
            <w:r w:rsidR="00B47222">
              <w:t>AND</w:t>
            </w:r>
            <w:r w:rsidRPr="00FC2DBB">
              <w:t xml:space="preserve"> WATER RESTORATION, INC.,</w:t>
            </w:r>
          </w:p>
          <w:p w:rsidR="00AB3662" w:rsidRPr="00FC2DBB" w:rsidP="00AB3662" w14:paraId="6AA93397" w14:textId="77777777">
            <w:pPr>
              <w:spacing w:line="240" w:lineRule="auto"/>
            </w:pPr>
          </w:p>
          <w:p w:rsidR="00AB3662" w:rsidRPr="00FC2DBB" w:rsidP="00AB3662" w14:paraId="562EEC2B" w14:textId="659D1D6B">
            <w:pPr>
              <w:spacing w:line="240" w:lineRule="auto"/>
              <w:ind w:left="720"/>
            </w:pPr>
            <w:r w:rsidRPr="00FC2DBB">
              <w:t>Plaintiff</w:t>
            </w:r>
            <w:r w:rsidR="00255678">
              <w:t>, Cross-defendant</w:t>
            </w:r>
            <w:r w:rsidRPr="00FC2DBB">
              <w:t xml:space="preserve"> and Appellant,</w:t>
            </w:r>
          </w:p>
          <w:p w:rsidR="00AB3662" w:rsidRPr="00FC2DBB" w:rsidP="00AB3662" w14:paraId="33D9EE92" w14:textId="77777777">
            <w:pPr>
              <w:spacing w:line="240" w:lineRule="auto"/>
            </w:pPr>
          </w:p>
          <w:p w:rsidR="00AB3662" w:rsidRPr="00883A01" w:rsidP="00AB3662" w14:paraId="2BAE52B1" w14:textId="77777777">
            <w:pPr>
              <w:spacing w:line="240" w:lineRule="auto"/>
            </w:pPr>
            <w:r w:rsidRPr="00FC2DBB">
              <w:tab/>
            </w:r>
            <w:r w:rsidRPr="00FC2DBB">
              <w:tab/>
            </w:r>
            <w:r w:rsidRPr="00883A01">
              <w:t>v.</w:t>
            </w:r>
          </w:p>
          <w:p w:rsidR="00AB3662" w:rsidRPr="00883A01" w:rsidP="00AB3662" w14:paraId="7928C55D" w14:textId="77777777">
            <w:pPr>
              <w:spacing w:line="240" w:lineRule="auto"/>
            </w:pPr>
          </w:p>
          <w:p w:rsidR="00AB3662" w:rsidRPr="00883A01" w:rsidP="00AB3662" w14:paraId="5B7FF3C9" w14:textId="4E0B5D71">
            <w:pPr>
              <w:spacing w:line="240" w:lineRule="auto"/>
            </w:pPr>
            <w:r w:rsidRPr="00883A01">
              <w:t xml:space="preserve">CITY OF DINUBA, </w:t>
            </w:r>
          </w:p>
          <w:p w:rsidR="00AB3662" w:rsidRPr="00883A01" w:rsidP="00AB3662" w14:paraId="75207078" w14:textId="77777777">
            <w:pPr>
              <w:spacing w:line="240" w:lineRule="auto"/>
            </w:pPr>
          </w:p>
          <w:p w:rsidR="00AB3662" w:rsidRPr="00FC2DBB" w:rsidP="00AB3662" w14:paraId="511B982F" w14:textId="14D9FC1B">
            <w:pPr>
              <w:spacing w:line="240" w:lineRule="auto"/>
              <w:ind w:left="720"/>
            </w:pPr>
            <w:r w:rsidRPr="00883A01">
              <w:t>Defendant</w:t>
            </w:r>
            <w:r w:rsidRPr="00883A01" w:rsidR="00255678">
              <w:t>, Cross-complainant</w:t>
            </w:r>
            <w:r w:rsidRPr="00883A01">
              <w:t xml:space="preserve"> and Respondent.</w:t>
            </w:r>
          </w:p>
          <w:p w:rsidR="00AB3662" w:rsidRPr="00FC2DBB" w:rsidP="00AB3662" w14:paraId="34AD8BE1" w14:textId="7887B3E3">
            <w:pPr>
              <w:spacing w:line="240" w:lineRule="auto"/>
            </w:pPr>
          </w:p>
        </w:tc>
        <w:tc>
          <w:tcPr>
            <w:tcW w:w="4104" w:type="dxa"/>
            <w:tcBorders>
              <w:left w:val="single" w:sz="6" w:space="0" w:color="auto"/>
            </w:tcBorders>
          </w:tcPr>
          <w:p w:rsidR="00AB3662" w:rsidRPr="00FC2DBB" w:rsidP="00AB3662" w14:paraId="5A243A30" w14:textId="77777777">
            <w:pPr>
              <w:spacing w:line="240" w:lineRule="auto"/>
              <w:jc w:val="center"/>
            </w:pPr>
          </w:p>
          <w:p w:rsidR="00AB3662" w:rsidRPr="00FC2DBB" w:rsidP="00AB3662" w14:paraId="1B2D2FE6" w14:textId="77777777">
            <w:pPr>
              <w:spacing w:line="240" w:lineRule="auto"/>
              <w:jc w:val="center"/>
            </w:pPr>
            <w:r w:rsidRPr="00FC2DBB">
              <w:t>F086052</w:t>
            </w:r>
          </w:p>
          <w:p w:rsidR="00AB3662" w:rsidRPr="00FC2DBB" w:rsidP="00AB3662" w14:paraId="41492D5A" w14:textId="77777777">
            <w:pPr>
              <w:spacing w:line="240" w:lineRule="auto"/>
              <w:jc w:val="center"/>
            </w:pPr>
          </w:p>
          <w:p w:rsidR="00AB3662" w:rsidRPr="00FC2DBB" w:rsidP="00AB3662" w14:paraId="147D4CA0" w14:textId="77777777">
            <w:pPr>
              <w:spacing w:line="240" w:lineRule="auto"/>
              <w:jc w:val="center"/>
            </w:pPr>
            <w:r w:rsidRPr="00FC2DBB">
              <w:t>(Super. Ct. No. VCU285656)</w:t>
            </w:r>
          </w:p>
          <w:p w:rsidR="00AB3662" w:rsidRPr="00FC2DBB" w:rsidP="00AB3662" w14:paraId="361439EF" w14:textId="77777777">
            <w:pPr>
              <w:spacing w:line="240" w:lineRule="auto"/>
              <w:jc w:val="center"/>
            </w:pPr>
          </w:p>
          <w:p w:rsidR="00AB3662" w:rsidRPr="00FC2DBB" w:rsidP="00AB3662" w14:paraId="20C665C4" w14:textId="77777777">
            <w:pPr>
              <w:spacing w:line="240" w:lineRule="auto"/>
              <w:jc w:val="center"/>
            </w:pPr>
          </w:p>
          <w:p w:rsidR="00AB3662" w:rsidRPr="003C570E" w:rsidP="00AB3662" w14:paraId="00DC111B" w14:textId="6CBF6D60">
            <w:pPr>
              <w:spacing w:line="240" w:lineRule="auto"/>
              <w:jc w:val="center"/>
              <w:rPr>
                <w:sz w:val="30"/>
              </w:rPr>
            </w:pPr>
            <w:r w:rsidRPr="003C570E">
              <w:rPr>
                <w:b/>
                <w:sz w:val="30"/>
              </w:rPr>
              <w:t>OPINION</w:t>
            </w:r>
          </w:p>
        </w:tc>
      </w:tr>
    </w:tbl>
    <w:p w:rsidR="00AB3662" w:rsidRPr="00FC2DBB" w:rsidP="00AB3662" w14:paraId="3CA0B14F" w14:textId="77777777"/>
    <w:p w:rsidR="00AB3662" w:rsidRPr="00FC2DBB" w:rsidP="00AB3662" w14:paraId="66A72C48" w14:textId="52843416">
      <w:r w:rsidRPr="00FC2DBB">
        <w:tab/>
        <w:t>APPEAL from a judgment of the Superior Court of Tulare County.  Bret D. Hillman, Judge.</w:t>
      </w:r>
    </w:p>
    <w:p w:rsidR="00AB3662" w:rsidRPr="00FC2DBB" w:rsidP="00AB3662" w14:paraId="06685A2A" w14:textId="114AFCEB">
      <w:r w:rsidRPr="00FC2DBB">
        <w:tab/>
      </w:r>
      <w:r w:rsidRPr="00FC2DBB" w:rsidR="00A625A5">
        <w:t xml:space="preserve">Law Office of Kathleen P. Clack and Kathleen P. Clack for </w:t>
      </w:r>
      <w:r w:rsidRPr="00FC2DBB" w:rsidR="00FF3A15">
        <w:t>Plaintiff</w:t>
      </w:r>
      <w:r w:rsidR="00255678">
        <w:t>, Cross-defendant</w:t>
      </w:r>
      <w:r w:rsidRPr="00FC2DBB" w:rsidR="00FF3A15">
        <w:t xml:space="preserve"> and Appellant.</w:t>
      </w:r>
    </w:p>
    <w:p w:rsidR="00AB3662" w:rsidRPr="00FC2DBB" w:rsidP="00AB3662" w14:paraId="3BC35A2D" w14:textId="5F26F4D6">
      <w:r w:rsidRPr="00FC2DBB">
        <w:tab/>
      </w:r>
      <w:r w:rsidRPr="00FC2DBB" w:rsidR="00A625A5">
        <w:t>Coleman &amp; Horowitt, David J. Weiland and Jennifer T. Poochigian for Defendant</w:t>
      </w:r>
      <w:r w:rsidR="00255678">
        <w:t xml:space="preserve">, Cross-complainant </w:t>
      </w:r>
      <w:r w:rsidRPr="00FC2DBB" w:rsidR="00A625A5">
        <w:t xml:space="preserve">and Respondent. </w:t>
      </w:r>
    </w:p>
    <w:p w:rsidR="00AB3662" w:rsidRPr="00FC2DBB" w:rsidP="00AB3662" w14:paraId="6EC3A547" w14:textId="62A8949E">
      <w:pPr>
        <w:jc w:val="center"/>
      </w:pPr>
      <w:r w:rsidRPr="00FC2DBB">
        <w:t>-ooOoo-</w:t>
      </w:r>
    </w:p>
    <w:p w:rsidR="00E5347D" w:rsidP="00FF3A15" w14:paraId="7DF25A6E" w14:textId="41CE11E4">
      <w:pPr>
        <w:ind w:firstLine="720"/>
      </w:pPr>
      <w:r>
        <w:br w:type="column"/>
      </w:r>
      <w:r w:rsidRPr="00FC2DBB" w:rsidR="00FF3A15">
        <w:t xml:space="preserve">This </w:t>
      </w:r>
      <w:r w:rsidR="008C69DC">
        <w:t xml:space="preserve">litigation </w:t>
      </w:r>
      <w:r w:rsidRPr="00FC2DBB" w:rsidR="00FF3A15">
        <w:t xml:space="preserve">arises out of a construction project </w:t>
      </w:r>
      <w:r w:rsidR="000A1155">
        <w:t>involving</w:t>
      </w:r>
      <w:r w:rsidRPr="00FC2DBB" w:rsidR="00FF3A15">
        <w:t xml:space="preserve"> </w:t>
      </w:r>
      <w:r w:rsidR="002C6383">
        <w:t>a</w:t>
      </w:r>
      <w:r w:rsidRPr="00FC2DBB" w:rsidR="00FF3A15">
        <w:t xml:space="preserve">ppellant </w:t>
      </w:r>
      <w:r w:rsidR="000A1155">
        <w:t>Eagle</w:t>
      </w:r>
      <w:r w:rsidRPr="00FC2DBB" w:rsidR="00FF3A15">
        <w:t xml:space="preserve"> Fire </w:t>
      </w:r>
      <w:r w:rsidR="003F1D75">
        <w:t>and</w:t>
      </w:r>
      <w:r w:rsidRPr="00FC2DBB" w:rsidR="00FF3A15">
        <w:t xml:space="preserve"> Water Restoration, Inc. (</w:t>
      </w:r>
      <w:r w:rsidR="000A1155">
        <w:t>Eagle</w:t>
      </w:r>
      <w:r w:rsidRPr="00FC2DBB" w:rsidR="00FF3A15">
        <w:t xml:space="preserve">) and </w:t>
      </w:r>
      <w:r w:rsidR="002C6383">
        <w:t>r</w:t>
      </w:r>
      <w:r w:rsidRPr="00FC2DBB" w:rsidR="00FF3A15">
        <w:t xml:space="preserve">espondent City of Dinuba (the City).  </w:t>
      </w:r>
      <w:r w:rsidR="008C69DC">
        <w:t>Eagle and the City reached an oral settlement on the record, but a dispute over the scope of the claims settled arose before the City dismissed its cross-complaint</w:t>
      </w:r>
      <w:r w:rsidR="00E00B54">
        <w:t xml:space="preserve"> against Eagle</w:t>
      </w:r>
      <w:r w:rsidR="008C69DC">
        <w:t xml:space="preserve">.  </w:t>
      </w:r>
      <w:r>
        <w:t>To resolve that dispute, t</w:t>
      </w:r>
      <w:r w:rsidR="008C69DC">
        <w:t xml:space="preserve">he City filed a motion under </w:t>
      </w:r>
      <w:r w:rsidRPr="00FC2DBB" w:rsidR="008C69DC">
        <w:t>Code of Civil Procedure section 664.6</w:t>
      </w:r>
      <w:r>
        <w:rPr>
          <w:rStyle w:val="FootnoteReference"/>
        </w:rPr>
        <w:footnoteReference w:id="3"/>
      </w:r>
      <w:r w:rsidR="008C69DC">
        <w:t xml:space="preserve"> </w:t>
      </w:r>
      <w:r w:rsidRPr="00FC2DBB" w:rsidR="008C69DC">
        <w:t xml:space="preserve">to enforce </w:t>
      </w:r>
      <w:r w:rsidR="0043225C">
        <w:t xml:space="preserve">the </w:t>
      </w:r>
      <w:r w:rsidRPr="00FC2DBB" w:rsidR="008C69DC">
        <w:t>settlemen</w:t>
      </w:r>
      <w:r w:rsidR="008C69DC">
        <w:t xml:space="preserve">t agreement.  </w:t>
      </w:r>
      <w:r w:rsidRPr="00FC2DBB" w:rsidR="00FF3A15">
        <w:t xml:space="preserve">The trial court granted </w:t>
      </w:r>
      <w:r w:rsidR="002C6383">
        <w:t xml:space="preserve">the </w:t>
      </w:r>
      <w:r w:rsidRPr="00FC2DBB" w:rsidR="00FF3A15">
        <w:t>motion</w:t>
      </w:r>
      <w:r w:rsidR="000A1155">
        <w:t xml:space="preserve"> </w:t>
      </w:r>
      <w:r w:rsidRPr="00FC2DBB" w:rsidR="00FF3A15">
        <w:t xml:space="preserve">and </w:t>
      </w:r>
      <w:r w:rsidR="002C6383">
        <w:t xml:space="preserve">filed a judgment </w:t>
      </w:r>
      <w:r w:rsidRPr="00FC2DBB" w:rsidR="00FF3A15">
        <w:t>dismiss</w:t>
      </w:r>
      <w:r w:rsidR="002C6383">
        <w:t xml:space="preserve">ing </w:t>
      </w:r>
      <w:r w:rsidR="0043225C">
        <w:t xml:space="preserve">both </w:t>
      </w:r>
      <w:r w:rsidR="002C6383">
        <w:t>Eagle’s complaint and the City’s cross-complaint</w:t>
      </w:r>
      <w:r w:rsidR="0043225C">
        <w:t xml:space="preserve"> with prejudice</w:t>
      </w:r>
      <w:r w:rsidR="002C6383">
        <w:t>.</w:t>
      </w:r>
    </w:p>
    <w:p w:rsidR="00467A23" w:rsidP="00FF3A15" w14:paraId="652A528A" w14:textId="482A7F15">
      <w:pPr>
        <w:ind w:firstLine="720"/>
      </w:pPr>
      <w:r>
        <w:t>Eagle</w:t>
      </w:r>
      <w:r w:rsidRPr="00FC2DBB" w:rsidR="00FF3A15">
        <w:t xml:space="preserve"> </w:t>
      </w:r>
      <w:r w:rsidR="002C6383">
        <w:t xml:space="preserve">appealed, </w:t>
      </w:r>
      <w:r w:rsidRPr="00883A01" w:rsidR="002C6383">
        <w:t xml:space="preserve">contending </w:t>
      </w:r>
      <w:r w:rsidRPr="00883A01" w:rsidR="00FF3A15">
        <w:t>that</w:t>
      </w:r>
      <w:r w:rsidRPr="00883A01" w:rsidR="002C6383">
        <w:t xml:space="preserve"> </w:t>
      </w:r>
      <w:r w:rsidRPr="00883A01" w:rsidR="0059782C">
        <w:t xml:space="preserve">(1) </w:t>
      </w:r>
      <w:r w:rsidRPr="00883A01" w:rsidR="00FF3A15">
        <w:t xml:space="preserve">the trial court </w:t>
      </w:r>
      <w:r w:rsidRPr="00883A01" w:rsidR="00082FC1">
        <w:t xml:space="preserve">could not enforce the purported settlement because </w:t>
      </w:r>
      <w:r w:rsidRPr="00883A01" w:rsidR="00E00B54">
        <w:t xml:space="preserve">the court </w:t>
      </w:r>
      <w:r w:rsidRPr="00883A01" w:rsidR="00FF3A15">
        <w:t xml:space="preserve">did not properly retain jurisdiction under section 664.6 over the complaint and defendant Jason Watts </w:t>
      </w:r>
      <w:r w:rsidRPr="00883A01" w:rsidR="00A270C3">
        <w:t xml:space="preserve">(Watts) </w:t>
      </w:r>
      <w:r w:rsidRPr="00883A01" w:rsidR="00FF3A15">
        <w:t xml:space="preserve">after </w:t>
      </w:r>
      <w:r w:rsidRPr="00883A01" w:rsidR="003129AA">
        <w:t>Eagle</w:t>
      </w:r>
      <w:r w:rsidRPr="00883A01" w:rsidR="00FF3A15">
        <w:t xml:space="preserve"> voluntarily dismissed its complaint; (2) the </w:t>
      </w:r>
      <w:r w:rsidRPr="00883A01" w:rsidR="00082FC1">
        <w:t xml:space="preserve">purported </w:t>
      </w:r>
      <w:r w:rsidRPr="00883A01" w:rsidR="00FF3A15">
        <w:t xml:space="preserve">settlement agreement </w:t>
      </w:r>
      <w:r w:rsidRPr="00883A01" w:rsidR="00185252">
        <w:t xml:space="preserve">failed </w:t>
      </w:r>
      <w:r w:rsidRPr="00883A01" w:rsidR="00FF3A15">
        <w:t xml:space="preserve">due to uncertainty; (3) the court made improper factual determinations in the absence of jurisdiction; and (4) the court </w:t>
      </w:r>
      <w:r w:rsidRPr="00883A01" w:rsidR="00082FC1">
        <w:t>mis</w:t>
      </w:r>
      <w:r w:rsidRPr="00883A01" w:rsidR="00FF3A15">
        <w:t>interpret</w:t>
      </w:r>
      <w:r w:rsidRPr="00883A01" w:rsidR="00082FC1">
        <w:t>ed</w:t>
      </w:r>
      <w:r w:rsidRPr="00883A01" w:rsidR="008C69DC">
        <w:t xml:space="preserve"> </w:t>
      </w:r>
      <w:r w:rsidRPr="00883A01" w:rsidR="00FF3A15">
        <w:t>the settlement agreement</w:t>
      </w:r>
      <w:r w:rsidRPr="00883A01" w:rsidR="008C69DC">
        <w:t xml:space="preserve"> </w:t>
      </w:r>
      <w:r w:rsidRPr="00883A01" w:rsidR="00082FC1">
        <w:t xml:space="preserve">when it found </w:t>
      </w:r>
      <w:r w:rsidRPr="00883A01" w:rsidR="008C69DC">
        <w:t>claims not pleaded in Eagle’s complaint</w:t>
      </w:r>
      <w:r w:rsidRPr="00883A01" w:rsidR="00082FC1">
        <w:t xml:space="preserve"> were released</w:t>
      </w:r>
      <w:r w:rsidRPr="00883A01" w:rsidR="00FF3A15">
        <w:t>.</w:t>
      </w:r>
      <w:r w:rsidRPr="00FC2DBB" w:rsidR="00FF3A15">
        <w:t xml:space="preserve">  </w:t>
      </w:r>
    </w:p>
    <w:p w:rsidR="00082FC1" w:rsidP="00FF3A15" w14:paraId="223EB6BF" w14:textId="09B5D883">
      <w:pPr>
        <w:ind w:firstLine="720"/>
      </w:pPr>
      <w:r>
        <w:t xml:space="preserve">We conclude </w:t>
      </w:r>
      <w:r w:rsidR="00185252">
        <w:t xml:space="preserve">the trial court </w:t>
      </w:r>
      <w:r w:rsidRPr="00883A01" w:rsidR="00185252">
        <w:t xml:space="preserve">had subject matter jurisdiction and personal jurisdiction over Eagle and the City when it enforced the settlement </w:t>
      </w:r>
      <w:r w:rsidRPr="00883A01">
        <w:t xml:space="preserve">because the City’s cross-complaint </w:t>
      </w:r>
      <w:r w:rsidRPr="00883A01" w:rsidR="0070135A">
        <w:t xml:space="preserve">had not been dismissed </w:t>
      </w:r>
      <w:r w:rsidRPr="00883A01" w:rsidR="00E00B54">
        <w:t xml:space="preserve">and, therefore, </w:t>
      </w:r>
      <w:r w:rsidRPr="00883A01" w:rsidR="00185252">
        <w:t xml:space="preserve">this case was “pending litigation” </w:t>
      </w:r>
      <w:r w:rsidRPr="00883A01" w:rsidR="0059782C">
        <w:t xml:space="preserve">for purposes of </w:t>
      </w:r>
      <w:r w:rsidRPr="00883A01" w:rsidR="00185252">
        <w:t>section 664.6, subdivision (a)</w:t>
      </w:r>
      <w:r w:rsidRPr="00883A01" w:rsidR="0059782C">
        <w:t>’s first sentence</w:t>
      </w:r>
      <w:r w:rsidRPr="00883A01" w:rsidR="00E00B54">
        <w:t>.</w:t>
      </w:r>
      <w:r w:rsidRPr="00883A01" w:rsidR="0059782C">
        <w:t xml:space="preserve">  </w:t>
      </w:r>
      <w:r w:rsidRPr="001007BC" w:rsidR="00E00B54">
        <w:t xml:space="preserve">As a result, </w:t>
      </w:r>
      <w:r w:rsidRPr="001007BC" w:rsidR="00CE761C">
        <w:t xml:space="preserve">the subdivision’s second sentence </w:t>
      </w:r>
      <w:r w:rsidRPr="001007BC" w:rsidR="00185252">
        <w:t xml:space="preserve">addressing the retention of jurisdiction </w:t>
      </w:r>
      <w:r w:rsidRPr="001007BC" w:rsidR="00E00B54">
        <w:t xml:space="preserve">did </w:t>
      </w:r>
      <w:r w:rsidRPr="001007BC" w:rsidR="00185252">
        <w:t>not apply</w:t>
      </w:r>
      <w:r w:rsidRPr="001007BC" w:rsidR="0059782C">
        <w:t xml:space="preserve"> to the facts of this case</w:t>
      </w:r>
      <w:r w:rsidRPr="001007BC" w:rsidR="00185252">
        <w:t xml:space="preserve">.  Also, the court did not need </w:t>
      </w:r>
      <w:r w:rsidRPr="001007BC" w:rsidR="00FD546F">
        <w:t xml:space="preserve">personal jurisdiction over Watts because the judgment did not require </w:t>
      </w:r>
      <w:r w:rsidRPr="001007BC" w:rsidR="0024688A">
        <w:t xml:space="preserve">Watts </w:t>
      </w:r>
      <w:r w:rsidRPr="001007BC" w:rsidR="00FD546F">
        <w:t>to do anything</w:t>
      </w:r>
      <w:r w:rsidRPr="001007BC">
        <w:t xml:space="preserve">.  With respect to the </w:t>
      </w:r>
      <w:r w:rsidRPr="001007BC" w:rsidR="00E00B54">
        <w:t xml:space="preserve">existence </w:t>
      </w:r>
      <w:r w:rsidRPr="001007BC">
        <w:t xml:space="preserve">and scope of an enforceable settlement agreement, </w:t>
      </w:r>
      <w:r w:rsidRPr="001007BC" w:rsidR="00435F78">
        <w:t xml:space="preserve">substantial evidence supports </w:t>
      </w:r>
      <w:r w:rsidRPr="001007BC" w:rsidR="00DD697B">
        <w:t xml:space="preserve">the trial court’s </w:t>
      </w:r>
      <w:r w:rsidRPr="001007BC" w:rsidR="00435F78">
        <w:t>finding</w:t>
      </w:r>
      <w:r w:rsidRPr="001007BC" w:rsidR="00E00B54">
        <w:t>s</w:t>
      </w:r>
      <w:r w:rsidRPr="001007BC" w:rsidR="00435F78">
        <w:t xml:space="preserve"> that an </w:t>
      </w:r>
      <w:r w:rsidRPr="001007BC" w:rsidR="00DD697B">
        <w:t xml:space="preserve">oral settlement </w:t>
      </w:r>
      <w:r w:rsidRPr="001007BC" w:rsidR="007C11F6">
        <w:t xml:space="preserve">agreement </w:t>
      </w:r>
      <w:r w:rsidRPr="001007BC" w:rsidR="00435F78">
        <w:t xml:space="preserve">was formed and </w:t>
      </w:r>
      <w:r w:rsidRPr="001007BC" w:rsidR="00CE761C">
        <w:t xml:space="preserve">that </w:t>
      </w:r>
      <w:r w:rsidRPr="001007BC" w:rsidR="00435F78">
        <w:t>the</w:t>
      </w:r>
      <w:r w:rsidRPr="00883A01" w:rsidR="00435F78">
        <w:t xml:space="preserve"> </w:t>
      </w:r>
      <w:r w:rsidRPr="00883A01" w:rsidR="00E00B54">
        <w:t xml:space="preserve">agreement </w:t>
      </w:r>
      <w:r w:rsidRPr="00883A01" w:rsidR="00435F78">
        <w:t>resolved all claims arising from the construction project, whether or not included in the parties’ pleadings</w:t>
      </w:r>
      <w:r w:rsidRPr="00883A01" w:rsidR="00DD697B">
        <w:t>.</w:t>
      </w:r>
    </w:p>
    <w:p w:rsidR="00FF3A15" w:rsidP="00FF3A15" w14:paraId="440F0371" w14:textId="620984F6">
      <w:pPr>
        <w:ind w:firstLine="720"/>
      </w:pPr>
      <w:r w:rsidRPr="00FC2DBB">
        <w:t xml:space="preserve">We </w:t>
      </w:r>
      <w:r w:rsidR="00DD697B">
        <w:t xml:space="preserve">therefore </w:t>
      </w:r>
      <w:r w:rsidR="00123100">
        <w:t>affirm</w:t>
      </w:r>
      <w:r w:rsidRPr="00FC2DBB">
        <w:t xml:space="preserve"> the order </w:t>
      </w:r>
      <w:r w:rsidR="00FD546F">
        <w:t xml:space="preserve">granting the motion and the judgment </w:t>
      </w:r>
      <w:r w:rsidRPr="00FC2DBB">
        <w:t>enforcing settlement</w:t>
      </w:r>
      <w:r w:rsidR="00DD697B">
        <w:t xml:space="preserve">.  </w:t>
      </w:r>
    </w:p>
    <w:p w:rsidR="000C6DA3" w:rsidP="000C6DA3" w14:paraId="4DE9BCD3" w14:textId="664D65D4">
      <w:pPr>
        <w:keepNext/>
        <w:jc w:val="center"/>
        <w:outlineLvl w:val="0"/>
      </w:pPr>
      <w:bookmarkStart w:id="0" w:name="_Toc456960401"/>
      <w:bookmarkStart w:id="1" w:name="_Toc165298028"/>
      <w:r>
        <w:rPr>
          <w:b/>
        </w:rPr>
        <w:t>FACTS AND PROCEEDINGS</w:t>
      </w:r>
      <w:bookmarkEnd w:id="0"/>
      <w:bookmarkEnd w:id="1"/>
    </w:p>
    <w:p w:rsidR="00123100" w:rsidRPr="00883A01" w:rsidP="00123100" w14:paraId="77F67EA8" w14:textId="1F116D8F">
      <w:pPr>
        <w:ind w:firstLine="720"/>
      </w:pPr>
      <w:r>
        <w:t>Eagle</w:t>
      </w:r>
      <w:r w:rsidRPr="00FC2DBB">
        <w:t xml:space="preserve"> </w:t>
      </w:r>
      <w:r w:rsidRPr="00F4395D">
        <w:t>was the lowest bidder on</w:t>
      </w:r>
      <w:r w:rsidRPr="00FC2DBB">
        <w:t xml:space="preserve"> a project to reroof the City’s police station and courthouse building.  The value of the contract was a</w:t>
      </w:r>
      <w:r w:rsidR="00BC6C33">
        <w:t xml:space="preserve">pproximately </w:t>
      </w:r>
      <w:r w:rsidRPr="00FC2DBB">
        <w:t xml:space="preserve">$500,000.  Before completion of the project, a rainstorm caused significant water and flooding damage to the interior of the </w:t>
      </w:r>
      <w:r w:rsidRPr="00883A01">
        <w:t>building.  The City incurred over $33</w:t>
      </w:r>
      <w:r w:rsidRPr="00883A01" w:rsidR="00BC6C33">
        <w:t>0</w:t>
      </w:r>
      <w:r w:rsidRPr="00883A01">
        <w:t xml:space="preserve">,000 in clean up and repair costs.  The City </w:t>
      </w:r>
      <w:r w:rsidRPr="00883A01" w:rsidR="00B83465">
        <w:t xml:space="preserve">believed </w:t>
      </w:r>
      <w:r w:rsidRPr="00883A01">
        <w:t xml:space="preserve">Eagle was responsible for the water and flooding damage and withheld approximately $319,000 from Eagle as an offset.  This litigation ensued.  </w:t>
      </w:r>
    </w:p>
    <w:p w:rsidR="00FF3A15" w:rsidRPr="00FC2DBB" w:rsidP="00123100" w14:paraId="21A88B66" w14:textId="7BDE65BA">
      <w:pPr>
        <w:ind w:firstLine="720"/>
      </w:pPr>
      <w:r w:rsidRPr="00883A01">
        <w:t xml:space="preserve">In January 2021, </w:t>
      </w:r>
      <w:r w:rsidRPr="00883A01" w:rsidR="003129AA">
        <w:t>Eagle</w:t>
      </w:r>
      <w:r w:rsidRPr="00883A01">
        <w:t xml:space="preserve"> filed a complaint in the Tulare County Superior Court against the City and its engineer Watts, which the court </w:t>
      </w:r>
      <w:r w:rsidRPr="00883A01" w:rsidR="0024688A">
        <w:t xml:space="preserve">assigned </w:t>
      </w:r>
      <w:r w:rsidRPr="00883A01">
        <w:t>case No</w:t>
      </w:r>
      <w:r>
        <w:t xml:space="preserve">. </w:t>
      </w:r>
      <w:r w:rsidRPr="00FC2DBB">
        <w:t>VCU285656</w:t>
      </w:r>
      <w:r>
        <w:t xml:space="preserve"> (Case VCU285656)</w:t>
      </w:r>
      <w:r w:rsidRPr="00FC2DBB">
        <w:t xml:space="preserve">.  </w:t>
      </w:r>
      <w:r w:rsidR="00C26084">
        <w:t xml:space="preserve">Eagle’s third amended </w:t>
      </w:r>
      <w:r w:rsidRPr="00FC2DBB">
        <w:t>complaint</w:t>
      </w:r>
      <w:r w:rsidR="00C26084">
        <w:t>, its operative pleading,</w:t>
      </w:r>
      <w:r w:rsidRPr="00FC2DBB">
        <w:t xml:space="preserve"> alleged </w:t>
      </w:r>
      <w:r w:rsidR="00C26084">
        <w:t xml:space="preserve">causes of action for breach of the construction contract against the City, negligence against the City and Watts, and negligent misrepresentation against Watts.  </w:t>
      </w:r>
      <w:r w:rsidRPr="00FC2DBB">
        <w:t>The City fil</w:t>
      </w:r>
      <w:r w:rsidR="000A20BC">
        <w:t>e</w:t>
      </w:r>
      <w:r w:rsidR="003C2A32">
        <w:t>d</w:t>
      </w:r>
      <w:r w:rsidRPr="00FC2DBB">
        <w:t xml:space="preserve"> </w:t>
      </w:r>
      <w:r w:rsidR="00FD546F">
        <w:t xml:space="preserve">a </w:t>
      </w:r>
      <w:r w:rsidRPr="00FC2DBB">
        <w:t>cross-complaint</w:t>
      </w:r>
      <w:r w:rsidR="000A20BC">
        <w:t xml:space="preserve"> against Eagle</w:t>
      </w:r>
      <w:r w:rsidR="00FD546F">
        <w:t>,</w:t>
      </w:r>
      <w:r w:rsidR="00C26084">
        <w:t xml:space="preserve"> alleging Eagle did not perform the job in a workmanlike manner, failed to adequately cover the roof with protective sheeting, failed to ensure the roof drains were not clogged, and failed to procure proper insurance coverage.  </w:t>
      </w:r>
      <w:r w:rsidRPr="00FC2DBB">
        <w:t xml:space="preserve">Watts </w:t>
      </w:r>
      <w:r w:rsidR="00FD546F">
        <w:t xml:space="preserve">also filed a </w:t>
      </w:r>
      <w:r w:rsidRPr="00FC2DBB">
        <w:t>cross-complain</w:t>
      </w:r>
      <w:r w:rsidR="00FD546F">
        <w:t>t</w:t>
      </w:r>
      <w:r w:rsidR="00C26084">
        <w:t xml:space="preserve"> against Eagle</w:t>
      </w:r>
      <w:r w:rsidR="00FD546F">
        <w:t xml:space="preserve">, alleging causes of action </w:t>
      </w:r>
      <w:r w:rsidRPr="00FC2DBB">
        <w:t xml:space="preserve">for breach of contract and indemnity.  </w:t>
      </w:r>
    </w:p>
    <w:p w:rsidR="00FF3A15" w:rsidRPr="00FC2DBB" w:rsidP="00EB67B1" w14:paraId="31A9E866" w14:textId="538E6BDE">
      <w:r w:rsidRPr="00FC2DBB">
        <w:tab/>
      </w:r>
      <w:r w:rsidR="00CF6858">
        <w:t xml:space="preserve">In </w:t>
      </w:r>
      <w:r w:rsidRPr="00FC2DBB">
        <w:t xml:space="preserve">July 2022, the trial court granted Watts’s motion for summary judgment on </w:t>
      </w:r>
      <w:r w:rsidR="003129AA">
        <w:t>Eagle</w:t>
      </w:r>
      <w:r w:rsidRPr="00FC2DBB">
        <w:t xml:space="preserve">’s claims against him.  </w:t>
      </w:r>
      <w:r w:rsidR="00C26084">
        <w:t>Eagle</w:t>
      </w:r>
      <w:r w:rsidRPr="00FC2DBB" w:rsidR="00C26084">
        <w:t xml:space="preserve"> </w:t>
      </w:r>
      <w:r w:rsidR="00C26084">
        <w:t xml:space="preserve">filed a timely </w:t>
      </w:r>
      <w:r w:rsidRPr="00FC2DBB" w:rsidR="00C26084">
        <w:t>appeal</w:t>
      </w:r>
      <w:r w:rsidR="00C26084">
        <w:t xml:space="preserve"> (the Watts Appeal), which this court assigned case </w:t>
      </w:r>
      <w:r w:rsidRPr="00374863" w:rsidR="00C26084">
        <w:t>No. F084685</w:t>
      </w:r>
      <w:r w:rsidR="00BF2899">
        <w:t xml:space="preserve"> and stayed pending a decision in this matter</w:t>
      </w:r>
      <w:r w:rsidR="00C26084">
        <w:t>.</w:t>
      </w:r>
      <w:r w:rsidR="00BF2899">
        <w:t xml:space="preserve">  </w:t>
      </w:r>
      <w:r w:rsidRPr="00FC2DBB">
        <w:t xml:space="preserve">Watts voluntarily dismissed his cross-complaint against </w:t>
      </w:r>
      <w:r w:rsidR="003129AA">
        <w:t>Eagle</w:t>
      </w:r>
      <w:r w:rsidRPr="00FC2DBB">
        <w:t xml:space="preserve"> without prejudice</w:t>
      </w:r>
      <w:r w:rsidR="000A20BC">
        <w:t xml:space="preserve"> </w:t>
      </w:r>
      <w:r w:rsidRPr="000A20BC" w:rsidR="000A20BC">
        <w:t>on November</w:t>
      </w:r>
      <w:r w:rsidR="00A5003E">
        <w:t> </w:t>
      </w:r>
      <w:r w:rsidRPr="000A20BC" w:rsidR="000A20BC">
        <w:t>4, 2022</w:t>
      </w:r>
      <w:r w:rsidRPr="00FC2DBB">
        <w:t xml:space="preserve">.  </w:t>
      </w:r>
    </w:p>
    <w:p w:rsidR="00FF3A15" w:rsidRPr="00FC2DBB" w:rsidP="00FF3A15" w14:paraId="5E456DE4" w14:textId="74BBCF30">
      <w:r w:rsidRPr="00FC2DBB">
        <w:tab/>
        <w:t xml:space="preserve">On November 14, 2022, the </w:t>
      </w:r>
      <w:r w:rsidR="000A20BC">
        <w:t>City and Eagle</w:t>
      </w:r>
      <w:r w:rsidRPr="00FC2DBB">
        <w:t xml:space="preserve"> appeared before the trial court for motions in limine and trial</w:t>
      </w:r>
      <w:r w:rsidR="00123100">
        <w:t xml:space="preserve"> (November Hearing)</w:t>
      </w:r>
      <w:r w:rsidRPr="00FC2DBB">
        <w:t>.  In the course of the hearing</w:t>
      </w:r>
      <w:r w:rsidR="00B83465">
        <w:t>,</w:t>
      </w:r>
      <w:r w:rsidRPr="00FC2DBB">
        <w:t xml:space="preserve"> but </w:t>
      </w:r>
      <w:r w:rsidR="0082080E">
        <w:t xml:space="preserve">before </w:t>
      </w:r>
      <w:r w:rsidRPr="00FC2DBB">
        <w:t>trial</w:t>
      </w:r>
      <w:r w:rsidR="0082080E">
        <w:t xml:space="preserve"> had commenced</w:t>
      </w:r>
      <w:r w:rsidRPr="00FC2DBB">
        <w:t xml:space="preserve">, </w:t>
      </w:r>
      <w:r w:rsidR="003129AA">
        <w:t>Eagle</w:t>
      </w:r>
      <w:r w:rsidR="0034028A">
        <w:t>’</w:t>
      </w:r>
      <w:r w:rsidR="003C2A32">
        <w:t>s</w:t>
      </w:r>
      <w:r w:rsidR="0034028A">
        <w:t xml:space="preserve"> counsel </w:t>
      </w:r>
      <w:r w:rsidRPr="00883A01" w:rsidR="00B83465">
        <w:t xml:space="preserve">moved </w:t>
      </w:r>
      <w:r w:rsidRPr="00883A01" w:rsidR="0024688A">
        <w:t xml:space="preserve">unsuccessfully </w:t>
      </w:r>
      <w:r w:rsidRPr="00883A01" w:rsidR="0034028A">
        <w:t>for a</w:t>
      </w:r>
      <w:r w:rsidR="0034028A">
        <w:t xml:space="preserve"> mistrial. </w:t>
      </w:r>
      <w:r w:rsidR="00123100">
        <w:t xml:space="preserve"> </w:t>
      </w:r>
      <w:r w:rsidR="0034028A">
        <w:t xml:space="preserve">She then informed the court that she would be </w:t>
      </w:r>
      <w:r w:rsidR="00123100">
        <w:t>immediately</w:t>
      </w:r>
      <w:r w:rsidR="0034028A">
        <w:t xml:space="preserve"> filing a request to dismiss the complaint without prejudice. </w:t>
      </w:r>
      <w:r w:rsidR="00123100">
        <w:t xml:space="preserve"> </w:t>
      </w:r>
      <w:r w:rsidR="0034028A">
        <w:t xml:space="preserve">After City’s counsel stated they would be proceeding with the cross-complaint, the court recessed for lunch. </w:t>
      </w:r>
      <w:r w:rsidR="00123100">
        <w:t xml:space="preserve"> </w:t>
      </w:r>
      <w:r w:rsidRPr="004D455D" w:rsidR="0034028A">
        <w:t xml:space="preserve">Eagle’s dismissal was filed during the lunch break. </w:t>
      </w:r>
      <w:r w:rsidRPr="004D455D" w:rsidR="00123100">
        <w:t xml:space="preserve"> </w:t>
      </w:r>
      <w:r w:rsidRPr="004D455D" w:rsidR="0034028A">
        <w:t xml:space="preserve">After </w:t>
      </w:r>
      <w:r w:rsidRPr="004D455D" w:rsidR="00BF2899">
        <w:t>the</w:t>
      </w:r>
      <w:r w:rsidR="00BF2899">
        <w:t xml:space="preserve"> break</w:t>
      </w:r>
      <w:r w:rsidR="0034028A">
        <w:t xml:space="preserve">, </w:t>
      </w:r>
      <w:r w:rsidRPr="00FC2DBB">
        <w:t>the parties informed the court that they had reached a settlement</w:t>
      </w:r>
      <w:r w:rsidR="0034028A">
        <w:t xml:space="preserve">. </w:t>
      </w:r>
      <w:r w:rsidR="003C2A32">
        <w:t xml:space="preserve"> </w:t>
      </w:r>
      <w:r w:rsidR="0034028A">
        <w:t xml:space="preserve">The terms of the settlement were placed on the record and acknowledged by </w:t>
      </w:r>
      <w:r w:rsidR="00F812C9">
        <w:t xml:space="preserve">the attorneys, Eagle and the City.  Eagle was represented by its </w:t>
      </w:r>
      <w:r w:rsidR="00B44FA6">
        <w:t>president</w:t>
      </w:r>
      <w:r w:rsidR="00F812C9">
        <w:t xml:space="preserve">, Jack Elechyan, and the City was represented by its assistant city manager.  </w:t>
      </w:r>
      <w:r w:rsidR="0034028A">
        <w:t>The</w:t>
      </w:r>
      <w:r w:rsidRPr="00FC2DBB">
        <w:t xml:space="preserve"> court </w:t>
      </w:r>
      <w:r w:rsidR="00CE50E0">
        <w:t>end</w:t>
      </w:r>
      <w:r w:rsidR="00E5347D">
        <w:t>ed</w:t>
      </w:r>
      <w:r w:rsidR="00CE50E0">
        <w:t xml:space="preserve"> the hearing by setting </w:t>
      </w:r>
      <w:r w:rsidRPr="00FC2DBB">
        <w:t xml:space="preserve">a case management conference </w:t>
      </w:r>
      <w:r w:rsidR="00CE50E0">
        <w:t xml:space="preserve">in </w:t>
      </w:r>
      <w:r w:rsidR="00F812C9">
        <w:t xml:space="preserve">late January </w:t>
      </w:r>
      <w:r w:rsidR="00CE50E0">
        <w:t xml:space="preserve">2023, which </w:t>
      </w:r>
      <w:r w:rsidR="00F812C9">
        <w:t>g</w:t>
      </w:r>
      <w:r w:rsidR="00CE50E0">
        <w:t>a</w:t>
      </w:r>
      <w:r w:rsidR="00F812C9">
        <w:t xml:space="preserve">ve the </w:t>
      </w:r>
      <w:r w:rsidRPr="00FC2DBB">
        <w:t xml:space="preserve">City </w:t>
      </w:r>
      <w:r w:rsidR="00803E67">
        <w:t>enough time to have its council approve the settlement and then file a notice of settlement</w:t>
      </w:r>
      <w:r w:rsidR="00CE50E0">
        <w:t xml:space="preserve"> or dismissal</w:t>
      </w:r>
      <w:r w:rsidRPr="00FC2DBB">
        <w:t xml:space="preserve">.  </w:t>
      </w:r>
    </w:p>
    <w:p w:rsidR="00FF3A15" w:rsidRPr="00883A01" w:rsidP="00FF3A15" w14:paraId="28959FB1" w14:textId="41927D52">
      <w:r w:rsidRPr="00FC2DBB">
        <w:tab/>
        <w:t>On January 24, 2023, the City filed a notice of settlement</w:t>
      </w:r>
      <w:r w:rsidR="00BC6C33">
        <w:t xml:space="preserve"> </w:t>
      </w:r>
      <w:r w:rsidR="00CE50E0">
        <w:t xml:space="preserve">stating the City “has approved the case settlement which was placed on the record in court on November 14, 2022.”  </w:t>
      </w:r>
      <w:r w:rsidR="00BC27D8">
        <w:t xml:space="preserve">The same day, </w:t>
      </w:r>
      <w:r w:rsidR="003129AA">
        <w:t>Eagle</w:t>
      </w:r>
      <w:r w:rsidRPr="00FC2DBB">
        <w:t xml:space="preserve"> filed an objection and notice of nonsettlement</w:t>
      </w:r>
      <w:r w:rsidR="00BC27D8">
        <w:t xml:space="preserve"> asserting that the statement of the settlement agreement should be “changed to reflect only the basic enforceable concepts of mutual </w:t>
      </w:r>
      <w:r w:rsidRPr="00883A01" w:rsidR="00BC27D8">
        <w:t xml:space="preserve">dismissals with prejudice.”  </w:t>
      </w:r>
    </w:p>
    <w:p w:rsidR="00FF3A15" w:rsidRPr="00883A01" w:rsidP="00FF3A15" w14:paraId="0F1C174E" w14:textId="5F7D5EBD">
      <w:r w:rsidRPr="00883A01">
        <w:tab/>
      </w:r>
      <w:r w:rsidRPr="00883A01" w:rsidR="0024688A">
        <w:t xml:space="preserve">At the </w:t>
      </w:r>
      <w:r w:rsidRPr="00883A01">
        <w:t>January 26, 2023 case management conference</w:t>
      </w:r>
      <w:r w:rsidRPr="00883A01" w:rsidR="0034028A">
        <w:t xml:space="preserve">, </w:t>
      </w:r>
      <w:r w:rsidRPr="00883A01" w:rsidR="00EA6DF6">
        <w:t xml:space="preserve">the </w:t>
      </w:r>
      <w:r w:rsidRPr="00883A01" w:rsidR="00B83465">
        <w:t xml:space="preserve">parties’ </w:t>
      </w:r>
      <w:r w:rsidRPr="00883A01" w:rsidR="00EA6DF6">
        <w:t xml:space="preserve">disagreement over </w:t>
      </w:r>
      <w:r w:rsidRPr="00883A01" w:rsidR="0034028A">
        <w:t>the terms of the settlement</w:t>
      </w:r>
      <w:r w:rsidRPr="00883A01" w:rsidR="00B83465">
        <w:t xml:space="preserve"> was discussed</w:t>
      </w:r>
      <w:r w:rsidRPr="00883A01" w:rsidR="002E07B1">
        <w:t xml:space="preserve">.  </w:t>
      </w:r>
      <w:r w:rsidRPr="00883A01" w:rsidR="00EA6DF6">
        <w:t xml:space="preserve">Eagle’s counsel asserted that </w:t>
      </w:r>
      <w:r w:rsidRPr="00883A01" w:rsidR="002E07B1">
        <w:t xml:space="preserve">the transcript of </w:t>
      </w:r>
      <w:r w:rsidRPr="00883A01" w:rsidR="00D5260E">
        <w:t>the November Hearing</w:t>
      </w:r>
      <w:r w:rsidRPr="00883A01" w:rsidR="0034028A">
        <w:t xml:space="preserve"> </w:t>
      </w:r>
      <w:r w:rsidRPr="00883A01" w:rsidR="002E07B1">
        <w:t xml:space="preserve">did not include everything said and that, although her client agreed to certain things, “we thought we were agreeing to something a </w:t>
      </w:r>
      <w:r w:rsidRPr="00883A01" w:rsidR="00181A13">
        <w:t xml:space="preserve">little </w:t>
      </w:r>
      <w:r w:rsidRPr="00883A01" w:rsidR="002E07B1">
        <w:t>bit different tha</w:t>
      </w:r>
      <w:r w:rsidRPr="00883A01" w:rsidR="006479C9">
        <w:t>n</w:t>
      </w:r>
      <w:r w:rsidRPr="00883A01" w:rsidR="002E07B1">
        <w:t xml:space="preserve"> as it came out in the transcript.”  </w:t>
      </w:r>
      <w:r w:rsidRPr="00883A01">
        <w:t xml:space="preserve">The trial court </w:t>
      </w:r>
      <w:r w:rsidRPr="00883A01" w:rsidR="00A729B5">
        <w:t xml:space="preserve">ended </w:t>
      </w:r>
      <w:r w:rsidRPr="00883A01" w:rsidR="002E07B1">
        <w:t>the conference by</w:t>
      </w:r>
      <w:r w:rsidRPr="00883A01" w:rsidR="00A729B5">
        <w:t xml:space="preserve"> recognizing a disagreement existed, </w:t>
      </w:r>
      <w:r w:rsidRPr="00883A01" w:rsidR="002E07B1">
        <w:t>stating there was nothing before it on which it could rule</w:t>
      </w:r>
      <w:r w:rsidRPr="00883A01" w:rsidR="00A729B5">
        <w:t>,</w:t>
      </w:r>
      <w:r w:rsidRPr="00883A01" w:rsidR="002E07B1">
        <w:t xml:space="preserve"> and </w:t>
      </w:r>
      <w:r w:rsidRPr="00883A01">
        <w:t>inform</w:t>
      </w:r>
      <w:r w:rsidRPr="00883A01" w:rsidR="002E07B1">
        <w:t xml:space="preserve">ing </w:t>
      </w:r>
      <w:r w:rsidRPr="00883A01">
        <w:t xml:space="preserve">the parties </w:t>
      </w:r>
      <w:r w:rsidRPr="00883A01" w:rsidR="002E07B1">
        <w:t xml:space="preserve">an order to show cause would issue </w:t>
      </w:r>
      <w:r w:rsidRPr="00883A01">
        <w:t xml:space="preserve">if the action was not dismissed within 120 days.  </w:t>
      </w:r>
    </w:p>
    <w:p w:rsidR="00AC0767" w:rsidRPr="00883A01" w:rsidP="00FF3A15" w14:paraId="3AA7A782" w14:textId="7551014E">
      <w:r w:rsidRPr="00883A01">
        <w:tab/>
      </w:r>
      <w:r w:rsidRPr="00883A01" w:rsidR="00AE7BFE">
        <w:t xml:space="preserve">In </w:t>
      </w:r>
      <w:r w:rsidRPr="00883A01">
        <w:t>February</w:t>
      </w:r>
      <w:r w:rsidRPr="00883A01" w:rsidR="00AE7BFE">
        <w:t xml:space="preserve"> </w:t>
      </w:r>
      <w:r w:rsidRPr="00883A01">
        <w:t>2023, the City filed a motion to enforce settlement</w:t>
      </w:r>
      <w:r w:rsidRPr="00883A01" w:rsidR="00AE7BFE">
        <w:t xml:space="preserve"> pursuant to section 664.6</w:t>
      </w:r>
      <w:r w:rsidRPr="00883A01">
        <w:t xml:space="preserve">.  </w:t>
      </w:r>
      <w:r w:rsidRPr="00883A01" w:rsidR="003129AA">
        <w:t>Eagle</w:t>
      </w:r>
      <w:r w:rsidRPr="00883A01">
        <w:t xml:space="preserve"> opposed the motion.  </w:t>
      </w:r>
    </w:p>
    <w:p w:rsidR="00AC0767" w:rsidRPr="00883A01" w:rsidP="00AC0767" w14:paraId="59D7C3C6" w14:textId="4431B418">
      <w:pPr>
        <w:ind w:firstLine="720"/>
      </w:pPr>
      <w:r w:rsidRPr="00883A01">
        <w:t>O</w:t>
      </w:r>
      <w:r w:rsidRPr="00883A01" w:rsidR="0034028A">
        <w:t xml:space="preserve">n March 21, </w:t>
      </w:r>
      <w:r w:rsidRPr="00883A01" w:rsidR="003C2A32">
        <w:t>2023,</w:t>
      </w:r>
      <w:r w:rsidRPr="00883A01" w:rsidR="0034028A">
        <w:t xml:space="preserve"> </w:t>
      </w:r>
      <w:r w:rsidRPr="00883A01" w:rsidR="00BF2899">
        <w:t xml:space="preserve">the trial court heard </w:t>
      </w:r>
      <w:r w:rsidRPr="00883A01" w:rsidR="002E07B1">
        <w:t xml:space="preserve">argument on </w:t>
      </w:r>
      <w:r w:rsidRPr="00883A01" w:rsidR="00FF3A15">
        <w:t xml:space="preserve">the motion </w:t>
      </w:r>
      <w:r w:rsidRPr="00883A01" w:rsidR="002E07B1">
        <w:t xml:space="preserve">and </w:t>
      </w:r>
      <w:r w:rsidRPr="00883A01" w:rsidR="00BF2899">
        <w:t xml:space="preserve">took </w:t>
      </w:r>
      <w:r w:rsidRPr="00883A01" w:rsidR="00B83465">
        <w:t xml:space="preserve">it </w:t>
      </w:r>
      <w:r w:rsidRPr="00883A01" w:rsidR="00907D4C">
        <w:t xml:space="preserve">under submission. </w:t>
      </w:r>
      <w:r w:rsidRPr="00883A01" w:rsidR="00123100">
        <w:t xml:space="preserve"> </w:t>
      </w:r>
      <w:r w:rsidRPr="00883A01" w:rsidR="00907D4C">
        <w:t>Later that day, t</w:t>
      </w:r>
      <w:r w:rsidRPr="00883A01" w:rsidR="00FF3A15">
        <w:t>he</w:t>
      </w:r>
      <w:r w:rsidRPr="00FC2DBB" w:rsidR="00FF3A15">
        <w:t xml:space="preserve"> court </w:t>
      </w:r>
      <w:r w:rsidR="00907D4C">
        <w:t xml:space="preserve">filed </w:t>
      </w:r>
      <w:r w:rsidR="00C84DFD">
        <w:t xml:space="preserve">a seven-page document titled “RULING ON DEFENDANT’S MOTION TO ENFORCE SETTLEMENT” </w:t>
      </w:r>
      <w:r w:rsidR="00247198">
        <w:t xml:space="preserve">that </w:t>
      </w:r>
      <w:r w:rsidR="00C84DFD">
        <w:t>contain</w:t>
      </w:r>
      <w:r w:rsidR="00247198">
        <w:t>ed</w:t>
      </w:r>
      <w:r w:rsidR="00C84DFD">
        <w:t xml:space="preserve"> the court’s findings of fact and legal analysis, </w:t>
      </w:r>
      <w:r w:rsidR="00907D4C">
        <w:t xml:space="preserve">its order </w:t>
      </w:r>
      <w:r w:rsidRPr="00FC2DBB" w:rsidR="00FF3A15">
        <w:t>grant</w:t>
      </w:r>
      <w:r w:rsidR="00907D4C">
        <w:t>ing</w:t>
      </w:r>
      <w:r w:rsidRPr="00FC2DBB" w:rsidR="00FF3A15">
        <w:t xml:space="preserve"> the City’s motion</w:t>
      </w:r>
      <w:r w:rsidR="00C84DFD">
        <w:t xml:space="preserve">, and </w:t>
      </w:r>
      <w:r w:rsidR="00247198">
        <w:t xml:space="preserve">the </w:t>
      </w:r>
      <w:r w:rsidR="00C84DFD">
        <w:t xml:space="preserve">judgment </w:t>
      </w:r>
      <w:r w:rsidR="00247198">
        <w:t xml:space="preserve">entered </w:t>
      </w:r>
      <w:r w:rsidR="00C84DFD">
        <w:t xml:space="preserve">pursuant to the terms of the </w:t>
      </w:r>
      <w:r w:rsidRPr="00883A01" w:rsidR="00C84DFD">
        <w:t>settlement</w:t>
      </w:r>
      <w:r w:rsidRPr="00883A01" w:rsidR="00247198">
        <w:t>.  For convenience, we refer to this combination of a statement of decision, order, and judgment as the “</w:t>
      </w:r>
      <w:r w:rsidRPr="00883A01" w:rsidR="00123100">
        <w:t>March Order.</w:t>
      </w:r>
      <w:r w:rsidRPr="00883A01" w:rsidR="00247198">
        <w:t>”</w:t>
      </w:r>
      <w:r w:rsidRPr="00883A01" w:rsidR="00BC27D8">
        <w:t xml:space="preserve">  </w:t>
      </w:r>
      <w:r w:rsidRPr="00883A01" w:rsidR="00F9175A">
        <w:t xml:space="preserve">The court’s finding regarding the formation and scope of the settlement agreement along with the terms of the judgment enforcing that agreement are set forth later in this opinion.  (See pt. II.B.2., </w:t>
      </w:r>
      <w:r w:rsidRPr="00883A01" w:rsidR="00F9175A">
        <w:rPr>
          <w:i/>
          <w:iCs/>
        </w:rPr>
        <w:t>post</w:t>
      </w:r>
      <w:r w:rsidRPr="00883A01" w:rsidR="00F9175A">
        <w:t xml:space="preserve">.) </w:t>
      </w:r>
    </w:p>
    <w:p w:rsidR="00FF3A15" w:rsidP="00AC0767" w14:paraId="3C020857" w14:textId="00CBDC32">
      <w:pPr>
        <w:ind w:firstLine="720"/>
      </w:pPr>
      <w:r w:rsidRPr="00883A01">
        <w:t>Eagle</w:t>
      </w:r>
      <w:r w:rsidRPr="00883A01" w:rsidR="00EB67B1">
        <w:t xml:space="preserve"> </w:t>
      </w:r>
      <w:r w:rsidRPr="00883A01" w:rsidR="00247198">
        <w:t>f</w:t>
      </w:r>
      <w:r w:rsidRPr="00883A01" w:rsidR="00467A23">
        <w:t>i</w:t>
      </w:r>
      <w:r w:rsidRPr="00883A01" w:rsidR="00247198">
        <w:t xml:space="preserve">led a </w:t>
      </w:r>
      <w:r w:rsidRPr="00883A01" w:rsidR="00EB67B1">
        <w:t>timely</w:t>
      </w:r>
      <w:r w:rsidRPr="00883A01">
        <w:t xml:space="preserve"> appeal</w:t>
      </w:r>
      <w:r w:rsidRPr="00883A01" w:rsidR="00F9175A">
        <w:t xml:space="preserve"> to challenge the existence and enforceability of the purported settlement</w:t>
      </w:r>
      <w:r w:rsidRPr="00883A01">
        <w:t xml:space="preserve">.  </w:t>
      </w:r>
      <w:r w:rsidRPr="00883A01" w:rsidR="00467A23">
        <w:t xml:space="preserve">In </w:t>
      </w:r>
      <w:r w:rsidRPr="00883A01">
        <w:t xml:space="preserve">November 2023, the City filed </w:t>
      </w:r>
      <w:r w:rsidRPr="00883A01" w:rsidR="00316679">
        <w:t xml:space="preserve">a motion </w:t>
      </w:r>
      <w:r w:rsidRPr="00883A01" w:rsidR="0024688A">
        <w:t xml:space="preserve">asserting </w:t>
      </w:r>
      <w:r w:rsidRPr="00883A01">
        <w:t xml:space="preserve">Eagle’s appeal </w:t>
      </w:r>
      <w:r w:rsidRPr="00883A01" w:rsidR="0024688A">
        <w:t xml:space="preserve">was frivolous and requesting its dismissal </w:t>
      </w:r>
      <w:r w:rsidRPr="00883A01">
        <w:t xml:space="preserve">and </w:t>
      </w:r>
      <w:r w:rsidRPr="00883A01" w:rsidR="00316679">
        <w:t xml:space="preserve">monetary </w:t>
      </w:r>
      <w:r w:rsidRPr="00883A01">
        <w:t>sanctions.</w:t>
      </w:r>
      <w:r w:rsidRPr="00FC2DBB">
        <w:t xml:space="preserve">  </w:t>
      </w:r>
      <w:r w:rsidR="00316679">
        <w:t xml:space="preserve">  </w:t>
      </w:r>
    </w:p>
    <w:p w:rsidR="006115E3" w:rsidP="00EB7E28" w14:paraId="05E4E8D1" w14:textId="2EAA76EB">
      <w:pPr>
        <w:keepNext/>
        <w:jc w:val="center"/>
        <w:outlineLvl w:val="0"/>
      </w:pPr>
      <w:bookmarkStart w:id="2" w:name="_Toc165298029"/>
      <w:r>
        <w:rPr>
          <w:b/>
        </w:rPr>
        <w:t>DISCUSSION</w:t>
      </w:r>
      <w:bookmarkEnd w:id="2"/>
    </w:p>
    <w:p w:rsidR="006115E3" w:rsidRPr="00DB7EA7" w:rsidP="006115E3" w14:paraId="234F71DE" w14:textId="65B559CF">
      <w:pPr>
        <w:pStyle w:val="Heading1"/>
        <w:rPr>
          <w:b w:val="0"/>
          <w:szCs w:val="26"/>
        </w:rPr>
      </w:pPr>
      <w:bookmarkStart w:id="3" w:name="_Toc414951497"/>
      <w:bookmarkStart w:id="4" w:name="_Toc416362565"/>
      <w:bookmarkStart w:id="5" w:name="_Toc456960406"/>
      <w:bookmarkStart w:id="6" w:name="_Toc165298030"/>
      <w:r>
        <w:rPr>
          <w:b w:val="0"/>
          <w:szCs w:val="26"/>
        </w:rPr>
        <w:t>I.</w:t>
      </w:r>
      <w:r>
        <w:rPr>
          <w:b w:val="0"/>
          <w:szCs w:val="26"/>
        </w:rPr>
        <w:tab/>
        <w:t xml:space="preserve">JURISDICTION TO ENFORCE </w:t>
      </w:r>
      <w:r w:rsidR="00316679">
        <w:rPr>
          <w:b w:val="0"/>
          <w:szCs w:val="26"/>
        </w:rPr>
        <w:t xml:space="preserve">A </w:t>
      </w:r>
      <w:r>
        <w:rPr>
          <w:b w:val="0"/>
          <w:szCs w:val="26"/>
        </w:rPr>
        <w:t>SETTLEMENT</w:t>
      </w:r>
      <w:bookmarkEnd w:id="3"/>
      <w:bookmarkEnd w:id="4"/>
      <w:bookmarkEnd w:id="5"/>
      <w:r w:rsidR="001D0650">
        <w:rPr>
          <w:b w:val="0"/>
          <w:szCs w:val="26"/>
        </w:rPr>
        <w:t xml:space="preserve"> UNDER SECTION 664.6</w:t>
      </w:r>
      <w:bookmarkEnd w:id="6"/>
    </w:p>
    <w:p w:rsidR="001D0650" w:rsidP="001D0650" w14:paraId="0BADF60D" w14:textId="6BD1518B">
      <w:pPr>
        <w:pStyle w:val="Heading2"/>
      </w:pPr>
      <w:bookmarkStart w:id="7" w:name="_Toc165298031"/>
      <w:r>
        <w:rPr>
          <w:b w:val="0"/>
        </w:rPr>
        <w:t>A.</w:t>
      </w:r>
      <w:r>
        <w:rPr>
          <w:b w:val="0"/>
        </w:rPr>
        <w:tab/>
      </w:r>
      <w:r>
        <w:rPr>
          <w:b w:val="0"/>
          <w:u w:val="single"/>
        </w:rPr>
        <w:t>Section 664.6</w:t>
      </w:r>
      <w:bookmarkEnd w:id="7"/>
    </w:p>
    <w:p w:rsidR="001D0650" w:rsidP="001D0650" w14:paraId="2BC4F510" w14:textId="669E0347">
      <w:pPr>
        <w:ind w:firstLine="720"/>
      </w:pPr>
      <w:r>
        <w:t>Section 664.6, subdivision (a) provides:  “If parties to pending litigation stipulate, in a writing signed by the parties outside of the presence of the court or orally before the court, for settlement of the case, or part thereof, the court, upon motion, may enter judgment pursuant to the terms of the settlement.  If requested by the parties, the court may retain jurisdiction over the parties to enforce the settlement until performance in full of the terms of the settlement.”</w:t>
      </w:r>
    </w:p>
    <w:p w:rsidR="005367CE" w:rsidRPr="00883A01" w:rsidP="00686808" w14:paraId="1FC97A3D" w14:textId="5ED9798A">
      <w:pPr>
        <w:ind w:firstLine="720"/>
      </w:pPr>
      <w:r>
        <w:t xml:space="preserve">Section 664.6 provides an expedited procedure for enforcing the parties’ settlement agreement and, as a result, a party need not resort to less efficient procedures, such as </w:t>
      </w:r>
      <w:r w:rsidRPr="00883A01">
        <w:t xml:space="preserve">filing a new lawsuit </w:t>
      </w:r>
      <w:r w:rsidRPr="00883A01" w:rsidR="0056064D">
        <w:t xml:space="preserve">for </w:t>
      </w:r>
      <w:r w:rsidRPr="00883A01">
        <w:t>specific enforce</w:t>
      </w:r>
      <w:r w:rsidRPr="00883A01" w:rsidR="0056064D">
        <w:t xml:space="preserve">ment of </w:t>
      </w:r>
      <w:r w:rsidRPr="00883A01">
        <w:t>the</w:t>
      </w:r>
      <w:r>
        <w:t xml:space="preserve"> settlement contract.  </w:t>
      </w:r>
      <w:r w:rsidRPr="00C160FB">
        <w:t>(</w:t>
      </w:r>
      <w:r w:rsidRPr="00C160FB" w:rsidR="00CE761C">
        <w:rPr>
          <w:i/>
          <w:iCs/>
        </w:rPr>
        <w:t>Weddington Productions, Inc. v. Flick</w:t>
      </w:r>
      <w:r w:rsidRPr="00C160FB" w:rsidR="00CE761C">
        <w:t xml:space="preserve"> (1998) 60 Cal.App.4th 793, 809 (</w:t>
      </w:r>
      <w:r w:rsidRPr="00C160FB" w:rsidR="00CE761C">
        <w:rPr>
          <w:i/>
          <w:iCs/>
        </w:rPr>
        <w:t>Weddington</w:t>
      </w:r>
      <w:r w:rsidRPr="00C160FB" w:rsidR="00CE761C">
        <w:t>)</w:t>
      </w:r>
      <w:r w:rsidRPr="00C160FB">
        <w:t>; see</w:t>
      </w:r>
      <w:r>
        <w:t xml:space="preserve"> </w:t>
      </w:r>
      <w:r>
        <w:rPr>
          <w:i/>
          <w:iCs/>
        </w:rPr>
        <w:t>Gorman v. Holte</w:t>
      </w:r>
      <w:r>
        <w:t xml:space="preserve"> (1985) 164 Cal.App.3d 984, 989 [ways to enforce an oral settlement agreement].)  Among other things, “[s]ection 664.6 generally allows a court to enter judgment pursuant to a settlement agreement despite the dismissal of the complaint, which ordinarily deprives the court of </w:t>
      </w:r>
      <w:r w:rsidRPr="00883A01">
        <w:t>continuing jurisdiction.”  (</w:t>
      </w:r>
      <w:r w:rsidRPr="00883A01">
        <w:rPr>
          <w:i/>
          <w:iCs/>
        </w:rPr>
        <w:t>Howeth v. Coffelt</w:t>
      </w:r>
      <w:r w:rsidRPr="00883A01">
        <w:t xml:space="preserve"> (2017) 18 Cal.App.5th 126, 134.)</w:t>
      </w:r>
    </w:p>
    <w:p w:rsidR="0064761D" w:rsidRPr="00883A01" w:rsidP="0064761D" w14:paraId="5F62ADE5" w14:textId="6BFFAB9B">
      <w:pPr>
        <w:pStyle w:val="Heading2"/>
        <w:rPr>
          <w:b w:val="0"/>
        </w:rPr>
      </w:pPr>
      <w:bookmarkStart w:id="8" w:name="_Toc165298033"/>
      <w:r w:rsidRPr="00883A01">
        <w:rPr>
          <w:b w:val="0"/>
        </w:rPr>
        <w:t>B.</w:t>
      </w:r>
      <w:r w:rsidRPr="00883A01">
        <w:rPr>
          <w:b w:val="0"/>
        </w:rPr>
        <w:tab/>
      </w:r>
      <w:r w:rsidRPr="00883A01" w:rsidR="00876F0D">
        <w:rPr>
          <w:b w:val="0"/>
          <w:u w:val="single"/>
        </w:rPr>
        <w:t>Retention of Jurisdiction</w:t>
      </w:r>
      <w:r w:rsidRPr="00883A01" w:rsidR="003C41B1">
        <w:rPr>
          <w:b w:val="0"/>
          <w:u w:val="single"/>
        </w:rPr>
        <w:t xml:space="preserve"> Not Required</w:t>
      </w:r>
      <w:r w:rsidRPr="00883A01" w:rsidR="00690089">
        <w:rPr>
          <w:b w:val="0"/>
          <w:u w:val="single"/>
        </w:rPr>
        <w:t xml:space="preserve"> in This Case</w:t>
      </w:r>
      <w:bookmarkEnd w:id="8"/>
    </w:p>
    <w:p w:rsidR="0024688A" w:rsidRPr="00883A01" w:rsidP="00BB6A8C" w14:paraId="6CE6C6E9" w14:textId="0275EB9C">
      <w:pPr>
        <w:ind w:firstLine="720"/>
      </w:pPr>
      <w:r w:rsidRPr="00883A01">
        <w:t xml:space="preserve">We begin with </w:t>
      </w:r>
      <w:r w:rsidRPr="00883A01" w:rsidR="00876F0D">
        <w:t xml:space="preserve">Eagle’s contention that </w:t>
      </w:r>
      <w:r w:rsidRPr="00883A01" w:rsidR="001D0650">
        <w:t xml:space="preserve">a </w:t>
      </w:r>
      <w:r w:rsidRPr="00883A01" w:rsidR="00876F0D">
        <w:t>s</w:t>
      </w:r>
      <w:r w:rsidRPr="00883A01" w:rsidR="000946E4">
        <w:t xml:space="preserve">ection 664.6 </w:t>
      </w:r>
      <w:r w:rsidRPr="00883A01" w:rsidR="001D0650">
        <w:t xml:space="preserve">motion could not be used to enforce the settlement agreement </w:t>
      </w:r>
      <w:r w:rsidRPr="00883A01" w:rsidR="00876F0D">
        <w:t xml:space="preserve">because </w:t>
      </w:r>
      <w:r w:rsidRPr="00883A01" w:rsidR="00B01017">
        <w:t>there was no express retention of jurisdiction</w:t>
      </w:r>
      <w:r w:rsidRPr="00883A01">
        <w:t>.  Eagle bases this contention o</w:t>
      </w:r>
      <w:r w:rsidRPr="00883A01" w:rsidR="00607A64">
        <w:t>n</w:t>
      </w:r>
      <w:r w:rsidRPr="00883A01">
        <w:t xml:space="preserve"> </w:t>
      </w:r>
      <w:r w:rsidRPr="00883A01" w:rsidR="00607A64">
        <w:t xml:space="preserve">(1) </w:t>
      </w:r>
      <w:r w:rsidRPr="00883A01">
        <w:t xml:space="preserve">the fact that it dismissed its </w:t>
      </w:r>
      <w:r w:rsidRPr="00883A01" w:rsidR="00876F0D">
        <w:t xml:space="preserve">complaint before the </w:t>
      </w:r>
      <w:r w:rsidRPr="00883A01" w:rsidR="00BB6A8C">
        <w:t>settlement agreement was put on the record at the November Hearing</w:t>
      </w:r>
      <w:r w:rsidRPr="00883A01">
        <w:t xml:space="preserve"> and </w:t>
      </w:r>
      <w:r w:rsidRPr="00883A01" w:rsidR="00607A64">
        <w:t xml:space="preserve">(2) </w:t>
      </w:r>
      <w:r w:rsidRPr="00883A01">
        <w:t>the absence of an explicit statement by the parties or the court that jurisdiction to enforce the agreement was retained pursuant to section 664.6</w:t>
      </w:r>
      <w:r w:rsidRPr="00883A01" w:rsidR="00BB6A8C">
        <w:t xml:space="preserve">.  </w:t>
      </w:r>
      <w:r w:rsidRPr="00883A01">
        <w:t xml:space="preserve">The City contends a retention of jurisdiction was unnecessary because its cross-complaint was pending and, thus, the trial court had jurisdiction over the parties and subject matter of the litigation at both the November Hearing and the March 21 hearing.    </w:t>
      </w:r>
    </w:p>
    <w:p w:rsidR="00BB6A8C" w:rsidRPr="00883A01" w:rsidP="00BB6A8C" w14:paraId="4BE62274" w14:textId="35EB3ABF">
      <w:pPr>
        <w:ind w:firstLine="720"/>
      </w:pPr>
      <w:r w:rsidRPr="00883A01">
        <w:t>Th</w:t>
      </w:r>
      <w:r w:rsidRPr="00883A01" w:rsidR="0024688A">
        <w:t>e</w:t>
      </w:r>
      <w:r w:rsidRPr="00883A01" w:rsidR="00607A64">
        <w:t xml:space="preserve"> parties’</w:t>
      </w:r>
      <w:r w:rsidRPr="00883A01" w:rsidR="0024688A">
        <w:t xml:space="preserve"> contentions </w:t>
      </w:r>
      <w:r w:rsidRPr="00883A01">
        <w:t>present question</w:t>
      </w:r>
      <w:r w:rsidRPr="00883A01" w:rsidR="00F9175A">
        <w:t>s</w:t>
      </w:r>
      <w:r w:rsidRPr="00883A01">
        <w:t xml:space="preserve"> of law about the </w:t>
      </w:r>
      <w:r w:rsidRPr="00883A01" w:rsidR="00F9175A">
        <w:t xml:space="preserve">interpretation and </w:t>
      </w:r>
      <w:r w:rsidRPr="00883A01">
        <w:t>application of section 664.6 to facts that are not in dispute</w:t>
      </w:r>
      <w:r w:rsidRPr="00883A01" w:rsidR="00690089">
        <w:t>—namely, the pleadings that were pending or had been dismissed</w:t>
      </w:r>
      <w:r w:rsidRPr="00883A01" w:rsidR="004543E7">
        <w:t xml:space="preserve"> </w:t>
      </w:r>
      <w:r w:rsidRPr="00883A01" w:rsidR="00316679">
        <w:t xml:space="preserve">when (1) </w:t>
      </w:r>
      <w:r w:rsidRPr="00883A01" w:rsidR="00690089">
        <w:t>the settlement was placed on the record at the November Hearing</w:t>
      </w:r>
      <w:r w:rsidRPr="00883A01" w:rsidR="00316679">
        <w:t xml:space="preserve"> and (2) the March Order was filed</w:t>
      </w:r>
      <w:r w:rsidRPr="00883A01">
        <w:t>.</w:t>
      </w:r>
      <w:r w:rsidRPr="00883A01" w:rsidR="00316679">
        <w:t xml:space="preserve">  In other words, the </w:t>
      </w:r>
      <w:r w:rsidRPr="00883A01" w:rsidR="00AC0767">
        <w:t xml:space="preserve">relevant </w:t>
      </w:r>
      <w:r w:rsidRPr="00883A01" w:rsidR="00316679">
        <w:t xml:space="preserve">procedural history is not disputed, only the legal effect of </w:t>
      </w:r>
      <w:r w:rsidRPr="00883A01" w:rsidR="00723072">
        <w:t>those proceedings on the court’s jurisdiction.</w:t>
      </w:r>
      <w:r w:rsidRPr="00883A01" w:rsidR="00F9175A">
        <w:t xml:space="preserve">  The q</w:t>
      </w:r>
      <w:r w:rsidRPr="00883A01" w:rsidR="007A27E0">
        <w:t>uestions of law</w:t>
      </w:r>
      <w:r w:rsidRPr="00883A01" w:rsidR="00F9175A">
        <w:t xml:space="preserve"> about </w:t>
      </w:r>
      <w:r w:rsidRPr="00883A01" w:rsidR="007A27E0">
        <w:t>the interpretation and application of section 664.6 are subject to independent review.  (</w:t>
      </w:r>
      <w:r w:rsidRPr="00883A01" w:rsidR="007A27E0">
        <w:rPr>
          <w:i/>
          <w:iCs/>
        </w:rPr>
        <w:t>Machado v. Myers</w:t>
      </w:r>
      <w:r w:rsidRPr="00883A01" w:rsidR="007A27E0">
        <w:t xml:space="preserve"> (2019) 39 Cal.App.5th 779, 79</w:t>
      </w:r>
      <w:r w:rsidRPr="00883A01" w:rsidR="004F17E4">
        <w:t>1</w:t>
      </w:r>
      <w:r w:rsidRPr="00883A01" w:rsidR="007A27E0">
        <w:t xml:space="preserve"> (</w:t>
      </w:r>
      <w:r w:rsidRPr="00883A01" w:rsidR="007A27E0">
        <w:rPr>
          <w:i/>
          <w:iCs/>
        </w:rPr>
        <w:t>Machado</w:t>
      </w:r>
      <w:r w:rsidR="007A27E0">
        <w:t xml:space="preserve">); </w:t>
      </w:r>
      <w:r w:rsidR="007A27E0">
        <w:rPr>
          <w:i/>
          <w:iCs/>
        </w:rPr>
        <w:t>Critzer</w:t>
      </w:r>
      <w:r w:rsidR="00217D9D">
        <w:rPr>
          <w:i/>
          <w:iCs/>
        </w:rPr>
        <w:t xml:space="preserve"> v. Enos </w:t>
      </w:r>
      <w:r w:rsidR="00217D9D">
        <w:rPr>
          <w:iCs/>
        </w:rPr>
        <w:t xml:space="preserve">(2010) 187 Cal.App.4th 1242, </w:t>
      </w:r>
      <w:r w:rsidR="007A27E0">
        <w:t>1253.)  Due to “</w:t>
      </w:r>
      <w:r w:rsidR="00A40FDD">
        <w:t> </w:t>
      </w:r>
      <w:r w:rsidR="007A27E0">
        <w:t>‘</w:t>
      </w:r>
      <w:r w:rsidR="00A40FDD">
        <w:t> “</w:t>
      </w:r>
      <w:r w:rsidR="007A27E0">
        <w:t xml:space="preserve">its summary nature, strict compliance with the requirements of section 664.6 is prerequisite to invoking the </w:t>
      </w:r>
      <w:r w:rsidRPr="00883A01" w:rsidR="007A27E0">
        <w:t>power of the court to impose a settlement agreement.</w:t>
      </w:r>
      <w:r w:rsidRPr="00883A01" w:rsidR="00AE7770">
        <w:t>” </w:t>
      </w:r>
      <w:r w:rsidRPr="00883A01" w:rsidR="007A27E0">
        <w:t>’</w:t>
      </w:r>
      <w:r w:rsidRPr="00883A01" w:rsidR="00AE7770">
        <w:t> </w:t>
      </w:r>
      <w:r w:rsidRPr="00883A01" w:rsidR="007A27E0">
        <w:t>”  (</w:t>
      </w:r>
      <w:r w:rsidRPr="00883A01" w:rsidR="007A27E0">
        <w:rPr>
          <w:i/>
          <w:iCs/>
        </w:rPr>
        <w:t>Critzer</w:t>
      </w:r>
      <w:r w:rsidRPr="00883A01" w:rsidR="007A27E0">
        <w:t xml:space="preserve">, </w:t>
      </w:r>
      <w:r w:rsidRPr="00883A01" w:rsidR="007A27E0">
        <w:rPr>
          <w:i/>
          <w:iCs/>
        </w:rPr>
        <w:t>supra</w:t>
      </w:r>
      <w:r w:rsidRPr="00883A01" w:rsidR="007A27E0">
        <w:t>, at p. 1256.)</w:t>
      </w:r>
      <w:r w:rsidRPr="00883A01" w:rsidR="001D0650">
        <w:t xml:space="preserve"> </w:t>
      </w:r>
    </w:p>
    <w:p w:rsidR="00607A64" w:rsidP="00607A64" w14:paraId="3F098D4D" w14:textId="0C770B8B">
      <w:pPr>
        <w:ind w:firstLine="720"/>
      </w:pPr>
      <w:r w:rsidRPr="00883A01">
        <w:t>Before independently analyzing the questions of law presented, we set</w:t>
      </w:r>
      <w:r>
        <w:t xml:space="preserve"> forth the trial court’s conclusions about it</w:t>
      </w:r>
      <w:r w:rsidR="00A729B5">
        <w:t>s</w:t>
      </w:r>
      <w:r>
        <w:t xml:space="preserve"> jurisdiction to enforce the settlement.  The court found Eagle and the City “stipulated orally before this Court, while the litigation was pending (and appears to be still pending) for settlement of this case on terms that included mutual dismissals with prejudice and a waiver of all appeal rights.”  The court determined the oral stipulation was made while it maintained jurisdiction over the matter and the parties despite Eagle’s filing a dismissal without prejudice because there was a pending cross-complaint.  Thus, the court concluded it did not need to expressly retain jurisdiction to enforce the oral settlement “as jurisdiction was </w:t>
      </w:r>
      <w:r w:rsidRPr="00883A01">
        <w:t>never lost.”  We agree.</w:t>
      </w:r>
      <w:r>
        <w:t xml:space="preserve">  </w:t>
      </w:r>
    </w:p>
    <w:p w:rsidR="00B06037" w:rsidRPr="00B06037" w:rsidP="00B06037" w14:paraId="4D1C74BC" w14:textId="7505CA65">
      <w:pPr>
        <w:pStyle w:val="Heading2"/>
        <w:rPr>
          <w:b w:val="0"/>
          <w:i/>
        </w:rPr>
      </w:pPr>
      <w:r w:rsidRPr="001E6A52">
        <w:tab/>
      </w:r>
      <w:bookmarkStart w:id="9" w:name="_Toc165298034"/>
      <w:r>
        <w:rPr>
          <w:b w:val="0"/>
          <w:i/>
        </w:rPr>
        <w:t>1</w:t>
      </w:r>
      <w:r w:rsidRPr="001E6A52">
        <w:rPr>
          <w:b w:val="0"/>
          <w:i/>
        </w:rPr>
        <w:t>.</w:t>
      </w:r>
      <w:r w:rsidRPr="001E6A52">
        <w:rPr>
          <w:b w:val="0"/>
          <w:i/>
        </w:rPr>
        <w:tab/>
      </w:r>
      <w:r>
        <w:rPr>
          <w:b w:val="0"/>
          <w:i/>
        </w:rPr>
        <w:t>Textual Analysis</w:t>
      </w:r>
      <w:bookmarkEnd w:id="9"/>
    </w:p>
    <w:p w:rsidR="007935AE" w:rsidP="00BB6A8C" w14:paraId="0F848F23" w14:textId="573FB9D0">
      <w:pPr>
        <w:ind w:firstLine="720"/>
      </w:pPr>
      <w:r>
        <w:t>Th</w:t>
      </w:r>
      <w:r w:rsidR="00B01017">
        <w:t xml:space="preserve">e legal </w:t>
      </w:r>
      <w:r>
        <w:t xml:space="preserve">question </w:t>
      </w:r>
      <w:r w:rsidR="007A27E0">
        <w:t xml:space="preserve">about </w:t>
      </w:r>
      <w:r w:rsidRPr="00883A01" w:rsidR="007A27E0">
        <w:t xml:space="preserve">the trial court’s jurisdiction </w:t>
      </w:r>
      <w:r w:rsidRPr="00883A01">
        <w:t xml:space="preserve">can be framed in </w:t>
      </w:r>
      <w:r w:rsidRPr="00883A01" w:rsidR="00B01017">
        <w:t xml:space="preserve">multiple </w:t>
      </w:r>
      <w:r w:rsidRPr="00883A01">
        <w:t>ways</w:t>
      </w:r>
      <w:r w:rsidRPr="00883A01" w:rsidR="00B01017">
        <w:t xml:space="preserve">.  </w:t>
      </w:r>
      <w:r w:rsidRPr="00883A01" w:rsidR="00D731DD">
        <w:t xml:space="preserve">One </w:t>
      </w:r>
      <w:r w:rsidRPr="00883A01" w:rsidR="00B01017">
        <w:t>way</w:t>
      </w:r>
      <w:r w:rsidRPr="00883A01" w:rsidR="00D731DD">
        <w:t xml:space="preserve"> is based </w:t>
      </w:r>
      <w:r w:rsidRPr="00883A01">
        <w:t xml:space="preserve">on the text of the first sentence </w:t>
      </w:r>
      <w:r w:rsidRPr="00883A01" w:rsidR="00BB6A8C">
        <w:t>of section 664.6, subdivision (a)</w:t>
      </w:r>
      <w:r w:rsidRPr="00883A01" w:rsidR="00D731DD">
        <w:t xml:space="preserve">.  </w:t>
      </w:r>
      <w:r w:rsidRPr="00883A01" w:rsidR="004543E7">
        <w:t>Ano</w:t>
      </w:r>
      <w:r w:rsidRPr="00883A01" w:rsidR="00D731DD">
        <w:t xml:space="preserve">ther </w:t>
      </w:r>
      <w:r w:rsidRPr="00883A01" w:rsidR="00607A64">
        <w:t xml:space="preserve">way </w:t>
      </w:r>
      <w:r w:rsidRPr="00883A01" w:rsidR="00D731DD">
        <w:t xml:space="preserve">refers to text in </w:t>
      </w:r>
      <w:r w:rsidRPr="00883A01" w:rsidR="003D5601">
        <w:t xml:space="preserve">the </w:t>
      </w:r>
      <w:r w:rsidRPr="00883A01">
        <w:t>second sentence</w:t>
      </w:r>
      <w:r w:rsidRPr="00883A01" w:rsidR="00607A64">
        <w:t xml:space="preserve"> and the reasons the Legislature added that sentence to the statute.</w:t>
      </w:r>
      <w:r w:rsidR="00B01017">
        <w:t xml:space="preserve">  </w:t>
      </w:r>
    </w:p>
    <w:p w:rsidR="007935AE" w:rsidP="00BB6A8C" w14:paraId="7328E1EB" w14:textId="19228BC2">
      <w:pPr>
        <w:ind w:firstLine="720"/>
      </w:pPr>
      <w:r>
        <w:t xml:space="preserve">As relevant here, the first sentence of section 664.6, subdivision (a) </w:t>
      </w:r>
      <w:r w:rsidR="00BB6A8C">
        <w:t>authorize</w:t>
      </w:r>
      <w:r>
        <w:t>s</w:t>
      </w:r>
      <w:r w:rsidR="00BB6A8C">
        <w:t xml:space="preserve"> superior courts, upon a motion, to “enter judgment pursuant to the terms of the settlement,” provided that the “parties to </w:t>
      </w:r>
      <w:r w:rsidRPr="00BB6A8C" w:rsidR="00BB6A8C">
        <w:rPr>
          <w:i/>
          <w:iCs/>
        </w:rPr>
        <w:t>pending litigation</w:t>
      </w:r>
      <w:r w:rsidR="00BB6A8C">
        <w:t xml:space="preserve"> stipulate </w:t>
      </w:r>
      <w:r w:rsidR="00905A06">
        <w:t>. . .</w:t>
      </w:r>
      <w:r w:rsidR="00BB6A8C">
        <w:t xml:space="preserve"> orally before the court, for settlement of the case, or part thereof.”  (Italics added.)  </w:t>
      </w:r>
      <w:r>
        <w:t>Thus, t</w:t>
      </w:r>
      <w:r w:rsidR="00BB6A8C">
        <w:t xml:space="preserve">he </w:t>
      </w:r>
      <w:r w:rsidR="008C20C6">
        <w:t xml:space="preserve">legal </w:t>
      </w:r>
      <w:r w:rsidR="00BB6A8C">
        <w:t xml:space="preserve">question </w:t>
      </w:r>
      <w:r w:rsidRPr="00883A01" w:rsidR="007A27E0">
        <w:t xml:space="preserve">presented by </w:t>
      </w:r>
      <w:r w:rsidRPr="00883A01" w:rsidR="00607A64">
        <w:t>the parties’</w:t>
      </w:r>
      <w:r w:rsidRPr="00883A01" w:rsidR="007A27E0">
        <w:t xml:space="preserve"> contentions can be phrased </w:t>
      </w:r>
      <w:r w:rsidRPr="00883A01">
        <w:t xml:space="preserve">as </w:t>
      </w:r>
      <w:r w:rsidRPr="00883A01" w:rsidR="00BB6A8C">
        <w:t>whether Case</w:t>
      </w:r>
      <w:r w:rsidRPr="00883A01" w:rsidR="002B3623">
        <w:t xml:space="preserve"> VCU285656 was “pending litigation” when the parties orally agreed to a settlement on the record before the court</w:t>
      </w:r>
      <w:r w:rsidRPr="00883A01" w:rsidR="003C41B1">
        <w:t xml:space="preserve"> at the November Hearing</w:t>
      </w:r>
      <w:r w:rsidRPr="00883A01" w:rsidR="00B01017">
        <w:t xml:space="preserve"> </w:t>
      </w:r>
      <w:r w:rsidRPr="00883A01" w:rsidR="00B01017">
        <w:rPr>
          <w:i/>
          <w:iCs/>
        </w:rPr>
        <w:t>and</w:t>
      </w:r>
      <w:r w:rsidRPr="00883A01" w:rsidR="00B01017">
        <w:t xml:space="preserve"> when the court entered the judgment contained in the March Order.</w:t>
      </w:r>
      <w:r w:rsidRPr="00883A01" w:rsidR="004543E7">
        <w:t xml:space="preserve">  If the litigation was pending, then </w:t>
      </w:r>
      <w:r w:rsidRPr="00883A01" w:rsidR="007A27E0">
        <w:t xml:space="preserve">the </w:t>
      </w:r>
      <w:r w:rsidRPr="00883A01" w:rsidR="008A7C89">
        <w:t xml:space="preserve">first sentence’s </w:t>
      </w:r>
      <w:r w:rsidRPr="00883A01" w:rsidR="007A27E0">
        <w:t xml:space="preserve">plain language </w:t>
      </w:r>
      <w:r w:rsidRPr="00883A01" w:rsidR="004543E7">
        <w:t xml:space="preserve">empowered </w:t>
      </w:r>
      <w:r w:rsidRPr="00883A01" w:rsidR="007A27E0">
        <w:t xml:space="preserve">the court </w:t>
      </w:r>
      <w:r w:rsidRPr="00883A01" w:rsidR="004543E7">
        <w:t>to enter judgment pursuant to an otherwise enforceable</w:t>
      </w:r>
      <w:r w:rsidR="004543E7">
        <w:t xml:space="preserve"> oral settlement agreement.  (§ 664.6, subd. (a).)  </w:t>
      </w:r>
    </w:p>
    <w:p w:rsidR="00C726E7" w:rsidRPr="00883A01" w:rsidP="00BB6A8C" w14:paraId="30E2130C" w14:textId="1126B835">
      <w:pPr>
        <w:ind w:firstLine="720"/>
      </w:pPr>
      <w:r>
        <w:t xml:space="preserve">The second sentence of section 664.6, subdivision (a) states:  “If requested by the parties, the court may retain jurisdiction over the parties to enforce the settlement until performance in full of the terms of the settlement.”  Accordingly, the legal question before us also can be phrased as </w:t>
      </w:r>
      <w:r w:rsidRPr="00883A01">
        <w:t>whether the second sentence of section 664.6, subdivision (a) required the parties</w:t>
      </w:r>
      <w:r>
        <w:t xml:space="preserve"> to specifically </w:t>
      </w:r>
      <w:r w:rsidR="0084312A">
        <w:t xml:space="preserve">agree to </w:t>
      </w:r>
      <w:r>
        <w:t xml:space="preserve">the trial court retaining </w:t>
      </w:r>
      <w:r w:rsidRPr="00883A01">
        <w:t xml:space="preserve">jurisdiction </w:t>
      </w:r>
      <w:r w:rsidRPr="00883A01" w:rsidR="003D5601">
        <w:t xml:space="preserve">before </w:t>
      </w:r>
      <w:r w:rsidRPr="00883A01">
        <w:t xml:space="preserve">that court </w:t>
      </w:r>
      <w:r w:rsidRPr="00883A01" w:rsidR="003D5601">
        <w:t xml:space="preserve">would have </w:t>
      </w:r>
      <w:r w:rsidRPr="00883A01">
        <w:t>the authority</w:t>
      </w:r>
      <w:r w:rsidRPr="00883A01" w:rsidR="00607A64">
        <w:t xml:space="preserve"> </w:t>
      </w:r>
      <w:r w:rsidRPr="00883A01">
        <w:t xml:space="preserve">to place the parties’ oral settlement on the record </w:t>
      </w:r>
      <w:r w:rsidRPr="00883A01" w:rsidR="0084312A">
        <w:t xml:space="preserve">at the November Hearing </w:t>
      </w:r>
      <w:r w:rsidRPr="00883A01">
        <w:t>and to enforce the settlement agreement</w:t>
      </w:r>
      <w:r w:rsidRPr="00883A01" w:rsidR="0084312A">
        <w:t xml:space="preserve"> </w:t>
      </w:r>
      <w:r w:rsidRPr="00883A01" w:rsidR="003D5601">
        <w:t xml:space="preserve">in </w:t>
      </w:r>
      <w:r w:rsidRPr="00883A01" w:rsidR="0084312A">
        <w:t>March</w:t>
      </w:r>
      <w:r w:rsidRPr="00883A01" w:rsidR="003D5601">
        <w:t xml:space="preserve"> 2023.</w:t>
      </w:r>
    </w:p>
    <w:p w:rsidR="004A7076" w:rsidRPr="00883A01" w:rsidP="00BB6A8C" w14:paraId="78B72FB8" w14:textId="09F3D234">
      <w:pPr>
        <w:ind w:firstLine="720"/>
      </w:pPr>
      <w:r w:rsidRPr="00883A01">
        <w:t>Th</w:t>
      </w:r>
      <w:r w:rsidRPr="00883A01" w:rsidR="00C726E7">
        <w:t xml:space="preserve">e second </w:t>
      </w:r>
      <w:r w:rsidRPr="00883A01">
        <w:t xml:space="preserve">sentence </w:t>
      </w:r>
      <w:r w:rsidRPr="00883A01" w:rsidR="0084312A">
        <w:t xml:space="preserve">does not state </w:t>
      </w:r>
      <w:r w:rsidRPr="00883A01" w:rsidR="003D5601">
        <w:t xml:space="preserve">when </w:t>
      </w:r>
      <w:r w:rsidRPr="00883A01" w:rsidR="0084312A">
        <w:t xml:space="preserve">it applies and </w:t>
      </w:r>
      <w:r w:rsidRPr="00883A01" w:rsidR="003D5601">
        <w:t xml:space="preserve">when </w:t>
      </w:r>
      <w:r w:rsidRPr="00883A01" w:rsidR="0084312A">
        <w:t xml:space="preserve">it does not apply.  Consequently, we consider the Legislature’s reasons for adding that sentence to the </w:t>
      </w:r>
      <w:r w:rsidRPr="00883A01">
        <w:t xml:space="preserve">statute in 1993.  (See Stats. 1993, ch. 768, § 1, p. 4260; </w:t>
      </w:r>
      <w:r w:rsidRPr="00883A01" w:rsidR="0084312A">
        <w:t xml:space="preserve">see </w:t>
      </w:r>
      <w:r w:rsidRPr="00883A01" w:rsidR="0084312A">
        <w:rPr>
          <w:i/>
          <w:iCs/>
        </w:rPr>
        <w:t>Nolan v. City of Anaheim</w:t>
      </w:r>
      <w:r w:rsidRPr="00883A01" w:rsidR="0084312A">
        <w:t xml:space="preserve"> (2004) 33 Cal.4th 335, 340 [when interpreting an ambiguous statute, a court may consider “the ostensible objects to be achieved, the evils to be remedied, [and] the legislative history”</w:t>
      </w:r>
      <w:r w:rsidRPr="00883A01" w:rsidR="00A31F0A">
        <w:t>].</w:t>
      </w:r>
      <w:r w:rsidRPr="00883A01" w:rsidR="0084312A">
        <w:t>)</w:t>
      </w:r>
      <w:r w:rsidRPr="00883A01" w:rsidR="00A31F0A">
        <w:t xml:space="preserve">  In </w:t>
      </w:r>
      <w:r w:rsidRPr="00883A01">
        <w:rPr>
          <w:i/>
          <w:iCs/>
        </w:rPr>
        <w:t>Wackeen v. Malis</w:t>
      </w:r>
      <w:r w:rsidRPr="00883A01">
        <w:t xml:space="preserve"> (2002) 97 Cal.App.4th 429 (</w:t>
      </w:r>
      <w:r w:rsidRPr="00883A01">
        <w:rPr>
          <w:i/>
          <w:iCs/>
        </w:rPr>
        <w:t>Wackeen</w:t>
      </w:r>
      <w:r w:rsidRPr="00883A01">
        <w:t>)</w:t>
      </w:r>
      <w:r w:rsidRPr="00883A01" w:rsidR="007935AE">
        <w:t xml:space="preserve">, </w:t>
      </w:r>
      <w:r w:rsidRPr="00883A01">
        <w:t>the court explained th</w:t>
      </w:r>
      <w:r w:rsidRPr="00883A01" w:rsidR="00A31F0A">
        <w:t>e</w:t>
      </w:r>
      <w:r w:rsidRPr="00883A01" w:rsidR="007935AE">
        <w:t xml:space="preserve"> sentence was the Legislature’s solution to </w:t>
      </w:r>
      <w:r w:rsidRPr="00883A01" w:rsidR="00B01017">
        <w:t>a</w:t>
      </w:r>
      <w:r w:rsidRPr="00883A01" w:rsidR="007935AE">
        <w:t xml:space="preserve"> problem </w:t>
      </w:r>
      <w:r w:rsidRPr="00883A01">
        <w:t xml:space="preserve">arising </w:t>
      </w:r>
      <w:r w:rsidRPr="00883A01" w:rsidR="007935AE">
        <w:t xml:space="preserve">in </w:t>
      </w:r>
      <w:r w:rsidRPr="00883A01">
        <w:t xml:space="preserve">situations </w:t>
      </w:r>
      <w:r w:rsidRPr="00883A01" w:rsidR="007935AE">
        <w:t xml:space="preserve">where the trial court lost jurisdiction </w:t>
      </w:r>
      <w:r w:rsidRPr="00883A01" w:rsidR="00C726E7">
        <w:t xml:space="preserve">over </w:t>
      </w:r>
      <w:r w:rsidRPr="00883A01">
        <w:t>a case</w:t>
      </w:r>
      <w:r w:rsidRPr="00883A01" w:rsidR="006F376D">
        <w:t xml:space="preserve"> before all the terms of a settlement agreement were performed.  (</w:t>
      </w:r>
      <w:r w:rsidRPr="00883A01" w:rsidR="006F376D">
        <w:rPr>
          <w:i/>
          <w:iCs/>
        </w:rPr>
        <w:t>Wackeen</w:t>
      </w:r>
      <w:r w:rsidRPr="00883A01" w:rsidR="006F376D">
        <w:t xml:space="preserve">, </w:t>
      </w:r>
      <w:r w:rsidRPr="00883A01" w:rsidR="006F376D">
        <w:rPr>
          <w:i/>
          <w:iCs/>
        </w:rPr>
        <w:t>supra</w:t>
      </w:r>
      <w:r w:rsidRPr="00883A01" w:rsidR="006F376D">
        <w:t xml:space="preserve">, at p. 439.)  </w:t>
      </w:r>
      <w:r w:rsidRPr="00883A01" w:rsidR="00A31F0A">
        <w:t xml:space="preserve">Under the earlier version of section 664.6, when the action was dismissed pursuant to a settlement, the court lost its </w:t>
      </w:r>
      <w:r w:rsidRPr="00883A01" w:rsidR="006F376D">
        <w:t xml:space="preserve">jurisdiction and thus </w:t>
      </w:r>
      <w:r w:rsidRPr="00883A01" w:rsidR="00A31F0A">
        <w:t xml:space="preserve">its </w:t>
      </w:r>
      <w:r w:rsidRPr="00883A01" w:rsidR="006F376D">
        <w:t xml:space="preserve">ability to enforce a settlement agreement </w:t>
      </w:r>
      <w:r w:rsidRPr="00883A01" w:rsidR="004543E7">
        <w:t xml:space="preserve">pursuant to </w:t>
      </w:r>
      <w:r w:rsidRPr="00883A01" w:rsidR="00A31F0A">
        <w:t xml:space="preserve">a section 664.6 </w:t>
      </w:r>
      <w:r w:rsidRPr="00883A01" w:rsidR="004543E7">
        <w:t>motion</w:t>
      </w:r>
      <w:r w:rsidRPr="00883A01" w:rsidR="006F376D">
        <w:t>.  (</w:t>
      </w:r>
      <w:r w:rsidRPr="00883A01" w:rsidR="00905A06">
        <w:rPr>
          <w:i/>
          <w:iCs/>
        </w:rPr>
        <w:t>Wackeen</w:t>
      </w:r>
      <w:r w:rsidRPr="00883A01" w:rsidR="00905A06">
        <w:t xml:space="preserve">, </w:t>
      </w:r>
      <w:r w:rsidRPr="00883A01" w:rsidR="00905A06">
        <w:rPr>
          <w:i/>
          <w:iCs/>
        </w:rPr>
        <w:t>supra</w:t>
      </w:r>
      <w:r w:rsidRPr="00883A01" w:rsidR="00905A06">
        <w:t>, at p. 439.</w:t>
      </w:r>
      <w:r w:rsidRPr="00883A01" w:rsidR="006F376D">
        <w:t xml:space="preserve">)  </w:t>
      </w:r>
      <w:r w:rsidRPr="00883A01" w:rsidR="003C1980">
        <w:t xml:space="preserve">Based on the </w:t>
      </w:r>
      <w:r w:rsidRPr="00883A01" w:rsidR="00D731DD">
        <w:t>explanation</w:t>
      </w:r>
      <w:r w:rsidRPr="00883A01" w:rsidR="003C1980">
        <w:t xml:space="preserve"> in </w:t>
      </w:r>
      <w:r w:rsidRPr="00883A01" w:rsidR="003C1980">
        <w:rPr>
          <w:i/>
          <w:iCs/>
        </w:rPr>
        <w:t>Wackeen</w:t>
      </w:r>
      <w:r w:rsidRPr="00883A01" w:rsidR="003C1980">
        <w:t xml:space="preserve"> and </w:t>
      </w:r>
      <w:r w:rsidRPr="00883A01" w:rsidR="006F376D">
        <w:t>general principles defining a court’s jurisdiction</w:t>
      </w:r>
      <w:r w:rsidRPr="00883A01" w:rsidR="004543E7">
        <w:t>,</w:t>
      </w:r>
      <w:r w:rsidRPr="00883A01" w:rsidR="006F376D">
        <w:t xml:space="preserve"> </w:t>
      </w:r>
      <w:r w:rsidRPr="00883A01" w:rsidR="003C1980">
        <w:t xml:space="preserve">we infer </w:t>
      </w:r>
      <w:r w:rsidRPr="00883A01" w:rsidR="00D731DD">
        <w:t xml:space="preserve">that </w:t>
      </w:r>
      <w:r w:rsidRPr="00883A01" w:rsidR="00C726E7">
        <w:t xml:space="preserve">the </w:t>
      </w:r>
      <w:r w:rsidRPr="00883A01">
        <w:t xml:space="preserve">request to </w:t>
      </w:r>
      <w:r w:rsidRPr="00883A01" w:rsidR="00D731DD">
        <w:t>retain jurisdiction</w:t>
      </w:r>
      <w:r w:rsidRPr="00883A01">
        <w:t xml:space="preserve"> </w:t>
      </w:r>
      <w:r w:rsidRPr="00883A01" w:rsidR="003D5601">
        <w:t xml:space="preserve">mentioned </w:t>
      </w:r>
      <w:r w:rsidRPr="00883A01" w:rsidR="00C726E7">
        <w:t xml:space="preserve">in the second sentence of section 664.6, subdivision (a) </w:t>
      </w:r>
      <w:r w:rsidRPr="00883A01">
        <w:t xml:space="preserve">is </w:t>
      </w:r>
      <w:r w:rsidRPr="00883A01" w:rsidR="008A7C89">
        <w:t xml:space="preserve">necessary </w:t>
      </w:r>
      <w:r w:rsidRPr="00883A01">
        <w:t xml:space="preserve">only </w:t>
      </w:r>
      <w:r w:rsidRPr="00883A01" w:rsidR="008A7C89">
        <w:t xml:space="preserve">when the </w:t>
      </w:r>
      <w:r w:rsidRPr="00883A01" w:rsidR="00C726E7">
        <w:t xml:space="preserve">motion </w:t>
      </w:r>
      <w:r w:rsidRPr="00883A01" w:rsidR="008A7C89">
        <w:t xml:space="preserve">to enforce the settlement is </w:t>
      </w:r>
      <w:r w:rsidRPr="00883A01" w:rsidR="00C726E7">
        <w:t xml:space="preserve">filed </w:t>
      </w:r>
      <w:r w:rsidRPr="00883A01" w:rsidR="008A7C89">
        <w:rPr>
          <w:i/>
          <w:iCs/>
        </w:rPr>
        <w:t>after</w:t>
      </w:r>
      <w:r w:rsidRPr="00883A01" w:rsidR="008A7C89">
        <w:t xml:space="preserve"> the trial </w:t>
      </w:r>
      <w:r w:rsidRPr="00883A01">
        <w:t xml:space="preserve">court </w:t>
      </w:r>
      <w:r w:rsidRPr="00883A01" w:rsidR="008A7C89">
        <w:t xml:space="preserve">has </w:t>
      </w:r>
      <w:r w:rsidRPr="00883A01">
        <w:t>los</w:t>
      </w:r>
      <w:r w:rsidRPr="00883A01" w:rsidR="008A7C89">
        <w:t>t</w:t>
      </w:r>
      <w:r w:rsidRPr="00883A01">
        <w:t xml:space="preserve"> jurisdiction</w:t>
      </w:r>
      <w:r w:rsidRPr="00883A01" w:rsidR="004543E7">
        <w:t xml:space="preserve">.  </w:t>
      </w:r>
      <w:r w:rsidRPr="00883A01" w:rsidR="003C1980">
        <w:t>We will not interpret the statute to require</w:t>
      </w:r>
      <w:r w:rsidRPr="00883A01" w:rsidR="006C63F1">
        <w:t xml:space="preserve"> an express</w:t>
      </w:r>
      <w:r w:rsidRPr="00883A01" w:rsidR="004543E7">
        <w:t xml:space="preserve"> retention of jurisdiction </w:t>
      </w:r>
      <w:r w:rsidRPr="00883A01" w:rsidR="003C1980">
        <w:t xml:space="preserve">in situations where </w:t>
      </w:r>
      <w:r w:rsidRPr="00883A01" w:rsidR="006F376D">
        <w:t>the court’s jurisdiction has yet to be terminated</w:t>
      </w:r>
      <w:r w:rsidRPr="00883A01" w:rsidR="003C1980">
        <w:t xml:space="preserve"> because such a requirement would be redundant</w:t>
      </w:r>
      <w:r w:rsidRPr="00883A01">
        <w:t>.</w:t>
      </w:r>
      <w:r w:rsidRPr="00883A01" w:rsidR="004543E7">
        <w:t xml:space="preserve">  </w:t>
      </w:r>
      <w:r w:rsidRPr="00883A01" w:rsidR="003C1980">
        <w:t>(See</w:t>
      </w:r>
      <w:r w:rsidRPr="00883A01" w:rsidR="00C726E7">
        <w:t xml:space="preserve"> </w:t>
      </w:r>
      <w:r w:rsidRPr="00883A01" w:rsidR="00C726E7">
        <w:rPr>
          <w:i/>
          <w:iCs/>
        </w:rPr>
        <w:t>Kleffman v. Vonage Holdings Corp.</w:t>
      </w:r>
      <w:r w:rsidRPr="00883A01" w:rsidR="00C726E7">
        <w:t xml:space="preserve"> (2010) 49 Cal.4th 334, 345 [courts avoid statutory interpretations that render provisions unnecessary or redundant]; </w:t>
      </w:r>
      <w:r w:rsidRPr="00883A01" w:rsidR="003C1980">
        <w:rPr>
          <w:i/>
          <w:iCs/>
        </w:rPr>
        <w:t>V</w:t>
      </w:r>
      <w:r w:rsidRPr="00883A01" w:rsidR="00437648">
        <w:rPr>
          <w:i/>
          <w:iCs/>
        </w:rPr>
        <w:t> </w:t>
      </w:r>
      <w:r w:rsidRPr="00883A01" w:rsidR="003C1980">
        <w:rPr>
          <w:i/>
          <w:iCs/>
        </w:rPr>
        <w:t xml:space="preserve">Lions Farming, LLC v. County of Kern </w:t>
      </w:r>
      <w:r w:rsidRPr="00883A01" w:rsidR="003C1980">
        <w:t xml:space="preserve">(2024) 100 Cal.App.5th 412, 433 [interpretations creating a redundancy are disfavored].)  </w:t>
      </w:r>
    </w:p>
    <w:p w:rsidR="003C2B70" w:rsidP="00BB6A8C" w14:paraId="462DAED1" w14:textId="551EB162">
      <w:pPr>
        <w:ind w:firstLine="720"/>
      </w:pPr>
      <w:r w:rsidRPr="00883A01">
        <w:t xml:space="preserve">Applying </w:t>
      </w:r>
      <w:r w:rsidRPr="00883A01" w:rsidR="00730935">
        <w:t xml:space="preserve">our interpretation of </w:t>
      </w:r>
      <w:r w:rsidRPr="00883A01">
        <w:t>section</w:t>
      </w:r>
      <w:r>
        <w:t xml:space="preserve"> 664.6, subdivision (a) to the facts, w</w:t>
      </w:r>
      <w:r w:rsidR="002B3623">
        <w:t>e conclude</w:t>
      </w:r>
      <w:r w:rsidR="003C41B1">
        <w:t xml:space="preserve"> </w:t>
      </w:r>
      <w:r w:rsidR="008C20C6">
        <w:t xml:space="preserve">Case VCU285656 was “pending litigation” at the time of both the November Hearing and the entry of </w:t>
      </w:r>
      <w:r w:rsidR="00EA3B5C">
        <w:t xml:space="preserve">the </w:t>
      </w:r>
      <w:r w:rsidR="008C20C6">
        <w:t xml:space="preserve">March Order.  </w:t>
      </w:r>
      <w:r w:rsidR="00B06037">
        <w:t xml:space="preserve">Case VCU285656 remained pending </w:t>
      </w:r>
      <w:r w:rsidR="004A7076">
        <w:t>because the City</w:t>
      </w:r>
      <w:r>
        <w:t>’s</w:t>
      </w:r>
      <w:r w:rsidR="004A7076">
        <w:t xml:space="preserve"> cross-complaint had not been dismissed.  </w:t>
      </w:r>
      <w:r w:rsidR="00D97498">
        <w:t xml:space="preserve">As a result, </w:t>
      </w:r>
      <w:r w:rsidR="008C20C6">
        <w:t xml:space="preserve">the </w:t>
      </w:r>
      <w:r w:rsidR="00FF4D28">
        <w:t xml:space="preserve">trial </w:t>
      </w:r>
      <w:r w:rsidR="008C20C6">
        <w:t>court</w:t>
      </w:r>
      <w:r w:rsidR="00FF4D28">
        <w:t xml:space="preserve"> correctly determined its </w:t>
      </w:r>
      <w:r w:rsidR="008C20C6">
        <w:t>jurisdiction over the subject matter of that case and the parties had not been extinguished</w:t>
      </w:r>
      <w:r>
        <w:t xml:space="preserve"> and </w:t>
      </w:r>
      <w:r w:rsidR="008C20C6">
        <w:t xml:space="preserve">there was no need to expressly retain </w:t>
      </w:r>
      <w:r w:rsidRPr="00883A01" w:rsidR="008C20C6">
        <w:t xml:space="preserve">jurisdiction.  </w:t>
      </w:r>
      <w:r w:rsidRPr="00883A01" w:rsidR="00A31F0A">
        <w:t xml:space="preserve">In </w:t>
      </w:r>
      <w:r w:rsidRPr="00883A01" w:rsidR="003D5601">
        <w:t>sum</w:t>
      </w:r>
      <w:r w:rsidRPr="00883A01" w:rsidR="00D97498">
        <w:t xml:space="preserve">, </w:t>
      </w:r>
      <w:r w:rsidRPr="00883A01" w:rsidR="008C20C6">
        <w:t xml:space="preserve">the first sentence of section 664.6, subdivision (a) </w:t>
      </w:r>
      <w:r w:rsidRPr="00883A01" w:rsidR="00C34A2A">
        <w:t xml:space="preserve">authorized the </w:t>
      </w:r>
      <w:r w:rsidRPr="00883A01" w:rsidR="008C20C6">
        <w:t xml:space="preserve">court </w:t>
      </w:r>
      <w:r w:rsidRPr="00883A01" w:rsidR="00C34A2A">
        <w:t xml:space="preserve">to enter the judgment contained in the March Order and the second sentence did not apply </w:t>
      </w:r>
      <w:r w:rsidRPr="00883A01" w:rsidR="00A31F0A">
        <w:t xml:space="preserve">under </w:t>
      </w:r>
      <w:r w:rsidRPr="00883A01" w:rsidR="00C34A2A">
        <w:t>the</w:t>
      </w:r>
      <w:r w:rsidR="00C34A2A">
        <w:t xml:space="preserve"> circumstances.</w:t>
      </w:r>
    </w:p>
    <w:p w:rsidR="003C2B70" w:rsidRPr="004A7076" w:rsidP="004A7076" w14:paraId="306F50E8" w14:textId="11A6A5D1">
      <w:pPr>
        <w:pStyle w:val="Heading2"/>
        <w:rPr>
          <w:b w:val="0"/>
          <w:i/>
        </w:rPr>
      </w:pPr>
      <w:r w:rsidRPr="001E6A52">
        <w:tab/>
      </w:r>
      <w:bookmarkStart w:id="10" w:name="_Toc165298035"/>
      <w:r w:rsidR="00B06037">
        <w:rPr>
          <w:b w:val="0"/>
          <w:i/>
        </w:rPr>
        <w:t>2</w:t>
      </w:r>
      <w:r w:rsidRPr="001E6A52">
        <w:rPr>
          <w:b w:val="0"/>
          <w:i/>
        </w:rPr>
        <w:t>.</w:t>
      </w:r>
      <w:r w:rsidRPr="001E6A52">
        <w:rPr>
          <w:b w:val="0"/>
          <w:i/>
        </w:rPr>
        <w:tab/>
      </w:r>
      <w:r>
        <w:rPr>
          <w:b w:val="0"/>
          <w:i/>
        </w:rPr>
        <w:t>Eagle’s Dismissal</w:t>
      </w:r>
      <w:bookmarkEnd w:id="10"/>
    </w:p>
    <w:p w:rsidR="003151A3" w:rsidP="004A7076" w14:paraId="4FCDC68A" w14:textId="1AD02E2F">
      <w:pPr>
        <w:ind w:firstLine="720"/>
      </w:pPr>
      <w:r>
        <w:t xml:space="preserve">Next, we </w:t>
      </w:r>
      <w:r w:rsidRPr="00883A01">
        <w:t xml:space="preserve">explain </w:t>
      </w:r>
      <w:r w:rsidRPr="00883A01" w:rsidR="00A31F0A">
        <w:t xml:space="preserve">in more detail </w:t>
      </w:r>
      <w:r w:rsidRPr="00883A01">
        <w:t xml:space="preserve">why our legal conclusion that Case VCU285656 was “pending litigation” for purposes of section 664.6, subdivision (a) withstands Eagle’s jurisdictional arguments </w:t>
      </w:r>
      <w:r w:rsidRPr="00883A01" w:rsidR="00A31F0A">
        <w:t xml:space="preserve">that are </w:t>
      </w:r>
      <w:r w:rsidRPr="00883A01" w:rsidR="003C2B70">
        <w:t>based on its voluntary dismissal without prejudice during the lunch recess</w:t>
      </w:r>
      <w:r w:rsidRPr="00883A01" w:rsidR="004A7076">
        <w:t xml:space="preserve"> at the November</w:t>
      </w:r>
      <w:r w:rsidR="004A7076">
        <w:t xml:space="preserve"> Hearing.  We acknowledge that </w:t>
      </w:r>
      <w:r w:rsidR="00D97498">
        <w:t xml:space="preserve">the dismissal terminated </w:t>
      </w:r>
      <w:r w:rsidR="004A7076">
        <w:t xml:space="preserve">the </w:t>
      </w:r>
      <w:r w:rsidR="003C2B70">
        <w:t xml:space="preserve">litigation on Eagle’s complaint.  (See </w:t>
      </w:r>
      <w:r w:rsidR="003C2B70">
        <w:rPr>
          <w:i/>
          <w:iCs/>
        </w:rPr>
        <w:t>S.</w:t>
      </w:r>
      <w:r w:rsidR="00235E29">
        <w:rPr>
          <w:i/>
          <w:iCs/>
        </w:rPr>
        <w:t> </w:t>
      </w:r>
      <w:r w:rsidR="003C2B70">
        <w:rPr>
          <w:i/>
          <w:iCs/>
        </w:rPr>
        <w:t>B. Beach Properties v. Berti</w:t>
      </w:r>
      <w:r w:rsidR="003C2B70">
        <w:t xml:space="preserve"> (2006) 39 Cal.4th 374, 380; cf. </w:t>
      </w:r>
      <w:r w:rsidR="003C2B70">
        <w:rPr>
          <w:i/>
          <w:iCs/>
        </w:rPr>
        <w:t>Sanabria v. Embrey</w:t>
      </w:r>
      <w:r w:rsidR="003C2B70">
        <w:t xml:space="preserve"> (2001) 92 Cal.App.4th 422, 425</w:t>
      </w:r>
      <w:r w:rsidR="0094209A">
        <w:t xml:space="preserve"> (</w:t>
      </w:r>
      <w:r w:rsidR="0094209A">
        <w:rPr>
          <w:i/>
          <w:iCs/>
        </w:rPr>
        <w:t>Sanabria</w:t>
      </w:r>
      <w:r w:rsidR="0094209A">
        <w:t>)</w:t>
      </w:r>
      <w:r w:rsidR="003C2B70">
        <w:t xml:space="preserve">.)  </w:t>
      </w:r>
      <w:r w:rsidR="004A7076">
        <w:t>However, t</w:t>
      </w:r>
      <w:r w:rsidR="003C2B70">
        <w:t xml:space="preserve">o the extent Eagle suggests that the voluntary dismissal of the complaint deprived the trial court of jurisdiction over </w:t>
      </w:r>
      <w:r w:rsidR="004A7076">
        <w:t xml:space="preserve">Case VCU285656 in its </w:t>
      </w:r>
      <w:r w:rsidR="003C2B70">
        <w:t>entire</w:t>
      </w:r>
      <w:r w:rsidR="004A7076">
        <w:t xml:space="preserve">ty, </w:t>
      </w:r>
      <w:r>
        <w:t xml:space="preserve">we disagree.  </w:t>
      </w:r>
    </w:p>
    <w:p w:rsidR="003C2B70" w:rsidP="004A7076" w14:paraId="2FECF294" w14:textId="6118F888">
      <w:pPr>
        <w:ind w:firstLine="720"/>
      </w:pPr>
      <w:r>
        <w:t xml:space="preserve">“No dismissal of </w:t>
      </w:r>
      <w:r w:rsidRPr="00723072">
        <w:rPr>
          <w:i/>
          <w:iCs/>
        </w:rPr>
        <w:t>an action</w:t>
      </w:r>
      <w:r>
        <w:t xml:space="preserve"> may be made or entered </w:t>
      </w:r>
      <w:r w:rsidR="00235E29">
        <w:t>. . .</w:t>
      </w:r>
      <w:r>
        <w:t xml:space="preserve"> where affirmative relief has been sought by the cross-complaint of a defendant </w:t>
      </w:r>
      <w:r w:rsidR="00235E29">
        <w:t>. . . </w:t>
      </w:r>
      <w:r>
        <w:t>.”  (§ 581, subd. (i)</w:t>
      </w:r>
      <w:r w:rsidR="00723072">
        <w:t>, italics added</w:t>
      </w:r>
      <w:r>
        <w:t xml:space="preserve">.)  </w:t>
      </w:r>
      <w:r w:rsidR="004A7076">
        <w:t xml:space="preserve">As applied to the facts of this appeal, the </w:t>
      </w:r>
      <w:r w:rsidR="00723072">
        <w:t xml:space="preserve">statutory </w:t>
      </w:r>
      <w:r w:rsidR="004A7076">
        <w:t>term “an action” means Case VCU285656 in its entirety.  T</w:t>
      </w:r>
      <w:r>
        <w:t>he dismissal of the complaint “does not affect the independent existence of the cross-complaint” (</w:t>
      </w:r>
      <w:r w:rsidRPr="001B5D7C">
        <w:rPr>
          <w:i/>
          <w:iCs/>
        </w:rPr>
        <w:t>Bertero v. National General Corp.</w:t>
      </w:r>
      <w:r>
        <w:t xml:space="preserve"> (1974) 13 Cal.3d 43, 52), and “the cross-complaint may stand on its own” (</w:t>
      </w:r>
      <w:r w:rsidRPr="00361F1A">
        <w:rPr>
          <w:i/>
          <w:iCs/>
        </w:rPr>
        <w:t>Electronic Equipment Express, Inc. v. Donald H. Seiler &amp; Co.</w:t>
      </w:r>
      <w:r>
        <w:t xml:space="preserve"> (1981) 122 Cal.App.3d 834, 846)</w:t>
      </w:r>
      <w:r w:rsidR="00BB7511">
        <w:t>.</w:t>
      </w:r>
      <w:r>
        <w:t xml:space="preserve">  </w:t>
      </w:r>
    </w:p>
    <w:p w:rsidR="006C63F1" w:rsidRPr="00883A01" w:rsidP="001D4F09" w14:paraId="41427814" w14:textId="3A7CCEDE">
      <w:pPr>
        <w:ind w:firstLine="720"/>
      </w:pPr>
      <w:r w:rsidRPr="00883A01">
        <w:t>We conclude t</w:t>
      </w:r>
      <w:r w:rsidRPr="00883A01" w:rsidR="003C2B70">
        <w:t>he independent</w:t>
      </w:r>
      <w:r w:rsidR="003C2B70">
        <w:t xml:space="preserve"> nature of the cross-complaint meant the court continued to maintain jurisdiction over the action and over Eagle.  (See </w:t>
      </w:r>
      <w:r w:rsidR="003C2B70">
        <w:rPr>
          <w:i/>
          <w:iCs/>
        </w:rPr>
        <w:t>Sanabria</w:t>
      </w:r>
      <w:r w:rsidR="003C2B70">
        <w:t xml:space="preserve">, </w:t>
      </w:r>
      <w:r w:rsidR="003C2B70">
        <w:rPr>
          <w:i/>
          <w:iCs/>
        </w:rPr>
        <w:t>supra</w:t>
      </w:r>
      <w:r w:rsidR="003C2B70">
        <w:t>, 92 Cal.App.4th at p. 425</w:t>
      </w:r>
      <w:r w:rsidRPr="00883A01" w:rsidR="003C2B70">
        <w:t>.)</w:t>
      </w:r>
      <w:r w:rsidRPr="00883A01" w:rsidR="004B7A40">
        <w:t xml:space="preserve">  Stated in terms</w:t>
      </w:r>
      <w:r w:rsidRPr="00883A01" w:rsidR="003151A3">
        <w:t xml:space="preserve"> of subject matter and personal jurisdiction, </w:t>
      </w:r>
      <w:r w:rsidRPr="00883A01">
        <w:t>the pending cross-complaint</w:t>
      </w:r>
      <w:r w:rsidRPr="00883A01" w:rsidR="003D5601">
        <w:t xml:space="preserve"> gave </w:t>
      </w:r>
      <w:r w:rsidRPr="00883A01" w:rsidR="004B7A40">
        <w:t>the court</w:t>
      </w:r>
      <w:r w:rsidRPr="00883A01">
        <w:t xml:space="preserve"> </w:t>
      </w:r>
      <w:r w:rsidRPr="00883A01" w:rsidR="00417203">
        <w:t xml:space="preserve">subject matter jurisdiction over the </w:t>
      </w:r>
      <w:r w:rsidRPr="00883A01" w:rsidR="001D4F09">
        <w:t xml:space="preserve">disputes arising from the </w:t>
      </w:r>
      <w:r w:rsidRPr="00883A01" w:rsidR="00417203">
        <w:t xml:space="preserve">roofing </w:t>
      </w:r>
      <w:r w:rsidRPr="00883A01" w:rsidR="001D4F09">
        <w:t xml:space="preserve">project </w:t>
      </w:r>
      <w:r w:rsidRPr="00883A01" w:rsidR="004B7A40">
        <w:t xml:space="preserve">and </w:t>
      </w:r>
      <w:r w:rsidRPr="00883A01" w:rsidR="003D5601">
        <w:t xml:space="preserve">Eagle’s appearance as a </w:t>
      </w:r>
      <w:r w:rsidRPr="00883A01" w:rsidR="003151A3">
        <w:t xml:space="preserve">cross-defendant </w:t>
      </w:r>
      <w:r w:rsidRPr="00883A01" w:rsidR="003D5601">
        <w:t>gave the court personal jurisdiction over it</w:t>
      </w:r>
      <w:r w:rsidRPr="00883A01" w:rsidR="001D4F09">
        <w:t>.</w:t>
      </w:r>
      <w:r w:rsidRPr="00883A01" w:rsidR="003D5601">
        <w:t xml:space="preserve">  </w:t>
      </w:r>
      <w:r w:rsidRPr="00883A01" w:rsidR="004B7A40">
        <w:t>Consequently, t</w:t>
      </w:r>
      <w:r w:rsidRPr="00883A01" w:rsidR="00181713">
        <w:t>he present circumstances are distinguishable from cases where a</w:t>
      </w:r>
      <w:r w:rsidR="00181713">
        <w:t xml:space="preserve"> plaintiff’s voluntary dismissal disposed of all pending claims and thus ended the trial court</w:t>
      </w:r>
      <w:r w:rsidR="00295D67">
        <w:t>’</w:t>
      </w:r>
      <w:r w:rsidR="00181713">
        <w:t xml:space="preserve">s </w:t>
      </w:r>
      <w:r w:rsidR="00295D67">
        <w:t>“</w:t>
      </w:r>
      <w:r w:rsidR="00181713">
        <w:t xml:space="preserve">jurisdiction to enter further orders </w:t>
      </w:r>
      <w:r w:rsidR="00295D67">
        <w:t>in the dismissed action.”  (</w:t>
      </w:r>
      <w:r w:rsidR="00295D67">
        <w:rPr>
          <w:i/>
          <w:iCs/>
        </w:rPr>
        <w:t>Wells v. Marina City Properties, Inc.</w:t>
      </w:r>
      <w:r w:rsidR="00295D67">
        <w:t xml:space="preserve"> (1981) 29 Cal.</w:t>
      </w:r>
      <w:r w:rsidRPr="00E023C1" w:rsidR="00295D67">
        <w:t xml:space="preserve">3d </w:t>
      </w:r>
      <w:r w:rsidRPr="00883A01" w:rsidR="00295D67">
        <w:t>781, 784;</w:t>
      </w:r>
      <w:r w:rsidRPr="00883A01" w:rsidR="00E023C1">
        <w:t xml:space="preserve"> see</w:t>
      </w:r>
      <w:r w:rsidRPr="00883A01" w:rsidR="00295D67">
        <w:t xml:space="preserve"> </w:t>
      </w:r>
      <w:r w:rsidRPr="00883A01" w:rsidR="00295D67">
        <w:rPr>
          <w:i/>
          <w:iCs/>
        </w:rPr>
        <w:t>Paniagua v. Orange County Fire Authority</w:t>
      </w:r>
      <w:r w:rsidRPr="00883A01" w:rsidR="00295D67">
        <w:t xml:space="preserve"> (2007) 149 Cal.App.4th 83, 89.)  </w:t>
      </w:r>
      <w:r w:rsidRPr="00883A01">
        <w:t xml:space="preserve">As a result, </w:t>
      </w:r>
      <w:r w:rsidRPr="00883A01" w:rsidR="004B7A40">
        <w:t xml:space="preserve">Eagle’s arguments about the </w:t>
      </w:r>
      <w:r w:rsidRPr="00883A01" w:rsidR="00C72F1A">
        <w:t xml:space="preserve">jurisdictional </w:t>
      </w:r>
      <w:r w:rsidRPr="00883A01" w:rsidR="004B7A40">
        <w:t>effect of its voluntary dismissal without prejudice</w:t>
      </w:r>
      <w:r w:rsidRPr="00883A01">
        <w:t xml:space="preserve"> must be rejected</w:t>
      </w:r>
      <w:r w:rsidRPr="00883A01" w:rsidR="00802884">
        <w:t>.</w:t>
      </w:r>
      <w:r w:rsidRPr="00883A01">
        <w:t xml:space="preserve">  That voluntary dismissal affected </w:t>
      </w:r>
      <w:r w:rsidRPr="00883A01" w:rsidR="009D61F3">
        <w:t xml:space="preserve">Eagle’s </w:t>
      </w:r>
      <w:r w:rsidRPr="00883A01">
        <w:t xml:space="preserve">complaint only, did not resolve the City’s cross-complaint, and could not resolve the entire “action.”  (§ 581, subd. (i); see </w:t>
      </w:r>
      <w:r w:rsidRPr="00883A01">
        <w:rPr>
          <w:i/>
          <w:iCs/>
        </w:rPr>
        <w:t>Bertero v. National General Corp.</w:t>
      </w:r>
      <w:r w:rsidRPr="00883A01">
        <w:t xml:space="preserve">, </w:t>
      </w:r>
      <w:r w:rsidRPr="00883A01">
        <w:rPr>
          <w:i/>
          <w:iCs/>
        </w:rPr>
        <w:t>supra</w:t>
      </w:r>
      <w:r w:rsidRPr="00883A01">
        <w:t>, 13 Cal.3d at p. 52.)</w:t>
      </w:r>
    </w:p>
    <w:p w:rsidR="001D4F09" w:rsidP="001D4F09" w14:paraId="6A5131AB" w14:textId="63920E9E">
      <w:pPr>
        <w:ind w:firstLine="720"/>
      </w:pPr>
      <w:r w:rsidRPr="00883A01">
        <w:t xml:space="preserve">Returning to </w:t>
      </w:r>
      <w:r w:rsidRPr="00883A01" w:rsidR="009D61F3">
        <w:t xml:space="preserve">section 664.6’s </w:t>
      </w:r>
      <w:r w:rsidRPr="00883A01">
        <w:t>text</w:t>
      </w:r>
      <w:r>
        <w:t xml:space="preserve">, the trial court’s authority </w:t>
      </w:r>
      <w:r w:rsidR="00295D67">
        <w:t xml:space="preserve">(i.e., its jurisdiction) </w:t>
      </w:r>
      <w:r>
        <w:t xml:space="preserve">to enter a judgment </w:t>
      </w:r>
      <w:r w:rsidRPr="00883A01">
        <w:t xml:space="preserve">dismissing Eagle’s complaint with prejudice is plainly set forth in </w:t>
      </w:r>
      <w:r w:rsidRPr="00883A01" w:rsidR="009D61F3">
        <w:t xml:space="preserve">subdivision (a)’s </w:t>
      </w:r>
      <w:r w:rsidRPr="00883A01">
        <w:t>first sentence.</w:t>
      </w:r>
      <w:r w:rsidRPr="00883A01" w:rsidR="00802884">
        <w:t xml:space="preserve">  </w:t>
      </w:r>
      <w:r w:rsidRPr="00883A01" w:rsidR="009D61F3">
        <w:t xml:space="preserve">To complete our analysis of the jurisdictional issue, we </w:t>
      </w:r>
      <w:r w:rsidRPr="00883A01" w:rsidR="004A34DC">
        <w:t>a</w:t>
      </w:r>
      <w:r w:rsidRPr="00883A01" w:rsidR="00C72F1A">
        <w:t>ssum</w:t>
      </w:r>
      <w:r w:rsidRPr="00883A01" w:rsidR="004A34DC">
        <w:t xml:space="preserve">e </w:t>
      </w:r>
      <w:r w:rsidRPr="00883A01" w:rsidR="00C72F1A">
        <w:t xml:space="preserve">for purposes of argument that </w:t>
      </w:r>
      <w:r w:rsidRPr="00883A01" w:rsidR="009D61F3">
        <w:t xml:space="preserve">our </w:t>
      </w:r>
      <w:r w:rsidRPr="00883A01" w:rsidR="00295D67">
        <w:t xml:space="preserve">interpretation </w:t>
      </w:r>
      <w:r w:rsidRPr="00883A01" w:rsidR="009D61F3">
        <w:t xml:space="preserve">of section 664.6 </w:t>
      </w:r>
      <w:r w:rsidRPr="00883A01" w:rsidR="00295D67">
        <w:t>conflict</w:t>
      </w:r>
      <w:r w:rsidRPr="00883A01" w:rsidR="00C72F1A">
        <w:t>s</w:t>
      </w:r>
      <w:r w:rsidRPr="00883A01" w:rsidR="00295D67">
        <w:t xml:space="preserve"> with the statutes governing dismissals generally</w:t>
      </w:r>
      <w:r w:rsidRPr="00883A01" w:rsidR="009D61F3">
        <w:t xml:space="preserve">.  To the extent that such a conflict exists, we </w:t>
      </w:r>
      <w:r w:rsidRPr="00883A01" w:rsidR="00295D67">
        <w:t xml:space="preserve">conclude the </w:t>
      </w:r>
      <w:r w:rsidRPr="00883A01">
        <w:t xml:space="preserve">more specific provision </w:t>
      </w:r>
      <w:r w:rsidRPr="00883A01" w:rsidR="00295D67">
        <w:t xml:space="preserve">in section 664.6, subdivision (a) </w:t>
      </w:r>
      <w:r w:rsidRPr="00883A01" w:rsidR="003151A3">
        <w:t xml:space="preserve">defining </w:t>
      </w:r>
      <w:r w:rsidRPr="00883A01" w:rsidR="00802884">
        <w:t xml:space="preserve">the court’s authority </w:t>
      </w:r>
      <w:r w:rsidRPr="00883A01">
        <w:t xml:space="preserve">takes precedence over the general </w:t>
      </w:r>
      <w:r w:rsidRPr="00883A01" w:rsidR="00295D67">
        <w:t>statutes</w:t>
      </w:r>
      <w:r w:rsidRPr="00883A01" w:rsidR="004A34DC">
        <w:t xml:space="preserve"> governing the court’s postdismissal authority</w:t>
      </w:r>
      <w:r w:rsidRPr="00883A01" w:rsidR="00295D67">
        <w:t xml:space="preserve">.  (See </w:t>
      </w:r>
      <w:r w:rsidRPr="00883A01" w:rsidR="00295D67">
        <w:rPr>
          <w:i/>
          <w:iCs/>
        </w:rPr>
        <w:t>State Dept</w:t>
      </w:r>
      <w:r w:rsidRPr="00295D67" w:rsidR="00295D67">
        <w:rPr>
          <w:i/>
          <w:iCs/>
        </w:rPr>
        <w:t>. of Public Health v. Superior Court</w:t>
      </w:r>
      <w:r w:rsidRPr="001D4F09" w:rsidR="00295D67">
        <w:t xml:space="preserve"> (2015) 60 Cal.4th 940, 960</w:t>
      </w:r>
      <w:r w:rsidR="00295D67">
        <w:t xml:space="preserve">; see </w:t>
      </w:r>
      <w:r w:rsidR="0076487D">
        <w:t xml:space="preserve">also </w:t>
      </w:r>
      <w:r w:rsidRPr="001D4F09">
        <w:t>§ 1859 [“when a general and particular provision are inconsistent, the latter is paramount to the former”].)</w:t>
      </w:r>
    </w:p>
    <w:p w:rsidR="000B619F" w:rsidRPr="00A36340" w:rsidP="000B619F" w14:paraId="63565776" w14:textId="388842A0">
      <w:pPr>
        <w:pStyle w:val="Heading2"/>
        <w:rPr>
          <w:b w:val="0"/>
          <w:i/>
        </w:rPr>
      </w:pPr>
      <w:r w:rsidRPr="001E6A52">
        <w:tab/>
      </w:r>
      <w:bookmarkStart w:id="11" w:name="_Toc165298036"/>
      <w:r w:rsidR="00AE23E7">
        <w:rPr>
          <w:b w:val="0"/>
          <w:i/>
        </w:rPr>
        <w:t>3</w:t>
      </w:r>
      <w:r w:rsidRPr="001E6A52">
        <w:rPr>
          <w:b w:val="0"/>
          <w:i/>
        </w:rPr>
        <w:t>.</w:t>
      </w:r>
      <w:r w:rsidRPr="001E6A52">
        <w:rPr>
          <w:b w:val="0"/>
          <w:i/>
        </w:rPr>
        <w:tab/>
      </w:r>
      <w:r>
        <w:rPr>
          <w:b w:val="0"/>
          <w:i/>
        </w:rPr>
        <w:t>Jurisdiction Over Watts</w:t>
      </w:r>
      <w:bookmarkEnd w:id="11"/>
    </w:p>
    <w:p w:rsidR="000B619F" w:rsidP="000B619F" w14:paraId="02662535" w14:textId="1587ECB2">
      <w:pPr>
        <w:ind w:firstLine="720"/>
      </w:pPr>
      <w:r w:rsidRPr="00883A01">
        <w:t xml:space="preserve">Eagle notes that </w:t>
      </w:r>
      <w:r w:rsidRPr="00883A01" w:rsidR="0024688A">
        <w:t xml:space="preserve">Watts </w:t>
      </w:r>
      <w:r w:rsidRPr="00883A01">
        <w:t xml:space="preserve">dismissed his </w:t>
      </w:r>
      <w:r w:rsidRPr="00883A01" w:rsidR="0024688A">
        <w:t xml:space="preserve">cross-complaint </w:t>
      </w:r>
      <w:r w:rsidRPr="00883A01">
        <w:t xml:space="preserve">against it before the November Hearing and appears to argue that </w:t>
      </w:r>
      <w:r w:rsidRPr="00883A01" w:rsidR="00802884">
        <w:t xml:space="preserve">because the </w:t>
      </w:r>
      <w:r w:rsidRPr="00883A01">
        <w:t xml:space="preserve">parties and Watts did not agree to the </w:t>
      </w:r>
      <w:r w:rsidRPr="00883A01" w:rsidR="00802884">
        <w:t xml:space="preserve">trial court </w:t>
      </w:r>
      <w:r w:rsidRPr="00883A01">
        <w:t xml:space="preserve">retaining </w:t>
      </w:r>
      <w:r w:rsidRPr="00883A01" w:rsidR="00802884">
        <w:t xml:space="preserve">jurisdiction over Watts </w:t>
      </w:r>
      <w:r w:rsidRPr="00883A01">
        <w:t xml:space="preserve">in accordance with </w:t>
      </w:r>
      <w:r w:rsidRPr="00883A01" w:rsidR="00802884">
        <w:t xml:space="preserve">section 664.6, the </w:t>
      </w:r>
      <w:r w:rsidRPr="00883A01">
        <w:t>court lacked jurisdiction over Watts</w:t>
      </w:r>
      <w:r w:rsidRPr="00883A01" w:rsidR="00802884">
        <w:t xml:space="preserve"> and, thus, </w:t>
      </w:r>
      <w:r w:rsidRPr="00883A01">
        <w:t xml:space="preserve">could not order Eagle to drop the Watts Appeal.  </w:t>
      </w:r>
      <w:r w:rsidRPr="00883A01" w:rsidR="00880942">
        <w:t>We conclude jurisdiction over Watts was not necessary</w:t>
      </w:r>
      <w:r w:rsidRPr="00883A01">
        <w:t>.</w:t>
      </w:r>
    </w:p>
    <w:p w:rsidR="00AE23E7" w:rsidP="00AE23E7" w14:paraId="2D1811BD" w14:textId="4008C007">
      <w:pPr>
        <w:ind w:firstLine="720"/>
      </w:pPr>
      <w:r>
        <w:t xml:space="preserve">First, as discussed above, the </w:t>
      </w:r>
      <w:r w:rsidRPr="00883A01">
        <w:t>trial court had subject matter jurisdiction over dispute</w:t>
      </w:r>
      <w:r w:rsidRPr="00883A01" w:rsidR="00DB4F95">
        <w:t>s</w:t>
      </w:r>
      <w:r w:rsidRPr="00883A01">
        <w:t xml:space="preserve"> arising from the roofing project through the City’s </w:t>
      </w:r>
      <w:r w:rsidRPr="00883A01" w:rsidR="00880942">
        <w:t xml:space="preserve">pending </w:t>
      </w:r>
      <w:r w:rsidRPr="00883A01">
        <w:t>cross-complaint.</w:t>
      </w:r>
      <w:r w:rsidRPr="00883A01" w:rsidR="00DB4F95">
        <w:t xml:space="preserve">  Watts was involved in that project and, thus, the claims against him arose from that project.  </w:t>
      </w:r>
      <w:r w:rsidRPr="00883A01">
        <w:t xml:space="preserve">Therefore, Eagle’s argument about jurisdiction over Watts fails to the extent </w:t>
      </w:r>
      <w:r w:rsidRPr="00883A01" w:rsidR="00FA3A98">
        <w:t>it</w:t>
      </w:r>
      <w:r w:rsidRPr="00883A01">
        <w:t xml:space="preserve"> implie</w:t>
      </w:r>
      <w:r w:rsidRPr="00883A01" w:rsidR="00DB4F95">
        <w:t xml:space="preserve">s the court </w:t>
      </w:r>
      <w:r w:rsidRPr="00883A01">
        <w:t>lack</w:t>
      </w:r>
      <w:r w:rsidRPr="00883A01" w:rsidR="00DB4F95">
        <w:t>ed</w:t>
      </w:r>
      <w:r w:rsidRPr="00883A01">
        <w:t xml:space="preserve"> subject matter jurisdiction to enter a judgment </w:t>
      </w:r>
      <w:r w:rsidRPr="00883A01" w:rsidR="00DB4F95">
        <w:t xml:space="preserve">requiring Eagle to dismiss </w:t>
      </w:r>
      <w:r w:rsidRPr="00883A01" w:rsidR="00CB0E21">
        <w:t xml:space="preserve">the </w:t>
      </w:r>
      <w:r w:rsidRPr="00883A01" w:rsidR="00C72F1A">
        <w:t>Watts Appeal.</w:t>
      </w:r>
      <w:r>
        <w:t xml:space="preserve">  </w:t>
      </w:r>
    </w:p>
    <w:p w:rsidR="004A34DC" w:rsidRPr="00883A01" w:rsidP="009F4CAC" w14:paraId="673CDAAA" w14:textId="1F7DFEC8">
      <w:pPr>
        <w:ind w:firstLine="720"/>
      </w:pPr>
      <w:r>
        <w:t xml:space="preserve">Second, to the extent Eagle contends </w:t>
      </w:r>
      <w:r w:rsidRPr="00883A01">
        <w:t xml:space="preserve">the trial court lacked personal jurisdiction over Watts and the absence of personal jurisdiction over </w:t>
      </w:r>
      <w:r w:rsidRPr="00883A01" w:rsidR="005A2F65">
        <w:t xml:space="preserve">Watts </w:t>
      </w:r>
      <w:r w:rsidRPr="00883A01" w:rsidR="00C72F1A">
        <w:t xml:space="preserve">somehow </w:t>
      </w:r>
      <w:r w:rsidRPr="00883A01" w:rsidR="00DB4F95">
        <w:t xml:space="preserve">precluded </w:t>
      </w:r>
      <w:r w:rsidRPr="00883A01">
        <w:t xml:space="preserve">Eagle from </w:t>
      </w:r>
      <w:r w:rsidRPr="00883A01" w:rsidR="00DB4F95">
        <w:t xml:space="preserve">being bound by its </w:t>
      </w:r>
      <w:r w:rsidRPr="00883A01">
        <w:t>agree</w:t>
      </w:r>
      <w:r w:rsidRPr="00883A01" w:rsidR="00DB4F95">
        <w:t xml:space="preserve">ment </w:t>
      </w:r>
      <w:r w:rsidRPr="00883A01">
        <w:t>to dismiss the Watts Appeal,</w:t>
      </w:r>
      <w:r w:rsidRPr="00883A01" w:rsidR="005A2F65">
        <w:t xml:space="preserve"> we reject that contention</w:t>
      </w:r>
      <w:r w:rsidRPr="00883A01" w:rsidR="00C72F1A">
        <w:t xml:space="preserve">.  The </w:t>
      </w:r>
      <w:r w:rsidRPr="00883A01" w:rsidR="00514B69">
        <w:t>judgment entered did not direct Watts to perform any act or refrain from acting</w:t>
      </w:r>
      <w:r w:rsidRPr="00883A01" w:rsidR="00C72F1A">
        <w:t xml:space="preserve">.  Also, it </w:t>
      </w:r>
      <w:r w:rsidRPr="00883A01" w:rsidR="00514B69">
        <w:t xml:space="preserve">did not </w:t>
      </w:r>
      <w:r w:rsidRPr="00883A01" w:rsidR="00C72F1A">
        <w:t xml:space="preserve">purport to </w:t>
      </w:r>
      <w:r w:rsidRPr="00883A01" w:rsidR="00514B69">
        <w:t xml:space="preserve">deprive him of any rights.  Thus, personal jurisdiction over Watts was not necessary </w:t>
      </w:r>
      <w:r w:rsidRPr="00883A01" w:rsidR="00DB4F95">
        <w:t xml:space="preserve">for the court to have the authority to enforce </w:t>
      </w:r>
      <w:r w:rsidRPr="00883A01" w:rsidR="00CB0E21">
        <w:t>Eagle</w:t>
      </w:r>
      <w:r w:rsidRPr="00883A01" w:rsidR="002B3F2D">
        <w:t>’s covenant to dismiss its appeal against Watt</w:t>
      </w:r>
      <w:r w:rsidRPr="00883A01" w:rsidR="006A723D">
        <w:t>s</w:t>
      </w:r>
      <w:r w:rsidRPr="00883A01" w:rsidR="00CB0E21">
        <w:t>.</w:t>
      </w:r>
      <w:r>
        <w:rPr>
          <w:rStyle w:val="FootnoteReference"/>
        </w:rPr>
        <w:footnoteReference w:id="4"/>
      </w:r>
    </w:p>
    <w:p w:rsidR="005C0A1A" w:rsidP="00D62B53" w14:paraId="281C3796" w14:textId="4BCB94FE">
      <w:pPr>
        <w:ind w:firstLine="720"/>
      </w:pPr>
      <w:r w:rsidRPr="00883A01">
        <w:t xml:space="preserve">To summarize, we reject all Eagle’s arguments </w:t>
      </w:r>
      <w:r w:rsidRPr="00883A01" w:rsidR="00880942">
        <w:t xml:space="preserve">about the lack of jurisdiction </w:t>
      </w:r>
      <w:r w:rsidRPr="00883A01">
        <w:t xml:space="preserve">because Case VCU285656 was still pending and, despite Eagle’s voluntary dismissal of its complaint, that pending action provided the trial court with subject matter and personal jurisdiction over Eagle and the City when the settlement was placed on the record and when the court entered a judgment enforcing the </w:t>
      </w:r>
      <w:r w:rsidRPr="00C20F6E">
        <w:t>settlement.</w:t>
      </w:r>
      <w:r>
        <w:rPr>
          <w:rStyle w:val="FootnoteReference"/>
        </w:rPr>
        <w:footnoteReference w:id="5"/>
      </w:r>
      <w:r>
        <w:t xml:space="preserve"> </w:t>
      </w:r>
    </w:p>
    <w:p w:rsidR="00AF08F2" w:rsidRPr="00883A01" w:rsidP="00AF08F2" w14:paraId="16E705F3" w14:textId="3AA3B3F6">
      <w:pPr>
        <w:pStyle w:val="Heading1"/>
        <w:rPr>
          <w:b w:val="0"/>
          <w:szCs w:val="26"/>
        </w:rPr>
      </w:pPr>
      <w:bookmarkStart w:id="12" w:name="_Toc165298038"/>
      <w:r>
        <w:rPr>
          <w:b w:val="0"/>
          <w:szCs w:val="26"/>
        </w:rPr>
        <w:t>I</w:t>
      </w:r>
      <w:r w:rsidR="0078011C">
        <w:rPr>
          <w:b w:val="0"/>
          <w:szCs w:val="26"/>
        </w:rPr>
        <w:t>I.</w:t>
      </w:r>
      <w:r w:rsidR="0078011C">
        <w:rPr>
          <w:b w:val="0"/>
          <w:szCs w:val="26"/>
        </w:rPr>
        <w:tab/>
        <w:t xml:space="preserve">EXISTENCE </w:t>
      </w:r>
      <w:r w:rsidRPr="00883A01" w:rsidR="0078011C">
        <w:rPr>
          <w:b w:val="0"/>
          <w:szCs w:val="26"/>
        </w:rPr>
        <w:t>AND TERMS OF THE SETTLEMENT</w:t>
      </w:r>
      <w:bookmarkEnd w:id="12"/>
      <w:r w:rsidRPr="00883A01" w:rsidR="0078011C">
        <w:rPr>
          <w:b w:val="0"/>
          <w:szCs w:val="26"/>
        </w:rPr>
        <w:t xml:space="preserve"> </w:t>
      </w:r>
    </w:p>
    <w:p w:rsidR="00AF08F2" w:rsidP="00E579CC" w14:paraId="0D4EBDAC" w14:textId="0A466301">
      <w:pPr>
        <w:ind w:firstLine="720"/>
      </w:pPr>
      <w:r w:rsidRPr="00883A01">
        <w:t xml:space="preserve">Having resolved the jurisdictional questions, we </w:t>
      </w:r>
      <w:r w:rsidRPr="00883A01" w:rsidR="00D62B53">
        <w:t xml:space="preserve">consider </w:t>
      </w:r>
      <w:r w:rsidRPr="00883A01" w:rsidR="002B3F2D">
        <w:t>the issue</w:t>
      </w:r>
      <w:r w:rsidRPr="00883A01" w:rsidR="00880942">
        <w:t>s</w:t>
      </w:r>
      <w:r w:rsidRPr="00883A01" w:rsidR="002B3F2D">
        <w:t xml:space="preserve"> relating to </w:t>
      </w:r>
      <w:r w:rsidRPr="00883A01">
        <w:t>whether an enforceable settlement agreement was formed and, if so, what were its terms</w:t>
      </w:r>
      <w:r w:rsidRPr="00883A01" w:rsidR="00D62B53">
        <w:t>—that is, what was</w:t>
      </w:r>
      <w:r w:rsidRPr="00883A01" w:rsidR="002B3F2D">
        <w:t xml:space="preserve"> </w:t>
      </w:r>
      <w:r w:rsidRPr="00883A01" w:rsidR="005A4FF3">
        <w:t xml:space="preserve">the </w:t>
      </w:r>
      <w:r w:rsidRPr="00883A01">
        <w:t>scope</w:t>
      </w:r>
      <w:r w:rsidRPr="00883A01" w:rsidR="005A4FF3">
        <w:t xml:space="preserve"> of the settlement</w:t>
      </w:r>
      <w:r w:rsidRPr="00883A01">
        <w:t xml:space="preserve">.  </w:t>
      </w:r>
      <w:r w:rsidRPr="00883A01" w:rsidR="002B3F2D">
        <w:t xml:space="preserve">Because the agreement and its terms were part of </w:t>
      </w:r>
      <w:r w:rsidRPr="00883A01">
        <w:t>an oral</w:t>
      </w:r>
      <w:r>
        <w:t xml:space="preserve"> stipulation made before the court</w:t>
      </w:r>
      <w:r w:rsidR="002B3F2D">
        <w:t xml:space="preserve">, </w:t>
      </w:r>
      <w:r>
        <w:t xml:space="preserve">we provide a brief historical overview of how section 664.6 has dealt with the enforcement of oral settlement agreements.  When section 664.6 was first enacted in 1981, it referred to oral stipulations “before the court.”  (Stats. 1981, ch. 904, § 2, p. 3437.)  In 1993, the Legislature amended the statute to refer to stipulations made “orally on the record before the court.”  (Stats. 1993, ch. 768, §1, p. 4260; see </w:t>
      </w:r>
      <w:r>
        <w:rPr>
          <w:i/>
          <w:iCs/>
        </w:rPr>
        <w:t>Levy v. Superior Court</w:t>
      </w:r>
      <w:r>
        <w:t xml:space="preserve"> (1995) 10 Cal.4th 578, 580, fn. 1 (</w:t>
      </w:r>
      <w:r>
        <w:rPr>
          <w:i/>
          <w:iCs/>
        </w:rPr>
        <w:t>Levy</w:t>
      </w:r>
      <w:r>
        <w:t xml:space="preserve">).)  In 1994, the Legislature reversed course and deleted the phrase “on the record.”  (Stats. 1994, ch. 587, § 7; see </w:t>
      </w:r>
      <w:r>
        <w:rPr>
          <w:i/>
          <w:iCs/>
        </w:rPr>
        <w:t>Levy</w:t>
      </w:r>
      <w:r>
        <w:t xml:space="preserve">, </w:t>
      </w:r>
      <w:r>
        <w:rPr>
          <w:i/>
          <w:iCs/>
        </w:rPr>
        <w:t>supra</w:t>
      </w:r>
      <w:r>
        <w:t>, at p. 580, fn. 1.)  Consequently, for the last 30 years, trial courts have been empowered to enforce oral settlements made before them even where there is no reporter’s transcript of the oral proceedings.</w:t>
      </w:r>
    </w:p>
    <w:p w:rsidR="00AF08F2" w:rsidRPr="00883A01" w:rsidP="00AF08F2" w14:paraId="7601BD5C" w14:textId="4D6D6669">
      <w:pPr>
        <w:pStyle w:val="Heading2"/>
        <w:rPr>
          <w:b w:val="0"/>
        </w:rPr>
      </w:pPr>
      <w:bookmarkStart w:id="13" w:name="_Toc165298039"/>
      <w:r>
        <w:rPr>
          <w:b w:val="0"/>
        </w:rPr>
        <w:t>A.</w:t>
      </w:r>
      <w:r>
        <w:rPr>
          <w:b w:val="0"/>
        </w:rPr>
        <w:tab/>
      </w:r>
      <w:r w:rsidRPr="003D6A8C">
        <w:rPr>
          <w:b w:val="0"/>
          <w:u w:val="single"/>
        </w:rPr>
        <w:t>The Reporter’s Transcript</w:t>
      </w:r>
      <w:bookmarkEnd w:id="13"/>
    </w:p>
    <w:p w:rsidR="002B3F2D" w:rsidRPr="00883A01" w:rsidP="00E579CC" w14:paraId="6930695E" w14:textId="4950DA5B">
      <w:pPr>
        <w:ind w:firstLine="720"/>
      </w:pPr>
      <w:r w:rsidRPr="00883A01">
        <w:t>Here, we have a</w:t>
      </w:r>
      <w:r w:rsidRPr="00883A01" w:rsidR="00016D44">
        <w:t xml:space="preserve"> reporter’s transcript of the November Hearing</w:t>
      </w:r>
      <w:r w:rsidRPr="00883A01">
        <w:t xml:space="preserve"> and t</w:t>
      </w:r>
      <w:r w:rsidRPr="00883A01" w:rsidR="00FC64C6">
        <w:t xml:space="preserve">hat transcript is </w:t>
      </w:r>
      <w:r w:rsidRPr="00883A01" w:rsidR="00937ED6">
        <w:t xml:space="preserve">evidence </w:t>
      </w:r>
      <w:r w:rsidRPr="00883A01" w:rsidR="00FC64C6">
        <w:t>of the trial court’s, the parties’ and the attorneys’ oral statements</w:t>
      </w:r>
      <w:r w:rsidRPr="00883A01">
        <w:t>.  T</w:t>
      </w:r>
      <w:r w:rsidRPr="00883A01" w:rsidR="00FC64C6">
        <w:t>hose oral statement</w:t>
      </w:r>
      <w:r w:rsidRPr="00883A01" w:rsidR="00880942">
        <w:t>s</w:t>
      </w:r>
      <w:r w:rsidRPr="00883A01" w:rsidR="00FC64C6">
        <w:t xml:space="preserve"> are </w:t>
      </w:r>
      <w:r w:rsidRPr="00883A01" w:rsidR="00937ED6">
        <w:t>relevant to the formation and terms of any settlement contract</w:t>
      </w:r>
      <w:r w:rsidRPr="00883A01" w:rsidR="00016D44">
        <w:t xml:space="preserve">.  </w:t>
      </w:r>
    </w:p>
    <w:p w:rsidR="00FE4285" w:rsidP="00E579CC" w14:paraId="267ED86C" w14:textId="157D5331">
      <w:pPr>
        <w:ind w:firstLine="720"/>
      </w:pPr>
      <w:r w:rsidRPr="00883A01">
        <w:t xml:space="preserve">Eagle has raised issues about the reporter’s transcript.  </w:t>
      </w:r>
      <w:r w:rsidRPr="00883A01" w:rsidR="00016D44">
        <w:t xml:space="preserve">In the trial court, </w:t>
      </w:r>
      <w:r w:rsidRPr="00883A01" w:rsidR="00FB4834">
        <w:t xml:space="preserve">Eagle argued the transcript did not contain everything said at </w:t>
      </w:r>
      <w:r w:rsidRPr="00883A01">
        <w:t>the November H</w:t>
      </w:r>
      <w:r w:rsidRPr="00883A01" w:rsidR="00FB4834">
        <w:t>earing.  On</w:t>
      </w:r>
      <w:r w:rsidR="00FB4834">
        <w:t xml:space="preserve"> appeal, Eagles states it “consistently and repeatedly objected to use of the reporter’s transcript as the basis of a settlement agreement because dispositive terms were missing, which if </w:t>
      </w:r>
      <w:r w:rsidR="002B78CC">
        <w:t xml:space="preserve">they had been typed into the transcript, would have given meaning to [Eagle’s] and [its] counsel’s intent and understanding of settlement terms.”  </w:t>
      </w:r>
      <w:r w:rsidRPr="00883A01" w:rsidR="002B78CC">
        <w:t xml:space="preserve">Based on </w:t>
      </w:r>
      <w:r w:rsidRPr="00883A01">
        <w:t>the claimed</w:t>
      </w:r>
      <w:r>
        <w:t xml:space="preserve"> </w:t>
      </w:r>
      <w:r w:rsidR="002B78CC">
        <w:t xml:space="preserve">omissions, Eagle contends the settlement agreement is uncertain and unenforceable.  </w:t>
      </w:r>
      <w:r w:rsidR="00FC64C6">
        <w:t xml:space="preserve">Eagle also asserts the trial court could have ordered a review of the reporter’s transcript for accuracy based on the audio tape of the hearing, but did not.  This assertion suggests the court had a sua sponte duty to initiate procedures to correct </w:t>
      </w:r>
      <w:r w:rsidR="00AF08F2">
        <w:t xml:space="preserve">purported </w:t>
      </w:r>
      <w:r w:rsidR="00FC64C6">
        <w:t>omissions or errors in the transcript.</w:t>
      </w:r>
    </w:p>
    <w:p w:rsidR="0082738A" w:rsidRPr="00883A01" w:rsidP="00E579CC" w14:paraId="4160A94A" w14:textId="6C7DE610">
      <w:pPr>
        <w:ind w:firstLine="720"/>
      </w:pPr>
      <w:r>
        <w:t>The</w:t>
      </w:r>
      <w:r w:rsidR="002B78CC">
        <w:t xml:space="preserve"> City contends</w:t>
      </w:r>
      <w:r>
        <w:t xml:space="preserve"> </w:t>
      </w:r>
      <w:r w:rsidR="002B78CC">
        <w:t xml:space="preserve">the record, including the transcript, unequivocally documents the understanding of the </w:t>
      </w:r>
      <w:r w:rsidRPr="00883A01" w:rsidR="002B78CC">
        <w:t>parties and their counsel of the settlement agreement</w:t>
      </w:r>
      <w:r w:rsidRPr="00883A01" w:rsidR="0033185B">
        <w:t xml:space="preserve">.  Alternatively, the City contends Eagle is barred from challenging the transcript because Eagle </w:t>
      </w:r>
      <w:r w:rsidRPr="00883A01">
        <w:t xml:space="preserve">did not contest the transcript’s accuracy by offering a declaration of its principal </w:t>
      </w:r>
      <w:r w:rsidRPr="00883A01" w:rsidR="00FC64C6">
        <w:t xml:space="preserve">(he </w:t>
      </w:r>
      <w:r w:rsidRPr="00883A01">
        <w:t>attended the November Hearing</w:t>
      </w:r>
      <w:r w:rsidRPr="00883A01" w:rsidR="00FC64C6">
        <w:t xml:space="preserve">) setting </w:t>
      </w:r>
      <w:r w:rsidRPr="00883A01">
        <w:t>forth the claimed errors and omissions, and</w:t>
      </w:r>
      <w:r w:rsidRPr="00883A01" w:rsidR="0033185B">
        <w:t xml:space="preserve"> </w:t>
      </w:r>
      <w:r w:rsidRPr="00883A01">
        <w:t xml:space="preserve">Eagle did not invoke the </w:t>
      </w:r>
      <w:r w:rsidRPr="00883A01" w:rsidR="00FC64C6">
        <w:t xml:space="preserve">established </w:t>
      </w:r>
      <w:r w:rsidRPr="00883A01">
        <w:t xml:space="preserve">procedures for correcting the record.  </w:t>
      </w:r>
    </w:p>
    <w:p w:rsidR="00937ED6" w:rsidP="00937ED6" w14:paraId="3FBDA734" w14:textId="728E24ED">
      <w:pPr>
        <w:ind w:firstLine="720"/>
      </w:pPr>
      <w:r w:rsidRPr="00883A01">
        <w:t>The transcript was prepared by</w:t>
      </w:r>
      <w:r w:rsidRPr="00883A01" w:rsidR="005C0A1A">
        <w:t xml:space="preserve"> a</w:t>
      </w:r>
      <w:r w:rsidRPr="00883A01" w:rsidR="003B4E38">
        <w:t xml:space="preserve"> </w:t>
      </w:r>
      <w:r w:rsidRPr="00883A01" w:rsidR="009C11E1">
        <w:t xml:space="preserve">certified shorthand reporter </w:t>
      </w:r>
      <w:r w:rsidRPr="00883A01">
        <w:t xml:space="preserve">who </w:t>
      </w:r>
      <w:r w:rsidRPr="00883A01" w:rsidR="003B4E38">
        <w:t>attended</w:t>
      </w:r>
      <w:r w:rsidR="003B4E38">
        <w:t xml:space="preserve"> the November Hearing.  She </w:t>
      </w:r>
      <w:r w:rsidR="009C11E1">
        <w:t>certified that (1) the contents of the 47-page transcript of th</w:t>
      </w:r>
      <w:r w:rsidR="003B4E38">
        <w:t>at h</w:t>
      </w:r>
      <w:r w:rsidR="009C11E1">
        <w:t>earing were taken down in stenographic shorthand writing and thereafter transcribed into typewriting and (2) the resulting “transcript constitutes a full, true, and correct transcript of said proceedings.”  Pursuant to section 273, subdivision (a)</w:t>
      </w:r>
      <w:r w:rsidR="00576992">
        <w:t xml:space="preserve">, the </w:t>
      </w:r>
      <w:r w:rsidR="009C11E1">
        <w:t xml:space="preserve">certified reporter’s transcript “is prima facie evidence of that </w:t>
      </w:r>
      <w:r w:rsidR="005B6878">
        <w:t>. . .</w:t>
      </w:r>
      <w:r w:rsidR="009C11E1">
        <w:t xml:space="preserve"> proceeding</w:t>
      </w:r>
      <w:r w:rsidR="00576992">
        <w:t>.</w:t>
      </w:r>
      <w:r w:rsidR="009C11E1">
        <w:t>”</w:t>
      </w:r>
    </w:p>
    <w:p w:rsidR="009B5E8E" w:rsidP="00937ED6" w14:paraId="278FF14C" w14:textId="241D5C23">
      <w:pPr>
        <w:ind w:firstLine="720"/>
      </w:pPr>
      <w:r>
        <w:t xml:space="preserve">Prima facie evidence is not conclusive evidence and, therefore, </w:t>
      </w:r>
      <w:r w:rsidR="000463F9">
        <w:t>the presumption created by section 273, subdivision (a) may be rebutted.  (See Evid. Code, § 601 [presumption</w:t>
      </w:r>
      <w:r w:rsidR="00937ED6">
        <w:t>s</w:t>
      </w:r>
      <w:r w:rsidR="000463F9">
        <w:t xml:space="preserve"> </w:t>
      </w:r>
      <w:r w:rsidR="00937ED6">
        <w:t>are “</w:t>
      </w:r>
      <w:r w:rsidR="000463F9">
        <w:t xml:space="preserve">either conclusive or </w:t>
      </w:r>
      <w:r w:rsidRPr="00883A01" w:rsidR="000463F9">
        <w:t xml:space="preserve">rebuttable”].)  </w:t>
      </w:r>
      <w:r w:rsidRPr="00883A01" w:rsidR="007F106F">
        <w:t xml:space="preserve">Consequently, </w:t>
      </w:r>
      <w:r w:rsidRPr="00883A01" w:rsidR="00937ED6">
        <w:t xml:space="preserve">it is possible </w:t>
      </w:r>
      <w:r w:rsidRPr="00883A01" w:rsidR="00AF08F2">
        <w:t xml:space="preserve">under California law </w:t>
      </w:r>
      <w:r w:rsidRPr="00883A01" w:rsidR="00937ED6">
        <w:t xml:space="preserve">to demonstrate </w:t>
      </w:r>
      <w:r w:rsidRPr="00883A01">
        <w:t>a certified reporter’s transcript</w:t>
      </w:r>
      <w:r w:rsidRPr="00883A01" w:rsidR="000463F9">
        <w:t xml:space="preserve"> </w:t>
      </w:r>
      <w:r w:rsidRPr="00883A01" w:rsidR="00937ED6">
        <w:t xml:space="preserve">contains errors </w:t>
      </w:r>
      <w:r w:rsidRPr="00883A01" w:rsidR="007F106F">
        <w:t xml:space="preserve">or omissions </w:t>
      </w:r>
      <w:r w:rsidRPr="00883A01" w:rsidR="00937ED6">
        <w:t xml:space="preserve">and have them </w:t>
      </w:r>
      <w:r w:rsidRPr="00883A01" w:rsidR="000463F9">
        <w:t xml:space="preserve">corrected.  </w:t>
      </w:r>
      <w:r w:rsidRPr="00883A01">
        <w:t>When the reporter’s transcript in question is part of an appellate record, the procedure for correcting error</w:t>
      </w:r>
      <w:r w:rsidRPr="00883A01" w:rsidR="00707DE8">
        <w:t>s</w:t>
      </w:r>
      <w:r w:rsidRPr="00883A01">
        <w:t xml:space="preserve"> is set forth in California Rules of Court, rule 8.155(c).  </w:t>
      </w:r>
      <w:r w:rsidRPr="00883A01" w:rsidR="00183FD2">
        <w:t>Specifically, a reviewing court</w:t>
      </w:r>
      <w:r w:rsidRPr="00883A01" w:rsidR="007F0595">
        <w:t>,</w:t>
      </w:r>
      <w:r w:rsidRPr="00883A01" w:rsidR="00183FD2">
        <w:t xml:space="preserve"> on </w:t>
      </w:r>
      <w:r w:rsidRPr="00883A01">
        <w:t xml:space="preserve">its own motion or a </w:t>
      </w:r>
      <w:r w:rsidRPr="00883A01" w:rsidR="007F0595">
        <w:t xml:space="preserve">party’s </w:t>
      </w:r>
      <w:r w:rsidRPr="00883A01">
        <w:t>motion</w:t>
      </w:r>
      <w:r w:rsidRPr="00883A01" w:rsidR="007F0595">
        <w:t>,</w:t>
      </w:r>
      <w:r w:rsidRPr="00883A01">
        <w:t xml:space="preserve"> “may order the correction or certification of any part of the record” or “may order the superior court to settle disputes about omissions or errors in the record.”</w:t>
      </w:r>
      <w:r>
        <w:t xml:space="preserve">  (Cal. Rules of Court, rule 8.155(c)(1), (2).)</w:t>
      </w:r>
    </w:p>
    <w:p w:rsidR="00535CB6" w:rsidP="009B5E8E" w14:paraId="2620A73F" w14:textId="77777777">
      <w:pPr>
        <w:ind w:firstLine="720"/>
      </w:pPr>
      <w:r>
        <w:t>A practice guide addresses the timing of a party’s motion to correct errors in the record by stating:</w:t>
      </w:r>
    </w:p>
    <w:p w:rsidR="002B78CC" w:rsidP="00535CB6" w14:paraId="4112A00C" w14:textId="53068881">
      <w:pPr>
        <w:pStyle w:val="IndentedQuote0"/>
      </w:pPr>
      <w:r>
        <w:t>“</w:t>
      </w:r>
      <w:r w:rsidRPr="009B5E8E">
        <w:t xml:space="preserve">No express time limit for requesting a record correction is prescribed by the Rules of Court. </w:t>
      </w:r>
      <w:r>
        <w:t xml:space="preserve"> </w:t>
      </w:r>
      <w:r w:rsidRPr="009B5E8E">
        <w:t>As a practical matter, however, the request should be filed as soon as possible to avoid any potential waiver of issues or estoppel to obtain correction later on.</w:t>
      </w:r>
      <w:r w:rsidR="005B6878">
        <w:t xml:space="preserve"> </w:t>
      </w:r>
      <w:r w:rsidRPr="009B5E8E">
        <w:t xml:space="preserve"> [See </w:t>
      </w:r>
      <w:r w:rsidRPr="00535CB6">
        <w:rPr>
          <w:i/>
          <w:iCs/>
        </w:rPr>
        <w:t>McLaughlin v. Walnut Properties, Inc.</w:t>
      </w:r>
      <w:r w:rsidRPr="009B5E8E">
        <w:t xml:space="preserve"> (2004) 119 </w:t>
      </w:r>
      <w:r w:rsidR="00535CB6">
        <w:t>[Cal.App.]4</w:t>
      </w:r>
      <w:r w:rsidRPr="009B5E8E">
        <w:t xml:space="preserve">th 293, 299, </w:t>
      </w:r>
      <w:r w:rsidR="00AF3E45">
        <w:t>. . .</w:t>
      </w:r>
      <w:r w:rsidR="00535CB6">
        <w:t xml:space="preserve"> </w:t>
      </w:r>
      <w:r w:rsidRPr="009B5E8E">
        <w:t>fn. 6 (on appeal challenging summary adjudication order, appellants took no steps to correct record after it failed to include requested minute order granting summary adjudication)</w:t>
      </w:r>
      <w:r w:rsidR="00AF3E45">
        <w:t>—</w:t>
      </w:r>
      <w:r w:rsidR="00535CB6">
        <w:t>‘</w:t>
      </w:r>
      <w:r w:rsidRPr="009B5E8E">
        <w:t>we could deem the issue waived</w:t>
      </w:r>
      <w:r w:rsidR="00535CB6">
        <w:t>’</w:t>
      </w:r>
      <w:r w:rsidRPr="009B5E8E">
        <w:t>]</w:t>
      </w:r>
      <w:r w:rsidR="00535CB6">
        <w:t>.”</w:t>
      </w:r>
      <w:r w:rsidR="002F57D6">
        <w:t xml:space="preserve">  (Eisenberg et al., Cal. Practice Guide:</w:t>
      </w:r>
      <w:r w:rsidR="00DF4F32">
        <w:t xml:space="preserve"> </w:t>
      </w:r>
      <w:r w:rsidR="002F57D6">
        <w:t xml:space="preserve"> Civil Appeals and Writs (The Rutter Group 2023) ¶ 4:</w:t>
      </w:r>
      <w:r w:rsidR="009C11E1">
        <w:t>281,</w:t>
      </w:r>
      <w:r w:rsidR="002F57D6">
        <w:t xml:space="preserve"> pp. 4-</w:t>
      </w:r>
      <w:r w:rsidR="009C11E1">
        <w:t xml:space="preserve">70 to 4-71.)  </w:t>
      </w:r>
    </w:p>
    <w:p w:rsidR="002F57D6" w:rsidP="00E579CC" w14:paraId="73F7BAE5" w14:textId="4B7942FB">
      <w:pPr>
        <w:ind w:firstLine="720"/>
      </w:pPr>
      <w:r>
        <w:t xml:space="preserve">Here, Eagle made no attempt, by motion or otherwise, to correct the claimed </w:t>
      </w:r>
      <w:r w:rsidRPr="00883A01">
        <w:t xml:space="preserve">omissions </w:t>
      </w:r>
      <w:r w:rsidRPr="00883A01" w:rsidR="00183FD2">
        <w:t xml:space="preserve">in </w:t>
      </w:r>
      <w:r w:rsidRPr="00883A01">
        <w:t>the reporter’s</w:t>
      </w:r>
      <w:r>
        <w:t xml:space="preserve"> transcript of the November Hearing.  As a result, the City </w:t>
      </w:r>
      <w:r w:rsidR="009C11E1">
        <w:t xml:space="preserve">relied on the transcript included in the appellate record to </w:t>
      </w:r>
      <w:r>
        <w:t>complete its respondent’s brief.</w:t>
      </w:r>
      <w:r w:rsidR="009C11E1">
        <w:t xml:space="preserve">  This reliance </w:t>
      </w:r>
      <w:r w:rsidR="00937ED6">
        <w:t>was</w:t>
      </w:r>
      <w:r w:rsidR="009C11E1">
        <w:t xml:space="preserve"> reasonable because</w:t>
      </w:r>
      <w:r w:rsidR="00576992">
        <w:t xml:space="preserve"> of the presumption set forth in section 273, subdivision (a).</w:t>
      </w:r>
      <w:r w:rsidR="00463EEE">
        <w:t xml:space="preserve">  We </w:t>
      </w:r>
      <w:r w:rsidRPr="00883A01" w:rsidR="00463EEE">
        <w:t xml:space="preserve">reject Eagle’s suggestion that the trial court is at fault for the claimed omissions because Eagle has cited no statute, case law, or secondary authority </w:t>
      </w:r>
      <w:r w:rsidRPr="00883A01" w:rsidR="00465971">
        <w:t xml:space="preserve">stating or implying that </w:t>
      </w:r>
      <w:r w:rsidRPr="00883A01" w:rsidR="00463EEE">
        <w:t>superior courts</w:t>
      </w:r>
      <w:r w:rsidR="00463EEE">
        <w:t xml:space="preserve"> have a sua sponte obligation to correct </w:t>
      </w:r>
      <w:r w:rsidR="00AF08F2">
        <w:t xml:space="preserve">a purported error or </w:t>
      </w:r>
      <w:r w:rsidR="00937ED6">
        <w:t xml:space="preserve">omission in a </w:t>
      </w:r>
      <w:r w:rsidR="00463EEE">
        <w:t>reporter’s transcript.</w:t>
      </w:r>
    </w:p>
    <w:p w:rsidR="00576992" w:rsidRPr="00AF08F2" w:rsidP="00E579CC" w14:paraId="7FC7AB17" w14:textId="7573FC7A">
      <w:pPr>
        <w:ind w:firstLine="720"/>
      </w:pPr>
      <w:r>
        <w:t>Under these circumstances</w:t>
      </w:r>
      <w:r w:rsidR="00463EEE">
        <w:t>, w</w:t>
      </w:r>
      <w:r w:rsidR="002F57D6">
        <w:t xml:space="preserve">e conclude Eagle is estopped from arguing the transcript omitted things </w:t>
      </w:r>
      <w:r w:rsidRPr="00883A01" w:rsidR="002F57D6">
        <w:t>said at the November Hearing</w:t>
      </w:r>
      <w:r w:rsidRPr="00883A01" w:rsidR="00183FD2">
        <w:t>.  As</w:t>
      </w:r>
      <w:r w:rsidRPr="00883A01" w:rsidR="002F57D6">
        <w:t xml:space="preserve"> the appellant, Eagle has the burden of providing an adequate record</w:t>
      </w:r>
      <w:r w:rsidRPr="00883A01" w:rsidR="00AF5AE8">
        <w:t>.</w:t>
      </w:r>
      <w:r w:rsidRPr="00883A01" w:rsidR="001B6C3D">
        <w:t xml:space="preserve"> </w:t>
      </w:r>
      <w:r w:rsidRPr="00883A01" w:rsidR="002F57D6">
        <w:t xml:space="preserve"> (</w:t>
      </w:r>
      <w:r w:rsidRPr="00883A01" w:rsidR="002F57D6">
        <w:rPr>
          <w:i/>
          <w:iCs/>
        </w:rPr>
        <w:t>Jameson v. Desta</w:t>
      </w:r>
      <w:r w:rsidRPr="00883A01" w:rsidR="002F57D6">
        <w:t xml:space="preserve"> (2018) 5 Cal.5th 594, 609</w:t>
      </w:r>
      <w:r w:rsidRPr="00883A01" w:rsidR="00AF5AE8">
        <w:t>.</w:t>
      </w:r>
      <w:r w:rsidRPr="00883A01" w:rsidR="002F57D6">
        <w:t>)</w:t>
      </w:r>
      <w:r w:rsidRPr="00883A01" w:rsidR="00AF5AE8">
        <w:t xml:space="preserve">  In view of this burden, </w:t>
      </w:r>
      <w:r w:rsidRPr="00883A01" w:rsidR="00EF56E7">
        <w:t xml:space="preserve">Eagle </w:t>
      </w:r>
      <w:r w:rsidRPr="00883A01" w:rsidR="00AF5AE8">
        <w:t xml:space="preserve">should </w:t>
      </w:r>
      <w:r w:rsidRPr="00883A01" w:rsidR="0033077E">
        <w:t xml:space="preserve">have </w:t>
      </w:r>
      <w:r w:rsidRPr="00883A01" w:rsidR="00465971">
        <w:t xml:space="preserve">addressed </w:t>
      </w:r>
      <w:r w:rsidRPr="00883A01" w:rsidR="00AF5AE8">
        <w:t>the purported omission in the reporter’s transcript</w:t>
      </w:r>
      <w:r w:rsidRPr="00883A01" w:rsidR="00465971">
        <w:t xml:space="preserve"> by </w:t>
      </w:r>
      <w:r w:rsidRPr="00883A01" w:rsidR="00AF5AE8">
        <w:t>tak</w:t>
      </w:r>
      <w:r w:rsidRPr="00883A01" w:rsidR="00465971">
        <w:t xml:space="preserve">ing </w:t>
      </w:r>
      <w:r w:rsidRPr="00883A01" w:rsidR="00AF5AE8">
        <w:t xml:space="preserve">steps in the trial court to correct the transcript or </w:t>
      </w:r>
      <w:r w:rsidRPr="00883A01" w:rsidR="00465971">
        <w:t xml:space="preserve">by </w:t>
      </w:r>
      <w:r w:rsidRPr="00883A01" w:rsidR="00AF5AE8">
        <w:t>fil</w:t>
      </w:r>
      <w:r w:rsidRPr="00883A01" w:rsidR="00465971">
        <w:t>ing</w:t>
      </w:r>
      <w:r w:rsidRPr="00883A01" w:rsidR="00AF5AE8">
        <w:t xml:space="preserve"> </w:t>
      </w:r>
      <w:r w:rsidRPr="00883A01" w:rsidR="00EF56E7">
        <w:t xml:space="preserve">a motion under California Rules of Court, rule 8.155(c) </w:t>
      </w:r>
      <w:r w:rsidRPr="00883A01" w:rsidR="00AF5AE8">
        <w:t xml:space="preserve">with this court.  </w:t>
      </w:r>
      <w:r w:rsidRPr="00883A01" w:rsidR="00AF08F2">
        <w:t xml:space="preserve">(See generally </w:t>
      </w:r>
      <w:r w:rsidRPr="00883A01" w:rsidR="008C2774">
        <w:rPr>
          <w:i/>
          <w:iCs/>
        </w:rPr>
        <w:t xml:space="preserve">Doers v. Golden Gate Bridge </w:t>
      </w:r>
      <w:r w:rsidRPr="00883A01" w:rsidR="00FC4FC1">
        <w:rPr>
          <w:i/>
          <w:iCs/>
        </w:rPr>
        <w:t>e</w:t>
      </w:r>
      <w:r w:rsidRPr="00883A01" w:rsidR="008C2774">
        <w:rPr>
          <w:i/>
          <w:iCs/>
        </w:rPr>
        <w:t>tc. Dist.</w:t>
      </w:r>
      <w:r w:rsidRPr="00883A01" w:rsidR="008C2774">
        <w:t xml:space="preserve"> (1979) 23 Cal.3d 180, 184–185, fn. 1 [unfair to allow </w:t>
      </w:r>
      <w:r w:rsidRPr="00883A01" w:rsidR="00FC4FC1">
        <w:t xml:space="preserve">the </w:t>
      </w:r>
      <w:r w:rsidRPr="00883A01" w:rsidR="008C2774">
        <w:t xml:space="preserve">appellant to take advantage of an error on appeal when it could have been corrected].)  </w:t>
      </w:r>
      <w:r w:rsidRPr="00883A01">
        <w:t xml:space="preserve">Consequently, it </w:t>
      </w:r>
      <w:r w:rsidRPr="00883A01" w:rsidR="00463EEE">
        <w:t>would be</w:t>
      </w:r>
      <w:r w:rsidRPr="00883A01">
        <w:t xml:space="preserve"> </w:t>
      </w:r>
      <w:r w:rsidRPr="00883A01" w:rsidR="00707DE8">
        <w:t xml:space="preserve">inequitable </w:t>
      </w:r>
      <w:r w:rsidRPr="00883A01">
        <w:t xml:space="preserve">to allow Eagle to </w:t>
      </w:r>
      <w:r w:rsidRPr="00883A01" w:rsidR="00AF5AE8">
        <w:t xml:space="preserve">forgo </w:t>
      </w:r>
      <w:r w:rsidRPr="00883A01" w:rsidR="00463EEE">
        <w:t xml:space="preserve">those </w:t>
      </w:r>
      <w:r w:rsidRPr="00883A01" w:rsidR="00AF5AE8">
        <w:t>remedial</w:t>
      </w:r>
      <w:r w:rsidR="00AF5AE8">
        <w:t xml:space="preserve"> </w:t>
      </w:r>
      <w:r w:rsidR="00463EEE">
        <w:t xml:space="preserve">steps </w:t>
      </w:r>
      <w:r w:rsidRPr="00883A01" w:rsidR="00463EEE">
        <w:t xml:space="preserve">and </w:t>
      </w:r>
      <w:r w:rsidRPr="00883A01" w:rsidR="00AF5AE8">
        <w:t xml:space="preserve">then assert omissions in </w:t>
      </w:r>
      <w:r w:rsidRPr="00883A01" w:rsidR="00707DE8">
        <w:t xml:space="preserve">the </w:t>
      </w:r>
      <w:r w:rsidRPr="00883A01" w:rsidR="00AF5AE8">
        <w:t xml:space="preserve">reporter’s </w:t>
      </w:r>
      <w:r w:rsidRPr="00883A01" w:rsidR="00707DE8">
        <w:t xml:space="preserve">transcript </w:t>
      </w:r>
      <w:r w:rsidRPr="00883A01" w:rsidR="00AF5AE8">
        <w:t xml:space="preserve">provide </w:t>
      </w:r>
      <w:r w:rsidRPr="00883A01">
        <w:t>a</w:t>
      </w:r>
      <w:r>
        <w:t xml:space="preserve"> basis for reversing the trial court’s order and judgment.</w:t>
      </w:r>
      <w:r w:rsidR="00463EEE">
        <w:t xml:space="preserve"> </w:t>
      </w:r>
    </w:p>
    <w:p w:rsidR="0078011C" w:rsidRPr="006F00A5" w:rsidP="0078011C" w14:paraId="6B06AC8C" w14:textId="185C2F6E">
      <w:pPr>
        <w:pStyle w:val="Heading2"/>
        <w:rPr>
          <w:b w:val="0"/>
        </w:rPr>
      </w:pPr>
      <w:bookmarkStart w:id="14" w:name="_Toc165298040"/>
      <w:r>
        <w:rPr>
          <w:b w:val="0"/>
        </w:rPr>
        <w:t>B.</w:t>
      </w:r>
      <w:r>
        <w:rPr>
          <w:b w:val="0"/>
        </w:rPr>
        <w:tab/>
      </w:r>
      <w:r>
        <w:rPr>
          <w:b w:val="0"/>
          <w:u w:val="single"/>
        </w:rPr>
        <w:t>Additional Background</w:t>
      </w:r>
      <w:bookmarkEnd w:id="14"/>
    </w:p>
    <w:p w:rsidR="0078011C" w:rsidRPr="0078011C" w:rsidP="0078011C" w14:paraId="7731D2EF" w14:textId="0665B580">
      <w:pPr>
        <w:pStyle w:val="Heading2"/>
        <w:rPr>
          <w:b w:val="0"/>
          <w:i/>
        </w:rPr>
      </w:pPr>
      <w:r w:rsidRPr="001E6A52">
        <w:tab/>
      </w:r>
      <w:bookmarkStart w:id="15" w:name="_Toc165298041"/>
      <w:r>
        <w:rPr>
          <w:b w:val="0"/>
          <w:i/>
        </w:rPr>
        <w:t>1</w:t>
      </w:r>
      <w:r w:rsidRPr="001E6A52">
        <w:rPr>
          <w:b w:val="0"/>
          <w:i/>
        </w:rPr>
        <w:t>.</w:t>
      </w:r>
      <w:r w:rsidRPr="001E6A52">
        <w:rPr>
          <w:b w:val="0"/>
          <w:i/>
        </w:rPr>
        <w:tab/>
      </w:r>
      <w:r>
        <w:rPr>
          <w:b w:val="0"/>
          <w:i/>
        </w:rPr>
        <w:t>The November Hearing</w:t>
      </w:r>
      <w:bookmarkEnd w:id="15"/>
    </w:p>
    <w:p w:rsidR="00C75150" w:rsidP="00C75150" w14:paraId="1749A26F" w14:textId="645F4F77">
      <w:pPr>
        <w:ind w:firstLine="720"/>
      </w:pPr>
      <w:r>
        <w:t>During the morning session of the November Hearing, Eagle</w:t>
      </w:r>
      <w:r w:rsidR="000322C1">
        <w:t>’</w:t>
      </w:r>
      <w:r w:rsidR="00C11DE8">
        <w:t xml:space="preserve">s </w:t>
      </w:r>
      <w:r w:rsidR="000322C1">
        <w:t>counsel</w:t>
      </w:r>
      <w:r>
        <w:t xml:space="preserve"> informed the </w:t>
      </w:r>
      <w:r w:rsidR="004F1DDA">
        <w:t>court</w:t>
      </w:r>
      <w:r>
        <w:t xml:space="preserve"> that </w:t>
      </w:r>
      <w:r w:rsidR="000322C1">
        <w:t xml:space="preserve">Eagle </w:t>
      </w:r>
      <w:r>
        <w:t>would be dismissing its complaint without prejudice, and the City</w:t>
      </w:r>
      <w:r w:rsidR="000322C1">
        <w:t>’s lawyer</w:t>
      </w:r>
      <w:r>
        <w:t xml:space="preserve"> stated that it would be proceeding to trial on its c</w:t>
      </w:r>
      <w:r w:rsidR="00BC6C33">
        <w:t>ross</w:t>
      </w:r>
      <w:r>
        <w:t xml:space="preserve">-complaint.  </w:t>
      </w:r>
      <w:r w:rsidRPr="00FC2DBB">
        <w:t xml:space="preserve">When the parties returned </w:t>
      </w:r>
      <w:r>
        <w:t>from the lunch</w:t>
      </w:r>
      <w:r w:rsidRPr="00FC2DBB">
        <w:t xml:space="preserve"> recess, they informed the trial court that they had reached a settlement.  The City</w:t>
      </w:r>
      <w:r w:rsidR="000322C1">
        <w:t>’s lawyer</w:t>
      </w:r>
      <w:r w:rsidRPr="00FC2DBB">
        <w:t xml:space="preserve"> explained that the settlement was subject to approval by the City council and requested </w:t>
      </w:r>
      <w:r w:rsidRPr="00883A01">
        <w:t xml:space="preserve">that the court continue the matter for council approval.  After the court agreed to </w:t>
      </w:r>
      <w:r w:rsidRPr="00883A01" w:rsidR="0033077E">
        <w:t xml:space="preserve">the </w:t>
      </w:r>
      <w:r w:rsidRPr="00883A01">
        <w:t>continu</w:t>
      </w:r>
      <w:r w:rsidRPr="00883A01" w:rsidR="0033077E">
        <w:t>anc</w:t>
      </w:r>
      <w:r w:rsidRPr="00883A01">
        <w:t>e, the City</w:t>
      </w:r>
      <w:r w:rsidRPr="00883A01" w:rsidR="000322C1">
        <w:t>’s</w:t>
      </w:r>
      <w:r w:rsidR="000322C1">
        <w:t xml:space="preserve"> lawyer</w:t>
      </w:r>
      <w:r w:rsidRPr="00FC2DBB">
        <w:t xml:space="preserve"> explained that “basically, all parties have agreed to dismiss all claims against each other with </w:t>
      </w:r>
      <w:r w:rsidRPr="004B3A0B">
        <w:t xml:space="preserve">prejudice, and we’ve agreed to </w:t>
      </w:r>
      <w:r w:rsidRPr="004B3A0B" w:rsidR="00FC4FC1">
        <w:t>. . .</w:t>
      </w:r>
      <w:r w:rsidRPr="004B3A0B">
        <w:t xml:space="preserve"> waive any rights to further appeals in regard to this matter.”  Eagle</w:t>
      </w:r>
      <w:r w:rsidRPr="004B3A0B" w:rsidR="000322C1">
        <w:t>’s counsel</w:t>
      </w:r>
      <w:r w:rsidRPr="004B3A0B">
        <w:t xml:space="preserve"> then stated each side was to bear their own costs, and the City</w:t>
      </w:r>
      <w:r w:rsidRPr="004B3A0B" w:rsidR="000322C1">
        <w:t>’s lawyer</w:t>
      </w:r>
      <w:r w:rsidRPr="004B3A0B">
        <w:t xml:space="preserve"> agreed.</w:t>
      </w:r>
      <w:r w:rsidRPr="00FC2DBB">
        <w:t xml:space="preserve">  The court then summarized:  “So everybody’s dismissing their complaints, their cross-complaints, their appeals, everybody’s bearing their own costs and fees?”  </w:t>
      </w:r>
      <w:r w:rsidR="000322C1">
        <w:t xml:space="preserve">The </w:t>
      </w:r>
      <w:r w:rsidRPr="00FC2DBB">
        <w:t>City</w:t>
      </w:r>
      <w:r w:rsidR="000322C1">
        <w:t xml:space="preserve">’s lawyer </w:t>
      </w:r>
      <w:r w:rsidRPr="00FC2DBB">
        <w:t xml:space="preserve">agreed with the court.  </w:t>
      </w:r>
      <w:r>
        <w:t xml:space="preserve">The court then asked the parties’ representatives if they understood that there would be no trial and no right to appeal and asked if they understood that the settlement agreement would be a binding agreement enforceable by the court.  </w:t>
      </w:r>
      <w:r w:rsidR="00B40BEE">
        <w:t xml:space="preserve">Addressing </w:t>
      </w:r>
      <w:r>
        <w:t>Eagle</w:t>
      </w:r>
      <w:r w:rsidR="00B40BEE">
        <w:t>’s representative</w:t>
      </w:r>
      <w:r>
        <w:t xml:space="preserve">, the court framed the latter question as follows:  “And do you understand by settling here and dismissing your complaint that it will be a binding agreement enforceable by the Court and that neither side may pursue the other?”  The parties’ representatives both responded affirmatively to the court’s questions.  However, a question then arose about whether the settlement would require Eagle to dismiss </w:t>
      </w:r>
      <w:r w:rsidR="00162A8E">
        <w:t>the Watts Appeal</w:t>
      </w:r>
      <w:r>
        <w:t xml:space="preserve">.  The court took a recess for the parties to discuss the issue.   </w:t>
      </w:r>
    </w:p>
    <w:p w:rsidR="00201D81" w:rsidRPr="00883A01" w:rsidP="00C75150" w14:paraId="657CCDA4" w14:textId="0DC0F952">
      <w:pPr>
        <w:ind w:firstLine="720"/>
      </w:pPr>
      <w:r w:rsidRPr="00FC2DBB">
        <w:t>After the break, the City</w:t>
      </w:r>
      <w:r w:rsidR="000322C1">
        <w:t>’s lawyer</w:t>
      </w:r>
      <w:r w:rsidRPr="00FC2DBB">
        <w:t xml:space="preserve"> informed the trial court that the parties were adding another term so that the settlement would be “dismissal with prejudice of all claims, [the City] against [</w:t>
      </w:r>
      <w:r>
        <w:t>Eagle</w:t>
      </w:r>
      <w:r w:rsidRPr="00FC2DBB">
        <w:t>] and [</w:t>
      </w:r>
      <w:r w:rsidRPr="00883A01">
        <w:t>Eagle] against [the City]</w:t>
      </w:r>
      <w:r w:rsidRPr="00883A01" w:rsidR="006E2343">
        <w:t xml:space="preserve"> . . . </w:t>
      </w:r>
      <w:r w:rsidRPr="00883A01">
        <w:t>, and it also includes a dismissal by [Eagle] of any appeals against Jason Watts.”  Eagle</w:t>
      </w:r>
      <w:r w:rsidRPr="00883A01" w:rsidR="000322C1">
        <w:t>’s counsel</w:t>
      </w:r>
      <w:r w:rsidRPr="00883A01">
        <w:t xml:space="preserve"> then said, “Of this lawsuit, yes.”  The court asked Eagle’s representative if he understood the additional term, and he responded</w:t>
      </w:r>
      <w:r w:rsidRPr="00883A01" w:rsidR="00E850D8">
        <w:t>,</w:t>
      </w:r>
      <w:r w:rsidRPr="00883A01">
        <w:t xml:space="preserve"> “</w:t>
      </w:r>
      <w:r w:rsidRPr="00883A01" w:rsidR="005163AF">
        <w:t>Y</w:t>
      </w:r>
      <w:r w:rsidRPr="00883A01">
        <w:t>es</w:t>
      </w:r>
      <w:r w:rsidRPr="00883A01" w:rsidR="00E16178">
        <w:t>, sir</w:t>
      </w:r>
      <w:r w:rsidRPr="00883A01">
        <w:t>.”  The City</w:t>
      </w:r>
      <w:r w:rsidRPr="00883A01" w:rsidR="000322C1">
        <w:t xml:space="preserve">’s lawyer </w:t>
      </w:r>
      <w:r w:rsidRPr="00883A01">
        <w:t>then interrupted the court and the following exchange occurred:</w:t>
      </w:r>
    </w:p>
    <w:p w:rsidR="00201D81" w:rsidRPr="00883A01" w:rsidP="003055A6" w14:paraId="7FEA0369" w14:textId="537E8A19">
      <w:pPr>
        <w:pStyle w:val="IndentedQuote0"/>
      </w:pPr>
      <w:r w:rsidRPr="00883A01">
        <w:tab/>
        <w:t>“[</w:t>
      </w:r>
      <w:r w:rsidRPr="00883A01" w:rsidR="005F446B">
        <w:t>THE CITY</w:t>
      </w:r>
      <w:r w:rsidRPr="00883A01" w:rsidR="00C06E6E">
        <w:t>’S COUNSEL</w:t>
      </w:r>
      <w:r w:rsidRPr="00883A01">
        <w:t>]:  And, I’m sorry, she said of this lawsuit.  It’s related to any</w:t>
      </w:r>
      <w:r w:rsidRPr="00883A01" w:rsidR="00014178">
        <w:t xml:space="preserve"> </w:t>
      </w:r>
      <w:r w:rsidRPr="00883A01">
        <w:t>events that arised [</w:t>
      </w:r>
      <w:r w:rsidRPr="00883A01">
        <w:rPr>
          <w:i/>
          <w:iCs/>
        </w:rPr>
        <w:t>sic</w:t>
      </w:r>
      <w:r w:rsidRPr="00883A01">
        <w:t>] out of this incident.</w:t>
      </w:r>
    </w:p>
    <w:p w:rsidR="00201D81" w:rsidRPr="00883A01" w:rsidP="00201D81" w14:paraId="4F91D67E" w14:textId="0E01CC2A">
      <w:pPr>
        <w:pStyle w:val="IndentedQuote0"/>
      </w:pPr>
      <w:r w:rsidRPr="00883A01">
        <w:tab/>
        <w:t>“[</w:t>
      </w:r>
      <w:r w:rsidRPr="00883A01" w:rsidR="005F446B">
        <w:t>EAGLE</w:t>
      </w:r>
      <w:r w:rsidRPr="00883A01" w:rsidR="00D13DE5">
        <w:t>’S COUNSEL</w:t>
      </w:r>
      <w:r w:rsidRPr="00883A01">
        <w:t>]:  No.</w:t>
      </w:r>
    </w:p>
    <w:p w:rsidR="00201D81" w:rsidRPr="00883A01" w:rsidP="00201D81" w14:paraId="28DE89A6" w14:textId="72C6E7E2">
      <w:pPr>
        <w:pStyle w:val="IndentedQuote0"/>
      </w:pPr>
      <w:r w:rsidRPr="00883A01">
        <w:tab/>
        <w:t>“[</w:t>
      </w:r>
      <w:r w:rsidRPr="00883A01" w:rsidR="005F446B">
        <w:t>THE CITY</w:t>
      </w:r>
      <w:r w:rsidRPr="00883A01" w:rsidR="00D13DE5">
        <w:t>’S COUNSEL</w:t>
      </w:r>
      <w:r w:rsidRPr="00883A01">
        <w:t>]:  Oh, absolutely.</w:t>
      </w:r>
    </w:p>
    <w:p w:rsidR="00201D81" w:rsidRPr="00883A01" w:rsidP="005F446B" w14:paraId="7C537207" w14:textId="0B94F1B4">
      <w:pPr>
        <w:pStyle w:val="IndentedQuote0"/>
      </w:pPr>
      <w:r w:rsidRPr="00883A01">
        <w:tab/>
        <w:t>“[EAGLE</w:t>
      </w:r>
      <w:r w:rsidRPr="00883A01" w:rsidR="00D13DE5">
        <w:t>’S</w:t>
      </w:r>
      <w:r w:rsidRPr="00883A01" w:rsidR="00C6217A">
        <w:t xml:space="preserve"> COUNSEL</w:t>
      </w:r>
      <w:r w:rsidRPr="00883A01">
        <w:t>]:  No.  You never said that before.  We’re dismissing this lawsuit with prejudice, and you’re dismissing that lawsuit with prejudice.</w:t>
      </w:r>
    </w:p>
    <w:p w:rsidR="00201D81" w:rsidRPr="00883A01" w:rsidP="00201D81" w14:paraId="284A76BF" w14:textId="6976550E">
      <w:pPr>
        <w:pStyle w:val="IndentedQuote0"/>
      </w:pPr>
      <w:r w:rsidRPr="00883A01">
        <w:tab/>
        <w:t>“[THE CITY</w:t>
      </w:r>
      <w:r w:rsidRPr="00883A01" w:rsidR="00C6217A">
        <w:t>’S COUNSEL</w:t>
      </w:r>
      <w:r w:rsidRPr="00883A01">
        <w:t>]:  It’s anything that arose out of --</w:t>
      </w:r>
    </w:p>
    <w:p w:rsidR="00201D81" w:rsidRPr="00883A01" w:rsidP="00201D81" w14:paraId="4BBA4F22" w14:textId="5EABA5AC">
      <w:pPr>
        <w:pStyle w:val="IndentedQuote0"/>
      </w:pPr>
      <w:r w:rsidRPr="00883A01">
        <w:tab/>
        <w:t>“</w:t>
      </w:r>
      <w:r w:rsidRPr="00883A01" w:rsidR="0031107B">
        <w:t>THE COURT</w:t>
      </w:r>
      <w:r w:rsidRPr="00883A01">
        <w:t>:  If it’s dismissed --</w:t>
      </w:r>
    </w:p>
    <w:p w:rsidR="00201D81" w:rsidRPr="00883A01" w:rsidP="00201D81" w14:paraId="457AABB6" w14:textId="31581F52">
      <w:pPr>
        <w:pStyle w:val="IndentedQuote0"/>
      </w:pPr>
      <w:r w:rsidRPr="00883A01">
        <w:tab/>
        <w:t>“[</w:t>
      </w:r>
      <w:r w:rsidRPr="00883A01" w:rsidR="00326638">
        <w:t>THE CITY</w:t>
      </w:r>
      <w:r w:rsidRPr="00883A01" w:rsidR="00C6217A">
        <w:t>’S COUNSEL</w:t>
      </w:r>
      <w:r w:rsidRPr="00883A01">
        <w:t>]:  -- it’s the subject.</w:t>
      </w:r>
    </w:p>
    <w:p w:rsidR="00201D81" w:rsidRPr="00883A01" w:rsidP="00201D81" w14:paraId="0E1A2F3A" w14:textId="60CCFB88">
      <w:pPr>
        <w:pStyle w:val="IndentedQuote0"/>
      </w:pPr>
      <w:r w:rsidRPr="00883A01">
        <w:tab/>
        <w:t>“</w:t>
      </w:r>
      <w:r w:rsidRPr="00883A01" w:rsidR="00EC56D9">
        <w:t>THE COURT</w:t>
      </w:r>
      <w:r w:rsidRPr="00883A01">
        <w:t>:  It can’t be brought back.</w:t>
      </w:r>
    </w:p>
    <w:p w:rsidR="00201D81" w:rsidRPr="00883A01" w:rsidP="00201D81" w14:paraId="1D9269D6" w14:textId="3ECCEFB9">
      <w:pPr>
        <w:pStyle w:val="IndentedQuote0"/>
      </w:pPr>
      <w:r w:rsidRPr="00883A01">
        <w:tab/>
        <w:t>“[</w:t>
      </w:r>
      <w:r w:rsidRPr="00883A01" w:rsidR="00C81669">
        <w:t>EAGLE</w:t>
      </w:r>
      <w:r w:rsidRPr="00883A01" w:rsidR="00C6217A">
        <w:t>’S COUNSEL</w:t>
      </w:r>
      <w:r w:rsidRPr="00883A01">
        <w:t>]:  I can’t bring it back.</w:t>
      </w:r>
    </w:p>
    <w:p w:rsidR="00201D81" w:rsidRPr="00883A01" w:rsidP="00201D81" w14:paraId="14F2FF33" w14:textId="47D8F074">
      <w:pPr>
        <w:pStyle w:val="IndentedQuote0"/>
      </w:pPr>
      <w:r w:rsidRPr="00883A01">
        <w:tab/>
        <w:t>“[</w:t>
      </w:r>
      <w:r w:rsidRPr="00883A01" w:rsidR="00953038">
        <w:t>EAGLE</w:t>
      </w:r>
      <w:r w:rsidRPr="00883A01" w:rsidR="00C6217A">
        <w:t>’S</w:t>
      </w:r>
      <w:r w:rsidRPr="00883A01" w:rsidR="00953038">
        <w:t xml:space="preserve"> </w:t>
      </w:r>
      <w:r w:rsidRPr="00883A01">
        <w:t>R</w:t>
      </w:r>
      <w:r w:rsidRPr="00883A01" w:rsidR="00953038">
        <w:t>EPRESENTATIVE</w:t>
      </w:r>
      <w:r w:rsidRPr="00883A01">
        <w:t>]:  Yes.</w:t>
      </w:r>
      <w:r w:rsidRPr="00883A01" w:rsidR="00C041DC">
        <w:t xml:space="preserve"> </w:t>
      </w:r>
      <w:r w:rsidRPr="00883A01">
        <w:t xml:space="preserve"> Yes.</w:t>
      </w:r>
    </w:p>
    <w:p w:rsidR="00201D81" w:rsidRPr="00883A01" w:rsidP="00326638" w14:paraId="493513CE" w14:textId="484C086A">
      <w:pPr>
        <w:pStyle w:val="IndentedQuote0"/>
      </w:pPr>
      <w:r w:rsidRPr="00883A01">
        <w:tab/>
        <w:t>“</w:t>
      </w:r>
      <w:r w:rsidRPr="00883A01" w:rsidR="00C81669">
        <w:t>THE COURT</w:t>
      </w:r>
      <w:r w:rsidRPr="00883A01">
        <w:t>:  The dismissals are all</w:t>
      </w:r>
      <w:r w:rsidRPr="00FC2DBB">
        <w:t xml:space="preserve"> with prejudice on each side, and everyone is dismissing their </w:t>
      </w:r>
      <w:r w:rsidRPr="00883A01">
        <w:t>appeals.  I mean, if --</w:t>
      </w:r>
    </w:p>
    <w:p w:rsidR="00201D81" w:rsidRPr="00883A01" w:rsidP="00201D81" w14:paraId="14459C3B" w14:textId="32494FAE">
      <w:pPr>
        <w:pStyle w:val="IndentedQuote0"/>
      </w:pPr>
      <w:r w:rsidRPr="00883A01">
        <w:tab/>
        <w:t>“[THE CITY</w:t>
      </w:r>
      <w:r w:rsidRPr="00883A01" w:rsidR="00464B8B">
        <w:t>’S COUNSEL</w:t>
      </w:r>
      <w:r w:rsidRPr="00883A01">
        <w:t>]:  Thank you.</w:t>
      </w:r>
    </w:p>
    <w:p w:rsidR="00201D81" w:rsidRPr="00883A01" w:rsidP="00201D81" w14:paraId="4D874778" w14:textId="018E5A86">
      <w:pPr>
        <w:pStyle w:val="IndentedQuote0"/>
      </w:pPr>
      <w:r w:rsidRPr="00883A01">
        <w:tab/>
        <w:t>“[</w:t>
      </w:r>
      <w:r w:rsidRPr="00883A01" w:rsidR="00C81669">
        <w:t>EAGLE</w:t>
      </w:r>
      <w:r w:rsidRPr="00883A01" w:rsidR="00464B8B">
        <w:t>’S COUNSEL</w:t>
      </w:r>
      <w:r w:rsidRPr="00883A01">
        <w:t>]:  Thank you.</w:t>
      </w:r>
      <w:r w:rsidRPr="00883A01">
        <w:tab/>
      </w:r>
    </w:p>
    <w:p w:rsidR="00201D81" w:rsidRPr="00FC2DBB" w:rsidP="00201D81" w14:paraId="59CD9DBC" w14:textId="189FD30A">
      <w:pPr>
        <w:pStyle w:val="IndentedQuote0"/>
      </w:pPr>
      <w:r w:rsidRPr="00883A01">
        <w:tab/>
        <w:t>“[</w:t>
      </w:r>
      <w:r w:rsidRPr="00883A01" w:rsidR="00953038">
        <w:t>EAGLE</w:t>
      </w:r>
      <w:r w:rsidRPr="00883A01" w:rsidR="00464B8B">
        <w:t>’S</w:t>
      </w:r>
      <w:r w:rsidRPr="00883A01" w:rsidR="00953038">
        <w:t xml:space="preserve"> REPRESENTATIVE</w:t>
      </w:r>
      <w:r w:rsidRPr="00883A01">
        <w:t>]:  Yes</w:t>
      </w:r>
      <w:r w:rsidRPr="00FC2DBB">
        <w:t>.  Thank you, Your Honor.</w:t>
      </w:r>
    </w:p>
    <w:p w:rsidR="00201D81" w:rsidP="00326638" w14:paraId="49FCE869" w14:textId="4A13EFAF">
      <w:pPr>
        <w:pStyle w:val="IndentedQuote0"/>
      </w:pPr>
      <w:r>
        <w:tab/>
      </w:r>
      <w:r w:rsidRPr="00FC2DBB">
        <w:t>“</w:t>
      </w:r>
      <w:r w:rsidR="00C81669">
        <w:t xml:space="preserve">THE </w:t>
      </w:r>
      <w:r w:rsidRPr="00883A01" w:rsidR="00C81669">
        <w:t>COURT</w:t>
      </w:r>
      <w:r w:rsidRPr="00883A01">
        <w:t xml:space="preserve">:  Okay.  Then I will go ahead and accept the settlement comprised by the freely and voluntarily entered into by all parties with the assistance of </w:t>
      </w:r>
      <w:r w:rsidRPr="00883A01" w:rsidR="00465971">
        <w:t>C</w:t>
      </w:r>
      <w:r w:rsidRPr="00883A01">
        <w:t>oun</w:t>
      </w:r>
      <w:r w:rsidRPr="00883A01" w:rsidR="00465971">
        <w:t>[</w:t>
      </w:r>
      <w:r w:rsidRPr="00883A01">
        <w:t>se</w:t>
      </w:r>
      <w:r w:rsidRPr="00883A01" w:rsidR="00465971">
        <w:t>]</w:t>
      </w:r>
      <w:r w:rsidRPr="00883A01">
        <w:t>l.”</w:t>
      </w:r>
      <w:r w:rsidR="007C72BF">
        <w:t xml:space="preserve">  </w:t>
      </w:r>
    </w:p>
    <w:p w:rsidR="00201D81" w:rsidRPr="00883A01" w:rsidP="00201D81" w14:paraId="4576A627" w14:textId="397F35C7">
      <w:pPr>
        <w:ind w:firstLine="720"/>
      </w:pPr>
      <w:r>
        <w:t xml:space="preserve">The trial court subsequently stated that a minute order would issue stating that there </w:t>
      </w:r>
      <w:r w:rsidR="00A51F53">
        <w:t>wa</w:t>
      </w:r>
      <w:r>
        <w:t xml:space="preserve">s a settlement for “dismissal of all claims, all appeals, the suit with prejudice </w:t>
      </w:r>
      <w:r w:rsidRPr="00FC2DBB" w:rsidR="001D67CD">
        <w:t>--</w:t>
      </w:r>
      <w:r>
        <w:t xml:space="preserve"> the countersuit with prejudice </w:t>
      </w:r>
      <w:r w:rsidR="00807D36">
        <w:t>. . .</w:t>
      </w:r>
      <w:r>
        <w:t xml:space="preserve"> this is pending </w:t>
      </w:r>
      <w:r w:rsidRPr="00883A01">
        <w:t xml:space="preserve">Council approval </w:t>
      </w:r>
      <w:r w:rsidRPr="00883A01" w:rsidR="00807D36">
        <w:t>. . . </w:t>
      </w:r>
      <w:r w:rsidRPr="00883A01">
        <w:t xml:space="preserve">.”  No objections were made to the proposed minute order.  The hearing concluded with the court setting a status conference </w:t>
      </w:r>
      <w:r w:rsidRPr="00883A01" w:rsidR="00E25AFF">
        <w:t xml:space="preserve">in </w:t>
      </w:r>
      <w:r w:rsidRPr="00883A01">
        <w:t xml:space="preserve">January 2023.  </w:t>
      </w:r>
    </w:p>
    <w:p w:rsidR="0078011C" w:rsidRPr="00A36340" w:rsidP="0078011C" w14:paraId="29CA294E" w14:textId="588AFA12">
      <w:pPr>
        <w:pStyle w:val="Heading2"/>
        <w:rPr>
          <w:b w:val="0"/>
          <w:i/>
        </w:rPr>
      </w:pPr>
      <w:r w:rsidRPr="00883A01">
        <w:tab/>
      </w:r>
      <w:bookmarkStart w:id="16" w:name="_Toc165298042"/>
      <w:r w:rsidRPr="00883A01">
        <w:rPr>
          <w:b w:val="0"/>
          <w:i/>
        </w:rPr>
        <w:t>2.</w:t>
      </w:r>
      <w:r w:rsidRPr="00883A01">
        <w:rPr>
          <w:b w:val="0"/>
          <w:i/>
        </w:rPr>
        <w:tab/>
        <w:t>The March Order</w:t>
      </w:r>
      <w:bookmarkEnd w:id="16"/>
    </w:p>
    <w:p w:rsidR="00201D81" w:rsidP="00201D81" w14:paraId="273BCE40" w14:textId="560943F2">
      <w:pPr>
        <w:ind w:firstLine="720"/>
      </w:pPr>
      <w:r>
        <w:t xml:space="preserve">The trial judge who presided over the November Hearing also conducted the hearing </w:t>
      </w:r>
      <w:r w:rsidR="00C75150">
        <w:t>on the City’s motion to enforce settlement</w:t>
      </w:r>
      <w:r>
        <w:t xml:space="preserve">.  </w:t>
      </w:r>
      <w:r w:rsidRPr="00883A01" w:rsidR="000571EC">
        <w:t xml:space="preserve">The </w:t>
      </w:r>
      <w:r w:rsidRPr="00883A01" w:rsidR="00465971">
        <w:t xml:space="preserve">discussion in </w:t>
      </w:r>
      <w:r w:rsidRPr="00883A01" w:rsidR="006D2824">
        <w:t xml:space="preserve">the </w:t>
      </w:r>
      <w:r w:rsidRPr="00883A01">
        <w:t>March Order</w:t>
      </w:r>
      <w:r w:rsidRPr="00883A01" w:rsidR="000571EC">
        <w:t xml:space="preserve"> shows the </w:t>
      </w:r>
      <w:r w:rsidRPr="00883A01">
        <w:t xml:space="preserve">trial court relied </w:t>
      </w:r>
      <w:r w:rsidRPr="00883A01" w:rsidR="000571EC">
        <w:t xml:space="preserve">heavily </w:t>
      </w:r>
      <w:r w:rsidRPr="00883A01">
        <w:t xml:space="preserve">on the </w:t>
      </w:r>
      <w:r w:rsidRPr="00883A01" w:rsidR="00F06685">
        <w:t>reporter’s transcript</w:t>
      </w:r>
      <w:r w:rsidRPr="00883A01">
        <w:t xml:space="preserve"> of the November </w:t>
      </w:r>
      <w:r w:rsidRPr="00883A01" w:rsidR="00C75150">
        <w:t>H</w:t>
      </w:r>
      <w:r w:rsidRPr="00883A01">
        <w:t>earing</w:t>
      </w:r>
      <w:r w:rsidRPr="00883A01" w:rsidR="000571EC">
        <w:t xml:space="preserve"> in finding a settlement had </w:t>
      </w:r>
      <w:r w:rsidRPr="00883A01">
        <w:t>occurred</w:t>
      </w:r>
      <w:r w:rsidRPr="00883A01" w:rsidR="000571EC">
        <w:t xml:space="preserve">.  </w:t>
      </w:r>
      <w:r w:rsidRPr="00883A01" w:rsidR="00465971">
        <w:t xml:space="preserve">In the March Order, the court described </w:t>
      </w:r>
      <w:r w:rsidRPr="00883A01" w:rsidR="000571EC">
        <w:t>the</w:t>
      </w:r>
      <w:r w:rsidR="000571EC">
        <w:t xml:space="preserve"> terms and conditions of the settlement, stating:</w:t>
      </w:r>
    </w:p>
    <w:p w:rsidR="00201D81" w:rsidP="00201D81" w14:paraId="3C64328F" w14:textId="569F18E7">
      <w:pPr>
        <w:pStyle w:val="IndentedQuote0"/>
        <w:ind w:firstLine="720"/>
      </w:pPr>
      <w:r>
        <w:t>“</w:t>
      </w:r>
      <w:bookmarkStart w:id="17" w:name="_Hlk163812336"/>
      <w:r>
        <w:t xml:space="preserve">On the one hand, [Eagle], having dismissed its operative complaint as to the City without prejudice, would dismiss its case with prejudice against the City and waive any right of appeal as against the City and Watts, as well as waive any recovery of fees and costs.  Plaintiff’s principal expressly, freely and voluntarily agreed to each of these terms.  This included the discussion of whether the settlement included barring future claims that </w:t>
      </w:r>
      <w:r w:rsidR="00E25AFF">
        <w:t>‘</w:t>
      </w:r>
      <w:r>
        <w:t>arise out of</w:t>
      </w:r>
      <w:r w:rsidR="00E25AFF">
        <w:t>’</w:t>
      </w:r>
      <w:r>
        <w:t xml:space="preserve"> the underlying incident in this case and agreement thereto by [Eagle’s representative].</w:t>
      </w:r>
    </w:p>
    <w:p w:rsidR="00201D81" w:rsidRPr="00883A01" w:rsidP="00201D81" w14:paraId="6AF47276" w14:textId="1A3A9548">
      <w:pPr>
        <w:pStyle w:val="IndentedQuote0"/>
        <w:ind w:firstLine="720"/>
      </w:pPr>
      <w:r>
        <w:t xml:space="preserve">“On the other hand, pending City Council approval, the City agreed to dismiss its cross-complaint against [Eagle] with prejudice, waive its right to appeal, and waive </w:t>
      </w:r>
      <w:r w:rsidRPr="00883A01">
        <w:t xml:space="preserve">recovery of its </w:t>
      </w:r>
      <w:r w:rsidRPr="00883A01" w:rsidR="007C6886">
        <w:t xml:space="preserve">fees and </w:t>
      </w:r>
      <w:r w:rsidRPr="00883A01">
        <w:t>costs, via its assistant city manager.”</w:t>
      </w:r>
      <w:bookmarkEnd w:id="17"/>
      <w:r w:rsidRPr="00883A01" w:rsidR="001F0285">
        <w:t xml:space="preserve">    </w:t>
      </w:r>
    </w:p>
    <w:p w:rsidR="00201D81" w:rsidRPr="00883A01" w:rsidP="00465971" w14:paraId="7FF3BF90" w14:textId="249E7666">
      <w:pPr>
        <w:ind w:firstLine="720"/>
      </w:pPr>
      <w:r w:rsidRPr="00883A01">
        <w:t xml:space="preserve">Based on these </w:t>
      </w:r>
      <w:r w:rsidRPr="00883A01" w:rsidR="001F0285">
        <w:t>findings about the existence and terms of the settlement agreement</w:t>
      </w:r>
      <w:r w:rsidRPr="00883A01">
        <w:t>, the trial court “grant[ed] the motion and enter[ed] judgment pursuant to the terms of the settlement as follows</w:t>
      </w:r>
      <w:r w:rsidRPr="00883A01" w:rsidR="00300D68">
        <w:t>”</w:t>
      </w:r>
      <w:r w:rsidRPr="00883A01">
        <w:t>:</w:t>
      </w:r>
      <w:r w:rsidRPr="00883A01" w:rsidR="00F9306E">
        <w:t xml:space="preserve"> </w:t>
      </w:r>
      <w:r w:rsidRPr="00883A01" w:rsidR="002A0FD6">
        <w:t xml:space="preserve">  </w:t>
      </w:r>
    </w:p>
    <w:p w:rsidR="00201D81" w:rsidRPr="00FC2DBB" w:rsidP="00201D81" w14:paraId="4508F63E" w14:textId="281DBBDE">
      <w:pPr>
        <w:pStyle w:val="IndentedQuote0"/>
        <w:ind w:left="1440" w:hanging="720"/>
      </w:pPr>
      <w:r w:rsidRPr="00883A01">
        <w:t>“a.</w:t>
      </w:r>
      <w:r w:rsidRPr="00883A01">
        <w:tab/>
        <w:t>Plaintiff</w:t>
      </w:r>
      <w:r w:rsidRPr="00883A01" w:rsidR="0095207C">
        <w:t>[]</w:t>
      </w:r>
      <w:r w:rsidRPr="00883A01">
        <w:t xml:space="preserve"> [Eagle’s] operative</w:t>
      </w:r>
      <w:r w:rsidRPr="00FC2DBB">
        <w:t xml:space="preserve"> complaint is dismissed with prejudice as to Defendant City of Dinuba;</w:t>
      </w:r>
    </w:p>
    <w:p w:rsidR="00201D81" w:rsidRPr="00FC2DBB" w:rsidP="00201D81" w14:paraId="03DB76FA" w14:textId="77777777">
      <w:pPr>
        <w:pStyle w:val="IndentedQuote0"/>
        <w:ind w:left="1440" w:hanging="720"/>
      </w:pPr>
      <w:r w:rsidRPr="00FC2DBB">
        <w:t>“b.</w:t>
      </w:r>
      <w:r w:rsidRPr="00FC2DBB">
        <w:tab/>
        <w:t>Plaintiff waives recovery [of] costs and attorneys’ fees incurred in this action;</w:t>
      </w:r>
    </w:p>
    <w:p w:rsidR="00201D81" w:rsidRPr="00FC2DBB" w:rsidP="00201D81" w14:paraId="15700F1E" w14:textId="77777777">
      <w:pPr>
        <w:pStyle w:val="IndentedQuote0"/>
        <w:ind w:left="1440" w:hanging="720"/>
      </w:pPr>
      <w:r w:rsidRPr="00FC2DBB">
        <w:t>“c.</w:t>
      </w:r>
      <w:r w:rsidRPr="00FC2DBB">
        <w:tab/>
        <w:t>Plaintiff waives the right to appeal any matter in this case as to any Defendant;</w:t>
      </w:r>
    </w:p>
    <w:p w:rsidR="00201D81" w:rsidRPr="00883A01" w:rsidP="00201D81" w14:paraId="0700B184" w14:textId="77777777">
      <w:pPr>
        <w:pStyle w:val="IndentedQuote0"/>
        <w:ind w:left="1440" w:hanging="720"/>
      </w:pPr>
      <w:r w:rsidRPr="00FC2DBB">
        <w:t>“d.</w:t>
      </w:r>
      <w:r w:rsidRPr="00FC2DBB">
        <w:tab/>
        <w:t xml:space="preserve">Defendant City of Dinuba’s cross-complaint against Plaintiff is </w:t>
      </w:r>
      <w:r w:rsidRPr="00883A01">
        <w:t>dismissed with prejudice;</w:t>
      </w:r>
    </w:p>
    <w:p w:rsidR="00201D81" w:rsidRPr="00883A01" w:rsidP="00201D81" w14:paraId="40A6D099" w14:textId="1F7283ED">
      <w:pPr>
        <w:pStyle w:val="IndentedQuote0"/>
        <w:ind w:left="1440" w:hanging="720"/>
      </w:pPr>
      <w:r w:rsidRPr="00883A01">
        <w:t>“e.</w:t>
      </w:r>
      <w:r w:rsidRPr="00883A01">
        <w:tab/>
        <w:t>Defendant City of Dinuba waives</w:t>
      </w:r>
      <w:r w:rsidRPr="00883A01" w:rsidR="00F651DD">
        <w:t xml:space="preserve"> </w:t>
      </w:r>
      <w:r w:rsidRPr="00883A01">
        <w:t>recovery [of] costs and attorneys’ fees incurred in this action; and</w:t>
      </w:r>
    </w:p>
    <w:p w:rsidR="00F651DD" w:rsidRPr="00883A01" w:rsidP="00201D81" w14:paraId="24D977B8" w14:textId="350A0495">
      <w:pPr>
        <w:pStyle w:val="IndentedQuote0"/>
      </w:pPr>
      <w:r w:rsidRPr="00883A01">
        <w:t>“f.</w:t>
      </w:r>
      <w:r w:rsidRPr="00883A01">
        <w:tab/>
        <w:t xml:space="preserve">Defendant City of Dinuba waives the right to appeal any matter in </w:t>
      </w:r>
      <w:r w:rsidRPr="00883A01" w:rsidR="008F7094">
        <w:tab/>
      </w:r>
      <w:r w:rsidRPr="00883A01">
        <w:t>this case.</w:t>
      </w:r>
      <w:r w:rsidRPr="00883A01" w:rsidR="001F0285">
        <w:t xml:space="preserve">  </w:t>
      </w:r>
    </w:p>
    <w:p w:rsidR="00201D81" w:rsidRPr="00FC2DBB" w:rsidP="00201D81" w14:paraId="5A9D4789" w14:textId="61AA6FC5">
      <w:pPr>
        <w:pStyle w:val="IndentedQuote0"/>
      </w:pPr>
      <w:r w:rsidRPr="00883A01">
        <w:t>“g.</w:t>
      </w:r>
      <w:r w:rsidRPr="00883A01">
        <w:tab/>
        <w:t>All pending</w:t>
      </w:r>
      <w:r>
        <w:t xml:space="preserve"> appeals on each side are to be dismissed.”  </w:t>
      </w:r>
    </w:p>
    <w:p w:rsidR="00E67EB6" w:rsidRPr="00FC2060" w:rsidP="00FC2060" w14:paraId="1F8333FF" w14:textId="2BCD0836">
      <w:pPr>
        <w:pStyle w:val="Heading2"/>
        <w:rPr>
          <w:b w:val="0"/>
        </w:rPr>
      </w:pPr>
      <w:bookmarkStart w:id="18" w:name="_Toc165298043"/>
      <w:r>
        <w:rPr>
          <w:b w:val="0"/>
        </w:rPr>
        <w:t>C.</w:t>
      </w:r>
      <w:r>
        <w:rPr>
          <w:b w:val="0"/>
        </w:rPr>
        <w:tab/>
      </w:r>
      <w:r>
        <w:rPr>
          <w:b w:val="0"/>
          <w:u w:val="single"/>
        </w:rPr>
        <w:t>Legal Principle</w:t>
      </w:r>
      <w:r w:rsidR="00FC2060">
        <w:rPr>
          <w:b w:val="0"/>
          <w:u w:val="single"/>
        </w:rPr>
        <w:t>s Governing Section 664.6 Motions</w:t>
      </w:r>
      <w:bookmarkEnd w:id="18"/>
    </w:p>
    <w:p w:rsidR="00686808" w:rsidP="00AF08F2" w14:paraId="16632711" w14:textId="33D2ADEB">
      <w:pPr>
        <w:ind w:firstLine="720"/>
      </w:pPr>
      <w:r>
        <w:t xml:space="preserve">When addressing a section 664.6 motion, the trial court must determine whether the parties </w:t>
      </w:r>
      <w:r w:rsidR="00C67F29">
        <w:t xml:space="preserve">entered into </w:t>
      </w:r>
      <w:r>
        <w:t>an enforceable settlement.  (</w:t>
      </w:r>
      <w:r>
        <w:rPr>
          <w:i/>
          <w:iCs/>
        </w:rPr>
        <w:t>Osumi v. Sutton</w:t>
      </w:r>
      <w:r>
        <w:t xml:space="preserve"> (2007) 151 Cal.App.4th 1355, 13</w:t>
      </w:r>
      <w:r w:rsidR="00B86B3F">
        <w:t>60</w:t>
      </w:r>
      <w:r>
        <w:t xml:space="preserve"> (</w:t>
      </w:r>
      <w:r>
        <w:rPr>
          <w:i/>
          <w:iCs/>
        </w:rPr>
        <w:t>Osumi</w:t>
      </w:r>
      <w:r>
        <w:t>).)</w:t>
      </w:r>
      <w:r w:rsidR="00B86B3F">
        <w:t xml:space="preserve">  Phrased another way, “the court </w:t>
      </w:r>
      <w:r w:rsidRPr="00D072D4" w:rsidR="00B86B3F">
        <w:t>must determine whether the settlement agreement is valid and binding</w:t>
      </w:r>
      <w:r w:rsidR="00B86B3F">
        <w:t>.</w:t>
      </w:r>
      <w:r w:rsidRPr="00D072D4" w:rsidR="00B86B3F">
        <w:t>”</w:t>
      </w:r>
      <w:r w:rsidR="00B86B3F">
        <w:t xml:space="preserve">  (</w:t>
      </w:r>
      <w:r w:rsidRPr="00D072D4" w:rsidR="00B86B3F">
        <w:rPr>
          <w:i/>
          <w:iCs/>
        </w:rPr>
        <w:t>Estate of Jones</w:t>
      </w:r>
      <w:r w:rsidRPr="00D072D4" w:rsidR="00B86B3F">
        <w:t xml:space="preserve"> (2022) 82 Cal.App.5th 948, 952</w:t>
      </w:r>
      <w:r w:rsidR="00B86B3F">
        <w:t>.</w:t>
      </w:r>
      <w:r w:rsidRPr="00D072D4" w:rsidR="00B86B3F">
        <w:t>)</w:t>
      </w:r>
      <w:r w:rsidR="00B86B3F">
        <w:t xml:space="preserve">  This </w:t>
      </w:r>
      <w:r>
        <w:t>inquiry</w:t>
      </w:r>
      <w:r w:rsidR="00B86B3F">
        <w:t xml:space="preserve"> </w:t>
      </w:r>
      <w:r>
        <w:t>is governed by the legal principles applicable to</w:t>
      </w:r>
      <w:r w:rsidR="00134172">
        <w:t xml:space="preserve"> the formation of </w:t>
      </w:r>
      <w:r>
        <w:t>contracts generally.  (</w:t>
      </w:r>
      <w:r w:rsidRPr="00D86DEC">
        <w:rPr>
          <w:i/>
          <w:iCs/>
        </w:rPr>
        <w:t xml:space="preserve">Gorman v. </w:t>
      </w:r>
      <w:r w:rsidRPr="008F26DA">
        <w:rPr>
          <w:i/>
          <w:iCs/>
        </w:rPr>
        <w:t>Holte</w:t>
      </w:r>
      <w:r w:rsidRPr="008F26DA" w:rsidR="00647CAD">
        <w:t xml:space="preserve">, </w:t>
      </w:r>
      <w:r w:rsidRPr="008F26DA" w:rsidR="00647CAD">
        <w:rPr>
          <w:i/>
          <w:iCs/>
        </w:rPr>
        <w:t>supra</w:t>
      </w:r>
      <w:r w:rsidRPr="008F26DA" w:rsidR="00647CAD">
        <w:t>, 164 Cal.App.3d at p. </w:t>
      </w:r>
      <w:r w:rsidRPr="008F26DA">
        <w:t>988</w:t>
      </w:r>
      <w:r w:rsidR="00134172">
        <w:t xml:space="preserve">; see </w:t>
      </w:r>
      <w:r w:rsidR="00134172">
        <w:rPr>
          <w:i/>
          <w:iCs/>
        </w:rPr>
        <w:t>Ryan v. Garcia</w:t>
      </w:r>
      <w:r w:rsidR="00134172">
        <w:t xml:space="preserve"> (1994) 27 Cal.App.4th 1006, 1009 [“Generally, oral settlement agreements may be enforced in the same way oral contracts are enforced.”]</w:t>
      </w:r>
      <w:r>
        <w:t>.)</w:t>
      </w:r>
    </w:p>
    <w:p w:rsidR="00FC2060" w:rsidRPr="00FC2060" w:rsidP="00FC2060" w14:paraId="1D9ADDB9" w14:textId="28DF0AAC">
      <w:pPr>
        <w:pStyle w:val="Heading2"/>
        <w:rPr>
          <w:b w:val="0"/>
          <w:i/>
        </w:rPr>
      </w:pPr>
      <w:r w:rsidRPr="001E6A52">
        <w:tab/>
      </w:r>
      <w:bookmarkStart w:id="19" w:name="_Toc165298044"/>
      <w:r>
        <w:rPr>
          <w:b w:val="0"/>
          <w:i/>
        </w:rPr>
        <w:t>1</w:t>
      </w:r>
      <w:r w:rsidRPr="001E6A52">
        <w:rPr>
          <w:b w:val="0"/>
          <w:i/>
        </w:rPr>
        <w:t>.</w:t>
      </w:r>
      <w:r w:rsidRPr="001E6A52">
        <w:rPr>
          <w:b w:val="0"/>
          <w:i/>
        </w:rPr>
        <w:tab/>
      </w:r>
      <w:r>
        <w:rPr>
          <w:b w:val="0"/>
          <w:i/>
        </w:rPr>
        <w:t>Contract Formation</w:t>
      </w:r>
      <w:bookmarkEnd w:id="19"/>
    </w:p>
    <w:p w:rsidR="00134172" w:rsidP="00B86B3F" w14:paraId="44B54271" w14:textId="5354C518">
      <w:pPr>
        <w:ind w:firstLine="720"/>
      </w:pPr>
      <w:r>
        <w:t xml:space="preserve">Under California law, the basic requirements </w:t>
      </w:r>
      <w:r w:rsidRPr="00EA3EAD">
        <w:t>for an enforceable contract are (1)</w:t>
      </w:r>
      <w:r w:rsidR="00262230">
        <w:t> </w:t>
      </w:r>
      <w:r w:rsidRPr="00EA3EAD">
        <w:t>parties capable of contracting, (2) the consent of those parties, (3) a lawful object, and (4)</w:t>
      </w:r>
      <w:r w:rsidR="00262230">
        <w:t> </w:t>
      </w:r>
      <w:r w:rsidRPr="00EA3EAD">
        <w:t xml:space="preserve">adequate consideration. </w:t>
      </w:r>
      <w:r w:rsidR="004736CC">
        <w:t xml:space="preserve"> </w:t>
      </w:r>
      <w:r w:rsidRPr="00EA3EAD">
        <w:t xml:space="preserve">(Civ. Code, § 1550.) </w:t>
      </w:r>
      <w:r>
        <w:t xml:space="preserve"> </w:t>
      </w:r>
      <w:r w:rsidRPr="00EA3EAD">
        <w:t xml:space="preserve">The consent of the parties to a contract must be free, mutual, and communicated by each to the other. </w:t>
      </w:r>
      <w:r w:rsidR="004736CC">
        <w:t xml:space="preserve"> </w:t>
      </w:r>
      <w:r w:rsidRPr="00EA3EAD">
        <w:t xml:space="preserve">(Civ. Code, </w:t>
      </w:r>
      <w:r w:rsidR="004736CC">
        <w:t>§</w:t>
      </w:r>
      <w:r w:rsidRPr="00EA3EAD">
        <w:t>§ 1565</w:t>
      </w:r>
      <w:r w:rsidR="004736CC">
        <w:t xml:space="preserve">, </w:t>
      </w:r>
      <w:r w:rsidRPr="00EA3EAD">
        <w:t>1581</w:t>
      </w:r>
      <w:r w:rsidR="004736CC">
        <w:t>.)</w:t>
      </w:r>
      <w:r w:rsidR="00FC2060">
        <w:t xml:space="preserve">  The existence of mutual consent is a question of fact.  (</w:t>
      </w:r>
      <w:r w:rsidR="00FC2060">
        <w:rPr>
          <w:i/>
          <w:iCs/>
        </w:rPr>
        <w:t>Martinez v. BaronHR, Inc.</w:t>
      </w:r>
      <w:r w:rsidR="00FC2060">
        <w:t xml:space="preserve"> (2020) 51 Cal.App.5th 962, 966.)  </w:t>
      </w:r>
    </w:p>
    <w:p w:rsidR="00B53F13" w:rsidP="00B86B3F" w14:paraId="47266C75" w14:textId="4DE5445F">
      <w:pPr>
        <w:ind w:firstLine="720"/>
      </w:pPr>
      <w:r>
        <w:t>Generally, m</w:t>
      </w:r>
      <w:r w:rsidR="00DE7253">
        <w:t xml:space="preserve">utual </w:t>
      </w:r>
      <w:r>
        <w:t>con</w:t>
      </w:r>
      <w:r w:rsidR="00DE7253">
        <w:t xml:space="preserve">sent </w:t>
      </w:r>
      <w:r>
        <w:t>exists when “</w:t>
      </w:r>
      <w:r w:rsidR="00DE7253">
        <w:t xml:space="preserve">the parties </w:t>
      </w:r>
      <w:r>
        <w:t xml:space="preserve">all </w:t>
      </w:r>
      <w:r w:rsidR="00DE7253">
        <w:t xml:space="preserve">agree upon the same thing in the same sense.”  (Civ. </w:t>
      </w:r>
      <w:r w:rsidRPr="00A00A09" w:rsidR="00DE7253">
        <w:t xml:space="preserve">Code, § </w:t>
      </w:r>
      <w:r w:rsidRPr="00883A01" w:rsidR="00DE7253">
        <w:t xml:space="preserve">1580; </w:t>
      </w:r>
      <w:r w:rsidRPr="00883A01" w:rsidR="00A00A09">
        <w:t xml:space="preserve">see </w:t>
      </w:r>
      <w:r w:rsidRPr="00883A01" w:rsidR="00DE7253">
        <w:rPr>
          <w:i/>
          <w:iCs/>
        </w:rPr>
        <w:t>Sellers</w:t>
      </w:r>
      <w:r w:rsidRPr="00A00A09" w:rsidR="00DE7253">
        <w:rPr>
          <w:i/>
          <w:iCs/>
        </w:rPr>
        <w:t xml:space="preserve"> v.</w:t>
      </w:r>
      <w:r w:rsidR="00DE7253">
        <w:rPr>
          <w:i/>
          <w:iCs/>
        </w:rPr>
        <w:t xml:space="preserve"> JustAnswer LLC</w:t>
      </w:r>
      <w:r w:rsidR="00DE7253">
        <w:t xml:space="preserve"> (2021) 73 Cal.App.5th 444, 460.)  Mutual </w:t>
      </w:r>
      <w:r>
        <w:t xml:space="preserve">consent </w:t>
      </w:r>
      <w:r w:rsidR="00DE7253">
        <w:t>is determined through an objective standard that examines the reasonable meaning of the parties’ words and acts; it is not determined through silent unexpressed intentions.  (</w:t>
      </w:r>
      <w:r w:rsidR="00DE7253">
        <w:rPr>
          <w:i/>
          <w:iCs/>
        </w:rPr>
        <w:t>Reigelsperger v. Siller</w:t>
      </w:r>
      <w:r w:rsidR="00DE7253">
        <w:t xml:space="preserve"> (2007) 40 Cal.4th 574, 579;</w:t>
      </w:r>
      <w:r w:rsidR="00DE7253">
        <w:rPr>
          <w:i/>
          <w:iCs/>
        </w:rPr>
        <w:t xml:space="preserve"> Sellers</w:t>
      </w:r>
      <w:r w:rsidR="00DE7253">
        <w:t xml:space="preserve">, </w:t>
      </w:r>
      <w:r>
        <w:rPr>
          <w:i/>
          <w:iCs/>
        </w:rPr>
        <w:t>supra</w:t>
      </w:r>
      <w:r>
        <w:t xml:space="preserve">, </w:t>
      </w:r>
      <w:r w:rsidR="00DE7253">
        <w:t>at p. 460</w:t>
      </w:r>
      <w:r>
        <w:t>; see Civ. Code, § 1636 [interpreting contract to give effect to mutual intention of the parties]</w:t>
      </w:r>
      <w:r w:rsidR="00DE7253">
        <w:t xml:space="preserve">.)  </w:t>
      </w:r>
    </w:p>
    <w:p w:rsidR="00134172" w:rsidP="00B86B3F" w14:paraId="7421B452" w14:textId="5BCB4D95">
      <w:pPr>
        <w:ind w:firstLine="720"/>
      </w:pPr>
      <w:r>
        <w:t xml:space="preserve">The concept of mutual </w:t>
      </w:r>
      <w:r w:rsidRPr="00883A01">
        <w:t xml:space="preserve">consent </w:t>
      </w:r>
      <w:r w:rsidRPr="00883A01" w:rsidR="00242079">
        <w:t xml:space="preserve">can be characterized as </w:t>
      </w:r>
      <w:r w:rsidRPr="00883A01" w:rsidR="00B53F13">
        <w:t>embrac</w:t>
      </w:r>
      <w:r w:rsidRPr="00883A01" w:rsidR="00242079">
        <w:t>ing</w:t>
      </w:r>
      <w:r w:rsidR="00B53F13">
        <w:t xml:space="preserve"> </w:t>
      </w:r>
      <w:r>
        <w:t xml:space="preserve">a range of specific issues, including whether the parties consented to all </w:t>
      </w:r>
      <w:r>
        <w:rPr>
          <w:i/>
          <w:iCs/>
        </w:rPr>
        <w:t>material</w:t>
      </w:r>
      <w:r>
        <w:t xml:space="preserve"> settlement terms and whether those terms “were reasonably well defined and certain.”  (</w:t>
      </w:r>
      <w:r w:rsidRPr="00D072D4" w:rsidR="003727F9">
        <w:rPr>
          <w:i/>
          <w:iCs/>
        </w:rPr>
        <w:t>Estate of Jones</w:t>
      </w:r>
      <w:r w:rsidR="003727F9">
        <w:t xml:space="preserve">, </w:t>
      </w:r>
      <w:r w:rsidR="003727F9">
        <w:rPr>
          <w:i/>
          <w:iCs/>
        </w:rPr>
        <w:t>supra</w:t>
      </w:r>
      <w:r w:rsidR="003727F9">
        <w:t>,</w:t>
      </w:r>
      <w:r w:rsidRPr="00D072D4" w:rsidR="003727F9">
        <w:t xml:space="preserve"> 82 Cal.App.5th </w:t>
      </w:r>
      <w:r w:rsidR="003727F9">
        <w:t xml:space="preserve">at p. </w:t>
      </w:r>
      <w:r w:rsidRPr="00D072D4" w:rsidR="003727F9">
        <w:t>9</w:t>
      </w:r>
      <w:r w:rsidR="003727F9">
        <w:t xml:space="preserve">52; see </w:t>
      </w:r>
      <w:r>
        <w:rPr>
          <w:i/>
          <w:iCs/>
        </w:rPr>
        <w:t>Hines v. Lukes</w:t>
      </w:r>
      <w:r>
        <w:t xml:space="preserve"> (2008) 1</w:t>
      </w:r>
      <w:r w:rsidR="00685061">
        <w:t>6</w:t>
      </w:r>
      <w:r>
        <w:t>7 Cal.App.4th 1174, 1182 [</w:t>
      </w:r>
      <w:r w:rsidRPr="00EA3EAD">
        <w:t>settlement is enforceable only if the parties agreed to all material settlement terms</w:t>
      </w:r>
      <w:r>
        <w:t>]</w:t>
      </w:r>
      <w:r w:rsidRPr="00EA3EAD">
        <w:t>.</w:t>
      </w:r>
      <w:r>
        <w:t>)  Whether a term is material—that is, essential to the existence of an enforceable agreement—“</w:t>
      </w:r>
      <w:r w:rsidRPr="00EA3EAD">
        <w:t xml:space="preserve">depends on its relative importance to the parties and whether its absence would make enforcing the remainder of the contract unfair to either party.” </w:t>
      </w:r>
      <w:r>
        <w:t xml:space="preserve"> </w:t>
      </w:r>
      <w:r w:rsidRPr="00EA3EAD">
        <w:t>(</w:t>
      </w:r>
      <w:r w:rsidRPr="00EA3EAD">
        <w:rPr>
          <w:i/>
          <w:iCs/>
        </w:rPr>
        <w:t>Copeland v. Baskin Robbins U.S.A.</w:t>
      </w:r>
      <w:r w:rsidRPr="00EA3EAD">
        <w:t xml:space="preserve"> (2002) 96 Cal.App.4th 1251, 1256, fn. 3.)</w:t>
      </w:r>
      <w:r w:rsidR="003727F9">
        <w:t xml:space="preserve">  </w:t>
      </w:r>
    </w:p>
    <w:p w:rsidR="008C05F6" w:rsidP="00B86B3F" w14:paraId="7AAC561F" w14:textId="6D21636B">
      <w:pPr>
        <w:ind w:firstLine="720"/>
      </w:pPr>
      <w:r>
        <w:t>Whether the terms of the agreement are reasonably certain depends on whether “the terms ‘provide a basis for determining the existence of a breach and for giving an appropriate remedy.’</w:t>
      </w:r>
      <w:r w:rsidR="00685061">
        <w:t> </w:t>
      </w:r>
      <w:r>
        <w:t xml:space="preserve">”  </w:t>
      </w:r>
      <w:r w:rsidR="003727F9">
        <w:t>(</w:t>
      </w:r>
      <w:r w:rsidRPr="003727F9" w:rsidR="003727F9">
        <w:rPr>
          <w:i/>
          <w:iCs/>
        </w:rPr>
        <w:t>Alexander v. Codemasters Group Limited</w:t>
      </w:r>
      <w:r w:rsidRPr="003727F9" w:rsidR="003727F9">
        <w:t xml:space="preserve"> (2002) 104 Cal.App.4th 129, 141</w:t>
      </w:r>
      <w:r w:rsidR="00685061">
        <w:t xml:space="preserve"> </w:t>
      </w:r>
      <w:r w:rsidRPr="003727F9" w:rsidR="00685061">
        <w:t>(</w:t>
      </w:r>
      <w:r w:rsidRPr="00883A01" w:rsidR="00685061">
        <w:rPr>
          <w:i/>
          <w:iCs/>
        </w:rPr>
        <w:t>Codemasters</w:t>
      </w:r>
      <w:r w:rsidRPr="00883A01" w:rsidR="00685061">
        <w:t>)</w:t>
      </w:r>
      <w:r w:rsidRPr="00883A01" w:rsidR="00F36766">
        <w:t xml:space="preserve">; see </w:t>
      </w:r>
      <w:r w:rsidRPr="00883A01" w:rsidR="00F36766">
        <w:rPr>
          <w:i/>
          <w:iCs/>
        </w:rPr>
        <w:t>ibid</w:t>
      </w:r>
      <w:r w:rsidRPr="00883A01" w:rsidR="00F36766">
        <w:t>.</w:t>
      </w:r>
      <w:r w:rsidRPr="00883A01" w:rsidR="003727F9">
        <w:t xml:space="preserve"> [formation of a contract requires certainty]; </w:t>
      </w:r>
      <w:r w:rsidRPr="00883A01" w:rsidR="00F36766">
        <w:t xml:space="preserve">see also </w:t>
      </w:r>
      <w:r w:rsidRPr="00883A01" w:rsidR="00324D72">
        <w:t>Civ. Code, § 1598 [where object of a contract is “so vaguely expressed as to be wholly unascertainable</w:t>
      </w:r>
      <w:r w:rsidR="00324D72">
        <w:t xml:space="preserve">, the entire contract is void”]; </w:t>
      </w:r>
      <w:r w:rsidRPr="003727F9" w:rsidR="003727F9">
        <w:t>1 Witkin, Summary of Cal. Law (11th ed. 2017) Contracts, § 137, pp. 177–178 [requirement of certainty].)</w:t>
      </w:r>
      <w:r>
        <w:t xml:space="preserve">  Applying this </w:t>
      </w:r>
      <w:r w:rsidR="00910951">
        <w:t xml:space="preserve">contractual </w:t>
      </w:r>
      <w:r>
        <w:t xml:space="preserve">certainty requirement </w:t>
      </w:r>
      <w:r w:rsidR="004736CC">
        <w:t>h</w:t>
      </w:r>
      <w:r>
        <w:t>as been described as involving two inquiries</w:t>
      </w:r>
      <w:r w:rsidR="00910951">
        <w:t xml:space="preserve">:  </w:t>
      </w:r>
      <w:r w:rsidRPr="00910951" w:rsidR="00910951">
        <w:t>“</w:t>
      </w:r>
      <w:r w:rsidR="00C11DE8">
        <w:t> </w:t>
      </w:r>
      <w:r w:rsidR="00910951">
        <w:t>‘</w:t>
      </w:r>
      <w:r w:rsidRPr="00910951" w:rsidR="00910951">
        <w:t>[F]irst, did the parties intend to contract and second, is there a reasonably certain basis for giving an appropriate remedy.</w:t>
      </w:r>
      <w:r w:rsidR="00910951">
        <w:t>’</w:t>
      </w:r>
      <w:r w:rsidR="00A96F1B">
        <w:t> </w:t>
      </w:r>
      <w:r w:rsidRPr="00910951" w:rsidR="00910951">
        <w:t>”</w:t>
      </w:r>
      <w:r w:rsidR="00910951">
        <w:t xml:space="preserve">  (</w:t>
      </w:r>
      <w:r w:rsidR="00910951">
        <w:rPr>
          <w:i/>
          <w:iCs/>
        </w:rPr>
        <w:t>Codemasters</w:t>
      </w:r>
      <w:r w:rsidR="00910951">
        <w:t xml:space="preserve">, </w:t>
      </w:r>
      <w:r w:rsidR="00910951">
        <w:rPr>
          <w:i/>
          <w:iCs/>
        </w:rPr>
        <w:t>supra</w:t>
      </w:r>
      <w:r w:rsidR="00910951">
        <w:t>, at p.</w:t>
      </w:r>
      <w:r w:rsidR="00AC2719">
        <w:t> </w:t>
      </w:r>
      <w:r w:rsidR="00910951">
        <w:t>141.)  We note that, for purposes of contract law, certainty is not the same as unambiguous</w:t>
      </w:r>
      <w:r w:rsidR="004736CC">
        <w:t xml:space="preserve">.  The test for whether a term is ambiguous is whether it is </w:t>
      </w:r>
      <w:r w:rsidR="00910951">
        <w:t xml:space="preserve">reasonably susceptible to more than one interpretation.  (See </w:t>
      </w:r>
      <w:r w:rsidR="00910951">
        <w:rPr>
          <w:i/>
          <w:iCs/>
        </w:rPr>
        <w:t>Joseph v. City of Atwater</w:t>
      </w:r>
      <w:r w:rsidR="00910951">
        <w:t xml:space="preserve"> (2022) 74 Cal.App.5th 974, 982 [</w:t>
      </w:r>
      <w:r w:rsidR="00151B56">
        <w:t>“</w:t>
      </w:r>
      <w:r w:rsidR="00910951">
        <w:t>threshold question when interpreting a written contract is whether the text is ambiguous</w:t>
      </w:r>
      <w:r w:rsidR="00151B56">
        <w:t xml:space="preserve">—that is, reasonably susceptible to more than one interpretation”].)  An ambiguity in an agreement is resolved through interpretation and the resulting meaning enforced.  (See </w:t>
      </w:r>
      <w:r w:rsidR="00151B56">
        <w:rPr>
          <w:i/>
          <w:iCs/>
        </w:rPr>
        <w:t>Scheenstra v. California Dairies, Inc.</w:t>
      </w:r>
      <w:r w:rsidR="00151B56">
        <w:t xml:space="preserve"> (2013) 213 Cal.App.4th 370, 389–390 [steps taken by trial court to identify and resolve contractual ambiguity].)</w:t>
      </w:r>
      <w:r w:rsidR="004736CC">
        <w:t xml:space="preserve">  </w:t>
      </w:r>
      <w:r w:rsidR="008C2774">
        <w:t xml:space="preserve">In short, </w:t>
      </w:r>
      <w:r w:rsidR="00FC2060">
        <w:t xml:space="preserve">ambiguous agreements are enforceable and </w:t>
      </w:r>
      <w:r w:rsidR="004736CC">
        <w:t>uncertain agreements are not</w:t>
      </w:r>
      <w:r w:rsidR="00FC2060">
        <w:t>.</w:t>
      </w:r>
    </w:p>
    <w:p w:rsidR="00FC2060" w:rsidRPr="00FC2060" w:rsidP="00FC2060" w14:paraId="6A1D6A70" w14:textId="2FB2A58A">
      <w:pPr>
        <w:pStyle w:val="Heading2"/>
        <w:rPr>
          <w:b w:val="0"/>
          <w:i/>
        </w:rPr>
      </w:pPr>
      <w:r w:rsidRPr="001E6A52">
        <w:tab/>
      </w:r>
      <w:bookmarkStart w:id="20" w:name="_Toc165298045"/>
      <w:r>
        <w:rPr>
          <w:b w:val="0"/>
          <w:i/>
        </w:rPr>
        <w:t>2</w:t>
      </w:r>
      <w:r w:rsidRPr="001E6A52">
        <w:rPr>
          <w:b w:val="0"/>
          <w:i/>
        </w:rPr>
        <w:t>.</w:t>
      </w:r>
      <w:r w:rsidRPr="001E6A52">
        <w:rPr>
          <w:b w:val="0"/>
          <w:i/>
        </w:rPr>
        <w:tab/>
      </w:r>
      <w:r>
        <w:rPr>
          <w:b w:val="0"/>
          <w:i/>
        </w:rPr>
        <w:t>Trial Court’s Role</w:t>
      </w:r>
      <w:bookmarkEnd w:id="20"/>
    </w:p>
    <w:p w:rsidR="00EB7E28" w:rsidP="00E67EB6" w14:paraId="16B44961" w14:textId="553C6AB0">
      <w:pPr>
        <w:ind w:firstLine="720"/>
      </w:pPr>
      <w:r>
        <w:t xml:space="preserve">When determining whether a valid </w:t>
      </w:r>
      <w:r w:rsidR="004736CC">
        <w:t xml:space="preserve">settlement </w:t>
      </w:r>
      <w:r>
        <w:t>contract was formed, the trial court acts as the trier of fact.  (</w:t>
      </w:r>
      <w:r w:rsidRPr="00D072D4">
        <w:rPr>
          <w:i/>
          <w:iCs/>
        </w:rPr>
        <w:t>Osumi</w:t>
      </w:r>
      <w:r>
        <w:t xml:space="preserve">, </w:t>
      </w:r>
      <w:r>
        <w:rPr>
          <w:i/>
          <w:iCs/>
        </w:rPr>
        <w:t>supra</w:t>
      </w:r>
      <w:r>
        <w:t>,</w:t>
      </w:r>
      <w:r w:rsidRPr="00D072D4">
        <w:t xml:space="preserve"> 151 Cal.App.4th </w:t>
      </w:r>
      <w:r>
        <w:t>at p.</w:t>
      </w:r>
      <w:r w:rsidRPr="00D072D4">
        <w:t xml:space="preserve"> 1360</w:t>
      </w:r>
      <w:r>
        <w:t xml:space="preserve">; </w:t>
      </w:r>
      <w:r>
        <w:rPr>
          <w:i/>
          <w:iCs/>
        </w:rPr>
        <w:t>Fiore v. Alvord</w:t>
      </w:r>
      <w:r>
        <w:t xml:space="preserve"> (1985) 182 Cal.App.3d 561, 565.)  In that capacity, the trial judge </w:t>
      </w:r>
      <w:r w:rsidRPr="00D072D4">
        <w:t>may receive evidence</w:t>
      </w:r>
      <w:r>
        <w:t xml:space="preserve"> such as oral </w:t>
      </w:r>
      <w:r w:rsidRPr="00883A01">
        <w:t>testimony and declaration</w:t>
      </w:r>
      <w:r w:rsidRPr="00883A01" w:rsidR="00865FC1">
        <w:t>s</w:t>
      </w:r>
      <w:r w:rsidRPr="00883A01">
        <w:t>, consult his memory if he heard the settlement, determine disputed facts, apply governing law, and enter the terms of a settlement agreement as a judgment.  (</w:t>
      </w:r>
      <w:r w:rsidRPr="00883A01">
        <w:rPr>
          <w:i/>
          <w:iCs/>
        </w:rPr>
        <w:t>Machado</w:t>
      </w:r>
      <w:r w:rsidRPr="00883A01">
        <w:t xml:space="preserve">, </w:t>
      </w:r>
      <w:r w:rsidRPr="00883A01">
        <w:rPr>
          <w:i/>
          <w:iCs/>
        </w:rPr>
        <w:t>supra</w:t>
      </w:r>
      <w:r w:rsidRPr="00883A01">
        <w:t>,</w:t>
      </w:r>
      <w:r w:rsidRPr="00883A01">
        <w:rPr>
          <w:i/>
          <w:iCs/>
        </w:rPr>
        <w:t xml:space="preserve"> </w:t>
      </w:r>
      <w:r w:rsidRPr="00883A01">
        <w:t xml:space="preserve">39 Cal.App.5th at p. 790; </w:t>
      </w:r>
      <w:r w:rsidRPr="00883A01">
        <w:rPr>
          <w:i/>
          <w:iCs/>
        </w:rPr>
        <w:t>Osumi</w:t>
      </w:r>
      <w:r w:rsidRPr="00883A01">
        <w:t xml:space="preserve">, </w:t>
      </w:r>
      <w:r w:rsidRPr="00883A01">
        <w:rPr>
          <w:i/>
          <w:iCs/>
        </w:rPr>
        <w:t>supra</w:t>
      </w:r>
      <w:r w:rsidRPr="00883A01">
        <w:t>, at p.</w:t>
      </w:r>
      <w:r w:rsidR="004B3A0B">
        <w:t> </w:t>
      </w:r>
      <w:r w:rsidRPr="00883A01">
        <w:t>1360.)  However, section 664.6 does not authorize judges to create the material terms of a settlement</w:t>
      </w:r>
      <w:r w:rsidRPr="00883A01" w:rsidR="008C2774">
        <w:t xml:space="preserve"> because creating new terms </w:t>
      </w:r>
      <w:r w:rsidRPr="00883A01">
        <w:t xml:space="preserve">is different from deciding what terms the parties </w:t>
      </w:r>
      <w:r w:rsidRPr="00883A01" w:rsidR="00242079">
        <w:t xml:space="preserve">actually </w:t>
      </w:r>
      <w:r w:rsidRPr="00883A01">
        <w:t>agreed</w:t>
      </w:r>
      <w:r w:rsidRPr="00D072D4">
        <w:t xml:space="preserve"> upon.</w:t>
      </w:r>
      <w:r>
        <w:t xml:space="preserve">  (</w:t>
      </w:r>
      <w:r w:rsidRPr="00D072D4">
        <w:rPr>
          <w:i/>
          <w:iCs/>
        </w:rPr>
        <w:t>Machado</w:t>
      </w:r>
      <w:r>
        <w:t xml:space="preserve">, </w:t>
      </w:r>
      <w:r>
        <w:rPr>
          <w:i/>
          <w:iCs/>
        </w:rPr>
        <w:t>supra</w:t>
      </w:r>
      <w:r>
        <w:t>,</w:t>
      </w:r>
      <w:r w:rsidRPr="00D072D4">
        <w:rPr>
          <w:i/>
          <w:iCs/>
        </w:rPr>
        <w:t xml:space="preserve"> </w:t>
      </w:r>
      <w:r w:rsidRPr="00D072D4">
        <w:t xml:space="preserve">39 Cal.App.5th </w:t>
      </w:r>
      <w:r>
        <w:t>at p.</w:t>
      </w:r>
      <w:r w:rsidRPr="00D072D4">
        <w:t xml:space="preserve"> 79</w:t>
      </w:r>
      <w:r>
        <w:t xml:space="preserve">0.)  </w:t>
      </w:r>
    </w:p>
    <w:p w:rsidR="00EB7E28" w:rsidP="00EB7E28" w14:paraId="1D6FCB3B" w14:textId="6C26800C">
      <w:pPr>
        <w:ind w:firstLine="720"/>
      </w:pPr>
      <w:r>
        <w:t xml:space="preserve">In </w:t>
      </w:r>
      <w:r w:rsidRPr="00BE7783">
        <w:rPr>
          <w:i/>
          <w:iCs/>
        </w:rPr>
        <w:t>In re Marriage of Assemi</w:t>
      </w:r>
      <w:r>
        <w:t xml:space="preserve"> (1994) 7 Cal.4th 896</w:t>
      </w:r>
      <w:r w:rsidR="0004111E">
        <w:t xml:space="preserve"> (</w:t>
      </w:r>
      <w:r w:rsidR="0004111E">
        <w:rPr>
          <w:i/>
          <w:iCs/>
        </w:rPr>
        <w:t>Assemi</w:t>
      </w:r>
      <w:r w:rsidR="0004111E">
        <w:t>)</w:t>
      </w:r>
      <w:r>
        <w:t xml:space="preserve">, </w:t>
      </w:r>
      <w:r w:rsidR="004736CC">
        <w:t xml:space="preserve">the </w:t>
      </w:r>
      <w:r>
        <w:t xml:space="preserve">Supreme Court </w:t>
      </w:r>
      <w:r w:rsidR="004736CC">
        <w:t xml:space="preserve">addressed the trial court’s role by </w:t>
      </w:r>
      <w:r>
        <w:t>stat</w:t>
      </w:r>
      <w:r w:rsidR="004736CC">
        <w:t>ing</w:t>
      </w:r>
      <w:r>
        <w:t>:  “Past cases have established that, in ruling upon a section 664.6 motion for entry of judgment enforcing a settlement agreement, and in determining whether the parties entered into a binding settlement of all or part of a case, a trial court should consider whether (1) the material terms of the settlement were explicitly defined, (2) the supervising judicial officer questioned the parties regarding their understanding of those terms, and (3) the parties expressly acknowledged their understanding of and</w:t>
      </w:r>
      <w:r w:rsidR="008C2774">
        <w:t xml:space="preserve"> </w:t>
      </w:r>
      <w:r>
        <w:t xml:space="preserve">agreement to be bound by those terms.” </w:t>
      </w:r>
      <w:r w:rsidR="00973D78">
        <w:t xml:space="preserve"> </w:t>
      </w:r>
      <w:r>
        <w:t>(</w:t>
      </w:r>
      <w:r>
        <w:rPr>
          <w:i/>
          <w:iCs/>
        </w:rPr>
        <w:t>Id</w:t>
      </w:r>
      <w:r>
        <w:t>. at p. 911.)</w:t>
      </w:r>
    </w:p>
    <w:p w:rsidR="00EB7E28" w:rsidRPr="00883A01" w:rsidP="00EB7E28" w14:paraId="64D46ABA" w14:textId="1F78D0D7">
      <w:pPr>
        <w:ind w:firstLine="720"/>
      </w:pPr>
      <w:r>
        <w:t>The litigants</w:t>
      </w:r>
      <w:r w:rsidR="00FC2060">
        <w:t>’ (as opposed to their attorneys’)</w:t>
      </w:r>
      <w:r>
        <w:t xml:space="preserve"> knowledge and express consent to an oral settlement is required because settlement is a serious step.  (</w:t>
      </w:r>
      <w:r>
        <w:rPr>
          <w:i/>
          <w:iCs/>
        </w:rPr>
        <w:t>Levy</w:t>
      </w:r>
      <w:r w:rsidR="00686808">
        <w:t xml:space="preserve">, </w:t>
      </w:r>
      <w:r w:rsidR="00686808">
        <w:rPr>
          <w:i/>
          <w:iCs/>
        </w:rPr>
        <w:t>supra</w:t>
      </w:r>
      <w:r w:rsidR="00686808">
        <w:t>,</w:t>
      </w:r>
      <w:r>
        <w:t xml:space="preserve"> 10 Cal.4th </w:t>
      </w:r>
      <w:r w:rsidR="00686808">
        <w:t>at p.</w:t>
      </w:r>
      <w:r>
        <w:t xml:space="preserve"> 583; </w:t>
      </w:r>
      <w:r w:rsidRPr="003F217B">
        <w:rPr>
          <w:i/>
          <w:iCs/>
        </w:rPr>
        <w:t>Johnson v. Department of Corrections</w:t>
      </w:r>
      <w:r w:rsidRPr="003F217B">
        <w:t xml:space="preserve"> (1995) 38 Cal.App.</w:t>
      </w:r>
      <w:r w:rsidRPr="00883A01">
        <w:t xml:space="preserve">4th 1700, </w:t>
      </w:r>
      <w:r w:rsidRPr="00883A01" w:rsidR="00A30855">
        <w:t>1705–</w:t>
      </w:r>
      <w:r w:rsidRPr="00883A01">
        <w:t>1706</w:t>
      </w:r>
      <w:r>
        <w:t xml:space="preserve"> [</w:t>
      </w:r>
      <w:r w:rsidR="003D1B5D">
        <w:t xml:space="preserve">the </w:t>
      </w:r>
      <w:r>
        <w:t xml:space="preserve">plaintiff never voiced his acceptance of terms of oral settlement].)  “The litigants’ direct participation tends to ensure that the settlement is the result of their mature reflection and deliberate assent.  This protects the parties against hasty and improvident settlement agreements by impressing upon them the seriousness and finality of the decision to settle, and </w:t>
      </w:r>
      <w:r w:rsidRPr="00DF0997">
        <w:rPr>
          <w:i/>
          <w:iCs/>
        </w:rPr>
        <w:t>minimizes</w:t>
      </w:r>
      <w:r>
        <w:t xml:space="preserve"> the possibility of conflicting interpretations of the settlement. </w:t>
      </w:r>
      <w:r w:rsidR="003D1B5D">
        <w:t xml:space="preserve"> </w:t>
      </w:r>
      <w:r>
        <w:t xml:space="preserve">[Citations.] </w:t>
      </w:r>
      <w:r w:rsidR="003D1B5D">
        <w:t xml:space="preserve"> </w:t>
      </w:r>
      <w:r>
        <w:t>It also protects parties from impairment of their substantial rights without their knowledge and consent.”  (</w:t>
      </w:r>
      <w:r w:rsidR="00D20FCE">
        <w:rPr>
          <w:i/>
          <w:iCs/>
        </w:rPr>
        <w:t>Levy</w:t>
      </w:r>
      <w:r w:rsidR="00D20FCE">
        <w:t xml:space="preserve">, </w:t>
      </w:r>
      <w:r w:rsidR="00D20FCE">
        <w:rPr>
          <w:i/>
          <w:iCs/>
        </w:rPr>
        <w:t>supra</w:t>
      </w:r>
      <w:r w:rsidR="00D20FCE">
        <w:t xml:space="preserve">, </w:t>
      </w:r>
      <w:r>
        <w:t>at p. 585, fn. omitted</w:t>
      </w:r>
      <w:r w:rsidR="003D1B5D">
        <w:t>,</w:t>
      </w:r>
      <w:r>
        <w:t xml:space="preserve"> italics added.)  We italicized the word “minimizes” because it indicates that section 664.6’s requirements do not eliminate the possibility of disputes over the interpretation of a settlement agreement.  “[W]hen issue</w:t>
      </w:r>
      <w:r w:rsidR="00B503E6">
        <w:t>s</w:t>
      </w:r>
      <w:r>
        <w:t xml:space="preserve"> relating to the binding nature or terms of the settlement are in dispute,” section 664.6 empowers the trial court “to resolve these disputed issues and ultimately determine whether the </w:t>
      </w:r>
      <w:r w:rsidRPr="00883A01">
        <w:t>parties reached a binding mutual accord as to the material terms.”  (</w:t>
      </w:r>
      <w:r w:rsidRPr="00883A01">
        <w:rPr>
          <w:i/>
          <w:iCs/>
        </w:rPr>
        <w:t>Assemi</w:t>
      </w:r>
      <w:r w:rsidRPr="00883A01">
        <w:t xml:space="preserve">, </w:t>
      </w:r>
      <w:r w:rsidRPr="00883A01">
        <w:rPr>
          <w:i/>
          <w:iCs/>
        </w:rPr>
        <w:t>supra</w:t>
      </w:r>
      <w:r w:rsidRPr="00883A01">
        <w:t>, 7 Cal.4th at p. 905.)</w:t>
      </w:r>
    </w:p>
    <w:p w:rsidR="00FC2060" w:rsidRPr="00883A01" w:rsidP="00FC2060" w14:paraId="097067F0" w14:textId="1CF0E81E">
      <w:pPr>
        <w:pStyle w:val="Heading2"/>
        <w:rPr>
          <w:b w:val="0"/>
          <w:i/>
        </w:rPr>
      </w:pPr>
      <w:r w:rsidRPr="00883A01">
        <w:tab/>
      </w:r>
      <w:bookmarkStart w:id="21" w:name="_Toc165298046"/>
      <w:r w:rsidRPr="00883A01">
        <w:rPr>
          <w:b w:val="0"/>
          <w:i/>
        </w:rPr>
        <w:t>3.</w:t>
      </w:r>
      <w:r w:rsidRPr="00883A01">
        <w:rPr>
          <w:b w:val="0"/>
          <w:i/>
        </w:rPr>
        <w:tab/>
        <w:t>Standard of Review</w:t>
      </w:r>
      <w:bookmarkEnd w:id="21"/>
    </w:p>
    <w:p w:rsidR="0037016F" w:rsidP="00EB7E28" w14:paraId="6123A5CC" w14:textId="3C1B6758">
      <w:pPr>
        <w:ind w:firstLine="720"/>
      </w:pPr>
      <w:r w:rsidRPr="00883A01">
        <w:t>The fundamental principles of appellate practice provide c</w:t>
      </w:r>
      <w:r w:rsidRPr="00883A01" w:rsidR="008C2774">
        <w:t>ont</w:t>
      </w:r>
      <w:r w:rsidRPr="00883A01">
        <w:t>ext for our determination of the standard of review applicable to specific determinations made by the trial court in reaching its decision.  Appellate courts presume the trial court</w:t>
      </w:r>
      <w:r w:rsidRPr="00883A01" w:rsidR="00B503E6">
        <w:t>’</w:t>
      </w:r>
      <w:r w:rsidRPr="00883A01">
        <w:t>s judgment or order is correct and indulge all intendments</w:t>
      </w:r>
      <w:r w:rsidRPr="0037016F">
        <w:t xml:space="preserve"> and presumptions to support the judgment </w:t>
      </w:r>
      <w:r>
        <w:t xml:space="preserve">or order </w:t>
      </w:r>
      <w:r w:rsidRPr="0037016F">
        <w:t>on matters as to which the record is silent</w:t>
      </w:r>
      <w:r>
        <w:t xml:space="preserve">.  </w:t>
      </w:r>
      <w:r w:rsidRPr="0037016F">
        <w:t>(</w:t>
      </w:r>
      <w:r w:rsidRPr="0037016F">
        <w:rPr>
          <w:i/>
          <w:iCs/>
        </w:rPr>
        <w:t>Denham v. Superior Court</w:t>
      </w:r>
      <w:r w:rsidRPr="0037016F">
        <w:t xml:space="preserve"> (1970) 2 Cal.3d 557, 564</w:t>
      </w:r>
      <w:r w:rsidR="00CE5F22">
        <w:t xml:space="preserve"> (</w:t>
      </w:r>
      <w:r w:rsidR="00CE5F22">
        <w:rPr>
          <w:i/>
          <w:iCs/>
        </w:rPr>
        <w:t>Denham</w:t>
      </w:r>
      <w:r w:rsidR="00CE5F22">
        <w:t>)</w:t>
      </w:r>
      <w:r>
        <w:t xml:space="preserve">; </w:t>
      </w:r>
      <w:r w:rsidRPr="0037016F">
        <w:rPr>
          <w:i/>
          <w:iCs/>
        </w:rPr>
        <w:t>Fladeboe v. American Isuzu Motors Inc.</w:t>
      </w:r>
      <w:r w:rsidRPr="0037016F">
        <w:t xml:space="preserve"> (2007) 150 Cal.App.4th 42, 58 (</w:t>
      </w:r>
      <w:r w:rsidRPr="0037016F">
        <w:rPr>
          <w:i/>
          <w:iCs/>
        </w:rPr>
        <w:t>Fladeboe</w:t>
      </w:r>
      <w:r w:rsidRPr="0037016F">
        <w:t>).)</w:t>
      </w:r>
      <w:r>
        <w:t xml:space="preserve">  A logical implication of the presumption of correctness is that</w:t>
      </w:r>
      <w:r w:rsidRPr="0037016F">
        <w:t xml:space="preserve"> the appellant bears the burden of affirmatively demonstrating error</w:t>
      </w:r>
      <w:r>
        <w:t>.  (</w:t>
      </w:r>
      <w:r>
        <w:rPr>
          <w:i/>
          <w:iCs/>
        </w:rPr>
        <w:t>Denham</w:t>
      </w:r>
      <w:r>
        <w:t xml:space="preserve">, </w:t>
      </w:r>
      <w:r>
        <w:rPr>
          <w:i/>
          <w:iCs/>
        </w:rPr>
        <w:t>supra</w:t>
      </w:r>
      <w:r>
        <w:t xml:space="preserve">, at p. 564; </w:t>
      </w:r>
      <w:r>
        <w:rPr>
          <w:i/>
          <w:iCs/>
        </w:rPr>
        <w:t>Fladeboe</w:t>
      </w:r>
      <w:r>
        <w:t xml:space="preserve">, </w:t>
      </w:r>
      <w:r>
        <w:rPr>
          <w:i/>
          <w:iCs/>
        </w:rPr>
        <w:t>supra</w:t>
      </w:r>
      <w:r>
        <w:t>, at p. 58.)</w:t>
      </w:r>
    </w:p>
    <w:p w:rsidR="0004111E" w:rsidP="00EB7E28" w14:paraId="20AC2E5D" w14:textId="4C11F834">
      <w:pPr>
        <w:ind w:firstLine="720"/>
      </w:pPr>
      <w:r>
        <w:t xml:space="preserve">A trial court’s determination of whether the parties entered into a binding settlement for all or part of a case </w:t>
      </w:r>
      <w:r w:rsidR="0037016F">
        <w:t>is</w:t>
      </w:r>
      <w:r>
        <w:t xml:space="preserve"> reviewed for “</w:t>
      </w:r>
      <w:r w:rsidRPr="00883A01">
        <w:t>whether the court’s ruling is supported by substantial evidence.”  (</w:t>
      </w:r>
      <w:r w:rsidRPr="00883A01">
        <w:rPr>
          <w:i/>
          <w:iCs/>
        </w:rPr>
        <w:t>Assemi</w:t>
      </w:r>
      <w:r w:rsidRPr="00883A01">
        <w:t xml:space="preserve">, </w:t>
      </w:r>
      <w:r w:rsidRPr="00883A01">
        <w:rPr>
          <w:i/>
          <w:iCs/>
        </w:rPr>
        <w:t>supra</w:t>
      </w:r>
      <w:r w:rsidRPr="00883A01">
        <w:t>, 7 Cal.4th at p. 911;</w:t>
      </w:r>
      <w:r w:rsidRPr="00883A01" w:rsidR="003E5367">
        <w:t xml:space="preserve"> see</w:t>
      </w:r>
      <w:r w:rsidRPr="00883A01">
        <w:t xml:space="preserve"> </w:t>
      </w:r>
      <w:r w:rsidRPr="00883A01">
        <w:rPr>
          <w:i/>
          <w:iCs/>
        </w:rPr>
        <w:t>Critzer v. Enos</w:t>
      </w:r>
      <w:r w:rsidRPr="00883A01" w:rsidR="00217D9D">
        <w:t>,</w:t>
      </w:r>
      <w:r w:rsidRPr="00883A01" w:rsidR="00217D9D">
        <w:rPr>
          <w:i/>
          <w:iCs/>
        </w:rPr>
        <w:t xml:space="preserve"> supra</w:t>
      </w:r>
      <w:r w:rsidRPr="00883A01" w:rsidR="00217D9D">
        <w:t>,</w:t>
      </w:r>
      <w:r w:rsidRPr="00883A01" w:rsidR="00217D9D">
        <w:rPr>
          <w:i/>
          <w:iCs/>
        </w:rPr>
        <w:t xml:space="preserve"> </w:t>
      </w:r>
      <w:r w:rsidRPr="00883A01">
        <w:t>187 Cal.App.4th</w:t>
      </w:r>
      <w:r w:rsidRPr="00883A01" w:rsidR="00217D9D">
        <w:t xml:space="preserve"> at p.</w:t>
      </w:r>
      <w:r w:rsidRPr="00883A01">
        <w:t xml:space="preserve"> 1253.)</w:t>
      </w:r>
      <w:r w:rsidRPr="00883A01" w:rsidR="00134172">
        <w:t xml:space="preserve">  This standard of review </w:t>
      </w:r>
      <w:r w:rsidRPr="00883A01" w:rsidR="00865FC1">
        <w:t xml:space="preserve">usually </w:t>
      </w:r>
      <w:r w:rsidRPr="00883A01" w:rsidR="00134172">
        <w:t>applie</w:t>
      </w:r>
      <w:r w:rsidRPr="00883A01" w:rsidR="00242079">
        <w:t>s</w:t>
      </w:r>
      <w:r w:rsidRPr="00883A01" w:rsidR="00134172">
        <w:t xml:space="preserve"> to</w:t>
      </w:r>
      <w:r w:rsidR="00134172">
        <w:t xml:space="preserve"> </w:t>
      </w:r>
      <w:r w:rsidR="0037016F">
        <w:t xml:space="preserve">a determination of whether an </w:t>
      </w:r>
      <w:r w:rsidR="00134172">
        <w:t>oral contract</w:t>
      </w:r>
      <w:r w:rsidR="0037016F">
        <w:t xml:space="preserve"> exists</w:t>
      </w:r>
      <w:r w:rsidR="00134172">
        <w:t>.</w:t>
      </w:r>
      <w:r>
        <w:t xml:space="preserve">  </w:t>
      </w:r>
      <w:r w:rsidR="00134172">
        <w:t xml:space="preserve">(See </w:t>
      </w:r>
      <w:r w:rsidR="00134172">
        <w:rPr>
          <w:i/>
          <w:iCs/>
        </w:rPr>
        <w:t>Carmel Development Co</w:t>
      </w:r>
      <w:r w:rsidR="009A0A21">
        <w:rPr>
          <w:i/>
          <w:iCs/>
        </w:rPr>
        <w:t>.</w:t>
      </w:r>
      <w:r w:rsidR="00134172">
        <w:rPr>
          <w:i/>
          <w:iCs/>
        </w:rPr>
        <w:t>, Inc. v. Anderson</w:t>
      </w:r>
      <w:r w:rsidR="00134172">
        <w:t xml:space="preserve"> (2020) 48 Cal.App.5th 492, 518.)</w:t>
      </w:r>
      <w:r>
        <w:t xml:space="preserve">  Thus, a trial court’s factual findings concerning whether a settlement agreement explicitly defined the material terms, and whether the parties expressly acknowledged their understanding of and agreement to be bound by those material terms, are reviewed for substantial evidence.  (</w:t>
      </w:r>
      <w:r>
        <w:rPr>
          <w:i/>
          <w:iCs/>
        </w:rPr>
        <w:t>Assemi</w:t>
      </w:r>
      <w:r>
        <w:t xml:space="preserve">, </w:t>
      </w:r>
      <w:r>
        <w:rPr>
          <w:i/>
          <w:iCs/>
        </w:rPr>
        <w:t>supra</w:t>
      </w:r>
      <w:r>
        <w:t>, 7 Cal.4th at p.</w:t>
      </w:r>
      <w:r w:rsidR="006C3E9D">
        <w:t> </w:t>
      </w:r>
      <w:r>
        <w:t xml:space="preserve">911.)  </w:t>
      </w:r>
      <w:r w:rsidR="0037016F">
        <w:t xml:space="preserve">Determinations other than factual findings </w:t>
      </w:r>
      <w:r>
        <w:t>“are reviewed de novo for errors of law</w:t>
      </w:r>
      <w:r w:rsidRPr="004E6AE4">
        <w:t xml:space="preserve">.”  </w:t>
      </w:r>
      <w:r w:rsidRPr="004E6AE4" w:rsidR="00CE761C">
        <w:t>(</w:t>
      </w:r>
      <w:r w:rsidRPr="004E6AE4" w:rsidR="00CE761C">
        <w:rPr>
          <w:i/>
          <w:iCs/>
        </w:rPr>
        <w:t>Weddington</w:t>
      </w:r>
      <w:r w:rsidRPr="004E6AE4" w:rsidR="00CE761C">
        <w:t xml:space="preserve">, </w:t>
      </w:r>
      <w:r w:rsidRPr="004E6AE4" w:rsidR="00CE761C">
        <w:rPr>
          <w:i/>
          <w:iCs/>
        </w:rPr>
        <w:t>supra</w:t>
      </w:r>
      <w:r w:rsidRPr="004E6AE4" w:rsidR="00CE761C">
        <w:t>, 60 Cal.App.4th at p. 815.)</w:t>
      </w:r>
    </w:p>
    <w:p w:rsidR="000322C1" w:rsidP="00B53F13" w14:paraId="575C1359" w14:textId="6A5B5EDD">
      <w:pPr>
        <w:ind w:firstLine="720"/>
      </w:pPr>
      <w:r>
        <w:t>The substantial evidence standard is a deferential standard of review.  (</w:t>
      </w:r>
      <w:r>
        <w:rPr>
          <w:i/>
          <w:iCs/>
        </w:rPr>
        <w:t>Boermeester v. Carry</w:t>
      </w:r>
      <w:r>
        <w:t xml:space="preserve"> (2024) 100 Cal.App.5th 383, 394.)  </w:t>
      </w:r>
      <w:r w:rsidR="0004111E">
        <w:t xml:space="preserve">It requires </w:t>
      </w:r>
      <w:r>
        <w:t xml:space="preserve">appellate courts </w:t>
      </w:r>
      <w:r w:rsidR="0004111E">
        <w:t xml:space="preserve">to </w:t>
      </w:r>
      <w:r>
        <w:t xml:space="preserve">view the entire record, resolve all evidentiary conflicts, and draw all reasonable inferences in support of a trial court’s finding that an enforceable settlement exists and in support of the trial court’s order enforcing the settlement.  (See </w:t>
      </w:r>
      <w:r>
        <w:rPr>
          <w:i/>
          <w:iCs/>
        </w:rPr>
        <w:t>Lee v. Amazon.com, Inc.</w:t>
      </w:r>
      <w:r>
        <w:t xml:space="preserve"> (2022) 76 Cal.App.5th 200, 222 (</w:t>
      </w:r>
      <w:r>
        <w:rPr>
          <w:i/>
          <w:iCs/>
        </w:rPr>
        <w:t>Lee</w:t>
      </w:r>
      <w:r>
        <w:t xml:space="preserve">); </w:t>
      </w:r>
      <w:r>
        <w:rPr>
          <w:i/>
          <w:iCs/>
        </w:rPr>
        <w:t>J.B.B. Investment Partners, Ltd. v. Fair</w:t>
      </w:r>
      <w:r>
        <w:t xml:space="preserve"> (2014) 232 Cal.App.4th 974, 984; </w:t>
      </w:r>
      <w:r>
        <w:rPr>
          <w:i/>
          <w:iCs/>
        </w:rPr>
        <w:t>Osumi</w:t>
      </w:r>
      <w:r>
        <w:t xml:space="preserve">, </w:t>
      </w:r>
      <w:r>
        <w:rPr>
          <w:i/>
          <w:iCs/>
        </w:rPr>
        <w:t>supra</w:t>
      </w:r>
      <w:r>
        <w:t>,</w:t>
      </w:r>
      <w:r>
        <w:rPr>
          <w:i/>
          <w:iCs/>
        </w:rPr>
        <w:t xml:space="preserve"> </w:t>
      </w:r>
      <w:r w:rsidRPr="00D072D4">
        <w:t xml:space="preserve">151 Cal.App.4th </w:t>
      </w:r>
      <w:r>
        <w:t xml:space="preserve">at p. 1360.)  “Substantial evidence,” however, is not the same as “any </w:t>
      </w:r>
      <w:r w:rsidRPr="00883A01">
        <w:t>evidence”</w:t>
      </w:r>
      <w:r w:rsidRPr="00883A01" w:rsidR="00865FC1">
        <w:t xml:space="preserve">; </w:t>
      </w:r>
      <w:r w:rsidRPr="00883A01">
        <w:t xml:space="preserve">evidence </w:t>
      </w:r>
      <w:r w:rsidRPr="00883A01" w:rsidR="00865FC1">
        <w:t>is substantial if</w:t>
      </w:r>
      <w:r w:rsidRPr="00883A01" w:rsidR="00F21536">
        <w:t xml:space="preserve"> it</w:t>
      </w:r>
      <w:r w:rsidRPr="00883A01" w:rsidR="00865FC1">
        <w:t xml:space="preserve"> </w:t>
      </w:r>
      <w:r w:rsidRPr="00883A01">
        <w:t>is legally ponderable and thus, reasonable, credible, and of solid value.  (</w:t>
      </w:r>
      <w:r w:rsidRPr="00883A01">
        <w:rPr>
          <w:i/>
          <w:iCs/>
        </w:rPr>
        <w:t xml:space="preserve">Daugherty v. City </w:t>
      </w:r>
      <w:r w:rsidRPr="00883A01" w:rsidR="00F21536">
        <w:rPr>
          <w:i/>
          <w:iCs/>
        </w:rPr>
        <w:t>and</w:t>
      </w:r>
      <w:r w:rsidRPr="00883A01">
        <w:rPr>
          <w:i/>
          <w:iCs/>
        </w:rPr>
        <w:t xml:space="preserve"> County of San Francisco </w:t>
      </w:r>
      <w:r w:rsidRPr="00883A01">
        <w:t xml:space="preserve">(2018) 24 Cal.App.5th 928, 945; </w:t>
      </w:r>
      <w:r w:rsidRPr="00883A01">
        <w:rPr>
          <w:i/>
          <w:iCs/>
        </w:rPr>
        <w:t>Kuhn v. Department of General Services</w:t>
      </w:r>
      <w:r w:rsidRPr="00883A01">
        <w:t xml:space="preserve"> (1994) 22 Cal.App.4th 1627, 1633</w:t>
      </w:r>
      <w:r w:rsidRPr="00883A01" w:rsidR="00DE7253">
        <w:t>.</w:t>
      </w:r>
      <w:r w:rsidRPr="00883A01">
        <w:t>)  Further</w:t>
      </w:r>
      <w:r w:rsidRPr="00883A01" w:rsidR="00865FC1">
        <w:t>more</w:t>
      </w:r>
      <w:r w:rsidRPr="00883A01">
        <w:t xml:space="preserve">, </w:t>
      </w:r>
      <w:r w:rsidRPr="00883A01" w:rsidR="00DE7253">
        <w:t xml:space="preserve">circumstantial evidence may </w:t>
      </w:r>
      <w:r w:rsidRPr="00883A01" w:rsidR="00865FC1">
        <w:t xml:space="preserve">be </w:t>
      </w:r>
      <w:r w:rsidRPr="00883A01">
        <w:t xml:space="preserve">substantial evidence </w:t>
      </w:r>
      <w:r w:rsidRPr="00883A01" w:rsidR="00865FC1">
        <w:t xml:space="preserve">sufficient </w:t>
      </w:r>
      <w:r w:rsidRPr="00883A01" w:rsidR="00DE7253">
        <w:t>to support a finding of fact</w:t>
      </w:r>
      <w:r w:rsidR="00DE7253">
        <w:t xml:space="preserve"> when the </w:t>
      </w:r>
      <w:r>
        <w:t>inferences</w:t>
      </w:r>
      <w:r w:rsidR="00DE7253">
        <w:t xml:space="preserve"> drawn from that evidence are </w:t>
      </w:r>
      <w:r>
        <w:t>logical</w:t>
      </w:r>
      <w:r w:rsidR="00DE7253">
        <w:t xml:space="preserve"> and </w:t>
      </w:r>
      <w:r>
        <w:t>reasonable</w:t>
      </w:r>
      <w:r w:rsidR="00DE7253">
        <w:t>.</w:t>
      </w:r>
      <w:r>
        <w:t xml:space="preserve"> </w:t>
      </w:r>
      <w:r w:rsidR="00DE7253">
        <w:t xml:space="preserve"> </w:t>
      </w:r>
      <w:r>
        <w:t>(</w:t>
      </w:r>
      <w:r>
        <w:rPr>
          <w:i/>
          <w:iCs/>
        </w:rPr>
        <w:t>Daugherty</w:t>
      </w:r>
      <w:r>
        <w:t>,</w:t>
      </w:r>
      <w:r w:rsidR="00DE7253">
        <w:t xml:space="preserve"> </w:t>
      </w:r>
      <w:r w:rsidR="00DE7253">
        <w:rPr>
          <w:i/>
          <w:iCs/>
        </w:rPr>
        <w:t>supra</w:t>
      </w:r>
      <w:r w:rsidR="00DE7253">
        <w:t>,</w:t>
      </w:r>
      <w:r>
        <w:t xml:space="preserve"> at p.</w:t>
      </w:r>
      <w:r w:rsidR="00E86AE7">
        <w:t> </w:t>
      </w:r>
      <w:r>
        <w:t>945</w:t>
      </w:r>
      <w:r w:rsidR="00DE7253">
        <w:t xml:space="preserve">.)  </w:t>
      </w:r>
      <w:r w:rsidR="0037016F">
        <w:t xml:space="preserve">Conversely, </w:t>
      </w:r>
      <w:r w:rsidR="00DE7253">
        <w:t xml:space="preserve">inferences </w:t>
      </w:r>
      <w:r w:rsidR="0037016F">
        <w:t xml:space="preserve">based on </w:t>
      </w:r>
      <w:r w:rsidR="00DE7253">
        <w:t xml:space="preserve">speculation or </w:t>
      </w:r>
      <w:r w:rsidRPr="00883A01" w:rsidR="00DE7253">
        <w:t>conjecture</w:t>
      </w:r>
      <w:r w:rsidRPr="00883A01" w:rsidR="0037016F">
        <w:t xml:space="preserve"> </w:t>
      </w:r>
      <w:r w:rsidRPr="00883A01" w:rsidR="00865FC1">
        <w:t xml:space="preserve">do not </w:t>
      </w:r>
      <w:r w:rsidRPr="00883A01" w:rsidR="00823A50">
        <w:t>meet the</w:t>
      </w:r>
      <w:r w:rsidR="00823A50">
        <w:t xml:space="preserve"> substantial evidence standard</w:t>
      </w:r>
      <w:r w:rsidR="00DE7253">
        <w:t>.  (</w:t>
      </w:r>
      <w:r w:rsidR="00DE7253">
        <w:rPr>
          <w:i/>
          <w:iCs/>
        </w:rPr>
        <w:t>Ibid</w:t>
      </w:r>
      <w:r w:rsidR="00DE7253">
        <w:t>.)</w:t>
      </w:r>
      <w:r w:rsidR="00E579CC">
        <w:t xml:space="preserve"> </w:t>
      </w:r>
    </w:p>
    <w:p w:rsidR="000322C1" w:rsidRPr="006F00A5" w:rsidP="000322C1" w14:paraId="5DEDA03B" w14:textId="3D6BC26C">
      <w:pPr>
        <w:pStyle w:val="Heading2"/>
        <w:rPr>
          <w:b w:val="0"/>
        </w:rPr>
      </w:pPr>
      <w:bookmarkStart w:id="22" w:name="_Toc165298047"/>
      <w:r>
        <w:rPr>
          <w:b w:val="0"/>
        </w:rPr>
        <w:t>D.</w:t>
      </w:r>
      <w:r>
        <w:rPr>
          <w:b w:val="0"/>
        </w:rPr>
        <w:tab/>
      </w:r>
      <w:r>
        <w:rPr>
          <w:b w:val="0"/>
          <w:u w:val="single"/>
        </w:rPr>
        <w:t>Analysis of Trial Court’s Determinations</w:t>
      </w:r>
      <w:bookmarkEnd w:id="22"/>
    </w:p>
    <w:p w:rsidR="00F60E57" w:rsidRPr="00F60E57" w:rsidP="00F60E57" w14:paraId="032375DC" w14:textId="70415BD7">
      <w:pPr>
        <w:pStyle w:val="Heading2"/>
        <w:rPr>
          <w:b w:val="0"/>
          <w:i/>
        </w:rPr>
      </w:pPr>
      <w:r w:rsidRPr="001E6A52">
        <w:tab/>
      </w:r>
      <w:bookmarkStart w:id="23" w:name="_Toc165298048"/>
      <w:r>
        <w:rPr>
          <w:b w:val="0"/>
          <w:i/>
        </w:rPr>
        <w:t>1</w:t>
      </w:r>
      <w:r w:rsidRPr="001E6A52">
        <w:rPr>
          <w:b w:val="0"/>
          <w:i/>
        </w:rPr>
        <w:t>.</w:t>
      </w:r>
      <w:r w:rsidRPr="001E6A52">
        <w:rPr>
          <w:b w:val="0"/>
          <w:i/>
        </w:rPr>
        <w:tab/>
      </w:r>
      <w:r>
        <w:rPr>
          <w:b w:val="0"/>
          <w:i/>
        </w:rPr>
        <w:t>Contentions of the Parties</w:t>
      </w:r>
      <w:bookmarkEnd w:id="23"/>
    </w:p>
    <w:p w:rsidR="00304D6B" w:rsidRPr="00883A01" w:rsidP="000322C1" w14:paraId="7ABB01DB" w14:textId="6172582D">
      <w:pPr>
        <w:ind w:firstLine="720"/>
      </w:pPr>
      <w:r>
        <w:t xml:space="preserve">Eagle argues that the parties never </w:t>
      </w:r>
      <w:r w:rsidRPr="00883A01">
        <w:t>agreed to the terms of the settlement</w:t>
      </w:r>
      <w:r w:rsidRPr="00883A01" w:rsidR="006C2F52">
        <w:t xml:space="preserve">; it is unclear </w:t>
      </w:r>
      <w:r w:rsidRPr="00883A01">
        <w:t xml:space="preserve">what the City’s council actually approved; the record </w:t>
      </w:r>
      <w:r w:rsidRPr="00883A01" w:rsidR="006C2F52">
        <w:t xml:space="preserve">shows </w:t>
      </w:r>
      <w:r w:rsidRPr="00883A01">
        <w:t>the parties struggled over the precise terms of the settlement</w:t>
      </w:r>
      <w:r w:rsidRPr="00883A01" w:rsidR="006C2F52">
        <w:t xml:space="preserve">; and the </w:t>
      </w:r>
      <w:r w:rsidRPr="00883A01">
        <w:t xml:space="preserve">uncertainty as to the scope of the settlement was never resolved.  </w:t>
      </w:r>
      <w:r w:rsidRPr="00883A01" w:rsidR="00242079">
        <w:t xml:space="preserve">In particular, </w:t>
      </w:r>
      <w:r w:rsidRPr="00883A01">
        <w:t xml:space="preserve">Eagle </w:t>
      </w:r>
      <w:r w:rsidRPr="00883A01" w:rsidR="00242079">
        <w:t xml:space="preserve">contends </w:t>
      </w:r>
      <w:r w:rsidRPr="00883A01">
        <w:t xml:space="preserve">the trial court incorrectly found that Eagle agreed to dismiss “all claims,” </w:t>
      </w:r>
      <w:r w:rsidRPr="00883A01" w:rsidR="00823A50">
        <w:t xml:space="preserve">including </w:t>
      </w:r>
      <w:r w:rsidRPr="00883A01">
        <w:t>claims</w:t>
      </w:r>
      <w:r w:rsidRPr="00883A01" w:rsidR="00823A50">
        <w:t xml:space="preserve"> not pleaded</w:t>
      </w:r>
      <w:r w:rsidRPr="00883A01">
        <w:t>, despite Eagle’s statements at the hearing distinguishing between dismissing “all claims” and dismissing only the claims in the complaint.</w:t>
      </w:r>
    </w:p>
    <w:p w:rsidR="00304D6B" w:rsidP="00304D6B" w14:paraId="2D7F5760" w14:textId="09A49767">
      <w:pPr>
        <w:ind w:firstLine="720"/>
      </w:pPr>
      <w:r w:rsidRPr="00883A01">
        <w:t>The City contends that Eagle</w:t>
      </w:r>
      <w:r w:rsidRPr="00883A01" w:rsidR="00916340">
        <w:t xml:space="preserve"> has</w:t>
      </w:r>
      <w:r w:rsidRPr="00883A01">
        <w:t xml:space="preserve"> </w:t>
      </w:r>
      <w:r w:rsidRPr="00883A01" w:rsidR="00167184">
        <w:t xml:space="preserve">not </w:t>
      </w:r>
      <w:r w:rsidRPr="00883A01">
        <w:t>demonstrate</w:t>
      </w:r>
      <w:r w:rsidRPr="00883A01" w:rsidR="00167184">
        <w:t>d</w:t>
      </w:r>
      <w:r w:rsidRPr="00883A01">
        <w:t xml:space="preserve"> error</w:t>
      </w:r>
      <w:r w:rsidRPr="00883A01" w:rsidR="00242079">
        <w:t xml:space="preserve"> because </w:t>
      </w:r>
      <w:r w:rsidRPr="00883A01">
        <w:t xml:space="preserve">the record shows </w:t>
      </w:r>
      <w:r w:rsidRPr="00883A01" w:rsidR="00242079">
        <w:t xml:space="preserve">(1) </w:t>
      </w:r>
      <w:r w:rsidRPr="00883A01">
        <w:t xml:space="preserve">the parties reached a settlement, </w:t>
      </w:r>
      <w:r w:rsidRPr="00883A01" w:rsidR="00242079">
        <w:t xml:space="preserve">(2) </w:t>
      </w:r>
      <w:r w:rsidRPr="00883A01">
        <w:t xml:space="preserve">the settlement terms </w:t>
      </w:r>
      <w:r w:rsidRPr="00883A01" w:rsidR="00242079">
        <w:t>were clear</w:t>
      </w:r>
      <w:r w:rsidRPr="00883A01">
        <w:t xml:space="preserve">, and </w:t>
      </w:r>
      <w:r w:rsidRPr="00883A01" w:rsidR="00242079">
        <w:t>(3)</w:t>
      </w:r>
      <w:r w:rsidRPr="00883A01" w:rsidR="00B66053">
        <w:t> </w:t>
      </w:r>
      <w:r w:rsidRPr="00883A01">
        <w:t xml:space="preserve">Eagle’s representative unequivocally agreed to all of the terms, including that all claims, not merely </w:t>
      </w:r>
      <w:r w:rsidRPr="00883A01" w:rsidR="00823A50">
        <w:t xml:space="preserve">the pleaded </w:t>
      </w:r>
      <w:r w:rsidRPr="00883A01">
        <w:t xml:space="preserve">state </w:t>
      </w:r>
      <w:r w:rsidRPr="00883A01" w:rsidR="00823A50">
        <w:t xml:space="preserve">law </w:t>
      </w:r>
      <w:r w:rsidRPr="00883A01">
        <w:t>claims, would be dismissed.  The City argues the change of heart or confusion by Eagle’s counsel does not undermine Eagle’s representative</w:t>
      </w:r>
      <w:r w:rsidRPr="00883A01" w:rsidR="00C459CE">
        <w:t>’s</w:t>
      </w:r>
      <w:r w:rsidRPr="00883A01">
        <w:t xml:space="preserve"> consent</w:t>
      </w:r>
      <w:r>
        <w:t xml:space="preserve"> to the settlement terms.  Thus, the City concludes that the trial court correctly found the existence and terms of the settlement and correctly enforced those terms.</w:t>
      </w:r>
    </w:p>
    <w:p w:rsidR="00F60E57" w:rsidRPr="00F60E57" w:rsidP="00F60E57" w14:paraId="3E7C328B" w14:textId="41414E35">
      <w:pPr>
        <w:pStyle w:val="Heading2"/>
        <w:rPr>
          <w:b w:val="0"/>
          <w:i/>
        </w:rPr>
      </w:pPr>
      <w:r w:rsidRPr="001E6A52">
        <w:tab/>
      </w:r>
      <w:bookmarkStart w:id="24" w:name="_Toc165298049"/>
      <w:r>
        <w:rPr>
          <w:b w:val="0"/>
          <w:i/>
        </w:rPr>
        <w:t>2</w:t>
      </w:r>
      <w:r w:rsidRPr="001E6A52">
        <w:rPr>
          <w:b w:val="0"/>
          <w:i/>
        </w:rPr>
        <w:t>.</w:t>
      </w:r>
      <w:r w:rsidRPr="001E6A52">
        <w:rPr>
          <w:b w:val="0"/>
          <w:i/>
        </w:rPr>
        <w:tab/>
      </w:r>
      <w:r>
        <w:rPr>
          <w:b w:val="0"/>
          <w:i/>
        </w:rPr>
        <w:t>Application of the Standard of Review</w:t>
      </w:r>
      <w:bookmarkEnd w:id="24"/>
    </w:p>
    <w:p w:rsidR="00494219" w:rsidRPr="00883A01" w:rsidP="00E579CC" w14:paraId="1DCD5DAA" w14:textId="34EFEB2B">
      <w:pPr>
        <w:ind w:firstLine="720"/>
      </w:pPr>
      <w:r>
        <w:t xml:space="preserve">The </w:t>
      </w:r>
      <w:r w:rsidR="000841AA">
        <w:t xml:space="preserve">trial court </w:t>
      </w:r>
      <w:r>
        <w:t xml:space="preserve">found the parties entered into a binding and valid settlement agreement </w:t>
      </w:r>
      <w:r w:rsidR="00585476">
        <w:t xml:space="preserve">with terms providing for the </w:t>
      </w:r>
      <w:r>
        <w:t>dismissal of the complaint and c</w:t>
      </w:r>
      <w:r w:rsidR="00162A8E">
        <w:t>ross</w:t>
      </w:r>
      <w:r>
        <w:t xml:space="preserve">-complaint with prejudice, </w:t>
      </w:r>
      <w:r w:rsidR="00585476">
        <w:t xml:space="preserve">the </w:t>
      </w:r>
      <w:r w:rsidR="00162A8E">
        <w:t xml:space="preserve">waiver of </w:t>
      </w:r>
      <w:r w:rsidR="000841AA">
        <w:t xml:space="preserve">the right to appeal any matter in the case, the dismissal of all pending </w:t>
      </w:r>
      <w:r w:rsidRPr="00883A01">
        <w:t>appeals (</w:t>
      </w:r>
      <w:r w:rsidRPr="00883A01" w:rsidR="000841AA">
        <w:t xml:space="preserve">i.e., </w:t>
      </w:r>
      <w:r w:rsidRPr="00883A01" w:rsidR="00162A8E">
        <w:t>the Watts Appeal</w:t>
      </w:r>
      <w:r w:rsidRPr="00883A01">
        <w:t xml:space="preserve">), </w:t>
      </w:r>
      <w:r w:rsidRPr="00883A01" w:rsidR="00585476">
        <w:t xml:space="preserve">and </w:t>
      </w:r>
      <w:r w:rsidRPr="00883A01">
        <w:t xml:space="preserve">the </w:t>
      </w:r>
      <w:r w:rsidRPr="00883A01" w:rsidR="000841AA">
        <w:t xml:space="preserve">waiver of the right to recover costs and attorney fees.  </w:t>
      </w:r>
      <w:r w:rsidRPr="00883A01">
        <w:t>There is no real dispute between the parties that these findings by the trial court are supported by substantial evidence.  Consequently, a detailed analysis of the evidence supporting these finding</w:t>
      </w:r>
      <w:r w:rsidRPr="00883A01" w:rsidR="00155E55">
        <w:t>s</w:t>
      </w:r>
      <w:r w:rsidRPr="00883A01">
        <w:t xml:space="preserve"> is not necessary.  </w:t>
      </w:r>
    </w:p>
    <w:p w:rsidR="00E579CC" w:rsidRPr="00883A01" w:rsidP="00E579CC" w14:paraId="290E21BB" w14:textId="54C23B4C">
      <w:pPr>
        <w:ind w:firstLine="720"/>
      </w:pPr>
      <w:r w:rsidRPr="00883A01">
        <w:t xml:space="preserve">The </w:t>
      </w:r>
      <w:r w:rsidRPr="00883A01" w:rsidR="00494219">
        <w:t xml:space="preserve">trial </w:t>
      </w:r>
      <w:r w:rsidRPr="00883A01">
        <w:t>court</w:t>
      </w:r>
      <w:r>
        <w:t xml:space="preserve"> also found the settlement terms barred all claims that arose out of the incident that formed the basis of the complaint </w:t>
      </w:r>
      <w:r w:rsidRPr="00883A01">
        <w:t xml:space="preserve">and cross-complaint.  </w:t>
      </w:r>
      <w:r w:rsidRPr="00883A01" w:rsidR="00494219">
        <w:t xml:space="preserve">The parties dispute whether this finding about the scope of the settlement is supported by substantial evidence.  </w:t>
      </w:r>
    </w:p>
    <w:p w:rsidR="00CD4890" w:rsidRPr="00883A01" w:rsidP="00E579CC" w14:paraId="3C060D6A" w14:textId="3A69AB8D">
      <w:pPr>
        <w:ind w:firstLine="720"/>
      </w:pPr>
      <w:r w:rsidRPr="00883A01">
        <w:t>Our in</w:t>
      </w:r>
      <w:r w:rsidRPr="00883A01" w:rsidR="001C71A9">
        <w:t>itial</w:t>
      </w:r>
      <w:r w:rsidRPr="00883A01">
        <w:t xml:space="preserve"> inquiry asks whether</w:t>
      </w:r>
      <w:r>
        <w:t xml:space="preserve"> </w:t>
      </w:r>
      <w:r w:rsidR="00C56930">
        <w:t xml:space="preserve">this settlement term </w:t>
      </w:r>
      <w:r>
        <w:t xml:space="preserve">was </w:t>
      </w:r>
      <w:r w:rsidR="00C56930">
        <w:t xml:space="preserve">material to the settlement agreement.  A settlement covering all claims arising out of the incident would end all potential liability of both parties and give them peace in the disputes related to the roofing project.  The statements made by the City’s lawyer on the record constitute substantial evidence supporting the </w:t>
      </w:r>
      <w:r w:rsidR="00063B9D">
        <w:t xml:space="preserve">trial court’s implied </w:t>
      </w:r>
      <w:r w:rsidR="00C56930">
        <w:t xml:space="preserve">finding that the broad settlement term </w:t>
      </w:r>
      <w:r w:rsidR="00063B9D">
        <w:t>was a material term</w:t>
      </w:r>
      <w:r w:rsidR="001C71A9">
        <w:t xml:space="preserve"> because the City’s goal was a final resolution of all disputes arising from the </w:t>
      </w:r>
      <w:r w:rsidR="00FD546F">
        <w:t>r</w:t>
      </w:r>
      <w:r w:rsidR="001C71A9">
        <w:t xml:space="preserve">oofing project, including claims </w:t>
      </w:r>
      <w:r w:rsidR="00E8323B">
        <w:t xml:space="preserve">not pleaded </w:t>
      </w:r>
      <w:r w:rsidR="001C71A9">
        <w:t xml:space="preserve">and the Watts Appeal.  </w:t>
      </w:r>
      <w:r w:rsidR="00063B9D">
        <w:t xml:space="preserve">(See </w:t>
      </w:r>
      <w:r w:rsidR="00063B9D">
        <w:rPr>
          <w:i/>
          <w:iCs/>
        </w:rPr>
        <w:t xml:space="preserve">Westlands Water Dist. v. All </w:t>
      </w:r>
      <w:r w:rsidRPr="00883A01" w:rsidR="00063B9D">
        <w:rPr>
          <w:i/>
          <w:iCs/>
        </w:rPr>
        <w:t xml:space="preserve">Persons Interested </w:t>
      </w:r>
      <w:r w:rsidRPr="00883A01" w:rsidR="00063B9D">
        <w:t>(2023) 95 Cal.App.5th 98, 127 [explaining that an essential or material term is one that is significant to the parties].)</w:t>
      </w:r>
      <w:r w:rsidRPr="00883A01" w:rsidR="001C71A9">
        <w:t xml:space="preserve">  </w:t>
      </w:r>
      <w:r w:rsidRPr="00883A01" w:rsidR="00D12202">
        <w:t xml:space="preserve">This implied finding is supported further by </w:t>
      </w:r>
      <w:r w:rsidRPr="00883A01" w:rsidR="003417C7">
        <w:t>Eagle’s representative</w:t>
      </w:r>
      <w:r w:rsidRPr="00883A01" w:rsidR="00D12202">
        <w:t xml:space="preserve">’s affirmative answer to the court’s question whether he understood that the settlement “will be a binding agreement enforceable by the Court and that </w:t>
      </w:r>
      <w:r w:rsidRPr="00883A01" w:rsidR="00D12202">
        <w:rPr>
          <w:i/>
          <w:iCs/>
        </w:rPr>
        <w:t>neither side may pursue the other</w:t>
      </w:r>
      <w:r w:rsidRPr="00883A01" w:rsidR="00D12202">
        <w:t xml:space="preserve">.”  </w:t>
      </w:r>
      <w:r w:rsidRPr="00883A01" w:rsidR="006C2F52">
        <w:t xml:space="preserve">(Italics added.)  </w:t>
      </w:r>
      <w:r w:rsidRPr="00883A01" w:rsidR="00D12202">
        <w:t>The phrase “pursue the other” indicates a</w:t>
      </w:r>
      <w:r w:rsidRPr="00883A01" w:rsidR="000E230E">
        <w:t xml:space="preserve">n intent </w:t>
      </w:r>
      <w:r w:rsidRPr="00883A01" w:rsidR="00D12202">
        <w:t xml:space="preserve">to </w:t>
      </w:r>
      <w:r w:rsidRPr="00883A01">
        <w:t xml:space="preserve">release </w:t>
      </w:r>
      <w:r w:rsidRPr="00883A01" w:rsidR="00D12202">
        <w:t xml:space="preserve">all </w:t>
      </w:r>
      <w:r w:rsidRPr="00883A01">
        <w:t xml:space="preserve">potential theories of recovery </w:t>
      </w:r>
      <w:r w:rsidRPr="00883A01" w:rsidR="00D12202">
        <w:t>between the parties</w:t>
      </w:r>
      <w:r w:rsidRPr="00883A01" w:rsidR="000E230E">
        <w:t xml:space="preserve">, not an intent to end the pursuit of only pleaded claims.  </w:t>
      </w:r>
      <w:r w:rsidRPr="00883A01" w:rsidR="001C71A9">
        <w:t xml:space="preserve">In short, the City wanted </w:t>
      </w:r>
      <w:r w:rsidRPr="00883A01" w:rsidR="00D12202">
        <w:t>peace</w:t>
      </w:r>
      <w:r w:rsidRPr="00883A01" w:rsidR="000E230E">
        <w:t xml:space="preserve">—that is, </w:t>
      </w:r>
      <w:r w:rsidRPr="00883A01" w:rsidR="00D12202">
        <w:t xml:space="preserve">an </w:t>
      </w:r>
      <w:r w:rsidRPr="00883A01" w:rsidR="001C71A9">
        <w:t xml:space="preserve">end </w:t>
      </w:r>
      <w:r w:rsidRPr="00883A01" w:rsidR="000E230E">
        <w:t xml:space="preserve">to </w:t>
      </w:r>
      <w:r w:rsidRPr="00883A01" w:rsidR="001C71A9">
        <w:t xml:space="preserve">the war, not </w:t>
      </w:r>
      <w:r w:rsidRPr="00883A01" w:rsidR="00CA774D">
        <w:t xml:space="preserve">a </w:t>
      </w:r>
      <w:r w:rsidRPr="00883A01" w:rsidR="000E230E">
        <w:t xml:space="preserve">limited </w:t>
      </w:r>
      <w:r w:rsidRPr="00883A01" w:rsidR="00CA774D">
        <w:t>truce</w:t>
      </w:r>
      <w:r w:rsidRPr="00883A01" w:rsidR="001C71A9">
        <w:t>.</w:t>
      </w:r>
      <w:r w:rsidRPr="00883A01" w:rsidR="00D12202">
        <w:t xml:space="preserve">  </w:t>
      </w:r>
    </w:p>
    <w:p w:rsidR="000431CC" w:rsidRPr="00883A01" w:rsidP="000431CC" w14:paraId="54D9C107" w14:textId="02E70B01">
      <w:pPr>
        <w:ind w:firstLine="720"/>
      </w:pPr>
      <w:r w:rsidRPr="00883A01">
        <w:t>Having determined the evidence supports the trial court’s implied finding that the term was material, we next consider whether there was mutual assent to the term—that is, whether they agreed the settlement would encompass</w:t>
      </w:r>
      <w:r>
        <w:t xml:space="preserve"> “all claims,” and “</w:t>
      </w:r>
      <w:r w:rsidRPr="00883A01">
        <w:t>all claims” meant all pending and “future claims that ‘arise out of’ the underlying incident.”  I</w:t>
      </w:r>
      <w:r w:rsidRPr="00883A01" w:rsidR="00E579CC">
        <w:t>f there was no mutual assent to this</w:t>
      </w:r>
      <w:r w:rsidRPr="00883A01" w:rsidR="008C025E">
        <w:t xml:space="preserve"> material</w:t>
      </w:r>
      <w:r w:rsidRPr="00883A01" w:rsidR="00E579CC">
        <w:t xml:space="preserve"> term</w:t>
      </w:r>
      <w:r w:rsidRPr="00883A01" w:rsidR="001C71A9">
        <w:t xml:space="preserve">, </w:t>
      </w:r>
      <w:r w:rsidRPr="00883A01" w:rsidR="000E230E">
        <w:t>the other terms agreed upon would not form a</w:t>
      </w:r>
      <w:r w:rsidRPr="00883A01" w:rsidR="00F60E57">
        <w:t xml:space="preserve"> </w:t>
      </w:r>
      <w:r w:rsidRPr="00883A01" w:rsidR="00E579CC">
        <w:t xml:space="preserve">binding </w:t>
      </w:r>
      <w:r w:rsidRPr="00883A01" w:rsidR="000E230E">
        <w:t xml:space="preserve">and enforceable </w:t>
      </w:r>
      <w:r w:rsidRPr="00883A01" w:rsidR="00E579CC">
        <w:t xml:space="preserve">settlement </w:t>
      </w:r>
      <w:r w:rsidRPr="00883A01" w:rsidR="001C71A9">
        <w:t>agreement</w:t>
      </w:r>
      <w:r w:rsidRPr="00883A01" w:rsidR="00E579CC">
        <w:t xml:space="preserve">.  (See </w:t>
      </w:r>
      <w:r w:rsidRPr="00883A01" w:rsidR="00E579CC">
        <w:rPr>
          <w:i/>
          <w:iCs/>
        </w:rPr>
        <w:t>Cheema</w:t>
      </w:r>
      <w:r w:rsidRPr="00883A01" w:rsidR="006A0671">
        <w:rPr>
          <w:i/>
          <w:iCs/>
        </w:rPr>
        <w:t xml:space="preserve"> v. L.S. Trucking, Inc. </w:t>
      </w:r>
      <w:r w:rsidRPr="00883A01" w:rsidR="006A0671">
        <w:t>(2019)</w:t>
      </w:r>
      <w:r w:rsidRPr="00883A01" w:rsidR="00E579CC">
        <w:t xml:space="preserve"> 39 Cal.App.5th </w:t>
      </w:r>
      <w:r w:rsidRPr="00883A01" w:rsidR="00106BC0">
        <w:t>1142,</w:t>
      </w:r>
      <w:r w:rsidRPr="00883A01" w:rsidR="00E579CC">
        <w:t xml:space="preserve"> 1149; </w:t>
      </w:r>
      <w:r w:rsidRPr="00883A01" w:rsidR="00E579CC">
        <w:rPr>
          <w:i/>
          <w:iCs/>
        </w:rPr>
        <w:t>Weddington</w:t>
      </w:r>
      <w:r w:rsidRPr="00883A01" w:rsidR="00E579CC">
        <w:t xml:space="preserve">, </w:t>
      </w:r>
      <w:r w:rsidRPr="00883A01" w:rsidR="00E579CC">
        <w:rPr>
          <w:i/>
          <w:iCs/>
        </w:rPr>
        <w:t>supra</w:t>
      </w:r>
      <w:r w:rsidRPr="00883A01" w:rsidR="00E579CC">
        <w:t>, 60 Cal.App.4th at p. 797.)</w:t>
      </w:r>
    </w:p>
    <w:p w:rsidR="000431CC" w:rsidRPr="00883A01" w:rsidP="00E579CC" w14:paraId="3A26481D" w14:textId="58673337">
      <w:pPr>
        <w:ind w:firstLine="720"/>
      </w:pPr>
      <w:r w:rsidRPr="00883A01">
        <w:t>The record reflects that the City</w:t>
      </w:r>
      <w:r w:rsidRPr="00883A01" w:rsidR="000E46EE">
        <w:t xml:space="preserve">’s lawyer </w:t>
      </w:r>
      <w:r w:rsidRPr="00883A01">
        <w:t>initially described</w:t>
      </w:r>
      <w:r w:rsidRPr="00883A01" w:rsidR="00063B9D">
        <w:t xml:space="preserve"> </w:t>
      </w:r>
      <w:r w:rsidRPr="00883A01">
        <w:t>the settlement</w:t>
      </w:r>
      <w:r w:rsidR="00063B9D">
        <w:t>, without objection,</w:t>
      </w:r>
      <w:r>
        <w:t xml:space="preserve"> as </w:t>
      </w:r>
      <w:r w:rsidR="00063B9D">
        <w:t xml:space="preserve">all parties having “agreed to dismiss </w:t>
      </w:r>
      <w:r>
        <w:t xml:space="preserve">all claims </w:t>
      </w:r>
      <w:r w:rsidR="00063B9D">
        <w:t xml:space="preserve">against each other with prejudice, and </w:t>
      </w:r>
      <w:r w:rsidR="00646ABB">
        <w:t>. . .</w:t>
      </w:r>
      <w:r w:rsidR="00063B9D">
        <w:t xml:space="preserve"> to waive any rights to further appeals in regard to this matter.”  </w:t>
      </w:r>
      <w:r w:rsidR="00571DEB">
        <w:t xml:space="preserve">When the attorneys recognized that they had not explicitly addressed the Watts Appeal, a recess was taken.  </w:t>
      </w:r>
      <w:r w:rsidR="000E46EE">
        <w:t xml:space="preserve">After the recess, the </w:t>
      </w:r>
      <w:r>
        <w:t>City</w:t>
      </w:r>
      <w:r w:rsidR="000E46EE">
        <w:t>’s lawyer</w:t>
      </w:r>
      <w:r>
        <w:t xml:space="preserve"> repeated </w:t>
      </w:r>
      <w:r w:rsidR="00571DEB">
        <w:t xml:space="preserve">his earlier </w:t>
      </w:r>
      <w:r>
        <w:t xml:space="preserve">description </w:t>
      </w:r>
      <w:r w:rsidR="000E46EE">
        <w:t xml:space="preserve">and </w:t>
      </w:r>
      <w:r w:rsidR="00571DEB">
        <w:t xml:space="preserve">added that </w:t>
      </w:r>
      <w:r w:rsidR="000E46EE">
        <w:t xml:space="preserve">the settlement “includes a dismissal by [Eagle] of any appeals against Jason Watts.”  </w:t>
      </w:r>
      <w:r>
        <w:t xml:space="preserve">Eagle’s counsel reacted to the second “all claims” description by attempting to limit “all claims” </w:t>
      </w:r>
      <w:r w:rsidR="008C025E">
        <w:t xml:space="preserve">to </w:t>
      </w:r>
      <w:r>
        <w:t>the claims “</w:t>
      </w:r>
      <w:r w:rsidR="000E46EE">
        <w:t xml:space="preserve">[o]f </w:t>
      </w:r>
      <w:r>
        <w:t>this lawsuit.”  The City</w:t>
      </w:r>
      <w:r w:rsidR="000E46EE">
        <w:t xml:space="preserve">’s lawyer </w:t>
      </w:r>
      <w:r>
        <w:t xml:space="preserve">expressly disagreed with the limitation “of this lawsuit” and stated that </w:t>
      </w:r>
      <w:r w:rsidRPr="00883A01">
        <w:t xml:space="preserve">the dismissal </w:t>
      </w:r>
      <w:r w:rsidRPr="00883A01" w:rsidR="007E69B7">
        <w:t>was</w:t>
      </w:r>
      <w:r w:rsidRPr="00883A01">
        <w:t xml:space="preserve"> “related to any events that arised [</w:t>
      </w:r>
      <w:r w:rsidRPr="00883A01">
        <w:rPr>
          <w:i/>
          <w:iCs/>
        </w:rPr>
        <w:t>sic</w:t>
      </w:r>
      <w:r w:rsidRPr="00883A01">
        <w:t xml:space="preserve">] out of this incident.”  Eagle’s counsel and the City’s </w:t>
      </w:r>
      <w:r w:rsidRPr="00883A01" w:rsidR="000E46EE">
        <w:t xml:space="preserve">lawyer </w:t>
      </w:r>
      <w:r w:rsidRPr="00883A01">
        <w:t>briefly argued over the scope of the dismissal.  Thus, the issue presented is whether this disagreement was replaced with an agreement as to the scope of the settlement.</w:t>
      </w:r>
    </w:p>
    <w:p w:rsidR="000E46EE" w:rsidRPr="00883A01" w:rsidP="00E579CC" w14:paraId="770D47F4" w14:textId="3907BA4F">
      <w:pPr>
        <w:ind w:firstLine="720"/>
      </w:pPr>
      <w:r w:rsidRPr="00883A01">
        <w:t>While the City’s lawyer was speaking, the record shows that</w:t>
      </w:r>
      <w:r>
        <w:t xml:space="preserve"> the court interrupted, and crosstalk ensued.  </w:t>
      </w:r>
      <w:r w:rsidRPr="002239F4">
        <w:t>If the crosstalk between the City’s lawyer and the court is eliminated, the stateme</w:t>
      </w:r>
      <w:r>
        <w:t xml:space="preserve">nt by the City’s lawyer would read:  “It’s anything that arose out </w:t>
      </w:r>
      <w:r w:rsidRPr="00884D04">
        <w:t xml:space="preserve">of </w:t>
      </w:r>
      <w:r w:rsidRPr="00884D04" w:rsidR="002239F4">
        <w:t xml:space="preserve">. . . </w:t>
      </w:r>
      <w:r w:rsidRPr="00884D04" w:rsidR="003F698A">
        <w:t xml:space="preserve"> </w:t>
      </w:r>
      <w:r w:rsidRPr="00884D04" w:rsidR="002239F4">
        <w:t>[¶] . . . [¶]</w:t>
      </w:r>
      <w:r w:rsidRPr="00884D04" w:rsidR="003F698A">
        <w:t xml:space="preserve"> </w:t>
      </w:r>
      <w:r w:rsidRPr="00884D04" w:rsidR="002239F4">
        <w:t xml:space="preserve"> . . .</w:t>
      </w:r>
      <w:r w:rsidRPr="00884D04">
        <w:t xml:space="preserve"> it’s the subject.”</w:t>
      </w:r>
      <w:r>
        <w:t xml:space="preserve">  </w:t>
      </w:r>
      <w:r w:rsidRPr="00883A01">
        <w:t>By again using the term “arose out of,” the City</w:t>
      </w:r>
      <w:r w:rsidRPr="00883A01" w:rsidR="007E69B7">
        <w:t xml:space="preserve">’s lawyer </w:t>
      </w:r>
      <w:r w:rsidRPr="00883A01">
        <w:t xml:space="preserve">was plainly explaining the dismissal was for any claim that arose out of the incident that formed the basis of the complaint and cross-complaint.  </w:t>
      </w:r>
    </w:p>
    <w:p w:rsidR="00E579CC" w:rsidRPr="00883A01" w:rsidP="00E579CC" w14:paraId="32EA1256" w14:textId="45A62C20">
      <w:pPr>
        <w:ind w:firstLine="720"/>
      </w:pPr>
      <w:r w:rsidRPr="00883A01">
        <w:t xml:space="preserve">From an alternate perspective, eliminating the crosstalk would make the </w:t>
      </w:r>
      <w:r w:rsidRPr="00883A01" w:rsidR="00571DEB">
        <w:t xml:space="preserve">trial </w:t>
      </w:r>
      <w:r w:rsidRPr="00883A01">
        <w:t>court’s statement read:  “If it’s dismissed</w:t>
      </w:r>
      <w:r w:rsidRPr="00883A01" w:rsidR="003F698A">
        <w:t xml:space="preserve"> . . .  [¶] . . . [¶]  . . .</w:t>
      </w:r>
      <w:r w:rsidRPr="00883A01">
        <w:t xml:space="preserve"> </w:t>
      </w:r>
      <w:r w:rsidRPr="00883A01" w:rsidR="003F698A">
        <w:t>[</w:t>
      </w:r>
      <w:r w:rsidRPr="00883A01">
        <w:t>i</w:t>
      </w:r>
      <w:r w:rsidRPr="00883A01" w:rsidR="003F698A">
        <w:t>]</w:t>
      </w:r>
      <w:r w:rsidRPr="00883A01">
        <w:t>t can’t</w:t>
      </w:r>
      <w:r>
        <w:t xml:space="preserve"> be brought back.”  Eagle’s counsel then said, “I</w:t>
      </w:r>
      <w:r w:rsidR="000E46EE">
        <w:t xml:space="preserve"> </w:t>
      </w:r>
      <w:r>
        <w:t xml:space="preserve">can’t </w:t>
      </w:r>
      <w:r w:rsidR="000E46EE">
        <w:t xml:space="preserve">bring it </w:t>
      </w:r>
      <w:r>
        <w:t xml:space="preserve">back,” and Eagle’s </w:t>
      </w:r>
      <w:r w:rsidR="00E461F4">
        <w:t xml:space="preserve">representative </w:t>
      </w:r>
      <w:r>
        <w:t>said, “Yes.  Yes</w:t>
      </w:r>
      <w:r w:rsidR="00E84AB7">
        <w:t>,</w:t>
      </w:r>
      <w:r>
        <w:t>”</w:t>
      </w:r>
      <w:r w:rsidR="00E84AB7">
        <w:t xml:space="preserve"> which appears to agree with the court’s description.</w:t>
      </w:r>
      <w:r>
        <w:t xml:space="preserve">  </w:t>
      </w:r>
      <w:r w:rsidR="00E8323B">
        <w:t>We recognize that it is possible, on the cold record, to interpret Eagle’s counsel</w:t>
      </w:r>
      <w:r w:rsidR="00CC2F50">
        <w:t>’s</w:t>
      </w:r>
      <w:r w:rsidR="00E8323B">
        <w:t xml:space="preserve"> statement as a question </w:t>
      </w:r>
      <w:r w:rsidR="00554198">
        <w:t>about whether unpleaded claims could be brought back to court and Eagle’s representative’s yes</w:t>
      </w:r>
      <w:r w:rsidR="00CC2F50">
        <w:t>e</w:t>
      </w:r>
      <w:r w:rsidR="00554198">
        <w:t xml:space="preserve">s as supporting counsel’s question </w:t>
      </w:r>
      <w:r w:rsidRPr="00883A01" w:rsidR="00554198">
        <w:t xml:space="preserve">and indicating </w:t>
      </w:r>
      <w:r w:rsidRPr="00883A01" w:rsidR="00DE21D0">
        <w:t xml:space="preserve">that </w:t>
      </w:r>
      <w:r w:rsidRPr="00883A01" w:rsidR="00554198">
        <w:t>he too was unsure about the status of unpleaded claims</w:t>
      </w:r>
      <w:r w:rsidRPr="00883A01" w:rsidR="00DE21D0">
        <w:t xml:space="preserve"> he </w:t>
      </w:r>
      <w:r w:rsidRPr="00883A01" w:rsidR="005B6CFF">
        <w:t>was seeking an answer</w:t>
      </w:r>
      <w:r w:rsidRPr="00883A01" w:rsidR="00554198">
        <w:t xml:space="preserve">.  The </w:t>
      </w:r>
      <w:r w:rsidRPr="00883A01" w:rsidR="00DE21D0">
        <w:t>trial judge, who</w:t>
      </w:r>
      <w:r w:rsidRPr="00883A01" w:rsidR="00554198">
        <w:t xml:space="preserve"> observed the demeanor of counsel and </w:t>
      </w:r>
      <w:r w:rsidRPr="00883A01" w:rsidR="005B6CFF">
        <w:t xml:space="preserve">Eagle’s </w:t>
      </w:r>
      <w:r w:rsidRPr="00883A01" w:rsidR="00554198">
        <w:t xml:space="preserve">representative and heard their intonation, did not interpret the statements </w:t>
      </w:r>
      <w:r w:rsidRPr="00883A01" w:rsidR="00317914">
        <w:t>that way</w:t>
      </w:r>
      <w:r w:rsidRPr="00883A01" w:rsidR="00554198">
        <w:t xml:space="preserve">.  Instead </w:t>
      </w:r>
      <w:r w:rsidRPr="00883A01" w:rsidR="00DE21D0">
        <w:t>of treating their responses as a question needing to be resolved, the court followed the representative’s affirmative replies by stating</w:t>
      </w:r>
      <w:r w:rsidRPr="00883A01" w:rsidR="00554198">
        <w:t>:</w:t>
      </w:r>
      <w:r w:rsidRPr="00883A01" w:rsidR="00BC11D7">
        <w:t xml:space="preserve"> </w:t>
      </w:r>
      <w:r w:rsidRPr="00883A01" w:rsidR="00E84AB7">
        <w:t xml:space="preserve"> “The dismissals are all with prejudice</w:t>
      </w:r>
      <w:r w:rsidR="00E84AB7">
        <w:t xml:space="preserve"> on each side, and everyone is dismissing their appeals.”  The attorneys for each side and Eagle’s representative then thanked the court</w:t>
      </w:r>
      <w:r w:rsidR="00554198">
        <w:t>, which indicates they too thought the issue had been resolved</w:t>
      </w:r>
      <w:r w:rsidR="00E84AB7">
        <w:t xml:space="preserve">.  </w:t>
      </w:r>
      <w:r>
        <w:t xml:space="preserve">The court then accepted the settlement and, later </w:t>
      </w:r>
      <w:r w:rsidR="00E84AB7">
        <w:t xml:space="preserve">stated </w:t>
      </w:r>
      <w:r>
        <w:t xml:space="preserve">the minute order would reflect a “dismissal of all claims, all appeals, the suit with </w:t>
      </w:r>
      <w:r w:rsidRPr="00883A01">
        <w:t xml:space="preserve">prejudice </w:t>
      </w:r>
      <w:r w:rsidRPr="00883A01" w:rsidR="00656F6F">
        <w:t>--</w:t>
      </w:r>
      <w:r w:rsidRPr="00883A01">
        <w:t xml:space="preserve"> the countersuit with prejudice.”  </w:t>
      </w:r>
      <w:r w:rsidRPr="00883A01" w:rsidR="00AC2719">
        <w:t>S</w:t>
      </w:r>
      <w:r w:rsidRPr="00883A01" w:rsidR="00791E3B">
        <w:t>ignificantly, n</w:t>
      </w:r>
      <w:r w:rsidRPr="00883A01">
        <w:t xml:space="preserve">o party objected or sought further clarification with the court regarding “all claims.”  </w:t>
      </w:r>
    </w:p>
    <w:p w:rsidR="00CE5F22" w:rsidRPr="00883A01" w:rsidP="00E579CC" w14:paraId="5B54C886" w14:textId="12F7957B">
      <w:pPr>
        <w:ind w:firstLine="720"/>
      </w:pPr>
      <w:r w:rsidRPr="00883A01">
        <w:t>When</w:t>
      </w:r>
      <w:r w:rsidRPr="00883A01" w:rsidR="00554198">
        <w:t xml:space="preserve"> the trial court </w:t>
      </w:r>
      <w:r w:rsidRPr="00883A01" w:rsidR="00DE21D0">
        <w:t xml:space="preserve">considered </w:t>
      </w:r>
      <w:r w:rsidRPr="00883A01" w:rsidR="00F812C9">
        <w:t>the City’s motion to enforce the settlement</w:t>
      </w:r>
      <w:r w:rsidRPr="00883A01">
        <w:t xml:space="preserve"> in March 2023</w:t>
      </w:r>
      <w:r w:rsidRPr="00883A01" w:rsidR="00F812C9">
        <w:t>,</w:t>
      </w:r>
      <w:r w:rsidRPr="00883A01" w:rsidR="00554198">
        <w:t xml:space="preserve"> </w:t>
      </w:r>
      <w:r w:rsidRPr="00883A01" w:rsidR="00DE21D0">
        <w:t xml:space="preserve">the court </w:t>
      </w:r>
      <w:r w:rsidRPr="00883A01" w:rsidR="00F812C9">
        <w:t>had to interpret the foregoing exchange</w:t>
      </w:r>
      <w:r w:rsidRPr="00883A01" w:rsidR="00DE21D0">
        <w:t xml:space="preserve"> and relied on </w:t>
      </w:r>
      <w:r w:rsidRPr="00883A01" w:rsidR="00E579CC">
        <w:t xml:space="preserve">the </w:t>
      </w:r>
      <w:r w:rsidRPr="00883A01" w:rsidR="00A57D74">
        <w:t>reporter’s transcript</w:t>
      </w:r>
      <w:r w:rsidRPr="00883A01" w:rsidR="00F812C9">
        <w:t xml:space="preserve"> of the </w:t>
      </w:r>
      <w:r w:rsidRPr="00883A01" w:rsidR="005B6CFF">
        <w:t>November Hearing</w:t>
      </w:r>
      <w:r w:rsidRPr="00883A01" w:rsidR="00E461F4">
        <w:t xml:space="preserve">.  </w:t>
      </w:r>
      <w:r w:rsidRPr="00883A01" w:rsidR="00DE21D0">
        <w:t>T</w:t>
      </w:r>
      <w:r w:rsidRPr="00883A01" w:rsidR="00554198">
        <w:t xml:space="preserve">he </w:t>
      </w:r>
      <w:r w:rsidRPr="00883A01" w:rsidR="00DE21D0">
        <w:t xml:space="preserve">court’s </w:t>
      </w:r>
      <w:r w:rsidRPr="00883A01" w:rsidR="00554198">
        <w:t>March Order</w:t>
      </w:r>
      <w:r w:rsidRPr="00883A01" w:rsidR="00E461F4">
        <w:t xml:space="preserve"> </w:t>
      </w:r>
      <w:r w:rsidRPr="00883A01" w:rsidR="005B6CFF">
        <w:t xml:space="preserve">correctly </w:t>
      </w:r>
      <w:r w:rsidRPr="00883A01" w:rsidR="00554198">
        <w:t xml:space="preserve">stated </w:t>
      </w:r>
      <w:r w:rsidRPr="00883A01" w:rsidR="005B6CFF">
        <w:t xml:space="preserve">the law prohibited it from </w:t>
      </w:r>
      <w:r w:rsidRPr="00883A01" w:rsidR="00E461F4">
        <w:t>creat</w:t>
      </w:r>
      <w:r w:rsidRPr="00883A01" w:rsidR="005B6CFF">
        <w:t>ing</w:t>
      </w:r>
      <w:r w:rsidRPr="00883A01" w:rsidR="00E461F4">
        <w:t xml:space="preserve"> material terms</w:t>
      </w:r>
      <w:r w:rsidRPr="00883A01" w:rsidR="005B6CFF">
        <w:t xml:space="preserve"> and required it </w:t>
      </w:r>
      <w:r w:rsidRPr="00883A01" w:rsidR="00E461F4">
        <w:t xml:space="preserve">to decide what terms the parties agreed upon.  </w:t>
      </w:r>
      <w:r w:rsidRPr="00883A01">
        <w:t>The court interpreted the exchange</w:t>
      </w:r>
      <w:r w:rsidRPr="00883A01" w:rsidR="005B6CFF">
        <w:t xml:space="preserve"> at the November Hearing</w:t>
      </w:r>
      <w:r w:rsidRPr="00883A01">
        <w:t>, which included Eagle’s representative’s statement of “Yes.  Yes” as Eagle</w:t>
      </w:r>
      <w:r w:rsidRPr="00883A01" w:rsidR="00554198">
        <w:t>’s</w:t>
      </w:r>
      <w:r w:rsidRPr="00883A01">
        <w:t xml:space="preserve"> agree</w:t>
      </w:r>
      <w:r w:rsidRPr="00883A01" w:rsidR="00554198">
        <w:t xml:space="preserve">ment </w:t>
      </w:r>
      <w:r w:rsidRPr="00883A01">
        <w:t xml:space="preserve">that </w:t>
      </w:r>
      <w:r w:rsidRPr="00883A01" w:rsidR="006D53FB">
        <w:t xml:space="preserve">the </w:t>
      </w:r>
      <w:r w:rsidRPr="00883A01" w:rsidR="00E579CC">
        <w:t>dismissal</w:t>
      </w:r>
      <w:r w:rsidRPr="00883A01" w:rsidR="006D53FB">
        <w:t>s</w:t>
      </w:r>
      <w:r w:rsidRPr="00883A01" w:rsidR="00E579CC">
        <w:t xml:space="preserve"> would </w:t>
      </w:r>
      <w:r w:rsidRPr="00883A01" w:rsidR="006D53FB">
        <w:t xml:space="preserve">cover </w:t>
      </w:r>
      <w:r w:rsidRPr="00883A01" w:rsidR="00E579CC">
        <w:t>all claims arising out of the incident</w:t>
      </w:r>
      <w:r w:rsidRPr="00883A01">
        <w:t xml:space="preserve">.  </w:t>
      </w:r>
      <w:r w:rsidRPr="00883A01" w:rsidR="00E579CC">
        <w:t>We conclude substantial evidence support</w:t>
      </w:r>
      <w:r w:rsidRPr="00883A01" w:rsidR="006D53FB">
        <w:t>s</w:t>
      </w:r>
      <w:r w:rsidRPr="00883A01" w:rsidR="00E579CC">
        <w:t xml:space="preserve"> th</w:t>
      </w:r>
      <w:r w:rsidRPr="00883A01">
        <w:t xml:space="preserve">e court’s </w:t>
      </w:r>
      <w:r w:rsidRPr="00883A01" w:rsidR="00E579CC">
        <w:t>interpretation.</w:t>
      </w:r>
    </w:p>
    <w:p w:rsidR="007568DF" w:rsidRPr="00883A01" w:rsidP="00E579CC" w14:paraId="5B101104" w14:textId="44867261">
      <w:pPr>
        <w:ind w:firstLine="720"/>
      </w:pPr>
      <w:r w:rsidRPr="00883A01">
        <w:t>Th</w:t>
      </w:r>
      <w:r w:rsidRPr="00883A01" w:rsidR="00CE5F22">
        <w:t>e</w:t>
      </w:r>
      <w:r w:rsidRPr="00883A01">
        <w:t xml:space="preserve"> </w:t>
      </w:r>
      <w:r w:rsidRPr="00883A01" w:rsidR="006D53FB">
        <w:t xml:space="preserve">trial court’s </w:t>
      </w:r>
      <w:r w:rsidRPr="00883A01">
        <w:t>interpretation</w:t>
      </w:r>
      <w:r>
        <w:t xml:space="preserve"> is consistent with the City’s prior description of a dismissal of “all claims,” as well as the </w:t>
      </w:r>
      <w:r w:rsidR="00CE5F22">
        <w:t xml:space="preserve">court’s </w:t>
      </w:r>
      <w:r>
        <w:t>description of the intended minute order, which was to reflect both a “dismissal of all claims” and a dismissal of the suit and “countersuit” with prejudice.  Identifying a dismissal of “all claims” as well as a dismissal of the suit and countersuit indicates that the settlement would resolve not only the filed complaint and cr</w:t>
      </w:r>
      <w:r w:rsidR="00BC6C33">
        <w:t>oss</w:t>
      </w:r>
      <w:r>
        <w:t>-complain</w:t>
      </w:r>
      <w:r w:rsidR="00CC2F50">
        <w:t>t</w:t>
      </w:r>
      <w:r>
        <w:t>—that is</w:t>
      </w:r>
      <w:r w:rsidRPr="00883A01">
        <w:t xml:space="preserve">, the suit and countersuit—but also “all claims” arising out of the incident.  This settlement term makes sense because it fully disposed of </w:t>
      </w:r>
      <w:r w:rsidRPr="00883A01" w:rsidR="006D53FB">
        <w:t xml:space="preserve">the pending claims and precluded further claims </w:t>
      </w:r>
      <w:r w:rsidRPr="00883A01">
        <w:t>between</w:t>
      </w:r>
      <w:r>
        <w:t xml:space="preserve"> </w:t>
      </w:r>
      <w:r w:rsidRPr="00883A01">
        <w:t>Eagle and the City</w:t>
      </w:r>
      <w:r w:rsidRPr="00883A01" w:rsidR="00CE5F22">
        <w:t xml:space="preserve"> </w:t>
      </w:r>
      <w:r w:rsidRPr="00883A01" w:rsidR="00554198">
        <w:t xml:space="preserve">involving </w:t>
      </w:r>
      <w:r w:rsidRPr="00883A01" w:rsidR="00CE5F22">
        <w:t>the roofing project</w:t>
      </w:r>
      <w:r w:rsidRPr="00883A01">
        <w:t xml:space="preserve">.  </w:t>
      </w:r>
    </w:p>
    <w:p w:rsidR="00D21353" w:rsidRPr="00883A01" w:rsidP="00D21353" w14:paraId="7188707E" w14:textId="381DD04E">
      <w:pPr>
        <w:ind w:firstLine="720"/>
      </w:pPr>
      <w:r w:rsidRPr="00883A01">
        <w:t xml:space="preserve">When </w:t>
      </w:r>
      <w:r w:rsidRPr="00883A01" w:rsidR="00E579CC">
        <w:t xml:space="preserve">the </w:t>
      </w:r>
      <w:r w:rsidRPr="00883A01">
        <w:t xml:space="preserve">trial </w:t>
      </w:r>
      <w:r w:rsidRPr="00883A01" w:rsidR="00E579CC">
        <w:t>court interjected itself</w:t>
      </w:r>
      <w:r w:rsidRPr="00883A01" w:rsidR="00484C6E">
        <w:t>,</w:t>
      </w:r>
      <w:r w:rsidRPr="00883A01" w:rsidR="00E579CC">
        <w:t xml:space="preserve"> as the City’s </w:t>
      </w:r>
      <w:r w:rsidRPr="00883A01" w:rsidR="00214C4D">
        <w:t>lawyer</w:t>
      </w:r>
      <w:r w:rsidRPr="00883A01" w:rsidR="00E579CC">
        <w:t xml:space="preserve"> was again explaining that the dismissal was for all claims </w:t>
      </w:r>
      <w:r w:rsidRPr="00883A01" w:rsidR="00E579CC">
        <w:rPr>
          <w:i/>
          <w:iCs/>
        </w:rPr>
        <w:t>arising out</w:t>
      </w:r>
      <w:r w:rsidRPr="00883A01" w:rsidR="00E579CC">
        <w:t xml:space="preserve"> of the incident</w:t>
      </w:r>
      <w:r w:rsidRPr="00883A01">
        <w:t xml:space="preserve">, that part of the transcript is </w:t>
      </w:r>
      <w:r w:rsidRPr="00883A01" w:rsidR="00E579CC">
        <w:t>reasonably read as indicating that</w:t>
      </w:r>
      <w:r w:rsidRPr="00883A01" w:rsidR="00CC2F50">
        <w:t xml:space="preserve"> the</w:t>
      </w:r>
      <w:r w:rsidRPr="00883A01" w:rsidR="00E579CC">
        <w:t xml:space="preserve"> court was attempting to explain that the claims </w:t>
      </w:r>
      <w:r w:rsidRPr="00883A01" w:rsidR="00E579CC">
        <w:rPr>
          <w:i/>
          <w:iCs/>
        </w:rPr>
        <w:t>arising out of the incident</w:t>
      </w:r>
      <w:r w:rsidRPr="00883A01" w:rsidR="00E579CC">
        <w:t xml:space="preserve"> could no longer be brought to court, to whi</w:t>
      </w:r>
      <w:r w:rsidR="00E579CC">
        <w:t>ch Eagle’s representative responded affirmatively.</w:t>
      </w:r>
      <w:r w:rsidR="00057AA3">
        <w:t xml:space="preserve">  </w:t>
      </w:r>
      <w:r w:rsidRPr="00883A01" w:rsidR="00E579CC">
        <w:t xml:space="preserve">To the extent the </w:t>
      </w:r>
      <w:r w:rsidRPr="00883A01" w:rsidR="001903C6">
        <w:t xml:space="preserve">crosstalk set forth in the </w:t>
      </w:r>
      <w:r w:rsidRPr="00883A01" w:rsidR="00A57D74">
        <w:t>reporter’s transcript</w:t>
      </w:r>
      <w:r w:rsidRPr="00883A01" w:rsidR="00E579CC">
        <w:t xml:space="preserve"> is </w:t>
      </w:r>
      <w:r w:rsidRPr="00883A01" w:rsidR="001903C6">
        <w:t>ambiguous</w:t>
      </w:r>
      <w:r w:rsidRPr="00883A01" w:rsidR="00E579CC">
        <w:t xml:space="preserve">, </w:t>
      </w:r>
      <w:r w:rsidRPr="00883A01" w:rsidR="001903C6">
        <w:t xml:space="preserve">we infer </w:t>
      </w:r>
      <w:r w:rsidRPr="00883A01" w:rsidR="00E579CC">
        <w:t xml:space="preserve">the judge </w:t>
      </w:r>
      <w:r w:rsidRPr="00883A01" w:rsidR="006D53FB">
        <w:t xml:space="preserve">resolved any ambiguity by relying </w:t>
      </w:r>
      <w:r w:rsidRPr="00883A01" w:rsidR="00E579CC">
        <w:t xml:space="preserve">on his own memory of the November 2022 Hearing </w:t>
      </w:r>
      <w:r w:rsidRPr="00883A01" w:rsidR="006D53FB">
        <w:t xml:space="preserve">when he found </w:t>
      </w:r>
      <w:r w:rsidRPr="0098675D" w:rsidR="00E579CC">
        <w:t>that</w:t>
      </w:r>
      <w:r w:rsidRPr="00883A01" w:rsidR="00E579CC">
        <w:t xml:space="preserve"> the term “all claims” was discussed, that Eagle’s representative agreed “all claims” arising out of the incident were included, and that such claims could not be “brought back” in court.</w:t>
      </w:r>
      <w:r w:rsidRPr="00883A01" w:rsidR="00057AA3">
        <w:t xml:space="preserve">  </w:t>
      </w:r>
      <w:r w:rsidRPr="00883A01" w:rsidR="00ED68AC">
        <w:t xml:space="preserve">This inference </w:t>
      </w:r>
      <w:r w:rsidRPr="00883A01" w:rsidR="00057AA3">
        <w:t>is supported by the fact that the judge who issued the March Order was the judge who presided over the November 2022 Hearing</w:t>
      </w:r>
      <w:r w:rsidRPr="00883A01" w:rsidR="00ED68AC">
        <w:t xml:space="preserve"> and, a</w:t>
      </w:r>
      <w:r w:rsidRPr="00883A01" w:rsidR="00057AA3">
        <w:t>s such, he was permitted to rely on his memory of the hearing when evaluating the motion to enforce the settlement.  (</w:t>
      </w:r>
      <w:r w:rsidRPr="00883A01" w:rsidR="00057AA3">
        <w:rPr>
          <w:i/>
          <w:iCs/>
        </w:rPr>
        <w:t>Osumi</w:t>
      </w:r>
      <w:r w:rsidRPr="00883A01" w:rsidR="00057AA3">
        <w:t xml:space="preserve">, </w:t>
      </w:r>
      <w:r w:rsidRPr="00883A01" w:rsidR="00057AA3">
        <w:rPr>
          <w:i/>
          <w:iCs/>
        </w:rPr>
        <w:t>supra</w:t>
      </w:r>
      <w:r w:rsidRPr="00883A01" w:rsidR="00057AA3">
        <w:t xml:space="preserve">, 151 Cal.App.4th at p. 1360.)  </w:t>
      </w:r>
      <w:r w:rsidRPr="00883A01" w:rsidR="00ED68AC">
        <w:t>The applicable rules of appellate procedure require us to draw this inference because t</w:t>
      </w:r>
      <w:r w:rsidRPr="00883A01" w:rsidR="00057AA3">
        <w:t>he March Order did not state, one way or the other, whether the judge relied on his memory</w:t>
      </w:r>
      <w:r w:rsidRPr="00883A01" w:rsidR="00ED68AC">
        <w:t xml:space="preserve"> and, when </w:t>
      </w:r>
      <w:r w:rsidRPr="00883A01" w:rsidR="00214C4D">
        <w:t xml:space="preserve">faced </w:t>
      </w:r>
      <w:r w:rsidRPr="00883A01" w:rsidR="00057AA3">
        <w:t xml:space="preserve">with silence, </w:t>
      </w:r>
      <w:r w:rsidRPr="00883A01" w:rsidR="00ED68AC">
        <w:t xml:space="preserve">appellate courts must </w:t>
      </w:r>
      <w:r w:rsidRPr="00883A01" w:rsidR="00057AA3">
        <w:t>draw inferences favorable to the judgment.  (</w:t>
      </w:r>
      <w:r w:rsidRPr="00883A01" w:rsidR="00057AA3">
        <w:rPr>
          <w:i/>
          <w:iCs/>
        </w:rPr>
        <w:t>Denham</w:t>
      </w:r>
      <w:r w:rsidRPr="00883A01" w:rsidR="00057AA3">
        <w:t xml:space="preserve">, </w:t>
      </w:r>
      <w:r w:rsidRPr="00883A01" w:rsidR="00057AA3">
        <w:rPr>
          <w:i/>
          <w:iCs/>
        </w:rPr>
        <w:t>supra</w:t>
      </w:r>
      <w:r w:rsidRPr="00883A01" w:rsidR="00057AA3">
        <w:t>, 2 Cal.3d at p.</w:t>
      </w:r>
      <w:r w:rsidRPr="00883A01" w:rsidR="00C62BE2">
        <w:t> </w:t>
      </w:r>
      <w:r w:rsidRPr="00883A01" w:rsidR="00057AA3">
        <w:t xml:space="preserve">564; </w:t>
      </w:r>
      <w:r w:rsidRPr="00883A01" w:rsidR="00057AA3">
        <w:rPr>
          <w:i/>
          <w:iCs/>
        </w:rPr>
        <w:t>Fladeboe</w:t>
      </w:r>
      <w:r w:rsidRPr="00883A01" w:rsidR="00057AA3">
        <w:t xml:space="preserve">, </w:t>
      </w:r>
      <w:r w:rsidRPr="00883A01" w:rsidR="00057AA3">
        <w:rPr>
          <w:i/>
          <w:iCs/>
        </w:rPr>
        <w:t>supra</w:t>
      </w:r>
      <w:r w:rsidRPr="00883A01" w:rsidR="00057AA3">
        <w:t xml:space="preserve">, 150 Cal.App.4th at p. 58.)  Thus, we infer the trial court’s resolution of the question of fact about Eagle’s consent to the broad settlement term was based in part upon </w:t>
      </w:r>
      <w:r w:rsidRPr="00883A01" w:rsidR="00317914">
        <w:t xml:space="preserve">its </w:t>
      </w:r>
      <w:r w:rsidRPr="00883A01" w:rsidR="00057AA3">
        <w:t xml:space="preserve">recollection of the discussion of the settlement and </w:t>
      </w:r>
      <w:r w:rsidRPr="00883A01" w:rsidR="00317914">
        <w:t xml:space="preserve">its </w:t>
      </w:r>
      <w:r w:rsidRPr="00883A01" w:rsidR="00057AA3">
        <w:t xml:space="preserve">observations of Eagle’s representative’s demeanor </w:t>
      </w:r>
      <w:r w:rsidRPr="00883A01" w:rsidR="003F55C4">
        <w:t xml:space="preserve">and intonation </w:t>
      </w:r>
      <w:r w:rsidRPr="00883A01" w:rsidR="00057AA3">
        <w:t>when he said, “Yes.  Yes.”</w:t>
      </w:r>
      <w:r w:rsidRPr="00883A01" w:rsidR="00214C4D">
        <w:t xml:space="preserve">  That recollection, when combined with the reporter’s transcript, constitutes substantial evidence.  </w:t>
      </w:r>
    </w:p>
    <w:p w:rsidR="00314DEB" w:rsidRPr="00883A01" w:rsidP="00CC2F50" w14:paraId="3AB5BCE8" w14:textId="7D3CB1F8">
      <w:pPr>
        <w:ind w:firstLine="720"/>
      </w:pPr>
      <w:r w:rsidRPr="00883A01">
        <w:t xml:space="preserve">Next, we consider </w:t>
      </w:r>
      <w:r w:rsidRPr="00883A01" w:rsidR="00D21353">
        <w:t xml:space="preserve">Eagle’s argument regarding the lack of clarity about what settlement terms the </w:t>
      </w:r>
      <w:r w:rsidRPr="00883A01" w:rsidR="00C62BE2">
        <w:t>C</w:t>
      </w:r>
      <w:r w:rsidRPr="00883A01" w:rsidR="00D21353">
        <w:t xml:space="preserve">ity council </w:t>
      </w:r>
      <w:r w:rsidRPr="00883A01">
        <w:t xml:space="preserve">actually </w:t>
      </w:r>
      <w:r w:rsidRPr="00883A01" w:rsidR="00D21353">
        <w:t>approved</w:t>
      </w:r>
      <w:r w:rsidRPr="00883A01">
        <w:t>.  This argument</w:t>
      </w:r>
      <w:r w:rsidRPr="00883A01" w:rsidR="00D21353">
        <w:t xml:space="preserve"> is </w:t>
      </w:r>
      <w:r w:rsidRPr="00883A01" w:rsidR="00214C4D">
        <w:t xml:space="preserve">not developed with </w:t>
      </w:r>
      <w:r w:rsidRPr="00883A01" w:rsidR="00D21353">
        <w:t>citation</w:t>
      </w:r>
      <w:r w:rsidRPr="00883A01" w:rsidR="00214C4D">
        <w:t>s</w:t>
      </w:r>
      <w:r w:rsidRPr="00883A01" w:rsidR="00D21353">
        <w:t xml:space="preserve"> to relevant legal authority</w:t>
      </w:r>
      <w:r w:rsidRPr="00883A01" w:rsidR="00214C4D">
        <w:t xml:space="preserve"> or reasoned argument</w:t>
      </w:r>
      <w:r w:rsidRPr="00883A01" w:rsidR="00D21353">
        <w:t xml:space="preserve">.  </w:t>
      </w:r>
      <w:r w:rsidRPr="00883A01" w:rsidR="00214C4D">
        <w:t>(See Cal. Rules of Court, rule 8.204(a)(1)(</w:t>
      </w:r>
      <w:r w:rsidRPr="00883A01" w:rsidR="00401BC1">
        <w:t>B</w:t>
      </w:r>
      <w:r w:rsidRPr="00883A01" w:rsidR="00214C4D">
        <w:t xml:space="preserve">).)  </w:t>
      </w:r>
      <w:r w:rsidRPr="00883A01" w:rsidR="003F55C4">
        <w:t xml:space="preserve">For example, Eagle has not </w:t>
      </w:r>
      <w:r w:rsidRPr="00883A01" w:rsidR="00214C4D">
        <w:t xml:space="preserve">referred to </w:t>
      </w:r>
      <w:r w:rsidRPr="00883A01" w:rsidR="003F55C4">
        <w:t xml:space="preserve">the principles that determine when a </w:t>
      </w:r>
      <w:r w:rsidRPr="00883A01" w:rsidR="00214C4D">
        <w:t xml:space="preserve">municipality has </w:t>
      </w:r>
      <w:r w:rsidRPr="00883A01" w:rsidR="003F55C4">
        <w:t>ratifi</w:t>
      </w:r>
      <w:r w:rsidRPr="00883A01" w:rsidR="00214C4D">
        <w:t>ed</w:t>
      </w:r>
      <w:r w:rsidRPr="00883A01" w:rsidR="003F55C4">
        <w:t xml:space="preserve"> a</w:t>
      </w:r>
      <w:r w:rsidRPr="00883A01" w:rsidR="00214C4D">
        <w:t xml:space="preserve">n employee’s </w:t>
      </w:r>
      <w:r w:rsidRPr="00883A01" w:rsidR="003F55C4">
        <w:t>actions</w:t>
      </w:r>
      <w:r w:rsidRPr="00883A01" w:rsidR="00214C4D">
        <w:t xml:space="preserve">.  (See generally </w:t>
      </w:r>
      <w:r w:rsidRPr="00883A01" w:rsidR="00214C4D">
        <w:rPr>
          <w:i/>
          <w:iCs/>
        </w:rPr>
        <w:t>Rakestraw v. Rodrigues</w:t>
      </w:r>
      <w:r w:rsidRPr="00883A01" w:rsidR="00214C4D">
        <w:t xml:space="preserve"> (1972) 8 Cal.3d 67, 73 [ratification defined].)  More specifically, Eagle has not shown </w:t>
      </w:r>
      <w:r w:rsidRPr="00883A01" w:rsidR="00F668AC">
        <w:t xml:space="preserve">the City’s adoption of </w:t>
      </w:r>
      <w:r w:rsidRPr="00883A01" w:rsidR="003F55C4">
        <w:t>the assistant city manager’s approval of the settlement</w:t>
      </w:r>
      <w:r w:rsidRPr="00883A01" w:rsidR="00F668AC">
        <w:t xml:space="preserve"> agreement</w:t>
      </w:r>
      <w:r w:rsidRPr="00883A01" w:rsidR="00214C4D">
        <w:t xml:space="preserve"> </w:t>
      </w:r>
      <w:r w:rsidRPr="00883A01" w:rsidR="003F55C4">
        <w:t xml:space="preserve">requires each term </w:t>
      </w:r>
      <w:r w:rsidRPr="00883A01" w:rsidR="00214C4D">
        <w:t xml:space="preserve">of the </w:t>
      </w:r>
      <w:r w:rsidRPr="00883A01" w:rsidR="003F55C4">
        <w:t xml:space="preserve">agreement to be stated with specificity in the </w:t>
      </w:r>
      <w:r w:rsidRPr="00883A01" w:rsidR="00ED68AC">
        <w:t xml:space="preserve">council’s motion or resolution </w:t>
      </w:r>
      <w:r w:rsidRPr="00883A01" w:rsidR="003F55C4">
        <w:t>manifesting</w:t>
      </w:r>
      <w:r w:rsidR="003F55C4">
        <w:t xml:space="preserve"> </w:t>
      </w:r>
      <w:r w:rsidRPr="00883A01" w:rsidR="003F55C4">
        <w:t xml:space="preserve">the intent to </w:t>
      </w:r>
      <w:r w:rsidRPr="00883A01" w:rsidR="00F668AC">
        <w:t xml:space="preserve">ratify </w:t>
      </w:r>
      <w:r w:rsidRPr="00883A01" w:rsidR="003F55C4">
        <w:t>th</w:t>
      </w:r>
      <w:r w:rsidRPr="00883A01" w:rsidR="00214C4D">
        <w:t>e</w:t>
      </w:r>
      <w:r w:rsidRPr="00883A01" w:rsidR="003F55C4">
        <w:t xml:space="preserve"> agreement.  </w:t>
      </w:r>
      <w:r w:rsidRPr="00883A01" w:rsidR="00D21353">
        <w:t>As</w:t>
      </w:r>
      <w:r w:rsidR="00D21353">
        <w:t xml:space="preserve"> a result, the point is inadequately developed and thus, forfeited.  (See </w:t>
      </w:r>
      <w:r w:rsidRPr="00E40D70" w:rsidR="00D21353">
        <w:rPr>
          <w:i/>
          <w:iCs/>
        </w:rPr>
        <w:t xml:space="preserve">In re Tobacco Cases II </w:t>
      </w:r>
      <w:r w:rsidRPr="00A944B4" w:rsidR="00D21353">
        <w:t>(2015) 240 Cal.</w:t>
      </w:r>
      <w:r w:rsidRPr="00883A01" w:rsidR="00D21353">
        <w:t xml:space="preserve">App.4th 779, 808; </w:t>
      </w:r>
      <w:r w:rsidRPr="00883A01" w:rsidR="00D21353">
        <w:rPr>
          <w:i/>
          <w:iCs/>
        </w:rPr>
        <w:t>Cahill v. San Diego Gas &amp; Electric Co.</w:t>
      </w:r>
      <w:r w:rsidRPr="00883A01" w:rsidR="00D21353">
        <w:t xml:space="preserve"> (2011) 194 Cal.App.4th 939, 956.)</w:t>
      </w:r>
      <w:r w:rsidRPr="00883A01" w:rsidR="00ED68AC">
        <w:t xml:space="preserve">  </w:t>
      </w:r>
      <w:r w:rsidRPr="00883A01" w:rsidR="00214C4D">
        <w:t xml:space="preserve">Stated more directly, Eagle has not affirmatively demonstrated the trial court erred in accepting the </w:t>
      </w:r>
      <w:r w:rsidRPr="00883A01" w:rsidR="00B94E32">
        <w:t>C</w:t>
      </w:r>
      <w:r w:rsidRPr="00883A01" w:rsidR="00214C4D">
        <w:t>ity council’s approval of the settlement.  (See</w:t>
      </w:r>
      <w:r w:rsidRPr="00883A01">
        <w:t xml:space="preserve"> </w:t>
      </w:r>
      <w:r w:rsidRPr="00883A01">
        <w:rPr>
          <w:i/>
          <w:iCs/>
        </w:rPr>
        <w:t>Denham</w:t>
      </w:r>
      <w:r w:rsidRPr="00883A01">
        <w:t xml:space="preserve">, </w:t>
      </w:r>
      <w:r w:rsidRPr="00883A01">
        <w:rPr>
          <w:i/>
          <w:iCs/>
        </w:rPr>
        <w:t>supra</w:t>
      </w:r>
      <w:r w:rsidRPr="00883A01">
        <w:t>, 2 Cal.3d at p. 564 [</w:t>
      </w:r>
      <w:r w:rsidRPr="00883A01" w:rsidR="00CB1E29">
        <w:t xml:space="preserve">the </w:t>
      </w:r>
      <w:r w:rsidRPr="00883A01">
        <w:t>appellant bears the burden of affirmatively demonstrating error].)  Also, o</w:t>
      </w:r>
      <w:r w:rsidRPr="00883A01" w:rsidR="002543A6">
        <w:t xml:space="preserve">n a related issue, </w:t>
      </w:r>
      <w:r w:rsidRPr="00883A01">
        <w:t xml:space="preserve">we conclude </w:t>
      </w:r>
      <w:r w:rsidRPr="00883A01" w:rsidR="00ED68AC">
        <w:t>the assistant city manager</w:t>
      </w:r>
      <w:r w:rsidRPr="00883A01" w:rsidR="00663650">
        <w:t>’</w:t>
      </w:r>
      <w:r w:rsidRPr="00883A01" w:rsidR="00ED68AC">
        <w:t xml:space="preserve">s agreement to the terms of the settlement strictly complies with the requirement that </w:t>
      </w:r>
      <w:r w:rsidRPr="00883A01">
        <w:t>a</w:t>
      </w:r>
      <w:r w:rsidRPr="00883A01" w:rsidR="00ED68AC">
        <w:t xml:space="preserve"> party (as opposed to the party’s counsel) </w:t>
      </w:r>
      <w:r w:rsidRPr="00883A01" w:rsidR="00487040">
        <w:t>approve the settlement</w:t>
      </w:r>
      <w:r w:rsidRPr="00883A01">
        <w:t xml:space="preserve"> “before the court.”  (§</w:t>
      </w:r>
      <w:r w:rsidRPr="00883A01" w:rsidR="00FA216A">
        <w:t> </w:t>
      </w:r>
      <w:r w:rsidRPr="00883A01">
        <w:t xml:space="preserve">664.6, subd. (a).)  </w:t>
      </w:r>
    </w:p>
    <w:p w:rsidR="00A57D74" w:rsidP="00CC2F50" w14:paraId="76DF35F2" w14:textId="53129C62">
      <w:pPr>
        <w:ind w:firstLine="720"/>
      </w:pPr>
      <w:r w:rsidRPr="00883A01">
        <w:t xml:space="preserve">To summarize, under </w:t>
      </w:r>
      <w:r w:rsidRPr="00883A01" w:rsidR="00E579CC">
        <w:t xml:space="preserve">the deferential substantial evidence standard </w:t>
      </w:r>
      <w:r w:rsidRPr="00883A01">
        <w:t xml:space="preserve">of review </w:t>
      </w:r>
      <w:r w:rsidRPr="00883A01" w:rsidR="00E579CC">
        <w:t>(</w:t>
      </w:r>
      <w:r w:rsidRPr="00883A01" w:rsidR="00E579CC">
        <w:rPr>
          <w:i/>
          <w:iCs/>
        </w:rPr>
        <w:t>Lee</w:t>
      </w:r>
      <w:r w:rsidRPr="00883A01" w:rsidR="00E579CC">
        <w:t xml:space="preserve">, </w:t>
      </w:r>
      <w:r w:rsidRPr="00883A01" w:rsidR="00E579CC">
        <w:rPr>
          <w:i/>
          <w:iCs/>
        </w:rPr>
        <w:t>supra</w:t>
      </w:r>
      <w:r w:rsidRPr="00883A01" w:rsidR="00E579CC">
        <w:t>, 76 Cal.App.5th at p. 222)</w:t>
      </w:r>
      <w:r w:rsidRPr="00883A01">
        <w:t>,</w:t>
      </w:r>
      <w:r w:rsidRPr="00883A01" w:rsidR="00E579CC">
        <w:t xml:space="preserve"> we conclude th</w:t>
      </w:r>
      <w:r w:rsidRPr="00883A01">
        <w:t>e</w:t>
      </w:r>
      <w:r w:rsidRPr="00883A01" w:rsidR="00E579CC">
        <w:t xml:space="preserve"> evidence </w:t>
      </w:r>
      <w:r w:rsidRPr="00883A01">
        <w:t xml:space="preserve">adequately </w:t>
      </w:r>
      <w:r w:rsidRPr="00883A01" w:rsidR="00E579CC">
        <w:t xml:space="preserve">supports </w:t>
      </w:r>
      <w:r w:rsidRPr="00883A01" w:rsidR="002543A6">
        <w:t xml:space="preserve">(1) </w:t>
      </w:r>
      <w:r w:rsidRPr="00883A01" w:rsidR="00314DEB">
        <w:t xml:space="preserve">the court’s finding that an enforceable settlement contract existed and (2) </w:t>
      </w:r>
      <w:r w:rsidRPr="00883A01" w:rsidR="00E579CC">
        <w:t xml:space="preserve">the court’s </w:t>
      </w:r>
      <w:r w:rsidRPr="00883A01">
        <w:t xml:space="preserve">specific </w:t>
      </w:r>
      <w:r w:rsidRPr="00883A01" w:rsidR="00E579CC">
        <w:t xml:space="preserve">finding that Eagle assented to a dismissal of all claims arising out of the incident that formed the basis of its complaint.  Eagle has not </w:t>
      </w:r>
      <w:r w:rsidRPr="00883A01" w:rsidR="00487040">
        <w:t>demonstrated these findings are erroneous due to a lack of evidentiary support or otherwise.</w:t>
      </w:r>
    </w:p>
    <w:p w:rsidR="005D6C98" w:rsidRPr="00F60E57" w:rsidP="005D6C98" w14:paraId="69AFF892" w14:textId="59589B59">
      <w:pPr>
        <w:pStyle w:val="Heading2"/>
        <w:rPr>
          <w:b w:val="0"/>
          <w:i/>
        </w:rPr>
      </w:pPr>
      <w:r w:rsidRPr="001E6A52">
        <w:tab/>
      </w:r>
      <w:bookmarkStart w:id="25" w:name="_Toc165298050"/>
      <w:r>
        <w:rPr>
          <w:b w:val="0"/>
          <w:i/>
        </w:rPr>
        <w:t>3</w:t>
      </w:r>
      <w:r w:rsidRPr="001E6A52">
        <w:rPr>
          <w:b w:val="0"/>
          <w:i/>
        </w:rPr>
        <w:t>.</w:t>
      </w:r>
      <w:r w:rsidRPr="001E6A52">
        <w:rPr>
          <w:b w:val="0"/>
          <w:i/>
        </w:rPr>
        <w:tab/>
      </w:r>
      <w:r>
        <w:rPr>
          <w:b w:val="0"/>
          <w:i/>
        </w:rPr>
        <w:t xml:space="preserve">Legality of Eagle Agreeing </w:t>
      </w:r>
      <w:r w:rsidR="00FD44A7">
        <w:rPr>
          <w:b w:val="0"/>
          <w:i/>
        </w:rPr>
        <w:t>T</w:t>
      </w:r>
      <w:r>
        <w:rPr>
          <w:b w:val="0"/>
          <w:i/>
        </w:rPr>
        <w:t>o Dismiss the Watts Appeal</w:t>
      </w:r>
      <w:bookmarkEnd w:id="25"/>
    </w:p>
    <w:p w:rsidR="005B107A" w:rsidRPr="00883A01" w:rsidP="005B107A" w14:paraId="56124DD3" w14:textId="3F2E3898">
      <w:pPr>
        <w:ind w:firstLine="720"/>
      </w:pPr>
      <w:r>
        <w:t>Eagle’s claims against Watts were adjudicated in favor of Watts through a summary judgment motion, and Watts’s cross-</w:t>
      </w:r>
      <w:r w:rsidRPr="00883A01">
        <w:t xml:space="preserve">complaint </w:t>
      </w:r>
      <w:r w:rsidRPr="00883A01" w:rsidR="00487040">
        <w:t xml:space="preserve">against Eagle </w:t>
      </w:r>
      <w:r w:rsidRPr="00883A01">
        <w:t xml:space="preserve">was resolved through his section 581 request for voluntary dismissal without prejudice.  The settlement and </w:t>
      </w:r>
      <w:r w:rsidRPr="00883A01" w:rsidR="00314DEB">
        <w:t xml:space="preserve">judgment </w:t>
      </w:r>
      <w:r w:rsidRPr="00883A01">
        <w:t xml:space="preserve">enforcing settlement did not purport to exercise any authority over Watts, such as compelling </w:t>
      </w:r>
      <w:r w:rsidRPr="00883A01" w:rsidR="00F668AC">
        <w:t xml:space="preserve">him </w:t>
      </w:r>
      <w:r w:rsidRPr="00883A01">
        <w:t xml:space="preserve">to perform an </w:t>
      </w:r>
      <w:r w:rsidRPr="00883A01" w:rsidR="00CC2F50">
        <w:t>act</w:t>
      </w:r>
      <w:r w:rsidRPr="00883A01">
        <w:t xml:space="preserve"> or prohibiting him from taking an action.  Instead, the settlement and </w:t>
      </w:r>
      <w:r w:rsidRPr="00883A01" w:rsidR="00314DEB">
        <w:t xml:space="preserve">judgment </w:t>
      </w:r>
      <w:r w:rsidRPr="00883A01">
        <w:t>simply required Eagle to dismiss the Watts Appeal and</w:t>
      </w:r>
      <w:r w:rsidRPr="00883A01" w:rsidR="00F668AC">
        <w:t>,</w:t>
      </w:r>
      <w:r w:rsidRPr="00883A01">
        <w:t xml:space="preserve"> thus, attempted to confer a litigation benefit on Watts</w:t>
      </w:r>
      <w:r w:rsidRPr="00883A01" w:rsidR="003B3418">
        <w:t>, a non</w:t>
      </w:r>
      <w:r w:rsidRPr="00883A01" w:rsidR="00F668AC">
        <w:t>party to the agreement</w:t>
      </w:r>
      <w:r w:rsidRPr="00883A01">
        <w:t xml:space="preserve">.  </w:t>
      </w:r>
    </w:p>
    <w:p w:rsidR="00487040" w:rsidRPr="00883A01" w:rsidP="005B107A" w14:paraId="1E2CBE4E" w14:textId="374C7F9F">
      <w:pPr>
        <w:ind w:firstLine="720"/>
      </w:pPr>
      <w:r w:rsidRPr="00883A01">
        <w:t>Civil Code section 1559 provides:</w:t>
      </w:r>
      <w:r w:rsidRPr="00883A01" w:rsidR="00FD44A7">
        <w:t xml:space="preserve"> </w:t>
      </w:r>
      <w:r w:rsidRPr="00883A01">
        <w:t xml:space="preserve"> “A contract, made expressly for the benefit of a third person, may be enforced by him at any time before the parties thereto rescind</w:t>
      </w:r>
      <w:r w:rsidRPr="001A7D4C">
        <w:t xml:space="preserve"> it.”</w:t>
      </w:r>
      <w:r>
        <w:t xml:space="preserve">  It logically follows that California contract law allows </w:t>
      </w:r>
      <w:r w:rsidRPr="003B3418">
        <w:t>parties</w:t>
      </w:r>
      <w:r>
        <w:t xml:space="preserve"> to form a contract with a </w:t>
      </w:r>
      <w:r w:rsidRPr="00883A01">
        <w:t>provision that benefits a third party and, furthermore, also allows a party to that contract to enforce a provision benefiting a third party</w:t>
      </w:r>
      <w:r w:rsidRPr="00883A01" w:rsidR="003B3418">
        <w:t xml:space="preserve">.  </w:t>
      </w:r>
    </w:p>
    <w:p w:rsidR="005D6C98" w:rsidRPr="00883A01" w:rsidP="005B107A" w14:paraId="6C0DD4F7" w14:textId="11290E84">
      <w:pPr>
        <w:ind w:firstLine="720"/>
      </w:pPr>
      <w:r w:rsidRPr="00883A01">
        <w:t xml:space="preserve">To be enforceable, </w:t>
      </w:r>
      <w:r w:rsidRPr="00883A01" w:rsidR="005B107A">
        <w:t>a contract provision must have a “lawful object</w:t>
      </w:r>
      <w:r w:rsidRPr="00883A01" w:rsidR="002543A6">
        <w:t>.</w:t>
      </w:r>
      <w:r w:rsidRPr="00883A01" w:rsidR="005B107A">
        <w:t>”</w:t>
      </w:r>
      <w:r w:rsidRPr="00883A01" w:rsidR="00487040">
        <w:t xml:space="preserve">  </w:t>
      </w:r>
      <w:r w:rsidRPr="00883A01" w:rsidR="005B107A">
        <w:t>(Civ. Code, §</w:t>
      </w:r>
      <w:r w:rsidRPr="00883A01" w:rsidR="00FD44A7">
        <w:t> </w:t>
      </w:r>
      <w:r w:rsidRPr="00883A01" w:rsidR="005B107A">
        <w:t>1550; see 1 Witkin, Summary of Cal. Law</w:t>
      </w:r>
      <w:r w:rsidRPr="00883A01" w:rsidR="000449F6">
        <w:t xml:space="preserve">, </w:t>
      </w:r>
      <w:r w:rsidRPr="00883A01" w:rsidR="000449F6">
        <w:rPr>
          <w:i/>
          <w:iCs/>
        </w:rPr>
        <w:t>supra</w:t>
      </w:r>
      <w:r w:rsidRPr="00883A01" w:rsidR="000449F6">
        <w:t xml:space="preserve">, </w:t>
      </w:r>
      <w:r w:rsidRPr="00883A01" w:rsidR="005B107A">
        <w:t>§§ 421–422, pp.</w:t>
      </w:r>
      <w:r w:rsidRPr="00883A01" w:rsidR="00FD44A7">
        <w:t> </w:t>
      </w:r>
      <w:r w:rsidRPr="00883A01" w:rsidR="005B107A">
        <w:t xml:space="preserve">446–447 [illegal object and partial illegality].)  </w:t>
      </w:r>
      <w:r w:rsidRPr="00883A01">
        <w:t xml:space="preserve">Accordingly, we consider whether Eagle has demonstrated the provision requiring it to dismiss the Watts Appeal has an unlawful object.  In this context, lawful means not conflicting with an express statute or public policy.  (1 Witkin, Summary of Cal. Law, </w:t>
      </w:r>
      <w:r w:rsidRPr="00883A01">
        <w:rPr>
          <w:i/>
          <w:iCs/>
        </w:rPr>
        <w:t>supra</w:t>
      </w:r>
      <w:r w:rsidRPr="00883A01">
        <w:t xml:space="preserve">, § 421, p. 446.)  </w:t>
      </w:r>
      <w:r w:rsidRPr="00883A01" w:rsidR="005B107A">
        <w:t>Eagle has cited no statute and ha</w:t>
      </w:r>
      <w:r w:rsidRPr="00883A01" w:rsidR="00CC2F50">
        <w:t>s</w:t>
      </w:r>
      <w:r w:rsidRPr="00883A01" w:rsidR="005B107A">
        <w:t xml:space="preserve"> identified no public policy that conflicts with</w:t>
      </w:r>
      <w:r w:rsidR="005B107A">
        <w:t xml:space="preserve"> its dismissal of the Watts Appeal.  Indeed, because California has a strong public policy favoring the voluntary settlement of disputes (</w:t>
      </w:r>
      <w:r w:rsidR="005B107A">
        <w:rPr>
          <w:i/>
          <w:iCs/>
        </w:rPr>
        <w:t>Monster Energy Co. v. Schechter</w:t>
      </w:r>
      <w:r w:rsidR="005B107A">
        <w:t xml:space="preserve"> (2019) 7 Cal.5th 781, 793), public policy support</w:t>
      </w:r>
      <w:r w:rsidR="00E158D4">
        <w:t>s</w:t>
      </w:r>
      <w:r w:rsidR="005B107A">
        <w:t xml:space="preserve"> </w:t>
      </w:r>
      <w:r w:rsidR="00E158D4">
        <w:t xml:space="preserve">the enforcement of </w:t>
      </w:r>
      <w:r w:rsidR="005B107A">
        <w:t xml:space="preserve">a contractual provision in which the </w:t>
      </w:r>
      <w:r w:rsidR="00E158D4">
        <w:t xml:space="preserve">contracting </w:t>
      </w:r>
      <w:r w:rsidR="005B107A">
        <w:t xml:space="preserve">parties agree that one of the parties will dismiss an appeal </w:t>
      </w:r>
      <w:r w:rsidRPr="00883A01" w:rsidR="005B107A">
        <w:t>against a third person.</w:t>
      </w:r>
      <w:r w:rsidRPr="00883A01">
        <w:t xml:space="preserve">  </w:t>
      </w:r>
      <w:r w:rsidRPr="00883A01" w:rsidR="005B107A">
        <w:t>Considering that Watts was the City’s engineer on the roofing project</w:t>
      </w:r>
      <w:r w:rsidRPr="00883A01" w:rsidR="00683B2E">
        <w:t xml:space="preserve"> and public entities have an obligation to defend and indemnify their employees (Gov. Code, §§ 825, 825.2)</w:t>
      </w:r>
      <w:r w:rsidRPr="00883A01" w:rsidR="005B107A">
        <w:t xml:space="preserve">, we detect nothing improper about the City’s negotiating a dismissal of Eagle’s appeal against </w:t>
      </w:r>
      <w:r w:rsidRPr="00883A01" w:rsidR="00DE26C6">
        <w:t>Watts</w:t>
      </w:r>
      <w:r w:rsidRPr="00883A01" w:rsidR="005B107A">
        <w:t xml:space="preserve">.  Consequently, </w:t>
      </w:r>
      <w:r w:rsidRPr="00883A01">
        <w:t xml:space="preserve">the term in the settlement </w:t>
      </w:r>
      <w:r w:rsidRPr="00883A01" w:rsidR="005B107A">
        <w:t xml:space="preserve">agreement </w:t>
      </w:r>
      <w:r w:rsidRPr="00883A01">
        <w:t xml:space="preserve">requiring Eagle </w:t>
      </w:r>
      <w:r w:rsidRPr="00883A01" w:rsidR="005B107A">
        <w:t xml:space="preserve">to dismiss the Watts Appeal </w:t>
      </w:r>
      <w:r w:rsidRPr="00883A01" w:rsidR="00F14259">
        <w:t>is</w:t>
      </w:r>
      <w:r w:rsidRPr="00883A01" w:rsidR="005B107A">
        <w:t xml:space="preserve"> enforceable.</w:t>
      </w:r>
      <w:r w:rsidRPr="00883A01">
        <w:t xml:space="preserve">  </w:t>
      </w:r>
    </w:p>
    <w:p w:rsidR="0078011C" w:rsidRPr="00883A01" w:rsidP="0078011C" w14:paraId="0A9FEDA3" w14:textId="4F0ECB44">
      <w:pPr>
        <w:pStyle w:val="Heading1"/>
        <w:rPr>
          <w:b w:val="0"/>
          <w:szCs w:val="26"/>
        </w:rPr>
      </w:pPr>
      <w:bookmarkStart w:id="26" w:name="_Toc165298051"/>
      <w:r w:rsidRPr="00883A01">
        <w:rPr>
          <w:b w:val="0"/>
          <w:szCs w:val="26"/>
        </w:rPr>
        <w:t>I</w:t>
      </w:r>
      <w:r w:rsidRPr="00883A01" w:rsidR="00E158D4">
        <w:rPr>
          <w:b w:val="0"/>
          <w:szCs w:val="26"/>
        </w:rPr>
        <w:t>II</w:t>
      </w:r>
      <w:r w:rsidRPr="00883A01">
        <w:rPr>
          <w:b w:val="0"/>
          <w:szCs w:val="26"/>
        </w:rPr>
        <w:t>.</w:t>
      </w:r>
      <w:r w:rsidRPr="00883A01">
        <w:rPr>
          <w:b w:val="0"/>
          <w:szCs w:val="26"/>
        </w:rPr>
        <w:tab/>
        <w:t>MOTION TO DISMISS AND REQUEST FOR SANCTIONS</w:t>
      </w:r>
      <w:bookmarkEnd w:id="26"/>
      <w:r>
        <w:rPr>
          <w:rStyle w:val="FootnoteReference"/>
          <w:b/>
          <w:szCs w:val="26"/>
        </w:rPr>
        <w:footnoteReference w:customMarkFollows="1" w:id="6"/>
        <w:t xml:space="preserve">*</w:t>
      </w:r>
    </w:p>
    <w:p w:rsidR="00E579CC" w:rsidRPr="00883A01" w:rsidP="0078011C" w14:paraId="1B6BA9BD" w14:textId="1F106FB0">
      <w:pPr>
        <w:ind w:firstLine="720"/>
      </w:pPr>
      <w:r w:rsidRPr="00883A01">
        <w:t xml:space="preserve">The City </w:t>
      </w:r>
      <w:r w:rsidRPr="00883A01" w:rsidR="009F56D0">
        <w:t xml:space="preserve">contends </w:t>
      </w:r>
      <w:r w:rsidRPr="00883A01">
        <w:t>Eagle</w:t>
      </w:r>
      <w:r w:rsidRPr="00883A01" w:rsidR="009F56D0">
        <w:t xml:space="preserve"> should be sanctioned for filing a </w:t>
      </w:r>
      <w:r w:rsidRPr="00883A01">
        <w:t>frivolous</w:t>
      </w:r>
      <w:r w:rsidRPr="00883A01" w:rsidR="009F56D0">
        <w:t xml:space="preserve"> appeal</w:t>
      </w:r>
      <w:r w:rsidRPr="00883A01">
        <w:t>.  An appeal is frivolous “when any reasonable attorney would agree that the appeal is totally and completely without merit.”  (</w:t>
      </w:r>
      <w:r w:rsidRPr="00883A01">
        <w:rPr>
          <w:i/>
          <w:iCs/>
        </w:rPr>
        <w:t xml:space="preserve">Barrera v. Apple American Group LLC </w:t>
      </w:r>
      <w:r w:rsidRPr="00883A01">
        <w:t xml:space="preserve">(2023) 95 Cal.App.5th 63, 96.)  </w:t>
      </w:r>
      <w:r w:rsidRPr="00883A01" w:rsidR="009F56D0">
        <w:t>A</w:t>
      </w:r>
      <w:r w:rsidRPr="00883A01">
        <w:t>lthough we have rejected Eagle’s arguments and will affirm the judgment</w:t>
      </w:r>
      <w:r w:rsidRPr="00883A01" w:rsidR="009F56D0">
        <w:t xml:space="preserve"> entered to enforce the settlement</w:t>
      </w:r>
      <w:r w:rsidRPr="00883A01">
        <w:t>, th</w:t>
      </w:r>
      <w:r w:rsidRPr="00883A01" w:rsidR="00730935">
        <w:t>os</w:t>
      </w:r>
      <w:r w:rsidRPr="00883A01">
        <w:t>e arguments</w:t>
      </w:r>
      <w:r w:rsidRPr="00883A01" w:rsidR="00730935">
        <w:t xml:space="preserve"> cannot be characterized as </w:t>
      </w:r>
      <w:r w:rsidRPr="00883A01">
        <w:t xml:space="preserve">totally and completely without merit.  </w:t>
      </w:r>
      <w:r w:rsidRPr="00883A01" w:rsidR="00DC43C3">
        <w:t xml:space="preserve">In particular, the wording of section 664.6, subdivision (a) is not a model of clarity </w:t>
      </w:r>
      <w:r w:rsidRPr="00883A01" w:rsidR="007E36E8">
        <w:t>in describing how the two sentences relate to one</w:t>
      </w:r>
      <w:r w:rsidR="007E36E8">
        <w:t xml:space="preserve"> </w:t>
      </w:r>
      <w:r w:rsidRPr="00883A01" w:rsidR="007E36E8">
        <w:t xml:space="preserve">another.  </w:t>
      </w:r>
      <w:r w:rsidRPr="00883A01" w:rsidR="00730935">
        <w:t>A</w:t>
      </w:r>
      <w:r w:rsidRPr="00883A01" w:rsidR="007E36E8">
        <w:t xml:space="preserve">lthough the first sentence clearly states it applies when the litigation is pending, the </w:t>
      </w:r>
      <w:r w:rsidRPr="00883A01" w:rsidR="00DC43C3">
        <w:t xml:space="preserve">second sentence does not explicitly </w:t>
      </w:r>
      <w:r w:rsidRPr="00883A01" w:rsidR="007E36E8">
        <w:t xml:space="preserve">inform readers that the </w:t>
      </w:r>
      <w:r w:rsidRPr="00883A01" w:rsidR="00592065">
        <w:t>requirements</w:t>
      </w:r>
      <w:r w:rsidRPr="00883A01" w:rsidR="00DC43C3">
        <w:t xml:space="preserve"> </w:t>
      </w:r>
      <w:r w:rsidRPr="00883A01" w:rsidR="007E36E8">
        <w:t xml:space="preserve">for the retention of jurisdiction </w:t>
      </w:r>
      <w:r w:rsidRPr="00883A01" w:rsidR="0043225C">
        <w:t xml:space="preserve">apply </w:t>
      </w:r>
      <w:r w:rsidRPr="00883A01" w:rsidR="007E36E8">
        <w:t xml:space="preserve">only </w:t>
      </w:r>
      <w:r w:rsidRPr="00883A01" w:rsidR="00DC43C3">
        <w:t>when the litigation is no longer pending</w:t>
      </w:r>
      <w:r w:rsidRPr="00883A01" w:rsidR="007E36E8">
        <w:t xml:space="preserve">.  </w:t>
      </w:r>
      <w:r w:rsidRPr="00883A01" w:rsidR="00F1684D">
        <w:t>T</w:t>
      </w:r>
      <w:r w:rsidRPr="00883A01" w:rsidR="00730935">
        <w:t>h</w:t>
      </w:r>
      <w:r w:rsidRPr="00883A01" w:rsidR="00F1684D">
        <w:t>e</w:t>
      </w:r>
      <w:r w:rsidRPr="00883A01" w:rsidR="00730935">
        <w:t xml:space="preserve"> interpretation</w:t>
      </w:r>
      <w:r w:rsidRPr="00883A01" w:rsidR="00492257">
        <w:t xml:space="preserve"> </w:t>
      </w:r>
      <w:r w:rsidRPr="00883A01" w:rsidR="00314DEB">
        <w:t xml:space="preserve">set forth in </w:t>
      </w:r>
      <w:r w:rsidRPr="00883A01" w:rsidR="00EF5BD8">
        <w:t>p</w:t>
      </w:r>
      <w:r w:rsidRPr="00883A01" w:rsidR="00314DEB">
        <w:t>art</w:t>
      </w:r>
      <w:r w:rsidRPr="00883A01" w:rsidR="00095F2F">
        <w:t> </w:t>
      </w:r>
      <w:r w:rsidRPr="00883A01" w:rsidR="00314DEB">
        <w:t xml:space="preserve">I.B.1. of this opinion </w:t>
      </w:r>
      <w:r w:rsidRPr="00883A01" w:rsidR="00492257">
        <w:t xml:space="preserve">recognizes </w:t>
      </w:r>
      <w:r w:rsidRPr="00883A01" w:rsidR="0043225C">
        <w:t xml:space="preserve">the limited scope of the retention-of-jurisdiction provision </w:t>
      </w:r>
      <w:r w:rsidRPr="00883A01" w:rsidR="00730935">
        <w:t>based on inferences</w:t>
      </w:r>
      <w:r w:rsidRPr="00883A01" w:rsidR="00492257">
        <w:t xml:space="preserve"> drawn from “the ostensible objects to be achieved</w:t>
      </w:r>
      <w:r w:rsidRPr="00883A01" w:rsidR="003B3418">
        <w:t>”</w:t>
      </w:r>
      <w:r w:rsidRPr="00883A01" w:rsidR="0043225C">
        <w:t xml:space="preserve"> (</w:t>
      </w:r>
      <w:r w:rsidRPr="00883A01" w:rsidR="0043225C">
        <w:rPr>
          <w:i/>
          <w:iCs/>
        </w:rPr>
        <w:t>Nolan v. City of Anaheim</w:t>
      </w:r>
      <w:r w:rsidRPr="00883A01" w:rsidR="00314DEB">
        <w:t xml:space="preserve">, </w:t>
      </w:r>
      <w:r w:rsidRPr="00883A01" w:rsidR="00314DEB">
        <w:rPr>
          <w:i/>
          <w:iCs/>
        </w:rPr>
        <w:t>supra</w:t>
      </w:r>
      <w:r w:rsidRPr="00883A01" w:rsidR="00314DEB">
        <w:t>,</w:t>
      </w:r>
      <w:r w:rsidRPr="00883A01" w:rsidR="0043225C">
        <w:t xml:space="preserve"> 33 Cal.4th </w:t>
      </w:r>
      <w:r w:rsidRPr="00883A01" w:rsidR="00314DEB">
        <w:t xml:space="preserve">at p. </w:t>
      </w:r>
      <w:r w:rsidRPr="00883A01" w:rsidR="0043225C">
        <w:t xml:space="preserve">340) </w:t>
      </w:r>
      <w:r w:rsidRPr="00883A01" w:rsidR="003B3418">
        <w:t xml:space="preserve">by </w:t>
      </w:r>
      <w:r w:rsidRPr="00883A01" w:rsidR="0043225C">
        <w:t xml:space="preserve">the </w:t>
      </w:r>
      <w:r w:rsidRPr="00883A01" w:rsidR="002543A6">
        <w:t xml:space="preserve">amendment </w:t>
      </w:r>
      <w:r w:rsidRPr="00883A01" w:rsidR="003B3418">
        <w:t xml:space="preserve">that </w:t>
      </w:r>
      <w:r w:rsidRPr="00883A01" w:rsidR="002543A6">
        <w:t>add</w:t>
      </w:r>
      <w:r w:rsidRPr="00883A01" w:rsidR="003B3418">
        <w:t>ed</w:t>
      </w:r>
      <w:r w:rsidRPr="00883A01" w:rsidR="002543A6">
        <w:t xml:space="preserve"> </w:t>
      </w:r>
      <w:r w:rsidRPr="00883A01" w:rsidR="0043225C">
        <w:t>the second sentence.</w:t>
      </w:r>
      <w:r w:rsidRPr="00883A01" w:rsidR="00492257">
        <w:t xml:space="preserve">  </w:t>
      </w:r>
      <w:r w:rsidRPr="00883A01" w:rsidR="0043225C">
        <w:t xml:space="preserve">(See </w:t>
      </w:r>
      <w:r w:rsidRPr="00883A01" w:rsidR="0043225C">
        <w:rPr>
          <w:i/>
          <w:iCs/>
        </w:rPr>
        <w:t>Wackeen</w:t>
      </w:r>
      <w:r w:rsidRPr="00883A01" w:rsidR="0043225C">
        <w:t xml:space="preserve">, </w:t>
      </w:r>
      <w:r w:rsidRPr="00883A01" w:rsidR="0043225C">
        <w:rPr>
          <w:i/>
          <w:iCs/>
        </w:rPr>
        <w:t>supra</w:t>
      </w:r>
      <w:r w:rsidRPr="00883A01" w:rsidR="0043225C">
        <w:t xml:space="preserve">, 97 Cal.App.4th at p. 439.)  An </w:t>
      </w:r>
      <w:r w:rsidRPr="00883A01" w:rsidR="00F1684D">
        <w:t xml:space="preserve">objectively reasonable attorney would recognize contrary inferences </w:t>
      </w:r>
      <w:r w:rsidRPr="00883A01" w:rsidR="00492257">
        <w:t xml:space="preserve">could be drawn even </w:t>
      </w:r>
      <w:r w:rsidRPr="00883A01" w:rsidR="00F1684D">
        <w:t xml:space="preserve">though they did not ultimately carry the day.  </w:t>
      </w:r>
      <w:r w:rsidRPr="00883A01">
        <w:t>Therefore, we deny the City’s motion to dismiss and request for sanctions.</w:t>
      </w:r>
    </w:p>
    <w:p w:rsidR="0078011C" w:rsidRPr="00A928CD" w:rsidP="0078011C" w14:paraId="11C4A567" w14:textId="77777777">
      <w:pPr>
        <w:keepNext/>
        <w:jc w:val="center"/>
        <w:outlineLvl w:val="0"/>
        <w:rPr>
          <w:b/>
        </w:rPr>
      </w:pPr>
      <w:bookmarkStart w:id="27" w:name="_Toc456960427"/>
      <w:bookmarkStart w:id="28" w:name="_Toc165298052"/>
      <w:r w:rsidRPr="00883A01">
        <w:rPr>
          <w:b/>
        </w:rPr>
        <w:t>DISPOSITION</w:t>
      </w:r>
      <w:bookmarkEnd w:id="27"/>
      <w:bookmarkEnd w:id="28"/>
    </w:p>
    <w:p w:rsidR="00657210" w:rsidP="00F14259" w14:paraId="3858F923" w14:textId="0B5268F1">
      <w:pPr>
        <w:ind w:firstLine="720"/>
      </w:pPr>
      <w:r>
        <w:t xml:space="preserve">The </w:t>
      </w:r>
      <w:r w:rsidRPr="0034028A" w:rsidR="00467A23">
        <w:t>March 21, 2023</w:t>
      </w:r>
      <w:r w:rsidR="00467A23">
        <w:t xml:space="preserve"> </w:t>
      </w:r>
      <w:r>
        <w:t xml:space="preserve">order </w:t>
      </w:r>
      <w:r w:rsidR="00467A23">
        <w:t xml:space="preserve">granting the motion to </w:t>
      </w:r>
      <w:r>
        <w:t>enforc</w:t>
      </w:r>
      <w:r w:rsidR="00467A23">
        <w:t>e</w:t>
      </w:r>
      <w:r>
        <w:t xml:space="preserve"> settlement </w:t>
      </w:r>
      <w:r w:rsidR="00467A23">
        <w:t xml:space="preserve">and judgment </w:t>
      </w:r>
      <w:r>
        <w:t xml:space="preserve">is affirmed.  The City </w:t>
      </w:r>
      <w:r w:rsidRPr="00BF0092">
        <w:t>is awarded its costs on appeal.</w:t>
      </w:r>
    </w:p>
    <w:p w:rsidR="00260B2B" w:rsidP="00F14259" w14:paraId="48388AED" w14:textId="77777777">
      <w:pPr>
        <w:ind w:firstLine="720"/>
      </w:pPr>
    </w:p>
    <w:p w:rsidR="00581BEC" w:rsidP="00581BEC" w14:paraId="3933BA76" w14:textId="5D8F413A">
      <w:pPr>
        <w:keepNext/>
        <w:tabs>
          <w:tab w:val="left" w:pos="6480"/>
          <w:tab w:val="left" w:pos="9360"/>
        </w:tabs>
        <w:spacing w:line="240" w:lineRule="auto"/>
      </w:pPr>
      <w:r>
        <w:tab/>
      </w:r>
      <w:r>
        <w:tab/>
      </w:r>
    </w:p>
    <w:p w:rsidR="00581BEC" w:rsidP="00581BEC" w14:paraId="5CE47C95" w14:textId="448C3CBE">
      <w:pPr>
        <w:keepNext/>
        <w:tabs>
          <w:tab w:val="left" w:pos="6480"/>
          <w:tab w:val="left" w:pos="9360"/>
        </w:tabs>
        <w:spacing w:line="240" w:lineRule="auto"/>
        <w:jc w:val="right"/>
      </w:pPr>
      <w:r>
        <w:t>FRANSON, J.</w:t>
      </w:r>
    </w:p>
    <w:p w:rsidR="00581BEC" w:rsidP="00581BEC" w14:paraId="36EF768C" w14:textId="1BA3B4F3">
      <w:pPr>
        <w:keepNext/>
        <w:tabs>
          <w:tab w:val="left" w:pos="2880"/>
        </w:tabs>
        <w:spacing w:line="240" w:lineRule="auto"/>
      </w:pPr>
      <w:r>
        <w:t>WE CONCUR:</w:t>
      </w:r>
    </w:p>
    <w:p w:rsidR="00581BEC" w:rsidP="00581BEC" w14:paraId="23176B24" w14:textId="77777777">
      <w:pPr>
        <w:keepNext/>
        <w:tabs>
          <w:tab w:val="left" w:pos="2880"/>
        </w:tabs>
        <w:spacing w:line="240" w:lineRule="auto"/>
      </w:pPr>
    </w:p>
    <w:p w:rsidR="00581BEC" w:rsidP="00581BEC" w14:paraId="4C9B54C6" w14:textId="77777777">
      <w:pPr>
        <w:keepNext/>
        <w:tabs>
          <w:tab w:val="left" w:pos="2880"/>
        </w:tabs>
        <w:spacing w:line="240" w:lineRule="auto"/>
      </w:pPr>
    </w:p>
    <w:p w:rsidR="00581BEC" w:rsidP="00581BEC" w14:paraId="4ABAC090" w14:textId="797A2E26">
      <w:pPr>
        <w:keepNext/>
        <w:tabs>
          <w:tab w:val="left" w:pos="2880"/>
        </w:tabs>
        <w:spacing w:line="240" w:lineRule="auto"/>
      </w:pPr>
      <w:r>
        <w:tab/>
      </w:r>
    </w:p>
    <w:p w:rsidR="00581BEC" w:rsidP="00581BEC" w14:paraId="1CEE94A6" w14:textId="07C95A1B">
      <w:pPr>
        <w:keepNext/>
        <w:tabs>
          <w:tab w:val="left" w:pos="2880"/>
        </w:tabs>
        <w:spacing w:line="240" w:lineRule="auto"/>
      </w:pPr>
      <w:r>
        <w:t>LEVY, Acting P. J.</w:t>
      </w:r>
    </w:p>
    <w:p w:rsidR="00581BEC" w:rsidP="00581BEC" w14:paraId="5977F384" w14:textId="77777777">
      <w:pPr>
        <w:keepNext/>
        <w:tabs>
          <w:tab w:val="left" w:pos="2880"/>
        </w:tabs>
        <w:spacing w:line="240" w:lineRule="auto"/>
      </w:pPr>
    </w:p>
    <w:p w:rsidR="00581BEC" w:rsidP="00581BEC" w14:paraId="6880856A" w14:textId="77777777">
      <w:pPr>
        <w:keepNext/>
        <w:tabs>
          <w:tab w:val="left" w:pos="2880"/>
        </w:tabs>
        <w:spacing w:line="240" w:lineRule="auto"/>
      </w:pPr>
    </w:p>
    <w:p w:rsidR="00581BEC" w:rsidP="00581BEC" w14:paraId="683A5F90" w14:textId="2271096E">
      <w:pPr>
        <w:keepNext/>
        <w:tabs>
          <w:tab w:val="left" w:pos="2880"/>
        </w:tabs>
        <w:spacing w:line="240" w:lineRule="auto"/>
      </w:pPr>
      <w:r>
        <w:tab/>
      </w:r>
    </w:p>
    <w:p w:rsidR="00581BEC" w:rsidP="00581BEC" w14:paraId="02C2B413" w14:textId="0282EB10">
      <w:pPr>
        <w:keepNext/>
        <w:tabs>
          <w:tab w:val="left" w:pos="2880"/>
        </w:tabs>
        <w:spacing w:line="240" w:lineRule="auto"/>
      </w:pPr>
      <w:r>
        <w:t>SMITH, J.</w:t>
      </w:r>
    </w:p>
    <w:sectPr w:rsidSect="00AB3662">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8AC" w:rsidP="00AB3662" w14:paraId="4C942302" w14:textId="3D7E025D">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3441" w:rsidP="00AB3662" w14:paraId="63657701" w14:textId="77777777">
      <w:pPr>
        <w:spacing w:line="240" w:lineRule="auto"/>
      </w:pPr>
      <w:r>
        <w:separator/>
      </w:r>
    </w:p>
  </w:footnote>
  <w:footnote w:type="continuationSeparator" w:id="1">
    <w:p w:rsidR="00E63441" w:rsidP="00AB3662" w14:paraId="1C9D45AC" w14:textId="77777777">
      <w:pPr>
        <w:spacing w:line="240" w:lineRule="auto"/>
      </w:pPr>
      <w:r>
        <w:continuationSeparator/>
      </w:r>
    </w:p>
  </w:footnote>
  <w:footnote w:id="2">
    <w:p w:rsidR="00581BEC" w14:paraId="18BE7B5A" w14:textId="4609FF58">
      <w:pPr>
        <w:pStyle w:val="FootnoteText"/>
      </w:pPr>
      <w:r w:rsidRPr="009566BA">
        <w:rPr>
          <w:rStyle w:val="FootnoteReference"/>
        </w:rPr>
        <w:t>*</w:t>
      </w:r>
      <w:r w:rsidRPr="009566BA">
        <w:t xml:space="preserve"> </w:t>
      </w:r>
      <w:r w:rsidRPr="009566BA">
        <w:tab/>
      </w:r>
      <w:r w:rsidRPr="009566BA" w:rsidR="009566BA">
        <w:t>Pursuant to California Rules of Court, rules 8.1105(b) and 8.1110, this opinion is certified for publication with the exception of part III. of the Discussion</w:t>
      </w:r>
      <w:r w:rsidRPr="009566BA">
        <w:t>.</w:t>
      </w:r>
    </w:p>
  </w:footnote>
  <w:footnote w:id="3">
    <w:p w:rsidR="00F668AC" w:rsidP="008C69DC" w14:paraId="734508E5" w14:textId="5E1A1EF1">
      <w:pPr>
        <w:pStyle w:val="FootnoteText"/>
      </w:pPr>
      <w:r>
        <w:rPr>
          <w:rStyle w:val="FootnoteReference"/>
        </w:rPr>
        <w:footnoteRef/>
      </w:r>
      <w:r>
        <w:t xml:space="preserve"> </w:t>
      </w:r>
      <w:r>
        <w:tab/>
      </w:r>
      <w:r w:rsidR="00EA6DF6">
        <w:t>Subsequent</w:t>
      </w:r>
      <w:r>
        <w:t xml:space="preserve"> </w:t>
      </w:r>
      <w:r w:rsidR="00EA6DF6">
        <w:t xml:space="preserve">undesignated </w:t>
      </w:r>
      <w:r>
        <w:t>statutory references are to the Code of Civil Procedure.</w:t>
      </w:r>
    </w:p>
  </w:footnote>
  <w:footnote w:id="4">
    <w:p w:rsidR="00D62B53" w:rsidRPr="00D62B53" w:rsidP="00D62B53" w14:paraId="51E713F4" w14:textId="3F5AFF65">
      <w:pPr>
        <w:pStyle w:val="FootnoteText"/>
        <w:rPr>
          <w:kern w:val="0"/>
        </w:rPr>
      </w:pPr>
      <w:r w:rsidRPr="00883A01">
        <w:rPr>
          <w:rStyle w:val="FootnoteReference"/>
        </w:rPr>
        <w:footnoteRef/>
      </w:r>
      <w:r w:rsidRPr="00883A01">
        <w:t xml:space="preserve"> </w:t>
      </w:r>
      <w:r w:rsidRPr="00883A01">
        <w:tab/>
        <w:t>Our rejection of Eagle’s argument about jurisdiction over Watts does not resolve</w:t>
      </w:r>
      <w:r w:rsidRPr="00883A01" w:rsidR="00880942">
        <w:t xml:space="preserve"> </w:t>
      </w:r>
      <w:r w:rsidRPr="00883A01">
        <w:t>whether the provision in the settlement agreement requiring Eagle to dismiss the Watts Appeal is an enforceable obligation.  That issue, which implicates the parties’ freedom of contract and requires an application of the rules of law governing the formation and enforceability of contractual provisions, is addressed below in part II.D.3.</w:t>
      </w:r>
      <w:r>
        <w:t xml:space="preserve">  </w:t>
      </w:r>
    </w:p>
  </w:footnote>
  <w:footnote w:id="5">
    <w:p w:rsidR="00647CAD" w:rsidRPr="00647CAD" w:rsidP="00647CAD" w14:paraId="5C1FA1AC" w14:textId="0A466CD4">
      <w:pPr>
        <w:pStyle w:val="FootnoteText"/>
        <w:rPr>
          <w:kern w:val="0"/>
        </w:rPr>
      </w:pPr>
      <w:r w:rsidRPr="00C20F6E">
        <w:rPr>
          <w:rStyle w:val="FootnoteReference"/>
        </w:rPr>
        <w:footnoteRef/>
      </w:r>
      <w:r w:rsidRPr="00C20F6E">
        <w:t xml:space="preserve"> </w:t>
      </w:r>
      <w:r w:rsidRPr="00C20F6E">
        <w:tab/>
      </w:r>
      <w:r w:rsidRPr="00C20F6E">
        <w:rPr>
          <w:kern w:val="0"/>
        </w:rPr>
        <w:t xml:space="preserve">We </w:t>
      </w:r>
      <w:r w:rsidRPr="00C20F6E">
        <w:rPr>
          <w14:ligatures w14:val="none"/>
        </w:rPr>
        <w:t xml:space="preserve">have addressed the court’s jurisdiction at both points in time because of the arguments presented by the parties.  We do not imply that a trial court with jurisdiction—either continuing or retained—when the judgment enforcing the settlement is entered, also </w:t>
      </w:r>
      <w:r w:rsidRPr="00C20F6E">
        <w:rPr>
          <w:i/>
          <w:iCs/>
          <w14:ligatures w14:val="none"/>
        </w:rPr>
        <w:t>must</w:t>
      </w:r>
      <w:r w:rsidRPr="00C20F6E">
        <w:rPr>
          <w14:ligatures w14:val="none"/>
        </w:rPr>
        <w:t xml:space="preserve"> have had subject matter jurisdiction and personal jurisdiction over every party to the settlement agreement when the oral stipulation was made.</w:t>
      </w:r>
    </w:p>
  </w:footnote>
  <w:footnote w:id="6">
    <w:p w:rsidR="008253C3" w:rsidRPr="008253C3" w:rsidP="008253C3" w14:paraId="0598C786" w14:textId="1639DD6E">
      <w:pPr>
        <w:pStyle w:val="FootnoteText"/>
        <w:rPr>
          <w:kern w:val="0"/>
        </w:rPr>
      </w:pPr>
      <w:r w:rsidRPr="00883A01">
        <w:rPr>
          <w:rStyle w:val="FootnoteReference"/>
        </w:rPr>
        <w:t>*</w:t>
      </w:r>
      <w:r w:rsidRPr="00883A01">
        <w:t xml:space="preserve"> </w:t>
      </w:r>
      <w:r w:rsidRPr="00883A01">
        <w:tab/>
      </w:r>
      <w:r w:rsidRPr="00883A01">
        <w:rPr>
          <w:kern w:val="0"/>
        </w:rPr>
        <w:t>See footnote page 1,</w:t>
      </w:r>
      <w:r w:rsidRPr="00883A01">
        <w:rPr>
          <w:i/>
          <w:iCs/>
          <w:kern w:val="0"/>
        </w:rPr>
        <w:t xml:space="preserve"> 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51F316E6"/>
    <w:multiLevelType w:val="hybridMultilevel"/>
    <w:tmpl w:val="1B56068C"/>
    <w:lvl w:ilvl="0">
      <w:start w:val="1"/>
      <w:numFmt w:val="upperLetter"/>
      <w:lvlText w:val="%1."/>
      <w:lvlJc w:val="left"/>
      <w:pPr>
        <w:ind w:left="2250" w:hanging="153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62"/>
    <w:rsid w:val="0001294F"/>
    <w:rsid w:val="00014178"/>
    <w:rsid w:val="00016D44"/>
    <w:rsid w:val="00025695"/>
    <w:rsid w:val="00026294"/>
    <w:rsid w:val="00030330"/>
    <w:rsid w:val="000322C1"/>
    <w:rsid w:val="00032BCF"/>
    <w:rsid w:val="00032C50"/>
    <w:rsid w:val="0004111E"/>
    <w:rsid w:val="000431CC"/>
    <w:rsid w:val="000449F6"/>
    <w:rsid w:val="000463F9"/>
    <w:rsid w:val="00052555"/>
    <w:rsid w:val="000571EC"/>
    <w:rsid w:val="00057AA3"/>
    <w:rsid w:val="00057C32"/>
    <w:rsid w:val="000631F3"/>
    <w:rsid w:val="00063B9D"/>
    <w:rsid w:val="00082FC1"/>
    <w:rsid w:val="000841AA"/>
    <w:rsid w:val="00087341"/>
    <w:rsid w:val="00090707"/>
    <w:rsid w:val="000946E4"/>
    <w:rsid w:val="00095F2F"/>
    <w:rsid w:val="000A1155"/>
    <w:rsid w:val="000A20BC"/>
    <w:rsid w:val="000B53A7"/>
    <w:rsid w:val="000B619F"/>
    <w:rsid w:val="000C3D14"/>
    <w:rsid w:val="000C6DA3"/>
    <w:rsid w:val="000D2514"/>
    <w:rsid w:val="000E230E"/>
    <w:rsid w:val="000E46EE"/>
    <w:rsid w:val="001007BC"/>
    <w:rsid w:val="00106BC0"/>
    <w:rsid w:val="00115027"/>
    <w:rsid w:val="00117444"/>
    <w:rsid w:val="00123100"/>
    <w:rsid w:val="00134172"/>
    <w:rsid w:val="00137115"/>
    <w:rsid w:val="001471F0"/>
    <w:rsid w:val="00151B56"/>
    <w:rsid w:val="00155E55"/>
    <w:rsid w:val="00162264"/>
    <w:rsid w:val="00162A8E"/>
    <w:rsid w:val="00166CB4"/>
    <w:rsid w:val="00167184"/>
    <w:rsid w:val="00172630"/>
    <w:rsid w:val="00181713"/>
    <w:rsid w:val="00181A13"/>
    <w:rsid w:val="00183FD2"/>
    <w:rsid w:val="00185252"/>
    <w:rsid w:val="001903C6"/>
    <w:rsid w:val="001A7D4C"/>
    <w:rsid w:val="001B5D7C"/>
    <w:rsid w:val="001B6C3D"/>
    <w:rsid w:val="001C71A9"/>
    <w:rsid w:val="001C7AE1"/>
    <w:rsid w:val="001D0650"/>
    <w:rsid w:val="001D4BF0"/>
    <w:rsid w:val="001D4F09"/>
    <w:rsid w:val="001D67CD"/>
    <w:rsid w:val="001E0A81"/>
    <w:rsid w:val="001E21BA"/>
    <w:rsid w:val="001E6A52"/>
    <w:rsid w:val="001E7E8D"/>
    <w:rsid w:val="001F0285"/>
    <w:rsid w:val="001F320A"/>
    <w:rsid w:val="00201D81"/>
    <w:rsid w:val="00214C4D"/>
    <w:rsid w:val="00217D9D"/>
    <w:rsid w:val="0022201C"/>
    <w:rsid w:val="00222469"/>
    <w:rsid w:val="002239F4"/>
    <w:rsid w:val="002264DA"/>
    <w:rsid w:val="00227986"/>
    <w:rsid w:val="00231FE3"/>
    <w:rsid w:val="00235E29"/>
    <w:rsid w:val="00240533"/>
    <w:rsid w:val="00242079"/>
    <w:rsid w:val="00245ECA"/>
    <w:rsid w:val="0024688A"/>
    <w:rsid w:val="00247198"/>
    <w:rsid w:val="00250A02"/>
    <w:rsid w:val="002543A6"/>
    <w:rsid w:val="00255678"/>
    <w:rsid w:val="00256B98"/>
    <w:rsid w:val="00260B2B"/>
    <w:rsid w:val="00262230"/>
    <w:rsid w:val="0026643E"/>
    <w:rsid w:val="00273936"/>
    <w:rsid w:val="00274E81"/>
    <w:rsid w:val="00280B32"/>
    <w:rsid w:val="0028449D"/>
    <w:rsid w:val="00286426"/>
    <w:rsid w:val="00295D67"/>
    <w:rsid w:val="00295D93"/>
    <w:rsid w:val="00296D80"/>
    <w:rsid w:val="002A0FD6"/>
    <w:rsid w:val="002A11B7"/>
    <w:rsid w:val="002B3623"/>
    <w:rsid w:val="002B3F2D"/>
    <w:rsid w:val="002B78CC"/>
    <w:rsid w:val="002C3A73"/>
    <w:rsid w:val="002C3B3C"/>
    <w:rsid w:val="002C4AF8"/>
    <w:rsid w:val="002C6383"/>
    <w:rsid w:val="002E06BD"/>
    <w:rsid w:val="002E07B1"/>
    <w:rsid w:val="002E7B80"/>
    <w:rsid w:val="002F00FF"/>
    <w:rsid w:val="002F17F9"/>
    <w:rsid w:val="002F1C5B"/>
    <w:rsid w:val="002F544E"/>
    <w:rsid w:val="002F57D6"/>
    <w:rsid w:val="00300D68"/>
    <w:rsid w:val="003043C2"/>
    <w:rsid w:val="00304D6B"/>
    <w:rsid w:val="003055A6"/>
    <w:rsid w:val="0031107B"/>
    <w:rsid w:val="003112AC"/>
    <w:rsid w:val="00311ABA"/>
    <w:rsid w:val="003129AA"/>
    <w:rsid w:val="00314439"/>
    <w:rsid w:val="00314DEB"/>
    <w:rsid w:val="0031507C"/>
    <w:rsid w:val="003151A3"/>
    <w:rsid w:val="00316679"/>
    <w:rsid w:val="00317914"/>
    <w:rsid w:val="0032207B"/>
    <w:rsid w:val="00324D72"/>
    <w:rsid w:val="00325D42"/>
    <w:rsid w:val="00326638"/>
    <w:rsid w:val="0033077E"/>
    <w:rsid w:val="0033185B"/>
    <w:rsid w:val="00333B5B"/>
    <w:rsid w:val="003346B7"/>
    <w:rsid w:val="0034028A"/>
    <w:rsid w:val="003417C7"/>
    <w:rsid w:val="0034436D"/>
    <w:rsid w:val="00361F1A"/>
    <w:rsid w:val="0037016F"/>
    <w:rsid w:val="003727F9"/>
    <w:rsid w:val="00374863"/>
    <w:rsid w:val="00382C89"/>
    <w:rsid w:val="00392EC7"/>
    <w:rsid w:val="0039542D"/>
    <w:rsid w:val="003B3418"/>
    <w:rsid w:val="003B4E38"/>
    <w:rsid w:val="003B69CE"/>
    <w:rsid w:val="003C16FB"/>
    <w:rsid w:val="003C1980"/>
    <w:rsid w:val="003C2A32"/>
    <w:rsid w:val="003C2B70"/>
    <w:rsid w:val="003C41B1"/>
    <w:rsid w:val="003C570E"/>
    <w:rsid w:val="003D1B5D"/>
    <w:rsid w:val="003D5601"/>
    <w:rsid w:val="003D6A8C"/>
    <w:rsid w:val="003E05A6"/>
    <w:rsid w:val="003E2B65"/>
    <w:rsid w:val="003E5367"/>
    <w:rsid w:val="003E5A4A"/>
    <w:rsid w:val="003E63C3"/>
    <w:rsid w:val="003E7BCA"/>
    <w:rsid w:val="003F1D75"/>
    <w:rsid w:val="003F217B"/>
    <w:rsid w:val="003F2F30"/>
    <w:rsid w:val="003F3C4B"/>
    <w:rsid w:val="003F55C4"/>
    <w:rsid w:val="003F698A"/>
    <w:rsid w:val="00401BC1"/>
    <w:rsid w:val="004071A4"/>
    <w:rsid w:val="00414520"/>
    <w:rsid w:val="00417203"/>
    <w:rsid w:val="0043225C"/>
    <w:rsid w:val="00433866"/>
    <w:rsid w:val="00435F78"/>
    <w:rsid w:val="00437648"/>
    <w:rsid w:val="00442A2C"/>
    <w:rsid w:val="00451971"/>
    <w:rsid w:val="004543E7"/>
    <w:rsid w:val="00460DC6"/>
    <w:rsid w:val="00463EEE"/>
    <w:rsid w:val="00464B8B"/>
    <w:rsid w:val="00465971"/>
    <w:rsid w:val="00467A23"/>
    <w:rsid w:val="00470818"/>
    <w:rsid w:val="004736CC"/>
    <w:rsid w:val="004816E1"/>
    <w:rsid w:val="004838E6"/>
    <w:rsid w:val="00484C6E"/>
    <w:rsid w:val="00487040"/>
    <w:rsid w:val="00492257"/>
    <w:rsid w:val="00494219"/>
    <w:rsid w:val="00496A88"/>
    <w:rsid w:val="004A34DC"/>
    <w:rsid w:val="004A505C"/>
    <w:rsid w:val="004A7076"/>
    <w:rsid w:val="004B3A0B"/>
    <w:rsid w:val="004B7A40"/>
    <w:rsid w:val="004C1620"/>
    <w:rsid w:val="004C2EBC"/>
    <w:rsid w:val="004D455D"/>
    <w:rsid w:val="004E6AE4"/>
    <w:rsid w:val="004F17E4"/>
    <w:rsid w:val="004F1962"/>
    <w:rsid w:val="004F1DDA"/>
    <w:rsid w:val="005123CB"/>
    <w:rsid w:val="00514B69"/>
    <w:rsid w:val="005163AF"/>
    <w:rsid w:val="00535CB6"/>
    <w:rsid w:val="005367CE"/>
    <w:rsid w:val="00554198"/>
    <w:rsid w:val="005571F1"/>
    <w:rsid w:val="00557604"/>
    <w:rsid w:val="0056064D"/>
    <w:rsid w:val="00564DB7"/>
    <w:rsid w:val="00571DEB"/>
    <w:rsid w:val="00576992"/>
    <w:rsid w:val="00581BEC"/>
    <w:rsid w:val="00585476"/>
    <w:rsid w:val="00592065"/>
    <w:rsid w:val="00593E68"/>
    <w:rsid w:val="005973B2"/>
    <w:rsid w:val="0059782C"/>
    <w:rsid w:val="005A2F65"/>
    <w:rsid w:val="005A4FF3"/>
    <w:rsid w:val="005B107A"/>
    <w:rsid w:val="005B249B"/>
    <w:rsid w:val="005B3B4D"/>
    <w:rsid w:val="005B3EB8"/>
    <w:rsid w:val="005B6878"/>
    <w:rsid w:val="005B6CFF"/>
    <w:rsid w:val="005B7BA7"/>
    <w:rsid w:val="005C0A1A"/>
    <w:rsid w:val="005D5B32"/>
    <w:rsid w:val="005D5E44"/>
    <w:rsid w:val="005D6C98"/>
    <w:rsid w:val="005E1B44"/>
    <w:rsid w:val="005E2511"/>
    <w:rsid w:val="005E3150"/>
    <w:rsid w:val="005F446B"/>
    <w:rsid w:val="005F7665"/>
    <w:rsid w:val="00607A64"/>
    <w:rsid w:val="006115E3"/>
    <w:rsid w:val="00646ABB"/>
    <w:rsid w:val="0064761D"/>
    <w:rsid w:val="006479C9"/>
    <w:rsid w:val="00647CAD"/>
    <w:rsid w:val="00652152"/>
    <w:rsid w:val="00656F6F"/>
    <w:rsid w:val="00657210"/>
    <w:rsid w:val="00663650"/>
    <w:rsid w:val="0066663E"/>
    <w:rsid w:val="00676EF5"/>
    <w:rsid w:val="00680CFD"/>
    <w:rsid w:val="00681CAC"/>
    <w:rsid w:val="00683B2E"/>
    <w:rsid w:val="00685061"/>
    <w:rsid w:val="00686808"/>
    <w:rsid w:val="00690089"/>
    <w:rsid w:val="006A0671"/>
    <w:rsid w:val="006A452C"/>
    <w:rsid w:val="006A723D"/>
    <w:rsid w:val="006B7EF5"/>
    <w:rsid w:val="006C2F52"/>
    <w:rsid w:val="006C3E9D"/>
    <w:rsid w:val="006C63F1"/>
    <w:rsid w:val="006D2824"/>
    <w:rsid w:val="006D53FB"/>
    <w:rsid w:val="006E2343"/>
    <w:rsid w:val="006F00A5"/>
    <w:rsid w:val="006F376D"/>
    <w:rsid w:val="006F5399"/>
    <w:rsid w:val="0070135A"/>
    <w:rsid w:val="00707DE8"/>
    <w:rsid w:val="0071261C"/>
    <w:rsid w:val="00721959"/>
    <w:rsid w:val="00723072"/>
    <w:rsid w:val="00730935"/>
    <w:rsid w:val="00733E1F"/>
    <w:rsid w:val="007568DF"/>
    <w:rsid w:val="0076487D"/>
    <w:rsid w:val="00766D02"/>
    <w:rsid w:val="00773E1F"/>
    <w:rsid w:val="007772F2"/>
    <w:rsid w:val="0078011C"/>
    <w:rsid w:val="0078106B"/>
    <w:rsid w:val="00783B33"/>
    <w:rsid w:val="00791E3B"/>
    <w:rsid w:val="007935AE"/>
    <w:rsid w:val="007A1471"/>
    <w:rsid w:val="007A17E8"/>
    <w:rsid w:val="007A27E0"/>
    <w:rsid w:val="007A3F2D"/>
    <w:rsid w:val="007B6091"/>
    <w:rsid w:val="007C07A1"/>
    <w:rsid w:val="007C0D75"/>
    <w:rsid w:val="007C11F6"/>
    <w:rsid w:val="007C2B7C"/>
    <w:rsid w:val="007C583D"/>
    <w:rsid w:val="007C6886"/>
    <w:rsid w:val="007C72BF"/>
    <w:rsid w:val="007D4D0E"/>
    <w:rsid w:val="007D648B"/>
    <w:rsid w:val="007E1EC4"/>
    <w:rsid w:val="007E36E8"/>
    <w:rsid w:val="007E69B7"/>
    <w:rsid w:val="007F0595"/>
    <w:rsid w:val="007F1060"/>
    <w:rsid w:val="007F106F"/>
    <w:rsid w:val="007F24CE"/>
    <w:rsid w:val="007F79B6"/>
    <w:rsid w:val="00800F4E"/>
    <w:rsid w:val="00802884"/>
    <w:rsid w:val="00803E67"/>
    <w:rsid w:val="00805D27"/>
    <w:rsid w:val="00807D36"/>
    <w:rsid w:val="0081416C"/>
    <w:rsid w:val="00814DB8"/>
    <w:rsid w:val="0082080E"/>
    <w:rsid w:val="00823A50"/>
    <w:rsid w:val="008253C3"/>
    <w:rsid w:val="0082738A"/>
    <w:rsid w:val="0083546B"/>
    <w:rsid w:val="00837D9E"/>
    <w:rsid w:val="0084312A"/>
    <w:rsid w:val="00857C2A"/>
    <w:rsid w:val="00862678"/>
    <w:rsid w:val="00865FB9"/>
    <w:rsid w:val="00865FC1"/>
    <w:rsid w:val="00876F0D"/>
    <w:rsid w:val="00880942"/>
    <w:rsid w:val="00880ACF"/>
    <w:rsid w:val="00883A01"/>
    <w:rsid w:val="00884D04"/>
    <w:rsid w:val="008909B9"/>
    <w:rsid w:val="008A4E9A"/>
    <w:rsid w:val="008A7C89"/>
    <w:rsid w:val="008B06C1"/>
    <w:rsid w:val="008C025E"/>
    <w:rsid w:val="008C05F6"/>
    <w:rsid w:val="008C119C"/>
    <w:rsid w:val="008C20C6"/>
    <w:rsid w:val="008C2774"/>
    <w:rsid w:val="008C69DC"/>
    <w:rsid w:val="008C7E50"/>
    <w:rsid w:val="008D0FA3"/>
    <w:rsid w:val="008D468B"/>
    <w:rsid w:val="008E072F"/>
    <w:rsid w:val="008F26DA"/>
    <w:rsid w:val="008F4509"/>
    <w:rsid w:val="008F7094"/>
    <w:rsid w:val="00905A06"/>
    <w:rsid w:val="00907D4C"/>
    <w:rsid w:val="00910951"/>
    <w:rsid w:val="00911F15"/>
    <w:rsid w:val="00916340"/>
    <w:rsid w:val="009309A2"/>
    <w:rsid w:val="00930E59"/>
    <w:rsid w:val="00937ED6"/>
    <w:rsid w:val="0094209A"/>
    <w:rsid w:val="00946509"/>
    <w:rsid w:val="0095207C"/>
    <w:rsid w:val="00952D68"/>
    <w:rsid w:val="00953038"/>
    <w:rsid w:val="009566BA"/>
    <w:rsid w:val="00966D87"/>
    <w:rsid w:val="00973D78"/>
    <w:rsid w:val="0097545D"/>
    <w:rsid w:val="0098675D"/>
    <w:rsid w:val="00996449"/>
    <w:rsid w:val="009A0A21"/>
    <w:rsid w:val="009A53C7"/>
    <w:rsid w:val="009A540B"/>
    <w:rsid w:val="009B0522"/>
    <w:rsid w:val="009B5E8E"/>
    <w:rsid w:val="009C11E1"/>
    <w:rsid w:val="009D5F0C"/>
    <w:rsid w:val="009D61F3"/>
    <w:rsid w:val="009D68FE"/>
    <w:rsid w:val="009D794A"/>
    <w:rsid w:val="009E4BA9"/>
    <w:rsid w:val="009E5098"/>
    <w:rsid w:val="009E5D5B"/>
    <w:rsid w:val="009F4CAC"/>
    <w:rsid w:val="009F56D0"/>
    <w:rsid w:val="009F607B"/>
    <w:rsid w:val="009F6675"/>
    <w:rsid w:val="00A00268"/>
    <w:rsid w:val="00A00A09"/>
    <w:rsid w:val="00A05F70"/>
    <w:rsid w:val="00A07145"/>
    <w:rsid w:val="00A1075A"/>
    <w:rsid w:val="00A15657"/>
    <w:rsid w:val="00A16E77"/>
    <w:rsid w:val="00A17755"/>
    <w:rsid w:val="00A270C3"/>
    <w:rsid w:val="00A30855"/>
    <w:rsid w:val="00A31F0A"/>
    <w:rsid w:val="00A328BC"/>
    <w:rsid w:val="00A36340"/>
    <w:rsid w:val="00A37B7C"/>
    <w:rsid w:val="00A37C09"/>
    <w:rsid w:val="00A40FDD"/>
    <w:rsid w:val="00A45221"/>
    <w:rsid w:val="00A5003E"/>
    <w:rsid w:val="00A50099"/>
    <w:rsid w:val="00A51F53"/>
    <w:rsid w:val="00A57D74"/>
    <w:rsid w:val="00A625A5"/>
    <w:rsid w:val="00A667AB"/>
    <w:rsid w:val="00A674E8"/>
    <w:rsid w:val="00A67A32"/>
    <w:rsid w:val="00A729B5"/>
    <w:rsid w:val="00A928CD"/>
    <w:rsid w:val="00A944B4"/>
    <w:rsid w:val="00A96F1B"/>
    <w:rsid w:val="00AA76FD"/>
    <w:rsid w:val="00AB3662"/>
    <w:rsid w:val="00AC0767"/>
    <w:rsid w:val="00AC076C"/>
    <w:rsid w:val="00AC2719"/>
    <w:rsid w:val="00AD3E7E"/>
    <w:rsid w:val="00AD7D69"/>
    <w:rsid w:val="00AE065E"/>
    <w:rsid w:val="00AE23E7"/>
    <w:rsid w:val="00AE2ABE"/>
    <w:rsid w:val="00AE68FB"/>
    <w:rsid w:val="00AE7770"/>
    <w:rsid w:val="00AE7BFE"/>
    <w:rsid w:val="00AF08F2"/>
    <w:rsid w:val="00AF3E45"/>
    <w:rsid w:val="00AF5AE8"/>
    <w:rsid w:val="00B01017"/>
    <w:rsid w:val="00B06037"/>
    <w:rsid w:val="00B10DC7"/>
    <w:rsid w:val="00B13B65"/>
    <w:rsid w:val="00B1504A"/>
    <w:rsid w:val="00B253E6"/>
    <w:rsid w:val="00B27C4F"/>
    <w:rsid w:val="00B301C8"/>
    <w:rsid w:val="00B40BEE"/>
    <w:rsid w:val="00B44FA6"/>
    <w:rsid w:val="00B456CA"/>
    <w:rsid w:val="00B47222"/>
    <w:rsid w:val="00B503E6"/>
    <w:rsid w:val="00B53F13"/>
    <w:rsid w:val="00B57D9D"/>
    <w:rsid w:val="00B658EF"/>
    <w:rsid w:val="00B66053"/>
    <w:rsid w:val="00B83465"/>
    <w:rsid w:val="00B86B3F"/>
    <w:rsid w:val="00B921D3"/>
    <w:rsid w:val="00B93D59"/>
    <w:rsid w:val="00B94E32"/>
    <w:rsid w:val="00BB6A8C"/>
    <w:rsid w:val="00BB7511"/>
    <w:rsid w:val="00BB754E"/>
    <w:rsid w:val="00BC11D7"/>
    <w:rsid w:val="00BC27D8"/>
    <w:rsid w:val="00BC6C33"/>
    <w:rsid w:val="00BE640B"/>
    <w:rsid w:val="00BE7783"/>
    <w:rsid w:val="00BF0092"/>
    <w:rsid w:val="00BF0283"/>
    <w:rsid w:val="00BF2899"/>
    <w:rsid w:val="00C00437"/>
    <w:rsid w:val="00C041DC"/>
    <w:rsid w:val="00C06E6E"/>
    <w:rsid w:val="00C11DE8"/>
    <w:rsid w:val="00C160FB"/>
    <w:rsid w:val="00C20F6E"/>
    <w:rsid w:val="00C26084"/>
    <w:rsid w:val="00C26904"/>
    <w:rsid w:val="00C318AC"/>
    <w:rsid w:val="00C34A2A"/>
    <w:rsid w:val="00C43A9C"/>
    <w:rsid w:val="00C459CE"/>
    <w:rsid w:val="00C56781"/>
    <w:rsid w:val="00C56930"/>
    <w:rsid w:val="00C6217A"/>
    <w:rsid w:val="00C62BE2"/>
    <w:rsid w:val="00C67F29"/>
    <w:rsid w:val="00C70A3B"/>
    <w:rsid w:val="00C726E7"/>
    <w:rsid w:val="00C72F1A"/>
    <w:rsid w:val="00C75150"/>
    <w:rsid w:val="00C81669"/>
    <w:rsid w:val="00C84DFD"/>
    <w:rsid w:val="00C84EB6"/>
    <w:rsid w:val="00CA3CB5"/>
    <w:rsid w:val="00CA774D"/>
    <w:rsid w:val="00CB0E21"/>
    <w:rsid w:val="00CB0FAB"/>
    <w:rsid w:val="00CB1E29"/>
    <w:rsid w:val="00CB7135"/>
    <w:rsid w:val="00CC2F50"/>
    <w:rsid w:val="00CC492F"/>
    <w:rsid w:val="00CC770C"/>
    <w:rsid w:val="00CD090C"/>
    <w:rsid w:val="00CD1B23"/>
    <w:rsid w:val="00CD4890"/>
    <w:rsid w:val="00CD78E7"/>
    <w:rsid w:val="00CE19C2"/>
    <w:rsid w:val="00CE50E0"/>
    <w:rsid w:val="00CE5F22"/>
    <w:rsid w:val="00CE761C"/>
    <w:rsid w:val="00CF0217"/>
    <w:rsid w:val="00CF1DA7"/>
    <w:rsid w:val="00CF6858"/>
    <w:rsid w:val="00D072D4"/>
    <w:rsid w:val="00D12202"/>
    <w:rsid w:val="00D13DE5"/>
    <w:rsid w:val="00D20FCE"/>
    <w:rsid w:val="00D21353"/>
    <w:rsid w:val="00D304E7"/>
    <w:rsid w:val="00D312FD"/>
    <w:rsid w:val="00D318BC"/>
    <w:rsid w:val="00D419EA"/>
    <w:rsid w:val="00D50F1C"/>
    <w:rsid w:val="00D5260E"/>
    <w:rsid w:val="00D62A58"/>
    <w:rsid w:val="00D62B53"/>
    <w:rsid w:val="00D731DD"/>
    <w:rsid w:val="00D76112"/>
    <w:rsid w:val="00D86DEC"/>
    <w:rsid w:val="00D97498"/>
    <w:rsid w:val="00D97657"/>
    <w:rsid w:val="00D97E8E"/>
    <w:rsid w:val="00DA0722"/>
    <w:rsid w:val="00DA1951"/>
    <w:rsid w:val="00DA280C"/>
    <w:rsid w:val="00DB1F8B"/>
    <w:rsid w:val="00DB442A"/>
    <w:rsid w:val="00DB4F95"/>
    <w:rsid w:val="00DB5924"/>
    <w:rsid w:val="00DB71F9"/>
    <w:rsid w:val="00DB7EA7"/>
    <w:rsid w:val="00DC2D8B"/>
    <w:rsid w:val="00DC43C3"/>
    <w:rsid w:val="00DC6273"/>
    <w:rsid w:val="00DD6774"/>
    <w:rsid w:val="00DD697B"/>
    <w:rsid w:val="00DD6EDC"/>
    <w:rsid w:val="00DE21D0"/>
    <w:rsid w:val="00DE26C6"/>
    <w:rsid w:val="00DE7253"/>
    <w:rsid w:val="00DF0997"/>
    <w:rsid w:val="00DF4F32"/>
    <w:rsid w:val="00E00B54"/>
    <w:rsid w:val="00E023C1"/>
    <w:rsid w:val="00E103D4"/>
    <w:rsid w:val="00E158D4"/>
    <w:rsid w:val="00E16178"/>
    <w:rsid w:val="00E25AFF"/>
    <w:rsid w:val="00E34776"/>
    <w:rsid w:val="00E40D70"/>
    <w:rsid w:val="00E45E3D"/>
    <w:rsid w:val="00E461F4"/>
    <w:rsid w:val="00E47EA5"/>
    <w:rsid w:val="00E5347D"/>
    <w:rsid w:val="00E579CC"/>
    <w:rsid w:val="00E63441"/>
    <w:rsid w:val="00E63CFF"/>
    <w:rsid w:val="00E670DA"/>
    <w:rsid w:val="00E67384"/>
    <w:rsid w:val="00E67EB6"/>
    <w:rsid w:val="00E74CBE"/>
    <w:rsid w:val="00E7751B"/>
    <w:rsid w:val="00E8323B"/>
    <w:rsid w:val="00E8485B"/>
    <w:rsid w:val="00E84AB7"/>
    <w:rsid w:val="00E850D8"/>
    <w:rsid w:val="00E86AE7"/>
    <w:rsid w:val="00EA3B5C"/>
    <w:rsid w:val="00EA3EAD"/>
    <w:rsid w:val="00EA6DF6"/>
    <w:rsid w:val="00EB268B"/>
    <w:rsid w:val="00EB67B1"/>
    <w:rsid w:val="00EB7E28"/>
    <w:rsid w:val="00EC554B"/>
    <w:rsid w:val="00EC56D9"/>
    <w:rsid w:val="00ED68AC"/>
    <w:rsid w:val="00EE1063"/>
    <w:rsid w:val="00EE2714"/>
    <w:rsid w:val="00EF2D5A"/>
    <w:rsid w:val="00EF31E2"/>
    <w:rsid w:val="00EF3BB3"/>
    <w:rsid w:val="00EF56E7"/>
    <w:rsid w:val="00EF5BD8"/>
    <w:rsid w:val="00F05BF8"/>
    <w:rsid w:val="00F06685"/>
    <w:rsid w:val="00F14259"/>
    <w:rsid w:val="00F14BD3"/>
    <w:rsid w:val="00F1684D"/>
    <w:rsid w:val="00F16D41"/>
    <w:rsid w:val="00F21536"/>
    <w:rsid w:val="00F26320"/>
    <w:rsid w:val="00F26D8A"/>
    <w:rsid w:val="00F304EA"/>
    <w:rsid w:val="00F36766"/>
    <w:rsid w:val="00F4395D"/>
    <w:rsid w:val="00F478AC"/>
    <w:rsid w:val="00F60E57"/>
    <w:rsid w:val="00F651DD"/>
    <w:rsid w:val="00F66505"/>
    <w:rsid w:val="00F668AC"/>
    <w:rsid w:val="00F72A7C"/>
    <w:rsid w:val="00F74A29"/>
    <w:rsid w:val="00F80AE2"/>
    <w:rsid w:val="00F812C9"/>
    <w:rsid w:val="00F83DB6"/>
    <w:rsid w:val="00F9175A"/>
    <w:rsid w:val="00F9306E"/>
    <w:rsid w:val="00FA216A"/>
    <w:rsid w:val="00FA3A98"/>
    <w:rsid w:val="00FB1B2C"/>
    <w:rsid w:val="00FB4834"/>
    <w:rsid w:val="00FC2060"/>
    <w:rsid w:val="00FC2DBB"/>
    <w:rsid w:val="00FC4FC1"/>
    <w:rsid w:val="00FC64C6"/>
    <w:rsid w:val="00FD44A7"/>
    <w:rsid w:val="00FD546F"/>
    <w:rsid w:val="00FE02CE"/>
    <w:rsid w:val="00FE31EF"/>
    <w:rsid w:val="00FE4285"/>
    <w:rsid w:val="00FE7258"/>
    <w:rsid w:val="00FF1605"/>
    <w:rsid w:val="00FF3A15"/>
    <w:rsid w:val="00FF4D28"/>
    <w:rsid w:val="00FF5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Normal"/>
    <w:next w:val="Normal"/>
    <w:link w:val="Heading1Char"/>
    <w:qFormat/>
    <w:rsid w:val="00A1075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1075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A"/>
    <w:rPr>
      <w:rFonts w:ascii="Times New Roman" w:eastAsia="Times New Roman" w:hAnsi="Times New Roman"/>
      <w:b/>
      <w:szCs w:val="20"/>
    </w:rPr>
  </w:style>
  <w:style w:type="character" w:customStyle="1" w:styleId="Heading2Char">
    <w:name w:val="Heading 2 Char"/>
    <w:basedOn w:val="DefaultParagraphFont"/>
    <w:link w:val="Heading2"/>
    <w:rsid w:val="00A1075A"/>
    <w:rPr>
      <w:rFonts w:ascii="Times New Roman" w:eastAsia="Times New Roman" w:hAnsi="Times New Roman"/>
      <w:b/>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qFormat/>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rsid w:val="00A1075A"/>
    <w:pPr>
      <w:tabs>
        <w:tab w:val="center" w:pos="4320"/>
        <w:tab w:val="right" w:pos="8640"/>
      </w:tabs>
    </w:pPr>
  </w:style>
  <w:style w:type="character" w:customStyle="1" w:styleId="FooterChar">
    <w:name w:val="Footer Char"/>
    <w:basedOn w:val="DefaultParagraphFont"/>
    <w:link w:val="Footer"/>
    <w:rsid w:val="00A1075A"/>
    <w:rPr>
      <w:rFonts w:ascii="Times New Roman" w:eastAsia="Times New Roman" w:hAnsi="Times New Roman"/>
      <w:szCs w:val="20"/>
    </w:rPr>
  </w:style>
  <w:style w:type="character" w:styleId="FootnoteReference">
    <w:name w:val="footnote reference"/>
    <w:basedOn w:val="DefaultParagraphFont"/>
    <w:rsid w:val="00A1075A"/>
    <w:rPr>
      <w:b/>
      <w:position w:val="8"/>
      <w:sz w:val="20"/>
      <w:vertAlign w:val="baseline"/>
    </w:rPr>
  </w:style>
  <w:style w:type="paragraph" w:styleId="FootnoteText">
    <w:name w:val="footnote text"/>
    <w:basedOn w:val="Normal"/>
    <w:link w:val="FootnoteTextChar"/>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rsid w:val="00A1075A"/>
    <w:pPr>
      <w:tabs>
        <w:tab w:val="center" w:pos="4320"/>
        <w:tab w:val="right" w:pos="8640"/>
      </w:tabs>
    </w:pPr>
  </w:style>
  <w:style w:type="character" w:customStyle="1" w:styleId="HeaderChar">
    <w:name w:val="Header Char"/>
    <w:basedOn w:val="DefaultParagraphFont"/>
    <w:link w:val="Header"/>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 w:type="character" w:styleId="Hyperlink">
    <w:name w:val="Hyperlink"/>
    <w:basedOn w:val="DefaultParagraphFont"/>
    <w:uiPriority w:val="99"/>
    <w:unhideWhenUsed/>
    <w:rsid w:val="00EA3EAD"/>
    <w:rPr>
      <w:color w:val="0000FF"/>
      <w:u w:val="single"/>
    </w:rPr>
  </w:style>
  <w:style w:type="paragraph" w:styleId="TOC1">
    <w:name w:val="toc 1"/>
    <w:basedOn w:val="Normal"/>
    <w:next w:val="Normal"/>
    <w:autoRedefine/>
    <w:uiPriority w:val="39"/>
    <w:unhideWhenUsed/>
    <w:rsid w:val="00657210"/>
    <w:pPr>
      <w:spacing w:after="100"/>
    </w:pPr>
  </w:style>
  <w:style w:type="paragraph" w:styleId="TOC2">
    <w:name w:val="toc 2"/>
    <w:basedOn w:val="Normal"/>
    <w:next w:val="Normal"/>
    <w:autoRedefine/>
    <w:uiPriority w:val="39"/>
    <w:unhideWhenUsed/>
    <w:rsid w:val="00657210"/>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9099-D811-4109-AA61-450E414E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8901</Words>
  <Characters>50738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2024-05-30T18:24:16Z</dcterms:created>
  <dcterms:modified xsi:type="dcterms:W3CDTF">2024-05-30T18:24:16Z</dcterms:modified>
</cp:coreProperties>
</file>