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webextensions/taskpanes.xml" ContentType="application/vnd.ms-office.webextensiontaskpanes+xml"/>
  <Override PartName="/word/webextensions/webextension1.xml" ContentType="application/vnd.ms-office.webextension+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microsoft.com/office/2011/relationships/webextensiontaskpanes" Target="word/webextensions/taskpanes.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804897" w:rsidRPr="0055517D" w:rsidP="00804897" w14:paraId="0DCCBE83" w14:textId="3D609CFF">
      <w:pPr>
        <w:spacing w:line="240" w:lineRule="auto"/>
        <w:rPr>
          <w:bCs/>
          <w:sz w:val="20"/>
        </w:rPr>
      </w:pPr>
      <w:r w:rsidRPr="0055517D">
        <w:rPr>
          <w:bCs/>
          <w:sz w:val="20"/>
        </w:rPr>
        <w:t>Filed 5/3/24</w:t>
      </w:r>
      <w:r w:rsidR="00472086">
        <w:rPr>
          <w:bCs/>
          <w:sz w:val="20"/>
        </w:rPr>
        <w:t>; Certified for Publication 5/28/24 (order attached)</w:t>
      </w:r>
    </w:p>
    <w:p w:rsidR="003E52F6" w:rsidP="002D17CF" w14:paraId="06504640" w14:textId="632EE16D">
      <w:pPr>
        <w:spacing w:line="240" w:lineRule="auto"/>
        <w:jc w:val="center"/>
        <w:rPr>
          <w:b/>
        </w:rPr>
      </w:pPr>
    </w:p>
    <w:p w:rsidR="002D17CF" w:rsidP="002D17CF" w14:paraId="0F9EC786" w14:textId="77777777">
      <w:pPr>
        <w:spacing w:line="240" w:lineRule="auto"/>
        <w:jc w:val="center"/>
        <w:rPr>
          <w:rFonts w:ascii="Arial" w:hAnsi="Arial" w:cs="Arial"/>
          <w:b/>
          <w:sz w:val="16"/>
        </w:rPr>
      </w:pPr>
    </w:p>
    <w:p w:rsidR="00472086" w:rsidP="002D17CF" w14:paraId="78DBC872" w14:textId="77777777">
      <w:pPr>
        <w:spacing w:line="240" w:lineRule="auto"/>
        <w:jc w:val="center"/>
        <w:rPr>
          <w:rFonts w:ascii="Arial" w:hAnsi="Arial" w:cs="Arial"/>
          <w:b/>
          <w:sz w:val="16"/>
        </w:rPr>
      </w:pPr>
    </w:p>
    <w:p w:rsidR="00472086" w:rsidP="002D17CF" w14:paraId="4B934648" w14:textId="77777777">
      <w:pPr>
        <w:spacing w:line="240" w:lineRule="auto"/>
        <w:jc w:val="center"/>
      </w:pPr>
    </w:p>
    <w:p w:rsidR="002D17CF" w:rsidP="002D17CF" w14:paraId="48CADC81" w14:textId="297A29C4">
      <w:pPr>
        <w:spacing w:line="240" w:lineRule="auto"/>
        <w:jc w:val="center"/>
        <w:rPr>
          <w:b/>
        </w:rPr>
      </w:pPr>
      <w:r>
        <w:rPr>
          <w:b/>
        </w:rPr>
        <w:t>IN THE COURT OF APPEAL OF THE STATE OF CALIFORNIA</w:t>
      </w:r>
    </w:p>
    <w:p w:rsidR="002D17CF" w:rsidP="002D17CF" w14:paraId="11FF8C3A" w14:textId="77777777">
      <w:pPr>
        <w:spacing w:line="240" w:lineRule="auto"/>
        <w:jc w:val="center"/>
        <w:rPr>
          <w:b/>
        </w:rPr>
      </w:pPr>
    </w:p>
    <w:p w:rsidR="002D17CF" w:rsidP="002D17CF" w14:paraId="628BA0D1" w14:textId="21A565D8">
      <w:pPr>
        <w:spacing w:line="240" w:lineRule="auto"/>
        <w:jc w:val="center"/>
        <w:rPr>
          <w:b/>
        </w:rPr>
      </w:pPr>
      <w:r>
        <w:rPr>
          <w:b/>
        </w:rPr>
        <w:t>FOURTH APPELLATE DISTRICT</w:t>
      </w:r>
    </w:p>
    <w:p w:rsidR="002D17CF" w:rsidP="002D17CF" w14:paraId="0C80AFB8" w14:textId="77777777">
      <w:pPr>
        <w:spacing w:line="240" w:lineRule="auto"/>
        <w:jc w:val="center"/>
        <w:rPr>
          <w:b/>
        </w:rPr>
      </w:pPr>
    </w:p>
    <w:p w:rsidR="002D17CF" w:rsidP="002D17CF" w14:paraId="6E2FF1B9" w14:textId="77777777">
      <w:pPr>
        <w:spacing w:line="240" w:lineRule="auto"/>
        <w:jc w:val="center"/>
        <w:rPr>
          <w:b/>
        </w:rPr>
      </w:pPr>
      <w:r>
        <w:rPr>
          <w:b/>
        </w:rPr>
        <w:t>DIVISION TWO</w:t>
      </w:r>
    </w:p>
    <w:p w:rsidR="002D17CF" w:rsidP="002D17CF" w14:paraId="56E7CA1F" w14:textId="1F8FE424">
      <w:pPr>
        <w:spacing w:line="240" w:lineRule="auto"/>
        <w:jc w:val="center"/>
      </w:pPr>
    </w:p>
    <w:p w:rsidR="002D17CF" w:rsidP="002D17CF" w14:paraId="3806A8E6" w14:textId="77777777">
      <w:pPr>
        <w:spacing w:line="240" w:lineRule="auto"/>
        <w:jc w:val="center"/>
      </w:pPr>
    </w:p>
    <w:p w:rsidR="002D17CF" w:rsidP="002D17CF" w14:paraId="3E0206FB" w14:textId="77777777">
      <w:pPr>
        <w:spacing w:line="240"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14:paraId="31926566" w14:textId="77777777" w:rsidTr="002D17C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Borders>
              <w:bottom w:val="single" w:sz="4" w:space="0" w:color="auto"/>
              <w:right w:val="single" w:sz="4" w:space="0" w:color="auto"/>
            </w:tcBorders>
            <w:shd w:val="clear" w:color="auto" w:fill="auto"/>
          </w:tcPr>
          <w:p w:rsidR="002D17CF" w:rsidP="002D17CF" w14:paraId="12AF26AA" w14:textId="77777777">
            <w:r>
              <w:t>SAN ANTONIO REGIONAL HOSPITAL,</w:t>
            </w:r>
          </w:p>
          <w:p w:rsidR="002D17CF" w:rsidP="002D17CF" w14:paraId="76EA41D4" w14:textId="77777777"/>
          <w:p w:rsidR="002D17CF" w:rsidP="002D17CF" w14:paraId="1FED8EF6" w14:textId="77777777">
            <w:r>
              <w:tab/>
              <w:t>Petitioner,</w:t>
            </w:r>
          </w:p>
          <w:p w:rsidR="002D17CF" w:rsidP="002D17CF" w14:paraId="3FC8DD09" w14:textId="77777777"/>
          <w:p w:rsidR="002D17CF" w:rsidP="002D17CF" w14:paraId="10AB1F4A" w14:textId="77777777">
            <w:r>
              <w:t>v.</w:t>
            </w:r>
          </w:p>
          <w:p w:rsidR="002D17CF" w:rsidP="002D17CF" w14:paraId="08E2299F" w14:textId="77777777"/>
          <w:p w:rsidR="002D17CF" w:rsidP="002D17CF" w14:paraId="2EBF5FB2" w14:textId="77777777">
            <w:r>
              <w:t>THE SUPERIOR COURT OF SAN BERNARDINO COUNTY,</w:t>
            </w:r>
          </w:p>
          <w:p w:rsidR="002D17CF" w:rsidP="002D17CF" w14:paraId="3587E2BE" w14:textId="77777777"/>
          <w:p w:rsidR="002D17CF" w:rsidP="002D17CF" w14:paraId="5F0AE379" w14:textId="77777777">
            <w:r>
              <w:tab/>
              <w:t>Respondent;</w:t>
            </w:r>
          </w:p>
          <w:p w:rsidR="002D17CF" w:rsidP="002D17CF" w14:paraId="16A93893" w14:textId="77777777"/>
          <w:p w:rsidR="002D17CF" w:rsidP="002D17CF" w14:paraId="404113C3" w14:textId="494399D5">
            <w:r>
              <w:t>JOSEPH MUSHARBASH,</w:t>
            </w:r>
            <w:r w:rsidR="004F0D6E">
              <w:t xml:space="preserve"> Individually </w:t>
            </w:r>
            <w:r w:rsidR="006C42E5">
              <w:t xml:space="preserve">and as </w:t>
            </w:r>
            <w:r w:rsidR="00B67685">
              <w:t xml:space="preserve">Successor in Interest, </w:t>
            </w:r>
            <w:r w:rsidR="004F0D6E">
              <w:t>etc.</w:t>
            </w:r>
          </w:p>
          <w:p w:rsidR="002D17CF" w:rsidP="002D17CF" w14:paraId="60A8177F" w14:textId="77777777"/>
          <w:p w:rsidR="002D17CF" w:rsidP="002D17CF" w14:paraId="0A9C0985" w14:textId="77777777">
            <w:r>
              <w:tab/>
              <w:t>Real Party in Interest.</w:t>
            </w:r>
          </w:p>
          <w:p w:rsidR="002D17CF" w:rsidP="002D17CF" w14:paraId="1E81C71C" w14:textId="5A834D90"/>
        </w:tc>
        <w:tc>
          <w:tcPr>
            <w:tcW w:w="4675" w:type="dxa"/>
            <w:tcBorders>
              <w:left w:val="single" w:sz="4" w:space="0" w:color="auto"/>
            </w:tcBorders>
            <w:shd w:val="clear" w:color="auto" w:fill="auto"/>
          </w:tcPr>
          <w:p w:rsidR="002D17CF" w:rsidP="002D17CF" w14:paraId="0C198B2A" w14:textId="77777777"/>
          <w:p w:rsidR="002D17CF" w:rsidP="002D17CF" w14:paraId="5222F5F8" w14:textId="77777777"/>
          <w:p w:rsidR="002D17CF" w:rsidP="002D17CF" w14:paraId="23AC0261" w14:textId="77777777">
            <w:r>
              <w:tab/>
              <w:t>E082481</w:t>
            </w:r>
          </w:p>
          <w:p w:rsidR="002D17CF" w:rsidP="002D17CF" w14:paraId="01E914B2" w14:textId="77777777"/>
          <w:p w:rsidR="002D17CF" w:rsidP="002D17CF" w14:paraId="7B0EF793" w14:textId="77777777">
            <w:r>
              <w:tab/>
              <w:t>(Super.Ct.No. CIVSB2217117)</w:t>
            </w:r>
          </w:p>
          <w:p w:rsidR="002D17CF" w:rsidP="002D17CF" w14:paraId="1CD79382" w14:textId="77777777"/>
          <w:p w:rsidR="002D17CF" w:rsidP="002D17CF" w14:paraId="47105E11" w14:textId="35E07309">
            <w:r>
              <w:tab/>
            </w:r>
            <w:r w:rsidR="00C27EE4">
              <w:t>O</w:t>
            </w:r>
            <w:r>
              <w:t>PINION</w:t>
            </w:r>
          </w:p>
          <w:p w:rsidR="002D17CF" w:rsidP="002D17CF" w14:paraId="73C04134" w14:textId="1542A2D1"/>
        </w:tc>
      </w:tr>
    </w:tbl>
    <w:p w:rsidR="002D17CF" w:rsidP="001C6661" w14:paraId="3E5F2C3A" w14:textId="26DC80CB">
      <w:r>
        <w:tab/>
        <w:t xml:space="preserve">ORIGINAL PROCEEDINGS; petition for extraordinary writ.  </w:t>
      </w:r>
      <w:r w:rsidR="00412F25">
        <w:t xml:space="preserve">Jeffrey Erickson, Judge.  </w:t>
      </w:r>
      <w:r w:rsidR="00166F57">
        <w:t>Petition granted.</w:t>
      </w:r>
    </w:p>
    <w:p w:rsidR="0087120C" w:rsidP="001C6661" w14:paraId="3E1E4C0E" w14:textId="38C9B92E">
      <w:r>
        <w:tab/>
        <w:t>Horvitz &amp; Levy, Scott P. Dixler</w:t>
      </w:r>
      <w:r w:rsidR="00D421B5">
        <w:t>, Jason Y. Siu; Davis, Grass, Goldstein &amp; Finlay, Jeffery W. Grass</w:t>
      </w:r>
      <w:r w:rsidR="00CD44F8">
        <w:t>, and Evelin Duenas</w:t>
      </w:r>
      <w:r w:rsidR="00A67181">
        <w:t xml:space="preserve"> for Petitioner.</w:t>
      </w:r>
    </w:p>
    <w:p w:rsidR="00D32884" w:rsidP="001C6661" w14:paraId="46E61F29" w14:textId="6DB7555C">
      <w:r>
        <w:tab/>
        <w:t xml:space="preserve">No appearance for Respondent. </w:t>
      </w:r>
    </w:p>
    <w:p w:rsidR="00D32884" w:rsidP="001C6661" w14:paraId="55A54240" w14:textId="2A7708F6">
      <w:r>
        <w:tab/>
        <w:t>Calderwood Law Group and Steven F. Calderwood, for Real Party in Interest.</w:t>
      </w:r>
    </w:p>
    <w:p w:rsidR="00166F57" w:rsidP="001C6661" w14:paraId="658F4BF1" w14:textId="67E1FEB9">
      <w:r>
        <w:tab/>
      </w:r>
      <w:r w:rsidR="00A1420C">
        <w:t xml:space="preserve">In this </w:t>
      </w:r>
      <w:r w:rsidR="00B00963">
        <w:t>wrongful death</w:t>
      </w:r>
      <w:r w:rsidR="00A1420C">
        <w:t xml:space="preserve"> case</w:t>
      </w:r>
      <w:r w:rsidR="00AD6D9F">
        <w:t xml:space="preserve"> arising from alleged medical malpractice</w:t>
      </w:r>
      <w:r w:rsidR="00A1420C">
        <w:t>, the defendant hos</w:t>
      </w:r>
      <w:r w:rsidR="00344BC7">
        <w:t xml:space="preserve">pital seeks a writ of mandate directing the trial court to grant </w:t>
      </w:r>
      <w:r w:rsidR="00534116">
        <w:t xml:space="preserve">it </w:t>
      </w:r>
      <w:r w:rsidR="00344BC7">
        <w:t>summary judgment.</w:t>
      </w:r>
      <w:r w:rsidR="009829EB">
        <w:t xml:space="preserve">  The hospital </w:t>
      </w:r>
      <w:r w:rsidR="00C92740">
        <w:t>argues</w:t>
      </w:r>
      <w:r w:rsidR="009829EB">
        <w:t xml:space="preserve"> </w:t>
      </w:r>
      <w:r w:rsidR="00AF63DE">
        <w:t>the plaintiff</w:t>
      </w:r>
      <w:r w:rsidR="006F4619">
        <w:t>’s</w:t>
      </w:r>
      <w:r w:rsidR="00AF63DE">
        <w:t xml:space="preserve"> </w:t>
      </w:r>
      <w:r w:rsidR="00113310">
        <w:t>only expert</w:t>
      </w:r>
      <w:r w:rsidR="00702875">
        <w:t xml:space="preserve"> </w:t>
      </w:r>
      <w:r w:rsidR="006F4619">
        <w:t>lacks</w:t>
      </w:r>
      <w:r w:rsidR="00064481">
        <w:t xml:space="preserve"> the requisite skill or experience</w:t>
      </w:r>
      <w:r w:rsidR="00080877">
        <w:t xml:space="preserve"> to </w:t>
      </w:r>
      <w:r w:rsidR="001550DB">
        <w:t xml:space="preserve">opine on the </w:t>
      </w:r>
      <w:r w:rsidR="00081BBD">
        <w:t>standard of care or causation</w:t>
      </w:r>
      <w:r w:rsidR="009046BD">
        <w:t xml:space="preserve"> elements of the plaintiff’s claim</w:t>
      </w:r>
      <w:r w:rsidR="001550DB">
        <w:t>, so the</w:t>
      </w:r>
      <w:r w:rsidR="007A5DDE">
        <w:t>re are no</w:t>
      </w:r>
      <w:r w:rsidR="001550DB">
        <w:t xml:space="preserve"> triable issue</w:t>
      </w:r>
      <w:r w:rsidR="007A5DDE">
        <w:t>s</w:t>
      </w:r>
      <w:r w:rsidR="001550DB">
        <w:t xml:space="preserve"> of fact</w:t>
      </w:r>
      <w:r w:rsidR="005F3FDC">
        <w:t>.</w:t>
      </w:r>
      <w:r w:rsidR="00BC5705">
        <w:t xml:space="preserve">  </w:t>
      </w:r>
      <w:r w:rsidR="004D299B">
        <w:t xml:space="preserve">We agree and therefore </w:t>
      </w:r>
      <w:r w:rsidR="00B129EC">
        <w:t>grant the petition</w:t>
      </w:r>
      <w:r w:rsidR="00BC5705">
        <w:t>.</w:t>
      </w:r>
    </w:p>
    <w:p w:rsidR="00A61F2B" w:rsidP="001C6661" w14:paraId="27B1E1DD" w14:textId="45EB4967">
      <w:pPr>
        <w:keepNext/>
        <w:jc w:val="center"/>
      </w:pPr>
      <w:r>
        <w:t>I. BACKGROUND</w:t>
      </w:r>
    </w:p>
    <w:p w:rsidR="00857A16" w:rsidP="001C6661" w14:paraId="217F2FB4" w14:textId="686E6095">
      <w:r>
        <w:tab/>
      </w:r>
      <w:r w:rsidR="00B84D54">
        <w:t xml:space="preserve">Real party in interest </w:t>
      </w:r>
      <w:r>
        <w:t xml:space="preserve">Joseph Musharbash sued </w:t>
      </w:r>
      <w:r w:rsidR="00B84D54">
        <w:t>petitioner San Antonio Regional Hospital</w:t>
      </w:r>
      <w:r w:rsidR="008A3BEE">
        <w:t>, among others,</w:t>
      </w:r>
      <w:r w:rsidR="008D104C">
        <w:t xml:space="preserve"> after his </w:t>
      </w:r>
      <w:r w:rsidR="00DD029F">
        <w:t xml:space="preserve">adult </w:t>
      </w:r>
      <w:r w:rsidR="008D104C">
        <w:t>son Michael</w:t>
      </w:r>
      <w:r w:rsidR="00B1387B">
        <w:t xml:space="preserve"> </w:t>
      </w:r>
      <w:r w:rsidR="008D104C">
        <w:t xml:space="preserve">died </w:t>
      </w:r>
      <w:r w:rsidR="008D65EA">
        <w:t>while being treated for</w:t>
      </w:r>
      <w:r w:rsidR="008D104C">
        <w:t xml:space="preserve"> </w:t>
      </w:r>
      <w:r w:rsidR="00DF5B8D">
        <w:t xml:space="preserve">a traumatic </w:t>
      </w:r>
      <w:r w:rsidR="008D104C">
        <w:t>brain injur</w:t>
      </w:r>
      <w:r w:rsidR="00DF5B8D">
        <w:t>y</w:t>
      </w:r>
      <w:r w:rsidR="008D104C">
        <w:t xml:space="preserve"> </w:t>
      </w:r>
      <w:r w:rsidR="00AC47E8">
        <w:t>at the hospital</w:t>
      </w:r>
      <w:r w:rsidR="00AE5A55">
        <w:t>.  Michael was treated</w:t>
      </w:r>
      <w:r w:rsidR="00AC47E8">
        <w:t xml:space="preserve"> first in the </w:t>
      </w:r>
      <w:r w:rsidR="00AE5A55">
        <w:t xml:space="preserve">hospital’s </w:t>
      </w:r>
      <w:r w:rsidR="00AC47E8">
        <w:t>emergency room and then in the intensive care unit.</w:t>
      </w:r>
      <w:r w:rsidR="00042EA3">
        <w:t xml:space="preserve">  </w:t>
      </w:r>
      <w:r w:rsidR="00AE5A55">
        <w:t>His</w:t>
      </w:r>
      <w:r w:rsidR="00042EA3">
        <w:t xml:space="preserve"> treatment included </w:t>
      </w:r>
      <w:r w:rsidR="00074AF9">
        <w:t xml:space="preserve">several surgeries attempting to relieve intercranial pressure; first, an </w:t>
      </w:r>
      <w:r w:rsidR="00CD1028">
        <w:t>“</w:t>
      </w:r>
      <w:r w:rsidR="00074AF9">
        <w:t>extern</w:t>
      </w:r>
      <w:r w:rsidR="00CD1028">
        <w:t>al ventricular drain,” and later a crani</w:t>
      </w:r>
      <w:r w:rsidR="000F453A">
        <w:t>ectomy</w:t>
      </w:r>
      <w:r w:rsidR="00CD1028">
        <w:t>.</w:t>
      </w:r>
      <w:r w:rsidR="008A3BEE">
        <w:t xml:space="preserve">  </w:t>
      </w:r>
      <w:r w:rsidR="00AE5A55">
        <w:t>Musharbash’s</w:t>
      </w:r>
      <w:r w:rsidR="001F473F">
        <w:t xml:space="preserve"> complaint</w:t>
      </w:r>
      <w:r w:rsidR="008A3BEE">
        <w:t xml:space="preserve"> allege</w:t>
      </w:r>
      <w:r w:rsidR="00AE5A55">
        <w:t>s</w:t>
      </w:r>
      <w:r w:rsidR="008A3BEE">
        <w:t xml:space="preserve"> the hospital </w:t>
      </w:r>
      <w:r w:rsidR="00DD029F">
        <w:t>provided inadequate care by failing to properly evaluate Michael’s injur</w:t>
      </w:r>
      <w:r w:rsidR="00AE5A55">
        <w:t>ies</w:t>
      </w:r>
      <w:r w:rsidR="00DD029F">
        <w:t xml:space="preserve"> and “undertake appropriate courses of action</w:t>
      </w:r>
      <w:r w:rsidR="009729C8">
        <w:t>.</w:t>
      </w:r>
      <w:r w:rsidR="00DD029F">
        <w:t>”</w:t>
      </w:r>
      <w:r w:rsidR="009729C8">
        <w:t xml:space="preserve">  </w:t>
      </w:r>
      <w:r w:rsidR="00BB4E44">
        <w:t>In interrogatories, Mushar</w:t>
      </w:r>
      <w:r w:rsidR="00A90F8F">
        <w:t>b</w:t>
      </w:r>
      <w:r w:rsidR="00BB4E44">
        <w:t xml:space="preserve">ash </w:t>
      </w:r>
      <w:r w:rsidR="00020060">
        <w:t xml:space="preserve">stated </w:t>
      </w:r>
      <w:r w:rsidR="00374C8C">
        <w:t xml:space="preserve">the hospital was liable for Michael’s death because </w:t>
      </w:r>
      <w:r w:rsidR="008B10D0">
        <w:t>“</w:t>
      </w:r>
      <w:r w:rsidR="00667B01">
        <w:t>surgical intervention</w:t>
      </w:r>
      <w:r w:rsidR="008B10D0">
        <w:t>”</w:t>
      </w:r>
      <w:r w:rsidR="00667B01">
        <w:t xml:space="preserve"> was </w:t>
      </w:r>
      <w:r w:rsidR="003574C5">
        <w:t>only belatedly</w:t>
      </w:r>
      <w:r w:rsidR="00667B01">
        <w:t xml:space="preserve"> performed</w:t>
      </w:r>
      <w:r w:rsidR="005D30F5">
        <w:t>, and because nursing staff failed to adequately monitor Michael, inform his doctors of his status, and advocate for the need for earlier surgical intervention.</w:t>
      </w:r>
      <w:r w:rsidR="00E00459">
        <w:t xml:space="preserve">  </w:t>
      </w:r>
      <w:r w:rsidR="008220CE">
        <w:t xml:space="preserve">In briefing after our order to </w:t>
      </w:r>
      <w:r w:rsidR="005D0342">
        <w:t xml:space="preserve">show </w:t>
      </w:r>
      <w:r w:rsidR="008220CE">
        <w:t xml:space="preserve">cause, </w:t>
      </w:r>
      <w:r w:rsidR="00BF5E4A">
        <w:t>Musharbash</w:t>
      </w:r>
      <w:r w:rsidR="00E00459">
        <w:t xml:space="preserve"> </w:t>
      </w:r>
      <w:r w:rsidR="001F473F">
        <w:t>s</w:t>
      </w:r>
      <w:r w:rsidR="002728F9">
        <w:t>pecifies</w:t>
      </w:r>
      <w:r w:rsidR="001F473F">
        <w:t xml:space="preserve"> </w:t>
      </w:r>
      <w:r w:rsidR="00235DC0">
        <w:t>it is now</w:t>
      </w:r>
      <w:r w:rsidR="00C0742E">
        <w:t xml:space="preserve"> “undisputed that the care and treatment of decedent in the Emergency Department at [the hospital] adhered to the standard of care,” </w:t>
      </w:r>
      <w:r w:rsidR="00823E21">
        <w:t xml:space="preserve">and that his claim focuses </w:t>
      </w:r>
      <w:r w:rsidR="00BC4879">
        <w:t>on</w:t>
      </w:r>
      <w:r w:rsidR="005A266D">
        <w:t xml:space="preserve"> treatment</w:t>
      </w:r>
      <w:r w:rsidR="00BF18FE">
        <w:t xml:space="preserve"> </w:t>
      </w:r>
      <w:r w:rsidR="0047415F">
        <w:t xml:space="preserve">provided </w:t>
      </w:r>
      <w:r w:rsidR="00BF18FE">
        <w:t xml:space="preserve">after he was moved to </w:t>
      </w:r>
      <w:r w:rsidR="000E5466">
        <w:t>the hospital’s intensive care unit.</w:t>
      </w:r>
      <w:r>
        <w:rPr>
          <w:rStyle w:val="FootnoteReference"/>
          <w:sz w:val="26"/>
          <w:szCs w:val="26"/>
          <w:vertAlign w:val="superscript"/>
        </w:rPr>
        <w:footnoteReference w:id="3"/>
      </w:r>
    </w:p>
    <w:p w:rsidR="002F11E0" w:rsidP="001C6661" w14:paraId="33AF82EB" w14:textId="72F5E053">
      <w:r>
        <w:tab/>
      </w:r>
      <w:r w:rsidR="005D4E2E">
        <w:t>The h</w:t>
      </w:r>
      <w:r w:rsidR="00B5798F">
        <w:t>ospital moved for summary judgment</w:t>
      </w:r>
      <w:r w:rsidR="00533C50">
        <w:t>,</w:t>
      </w:r>
      <w:r w:rsidR="00B5798F">
        <w:t xml:space="preserve"> </w:t>
      </w:r>
      <w:r w:rsidR="00443FDC">
        <w:t>based in part on</w:t>
      </w:r>
      <w:r w:rsidR="002623C5">
        <w:t xml:space="preserve"> the declarations of two doctors</w:t>
      </w:r>
      <w:r w:rsidR="00930762">
        <w:t xml:space="preserve"> </w:t>
      </w:r>
      <w:r w:rsidR="002623C5">
        <w:t>who opined that Michael had received adequate treatment.</w:t>
      </w:r>
      <w:r w:rsidR="00A90F8F">
        <w:t xml:space="preserve">  In opposition, Musharbash</w:t>
      </w:r>
      <w:r w:rsidR="0012071A">
        <w:t xml:space="preserve"> submitted </w:t>
      </w:r>
      <w:r w:rsidR="005D1C0B">
        <w:t xml:space="preserve">a single expert declaration, by </w:t>
      </w:r>
      <w:r w:rsidR="0012071A">
        <w:t>Rhona Wang, a certified registered nurse anesthetist.</w:t>
      </w:r>
      <w:r w:rsidR="00C40D7F">
        <w:t xml:space="preserve">  Wang declared that she was qualified to opine on Michael’s care because she had been employed as a nurse and nurse anesthetist since 2002 </w:t>
      </w:r>
      <w:r w:rsidR="00B24B02">
        <w:t>for several</w:t>
      </w:r>
      <w:r w:rsidR="00C40D7F">
        <w:t xml:space="preserve"> Los Angeles hospitals</w:t>
      </w:r>
      <w:r w:rsidR="00B84E12">
        <w:t>.  She had provided anesthesia to “neuro/trauma patients” and had worked in various cardiac-related observation and intensive care units.</w:t>
      </w:r>
      <w:r w:rsidR="00D45D01">
        <w:t xml:space="preserve">  She</w:t>
      </w:r>
      <w:r w:rsidR="00BA4D64">
        <w:t xml:space="preserve"> opined</w:t>
      </w:r>
      <w:r w:rsidR="00D45D01">
        <w:t xml:space="preserve">: “Based on my education, training, and experience, and my review of the records in this case, to a reasonable degree of medical probability, there was a delay in the performance of the </w:t>
      </w:r>
      <w:r w:rsidR="000F453A">
        <w:t>[external ventricular drain] and/or craniectomy</w:t>
      </w:r>
      <w:r w:rsidR="009540A4">
        <w:t xml:space="preserve">, delays in contacting physicians regarding changes in [Michael’s] clinical status, and/or actions or inactions by healthcare providers at </w:t>
      </w:r>
      <w:r w:rsidR="00921595">
        <w:t>[the hospital]</w:t>
      </w:r>
      <w:r w:rsidR="009540A4">
        <w:t xml:space="preserve"> in implementing treatment modalities, which were a substantial factor in causing or contributing to [Michael’s] death.”</w:t>
      </w:r>
    </w:p>
    <w:p w:rsidR="00857A16" w:rsidP="001C6661" w14:paraId="7CB2E15F" w14:textId="1FF28C70">
      <w:r>
        <w:tab/>
      </w:r>
      <w:r w:rsidR="00D825B2">
        <w:t>The trial court found</w:t>
      </w:r>
      <w:r w:rsidR="00BB4CE6">
        <w:t xml:space="preserve"> Wang’s declaration demonstrate</w:t>
      </w:r>
      <w:r w:rsidR="00930762">
        <w:t>d</w:t>
      </w:r>
      <w:r w:rsidR="00BB4CE6">
        <w:t xml:space="preserve"> triable issues </w:t>
      </w:r>
      <w:r w:rsidR="00B24B02">
        <w:t>about</w:t>
      </w:r>
      <w:r w:rsidR="00BB4CE6">
        <w:t xml:space="preserve"> the </w:t>
      </w:r>
      <w:r w:rsidR="00B00963">
        <w:t>standard of care and causation elements of Musharbash’s claim</w:t>
      </w:r>
      <w:r w:rsidR="00F73E39">
        <w:t xml:space="preserve">, and </w:t>
      </w:r>
      <w:r w:rsidR="00930762">
        <w:t xml:space="preserve">it </w:t>
      </w:r>
      <w:r w:rsidR="00F73E39">
        <w:t>denied the hospital’s motion</w:t>
      </w:r>
      <w:r w:rsidR="00215009">
        <w:t xml:space="preserve"> for summary judgment</w:t>
      </w:r>
      <w:r w:rsidR="00B00963">
        <w:t>.</w:t>
      </w:r>
      <w:r w:rsidR="006A2D7E">
        <w:t xml:space="preserve">  Defendants timely </w:t>
      </w:r>
      <w:r w:rsidR="00D74A25">
        <w:t>petitioned for writ relief</w:t>
      </w:r>
      <w:r w:rsidR="00B02A02">
        <w:t>, and we issued an order to show cause.</w:t>
      </w:r>
    </w:p>
    <w:p w:rsidR="00857A16" w:rsidP="001C6661" w14:paraId="574B0A3A" w14:textId="030E7FDF">
      <w:pPr>
        <w:keepNext/>
        <w:keepLines/>
        <w:jc w:val="center"/>
      </w:pPr>
      <w:r>
        <w:t>II. DISCUSSION</w:t>
      </w:r>
    </w:p>
    <w:p w:rsidR="00EC6576" w:rsidP="001C6661" w14:paraId="331E2CEF" w14:textId="3A8C479E">
      <w:r>
        <w:tab/>
      </w:r>
      <w:r w:rsidR="00BD762C">
        <w:t>Musharbash</w:t>
      </w:r>
      <w:r w:rsidR="0099631F">
        <w:t xml:space="preserve"> </w:t>
      </w:r>
      <w:r w:rsidR="00930762">
        <w:t>does</w:t>
      </w:r>
      <w:r w:rsidR="00AF6E1F">
        <w:t xml:space="preserve"> not</w:t>
      </w:r>
      <w:r w:rsidR="0099631F">
        <w:t xml:space="preserve"> contest</w:t>
      </w:r>
      <w:r w:rsidR="00CC1732">
        <w:t xml:space="preserve"> that the hospital met its initial burden of production, shifting the burden to </w:t>
      </w:r>
      <w:r w:rsidR="0099631F">
        <w:t>him</w:t>
      </w:r>
      <w:r w:rsidR="00CC1732">
        <w:t xml:space="preserve"> to present evidence </w:t>
      </w:r>
      <w:r w:rsidR="00B24B02">
        <w:t>establishing</w:t>
      </w:r>
      <w:r w:rsidR="00CC1732">
        <w:t xml:space="preserve"> a triable issue of material fact.  (See Code Civ. Proc., §</w:t>
      </w:r>
      <w:r w:rsidR="000A2263">
        <w:t xml:space="preserve"> </w:t>
      </w:r>
      <w:r w:rsidR="00CC1732">
        <w:t xml:space="preserve">437c, subd. (p)(2).)  </w:t>
      </w:r>
      <w:r w:rsidR="00C742FB">
        <w:t>Thus</w:t>
      </w:r>
      <w:r w:rsidR="000C1080">
        <w:t>,</w:t>
      </w:r>
      <w:r w:rsidR="00C742FB">
        <w:t xml:space="preserve"> </w:t>
      </w:r>
      <w:r w:rsidR="00836C29">
        <w:t>our question</w:t>
      </w:r>
      <w:r w:rsidR="00B93DD6">
        <w:t xml:space="preserve"> is whether Wang’s declaration </w:t>
      </w:r>
      <w:r w:rsidR="001219E1">
        <w:t>raises</w:t>
      </w:r>
      <w:r w:rsidR="00006CB6">
        <w:t xml:space="preserve"> any triable issues </w:t>
      </w:r>
      <w:r w:rsidR="00FC58F2">
        <w:t xml:space="preserve">as to whether doctors or nurses at the hospital </w:t>
      </w:r>
      <w:r w:rsidR="00006CB6">
        <w:t>were negligent in treating Musharbash’s son</w:t>
      </w:r>
      <w:r w:rsidR="006432A8">
        <w:t>.</w:t>
      </w:r>
      <w:r w:rsidR="00C742FB">
        <w:t xml:space="preserve">  It does not.</w:t>
      </w:r>
    </w:p>
    <w:p w:rsidR="00CB3517" w:rsidRPr="001D21CA" w:rsidP="001C6661" w14:paraId="75B830F6" w14:textId="560978F0">
      <w:r>
        <w:tab/>
      </w:r>
      <w:r w:rsidR="00EE5BE4">
        <w:t xml:space="preserve">A court must grant summary judgment if there is no triable issue of material fact and the moving party is entitled to judgment in its favor as a matter of law.  (Code Civ. Proc., § 437c, subd. (c).)  </w:t>
      </w:r>
      <w:r w:rsidR="00641FE1">
        <w:t>A party challenging denial of summary judgment may do so by writ petition.  (</w:t>
      </w:r>
      <w:r w:rsidR="00641FE1">
        <w:rPr>
          <w:i/>
          <w:iCs/>
        </w:rPr>
        <w:t>Id.</w:t>
      </w:r>
      <w:r w:rsidR="00641FE1">
        <w:t>, subd. (m)(1).)  “</w:t>
      </w:r>
      <w:r w:rsidR="00812446">
        <w:t>‘Where the trial court’s denial of a motion for summary judgment will result in trial on nonactionable claims, a writ of mandate will issue.’”  (</w:t>
      </w:r>
      <w:r w:rsidR="00812446">
        <w:rPr>
          <w:i/>
          <w:iCs/>
        </w:rPr>
        <w:t>CRST, Inc. v. Superior Court</w:t>
      </w:r>
      <w:r w:rsidR="00812446">
        <w:t xml:space="preserve"> (2017) 11 Cal.App.5th 1255, 1259-1260.)  We review a trial court’s decision on summary judgment de novo, determining independently whether the </w:t>
      </w:r>
      <w:r w:rsidR="005E157B">
        <w:t xml:space="preserve">undisputed material </w:t>
      </w:r>
      <w:r w:rsidR="00812446">
        <w:t>facts support summary judgment.</w:t>
      </w:r>
      <w:r w:rsidR="00215C11">
        <w:t xml:space="preserve">  (</w:t>
      </w:r>
      <w:r w:rsidR="00215C11">
        <w:rPr>
          <w:i/>
          <w:iCs/>
        </w:rPr>
        <w:t>Id.</w:t>
      </w:r>
      <w:r w:rsidR="00215C11">
        <w:t xml:space="preserve"> at p. 1260; </w:t>
      </w:r>
      <w:r w:rsidR="00215C11">
        <w:rPr>
          <w:i/>
          <w:iCs/>
        </w:rPr>
        <w:t>Intel Corp. v. Hamidi</w:t>
      </w:r>
      <w:r w:rsidR="00215C11">
        <w:t xml:space="preserve"> (2003) 30 Cal.4th 1342, 1348.)</w:t>
      </w:r>
    </w:p>
    <w:p w:rsidR="003C2D27" w:rsidP="001C6661" w14:paraId="74BD3A38" w14:textId="2238CEC0">
      <w:r>
        <w:tab/>
      </w:r>
      <w:r w:rsidR="002F4D10">
        <w:t xml:space="preserve">The tort </w:t>
      </w:r>
      <w:r w:rsidR="0018395D">
        <w:t xml:space="preserve">of medical malpractice </w:t>
      </w:r>
      <w:r w:rsidR="002F4D10">
        <w:t>underl</w:t>
      </w:r>
      <w:r w:rsidR="0018395D">
        <w:t>ies</w:t>
      </w:r>
      <w:r w:rsidR="002F4D10">
        <w:t xml:space="preserve"> Mush</w:t>
      </w:r>
      <w:r w:rsidR="00AD6D9F">
        <w:t>arbash’s wrongful death claim</w:t>
      </w:r>
      <w:r w:rsidR="00683280">
        <w:t xml:space="preserve">.  (See </w:t>
      </w:r>
      <w:r w:rsidR="00683280">
        <w:rPr>
          <w:i/>
          <w:iCs/>
        </w:rPr>
        <w:t>Quiroz v. Seventh Ave. Center</w:t>
      </w:r>
      <w:r w:rsidR="00683280">
        <w:t xml:space="preserve"> (2006) 140 Cal.App.4th 1256, 1263</w:t>
      </w:r>
      <w:r w:rsidR="009535C2">
        <w:t xml:space="preserve"> [“‘The elements of the cause of action for wrongful death are the tort (negligence or other wrongful act), the resulting death</w:t>
      </w:r>
      <w:r w:rsidR="000A2263">
        <w:t>,</w:t>
      </w:r>
      <w:r w:rsidR="009535C2">
        <w:t xml:space="preserve"> and the damages</w:t>
      </w:r>
      <w:r w:rsidR="005D0342">
        <w:t>”</w:t>
      </w:r>
      <w:r w:rsidR="00A573CB">
        <w:t>].)</w:t>
      </w:r>
      <w:r w:rsidR="00C71380">
        <w:t xml:space="preserve">  </w:t>
      </w:r>
      <w:r w:rsidR="008C28D0">
        <w:t>“The elements of a cause of action for medical malpractice are: (1) a duty to use such skill, prudence, and diligence as other members of the profession commonly possess and exercise; (2) a breach of the duty; (</w:t>
      </w:r>
      <w:r w:rsidR="006B3F8E">
        <w:t>3) a proximate causal connection between the negligent conduct and the injury; and (4) resulting loss or damage.”  (</w:t>
      </w:r>
      <w:r w:rsidR="006B3F8E">
        <w:rPr>
          <w:i/>
          <w:iCs/>
        </w:rPr>
        <w:t>Johnson v. Superior Court</w:t>
      </w:r>
      <w:r w:rsidR="006B3F8E">
        <w:t xml:space="preserve"> (2006) 143 Cal.App.4th 297, 305.)</w:t>
      </w:r>
      <w:r w:rsidR="00AA0B88">
        <w:t xml:space="preserve">  </w:t>
      </w:r>
    </w:p>
    <w:p w:rsidR="002B2852" w:rsidRPr="00FF0DB6" w:rsidP="001C6661" w14:paraId="014CA32F" w14:textId="57140B76">
      <w:r>
        <w:tab/>
        <w:t>“The first element, standard of care, is the key issue in a malpractice action and can only be proved by expert testimony, unless the circumstances are such that the required conduct is within the layperson’s common knowledge.”  (</w:t>
      </w:r>
      <w:r>
        <w:rPr>
          <w:i/>
          <w:iCs/>
        </w:rPr>
        <w:t>Lattimore v. Dickey</w:t>
      </w:r>
      <w:r>
        <w:t xml:space="preserve"> (2015) 239 Cal.App.4th 959, </w:t>
      </w:r>
      <w:r w:rsidR="003B76B0">
        <w:t>968</w:t>
      </w:r>
      <w:r w:rsidR="007F2DC5">
        <w:t xml:space="preserve"> (</w:t>
      </w:r>
      <w:r w:rsidR="007F2DC5">
        <w:rPr>
          <w:i/>
          <w:iCs/>
        </w:rPr>
        <w:t>Lattimore</w:t>
      </w:r>
      <w:r w:rsidR="007F2DC5">
        <w:t>)</w:t>
      </w:r>
      <w:r w:rsidR="003B76B0">
        <w:t>.)</w:t>
      </w:r>
      <w:r w:rsidR="005A48C2">
        <w:t xml:space="preserve">  </w:t>
      </w:r>
      <w:r w:rsidR="00670622">
        <w:t>Proving the</w:t>
      </w:r>
      <w:r w:rsidR="00007D15">
        <w:t xml:space="preserve"> third element, causation, also requires “</w:t>
      </w:r>
      <w:r w:rsidR="005D3ED2">
        <w:t>‘</w:t>
      </w:r>
      <w:r w:rsidR="00007D15">
        <w:t>competent expert testimony.</w:t>
      </w:r>
      <w:r w:rsidR="005D3ED2">
        <w:t>’</w:t>
      </w:r>
      <w:r w:rsidR="00007D15">
        <w:t xml:space="preserve">”  </w:t>
      </w:r>
      <w:r w:rsidR="006D5B26">
        <w:t>(</w:t>
      </w:r>
      <w:r w:rsidR="006D5B26">
        <w:rPr>
          <w:i/>
          <w:iCs/>
        </w:rPr>
        <w:t>Miranda v. Bomel Construction Co.</w:t>
      </w:r>
      <w:r w:rsidR="00921595">
        <w:t xml:space="preserve">, </w:t>
      </w:r>
      <w:r w:rsidRPr="00921595" w:rsidR="00921595">
        <w:rPr>
          <w:i/>
          <w:iCs/>
        </w:rPr>
        <w:t>Inc</w:t>
      </w:r>
      <w:r w:rsidR="00921595">
        <w:t>.</w:t>
      </w:r>
      <w:r w:rsidR="006D5B26">
        <w:t xml:space="preserve"> (2010) 187 Cal.App.4th 1326, 1336</w:t>
      </w:r>
      <w:r w:rsidR="00D67100">
        <w:t xml:space="preserve"> (</w:t>
      </w:r>
      <w:r w:rsidR="00D67100">
        <w:rPr>
          <w:i/>
          <w:iCs/>
        </w:rPr>
        <w:t>Miranda</w:t>
      </w:r>
      <w:r w:rsidR="00D67100">
        <w:t>)</w:t>
      </w:r>
      <w:r w:rsidR="00FF0DB6">
        <w:t xml:space="preserve">; accord, </w:t>
      </w:r>
      <w:r w:rsidR="00FF0DB6">
        <w:rPr>
          <w:i/>
          <w:iCs/>
        </w:rPr>
        <w:t>Salasguevara v. Wyeth Laboratories, Inc.</w:t>
      </w:r>
      <w:r w:rsidR="00FF0DB6">
        <w:t xml:space="preserve"> (1990) 222 Cal.App.3d 379, 385</w:t>
      </w:r>
      <w:r w:rsidR="00D67100">
        <w:t xml:space="preserve"> (</w:t>
      </w:r>
      <w:r w:rsidR="00D67100">
        <w:rPr>
          <w:i/>
          <w:iCs/>
        </w:rPr>
        <w:t>Salasguevara</w:t>
      </w:r>
      <w:r w:rsidR="00D67100">
        <w:t>)</w:t>
      </w:r>
      <w:r w:rsidR="00FF0DB6">
        <w:t xml:space="preserve"> [“medical causation can only be determined by expert medical testimony”].)</w:t>
      </w:r>
      <w:r w:rsidR="00A1025E">
        <w:t xml:space="preserve">  </w:t>
      </w:r>
    </w:p>
    <w:p w:rsidR="006432A8" w:rsidRPr="00E63BF5" w:rsidP="001C6661" w14:paraId="6A98E84B" w14:textId="57DF2EB8">
      <w:r>
        <w:tab/>
      </w:r>
      <w:r w:rsidR="00B85E71">
        <w:t xml:space="preserve">In our order to show cause, we invited the parties to discuss Health and Safety Code, section 1799.110’s “preclusive effect on the testimony of expert witnesses.”  </w:t>
      </w:r>
      <w:r w:rsidR="00FD1036">
        <w:t xml:space="preserve">That statute </w:t>
      </w:r>
      <w:r w:rsidR="00C058D7">
        <w:t xml:space="preserve">states: </w:t>
      </w:r>
      <w:r w:rsidR="00E829B3">
        <w:t>“In any action for damages involving a claim of negligence against a physician and surgeon providing emergency medical coverage for a general acute care hospital emergency department, the court shall admit expert medical testimony only from physicians and surgeons who have had substantial professional experience within the last five years while assigned to provide emergency medical coverage in a general acute care hospital emergency department.</w:t>
      </w:r>
      <w:r w:rsidR="00340454">
        <w:t>”</w:t>
      </w:r>
      <w:r w:rsidRPr="008F4AE8" w:rsidR="008F4AE8">
        <w:rPr>
          <w:rStyle w:val="FootnoteReference"/>
        </w:rPr>
        <w:t xml:space="preserve"> </w:t>
      </w:r>
      <w:r>
        <w:rPr>
          <w:rStyle w:val="FootnoteReference"/>
          <w:sz w:val="26"/>
          <w:szCs w:val="26"/>
          <w:vertAlign w:val="superscript"/>
        </w:rPr>
        <w:footnoteReference w:id="4"/>
      </w:r>
      <w:r w:rsidR="00FD1036">
        <w:t xml:space="preserve">  (Health </w:t>
      </w:r>
      <w:r w:rsidR="008F0209">
        <w:t>&amp;</w:t>
      </w:r>
      <w:r w:rsidR="00FD1036">
        <w:t xml:space="preserve"> Saf. Code, § 1799.110, subd. (c).)</w:t>
      </w:r>
      <w:r w:rsidR="00C20B4D">
        <w:t xml:space="preserve">  “Furthermore,</w:t>
      </w:r>
      <w:r w:rsidR="007F616D">
        <w:t xml:space="preserve"> [Health and Safety Code,]</w:t>
      </w:r>
      <w:r w:rsidR="00C20B4D">
        <w:t xml:space="preserve"> section 1799.110, subdivision (c) applies to any suit involving a claim of negligent emergency treatment by a hospital emergency room physician whether or not that physician is named as a defendant.”  (</w:t>
      </w:r>
      <w:r w:rsidR="00C20B4D">
        <w:rPr>
          <w:i/>
          <w:iCs/>
        </w:rPr>
        <w:t>Jutzi v. County of Los Angeles</w:t>
      </w:r>
      <w:r w:rsidR="00C20B4D">
        <w:t xml:space="preserve"> (1987) 1</w:t>
      </w:r>
      <w:r w:rsidR="007F616D">
        <w:t xml:space="preserve">96 Cal.App.3d 637, </w:t>
      </w:r>
      <w:r w:rsidR="0062533B">
        <w:t>646-647</w:t>
      </w:r>
      <w:r w:rsidR="00534A21">
        <w:t xml:space="preserve"> (</w:t>
      </w:r>
      <w:r w:rsidR="00534A21">
        <w:rPr>
          <w:i/>
          <w:iCs/>
        </w:rPr>
        <w:t>Jutzi</w:t>
      </w:r>
      <w:r w:rsidR="00534A21">
        <w:t>)</w:t>
      </w:r>
      <w:r w:rsidR="007F616D">
        <w:t>.)</w:t>
      </w:r>
      <w:r w:rsidR="002A4E7B">
        <w:t xml:space="preserve">  </w:t>
      </w:r>
      <w:r w:rsidR="00331346">
        <w:t>There is, however, some case law holding th</w:t>
      </w:r>
      <w:r w:rsidR="0029178B">
        <w:t xml:space="preserve">is subdivision applies </w:t>
      </w:r>
      <w:r w:rsidR="003F6F13">
        <w:t xml:space="preserve">only </w:t>
      </w:r>
      <w:r w:rsidR="0029178B">
        <w:t>to</w:t>
      </w:r>
      <w:r w:rsidR="00802505">
        <w:t xml:space="preserve"> testimony about the standard of care, and</w:t>
      </w:r>
      <w:r w:rsidR="00AA4DB8">
        <w:t xml:space="preserve"> does not apply to</w:t>
      </w:r>
      <w:r w:rsidR="00802505">
        <w:t xml:space="preserve"> testimony </w:t>
      </w:r>
      <w:r w:rsidR="00B24B02">
        <w:t>about</w:t>
      </w:r>
      <w:r w:rsidR="00802505">
        <w:t xml:space="preserve"> causation or damages.</w:t>
      </w:r>
      <w:r w:rsidR="00E63BF5">
        <w:t xml:space="preserve">  (See </w:t>
      </w:r>
      <w:r w:rsidR="00E63BF5">
        <w:rPr>
          <w:i/>
          <w:iCs/>
        </w:rPr>
        <w:t>Stokes v. Baker</w:t>
      </w:r>
      <w:r w:rsidR="00E63BF5">
        <w:t xml:space="preserve"> (2019) 35 Cal.App.5th 946, </w:t>
      </w:r>
      <w:r w:rsidR="002A5D47">
        <w:t>966.)</w:t>
      </w:r>
    </w:p>
    <w:p w:rsidR="009329EA" w:rsidRPr="00CD7326" w:rsidP="001C6661" w14:paraId="3916562F" w14:textId="6FCC3720">
      <w:r>
        <w:tab/>
      </w:r>
      <w:r w:rsidR="00276E1A">
        <w:t xml:space="preserve">The parties dispute whether </w:t>
      </w:r>
      <w:r w:rsidR="00D13BBA">
        <w:t>this statutory limitation</w:t>
      </w:r>
      <w:r w:rsidR="00E40D82">
        <w:t xml:space="preserve"> </w:t>
      </w:r>
      <w:r w:rsidR="003905C3">
        <w:t>applies</w:t>
      </w:r>
      <w:r w:rsidR="00FE0C5C">
        <w:t xml:space="preserve"> </w:t>
      </w:r>
      <w:r w:rsidR="00AA5AD0">
        <w:t xml:space="preserve">only </w:t>
      </w:r>
      <w:r w:rsidR="004C4FA1">
        <w:t>to</w:t>
      </w:r>
      <w:r w:rsidR="00C32857">
        <w:t xml:space="preserve"> expert testimony about</w:t>
      </w:r>
      <w:r w:rsidR="004C4FA1">
        <w:t xml:space="preserve"> </w:t>
      </w:r>
      <w:r w:rsidR="00E40D82">
        <w:t xml:space="preserve">care provided in </w:t>
      </w:r>
      <w:r w:rsidR="004C4FA1">
        <w:t>the hospital’s</w:t>
      </w:r>
      <w:r w:rsidR="00E40D82">
        <w:t xml:space="preserve"> emergency department, or whether it extends </w:t>
      </w:r>
      <w:r w:rsidR="004C4FA1">
        <w:t xml:space="preserve">also </w:t>
      </w:r>
      <w:r w:rsidR="00E40D82">
        <w:t>to</w:t>
      </w:r>
      <w:r w:rsidR="003905C3">
        <w:t xml:space="preserve"> </w:t>
      </w:r>
      <w:r w:rsidR="0084520F">
        <w:t xml:space="preserve">expert testimony about </w:t>
      </w:r>
      <w:r w:rsidR="004C4FA1">
        <w:t xml:space="preserve">care provided in </w:t>
      </w:r>
      <w:r w:rsidR="00E40D82">
        <w:t>the intensive care unit.</w:t>
      </w:r>
      <w:r w:rsidR="0029178B">
        <w:t xml:space="preserve">  There is </w:t>
      </w:r>
      <w:r w:rsidR="00D636E3">
        <w:t xml:space="preserve">some authority in support of both </w:t>
      </w:r>
      <w:r w:rsidR="00577AEF">
        <w:t>positions</w:t>
      </w:r>
      <w:r w:rsidR="00D636E3">
        <w:t xml:space="preserve">.  </w:t>
      </w:r>
      <w:r w:rsidR="0003346B">
        <w:t>In</w:t>
      </w:r>
      <w:r w:rsidR="00D636E3">
        <w:t xml:space="preserve"> </w:t>
      </w:r>
      <w:r w:rsidR="00D636E3">
        <w:rPr>
          <w:i/>
          <w:iCs/>
        </w:rPr>
        <w:t>Jutzi</w:t>
      </w:r>
      <w:r w:rsidR="00D636E3">
        <w:t xml:space="preserve">, </w:t>
      </w:r>
      <w:r w:rsidR="00D636E3">
        <w:rPr>
          <w:i/>
          <w:iCs/>
        </w:rPr>
        <w:t>supra</w:t>
      </w:r>
      <w:r w:rsidR="00D636E3">
        <w:t xml:space="preserve">, 196 Cal.App.3d at p. </w:t>
      </w:r>
      <w:r w:rsidR="00456C14">
        <w:t>647</w:t>
      </w:r>
      <w:r w:rsidR="0003346B">
        <w:t xml:space="preserve">, the court focused on whether the treatment rendered constituted </w:t>
      </w:r>
      <w:r w:rsidR="00E50F78">
        <w:t xml:space="preserve">emergency medical care, </w:t>
      </w:r>
      <w:r w:rsidR="003236C4">
        <w:t>rather than what hospital department provided the care.</w:t>
      </w:r>
      <w:r w:rsidR="003A33B4">
        <w:t xml:space="preserve">  Other cases have di</w:t>
      </w:r>
      <w:r w:rsidR="0084520F">
        <w:t>sagreed</w:t>
      </w:r>
      <w:r w:rsidR="003A33B4">
        <w:t xml:space="preserve">, </w:t>
      </w:r>
      <w:r w:rsidR="00B753A2">
        <w:t>finding the statute applies whenever “an emergency room physician treats a patient in a general acute care hospital emergency department</w:t>
      </w:r>
      <w:r w:rsidR="003236C4">
        <w:t>,</w:t>
      </w:r>
      <w:r w:rsidR="00B753A2">
        <w:t>”</w:t>
      </w:r>
      <w:r w:rsidR="003236C4">
        <w:t xml:space="preserve"> and no matter the nature of the treatment.</w:t>
      </w:r>
      <w:r w:rsidR="00B753A2">
        <w:t xml:space="preserve">  (</w:t>
      </w:r>
      <w:r w:rsidR="00B753A2">
        <w:rPr>
          <w:i/>
          <w:iCs/>
        </w:rPr>
        <w:t>James v. St. Elizabeth Community Hospital</w:t>
      </w:r>
      <w:r w:rsidR="00B753A2">
        <w:t xml:space="preserve"> (1994) 30 Cal.App.4th 73, </w:t>
      </w:r>
      <w:r w:rsidR="0062533B">
        <w:t>80</w:t>
      </w:r>
      <w:r w:rsidR="00B753A2">
        <w:t>; accord</w:t>
      </w:r>
      <w:r w:rsidR="000C6D0C">
        <w:t xml:space="preserve"> </w:t>
      </w:r>
      <w:r w:rsidR="000C6D0C">
        <w:rPr>
          <w:i/>
          <w:iCs/>
        </w:rPr>
        <w:t>Zavala v. Board of Trustees</w:t>
      </w:r>
      <w:r w:rsidR="000C6D0C">
        <w:t xml:space="preserve"> (1993) 16 Cal.App.4th 1755, 1762.)  </w:t>
      </w:r>
      <w:r w:rsidR="003A532A">
        <w:t>Relatedly, t</w:t>
      </w:r>
      <w:r w:rsidR="000C6D0C">
        <w:t xml:space="preserve">here is room for argument about </w:t>
      </w:r>
      <w:r w:rsidR="00412943">
        <w:t xml:space="preserve">how to define </w:t>
      </w:r>
      <w:r w:rsidR="003D13BC">
        <w:t>the terms “emergency room physician” and “emergency medical coverage</w:t>
      </w:r>
      <w:r w:rsidR="000C6D0C">
        <w:t>.</w:t>
      </w:r>
      <w:r w:rsidR="009655B3">
        <w:t>”</w:t>
      </w:r>
      <w:r w:rsidR="00CD7326">
        <w:t xml:space="preserve">  (See </w:t>
      </w:r>
      <w:r w:rsidR="00CD7326">
        <w:rPr>
          <w:i/>
          <w:iCs/>
        </w:rPr>
        <w:t>Miranda v. National Emergency Services, Inc.</w:t>
      </w:r>
      <w:r w:rsidR="00CD7326">
        <w:t xml:space="preserve"> (1995) 35 Cal.App.4th 894, </w:t>
      </w:r>
      <w:r w:rsidR="002E1BD3">
        <w:t>899</w:t>
      </w:r>
      <w:r w:rsidR="00314932">
        <w:t xml:space="preserve"> [considering whether </w:t>
      </w:r>
      <w:r w:rsidR="00E94750">
        <w:t xml:space="preserve">defendant </w:t>
      </w:r>
      <w:r w:rsidR="00314932">
        <w:t>doctors “were providing ‘emergency medical coverage</w:t>
      </w:r>
      <w:r w:rsidR="00E94750">
        <w:t>’</w:t>
      </w:r>
      <w:r w:rsidR="00772253">
        <w:t> </w:t>
      </w:r>
      <w:r w:rsidR="00C35034">
        <w:t>.</w:t>
      </w:r>
      <w:r w:rsidR="00772253">
        <w:t> </w:t>
      </w:r>
      <w:r w:rsidR="00C35034">
        <w:t>. .</w:t>
      </w:r>
      <w:r w:rsidR="00772253">
        <w:t> </w:t>
      </w:r>
      <w:r w:rsidR="00C35034">
        <w:t xml:space="preserve">at the time the asserted negligence occurred” and whether plaintiff’s expert </w:t>
      </w:r>
      <w:r w:rsidR="00BA0F8C">
        <w:t>had</w:t>
      </w:r>
      <w:r w:rsidR="00947551">
        <w:t xml:space="preserve"> </w:t>
      </w:r>
      <w:r w:rsidR="00D25E90">
        <w:t>statutorily</w:t>
      </w:r>
      <w:r w:rsidR="007F3C0C">
        <w:t xml:space="preserve"> </w:t>
      </w:r>
      <w:r w:rsidR="00947551">
        <w:t>required</w:t>
      </w:r>
      <w:r w:rsidR="00BA0F8C">
        <w:t xml:space="preserve"> </w:t>
      </w:r>
      <w:r w:rsidR="007F3C0C">
        <w:t>expertise</w:t>
      </w:r>
      <w:r w:rsidR="00947551">
        <w:t>].</w:t>
      </w:r>
      <w:r w:rsidR="00314932">
        <w:t>)</w:t>
      </w:r>
    </w:p>
    <w:p w:rsidR="00DD2BCD" w:rsidP="001C6661" w14:paraId="15546FA8" w14:textId="7B9D365F">
      <w:r>
        <w:tab/>
      </w:r>
      <w:r w:rsidR="00774476">
        <w:t>We</w:t>
      </w:r>
      <w:r w:rsidR="00C2511F">
        <w:t xml:space="preserve"> </w:t>
      </w:r>
      <w:r w:rsidR="00864233">
        <w:t xml:space="preserve">need not resolve </w:t>
      </w:r>
      <w:r w:rsidR="009E79C5">
        <w:t>th</w:t>
      </w:r>
      <w:r w:rsidR="00586EC3">
        <w:t>is</w:t>
      </w:r>
      <w:r w:rsidR="009E79C5">
        <w:t xml:space="preserve"> thicket of interpretive </w:t>
      </w:r>
      <w:r w:rsidR="00D25E90">
        <w:t>questions</w:t>
      </w:r>
      <w:r w:rsidR="009B575F">
        <w:t>.  We focus</w:t>
      </w:r>
      <w:r w:rsidR="00547C53">
        <w:t xml:space="preserve"> </w:t>
      </w:r>
      <w:r w:rsidR="00D25E90">
        <w:t xml:space="preserve">instead </w:t>
      </w:r>
      <w:r w:rsidR="0054417D">
        <w:t xml:space="preserve">on </w:t>
      </w:r>
      <w:r w:rsidR="00D25E90">
        <w:t xml:space="preserve">the </w:t>
      </w:r>
      <w:r w:rsidR="00547C53">
        <w:t>generally applicable rules</w:t>
      </w:r>
      <w:r w:rsidR="00542769">
        <w:t xml:space="preserve"> </w:t>
      </w:r>
      <w:r w:rsidR="00B24B02">
        <w:t>about</w:t>
      </w:r>
      <w:r w:rsidR="00542769">
        <w:t xml:space="preserve"> admissibility of expert testimony</w:t>
      </w:r>
      <w:r w:rsidR="00436FF9">
        <w:t xml:space="preserve">.  </w:t>
      </w:r>
      <w:r w:rsidR="00547C53">
        <w:t>A</w:t>
      </w:r>
      <w:r w:rsidR="00A62019">
        <w:t xml:space="preserve">n expert is qualified to </w:t>
      </w:r>
      <w:r w:rsidR="007F2DC5">
        <w:t>testify where she possesses special skill or experience in her field “</w:t>
      </w:r>
      <w:r w:rsidR="0062533B">
        <w:t>‘</w:t>
      </w:r>
      <w:r w:rsidR="007F2DC5">
        <w:t>so that [her] testimony [is] likely to assist the jury in the search for the truth.</w:t>
      </w:r>
      <w:r w:rsidR="0062533B">
        <w:t>’</w:t>
      </w:r>
      <w:r w:rsidR="007F2DC5">
        <w:t>”  (</w:t>
      </w:r>
      <w:r w:rsidR="007F2DC5">
        <w:rPr>
          <w:i/>
          <w:iCs/>
        </w:rPr>
        <w:t>Lattimore</w:t>
      </w:r>
      <w:r w:rsidR="007F2DC5">
        <w:t xml:space="preserve">, </w:t>
      </w:r>
      <w:r w:rsidR="00D35452">
        <w:rPr>
          <w:i/>
          <w:iCs/>
        </w:rPr>
        <w:t>supra</w:t>
      </w:r>
      <w:r w:rsidR="00D35452">
        <w:t>, 239 Cal.App.4th at p. 969.)</w:t>
      </w:r>
      <w:r>
        <w:t xml:space="preserve">  Expert testimony is properly excluded as speculative where the expert lacks expertise over the subject matter of the litigation.  (E.g., </w:t>
      </w:r>
      <w:r>
        <w:rPr>
          <w:i/>
          <w:iCs/>
        </w:rPr>
        <w:t>Sargon Enterprises</w:t>
      </w:r>
      <w:r w:rsidRPr="0088681A">
        <w:t>,</w:t>
      </w:r>
      <w:r>
        <w:rPr>
          <w:i/>
          <w:iCs/>
        </w:rPr>
        <w:t xml:space="preserve"> Inc. v. University of Southern California</w:t>
      </w:r>
      <w:r>
        <w:t xml:space="preserve"> (2012) 55 Cal.4th 747, </w:t>
      </w:r>
      <w:r w:rsidR="00EA7C13">
        <w:t>759</w:t>
      </w:r>
      <w:r>
        <w:t>.)</w:t>
      </w:r>
      <w:r w:rsidR="002D2C7C">
        <w:t xml:space="preserve">  </w:t>
      </w:r>
    </w:p>
    <w:p w:rsidR="004A64A7" w:rsidP="001C6661" w14:paraId="3E61C745" w14:textId="086BBFB6">
      <w:pPr>
        <w:ind w:firstLine="720"/>
      </w:pPr>
      <w:r>
        <w:t>A</w:t>
      </w:r>
      <w:r w:rsidR="00460BC8">
        <w:t>s Musharbash</w:t>
      </w:r>
      <w:r w:rsidR="00292C2C">
        <w:t xml:space="preserve"> emphasizes, “[q]ualifications other than a license to practice medicine may serve to qualify a witness to give a medical opinion.”  (</w:t>
      </w:r>
      <w:r w:rsidR="00292C2C">
        <w:rPr>
          <w:i/>
          <w:iCs/>
        </w:rPr>
        <w:t>People v. Catlin</w:t>
      </w:r>
      <w:r w:rsidR="00292C2C">
        <w:t xml:space="preserve"> (2001) 26 Cal.4th 81, 131-</w:t>
      </w:r>
      <w:r w:rsidR="00BB13D1">
        <w:t>132</w:t>
      </w:r>
      <w:r w:rsidR="00B77040">
        <w:t xml:space="preserve"> (</w:t>
      </w:r>
      <w:r w:rsidR="00B77040">
        <w:rPr>
          <w:i/>
          <w:iCs/>
        </w:rPr>
        <w:t>Catlin</w:t>
      </w:r>
      <w:r w:rsidR="00B77040">
        <w:t>)</w:t>
      </w:r>
      <w:r w:rsidR="008F442C">
        <w:t xml:space="preserve">; accord </w:t>
      </w:r>
      <w:r w:rsidR="008F442C">
        <w:rPr>
          <w:i/>
          <w:iCs/>
        </w:rPr>
        <w:t>People v. Villarreal</w:t>
      </w:r>
      <w:r w:rsidR="008F442C">
        <w:t xml:space="preserve"> (1985) 173 Cal.App.3d 1136, 1142</w:t>
      </w:r>
      <w:r w:rsidR="0062192C">
        <w:t xml:space="preserve"> [“Because of the dramatic growth of diverse interdisciplinary studies in recent times, often individuals of different nonphysician professions are called upon to give medical opinions or at least opinions involving some medical expertise”]</w:t>
      </w:r>
      <w:r w:rsidR="009C7411">
        <w:t xml:space="preserve">, disapproved on another point by </w:t>
      </w:r>
      <w:r w:rsidR="009C7411">
        <w:rPr>
          <w:i/>
          <w:iCs/>
        </w:rPr>
        <w:t>In re Cabrera</w:t>
      </w:r>
      <w:r w:rsidR="009C7411">
        <w:t xml:space="preserve"> </w:t>
      </w:r>
      <w:r w:rsidR="00A71EE8">
        <w:t>(2023) 14 Cal.5th 476</w:t>
      </w:r>
      <w:r w:rsidR="0062192C">
        <w:t>.)</w:t>
      </w:r>
      <w:r w:rsidR="00A55C55">
        <w:t xml:space="preserve">  Nevertheless, there must be some aspect of the expert’s qualifica</w:t>
      </w:r>
      <w:r w:rsidR="006564F5">
        <w:t xml:space="preserve">tions or experience to show </w:t>
      </w:r>
      <w:r w:rsidR="00B77040">
        <w:t xml:space="preserve">the </w:t>
      </w:r>
      <w:r w:rsidR="003D67AA">
        <w:t xml:space="preserve">expert has </w:t>
      </w:r>
      <w:r w:rsidR="00F06F0E">
        <w:t>competencies “beyond common experience”</w:t>
      </w:r>
      <w:r w:rsidR="003D67AA">
        <w:t xml:space="preserve"> that bear on the relevant fact</w:t>
      </w:r>
      <w:r w:rsidR="00877730">
        <w:t>ual questions</w:t>
      </w:r>
      <w:r w:rsidR="003D67AA">
        <w:t>.</w:t>
      </w:r>
      <w:r w:rsidR="00F06F0E">
        <w:t xml:space="preserve"> </w:t>
      </w:r>
      <w:r w:rsidR="008D30B0">
        <w:t xml:space="preserve"> </w:t>
      </w:r>
      <w:r w:rsidR="00F06F0E">
        <w:t>(Evid. Code, § 801, subd. (a).)</w:t>
      </w:r>
      <w:r w:rsidR="00B77040">
        <w:t xml:space="preserve">  </w:t>
      </w:r>
    </w:p>
    <w:p w:rsidR="00204C0C" w:rsidRPr="00566BA4" w:rsidP="001C6661" w14:paraId="1CE7DE39" w14:textId="7570FA44">
      <w:pPr>
        <w:ind w:firstLine="720"/>
      </w:pPr>
      <w:r>
        <w:t xml:space="preserve">For example, </w:t>
      </w:r>
      <w:r w:rsidR="00B77040">
        <w:rPr>
          <w:i/>
          <w:iCs/>
        </w:rPr>
        <w:t>Catlin</w:t>
      </w:r>
      <w:r w:rsidR="00B77040">
        <w:t xml:space="preserve"> </w:t>
      </w:r>
      <w:r w:rsidR="00C579DA">
        <w:t>consider</w:t>
      </w:r>
      <w:r w:rsidR="003C30AE">
        <w:t>s</w:t>
      </w:r>
      <w:r w:rsidR="00C579DA">
        <w:t xml:space="preserve"> the qualifications of </w:t>
      </w:r>
      <w:r w:rsidR="00B77040">
        <w:t>a clinical toxicologist</w:t>
      </w:r>
      <w:r w:rsidR="00C579DA">
        <w:t>, called to testify</w:t>
      </w:r>
      <w:r w:rsidR="00B77040">
        <w:t xml:space="preserve"> </w:t>
      </w:r>
      <w:r w:rsidR="00D21464">
        <w:t xml:space="preserve">that </w:t>
      </w:r>
      <w:r w:rsidR="00073346">
        <w:t>a murder victim</w:t>
      </w:r>
      <w:r w:rsidR="00D21464">
        <w:t xml:space="preserve"> died of</w:t>
      </w:r>
      <w:r w:rsidR="00104567">
        <w:t xml:space="preserve"> </w:t>
      </w:r>
      <w:r w:rsidR="00D21464">
        <w:t>poisoning</w:t>
      </w:r>
      <w:r w:rsidR="00444CA5">
        <w:t xml:space="preserve"> by a</w:t>
      </w:r>
      <w:r w:rsidR="008B60EE">
        <w:t>n agricultural</w:t>
      </w:r>
      <w:r w:rsidR="00461C4E">
        <w:t xml:space="preserve"> chemical </w:t>
      </w:r>
      <w:r w:rsidR="00444CA5">
        <w:t>called paraquat.</w:t>
      </w:r>
      <w:r w:rsidRPr="008B60EE" w:rsidR="008B60EE">
        <w:t xml:space="preserve"> </w:t>
      </w:r>
      <w:r w:rsidR="008B60EE">
        <w:t xml:space="preserve"> (</w:t>
      </w:r>
      <w:r w:rsidR="008B60EE">
        <w:rPr>
          <w:i/>
          <w:iCs/>
        </w:rPr>
        <w:t>Catlin</w:t>
      </w:r>
      <w:r w:rsidR="008B60EE">
        <w:t xml:space="preserve">, </w:t>
      </w:r>
      <w:r w:rsidR="008B60EE">
        <w:rPr>
          <w:i/>
          <w:iCs/>
        </w:rPr>
        <w:t>supra</w:t>
      </w:r>
      <w:r w:rsidR="008B60EE">
        <w:t>, 26 Cal.4th at p. 131.)</w:t>
      </w:r>
      <w:r w:rsidR="00731605">
        <w:t xml:space="preserve"> </w:t>
      </w:r>
      <w:r w:rsidR="00444CA5">
        <w:t xml:space="preserve"> T</w:t>
      </w:r>
      <w:r w:rsidR="00731605">
        <w:t>he expert</w:t>
      </w:r>
      <w:r w:rsidR="00754E84">
        <w:t>, though lacking a medical degree</w:t>
      </w:r>
      <w:r w:rsidR="00F30C29">
        <w:t>,</w:t>
      </w:r>
      <w:r w:rsidR="00104567">
        <w:t xml:space="preserve"> had “advanced training in occu</w:t>
      </w:r>
      <w:r w:rsidR="00EE3DC3">
        <w:t>pational medicine, physiology, and pharmacology, and had worked in the area of agricultural poison toxicology for 18 years</w:t>
      </w:r>
      <w:r w:rsidR="005F5A56">
        <w:t>.</w:t>
      </w:r>
      <w:r w:rsidR="00EE3DC3">
        <w:t>”</w:t>
      </w:r>
      <w:r w:rsidR="008B60EE">
        <w:t xml:space="preserve">  (</w:t>
      </w:r>
      <w:r w:rsidR="008B60EE">
        <w:rPr>
          <w:i/>
          <w:iCs/>
        </w:rPr>
        <w:t>Id.</w:t>
      </w:r>
      <w:r w:rsidR="008B60EE">
        <w:t xml:space="preserve"> at p. 132.)  </w:t>
      </w:r>
      <w:r w:rsidR="00A35EE1">
        <w:t>H</w:t>
      </w:r>
      <w:r w:rsidR="008B60EE">
        <w:t>e</w:t>
      </w:r>
      <w:r w:rsidR="005F5A56">
        <w:t xml:space="preserve"> </w:t>
      </w:r>
      <w:r w:rsidR="00A35EE1">
        <w:t xml:space="preserve">also </w:t>
      </w:r>
      <w:r w:rsidR="005F5A56">
        <w:t xml:space="preserve">had </w:t>
      </w:r>
      <w:r w:rsidR="006908A3">
        <w:t>extensive “specialized experience in paraquat toxicology</w:t>
      </w:r>
      <w:r w:rsidR="009C5795">
        <w:t>”</w:t>
      </w:r>
      <w:r w:rsidR="00C963CD">
        <w:t>;</w:t>
      </w:r>
      <w:r w:rsidR="00494515">
        <w:t xml:space="preserve"> he </w:t>
      </w:r>
      <w:r w:rsidR="003D67AA">
        <w:t xml:space="preserve">had </w:t>
      </w:r>
      <w:r w:rsidR="00494515">
        <w:t>worked</w:t>
      </w:r>
      <w:r w:rsidR="00BE3607">
        <w:t xml:space="preserve"> “at a health center operated by the sole distributor of paraquat in the United States,</w:t>
      </w:r>
      <w:r w:rsidR="00494515">
        <w:t xml:space="preserve">” “consulted and advised physicians in many cases of </w:t>
      </w:r>
      <w:r w:rsidR="00C963CD">
        <w:t>paraquat poisoning,” “participated in many research projects and in biannual conferences on the subject of paraquat toxicology,” and “provided laboratory services to analyze</w:t>
      </w:r>
      <w:r w:rsidR="00BE3607">
        <w:t xml:space="preserve"> </w:t>
      </w:r>
      <w:r w:rsidR="00C963CD">
        <w:t>human tissue samples connected with incidents of paraquat poisoning.”  (</w:t>
      </w:r>
      <w:r w:rsidR="00C963CD">
        <w:rPr>
          <w:i/>
          <w:iCs/>
        </w:rPr>
        <w:t>Ibid.</w:t>
      </w:r>
      <w:r w:rsidR="00C963CD">
        <w:t>)</w:t>
      </w:r>
      <w:r w:rsidR="00461C4E">
        <w:t xml:space="preserve">  </w:t>
      </w:r>
      <w:r w:rsidR="003C30AE">
        <w:t>Our Supreme</w:t>
      </w:r>
      <w:r w:rsidR="00461C4E">
        <w:t xml:space="preserve"> Court </w:t>
      </w:r>
      <w:r w:rsidR="000A420D">
        <w:t>found the</w:t>
      </w:r>
      <w:r w:rsidR="009F2F4B">
        <w:t xml:space="preserve"> trial court </w:t>
      </w:r>
      <w:r w:rsidR="00566BA4">
        <w:t xml:space="preserve">did not abuse its discretion </w:t>
      </w:r>
      <w:r w:rsidR="00487C48">
        <w:t>in</w:t>
      </w:r>
      <w:r w:rsidR="00566BA4">
        <w:t xml:space="preserve"> allowing</w:t>
      </w:r>
      <w:r w:rsidR="009F2F4B">
        <w:t xml:space="preserve"> the</w:t>
      </w:r>
      <w:r w:rsidR="000A420D">
        <w:t xml:space="preserve"> expert</w:t>
      </w:r>
      <w:r w:rsidR="0043536F">
        <w:t xml:space="preserve"> to opine about the victim’s cause of death and </w:t>
      </w:r>
      <w:r w:rsidR="00566BA4">
        <w:t>related medical topics</w:t>
      </w:r>
      <w:r w:rsidR="00487C48">
        <w:t>,</w:t>
      </w:r>
      <w:r w:rsidR="000A420D">
        <w:t xml:space="preserve"> even though he lacked a medical degree</w:t>
      </w:r>
      <w:r w:rsidR="0043536F">
        <w:t xml:space="preserve"> and was not trained in pathology</w:t>
      </w:r>
      <w:r w:rsidR="000A420D">
        <w:t>.</w:t>
      </w:r>
      <w:r w:rsidR="00566BA4">
        <w:t xml:space="preserve">  (</w:t>
      </w:r>
      <w:r w:rsidR="00566BA4">
        <w:rPr>
          <w:i/>
          <w:iCs/>
        </w:rPr>
        <w:t>Ibid.</w:t>
      </w:r>
      <w:r w:rsidR="00566BA4">
        <w:t>)</w:t>
      </w:r>
    </w:p>
    <w:p w:rsidR="006D0E35" w:rsidP="001C6661" w14:paraId="74D8BA7E" w14:textId="28A670FA">
      <w:r>
        <w:tab/>
      </w:r>
      <w:r w:rsidR="00503775">
        <w:t>Wang</w:t>
      </w:r>
      <w:r w:rsidR="00864233">
        <w:t xml:space="preserve">’s qualifications are not analogous to those of the expert in </w:t>
      </w:r>
      <w:r w:rsidRPr="00921595" w:rsidR="00864233">
        <w:rPr>
          <w:i/>
          <w:iCs/>
        </w:rPr>
        <w:t>Catlin</w:t>
      </w:r>
      <w:r w:rsidR="00864233">
        <w:t xml:space="preserve">. </w:t>
      </w:r>
      <w:r w:rsidR="002E2736">
        <w:t xml:space="preserve"> </w:t>
      </w:r>
      <w:r w:rsidR="007F2FD6">
        <w:t xml:space="preserve">The gravamen of Musharbash’s </w:t>
      </w:r>
      <w:r w:rsidR="008A654C">
        <w:t>lawsuit</w:t>
      </w:r>
      <w:r w:rsidR="007F2FD6">
        <w:t xml:space="preserve"> is that </w:t>
      </w:r>
      <w:r w:rsidR="00EF3F50">
        <w:t>Michael</w:t>
      </w:r>
      <w:r w:rsidR="007F2FD6">
        <w:t xml:space="preserve"> died because of delays in surgical intervention</w:t>
      </w:r>
      <w:r w:rsidR="000D46FD">
        <w:t>.</w:t>
      </w:r>
      <w:r w:rsidR="00E435A1">
        <w:t xml:space="preserve">  (See </w:t>
      </w:r>
      <w:r w:rsidR="00E435A1">
        <w:rPr>
          <w:i/>
          <w:iCs/>
        </w:rPr>
        <w:t>Lattimore</w:t>
      </w:r>
      <w:r w:rsidR="00E435A1">
        <w:t xml:space="preserve">, </w:t>
      </w:r>
      <w:r w:rsidR="00E435A1">
        <w:rPr>
          <w:i/>
          <w:iCs/>
        </w:rPr>
        <w:t>supra</w:t>
      </w:r>
      <w:r w:rsidR="00E435A1">
        <w:t>, 239 Cal.App.4th at p. 967 [in ruling on summary judgment, court first identifies issues as framed by pleadings].)</w:t>
      </w:r>
      <w:r w:rsidR="00112347">
        <w:t xml:space="preserve">  </w:t>
      </w:r>
      <w:r w:rsidR="00682622">
        <w:t>Nothing in Wang’s declaration</w:t>
      </w:r>
      <w:r w:rsidR="00E435A1">
        <w:t xml:space="preserve"> </w:t>
      </w:r>
      <w:r w:rsidR="00A97E49">
        <w:t>e</w:t>
      </w:r>
      <w:r w:rsidR="00812658">
        <w:t>stablishes</w:t>
      </w:r>
      <w:r w:rsidR="00A97E49">
        <w:t xml:space="preserve"> that her</w:t>
      </w:r>
      <w:r w:rsidR="00B56387">
        <w:t xml:space="preserve"> experience as a nurse anesthetist or trauma unit nurse </w:t>
      </w:r>
      <w:r w:rsidR="00812658">
        <w:t>gave</w:t>
      </w:r>
      <w:r w:rsidR="006217B3">
        <w:t xml:space="preserve"> her </w:t>
      </w:r>
      <w:r w:rsidR="002A5B1D">
        <w:t xml:space="preserve">the </w:t>
      </w:r>
      <w:r w:rsidR="006217B3">
        <w:t xml:space="preserve">specialized knowledge </w:t>
      </w:r>
      <w:r w:rsidR="002A5B1D">
        <w:t>required</w:t>
      </w:r>
      <w:r w:rsidR="006217B3">
        <w:t xml:space="preserve"> to opine on</w:t>
      </w:r>
      <w:r w:rsidR="00B56387">
        <w:t xml:space="preserve"> </w:t>
      </w:r>
      <w:r w:rsidR="00F96BFA">
        <w:t xml:space="preserve">the standard of care </w:t>
      </w:r>
      <w:r w:rsidR="00D9407B">
        <w:t>applicable to a</w:t>
      </w:r>
      <w:r w:rsidR="00C95040">
        <w:t>n</w:t>
      </w:r>
      <w:r w:rsidR="000E7385">
        <w:t xml:space="preserve"> intensive care unit</w:t>
      </w:r>
      <w:r w:rsidR="00D9407B">
        <w:t xml:space="preserve"> </w:t>
      </w:r>
      <w:r w:rsidR="008C3352">
        <w:t>neurosurgeon</w:t>
      </w:r>
      <w:r w:rsidR="00D9407B">
        <w:t xml:space="preserve"> </w:t>
      </w:r>
      <w:r w:rsidR="00D55384">
        <w:t xml:space="preserve">deciding </w:t>
      </w:r>
      <w:r w:rsidR="008C3352">
        <w:t>whether</w:t>
      </w:r>
      <w:r w:rsidR="00D55384">
        <w:t xml:space="preserve"> </w:t>
      </w:r>
      <w:r w:rsidR="000E7385">
        <w:t xml:space="preserve">a </w:t>
      </w:r>
      <w:r w:rsidR="002A7FAD">
        <w:t>severe traumatic brain injur</w:t>
      </w:r>
      <w:r w:rsidR="000E7385">
        <w:t>y</w:t>
      </w:r>
      <w:r w:rsidR="00D55384">
        <w:t xml:space="preserve"> requires </w:t>
      </w:r>
      <w:r w:rsidR="008C3352">
        <w:t xml:space="preserve">immediate </w:t>
      </w:r>
      <w:r w:rsidR="00D55384">
        <w:t>surgical intervention</w:t>
      </w:r>
      <w:r w:rsidR="00C9795E">
        <w:t>, or whether that standard of care was breached</w:t>
      </w:r>
      <w:r w:rsidR="00C00B84">
        <w:t>.</w:t>
      </w:r>
      <w:r w:rsidR="00A97E49">
        <w:t xml:space="preserve">  </w:t>
      </w:r>
      <w:r w:rsidR="006217B3">
        <w:t xml:space="preserve">(See </w:t>
      </w:r>
      <w:r w:rsidR="00E435A1">
        <w:rPr>
          <w:i/>
          <w:iCs/>
        </w:rPr>
        <w:t>id.</w:t>
      </w:r>
      <w:r w:rsidR="006217B3">
        <w:t xml:space="preserve"> at p. 968</w:t>
      </w:r>
      <w:r w:rsidR="001B56AA">
        <w:t xml:space="preserve"> [</w:t>
      </w:r>
      <w:r w:rsidR="002D2C7C">
        <w:t>“In those cases where a medical specialist is alleged to have acted negligently, the ‘specialist must possess and use the learning, care and skill normally possessed and exercised by practitioners of that specialty under the same or similar circumstances</w:t>
      </w:r>
      <w:r w:rsidR="00BF378C">
        <w:t>’</w:t>
      </w:r>
      <w:r w:rsidR="002D2C7C">
        <w:t>”</w:t>
      </w:r>
      <w:r w:rsidR="001B56AA">
        <w:t>].)</w:t>
      </w:r>
      <w:r w:rsidR="002D2C7C">
        <w:t xml:space="preserve">  </w:t>
      </w:r>
      <w:r w:rsidR="00CB5D2F">
        <w:t>The</w:t>
      </w:r>
      <w:r>
        <w:t xml:space="preserve"> declaration includes no facts indicating </w:t>
      </w:r>
      <w:r w:rsidR="00CB5D2F">
        <w:t>Wang</w:t>
      </w:r>
      <w:r>
        <w:t xml:space="preserve"> </w:t>
      </w:r>
      <w:r w:rsidR="00E10B1B">
        <w:t>is competent</w:t>
      </w:r>
      <w:r>
        <w:t xml:space="preserve"> to determine when surgical treatment is warranted</w:t>
      </w:r>
      <w:r w:rsidR="00E10B1B">
        <w:t xml:space="preserve"> for a brain injury</w:t>
      </w:r>
      <w:r w:rsidR="00E435A1">
        <w:t>.</w:t>
      </w:r>
      <w:r w:rsidR="006526DC">
        <w:t xml:space="preserve">  That is simply not her job as a nurse</w:t>
      </w:r>
      <w:r w:rsidR="00B8187C">
        <w:t>; it is undisputed that nurses are not ultimately responsible for deciding the best course of treatment.</w:t>
      </w:r>
      <w:r>
        <w:rPr>
          <w:rStyle w:val="FootnoteReference"/>
          <w:sz w:val="26"/>
          <w:szCs w:val="26"/>
          <w:vertAlign w:val="superscript"/>
        </w:rPr>
        <w:footnoteReference w:id="5"/>
      </w:r>
      <w:r w:rsidR="00B8187C">
        <w:t xml:space="preserve">  A</w:t>
      </w:r>
      <w:r w:rsidR="006526DC">
        <w:t xml:space="preserve">nd nothing in the record shows she </w:t>
      </w:r>
      <w:r w:rsidR="0044157C">
        <w:t>has</w:t>
      </w:r>
      <w:r w:rsidR="00B8187C">
        <w:t xml:space="preserve"> otherwise</w:t>
      </w:r>
      <w:r w:rsidR="0044157C">
        <w:t xml:space="preserve"> acquired </w:t>
      </w:r>
      <w:r w:rsidR="00905583">
        <w:t xml:space="preserve">expertise </w:t>
      </w:r>
      <w:r w:rsidR="00E10B1B">
        <w:t xml:space="preserve">in pathologies of the brain and </w:t>
      </w:r>
      <w:r w:rsidR="00E74D55">
        <w:t xml:space="preserve">treatment </w:t>
      </w:r>
      <w:r w:rsidR="00E10B1B">
        <w:t>t</w:t>
      </w:r>
      <w:r w:rsidR="00E74D55">
        <w:t xml:space="preserve">echniques </w:t>
      </w:r>
      <w:r w:rsidR="00905583">
        <w:t>equivalent to that of a neurosurgeo</w:t>
      </w:r>
      <w:r w:rsidR="00ED0467">
        <w:t>n</w:t>
      </w:r>
      <w:r w:rsidR="0044157C">
        <w:t>.</w:t>
      </w:r>
      <w:r w:rsidR="007878B9">
        <w:t xml:space="preserve"> </w:t>
      </w:r>
    </w:p>
    <w:p w:rsidR="007B3E8D" w:rsidP="001C6661" w14:paraId="45E223D9" w14:textId="02E6FDE8">
      <w:pPr>
        <w:ind w:firstLine="720"/>
      </w:pPr>
      <w:r>
        <w:t>For similar reasons</w:t>
      </w:r>
      <w:r w:rsidR="00D12067">
        <w:t>,</w:t>
      </w:r>
      <w:r w:rsidR="00B426D2">
        <w:t xml:space="preserve"> Wang’s declaration </w:t>
      </w:r>
      <w:r>
        <w:t>does not establish</w:t>
      </w:r>
      <w:r w:rsidR="00B426D2">
        <w:t xml:space="preserve"> she is </w:t>
      </w:r>
      <w:r w:rsidR="00ED0467">
        <w:t xml:space="preserve">competent to </w:t>
      </w:r>
      <w:r w:rsidR="00B426D2">
        <w:t>opine</w:t>
      </w:r>
      <w:r w:rsidR="00ED0467">
        <w:t xml:space="preserve"> </w:t>
      </w:r>
      <w:r w:rsidR="004A1AE8">
        <w:t>on causation</w:t>
      </w:r>
      <w:r w:rsidR="00246C53">
        <w:t>.</w:t>
      </w:r>
      <w:r w:rsidR="004206DE">
        <w:t xml:space="preserve">  </w:t>
      </w:r>
      <w:r w:rsidR="005B47EB">
        <w:t xml:space="preserve">(See </w:t>
      </w:r>
      <w:r w:rsidR="005B47EB">
        <w:rPr>
          <w:i/>
          <w:iCs/>
        </w:rPr>
        <w:t>Miranda</w:t>
      </w:r>
      <w:r w:rsidR="005B47EB">
        <w:t xml:space="preserve">, </w:t>
      </w:r>
      <w:r w:rsidR="005B47EB">
        <w:rPr>
          <w:i/>
          <w:iCs/>
        </w:rPr>
        <w:t>supra</w:t>
      </w:r>
      <w:r w:rsidR="005B47EB">
        <w:t xml:space="preserve">, 187 Cal.App.4th at p. 1336; </w:t>
      </w:r>
      <w:r w:rsidR="005B47EB">
        <w:rPr>
          <w:i/>
          <w:iCs/>
        </w:rPr>
        <w:t>Salasguevara</w:t>
      </w:r>
      <w:r w:rsidR="005B47EB">
        <w:t xml:space="preserve">, </w:t>
      </w:r>
      <w:r w:rsidR="005B47EB">
        <w:rPr>
          <w:i/>
          <w:iCs/>
        </w:rPr>
        <w:t>supra</w:t>
      </w:r>
      <w:r w:rsidR="005B47EB">
        <w:t>, 222 Cal.App.3d at p. 385.)</w:t>
      </w:r>
      <w:r w:rsidR="00246C53">
        <w:t xml:space="preserve">  In this case, causation includes both </w:t>
      </w:r>
      <w:r w:rsidR="004A1AE8">
        <w:t xml:space="preserve">whether any delayed nurse communications </w:t>
      </w:r>
      <w:r w:rsidR="001D79D3">
        <w:t>a</w:t>
      </w:r>
      <w:r w:rsidR="004206DE">
        <w:t>ffect</w:t>
      </w:r>
      <w:r w:rsidR="005B47EB">
        <w:t>ed</w:t>
      </w:r>
      <w:r w:rsidR="004206DE">
        <w:t xml:space="preserve"> </w:t>
      </w:r>
      <w:r w:rsidR="00DB3E12">
        <w:t xml:space="preserve">any </w:t>
      </w:r>
      <w:r w:rsidR="004A1AE8">
        <w:t>neurosurgeon’s treatment decisions</w:t>
      </w:r>
      <w:r w:rsidR="001D79D3">
        <w:t>,</w:t>
      </w:r>
      <w:r w:rsidR="004A1AE8">
        <w:t xml:space="preserve"> </w:t>
      </w:r>
      <w:r w:rsidR="00920480">
        <w:t xml:space="preserve">and whether </w:t>
      </w:r>
      <w:r w:rsidR="001D79D3">
        <w:t xml:space="preserve">any </w:t>
      </w:r>
      <w:r w:rsidR="00920480">
        <w:t>delay</w:t>
      </w:r>
      <w:r w:rsidR="001D79D3">
        <w:t xml:space="preserve"> in</w:t>
      </w:r>
      <w:r w:rsidR="00920480">
        <w:t xml:space="preserve"> </w:t>
      </w:r>
      <w:r w:rsidR="00AC309C">
        <w:t xml:space="preserve">surgical treatment </w:t>
      </w:r>
      <w:r w:rsidR="001D79D3">
        <w:t>was a substantial factor in</w:t>
      </w:r>
      <w:r w:rsidR="00920480">
        <w:t xml:space="preserve"> Michael’s </w:t>
      </w:r>
      <w:r w:rsidR="001D79D3">
        <w:t>death</w:t>
      </w:r>
      <w:r w:rsidR="00920480">
        <w:t>.</w:t>
      </w:r>
      <w:r w:rsidR="001D79D3">
        <w:t xml:space="preserve">  </w:t>
      </w:r>
      <w:r w:rsidR="002E7930">
        <w:t xml:space="preserve">Wang’s declaration </w:t>
      </w:r>
      <w:r w:rsidR="00BC6363">
        <w:t xml:space="preserve">lacks any basis to conclude she </w:t>
      </w:r>
      <w:r w:rsidR="00A31FC3">
        <w:t>is</w:t>
      </w:r>
      <w:r w:rsidR="00BC6363">
        <w:t xml:space="preserve"> competent to opine on either issue.</w:t>
      </w:r>
      <w:r w:rsidR="00A40F79">
        <w:t xml:space="preserve">  Of course, </w:t>
      </w:r>
      <w:r w:rsidR="00E9760B">
        <w:t>a nurse has</w:t>
      </w:r>
      <w:r w:rsidR="00A40F79">
        <w:t xml:space="preserve"> some basis to opine </w:t>
      </w:r>
      <w:r w:rsidR="009736AD">
        <w:t xml:space="preserve">on </w:t>
      </w:r>
      <w:r w:rsidR="00A40F79">
        <w:t>when and how a nurse should communicate with doctors regarding patient care.  The perspective of the doctor, however, is required to opine as to the role such communications play in the doctor’s decision making process, both in general and in this case</w:t>
      </w:r>
      <w:r w:rsidR="00C900C2">
        <w:t xml:space="preserve">, </w:t>
      </w:r>
      <w:r w:rsidR="00DE3E9C">
        <w:t xml:space="preserve">and </w:t>
      </w:r>
      <w:r w:rsidR="00C900C2">
        <w:t xml:space="preserve">whether a decision to operate </w:t>
      </w:r>
      <w:r w:rsidR="009736AD">
        <w:t xml:space="preserve">earlier </w:t>
      </w:r>
      <w:r w:rsidR="002B1AED">
        <w:t>likely would</w:t>
      </w:r>
      <w:r w:rsidR="005C3654">
        <w:t xml:space="preserve"> have</w:t>
      </w:r>
      <w:r w:rsidR="001537EF">
        <w:t xml:space="preserve"> led to a different outcome for Musharbash’s son</w:t>
      </w:r>
      <w:r w:rsidR="005C3654">
        <w:t>.</w:t>
      </w:r>
    </w:p>
    <w:p w:rsidR="00A61F2B" w:rsidP="001C6661" w14:paraId="2BFD51A6" w14:textId="30CF22C0">
      <w:pPr>
        <w:ind w:firstLine="720"/>
      </w:pPr>
      <w:r>
        <w:t>Since Wang was Musharbash’s only proffered expert, her lack of</w:t>
      </w:r>
      <w:r w:rsidR="004E43AE">
        <w:t xml:space="preserve"> competence to opine on the applicable standard of care and causation is fatal to his claim.</w:t>
      </w:r>
      <w:r w:rsidR="0088604C">
        <w:t xml:space="preserve">  The trial court should have granted summary judgment </w:t>
      </w:r>
      <w:r w:rsidR="00B24B02">
        <w:t>for</w:t>
      </w:r>
      <w:r w:rsidR="0088604C">
        <w:t xml:space="preserve"> the hospital.</w:t>
      </w:r>
      <w:r w:rsidR="00DB5C3A">
        <w:t xml:space="preserve"> </w:t>
      </w:r>
    </w:p>
    <w:p w:rsidR="00A61F2B" w:rsidP="001C6661" w14:paraId="0F93026D" w14:textId="337ACA47">
      <w:pPr>
        <w:keepNext/>
        <w:jc w:val="center"/>
      </w:pPr>
      <w:r>
        <w:t>III. DISPOSITION</w:t>
      </w:r>
    </w:p>
    <w:p w:rsidR="00FD6359" w:rsidP="001C6661" w14:paraId="0396A328" w14:textId="7D520244">
      <w:r>
        <w:tab/>
        <w:t xml:space="preserve">Let a </w:t>
      </w:r>
      <w:r w:rsidR="00DC639E">
        <w:t xml:space="preserve">peremptory </w:t>
      </w:r>
      <w:r>
        <w:t>writ of mandate issue directing respondent court to vacate its order denying petitioner’s motion for summary judgment and to enter a new order granting the motion for summary judgment.</w:t>
      </w:r>
    </w:p>
    <w:p w:rsidR="002D17CF" w:rsidP="00E86B0C" w14:paraId="54532D5B" w14:textId="7E6BAB46">
      <w:pPr>
        <w:ind w:firstLine="720"/>
      </w:pPr>
      <w:r>
        <w:t>Petitioner to recover the costs of this petition.</w:t>
      </w:r>
    </w:p>
    <w:p w:rsidR="001C6661" w:rsidP="00F33BDD" w14:paraId="2052B171" w14:textId="6BFC0807">
      <w:r>
        <w:tab/>
      </w:r>
    </w:p>
    <w:p w:rsidR="00F33BDD" w:rsidP="00F33BDD" w14:paraId="129E62A2" w14:textId="3E7DFF94">
      <w:pPr>
        <w:pStyle w:val="SigPage1"/>
        <w:spacing w:line="600" w:lineRule="exact"/>
        <w:jc w:val="right"/>
      </w:pPr>
      <w:r>
        <w:rPr>
          <w:u w:val="single"/>
        </w:rPr>
        <w:t>RAPHAEL</w:t>
      </w:r>
      <w:r>
        <w:rPr>
          <w:u w:val="single"/>
        </w:rPr>
        <w:tab/>
      </w:r>
    </w:p>
    <w:p w:rsidR="00F33BDD" w:rsidP="00F33BDD" w14:paraId="609FEB39" w14:textId="720FE1AA">
      <w:pPr>
        <w:pStyle w:val="SigPage1"/>
        <w:jc w:val="right"/>
      </w:pPr>
      <w:r>
        <w:tab/>
        <w:t>J.</w:t>
      </w:r>
    </w:p>
    <w:p w:rsidR="00F33BDD" w:rsidP="00F33BDD" w14:paraId="56F27A54" w14:textId="77777777">
      <w:pPr>
        <w:pStyle w:val="SigPage2"/>
      </w:pPr>
    </w:p>
    <w:p w:rsidR="00F33BDD" w:rsidP="00F33BDD" w14:paraId="0C909F03" w14:textId="2330F6FB">
      <w:pPr>
        <w:pStyle w:val="SigPage2"/>
      </w:pPr>
      <w:r>
        <w:t>We concur:</w:t>
      </w:r>
    </w:p>
    <w:p w:rsidR="00F33BDD" w:rsidP="00F33BDD" w14:paraId="47170726" w14:textId="77777777">
      <w:pPr>
        <w:pStyle w:val="SigPage2"/>
      </w:pPr>
    </w:p>
    <w:p w:rsidR="00F33BDD" w:rsidP="00F33BDD" w14:paraId="3E52EC21" w14:textId="5EE67879">
      <w:pPr>
        <w:pStyle w:val="SigPage2"/>
      </w:pPr>
      <w:r>
        <w:rPr>
          <w:u w:val="single"/>
        </w:rPr>
        <w:t>MILLER</w:t>
      </w:r>
      <w:r>
        <w:rPr>
          <w:u w:val="single"/>
        </w:rPr>
        <w:tab/>
      </w:r>
    </w:p>
    <w:p w:rsidR="00F33BDD" w:rsidP="00F33BDD" w14:paraId="527CFE89" w14:textId="36972D90">
      <w:pPr>
        <w:pStyle w:val="SigPage2"/>
      </w:pPr>
      <w:r>
        <w:tab/>
      </w:r>
      <w:r w:rsidR="00D719C3">
        <w:t xml:space="preserve">Acting P. </w:t>
      </w:r>
      <w:r>
        <w:t>J.</w:t>
      </w:r>
    </w:p>
    <w:p w:rsidR="00135318" w:rsidP="00F33BDD" w14:paraId="340308EC" w14:textId="77777777">
      <w:pPr>
        <w:pStyle w:val="SigPage2"/>
      </w:pPr>
    </w:p>
    <w:p w:rsidR="00F33BDD" w:rsidP="00F33BDD" w14:paraId="7766F668" w14:textId="1A5681B5">
      <w:pPr>
        <w:pStyle w:val="SigPage2"/>
      </w:pPr>
      <w:r>
        <w:rPr>
          <w:u w:val="single"/>
        </w:rPr>
        <w:t>FIELDS</w:t>
      </w:r>
      <w:r>
        <w:rPr>
          <w:u w:val="single"/>
        </w:rPr>
        <w:tab/>
      </w:r>
    </w:p>
    <w:p w:rsidR="00F33BDD" w:rsidP="00F33BDD" w14:paraId="41EB58C9" w14:textId="7CB9DE93">
      <w:pPr>
        <w:pStyle w:val="SigPage2"/>
      </w:pPr>
      <w:r>
        <w:tab/>
        <w:t>J.</w:t>
      </w:r>
    </w:p>
    <w:p w:rsidR="00472086" w:rsidP="00F33BDD" w14:paraId="55B3EDB4" w14:textId="77777777">
      <w:pPr>
        <w:sectPr w:rsidSect="0062474A">
          <w:footerReference w:type="even" r:id="rId6"/>
          <w:footerReference w:type="default" r:id="rId7"/>
          <w:pgSz w:w="12240" w:h="15840"/>
          <w:pgMar w:top="1440" w:right="1440" w:bottom="1440" w:left="1440" w:header="720" w:footer="720" w:gutter="0"/>
          <w:cols w:space="720"/>
          <w:docGrid w:linePitch="354"/>
        </w:sectPr>
      </w:pPr>
    </w:p>
    <w:p w:rsidR="00472086" w:rsidRPr="00472086" w:rsidP="00472086" w14:paraId="7AFFFB36" w14:textId="77777777">
      <w:pPr>
        <w:overflowPunct/>
        <w:autoSpaceDE/>
        <w:autoSpaceDN/>
        <w:adjustRightInd/>
        <w:spacing w:line="240" w:lineRule="auto"/>
        <w:textAlignment w:val="auto"/>
        <w:rPr>
          <w:bCs/>
          <w:sz w:val="20"/>
          <w:szCs w:val="24"/>
        </w:rPr>
      </w:pPr>
      <w:r w:rsidRPr="00472086">
        <w:rPr>
          <w:bCs/>
          <w:sz w:val="20"/>
          <w:szCs w:val="24"/>
        </w:rPr>
        <w:t>Filed 5/28/24</w:t>
      </w:r>
    </w:p>
    <w:p w:rsidR="00472086" w:rsidRPr="00472086" w:rsidP="00472086" w14:paraId="49555176" w14:textId="77777777">
      <w:pPr>
        <w:overflowPunct/>
        <w:autoSpaceDE/>
        <w:autoSpaceDN/>
        <w:adjustRightInd/>
        <w:spacing w:line="240" w:lineRule="auto"/>
        <w:jc w:val="center"/>
        <w:textAlignment w:val="auto"/>
        <w:rPr>
          <w:b/>
          <w:sz w:val="24"/>
          <w:szCs w:val="24"/>
        </w:rPr>
      </w:pPr>
      <w:r w:rsidRPr="00472086">
        <w:rPr>
          <w:b/>
          <w:sz w:val="24"/>
          <w:szCs w:val="24"/>
        </w:rPr>
        <w:t>CERTIFIED FOR PUBLICATION</w:t>
      </w:r>
    </w:p>
    <w:p w:rsidR="00472086" w:rsidRPr="00472086" w:rsidP="00472086" w14:paraId="6922E5AB" w14:textId="77777777">
      <w:pPr>
        <w:overflowPunct/>
        <w:autoSpaceDE/>
        <w:autoSpaceDN/>
        <w:adjustRightInd/>
        <w:spacing w:line="240" w:lineRule="auto"/>
        <w:jc w:val="center"/>
        <w:textAlignment w:val="auto"/>
        <w:rPr>
          <w:b/>
          <w:sz w:val="24"/>
          <w:szCs w:val="24"/>
        </w:rPr>
      </w:pPr>
    </w:p>
    <w:p w:rsidR="00472086" w:rsidRPr="00472086" w:rsidP="00472086" w14:paraId="7AD1CE19" w14:textId="77777777">
      <w:pPr>
        <w:overflowPunct/>
        <w:autoSpaceDE/>
        <w:autoSpaceDN/>
        <w:adjustRightInd/>
        <w:spacing w:line="240" w:lineRule="auto"/>
        <w:jc w:val="center"/>
        <w:textAlignment w:val="auto"/>
        <w:rPr>
          <w:b/>
          <w:sz w:val="24"/>
          <w:szCs w:val="24"/>
        </w:rPr>
      </w:pPr>
      <w:r w:rsidRPr="00472086">
        <w:rPr>
          <w:b/>
          <w:sz w:val="24"/>
          <w:szCs w:val="24"/>
        </w:rPr>
        <w:t>IN THE COURT OF APPEAL OF THE STATE OF CALIFORNIA</w:t>
      </w:r>
    </w:p>
    <w:p w:rsidR="00472086" w:rsidRPr="00472086" w:rsidP="00472086" w14:paraId="5DDC9462" w14:textId="77777777">
      <w:pPr>
        <w:overflowPunct/>
        <w:autoSpaceDE/>
        <w:autoSpaceDN/>
        <w:adjustRightInd/>
        <w:spacing w:line="240" w:lineRule="auto"/>
        <w:jc w:val="center"/>
        <w:textAlignment w:val="auto"/>
        <w:rPr>
          <w:b/>
          <w:sz w:val="24"/>
          <w:szCs w:val="24"/>
        </w:rPr>
      </w:pPr>
    </w:p>
    <w:p w:rsidR="00472086" w:rsidRPr="00472086" w:rsidP="00472086" w14:paraId="723564D1" w14:textId="77777777">
      <w:pPr>
        <w:overflowPunct/>
        <w:autoSpaceDE/>
        <w:autoSpaceDN/>
        <w:adjustRightInd/>
        <w:spacing w:line="240" w:lineRule="auto"/>
        <w:jc w:val="center"/>
        <w:textAlignment w:val="auto"/>
        <w:rPr>
          <w:b/>
          <w:sz w:val="24"/>
          <w:szCs w:val="24"/>
        </w:rPr>
      </w:pPr>
      <w:r w:rsidRPr="00472086">
        <w:rPr>
          <w:b/>
          <w:sz w:val="24"/>
          <w:szCs w:val="24"/>
        </w:rPr>
        <w:t>FOURTH APPELLATE DISTRICT</w:t>
      </w:r>
    </w:p>
    <w:p w:rsidR="00472086" w:rsidRPr="00472086" w:rsidP="00472086" w14:paraId="05699160" w14:textId="77777777">
      <w:pPr>
        <w:overflowPunct/>
        <w:autoSpaceDE/>
        <w:autoSpaceDN/>
        <w:adjustRightInd/>
        <w:spacing w:line="240" w:lineRule="auto"/>
        <w:jc w:val="center"/>
        <w:textAlignment w:val="auto"/>
        <w:rPr>
          <w:b/>
          <w:sz w:val="24"/>
          <w:szCs w:val="24"/>
        </w:rPr>
      </w:pPr>
    </w:p>
    <w:p w:rsidR="00472086" w:rsidRPr="00472086" w:rsidP="00472086" w14:paraId="3DFAD5A2" w14:textId="77777777">
      <w:pPr>
        <w:overflowPunct/>
        <w:autoSpaceDE/>
        <w:autoSpaceDN/>
        <w:adjustRightInd/>
        <w:spacing w:line="240" w:lineRule="auto"/>
        <w:jc w:val="center"/>
        <w:textAlignment w:val="auto"/>
        <w:rPr>
          <w:b/>
          <w:sz w:val="24"/>
          <w:szCs w:val="24"/>
        </w:rPr>
      </w:pPr>
      <w:r w:rsidRPr="00472086">
        <w:rPr>
          <w:b/>
          <w:sz w:val="24"/>
          <w:szCs w:val="24"/>
        </w:rPr>
        <w:t>DIVISION TWO</w:t>
      </w:r>
    </w:p>
    <w:p w:rsidR="00472086" w:rsidRPr="00472086" w:rsidP="00472086" w14:paraId="5AE285CF" w14:textId="77777777">
      <w:pPr>
        <w:overflowPunct/>
        <w:autoSpaceDE/>
        <w:autoSpaceDN/>
        <w:adjustRightInd/>
        <w:spacing w:line="240" w:lineRule="auto"/>
        <w:jc w:val="center"/>
        <w:textAlignment w:val="auto"/>
        <w:rPr>
          <w:szCs w:val="24"/>
        </w:rPr>
      </w:pPr>
    </w:p>
    <w:tbl>
      <w:tblPr>
        <w:tblW w:w="0" w:type="auto"/>
        <w:tblLook w:val="04A0"/>
      </w:tblPr>
      <w:tblGrid>
        <w:gridCol w:w="4641"/>
        <w:gridCol w:w="4719"/>
      </w:tblGrid>
      <w:tr w14:paraId="2328A850" w14:textId="77777777" w:rsidTr="00E57E06">
        <w:tblPrEx>
          <w:tblW w:w="0" w:type="auto"/>
          <w:tblLook w:val="04A0"/>
        </w:tblPrEx>
        <w:tc>
          <w:tcPr>
            <w:tcW w:w="4641" w:type="dxa"/>
            <w:tcBorders>
              <w:bottom w:val="single" w:sz="4" w:space="0" w:color="auto"/>
              <w:right w:val="single" w:sz="4" w:space="0" w:color="auto"/>
            </w:tcBorders>
            <w:shd w:val="clear" w:color="auto" w:fill="auto"/>
          </w:tcPr>
          <w:p w:rsidR="00472086" w:rsidRPr="00472086" w:rsidP="00472086" w14:paraId="3F344DDC" w14:textId="77777777">
            <w:pPr>
              <w:overflowPunct/>
              <w:autoSpaceDE/>
              <w:autoSpaceDN/>
              <w:adjustRightInd/>
              <w:spacing w:line="240" w:lineRule="auto"/>
              <w:textAlignment w:val="auto"/>
              <w:rPr>
                <w:sz w:val="24"/>
                <w:szCs w:val="24"/>
              </w:rPr>
            </w:pPr>
            <w:r w:rsidRPr="00472086">
              <w:rPr>
                <w:sz w:val="24"/>
                <w:szCs w:val="24"/>
              </w:rPr>
              <w:t>SAN ANTONIO REGIONAL HOSPITAL,</w:t>
            </w:r>
          </w:p>
          <w:p w:rsidR="00472086" w:rsidRPr="00472086" w:rsidP="00472086" w14:paraId="549BCDD5" w14:textId="77777777">
            <w:pPr>
              <w:overflowPunct/>
              <w:autoSpaceDE/>
              <w:autoSpaceDN/>
              <w:adjustRightInd/>
              <w:spacing w:line="240" w:lineRule="auto"/>
              <w:textAlignment w:val="auto"/>
              <w:rPr>
                <w:sz w:val="22"/>
                <w:szCs w:val="22"/>
              </w:rPr>
            </w:pPr>
          </w:p>
          <w:p w:rsidR="00472086" w:rsidRPr="00472086" w:rsidP="00472086" w14:paraId="78344735" w14:textId="77777777">
            <w:pPr>
              <w:overflowPunct/>
              <w:autoSpaceDE/>
              <w:autoSpaceDN/>
              <w:adjustRightInd/>
              <w:spacing w:line="240" w:lineRule="auto"/>
              <w:textAlignment w:val="auto"/>
              <w:rPr>
                <w:sz w:val="24"/>
                <w:szCs w:val="24"/>
              </w:rPr>
            </w:pPr>
            <w:r w:rsidRPr="00472086">
              <w:rPr>
                <w:sz w:val="24"/>
                <w:szCs w:val="24"/>
              </w:rPr>
              <w:tab/>
              <w:t>Petitioner,</w:t>
            </w:r>
          </w:p>
          <w:p w:rsidR="00472086" w:rsidRPr="00472086" w:rsidP="00472086" w14:paraId="089CAC80" w14:textId="77777777">
            <w:pPr>
              <w:overflowPunct/>
              <w:autoSpaceDE/>
              <w:autoSpaceDN/>
              <w:adjustRightInd/>
              <w:spacing w:line="240" w:lineRule="auto"/>
              <w:textAlignment w:val="auto"/>
              <w:rPr>
                <w:sz w:val="24"/>
                <w:szCs w:val="24"/>
              </w:rPr>
            </w:pPr>
          </w:p>
          <w:p w:rsidR="00472086" w:rsidRPr="00472086" w:rsidP="00472086" w14:paraId="7D9261DE" w14:textId="77777777">
            <w:pPr>
              <w:overflowPunct/>
              <w:autoSpaceDE/>
              <w:autoSpaceDN/>
              <w:adjustRightInd/>
              <w:spacing w:line="240" w:lineRule="auto"/>
              <w:textAlignment w:val="auto"/>
              <w:rPr>
                <w:sz w:val="24"/>
                <w:szCs w:val="24"/>
              </w:rPr>
            </w:pPr>
            <w:r w:rsidRPr="00472086">
              <w:rPr>
                <w:sz w:val="24"/>
                <w:szCs w:val="24"/>
              </w:rPr>
              <w:t>v.</w:t>
            </w:r>
          </w:p>
          <w:p w:rsidR="00472086" w:rsidRPr="00472086" w:rsidP="00472086" w14:paraId="73C18AC4" w14:textId="77777777">
            <w:pPr>
              <w:overflowPunct/>
              <w:autoSpaceDE/>
              <w:autoSpaceDN/>
              <w:adjustRightInd/>
              <w:spacing w:line="240" w:lineRule="auto"/>
              <w:textAlignment w:val="auto"/>
              <w:rPr>
                <w:sz w:val="22"/>
                <w:szCs w:val="22"/>
              </w:rPr>
            </w:pPr>
          </w:p>
          <w:p w:rsidR="00472086" w:rsidRPr="00472086" w:rsidP="00472086" w14:paraId="62F56AA0" w14:textId="77777777">
            <w:pPr>
              <w:overflowPunct/>
              <w:autoSpaceDE/>
              <w:autoSpaceDN/>
              <w:adjustRightInd/>
              <w:spacing w:line="240" w:lineRule="auto"/>
              <w:textAlignment w:val="auto"/>
              <w:rPr>
                <w:sz w:val="24"/>
                <w:szCs w:val="24"/>
              </w:rPr>
            </w:pPr>
            <w:r w:rsidRPr="00472086">
              <w:rPr>
                <w:sz w:val="24"/>
                <w:szCs w:val="24"/>
              </w:rPr>
              <w:t>THE SUPERIOR COURT OF SAN BERNARDINO COUNTY,</w:t>
            </w:r>
          </w:p>
          <w:p w:rsidR="00472086" w:rsidRPr="00472086" w:rsidP="00472086" w14:paraId="7C086BD7" w14:textId="77777777">
            <w:pPr>
              <w:overflowPunct/>
              <w:autoSpaceDE/>
              <w:autoSpaceDN/>
              <w:adjustRightInd/>
              <w:spacing w:line="240" w:lineRule="auto"/>
              <w:textAlignment w:val="auto"/>
              <w:rPr>
                <w:sz w:val="22"/>
                <w:szCs w:val="22"/>
              </w:rPr>
            </w:pPr>
          </w:p>
          <w:p w:rsidR="00472086" w:rsidRPr="00472086" w:rsidP="00472086" w14:paraId="6A1E10A3" w14:textId="77777777">
            <w:pPr>
              <w:overflowPunct/>
              <w:autoSpaceDE/>
              <w:autoSpaceDN/>
              <w:adjustRightInd/>
              <w:spacing w:line="240" w:lineRule="auto"/>
              <w:textAlignment w:val="auto"/>
              <w:rPr>
                <w:sz w:val="24"/>
                <w:szCs w:val="24"/>
              </w:rPr>
            </w:pPr>
            <w:r w:rsidRPr="00472086">
              <w:rPr>
                <w:sz w:val="24"/>
                <w:szCs w:val="24"/>
              </w:rPr>
              <w:tab/>
              <w:t>Respondent;</w:t>
            </w:r>
          </w:p>
          <w:p w:rsidR="00472086" w:rsidRPr="00472086" w:rsidP="00472086" w14:paraId="1E712F09" w14:textId="77777777">
            <w:pPr>
              <w:overflowPunct/>
              <w:autoSpaceDE/>
              <w:autoSpaceDN/>
              <w:adjustRightInd/>
              <w:spacing w:line="240" w:lineRule="auto"/>
              <w:textAlignment w:val="auto"/>
              <w:rPr>
                <w:sz w:val="22"/>
                <w:szCs w:val="22"/>
              </w:rPr>
            </w:pPr>
          </w:p>
          <w:p w:rsidR="00472086" w:rsidRPr="00472086" w:rsidP="00472086" w14:paraId="77261C5F" w14:textId="77777777">
            <w:pPr>
              <w:overflowPunct/>
              <w:autoSpaceDE/>
              <w:autoSpaceDN/>
              <w:adjustRightInd/>
              <w:spacing w:line="240" w:lineRule="auto"/>
              <w:textAlignment w:val="auto"/>
              <w:rPr>
                <w:sz w:val="24"/>
                <w:szCs w:val="24"/>
              </w:rPr>
            </w:pPr>
            <w:r w:rsidRPr="00472086">
              <w:rPr>
                <w:sz w:val="24"/>
                <w:szCs w:val="24"/>
              </w:rPr>
              <w:t>JOSEPH MUSHARBASH, Individually and as Successor in Interest, etc.</w:t>
            </w:r>
          </w:p>
          <w:p w:rsidR="00472086" w:rsidRPr="00472086" w:rsidP="00472086" w14:paraId="0C1B59E2" w14:textId="77777777">
            <w:pPr>
              <w:overflowPunct/>
              <w:autoSpaceDE/>
              <w:autoSpaceDN/>
              <w:adjustRightInd/>
              <w:spacing w:line="240" w:lineRule="auto"/>
              <w:textAlignment w:val="auto"/>
              <w:rPr>
                <w:sz w:val="22"/>
                <w:szCs w:val="22"/>
              </w:rPr>
            </w:pPr>
          </w:p>
          <w:p w:rsidR="00472086" w:rsidRPr="00472086" w:rsidP="00472086" w14:paraId="1053DFD6" w14:textId="77777777">
            <w:pPr>
              <w:overflowPunct/>
              <w:autoSpaceDE/>
              <w:autoSpaceDN/>
              <w:adjustRightInd/>
              <w:spacing w:line="240" w:lineRule="auto"/>
              <w:textAlignment w:val="auto"/>
              <w:rPr>
                <w:sz w:val="24"/>
                <w:szCs w:val="24"/>
              </w:rPr>
            </w:pPr>
            <w:r w:rsidRPr="00472086">
              <w:rPr>
                <w:sz w:val="24"/>
                <w:szCs w:val="24"/>
              </w:rPr>
              <w:tab/>
              <w:t>Real Party in Interest.</w:t>
            </w:r>
          </w:p>
        </w:tc>
        <w:tc>
          <w:tcPr>
            <w:tcW w:w="4719" w:type="dxa"/>
            <w:tcBorders>
              <w:left w:val="single" w:sz="4" w:space="0" w:color="auto"/>
            </w:tcBorders>
            <w:shd w:val="clear" w:color="auto" w:fill="auto"/>
          </w:tcPr>
          <w:p w:rsidR="00472086" w:rsidRPr="00472086" w:rsidP="00472086" w14:paraId="7CBED913" w14:textId="77777777">
            <w:pPr>
              <w:overflowPunct/>
              <w:autoSpaceDE/>
              <w:autoSpaceDN/>
              <w:adjustRightInd/>
              <w:spacing w:line="240" w:lineRule="auto"/>
              <w:textAlignment w:val="auto"/>
              <w:rPr>
                <w:sz w:val="22"/>
                <w:szCs w:val="22"/>
              </w:rPr>
            </w:pPr>
          </w:p>
          <w:p w:rsidR="00472086" w:rsidRPr="00472086" w:rsidP="00472086" w14:paraId="409AA0EB" w14:textId="77777777">
            <w:pPr>
              <w:overflowPunct/>
              <w:autoSpaceDE/>
              <w:autoSpaceDN/>
              <w:adjustRightInd/>
              <w:spacing w:line="240" w:lineRule="auto"/>
              <w:textAlignment w:val="auto"/>
              <w:rPr>
                <w:sz w:val="22"/>
                <w:szCs w:val="22"/>
              </w:rPr>
            </w:pPr>
          </w:p>
          <w:p w:rsidR="00472086" w:rsidRPr="00472086" w:rsidP="00472086" w14:paraId="071C2A52" w14:textId="77777777">
            <w:pPr>
              <w:overflowPunct/>
              <w:autoSpaceDE/>
              <w:autoSpaceDN/>
              <w:adjustRightInd/>
              <w:spacing w:line="240" w:lineRule="auto"/>
              <w:textAlignment w:val="auto"/>
              <w:rPr>
                <w:sz w:val="24"/>
                <w:szCs w:val="24"/>
              </w:rPr>
            </w:pPr>
            <w:r w:rsidRPr="00472086">
              <w:rPr>
                <w:sz w:val="24"/>
                <w:szCs w:val="24"/>
              </w:rPr>
              <w:tab/>
              <w:t>E082481</w:t>
            </w:r>
          </w:p>
          <w:p w:rsidR="00472086" w:rsidRPr="00472086" w:rsidP="00472086" w14:paraId="5E90422F" w14:textId="77777777">
            <w:pPr>
              <w:overflowPunct/>
              <w:autoSpaceDE/>
              <w:autoSpaceDN/>
              <w:adjustRightInd/>
              <w:spacing w:line="240" w:lineRule="auto"/>
              <w:textAlignment w:val="auto"/>
              <w:rPr>
                <w:sz w:val="22"/>
                <w:szCs w:val="22"/>
              </w:rPr>
            </w:pPr>
          </w:p>
          <w:p w:rsidR="00472086" w:rsidRPr="00472086" w:rsidP="00472086" w14:paraId="5F480054" w14:textId="77777777">
            <w:pPr>
              <w:overflowPunct/>
              <w:autoSpaceDE/>
              <w:autoSpaceDN/>
              <w:adjustRightInd/>
              <w:spacing w:line="240" w:lineRule="auto"/>
              <w:textAlignment w:val="auto"/>
              <w:rPr>
                <w:sz w:val="24"/>
                <w:szCs w:val="24"/>
              </w:rPr>
            </w:pPr>
            <w:r w:rsidRPr="00472086">
              <w:rPr>
                <w:sz w:val="24"/>
                <w:szCs w:val="24"/>
              </w:rPr>
              <w:tab/>
              <w:t>(Super.Ct.No. CIVSB2217117)</w:t>
            </w:r>
          </w:p>
          <w:p w:rsidR="00472086" w:rsidRPr="00472086" w:rsidP="00472086" w14:paraId="68418F00" w14:textId="77777777">
            <w:pPr>
              <w:overflowPunct/>
              <w:autoSpaceDE/>
              <w:autoSpaceDN/>
              <w:adjustRightInd/>
              <w:spacing w:line="240" w:lineRule="auto"/>
              <w:textAlignment w:val="auto"/>
              <w:rPr>
                <w:sz w:val="22"/>
                <w:szCs w:val="22"/>
              </w:rPr>
            </w:pPr>
          </w:p>
          <w:p w:rsidR="00472086" w:rsidRPr="00472086" w:rsidP="00472086" w14:paraId="3617CFD6" w14:textId="77777777">
            <w:pPr>
              <w:overflowPunct/>
              <w:autoSpaceDE/>
              <w:autoSpaceDN/>
              <w:adjustRightInd/>
              <w:spacing w:line="240" w:lineRule="auto"/>
              <w:textAlignment w:val="auto"/>
              <w:rPr>
                <w:sz w:val="22"/>
                <w:szCs w:val="22"/>
              </w:rPr>
            </w:pPr>
            <w:r w:rsidRPr="00472086">
              <w:rPr>
                <w:sz w:val="24"/>
                <w:szCs w:val="24"/>
              </w:rPr>
              <w:tab/>
            </w:r>
          </w:p>
          <w:p w:rsidR="00472086" w:rsidRPr="00472086" w:rsidP="00472086" w14:paraId="4A8D209B" w14:textId="77777777">
            <w:pPr>
              <w:overflowPunct/>
              <w:autoSpaceDE/>
              <w:autoSpaceDN/>
              <w:adjustRightInd/>
              <w:spacing w:line="240" w:lineRule="auto"/>
              <w:textAlignment w:val="auto"/>
              <w:rPr>
                <w:sz w:val="24"/>
                <w:szCs w:val="24"/>
              </w:rPr>
            </w:pPr>
          </w:p>
        </w:tc>
      </w:tr>
    </w:tbl>
    <w:p w:rsidR="00472086" w:rsidRPr="00472086" w:rsidP="00472086" w14:paraId="69CDBBE8" w14:textId="77777777">
      <w:pPr>
        <w:overflowPunct/>
        <w:autoSpaceDE/>
        <w:autoSpaceDN/>
        <w:adjustRightInd/>
        <w:spacing w:line="360" w:lineRule="auto"/>
        <w:textAlignment w:val="auto"/>
        <w:rPr>
          <w:sz w:val="24"/>
          <w:szCs w:val="22"/>
        </w:rPr>
      </w:pPr>
    </w:p>
    <w:p w:rsidR="00472086" w:rsidRPr="00472086" w:rsidP="00472086" w14:paraId="14AEB1FD" w14:textId="77777777">
      <w:pPr>
        <w:overflowPunct/>
        <w:autoSpaceDE/>
        <w:autoSpaceDN/>
        <w:adjustRightInd/>
        <w:spacing w:line="240" w:lineRule="auto"/>
        <w:textAlignment w:val="auto"/>
        <w:rPr>
          <w:szCs w:val="24"/>
        </w:rPr>
      </w:pPr>
      <w:r w:rsidRPr="00472086">
        <w:rPr>
          <w:szCs w:val="24"/>
        </w:rPr>
        <w:tab/>
        <w:t>Requests having been made to this court pursuant to California Rules of Court, rule 8.1120(a) for publication of a nonpublished opinion heretofore filed in the above-entitled matter on May 20, 2024 and May 22, 2024, and it appearing that the opinion meets the standard for publication as specified in California Rules of Court, rule 8.1105(c),</w:t>
      </w:r>
    </w:p>
    <w:p w:rsidR="00472086" w:rsidRPr="00472086" w:rsidP="00472086" w14:paraId="0CEEF04F" w14:textId="77777777">
      <w:pPr>
        <w:overflowPunct/>
        <w:autoSpaceDE/>
        <w:autoSpaceDN/>
        <w:adjustRightInd/>
        <w:spacing w:line="240" w:lineRule="auto"/>
        <w:textAlignment w:val="auto"/>
        <w:rPr>
          <w:szCs w:val="24"/>
        </w:rPr>
      </w:pPr>
    </w:p>
    <w:p w:rsidR="00472086" w:rsidRPr="00472086" w:rsidP="00472086" w14:paraId="4585BF6C" w14:textId="77777777">
      <w:pPr>
        <w:overflowPunct/>
        <w:autoSpaceDE/>
        <w:autoSpaceDN/>
        <w:adjustRightInd/>
        <w:spacing w:line="240" w:lineRule="auto"/>
        <w:textAlignment w:val="auto"/>
        <w:rPr>
          <w:szCs w:val="24"/>
        </w:rPr>
      </w:pPr>
      <w:r w:rsidRPr="00472086">
        <w:rPr>
          <w:szCs w:val="24"/>
        </w:rPr>
        <w:tab/>
        <w:t>IT IS ORDERED that said opinion be certified for publication pursuant to California Rules of Court, rule 8.1105(b).  The opinion filed in this matter on May 3, 2024, is certified for publication.</w:t>
      </w:r>
    </w:p>
    <w:p w:rsidR="00472086" w:rsidRPr="00472086" w:rsidP="00472086" w14:paraId="370D58F8" w14:textId="77777777">
      <w:pPr>
        <w:overflowPunct/>
        <w:autoSpaceDE/>
        <w:autoSpaceDN/>
        <w:adjustRightInd/>
        <w:spacing w:line="240" w:lineRule="auto"/>
        <w:textAlignment w:val="auto"/>
        <w:rPr>
          <w:szCs w:val="24"/>
        </w:rPr>
      </w:pPr>
    </w:p>
    <w:p w:rsidR="00472086" w:rsidRPr="00472086" w:rsidP="00472086" w14:paraId="161AE78E" w14:textId="77777777">
      <w:pPr>
        <w:overflowPunct/>
        <w:autoSpaceDE/>
        <w:autoSpaceDN/>
        <w:adjustRightInd/>
        <w:spacing w:line="240" w:lineRule="auto"/>
        <w:textAlignment w:val="auto"/>
        <w:rPr>
          <w:szCs w:val="24"/>
        </w:rPr>
      </w:pPr>
      <w:r w:rsidRPr="00472086">
        <w:rPr>
          <w:szCs w:val="24"/>
        </w:rPr>
        <w:tab/>
        <w:t>CERTIFIED FOR PUBLICATION</w:t>
      </w:r>
    </w:p>
    <w:p w:rsidR="00472086" w:rsidRPr="00472086" w:rsidP="00472086" w14:paraId="2131F4AD" w14:textId="77777777">
      <w:pPr>
        <w:overflowPunct/>
        <w:autoSpaceDE/>
        <w:autoSpaceDN/>
        <w:adjustRightInd/>
        <w:spacing w:line="240" w:lineRule="auto"/>
        <w:textAlignment w:val="auto"/>
        <w:rPr>
          <w:szCs w:val="24"/>
        </w:rPr>
      </w:pPr>
    </w:p>
    <w:p w:rsidR="00472086" w:rsidRPr="00472086" w:rsidP="00472086" w14:paraId="14844C45" w14:textId="77777777">
      <w:pPr>
        <w:overflowPunct/>
        <w:autoSpaceDE/>
        <w:autoSpaceDN/>
        <w:adjustRightInd/>
        <w:spacing w:line="240" w:lineRule="auto"/>
        <w:textAlignment w:val="auto"/>
        <w:rPr>
          <w:szCs w:val="24"/>
        </w:rPr>
      </w:pPr>
      <w:r w:rsidRPr="00472086">
        <w:rPr>
          <w:szCs w:val="24"/>
        </w:rPr>
        <w:tab/>
      </w:r>
      <w:r w:rsidRPr="00472086">
        <w:rPr>
          <w:szCs w:val="24"/>
        </w:rPr>
        <w:tab/>
      </w:r>
      <w:r w:rsidRPr="00472086">
        <w:rPr>
          <w:szCs w:val="24"/>
        </w:rPr>
        <w:tab/>
      </w:r>
      <w:r w:rsidRPr="00472086">
        <w:rPr>
          <w:szCs w:val="24"/>
        </w:rPr>
        <w:tab/>
      </w:r>
      <w:r w:rsidRPr="00472086">
        <w:rPr>
          <w:szCs w:val="24"/>
        </w:rPr>
        <w:tab/>
      </w:r>
      <w:r w:rsidRPr="00472086">
        <w:rPr>
          <w:szCs w:val="24"/>
        </w:rPr>
        <w:tab/>
      </w:r>
      <w:r w:rsidRPr="00472086">
        <w:rPr>
          <w:szCs w:val="24"/>
        </w:rPr>
        <w:tab/>
      </w:r>
      <w:r w:rsidRPr="00472086">
        <w:rPr>
          <w:szCs w:val="24"/>
        </w:rPr>
        <w:tab/>
      </w:r>
      <w:r w:rsidRPr="00472086">
        <w:rPr>
          <w:szCs w:val="24"/>
          <w:u w:val="single"/>
        </w:rPr>
        <w:t xml:space="preserve">RAPHAEL                </w:t>
      </w:r>
      <w:r w:rsidRPr="00472086">
        <w:rPr>
          <w:szCs w:val="24"/>
          <w:u w:val="single"/>
        </w:rPr>
        <w:tab/>
      </w:r>
      <w:r w:rsidRPr="00472086">
        <w:rPr>
          <w:szCs w:val="24"/>
          <w:u w:val="single"/>
        </w:rPr>
        <w:tab/>
      </w:r>
    </w:p>
    <w:p w:rsidR="00472086" w:rsidRPr="00472086" w:rsidP="00472086" w14:paraId="326EA81E" w14:textId="77777777">
      <w:pPr>
        <w:overflowPunct/>
        <w:autoSpaceDE/>
        <w:autoSpaceDN/>
        <w:adjustRightInd/>
        <w:spacing w:line="240" w:lineRule="auto"/>
        <w:textAlignment w:val="auto"/>
        <w:rPr>
          <w:szCs w:val="24"/>
        </w:rPr>
      </w:pPr>
      <w:r w:rsidRPr="00472086">
        <w:rPr>
          <w:szCs w:val="24"/>
        </w:rPr>
        <w:tab/>
      </w:r>
      <w:r w:rsidRPr="00472086">
        <w:rPr>
          <w:szCs w:val="24"/>
        </w:rPr>
        <w:tab/>
      </w:r>
      <w:r w:rsidRPr="00472086">
        <w:rPr>
          <w:szCs w:val="24"/>
        </w:rPr>
        <w:tab/>
      </w:r>
      <w:r w:rsidRPr="00472086">
        <w:rPr>
          <w:szCs w:val="24"/>
        </w:rPr>
        <w:tab/>
      </w:r>
      <w:r w:rsidRPr="00472086">
        <w:rPr>
          <w:szCs w:val="24"/>
        </w:rPr>
        <w:tab/>
      </w:r>
      <w:r w:rsidRPr="00472086">
        <w:rPr>
          <w:szCs w:val="24"/>
        </w:rPr>
        <w:tab/>
      </w:r>
      <w:r w:rsidRPr="00472086">
        <w:rPr>
          <w:szCs w:val="24"/>
        </w:rPr>
        <w:tab/>
      </w:r>
      <w:r w:rsidRPr="00472086">
        <w:rPr>
          <w:szCs w:val="24"/>
        </w:rPr>
        <w:tab/>
      </w:r>
      <w:r w:rsidRPr="00472086">
        <w:rPr>
          <w:szCs w:val="24"/>
        </w:rPr>
        <w:tab/>
      </w:r>
      <w:r w:rsidRPr="00472086">
        <w:rPr>
          <w:szCs w:val="24"/>
        </w:rPr>
        <w:tab/>
      </w:r>
      <w:r w:rsidRPr="00472086">
        <w:rPr>
          <w:szCs w:val="24"/>
        </w:rPr>
        <w:tab/>
      </w:r>
      <w:r w:rsidRPr="00472086">
        <w:rPr>
          <w:szCs w:val="24"/>
        </w:rPr>
        <w:tab/>
        <w:t xml:space="preserve">        J.</w:t>
      </w:r>
    </w:p>
    <w:p w:rsidR="00472086" w:rsidRPr="00472086" w:rsidP="00472086" w14:paraId="5A345173" w14:textId="77777777">
      <w:pPr>
        <w:overflowPunct/>
        <w:autoSpaceDE/>
        <w:autoSpaceDN/>
        <w:adjustRightInd/>
        <w:spacing w:line="240" w:lineRule="auto"/>
        <w:textAlignment w:val="auto"/>
        <w:rPr>
          <w:szCs w:val="24"/>
        </w:rPr>
      </w:pPr>
      <w:r w:rsidRPr="00472086">
        <w:rPr>
          <w:szCs w:val="24"/>
        </w:rPr>
        <w:t>We concur:</w:t>
      </w:r>
    </w:p>
    <w:p w:rsidR="00472086" w:rsidRPr="00472086" w:rsidP="00472086" w14:paraId="24259EB7" w14:textId="77777777">
      <w:pPr>
        <w:overflowPunct/>
        <w:autoSpaceDE/>
        <w:autoSpaceDN/>
        <w:adjustRightInd/>
        <w:spacing w:line="240" w:lineRule="auto"/>
        <w:textAlignment w:val="auto"/>
        <w:rPr>
          <w:szCs w:val="24"/>
        </w:rPr>
      </w:pPr>
    </w:p>
    <w:p w:rsidR="00472086" w:rsidRPr="00472086" w:rsidP="00472086" w14:paraId="5246A893" w14:textId="77777777">
      <w:pPr>
        <w:overflowPunct/>
        <w:autoSpaceDE/>
        <w:autoSpaceDN/>
        <w:adjustRightInd/>
        <w:spacing w:line="240" w:lineRule="auto"/>
        <w:textAlignment w:val="auto"/>
        <w:rPr>
          <w:szCs w:val="24"/>
        </w:rPr>
      </w:pPr>
      <w:r w:rsidRPr="00472086">
        <w:rPr>
          <w:szCs w:val="24"/>
          <w:u w:val="single"/>
        </w:rPr>
        <w:t xml:space="preserve">MILLER        </w:t>
      </w:r>
      <w:r w:rsidRPr="00472086">
        <w:rPr>
          <w:szCs w:val="24"/>
          <w:u w:val="single"/>
        </w:rPr>
        <w:tab/>
      </w:r>
      <w:r w:rsidRPr="00472086">
        <w:rPr>
          <w:szCs w:val="24"/>
          <w:u w:val="single"/>
        </w:rPr>
        <w:tab/>
      </w:r>
      <w:r w:rsidRPr="00472086">
        <w:rPr>
          <w:szCs w:val="24"/>
          <w:u w:val="single"/>
        </w:rPr>
        <w:tab/>
      </w:r>
    </w:p>
    <w:p w:rsidR="00472086" w:rsidRPr="00472086" w:rsidP="00472086" w14:paraId="7BBDDDED" w14:textId="77777777">
      <w:pPr>
        <w:overflowPunct/>
        <w:autoSpaceDE/>
        <w:autoSpaceDN/>
        <w:adjustRightInd/>
        <w:spacing w:line="240" w:lineRule="auto"/>
        <w:textAlignment w:val="auto"/>
        <w:rPr>
          <w:szCs w:val="24"/>
        </w:rPr>
      </w:pPr>
      <w:r w:rsidRPr="00472086">
        <w:rPr>
          <w:szCs w:val="24"/>
        </w:rPr>
        <w:tab/>
      </w:r>
      <w:r w:rsidRPr="00472086">
        <w:rPr>
          <w:szCs w:val="24"/>
        </w:rPr>
        <w:tab/>
      </w:r>
      <w:r w:rsidRPr="00472086">
        <w:rPr>
          <w:szCs w:val="24"/>
        </w:rPr>
        <w:tab/>
        <w:t xml:space="preserve">   Acting P. J.</w:t>
      </w:r>
    </w:p>
    <w:p w:rsidR="00472086" w:rsidRPr="00472086" w:rsidP="00472086" w14:paraId="3DF7B4B9" w14:textId="77777777">
      <w:pPr>
        <w:overflowPunct/>
        <w:autoSpaceDE/>
        <w:autoSpaceDN/>
        <w:adjustRightInd/>
        <w:spacing w:line="240" w:lineRule="auto"/>
        <w:textAlignment w:val="auto"/>
        <w:rPr>
          <w:szCs w:val="24"/>
        </w:rPr>
      </w:pPr>
    </w:p>
    <w:p w:rsidR="00472086" w:rsidRPr="00472086" w:rsidP="00472086" w14:paraId="62DCFF23" w14:textId="77777777">
      <w:pPr>
        <w:overflowPunct/>
        <w:autoSpaceDE/>
        <w:autoSpaceDN/>
        <w:adjustRightInd/>
        <w:spacing w:line="240" w:lineRule="auto"/>
        <w:textAlignment w:val="auto"/>
        <w:rPr>
          <w:szCs w:val="24"/>
        </w:rPr>
      </w:pPr>
      <w:r w:rsidRPr="00472086">
        <w:rPr>
          <w:szCs w:val="24"/>
          <w:u w:val="single"/>
        </w:rPr>
        <w:t xml:space="preserve">FIELDS                      </w:t>
      </w:r>
      <w:r w:rsidRPr="00472086">
        <w:rPr>
          <w:szCs w:val="24"/>
          <w:u w:val="single"/>
        </w:rPr>
        <w:tab/>
      </w:r>
      <w:r w:rsidRPr="00472086">
        <w:rPr>
          <w:szCs w:val="24"/>
          <w:u w:val="single"/>
        </w:rPr>
        <w:tab/>
      </w:r>
    </w:p>
    <w:p w:rsidR="00472086" w:rsidRPr="00472086" w:rsidP="00472086" w14:paraId="5334CB10" w14:textId="77777777">
      <w:pPr>
        <w:overflowPunct/>
        <w:autoSpaceDE/>
        <w:autoSpaceDN/>
        <w:adjustRightInd/>
        <w:spacing w:line="240" w:lineRule="auto"/>
        <w:textAlignment w:val="auto"/>
        <w:rPr>
          <w:szCs w:val="24"/>
        </w:rPr>
      </w:pPr>
      <w:r w:rsidRPr="00472086">
        <w:rPr>
          <w:szCs w:val="24"/>
        </w:rPr>
        <w:tab/>
      </w:r>
      <w:r w:rsidRPr="00472086">
        <w:rPr>
          <w:szCs w:val="24"/>
        </w:rPr>
        <w:tab/>
      </w:r>
      <w:r w:rsidRPr="00472086">
        <w:rPr>
          <w:szCs w:val="24"/>
        </w:rPr>
        <w:tab/>
      </w:r>
      <w:r w:rsidRPr="00472086">
        <w:rPr>
          <w:szCs w:val="24"/>
        </w:rPr>
        <w:tab/>
        <w:t xml:space="preserve">        J.</w:t>
      </w:r>
    </w:p>
    <w:p w:rsidR="00472086" w:rsidRPr="00472086" w:rsidP="00472086" w14:paraId="2B5F0D7D" w14:textId="77777777">
      <w:pPr>
        <w:widowControl w:val="0"/>
        <w:tabs>
          <w:tab w:val="left" w:pos="720"/>
          <w:tab w:val="left" w:pos="3600"/>
          <w:tab w:val="left" w:pos="5040"/>
          <w:tab w:val="left" w:pos="5760"/>
        </w:tabs>
        <w:overflowPunct/>
        <w:spacing w:line="240" w:lineRule="auto"/>
        <w:textAlignment w:val="auto"/>
        <w:rPr>
          <w:sz w:val="24"/>
          <w:szCs w:val="24"/>
        </w:rPr>
      </w:pPr>
      <w:r w:rsidRPr="00472086">
        <w:rPr>
          <w:sz w:val="24"/>
          <w:szCs w:val="24"/>
        </w:rPr>
        <w:t xml:space="preserve">MAILING LIST FOR CASE: E082481  </w:t>
      </w:r>
    </w:p>
    <w:p w:rsidR="00472086" w:rsidRPr="00472086" w:rsidP="00472086" w14:paraId="789544BB" w14:textId="77777777">
      <w:pPr>
        <w:widowControl w:val="0"/>
        <w:tabs>
          <w:tab w:val="left" w:pos="720"/>
          <w:tab w:val="left" w:pos="3600"/>
          <w:tab w:val="left" w:pos="5040"/>
          <w:tab w:val="left" w:pos="5760"/>
        </w:tabs>
        <w:overflowPunct/>
        <w:spacing w:line="240" w:lineRule="auto"/>
        <w:textAlignment w:val="auto"/>
        <w:rPr>
          <w:sz w:val="24"/>
          <w:szCs w:val="24"/>
        </w:rPr>
      </w:pPr>
      <w:r w:rsidRPr="00472086">
        <w:rPr>
          <w:sz w:val="24"/>
          <w:szCs w:val="24"/>
        </w:rPr>
        <w:t xml:space="preserve">San Antonio Regional Hospital v. The Superior Court; Joseph Musharbash </w:t>
      </w:r>
    </w:p>
    <w:p w:rsidR="00472086" w:rsidRPr="00472086" w:rsidP="00472086" w14:paraId="117AAF59" w14:textId="77777777">
      <w:pPr>
        <w:widowControl w:val="0"/>
        <w:tabs>
          <w:tab w:val="left" w:pos="720"/>
          <w:tab w:val="left" w:pos="3600"/>
          <w:tab w:val="left" w:pos="5040"/>
          <w:tab w:val="left" w:pos="5760"/>
        </w:tabs>
        <w:overflowPunct/>
        <w:spacing w:line="240" w:lineRule="auto"/>
        <w:textAlignment w:val="auto"/>
        <w:rPr>
          <w:sz w:val="24"/>
          <w:szCs w:val="24"/>
        </w:rPr>
      </w:pPr>
    </w:p>
    <w:p w:rsidR="00472086" w:rsidRPr="00472086" w:rsidP="00472086" w14:paraId="2AA5B516" w14:textId="77777777">
      <w:pPr>
        <w:widowControl w:val="0"/>
        <w:tabs>
          <w:tab w:val="left" w:pos="720"/>
          <w:tab w:val="left" w:pos="3600"/>
          <w:tab w:val="left" w:pos="5040"/>
          <w:tab w:val="left" w:pos="5760"/>
        </w:tabs>
        <w:overflowPunct/>
        <w:spacing w:line="240" w:lineRule="auto"/>
        <w:textAlignment w:val="auto"/>
        <w:rPr>
          <w:sz w:val="24"/>
          <w:szCs w:val="24"/>
        </w:rPr>
      </w:pPr>
    </w:p>
    <w:p w:rsidR="00472086" w:rsidRPr="00472086" w:rsidP="00472086" w14:paraId="3220D8F8" w14:textId="77777777">
      <w:pPr>
        <w:widowControl w:val="0"/>
        <w:tabs>
          <w:tab w:val="left" w:pos="720"/>
          <w:tab w:val="left" w:pos="3600"/>
          <w:tab w:val="left" w:pos="5040"/>
          <w:tab w:val="left" w:pos="5760"/>
        </w:tabs>
        <w:overflowPunct/>
        <w:spacing w:line="240" w:lineRule="auto"/>
        <w:textAlignment w:val="auto"/>
        <w:rPr>
          <w:sz w:val="24"/>
          <w:szCs w:val="24"/>
        </w:rPr>
      </w:pPr>
      <w:r w:rsidRPr="00472086">
        <w:rPr>
          <w:sz w:val="24"/>
          <w:szCs w:val="24"/>
        </w:rPr>
        <w:t xml:space="preserve">        </w:t>
      </w:r>
    </w:p>
    <w:p w:rsidR="00472086" w:rsidRPr="00472086" w:rsidP="00472086" w14:paraId="313082FA" w14:textId="77777777">
      <w:pPr>
        <w:overflowPunct/>
        <w:spacing w:line="240" w:lineRule="auto"/>
        <w:textAlignment w:val="auto"/>
        <w:rPr>
          <w:sz w:val="24"/>
          <w:szCs w:val="24"/>
        </w:rPr>
      </w:pPr>
      <w:r w:rsidRPr="00472086">
        <w:rPr>
          <w:sz w:val="24"/>
          <w:szCs w:val="24"/>
        </w:rPr>
        <w:t>Superior Court Clerk</w:t>
      </w:r>
    </w:p>
    <w:p w:rsidR="00472086" w:rsidRPr="00472086" w:rsidP="00472086" w14:paraId="2D1D8557" w14:textId="77777777">
      <w:pPr>
        <w:overflowPunct/>
        <w:spacing w:line="240" w:lineRule="auto"/>
        <w:textAlignment w:val="auto"/>
        <w:rPr>
          <w:sz w:val="24"/>
          <w:szCs w:val="24"/>
        </w:rPr>
      </w:pPr>
      <w:r w:rsidRPr="00472086">
        <w:rPr>
          <w:sz w:val="24"/>
          <w:szCs w:val="24"/>
        </w:rPr>
        <w:t>San Bernardino County</w:t>
      </w:r>
    </w:p>
    <w:p w:rsidR="00472086" w:rsidRPr="00472086" w:rsidP="00472086" w14:paraId="6091303F" w14:textId="77777777">
      <w:pPr>
        <w:overflowPunct/>
        <w:spacing w:line="240" w:lineRule="auto"/>
        <w:textAlignment w:val="auto"/>
        <w:rPr>
          <w:sz w:val="24"/>
          <w:szCs w:val="24"/>
        </w:rPr>
      </w:pPr>
      <w:r w:rsidRPr="00472086">
        <w:rPr>
          <w:sz w:val="24"/>
          <w:szCs w:val="24"/>
        </w:rPr>
        <w:t>8303 N. Haven Avenue</w:t>
      </w:r>
    </w:p>
    <w:p w:rsidR="00472086" w:rsidRPr="00472086" w:rsidP="00472086" w14:paraId="3CF4D254" w14:textId="77777777">
      <w:pPr>
        <w:widowControl w:val="0"/>
        <w:tabs>
          <w:tab w:val="left" w:pos="720"/>
          <w:tab w:val="left" w:pos="3600"/>
          <w:tab w:val="left" w:pos="5040"/>
          <w:tab w:val="left" w:pos="5760"/>
        </w:tabs>
        <w:overflowPunct/>
        <w:spacing w:line="240" w:lineRule="auto"/>
        <w:textAlignment w:val="auto"/>
        <w:rPr>
          <w:sz w:val="24"/>
          <w:szCs w:val="24"/>
        </w:rPr>
      </w:pPr>
      <w:r w:rsidRPr="00472086">
        <w:rPr>
          <w:sz w:val="24"/>
          <w:szCs w:val="24"/>
        </w:rPr>
        <w:t>Rancho Cucamonga, CA 91730</w:t>
      </w:r>
    </w:p>
    <w:p w:rsidR="00472086" w:rsidRPr="00472086" w:rsidP="00472086" w14:paraId="1735BA82" w14:textId="77777777">
      <w:pPr>
        <w:widowControl w:val="0"/>
        <w:tabs>
          <w:tab w:val="left" w:pos="720"/>
          <w:tab w:val="left" w:pos="3600"/>
          <w:tab w:val="left" w:pos="5040"/>
          <w:tab w:val="left" w:pos="5760"/>
        </w:tabs>
        <w:overflowPunct/>
        <w:spacing w:line="240" w:lineRule="auto"/>
        <w:textAlignment w:val="auto"/>
        <w:rPr>
          <w:sz w:val="24"/>
          <w:szCs w:val="24"/>
        </w:rPr>
      </w:pPr>
    </w:p>
    <w:p w:rsidR="00472086" w:rsidRPr="00472086" w:rsidP="00472086" w14:paraId="0340C67A" w14:textId="77777777">
      <w:pPr>
        <w:widowControl w:val="0"/>
        <w:tabs>
          <w:tab w:val="left" w:pos="720"/>
          <w:tab w:val="left" w:pos="3600"/>
          <w:tab w:val="left" w:pos="5040"/>
          <w:tab w:val="left" w:pos="5760"/>
        </w:tabs>
        <w:overflowPunct/>
        <w:spacing w:line="240" w:lineRule="auto"/>
        <w:textAlignment w:val="auto"/>
        <w:rPr>
          <w:sz w:val="25"/>
          <w:szCs w:val="25"/>
        </w:rPr>
      </w:pPr>
    </w:p>
    <w:p w:rsidR="00472086" w:rsidRPr="00472086" w:rsidP="00472086" w14:paraId="670AE11A" w14:textId="77777777">
      <w:pPr>
        <w:widowControl w:val="0"/>
        <w:tabs>
          <w:tab w:val="left" w:pos="720"/>
          <w:tab w:val="left" w:pos="3600"/>
          <w:tab w:val="left" w:pos="5040"/>
          <w:tab w:val="left" w:pos="5760"/>
        </w:tabs>
        <w:overflowPunct/>
        <w:spacing w:line="240" w:lineRule="auto"/>
        <w:textAlignment w:val="auto"/>
        <w:rPr>
          <w:sz w:val="24"/>
          <w:szCs w:val="24"/>
        </w:rPr>
      </w:pPr>
      <w:r w:rsidRPr="00472086">
        <w:rPr>
          <w:sz w:val="24"/>
          <w:szCs w:val="24"/>
        </w:rPr>
        <w:t xml:space="preserve">Jason York Hoo Siu </w:t>
      </w:r>
    </w:p>
    <w:p w:rsidR="00472086" w:rsidRPr="00472086" w:rsidP="00472086" w14:paraId="276A97CA" w14:textId="77777777">
      <w:pPr>
        <w:widowControl w:val="0"/>
        <w:tabs>
          <w:tab w:val="left" w:pos="720"/>
          <w:tab w:val="left" w:pos="3600"/>
          <w:tab w:val="left" w:pos="5040"/>
          <w:tab w:val="left" w:pos="5760"/>
        </w:tabs>
        <w:overflowPunct/>
        <w:spacing w:line="240" w:lineRule="auto"/>
        <w:textAlignment w:val="auto"/>
        <w:rPr>
          <w:sz w:val="24"/>
          <w:szCs w:val="24"/>
        </w:rPr>
      </w:pPr>
      <w:r w:rsidRPr="00472086">
        <w:rPr>
          <w:sz w:val="24"/>
          <w:szCs w:val="24"/>
        </w:rPr>
        <w:t xml:space="preserve">Horvitz &amp; Levy LLP </w:t>
      </w:r>
    </w:p>
    <w:p w:rsidR="00472086" w:rsidRPr="00472086" w:rsidP="00472086" w14:paraId="3F4DD5BB" w14:textId="77777777">
      <w:pPr>
        <w:widowControl w:val="0"/>
        <w:tabs>
          <w:tab w:val="left" w:pos="720"/>
          <w:tab w:val="left" w:pos="3600"/>
          <w:tab w:val="left" w:pos="5040"/>
          <w:tab w:val="left" w:pos="5760"/>
        </w:tabs>
        <w:overflowPunct/>
        <w:spacing w:line="240" w:lineRule="auto"/>
        <w:textAlignment w:val="auto"/>
        <w:rPr>
          <w:sz w:val="24"/>
          <w:szCs w:val="24"/>
        </w:rPr>
      </w:pPr>
      <w:r w:rsidRPr="00472086">
        <w:rPr>
          <w:sz w:val="24"/>
          <w:szCs w:val="24"/>
        </w:rPr>
        <w:t xml:space="preserve">505 Sansome Street, Suite 1550 </w:t>
      </w:r>
    </w:p>
    <w:p w:rsidR="00472086" w:rsidRPr="00472086" w:rsidP="00472086" w14:paraId="280D4D5D" w14:textId="77777777">
      <w:pPr>
        <w:widowControl w:val="0"/>
        <w:tabs>
          <w:tab w:val="left" w:pos="720"/>
          <w:tab w:val="left" w:pos="3600"/>
          <w:tab w:val="left" w:pos="5040"/>
          <w:tab w:val="left" w:pos="5760"/>
        </w:tabs>
        <w:overflowPunct/>
        <w:spacing w:line="240" w:lineRule="auto"/>
        <w:textAlignment w:val="auto"/>
        <w:rPr>
          <w:sz w:val="24"/>
          <w:szCs w:val="24"/>
        </w:rPr>
      </w:pPr>
      <w:r w:rsidRPr="00472086">
        <w:rPr>
          <w:sz w:val="24"/>
          <w:szCs w:val="24"/>
        </w:rPr>
        <w:t xml:space="preserve">San Francisco, CA 94111-3149 </w:t>
      </w:r>
    </w:p>
    <w:p w:rsidR="00472086" w:rsidRPr="00472086" w:rsidP="00472086" w14:paraId="215DA7E1" w14:textId="77777777">
      <w:pPr>
        <w:widowControl w:val="0"/>
        <w:tabs>
          <w:tab w:val="left" w:pos="720"/>
          <w:tab w:val="left" w:pos="3600"/>
          <w:tab w:val="left" w:pos="5040"/>
          <w:tab w:val="left" w:pos="5760"/>
        </w:tabs>
        <w:overflowPunct/>
        <w:spacing w:line="240" w:lineRule="auto"/>
        <w:textAlignment w:val="auto"/>
        <w:rPr>
          <w:sz w:val="24"/>
          <w:szCs w:val="24"/>
        </w:rPr>
      </w:pPr>
    </w:p>
    <w:p w:rsidR="00472086" w:rsidRPr="00472086" w:rsidP="00472086" w14:paraId="20FE13F8" w14:textId="77777777">
      <w:pPr>
        <w:widowControl w:val="0"/>
        <w:tabs>
          <w:tab w:val="left" w:pos="720"/>
          <w:tab w:val="left" w:pos="3600"/>
          <w:tab w:val="left" w:pos="5040"/>
          <w:tab w:val="left" w:pos="5760"/>
        </w:tabs>
        <w:overflowPunct/>
        <w:spacing w:line="240" w:lineRule="auto"/>
        <w:textAlignment w:val="auto"/>
        <w:rPr>
          <w:sz w:val="24"/>
          <w:szCs w:val="24"/>
        </w:rPr>
      </w:pPr>
      <w:r w:rsidRPr="00472086">
        <w:rPr>
          <w:sz w:val="24"/>
          <w:szCs w:val="24"/>
        </w:rPr>
        <w:t xml:space="preserve">        </w:t>
      </w:r>
    </w:p>
    <w:p w:rsidR="00472086" w:rsidRPr="00472086" w:rsidP="00472086" w14:paraId="4E50D188" w14:textId="77777777">
      <w:pPr>
        <w:widowControl w:val="0"/>
        <w:tabs>
          <w:tab w:val="left" w:pos="720"/>
          <w:tab w:val="left" w:pos="3600"/>
          <w:tab w:val="left" w:pos="5040"/>
          <w:tab w:val="left" w:pos="5760"/>
        </w:tabs>
        <w:overflowPunct/>
        <w:spacing w:line="240" w:lineRule="auto"/>
        <w:textAlignment w:val="auto"/>
        <w:rPr>
          <w:sz w:val="24"/>
          <w:szCs w:val="24"/>
        </w:rPr>
      </w:pPr>
      <w:r w:rsidRPr="00472086">
        <w:rPr>
          <w:sz w:val="24"/>
          <w:szCs w:val="24"/>
        </w:rPr>
        <w:t xml:space="preserve">Scott Philip Dixler </w:t>
      </w:r>
    </w:p>
    <w:p w:rsidR="00472086" w:rsidRPr="00472086" w:rsidP="00472086" w14:paraId="0D833057" w14:textId="77777777">
      <w:pPr>
        <w:widowControl w:val="0"/>
        <w:tabs>
          <w:tab w:val="left" w:pos="720"/>
          <w:tab w:val="left" w:pos="3600"/>
          <w:tab w:val="left" w:pos="5040"/>
          <w:tab w:val="left" w:pos="5760"/>
        </w:tabs>
        <w:overflowPunct/>
        <w:spacing w:line="240" w:lineRule="auto"/>
        <w:textAlignment w:val="auto"/>
        <w:rPr>
          <w:sz w:val="24"/>
          <w:szCs w:val="24"/>
        </w:rPr>
      </w:pPr>
      <w:r w:rsidRPr="00472086">
        <w:rPr>
          <w:sz w:val="24"/>
          <w:szCs w:val="24"/>
        </w:rPr>
        <w:t xml:space="preserve">Horvitz &amp; Levy LLP </w:t>
      </w:r>
    </w:p>
    <w:p w:rsidR="00472086" w:rsidRPr="00472086" w:rsidP="00472086" w14:paraId="7CE23C97" w14:textId="77777777">
      <w:pPr>
        <w:widowControl w:val="0"/>
        <w:tabs>
          <w:tab w:val="left" w:pos="720"/>
          <w:tab w:val="left" w:pos="3600"/>
          <w:tab w:val="left" w:pos="5040"/>
          <w:tab w:val="left" w:pos="5760"/>
        </w:tabs>
        <w:overflowPunct/>
        <w:spacing w:line="240" w:lineRule="auto"/>
        <w:textAlignment w:val="auto"/>
        <w:rPr>
          <w:sz w:val="24"/>
          <w:szCs w:val="24"/>
        </w:rPr>
      </w:pPr>
      <w:r w:rsidRPr="00472086">
        <w:rPr>
          <w:sz w:val="24"/>
          <w:szCs w:val="24"/>
        </w:rPr>
        <w:t xml:space="preserve">3601 West Olive Avenue, 8th Floor </w:t>
      </w:r>
    </w:p>
    <w:p w:rsidR="00472086" w:rsidRPr="00472086" w:rsidP="00472086" w14:paraId="0E3B5589" w14:textId="77777777">
      <w:pPr>
        <w:widowControl w:val="0"/>
        <w:tabs>
          <w:tab w:val="left" w:pos="720"/>
          <w:tab w:val="left" w:pos="3600"/>
          <w:tab w:val="left" w:pos="5040"/>
          <w:tab w:val="left" w:pos="5760"/>
        </w:tabs>
        <w:overflowPunct/>
        <w:spacing w:line="240" w:lineRule="auto"/>
        <w:textAlignment w:val="auto"/>
        <w:rPr>
          <w:sz w:val="24"/>
          <w:szCs w:val="24"/>
        </w:rPr>
      </w:pPr>
      <w:r w:rsidRPr="00472086">
        <w:rPr>
          <w:sz w:val="24"/>
          <w:szCs w:val="24"/>
        </w:rPr>
        <w:t xml:space="preserve">Burbank, CA 91505 </w:t>
      </w:r>
    </w:p>
    <w:p w:rsidR="00472086" w:rsidRPr="00472086" w:rsidP="00472086" w14:paraId="154D12CF" w14:textId="77777777">
      <w:pPr>
        <w:widowControl w:val="0"/>
        <w:tabs>
          <w:tab w:val="left" w:pos="720"/>
          <w:tab w:val="left" w:pos="3600"/>
          <w:tab w:val="left" w:pos="5040"/>
          <w:tab w:val="left" w:pos="5760"/>
        </w:tabs>
        <w:overflowPunct/>
        <w:spacing w:line="240" w:lineRule="auto"/>
        <w:textAlignment w:val="auto"/>
        <w:rPr>
          <w:sz w:val="24"/>
          <w:szCs w:val="24"/>
        </w:rPr>
      </w:pPr>
    </w:p>
    <w:p w:rsidR="00472086" w:rsidRPr="00472086" w:rsidP="00472086" w14:paraId="48D73EDA" w14:textId="77777777">
      <w:pPr>
        <w:widowControl w:val="0"/>
        <w:tabs>
          <w:tab w:val="left" w:pos="720"/>
          <w:tab w:val="left" w:pos="3600"/>
          <w:tab w:val="left" w:pos="5040"/>
          <w:tab w:val="left" w:pos="5760"/>
        </w:tabs>
        <w:overflowPunct/>
        <w:spacing w:line="240" w:lineRule="auto"/>
        <w:textAlignment w:val="auto"/>
        <w:rPr>
          <w:sz w:val="24"/>
          <w:szCs w:val="24"/>
        </w:rPr>
      </w:pPr>
      <w:r w:rsidRPr="00472086">
        <w:rPr>
          <w:sz w:val="24"/>
          <w:szCs w:val="24"/>
        </w:rPr>
        <w:t xml:space="preserve">        </w:t>
      </w:r>
    </w:p>
    <w:p w:rsidR="00472086" w:rsidRPr="00472086" w:rsidP="00472086" w14:paraId="04931F1E" w14:textId="77777777">
      <w:pPr>
        <w:widowControl w:val="0"/>
        <w:tabs>
          <w:tab w:val="left" w:pos="720"/>
          <w:tab w:val="left" w:pos="3600"/>
          <w:tab w:val="left" w:pos="5040"/>
          <w:tab w:val="left" w:pos="5760"/>
        </w:tabs>
        <w:overflowPunct/>
        <w:spacing w:line="240" w:lineRule="auto"/>
        <w:textAlignment w:val="auto"/>
        <w:rPr>
          <w:sz w:val="24"/>
          <w:szCs w:val="24"/>
        </w:rPr>
      </w:pPr>
      <w:r w:rsidRPr="00472086">
        <w:rPr>
          <w:sz w:val="24"/>
          <w:szCs w:val="24"/>
        </w:rPr>
        <w:t xml:space="preserve">Jeffrey W. Grass </w:t>
      </w:r>
    </w:p>
    <w:p w:rsidR="00472086" w:rsidRPr="00472086" w:rsidP="00472086" w14:paraId="1B1D8749" w14:textId="77777777">
      <w:pPr>
        <w:widowControl w:val="0"/>
        <w:tabs>
          <w:tab w:val="left" w:pos="720"/>
          <w:tab w:val="left" w:pos="3600"/>
          <w:tab w:val="left" w:pos="5040"/>
          <w:tab w:val="left" w:pos="5760"/>
        </w:tabs>
        <w:overflowPunct/>
        <w:spacing w:line="240" w:lineRule="auto"/>
        <w:textAlignment w:val="auto"/>
        <w:rPr>
          <w:sz w:val="24"/>
          <w:szCs w:val="24"/>
        </w:rPr>
      </w:pPr>
      <w:r w:rsidRPr="00472086">
        <w:rPr>
          <w:sz w:val="24"/>
          <w:szCs w:val="24"/>
        </w:rPr>
        <w:t xml:space="preserve">Davis, Grass, Goldstein &amp; Finlay </w:t>
      </w:r>
    </w:p>
    <w:p w:rsidR="00472086" w:rsidRPr="00472086" w:rsidP="00472086" w14:paraId="56DBB6A3" w14:textId="77777777">
      <w:pPr>
        <w:widowControl w:val="0"/>
        <w:tabs>
          <w:tab w:val="left" w:pos="720"/>
          <w:tab w:val="left" w:pos="3600"/>
          <w:tab w:val="left" w:pos="5040"/>
          <w:tab w:val="left" w:pos="5760"/>
        </w:tabs>
        <w:overflowPunct/>
        <w:spacing w:line="240" w:lineRule="auto"/>
        <w:textAlignment w:val="auto"/>
        <w:rPr>
          <w:sz w:val="24"/>
          <w:szCs w:val="24"/>
        </w:rPr>
      </w:pPr>
      <w:r w:rsidRPr="00472086">
        <w:rPr>
          <w:sz w:val="24"/>
          <w:szCs w:val="24"/>
        </w:rPr>
        <w:t xml:space="preserve">3281 East Guasti Road, Suite 350 </w:t>
      </w:r>
    </w:p>
    <w:p w:rsidR="00472086" w:rsidRPr="00472086" w:rsidP="00472086" w14:paraId="45FA711E" w14:textId="77777777">
      <w:pPr>
        <w:widowControl w:val="0"/>
        <w:tabs>
          <w:tab w:val="left" w:pos="720"/>
          <w:tab w:val="left" w:pos="3600"/>
          <w:tab w:val="left" w:pos="5040"/>
          <w:tab w:val="left" w:pos="5760"/>
        </w:tabs>
        <w:overflowPunct/>
        <w:spacing w:line="240" w:lineRule="auto"/>
        <w:textAlignment w:val="auto"/>
        <w:rPr>
          <w:sz w:val="24"/>
          <w:szCs w:val="24"/>
        </w:rPr>
      </w:pPr>
      <w:r w:rsidRPr="00472086">
        <w:rPr>
          <w:sz w:val="24"/>
          <w:szCs w:val="24"/>
        </w:rPr>
        <w:t xml:space="preserve">Ontario, CA 91761 </w:t>
      </w:r>
    </w:p>
    <w:p w:rsidR="00472086" w:rsidRPr="00472086" w:rsidP="00472086" w14:paraId="33D266F0" w14:textId="77777777">
      <w:pPr>
        <w:widowControl w:val="0"/>
        <w:tabs>
          <w:tab w:val="left" w:pos="720"/>
          <w:tab w:val="left" w:pos="3600"/>
          <w:tab w:val="left" w:pos="5040"/>
          <w:tab w:val="left" w:pos="5760"/>
        </w:tabs>
        <w:overflowPunct/>
        <w:spacing w:line="240" w:lineRule="auto"/>
        <w:textAlignment w:val="auto"/>
        <w:rPr>
          <w:sz w:val="24"/>
          <w:szCs w:val="24"/>
        </w:rPr>
      </w:pPr>
    </w:p>
    <w:p w:rsidR="00472086" w:rsidRPr="00472086" w:rsidP="00472086" w14:paraId="29C3D344" w14:textId="77777777">
      <w:pPr>
        <w:widowControl w:val="0"/>
        <w:tabs>
          <w:tab w:val="left" w:pos="720"/>
          <w:tab w:val="left" w:pos="3600"/>
          <w:tab w:val="left" w:pos="5040"/>
          <w:tab w:val="left" w:pos="5760"/>
        </w:tabs>
        <w:overflowPunct/>
        <w:spacing w:line="240" w:lineRule="auto"/>
        <w:textAlignment w:val="auto"/>
        <w:rPr>
          <w:sz w:val="24"/>
          <w:szCs w:val="24"/>
        </w:rPr>
      </w:pPr>
      <w:r w:rsidRPr="00472086">
        <w:rPr>
          <w:sz w:val="24"/>
          <w:szCs w:val="24"/>
        </w:rPr>
        <w:t xml:space="preserve">        </w:t>
      </w:r>
    </w:p>
    <w:p w:rsidR="00472086" w:rsidRPr="00472086" w:rsidP="00472086" w14:paraId="588C9585" w14:textId="77777777">
      <w:pPr>
        <w:widowControl w:val="0"/>
        <w:tabs>
          <w:tab w:val="left" w:pos="720"/>
          <w:tab w:val="left" w:pos="3600"/>
          <w:tab w:val="left" w:pos="5040"/>
          <w:tab w:val="left" w:pos="5760"/>
        </w:tabs>
        <w:overflowPunct/>
        <w:spacing w:line="240" w:lineRule="auto"/>
        <w:textAlignment w:val="auto"/>
        <w:rPr>
          <w:sz w:val="24"/>
          <w:szCs w:val="24"/>
        </w:rPr>
      </w:pPr>
      <w:r w:rsidRPr="00472086">
        <w:rPr>
          <w:sz w:val="24"/>
          <w:szCs w:val="24"/>
        </w:rPr>
        <w:t xml:space="preserve">Evelin Duenas </w:t>
      </w:r>
    </w:p>
    <w:p w:rsidR="00472086" w:rsidRPr="00472086" w:rsidP="00472086" w14:paraId="2450E38A" w14:textId="77777777">
      <w:pPr>
        <w:widowControl w:val="0"/>
        <w:tabs>
          <w:tab w:val="left" w:pos="720"/>
          <w:tab w:val="left" w:pos="3600"/>
          <w:tab w:val="left" w:pos="5040"/>
          <w:tab w:val="left" w:pos="5760"/>
        </w:tabs>
        <w:overflowPunct/>
        <w:spacing w:line="240" w:lineRule="auto"/>
        <w:textAlignment w:val="auto"/>
        <w:rPr>
          <w:sz w:val="24"/>
          <w:szCs w:val="24"/>
        </w:rPr>
      </w:pPr>
      <w:r w:rsidRPr="00472086">
        <w:rPr>
          <w:sz w:val="24"/>
          <w:szCs w:val="24"/>
        </w:rPr>
        <w:t xml:space="preserve">Davis, Grass, Goldstein &amp; Finlay </w:t>
      </w:r>
    </w:p>
    <w:p w:rsidR="00472086" w:rsidRPr="00472086" w:rsidP="00472086" w14:paraId="4E35DEE7" w14:textId="77777777">
      <w:pPr>
        <w:widowControl w:val="0"/>
        <w:tabs>
          <w:tab w:val="left" w:pos="720"/>
          <w:tab w:val="left" w:pos="3600"/>
          <w:tab w:val="left" w:pos="5040"/>
          <w:tab w:val="left" w:pos="5760"/>
        </w:tabs>
        <w:overflowPunct/>
        <w:spacing w:line="240" w:lineRule="auto"/>
        <w:textAlignment w:val="auto"/>
        <w:rPr>
          <w:sz w:val="24"/>
          <w:szCs w:val="24"/>
        </w:rPr>
      </w:pPr>
      <w:r w:rsidRPr="00472086">
        <w:rPr>
          <w:sz w:val="24"/>
          <w:szCs w:val="24"/>
        </w:rPr>
        <w:t xml:space="preserve">3281 East Guasti Road, Suite 350 </w:t>
      </w:r>
    </w:p>
    <w:p w:rsidR="00472086" w:rsidRPr="00472086" w:rsidP="00472086" w14:paraId="03B51F7C" w14:textId="77777777">
      <w:pPr>
        <w:widowControl w:val="0"/>
        <w:tabs>
          <w:tab w:val="left" w:pos="720"/>
          <w:tab w:val="left" w:pos="3600"/>
          <w:tab w:val="left" w:pos="5040"/>
          <w:tab w:val="left" w:pos="5760"/>
        </w:tabs>
        <w:overflowPunct/>
        <w:spacing w:line="240" w:lineRule="auto"/>
        <w:textAlignment w:val="auto"/>
        <w:rPr>
          <w:sz w:val="24"/>
          <w:szCs w:val="24"/>
        </w:rPr>
      </w:pPr>
      <w:r w:rsidRPr="00472086">
        <w:rPr>
          <w:sz w:val="24"/>
          <w:szCs w:val="24"/>
        </w:rPr>
        <w:t xml:space="preserve">Ontario, CA 91761 </w:t>
      </w:r>
    </w:p>
    <w:p w:rsidR="00472086" w:rsidRPr="00472086" w:rsidP="00472086" w14:paraId="56858A2C" w14:textId="77777777">
      <w:pPr>
        <w:widowControl w:val="0"/>
        <w:tabs>
          <w:tab w:val="left" w:pos="720"/>
          <w:tab w:val="left" w:pos="3600"/>
          <w:tab w:val="left" w:pos="5040"/>
          <w:tab w:val="left" w:pos="5760"/>
        </w:tabs>
        <w:overflowPunct/>
        <w:spacing w:line="240" w:lineRule="auto"/>
        <w:textAlignment w:val="auto"/>
        <w:rPr>
          <w:sz w:val="24"/>
          <w:szCs w:val="24"/>
        </w:rPr>
      </w:pPr>
    </w:p>
    <w:p w:rsidR="00472086" w:rsidRPr="00472086" w:rsidP="00472086" w14:paraId="5C12A7AE" w14:textId="77777777">
      <w:pPr>
        <w:widowControl w:val="0"/>
        <w:tabs>
          <w:tab w:val="left" w:pos="720"/>
          <w:tab w:val="left" w:pos="3600"/>
          <w:tab w:val="left" w:pos="5040"/>
          <w:tab w:val="left" w:pos="5760"/>
        </w:tabs>
        <w:overflowPunct/>
        <w:spacing w:line="240" w:lineRule="auto"/>
        <w:textAlignment w:val="auto"/>
        <w:rPr>
          <w:sz w:val="24"/>
          <w:szCs w:val="24"/>
        </w:rPr>
      </w:pPr>
      <w:r w:rsidRPr="00472086">
        <w:rPr>
          <w:sz w:val="24"/>
          <w:szCs w:val="24"/>
        </w:rPr>
        <w:t xml:space="preserve">        </w:t>
      </w:r>
    </w:p>
    <w:p w:rsidR="00472086" w:rsidRPr="00472086" w:rsidP="00472086" w14:paraId="52B7950D" w14:textId="77777777">
      <w:pPr>
        <w:widowControl w:val="0"/>
        <w:tabs>
          <w:tab w:val="left" w:pos="720"/>
          <w:tab w:val="left" w:pos="3600"/>
          <w:tab w:val="left" w:pos="5040"/>
          <w:tab w:val="left" w:pos="5760"/>
        </w:tabs>
        <w:overflowPunct/>
        <w:spacing w:line="240" w:lineRule="auto"/>
        <w:textAlignment w:val="auto"/>
        <w:rPr>
          <w:sz w:val="24"/>
          <w:szCs w:val="24"/>
        </w:rPr>
      </w:pPr>
      <w:r w:rsidRPr="00472086">
        <w:rPr>
          <w:sz w:val="24"/>
          <w:szCs w:val="24"/>
        </w:rPr>
        <w:t xml:space="preserve">Steven Farrell Calderwood </w:t>
      </w:r>
    </w:p>
    <w:p w:rsidR="00472086" w:rsidRPr="00472086" w:rsidP="00472086" w14:paraId="67DE0191" w14:textId="77777777">
      <w:pPr>
        <w:widowControl w:val="0"/>
        <w:tabs>
          <w:tab w:val="left" w:pos="720"/>
          <w:tab w:val="left" w:pos="3600"/>
          <w:tab w:val="left" w:pos="5040"/>
          <w:tab w:val="left" w:pos="5760"/>
        </w:tabs>
        <w:overflowPunct/>
        <w:spacing w:line="240" w:lineRule="auto"/>
        <w:textAlignment w:val="auto"/>
        <w:rPr>
          <w:sz w:val="24"/>
          <w:szCs w:val="24"/>
        </w:rPr>
      </w:pPr>
      <w:r w:rsidRPr="00472086">
        <w:rPr>
          <w:sz w:val="24"/>
          <w:szCs w:val="24"/>
        </w:rPr>
        <w:t xml:space="preserve">Calderwood Law Group </w:t>
      </w:r>
    </w:p>
    <w:p w:rsidR="00472086" w:rsidRPr="00472086" w:rsidP="00472086" w14:paraId="4AEEFC74" w14:textId="77777777">
      <w:pPr>
        <w:widowControl w:val="0"/>
        <w:tabs>
          <w:tab w:val="left" w:pos="720"/>
          <w:tab w:val="left" w:pos="3600"/>
          <w:tab w:val="left" w:pos="5040"/>
          <w:tab w:val="left" w:pos="5760"/>
        </w:tabs>
        <w:overflowPunct/>
        <w:spacing w:line="240" w:lineRule="auto"/>
        <w:textAlignment w:val="auto"/>
        <w:rPr>
          <w:sz w:val="24"/>
          <w:szCs w:val="24"/>
        </w:rPr>
      </w:pPr>
      <w:r w:rsidRPr="00472086">
        <w:rPr>
          <w:sz w:val="24"/>
          <w:szCs w:val="24"/>
        </w:rPr>
        <w:t xml:space="preserve">P.O. Box 1128 </w:t>
      </w:r>
    </w:p>
    <w:p w:rsidR="00472086" w:rsidRPr="00472086" w:rsidP="00472086" w14:paraId="4D57D3BE" w14:textId="77777777">
      <w:pPr>
        <w:widowControl w:val="0"/>
        <w:tabs>
          <w:tab w:val="left" w:pos="720"/>
          <w:tab w:val="left" w:pos="3600"/>
          <w:tab w:val="left" w:pos="5040"/>
          <w:tab w:val="left" w:pos="5760"/>
        </w:tabs>
        <w:overflowPunct/>
        <w:spacing w:line="240" w:lineRule="auto"/>
        <w:textAlignment w:val="auto"/>
        <w:rPr>
          <w:sz w:val="24"/>
          <w:szCs w:val="24"/>
        </w:rPr>
      </w:pPr>
      <w:r w:rsidRPr="00472086">
        <w:rPr>
          <w:sz w:val="24"/>
          <w:szCs w:val="24"/>
        </w:rPr>
        <w:t xml:space="preserve">Yorba Linda, CA 92885-1128 </w:t>
      </w:r>
    </w:p>
    <w:p w:rsidR="00472086" w:rsidRPr="00472086" w:rsidP="00472086" w14:paraId="3D63058D" w14:textId="77777777">
      <w:pPr>
        <w:widowControl w:val="0"/>
        <w:tabs>
          <w:tab w:val="left" w:pos="720"/>
          <w:tab w:val="left" w:pos="3600"/>
          <w:tab w:val="left" w:pos="5040"/>
          <w:tab w:val="left" w:pos="5760"/>
        </w:tabs>
        <w:overflowPunct/>
        <w:spacing w:line="240" w:lineRule="auto"/>
        <w:textAlignment w:val="auto"/>
        <w:rPr>
          <w:sz w:val="24"/>
          <w:szCs w:val="24"/>
        </w:rPr>
      </w:pPr>
    </w:p>
    <w:p w:rsidR="00472086" w:rsidRPr="00472086" w:rsidP="00472086" w14:paraId="1AD8D0C9" w14:textId="77777777">
      <w:pPr>
        <w:widowControl w:val="0"/>
        <w:tabs>
          <w:tab w:val="left" w:pos="720"/>
          <w:tab w:val="left" w:pos="3600"/>
          <w:tab w:val="left" w:pos="5040"/>
          <w:tab w:val="left" w:pos="5760"/>
        </w:tabs>
        <w:overflowPunct/>
        <w:spacing w:line="240" w:lineRule="auto"/>
        <w:textAlignment w:val="auto"/>
        <w:rPr>
          <w:sz w:val="24"/>
          <w:szCs w:val="24"/>
        </w:rPr>
      </w:pPr>
      <w:r w:rsidRPr="00472086">
        <w:rPr>
          <w:sz w:val="24"/>
          <w:szCs w:val="24"/>
        </w:rPr>
        <w:t xml:space="preserve"> </w:t>
      </w:r>
    </w:p>
    <w:p w:rsidR="00472086" w:rsidRPr="00472086" w:rsidP="00472086" w14:paraId="0ACE6B57" w14:textId="77777777">
      <w:pPr>
        <w:widowControl w:val="0"/>
        <w:tabs>
          <w:tab w:val="left" w:pos="720"/>
          <w:tab w:val="left" w:pos="3600"/>
          <w:tab w:val="left" w:pos="5040"/>
          <w:tab w:val="left" w:pos="5760"/>
        </w:tabs>
        <w:overflowPunct/>
        <w:spacing w:line="240" w:lineRule="auto"/>
        <w:textAlignment w:val="auto"/>
        <w:rPr>
          <w:sz w:val="24"/>
          <w:szCs w:val="24"/>
        </w:rPr>
      </w:pPr>
      <w:r w:rsidRPr="00472086">
        <w:rPr>
          <w:sz w:val="24"/>
          <w:szCs w:val="24"/>
        </w:rPr>
        <w:t xml:space="preserve"> </w:t>
      </w:r>
    </w:p>
    <w:p w:rsidR="00472086" w:rsidRPr="00472086" w:rsidP="00472086" w14:paraId="2BF8A48D" w14:textId="77777777">
      <w:pPr>
        <w:widowControl w:val="0"/>
        <w:tabs>
          <w:tab w:val="left" w:pos="720"/>
          <w:tab w:val="left" w:pos="3600"/>
          <w:tab w:val="left" w:pos="5040"/>
          <w:tab w:val="left" w:pos="5760"/>
        </w:tabs>
        <w:overflowPunct/>
        <w:spacing w:line="240" w:lineRule="auto"/>
        <w:textAlignment w:val="auto"/>
        <w:rPr>
          <w:sz w:val="24"/>
          <w:szCs w:val="24"/>
        </w:rPr>
      </w:pPr>
    </w:p>
    <w:p w:rsidR="00F33BDD" w:rsidRPr="00F33BDD" w:rsidP="00F33BDD" w14:paraId="6FAC286F" w14:textId="77777777"/>
    <w:sectPr w:rsidSect="00472086">
      <w:footerReference w:type="even" r:id="rId8"/>
      <w:footerReference w:type="default" r:id="rId9"/>
      <w:pgSz w:w="12240" w:h="15840"/>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17CF" w:rsidP="00445F89" w14:paraId="7FF0126B" w14:textId="0858823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72086">
      <w:rPr>
        <w:rStyle w:val="PageNumber"/>
        <w:noProof/>
      </w:rPr>
      <w:t>10</w:t>
    </w:r>
    <w:r>
      <w:rPr>
        <w:rStyle w:val="PageNumber"/>
      </w:rPr>
      <w:fldChar w:fldCharType="end"/>
    </w:r>
  </w:p>
  <w:p w:rsidR="002D17CF" w14:paraId="27B91FA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17CF" w:rsidP="00445F89" w14:paraId="37FF89B5" w14:textId="3EE519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2D17CF" w14:paraId="3E4C60F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6621" w:rsidP="00753AD5" w14:paraId="7102580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46621" w14:paraId="01F7171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6621" w14:paraId="621D1C87" w14:textId="77777777">
    <w:pPr>
      <w:pStyle w:val="Footer"/>
      <w:jc w:val="center"/>
    </w:pPr>
    <w:r>
      <w:fldChar w:fldCharType="begin"/>
    </w:r>
    <w:r>
      <w:instrText xml:space="preserve"> PAGE   \* MERGEFORMAT </w:instrText>
    </w:r>
    <w:r>
      <w:fldChar w:fldCharType="separate"/>
    </w:r>
    <w:r>
      <w:rPr>
        <w:noProof/>
      </w:rPr>
      <w:t>2</w:t>
    </w:r>
    <w:r>
      <w:fldChar w:fldCharType="end"/>
    </w:r>
  </w:p>
  <w:p w:rsidR="00D46621" w14:paraId="11DC492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178FA" w:rsidP="002C6E61" w14:paraId="6CE7C591" w14:textId="77777777">
      <w:pPr>
        <w:spacing w:line="240" w:lineRule="auto"/>
      </w:pPr>
      <w:r>
        <w:separator/>
      </w:r>
    </w:p>
  </w:footnote>
  <w:footnote w:type="continuationSeparator" w:id="1">
    <w:p w:rsidR="005178FA" w:rsidP="002C6E61" w14:paraId="342F7263" w14:textId="77777777">
      <w:pPr>
        <w:spacing w:line="240" w:lineRule="auto"/>
      </w:pPr>
      <w:r>
        <w:continuationSeparator/>
      </w:r>
    </w:p>
    <w:p w:rsidR="005178FA" w:rsidRPr="002D17CF" w:rsidP="002C6E61" w14:paraId="1B4418D5" w14:textId="77777777">
      <w:pPr>
        <w:spacing w:line="240" w:lineRule="auto"/>
        <w:rPr>
          <w:i/>
          <w:sz w:val="20"/>
        </w:rPr>
      </w:pPr>
      <w:r>
        <w:rPr>
          <w:i/>
          <w:sz w:val="20"/>
        </w:rPr>
        <w:t>[footnote continued from previous page]</w:t>
      </w:r>
    </w:p>
    <w:p w:rsidR="005178FA" w:rsidRPr="002D17CF" w:rsidP="002C6E61" w14:paraId="1E796731" w14:textId="77777777">
      <w:pPr>
        <w:spacing w:line="240" w:lineRule="auto"/>
        <w:rPr>
          <w:i/>
          <w:sz w:val="20"/>
        </w:rPr>
      </w:pPr>
      <w:r>
        <w:rPr>
          <w:i/>
          <w:sz w:val="20"/>
        </w:rPr>
        <w:t>[footnote continued from previous page]</w:t>
      </w:r>
    </w:p>
  </w:footnote>
  <w:footnote w:type="continuationNotice" w:id="2">
    <w:p w:rsidR="005178FA" w:rsidRPr="002D17CF" w:rsidP="002D17CF" w14:paraId="549499FD" w14:textId="77777777">
      <w:pPr>
        <w:pStyle w:val="Footer"/>
        <w:jc w:val="right"/>
        <w:rPr>
          <w:i/>
          <w:sz w:val="20"/>
        </w:rPr>
      </w:pPr>
      <w:r>
        <w:rPr>
          <w:i/>
          <w:sz w:val="20"/>
        </w:rPr>
        <w:t>[footnote continued on next page]</w:t>
      </w:r>
    </w:p>
  </w:footnote>
  <w:footnote w:id="3">
    <w:p w:rsidR="0047415F" w:rsidP="00C760B4" w14:paraId="68BD88B6" w14:textId="7EAA03EC">
      <w:pPr>
        <w:pStyle w:val="FootnoteText"/>
        <w:ind w:firstLine="720"/>
      </w:pPr>
      <w:r w:rsidRPr="00C760B4">
        <w:rPr>
          <w:rStyle w:val="FootnoteReference"/>
          <w:sz w:val="26"/>
          <w:szCs w:val="26"/>
          <w:vertAlign w:val="superscript"/>
        </w:rPr>
        <w:footnoteRef/>
      </w:r>
      <w:r>
        <w:t xml:space="preserve"> </w:t>
      </w:r>
      <w:r w:rsidR="00C760B4">
        <w:t xml:space="preserve"> </w:t>
      </w:r>
      <w:r w:rsidR="00777B5F">
        <w:t>Earlier,</w:t>
      </w:r>
      <w:r w:rsidR="002847D0">
        <w:t xml:space="preserve"> including in his opposition to the hospital’s motion for summary judgment,</w:t>
      </w:r>
      <w:r w:rsidR="00777B5F">
        <w:t xml:space="preserve"> Musharbash </w:t>
      </w:r>
      <w:r w:rsidR="002B2B73">
        <w:t>took the position that the emergency room</w:t>
      </w:r>
      <w:r w:rsidR="00930762">
        <w:t xml:space="preserve"> care</w:t>
      </w:r>
      <w:r w:rsidR="002B2B73">
        <w:t xml:space="preserve">, too, was inadequate.  </w:t>
      </w:r>
    </w:p>
  </w:footnote>
  <w:footnote w:id="4">
    <w:p w:rsidR="008F4AE8" w:rsidP="001C6661" w14:paraId="7CA07741" w14:textId="3E07CBC5">
      <w:pPr>
        <w:pStyle w:val="FootnoteText"/>
        <w:ind w:firstLine="720"/>
      </w:pPr>
      <w:r w:rsidRPr="001C6661">
        <w:rPr>
          <w:rStyle w:val="FootnoteReference"/>
          <w:sz w:val="26"/>
          <w:szCs w:val="26"/>
          <w:vertAlign w:val="superscript"/>
        </w:rPr>
        <w:footnoteRef/>
      </w:r>
      <w:r>
        <w:t xml:space="preserve"> </w:t>
      </w:r>
      <w:r w:rsidR="001C6661">
        <w:t xml:space="preserve"> </w:t>
      </w:r>
      <w:r>
        <w:t>When we issued our order to show cause, Musharbash had not yet clarified he no longer asserts any claims based on treatment provided in the hospital’s emergency room.</w:t>
      </w:r>
    </w:p>
  </w:footnote>
  <w:footnote w:id="5">
    <w:p w:rsidR="00B8187C" w:rsidP="001C6661" w14:paraId="529D827F" w14:textId="5B6564E7">
      <w:pPr>
        <w:pStyle w:val="FootnoteText"/>
        <w:ind w:firstLine="720"/>
      </w:pPr>
      <w:r w:rsidRPr="001C6661">
        <w:rPr>
          <w:rStyle w:val="FootnoteReference"/>
          <w:sz w:val="26"/>
          <w:szCs w:val="26"/>
          <w:vertAlign w:val="superscript"/>
        </w:rPr>
        <w:footnoteRef/>
      </w:r>
      <w:r>
        <w:t xml:space="preserve"> </w:t>
      </w:r>
      <w:r w:rsidR="001C6661">
        <w:t xml:space="preserve"> </w:t>
      </w:r>
      <w:r>
        <w:t>In his opposition to the hospital’s separate statement, Musharbash asserts nurses are obligated to perform other tasks, including coordinating care and carrying out orders, but he does not expressly dispute the hospital’s proffered fact that nurses “do not make treatment decisions.”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footnotePr>
    <w:footnote w:id="0"/>
    <w:footnote w:id="1"/>
    <w:footnote w:id="2"/>
  </w:foot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7CF"/>
    <w:rsid w:val="00000F8E"/>
    <w:rsid w:val="00004E45"/>
    <w:rsid w:val="00006CB6"/>
    <w:rsid w:val="00007D15"/>
    <w:rsid w:val="00007EDD"/>
    <w:rsid w:val="000102BE"/>
    <w:rsid w:val="00011349"/>
    <w:rsid w:val="00014943"/>
    <w:rsid w:val="00015890"/>
    <w:rsid w:val="00020060"/>
    <w:rsid w:val="000202BC"/>
    <w:rsid w:val="00023305"/>
    <w:rsid w:val="0003346B"/>
    <w:rsid w:val="00034C50"/>
    <w:rsid w:val="00041912"/>
    <w:rsid w:val="00042638"/>
    <w:rsid w:val="00042EA3"/>
    <w:rsid w:val="000471B4"/>
    <w:rsid w:val="0005069F"/>
    <w:rsid w:val="00054D78"/>
    <w:rsid w:val="00055B56"/>
    <w:rsid w:val="00056137"/>
    <w:rsid w:val="00064481"/>
    <w:rsid w:val="00064732"/>
    <w:rsid w:val="000660B7"/>
    <w:rsid w:val="00067995"/>
    <w:rsid w:val="00073346"/>
    <w:rsid w:val="00074AF9"/>
    <w:rsid w:val="00080877"/>
    <w:rsid w:val="00081BBD"/>
    <w:rsid w:val="00090FB1"/>
    <w:rsid w:val="00093CED"/>
    <w:rsid w:val="000A2263"/>
    <w:rsid w:val="000A420D"/>
    <w:rsid w:val="000B3CBE"/>
    <w:rsid w:val="000C1080"/>
    <w:rsid w:val="000C247F"/>
    <w:rsid w:val="000C538D"/>
    <w:rsid w:val="000C6D0C"/>
    <w:rsid w:val="000D46FD"/>
    <w:rsid w:val="000E04B4"/>
    <w:rsid w:val="000E5466"/>
    <w:rsid w:val="000E7385"/>
    <w:rsid w:val="000F2855"/>
    <w:rsid w:val="000F32AE"/>
    <w:rsid w:val="000F4263"/>
    <w:rsid w:val="000F453A"/>
    <w:rsid w:val="0010175E"/>
    <w:rsid w:val="00104567"/>
    <w:rsid w:val="001048E3"/>
    <w:rsid w:val="001056D9"/>
    <w:rsid w:val="00111A9C"/>
    <w:rsid w:val="00111E8D"/>
    <w:rsid w:val="00112347"/>
    <w:rsid w:val="00113310"/>
    <w:rsid w:val="00114636"/>
    <w:rsid w:val="0012071A"/>
    <w:rsid w:val="00120859"/>
    <w:rsid w:val="001219E1"/>
    <w:rsid w:val="0012221D"/>
    <w:rsid w:val="00132658"/>
    <w:rsid w:val="00135318"/>
    <w:rsid w:val="001360E6"/>
    <w:rsid w:val="00136363"/>
    <w:rsid w:val="00141A36"/>
    <w:rsid w:val="001426EA"/>
    <w:rsid w:val="00145E00"/>
    <w:rsid w:val="0015056A"/>
    <w:rsid w:val="00153109"/>
    <w:rsid w:val="001537EF"/>
    <w:rsid w:val="001550DB"/>
    <w:rsid w:val="00157EFB"/>
    <w:rsid w:val="00160038"/>
    <w:rsid w:val="001613FF"/>
    <w:rsid w:val="00162299"/>
    <w:rsid w:val="00163EEF"/>
    <w:rsid w:val="00165D5E"/>
    <w:rsid w:val="00166F57"/>
    <w:rsid w:val="00170784"/>
    <w:rsid w:val="00170D9F"/>
    <w:rsid w:val="0018395D"/>
    <w:rsid w:val="001843D7"/>
    <w:rsid w:val="00185E1B"/>
    <w:rsid w:val="00187A13"/>
    <w:rsid w:val="00190CFD"/>
    <w:rsid w:val="00193B3B"/>
    <w:rsid w:val="001A4134"/>
    <w:rsid w:val="001A6579"/>
    <w:rsid w:val="001B1FB9"/>
    <w:rsid w:val="001B301F"/>
    <w:rsid w:val="001B4B6C"/>
    <w:rsid w:val="001B56AA"/>
    <w:rsid w:val="001C3DA4"/>
    <w:rsid w:val="001C4130"/>
    <w:rsid w:val="001C5E57"/>
    <w:rsid w:val="001C6661"/>
    <w:rsid w:val="001D21CA"/>
    <w:rsid w:val="001D2515"/>
    <w:rsid w:val="001D79D3"/>
    <w:rsid w:val="001E499D"/>
    <w:rsid w:val="001F3AF4"/>
    <w:rsid w:val="001F473F"/>
    <w:rsid w:val="001F5D53"/>
    <w:rsid w:val="001F6B82"/>
    <w:rsid w:val="00203570"/>
    <w:rsid w:val="00204C0C"/>
    <w:rsid w:val="00205EFF"/>
    <w:rsid w:val="002078FA"/>
    <w:rsid w:val="0021360A"/>
    <w:rsid w:val="00215009"/>
    <w:rsid w:val="00215C11"/>
    <w:rsid w:val="002331F2"/>
    <w:rsid w:val="00235DC0"/>
    <w:rsid w:val="00236708"/>
    <w:rsid w:val="002468CC"/>
    <w:rsid w:val="00246C53"/>
    <w:rsid w:val="0025393D"/>
    <w:rsid w:val="002541E5"/>
    <w:rsid w:val="002564FB"/>
    <w:rsid w:val="0025772B"/>
    <w:rsid w:val="002579D7"/>
    <w:rsid w:val="002623C5"/>
    <w:rsid w:val="0026674C"/>
    <w:rsid w:val="00267A8A"/>
    <w:rsid w:val="002728F9"/>
    <w:rsid w:val="002747FD"/>
    <w:rsid w:val="00274824"/>
    <w:rsid w:val="00276E1A"/>
    <w:rsid w:val="0028187B"/>
    <w:rsid w:val="002847D0"/>
    <w:rsid w:val="00285830"/>
    <w:rsid w:val="00287055"/>
    <w:rsid w:val="002902A3"/>
    <w:rsid w:val="0029178B"/>
    <w:rsid w:val="0029187C"/>
    <w:rsid w:val="00292C2C"/>
    <w:rsid w:val="002932C9"/>
    <w:rsid w:val="00293F5E"/>
    <w:rsid w:val="002960DB"/>
    <w:rsid w:val="00296820"/>
    <w:rsid w:val="00297FB0"/>
    <w:rsid w:val="002A24EB"/>
    <w:rsid w:val="002A4D70"/>
    <w:rsid w:val="002A4E7B"/>
    <w:rsid w:val="002A5B1D"/>
    <w:rsid w:val="002A5D47"/>
    <w:rsid w:val="002A7FAD"/>
    <w:rsid w:val="002B0901"/>
    <w:rsid w:val="002B1AED"/>
    <w:rsid w:val="002B2852"/>
    <w:rsid w:val="002B2B73"/>
    <w:rsid w:val="002B32CD"/>
    <w:rsid w:val="002B7808"/>
    <w:rsid w:val="002C204A"/>
    <w:rsid w:val="002C2454"/>
    <w:rsid w:val="002C45E0"/>
    <w:rsid w:val="002C636D"/>
    <w:rsid w:val="002C6E61"/>
    <w:rsid w:val="002C7A15"/>
    <w:rsid w:val="002C7E05"/>
    <w:rsid w:val="002D17CF"/>
    <w:rsid w:val="002D2C7C"/>
    <w:rsid w:val="002D7FF6"/>
    <w:rsid w:val="002E1BD3"/>
    <w:rsid w:val="002E2736"/>
    <w:rsid w:val="002E3693"/>
    <w:rsid w:val="002E488E"/>
    <w:rsid w:val="002E575F"/>
    <w:rsid w:val="002E7930"/>
    <w:rsid w:val="002F11E0"/>
    <w:rsid w:val="002F3BFC"/>
    <w:rsid w:val="002F4D10"/>
    <w:rsid w:val="00307051"/>
    <w:rsid w:val="003117BF"/>
    <w:rsid w:val="00314932"/>
    <w:rsid w:val="00314A9B"/>
    <w:rsid w:val="003161D8"/>
    <w:rsid w:val="003169C9"/>
    <w:rsid w:val="0032234F"/>
    <w:rsid w:val="003229F7"/>
    <w:rsid w:val="003236C4"/>
    <w:rsid w:val="0032746F"/>
    <w:rsid w:val="00331346"/>
    <w:rsid w:val="00332E95"/>
    <w:rsid w:val="0033387B"/>
    <w:rsid w:val="00337C1D"/>
    <w:rsid w:val="003402DB"/>
    <w:rsid w:val="00340454"/>
    <w:rsid w:val="00341B5A"/>
    <w:rsid w:val="00344BC7"/>
    <w:rsid w:val="00347F9D"/>
    <w:rsid w:val="003574C5"/>
    <w:rsid w:val="00371F9E"/>
    <w:rsid w:val="00374C8C"/>
    <w:rsid w:val="00380660"/>
    <w:rsid w:val="00381369"/>
    <w:rsid w:val="00381FF9"/>
    <w:rsid w:val="003905C3"/>
    <w:rsid w:val="003A33B4"/>
    <w:rsid w:val="003A4230"/>
    <w:rsid w:val="003A532A"/>
    <w:rsid w:val="003A5D96"/>
    <w:rsid w:val="003A73B4"/>
    <w:rsid w:val="003B68E0"/>
    <w:rsid w:val="003B76B0"/>
    <w:rsid w:val="003C2D27"/>
    <w:rsid w:val="003C30AE"/>
    <w:rsid w:val="003D13BC"/>
    <w:rsid w:val="003D45D4"/>
    <w:rsid w:val="003D67AA"/>
    <w:rsid w:val="003E03DF"/>
    <w:rsid w:val="003E52F6"/>
    <w:rsid w:val="003E7DE4"/>
    <w:rsid w:val="003F6F13"/>
    <w:rsid w:val="00402B20"/>
    <w:rsid w:val="00404CD1"/>
    <w:rsid w:val="00412943"/>
    <w:rsid w:val="0041298D"/>
    <w:rsid w:val="00412F25"/>
    <w:rsid w:val="004142FE"/>
    <w:rsid w:val="00415406"/>
    <w:rsid w:val="00417138"/>
    <w:rsid w:val="0042042D"/>
    <w:rsid w:val="004206DE"/>
    <w:rsid w:val="00422BB8"/>
    <w:rsid w:val="004271BB"/>
    <w:rsid w:val="004340AA"/>
    <w:rsid w:val="0043536F"/>
    <w:rsid w:val="00436FF9"/>
    <w:rsid w:val="0044096C"/>
    <w:rsid w:val="0044157C"/>
    <w:rsid w:val="0044318B"/>
    <w:rsid w:val="00443C8A"/>
    <w:rsid w:val="00443FDC"/>
    <w:rsid w:val="00444CA5"/>
    <w:rsid w:val="00445F89"/>
    <w:rsid w:val="0045055F"/>
    <w:rsid w:val="00456C14"/>
    <w:rsid w:val="0045710B"/>
    <w:rsid w:val="00460BC8"/>
    <w:rsid w:val="00461C4E"/>
    <w:rsid w:val="00472086"/>
    <w:rsid w:val="0047415F"/>
    <w:rsid w:val="0047703E"/>
    <w:rsid w:val="00487C48"/>
    <w:rsid w:val="004933B6"/>
    <w:rsid w:val="00494515"/>
    <w:rsid w:val="004976CC"/>
    <w:rsid w:val="00497ED5"/>
    <w:rsid w:val="004A1AE8"/>
    <w:rsid w:val="004A64A7"/>
    <w:rsid w:val="004B5AEC"/>
    <w:rsid w:val="004C1173"/>
    <w:rsid w:val="004C4FA1"/>
    <w:rsid w:val="004D2189"/>
    <w:rsid w:val="004D299B"/>
    <w:rsid w:val="004D3C6D"/>
    <w:rsid w:val="004D4868"/>
    <w:rsid w:val="004E12FB"/>
    <w:rsid w:val="004E43AE"/>
    <w:rsid w:val="004F0D6E"/>
    <w:rsid w:val="004F14AF"/>
    <w:rsid w:val="004F1716"/>
    <w:rsid w:val="00503775"/>
    <w:rsid w:val="0051714C"/>
    <w:rsid w:val="005178FA"/>
    <w:rsid w:val="00530562"/>
    <w:rsid w:val="0053254C"/>
    <w:rsid w:val="00533C50"/>
    <w:rsid w:val="00534116"/>
    <w:rsid w:val="00534A21"/>
    <w:rsid w:val="00536AB1"/>
    <w:rsid w:val="00536D86"/>
    <w:rsid w:val="00537964"/>
    <w:rsid w:val="00541685"/>
    <w:rsid w:val="00542769"/>
    <w:rsid w:val="0054417D"/>
    <w:rsid w:val="00547C53"/>
    <w:rsid w:val="00551DE7"/>
    <w:rsid w:val="00553034"/>
    <w:rsid w:val="00554051"/>
    <w:rsid w:val="0055517D"/>
    <w:rsid w:val="00556B13"/>
    <w:rsid w:val="00557BA0"/>
    <w:rsid w:val="00566BA4"/>
    <w:rsid w:val="00575066"/>
    <w:rsid w:val="005753DB"/>
    <w:rsid w:val="00577AEF"/>
    <w:rsid w:val="005816F9"/>
    <w:rsid w:val="00586EC3"/>
    <w:rsid w:val="0059197C"/>
    <w:rsid w:val="00593AF0"/>
    <w:rsid w:val="00596502"/>
    <w:rsid w:val="005A05A9"/>
    <w:rsid w:val="005A266D"/>
    <w:rsid w:val="005A48C2"/>
    <w:rsid w:val="005A5411"/>
    <w:rsid w:val="005B068E"/>
    <w:rsid w:val="005B0759"/>
    <w:rsid w:val="005B1B08"/>
    <w:rsid w:val="005B25A5"/>
    <w:rsid w:val="005B29A8"/>
    <w:rsid w:val="005B393A"/>
    <w:rsid w:val="005B3C42"/>
    <w:rsid w:val="005B47EB"/>
    <w:rsid w:val="005B4C8E"/>
    <w:rsid w:val="005B5264"/>
    <w:rsid w:val="005B6557"/>
    <w:rsid w:val="005C1DA4"/>
    <w:rsid w:val="005C3654"/>
    <w:rsid w:val="005C3757"/>
    <w:rsid w:val="005D0342"/>
    <w:rsid w:val="005D1C0B"/>
    <w:rsid w:val="005D30F5"/>
    <w:rsid w:val="005D3ED2"/>
    <w:rsid w:val="005D4E2E"/>
    <w:rsid w:val="005D621D"/>
    <w:rsid w:val="005D7C5F"/>
    <w:rsid w:val="005E157B"/>
    <w:rsid w:val="005E2EA8"/>
    <w:rsid w:val="005E6017"/>
    <w:rsid w:val="005E7474"/>
    <w:rsid w:val="005F30D1"/>
    <w:rsid w:val="005F37C0"/>
    <w:rsid w:val="005F3FDC"/>
    <w:rsid w:val="005F5A56"/>
    <w:rsid w:val="00600000"/>
    <w:rsid w:val="00603956"/>
    <w:rsid w:val="00621323"/>
    <w:rsid w:val="006217B3"/>
    <w:rsid w:val="0062192C"/>
    <w:rsid w:val="0062474A"/>
    <w:rsid w:val="0062533B"/>
    <w:rsid w:val="0063181C"/>
    <w:rsid w:val="00633EA4"/>
    <w:rsid w:val="00641EE3"/>
    <w:rsid w:val="00641FE1"/>
    <w:rsid w:val="006432A8"/>
    <w:rsid w:val="00646441"/>
    <w:rsid w:val="00651748"/>
    <w:rsid w:val="006526DC"/>
    <w:rsid w:val="00652D5C"/>
    <w:rsid w:val="006564F5"/>
    <w:rsid w:val="00660840"/>
    <w:rsid w:val="00661FA7"/>
    <w:rsid w:val="0066482B"/>
    <w:rsid w:val="00666EA1"/>
    <w:rsid w:val="00667B01"/>
    <w:rsid w:val="00670622"/>
    <w:rsid w:val="006717A8"/>
    <w:rsid w:val="00682622"/>
    <w:rsid w:val="00683280"/>
    <w:rsid w:val="006864E5"/>
    <w:rsid w:val="006908A3"/>
    <w:rsid w:val="006970C3"/>
    <w:rsid w:val="006A2D7E"/>
    <w:rsid w:val="006B1154"/>
    <w:rsid w:val="006B3F8E"/>
    <w:rsid w:val="006B48DA"/>
    <w:rsid w:val="006B6463"/>
    <w:rsid w:val="006C0861"/>
    <w:rsid w:val="006C1952"/>
    <w:rsid w:val="006C42E5"/>
    <w:rsid w:val="006C7AAD"/>
    <w:rsid w:val="006D0E35"/>
    <w:rsid w:val="006D1EBA"/>
    <w:rsid w:val="006D397A"/>
    <w:rsid w:val="006D5B26"/>
    <w:rsid w:val="006D770F"/>
    <w:rsid w:val="006E0AAB"/>
    <w:rsid w:val="006E2B75"/>
    <w:rsid w:val="006E66D0"/>
    <w:rsid w:val="006F4619"/>
    <w:rsid w:val="006F62C5"/>
    <w:rsid w:val="006F7BAA"/>
    <w:rsid w:val="00702163"/>
    <w:rsid w:val="00702875"/>
    <w:rsid w:val="00715B41"/>
    <w:rsid w:val="00717B42"/>
    <w:rsid w:val="007274C9"/>
    <w:rsid w:val="00731605"/>
    <w:rsid w:val="007365BF"/>
    <w:rsid w:val="007375CC"/>
    <w:rsid w:val="00743B3C"/>
    <w:rsid w:val="007443E3"/>
    <w:rsid w:val="00753AD5"/>
    <w:rsid w:val="00754E84"/>
    <w:rsid w:val="00754FB5"/>
    <w:rsid w:val="0075537C"/>
    <w:rsid w:val="007559C4"/>
    <w:rsid w:val="00755B7A"/>
    <w:rsid w:val="00755F66"/>
    <w:rsid w:val="007571D9"/>
    <w:rsid w:val="00762CA5"/>
    <w:rsid w:val="007630D6"/>
    <w:rsid w:val="00771B39"/>
    <w:rsid w:val="00772253"/>
    <w:rsid w:val="00774476"/>
    <w:rsid w:val="0077470B"/>
    <w:rsid w:val="00776CF3"/>
    <w:rsid w:val="00777B5F"/>
    <w:rsid w:val="00780DFF"/>
    <w:rsid w:val="00781E65"/>
    <w:rsid w:val="00783F5F"/>
    <w:rsid w:val="007878B9"/>
    <w:rsid w:val="00791871"/>
    <w:rsid w:val="007934D8"/>
    <w:rsid w:val="007A4C29"/>
    <w:rsid w:val="007A5186"/>
    <w:rsid w:val="007A5CBA"/>
    <w:rsid w:val="007A5DDE"/>
    <w:rsid w:val="007B0376"/>
    <w:rsid w:val="007B2320"/>
    <w:rsid w:val="007B2B5D"/>
    <w:rsid w:val="007B3B9C"/>
    <w:rsid w:val="007B3E8D"/>
    <w:rsid w:val="007B63F6"/>
    <w:rsid w:val="007B65E6"/>
    <w:rsid w:val="007B67BA"/>
    <w:rsid w:val="007C3BE2"/>
    <w:rsid w:val="007C751B"/>
    <w:rsid w:val="007D294A"/>
    <w:rsid w:val="007E4C8A"/>
    <w:rsid w:val="007F2DC5"/>
    <w:rsid w:val="007F2FD6"/>
    <w:rsid w:val="007F3C0C"/>
    <w:rsid w:val="007F616D"/>
    <w:rsid w:val="008007E0"/>
    <w:rsid w:val="00802505"/>
    <w:rsid w:val="00804897"/>
    <w:rsid w:val="0080674B"/>
    <w:rsid w:val="00810956"/>
    <w:rsid w:val="00811071"/>
    <w:rsid w:val="00812446"/>
    <w:rsid w:val="00812658"/>
    <w:rsid w:val="008135AD"/>
    <w:rsid w:val="00814AC5"/>
    <w:rsid w:val="00817A14"/>
    <w:rsid w:val="008220CE"/>
    <w:rsid w:val="008238D1"/>
    <w:rsid w:val="00823E21"/>
    <w:rsid w:val="00831DA2"/>
    <w:rsid w:val="00835514"/>
    <w:rsid w:val="00836C29"/>
    <w:rsid w:val="008410AE"/>
    <w:rsid w:val="00843ED9"/>
    <w:rsid w:val="0084520F"/>
    <w:rsid w:val="00850B79"/>
    <w:rsid w:val="00855F77"/>
    <w:rsid w:val="00857A16"/>
    <w:rsid w:val="00862A8E"/>
    <w:rsid w:val="00864233"/>
    <w:rsid w:val="00864DB8"/>
    <w:rsid w:val="0087120C"/>
    <w:rsid w:val="00871593"/>
    <w:rsid w:val="00873A8F"/>
    <w:rsid w:val="008762F5"/>
    <w:rsid w:val="00877730"/>
    <w:rsid w:val="0088275C"/>
    <w:rsid w:val="0088604C"/>
    <w:rsid w:val="0088681A"/>
    <w:rsid w:val="00894C00"/>
    <w:rsid w:val="008964D5"/>
    <w:rsid w:val="008A3BEE"/>
    <w:rsid w:val="008A654C"/>
    <w:rsid w:val="008B10D0"/>
    <w:rsid w:val="008B2166"/>
    <w:rsid w:val="008B60EE"/>
    <w:rsid w:val="008B611B"/>
    <w:rsid w:val="008B669D"/>
    <w:rsid w:val="008B6DA6"/>
    <w:rsid w:val="008C28D0"/>
    <w:rsid w:val="008C3352"/>
    <w:rsid w:val="008D104C"/>
    <w:rsid w:val="008D30B0"/>
    <w:rsid w:val="008D600E"/>
    <w:rsid w:val="008D65EA"/>
    <w:rsid w:val="008D731C"/>
    <w:rsid w:val="008E0B0D"/>
    <w:rsid w:val="008E44AE"/>
    <w:rsid w:val="008E49C6"/>
    <w:rsid w:val="008F0209"/>
    <w:rsid w:val="008F442C"/>
    <w:rsid w:val="008F4A98"/>
    <w:rsid w:val="008F4AE8"/>
    <w:rsid w:val="008F5128"/>
    <w:rsid w:val="008F605F"/>
    <w:rsid w:val="008F75F4"/>
    <w:rsid w:val="00902310"/>
    <w:rsid w:val="009046BD"/>
    <w:rsid w:val="00905583"/>
    <w:rsid w:val="009067A0"/>
    <w:rsid w:val="009068B0"/>
    <w:rsid w:val="00911BB1"/>
    <w:rsid w:val="00920480"/>
    <w:rsid w:val="00920938"/>
    <w:rsid w:val="00921595"/>
    <w:rsid w:val="00922DFF"/>
    <w:rsid w:val="0092304C"/>
    <w:rsid w:val="00930762"/>
    <w:rsid w:val="00931274"/>
    <w:rsid w:val="0093133B"/>
    <w:rsid w:val="009329EA"/>
    <w:rsid w:val="009346AB"/>
    <w:rsid w:val="0093525A"/>
    <w:rsid w:val="009356DA"/>
    <w:rsid w:val="00937BA8"/>
    <w:rsid w:val="00937FBC"/>
    <w:rsid w:val="00941A17"/>
    <w:rsid w:val="00947551"/>
    <w:rsid w:val="00947D29"/>
    <w:rsid w:val="00950C87"/>
    <w:rsid w:val="009535C2"/>
    <w:rsid w:val="009540A4"/>
    <w:rsid w:val="00956679"/>
    <w:rsid w:val="00957077"/>
    <w:rsid w:val="009574A4"/>
    <w:rsid w:val="0096276A"/>
    <w:rsid w:val="009655B3"/>
    <w:rsid w:val="0096597D"/>
    <w:rsid w:val="00966B5F"/>
    <w:rsid w:val="009671A2"/>
    <w:rsid w:val="009729C8"/>
    <w:rsid w:val="009736AD"/>
    <w:rsid w:val="009764D8"/>
    <w:rsid w:val="00981B2A"/>
    <w:rsid w:val="009829EB"/>
    <w:rsid w:val="0099631F"/>
    <w:rsid w:val="009977F6"/>
    <w:rsid w:val="009A1691"/>
    <w:rsid w:val="009A52AC"/>
    <w:rsid w:val="009B4D96"/>
    <w:rsid w:val="009B575F"/>
    <w:rsid w:val="009C3BBF"/>
    <w:rsid w:val="009C53B4"/>
    <w:rsid w:val="009C5795"/>
    <w:rsid w:val="009C7411"/>
    <w:rsid w:val="009E5D7B"/>
    <w:rsid w:val="009E78D5"/>
    <w:rsid w:val="009E79C5"/>
    <w:rsid w:val="009F2F4B"/>
    <w:rsid w:val="009F3411"/>
    <w:rsid w:val="009F449F"/>
    <w:rsid w:val="00A07FEF"/>
    <w:rsid w:val="00A1025E"/>
    <w:rsid w:val="00A1420C"/>
    <w:rsid w:val="00A25A6C"/>
    <w:rsid w:val="00A263A2"/>
    <w:rsid w:val="00A27465"/>
    <w:rsid w:val="00A27DDC"/>
    <w:rsid w:val="00A311AA"/>
    <w:rsid w:val="00A31FC3"/>
    <w:rsid w:val="00A33209"/>
    <w:rsid w:val="00A34F6E"/>
    <w:rsid w:val="00A3509B"/>
    <w:rsid w:val="00A35EE1"/>
    <w:rsid w:val="00A37D86"/>
    <w:rsid w:val="00A40F79"/>
    <w:rsid w:val="00A50399"/>
    <w:rsid w:val="00A55C55"/>
    <w:rsid w:val="00A5664D"/>
    <w:rsid w:val="00A573CB"/>
    <w:rsid w:val="00A61F2B"/>
    <w:rsid w:val="00A62019"/>
    <w:rsid w:val="00A67181"/>
    <w:rsid w:val="00A67748"/>
    <w:rsid w:val="00A714AB"/>
    <w:rsid w:val="00A7154E"/>
    <w:rsid w:val="00A71EE8"/>
    <w:rsid w:val="00A8700D"/>
    <w:rsid w:val="00A90F8F"/>
    <w:rsid w:val="00A95886"/>
    <w:rsid w:val="00A9634D"/>
    <w:rsid w:val="00A97E49"/>
    <w:rsid w:val="00AA0B88"/>
    <w:rsid w:val="00AA4DB8"/>
    <w:rsid w:val="00AA5AD0"/>
    <w:rsid w:val="00AA7A60"/>
    <w:rsid w:val="00AB74B5"/>
    <w:rsid w:val="00AC0513"/>
    <w:rsid w:val="00AC309C"/>
    <w:rsid w:val="00AC47E8"/>
    <w:rsid w:val="00AC5A05"/>
    <w:rsid w:val="00AC7FC1"/>
    <w:rsid w:val="00AD08D8"/>
    <w:rsid w:val="00AD2AAE"/>
    <w:rsid w:val="00AD329E"/>
    <w:rsid w:val="00AD6312"/>
    <w:rsid w:val="00AD6D9F"/>
    <w:rsid w:val="00AE5A55"/>
    <w:rsid w:val="00AF33EA"/>
    <w:rsid w:val="00AF63DE"/>
    <w:rsid w:val="00AF6E1F"/>
    <w:rsid w:val="00B00963"/>
    <w:rsid w:val="00B02A02"/>
    <w:rsid w:val="00B100C8"/>
    <w:rsid w:val="00B103B4"/>
    <w:rsid w:val="00B129EC"/>
    <w:rsid w:val="00B1387B"/>
    <w:rsid w:val="00B13B71"/>
    <w:rsid w:val="00B236DE"/>
    <w:rsid w:val="00B23E89"/>
    <w:rsid w:val="00B24B02"/>
    <w:rsid w:val="00B26DE4"/>
    <w:rsid w:val="00B303BE"/>
    <w:rsid w:val="00B3439B"/>
    <w:rsid w:val="00B37C89"/>
    <w:rsid w:val="00B40397"/>
    <w:rsid w:val="00B426D2"/>
    <w:rsid w:val="00B472F4"/>
    <w:rsid w:val="00B50672"/>
    <w:rsid w:val="00B51AB2"/>
    <w:rsid w:val="00B56387"/>
    <w:rsid w:val="00B5765D"/>
    <w:rsid w:val="00B5798F"/>
    <w:rsid w:val="00B57B72"/>
    <w:rsid w:val="00B57E98"/>
    <w:rsid w:val="00B60CB8"/>
    <w:rsid w:val="00B67685"/>
    <w:rsid w:val="00B73C1D"/>
    <w:rsid w:val="00B753A2"/>
    <w:rsid w:val="00B77040"/>
    <w:rsid w:val="00B80176"/>
    <w:rsid w:val="00B80B5D"/>
    <w:rsid w:val="00B8187C"/>
    <w:rsid w:val="00B81FE5"/>
    <w:rsid w:val="00B831A9"/>
    <w:rsid w:val="00B84D54"/>
    <w:rsid w:val="00B84E12"/>
    <w:rsid w:val="00B85E71"/>
    <w:rsid w:val="00B86887"/>
    <w:rsid w:val="00B87EFB"/>
    <w:rsid w:val="00B90658"/>
    <w:rsid w:val="00B93DD6"/>
    <w:rsid w:val="00B94D29"/>
    <w:rsid w:val="00BA0F7C"/>
    <w:rsid w:val="00BA0F8C"/>
    <w:rsid w:val="00BA4D64"/>
    <w:rsid w:val="00BA6F2F"/>
    <w:rsid w:val="00BB0659"/>
    <w:rsid w:val="00BB13D1"/>
    <w:rsid w:val="00BB1861"/>
    <w:rsid w:val="00BB1F86"/>
    <w:rsid w:val="00BB4CE6"/>
    <w:rsid w:val="00BB4E44"/>
    <w:rsid w:val="00BC0E7A"/>
    <w:rsid w:val="00BC4879"/>
    <w:rsid w:val="00BC5705"/>
    <w:rsid w:val="00BC5C84"/>
    <w:rsid w:val="00BC6363"/>
    <w:rsid w:val="00BD4995"/>
    <w:rsid w:val="00BD75D7"/>
    <w:rsid w:val="00BD762C"/>
    <w:rsid w:val="00BE19D3"/>
    <w:rsid w:val="00BE3607"/>
    <w:rsid w:val="00BE3C9E"/>
    <w:rsid w:val="00BE3FF0"/>
    <w:rsid w:val="00BE6D01"/>
    <w:rsid w:val="00BF18FE"/>
    <w:rsid w:val="00BF378C"/>
    <w:rsid w:val="00BF4E9D"/>
    <w:rsid w:val="00BF5E4A"/>
    <w:rsid w:val="00BF7B42"/>
    <w:rsid w:val="00C00040"/>
    <w:rsid w:val="00C00B84"/>
    <w:rsid w:val="00C01F30"/>
    <w:rsid w:val="00C05372"/>
    <w:rsid w:val="00C058D7"/>
    <w:rsid w:val="00C0742E"/>
    <w:rsid w:val="00C12E26"/>
    <w:rsid w:val="00C20B4D"/>
    <w:rsid w:val="00C21B07"/>
    <w:rsid w:val="00C222F8"/>
    <w:rsid w:val="00C23A53"/>
    <w:rsid w:val="00C2511F"/>
    <w:rsid w:val="00C27EE4"/>
    <w:rsid w:val="00C32857"/>
    <w:rsid w:val="00C3489D"/>
    <w:rsid w:val="00C35034"/>
    <w:rsid w:val="00C40D7F"/>
    <w:rsid w:val="00C42432"/>
    <w:rsid w:val="00C51FDC"/>
    <w:rsid w:val="00C566B4"/>
    <w:rsid w:val="00C579DA"/>
    <w:rsid w:val="00C57BD0"/>
    <w:rsid w:val="00C619DF"/>
    <w:rsid w:val="00C71380"/>
    <w:rsid w:val="00C73C74"/>
    <w:rsid w:val="00C742FB"/>
    <w:rsid w:val="00C748E6"/>
    <w:rsid w:val="00C760B4"/>
    <w:rsid w:val="00C80A00"/>
    <w:rsid w:val="00C847E3"/>
    <w:rsid w:val="00C85FAD"/>
    <w:rsid w:val="00C900C2"/>
    <w:rsid w:val="00C91492"/>
    <w:rsid w:val="00C92740"/>
    <w:rsid w:val="00C940F0"/>
    <w:rsid w:val="00C95040"/>
    <w:rsid w:val="00C963CD"/>
    <w:rsid w:val="00C972D3"/>
    <w:rsid w:val="00C9764B"/>
    <w:rsid w:val="00C9795E"/>
    <w:rsid w:val="00CA77B0"/>
    <w:rsid w:val="00CB1F8F"/>
    <w:rsid w:val="00CB3517"/>
    <w:rsid w:val="00CB5D2F"/>
    <w:rsid w:val="00CB7538"/>
    <w:rsid w:val="00CB79CE"/>
    <w:rsid w:val="00CC1732"/>
    <w:rsid w:val="00CC5BD9"/>
    <w:rsid w:val="00CD1028"/>
    <w:rsid w:val="00CD431F"/>
    <w:rsid w:val="00CD44F8"/>
    <w:rsid w:val="00CD7326"/>
    <w:rsid w:val="00CE1D14"/>
    <w:rsid w:val="00CE56E2"/>
    <w:rsid w:val="00CE60A5"/>
    <w:rsid w:val="00CE6DD5"/>
    <w:rsid w:val="00CF0FAB"/>
    <w:rsid w:val="00CF2E90"/>
    <w:rsid w:val="00CF4333"/>
    <w:rsid w:val="00CF645C"/>
    <w:rsid w:val="00CF7596"/>
    <w:rsid w:val="00D01C74"/>
    <w:rsid w:val="00D0675C"/>
    <w:rsid w:val="00D12067"/>
    <w:rsid w:val="00D13BBA"/>
    <w:rsid w:val="00D1765F"/>
    <w:rsid w:val="00D21464"/>
    <w:rsid w:val="00D22FDB"/>
    <w:rsid w:val="00D25E90"/>
    <w:rsid w:val="00D25F03"/>
    <w:rsid w:val="00D30A14"/>
    <w:rsid w:val="00D32884"/>
    <w:rsid w:val="00D35452"/>
    <w:rsid w:val="00D414C8"/>
    <w:rsid w:val="00D421B5"/>
    <w:rsid w:val="00D45D01"/>
    <w:rsid w:val="00D46621"/>
    <w:rsid w:val="00D50FA2"/>
    <w:rsid w:val="00D510DF"/>
    <w:rsid w:val="00D55384"/>
    <w:rsid w:val="00D553F1"/>
    <w:rsid w:val="00D55BD9"/>
    <w:rsid w:val="00D635F4"/>
    <w:rsid w:val="00D636E3"/>
    <w:rsid w:val="00D67100"/>
    <w:rsid w:val="00D707B6"/>
    <w:rsid w:val="00D711AB"/>
    <w:rsid w:val="00D71282"/>
    <w:rsid w:val="00D719C3"/>
    <w:rsid w:val="00D74A25"/>
    <w:rsid w:val="00D77D04"/>
    <w:rsid w:val="00D825B2"/>
    <w:rsid w:val="00D84C9A"/>
    <w:rsid w:val="00D857FA"/>
    <w:rsid w:val="00D8595F"/>
    <w:rsid w:val="00D86ECC"/>
    <w:rsid w:val="00D903CB"/>
    <w:rsid w:val="00D920B6"/>
    <w:rsid w:val="00D9407B"/>
    <w:rsid w:val="00D94798"/>
    <w:rsid w:val="00DA3D14"/>
    <w:rsid w:val="00DB14B5"/>
    <w:rsid w:val="00DB29C6"/>
    <w:rsid w:val="00DB2D80"/>
    <w:rsid w:val="00DB3E12"/>
    <w:rsid w:val="00DB5C3A"/>
    <w:rsid w:val="00DC1FE5"/>
    <w:rsid w:val="00DC4EEF"/>
    <w:rsid w:val="00DC639E"/>
    <w:rsid w:val="00DD029F"/>
    <w:rsid w:val="00DD2BCD"/>
    <w:rsid w:val="00DD3484"/>
    <w:rsid w:val="00DD4126"/>
    <w:rsid w:val="00DE1FD8"/>
    <w:rsid w:val="00DE2758"/>
    <w:rsid w:val="00DE3E9C"/>
    <w:rsid w:val="00DF2480"/>
    <w:rsid w:val="00DF523A"/>
    <w:rsid w:val="00DF5B8D"/>
    <w:rsid w:val="00E00459"/>
    <w:rsid w:val="00E03C85"/>
    <w:rsid w:val="00E0498D"/>
    <w:rsid w:val="00E10B1B"/>
    <w:rsid w:val="00E116E4"/>
    <w:rsid w:val="00E1449D"/>
    <w:rsid w:val="00E33B66"/>
    <w:rsid w:val="00E40D82"/>
    <w:rsid w:val="00E435A1"/>
    <w:rsid w:val="00E43C4B"/>
    <w:rsid w:val="00E45F2D"/>
    <w:rsid w:val="00E46A9B"/>
    <w:rsid w:val="00E50F78"/>
    <w:rsid w:val="00E5136C"/>
    <w:rsid w:val="00E5703D"/>
    <w:rsid w:val="00E63BF5"/>
    <w:rsid w:val="00E652C5"/>
    <w:rsid w:val="00E74D55"/>
    <w:rsid w:val="00E76FE4"/>
    <w:rsid w:val="00E77C03"/>
    <w:rsid w:val="00E808E5"/>
    <w:rsid w:val="00E829B3"/>
    <w:rsid w:val="00E8473A"/>
    <w:rsid w:val="00E850E8"/>
    <w:rsid w:val="00E86B0C"/>
    <w:rsid w:val="00E927A6"/>
    <w:rsid w:val="00E94750"/>
    <w:rsid w:val="00E949FB"/>
    <w:rsid w:val="00E9760B"/>
    <w:rsid w:val="00EA1E04"/>
    <w:rsid w:val="00EA6096"/>
    <w:rsid w:val="00EA6A52"/>
    <w:rsid w:val="00EA7C13"/>
    <w:rsid w:val="00EB03B7"/>
    <w:rsid w:val="00EB266F"/>
    <w:rsid w:val="00EB7C06"/>
    <w:rsid w:val="00EC01F1"/>
    <w:rsid w:val="00EC6576"/>
    <w:rsid w:val="00ED0467"/>
    <w:rsid w:val="00ED3B7C"/>
    <w:rsid w:val="00ED4C9E"/>
    <w:rsid w:val="00EE079E"/>
    <w:rsid w:val="00EE189C"/>
    <w:rsid w:val="00EE3DC3"/>
    <w:rsid w:val="00EE5BE4"/>
    <w:rsid w:val="00EF0042"/>
    <w:rsid w:val="00EF1FAE"/>
    <w:rsid w:val="00EF3A85"/>
    <w:rsid w:val="00EF3F50"/>
    <w:rsid w:val="00F00231"/>
    <w:rsid w:val="00F030E6"/>
    <w:rsid w:val="00F06F0E"/>
    <w:rsid w:val="00F07C75"/>
    <w:rsid w:val="00F1130D"/>
    <w:rsid w:val="00F1191F"/>
    <w:rsid w:val="00F21642"/>
    <w:rsid w:val="00F216F0"/>
    <w:rsid w:val="00F2478D"/>
    <w:rsid w:val="00F2707F"/>
    <w:rsid w:val="00F30C29"/>
    <w:rsid w:val="00F320F2"/>
    <w:rsid w:val="00F33BDD"/>
    <w:rsid w:val="00F35263"/>
    <w:rsid w:val="00F44497"/>
    <w:rsid w:val="00F46B32"/>
    <w:rsid w:val="00F50846"/>
    <w:rsid w:val="00F50DD6"/>
    <w:rsid w:val="00F524C2"/>
    <w:rsid w:val="00F55361"/>
    <w:rsid w:val="00F63BEE"/>
    <w:rsid w:val="00F6487E"/>
    <w:rsid w:val="00F65FBE"/>
    <w:rsid w:val="00F738D1"/>
    <w:rsid w:val="00F73E39"/>
    <w:rsid w:val="00F84D8B"/>
    <w:rsid w:val="00F8699D"/>
    <w:rsid w:val="00F90366"/>
    <w:rsid w:val="00F918A5"/>
    <w:rsid w:val="00F964FF"/>
    <w:rsid w:val="00F96BFA"/>
    <w:rsid w:val="00FA2BCE"/>
    <w:rsid w:val="00FA3C94"/>
    <w:rsid w:val="00FA40DB"/>
    <w:rsid w:val="00FA41A1"/>
    <w:rsid w:val="00FA5619"/>
    <w:rsid w:val="00FB0578"/>
    <w:rsid w:val="00FB1F6B"/>
    <w:rsid w:val="00FB34B2"/>
    <w:rsid w:val="00FB69E9"/>
    <w:rsid w:val="00FB7942"/>
    <w:rsid w:val="00FC0990"/>
    <w:rsid w:val="00FC3F0C"/>
    <w:rsid w:val="00FC58F2"/>
    <w:rsid w:val="00FD1036"/>
    <w:rsid w:val="00FD25BD"/>
    <w:rsid w:val="00FD2DA7"/>
    <w:rsid w:val="00FD41C0"/>
    <w:rsid w:val="00FD6359"/>
    <w:rsid w:val="00FD7FF4"/>
    <w:rsid w:val="00FE0C5C"/>
    <w:rsid w:val="00FE1EBC"/>
    <w:rsid w:val="00FE42FD"/>
    <w:rsid w:val="00FF0DB6"/>
    <w:rsid w:val="00FF1C56"/>
    <w:rsid w:val="00FF3E4C"/>
    <w:rsid w:val="00FF666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line="600" w:lineRule="exact"/>
      </w:pPr>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97FB0"/>
    <w:pPr>
      <w:overflowPunct w:val="0"/>
      <w:autoSpaceDE w:val="0"/>
      <w:autoSpaceDN w:val="0"/>
      <w:adjustRightInd w:val="0"/>
      <w:textAlignment w:val="baseline"/>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rsid w:val="003B68E0"/>
    <w:pPr>
      <w:framePr w:w="7920" w:h="1980" w:hRule="exact" w:hSpace="180" w:wrap="auto" w:hAnchor="page" w:xAlign="center" w:yAlign="bottom"/>
      <w:ind w:left="2880"/>
    </w:pPr>
    <w:rPr>
      <w:sz w:val="26"/>
      <w:szCs w:val="26"/>
    </w:rPr>
  </w:style>
  <w:style w:type="paragraph" w:styleId="FootnoteText">
    <w:name w:val="footnote text"/>
    <w:basedOn w:val="Normal"/>
    <w:link w:val="FootnoteTextChar"/>
    <w:rsid w:val="002C6E61"/>
    <w:pPr>
      <w:spacing w:line="240" w:lineRule="auto"/>
    </w:pPr>
  </w:style>
  <w:style w:type="character" w:customStyle="1" w:styleId="FootnoteTextChar">
    <w:name w:val="Footnote Text Char"/>
    <w:basedOn w:val="DefaultParagraphFont"/>
    <w:link w:val="FootnoteText"/>
    <w:rsid w:val="002C6E61"/>
    <w:rPr>
      <w:sz w:val="26"/>
    </w:rPr>
  </w:style>
  <w:style w:type="character" w:styleId="FootnoteReference">
    <w:name w:val="footnote reference"/>
    <w:basedOn w:val="DefaultParagraphFont"/>
    <w:rsid w:val="002960DB"/>
    <w:rPr>
      <w:rFonts w:ascii="Times New Roman" w:hAnsi="Times New Roman"/>
      <w:b/>
      <w:kern w:val="0"/>
      <w:position w:val="8"/>
      <w:sz w:val="20"/>
      <w:vertAlign w:val="baseline"/>
    </w:rPr>
  </w:style>
  <w:style w:type="paragraph" w:styleId="Header">
    <w:name w:val="header"/>
    <w:basedOn w:val="Normal"/>
    <w:link w:val="HeaderChar"/>
    <w:unhideWhenUsed/>
    <w:rsid w:val="002D17CF"/>
    <w:pPr>
      <w:tabs>
        <w:tab w:val="center" w:pos="4680"/>
        <w:tab w:val="right" w:pos="9360"/>
      </w:tabs>
      <w:spacing w:line="240" w:lineRule="auto"/>
    </w:pPr>
  </w:style>
  <w:style w:type="character" w:customStyle="1" w:styleId="HeaderChar">
    <w:name w:val="Header Char"/>
    <w:basedOn w:val="DefaultParagraphFont"/>
    <w:link w:val="Header"/>
    <w:rsid w:val="002D17CF"/>
    <w:rPr>
      <w:sz w:val="26"/>
    </w:rPr>
  </w:style>
  <w:style w:type="paragraph" w:styleId="Footer">
    <w:name w:val="footer"/>
    <w:basedOn w:val="Normal"/>
    <w:link w:val="FooterChar"/>
    <w:unhideWhenUsed/>
    <w:rsid w:val="002D17CF"/>
    <w:pPr>
      <w:tabs>
        <w:tab w:val="center" w:pos="4680"/>
        <w:tab w:val="right" w:pos="9360"/>
      </w:tabs>
      <w:spacing w:line="240" w:lineRule="auto"/>
    </w:pPr>
  </w:style>
  <w:style w:type="character" w:customStyle="1" w:styleId="FooterChar">
    <w:name w:val="Footer Char"/>
    <w:basedOn w:val="DefaultParagraphFont"/>
    <w:link w:val="Footer"/>
    <w:rsid w:val="002D17CF"/>
    <w:rPr>
      <w:sz w:val="26"/>
    </w:rPr>
  </w:style>
  <w:style w:type="character" w:styleId="PageNumber">
    <w:name w:val="page number"/>
    <w:basedOn w:val="DefaultParagraphFont"/>
    <w:unhideWhenUsed/>
    <w:rsid w:val="002D17CF"/>
  </w:style>
  <w:style w:type="table" w:styleId="TableGrid">
    <w:name w:val="Table Grid"/>
    <w:basedOn w:val="TableNormal"/>
    <w:rsid w:val="002D17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0342"/>
    <w:pPr>
      <w:spacing w:line="240" w:lineRule="auto"/>
    </w:pPr>
    <w:rPr>
      <w:sz w:val="26"/>
    </w:rPr>
  </w:style>
  <w:style w:type="character" w:styleId="CommentReference">
    <w:name w:val="annotation reference"/>
    <w:basedOn w:val="DefaultParagraphFont"/>
    <w:semiHidden/>
    <w:unhideWhenUsed/>
    <w:rsid w:val="00CD431F"/>
    <w:rPr>
      <w:sz w:val="16"/>
      <w:szCs w:val="16"/>
    </w:rPr>
  </w:style>
  <w:style w:type="paragraph" w:styleId="CommentText">
    <w:name w:val="annotation text"/>
    <w:basedOn w:val="Normal"/>
    <w:link w:val="CommentTextChar"/>
    <w:semiHidden/>
    <w:unhideWhenUsed/>
    <w:rsid w:val="00CD431F"/>
    <w:pPr>
      <w:spacing w:line="240" w:lineRule="auto"/>
    </w:pPr>
    <w:rPr>
      <w:sz w:val="20"/>
    </w:rPr>
  </w:style>
  <w:style w:type="character" w:customStyle="1" w:styleId="CommentTextChar">
    <w:name w:val="Comment Text Char"/>
    <w:basedOn w:val="DefaultParagraphFont"/>
    <w:link w:val="CommentText"/>
    <w:semiHidden/>
    <w:rsid w:val="00CD431F"/>
  </w:style>
  <w:style w:type="paragraph" w:styleId="CommentSubject">
    <w:name w:val="annotation subject"/>
    <w:basedOn w:val="CommentText"/>
    <w:next w:val="CommentText"/>
    <w:link w:val="CommentSubjectChar"/>
    <w:semiHidden/>
    <w:unhideWhenUsed/>
    <w:rsid w:val="00CD431F"/>
    <w:rPr>
      <w:b/>
      <w:bCs/>
    </w:rPr>
  </w:style>
  <w:style w:type="character" w:customStyle="1" w:styleId="CommentSubjectChar">
    <w:name w:val="Comment Subject Char"/>
    <w:basedOn w:val="CommentTextChar"/>
    <w:link w:val="CommentSubject"/>
    <w:semiHidden/>
    <w:rsid w:val="00CD431F"/>
    <w:rPr>
      <w:b/>
      <w:bCs/>
    </w:rPr>
  </w:style>
  <w:style w:type="paragraph" w:customStyle="1" w:styleId="SigPage1">
    <w:name w:val="Sig.Page.1"/>
    <w:basedOn w:val="Normal"/>
    <w:link w:val="SigPage1Char"/>
    <w:rsid w:val="00F33BDD"/>
    <w:pPr>
      <w:tabs>
        <w:tab w:val="left" w:pos="2880"/>
      </w:tabs>
      <w:spacing w:line="240" w:lineRule="auto"/>
    </w:pPr>
  </w:style>
  <w:style w:type="character" w:customStyle="1" w:styleId="SigPage1Char">
    <w:name w:val="Sig.Page.1 Char"/>
    <w:basedOn w:val="DefaultParagraphFont"/>
    <w:link w:val="SigPage1"/>
    <w:rsid w:val="00F33BDD"/>
    <w:rPr>
      <w:sz w:val="26"/>
    </w:rPr>
  </w:style>
  <w:style w:type="paragraph" w:customStyle="1" w:styleId="SigPage2">
    <w:name w:val="Sig.Page.2"/>
    <w:basedOn w:val="Normal"/>
    <w:link w:val="SigPage2Char"/>
    <w:rsid w:val="00F33BDD"/>
    <w:pPr>
      <w:tabs>
        <w:tab w:val="right" w:pos="2880"/>
      </w:tabs>
      <w:spacing w:line="240" w:lineRule="auto"/>
    </w:pPr>
  </w:style>
  <w:style w:type="character" w:customStyle="1" w:styleId="SigPage2Char">
    <w:name w:val="Sig.Page.2 Char"/>
    <w:basedOn w:val="DefaultParagraphFont"/>
    <w:link w:val="SigPage2"/>
    <w:rsid w:val="00F33BDD"/>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&#65279;<?xml version="1.0" encoding="utf-8" standalone="yes"?><Relationships xmlns="http://schemas.openxmlformats.org/package/2006/relationships"><Relationship Id="rId1" Type="http://schemas.microsoft.com/office/2011/relationships/webextension" Target="webextension1.xml" /></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1788197-D4DF-461D-AE84-4680128AF956}">
  <we:reference id="61aee0f2-2b2f-41f7-952c-7dda1993e28b" version="3.1.4.0" store="EXCatalog" storeType="excatalog"/>
  <we:alternateReferences>
    <we:reference id="WA200003725" version="3.1.4.0" store="en-US" storeType="omex"/>
  </we:alternateReferences>
  <we:properties/>
  <we:bindings/>
  <we:snapshot xmlns:r="http://schemas.openxmlformats.org/officeDocument/2006/relationships"/>
</we:webextension>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1DCB2-6E88-4A68-B713-78ACF3CCA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2408</Words>
  <Characters>13730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2024-05-28T20:42:56Z</dcterms:created>
  <dcterms:modified xsi:type="dcterms:W3CDTF">2024-05-28T20:42:56Z</dcterms:modified>
</cp:coreProperties>
</file>