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14E99" w:rsidRPr="001D43C7" w:rsidP="001D43C7" w14:paraId="1618765B" w14:textId="1EF0E7E7">
      <w:pPr>
        <w:pStyle w:val="BodyText"/>
        <w:ind w:right="-360"/>
        <w:rPr>
          <w:rFonts w:ascii="Century Schoolbook" w:hAnsi="Century Schoolbook" w:cstheme="majorHAnsi"/>
          <w:sz w:val="20"/>
          <w:szCs w:val="26"/>
        </w:rPr>
      </w:pPr>
      <w:r w:rsidRPr="001D43C7">
        <w:rPr>
          <w:rFonts w:ascii="Century Schoolbook" w:hAnsi="Century Schoolbook" w:cstheme="majorHAnsi"/>
          <w:sz w:val="20"/>
          <w:szCs w:val="26"/>
        </w:rPr>
        <w:t>Filed 3/29/24</w:t>
      </w:r>
    </w:p>
    <w:p w:rsidR="003D7B0F" w:rsidRPr="003D6C5F" w:rsidP="00614E99" w14:paraId="20E34B6F" w14:textId="06D29DBD">
      <w:pPr>
        <w:pStyle w:val="BodyText"/>
        <w:ind w:right="-360"/>
        <w:jc w:val="center"/>
        <w:rPr>
          <w:rFonts w:ascii="Century Schoolbook" w:hAnsi="Century Schoolbook" w:cstheme="majorHAnsi"/>
          <w:sz w:val="26"/>
          <w:szCs w:val="26"/>
        </w:rPr>
      </w:pPr>
      <w:r>
        <w:rPr>
          <w:rFonts w:ascii="Century Schoolbook" w:hAnsi="Century Schoolbook" w:cstheme="majorHAnsi"/>
          <w:sz w:val="26"/>
          <w:szCs w:val="26"/>
        </w:rPr>
        <w:t>CERTIFIED FOR PARTIAL PUBLICATION</w:t>
      </w:r>
      <w:r>
        <w:rPr>
          <w:rStyle w:val="FootnoteReference"/>
          <w:rFonts w:cstheme="majorHAnsi"/>
          <w:szCs w:val="26"/>
        </w:rPr>
        <w:footnoteReference w:customMarkFollows="1" w:id="2"/>
        <w:t xml:space="preserve">*</w:t>
      </w:r>
    </w:p>
    <w:p w:rsidR="00325886" w14:paraId="2E2B4470" w14:textId="77777777">
      <w:pPr>
        <w:ind w:right="-360"/>
        <w:rPr>
          <w:rFonts w:ascii="Century Schoolbook" w:hAnsi="Century Schoolbook" w:cstheme="majorHAnsi"/>
          <w:sz w:val="26"/>
          <w:szCs w:val="26"/>
        </w:rPr>
      </w:pPr>
    </w:p>
    <w:p w:rsidR="00F2072A" w:rsidRPr="003D6C5F" w14:paraId="14755477" w14:textId="77777777">
      <w:pPr>
        <w:ind w:right="-360"/>
        <w:rPr>
          <w:rFonts w:ascii="Century Schoolbook" w:hAnsi="Century Schoolbook" w:cstheme="majorHAnsi"/>
          <w:sz w:val="26"/>
          <w:szCs w:val="26"/>
        </w:rPr>
      </w:pPr>
    </w:p>
    <w:p w:rsidR="003D7B0F" w:rsidRPr="003D6C5F" w14:paraId="6A1C8788" w14:textId="77777777">
      <w:pPr>
        <w:ind w:right="-360"/>
        <w:jc w:val="center"/>
        <w:rPr>
          <w:rFonts w:ascii="Century Schoolbook" w:hAnsi="Century Schoolbook" w:cstheme="majorHAnsi"/>
          <w:sz w:val="26"/>
          <w:szCs w:val="26"/>
        </w:rPr>
      </w:pPr>
      <w:r w:rsidRPr="003D6C5F">
        <w:rPr>
          <w:rFonts w:ascii="Century Schoolbook" w:hAnsi="Century Schoolbook" w:cstheme="majorHAnsi"/>
          <w:sz w:val="26"/>
          <w:szCs w:val="26"/>
        </w:rPr>
        <w:t>COURT OF APPEAL, FOURTH APPELLATE DISTRICT</w:t>
      </w:r>
    </w:p>
    <w:p w:rsidR="00325886" w:rsidRPr="003D6C5F" w14:paraId="79686607" w14:textId="77777777">
      <w:pPr>
        <w:ind w:right="-360"/>
        <w:jc w:val="center"/>
        <w:rPr>
          <w:rFonts w:ascii="Century Schoolbook" w:hAnsi="Century Schoolbook" w:cstheme="majorHAnsi"/>
          <w:sz w:val="26"/>
          <w:szCs w:val="26"/>
        </w:rPr>
      </w:pPr>
    </w:p>
    <w:p w:rsidR="003D7B0F" w:rsidRPr="003D6C5F" w14:paraId="013A6B30" w14:textId="77777777">
      <w:pPr>
        <w:ind w:right="-360"/>
        <w:jc w:val="center"/>
        <w:rPr>
          <w:rFonts w:ascii="Century Schoolbook" w:hAnsi="Century Schoolbook" w:cstheme="majorHAnsi"/>
          <w:sz w:val="26"/>
          <w:szCs w:val="26"/>
        </w:rPr>
      </w:pPr>
      <w:r w:rsidRPr="003D6C5F">
        <w:rPr>
          <w:rFonts w:ascii="Century Schoolbook" w:hAnsi="Century Schoolbook" w:cstheme="majorHAnsi"/>
          <w:sz w:val="26"/>
          <w:szCs w:val="26"/>
        </w:rPr>
        <w:t>DIVISION ONE</w:t>
      </w:r>
    </w:p>
    <w:p w:rsidR="003D7B0F" w:rsidRPr="003D6C5F" w14:paraId="392EC1BE" w14:textId="77777777">
      <w:pPr>
        <w:ind w:right="-360"/>
        <w:jc w:val="center"/>
        <w:rPr>
          <w:rFonts w:ascii="Century Schoolbook" w:hAnsi="Century Schoolbook" w:cstheme="majorHAnsi"/>
          <w:sz w:val="26"/>
          <w:szCs w:val="26"/>
        </w:rPr>
      </w:pPr>
    </w:p>
    <w:p w:rsidR="003D7B0F" w:rsidRPr="003D6C5F" w14:paraId="51CB5D6E" w14:textId="77777777">
      <w:pPr>
        <w:ind w:right="-360"/>
        <w:jc w:val="center"/>
        <w:rPr>
          <w:rFonts w:ascii="Century Schoolbook" w:hAnsi="Century Schoolbook" w:cstheme="majorHAnsi"/>
          <w:sz w:val="26"/>
          <w:szCs w:val="26"/>
        </w:rPr>
      </w:pPr>
      <w:r w:rsidRPr="003D6C5F">
        <w:rPr>
          <w:rFonts w:ascii="Century Schoolbook" w:hAnsi="Century Schoolbook" w:cstheme="majorHAnsi"/>
          <w:sz w:val="26"/>
          <w:szCs w:val="26"/>
        </w:rPr>
        <w:t>STATE OF CALIFORNIA</w:t>
      </w:r>
    </w:p>
    <w:p w:rsidR="00325886" w:rsidP="003150D4" w14:paraId="4652FE22" w14:textId="77777777">
      <w:pPr>
        <w:jc w:val="center"/>
        <w:rPr>
          <w:rFonts w:ascii="Century Schoolbook" w:hAnsi="Century Schoolbook" w:cstheme="majorHAnsi"/>
          <w:sz w:val="26"/>
          <w:szCs w:val="26"/>
        </w:rPr>
      </w:pPr>
    </w:p>
    <w:p w:rsidR="00A11175" w:rsidRPr="003D6C5F" w:rsidP="003150D4" w14:paraId="193E776B" w14:textId="77777777">
      <w:pPr>
        <w:jc w:val="center"/>
        <w:rPr>
          <w:rFonts w:ascii="Century Schoolbook" w:hAnsi="Century Schoolbook" w:cstheme="majorHAnsi"/>
          <w:sz w:val="26"/>
          <w:szCs w:val="26"/>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5040"/>
        <w:gridCol w:w="4320"/>
      </w:tblGrid>
      <w:tr w14:paraId="49C724D9" w14:textId="77777777" w:rsidTr="00353FC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5040" w:type="dxa"/>
            <w:tcBorders>
              <w:top w:val="nil"/>
              <w:left w:val="nil"/>
            </w:tcBorders>
          </w:tcPr>
          <w:p w:rsidR="003150D4" w:rsidRPr="003D6C5F" w:rsidP="00333DCB" w14:paraId="095DB560" w14:textId="77777777">
            <w:pPr>
              <w:spacing w:after="240"/>
              <w:rPr>
                <w:rStyle w:val="DefaultParagraphFont"/>
                <w:rFonts w:ascii="Century Schoolbook" w:hAnsi="Century Schoolbook" w:cstheme="majorHAnsi"/>
                <w:sz w:val="26"/>
                <w:szCs w:val="26"/>
                <w:lang w:val="en-US" w:eastAsia="en-US" w:bidi="ar-SA"/>
              </w:rPr>
            </w:pPr>
            <w:r w:rsidRPr="003D6C5F">
              <w:rPr>
                <w:rFonts w:ascii="Century Schoolbook" w:hAnsi="Century Schoolbook" w:cstheme="majorHAnsi"/>
                <w:sz w:val="26"/>
                <w:szCs w:val="26"/>
                <w:lang w:val="en-US" w:eastAsia="en-US" w:bidi="ar-SA"/>
              </w:rPr>
              <w:t>THE PEOPLE,</w:t>
            </w:r>
          </w:p>
          <w:p w:rsidR="003150D4" w:rsidRPr="003D6C5F" w:rsidP="00333DCB" w14:paraId="6B03D7F3" w14:textId="77777777">
            <w:pPr>
              <w:spacing w:after="240"/>
              <w:rPr>
                <w:rStyle w:val="DefaultParagraphFont"/>
                <w:rFonts w:ascii="Century Schoolbook" w:hAnsi="Century Schoolbook" w:cstheme="majorHAnsi"/>
                <w:sz w:val="26"/>
                <w:szCs w:val="26"/>
                <w:lang w:val="en-US" w:eastAsia="en-US" w:bidi="ar-SA"/>
              </w:rPr>
            </w:pPr>
            <w:r w:rsidRPr="003D6C5F">
              <w:rPr>
                <w:rFonts w:ascii="Century Schoolbook" w:hAnsi="Century Schoolbook" w:cstheme="majorHAnsi"/>
                <w:sz w:val="26"/>
                <w:szCs w:val="26"/>
                <w:lang w:val="en-US" w:eastAsia="en-US" w:bidi="ar-SA"/>
              </w:rPr>
              <w:tab/>
              <w:t>Plaintiff and Respondent,</w:t>
            </w:r>
          </w:p>
          <w:p w:rsidR="003150D4" w:rsidRPr="003D6C5F" w:rsidP="00333DCB" w14:paraId="0D806856" w14:textId="77777777">
            <w:pPr>
              <w:spacing w:after="240"/>
              <w:rPr>
                <w:rStyle w:val="DefaultParagraphFont"/>
                <w:rFonts w:ascii="Century Schoolbook" w:hAnsi="Century Schoolbook" w:cstheme="majorHAnsi"/>
                <w:sz w:val="26"/>
                <w:szCs w:val="26"/>
                <w:lang w:val="en-US" w:eastAsia="en-US" w:bidi="ar-SA"/>
              </w:rPr>
            </w:pPr>
            <w:r w:rsidRPr="003D6C5F">
              <w:rPr>
                <w:rFonts w:ascii="Century Schoolbook" w:hAnsi="Century Schoolbook" w:cstheme="majorHAnsi"/>
                <w:sz w:val="26"/>
                <w:szCs w:val="26"/>
                <w:lang w:val="en-US" w:eastAsia="en-US" w:bidi="ar-SA"/>
              </w:rPr>
              <w:tab/>
              <w:t>v.</w:t>
            </w:r>
          </w:p>
          <w:p w:rsidR="00EE01E6" w:rsidRPr="003D6C5F" w:rsidP="00EE01E6" w14:paraId="6131CC42" w14:textId="6F007BF5">
            <w:pPr>
              <w:rPr>
                <w:rStyle w:val="DefaultParagraphFont"/>
                <w:rFonts w:ascii="Century Schoolbook" w:hAnsi="Century Schoolbook" w:cstheme="majorHAnsi"/>
                <w:bCs/>
                <w:sz w:val="26"/>
                <w:szCs w:val="26"/>
                <w:lang w:val="en-US" w:eastAsia="en-US" w:bidi="ar-SA"/>
              </w:rPr>
            </w:pPr>
            <w:r w:rsidRPr="003D6C5F">
              <w:rPr>
                <w:rFonts w:ascii="Century Schoolbook" w:hAnsi="Century Schoolbook" w:cstheme="majorHAnsi"/>
                <w:bCs/>
                <w:sz w:val="26"/>
                <w:szCs w:val="26"/>
                <w:lang w:val="en-US" w:eastAsia="en-US" w:bidi="ar-SA"/>
              </w:rPr>
              <w:t xml:space="preserve">GABRIELA T. </w:t>
            </w:r>
            <w:r w:rsidRPr="003D6C5F" w:rsidR="00BC57F6">
              <w:rPr>
                <w:rFonts w:ascii="Century Schoolbook" w:hAnsi="Century Schoolbook" w:cstheme="majorHAnsi"/>
                <w:bCs/>
                <w:sz w:val="26"/>
                <w:szCs w:val="26"/>
                <w:lang w:val="en-US" w:eastAsia="en-US" w:bidi="ar-SA"/>
              </w:rPr>
              <w:t>RANGEL</w:t>
            </w:r>
            <w:r>
              <w:rPr>
                <w:rFonts w:ascii="Century Schoolbook" w:hAnsi="Century Schoolbook" w:cstheme="majorHAnsi"/>
                <w:bCs/>
                <w:sz w:val="26"/>
                <w:szCs w:val="26"/>
                <w:lang w:val="en-US" w:eastAsia="en-US" w:bidi="ar-SA"/>
              </w:rPr>
              <w:t xml:space="preserve"> </w:t>
            </w:r>
            <w:r w:rsidRPr="003D6C5F" w:rsidR="00BC57F6">
              <w:rPr>
                <w:rFonts w:ascii="Century Schoolbook" w:hAnsi="Century Schoolbook" w:cstheme="majorHAnsi"/>
                <w:bCs/>
                <w:sz w:val="26"/>
                <w:szCs w:val="26"/>
                <w:lang w:val="en-US" w:eastAsia="en-US" w:bidi="ar-SA"/>
              </w:rPr>
              <w:t>AYALA</w:t>
            </w:r>
            <w:r w:rsidRPr="003D6C5F">
              <w:rPr>
                <w:rFonts w:ascii="Century Schoolbook" w:hAnsi="Century Schoolbook" w:cstheme="majorHAnsi"/>
                <w:bCs/>
                <w:sz w:val="26"/>
                <w:szCs w:val="26"/>
                <w:lang w:val="en-US" w:eastAsia="en-US" w:bidi="ar-SA"/>
              </w:rPr>
              <w:t xml:space="preserve"> </w:t>
            </w:r>
          </w:p>
          <w:p w:rsidR="003150D4" w:rsidRPr="003D6C5F" w:rsidP="00EE01E6" w14:paraId="122F63D1" w14:textId="78AB5D93">
            <w:pPr>
              <w:rPr>
                <w:rStyle w:val="DefaultParagraphFont"/>
                <w:rFonts w:ascii="Century Schoolbook" w:hAnsi="Century Schoolbook" w:cstheme="majorHAnsi"/>
                <w:bCs/>
                <w:sz w:val="26"/>
                <w:szCs w:val="26"/>
                <w:lang w:val="en-US" w:eastAsia="en-US" w:bidi="ar-SA"/>
              </w:rPr>
            </w:pPr>
            <w:r w:rsidRPr="003D6C5F">
              <w:rPr>
                <w:rFonts w:ascii="Century Schoolbook" w:hAnsi="Century Schoolbook" w:cstheme="majorHAnsi"/>
                <w:bCs/>
                <w:sz w:val="26"/>
                <w:szCs w:val="26"/>
                <w:lang w:val="en-US" w:eastAsia="en-US" w:bidi="ar-SA"/>
              </w:rPr>
              <w:t>et.</w:t>
            </w:r>
            <w:r w:rsidRPr="003D6C5F" w:rsidR="00884755">
              <w:rPr>
                <w:rFonts w:ascii="Century Schoolbook" w:hAnsi="Century Schoolbook" w:cstheme="majorHAnsi"/>
                <w:bCs/>
                <w:sz w:val="26"/>
                <w:szCs w:val="26"/>
                <w:lang w:val="en-US" w:eastAsia="en-US" w:bidi="ar-SA"/>
              </w:rPr>
              <w:t> </w:t>
            </w:r>
            <w:r w:rsidRPr="003D6C5F">
              <w:rPr>
                <w:rFonts w:ascii="Century Schoolbook" w:hAnsi="Century Schoolbook" w:cstheme="majorHAnsi"/>
                <w:bCs/>
                <w:sz w:val="26"/>
                <w:szCs w:val="26"/>
                <w:lang w:val="en-US" w:eastAsia="en-US" w:bidi="ar-SA"/>
              </w:rPr>
              <w:t>al.,</w:t>
            </w:r>
          </w:p>
          <w:p w:rsidR="00EE01E6" w:rsidRPr="003D6C5F" w:rsidP="00EE01E6" w14:paraId="5388D41E" w14:textId="77777777">
            <w:pPr>
              <w:rPr>
                <w:rStyle w:val="DefaultParagraphFont"/>
                <w:rFonts w:ascii="Century Schoolbook" w:hAnsi="Century Schoolbook" w:cstheme="majorHAnsi"/>
                <w:sz w:val="26"/>
                <w:szCs w:val="26"/>
                <w:lang w:val="en-US" w:eastAsia="en-US" w:bidi="ar-SA"/>
              </w:rPr>
            </w:pPr>
          </w:p>
          <w:p w:rsidR="003150D4" w:rsidRPr="003D6C5F" w:rsidP="008B3B23" w14:paraId="23EFE3E9" w14:textId="587E5CBC">
            <w:pPr>
              <w:spacing w:after="360"/>
              <w:rPr>
                <w:rStyle w:val="DefaultParagraphFont"/>
                <w:rFonts w:ascii="Century Schoolbook" w:hAnsi="Century Schoolbook" w:cstheme="majorHAnsi"/>
                <w:sz w:val="26"/>
                <w:szCs w:val="26"/>
                <w:lang w:val="en-US" w:eastAsia="en-US" w:bidi="ar-SA"/>
              </w:rPr>
            </w:pPr>
            <w:r w:rsidRPr="003D6C5F">
              <w:rPr>
                <w:rFonts w:ascii="Century Schoolbook" w:hAnsi="Century Schoolbook" w:cstheme="majorHAnsi"/>
                <w:sz w:val="26"/>
                <w:szCs w:val="26"/>
                <w:lang w:val="en-US" w:eastAsia="en-US" w:bidi="ar-SA"/>
              </w:rPr>
              <w:tab/>
              <w:t xml:space="preserve">Defendants and Appellants. </w:t>
            </w:r>
          </w:p>
        </w:tc>
        <w:tc>
          <w:tcPr>
            <w:tcW w:w="4320" w:type="dxa"/>
            <w:tcBorders>
              <w:top w:val="nil"/>
              <w:bottom w:val="nil"/>
              <w:right w:val="nil"/>
            </w:tcBorders>
          </w:tcPr>
          <w:p w:rsidR="003150D4" w:rsidRPr="003D6C5F" w:rsidP="00333DCB" w14:paraId="450722FB" w14:textId="6553AE84">
            <w:pPr>
              <w:tabs>
                <w:tab w:val="left" w:pos="144"/>
              </w:tabs>
              <w:rPr>
                <w:rStyle w:val="DefaultParagraphFont"/>
                <w:rFonts w:ascii="Century Schoolbook" w:hAnsi="Century Schoolbook" w:cstheme="majorHAnsi"/>
                <w:sz w:val="26"/>
                <w:szCs w:val="26"/>
                <w:lang w:val="en-US" w:eastAsia="en-US" w:bidi="ar-SA"/>
              </w:rPr>
            </w:pPr>
            <w:r w:rsidRPr="003D6C5F">
              <w:rPr>
                <w:rFonts w:ascii="Century Schoolbook" w:hAnsi="Century Schoolbook" w:cstheme="majorHAnsi"/>
                <w:sz w:val="26"/>
                <w:szCs w:val="26"/>
                <w:lang w:val="en-US" w:eastAsia="en-US" w:bidi="ar-SA"/>
              </w:rPr>
              <w:tab/>
            </w:r>
            <w:bookmarkStart w:id="0" w:name="_Hlk162603704"/>
            <w:r w:rsidRPr="003D6C5F" w:rsidR="00535EBC">
              <w:rPr>
                <w:rFonts w:ascii="Century Schoolbook" w:hAnsi="Century Schoolbook" w:cstheme="majorHAnsi"/>
                <w:sz w:val="26"/>
                <w:szCs w:val="26"/>
                <w:lang w:val="en-US" w:eastAsia="en-US" w:bidi="ar-SA"/>
              </w:rPr>
              <w:t>D082754</w:t>
            </w:r>
            <w:bookmarkEnd w:id="0"/>
          </w:p>
          <w:p w:rsidR="003150D4" w:rsidRPr="003D6C5F" w:rsidP="00333DCB" w14:paraId="3DD5E002" w14:textId="77777777">
            <w:pPr>
              <w:tabs>
                <w:tab w:val="left" w:pos="144"/>
              </w:tabs>
              <w:rPr>
                <w:rStyle w:val="DefaultParagraphFont"/>
                <w:rFonts w:ascii="Century Schoolbook" w:hAnsi="Century Schoolbook" w:cstheme="majorHAnsi"/>
                <w:sz w:val="26"/>
                <w:szCs w:val="26"/>
                <w:lang w:val="en-US" w:eastAsia="en-US" w:bidi="ar-SA"/>
              </w:rPr>
            </w:pPr>
          </w:p>
          <w:p w:rsidR="003150D4" w:rsidRPr="003D6C5F" w:rsidP="00333DCB" w14:paraId="50FF8AFC" w14:textId="77777777">
            <w:pPr>
              <w:tabs>
                <w:tab w:val="left" w:pos="144"/>
              </w:tabs>
              <w:rPr>
                <w:rStyle w:val="DefaultParagraphFont"/>
                <w:rFonts w:ascii="Century Schoolbook" w:hAnsi="Century Schoolbook" w:cstheme="majorHAnsi"/>
                <w:sz w:val="26"/>
                <w:szCs w:val="26"/>
                <w:lang w:val="en-US" w:eastAsia="en-US" w:bidi="ar-SA"/>
              </w:rPr>
            </w:pPr>
          </w:p>
          <w:p w:rsidR="003150D4" w:rsidRPr="003D6C5F" w:rsidP="00333DCB" w14:paraId="3A37A945" w14:textId="57F8612E">
            <w:pPr>
              <w:tabs>
                <w:tab w:val="left" w:pos="144"/>
              </w:tabs>
              <w:rPr>
                <w:rStyle w:val="DefaultParagraphFont"/>
                <w:rFonts w:ascii="Century Schoolbook" w:hAnsi="Century Schoolbook" w:cstheme="majorHAnsi"/>
                <w:sz w:val="26"/>
                <w:szCs w:val="26"/>
                <w:lang w:val="en-US" w:eastAsia="en-US" w:bidi="ar-SA"/>
              </w:rPr>
            </w:pPr>
            <w:r w:rsidRPr="003D6C5F">
              <w:rPr>
                <w:rFonts w:ascii="Century Schoolbook" w:hAnsi="Century Schoolbook" w:cstheme="majorHAnsi"/>
                <w:sz w:val="26"/>
                <w:szCs w:val="26"/>
                <w:lang w:val="en-US" w:eastAsia="en-US" w:bidi="ar-SA"/>
              </w:rPr>
              <w:tab/>
              <w:t xml:space="preserve">(Super. Ct. No. </w:t>
            </w:r>
            <w:r w:rsidRPr="003D6C5F" w:rsidR="00535EBC">
              <w:rPr>
                <w:rFonts w:ascii="Century Schoolbook" w:hAnsi="Century Schoolbook" w:cstheme="majorHAnsi"/>
                <w:sz w:val="26"/>
                <w:szCs w:val="26"/>
                <w:lang w:val="en-US" w:eastAsia="en-US" w:bidi="ar-SA"/>
              </w:rPr>
              <w:t>RIF1605051</w:t>
            </w:r>
            <w:r w:rsidRPr="003D6C5F">
              <w:rPr>
                <w:rFonts w:ascii="Century Schoolbook" w:hAnsi="Century Schoolbook" w:cstheme="majorHAnsi"/>
                <w:sz w:val="26"/>
                <w:szCs w:val="26"/>
                <w:lang w:val="en-US" w:eastAsia="en-US" w:bidi="ar-SA"/>
              </w:rPr>
              <w:t>)</w:t>
            </w:r>
          </w:p>
          <w:p w:rsidR="003150D4" w:rsidRPr="003D6C5F" w:rsidP="00333DCB" w14:paraId="0465A066" w14:textId="77777777">
            <w:pPr>
              <w:tabs>
                <w:tab w:val="left" w:pos="144"/>
              </w:tabs>
              <w:rPr>
                <w:rStyle w:val="DefaultParagraphFont"/>
                <w:rFonts w:ascii="Century Schoolbook" w:hAnsi="Century Schoolbook" w:cstheme="majorHAnsi"/>
                <w:sz w:val="26"/>
                <w:szCs w:val="26"/>
                <w:lang w:val="en-US" w:eastAsia="en-US" w:bidi="ar-SA"/>
              </w:rPr>
            </w:pPr>
          </w:p>
        </w:tc>
      </w:tr>
    </w:tbl>
    <w:p w:rsidR="003150D4" w:rsidRPr="003D6C5F" w:rsidP="003150D4" w14:paraId="77DD70B8" w14:textId="77777777">
      <w:pPr>
        <w:rPr>
          <w:rFonts w:ascii="Century Schoolbook" w:hAnsi="Century Schoolbook" w:cstheme="majorHAnsi"/>
          <w:sz w:val="26"/>
          <w:szCs w:val="26"/>
        </w:rPr>
      </w:pPr>
    </w:p>
    <w:p w:rsidR="008744B6" w:rsidRPr="003D6C5F" w:rsidP="00333DCB" w14:paraId="053A4586" w14:textId="590604D5">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APPEAL</w:t>
      </w:r>
      <w:r w:rsidRPr="003D6C5F" w:rsidR="00535EBC">
        <w:rPr>
          <w:rFonts w:ascii="Century Schoolbook" w:hAnsi="Century Schoolbook" w:cstheme="majorHAnsi"/>
          <w:sz w:val="26"/>
          <w:szCs w:val="26"/>
        </w:rPr>
        <w:t>S</w:t>
      </w:r>
      <w:r w:rsidRPr="003D6C5F">
        <w:rPr>
          <w:rFonts w:ascii="Century Schoolbook" w:hAnsi="Century Schoolbook" w:cstheme="majorHAnsi"/>
          <w:sz w:val="26"/>
          <w:szCs w:val="26"/>
        </w:rPr>
        <w:t xml:space="preserve"> from </w:t>
      </w:r>
      <w:r w:rsidRPr="003D6C5F" w:rsidR="00DE0306">
        <w:rPr>
          <w:rFonts w:ascii="Century Schoolbook" w:hAnsi="Century Schoolbook" w:cstheme="majorHAnsi"/>
          <w:sz w:val="26"/>
          <w:szCs w:val="26"/>
        </w:rPr>
        <w:t>judgment</w:t>
      </w:r>
      <w:r w:rsidRPr="003D6C5F" w:rsidR="00535EBC">
        <w:rPr>
          <w:rFonts w:ascii="Century Schoolbook" w:hAnsi="Century Schoolbook" w:cstheme="majorHAnsi"/>
          <w:sz w:val="26"/>
          <w:szCs w:val="26"/>
        </w:rPr>
        <w:t>s</w:t>
      </w:r>
      <w:r w:rsidRPr="003D6C5F">
        <w:rPr>
          <w:rFonts w:ascii="Century Schoolbook" w:hAnsi="Century Schoolbook" w:cstheme="majorHAnsi"/>
          <w:sz w:val="26"/>
          <w:szCs w:val="26"/>
        </w:rPr>
        <w:t xml:space="preserve"> of the Superior Court of </w:t>
      </w:r>
      <w:r w:rsidRPr="003D6C5F" w:rsidR="00535EBC">
        <w:rPr>
          <w:rFonts w:ascii="Century Schoolbook" w:hAnsi="Century Schoolbook" w:cstheme="majorHAnsi"/>
          <w:sz w:val="26"/>
          <w:szCs w:val="26"/>
        </w:rPr>
        <w:t>Riverside</w:t>
      </w:r>
      <w:r w:rsidRPr="003D6C5F">
        <w:rPr>
          <w:rFonts w:ascii="Century Schoolbook" w:hAnsi="Century Schoolbook" w:cstheme="majorHAnsi"/>
          <w:sz w:val="26"/>
          <w:szCs w:val="26"/>
        </w:rPr>
        <w:t xml:space="preserve"> County, </w:t>
      </w:r>
      <w:r w:rsidRPr="003D6C5F" w:rsidR="00EC7318">
        <w:rPr>
          <w:rFonts w:ascii="Century Schoolbook" w:hAnsi="Century Schoolbook" w:cstheme="majorHAnsi"/>
          <w:sz w:val="26"/>
          <w:szCs w:val="26"/>
        </w:rPr>
        <w:t>Diane B. Altamirano</w:t>
      </w:r>
      <w:r>
        <w:rPr>
          <w:rFonts w:ascii="Century Schoolbook" w:hAnsi="Century Schoolbook" w:cstheme="majorHAnsi"/>
          <w:sz w:val="26"/>
          <w:szCs w:val="26"/>
        </w:rPr>
        <w:t>** and John D. Molloy</w:t>
      </w:r>
      <w:r w:rsidRPr="003D6C5F" w:rsidR="00EC7318">
        <w:rPr>
          <w:rFonts w:ascii="Century Schoolbook" w:hAnsi="Century Schoolbook" w:cstheme="majorHAnsi"/>
          <w:sz w:val="26"/>
          <w:szCs w:val="26"/>
        </w:rPr>
        <w:t xml:space="preserve">, </w:t>
      </w:r>
      <w:r w:rsidRPr="003D6C5F">
        <w:rPr>
          <w:rFonts w:ascii="Century Schoolbook" w:hAnsi="Century Schoolbook" w:cstheme="majorHAnsi"/>
          <w:sz w:val="26"/>
          <w:szCs w:val="26"/>
        </w:rPr>
        <w:t>Judge</w:t>
      </w:r>
      <w:r>
        <w:rPr>
          <w:rFonts w:ascii="Century Schoolbook" w:hAnsi="Century Schoolbook" w:cstheme="majorHAnsi"/>
          <w:sz w:val="26"/>
          <w:szCs w:val="26"/>
        </w:rPr>
        <w:t>s</w:t>
      </w:r>
      <w:r w:rsidRPr="003D6C5F">
        <w:rPr>
          <w:rFonts w:ascii="Century Schoolbook" w:hAnsi="Century Schoolbook" w:cstheme="majorHAnsi"/>
          <w:sz w:val="26"/>
          <w:szCs w:val="26"/>
        </w:rPr>
        <w:t xml:space="preserve">. </w:t>
      </w:r>
      <w:r w:rsidRPr="003D6C5F" w:rsidR="006077CA">
        <w:rPr>
          <w:rFonts w:ascii="Century Schoolbook" w:hAnsi="Century Schoolbook" w:cstheme="majorHAnsi"/>
          <w:sz w:val="26"/>
          <w:szCs w:val="26"/>
        </w:rPr>
        <w:t>Reversed and remanded.</w:t>
      </w:r>
    </w:p>
    <w:p w:rsidR="001071FD" w:rsidRPr="003D6C5F" w:rsidP="00884755" w14:paraId="2B7BEC37" w14:textId="1A19D3B5">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 xml:space="preserve">Jill M. Klein, under appointment by the Court of Appeal, for Defendant and Appellant Gabriela T. </w:t>
      </w:r>
      <w:bookmarkStart w:id="1" w:name="_Hlk162603721"/>
      <w:r w:rsidRPr="003D6C5F">
        <w:rPr>
          <w:rFonts w:ascii="Century Schoolbook" w:hAnsi="Century Schoolbook" w:cstheme="majorHAnsi"/>
          <w:sz w:val="26"/>
          <w:szCs w:val="26"/>
        </w:rPr>
        <w:t>Rangel</w:t>
      </w:r>
      <w:r>
        <w:rPr>
          <w:rFonts w:ascii="Century Schoolbook" w:hAnsi="Century Schoolbook" w:cstheme="majorHAnsi"/>
          <w:sz w:val="26"/>
          <w:szCs w:val="26"/>
        </w:rPr>
        <w:t xml:space="preserve"> A</w:t>
      </w:r>
      <w:r w:rsidRPr="003D6C5F">
        <w:rPr>
          <w:rFonts w:ascii="Century Schoolbook" w:hAnsi="Century Schoolbook" w:cstheme="majorHAnsi"/>
          <w:sz w:val="26"/>
          <w:szCs w:val="26"/>
        </w:rPr>
        <w:t>yala</w:t>
      </w:r>
      <w:bookmarkEnd w:id="1"/>
      <w:r w:rsidRPr="003D6C5F">
        <w:rPr>
          <w:rFonts w:ascii="Century Schoolbook" w:hAnsi="Century Schoolbook" w:cstheme="majorHAnsi"/>
          <w:sz w:val="26"/>
          <w:szCs w:val="26"/>
        </w:rPr>
        <w:t>.</w:t>
      </w:r>
    </w:p>
    <w:p w:rsidR="00884755" w:rsidP="00884755" w14:paraId="25549BAF" w14:textId="47D57ECF">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Ronda G. Norris, under appointment by the Court of Appeal, for Defendant and Appellant Raymundo Ortega Ramirez.</w:t>
      </w:r>
    </w:p>
    <w:p w:rsidR="00141D83" w:rsidRPr="003D6C5F" w:rsidP="00884755" w14:paraId="7CA7D8D8" w14:textId="77777777">
      <w:pPr>
        <w:spacing w:line="360" w:lineRule="auto"/>
        <w:rPr>
          <w:rFonts w:ascii="Century Schoolbook" w:hAnsi="Century Schoolbook" w:cstheme="majorHAnsi"/>
          <w:sz w:val="26"/>
          <w:szCs w:val="26"/>
        </w:rPr>
      </w:pPr>
    </w:p>
    <w:p w:rsidR="00834191" w:rsidP="00884755" w14:paraId="468F8488" w14:textId="5478926A">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 xml:space="preserve">Rob Bonta, Attorney General, Lance E. Winters, Chief Assistant Attorney General, Charles C. Ragland, </w:t>
      </w:r>
      <w:r>
        <w:rPr>
          <w:rFonts w:ascii="Century Schoolbook" w:hAnsi="Century Schoolbook" w:cstheme="majorHAnsi"/>
          <w:sz w:val="26"/>
          <w:szCs w:val="26"/>
        </w:rPr>
        <w:t xml:space="preserve">Assistant Attorney General, </w:t>
      </w:r>
      <w:r w:rsidRPr="003D6C5F">
        <w:rPr>
          <w:rFonts w:ascii="Century Schoolbook" w:hAnsi="Century Schoolbook" w:cstheme="majorHAnsi"/>
          <w:sz w:val="26"/>
          <w:szCs w:val="26"/>
        </w:rPr>
        <w:t>A. Natasha Cortina and Christine Levingston Bergman</w:t>
      </w:r>
      <w:r>
        <w:rPr>
          <w:rFonts w:ascii="Century Schoolbook" w:hAnsi="Century Schoolbook" w:cstheme="majorHAnsi"/>
          <w:sz w:val="26"/>
          <w:szCs w:val="26"/>
        </w:rPr>
        <w:t>, Deputy Attorneys General,</w:t>
      </w:r>
      <w:r w:rsidRPr="003D6C5F">
        <w:rPr>
          <w:rFonts w:ascii="Century Schoolbook" w:hAnsi="Century Schoolbook" w:cstheme="majorHAnsi"/>
          <w:sz w:val="26"/>
          <w:szCs w:val="26"/>
        </w:rPr>
        <w:t xml:space="preserve"> for Plaintiff and Respondent.</w:t>
      </w:r>
    </w:p>
    <w:p w:rsidR="00F2072A" w:rsidRPr="003D6C5F" w:rsidP="00884755" w14:paraId="57B7D741" w14:textId="77777777">
      <w:pPr>
        <w:spacing w:line="360" w:lineRule="auto"/>
        <w:rPr>
          <w:rFonts w:ascii="Century Schoolbook" w:hAnsi="Century Schoolbook" w:cstheme="majorHAnsi"/>
          <w:sz w:val="26"/>
          <w:szCs w:val="26"/>
        </w:rPr>
      </w:pPr>
    </w:p>
    <w:p w:rsidR="00D21C64" w:rsidRPr="003D6C5F" w:rsidP="000B1ECC" w14:paraId="23B3397A" w14:textId="730DAB3E">
      <w:pPr>
        <w:spacing w:line="360" w:lineRule="auto"/>
        <w:ind w:firstLine="720"/>
        <w:rPr>
          <w:rFonts w:ascii="Century Schoolbook" w:hAnsi="Century Schoolbook" w:cstheme="majorHAnsi"/>
          <w:sz w:val="26"/>
          <w:szCs w:val="26"/>
        </w:rPr>
      </w:pPr>
      <w:bookmarkStart w:id="2" w:name="_Hlk35345592"/>
      <w:r w:rsidRPr="003D6C5F">
        <w:rPr>
          <w:rFonts w:ascii="Century Schoolbook" w:hAnsi="Century Schoolbook" w:cstheme="majorHAnsi"/>
          <w:sz w:val="26"/>
          <w:szCs w:val="26"/>
        </w:rPr>
        <w:t xml:space="preserve">A jury </w:t>
      </w:r>
      <w:r w:rsidRPr="003D6C5F" w:rsidR="0072193E">
        <w:rPr>
          <w:rFonts w:ascii="Century Schoolbook" w:hAnsi="Century Schoolbook" w:cstheme="majorHAnsi"/>
          <w:sz w:val="26"/>
          <w:szCs w:val="26"/>
        </w:rPr>
        <w:t>convicted</w:t>
      </w:r>
      <w:r w:rsidRPr="003D6C5F">
        <w:rPr>
          <w:rFonts w:ascii="Century Schoolbook" w:hAnsi="Century Schoolbook" w:cstheme="majorHAnsi"/>
          <w:sz w:val="26"/>
          <w:szCs w:val="26"/>
        </w:rPr>
        <w:t xml:space="preserve"> Gabriela T. </w:t>
      </w:r>
      <w:r w:rsidRPr="003D6C5F" w:rsidR="00BC57F6">
        <w:rPr>
          <w:rFonts w:ascii="Century Schoolbook" w:hAnsi="Century Schoolbook" w:cstheme="majorHAnsi"/>
          <w:sz w:val="26"/>
          <w:szCs w:val="26"/>
        </w:rPr>
        <w:t>Rangel Ayala</w:t>
      </w:r>
      <w:r>
        <w:rPr>
          <w:rStyle w:val="FootnoteReference"/>
          <w:rFonts w:ascii="Century Schoolbook" w:hAnsi="Century Schoolbook" w:cstheme="majorHAnsi"/>
          <w:szCs w:val="26"/>
        </w:rPr>
        <w:footnoteReference w:id="3"/>
      </w:r>
      <w:r w:rsidRPr="003D6C5F">
        <w:rPr>
          <w:rFonts w:ascii="Century Schoolbook" w:hAnsi="Century Schoolbook" w:cstheme="majorHAnsi"/>
          <w:sz w:val="26"/>
          <w:szCs w:val="26"/>
        </w:rPr>
        <w:t xml:space="preserve"> and Raymundo Ortega Ramirez (together </w:t>
      </w:r>
      <w:r w:rsidRPr="003D6C5F" w:rsidR="00C72452">
        <w:rPr>
          <w:rFonts w:ascii="Century Schoolbook" w:hAnsi="Century Schoolbook" w:cstheme="majorHAnsi"/>
          <w:sz w:val="26"/>
          <w:szCs w:val="26"/>
        </w:rPr>
        <w:t>defendants</w:t>
      </w:r>
      <w:r w:rsidRPr="003D6C5F">
        <w:rPr>
          <w:rFonts w:ascii="Century Schoolbook" w:hAnsi="Century Schoolbook" w:cstheme="majorHAnsi"/>
          <w:sz w:val="26"/>
          <w:szCs w:val="26"/>
        </w:rPr>
        <w:t>) of murdering Samuel G. (Pen. Code,</w:t>
      </w:r>
      <w:r>
        <w:rPr>
          <w:rStyle w:val="FootnoteReference"/>
          <w:rFonts w:ascii="Century Schoolbook" w:hAnsi="Century Schoolbook" w:cstheme="majorHAnsi"/>
          <w:szCs w:val="26"/>
        </w:rPr>
        <w:footnoteReference w:id="4"/>
      </w:r>
      <w:r w:rsidRPr="003D6C5F">
        <w:rPr>
          <w:rFonts w:ascii="Century Schoolbook" w:hAnsi="Century Schoolbook" w:cstheme="majorHAnsi"/>
          <w:sz w:val="26"/>
          <w:szCs w:val="26"/>
        </w:rPr>
        <w:t xml:space="preserve"> § 187, subd. (a))</w:t>
      </w:r>
      <w:r w:rsidRPr="003D6C5F" w:rsidR="0072193E">
        <w:rPr>
          <w:rFonts w:ascii="Century Schoolbook" w:hAnsi="Century Schoolbook" w:cstheme="majorHAnsi"/>
          <w:sz w:val="26"/>
          <w:szCs w:val="26"/>
        </w:rPr>
        <w:t>,</w:t>
      </w:r>
      <w:r w:rsidRPr="003D6C5F">
        <w:rPr>
          <w:rFonts w:ascii="Century Schoolbook" w:hAnsi="Century Schoolbook" w:cstheme="majorHAnsi"/>
          <w:sz w:val="26"/>
          <w:szCs w:val="26"/>
        </w:rPr>
        <w:t xml:space="preserve"> </w:t>
      </w:r>
      <w:r w:rsidRPr="003D6C5F" w:rsidR="0072193E">
        <w:rPr>
          <w:rFonts w:ascii="Century Schoolbook" w:hAnsi="Century Schoolbook" w:cstheme="majorHAnsi"/>
          <w:sz w:val="26"/>
          <w:szCs w:val="26"/>
        </w:rPr>
        <w:t>also finding</w:t>
      </w:r>
      <w:r w:rsidRPr="003D6C5F">
        <w:rPr>
          <w:rFonts w:ascii="Century Schoolbook" w:hAnsi="Century Schoolbook" w:cstheme="majorHAnsi"/>
          <w:sz w:val="26"/>
          <w:szCs w:val="26"/>
        </w:rPr>
        <w:t xml:space="preserve"> true the special circumstance allegations that </w:t>
      </w:r>
      <w:r w:rsidRPr="003D6C5F" w:rsidR="00C72452">
        <w:rPr>
          <w:rFonts w:ascii="Century Schoolbook" w:hAnsi="Century Schoolbook" w:cstheme="majorHAnsi"/>
          <w:sz w:val="26"/>
          <w:szCs w:val="26"/>
        </w:rPr>
        <w:t>defendants</w:t>
      </w:r>
      <w:r w:rsidRPr="003D6C5F">
        <w:rPr>
          <w:rFonts w:ascii="Century Schoolbook" w:hAnsi="Century Schoolbook" w:cstheme="majorHAnsi"/>
          <w:sz w:val="26"/>
          <w:szCs w:val="26"/>
        </w:rPr>
        <w:t xml:space="preserve"> killed </w:t>
      </w:r>
      <w:r w:rsidRPr="003D6C5F" w:rsidR="008B1473">
        <w:rPr>
          <w:rFonts w:ascii="Century Schoolbook" w:hAnsi="Century Schoolbook" w:cstheme="majorHAnsi"/>
          <w:sz w:val="26"/>
          <w:szCs w:val="26"/>
        </w:rPr>
        <w:t>Samuel</w:t>
      </w:r>
      <w:r w:rsidRPr="003D6C5F">
        <w:rPr>
          <w:rFonts w:ascii="Century Schoolbook" w:hAnsi="Century Schoolbook" w:cstheme="majorHAnsi"/>
          <w:sz w:val="26"/>
          <w:szCs w:val="26"/>
        </w:rPr>
        <w:t xml:space="preserve"> while lying in wait (§ 190.2, subd. (a)(15)) and that the murder involved the infliction of torture (</w:t>
      </w:r>
      <w:r w:rsidRPr="003D6C5F">
        <w:rPr>
          <w:rFonts w:ascii="Century Schoolbook" w:hAnsi="Century Schoolbook" w:cstheme="majorHAnsi"/>
          <w:i/>
          <w:iCs/>
          <w:sz w:val="26"/>
          <w:szCs w:val="26"/>
        </w:rPr>
        <w:t>id.</w:t>
      </w:r>
      <w:r w:rsidRPr="003D6C5F" w:rsidR="007A2460">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at subd. (a)(18)).  </w:t>
      </w:r>
      <w:r w:rsidRPr="003D6C5F" w:rsidR="008B1473">
        <w:rPr>
          <w:rFonts w:ascii="Century Schoolbook" w:hAnsi="Century Schoolbook" w:cstheme="majorHAnsi"/>
          <w:sz w:val="26"/>
          <w:szCs w:val="26"/>
        </w:rPr>
        <w:t xml:space="preserve">The trial court sentenced </w:t>
      </w:r>
      <w:r w:rsidRPr="003D6C5F" w:rsidR="00BC57F6">
        <w:rPr>
          <w:rFonts w:ascii="Century Schoolbook" w:hAnsi="Century Schoolbook" w:cstheme="majorHAnsi"/>
          <w:sz w:val="26"/>
          <w:szCs w:val="26"/>
        </w:rPr>
        <w:t>Ayala</w:t>
      </w:r>
      <w:r w:rsidRPr="003D6C5F" w:rsidR="008B1473">
        <w:rPr>
          <w:rFonts w:ascii="Century Schoolbook" w:hAnsi="Century Schoolbook" w:cstheme="majorHAnsi"/>
          <w:sz w:val="26"/>
          <w:szCs w:val="26"/>
        </w:rPr>
        <w:t xml:space="preserve"> to prison for life without the possibility of parole, and Ramirez to prison for life without the possibility of parole, plus </w:t>
      </w:r>
      <w:r w:rsidRPr="003D6C5F" w:rsidR="00333DCB">
        <w:rPr>
          <w:rFonts w:ascii="Century Schoolbook" w:hAnsi="Century Schoolbook" w:cstheme="majorHAnsi"/>
          <w:sz w:val="26"/>
          <w:szCs w:val="26"/>
        </w:rPr>
        <w:t xml:space="preserve">10 </w:t>
      </w:r>
      <w:r w:rsidRPr="003D6C5F" w:rsidR="008B1473">
        <w:rPr>
          <w:rFonts w:ascii="Century Schoolbook" w:hAnsi="Century Schoolbook" w:cstheme="majorHAnsi"/>
          <w:sz w:val="26"/>
          <w:szCs w:val="26"/>
        </w:rPr>
        <w:t>years.</w:t>
      </w:r>
      <w:r w:rsidRPr="003D6C5F" w:rsidR="005F5A99">
        <w:rPr>
          <w:rFonts w:ascii="Century Schoolbook" w:hAnsi="Century Schoolbook" w:cstheme="majorHAnsi"/>
          <w:sz w:val="26"/>
          <w:szCs w:val="26"/>
        </w:rPr>
        <w:t xml:space="preserve">  </w:t>
      </w:r>
    </w:p>
    <w:p w:rsidR="007360E2" w:rsidRPr="003D6C5F" w:rsidP="000B1ECC" w14:paraId="6961393B" w14:textId="488EF8EC">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The key witness for the prosecution was Breanna S., but she did not testify at trial.  Instead, the jury heard only a reading of her testimony from the preliminary hearing years earlier.  Defendants collectively maintain the court violated their right to confrontation by admitting this testimony</w:t>
      </w:r>
      <w:r w:rsidRPr="003D6C5F" w:rsidR="00C00D7D">
        <w:rPr>
          <w:rFonts w:ascii="Century Schoolbook" w:hAnsi="Century Schoolbook" w:cstheme="majorHAnsi"/>
          <w:sz w:val="26"/>
          <w:szCs w:val="26"/>
        </w:rPr>
        <w:t>.  They</w:t>
      </w:r>
      <w:r w:rsidR="00CA6B81">
        <w:rPr>
          <w:rFonts w:ascii="Century Schoolbook" w:hAnsi="Century Schoolbook" w:cstheme="majorHAnsi"/>
          <w:sz w:val="26"/>
          <w:szCs w:val="26"/>
        </w:rPr>
        <w:t> </w:t>
      </w:r>
      <w:r w:rsidRPr="003D6C5F" w:rsidR="006E67BD">
        <w:rPr>
          <w:rFonts w:ascii="Century Schoolbook" w:hAnsi="Century Schoolbook" w:cstheme="majorHAnsi"/>
          <w:sz w:val="26"/>
          <w:szCs w:val="26"/>
        </w:rPr>
        <w:t>claim</w:t>
      </w:r>
      <w:r w:rsidRPr="003D6C5F">
        <w:rPr>
          <w:rFonts w:ascii="Century Schoolbook" w:hAnsi="Century Schoolbook" w:cstheme="majorHAnsi"/>
          <w:sz w:val="26"/>
          <w:szCs w:val="26"/>
        </w:rPr>
        <w:t xml:space="preserve"> the prosecution failed to demonstrate it exercised reasonable diligence in securing her attendance at trial</w:t>
      </w:r>
      <w:r w:rsidRPr="003D6C5F" w:rsidR="006E67BD">
        <w:rPr>
          <w:rFonts w:ascii="Century Schoolbook" w:hAnsi="Century Schoolbook" w:cstheme="majorHAnsi"/>
          <w:sz w:val="26"/>
          <w:szCs w:val="26"/>
        </w:rPr>
        <w:t>.  (</w:t>
      </w:r>
      <w:r w:rsidRPr="003D6C5F">
        <w:rPr>
          <w:rFonts w:ascii="Century Schoolbook" w:hAnsi="Century Schoolbook" w:cstheme="majorHAnsi"/>
          <w:sz w:val="26"/>
          <w:szCs w:val="26"/>
        </w:rPr>
        <w:t>Evid</w:t>
      </w:r>
      <w:r w:rsidRPr="003D6C5F" w:rsidR="006E67BD">
        <w:rPr>
          <w:rFonts w:ascii="Century Schoolbook" w:hAnsi="Century Schoolbook" w:cstheme="majorHAnsi"/>
          <w:sz w:val="26"/>
          <w:szCs w:val="26"/>
        </w:rPr>
        <w:t>.</w:t>
      </w:r>
      <w:r w:rsidRPr="003D6C5F">
        <w:rPr>
          <w:rFonts w:ascii="Century Schoolbook" w:hAnsi="Century Schoolbook" w:cstheme="majorHAnsi"/>
          <w:sz w:val="26"/>
          <w:szCs w:val="26"/>
        </w:rPr>
        <w:t xml:space="preserve"> Code</w:t>
      </w:r>
      <w:r w:rsidRPr="003D6C5F" w:rsidR="006E67BD">
        <w:rPr>
          <w:rFonts w:ascii="Century Schoolbook" w:hAnsi="Century Schoolbook" w:cstheme="majorHAnsi"/>
          <w:sz w:val="26"/>
          <w:szCs w:val="26"/>
        </w:rPr>
        <w:t>, §</w:t>
      </w:r>
      <w:r w:rsidRPr="003D6C5F">
        <w:rPr>
          <w:rFonts w:ascii="Century Schoolbook" w:hAnsi="Century Schoolbook" w:cstheme="majorHAnsi"/>
          <w:sz w:val="26"/>
          <w:szCs w:val="26"/>
        </w:rPr>
        <w:t xml:space="preserve"> 240, subd</w:t>
      </w:r>
      <w:r w:rsidRPr="003D6C5F" w:rsidR="006E67BD">
        <w:rPr>
          <w:rFonts w:ascii="Century Schoolbook" w:hAnsi="Century Schoolbook" w:cstheme="majorHAnsi"/>
          <w:sz w:val="26"/>
          <w:szCs w:val="26"/>
        </w:rPr>
        <w:t xml:space="preserve">. </w:t>
      </w:r>
      <w:r w:rsidRPr="003D6C5F">
        <w:rPr>
          <w:rFonts w:ascii="Century Schoolbook" w:hAnsi="Century Schoolbook" w:cstheme="majorHAnsi"/>
          <w:sz w:val="26"/>
          <w:szCs w:val="26"/>
        </w:rPr>
        <w:t>(a)(5).</w:t>
      </w:r>
      <w:r w:rsidRPr="003D6C5F" w:rsidR="006E67BD">
        <w:rPr>
          <w:rFonts w:ascii="Century Schoolbook" w:hAnsi="Century Schoolbook" w:cstheme="majorHAnsi"/>
          <w:sz w:val="26"/>
          <w:szCs w:val="26"/>
        </w:rPr>
        <w:t>)</w:t>
      </w:r>
      <w:r w:rsidRPr="003D6C5F">
        <w:rPr>
          <w:rFonts w:ascii="Century Schoolbook" w:hAnsi="Century Schoolbook" w:cstheme="majorHAnsi"/>
          <w:sz w:val="26"/>
          <w:szCs w:val="26"/>
        </w:rPr>
        <w:t xml:space="preserve">  The People knew Breanna was an important witness </w:t>
      </w:r>
      <w:r w:rsidRPr="003D6C5F" w:rsidR="00116A1C">
        <w:rPr>
          <w:rFonts w:ascii="Century Schoolbook" w:hAnsi="Century Schoolbook" w:cstheme="majorHAnsi"/>
          <w:sz w:val="26"/>
          <w:szCs w:val="26"/>
        </w:rPr>
        <w:t>who</w:t>
      </w:r>
      <w:r w:rsidRPr="003D6C5F">
        <w:rPr>
          <w:rFonts w:ascii="Century Schoolbook" w:hAnsi="Century Schoolbook" w:cstheme="majorHAnsi"/>
          <w:sz w:val="26"/>
          <w:szCs w:val="26"/>
        </w:rPr>
        <w:t xml:space="preserve"> </w:t>
      </w:r>
      <w:r w:rsidRPr="003D6C5F" w:rsidR="00116A1C">
        <w:rPr>
          <w:rFonts w:ascii="Century Schoolbook" w:hAnsi="Century Schoolbook" w:cstheme="majorHAnsi"/>
          <w:sz w:val="26"/>
          <w:szCs w:val="26"/>
        </w:rPr>
        <w:t>had gone</w:t>
      </w:r>
      <w:r w:rsidRPr="003D6C5F">
        <w:rPr>
          <w:rFonts w:ascii="Century Schoolbook" w:hAnsi="Century Schoolbook" w:cstheme="majorHAnsi"/>
          <w:sz w:val="26"/>
          <w:szCs w:val="26"/>
        </w:rPr>
        <w:t xml:space="preserve"> missing </w:t>
      </w:r>
      <w:r w:rsidRPr="003D6C5F" w:rsidR="008267A7">
        <w:rPr>
          <w:rFonts w:ascii="Century Schoolbook" w:hAnsi="Century Schoolbook" w:cstheme="majorHAnsi"/>
          <w:sz w:val="26"/>
          <w:szCs w:val="26"/>
        </w:rPr>
        <w:t>at least two years</w:t>
      </w:r>
      <w:r w:rsidRPr="003D6C5F">
        <w:rPr>
          <w:rFonts w:ascii="Century Schoolbook" w:hAnsi="Century Schoolbook" w:cstheme="majorHAnsi"/>
          <w:sz w:val="26"/>
          <w:szCs w:val="26"/>
        </w:rPr>
        <w:t xml:space="preserve"> before trial</w:t>
      </w:r>
      <w:r w:rsidRPr="003D6C5F" w:rsidR="00831EB0">
        <w:rPr>
          <w:rFonts w:ascii="Century Schoolbook" w:hAnsi="Century Schoolbook" w:cstheme="majorHAnsi"/>
          <w:sz w:val="26"/>
          <w:szCs w:val="26"/>
        </w:rPr>
        <w:t>.  Yet</w:t>
      </w:r>
      <w:r w:rsidRPr="003D6C5F">
        <w:rPr>
          <w:rFonts w:ascii="Century Schoolbook" w:hAnsi="Century Schoolbook" w:cstheme="majorHAnsi"/>
          <w:sz w:val="26"/>
          <w:szCs w:val="26"/>
        </w:rPr>
        <w:t xml:space="preserve"> </w:t>
      </w:r>
      <w:r w:rsidRPr="003D6C5F" w:rsidR="006650A0">
        <w:rPr>
          <w:rFonts w:ascii="Century Schoolbook" w:hAnsi="Century Schoolbook" w:cstheme="majorHAnsi"/>
          <w:sz w:val="26"/>
          <w:szCs w:val="26"/>
        </w:rPr>
        <w:t xml:space="preserve">they </w:t>
      </w:r>
      <w:r w:rsidRPr="003D6C5F">
        <w:rPr>
          <w:rFonts w:ascii="Century Schoolbook" w:hAnsi="Century Schoolbook" w:cstheme="majorHAnsi"/>
          <w:sz w:val="26"/>
          <w:szCs w:val="26"/>
        </w:rPr>
        <w:t xml:space="preserve">waited until two weeks before </w:t>
      </w:r>
      <w:r w:rsidRPr="003D6C5F" w:rsidR="00831EB0">
        <w:rPr>
          <w:rFonts w:ascii="Century Schoolbook" w:hAnsi="Century Schoolbook" w:cstheme="majorHAnsi"/>
          <w:sz w:val="26"/>
          <w:szCs w:val="26"/>
        </w:rPr>
        <w:t xml:space="preserve">the </w:t>
      </w:r>
      <w:r w:rsidRPr="003D6C5F">
        <w:rPr>
          <w:rFonts w:ascii="Century Schoolbook" w:hAnsi="Century Schoolbook" w:cstheme="majorHAnsi"/>
          <w:sz w:val="26"/>
          <w:szCs w:val="26"/>
        </w:rPr>
        <w:t xml:space="preserve">trial </w:t>
      </w:r>
      <w:r w:rsidRPr="003D6C5F" w:rsidR="00831EB0">
        <w:rPr>
          <w:rFonts w:ascii="Century Schoolbook" w:hAnsi="Century Schoolbook" w:cstheme="majorHAnsi"/>
          <w:sz w:val="26"/>
          <w:szCs w:val="26"/>
        </w:rPr>
        <w:t xml:space="preserve">date </w:t>
      </w:r>
      <w:r w:rsidRPr="003D6C5F">
        <w:rPr>
          <w:rFonts w:ascii="Century Schoolbook" w:hAnsi="Century Schoolbook" w:cstheme="majorHAnsi"/>
          <w:sz w:val="26"/>
          <w:szCs w:val="26"/>
        </w:rPr>
        <w:t xml:space="preserve">to </w:t>
      </w:r>
      <w:r w:rsidRPr="003D6C5F" w:rsidR="00831EB0">
        <w:rPr>
          <w:rFonts w:ascii="Century Schoolbook" w:hAnsi="Century Schoolbook" w:cstheme="majorHAnsi"/>
          <w:sz w:val="26"/>
          <w:szCs w:val="26"/>
        </w:rPr>
        <w:t xml:space="preserve">start </w:t>
      </w:r>
      <w:r w:rsidRPr="003D6C5F" w:rsidR="00071FA2">
        <w:rPr>
          <w:rFonts w:ascii="Century Schoolbook" w:hAnsi="Century Schoolbook" w:cstheme="majorHAnsi"/>
          <w:sz w:val="26"/>
          <w:szCs w:val="26"/>
        </w:rPr>
        <w:t xml:space="preserve">their unsuccessful </w:t>
      </w:r>
      <w:r w:rsidRPr="003D6C5F">
        <w:rPr>
          <w:rFonts w:ascii="Century Schoolbook" w:hAnsi="Century Schoolbook" w:cstheme="majorHAnsi"/>
          <w:sz w:val="26"/>
          <w:szCs w:val="26"/>
        </w:rPr>
        <w:t xml:space="preserve">search for her.  Under these circumstances, we conclude the prosecution failed to demonstrate </w:t>
      </w:r>
      <w:r w:rsidRPr="003D6C5F" w:rsidR="006E67BD">
        <w:rPr>
          <w:rFonts w:ascii="Century Schoolbook" w:hAnsi="Century Schoolbook" w:cstheme="majorHAnsi"/>
          <w:sz w:val="26"/>
          <w:szCs w:val="26"/>
        </w:rPr>
        <w:t>reasonable</w:t>
      </w:r>
      <w:r w:rsidRPr="003D6C5F">
        <w:rPr>
          <w:rFonts w:ascii="Century Schoolbook" w:hAnsi="Century Schoolbook" w:cstheme="majorHAnsi"/>
          <w:sz w:val="26"/>
          <w:szCs w:val="26"/>
        </w:rPr>
        <w:t xml:space="preserve"> diligence in securing Breanna’s presence at trial in accordance with Evidence Code section 240, subdivision (a)(5) and</w:t>
      </w:r>
      <w:r w:rsidRPr="003D6C5F" w:rsidR="00831EB0">
        <w:rPr>
          <w:rFonts w:ascii="Century Schoolbook" w:hAnsi="Century Schoolbook" w:cstheme="majorHAnsi"/>
          <w:sz w:val="26"/>
          <w:szCs w:val="26"/>
        </w:rPr>
        <w:t>, as a result,</w:t>
      </w:r>
      <w:r w:rsidRPr="003D6C5F">
        <w:rPr>
          <w:rFonts w:ascii="Century Schoolbook" w:hAnsi="Century Schoolbook" w:cstheme="majorHAnsi"/>
          <w:sz w:val="26"/>
          <w:szCs w:val="26"/>
        </w:rPr>
        <w:t xml:space="preserve"> the court erred by admitting her preliminary hearing testimony pursuant to Evidence Code section 1291.</w:t>
      </w:r>
    </w:p>
    <w:p w:rsidR="00C230B1" w:rsidRPr="003D6C5F" w:rsidP="000B1ECC" w14:paraId="52FD990F" w14:textId="0952A041">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We find it necessary to discuss some, but not all, of</w:t>
      </w:r>
      <w:r w:rsidRPr="003D6C5F" w:rsidR="00A72BF2">
        <w:rPr>
          <w:rFonts w:ascii="Century Schoolbook" w:hAnsi="Century Schoolbook" w:cstheme="majorHAnsi"/>
          <w:sz w:val="26"/>
          <w:szCs w:val="26"/>
        </w:rPr>
        <w:t xml:space="preserve"> defendants’ remaining </w:t>
      </w:r>
      <w:r w:rsidRPr="003D6C5F">
        <w:rPr>
          <w:rFonts w:ascii="Century Schoolbook" w:hAnsi="Century Schoolbook" w:cstheme="majorHAnsi"/>
          <w:sz w:val="26"/>
          <w:szCs w:val="26"/>
        </w:rPr>
        <w:t>argument</w:t>
      </w:r>
      <w:r w:rsidRPr="003D6C5F" w:rsidR="00D83057">
        <w:rPr>
          <w:rFonts w:ascii="Century Schoolbook" w:hAnsi="Century Schoolbook" w:cstheme="majorHAnsi"/>
          <w:sz w:val="26"/>
          <w:szCs w:val="26"/>
        </w:rPr>
        <w:t>s</w:t>
      </w:r>
      <w:r w:rsidRPr="003D6C5F">
        <w:rPr>
          <w:rFonts w:ascii="Century Schoolbook" w:hAnsi="Century Schoolbook" w:cstheme="majorHAnsi"/>
          <w:sz w:val="26"/>
          <w:szCs w:val="26"/>
        </w:rPr>
        <w:t>.  First, we</w:t>
      </w:r>
      <w:r w:rsidRPr="003D6C5F" w:rsidR="00A72BF2">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conclude the evidence is sufficient to permit retrial of Ramirez’s first degree murder conviction and the lying in wait and torture special circumstances.  Next, for the benefit of the trial court, we address two issues that </w:t>
      </w:r>
      <w:r w:rsidRPr="003D6C5F" w:rsidR="00A72BF2">
        <w:rPr>
          <w:rFonts w:ascii="Century Schoolbook" w:hAnsi="Century Schoolbook" w:cstheme="majorHAnsi"/>
          <w:sz w:val="26"/>
          <w:szCs w:val="26"/>
        </w:rPr>
        <w:t xml:space="preserve">may arise again on remand.  </w:t>
      </w:r>
      <w:r w:rsidRPr="003D6C5F">
        <w:rPr>
          <w:rFonts w:ascii="Century Schoolbook" w:hAnsi="Century Schoolbook" w:cstheme="majorHAnsi"/>
          <w:sz w:val="26"/>
          <w:szCs w:val="26"/>
        </w:rPr>
        <w:t xml:space="preserve">We agree with </w:t>
      </w:r>
      <w:r w:rsidRPr="003D6C5F" w:rsidR="00A72BF2">
        <w:rPr>
          <w:rFonts w:ascii="Century Schoolbook" w:hAnsi="Century Schoolbook" w:cstheme="majorHAnsi"/>
          <w:sz w:val="26"/>
          <w:szCs w:val="26"/>
        </w:rPr>
        <w:t>Ayala</w:t>
      </w:r>
      <w:r w:rsidRPr="003D6C5F">
        <w:rPr>
          <w:rFonts w:ascii="Century Schoolbook" w:hAnsi="Century Schoolbook" w:cstheme="majorHAnsi"/>
          <w:sz w:val="26"/>
          <w:szCs w:val="26"/>
        </w:rPr>
        <w:t>’s</w:t>
      </w:r>
      <w:r w:rsidRPr="003D6C5F" w:rsidR="00A72BF2">
        <w:rPr>
          <w:rFonts w:ascii="Century Schoolbook" w:hAnsi="Century Schoolbook" w:cstheme="majorHAnsi"/>
          <w:sz w:val="26"/>
          <w:szCs w:val="26"/>
        </w:rPr>
        <w:t xml:space="preserve"> </w:t>
      </w:r>
      <w:r w:rsidRPr="003D6C5F">
        <w:rPr>
          <w:rFonts w:ascii="Century Schoolbook" w:hAnsi="Century Schoolbook" w:cstheme="majorHAnsi"/>
          <w:sz w:val="26"/>
          <w:szCs w:val="26"/>
        </w:rPr>
        <w:t>contention</w:t>
      </w:r>
      <w:r w:rsidRPr="003D6C5F" w:rsidR="00A72BF2">
        <w:rPr>
          <w:rFonts w:ascii="Century Schoolbook" w:hAnsi="Century Schoolbook" w:cstheme="majorHAnsi"/>
          <w:sz w:val="26"/>
          <w:szCs w:val="26"/>
        </w:rPr>
        <w:t xml:space="preserve"> the trial court erred by allowing the prosecution to introduce evidence of her “Satan worshiping.”  </w:t>
      </w:r>
      <w:r w:rsidRPr="003D6C5F">
        <w:rPr>
          <w:rFonts w:ascii="Century Schoolbook" w:hAnsi="Century Schoolbook" w:cstheme="majorHAnsi"/>
          <w:sz w:val="26"/>
          <w:szCs w:val="26"/>
        </w:rPr>
        <w:t>But w</w:t>
      </w:r>
      <w:r w:rsidRPr="003D6C5F" w:rsidR="00A72BF2">
        <w:rPr>
          <w:rFonts w:ascii="Century Schoolbook" w:hAnsi="Century Schoolbook" w:cstheme="majorHAnsi"/>
          <w:sz w:val="26"/>
          <w:szCs w:val="26"/>
        </w:rPr>
        <w:t xml:space="preserve">e </w:t>
      </w:r>
      <w:r w:rsidRPr="003D6C5F">
        <w:rPr>
          <w:rFonts w:ascii="Century Schoolbook" w:hAnsi="Century Schoolbook" w:cstheme="majorHAnsi"/>
          <w:sz w:val="26"/>
          <w:szCs w:val="26"/>
        </w:rPr>
        <w:t>reject defendants’ argument the court</w:t>
      </w:r>
      <w:r w:rsidRPr="003D6C5F" w:rsidR="00A72BF2">
        <w:rPr>
          <w:rFonts w:ascii="Century Schoolbook" w:hAnsi="Century Schoolbook" w:cstheme="majorHAnsi"/>
          <w:sz w:val="26"/>
          <w:szCs w:val="26"/>
        </w:rPr>
        <w:t xml:space="preserve"> err</w:t>
      </w:r>
      <w:r w:rsidRPr="003D6C5F">
        <w:rPr>
          <w:rFonts w:ascii="Century Schoolbook" w:hAnsi="Century Schoolbook" w:cstheme="majorHAnsi"/>
          <w:sz w:val="26"/>
          <w:szCs w:val="26"/>
        </w:rPr>
        <w:t>ed</w:t>
      </w:r>
      <w:r w:rsidRPr="003D6C5F" w:rsidR="00A72BF2">
        <w:rPr>
          <w:rFonts w:ascii="Century Schoolbook" w:hAnsi="Century Schoolbook" w:cstheme="majorHAnsi"/>
          <w:sz w:val="26"/>
          <w:szCs w:val="26"/>
        </w:rPr>
        <w:t xml:space="preserve"> when it declined to instruct the jury that Breanna was an accomplice as a matter of law.</w:t>
      </w:r>
      <w:r w:rsidRPr="003D6C5F" w:rsidR="007360E2">
        <w:rPr>
          <w:rFonts w:ascii="Century Schoolbook" w:hAnsi="Century Schoolbook" w:cstheme="majorHAnsi"/>
          <w:sz w:val="26"/>
          <w:szCs w:val="26"/>
        </w:rPr>
        <w:t xml:space="preserve">  </w:t>
      </w:r>
    </w:p>
    <w:p w:rsidR="007360E2" w:rsidRPr="003D6C5F" w:rsidP="000B1ECC" w14:paraId="22B6B15C" w14:textId="07C3A867">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 </w:t>
      </w:r>
      <w:r w:rsidRPr="003D6C5F" w:rsidR="00A571B0">
        <w:rPr>
          <w:rFonts w:ascii="Century Schoolbook" w:hAnsi="Century Schoolbook" w:cstheme="majorHAnsi"/>
          <w:sz w:val="26"/>
          <w:szCs w:val="26"/>
        </w:rPr>
        <w:t>Accordingly, w</w:t>
      </w:r>
      <w:r w:rsidRPr="003D6C5F" w:rsidR="00F824D5">
        <w:rPr>
          <w:rFonts w:ascii="Century Schoolbook" w:hAnsi="Century Schoolbook" w:cstheme="majorHAnsi"/>
          <w:sz w:val="26"/>
          <w:szCs w:val="26"/>
        </w:rPr>
        <w:t>e reverse the judgments and remand the matter to the trial court.</w:t>
      </w:r>
      <w:r>
        <w:rPr>
          <w:rStyle w:val="FootnoteReference"/>
          <w:rFonts w:ascii="Century Schoolbook" w:hAnsi="Century Schoolbook" w:cstheme="majorHAnsi"/>
          <w:szCs w:val="26"/>
        </w:rPr>
        <w:footnoteReference w:id="5"/>
      </w:r>
      <w:r w:rsidRPr="003D6C5F" w:rsidR="00F824D5">
        <w:rPr>
          <w:rFonts w:ascii="Century Schoolbook" w:hAnsi="Century Schoolbook" w:cstheme="majorHAnsi"/>
          <w:sz w:val="26"/>
          <w:szCs w:val="26"/>
        </w:rPr>
        <w:t xml:space="preserve">  </w:t>
      </w:r>
    </w:p>
    <w:bookmarkEnd w:id="2"/>
    <w:p w:rsidR="00AA6ACC" w:rsidRPr="003D6C5F" w:rsidP="00E07368" w14:paraId="381AA2BF" w14:textId="7EFCEB10">
      <w:pPr>
        <w:pStyle w:val="Heading1"/>
        <w:spacing w:before="120" w:after="120"/>
        <w:rPr>
          <w:rFonts w:ascii="Century Schoolbook" w:hAnsi="Century Schoolbook" w:cstheme="majorHAnsi"/>
          <w:b/>
          <w:bCs/>
          <w:sz w:val="26"/>
          <w:szCs w:val="26"/>
        </w:rPr>
      </w:pPr>
      <w:r w:rsidRPr="003D6C5F">
        <w:rPr>
          <w:rFonts w:ascii="Century Schoolbook" w:hAnsi="Century Schoolbook" w:cstheme="majorHAnsi"/>
          <w:b/>
          <w:bCs/>
          <w:sz w:val="26"/>
          <w:szCs w:val="26"/>
        </w:rPr>
        <w:t>FACTUAL AND PROCEDURAL BACKGROUND</w:t>
      </w:r>
    </w:p>
    <w:p w:rsidR="00535EBC" w:rsidRPr="003D6C5F" w:rsidP="00E07368" w14:paraId="7BA37EC8" w14:textId="6C39C92B">
      <w:pPr>
        <w:pStyle w:val="Heading2"/>
        <w:spacing w:before="120" w:after="240"/>
        <w:jc w:val="left"/>
        <w:rPr>
          <w:rFonts w:ascii="Century Schoolbook" w:hAnsi="Century Schoolbook" w:cstheme="majorHAnsi"/>
          <w:b/>
          <w:bCs/>
          <w:sz w:val="26"/>
          <w:szCs w:val="26"/>
        </w:rPr>
      </w:pPr>
      <w:r w:rsidRPr="003D6C5F">
        <w:rPr>
          <w:rFonts w:ascii="Century Schoolbook" w:hAnsi="Century Schoolbook" w:cstheme="majorHAnsi"/>
          <w:b/>
          <w:bCs/>
          <w:sz w:val="26"/>
          <w:szCs w:val="26"/>
        </w:rPr>
        <w:t xml:space="preserve">The </w:t>
      </w:r>
      <w:r w:rsidR="005A07D8">
        <w:rPr>
          <w:rFonts w:ascii="Century Schoolbook" w:hAnsi="Century Schoolbook" w:cstheme="majorHAnsi"/>
          <w:b/>
          <w:bCs/>
          <w:sz w:val="26"/>
          <w:szCs w:val="26"/>
        </w:rPr>
        <w:t>Participants</w:t>
      </w:r>
    </w:p>
    <w:p w:rsidR="00135D3A" w:rsidRPr="003D6C5F" w:rsidP="000B1ECC" w14:paraId="54148F10" w14:textId="200D2BC2">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 xml:space="preserve">In 2016,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w:t>
      </w:r>
      <w:r w:rsidRPr="003D6C5F" w:rsidR="00662F66">
        <w:rPr>
          <w:rFonts w:ascii="Century Schoolbook" w:hAnsi="Century Schoolbook" w:cstheme="majorHAnsi"/>
          <w:sz w:val="26"/>
          <w:szCs w:val="26"/>
        </w:rPr>
        <w:t xml:space="preserve">was </w:t>
      </w:r>
      <w:r w:rsidRPr="003D6C5F">
        <w:rPr>
          <w:rFonts w:ascii="Century Schoolbook" w:hAnsi="Century Schoolbook" w:cstheme="majorHAnsi"/>
          <w:sz w:val="26"/>
          <w:szCs w:val="26"/>
        </w:rPr>
        <w:t>liv</w:t>
      </w:r>
      <w:r w:rsidRPr="003D6C5F" w:rsidR="00662F66">
        <w:rPr>
          <w:rFonts w:ascii="Century Schoolbook" w:hAnsi="Century Schoolbook" w:cstheme="majorHAnsi"/>
          <w:sz w:val="26"/>
          <w:szCs w:val="26"/>
        </w:rPr>
        <w:t>ing</w:t>
      </w:r>
      <w:r w:rsidRPr="003D6C5F">
        <w:rPr>
          <w:rFonts w:ascii="Century Schoolbook" w:hAnsi="Century Schoolbook" w:cstheme="majorHAnsi"/>
          <w:sz w:val="26"/>
          <w:szCs w:val="26"/>
        </w:rPr>
        <w:t xml:space="preserve"> in an R.V. </w:t>
      </w:r>
      <w:r w:rsidRPr="003D6C5F" w:rsidR="00662F66">
        <w:rPr>
          <w:rFonts w:ascii="Century Schoolbook" w:hAnsi="Century Schoolbook" w:cstheme="majorHAnsi"/>
          <w:sz w:val="26"/>
          <w:szCs w:val="26"/>
        </w:rPr>
        <w:t>that</w:t>
      </w:r>
      <w:r w:rsidRPr="003D6C5F">
        <w:rPr>
          <w:rFonts w:ascii="Century Schoolbook" w:hAnsi="Century Schoolbook" w:cstheme="majorHAnsi"/>
          <w:sz w:val="26"/>
          <w:szCs w:val="26"/>
        </w:rPr>
        <w:t xml:space="preserve"> was parked near an abandoned house in a remote area of Riverside County. </w:t>
      </w:r>
      <w:r w:rsidRPr="003D6C5F" w:rsidR="00E64AE0">
        <w:rPr>
          <w:rFonts w:ascii="Century Schoolbook" w:hAnsi="Century Schoolbook" w:cstheme="majorHAnsi"/>
          <w:sz w:val="26"/>
          <w:szCs w:val="26"/>
        </w:rPr>
        <w:t xml:space="preserve"> </w:t>
      </w:r>
      <w:r w:rsidRPr="003D6C5F">
        <w:rPr>
          <w:rFonts w:ascii="Century Schoolbook" w:hAnsi="Century Schoolbook" w:cstheme="majorHAnsi"/>
          <w:sz w:val="26"/>
          <w:szCs w:val="26"/>
        </w:rPr>
        <w:t>The abandoned house had no electricity or running water</w:t>
      </w:r>
      <w:r w:rsidRPr="003D6C5F" w:rsidR="0019612A">
        <w:rPr>
          <w:rFonts w:ascii="Century Schoolbook" w:hAnsi="Century Schoolbook" w:cstheme="majorHAnsi"/>
          <w:sz w:val="26"/>
          <w:szCs w:val="26"/>
        </w:rPr>
        <w:t>.</w:t>
      </w:r>
      <w:r w:rsidR="005A07D8">
        <w:rPr>
          <w:rFonts w:ascii="Century Schoolbook" w:hAnsi="Century Schoolbook" w:cstheme="majorHAnsi"/>
          <w:sz w:val="26"/>
          <w:szCs w:val="26"/>
        </w:rPr>
        <w:t xml:space="preserve"> Ayala</w:t>
      </w:r>
      <w:r w:rsidRPr="003D6C5F" w:rsidR="005A07D8">
        <w:rPr>
          <w:rFonts w:ascii="Century Schoolbook" w:hAnsi="Century Schoolbook" w:cstheme="majorHAnsi"/>
          <w:sz w:val="26"/>
          <w:szCs w:val="26"/>
        </w:rPr>
        <w:t xml:space="preserve"> had two sons, Jonathan and Victor.</w:t>
      </w:r>
      <w:r>
        <w:rPr>
          <w:rStyle w:val="FootnoteReference"/>
          <w:rFonts w:ascii="Century Schoolbook" w:hAnsi="Century Schoolbook" w:cstheme="majorHAnsi"/>
          <w:szCs w:val="26"/>
        </w:rPr>
        <w:footnoteReference w:id="6"/>
      </w:r>
      <w:r w:rsidRPr="003D6C5F" w:rsidR="005A07D8">
        <w:rPr>
          <w:rFonts w:ascii="Century Schoolbook" w:hAnsi="Century Schoolbook" w:cstheme="majorHAnsi"/>
          <w:sz w:val="26"/>
          <w:szCs w:val="26"/>
        </w:rPr>
        <w:t xml:space="preserve">  Cheyenne was Victor’s girlfriend.  In 2009, Ayala informally adopted Angel A. and considered him to be her son.  </w:t>
      </w:r>
    </w:p>
    <w:p w:rsidR="00EC7318" w:rsidRPr="003D6C5F" w:rsidP="002A2BFB" w14:paraId="69D30040" w14:textId="4C9FF21C">
      <w:pPr>
        <w:keepNext/>
        <w:keepLines/>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r>
      <w:r w:rsidRPr="003D6C5F" w:rsidR="008836E2">
        <w:rPr>
          <w:rFonts w:ascii="Century Schoolbook" w:hAnsi="Century Schoolbook" w:cstheme="majorHAnsi"/>
          <w:sz w:val="26"/>
          <w:szCs w:val="26"/>
        </w:rPr>
        <w:t>I</w:t>
      </w:r>
      <w:r w:rsidRPr="003D6C5F" w:rsidR="007B5D8A">
        <w:rPr>
          <w:rFonts w:ascii="Century Schoolbook" w:hAnsi="Century Schoolbook" w:cstheme="majorHAnsi"/>
          <w:sz w:val="26"/>
          <w:szCs w:val="26"/>
        </w:rPr>
        <w:t xml:space="preserve">n August </w:t>
      </w:r>
      <w:r w:rsidRPr="003D6C5F">
        <w:rPr>
          <w:rFonts w:ascii="Century Schoolbook" w:hAnsi="Century Schoolbook" w:cstheme="majorHAnsi"/>
          <w:sz w:val="26"/>
          <w:szCs w:val="26"/>
        </w:rPr>
        <w:t>2016, Breanna</w:t>
      </w:r>
      <w:r w:rsidRPr="003D6C5F" w:rsidR="007A2460">
        <w:rPr>
          <w:rFonts w:ascii="Century Schoolbook" w:hAnsi="Century Schoolbook" w:cstheme="majorHAnsi"/>
          <w:sz w:val="26"/>
          <w:szCs w:val="26"/>
        </w:rPr>
        <w:t xml:space="preserve"> </w:t>
      </w:r>
      <w:r w:rsidRPr="003D6C5F">
        <w:rPr>
          <w:rFonts w:ascii="Century Schoolbook" w:hAnsi="Century Schoolbook" w:cstheme="majorHAnsi"/>
          <w:sz w:val="26"/>
          <w:szCs w:val="26"/>
        </w:rPr>
        <w:t>was about six months pregnant</w:t>
      </w:r>
      <w:r w:rsidRPr="003D6C5F" w:rsidR="008836E2">
        <w:rPr>
          <w:rFonts w:ascii="Century Schoolbook" w:hAnsi="Century Schoolbook" w:cstheme="majorHAnsi"/>
          <w:sz w:val="26"/>
          <w:szCs w:val="26"/>
        </w:rPr>
        <w:t>.  At about this time</w:t>
      </w:r>
      <w:r w:rsidRPr="003D6C5F">
        <w:rPr>
          <w:rFonts w:ascii="Century Schoolbook" w:hAnsi="Century Schoolbook" w:cstheme="majorHAnsi"/>
          <w:sz w:val="26"/>
          <w:szCs w:val="26"/>
        </w:rPr>
        <w:t xml:space="preserve">, </w:t>
      </w:r>
      <w:r w:rsidRPr="003D6C5F" w:rsidR="008836E2">
        <w:rPr>
          <w:rFonts w:ascii="Century Schoolbook" w:hAnsi="Century Schoolbook" w:cstheme="majorHAnsi"/>
          <w:sz w:val="26"/>
          <w:szCs w:val="26"/>
        </w:rPr>
        <w:t xml:space="preserve">she </w:t>
      </w:r>
      <w:r w:rsidRPr="003D6C5F">
        <w:rPr>
          <w:rFonts w:ascii="Century Schoolbook" w:hAnsi="Century Schoolbook" w:cstheme="majorHAnsi"/>
          <w:sz w:val="26"/>
          <w:szCs w:val="26"/>
        </w:rPr>
        <w:t>met Samuel</w:t>
      </w:r>
      <w:r w:rsidRPr="003D6C5F" w:rsidR="00662F66">
        <w:rPr>
          <w:rFonts w:ascii="Century Schoolbook" w:hAnsi="Century Schoolbook" w:cstheme="majorHAnsi"/>
          <w:sz w:val="26"/>
          <w:szCs w:val="26"/>
        </w:rPr>
        <w:t>, the eventual victim,</w:t>
      </w:r>
      <w:r w:rsidRPr="003D6C5F">
        <w:rPr>
          <w:rFonts w:ascii="Century Schoolbook" w:hAnsi="Century Schoolbook" w:cstheme="majorHAnsi"/>
          <w:sz w:val="26"/>
          <w:szCs w:val="26"/>
        </w:rPr>
        <w:t xml:space="preserve"> on an internet dating site.  They met in-person about three times and twice engaged in a sexual relationship.</w:t>
      </w:r>
      <w:r w:rsidRPr="003D6C5F" w:rsidR="006C602D">
        <w:rPr>
          <w:rFonts w:ascii="Century Schoolbook" w:hAnsi="Century Schoolbook" w:cstheme="majorHAnsi"/>
          <w:sz w:val="26"/>
          <w:szCs w:val="26"/>
        </w:rPr>
        <w:t xml:space="preserve">  </w:t>
      </w:r>
      <w:r w:rsidRPr="003D6C5F">
        <w:rPr>
          <w:rFonts w:ascii="Century Schoolbook" w:hAnsi="Century Schoolbook" w:cstheme="majorHAnsi"/>
          <w:sz w:val="26"/>
          <w:szCs w:val="26"/>
        </w:rPr>
        <w:t>After Breanna told Samuel that she no longer wanted to see him,</w:t>
      </w:r>
      <w:r w:rsidRPr="003D6C5F" w:rsidR="00EF491E">
        <w:rPr>
          <w:rFonts w:ascii="Century Schoolbook" w:hAnsi="Century Schoolbook" w:cstheme="majorHAnsi"/>
          <w:sz w:val="26"/>
          <w:szCs w:val="26"/>
        </w:rPr>
        <w:t xml:space="preserve"> </w:t>
      </w:r>
      <w:r w:rsidRPr="003D6C5F" w:rsidR="000C618F">
        <w:rPr>
          <w:rFonts w:ascii="Century Schoolbook" w:hAnsi="Century Schoolbook" w:cstheme="majorHAnsi"/>
          <w:sz w:val="26"/>
          <w:szCs w:val="26"/>
        </w:rPr>
        <w:t>he</w:t>
      </w:r>
      <w:r w:rsidRPr="003D6C5F">
        <w:rPr>
          <w:rFonts w:ascii="Century Schoolbook" w:hAnsi="Century Schoolbook" w:cstheme="majorHAnsi"/>
          <w:sz w:val="26"/>
          <w:szCs w:val="26"/>
        </w:rPr>
        <w:t xml:space="preserve"> threatened to kill her and tell the father of her child, who was in prison, about their affair.</w:t>
      </w:r>
    </w:p>
    <w:p w:rsidR="00377909" w:rsidRPr="003D6C5F" w:rsidP="000B1ECC" w14:paraId="06A05D4D" w14:textId="266AE1D4">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r>
      <w:r w:rsidRPr="003D6C5F" w:rsidR="00742C55">
        <w:rPr>
          <w:rFonts w:ascii="Century Schoolbook" w:hAnsi="Century Schoolbook" w:cstheme="majorHAnsi"/>
          <w:sz w:val="26"/>
          <w:szCs w:val="26"/>
        </w:rPr>
        <w:t xml:space="preserve">In September 2016, </w:t>
      </w:r>
      <w:r w:rsidRPr="003D6C5F">
        <w:rPr>
          <w:rFonts w:ascii="Century Schoolbook" w:hAnsi="Century Schoolbook" w:cstheme="majorHAnsi"/>
          <w:sz w:val="26"/>
          <w:szCs w:val="26"/>
        </w:rPr>
        <w:t xml:space="preserve">knowing that </w:t>
      </w:r>
      <w:r w:rsidRPr="003D6C5F" w:rsidR="00742C55">
        <w:rPr>
          <w:rFonts w:ascii="Century Schoolbook" w:hAnsi="Century Schoolbook" w:cstheme="majorHAnsi"/>
          <w:sz w:val="26"/>
          <w:szCs w:val="26"/>
        </w:rPr>
        <w:t>Breanna was homeless</w:t>
      </w:r>
      <w:r w:rsidRPr="003D6C5F">
        <w:rPr>
          <w:rFonts w:ascii="Century Schoolbook" w:hAnsi="Century Schoolbook" w:cstheme="majorHAnsi"/>
          <w:sz w:val="26"/>
          <w:szCs w:val="26"/>
        </w:rPr>
        <w:t>,</w:t>
      </w:r>
      <w:r w:rsidRPr="003D6C5F" w:rsidR="00742C55">
        <w:rPr>
          <w:rFonts w:ascii="Century Schoolbook" w:hAnsi="Century Schoolbook" w:cstheme="majorHAnsi"/>
          <w:sz w:val="26"/>
          <w:szCs w:val="26"/>
        </w:rPr>
        <w:t xml:space="preserve"> </w:t>
      </w:r>
      <w:r w:rsidRPr="003D6C5F" w:rsidR="00EF491E">
        <w:rPr>
          <w:rFonts w:ascii="Century Schoolbook" w:hAnsi="Century Schoolbook" w:cstheme="majorHAnsi"/>
          <w:sz w:val="26"/>
          <w:szCs w:val="26"/>
        </w:rPr>
        <w:t>Cheyenne and another person</w:t>
      </w:r>
      <w:r w:rsidRPr="003D6C5F" w:rsidR="00742C55">
        <w:rPr>
          <w:rFonts w:ascii="Century Schoolbook" w:hAnsi="Century Schoolbook" w:cstheme="majorHAnsi"/>
          <w:sz w:val="26"/>
          <w:szCs w:val="26"/>
        </w:rPr>
        <w:t xml:space="preserve"> arranged for </w:t>
      </w:r>
      <w:r w:rsidRPr="003D6C5F" w:rsidR="00EF491E">
        <w:rPr>
          <w:rFonts w:ascii="Century Schoolbook" w:hAnsi="Century Schoolbook" w:cstheme="majorHAnsi"/>
          <w:sz w:val="26"/>
          <w:szCs w:val="26"/>
        </w:rPr>
        <w:t>Breanna</w:t>
      </w:r>
      <w:r w:rsidRPr="003D6C5F" w:rsidR="00742C55">
        <w:rPr>
          <w:rFonts w:ascii="Century Schoolbook" w:hAnsi="Century Schoolbook" w:cstheme="majorHAnsi"/>
          <w:sz w:val="26"/>
          <w:szCs w:val="26"/>
        </w:rPr>
        <w:t xml:space="preserve"> to meet </w:t>
      </w:r>
      <w:r w:rsidRPr="003D6C5F" w:rsidR="00BC57F6">
        <w:rPr>
          <w:rFonts w:ascii="Century Schoolbook" w:hAnsi="Century Schoolbook" w:cstheme="majorHAnsi"/>
          <w:sz w:val="26"/>
          <w:szCs w:val="26"/>
        </w:rPr>
        <w:t>Ayala</w:t>
      </w:r>
      <w:r w:rsidRPr="003D6C5F" w:rsidR="00742C55">
        <w:rPr>
          <w:rFonts w:ascii="Century Schoolbook" w:hAnsi="Century Schoolbook" w:cstheme="majorHAnsi"/>
          <w:sz w:val="26"/>
          <w:szCs w:val="26"/>
        </w:rPr>
        <w:t xml:space="preserve"> so </w:t>
      </w:r>
      <w:r w:rsidRPr="003D6C5F" w:rsidR="005522B0">
        <w:rPr>
          <w:rFonts w:ascii="Century Schoolbook" w:hAnsi="Century Schoolbook" w:cstheme="majorHAnsi"/>
          <w:sz w:val="26"/>
          <w:szCs w:val="26"/>
        </w:rPr>
        <w:t>she</w:t>
      </w:r>
      <w:r w:rsidRPr="003D6C5F" w:rsidR="00742C55">
        <w:rPr>
          <w:rFonts w:ascii="Century Schoolbook" w:hAnsi="Century Schoolbook" w:cstheme="majorHAnsi"/>
          <w:sz w:val="26"/>
          <w:szCs w:val="26"/>
        </w:rPr>
        <w:t xml:space="preserve"> could have a</w:t>
      </w:r>
      <w:r w:rsidR="00515B10">
        <w:rPr>
          <w:rFonts w:ascii="Century Schoolbook" w:hAnsi="Century Schoolbook" w:cstheme="majorHAnsi"/>
          <w:sz w:val="26"/>
          <w:szCs w:val="26"/>
        </w:rPr>
        <w:t> </w:t>
      </w:r>
      <w:r w:rsidRPr="003D6C5F" w:rsidR="00742C55">
        <w:rPr>
          <w:rFonts w:ascii="Century Schoolbook" w:hAnsi="Century Schoolbook" w:cstheme="majorHAnsi"/>
          <w:sz w:val="26"/>
          <w:szCs w:val="26"/>
        </w:rPr>
        <w:t>place to stay.</w:t>
      </w:r>
      <w:r w:rsidRPr="003D6C5F" w:rsidR="005522B0">
        <w:rPr>
          <w:rFonts w:ascii="Century Schoolbook" w:hAnsi="Century Schoolbook" w:cstheme="majorHAnsi"/>
          <w:sz w:val="26"/>
          <w:szCs w:val="26"/>
        </w:rPr>
        <w:t xml:space="preserve">  </w:t>
      </w:r>
      <w:r w:rsidRPr="003D6C5F">
        <w:rPr>
          <w:rFonts w:ascii="Century Schoolbook" w:hAnsi="Century Schoolbook" w:cstheme="majorHAnsi"/>
          <w:sz w:val="26"/>
          <w:szCs w:val="26"/>
        </w:rPr>
        <w:t>They first</w:t>
      </w:r>
      <w:r w:rsidRPr="003D6C5F" w:rsidR="005522B0">
        <w:rPr>
          <w:rFonts w:ascii="Century Schoolbook" w:hAnsi="Century Schoolbook" w:cstheme="majorHAnsi"/>
          <w:sz w:val="26"/>
          <w:szCs w:val="26"/>
        </w:rPr>
        <w:t xml:space="preserve"> </w:t>
      </w:r>
      <w:r w:rsidRPr="003D6C5F" w:rsidR="004C7176">
        <w:rPr>
          <w:rFonts w:ascii="Century Schoolbook" w:hAnsi="Century Schoolbook" w:cstheme="majorHAnsi"/>
          <w:sz w:val="26"/>
          <w:szCs w:val="26"/>
        </w:rPr>
        <w:t xml:space="preserve">met </w:t>
      </w:r>
      <w:r w:rsidRPr="003D6C5F" w:rsidR="007B5D8A">
        <w:rPr>
          <w:rFonts w:ascii="Century Schoolbook" w:hAnsi="Century Schoolbook" w:cstheme="majorHAnsi"/>
          <w:sz w:val="26"/>
          <w:szCs w:val="26"/>
        </w:rPr>
        <w:t>about three days before Samuel’s murder</w:t>
      </w:r>
      <w:r w:rsidRPr="003D6C5F">
        <w:rPr>
          <w:rFonts w:ascii="Century Schoolbook" w:hAnsi="Century Schoolbook" w:cstheme="majorHAnsi"/>
          <w:sz w:val="26"/>
          <w:szCs w:val="26"/>
        </w:rPr>
        <w:t xml:space="preserve">. </w:t>
      </w:r>
      <w:r w:rsidRPr="003D6C5F" w:rsidR="00E60CBC">
        <w:rPr>
          <w:rFonts w:ascii="Century Schoolbook" w:hAnsi="Century Schoolbook" w:cstheme="majorHAnsi"/>
          <w:sz w:val="26"/>
          <w:szCs w:val="26"/>
        </w:rPr>
        <w:t xml:space="preserve"> </w:t>
      </w:r>
      <w:r w:rsidRPr="003D6C5F" w:rsidR="00BC57F6">
        <w:rPr>
          <w:rFonts w:ascii="Century Schoolbook" w:hAnsi="Century Schoolbook" w:cstheme="majorHAnsi"/>
          <w:sz w:val="26"/>
          <w:szCs w:val="26"/>
        </w:rPr>
        <w:t>Ayala</w:t>
      </w:r>
      <w:r w:rsidRPr="003D6C5F" w:rsidR="00E60CBC">
        <w:rPr>
          <w:rFonts w:ascii="Century Schoolbook" w:hAnsi="Century Schoolbook" w:cstheme="majorHAnsi"/>
          <w:sz w:val="26"/>
          <w:szCs w:val="26"/>
        </w:rPr>
        <w:t xml:space="preserve"> </w:t>
      </w:r>
      <w:r w:rsidRPr="003D6C5F" w:rsidR="00390C9F">
        <w:rPr>
          <w:rFonts w:ascii="Century Schoolbook" w:hAnsi="Century Schoolbook" w:cstheme="majorHAnsi"/>
          <w:sz w:val="26"/>
          <w:szCs w:val="26"/>
        </w:rPr>
        <w:t>let</w:t>
      </w:r>
      <w:r w:rsidRPr="003D6C5F" w:rsidR="00E60CBC">
        <w:rPr>
          <w:rFonts w:ascii="Century Schoolbook" w:hAnsi="Century Schoolbook" w:cstheme="majorHAnsi"/>
          <w:sz w:val="26"/>
          <w:szCs w:val="26"/>
        </w:rPr>
        <w:t xml:space="preserve"> Breanna </w:t>
      </w:r>
      <w:r w:rsidRPr="003D6C5F" w:rsidR="00390C9F">
        <w:rPr>
          <w:rFonts w:ascii="Century Schoolbook" w:hAnsi="Century Schoolbook" w:cstheme="majorHAnsi"/>
          <w:sz w:val="26"/>
          <w:szCs w:val="26"/>
        </w:rPr>
        <w:t xml:space="preserve">sleep on a couch inside </w:t>
      </w:r>
      <w:r w:rsidRPr="003D6C5F">
        <w:rPr>
          <w:rFonts w:ascii="Century Schoolbook" w:hAnsi="Century Schoolbook" w:cstheme="majorHAnsi"/>
          <w:sz w:val="26"/>
          <w:szCs w:val="26"/>
        </w:rPr>
        <w:t>the</w:t>
      </w:r>
      <w:r w:rsidRPr="003D6C5F" w:rsidR="00390C9F">
        <w:rPr>
          <w:rFonts w:ascii="Century Schoolbook" w:hAnsi="Century Schoolbook" w:cstheme="majorHAnsi"/>
          <w:sz w:val="26"/>
          <w:szCs w:val="26"/>
        </w:rPr>
        <w:t xml:space="preserve"> R.V</w:t>
      </w:r>
      <w:r w:rsidRPr="003D6C5F" w:rsidR="00E60CBC">
        <w:rPr>
          <w:rFonts w:ascii="Century Schoolbook" w:hAnsi="Century Schoolbook" w:cstheme="majorHAnsi"/>
          <w:sz w:val="26"/>
          <w:szCs w:val="26"/>
        </w:rPr>
        <w:t>.</w:t>
      </w:r>
      <w:r w:rsidRPr="003D6C5F" w:rsidR="00390C9F">
        <w:rPr>
          <w:rFonts w:ascii="Century Schoolbook" w:hAnsi="Century Schoolbook" w:cstheme="majorHAnsi"/>
          <w:sz w:val="26"/>
          <w:szCs w:val="26"/>
        </w:rPr>
        <w:t xml:space="preserve">  </w:t>
      </w:r>
      <w:r w:rsidRPr="003D6C5F" w:rsidR="007C6BBE">
        <w:rPr>
          <w:rFonts w:ascii="Century Schoolbook" w:hAnsi="Century Schoolbook" w:cstheme="majorHAnsi"/>
          <w:sz w:val="26"/>
          <w:szCs w:val="26"/>
        </w:rPr>
        <w:t xml:space="preserve">Breanna, who viewed </w:t>
      </w:r>
      <w:r w:rsidRPr="003D6C5F" w:rsidR="00BC57F6">
        <w:rPr>
          <w:rFonts w:ascii="Century Schoolbook" w:hAnsi="Century Schoolbook" w:cstheme="majorHAnsi"/>
          <w:sz w:val="26"/>
          <w:szCs w:val="26"/>
        </w:rPr>
        <w:t>Ayala</w:t>
      </w:r>
      <w:r w:rsidRPr="003D6C5F" w:rsidR="007C6BBE">
        <w:rPr>
          <w:rFonts w:ascii="Century Schoolbook" w:hAnsi="Century Schoolbook" w:cstheme="majorHAnsi"/>
          <w:sz w:val="26"/>
          <w:szCs w:val="26"/>
        </w:rPr>
        <w:t xml:space="preserve"> as a protector and mother-figure, mentioned that Samuel had been threatening her.</w:t>
      </w:r>
      <w:r w:rsidRPr="003D6C5F" w:rsidR="007B5D8A">
        <w:rPr>
          <w:rFonts w:ascii="Century Schoolbook" w:hAnsi="Century Schoolbook" w:cstheme="majorHAnsi"/>
          <w:sz w:val="26"/>
          <w:szCs w:val="26"/>
        </w:rPr>
        <w:t xml:space="preserve">  </w:t>
      </w:r>
    </w:p>
    <w:p w:rsidR="00390C9F" w:rsidRPr="003D6C5F" w:rsidP="000B1ECC" w14:paraId="780AB0E2" w14:textId="2D967946">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That same day,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met Ramirez.</w:t>
      </w:r>
      <w:r w:rsidRPr="003D6C5F" w:rsidR="00CD0A26">
        <w:rPr>
          <w:rFonts w:ascii="Century Schoolbook" w:hAnsi="Century Schoolbook" w:cstheme="majorHAnsi"/>
          <w:sz w:val="26"/>
          <w:szCs w:val="26"/>
        </w:rPr>
        <w:t xml:space="preserve">  Ramirez also started sleeping inside </w:t>
      </w:r>
      <w:r w:rsidRPr="003D6C5F" w:rsidR="00377909">
        <w:rPr>
          <w:rFonts w:ascii="Century Schoolbook" w:hAnsi="Century Schoolbook" w:cstheme="majorHAnsi"/>
          <w:sz w:val="26"/>
          <w:szCs w:val="26"/>
        </w:rPr>
        <w:t>the</w:t>
      </w:r>
      <w:r w:rsidRPr="003D6C5F" w:rsidR="00CD0A26">
        <w:rPr>
          <w:rFonts w:ascii="Century Schoolbook" w:hAnsi="Century Schoolbook" w:cstheme="majorHAnsi"/>
          <w:sz w:val="26"/>
          <w:szCs w:val="26"/>
        </w:rPr>
        <w:t xml:space="preserve"> R.V.  </w:t>
      </w:r>
      <w:r w:rsidRPr="003D6C5F" w:rsidR="00BC57F6">
        <w:rPr>
          <w:rFonts w:ascii="Century Schoolbook" w:hAnsi="Century Schoolbook" w:cstheme="majorHAnsi"/>
          <w:sz w:val="26"/>
          <w:szCs w:val="26"/>
        </w:rPr>
        <w:t>Ayala</w:t>
      </w:r>
      <w:r w:rsidRPr="003D6C5F" w:rsidR="00CD0A26">
        <w:rPr>
          <w:rFonts w:ascii="Century Schoolbook" w:hAnsi="Century Schoolbook" w:cstheme="majorHAnsi"/>
          <w:sz w:val="26"/>
          <w:szCs w:val="26"/>
        </w:rPr>
        <w:t xml:space="preserve"> referred to Ramirez as her </w:t>
      </w:r>
      <w:r w:rsidRPr="003D6C5F" w:rsidR="00742C55">
        <w:rPr>
          <w:rFonts w:ascii="Century Schoolbook" w:hAnsi="Century Schoolbook" w:cstheme="majorHAnsi"/>
          <w:sz w:val="26"/>
          <w:szCs w:val="26"/>
        </w:rPr>
        <w:t>“</w:t>
      </w:r>
      <w:r w:rsidRPr="003D6C5F" w:rsidR="00CD0A26">
        <w:rPr>
          <w:rFonts w:ascii="Century Schoolbook" w:hAnsi="Century Schoolbook" w:cstheme="majorHAnsi"/>
          <w:sz w:val="26"/>
          <w:szCs w:val="26"/>
        </w:rPr>
        <w:t>boyfriend</w:t>
      </w:r>
      <w:r w:rsidRPr="003D6C5F" w:rsidR="00742C55">
        <w:rPr>
          <w:rFonts w:ascii="Century Schoolbook" w:hAnsi="Century Schoolbook" w:cstheme="majorHAnsi"/>
          <w:sz w:val="26"/>
          <w:szCs w:val="26"/>
        </w:rPr>
        <w:t xml:space="preserve">” and Ramirez </w:t>
      </w:r>
      <w:r w:rsidRPr="003D6C5F" w:rsidR="008836E2">
        <w:rPr>
          <w:rFonts w:ascii="Century Schoolbook" w:hAnsi="Century Schoolbook" w:cstheme="majorHAnsi"/>
          <w:sz w:val="26"/>
          <w:szCs w:val="26"/>
        </w:rPr>
        <w:t>said</w:t>
      </w:r>
      <w:r w:rsidRPr="003D6C5F" w:rsidR="00742C55">
        <w:rPr>
          <w:rFonts w:ascii="Century Schoolbook" w:hAnsi="Century Schoolbook" w:cstheme="majorHAnsi"/>
          <w:sz w:val="26"/>
          <w:szCs w:val="26"/>
        </w:rPr>
        <w:t xml:space="preserve"> </w:t>
      </w:r>
      <w:r w:rsidRPr="003D6C5F" w:rsidR="00BC57F6">
        <w:rPr>
          <w:rFonts w:ascii="Century Schoolbook" w:hAnsi="Century Schoolbook" w:cstheme="majorHAnsi"/>
          <w:sz w:val="26"/>
          <w:szCs w:val="26"/>
        </w:rPr>
        <w:t>Ayala</w:t>
      </w:r>
      <w:r w:rsidRPr="003D6C5F" w:rsidR="00742C55">
        <w:rPr>
          <w:rFonts w:ascii="Century Schoolbook" w:hAnsi="Century Schoolbook" w:cstheme="majorHAnsi"/>
          <w:sz w:val="26"/>
          <w:szCs w:val="26"/>
        </w:rPr>
        <w:t xml:space="preserve"> </w:t>
      </w:r>
      <w:r w:rsidRPr="003D6C5F" w:rsidR="008836E2">
        <w:rPr>
          <w:rFonts w:ascii="Century Schoolbook" w:hAnsi="Century Schoolbook" w:cstheme="majorHAnsi"/>
          <w:sz w:val="26"/>
          <w:szCs w:val="26"/>
        </w:rPr>
        <w:t>w</w:t>
      </w:r>
      <w:r w:rsidRPr="003D6C5F" w:rsidR="00742C55">
        <w:rPr>
          <w:rFonts w:ascii="Century Schoolbook" w:hAnsi="Century Schoolbook" w:cstheme="majorHAnsi"/>
          <w:sz w:val="26"/>
          <w:szCs w:val="26"/>
        </w:rPr>
        <w:t>as his “girl.”</w:t>
      </w:r>
      <w:r w:rsidRPr="003D6C5F" w:rsidR="00CD0A26">
        <w:rPr>
          <w:rFonts w:ascii="Century Schoolbook" w:hAnsi="Century Schoolbook" w:cstheme="majorHAnsi"/>
          <w:sz w:val="26"/>
          <w:szCs w:val="26"/>
        </w:rPr>
        <w:t xml:space="preserve"> </w:t>
      </w:r>
    </w:p>
    <w:p w:rsidR="005F5A99" w:rsidRPr="003D6C5F" w:rsidP="00E07368" w14:paraId="42B020CB" w14:textId="7FD0E724">
      <w:pPr>
        <w:pStyle w:val="Heading2"/>
        <w:spacing w:before="120" w:after="240"/>
        <w:jc w:val="left"/>
        <w:rPr>
          <w:rFonts w:ascii="Century Schoolbook" w:hAnsi="Century Schoolbook"/>
          <w:b/>
          <w:bCs/>
          <w:sz w:val="26"/>
          <w:szCs w:val="26"/>
        </w:rPr>
      </w:pPr>
      <w:r w:rsidRPr="003D6C5F">
        <w:rPr>
          <w:rFonts w:ascii="Century Schoolbook" w:hAnsi="Century Schoolbook"/>
          <w:b/>
          <w:bCs/>
          <w:sz w:val="26"/>
          <w:szCs w:val="26"/>
        </w:rPr>
        <w:t>Samuel’s Murder</w:t>
      </w:r>
    </w:p>
    <w:p w:rsidR="00C95382" w:rsidRPr="003D6C5F" w:rsidP="000B1ECC" w14:paraId="177F2E25" w14:textId="329EE301">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On the evening of September 11, Breanna was in</w:t>
      </w:r>
      <w:r w:rsidRPr="003D6C5F" w:rsidR="007A2460">
        <w:rPr>
          <w:rFonts w:ascii="Century Schoolbook" w:hAnsi="Century Schoolbook" w:cstheme="majorHAnsi"/>
          <w:sz w:val="26"/>
          <w:szCs w:val="26"/>
        </w:rPr>
        <w:t>side</w:t>
      </w:r>
      <w:r w:rsidRPr="003D6C5F">
        <w:rPr>
          <w:rFonts w:ascii="Century Schoolbook" w:hAnsi="Century Schoolbook" w:cstheme="majorHAnsi"/>
          <w:sz w:val="26"/>
          <w:szCs w:val="26"/>
        </w:rPr>
        <w:t xml:space="preserve"> the R.V. with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when she started getting calls from Samuel, which</w:t>
      </w:r>
      <w:r w:rsidRPr="003D6C5F" w:rsidR="00473236">
        <w:rPr>
          <w:rFonts w:ascii="Century Schoolbook" w:hAnsi="Century Schoolbook" w:cstheme="majorHAnsi"/>
          <w:sz w:val="26"/>
          <w:szCs w:val="26"/>
        </w:rPr>
        <w:t xml:space="preserve"> </w:t>
      </w:r>
      <w:r w:rsidRPr="003D6C5F">
        <w:rPr>
          <w:rFonts w:ascii="Century Schoolbook" w:hAnsi="Century Schoolbook" w:cstheme="majorHAnsi"/>
          <w:sz w:val="26"/>
          <w:szCs w:val="26"/>
        </w:rPr>
        <w:t>she ignored.</w:t>
      </w:r>
      <w:r>
        <w:rPr>
          <w:rStyle w:val="FootnoteReference"/>
          <w:rFonts w:ascii="Century Schoolbook" w:hAnsi="Century Schoolbook" w:cstheme="majorHAnsi"/>
          <w:szCs w:val="26"/>
        </w:rPr>
        <w:footnoteReference w:id="7"/>
      </w:r>
      <w:r w:rsidRPr="003D6C5F" w:rsidR="0083400C">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 Breanna told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that Samuel </w:t>
      </w:r>
      <w:r w:rsidRPr="003D6C5F" w:rsidR="001057FA">
        <w:rPr>
          <w:rFonts w:ascii="Century Schoolbook" w:hAnsi="Century Schoolbook" w:cstheme="majorHAnsi"/>
          <w:sz w:val="26"/>
          <w:szCs w:val="26"/>
        </w:rPr>
        <w:t xml:space="preserve">had </w:t>
      </w:r>
      <w:r w:rsidRPr="003D6C5F">
        <w:rPr>
          <w:rFonts w:ascii="Century Schoolbook" w:hAnsi="Century Schoolbook" w:cstheme="majorHAnsi"/>
          <w:sz w:val="26"/>
          <w:szCs w:val="26"/>
        </w:rPr>
        <w:t>threatened</w:t>
      </w:r>
      <w:r w:rsidRPr="003D6C5F" w:rsidR="00473236">
        <w:rPr>
          <w:rFonts w:ascii="Century Schoolbook" w:hAnsi="Century Schoolbook" w:cstheme="majorHAnsi"/>
          <w:sz w:val="26"/>
          <w:szCs w:val="26"/>
        </w:rPr>
        <w:t xml:space="preserve"> </w:t>
      </w:r>
      <w:r w:rsidRPr="003D6C5F">
        <w:rPr>
          <w:rFonts w:ascii="Century Schoolbook" w:hAnsi="Century Schoolbook" w:cstheme="majorHAnsi"/>
          <w:sz w:val="26"/>
          <w:szCs w:val="26"/>
        </w:rPr>
        <w:t>her</w:t>
      </w:r>
      <w:r w:rsidRPr="003D6C5F" w:rsidR="00BB32E6">
        <w:rPr>
          <w:rFonts w:ascii="Century Schoolbook" w:hAnsi="Century Schoolbook" w:cstheme="majorHAnsi"/>
          <w:sz w:val="26"/>
          <w:szCs w:val="26"/>
        </w:rPr>
        <w:t>,</w:t>
      </w:r>
      <w:r w:rsidRPr="003D6C5F">
        <w:rPr>
          <w:rFonts w:ascii="Century Schoolbook" w:hAnsi="Century Schoolbook" w:cstheme="majorHAnsi"/>
          <w:sz w:val="26"/>
          <w:szCs w:val="26"/>
        </w:rPr>
        <w:t xml:space="preserve"> she </w:t>
      </w:r>
      <w:r w:rsidRPr="003D6C5F" w:rsidR="00473236">
        <w:rPr>
          <w:rFonts w:ascii="Century Schoolbook" w:hAnsi="Century Schoolbook" w:cstheme="majorHAnsi"/>
          <w:sz w:val="26"/>
          <w:szCs w:val="26"/>
        </w:rPr>
        <w:t>feared him</w:t>
      </w:r>
      <w:r w:rsidRPr="003D6C5F" w:rsidR="00BB32E6">
        <w:rPr>
          <w:rFonts w:ascii="Century Schoolbook" w:hAnsi="Century Schoolbook" w:cstheme="majorHAnsi"/>
          <w:sz w:val="26"/>
          <w:szCs w:val="26"/>
        </w:rPr>
        <w:t xml:space="preserve"> and was frustrated by his constant telephone calls</w:t>
      </w:r>
      <w:r w:rsidRPr="003D6C5F">
        <w:rPr>
          <w:rFonts w:ascii="Century Schoolbook" w:hAnsi="Century Schoolbook" w:cstheme="majorHAnsi"/>
          <w:sz w:val="26"/>
          <w:szCs w:val="26"/>
        </w:rPr>
        <w:t>.</w:t>
      </w:r>
      <w:r w:rsidRPr="003D6C5F" w:rsidR="00BB32E6">
        <w:rPr>
          <w:rFonts w:ascii="Century Schoolbook" w:hAnsi="Century Schoolbook" w:cstheme="majorHAnsi"/>
          <w:sz w:val="26"/>
          <w:szCs w:val="26"/>
        </w:rPr>
        <w:t xml:space="preserve">  </w:t>
      </w:r>
      <w:r w:rsidRPr="003D6C5F" w:rsidR="00377909">
        <w:rPr>
          <w:rFonts w:ascii="Century Schoolbook" w:hAnsi="Century Schoolbook" w:cstheme="majorHAnsi"/>
          <w:sz w:val="26"/>
          <w:szCs w:val="26"/>
        </w:rPr>
        <w:t xml:space="preserve">According to </w:t>
      </w:r>
      <w:r w:rsidRPr="003D6C5F" w:rsidR="00445CD2">
        <w:rPr>
          <w:rFonts w:ascii="Century Schoolbook" w:hAnsi="Century Schoolbook" w:cstheme="majorHAnsi"/>
          <w:sz w:val="26"/>
          <w:szCs w:val="26"/>
        </w:rPr>
        <w:t>Breanna</w:t>
      </w:r>
      <w:r w:rsidRPr="003D6C5F" w:rsidR="00377909">
        <w:rPr>
          <w:rFonts w:ascii="Century Schoolbook" w:hAnsi="Century Schoolbook" w:cstheme="majorHAnsi"/>
          <w:sz w:val="26"/>
          <w:szCs w:val="26"/>
        </w:rPr>
        <w:t>,</w:t>
      </w:r>
      <w:r w:rsidRPr="003D6C5F" w:rsidR="00445CD2">
        <w:rPr>
          <w:rFonts w:ascii="Century Schoolbook" w:hAnsi="Century Schoolbook" w:cstheme="majorHAnsi"/>
          <w:sz w:val="26"/>
          <w:szCs w:val="26"/>
        </w:rPr>
        <w:t xml:space="preserve"> Samuel wanted to continue having sex but she was no </w:t>
      </w:r>
      <w:r w:rsidRPr="003D6C5F" w:rsidR="00377909">
        <w:rPr>
          <w:rFonts w:ascii="Century Schoolbook" w:hAnsi="Century Schoolbook" w:cstheme="majorHAnsi"/>
          <w:sz w:val="26"/>
          <w:szCs w:val="26"/>
        </w:rPr>
        <w:t xml:space="preserve">longer </w:t>
      </w:r>
      <w:r w:rsidRPr="003D6C5F" w:rsidR="00445CD2">
        <w:rPr>
          <w:rFonts w:ascii="Century Schoolbook" w:hAnsi="Century Schoolbook" w:cstheme="majorHAnsi"/>
          <w:sz w:val="26"/>
          <w:szCs w:val="26"/>
        </w:rPr>
        <w:t xml:space="preserve">interested.  </w:t>
      </w:r>
      <w:r w:rsidRPr="003D6C5F" w:rsidR="00BC57F6">
        <w:rPr>
          <w:rFonts w:ascii="Century Schoolbook" w:hAnsi="Century Schoolbook" w:cstheme="majorHAnsi"/>
          <w:sz w:val="26"/>
          <w:szCs w:val="26"/>
        </w:rPr>
        <w:t>Ayala</w:t>
      </w:r>
      <w:r w:rsidRPr="003D6C5F" w:rsidR="00D32A55">
        <w:rPr>
          <w:rFonts w:ascii="Century Schoolbook" w:hAnsi="Century Schoolbook" w:cstheme="majorHAnsi"/>
          <w:sz w:val="26"/>
          <w:szCs w:val="26"/>
        </w:rPr>
        <w:t xml:space="preserve"> </w:t>
      </w:r>
      <w:r w:rsidRPr="003D6C5F" w:rsidR="00BB32E6">
        <w:rPr>
          <w:rFonts w:ascii="Century Schoolbook" w:hAnsi="Century Schoolbook" w:cstheme="majorHAnsi"/>
          <w:sz w:val="26"/>
          <w:szCs w:val="26"/>
        </w:rPr>
        <w:t>asked for</w:t>
      </w:r>
      <w:r w:rsidRPr="003D6C5F">
        <w:rPr>
          <w:rFonts w:ascii="Century Schoolbook" w:hAnsi="Century Schoolbook" w:cstheme="majorHAnsi"/>
          <w:sz w:val="26"/>
          <w:szCs w:val="26"/>
        </w:rPr>
        <w:t xml:space="preserve"> Breanna’s phone to call</w:t>
      </w:r>
      <w:r w:rsidRPr="003D6C5F" w:rsidR="00D32A55">
        <w:rPr>
          <w:rFonts w:ascii="Century Schoolbook" w:hAnsi="Century Schoolbook" w:cstheme="majorHAnsi"/>
          <w:sz w:val="26"/>
          <w:szCs w:val="26"/>
        </w:rPr>
        <w:t xml:space="preserve"> Samuel</w:t>
      </w:r>
      <w:r w:rsidRPr="003D6C5F">
        <w:rPr>
          <w:rFonts w:ascii="Century Schoolbook" w:hAnsi="Century Schoolbook" w:cstheme="majorHAnsi"/>
          <w:sz w:val="26"/>
          <w:szCs w:val="26"/>
        </w:rPr>
        <w:t>.</w:t>
      </w:r>
      <w:r w:rsidRPr="003D6C5F" w:rsidR="00D32A55">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 </w:t>
      </w:r>
      <w:r w:rsidRPr="003D6C5F" w:rsidR="001057FA">
        <w:rPr>
          <w:rFonts w:ascii="Century Schoolbook" w:hAnsi="Century Schoolbook" w:cstheme="majorHAnsi"/>
          <w:sz w:val="26"/>
          <w:szCs w:val="26"/>
        </w:rPr>
        <w:t>She</w:t>
      </w:r>
      <w:r w:rsidRPr="003D6C5F" w:rsidR="00BB32E6">
        <w:rPr>
          <w:rFonts w:ascii="Century Schoolbook" w:hAnsi="Century Schoolbook" w:cstheme="majorHAnsi"/>
          <w:sz w:val="26"/>
          <w:szCs w:val="26"/>
        </w:rPr>
        <w:t xml:space="preserve"> </w:t>
      </w:r>
      <w:r w:rsidRPr="003D6C5F" w:rsidR="007A2460">
        <w:rPr>
          <w:rFonts w:ascii="Century Schoolbook" w:hAnsi="Century Schoolbook" w:cstheme="majorHAnsi"/>
          <w:sz w:val="26"/>
          <w:szCs w:val="26"/>
        </w:rPr>
        <w:t xml:space="preserve">called and asked him </w:t>
      </w:r>
      <w:r w:rsidRPr="003D6C5F">
        <w:rPr>
          <w:rFonts w:ascii="Century Schoolbook" w:hAnsi="Century Schoolbook" w:cstheme="majorHAnsi"/>
          <w:sz w:val="26"/>
          <w:szCs w:val="26"/>
        </w:rPr>
        <w:t xml:space="preserve">what he wanted with </w:t>
      </w:r>
      <w:r w:rsidRPr="003D6C5F" w:rsidR="00BB32E6">
        <w:rPr>
          <w:rFonts w:ascii="Century Schoolbook" w:hAnsi="Century Schoolbook" w:cstheme="majorHAnsi"/>
          <w:sz w:val="26"/>
          <w:szCs w:val="26"/>
        </w:rPr>
        <w:t>“h</w:t>
      </w:r>
      <w:r w:rsidRPr="003D6C5F">
        <w:rPr>
          <w:rFonts w:ascii="Century Schoolbook" w:hAnsi="Century Schoolbook" w:cstheme="majorHAnsi"/>
          <w:sz w:val="26"/>
          <w:szCs w:val="26"/>
        </w:rPr>
        <w:t>er</w:t>
      </w:r>
      <w:r w:rsidRPr="003D6C5F" w:rsidR="00BB32E6">
        <w:rPr>
          <w:rFonts w:ascii="Century Schoolbook" w:hAnsi="Century Schoolbook" w:cstheme="majorHAnsi"/>
          <w:sz w:val="26"/>
          <w:szCs w:val="26"/>
        </w:rPr>
        <w:t xml:space="preserve"> </w:t>
      </w:r>
      <w:r w:rsidRPr="003D6C5F">
        <w:rPr>
          <w:rFonts w:ascii="Century Schoolbook" w:hAnsi="Century Schoolbook" w:cstheme="majorHAnsi"/>
          <w:sz w:val="26"/>
          <w:szCs w:val="26"/>
        </w:rPr>
        <w:t>daughter.</w:t>
      </w:r>
      <w:r w:rsidRPr="003D6C5F" w:rsidR="00BB32E6">
        <w:rPr>
          <w:rFonts w:ascii="Century Schoolbook" w:hAnsi="Century Schoolbook" w:cstheme="majorHAnsi"/>
          <w:sz w:val="26"/>
          <w:szCs w:val="26"/>
        </w:rPr>
        <w:t xml:space="preserve">”  </w:t>
      </w:r>
      <w:r w:rsidRPr="003D6C5F" w:rsidR="00BC57F6">
        <w:rPr>
          <w:rFonts w:ascii="Century Schoolbook" w:hAnsi="Century Schoolbook" w:cstheme="majorHAnsi"/>
          <w:sz w:val="26"/>
          <w:szCs w:val="26"/>
        </w:rPr>
        <w:t>Ayala</w:t>
      </w:r>
      <w:r w:rsidRPr="003D6C5F" w:rsidR="00BB32E6">
        <w:rPr>
          <w:rFonts w:ascii="Century Schoolbook" w:hAnsi="Century Schoolbook" w:cstheme="majorHAnsi"/>
          <w:sz w:val="26"/>
          <w:szCs w:val="26"/>
        </w:rPr>
        <w:t xml:space="preserve"> </w:t>
      </w:r>
      <w:r w:rsidRPr="003D6C5F">
        <w:rPr>
          <w:rFonts w:ascii="Century Schoolbook" w:hAnsi="Century Schoolbook" w:cstheme="majorHAnsi"/>
          <w:sz w:val="26"/>
          <w:szCs w:val="26"/>
        </w:rPr>
        <w:t>then started</w:t>
      </w:r>
      <w:r w:rsidRPr="003D6C5F" w:rsidR="00BB32E6">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talking in a sexy voice about </w:t>
      </w:r>
      <w:r w:rsidRPr="003D6C5F" w:rsidR="00BB32E6">
        <w:rPr>
          <w:rFonts w:ascii="Century Schoolbook" w:hAnsi="Century Schoolbook" w:cstheme="majorHAnsi"/>
          <w:sz w:val="26"/>
          <w:szCs w:val="26"/>
        </w:rPr>
        <w:t xml:space="preserve">Samuel </w:t>
      </w:r>
      <w:r w:rsidRPr="003D6C5F">
        <w:rPr>
          <w:rFonts w:ascii="Century Schoolbook" w:hAnsi="Century Schoolbook" w:cstheme="majorHAnsi"/>
          <w:sz w:val="26"/>
          <w:szCs w:val="26"/>
        </w:rPr>
        <w:t>coming to the property for</w:t>
      </w:r>
      <w:r w:rsidRPr="003D6C5F" w:rsidR="00BB32E6">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a threesome. </w:t>
      </w:r>
      <w:r w:rsidRPr="003D6C5F" w:rsidR="001B4495">
        <w:rPr>
          <w:rFonts w:ascii="Century Schoolbook" w:hAnsi="Century Schoolbook" w:cstheme="majorHAnsi"/>
          <w:sz w:val="26"/>
          <w:szCs w:val="26"/>
        </w:rPr>
        <w:t xml:space="preserve"> </w:t>
      </w:r>
      <w:r w:rsidRPr="003D6C5F">
        <w:rPr>
          <w:rFonts w:ascii="Century Schoolbook" w:hAnsi="Century Schoolbook" w:cstheme="majorHAnsi"/>
          <w:sz w:val="26"/>
          <w:szCs w:val="26"/>
        </w:rPr>
        <w:t>Breanna could not hear Samuel</w:t>
      </w:r>
      <w:r w:rsidRPr="003D6C5F" w:rsidR="00E56A52">
        <w:rPr>
          <w:rFonts w:ascii="Century Schoolbook" w:hAnsi="Century Schoolbook" w:cstheme="majorHAnsi"/>
          <w:sz w:val="26"/>
          <w:szCs w:val="26"/>
        </w:rPr>
        <w:t>’s responses</w:t>
      </w:r>
      <w:r w:rsidRPr="003D6C5F">
        <w:rPr>
          <w:rFonts w:ascii="Century Schoolbook" w:hAnsi="Century Schoolbook" w:cstheme="majorHAnsi"/>
          <w:sz w:val="26"/>
          <w:szCs w:val="26"/>
        </w:rPr>
        <w:t xml:space="preserve">. </w:t>
      </w:r>
    </w:p>
    <w:p w:rsidR="00EB679D" w:rsidRPr="003D6C5F" w:rsidP="000B1ECC" w14:paraId="154CD1A7" w14:textId="716AB750">
      <w:pPr>
        <w:keepLines/>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r>
      <w:r w:rsidRPr="003D6C5F" w:rsidR="00F00275">
        <w:rPr>
          <w:rFonts w:ascii="Century Schoolbook" w:hAnsi="Century Schoolbook" w:cstheme="majorHAnsi"/>
          <w:sz w:val="26"/>
          <w:szCs w:val="26"/>
        </w:rPr>
        <w:t xml:space="preserve">After the call, </w:t>
      </w:r>
      <w:r w:rsidRPr="003D6C5F" w:rsidR="00BC57F6">
        <w:rPr>
          <w:rFonts w:ascii="Century Schoolbook" w:hAnsi="Century Schoolbook" w:cstheme="majorHAnsi"/>
          <w:sz w:val="26"/>
          <w:szCs w:val="26"/>
        </w:rPr>
        <w:t>Ayala</w:t>
      </w:r>
      <w:r w:rsidRPr="003D6C5F" w:rsidR="00BB32E6">
        <w:rPr>
          <w:rFonts w:ascii="Century Schoolbook" w:hAnsi="Century Schoolbook" w:cstheme="majorHAnsi"/>
          <w:sz w:val="26"/>
          <w:szCs w:val="26"/>
        </w:rPr>
        <w:t xml:space="preserve"> </w:t>
      </w:r>
      <w:r w:rsidRPr="003D6C5F" w:rsidR="00F00275">
        <w:rPr>
          <w:rFonts w:ascii="Century Schoolbook" w:hAnsi="Century Schoolbook" w:cstheme="majorHAnsi"/>
          <w:sz w:val="26"/>
          <w:szCs w:val="26"/>
        </w:rPr>
        <w:t xml:space="preserve">appeared angry </w:t>
      </w:r>
      <w:r w:rsidRPr="003D6C5F">
        <w:rPr>
          <w:rFonts w:ascii="Century Schoolbook" w:hAnsi="Century Schoolbook" w:cstheme="majorHAnsi"/>
          <w:sz w:val="26"/>
          <w:szCs w:val="26"/>
        </w:rPr>
        <w:t>because she</w:t>
      </w:r>
      <w:r w:rsidRPr="003D6C5F" w:rsidR="00F00275">
        <w:rPr>
          <w:rFonts w:ascii="Century Schoolbook" w:hAnsi="Century Schoolbook" w:cstheme="majorHAnsi"/>
          <w:sz w:val="26"/>
          <w:szCs w:val="26"/>
        </w:rPr>
        <w:t xml:space="preserve"> found it inappropriate </w:t>
      </w:r>
      <w:r w:rsidRPr="003D6C5F">
        <w:rPr>
          <w:rFonts w:ascii="Century Schoolbook" w:hAnsi="Century Schoolbook" w:cstheme="majorHAnsi"/>
          <w:sz w:val="26"/>
          <w:szCs w:val="26"/>
        </w:rPr>
        <w:t xml:space="preserve">for </w:t>
      </w:r>
      <w:r w:rsidRPr="003D6C5F" w:rsidR="007571CC">
        <w:rPr>
          <w:rFonts w:ascii="Century Schoolbook" w:hAnsi="Century Schoolbook" w:cstheme="majorHAnsi"/>
          <w:sz w:val="26"/>
          <w:szCs w:val="26"/>
        </w:rPr>
        <w:t>Samuel</w:t>
      </w:r>
      <w:r w:rsidRPr="003D6C5F" w:rsidR="00F00275">
        <w:rPr>
          <w:rFonts w:ascii="Century Schoolbook" w:hAnsi="Century Schoolbook" w:cstheme="majorHAnsi"/>
          <w:sz w:val="26"/>
          <w:szCs w:val="26"/>
        </w:rPr>
        <w:t xml:space="preserve"> </w:t>
      </w:r>
      <w:r w:rsidRPr="003D6C5F">
        <w:rPr>
          <w:rFonts w:ascii="Century Schoolbook" w:hAnsi="Century Schoolbook" w:cstheme="majorHAnsi"/>
          <w:sz w:val="26"/>
          <w:szCs w:val="26"/>
        </w:rPr>
        <w:t>to be</w:t>
      </w:r>
      <w:r w:rsidRPr="003D6C5F" w:rsidR="00F00275">
        <w:rPr>
          <w:rFonts w:ascii="Century Schoolbook" w:hAnsi="Century Schoolbook" w:cstheme="majorHAnsi"/>
          <w:sz w:val="26"/>
          <w:szCs w:val="26"/>
        </w:rPr>
        <w:t xml:space="preserve"> interested in a</w:t>
      </w:r>
      <w:r w:rsidRPr="003D6C5F" w:rsidR="00BB32E6">
        <w:rPr>
          <w:rFonts w:ascii="Century Schoolbook" w:hAnsi="Century Schoolbook" w:cstheme="majorHAnsi"/>
          <w:sz w:val="26"/>
          <w:szCs w:val="26"/>
        </w:rPr>
        <w:t xml:space="preserve"> </w:t>
      </w:r>
      <w:r w:rsidRPr="003D6C5F" w:rsidR="00F00275">
        <w:rPr>
          <w:rFonts w:ascii="Century Schoolbook" w:hAnsi="Century Schoolbook" w:cstheme="majorHAnsi"/>
          <w:sz w:val="26"/>
          <w:szCs w:val="26"/>
        </w:rPr>
        <w:t>threesome after she identified herself as Breanna’s mother</w:t>
      </w:r>
      <w:r w:rsidRPr="003D6C5F">
        <w:rPr>
          <w:rFonts w:ascii="Century Schoolbook" w:hAnsi="Century Schoolbook" w:cstheme="majorHAnsi"/>
          <w:sz w:val="26"/>
          <w:szCs w:val="26"/>
        </w:rPr>
        <w:t xml:space="preserve">.  </w:t>
      </w:r>
      <w:bookmarkStart w:id="3" w:name="_Hlk161327196"/>
      <w:r w:rsidRPr="003D6C5F">
        <w:rPr>
          <w:rFonts w:ascii="Century Schoolbook" w:hAnsi="Century Schoolbook" w:cstheme="majorHAnsi"/>
          <w:sz w:val="26"/>
          <w:szCs w:val="26"/>
        </w:rPr>
        <w:t xml:space="preserve">Breanna told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that she did not want to see Samuel and was not interested in a threesome.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responded that Samuel would </w:t>
      </w:r>
      <w:r w:rsidRPr="003D6C5F" w:rsidR="00F00275">
        <w:rPr>
          <w:rFonts w:ascii="Century Schoolbook" w:hAnsi="Century Schoolbook" w:cstheme="majorHAnsi"/>
          <w:sz w:val="26"/>
          <w:szCs w:val="26"/>
        </w:rPr>
        <w:t>“get his threesome” and pounded her fist.</w:t>
      </w:r>
      <w:r w:rsidRPr="003D6C5F">
        <w:rPr>
          <w:rFonts w:ascii="Century Schoolbook" w:hAnsi="Century Schoolbook" w:cstheme="majorHAnsi"/>
          <w:sz w:val="26"/>
          <w:szCs w:val="26"/>
        </w:rPr>
        <w:t xml:space="preserve">  </w:t>
      </w:r>
    </w:p>
    <w:bookmarkEnd w:id="3"/>
    <w:p w:rsidR="003D0B6C" w:rsidRPr="003D6C5F" w:rsidP="00634C2C" w14:paraId="5513F466" w14:textId="3AF1F870">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Breanna </w:t>
      </w:r>
      <w:r w:rsidRPr="003D6C5F" w:rsidR="001057FA">
        <w:rPr>
          <w:rFonts w:ascii="Century Schoolbook" w:hAnsi="Century Schoolbook" w:cstheme="majorHAnsi"/>
          <w:sz w:val="26"/>
          <w:szCs w:val="26"/>
        </w:rPr>
        <w:t xml:space="preserve">said she </w:t>
      </w:r>
      <w:r w:rsidRPr="003D6C5F">
        <w:rPr>
          <w:rFonts w:ascii="Century Schoolbook" w:hAnsi="Century Schoolbook" w:cstheme="majorHAnsi"/>
          <w:sz w:val="26"/>
          <w:szCs w:val="26"/>
        </w:rPr>
        <w:t xml:space="preserve">thought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was going to beat up Samuel or scare him so he would leave her alone.</w:t>
      </w:r>
      <w:r w:rsidRPr="003D6C5F" w:rsidR="006126E7">
        <w:rPr>
          <w:rFonts w:ascii="Century Schoolbook" w:hAnsi="Century Schoolbook" w:cstheme="majorHAnsi"/>
          <w:sz w:val="26"/>
          <w:szCs w:val="26"/>
        </w:rPr>
        <w:t xml:space="preserve">  </w:t>
      </w:r>
      <w:bookmarkStart w:id="4" w:name="_Hlk151480010"/>
      <w:r w:rsidRPr="003D6C5F" w:rsidR="00EB679D">
        <w:rPr>
          <w:rFonts w:ascii="Century Schoolbook" w:hAnsi="Century Schoolbook" w:cstheme="majorHAnsi"/>
          <w:sz w:val="26"/>
          <w:szCs w:val="26"/>
        </w:rPr>
        <w:t>She</w:t>
      </w:r>
      <w:r w:rsidRPr="003D6C5F" w:rsidR="006126E7">
        <w:rPr>
          <w:rFonts w:ascii="Century Schoolbook" w:hAnsi="Century Schoolbook" w:cstheme="majorHAnsi"/>
          <w:sz w:val="26"/>
          <w:szCs w:val="26"/>
        </w:rPr>
        <w:t xml:space="preserve"> heard </w:t>
      </w:r>
      <w:r w:rsidRPr="003D6C5F" w:rsidR="00BC57F6">
        <w:rPr>
          <w:rFonts w:ascii="Century Schoolbook" w:hAnsi="Century Schoolbook" w:cstheme="majorHAnsi"/>
          <w:sz w:val="26"/>
          <w:szCs w:val="26"/>
        </w:rPr>
        <w:t>Ayala</w:t>
      </w:r>
      <w:r w:rsidRPr="003D6C5F" w:rsidR="006126E7">
        <w:rPr>
          <w:rFonts w:ascii="Century Schoolbook" w:hAnsi="Century Schoolbook" w:cstheme="majorHAnsi"/>
          <w:sz w:val="26"/>
          <w:szCs w:val="26"/>
        </w:rPr>
        <w:t xml:space="preserve"> giving Samuel directions </w:t>
      </w:r>
      <w:r w:rsidRPr="003D6C5F" w:rsidR="00EB679D">
        <w:rPr>
          <w:rFonts w:ascii="Century Schoolbook" w:hAnsi="Century Schoolbook" w:cstheme="majorHAnsi"/>
          <w:sz w:val="26"/>
          <w:szCs w:val="26"/>
        </w:rPr>
        <w:t xml:space="preserve">to the R.V. </w:t>
      </w:r>
      <w:r w:rsidRPr="003D6C5F" w:rsidR="006126E7">
        <w:rPr>
          <w:rFonts w:ascii="Century Schoolbook" w:hAnsi="Century Schoolbook" w:cstheme="majorHAnsi"/>
          <w:sz w:val="26"/>
          <w:szCs w:val="26"/>
        </w:rPr>
        <w:t xml:space="preserve">and </w:t>
      </w:r>
      <w:r w:rsidRPr="003D6C5F" w:rsidR="006F5DD1">
        <w:rPr>
          <w:rFonts w:ascii="Century Schoolbook" w:hAnsi="Century Schoolbook" w:cstheme="majorHAnsi"/>
          <w:sz w:val="26"/>
          <w:szCs w:val="26"/>
        </w:rPr>
        <w:t xml:space="preserve">saw that she </w:t>
      </w:r>
      <w:r w:rsidRPr="003D6C5F" w:rsidR="006126E7">
        <w:rPr>
          <w:rFonts w:ascii="Century Schoolbook" w:hAnsi="Century Schoolbook" w:cstheme="majorHAnsi"/>
          <w:sz w:val="26"/>
          <w:szCs w:val="26"/>
        </w:rPr>
        <w:t xml:space="preserve">also sent </w:t>
      </w:r>
      <w:r w:rsidRPr="003D6C5F" w:rsidR="00EB679D">
        <w:rPr>
          <w:rFonts w:ascii="Century Schoolbook" w:hAnsi="Century Schoolbook" w:cstheme="majorHAnsi"/>
          <w:sz w:val="26"/>
          <w:szCs w:val="26"/>
        </w:rPr>
        <w:t>him</w:t>
      </w:r>
      <w:r w:rsidRPr="003D6C5F" w:rsidR="006126E7">
        <w:rPr>
          <w:rFonts w:ascii="Century Schoolbook" w:hAnsi="Century Schoolbook" w:cstheme="majorHAnsi"/>
          <w:sz w:val="26"/>
          <w:szCs w:val="26"/>
        </w:rPr>
        <w:t xml:space="preserve"> a text message.  </w:t>
      </w:r>
      <w:r w:rsidRPr="003D6C5F" w:rsidR="00B8648B">
        <w:rPr>
          <w:rFonts w:ascii="Century Schoolbook" w:hAnsi="Century Schoolbook" w:cstheme="majorHAnsi"/>
          <w:sz w:val="26"/>
          <w:szCs w:val="26"/>
        </w:rPr>
        <w:t xml:space="preserve">After this occurred, </w:t>
      </w:r>
      <w:r w:rsidRPr="003D6C5F" w:rsidR="00BC57F6">
        <w:rPr>
          <w:rFonts w:ascii="Century Schoolbook" w:hAnsi="Century Schoolbook" w:cstheme="majorHAnsi"/>
          <w:sz w:val="26"/>
          <w:szCs w:val="26"/>
        </w:rPr>
        <w:t>Ayala</w:t>
      </w:r>
      <w:r w:rsidRPr="003D6C5F" w:rsidR="00750A86">
        <w:rPr>
          <w:rFonts w:ascii="Century Schoolbook" w:hAnsi="Century Schoolbook" w:cstheme="majorHAnsi"/>
          <w:sz w:val="26"/>
          <w:szCs w:val="26"/>
        </w:rPr>
        <w:t xml:space="preserve"> did not return Breanna’s phone</w:t>
      </w:r>
      <w:r w:rsidRPr="003D6C5F" w:rsidR="006126E7">
        <w:rPr>
          <w:rFonts w:ascii="Century Schoolbook" w:hAnsi="Century Schoolbook" w:cstheme="majorHAnsi"/>
          <w:sz w:val="26"/>
          <w:szCs w:val="26"/>
        </w:rPr>
        <w:t>.</w:t>
      </w:r>
      <w:r w:rsidRPr="003D6C5F" w:rsidR="00872FBA">
        <w:rPr>
          <w:rFonts w:ascii="Century Schoolbook" w:hAnsi="Century Schoolbook" w:cstheme="majorHAnsi"/>
          <w:sz w:val="26"/>
          <w:szCs w:val="26"/>
        </w:rPr>
        <w:t xml:space="preserve">  </w:t>
      </w:r>
      <w:r w:rsidRPr="003D6C5F" w:rsidR="00F00275">
        <w:rPr>
          <w:rFonts w:ascii="Century Schoolbook" w:hAnsi="Century Schoolbook" w:cstheme="majorHAnsi"/>
          <w:sz w:val="26"/>
          <w:szCs w:val="26"/>
        </w:rPr>
        <w:t>Breanna</w:t>
      </w:r>
      <w:r w:rsidRPr="003D6C5F" w:rsidR="00872FBA">
        <w:rPr>
          <w:rFonts w:ascii="Century Schoolbook" w:hAnsi="Century Schoolbook" w:cstheme="majorHAnsi"/>
          <w:sz w:val="26"/>
          <w:szCs w:val="26"/>
        </w:rPr>
        <w:t xml:space="preserve"> </w:t>
      </w:r>
      <w:r w:rsidRPr="003D6C5F" w:rsidR="00F00275">
        <w:rPr>
          <w:rFonts w:ascii="Century Schoolbook" w:hAnsi="Century Schoolbook" w:cstheme="majorHAnsi"/>
          <w:sz w:val="26"/>
          <w:szCs w:val="26"/>
        </w:rPr>
        <w:t xml:space="preserve">heard </w:t>
      </w:r>
      <w:r w:rsidRPr="003D6C5F" w:rsidR="00BC57F6">
        <w:rPr>
          <w:rFonts w:ascii="Century Schoolbook" w:hAnsi="Century Schoolbook" w:cstheme="majorHAnsi"/>
          <w:sz w:val="26"/>
          <w:szCs w:val="26"/>
        </w:rPr>
        <w:t>Ayala</w:t>
      </w:r>
      <w:r w:rsidRPr="003D6C5F" w:rsidR="00F00275">
        <w:rPr>
          <w:rFonts w:ascii="Century Schoolbook" w:hAnsi="Century Schoolbook" w:cstheme="majorHAnsi"/>
          <w:sz w:val="26"/>
          <w:szCs w:val="26"/>
        </w:rPr>
        <w:t xml:space="preserve"> pray,</w:t>
      </w:r>
      <w:r w:rsidRPr="003D6C5F" w:rsidR="00BB32E6">
        <w:rPr>
          <w:rFonts w:ascii="Century Schoolbook" w:hAnsi="Century Schoolbook" w:cstheme="majorHAnsi"/>
          <w:sz w:val="26"/>
          <w:szCs w:val="26"/>
        </w:rPr>
        <w:t xml:space="preserve"> </w:t>
      </w:r>
      <w:r w:rsidRPr="003D6C5F" w:rsidR="00F00275">
        <w:rPr>
          <w:rFonts w:ascii="Century Schoolbook" w:hAnsi="Century Schoolbook" w:cstheme="majorHAnsi"/>
          <w:sz w:val="26"/>
          <w:szCs w:val="26"/>
        </w:rPr>
        <w:t>“</w:t>
      </w:r>
      <w:r w:rsidRPr="003D6C5F" w:rsidR="00D41AD6">
        <w:rPr>
          <w:rFonts w:ascii="Century Schoolbook" w:hAnsi="Century Schoolbook" w:cstheme="majorHAnsi"/>
          <w:sz w:val="26"/>
          <w:szCs w:val="26"/>
        </w:rPr>
        <w:t> ‘</w:t>
      </w:r>
      <w:r w:rsidRPr="003D6C5F" w:rsidR="00F00275">
        <w:rPr>
          <w:rFonts w:ascii="Century Schoolbook" w:hAnsi="Century Schoolbook" w:cstheme="majorHAnsi"/>
          <w:sz w:val="26"/>
          <w:szCs w:val="26"/>
        </w:rPr>
        <w:t>Dear Lord Satan, please let this go through.</w:t>
      </w:r>
      <w:r w:rsidRPr="003D6C5F" w:rsidR="00D41AD6">
        <w:rPr>
          <w:rFonts w:ascii="Century Schoolbook" w:hAnsi="Century Schoolbook" w:cstheme="majorHAnsi"/>
          <w:sz w:val="26"/>
          <w:szCs w:val="26"/>
        </w:rPr>
        <w:t>’ </w:t>
      </w:r>
      <w:r w:rsidRPr="003D6C5F" w:rsidR="00F00275">
        <w:rPr>
          <w:rFonts w:ascii="Century Schoolbook" w:hAnsi="Century Schoolbook" w:cstheme="majorHAnsi"/>
          <w:sz w:val="26"/>
          <w:szCs w:val="26"/>
        </w:rPr>
        <w:t>”</w:t>
      </w:r>
      <w:bookmarkStart w:id="5" w:name="_Hlk161327377"/>
      <w:bookmarkEnd w:id="4"/>
      <w:r w:rsidRPr="003D6C5F" w:rsidR="00BB32E6">
        <w:rPr>
          <w:rFonts w:ascii="Century Schoolbook" w:hAnsi="Century Schoolbook" w:cstheme="majorHAnsi"/>
          <w:sz w:val="26"/>
          <w:szCs w:val="26"/>
        </w:rPr>
        <w:t xml:space="preserve"> </w:t>
      </w:r>
      <w:r w:rsidRPr="003D6C5F" w:rsidR="00872FBA">
        <w:rPr>
          <w:rFonts w:ascii="Century Schoolbook" w:hAnsi="Century Schoolbook" w:cstheme="majorHAnsi"/>
          <w:sz w:val="26"/>
          <w:szCs w:val="26"/>
        </w:rPr>
        <w:t xml:space="preserve"> Ramirez then went inside the R.V. </w:t>
      </w:r>
      <w:r w:rsidRPr="003D6C5F" w:rsidR="004A7B10">
        <w:rPr>
          <w:rFonts w:ascii="Century Schoolbook" w:hAnsi="Century Schoolbook" w:cstheme="majorHAnsi"/>
          <w:sz w:val="26"/>
          <w:szCs w:val="26"/>
        </w:rPr>
        <w:t xml:space="preserve"> </w:t>
      </w:r>
      <w:bookmarkEnd w:id="5"/>
      <w:r w:rsidRPr="003D6C5F" w:rsidR="00F00275">
        <w:rPr>
          <w:rFonts w:ascii="Century Schoolbook" w:hAnsi="Century Schoolbook" w:cstheme="majorHAnsi"/>
          <w:sz w:val="26"/>
          <w:szCs w:val="26"/>
        </w:rPr>
        <w:t xml:space="preserve">Breanna </w:t>
      </w:r>
      <w:r w:rsidRPr="003D6C5F" w:rsidR="00872FBA">
        <w:rPr>
          <w:rFonts w:ascii="Century Schoolbook" w:hAnsi="Century Schoolbook" w:cstheme="majorHAnsi"/>
          <w:sz w:val="26"/>
          <w:szCs w:val="26"/>
        </w:rPr>
        <w:t xml:space="preserve">decided to leave and </w:t>
      </w:r>
      <w:r w:rsidRPr="003D6C5F" w:rsidR="00F00275">
        <w:rPr>
          <w:rFonts w:ascii="Century Schoolbook" w:hAnsi="Century Schoolbook" w:cstheme="majorHAnsi"/>
          <w:sz w:val="26"/>
          <w:szCs w:val="26"/>
        </w:rPr>
        <w:t>went into the abandoned house.</w:t>
      </w:r>
      <w:r w:rsidRPr="003D6C5F" w:rsidR="004A7B10">
        <w:rPr>
          <w:rFonts w:ascii="Century Schoolbook" w:hAnsi="Century Schoolbook" w:cstheme="majorHAnsi"/>
          <w:sz w:val="26"/>
          <w:szCs w:val="26"/>
        </w:rPr>
        <w:t xml:space="preserve">  </w:t>
      </w:r>
      <w:r w:rsidRPr="003D6C5F" w:rsidR="00F00275">
        <w:rPr>
          <w:rFonts w:ascii="Century Schoolbook" w:hAnsi="Century Schoolbook" w:cstheme="majorHAnsi"/>
          <w:sz w:val="26"/>
          <w:szCs w:val="26"/>
        </w:rPr>
        <w:t>Watching from a window in</w:t>
      </w:r>
      <w:r w:rsidRPr="003D6C5F" w:rsidR="00872FBA">
        <w:rPr>
          <w:rFonts w:ascii="Century Schoolbook" w:hAnsi="Century Schoolbook" w:cstheme="majorHAnsi"/>
          <w:sz w:val="26"/>
          <w:szCs w:val="26"/>
        </w:rPr>
        <w:t xml:space="preserve"> </w:t>
      </w:r>
      <w:r w:rsidRPr="003D6C5F" w:rsidR="00F00275">
        <w:rPr>
          <w:rFonts w:ascii="Century Schoolbook" w:hAnsi="Century Schoolbook" w:cstheme="majorHAnsi"/>
          <w:sz w:val="26"/>
          <w:szCs w:val="26"/>
        </w:rPr>
        <w:t>the house</w:t>
      </w:r>
      <w:r w:rsidRPr="003D6C5F" w:rsidR="00D9055A">
        <w:rPr>
          <w:rFonts w:ascii="Century Schoolbook" w:hAnsi="Century Schoolbook" w:cstheme="majorHAnsi"/>
          <w:sz w:val="26"/>
          <w:szCs w:val="26"/>
        </w:rPr>
        <w:t>,</w:t>
      </w:r>
      <w:r w:rsidRPr="003D6C5F" w:rsidR="00F00275">
        <w:rPr>
          <w:rFonts w:ascii="Century Schoolbook" w:hAnsi="Century Schoolbook" w:cstheme="majorHAnsi"/>
          <w:sz w:val="26"/>
          <w:szCs w:val="26"/>
        </w:rPr>
        <w:t xml:space="preserve"> Breanna saw the headlights of</w:t>
      </w:r>
      <w:r w:rsidRPr="003D6C5F" w:rsidR="00D9055A">
        <w:rPr>
          <w:rFonts w:ascii="Century Schoolbook" w:hAnsi="Century Schoolbook" w:cstheme="majorHAnsi"/>
          <w:sz w:val="26"/>
          <w:szCs w:val="26"/>
        </w:rPr>
        <w:t xml:space="preserve"> Samuel’s</w:t>
      </w:r>
      <w:r w:rsidRPr="003D6C5F" w:rsidR="00F00275">
        <w:rPr>
          <w:rFonts w:ascii="Century Schoolbook" w:hAnsi="Century Schoolbook" w:cstheme="majorHAnsi"/>
          <w:sz w:val="26"/>
          <w:szCs w:val="26"/>
        </w:rPr>
        <w:t xml:space="preserve"> car.</w:t>
      </w:r>
      <w:bookmarkStart w:id="6" w:name="_Hlk161328442"/>
      <w:r w:rsidRPr="003D6C5F" w:rsidR="006C21B6">
        <w:rPr>
          <w:rFonts w:ascii="Century Schoolbook" w:hAnsi="Century Schoolbook" w:cstheme="majorHAnsi"/>
          <w:sz w:val="26"/>
          <w:szCs w:val="26"/>
        </w:rPr>
        <w:t xml:space="preserve">  She saw Samuel get out of the car, talk briefly with </w:t>
      </w:r>
      <w:r w:rsidRPr="003D6C5F" w:rsidR="00BC57F6">
        <w:rPr>
          <w:rFonts w:ascii="Century Schoolbook" w:hAnsi="Century Schoolbook" w:cstheme="majorHAnsi"/>
          <w:sz w:val="26"/>
          <w:szCs w:val="26"/>
        </w:rPr>
        <w:t>Ayala</w:t>
      </w:r>
      <w:r w:rsidRPr="003D6C5F" w:rsidR="00750A86">
        <w:rPr>
          <w:rFonts w:ascii="Century Schoolbook" w:hAnsi="Century Schoolbook" w:cstheme="majorHAnsi"/>
          <w:sz w:val="26"/>
          <w:szCs w:val="26"/>
        </w:rPr>
        <w:t>,</w:t>
      </w:r>
      <w:r w:rsidRPr="003D6C5F" w:rsidR="006C21B6">
        <w:rPr>
          <w:rFonts w:ascii="Century Schoolbook" w:hAnsi="Century Schoolbook" w:cstheme="majorHAnsi"/>
          <w:sz w:val="26"/>
          <w:szCs w:val="26"/>
        </w:rPr>
        <w:t xml:space="preserve"> and then go with her into the R.V.  </w:t>
      </w:r>
    </w:p>
    <w:bookmarkEnd w:id="6"/>
    <w:p w:rsidR="00322C10" w:rsidRPr="003D6C5F" w:rsidP="005A1AD4" w14:paraId="0B4A4D73" w14:textId="0660ADB4">
      <w:pPr>
        <w:keepNext/>
        <w:keepLines/>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A few minutes later, Breanna heard </w:t>
      </w:r>
      <w:r w:rsidRPr="003D6C5F" w:rsidR="00EB679D">
        <w:rPr>
          <w:rFonts w:ascii="Century Schoolbook" w:hAnsi="Century Schoolbook" w:cstheme="majorHAnsi"/>
          <w:sz w:val="26"/>
          <w:szCs w:val="26"/>
        </w:rPr>
        <w:t>what she characterized as the</w:t>
      </w:r>
      <w:r w:rsidRPr="003D6C5F">
        <w:rPr>
          <w:rFonts w:ascii="Century Schoolbook" w:hAnsi="Century Schoolbook" w:cstheme="majorHAnsi"/>
          <w:sz w:val="26"/>
          <w:szCs w:val="26"/>
        </w:rPr>
        <w:t xml:space="preserve"> screams “of someone dying” from inside the R.V.  </w:t>
      </w:r>
      <w:r w:rsidRPr="003D6C5F" w:rsidR="00EB679D">
        <w:rPr>
          <w:rFonts w:ascii="Century Schoolbook" w:hAnsi="Century Schoolbook" w:cstheme="majorHAnsi"/>
          <w:sz w:val="26"/>
          <w:szCs w:val="26"/>
        </w:rPr>
        <w:t xml:space="preserve">It was a male voice.  </w:t>
      </w:r>
      <w:bookmarkStart w:id="7" w:name="_Hlk161328508"/>
      <w:r w:rsidRPr="003D6C5F" w:rsidR="00031C5B">
        <w:rPr>
          <w:rFonts w:ascii="Century Schoolbook" w:hAnsi="Century Schoolbook" w:cstheme="majorHAnsi"/>
          <w:sz w:val="26"/>
          <w:szCs w:val="26"/>
        </w:rPr>
        <w:t>Shortly</w:t>
      </w:r>
      <w:r w:rsidRPr="003D6C5F">
        <w:rPr>
          <w:rFonts w:ascii="Century Schoolbook" w:hAnsi="Century Schoolbook" w:cstheme="majorHAnsi"/>
          <w:sz w:val="26"/>
          <w:szCs w:val="26"/>
        </w:rPr>
        <w:t xml:space="preserve"> after the screaming started, Breanna heard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yell for Angel.  </w:t>
      </w:r>
      <w:bookmarkEnd w:id="7"/>
      <w:r w:rsidRPr="003D6C5F">
        <w:rPr>
          <w:rFonts w:ascii="Century Schoolbook" w:hAnsi="Century Schoolbook" w:cstheme="majorHAnsi"/>
          <w:sz w:val="26"/>
          <w:szCs w:val="26"/>
        </w:rPr>
        <w:t xml:space="preserve">After the screaming stopped,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call</w:t>
      </w:r>
      <w:r w:rsidRPr="003D6C5F" w:rsidR="007852F5">
        <w:rPr>
          <w:rFonts w:ascii="Century Schoolbook" w:hAnsi="Century Schoolbook" w:cstheme="majorHAnsi"/>
          <w:sz w:val="26"/>
          <w:szCs w:val="26"/>
        </w:rPr>
        <w:t>ed</w:t>
      </w:r>
      <w:r w:rsidRPr="003D6C5F">
        <w:rPr>
          <w:rFonts w:ascii="Century Schoolbook" w:hAnsi="Century Schoolbook" w:cstheme="majorHAnsi"/>
          <w:sz w:val="26"/>
          <w:szCs w:val="26"/>
        </w:rPr>
        <w:t xml:space="preserve"> her name.  </w:t>
      </w:r>
      <w:r w:rsidRPr="003D6C5F" w:rsidR="00EB679D">
        <w:rPr>
          <w:rFonts w:ascii="Century Schoolbook" w:hAnsi="Century Schoolbook" w:cstheme="majorHAnsi"/>
          <w:sz w:val="26"/>
          <w:szCs w:val="26"/>
        </w:rPr>
        <w:t>When</w:t>
      </w:r>
      <w:r w:rsidRPr="003D6C5F">
        <w:rPr>
          <w:rFonts w:ascii="Century Schoolbook" w:hAnsi="Century Schoolbook" w:cstheme="majorHAnsi"/>
          <w:sz w:val="26"/>
          <w:szCs w:val="26"/>
        </w:rPr>
        <w:t xml:space="preserve"> Breanna approached the R.V., she saw Ramirez and Angel pull Samuel out of the R.V. on a sheet.  Samuel’s head was smashed in and it appeared to Breanna that he was dead.  Breanna heard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tell Ramirez and Angel to bring Samuel’s body to the fire pit.  </w:t>
      </w:r>
      <w:bookmarkStart w:id="8" w:name="_Hlk161387630"/>
      <w:r w:rsidRPr="003D6C5F" w:rsidR="00EB679D">
        <w:rPr>
          <w:rFonts w:ascii="Century Schoolbook" w:hAnsi="Century Schoolbook" w:cstheme="majorHAnsi"/>
          <w:sz w:val="26"/>
          <w:szCs w:val="26"/>
        </w:rPr>
        <w:t xml:space="preserve">They put the body </w:t>
      </w:r>
      <w:r w:rsidRPr="003D6C5F" w:rsidR="001057FA">
        <w:rPr>
          <w:rFonts w:ascii="Century Schoolbook" w:hAnsi="Century Schoolbook" w:cstheme="majorHAnsi"/>
          <w:sz w:val="26"/>
          <w:szCs w:val="26"/>
        </w:rPr>
        <w:t>i</w:t>
      </w:r>
      <w:r w:rsidRPr="003D6C5F" w:rsidR="00EB679D">
        <w:rPr>
          <w:rFonts w:ascii="Century Schoolbook" w:hAnsi="Century Schoolbook" w:cstheme="majorHAnsi"/>
          <w:sz w:val="26"/>
          <w:szCs w:val="26"/>
        </w:rPr>
        <w:t>n the fire along with</w:t>
      </w:r>
      <w:r w:rsidRPr="003D6C5F" w:rsidR="003D0B6C">
        <w:rPr>
          <w:rFonts w:ascii="Century Schoolbook" w:hAnsi="Century Schoolbook" w:cstheme="majorHAnsi"/>
          <w:sz w:val="26"/>
          <w:szCs w:val="26"/>
        </w:rPr>
        <w:t xml:space="preserve"> Samuel’s phone and wallet</w:t>
      </w:r>
      <w:r w:rsidRPr="003D6C5F">
        <w:rPr>
          <w:rFonts w:ascii="Century Schoolbook" w:hAnsi="Century Schoolbook" w:cstheme="majorHAnsi"/>
          <w:sz w:val="26"/>
          <w:szCs w:val="26"/>
        </w:rPr>
        <w:t xml:space="preserve">. </w:t>
      </w:r>
      <w:r w:rsidRPr="003D6C5F" w:rsidR="003D0B6C">
        <w:rPr>
          <w:rFonts w:ascii="Century Schoolbook" w:hAnsi="Century Schoolbook" w:cstheme="majorHAnsi"/>
          <w:sz w:val="26"/>
          <w:szCs w:val="26"/>
        </w:rPr>
        <w:t xml:space="preserve"> </w:t>
      </w:r>
    </w:p>
    <w:p w:rsidR="003D0B6C" w:rsidRPr="003D6C5F" w:rsidP="000B1ECC" w14:paraId="6B2F1D79" w14:textId="4C26008C">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r>
      <w:r w:rsidRPr="003D6C5F" w:rsidR="00322C10">
        <w:rPr>
          <w:rFonts w:ascii="Century Schoolbook" w:hAnsi="Century Schoolbook" w:cstheme="majorHAnsi"/>
          <w:sz w:val="26"/>
          <w:szCs w:val="26"/>
        </w:rPr>
        <w:t xml:space="preserve">Angel, </w:t>
      </w:r>
      <w:r w:rsidRPr="003D6C5F">
        <w:rPr>
          <w:rFonts w:ascii="Century Schoolbook" w:hAnsi="Century Schoolbook" w:cstheme="majorHAnsi"/>
          <w:sz w:val="26"/>
          <w:szCs w:val="26"/>
        </w:rPr>
        <w:t>Ramirez</w:t>
      </w:r>
      <w:r w:rsidRPr="003D6C5F" w:rsidR="00322C10">
        <w:rPr>
          <w:rFonts w:ascii="Century Schoolbook" w:hAnsi="Century Schoolbook" w:cstheme="majorHAnsi"/>
          <w:sz w:val="26"/>
          <w:szCs w:val="26"/>
        </w:rPr>
        <w:t xml:space="preserve"> and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w:t>
      </w:r>
      <w:r w:rsidRPr="003D6C5F" w:rsidR="00322C10">
        <w:rPr>
          <w:rFonts w:ascii="Century Schoolbook" w:hAnsi="Century Schoolbook" w:cstheme="majorHAnsi"/>
          <w:sz w:val="26"/>
          <w:szCs w:val="26"/>
        </w:rPr>
        <w:t xml:space="preserve">burned their clothes, washed their </w:t>
      </w:r>
      <w:r w:rsidRPr="003D6C5F">
        <w:rPr>
          <w:rFonts w:ascii="Century Schoolbook" w:hAnsi="Century Schoolbook" w:cstheme="majorHAnsi"/>
          <w:sz w:val="26"/>
          <w:szCs w:val="26"/>
        </w:rPr>
        <w:t xml:space="preserve">bodies, </w:t>
      </w:r>
      <w:r w:rsidRPr="003D6C5F" w:rsidR="00322C10">
        <w:rPr>
          <w:rFonts w:ascii="Century Schoolbook" w:hAnsi="Century Schoolbook" w:cstheme="majorHAnsi"/>
          <w:sz w:val="26"/>
          <w:szCs w:val="26"/>
        </w:rPr>
        <w:t xml:space="preserve">and put on </w:t>
      </w:r>
      <w:r w:rsidRPr="003D6C5F">
        <w:rPr>
          <w:rFonts w:ascii="Century Schoolbook" w:hAnsi="Century Schoolbook" w:cstheme="majorHAnsi"/>
          <w:sz w:val="26"/>
          <w:szCs w:val="26"/>
        </w:rPr>
        <w:t>different</w:t>
      </w:r>
      <w:r w:rsidRPr="003D6C5F" w:rsidR="00322C10">
        <w:rPr>
          <w:rFonts w:ascii="Century Schoolbook" w:hAnsi="Century Schoolbook" w:cstheme="majorHAnsi"/>
          <w:sz w:val="26"/>
          <w:szCs w:val="26"/>
        </w:rPr>
        <w:t xml:space="preserve"> clothes.</w:t>
      </w:r>
      <w:r w:rsidRPr="003D6C5F" w:rsidR="004C60C5">
        <w:rPr>
          <w:rFonts w:ascii="Century Schoolbook" w:hAnsi="Century Schoolbook" w:cstheme="majorHAnsi"/>
          <w:sz w:val="26"/>
          <w:szCs w:val="26"/>
        </w:rPr>
        <w:t xml:space="preserve">  </w:t>
      </w:r>
      <w:bookmarkEnd w:id="8"/>
      <w:r w:rsidRPr="003D6C5F" w:rsidR="00BC57F6">
        <w:rPr>
          <w:rFonts w:ascii="Century Schoolbook" w:hAnsi="Century Schoolbook" w:cstheme="majorHAnsi"/>
          <w:sz w:val="26"/>
          <w:szCs w:val="26"/>
        </w:rPr>
        <w:t>Ayala</w:t>
      </w:r>
      <w:r w:rsidRPr="003D6C5F" w:rsidR="004C60C5">
        <w:rPr>
          <w:rFonts w:ascii="Century Schoolbook" w:hAnsi="Century Schoolbook" w:cstheme="majorHAnsi"/>
          <w:sz w:val="26"/>
          <w:szCs w:val="26"/>
        </w:rPr>
        <w:t xml:space="preserve"> then instructed Breanna to help </w:t>
      </w:r>
      <w:r w:rsidRPr="003D6C5F">
        <w:rPr>
          <w:rFonts w:ascii="Century Schoolbook" w:hAnsi="Century Schoolbook" w:cstheme="majorHAnsi"/>
          <w:sz w:val="26"/>
          <w:szCs w:val="26"/>
        </w:rPr>
        <w:t>clean up the</w:t>
      </w:r>
      <w:r w:rsidRPr="003D6C5F" w:rsidR="004C60C5">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blood and the mess inside the R.V. </w:t>
      </w:r>
      <w:r w:rsidRPr="003D6C5F" w:rsidR="00C1371A">
        <w:rPr>
          <w:rFonts w:ascii="Century Schoolbook" w:hAnsi="Century Schoolbook" w:cstheme="majorHAnsi"/>
          <w:sz w:val="26"/>
          <w:szCs w:val="26"/>
        </w:rPr>
        <w:t xml:space="preserve"> Breanna did whatever </w:t>
      </w:r>
      <w:r w:rsidRPr="003D6C5F" w:rsidR="00BC57F6">
        <w:rPr>
          <w:rFonts w:ascii="Century Schoolbook" w:hAnsi="Century Schoolbook" w:cstheme="majorHAnsi"/>
          <w:sz w:val="26"/>
          <w:szCs w:val="26"/>
        </w:rPr>
        <w:t>Ayala</w:t>
      </w:r>
      <w:r w:rsidRPr="003D6C5F" w:rsidR="00C1371A">
        <w:rPr>
          <w:rFonts w:ascii="Century Schoolbook" w:hAnsi="Century Schoolbook" w:cstheme="majorHAnsi"/>
          <w:sz w:val="26"/>
          <w:szCs w:val="26"/>
        </w:rPr>
        <w:t xml:space="preserve"> told her to do </w:t>
      </w:r>
      <w:r w:rsidRPr="003D6C5F">
        <w:rPr>
          <w:rFonts w:ascii="Century Schoolbook" w:hAnsi="Century Schoolbook" w:cstheme="majorHAnsi"/>
          <w:sz w:val="26"/>
          <w:szCs w:val="26"/>
        </w:rPr>
        <w:t xml:space="preserve">because she </w:t>
      </w:r>
      <w:r w:rsidRPr="003D6C5F" w:rsidR="00E74926">
        <w:rPr>
          <w:rFonts w:ascii="Century Schoolbook" w:hAnsi="Century Schoolbook" w:cstheme="majorHAnsi"/>
          <w:sz w:val="26"/>
          <w:szCs w:val="26"/>
        </w:rPr>
        <w:t xml:space="preserve">remembered what Cheyenne had </w:t>
      </w:r>
      <w:r w:rsidRPr="003D6C5F" w:rsidR="00507713">
        <w:rPr>
          <w:rFonts w:ascii="Century Schoolbook" w:hAnsi="Century Schoolbook" w:cstheme="majorHAnsi"/>
          <w:sz w:val="26"/>
          <w:szCs w:val="26"/>
        </w:rPr>
        <w:t>said</w:t>
      </w:r>
      <w:r w:rsidRPr="003D6C5F" w:rsidR="00E74926">
        <w:rPr>
          <w:rFonts w:ascii="Century Schoolbook" w:hAnsi="Century Schoolbook" w:cstheme="majorHAnsi"/>
          <w:sz w:val="26"/>
          <w:szCs w:val="26"/>
        </w:rPr>
        <w:t xml:space="preserve"> about </w:t>
      </w:r>
      <w:r w:rsidRPr="003D6C5F" w:rsidR="00BC57F6">
        <w:rPr>
          <w:rFonts w:ascii="Century Schoolbook" w:hAnsi="Century Schoolbook" w:cstheme="majorHAnsi"/>
          <w:sz w:val="26"/>
          <w:szCs w:val="26"/>
        </w:rPr>
        <w:t>Ayala</w:t>
      </w:r>
      <w:r w:rsidRPr="003D6C5F" w:rsidR="00507713">
        <w:rPr>
          <w:rFonts w:ascii="Century Schoolbook" w:hAnsi="Century Schoolbook" w:cstheme="majorHAnsi"/>
          <w:sz w:val="26"/>
          <w:szCs w:val="26"/>
        </w:rPr>
        <w:t>’s violent tendencies</w:t>
      </w:r>
      <w:r w:rsidRPr="003D6C5F" w:rsidR="00E74926">
        <w:rPr>
          <w:rFonts w:ascii="Century Schoolbook" w:hAnsi="Century Schoolbook" w:cstheme="majorHAnsi"/>
          <w:sz w:val="26"/>
          <w:szCs w:val="26"/>
        </w:rPr>
        <w:t xml:space="preserve"> and </w:t>
      </w:r>
      <w:r w:rsidRPr="003D6C5F" w:rsidR="00EB679D">
        <w:rPr>
          <w:rFonts w:ascii="Century Schoolbook" w:hAnsi="Century Schoolbook" w:cstheme="majorHAnsi"/>
          <w:sz w:val="26"/>
          <w:szCs w:val="26"/>
        </w:rPr>
        <w:t xml:space="preserve">she </w:t>
      </w:r>
      <w:r w:rsidRPr="003D6C5F">
        <w:rPr>
          <w:rFonts w:ascii="Century Schoolbook" w:hAnsi="Century Schoolbook" w:cstheme="majorHAnsi"/>
          <w:sz w:val="26"/>
          <w:szCs w:val="26"/>
        </w:rPr>
        <w:t xml:space="preserve">was </w:t>
      </w:r>
      <w:r w:rsidRPr="003D6C5F" w:rsidR="00E74926">
        <w:rPr>
          <w:rFonts w:ascii="Century Schoolbook" w:hAnsi="Century Schoolbook" w:cstheme="majorHAnsi"/>
          <w:sz w:val="26"/>
          <w:szCs w:val="26"/>
        </w:rPr>
        <w:t>afraid</w:t>
      </w:r>
      <w:r w:rsidRPr="003D6C5F">
        <w:rPr>
          <w:rFonts w:ascii="Century Schoolbook" w:hAnsi="Century Schoolbook" w:cstheme="majorHAnsi"/>
          <w:sz w:val="26"/>
          <w:szCs w:val="26"/>
        </w:rPr>
        <w:t>.</w:t>
      </w:r>
      <w:r w:rsidRPr="003D6C5F" w:rsidR="00EF616F">
        <w:rPr>
          <w:rFonts w:ascii="Century Schoolbook" w:hAnsi="Century Schoolbook" w:cstheme="majorHAnsi"/>
          <w:sz w:val="26"/>
          <w:szCs w:val="26"/>
        </w:rPr>
        <w:t xml:space="preserve">  </w:t>
      </w:r>
      <w:r w:rsidRPr="003D6C5F" w:rsidR="00BC57F6">
        <w:rPr>
          <w:rFonts w:ascii="Century Schoolbook" w:hAnsi="Century Schoolbook" w:cstheme="majorHAnsi"/>
          <w:sz w:val="26"/>
          <w:szCs w:val="26"/>
        </w:rPr>
        <w:t>Ayala</w:t>
      </w:r>
      <w:r w:rsidRPr="003D6C5F" w:rsidR="00EF616F">
        <w:rPr>
          <w:rFonts w:ascii="Century Schoolbook" w:hAnsi="Century Schoolbook" w:cstheme="majorHAnsi"/>
          <w:sz w:val="26"/>
          <w:szCs w:val="26"/>
        </w:rPr>
        <w:t xml:space="preserve"> called Jonathan, told him something bad</w:t>
      </w:r>
      <w:r w:rsidRPr="003D6C5F" w:rsidR="006401FA">
        <w:rPr>
          <w:rFonts w:ascii="Century Schoolbook" w:hAnsi="Century Schoolbook" w:cstheme="majorHAnsi"/>
          <w:sz w:val="26"/>
          <w:szCs w:val="26"/>
        </w:rPr>
        <w:t xml:space="preserve"> </w:t>
      </w:r>
      <w:r w:rsidRPr="003D6C5F" w:rsidR="00EF616F">
        <w:rPr>
          <w:rFonts w:ascii="Century Schoolbook" w:hAnsi="Century Schoolbook" w:cstheme="majorHAnsi"/>
          <w:sz w:val="26"/>
          <w:szCs w:val="26"/>
        </w:rPr>
        <w:t xml:space="preserve">had happened and they needed to get rid of a car.  Jonathan </w:t>
      </w:r>
      <w:r w:rsidRPr="003D6C5F" w:rsidR="006C1E97">
        <w:rPr>
          <w:rFonts w:ascii="Century Schoolbook" w:hAnsi="Century Schoolbook" w:cstheme="majorHAnsi"/>
          <w:sz w:val="26"/>
          <w:szCs w:val="26"/>
        </w:rPr>
        <w:t xml:space="preserve">eventually </w:t>
      </w:r>
      <w:r w:rsidRPr="003D6C5F" w:rsidR="00EF616F">
        <w:rPr>
          <w:rFonts w:ascii="Century Schoolbook" w:hAnsi="Century Schoolbook" w:cstheme="majorHAnsi"/>
          <w:sz w:val="26"/>
          <w:szCs w:val="26"/>
        </w:rPr>
        <w:t>sold Samuel’s car for methamphetamine and about $40 cash.</w:t>
      </w:r>
    </w:p>
    <w:p w:rsidR="008837DE" w:rsidRPr="003D6C5F" w:rsidP="00E07368" w14:paraId="44E976B5" w14:textId="4B7BE860">
      <w:pPr>
        <w:pStyle w:val="Heading1"/>
        <w:spacing w:before="120" w:after="120"/>
        <w:rPr>
          <w:rFonts w:ascii="Century Schoolbook" w:hAnsi="Century Schoolbook"/>
          <w:b/>
          <w:bCs/>
          <w:sz w:val="26"/>
          <w:szCs w:val="26"/>
        </w:rPr>
      </w:pPr>
      <w:r w:rsidRPr="003D6C5F">
        <w:rPr>
          <w:rFonts w:ascii="Century Schoolbook" w:hAnsi="Century Schoolbook"/>
          <w:b/>
          <w:bCs/>
          <w:sz w:val="26"/>
          <w:szCs w:val="26"/>
        </w:rPr>
        <w:t>DISCUSSION</w:t>
      </w:r>
      <w:bookmarkStart w:id="9" w:name="_Hlk147134559"/>
    </w:p>
    <w:p w:rsidR="00CF4701" w:rsidRPr="003D6C5F" w:rsidP="00315C93" w14:paraId="3ED90F0D" w14:textId="28BED8B6">
      <w:pPr>
        <w:pStyle w:val="Heading3"/>
        <w:spacing w:before="120"/>
        <w:ind w:left="720" w:hanging="720"/>
        <w:rPr>
          <w:rFonts w:ascii="Century Schoolbook" w:hAnsi="Century Schoolbook"/>
          <w:sz w:val="26"/>
          <w:szCs w:val="26"/>
        </w:rPr>
      </w:pPr>
      <w:r w:rsidRPr="003D6C5F">
        <w:rPr>
          <w:rFonts w:ascii="Century Schoolbook" w:hAnsi="Century Schoolbook"/>
          <w:sz w:val="26"/>
          <w:szCs w:val="26"/>
        </w:rPr>
        <w:t>A</w:t>
      </w:r>
      <w:r w:rsidRPr="003D6C5F" w:rsidR="00005AD3">
        <w:rPr>
          <w:rFonts w:ascii="Century Schoolbook" w:hAnsi="Century Schoolbook"/>
          <w:sz w:val="26"/>
          <w:szCs w:val="26"/>
        </w:rPr>
        <w:t>.</w:t>
      </w:r>
      <w:r w:rsidRPr="003D6C5F" w:rsidR="00A50851">
        <w:rPr>
          <w:rFonts w:ascii="Century Schoolbook" w:hAnsi="Century Schoolbook"/>
          <w:sz w:val="26"/>
          <w:szCs w:val="26"/>
        </w:rPr>
        <w:t xml:space="preserve"> </w:t>
      </w:r>
      <w:r w:rsidRPr="003D6C5F" w:rsidR="006C460B">
        <w:rPr>
          <w:rFonts w:ascii="Century Schoolbook" w:hAnsi="Century Schoolbook"/>
          <w:sz w:val="26"/>
          <w:szCs w:val="26"/>
        </w:rPr>
        <w:tab/>
      </w:r>
      <w:r w:rsidRPr="003D6C5F" w:rsidR="00EB634D">
        <w:rPr>
          <w:rFonts w:ascii="Century Schoolbook" w:hAnsi="Century Schoolbook"/>
          <w:i/>
          <w:iCs/>
          <w:sz w:val="26"/>
          <w:szCs w:val="26"/>
        </w:rPr>
        <w:t xml:space="preserve">There Was </w:t>
      </w:r>
      <w:r w:rsidRPr="003D6C5F" w:rsidR="008267A7">
        <w:rPr>
          <w:rFonts w:ascii="Century Schoolbook" w:hAnsi="Century Schoolbook"/>
          <w:i/>
          <w:iCs/>
          <w:sz w:val="26"/>
          <w:szCs w:val="26"/>
        </w:rPr>
        <w:t xml:space="preserve">Prejudicial </w:t>
      </w:r>
      <w:r w:rsidRPr="003D6C5F" w:rsidR="00EB634D">
        <w:rPr>
          <w:rFonts w:ascii="Century Schoolbook" w:hAnsi="Century Schoolbook"/>
          <w:i/>
          <w:iCs/>
          <w:sz w:val="26"/>
          <w:szCs w:val="26"/>
        </w:rPr>
        <w:t>Error in Admitting Breanna’s Preliminary</w:t>
      </w:r>
      <w:r w:rsidRPr="003D6C5F" w:rsidR="008267A7">
        <w:rPr>
          <w:rFonts w:ascii="Century Schoolbook" w:hAnsi="Century Schoolbook"/>
          <w:i/>
          <w:iCs/>
          <w:sz w:val="26"/>
          <w:szCs w:val="26"/>
        </w:rPr>
        <w:t xml:space="preserve"> </w:t>
      </w:r>
      <w:r w:rsidRPr="003D6C5F" w:rsidR="00EB634D">
        <w:rPr>
          <w:rFonts w:ascii="Century Schoolbook" w:hAnsi="Century Schoolbook"/>
          <w:i/>
          <w:iCs/>
          <w:sz w:val="26"/>
          <w:szCs w:val="26"/>
        </w:rPr>
        <w:t>Hearing Testimony</w:t>
      </w:r>
    </w:p>
    <w:p w:rsidR="00CB4185" w:rsidRPr="003D6C5F" w:rsidP="00E07368" w14:paraId="08C060DA" w14:textId="77777777">
      <w:pPr>
        <w:rPr>
          <w:rFonts w:ascii="Century Schoolbook" w:hAnsi="Century Schoolbook" w:cstheme="majorHAnsi"/>
          <w:sz w:val="26"/>
          <w:szCs w:val="26"/>
        </w:rPr>
      </w:pPr>
    </w:p>
    <w:p w:rsidR="00AE5A19" w:rsidRPr="003D6C5F" w:rsidP="000B1ECC" w14:paraId="317E300B" w14:textId="1BF9C4DE">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r>
      <w:r w:rsidRPr="003D6C5F" w:rsidR="00E16D12">
        <w:rPr>
          <w:rFonts w:ascii="Century Schoolbook" w:hAnsi="Century Schoolbook" w:cstheme="majorHAnsi"/>
          <w:sz w:val="26"/>
          <w:szCs w:val="26"/>
        </w:rPr>
        <w:t xml:space="preserve">It took an investigator with the </w:t>
      </w:r>
      <w:r w:rsidRPr="003D6C5F" w:rsidR="002F4609">
        <w:rPr>
          <w:rFonts w:ascii="Century Schoolbook" w:hAnsi="Century Schoolbook" w:cstheme="majorHAnsi"/>
          <w:sz w:val="26"/>
          <w:szCs w:val="26"/>
        </w:rPr>
        <w:t>district attorney’s office</w:t>
      </w:r>
      <w:r w:rsidRPr="003D6C5F" w:rsidR="00E16D12">
        <w:rPr>
          <w:rFonts w:ascii="Century Schoolbook" w:hAnsi="Century Schoolbook" w:cstheme="majorHAnsi"/>
          <w:sz w:val="26"/>
          <w:szCs w:val="26"/>
        </w:rPr>
        <w:t xml:space="preserve"> two months to locate Breanna for the 2017 preliminary hearing.  </w:t>
      </w:r>
      <w:r w:rsidRPr="003D6C5F">
        <w:rPr>
          <w:rFonts w:ascii="Century Schoolbook" w:hAnsi="Century Schoolbook" w:cstheme="majorHAnsi"/>
          <w:sz w:val="26"/>
          <w:szCs w:val="26"/>
        </w:rPr>
        <w:t>On November 30 and December 4, 2017, Breanna appeared and testified</w:t>
      </w:r>
      <w:bookmarkStart w:id="10" w:name="_Hlk161226019"/>
      <w:r w:rsidRPr="003D6C5F">
        <w:rPr>
          <w:rFonts w:ascii="Century Schoolbook" w:hAnsi="Century Schoolbook" w:cstheme="majorHAnsi"/>
          <w:sz w:val="26"/>
          <w:szCs w:val="26"/>
        </w:rPr>
        <w:t xml:space="preserve">.  </w:t>
      </w:r>
      <w:bookmarkStart w:id="11" w:name="_Hlk161226390"/>
      <w:bookmarkEnd w:id="10"/>
      <w:r w:rsidRPr="003D6C5F" w:rsidR="00E16D12">
        <w:rPr>
          <w:rFonts w:ascii="Century Schoolbook" w:hAnsi="Century Schoolbook" w:cstheme="majorHAnsi"/>
          <w:sz w:val="26"/>
          <w:szCs w:val="26"/>
        </w:rPr>
        <w:t>After th</w:t>
      </w:r>
      <w:r w:rsidRPr="003D6C5F" w:rsidR="00507713">
        <w:rPr>
          <w:rFonts w:ascii="Century Schoolbook" w:hAnsi="Century Schoolbook" w:cstheme="majorHAnsi"/>
          <w:sz w:val="26"/>
          <w:szCs w:val="26"/>
        </w:rPr>
        <w:t>at</w:t>
      </w:r>
      <w:r w:rsidRPr="003D6C5F" w:rsidR="00E16D12">
        <w:rPr>
          <w:rFonts w:ascii="Century Schoolbook" w:hAnsi="Century Schoolbook" w:cstheme="majorHAnsi"/>
          <w:sz w:val="26"/>
          <w:szCs w:val="26"/>
        </w:rPr>
        <w:t xml:space="preserve"> hearing and sometime “pre-COVID,” the </w:t>
      </w:r>
      <w:r w:rsidRPr="003D6C5F" w:rsidR="00A158E0">
        <w:rPr>
          <w:rFonts w:ascii="Century Schoolbook" w:hAnsi="Century Schoolbook" w:cstheme="majorHAnsi"/>
          <w:sz w:val="26"/>
          <w:szCs w:val="26"/>
        </w:rPr>
        <w:t>d</w:t>
      </w:r>
      <w:r w:rsidRPr="003D6C5F" w:rsidR="00E16D12">
        <w:rPr>
          <w:rFonts w:ascii="Century Schoolbook" w:hAnsi="Century Schoolbook" w:cstheme="majorHAnsi"/>
          <w:sz w:val="26"/>
          <w:szCs w:val="26"/>
        </w:rPr>
        <w:t xml:space="preserve">istrict </w:t>
      </w:r>
      <w:r w:rsidRPr="003D6C5F" w:rsidR="00A158E0">
        <w:rPr>
          <w:rFonts w:ascii="Century Schoolbook" w:hAnsi="Century Schoolbook" w:cstheme="majorHAnsi"/>
          <w:sz w:val="26"/>
          <w:szCs w:val="26"/>
        </w:rPr>
        <w:t>a</w:t>
      </w:r>
      <w:r w:rsidRPr="003D6C5F" w:rsidR="00E16D12">
        <w:rPr>
          <w:rFonts w:ascii="Century Schoolbook" w:hAnsi="Century Schoolbook" w:cstheme="majorHAnsi"/>
          <w:sz w:val="26"/>
          <w:szCs w:val="26"/>
        </w:rPr>
        <w:t xml:space="preserve">ttorney’s </w:t>
      </w:r>
      <w:r w:rsidRPr="003D6C5F" w:rsidR="00A158E0">
        <w:rPr>
          <w:rFonts w:ascii="Century Schoolbook" w:hAnsi="Century Schoolbook" w:cstheme="majorHAnsi"/>
          <w:sz w:val="26"/>
          <w:szCs w:val="26"/>
        </w:rPr>
        <w:t>o</w:t>
      </w:r>
      <w:r w:rsidRPr="003D6C5F" w:rsidR="00E16D12">
        <w:rPr>
          <w:rFonts w:ascii="Century Schoolbook" w:hAnsi="Century Schoolbook" w:cstheme="majorHAnsi"/>
          <w:sz w:val="26"/>
          <w:szCs w:val="26"/>
        </w:rPr>
        <w:t xml:space="preserve">ffice lost contact with </w:t>
      </w:r>
      <w:r w:rsidRPr="003D6C5F" w:rsidR="00507713">
        <w:rPr>
          <w:rFonts w:ascii="Century Schoolbook" w:hAnsi="Century Schoolbook" w:cstheme="majorHAnsi"/>
          <w:sz w:val="26"/>
          <w:szCs w:val="26"/>
        </w:rPr>
        <w:t>her</w:t>
      </w:r>
      <w:r w:rsidRPr="003D6C5F" w:rsidR="00E16D12">
        <w:rPr>
          <w:rFonts w:ascii="Century Schoolbook" w:hAnsi="Century Schoolbook" w:cstheme="majorHAnsi"/>
          <w:sz w:val="26"/>
          <w:szCs w:val="26"/>
        </w:rPr>
        <w:t xml:space="preserve">.  </w:t>
      </w:r>
      <w:bookmarkEnd w:id="11"/>
      <w:r w:rsidRPr="003D6C5F">
        <w:rPr>
          <w:rFonts w:ascii="Century Schoolbook" w:hAnsi="Century Schoolbook" w:cstheme="majorHAnsi"/>
          <w:sz w:val="26"/>
          <w:szCs w:val="26"/>
        </w:rPr>
        <w:t>The</w:t>
      </w:r>
      <w:r w:rsidRPr="003D6C5F" w:rsidR="00507713">
        <w:rPr>
          <w:rFonts w:ascii="Century Schoolbook" w:hAnsi="Century Schoolbook" w:cstheme="majorHAnsi"/>
          <w:sz w:val="26"/>
          <w:szCs w:val="26"/>
        </w:rPr>
        <w:t>re was</w:t>
      </w:r>
      <w:r w:rsidRPr="003D6C5F">
        <w:rPr>
          <w:rFonts w:ascii="Century Schoolbook" w:hAnsi="Century Schoolbook" w:cstheme="majorHAnsi"/>
          <w:sz w:val="26"/>
          <w:szCs w:val="26"/>
        </w:rPr>
        <w:t xml:space="preserve"> no record </w:t>
      </w:r>
      <w:r w:rsidRPr="003D6C5F" w:rsidR="00507713">
        <w:rPr>
          <w:rFonts w:ascii="Century Schoolbook" w:hAnsi="Century Schoolbook" w:cstheme="majorHAnsi"/>
          <w:sz w:val="26"/>
          <w:szCs w:val="26"/>
        </w:rPr>
        <w:t>of any</w:t>
      </w:r>
      <w:r w:rsidRPr="003D6C5F" w:rsidR="00E16D12">
        <w:rPr>
          <w:rFonts w:ascii="Century Schoolbook" w:hAnsi="Century Schoolbook" w:cstheme="majorHAnsi"/>
          <w:sz w:val="26"/>
          <w:szCs w:val="26"/>
        </w:rPr>
        <w:t xml:space="preserve"> contact after the preliminary hearing.  </w:t>
      </w:r>
    </w:p>
    <w:p w:rsidR="00BB3954" w:rsidRPr="003D6C5F" w:rsidP="000B1ECC" w14:paraId="48573F12" w14:textId="3158C1C1">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Trial was originally s</w:t>
      </w:r>
      <w:r w:rsidRPr="003D6C5F" w:rsidR="007231B9">
        <w:rPr>
          <w:rFonts w:ascii="Century Schoolbook" w:hAnsi="Century Schoolbook" w:cstheme="majorHAnsi"/>
          <w:sz w:val="26"/>
          <w:szCs w:val="26"/>
        </w:rPr>
        <w:t>cheduled</w:t>
      </w:r>
      <w:r w:rsidRPr="003D6C5F">
        <w:rPr>
          <w:rFonts w:ascii="Century Schoolbook" w:hAnsi="Century Schoolbook" w:cstheme="majorHAnsi"/>
          <w:sz w:val="26"/>
          <w:szCs w:val="26"/>
        </w:rPr>
        <w:t xml:space="preserve"> for May 11, 2018.</w:t>
      </w:r>
      <w:r w:rsidRPr="003D6C5F" w:rsidR="00DA67DE">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 After</w:t>
      </w:r>
      <w:r w:rsidRPr="003D6C5F" w:rsidR="00DA67DE">
        <w:rPr>
          <w:rFonts w:ascii="Century Schoolbook" w:hAnsi="Century Schoolbook" w:cstheme="majorHAnsi"/>
          <w:sz w:val="26"/>
          <w:szCs w:val="26"/>
        </w:rPr>
        <w:t xml:space="preserve"> </w:t>
      </w:r>
      <w:r w:rsidRPr="003D6C5F">
        <w:rPr>
          <w:rFonts w:ascii="Century Schoolbook" w:hAnsi="Century Schoolbook" w:cstheme="majorHAnsi"/>
          <w:sz w:val="26"/>
          <w:szCs w:val="26"/>
        </w:rPr>
        <w:t>multiple stipulated or unopposed</w:t>
      </w:r>
      <w:r w:rsidRPr="003D6C5F" w:rsidR="00DA67DE">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continuances, trial was </w:t>
      </w:r>
      <w:bookmarkStart w:id="12" w:name="_Hlk161226044"/>
      <w:r w:rsidRPr="003D6C5F" w:rsidR="00507713">
        <w:rPr>
          <w:rFonts w:ascii="Century Schoolbook" w:hAnsi="Century Schoolbook" w:cstheme="majorHAnsi"/>
          <w:sz w:val="26"/>
          <w:szCs w:val="26"/>
        </w:rPr>
        <w:t>set for</w:t>
      </w:r>
      <w:r w:rsidRPr="003D6C5F">
        <w:rPr>
          <w:rFonts w:ascii="Century Schoolbook" w:hAnsi="Century Schoolbook" w:cstheme="majorHAnsi"/>
          <w:sz w:val="26"/>
          <w:szCs w:val="26"/>
        </w:rPr>
        <w:t xml:space="preserve"> April</w:t>
      </w:r>
      <w:r w:rsidRPr="003D6C5F" w:rsidR="00DA67DE">
        <w:rPr>
          <w:rFonts w:ascii="Century Schoolbook" w:hAnsi="Century Schoolbook" w:cstheme="majorHAnsi"/>
          <w:sz w:val="26"/>
          <w:szCs w:val="26"/>
        </w:rPr>
        <w:t xml:space="preserve"> </w:t>
      </w:r>
      <w:r w:rsidRPr="003D6C5F">
        <w:rPr>
          <w:rFonts w:ascii="Century Schoolbook" w:hAnsi="Century Schoolbook" w:cstheme="majorHAnsi"/>
          <w:sz w:val="26"/>
          <w:szCs w:val="26"/>
        </w:rPr>
        <w:t>8, 2020.</w:t>
      </w:r>
      <w:r w:rsidRPr="003D6C5F" w:rsidR="00DA67DE">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 </w:t>
      </w:r>
      <w:bookmarkEnd w:id="12"/>
      <w:r w:rsidRPr="003D6C5F" w:rsidR="00EA7BBD">
        <w:rPr>
          <w:rFonts w:ascii="Century Schoolbook" w:hAnsi="Century Schoolbook" w:cstheme="majorHAnsi"/>
          <w:sz w:val="26"/>
          <w:szCs w:val="26"/>
        </w:rPr>
        <w:t>However, o</w:t>
      </w:r>
      <w:r w:rsidRPr="003D6C5F">
        <w:rPr>
          <w:rFonts w:ascii="Century Schoolbook" w:hAnsi="Century Schoolbook" w:cstheme="majorHAnsi"/>
          <w:sz w:val="26"/>
          <w:szCs w:val="26"/>
        </w:rPr>
        <w:t>n March 23, 2020, the Chief Justice of California issued a statewide order suspending jury trials for</w:t>
      </w:r>
      <w:r w:rsidRPr="003D6C5F" w:rsidR="0079585F">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sixty days </w:t>
      </w:r>
      <w:r w:rsidRPr="003D6C5F" w:rsidR="00EA7BBD">
        <w:rPr>
          <w:rFonts w:ascii="Century Schoolbook" w:hAnsi="Century Schoolbook" w:cstheme="majorHAnsi"/>
          <w:sz w:val="26"/>
          <w:szCs w:val="26"/>
        </w:rPr>
        <w:t>because</w:t>
      </w:r>
      <w:r w:rsidRPr="003D6C5F">
        <w:rPr>
          <w:rFonts w:ascii="Century Schoolbook" w:hAnsi="Century Schoolbook" w:cstheme="majorHAnsi"/>
          <w:sz w:val="26"/>
          <w:szCs w:val="26"/>
        </w:rPr>
        <w:t xml:space="preserve"> of </w:t>
      </w:r>
      <w:r w:rsidRPr="003D6C5F" w:rsidR="00EA7BBD">
        <w:rPr>
          <w:rFonts w:ascii="Century Schoolbook" w:hAnsi="Century Schoolbook" w:cstheme="majorHAnsi"/>
          <w:sz w:val="26"/>
          <w:szCs w:val="26"/>
        </w:rPr>
        <w:t xml:space="preserve">the </w:t>
      </w:r>
      <w:r w:rsidRPr="003D6C5F">
        <w:rPr>
          <w:rFonts w:ascii="Century Schoolbook" w:hAnsi="Century Schoolbook" w:cstheme="majorHAnsi"/>
          <w:sz w:val="26"/>
          <w:szCs w:val="26"/>
        </w:rPr>
        <w:t>COVID-19</w:t>
      </w:r>
      <w:r w:rsidRPr="003D6C5F" w:rsidR="00EA7BBD">
        <w:rPr>
          <w:rFonts w:ascii="Century Schoolbook" w:hAnsi="Century Schoolbook" w:cstheme="majorHAnsi"/>
          <w:sz w:val="26"/>
          <w:szCs w:val="26"/>
        </w:rPr>
        <w:t xml:space="preserve"> pandemic</w:t>
      </w:r>
      <w:r w:rsidRPr="003D6C5F">
        <w:rPr>
          <w:rFonts w:ascii="Century Schoolbook" w:hAnsi="Century Schoolbook" w:cstheme="majorHAnsi"/>
          <w:sz w:val="26"/>
          <w:szCs w:val="26"/>
        </w:rPr>
        <w:t>.</w:t>
      </w:r>
      <w:r>
        <w:rPr>
          <w:rStyle w:val="FootnoteReference"/>
          <w:rFonts w:ascii="Century Schoolbook" w:hAnsi="Century Schoolbook" w:cstheme="majorHAnsi"/>
          <w:szCs w:val="26"/>
        </w:rPr>
        <w:footnoteReference w:id="8"/>
      </w:r>
      <w:r w:rsidRPr="003D6C5F" w:rsidR="00745F3C">
        <w:rPr>
          <w:rFonts w:ascii="Century Schoolbook" w:hAnsi="Century Schoolbook" w:cstheme="majorHAnsi"/>
          <w:sz w:val="26"/>
          <w:szCs w:val="26"/>
        </w:rPr>
        <w:t xml:space="preserve">  </w:t>
      </w:r>
      <w:bookmarkStart w:id="13" w:name="_Hlk161226592"/>
      <w:r w:rsidRPr="003D6C5F" w:rsidR="00C87CAF">
        <w:rPr>
          <w:rFonts w:ascii="Century Schoolbook" w:hAnsi="Century Schoolbook" w:cstheme="majorHAnsi"/>
          <w:sz w:val="26"/>
          <w:szCs w:val="26"/>
        </w:rPr>
        <w:t>There were</w:t>
      </w:r>
      <w:r w:rsidRPr="003D6C5F" w:rsidR="00EA7BBD">
        <w:rPr>
          <w:rFonts w:ascii="Century Schoolbook" w:hAnsi="Century Schoolbook" w:cstheme="majorHAnsi"/>
          <w:sz w:val="26"/>
          <w:szCs w:val="26"/>
        </w:rPr>
        <w:t xml:space="preserve"> </w:t>
      </w:r>
      <w:r w:rsidRPr="003D6C5F" w:rsidR="007231B9">
        <w:rPr>
          <w:rFonts w:ascii="Century Schoolbook" w:hAnsi="Century Schoolbook" w:cstheme="majorHAnsi"/>
          <w:sz w:val="26"/>
          <w:szCs w:val="26"/>
        </w:rPr>
        <w:t xml:space="preserve">numerous </w:t>
      </w:r>
      <w:r w:rsidRPr="003D6C5F" w:rsidR="00EA7BBD">
        <w:rPr>
          <w:rFonts w:ascii="Century Schoolbook" w:hAnsi="Century Schoolbook" w:cstheme="majorHAnsi"/>
          <w:sz w:val="26"/>
          <w:szCs w:val="26"/>
        </w:rPr>
        <w:t>additional continuances,</w:t>
      </w:r>
      <w:r w:rsidRPr="003D6C5F" w:rsidR="007231B9">
        <w:rPr>
          <w:rFonts w:ascii="Century Schoolbook" w:hAnsi="Century Schoolbook" w:cstheme="majorHAnsi"/>
          <w:sz w:val="26"/>
          <w:szCs w:val="26"/>
        </w:rPr>
        <w:t xml:space="preserve"> some based on new emergency orders</w:t>
      </w:r>
      <w:r w:rsidRPr="003D6C5F">
        <w:rPr>
          <w:rFonts w:ascii="Century Schoolbook" w:hAnsi="Century Schoolbook" w:cstheme="majorHAnsi"/>
          <w:sz w:val="26"/>
          <w:szCs w:val="26"/>
        </w:rPr>
        <w:t>.</w:t>
      </w:r>
      <w:r w:rsidRPr="003D6C5F" w:rsidR="00C87CAF">
        <w:rPr>
          <w:rFonts w:ascii="Century Schoolbook" w:hAnsi="Century Schoolbook" w:cstheme="majorHAnsi"/>
          <w:sz w:val="26"/>
          <w:szCs w:val="26"/>
        </w:rPr>
        <w:t xml:space="preserve"> </w:t>
      </w:r>
      <w:r w:rsidRPr="003D6C5F" w:rsidR="00C67354">
        <w:rPr>
          <w:rFonts w:ascii="Century Schoolbook" w:hAnsi="Century Schoolbook" w:cstheme="majorHAnsi"/>
          <w:sz w:val="26"/>
          <w:szCs w:val="26"/>
        </w:rPr>
        <w:t xml:space="preserve"> </w:t>
      </w:r>
      <w:r w:rsidRPr="003D6C5F" w:rsidR="00C87CAF">
        <w:rPr>
          <w:rFonts w:ascii="Century Schoolbook" w:hAnsi="Century Schoolbook" w:cstheme="majorHAnsi"/>
          <w:sz w:val="26"/>
          <w:szCs w:val="26"/>
        </w:rPr>
        <w:t xml:space="preserve">On June 15, 2021, trial was trailed to July 13. </w:t>
      </w:r>
      <w:r w:rsidRPr="003D6C5F" w:rsidR="00C67354">
        <w:rPr>
          <w:rFonts w:ascii="Century Schoolbook" w:hAnsi="Century Schoolbook" w:cstheme="majorHAnsi"/>
          <w:sz w:val="26"/>
          <w:szCs w:val="26"/>
        </w:rPr>
        <w:t xml:space="preserve"> </w:t>
      </w:r>
      <w:r w:rsidRPr="003D6C5F" w:rsidR="00C87CAF">
        <w:rPr>
          <w:rFonts w:ascii="Century Schoolbook" w:hAnsi="Century Schoolbook" w:cstheme="majorHAnsi"/>
          <w:sz w:val="26"/>
          <w:szCs w:val="26"/>
        </w:rPr>
        <w:t xml:space="preserve">On that date, all parties announced they were ready for trial. </w:t>
      </w:r>
    </w:p>
    <w:bookmarkEnd w:id="13"/>
    <w:p w:rsidR="00745F3C" w:rsidRPr="003D6C5F" w:rsidP="000B1ECC" w14:paraId="75808216" w14:textId="31ABEA9A">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r>
      <w:r w:rsidRPr="003D6C5F" w:rsidR="00BB3954">
        <w:rPr>
          <w:rFonts w:ascii="Century Schoolbook" w:hAnsi="Century Schoolbook" w:cstheme="majorHAnsi"/>
          <w:sz w:val="26"/>
          <w:szCs w:val="26"/>
        </w:rPr>
        <w:t>Jury selection began on July 19, 2021.</w:t>
      </w:r>
      <w:r w:rsidRPr="003D6C5F" w:rsidR="00DA67DE">
        <w:rPr>
          <w:rFonts w:ascii="Century Schoolbook" w:hAnsi="Century Schoolbook" w:cstheme="majorHAnsi"/>
          <w:sz w:val="26"/>
          <w:szCs w:val="26"/>
        </w:rPr>
        <w:t xml:space="preserve"> </w:t>
      </w:r>
      <w:r w:rsidRPr="003D6C5F" w:rsidR="00BB3954">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That same </w:t>
      </w:r>
      <w:r w:rsidRPr="003D6C5F" w:rsidR="007451C5">
        <w:rPr>
          <w:rFonts w:ascii="Century Schoolbook" w:hAnsi="Century Schoolbook" w:cstheme="majorHAnsi"/>
          <w:sz w:val="26"/>
          <w:szCs w:val="26"/>
        </w:rPr>
        <w:t>d</w:t>
      </w:r>
      <w:r w:rsidRPr="003D6C5F">
        <w:rPr>
          <w:rFonts w:ascii="Century Schoolbook" w:hAnsi="Century Schoolbook" w:cstheme="majorHAnsi"/>
          <w:sz w:val="26"/>
          <w:szCs w:val="26"/>
        </w:rPr>
        <w:t>ay, t</w:t>
      </w:r>
      <w:r w:rsidRPr="003D6C5F" w:rsidR="00BB3954">
        <w:rPr>
          <w:rFonts w:ascii="Century Schoolbook" w:hAnsi="Century Schoolbook" w:cstheme="majorHAnsi"/>
          <w:sz w:val="26"/>
          <w:szCs w:val="26"/>
        </w:rPr>
        <w:t>he People filed their</w:t>
      </w:r>
      <w:r w:rsidRPr="003D6C5F" w:rsidR="00DA67DE">
        <w:rPr>
          <w:rFonts w:ascii="Century Schoolbook" w:hAnsi="Century Schoolbook" w:cstheme="majorHAnsi"/>
          <w:sz w:val="26"/>
          <w:szCs w:val="26"/>
        </w:rPr>
        <w:t xml:space="preserve"> </w:t>
      </w:r>
      <w:r w:rsidRPr="003D6C5F" w:rsidR="00BB3954">
        <w:rPr>
          <w:rFonts w:ascii="Century Schoolbook" w:hAnsi="Century Schoolbook" w:cstheme="majorHAnsi"/>
          <w:sz w:val="26"/>
          <w:szCs w:val="26"/>
        </w:rPr>
        <w:t>witness list, which included Breanna’s name</w:t>
      </w:r>
      <w:r w:rsidRPr="003D6C5F">
        <w:rPr>
          <w:rFonts w:ascii="Century Schoolbook" w:hAnsi="Century Schoolbook" w:cstheme="majorHAnsi"/>
          <w:sz w:val="26"/>
          <w:szCs w:val="26"/>
        </w:rPr>
        <w:t>,</w:t>
      </w:r>
      <w:r w:rsidRPr="003D6C5F" w:rsidR="00DA67DE">
        <w:rPr>
          <w:rFonts w:ascii="Century Schoolbook" w:hAnsi="Century Schoolbook" w:cstheme="majorHAnsi"/>
          <w:sz w:val="26"/>
          <w:szCs w:val="26"/>
        </w:rPr>
        <w:t xml:space="preserve"> </w:t>
      </w:r>
      <w:r w:rsidRPr="003D6C5F" w:rsidR="00F20B83">
        <w:rPr>
          <w:rFonts w:ascii="Century Schoolbook" w:hAnsi="Century Schoolbook" w:cstheme="majorHAnsi"/>
          <w:sz w:val="26"/>
          <w:szCs w:val="26"/>
        </w:rPr>
        <w:t>a</w:t>
      </w:r>
      <w:r w:rsidRPr="003D6C5F">
        <w:rPr>
          <w:rFonts w:ascii="Century Schoolbook" w:hAnsi="Century Schoolbook" w:cstheme="majorHAnsi"/>
          <w:sz w:val="26"/>
          <w:szCs w:val="26"/>
        </w:rPr>
        <w:t xml:space="preserve">nd </w:t>
      </w:r>
      <w:r w:rsidRPr="003D6C5F" w:rsidR="00DA67DE">
        <w:rPr>
          <w:rFonts w:ascii="Century Schoolbook" w:hAnsi="Century Schoolbook" w:cstheme="majorHAnsi"/>
          <w:sz w:val="26"/>
          <w:szCs w:val="26"/>
        </w:rPr>
        <w:t>moved in</w:t>
      </w:r>
      <w:r w:rsidRPr="003D6C5F">
        <w:rPr>
          <w:rFonts w:ascii="Century Schoolbook" w:hAnsi="Century Schoolbook" w:cstheme="majorHAnsi"/>
          <w:sz w:val="26"/>
          <w:szCs w:val="26"/>
        </w:rPr>
        <w:t xml:space="preserve"> </w:t>
      </w:r>
      <w:r w:rsidRPr="003D6C5F" w:rsidR="00DA67DE">
        <w:rPr>
          <w:rFonts w:ascii="Century Schoolbook" w:hAnsi="Century Schoolbook" w:cstheme="majorHAnsi"/>
          <w:sz w:val="26"/>
          <w:szCs w:val="26"/>
        </w:rPr>
        <w:t>limine to introduce Breanna’s preliminary hearing testimony on the ground</w:t>
      </w:r>
      <w:r w:rsidRPr="003D6C5F">
        <w:rPr>
          <w:rFonts w:ascii="Century Schoolbook" w:hAnsi="Century Schoolbook" w:cstheme="majorHAnsi"/>
          <w:sz w:val="26"/>
          <w:szCs w:val="26"/>
        </w:rPr>
        <w:t xml:space="preserve"> </w:t>
      </w:r>
      <w:r w:rsidRPr="003D6C5F" w:rsidR="00DA67DE">
        <w:rPr>
          <w:rFonts w:ascii="Century Schoolbook" w:hAnsi="Century Schoolbook" w:cstheme="majorHAnsi"/>
          <w:sz w:val="26"/>
          <w:szCs w:val="26"/>
        </w:rPr>
        <w:t>she was unavailable pursuant to Evidence Code section 1291.</w:t>
      </w:r>
      <w:r w:rsidRPr="003D6C5F">
        <w:rPr>
          <w:rFonts w:ascii="Century Schoolbook" w:hAnsi="Century Schoolbook" w:cstheme="majorHAnsi"/>
          <w:sz w:val="26"/>
          <w:szCs w:val="26"/>
        </w:rPr>
        <w:t xml:space="preserve">  The court tentatively </w:t>
      </w:r>
      <w:r w:rsidRPr="003D6C5F" w:rsidR="007451C5">
        <w:rPr>
          <w:rFonts w:ascii="Century Schoolbook" w:hAnsi="Century Schoolbook" w:cstheme="majorHAnsi"/>
          <w:sz w:val="26"/>
          <w:szCs w:val="26"/>
        </w:rPr>
        <w:t>ruled that</w:t>
      </w:r>
      <w:r w:rsidRPr="003D6C5F">
        <w:rPr>
          <w:rFonts w:ascii="Century Schoolbook" w:hAnsi="Century Schoolbook" w:cstheme="majorHAnsi"/>
          <w:sz w:val="26"/>
          <w:szCs w:val="26"/>
        </w:rPr>
        <w:t xml:space="preserve"> Brenna’s preliminary hearing testimony</w:t>
      </w:r>
      <w:r w:rsidRPr="003D6C5F" w:rsidR="007451C5">
        <w:rPr>
          <w:rFonts w:ascii="Century Schoolbook" w:hAnsi="Century Schoolbook" w:cstheme="majorHAnsi"/>
          <w:sz w:val="26"/>
          <w:szCs w:val="26"/>
        </w:rPr>
        <w:t xml:space="preserve"> could be read to the jury</w:t>
      </w:r>
      <w:r w:rsidRPr="003D6C5F">
        <w:rPr>
          <w:rFonts w:ascii="Century Schoolbook" w:hAnsi="Century Schoolbook" w:cstheme="majorHAnsi"/>
          <w:sz w:val="26"/>
          <w:szCs w:val="26"/>
        </w:rPr>
        <w:t xml:space="preserve">, subject to a due diligence hearing. </w:t>
      </w:r>
    </w:p>
    <w:p w:rsidR="00071FA2" w:rsidRPr="003D6C5F" w:rsidP="000B1ECC" w14:paraId="10995500" w14:textId="41396D85">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When t</w:t>
      </w:r>
      <w:r w:rsidRPr="003D6C5F" w:rsidR="00BA3856">
        <w:rPr>
          <w:rFonts w:ascii="Century Schoolbook" w:hAnsi="Century Schoolbook" w:cstheme="majorHAnsi"/>
          <w:sz w:val="26"/>
          <w:szCs w:val="26"/>
        </w:rPr>
        <w:t xml:space="preserve">he </w:t>
      </w:r>
      <w:r w:rsidRPr="003D6C5F">
        <w:rPr>
          <w:rFonts w:ascii="Century Schoolbook" w:hAnsi="Century Schoolbook" w:cstheme="majorHAnsi"/>
          <w:sz w:val="26"/>
          <w:szCs w:val="26"/>
        </w:rPr>
        <w:t>prosecution</w:t>
      </w:r>
      <w:r w:rsidRPr="003D6C5F" w:rsidR="00BA3856">
        <w:rPr>
          <w:rFonts w:ascii="Century Schoolbook" w:hAnsi="Century Schoolbook" w:cstheme="majorHAnsi"/>
          <w:sz w:val="26"/>
          <w:szCs w:val="26"/>
        </w:rPr>
        <w:t xml:space="preserve"> case </w:t>
      </w:r>
      <w:r w:rsidRPr="003D6C5F">
        <w:rPr>
          <w:rFonts w:ascii="Century Schoolbook" w:hAnsi="Century Schoolbook" w:cstheme="majorHAnsi"/>
          <w:sz w:val="26"/>
          <w:szCs w:val="26"/>
        </w:rPr>
        <w:t>began</w:t>
      </w:r>
      <w:r w:rsidRPr="003D6C5F" w:rsidR="00BA3856">
        <w:rPr>
          <w:rFonts w:ascii="Century Schoolbook" w:hAnsi="Century Schoolbook" w:cstheme="majorHAnsi"/>
          <w:sz w:val="26"/>
          <w:szCs w:val="26"/>
        </w:rPr>
        <w:t xml:space="preserve"> on July 22</w:t>
      </w:r>
      <w:r w:rsidRPr="003D6C5F" w:rsidR="00C91025">
        <w:rPr>
          <w:rFonts w:ascii="Century Schoolbook" w:hAnsi="Century Schoolbook" w:cstheme="majorHAnsi"/>
          <w:sz w:val="26"/>
          <w:szCs w:val="26"/>
        </w:rPr>
        <w:t>, 2021</w:t>
      </w:r>
      <w:r w:rsidRPr="003D6C5F">
        <w:rPr>
          <w:rFonts w:ascii="Century Schoolbook" w:hAnsi="Century Schoolbook" w:cstheme="majorHAnsi"/>
          <w:sz w:val="26"/>
          <w:szCs w:val="26"/>
        </w:rPr>
        <w:t>,</w:t>
      </w:r>
      <w:r w:rsidRPr="003D6C5F" w:rsidR="00BA3856">
        <w:rPr>
          <w:rFonts w:ascii="Century Schoolbook" w:hAnsi="Century Schoolbook" w:cstheme="majorHAnsi"/>
          <w:sz w:val="26"/>
          <w:szCs w:val="26"/>
        </w:rPr>
        <w:t xml:space="preserve"> </w:t>
      </w:r>
      <w:r w:rsidRPr="003D6C5F" w:rsidR="00C91025">
        <w:rPr>
          <w:rFonts w:ascii="Century Schoolbook" w:hAnsi="Century Schoolbook" w:cstheme="majorHAnsi"/>
          <w:sz w:val="26"/>
          <w:szCs w:val="26"/>
        </w:rPr>
        <w:t xml:space="preserve">district attorney </w:t>
      </w:r>
      <w:r w:rsidRPr="003D6C5F">
        <w:rPr>
          <w:rFonts w:ascii="Century Schoolbook" w:hAnsi="Century Schoolbook" w:cstheme="majorHAnsi"/>
          <w:sz w:val="26"/>
          <w:szCs w:val="26"/>
        </w:rPr>
        <w:t xml:space="preserve">investigator </w:t>
      </w:r>
      <w:r w:rsidRPr="003D6C5F" w:rsidR="00AB514C">
        <w:rPr>
          <w:rFonts w:ascii="Century Schoolbook" w:hAnsi="Century Schoolbook" w:cstheme="majorHAnsi"/>
          <w:sz w:val="26"/>
          <w:szCs w:val="26"/>
        </w:rPr>
        <w:t xml:space="preserve">Felipe Villalobos testified </w:t>
      </w:r>
      <w:r w:rsidRPr="003D6C5F" w:rsidR="006E5314">
        <w:rPr>
          <w:rFonts w:ascii="Century Schoolbook" w:hAnsi="Century Schoolbook" w:cstheme="majorHAnsi"/>
          <w:sz w:val="26"/>
          <w:szCs w:val="26"/>
        </w:rPr>
        <w:t xml:space="preserve">at the </w:t>
      </w:r>
      <w:r w:rsidRPr="003D6C5F" w:rsidR="00BA3856">
        <w:rPr>
          <w:rFonts w:ascii="Century Schoolbook" w:hAnsi="Century Schoolbook" w:cstheme="majorHAnsi"/>
          <w:sz w:val="26"/>
          <w:szCs w:val="26"/>
        </w:rPr>
        <w:t xml:space="preserve">due diligence hearing </w:t>
      </w:r>
      <w:r w:rsidRPr="003D6C5F" w:rsidR="00FA1087">
        <w:rPr>
          <w:rFonts w:ascii="Century Schoolbook" w:hAnsi="Century Schoolbook" w:cstheme="majorHAnsi"/>
          <w:sz w:val="26"/>
          <w:szCs w:val="26"/>
        </w:rPr>
        <w:t xml:space="preserve">regarding </w:t>
      </w:r>
      <w:r w:rsidRPr="003D6C5F" w:rsidR="00BA3856">
        <w:rPr>
          <w:rFonts w:ascii="Century Schoolbook" w:hAnsi="Century Schoolbook" w:cstheme="majorHAnsi"/>
          <w:sz w:val="26"/>
          <w:szCs w:val="26"/>
        </w:rPr>
        <w:t>efforts undertaken by the People to locate and serve Breanna.</w:t>
      </w:r>
      <w:r w:rsidRPr="003D6C5F" w:rsidR="00914BF8">
        <w:rPr>
          <w:rFonts w:ascii="Century Schoolbook" w:hAnsi="Century Schoolbook" w:cstheme="majorHAnsi"/>
          <w:sz w:val="26"/>
          <w:szCs w:val="26"/>
        </w:rPr>
        <w:t xml:space="preserve"> </w:t>
      </w:r>
      <w:r w:rsidRPr="003D6C5F" w:rsidR="00A4216C">
        <w:rPr>
          <w:rFonts w:ascii="Century Schoolbook" w:hAnsi="Century Schoolbook" w:cstheme="majorHAnsi"/>
          <w:sz w:val="26"/>
          <w:szCs w:val="26"/>
        </w:rPr>
        <w:t xml:space="preserve"> </w:t>
      </w:r>
      <w:bookmarkStart w:id="14" w:name="_Hlk161226683"/>
      <w:r w:rsidRPr="003D6C5F" w:rsidR="006E5314">
        <w:rPr>
          <w:rFonts w:ascii="Century Schoolbook" w:hAnsi="Century Schoolbook" w:cstheme="majorHAnsi"/>
          <w:sz w:val="26"/>
          <w:szCs w:val="26"/>
        </w:rPr>
        <w:t>Villalobos</w:t>
      </w:r>
      <w:r w:rsidRPr="003D6C5F" w:rsidR="00A4216C">
        <w:rPr>
          <w:rFonts w:ascii="Century Schoolbook" w:hAnsi="Century Schoolbook" w:cstheme="majorHAnsi"/>
          <w:sz w:val="26"/>
          <w:szCs w:val="26"/>
        </w:rPr>
        <w:t xml:space="preserve"> </w:t>
      </w:r>
      <w:r w:rsidRPr="003D6C5F">
        <w:rPr>
          <w:rFonts w:ascii="Century Schoolbook" w:hAnsi="Century Schoolbook" w:cstheme="majorHAnsi"/>
          <w:sz w:val="26"/>
          <w:szCs w:val="26"/>
        </w:rPr>
        <w:t>explained</w:t>
      </w:r>
      <w:r w:rsidRPr="003D6C5F" w:rsidR="00A4216C">
        <w:rPr>
          <w:rFonts w:ascii="Century Schoolbook" w:hAnsi="Century Schoolbook" w:cstheme="majorHAnsi"/>
          <w:sz w:val="26"/>
          <w:szCs w:val="26"/>
        </w:rPr>
        <w:t xml:space="preserve"> that he</w:t>
      </w:r>
      <w:r w:rsidRPr="003D6C5F" w:rsidR="006E5314">
        <w:rPr>
          <w:rFonts w:ascii="Century Schoolbook" w:hAnsi="Century Schoolbook" w:cstheme="majorHAnsi"/>
          <w:sz w:val="26"/>
          <w:szCs w:val="26"/>
        </w:rPr>
        <w:t xml:space="preserve"> created a subpoena for Breanna</w:t>
      </w:r>
      <w:r w:rsidRPr="003D6C5F" w:rsidR="00A4216C">
        <w:rPr>
          <w:rFonts w:ascii="Century Schoolbook" w:hAnsi="Century Schoolbook" w:cstheme="majorHAnsi"/>
          <w:sz w:val="26"/>
          <w:szCs w:val="26"/>
        </w:rPr>
        <w:t xml:space="preserve"> on July 6, 2021</w:t>
      </w:r>
      <w:r w:rsidRPr="003D6C5F" w:rsidR="005D4E78">
        <w:rPr>
          <w:rFonts w:ascii="Century Schoolbook" w:hAnsi="Century Schoolbook" w:cstheme="majorHAnsi"/>
          <w:sz w:val="26"/>
          <w:szCs w:val="26"/>
        </w:rPr>
        <w:t>, less than two weeks before the start of trial</w:t>
      </w:r>
      <w:r w:rsidRPr="003D6C5F" w:rsidR="006E5314">
        <w:rPr>
          <w:rFonts w:ascii="Century Schoolbook" w:hAnsi="Century Schoolbook" w:cstheme="majorHAnsi"/>
          <w:sz w:val="26"/>
          <w:szCs w:val="26"/>
        </w:rPr>
        <w:t>.</w:t>
      </w:r>
      <w:r w:rsidRPr="003D6C5F" w:rsidR="00792C9E">
        <w:rPr>
          <w:rFonts w:ascii="Century Schoolbook" w:hAnsi="Century Schoolbook" w:cstheme="majorHAnsi"/>
          <w:sz w:val="26"/>
          <w:szCs w:val="26"/>
        </w:rPr>
        <w:t xml:space="preserve"> </w:t>
      </w:r>
      <w:r w:rsidRPr="003D6C5F" w:rsidR="007973C5">
        <w:rPr>
          <w:rFonts w:ascii="Century Schoolbook" w:hAnsi="Century Schoolbook" w:cstheme="majorHAnsi"/>
          <w:sz w:val="26"/>
          <w:szCs w:val="26"/>
        </w:rPr>
        <w:t xml:space="preserve"> </w:t>
      </w:r>
      <w:bookmarkEnd w:id="14"/>
      <w:r w:rsidRPr="003D6C5F" w:rsidR="00792C9E">
        <w:rPr>
          <w:rFonts w:ascii="Century Schoolbook" w:hAnsi="Century Schoolbook" w:cstheme="majorHAnsi"/>
          <w:sz w:val="26"/>
          <w:szCs w:val="26"/>
        </w:rPr>
        <w:t>Using several</w:t>
      </w:r>
      <w:r w:rsidRPr="003D6C5F" w:rsidR="006E5314">
        <w:rPr>
          <w:rFonts w:ascii="Century Schoolbook" w:hAnsi="Century Schoolbook" w:cstheme="majorHAnsi"/>
          <w:sz w:val="26"/>
          <w:szCs w:val="26"/>
        </w:rPr>
        <w:t xml:space="preserve"> </w:t>
      </w:r>
      <w:r w:rsidRPr="003D6C5F" w:rsidR="00792C9E">
        <w:rPr>
          <w:rFonts w:ascii="Century Schoolbook" w:hAnsi="Century Schoolbook" w:cstheme="majorHAnsi"/>
          <w:sz w:val="26"/>
          <w:szCs w:val="26"/>
        </w:rPr>
        <w:t xml:space="preserve">programs, he located two addresses for her in Los </w:t>
      </w:r>
      <w:r w:rsidRPr="003D6C5F">
        <w:rPr>
          <w:rFonts w:ascii="Century Schoolbook" w:hAnsi="Century Schoolbook" w:cstheme="majorHAnsi"/>
          <w:sz w:val="26"/>
          <w:szCs w:val="26"/>
        </w:rPr>
        <w:t>A</w:t>
      </w:r>
      <w:r w:rsidRPr="003D6C5F" w:rsidR="00792C9E">
        <w:rPr>
          <w:rFonts w:ascii="Century Schoolbook" w:hAnsi="Century Schoolbook" w:cstheme="majorHAnsi"/>
          <w:sz w:val="26"/>
          <w:szCs w:val="26"/>
        </w:rPr>
        <w:t>ngeles.</w:t>
      </w:r>
      <w:r w:rsidRPr="003D6C5F" w:rsidR="002C5695">
        <w:rPr>
          <w:rFonts w:ascii="Century Schoolbook" w:hAnsi="Century Schoolbook" w:cstheme="majorHAnsi"/>
          <w:sz w:val="26"/>
          <w:szCs w:val="26"/>
        </w:rPr>
        <w:t xml:space="preserve"> </w:t>
      </w:r>
      <w:r w:rsidRPr="003D6C5F" w:rsidR="007973C5">
        <w:rPr>
          <w:rFonts w:ascii="Century Schoolbook" w:hAnsi="Century Schoolbook" w:cstheme="majorHAnsi"/>
          <w:sz w:val="26"/>
          <w:szCs w:val="26"/>
        </w:rPr>
        <w:t xml:space="preserve"> </w:t>
      </w:r>
      <w:r w:rsidRPr="003D6C5F" w:rsidR="00792C9E">
        <w:rPr>
          <w:rFonts w:ascii="Century Schoolbook" w:hAnsi="Century Schoolbook" w:cstheme="majorHAnsi"/>
          <w:sz w:val="26"/>
          <w:szCs w:val="26"/>
        </w:rPr>
        <w:t xml:space="preserve">He went to both locations and </w:t>
      </w:r>
      <w:bookmarkStart w:id="15" w:name="_Hlk161226835"/>
      <w:r w:rsidRPr="003D6C5F" w:rsidR="00792C9E">
        <w:rPr>
          <w:rFonts w:ascii="Century Schoolbook" w:hAnsi="Century Schoolbook" w:cstheme="majorHAnsi"/>
          <w:sz w:val="26"/>
          <w:szCs w:val="26"/>
        </w:rPr>
        <w:t>learned that Breanna’s child lived at one of</w:t>
      </w:r>
      <w:r w:rsidRPr="003D6C5F" w:rsidR="002C5695">
        <w:rPr>
          <w:rFonts w:ascii="Century Schoolbook" w:hAnsi="Century Schoolbook" w:cstheme="majorHAnsi"/>
          <w:sz w:val="26"/>
          <w:szCs w:val="26"/>
        </w:rPr>
        <w:t xml:space="preserve"> </w:t>
      </w:r>
      <w:r w:rsidRPr="003D6C5F" w:rsidR="00792C9E">
        <w:rPr>
          <w:rFonts w:ascii="Century Schoolbook" w:hAnsi="Century Schoolbook" w:cstheme="majorHAnsi"/>
          <w:sz w:val="26"/>
          <w:szCs w:val="26"/>
        </w:rPr>
        <w:t xml:space="preserve">them with the paternal grandmother. </w:t>
      </w:r>
      <w:bookmarkEnd w:id="15"/>
      <w:r w:rsidRPr="003D6C5F" w:rsidR="002C5695">
        <w:rPr>
          <w:rFonts w:ascii="Century Schoolbook" w:hAnsi="Century Schoolbook" w:cstheme="majorHAnsi"/>
          <w:sz w:val="26"/>
          <w:szCs w:val="26"/>
        </w:rPr>
        <w:t xml:space="preserve"> </w:t>
      </w:r>
    </w:p>
    <w:p w:rsidR="00071FA2" w:rsidRPr="003D6C5F" w:rsidP="000B1ECC" w14:paraId="7D41AA06" w14:textId="0641F6E8">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On July 7, </w:t>
      </w:r>
      <w:r w:rsidRPr="003D6C5F" w:rsidR="002C5695">
        <w:rPr>
          <w:rFonts w:ascii="Century Schoolbook" w:hAnsi="Century Schoolbook" w:cstheme="majorHAnsi"/>
          <w:sz w:val="26"/>
          <w:szCs w:val="26"/>
        </w:rPr>
        <w:t xml:space="preserve">he visited the paternal </w:t>
      </w:r>
      <w:r w:rsidRPr="003D6C5F">
        <w:rPr>
          <w:rFonts w:ascii="Century Schoolbook" w:hAnsi="Century Schoolbook" w:cstheme="majorHAnsi"/>
          <w:sz w:val="26"/>
          <w:szCs w:val="26"/>
        </w:rPr>
        <w:t>grandmother’s residence, which was also the address on</w:t>
      </w:r>
      <w:r w:rsidRPr="003D6C5F" w:rsidR="002C5695">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Breanna’s driver license, </w:t>
      </w:r>
      <w:r w:rsidRPr="003D6C5F" w:rsidR="002C5695">
        <w:rPr>
          <w:rFonts w:ascii="Century Schoolbook" w:hAnsi="Century Schoolbook" w:cstheme="majorHAnsi"/>
          <w:sz w:val="26"/>
          <w:szCs w:val="26"/>
        </w:rPr>
        <w:t xml:space="preserve">and </w:t>
      </w:r>
      <w:r w:rsidRPr="003D6C5F">
        <w:rPr>
          <w:rFonts w:ascii="Century Schoolbook" w:hAnsi="Century Schoolbook" w:cstheme="majorHAnsi"/>
          <w:sz w:val="26"/>
          <w:szCs w:val="26"/>
        </w:rPr>
        <w:t>discovered</w:t>
      </w:r>
      <w:r w:rsidRPr="003D6C5F" w:rsidR="002C5695">
        <w:rPr>
          <w:rFonts w:ascii="Century Schoolbook" w:hAnsi="Century Schoolbook" w:cstheme="majorHAnsi"/>
          <w:sz w:val="26"/>
          <w:szCs w:val="26"/>
        </w:rPr>
        <w:t xml:space="preserve"> that </w:t>
      </w:r>
      <w:bookmarkStart w:id="16" w:name="_Hlk161226898"/>
      <w:r w:rsidRPr="003D6C5F" w:rsidR="002C5695">
        <w:rPr>
          <w:rFonts w:ascii="Century Schoolbook" w:hAnsi="Century Schoolbook" w:cstheme="majorHAnsi"/>
          <w:sz w:val="26"/>
          <w:szCs w:val="26"/>
        </w:rPr>
        <w:t xml:space="preserve">Breanna had been there </w:t>
      </w:r>
      <w:r w:rsidRPr="003D6C5F" w:rsidR="00A4216C">
        <w:rPr>
          <w:rFonts w:ascii="Century Schoolbook" w:hAnsi="Century Schoolbook" w:cstheme="majorHAnsi"/>
          <w:sz w:val="26"/>
          <w:szCs w:val="26"/>
        </w:rPr>
        <w:t xml:space="preserve">sometime </w:t>
      </w:r>
      <w:r w:rsidRPr="003D6C5F" w:rsidR="002C5695">
        <w:rPr>
          <w:rFonts w:ascii="Century Schoolbook" w:hAnsi="Century Schoolbook" w:cstheme="majorHAnsi"/>
          <w:sz w:val="26"/>
          <w:szCs w:val="26"/>
        </w:rPr>
        <w:t>before July 4 to visit her child</w:t>
      </w:r>
      <w:r w:rsidRPr="003D6C5F">
        <w:rPr>
          <w:rFonts w:ascii="Century Schoolbook" w:hAnsi="Century Schoolbook" w:cstheme="majorHAnsi"/>
          <w:sz w:val="26"/>
          <w:szCs w:val="26"/>
        </w:rPr>
        <w:t xml:space="preserve">. </w:t>
      </w:r>
      <w:bookmarkEnd w:id="16"/>
      <w:r w:rsidR="00B408B0">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The </w:t>
      </w:r>
      <w:r w:rsidRPr="003D6C5F" w:rsidR="002C5695">
        <w:rPr>
          <w:rFonts w:ascii="Century Schoolbook" w:hAnsi="Century Schoolbook" w:cstheme="majorHAnsi"/>
          <w:sz w:val="26"/>
          <w:szCs w:val="26"/>
        </w:rPr>
        <w:t xml:space="preserve">paternal </w:t>
      </w:r>
      <w:r w:rsidRPr="003D6C5F">
        <w:rPr>
          <w:rFonts w:ascii="Century Schoolbook" w:hAnsi="Century Schoolbook" w:cstheme="majorHAnsi"/>
          <w:sz w:val="26"/>
          <w:szCs w:val="26"/>
        </w:rPr>
        <w:t>grandmother</w:t>
      </w:r>
      <w:r w:rsidRPr="003D6C5F" w:rsidR="002C5695">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reported </w:t>
      </w:r>
      <w:r w:rsidRPr="003D6C5F" w:rsidR="007852F5">
        <w:rPr>
          <w:rFonts w:ascii="Century Schoolbook" w:hAnsi="Century Schoolbook" w:cstheme="majorHAnsi"/>
          <w:sz w:val="26"/>
          <w:szCs w:val="26"/>
        </w:rPr>
        <w:t xml:space="preserve">that </w:t>
      </w:r>
      <w:r w:rsidRPr="003D6C5F">
        <w:rPr>
          <w:rFonts w:ascii="Century Schoolbook" w:hAnsi="Century Schoolbook" w:cstheme="majorHAnsi"/>
          <w:sz w:val="26"/>
          <w:szCs w:val="26"/>
        </w:rPr>
        <w:t>Breanna was homeless, would be gone for a month or two, and</w:t>
      </w:r>
      <w:r w:rsidRPr="003D6C5F" w:rsidR="002C5695">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“comes and goes like the wind.” </w:t>
      </w:r>
      <w:r w:rsidRPr="003D6C5F" w:rsidR="00D63121">
        <w:rPr>
          <w:rFonts w:ascii="Century Schoolbook" w:hAnsi="Century Schoolbook" w:cstheme="majorHAnsi"/>
          <w:sz w:val="26"/>
          <w:szCs w:val="26"/>
        </w:rPr>
        <w:t xml:space="preserve"> </w:t>
      </w:r>
      <w:r w:rsidRPr="003D6C5F">
        <w:rPr>
          <w:rFonts w:ascii="Century Schoolbook" w:hAnsi="Century Schoolbook" w:cstheme="majorHAnsi"/>
          <w:sz w:val="26"/>
          <w:szCs w:val="26"/>
        </w:rPr>
        <w:t>Villalobos obtained two</w:t>
      </w:r>
      <w:r w:rsidRPr="003D6C5F" w:rsidR="002C5695">
        <w:rPr>
          <w:rFonts w:ascii="Century Schoolbook" w:hAnsi="Century Schoolbook" w:cstheme="majorHAnsi"/>
          <w:sz w:val="26"/>
          <w:szCs w:val="26"/>
        </w:rPr>
        <w:t xml:space="preserve"> tele</w:t>
      </w:r>
      <w:r w:rsidRPr="003D6C5F">
        <w:rPr>
          <w:rFonts w:ascii="Century Schoolbook" w:hAnsi="Century Schoolbook" w:cstheme="majorHAnsi"/>
          <w:sz w:val="26"/>
          <w:szCs w:val="26"/>
        </w:rPr>
        <w:t xml:space="preserve">phone numbers for Breanna and one for Breanna’s friend. </w:t>
      </w:r>
      <w:r w:rsidRPr="003D6C5F" w:rsidR="002C5695">
        <w:rPr>
          <w:rFonts w:ascii="Century Schoolbook" w:hAnsi="Century Schoolbook" w:cstheme="majorHAnsi"/>
          <w:sz w:val="26"/>
          <w:szCs w:val="26"/>
        </w:rPr>
        <w:t xml:space="preserve"> </w:t>
      </w:r>
      <w:r w:rsidRPr="003D6C5F">
        <w:rPr>
          <w:rFonts w:ascii="Century Schoolbook" w:hAnsi="Century Schoolbook" w:cstheme="majorHAnsi"/>
          <w:sz w:val="26"/>
          <w:szCs w:val="26"/>
        </w:rPr>
        <w:t>Two of the</w:t>
      </w:r>
      <w:r w:rsidRPr="003D6C5F" w:rsidR="002C5695">
        <w:rPr>
          <w:rFonts w:ascii="Century Schoolbook" w:hAnsi="Century Schoolbook" w:cstheme="majorHAnsi"/>
          <w:sz w:val="26"/>
          <w:szCs w:val="26"/>
        </w:rPr>
        <w:t xml:space="preserve"> </w:t>
      </w:r>
      <w:r w:rsidRPr="003D6C5F">
        <w:rPr>
          <w:rFonts w:ascii="Century Schoolbook" w:hAnsi="Century Schoolbook" w:cstheme="majorHAnsi"/>
          <w:sz w:val="26"/>
          <w:szCs w:val="26"/>
        </w:rPr>
        <w:t>numbers were disconnected, and he left a voice mail and text message on</w:t>
      </w:r>
      <w:r w:rsidRPr="003D6C5F" w:rsidR="002C5695">
        <w:rPr>
          <w:rFonts w:ascii="Century Schoolbook" w:hAnsi="Century Schoolbook" w:cstheme="majorHAnsi"/>
          <w:sz w:val="26"/>
          <w:szCs w:val="26"/>
        </w:rPr>
        <w:t xml:space="preserve"> </w:t>
      </w:r>
      <w:r w:rsidRPr="003D6C5F">
        <w:rPr>
          <w:rFonts w:ascii="Century Schoolbook" w:hAnsi="Century Schoolbook" w:cstheme="majorHAnsi"/>
          <w:sz w:val="26"/>
          <w:szCs w:val="26"/>
        </w:rPr>
        <w:t>the other.</w:t>
      </w:r>
      <w:r w:rsidRPr="003D6C5F" w:rsidR="002C5695">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 </w:t>
      </w:r>
    </w:p>
    <w:p w:rsidR="00BA3856" w:rsidRPr="003D6C5F" w:rsidP="000B1ECC" w14:paraId="6645C13C" w14:textId="1545A060">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Villalobos</w:t>
      </w:r>
      <w:r w:rsidRPr="003D6C5F" w:rsidR="002C5695">
        <w:rPr>
          <w:rFonts w:ascii="Century Schoolbook" w:hAnsi="Century Schoolbook" w:cstheme="majorHAnsi"/>
          <w:sz w:val="26"/>
          <w:szCs w:val="26"/>
        </w:rPr>
        <w:t xml:space="preserve"> had the Los Angeles police</w:t>
      </w:r>
      <w:r w:rsidRPr="003D6C5F" w:rsidR="004963CC">
        <w:rPr>
          <w:rFonts w:ascii="Century Schoolbook" w:hAnsi="Century Schoolbook" w:cstheme="majorHAnsi"/>
          <w:sz w:val="26"/>
          <w:szCs w:val="26"/>
        </w:rPr>
        <w:t xml:space="preserve"> run </w:t>
      </w:r>
      <w:r w:rsidRPr="003D6C5F" w:rsidR="00CC1A97">
        <w:rPr>
          <w:rFonts w:ascii="Century Schoolbook" w:hAnsi="Century Schoolbook" w:cstheme="majorHAnsi"/>
          <w:sz w:val="26"/>
          <w:szCs w:val="26"/>
        </w:rPr>
        <w:t xml:space="preserve">Breanna’s </w:t>
      </w:r>
      <w:r w:rsidRPr="003D6C5F" w:rsidR="004963CC">
        <w:rPr>
          <w:rFonts w:ascii="Century Schoolbook" w:hAnsi="Century Schoolbook" w:cstheme="majorHAnsi"/>
          <w:sz w:val="26"/>
          <w:szCs w:val="26"/>
        </w:rPr>
        <w:t xml:space="preserve">name through their computer system but did not locate her.  </w:t>
      </w:r>
      <w:r w:rsidRPr="003D6C5F">
        <w:rPr>
          <w:rFonts w:ascii="Century Schoolbook" w:hAnsi="Century Schoolbook" w:cstheme="majorHAnsi"/>
          <w:sz w:val="26"/>
          <w:szCs w:val="26"/>
        </w:rPr>
        <w:t>He</w:t>
      </w:r>
      <w:r w:rsidRPr="003D6C5F" w:rsidR="00792C9E">
        <w:rPr>
          <w:rFonts w:ascii="Century Schoolbook" w:hAnsi="Century Schoolbook" w:cstheme="majorHAnsi"/>
          <w:sz w:val="26"/>
          <w:szCs w:val="26"/>
        </w:rPr>
        <w:t xml:space="preserve"> created a</w:t>
      </w:r>
      <w:r w:rsidR="005A1AD4">
        <w:rPr>
          <w:rFonts w:ascii="Century Schoolbook" w:hAnsi="Century Schoolbook" w:cstheme="majorHAnsi"/>
          <w:sz w:val="26"/>
          <w:szCs w:val="26"/>
        </w:rPr>
        <w:t> </w:t>
      </w:r>
      <w:r w:rsidRPr="003D6C5F" w:rsidR="00792C9E">
        <w:rPr>
          <w:rFonts w:ascii="Century Schoolbook" w:hAnsi="Century Schoolbook" w:cstheme="majorHAnsi"/>
          <w:sz w:val="26"/>
          <w:szCs w:val="26"/>
        </w:rPr>
        <w:t>wanted flyer for Breanna</w:t>
      </w:r>
      <w:r w:rsidRPr="003D6C5F" w:rsidR="002C5695">
        <w:rPr>
          <w:rFonts w:ascii="Century Schoolbook" w:hAnsi="Century Schoolbook" w:cstheme="majorHAnsi"/>
          <w:sz w:val="26"/>
          <w:szCs w:val="26"/>
        </w:rPr>
        <w:t xml:space="preserve"> </w:t>
      </w:r>
      <w:r w:rsidRPr="003D6C5F" w:rsidR="00792C9E">
        <w:rPr>
          <w:rFonts w:ascii="Century Schoolbook" w:hAnsi="Century Schoolbook" w:cstheme="majorHAnsi"/>
          <w:sz w:val="26"/>
          <w:szCs w:val="26"/>
        </w:rPr>
        <w:t xml:space="preserve">which </w:t>
      </w:r>
      <w:r w:rsidRPr="003D6C5F" w:rsidR="004963CC">
        <w:rPr>
          <w:rFonts w:ascii="Century Schoolbook" w:hAnsi="Century Schoolbook" w:cstheme="majorHAnsi"/>
          <w:sz w:val="26"/>
          <w:szCs w:val="26"/>
        </w:rPr>
        <w:t>was distributed to over 400</w:t>
      </w:r>
      <w:r w:rsidRPr="003D6C5F" w:rsidR="00792C9E">
        <w:rPr>
          <w:rFonts w:ascii="Century Schoolbook" w:hAnsi="Century Schoolbook" w:cstheme="majorHAnsi"/>
          <w:sz w:val="26"/>
          <w:szCs w:val="26"/>
        </w:rPr>
        <w:t xml:space="preserve"> officers.</w:t>
      </w:r>
      <w:r w:rsidR="001A4A9E">
        <w:rPr>
          <w:rFonts w:ascii="Century Schoolbook" w:hAnsi="Century Schoolbook" w:cstheme="majorHAnsi"/>
          <w:sz w:val="26"/>
          <w:szCs w:val="26"/>
        </w:rPr>
        <w:t xml:space="preserve"> </w:t>
      </w:r>
      <w:r w:rsidRPr="003D6C5F" w:rsidR="004963CC">
        <w:rPr>
          <w:rFonts w:ascii="Century Schoolbook" w:hAnsi="Century Schoolbook" w:cstheme="majorHAnsi"/>
          <w:sz w:val="26"/>
          <w:szCs w:val="26"/>
        </w:rPr>
        <w:t xml:space="preserve"> He also communicated with the sheriff’s department and had an alert placed on Breanna’s name to notify him if anyone had contact with </w:t>
      </w:r>
      <w:r w:rsidRPr="003D6C5F" w:rsidR="00006CDE">
        <w:rPr>
          <w:rFonts w:ascii="Century Schoolbook" w:hAnsi="Century Schoolbook" w:cstheme="majorHAnsi"/>
          <w:sz w:val="26"/>
          <w:szCs w:val="26"/>
        </w:rPr>
        <w:t>her</w:t>
      </w:r>
      <w:r w:rsidRPr="003D6C5F" w:rsidR="004963CC">
        <w:rPr>
          <w:rFonts w:ascii="Century Schoolbook" w:hAnsi="Century Schoolbook" w:cstheme="majorHAnsi"/>
          <w:sz w:val="26"/>
          <w:szCs w:val="26"/>
        </w:rPr>
        <w:t xml:space="preserve">.  </w:t>
      </w:r>
      <w:r w:rsidRPr="003D6C5F" w:rsidR="00792C9E">
        <w:rPr>
          <w:rFonts w:ascii="Century Schoolbook" w:hAnsi="Century Schoolbook" w:cstheme="majorHAnsi"/>
          <w:sz w:val="26"/>
          <w:szCs w:val="26"/>
        </w:rPr>
        <w:t xml:space="preserve">On July 21, Villalobos </w:t>
      </w:r>
      <w:r w:rsidRPr="003D6C5F" w:rsidR="004963CC">
        <w:rPr>
          <w:rFonts w:ascii="Century Schoolbook" w:hAnsi="Century Schoolbook" w:cstheme="majorHAnsi"/>
          <w:sz w:val="26"/>
          <w:szCs w:val="26"/>
        </w:rPr>
        <w:t xml:space="preserve">again visited the </w:t>
      </w:r>
      <w:r w:rsidRPr="003D6C5F" w:rsidR="00792C9E">
        <w:rPr>
          <w:rFonts w:ascii="Century Schoolbook" w:hAnsi="Century Schoolbook" w:cstheme="majorHAnsi"/>
          <w:sz w:val="26"/>
          <w:szCs w:val="26"/>
        </w:rPr>
        <w:t>two Los Angeles</w:t>
      </w:r>
      <w:r w:rsidRPr="003D6C5F" w:rsidR="00006CDE">
        <w:rPr>
          <w:rFonts w:ascii="Century Schoolbook" w:hAnsi="Century Schoolbook" w:cstheme="majorHAnsi"/>
          <w:sz w:val="26"/>
          <w:szCs w:val="26"/>
        </w:rPr>
        <w:t xml:space="preserve"> </w:t>
      </w:r>
      <w:r w:rsidRPr="003D6C5F" w:rsidR="00792C9E">
        <w:rPr>
          <w:rFonts w:ascii="Century Schoolbook" w:hAnsi="Century Schoolbook" w:cstheme="majorHAnsi"/>
          <w:sz w:val="26"/>
          <w:szCs w:val="26"/>
        </w:rPr>
        <w:t xml:space="preserve">addresses, and followed up on another address and </w:t>
      </w:r>
      <w:r w:rsidRPr="003D6C5F" w:rsidR="004963CC">
        <w:rPr>
          <w:rFonts w:ascii="Century Schoolbook" w:hAnsi="Century Schoolbook" w:cstheme="majorHAnsi"/>
          <w:sz w:val="26"/>
          <w:szCs w:val="26"/>
        </w:rPr>
        <w:t>tele</w:t>
      </w:r>
      <w:r w:rsidRPr="003D6C5F" w:rsidR="00792C9E">
        <w:rPr>
          <w:rFonts w:ascii="Century Schoolbook" w:hAnsi="Century Schoolbook" w:cstheme="majorHAnsi"/>
          <w:sz w:val="26"/>
          <w:szCs w:val="26"/>
        </w:rPr>
        <w:t>phone number for</w:t>
      </w:r>
      <w:r w:rsidRPr="003D6C5F" w:rsidR="00006CDE">
        <w:rPr>
          <w:rFonts w:ascii="Century Schoolbook" w:hAnsi="Century Schoolbook" w:cstheme="majorHAnsi"/>
          <w:sz w:val="26"/>
          <w:szCs w:val="26"/>
        </w:rPr>
        <w:t xml:space="preserve"> </w:t>
      </w:r>
      <w:r w:rsidRPr="003D6C5F" w:rsidR="007852F5">
        <w:rPr>
          <w:rFonts w:ascii="Century Schoolbook" w:hAnsi="Century Schoolbook" w:cstheme="majorHAnsi"/>
          <w:sz w:val="26"/>
          <w:szCs w:val="26"/>
        </w:rPr>
        <w:t>her</w:t>
      </w:r>
      <w:r w:rsidRPr="003D6C5F" w:rsidR="00792C9E">
        <w:rPr>
          <w:rFonts w:ascii="Century Schoolbook" w:hAnsi="Century Schoolbook" w:cstheme="majorHAnsi"/>
          <w:sz w:val="26"/>
          <w:szCs w:val="26"/>
        </w:rPr>
        <w:t>,</w:t>
      </w:r>
      <w:r w:rsidRPr="003D6C5F" w:rsidR="008C0A3B">
        <w:rPr>
          <w:rFonts w:ascii="Century Schoolbook" w:hAnsi="Century Schoolbook" w:cstheme="majorHAnsi"/>
          <w:sz w:val="26"/>
          <w:szCs w:val="26"/>
        </w:rPr>
        <w:t xml:space="preserve"> </w:t>
      </w:r>
      <w:r w:rsidRPr="003D6C5F" w:rsidR="00792C9E">
        <w:rPr>
          <w:rFonts w:ascii="Century Schoolbook" w:hAnsi="Century Schoolbook" w:cstheme="majorHAnsi"/>
          <w:sz w:val="26"/>
          <w:szCs w:val="26"/>
        </w:rPr>
        <w:t>without success.</w:t>
      </w:r>
      <w:r w:rsidRPr="003D6C5F" w:rsidR="008C0A3B">
        <w:rPr>
          <w:rFonts w:ascii="Century Schoolbook" w:hAnsi="Century Schoolbook" w:cstheme="majorHAnsi"/>
          <w:sz w:val="26"/>
          <w:szCs w:val="26"/>
        </w:rPr>
        <w:t xml:space="preserve">  He visited two markets in Los Angeles where Breanna had used her “Cal Fresh card</w:t>
      </w:r>
      <w:r w:rsidRPr="003D6C5F" w:rsidR="007852F5">
        <w:rPr>
          <w:rFonts w:ascii="Century Schoolbook" w:hAnsi="Century Schoolbook" w:cstheme="majorHAnsi"/>
          <w:sz w:val="26"/>
          <w:szCs w:val="26"/>
        </w:rPr>
        <w:t>,</w:t>
      </w:r>
      <w:r w:rsidRPr="003D6C5F" w:rsidR="008C0A3B">
        <w:rPr>
          <w:rFonts w:ascii="Century Schoolbook" w:hAnsi="Century Schoolbook" w:cstheme="majorHAnsi"/>
          <w:sz w:val="26"/>
          <w:szCs w:val="26"/>
        </w:rPr>
        <w:t xml:space="preserve">” but no one at the markets recognized her photograph. </w:t>
      </w:r>
      <w:r w:rsidRPr="003D6C5F" w:rsidR="005C7354">
        <w:rPr>
          <w:rFonts w:ascii="Century Schoolbook" w:hAnsi="Century Schoolbook" w:cstheme="majorHAnsi"/>
          <w:sz w:val="26"/>
          <w:szCs w:val="26"/>
        </w:rPr>
        <w:t xml:space="preserve"> He also checked to </w:t>
      </w:r>
      <w:r w:rsidRPr="003D6C5F" w:rsidR="0024551A">
        <w:rPr>
          <w:rFonts w:ascii="Century Schoolbook" w:hAnsi="Century Schoolbook" w:cstheme="majorHAnsi"/>
          <w:sz w:val="26"/>
          <w:szCs w:val="26"/>
        </w:rPr>
        <w:t>determine</w:t>
      </w:r>
      <w:r w:rsidRPr="003D6C5F" w:rsidR="005C7354">
        <w:rPr>
          <w:rFonts w:ascii="Century Schoolbook" w:hAnsi="Century Schoolbook" w:cstheme="majorHAnsi"/>
          <w:sz w:val="26"/>
          <w:szCs w:val="26"/>
        </w:rPr>
        <w:t xml:space="preserve"> if Breanna was in custody. </w:t>
      </w:r>
    </w:p>
    <w:p w:rsidR="00DA67DE" w:rsidRPr="003D6C5F" w:rsidP="000B1ECC" w14:paraId="11B0B9AC" w14:textId="74C083B3">
      <w:pPr>
        <w:autoSpaceDE w:val="0"/>
        <w:autoSpaceDN w:val="0"/>
        <w:adjustRightInd w:val="0"/>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After hearing argument,</w:t>
      </w:r>
      <w:r w:rsidRPr="003D6C5F" w:rsidR="00EF0C85">
        <w:rPr>
          <w:rFonts w:ascii="Century Schoolbook" w:hAnsi="Century Schoolbook" w:cstheme="majorHAnsi"/>
          <w:sz w:val="26"/>
          <w:szCs w:val="26"/>
        </w:rPr>
        <w:t xml:space="preserve"> the court found the People made a good faith effort and exercised reasonable diligence to obtain Breanna’s appearance at trial.</w:t>
      </w:r>
      <w:r w:rsidRPr="003D6C5F" w:rsidR="00BA3856">
        <w:rPr>
          <w:rFonts w:ascii="Century Schoolbook" w:hAnsi="Century Schoolbook" w:cstheme="majorHAnsi"/>
          <w:sz w:val="26"/>
          <w:szCs w:val="26"/>
        </w:rPr>
        <w:t xml:space="preserve"> </w:t>
      </w:r>
      <w:r w:rsidRPr="003D6C5F" w:rsidR="00EF0C85">
        <w:rPr>
          <w:rFonts w:ascii="Century Schoolbook" w:hAnsi="Century Schoolbook" w:cstheme="majorHAnsi"/>
          <w:sz w:val="26"/>
          <w:szCs w:val="26"/>
        </w:rPr>
        <w:t xml:space="preserve"> </w:t>
      </w:r>
      <w:r w:rsidRPr="003D6C5F" w:rsidR="00EB634D">
        <w:rPr>
          <w:rFonts w:ascii="Century Schoolbook" w:hAnsi="Century Schoolbook" w:cstheme="majorHAnsi"/>
          <w:sz w:val="26"/>
          <w:szCs w:val="26"/>
        </w:rPr>
        <w:t>It</w:t>
      </w:r>
      <w:r w:rsidRPr="003D6C5F" w:rsidR="00EF0C85">
        <w:rPr>
          <w:rFonts w:ascii="Century Schoolbook" w:hAnsi="Century Schoolbook" w:cstheme="majorHAnsi"/>
          <w:sz w:val="26"/>
          <w:szCs w:val="26"/>
        </w:rPr>
        <w:t xml:space="preserve"> subsequently allowed Breanna’s preliminary hearing testimony be read to the jury. </w:t>
      </w:r>
    </w:p>
    <w:p w:rsidR="00BC64F2" w:rsidRPr="003D6C5F" w:rsidP="000B1ECC" w14:paraId="0A32C628" w14:textId="385BE976">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Defendants</w:t>
      </w:r>
      <w:r w:rsidRPr="003D6C5F" w:rsidR="005B6D2F">
        <w:rPr>
          <w:rFonts w:ascii="Century Schoolbook" w:hAnsi="Century Schoolbook" w:cstheme="majorHAnsi"/>
          <w:sz w:val="26"/>
          <w:szCs w:val="26"/>
        </w:rPr>
        <w:t xml:space="preserve"> assert the trial court erred in admitting Breanna’s preliminary hearing testimony because the prosecutor failed to prove due diligence in attempting to secure her presence at trial.  </w:t>
      </w:r>
      <w:r w:rsidRPr="003D6C5F" w:rsidR="003A5E94">
        <w:rPr>
          <w:rFonts w:ascii="Century Schoolbook" w:hAnsi="Century Schoolbook" w:cstheme="majorHAnsi"/>
          <w:sz w:val="26"/>
          <w:szCs w:val="26"/>
        </w:rPr>
        <w:t xml:space="preserve">In particular, they fault the prosecution’s delay in beginning the search for Breanna after losing touch with her following the preliminary hearing.  </w:t>
      </w:r>
      <w:r w:rsidRPr="003D6C5F" w:rsidR="005B6D2F">
        <w:rPr>
          <w:rFonts w:ascii="Century Schoolbook" w:hAnsi="Century Schoolbook" w:cstheme="majorHAnsi"/>
          <w:sz w:val="26"/>
          <w:szCs w:val="26"/>
        </w:rPr>
        <w:t xml:space="preserve">The People disagree with </w:t>
      </w:r>
      <w:r w:rsidRPr="003D6C5F">
        <w:rPr>
          <w:rFonts w:ascii="Century Schoolbook" w:hAnsi="Century Schoolbook" w:cstheme="majorHAnsi"/>
          <w:sz w:val="26"/>
          <w:szCs w:val="26"/>
        </w:rPr>
        <w:t>defendants</w:t>
      </w:r>
      <w:r w:rsidRPr="003D6C5F" w:rsidR="005B6D2F">
        <w:rPr>
          <w:rFonts w:ascii="Century Schoolbook" w:hAnsi="Century Schoolbook" w:cstheme="majorHAnsi"/>
          <w:sz w:val="26"/>
          <w:szCs w:val="26"/>
        </w:rPr>
        <w:t>’ contentions</w:t>
      </w:r>
      <w:r w:rsidRPr="003D6C5F" w:rsidR="00EB634D">
        <w:rPr>
          <w:rFonts w:ascii="Century Schoolbook" w:hAnsi="Century Schoolbook" w:cstheme="majorHAnsi"/>
          <w:sz w:val="26"/>
          <w:szCs w:val="26"/>
        </w:rPr>
        <w:t>.  They also</w:t>
      </w:r>
      <w:r w:rsidRPr="003D6C5F" w:rsidR="005B6D2F">
        <w:rPr>
          <w:rFonts w:ascii="Century Schoolbook" w:hAnsi="Century Schoolbook" w:cstheme="majorHAnsi"/>
          <w:sz w:val="26"/>
          <w:szCs w:val="26"/>
        </w:rPr>
        <w:t xml:space="preserve"> argue that </w:t>
      </w:r>
      <w:r w:rsidRPr="003D6C5F" w:rsidR="00EB634D">
        <w:rPr>
          <w:rFonts w:ascii="Century Schoolbook" w:hAnsi="Century Schoolbook" w:cstheme="majorHAnsi"/>
          <w:sz w:val="26"/>
          <w:szCs w:val="26"/>
        </w:rPr>
        <w:t xml:space="preserve">even </w:t>
      </w:r>
      <w:r w:rsidRPr="003D6C5F" w:rsidR="005B6D2F">
        <w:rPr>
          <w:rFonts w:ascii="Century Schoolbook" w:hAnsi="Century Schoolbook" w:cstheme="majorHAnsi"/>
          <w:sz w:val="26"/>
          <w:szCs w:val="26"/>
        </w:rPr>
        <w:t>if the court erred by admitting the preliminary hearing transcript</w:t>
      </w:r>
      <w:r w:rsidRPr="003D6C5F" w:rsidR="00EB634D">
        <w:rPr>
          <w:rFonts w:ascii="Century Schoolbook" w:hAnsi="Century Schoolbook" w:cstheme="majorHAnsi"/>
          <w:sz w:val="26"/>
          <w:szCs w:val="26"/>
        </w:rPr>
        <w:t>,</w:t>
      </w:r>
      <w:r w:rsidRPr="003D6C5F" w:rsidR="005B6D2F">
        <w:rPr>
          <w:rFonts w:ascii="Century Schoolbook" w:hAnsi="Century Schoolbook" w:cstheme="majorHAnsi"/>
          <w:sz w:val="26"/>
          <w:szCs w:val="26"/>
        </w:rPr>
        <w:t xml:space="preserve"> the error was harmless beyond a reasonable doubt because Breanna’s account of what occurred that night was mostly duplicative of Angel’s statements to the police and corroborated by the physical evidence found at the scene.</w:t>
      </w:r>
      <w:r w:rsidRPr="003D6C5F" w:rsidR="00C56A8C">
        <w:rPr>
          <w:rFonts w:ascii="Century Schoolbook" w:hAnsi="Century Schoolbook" w:cstheme="majorHAnsi"/>
          <w:sz w:val="26"/>
          <w:szCs w:val="26"/>
        </w:rPr>
        <w:t xml:space="preserve"> </w:t>
      </w:r>
    </w:p>
    <w:p w:rsidR="00F0433C" w:rsidRPr="003D6C5F" w:rsidP="000B1ECC" w14:paraId="6C24DF2C" w14:textId="77777777">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A criminal defendant has a constitutional right to confront prosecution witnesses, but the right is not absolute.  (</w:t>
      </w:r>
      <w:bookmarkStart w:id="17" w:name="_Hlk152082392"/>
      <w:r w:rsidRPr="003D6C5F">
        <w:rPr>
          <w:rFonts w:ascii="Century Schoolbook" w:hAnsi="Century Schoolbook" w:cstheme="majorHAnsi"/>
          <w:i/>
          <w:iCs/>
          <w:sz w:val="26"/>
          <w:szCs w:val="26"/>
        </w:rPr>
        <w:t>People v. Cromer</w:t>
      </w:r>
      <w:r w:rsidRPr="003D6C5F">
        <w:rPr>
          <w:rFonts w:ascii="Century Schoolbook" w:hAnsi="Century Schoolbook" w:cstheme="majorHAnsi"/>
          <w:sz w:val="26"/>
          <w:szCs w:val="26"/>
        </w:rPr>
        <w:t xml:space="preserve"> (2001) 24 Cal.4th 889, </w:t>
      </w:r>
      <w:bookmarkEnd w:id="17"/>
      <w:r w:rsidRPr="003D6C5F">
        <w:rPr>
          <w:rFonts w:ascii="Century Schoolbook" w:hAnsi="Century Schoolbook" w:cstheme="majorHAnsi"/>
          <w:sz w:val="26"/>
          <w:szCs w:val="26"/>
        </w:rPr>
        <w:t>892</w:t>
      </w:r>
      <w:r w:rsidRPr="003D6C5F" w:rsidR="00CC02ED">
        <w:rPr>
          <w:rFonts w:ascii="Century Schoolbook" w:hAnsi="Century Schoolbook" w:cstheme="majorHAnsi"/>
          <w:sz w:val="26"/>
          <w:szCs w:val="26"/>
        </w:rPr>
        <w:t xml:space="preserve"> (</w:t>
      </w:r>
      <w:r w:rsidRPr="003D6C5F" w:rsidR="00CC02ED">
        <w:rPr>
          <w:rFonts w:ascii="Century Schoolbook" w:hAnsi="Century Schoolbook" w:cstheme="majorHAnsi"/>
          <w:i/>
          <w:iCs/>
          <w:sz w:val="26"/>
          <w:szCs w:val="26"/>
        </w:rPr>
        <w:t>C</w:t>
      </w:r>
      <w:r w:rsidRPr="003D6C5F" w:rsidR="000D63EF">
        <w:rPr>
          <w:rFonts w:ascii="Century Schoolbook" w:hAnsi="Century Schoolbook" w:cstheme="majorHAnsi"/>
          <w:i/>
          <w:iCs/>
          <w:sz w:val="26"/>
          <w:szCs w:val="26"/>
        </w:rPr>
        <w:t>r</w:t>
      </w:r>
      <w:r w:rsidRPr="003D6C5F" w:rsidR="00CC02ED">
        <w:rPr>
          <w:rFonts w:ascii="Century Schoolbook" w:hAnsi="Century Schoolbook" w:cstheme="majorHAnsi"/>
          <w:i/>
          <w:iCs/>
          <w:sz w:val="26"/>
          <w:szCs w:val="26"/>
        </w:rPr>
        <w:t>omer</w:t>
      </w:r>
      <w:r w:rsidRPr="003D6C5F" w:rsidR="00CC02ED">
        <w:rPr>
          <w:rFonts w:ascii="Century Schoolbook" w:hAnsi="Century Schoolbook" w:cstheme="majorHAnsi"/>
          <w:sz w:val="26"/>
          <w:szCs w:val="26"/>
        </w:rPr>
        <w:t>)</w:t>
      </w:r>
      <w:r w:rsidRPr="003D6C5F">
        <w:rPr>
          <w:rFonts w:ascii="Century Schoolbook" w:hAnsi="Century Schoolbook" w:cstheme="majorHAnsi"/>
          <w:sz w:val="26"/>
          <w:szCs w:val="26"/>
        </w:rPr>
        <w:t>.)  “An exception exists when a witness is unavailable and, at a previous court proceeding against the same defendant, has given testimony that was subject to cross-examination.”  (</w:t>
      </w:r>
      <w:r w:rsidRPr="003D6C5F">
        <w:rPr>
          <w:rFonts w:ascii="Century Schoolbook" w:hAnsi="Century Schoolbook" w:cstheme="majorHAnsi"/>
          <w:i/>
          <w:iCs/>
          <w:sz w:val="26"/>
          <w:szCs w:val="26"/>
        </w:rPr>
        <w:t>Ibid.</w:t>
      </w:r>
      <w:r w:rsidRPr="003D6C5F">
        <w:rPr>
          <w:rFonts w:ascii="Century Schoolbook" w:hAnsi="Century Schoolbook" w:cstheme="majorHAnsi"/>
          <w:sz w:val="26"/>
          <w:szCs w:val="26"/>
        </w:rPr>
        <w:t>)  Under this exception, the preliminary hearing testimony of an unavailable witness may be admitted at trial without violating a defendant’s confrontation right.  (</w:t>
      </w:r>
      <w:r w:rsidRPr="003D6C5F">
        <w:rPr>
          <w:rFonts w:ascii="Century Schoolbook" w:hAnsi="Century Schoolbook" w:cstheme="majorHAnsi"/>
          <w:i/>
          <w:iCs/>
          <w:sz w:val="26"/>
          <w:szCs w:val="26"/>
        </w:rPr>
        <w:t>People v. Herrera</w:t>
      </w:r>
      <w:r w:rsidRPr="003D6C5F">
        <w:rPr>
          <w:rFonts w:ascii="Century Schoolbook" w:hAnsi="Century Schoolbook" w:cstheme="majorHAnsi"/>
          <w:sz w:val="26"/>
          <w:szCs w:val="26"/>
        </w:rPr>
        <w:t xml:space="preserve"> (2010) 49 Cal.4th 613, 621</w:t>
      </w:r>
      <w:r w:rsidRPr="003D6C5F" w:rsidR="009A02C3">
        <w:rPr>
          <w:rFonts w:ascii="Century Schoolbook" w:hAnsi="Century Schoolbook" w:cstheme="majorHAnsi"/>
          <w:sz w:val="26"/>
          <w:szCs w:val="26"/>
        </w:rPr>
        <w:t xml:space="preserve"> (</w:t>
      </w:r>
      <w:r w:rsidRPr="003D6C5F" w:rsidR="009A02C3">
        <w:rPr>
          <w:rFonts w:ascii="Century Schoolbook" w:hAnsi="Century Schoolbook" w:cstheme="majorHAnsi"/>
          <w:i/>
          <w:iCs/>
          <w:sz w:val="26"/>
          <w:szCs w:val="26"/>
        </w:rPr>
        <w:t>Herrera</w:t>
      </w:r>
      <w:r w:rsidRPr="003D6C5F" w:rsidR="009A02C3">
        <w:rPr>
          <w:rFonts w:ascii="Century Schoolbook" w:hAnsi="Century Schoolbook" w:cstheme="majorHAnsi"/>
          <w:sz w:val="26"/>
          <w:szCs w:val="26"/>
        </w:rPr>
        <w:t>).)</w:t>
      </w:r>
      <w:r>
        <w:rPr>
          <w:rStyle w:val="FootnoteReference"/>
          <w:rFonts w:ascii="Century Schoolbook" w:hAnsi="Century Schoolbook" w:cstheme="majorHAnsi"/>
          <w:szCs w:val="26"/>
        </w:rPr>
        <w:footnoteReference w:id="9"/>
      </w:r>
      <w:r w:rsidRPr="003D6C5F" w:rsidR="00D302B5">
        <w:rPr>
          <w:rFonts w:ascii="Century Schoolbook" w:hAnsi="Century Schoolbook" w:cstheme="majorHAnsi"/>
          <w:sz w:val="26"/>
          <w:szCs w:val="26"/>
        </w:rPr>
        <w:t xml:space="preserve">  </w:t>
      </w:r>
      <w:bookmarkStart w:id="19" w:name="_Hlk152082254"/>
      <w:r w:rsidRPr="003D6C5F">
        <w:rPr>
          <w:rFonts w:ascii="Century Schoolbook" w:hAnsi="Century Schoolbook" w:cstheme="majorHAnsi"/>
          <w:sz w:val="26"/>
          <w:szCs w:val="26"/>
        </w:rPr>
        <w:t xml:space="preserve">A witness is unavailable when the witness is absent from the hearing and the proponent of the witness’s testimony has exercised reasonable diligence but has been unable to procure the witness’s attendance by the court’s process.  (Evid. Code, § 240, subd. (a)(5).)  </w:t>
      </w:r>
      <w:bookmarkStart w:id="20" w:name="_Hlk161143836"/>
    </w:p>
    <w:p w:rsidR="00EF0C85" w:rsidRPr="003D6C5F" w:rsidP="000B1ECC" w14:paraId="498C5A2B" w14:textId="70BC3985">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Factors we consider in determining whether the prosecutor has shown reasonable diligence include the timeliness of the search, the importance of the witness’s testimony, and whether leads to the witness’s possible location were reasonably explored.  (</w:t>
      </w:r>
      <w:r w:rsidRPr="003D6C5F">
        <w:rPr>
          <w:rFonts w:ascii="Century Schoolbook" w:hAnsi="Century Schoolbook" w:cstheme="majorHAnsi"/>
          <w:i/>
          <w:iCs/>
          <w:sz w:val="26"/>
          <w:szCs w:val="26"/>
        </w:rPr>
        <w:t>People v. Thomas</w:t>
      </w:r>
      <w:r w:rsidRPr="003D6C5F">
        <w:rPr>
          <w:rFonts w:ascii="Century Schoolbook" w:hAnsi="Century Schoolbook" w:cstheme="majorHAnsi"/>
          <w:sz w:val="26"/>
          <w:szCs w:val="26"/>
        </w:rPr>
        <w:t xml:space="preserve"> (2011) 51 Cal.4th 449, 500</w:t>
      </w:r>
      <w:r w:rsidRPr="003D6C5F" w:rsidR="006D27F8">
        <w:rPr>
          <w:rFonts w:ascii="Century Schoolbook" w:hAnsi="Century Schoolbook" w:cstheme="majorHAnsi"/>
          <w:sz w:val="26"/>
          <w:szCs w:val="26"/>
        </w:rPr>
        <w:t xml:space="preserve"> (</w:t>
      </w:r>
      <w:r w:rsidRPr="003D6C5F" w:rsidR="006D27F8">
        <w:rPr>
          <w:rFonts w:ascii="Century Schoolbook" w:hAnsi="Century Schoolbook" w:cstheme="majorHAnsi"/>
          <w:i/>
          <w:iCs/>
          <w:sz w:val="26"/>
          <w:szCs w:val="26"/>
        </w:rPr>
        <w:t>Thomas</w:t>
      </w:r>
      <w:r w:rsidRPr="003D6C5F" w:rsidR="006D27F8">
        <w:rPr>
          <w:rFonts w:ascii="Century Schoolbook" w:hAnsi="Century Schoolbook" w:cstheme="majorHAnsi"/>
          <w:sz w:val="26"/>
          <w:szCs w:val="26"/>
        </w:rPr>
        <w:t>)</w:t>
      </w:r>
      <w:r w:rsidRPr="003D6C5F">
        <w:rPr>
          <w:rFonts w:ascii="Century Schoolbook" w:hAnsi="Century Schoolbook" w:cstheme="majorHAnsi"/>
          <w:sz w:val="26"/>
          <w:szCs w:val="26"/>
        </w:rPr>
        <w:t>.)</w:t>
      </w:r>
      <w:bookmarkEnd w:id="20"/>
      <w:r w:rsidRPr="003D6C5F" w:rsidR="00460DE5">
        <w:rPr>
          <w:rFonts w:ascii="Century Schoolbook" w:hAnsi="Century Schoolbook" w:cstheme="majorHAnsi"/>
          <w:sz w:val="26"/>
          <w:szCs w:val="26"/>
        </w:rPr>
        <w:t xml:space="preserve">  </w:t>
      </w:r>
      <w:r w:rsidRPr="003D6C5F" w:rsidR="00F0433C">
        <w:rPr>
          <w:rFonts w:ascii="Century Schoolbook" w:hAnsi="Century Schoolbook" w:cstheme="majorHAnsi"/>
          <w:sz w:val="26"/>
          <w:szCs w:val="26"/>
        </w:rPr>
        <w:t xml:space="preserve">The timely commencement of the search and the energy with which it was pursued are sequential aspects of the prosecution’s obligation to demonstrate diligence.  But whether these efforts were reasonable depends in part on the importance of the witness’s testimony.  If a witness is critical, the search must be started sooner and pursued with more energy than if the witness is less significant.  And while we </w:t>
      </w:r>
      <w:r w:rsidRPr="003D6C5F" w:rsidR="00460DE5">
        <w:rPr>
          <w:rFonts w:ascii="Century Schoolbook" w:hAnsi="Century Schoolbook" w:cstheme="majorHAnsi"/>
          <w:sz w:val="26"/>
          <w:szCs w:val="26"/>
        </w:rPr>
        <w:t>defer to the trial court’s determination “ ‘of the historical facts of what the prosecution did to locate an absent witness’ ” (</w:t>
      </w:r>
      <w:r w:rsidRPr="003D6C5F" w:rsidR="00F0433C">
        <w:rPr>
          <w:rFonts w:ascii="Century Schoolbook" w:hAnsi="Century Schoolbook" w:cstheme="majorHAnsi"/>
          <w:i/>
          <w:iCs/>
          <w:sz w:val="26"/>
          <w:szCs w:val="26"/>
        </w:rPr>
        <w:t>i</w:t>
      </w:r>
      <w:r w:rsidRPr="003D6C5F" w:rsidR="00460DE5">
        <w:rPr>
          <w:rFonts w:ascii="Century Schoolbook" w:hAnsi="Century Schoolbook" w:cstheme="majorHAnsi"/>
          <w:i/>
          <w:iCs/>
          <w:sz w:val="26"/>
          <w:szCs w:val="26"/>
        </w:rPr>
        <w:t>d.</w:t>
      </w:r>
      <w:r w:rsidRPr="003D6C5F" w:rsidR="00460DE5">
        <w:rPr>
          <w:rFonts w:ascii="Century Schoolbook" w:hAnsi="Century Schoolbook" w:cstheme="majorHAnsi"/>
          <w:sz w:val="26"/>
          <w:szCs w:val="26"/>
        </w:rPr>
        <w:t xml:space="preserve"> at p. 503)</w:t>
      </w:r>
      <w:r w:rsidRPr="003D6C5F" w:rsidR="00F0433C">
        <w:rPr>
          <w:rFonts w:ascii="Century Schoolbook" w:hAnsi="Century Schoolbook" w:cstheme="majorHAnsi"/>
          <w:sz w:val="26"/>
          <w:szCs w:val="26"/>
        </w:rPr>
        <w:t>,</w:t>
      </w:r>
      <w:r w:rsidRPr="003D6C5F" w:rsidR="00460DE5">
        <w:rPr>
          <w:rFonts w:ascii="Century Schoolbook" w:hAnsi="Century Schoolbook" w:cstheme="majorHAnsi"/>
          <w:sz w:val="26"/>
          <w:szCs w:val="26"/>
        </w:rPr>
        <w:t xml:space="preserve"> </w:t>
      </w:r>
      <w:r w:rsidRPr="003D6C5F" w:rsidR="00F0433C">
        <w:rPr>
          <w:rFonts w:ascii="Century Schoolbook" w:hAnsi="Century Schoolbook" w:cstheme="majorHAnsi"/>
          <w:sz w:val="26"/>
          <w:szCs w:val="26"/>
        </w:rPr>
        <w:t>we independently review the prosecution’s claim of good faith and reasonable diligence.</w:t>
      </w:r>
      <w:r w:rsidRPr="003D6C5F" w:rsidR="00460DE5">
        <w:rPr>
          <w:rFonts w:ascii="Century Schoolbook" w:hAnsi="Century Schoolbook" w:cstheme="majorHAnsi"/>
          <w:sz w:val="26"/>
          <w:szCs w:val="26"/>
        </w:rPr>
        <w:t xml:space="preserve"> </w:t>
      </w:r>
    </w:p>
    <w:bookmarkEnd w:id="19"/>
    <w:p w:rsidR="003A5E94" w:rsidRPr="003D6C5F" w:rsidP="000B1ECC" w14:paraId="721C8812" w14:textId="19E7C163">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r>
      <w:r w:rsidRPr="003D6C5F" w:rsidR="00C72452">
        <w:rPr>
          <w:rFonts w:ascii="Century Schoolbook" w:hAnsi="Century Schoolbook" w:cstheme="majorHAnsi"/>
          <w:sz w:val="26"/>
          <w:szCs w:val="26"/>
        </w:rPr>
        <w:t>Defendants</w:t>
      </w:r>
      <w:r w:rsidRPr="003D6C5F">
        <w:rPr>
          <w:rFonts w:ascii="Century Schoolbook" w:hAnsi="Century Schoolbook" w:cstheme="majorHAnsi"/>
          <w:sz w:val="26"/>
          <w:szCs w:val="26"/>
        </w:rPr>
        <w:t xml:space="preserve"> do not dispute that they were parties to the action in which Breanna’s former testimony was given</w:t>
      </w:r>
      <w:r w:rsidRPr="003D6C5F" w:rsidR="00CA4BE5">
        <w:rPr>
          <w:rFonts w:ascii="Century Schoolbook" w:hAnsi="Century Schoolbook" w:cstheme="majorHAnsi"/>
          <w:sz w:val="26"/>
          <w:szCs w:val="26"/>
        </w:rPr>
        <w:t>,</w:t>
      </w:r>
      <w:r w:rsidRPr="003D6C5F">
        <w:rPr>
          <w:rFonts w:ascii="Century Schoolbook" w:hAnsi="Century Schoolbook" w:cstheme="majorHAnsi"/>
          <w:sz w:val="26"/>
          <w:szCs w:val="26"/>
        </w:rPr>
        <w:t xml:space="preserve"> and they exercised their right to cross-examine her with the requisite interest and motive.  The question is whether Breanna was unavailable as a witness.</w:t>
      </w:r>
      <w:r w:rsidRPr="003D6C5F" w:rsidR="00715144">
        <w:rPr>
          <w:rFonts w:ascii="Century Schoolbook" w:hAnsi="Century Schoolbook" w:cstheme="majorHAnsi"/>
          <w:sz w:val="26"/>
          <w:szCs w:val="26"/>
        </w:rPr>
        <w:t xml:space="preserve">  On this issue, </w:t>
      </w:r>
      <w:r w:rsidRPr="003D6C5F" w:rsidR="006D27F8">
        <w:rPr>
          <w:rFonts w:ascii="Century Schoolbook" w:hAnsi="Century Schoolbook" w:cstheme="majorHAnsi"/>
          <w:sz w:val="26"/>
          <w:szCs w:val="26"/>
        </w:rPr>
        <w:t>we analyze the timeliness of the search</w:t>
      </w:r>
      <w:r w:rsidRPr="003D6C5F" w:rsidR="00DD594E">
        <w:rPr>
          <w:rFonts w:ascii="Century Schoolbook" w:hAnsi="Century Schoolbook" w:cstheme="majorHAnsi"/>
          <w:sz w:val="26"/>
          <w:szCs w:val="26"/>
        </w:rPr>
        <w:t>,</w:t>
      </w:r>
      <w:r w:rsidRPr="003D6C5F" w:rsidR="006D27F8">
        <w:rPr>
          <w:rFonts w:ascii="Century Schoolbook" w:hAnsi="Century Schoolbook" w:cstheme="majorHAnsi"/>
          <w:sz w:val="26"/>
          <w:szCs w:val="26"/>
        </w:rPr>
        <w:t xml:space="preserve"> </w:t>
      </w:r>
      <w:r w:rsidRPr="003D6C5F" w:rsidR="00472845">
        <w:rPr>
          <w:rFonts w:ascii="Century Schoolbook" w:hAnsi="Century Schoolbook" w:cstheme="majorHAnsi"/>
          <w:sz w:val="26"/>
          <w:szCs w:val="26"/>
        </w:rPr>
        <w:t xml:space="preserve">the importance of Breanna’s testimony, </w:t>
      </w:r>
      <w:r w:rsidRPr="003D6C5F" w:rsidR="006D27F8">
        <w:rPr>
          <w:rFonts w:ascii="Century Schoolbook" w:hAnsi="Century Schoolbook" w:cstheme="majorHAnsi"/>
          <w:sz w:val="26"/>
          <w:szCs w:val="26"/>
        </w:rPr>
        <w:t xml:space="preserve">and </w:t>
      </w:r>
      <w:r w:rsidRPr="003D6C5F" w:rsidR="00EB634D">
        <w:rPr>
          <w:rFonts w:ascii="Century Schoolbook" w:hAnsi="Century Schoolbook" w:cstheme="majorHAnsi"/>
          <w:sz w:val="26"/>
          <w:szCs w:val="26"/>
        </w:rPr>
        <w:t xml:space="preserve">the </w:t>
      </w:r>
      <w:r w:rsidRPr="003D6C5F" w:rsidR="00472845">
        <w:rPr>
          <w:rFonts w:ascii="Century Schoolbook" w:hAnsi="Century Schoolbook" w:cstheme="majorHAnsi"/>
          <w:sz w:val="26"/>
          <w:szCs w:val="26"/>
        </w:rPr>
        <w:t>extent to which the prosecution diligently investigated any available leads</w:t>
      </w:r>
      <w:r w:rsidRPr="003D6C5F" w:rsidR="006D27F8">
        <w:rPr>
          <w:rFonts w:ascii="Century Schoolbook" w:hAnsi="Century Schoolbook" w:cstheme="majorHAnsi"/>
          <w:sz w:val="26"/>
          <w:szCs w:val="26"/>
        </w:rPr>
        <w:t>.  (</w:t>
      </w:r>
      <w:r w:rsidRPr="003D6C5F" w:rsidR="006D27F8">
        <w:rPr>
          <w:rFonts w:ascii="Century Schoolbook" w:hAnsi="Century Schoolbook" w:cstheme="majorHAnsi"/>
          <w:i/>
          <w:iCs/>
          <w:sz w:val="26"/>
          <w:szCs w:val="26"/>
        </w:rPr>
        <w:t>Thomas,</w:t>
      </w:r>
      <w:r w:rsidRPr="003D6C5F" w:rsidR="006D27F8">
        <w:rPr>
          <w:rFonts w:ascii="Century Schoolbook" w:hAnsi="Century Schoolbook" w:cstheme="majorHAnsi"/>
          <w:sz w:val="26"/>
          <w:szCs w:val="26"/>
        </w:rPr>
        <w:t xml:space="preserve"> </w:t>
      </w:r>
      <w:r w:rsidRPr="003D6C5F" w:rsidR="006D27F8">
        <w:rPr>
          <w:rFonts w:ascii="Century Schoolbook" w:hAnsi="Century Schoolbook" w:cstheme="majorHAnsi"/>
          <w:i/>
          <w:iCs/>
          <w:sz w:val="26"/>
          <w:szCs w:val="26"/>
        </w:rPr>
        <w:t>supra</w:t>
      </w:r>
      <w:r w:rsidRPr="003D6C5F" w:rsidR="006D27F8">
        <w:rPr>
          <w:rFonts w:ascii="Century Schoolbook" w:hAnsi="Century Schoolbook" w:cstheme="majorHAnsi"/>
          <w:sz w:val="26"/>
          <w:szCs w:val="26"/>
        </w:rPr>
        <w:t>, 51 Cal.4th at p.</w:t>
      </w:r>
      <w:r w:rsidR="00A95911">
        <w:rPr>
          <w:rFonts w:ascii="Century Schoolbook" w:hAnsi="Century Schoolbook" w:cstheme="majorHAnsi"/>
          <w:sz w:val="26"/>
          <w:szCs w:val="26"/>
        </w:rPr>
        <w:t> </w:t>
      </w:r>
      <w:r w:rsidRPr="003D6C5F" w:rsidR="006D27F8">
        <w:rPr>
          <w:rFonts w:ascii="Century Schoolbook" w:hAnsi="Century Schoolbook" w:cstheme="majorHAnsi"/>
          <w:sz w:val="26"/>
          <w:szCs w:val="26"/>
        </w:rPr>
        <w:t xml:space="preserve">500.)  </w:t>
      </w:r>
      <w:bookmarkStart w:id="21" w:name="_Hlk152082287"/>
      <w:r w:rsidRPr="003D6C5F" w:rsidR="00C72452">
        <w:rPr>
          <w:rFonts w:ascii="Century Schoolbook" w:hAnsi="Century Schoolbook" w:cstheme="majorHAnsi"/>
          <w:sz w:val="26"/>
          <w:szCs w:val="26"/>
        </w:rPr>
        <w:t>Defendants</w:t>
      </w:r>
      <w:r w:rsidRPr="003D6C5F" w:rsidR="00006CDE">
        <w:rPr>
          <w:rFonts w:ascii="Century Schoolbook" w:hAnsi="Century Schoolbook" w:cstheme="majorHAnsi"/>
          <w:sz w:val="26"/>
          <w:szCs w:val="26"/>
        </w:rPr>
        <w:t xml:space="preserve"> d</w:t>
      </w:r>
      <w:r w:rsidRPr="003D6C5F" w:rsidR="006D27F8">
        <w:rPr>
          <w:rFonts w:ascii="Century Schoolbook" w:hAnsi="Century Schoolbook" w:cstheme="majorHAnsi"/>
          <w:sz w:val="26"/>
          <w:szCs w:val="26"/>
        </w:rPr>
        <w:t>id</w:t>
      </w:r>
      <w:r w:rsidRPr="003D6C5F" w:rsidR="00006CDE">
        <w:rPr>
          <w:rFonts w:ascii="Century Schoolbook" w:hAnsi="Century Schoolbook" w:cstheme="majorHAnsi"/>
          <w:sz w:val="26"/>
          <w:szCs w:val="26"/>
        </w:rPr>
        <w:t xml:space="preserve"> not identify any promising leads that </w:t>
      </w:r>
      <w:r w:rsidRPr="003D6C5F" w:rsidR="00AE7F90">
        <w:rPr>
          <w:rFonts w:ascii="Century Schoolbook" w:hAnsi="Century Schoolbook" w:cstheme="majorHAnsi"/>
          <w:sz w:val="26"/>
          <w:szCs w:val="26"/>
        </w:rPr>
        <w:t xml:space="preserve">Villalobos failed to </w:t>
      </w:r>
      <w:r w:rsidRPr="003D6C5F" w:rsidR="00006CDE">
        <w:rPr>
          <w:rFonts w:ascii="Century Schoolbook" w:hAnsi="Century Schoolbook" w:cstheme="majorHAnsi"/>
          <w:sz w:val="26"/>
          <w:szCs w:val="26"/>
        </w:rPr>
        <w:t>investigate</w:t>
      </w:r>
      <w:r w:rsidRPr="003D6C5F" w:rsidR="00AE7F90">
        <w:rPr>
          <w:rFonts w:ascii="Century Schoolbook" w:hAnsi="Century Schoolbook" w:cstheme="majorHAnsi"/>
          <w:sz w:val="26"/>
          <w:szCs w:val="26"/>
        </w:rPr>
        <w:t xml:space="preserve">. </w:t>
      </w:r>
      <w:bookmarkEnd w:id="21"/>
      <w:r w:rsidRPr="003D6C5F" w:rsidR="000D2AF2">
        <w:rPr>
          <w:rFonts w:ascii="Century Schoolbook" w:hAnsi="Century Schoolbook" w:cstheme="majorHAnsi"/>
          <w:sz w:val="26"/>
          <w:szCs w:val="26"/>
        </w:rPr>
        <w:t xml:space="preserve"> </w:t>
      </w:r>
      <w:r w:rsidRPr="003D6C5F" w:rsidR="00715144">
        <w:rPr>
          <w:rFonts w:ascii="Century Schoolbook" w:hAnsi="Century Schoolbook" w:cstheme="majorHAnsi"/>
          <w:sz w:val="26"/>
          <w:szCs w:val="26"/>
        </w:rPr>
        <w:t xml:space="preserve">Rather, they focus on the timeliness of the search </w:t>
      </w:r>
      <w:r w:rsidRPr="003D6C5F" w:rsidR="000305C1">
        <w:rPr>
          <w:rFonts w:ascii="Century Schoolbook" w:hAnsi="Century Schoolbook" w:cstheme="majorHAnsi"/>
          <w:sz w:val="26"/>
          <w:szCs w:val="26"/>
        </w:rPr>
        <w:t>and</w:t>
      </w:r>
      <w:r w:rsidRPr="003D6C5F" w:rsidR="00715144">
        <w:rPr>
          <w:rFonts w:ascii="Century Schoolbook" w:hAnsi="Century Schoolbook" w:cstheme="majorHAnsi"/>
          <w:sz w:val="26"/>
          <w:szCs w:val="26"/>
        </w:rPr>
        <w:t xml:space="preserve"> the importance of Breanna’s testimony.</w:t>
      </w:r>
      <w:r w:rsidRPr="003D6C5F" w:rsidR="00963924">
        <w:rPr>
          <w:rFonts w:ascii="Century Schoolbook" w:hAnsi="Century Schoolbook" w:cstheme="majorHAnsi"/>
          <w:sz w:val="26"/>
          <w:szCs w:val="26"/>
        </w:rPr>
        <w:t xml:space="preserve">  </w:t>
      </w:r>
    </w:p>
    <w:p w:rsidR="00963924" w:rsidRPr="003D6C5F" w:rsidP="00C67354" w14:paraId="69D0A112" w14:textId="22B65396">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Ayala contends this case is like </w:t>
      </w:r>
      <w:r w:rsidRPr="003D6C5F">
        <w:rPr>
          <w:rFonts w:ascii="Century Schoolbook" w:hAnsi="Century Schoolbook" w:cstheme="majorHAnsi"/>
          <w:i/>
          <w:iCs/>
          <w:sz w:val="26"/>
          <w:szCs w:val="26"/>
        </w:rPr>
        <w:t>Cromer,</w:t>
      </w:r>
      <w:r w:rsidRPr="003D6C5F">
        <w:rPr>
          <w:rFonts w:ascii="Century Schoolbook" w:hAnsi="Century Schoolbook" w:cstheme="majorHAnsi"/>
          <w:sz w:val="26"/>
          <w:szCs w:val="26"/>
        </w:rPr>
        <w:t xml:space="preserve"> </w:t>
      </w:r>
      <w:r w:rsidRPr="003D6C5F">
        <w:rPr>
          <w:rFonts w:ascii="Century Schoolbook" w:hAnsi="Century Schoolbook" w:cstheme="majorHAnsi"/>
          <w:i/>
          <w:iCs/>
          <w:sz w:val="26"/>
          <w:szCs w:val="26"/>
        </w:rPr>
        <w:t>supra</w:t>
      </w:r>
      <w:r w:rsidRPr="003D6C5F">
        <w:rPr>
          <w:rFonts w:ascii="Century Schoolbook" w:hAnsi="Century Schoolbook" w:cstheme="majorHAnsi"/>
          <w:sz w:val="26"/>
          <w:szCs w:val="26"/>
        </w:rPr>
        <w:t>, 24 Cal.4th 889, where the prosecution knew the witness had moved in June 1997 but took no action to locate her until December 1997 for a January 12, 1998</w:t>
      </w:r>
      <w:r w:rsidRPr="003D6C5F" w:rsidR="006D5721">
        <w:rPr>
          <w:rFonts w:ascii="Century Schoolbook" w:hAnsi="Century Schoolbook" w:cstheme="majorHAnsi"/>
          <w:sz w:val="26"/>
          <w:szCs w:val="26"/>
        </w:rPr>
        <w:t>,</w:t>
      </w:r>
      <w:r w:rsidRPr="003D6C5F">
        <w:rPr>
          <w:rFonts w:ascii="Century Schoolbook" w:hAnsi="Century Schoolbook" w:cstheme="majorHAnsi"/>
          <w:sz w:val="26"/>
          <w:szCs w:val="26"/>
        </w:rPr>
        <w:t xml:space="preserve"> trial date.  (</w:t>
      </w:r>
      <w:r w:rsidRPr="003D6C5F">
        <w:rPr>
          <w:rFonts w:ascii="Century Schoolbook" w:hAnsi="Century Schoolbook" w:cstheme="majorHAnsi"/>
          <w:i/>
          <w:iCs/>
          <w:sz w:val="26"/>
          <w:szCs w:val="26"/>
        </w:rPr>
        <w:t>Id.</w:t>
      </w:r>
      <w:r w:rsidRPr="003D6C5F">
        <w:rPr>
          <w:rFonts w:ascii="Century Schoolbook" w:hAnsi="Century Schoolbook" w:cstheme="majorHAnsi"/>
          <w:sz w:val="26"/>
          <w:szCs w:val="26"/>
        </w:rPr>
        <w:t xml:space="preserve"> at p. 903.)  Then, investigators merely visited the witness’s former residence only to be informed that the witness no longer lived there.  (</w:t>
      </w:r>
      <w:r w:rsidRPr="003D6C5F">
        <w:rPr>
          <w:rFonts w:ascii="Century Schoolbook" w:hAnsi="Century Schoolbook" w:cstheme="majorHAnsi"/>
          <w:i/>
          <w:iCs/>
          <w:sz w:val="26"/>
          <w:szCs w:val="26"/>
        </w:rPr>
        <w:t>Ibid.</w:t>
      </w:r>
      <w:r w:rsidRPr="003D6C5F">
        <w:rPr>
          <w:rFonts w:ascii="Century Schoolbook" w:hAnsi="Century Schoolbook" w:cstheme="majorHAnsi"/>
          <w:sz w:val="26"/>
          <w:szCs w:val="26"/>
        </w:rPr>
        <w:t>)  When investigators learned she was living in another location with her mother, they waited two days to follow up on this information.  (</w:t>
      </w:r>
      <w:r w:rsidRPr="003D6C5F">
        <w:rPr>
          <w:rFonts w:ascii="Century Schoolbook" w:hAnsi="Century Schoolbook" w:cstheme="majorHAnsi"/>
          <w:i/>
          <w:iCs/>
          <w:sz w:val="26"/>
          <w:szCs w:val="26"/>
        </w:rPr>
        <w:t>Id.</w:t>
      </w:r>
      <w:r w:rsidRPr="003D6C5F">
        <w:rPr>
          <w:rFonts w:ascii="Century Schoolbook" w:hAnsi="Century Schoolbook" w:cstheme="majorHAnsi"/>
          <w:sz w:val="26"/>
          <w:szCs w:val="26"/>
        </w:rPr>
        <w:t xml:space="preserve"> at pp. 903–904</w:t>
      </w:r>
      <w:r w:rsidRPr="003D6C5F">
        <w:rPr>
          <w:rFonts w:ascii="Century Schoolbook" w:hAnsi="Century Schoolbook" w:cstheme="majorHAnsi"/>
          <w:i/>
          <w:iCs/>
          <w:sz w:val="26"/>
          <w:szCs w:val="26"/>
        </w:rPr>
        <w:t>.</w:t>
      </w:r>
      <w:r w:rsidRPr="003D6C5F">
        <w:rPr>
          <w:rFonts w:ascii="Century Schoolbook" w:hAnsi="Century Schoolbook" w:cstheme="majorHAnsi"/>
          <w:sz w:val="26"/>
          <w:szCs w:val="26"/>
        </w:rPr>
        <w:t>)  Although an investigator eventually left a subpoena at the home where the witness’s mother resided, the investigator failed to return to the home or attempt to find contact information so they could speak with the mother.  (</w:t>
      </w:r>
      <w:r w:rsidRPr="003D6C5F">
        <w:rPr>
          <w:rFonts w:ascii="Century Schoolbook" w:hAnsi="Century Schoolbook" w:cstheme="majorHAnsi"/>
          <w:i/>
          <w:iCs/>
          <w:sz w:val="26"/>
          <w:szCs w:val="26"/>
        </w:rPr>
        <w:t>Id.</w:t>
      </w:r>
      <w:r w:rsidR="00152988">
        <w:rPr>
          <w:rFonts w:ascii="Century Schoolbook" w:hAnsi="Century Schoolbook" w:cstheme="majorHAnsi"/>
          <w:sz w:val="26"/>
          <w:szCs w:val="26"/>
        </w:rPr>
        <w:t> </w:t>
      </w:r>
      <w:r w:rsidR="00D40088">
        <w:rPr>
          <w:rFonts w:ascii="Century Schoolbook" w:hAnsi="Century Schoolbook" w:cstheme="majorHAnsi"/>
          <w:sz w:val="26"/>
          <w:szCs w:val="26"/>
        </w:rPr>
        <w:t>s</w:t>
      </w:r>
      <w:r w:rsidRPr="003D6C5F">
        <w:rPr>
          <w:rFonts w:ascii="Century Schoolbook" w:hAnsi="Century Schoolbook" w:cstheme="majorHAnsi"/>
          <w:sz w:val="26"/>
          <w:szCs w:val="26"/>
        </w:rPr>
        <w:t>at p. 904.)</w:t>
      </w:r>
    </w:p>
    <w:p w:rsidR="00BA42DD" w:rsidRPr="003D6C5F" w:rsidP="000B1ECC" w14:paraId="6DF1E074" w14:textId="32CD0EFB">
      <w:pPr>
        <w:spacing w:line="360" w:lineRule="auto"/>
        <w:ind w:firstLine="720"/>
        <w:rPr>
          <w:rFonts w:ascii="Century Schoolbook" w:eastAsia="Calibri" w:hAnsi="Century Schoolbook" w:cs="Cambria"/>
          <w:sz w:val="26"/>
          <w:szCs w:val="26"/>
        </w:rPr>
      </w:pPr>
      <w:r w:rsidRPr="003D6C5F">
        <w:rPr>
          <w:rFonts w:ascii="Century Schoolbook" w:hAnsi="Century Schoolbook" w:cstheme="majorHAnsi"/>
          <w:sz w:val="26"/>
          <w:szCs w:val="26"/>
        </w:rPr>
        <w:t>Our case is similar</w:t>
      </w:r>
      <w:r w:rsidRPr="003D6C5F" w:rsidR="003A5E94">
        <w:rPr>
          <w:rFonts w:ascii="Century Schoolbook" w:hAnsi="Century Schoolbook" w:cstheme="majorHAnsi"/>
          <w:sz w:val="26"/>
          <w:szCs w:val="26"/>
        </w:rPr>
        <w:t xml:space="preserve"> in certain key respects</w:t>
      </w:r>
      <w:r w:rsidRPr="003D6C5F">
        <w:rPr>
          <w:rFonts w:ascii="Century Schoolbook" w:hAnsi="Century Schoolbook" w:cstheme="majorHAnsi"/>
          <w:sz w:val="26"/>
          <w:szCs w:val="26"/>
        </w:rPr>
        <w:t xml:space="preserve">.  </w:t>
      </w:r>
      <w:r w:rsidRPr="003D6C5F">
        <w:rPr>
          <w:rFonts w:ascii="Century Schoolbook" w:eastAsia="Calibri" w:hAnsi="Century Schoolbook"/>
          <w:sz w:val="26"/>
          <w:szCs w:val="26"/>
        </w:rPr>
        <w:t xml:space="preserve">Breanna appeared and testified at the preliminary hearing in late 2017.  The district attorney’s office then lost contact with her sometime “pre-COVID.”  After several continuances, trial was </w:t>
      </w:r>
      <w:r w:rsidRPr="003D6C5F">
        <w:rPr>
          <w:rFonts w:ascii="Century Schoolbook" w:eastAsia="Calibri" w:hAnsi="Century Schoolbook" w:cs="Cambria"/>
          <w:sz w:val="26"/>
          <w:szCs w:val="26"/>
        </w:rPr>
        <w:t xml:space="preserve">set for April 8, 2020.  There is nothing in the record showing the prosecution did anything to locate Breanna before this trial date.  Based on the COVID-19 pandemic and the suspension of jury trials in March 2020 it is likely the prosecution simply believed the matter would not go to trial in April 2020 and it need not locate her.  </w:t>
      </w:r>
      <w:r w:rsidRPr="003D6C5F" w:rsidR="003A5E94">
        <w:rPr>
          <w:rFonts w:ascii="Century Schoolbook" w:eastAsia="Calibri" w:hAnsi="Century Schoolbook" w:cs="Cambria"/>
          <w:sz w:val="26"/>
          <w:szCs w:val="26"/>
        </w:rPr>
        <w:t>But it was also aware that</w:t>
      </w:r>
      <w:r w:rsidRPr="003D6C5F">
        <w:rPr>
          <w:rFonts w:ascii="Century Schoolbook" w:eastAsia="Calibri" w:hAnsi="Century Schoolbook" w:cs="Cambria"/>
          <w:sz w:val="26"/>
          <w:szCs w:val="26"/>
        </w:rPr>
        <w:t xml:space="preserve"> the matter would eventually be rescheduled for trial, and that Breanna, an important witness, was missing.  Nonetheless, the prosecution did nothing to locate her.</w:t>
      </w:r>
    </w:p>
    <w:p w:rsidR="00047E14" w:rsidRPr="003D6C5F" w:rsidP="000B1ECC" w14:paraId="0930CDD8" w14:textId="6F6D7C88">
      <w:pPr>
        <w:spacing w:line="360" w:lineRule="auto"/>
        <w:ind w:firstLine="720"/>
        <w:rPr>
          <w:rFonts w:ascii="Century Schoolbook" w:eastAsia="Calibri" w:hAnsi="Century Schoolbook"/>
          <w:sz w:val="26"/>
          <w:szCs w:val="26"/>
        </w:rPr>
      </w:pPr>
      <w:r w:rsidRPr="003D6C5F">
        <w:rPr>
          <w:rFonts w:ascii="Century Schoolbook" w:eastAsia="Calibri" w:hAnsi="Century Schoolbook" w:cs="Cambria"/>
          <w:sz w:val="26"/>
          <w:szCs w:val="26"/>
        </w:rPr>
        <w:t>There were</w:t>
      </w:r>
      <w:r w:rsidRPr="003D6C5F" w:rsidR="00BA42DD">
        <w:rPr>
          <w:rFonts w:ascii="Century Schoolbook" w:eastAsia="Calibri" w:hAnsi="Century Schoolbook" w:cs="Cambria"/>
          <w:sz w:val="26"/>
          <w:szCs w:val="26"/>
        </w:rPr>
        <w:t xml:space="preserve"> numerous additional continuances</w:t>
      </w:r>
      <w:r w:rsidRPr="003D6C5F">
        <w:rPr>
          <w:rFonts w:ascii="Century Schoolbook" w:eastAsia="Calibri" w:hAnsi="Century Schoolbook" w:cs="Cambria"/>
          <w:sz w:val="26"/>
          <w:szCs w:val="26"/>
        </w:rPr>
        <w:t>.</w:t>
      </w:r>
      <w:r w:rsidRPr="003D6C5F" w:rsidR="00BA42DD">
        <w:rPr>
          <w:rFonts w:ascii="Century Schoolbook" w:eastAsia="Calibri" w:hAnsi="Century Schoolbook" w:cs="Cambria"/>
          <w:sz w:val="26"/>
          <w:szCs w:val="26"/>
        </w:rPr>
        <w:t xml:space="preserve"> </w:t>
      </w:r>
      <w:r w:rsidRPr="003D6C5F">
        <w:rPr>
          <w:rFonts w:ascii="Century Schoolbook" w:eastAsia="Calibri" w:hAnsi="Century Schoolbook" w:cs="Cambria"/>
          <w:sz w:val="26"/>
          <w:szCs w:val="26"/>
        </w:rPr>
        <w:t xml:space="preserve"> O</w:t>
      </w:r>
      <w:r w:rsidRPr="003D6C5F" w:rsidR="00C87CAF">
        <w:rPr>
          <w:rFonts w:ascii="Century Schoolbook" w:eastAsia="Calibri" w:hAnsi="Century Schoolbook" w:cs="Cambria"/>
          <w:sz w:val="26"/>
          <w:szCs w:val="26"/>
        </w:rPr>
        <w:t>n June 15, 2021</w:t>
      </w:r>
      <w:r w:rsidRPr="003D6C5F">
        <w:rPr>
          <w:rFonts w:ascii="Century Schoolbook" w:eastAsia="Calibri" w:hAnsi="Century Schoolbook" w:cs="Cambria"/>
          <w:sz w:val="26"/>
          <w:szCs w:val="26"/>
        </w:rPr>
        <w:t>,</w:t>
      </w:r>
      <w:r w:rsidRPr="003D6C5F" w:rsidR="00C87CAF">
        <w:rPr>
          <w:rFonts w:ascii="Century Schoolbook" w:eastAsia="Calibri" w:hAnsi="Century Schoolbook" w:cs="Cambria"/>
          <w:sz w:val="26"/>
          <w:szCs w:val="26"/>
        </w:rPr>
        <w:t xml:space="preserve"> trial was trailed until July 13</w:t>
      </w:r>
      <w:r w:rsidRPr="003D6C5F">
        <w:rPr>
          <w:rFonts w:ascii="Century Schoolbook" w:eastAsia="Calibri" w:hAnsi="Century Schoolbook" w:cs="Cambria"/>
          <w:sz w:val="26"/>
          <w:szCs w:val="26"/>
        </w:rPr>
        <w:t>,</w:t>
      </w:r>
      <w:r w:rsidRPr="003D6C5F" w:rsidR="00C87CAF">
        <w:rPr>
          <w:rFonts w:ascii="Century Schoolbook" w:eastAsia="Calibri" w:hAnsi="Century Schoolbook" w:cs="Cambria"/>
          <w:sz w:val="26"/>
          <w:szCs w:val="26"/>
        </w:rPr>
        <w:t xml:space="preserve"> </w:t>
      </w:r>
      <w:r w:rsidRPr="003D6C5F">
        <w:rPr>
          <w:rFonts w:ascii="Century Schoolbook" w:eastAsia="Calibri" w:hAnsi="Century Schoolbook" w:cs="Cambria"/>
          <w:sz w:val="26"/>
          <w:szCs w:val="26"/>
        </w:rPr>
        <w:t>and on the latter date,</w:t>
      </w:r>
      <w:r w:rsidRPr="003D6C5F" w:rsidR="00C87CAF">
        <w:rPr>
          <w:rFonts w:ascii="Century Schoolbook" w:eastAsia="Calibri" w:hAnsi="Century Schoolbook" w:cs="Cambria"/>
          <w:sz w:val="26"/>
          <w:szCs w:val="26"/>
        </w:rPr>
        <w:t xml:space="preserve"> </w:t>
      </w:r>
      <w:r w:rsidRPr="003D6C5F" w:rsidR="00BA42DD">
        <w:rPr>
          <w:rFonts w:ascii="Century Schoolbook" w:eastAsia="Calibri" w:hAnsi="Century Schoolbook" w:cs="Cambria"/>
          <w:sz w:val="26"/>
          <w:szCs w:val="26"/>
        </w:rPr>
        <w:t xml:space="preserve">the parties </w:t>
      </w:r>
      <w:r w:rsidRPr="003D6C5F">
        <w:rPr>
          <w:rFonts w:ascii="Century Schoolbook" w:eastAsia="Calibri" w:hAnsi="Century Schoolbook" w:cs="Cambria"/>
          <w:sz w:val="26"/>
          <w:szCs w:val="26"/>
        </w:rPr>
        <w:t xml:space="preserve">finally </w:t>
      </w:r>
      <w:r w:rsidRPr="003D6C5F" w:rsidR="00BA42DD">
        <w:rPr>
          <w:rFonts w:ascii="Century Schoolbook" w:eastAsia="Calibri" w:hAnsi="Century Schoolbook" w:cs="Cambria"/>
          <w:sz w:val="26"/>
          <w:szCs w:val="26"/>
        </w:rPr>
        <w:t xml:space="preserve">announced they were ready for trial.  </w:t>
      </w:r>
      <w:r w:rsidRPr="003D6C5F" w:rsidR="00C87CAF">
        <w:rPr>
          <w:rFonts w:ascii="Century Schoolbook" w:eastAsia="Calibri" w:hAnsi="Century Schoolbook" w:cs="Cambria"/>
          <w:sz w:val="26"/>
          <w:szCs w:val="26"/>
        </w:rPr>
        <w:t>Yet it was not until</w:t>
      </w:r>
      <w:r w:rsidRPr="003D6C5F" w:rsidR="00BA42DD">
        <w:rPr>
          <w:rFonts w:ascii="Century Schoolbook" w:eastAsia="Calibri" w:hAnsi="Century Schoolbook" w:cs="Cambria"/>
          <w:sz w:val="26"/>
          <w:szCs w:val="26"/>
        </w:rPr>
        <w:t xml:space="preserve"> July 6, seven days </w:t>
      </w:r>
      <w:r w:rsidRPr="003D6C5F" w:rsidR="00C87CAF">
        <w:rPr>
          <w:rFonts w:ascii="Century Schoolbook" w:eastAsia="Calibri" w:hAnsi="Century Schoolbook" w:cs="Cambria"/>
          <w:sz w:val="26"/>
          <w:szCs w:val="26"/>
        </w:rPr>
        <w:t>earlier</w:t>
      </w:r>
      <w:r w:rsidRPr="003D6C5F" w:rsidR="00BA42DD">
        <w:rPr>
          <w:rFonts w:ascii="Century Schoolbook" w:eastAsia="Calibri" w:hAnsi="Century Schoolbook" w:cs="Cambria"/>
          <w:sz w:val="26"/>
          <w:szCs w:val="26"/>
        </w:rPr>
        <w:t xml:space="preserve">, </w:t>
      </w:r>
      <w:r w:rsidRPr="003D6C5F" w:rsidR="00C87CAF">
        <w:rPr>
          <w:rFonts w:ascii="Century Schoolbook" w:eastAsia="Calibri" w:hAnsi="Century Schoolbook" w:cs="Cambria"/>
          <w:sz w:val="26"/>
          <w:szCs w:val="26"/>
        </w:rPr>
        <w:t xml:space="preserve">that </w:t>
      </w:r>
      <w:r w:rsidRPr="003D6C5F" w:rsidR="00BA42DD">
        <w:rPr>
          <w:rFonts w:ascii="Century Schoolbook" w:eastAsia="Calibri" w:hAnsi="Century Schoolbook"/>
          <w:sz w:val="26"/>
          <w:szCs w:val="26"/>
        </w:rPr>
        <w:t xml:space="preserve">Villalobos </w:t>
      </w:r>
      <w:r w:rsidRPr="003D6C5F" w:rsidR="00C87CAF">
        <w:rPr>
          <w:rFonts w:ascii="Century Schoolbook" w:eastAsia="Calibri" w:hAnsi="Century Schoolbook"/>
          <w:sz w:val="26"/>
          <w:szCs w:val="26"/>
        </w:rPr>
        <w:t xml:space="preserve">first </w:t>
      </w:r>
      <w:r w:rsidRPr="003D6C5F" w:rsidR="00BA42DD">
        <w:rPr>
          <w:rFonts w:ascii="Century Schoolbook" w:eastAsia="Calibri" w:hAnsi="Century Schoolbook"/>
          <w:sz w:val="26"/>
          <w:szCs w:val="26"/>
        </w:rPr>
        <w:t>created a subpoena for Breanna</w:t>
      </w:r>
      <w:r w:rsidRPr="003D6C5F" w:rsidR="00C87CAF">
        <w:rPr>
          <w:rFonts w:ascii="Century Schoolbook" w:eastAsia="Calibri" w:hAnsi="Century Schoolbook"/>
          <w:sz w:val="26"/>
          <w:szCs w:val="26"/>
        </w:rPr>
        <w:t xml:space="preserve"> and the search </w:t>
      </w:r>
      <w:r w:rsidRPr="003D6C5F">
        <w:rPr>
          <w:rFonts w:ascii="Century Schoolbook" w:eastAsia="Calibri" w:hAnsi="Century Schoolbook"/>
          <w:sz w:val="26"/>
          <w:szCs w:val="26"/>
        </w:rPr>
        <w:t xml:space="preserve">for the missing witness </w:t>
      </w:r>
      <w:r w:rsidRPr="003D6C5F" w:rsidR="00C87CAF">
        <w:rPr>
          <w:rFonts w:ascii="Century Schoolbook" w:eastAsia="Calibri" w:hAnsi="Century Schoolbook"/>
          <w:sz w:val="26"/>
          <w:szCs w:val="26"/>
        </w:rPr>
        <w:t>began</w:t>
      </w:r>
      <w:r w:rsidRPr="003D6C5F" w:rsidR="00BA42DD">
        <w:rPr>
          <w:rFonts w:ascii="Century Schoolbook" w:eastAsia="Calibri" w:hAnsi="Century Schoolbook"/>
          <w:sz w:val="26"/>
          <w:szCs w:val="26"/>
        </w:rPr>
        <w:t xml:space="preserve">.  </w:t>
      </w:r>
      <w:r w:rsidRPr="003D6C5F">
        <w:rPr>
          <w:rFonts w:ascii="Century Schoolbook" w:eastAsia="Calibri" w:hAnsi="Century Schoolbook"/>
          <w:sz w:val="26"/>
          <w:szCs w:val="26"/>
        </w:rPr>
        <w:t>Villalobos</w:t>
      </w:r>
      <w:r w:rsidRPr="003D6C5F" w:rsidR="00BA42DD">
        <w:rPr>
          <w:rFonts w:ascii="Century Schoolbook" w:eastAsia="Calibri" w:hAnsi="Century Schoolbook"/>
          <w:sz w:val="26"/>
          <w:szCs w:val="26"/>
        </w:rPr>
        <w:t xml:space="preserve"> quickly learned </w:t>
      </w:r>
      <w:r w:rsidRPr="003D6C5F" w:rsidR="00472845">
        <w:rPr>
          <w:rFonts w:ascii="Century Schoolbook" w:eastAsia="Calibri" w:hAnsi="Century Schoolbook"/>
          <w:sz w:val="26"/>
          <w:szCs w:val="26"/>
        </w:rPr>
        <w:t xml:space="preserve">that </w:t>
      </w:r>
      <w:r w:rsidRPr="003D6C5F" w:rsidR="00BA42DD">
        <w:rPr>
          <w:rFonts w:ascii="Century Schoolbook" w:eastAsia="Calibri" w:hAnsi="Century Schoolbook"/>
          <w:sz w:val="26"/>
          <w:szCs w:val="26"/>
        </w:rPr>
        <w:t xml:space="preserve">Breanna’s child lived with the paternal grandmother, visited that location the following day and discovered Breanna had been there sometime before July 4 to visit her child.  Critically, had the prosecution attempted to locate Breanna </w:t>
      </w:r>
      <w:r w:rsidRPr="003D6C5F">
        <w:rPr>
          <w:rFonts w:ascii="Century Schoolbook" w:eastAsia="Calibri" w:hAnsi="Century Schoolbook"/>
          <w:sz w:val="26"/>
          <w:szCs w:val="26"/>
        </w:rPr>
        <w:t xml:space="preserve">a few weeks or even days </w:t>
      </w:r>
      <w:r w:rsidRPr="003D6C5F" w:rsidR="00BA42DD">
        <w:rPr>
          <w:rFonts w:ascii="Century Schoolbook" w:eastAsia="Calibri" w:hAnsi="Century Schoolbook"/>
          <w:sz w:val="26"/>
          <w:szCs w:val="26"/>
        </w:rPr>
        <w:t xml:space="preserve">earlier </w:t>
      </w:r>
      <w:r w:rsidRPr="003D6C5F" w:rsidR="00472845">
        <w:rPr>
          <w:rFonts w:ascii="Century Schoolbook" w:eastAsia="Calibri" w:hAnsi="Century Schoolbook"/>
          <w:sz w:val="26"/>
          <w:szCs w:val="26"/>
        </w:rPr>
        <w:t>it</w:t>
      </w:r>
      <w:r w:rsidRPr="003D6C5F" w:rsidR="00BA42DD">
        <w:rPr>
          <w:rFonts w:ascii="Century Schoolbook" w:eastAsia="Calibri" w:hAnsi="Century Schoolbook"/>
          <w:sz w:val="26"/>
          <w:szCs w:val="26"/>
        </w:rPr>
        <w:t xml:space="preserve"> would have discovered where her child lived, that Breanna visited her child every month or two</w:t>
      </w:r>
      <w:r w:rsidRPr="003D6C5F">
        <w:rPr>
          <w:rFonts w:ascii="Century Schoolbook" w:eastAsia="Calibri" w:hAnsi="Century Schoolbook"/>
          <w:sz w:val="26"/>
          <w:szCs w:val="26"/>
        </w:rPr>
        <w:t>,</w:t>
      </w:r>
      <w:r w:rsidRPr="003D6C5F" w:rsidR="00BA42DD">
        <w:rPr>
          <w:rFonts w:ascii="Century Schoolbook" w:eastAsia="Calibri" w:hAnsi="Century Schoolbook"/>
          <w:sz w:val="26"/>
          <w:szCs w:val="26"/>
        </w:rPr>
        <w:t xml:space="preserve"> and likely </w:t>
      </w:r>
      <w:r w:rsidRPr="003D6C5F">
        <w:rPr>
          <w:rFonts w:ascii="Century Schoolbook" w:eastAsia="Calibri" w:hAnsi="Century Schoolbook"/>
          <w:sz w:val="26"/>
          <w:szCs w:val="26"/>
        </w:rPr>
        <w:t>c</w:t>
      </w:r>
      <w:r w:rsidRPr="003D6C5F" w:rsidR="00BA42DD">
        <w:rPr>
          <w:rFonts w:ascii="Century Schoolbook" w:eastAsia="Calibri" w:hAnsi="Century Schoolbook"/>
          <w:sz w:val="26"/>
          <w:szCs w:val="26"/>
        </w:rPr>
        <w:t>ould have contacted her well before the eventual trial date.</w:t>
      </w:r>
      <w:r w:rsidRPr="003D6C5F" w:rsidR="00FA2363">
        <w:rPr>
          <w:rFonts w:ascii="Century Schoolbook" w:eastAsia="Calibri" w:hAnsi="Century Schoolbook"/>
          <w:sz w:val="26"/>
          <w:szCs w:val="26"/>
        </w:rPr>
        <w:t xml:space="preserve">  </w:t>
      </w:r>
    </w:p>
    <w:p w:rsidR="00BA42DD" w:rsidRPr="003D6C5F" w:rsidP="000B1ECC" w14:paraId="0791A76E" w14:textId="3918240B">
      <w:pPr>
        <w:spacing w:line="360" w:lineRule="auto"/>
        <w:ind w:firstLine="720"/>
        <w:rPr>
          <w:rFonts w:ascii="Century Schoolbook" w:eastAsia="Calibri" w:hAnsi="Century Schoolbook"/>
          <w:sz w:val="26"/>
          <w:szCs w:val="26"/>
        </w:rPr>
      </w:pPr>
      <w:r w:rsidRPr="003D6C5F">
        <w:rPr>
          <w:rFonts w:ascii="Century Schoolbook" w:eastAsia="Calibri" w:hAnsi="Century Schoolbook"/>
          <w:sz w:val="26"/>
          <w:szCs w:val="26"/>
        </w:rPr>
        <w:t xml:space="preserve">Breanna lived a transient lifestyle, </w:t>
      </w:r>
      <w:r w:rsidRPr="003D6C5F" w:rsidR="00696973">
        <w:rPr>
          <w:rFonts w:ascii="Century Schoolbook" w:eastAsia="Calibri" w:hAnsi="Century Schoolbook"/>
          <w:sz w:val="26"/>
          <w:szCs w:val="26"/>
        </w:rPr>
        <w:t xml:space="preserve">but </w:t>
      </w:r>
      <w:r w:rsidRPr="003D6C5F">
        <w:rPr>
          <w:rFonts w:ascii="Century Schoolbook" w:eastAsia="Calibri" w:hAnsi="Century Schoolbook"/>
          <w:sz w:val="26"/>
          <w:szCs w:val="26"/>
        </w:rPr>
        <w:t>she cooperated with police before the preliminary hearing by telephoning the investigator when she learned law enforcement was looking for her.  The investigator met with Breanna</w:t>
      </w:r>
      <w:r w:rsidRPr="003D6C5F" w:rsidR="00472845">
        <w:rPr>
          <w:rFonts w:ascii="Century Schoolbook" w:eastAsia="Calibri" w:hAnsi="Century Schoolbook"/>
          <w:sz w:val="26"/>
          <w:szCs w:val="26"/>
        </w:rPr>
        <w:t>,</w:t>
      </w:r>
      <w:r w:rsidRPr="003D6C5F">
        <w:rPr>
          <w:rFonts w:ascii="Century Schoolbook" w:eastAsia="Calibri" w:hAnsi="Century Schoolbook"/>
          <w:sz w:val="26"/>
          <w:szCs w:val="26"/>
        </w:rPr>
        <w:t xml:space="preserve"> who identified photographs of Ayala and Ramirez as being involved in the murder.  She also participated in a walk-thr</w:t>
      </w:r>
      <w:r w:rsidRPr="003D6C5F" w:rsidR="00472845">
        <w:rPr>
          <w:rFonts w:ascii="Century Schoolbook" w:eastAsia="Calibri" w:hAnsi="Century Schoolbook"/>
          <w:sz w:val="26"/>
          <w:szCs w:val="26"/>
        </w:rPr>
        <w:t>o</w:t>
      </w:r>
      <w:r w:rsidRPr="003D6C5F">
        <w:rPr>
          <w:rFonts w:ascii="Century Schoolbook" w:eastAsia="Calibri" w:hAnsi="Century Schoolbook"/>
          <w:sz w:val="26"/>
          <w:szCs w:val="26"/>
        </w:rPr>
        <w:t>u</w:t>
      </w:r>
      <w:r w:rsidRPr="003D6C5F" w:rsidR="00472845">
        <w:rPr>
          <w:rFonts w:ascii="Century Schoolbook" w:eastAsia="Calibri" w:hAnsi="Century Schoolbook"/>
          <w:sz w:val="26"/>
          <w:szCs w:val="26"/>
        </w:rPr>
        <w:t>gh</w:t>
      </w:r>
      <w:r w:rsidRPr="003D6C5F">
        <w:rPr>
          <w:rFonts w:ascii="Century Schoolbook" w:eastAsia="Calibri" w:hAnsi="Century Schoolbook"/>
          <w:sz w:val="26"/>
          <w:szCs w:val="26"/>
        </w:rPr>
        <w:t xml:space="preserve"> of the crime scene and pointed out the firepit where Samuel’s body had been burned.  The investigator then interviewed Breanna a second time.  The following year, Breanna appeared at the preliminary hearing</w:t>
      </w:r>
      <w:r w:rsidRPr="003D6C5F" w:rsidR="00047E14">
        <w:rPr>
          <w:rFonts w:ascii="Century Schoolbook" w:eastAsia="Calibri" w:hAnsi="Century Schoolbook"/>
          <w:sz w:val="26"/>
          <w:szCs w:val="26"/>
        </w:rPr>
        <w:t>.</w:t>
      </w:r>
      <w:r w:rsidRPr="003D6C5F">
        <w:rPr>
          <w:rFonts w:ascii="Century Schoolbook" w:eastAsia="Calibri" w:hAnsi="Century Schoolbook"/>
          <w:sz w:val="26"/>
          <w:szCs w:val="26"/>
        </w:rPr>
        <w:t xml:space="preserve"> </w:t>
      </w:r>
      <w:r w:rsidRPr="003D6C5F" w:rsidR="000D2AF2">
        <w:rPr>
          <w:rFonts w:ascii="Century Schoolbook" w:eastAsia="Calibri" w:hAnsi="Century Schoolbook"/>
          <w:sz w:val="26"/>
          <w:szCs w:val="26"/>
        </w:rPr>
        <w:t xml:space="preserve"> </w:t>
      </w:r>
      <w:r w:rsidRPr="003D6C5F" w:rsidR="00DF5F42">
        <w:rPr>
          <w:rFonts w:ascii="Century Schoolbook" w:eastAsia="Calibri" w:hAnsi="Century Schoolbook"/>
          <w:sz w:val="26"/>
          <w:szCs w:val="26"/>
        </w:rPr>
        <w:t>There is n</w:t>
      </w:r>
      <w:r w:rsidRPr="003D6C5F">
        <w:rPr>
          <w:rFonts w:ascii="Century Schoolbook" w:eastAsia="Calibri" w:hAnsi="Century Schoolbook"/>
          <w:sz w:val="26"/>
          <w:szCs w:val="26"/>
        </w:rPr>
        <w:t xml:space="preserve">othing </w:t>
      </w:r>
      <w:r w:rsidRPr="003D6C5F" w:rsidR="00C40CD0">
        <w:rPr>
          <w:rFonts w:ascii="Century Schoolbook" w:eastAsia="Calibri" w:hAnsi="Century Schoolbook"/>
          <w:sz w:val="26"/>
          <w:szCs w:val="26"/>
        </w:rPr>
        <w:t xml:space="preserve">in </w:t>
      </w:r>
      <w:r w:rsidRPr="003D6C5F">
        <w:rPr>
          <w:rFonts w:ascii="Century Schoolbook" w:eastAsia="Calibri" w:hAnsi="Century Schoolbook"/>
          <w:sz w:val="26"/>
          <w:szCs w:val="26"/>
        </w:rPr>
        <w:t xml:space="preserve">the record </w:t>
      </w:r>
      <w:r w:rsidRPr="003D6C5F" w:rsidR="00DF5F42">
        <w:rPr>
          <w:rFonts w:ascii="Century Schoolbook" w:eastAsia="Calibri" w:hAnsi="Century Schoolbook"/>
          <w:sz w:val="26"/>
          <w:szCs w:val="26"/>
        </w:rPr>
        <w:t xml:space="preserve">to </w:t>
      </w:r>
      <w:r w:rsidRPr="003D6C5F">
        <w:rPr>
          <w:rFonts w:ascii="Century Schoolbook" w:eastAsia="Calibri" w:hAnsi="Century Schoolbook"/>
          <w:sz w:val="26"/>
          <w:szCs w:val="26"/>
        </w:rPr>
        <w:t>suggest</w:t>
      </w:r>
      <w:r w:rsidRPr="003D6C5F" w:rsidR="00DF5F42">
        <w:rPr>
          <w:rFonts w:ascii="Century Schoolbook" w:eastAsia="Calibri" w:hAnsi="Century Schoolbook"/>
          <w:sz w:val="26"/>
          <w:szCs w:val="26"/>
        </w:rPr>
        <w:t xml:space="preserve"> that</w:t>
      </w:r>
      <w:r w:rsidRPr="003D6C5F">
        <w:rPr>
          <w:rFonts w:ascii="Century Schoolbook" w:eastAsia="Calibri" w:hAnsi="Century Schoolbook"/>
          <w:sz w:val="26"/>
          <w:szCs w:val="26"/>
        </w:rPr>
        <w:t xml:space="preserve"> </w:t>
      </w:r>
      <w:r w:rsidRPr="003D6C5F" w:rsidR="00047E14">
        <w:rPr>
          <w:rFonts w:ascii="Century Schoolbook" w:eastAsia="Calibri" w:hAnsi="Century Schoolbook"/>
          <w:sz w:val="26"/>
          <w:szCs w:val="26"/>
        </w:rPr>
        <w:t xml:space="preserve">Breanna disappeared to avoid testifying, </w:t>
      </w:r>
      <w:r w:rsidRPr="003D6C5F" w:rsidR="00964F2B">
        <w:rPr>
          <w:rFonts w:ascii="Century Schoolbook" w:eastAsia="Calibri" w:hAnsi="Century Schoolbook"/>
          <w:sz w:val="26"/>
          <w:szCs w:val="26"/>
        </w:rPr>
        <w:t>would have been uncooperative if located or even</w:t>
      </w:r>
      <w:r w:rsidRPr="003D6C5F" w:rsidR="00047E14">
        <w:rPr>
          <w:rFonts w:ascii="Century Schoolbook" w:eastAsia="Calibri" w:hAnsi="Century Schoolbook"/>
          <w:sz w:val="26"/>
          <w:szCs w:val="26"/>
        </w:rPr>
        <w:t xml:space="preserve"> knew the prosecution was looking for </w:t>
      </w:r>
      <w:r w:rsidRPr="003D6C5F" w:rsidR="002A4E32">
        <w:rPr>
          <w:rFonts w:ascii="Century Schoolbook" w:eastAsia="Calibri" w:hAnsi="Century Schoolbook"/>
          <w:sz w:val="26"/>
          <w:szCs w:val="26"/>
        </w:rPr>
        <w:t>her</w:t>
      </w:r>
      <w:r w:rsidRPr="003D6C5F" w:rsidR="00047E14">
        <w:rPr>
          <w:rFonts w:ascii="Century Schoolbook" w:eastAsia="Calibri" w:hAnsi="Century Schoolbook"/>
          <w:sz w:val="26"/>
          <w:szCs w:val="26"/>
        </w:rPr>
        <w:t>.</w:t>
      </w:r>
    </w:p>
    <w:p w:rsidR="00047E14" w:rsidRPr="003D6C5F" w:rsidP="000B1ECC" w14:paraId="258B6D27" w14:textId="6FFE6564">
      <w:pPr>
        <w:spacing w:line="360" w:lineRule="auto"/>
        <w:ind w:firstLine="720"/>
        <w:rPr>
          <w:rFonts w:ascii="Century Schoolbook" w:eastAsia="Calibri" w:hAnsi="Century Schoolbook"/>
          <w:sz w:val="26"/>
          <w:szCs w:val="26"/>
        </w:rPr>
      </w:pPr>
      <w:r w:rsidRPr="003D6C5F">
        <w:rPr>
          <w:rFonts w:ascii="Century Schoolbook" w:eastAsia="Calibri" w:hAnsi="Century Schoolbook"/>
          <w:sz w:val="26"/>
          <w:szCs w:val="26"/>
        </w:rPr>
        <w:t xml:space="preserve">Although the prosecution exercised diligence </w:t>
      </w:r>
      <w:r w:rsidRPr="003D6C5F" w:rsidR="002A4E32">
        <w:rPr>
          <w:rFonts w:ascii="Century Schoolbook" w:eastAsia="Calibri" w:hAnsi="Century Schoolbook"/>
          <w:sz w:val="26"/>
          <w:szCs w:val="26"/>
        </w:rPr>
        <w:t>d</w:t>
      </w:r>
      <w:r w:rsidRPr="003D6C5F">
        <w:rPr>
          <w:rFonts w:ascii="Century Schoolbook" w:eastAsia="Calibri" w:hAnsi="Century Schoolbook"/>
          <w:sz w:val="26"/>
          <w:szCs w:val="26"/>
        </w:rPr>
        <w:t>u</w:t>
      </w:r>
      <w:r w:rsidRPr="003D6C5F" w:rsidR="002A4E32">
        <w:rPr>
          <w:rFonts w:ascii="Century Schoolbook" w:eastAsia="Calibri" w:hAnsi="Century Schoolbook"/>
          <w:sz w:val="26"/>
          <w:szCs w:val="26"/>
        </w:rPr>
        <w:t>r</w:t>
      </w:r>
      <w:r w:rsidRPr="003D6C5F">
        <w:rPr>
          <w:rFonts w:ascii="Century Schoolbook" w:eastAsia="Calibri" w:hAnsi="Century Schoolbook"/>
          <w:sz w:val="26"/>
          <w:szCs w:val="26"/>
        </w:rPr>
        <w:t xml:space="preserve">ing </w:t>
      </w:r>
      <w:r w:rsidRPr="003D6C5F" w:rsidR="00DF5F42">
        <w:rPr>
          <w:rFonts w:ascii="Century Schoolbook" w:eastAsia="Calibri" w:hAnsi="Century Schoolbook"/>
          <w:sz w:val="26"/>
          <w:szCs w:val="26"/>
        </w:rPr>
        <w:t xml:space="preserve">the </w:t>
      </w:r>
      <w:r w:rsidRPr="003D6C5F" w:rsidR="00472845">
        <w:rPr>
          <w:rFonts w:ascii="Century Schoolbook" w:eastAsia="Calibri" w:hAnsi="Century Schoolbook"/>
          <w:sz w:val="26"/>
          <w:szCs w:val="26"/>
        </w:rPr>
        <w:t>two weeks</w:t>
      </w:r>
      <w:r w:rsidRPr="003D6C5F">
        <w:rPr>
          <w:rFonts w:ascii="Century Schoolbook" w:eastAsia="Calibri" w:hAnsi="Century Schoolbook"/>
          <w:sz w:val="26"/>
          <w:szCs w:val="26"/>
        </w:rPr>
        <w:t xml:space="preserve"> it searched for </w:t>
      </w:r>
      <w:r w:rsidRPr="003D6C5F" w:rsidR="002A4E32">
        <w:rPr>
          <w:rFonts w:ascii="Century Schoolbook" w:eastAsia="Calibri" w:hAnsi="Century Schoolbook"/>
          <w:sz w:val="26"/>
          <w:szCs w:val="26"/>
        </w:rPr>
        <w:t>Breanna</w:t>
      </w:r>
      <w:r w:rsidRPr="003D6C5F">
        <w:rPr>
          <w:rFonts w:ascii="Century Schoolbook" w:eastAsia="Calibri" w:hAnsi="Century Schoolbook"/>
          <w:sz w:val="26"/>
          <w:szCs w:val="26"/>
        </w:rPr>
        <w:t xml:space="preserve"> immediately before trial,</w:t>
      </w:r>
      <w:r>
        <w:rPr>
          <w:rStyle w:val="FootnoteReference"/>
          <w:rFonts w:ascii="Century Schoolbook" w:eastAsia="Calibri" w:hAnsi="Century Schoolbook"/>
          <w:szCs w:val="26"/>
        </w:rPr>
        <w:footnoteReference w:id="10"/>
      </w:r>
      <w:r w:rsidRPr="003D6C5F">
        <w:rPr>
          <w:rFonts w:ascii="Century Schoolbook" w:eastAsia="Calibri" w:hAnsi="Century Schoolbook"/>
          <w:sz w:val="26"/>
          <w:szCs w:val="26"/>
        </w:rPr>
        <w:t xml:space="preserve"> it did nothing to locate her during the months this matter was repeatedly continued for trial, making </w:t>
      </w:r>
      <w:r w:rsidRPr="003D6C5F" w:rsidR="00472845">
        <w:rPr>
          <w:rFonts w:ascii="Century Schoolbook" w:eastAsia="Calibri" w:hAnsi="Century Schoolbook"/>
          <w:sz w:val="26"/>
          <w:szCs w:val="26"/>
        </w:rPr>
        <w:t>the</w:t>
      </w:r>
      <w:r w:rsidRPr="003D6C5F">
        <w:rPr>
          <w:rFonts w:ascii="Century Schoolbook" w:eastAsia="Calibri" w:hAnsi="Century Schoolbook"/>
          <w:sz w:val="26"/>
          <w:szCs w:val="26"/>
        </w:rPr>
        <w:t xml:space="preserve"> search untimely.  The uncertainty </w:t>
      </w:r>
      <w:r w:rsidRPr="003D6C5F" w:rsidR="000F71AF">
        <w:rPr>
          <w:rFonts w:ascii="Century Schoolbook" w:eastAsia="Calibri" w:hAnsi="Century Schoolbook"/>
          <w:sz w:val="26"/>
          <w:szCs w:val="26"/>
        </w:rPr>
        <w:t>as to</w:t>
      </w:r>
      <w:r w:rsidRPr="003D6C5F">
        <w:rPr>
          <w:rFonts w:ascii="Century Schoolbook" w:eastAsia="Calibri" w:hAnsi="Century Schoolbook"/>
          <w:sz w:val="26"/>
          <w:szCs w:val="26"/>
        </w:rPr>
        <w:t xml:space="preserve"> when trial would begin does not excuse the prosecution from </w:t>
      </w:r>
      <w:r w:rsidRPr="003D6C5F" w:rsidR="000F71AF">
        <w:rPr>
          <w:rFonts w:ascii="Century Schoolbook" w:eastAsia="Calibri" w:hAnsi="Century Schoolbook"/>
          <w:sz w:val="26"/>
          <w:szCs w:val="26"/>
        </w:rPr>
        <w:t xml:space="preserve">timely starting to </w:t>
      </w:r>
      <w:r w:rsidRPr="003D6C5F">
        <w:rPr>
          <w:rFonts w:ascii="Century Schoolbook" w:eastAsia="Calibri" w:hAnsi="Century Schoolbook"/>
          <w:sz w:val="26"/>
          <w:szCs w:val="26"/>
        </w:rPr>
        <w:t xml:space="preserve">search for a cooperative witness it </w:t>
      </w:r>
      <w:r w:rsidRPr="003D6C5F" w:rsidR="000F71AF">
        <w:rPr>
          <w:rFonts w:ascii="Century Schoolbook" w:eastAsia="Calibri" w:hAnsi="Century Schoolbook"/>
          <w:sz w:val="26"/>
          <w:szCs w:val="26"/>
        </w:rPr>
        <w:t xml:space="preserve">actually </w:t>
      </w:r>
      <w:r w:rsidRPr="003D6C5F">
        <w:rPr>
          <w:rFonts w:ascii="Century Schoolbook" w:eastAsia="Calibri" w:hAnsi="Century Schoolbook"/>
          <w:sz w:val="26"/>
          <w:szCs w:val="26"/>
        </w:rPr>
        <w:t xml:space="preserve">knew was missing.  </w:t>
      </w:r>
      <w:r w:rsidRPr="003D6C5F" w:rsidR="00D25DEC">
        <w:rPr>
          <w:rFonts w:ascii="Century Schoolbook" w:eastAsia="Calibri" w:hAnsi="Century Schoolbook"/>
          <w:sz w:val="26"/>
          <w:szCs w:val="26"/>
        </w:rPr>
        <w:t>T</w:t>
      </w:r>
      <w:r w:rsidRPr="003D6C5F">
        <w:rPr>
          <w:rFonts w:ascii="Century Schoolbook" w:eastAsia="Calibri" w:hAnsi="Century Schoolbook"/>
          <w:sz w:val="26"/>
          <w:szCs w:val="26"/>
        </w:rPr>
        <w:t>he record suggests Breanna would have been found and produced had the prosecution beg</w:t>
      </w:r>
      <w:r w:rsidRPr="003D6C5F" w:rsidR="000F71AF">
        <w:rPr>
          <w:rFonts w:ascii="Century Schoolbook" w:eastAsia="Calibri" w:hAnsi="Century Schoolbook"/>
          <w:sz w:val="26"/>
          <w:szCs w:val="26"/>
        </w:rPr>
        <w:t>u</w:t>
      </w:r>
      <w:r w:rsidRPr="003D6C5F">
        <w:rPr>
          <w:rFonts w:ascii="Century Schoolbook" w:eastAsia="Calibri" w:hAnsi="Century Schoolbook"/>
          <w:sz w:val="26"/>
          <w:szCs w:val="26"/>
        </w:rPr>
        <w:t xml:space="preserve">n </w:t>
      </w:r>
      <w:r w:rsidRPr="003D6C5F" w:rsidR="000F71AF">
        <w:rPr>
          <w:rFonts w:ascii="Century Schoolbook" w:eastAsia="Calibri" w:hAnsi="Century Schoolbook"/>
          <w:sz w:val="26"/>
          <w:szCs w:val="26"/>
        </w:rPr>
        <w:t xml:space="preserve">to look for her </w:t>
      </w:r>
      <w:r w:rsidRPr="003D6C5F" w:rsidR="00DF5F42">
        <w:rPr>
          <w:rFonts w:ascii="Century Schoolbook" w:eastAsia="Calibri" w:hAnsi="Century Schoolbook"/>
          <w:sz w:val="26"/>
          <w:szCs w:val="26"/>
        </w:rPr>
        <w:t xml:space="preserve">even a short time </w:t>
      </w:r>
      <w:r w:rsidRPr="003D6C5F">
        <w:rPr>
          <w:rFonts w:ascii="Century Schoolbook" w:eastAsia="Calibri" w:hAnsi="Century Schoolbook"/>
          <w:sz w:val="26"/>
          <w:szCs w:val="26"/>
        </w:rPr>
        <w:t>earlier.</w:t>
      </w:r>
      <w:r w:rsidRPr="003D6C5F" w:rsidR="00D25DEC">
        <w:rPr>
          <w:rFonts w:ascii="Century Schoolbook" w:eastAsia="Calibri" w:hAnsi="Century Schoolbook"/>
          <w:sz w:val="26"/>
          <w:szCs w:val="26"/>
        </w:rPr>
        <w:t xml:space="preserve">  </w:t>
      </w:r>
    </w:p>
    <w:p w:rsidR="00047E14" w:rsidRPr="003D6C5F" w:rsidP="000B1ECC" w14:paraId="75B165E5" w14:textId="6FE125A3">
      <w:pPr>
        <w:spacing w:line="360" w:lineRule="auto"/>
        <w:ind w:firstLine="720"/>
        <w:rPr>
          <w:rFonts w:ascii="Century Schoolbook" w:eastAsia="Calibri" w:hAnsi="Century Schoolbook"/>
          <w:sz w:val="26"/>
          <w:szCs w:val="26"/>
        </w:rPr>
      </w:pPr>
      <w:r w:rsidRPr="003D6C5F">
        <w:rPr>
          <w:rFonts w:ascii="Century Schoolbook" w:eastAsia="Calibri" w:hAnsi="Century Schoolbook"/>
          <w:sz w:val="26"/>
          <w:szCs w:val="26"/>
        </w:rPr>
        <w:t>We next analyze the importance of Breanna’s testimony</w:t>
      </w:r>
      <w:r w:rsidRPr="003D6C5F" w:rsidR="00696973">
        <w:rPr>
          <w:rFonts w:ascii="Century Schoolbook" w:eastAsia="Calibri" w:hAnsi="Century Schoolbook"/>
          <w:sz w:val="26"/>
          <w:szCs w:val="26"/>
        </w:rPr>
        <w:t>, which bears heavily on whether the prosecution’s unexplained delay in commencing the search for Breanna satisfies the constitutional requirement for reasonable diligence</w:t>
      </w:r>
      <w:r w:rsidRPr="003D6C5F">
        <w:rPr>
          <w:rFonts w:ascii="Century Schoolbook" w:eastAsia="Calibri" w:hAnsi="Century Schoolbook"/>
          <w:sz w:val="26"/>
          <w:szCs w:val="26"/>
        </w:rPr>
        <w:t xml:space="preserve">.  In </w:t>
      </w:r>
      <w:r w:rsidRPr="003D6C5F">
        <w:rPr>
          <w:rFonts w:ascii="Century Schoolbook" w:eastAsia="Calibri" w:hAnsi="Century Schoolbook"/>
          <w:i/>
          <w:iCs/>
          <w:sz w:val="26"/>
          <w:szCs w:val="26"/>
        </w:rPr>
        <w:t xml:space="preserve">People v. Louis </w:t>
      </w:r>
      <w:r w:rsidRPr="003D6C5F">
        <w:rPr>
          <w:rFonts w:ascii="Century Schoolbook" w:eastAsia="Calibri" w:hAnsi="Century Schoolbook"/>
          <w:sz w:val="26"/>
          <w:szCs w:val="26"/>
        </w:rPr>
        <w:t>(1986) 42 Cal.3d 969, 991–995 (</w:t>
      </w:r>
      <w:r w:rsidRPr="003D6C5F">
        <w:rPr>
          <w:rFonts w:ascii="Century Schoolbook" w:eastAsia="Calibri" w:hAnsi="Century Schoolbook"/>
          <w:i/>
          <w:iCs/>
          <w:sz w:val="26"/>
          <w:szCs w:val="26"/>
        </w:rPr>
        <w:t>Louis</w:t>
      </w:r>
      <w:r w:rsidRPr="003D6C5F">
        <w:rPr>
          <w:rFonts w:ascii="Century Schoolbook" w:eastAsia="Calibri" w:hAnsi="Century Schoolbook"/>
          <w:sz w:val="26"/>
          <w:szCs w:val="26"/>
        </w:rPr>
        <w:t>)</w:t>
      </w:r>
      <w:r>
        <w:rPr>
          <w:rStyle w:val="FootnoteReference"/>
          <w:rFonts w:ascii="Century Schoolbook" w:eastAsia="Calibri" w:hAnsi="Century Schoolbook"/>
          <w:szCs w:val="26"/>
        </w:rPr>
        <w:footnoteReference w:id="11"/>
      </w:r>
      <w:r w:rsidRPr="003D6C5F">
        <w:rPr>
          <w:rFonts w:ascii="Century Schoolbook" w:eastAsia="Calibri" w:hAnsi="Century Schoolbook"/>
          <w:sz w:val="26"/>
          <w:szCs w:val="26"/>
        </w:rPr>
        <w:t xml:space="preserve"> the most critical evidence for the prosecution’s case was the prior testimony of an absent witness. </w:t>
      </w:r>
      <w:r w:rsidRPr="003D6C5F" w:rsidR="000F59D1">
        <w:rPr>
          <w:rFonts w:ascii="Century Schoolbook" w:eastAsia="Calibri" w:hAnsi="Century Schoolbook"/>
          <w:sz w:val="26"/>
          <w:szCs w:val="26"/>
        </w:rPr>
        <w:t xml:space="preserve"> </w:t>
      </w:r>
      <w:r w:rsidRPr="003D6C5F">
        <w:rPr>
          <w:rFonts w:ascii="Century Schoolbook" w:eastAsia="Calibri" w:hAnsi="Century Schoolbook"/>
          <w:sz w:val="26"/>
          <w:szCs w:val="26"/>
        </w:rPr>
        <w:t>(</w:t>
      </w:r>
      <w:r w:rsidRPr="003D6C5F">
        <w:rPr>
          <w:rFonts w:ascii="Century Schoolbook" w:eastAsia="Calibri" w:hAnsi="Century Schoolbook"/>
          <w:i/>
          <w:iCs/>
          <w:sz w:val="26"/>
          <w:szCs w:val="26"/>
        </w:rPr>
        <w:t>Id.</w:t>
      </w:r>
      <w:r w:rsidRPr="003D6C5F">
        <w:rPr>
          <w:rFonts w:ascii="Century Schoolbook" w:eastAsia="Calibri" w:hAnsi="Century Schoolbook"/>
          <w:sz w:val="26"/>
          <w:szCs w:val="26"/>
        </w:rPr>
        <w:t xml:space="preserve"> at p. 989.) </w:t>
      </w:r>
      <w:r w:rsidRPr="003D6C5F" w:rsidR="000F59D1">
        <w:rPr>
          <w:rFonts w:ascii="Century Schoolbook" w:eastAsia="Calibri" w:hAnsi="Century Schoolbook"/>
          <w:sz w:val="26"/>
          <w:szCs w:val="26"/>
        </w:rPr>
        <w:t xml:space="preserve"> </w:t>
      </w:r>
      <w:r w:rsidRPr="003D6C5F">
        <w:rPr>
          <w:rFonts w:ascii="Century Schoolbook" w:eastAsia="Calibri" w:hAnsi="Century Schoolbook"/>
          <w:sz w:val="26"/>
          <w:szCs w:val="26"/>
        </w:rPr>
        <w:t xml:space="preserve">As the court observed, “the sole evidence identifying defendant as the trigger man came from </w:t>
      </w:r>
      <w:r w:rsidRPr="003D6C5F" w:rsidR="000F59D1">
        <w:rPr>
          <w:rFonts w:ascii="Century Schoolbook" w:eastAsia="Calibri" w:hAnsi="Century Schoolbook"/>
          <w:sz w:val="26"/>
          <w:szCs w:val="26"/>
        </w:rPr>
        <w:t>[the absent witness]</w:t>
      </w:r>
      <w:r w:rsidRPr="003D6C5F">
        <w:rPr>
          <w:rFonts w:ascii="Century Schoolbook" w:eastAsia="Calibri" w:hAnsi="Century Schoolbook"/>
          <w:sz w:val="26"/>
          <w:szCs w:val="26"/>
        </w:rPr>
        <w:t>.”</w:t>
      </w:r>
      <w:r w:rsidRPr="003D6C5F" w:rsidR="000F59D1">
        <w:rPr>
          <w:rFonts w:ascii="Century Schoolbook" w:eastAsia="Calibri" w:hAnsi="Century Schoolbook"/>
          <w:sz w:val="26"/>
          <w:szCs w:val="26"/>
        </w:rPr>
        <w:t xml:space="preserve"> </w:t>
      </w:r>
      <w:r w:rsidRPr="003D6C5F">
        <w:rPr>
          <w:rFonts w:ascii="Century Schoolbook" w:eastAsia="Calibri" w:hAnsi="Century Schoolbook"/>
          <w:sz w:val="26"/>
          <w:szCs w:val="26"/>
        </w:rPr>
        <w:t xml:space="preserve"> (</w:t>
      </w:r>
      <w:r w:rsidRPr="003D6C5F">
        <w:rPr>
          <w:rFonts w:ascii="Century Schoolbook" w:eastAsia="Calibri" w:hAnsi="Century Schoolbook"/>
          <w:i/>
          <w:iCs/>
          <w:sz w:val="26"/>
          <w:szCs w:val="26"/>
        </w:rPr>
        <w:t>Ibid.</w:t>
      </w:r>
      <w:r w:rsidRPr="003D6C5F">
        <w:rPr>
          <w:rFonts w:ascii="Century Schoolbook" w:eastAsia="Calibri" w:hAnsi="Century Schoolbook"/>
          <w:sz w:val="26"/>
          <w:szCs w:val="26"/>
        </w:rPr>
        <w:t xml:space="preserve">) </w:t>
      </w:r>
      <w:r w:rsidRPr="003D6C5F" w:rsidR="000F59D1">
        <w:rPr>
          <w:rFonts w:ascii="Century Schoolbook" w:eastAsia="Calibri" w:hAnsi="Century Schoolbook"/>
          <w:sz w:val="26"/>
          <w:szCs w:val="26"/>
        </w:rPr>
        <w:t xml:space="preserve"> </w:t>
      </w:r>
      <w:r w:rsidRPr="003D6C5F">
        <w:rPr>
          <w:rFonts w:ascii="Century Schoolbook" w:eastAsia="Calibri" w:hAnsi="Century Schoolbook"/>
          <w:sz w:val="26"/>
          <w:szCs w:val="26"/>
        </w:rPr>
        <w:t xml:space="preserve">In reaching the conclusion that the prosecution did not exercise </w:t>
      </w:r>
      <w:r w:rsidRPr="003D6C5F" w:rsidR="00C40CD0">
        <w:rPr>
          <w:rFonts w:ascii="Century Schoolbook" w:eastAsia="Calibri" w:hAnsi="Century Schoolbook"/>
          <w:sz w:val="26"/>
          <w:szCs w:val="26"/>
        </w:rPr>
        <w:t xml:space="preserve">due </w:t>
      </w:r>
      <w:r w:rsidRPr="003D6C5F">
        <w:rPr>
          <w:rFonts w:ascii="Century Schoolbook" w:eastAsia="Calibri" w:hAnsi="Century Schoolbook"/>
          <w:sz w:val="26"/>
          <w:szCs w:val="26"/>
        </w:rPr>
        <w:t xml:space="preserve">diligence, the </w:t>
      </w:r>
      <w:r w:rsidRPr="003D6C5F" w:rsidR="00C40CD0">
        <w:rPr>
          <w:rFonts w:ascii="Century Schoolbook" w:eastAsia="Calibri" w:hAnsi="Century Schoolbook"/>
          <w:sz w:val="26"/>
          <w:szCs w:val="26"/>
        </w:rPr>
        <w:t xml:space="preserve">Supreme </w:t>
      </w:r>
      <w:r w:rsidRPr="003D6C5F">
        <w:rPr>
          <w:rFonts w:ascii="Century Schoolbook" w:eastAsia="Calibri" w:hAnsi="Century Schoolbook"/>
          <w:sz w:val="26"/>
          <w:szCs w:val="26"/>
        </w:rPr>
        <w:t xml:space="preserve">Court reasoned that the expectation of diligence is particularly high when the witness’s testimony is critical for the conviction. </w:t>
      </w:r>
      <w:r w:rsidRPr="003D6C5F" w:rsidR="000F59D1">
        <w:rPr>
          <w:rFonts w:ascii="Century Schoolbook" w:eastAsia="Calibri" w:hAnsi="Century Schoolbook"/>
          <w:sz w:val="26"/>
          <w:szCs w:val="26"/>
        </w:rPr>
        <w:t xml:space="preserve"> </w:t>
      </w:r>
      <w:r w:rsidRPr="003D6C5F">
        <w:rPr>
          <w:rFonts w:ascii="Century Schoolbook" w:eastAsia="Calibri" w:hAnsi="Century Schoolbook"/>
          <w:sz w:val="26"/>
          <w:szCs w:val="26"/>
        </w:rPr>
        <w:t>(</w:t>
      </w:r>
      <w:r w:rsidRPr="003D6C5F">
        <w:rPr>
          <w:rFonts w:ascii="Century Schoolbook" w:eastAsia="Calibri" w:hAnsi="Century Schoolbook"/>
          <w:i/>
          <w:iCs/>
          <w:sz w:val="26"/>
          <w:szCs w:val="26"/>
        </w:rPr>
        <w:t>Id.</w:t>
      </w:r>
      <w:r w:rsidRPr="003D6C5F">
        <w:rPr>
          <w:rFonts w:ascii="Century Schoolbook" w:eastAsia="Calibri" w:hAnsi="Century Schoolbook"/>
          <w:sz w:val="26"/>
          <w:szCs w:val="26"/>
        </w:rPr>
        <w:t xml:space="preserve"> at p. 991.)</w:t>
      </w:r>
    </w:p>
    <w:p w:rsidR="00BA42DD" w:rsidRPr="003D6C5F" w:rsidP="000B1ECC" w14:paraId="33820F5C" w14:textId="490BAA33">
      <w:pPr>
        <w:spacing w:line="360" w:lineRule="auto"/>
        <w:ind w:firstLine="720"/>
        <w:rPr>
          <w:rFonts w:ascii="Century Schoolbook" w:eastAsia="Calibri" w:hAnsi="Century Schoolbook"/>
          <w:sz w:val="26"/>
          <w:szCs w:val="26"/>
        </w:rPr>
      </w:pPr>
      <w:r w:rsidRPr="003D6C5F">
        <w:rPr>
          <w:rFonts w:ascii="Century Schoolbook" w:eastAsia="Calibri" w:hAnsi="Century Schoolbook"/>
          <w:sz w:val="26"/>
          <w:szCs w:val="26"/>
        </w:rPr>
        <w:t xml:space="preserve">Like the witness in </w:t>
      </w:r>
      <w:r w:rsidRPr="003D6C5F">
        <w:rPr>
          <w:rFonts w:ascii="Century Schoolbook" w:eastAsia="Calibri" w:hAnsi="Century Schoolbook"/>
          <w:i/>
          <w:iCs/>
          <w:sz w:val="26"/>
          <w:szCs w:val="26"/>
        </w:rPr>
        <w:t xml:space="preserve">Louis, </w:t>
      </w:r>
      <w:r w:rsidRPr="003D6C5F" w:rsidR="00D25DEC">
        <w:rPr>
          <w:rFonts w:ascii="Century Schoolbook" w:eastAsia="Calibri" w:hAnsi="Century Schoolbook"/>
          <w:sz w:val="26"/>
          <w:szCs w:val="26"/>
        </w:rPr>
        <w:t xml:space="preserve">Breanna was </w:t>
      </w:r>
      <w:r w:rsidRPr="003D6C5F">
        <w:rPr>
          <w:rFonts w:ascii="Century Schoolbook" w:eastAsia="Calibri" w:hAnsi="Century Schoolbook"/>
          <w:sz w:val="26"/>
          <w:szCs w:val="26"/>
        </w:rPr>
        <w:t xml:space="preserve">essential to the </w:t>
      </w:r>
      <w:r w:rsidRPr="003D6C5F" w:rsidR="00D25DEC">
        <w:rPr>
          <w:rFonts w:ascii="Century Schoolbook" w:eastAsia="Calibri" w:hAnsi="Century Schoolbook"/>
          <w:sz w:val="26"/>
          <w:szCs w:val="26"/>
        </w:rPr>
        <w:t>prosecution</w:t>
      </w:r>
      <w:r w:rsidRPr="003D6C5F">
        <w:rPr>
          <w:rFonts w:ascii="Century Schoolbook" w:eastAsia="Calibri" w:hAnsi="Century Schoolbook"/>
          <w:sz w:val="26"/>
          <w:szCs w:val="26"/>
        </w:rPr>
        <w:t>’s</w:t>
      </w:r>
      <w:r w:rsidRPr="003D6C5F" w:rsidR="00D25DEC">
        <w:rPr>
          <w:rFonts w:ascii="Century Schoolbook" w:eastAsia="Calibri" w:hAnsi="Century Schoolbook"/>
          <w:sz w:val="26"/>
          <w:szCs w:val="26"/>
        </w:rPr>
        <w:t xml:space="preserve"> </w:t>
      </w:r>
      <w:r w:rsidRPr="003D6C5F">
        <w:rPr>
          <w:rFonts w:ascii="Century Schoolbook" w:eastAsia="Calibri" w:hAnsi="Century Schoolbook"/>
          <w:sz w:val="26"/>
          <w:szCs w:val="26"/>
        </w:rPr>
        <w:t>case</w:t>
      </w:r>
      <w:r w:rsidRPr="003D6C5F" w:rsidR="00D25DEC">
        <w:rPr>
          <w:rFonts w:ascii="Century Schoolbook" w:eastAsia="Calibri" w:hAnsi="Century Schoolbook"/>
          <w:sz w:val="26"/>
          <w:szCs w:val="26"/>
        </w:rPr>
        <w:t>.</w:t>
      </w:r>
      <w:r w:rsidRPr="003D6C5F" w:rsidR="00047E14">
        <w:rPr>
          <w:rFonts w:ascii="Century Schoolbook" w:eastAsia="Calibri" w:hAnsi="Century Schoolbook"/>
          <w:sz w:val="26"/>
          <w:szCs w:val="26"/>
        </w:rPr>
        <w:t xml:space="preserve">  She </w:t>
      </w:r>
      <w:r w:rsidRPr="003D6C5F">
        <w:rPr>
          <w:rFonts w:ascii="Century Schoolbook" w:eastAsia="Calibri" w:hAnsi="Century Schoolbook"/>
          <w:sz w:val="26"/>
          <w:szCs w:val="26"/>
        </w:rPr>
        <w:t>was the only witness who knew Samual and had percipient knowledge of the events leading up the murder, including Ayala’s alleged motive for the murder.  The only other evidence on these matters came from Ayala</w:t>
      </w:r>
      <w:r w:rsidRPr="003D6C5F" w:rsidR="007365B4">
        <w:rPr>
          <w:rFonts w:ascii="Century Schoolbook" w:eastAsia="Calibri" w:hAnsi="Century Schoolbook"/>
          <w:sz w:val="26"/>
          <w:szCs w:val="26"/>
        </w:rPr>
        <w:t xml:space="preserve"> whose testimony about the events leading to the murder materially differed from Breanna’s.</w:t>
      </w:r>
      <w:r>
        <w:rPr>
          <w:rStyle w:val="FootnoteReference"/>
          <w:rFonts w:ascii="Century Schoolbook" w:eastAsia="Calibri" w:hAnsi="Century Schoolbook"/>
          <w:szCs w:val="26"/>
        </w:rPr>
        <w:footnoteReference w:id="12"/>
      </w:r>
      <w:r w:rsidRPr="003D6C5F" w:rsidR="00D25DEC">
        <w:rPr>
          <w:rFonts w:ascii="Century Schoolbook" w:eastAsia="Calibri" w:hAnsi="Century Schoolbook"/>
          <w:sz w:val="26"/>
          <w:szCs w:val="26"/>
        </w:rPr>
        <w:t xml:space="preserve">  As we address below, </w:t>
      </w:r>
      <w:r w:rsidRPr="003D6C5F">
        <w:rPr>
          <w:rFonts w:ascii="Century Schoolbook" w:eastAsia="Calibri" w:hAnsi="Century Schoolbook"/>
          <w:sz w:val="26"/>
          <w:szCs w:val="26"/>
        </w:rPr>
        <w:t>Breanna’s testimony was critical to establish the degree of murder and the lying</w:t>
      </w:r>
      <w:r w:rsidRPr="003D6C5F" w:rsidR="00C40CD0">
        <w:rPr>
          <w:rFonts w:ascii="Century Schoolbook" w:eastAsia="Calibri" w:hAnsi="Century Schoolbook"/>
          <w:sz w:val="26"/>
          <w:szCs w:val="26"/>
        </w:rPr>
        <w:t xml:space="preserve"> </w:t>
      </w:r>
      <w:r w:rsidRPr="003D6C5F">
        <w:rPr>
          <w:rFonts w:ascii="Century Schoolbook" w:eastAsia="Calibri" w:hAnsi="Century Schoolbook"/>
          <w:sz w:val="26"/>
          <w:szCs w:val="26"/>
        </w:rPr>
        <w:t>in</w:t>
      </w:r>
      <w:r w:rsidRPr="003D6C5F" w:rsidR="00C40CD0">
        <w:rPr>
          <w:rFonts w:ascii="Century Schoolbook" w:eastAsia="Calibri" w:hAnsi="Century Schoolbook"/>
          <w:sz w:val="26"/>
          <w:szCs w:val="26"/>
        </w:rPr>
        <w:t xml:space="preserve"> </w:t>
      </w:r>
      <w:r w:rsidRPr="003D6C5F">
        <w:rPr>
          <w:rFonts w:ascii="Century Schoolbook" w:eastAsia="Calibri" w:hAnsi="Century Schoolbook"/>
          <w:sz w:val="26"/>
          <w:szCs w:val="26"/>
        </w:rPr>
        <w:t xml:space="preserve">wait special circumstance allegation as to both defendants.  </w:t>
      </w:r>
      <w:r w:rsidRPr="003D6C5F" w:rsidR="00D25DEC">
        <w:rPr>
          <w:rFonts w:ascii="Century Schoolbook" w:eastAsia="Calibri" w:hAnsi="Century Schoolbook"/>
          <w:sz w:val="26"/>
          <w:szCs w:val="26"/>
        </w:rPr>
        <w:t xml:space="preserve">(See, </w:t>
      </w:r>
      <w:r w:rsidRPr="003D6C5F" w:rsidR="00D25DEC">
        <w:rPr>
          <w:rFonts w:ascii="Century Schoolbook" w:eastAsia="Calibri" w:hAnsi="Century Schoolbook"/>
          <w:i/>
          <w:iCs/>
          <w:sz w:val="26"/>
          <w:szCs w:val="26"/>
        </w:rPr>
        <w:t>post</w:t>
      </w:r>
      <w:r w:rsidRPr="003D6C5F" w:rsidR="00D25DEC">
        <w:rPr>
          <w:rFonts w:ascii="Century Schoolbook" w:eastAsia="Calibri" w:hAnsi="Century Schoolbook"/>
          <w:sz w:val="26"/>
          <w:szCs w:val="26"/>
        </w:rPr>
        <w:t xml:space="preserve">, pt. </w:t>
      </w:r>
      <w:r w:rsidRPr="003D6C5F" w:rsidR="00D77362">
        <w:rPr>
          <w:rFonts w:ascii="Century Schoolbook" w:eastAsia="Calibri" w:hAnsi="Century Schoolbook"/>
          <w:sz w:val="26"/>
          <w:szCs w:val="26"/>
        </w:rPr>
        <w:t>B</w:t>
      </w:r>
      <w:r w:rsidRPr="003D6C5F" w:rsidR="00D25DEC">
        <w:rPr>
          <w:rFonts w:ascii="Century Schoolbook" w:eastAsia="Calibri" w:hAnsi="Century Schoolbook"/>
          <w:sz w:val="26"/>
          <w:szCs w:val="26"/>
        </w:rPr>
        <w:t xml:space="preserve">.)  </w:t>
      </w:r>
      <w:r w:rsidRPr="003D6C5F">
        <w:rPr>
          <w:rFonts w:ascii="Century Schoolbook" w:eastAsia="Calibri" w:hAnsi="Century Schoolbook"/>
          <w:sz w:val="26"/>
          <w:szCs w:val="26"/>
        </w:rPr>
        <w:t>Her testimony was also needed to corroborate Angel’s testimony regarding the torture special circumstance allegation</w:t>
      </w:r>
      <w:r w:rsidRPr="003D6C5F" w:rsidR="00C40CD0">
        <w:rPr>
          <w:rFonts w:ascii="Century Schoolbook" w:eastAsia="Calibri" w:hAnsi="Century Schoolbook"/>
          <w:sz w:val="26"/>
          <w:szCs w:val="26"/>
        </w:rPr>
        <w:t>s</w:t>
      </w:r>
      <w:r w:rsidRPr="003D6C5F">
        <w:rPr>
          <w:rFonts w:ascii="Century Schoolbook" w:eastAsia="Calibri" w:hAnsi="Century Schoolbook"/>
          <w:sz w:val="26"/>
          <w:szCs w:val="26"/>
        </w:rPr>
        <w:t xml:space="preserve">.  Consistent with </w:t>
      </w:r>
      <w:r w:rsidRPr="003D6C5F">
        <w:rPr>
          <w:rFonts w:ascii="Century Schoolbook" w:eastAsia="Calibri" w:hAnsi="Century Schoolbook"/>
          <w:i/>
          <w:iCs/>
          <w:sz w:val="26"/>
          <w:szCs w:val="26"/>
        </w:rPr>
        <w:t>Cromer</w:t>
      </w:r>
      <w:r w:rsidRPr="003D6C5F">
        <w:rPr>
          <w:rFonts w:ascii="Century Schoolbook" w:eastAsia="Calibri" w:hAnsi="Century Schoolbook"/>
          <w:sz w:val="26"/>
          <w:szCs w:val="26"/>
        </w:rPr>
        <w:t xml:space="preserve">, </w:t>
      </w:r>
      <w:r w:rsidRPr="003D6C5F" w:rsidR="00D25DEC">
        <w:rPr>
          <w:rFonts w:ascii="Century Schoolbook" w:eastAsia="Calibri" w:hAnsi="Century Schoolbook"/>
          <w:i/>
          <w:iCs/>
          <w:sz w:val="26"/>
          <w:szCs w:val="26"/>
        </w:rPr>
        <w:t>supra</w:t>
      </w:r>
      <w:r w:rsidRPr="003D6C5F" w:rsidR="00D25DEC">
        <w:rPr>
          <w:rFonts w:ascii="Century Schoolbook" w:eastAsia="Calibri" w:hAnsi="Century Schoolbook"/>
          <w:sz w:val="26"/>
          <w:szCs w:val="26"/>
        </w:rPr>
        <w:t xml:space="preserve">, 24 Cal.4th 889, </w:t>
      </w:r>
      <w:r w:rsidRPr="003D6C5F">
        <w:rPr>
          <w:rFonts w:ascii="Century Schoolbook" w:eastAsia="Calibri" w:hAnsi="Century Schoolbook"/>
          <w:sz w:val="26"/>
          <w:szCs w:val="26"/>
        </w:rPr>
        <w:t>we conclude Breanna was not an unavailable witness</w:t>
      </w:r>
      <w:r w:rsidRPr="003D6C5F" w:rsidR="00043338">
        <w:rPr>
          <w:rFonts w:ascii="Century Schoolbook" w:eastAsia="Calibri" w:hAnsi="Century Schoolbook"/>
          <w:sz w:val="26"/>
          <w:szCs w:val="26"/>
        </w:rPr>
        <w:t>,</w:t>
      </w:r>
      <w:r w:rsidRPr="003D6C5F" w:rsidR="00D25DEC">
        <w:rPr>
          <w:rFonts w:ascii="Century Schoolbook" w:eastAsia="Calibri" w:hAnsi="Century Schoolbook"/>
          <w:sz w:val="26"/>
          <w:szCs w:val="26"/>
        </w:rPr>
        <w:t xml:space="preserve"> and the court erred by admitting her preliminary hearing testimony pursuant to Evidence Code section 1291.</w:t>
      </w:r>
    </w:p>
    <w:p w:rsidR="00BA42DD" w:rsidRPr="003D6C5F" w:rsidP="000B1ECC" w14:paraId="5E932C99" w14:textId="10DAAB24">
      <w:pPr>
        <w:spacing w:line="360" w:lineRule="auto"/>
        <w:ind w:firstLine="720"/>
        <w:rPr>
          <w:rFonts w:ascii="Century Schoolbook" w:eastAsia="Calibri" w:hAnsi="Century Schoolbook"/>
          <w:sz w:val="26"/>
          <w:szCs w:val="26"/>
        </w:rPr>
      </w:pPr>
      <w:bookmarkStart w:id="22" w:name="_Hlk161148643"/>
      <w:r w:rsidRPr="003D6C5F">
        <w:rPr>
          <w:rFonts w:ascii="Century Schoolbook" w:eastAsia="Calibri" w:hAnsi="Century Schoolbook"/>
          <w:sz w:val="26"/>
          <w:szCs w:val="26"/>
        </w:rPr>
        <w:t>“When there is ‘ “a reasonable possibility” ’ that the error might have contributed to the verdict, reversal is required.”  (</w:t>
      </w:r>
      <w:r w:rsidRPr="003D6C5F">
        <w:rPr>
          <w:rFonts w:ascii="Century Schoolbook" w:eastAsia="Calibri" w:hAnsi="Century Schoolbook"/>
          <w:i/>
          <w:iCs/>
          <w:sz w:val="26"/>
          <w:szCs w:val="26"/>
        </w:rPr>
        <w:t>People v. Aranda</w:t>
      </w:r>
      <w:r w:rsidRPr="003D6C5F">
        <w:rPr>
          <w:rFonts w:ascii="Century Schoolbook" w:eastAsia="Calibri" w:hAnsi="Century Schoolbook"/>
          <w:sz w:val="26"/>
          <w:szCs w:val="26"/>
        </w:rPr>
        <w:t xml:space="preserve"> (2012) 55 Cal.4th 342, 367.)  We conclude t</w:t>
      </w:r>
      <w:r w:rsidRPr="003D6C5F" w:rsidR="002A4E32">
        <w:rPr>
          <w:rFonts w:ascii="Century Schoolbook" w:eastAsia="Calibri" w:hAnsi="Century Schoolbook"/>
          <w:sz w:val="26"/>
          <w:szCs w:val="26"/>
        </w:rPr>
        <w:t>he error was not harmless beyond a reasonable doubt</w:t>
      </w:r>
      <w:r w:rsidRPr="003D6C5F" w:rsidR="00FB588F">
        <w:rPr>
          <w:rFonts w:ascii="Century Schoolbook" w:eastAsia="Calibri" w:hAnsi="Century Schoolbook"/>
          <w:sz w:val="26"/>
          <w:szCs w:val="26"/>
        </w:rPr>
        <w:t xml:space="preserve"> as to either defendant because Breanna’s testimony was critical to several aspects of the prosecution’s case.  (</w:t>
      </w:r>
      <w:r w:rsidRPr="003D6C5F" w:rsidR="00FB588F">
        <w:rPr>
          <w:rFonts w:ascii="Century Schoolbook" w:eastAsia="Calibri" w:hAnsi="Century Schoolbook"/>
          <w:i/>
          <w:iCs/>
          <w:sz w:val="26"/>
          <w:szCs w:val="26"/>
        </w:rPr>
        <w:t>Chapman v. California</w:t>
      </w:r>
      <w:r w:rsidRPr="003D6C5F" w:rsidR="00FB588F">
        <w:rPr>
          <w:rFonts w:ascii="Century Schoolbook" w:eastAsia="Calibri" w:hAnsi="Century Schoolbook"/>
          <w:sz w:val="26"/>
          <w:szCs w:val="26"/>
        </w:rPr>
        <w:t xml:space="preserve"> (1967) 386 U.S. 18, 24; </w:t>
      </w:r>
      <w:r w:rsidRPr="003D6C5F" w:rsidR="00FB588F">
        <w:rPr>
          <w:rFonts w:ascii="Century Schoolbook" w:eastAsia="Calibri" w:hAnsi="Century Schoolbook"/>
          <w:i/>
          <w:iCs/>
          <w:sz w:val="26"/>
          <w:szCs w:val="26"/>
        </w:rPr>
        <w:t>Lilly v. Virginia</w:t>
      </w:r>
      <w:r w:rsidRPr="003D6C5F" w:rsidR="00FB588F">
        <w:rPr>
          <w:rFonts w:ascii="Century Schoolbook" w:eastAsia="Calibri" w:hAnsi="Century Schoolbook"/>
          <w:sz w:val="26"/>
          <w:szCs w:val="26"/>
        </w:rPr>
        <w:t xml:space="preserve"> (1999) 527 U.S. 116, 139–140 [applying </w:t>
      </w:r>
      <w:r w:rsidRPr="003D6C5F" w:rsidR="00FB588F">
        <w:rPr>
          <w:rFonts w:ascii="Century Schoolbook" w:eastAsia="Calibri" w:hAnsi="Century Schoolbook"/>
          <w:i/>
          <w:iCs/>
          <w:sz w:val="26"/>
          <w:szCs w:val="26"/>
        </w:rPr>
        <w:t>Chapman</w:t>
      </w:r>
      <w:r w:rsidRPr="003D6C5F" w:rsidR="00FB588F">
        <w:rPr>
          <w:rFonts w:ascii="Century Schoolbook" w:eastAsia="Calibri" w:hAnsi="Century Schoolbook"/>
          <w:sz w:val="26"/>
          <w:szCs w:val="26"/>
        </w:rPr>
        <w:t xml:space="preserve"> beyond a reasonable doubt standard to violations of the Confrontation Clause].)  Accordingly, we reverse defendants’</w:t>
      </w:r>
      <w:bookmarkEnd w:id="22"/>
      <w:r w:rsidRPr="003D6C5F">
        <w:rPr>
          <w:rFonts w:ascii="Century Schoolbook" w:eastAsia="Calibri" w:hAnsi="Century Schoolbook"/>
          <w:sz w:val="26"/>
          <w:szCs w:val="26"/>
        </w:rPr>
        <w:t xml:space="preserve"> first</w:t>
      </w:r>
      <w:r w:rsidRPr="003D6C5F" w:rsidR="00043338">
        <w:rPr>
          <w:rFonts w:ascii="Century Schoolbook" w:eastAsia="Calibri" w:hAnsi="Century Schoolbook"/>
          <w:sz w:val="26"/>
          <w:szCs w:val="26"/>
        </w:rPr>
        <w:t xml:space="preserve"> </w:t>
      </w:r>
      <w:r w:rsidRPr="003D6C5F">
        <w:rPr>
          <w:rFonts w:ascii="Century Schoolbook" w:eastAsia="Calibri" w:hAnsi="Century Schoolbook"/>
          <w:sz w:val="26"/>
          <w:szCs w:val="26"/>
        </w:rPr>
        <w:t xml:space="preserve">degree murder convictions and </w:t>
      </w:r>
      <w:r w:rsidRPr="003D6C5F" w:rsidR="00CC0F64">
        <w:rPr>
          <w:rFonts w:ascii="Century Schoolbook" w:eastAsia="Calibri" w:hAnsi="Century Schoolbook"/>
          <w:sz w:val="26"/>
          <w:szCs w:val="26"/>
        </w:rPr>
        <w:t xml:space="preserve">the </w:t>
      </w:r>
      <w:r w:rsidRPr="003D6C5F">
        <w:rPr>
          <w:rFonts w:ascii="Century Schoolbook" w:eastAsia="Calibri" w:hAnsi="Century Schoolbook"/>
          <w:sz w:val="26"/>
          <w:szCs w:val="26"/>
        </w:rPr>
        <w:t>attached special circumstance allegations.</w:t>
      </w:r>
    </w:p>
    <w:p w:rsidR="00D77362" w:rsidRPr="003D6C5F" w:rsidP="00315C93" w14:paraId="5F505B2D" w14:textId="5D077F50">
      <w:pPr>
        <w:pStyle w:val="Heading3"/>
        <w:keepLines/>
        <w:spacing w:before="120"/>
        <w:ind w:left="720" w:hanging="720"/>
        <w:rPr>
          <w:rFonts w:ascii="Century Schoolbook" w:hAnsi="Century Schoolbook"/>
          <w:sz w:val="26"/>
          <w:szCs w:val="26"/>
        </w:rPr>
      </w:pPr>
      <w:r w:rsidRPr="003D6C5F">
        <w:rPr>
          <w:rFonts w:ascii="Century Schoolbook" w:hAnsi="Century Schoolbook"/>
          <w:sz w:val="26"/>
          <w:szCs w:val="26"/>
        </w:rPr>
        <w:t xml:space="preserve">B. </w:t>
      </w:r>
      <w:r w:rsidR="00315C93">
        <w:rPr>
          <w:rFonts w:ascii="Century Schoolbook" w:hAnsi="Century Schoolbook"/>
          <w:sz w:val="26"/>
          <w:szCs w:val="26"/>
        </w:rPr>
        <w:tab/>
      </w:r>
      <w:r w:rsidRPr="003D6C5F">
        <w:rPr>
          <w:rFonts w:ascii="Century Schoolbook" w:hAnsi="Century Schoolbook"/>
          <w:i/>
          <w:iCs/>
          <w:sz w:val="26"/>
          <w:szCs w:val="26"/>
        </w:rPr>
        <w:t>Ramirez’s First-Degree Murder Charge and the Lying</w:t>
      </w:r>
      <w:r w:rsidR="002D59A6">
        <w:rPr>
          <w:rFonts w:ascii="Century Schoolbook" w:hAnsi="Century Schoolbook"/>
          <w:i/>
          <w:iCs/>
          <w:sz w:val="26"/>
          <w:szCs w:val="26"/>
        </w:rPr>
        <w:t xml:space="preserve"> </w:t>
      </w:r>
      <w:r w:rsidRPr="003D6C5F">
        <w:rPr>
          <w:rFonts w:ascii="Century Schoolbook" w:hAnsi="Century Schoolbook"/>
          <w:i/>
          <w:iCs/>
          <w:sz w:val="26"/>
          <w:szCs w:val="26"/>
        </w:rPr>
        <w:t>in</w:t>
      </w:r>
      <w:r w:rsidR="002D59A6">
        <w:rPr>
          <w:rFonts w:ascii="Century Schoolbook" w:hAnsi="Century Schoolbook"/>
          <w:i/>
          <w:iCs/>
          <w:sz w:val="26"/>
          <w:szCs w:val="26"/>
        </w:rPr>
        <w:t> </w:t>
      </w:r>
      <w:r w:rsidRPr="003D6C5F">
        <w:rPr>
          <w:rFonts w:ascii="Century Schoolbook" w:hAnsi="Century Schoolbook"/>
          <w:i/>
          <w:iCs/>
          <w:sz w:val="26"/>
          <w:szCs w:val="26"/>
        </w:rPr>
        <w:t>Wait</w:t>
      </w:r>
      <w:r w:rsidR="002D59A6">
        <w:rPr>
          <w:rFonts w:ascii="Century Schoolbook" w:hAnsi="Century Schoolbook"/>
          <w:i/>
          <w:iCs/>
          <w:sz w:val="26"/>
          <w:szCs w:val="26"/>
        </w:rPr>
        <w:t> </w:t>
      </w:r>
      <w:r w:rsidRPr="003D6C5F">
        <w:rPr>
          <w:rFonts w:ascii="Century Schoolbook" w:hAnsi="Century Schoolbook"/>
          <w:i/>
          <w:iCs/>
          <w:sz w:val="26"/>
          <w:szCs w:val="26"/>
        </w:rPr>
        <w:t>Special Circumstance Allegation May be Retried</w:t>
      </w:r>
    </w:p>
    <w:p w:rsidR="00D77362" w:rsidRPr="003D6C5F" w:rsidP="00D77362" w14:paraId="28C6A88A" w14:textId="5F4BD583">
      <w:pPr>
        <w:keepNext/>
        <w:keepLines/>
        <w:rPr>
          <w:rFonts w:ascii="Century Schoolbook" w:hAnsi="Century Schoolbook" w:cstheme="majorHAnsi"/>
          <w:sz w:val="26"/>
          <w:szCs w:val="26"/>
        </w:rPr>
      </w:pPr>
    </w:p>
    <w:p w:rsidR="00DA2950" w:rsidRPr="003D6C5F" w:rsidP="00D77362" w14:paraId="02149FFF" w14:textId="5F8D349A">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“[W]hen a defendant</w:t>
      </w:r>
      <w:r w:rsidRPr="003D6C5F" w:rsidR="000E522B">
        <w:rPr>
          <w:rFonts w:ascii="Century Schoolbook" w:hAnsi="Century Schoolbook" w:cstheme="majorHAnsi"/>
          <w:sz w:val="26"/>
          <w:szCs w:val="26"/>
        </w:rPr>
        <w:t>’</w:t>
      </w:r>
      <w:r w:rsidRPr="003D6C5F">
        <w:rPr>
          <w:rFonts w:ascii="Century Schoolbook" w:hAnsi="Century Schoolbook" w:cstheme="majorHAnsi"/>
          <w:sz w:val="26"/>
          <w:szCs w:val="26"/>
        </w:rPr>
        <w:t>s conviction is reversed by an appellate court on the sole ground that the evidence was insufficient to sustain the jury</w:t>
      </w:r>
      <w:r w:rsidRPr="003D6C5F" w:rsidR="000E522B">
        <w:rPr>
          <w:rFonts w:ascii="Century Schoolbook" w:hAnsi="Century Schoolbook" w:cstheme="majorHAnsi"/>
          <w:sz w:val="26"/>
          <w:szCs w:val="26"/>
        </w:rPr>
        <w:t>’</w:t>
      </w:r>
      <w:r w:rsidRPr="003D6C5F">
        <w:rPr>
          <w:rFonts w:ascii="Century Schoolbook" w:hAnsi="Century Schoolbook" w:cstheme="majorHAnsi"/>
          <w:sz w:val="26"/>
          <w:szCs w:val="26"/>
        </w:rPr>
        <w:t>s verdict, the Double Jeopardy Clause bars a retrial on the same charge.” (</w:t>
      </w:r>
      <w:r w:rsidRPr="003D6C5F">
        <w:rPr>
          <w:rFonts w:ascii="Century Schoolbook" w:hAnsi="Century Schoolbook" w:cstheme="majorHAnsi"/>
          <w:i/>
          <w:iCs/>
          <w:sz w:val="26"/>
          <w:szCs w:val="26"/>
        </w:rPr>
        <w:t>Lockhart v. Nelson</w:t>
      </w:r>
      <w:r w:rsidRPr="003D6C5F">
        <w:rPr>
          <w:rFonts w:ascii="Century Schoolbook" w:hAnsi="Century Schoolbook" w:cstheme="majorHAnsi"/>
          <w:sz w:val="26"/>
          <w:szCs w:val="26"/>
        </w:rPr>
        <w:t xml:space="preserve"> (1988) 488 U.S. 33, 39.)  “It has long been settled, however, that the Double Jeopardy Clause’s general prohibition against successive prosecutions does not prevent the government from retrying a defendant who succeeds in getting his first conviction set aside, through direct appeal or collateral attack, because of some error in the proceedings leading to conviction.”  (</w:t>
      </w:r>
      <w:r w:rsidRPr="003D6C5F">
        <w:rPr>
          <w:rFonts w:ascii="Century Schoolbook" w:hAnsi="Century Schoolbook" w:cstheme="majorHAnsi"/>
          <w:i/>
          <w:iCs/>
          <w:sz w:val="26"/>
          <w:szCs w:val="26"/>
        </w:rPr>
        <w:t>Id.</w:t>
      </w:r>
      <w:r w:rsidRPr="003D6C5F">
        <w:rPr>
          <w:rFonts w:ascii="Century Schoolbook" w:hAnsi="Century Schoolbook" w:cstheme="majorHAnsi"/>
          <w:sz w:val="26"/>
          <w:szCs w:val="26"/>
        </w:rPr>
        <w:t xml:space="preserve"> at p. 38.)  Here, a retrial </w:t>
      </w:r>
      <w:r w:rsidRPr="003D6C5F" w:rsidR="00425AAA">
        <w:rPr>
          <w:rFonts w:ascii="Century Schoolbook" w:hAnsi="Century Schoolbook" w:cstheme="majorHAnsi"/>
          <w:sz w:val="26"/>
          <w:szCs w:val="26"/>
        </w:rPr>
        <w:t>would generally be</w:t>
      </w:r>
      <w:r w:rsidRPr="003D6C5F">
        <w:rPr>
          <w:rFonts w:ascii="Century Schoolbook" w:hAnsi="Century Schoolbook" w:cstheme="majorHAnsi"/>
          <w:sz w:val="26"/>
          <w:szCs w:val="26"/>
        </w:rPr>
        <w:t xml:space="preserve"> permissible because the trial court’s erroneous admission of Breanna’s preliminary hearing testimony is based on trial error.  (</w:t>
      </w:r>
      <w:r w:rsidRPr="003D6C5F">
        <w:rPr>
          <w:rFonts w:ascii="Century Schoolbook" w:hAnsi="Century Schoolbook" w:cstheme="majorHAnsi"/>
          <w:i/>
          <w:iCs/>
          <w:sz w:val="26"/>
          <w:szCs w:val="26"/>
        </w:rPr>
        <w:t>Burks v. United States</w:t>
      </w:r>
      <w:r w:rsidRPr="003D6C5F">
        <w:rPr>
          <w:rFonts w:ascii="Century Schoolbook" w:hAnsi="Century Schoolbook" w:cstheme="majorHAnsi"/>
          <w:sz w:val="26"/>
          <w:szCs w:val="26"/>
        </w:rPr>
        <w:t xml:space="preserve"> (1978) 437 U.S. 1, 15 [retrial permissible based on “incorrect receipt or rejection of evidence”].)  However, Ramirez </w:t>
      </w:r>
      <w:r w:rsidRPr="003D6C5F" w:rsidR="00425AAA">
        <w:rPr>
          <w:rFonts w:ascii="Century Schoolbook" w:hAnsi="Century Schoolbook" w:cstheme="majorHAnsi"/>
          <w:sz w:val="26"/>
          <w:szCs w:val="26"/>
        </w:rPr>
        <w:t xml:space="preserve">also </w:t>
      </w:r>
      <w:r w:rsidRPr="003D6C5F">
        <w:rPr>
          <w:rFonts w:ascii="Century Schoolbook" w:hAnsi="Century Schoolbook" w:cstheme="majorHAnsi"/>
          <w:sz w:val="26"/>
          <w:szCs w:val="26"/>
        </w:rPr>
        <w:t>contends he cannot be retried for first degree murder because the evidence of premeditation and special circumstances was insufficient as a matter of law</w:t>
      </w:r>
      <w:r w:rsidRPr="003D6C5F" w:rsidR="00425AAA">
        <w:rPr>
          <w:rFonts w:ascii="Century Schoolbook" w:hAnsi="Century Schoolbook" w:cstheme="majorHAnsi"/>
          <w:sz w:val="26"/>
          <w:szCs w:val="26"/>
        </w:rPr>
        <w:t>.</w:t>
      </w:r>
      <w:r w:rsidRPr="003D6C5F" w:rsidR="00F20B83">
        <w:rPr>
          <w:rFonts w:ascii="Century Schoolbook" w:hAnsi="Century Schoolbook" w:cstheme="majorHAnsi"/>
          <w:sz w:val="26"/>
          <w:szCs w:val="26"/>
        </w:rPr>
        <w:t xml:space="preserve"> </w:t>
      </w:r>
      <w:r w:rsidRPr="003D6C5F" w:rsidR="000E522B">
        <w:rPr>
          <w:rFonts w:ascii="Century Schoolbook" w:hAnsi="Century Schoolbook" w:cstheme="majorHAnsi"/>
          <w:sz w:val="26"/>
          <w:szCs w:val="26"/>
        </w:rPr>
        <w:t xml:space="preserve"> </w:t>
      </w:r>
      <w:r w:rsidRPr="003D6C5F" w:rsidR="00425AAA">
        <w:rPr>
          <w:rFonts w:ascii="Century Schoolbook" w:hAnsi="Century Schoolbook" w:cstheme="majorHAnsi"/>
          <w:sz w:val="26"/>
          <w:szCs w:val="26"/>
        </w:rPr>
        <w:t xml:space="preserve">Accordingly, </w:t>
      </w:r>
      <w:r w:rsidRPr="003D6C5F" w:rsidR="000E522B">
        <w:rPr>
          <w:rFonts w:ascii="Century Schoolbook" w:hAnsi="Century Schoolbook" w:cstheme="majorHAnsi"/>
          <w:sz w:val="26"/>
          <w:szCs w:val="26"/>
        </w:rPr>
        <w:t xml:space="preserve">we </w:t>
      </w:r>
      <w:r w:rsidRPr="003D6C5F" w:rsidR="00425AAA">
        <w:rPr>
          <w:rFonts w:ascii="Century Schoolbook" w:hAnsi="Century Schoolbook" w:cstheme="majorHAnsi"/>
          <w:sz w:val="26"/>
          <w:szCs w:val="26"/>
        </w:rPr>
        <w:t xml:space="preserve">are required to </w:t>
      </w:r>
      <w:r w:rsidRPr="003D6C5F" w:rsidR="000E522B">
        <w:rPr>
          <w:rFonts w:ascii="Century Schoolbook" w:hAnsi="Century Schoolbook" w:cstheme="majorHAnsi"/>
          <w:sz w:val="26"/>
          <w:szCs w:val="26"/>
        </w:rPr>
        <w:t>address the merits of his sufficiency contentions.</w:t>
      </w:r>
    </w:p>
    <w:p w:rsidR="00D77362" w:rsidRPr="003D6C5F" w:rsidP="00D77362" w14:paraId="683C6BC8" w14:textId="1C157B03">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To determine the sufficiency of the evidence, “we review the entire record in the light most favorable to the prosecution to determine whether it contains evidence that is reasonable, credible and of solid value, from which a rational trier of fact could find that the elements of the crime were established beyond a reasonable doubt.”  (</w:t>
      </w:r>
      <w:r w:rsidRPr="003D6C5F">
        <w:rPr>
          <w:rFonts w:ascii="Century Schoolbook" w:hAnsi="Century Schoolbook" w:cstheme="majorHAnsi"/>
          <w:i/>
          <w:iCs/>
          <w:sz w:val="26"/>
          <w:szCs w:val="26"/>
        </w:rPr>
        <w:t>People v. Tripp</w:t>
      </w:r>
      <w:r w:rsidRPr="003D6C5F">
        <w:rPr>
          <w:rFonts w:ascii="Century Schoolbook" w:hAnsi="Century Schoolbook" w:cstheme="majorHAnsi"/>
          <w:sz w:val="26"/>
          <w:szCs w:val="26"/>
        </w:rPr>
        <w:t xml:space="preserve"> (2007) 151 Cal.App.4th 951, 955.)  We must “view the evidence in the light most favorable to respondent and presume in support of the judgment the existence of every fact the trier could reasonably deduce from the evidence.”  (</w:t>
      </w:r>
      <w:r w:rsidRPr="003D6C5F">
        <w:rPr>
          <w:rFonts w:ascii="Century Schoolbook" w:hAnsi="Century Schoolbook" w:cstheme="majorHAnsi"/>
          <w:i/>
          <w:iCs/>
          <w:sz w:val="26"/>
          <w:szCs w:val="26"/>
        </w:rPr>
        <w:t>People v. Lewis</w:t>
      </w:r>
      <w:r w:rsidRPr="003D6C5F">
        <w:rPr>
          <w:rFonts w:ascii="Century Schoolbook" w:hAnsi="Century Schoolbook" w:cstheme="majorHAnsi"/>
          <w:sz w:val="26"/>
          <w:szCs w:val="26"/>
        </w:rPr>
        <w:t xml:space="preserve"> (1990) 50 Cal.3d 262, 277</w:t>
      </w:r>
      <w:r w:rsidR="000769A7">
        <w:rPr>
          <w:rFonts w:ascii="Century Schoolbook" w:hAnsi="Century Schoolbook" w:cstheme="majorHAnsi"/>
          <w:sz w:val="26"/>
          <w:szCs w:val="26"/>
        </w:rPr>
        <w:t xml:space="preserve"> (</w:t>
      </w:r>
      <w:r w:rsidR="000769A7">
        <w:rPr>
          <w:rFonts w:ascii="Century Schoolbook" w:hAnsi="Century Schoolbook" w:cstheme="majorHAnsi"/>
          <w:i/>
          <w:iCs/>
          <w:sz w:val="26"/>
          <w:szCs w:val="26"/>
        </w:rPr>
        <w:t>Lewis</w:t>
      </w:r>
      <w:r w:rsidR="000769A7">
        <w:rPr>
          <w:rFonts w:ascii="Century Schoolbook" w:hAnsi="Century Schoolbook" w:cstheme="majorHAnsi"/>
          <w:sz w:val="26"/>
          <w:szCs w:val="26"/>
        </w:rPr>
        <w:t>)</w:t>
      </w:r>
      <w:r w:rsidRPr="003D6C5F">
        <w:rPr>
          <w:rFonts w:ascii="Century Schoolbook" w:hAnsi="Century Schoolbook" w:cstheme="majorHAnsi"/>
          <w:sz w:val="26"/>
          <w:szCs w:val="26"/>
        </w:rPr>
        <w:t>.)  Reversal based on insufficient evidence is warranted only if “it appears ‘that upon no hypothesis whatever is there sufficient substantial evidence to support [the conviction].’ ”  (</w:t>
      </w:r>
      <w:r w:rsidRPr="003D6C5F">
        <w:rPr>
          <w:rFonts w:ascii="Century Schoolbook" w:hAnsi="Century Schoolbook" w:cstheme="majorHAnsi"/>
          <w:i/>
          <w:iCs/>
          <w:sz w:val="26"/>
          <w:szCs w:val="26"/>
        </w:rPr>
        <w:t>People v. Bolin</w:t>
      </w:r>
      <w:r w:rsidRPr="003D6C5F">
        <w:rPr>
          <w:rFonts w:ascii="Century Schoolbook" w:hAnsi="Century Schoolbook" w:cstheme="majorHAnsi"/>
          <w:sz w:val="26"/>
          <w:szCs w:val="26"/>
        </w:rPr>
        <w:t xml:space="preserve"> (1998) 18 Cal.4th 297, 331.)  </w:t>
      </w:r>
      <w:r w:rsidRPr="003D6C5F">
        <w:rPr>
          <w:rFonts w:ascii="Century Schoolbook" w:eastAsia="Calibri" w:hAnsi="Century Schoolbook"/>
          <w:sz w:val="26"/>
          <w:szCs w:val="26"/>
        </w:rPr>
        <w:t>“ ‘[I]t is the jury, not the appellate court which must be convinced of the defendant’s guilt . . . .’ ”  (</w:t>
      </w:r>
      <w:r w:rsidRPr="003D6C5F">
        <w:rPr>
          <w:rFonts w:ascii="Century Schoolbook" w:eastAsia="Calibri" w:hAnsi="Century Schoolbook"/>
          <w:i/>
          <w:iCs/>
          <w:sz w:val="26"/>
          <w:szCs w:val="26"/>
        </w:rPr>
        <w:t>People v. Nguyen</w:t>
      </w:r>
      <w:r w:rsidRPr="003D6C5F">
        <w:rPr>
          <w:rFonts w:ascii="Century Schoolbook" w:eastAsia="Calibri" w:hAnsi="Century Schoolbook"/>
          <w:sz w:val="26"/>
          <w:szCs w:val="26"/>
        </w:rPr>
        <w:t xml:space="preserve"> (2015) 61 Cal.4th 1015, 1055–1056.)  </w:t>
      </w:r>
      <w:r w:rsidRPr="003D6C5F">
        <w:rPr>
          <w:rFonts w:ascii="Century Schoolbook" w:hAnsi="Century Schoolbook" w:cstheme="majorHAnsi"/>
          <w:sz w:val="26"/>
          <w:szCs w:val="26"/>
        </w:rPr>
        <w:t>The testimony of a single witness, if believed by the trier of fact, is sufficient to support a conviction, unless that testimony is physically impossible or inherently improbable.  (</w:t>
      </w:r>
      <w:r w:rsidRPr="003D6C5F">
        <w:rPr>
          <w:rFonts w:ascii="Century Schoolbook" w:hAnsi="Century Schoolbook" w:cstheme="majorHAnsi"/>
          <w:i/>
          <w:iCs/>
          <w:sz w:val="26"/>
          <w:szCs w:val="26"/>
        </w:rPr>
        <w:t>People v. Young</w:t>
      </w:r>
      <w:r w:rsidRPr="003D6C5F">
        <w:rPr>
          <w:rFonts w:ascii="Century Schoolbook" w:hAnsi="Century Schoolbook" w:cstheme="majorHAnsi"/>
          <w:sz w:val="26"/>
          <w:szCs w:val="26"/>
        </w:rPr>
        <w:t xml:space="preserve"> (2005) 34 Cal.4th 1149, 1181 (</w:t>
      </w:r>
      <w:r w:rsidRPr="003D6C5F">
        <w:rPr>
          <w:rFonts w:ascii="Century Schoolbook" w:hAnsi="Century Schoolbook" w:cstheme="majorHAnsi"/>
          <w:i/>
          <w:iCs/>
          <w:sz w:val="26"/>
          <w:szCs w:val="26"/>
        </w:rPr>
        <w:t>Young</w:t>
      </w:r>
      <w:r w:rsidRPr="003D6C5F">
        <w:rPr>
          <w:rFonts w:ascii="Century Schoolbook" w:hAnsi="Century Schoolbook" w:cstheme="majorHAnsi"/>
          <w:sz w:val="26"/>
          <w:szCs w:val="26"/>
        </w:rPr>
        <w:t>).)  “A</w:t>
      </w:r>
      <w:r w:rsidR="00A95911">
        <w:rPr>
          <w:rFonts w:ascii="Century Schoolbook" w:hAnsi="Century Schoolbook" w:cstheme="majorHAnsi"/>
          <w:sz w:val="26"/>
          <w:szCs w:val="26"/>
        </w:rPr>
        <w:t> </w:t>
      </w:r>
      <w:r w:rsidRPr="003D6C5F">
        <w:rPr>
          <w:rFonts w:ascii="Century Schoolbook" w:hAnsi="Century Schoolbook" w:cstheme="majorHAnsi"/>
          <w:sz w:val="26"/>
          <w:szCs w:val="26"/>
        </w:rPr>
        <w:t>sufficiency of evidence challenge to a special circumstance finding is reviewed under the same test applied to a conviction.”  (</w:t>
      </w:r>
      <w:r w:rsidRPr="003D6C5F">
        <w:rPr>
          <w:rFonts w:ascii="Century Schoolbook" w:hAnsi="Century Schoolbook" w:cstheme="majorHAnsi"/>
          <w:i/>
          <w:iCs/>
          <w:sz w:val="26"/>
          <w:szCs w:val="26"/>
        </w:rPr>
        <w:t>People v. Stevens</w:t>
      </w:r>
      <w:r w:rsidRPr="003D6C5F">
        <w:rPr>
          <w:rFonts w:ascii="Century Schoolbook" w:hAnsi="Century Schoolbook" w:cstheme="majorHAnsi"/>
          <w:sz w:val="26"/>
          <w:szCs w:val="26"/>
        </w:rPr>
        <w:t xml:space="preserve"> (2007) 41 Cal.4th 182, 201 (</w:t>
      </w:r>
      <w:r w:rsidRPr="003D6C5F">
        <w:rPr>
          <w:rFonts w:ascii="Century Schoolbook" w:hAnsi="Century Schoolbook" w:cstheme="majorHAnsi"/>
          <w:i/>
          <w:iCs/>
          <w:sz w:val="26"/>
          <w:szCs w:val="26"/>
        </w:rPr>
        <w:t>Stevens</w:t>
      </w:r>
      <w:r w:rsidRPr="003D6C5F">
        <w:rPr>
          <w:rFonts w:ascii="Century Schoolbook" w:hAnsi="Century Schoolbook" w:cstheme="majorHAnsi"/>
          <w:sz w:val="26"/>
          <w:szCs w:val="26"/>
        </w:rPr>
        <w:t xml:space="preserve">).)  In reviewing the sufficiency of the evidence to determine whether retrial is permissible for purposes of double jeopardy, we “must consider </w:t>
      </w:r>
      <w:r w:rsidRPr="003D6C5F">
        <w:rPr>
          <w:rFonts w:ascii="Century Schoolbook" w:hAnsi="Century Schoolbook" w:cstheme="majorHAnsi"/>
          <w:i/>
          <w:iCs/>
          <w:sz w:val="26"/>
          <w:szCs w:val="26"/>
        </w:rPr>
        <w:t>all</w:t>
      </w:r>
      <w:r w:rsidRPr="003D6C5F">
        <w:rPr>
          <w:rFonts w:ascii="Century Schoolbook" w:hAnsi="Century Schoolbook" w:cstheme="majorHAnsi"/>
          <w:sz w:val="26"/>
          <w:szCs w:val="26"/>
        </w:rPr>
        <w:t xml:space="preserve"> of the evidence presented at trial, including evidence that should not have been admitted.”  (</w:t>
      </w:r>
      <w:r w:rsidRPr="003D6C5F">
        <w:rPr>
          <w:rFonts w:ascii="Century Schoolbook" w:hAnsi="Century Schoolbook" w:cstheme="majorHAnsi"/>
          <w:i/>
          <w:iCs/>
          <w:sz w:val="26"/>
          <w:szCs w:val="26"/>
        </w:rPr>
        <w:t>People v. Story</w:t>
      </w:r>
      <w:r w:rsidRPr="003D6C5F">
        <w:rPr>
          <w:rFonts w:ascii="Century Schoolbook" w:hAnsi="Century Schoolbook" w:cstheme="majorHAnsi"/>
          <w:sz w:val="26"/>
          <w:szCs w:val="26"/>
        </w:rPr>
        <w:t xml:space="preserve"> (2009) 45 Cal.4th 1282, 1296.)</w:t>
      </w:r>
    </w:p>
    <w:p w:rsidR="00D77362" w:rsidRPr="003D6C5F" w:rsidP="00D77362" w14:paraId="70FFB397" w14:textId="7DE5BD99">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The jury </w:t>
      </w:r>
      <w:r w:rsidRPr="003D6C5F" w:rsidR="00425AAA">
        <w:rPr>
          <w:rFonts w:ascii="Century Schoolbook" w:hAnsi="Century Schoolbook" w:cstheme="majorHAnsi"/>
          <w:sz w:val="26"/>
          <w:szCs w:val="26"/>
        </w:rPr>
        <w:t>convicted</w:t>
      </w:r>
      <w:r w:rsidRPr="003D6C5F">
        <w:rPr>
          <w:rFonts w:ascii="Century Schoolbook" w:hAnsi="Century Schoolbook" w:cstheme="majorHAnsi"/>
          <w:sz w:val="26"/>
          <w:szCs w:val="26"/>
        </w:rPr>
        <w:t xml:space="preserve"> Ramirez of first degree murder and found true the special circumstance allegation that he intentionally killed Samuel while lying in wait.  The court instructed the jury that Ramirez could be guilty as a direct perpetrator or by aiding and abetting the perpetrator.  (CALCRIM Nos. 400, 401.) </w:t>
      </w:r>
      <w:r w:rsidRPr="003D6C5F" w:rsidR="00F20B83">
        <w:rPr>
          <w:rFonts w:ascii="Century Schoolbook" w:hAnsi="Century Schoolbook" w:cstheme="majorHAnsi"/>
          <w:sz w:val="26"/>
          <w:szCs w:val="26"/>
        </w:rPr>
        <w:t xml:space="preserve"> </w:t>
      </w:r>
      <w:r w:rsidRPr="003D6C5F">
        <w:rPr>
          <w:rFonts w:ascii="Century Schoolbook" w:hAnsi="Century Schoolbook" w:cstheme="majorHAnsi"/>
          <w:sz w:val="26"/>
          <w:szCs w:val="26"/>
        </w:rPr>
        <w:t>“Aiders and abettors may . . . be convicted of first degree premeditated murder based on direct aiding and abetting principles.  [Citation.]  Under those principles, the</w:t>
      </w:r>
      <w:r w:rsidR="00015856">
        <w:rPr>
          <w:rFonts w:ascii="Century Schoolbook" w:hAnsi="Century Schoolbook" w:cstheme="majorHAnsi"/>
          <w:sz w:val="26"/>
          <w:szCs w:val="26"/>
        </w:rPr>
        <w:t> </w:t>
      </w:r>
      <w:r w:rsidRPr="003D6C5F">
        <w:rPr>
          <w:rFonts w:ascii="Century Schoolbook" w:hAnsi="Century Schoolbook" w:cstheme="majorHAnsi"/>
          <w:sz w:val="26"/>
          <w:szCs w:val="26"/>
        </w:rPr>
        <w:t>prosecution must show that the defendant aided or encouraged the commission of the murder with knowledge of the unlawful purpose of the perpetrator and with the intent or purpose of committing, encouraging, or facilitating its commission.  [Citation.]  Because the mental state component—consisting of intent and knowledge—extends to the entire crime, it preserves the distinction between assisting the predicate crime of second degree murder and assisting the greater offense of first degree premeditated murder.  [Citation.]  An aider and abettor who knowingly and intentionally assists a confederate to kill someone could be found to have acted willfully, deliberately, and with premeditation, having formed his own culpable intent.  Such an aider and abettor, then, acts with the mens rea required for first degree murder.”  (</w:t>
      </w:r>
      <w:r w:rsidRPr="003D6C5F">
        <w:rPr>
          <w:rFonts w:ascii="Century Schoolbook" w:hAnsi="Century Schoolbook" w:cstheme="majorHAnsi"/>
          <w:i/>
          <w:iCs/>
          <w:sz w:val="26"/>
          <w:szCs w:val="26"/>
        </w:rPr>
        <w:t>People v. Chiu</w:t>
      </w:r>
      <w:r w:rsidRPr="003D6C5F">
        <w:rPr>
          <w:rFonts w:ascii="Century Schoolbook" w:hAnsi="Century Schoolbook" w:cstheme="majorHAnsi"/>
          <w:sz w:val="26"/>
          <w:szCs w:val="26"/>
        </w:rPr>
        <w:t xml:space="preserve"> (2014) 59 Cal.4th 155, 166–167, superseded by statute on another ground as stated in </w:t>
      </w:r>
      <w:r w:rsidRPr="003D6C5F">
        <w:rPr>
          <w:rFonts w:ascii="Century Schoolbook" w:hAnsi="Century Schoolbook" w:cstheme="majorHAnsi"/>
          <w:i/>
          <w:iCs/>
          <w:sz w:val="26"/>
          <w:szCs w:val="26"/>
        </w:rPr>
        <w:t>Lewis</w:t>
      </w:r>
      <w:r w:rsidR="000769A7">
        <w:rPr>
          <w:rFonts w:ascii="Century Schoolbook" w:hAnsi="Century Schoolbook" w:cstheme="majorHAnsi"/>
          <w:i/>
          <w:iCs/>
          <w:sz w:val="26"/>
          <w:szCs w:val="26"/>
        </w:rPr>
        <w:t>, supra,</w:t>
      </w:r>
      <w:r w:rsidRPr="003D6C5F">
        <w:rPr>
          <w:rFonts w:ascii="Century Schoolbook" w:hAnsi="Century Schoolbook" w:cstheme="majorHAnsi"/>
          <w:sz w:val="26"/>
          <w:szCs w:val="26"/>
        </w:rPr>
        <w:t xml:space="preserve"> 11 Cal.5th </w:t>
      </w:r>
      <w:r w:rsidR="000769A7">
        <w:rPr>
          <w:rFonts w:ascii="Century Schoolbook" w:hAnsi="Century Schoolbook" w:cstheme="majorHAnsi"/>
          <w:sz w:val="26"/>
          <w:szCs w:val="26"/>
        </w:rPr>
        <w:t>at p. </w:t>
      </w:r>
      <w:r w:rsidRPr="003D6C5F">
        <w:rPr>
          <w:rFonts w:ascii="Century Schoolbook" w:hAnsi="Century Schoolbook" w:cstheme="majorHAnsi"/>
          <w:sz w:val="26"/>
          <w:szCs w:val="26"/>
        </w:rPr>
        <w:t xml:space="preserve">959, fn. 3.)  The required elements for aiding and abetting are: </w:t>
      </w:r>
      <w:r w:rsidR="003E07DB">
        <w:rPr>
          <w:rFonts w:ascii="Century Schoolbook" w:hAnsi="Century Schoolbook" w:cstheme="majorHAnsi"/>
          <w:sz w:val="26"/>
          <w:szCs w:val="26"/>
        </w:rPr>
        <w:t xml:space="preserve"> </w:t>
      </w:r>
      <w:r w:rsidRPr="003D6C5F">
        <w:rPr>
          <w:rFonts w:ascii="Century Schoolbook" w:hAnsi="Century Schoolbook" w:cstheme="majorHAnsi"/>
          <w:sz w:val="26"/>
          <w:szCs w:val="26"/>
        </w:rPr>
        <w:t>(1) the perpetrator’s commission of the crime; (2) knowledge of the perpetrator’s unlawful purpose, (3) specific intent to aid that purpose, and (4</w:t>
      </w:r>
      <w:r w:rsidRPr="003D6C5F" w:rsidR="008805E9">
        <w:rPr>
          <w:rFonts w:ascii="Century Schoolbook" w:hAnsi="Century Schoolbook" w:cstheme="majorHAnsi"/>
          <w:sz w:val="26"/>
          <w:szCs w:val="26"/>
        </w:rPr>
        <w:t>)</w:t>
      </w:r>
      <w:r w:rsidR="008805E9">
        <w:rPr>
          <w:rFonts w:ascii="Century Schoolbook" w:hAnsi="Century Schoolbook" w:cstheme="majorHAnsi"/>
          <w:sz w:val="26"/>
          <w:szCs w:val="26"/>
        </w:rPr>
        <w:t> </w:t>
      </w:r>
      <w:r w:rsidRPr="003D6C5F">
        <w:rPr>
          <w:rFonts w:ascii="Century Schoolbook" w:hAnsi="Century Schoolbook" w:cstheme="majorHAnsi"/>
          <w:sz w:val="26"/>
          <w:szCs w:val="26"/>
        </w:rPr>
        <w:t>an act by the defendant which facilitates the commission of the crime.  (See CALCRIM No.</w:t>
      </w:r>
      <w:r w:rsidR="00A51562">
        <w:rPr>
          <w:rFonts w:ascii="Century Schoolbook" w:hAnsi="Century Schoolbook" w:cstheme="majorHAnsi"/>
          <w:sz w:val="26"/>
          <w:szCs w:val="26"/>
        </w:rPr>
        <w:t> </w:t>
      </w:r>
      <w:r w:rsidRPr="003D6C5F">
        <w:rPr>
          <w:rFonts w:ascii="Century Schoolbook" w:hAnsi="Century Schoolbook" w:cstheme="majorHAnsi"/>
          <w:sz w:val="26"/>
          <w:szCs w:val="26"/>
        </w:rPr>
        <w:t>401.)</w:t>
      </w:r>
    </w:p>
    <w:p w:rsidR="00D77362" w:rsidRPr="003D6C5F" w:rsidP="00D77362" w14:paraId="1C99A331" w14:textId="45928BDE">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The theories of first degree murder presented to the jury were killing “by means of . . . lying in wait” and “willful, deliberate, and premeditated killing.”  (§ 189, subd. (a).)  Where, as here, a jury is instructed on two theories of first degree murder, a guilty verdict will be upheld if sufficient evidence supports either one of the theories.  (</w:t>
      </w:r>
      <w:r w:rsidRPr="003D6C5F">
        <w:rPr>
          <w:rFonts w:ascii="Century Schoolbook" w:hAnsi="Century Schoolbook" w:cstheme="majorHAnsi"/>
          <w:i/>
          <w:iCs/>
          <w:sz w:val="26"/>
          <w:szCs w:val="26"/>
        </w:rPr>
        <w:t>People v. Sandoval</w:t>
      </w:r>
      <w:r w:rsidRPr="003D6C5F">
        <w:rPr>
          <w:rFonts w:ascii="Century Schoolbook" w:hAnsi="Century Schoolbook" w:cstheme="majorHAnsi"/>
          <w:sz w:val="26"/>
          <w:szCs w:val="26"/>
        </w:rPr>
        <w:t xml:space="preserve"> (2015) 62 Cal.4th 394, 424 [sufficient evidence of premeditation and deliberation, thus no need to decide sufficiency of evidence of murder by means of lying in wait].)  The lying in wait special circumstance requires (1) an intentional murder committed under circumstances that include (2) a concealment of purpose, (3) a substantial period of watching and waiting for an opportune time to strike, and (4) a surprise attack on an unsuspecting victim from an advantageous position.  (</w:t>
      </w:r>
      <w:r w:rsidRPr="003D6C5F">
        <w:rPr>
          <w:rFonts w:ascii="Century Schoolbook" w:hAnsi="Century Schoolbook" w:cstheme="majorHAnsi"/>
          <w:i/>
          <w:iCs/>
          <w:sz w:val="26"/>
          <w:szCs w:val="26"/>
        </w:rPr>
        <w:t>People v. Parker</w:t>
      </w:r>
      <w:r w:rsidRPr="003D6C5F">
        <w:rPr>
          <w:rFonts w:ascii="Century Schoolbook" w:hAnsi="Century Schoolbook" w:cstheme="majorHAnsi"/>
          <w:sz w:val="26"/>
          <w:szCs w:val="26"/>
        </w:rPr>
        <w:t xml:space="preserve"> (2022) 13 Cal.5th 1, 58 (</w:t>
      </w:r>
      <w:r w:rsidRPr="003D6C5F">
        <w:rPr>
          <w:rFonts w:ascii="Century Schoolbook" w:hAnsi="Century Schoolbook" w:cstheme="majorHAnsi"/>
          <w:i/>
          <w:iCs/>
          <w:sz w:val="26"/>
          <w:szCs w:val="26"/>
        </w:rPr>
        <w:t>Parker</w:t>
      </w:r>
      <w:r w:rsidRPr="003D6C5F">
        <w:rPr>
          <w:rFonts w:ascii="Century Schoolbook" w:hAnsi="Century Schoolbook" w:cstheme="majorHAnsi"/>
          <w:sz w:val="26"/>
          <w:szCs w:val="26"/>
        </w:rPr>
        <w:t>).)  “The purpose of the watching and waiting element is to distinguish those cases in which a defendant acts insidiously from those in which he acts out of rash impulse.  [Citation.]  This period need not continue for any particular length “ ‘of time provided that its duration is such as to show a state of mind equivalent to premeditation or deliberation.” ’  [Citation.]  ‘ “ ‘The element of concealment is satisfied by a showing “ ‘that a defendant’s true intent and purpose were concealed by his actions or conduct.  It is not required that he be literally concealed from view before he attacks the victim.’ ” ’ ” ’ ”  (</w:t>
      </w:r>
      <w:r w:rsidRPr="003D6C5F">
        <w:rPr>
          <w:rFonts w:ascii="Century Schoolbook" w:hAnsi="Century Schoolbook" w:cstheme="majorHAnsi"/>
          <w:i/>
          <w:iCs/>
          <w:sz w:val="26"/>
          <w:szCs w:val="26"/>
        </w:rPr>
        <w:t>Stevens, supra,</w:t>
      </w:r>
      <w:r w:rsidRPr="003D6C5F">
        <w:rPr>
          <w:rFonts w:ascii="Century Schoolbook" w:hAnsi="Century Schoolbook" w:cstheme="majorHAnsi"/>
          <w:sz w:val="26"/>
          <w:szCs w:val="26"/>
        </w:rPr>
        <w:t xml:space="preserve"> 41 Cal.4th at p. 202.)  Sufficient evidence of each element was introduced at trial.</w:t>
      </w:r>
    </w:p>
    <w:p w:rsidR="00D77362" w:rsidRPr="003D6C5F" w:rsidP="00D77362" w14:paraId="4D1641AD" w14:textId="2A8D4C0A">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According to Breanna, Ayala lured Samuel to the property with the promise of a “threesome.”  When Breanna told Ayala she was not interested in a threesome, Ayala respond</w:t>
      </w:r>
      <w:r w:rsidRPr="003D6C5F" w:rsidR="00425AAA">
        <w:rPr>
          <w:rFonts w:ascii="Century Schoolbook" w:hAnsi="Century Schoolbook" w:cstheme="majorHAnsi"/>
          <w:sz w:val="26"/>
          <w:szCs w:val="26"/>
        </w:rPr>
        <w:t>ed</w:t>
      </w:r>
      <w:r w:rsidRPr="003D6C5F">
        <w:rPr>
          <w:rFonts w:ascii="Century Schoolbook" w:hAnsi="Century Schoolbook" w:cstheme="majorHAnsi"/>
          <w:sz w:val="26"/>
          <w:szCs w:val="26"/>
        </w:rPr>
        <w:t xml:space="preserve"> that Samuel would “get his threesome” and pounded her fist.  The jury could reasonably infer that the “threesome” Ayala referred to was her, Ramirez and Samuel.  Ayala testified that on the evening of the murder she called Ramirez and asked him to come to her R.V.  She admitted wanting Ramirez there before Samuel arrived and agreed she asked Ramirez to be there as a “protector.”  She also agreed with the prosecutor that </w:t>
      </w:r>
      <w:r w:rsidRPr="003D6C5F" w:rsidR="004D284C">
        <w:rPr>
          <w:rFonts w:ascii="Century Schoolbook" w:hAnsi="Century Schoolbook" w:cstheme="majorHAnsi"/>
          <w:sz w:val="26"/>
          <w:szCs w:val="26"/>
        </w:rPr>
        <w:t>the intended victim</w:t>
      </w:r>
      <w:r w:rsidRPr="003D6C5F">
        <w:rPr>
          <w:rFonts w:ascii="Century Schoolbook" w:hAnsi="Century Schoolbook" w:cstheme="majorHAnsi"/>
          <w:sz w:val="26"/>
          <w:szCs w:val="26"/>
        </w:rPr>
        <w:t xml:space="preserve"> was physically too big for her and Breanna “to take Samuel out” by themselves.  When Ramirez arrived at the R.V., Breanna saw Ayala speak to him and overheard Ayala asking for Ramirez’s help.  Ramirez then went inside the R.V. and Samuel arrived about five minutes later.  Ramirez’s act of secreting himself inside the R.V.</w:t>
      </w:r>
      <w:r w:rsidRPr="003D6C5F" w:rsidR="004D284C">
        <w:rPr>
          <w:rFonts w:ascii="Century Schoolbook" w:hAnsi="Century Schoolbook" w:cstheme="majorHAnsi"/>
          <w:sz w:val="26"/>
          <w:szCs w:val="26"/>
        </w:rPr>
        <w:t>,</w:t>
      </w:r>
      <w:r w:rsidRPr="003D6C5F">
        <w:rPr>
          <w:rFonts w:ascii="Century Schoolbook" w:hAnsi="Century Schoolbook" w:cstheme="majorHAnsi"/>
          <w:sz w:val="26"/>
          <w:szCs w:val="26"/>
        </w:rPr>
        <w:t xml:space="preserve"> instead of waiting outside with Ayala to meet Samuel and protect her, supports the inference defendants planned a surprise attack on Samuel from an advantageous position.  (</w:t>
      </w:r>
      <w:r w:rsidRPr="003D6C5F">
        <w:rPr>
          <w:rFonts w:ascii="Century Schoolbook" w:hAnsi="Century Schoolbook" w:cstheme="majorHAnsi"/>
          <w:i/>
          <w:iCs/>
          <w:sz w:val="26"/>
          <w:szCs w:val="26"/>
        </w:rPr>
        <w:t>Parker,</w:t>
      </w:r>
      <w:r w:rsidRPr="003D6C5F">
        <w:rPr>
          <w:rFonts w:ascii="Century Schoolbook" w:hAnsi="Century Schoolbook" w:cstheme="majorHAnsi"/>
          <w:sz w:val="26"/>
          <w:szCs w:val="26"/>
        </w:rPr>
        <w:t xml:space="preserve"> </w:t>
      </w:r>
      <w:r w:rsidRPr="003D6C5F">
        <w:rPr>
          <w:rFonts w:ascii="Century Schoolbook" w:hAnsi="Century Schoolbook" w:cstheme="majorHAnsi"/>
          <w:i/>
          <w:iCs/>
          <w:sz w:val="26"/>
          <w:szCs w:val="26"/>
        </w:rPr>
        <w:t>supra</w:t>
      </w:r>
      <w:r w:rsidRPr="003D6C5F">
        <w:rPr>
          <w:rFonts w:ascii="Century Schoolbook" w:hAnsi="Century Schoolbook" w:cstheme="majorHAnsi"/>
          <w:sz w:val="26"/>
          <w:szCs w:val="26"/>
        </w:rPr>
        <w:t>, 13 Cal.5th at p. 58.)</w:t>
      </w:r>
    </w:p>
    <w:p w:rsidR="00D77362" w:rsidRPr="003D6C5F" w:rsidP="00D77362" w14:paraId="69E2707F" w14:textId="5E4A9624">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Breanna saw Samuel get out of his car, talk briefly with Ayala, and then go with her into the R.V.  About three to five minutes after Samuel went inside the R.V., Breanna heard a man screaming in pain.  Shortly after the screaming started, Breanna heard Ayala yell for Angel.  When Angel stepped inside the R.V. he saw a man lying on the floor getting beat up by Ayala and Ramirez.  </w:t>
      </w:r>
      <w:r w:rsidRPr="003D6C5F" w:rsidR="004D284C">
        <w:rPr>
          <w:rFonts w:ascii="Century Schoolbook" w:hAnsi="Century Schoolbook" w:cstheme="majorHAnsi"/>
          <w:sz w:val="26"/>
          <w:szCs w:val="26"/>
        </w:rPr>
        <w:t>He specifically observed</w:t>
      </w:r>
      <w:r w:rsidRPr="003D6C5F">
        <w:rPr>
          <w:rFonts w:ascii="Century Schoolbook" w:hAnsi="Century Schoolbook" w:cstheme="majorHAnsi"/>
          <w:sz w:val="26"/>
          <w:szCs w:val="26"/>
        </w:rPr>
        <w:t xml:space="preserve"> Ramirez hitting Samuel in the </w:t>
      </w:r>
      <w:r w:rsidRPr="003D6C5F" w:rsidR="004D284C">
        <w:rPr>
          <w:rFonts w:ascii="Century Schoolbook" w:hAnsi="Century Schoolbook" w:cstheme="majorHAnsi"/>
          <w:sz w:val="26"/>
          <w:szCs w:val="26"/>
        </w:rPr>
        <w:t xml:space="preserve">head and </w:t>
      </w:r>
      <w:r w:rsidRPr="003D6C5F">
        <w:rPr>
          <w:rFonts w:ascii="Century Schoolbook" w:hAnsi="Century Schoolbook" w:cstheme="majorHAnsi"/>
          <w:sz w:val="26"/>
          <w:szCs w:val="26"/>
        </w:rPr>
        <w:t>torso.  Ramirez helped Angel put Samuel’s body in the fire</w:t>
      </w:r>
      <w:r w:rsidRPr="003D6C5F" w:rsidR="004D284C">
        <w:rPr>
          <w:rFonts w:ascii="Century Schoolbook" w:hAnsi="Century Schoolbook" w:cstheme="majorHAnsi"/>
          <w:sz w:val="26"/>
          <w:szCs w:val="26"/>
        </w:rPr>
        <w:t>,</w:t>
      </w:r>
      <w:r w:rsidRPr="003D6C5F">
        <w:rPr>
          <w:rFonts w:ascii="Century Schoolbook" w:hAnsi="Century Schoolbook" w:cstheme="majorHAnsi"/>
          <w:sz w:val="26"/>
          <w:szCs w:val="26"/>
        </w:rPr>
        <w:t xml:space="preserve"> then burned his clothes, washed himself, and put on different clothes.  </w:t>
      </w:r>
    </w:p>
    <w:p w:rsidR="00D77362" w:rsidRPr="003D6C5F" w:rsidP="00D77362" w14:paraId="2F02B27F" w14:textId="6C555CBE">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A jury could reasonably conclude this evidence supports the four elements of lying in wait and the inference that Ramirez had the opportunity to reflect on his intentions and did not act “out of rash impulse.</w:t>
      </w:r>
      <w:r w:rsidR="005F4440">
        <w:rPr>
          <w:rFonts w:ascii="Century Schoolbook" w:hAnsi="Century Schoolbook" w:cstheme="majorHAnsi"/>
          <w:sz w:val="26"/>
          <w:szCs w:val="26"/>
        </w:rPr>
        <w:t>”</w:t>
      </w:r>
      <w:r w:rsidRPr="003D6C5F">
        <w:rPr>
          <w:rFonts w:ascii="Century Schoolbook" w:hAnsi="Century Schoolbook" w:cstheme="majorHAnsi"/>
          <w:sz w:val="26"/>
          <w:szCs w:val="26"/>
        </w:rPr>
        <w:t xml:space="preserve">  (</w:t>
      </w:r>
      <w:r w:rsidRPr="003D6C5F">
        <w:rPr>
          <w:rFonts w:ascii="Century Schoolbook" w:hAnsi="Century Schoolbook" w:cstheme="majorHAnsi"/>
          <w:i/>
          <w:iCs/>
          <w:sz w:val="26"/>
          <w:szCs w:val="26"/>
        </w:rPr>
        <w:t>Stevens, supra,</w:t>
      </w:r>
      <w:r w:rsidRPr="003D6C5F">
        <w:rPr>
          <w:rFonts w:ascii="Century Schoolbook" w:hAnsi="Century Schoolbook" w:cstheme="majorHAnsi"/>
          <w:sz w:val="26"/>
          <w:szCs w:val="26"/>
        </w:rPr>
        <w:t xml:space="preserve"> 41 Cal.4th at p. 202.)  Ramirez’s presence at the scene of the crime, his close companionship with Ayala, tossing Samuel into the fire, and his conduct after the offense also support aiding and abetting liability.  (</w:t>
      </w:r>
      <w:r w:rsidRPr="003D6C5F">
        <w:rPr>
          <w:rFonts w:ascii="Century Schoolbook" w:hAnsi="Century Schoolbook" w:cstheme="majorHAnsi"/>
          <w:i/>
          <w:iCs/>
          <w:sz w:val="26"/>
          <w:szCs w:val="26"/>
        </w:rPr>
        <w:t>People v.</w:t>
      </w:r>
      <w:r w:rsidRPr="003D6C5F">
        <w:rPr>
          <w:rFonts w:ascii="Century Schoolbook" w:hAnsi="Century Schoolbook" w:cstheme="majorHAnsi"/>
          <w:sz w:val="26"/>
          <w:szCs w:val="26"/>
        </w:rPr>
        <w:t xml:space="preserve"> </w:t>
      </w:r>
      <w:r w:rsidRPr="003D6C5F">
        <w:rPr>
          <w:rFonts w:ascii="Century Schoolbook" w:hAnsi="Century Schoolbook" w:cstheme="majorHAnsi"/>
          <w:i/>
          <w:iCs/>
          <w:sz w:val="26"/>
          <w:szCs w:val="26"/>
        </w:rPr>
        <w:t>Campbell</w:t>
      </w:r>
      <w:r w:rsidRPr="003D6C5F">
        <w:rPr>
          <w:rFonts w:ascii="Century Schoolbook" w:hAnsi="Century Schoolbook" w:cstheme="majorHAnsi"/>
          <w:sz w:val="26"/>
          <w:szCs w:val="26"/>
        </w:rPr>
        <w:t xml:space="preserve"> (1994) 25 Cal.App.4th 402, 409 [factors to consider in determining aiding and abetting include presence at the scene of the crime, companionship, and conduct before and after the offense].)  </w:t>
      </w:r>
    </w:p>
    <w:p w:rsidR="00D77362" w:rsidRPr="003D6C5F" w:rsidP="00D77362" w14:paraId="15867D5E" w14:textId="77777777">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In sum, the totality of the evidence is sufficient for a reasonable jury to conclude Ramirez committed first degree murder or lying in wait, to allow retrial for the murder charge and special allegation against him.</w:t>
      </w:r>
    </w:p>
    <w:p w:rsidR="00D77362" w:rsidRPr="003D6C5F" w:rsidP="00315C93" w14:paraId="638440B5" w14:textId="611ECC4F">
      <w:pPr>
        <w:pStyle w:val="Heading3"/>
        <w:spacing w:before="120"/>
        <w:ind w:left="720" w:hanging="720"/>
        <w:rPr>
          <w:rFonts w:ascii="Century Schoolbook" w:hAnsi="Century Schoolbook"/>
          <w:bCs/>
          <w:i/>
          <w:iCs/>
          <w:sz w:val="26"/>
          <w:szCs w:val="26"/>
        </w:rPr>
      </w:pPr>
      <w:r w:rsidRPr="003D6C5F">
        <w:rPr>
          <w:rFonts w:ascii="Century Schoolbook" w:hAnsi="Century Schoolbook" w:cstheme="majorHAnsi"/>
          <w:bCs/>
          <w:sz w:val="26"/>
          <w:szCs w:val="26"/>
        </w:rPr>
        <w:t>C</w:t>
      </w:r>
      <w:r w:rsidRPr="003D6C5F">
        <w:rPr>
          <w:rFonts w:ascii="Century Schoolbook" w:hAnsi="Century Schoolbook"/>
          <w:bCs/>
          <w:i/>
          <w:iCs/>
          <w:sz w:val="26"/>
          <w:szCs w:val="26"/>
        </w:rPr>
        <w:t xml:space="preserve">. </w:t>
      </w:r>
      <w:r w:rsidR="00315C93">
        <w:rPr>
          <w:rFonts w:ascii="Century Schoolbook" w:hAnsi="Century Schoolbook"/>
          <w:bCs/>
          <w:i/>
          <w:iCs/>
          <w:sz w:val="26"/>
          <w:szCs w:val="26"/>
        </w:rPr>
        <w:tab/>
      </w:r>
      <w:r w:rsidRPr="003D6C5F">
        <w:rPr>
          <w:rFonts w:ascii="Century Schoolbook" w:hAnsi="Century Schoolbook"/>
          <w:bCs/>
          <w:i/>
          <w:iCs/>
          <w:sz w:val="26"/>
          <w:szCs w:val="26"/>
        </w:rPr>
        <w:t>The Torture Murder Special Circumstance Allegation May</w:t>
      </w:r>
      <w:r w:rsidR="00315C93">
        <w:rPr>
          <w:rFonts w:ascii="Century Schoolbook" w:hAnsi="Century Schoolbook"/>
          <w:bCs/>
          <w:i/>
          <w:iCs/>
          <w:sz w:val="26"/>
          <w:szCs w:val="26"/>
        </w:rPr>
        <w:t> </w:t>
      </w:r>
      <w:r w:rsidRPr="003D6C5F">
        <w:rPr>
          <w:rFonts w:ascii="Century Schoolbook" w:hAnsi="Century Schoolbook"/>
          <w:bCs/>
          <w:i/>
          <w:iCs/>
          <w:sz w:val="26"/>
          <w:szCs w:val="26"/>
        </w:rPr>
        <w:t>be</w:t>
      </w:r>
      <w:r w:rsidR="00315C93">
        <w:rPr>
          <w:rFonts w:ascii="Century Schoolbook" w:hAnsi="Century Schoolbook"/>
          <w:bCs/>
          <w:i/>
          <w:iCs/>
          <w:sz w:val="26"/>
          <w:szCs w:val="26"/>
        </w:rPr>
        <w:t> </w:t>
      </w:r>
      <w:r w:rsidRPr="003D6C5F">
        <w:rPr>
          <w:rFonts w:ascii="Century Schoolbook" w:hAnsi="Century Schoolbook"/>
          <w:bCs/>
          <w:i/>
          <w:iCs/>
          <w:sz w:val="26"/>
          <w:szCs w:val="26"/>
        </w:rPr>
        <w:t>Retried</w:t>
      </w:r>
    </w:p>
    <w:p w:rsidR="00D77362" w:rsidRPr="003D6C5F" w:rsidP="00D77362" w14:paraId="63B35D7B" w14:textId="77777777">
      <w:pPr>
        <w:rPr>
          <w:rFonts w:ascii="Century Schoolbook" w:hAnsi="Century Schoolbook" w:cstheme="majorHAnsi"/>
          <w:sz w:val="26"/>
          <w:szCs w:val="26"/>
        </w:rPr>
      </w:pPr>
    </w:p>
    <w:p w:rsidR="00D77362" w:rsidRPr="003D6C5F" w:rsidP="00D77362" w14:paraId="73162FF1" w14:textId="6E6EDC62">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“To prove a torture-murder special circumstance, the prosecution must show that defendant intended to kill and had a torturous intent, i.e., an intent to cause extreme pain or suffering for the purpose of revenge, extortion, persuasion, or another sadistic purpose.”  (</w:t>
      </w:r>
      <w:r w:rsidRPr="003D6C5F">
        <w:rPr>
          <w:rFonts w:ascii="Century Schoolbook" w:hAnsi="Century Schoolbook" w:cstheme="majorHAnsi"/>
          <w:i/>
          <w:iCs/>
          <w:sz w:val="26"/>
          <w:szCs w:val="26"/>
        </w:rPr>
        <w:t>People v. Streeter</w:t>
      </w:r>
      <w:r w:rsidRPr="003D6C5F">
        <w:rPr>
          <w:rFonts w:ascii="Century Schoolbook" w:hAnsi="Century Schoolbook" w:cstheme="majorHAnsi"/>
          <w:sz w:val="26"/>
          <w:szCs w:val="26"/>
        </w:rPr>
        <w:t xml:space="preserve"> (2012) 54 Cal.4th 205, 237; CALCRIM No. 733.)  The intent to torture “ ‘ “is a state of mind which, unless established by the defendant’s own statements (or by another witness’s description of a defendant’s behavior in committing the offenses), must be proved by the circumstances surrounding the commission of the offense [citations], which include the nature and severity of the victim’s wounds.” ’ ”  (</w:t>
      </w:r>
      <w:r w:rsidRPr="003D6C5F">
        <w:rPr>
          <w:rFonts w:ascii="Century Schoolbook" w:hAnsi="Century Schoolbook" w:cstheme="majorHAnsi"/>
          <w:i/>
          <w:iCs/>
          <w:sz w:val="26"/>
          <w:szCs w:val="26"/>
        </w:rPr>
        <w:t>People v. Tran</w:t>
      </w:r>
      <w:r w:rsidRPr="003D6C5F">
        <w:rPr>
          <w:rFonts w:ascii="Century Schoolbook" w:hAnsi="Century Schoolbook" w:cstheme="majorHAnsi"/>
          <w:sz w:val="26"/>
          <w:szCs w:val="26"/>
        </w:rPr>
        <w:t xml:space="preserve"> (2022) 13 Cal.5th 1169, 1202–1203.)  “[R]evenge, extortion, and persuasion are self-explanatory.  Sadistic purpose encompasses the common meaning, ‘ “the infliction of pain on another person for the purpose of experiencing pleasure.” ’ ”  (</w:t>
      </w:r>
      <w:r w:rsidRPr="003D6C5F">
        <w:rPr>
          <w:rFonts w:ascii="Century Schoolbook" w:hAnsi="Century Schoolbook" w:cstheme="majorHAnsi"/>
          <w:i/>
          <w:iCs/>
          <w:sz w:val="26"/>
          <w:szCs w:val="26"/>
        </w:rPr>
        <w:t>People v. Massie</w:t>
      </w:r>
      <w:r w:rsidRPr="003D6C5F">
        <w:rPr>
          <w:rFonts w:ascii="Century Schoolbook" w:hAnsi="Century Schoolbook" w:cstheme="majorHAnsi"/>
          <w:sz w:val="26"/>
          <w:szCs w:val="26"/>
        </w:rPr>
        <w:t xml:space="preserve"> (2006) 142 Cal.App.4th 365, 371.)  The length of time over which the offense occurred and the severity of any wounds are relevant, but not necessarily determinative.  (</w:t>
      </w:r>
      <w:r w:rsidRPr="003D6C5F">
        <w:rPr>
          <w:rFonts w:ascii="Century Schoolbook" w:hAnsi="Century Schoolbook" w:cstheme="majorHAnsi"/>
          <w:i/>
          <w:iCs/>
          <w:sz w:val="26"/>
          <w:szCs w:val="26"/>
        </w:rPr>
        <w:t>Ibid.</w:t>
      </w:r>
      <w:r w:rsidRPr="003D6C5F">
        <w:rPr>
          <w:rFonts w:ascii="Century Schoolbook" w:hAnsi="Century Schoolbook" w:cstheme="majorHAnsi"/>
          <w:sz w:val="26"/>
          <w:szCs w:val="26"/>
        </w:rPr>
        <w:t xml:space="preserve">)  </w:t>
      </w:r>
    </w:p>
    <w:p w:rsidR="00D77362" w:rsidRPr="003D6C5F" w:rsidP="00D77362" w14:paraId="353A1ED9" w14:textId="77777777">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In cases that “have upheld [torture-murder special circumstance] findings, the evidence has shown that the defendant deliberately inflicted nonfatal wounds or deliberately exposed the victim to prolonged suffering,” thereby demonstrating a “ ‘ “sadistic intent to cause the victim to suffer pain in addition to the pain of death.” ’ ”  (</w:t>
      </w:r>
      <w:r w:rsidRPr="003D6C5F">
        <w:rPr>
          <w:rFonts w:ascii="Century Schoolbook" w:hAnsi="Century Schoolbook" w:cstheme="majorHAnsi"/>
          <w:i/>
          <w:iCs/>
          <w:sz w:val="26"/>
          <w:szCs w:val="26"/>
        </w:rPr>
        <w:t>People v. Mungia</w:t>
      </w:r>
      <w:r w:rsidRPr="003D6C5F">
        <w:rPr>
          <w:rFonts w:ascii="Century Schoolbook" w:hAnsi="Century Schoolbook" w:cstheme="majorHAnsi"/>
          <w:sz w:val="26"/>
          <w:szCs w:val="26"/>
        </w:rPr>
        <w:t xml:space="preserve"> (2008) 44 Cal.4th 1101, 1136, 1137.)  “It is not the amount of pain inflicted which distinguishes a torturer from another murderer, as most killings involve significant pain.  [Citation.]  Rather, it is the state of mind of the torturer—the cold-blooded intent to inflict pain for person gain or satisfaction—which society condemns.”  (</w:t>
      </w:r>
      <w:r w:rsidRPr="003D6C5F">
        <w:rPr>
          <w:rFonts w:ascii="Century Schoolbook" w:hAnsi="Century Schoolbook" w:cstheme="majorHAnsi"/>
          <w:i/>
          <w:iCs/>
          <w:sz w:val="26"/>
          <w:szCs w:val="26"/>
        </w:rPr>
        <w:t>People v. Steger</w:t>
      </w:r>
      <w:r w:rsidRPr="003D6C5F">
        <w:rPr>
          <w:rFonts w:ascii="Century Schoolbook" w:hAnsi="Century Schoolbook" w:cstheme="majorHAnsi"/>
          <w:sz w:val="26"/>
          <w:szCs w:val="26"/>
        </w:rPr>
        <w:t xml:space="preserve"> (1976) 16 Cal.3d 539, 546.)</w:t>
      </w:r>
    </w:p>
    <w:p w:rsidR="00D77362" w:rsidRPr="003D6C5F" w:rsidP="00D77362" w14:paraId="11BE2CB2" w14:textId="2E099EBA">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Ramirez argues the record does not show he acted with the specific intent to cause extreme pain and suffering or that he wanted revenge, was trying to extort or persuade Samuel, or participated in the murder for any sadistic purpose.</w:t>
      </w:r>
      <w:r>
        <w:rPr>
          <w:rStyle w:val="FootnoteReference"/>
          <w:rFonts w:ascii="Century Schoolbook" w:hAnsi="Century Schoolbook" w:cstheme="majorHAnsi"/>
          <w:szCs w:val="26"/>
        </w:rPr>
        <w:footnoteReference w:id="13"/>
      </w:r>
      <w:r w:rsidRPr="003D6C5F">
        <w:rPr>
          <w:rFonts w:ascii="Century Schoolbook" w:hAnsi="Century Schoolbook" w:cstheme="majorHAnsi"/>
          <w:sz w:val="26"/>
          <w:szCs w:val="26"/>
        </w:rPr>
        <w:t xml:space="preserve">  Based on the evidence adduced at trial, the jury could infer beyond a reasonable doubt that Ramirez intended to cause extreme pain or suffering for a sadistic purpose.</w:t>
      </w:r>
    </w:p>
    <w:p w:rsidR="00D77362" w:rsidRPr="003D6C5F" w:rsidP="00D77362" w14:paraId="47C5758A" w14:textId="53865ACE">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 xml:space="preserve">Angel’s pretrial interviews were admitted at trial and played for the jury.  He told investigators that although it was dark inside the R.V., he could see Samuel on the floor trying to fight as Ramirez hit him.  Angel saw a “big blunt object” in Ramirez’s hand that appeared to be a box with handles and could have been a generator or a skill saw.  Angel claimed Ayala was sitting while Ramirez hit Samuel’s upper torso at least twice with the object.  Angel stated that Samuel was aware of what was happening and “flail[ed]” as he “tr[ied] to get out.”  </w:t>
      </w:r>
    </w:p>
    <w:p w:rsidR="00D77362" w:rsidRPr="003D6C5F" w:rsidP="00D77362" w14:paraId="7D3B16E8" w14:textId="6252E484">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When Ayala and Ramirez told him to move Samuel, Angel could hear Samuel “grasping for his life.”  Angel saw that Samuel’s face was bashed in, part of his neck was missing, and Samuel was trying to breathe.  Angel told investigators that Samuel was still alive when his body slid out of the R.V. because “you could see in his neck that he was still breathing.”  After Ramirez asked for Angel’s help in dragging Samuel, each man grabbed one side of the body.  Angel stated that when Samuel was placed in the fire he was alive because he saw Samuel’s Adam’s apple pulsing, then about ten minutes later he saw Samuel’s eyes roll back and the pulsing stopped.</w:t>
      </w:r>
    </w:p>
    <w:p w:rsidR="00D77362" w:rsidRPr="003D6C5F" w:rsidP="00D77362" w14:paraId="5EEAB213" w14:textId="09A3442D">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 xml:space="preserve">Although there is no direct evidence Ramirez knew Samuel was still alive when he and Angel place him in the fire, the jury could reasonably infer that Ramirez, who helped Angel drag Samuel to the fire, saw what Angel observed, namely, that Samuel was still alive but likely was dying from the severe wounds to his head and neck.  Although Ramirez could have killed Samuel with another blow, he chose instead to place </w:t>
      </w:r>
      <w:r w:rsidRPr="003D6C5F" w:rsidR="00A542FA">
        <w:rPr>
          <w:rFonts w:ascii="Century Schoolbook" w:hAnsi="Century Schoolbook" w:cstheme="majorHAnsi"/>
          <w:sz w:val="26"/>
          <w:szCs w:val="26"/>
        </w:rPr>
        <w:t>him</w:t>
      </w:r>
      <w:r w:rsidRPr="003D6C5F">
        <w:rPr>
          <w:rFonts w:ascii="Century Schoolbook" w:hAnsi="Century Schoolbook" w:cstheme="majorHAnsi"/>
          <w:sz w:val="26"/>
          <w:szCs w:val="26"/>
        </w:rPr>
        <w:t xml:space="preserve"> into the fire where </w:t>
      </w:r>
      <w:r w:rsidRPr="003D6C5F" w:rsidR="00A542FA">
        <w:rPr>
          <w:rFonts w:ascii="Century Schoolbook" w:hAnsi="Century Schoolbook" w:cstheme="majorHAnsi"/>
          <w:sz w:val="26"/>
          <w:szCs w:val="26"/>
        </w:rPr>
        <w:t>he</w:t>
      </w:r>
      <w:r w:rsidRPr="003D6C5F">
        <w:rPr>
          <w:rFonts w:ascii="Century Schoolbook" w:hAnsi="Century Schoolbook" w:cstheme="majorHAnsi"/>
          <w:sz w:val="26"/>
          <w:szCs w:val="26"/>
        </w:rPr>
        <w:t xml:space="preserve"> arguably survived for about ten minutes.  A</w:t>
      </w:r>
      <w:r w:rsidRPr="003D6C5F" w:rsidR="00A542FA">
        <w:rPr>
          <w:rFonts w:ascii="Century Schoolbook" w:hAnsi="Century Schoolbook" w:cstheme="majorHAnsi"/>
          <w:sz w:val="26"/>
          <w:szCs w:val="26"/>
        </w:rPr>
        <w:t>lthough other inferences are possible, a</w:t>
      </w:r>
      <w:r w:rsidRPr="003D6C5F">
        <w:rPr>
          <w:rFonts w:ascii="Century Schoolbook" w:hAnsi="Century Schoolbook" w:cstheme="majorHAnsi"/>
          <w:sz w:val="26"/>
          <w:szCs w:val="26"/>
        </w:rPr>
        <w:t xml:space="preserve"> rational jury could infer that by placing Samuel </w:t>
      </w:r>
      <w:r w:rsidRPr="003D6C5F" w:rsidR="00A542FA">
        <w:rPr>
          <w:rFonts w:ascii="Century Schoolbook" w:hAnsi="Century Schoolbook" w:cstheme="majorHAnsi"/>
          <w:sz w:val="26"/>
          <w:szCs w:val="26"/>
        </w:rPr>
        <w:t xml:space="preserve">alive </w:t>
      </w:r>
      <w:r w:rsidRPr="003D6C5F">
        <w:rPr>
          <w:rFonts w:ascii="Century Schoolbook" w:hAnsi="Century Schoolbook" w:cstheme="majorHAnsi"/>
          <w:sz w:val="26"/>
          <w:szCs w:val="26"/>
        </w:rPr>
        <w:t xml:space="preserve">into the fire, Ramirez deliberately and intentionally caused Samuel extreme pain or prolonged suffering to satisfy a sadistic impulse or purpose.  Because the focus “is on defendant’s </w:t>
      </w:r>
      <w:r w:rsidRPr="003D6C5F">
        <w:rPr>
          <w:rFonts w:ascii="Century Schoolbook" w:hAnsi="Century Schoolbook" w:cstheme="majorHAnsi"/>
          <w:i/>
          <w:iCs/>
          <w:sz w:val="26"/>
          <w:szCs w:val="26"/>
        </w:rPr>
        <w:t>intent</w:t>
      </w:r>
      <w:r w:rsidRPr="003D6C5F">
        <w:rPr>
          <w:rFonts w:ascii="Century Schoolbook" w:hAnsi="Century Schoolbook" w:cstheme="majorHAnsi"/>
          <w:sz w:val="26"/>
          <w:szCs w:val="26"/>
        </w:rPr>
        <w:t xml:space="preserve"> to inflict pain and suffering, . . . [i]t need not be demonstrated that the victim was actually conscious and suffered pain at the time otherwise painful injuries were inflicted.”  (</w:t>
      </w:r>
      <w:r w:rsidRPr="003D6C5F">
        <w:rPr>
          <w:rFonts w:ascii="Century Schoolbook" w:hAnsi="Century Schoolbook" w:cstheme="majorHAnsi"/>
          <w:i/>
          <w:iCs/>
          <w:sz w:val="26"/>
          <w:szCs w:val="26"/>
        </w:rPr>
        <w:t>People v. Powell</w:t>
      </w:r>
      <w:r w:rsidRPr="003D6C5F">
        <w:rPr>
          <w:rFonts w:ascii="Century Schoolbook" w:hAnsi="Century Schoolbook" w:cstheme="majorHAnsi"/>
          <w:sz w:val="26"/>
          <w:szCs w:val="26"/>
        </w:rPr>
        <w:t xml:space="preserve"> (2018) 5</w:t>
      </w:r>
      <w:r w:rsidR="00A41702">
        <w:rPr>
          <w:rFonts w:ascii="Century Schoolbook" w:hAnsi="Century Schoolbook" w:cstheme="majorHAnsi"/>
          <w:sz w:val="26"/>
          <w:szCs w:val="26"/>
        </w:rPr>
        <w:t> </w:t>
      </w:r>
      <w:r w:rsidRPr="003D6C5F">
        <w:rPr>
          <w:rFonts w:ascii="Century Schoolbook" w:hAnsi="Century Schoolbook" w:cstheme="majorHAnsi"/>
          <w:sz w:val="26"/>
          <w:szCs w:val="26"/>
        </w:rPr>
        <w:t>Cal.5th 921, 945.)  Accordingly, we conclude the torture special circumstance allegation may be retried on remand.</w:t>
      </w:r>
    </w:p>
    <w:p w:rsidR="00E341D3" w:rsidRPr="003D6C5F" w:rsidP="000B1ECC" w14:paraId="4F36D348" w14:textId="21AE5F53">
      <w:pPr>
        <w:pStyle w:val="Heading2"/>
        <w:spacing w:before="120" w:after="240"/>
        <w:jc w:val="left"/>
        <w:rPr>
          <w:rFonts w:ascii="Century Schoolbook" w:hAnsi="Century Schoolbook"/>
          <w:b/>
          <w:bCs/>
          <w:sz w:val="26"/>
          <w:szCs w:val="26"/>
        </w:rPr>
      </w:pPr>
      <w:r w:rsidRPr="003D6C5F">
        <w:rPr>
          <w:rFonts w:ascii="Century Schoolbook" w:eastAsia="Calibri" w:hAnsi="Century Schoolbook"/>
          <w:b/>
          <w:bCs/>
          <w:i w:val="0"/>
          <w:iCs/>
          <w:sz w:val="26"/>
          <w:szCs w:val="26"/>
        </w:rPr>
        <w:t>D</w:t>
      </w:r>
      <w:bookmarkStart w:id="23" w:name="_Hlk155191545"/>
      <w:r w:rsidRPr="003D6C5F" w:rsidR="00CF4701">
        <w:rPr>
          <w:rFonts w:ascii="Century Schoolbook" w:hAnsi="Century Schoolbook"/>
          <w:b/>
          <w:bCs/>
          <w:i w:val="0"/>
          <w:iCs/>
          <w:sz w:val="26"/>
          <w:szCs w:val="26"/>
        </w:rPr>
        <w:t>.</w:t>
      </w:r>
      <w:r w:rsidRPr="003D6C5F" w:rsidR="009414EA">
        <w:rPr>
          <w:rFonts w:ascii="Century Schoolbook" w:hAnsi="Century Schoolbook"/>
          <w:b/>
          <w:bCs/>
          <w:i w:val="0"/>
          <w:iCs/>
          <w:sz w:val="26"/>
          <w:szCs w:val="26"/>
        </w:rPr>
        <w:t xml:space="preserve"> </w:t>
      </w:r>
      <w:r w:rsidR="003D6C5F">
        <w:rPr>
          <w:rFonts w:ascii="Century Schoolbook" w:hAnsi="Century Schoolbook"/>
          <w:b/>
          <w:bCs/>
          <w:i w:val="0"/>
          <w:iCs/>
          <w:sz w:val="26"/>
          <w:szCs w:val="26"/>
        </w:rPr>
        <w:t xml:space="preserve"> </w:t>
      </w:r>
      <w:r w:rsidR="00870E42">
        <w:rPr>
          <w:rFonts w:ascii="Century Schoolbook" w:hAnsi="Century Schoolbook"/>
          <w:b/>
          <w:bCs/>
          <w:i w:val="0"/>
          <w:iCs/>
          <w:sz w:val="26"/>
          <w:szCs w:val="26"/>
        </w:rPr>
        <w:tab/>
      </w:r>
      <w:r w:rsidRPr="003D6C5F" w:rsidR="00BF48BD">
        <w:rPr>
          <w:rFonts w:ascii="Century Schoolbook" w:hAnsi="Century Schoolbook"/>
          <w:b/>
          <w:bCs/>
          <w:sz w:val="26"/>
          <w:szCs w:val="26"/>
        </w:rPr>
        <w:t xml:space="preserve">The Court </w:t>
      </w:r>
      <w:r w:rsidRPr="003D6C5F" w:rsidR="00E42F0D">
        <w:rPr>
          <w:rFonts w:ascii="Century Schoolbook" w:hAnsi="Century Schoolbook"/>
          <w:b/>
          <w:bCs/>
          <w:sz w:val="26"/>
          <w:szCs w:val="26"/>
        </w:rPr>
        <w:t>E</w:t>
      </w:r>
      <w:r w:rsidRPr="003D6C5F">
        <w:rPr>
          <w:rFonts w:ascii="Century Schoolbook" w:hAnsi="Century Schoolbook"/>
          <w:b/>
          <w:bCs/>
          <w:sz w:val="26"/>
          <w:szCs w:val="26"/>
        </w:rPr>
        <w:t>rr</w:t>
      </w:r>
      <w:r w:rsidRPr="003D6C5F" w:rsidR="00CC0F64">
        <w:rPr>
          <w:rFonts w:ascii="Century Schoolbook" w:hAnsi="Century Schoolbook"/>
          <w:b/>
          <w:bCs/>
          <w:sz w:val="26"/>
          <w:szCs w:val="26"/>
        </w:rPr>
        <w:t>ed</w:t>
      </w:r>
      <w:r w:rsidRPr="003D6C5F">
        <w:rPr>
          <w:rFonts w:ascii="Century Schoolbook" w:hAnsi="Century Schoolbook"/>
          <w:b/>
          <w:bCs/>
          <w:sz w:val="26"/>
          <w:szCs w:val="26"/>
        </w:rPr>
        <w:t xml:space="preserve"> in Admitting </w:t>
      </w:r>
      <w:r w:rsidRPr="003D6C5F" w:rsidR="002C6553">
        <w:rPr>
          <w:rFonts w:ascii="Century Schoolbook" w:hAnsi="Century Schoolbook"/>
          <w:b/>
          <w:bCs/>
          <w:sz w:val="26"/>
          <w:szCs w:val="26"/>
        </w:rPr>
        <w:t>Evidence of “</w:t>
      </w:r>
      <w:r w:rsidRPr="003D6C5F">
        <w:rPr>
          <w:rFonts w:ascii="Century Schoolbook" w:hAnsi="Century Schoolbook"/>
          <w:b/>
          <w:bCs/>
          <w:sz w:val="26"/>
          <w:szCs w:val="26"/>
        </w:rPr>
        <w:t>Satan Worship</w:t>
      </w:r>
      <w:r w:rsidRPr="003D6C5F" w:rsidR="00DF244A">
        <w:rPr>
          <w:rFonts w:ascii="Century Schoolbook" w:hAnsi="Century Schoolbook"/>
          <w:b/>
          <w:bCs/>
          <w:sz w:val="26"/>
          <w:szCs w:val="26"/>
        </w:rPr>
        <w:t>ing</w:t>
      </w:r>
      <w:r w:rsidRPr="003D6C5F" w:rsidR="002C6553">
        <w:rPr>
          <w:rFonts w:ascii="Century Schoolbook" w:hAnsi="Century Schoolbook"/>
          <w:b/>
          <w:bCs/>
          <w:sz w:val="26"/>
          <w:szCs w:val="26"/>
        </w:rPr>
        <w:t>”</w:t>
      </w:r>
    </w:p>
    <w:p w:rsidR="00C54714" w:rsidRPr="003D6C5F" w:rsidP="000B1ECC" w14:paraId="1603833B" w14:textId="356CDED7">
      <w:pPr>
        <w:spacing w:line="360" w:lineRule="auto"/>
        <w:ind w:firstLine="720"/>
        <w:rPr>
          <w:rFonts w:ascii="Century Schoolbook" w:hAnsi="Century Schoolbook" w:cstheme="majorHAnsi"/>
          <w:sz w:val="26"/>
          <w:szCs w:val="26"/>
        </w:rPr>
      </w:pPr>
      <w:bookmarkStart w:id="24" w:name="_Hlk151471197"/>
      <w:bookmarkEnd w:id="23"/>
      <w:r w:rsidRPr="003D6C5F">
        <w:rPr>
          <w:rFonts w:ascii="Century Schoolbook" w:hAnsi="Century Schoolbook" w:cstheme="majorHAnsi"/>
          <w:sz w:val="26"/>
          <w:szCs w:val="26"/>
        </w:rPr>
        <w:t xml:space="preserve">During opening statements, the prosecutor told the jury </w:t>
      </w:r>
      <w:r w:rsidRPr="003D6C5F" w:rsidR="0079044C">
        <w:rPr>
          <w:rFonts w:ascii="Century Schoolbook" w:hAnsi="Century Schoolbook" w:cstheme="majorHAnsi"/>
          <w:sz w:val="26"/>
          <w:szCs w:val="26"/>
        </w:rPr>
        <w:t xml:space="preserve">that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’s “true religion is the worship of Satan</w:t>
      </w:r>
      <w:r w:rsidRPr="003D6C5F" w:rsidR="0079044C">
        <w:rPr>
          <w:rFonts w:ascii="Century Schoolbook" w:hAnsi="Century Schoolbook" w:cstheme="majorHAnsi"/>
          <w:sz w:val="26"/>
          <w:szCs w:val="26"/>
        </w:rPr>
        <w:t>.</w:t>
      </w:r>
      <w:r w:rsidRPr="003D6C5F">
        <w:rPr>
          <w:rFonts w:ascii="Century Schoolbook" w:hAnsi="Century Schoolbook" w:cstheme="majorHAnsi"/>
          <w:sz w:val="26"/>
          <w:szCs w:val="26"/>
        </w:rPr>
        <w:t xml:space="preserve">” </w:t>
      </w:r>
      <w:r w:rsidRPr="003D6C5F" w:rsidR="0079044C">
        <w:rPr>
          <w:rFonts w:ascii="Century Schoolbook" w:hAnsi="Century Schoolbook" w:cstheme="majorHAnsi"/>
          <w:sz w:val="26"/>
          <w:szCs w:val="26"/>
        </w:rPr>
        <w:t xml:space="preserve"> She claimed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prayed to Satan to let the murder go through and had a “satanistic plan” to kill Samuel.</w:t>
      </w:r>
      <w:r w:rsidRPr="003D6C5F" w:rsidR="00534C3F">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 On the second day of trial,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’s defense counsel moved in limine to exclude any evidence of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’s Satan worshiping and praying to the </w:t>
      </w:r>
      <w:r w:rsidRPr="003D6C5F" w:rsidR="00E431ED">
        <w:rPr>
          <w:rFonts w:ascii="Century Schoolbook" w:hAnsi="Century Schoolbook" w:cstheme="majorHAnsi"/>
          <w:sz w:val="26"/>
          <w:szCs w:val="26"/>
        </w:rPr>
        <w:t>d</w:t>
      </w:r>
      <w:r w:rsidRPr="003D6C5F">
        <w:rPr>
          <w:rFonts w:ascii="Century Schoolbook" w:hAnsi="Century Schoolbook" w:cstheme="majorHAnsi"/>
          <w:sz w:val="26"/>
          <w:szCs w:val="26"/>
        </w:rPr>
        <w:t xml:space="preserve">evil on the ground this evidence was </w:t>
      </w:r>
      <w:r w:rsidRPr="003D6C5F" w:rsidR="009442BA">
        <w:rPr>
          <w:rFonts w:ascii="Century Schoolbook" w:hAnsi="Century Schoolbook" w:cstheme="majorHAnsi"/>
          <w:sz w:val="26"/>
          <w:szCs w:val="26"/>
        </w:rPr>
        <w:t xml:space="preserve">irrelevant, </w:t>
      </w:r>
      <w:r w:rsidRPr="003D6C5F">
        <w:rPr>
          <w:rFonts w:ascii="Century Schoolbook" w:hAnsi="Century Schoolbook" w:cstheme="majorHAnsi"/>
          <w:sz w:val="26"/>
          <w:szCs w:val="26"/>
        </w:rPr>
        <w:t xml:space="preserve">inadmissible </w:t>
      </w:r>
      <w:r w:rsidRPr="003D6C5F" w:rsidR="009442BA">
        <w:rPr>
          <w:rFonts w:ascii="Century Schoolbook" w:hAnsi="Century Schoolbook" w:cstheme="majorHAnsi"/>
          <w:sz w:val="26"/>
          <w:szCs w:val="26"/>
        </w:rPr>
        <w:t xml:space="preserve">uncharged bad acts evidence </w:t>
      </w:r>
      <w:r w:rsidRPr="003D6C5F">
        <w:rPr>
          <w:rFonts w:ascii="Century Schoolbook" w:hAnsi="Century Schoolbook" w:cstheme="majorHAnsi"/>
          <w:sz w:val="26"/>
          <w:szCs w:val="26"/>
        </w:rPr>
        <w:t xml:space="preserve">under Evidence Code section 1101, and more prejudicial than probative. </w:t>
      </w:r>
      <w:r w:rsidRPr="003D6C5F" w:rsidR="00525569">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The trial court </w:t>
      </w:r>
      <w:r w:rsidRPr="003D6C5F" w:rsidR="00525569">
        <w:rPr>
          <w:rFonts w:ascii="Century Schoolbook" w:hAnsi="Century Schoolbook" w:cstheme="majorHAnsi"/>
          <w:sz w:val="26"/>
          <w:szCs w:val="26"/>
        </w:rPr>
        <w:t>denied the motion</w:t>
      </w:r>
      <w:r w:rsidRPr="003D6C5F" w:rsidR="0079044C">
        <w:rPr>
          <w:rFonts w:ascii="Century Schoolbook" w:hAnsi="Century Schoolbook" w:cstheme="majorHAnsi"/>
          <w:sz w:val="26"/>
          <w:szCs w:val="26"/>
        </w:rPr>
        <w:t>,</w:t>
      </w:r>
      <w:r w:rsidRPr="003D6C5F" w:rsidR="00525569">
        <w:rPr>
          <w:rFonts w:ascii="Century Schoolbook" w:hAnsi="Century Schoolbook" w:cstheme="majorHAnsi"/>
          <w:sz w:val="26"/>
          <w:szCs w:val="26"/>
        </w:rPr>
        <w:t xml:space="preserve"> finding </w:t>
      </w:r>
      <w:r w:rsidRPr="003D6C5F">
        <w:rPr>
          <w:rFonts w:ascii="Century Schoolbook" w:hAnsi="Century Schoolbook" w:cstheme="majorHAnsi"/>
          <w:sz w:val="26"/>
          <w:szCs w:val="26"/>
        </w:rPr>
        <w:t>this evidence would not undu</w:t>
      </w:r>
      <w:r w:rsidRPr="003D6C5F" w:rsidR="00525569">
        <w:rPr>
          <w:rFonts w:ascii="Century Schoolbook" w:hAnsi="Century Schoolbook" w:cstheme="majorHAnsi"/>
          <w:sz w:val="26"/>
          <w:szCs w:val="26"/>
        </w:rPr>
        <w:t>ly</w:t>
      </w:r>
      <w:r w:rsidRPr="003D6C5F">
        <w:rPr>
          <w:rFonts w:ascii="Century Schoolbook" w:hAnsi="Century Schoolbook" w:cstheme="majorHAnsi"/>
          <w:sz w:val="26"/>
          <w:szCs w:val="26"/>
        </w:rPr>
        <w:t xml:space="preserve"> consum</w:t>
      </w:r>
      <w:r w:rsidRPr="003D6C5F" w:rsidR="00525569">
        <w:rPr>
          <w:rFonts w:ascii="Century Schoolbook" w:hAnsi="Century Schoolbook" w:cstheme="majorHAnsi"/>
          <w:sz w:val="26"/>
          <w:szCs w:val="26"/>
        </w:rPr>
        <w:t xml:space="preserve">e </w:t>
      </w:r>
      <w:r w:rsidRPr="003D6C5F">
        <w:rPr>
          <w:rFonts w:ascii="Century Schoolbook" w:hAnsi="Century Schoolbook" w:cstheme="majorHAnsi"/>
          <w:sz w:val="26"/>
          <w:szCs w:val="26"/>
        </w:rPr>
        <w:t xml:space="preserve">time, </w:t>
      </w:r>
      <w:r w:rsidRPr="003D6C5F" w:rsidR="00525569">
        <w:rPr>
          <w:rFonts w:ascii="Century Schoolbook" w:hAnsi="Century Schoolbook" w:cstheme="majorHAnsi"/>
          <w:sz w:val="26"/>
          <w:szCs w:val="26"/>
        </w:rPr>
        <w:t xml:space="preserve">did not constitute uncharged bad acts evidence, and </w:t>
      </w:r>
      <w:r w:rsidRPr="003D6C5F">
        <w:rPr>
          <w:rFonts w:ascii="Century Schoolbook" w:hAnsi="Century Schoolbook" w:cstheme="majorHAnsi"/>
          <w:sz w:val="26"/>
          <w:szCs w:val="26"/>
        </w:rPr>
        <w:t xml:space="preserve">was relevant to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’s state of mind regarding the torture</w:t>
      </w:r>
      <w:r w:rsidRPr="003D6C5F" w:rsidR="00525569">
        <w:rPr>
          <w:rFonts w:ascii="Century Schoolbook" w:hAnsi="Century Schoolbook" w:cstheme="majorHAnsi"/>
          <w:sz w:val="26"/>
          <w:szCs w:val="26"/>
        </w:rPr>
        <w:t xml:space="preserve"> and</w:t>
      </w:r>
      <w:r w:rsidRPr="003D6C5F">
        <w:rPr>
          <w:rFonts w:ascii="Century Schoolbook" w:hAnsi="Century Schoolbook" w:cstheme="majorHAnsi"/>
          <w:sz w:val="26"/>
          <w:szCs w:val="26"/>
        </w:rPr>
        <w:t xml:space="preserve"> lying</w:t>
      </w:r>
      <w:r w:rsidRPr="003D6C5F" w:rsidR="009414EA">
        <w:rPr>
          <w:rFonts w:ascii="Century Schoolbook" w:hAnsi="Century Schoolbook" w:cstheme="majorHAnsi"/>
          <w:sz w:val="26"/>
          <w:szCs w:val="26"/>
        </w:rPr>
        <w:t xml:space="preserve"> </w:t>
      </w:r>
      <w:r w:rsidRPr="003D6C5F">
        <w:rPr>
          <w:rFonts w:ascii="Century Schoolbook" w:hAnsi="Century Schoolbook" w:cstheme="majorHAnsi"/>
          <w:sz w:val="26"/>
          <w:szCs w:val="26"/>
        </w:rPr>
        <w:t>in</w:t>
      </w:r>
      <w:r w:rsidRPr="003D6C5F" w:rsidR="009414EA">
        <w:rPr>
          <w:rFonts w:ascii="Century Schoolbook" w:hAnsi="Century Schoolbook" w:cstheme="majorHAnsi"/>
          <w:sz w:val="26"/>
          <w:szCs w:val="26"/>
        </w:rPr>
        <w:t xml:space="preserve"> </w:t>
      </w:r>
      <w:r w:rsidRPr="003D6C5F">
        <w:rPr>
          <w:rFonts w:ascii="Century Schoolbook" w:hAnsi="Century Schoolbook" w:cstheme="majorHAnsi"/>
          <w:sz w:val="26"/>
          <w:szCs w:val="26"/>
        </w:rPr>
        <w:t>wait special circumstance</w:t>
      </w:r>
      <w:r w:rsidRPr="003D6C5F" w:rsidR="00525569">
        <w:rPr>
          <w:rFonts w:ascii="Century Schoolbook" w:hAnsi="Century Schoolbook" w:cstheme="majorHAnsi"/>
          <w:sz w:val="26"/>
          <w:szCs w:val="26"/>
        </w:rPr>
        <w:t xml:space="preserve"> allegations</w:t>
      </w:r>
      <w:r w:rsidRPr="003D6C5F">
        <w:rPr>
          <w:rFonts w:ascii="Century Schoolbook" w:hAnsi="Century Schoolbook" w:cstheme="majorHAnsi"/>
          <w:sz w:val="26"/>
          <w:szCs w:val="26"/>
        </w:rPr>
        <w:t>.</w:t>
      </w:r>
      <w:r w:rsidRPr="003D6C5F" w:rsidR="006D5721">
        <w:rPr>
          <w:rFonts w:ascii="Century Schoolbook" w:hAnsi="Century Schoolbook" w:cstheme="majorHAnsi"/>
          <w:sz w:val="26"/>
          <w:szCs w:val="26"/>
        </w:rPr>
        <w:t xml:space="preserve"> </w:t>
      </w:r>
      <w:r w:rsidRPr="003D6C5F" w:rsidR="00525569">
        <w:rPr>
          <w:rFonts w:ascii="Century Schoolbook" w:hAnsi="Century Schoolbook" w:cstheme="majorHAnsi"/>
          <w:sz w:val="26"/>
          <w:szCs w:val="26"/>
        </w:rPr>
        <w:t xml:space="preserve"> </w:t>
      </w:r>
    </w:p>
    <w:p w:rsidR="006C637C" w:rsidRPr="003D6C5F" w:rsidP="000B1ECC" w14:paraId="3C2D3932" w14:textId="1DBABEE3">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Thereafter, the jury heard three witnesses testify regarding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’s prayers to Satan.  </w:t>
      </w:r>
      <w:r w:rsidRPr="003D6C5F" w:rsidR="0079044C">
        <w:rPr>
          <w:rFonts w:ascii="Century Schoolbook" w:hAnsi="Century Schoolbook" w:cstheme="majorHAnsi"/>
          <w:sz w:val="26"/>
          <w:szCs w:val="26"/>
        </w:rPr>
        <w:t xml:space="preserve">Her “adopted” son </w:t>
      </w:r>
      <w:r w:rsidRPr="003D6C5F" w:rsidR="001E559A">
        <w:rPr>
          <w:rFonts w:ascii="Century Schoolbook" w:hAnsi="Century Schoolbook" w:cstheme="majorHAnsi"/>
          <w:sz w:val="26"/>
          <w:szCs w:val="26"/>
        </w:rPr>
        <w:t xml:space="preserve">Angel was aware that </w:t>
      </w:r>
      <w:r w:rsidRPr="003D6C5F" w:rsidR="00BC57F6">
        <w:rPr>
          <w:rFonts w:ascii="Century Schoolbook" w:hAnsi="Century Schoolbook" w:cstheme="majorHAnsi"/>
          <w:sz w:val="26"/>
          <w:szCs w:val="26"/>
        </w:rPr>
        <w:t>Ayala</w:t>
      </w:r>
      <w:r w:rsidRPr="003D6C5F" w:rsidR="001E559A">
        <w:rPr>
          <w:rFonts w:ascii="Century Schoolbook" w:hAnsi="Century Schoolbook" w:cstheme="majorHAnsi"/>
          <w:sz w:val="26"/>
          <w:szCs w:val="26"/>
        </w:rPr>
        <w:t xml:space="preserve"> prayed to Satan and referred to Satan as her father</w:t>
      </w:r>
      <w:r w:rsidRPr="003D6C5F" w:rsidR="0079044C">
        <w:rPr>
          <w:rFonts w:ascii="Century Schoolbook" w:hAnsi="Century Schoolbook" w:cstheme="majorHAnsi"/>
          <w:sz w:val="26"/>
          <w:szCs w:val="26"/>
        </w:rPr>
        <w:t>.</w:t>
      </w:r>
      <w:r w:rsidRPr="003D6C5F" w:rsidR="001E559A">
        <w:rPr>
          <w:rFonts w:ascii="Century Schoolbook" w:hAnsi="Century Schoolbook" w:cstheme="majorHAnsi"/>
          <w:sz w:val="26"/>
          <w:szCs w:val="26"/>
        </w:rPr>
        <w:t xml:space="preserve"> </w:t>
      </w:r>
      <w:r w:rsidRPr="003D6C5F" w:rsidR="0079044C">
        <w:rPr>
          <w:rFonts w:ascii="Century Schoolbook" w:hAnsi="Century Schoolbook" w:cstheme="majorHAnsi"/>
          <w:sz w:val="26"/>
          <w:szCs w:val="26"/>
        </w:rPr>
        <w:t xml:space="preserve"> Angel</w:t>
      </w:r>
      <w:r w:rsidRPr="003D6C5F" w:rsidR="001E559A">
        <w:rPr>
          <w:rFonts w:ascii="Century Schoolbook" w:hAnsi="Century Schoolbook" w:cstheme="majorHAnsi"/>
          <w:sz w:val="26"/>
          <w:szCs w:val="26"/>
        </w:rPr>
        <w:t xml:space="preserve"> opined that </w:t>
      </w:r>
      <w:r w:rsidRPr="003D6C5F" w:rsidR="00BC57F6">
        <w:rPr>
          <w:rFonts w:ascii="Century Schoolbook" w:hAnsi="Century Schoolbook" w:cstheme="majorHAnsi"/>
          <w:sz w:val="26"/>
          <w:szCs w:val="26"/>
        </w:rPr>
        <w:t>Ayala</w:t>
      </w:r>
      <w:r w:rsidRPr="003D6C5F" w:rsidR="001E559A">
        <w:rPr>
          <w:rFonts w:ascii="Century Schoolbook" w:hAnsi="Century Schoolbook" w:cstheme="majorHAnsi"/>
          <w:sz w:val="26"/>
          <w:szCs w:val="26"/>
        </w:rPr>
        <w:t xml:space="preserve"> believed in Satan.  </w:t>
      </w:r>
      <w:r w:rsidRPr="003D6C5F" w:rsidR="0079044C">
        <w:rPr>
          <w:rFonts w:ascii="Century Schoolbook" w:hAnsi="Century Schoolbook" w:cstheme="majorHAnsi"/>
          <w:sz w:val="26"/>
          <w:szCs w:val="26"/>
        </w:rPr>
        <w:t>But o</w:t>
      </w:r>
      <w:r w:rsidRPr="003D6C5F" w:rsidR="008C5D1D">
        <w:rPr>
          <w:rFonts w:ascii="Century Schoolbook" w:hAnsi="Century Schoolbook" w:cstheme="majorHAnsi"/>
          <w:sz w:val="26"/>
          <w:szCs w:val="26"/>
        </w:rPr>
        <w:t xml:space="preserve">n the night of the murder, </w:t>
      </w:r>
      <w:r w:rsidRPr="003D6C5F" w:rsidR="0079044C">
        <w:rPr>
          <w:rFonts w:ascii="Century Schoolbook" w:hAnsi="Century Schoolbook" w:cstheme="majorHAnsi"/>
          <w:sz w:val="26"/>
          <w:szCs w:val="26"/>
        </w:rPr>
        <w:t>he</w:t>
      </w:r>
      <w:r w:rsidRPr="003D6C5F" w:rsidR="00255937">
        <w:rPr>
          <w:rFonts w:ascii="Century Schoolbook" w:hAnsi="Century Schoolbook" w:cstheme="majorHAnsi"/>
          <w:sz w:val="26"/>
          <w:szCs w:val="26"/>
        </w:rPr>
        <w:t xml:space="preserve"> </w:t>
      </w:r>
      <w:r w:rsidRPr="003D6C5F" w:rsidR="001E559A">
        <w:rPr>
          <w:rFonts w:ascii="Century Schoolbook" w:hAnsi="Century Schoolbook" w:cstheme="majorHAnsi"/>
          <w:sz w:val="26"/>
          <w:szCs w:val="26"/>
        </w:rPr>
        <w:t xml:space="preserve">did not hear any prayers to Satan and did not remember hearing any </w:t>
      </w:r>
      <w:r w:rsidRPr="003D6C5F" w:rsidR="00D761EC">
        <w:rPr>
          <w:rFonts w:ascii="Century Schoolbook" w:hAnsi="Century Schoolbook" w:cstheme="majorHAnsi"/>
          <w:sz w:val="26"/>
          <w:szCs w:val="26"/>
        </w:rPr>
        <w:t>other Satanic references</w:t>
      </w:r>
      <w:r w:rsidRPr="003D6C5F" w:rsidR="001E559A">
        <w:rPr>
          <w:rFonts w:ascii="Century Schoolbook" w:hAnsi="Century Schoolbook" w:cstheme="majorHAnsi"/>
          <w:sz w:val="26"/>
          <w:szCs w:val="26"/>
        </w:rPr>
        <w:t xml:space="preserve">. </w:t>
      </w:r>
      <w:r w:rsidRPr="003D6C5F" w:rsidR="008C5D1D">
        <w:rPr>
          <w:rFonts w:ascii="Century Schoolbook" w:hAnsi="Century Schoolbook" w:cstheme="majorHAnsi"/>
          <w:sz w:val="26"/>
          <w:szCs w:val="26"/>
        </w:rPr>
        <w:t xml:space="preserve"> When asked on direct how </w:t>
      </w:r>
      <w:r w:rsidRPr="003D6C5F" w:rsidR="00BC57F6">
        <w:rPr>
          <w:rFonts w:ascii="Century Schoolbook" w:hAnsi="Century Schoolbook" w:cstheme="majorHAnsi"/>
          <w:sz w:val="26"/>
          <w:szCs w:val="26"/>
        </w:rPr>
        <w:t>Ayala</w:t>
      </w:r>
      <w:r w:rsidRPr="003D6C5F" w:rsidR="008C5D1D">
        <w:rPr>
          <w:rFonts w:ascii="Century Schoolbook" w:hAnsi="Century Schoolbook" w:cstheme="majorHAnsi"/>
          <w:sz w:val="26"/>
          <w:szCs w:val="26"/>
        </w:rPr>
        <w:t>’s beliefs affected him, Angel claimed he did not find them important because he did not share her beliefs.</w:t>
      </w:r>
      <w:r w:rsidRPr="003D6C5F">
        <w:rPr>
          <w:rFonts w:ascii="Century Schoolbook" w:hAnsi="Century Schoolbook" w:cstheme="majorHAnsi"/>
          <w:sz w:val="26"/>
          <w:szCs w:val="26"/>
        </w:rPr>
        <w:t xml:space="preserve">  During cross-examination, he testified that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believed in the </w:t>
      </w:r>
      <w:r w:rsidRPr="003D6C5F" w:rsidR="00E431ED">
        <w:rPr>
          <w:rFonts w:ascii="Century Schoolbook" w:hAnsi="Century Schoolbook" w:cstheme="majorHAnsi"/>
          <w:sz w:val="26"/>
          <w:szCs w:val="26"/>
        </w:rPr>
        <w:t>d</w:t>
      </w:r>
      <w:r w:rsidRPr="003D6C5F">
        <w:rPr>
          <w:rFonts w:ascii="Century Schoolbook" w:hAnsi="Century Schoolbook" w:cstheme="majorHAnsi"/>
          <w:sz w:val="26"/>
          <w:szCs w:val="26"/>
        </w:rPr>
        <w:t xml:space="preserve">evil, the belief made her dangerous to other people, and if he was no longer under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w:t>
      </w:r>
      <w:r w:rsidRPr="003D6C5F" w:rsidR="005C3930">
        <w:rPr>
          <w:rFonts w:ascii="Century Schoolbook" w:hAnsi="Century Schoolbook" w:cstheme="majorHAnsi"/>
          <w:sz w:val="26"/>
          <w:szCs w:val="26"/>
        </w:rPr>
        <w:t>s</w:t>
      </w:r>
      <w:r w:rsidRPr="003D6C5F">
        <w:rPr>
          <w:rFonts w:ascii="Century Schoolbook" w:hAnsi="Century Schoolbook" w:cstheme="majorHAnsi"/>
          <w:sz w:val="26"/>
          <w:szCs w:val="26"/>
        </w:rPr>
        <w:t xml:space="preserve"> protection she “would turn this stuff” on him.</w:t>
      </w:r>
      <w:r w:rsidRPr="003D6C5F" w:rsidR="005F536A">
        <w:rPr>
          <w:rFonts w:ascii="Century Schoolbook" w:hAnsi="Century Schoolbook" w:cstheme="majorHAnsi"/>
          <w:sz w:val="26"/>
          <w:szCs w:val="26"/>
        </w:rPr>
        <w:t xml:space="preserve"> </w:t>
      </w:r>
    </w:p>
    <w:p w:rsidR="00C33316" w:rsidRPr="003D6C5F" w:rsidP="000B1ECC" w14:paraId="34389B87" w14:textId="7E9767AE">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On the day of the murder, Breanna heard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say a prayer about Satan.  She also previously heard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use the word Satan</w:t>
      </w:r>
      <w:r w:rsidRPr="003D6C5F" w:rsidR="00636BA1">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when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’s son was </w:t>
      </w:r>
      <w:r w:rsidRPr="003D6C5F" w:rsidR="00636BA1">
        <w:rPr>
          <w:rFonts w:ascii="Century Schoolbook" w:hAnsi="Century Schoolbook" w:cstheme="majorHAnsi"/>
          <w:sz w:val="26"/>
          <w:szCs w:val="26"/>
        </w:rPr>
        <w:t>“locked up.”</w:t>
      </w:r>
      <w:r w:rsidRPr="003D6C5F">
        <w:rPr>
          <w:rFonts w:ascii="Century Schoolbook" w:hAnsi="Century Schoolbook" w:cstheme="majorHAnsi"/>
          <w:sz w:val="26"/>
          <w:szCs w:val="26"/>
        </w:rPr>
        <w:t xml:space="preserve"> </w:t>
      </w:r>
      <w:r w:rsidRPr="003D6C5F" w:rsidR="00636BA1">
        <w:rPr>
          <w:rFonts w:ascii="Century Schoolbook" w:hAnsi="Century Schoolbook" w:cstheme="majorHAnsi"/>
          <w:sz w:val="26"/>
          <w:szCs w:val="26"/>
        </w:rPr>
        <w:t xml:space="preserve"> She </w:t>
      </w:r>
      <w:r w:rsidRPr="003D6C5F" w:rsidR="0079044C">
        <w:rPr>
          <w:rFonts w:ascii="Century Schoolbook" w:hAnsi="Century Schoolbook" w:cstheme="majorHAnsi"/>
          <w:sz w:val="26"/>
          <w:szCs w:val="26"/>
        </w:rPr>
        <w:t>observed</w:t>
      </w:r>
      <w:r w:rsidRPr="003D6C5F" w:rsidR="00636BA1">
        <w:rPr>
          <w:rFonts w:ascii="Century Schoolbook" w:hAnsi="Century Schoolbook" w:cstheme="majorHAnsi"/>
          <w:sz w:val="26"/>
          <w:szCs w:val="26"/>
        </w:rPr>
        <w:t xml:space="preserve"> “</w:t>
      </w:r>
      <w:r w:rsidRPr="003D6C5F">
        <w:rPr>
          <w:rFonts w:ascii="Century Schoolbook" w:hAnsi="Century Schoolbook" w:cstheme="majorHAnsi"/>
          <w:sz w:val="26"/>
          <w:szCs w:val="26"/>
        </w:rPr>
        <w:t>Satanic cards</w:t>
      </w:r>
      <w:r w:rsidRPr="003D6C5F" w:rsidR="00636BA1">
        <w:rPr>
          <w:rFonts w:ascii="Century Schoolbook" w:hAnsi="Century Schoolbook" w:cstheme="majorHAnsi"/>
          <w:sz w:val="26"/>
          <w:szCs w:val="26"/>
        </w:rPr>
        <w:t xml:space="preserve">” inside </w:t>
      </w:r>
      <w:r w:rsidRPr="003D6C5F">
        <w:rPr>
          <w:rFonts w:ascii="Century Schoolbook" w:hAnsi="Century Schoolbook" w:cstheme="majorHAnsi"/>
          <w:sz w:val="26"/>
          <w:szCs w:val="26"/>
        </w:rPr>
        <w:t>the R</w:t>
      </w:r>
      <w:r w:rsidRPr="003D6C5F" w:rsidR="00636BA1">
        <w:rPr>
          <w:rFonts w:ascii="Century Schoolbook" w:hAnsi="Century Schoolbook" w:cstheme="majorHAnsi"/>
          <w:sz w:val="26"/>
          <w:szCs w:val="26"/>
        </w:rPr>
        <w:t>.</w:t>
      </w:r>
      <w:r w:rsidRPr="003D6C5F">
        <w:rPr>
          <w:rFonts w:ascii="Century Schoolbook" w:hAnsi="Century Schoolbook" w:cstheme="majorHAnsi"/>
          <w:sz w:val="26"/>
          <w:szCs w:val="26"/>
        </w:rPr>
        <w:t>V</w:t>
      </w:r>
      <w:r w:rsidRPr="003D6C5F" w:rsidR="00636BA1">
        <w:rPr>
          <w:rFonts w:ascii="Century Schoolbook" w:hAnsi="Century Schoolbook" w:cstheme="majorHAnsi"/>
          <w:sz w:val="26"/>
          <w:szCs w:val="26"/>
        </w:rPr>
        <w:t xml:space="preserve">. but never saw </w:t>
      </w:r>
      <w:r w:rsidRPr="003D6C5F" w:rsidR="00BC57F6">
        <w:rPr>
          <w:rFonts w:ascii="Century Schoolbook" w:hAnsi="Century Schoolbook" w:cstheme="majorHAnsi"/>
          <w:sz w:val="26"/>
          <w:szCs w:val="26"/>
        </w:rPr>
        <w:t>Ayala</w:t>
      </w:r>
      <w:r w:rsidRPr="003D6C5F" w:rsidR="00636BA1">
        <w:rPr>
          <w:rFonts w:ascii="Century Schoolbook" w:hAnsi="Century Schoolbook" w:cstheme="majorHAnsi"/>
          <w:sz w:val="26"/>
          <w:szCs w:val="26"/>
        </w:rPr>
        <w:t xml:space="preserve"> us</w:t>
      </w:r>
      <w:r w:rsidRPr="003D6C5F" w:rsidR="00426B50">
        <w:rPr>
          <w:rFonts w:ascii="Century Schoolbook" w:hAnsi="Century Schoolbook" w:cstheme="majorHAnsi"/>
          <w:sz w:val="26"/>
          <w:szCs w:val="26"/>
        </w:rPr>
        <w:t>e</w:t>
      </w:r>
      <w:r w:rsidRPr="003D6C5F" w:rsidR="00636BA1">
        <w:rPr>
          <w:rFonts w:ascii="Century Schoolbook" w:hAnsi="Century Schoolbook" w:cstheme="majorHAnsi"/>
          <w:sz w:val="26"/>
          <w:szCs w:val="26"/>
        </w:rPr>
        <w:t xml:space="preserve"> the cards. </w:t>
      </w:r>
    </w:p>
    <w:p w:rsidR="00C54714" w:rsidRPr="003D6C5F" w:rsidP="000B1ECC" w14:paraId="33B19EBC" w14:textId="73E3AE55">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When asked about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’s religion, Jonathan testified </w:t>
      </w:r>
      <w:r w:rsidRPr="003D6C5F" w:rsidR="001A5BB8">
        <w:rPr>
          <w:rFonts w:ascii="Century Schoolbook" w:hAnsi="Century Schoolbook" w:cstheme="majorHAnsi"/>
          <w:sz w:val="26"/>
          <w:szCs w:val="26"/>
        </w:rPr>
        <w:t xml:space="preserve">that </w:t>
      </w:r>
      <w:r w:rsidRPr="003D6C5F" w:rsidR="00BC57F6">
        <w:rPr>
          <w:rFonts w:ascii="Century Schoolbook" w:hAnsi="Century Schoolbook" w:cstheme="majorHAnsi"/>
          <w:sz w:val="26"/>
          <w:szCs w:val="26"/>
        </w:rPr>
        <w:t>Ayala</w:t>
      </w:r>
      <w:r w:rsidRPr="003D6C5F" w:rsidR="001A5BB8">
        <w:rPr>
          <w:rFonts w:ascii="Century Schoolbook" w:hAnsi="Century Schoolbook" w:cstheme="majorHAnsi"/>
          <w:sz w:val="26"/>
          <w:szCs w:val="26"/>
        </w:rPr>
        <w:t>’s religion</w:t>
      </w:r>
      <w:r w:rsidRPr="003D6C5F">
        <w:rPr>
          <w:rFonts w:ascii="Century Schoolbook" w:hAnsi="Century Schoolbook" w:cstheme="majorHAnsi"/>
          <w:sz w:val="26"/>
          <w:szCs w:val="26"/>
        </w:rPr>
        <w:t xml:space="preserve"> was Satanic, “</w:t>
      </w:r>
      <w:r w:rsidRPr="003D6C5F" w:rsidR="001A5BB8">
        <w:rPr>
          <w:rFonts w:ascii="Century Schoolbook" w:hAnsi="Century Schoolbook" w:cstheme="majorHAnsi"/>
          <w:sz w:val="26"/>
          <w:szCs w:val="26"/>
        </w:rPr>
        <w:t xml:space="preserve">like </w:t>
      </w:r>
      <w:r w:rsidRPr="003D6C5F">
        <w:rPr>
          <w:rFonts w:ascii="Century Schoolbook" w:hAnsi="Century Schoolbook" w:cstheme="majorHAnsi"/>
          <w:sz w:val="26"/>
          <w:szCs w:val="26"/>
        </w:rPr>
        <w:t>witchcraft stuff,” and that she worshiped “Santa Muerte,” which he thought was like “the devil’s advocate” and bad.</w:t>
      </w:r>
      <w:r w:rsidRPr="003D6C5F" w:rsidR="00CD7158">
        <w:rPr>
          <w:rFonts w:ascii="Century Schoolbook" w:hAnsi="Century Schoolbook" w:cstheme="majorHAnsi"/>
          <w:sz w:val="26"/>
          <w:szCs w:val="26"/>
        </w:rPr>
        <w:t xml:space="preserve">  </w:t>
      </w:r>
      <w:r w:rsidRPr="003D6C5F" w:rsidR="00C33316">
        <w:rPr>
          <w:rFonts w:ascii="Century Schoolbook" w:hAnsi="Century Schoolbook" w:cstheme="majorHAnsi"/>
          <w:sz w:val="26"/>
          <w:szCs w:val="26"/>
        </w:rPr>
        <w:t>During h</w:t>
      </w:r>
      <w:r w:rsidRPr="003D6C5F" w:rsidR="00CD7158">
        <w:rPr>
          <w:rFonts w:ascii="Century Schoolbook" w:hAnsi="Century Schoolbook" w:cstheme="majorHAnsi"/>
          <w:sz w:val="26"/>
          <w:szCs w:val="26"/>
        </w:rPr>
        <w:t>is</w:t>
      </w:r>
      <w:r w:rsidRPr="003D6C5F">
        <w:rPr>
          <w:rFonts w:ascii="Century Schoolbook" w:hAnsi="Century Schoolbook" w:cstheme="majorHAnsi"/>
          <w:sz w:val="26"/>
          <w:szCs w:val="26"/>
        </w:rPr>
        <w:t xml:space="preserve"> childhood, </w:t>
      </w:r>
      <w:r w:rsidRPr="003D6C5F" w:rsidR="00C33316">
        <w:rPr>
          <w:rFonts w:ascii="Century Schoolbook" w:hAnsi="Century Schoolbook" w:cstheme="majorHAnsi"/>
          <w:sz w:val="26"/>
          <w:szCs w:val="26"/>
        </w:rPr>
        <w:t>Jonathan</w:t>
      </w:r>
      <w:r w:rsidRPr="003D6C5F">
        <w:rPr>
          <w:rFonts w:ascii="Century Schoolbook" w:hAnsi="Century Schoolbook" w:cstheme="majorHAnsi"/>
          <w:sz w:val="26"/>
          <w:szCs w:val="26"/>
        </w:rPr>
        <w:t xml:space="preserve"> had heard </w:t>
      </w:r>
      <w:r w:rsidRPr="003D6C5F" w:rsidR="00BC57F6">
        <w:rPr>
          <w:rFonts w:ascii="Century Schoolbook" w:hAnsi="Century Schoolbook" w:cstheme="majorHAnsi"/>
          <w:sz w:val="26"/>
          <w:szCs w:val="26"/>
        </w:rPr>
        <w:t>Ayala</w:t>
      </w:r>
      <w:r w:rsidRPr="003D6C5F" w:rsidR="00CD7158">
        <w:rPr>
          <w:rFonts w:ascii="Century Schoolbook" w:hAnsi="Century Schoolbook" w:cstheme="majorHAnsi"/>
          <w:sz w:val="26"/>
          <w:szCs w:val="26"/>
        </w:rPr>
        <w:t xml:space="preserve"> </w:t>
      </w:r>
      <w:r w:rsidRPr="003D6C5F">
        <w:rPr>
          <w:rFonts w:ascii="Century Schoolbook" w:hAnsi="Century Schoolbook" w:cstheme="majorHAnsi"/>
          <w:sz w:val="26"/>
          <w:szCs w:val="26"/>
        </w:rPr>
        <w:t>praying for death to come upon people</w:t>
      </w:r>
      <w:r w:rsidRPr="003D6C5F" w:rsidR="00C33316">
        <w:rPr>
          <w:rFonts w:ascii="Century Schoolbook" w:hAnsi="Century Schoolbook" w:cstheme="majorHAnsi"/>
          <w:sz w:val="26"/>
          <w:szCs w:val="26"/>
        </w:rPr>
        <w:t xml:space="preserve">, and throughout his life he heard her chanting, </w:t>
      </w:r>
      <w:r w:rsidR="008221FE">
        <w:rPr>
          <w:rFonts w:ascii="Century Schoolbook" w:hAnsi="Century Schoolbook" w:cstheme="majorHAnsi"/>
          <w:sz w:val="26"/>
          <w:szCs w:val="26"/>
        </w:rPr>
        <w:t>which</w:t>
      </w:r>
      <w:r w:rsidRPr="003D6C5F" w:rsidR="008221FE">
        <w:rPr>
          <w:rFonts w:ascii="Century Schoolbook" w:hAnsi="Century Schoolbook" w:cstheme="majorHAnsi"/>
          <w:sz w:val="26"/>
          <w:szCs w:val="26"/>
        </w:rPr>
        <w:t xml:space="preserve"> </w:t>
      </w:r>
      <w:r w:rsidRPr="003D6C5F" w:rsidR="00C33316">
        <w:rPr>
          <w:rFonts w:ascii="Century Schoolbook" w:hAnsi="Century Schoolbook" w:cstheme="majorHAnsi"/>
          <w:sz w:val="26"/>
          <w:szCs w:val="26"/>
        </w:rPr>
        <w:t>he interpreted as praying to Satan</w:t>
      </w:r>
      <w:r w:rsidRPr="003D6C5F" w:rsidR="009414EA">
        <w:rPr>
          <w:rFonts w:ascii="Century Schoolbook" w:hAnsi="Century Schoolbook" w:cstheme="majorHAnsi"/>
          <w:sz w:val="26"/>
          <w:szCs w:val="26"/>
        </w:rPr>
        <w:t>.</w:t>
      </w:r>
      <w:r w:rsidRPr="003D6C5F" w:rsidR="00D03185">
        <w:rPr>
          <w:rFonts w:ascii="Century Schoolbook" w:hAnsi="Century Schoolbook" w:cstheme="majorHAnsi"/>
          <w:sz w:val="26"/>
          <w:szCs w:val="26"/>
        </w:rPr>
        <w:t xml:space="preserve">  </w:t>
      </w:r>
      <w:r w:rsidRPr="003D6C5F" w:rsidR="00C33316">
        <w:rPr>
          <w:rFonts w:ascii="Century Schoolbook" w:hAnsi="Century Schoolbook" w:cstheme="majorHAnsi"/>
          <w:sz w:val="26"/>
          <w:szCs w:val="26"/>
        </w:rPr>
        <w:t>On</w:t>
      </w:r>
      <w:r w:rsidR="00E46BBF">
        <w:rPr>
          <w:rFonts w:ascii="Century Schoolbook" w:hAnsi="Century Schoolbook" w:cstheme="majorHAnsi"/>
          <w:sz w:val="26"/>
          <w:szCs w:val="26"/>
        </w:rPr>
        <w:t> </w:t>
      </w:r>
      <w:r w:rsidRPr="003D6C5F" w:rsidR="00D03185">
        <w:rPr>
          <w:rFonts w:ascii="Century Schoolbook" w:hAnsi="Century Schoolbook" w:cstheme="majorHAnsi"/>
          <w:sz w:val="26"/>
          <w:szCs w:val="26"/>
        </w:rPr>
        <w:t>cross-examination, Jonathan agreed he was “a</w:t>
      </w:r>
      <w:r w:rsidRPr="003D6C5F" w:rsidR="00505417">
        <w:rPr>
          <w:rFonts w:ascii="Century Schoolbook" w:hAnsi="Century Schoolbook" w:cstheme="majorHAnsi"/>
          <w:sz w:val="26"/>
          <w:szCs w:val="26"/>
        </w:rPr>
        <w:t> </w:t>
      </w:r>
      <w:r w:rsidRPr="003D6C5F" w:rsidR="00D03185">
        <w:rPr>
          <w:rFonts w:ascii="Century Schoolbook" w:hAnsi="Century Schoolbook" w:cstheme="majorHAnsi"/>
          <w:sz w:val="26"/>
          <w:szCs w:val="26"/>
        </w:rPr>
        <w:t xml:space="preserve">little bit afraid” of </w:t>
      </w:r>
      <w:r w:rsidRPr="003D6C5F" w:rsidR="00BC57F6">
        <w:rPr>
          <w:rFonts w:ascii="Century Schoolbook" w:hAnsi="Century Schoolbook" w:cstheme="majorHAnsi"/>
          <w:sz w:val="26"/>
          <w:szCs w:val="26"/>
        </w:rPr>
        <w:t>Ayala</w:t>
      </w:r>
      <w:r w:rsidRPr="003D6C5F" w:rsidR="00C33316">
        <w:rPr>
          <w:rFonts w:ascii="Century Schoolbook" w:hAnsi="Century Schoolbook" w:cstheme="majorHAnsi"/>
          <w:sz w:val="26"/>
          <w:szCs w:val="26"/>
        </w:rPr>
        <w:t>,</w:t>
      </w:r>
      <w:r w:rsidRPr="003D6C5F" w:rsidR="00D03185">
        <w:rPr>
          <w:rFonts w:ascii="Century Schoolbook" w:hAnsi="Century Schoolbook" w:cstheme="majorHAnsi"/>
          <w:sz w:val="26"/>
          <w:szCs w:val="26"/>
        </w:rPr>
        <w:t xml:space="preserve"> partly because of the Satanic business he talked about and </w:t>
      </w:r>
      <w:r w:rsidRPr="003D6C5F" w:rsidR="00C33316">
        <w:rPr>
          <w:rFonts w:ascii="Century Schoolbook" w:hAnsi="Century Schoolbook" w:cstheme="majorHAnsi"/>
          <w:sz w:val="26"/>
          <w:szCs w:val="26"/>
        </w:rPr>
        <w:t xml:space="preserve">partly </w:t>
      </w:r>
      <w:r w:rsidRPr="003D6C5F" w:rsidR="00D03185">
        <w:rPr>
          <w:rFonts w:ascii="Century Schoolbook" w:hAnsi="Century Schoolbook" w:cstheme="majorHAnsi"/>
          <w:sz w:val="26"/>
          <w:szCs w:val="26"/>
        </w:rPr>
        <w:t>because she had previously pulled a gun on him.</w:t>
      </w:r>
      <w:r w:rsidRPr="003D6C5F" w:rsidR="00F72B3E">
        <w:rPr>
          <w:rFonts w:ascii="Century Schoolbook" w:hAnsi="Century Schoolbook" w:cstheme="majorHAnsi"/>
          <w:sz w:val="26"/>
          <w:szCs w:val="26"/>
        </w:rPr>
        <w:t xml:space="preserve">  </w:t>
      </w:r>
    </w:p>
    <w:p w:rsidR="00005AD3" w:rsidRPr="003D6C5F" w:rsidP="000B1ECC" w14:paraId="6D923CBD" w14:textId="138F3F9F">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Ayala</w:t>
      </w:r>
      <w:r w:rsidRPr="003D6C5F" w:rsidR="00B24F6C">
        <w:rPr>
          <w:rFonts w:ascii="Century Schoolbook" w:hAnsi="Century Schoolbook" w:cstheme="majorHAnsi"/>
          <w:sz w:val="26"/>
          <w:szCs w:val="26"/>
        </w:rPr>
        <w:t xml:space="preserve"> testified </w:t>
      </w:r>
      <w:r w:rsidRPr="003D6C5F" w:rsidR="00255937">
        <w:rPr>
          <w:rFonts w:ascii="Century Schoolbook" w:hAnsi="Century Schoolbook" w:cstheme="majorHAnsi"/>
          <w:sz w:val="26"/>
          <w:szCs w:val="26"/>
        </w:rPr>
        <w:t xml:space="preserve">on direct </w:t>
      </w:r>
      <w:r w:rsidRPr="003D6C5F" w:rsidR="00B24F6C">
        <w:rPr>
          <w:rFonts w:ascii="Century Schoolbook" w:hAnsi="Century Schoolbook" w:cstheme="majorHAnsi"/>
          <w:sz w:val="26"/>
          <w:szCs w:val="26"/>
        </w:rPr>
        <w:t>that she worshiped Santa Muerte, “a</w:t>
      </w:r>
      <w:r w:rsidRPr="003D6C5F" w:rsidR="006061E9">
        <w:rPr>
          <w:rFonts w:ascii="Century Schoolbook" w:hAnsi="Century Schoolbook" w:cstheme="majorHAnsi"/>
          <w:sz w:val="26"/>
          <w:szCs w:val="26"/>
        </w:rPr>
        <w:t> </w:t>
      </w:r>
      <w:r w:rsidRPr="003D6C5F" w:rsidR="00B24F6C">
        <w:rPr>
          <w:rFonts w:ascii="Century Schoolbook" w:hAnsi="Century Schoolbook" w:cstheme="majorHAnsi"/>
          <w:sz w:val="26"/>
          <w:szCs w:val="26"/>
        </w:rPr>
        <w:t xml:space="preserve">God for drug dealers,” not Satan or the </w:t>
      </w:r>
      <w:r w:rsidRPr="003D6C5F" w:rsidR="001A2FD8">
        <w:rPr>
          <w:rFonts w:ascii="Century Schoolbook" w:hAnsi="Century Schoolbook" w:cstheme="majorHAnsi"/>
          <w:sz w:val="26"/>
          <w:szCs w:val="26"/>
        </w:rPr>
        <w:t>d</w:t>
      </w:r>
      <w:r w:rsidRPr="003D6C5F" w:rsidR="00B24F6C">
        <w:rPr>
          <w:rFonts w:ascii="Century Schoolbook" w:hAnsi="Century Schoolbook" w:cstheme="majorHAnsi"/>
          <w:sz w:val="26"/>
          <w:szCs w:val="26"/>
        </w:rPr>
        <w:t xml:space="preserve">evil.  </w:t>
      </w:r>
      <w:r w:rsidRPr="003D6C5F" w:rsidR="00C33316">
        <w:rPr>
          <w:rFonts w:ascii="Century Schoolbook" w:hAnsi="Century Schoolbook" w:cstheme="majorHAnsi"/>
          <w:sz w:val="26"/>
          <w:szCs w:val="26"/>
        </w:rPr>
        <w:t>She</w:t>
      </w:r>
      <w:r w:rsidRPr="003D6C5F" w:rsidR="00C54714">
        <w:rPr>
          <w:rFonts w:ascii="Century Schoolbook" w:hAnsi="Century Schoolbook" w:cstheme="majorHAnsi"/>
          <w:sz w:val="26"/>
          <w:szCs w:val="26"/>
        </w:rPr>
        <w:t xml:space="preserve"> explained that she used to sell drugs, and “Muerte” was one of her drug cartels or dealers that they worship for their drug deals to go through.</w:t>
      </w:r>
      <w:r w:rsidRPr="003D6C5F" w:rsidR="000E2568">
        <w:rPr>
          <w:rFonts w:ascii="Century Schoolbook" w:hAnsi="Century Schoolbook" w:cstheme="majorHAnsi"/>
          <w:sz w:val="26"/>
          <w:szCs w:val="26"/>
        </w:rPr>
        <w:t xml:space="preserve"> </w:t>
      </w:r>
      <w:r w:rsidRPr="003D6C5F" w:rsidR="00B24F6C">
        <w:rPr>
          <w:rFonts w:ascii="Century Schoolbook" w:hAnsi="Century Schoolbook" w:cstheme="majorHAnsi"/>
          <w:sz w:val="26"/>
          <w:szCs w:val="26"/>
        </w:rPr>
        <w:t xml:space="preserve"> </w:t>
      </w:r>
      <w:r w:rsidRPr="003D6C5F">
        <w:rPr>
          <w:rFonts w:ascii="Century Schoolbook" w:hAnsi="Century Schoolbook" w:cstheme="majorHAnsi"/>
          <w:sz w:val="26"/>
          <w:szCs w:val="26"/>
        </w:rPr>
        <w:t>Ayala</w:t>
      </w:r>
      <w:r w:rsidRPr="003D6C5F" w:rsidR="00B24F6C">
        <w:rPr>
          <w:rFonts w:ascii="Century Schoolbook" w:hAnsi="Century Schoolbook" w:cstheme="majorHAnsi"/>
          <w:sz w:val="26"/>
          <w:szCs w:val="26"/>
        </w:rPr>
        <w:t xml:space="preserve"> </w:t>
      </w:r>
      <w:r w:rsidRPr="003D6C5F" w:rsidR="005C3D92">
        <w:rPr>
          <w:rFonts w:ascii="Century Schoolbook" w:hAnsi="Century Schoolbook" w:cstheme="majorHAnsi"/>
          <w:sz w:val="26"/>
          <w:szCs w:val="26"/>
        </w:rPr>
        <w:t>agreed</w:t>
      </w:r>
      <w:r w:rsidRPr="003D6C5F" w:rsidR="00B24F6C">
        <w:rPr>
          <w:rFonts w:ascii="Century Schoolbook" w:hAnsi="Century Schoolbook" w:cstheme="majorHAnsi"/>
          <w:sz w:val="26"/>
          <w:szCs w:val="26"/>
        </w:rPr>
        <w:t xml:space="preserve"> that her </w:t>
      </w:r>
      <w:r w:rsidRPr="003D6C5F" w:rsidR="00C54714">
        <w:rPr>
          <w:rFonts w:ascii="Century Schoolbook" w:hAnsi="Century Schoolbook" w:cstheme="majorHAnsi"/>
          <w:sz w:val="26"/>
          <w:szCs w:val="26"/>
        </w:rPr>
        <w:t xml:space="preserve">nickname “Ms. Diabla” </w:t>
      </w:r>
      <w:r w:rsidRPr="003D6C5F" w:rsidR="005C3D92">
        <w:rPr>
          <w:rFonts w:ascii="Century Schoolbook" w:hAnsi="Century Schoolbook" w:cstheme="majorHAnsi"/>
          <w:sz w:val="26"/>
          <w:szCs w:val="26"/>
        </w:rPr>
        <w:t>meant “female devil</w:t>
      </w:r>
      <w:r w:rsidRPr="003D6C5F" w:rsidR="00C33316">
        <w:rPr>
          <w:rFonts w:ascii="Century Schoolbook" w:hAnsi="Century Schoolbook" w:cstheme="majorHAnsi"/>
          <w:sz w:val="26"/>
          <w:szCs w:val="26"/>
        </w:rPr>
        <w:t>,</w:t>
      </w:r>
      <w:r w:rsidRPr="003D6C5F" w:rsidR="005C3D92">
        <w:rPr>
          <w:rFonts w:ascii="Century Schoolbook" w:hAnsi="Century Schoolbook" w:cstheme="majorHAnsi"/>
          <w:sz w:val="26"/>
          <w:szCs w:val="26"/>
        </w:rPr>
        <w:t xml:space="preserve">” but </w:t>
      </w:r>
      <w:r w:rsidRPr="003D6C5F" w:rsidR="00C33316">
        <w:rPr>
          <w:rFonts w:ascii="Century Schoolbook" w:hAnsi="Century Schoolbook" w:cstheme="majorHAnsi"/>
          <w:sz w:val="26"/>
          <w:szCs w:val="26"/>
        </w:rPr>
        <w:t>said</w:t>
      </w:r>
      <w:r w:rsidRPr="003D6C5F" w:rsidR="005C3D92">
        <w:rPr>
          <w:rFonts w:ascii="Century Schoolbook" w:hAnsi="Century Schoolbook" w:cstheme="majorHAnsi"/>
          <w:sz w:val="26"/>
          <w:szCs w:val="26"/>
        </w:rPr>
        <w:t xml:space="preserve"> this </w:t>
      </w:r>
      <w:r w:rsidRPr="003D6C5F" w:rsidR="00C54714">
        <w:rPr>
          <w:rFonts w:ascii="Century Schoolbook" w:hAnsi="Century Schoolbook" w:cstheme="majorHAnsi"/>
          <w:sz w:val="26"/>
          <w:szCs w:val="26"/>
        </w:rPr>
        <w:t xml:space="preserve">was </w:t>
      </w:r>
      <w:r w:rsidRPr="003D6C5F" w:rsidR="005C3D92">
        <w:rPr>
          <w:rFonts w:ascii="Century Schoolbook" w:hAnsi="Century Schoolbook" w:cstheme="majorHAnsi"/>
          <w:sz w:val="26"/>
          <w:szCs w:val="26"/>
        </w:rPr>
        <w:t>her stripper name</w:t>
      </w:r>
      <w:r w:rsidRPr="003D6C5F" w:rsidR="00C54714">
        <w:rPr>
          <w:rFonts w:ascii="Century Schoolbook" w:hAnsi="Century Schoolbook" w:cstheme="majorHAnsi"/>
          <w:sz w:val="26"/>
          <w:szCs w:val="26"/>
        </w:rPr>
        <w:t xml:space="preserve"> when she danced at strip clubs.</w:t>
      </w:r>
      <w:r w:rsidRPr="003D6C5F" w:rsidR="005C3D92">
        <w:rPr>
          <w:rFonts w:ascii="Century Schoolbook" w:hAnsi="Century Schoolbook" w:cstheme="majorHAnsi"/>
          <w:sz w:val="26"/>
          <w:szCs w:val="26"/>
        </w:rPr>
        <w:t xml:space="preserve">  She</w:t>
      </w:r>
      <w:r w:rsidRPr="003D6C5F" w:rsidR="00765501">
        <w:rPr>
          <w:rFonts w:ascii="Century Schoolbook" w:hAnsi="Century Schoolbook" w:cstheme="majorHAnsi"/>
          <w:sz w:val="26"/>
          <w:szCs w:val="26"/>
        </w:rPr>
        <w:t> </w:t>
      </w:r>
      <w:r w:rsidRPr="003D6C5F" w:rsidR="00C33316">
        <w:rPr>
          <w:rFonts w:ascii="Century Schoolbook" w:hAnsi="Century Schoolbook" w:cstheme="majorHAnsi"/>
          <w:sz w:val="26"/>
          <w:szCs w:val="26"/>
        </w:rPr>
        <w:t>denied</w:t>
      </w:r>
      <w:r w:rsidRPr="003D6C5F" w:rsidR="005C3D92">
        <w:rPr>
          <w:rFonts w:ascii="Century Schoolbook" w:hAnsi="Century Schoolbook" w:cstheme="majorHAnsi"/>
          <w:sz w:val="26"/>
          <w:szCs w:val="26"/>
        </w:rPr>
        <w:t xml:space="preserve"> pray</w:t>
      </w:r>
      <w:r w:rsidRPr="003D6C5F" w:rsidR="00C33316">
        <w:rPr>
          <w:rFonts w:ascii="Century Schoolbook" w:hAnsi="Century Schoolbook" w:cstheme="majorHAnsi"/>
          <w:sz w:val="26"/>
          <w:szCs w:val="26"/>
        </w:rPr>
        <w:t>ing</w:t>
      </w:r>
      <w:r w:rsidRPr="003D6C5F" w:rsidR="005C3D92">
        <w:rPr>
          <w:rFonts w:ascii="Century Schoolbook" w:hAnsi="Century Schoolbook" w:cstheme="majorHAnsi"/>
          <w:sz w:val="26"/>
          <w:szCs w:val="26"/>
        </w:rPr>
        <w:t xml:space="preserve"> to Santa Muerte or Satan before Samuel arrived and </w:t>
      </w:r>
      <w:r w:rsidRPr="003D6C5F" w:rsidR="00C33316">
        <w:rPr>
          <w:rFonts w:ascii="Century Schoolbook" w:hAnsi="Century Schoolbook" w:cstheme="majorHAnsi"/>
          <w:sz w:val="26"/>
          <w:szCs w:val="26"/>
        </w:rPr>
        <w:t>claimed</w:t>
      </w:r>
      <w:r w:rsidRPr="003D6C5F" w:rsidR="005C3D92">
        <w:rPr>
          <w:rFonts w:ascii="Century Schoolbook" w:hAnsi="Century Schoolbook" w:cstheme="majorHAnsi"/>
          <w:sz w:val="26"/>
          <w:szCs w:val="26"/>
        </w:rPr>
        <w:t xml:space="preserve"> Breanna and Angel were wrong.</w:t>
      </w:r>
      <w:r w:rsidRPr="003D6C5F" w:rsidR="009313E9">
        <w:rPr>
          <w:rFonts w:ascii="Century Schoolbook" w:hAnsi="Century Schoolbook" w:cstheme="majorHAnsi"/>
          <w:sz w:val="26"/>
          <w:szCs w:val="26"/>
        </w:rPr>
        <w:t xml:space="preserve">  </w:t>
      </w:r>
      <w:r w:rsidRPr="003D6C5F" w:rsidR="00255937">
        <w:rPr>
          <w:rFonts w:ascii="Century Schoolbook" w:hAnsi="Century Schoolbook" w:cstheme="majorHAnsi"/>
          <w:sz w:val="26"/>
          <w:szCs w:val="26"/>
        </w:rPr>
        <w:t xml:space="preserve">On cross-examination, </w:t>
      </w:r>
      <w:r w:rsidRPr="003D6C5F">
        <w:rPr>
          <w:rFonts w:ascii="Century Schoolbook" w:hAnsi="Century Schoolbook" w:cstheme="majorHAnsi"/>
          <w:sz w:val="26"/>
          <w:szCs w:val="26"/>
        </w:rPr>
        <w:t>Ayala</w:t>
      </w:r>
      <w:r w:rsidRPr="003D6C5F" w:rsidR="00255937">
        <w:rPr>
          <w:rFonts w:ascii="Century Schoolbook" w:hAnsi="Century Schoolbook" w:cstheme="majorHAnsi"/>
          <w:sz w:val="26"/>
          <w:szCs w:val="26"/>
        </w:rPr>
        <w:t xml:space="preserve"> contradicted herself.  She agreed that she prayed to Santa Muerte for successful drug deals and that Santa Muerte was a type of religion pertaining to Satan and the devil. </w:t>
      </w:r>
      <w:r w:rsidRPr="003D6C5F" w:rsidR="00024F54">
        <w:rPr>
          <w:rFonts w:ascii="Century Schoolbook" w:hAnsi="Century Schoolbook" w:cstheme="majorHAnsi"/>
          <w:sz w:val="26"/>
          <w:szCs w:val="26"/>
        </w:rPr>
        <w:t xml:space="preserve"> She </w:t>
      </w:r>
      <w:r w:rsidRPr="003D6C5F" w:rsidR="00C33316">
        <w:rPr>
          <w:rFonts w:ascii="Century Schoolbook" w:hAnsi="Century Schoolbook" w:cstheme="majorHAnsi"/>
          <w:sz w:val="26"/>
          <w:szCs w:val="26"/>
        </w:rPr>
        <w:t>explained</w:t>
      </w:r>
      <w:r w:rsidRPr="003D6C5F" w:rsidR="00024F54">
        <w:rPr>
          <w:rFonts w:ascii="Century Schoolbook" w:hAnsi="Century Schoolbook" w:cstheme="majorHAnsi"/>
          <w:sz w:val="26"/>
          <w:szCs w:val="26"/>
        </w:rPr>
        <w:t xml:space="preserve"> that Santa Muerte was related to the grim reaper who represents death, murder and darkness.</w:t>
      </w:r>
      <w:r w:rsidRPr="003D6C5F" w:rsidR="009414EA">
        <w:rPr>
          <w:rFonts w:ascii="Century Schoolbook" w:hAnsi="Century Schoolbook" w:cstheme="majorHAnsi"/>
          <w:sz w:val="26"/>
          <w:szCs w:val="26"/>
        </w:rPr>
        <w:t xml:space="preserve"> </w:t>
      </w:r>
      <w:r w:rsidRPr="003D6C5F" w:rsidR="00024F54">
        <w:rPr>
          <w:rFonts w:ascii="Century Schoolbook" w:hAnsi="Century Schoolbook" w:cstheme="majorHAnsi"/>
          <w:sz w:val="26"/>
          <w:szCs w:val="26"/>
        </w:rPr>
        <w:t xml:space="preserve"> </w:t>
      </w:r>
      <w:r w:rsidRPr="003D6C5F" w:rsidR="00C54714">
        <w:rPr>
          <w:rFonts w:ascii="Century Schoolbook" w:hAnsi="Century Schoolbook" w:cstheme="majorHAnsi"/>
          <w:sz w:val="26"/>
          <w:szCs w:val="26"/>
        </w:rPr>
        <w:t xml:space="preserve">During closing argument, the prosecutor </w:t>
      </w:r>
      <w:r w:rsidRPr="003D6C5F" w:rsidR="0028667D">
        <w:rPr>
          <w:rFonts w:ascii="Century Schoolbook" w:hAnsi="Century Schoolbook" w:cstheme="majorHAnsi"/>
          <w:sz w:val="26"/>
          <w:szCs w:val="26"/>
        </w:rPr>
        <w:t>asserted that</w:t>
      </w:r>
      <w:r w:rsidRPr="003D6C5F" w:rsidR="00986D20">
        <w:rPr>
          <w:rFonts w:ascii="Century Schoolbook" w:hAnsi="Century Schoolbook" w:cstheme="majorHAnsi"/>
          <w:sz w:val="26"/>
          <w:szCs w:val="26"/>
        </w:rPr>
        <w:t xml:space="preserve"> </w:t>
      </w:r>
      <w:r w:rsidRPr="003D6C5F">
        <w:rPr>
          <w:rFonts w:ascii="Century Schoolbook" w:hAnsi="Century Schoolbook" w:cstheme="majorHAnsi"/>
          <w:sz w:val="26"/>
          <w:szCs w:val="26"/>
        </w:rPr>
        <w:t>Ayala</w:t>
      </w:r>
      <w:r w:rsidRPr="003D6C5F" w:rsidR="00986D20">
        <w:rPr>
          <w:rFonts w:ascii="Century Schoolbook" w:hAnsi="Century Schoolbook" w:cstheme="majorHAnsi"/>
          <w:sz w:val="26"/>
          <w:szCs w:val="26"/>
        </w:rPr>
        <w:t xml:space="preserve">’s prayers to Satan </w:t>
      </w:r>
      <w:r w:rsidRPr="003D6C5F" w:rsidR="009313E9">
        <w:rPr>
          <w:rFonts w:ascii="Century Schoolbook" w:hAnsi="Century Schoolbook" w:cstheme="majorHAnsi"/>
          <w:sz w:val="26"/>
          <w:szCs w:val="26"/>
        </w:rPr>
        <w:t>were</w:t>
      </w:r>
      <w:r w:rsidRPr="003D6C5F" w:rsidR="00986D20">
        <w:rPr>
          <w:rFonts w:ascii="Century Schoolbook" w:hAnsi="Century Schoolbook" w:cstheme="majorHAnsi"/>
          <w:sz w:val="26"/>
          <w:szCs w:val="26"/>
        </w:rPr>
        <w:t xml:space="preserve"> part of a </w:t>
      </w:r>
      <w:r w:rsidRPr="003D6C5F" w:rsidR="00C54714">
        <w:rPr>
          <w:rFonts w:ascii="Century Schoolbook" w:hAnsi="Century Schoolbook" w:cstheme="majorHAnsi"/>
          <w:sz w:val="26"/>
          <w:szCs w:val="26"/>
        </w:rPr>
        <w:t xml:space="preserve">sadistic </w:t>
      </w:r>
      <w:r w:rsidRPr="003D6C5F" w:rsidR="00986D20">
        <w:rPr>
          <w:rFonts w:ascii="Century Schoolbook" w:hAnsi="Century Schoolbook" w:cstheme="majorHAnsi"/>
          <w:sz w:val="26"/>
          <w:szCs w:val="26"/>
        </w:rPr>
        <w:t xml:space="preserve">ritual </w:t>
      </w:r>
      <w:r w:rsidRPr="003D6C5F" w:rsidR="009313E9">
        <w:rPr>
          <w:rFonts w:ascii="Century Schoolbook" w:hAnsi="Century Schoolbook" w:cstheme="majorHAnsi"/>
          <w:sz w:val="26"/>
          <w:szCs w:val="26"/>
        </w:rPr>
        <w:t>and showed her intent to kill</w:t>
      </w:r>
      <w:r w:rsidRPr="003D6C5F" w:rsidR="00986D20">
        <w:rPr>
          <w:rFonts w:ascii="Century Schoolbook" w:hAnsi="Century Schoolbook" w:cstheme="majorHAnsi"/>
          <w:sz w:val="26"/>
          <w:szCs w:val="26"/>
        </w:rPr>
        <w:t>.</w:t>
      </w:r>
      <w:r w:rsidRPr="003D6C5F" w:rsidR="00AC4BC7">
        <w:rPr>
          <w:rFonts w:ascii="Century Schoolbook" w:hAnsi="Century Schoolbook" w:cstheme="majorHAnsi"/>
          <w:sz w:val="26"/>
          <w:szCs w:val="26"/>
        </w:rPr>
        <w:t xml:space="preserve"> </w:t>
      </w:r>
      <w:r w:rsidRPr="003D6C5F" w:rsidR="00C54714">
        <w:rPr>
          <w:rFonts w:ascii="Century Schoolbook" w:hAnsi="Century Schoolbook" w:cstheme="majorHAnsi"/>
          <w:sz w:val="26"/>
          <w:szCs w:val="26"/>
        </w:rPr>
        <w:t xml:space="preserve"> </w:t>
      </w:r>
    </w:p>
    <w:bookmarkEnd w:id="24"/>
    <w:p w:rsidR="00005AD3" w:rsidRPr="003D6C5F" w:rsidP="000B1ECC" w14:paraId="5BADEAB9" w14:textId="240DDD88">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r>
      <w:bookmarkStart w:id="25" w:name="_Hlk162441451"/>
      <w:r w:rsidRPr="003D6C5F" w:rsidR="00192DA1">
        <w:rPr>
          <w:rFonts w:ascii="Century Schoolbook" w:hAnsi="Century Schoolbook" w:cstheme="majorHAnsi"/>
          <w:sz w:val="26"/>
          <w:szCs w:val="26"/>
        </w:rPr>
        <w:t>“No evidence is admissible except relevant evidence.”  (Evid. Code, §</w:t>
      </w:r>
      <w:r w:rsidRPr="003D6C5F" w:rsidR="006061E9">
        <w:rPr>
          <w:rFonts w:ascii="Century Schoolbook" w:hAnsi="Century Schoolbook" w:cstheme="majorHAnsi"/>
          <w:sz w:val="26"/>
          <w:szCs w:val="26"/>
        </w:rPr>
        <w:t> </w:t>
      </w:r>
      <w:r w:rsidRPr="003D6C5F" w:rsidR="00192DA1">
        <w:rPr>
          <w:rFonts w:ascii="Century Schoolbook" w:hAnsi="Century Schoolbook" w:cstheme="majorHAnsi"/>
          <w:sz w:val="26"/>
          <w:szCs w:val="26"/>
        </w:rPr>
        <w:t xml:space="preserve">350.)  “ ‘Relevant evidence’ means evidence, . . . having </w:t>
      </w:r>
      <w:r w:rsidRPr="003D6C5F" w:rsidR="00192DA1">
        <w:rPr>
          <w:rFonts w:ascii="Century Schoolbook" w:hAnsi="Century Schoolbook" w:cstheme="majorHAnsi"/>
          <w:i/>
          <w:iCs/>
          <w:sz w:val="26"/>
          <w:szCs w:val="26"/>
        </w:rPr>
        <w:t>any tendency</w:t>
      </w:r>
      <w:r w:rsidRPr="003D6C5F" w:rsidR="00192DA1">
        <w:rPr>
          <w:rFonts w:ascii="Century Schoolbook" w:hAnsi="Century Schoolbook" w:cstheme="majorHAnsi"/>
          <w:sz w:val="26"/>
          <w:szCs w:val="26"/>
        </w:rPr>
        <w:t xml:space="preserve"> in reason to prove or disprove any disputed fact that is of consequence to the determination of the action.”  (</w:t>
      </w:r>
      <w:r w:rsidRPr="003D6C5F" w:rsidR="0030522C">
        <w:rPr>
          <w:rFonts w:ascii="Century Schoolbook" w:hAnsi="Century Schoolbook" w:cstheme="majorHAnsi"/>
          <w:i/>
          <w:iCs/>
          <w:sz w:val="26"/>
          <w:szCs w:val="26"/>
        </w:rPr>
        <w:t>Id.</w:t>
      </w:r>
      <w:r w:rsidRPr="003D6C5F" w:rsidR="00192DA1">
        <w:rPr>
          <w:rFonts w:ascii="Century Schoolbook" w:hAnsi="Century Schoolbook" w:cstheme="majorHAnsi"/>
          <w:sz w:val="26"/>
          <w:szCs w:val="26"/>
        </w:rPr>
        <w:t>, § 210, italics added.)</w:t>
      </w:r>
      <w:r w:rsidRPr="003D6C5F" w:rsidR="00524149">
        <w:rPr>
          <w:rFonts w:ascii="Century Schoolbook" w:hAnsi="Century Schoolbook" w:cstheme="majorHAnsi"/>
          <w:sz w:val="26"/>
          <w:szCs w:val="26"/>
        </w:rPr>
        <w:t xml:space="preserve">  Relevant evidence “</w:t>
      </w:r>
      <w:r w:rsidRPr="003D6C5F" w:rsidR="00B334EF">
        <w:rPr>
          <w:rFonts w:ascii="Century Schoolbook" w:hAnsi="Century Schoolbook" w:cstheme="majorHAnsi"/>
          <w:sz w:val="26"/>
          <w:szCs w:val="26"/>
        </w:rPr>
        <w:t> </w:t>
      </w:r>
      <w:r w:rsidRPr="003D6C5F" w:rsidR="00524149">
        <w:rPr>
          <w:rFonts w:ascii="Century Schoolbook" w:hAnsi="Century Schoolbook" w:cstheme="majorHAnsi"/>
          <w:sz w:val="26"/>
          <w:szCs w:val="26"/>
        </w:rPr>
        <w:t>‘tends “logically, naturally, and by reasonable inference” to establish material facts such as identity, intent or motive.’ ”  (</w:t>
      </w:r>
      <w:bookmarkEnd w:id="25"/>
      <w:r w:rsidRPr="003D6C5F" w:rsidR="00524149">
        <w:rPr>
          <w:rFonts w:ascii="Century Schoolbook" w:hAnsi="Century Schoolbook" w:cstheme="majorHAnsi"/>
          <w:i/>
          <w:iCs/>
          <w:sz w:val="26"/>
          <w:szCs w:val="26"/>
        </w:rPr>
        <w:t>People v. Champion</w:t>
      </w:r>
      <w:r w:rsidRPr="003D6C5F" w:rsidR="00524149">
        <w:rPr>
          <w:rFonts w:ascii="Century Schoolbook" w:hAnsi="Century Schoolbook" w:cstheme="majorHAnsi"/>
          <w:sz w:val="26"/>
          <w:szCs w:val="26"/>
        </w:rPr>
        <w:t xml:space="preserve"> (1995) 9 Cal.4</w:t>
      </w:r>
      <w:r w:rsidRPr="00870E42" w:rsidR="00524149">
        <w:rPr>
          <w:rFonts w:ascii="Century Schoolbook" w:hAnsi="Century Schoolbook" w:cstheme="majorHAnsi"/>
          <w:sz w:val="26"/>
          <w:szCs w:val="26"/>
          <w:vertAlign w:val="superscript"/>
        </w:rPr>
        <w:t>th</w:t>
      </w:r>
      <w:r w:rsidRPr="003D6C5F" w:rsidR="00524149">
        <w:rPr>
          <w:rFonts w:ascii="Century Schoolbook" w:hAnsi="Century Schoolbook" w:cstheme="majorHAnsi"/>
          <w:sz w:val="26"/>
          <w:szCs w:val="26"/>
        </w:rPr>
        <w:t xml:space="preserve"> 879, 922.)  Relevant evidence must be excluded “when its probative value is </w:t>
      </w:r>
      <w:r w:rsidRPr="003D6C5F" w:rsidR="00524149">
        <w:rPr>
          <w:rFonts w:ascii="Century Schoolbook" w:hAnsi="Century Schoolbook" w:cstheme="majorHAnsi"/>
          <w:i/>
          <w:iCs/>
          <w:sz w:val="26"/>
          <w:szCs w:val="26"/>
        </w:rPr>
        <w:t>substantially</w:t>
      </w:r>
      <w:r w:rsidRPr="003D6C5F" w:rsidR="00524149">
        <w:rPr>
          <w:rFonts w:ascii="Century Schoolbook" w:hAnsi="Century Schoolbook" w:cstheme="majorHAnsi"/>
          <w:sz w:val="26"/>
          <w:szCs w:val="26"/>
        </w:rPr>
        <w:t xml:space="preserve"> outweighed by its prejudicial effect.”</w:t>
      </w:r>
      <w:r w:rsidRPr="003D6C5F" w:rsidR="005B6D2F">
        <w:rPr>
          <w:rFonts w:ascii="Century Schoolbook" w:hAnsi="Century Schoolbook" w:cstheme="majorHAnsi"/>
          <w:sz w:val="26"/>
          <w:szCs w:val="26"/>
        </w:rPr>
        <w:t xml:space="preserve"> </w:t>
      </w:r>
      <w:r w:rsidRPr="003D6C5F" w:rsidR="00524149">
        <w:rPr>
          <w:rFonts w:ascii="Century Schoolbook" w:hAnsi="Century Schoolbook" w:cstheme="majorHAnsi"/>
          <w:sz w:val="26"/>
          <w:szCs w:val="26"/>
        </w:rPr>
        <w:t xml:space="preserve"> (</w:t>
      </w:r>
      <w:r w:rsidRPr="003D6C5F" w:rsidR="00524149">
        <w:rPr>
          <w:rFonts w:ascii="Century Schoolbook" w:hAnsi="Century Schoolbook" w:cstheme="majorHAnsi"/>
          <w:i/>
          <w:iCs/>
          <w:sz w:val="26"/>
          <w:szCs w:val="26"/>
        </w:rPr>
        <w:t>People</w:t>
      </w:r>
      <w:r w:rsidR="00294A22">
        <w:rPr>
          <w:rFonts w:ascii="Century Schoolbook" w:hAnsi="Century Schoolbook" w:cstheme="majorHAnsi"/>
          <w:i/>
          <w:iCs/>
          <w:sz w:val="26"/>
          <w:szCs w:val="26"/>
        </w:rPr>
        <w:t> </w:t>
      </w:r>
      <w:r w:rsidRPr="003D6C5F" w:rsidR="00524149">
        <w:rPr>
          <w:rFonts w:ascii="Century Schoolbook" w:hAnsi="Century Schoolbook" w:cstheme="majorHAnsi"/>
          <w:i/>
          <w:iCs/>
          <w:sz w:val="26"/>
          <w:szCs w:val="26"/>
        </w:rPr>
        <w:t>v. Tran</w:t>
      </w:r>
      <w:r w:rsidRPr="003D6C5F" w:rsidR="00524149">
        <w:rPr>
          <w:rFonts w:ascii="Century Schoolbook" w:hAnsi="Century Schoolbook" w:cstheme="majorHAnsi"/>
          <w:sz w:val="26"/>
          <w:szCs w:val="26"/>
        </w:rPr>
        <w:t xml:space="preserve"> (2011) 51 Cal.</w:t>
      </w:r>
      <w:r w:rsidR="008221FE">
        <w:rPr>
          <w:rFonts w:ascii="Century Schoolbook" w:hAnsi="Century Schoolbook" w:cstheme="majorHAnsi"/>
          <w:sz w:val="26"/>
          <w:szCs w:val="26"/>
        </w:rPr>
        <w:t>4th</w:t>
      </w:r>
      <w:r w:rsidRPr="003D6C5F" w:rsidR="00524149">
        <w:rPr>
          <w:rFonts w:ascii="Century Schoolbook" w:hAnsi="Century Schoolbook" w:cstheme="majorHAnsi"/>
          <w:sz w:val="26"/>
          <w:szCs w:val="26"/>
        </w:rPr>
        <w:t xml:space="preserve"> 1040, 1047</w:t>
      </w:r>
      <w:r w:rsidRPr="003D6C5F" w:rsidR="00200197">
        <w:rPr>
          <w:rFonts w:ascii="Century Schoolbook" w:hAnsi="Century Schoolbook" w:cstheme="majorHAnsi"/>
          <w:sz w:val="26"/>
          <w:szCs w:val="26"/>
        </w:rPr>
        <w:t xml:space="preserve"> (</w:t>
      </w:r>
      <w:r w:rsidRPr="003D6C5F" w:rsidR="00200197">
        <w:rPr>
          <w:rFonts w:ascii="Century Schoolbook" w:hAnsi="Century Schoolbook" w:cstheme="majorHAnsi"/>
          <w:i/>
          <w:iCs/>
          <w:sz w:val="26"/>
          <w:szCs w:val="26"/>
        </w:rPr>
        <w:t>Tran</w:t>
      </w:r>
      <w:r w:rsidRPr="003D6C5F" w:rsidR="00200197">
        <w:rPr>
          <w:rFonts w:ascii="Century Schoolbook" w:hAnsi="Century Schoolbook" w:cstheme="majorHAnsi"/>
          <w:sz w:val="26"/>
          <w:szCs w:val="26"/>
        </w:rPr>
        <w:t>)</w:t>
      </w:r>
      <w:r w:rsidRPr="003D6C5F" w:rsidR="00524149">
        <w:rPr>
          <w:rFonts w:ascii="Century Schoolbook" w:hAnsi="Century Schoolbook" w:cstheme="majorHAnsi"/>
          <w:sz w:val="26"/>
          <w:szCs w:val="26"/>
        </w:rPr>
        <w:t>; Evid. Code, §</w:t>
      </w:r>
      <w:r w:rsidRPr="003D6C5F" w:rsidR="006061E9">
        <w:rPr>
          <w:rFonts w:ascii="Century Schoolbook" w:hAnsi="Century Schoolbook" w:cstheme="majorHAnsi"/>
          <w:sz w:val="26"/>
          <w:szCs w:val="26"/>
        </w:rPr>
        <w:t> </w:t>
      </w:r>
      <w:r w:rsidRPr="003D6C5F" w:rsidR="00524149">
        <w:rPr>
          <w:rFonts w:ascii="Century Schoolbook" w:hAnsi="Century Schoolbook" w:cstheme="majorHAnsi"/>
          <w:sz w:val="26"/>
          <w:szCs w:val="26"/>
        </w:rPr>
        <w:t>352.)  “</w:t>
      </w:r>
      <w:r w:rsidR="00294A22">
        <w:rPr>
          <w:rFonts w:ascii="Century Schoolbook" w:hAnsi="Century Schoolbook" w:cstheme="majorHAnsi"/>
          <w:sz w:val="26"/>
          <w:szCs w:val="26"/>
        </w:rPr>
        <w:t> </w:t>
      </w:r>
      <w:r w:rsidRPr="003D6C5F" w:rsidR="00524149">
        <w:rPr>
          <w:rFonts w:ascii="Century Schoolbook" w:hAnsi="Century Schoolbook" w:cstheme="majorHAnsi"/>
          <w:sz w:val="26"/>
          <w:szCs w:val="26"/>
        </w:rPr>
        <w:t xml:space="preserve">‘Evidence is substantially more prejudicial than probative </w:t>
      </w:r>
      <w:r w:rsidRPr="003D6C5F" w:rsidR="004B35D1">
        <w:rPr>
          <w:rFonts w:ascii="Century Schoolbook" w:hAnsi="Century Schoolbook" w:cstheme="majorHAnsi"/>
          <w:sz w:val="26"/>
          <w:szCs w:val="26"/>
        </w:rPr>
        <w:t xml:space="preserve">[citation] [only] </w:t>
      </w:r>
      <w:r w:rsidRPr="003D6C5F" w:rsidR="00524149">
        <w:rPr>
          <w:rFonts w:ascii="Century Schoolbook" w:hAnsi="Century Schoolbook" w:cstheme="majorHAnsi"/>
          <w:sz w:val="26"/>
          <w:szCs w:val="26"/>
        </w:rPr>
        <w:t>if, broadly stated, it poses an intolerable “risk to the fairness of the proceedings or the reliability of the outcome</w:t>
      </w:r>
      <w:r w:rsidRPr="003D6C5F" w:rsidR="006061E9">
        <w:rPr>
          <w:rFonts w:ascii="Century Schoolbook" w:hAnsi="Century Schoolbook" w:cstheme="majorHAnsi"/>
          <w:sz w:val="26"/>
          <w:szCs w:val="26"/>
        </w:rPr>
        <w:t>.</w:t>
      </w:r>
      <w:r w:rsidRPr="003D6C5F" w:rsidR="00524149">
        <w:rPr>
          <w:rFonts w:ascii="Century Schoolbook" w:hAnsi="Century Schoolbook" w:cstheme="majorHAnsi"/>
          <w:sz w:val="26"/>
          <w:szCs w:val="26"/>
        </w:rPr>
        <w:t>”</w:t>
      </w:r>
      <w:r w:rsidRPr="003D6C5F" w:rsidR="006061E9">
        <w:rPr>
          <w:rFonts w:ascii="Century Schoolbook" w:hAnsi="Century Schoolbook" w:cstheme="majorHAnsi"/>
          <w:sz w:val="26"/>
          <w:szCs w:val="26"/>
        </w:rPr>
        <w:t> </w:t>
      </w:r>
      <w:r w:rsidRPr="003D6C5F" w:rsidR="00524149">
        <w:rPr>
          <w:rFonts w:ascii="Century Schoolbook" w:hAnsi="Century Schoolbook" w:cstheme="majorHAnsi"/>
          <w:sz w:val="26"/>
          <w:szCs w:val="26"/>
        </w:rPr>
        <w:t>’</w:t>
      </w:r>
      <w:r w:rsidRPr="003D6C5F" w:rsidR="006061E9">
        <w:rPr>
          <w:rFonts w:ascii="Century Schoolbook" w:hAnsi="Century Schoolbook" w:cstheme="majorHAnsi"/>
          <w:sz w:val="26"/>
          <w:szCs w:val="26"/>
        </w:rPr>
        <w:t> </w:t>
      </w:r>
      <w:r w:rsidRPr="003D6C5F" w:rsidR="00524149">
        <w:rPr>
          <w:rFonts w:ascii="Century Schoolbook" w:hAnsi="Century Schoolbook" w:cstheme="majorHAnsi"/>
          <w:sz w:val="26"/>
          <w:szCs w:val="26"/>
        </w:rPr>
        <w:t>”  (</w:t>
      </w:r>
      <w:r w:rsidRPr="003D6C5F" w:rsidR="00524149">
        <w:rPr>
          <w:rFonts w:ascii="Century Schoolbook" w:hAnsi="Century Schoolbook" w:cstheme="majorHAnsi"/>
          <w:i/>
          <w:iCs/>
          <w:sz w:val="26"/>
          <w:szCs w:val="26"/>
        </w:rPr>
        <w:t>Tran</w:t>
      </w:r>
      <w:r w:rsidRPr="003D6C5F" w:rsidR="00524149">
        <w:rPr>
          <w:rFonts w:ascii="Century Schoolbook" w:hAnsi="Century Schoolbook" w:cstheme="majorHAnsi"/>
          <w:sz w:val="26"/>
          <w:szCs w:val="26"/>
        </w:rPr>
        <w:t>, at p. 1047.)</w:t>
      </w:r>
    </w:p>
    <w:p w:rsidR="00534C3F" w:rsidRPr="003D6C5F" w:rsidP="000B1ECC" w14:paraId="60088B80" w14:textId="61F69F3C">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 xml:space="preserve">We acknowledge that evidence of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’s Satanic beliefs carried with it the potential for creating unfair prejudice.  As our Supreme Court has recognized, “[a] favorable view of the biblical figure of Satan is generally understood as a symbolic rejection of the values of love and compassion, and as indicating acceptance of the contrary values of hatred and violence, with a consequent rejection of all moral restrictions on crimes such as murder.”  (</w:t>
      </w:r>
      <w:r w:rsidRPr="003D6C5F">
        <w:rPr>
          <w:rFonts w:ascii="Century Schoolbook" w:hAnsi="Century Schoolbook" w:cstheme="majorHAnsi"/>
          <w:i/>
          <w:iCs/>
          <w:sz w:val="26"/>
          <w:szCs w:val="26"/>
        </w:rPr>
        <w:t>People v. Kipp</w:t>
      </w:r>
      <w:r w:rsidRPr="003D6C5F">
        <w:rPr>
          <w:rFonts w:ascii="Century Schoolbook" w:hAnsi="Century Schoolbook" w:cstheme="majorHAnsi"/>
          <w:sz w:val="26"/>
          <w:szCs w:val="26"/>
        </w:rPr>
        <w:t xml:space="preserve"> (2001) 26 Cal.</w:t>
      </w:r>
      <w:r w:rsidR="008221FE">
        <w:rPr>
          <w:rFonts w:ascii="Century Schoolbook" w:hAnsi="Century Schoolbook" w:cstheme="majorHAnsi"/>
          <w:sz w:val="26"/>
          <w:szCs w:val="26"/>
        </w:rPr>
        <w:t>4th</w:t>
      </w:r>
      <w:r w:rsidRPr="003D6C5F">
        <w:rPr>
          <w:rFonts w:ascii="Century Schoolbook" w:hAnsi="Century Schoolbook" w:cstheme="majorHAnsi"/>
          <w:sz w:val="26"/>
          <w:szCs w:val="26"/>
        </w:rPr>
        <w:t xml:space="preserve"> 1100, 1135.)  </w:t>
      </w:r>
      <w:r w:rsidRPr="003D6C5F" w:rsidR="00200197">
        <w:rPr>
          <w:rFonts w:ascii="Century Schoolbook" w:hAnsi="Century Schoolbook" w:cstheme="majorHAnsi"/>
          <w:sz w:val="26"/>
          <w:szCs w:val="26"/>
        </w:rPr>
        <w:t xml:space="preserve">Accordingly, the issue here is whether the </w:t>
      </w:r>
      <w:r w:rsidRPr="003D6C5F" w:rsidR="005A3BE7">
        <w:rPr>
          <w:rFonts w:ascii="Century Schoolbook" w:hAnsi="Century Schoolbook" w:cstheme="majorHAnsi"/>
          <w:sz w:val="26"/>
          <w:szCs w:val="26"/>
        </w:rPr>
        <w:t xml:space="preserve">indisputably </w:t>
      </w:r>
      <w:r w:rsidRPr="003D6C5F" w:rsidR="00200197">
        <w:rPr>
          <w:rFonts w:ascii="Century Schoolbook" w:hAnsi="Century Schoolbook" w:cstheme="majorHAnsi"/>
          <w:sz w:val="26"/>
          <w:szCs w:val="26"/>
        </w:rPr>
        <w:t>prejudicial effect of this evidence substantially outweighed its probative value.  (</w:t>
      </w:r>
      <w:r w:rsidRPr="003D6C5F" w:rsidR="00200197">
        <w:rPr>
          <w:rFonts w:ascii="Century Schoolbook" w:hAnsi="Century Schoolbook" w:cstheme="majorHAnsi"/>
          <w:i/>
          <w:iCs/>
          <w:sz w:val="26"/>
          <w:szCs w:val="26"/>
        </w:rPr>
        <w:t>Tran,</w:t>
      </w:r>
      <w:r w:rsidRPr="003D6C5F" w:rsidR="00200197">
        <w:rPr>
          <w:rFonts w:ascii="Century Schoolbook" w:hAnsi="Century Schoolbook" w:cstheme="majorHAnsi"/>
          <w:sz w:val="26"/>
          <w:szCs w:val="26"/>
        </w:rPr>
        <w:t xml:space="preserve"> </w:t>
      </w:r>
      <w:r w:rsidRPr="003D6C5F" w:rsidR="00200197">
        <w:rPr>
          <w:rFonts w:ascii="Century Schoolbook" w:hAnsi="Century Schoolbook" w:cstheme="majorHAnsi"/>
          <w:i/>
          <w:iCs/>
          <w:sz w:val="26"/>
          <w:szCs w:val="26"/>
        </w:rPr>
        <w:t>supra</w:t>
      </w:r>
      <w:r w:rsidRPr="003D6C5F" w:rsidR="00200197">
        <w:rPr>
          <w:rFonts w:ascii="Century Schoolbook" w:hAnsi="Century Schoolbook" w:cstheme="majorHAnsi"/>
          <w:sz w:val="26"/>
          <w:szCs w:val="26"/>
        </w:rPr>
        <w:t>, 51 Cal.</w:t>
      </w:r>
      <w:r w:rsidR="008221FE">
        <w:rPr>
          <w:rFonts w:ascii="Century Schoolbook" w:hAnsi="Century Schoolbook" w:cstheme="majorHAnsi"/>
          <w:sz w:val="26"/>
          <w:szCs w:val="26"/>
        </w:rPr>
        <w:t>4th</w:t>
      </w:r>
      <w:r w:rsidRPr="003D6C5F" w:rsidR="00200197">
        <w:rPr>
          <w:rFonts w:ascii="Century Schoolbook" w:hAnsi="Century Schoolbook" w:cstheme="majorHAnsi"/>
          <w:sz w:val="26"/>
          <w:szCs w:val="26"/>
        </w:rPr>
        <w:t xml:space="preserve"> at p. 1047.)  </w:t>
      </w:r>
    </w:p>
    <w:p w:rsidR="00E15147" w:rsidRPr="003D6C5F" w:rsidP="000B1ECC" w14:paraId="48917FD0" w14:textId="5B66A3F2">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We find the evidence had </w:t>
      </w:r>
      <w:r w:rsidRPr="003D6C5F" w:rsidR="000E2568">
        <w:rPr>
          <w:rFonts w:ascii="Century Schoolbook" w:hAnsi="Century Schoolbook" w:cstheme="majorHAnsi"/>
          <w:sz w:val="26"/>
          <w:szCs w:val="26"/>
        </w:rPr>
        <w:t>minimal</w:t>
      </w:r>
      <w:r w:rsidRPr="003D6C5F">
        <w:rPr>
          <w:rFonts w:ascii="Century Schoolbook" w:hAnsi="Century Schoolbook" w:cstheme="majorHAnsi"/>
          <w:sz w:val="26"/>
          <w:szCs w:val="26"/>
        </w:rPr>
        <w:t xml:space="preserve"> probative value.  </w:t>
      </w:r>
      <w:r w:rsidRPr="003D6C5F" w:rsidR="009A0EF8">
        <w:rPr>
          <w:rFonts w:ascii="Century Schoolbook" w:hAnsi="Century Schoolbook" w:cstheme="majorHAnsi"/>
          <w:sz w:val="26"/>
          <w:szCs w:val="26"/>
        </w:rPr>
        <w:t>It may have had some</w:t>
      </w:r>
      <w:r w:rsidRPr="003D6C5F">
        <w:rPr>
          <w:rFonts w:ascii="Century Schoolbook" w:hAnsi="Century Schoolbook" w:cstheme="majorHAnsi"/>
          <w:sz w:val="26"/>
          <w:szCs w:val="26"/>
        </w:rPr>
        <w:t xml:space="preserve"> relevance in showing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’s intent to kill.  After Breanna heard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giving Samuel directions and saw </w:t>
      </w:r>
      <w:r w:rsidRPr="003D6C5F" w:rsidR="00584835">
        <w:rPr>
          <w:rFonts w:ascii="Century Schoolbook" w:hAnsi="Century Schoolbook" w:cstheme="majorHAnsi"/>
          <w:sz w:val="26"/>
          <w:szCs w:val="26"/>
        </w:rPr>
        <w:t>that</w:t>
      </w:r>
      <w:r w:rsidRPr="003D6C5F">
        <w:rPr>
          <w:rFonts w:ascii="Century Schoolbook" w:hAnsi="Century Schoolbook" w:cstheme="majorHAnsi"/>
          <w:sz w:val="26"/>
          <w:szCs w:val="26"/>
        </w:rPr>
        <w:t xml:space="preserve"> a text message</w:t>
      </w:r>
      <w:r w:rsidRPr="003D6C5F" w:rsidR="00584835">
        <w:rPr>
          <w:rFonts w:ascii="Century Schoolbook" w:hAnsi="Century Schoolbook" w:cstheme="majorHAnsi"/>
          <w:sz w:val="26"/>
          <w:szCs w:val="26"/>
        </w:rPr>
        <w:t xml:space="preserve"> was sent</w:t>
      </w:r>
      <w:r w:rsidRPr="003D6C5F">
        <w:rPr>
          <w:rFonts w:ascii="Century Schoolbook" w:hAnsi="Century Schoolbook" w:cstheme="majorHAnsi"/>
          <w:sz w:val="26"/>
          <w:szCs w:val="26"/>
        </w:rPr>
        <w:t xml:space="preserve">, </w:t>
      </w:r>
      <w:r w:rsidRPr="003D6C5F" w:rsidR="00870E42">
        <w:rPr>
          <w:rFonts w:ascii="Century Schoolbook" w:hAnsi="Century Schoolbook" w:cstheme="majorHAnsi"/>
          <w:sz w:val="26"/>
          <w:szCs w:val="26"/>
        </w:rPr>
        <w:t>S</w:t>
      </w:r>
      <w:r w:rsidRPr="003D6C5F">
        <w:rPr>
          <w:rFonts w:ascii="Century Schoolbook" w:hAnsi="Century Schoolbook" w:cstheme="majorHAnsi"/>
          <w:sz w:val="26"/>
          <w:szCs w:val="26"/>
        </w:rPr>
        <w:t xml:space="preserve">he heard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pray, “Dear Lord Satan, please let this go through.”  </w:t>
      </w:r>
      <w:r w:rsidRPr="003D6C5F" w:rsidR="005A3BE7">
        <w:rPr>
          <w:rFonts w:ascii="Century Schoolbook" w:hAnsi="Century Schoolbook" w:cstheme="majorHAnsi"/>
          <w:sz w:val="26"/>
          <w:szCs w:val="26"/>
        </w:rPr>
        <w:t>If believed,</w:t>
      </w:r>
      <w:r w:rsidRPr="003D6C5F">
        <w:rPr>
          <w:rFonts w:ascii="Century Schoolbook" w:hAnsi="Century Schoolbook" w:cstheme="majorHAnsi"/>
          <w:sz w:val="26"/>
          <w:szCs w:val="26"/>
        </w:rPr>
        <w:t xml:space="preserve"> the jury </w:t>
      </w:r>
      <w:r w:rsidRPr="003D6C5F" w:rsidR="00584835">
        <w:rPr>
          <w:rFonts w:ascii="Century Schoolbook" w:hAnsi="Century Schoolbook" w:cstheme="majorHAnsi"/>
          <w:sz w:val="26"/>
          <w:szCs w:val="26"/>
        </w:rPr>
        <w:t>might</w:t>
      </w:r>
      <w:r w:rsidRPr="003D6C5F">
        <w:rPr>
          <w:rFonts w:ascii="Century Schoolbook" w:hAnsi="Century Schoolbook" w:cstheme="majorHAnsi"/>
          <w:sz w:val="26"/>
          <w:szCs w:val="26"/>
        </w:rPr>
        <w:t xml:space="preserve"> infer </w:t>
      </w:r>
      <w:r w:rsidRPr="003D6C5F" w:rsidR="005A3BE7">
        <w:rPr>
          <w:rFonts w:ascii="Century Schoolbook" w:hAnsi="Century Schoolbook" w:cstheme="majorHAnsi"/>
          <w:sz w:val="26"/>
          <w:szCs w:val="26"/>
        </w:rPr>
        <w:t xml:space="preserve">from this evidence </w:t>
      </w:r>
      <w:r w:rsidRPr="003D6C5F" w:rsidR="00584835">
        <w:rPr>
          <w:rFonts w:ascii="Century Schoolbook" w:hAnsi="Century Schoolbook" w:cstheme="majorHAnsi"/>
          <w:sz w:val="26"/>
          <w:szCs w:val="26"/>
        </w:rPr>
        <w:t xml:space="preserve">that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prayed for Satan’s help in murdering Samuel.</w:t>
      </w:r>
    </w:p>
    <w:p w:rsidR="00C74A96" w:rsidRPr="003D6C5F" w:rsidP="000B1ECC" w14:paraId="6E48BDD8" w14:textId="407F8C57">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The People </w:t>
      </w:r>
      <w:r w:rsidRPr="003D6C5F" w:rsidR="009A0EF8">
        <w:rPr>
          <w:rFonts w:ascii="Century Schoolbook" w:hAnsi="Century Schoolbook" w:cstheme="majorHAnsi"/>
          <w:sz w:val="26"/>
          <w:szCs w:val="26"/>
        </w:rPr>
        <w:t xml:space="preserve">also </w:t>
      </w:r>
      <w:r w:rsidRPr="003D6C5F">
        <w:rPr>
          <w:rFonts w:ascii="Century Schoolbook" w:hAnsi="Century Schoolbook" w:cstheme="majorHAnsi"/>
          <w:sz w:val="26"/>
          <w:szCs w:val="26"/>
        </w:rPr>
        <w:t xml:space="preserve">argue the evidence </w:t>
      </w:r>
      <w:r w:rsidRPr="003D6C5F" w:rsidR="001A5BB8">
        <w:rPr>
          <w:rFonts w:ascii="Century Schoolbook" w:hAnsi="Century Schoolbook" w:cstheme="majorHAnsi"/>
          <w:sz w:val="26"/>
          <w:szCs w:val="26"/>
        </w:rPr>
        <w:t xml:space="preserve">of Satan worship </w:t>
      </w:r>
      <w:r w:rsidRPr="003D6C5F">
        <w:rPr>
          <w:rFonts w:ascii="Century Schoolbook" w:hAnsi="Century Schoolbook" w:cstheme="majorHAnsi"/>
          <w:sz w:val="26"/>
          <w:szCs w:val="26"/>
        </w:rPr>
        <w:t xml:space="preserve">was relevant to show the witnesses’ fear of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and why they may have complied with her demands.  </w:t>
      </w:r>
      <w:r w:rsidRPr="003D6C5F" w:rsidR="009A0EF8">
        <w:rPr>
          <w:rFonts w:ascii="Century Schoolbook" w:hAnsi="Century Schoolbook" w:cstheme="majorHAnsi"/>
          <w:sz w:val="26"/>
          <w:szCs w:val="26"/>
        </w:rPr>
        <w:t>But t</w:t>
      </w:r>
      <w:r w:rsidRPr="003D6C5F">
        <w:rPr>
          <w:rFonts w:ascii="Century Schoolbook" w:hAnsi="Century Schoolbook" w:cstheme="majorHAnsi"/>
          <w:sz w:val="26"/>
          <w:szCs w:val="26"/>
        </w:rPr>
        <w:t>he support</w:t>
      </w:r>
      <w:r w:rsidRPr="003D6C5F" w:rsidR="009A0EF8">
        <w:rPr>
          <w:rFonts w:ascii="Century Schoolbook" w:hAnsi="Century Schoolbook" w:cstheme="majorHAnsi"/>
          <w:sz w:val="26"/>
          <w:szCs w:val="26"/>
        </w:rPr>
        <w:t xml:space="preserve"> for</w:t>
      </w:r>
      <w:r w:rsidRPr="003D6C5F">
        <w:rPr>
          <w:rFonts w:ascii="Century Schoolbook" w:hAnsi="Century Schoolbook" w:cstheme="majorHAnsi"/>
          <w:sz w:val="26"/>
          <w:szCs w:val="26"/>
        </w:rPr>
        <w:t xml:space="preserve"> this assertion is </w:t>
      </w:r>
      <w:r w:rsidRPr="003D6C5F" w:rsidR="009A1109">
        <w:rPr>
          <w:rFonts w:ascii="Century Schoolbook" w:hAnsi="Century Schoolbook" w:cstheme="majorHAnsi"/>
          <w:sz w:val="26"/>
          <w:szCs w:val="26"/>
        </w:rPr>
        <w:t>slight</w:t>
      </w:r>
      <w:r w:rsidRPr="003D6C5F">
        <w:rPr>
          <w:rFonts w:ascii="Century Schoolbook" w:hAnsi="Century Schoolbook" w:cstheme="majorHAnsi"/>
          <w:sz w:val="26"/>
          <w:szCs w:val="26"/>
        </w:rPr>
        <w:t xml:space="preserve">.  Cheyenne told Breanna that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was “a cool person” but “not that great of a person.”  </w:t>
      </w:r>
      <w:r w:rsidRPr="003D6C5F" w:rsidR="00584835">
        <w:rPr>
          <w:rFonts w:ascii="Century Schoolbook" w:hAnsi="Century Schoolbook" w:cstheme="majorHAnsi"/>
          <w:sz w:val="26"/>
          <w:szCs w:val="26"/>
        </w:rPr>
        <w:t>She</w:t>
      </w:r>
      <w:r w:rsidR="002E0DDC">
        <w:rPr>
          <w:rFonts w:ascii="Century Schoolbook" w:hAnsi="Century Schoolbook" w:cstheme="majorHAnsi"/>
          <w:sz w:val="26"/>
          <w:szCs w:val="26"/>
        </w:rPr>
        <w:t> </w:t>
      </w:r>
      <w:r w:rsidRPr="003D6C5F">
        <w:rPr>
          <w:rFonts w:ascii="Century Schoolbook" w:hAnsi="Century Schoolbook" w:cstheme="majorHAnsi"/>
          <w:sz w:val="26"/>
          <w:szCs w:val="26"/>
        </w:rPr>
        <w:t xml:space="preserve">warned that if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got mad she would not be afraid to hit Breanna</w:t>
      </w:r>
      <w:r w:rsidRPr="003D6C5F" w:rsidR="00584835">
        <w:rPr>
          <w:rFonts w:ascii="Century Schoolbook" w:hAnsi="Century Schoolbook" w:cstheme="majorHAnsi"/>
          <w:sz w:val="26"/>
          <w:szCs w:val="26"/>
        </w:rPr>
        <w:t>.  She added</w:t>
      </w:r>
      <w:r w:rsidRPr="003D6C5F">
        <w:rPr>
          <w:rFonts w:ascii="Century Schoolbook" w:hAnsi="Century Schoolbook" w:cstheme="majorHAnsi"/>
          <w:sz w:val="26"/>
          <w:szCs w:val="26"/>
        </w:rPr>
        <w:t xml:space="preserve"> that Breanna “cannot say anything about God” in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’s presence.  Breanna claimed the “really big reason” why she did not contact the police after the murder is because she was “terrified of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She told me if I ever contacted the police, she has people to find me; she could find me wherever I go.”  When the police first contacted her, Breanna admitted lying because she was terrified but decided to tell the truth after she realized what the police already knew.  Breanna explained that after the killing, she followed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’s orders to help clean up the blood in the R.V. because she was terrified and “did whatever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told me to do.”  </w:t>
      </w:r>
    </w:p>
    <w:p w:rsidR="00C74A96" w:rsidRPr="003D6C5F" w:rsidP="000B1ECC" w14:paraId="515EBE27" w14:textId="0FDC206B">
      <w:pPr>
        <w:keepLines/>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While this evidence </w:t>
      </w:r>
      <w:r w:rsidRPr="003D6C5F" w:rsidR="001A5BB8">
        <w:rPr>
          <w:rFonts w:ascii="Century Schoolbook" w:hAnsi="Century Schoolbook" w:cstheme="majorHAnsi"/>
          <w:sz w:val="26"/>
          <w:szCs w:val="26"/>
        </w:rPr>
        <w:t xml:space="preserve">tends to </w:t>
      </w:r>
      <w:r w:rsidRPr="003D6C5F">
        <w:rPr>
          <w:rFonts w:ascii="Century Schoolbook" w:hAnsi="Century Schoolbook" w:cstheme="majorHAnsi"/>
          <w:sz w:val="26"/>
          <w:szCs w:val="26"/>
        </w:rPr>
        <w:t>show</w:t>
      </w:r>
      <w:r w:rsidRPr="003D6C5F" w:rsidR="001A5BB8">
        <w:rPr>
          <w:rFonts w:ascii="Century Schoolbook" w:hAnsi="Century Schoolbook" w:cstheme="majorHAnsi"/>
          <w:sz w:val="26"/>
          <w:szCs w:val="26"/>
        </w:rPr>
        <w:t xml:space="preserve"> that</w:t>
      </w:r>
      <w:r w:rsidRPr="003D6C5F">
        <w:rPr>
          <w:rFonts w:ascii="Century Schoolbook" w:hAnsi="Century Schoolbook" w:cstheme="majorHAnsi"/>
          <w:sz w:val="26"/>
          <w:szCs w:val="26"/>
        </w:rPr>
        <w:t xml:space="preserve"> Breanna feared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nothing connected Breanna’s fear to Satan</w:t>
      </w:r>
      <w:r w:rsidRPr="003D6C5F" w:rsidR="005A3BE7">
        <w:rPr>
          <w:rFonts w:ascii="Century Schoolbook" w:hAnsi="Century Schoolbook" w:cstheme="majorHAnsi"/>
          <w:sz w:val="26"/>
          <w:szCs w:val="26"/>
        </w:rPr>
        <w:t>ic</w:t>
      </w:r>
      <w:r w:rsidRPr="003D6C5F">
        <w:rPr>
          <w:rFonts w:ascii="Century Schoolbook" w:hAnsi="Century Schoolbook" w:cstheme="majorHAnsi"/>
          <w:sz w:val="26"/>
          <w:szCs w:val="26"/>
        </w:rPr>
        <w:t xml:space="preserve"> worship rather than a generalized fear of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as a </w:t>
      </w:r>
      <w:r w:rsidRPr="003D6C5F" w:rsidR="00584835">
        <w:rPr>
          <w:rFonts w:ascii="Century Schoolbook" w:hAnsi="Century Schoolbook" w:cstheme="majorHAnsi"/>
          <w:sz w:val="26"/>
          <w:szCs w:val="26"/>
        </w:rPr>
        <w:t xml:space="preserve">potentially violent </w:t>
      </w:r>
      <w:r w:rsidRPr="003D6C5F">
        <w:rPr>
          <w:rFonts w:ascii="Century Schoolbook" w:hAnsi="Century Schoolbook" w:cstheme="majorHAnsi"/>
          <w:sz w:val="26"/>
          <w:szCs w:val="26"/>
        </w:rPr>
        <w:t>person who should not be crossed.</w:t>
      </w:r>
      <w:r w:rsidRPr="003D6C5F" w:rsidR="009F468A">
        <w:rPr>
          <w:rFonts w:ascii="Century Schoolbook" w:hAnsi="Century Schoolbook" w:cstheme="majorHAnsi"/>
          <w:sz w:val="26"/>
          <w:szCs w:val="26"/>
        </w:rPr>
        <w:t xml:space="preserve">  The only evidence from which an inference could be drawn that Breanna feared </w:t>
      </w:r>
      <w:r w:rsidRPr="003D6C5F" w:rsidR="00BC57F6">
        <w:rPr>
          <w:rFonts w:ascii="Century Schoolbook" w:hAnsi="Century Schoolbook" w:cstheme="majorHAnsi"/>
          <w:sz w:val="26"/>
          <w:szCs w:val="26"/>
        </w:rPr>
        <w:t>Ayala</w:t>
      </w:r>
      <w:r w:rsidRPr="003D6C5F" w:rsidR="009F468A">
        <w:rPr>
          <w:rFonts w:ascii="Century Schoolbook" w:hAnsi="Century Schoolbook" w:cstheme="majorHAnsi"/>
          <w:sz w:val="26"/>
          <w:szCs w:val="26"/>
        </w:rPr>
        <w:t xml:space="preserve"> because </w:t>
      </w:r>
      <w:r w:rsidRPr="003D6C5F" w:rsidR="00584835">
        <w:rPr>
          <w:rFonts w:ascii="Century Schoolbook" w:hAnsi="Century Schoolbook" w:cstheme="majorHAnsi"/>
          <w:sz w:val="26"/>
          <w:szCs w:val="26"/>
        </w:rPr>
        <w:t>of unorthodox spiritual beliefs</w:t>
      </w:r>
      <w:r w:rsidRPr="003D6C5F" w:rsidR="009F468A">
        <w:rPr>
          <w:rFonts w:ascii="Century Schoolbook" w:hAnsi="Century Schoolbook" w:cstheme="majorHAnsi"/>
          <w:sz w:val="26"/>
          <w:szCs w:val="26"/>
        </w:rPr>
        <w:t xml:space="preserve"> </w:t>
      </w:r>
      <w:r w:rsidRPr="003D6C5F" w:rsidR="00584835">
        <w:rPr>
          <w:rFonts w:ascii="Century Schoolbook" w:hAnsi="Century Schoolbook" w:cstheme="majorHAnsi"/>
          <w:sz w:val="26"/>
          <w:szCs w:val="26"/>
        </w:rPr>
        <w:t>wa</w:t>
      </w:r>
      <w:r w:rsidRPr="003D6C5F" w:rsidR="009F468A">
        <w:rPr>
          <w:rFonts w:ascii="Century Schoolbook" w:hAnsi="Century Schoolbook" w:cstheme="majorHAnsi"/>
          <w:sz w:val="26"/>
          <w:szCs w:val="26"/>
        </w:rPr>
        <w:t xml:space="preserve">s testimony from Breanna that she became “scared” when she heard </w:t>
      </w:r>
      <w:r w:rsidRPr="003D6C5F" w:rsidR="00BC57F6">
        <w:rPr>
          <w:rFonts w:ascii="Century Schoolbook" w:hAnsi="Century Schoolbook" w:cstheme="majorHAnsi"/>
          <w:sz w:val="26"/>
          <w:szCs w:val="26"/>
        </w:rPr>
        <w:t>Ayala</w:t>
      </w:r>
      <w:r w:rsidRPr="003D6C5F" w:rsidR="009F468A">
        <w:rPr>
          <w:rFonts w:ascii="Century Schoolbook" w:hAnsi="Century Schoolbook" w:cstheme="majorHAnsi"/>
          <w:sz w:val="26"/>
          <w:szCs w:val="26"/>
        </w:rPr>
        <w:t xml:space="preserve"> praying to the devil about Victor.  </w:t>
      </w:r>
      <w:r w:rsidRPr="003D6C5F" w:rsidR="00584835">
        <w:rPr>
          <w:rFonts w:ascii="Century Schoolbook" w:hAnsi="Century Schoolbook" w:cstheme="majorHAnsi"/>
          <w:sz w:val="26"/>
          <w:szCs w:val="26"/>
        </w:rPr>
        <w:t>T</w:t>
      </w:r>
      <w:r w:rsidRPr="003D6C5F" w:rsidR="009F468A">
        <w:rPr>
          <w:rFonts w:ascii="Century Schoolbook" w:hAnsi="Century Schoolbook" w:cstheme="majorHAnsi"/>
          <w:sz w:val="26"/>
          <w:szCs w:val="26"/>
        </w:rPr>
        <w:t>his testimony</w:t>
      </w:r>
      <w:r w:rsidRPr="003D6C5F" w:rsidR="00584835">
        <w:rPr>
          <w:rFonts w:ascii="Century Schoolbook" w:hAnsi="Century Schoolbook" w:cstheme="majorHAnsi"/>
          <w:sz w:val="26"/>
          <w:szCs w:val="26"/>
        </w:rPr>
        <w:t>, however,</w:t>
      </w:r>
      <w:r w:rsidRPr="003D6C5F" w:rsidR="009F468A">
        <w:rPr>
          <w:rFonts w:ascii="Century Schoolbook" w:hAnsi="Century Schoolbook" w:cstheme="majorHAnsi"/>
          <w:sz w:val="26"/>
          <w:szCs w:val="26"/>
        </w:rPr>
        <w:t xml:space="preserve"> was </w:t>
      </w:r>
      <w:r w:rsidRPr="003D6C5F" w:rsidR="00584835">
        <w:rPr>
          <w:rFonts w:ascii="Century Schoolbook" w:hAnsi="Century Schoolbook" w:cstheme="majorHAnsi"/>
          <w:sz w:val="26"/>
          <w:szCs w:val="26"/>
        </w:rPr>
        <w:t>exceedingly</w:t>
      </w:r>
      <w:r w:rsidRPr="003D6C5F" w:rsidR="009F468A">
        <w:rPr>
          <w:rFonts w:ascii="Century Schoolbook" w:hAnsi="Century Schoolbook" w:cstheme="majorHAnsi"/>
          <w:sz w:val="26"/>
          <w:szCs w:val="26"/>
        </w:rPr>
        <w:t xml:space="preserve"> brief and lacked any elaboration.</w:t>
      </w:r>
    </w:p>
    <w:p w:rsidR="009F468A" w:rsidRPr="003D6C5F" w:rsidP="000B1ECC" w14:paraId="4A948430" w14:textId="040D59A7">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Evidence that Angel feared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w:t>
      </w:r>
      <w:r w:rsidRPr="003D6C5F" w:rsidR="00D82C00">
        <w:rPr>
          <w:rFonts w:ascii="Century Schoolbook" w:hAnsi="Century Schoolbook" w:cstheme="majorHAnsi"/>
          <w:sz w:val="26"/>
          <w:szCs w:val="26"/>
        </w:rPr>
        <w:t>based on her religious practices i</w:t>
      </w:r>
      <w:r w:rsidRPr="003D6C5F">
        <w:rPr>
          <w:rFonts w:ascii="Century Schoolbook" w:hAnsi="Century Schoolbook" w:cstheme="majorHAnsi"/>
          <w:sz w:val="26"/>
          <w:szCs w:val="26"/>
        </w:rPr>
        <w:t xml:space="preserve">s also weak.  </w:t>
      </w:r>
      <w:r w:rsidRPr="003D6C5F" w:rsidR="004E1F74">
        <w:rPr>
          <w:rFonts w:ascii="Century Schoolbook" w:hAnsi="Century Schoolbook" w:cstheme="majorHAnsi"/>
          <w:sz w:val="26"/>
          <w:szCs w:val="26"/>
        </w:rPr>
        <w:t xml:space="preserve">Angel repeatedly told investigators that he voluntarily participated in Samuel’s murder.  </w:t>
      </w:r>
      <w:r w:rsidRPr="003D6C5F" w:rsidR="00BB0676">
        <w:rPr>
          <w:rFonts w:ascii="Century Schoolbook" w:hAnsi="Century Schoolbook" w:cstheme="majorHAnsi"/>
          <w:sz w:val="26"/>
          <w:szCs w:val="26"/>
        </w:rPr>
        <w:t>He</w:t>
      </w:r>
      <w:r w:rsidRPr="003D6C5F" w:rsidR="004E1F74">
        <w:rPr>
          <w:rFonts w:ascii="Century Schoolbook" w:hAnsi="Century Schoolbook" w:cstheme="majorHAnsi"/>
          <w:sz w:val="26"/>
          <w:szCs w:val="26"/>
        </w:rPr>
        <w:t xml:space="preserve"> testified he was not threatened by </w:t>
      </w:r>
      <w:r w:rsidRPr="003D6C5F" w:rsidR="00BC57F6">
        <w:rPr>
          <w:rFonts w:ascii="Century Schoolbook" w:hAnsi="Century Schoolbook" w:cstheme="majorHAnsi"/>
          <w:sz w:val="26"/>
          <w:szCs w:val="26"/>
        </w:rPr>
        <w:t>Ayala</w:t>
      </w:r>
      <w:r w:rsidRPr="003D6C5F" w:rsidR="004E1F74">
        <w:rPr>
          <w:rFonts w:ascii="Century Schoolbook" w:hAnsi="Century Schoolbook" w:cstheme="majorHAnsi"/>
          <w:sz w:val="26"/>
          <w:szCs w:val="26"/>
        </w:rPr>
        <w:t xml:space="preserve"> but feared her.</w:t>
      </w:r>
      <w:r w:rsidRPr="003D6C5F">
        <w:rPr>
          <w:rFonts w:ascii="Century Schoolbook" w:hAnsi="Century Schoolbook" w:cstheme="majorHAnsi"/>
          <w:sz w:val="26"/>
          <w:szCs w:val="26"/>
        </w:rPr>
        <w:t xml:space="preserve">  </w:t>
      </w:r>
      <w:r w:rsidRPr="003D6C5F" w:rsidR="004E1F74">
        <w:rPr>
          <w:rFonts w:ascii="Century Schoolbook" w:hAnsi="Century Schoolbook" w:cstheme="majorHAnsi"/>
          <w:sz w:val="26"/>
          <w:szCs w:val="26"/>
        </w:rPr>
        <w:t xml:space="preserve">Angel did not know that </w:t>
      </w:r>
      <w:r w:rsidRPr="003D6C5F" w:rsidR="00BC57F6">
        <w:rPr>
          <w:rFonts w:ascii="Century Schoolbook" w:hAnsi="Century Schoolbook" w:cstheme="majorHAnsi"/>
          <w:sz w:val="26"/>
          <w:szCs w:val="26"/>
        </w:rPr>
        <w:t>Ayala</w:t>
      </w:r>
      <w:r w:rsidRPr="003D6C5F" w:rsidR="004E1F74">
        <w:rPr>
          <w:rFonts w:ascii="Century Schoolbook" w:hAnsi="Century Schoolbook" w:cstheme="majorHAnsi"/>
          <w:sz w:val="26"/>
          <w:szCs w:val="26"/>
        </w:rPr>
        <w:t xml:space="preserve"> believed in the devil when she took him in</w:t>
      </w:r>
      <w:r w:rsidRPr="003D6C5F" w:rsidR="00BB0676">
        <w:rPr>
          <w:rFonts w:ascii="Century Schoolbook" w:hAnsi="Century Schoolbook" w:cstheme="majorHAnsi"/>
          <w:sz w:val="26"/>
          <w:szCs w:val="26"/>
        </w:rPr>
        <w:t>,</w:t>
      </w:r>
      <w:r w:rsidRPr="003D6C5F" w:rsidR="004E1F74">
        <w:rPr>
          <w:rFonts w:ascii="Century Schoolbook" w:hAnsi="Century Schoolbook" w:cstheme="majorHAnsi"/>
          <w:sz w:val="26"/>
          <w:szCs w:val="26"/>
        </w:rPr>
        <w:t xml:space="preserve"> and by the time he found out about her beliefs he did not know how to extricate himself from </w:t>
      </w:r>
      <w:r w:rsidRPr="003D6C5F" w:rsidR="00BB0676">
        <w:rPr>
          <w:rFonts w:ascii="Century Schoolbook" w:hAnsi="Century Schoolbook" w:cstheme="majorHAnsi"/>
          <w:sz w:val="26"/>
          <w:szCs w:val="26"/>
        </w:rPr>
        <w:t>the situation</w:t>
      </w:r>
      <w:r w:rsidRPr="003D6C5F" w:rsidR="004E1F74">
        <w:rPr>
          <w:rFonts w:ascii="Century Schoolbook" w:hAnsi="Century Schoolbook" w:cstheme="majorHAnsi"/>
          <w:sz w:val="26"/>
          <w:szCs w:val="26"/>
        </w:rPr>
        <w:t xml:space="preserve">.  One of the first things Angel did when getting into the police interview room is yelling twice “ ‘I love you, Mom’ ” because he had to be careful if he wanted to extract himself from </w:t>
      </w:r>
      <w:r w:rsidRPr="003D6C5F" w:rsidR="00BC57F6">
        <w:rPr>
          <w:rFonts w:ascii="Century Schoolbook" w:hAnsi="Century Schoolbook" w:cstheme="majorHAnsi"/>
          <w:sz w:val="26"/>
          <w:szCs w:val="26"/>
        </w:rPr>
        <w:t>Ayala</w:t>
      </w:r>
      <w:r w:rsidRPr="003D6C5F" w:rsidR="005F536A">
        <w:rPr>
          <w:rFonts w:ascii="Century Schoolbook" w:hAnsi="Century Schoolbook" w:cstheme="majorHAnsi"/>
          <w:sz w:val="26"/>
          <w:szCs w:val="26"/>
        </w:rPr>
        <w:t>.</w:t>
      </w:r>
      <w:r w:rsidRPr="003D6C5F" w:rsidR="004E1F74">
        <w:rPr>
          <w:rFonts w:ascii="Century Schoolbook" w:hAnsi="Century Schoolbook" w:cstheme="majorHAnsi"/>
          <w:sz w:val="26"/>
          <w:szCs w:val="26"/>
        </w:rPr>
        <w:t xml:space="preserve"> </w:t>
      </w:r>
      <w:r w:rsidRPr="003D6C5F" w:rsidR="005F536A">
        <w:rPr>
          <w:rFonts w:ascii="Century Schoolbook" w:hAnsi="Century Schoolbook" w:cstheme="majorHAnsi"/>
          <w:sz w:val="26"/>
          <w:szCs w:val="26"/>
        </w:rPr>
        <w:t xml:space="preserve"> </w:t>
      </w:r>
      <w:r w:rsidRPr="003D6C5F" w:rsidR="004E1F74">
        <w:rPr>
          <w:rFonts w:ascii="Century Schoolbook" w:hAnsi="Century Schoolbook" w:cstheme="majorHAnsi"/>
          <w:sz w:val="26"/>
          <w:szCs w:val="26"/>
        </w:rPr>
        <w:t xml:space="preserve">When </w:t>
      </w:r>
      <w:r w:rsidRPr="003D6C5F" w:rsidR="00BC57F6">
        <w:rPr>
          <w:rFonts w:ascii="Century Schoolbook" w:hAnsi="Century Schoolbook" w:cstheme="majorHAnsi"/>
          <w:sz w:val="26"/>
          <w:szCs w:val="26"/>
        </w:rPr>
        <w:t>Ayala</w:t>
      </w:r>
      <w:r w:rsidRPr="003D6C5F" w:rsidR="004E1F74">
        <w:rPr>
          <w:rFonts w:ascii="Century Schoolbook" w:hAnsi="Century Schoolbook" w:cstheme="majorHAnsi"/>
          <w:sz w:val="26"/>
          <w:szCs w:val="26"/>
        </w:rPr>
        <w:t xml:space="preserve"> told Angel to do things, he obeyed because he had a general fear about crossing </w:t>
      </w:r>
      <w:r w:rsidRPr="003D6C5F" w:rsidR="00BB0676">
        <w:rPr>
          <w:rFonts w:ascii="Century Schoolbook" w:hAnsi="Century Schoolbook" w:cstheme="majorHAnsi"/>
          <w:sz w:val="26"/>
          <w:szCs w:val="26"/>
        </w:rPr>
        <w:t>her</w:t>
      </w:r>
      <w:r w:rsidRPr="003D6C5F" w:rsidR="004E1F74">
        <w:rPr>
          <w:rFonts w:ascii="Century Schoolbook" w:hAnsi="Century Schoolbook" w:cstheme="majorHAnsi"/>
          <w:sz w:val="26"/>
          <w:szCs w:val="26"/>
        </w:rPr>
        <w:t xml:space="preserve"> and believed she might shoot him.  </w:t>
      </w:r>
      <w:r w:rsidRPr="003D6C5F" w:rsidR="00BB0676">
        <w:rPr>
          <w:rFonts w:ascii="Century Schoolbook" w:hAnsi="Century Schoolbook" w:cstheme="majorHAnsi"/>
          <w:sz w:val="26"/>
          <w:szCs w:val="26"/>
        </w:rPr>
        <w:t>Although he</w:t>
      </w:r>
      <w:r w:rsidRPr="003D6C5F" w:rsidR="004E1F74">
        <w:rPr>
          <w:rFonts w:ascii="Century Schoolbook" w:hAnsi="Century Schoolbook" w:cstheme="majorHAnsi"/>
          <w:sz w:val="26"/>
          <w:szCs w:val="26"/>
        </w:rPr>
        <w:t xml:space="preserve"> was </w:t>
      </w:r>
      <w:r w:rsidRPr="003D6C5F" w:rsidR="005A3BE7">
        <w:rPr>
          <w:rFonts w:ascii="Century Schoolbook" w:hAnsi="Century Schoolbook" w:cstheme="majorHAnsi"/>
          <w:sz w:val="26"/>
          <w:szCs w:val="26"/>
        </w:rPr>
        <w:t xml:space="preserve">generally </w:t>
      </w:r>
      <w:r w:rsidRPr="003D6C5F" w:rsidR="004E1F74">
        <w:rPr>
          <w:rFonts w:ascii="Century Schoolbook" w:hAnsi="Century Schoolbook" w:cstheme="majorHAnsi"/>
          <w:sz w:val="26"/>
          <w:szCs w:val="26"/>
        </w:rPr>
        <w:t xml:space="preserve">aware that </w:t>
      </w:r>
      <w:r w:rsidRPr="003D6C5F" w:rsidR="00BC57F6">
        <w:rPr>
          <w:rFonts w:ascii="Century Schoolbook" w:hAnsi="Century Schoolbook" w:cstheme="majorHAnsi"/>
          <w:sz w:val="26"/>
          <w:szCs w:val="26"/>
        </w:rPr>
        <w:t>Ayala</w:t>
      </w:r>
      <w:r w:rsidRPr="003D6C5F" w:rsidR="004E1F74">
        <w:rPr>
          <w:rFonts w:ascii="Century Schoolbook" w:hAnsi="Century Schoolbook" w:cstheme="majorHAnsi"/>
          <w:sz w:val="26"/>
          <w:szCs w:val="26"/>
        </w:rPr>
        <w:t xml:space="preserve"> prayed to Satan, believed in Satan, and referred to him as “her father</w:t>
      </w:r>
      <w:r w:rsidR="00683329">
        <w:rPr>
          <w:rFonts w:ascii="Century Schoolbook" w:hAnsi="Century Schoolbook" w:cstheme="majorHAnsi"/>
          <w:sz w:val="26"/>
          <w:szCs w:val="26"/>
        </w:rPr>
        <w:t>,</w:t>
      </w:r>
      <w:r w:rsidRPr="003D6C5F" w:rsidR="004E1F74">
        <w:rPr>
          <w:rFonts w:ascii="Century Schoolbook" w:hAnsi="Century Schoolbook" w:cstheme="majorHAnsi"/>
          <w:sz w:val="26"/>
          <w:szCs w:val="26"/>
        </w:rPr>
        <w:t xml:space="preserve">” </w:t>
      </w:r>
      <w:r w:rsidRPr="003D6C5F" w:rsidR="00BB0676">
        <w:rPr>
          <w:rFonts w:ascii="Century Schoolbook" w:hAnsi="Century Schoolbook" w:cstheme="majorHAnsi"/>
          <w:sz w:val="26"/>
          <w:szCs w:val="26"/>
        </w:rPr>
        <w:t>he</w:t>
      </w:r>
      <w:r w:rsidRPr="003D6C5F" w:rsidR="004E1F74">
        <w:rPr>
          <w:rFonts w:ascii="Century Schoolbook" w:hAnsi="Century Schoolbook" w:cstheme="majorHAnsi"/>
          <w:sz w:val="26"/>
          <w:szCs w:val="26"/>
        </w:rPr>
        <w:t xml:space="preserve"> did not hear </w:t>
      </w:r>
      <w:r w:rsidRPr="003D6C5F" w:rsidR="00BB0676">
        <w:rPr>
          <w:rFonts w:ascii="Century Schoolbook" w:hAnsi="Century Schoolbook" w:cstheme="majorHAnsi"/>
          <w:sz w:val="26"/>
          <w:szCs w:val="26"/>
        </w:rPr>
        <w:t>her</w:t>
      </w:r>
      <w:r w:rsidRPr="003D6C5F" w:rsidR="004E1F74">
        <w:rPr>
          <w:rFonts w:ascii="Century Schoolbook" w:hAnsi="Century Schoolbook" w:cstheme="majorHAnsi"/>
          <w:sz w:val="26"/>
          <w:szCs w:val="26"/>
        </w:rPr>
        <w:t xml:space="preserve"> comment about Satan or say prayers to Satan on the night of the murder.  </w:t>
      </w:r>
    </w:p>
    <w:p w:rsidR="004E1F74" w:rsidRPr="003D6C5F" w:rsidP="000B1ECC" w14:paraId="5FD9D9F9" w14:textId="23B2D5B9">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Like Breanna, this evidence shows Angel feared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but fails to connect Angel’s fear of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to Satan</w:t>
      </w:r>
      <w:r w:rsidRPr="003D6C5F" w:rsidR="00BB0676">
        <w:rPr>
          <w:rFonts w:ascii="Century Schoolbook" w:hAnsi="Century Schoolbook" w:cstheme="majorHAnsi"/>
          <w:sz w:val="26"/>
          <w:szCs w:val="26"/>
        </w:rPr>
        <w:t>ic</w:t>
      </w:r>
      <w:r w:rsidRPr="003D6C5F">
        <w:rPr>
          <w:rFonts w:ascii="Century Schoolbook" w:hAnsi="Century Schoolbook" w:cstheme="majorHAnsi"/>
          <w:sz w:val="26"/>
          <w:szCs w:val="26"/>
        </w:rPr>
        <w:t xml:space="preserve"> worship.  Angel’s comment that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’s belief in Satan made her physically dangerous to other people</w:t>
      </w:r>
      <w:r w:rsidRPr="003D6C5F" w:rsidR="00F93FC2">
        <w:rPr>
          <w:rFonts w:ascii="Century Schoolbook" w:hAnsi="Century Schoolbook" w:cstheme="majorHAnsi"/>
          <w:sz w:val="26"/>
          <w:szCs w:val="26"/>
        </w:rPr>
        <w:t xml:space="preserve"> </w:t>
      </w:r>
      <w:r w:rsidR="008221FE">
        <w:rPr>
          <w:rFonts w:ascii="Century Schoolbook" w:hAnsi="Century Schoolbook" w:cstheme="majorHAnsi"/>
          <w:sz w:val="26"/>
          <w:szCs w:val="26"/>
        </w:rPr>
        <w:t>i</w:t>
      </w:r>
      <w:r w:rsidRPr="003D6C5F">
        <w:rPr>
          <w:rFonts w:ascii="Century Schoolbook" w:hAnsi="Century Schoolbook" w:cstheme="majorHAnsi"/>
          <w:sz w:val="26"/>
          <w:szCs w:val="26"/>
        </w:rPr>
        <w:t xml:space="preserve">s the only evidence from which the jury could infer that Angel may have feared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based on her</w:t>
      </w:r>
      <w:r w:rsidRPr="003D6C5F" w:rsidR="00F93FC2">
        <w:rPr>
          <w:rFonts w:ascii="Century Schoolbook" w:hAnsi="Century Schoolbook" w:cstheme="majorHAnsi"/>
          <w:sz w:val="26"/>
          <w:szCs w:val="26"/>
        </w:rPr>
        <w:t xml:space="preserve"> belief in Satan.  </w:t>
      </w:r>
      <w:r w:rsidRPr="003D6C5F" w:rsidR="00BB0676">
        <w:rPr>
          <w:rFonts w:ascii="Century Schoolbook" w:hAnsi="Century Schoolbook" w:cstheme="majorHAnsi"/>
          <w:sz w:val="26"/>
          <w:szCs w:val="26"/>
        </w:rPr>
        <w:t>But</w:t>
      </w:r>
      <w:r w:rsidRPr="003D6C5F" w:rsidR="00F93FC2">
        <w:rPr>
          <w:rFonts w:ascii="Century Schoolbook" w:hAnsi="Century Schoolbook" w:cstheme="majorHAnsi"/>
          <w:sz w:val="26"/>
          <w:szCs w:val="26"/>
        </w:rPr>
        <w:t xml:space="preserve"> this testimony was also brief and lacked elaboration.  Although </w:t>
      </w:r>
      <w:r w:rsidRPr="003D6C5F">
        <w:rPr>
          <w:rFonts w:ascii="Century Schoolbook" w:hAnsi="Century Schoolbook" w:cstheme="majorHAnsi"/>
          <w:sz w:val="26"/>
          <w:szCs w:val="26"/>
        </w:rPr>
        <w:t xml:space="preserve">Jonathan testified he was “a little afraid” of </w:t>
      </w:r>
      <w:r w:rsidRPr="003D6C5F" w:rsidR="00BC57F6">
        <w:rPr>
          <w:rFonts w:ascii="Century Schoolbook" w:hAnsi="Century Schoolbook" w:cstheme="majorHAnsi"/>
          <w:sz w:val="26"/>
          <w:szCs w:val="26"/>
        </w:rPr>
        <w:t>Ayala</w:t>
      </w:r>
      <w:r w:rsidRPr="003D6C5F" w:rsidR="001A5BB8">
        <w:rPr>
          <w:rFonts w:ascii="Century Schoolbook" w:hAnsi="Century Schoolbook" w:cstheme="majorHAnsi"/>
          <w:sz w:val="26"/>
          <w:szCs w:val="26"/>
        </w:rPr>
        <w:t>,</w:t>
      </w:r>
      <w:r w:rsidRPr="003D6C5F">
        <w:rPr>
          <w:rFonts w:ascii="Century Schoolbook" w:hAnsi="Century Schoolbook" w:cstheme="majorHAnsi"/>
          <w:sz w:val="26"/>
          <w:szCs w:val="26"/>
        </w:rPr>
        <w:t xml:space="preserve"> partly because of her Satan</w:t>
      </w:r>
      <w:r w:rsidRPr="003D6C5F" w:rsidR="005A3BE7">
        <w:rPr>
          <w:rFonts w:ascii="Century Schoolbook" w:hAnsi="Century Schoolbook" w:cstheme="majorHAnsi"/>
          <w:sz w:val="26"/>
          <w:szCs w:val="26"/>
        </w:rPr>
        <w:t>ic</w:t>
      </w:r>
      <w:r w:rsidRPr="003D6C5F">
        <w:rPr>
          <w:rFonts w:ascii="Century Schoolbook" w:hAnsi="Century Schoolbook" w:cstheme="majorHAnsi"/>
          <w:sz w:val="26"/>
          <w:szCs w:val="26"/>
        </w:rPr>
        <w:t xml:space="preserve"> worship</w:t>
      </w:r>
      <w:r w:rsidRPr="003D6C5F" w:rsidR="00F93FC2">
        <w:rPr>
          <w:rFonts w:ascii="Century Schoolbook" w:hAnsi="Century Schoolbook" w:cstheme="majorHAnsi"/>
          <w:sz w:val="26"/>
          <w:szCs w:val="26"/>
        </w:rPr>
        <w:t>,</w:t>
      </w:r>
      <w:r w:rsidRPr="003D6C5F">
        <w:rPr>
          <w:rFonts w:ascii="Century Schoolbook" w:hAnsi="Century Schoolbook" w:cstheme="majorHAnsi"/>
          <w:sz w:val="26"/>
          <w:szCs w:val="26"/>
        </w:rPr>
        <w:t xml:space="preserve"> </w:t>
      </w:r>
      <w:r w:rsidR="008221FE">
        <w:rPr>
          <w:rFonts w:ascii="Century Schoolbook" w:hAnsi="Century Schoolbook" w:cstheme="majorHAnsi"/>
          <w:sz w:val="26"/>
          <w:szCs w:val="26"/>
        </w:rPr>
        <w:t>c</w:t>
      </w:r>
      <w:r w:rsidRPr="003D6C5F" w:rsidR="00F93FC2">
        <w:rPr>
          <w:rFonts w:ascii="Century Schoolbook" w:hAnsi="Century Schoolbook" w:cstheme="majorHAnsi"/>
          <w:sz w:val="26"/>
          <w:szCs w:val="26"/>
        </w:rPr>
        <w:t>ounsel did not ask any</w:t>
      </w:r>
      <w:r w:rsidRPr="003D6C5F">
        <w:rPr>
          <w:rFonts w:ascii="Century Schoolbook" w:hAnsi="Century Schoolbook" w:cstheme="majorHAnsi"/>
          <w:sz w:val="26"/>
          <w:szCs w:val="26"/>
        </w:rPr>
        <w:t xml:space="preserve"> follow-up questions connecting Jonathan’s act of selling Samuel’s car after the murder to his fear of </w:t>
      </w:r>
      <w:r w:rsidRPr="003D6C5F" w:rsidR="00BC57F6">
        <w:rPr>
          <w:rFonts w:ascii="Century Schoolbook" w:hAnsi="Century Schoolbook" w:cstheme="majorHAnsi"/>
          <w:sz w:val="26"/>
          <w:szCs w:val="26"/>
        </w:rPr>
        <w:t>Ayala</w:t>
      </w:r>
      <w:r w:rsidRPr="003D6C5F" w:rsidR="00F93FC2">
        <w:rPr>
          <w:rFonts w:ascii="Century Schoolbook" w:hAnsi="Century Schoolbook" w:cstheme="majorHAnsi"/>
          <w:sz w:val="26"/>
          <w:szCs w:val="26"/>
        </w:rPr>
        <w:t xml:space="preserve"> based on her</w:t>
      </w:r>
      <w:r w:rsidRPr="003D6C5F">
        <w:rPr>
          <w:rFonts w:ascii="Century Schoolbook" w:hAnsi="Century Schoolbook" w:cstheme="majorHAnsi"/>
          <w:sz w:val="26"/>
          <w:szCs w:val="26"/>
        </w:rPr>
        <w:t xml:space="preserve"> worshiping</w:t>
      </w:r>
      <w:r w:rsidRPr="003D6C5F" w:rsidR="00F93FC2">
        <w:rPr>
          <w:rFonts w:ascii="Century Schoolbook" w:hAnsi="Century Schoolbook" w:cstheme="majorHAnsi"/>
          <w:sz w:val="26"/>
          <w:szCs w:val="26"/>
        </w:rPr>
        <w:t xml:space="preserve"> Satan</w:t>
      </w:r>
      <w:r w:rsidRPr="003D6C5F">
        <w:rPr>
          <w:rFonts w:ascii="Century Schoolbook" w:hAnsi="Century Schoolbook" w:cstheme="majorHAnsi"/>
          <w:sz w:val="26"/>
          <w:szCs w:val="26"/>
        </w:rPr>
        <w:t>.</w:t>
      </w:r>
    </w:p>
    <w:p w:rsidR="00303A2F" w:rsidRPr="003D6C5F" w:rsidP="000B1ECC" w14:paraId="67DC6BB3" w14:textId="2542B8EA">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 xml:space="preserve">Thus, evidence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worshiped Satan </w:t>
      </w:r>
      <w:r w:rsidRPr="003D6C5F" w:rsidR="009A0EF8">
        <w:rPr>
          <w:rFonts w:ascii="Century Schoolbook" w:hAnsi="Century Schoolbook" w:cstheme="majorHAnsi"/>
          <w:sz w:val="26"/>
          <w:szCs w:val="26"/>
        </w:rPr>
        <w:t xml:space="preserve">at best </w:t>
      </w:r>
      <w:r w:rsidRPr="003D6C5F">
        <w:rPr>
          <w:rFonts w:ascii="Century Schoolbook" w:hAnsi="Century Schoolbook" w:cstheme="majorHAnsi"/>
          <w:sz w:val="26"/>
          <w:szCs w:val="26"/>
        </w:rPr>
        <w:t xml:space="preserve">had only minor probative value regarding her state of mind or intent, and to </w:t>
      </w:r>
      <w:r w:rsidRPr="003D6C5F" w:rsidR="009A0EF8">
        <w:rPr>
          <w:rFonts w:ascii="Century Schoolbook" w:hAnsi="Century Schoolbook" w:cstheme="majorHAnsi"/>
          <w:sz w:val="26"/>
          <w:szCs w:val="26"/>
        </w:rPr>
        <w:t xml:space="preserve">show that certain </w:t>
      </w:r>
      <w:r w:rsidRPr="003D6C5F">
        <w:rPr>
          <w:rFonts w:ascii="Century Schoolbook" w:hAnsi="Century Schoolbook" w:cstheme="majorHAnsi"/>
          <w:sz w:val="26"/>
          <w:szCs w:val="26"/>
        </w:rPr>
        <w:t>witness</w:t>
      </w:r>
      <w:r w:rsidRPr="003D6C5F" w:rsidR="009A0EF8">
        <w:rPr>
          <w:rFonts w:ascii="Century Schoolbook" w:hAnsi="Century Schoolbook" w:cstheme="majorHAnsi"/>
          <w:sz w:val="26"/>
          <w:szCs w:val="26"/>
        </w:rPr>
        <w:t>es</w:t>
      </w:r>
      <w:r w:rsidRPr="003D6C5F">
        <w:rPr>
          <w:rFonts w:ascii="Century Schoolbook" w:hAnsi="Century Schoolbook" w:cstheme="majorHAnsi"/>
          <w:sz w:val="26"/>
          <w:szCs w:val="26"/>
        </w:rPr>
        <w:t xml:space="preserve"> feared </w:t>
      </w:r>
      <w:r w:rsidRPr="003D6C5F" w:rsidR="00DF244A">
        <w:rPr>
          <w:rFonts w:ascii="Century Schoolbook" w:hAnsi="Century Schoolbook" w:cstheme="majorHAnsi"/>
          <w:sz w:val="26"/>
          <w:szCs w:val="26"/>
        </w:rPr>
        <w:t>her</w:t>
      </w:r>
      <w:r w:rsidRPr="003D6C5F">
        <w:rPr>
          <w:rFonts w:ascii="Century Schoolbook" w:hAnsi="Century Schoolbook" w:cstheme="majorHAnsi"/>
          <w:sz w:val="26"/>
          <w:szCs w:val="26"/>
        </w:rPr>
        <w:t xml:space="preserve">.  </w:t>
      </w:r>
      <w:r w:rsidRPr="003D6C5F" w:rsidR="00C76CC4">
        <w:rPr>
          <w:rFonts w:ascii="Century Schoolbook" w:hAnsi="Century Schoolbook" w:cstheme="majorHAnsi"/>
          <w:sz w:val="26"/>
          <w:szCs w:val="26"/>
        </w:rPr>
        <w:t>As we have already noted, the potential for unfair prejudice</w:t>
      </w:r>
      <w:r w:rsidRPr="003D6C5F" w:rsidR="00534C3F">
        <w:rPr>
          <w:rFonts w:ascii="Century Schoolbook" w:hAnsi="Century Schoolbook" w:cstheme="majorHAnsi"/>
          <w:sz w:val="26"/>
          <w:szCs w:val="26"/>
        </w:rPr>
        <w:t xml:space="preserve"> is patent. </w:t>
      </w:r>
      <w:r w:rsidRPr="003D6C5F">
        <w:rPr>
          <w:rFonts w:ascii="Century Schoolbook" w:hAnsi="Century Schoolbook" w:cstheme="majorHAnsi"/>
          <w:sz w:val="26"/>
          <w:szCs w:val="26"/>
        </w:rPr>
        <w:t xml:space="preserve"> The trial court erred in admitting th</w:t>
      </w:r>
      <w:r w:rsidRPr="003D6C5F" w:rsidR="009E05AC">
        <w:rPr>
          <w:rFonts w:ascii="Century Schoolbook" w:hAnsi="Century Schoolbook" w:cstheme="majorHAnsi"/>
          <w:sz w:val="26"/>
          <w:szCs w:val="26"/>
        </w:rPr>
        <w:t>e</w:t>
      </w:r>
      <w:r w:rsidRPr="003D6C5F">
        <w:rPr>
          <w:rFonts w:ascii="Century Schoolbook" w:hAnsi="Century Schoolbook" w:cstheme="majorHAnsi"/>
          <w:sz w:val="26"/>
          <w:szCs w:val="26"/>
        </w:rPr>
        <w:t xml:space="preserve"> evidence because of its limited probative value and high potential for prejudice. </w:t>
      </w:r>
      <w:r w:rsidRPr="003D6C5F" w:rsidR="00DF244A">
        <w:rPr>
          <w:rFonts w:ascii="Century Schoolbook" w:hAnsi="Century Schoolbook" w:cstheme="majorHAnsi"/>
          <w:sz w:val="26"/>
          <w:szCs w:val="26"/>
        </w:rPr>
        <w:t xml:space="preserve"> (Evid.</w:t>
      </w:r>
      <w:r w:rsidR="00B35F3E">
        <w:rPr>
          <w:rFonts w:ascii="Century Schoolbook" w:hAnsi="Century Schoolbook" w:cstheme="majorHAnsi"/>
          <w:sz w:val="26"/>
          <w:szCs w:val="26"/>
        </w:rPr>
        <w:t> </w:t>
      </w:r>
      <w:r w:rsidRPr="003D6C5F" w:rsidR="00DF244A">
        <w:rPr>
          <w:rFonts w:ascii="Century Schoolbook" w:hAnsi="Century Schoolbook" w:cstheme="majorHAnsi"/>
          <w:sz w:val="26"/>
          <w:szCs w:val="26"/>
        </w:rPr>
        <w:t xml:space="preserve">Code, § 352.) </w:t>
      </w:r>
      <w:r w:rsidRPr="003D6C5F">
        <w:rPr>
          <w:rFonts w:ascii="Century Schoolbook" w:hAnsi="Century Schoolbook" w:cstheme="majorHAnsi"/>
          <w:sz w:val="26"/>
          <w:szCs w:val="26"/>
        </w:rPr>
        <w:t xml:space="preserve"> On remand</w:t>
      </w:r>
      <w:r w:rsidRPr="003D6C5F" w:rsidR="00A542FA">
        <w:rPr>
          <w:rFonts w:ascii="Century Schoolbook" w:hAnsi="Century Schoolbook" w:cstheme="majorHAnsi"/>
          <w:sz w:val="26"/>
          <w:szCs w:val="26"/>
        </w:rPr>
        <w:t xml:space="preserve"> if the matter is retried</w:t>
      </w:r>
      <w:r w:rsidRPr="003D6C5F">
        <w:rPr>
          <w:rFonts w:ascii="Century Schoolbook" w:hAnsi="Century Schoolbook" w:cstheme="majorHAnsi"/>
          <w:sz w:val="26"/>
          <w:szCs w:val="26"/>
        </w:rPr>
        <w:t>, this evidence should be excluded.</w:t>
      </w:r>
    </w:p>
    <w:p w:rsidR="00E2568A" w:rsidRPr="000569AD" w:rsidP="00870E42" w14:paraId="6C9495A0" w14:textId="3286D54B">
      <w:pPr>
        <w:pStyle w:val="Heading2"/>
        <w:spacing w:before="120"/>
        <w:ind w:left="720" w:hanging="720"/>
        <w:jc w:val="left"/>
        <w:rPr>
          <w:rFonts w:ascii="Century Schoolbook" w:hAnsi="Century Schoolbook"/>
          <w:b/>
          <w:bCs/>
          <w:sz w:val="26"/>
          <w:szCs w:val="26"/>
        </w:rPr>
      </w:pPr>
      <w:r w:rsidRPr="000569AD">
        <w:rPr>
          <w:rFonts w:ascii="Century Schoolbook" w:hAnsi="Century Schoolbook"/>
          <w:b/>
          <w:bCs/>
          <w:i w:val="0"/>
          <w:iCs/>
          <w:sz w:val="26"/>
          <w:szCs w:val="26"/>
        </w:rPr>
        <w:t>E.</w:t>
      </w:r>
      <w:r w:rsidRPr="000569AD">
        <w:rPr>
          <w:rFonts w:ascii="Century Schoolbook" w:hAnsi="Century Schoolbook"/>
          <w:b/>
          <w:bCs/>
          <w:sz w:val="26"/>
          <w:szCs w:val="26"/>
        </w:rPr>
        <w:t xml:space="preserve"> </w:t>
      </w:r>
      <w:r w:rsidR="00870E42">
        <w:rPr>
          <w:rFonts w:ascii="Century Schoolbook" w:hAnsi="Century Schoolbook"/>
          <w:b/>
          <w:bCs/>
          <w:sz w:val="26"/>
          <w:szCs w:val="26"/>
        </w:rPr>
        <w:tab/>
      </w:r>
      <w:r w:rsidRPr="000569AD" w:rsidR="003A4931">
        <w:rPr>
          <w:rFonts w:ascii="Century Schoolbook" w:hAnsi="Century Schoolbook"/>
          <w:b/>
          <w:bCs/>
          <w:sz w:val="26"/>
          <w:szCs w:val="26"/>
        </w:rPr>
        <w:t xml:space="preserve">Trial Court </w:t>
      </w:r>
      <w:r w:rsidRPr="000569AD" w:rsidR="00303A2F">
        <w:rPr>
          <w:rFonts w:ascii="Century Schoolbook" w:hAnsi="Century Schoolbook"/>
          <w:b/>
          <w:bCs/>
          <w:sz w:val="26"/>
          <w:szCs w:val="26"/>
        </w:rPr>
        <w:t xml:space="preserve">Did </w:t>
      </w:r>
      <w:r w:rsidRPr="000569AD" w:rsidR="003A4931">
        <w:rPr>
          <w:rFonts w:ascii="Century Schoolbook" w:hAnsi="Century Schoolbook"/>
          <w:b/>
          <w:bCs/>
          <w:sz w:val="26"/>
          <w:szCs w:val="26"/>
        </w:rPr>
        <w:t xml:space="preserve">Not </w:t>
      </w:r>
      <w:r w:rsidRPr="000569AD" w:rsidR="00303A2F">
        <w:rPr>
          <w:rFonts w:ascii="Century Schoolbook" w:hAnsi="Century Schoolbook"/>
          <w:b/>
          <w:bCs/>
          <w:sz w:val="26"/>
          <w:szCs w:val="26"/>
        </w:rPr>
        <w:t xml:space="preserve">Err by Failing </w:t>
      </w:r>
      <w:r w:rsidRPr="000569AD" w:rsidR="00FC017B">
        <w:rPr>
          <w:rFonts w:ascii="Century Schoolbook" w:hAnsi="Century Schoolbook"/>
          <w:b/>
          <w:bCs/>
          <w:sz w:val="26"/>
          <w:szCs w:val="26"/>
        </w:rPr>
        <w:t>to</w:t>
      </w:r>
      <w:r w:rsidRPr="000569AD" w:rsidR="0077622B">
        <w:rPr>
          <w:rFonts w:ascii="Century Schoolbook" w:hAnsi="Century Schoolbook"/>
          <w:b/>
          <w:bCs/>
          <w:sz w:val="26"/>
          <w:szCs w:val="26"/>
        </w:rPr>
        <w:t xml:space="preserve"> I</w:t>
      </w:r>
      <w:r w:rsidRPr="000569AD">
        <w:rPr>
          <w:rFonts w:ascii="Century Schoolbook" w:hAnsi="Century Schoolbook"/>
          <w:b/>
          <w:bCs/>
          <w:sz w:val="26"/>
          <w:szCs w:val="26"/>
        </w:rPr>
        <w:t>nstruct</w:t>
      </w:r>
      <w:r w:rsidRPr="000569AD" w:rsidR="0077622B">
        <w:rPr>
          <w:rFonts w:ascii="Century Schoolbook" w:hAnsi="Century Schoolbook"/>
          <w:b/>
          <w:bCs/>
          <w:sz w:val="26"/>
          <w:szCs w:val="26"/>
        </w:rPr>
        <w:t xml:space="preserve"> </w:t>
      </w:r>
      <w:r w:rsidRPr="000569AD" w:rsidR="003A4931">
        <w:rPr>
          <w:rFonts w:ascii="Century Schoolbook" w:hAnsi="Century Schoolbook"/>
          <w:b/>
          <w:bCs/>
          <w:sz w:val="26"/>
          <w:szCs w:val="26"/>
        </w:rPr>
        <w:t xml:space="preserve">That </w:t>
      </w:r>
      <w:r w:rsidRPr="000569AD">
        <w:rPr>
          <w:rFonts w:ascii="Century Schoolbook" w:hAnsi="Century Schoolbook"/>
          <w:b/>
          <w:bCs/>
          <w:sz w:val="26"/>
          <w:szCs w:val="26"/>
        </w:rPr>
        <w:t xml:space="preserve">Breanna </w:t>
      </w:r>
      <w:r w:rsidRPr="000569AD" w:rsidR="00FC017B">
        <w:rPr>
          <w:rFonts w:ascii="Century Schoolbook" w:hAnsi="Century Schoolbook"/>
          <w:b/>
          <w:bCs/>
          <w:sz w:val="26"/>
          <w:szCs w:val="26"/>
        </w:rPr>
        <w:t>W</w:t>
      </w:r>
      <w:r w:rsidRPr="000569AD">
        <w:rPr>
          <w:rFonts w:ascii="Century Schoolbook" w:hAnsi="Century Schoolbook"/>
          <w:b/>
          <w:bCs/>
          <w:sz w:val="26"/>
          <w:szCs w:val="26"/>
        </w:rPr>
        <w:t xml:space="preserve">as an </w:t>
      </w:r>
      <w:r w:rsidRPr="000569AD" w:rsidR="0077622B">
        <w:rPr>
          <w:rFonts w:ascii="Century Schoolbook" w:hAnsi="Century Schoolbook"/>
          <w:b/>
          <w:bCs/>
          <w:sz w:val="26"/>
          <w:szCs w:val="26"/>
        </w:rPr>
        <w:t>A</w:t>
      </w:r>
      <w:r w:rsidRPr="000569AD">
        <w:rPr>
          <w:rFonts w:ascii="Century Schoolbook" w:hAnsi="Century Schoolbook"/>
          <w:b/>
          <w:bCs/>
          <w:sz w:val="26"/>
          <w:szCs w:val="26"/>
        </w:rPr>
        <w:t xml:space="preserve">ccomplice as a </w:t>
      </w:r>
      <w:r w:rsidRPr="000569AD" w:rsidR="0077622B">
        <w:rPr>
          <w:rFonts w:ascii="Century Schoolbook" w:hAnsi="Century Schoolbook"/>
          <w:b/>
          <w:bCs/>
          <w:sz w:val="26"/>
          <w:szCs w:val="26"/>
        </w:rPr>
        <w:t>M</w:t>
      </w:r>
      <w:r w:rsidRPr="000569AD">
        <w:rPr>
          <w:rFonts w:ascii="Century Schoolbook" w:hAnsi="Century Schoolbook"/>
          <w:b/>
          <w:bCs/>
          <w:sz w:val="26"/>
          <w:szCs w:val="26"/>
        </w:rPr>
        <w:t xml:space="preserve">atter of </w:t>
      </w:r>
      <w:r w:rsidRPr="000569AD" w:rsidR="0077622B">
        <w:rPr>
          <w:rFonts w:ascii="Century Schoolbook" w:hAnsi="Century Schoolbook"/>
          <w:b/>
          <w:bCs/>
          <w:sz w:val="26"/>
          <w:szCs w:val="26"/>
        </w:rPr>
        <w:t>L</w:t>
      </w:r>
      <w:r w:rsidRPr="000569AD">
        <w:rPr>
          <w:rFonts w:ascii="Century Schoolbook" w:hAnsi="Century Schoolbook"/>
          <w:b/>
          <w:bCs/>
          <w:sz w:val="26"/>
          <w:szCs w:val="26"/>
        </w:rPr>
        <w:t>aw</w:t>
      </w:r>
      <w:r w:rsidRPr="000569AD" w:rsidR="00B455AC">
        <w:rPr>
          <w:rFonts w:ascii="Century Schoolbook" w:hAnsi="Century Schoolbook"/>
          <w:b/>
          <w:bCs/>
          <w:sz w:val="26"/>
          <w:szCs w:val="26"/>
        </w:rPr>
        <w:t xml:space="preserve"> </w:t>
      </w:r>
    </w:p>
    <w:p w:rsidR="00F844DE" w:rsidRPr="003D6C5F" w:rsidP="00BF48BD" w14:paraId="5B765B8E" w14:textId="77777777">
      <w:pPr>
        <w:ind w:firstLine="720"/>
        <w:rPr>
          <w:rFonts w:ascii="Century Schoolbook" w:hAnsi="Century Schoolbook" w:cstheme="majorHAnsi"/>
          <w:sz w:val="26"/>
          <w:szCs w:val="26"/>
        </w:rPr>
      </w:pPr>
    </w:p>
    <w:p w:rsidR="00A14C8A" w:rsidRPr="003D6C5F" w:rsidP="000B1ECC" w14:paraId="1561B09E" w14:textId="1D4D885E">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While d</w:t>
      </w:r>
      <w:r w:rsidRPr="003D6C5F" w:rsidR="00EF0AFB">
        <w:rPr>
          <w:rFonts w:ascii="Century Schoolbook" w:hAnsi="Century Schoolbook" w:cstheme="majorHAnsi"/>
          <w:sz w:val="26"/>
          <w:szCs w:val="26"/>
        </w:rPr>
        <w:t>iscussi</w:t>
      </w:r>
      <w:r w:rsidRPr="003D6C5F">
        <w:rPr>
          <w:rFonts w:ascii="Century Schoolbook" w:hAnsi="Century Schoolbook" w:cstheme="majorHAnsi"/>
          <w:sz w:val="26"/>
          <w:szCs w:val="26"/>
        </w:rPr>
        <w:t xml:space="preserve">ng </w:t>
      </w:r>
      <w:r w:rsidRPr="003D6C5F" w:rsidR="00EF0AFB">
        <w:rPr>
          <w:rFonts w:ascii="Century Schoolbook" w:hAnsi="Century Schoolbook" w:cstheme="majorHAnsi"/>
          <w:sz w:val="26"/>
          <w:szCs w:val="26"/>
        </w:rPr>
        <w:t>jury instructions, defense counsel asserted that, for purposes of jury instructions, Breanna could be construed an accomplice.</w:t>
      </w:r>
      <w:r w:rsidRPr="003D6C5F">
        <w:rPr>
          <w:rFonts w:ascii="Century Schoolbook" w:hAnsi="Century Schoolbook" w:cstheme="majorHAnsi"/>
          <w:sz w:val="26"/>
          <w:szCs w:val="26"/>
        </w:rPr>
        <w:t xml:space="preserve"> </w:t>
      </w:r>
      <w:r w:rsidRPr="003D6C5F" w:rsidR="00EF0AFB">
        <w:rPr>
          <w:rFonts w:ascii="Century Schoolbook" w:hAnsi="Century Schoolbook" w:cstheme="majorHAnsi"/>
          <w:sz w:val="26"/>
          <w:szCs w:val="26"/>
        </w:rPr>
        <w:t xml:space="preserve"> The prosecutor disagreed, stating Breanna was never part of the murder </w:t>
      </w:r>
      <w:r w:rsidRPr="003D6C5F" w:rsidR="006E5F02">
        <w:rPr>
          <w:rFonts w:ascii="Century Schoolbook" w:hAnsi="Century Schoolbook" w:cstheme="majorHAnsi"/>
          <w:sz w:val="26"/>
          <w:szCs w:val="26"/>
        </w:rPr>
        <w:t xml:space="preserve">plot </w:t>
      </w:r>
      <w:r w:rsidRPr="003D6C5F" w:rsidR="00EF0AFB">
        <w:rPr>
          <w:rFonts w:ascii="Century Schoolbook" w:hAnsi="Century Schoolbook" w:cstheme="majorHAnsi"/>
          <w:sz w:val="26"/>
          <w:szCs w:val="26"/>
        </w:rPr>
        <w:t>and her receipt of immunity did not “trigger[</w:t>
      </w:r>
      <w:r w:rsidRPr="003D6C5F" w:rsidR="00FD14AF">
        <w:rPr>
          <w:rFonts w:ascii="Century Schoolbook" w:hAnsi="Century Schoolbook" w:cstheme="majorHAnsi"/>
          <w:sz w:val="26"/>
          <w:szCs w:val="26"/>
        </w:rPr>
        <w:t> </w:t>
      </w:r>
      <w:r w:rsidRPr="003D6C5F" w:rsidR="00EF0AFB">
        <w:rPr>
          <w:rFonts w:ascii="Century Schoolbook" w:hAnsi="Century Schoolbook" w:cstheme="majorHAnsi"/>
          <w:sz w:val="26"/>
          <w:szCs w:val="26"/>
        </w:rPr>
        <w:t xml:space="preserve">] an accomplice act.” </w:t>
      </w:r>
      <w:r w:rsidRPr="003D6C5F" w:rsidR="00A50D96">
        <w:rPr>
          <w:rFonts w:ascii="Century Schoolbook" w:hAnsi="Century Schoolbook" w:cstheme="majorHAnsi"/>
          <w:sz w:val="26"/>
          <w:szCs w:val="26"/>
        </w:rPr>
        <w:t xml:space="preserve"> Defense counsel argued</w:t>
      </w:r>
      <w:r w:rsidRPr="003D6C5F" w:rsidR="00EF0AFB">
        <w:rPr>
          <w:rFonts w:ascii="Century Schoolbook" w:hAnsi="Century Schoolbook" w:cstheme="majorHAnsi"/>
          <w:sz w:val="26"/>
          <w:szCs w:val="26"/>
        </w:rPr>
        <w:t xml:space="preserve"> the trial court should instruct with CALCRIM No. 335, </w:t>
      </w:r>
      <w:r w:rsidRPr="003D6C5F" w:rsidR="00A50D96">
        <w:rPr>
          <w:rFonts w:ascii="Century Schoolbook" w:hAnsi="Century Schoolbook" w:cstheme="majorHAnsi"/>
          <w:sz w:val="26"/>
          <w:szCs w:val="26"/>
        </w:rPr>
        <w:t>to inform</w:t>
      </w:r>
      <w:r w:rsidRPr="003D6C5F" w:rsidR="00EF0AFB">
        <w:rPr>
          <w:rFonts w:ascii="Century Schoolbook" w:hAnsi="Century Schoolbook" w:cstheme="majorHAnsi"/>
          <w:sz w:val="26"/>
          <w:szCs w:val="26"/>
        </w:rPr>
        <w:t xml:space="preserve"> the jury that Breanna was an accomplice as a matter of law</w:t>
      </w:r>
      <w:r w:rsidRPr="003D6C5F" w:rsidR="001E1B46">
        <w:rPr>
          <w:rFonts w:ascii="Century Schoolbook" w:hAnsi="Century Schoolbook" w:cstheme="majorHAnsi"/>
          <w:sz w:val="26"/>
          <w:szCs w:val="26"/>
        </w:rPr>
        <w:t>,</w:t>
      </w:r>
      <w:r w:rsidRPr="003D6C5F" w:rsidR="00A50D96">
        <w:rPr>
          <w:rFonts w:ascii="Century Schoolbook" w:hAnsi="Century Schoolbook" w:cstheme="majorHAnsi"/>
          <w:sz w:val="26"/>
          <w:szCs w:val="26"/>
        </w:rPr>
        <w:t xml:space="preserve"> because</w:t>
      </w:r>
      <w:r w:rsidRPr="003D6C5F" w:rsidR="00EF0AFB">
        <w:rPr>
          <w:rFonts w:ascii="Century Schoolbook" w:hAnsi="Century Schoolbook" w:cstheme="majorHAnsi"/>
          <w:sz w:val="26"/>
          <w:szCs w:val="26"/>
        </w:rPr>
        <w:t xml:space="preserve"> the prosecutor sought to admit </w:t>
      </w:r>
      <w:r w:rsidRPr="003D6C5F" w:rsidR="00854221">
        <w:rPr>
          <w:rFonts w:ascii="Century Schoolbook" w:hAnsi="Century Schoolbook" w:cstheme="majorHAnsi"/>
          <w:sz w:val="26"/>
          <w:szCs w:val="26"/>
        </w:rPr>
        <w:t xml:space="preserve">Breanna’s </w:t>
      </w:r>
      <w:r w:rsidRPr="003D6C5F" w:rsidR="00EF0AFB">
        <w:rPr>
          <w:rFonts w:ascii="Century Schoolbook" w:hAnsi="Century Schoolbook" w:cstheme="majorHAnsi"/>
          <w:sz w:val="26"/>
          <w:szCs w:val="26"/>
        </w:rPr>
        <w:t xml:space="preserve">statements under the coconspirator exception and </w:t>
      </w:r>
      <w:r w:rsidRPr="003D6C5F" w:rsidR="00A50D96">
        <w:rPr>
          <w:rFonts w:ascii="Century Schoolbook" w:hAnsi="Century Schoolbook" w:cstheme="majorHAnsi"/>
          <w:sz w:val="26"/>
          <w:szCs w:val="26"/>
        </w:rPr>
        <w:t>being a</w:t>
      </w:r>
      <w:r w:rsidRPr="003D6C5F" w:rsidR="00EF0AFB">
        <w:rPr>
          <w:rFonts w:ascii="Century Schoolbook" w:hAnsi="Century Schoolbook" w:cstheme="majorHAnsi"/>
          <w:sz w:val="26"/>
          <w:szCs w:val="26"/>
        </w:rPr>
        <w:t xml:space="preserve"> coconspirator </w:t>
      </w:r>
      <w:r w:rsidRPr="003D6C5F" w:rsidR="00A50D96">
        <w:rPr>
          <w:rFonts w:ascii="Century Schoolbook" w:hAnsi="Century Schoolbook" w:cstheme="majorHAnsi"/>
          <w:sz w:val="26"/>
          <w:szCs w:val="26"/>
        </w:rPr>
        <w:t>is</w:t>
      </w:r>
      <w:r w:rsidRPr="003D6C5F" w:rsidR="00EF0AFB">
        <w:rPr>
          <w:rFonts w:ascii="Century Schoolbook" w:hAnsi="Century Schoolbook" w:cstheme="majorHAnsi"/>
          <w:sz w:val="26"/>
          <w:szCs w:val="26"/>
        </w:rPr>
        <w:t xml:space="preserve"> synonymous with </w:t>
      </w:r>
      <w:r w:rsidRPr="003D6C5F" w:rsidR="001E1B46">
        <w:rPr>
          <w:rFonts w:ascii="Century Schoolbook" w:hAnsi="Century Schoolbook" w:cstheme="majorHAnsi"/>
          <w:sz w:val="26"/>
          <w:szCs w:val="26"/>
        </w:rPr>
        <w:t xml:space="preserve">being an </w:t>
      </w:r>
      <w:r w:rsidRPr="003D6C5F" w:rsidR="00EF0AFB">
        <w:rPr>
          <w:rFonts w:ascii="Century Schoolbook" w:hAnsi="Century Schoolbook" w:cstheme="majorHAnsi"/>
          <w:sz w:val="26"/>
          <w:szCs w:val="26"/>
        </w:rPr>
        <w:t xml:space="preserve">accomplice. </w:t>
      </w:r>
    </w:p>
    <w:p w:rsidR="00EF0AFB" w:rsidRPr="003D6C5F" w:rsidP="000B1ECC" w14:paraId="1A27D708" w14:textId="1D1DF2FE">
      <w:pPr>
        <w:spacing w:line="360" w:lineRule="auto"/>
        <w:ind w:firstLine="720"/>
        <w:rPr>
          <w:rFonts w:ascii="Century Schoolbook" w:hAnsi="Century Schoolbook" w:cstheme="majorHAnsi"/>
          <w:sz w:val="26"/>
          <w:szCs w:val="26"/>
        </w:rPr>
      </w:pPr>
      <w:r w:rsidRPr="003D6C5F">
        <w:rPr>
          <w:rFonts w:ascii="Century Schoolbook" w:hAnsi="Century Schoolbook" w:cstheme="majorHAnsi"/>
          <w:sz w:val="26"/>
          <w:szCs w:val="26"/>
        </w:rPr>
        <w:t xml:space="preserve">Ramirez’s counsel believed that when the parties discussed admitting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’s statements as </w:t>
      </w:r>
      <w:r w:rsidRPr="003D6C5F" w:rsidR="009558AB">
        <w:rPr>
          <w:rFonts w:ascii="Century Schoolbook" w:hAnsi="Century Schoolbook" w:cstheme="majorHAnsi"/>
          <w:sz w:val="26"/>
          <w:szCs w:val="26"/>
        </w:rPr>
        <w:t>those</w:t>
      </w:r>
      <w:r w:rsidRPr="003D6C5F">
        <w:rPr>
          <w:rFonts w:ascii="Century Schoolbook" w:hAnsi="Century Schoolbook" w:cstheme="majorHAnsi"/>
          <w:sz w:val="26"/>
          <w:szCs w:val="26"/>
        </w:rPr>
        <w:t xml:space="preserve"> of </w:t>
      </w:r>
      <w:r w:rsidRPr="003D6C5F" w:rsidR="009558AB">
        <w:rPr>
          <w:rFonts w:ascii="Century Schoolbook" w:hAnsi="Century Schoolbook" w:cstheme="majorHAnsi"/>
          <w:sz w:val="26"/>
          <w:szCs w:val="26"/>
        </w:rPr>
        <w:t xml:space="preserve">a </w:t>
      </w:r>
      <w:r w:rsidRPr="003D6C5F">
        <w:rPr>
          <w:rFonts w:ascii="Century Schoolbook" w:hAnsi="Century Schoolbook" w:cstheme="majorHAnsi"/>
          <w:sz w:val="26"/>
          <w:szCs w:val="26"/>
        </w:rPr>
        <w:t xml:space="preserve">coconspirator, Breanna was included </w:t>
      </w:r>
      <w:r w:rsidRPr="003D6C5F" w:rsidR="003A4931">
        <w:rPr>
          <w:rFonts w:ascii="Century Schoolbook" w:hAnsi="Century Schoolbook" w:cstheme="majorHAnsi"/>
          <w:sz w:val="26"/>
          <w:szCs w:val="26"/>
        </w:rPr>
        <w:t>among the</w:t>
      </w:r>
      <w:r w:rsidRPr="003D6C5F">
        <w:rPr>
          <w:rFonts w:ascii="Century Schoolbook" w:hAnsi="Century Schoolbook" w:cstheme="majorHAnsi"/>
          <w:sz w:val="26"/>
          <w:szCs w:val="26"/>
        </w:rPr>
        <w:t xml:space="preserve"> conspirator</w:t>
      </w:r>
      <w:r w:rsidRPr="003D6C5F" w:rsidR="003A4931">
        <w:rPr>
          <w:rFonts w:ascii="Century Schoolbook" w:hAnsi="Century Schoolbook" w:cstheme="majorHAnsi"/>
          <w:sz w:val="26"/>
          <w:szCs w:val="26"/>
        </w:rPr>
        <w:t>s</w:t>
      </w:r>
      <w:r w:rsidRPr="003D6C5F">
        <w:rPr>
          <w:rFonts w:ascii="Century Schoolbook" w:hAnsi="Century Schoolbook" w:cstheme="majorHAnsi"/>
          <w:sz w:val="26"/>
          <w:szCs w:val="26"/>
        </w:rPr>
        <w:t>.</w:t>
      </w:r>
      <w:r w:rsidRPr="003D6C5F" w:rsidR="0069739E">
        <w:rPr>
          <w:rFonts w:ascii="Century Schoolbook" w:hAnsi="Century Schoolbook" w:cstheme="majorHAnsi"/>
          <w:sz w:val="26"/>
          <w:szCs w:val="26"/>
        </w:rPr>
        <w:t xml:space="preserve">  The prosecutor disagreed that she presented Breanna’s statements as a coconspirator to the events</w:t>
      </w:r>
      <w:r w:rsidRPr="003D6C5F" w:rsidR="00A14C8A">
        <w:rPr>
          <w:rFonts w:ascii="Century Schoolbook" w:hAnsi="Century Schoolbook" w:cstheme="majorHAnsi"/>
          <w:sz w:val="26"/>
          <w:szCs w:val="26"/>
        </w:rPr>
        <w:t xml:space="preserve"> and argued the court </w:t>
      </w:r>
      <w:r w:rsidRPr="003D6C5F" w:rsidR="009558AB">
        <w:rPr>
          <w:rFonts w:ascii="Century Schoolbook" w:hAnsi="Century Schoolbook" w:cstheme="majorHAnsi"/>
          <w:sz w:val="26"/>
          <w:szCs w:val="26"/>
        </w:rPr>
        <w:t xml:space="preserve">should </w:t>
      </w:r>
      <w:r w:rsidRPr="003D6C5F" w:rsidR="00A14C8A">
        <w:rPr>
          <w:rFonts w:ascii="Century Schoolbook" w:hAnsi="Century Schoolbook" w:cstheme="majorHAnsi"/>
          <w:sz w:val="26"/>
          <w:szCs w:val="26"/>
        </w:rPr>
        <w:t xml:space="preserve">instruct with CALCRIM No. 334, which would </w:t>
      </w:r>
      <w:r w:rsidRPr="003D6C5F" w:rsidR="009558AB">
        <w:rPr>
          <w:rFonts w:ascii="Century Schoolbook" w:hAnsi="Century Schoolbook" w:cstheme="majorHAnsi"/>
          <w:sz w:val="26"/>
          <w:szCs w:val="26"/>
        </w:rPr>
        <w:t>allow</w:t>
      </w:r>
      <w:r w:rsidRPr="003D6C5F" w:rsidR="00A14C8A">
        <w:rPr>
          <w:rFonts w:ascii="Century Schoolbook" w:hAnsi="Century Schoolbook" w:cstheme="majorHAnsi"/>
          <w:sz w:val="26"/>
          <w:szCs w:val="26"/>
        </w:rPr>
        <w:t xml:space="preserve"> the jury to decide whether Breanna was an accomplice.</w:t>
      </w:r>
      <w:r w:rsidRPr="003D6C5F" w:rsidR="00C96ADE">
        <w:rPr>
          <w:rFonts w:ascii="Century Schoolbook" w:hAnsi="Century Schoolbook" w:cstheme="majorHAnsi"/>
          <w:sz w:val="26"/>
          <w:szCs w:val="26"/>
        </w:rPr>
        <w:t xml:space="preserve"> </w:t>
      </w:r>
      <w:r w:rsidRPr="003D6C5F" w:rsidR="00A14C8A">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The trial court </w:t>
      </w:r>
      <w:r w:rsidRPr="003D6C5F" w:rsidR="003E3A11">
        <w:rPr>
          <w:rFonts w:ascii="Century Schoolbook" w:hAnsi="Century Schoolbook" w:cstheme="majorHAnsi"/>
          <w:sz w:val="26"/>
          <w:szCs w:val="26"/>
        </w:rPr>
        <w:t xml:space="preserve">did </w:t>
      </w:r>
      <w:r w:rsidRPr="003D6C5F" w:rsidR="00A14C8A">
        <w:rPr>
          <w:rFonts w:ascii="Century Schoolbook" w:hAnsi="Century Schoolbook" w:cstheme="majorHAnsi"/>
          <w:sz w:val="26"/>
          <w:szCs w:val="26"/>
        </w:rPr>
        <w:t xml:space="preserve">not </w:t>
      </w:r>
      <w:r w:rsidRPr="003D6C5F">
        <w:rPr>
          <w:rFonts w:ascii="Century Schoolbook" w:hAnsi="Century Schoolbook" w:cstheme="majorHAnsi"/>
          <w:sz w:val="26"/>
          <w:szCs w:val="26"/>
        </w:rPr>
        <w:t>find Breanna was an accomplice as a matter of law</w:t>
      </w:r>
      <w:r w:rsidRPr="003D6C5F" w:rsidR="00A14C8A">
        <w:rPr>
          <w:rFonts w:ascii="Century Schoolbook" w:hAnsi="Century Schoolbook" w:cstheme="majorHAnsi"/>
          <w:sz w:val="26"/>
          <w:szCs w:val="26"/>
        </w:rPr>
        <w:t xml:space="preserve"> and concluded it would </w:t>
      </w:r>
      <w:r w:rsidRPr="003D6C5F">
        <w:rPr>
          <w:rFonts w:ascii="Century Schoolbook" w:hAnsi="Century Schoolbook" w:cstheme="majorHAnsi"/>
          <w:sz w:val="26"/>
          <w:szCs w:val="26"/>
        </w:rPr>
        <w:t xml:space="preserve">instruct </w:t>
      </w:r>
      <w:r w:rsidRPr="003D6C5F" w:rsidR="00A14C8A">
        <w:rPr>
          <w:rFonts w:ascii="Century Schoolbook" w:hAnsi="Century Schoolbook" w:cstheme="majorHAnsi"/>
          <w:sz w:val="26"/>
          <w:szCs w:val="26"/>
        </w:rPr>
        <w:t xml:space="preserve">the jury </w:t>
      </w:r>
      <w:r w:rsidRPr="003D6C5F">
        <w:rPr>
          <w:rFonts w:ascii="Century Schoolbook" w:hAnsi="Century Schoolbook" w:cstheme="majorHAnsi"/>
          <w:sz w:val="26"/>
          <w:szCs w:val="26"/>
        </w:rPr>
        <w:t>with CALCRIM No.</w:t>
      </w:r>
      <w:r w:rsidR="00683329">
        <w:rPr>
          <w:rFonts w:ascii="Century Schoolbook" w:hAnsi="Century Schoolbook" w:cstheme="majorHAnsi"/>
          <w:sz w:val="26"/>
          <w:szCs w:val="26"/>
        </w:rPr>
        <w:t> </w:t>
      </w:r>
      <w:r w:rsidRPr="003D6C5F">
        <w:rPr>
          <w:rFonts w:ascii="Century Schoolbook" w:hAnsi="Century Schoolbook" w:cstheme="majorHAnsi"/>
          <w:sz w:val="26"/>
          <w:szCs w:val="26"/>
        </w:rPr>
        <w:t>334.</w:t>
      </w:r>
    </w:p>
    <w:p w:rsidR="009558AB" w:rsidRPr="003D6C5F" w:rsidP="000B1ECC" w14:paraId="35EA7562" w14:textId="20FFAD74">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Under CALCRIM No. 334, the jurors were told they had to decide if Breanna was an accomplice.  They were instructed that an accomplice is “subject to prosecution for the identical crime charged against [</w:t>
      </w:r>
      <w:r w:rsidRPr="003D6C5F" w:rsidR="00C72452">
        <w:rPr>
          <w:rFonts w:ascii="Century Schoolbook" w:hAnsi="Century Schoolbook" w:cstheme="majorHAnsi"/>
          <w:sz w:val="26"/>
          <w:szCs w:val="26"/>
        </w:rPr>
        <w:t>defendants</w:t>
      </w:r>
      <w:r w:rsidRPr="003D6C5F">
        <w:rPr>
          <w:rFonts w:ascii="Century Schoolbook" w:hAnsi="Century Schoolbook" w:cstheme="majorHAnsi"/>
          <w:sz w:val="26"/>
          <w:szCs w:val="26"/>
        </w:rPr>
        <w:t xml:space="preserve">].”  An accomplice had to personally commit the crime, or aid and abet its commission knowing the criminal purpose of the perpetrator.  The jurors were </w:t>
      </w:r>
      <w:r w:rsidRPr="003D6C5F" w:rsidR="003A4931">
        <w:rPr>
          <w:rFonts w:ascii="Century Schoolbook" w:hAnsi="Century Schoolbook" w:cstheme="majorHAnsi"/>
          <w:sz w:val="26"/>
          <w:szCs w:val="26"/>
        </w:rPr>
        <w:t>advised</w:t>
      </w:r>
      <w:r w:rsidRPr="003D6C5F">
        <w:rPr>
          <w:rFonts w:ascii="Century Schoolbook" w:hAnsi="Century Schoolbook" w:cstheme="majorHAnsi"/>
          <w:sz w:val="26"/>
          <w:szCs w:val="26"/>
        </w:rPr>
        <w:t xml:space="preserve"> that if they determined Breanna was an accomplice, they could not convict </w:t>
      </w:r>
      <w:r w:rsidRPr="003D6C5F" w:rsidR="00C72452">
        <w:rPr>
          <w:rFonts w:ascii="Century Schoolbook" w:hAnsi="Century Schoolbook" w:cstheme="majorHAnsi"/>
          <w:sz w:val="26"/>
          <w:szCs w:val="26"/>
        </w:rPr>
        <w:t>defendants</w:t>
      </w:r>
      <w:r w:rsidRPr="003D6C5F">
        <w:rPr>
          <w:rFonts w:ascii="Century Schoolbook" w:hAnsi="Century Schoolbook" w:cstheme="majorHAnsi"/>
          <w:sz w:val="26"/>
          <w:szCs w:val="26"/>
        </w:rPr>
        <w:t xml:space="preserve"> based on her testimony alone.  Instead, corroborating evidence was needed which tended to connect </w:t>
      </w:r>
      <w:r w:rsidRPr="003D6C5F" w:rsidR="00C72452">
        <w:rPr>
          <w:rFonts w:ascii="Century Schoolbook" w:hAnsi="Century Schoolbook" w:cstheme="majorHAnsi"/>
          <w:sz w:val="26"/>
          <w:szCs w:val="26"/>
        </w:rPr>
        <w:t>defendants</w:t>
      </w:r>
      <w:r w:rsidRPr="003D6C5F">
        <w:rPr>
          <w:rFonts w:ascii="Century Schoolbook" w:hAnsi="Century Schoolbook" w:cstheme="majorHAnsi"/>
          <w:sz w:val="26"/>
          <w:szCs w:val="26"/>
        </w:rPr>
        <w:t xml:space="preserve"> to the commission of the charged crimes.  If Breanna was an accomplice, the jurors were to view her testimony with caution.</w:t>
      </w:r>
    </w:p>
    <w:p w:rsidR="00535EBC" w:rsidRPr="003D6C5F" w:rsidP="000B1ECC" w14:paraId="4CC977F8" w14:textId="62F85F8A">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r>
      <w:r w:rsidRPr="003D6C5F" w:rsidR="00C72452">
        <w:rPr>
          <w:rFonts w:ascii="Century Schoolbook" w:hAnsi="Century Schoolbook" w:cstheme="majorHAnsi"/>
          <w:sz w:val="26"/>
          <w:szCs w:val="26"/>
        </w:rPr>
        <w:t>Defendants</w:t>
      </w:r>
      <w:r w:rsidRPr="003D6C5F">
        <w:rPr>
          <w:rFonts w:ascii="Century Schoolbook" w:hAnsi="Century Schoolbook" w:cstheme="majorHAnsi"/>
          <w:sz w:val="26"/>
          <w:szCs w:val="26"/>
        </w:rPr>
        <w:t xml:space="preserve"> contend the trial court erred when it denied their request</w:t>
      </w:r>
      <w:r w:rsidRPr="003D6C5F" w:rsidR="00CE4F79">
        <w:rPr>
          <w:rFonts w:ascii="Century Schoolbook" w:hAnsi="Century Schoolbook" w:cstheme="majorHAnsi"/>
          <w:sz w:val="26"/>
          <w:szCs w:val="26"/>
        </w:rPr>
        <w:t xml:space="preserve"> </w:t>
      </w:r>
      <w:r w:rsidRPr="003D6C5F">
        <w:rPr>
          <w:rFonts w:ascii="Century Schoolbook" w:hAnsi="Century Schoolbook" w:cstheme="majorHAnsi"/>
          <w:sz w:val="26"/>
          <w:szCs w:val="26"/>
        </w:rPr>
        <w:t>to instruct the jury that Breanna was an accomplice as a matter of law</w:t>
      </w:r>
      <w:r w:rsidRPr="003D6C5F" w:rsidR="00740F63">
        <w:rPr>
          <w:rFonts w:ascii="Century Schoolbook" w:hAnsi="Century Schoolbook" w:cstheme="majorHAnsi"/>
          <w:sz w:val="26"/>
          <w:szCs w:val="26"/>
        </w:rPr>
        <w:t xml:space="preserve"> under CALCRIM No. 335</w:t>
      </w:r>
      <w:r w:rsidRPr="003D6C5F">
        <w:rPr>
          <w:rFonts w:ascii="Century Schoolbook" w:hAnsi="Century Schoolbook" w:cstheme="majorHAnsi"/>
          <w:sz w:val="26"/>
          <w:szCs w:val="26"/>
        </w:rPr>
        <w:t xml:space="preserve">.  The People disagree, claiming the trial court properly instructed the jury with CALCRIM No. 334 because Breanna’s status as an accomplice was reasonably disputable.  Even assuming the court erred by failing to instruct the jury that Breanna was an accomplice as a matter of law, the People </w:t>
      </w:r>
      <w:r w:rsidRPr="003D6C5F" w:rsidR="00CE4F79">
        <w:rPr>
          <w:rFonts w:ascii="Century Schoolbook" w:hAnsi="Century Schoolbook" w:cstheme="majorHAnsi"/>
          <w:sz w:val="26"/>
          <w:szCs w:val="26"/>
        </w:rPr>
        <w:t>assert</w:t>
      </w:r>
      <w:r w:rsidRPr="003D6C5F">
        <w:rPr>
          <w:rFonts w:ascii="Century Schoolbook" w:hAnsi="Century Schoolbook" w:cstheme="majorHAnsi"/>
          <w:sz w:val="26"/>
          <w:szCs w:val="26"/>
        </w:rPr>
        <w:t xml:space="preserve"> the assumed error was harmless because Breanna’s testimony was amply corroborated.</w:t>
      </w:r>
      <w:r w:rsidRPr="003D6C5F" w:rsidR="006D5721">
        <w:rPr>
          <w:rFonts w:ascii="Century Schoolbook" w:hAnsi="Century Schoolbook" w:cstheme="majorHAnsi"/>
          <w:sz w:val="26"/>
          <w:szCs w:val="26"/>
        </w:rPr>
        <w:t xml:space="preserve"> </w:t>
      </w:r>
      <w:r w:rsidRPr="003D6C5F" w:rsidR="00CE4F79">
        <w:rPr>
          <w:rFonts w:ascii="Century Schoolbook" w:hAnsi="Century Schoolbook" w:cstheme="majorHAnsi"/>
          <w:sz w:val="26"/>
          <w:szCs w:val="26"/>
        </w:rPr>
        <w:t xml:space="preserve"> </w:t>
      </w:r>
      <w:r w:rsidRPr="003D6C5F" w:rsidR="00C2732F">
        <w:rPr>
          <w:rFonts w:ascii="Century Schoolbook" w:hAnsi="Century Schoolbook" w:cstheme="majorHAnsi"/>
          <w:sz w:val="26"/>
          <w:szCs w:val="26"/>
        </w:rPr>
        <w:t>We conclude t</w:t>
      </w:r>
      <w:r w:rsidRPr="003D6C5F" w:rsidR="00CE4F79">
        <w:rPr>
          <w:rFonts w:ascii="Century Schoolbook" w:hAnsi="Century Schoolbook" w:cstheme="majorHAnsi"/>
          <w:sz w:val="26"/>
          <w:szCs w:val="26"/>
        </w:rPr>
        <w:t xml:space="preserve">he trial court properly instructed the jury </w:t>
      </w:r>
      <w:r w:rsidRPr="003D6C5F" w:rsidR="00C2732F">
        <w:rPr>
          <w:rFonts w:ascii="Century Schoolbook" w:hAnsi="Century Schoolbook" w:cstheme="majorHAnsi"/>
          <w:sz w:val="26"/>
          <w:szCs w:val="26"/>
        </w:rPr>
        <w:t xml:space="preserve">with </w:t>
      </w:r>
      <w:r w:rsidRPr="003D6C5F" w:rsidR="00CE4F79">
        <w:rPr>
          <w:rFonts w:ascii="Century Schoolbook" w:hAnsi="Century Schoolbook" w:cstheme="majorHAnsi"/>
          <w:sz w:val="26"/>
          <w:szCs w:val="26"/>
        </w:rPr>
        <w:t>CALCRIM No. 334 instead of CALCRIM No. 335.</w:t>
      </w:r>
    </w:p>
    <w:p w:rsidR="00CE4F79" w:rsidRPr="003D6C5F" w:rsidP="000B1ECC" w14:paraId="76FA5780" w14:textId="376B16A7">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t>“Section 1111 defines an accomplice as ‘one who is liable to prosecution for the identical offense charged against the defendant on trial in the cause in which the testimony of the accomplice is given.’  In order to be chargeable with the identical offense, the witness must be considered a principal under section 31.  That statute defines principals to include ‘[a]ll persons concerned in the commission of a crime . . . whether they directly commit the act constituting the offense, or aid and abet in its commission, or, not being present, have advised and encouraged its commission . . . .’  [Citations.]  A</w:t>
      </w:r>
      <w:r w:rsidRPr="003D6C5F" w:rsidR="0060170A">
        <w:rPr>
          <w:rFonts w:ascii="Century Schoolbook" w:hAnsi="Century Schoolbook" w:cstheme="majorHAnsi"/>
          <w:sz w:val="26"/>
          <w:szCs w:val="26"/>
        </w:rPr>
        <w:t> </w:t>
      </w:r>
      <w:r w:rsidRPr="003D6C5F">
        <w:rPr>
          <w:rFonts w:ascii="Century Schoolbook" w:hAnsi="Century Schoolbook" w:cstheme="majorHAnsi"/>
          <w:sz w:val="26"/>
          <w:szCs w:val="26"/>
        </w:rPr>
        <w:t>mere accessory, however, is not liable to prosecution for the identical offense, and therefore is not an accomplice.”  (</w:t>
      </w:r>
      <w:r w:rsidRPr="003D6C5F">
        <w:rPr>
          <w:rFonts w:ascii="Century Schoolbook" w:hAnsi="Century Schoolbook" w:cstheme="majorHAnsi"/>
          <w:i/>
          <w:iCs/>
          <w:sz w:val="26"/>
          <w:szCs w:val="26"/>
        </w:rPr>
        <w:t>People v. Horton</w:t>
      </w:r>
      <w:r w:rsidRPr="003D6C5F">
        <w:rPr>
          <w:rFonts w:ascii="Century Schoolbook" w:hAnsi="Century Schoolbook" w:cstheme="majorHAnsi"/>
          <w:sz w:val="26"/>
          <w:szCs w:val="26"/>
        </w:rPr>
        <w:t xml:space="preserve"> (1995) 11 Cal.4th 1068, 1113</w:t>
      </w:r>
      <w:r w:rsidRPr="003D6C5F" w:rsidR="00740F63">
        <w:rPr>
          <w:rFonts w:ascii="Century Schoolbook" w:hAnsi="Century Schoolbook" w:cstheme="majorHAnsi"/>
          <w:sz w:val="26"/>
          <w:szCs w:val="26"/>
        </w:rPr>
        <w:t>–</w:t>
      </w:r>
      <w:r w:rsidRPr="003D6C5F">
        <w:rPr>
          <w:rFonts w:ascii="Century Schoolbook" w:hAnsi="Century Schoolbook" w:cstheme="majorHAnsi"/>
          <w:sz w:val="26"/>
          <w:szCs w:val="26"/>
        </w:rPr>
        <w:t>1114</w:t>
      </w:r>
      <w:r w:rsidRPr="003D6C5F" w:rsidR="009D435B">
        <w:rPr>
          <w:rFonts w:ascii="Century Schoolbook" w:hAnsi="Century Schoolbook" w:cstheme="majorHAnsi"/>
          <w:sz w:val="26"/>
          <w:szCs w:val="26"/>
        </w:rPr>
        <w:t xml:space="preserve"> (</w:t>
      </w:r>
      <w:r w:rsidRPr="003D6C5F" w:rsidR="009D435B">
        <w:rPr>
          <w:rFonts w:ascii="Century Schoolbook" w:hAnsi="Century Schoolbook" w:cstheme="majorHAnsi"/>
          <w:i/>
          <w:iCs/>
          <w:sz w:val="26"/>
          <w:szCs w:val="26"/>
        </w:rPr>
        <w:t>Horton</w:t>
      </w:r>
      <w:r w:rsidRPr="003D6C5F" w:rsidR="009D435B">
        <w:rPr>
          <w:rFonts w:ascii="Century Schoolbook" w:hAnsi="Century Schoolbook" w:cstheme="majorHAnsi"/>
          <w:sz w:val="26"/>
          <w:szCs w:val="26"/>
        </w:rPr>
        <w:t>)</w:t>
      </w:r>
      <w:r w:rsidRPr="003D6C5F">
        <w:rPr>
          <w:rFonts w:ascii="Century Schoolbook" w:hAnsi="Century Schoolbook" w:cstheme="majorHAnsi"/>
          <w:sz w:val="26"/>
          <w:szCs w:val="26"/>
        </w:rPr>
        <w:t>.)</w:t>
      </w:r>
    </w:p>
    <w:p w:rsidR="00CE4F79" w:rsidRPr="003D6C5F" w:rsidP="000B1ECC" w14:paraId="0D0DCCDA" w14:textId="5D537EB2">
      <w:pPr>
        <w:spacing w:line="360" w:lineRule="auto"/>
        <w:rPr>
          <w:rFonts w:ascii="Century Schoolbook" w:hAnsi="Century Schoolbook" w:cstheme="majorHAnsi"/>
          <w:sz w:val="26"/>
          <w:szCs w:val="26"/>
        </w:rPr>
      </w:pPr>
      <w:bookmarkStart w:id="26" w:name="_Hlk152082830"/>
      <w:r w:rsidRPr="003D6C5F">
        <w:rPr>
          <w:rFonts w:ascii="Century Schoolbook" w:hAnsi="Century Schoolbook" w:cstheme="majorHAnsi"/>
          <w:sz w:val="26"/>
          <w:szCs w:val="26"/>
        </w:rPr>
        <w:tab/>
        <w:t>“Whether someone is an accomplice is ordinarily a question of fact for the jury; only if there is no reasonable dispute as to the facts or the inferences to be drawn from the facts may a trial court instruct a jury that a witness is an accomplice as a matter of law.”  (</w:t>
      </w:r>
      <w:r w:rsidRPr="003D6C5F">
        <w:rPr>
          <w:rFonts w:ascii="Century Schoolbook" w:hAnsi="Century Schoolbook" w:cstheme="majorHAnsi"/>
          <w:i/>
          <w:iCs/>
          <w:sz w:val="26"/>
          <w:szCs w:val="26"/>
        </w:rPr>
        <w:t>People v. Valdez</w:t>
      </w:r>
      <w:r w:rsidRPr="003D6C5F">
        <w:rPr>
          <w:rFonts w:ascii="Century Schoolbook" w:hAnsi="Century Schoolbook" w:cstheme="majorHAnsi"/>
          <w:sz w:val="26"/>
          <w:szCs w:val="26"/>
        </w:rPr>
        <w:t xml:space="preserve"> (2012) 55 Cal.4th 82, 145–146.)  When the issue of whether a witness is an accomplice is disputed, “[t]he burden is on the defendant to prove by a preponderance of the evidence that a witness is an accomplice.”  (</w:t>
      </w:r>
      <w:r w:rsidRPr="003D6C5F">
        <w:rPr>
          <w:rFonts w:ascii="Century Schoolbook" w:hAnsi="Century Schoolbook" w:cstheme="majorHAnsi"/>
          <w:i/>
          <w:iCs/>
          <w:sz w:val="26"/>
          <w:szCs w:val="26"/>
        </w:rPr>
        <w:t>People v. Fauber</w:t>
      </w:r>
      <w:r w:rsidRPr="003D6C5F">
        <w:rPr>
          <w:rFonts w:ascii="Century Schoolbook" w:hAnsi="Century Schoolbook" w:cstheme="majorHAnsi"/>
          <w:sz w:val="26"/>
          <w:szCs w:val="26"/>
        </w:rPr>
        <w:t xml:space="preserve"> (</w:t>
      </w:r>
      <w:r w:rsidRPr="003D6C5F" w:rsidR="00CF4021">
        <w:rPr>
          <w:rFonts w:ascii="Century Schoolbook" w:hAnsi="Century Schoolbook" w:cstheme="majorHAnsi"/>
          <w:sz w:val="26"/>
          <w:szCs w:val="26"/>
        </w:rPr>
        <w:t>1992</w:t>
      </w:r>
      <w:r w:rsidRPr="003D6C5F">
        <w:rPr>
          <w:rFonts w:ascii="Century Schoolbook" w:hAnsi="Century Schoolbook" w:cstheme="majorHAnsi"/>
          <w:sz w:val="26"/>
          <w:szCs w:val="26"/>
        </w:rPr>
        <w:t xml:space="preserve">) 2 Cal.4th </w:t>
      </w:r>
      <w:r w:rsidRPr="003D6C5F" w:rsidR="00CF4021">
        <w:rPr>
          <w:rFonts w:ascii="Century Schoolbook" w:hAnsi="Century Schoolbook" w:cstheme="majorHAnsi"/>
          <w:sz w:val="26"/>
          <w:szCs w:val="26"/>
        </w:rPr>
        <w:t>792</w:t>
      </w:r>
      <w:r w:rsidRPr="003D6C5F">
        <w:rPr>
          <w:rFonts w:ascii="Century Schoolbook" w:hAnsi="Century Schoolbook" w:cstheme="majorHAnsi"/>
          <w:sz w:val="26"/>
          <w:szCs w:val="26"/>
        </w:rPr>
        <w:t>, 834.)</w:t>
      </w:r>
      <w:r w:rsidRPr="003D6C5F" w:rsidR="00CE546F">
        <w:rPr>
          <w:rFonts w:ascii="Century Schoolbook" w:hAnsi="Century Schoolbook" w:cstheme="majorHAnsi"/>
          <w:sz w:val="26"/>
          <w:szCs w:val="26"/>
        </w:rPr>
        <w:t xml:space="preserve">  </w:t>
      </w:r>
      <w:r w:rsidRPr="003D6C5F">
        <w:rPr>
          <w:rFonts w:ascii="Century Schoolbook" w:hAnsi="Century Schoolbook" w:cstheme="majorHAnsi"/>
          <w:sz w:val="26"/>
          <w:szCs w:val="26"/>
        </w:rPr>
        <w:t xml:space="preserve">We review a claim for instructional error de novo. </w:t>
      </w:r>
      <w:r w:rsidRPr="003D6C5F" w:rsidR="00CE546F">
        <w:rPr>
          <w:rFonts w:ascii="Century Schoolbook" w:hAnsi="Century Schoolbook" w:cstheme="majorHAnsi"/>
          <w:sz w:val="26"/>
          <w:szCs w:val="26"/>
        </w:rPr>
        <w:t xml:space="preserve"> </w:t>
      </w:r>
      <w:r w:rsidRPr="003D6C5F">
        <w:rPr>
          <w:rFonts w:ascii="Century Schoolbook" w:hAnsi="Century Schoolbook" w:cstheme="majorHAnsi"/>
          <w:sz w:val="26"/>
          <w:szCs w:val="26"/>
        </w:rPr>
        <w:t>(</w:t>
      </w:r>
      <w:r w:rsidRPr="003D6C5F">
        <w:rPr>
          <w:rFonts w:ascii="Century Schoolbook" w:hAnsi="Century Schoolbook" w:cstheme="majorHAnsi"/>
          <w:i/>
          <w:iCs/>
          <w:sz w:val="26"/>
          <w:szCs w:val="26"/>
        </w:rPr>
        <w:t>People v. Posey</w:t>
      </w:r>
      <w:r w:rsidRPr="003D6C5F">
        <w:rPr>
          <w:rFonts w:ascii="Century Schoolbook" w:hAnsi="Century Schoolbook" w:cstheme="majorHAnsi"/>
          <w:sz w:val="26"/>
          <w:szCs w:val="26"/>
        </w:rPr>
        <w:t xml:space="preserve"> (2004) 32 Cal.4th 193, 218.)</w:t>
      </w:r>
    </w:p>
    <w:p w:rsidR="000244EF" w:rsidRPr="003D6C5F" w:rsidP="000B1ECC" w14:paraId="1929D64B" w14:textId="0C4A46EB">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r>
      <w:r w:rsidRPr="003D6C5F" w:rsidR="00C72452">
        <w:rPr>
          <w:rFonts w:ascii="Century Schoolbook" w:hAnsi="Century Schoolbook" w:cstheme="majorHAnsi"/>
          <w:sz w:val="26"/>
          <w:szCs w:val="26"/>
        </w:rPr>
        <w:t>Defendants</w:t>
      </w:r>
      <w:r w:rsidRPr="003D6C5F">
        <w:rPr>
          <w:rFonts w:ascii="Century Schoolbook" w:hAnsi="Century Schoolbook" w:cstheme="majorHAnsi"/>
          <w:sz w:val="26"/>
          <w:szCs w:val="26"/>
        </w:rPr>
        <w:t xml:space="preserve"> first argue </w:t>
      </w:r>
      <w:r w:rsidRPr="003D6C5F" w:rsidR="003A4931">
        <w:rPr>
          <w:rFonts w:ascii="Century Schoolbook" w:hAnsi="Century Schoolbook" w:cstheme="majorHAnsi"/>
          <w:sz w:val="26"/>
          <w:szCs w:val="26"/>
        </w:rPr>
        <w:t xml:space="preserve">that </w:t>
      </w:r>
      <w:r w:rsidRPr="003D6C5F">
        <w:rPr>
          <w:rFonts w:ascii="Century Schoolbook" w:hAnsi="Century Schoolbook" w:cstheme="majorHAnsi"/>
          <w:sz w:val="26"/>
          <w:szCs w:val="26"/>
        </w:rPr>
        <w:t xml:space="preserve">Breanna could have been charged as a direct participant in the murder. </w:t>
      </w:r>
      <w:r w:rsidRPr="003D6C5F" w:rsidR="003F6266">
        <w:rPr>
          <w:rFonts w:ascii="Century Schoolbook" w:hAnsi="Century Schoolbook" w:cstheme="majorHAnsi"/>
          <w:sz w:val="26"/>
          <w:szCs w:val="26"/>
        </w:rPr>
        <w:t xml:space="preserve"> The evidence, however, </w:t>
      </w:r>
      <w:r w:rsidRPr="003D6C5F" w:rsidR="003B74A5">
        <w:rPr>
          <w:rFonts w:ascii="Century Schoolbook" w:hAnsi="Century Schoolbook" w:cstheme="majorHAnsi"/>
          <w:sz w:val="26"/>
          <w:szCs w:val="26"/>
        </w:rPr>
        <w:t xml:space="preserve">does not </w:t>
      </w:r>
      <w:r w:rsidRPr="003D6C5F" w:rsidR="003A4931">
        <w:rPr>
          <w:rFonts w:ascii="Century Schoolbook" w:hAnsi="Century Schoolbook" w:cstheme="majorHAnsi"/>
          <w:sz w:val="26"/>
          <w:szCs w:val="26"/>
        </w:rPr>
        <w:t xml:space="preserve">conclusively </w:t>
      </w:r>
      <w:r w:rsidRPr="003D6C5F" w:rsidR="003B74A5">
        <w:rPr>
          <w:rFonts w:ascii="Century Schoolbook" w:hAnsi="Century Schoolbook" w:cstheme="majorHAnsi"/>
          <w:sz w:val="26"/>
          <w:szCs w:val="26"/>
        </w:rPr>
        <w:t>show that</w:t>
      </w:r>
      <w:r w:rsidRPr="003D6C5F" w:rsidR="003F6266">
        <w:rPr>
          <w:rFonts w:ascii="Century Schoolbook" w:hAnsi="Century Schoolbook" w:cstheme="majorHAnsi"/>
          <w:sz w:val="26"/>
          <w:szCs w:val="26"/>
        </w:rPr>
        <w:t xml:space="preserve"> Breanna participated in the murder.  According to Breanna, she was inside the abandoned house when she heard screams coming from the R.V.</w:t>
      </w:r>
      <w:r w:rsidRPr="003D6C5F">
        <w:rPr>
          <w:rFonts w:ascii="Century Schoolbook" w:hAnsi="Century Schoolbook" w:cstheme="majorHAnsi"/>
          <w:sz w:val="26"/>
          <w:szCs w:val="26"/>
        </w:rPr>
        <w:t xml:space="preserve">  After Breanna heard </w:t>
      </w:r>
      <w:r w:rsidRPr="003D6C5F" w:rsidR="00BC57F6">
        <w:rPr>
          <w:rFonts w:ascii="Century Schoolbook" w:hAnsi="Century Schoolbook" w:cstheme="majorHAnsi"/>
          <w:sz w:val="26"/>
          <w:szCs w:val="26"/>
        </w:rPr>
        <w:t>Ayala</w:t>
      </w:r>
      <w:r w:rsidRPr="003D6C5F">
        <w:rPr>
          <w:rFonts w:ascii="Century Schoolbook" w:hAnsi="Century Schoolbook" w:cstheme="majorHAnsi"/>
          <w:sz w:val="26"/>
          <w:szCs w:val="26"/>
        </w:rPr>
        <w:t xml:space="preserve"> call her name, she approached the R.V. and saw Ramirez and Angel pulling Samuel out of the R.V. on a sheet.</w:t>
      </w:r>
      <w:r w:rsidRPr="003D6C5F" w:rsidR="00780B63">
        <w:rPr>
          <w:rFonts w:ascii="Century Schoolbook" w:hAnsi="Century Schoolbook" w:cstheme="majorHAnsi"/>
          <w:sz w:val="26"/>
          <w:szCs w:val="26"/>
        </w:rPr>
        <w:t xml:space="preserve">  </w:t>
      </w:r>
      <w:r w:rsidRPr="003D6C5F" w:rsidR="0046358F">
        <w:rPr>
          <w:rFonts w:ascii="Century Schoolbook" w:hAnsi="Century Schoolbook" w:cstheme="majorHAnsi"/>
          <w:sz w:val="26"/>
          <w:szCs w:val="26"/>
        </w:rPr>
        <w:t>In</w:t>
      </w:r>
      <w:r w:rsidRPr="003D6C5F" w:rsidR="004278BA">
        <w:rPr>
          <w:rFonts w:ascii="Century Schoolbook" w:hAnsi="Century Schoolbook" w:cstheme="majorHAnsi"/>
          <w:sz w:val="26"/>
          <w:szCs w:val="26"/>
        </w:rPr>
        <w:t> </w:t>
      </w:r>
      <w:r w:rsidRPr="003D6C5F" w:rsidR="0046358F">
        <w:rPr>
          <w:rFonts w:ascii="Century Schoolbook" w:hAnsi="Century Schoolbook" w:cstheme="majorHAnsi"/>
          <w:sz w:val="26"/>
          <w:szCs w:val="26"/>
        </w:rPr>
        <w:t xml:space="preserve">contrast, </w:t>
      </w:r>
      <w:r w:rsidRPr="003D6C5F" w:rsidR="00BC57F6">
        <w:rPr>
          <w:rFonts w:ascii="Century Schoolbook" w:hAnsi="Century Schoolbook" w:cstheme="majorHAnsi"/>
          <w:sz w:val="26"/>
          <w:szCs w:val="26"/>
        </w:rPr>
        <w:t>Ayala</w:t>
      </w:r>
      <w:r w:rsidRPr="003D6C5F" w:rsidR="00780B63">
        <w:rPr>
          <w:rFonts w:ascii="Century Schoolbook" w:hAnsi="Century Schoolbook" w:cstheme="majorHAnsi"/>
          <w:sz w:val="26"/>
          <w:szCs w:val="26"/>
        </w:rPr>
        <w:t xml:space="preserve"> claimed Breanna was inside the R.V. when Ramirez and Samuel began to fight</w:t>
      </w:r>
      <w:r w:rsidRPr="003D6C5F" w:rsidR="006E5F02">
        <w:rPr>
          <w:rFonts w:ascii="Century Schoolbook" w:hAnsi="Century Schoolbook" w:cstheme="majorHAnsi"/>
          <w:sz w:val="26"/>
          <w:szCs w:val="26"/>
        </w:rPr>
        <w:t xml:space="preserve">. </w:t>
      </w:r>
      <w:r w:rsidRPr="003D6C5F" w:rsidR="00780B63">
        <w:rPr>
          <w:rFonts w:ascii="Century Schoolbook" w:hAnsi="Century Schoolbook" w:cstheme="majorHAnsi"/>
          <w:sz w:val="26"/>
          <w:szCs w:val="26"/>
        </w:rPr>
        <w:t xml:space="preserve"> </w:t>
      </w:r>
      <w:r w:rsidRPr="003D6C5F" w:rsidR="006E5F02">
        <w:rPr>
          <w:rFonts w:ascii="Century Schoolbook" w:hAnsi="Century Schoolbook" w:cstheme="majorHAnsi"/>
          <w:sz w:val="26"/>
          <w:szCs w:val="26"/>
        </w:rPr>
        <w:t>A</w:t>
      </w:r>
      <w:r w:rsidRPr="003D6C5F" w:rsidR="00780B63">
        <w:rPr>
          <w:rFonts w:ascii="Century Schoolbook" w:hAnsi="Century Schoolbook" w:cstheme="majorHAnsi"/>
          <w:sz w:val="26"/>
          <w:szCs w:val="26"/>
        </w:rPr>
        <w:t xml:space="preserve">lthough Breanna did not come outside with her, </w:t>
      </w:r>
      <w:r w:rsidRPr="003D6C5F" w:rsidR="006E5F02">
        <w:rPr>
          <w:rFonts w:ascii="Century Schoolbook" w:hAnsi="Century Schoolbook" w:cstheme="majorHAnsi"/>
          <w:sz w:val="26"/>
          <w:szCs w:val="26"/>
        </w:rPr>
        <w:t>Ayala</w:t>
      </w:r>
      <w:r w:rsidRPr="003D6C5F" w:rsidR="00780B63">
        <w:rPr>
          <w:rFonts w:ascii="Century Schoolbook" w:hAnsi="Century Schoolbook" w:cstheme="majorHAnsi"/>
          <w:sz w:val="26"/>
          <w:szCs w:val="26"/>
        </w:rPr>
        <w:t xml:space="preserve"> assumed Breanna went to the back of the R.V. </w:t>
      </w:r>
      <w:r w:rsidRPr="003D6C5F" w:rsidR="0046358F">
        <w:rPr>
          <w:rFonts w:ascii="Century Schoolbook" w:hAnsi="Century Schoolbook" w:cstheme="majorHAnsi"/>
          <w:sz w:val="26"/>
          <w:szCs w:val="26"/>
        </w:rPr>
        <w:t xml:space="preserve"> Angel told police that Breanna was </w:t>
      </w:r>
      <w:r w:rsidRPr="003D6C5F" w:rsidR="003B74A5">
        <w:rPr>
          <w:rFonts w:ascii="Century Schoolbook" w:hAnsi="Century Schoolbook" w:cstheme="majorHAnsi"/>
          <w:sz w:val="26"/>
          <w:szCs w:val="26"/>
        </w:rPr>
        <w:t xml:space="preserve">sitting on a bed </w:t>
      </w:r>
      <w:r w:rsidRPr="003D6C5F" w:rsidR="0046358F">
        <w:rPr>
          <w:rFonts w:ascii="Century Schoolbook" w:hAnsi="Century Schoolbook" w:cstheme="majorHAnsi"/>
          <w:sz w:val="26"/>
          <w:szCs w:val="26"/>
        </w:rPr>
        <w:t>in the bedroom of the R.V.</w:t>
      </w:r>
      <w:r w:rsidRPr="003D6C5F" w:rsidR="003B74A5">
        <w:rPr>
          <w:rFonts w:ascii="Century Schoolbook" w:hAnsi="Century Schoolbook" w:cstheme="majorHAnsi"/>
          <w:sz w:val="26"/>
          <w:szCs w:val="26"/>
        </w:rPr>
        <w:t xml:space="preserve"> </w:t>
      </w:r>
      <w:r w:rsidRPr="003D6C5F" w:rsidR="001D1DFD">
        <w:rPr>
          <w:rFonts w:ascii="Century Schoolbook" w:hAnsi="Century Schoolbook" w:cstheme="majorHAnsi"/>
          <w:sz w:val="26"/>
          <w:szCs w:val="26"/>
        </w:rPr>
        <w:t xml:space="preserve">when he observed </w:t>
      </w:r>
      <w:r w:rsidRPr="003D6C5F" w:rsidR="00BC57F6">
        <w:rPr>
          <w:rFonts w:ascii="Century Schoolbook" w:hAnsi="Century Schoolbook" w:cstheme="majorHAnsi"/>
          <w:sz w:val="26"/>
          <w:szCs w:val="26"/>
        </w:rPr>
        <w:t>Ayala</w:t>
      </w:r>
      <w:r w:rsidRPr="003D6C5F" w:rsidR="001D1DFD">
        <w:rPr>
          <w:rFonts w:ascii="Century Schoolbook" w:hAnsi="Century Schoolbook" w:cstheme="majorHAnsi"/>
          <w:sz w:val="26"/>
          <w:szCs w:val="26"/>
        </w:rPr>
        <w:t xml:space="preserve"> and Ramirez hitting Samuel</w:t>
      </w:r>
      <w:r w:rsidRPr="003D6C5F" w:rsidR="0046358F">
        <w:rPr>
          <w:rFonts w:ascii="Century Schoolbook" w:hAnsi="Century Schoolbook" w:cstheme="majorHAnsi"/>
          <w:sz w:val="26"/>
          <w:szCs w:val="26"/>
        </w:rPr>
        <w:t>.</w:t>
      </w:r>
      <w:r w:rsidRPr="003D6C5F" w:rsidR="00CC4F58">
        <w:rPr>
          <w:rFonts w:ascii="Century Schoolbook" w:hAnsi="Century Schoolbook" w:cstheme="majorHAnsi"/>
          <w:sz w:val="26"/>
          <w:szCs w:val="26"/>
        </w:rPr>
        <w:t xml:space="preserve">  No witness testified that Breanna </w:t>
      </w:r>
      <w:r w:rsidRPr="003D6C5F" w:rsidR="003A4931">
        <w:rPr>
          <w:rFonts w:ascii="Century Schoolbook" w:hAnsi="Century Schoolbook" w:cstheme="majorHAnsi"/>
          <w:sz w:val="26"/>
          <w:szCs w:val="26"/>
        </w:rPr>
        <w:t xml:space="preserve">participated in </w:t>
      </w:r>
      <w:r w:rsidRPr="003D6C5F" w:rsidR="00CC4F58">
        <w:rPr>
          <w:rFonts w:ascii="Century Schoolbook" w:hAnsi="Century Schoolbook" w:cstheme="majorHAnsi"/>
          <w:sz w:val="26"/>
          <w:szCs w:val="26"/>
        </w:rPr>
        <w:t>beat</w:t>
      </w:r>
      <w:r w:rsidRPr="003D6C5F" w:rsidR="003A4931">
        <w:rPr>
          <w:rFonts w:ascii="Century Schoolbook" w:hAnsi="Century Schoolbook" w:cstheme="majorHAnsi"/>
          <w:sz w:val="26"/>
          <w:szCs w:val="26"/>
        </w:rPr>
        <w:t>ing</w:t>
      </w:r>
      <w:r w:rsidRPr="003D6C5F" w:rsidR="00CC4F58">
        <w:rPr>
          <w:rFonts w:ascii="Century Schoolbook" w:hAnsi="Century Schoolbook" w:cstheme="majorHAnsi"/>
          <w:sz w:val="26"/>
          <w:szCs w:val="26"/>
        </w:rPr>
        <w:t xml:space="preserve"> Samuel.</w:t>
      </w:r>
    </w:p>
    <w:p w:rsidR="009D435B" w:rsidRPr="003D6C5F" w:rsidP="000B1ECC" w14:paraId="736B7502" w14:textId="5985F211">
      <w:pPr>
        <w:spacing w:line="360" w:lineRule="auto"/>
        <w:rPr>
          <w:rFonts w:ascii="Century Schoolbook" w:hAnsi="Century Schoolbook" w:cstheme="majorHAnsi"/>
          <w:sz w:val="26"/>
          <w:szCs w:val="26"/>
        </w:rPr>
      </w:pPr>
      <w:r w:rsidRPr="003D6C5F">
        <w:rPr>
          <w:rFonts w:ascii="Century Schoolbook" w:hAnsi="Century Schoolbook" w:cstheme="majorHAnsi"/>
          <w:sz w:val="26"/>
          <w:szCs w:val="26"/>
        </w:rPr>
        <w:tab/>
      </w:r>
      <w:r w:rsidRPr="003D6C5F" w:rsidR="00C72452">
        <w:rPr>
          <w:rFonts w:ascii="Century Schoolbook" w:hAnsi="Century Schoolbook" w:cstheme="majorHAnsi"/>
          <w:sz w:val="26"/>
          <w:szCs w:val="26"/>
        </w:rPr>
        <w:t>Defendants</w:t>
      </w:r>
      <w:r w:rsidRPr="003D6C5F">
        <w:rPr>
          <w:rFonts w:ascii="Century Schoolbook" w:hAnsi="Century Schoolbook" w:cstheme="majorHAnsi"/>
          <w:sz w:val="26"/>
          <w:szCs w:val="26"/>
        </w:rPr>
        <w:t xml:space="preserve"> next argue Breanna was a direct aider and abettor to the murder: that is, a person who “with (1) knowledge of the unlawful purpose of the perpetrator; and (2) the intent or purpose of committing, encouraging, or facilitating the commission of the offense, (3) by act or advice aid[ed], promote[d], encourage[d] or instigate[d], the commission of the crime.”  (</w:t>
      </w:r>
      <w:r w:rsidRPr="003D6C5F">
        <w:rPr>
          <w:rFonts w:ascii="Century Schoolbook" w:hAnsi="Century Schoolbook" w:cstheme="majorHAnsi"/>
          <w:i/>
          <w:iCs/>
          <w:sz w:val="26"/>
          <w:szCs w:val="26"/>
        </w:rPr>
        <w:t>People v. Beeman</w:t>
      </w:r>
      <w:r w:rsidRPr="003D6C5F">
        <w:rPr>
          <w:rFonts w:ascii="Century Schoolbook" w:hAnsi="Century Schoolbook" w:cstheme="majorHAnsi"/>
          <w:sz w:val="26"/>
          <w:szCs w:val="26"/>
        </w:rPr>
        <w:t xml:space="preserve"> (1984) 35 Cal.3d 547, 561.) </w:t>
      </w:r>
      <w:r w:rsidRPr="003D6C5F" w:rsidR="00377297">
        <w:rPr>
          <w:rFonts w:ascii="Century Schoolbook" w:hAnsi="Century Schoolbook" w:cstheme="majorHAnsi"/>
          <w:sz w:val="26"/>
          <w:szCs w:val="26"/>
        </w:rPr>
        <w:t xml:space="preserve"> </w:t>
      </w:r>
      <w:r w:rsidRPr="003D6C5F" w:rsidR="004110B8">
        <w:rPr>
          <w:rFonts w:ascii="Century Schoolbook" w:hAnsi="Century Schoolbook" w:cstheme="majorHAnsi"/>
          <w:sz w:val="26"/>
          <w:szCs w:val="26"/>
        </w:rPr>
        <w:t xml:space="preserve">While the evidence shows Breanna’s phone was used to lure Samuel to the campsite, </w:t>
      </w:r>
      <w:r w:rsidRPr="003D6C5F" w:rsidR="00B66528">
        <w:rPr>
          <w:rFonts w:ascii="Century Schoolbook" w:hAnsi="Century Schoolbook" w:cstheme="majorHAnsi"/>
          <w:sz w:val="26"/>
          <w:szCs w:val="26"/>
        </w:rPr>
        <w:t xml:space="preserve">the evidence is disputed whether Breanna or </w:t>
      </w:r>
      <w:r w:rsidRPr="003D6C5F" w:rsidR="00BC57F6">
        <w:rPr>
          <w:rFonts w:ascii="Century Schoolbook" w:hAnsi="Century Schoolbook" w:cstheme="majorHAnsi"/>
          <w:sz w:val="26"/>
          <w:szCs w:val="26"/>
        </w:rPr>
        <w:t>Ayala</w:t>
      </w:r>
      <w:r w:rsidRPr="003D6C5F" w:rsidR="00B66528">
        <w:rPr>
          <w:rFonts w:ascii="Century Schoolbook" w:hAnsi="Century Schoolbook" w:cstheme="majorHAnsi"/>
          <w:sz w:val="26"/>
          <w:szCs w:val="26"/>
        </w:rPr>
        <w:t xml:space="preserve"> spoke to Samuel and directed him to the property.</w:t>
      </w:r>
      <w:r w:rsidRPr="003D6C5F" w:rsidR="004F7E28">
        <w:rPr>
          <w:rFonts w:ascii="Century Schoolbook" w:hAnsi="Century Schoolbook" w:cstheme="majorHAnsi"/>
          <w:sz w:val="26"/>
          <w:szCs w:val="26"/>
        </w:rPr>
        <w:t xml:space="preserve">  Thus, </w:t>
      </w:r>
      <w:r w:rsidRPr="003D6C5F" w:rsidR="006E5F02">
        <w:rPr>
          <w:rFonts w:ascii="Century Schoolbook" w:hAnsi="Century Schoolbook" w:cstheme="majorHAnsi"/>
          <w:sz w:val="26"/>
          <w:szCs w:val="26"/>
        </w:rPr>
        <w:t>it is at best unclear</w:t>
      </w:r>
      <w:r w:rsidRPr="003D6C5F" w:rsidR="004F7E28">
        <w:rPr>
          <w:rFonts w:ascii="Century Schoolbook" w:hAnsi="Century Schoolbook" w:cstheme="majorHAnsi"/>
          <w:sz w:val="26"/>
          <w:szCs w:val="26"/>
        </w:rPr>
        <w:t xml:space="preserve"> whether </w:t>
      </w:r>
      <w:r w:rsidRPr="003D6C5F" w:rsidR="004110B8">
        <w:rPr>
          <w:rFonts w:ascii="Century Schoolbook" w:hAnsi="Century Schoolbook" w:cstheme="majorHAnsi"/>
          <w:sz w:val="26"/>
          <w:szCs w:val="26"/>
        </w:rPr>
        <w:t>Breanna intended to facilitate the murder</w:t>
      </w:r>
      <w:r w:rsidRPr="003D6C5F" w:rsidR="003A4931">
        <w:rPr>
          <w:rFonts w:ascii="Century Schoolbook" w:hAnsi="Century Schoolbook" w:cstheme="majorHAnsi"/>
          <w:sz w:val="26"/>
          <w:szCs w:val="26"/>
        </w:rPr>
        <w:t>,</w:t>
      </w:r>
      <w:r w:rsidRPr="003D6C5F" w:rsidR="004110B8">
        <w:rPr>
          <w:rFonts w:ascii="Century Schoolbook" w:hAnsi="Century Schoolbook" w:cstheme="majorHAnsi"/>
          <w:sz w:val="26"/>
          <w:szCs w:val="26"/>
        </w:rPr>
        <w:t xml:space="preserve"> and </w:t>
      </w:r>
      <w:r w:rsidRPr="003D6C5F" w:rsidR="003A4931">
        <w:rPr>
          <w:rFonts w:ascii="Century Schoolbook" w:hAnsi="Century Schoolbook" w:cstheme="majorHAnsi"/>
          <w:sz w:val="26"/>
          <w:szCs w:val="26"/>
        </w:rPr>
        <w:t xml:space="preserve">whether she </w:t>
      </w:r>
      <w:r w:rsidRPr="003D6C5F" w:rsidR="006E5F02">
        <w:rPr>
          <w:rFonts w:ascii="Century Schoolbook" w:hAnsi="Century Schoolbook" w:cstheme="majorHAnsi"/>
          <w:sz w:val="26"/>
          <w:szCs w:val="26"/>
        </w:rPr>
        <w:t xml:space="preserve">actually </w:t>
      </w:r>
      <w:r w:rsidRPr="003D6C5F" w:rsidR="004110B8">
        <w:rPr>
          <w:rFonts w:ascii="Century Schoolbook" w:hAnsi="Century Schoolbook" w:cstheme="majorHAnsi"/>
          <w:sz w:val="26"/>
          <w:szCs w:val="26"/>
        </w:rPr>
        <w:t xml:space="preserve">aided, promoted, encouraged or instigated the </w:t>
      </w:r>
      <w:r w:rsidRPr="003D6C5F" w:rsidR="006E5F02">
        <w:rPr>
          <w:rFonts w:ascii="Century Schoolbook" w:hAnsi="Century Schoolbook" w:cstheme="majorHAnsi"/>
          <w:sz w:val="26"/>
          <w:szCs w:val="26"/>
        </w:rPr>
        <w:t>Samuel’s killing</w:t>
      </w:r>
      <w:r w:rsidRPr="003D6C5F" w:rsidR="004110B8">
        <w:rPr>
          <w:rFonts w:ascii="Century Schoolbook" w:hAnsi="Century Schoolbook" w:cstheme="majorHAnsi"/>
          <w:sz w:val="26"/>
          <w:szCs w:val="26"/>
        </w:rPr>
        <w:t>.</w:t>
      </w:r>
      <w:r>
        <w:rPr>
          <w:rStyle w:val="FootnoteReference"/>
          <w:rFonts w:ascii="Century Schoolbook" w:hAnsi="Century Schoolbook" w:cstheme="majorHAnsi"/>
          <w:szCs w:val="26"/>
        </w:rPr>
        <w:footnoteReference w:id="14"/>
      </w:r>
      <w:r w:rsidRPr="003D6C5F" w:rsidR="004110B8">
        <w:rPr>
          <w:rFonts w:ascii="Century Schoolbook" w:hAnsi="Century Schoolbook" w:cstheme="majorHAnsi"/>
          <w:sz w:val="26"/>
          <w:szCs w:val="26"/>
        </w:rPr>
        <w:t xml:space="preserve">  </w:t>
      </w:r>
      <w:bookmarkEnd w:id="26"/>
      <w:r w:rsidRPr="003D6C5F">
        <w:rPr>
          <w:rFonts w:ascii="Century Schoolbook" w:hAnsi="Century Schoolbook" w:cstheme="majorHAnsi"/>
          <w:sz w:val="26"/>
          <w:szCs w:val="26"/>
        </w:rPr>
        <w:t xml:space="preserve">Finally, </w:t>
      </w:r>
      <w:r w:rsidRPr="003D6C5F" w:rsidR="004110B8">
        <w:rPr>
          <w:rFonts w:ascii="Century Schoolbook" w:hAnsi="Century Schoolbook" w:cstheme="majorHAnsi"/>
          <w:sz w:val="26"/>
          <w:szCs w:val="26"/>
        </w:rPr>
        <w:t xml:space="preserve">Breanna’s alleged actions </w:t>
      </w:r>
      <w:r w:rsidRPr="003D6C5F" w:rsidR="004F7E28">
        <w:rPr>
          <w:rFonts w:ascii="Century Schoolbook" w:hAnsi="Century Schoolbook" w:cstheme="majorHAnsi"/>
          <w:sz w:val="26"/>
          <w:szCs w:val="26"/>
        </w:rPr>
        <w:t xml:space="preserve">and statements </w:t>
      </w:r>
      <w:r w:rsidRPr="003D6C5F" w:rsidR="004110B8">
        <w:rPr>
          <w:rFonts w:ascii="Century Schoolbook" w:hAnsi="Century Schoolbook" w:cstheme="majorHAnsi"/>
          <w:sz w:val="26"/>
          <w:szCs w:val="26"/>
        </w:rPr>
        <w:t>after the murder</w:t>
      </w:r>
      <w:r w:rsidRPr="003D6C5F" w:rsidR="00707C24">
        <w:rPr>
          <w:rFonts w:ascii="Century Schoolbook" w:hAnsi="Century Schoolbook" w:cstheme="majorHAnsi"/>
          <w:sz w:val="26"/>
          <w:szCs w:val="26"/>
        </w:rPr>
        <w:t>,</w:t>
      </w:r>
      <w:r w:rsidRPr="003D6C5F" w:rsidR="004110B8">
        <w:rPr>
          <w:rFonts w:ascii="Century Schoolbook" w:hAnsi="Century Schoolbook" w:cstheme="majorHAnsi"/>
          <w:sz w:val="26"/>
          <w:szCs w:val="26"/>
        </w:rPr>
        <w:t xml:space="preserve"> such as helping clean up the murder scene</w:t>
      </w:r>
      <w:r w:rsidRPr="003D6C5F" w:rsidR="004F7E28">
        <w:rPr>
          <w:rFonts w:ascii="Century Schoolbook" w:hAnsi="Century Schoolbook" w:cstheme="majorHAnsi"/>
          <w:sz w:val="26"/>
          <w:szCs w:val="26"/>
        </w:rPr>
        <w:t>, laughing while saying “this is kinda fun” while cutting bloody upholstery out of the R.V.,</w:t>
      </w:r>
      <w:r w:rsidRPr="003D6C5F" w:rsidR="004110B8">
        <w:rPr>
          <w:rFonts w:ascii="Century Schoolbook" w:hAnsi="Century Schoolbook" w:cstheme="majorHAnsi"/>
          <w:sz w:val="26"/>
          <w:szCs w:val="26"/>
        </w:rPr>
        <w:t xml:space="preserve"> or lying to police</w:t>
      </w:r>
      <w:r w:rsidRPr="003D6C5F" w:rsidR="00707C24">
        <w:rPr>
          <w:rFonts w:ascii="Century Schoolbook" w:hAnsi="Century Schoolbook" w:cstheme="majorHAnsi"/>
          <w:sz w:val="26"/>
          <w:szCs w:val="26"/>
        </w:rPr>
        <w:t>,</w:t>
      </w:r>
      <w:r w:rsidRPr="003D6C5F" w:rsidR="004110B8">
        <w:rPr>
          <w:rFonts w:ascii="Century Schoolbook" w:hAnsi="Century Schoolbook" w:cstheme="majorHAnsi"/>
          <w:sz w:val="26"/>
          <w:szCs w:val="26"/>
        </w:rPr>
        <w:t xml:space="preserve"> </w:t>
      </w:r>
      <w:r w:rsidRPr="003D6C5F" w:rsidR="0077622B">
        <w:rPr>
          <w:rFonts w:ascii="Century Schoolbook" w:hAnsi="Century Schoolbook" w:cstheme="majorHAnsi"/>
          <w:sz w:val="26"/>
          <w:szCs w:val="26"/>
        </w:rPr>
        <w:t xml:space="preserve">do not </w:t>
      </w:r>
      <w:r w:rsidRPr="003D6C5F" w:rsidR="003A4931">
        <w:rPr>
          <w:rFonts w:ascii="Century Schoolbook" w:hAnsi="Century Schoolbook" w:cstheme="majorHAnsi"/>
          <w:sz w:val="26"/>
          <w:szCs w:val="26"/>
        </w:rPr>
        <w:t xml:space="preserve">necessarily </w:t>
      </w:r>
      <w:r w:rsidRPr="003D6C5F" w:rsidR="0077622B">
        <w:rPr>
          <w:rFonts w:ascii="Century Schoolbook" w:hAnsi="Century Schoolbook" w:cstheme="majorHAnsi"/>
          <w:sz w:val="26"/>
          <w:szCs w:val="26"/>
        </w:rPr>
        <w:t>show she acted as an accomplice to murder.</w:t>
      </w:r>
      <w:r w:rsidRPr="003D6C5F" w:rsidR="00660959">
        <w:rPr>
          <w:rFonts w:ascii="Century Schoolbook" w:hAnsi="Century Schoolbook" w:cstheme="majorHAnsi"/>
          <w:sz w:val="26"/>
          <w:szCs w:val="26"/>
        </w:rPr>
        <w:t xml:space="preserve">  </w:t>
      </w:r>
      <w:r w:rsidRPr="003D6C5F">
        <w:rPr>
          <w:rFonts w:ascii="Century Schoolbook" w:hAnsi="Century Schoolbook" w:cstheme="majorHAnsi"/>
          <w:sz w:val="26"/>
          <w:szCs w:val="26"/>
        </w:rPr>
        <w:t>(</w:t>
      </w:r>
      <w:r w:rsidRPr="003D6C5F">
        <w:rPr>
          <w:rFonts w:ascii="Century Schoolbook" w:hAnsi="Century Schoolbook" w:cstheme="majorHAnsi"/>
          <w:i/>
          <w:iCs/>
          <w:sz w:val="26"/>
          <w:szCs w:val="26"/>
        </w:rPr>
        <w:t>Horton, supra</w:t>
      </w:r>
      <w:r w:rsidRPr="003D6C5F">
        <w:rPr>
          <w:rFonts w:ascii="Century Schoolbook" w:hAnsi="Century Schoolbook" w:cstheme="majorHAnsi"/>
          <w:sz w:val="26"/>
          <w:szCs w:val="26"/>
        </w:rPr>
        <w:t>, 11 Cal.4th at p. 1114</w:t>
      </w:r>
      <w:r w:rsidRPr="003D6C5F" w:rsidR="00660959">
        <w:rPr>
          <w:rFonts w:ascii="Century Schoolbook" w:hAnsi="Century Schoolbook" w:cstheme="majorHAnsi"/>
          <w:sz w:val="26"/>
          <w:szCs w:val="26"/>
        </w:rPr>
        <w:t xml:space="preserve"> [a</w:t>
      </w:r>
      <w:r w:rsidRPr="003D6C5F" w:rsidR="005165F5">
        <w:rPr>
          <w:rFonts w:ascii="Century Schoolbook" w:hAnsi="Century Schoolbook" w:cstheme="majorHAnsi"/>
          <w:sz w:val="26"/>
          <w:szCs w:val="26"/>
        </w:rPr>
        <w:t> </w:t>
      </w:r>
      <w:r w:rsidRPr="003D6C5F" w:rsidR="00660959">
        <w:rPr>
          <w:rFonts w:ascii="Century Schoolbook" w:hAnsi="Century Schoolbook" w:cstheme="majorHAnsi"/>
          <w:sz w:val="26"/>
          <w:szCs w:val="26"/>
        </w:rPr>
        <w:t>mere accessory is not an accomplice]</w:t>
      </w:r>
      <w:r w:rsidRPr="003D6C5F">
        <w:rPr>
          <w:rFonts w:ascii="Century Schoolbook" w:hAnsi="Century Schoolbook" w:cstheme="majorHAnsi"/>
          <w:sz w:val="26"/>
          <w:szCs w:val="26"/>
        </w:rPr>
        <w:t>.)</w:t>
      </w:r>
      <w:r>
        <w:rPr>
          <w:rStyle w:val="FootnoteReference"/>
          <w:rFonts w:ascii="Century Schoolbook" w:hAnsi="Century Schoolbook" w:cstheme="majorHAnsi"/>
          <w:szCs w:val="26"/>
        </w:rPr>
        <w:footnoteReference w:id="15"/>
      </w:r>
    </w:p>
    <w:p w:rsidR="00377297" w:rsidRPr="003D6C5F" w:rsidP="000B1ECC" w14:paraId="7D8CE58D" w14:textId="5B68682E">
      <w:pPr>
        <w:spacing w:line="360" w:lineRule="auto"/>
        <w:ind w:firstLine="720"/>
        <w:rPr>
          <w:rFonts w:ascii="Century Schoolbook" w:hAnsi="Century Schoolbook" w:cstheme="majorHAnsi"/>
          <w:sz w:val="26"/>
          <w:szCs w:val="26"/>
        </w:rPr>
      </w:pPr>
      <w:bookmarkStart w:id="27" w:name="_Hlk152082865"/>
      <w:r w:rsidRPr="003D6C5F">
        <w:rPr>
          <w:rFonts w:ascii="Century Schoolbook" w:hAnsi="Century Schoolbook" w:cstheme="majorHAnsi"/>
          <w:sz w:val="26"/>
          <w:szCs w:val="26"/>
        </w:rPr>
        <w:t xml:space="preserve">In sum, no evidence clearly and indisputably showed that Breanna was an accomplice as a matter of law.  </w:t>
      </w:r>
      <w:bookmarkEnd w:id="27"/>
      <w:r w:rsidRPr="003D6C5F">
        <w:rPr>
          <w:rFonts w:ascii="Century Schoolbook" w:hAnsi="Century Schoolbook" w:cstheme="majorHAnsi"/>
          <w:sz w:val="26"/>
          <w:szCs w:val="26"/>
        </w:rPr>
        <w:t>Accordingly, the court properly refused to instruct that Breanna was an accomplice as a matter of law and correctly allowed the jury to decide whether Breanna had the intent necessary to establish accomplice status.</w:t>
      </w:r>
      <w:r w:rsidRPr="003D6C5F" w:rsidR="00660959">
        <w:rPr>
          <w:rFonts w:ascii="Century Schoolbook" w:hAnsi="Century Schoolbook" w:cstheme="majorHAnsi"/>
          <w:sz w:val="26"/>
          <w:szCs w:val="26"/>
        </w:rPr>
        <w:t xml:space="preserve"> </w:t>
      </w:r>
      <w:r w:rsidRPr="003D6C5F" w:rsidR="00303A2F">
        <w:rPr>
          <w:rFonts w:ascii="Century Schoolbook" w:hAnsi="Century Schoolbook" w:cstheme="majorHAnsi"/>
          <w:sz w:val="26"/>
          <w:szCs w:val="26"/>
        </w:rPr>
        <w:t xml:space="preserve"> Should the prosecution retry this matter and Breanna testif</w:t>
      </w:r>
      <w:r w:rsidRPr="003D6C5F" w:rsidR="00F94140">
        <w:rPr>
          <w:rFonts w:ascii="Century Schoolbook" w:hAnsi="Century Schoolbook" w:cstheme="majorHAnsi"/>
          <w:sz w:val="26"/>
          <w:szCs w:val="26"/>
        </w:rPr>
        <w:t>ies</w:t>
      </w:r>
      <w:r w:rsidRPr="003D6C5F" w:rsidR="00303A2F">
        <w:rPr>
          <w:rFonts w:ascii="Century Schoolbook" w:hAnsi="Century Schoolbook" w:cstheme="majorHAnsi"/>
          <w:sz w:val="26"/>
          <w:szCs w:val="26"/>
        </w:rPr>
        <w:t>, the court should instruct with CALCRIM No. 334</w:t>
      </w:r>
      <w:r w:rsidRPr="003D6C5F" w:rsidR="001146B1">
        <w:rPr>
          <w:rFonts w:ascii="Century Schoolbook" w:hAnsi="Century Schoolbook" w:cstheme="majorHAnsi"/>
          <w:sz w:val="26"/>
          <w:szCs w:val="26"/>
        </w:rPr>
        <w:t>.</w:t>
      </w:r>
    </w:p>
    <w:bookmarkEnd w:id="9"/>
    <w:p w:rsidR="006963C4" w:rsidRPr="003D6C5F" w:rsidP="00765501" w14:paraId="031899C2" w14:textId="77777777">
      <w:pPr>
        <w:pStyle w:val="Heading1"/>
        <w:keepLines/>
        <w:spacing w:before="120" w:after="240"/>
        <w:rPr>
          <w:rFonts w:ascii="Century Schoolbook" w:hAnsi="Century Schoolbook"/>
          <w:b/>
          <w:bCs/>
          <w:sz w:val="26"/>
          <w:szCs w:val="26"/>
        </w:rPr>
      </w:pPr>
      <w:r w:rsidRPr="003D6C5F">
        <w:rPr>
          <w:rFonts w:ascii="Century Schoolbook" w:hAnsi="Century Schoolbook"/>
          <w:b/>
          <w:bCs/>
          <w:sz w:val="26"/>
          <w:szCs w:val="26"/>
        </w:rPr>
        <w:t>DISPOSITION</w:t>
      </w:r>
    </w:p>
    <w:p w:rsidR="00535EBC" w:rsidRPr="003D6C5F" w:rsidP="00765501" w14:paraId="0216CCF1" w14:textId="7FFCD402">
      <w:pPr>
        <w:keepNext/>
        <w:keepLines/>
        <w:spacing w:line="360" w:lineRule="auto"/>
        <w:ind w:right="-360"/>
        <w:rPr>
          <w:rFonts w:ascii="Century Schoolbook" w:hAnsi="Century Schoolbook" w:cstheme="majorHAnsi"/>
          <w:sz w:val="26"/>
          <w:szCs w:val="26"/>
        </w:rPr>
      </w:pPr>
      <w:r w:rsidRPr="003D6C5F">
        <w:rPr>
          <w:rFonts w:ascii="Century Schoolbook" w:hAnsi="Century Schoolbook" w:cstheme="majorHAnsi"/>
          <w:sz w:val="26"/>
          <w:szCs w:val="26"/>
        </w:rPr>
        <w:tab/>
        <w:t xml:space="preserve">The judgments are </w:t>
      </w:r>
      <w:r w:rsidRPr="003D6C5F" w:rsidR="009E4EDD">
        <w:rPr>
          <w:rFonts w:ascii="Century Schoolbook" w:hAnsi="Century Schoolbook" w:cstheme="majorHAnsi"/>
          <w:sz w:val="26"/>
          <w:szCs w:val="26"/>
        </w:rPr>
        <w:t>reversed and the matter is remanded to the trial court</w:t>
      </w:r>
      <w:r w:rsidRPr="003D6C5F">
        <w:rPr>
          <w:rFonts w:ascii="Century Schoolbook" w:hAnsi="Century Schoolbook" w:cstheme="majorHAnsi"/>
          <w:sz w:val="26"/>
          <w:szCs w:val="26"/>
        </w:rPr>
        <w:t>.</w:t>
      </w:r>
    </w:p>
    <w:p w:rsidR="003E2ABB" w:rsidP="00765501" w14:paraId="5DC393AF" w14:textId="77777777">
      <w:pPr>
        <w:keepNext/>
        <w:keepLines/>
        <w:ind w:right="-360"/>
        <w:rPr>
          <w:rFonts w:ascii="Century Schoolbook" w:hAnsi="Century Schoolbook" w:cstheme="majorHAnsi"/>
          <w:sz w:val="26"/>
          <w:szCs w:val="26"/>
        </w:rPr>
      </w:pPr>
    </w:p>
    <w:p w:rsidR="005063BE" w:rsidRPr="003D6C5F" w:rsidP="00765501" w14:paraId="7E616AF0" w14:textId="77777777">
      <w:pPr>
        <w:keepNext/>
        <w:keepLines/>
        <w:ind w:right="-360"/>
        <w:rPr>
          <w:rFonts w:ascii="Century Schoolbook" w:hAnsi="Century Schoolbook" w:cstheme="majorHAnsi"/>
          <w:sz w:val="26"/>
          <w:szCs w:val="26"/>
        </w:rPr>
      </w:pPr>
    </w:p>
    <w:p w:rsidR="001A2EC2" w:rsidRPr="003D6C5F" w:rsidP="00765501" w14:paraId="16502400" w14:textId="77777777">
      <w:pPr>
        <w:keepNext/>
        <w:keepLines/>
        <w:ind w:right="-360"/>
        <w:rPr>
          <w:rFonts w:ascii="Century Schoolbook" w:hAnsi="Century Schoolbook" w:cstheme="majorHAnsi"/>
          <w:sz w:val="26"/>
          <w:szCs w:val="26"/>
        </w:rPr>
      </w:pPr>
    </w:p>
    <w:p w:rsidR="003E2ABB" w:rsidRPr="003D6C5F" w:rsidP="00765501" w14:paraId="54D5D353" w14:textId="2A18FC88">
      <w:pPr>
        <w:keepNext/>
        <w:keepLines/>
        <w:ind w:right="-360"/>
        <w:jc w:val="right"/>
        <w:rPr>
          <w:rFonts w:ascii="Century Schoolbook" w:hAnsi="Century Schoolbook" w:cstheme="majorHAnsi"/>
          <w:sz w:val="26"/>
          <w:szCs w:val="26"/>
        </w:rPr>
      </w:pPr>
      <w:r w:rsidRPr="003D6C5F">
        <w:rPr>
          <w:rFonts w:ascii="Century Schoolbook" w:hAnsi="Century Schoolbook" w:cstheme="majorHAnsi"/>
          <w:sz w:val="26"/>
          <w:szCs w:val="26"/>
        </w:rPr>
        <w:t>DATO, J.</w:t>
      </w:r>
    </w:p>
    <w:p w:rsidR="003E2ABB" w:rsidRPr="003D6C5F" w:rsidP="00765501" w14:paraId="6732FD77" w14:textId="77777777">
      <w:pPr>
        <w:keepNext/>
        <w:keepLines/>
        <w:tabs>
          <w:tab w:val="right" w:pos="3600"/>
        </w:tabs>
        <w:ind w:right="-360"/>
        <w:rPr>
          <w:rFonts w:ascii="Century Schoolbook" w:hAnsi="Century Schoolbook" w:cstheme="majorHAnsi"/>
          <w:sz w:val="26"/>
          <w:szCs w:val="26"/>
        </w:rPr>
      </w:pPr>
    </w:p>
    <w:p w:rsidR="003E2ABB" w:rsidRPr="003D6C5F" w:rsidP="00765501" w14:paraId="7328CEE3" w14:textId="7F95D7BE">
      <w:pPr>
        <w:keepNext/>
        <w:keepLines/>
        <w:tabs>
          <w:tab w:val="right" w:pos="3600"/>
        </w:tabs>
        <w:ind w:right="-360"/>
        <w:rPr>
          <w:rFonts w:ascii="Century Schoolbook" w:hAnsi="Century Schoolbook" w:cstheme="majorHAnsi"/>
          <w:sz w:val="26"/>
          <w:szCs w:val="26"/>
        </w:rPr>
      </w:pPr>
      <w:r w:rsidRPr="003D6C5F">
        <w:rPr>
          <w:rFonts w:ascii="Century Schoolbook" w:hAnsi="Century Schoolbook" w:cstheme="majorHAnsi"/>
          <w:sz w:val="26"/>
          <w:szCs w:val="26"/>
        </w:rPr>
        <w:t>WE CONCUR:</w:t>
      </w:r>
    </w:p>
    <w:p w:rsidR="003E2ABB" w:rsidP="00765501" w14:paraId="54C85A79" w14:textId="77777777">
      <w:pPr>
        <w:keepNext/>
        <w:keepLines/>
        <w:tabs>
          <w:tab w:val="right" w:pos="3600"/>
        </w:tabs>
        <w:ind w:right="-360"/>
        <w:rPr>
          <w:rFonts w:ascii="Century Schoolbook" w:hAnsi="Century Schoolbook" w:cstheme="majorHAnsi"/>
          <w:sz w:val="26"/>
          <w:szCs w:val="26"/>
        </w:rPr>
      </w:pPr>
    </w:p>
    <w:p w:rsidR="005063BE" w:rsidRPr="003D6C5F" w:rsidP="00765501" w14:paraId="79A1A1DA" w14:textId="77777777">
      <w:pPr>
        <w:keepNext/>
        <w:keepLines/>
        <w:tabs>
          <w:tab w:val="right" w:pos="3600"/>
        </w:tabs>
        <w:ind w:right="-360"/>
        <w:rPr>
          <w:rFonts w:ascii="Century Schoolbook" w:hAnsi="Century Schoolbook" w:cstheme="majorHAnsi"/>
          <w:sz w:val="26"/>
          <w:szCs w:val="26"/>
        </w:rPr>
      </w:pPr>
    </w:p>
    <w:p w:rsidR="003E2ABB" w:rsidRPr="003D6C5F" w:rsidP="00765501" w14:paraId="086EE44B" w14:textId="77777777">
      <w:pPr>
        <w:keepNext/>
        <w:keepLines/>
        <w:tabs>
          <w:tab w:val="right" w:pos="3600"/>
        </w:tabs>
        <w:ind w:right="-360"/>
        <w:rPr>
          <w:rFonts w:ascii="Century Schoolbook" w:hAnsi="Century Schoolbook" w:cstheme="majorHAnsi"/>
          <w:sz w:val="26"/>
          <w:szCs w:val="26"/>
        </w:rPr>
      </w:pPr>
    </w:p>
    <w:p w:rsidR="003E2ABB" w:rsidRPr="003D6C5F" w:rsidP="00765501" w14:paraId="5CB4182B" w14:textId="43B4D747">
      <w:pPr>
        <w:keepNext/>
        <w:keepLines/>
        <w:tabs>
          <w:tab w:val="right" w:pos="3600"/>
        </w:tabs>
        <w:ind w:right="-360"/>
        <w:rPr>
          <w:rFonts w:ascii="Century Schoolbook" w:hAnsi="Century Schoolbook" w:cstheme="majorHAnsi"/>
          <w:sz w:val="26"/>
          <w:szCs w:val="26"/>
        </w:rPr>
      </w:pPr>
      <w:r w:rsidRPr="003D6C5F">
        <w:rPr>
          <w:rFonts w:ascii="Century Schoolbook" w:hAnsi="Century Schoolbook" w:cstheme="majorHAnsi"/>
          <w:sz w:val="26"/>
          <w:szCs w:val="26"/>
        </w:rPr>
        <w:t>O’ROURKE, Acting P. J.</w:t>
      </w:r>
    </w:p>
    <w:p w:rsidR="003E2ABB" w:rsidP="00765501" w14:paraId="6716F58C" w14:textId="77777777">
      <w:pPr>
        <w:keepNext/>
        <w:keepLines/>
        <w:tabs>
          <w:tab w:val="right" w:pos="3600"/>
        </w:tabs>
        <w:ind w:right="-360"/>
        <w:rPr>
          <w:rFonts w:ascii="Century Schoolbook" w:hAnsi="Century Schoolbook" w:cstheme="majorHAnsi"/>
          <w:sz w:val="26"/>
          <w:szCs w:val="26"/>
        </w:rPr>
      </w:pPr>
    </w:p>
    <w:p w:rsidR="005063BE" w:rsidRPr="003D6C5F" w:rsidP="00765501" w14:paraId="33587422" w14:textId="77777777">
      <w:pPr>
        <w:keepNext/>
        <w:keepLines/>
        <w:tabs>
          <w:tab w:val="right" w:pos="3600"/>
        </w:tabs>
        <w:ind w:right="-360"/>
        <w:rPr>
          <w:rFonts w:ascii="Century Schoolbook" w:hAnsi="Century Schoolbook" w:cstheme="majorHAnsi"/>
          <w:sz w:val="26"/>
          <w:szCs w:val="26"/>
        </w:rPr>
      </w:pPr>
    </w:p>
    <w:p w:rsidR="003E2ABB" w:rsidRPr="003D6C5F" w:rsidP="00765501" w14:paraId="3079C485" w14:textId="77777777">
      <w:pPr>
        <w:keepNext/>
        <w:keepLines/>
        <w:tabs>
          <w:tab w:val="right" w:pos="3600"/>
        </w:tabs>
        <w:ind w:right="-360"/>
        <w:rPr>
          <w:rFonts w:ascii="Century Schoolbook" w:hAnsi="Century Schoolbook" w:cstheme="majorHAnsi"/>
          <w:sz w:val="26"/>
          <w:szCs w:val="26"/>
        </w:rPr>
      </w:pPr>
    </w:p>
    <w:p w:rsidR="003E2ABB" w:rsidRPr="003D6C5F" w:rsidP="00765501" w14:paraId="42B1DE88" w14:textId="0BB3A706">
      <w:pPr>
        <w:keepNext/>
        <w:keepLines/>
        <w:tabs>
          <w:tab w:val="right" w:pos="3600"/>
        </w:tabs>
        <w:ind w:right="-360"/>
        <w:rPr>
          <w:rFonts w:ascii="Century Schoolbook" w:hAnsi="Century Schoolbook" w:cstheme="majorHAnsi"/>
          <w:sz w:val="26"/>
          <w:szCs w:val="26"/>
        </w:rPr>
      </w:pPr>
      <w:r w:rsidRPr="003D6C5F">
        <w:rPr>
          <w:rFonts w:ascii="Century Schoolbook" w:hAnsi="Century Schoolbook" w:cstheme="majorHAnsi"/>
          <w:sz w:val="26"/>
          <w:szCs w:val="26"/>
        </w:rPr>
        <w:t>KELETY, J.</w:t>
      </w:r>
      <w:r w:rsidRPr="003D6C5F" w:rsidR="00170235">
        <w:rPr>
          <w:rFonts w:ascii="Century Schoolbook" w:hAnsi="Century Schoolbook" w:cstheme="majorHAnsi"/>
          <w:sz w:val="26"/>
          <w:szCs w:val="26"/>
        </w:rPr>
        <w:t xml:space="preserve"> </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AC2" w14:paraId="2E66D8E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C7AC2" w14:paraId="3A9C37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AC2" w:rsidRPr="00333DCB" w14:paraId="4D976437" w14:textId="77777777">
    <w:pPr>
      <w:pStyle w:val="Footer"/>
      <w:framePr w:wrap="around" w:vAnchor="text" w:hAnchor="margin" w:xAlign="center" w:y="1"/>
      <w:rPr>
        <w:rStyle w:val="PageNumber"/>
        <w:rFonts w:ascii="Century Schoolbook" w:hAnsi="Century Schoolbook"/>
        <w:sz w:val="26"/>
        <w:szCs w:val="26"/>
      </w:rPr>
    </w:pPr>
    <w:r w:rsidRPr="00333DCB">
      <w:rPr>
        <w:rStyle w:val="PageNumber"/>
        <w:rFonts w:ascii="Century Schoolbook" w:hAnsi="Century Schoolbook"/>
        <w:sz w:val="26"/>
        <w:szCs w:val="26"/>
      </w:rPr>
      <w:fldChar w:fldCharType="begin"/>
    </w:r>
    <w:r w:rsidRPr="00333DCB">
      <w:rPr>
        <w:rStyle w:val="PageNumber"/>
        <w:rFonts w:ascii="Century Schoolbook" w:hAnsi="Century Schoolbook"/>
        <w:sz w:val="26"/>
        <w:szCs w:val="26"/>
      </w:rPr>
      <w:instrText xml:space="preserve">PAGE  </w:instrText>
    </w:r>
    <w:r w:rsidRPr="00333DCB">
      <w:rPr>
        <w:rStyle w:val="PageNumber"/>
        <w:rFonts w:ascii="Century Schoolbook" w:hAnsi="Century Schoolbook"/>
        <w:sz w:val="26"/>
        <w:szCs w:val="26"/>
      </w:rPr>
      <w:fldChar w:fldCharType="separate"/>
    </w:r>
    <w:r w:rsidRPr="00333DCB" w:rsidR="00882B71">
      <w:rPr>
        <w:rStyle w:val="PageNumber"/>
        <w:rFonts w:ascii="Century Schoolbook" w:hAnsi="Century Schoolbook"/>
        <w:noProof/>
        <w:sz w:val="26"/>
        <w:szCs w:val="26"/>
      </w:rPr>
      <w:t>25</w:t>
    </w:r>
    <w:r w:rsidRPr="00333DCB">
      <w:rPr>
        <w:rStyle w:val="PageNumber"/>
        <w:rFonts w:ascii="Century Schoolbook" w:hAnsi="Century Schoolbook"/>
        <w:sz w:val="26"/>
        <w:szCs w:val="26"/>
      </w:rPr>
      <w:fldChar w:fldCharType="end"/>
    </w:r>
  </w:p>
  <w:p w:rsidR="007C7AC2" w:rsidRPr="00333DCB" w14:paraId="43EC6B38" w14:textId="77777777">
    <w:pPr>
      <w:pStyle w:val="Footer"/>
      <w:rPr>
        <w:rFonts w:ascii="Century Schoolbook" w:hAnsi="Century Schoolbook"/>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451" w14:paraId="6D09CB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210A" w14:paraId="3A75F340" w14:textId="77777777">
      <w:r>
        <w:separator/>
      </w:r>
    </w:p>
  </w:footnote>
  <w:footnote w:type="continuationSeparator" w:id="1">
    <w:p w:rsidR="004E210A" w14:paraId="0CD554FE" w14:textId="77777777">
      <w:r>
        <w:continuationSeparator/>
      </w:r>
    </w:p>
  </w:footnote>
  <w:footnote w:id="2">
    <w:p w:rsidR="00614E99" w14:paraId="57F62816" w14:textId="1C36DB6F">
      <w:pPr>
        <w:pStyle w:val="FootnoteText"/>
        <w:rPr>
          <w:rFonts w:ascii="Century Schoolbook" w:hAnsi="Century Schoolbook"/>
        </w:rPr>
      </w:pPr>
      <w:r w:rsidRPr="00614E99">
        <w:rPr>
          <w:rStyle w:val="FootnoteReference"/>
          <w:rFonts w:ascii="Century Schoolbook" w:hAnsi="Century Schoolbook"/>
        </w:rPr>
        <w:t>*</w:t>
      </w:r>
      <w:r w:rsidRPr="00614E99">
        <w:rPr>
          <w:rFonts w:ascii="Century Schoolbook" w:hAnsi="Century Schoolbook"/>
        </w:rPr>
        <w:t xml:space="preserve"> </w:t>
      </w:r>
      <w:r w:rsidRPr="00614E99">
        <w:rPr>
          <w:rFonts w:ascii="Century Schoolbook" w:hAnsi="Century Schoolbook"/>
        </w:rPr>
        <w:tab/>
        <w:t>Pursuant to California Rules of Court, rule 8.1110, this opinion is certified for publication with the exception of parts B through E</w:t>
      </w:r>
      <w:r>
        <w:rPr>
          <w:rFonts w:ascii="Century Schoolbook" w:hAnsi="Century Schoolbook"/>
        </w:rPr>
        <w:t xml:space="preserve"> of the Discussion</w:t>
      </w:r>
      <w:r w:rsidRPr="00614E99">
        <w:rPr>
          <w:rFonts w:ascii="Century Schoolbook" w:hAnsi="Century Schoolbook"/>
        </w:rPr>
        <w:t>.</w:t>
      </w:r>
    </w:p>
    <w:p w:rsidR="00141D83" w:rsidRPr="00614E99" w14:paraId="73F3179D" w14:textId="583106E2">
      <w:pPr>
        <w:pStyle w:val="FootnoteText"/>
        <w:rPr>
          <w:rFonts w:ascii="Century Schoolbook" w:hAnsi="Century Schoolbook"/>
        </w:rPr>
      </w:pPr>
      <w:r>
        <w:rPr>
          <w:rFonts w:ascii="Century Schoolbook" w:hAnsi="Century Schoolbook"/>
        </w:rPr>
        <w:t>**</w:t>
      </w:r>
      <w:r w:rsidRPr="00141D83">
        <w:t xml:space="preserve"> </w:t>
      </w:r>
      <w:r w:rsidRPr="00141D83">
        <w:rPr>
          <w:rFonts w:ascii="Century Schoolbook" w:hAnsi="Century Schoolbook"/>
        </w:rPr>
        <w:t xml:space="preserve">Retired Judge of the </w:t>
      </w:r>
      <w:r>
        <w:rPr>
          <w:rFonts w:ascii="Century Schoolbook" w:hAnsi="Century Schoolbook"/>
        </w:rPr>
        <w:t xml:space="preserve">Imperial </w:t>
      </w:r>
      <w:r w:rsidRPr="00141D83">
        <w:rPr>
          <w:rFonts w:ascii="Century Schoolbook" w:hAnsi="Century Schoolbook"/>
        </w:rPr>
        <w:t>Superior Court, assigned by the Chief Justice pursuant to article VI, section 6 of the California Constitution.</w:t>
      </w:r>
    </w:p>
  </w:footnote>
  <w:footnote w:id="3">
    <w:p w:rsidR="00BC57F6" w:rsidRPr="003D6C5F" w14:paraId="6B28BCA9" w14:textId="144AC4EB">
      <w:pPr>
        <w:pStyle w:val="FootnoteText"/>
        <w:rPr>
          <w:rFonts w:ascii="Century Schoolbook" w:hAnsi="Century Schoolbook"/>
          <w:szCs w:val="26"/>
        </w:rPr>
      </w:pPr>
      <w:r w:rsidRPr="003D6C5F">
        <w:rPr>
          <w:rStyle w:val="FootnoteReference"/>
          <w:rFonts w:ascii="Century Schoolbook" w:hAnsi="Century Schoolbook"/>
          <w:szCs w:val="26"/>
        </w:rPr>
        <w:footnoteRef/>
      </w:r>
      <w:r w:rsidRPr="003D6C5F">
        <w:rPr>
          <w:rFonts w:ascii="Century Schoolbook" w:hAnsi="Century Schoolbook"/>
          <w:szCs w:val="26"/>
        </w:rPr>
        <w:t xml:space="preserve"> </w:t>
      </w:r>
      <w:r w:rsidRPr="003D6C5F">
        <w:rPr>
          <w:rFonts w:ascii="Century Schoolbook" w:hAnsi="Century Schoolbook"/>
          <w:szCs w:val="26"/>
        </w:rPr>
        <w:tab/>
      </w:r>
      <w:r w:rsidRPr="003D6C5F" w:rsidR="001E40CB">
        <w:rPr>
          <w:rFonts w:ascii="Century Schoolbook" w:hAnsi="Century Schoolbook"/>
          <w:szCs w:val="26"/>
        </w:rPr>
        <w:t>Although the trial minute orders, the abstract of judgment and the notice of appeal identify defendant as “Gabriela T. Rangelayala,” we determine by the reporter’s transcript that her name is “Gabriela Rangel Ayala” and refer to her as “Ayala” throughout the opinion.</w:t>
      </w:r>
    </w:p>
    <w:p w:rsidR="00BC57F6" w:rsidRPr="003D6C5F" w:rsidP="00BC57F6" w14:paraId="630AB44A" w14:textId="77777777">
      <w:pPr>
        <w:pStyle w:val="FootnoteText"/>
        <w:spacing w:line="120" w:lineRule="auto"/>
        <w:rPr>
          <w:rFonts w:ascii="Century Schoolbook" w:hAnsi="Century Schoolbook"/>
          <w:szCs w:val="26"/>
        </w:rPr>
      </w:pPr>
    </w:p>
  </w:footnote>
  <w:footnote w:id="4">
    <w:p w:rsidR="004A2006" w:rsidRPr="003D6C5F" w14:paraId="392B47DA" w14:textId="3AB986C1">
      <w:pPr>
        <w:pStyle w:val="FootnoteText"/>
        <w:rPr>
          <w:rFonts w:ascii="Century Schoolbook" w:hAnsi="Century Schoolbook"/>
        </w:rPr>
      </w:pPr>
      <w:r w:rsidRPr="003D6C5F">
        <w:rPr>
          <w:rStyle w:val="FootnoteReference"/>
          <w:rFonts w:ascii="Century Schoolbook" w:hAnsi="Century Schoolbook"/>
        </w:rPr>
        <w:footnoteRef/>
      </w:r>
      <w:r w:rsidRPr="003D6C5F">
        <w:rPr>
          <w:rFonts w:ascii="Century Schoolbook" w:hAnsi="Century Schoolbook"/>
        </w:rPr>
        <w:t xml:space="preserve"> </w:t>
      </w:r>
      <w:r w:rsidRPr="003D6C5F">
        <w:rPr>
          <w:rFonts w:ascii="Century Schoolbook" w:hAnsi="Century Schoolbook"/>
        </w:rPr>
        <w:tab/>
        <w:t xml:space="preserve">Undesignated statutory references are to the </w:t>
      </w:r>
      <w:r w:rsidRPr="003D6C5F" w:rsidR="00D578B1">
        <w:rPr>
          <w:rFonts w:ascii="Century Schoolbook" w:hAnsi="Century Schoolbook"/>
        </w:rPr>
        <w:t xml:space="preserve">Penal </w:t>
      </w:r>
      <w:r w:rsidRPr="003D6C5F">
        <w:rPr>
          <w:rFonts w:ascii="Century Schoolbook" w:hAnsi="Century Schoolbook"/>
        </w:rPr>
        <w:t xml:space="preserve">Code. </w:t>
      </w:r>
    </w:p>
  </w:footnote>
  <w:footnote w:id="5">
    <w:p w:rsidR="00A571B0" w:rsidRPr="003D6C5F" w14:paraId="2D22CCD3" w14:textId="383621D7">
      <w:pPr>
        <w:pStyle w:val="FootnoteText"/>
        <w:rPr>
          <w:rFonts w:ascii="Century Schoolbook" w:hAnsi="Century Schoolbook"/>
        </w:rPr>
      </w:pPr>
      <w:r w:rsidRPr="003D6C5F">
        <w:rPr>
          <w:rStyle w:val="FootnoteReference"/>
          <w:rFonts w:ascii="Century Schoolbook" w:hAnsi="Century Schoolbook"/>
        </w:rPr>
        <w:footnoteRef/>
      </w:r>
      <w:r w:rsidRPr="003D6C5F">
        <w:rPr>
          <w:rFonts w:ascii="Century Schoolbook" w:hAnsi="Century Schoolbook"/>
        </w:rPr>
        <w:t xml:space="preserve"> </w:t>
      </w:r>
      <w:r w:rsidRPr="003D6C5F">
        <w:rPr>
          <w:rFonts w:ascii="Century Schoolbook" w:hAnsi="Century Schoolbook"/>
        </w:rPr>
        <w:tab/>
        <w:t>This conclusion moots defendants’ remaining arguments alleging instructional error, numerous instances of prosecutorial error, and cumulative error.</w:t>
      </w:r>
    </w:p>
    <w:p w:rsidR="00D77362" w:rsidRPr="003D6C5F" w:rsidP="006C460B" w14:paraId="0719A296" w14:textId="77777777">
      <w:pPr>
        <w:pStyle w:val="FootnoteText"/>
        <w:spacing w:line="120" w:lineRule="auto"/>
        <w:rPr>
          <w:rFonts w:ascii="Century Schoolbook" w:hAnsi="Century Schoolbook"/>
        </w:rPr>
      </w:pPr>
    </w:p>
  </w:footnote>
  <w:footnote w:id="6">
    <w:p w:rsidR="005A07D8" w:rsidRPr="003D6C5F" w:rsidP="005A07D8" w14:paraId="6AD952CD" w14:textId="02A467EC">
      <w:pPr>
        <w:pStyle w:val="FootnoteText"/>
        <w:rPr>
          <w:rFonts w:ascii="Century Schoolbook" w:hAnsi="Century Schoolbook"/>
        </w:rPr>
      </w:pPr>
      <w:r w:rsidRPr="003D6C5F">
        <w:rPr>
          <w:rStyle w:val="FootnoteReference"/>
          <w:rFonts w:ascii="Century Schoolbook" w:hAnsi="Century Schoolbook"/>
        </w:rPr>
        <w:footnoteRef/>
      </w:r>
      <w:r w:rsidRPr="003D6C5F">
        <w:rPr>
          <w:rFonts w:ascii="Century Schoolbook" w:hAnsi="Century Schoolbook"/>
        </w:rPr>
        <w:t xml:space="preserve"> </w:t>
      </w:r>
      <w:r w:rsidRPr="003D6C5F">
        <w:rPr>
          <w:rFonts w:ascii="Century Schoolbook" w:hAnsi="Century Schoolbook"/>
        </w:rPr>
        <w:tab/>
        <w:t xml:space="preserve">Victor plays no significant role in these events because police arrested him on unknown charges before the murder occurred. </w:t>
      </w:r>
    </w:p>
  </w:footnote>
  <w:footnote w:id="7">
    <w:p w:rsidR="002B2F13" w:rsidRPr="003D6C5F" w:rsidP="002B2F13" w14:paraId="2790E4B3" w14:textId="68A44723">
      <w:pPr>
        <w:pStyle w:val="FootnoteText"/>
        <w:rPr>
          <w:rFonts w:ascii="Century Schoolbook" w:hAnsi="Century Schoolbook"/>
        </w:rPr>
      </w:pPr>
      <w:r w:rsidRPr="003D6C5F">
        <w:rPr>
          <w:rStyle w:val="FootnoteReference"/>
          <w:rFonts w:ascii="Century Schoolbook" w:hAnsi="Century Schoolbook"/>
        </w:rPr>
        <w:footnoteRef/>
      </w:r>
      <w:r w:rsidRPr="003D6C5F">
        <w:rPr>
          <w:rFonts w:ascii="Century Schoolbook" w:hAnsi="Century Schoolbook"/>
        </w:rPr>
        <w:t xml:space="preserve"> </w:t>
      </w:r>
      <w:r w:rsidRPr="003D6C5F">
        <w:rPr>
          <w:rFonts w:ascii="Century Schoolbook" w:hAnsi="Century Schoolbook"/>
        </w:rPr>
        <w:tab/>
        <w:t>Breanna testified under a grant of immunity.  She was deemed unavailable at the time of trial and her preliminary hearing testimony was read to the jury.</w:t>
      </w:r>
    </w:p>
  </w:footnote>
  <w:footnote w:id="8">
    <w:p w:rsidR="004653D6" w:rsidRPr="003D6C5F" w14:paraId="77346511" w14:textId="63FC6744">
      <w:pPr>
        <w:pStyle w:val="FootnoteText"/>
        <w:rPr>
          <w:rFonts w:ascii="Century Schoolbook" w:hAnsi="Century Schoolbook"/>
        </w:rPr>
      </w:pPr>
      <w:r w:rsidRPr="003D6C5F">
        <w:rPr>
          <w:rStyle w:val="FootnoteReference"/>
          <w:rFonts w:ascii="Century Schoolbook" w:hAnsi="Century Schoolbook"/>
        </w:rPr>
        <w:footnoteRef/>
      </w:r>
      <w:r w:rsidRPr="003D6C5F">
        <w:rPr>
          <w:rFonts w:ascii="Century Schoolbook" w:hAnsi="Century Schoolbook"/>
        </w:rPr>
        <w:t xml:space="preserve"> </w:t>
      </w:r>
      <w:r w:rsidRPr="003D6C5F" w:rsidR="002F6FFD">
        <w:rPr>
          <w:rFonts w:ascii="Century Schoolbook" w:hAnsi="Century Schoolbook"/>
        </w:rPr>
        <w:tab/>
      </w:r>
      <w:r w:rsidRPr="003D6C5F" w:rsidR="00F005CD">
        <w:rPr>
          <w:rFonts w:ascii="Century Schoolbook" w:hAnsi="Century Schoolbook"/>
        </w:rPr>
        <w:t>(</w:t>
      </w:r>
      <w:r w:rsidRPr="003D6C5F">
        <w:rPr>
          <w:rFonts w:ascii="Century Schoolbook" w:hAnsi="Century Schoolbook"/>
        </w:rPr>
        <w:t>&lt;</w:t>
      </w:r>
      <w:r w:rsidRPr="003D6C5F" w:rsidR="007B4774">
        <w:rPr>
          <w:rFonts w:ascii="Century Schoolbook" w:hAnsi="Century Schoolbook"/>
        </w:rPr>
        <w:t>H</w:t>
      </w:r>
      <w:r w:rsidRPr="003D6C5F">
        <w:rPr>
          <w:rFonts w:ascii="Century Schoolbook" w:hAnsi="Century Schoolbook"/>
        </w:rPr>
        <w:t xml:space="preserve">ttps://newsroom.courts.ca.gov/covid-19-news-center/court-emergency-orders&gt; </w:t>
      </w:r>
      <w:r w:rsidRPr="003D6C5F" w:rsidR="00F005CD">
        <w:rPr>
          <w:rFonts w:ascii="Century Schoolbook" w:hAnsi="Century Schoolbook"/>
        </w:rPr>
        <w:t>[</w:t>
      </w:r>
      <w:r w:rsidRPr="003D6C5F">
        <w:rPr>
          <w:rFonts w:ascii="Century Schoolbook" w:hAnsi="Century Schoolbook"/>
        </w:rPr>
        <w:t xml:space="preserve">as of </w:t>
      </w:r>
      <w:r w:rsidR="00F606BF">
        <w:rPr>
          <w:rFonts w:ascii="Century Schoolbook" w:hAnsi="Century Schoolbook"/>
        </w:rPr>
        <w:t>March 29</w:t>
      </w:r>
      <w:r w:rsidRPr="003D6C5F">
        <w:rPr>
          <w:rFonts w:ascii="Century Schoolbook" w:hAnsi="Century Schoolbook"/>
        </w:rPr>
        <w:t>, 202</w:t>
      </w:r>
      <w:r w:rsidRPr="003D6C5F" w:rsidR="006C1E97">
        <w:rPr>
          <w:rFonts w:ascii="Century Schoolbook" w:hAnsi="Century Schoolbook"/>
        </w:rPr>
        <w:t>4</w:t>
      </w:r>
      <w:r w:rsidRPr="003D6C5F" w:rsidR="00F005CD">
        <w:rPr>
          <w:rFonts w:ascii="Century Schoolbook" w:hAnsi="Century Schoolbook"/>
        </w:rPr>
        <w:t>]</w:t>
      </w:r>
      <w:r w:rsidRPr="003D6C5F" w:rsidR="00A31D95">
        <w:rPr>
          <w:rFonts w:ascii="Century Schoolbook" w:hAnsi="Century Schoolbook"/>
        </w:rPr>
        <w:t>, archived at &lt;https://perma.cc</w:t>
      </w:r>
      <w:r w:rsidRPr="003D6C5F" w:rsidR="00F606BF">
        <w:rPr>
          <w:rFonts w:ascii="Century Schoolbook" w:hAnsi="Century Schoolbook"/>
        </w:rPr>
        <w:t>/</w:t>
      </w:r>
      <w:r w:rsidR="00F606BF">
        <w:rPr>
          <w:rFonts w:ascii="Century Schoolbook" w:hAnsi="Century Schoolbook"/>
        </w:rPr>
        <w:t>7DFQ-KXZU</w:t>
      </w:r>
      <w:r w:rsidRPr="003D6C5F" w:rsidR="00F606BF">
        <w:rPr>
          <w:rFonts w:ascii="Century Schoolbook" w:hAnsi="Century Schoolbook"/>
        </w:rPr>
        <w:t>&gt;.)</w:t>
      </w:r>
    </w:p>
  </w:footnote>
  <w:footnote w:id="9">
    <w:p w:rsidR="00D302B5" w:rsidRPr="003D6C5F" w14:paraId="25A469F2" w14:textId="0A5CBEB7">
      <w:pPr>
        <w:pStyle w:val="FootnoteText"/>
        <w:rPr>
          <w:rFonts w:ascii="Century Schoolbook" w:hAnsi="Century Schoolbook"/>
        </w:rPr>
      </w:pPr>
      <w:r w:rsidRPr="003D6C5F">
        <w:rPr>
          <w:rStyle w:val="FootnoteReference"/>
          <w:rFonts w:ascii="Century Schoolbook" w:hAnsi="Century Schoolbook"/>
        </w:rPr>
        <w:footnoteRef/>
      </w:r>
      <w:r w:rsidRPr="003D6C5F">
        <w:rPr>
          <w:rFonts w:ascii="Century Schoolbook" w:hAnsi="Century Schoolbook"/>
        </w:rPr>
        <w:t xml:space="preserve"> </w:t>
      </w:r>
      <w:r w:rsidRPr="003D6C5F">
        <w:rPr>
          <w:rFonts w:ascii="Century Schoolbook" w:hAnsi="Century Schoolbook"/>
        </w:rPr>
        <w:tab/>
      </w:r>
      <w:bookmarkStart w:id="18" w:name="_Hlk161157185"/>
      <w:r w:rsidRPr="003D6C5F">
        <w:rPr>
          <w:rFonts w:ascii="Century Schoolbook" w:hAnsi="Century Schoolbook"/>
        </w:rPr>
        <w:t>This exception is codified in Evidence Code section 1291, subdivision (a)(2), which provides that “former testimony,” such as preliminary hearing testimony, is not made inadmissible by the hearsay rule if “the declarant is unavailable as a witness,” and “[t]he party against whom the former testimony is offered was a party to the action or proceeding in which the testimony was given and had the right and opportunity to cross-examine the declarant with an interest and motive similar to that which he has at the hearing.”</w:t>
      </w:r>
      <w:bookmarkEnd w:id="18"/>
    </w:p>
  </w:footnote>
  <w:footnote w:id="10">
    <w:p w:rsidR="00472845" w:rsidRPr="003D6C5F" w:rsidP="00472845" w14:paraId="04ECFB2C" w14:textId="0149F371">
      <w:pPr>
        <w:pStyle w:val="FootnoteText"/>
        <w:rPr>
          <w:rFonts w:ascii="Century Schoolbook" w:hAnsi="Century Schoolbook"/>
        </w:rPr>
      </w:pPr>
      <w:r w:rsidRPr="003D6C5F">
        <w:rPr>
          <w:rStyle w:val="FootnoteReference"/>
          <w:rFonts w:ascii="Century Schoolbook" w:hAnsi="Century Schoolbook"/>
        </w:rPr>
        <w:footnoteRef/>
      </w:r>
      <w:r w:rsidRPr="003D6C5F">
        <w:rPr>
          <w:rFonts w:ascii="Century Schoolbook" w:hAnsi="Century Schoolbook"/>
        </w:rPr>
        <w:t xml:space="preserve"> </w:t>
      </w:r>
      <w:r w:rsidRPr="003D6C5F">
        <w:rPr>
          <w:rFonts w:ascii="Century Schoolbook" w:hAnsi="Century Schoolbook"/>
        </w:rPr>
        <w:tab/>
        <w:t xml:space="preserve">Villalobos checked to see if Breanna was in custody, had the Los Angeles police run her name through their computer system, distributed wanted flyers, had the sheriff’s department place an alert on Breanna’s name, called three telephone numbers, and checked markets where Breanna had previously shopped.  </w:t>
      </w:r>
    </w:p>
    <w:p w:rsidR="00472845" w:rsidRPr="003D6C5F" w:rsidP="00A95911" w14:paraId="126C71D9" w14:textId="77777777">
      <w:pPr>
        <w:pStyle w:val="FootnoteText"/>
        <w:spacing w:line="120" w:lineRule="auto"/>
        <w:rPr>
          <w:rFonts w:ascii="Century Schoolbook" w:hAnsi="Century Schoolbook"/>
        </w:rPr>
      </w:pPr>
    </w:p>
  </w:footnote>
  <w:footnote w:id="11">
    <w:p w:rsidR="000F59D1" w:rsidRPr="003D6C5F" w14:paraId="1C9859CD" w14:textId="34393037">
      <w:pPr>
        <w:pStyle w:val="FootnoteText"/>
        <w:rPr>
          <w:rFonts w:ascii="Century Schoolbook" w:hAnsi="Century Schoolbook"/>
        </w:rPr>
      </w:pPr>
      <w:r w:rsidRPr="003D6C5F">
        <w:rPr>
          <w:rStyle w:val="FootnoteReference"/>
          <w:rFonts w:ascii="Century Schoolbook" w:hAnsi="Century Schoolbook"/>
        </w:rPr>
        <w:footnoteRef/>
      </w:r>
      <w:r w:rsidRPr="003D6C5F">
        <w:rPr>
          <w:rFonts w:ascii="Century Schoolbook" w:hAnsi="Century Schoolbook"/>
        </w:rPr>
        <w:t xml:space="preserve"> </w:t>
      </w:r>
      <w:r w:rsidRPr="003D6C5F">
        <w:rPr>
          <w:rFonts w:ascii="Century Schoolbook" w:hAnsi="Century Schoolbook"/>
        </w:rPr>
        <w:tab/>
      </w:r>
      <w:r w:rsidRPr="003D6C5F">
        <w:rPr>
          <w:rFonts w:ascii="Century Schoolbook" w:hAnsi="Century Schoolbook"/>
          <w:i/>
          <w:iCs/>
        </w:rPr>
        <w:t>Louis, supra</w:t>
      </w:r>
      <w:r w:rsidRPr="003D6C5F">
        <w:rPr>
          <w:rFonts w:ascii="Century Schoolbook" w:hAnsi="Century Schoolbook"/>
        </w:rPr>
        <w:t xml:space="preserve">, 42 Cal.3d 969 overruled on another ground in </w:t>
      </w:r>
      <w:r w:rsidRPr="003D6C5F">
        <w:rPr>
          <w:rFonts w:ascii="Century Schoolbook" w:hAnsi="Century Schoolbook"/>
          <w:i/>
          <w:iCs/>
        </w:rPr>
        <w:t>People v. Mickey</w:t>
      </w:r>
      <w:r w:rsidRPr="003D6C5F">
        <w:rPr>
          <w:rFonts w:ascii="Century Schoolbook" w:hAnsi="Century Schoolbook"/>
        </w:rPr>
        <w:t xml:space="preserve"> (1991) 54 Cal.3d 612, 672, fn. 9.</w:t>
      </w:r>
    </w:p>
    <w:p w:rsidR="00765501" w:rsidRPr="003D6C5F" w:rsidP="00765501" w14:paraId="6CA161E7" w14:textId="77777777">
      <w:pPr>
        <w:pStyle w:val="FootnoteText"/>
        <w:spacing w:line="120" w:lineRule="auto"/>
        <w:rPr>
          <w:rFonts w:ascii="Century Schoolbook" w:hAnsi="Century Schoolbook"/>
        </w:rPr>
      </w:pPr>
    </w:p>
  </w:footnote>
  <w:footnote w:id="12">
    <w:p w:rsidR="00B82259" w:rsidRPr="003D6C5F" w:rsidP="00765501" w14:paraId="31A20191" w14:textId="6FE0CDF7">
      <w:pPr>
        <w:rPr>
          <w:rFonts w:ascii="Century Schoolbook" w:hAnsi="Century Schoolbook"/>
          <w:sz w:val="26"/>
        </w:rPr>
      </w:pPr>
      <w:r w:rsidRPr="003D6C5F">
        <w:rPr>
          <w:rStyle w:val="FootnoteReference"/>
          <w:rFonts w:ascii="Century Schoolbook" w:hAnsi="Century Schoolbook"/>
        </w:rPr>
        <w:footnoteRef/>
      </w:r>
      <w:r w:rsidRPr="003D6C5F">
        <w:rPr>
          <w:rFonts w:ascii="Century Schoolbook" w:hAnsi="Century Schoolbook"/>
          <w:sz w:val="26"/>
        </w:rPr>
        <w:t xml:space="preserve"> </w:t>
      </w:r>
      <w:r w:rsidRPr="003D6C5F">
        <w:rPr>
          <w:rFonts w:ascii="Century Schoolbook" w:hAnsi="Century Schoolbook"/>
          <w:sz w:val="26"/>
        </w:rPr>
        <w:tab/>
        <w:t>Ayala testified that Breanna gave Samuel the address over the phone and texted the information to him.  Breanna then guided Samuel to the property over the phone and with a flashlight,</w:t>
      </w:r>
      <w:r w:rsidRPr="003D6C5F" w:rsidR="00BE4846">
        <w:rPr>
          <w:rFonts w:ascii="Century Schoolbook" w:hAnsi="Century Schoolbook"/>
          <w:sz w:val="26"/>
        </w:rPr>
        <w:t xml:space="preserve"> </w:t>
      </w:r>
      <w:r w:rsidRPr="003D6C5F" w:rsidR="00043338">
        <w:rPr>
          <w:rFonts w:ascii="Century Schoolbook" w:hAnsi="Century Schoolbook"/>
          <w:sz w:val="26"/>
        </w:rPr>
        <w:t xml:space="preserve">where he met Ayala, Ramirez and Breanna outside the R.V.  </w:t>
      </w:r>
      <w:r w:rsidRPr="003D6C5F" w:rsidR="00BE4846">
        <w:rPr>
          <w:rFonts w:ascii="Century Schoolbook" w:hAnsi="Century Schoolbook"/>
          <w:sz w:val="26"/>
        </w:rPr>
        <w:t>According to Ayala, she never spoke</w:t>
      </w:r>
      <w:r w:rsidRPr="003D6C5F">
        <w:rPr>
          <w:rFonts w:ascii="Century Schoolbook" w:hAnsi="Century Schoolbook"/>
          <w:sz w:val="26"/>
        </w:rPr>
        <w:t xml:space="preserve"> </w:t>
      </w:r>
      <w:r w:rsidRPr="003D6C5F" w:rsidR="00043338">
        <w:rPr>
          <w:rFonts w:ascii="Century Schoolbook" w:hAnsi="Century Schoolbook"/>
          <w:sz w:val="26"/>
        </w:rPr>
        <w:t>to Samuel on the phone</w:t>
      </w:r>
      <w:r w:rsidRPr="003D6C5F">
        <w:rPr>
          <w:rFonts w:ascii="Century Schoolbook" w:hAnsi="Century Schoolbook"/>
          <w:sz w:val="26"/>
        </w:rPr>
        <w:t xml:space="preserve">.  After </w:t>
      </w:r>
      <w:r w:rsidRPr="003D6C5F" w:rsidR="00043338">
        <w:rPr>
          <w:rFonts w:ascii="Century Schoolbook" w:hAnsi="Century Schoolbook"/>
          <w:sz w:val="26"/>
        </w:rPr>
        <w:t>all four</w:t>
      </w:r>
      <w:r w:rsidRPr="003D6C5F">
        <w:rPr>
          <w:rFonts w:ascii="Century Schoolbook" w:hAnsi="Century Schoolbook"/>
          <w:sz w:val="26"/>
        </w:rPr>
        <w:t xml:space="preserve"> sat down to eat, Samuel </w:t>
      </w:r>
      <w:r w:rsidRPr="003D6C5F" w:rsidR="00043338">
        <w:rPr>
          <w:rFonts w:ascii="Century Schoolbook" w:hAnsi="Century Schoolbook"/>
          <w:sz w:val="26"/>
        </w:rPr>
        <w:t xml:space="preserve">allegedly </w:t>
      </w:r>
      <w:r w:rsidRPr="003D6C5F">
        <w:rPr>
          <w:rFonts w:ascii="Century Schoolbook" w:hAnsi="Century Schoolbook"/>
          <w:sz w:val="26"/>
        </w:rPr>
        <w:t>sa</w:t>
      </w:r>
      <w:r w:rsidRPr="003D6C5F" w:rsidR="00043338">
        <w:rPr>
          <w:rFonts w:ascii="Century Schoolbook" w:hAnsi="Century Schoolbook"/>
          <w:sz w:val="26"/>
        </w:rPr>
        <w:t>id</w:t>
      </w:r>
      <w:r w:rsidRPr="003D6C5F">
        <w:rPr>
          <w:rFonts w:ascii="Century Schoolbook" w:hAnsi="Century Schoolbook"/>
          <w:sz w:val="26"/>
        </w:rPr>
        <w:t xml:space="preserve"> “Let’s do this.”  When Samuel clarified he wanted a “threesome,” Ayala slapped him stating she was old enough to be his mother.  Samuel pushed her down to her seat.  She then saw Samuel’s and Ramirez’s fists flying as she ran toward the door and Breanna ran to the other room.</w:t>
      </w:r>
    </w:p>
  </w:footnote>
  <w:footnote w:id="13">
    <w:p w:rsidR="00D77362" w:rsidRPr="003D6C5F" w:rsidP="00765501" w14:paraId="5E04362D" w14:textId="1E4A5DEA">
      <w:pPr>
        <w:pStyle w:val="FootnoteText"/>
        <w:rPr>
          <w:rFonts w:ascii="Century Schoolbook" w:hAnsi="Century Schoolbook"/>
        </w:rPr>
      </w:pPr>
      <w:r w:rsidRPr="003D6C5F">
        <w:rPr>
          <w:rStyle w:val="FootnoteReference"/>
          <w:rFonts w:ascii="Century Schoolbook" w:hAnsi="Century Schoolbook"/>
        </w:rPr>
        <w:footnoteRef/>
      </w:r>
      <w:r w:rsidRPr="003D6C5F">
        <w:rPr>
          <w:rFonts w:ascii="Century Schoolbook" w:hAnsi="Century Schoolbook"/>
        </w:rPr>
        <w:t xml:space="preserve"> </w:t>
      </w:r>
      <w:r w:rsidRPr="003D6C5F">
        <w:rPr>
          <w:rFonts w:ascii="Century Schoolbook" w:hAnsi="Century Schoolbook"/>
        </w:rPr>
        <w:tab/>
        <w:t>Ramirez also appears to argue that Angel’s statements should not be considered because they were uncorroborated.  However, independent corroboration is required only to prove the crime underlying the torture special circumstances allegation, not the special circumstances allegation itself.  (</w:t>
      </w:r>
      <w:r w:rsidRPr="003D6C5F">
        <w:rPr>
          <w:rFonts w:ascii="Century Schoolbook" w:hAnsi="Century Schoolbook"/>
          <w:i/>
          <w:iCs/>
        </w:rPr>
        <w:t>People v. Hamilton</w:t>
      </w:r>
      <w:r w:rsidRPr="003D6C5F">
        <w:rPr>
          <w:rFonts w:ascii="Century Schoolbook" w:hAnsi="Century Schoolbook"/>
        </w:rPr>
        <w:t xml:space="preserve"> (1989) 48 Cal.3d 1142, 1177; </w:t>
      </w:r>
      <w:r w:rsidRPr="003D6C5F">
        <w:rPr>
          <w:rFonts w:ascii="Century Schoolbook" w:hAnsi="Century Schoolbook"/>
          <w:i/>
          <w:iCs/>
        </w:rPr>
        <w:t>People v. Noguera</w:t>
      </w:r>
      <w:r w:rsidRPr="003D6C5F">
        <w:rPr>
          <w:rFonts w:ascii="Century Schoolbook" w:hAnsi="Century Schoolbook"/>
        </w:rPr>
        <w:t xml:space="preserve"> (1992) 4 Cal.4th 599, 632, fn. 9.)  </w:t>
      </w:r>
    </w:p>
    <w:p w:rsidR="003D6C5F" w:rsidRPr="003D6C5F" w:rsidP="003D6C5F" w14:paraId="4396D356" w14:textId="77777777">
      <w:pPr>
        <w:pStyle w:val="FootnoteText"/>
        <w:spacing w:line="120" w:lineRule="auto"/>
        <w:rPr>
          <w:rFonts w:ascii="Century Schoolbook" w:hAnsi="Century Schoolbook"/>
        </w:rPr>
      </w:pPr>
    </w:p>
  </w:footnote>
  <w:footnote w:id="14">
    <w:p w:rsidR="00926CC4" w:rsidRPr="003D6C5F" w:rsidP="00926CC4" w14:paraId="51EBE0EE" w14:textId="2601A41D">
      <w:pPr>
        <w:pStyle w:val="FootnoteText"/>
        <w:rPr>
          <w:rFonts w:ascii="Century Schoolbook" w:hAnsi="Century Schoolbook"/>
        </w:rPr>
      </w:pPr>
      <w:r w:rsidRPr="003D6C5F">
        <w:rPr>
          <w:rStyle w:val="FootnoteReference"/>
          <w:rFonts w:ascii="Century Schoolbook" w:hAnsi="Century Schoolbook"/>
        </w:rPr>
        <w:footnoteRef/>
      </w:r>
      <w:r w:rsidRPr="003D6C5F">
        <w:rPr>
          <w:rFonts w:ascii="Century Schoolbook" w:hAnsi="Century Schoolbook"/>
        </w:rPr>
        <w:t xml:space="preserve"> </w:t>
      </w:r>
      <w:r w:rsidRPr="003D6C5F">
        <w:rPr>
          <w:rFonts w:ascii="Century Schoolbook" w:hAnsi="Century Schoolbook"/>
        </w:rPr>
        <w:tab/>
        <w:t xml:space="preserve">Although Breanna testified </w:t>
      </w:r>
      <w:r w:rsidRPr="003D6C5F" w:rsidR="00BC57F6">
        <w:rPr>
          <w:rFonts w:ascii="Century Schoolbook" w:hAnsi="Century Schoolbook"/>
        </w:rPr>
        <w:t>Ayala</w:t>
      </w:r>
      <w:r w:rsidRPr="003D6C5F">
        <w:rPr>
          <w:rFonts w:ascii="Century Schoolbook" w:hAnsi="Century Schoolbook"/>
        </w:rPr>
        <w:t xml:space="preserve"> punched a fist into her other hand while stating “ ‘ “He’ll get his threesome,” ’ ” she believed </w:t>
      </w:r>
      <w:r w:rsidRPr="003D6C5F" w:rsidR="00BC57F6">
        <w:rPr>
          <w:rFonts w:ascii="Century Schoolbook" w:hAnsi="Century Schoolbook"/>
        </w:rPr>
        <w:t>Ayala</w:t>
      </w:r>
      <w:r w:rsidRPr="003D6C5F">
        <w:rPr>
          <w:rFonts w:ascii="Century Schoolbook" w:hAnsi="Century Schoolbook"/>
        </w:rPr>
        <w:t xml:space="preserve"> was just going to beat Samuel up and scare him so he would leave her alone.  This evidence does not indisputably show Breanna was </w:t>
      </w:r>
      <w:r w:rsidRPr="003D6C5F" w:rsidR="00C72452">
        <w:rPr>
          <w:rFonts w:ascii="Century Schoolbook" w:hAnsi="Century Schoolbook"/>
        </w:rPr>
        <w:t>defendants</w:t>
      </w:r>
      <w:r w:rsidRPr="003D6C5F">
        <w:rPr>
          <w:rFonts w:ascii="Century Schoolbook" w:hAnsi="Century Schoolbook"/>
        </w:rPr>
        <w:t>’ accomplice as a matter of law.</w:t>
      </w:r>
    </w:p>
    <w:p w:rsidR="00926CC4" w:rsidRPr="003D6C5F" w:rsidP="005165F5" w14:paraId="5E08E7E0" w14:textId="6120DA42">
      <w:pPr>
        <w:pStyle w:val="FootnoteText"/>
        <w:spacing w:line="120" w:lineRule="auto"/>
        <w:rPr>
          <w:rFonts w:ascii="Century Schoolbook" w:hAnsi="Century Schoolbook"/>
        </w:rPr>
      </w:pPr>
    </w:p>
  </w:footnote>
  <w:footnote w:id="15">
    <w:p w:rsidR="004F7E28" w:rsidRPr="003D6C5F" w:rsidP="00FB2AD2" w14:paraId="1D7A3CD3" w14:textId="1BF87C43">
      <w:pPr>
        <w:pStyle w:val="FootnoteText"/>
        <w:rPr>
          <w:rFonts w:ascii="Century Schoolbook" w:hAnsi="Century Schoolbook"/>
        </w:rPr>
      </w:pPr>
      <w:r w:rsidRPr="003D6C5F">
        <w:rPr>
          <w:rStyle w:val="FootnoteReference"/>
          <w:rFonts w:ascii="Century Schoolbook" w:hAnsi="Century Schoolbook"/>
        </w:rPr>
        <w:footnoteRef/>
      </w:r>
      <w:r w:rsidRPr="003D6C5F">
        <w:rPr>
          <w:rFonts w:ascii="Century Schoolbook" w:hAnsi="Century Schoolbook"/>
        </w:rPr>
        <w:t xml:space="preserve"> </w:t>
      </w:r>
      <w:r w:rsidRPr="003D6C5F">
        <w:rPr>
          <w:rFonts w:ascii="Century Schoolbook" w:hAnsi="Century Schoolbook"/>
        </w:rPr>
        <w:tab/>
        <w:t>Defense counsel’s contention during argument to the court outside the jury’s presence</w:t>
      </w:r>
      <w:r w:rsidRPr="003D6C5F" w:rsidR="006E5F02">
        <w:rPr>
          <w:rFonts w:ascii="Century Schoolbook" w:hAnsi="Century Schoolbook"/>
        </w:rPr>
        <w:t>—</w:t>
      </w:r>
      <w:r w:rsidRPr="003D6C5F">
        <w:rPr>
          <w:rFonts w:ascii="Century Schoolbook" w:hAnsi="Century Schoolbook"/>
        </w:rPr>
        <w:t>that Breanna’s status as a coconspirator was synonymous with her being an accomplice</w:t>
      </w:r>
      <w:r w:rsidRPr="003D6C5F" w:rsidR="006E5F02">
        <w:rPr>
          <w:rFonts w:ascii="Century Schoolbook" w:hAnsi="Century Schoolbook"/>
        </w:rPr>
        <w:t>—</w:t>
      </w:r>
      <w:r w:rsidRPr="003D6C5F">
        <w:rPr>
          <w:rFonts w:ascii="Century Schoolbook" w:hAnsi="Century Schoolbook"/>
        </w:rPr>
        <w:t xml:space="preserve">is of no moment because </w:t>
      </w:r>
      <w:r w:rsidRPr="003D6C5F" w:rsidR="00C72452">
        <w:rPr>
          <w:rFonts w:ascii="Century Schoolbook" w:hAnsi="Century Schoolbook"/>
        </w:rPr>
        <w:t>defendants</w:t>
      </w:r>
      <w:r w:rsidRPr="003D6C5F">
        <w:rPr>
          <w:rFonts w:ascii="Century Schoolbook" w:hAnsi="Century Schoolbook"/>
        </w:rPr>
        <w:t xml:space="preserve"> do not contend Breanna is liable for the murder as a principal on a conspiracy theory.  Moreover, the jury was not instructed that Breanna was a coconspirator, only that </w:t>
      </w:r>
      <w:r w:rsidRPr="003D6C5F" w:rsidR="00BC57F6">
        <w:rPr>
          <w:rFonts w:ascii="Century Schoolbook" w:hAnsi="Century Schoolbook"/>
        </w:rPr>
        <w:t>Ayala</w:t>
      </w:r>
      <w:r w:rsidRPr="003D6C5F">
        <w:rPr>
          <w:rFonts w:ascii="Century Schoolbook" w:hAnsi="Century Schoolbook"/>
        </w:rPr>
        <w:t xml:space="preserve">, Ramirez and Angel were members of the conspiracy.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451" w14:paraId="24E898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451" w14:paraId="2524DD3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451" w14:paraId="5C6D6F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435A64"/>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22BF38CD"/>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2C5E420C"/>
    <w:multiLevelType w:val="hybridMultilevel"/>
    <w:tmpl w:val="8E9C886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6692524"/>
    <w:multiLevelType w:val="hybridMultilevel"/>
    <w:tmpl w:val="360A774E"/>
    <w:lvl w:ilvl="0">
      <w:start w:val="1"/>
      <w:numFmt w:val="decimal"/>
      <w:lvlText w:val="(%1)"/>
      <w:lvlJc w:val="left"/>
      <w:pPr>
        <w:ind w:left="744" w:hanging="38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B057201"/>
    <w:multiLevelType w:val="hybridMultilevel"/>
    <w:tmpl w:val="3F24988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C717C61"/>
    <w:multiLevelType w:val="singleLevel"/>
    <w:tmpl w:val="F18646F2"/>
    <w:lvl w:ilvl="0">
      <w:start w:val="1"/>
      <w:numFmt w:val="lowerLetter"/>
      <w:lvlText w:val="(%1)"/>
      <w:lvlJc w:val="left"/>
      <w:pPr>
        <w:tabs>
          <w:tab w:val="num" w:pos="405"/>
        </w:tabs>
        <w:ind w:left="405" w:hanging="360"/>
      </w:pPr>
      <w:rPr>
        <w:rFonts w:hint="default"/>
      </w:rPr>
    </w:lvl>
  </w:abstractNum>
  <w:abstractNum w:abstractNumId="6">
    <w:nsid w:val="3E6567B7"/>
    <w:multiLevelType w:val="hybridMultilevel"/>
    <w:tmpl w:val="81E810B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4A62585C"/>
    <w:multiLevelType w:val="hybridMultilevel"/>
    <w:tmpl w:val="AFF24A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AF73479"/>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nsid w:val="53D440AE"/>
    <w:multiLevelType w:val="hybridMultilevel"/>
    <w:tmpl w:val="8E0E42E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FC256BA"/>
    <w:multiLevelType w:val="hybridMultilevel"/>
    <w:tmpl w:val="146E1F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58A2BF4"/>
    <w:multiLevelType w:val="hybridMultilevel"/>
    <w:tmpl w:val="F1387CB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A8B253A"/>
    <w:multiLevelType w:val="hybridMultilevel"/>
    <w:tmpl w:val="A77E1E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E2E1F72"/>
    <w:multiLevelType w:val="hybridMultilevel"/>
    <w:tmpl w:val="54D49EA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F36296B"/>
    <w:multiLevelType w:val="singleLevel"/>
    <w:tmpl w:val="70F28CF8"/>
    <w:lvl w:ilvl="0">
      <w:start w:val="1"/>
      <w:numFmt w:val="decimal"/>
      <w:lvlText w:val="(%1)"/>
      <w:lvlJc w:val="left"/>
      <w:pPr>
        <w:tabs>
          <w:tab w:val="num" w:pos="405"/>
        </w:tabs>
        <w:ind w:left="405" w:hanging="360"/>
      </w:pPr>
      <w:rPr>
        <w:rFonts w:hint="default"/>
      </w:rPr>
    </w:lvl>
  </w:abstractNum>
  <w:abstractNum w:abstractNumId="15">
    <w:nsid w:val="7AE917D2"/>
    <w:multiLevelType w:val="hybridMultilevel"/>
    <w:tmpl w:val="A826533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5"/>
  </w:num>
  <w:num w:numId="3">
    <w:abstractNumId w:val="8"/>
  </w:num>
  <w:num w:numId="4">
    <w:abstractNumId w:val="14"/>
  </w:num>
  <w:num w:numId="5">
    <w:abstractNumId w:val="0"/>
  </w:num>
  <w:num w:numId="6">
    <w:abstractNumId w:val="2"/>
  </w:num>
  <w:num w:numId="7">
    <w:abstractNumId w:val="6"/>
  </w:num>
  <w:num w:numId="8">
    <w:abstractNumId w:val="10"/>
  </w:num>
  <w:num w:numId="9">
    <w:abstractNumId w:val="7"/>
  </w:num>
  <w:num w:numId="10">
    <w:abstractNumId w:val="4"/>
  </w:num>
  <w:num w:numId="11">
    <w:abstractNumId w:val="13"/>
  </w:num>
  <w:num w:numId="12">
    <w:abstractNumId w:val="11"/>
  </w:num>
  <w:num w:numId="13">
    <w:abstractNumId w:val="9"/>
  </w:num>
  <w:num w:numId="14">
    <w:abstractNumId w:val="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0F"/>
    <w:rsid w:val="00001973"/>
    <w:rsid w:val="00001F31"/>
    <w:rsid w:val="00003B47"/>
    <w:rsid w:val="00003F2B"/>
    <w:rsid w:val="00004B6B"/>
    <w:rsid w:val="0000564E"/>
    <w:rsid w:val="000058AA"/>
    <w:rsid w:val="00005AD3"/>
    <w:rsid w:val="00006180"/>
    <w:rsid w:val="00006CDE"/>
    <w:rsid w:val="00006CF3"/>
    <w:rsid w:val="000100F8"/>
    <w:rsid w:val="000116B0"/>
    <w:rsid w:val="000120E1"/>
    <w:rsid w:val="0001233B"/>
    <w:rsid w:val="00013BFE"/>
    <w:rsid w:val="00013EF7"/>
    <w:rsid w:val="0001481F"/>
    <w:rsid w:val="00014FFF"/>
    <w:rsid w:val="00015856"/>
    <w:rsid w:val="00015EA5"/>
    <w:rsid w:val="000171AF"/>
    <w:rsid w:val="000206FB"/>
    <w:rsid w:val="00020977"/>
    <w:rsid w:val="00022F9E"/>
    <w:rsid w:val="0002347A"/>
    <w:rsid w:val="000244EF"/>
    <w:rsid w:val="00024F54"/>
    <w:rsid w:val="00025B8C"/>
    <w:rsid w:val="000265CF"/>
    <w:rsid w:val="00026FFB"/>
    <w:rsid w:val="000305C1"/>
    <w:rsid w:val="00031019"/>
    <w:rsid w:val="000318C4"/>
    <w:rsid w:val="00031C5B"/>
    <w:rsid w:val="000332E7"/>
    <w:rsid w:val="000340E6"/>
    <w:rsid w:val="00035848"/>
    <w:rsid w:val="000403BF"/>
    <w:rsid w:val="00041CE3"/>
    <w:rsid w:val="00041FCC"/>
    <w:rsid w:val="00042379"/>
    <w:rsid w:val="00042D4F"/>
    <w:rsid w:val="00043338"/>
    <w:rsid w:val="000434E7"/>
    <w:rsid w:val="00043956"/>
    <w:rsid w:val="00046C1F"/>
    <w:rsid w:val="00047E14"/>
    <w:rsid w:val="00050937"/>
    <w:rsid w:val="000515DB"/>
    <w:rsid w:val="000542EE"/>
    <w:rsid w:val="00054FF9"/>
    <w:rsid w:val="000569AD"/>
    <w:rsid w:val="00060F06"/>
    <w:rsid w:val="000656E3"/>
    <w:rsid w:val="0006630F"/>
    <w:rsid w:val="00066971"/>
    <w:rsid w:val="00071E80"/>
    <w:rsid w:val="00071FA2"/>
    <w:rsid w:val="00072634"/>
    <w:rsid w:val="00074595"/>
    <w:rsid w:val="0007520E"/>
    <w:rsid w:val="00075D23"/>
    <w:rsid w:val="000764EF"/>
    <w:rsid w:val="00076972"/>
    <w:rsid w:val="000769A7"/>
    <w:rsid w:val="000775C9"/>
    <w:rsid w:val="00080DC9"/>
    <w:rsid w:val="00080EED"/>
    <w:rsid w:val="00081179"/>
    <w:rsid w:val="0008127B"/>
    <w:rsid w:val="00081834"/>
    <w:rsid w:val="00084A3A"/>
    <w:rsid w:val="00084D9D"/>
    <w:rsid w:val="00086087"/>
    <w:rsid w:val="000879FF"/>
    <w:rsid w:val="00090808"/>
    <w:rsid w:val="00093599"/>
    <w:rsid w:val="00094043"/>
    <w:rsid w:val="00095207"/>
    <w:rsid w:val="00096D48"/>
    <w:rsid w:val="00097DAA"/>
    <w:rsid w:val="000A04D6"/>
    <w:rsid w:val="000A0EF9"/>
    <w:rsid w:val="000A21C3"/>
    <w:rsid w:val="000A3583"/>
    <w:rsid w:val="000A5D4D"/>
    <w:rsid w:val="000A70F5"/>
    <w:rsid w:val="000B1ECC"/>
    <w:rsid w:val="000B2B07"/>
    <w:rsid w:val="000B324D"/>
    <w:rsid w:val="000B3598"/>
    <w:rsid w:val="000B3642"/>
    <w:rsid w:val="000B3901"/>
    <w:rsid w:val="000B662D"/>
    <w:rsid w:val="000B6648"/>
    <w:rsid w:val="000B7F15"/>
    <w:rsid w:val="000C09D5"/>
    <w:rsid w:val="000C3171"/>
    <w:rsid w:val="000C5292"/>
    <w:rsid w:val="000C52C7"/>
    <w:rsid w:val="000C618F"/>
    <w:rsid w:val="000C6F27"/>
    <w:rsid w:val="000C6F2D"/>
    <w:rsid w:val="000C7E9C"/>
    <w:rsid w:val="000D25C0"/>
    <w:rsid w:val="000D2AF2"/>
    <w:rsid w:val="000D60CA"/>
    <w:rsid w:val="000D63EF"/>
    <w:rsid w:val="000E017F"/>
    <w:rsid w:val="000E05FB"/>
    <w:rsid w:val="000E20E3"/>
    <w:rsid w:val="000E2568"/>
    <w:rsid w:val="000E2CA3"/>
    <w:rsid w:val="000E3005"/>
    <w:rsid w:val="000E356F"/>
    <w:rsid w:val="000E4292"/>
    <w:rsid w:val="000E4486"/>
    <w:rsid w:val="000E522B"/>
    <w:rsid w:val="000E67AC"/>
    <w:rsid w:val="000E79D8"/>
    <w:rsid w:val="000F0010"/>
    <w:rsid w:val="000F0680"/>
    <w:rsid w:val="000F120F"/>
    <w:rsid w:val="000F14A7"/>
    <w:rsid w:val="000F1A30"/>
    <w:rsid w:val="000F1C4B"/>
    <w:rsid w:val="000F1C5F"/>
    <w:rsid w:val="000F1CF3"/>
    <w:rsid w:val="000F42FB"/>
    <w:rsid w:val="000F59D1"/>
    <w:rsid w:val="000F63F0"/>
    <w:rsid w:val="000F69B5"/>
    <w:rsid w:val="000F71AF"/>
    <w:rsid w:val="0010024F"/>
    <w:rsid w:val="00101EAB"/>
    <w:rsid w:val="00103A5A"/>
    <w:rsid w:val="00103B7E"/>
    <w:rsid w:val="00104055"/>
    <w:rsid w:val="00104AED"/>
    <w:rsid w:val="00104E84"/>
    <w:rsid w:val="001057FA"/>
    <w:rsid w:val="001071FD"/>
    <w:rsid w:val="00107C5B"/>
    <w:rsid w:val="00107F52"/>
    <w:rsid w:val="00110327"/>
    <w:rsid w:val="00111004"/>
    <w:rsid w:val="001112F4"/>
    <w:rsid w:val="00111E24"/>
    <w:rsid w:val="00112299"/>
    <w:rsid w:val="001127EF"/>
    <w:rsid w:val="001143B7"/>
    <w:rsid w:val="001144D8"/>
    <w:rsid w:val="001146B1"/>
    <w:rsid w:val="00115FE6"/>
    <w:rsid w:val="00116550"/>
    <w:rsid w:val="00116A1C"/>
    <w:rsid w:val="0012000E"/>
    <w:rsid w:val="00121B6A"/>
    <w:rsid w:val="00122953"/>
    <w:rsid w:val="00122B7D"/>
    <w:rsid w:val="00122F5E"/>
    <w:rsid w:val="00125086"/>
    <w:rsid w:val="001265B0"/>
    <w:rsid w:val="00127679"/>
    <w:rsid w:val="00127844"/>
    <w:rsid w:val="00127E78"/>
    <w:rsid w:val="0013031E"/>
    <w:rsid w:val="00132359"/>
    <w:rsid w:val="00132817"/>
    <w:rsid w:val="00133AFB"/>
    <w:rsid w:val="00135D3A"/>
    <w:rsid w:val="001369D1"/>
    <w:rsid w:val="00141D83"/>
    <w:rsid w:val="001425FF"/>
    <w:rsid w:val="00144647"/>
    <w:rsid w:val="00144A2B"/>
    <w:rsid w:val="0014546A"/>
    <w:rsid w:val="001454D1"/>
    <w:rsid w:val="00145990"/>
    <w:rsid w:val="00145E71"/>
    <w:rsid w:val="001463F3"/>
    <w:rsid w:val="00146D1F"/>
    <w:rsid w:val="00152988"/>
    <w:rsid w:val="00153106"/>
    <w:rsid w:val="00155CD2"/>
    <w:rsid w:val="00155DDF"/>
    <w:rsid w:val="001607AA"/>
    <w:rsid w:val="00160D3D"/>
    <w:rsid w:val="0016272B"/>
    <w:rsid w:val="00164632"/>
    <w:rsid w:val="00164DEE"/>
    <w:rsid w:val="00165EFB"/>
    <w:rsid w:val="00165FF5"/>
    <w:rsid w:val="00170235"/>
    <w:rsid w:val="00171933"/>
    <w:rsid w:val="00171951"/>
    <w:rsid w:val="00171C48"/>
    <w:rsid w:val="00172F05"/>
    <w:rsid w:val="00173DED"/>
    <w:rsid w:val="00177217"/>
    <w:rsid w:val="00177F23"/>
    <w:rsid w:val="001808D2"/>
    <w:rsid w:val="00180AD1"/>
    <w:rsid w:val="00181472"/>
    <w:rsid w:val="00182B32"/>
    <w:rsid w:val="00183D35"/>
    <w:rsid w:val="0018467E"/>
    <w:rsid w:val="0018630E"/>
    <w:rsid w:val="00190139"/>
    <w:rsid w:val="0019066C"/>
    <w:rsid w:val="00191401"/>
    <w:rsid w:val="00191617"/>
    <w:rsid w:val="00192DA1"/>
    <w:rsid w:val="001936C6"/>
    <w:rsid w:val="0019612A"/>
    <w:rsid w:val="001973E0"/>
    <w:rsid w:val="00197D24"/>
    <w:rsid w:val="001A03D5"/>
    <w:rsid w:val="001A1068"/>
    <w:rsid w:val="001A118F"/>
    <w:rsid w:val="001A176E"/>
    <w:rsid w:val="001A2EC2"/>
    <w:rsid w:val="001A2FD8"/>
    <w:rsid w:val="001A3826"/>
    <w:rsid w:val="001A4A9E"/>
    <w:rsid w:val="001A540A"/>
    <w:rsid w:val="001A5BB8"/>
    <w:rsid w:val="001A6A09"/>
    <w:rsid w:val="001A6EAB"/>
    <w:rsid w:val="001B3605"/>
    <w:rsid w:val="001B4495"/>
    <w:rsid w:val="001B5063"/>
    <w:rsid w:val="001B5366"/>
    <w:rsid w:val="001C0343"/>
    <w:rsid w:val="001C065A"/>
    <w:rsid w:val="001C0B20"/>
    <w:rsid w:val="001C0FFC"/>
    <w:rsid w:val="001C130D"/>
    <w:rsid w:val="001C1AEF"/>
    <w:rsid w:val="001C1E12"/>
    <w:rsid w:val="001C3219"/>
    <w:rsid w:val="001C3FEA"/>
    <w:rsid w:val="001C4508"/>
    <w:rsid w:val="001C609D"/>
    <w:rsid w:val="001C6B39"/>
    <w:rsid w:val="001D0CA1"/>
    <w:rsid w:val="001D1478"/>
    <w:rsid w:val="001D17BF"/>
    <w:rsid w:val="001D1DFD"/>
    <w:rsid w:val="001D31D1"/>
    <w:rsid w:val="001D406E"/>
    <w:rsid w:val="001D43C7"/>
    <w:rsid w:val="001D67CA"/>
    <w:rsid w:val="001E17E0"/>
    <w:rsid w:val="001E1B46"/>
    <w:rsid w:val="001E1EB5"/>
    <w:rsid w:val="001E2D81"/>
    <w:rsid w:val="001E40CB"/>
    <w:rsid w:val="001E429B"/>
    <w:rsid w:val="001E537D"/>
    <w:rsid w:val="001E559A"/>
    <w:rsid w:val="001E6B7F"/>
    <w:rsid w:val="001E7C31"/>
    <w:rsid w:val="001F0609"/>
    <w:rsid w:val="001F0A9F"/>
    <w:rsid w:val="001F0F82"/>
    <w:rsid w:val="001F2A6B"/>
    <w:rsid w:val="001F4104"/>
    <w:rsid w:val="001F4116"/>
    <w:rsid w:val="001F470B"/>
    <w:rsid w:val="001F62C6"/>
    <w:rsid w:val="001F6C3E"/>
    <w:rsid w:val="00200197"/>
    <w:rsid w:val="0020139A"/>
    <w:rsid w:val="00204406"/>
    <w:rsid w:val="002078AB"/>
    <w:rsid w:val="00207F2D"/>
    <w:rsid w:val="002119F2"/>
    <w:rsid w:val="00213426"/>
    <w:rsid w:val="002146EC"/>
    <w:rsid w:val="00215E7A"/>
    <w:rsid w:val="00216716"/>
    <w:rsid w:val="002173AC"/>
    <w:rsid w:val="00221907"/>
    <w:rsid w:val="0022195D"/>
    <w:rsid w:val="00223FE6"/>
    <w:rsid w:val="0022411C"/>
    <w:rsid w:val="002248D4"/>
    <w:rsid w:val="0022609A"/>
    <w:rsid w:val="00226E8F"/>
    <w:rsid w:val="0022714B"/>
    <w:rsid w:val="002273CB"/>
    <w:rsid w:val="0022741D"/>
    <w:rsid w:val="002301F5"/>
    <w:rsid w:val="00230372"/>
    <w:rsid w:val="00230A0C"/>
    <w:rsid w:val="00231ECB"/>
    <w:rsid w:val="002343D6"/>
    <w:rsid w:val="00234B93"/>
    <w:rsid w:val="00235982"/>
    <w:rsid w:val="002359B9"/>
    <w:rsid w:val="00235AC0"/>
    <w:rsid w:val="00235E4C"/>
    <w:rsid w:val="00236103"/>
    <w:rsid w:val="00236300"/>
    <w:rsid w:val="00237B28"/>
    <w:rsid w:val="002419C9"/>
    <w:rsid w:val="002419E9"/>
    <w:rsid w:val="00241E84"/>
    <w:rsid w:val="00242227"/>
    <w:rsid w:val="0024246C"/>
    <w:rsid w:val="002443A2"/>
    <w:rsid w:val="00244D82"/>
    <w:rsid w:val="0024551A"/>
    <w:rsid w:val="00245676"/>
    <w:rsid w:val="00245E1C"/>
    <w:rsid w:val="0024607D"/>
    <w:rsid w:val="00247423"/>
    <w:rsid w:val="00250416"/>
    <w:rsid w:val="0025121F"/>
    <w:rsid w:val="0025190B"/>
    <w:rsid w:val="00252038"/>
    <w:rsid w:val="002552F1"/>
    <w:rsid w:val="00255937"/>
    <w:rsid w:val="00255979"/>
    <w:rsid w:val="00256791"/>
    <w:rsid w:val="00256AE6"/>
    <w:rsid w:val="002570CA"/>
    <w:rsid w:val="002571F4"/>
    <w:rsid w:val="00257426"/>
    <w:rsid w:val="0026004A"/>
    <w:rsid w:val="00263122"/>
    <w:rsid w:val="00263F6C"/>
    <w:rsid w:val="00264B29"/>
    <w:rsid w:val="00265081"/>
    <w:rsid w:val="002653DD"/>
    <w:rsid w:val="00266A0B"/>
    <w:rsid w:val="00267F54"/>
    <w:rsid w:val="00270CAC"/>
    <w:rsid w:val="002712EB"/>
    <w:rsid w:val="0027407B"/>
    <w:rsid w:val="00274634"/>
    <w:rsid w:val="00274726"/>
    <w:rsid w:val="00274BFC"/>
    <w:rsid w:val="00275E17"/>
    <w:rsid w:val="00277A8A"/>
    <w:rsid w:val="00277F40"/>
    <w:rsid w:val="00281FDB"/>
    <w:rsid w:val="0028290A"/>
    <w:rsid w:val="00282E5A"/>
    <w:rsid w:val="00282F77"/>
    <w:rsid w:val="00286248"/>
    <w:rsid w:val="0028667D"/>
    <w:rsid w:val="00287757"/>
    <w:rsid w:val="00287A08"/>
    <w:rsid w:val="00287B31"/>
    <w:rsid w:val="00290359"/>
    <w:rsid w:val="002924E4"/>
    <w:rsid w:val="00294A22"/>
    <w:rsid w:val="002962C7"/>
    <w:rsid w:val="002966D3"/>
    <w:rsid w:val="0029765F"/>
    <w:rsid w:val="002A0778"/>
    <w:rsid w:val="002A08A3"/>
    <w:rsid w:val="002A0F48"/>
    <w:rsid w:val="002A1E97"/>
    <w:rsid w:val="002A2BFB"/>
    <w:rsid w:val="002A38C7"/>
    <w:rsid w:val="002A3973"/>
    <w:rsid w:val="002A4231"/>
    <w:rsid w:val="002A4A78"/>
    <w:rsid w:val="002A4E32"/>
    <w:rsid w:val="002A5506"/>
    <w:rsid w:val="002A618D"/>
    <w:rsid w:val="002A798D"/>
    <w:rsid w:val="002B0C2D"/>
    <w:rsid w:val="002B1017"/>
    <w:rsid w:val="002B21D5"/>
    <w:rsid w:val="002B2F13"/>
    <w:rsid w:val="002B4A6F"/>
    <w:rsid w:val="002B59FF"/>
    <w:rsid w:val="002B5E2F"/>
    <w:rsid w:val="002B6AEF"/>
    <w:rsid w:val="002B70EF"/>
    <w:rsid w:val="002B7E1A"/>
    <w:rsid w:val="002C042D"/>
    <w:rsid w:val="002C1361"/>
    <w:rsid w:val="002C14A9"/>
    <w:rsid w:val="002C1781"/>
    <w:rsid w:val="002C3A1D"/>
    <w:rsid w:val="002C4309"/>
    <w:rsid w:val="002C4492"/>
    <w:rsid w:val="002C4F06"/>
    <w:rsid w:val="002C5695"/>
    <w:rsid w:val="002C6553"/>
    <w:rsid w:val="002D0873"/>
    <w:rsid w:val="002D0C55"/>
    <w:rsid w:val="002D59A6"/>
    <w:rsid w:val="002E0104"/>
    <w:rsid w:val="002E0DDC"/>
    <w:rsid w:val="002E1773"/>
    <w:rsid w:val="002E26C4"/>
    <w:rsid w:val="002E2FFB"/>
    <w:rsid w:val="002E6F5C"/>
    <w:rsid w:val="002F000E"/>
    <w:rsid w:val="002F016F"/>
    <w:rsid w:val="002F01DE"/>
    <w:rsid w:val="002F13F9"/>
    <w:rsid w:val="002F15A7"/>
    <w:rsid w:val="002F181E"/>
    <w:rsid w:val="002F2760"/>
    <w:rsid w:val="002F2D35"/>
    <w:rsid w:val="002F4178"/>
    <w:rsid w:val="002F4609"/>
    <w:rsid w:val="002F4E5B"/>
    <w:rsid w:val="002F6FFD"/>
    <w:rsid w:val="002F764C"/>
    <w:rsid w:val="002F7935"/>
    <w:rsid w:val="0030045E"/>
    <w:rsid w:val="003024AC"/>
    <w:rsid w:val="00303A2F"/>
    <w:rsid w:val="00303C56"/>
    <w:rsid w:val="00303C69"/>
    <w:rsid w:val="0030522C"/>
    <w:rsid w:val="00306505"/>
    <w:rsid w:val="00306965"/>
    <w:rsid w:val="00310D2C"/>
    <w:rsid w:val="00313067"/>
    <w:rsid w:val="0031441B"/>
    <w:rsid w:val="003150D4"/>
    <w:rsid w:val="003157BF"/>
    <w:rsid w:val="00315C93"/>
    <w:rsid w:val="00317174"/>
    <w:rsid w:val="00317525"/>
    <w:rsid w:val="0032026A"/>
    <w:rsid w:val="003211C0"/>
    <w:rsid w:val="00321DBD"/>
    <w:rsid w:val="0032269B"/>
    <w:rsid w:val="00322AD2"/>
    <w:rsid w:val="00322C10"/>
    <w:rsid w:val="003235C6"/>
    <w:rsid w:val="00325886"/>
    <w:rsid w:val="003262A5"/>
    <w:rsid w:val="0032678F"/>
    <w:rsid w:val="00326843"/>
    <w:rsid w:val="00326F73"/>
    <w:rsid w:val="0032742B"/>
    <w:rsid w:val="003275BE"/>
    <w:rsid w:val="00327BD1"/>
    <w:rsid w:val="00330288"/>
    <w:rsid w:val="0033349C"/>
    <w:rsid w:val="00333DCB"/>
    <w:rsid w:val="003343E6"/>
    <w:rsid w:val="003344BE"/>
    <w:rsid w:val="00334FA3"/>
    <w:rsid w:val="0033530A"/>
    <w:rsid w:val="00336D48"/>
    <w:rsid w:val="00336F0F"/>
    <w:rsid w:val="0033708B"/>
    <w:rsid w:val="003402B9"/>
    <w:rsid w:val="0034082B"/>
    <w:rsid w:val="0034167B"/>
    <w:rsid w:val="0034216B"/>
    <w:rsid w:val="00342573"/>
    <w:rsid w:val="00342779"/>
    <w:rsid w:val="00344B26"/>
    <w:rsid w:val="00347F69"/>
    <w:rsid w:val="003501F9"/>
    <w:rsid w:val="00350867"/>
    <w:rsid w:val="003509EB"/>
    <w:rsid w:val="003510B4"/>
    <w:rsid w:val="00353C10"/>
    <w:rsid w:val="00353FCE"/>
    <w:rsid w:val="003546DF"/>
    <w:rsid w:val="0035512B"/>
    <w:rsid w:val="00355562"/>
    <w:rsid w:val="00355958"/>
    <w:rsid w:val="00355FEC"/>
    <w:rsid w:val="00357C32"/>
    <w:rsid w:val="00360445"/>
    <w:rsid w:val="00361F6D"/>
    <w:rsid w:val="003628C0"/>
    <w:rsid w:val="00362D2F"/>
    <w:rsid w:val="00363479"/>
    <w:rsid w:val="00363BFD"/>
    <w:rsid w:val="00364048"/>
    <w:rsid w:val="00364A09"/>
    <w:rsid w:val="0036506F"/>
    <w:rsid w:val="00365BEB"/>
    <w:rsid w:val="003707CC"/>
    <w:rsid w:val="00370C54"/>
    <w:rsid w:val="003717FE"/>
    <w:rsid w:val="00371B06"/>
    <w:rsid w:val="00373AA3"/>
    <w:rsid w:val="00373F59"/>
    <w:rsid w:val="00374140"/>
    <w:rsid w:val="0037431F"/>
    <w:rsid w:val="0037591B"/>
    <w:rsid w:val="00376366"/>
    <w:rsid w:val="00377297"/>
    <w:rsid w:val="00377909"/>
    <w:rsid w:val="00377DAD"/>
    <w:rsid w:val="00377DB3"/>
    <w:rsid w:val="00380AC5"/>
    <w:rsid w:val="00382F87"/>
    <w:rsid w:val="00384437"/>
    <w:rsid w:val="0038473D"/>
    <w:rsid w:val="00384BD1"/>
    <w:rsid w:val="00386CF8"/>
    <w:rsid w:val="003877B4"/>
    <w:rsid w:val="00390C9F"/>
    <w:rsid w:val="003912D0"/>
    <w:rsid w:val="00391FC3"/>
    <w:rsid w:val="0039342C"/>
    <w:rsid w:val="003938AA"/>
    <w:rsid w:val="0039396C"/>
    <w:rsid w:val="00396942"/>
    <w:rsid w:val="0039721B"/>
    <w:rsid w:val="003979EA"/>
    <w:rsid w:val="003A03CE"/>
    <w:rsid w:val="003A0F36"/>
    <w:rsid w:val="003A278F"/>
    <w:rsid w:val="003A2D49"/>
    <w:rsid w:val="003A2F91"/>
    <w:rsid w:val="003A3330"/>
    <w:rsid w:val="003A36A0"/>
    <w:rsid w:val="003A4931"/>
    <w:rsid w:val="003A5D3D"/>
    <w:rsid w:val="003A5D54"/>
    <w:rsid w:val="003A5E94"/>
    <w:rsid w:val="003A69E1"/>
    <w:rsid w:val="003A6AE5"/>
    <w:rsid w:val="003A6F4D"/>
    <w:rsid w:val="003A706C"/>
    <w:rsid w:val="003B2354"/>
    <w:rsid w:val="003B2A1A"/>
    <w:rsid w:val="003B3800"/>
    <w:rsid w:val="003B3D18"/>
    <w:rsid w:val="003B483F"/>
    <w:rsid w:val="003B4E21"/>
    <w:rsid w:val="003B56AC"/>
    <w:rsid w:val="003B640D"/>
    <w:rsid w:val="003B658B"/>
    <w:rsid w:val="003B6D33"/>
    <w:rsid w:val="003B74A5"/>
    <w:rsid w:val="003C018A"/>
    <w:rsid w:val="003C0E61"/>
    <w:rsid w:val="003C1B8F"/>
    <w:rsid w:val="003C3325"/>
    <w:rsid w:val="003C3C5E"/>
    <w:rsid w:val="003C478F"/>
    <w:rsid w:val="003C5099"/>
    <w:rsid w:val="003C5B2C"/>
    <w:rsid w:val="003C6ADE"/>
    <w:rsid w:val="003C6D63"/>
    <w:rsid w:val="003C706B"/>
    <w:rsid w:val="003C74ED"/>
    <w:rsid w:val="003D05A9"/>
    <w:rsid w:val="003D0716"/>
    <w:rsid w:val="003D0B6C"/>
    <w:rsid w:val="003D3284"/>
    <w:rsid w:val="003D4B17"/>
    <w:rsid w:val="003D5BCA"/>
    <w:rsid w:val="003D62FE"/>
    <w:rsid w:val="003D641D"/>
    <w:rsid w:val="003D6C5F"/>
    <w:rsid w:val="003D74A0"/>
    <w:rsid w:val="003D780A"/>
    <w:rsid w:val="003D78EF"/>
    <w:rsid w:val="003D7B0F"/>
    <w:rsid w:val="003E07DB"/>
    <w:rsid w:val="003E2ABB"/>
    <w:rsid w:val="003E3A11"/>
    <w:rsid w:val="003E3D84"/>
    <w:rsid w:val="003E45EC"/>
    <w:rsid w:val="003E4BCC"/>
    <w:rsid w:val="003E5276"/>
    <w:rsid w:val="003E649A"/>
    <w:rsid w:val="003E7494"/>
    <w:rsid w:val="003E76CE"/>
    <w:rsid w:val="003E77AC"/>
    <w:rsid w:val="003E7F15"/>
    <w:rsid w:val="003F3186"/>
    <w:rsid w:val="003F5A83"/>
    <w:rsid w:val="003F5E2D"/>
    <w:rsid w:val="003F6105"/>
    <w:rsid w:val="003F6266"/>
    <w:rsid w:val="003F62D1"/>
    <w:rsid w:val="003F7BB9"/>
    <w:rsid w:val="00401010"/>
    <w:rsid w:val="004014EE"/>
    <w:rsid w:val="00401E35"/>
    <w:rsid w:val="004022D1"/>
    <w:rsid w:val="00403AB8"/>
    <w:rsid w:val="00403C94"/>
    <w:rsid w:val="00404271"/>
    <w:rsid w:val="00405C0F"/>
    <w:rsid w:val="00405E4F"/>
    <w:rsid w:val="00406D77"/>
    <w:rsid w:val="00406DD0"/>
    <w:rsid w:val="00406F4A"/>
    <w:rsid w:val="00407E9F"/>
    <w:rsid w:val="0041088A"/>
    <w:rsid w:val="00410A65"/>
    <w:rsid w:val="004110B8"/>
    <w:rsid w:val="00411489"/>
    <w:rsid w:val="004118E7"/>
    <w:rsid w:val="00411DD8"/>
    <w:rsid w:val="00411FDB"/>
    <w:rsid w:val="00412CA0"/>
    <w:rsid w:val="00413EBC"/>
    <w:rsid w:val="004141C2"/>
    <w:rsid w:val="00415BD1"/>
    <w:rsid w:val="004161A0"/>
    <w:rsid w:val="0041714C"/>
    <w:rsid w:val="00421BBF"/>
    <w:rsid w:val="00424AE5"/>
    <w:rsid w:val="004256E1"/>
    <w:rsid w:val="00425AAA"/>
    <w:rsid w:val="00425C26"/>
    <w:rsid w:val="00426070"/>
    <w:rsid w:val="00426B50"/>
    <w:rsid w:val="00427138"/>
    <w:rsid w:val="004278BA"/>
    <w:rsid w:val="004305A4"/>
    <w:rsid w:val="00430ED9"/>
    <w:rsid w:val="00431928"/>
    <w:rsid w:val="00431B5D"/>
    <w:rsid w:val="004320AE"/>
    <w:rsid w:val="00432D23"/>
    <w:rsid w:val="004343D7"/>
    <w:rsid w:val="00437CAD"/>
    <w:rsid w:val="004400AA"/>
    <w:rsid w:val="0044072E"/>
    <w:rsid w:val="00442721"/>
    <w:rsid w:val="00442978"/>
    <w:rsid w:val="00445855"/>
    <w:rsid w:val="00445938"/>
    <w:rsid w:val="00445CD2"/>
    <w:rsid w:val="00445D1D"/>
    <w:rsid w:val="00447682"/>
    <w:rsid w:val="00447848"/>
    <w:rsid w:val="004479B4"/>
    <w:rsid w:val="00447E74"/>
    <w:rsid w:val="004510BF"/>
    <w:rsid w:val="00452195"/>
    <w:rsid w:val="00452709"/>
    <w:rsid w:val="00452F4B"/>
    <w:rsid w:val="00453E90"/>
    <w:rsid w:val="0045469F"/>
    <w:rsid w:val="00454EE6"/>
    <w:rsid w:val="0045518E"/>
    <w:rsid w:val="00455C6A"/>
    <w:rsid w:val="00455CF3"/>
    <w:rsid w:val="00456532"/>
    <w:rsid w:val="0045694B"/>
    <w:rsid w:val="00456AC7"/>
    <w:rsid w:val="00456D73"/>
    <w:rsid w:val="00457680"/>
    <w:rsid w:val="00460B8D"/>
    <w:rsid w:val="00460DE5"/>
    <w:rsid w:val="0046358F"/>
    <w:rsid w:val="00464206"/>
    <w:rsid w:val="004642DB"/>
    <w:rsid w:val="004653D6"/>
    <w:rsid w:val="0046606C"/>
    <w:rsid w:val="00466437"/>
    <w:rsid w:val="00466DC8"/>
    <w:rsid w:val="00467192"/>
    <w:rsid w:val="004674A6"/>
    <w:rsid w:val="00470073"/>
    <w:rsid w:val="004702E8"/>
    <w:rsid w:val="00472845"/>
    <w:rsid w:val="00473236"/>
    <w:rsid w:val="004745AB"/>
    <w:rsid w:val="0047512D"/>
    <w:rsid w:val="00475569"/>
    <w:rsid w:val="00480259"/>
    <w:rsid w:val="00482994"/>
    <w:rsid w:val="00483069"/>
    <w:rsid w:val="00483B30"/>
    <w:rsid w:val="00483D6D"/>
    <w:rsid w:val="00483E15"/>
    <w:rsid w:val="00484412"/>
    <w:rsid w:val="00484517"/>
    <w:rsid w:val="00487A04"/>
    <w:rsid w:val="0049061D"/>
    <w:rsid w:val="004907C3"/>
    <w:rsid w:val="004912C4"/>
    <w:rsid w:val="00491BEF"/>
    <w:rsid w:val="004924B9"/>
    <w:rsid w:val="00495250"/>
    <w:rsid w:val="00495F31"/>
    <w:rsid w:val="004962C6"/>
    <w:rsid w:val="004963CC"/>
    <w:rsid w:val="00496FBC"/>
    <w:rsid w:val="004A1225"/>
    <w:rsid w:val="004A2006"/>
    <w:rsid w:val="004A37AA"/>
    <w:rsid w:val="004A4BD2"/>
    <w:rsid w:val="004A4BF4"/>
    <w:rsid w:val="004A57F0"/>
    <w:rsid w:val="004A5907"/>
    <w:rsid w:val="004A7170"/>
    <w:rsid w:val="004A75D2"/>
    <w:rsid w:val="004A7B10"/>
    <w:rsid w:val="004B3030"/>
    <w:rsid w:val="004B35D1"/>
    <w:rsid w:val="004B4049"/>
    <w:rsid w:val="004B5656"/>
    <w:rsid w:val="004B565F"/>
    <w:rsid w:val="004B620C"/>
    <w:rsid w:val="004B7326"/>
    <w:rsid w:val="004B7761"/>
    <w:rsid w:val="004B7EBB"/>
    <w:rsid w:val="004C01BA"/>
    <w:rsid w:val="004C0863"/>
    <w:rsid w:val="004C0AAB"/>
    <w:rsid w:val="004C1650"/>
    <w:rsid w:val="004C45FE"/>
    <w:rsid w:val="004C60C5"/>
    <w:rsid w:val="004C63D1"/>
    <w:rsid w:val="004C6548"/>
    <w:rsid w:val="004C69CC"/>
    <w:rsid w:val="004C7176"/>
    <w:rsid w:val="004C724B"/>
    <w:rsid w:val="004C75B2"/>
    <w:rsid w:val="004C77B0"/>
    <w:rsid w:val="004D13F8"/>
    <w:rsid w:val="004D19FB"/>
    <w:rsid w:val="004D1B27"/>
    <w:rsid w:val="004D284C"/>
    <w:rsid w:val="004D2956"/>
    <w:rsid w:val="004D2B30"/>
    <w:rsid w:val="004D631A"/>
    <w:rsid w:val="004D6DE2"/>
    <w:rsid w:val="004E0A7D"/>
    <w:rsid w:val="004E0D6B"/>
    <w:rsid w:val="004E1F74"/>
    <w:rsid w:val="004E210A"/>
    <w:rsid w:val="004E350F"/>
    <w:rsid w:val="004E353E"/>
    <w:rsid w:val="004E3F46"/>
    <w:rsid w:val="004E5146"/>
    <w:rsid w:val="004E5F99"/>
    <w:rsid w:val="004E600B"/>
    <w:rsid w:val="004E74F6"/>
    <w:rsid w:val="004E7623"/>
    <w:rsid w:val="004F0340"/>
    <w:rsid w:val="004F1496"/>
    <w:rsid w:val="004F25D5"/>
    <w:rsid w:val="004F284E"/>
    <w:rsid w:val="004F36D6"/>
    <w:rsid w:val="004F5CEB"/>
    <w:rsid w:val="004F650E"/>
    <w:rsid w:val="004F6C20"/>
    <w:rsid w:val="004F6DF4"/>
    <w:rsid w:val="004F7A61"/>
    <w:rsid w:val="004F7E28"/>
    <w:rsid w:val="00500F0D"/>
    <w:rsid w:val="00501852"/>
    <w:rsid w:val="00503140"/>
    <w:rsid w:val="005033FF"/>
    <w:rsid w:val="00503A0C"/>
    <w:rsid w:val="005048C0"/>
    <w:rsid w:val="00504B39"/>
    <w:rsid w:val="00505417"/>
    <w:rsid w:val="005063BE"/>
    <w:rsid w:val="00507713"/>
    <w:rsid w:val="00510027"/>
    <w:rsid w:val="00510C78"/>
    <w:rsid w:val="00513453"/>
    <w:rsid w:val="005152FC"/>
    <w:rsid w:val="00515981"/>
    <w:rsid w:val="00515B10"/>
    <w:rsid w:val="00515F67"/>
    <w:rsid w:val="00516142"/>
    <w:rsid w:val="005165F5"/>
    <w:rsid w:val="00516912"/>
    <w:rsid w:val="005170FF"/>
    <w:rsid w:val="00517647"/>
    <w:rsid w:val="005202C2"/>
    <w:rsid w:val="00520334"/>
    <w:rsid w:val="00521F87"/>
    <w:rsid w:val="005220AA"/>
    <w:rsid w:val="0052356F"/>
    <w:rsid w:val="00523EAD"/>
    <w:rsid w:val="00524149"/>
    <w:rsid w:val="00524475"/>
    <w:rsid w:val="00524C41"/>
    <w:rsid w:val="00525569"/>
    <w:rsid w:val="00525A48"/>
    <w:rsid w:val="00527441"/>
    <w:rsid w:val="005304E6"/>
    <w:rsid w:val="00531177"/>
    <w:rsid w:val="00532DEB"/>
    <w:rsid w:val="00533F39"/>
    <w:rsid w:val="00534A2D"/>
    <w:rsid w:val="00534C3F"/>
    <w:rsid w:val="00535EBC"/>
    <w:rsid w:val="0053664A"/>
    <w:rsid w:val="00537E02"/>
    <w:rsid w:val="00540196"/>
    <w:rsid w:val="0054090E"/>
    <w:rsid w:val="005436C1"/>
    <w:rsid w:val="005447DC"/>
    <w:rsid w:val="00544A59"/>
    <w:rsid w:val="00544E7A"/>
    <w:rsid w:val="005469FF"/>
    <w:rsid w:val="00546BA5"/>
    <w:rsid w:val="00546BB9"/>
    <w:rsid w:val="00547700"/>
    <w:rsid w:val="005522B0"/>
    <w:rsid w:val="0055244F"/>
    <w:rsid w:val="005529E1"/>
    <w:rsid w:val="00553164"/>
    <w:rsid w:val="00553515"/>
    <w:rsid w:val="0055697D"/>
    <w:rsid w:val="00556B63"/>
    <w:rsid w:val="00556BEC"/>
    <w:rsid w:val="00556D32"/>
    <w:rsid w:val="00557317"/>
    <w:rsid w:val="00557B0A"/>
    <w:rsid w:val="005620A8"/>
    <w:rsid w:val="005630D7"/>
    <w:rsid w:val="00567629"/>
    <w:rsid w:val="00567661"/>
    <w:rsid w:val="00570804"/>
    <w:rsid w:val="00572CF5"/>
    <w:rsid w:val="00572E10"/>
    <w:rsid w:val="005730C3"/>
    <w:rsid w:val="00573940"/>
    <w:rsid w:val="00574760"/>
    <w:rsid w:val="00574F1D"/>
    <w:rsid w:val="00576093"/>
    <w:rsid w:val="00576558"/>
    <w:rsid w:val="0057756B"/>
    <w:rsid w:val="00577A09"/>
    <w:rsid w:val="00577B66"/>
    <w:rsid w:val="00577F12"/>
    <w:rsid w:val="00581996"/>
    <w:rsid w:val="00583D6F"/>
    <w:rsid w:val="00584835"/>
    <w:rsid w:val="00585C2F"/>
    <w:rsid w:val="0058798B"/>
    <w:rsid w:val="00593670"/>
    <w:rsid w:val="00593A43"/>
    <w:rsid w:val="00595CC4"/>
    <w:rsid w:val="005A07D8"/>
    <w:rsid w:val="005A09B2"/>
    <w:rsid w:val="005A1AD4"/>
    <w:rsid w:val="005A3AC3"/>
    <w:rsid w:val="005A3BE7"/>
    <w:rsid w:val="005A4C36"/>
    <w:rsid w:val="005A534F"/>
    <w:rsid w:val="005A55C5"/>
    <w:rsid w:val="005A6BED"/>
    <w:rsid w:val="005A6E60"/>
    <w:rsid w:val="005B0551"/>
    <w:rsid w:val="005B067A"/>
    <w:rsid w:val="005B0A28"/>
    <w:rsid w:val="005B37F3"/>
    <w:rsid w:val="005B419B"/>
    <w:rsid w:val="005B657F"/>
    <w:rsid w:val="005B6D2F"/>
    <w:rsid w:val="005C038B"/>
    <w:rsid w:val="005C0A3A"/>
    <w:rsid w:val="005C169A"/>
    <w:rsid w:val="005C179B"/>
    <w:rsid w:val="005C20DC"/>
    <w:rsid w:val="005C3023"/>
    <w:rsid w:val="005C3820"/>
    <w:rsid w:val="005C3930"/>
    <w:rsid w:val="005C3974"/>
    <w:rsid w:val="005C3D92"/>
    <w:rsid w:val="005C3FE0"/>
    <w:rsid w:val="005C52AB"/>
    <w:rsid w:val="005C5970"/>
    <w:rsid w:val="005C6B08"/>
    <w:rsid w:val="005C7354"/>
    <w:rsid w:val="005D2EEE"/>
    <w:rsid w:val="005D3224"/>
    <w:rsid w:val="005D32D2"/>
    <w:rsid w:val="005D3480"/>
    <w:rsid w:val="005D37C1"/>
    <w:rsid w:val="005D37FC"/>
    <w:rsid w:val="005D4494"/>
    <w:rsid w:val="005D46E9"/>
    <w:rsid w:val="005D4E78"/>
    <w:rsid w:val="005E0263"/>
    <w:rsid w:val="005E16D4"/>
    <w:rsid w:val="005E4823"/>
    <w:rsid w:val="005E4DCD"/>
    <w:rsid w:val="005E5E5C"/>
    <w:rsid w:val="005E66A6"/>
    <w:rsid w:val="005E6BD5"/>
    <w:rsid w:val="005E7CF9"/>
    <w:rsid w:val="005F1961"/>
    <w:rsid w:val="005F2710"/>
    <w:rsid w:val="005F4440"/>
    <w:rsid w:val="005F4864"/>
    <w:rsid w:val="005F536A"/>
    <w:rsid w:val="005F5A99"/>
    <w:rsid w:val="005F69EC"/>
    <w:rsid w:val="005F7217"/>
    <w:rsid w:val="005F7370"/>
    <w:rsid w:val="00600223"/>
    <w:rsid w:val="0060031B"/>
    <w:rsid w:val="0060047C"/>
    <w:rsid w:val="00601546"/>
    <w:rsid w:val="0060170A"/>
    <w:rsid w:val="00601EDD"/>
    <w:rsid w:val="00601FC5"/>
    <w:rsid w:val="0060319B"/>
    <w:rsid w:val="00603221"/>
    <w:rsid w:val="00605157"/>
    <w:rsid w:val="006061E9"/>
    <w:rsid w:val="0060680C"/>
    <w:rsid w:val="00606FD0"/>
    <w:rsid w:val="00607674"/>
    <w:rsid w:val="006077CA"/>
    <w:rsid w:val="00607DAA"/>
    <w:rsid w:val="00611443"/>
    <w:rsid w:val="006126E7"/>
    <w:rsid w:val="0061280C"/>
    <w:rsid w:val="0061289C"/>
    <w:rsid w:val="00612BBC"/>
    <w:rsid w:val="00612C70"/>
    <w:rsid w:val="006145B0"/>
    <w:rsid w:val="00614E99"/>
    <w:rsid w:val="00616049"/>
    <w:rsid w:val="00616153"/>
    <w:rsid w:val="0061616D"/>
    <w:rsid w:val="0061700A"/>
    <w:rsid w:val="0061727A"/>
    <w:rsid w:val="006177E9"/>
    <w:rsid w:val="00617F64"/>
    <w:rsid w:val="006207FA"/>
    <w:rsid w:val="00624534"/>
    <w:rsid w:val="00624C4C"/>
    <w:rsid w:val="00624C91"/>
    <w:rsid w:val="00625743"/>
    <w:rsid w:val="0062581D"/>
    <w:rsid w:val="006266D3"/>
    <w:rsid w:val="00626D18"/>
    <w:rsid w:val="00627059"/>
    <w:rsid w:val="00627576"/>
    <w:rsid w:val="00627726"/>
    <w:rsid w:val="00627D75"/>
    <w:rsid w:val="00630091"/>
    <w:rsid w:val="00630775"/>
    <w:rsid w:val="00630A03"/>
    <w:rsid w:val="00630B5B"/>
    <w:rsid w:val="00631CFE"/>
    <w:rsid w:val="00632D29"/>
    <w:rsid w:val="00633D10"/>
    <w:rsid w:val="00634AB5"/>
    <w:rsid w:val="00634C2C"/>
    <w:rsid w:val="00635C57"/>
    <w:rsid w:val="00636BA1"/>
    <w:rsid w:val="00637527"/>
    <w:rsid w:val="006401FA"/>
    <w:rsid w:val="00640AFE"/>
    <w:rsid w:val="00641A4F"/>
    <w:rsid w:val="00641D6F"/>
    <w:rsid w:val="00643F71"/>
    <w:rsid w:val="00644AA8"/>
    <w:rsid w:val="00644F88"/>
    <w:rsid w:val="00645752"/>
    <w:rsid w:val="00646336"/>
    <w:rsid w:val="0064639D"/>
    <w:rsid w:val="00647486"/>
    <w:rsid w:val="0064759A"/>
    <w:rsid w:val="006500A8"/>
    <w:rsid w:val="00650663"/>
    <w:rsid w:val="00653147"/>
    <w:rsid w:val="00653EC2"/>
    <w:rsid w:val="006541C7"/>
    <w:rsid w:val="006545D6"/>
    <w:rsid w:val="00656DD6"/>
    <w:rsid w:val="00656E72"/>
    <w:rsid w:val="006579F2"/>
    <w:rsid w:val="0066072B"/>
    <w:rsid w:val="00660959"/>
    <w:rsid w:val="006621BB"/>
    <w:rsid w:val="006627A3"/>
    <w:rsid w:val="00662B1B"/>
    <w:rsid w:val="00662CBE"/>
    <w:rsid w:val="00662F66"/>
    <w:rsid w:val="006633B4"/>
    <w:rsid w:val="006634A6"/>
    <w:rsid w:val="006640FC"/>
    <w:rsid w:val="00664363"/>
    <w:rsid w:val="006650A0"/>
    <w:rsid w:val="006657E2"/>
    <w:rsid w:val="00665889"/>
    <w:rsid w:val="006659E7"/>
    <w:rsid w:val="00666584"/>
    <w:rsid w:val="00666C85"/>
    <w:rsid w:val="00672FF0"/>
    <w:rsid w:val="00673EB4"/>
    <w:rsid w:val="006808CF"/>
    <w:rsid w:val="00680AFD"/>
    <w:rsid w:val="00681348"/>
    <w:rsid w:val="00681C09"/>
    <w:rsid w:val="00683329"/>
    <w:rsid w:val="00684111"/>
    <w:rsid w:val="006843C7"/>
    <w:rsid w:val="00684CAD"/>
    <w:rsid w:val="00686725"/>
    <w:rsid w:val="00686726"/>
    <w:rsid w:val="00691BCB"/>
    <w:rsid w:val="00691ED9"/>
    <w:rsid w:val="0069203D"/>
    <w:rsid w:val="00692317"/>
    <w:rsid w:val="00695C25"/>
    <w:rsid w:val="006963C4"/>
    <w:rsid w:val="0069653E"/>
    <w:rsid w:val="00696973"/>
    <w:rsid w:val="00697258"/>
    <w:rsid w:val="0069739E"/>
    <w:rsid w:val="006A15CC"/>
    <w:rsid w:val="006A2524"/>
    <w:rsid w:val="006A33EB"/>
    <w:rsid w:val="006A5CD6"/>
    <w:rsid w:val="006A6127"/>
    <w:rsid w:val="006A7E1B"/>
    <w:rsid w:val="006B04AB"/>
    <w:rsid w:val="006B1208"/>
    <w:rsid w:val="006B18A6"/>
    <w:rsid w:val="006B1B40"/>
    <w:rsid w:val="006B34FE"/>
    <w:rsid w:val="006B44BD"/>
    <w:rsid w:val="006B458E"/>
    <w:rsid w:val="006B7129"/>
    <w:rsid w:val="006B7B56"/>
    <w:rsid w:val="006C06C2"/>
    <w:rsid w:val="006C1E97"/>
    <w:rsid w:val="006C21B6"/>
    <w:rsid w:val="006C26F9"/>
    <w:rsid w:val="006C2DD2"/>
    <w:rsid w:val="006C351E"/>
    <w:rsid w:val="006C460B"/>
    <w:rsid w:val="006C5E89"/>
    <w:rsid w:val="006C602D"/>
    <w:rsid w:val="006C6069"/>
    <w:rsid w:val="006C637C"/>
    <w:rsid w:val="006C7089"/>
    <w:rsid w:val="006C7890"/>
    <w:rsid w:val="006D02BF"/>
    <w:rsid w:val="006D03D5"/>
    <w:rsid w:val="006D0769"/>
    <w:rsid w:val="006D252A"/>
    <w:rsid w:val="006D27F8"/>
    <w:rsid w:val="006D2F3F"/>
    <w:rsid w:val="006D5721"/>
    <w:rsid w:val="006D6915"/>
    <w:rsid w:val="006D7590"/>
    <w:rsid w:val="006E03F7"/>
    <w:rsid w:val="006E10A5"/>
    <w:rsid w:val="006E1B73"/>
    <w:rsid w:val="006E26AE"/>
    <w:rsid w:val="006E3C3C"/>
    <w:rsid w:val="006E5314"/>
    <w:rsid w:val="006E5F02"/>
    <w:rsid w:val="006E67BD"/>
    <w:rsid w:val="006E6F2C"/>
    <w:rsid w:val="006E75DD"/>
    <w:rsid w:val="006F1425"/>
    <w:rsid w:val="006F1ACD"/>
    <w:rsid w:val="006F1B7D"/>
    <w:rsid w:val="006F32D6"/>
    <w:rsid w:val="006F3805"/>
    <w:rsid w:val="006F4199"/>
    <w:rsid w:val="006F4930"/>
    <w:rsid w:val="006F5679"/>
    <w:rsid w:val="006F5DD1"/>
    <w:rsid w:val="006F6704"/>
    <w:rsid w:val="006F6DA0"/>
    <w:rsid w:val="00703AFA"/>
    <w:rsid w:val="00703DD8"/>
    <w:rsid w:val="007045B0"/>
    <w:rsid w:val="007049B8"/>
    <w:rsid w:val="00704DE3"/>
    <w:rsid w:val="00706123"/>
    <w:rsid w:val="007063F0"/>
    <w:rsid w:val="0070736C"/>
    <w:rsid w:val="00707C24"/>
    <w:rsid w:val="00710326"/>
    <w:rsid w:val="00711BA5"/>
    <w:rsid w:val="007125F0"/>
    <w:rsid w:val="00713316"/>
    <w:rsid w:val="0071455A"/>
    <w:rsid w:val="00715144"/>
    <w:rsid w:val="00715F25"/>
    <w:rsid w:val="00716D34"/>
    <w:rsid w:val="007208DD"/>
    <w:rsid w:val="0072121A"/>
    <w:rsid w:val="0072193E"/>
    <w:rsid w:val="00723001"/>
    <w:rsid w:val="007231B9"/>
    <w:rsid w:val="0072346E"/>
    <w:rsid w:val="00723FA9"/>
    <w:rsid w:val="00724006"/>
    <w:rsid w:val="007250D1"/>
    <w:rsid w:val="007258F8"/>
    <w:rsid w:val="00730348"/>
    <w:rsid w:val="00731C53"/>
    <w:rsid w:val="00734CFE"/>
    <w:rsid w:val="007360E2"/>
    <w:rsid w:val="007365B4"/>
    <w:rsid w:val="007366C3"/>
    <w:rsid w:val="00736792"/>
    <w:rsid w:val="00736B78"/>
    <w:rsid w:val="00737D90"/>
    <w:rsid w:val="00737F60"/>
    <w:rsid w:val="007404C8"/>
    <w:rsid w:val="00740B6F"/>
    <w:rsid w:val="00740F63"/>
    <w:rsid w:val="007410AE"/>
    <w:rsid w:val="007413A4"/>
    <w:rsid w:val="00741AAC"/>
    <w:rsid w:val="00741C35"/>
    <w:rsid w:val="0074288A"/>
    <w:rsid w:val="00742C55"/>
    <w:rsid w:val="00743C9E"/>
    <w:rsid w:val="00743E65"/>
    <w:rsid w:val="00744EE0"/>
    <w:rsid w:val="00744F44"/>
    <w:rsid w:val="007451C5"/>
    <w:rsid w:val="007456C6"/>
    <w:rsid w:val="00745F3C"/>
    <w:rsid w:val="00746090"/>
    <w:rsid w:val="00746C92"/>
    <w:rsid w:val="007507E7"/>
    <w:rsid w:val="00750A86"/>
    <w:rsid w:val="00750CFD"/>
    <w:rsid w:val="0075121C"/>
    <w:rsid w:val="0075158A"/>
    <w:rsid w:val="007523A8"/>
    <w:rsid w:val="00752D01"/>
    <w:rsid w:val="00754CDB"/>
    <w:rsid w:val="007552DA"/>
    <w:rsid w:val="007571CC"/>
    <w:rsid w:val="007572E5"/>
    <w:rsid w:val="0075781C"/>
    <w:rsid w:val="00760E11"/>
    <w:rsid w:val="00763E60"/>
    <w:rsid w:val="00763EF0"/>
    <w:rsid w:val="00764B1F"/>
    <w:rsid w:val="00764D9C"/>
    <w:rsid w:val="00765501"/>
    <w:rsid w:val="007666DD"/>
    <w:rsid w:val="00766D2B"/>
    <w:rsid w:val="00770362"/>
    <w:rsid w:val="00770948"/>
    <w:rsid w:val="00770C96"/>
    <w:rsid w:val="00771AEF"/>
    <w:rsid w:val="00771E60"/>
    <w:rsid w:val="0077222F"/>
    <w:rsid w:val="00773078"/>
    <w:rsid w:val="00773A1D"/>
    <w:rsid w:val="00776096"/>
    <w:rsid w:val="0077622B"/>
    <w:rsid w:val="007764F3"/>
    <w:rsid w:val="00776F86"/>
    <w:rsid w:val="00777194"/>
    <w:rsid w:val="00780B63"/>
    <w:rsid w:val="00784164"/>
    <w:rsid w:val="00784FE0"/>
    <w:rsid w:val="00785121"/>
    <w:rsid w:val="007852F5"/>
    <w:rsid w:val="00785A4B"/>
    <w:rsid w:val="0079044C"/>
    <w:rsid w:val="00791B33"/>
    <w:rsid w:val="007925AD"/>
    <w:rsid w:val="00792C9E"/>
    <w:rsid w:val="007940F3"/>
    <w:rsid w:val="0079585F"/>
    <w:rsid w:val="007964E4"/>
    <w:rsid w:val="00796D69"/>
    <w:rsid w:val="007973C5"/>
    <w:rsid w:val="007A1164"/>
    <w:rsid w:val="007A2460"/>
    <w:rsid w:val="007A2B50"/>
    <w:rsid w:val="007A3890"/>
    <w:rsid w:val="007A3B1D"/>
    <w:rsid w:val="007A50BC"/>
    <w:rsid w:val="007A7C76"/>
    <w:rsid w:val="007B1DC7"/>
    <w:rsid w:val="007B2371"/>
    <w:rsid w:val="007B2B52"/>
    <w:rsid w:val="007B315B"/>
    <w:rsid w:val="007B364C"/>
    <w:rsid w:val="007B3ED9"/>
    <w:rsid w:val="007B4774"/>
    <w:rsid w:val="007B532D"/>
    <w:rsid w:val="007B5D8A"/>
    <w:rsid w:val="007B6AE5"/>
    <w:rsid w:val="007B703F"/>
    <w:rsid w:val="007B79C1"/>
    <w:rsid w:val="007C052B"/>
    <w:rsid w:val="007C0613"/>
    <w:rsid w:val="007C0C6B"/>
    <w:rsid w:val="007C11F7"/>
    <w:rsid w:val="007C145F"/>
    <w:rsid w:val="007C2BB6"/>
    <w:rsid w:val="007C2C5D"/>
    <w:rsid w:val="007C4EFC"/>
    <w:rsid w:val="007C5C51"/>
    <w:rsid w:val="007C6BBE"/>
    <w:rsid w:val="007C701C"/>
    <w:rsid w:val="007C741D"/>
    <w:rsid w:val="007C7AC2"/>
    <w:rsid w:val="007D0BEA"/>
    <w:rsid w:val="007D1152"/>
    <w:rsid w:val="007D17ED"/>
    <w:rsid w:val="007D284A"/>
    <w:rsid w:val="007D2BA7"/>
    <w:rsid w:val="007D2D3F"/>
    <w:rsid w:val="007D39FE"/>
    <w:rsid w:val="007D3A7F"/>
    <w:rsid w:val="007D407E"/>
    <w:rsid w:val="007E1DB9"/>
    <w:rsid w:val="007E44FC"/>
    <w:rsid w:val="007E5C54"/>
    <w:rsid w:val="007E7288"/>
    <w:rsid w:val="007F0B62"/>
    <w:rsid w:val="007F1224"/>
    <w:rsid w:val="007F14ED"/>
    <w:rsid w:val="007F1F4A"/>
    <w:rsid w:val="007F355A"/>
    <w:rsid w:val="007F3732"/>
    <w:rsid w:val="007F384B"/>
    <w:rsid w:val="007F3C20"/>
    <w:rsid w:val="007F3FAF"/>
    <w:rsid w:val="007F508C"/>
    <w:rsid w:val="007F6129"/>
    <w:rsid w:val="008018B3"/>
    <w:rsid w:val="00801AD6"/>
    <w:rsid w:val="0080259F"/>
    <w:rsid w:val="00802ED9"/>
    <w:rsid w:val="00805EAA"/>
    <w:rsid w:val="008061C5"/>
    <w:rsid w:val="008103A2"/>
    <w:rsid w:val="008105DD"/>
    <w:rsid w:val="00810CC2"/>
    <w:rsid w:val="00810FF7"/>
    <w:rsid w:val="00811327"/>
    <w:rsid w:val="00811E18"/>
    <w:rsid w:val="00811F5F"/>
    <w:rsid w:val="008124D4"/>
    <w:rsid w:val="0081671F"/>
    <w:rsid w:val="0081748D"/>
    <w:rsid w:val="00817798"/>
    <w:rsid w:val="008179C7"/>
    <w:rsid w:val="00817C98"/>
    <w:rsid w:val="00820FDE"/>
    <w:rsid w:val="00821149"/>
    <w:rsid w:val="008221FE"/>
    <w:rsid w:val="00822601"/>
    <w:rsid w:val="008250BF"/>
    <w:rsid w:val="008266FF"/>
    <w:rsid w:val="008267A7"/>
    <w:rsid w:val="00827BE3"/>
    <w:rsid w:val="00831EB0"/>
    <w:rsid w:val="0083287E"/>
    <w:rsid w:val="00832B47"/>
    <w:rsid w:val="008338A2"/>
    <w:rsid w:val="0083400C"/>
    <w:rsid w:val="00834191"/>
    <w:rsid w:val="00834350"/>
    <w:rsid w:val="00835269"/>
    <w:rsid w:val="0083545F"/>
    <w:rsid w:val="00835495"/>
    <w:rsid w:val="00835598"/>
    <w:rsid w:val="00835761"/>
    <w:rsid w:val="00835C8A"/>
    <w:rsid w:val="008368C8"/>
    <w:rsid w:val="00836C4D"/>
    <w:rsid w:val="008407F9"/>
    <w:rsid w:val="00841BC7"/>
    <w:rsid w:val="00842072"/>
    <w:rsid w:val="0084300C"/>
    <w:rsid w:val="0084354B"/>
    <w:rsid w:val="0084375D"/>
    <w:rsid w:val="008438F3"/>
    <w:rsid w:val="00846545"/>
    <w:rsid w:val="00847D46"/>
    <w:rsid w:val="00850923"/>
    <w:rsid w:val="008518CF"/>
    <w:rsid w:val="00852A39"/>
    <w:rsid w:val="00852ED7"/>
    <w:rsid w:val="008539C5"/>
    <w:rsid w:val="00854115"/>
    <w:rsid w:val="00854221"/>
    <w:rsid w:val="00855005"/>
    <w:rsid w:val="008552A4"/>
    <w:rsid w:val="0085598A"/>
    <w:rsid w:val="00860929"/>
    <w:rsid w:val="0086101C"/>
    <w:rsid w:val="00861557"/>
    <w:rsid w:val="00861F7A"/>
    <w:rsid w:val="00862E71"/>
    <w:rsid w:val="008642B1"/>
    <w:rsid w:val="00864388"/>
    <w:rsid w:val="00864D4F"/>
    <w:rsid w:val="00865C0D"/>
    <w:rsid w:val="00867003"/>
    <w:rsid w:val="00867692"/>
    <w:rsid w:val="00867700"/>
    <w:rsid w:val="0086785C"/>
    <w:rsid w:val="00867D13"/>
    <w:rsid w:val="00870460"/>
    <w:rsid w:val="00870E42"/>
    <w:rsid w:val="008718B3"/>
    <w:rsid w:val="00871B41"/>
    <w:rsid w:val="00871BEB"/>
    <w:rsid w:val="00872FBA"/>
    <w:rsid w:val="00873E78"/>
    <w:rsid w:val="008744B6"/>
    <w:rsid w:val="0087450D"/>
    <w:rsid w:val="00874DA1"/>
    <w:rsid w:val="00874E8F"/>
    <w:rsid w:val="008777F9"/>
    <w:rsid w:val="008802F8"/>
    <w:rsid w:val="008805E9"/>
    <w:rsid w:val="00882B71"/>
    <w:rsid w:val="00883055"/>
    <w:rsid w:val="008836E2"/>
    <w:rsid w:val="008837DE"/>
    <w:rsid w:val="00884232"/>
    <w:rsid w:val="00884755"/>
    <w:rsid w:val="00884910"/>
    <w:rsid w:val="00884948"/>
    <w:rsid w:val="00884E57"/>
    <w:rsid w:val="00885C02"/>
    <w:rsid w:val="008911A9"/>
    <w:rsid w:val="008926A5"/>
    <w:rsid w:val="00893EFF"/>
    <w:rsid w:val="0089512A"/>
    <w:rsid w:val="008958EF"/>
    <w:rsid w:val="00896C9A"/>
    <w:rsid w:val="008A2BA9"/>
    <w:rsid w:val="008A3847"/>
    <w:rsid w:val="008A38ED"/>
    <w:rsid w:val="008A3AE4"/>
    <w:rsid w:val="008A4624"/>
    <w:rsid w:val="008A5A25"/>
    <w:rsid w:val="008A74CE"/>
    <w:rsid w:val="008B0785"/>
    <w:rsid w:val="008B0C27"/>
    <w:rsid w:val="008B1473"/>
    <w:rsid w:val="008B1F60"/>
    <w:rsid w:val="008B3B23"/>
    <w:rsid w:val="008B4400"/>
    <w:rsid w:val="008B4A75"/>
    <w:rsid w:val="008B4FDA"/>
    <w:rsid w:val="008B540F"/>
    <w:rsid w:val="008B693E"/>
    <w:rsid w:val="008B7937"/>
    <w:rsid w:val="008C0A3B"/>
    <w:rsid w:val="008C1425"/>
    <w:rsid w:val="008C305E"/>
    <w:rsid w:val="008C33B1"/>
    <w:rsid w:val="008C3533"/>
    <w:rsid w:val="008C4C4F"/>
    <w:rsid w:val="008C522B"/>
    <w:rsid w:val="008C5256"/>
    <w:rsid w:val="008C5BC1"/>
    <w:rsid w:val="008C5D1D"/>
    <w:rsid w:val="008C7391"/>
    <w:rsid w:val="008D04AC"/>
    <w:rsid w:val="008D04C6"/>
    <w:rsid w:val="008D168F"/>
    <w:rsid w:val="008D2182"/>
    <w:rsid w:val="008D25E0"/>
    <w:rsid w:val="008D4205"/>
    <w:rsid w:val="008D492D"/>
    <w:rsid w:val="008D4AEE"/>
    <w:rsid w:val="008D5947"/>
    <w:rsid w:val="008D6AE5"/>
    <w:rsid w:val="008E148A"/>
    <w:rsid w:val="008E1D64"/>
    <w:rsid w:val="008E254C"/>
    <w:rsid w:val="008E2BA4"/>
    <w:rsid w:val="008E3520"/>
    <w:rsid w:val="008E3C0B"/>
    <w:rsid w:val="008E4882"/>
    <w:rsid w:val="008E5194"/>
    <w:rsid w:val="008F2F8D"/>
    <w:rsid w:val="008F527C"/>
    <w:rsid w:val="008F5968"/>
    <w:rsid w:val="008F5BBF"/>
    <w:rsid w:val="008F7106"/>
    <w:rsid w:val="008F7B7D"/>
    <w:rsid w:val="008F7B8E"/>
    <w:rsid w:val="009007E8"/>
    <w:rsid w:val="009008C2"/>
    <w:rsid w:val="00901216"/>
    <w:rsid w:val="00902A77"/>
    <w:rsid w:val="00902BD2"/>
    <w:rsid w:val="0090353B"/>
    <w:rsid w:val="00903F97"/>
    <w:rsid w:val="00904BE5"/>
    <w:rsid w:val="00906F38"/>
    <w:rsid w:val="009102BF"/>
    <w:rsid w:val="0091130F"/>
    <w:rsid w:val="00911815"/>
    <w:rsid w:val="00912DAB"/>
    <w:rsid w:val="00913932"/>
    <w:rsid w:val="00914BF8"/>
    <w:rsid w:val="00914C0F"/>
    <w:rsid w:val="00914C3C"/>
    <w:rsid w:val="00914F79"/>
    <w:rsid w:val="0092088E"/>
    <w:rsid w:val="00920A40"/>
    <w:rsid w:val="00921386"/>
    <w:rsid w:val="00924636"/>
    <w:rsid w:val="00924DB6"/>
    <w:rsid w:val="0092545F"/>
    <w:rsid w:val="0092698E"/>
    <w:rsid w:val="00926CC4"/>
    <w:rsid w:val="009308E3"/>
    <w:rsid w:val="00930D21"/>
    <w:rsid w:val="009313E9"/>
    <w:rsid w:val="0093165C"/>
    <w:rsid w:val="00931C8E"/>
    <w:rsid w:val="00932744"/>
    <w:rsid w:val="00932763"/>
    <w:rsid w:val="00934C0E"/>
    <w:rsid w:val="00934F9C"/>
    <w:rsid w:val="0093647F"/>
    <w:rsid w:val="00936657"/>
    <w:rsid w:val="009374C1"/>
    <w:rsid w:val="00937CB7"/>
    <w:rsid w:val="00937F41"/>
    <w:rsid w:val="00940B80"/>
    <w:rsid w:val="009414EA"/>
    <w:rsid w:val="009416D2"/>
    <w:rsid w:val="00941889"/>
    <w:rsid w:val="00941EDF"/>
    <w:rsid w:val="0094379C"/>
    <w:rsid w:val="009437FE"/>
    <w:rsid w:val="009442BA"/>
    <w:rsid w:val="00944DA6"/>
    <w:rsid w:val="00945829"/>
    <w:rsid w:val="00946E73"/>
    <w:rsid w:val="009512E7"/>
    <w:rsid w:val="00952AF1"/>
    <w:rsid w:val="00955108"/>
    <w:rsid w:val="009551F1"/>
    <w:rsid w:val="009558AB"/>
    <w:rsid w:val="0095595F"/>
    <w:rsid w:val="00960423"/>
    <w:rsid w:val="009613BF"/>
    <w:rsid w:val="0096192B"/>
    <w:rsid w:val="00963924"/>
    <w:rsid w:val="0096393C"/>
    <w:rsid w:val="00964F2B"/>
    <w:rsid w:val="009667E4"/>
    <w:rsid w:val="00966B9E"/>
    <w:rsid w:val="00967045"/>
    <w:rsid w:val="009671FF"/>
    <w:rsid w:val="00970B1B"/>
    <w:rsid w:val="00970BB2"/>
    <w:rsid w:val="009739B7"/>
    <w:rsid w:val="00974D0E"/>
    <w:rsid w:val="00974FDA"/>
    <w:rsid w:val="00975137"/>
    <w:rsid w:val="00975940"/>
    <w:rsid w:val="00975B17"/>
    <w:rsid w:val="009760D7"/>
    <w:rsid w:val="0097767A"/>
    <w:rsid w:val="0098078F"/>
    <w:rsid w:val="0098080A"/>
    <w:rsid w:val="009809AB"/>
    <w:rsid w:val="009818DC"/>
    <w:rsid w:val="009820A2"/>
    <w:rsid w:val="00982AC3"/>
    <w:rsid w:val="00983235"/>
    <w:rsid w:val="0098332D"/>
    <w:rsid w:val="00985B71"/>
    <w:rsid w:val="00986054"/>
    <w:rsid w:val="00986D20"/>
    <w:rsid w:val="00987987"/>
    <w:rsid w:val="00987A04"/>
    <w:rsid w:val="00990020"/>
    <w:rsid w:val="00991A42"/>
    <w:rsid w:val="00992320"/>
    <w:rsid w:val="009930EC"/>
    <w:rsid w:val="0099479A"/>
    <w:rsid w:val="00995599"/>
    <w:rsid w:val="00996290"/>
    <w:rsid w:val="0099637E"/>
    <w:rsid w:val="00996E9C"/>
    <w:rsid w:val="00997059"/>
    <w:rsid w:val="009A02C3"/>
    <w:rsid w:val="009A0EF8"/>
    <w:rsid w:val="009A1109"/>
    <w:rsid w:val="009A1FC8"/>
    <w:rsid w:val="009A36B4"/>
    <w:rsid w:val="009A3EEE"/>
    <w:rsid w:val="009A4BEB"/>
    <w:rsid w:val="009B0489"/>
    <w:rsid w:val="009B15B4"/>
    <w:rsid w:val="009B1735"/>
    <w:rsid w:val="009B22F3"/>
    <w:rsid w:val="009B233A"/>
    <w:rsid w:val="009B24FF"/>
    <w:rsid w:val="009B5598"/>
    <w:rsid w:val="009B581B"/>
    <w:rsid w:val="009B613B"/>
    <w:rsid w:val="009B6FFA"/>
    <w:rsid w:val="009C03FB"/>
    <w:rsid w:val="009C0E1E"/>
    <w:rsid w:val="009C1E05"/>
    <w:rsid w:val="009C2BAA"/>
    <w:rsid w:val="009C2D25"/>
    <w:rsid w:val="009C3275"/>
    <w:rsid w:val="009C3C23"/>
    <w:rsid w:val="009C4830"/>
    <w:rsid w:val="009C569A"/>
    <w:rsid w:val="009C5711"/>
    <w:rsid w:val="009C5C0C"/>
    <w:rsid w:val="009C69B8"/>
    <w:rsid w:val="009D0F40"/>
    <w:rsid w:val="009D1AEF"/>
    <w:rsid w:val="009D22DF"/>
    <w:rsid w:val="009D244C"/>
    <w:rsid w:val="009D338D"/>
    <w:rsid w:val="009D36E7"/>
    <w:rsid w:val="009D435B"/>
    <w:rsid w:val="009D4F6F"/>
    <w:rsid w:val="009D5E0D"/>
    <w:rsid w:val="009D6CE0"/>
    <w:rsid w:val="009D7D63"/>
    <w:rsid w:val="009E05AC"/>
    <w:rsid w:val="009E068E"/>
    <w:rsid w:val="009E11D3"/>
    <w:rsid w:val="009E17E3"/>
    <w:rsid w:val="009E1A38"/>
    <w:rsid w:val="009E29A7"/>
    <w:rsid w:val="009E2A90"/>
    <w:rsid w:val="009E4EDD"/>
    <w:rsid w:val="009E5B25"/>
    <w:rsid w:val="009E5F9E"/>
    <w:rsid w:val="009E60DA"/>
    <w:rsid w:val="009F0669"/>
    <w:rsid w:val="009F0F69"/>
    <w:rsid w:val="009F2C36"/>
    <w:rsid w:val="009F31A4"/>
    <w:rsid w:val="009F468A"/>
    <w:rsid w:val="009F5372"/>
    <w:rsid w:val="009F6360"/>
    <w:rsid w:val="009F6D5F"/>
    <w:rsid w:val="009F6DCC"/>
    <w:rsid w:val="009F7646"/>
    <w:rsid w:val="00A01001"/>
    <w:rsid w:val="00A01AC0"/>
    <w:rsid w:val="00A02AC2"/>
    <w:rsid w:val="00A02D25"/>
    <w:rsid w:val="00A033EE"/>
    <w:rsid w:val="00A03E29"/>
    <w:rsid w:val="00A054A8"/>
    <w:rsid w:val="00A05E07"/>
    <w:rsid w:val="00A0714A"/>
    <w:rsid w:val="00A07905"/>
    <w:rsid w:val="00A11175"/>
    <w:rsid w:val="00A141C4"/>
    <w:rsid w:val="00A143A8"/>
    <w:rsid w:val="00A14C8A"/>
    <w:rsid w:val="00A15826"/>
    <w:rsid w:val="00A158E0"/>
    <w:rsid w:val="00A17451"/>
    <w:rsid w:val="00A1793E"/>
    <w:rsid w:val="00A208FA"/>
    <w:rsid w:val="00A213D3"/>
    <w:rsid w:val="00A21508"/>
    <w:rsid w:val="00A21DA0"/>
    <w:rsid w:val="00A21F2B"/>
    <w:rsid w:val="00A2228F"/>
    <w:rsid w:val="00A23A7B"/>
    <w:rsid w:val="00A243DA"/>
    <w:rsid w:val="00A2519E"/>
    <w:rsid w:val="00A257E9"/>
    <w:rsid w:val="00A25AF0"/>
    <w:rsid w:val="00A26FA1"/>
    <w:rsid w:val="00A27951"/>
    <w:rsid w:val="00A279AE"/>
    <w:rsid w:val="00A31208"/>
    <w:rsid w:val="00A31D95"/>
    <w:rsid w:val="00A31EAF"/>
    <w:rsid w:val="00A324C1"/>
    <w:rsid w:val="00A32DE9"/>
    <w:rsid w:val="00A33F46"/>
    <w:rsid w:val="00A34216"/>
    <w:rsid w:val="00A348AB"/>
    <w:rsid w:val="00A35874"/>
    <w:rsid w:val="00A369C0"/>
    <w:rsid w:val="00A369CB"/>
    <w:rsid w:val="00A36FDC"/>
    <w:rsid w:val="00A40CA6"/>
    <w:rsid w:val="00A40D36"/>
    <w:rsid w:val="00A41702"/>
    <w:rsid w:val="00A4216C"/>
    <w:rsid w:val="00A4310B"/>
    <w:rsid w:val="00A43701"/>
    <w:rsid w:val="00A43FEF"/>
    <w:rsid w:val="00A45EE5"/>
    <w:rsid w:val="00A46247"/>
    <w:rsid w:val="00A4630B"/>
    <w:rsid w:val="00A46CA5"/>
    <w:rsid w:val="00A47BCE"/>
    <w:rsid w:val="00A47C90"/>
    <w:rsid w:val="00A47E5F"/>
    <w:rsid w:val="00A50851"/>
    <w:rsid w:val="00A50D96"/>
    <w:rsid w:val="00A51562"/>
    <w:rsid w:val="00A53237"/>
    <w:rsid w:val="00A542FA"/>
    <w:rsid w:val="00A550D0"/>
    <w:rsid w:val="00A55F68"/>
    <w:rsid w:val="00A567CC"/>
    <w:rsid w:val="00A569B1"/>
    <w:rsid w:val="00A571B0"/>
    <w:rsid w:val="00A62757"/>
    <w:rsid w:val="00A63431"/>
    <w:rsid w:val="00A63DD5"/>
    <w:rsid w:val="00A63F0A"/>
    <w:rsid w:val="00A64BC4"/>
    <w:rsid w:val="00A64EA2"/>
    <w:rsid w:val="00A650AF"/>
    <w:rsid w:val="00A65EDD"/>
    <w:rsid w:val="00A66899"/>
    <w:rsid w:val="00A675AA"/>
    <w:rsid w:val="00A67742"/>
    <w:rsid w:val="00A7012C"/>
    <w:rsid w:val="00A70765"/>
    <w:rsid w:val="00A70E3E"/>
    <w:rsid w:val="00A71F3A"/>
    <w:rsid w:val="00A72BF2"/>
    <w:rsid w:val="00A7355C"/>
    <w:rsid w:val="00A74809"/>
    <w:rsid w:val="00A74A70"/>
    <w:rsid w:val="00A74CDA"/>
    <w:rsid w:val="00A76166"/>
    <w:rsid w:val="00A771C5"/>
    <w:rsid w:val="00A772C6"/>
    <w:rsid w:val="00A77FEE"/>
    <w:rsid w:val="00A8095F"/>
    <w:rsid w:val="00A8545F"/>
    <w:rsid w:val="00A857D3"/>
    <w:rsid w:val="00A85A44"/>
    <w:rsid w:val="00A85DA5"/>
    <w:rsid w:val="00A86262"/>
    <w:rsid w:val="00A870AE"/>
    <w:rsid w:val="00A876A0"/>
    <w:rsid w:val="00A87C06"/>
    <w:rsid w:val="00A87D0D"/>
    <w:rsid w:val="00A90D85"/>
    <w:rsid w:val="00A91D10"/>
    <w:rsid w:val="00A931A3"/>
    <w:rsid w:val="00A934AC"/>
    <w:rsid w:val="00A93721"/>
    <w:rsid w:val="00A9419A"/>
    <w:rsid w:val="00A9537F"/>
    <w:rsid w:val="00A95911"/>
    <w:rsid w:val="00A9680F"/>
    <w:rsid w:val="00A96AF4"/>
    <w:rsid w:val="00A9710A"/>
    <w:rsid w:val="00A9749A"/>
    <w:rsid w:val="00A976CC"/>
    <w:rsid w:val="00AA0863"/>
    <w:rsid w:val="00AA0EAE"/>
    <w:rsid w:val="00AA1BFD"/>
    <w:rsid w:val="00AA37F9"/>
    <w:rsid w:val="00AA4E63"/>
    <w:rsid w:val="00AA56D5"/>
    <w:rsid w:val="00AA594E"/>
    <w:rsid w:val="00AA681F"/>
    <w:rsid w:val="00AA6ACC"/>
    <w:rsid w:val="00AB0F0E"/>
    <w:rsid w:val="00AB19BF"/>
    <w:rsid w:val="00AB3FFC"/>
    <w:rsid w:val="00AB4737"/>
    <w:rsid w:val="00AB514C"/>
    <w:rsid w:val="00AB5F23"/>
    <w:rsid w:val="00AB75D3"/>
    <w:rsid w:val="00AB7785"/>
    <w:rsid w:val="00AC1115"/>
    <w:rsid w:val="00AC4742"/>
    <w:rsid w:val="00AC4BC7"/>
    <w:rsid w:val="00AC5DF5"/>
    <w:rsid w:val="00AC742E"/>
    <w:rsid w:val="00AD065B"/>
    <w:rsid w:val="00AD2453"/>
    <w:rsid w:val="00AD2DD4"/>
    <w:rsid w:val="00AD2E5B"/>
    <w:rsid w:val="00AD30D7"/>
    <w:rsid w:val="00AD3E17"/>
    <w:rsid w:val="00AD4564"/>
    <w:rsid w:val="00AD62B4"/>
    <w:rsid w:val="00AD756C"/>
    <w:rsid w:val="00AD76AB"/>
    <w:rsid w:val="00AE14E7"/>
    <w:rsid w:val="00AE2495"/>
    <w:rsid w:val="00AE37D7"/>
    <w:rsid w:val="00AE4B7D"/>
    <w:rsid w:val="00AE5A19"/>
    <w:rsid w:val="00AE6CBE"/>
    <w:rsid w:val="00AE767B"/>
    <w:rsid w:val="00AE774E"/>
    <w:rsid w:val="00AE7A20"/>
    <w:rsid w:val="00AE7F90"/>
    <w:rsid w:val="00AF0124"/>
    <w:rsid w:val="00AF0400"/>
    <w:rsid w:val="00AF1016"/>
    <w:rsid w:val="00AF19A5"/>
    <w:rsid w:val="00AF20E4"/>
    <w:rsid w:val="00AF219D"/>
    <w:rsid w:val="00AF2A2F"/>
    <w:rsid w:val="00AF3A38"/>
    <w:rsid w:val="00AF4444"/>
    <w:rsid w:val="00AF45FE"/>
    <w:rsid w:val="00AF4C2F"/>
    <w:rsid w:val="00AF5C78"/>
    <w:rsid w:val="00AF6936"/>
    <w:rsid w:val="00AF6D86"/>
    <w:rsid w:val="00AF765E"/>
    <w:rsid w:val="00AF7E3D"/>
    <w:rsid w:val="00B008EC"/>
    <w:rsid w:val="00B00B25"/>
    <w:rsid w:val="00B00D82"/>
    <w:rsid w:val="00B00DE4"/>
    <w:rsid w:val="00B0115F"/>
    <w:rsid w:val="00B01B58"/>
    <w:rsid w:val="00B03913"/>
    <w:rsid w:val="00B04079"/>
    <w:rsid w:val="00B04423"/>
    <w:rsid w:val="00B04792"/>
    <w:rsid w:val="00B04CEF"/>
    <w:rsid w:val="00B05A7B"/>
    <w:rsid w:val="00B07AB3"/>
    <w:rsid w:val="00B10092"/>
    <w:rsid w:val="00B106BB"/>
    <w:rsid w:val="00B10C36"/>
    <w:rsid w:val="00B1150E"/>
    <w:rsid w:val="00B12E89"/>
    <w:rsid w:val="00B134ED"/>
    <w:rsid w:val="00B14356"/>
    <w:rsid w:val="00B14C26"/>
    <w:rsid w:val="00B14E21"/>
    <w:rsid w:val="00B15753"/>
    <w:rsid w:val="00B15DF6"/>
    <w:rsid w:val="00B16C20"/>
    <w:rsid w:val="00B215FD"/>
    <w:rsid w:val="00B216A9"/>
    <w:rsid w:val="00B21F5C"/>
    <w:rsid w:val="00B22B41"/>
    <w:rsid w:val="00B23027"/>
    <w:rsid w:val="00B2345B"/>
    <w:rsid w:val="00B24F6C"/>
    <w:rsid w:val="00B26C4B"/>
    <w:rsid w:val="00B26F3F"/>
    <w:rsid w:val="00B31AD9"/>
    <w:rsid w:val="00B334EF"/>
    <w:rsid w:val="00B3405C"/>
    <w:rsid w:val="00B340D0"/>
    <w:rsid w:val="00B35521"/>
    <w:rsid w:val="00B35F3E"/>
    <w:rsid w:val="00B36504"/>
    <w:rsid w:val="00B3682D"/>
    <w:rsid w:val="00B408B0"/>
    <w:rsid w:val="00B42974"/>
    <w:rsid w:val="00B42A8B"/>
    <w:rsid w:val="00B438C4"/>
    <w:rsid w:val="00B455AC"/>
    <w:rsid w:val="00B455D9"/>
    <w:rsid w:val="00B4580B"/>
    <w:rsid w:val="00B4692E"/>
    <w:rsid w:val="00B47735"/>
    <w:rsid w:val="00B52D38"/>
    <w:rsid w:val="00B52DD7"/>
    <w:rsid w:val="00B53BF8"/>
    <w:rsid w:val="00B541EE"/>
    <w:rsid w:val="00B55A9E"/>
    <w:rsid w:val="00B569DC"/>
    <w:rsid w:val="00B570BD"/>
    <w:rsid w:val="00B600F5"/>
    <w:rsid w:val="00B6036E"/>
    <w:rsid w:val="00B60926"/>
    <w:rsid w:val="00B62431"/>
    <w:rsid w:val="00B624CC"/>
    <w:rsid w:val="00B63683"/>
    <w:rsid w:val="00B66528"/>
    <w:rsid w:val="00B66E34"/>
    <w:rsid w:val="00B67CCB"/>
    <w:rsid w:val="00B70823"/>
    <w:rsid w:val="00B71A10"/>
    <w:rsid w:val="00B71B51"/>
    <w:rsid w:val="00B721FB"/>
    <w:rsid w:val="00B72845"/>
    <w:rsid w:val="00B729DF"/>
    <w:rsid w:val="00B7301A"/>
    <w:rsid w:val="00B73837"/>
    <w:rsid w:val="00B74C6A"/>
    <w:rsid w:val="00B75B0F"/>
    <w:rsid w:val="00B778BE"/>
    <w:rsid w:val="00B803AD"/>
    <w:rsid w:val="00B80F5A"/>
    <w:rsid w:val="00B818A6"/>
    <w:rsid w:val="00B82259"/>
    <w:rsid w:val="00B83BA4"/>
    <w:rsid w:val="00B84E72"/>
    <w:rsid w:val="00B854BA"/>
    <w:rsid w:val="00B856A3"/>
    <w:rsid w:val="00B858DE"/>
    <w:rsid w:val="00B8648B"/>
    <w:rsid w:val="00B86C83"/>
    <w:rsid w:val="00B86E0F"/>
    <w:rsid w:val="00B86FD8"/>
    <w:rsid w:val="00B903E6"/>
    <w:rsid w:val="00B914B0"/>
    <w:rsid w:val="00B919CF"/>
    <w:rsid w:val="00B923C0"/>
    <w:rsid w:val="00B934CF"/>
    <w:rsid w:val="00B94A84"/>
    <w:rsid w:val="00B950C0"/>
    <w:rsid w:val="00B96946"/>
    <w:rsid w:val="00B96BC3"/>
    <w:rsid w:val="00B97570"/>
    <w:rsid w:val="00BA000B"/>
    <w:rsid w:val="00BA0593"/>
    <w:rsid w:val="00BA0704"/>
    <w:rsid w:val="00BA0752"/>
    <w:rsid w:val="00BA124F"/>
    <w:rsid w:val="00BA20B6"/>
    <w:rsid w:val="00BA26AF"/>
    <w:rsid w:val="00BA2B90"/>
    <w:rsid w:val="00BA3856"/>
    <w:rsid w:val="00BA3EB4"/>
    <w:rsid w:val="00BA42DD"/>
    <w:rsid w:val="00BA495E"/>
    <w:rsid w:val="00BA4F6D"/>
    <w:rsid w:val="00BA75B3"/>
    <w:rsid w:val="00BB0676"/>
    <w:rsid w:val="00BB141E"/>
    <w:rsid w:val="00BB32E6"/>
    <w:rsid w:val="00BB3954"/>
    <w:rsid w:val="00BB48E2"/>
    <w:rsid w:val="00BB53C7"/>
    <w:rsid w:val="00BB6DC0"/>
    <w:rsid w:val="00BB6F8E"/>
    <w:rsid w:val="00BB7305"/>
    <w:rsid w:val="00BB7BBB"/>
    <w:rsid w:val="00BB7C51"/>
    <w:rsid w:val="00BC009C"/>
    <w:rsid w:val="00BC159C"/>
    <w:rsid w:val="00BC1C99"/>
    <w:rsid w:val="00BC40AF"/>
    <w:rsid w:val="00BC57F6"/>
    <w:rsid w:val="00BC63A0"/>
    <w:rsid w:val="00BC64F2"/>
    <w:rsid w:val="00BD0245"/>
    <w:rsid w:val="00BD0949"/>
    <w:rsid w:val="00BD1528"/>
    <w:rsid w:val="00BD1D2F"/>
    <w:rsid w:val="00BD1D40"/>
    <w:rsid w:val="00BD690C"/>
    <w:rsid w:val="00BD6D0C"/>
    <w:rsid w:val="00BD7571"/>
    <w:rsid w:val="00BE0CA2"/>
    <w:rsid w:val="00BE165C"/>
    <w:rsid w:val="00BE1DF3"/>
    <w:rsid w:val="00BE21FF"/>
    <w:rsid w:val="00BE2E8D"/>
    <w:rsid w:val="00BE2F45"/>
    <w:rsid w:val="00BE3492"/>
    <w:rsid w:val="00BE4241"/>
    <w:rsid w:val="00BE4846"/>
    <w:rsid w:val="00BE5529"/>
    <w:rsid w:val="00BE5A65"/>
    <w:rsid w:val="00BE6387"/>
    <w:rsid w:val="00BF48BD"/>
    <w:rsid w:val="00BF6922"/>
    <w:rsid w:val="00C005A2"/>
    <w:rsid w:val="00C00D7D"/>
    <w:rsid w:val="00C02637"/>
    <w:rsid w:val="00C032DF"/>
    <w:rsid w:val="00C03D74"/>
    <w:rsid w:val="00C0438E"/>
    <w:rsid w:val="00C043FB"/>
    <w:rsid w:val="00C069B5"/>
    <w:rsid w:val="00C07512"/>
    <w:rsid w:val="00C07A28"/>
    <w:rsid w:val="00C10D39"/>
    <w:rsid w:val="00C113D5"/>
    <w:rsid w:val="00C1226C"/>
    <w:rsid w:val="00C12361"/>
    <w:rsid w:val="00C12DFE"/>
    <w:rsid w:val="00C1371A"/>
    <w:rsid w:val="00C1396F"/>
    <w:rsid w:val="00C15B05"/>
    <w:rsid w:val="00C16835"/>
    <w:rsid w:val="00C173EE"/>
    <w:rsid w:val="00C2083F"/>
    <w:rsid w:val="00C20AFA"/>
    <w:rsid w:val="00C213D6"/>
    <w:rsid w:val="00C21931"/>
    <w:rsid w:val="00C230B1"/>
    <w:rsid w:val="00C2399E"/>
    <w:rsid w:val="00C23CA9"/>
    <w:rsid w:val="00C2423A"/>
    <w:rsid w:val="00C243A4"/>
    <w:rsid w:val="00C24A8B"/>
    <w:rsid w:val="00C254DF"/>
    <w:rsid w:val="00C25CCE"/>
    <w:rsid w:val="00C26AB6"/>
    <w:rsid w:val="00C2732F"/>
    <w:rsid w:val="00C31359"/>
    <w:rsid w:val="00C318D9"/>
    <w:rsid w:val="00C32646"/>
    <w:rsid w:val="00C33316"/>
    <w:rsid w:val="00C35834"/>
    <w:rsid w:val="00C362C1"/>
    <w:rsid w:val="00C3694B"/>
    <w:rsid w:val="00C40C43"/>
    <w:rsid w:val="00C40CD0"/>
    <w:rsid w:val="00C42D33"/>
    <w:rsid w:val="00C43548"/>
    <w:rsid w:val="00C439D4"/>
    <w:rsid w:val="00C45D6C"/>
    <w:rsid w:val="00C47912"/>
    <w:rsid w:val="00C50E6B"/>
    <w:rsid w:val="00C514C6"/>
    <w:rsid w:val="00C52718"/>
    <w:rsid w:val="00C53847"/>
    <w:rsid w:val="00C5418D"/>
    <w:rsid w:val="00C54714"/>
    <w:rsid w:val="00C54C78"/>
    <w:rsid w:val="00C560DE"/>
    <w:rsid w:val="00C566DE"/>
    <w:rsid w:val="00C56A8C"/>
    <w:rsid w:val="00C601D5"/>
    <w:rsid w:val="00C60D23"/>
    <w:rsid w:val="00C60E2F"/>
    <w:rsid w:val="00C6148D"/>
    <w:rsid w:val="00C61EB2"/>
    <w:rsid w:val="00C6298E"/>
    <w:rsid w:val="00C63676"/>
    <w:rsid w:val="00C646D6"/>
    <w:rsid w:val="00C650A8"/>
    <w:rsid w:val="00C66A42"/>
    <w:rsid w:val="00C67354"/>
    <w:rsid w:val="00C72452"/>
    <w:rsid w:val="00C7389B"/>
    <w:rsid w:val="00C73C81"/>
    <w:rsid w:val="00C7434D"/>
    <w:rsid w:val="00C74A96"/>
    <w:rsid w:val="00C74BD0"/>
    <w:rsid w:val="00C763A2"/>
    <w:rsid w:val="00C767DF"/>
    <w:rsid w:val="00C76CC4"/>
    <w:rsid w:val="00C76DB6"/>
    <w:rsid w:val="00C77041"/>
    <w:rsid w:val="00C771FC"/>
    <w:rsid w:val="00C81BD8"/>
    <w:rsid w:val="00C83A88"/>
    <w:rsid w:val="00C84A26"/>
    <w:rsid w:val="00C84C4E"/>
    <w:rsid w:val="00C877C5"/>
    <w:rsid w:val="00C87CAF"/>
    <w:rsid w:val="00C87D3C"/>
    <w:rsid w:val="00C9019A"/>
    <w:rsid w:val="00C905E8"/>
    <w:rsid w:val="00C91025"/>
    <w:rsid w:val="00C91ED5"/>
    <w:rsid w:val="00C9287A"/>
    <w:rsid w:val="00C935F9"/>
    <w:rsid w:val="00C940FC"/>
    <w:rsid w:val="00C95382"/>
    <w:rsid w:val="00C95D41"/>
    <w:rsid w:val="00C9613E"/>
    <w:rsid w:val="00C96ADE"/>
    <w:rsid w:val="00CA20CE"/>
    <w:rsid w:val="00CA3023"/>
    <w:rsid w:val="00CA3433"/>
    <w:rsid w:val="00CA3E13"/>
    <w:rsid w:val="00CA4BE5"/>
    <w:rsid w:val="00CA6166"/>
    <w:rsid w:val="00CA6B81"/>
    <w:rsid w:val="00CA7E3C"/>
    <w:rsid w:val="00CB0482"/>
    <w:rsid w:val="00CB08C9"/>
    <w:rsid w:val="00CB15EF"/>
    <w:rsid w:val="00CB16AE"/>
    <w:rsid w:val="00CB1942"/>
    <w:rsid w:val="00CB2A4E"/>
    <w:rsid w:val="00CB4185"/>
    <w:rsid w:val="00CB5AED"/>
    <w:rsid w:val="00CB5B44"/>
    <w:rsid w:val="00CB68C0"/>
    <w:rsid w:val="00CB7328"/>
    <w:rsid w:val="00CB788F"/>
    <w:rsid w:val="00CB7EEA"/>
    <w:rsid w:val="00CC02ED"/>
    <w:rsid w:val="00CC0CE7"/>
    <w:rsid w:val="00CC0F64"/>
    <w:rsid w:val="00CC15AB"/>
    <w:rsid w:val="00CC1A97"/>
    <w:rsid w:val="00CC3301"/>
    <w:rsid w:val="00CC3670"/>
    <w:rsid w:val="00CC3D03"/>
    <w:rsid w:val="00CC41E5"/>
    <w:rsid w:val="00CC48DE"/>
    <w:rsid w:val="00CC4F58"/>
    <w:rsid w:val="00CC5B6A"/>
    <w:rsid w:val="00CC6A26"/>
    <w:rsid w:val="00CD08D8"/>
    <w:rsid w:val="00CD0A26"/>
    <w:rsid w:val="00CD1BB5"/>
    <w:rsid w:val="00CD2773"/>
    <w:rsid w:val="00CD316A"/>
    <w:rsid w:val="00CD4AF7"/>
    <w:rsid w:val="00CD4E76"/>
    <w:rsid w:val="00CD4FE6"/>
    <w:rsid w:val="00CD608A"/>
    <w:rsid w:val="00CD7158"/>
    <w:rsid w:val="00CD7B9C"/>
    <w:rsid w:val="00CE08DB"/>
    <w:rsid w:val="00CE0EE5"/>
    <w:rsid w:val="00CE187D"/>
    <w:rsid w:val="00CE21E9"/>
    <w:rsid w:val="00CE4F79"/>
    <w:rsid w:val="00CE546F"/>
    <w:rsid w:val="00CE5F8A"/>
    <w:rsid w:val="00CF1724"/>
    <w:rsid w:val="00CF1B3F"/>
    <w:rsid w:val="00CF1C69"/>
    <w:rsid w:val="00CF23C2"/>
    <w:rsid w:val="00CF2570"/>
    <w:rsid w:val="00CF2A15"/>
    <w:rsid w:val="00CF3014"/>
    <w:rsid w:val="00CF3D32"/>
    <w:rsid w:val="00CF4021"/>
    <w:rsid w:val="00CF41C9"/>
    <w:rsid w:val="00CF4701"/>
    <w:rsid w:val="00CF4D74"/>
    <w:rsid w:val="00CF5C4B"/>
    <w:rsid w:val="00D009B0"/>
    <w:rsid w:val="00D00C3A"/>
    <w:rsid w:val="00D014A7"/>
    <w:rsid w:val="00D03185"/>
    <w:rsid w:val="00D03518"/>
    <w:rsid w:val="00D04132"/>
    <w:rsid w:val="00D05C9A"/>
    <w:rsid w:val="00D068B7"/>
    <w:rsid w:val="00D1002E"/>
    <w:rsid w:val="00D10E65"/>
    <w:rsid w:val="00D12970"/>
    <w:rsid w:val="00D135B5"/>
    <w:rsid w:val="00D1437D"/>
    <w:rsid w:val="00D15A11"/>
    <w:rsid w:val="00D2063B"/>
    <w:rsid w:val="00D21C64"/>
    <w:rsid w:val="00D22575"/>
    <w:rsid w:val="00D230AE"/>
    <w:rsid w:val="00D238BD"/>
    <w:rsid w:val="00D24DF6"/>
    <w:rsid w:val="00D25CAA"/>
    <w:rsid w:val="00D25DEC"/>
    <w:rsid w:val="00D264D7"/>
    <w:rsid w:val="00D27397"/>
    <w:rsid w:val="00D302B5"/>
    <w:rsid w:val="00D30AD6"/>
    <w:rsid w:val="00D32293"/>
    <w:rsid w:val="00D32A55"/>
    <w:rsid w:val="00D332E6"/>
    <w:rsid w:val="00D33916"/>
    <w:rsid w:val="00D33DAE"/>
    <w:rsid w:val="00D40088"/>
    <w:rsid w:val="00D41AD6"/>
    <w:rsid w:val="00D4215D"/>
    <w:rsid w:val="00D44BE5"/>
    <w:rsid w:val="00D45158"/>
    <w:rsid w:val="00D47032"/>
    <w:rsid w:val="00D47729"/>
    <w:rsid w:val="00D505D8"/>
    <w:rsid w:val="00D51D2E"/>
    <w:rsid w:val="00D5265B"/>
    <w:rsid w:val="00D53ED1"/>
    <w:rsid w:val="00D5458F"/>
    <w:rsid w:val="00D56EB9"/>
    <w:rsid w:val="00D578B1"/>
    <w:rsid w:val="00D60C53"/>
    <w:rsid w:val="00D60CB7"/>
    <w:rsid w:val="00D63018"/>
    <w:rsid w:val="00D63121"/>
    <w:rsid w:val="00D63614"/>
    <w:rsid w:val="00D647EC"/>
    <w:rsid w:val="00D64A38"/>
    <w:rsid w:val="00D64F13"/>
    <w:rsid w:val="00D64FB8"/>
    <w:rsid w:val="00D653BD"/>
    <w:rsid w:val="00D65438"/>
    <w:rsid w:val="00D720E9"/>
    <w:rsid w:val="00D72663"/>
    <w:rsid w:val="00D7327C"/>
    <w:rsid w:val="00D7384B"/>
    <w:rsid w:val="00D738DA"/>
    <w:rsid w:val="00D740E2"/>
    <w:rsid w:val="00D74AD7"/>
    <w:rsid w:val="00D761EC"/>
    <w:rsid w:val="00D77362"/>
    <w:rsid w:val="00D80164"/>
    <w:rsid w:val="00D81295"/>
    <w:rsid w:val="00D82C00"/>
    <w:rsid w:val="00D83057"/>
    <w:rsid w:val="00D85AB7"/>
    <w:rsid w:val="00D8799B"/>
    <w:rsid w:val="00D902DE"/>
    <w:rsid w:val="00D9055A"/>
    <w:rsid w:val="00D90CC2"/>
    <w:rsid w:val="00D9144C"/>
    <w:rsid w:val="00D914A9"/>
    <w:rsid w:val="00D91F6D"/>
    <w:rsid w:val="00D9604E"/>
    <w:rsid w:val="00DA2950"/>
    <w:rsid w:val="00DA3028"/>
    <w:rsid w:val="00DA4E16"/>
    <w:rsid w:val="00DA4E9D"/>
    <w:rsid w:val="00DA5FBD"/>
    <w:rsid w:val="00DA67A0"/>
    <w:rsid w:val="00DA67DE"/>
    <w:rsid w:val="00DA7C58"/>
    <w:rsid w:val="00DB03CF"/>
    <w:rsid w:val="00DB39C4"/>
    <w:rsid w:val="00DB4BC6"/>
    <w:rsid w:val="00DB68E4"/>
    <w:rsid w:val="00DB6C97"/>
    <w:rsid w:val="00DB7235"/>
    <w:rsid w:val="00DC08D5"/>
    <w:rsid w:val="00DC0944"/>
    <w:rsid w:val="00DC1451"/>
    <w:rsid w:val="00DC2093"/>
    <w:rsid w:val="00DC2825"/>
    <w:rsid w:val="00DC3B4B"/>
    <w:rsid w:val="00DC6EA1"/>
    <w:rsid w:val="00DC79AB"/>
    <w:rsid w:val="00DD16FD"/>
    <w:rsid w:val="00DD4696"/>
    <w:rsid w:val="00DD46B4"/>
    <w:rsid w:val="00DD48BB"/>
    <w:rsid w:val="00DD4ED5"/>
    <w:rsid w:val="00DD594E"/>
    <w:rsid w:val="00DD59D1"/>
    <w:rsid w:val="00DD5C17"/>
    <w:rsid w:val="00DD6BB3"/>
    <w:rsid w:val="00DD73A8"/>
    <w:rsid w:val="00DD7E2A"/>
    <w:rsid w:val="00DE0306"/>
    <w:rsid w:val="00DE09C7"/>
    <w:rsid w:val="00DE17BD"/>
    <w:rsid w:val="00DE20D2"/>
    <w:rsid w:val="00DE2A9F"/>
    <w:rsid w:val="00DE357B"/>
    <w:rsid w:val="00DE3B8F"/>
    <w:rsid w:val="00DE5D79"/>
    <w:rsid w:val="00DE5F88"/>
    <w:rsid w:val="00DE6A76"/>
    <w:rsid w:val="00DF03EC"/>
    <w:rsid w:val="00DF065E"/>
    <w:rsid w:val="00DF0939"/>
    <w:rsid w:val="00DF0964"/>
    <w:rsid w:val="00DF0CAC"/>
    <w:rsid w:val="00DF1642"/>
    <w:rsid w:val="00DF1C93"/>
    <w:rsid w:val="00DF244A"/>
    <w:rsid w:val="00DF2B15"/>
    <w:rsid w:val="00DF2B3F"/>
    <w:rsid w:val="00DF3372"/>
    <w:rsid w:val="00DF39D6"/>
    <w:rsid w:val="00DF43DC"/>
    <w:rsid w:val="00DF4B29"/>
    <w:rsid w:val="00DF5F42"/>
    <w:rsid w:val="00DF651D"/>
    <w:rsid w:val="00DF6A78"/>
    <w:rsid w:val="00DF6E0A"/>
    <w:rsid w:val="00DF7079"/>
    <w:rsid w:val="00DF7F45"/>
    <w:rsid w:val="00E00D5B"/>
    <w:rsid w:val="00E0130D"/>
    <w:rsid w:val="00E013C8"/>
    <w:rsid w:val="00E0259F"/>
    <w:rsid w:val="00E03230"/>
    <w:rsid w:val="00E03BE3"/>
    <w:rsid w:val="00E045A0"/>
    <w:rsid w:val="00E049B2"/>
    <w:rsid w:val="00E04DB9"/>
    <w:rsid w:val="00E04FD9"/>
    <w:rsid w:val="00E05175"/>
    <w:rsid w:val="00E05B60"/>
    <w:rsid w:val="00E060C0"/>
    <w:rsid w:val="00E06BB0"/>
    <w:rsid w:val="00E072A8"/>
    <w:rsid w:val="00E07368"/>
    <w:rsid w:val="00E07E8B"/>
    <w:rsid w:val="00E1046E"/>
    <w:rsid w:val="00E10E40"/>
    <w:rsid w:val="00E10F1A"/>
    <w:rsid w:val="00E10FA3"/>
    <w:rsid w:val="00E1103F"/>
    <w:rsid w:val="00E11667"/>
    <w:rsid w:val="00E1332D"/>
    <w:rsid w:val="00E13F12"/>
    <w:rsid w:val="00E14465"/>
    <w:rsid w:val="00E146BA"/>
    <w:rsid w:val="00E148DA"/>
    <w:rsid w:val="00E14B04"/>
    <w:rsid w:val="00E14B99"/>
    <w:rsid w:val="00E14C6C"/>
    <w:rsid w:val="00E15147"/>
    <w:rsid w:val="00E16D12"/>
    <w:rsid w:val="00E17307"/>
    <w:rsid w:val="00E17E79"/>
    <w:rsid w:val="00E20664"/>
    <w:rsid w:val="00E20805"/>
    <w:rsid w:val="00E21523"/>
    <w:rsid w:val="00E218F7"/>
    <w:rsid w:val="00E220EE"/>
    <w:rsid w:val="00E22B22"/>
    <w:rsid w:val="00E22EBA"/>
    <w:rsid w:val="00E2395E"/>
    <w:rsid w:val="00E23C8A"/>
    <w:rsid w:val="00E23DD6"/>
    <w:rsid w:val="00E24A17"/>
    <w:rsid w:val="00E24DAB"/>
    <w:rsid w:val="00E251A8"/>
    <w:rsid w:val="00E2568A"/>
    <w:rsid w:val="00E257C8"/>
    <w:rsid w:val="00E25BD1"/>
    <w:rsid w:val="00E26095"/>
    <w:rsid w:val="00E26311"/>
    <w:rsid w:val="00E272D5"/>
    <w:rsid w:val="00E311E6"/>
    <w:rsid w:val="00E32904"/>
    <w:rsid w:val="00E33917"/>
    <w:rsid w:val="00E33D2E"/>
    <w:rsid w:val="00E341D3"/>
    <w:rsid w:val="00E35E5E"/>
    <w:rsid w:val="00E37B1C"/>
    <w:rsid w:val="00E4069A"/>
    <w:rsid w:val="00E4191B"/>
    <w:rsid w:val="00E42F0D"/>
    <w:rsid w:val="00E431ED"/>
    <w:rsid w:val="00E43826"/>
    <w:rsid w:val="00E44472"/>
    <w:rsid w:val="00E446E8"/>
    <w:rsid w:val="00E44AAC"/>
    <w:rsid w:val="00E4548C"/>
    <w:rsid w:val="00E45D0F"/>
    <w:rsid w:val="00E4680E"/>
    <w:rsid w:val="00E46BBF"/>
    <w:rsid w:val="00E47555"/>
    <w:rsid w:val="00E55F49"/>
    <w:rsid w:val="00E56262"/>
    <w:rsid w:val="00E56A52"/>
    <w:rsid w:val="00E5778A"/>
    <w:rsid w:val="00E60423"/>
    <w:rsid w:val="00E60CBC"/>
    <w:rsid w:val="00E619AC"/>
    <w:rsid w:val="00E63666"/>
    <w:rsid w:val="00E639D3"/>
    <w:rsid w:val="00E64AE0"/>
    <w:rsid w:val="00E6673E"/>
    <w:rsid w:val="00E670B5"/>
    <w:rsid w:val="00E67357"/>
    <w:rsid w:val="00E67B35"/>
    <w:rsid w:val="00E74926"/>
    <w:rsid w:val="00E74E79"/>
    <w:rsid w:val="00E76213"/>
    <w:rsid w:val="00E76407"/>
    <w:rsid w:val="00E805DC"/>
    <w:rsid w:val="00E80EFC"/>
    <w:rsid w:val="00E81715"/>
    <w:rsid w:val="00E81F9F"/>
    <w:rsid w:val="00E839E5"/>
    <w:rsid w:val="00E84A28"/>
    <w:rsid w:val="00E85C5B"/>
    <w:rsid w:val="00E8702D"/>
    <w:rsid w:val="00E870E7"/>
    <w:rsid w:val="00E87AFA"/>
    <w:rsid w:val="00E909B2"/>
    <w:rsid w:val="00E92035"/>
    <w:rsid w:val="00E94F6D"/>
    <w:rsid w:val="00E961A6"/>
    <w:rsid w:val="00E97F6A"/>
    <w:rsid w:val="00EA1752"/>
    <w:rsid w:val="00EA1BA7"/>
    <w:rsid w:val="00EA2429"/>
    <w:rsid w:val="00EA3119"/>
    <w:rsid w:val="00EA4F5D"/>
    <w:rsid w:val="00EA502F"/>
    <w:rsid w:val="00EA72BD"/>
    <w:rsid w:val="00EA796B"/>
    <w:rsid w:val="00EA7BBD"/>
    <w:rsid w:val="00EB00C1"/>
    <w:rsid w:val="00EB1457"/>
    <w:rsid w:val="00EB2113"/>
    <w:rsid w:val="00EB25A7"/>
    <w:rsid w:val="00EB2E17"/>
    <w:rsid w:val="00EB3957"/>
    <w:rsid w:val="00EB634D"/>
    <w:rsid w:val="00EB679D"/>
    <w:rsid w:val="00EC2784"/>
    <w:rsid w:val="00EC3CEB"/>
    <w:rsid w:val="00EC3D2D"/>
    <w:rsid w:val="00EC5EF4"/>
    <w:rsid w:val="00EC69F3"/>
    <w:rsid w:val="00EC7318"/>
    <w:rsid w:val="00ED0791"/>
    <w:rsid w:val="00ED1588"/>
    <w:rsid w:val="00ED1937"/>
    <w:rsid w:val="00ED42C7"/>
    <w:rsid w:val="00ED5F3E"/>
    <w:rsid w:val="00ED6350"/>
    <w:rsid w:val="00ED6508"/>
    <w:rsid w:val="00ED6BB9"/>
    <w:rsid w:val="00ED7621"/>
    <w:rsid w:val="00EE01E6"/>
    <w:rsid w:val="00EE23E6"/>
    <w:rsid w:val="00EE34A7"/>
    <w:rsid w:val="00EE3D27"/>
    <w:rsid w:val="00EE49FE"/>
    <w:rsid w:val="00EE58D5"/>
    <w:rsid w:val="00EE6D0C"/>
    <w:rsid w:val="00EE7BAC"/>
    <w:rsid w:val="00EF0AFB"/>
    <w:rsid w:val="00EF0B47"/>
    <w:rsid w:val="00EF0C85"/>
    <w:rsid w:val="00EF15B3"/>
    <w:rsid w:val="00EF172F"/>
    <w:rsid w:val="00EF1B37"/>
    <w:rsid w:val="00EF2DE4"/>
    <w:rsid w:val="00EF36EF"/>
    <w:rsid w:val="00EF41EE"/>
    <w:rsid w:val="00EF440E"/>
    <w:rsid w:val="00EF4651"/>
    <w:rsid w:val="00EF491E"/>
    <w:rsid w:val="00EF49BD"/>
    <w:rsid w:val="00EF584D"/>
    <w:rsid w:val="00EF5E86"/>
    <w:rsid w:val="00EF616F"/>
    <w:rsid w:val="00EF647E"/>
    <w:rsid w:val="00EF64AA"/>
    <w:rsid w:val="00EF6756"/>
    <w:rsid w:val="00F00275"/>
    <w:rsid w:val="00F005CD"/>
    <w:rsid w:val="00F02426"/>
    <w:rsid w:val="00F0397E"/>
    <w:rsid w:val="00F03CC6"/>
    <w:rsid w:val="00F0433C"/>
    <w:rsid w:val="00F046F4"/>
    <w:rsid w:val="00F07AEE"/>
    <w:rsid w:val="00F1040B"/>
    <w:rsid w:val="00F10F77"/>
    <w:rsid w:val="00F11032"/>
    <w:rsid w:val="00F11420"/>
    <w:rsid w:val="00F123F8"/>
    <w:rsid w:val="00F12D60"/>
    <w:rsid w:val="00F13BB3"/>
    <w:rsid w:val="00F14FD7"/>
    <w:rsid w:val="00F2018E"/>
    <w:rsid w:val="00F20702"/>
    <w:rsid w:val="00F2072A"/>
    <w:rsid w:val="00F20B83"/>
    <w:rsid w:val="00F22D11"/>
    <w:rsid w:val="00F22D21"/>
    <w:rsid w:val="00F25F09"/>
    <w:rsid w:val="00F27D3C"/>
    <w:rsid w:val="00F32449"/>
    <w:rsid w:val="00F32573"/>
    <w:rsid w:val="00F32785"/>
    <w:rsid w:val="00F32CCF"/>
    <w:rsid w:val="00F32CE1"/>
    <w:rsid w:val="00F3357F"/>
    <w:rsid w:val="00F341C5"/>
    <w:rsid w:val="00F34497"/>
    <w:rsid w:val="00F348EB"/>
    <w:rsid w:val="00F356B3"/>
    <w:rsid w:val="00F35E9C"/>
    <w:rsid w:val="00F4018B"/>
    <w:rsid w:val="00F404A5"/>
    <w:rsid w:val="00F408DF"/>
    <w:rsid w:val="00F40F54"/>
    <w:rsid w:val="00F41A5D"/>
    <w:rsid w:val="00F41A7A"/>
    <w:rsid w:val="00F42A04"/>
    <w:rsid w:val="00F437AD"/>
    <w:rsid w:val="00F4387A"/>
    <w:rsid w:val="00F45E82"/>
    <w:rsid w:val="00F46243"/>
    <w:rsid w:val="00F4635D"/>
    <w:rsid w:val="00F464CA"/>
    <w:rsid w:val="00F46B14"/>
    <w:rsid w:val="00F46E95"/>
    <w:rsid w:val="00F4767F"/>
    <w:rsid w:val="00F5007D"/>
    <w:rsid w:val="00F509D0"/>
    <w:rsid w:val="00F514EF"/>
    <w:rsid w:val="00F528F2"/>
    <w:rsid w:val="00F538AF"/>
    <w:rsid w:val="00F552FF"/>
    <w:rsid w:val="00F556FE"/>
    <w:rsid w:val="00F5631F"/>
    <w:rsid w:val="00F565FF"/>
    <w:rsid w:val="00F56BC1"/>
    <w:rsid w:val="00F56EB8"/>
    <w:rsid w:val="00F576AC"/>
    <w:rsid w:val="00F606BF"/>
    <w:rsid w:val="00F609C2"/>
    <w:rsid w:val="00F60ED6"/>
    <w:rsid w:val="00F611D2"/>
    <w:rsid w:val="00F61340"/>
    <w:rsid w:val="00F619AA"/>
    <w:rsid w:val="00F61D62"/>
    <w:rsid w:val="00F61F4B"/>
    <w:rsid w:val="00F62EBC"/>
    <w:rsid w:val="00F64211"/>
    <w:rsid w:val="00F64FC3"/>
    <w:rsid w:val="00F65692"/>
    <w:rsid w:val="00F666B0"/>
    <w:rsid w:val="00F67ECC"/>
    <w:rsid w:val="00F70077"/>
    <w:rsid w:val="00F70DC7"/>
    <w:rsid w:val="00F72B3E"/>
    <w:rsid w:val="00F72F67"/>
    <w:rsid w:val="00F73592"/>
    <w:rsid w:val="00F74438"/>
    <w:rsid w:val="00F749E0"/>
    <w:rsid w:val="00F75290"/>
    <w:rsid w:val="00F75A08"/>
    <w:rsid w:val="00F76EA3"/>
    <w:rsid w:val="00F817A5"/>
    <w:rsid w:val="00F82083"/>
    <w:rsid w:val="00F824D5"/>
    <w:rsid w:val="00F82B8B"/>
    <w:rsid w:val="00F841BE"/>
    <w:rsid w:val="00F844DE"/>
    <w:rsid w:val="00F8588D"/>
    <w:rsid w:val="00F860EB"/>
    <w:rsid w:val="00F864DB"/>
    <w:rsid w:val="00F912ED"/>
    <w:rsid w:val="00F92806"/>
    <w:rsid w:val="00F92D03"/>
    <w:rsid w:val="00F93337"/>
    <w:rsid w:val="00F93FC2"/>
    <w:rsid w:val="00F94140"/>
    <w:rsid w:val="00F948A5"/>
    <w:rsid w:val="00F9513C"/>
    <w:rsid w:val="00F95667"/>
    <w:rsid w:val="00F97D87"/>
    <w:rsid w:val="00F97D8D"/>
    <w:rsid w:val="00FA1087"/>
    <w:rsid w:val="00FA1459"/>
    <w:rsid w:val="00FA2363"/>
    <w:rsid w:val="00FA3D82"/>
    <w:rsid w:val="00FA409B"/>
    <w:rsid w:val="00FA4E34"/>
    <w:rsid w:val="00FA57CD"/>
    <w:rsid w:val="00FA5FDA"/>
    <w:rsid w:val="00FA65C7"/>
    <w:rsid w:val="00FB237A"/>
    <w:rsid w:val="00FB2AD2"/>
    <w:rsid w:val="00FB2C7D"/>
    <w:rsid w:val="00FB3DFD"/>
    <w:rsid w:val="00FB417F"/>
    <w:rsid w:val="00FB4BAF"/>
    <w:rsid w:val="00FB4C06"/>
    <w:rsid w:val="00FB4F00"/>
    <w:rsid w:val="00FB53D5"/>
    <w:rsid w:val="00FB5569"/>
    <w:rsid w:val="00FB588F"/>
    <w:rsid w:val="00FB5A47"/>
    <w:rsid w:val="00FB5C5A"/>
    <w:rsid w:val="00FB5DF2"/>
    <w:rsid w:val="00FB6877"/>
    <w:rsid w:val="00FC017B"/>
    <w:rsid w:val="00FC0CCB"/>
    <w:rsid w:val="00FC2FF6"/>
    <w:rsid w:val="00FC376F"/>
    <w:rsid w:val="00FC39F4"/>
    <w:rsid w:val="00FC6144"/>
    <w:rsid w:val="00FC6456"/>
    <w:rsid w:val="00FC65B4"/>
    <w:rsid w:val="00FC6AD3"/>
    <w:rsid w:val="00FC7946"/>
    <w:rsid w:val="00FC7EE6"/>
    <w:rsid w:val="00FD0E2D"/>
    <w:rsid w:val="00FD14AF"/>
    <w:rsid w:val="00FD1D11"/>
    <w:rsid w:val="00FD25C8"/>
    <w:rsid w:val="00FD2BEF"/>
    <w:rsid w:val="00FD33B3"/>
    <w:rsid w:val="00FD377B"/>
    <w:rsid w:val="00FD593E"/>
    <w:rsid w:val="00FD7A90"/>
    <w:rsid w:val="00FD7C6A"/>
    <w:rsid w:val="00FE0885"/>
    <w:rsid w:val="00FE120A"/>
    <w:rsid w:val="00FE1374"/>
    <w:rsid w:val="00FE1639"/>
    <w:rsid w:val="00FE67B9"/>
    <w:rsid w:val="00FE718F"/>
    <w:rsid w:val="00FE7523"/>
    <w:rsid w:val="00FE7F7F"/>
    <w:rsid w:val="00FF0F2E"/>
    <w:rsid w:val="00FF1893"/>
    <w:rsid w:val="00FF2856"/>
    <w:rsid w:val="00FF2904"/>
    <w:rsid w:val="00FF3090"/>
    <w:rsid w:val="00FF4D06"/>
    <w:rsid w:val="00FF66D7"/>
    <w:rsid w:val="00FF7A10"/>
    <w:rsid w:val="00FF7F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2">
    <w:name w:val="Body Text 2"/>
    <w:basedOn w:val="Normal"/>
    <w:rPr>
      <w:sz w:val="16"/>
    </w:rPr>
  </w:style>
  <w:style w:type="paragraph" w:styleId="BodyTextIndent2">
    <w:name w:val="Body Text Indent 2"/>
    <w:basedOn w:val="Normal"/>
    <w:pPr>
      <w:ind w:firstLine="720"/>
    </w:pPr>
    <w:rPr>
      <w:sz w:val="26"/>
    </w:rPr>
  </w:style>
  <w:style w:type="paragraph" w:styleId="BodyText3">
    <w:name w:val="Body Text 3"/>
    <w:basedOn w:val="Normal"/>
    <w:pPr>
      <w:spacing w:line="480" w:lineRule="auto"/>
    </w:pPr>
    <w:rPr>
      <w:sz w:val="26"/>
    </w:rPr>
  </w:style>
  <w:style w:type="paragraph" w:styleId="BodyTextIndent3">
    <w:name w:val="Body Text Indent 3"/>
    <w:basedOn w:val="Normal"/>
    <w:pPr>
      <w:ind w:left="720" w:firstLine="720"/>
    </w:pPr>
    <w:rPr>
      <w:sz w:val="16"/>
    </w:rPr>
  </w:style>
  <w:style w:type="character" w:styleId="FollowedHyperlink">
    <w:name w:val="FollowedHyperlink"/>
    <w:rPr>
      <w:color w:val="800080"/>
      <w:u w:val="single"/>
    </w:rPr>
  </w:style>
  <w:style w:type="paragraph" w:customStyle="1" w:styleId="IndentedQuote">
    <w:name w:val="IndentedQuote"/>
    <w:basedOn w:val="Normal"/>
    <w:pPr>
      <w:ind w:left="1080" w:right="1080"/>
    </w:pPr>
    <w:rPr>
      <w:sz w:val="26"/>
    </w:rPr>
  </w:style>
  <w:style w:type="character" w:customStyle="1" w:styleId="documentbody1">
    <w:name w:val="documentbody1"/>
    <w:rPr>
      <w:rFonts w:ascii="Verdana" w:hAnsi="Verdana" w:hint="default"/>
      <w:sz w:val="19"/>
      <w:szCs w:val="19"/>
    </w:rPr>
  </w:style>
  <w:style w:type="character" w:customStyle="1" w:styleId="searchterm2">
    <w:name w:val="searchterm2"/>
    <w:rPr>
      <w:b/>
      <w:bCs/>
      <w:shd w:val="clear" w:color="auto" w:fill="FFFF00"/>
    </w:rPr>
  </w:style>
  <w:style w:type="character" w:customStyle="1" w:styleId="searchterm">
    <w:name w:val="searchterm"/>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7F508C"/>
    <w:rPr>
      <w:rFonts w:ascii="Tahoma" w:hAnsi="Tahoma" w:cs="Tahoma"/>
      <w:sz w:val="16"/>
      <w:szCs w:val="16"/>
    </w:rPr>
  </w:style>
  <w:style w:type="character" w:styleId="FootnoteReference">
    <w:name w:val="footnote reference"/>
    <w:semiHidden/>
    <w:rsid w:val="004E7623"/>
    <w:rPr>
      <w:rFonts w:ascii="Times New Roman" w:hAnsi="Times New Roman"/>
      <w:color w:val="auto"/>
      <w:position w:val="6"/>
      <w:sz w:val="26"/>
    </w:rPr>
  </w:style>
  <w:style w:type="paragraph" w:styleId="FootnoteText">
    <w:name w:val="footnote text"/>
    <w:basedOn w:val="Normal"/>
    <w:semiHidden/>
    <w:rsid w:val="004E7623"/>
    <w:rPr>
      <w:sz w:val="26"/>
    </w:rPr>
  </w:style>
  <w:style w:type="paragraph" w:customStyle="1" w:styleId="Default">
    <w:name w:val="Default"/>
    <w:rsid w:val="00104055"/>
    <w:pPr>
      <w:autoSpaceDE w:val="0"/>
      <w:autoSpaceDN w:val="0"/>
      <w:adjustRightInd w:val="0"/>
    </w:pPr>
    <w:rPr>
      <w:color w:val="000000"/>
      <w:sz w:val="24"/>
      <w:szCs w:val="24"/>
    </w:rPr>
  </w:style>
  <w:style w:type="paragraph" w:styleId="NormalWeb">
    <w:name w:val="Normal (Web)"/>
    <w:basedOn w:val="Normal"/>
    <w:uiPriority w:val="99"/>
    <w:unhideWhenUsed/>
    <w:rsid w:val="007B1DC7"/>
    <w:pPr>
      <w:spacing w:before="100" w:beforeAutospacing="1" w:after="100" w:afterAutospacing="1"/>
    </w:pPr>
    <w:rPr>
      <w:sz w:val="24"/>
      <w:szCs w:val="24"/>
    </w:rPr>
  </w:style>
  <w:style w:type="character" w:customStyle="1" w:styleId="costarpage">
    <w:name w:val="co_starpage"/>
    <w:basedOn w:val="DefaultParagraphFont"/>
    <w:rsid w:val="00E23DD6"/>
  </w:style>
  <w:style w:type="character" w:customStyle="1" w:styleId="cosearchterm">
    <w:name w:val="co_searchterm"/>
    <w:basedOn w:val="DefaultParagraphFont"/>
    <w:rsid w:val="00E23DD6"/>
  </w:style>
  <w:style w:type="character" w:styleId="Emphasis">
    <w:name w:val="Emphasis"/>
    <w:uiPriority w:val="20"/>
    <w:qFormat/>
    <w:rsid w:val="00E23DD6"/>
    <w:rPr>
      <w:i/>
      <w:iCs/>
    </w:rPr>
  </w:style>
  <w:style w:type="character" w:customStyle="1" w:styleId="apple-converted-space">
    <w:name w:val="apple-converted-space"/>
    <w:basedOn w:val="DefaultParagraphFont"/>
    <w:rsid w:val="005D46E9"/>
  </w:style>
  <w:style w:type="character" w:customStyle="1" w:styleId="UnresolvedMention1">
    <w:name w:val="Unresolved Mention1"/>
    <w:uiPriority w:val="99"/>
    <w:semiHidden/>
    <w:unhideWhenUsed/>
    <w:rsid w:val="00A567CC"/>
    <w:rPr>
      <w:color w:val="605E5C"/>
      <w:shd w:val="clear" w:color="auto" w:fill="E1DFDD"/>
    </w:rPr>
  </w:style>
  <w:style w:type="paragraph" w:styleId="CommentSubject">
    <w:name w:val="annotation subject"/>
    <w:basedOn w:val="CommentText"/>
    <w:next w:val="CommentText"/>
    <w:link w:val="CommentSubjectChar"/>
    <w:rsid w:val="00115FE6"/>
    <w:rPr>
      <w:b/>
      <w:bCs/>
    </w:rPr>
  </w:style>
  <w:style w:type="character" w:customStyle="1" w:styleId="CommentTextChar">
    <w:name w:val="Comment Text Char"/>
    <w:basedOn w:val="DefaultParagraphFont"/>
    <w:link w:val="CommentText"/>
    <w:semiHidden/>
    <w:rsid w:val="00115FE6"/>
  </w:style>
  <w:style w:type="character" w:customStyle="1" w:styleId="CommentSubjectChar">
    <w:name w:val="Comment Subject Char"/>
    <w:link w:val="CommentSubject"/>
    <w:rsid w:val="00115FE6"/>
    <w:rPr>
      <w:b/>
      <w:bCs/>
    </w:rPr>
  </w:style>
  <w:style w:type="paragraph" w:styleId="ListParagraph">
    <w:name w:val="List Paragraph"/>
    <w:basedOn w:val="Normal"/>
    <w:uiPriority w:val="34"/>
    <w:qFormat/>
    <w:rsid w:val="00AE4B7D"/>
    <w:pPr>
      <w:ind w:left="720"/>
      <w:contextualSpacing/>
    </w:pPr>
  </w:style>
  <w:style w:type="paragraph" w:styleId="Revision">
    <w:name w:val="Revision"/>
    <w:hidden/>
    <w:uiPriority w:val="99"/>
    <w:semiHidden/>
    <w:rsid w:val="0072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07B2-68F3-4F3C-80E0-FCF84594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7257</Words>
  <Characters>41367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2024-03-29T18:25:41Z</dcterms:created>
  <dcterms:modified xsi:type="dcterms:W3CDTF">2024-03-29T18:25:41Z</dcterms:modified>
</cp:coreProperties>
</file>