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33516D" w:rsidRPr="0033516D" w:rsidP="0033516D" w14:paraId="6DACA0AB" w14:textId="129CBC35">
      <w:pPr>
        <w:spacing w:line="240" w:lineRule="auto"/>
        <w:rPr>
          <w:sz w:val="20"/>
        </w:rPr>
      </w:pPr>
      <w:r w:rsidRPr="0033516D">
        <w:rPr>
          <w:sz w:val="20"/>
        </w:rPr>
        <w:t>Filed 6/27/24</w:t>
      </w:r>
    </w:p>
    <w:p w:rsidR="009D6A79" w:rsidP="00016259" w14:paraId="69647485" w14:textId="3C9CFD42">
      <w:pPr>
        <w:spacing w:line="240" w:lineRule="auto"/>
        <w:jc w:val="center"/>
      </w:pPr>
      <w:r w:rsidRPr="00016259">
        <w:t>CERTIFIED FOR PUBLICATION</w:t>
      </w:r>
    </w:p>
    <w:p w:rsidR="00016259" w:rsidP="00016259" w14:paraId="120E1482" w14:textId="77777777">
      <w:pPr>
        <w:spacing w:line="240" w:lineRule="auto"/>
        <w:jc w:val="center"/>
      </w:pPr>
    </w:p>
    <w:p w:rsidR="009D6A79" w:rsidP="009D6A79" w14:paraId="4C5EE779" w14:textId="2163A0B9">
      <w:pPr>
        <w:spacing w:line="240" w:lineRule="auto"/>
        <w:jc w:val="center"/>
      </w:pPr>
      <w:r>
        <w:t>COURT OF APPEAL, FOURTH APPELLATE DISTRICT</w:t>
      </w:r>
    </w:p>
    <w:p w:rsidR="009D6A79" w:rsidP="009D6A79" w14:paraId="593E2026" w14:textId="565205BA">
      <w:pPr>
        <w:spacing w:line="240" w:lineRule="auto"/>
        <w:jc w:val="center"/>
      </w:pPr>
    </w:p>
    <w:p w:rsidR="009D6A79" w:rsidP="009D6A79" w14:paraId="0180A3E4" w14:textId="6C5547C0">
      <w:pPr>
        <w:spacing w:line="240" w:lineRule="auto"/>
        <w:jc w:val="center"/>
      </w:pPr>
      <w:r>
        <w:t>DIVISION ONE</w:t>
      </w:r>
    </w:p>
    <w:p w:rsidR="009D6A79" w:rsidP="009D6A79" w14:paraId="46771E0E" w14:textId="504E55DC">
      <w:pPr>
        <w:spacing w:line="240" w:lineRule="auto"/>
        <w:jc w:val="center"/>
      </w:pPr>
    </w:p>
    <w:p w:rsidR="009D6A79" w:rsidP="009D6A79" w14:paraId="5116ACA9" w14:textId="6DEABBF7">
      <w:pPr>
        <w:spacing w:line="240" w:lineRule="auto"/>
        <w:jc w:val="center"/>
      </w:pPr>
      <w:r>
        <w:t>STATE OF CALIFORNIA</w:t>
      </w:r>
    </w:p>
    <w:p w:rsidR="009D6A79" w:rsidP="009D6A79" w14:paraId="028C21A7" w14:textId="77777777">
      <w:pPr>
        <w:spacing w:line="240" w:lineRule="auto"/>
        <w:jc w:val="center"/>
      </w:pPr>
    </w:p>
    <w:p w:rsidR="009D6A79" w:rsidP="009D6A79" w14:paraId="2591EEEF" w14:textId="77777777">
      <w:pPr>
        <w:spacing w:line="240" w:lineRule="auto"/>
        <w:jc w:val="center"/>
      </w:pPr>
    </w:p>
    <w:p w:rsidR="009D6A79" w:rsidP="009D6A79" w14:paraId="03206E05" w14:textId="77777777">
      <w:pPr>
        <w:spacing w:line="240" w:lineRule="auto"/>
        <w:jc w:val="center"/>
      </w:pPr>
    </w:p>
    <w:tbl>
      <w:tblPr>
        <w:tblW w:w="9360" w:type="dxa"/>
        <w:tblLayout w:type="fixed"/>
        <w:tblLook w:val="0000"/>
      </w:tblPr>
      <w:tblGrid>
        <w:gridCol w:w="5040"/>
        <w:gridCol w:w="4320"/>
      </w:tblGrid>
      <w:tr w14:paraId="45F111AA" w14:textId="77777777" w:rsidTr="009D6A79">
        <w:tblPrEx>
          <w:tblW w:w="9360" w:type="dxa"/>
          <w:tblLayout w:type="fixed"/>
          <w:tblLook w:val="0000"/>
        </w:tblPrEx>
        <w:tc>
          <w:tcPr>
            <w:tcW w:w="5040" w:type="dxa"/>
            <w:tcBorders>
              <w:bottom w:val="single" w:sz="4" w:space="0" w:color="auto"/>
              <w:right w:val="single" w:sz="4" w:space="0" w:color="auto"/>
            </w:tcBorders>
            <w:shd w:val="clear" w:color="auto" w:fill="auto"/>
          </w:tcPr>
          <w:p w:rsidR="009D6A79" w:rsidP="009D6A79" w14:paraId="323A8EF8" w14:textId="77777777">
            <w:pPr>
              <w:spacing w:line="240" w:lineRule="auto"/>
            </w:pPr>
            <w:r>
              <w:t>THE PEOPLE,</w:t>
            </w:r>
          </w:p>
          <w:p w:rsidR="009D6A79" w:rsidP="009D6A79" w14:paraId="0504DE5B" w14:textId="77777777">
            <w:pPr>
              <w:spacing w:line="240" w:lineRule="auto"/>
            </w:pPr>
          </w:p>
          <w:p w:rsidR="009D6A79" w:rsidP="009D6A79" w14:paraId="764F8D42" w14:textId="3738E26E">
            <w:pPr>
              <w:spacing w:line="240" w:lineRule="auto"/>
            </w:pPr>
            <w:r>
              <w:tab/>
              <w:t>Plaintiff and Respondent,</w:t>
            </w:r>
          </w:p>
          <w:p w:rsidR="009D6A79" w:rsidP="009D6A79" w14:paraId="2B66787A" w14:textId="77777777">
            <w:pPr>
              <w:spacing w:line="240" w:lineRule="auto"/>
            </w:pPr>
          </w:p>
          <w:p w:rsidR="009D6A79" w:rsidP="009D6A79" w14:paraId="12FE6162" w14:textId="77777777">
            <w:pPr>
              <w:spacing w:line="240" w:lineRule="auto"/>
            </w:pPr>
            <w:r>
              <w:tab/>
              <w:t>v.</w:t>
            </w:r>
          </w:p>
          <w:p w:rsidR="009D6A79" w:rsidP="009D6A79" w14:paraId="1E2B0CFD" w14:textId="77777777">
            <w:pPr>
              <w:spacing w:line="240" w:lineRule="auto"/>
            </w:pPr>
          </w:p>
          <w:p w:rsidR="009D6A79" w:rsidP="009D6A79" w14:paraId="1872EBC2" w14:textId="77777777">
            <w:pPr>
              <w:spacing w:line="240" w:lineRule="auto"/>
            </w:pPr>
            <w:r>
              <w:t>DAVID GONZALEZ,</w:t>
            </w:r>
          </w:p>
          <w:p w:rsidR="009D6A79" w:rsidP="009D6A79" w14:paraId="0F4948CB" w14:textId="77777777">
            <w:pPr>
              <w:spacing w:line="240" w:lineRule="auto"/>
            </w:pPr>
          </w:p>
          <w:p w:rsidR="009D6A79" w:rsidP="009D6A79" w14:paraId="12B3C7CA" w14:textId="4CD2E8D4">
            <w:pPr>
              <w:spacing w:line="240" w:lineRule="auto"/>
            </w:pPr>
            <w:r>
              <w:tab/>
              <w:t>Defendant and Appellant.</w:t>
            </w:r>
          </w:p>
          <w:p w:rsidR="009D6A79" w:rsidP="009D6A79" w14:paraId="3ECC5231" w14:textId="097A4DF8">
            <w:pPr>
              <w:spacing w:line="240" w:lineRule="auto"/>
            </w:pPr>
          </w:p>
        </w:tc>
        <w:tc>
          <w:tcPr>
            <w:tcW w:w="4320" w:type="dxa"/>
            <w:tcBorders>
              <w:left w:val="single" w:sz="4" w:space="0" w:color="auto"/>
            </w:tcBorders>
            <w:shd w:val="clear" w:color="auto" w:fill="auto"/>
          </w:tcPr>
          <w:p w:rsidR="009D6A79" w:rsidP="009D6A79" w14:paraId="458F465B" w14:textId="523ADCE3">
            <w:pPr>
              <w:tabs>
                <w:tab w:val="left" w:pos="144"/>
              </w:tabs>
              <w:spacing w:line="240" w:lineRule="auto"/>
            </w:pPr>
            <w:r>
              <w:t xml:space="preserve">  D082058</w:t>
            </w:r>
          </w:p>
          <w:p w:rsidR="009D6A79" w:rsidP="009D6A79" w14:paraId="7DF56728" w14:textId="77777777">
            <w:pPr>
              <w:tabs>
                <w:tab w:val="left" w:pos="144"/>
              </w:tabs>
              <w:spacing w:line="240" w:lineRule="auto"/>
            </w:pPr>
          </w:p>
          <w:p w:rsidR="009D6A79" w:rsidP="009D6A79" w14:paraId="2F95D65F" w14:textId="77777777">
            <w:pPr>
              <w:tabs>
                <w:tab w:val="left" w:pos="144"/>
              </w:tabs>
              <w:spacing w:line="240" w:lineRule="auto"/>
            </w:pPr>
          </w:p>
          <w:p w:rsidR="009D6A79" w:rsidP="009D6A79" w14:paraId="1CCA4A09" w14:textId="77777777">
            <w:pPr>
              <w:tabs>
                <w:tab w:val="left" w:pos="144"/>
              </w:tabs>
              <w:spacing w:line="240" w:lineRule="auto"/>
            </w:pPr>
          </w:p>
          <w:p w:rsidR="009D6A79" w:rsidP="009D6A79" w14:paraId="3F79FD24" w14:textId="1C537A5E">
            <w:pPr>
              <w:tabs>
                <w:tab w:val="left" w:pos="144"/>
              </w:tabs>
              <w:spacing w:line="240" w:lineRule="auto"/>
            </w:pPr>
            <w:r>
              <w:t xml:space="preserve">  (Super. Ct. No. RIF1404885)</w:t>
            </w:r>
          </w:p>
        </w:tc>
      </w:tr>
    </w:tbl>
    <w:p w:rsidR="009D6A79" w:rsidP="009D6A79" w14:paraId="66826ADE" w14:textId="77777777">
      <w:pPr>
        <w:spacing w:line="240" w:lineRule="auto"/>
      </w:pPr>
    </w:p>
    <w:p w:rsidR="009D6A79" w:rsidP="009D6A79" w14:paraId="5D94EDA6" w14:textId="21BCE832">
      <w:r>
        <w:tab/>
        <w:t xml:space="preserve">APPEAL from a judgment of the Superior Court of </w:t>
      </w:r>
      <w:r w:rsidR="007F64D8">
        <w:t xml:space="preserve">Riverside </w:t>
      </w:r>
      <w:r>
        <w:t xml:space="preserve">County, John D. Molloy, Judge.  </w:t>
      </w:r>
      <w:r w:rsidR="000923A8">
        <w:t>Sentence vacated and remanded for resentencing</w:t>
      </w:r>
      <w:r>
        <w:t>.</w:t>
      </w:r>
    </w:p>
    <w:p w:rsidR="007A1917" w:rsidP="00665B66" w14:paraId="3EB46CF3" w14:textId="6E517E5A">
      <w:pPr>
        <w:spacing w:before="240"/>
      </w:pPr>
      <w:r>
        <w:tab/>
      </w:r>
      <w:r w:rsidR="007F64D8">
        <w:t>Johanna Pirko, under appointment by the Court of Appeal, for Defendant and Appellant.</w:t>
      </w:r>
    </w:p>
    <w:p w:rsidR="00665B66" w14:paraId="0D7A463A" w14:textId="77777777">
      <w:r>
        <w:tab/>
        <w:t>Rob Bonta, Attorney General, Lance E. Winters, Chief Assistant Attorney General, Charles C. Ragland, Assistant Attorney General, </w:t>
      </w:r>
    </w:p>
    <w:p w:rsidR="007F64D8" w14:paraId="69E4A1C5" w14:textId="3125AD68">
      <w:r>
        <w:t>Collette C. Cavalier and Ksenia Gracheva, Deputy Attorneys General, for Plaintiff and Respondent.</w:t>
      </w:r>
    </w:p>
    <w:p w:rsidR="00C70EAD" w:rsidP="00D507E3" w14:paraId="11EC4ADB" w14:textId="01117829">
      <w:r>
        <w:tab/>
      </w:r>
      <w:r w:rsidR="00D507E3">
        <w:t>After being convicted of first degree murder</w:t>
      </w:r>
      <w:r w:rsidR="00891DEF">
        <w:t xml:space="preserve"> and sentenced to a term of 75 years to life</w:t>
      </w:r>
      <w:r w:rsidR="00D507E3">
        <w:t xml:space="preserve">, </w:t>
      </w:r>
      <w:r>
        <w:t xml:space="preserve">David Gonzalez </w:t>
      </w:r>
      <w:r w:rsidR="00D507E3">
        <w:t>is before us for a third time on appeal</w:t>
      </w:r>
      <w:r w:rsidR="002A68EF">
        <w:t xml:space="preserve"> after we twice remanded to the trial court to consider certain sentencing issues</w:t>
      </w:r>
      <w:r w:rsidR="00096619">
        <w:t xml:space="preserve"> in </w:t>
      </w:r>
      <w:r w:rsidR="00096619">
        <w:t>light of newly enacted statutory provisions</w:t>
      </w:r>
      <w:r w:rsidR="002A68EF">
        <w:t>.</w:t>
      </w:r>
      <w:r>
        <w:rPr>
          <w:rStyle w:val="FootnoteReference"/>
        </w:rPr>
        <w:footnoteReference w:id="3"/>
      </w:r>
      <w:r w:rsidR="002A68EF">
        <w:t xml:space="preserve"> </w:t>
      </w:r>
      <w:r w:rsidR="00D507E3">
        <w:t xml:space="preserve"> </w:t>
      </w:r>
      <w:r w:rsidR="00C84D34">
        <w:t xml:space="preserve">In </w:t>
      </w:r>
      <w:r w:rsidR="002A68EF">
        <w:t xml:space="preserve">this appeal, </w:t>
      </w:r>
      <w:r w:rsidRPr="00D507E3" w:rsidR="00D507E3">
        <w:t xml:space="preserve">Gonzalez </w:t>
      </w:r>
      <w:r>
        <w:t xml:space="preserve">contends that the trial court erred because it applied an improper legal standard in declining to </w:t>
      </w:r>
      <w:r w:rsidR="001719F4">
        <w:t xml:space="preserve">dismiss </w:t>
      </w:r>
      <w:r>
        <w:t>the firearm enhancement</w:t>
      </w:r>
      <w:r w:rsidR="00B9117E">
        <w:t xml:space="preserve"> </w:t>
      </w:r>
      <w:r w:rsidR="0062239E">
        <w:t xml:space="preserve">imposed pursuant to </w:t>
      </w:r>
      <w:r w:rsidR="00665B66">
        <w:t>P</w:t>
      </w:r>
      <w:r w:rsidR="00057E7C">
        <w:t>enal Code</w:t>
      </w:r>
      <w:r w:rsidR="00665B66">
        <w:t xml:space="preserve"> </w:t>
      </w:r>
      <w:r w:rsidR="00057E7C">
        <w:t xml:space="preserve">section </w:t>
      </w:r>
      <w:r w:rsidRPr="00E23645" w:rsidR="00E23645">
        <w:t>12022.53</w:t>
      </w:r>
      <w:r w:rsidR="00E23645">
        <w:t>, subdivision (d),</w:t>
      </w:r>
      <w:r>
        <w:rPr>
          <w:rStyle w:val="FootnoteReference"/>
        </w:rPr>
        <w:footnoteReference w:id="4"/>
      </w:r>
      <w:r w:rsidR="00E23645">
        <w:t xml:space="preserve"> </w:t>
      </w:r>
      <w:r w:rsidR="0002426D">
        <w:t>which</w:t>
      </w:r>
      <w:r>
        <w:t xml:space="preserve"> added a term of 25 years to life to </w:t>
      </w:r>
      <w:r w:rsidRPr="00D507E3" w:rsidR="004A56FC">
        <w:t>Gonzalez</w:t>
      </w:r>
      <w:r w:rsidR="004A56FC">
        <w:t>’s</w:t>
      </w:r>
      <w:r>
        <w:t xml:space="preserve"> sentence. </w:t>
      </w:r>
      <w:r w:rsidR="00DA21FB">
        <w:t xml:space="preserve"> </w:t>
      </w:r>
      <w:r>
        <w:t>We conclude that the trial court applied an erroneous legal standard</w:t>
      </w:r>
      <w:r w:rsidR="00DA21FB">
        <w:t xml:space="preserve"> </w:t>
      </w:r>
      <w:r w:rsidR="006E6038">
        <w:t xml:space="preserve">in determining whether dismissal of the enhancement would “endanger public safety” </w:t>
      </w:r>
      <w:r w:rsidR="008B0672">
        <w:t>(§ 1385, subd. (c)(2))</w:t>
      </w:r>
      <w:r w:rsidR="00C158B4">
        <w:t>,</w:t>
      </w:r>
      <w:r w:rsidR="008B0672">
        <w:t xml:space="preserve"> </w:t>
      </w:r>
      <w:r w:rsidR="00DA21FB">
        <w:t xml:space="preserve">and </w:t>
      </w:r>
      <w:r w:rsidR="00C158B4">
        <w:t xml:space="preserve">it </w:t>
      </w:r>
      <w:r w:rsidR="00DA21FB">
        <w:t>thereby prejudicially abused its discretion.  W</w:t>
      </w:r>
      <w:r>
        <w:t xml:space="preserve">e accordingly </w:t>
      </w:r>
      <w:r w:rsidR="00606449">
        <w:t xml:space="preserve">vacate the sentence and </w:t>
      </w:r>
      <w:r>
        <w:t>remand</w:t>
      </w:r>
      <w:r w:rsidR="00AB4EDB">
        <w:t xml:space="preserve"> for </w:t>
      </w:r>
      <w:r w:rsidR="00606449">
        <w:t>re</w:t>
      </w:r>
      <w:r w:rsidR="00AB4EDB">
        <w:t xml:space="preserve">sentencing. </w:t>
      </w:r>
    </w:p>
    <w:p w:rsidR="00EF7CC9" w:rsidP="00EF7CC9" w14:paraId="6A537198" w14:textId="267B1FC0">
      <w:pPr>
        <w:jc w:val="center"/>
      </w:pPr>
      <w:r>
        <w:t>I.</w:t>
      </w:r>
    </w:p>
    <w:p w:rsidR="00EF7CC9" w:rsidP="00EF7CC9" w14:paraId="63A43573" w14:textId="6926B871">
      <w:pPr>
        <w:jc w:val="center"/>
      </w:pPr>
      <w:r>
        <w:t>FACTUAL AND PROCEDURAL BACKGROUND</w:t>
      </w:r>
    </w:p>
    <w:p w:rsidR="00C70EAD" w:rsidP="00D507E3" w14:paraId="7763B71A" w14:textId="1EBDD9E0">
      <w:r>
        <w:tab/>
        <w:t>The issu</w:t>
      </w:r>
      <w:r w:rsidRPr="00672A8D">
        <w:t>es presented in this appeal do not require a repetition of the factual detail set for</w:t>
      </w:r>
      <w:r>
        <w:t xml:space="preserve">th in our first opinion, and we accordingly present a truncated discussion. </w:t>
      </w:r>
    </w:p>
    <w:p w:rsidR="00453C48" w:rsidP="00453C48" w14:paraId="4E8C1E8C" w14:textId="2596491B">
      <w:r>
        <w:tab/>
      </w:r>
      <w:r w:rsidR="00D1187D">
        <w:t>A jury found that</w:t>
      </w:r>
      <w:r w:rsidR="00E559F9">
        <w:t xml:space="preserve"> </w:t>
      </w:r>
      <w:r w:rsidR="0039442C">
        <w:t>Gonzalez shot and killed a man</w:t>
      </w:r>
      <w:r w:rsidR="002731EB">
        <w:t xml:space="preserve"> </w:t>
      </w:r>
      <w:r w:rsidR="00B766DD">
        <w:t xml:space="preserve">in April 2014 </w:t>
      </w:r>
      <w:r w:rsidR="002731EB">
        <w:t>by personally using a firearm.</w:t>
      </w:r>
      <w:r w:rsidRPr="0022136C" w:rsidR="0022136C">
        <w:t xml:space="preserve"> </w:t>
      </w:r>
      <w:r w:rsidR="002731EB">
        <w:t xml:space="preserve"> </w:t>
      </w:r>
      <w:r w:rsidR="00755421">
        <w:t>Specifically, t</w:t>
      </w:r>
      <w:r w:rsidR="002731EB">
        <w:t xml:space="preserve">he conviction was for </w:t>
      </w:r>
      <w:r w:rsidRPr="00D507E3" w:rsidR="005B009B">
        <w:t>first</w:t>
      </w:r>
      <w:r w:rsidR="00665B66">
        <w:t xml:space="preserve"> </w:t>
      </w:r>
      <w:r w:rsidRPr="00D507E3" w:rsidR="005B009B">
        <w:t>degree murder</w:t>
      </w:r>
      <w:r w:rsidR="00FC4558">
        <w:t xml:space="preserve"> </w:t>
      </w:r>
      <w:r w:rsidR="00E65556">
        <w:t>(§ 187, subd. (a)),</w:t>
      </w:r>
      <w:r w:rsidR="001103C3">
        <w:t xml:space="preserve"> </w:t>
      </w:r>
      <w:r w:rsidR="009B22B1">
        <w:t>w</w:t>
      </w:r>
      <w:r w:rsidR="005B009B">
        <w:t xml:space="preserve">ith the additional finding that </w:t>
      </w:r>
      <w:r w:rsidRPr="00D507E3" w:rsidR="005B009B">
        <w:t>Gonzalez personally and intentionally discharged a firearm in the course of committing the murder</w:t>
      </w:r>
      <w:r w:rsidR="005B009B">
        <w:t xml:space="preserve"> </w:t>
      </w:r>
      <w:r w:rsidR="001103C3">
        <w:t>(§ </w:t>
      </w:r>
      <w:r w:rsidRPr="00D507E3" w:rsidR="005B009B">
        <w:t>12022.53, subd</w:t>
      </w:r>
      <w:r w:rsidR="001103C3">
        <w:t>.</w:t>
      </w:r>
      <w:r w:rsidRPr="00D507E3" w:rsidR="005B009B">
        <w:t xml:space="preserve"> (d).</w:t>
      </w:r>
      <w:r w:rsidR="00755421">
        <w:t>)</w:t>
      </w:r>
      <w:r w:rsidR="009B22B1">
        <w:t xml:space="preserve"> </w:t>
      </w:r>
      <w:r w:rsidR="001155DB">
        <w:t xml:space="preserve"> </w:t>
      </w:r>
      <w:r w:rsidRPr="009B22B1" w:rsidR="009B22B1">
        <w:t xml:space="preserve">The trial court subsequently made a true finding </w:t>
      </w:r>
      <w:r w:rsidR="00156FD6">
        <w:t xml:space="preserve">regarding </w:t>
      </w:r>
      <w:r w:rsidRPr="009B22B1" w:rsidR="009B22B1">
        <w:t>Gonzalez</w:t>
      </w:r>
      <w:r w:rsidR="0048688C">
        <w:t>’</w:t>
      </w:r>
      <w:r w:rsidRPr="009B22B1" w:rsidR="009B22B1">
        <w:t>s prior serious felony conviction and prior strike (§§ 667, subds. (a), (c), (e)(1), 1170.12, subd. (c)(1))</w:t>
      </w:r>
      <w:r w:rsidR="00C94E00">
        <w:t>, which was</w:t>
      </w:r>
      <w:r w:rsidRPr="009B22B1" w:rsidR="009B22B1">
        <w:t xml:space="preserve"> based on Gonzalez's juvenile adjudication for robbery involving personal use of a </w:t>
      </w:r>
      <w:r w:rsidRPr="009B22B1" w:rsidR="009B22B1">
        <w:t>firearm (§§ 211, 12022.53, subd. (b)).</w:t>
      </w:r>
      <w:r w:rsidR="00117CFB">
        <w:t xml:space="preserve"> </w:t>
      </w:r>
      <w:r>
        <w:t xml:space="preserve"> </w:t>
      </w:r>
      <w:r w:rsidRPr="00453C48">
        <w:t>The trial court denied Gonzalez</w:t>
      </w:r>
      <w:r w:rsidR="0045011E">
        <w:t>’</w:t>
      </w:r>
      <w:r w:rsidRPr="00453C48">
        <w:t xml:space="preserve">s motion to strike his prior strike and sentenced Gonzalez to prison for an indeterminate term of 75 years to life, which included a </w:t>
      </w:r>
      <w:r w:rsidR="00CA248F">
        <w:t xml:space="preserve">term of </w:t>
      </w:r>
      <w:r w:rsidR="00F200C2">
        <w:t>50</w:t>
      </w:r>
      <w:r w:rsidR="00CA248F">
        <w:t xml:space="preserve"> </w:t>
      </w:r>
      <w:r w:rsidR="00F200C2">
        <w:t>year</w:t>
      </w:r>
      <w:r w:rsidR="00CA248F">
        <w:t>s</w:t>
      </w:r>
      <w:r w:rsidR="00F200C2">
        <w:t xml:space="preserve"> to life term for the murder</w:t>
      </w:r>
      <w:r w:rsidR="00575CB9">
        <w:t xml:space="preserve"> (</w:t>
      </w:r>
      <w:r w:rsidR="003B6BE4">
        <w:t xml:space="preserve">which </w:t>
      </w:r>
      <w:r w:rsidR="00575CB9">
        <w:t>in</w:t>
      </w:r>
      <w:r w:rsidR="00172275">
        <w:t>clud</w:t>
      </w:r>
      <w:r w:rsidR="003B6BE4">
        <w:t>ed</w:t>
      </w:r>
      <w:r w:rsidR="00172275">
        <w:t xml:space="preserve"> doubling in</w:t>
      </w:r>
      <w:r w:rsidR="00575CB9">
        <w:t xml:space="preserve"> light of the prior strike), a</w:t>
      </w:r>
      <w:r w:rsidR="00CA248F">
        <w:t xml:space="preserve"> term of </w:t>
      </w:r>
      <w:r w:rsidRPr="00453C48">
        <w:t>25</w:t>
      </w:r>
      <w:r w:rsidR="00CA248F">
        <w:t xml:space="preserve"> </w:t>
      </w:r>
      <w:r w:rsidRPr="00453C48">
        <w:t>year</w:t>
      </w:r>
      <w:r w:rsidR="00CA248F">
        <w:t xml:space="preserve">s </w:t>
      </w:r>
      <w:r w:rsidRPr="00453C48">
        <w:t>to</w:t>
      </w:r>
      <w:r w:rsidR="00CA248F">
        <w:t xml:space="preserve"> </w:t>
      </w:r>
      <w:r w:rsidRPr="00453C48">
        <w:t>life for the firearm enhancement (§ 12022.53, subd.</w:t>
      </w:r>
      <w:r w:rsidR="000D0922">
        <w:t> </w:t>
      </w:r>
      <w:r w:rsidRPr="00453C48">
        <w:t>(d)</w:t>
      </w:r>
      <w:r w:rsidR="00665B66">
        <w:t>)</w:t>
      </w:r>
      <w:r w:rsidRPr="00453C48">
        <w:t>,</w:t>
      </w:r>
      <w:r>
        <w:rPr>
          <w:rStyle w:val="FootnoteReference"/>
        </w:rPr>
        <w:footnoteReference w:id="5"/>
      </w:r>
      <w:r w:rsidR="00575CB9">
        <w:t xml:space="preserve"> and </w:t>
      </w:r>
      <w:r w:rsidRPr="00453C48">
        <w:t>a consecutive determinate term of five years</w:t>
      </w:r>
      <w:r w:rsidR="00101F4D">
        <w:t xml:space="preserve"> for the prior serious felony conviction</w:t>
      </w:r>
      <w:r w:rsidR="00F81CB0">
        <w:t xml:space="preserve"> (§ 667</w:t>
      </w:r>
      <w:r w:rsidR="00767A81">
        <w:t>,</w:t>
      </w:r>
      <w:r w:rsidR="00F81CB0">
        <w:t xml:space="preserve"> subd. (a)(1))</w:t>
      </w:r>
      <w:r w:rsidRPr="00453C48">
        <w:t>.</w:t>
      </w:r>
      <w:r w:rsidR="001155DB">
        <w:t xml:space="preserve"> </w:t>
      </w:r>
    </w:p>
    <w:p w:rsidR="00E002FF" w:rsidP="00275D95" w14:paraId="40FE01F2" w14:textId="58EFE8BE">
      <w:r>
        <w:tab/>
        <w:t xml:space="preserve">In </w:t>
      </w:r>
      <w:r w:rsidR="00AE5804">
        <w:t xml:space="preserve">deciding </w:t>
      </w:r>
      <w:r>
        <w:t>Gonzalez</w:t>
      </w:r>
      <w:r w:rsidR="00AE5804">
        <w:t>’s first appeal, we remand</w:t>
      </w:r>
      <w:r w:rsidR="008715CD">
        <w:t>ed</w:t>
      </w:r>
      <w:r w:rsidR="00AE5804">
        <w:t xml:space="preserve"> </w:t>
      </w:r>
      <w:r w:rsidR="004F70B3">
        <w:t xml:space="preserve">so that the trial court could </w:t>
      </w:r>
      <w:r w:rsidR="00AA1CD1">
        <w:t>choose</w:t>
      </w:r>
      <w:r w:rsidR="004F70B3">
        <w:t xml:space="preserve"> </w:t>
      </w:r>
      <w:r w:rsidRPr="001F4144" w:rsidR="000E1110">
        <w:t xml:space="preserve">whether or not to dismiss the firearm enhancement </w:t>
      </w:r>
      <w:r w:rsidR="00FE5D20">
        <w:t>(§ </w:t>
      </w:r>
      <w:r w:rsidRPr="001F4144" w:rsidR="00FE5D20">
        <w:t>12022.53, subd</w:t>
      </w:r>
      <w:r w:rsidR="00FE5D20">
        <w:t>.</w:t>
      </w:r>
      <w:r w:rsidRPr="001F4144" w:rsidR="00FE5D20">
        <w:t xml:space="preserve"> (d)</w:t>
      </w:r>
      <w:r w:rsidR="00FE5D20">
        <w:t xml:space="preserve">) </w:t>
      </w:r>
      <w:r w:rsidR="004F70B3">
        <w:t>based on the statutory amendment that conferred such discretion</w:t>
      </w:r>
      <w:r w:rsidR="00833901">
        <w:t xml:space="preserve"> as</w:t>
      </w:r>
      <w:r w:rsidR="00AA383A">
        <w:t xml:space="preserve"> of </w:t>
      </w:r>
      <w:r w:rsidRPr="00833901" w:rsidR="00833901">
        <w:t xml:space="preserve">January 1, </w:t>
      </w:r>
      <w:r w:rsidR="00833901">
        <w:t>2</w:t>
      </w:r>
      <w:r w:rsidRPr="00833901" w:rsidR="00833901">
        <w:t>018</w:t>
      </w:r>
      <w:r w:rsidR="00EA3C6A">
        <w:t xml:space="preserve"> (</w:t>
      </w:r>
      <w:r w:rsidRPr="00EA3C6A" w:rsidR="00EA3C6A">
        <w:t>Stats.</w:t>
      </w:r>
      <w:r w:rsidR="00D5357B">
        <w:t xml:space="preserve"> </w:t>
      </w:r>
      <w:r w:rsidRPr="00EA3C6A" w:rsidR="00EA3C6A">
        <w:t>2017, c</w:t>
      </w:r>
      <w:r w:rsidR="00D5357B">
        <w:t>h</w:t>
      </w:r>
      <w:r w:rsidRPr="00EA3C6A" w:rsidR="00EA3C6A">
        <w:t>. 682, § 2</w:t>
      </w:r>
      <w:r w:rsidR="00D5357B">
        <w:t>)</w:t>
      </w:r>
      <w:r w:rsidR="004E25ED">
        <w:t>.</w:t>
      </w:r>
      <w:r w:rsidR="00833901">
        <w:t xml:space="preserve"> </w:t>
      </w:r>
      <w:r w:rsidR="004E25ED">
        <w:t xml:space="preserve"> </w:t>
      </w:r>
      <w:r w:rsidRPr="00927427" w:rsidR="00927427">
        <w:t>(</w:t>
      </w:r>
      <w:r w:rsidRPr="00927427" w:rsidR="00927427">
        <w:rPr>
          <w:i/>
          <w:iCs/>
        </w:rPr>
        <w:t>People v. Lopez</w:t>
      </w:r>
      <w:r w:rsidRPr="00063A35" w:rsidR="00063A35">
        <w:t>,</w:t>
      </w:r>
      <w:r w:rsidR="00063A35">
        <w:rPr>
          <w:i/>
          <w:iCs/>
        </w:rPr>
        <w:t xml:space="preserve"> </w:t>
      </w:r>
      <w:bookmarkStart w:id="0" w:name="dabmci_5df72756b70f49328f9f48100c5c2dce"/>
      <w:r w:rsidR="00063A35">
        <w:rPr>
          <w:i/>
          <w:iCs/>
        </w:rPr>
        <w:t>supra</w:t>
      </w:r>
      <w:r w:rsidRPr="00063A35" w:rsidR="00063A35">
        <w:t>,</w:t>
      </w:r>
      <w:bookmarkEnd w:id="0"/>
      <w:r w:rsidRPr="00927427" w:rsidR="00927427">
        <w:t xml:space="preserve"> D072636</w:t>
      </w:r>
      <w:r w:rsidR="00205137">
        <w:t>.</w:t>
      </w:r>
      <w:r w:rsidRPr="00927427" w:rsidR="00927427">
        <w:t>)</w:t>
      </w:r>
      <w:r>
        <w:t xml:space="preserve"> </w:t>
      </w:r>
      <w:r w:rsidR="00C56EA9">
        <w:t xml:space="preserve"> On remand, the trial court declined to exercise its discretion</w:t>
      </w:r>
      <w:r w:rsidR="00575CB9">
        <w:t xml:space="preserve"> to dismiss that enhancement</w:t>
      </w:r>
      <w:r w:rsidR="00890B4E">
        <w:t>.</w:t>
      </w:r>
      <w:r w:rsidR="00876476">
        <w:t xml:space="preserve"> </w:t>
      </w:r>
      <w:r w:rsidR="00013CFA">
        <w:t xml:space="preserve"> </w:t>
      </w:r>
    </w:p>
    <w:p w:rsidR="00E44564" w:rsidP="0043342F" w14:paraId="6E13F86A" w14:textId="5C35ECC2">
      <w:pPr>
        <w:ind w:firstLine="720"/>
      </w:pPr>
      <w:r>
        <w:t xml:space="preserve">In </w:t>
      </w:r>
      <w:r w:rsidR="00667AEC">
        <w:t xml:space="preserve">his </w:t>
      </w:r>
      <w:r>
        <w:t xml:space="preserve">second appeal, </w:t>
      </w:r>
      <w:r w:rsidR="00E3343F">
        <w:t>Gonzalez</w:t>
      </w:r>
      <w:r>
        <w:t xml:space="preserve"> sought a remand </w:t>
      </w:r>
      <w:r w:rsidR="00DD6085">
        <w:t>so that the trial court could apply a</w:t>
      </w:r>
      <w:r w:rsidR="00BA3322">
        <w:t xml:space="preserve"> statutory </w:t>
      </w:r>
      <w:r w:rsidRPr="00DD6085" w:rsidR="00DD6085">
        <w:t>amendment</w:t>
      </w:r>
      <w:r w:rsidR="00DD6085">
        <w:t xml:space="preserve"> t</w:t>
      </w:r>
      <w:r w:rsidR="00BA3322">
        <w:t xml:space="preserve">hat </w:t>
      </w:r>
      <w:r w:rsidRPr="00DD6085" w:rsidR="00DD6085">
        <w:t>went into effect on January 1, 2019</w:t>
      </w:r>
      <w:r w:rsidR="003848D0">
        <w:t xml:space="preserve">, after </w:t>
      </w:r>
      <w:r w:rsidR="00E3343F">
        <w:t xml:space="preserve">he </w:t>
      </w:r>
      <w:r w:rsidR="003848D0">
        <w:t>was resentenced</w:t>
      </w:r>
      <w:r w:rsidR="00BA3322">
        <w:t xml:space="preserve">. </w:t>
      </w:r>
      <w:r w:rsidR="003848D0">
        <w:t xml:space="preserve"> Specifically, </w:t>
      </w:r>
      <w:bookmarkStart w:id="1" w:name="dabmci_992cfd6e589c4dc1951601d44b3770ce"/>
      <w:r w:rsidR="00760B62">
        <w:t xml:space="preserve">Senate Bill </w:t>
      </w:r>
      <w:r w:rsidR="00D4171B">
        <w:t xml:space="preserve">No. </w:t>
      </w:r>
      <w:r w:rsidR="00760B62">
        <w:t>1393</w:t>
      </w:r>
      <w:bookmarkEnd w:id="1"/>
      <w:r w:rsidR="00760B62">
        <w:t xml:space="preserve"> </w:t>
      </w:r>
      <w:r w:rsidRPr="00946631" w:rsidR="00946631">
        <w:t>(Stats. 2018, ch. 1013 (§§ 1, 2</w:t>
      </w:r>
      <w:r w:rsidR="00D00DEF">
        <w:t>)</w:t>
      </w:r>
      <w:r w:rsidRPr="00946631" w:rsidR="00946631">
        <w:t xml:space="preserve">) </w:t>
      </w:r>
      <w:r w:rsidRPr="0070097E" w:rsidR="0070097E">
        <w:t>amend</w:t>
      </w:r>
      <w:r w:rsidR="0070097E">
        <w:t>ed</w:t>
      </w:r>
      <w:r w:rsidRPr="0070097E" w:rsidR="0070097E">
        <w:t xml:space="preserve"> section</w:t>
      </w:r>
      <w:r w:rsidR="00732D02">
        <w:t>s</w:t>
      </w:r>
      <w:r w:rsidRPr="0070097E" w:rsidR="0070097E">
        <w:t xml:space="preserve"> 667</w:t>
      </w:r>
      <w:r>
        <w:t xml:space="preserve"> </w:t>
      </w:r>
      <w:r w:rsidR="00732D02">
        <w:t xml:space="preserve">and </w:t>
      </w:r>
      <w:r w:rsidRPr="0070097E" w:rsidR="0070097E">
        <w:t>1385</w:t>
      </w:r>
      <w:r w:rsidR="001E19FB">
        <w:t xml:space="preserve"> </w:t>
      </w:r>
      <w:r w:rsidRPr="0070097E" w:rsidR="0070097E">
        <w:t xml:space="preserve">to allow a court to exercise its discretion to strike or dismiss a prior serious felony conviction for sentencing purposes. </w:t>
      </w:r>
      <w:r w:rsidR="005B56E9">
        <w:t xml:space="preserve"> We remanded for resentencing </w:t>
      </w:r>
      <w:r w:rsidR="0018599F">
        <w:t xml:space="preserve">in light of </w:t>
      </w:r>
      <w:bookmarkStart w:id="2" w:name="dabmci_2398beebc6f242a794d5293ff8e40fb1"/>
      <w:r w:rsidR="0018599F">
        <w:t xml:space="preserve">Senate Bill </w:t>
      </w:r>
      <w:r w:rsidR="00644BA5">
        <w:t xml:space="preserve">No. </w:t>
      </w:r>
      <w:r w:rsidR="0018599F">
        <w:t>1393</w:t>
      </w:r>
      <w:bookmarkEnd w:id="2"/>
      <w:r w:rsidR="00275D95">
        <w:t xml:space="preserve">, </w:t>
      </w:r>
      <w:r w:rsidRPr="00275D95" w:rsidR="00275D95">
        <w:t>with</w:t>
      </w:r>
      <w:r w:rsidR="005261BC">
        <w:t xml:space="preserve"> </w:t>
      </w:r>
      <w:r w:rsidRPr="00275D95" w:rsidR="00275D95">
        <w:t xml:space="preserve">instructions </w:t>
      </w:r>
      <w:r w:rsidR="00547263">
        <w:t xml:space="preserve">that </w:t>
      </w:r>
      <w:r w:rsidRPr="00275D95" w:rsidR="00275D95">
        <w:t>the trial court consider whether to exercise its discretion to strike or</w:t>
      </w:r>
      <w:r w:rsidR="0043342F">
        <w:t xml:space="preserve"> </w:t>
      </w:r>
      <w:r w:rsidRPr="00275D95" w:rsidR="00275D95">
        <w:t>dismiss Gonzalez</w:t>
      </w:r>
      <w:r w:rsidR="00E97418">
        <w:t>’</w:t>
      </w:r>
      <w:r w:rsidRPr="00275D95" w:rsidR="00275D95">
        <w:t xml:space="preserve">s five-year enhancement for his prior </w:t>
      </w:r>
      <w:r w:rsidRPr="00275D95" w:rsidR="00275D95">
        <w:t>serious felony conviction</w:t>
      </w:r>
      <w:r w:rsidR="0018599F">
        <w:t xml:space="preserve">. </w:t>
      </w:r>
      <w:r w:rsidRPr="00E97418" w:rsidR="00E97418">
        <w:rPr>
          <w:i/>
          <w:iCs/>
          <w:szCs w:val="20"/>
        </w:rPr>
        <w:t xml:space="preserve"> </w:t>
      </w:r>
      <w:r w:rsidRPr="00E97418" w:rsidR="00E97418">
        <w:rPr>
          <w:szCs w:val="20"/>
        </w:rPr>
        <w:t>(</w:t>
      </w:r>
      <w:r w:rsidRPr="00F902A8" w:rsidR="00E97418">
        <w:rPr>
          <w:i/>
          <w:iCs/>
        </w:rPr>
        <w:t>People v. Gonzalez</w:t>
      </w:r>
      <w:r w:rsidRPr="00F902A8" w:rsidR="00E97418">
        <w:t xml:space="preserve"> (May 1, 2019, D074726)</w:t>
      </w:r>
      <w:r w:rsidRPr="00E97418" w:rsidR="00E97418">
        <w:t xml:space="preserve"> [nonpub. opn</w:t>
      </w:r>
      <w:r w:rsidR="00E90A3C">
        <w:t>.</w:t>
      </w:r>
      <w:r w:rsidRPr="00E97418" w:rsidR="00E97418">
        <w:t>].)</w:t>
      </w:r>
      <w:r>
        <w:rPr>
          <w:rStyle w:val="FootnoteReference"/>
        </w:rPr>
        <w:footnoteReference w:id="6"/>
      </w:r>
    </w:p>
    <w:p w:rsidR="006812E9" w:rsidP="00275D95" w14:paraId="4AC55E89" w14:textId="7EDA59C3">
      <w:r>
        <w:tab/>
      </w:r>
      <w:r w:rsidR="00EE4E26">
        <w:t xml:space="preserve">After </w:t>
      </w:r>
      <w:r w:rsidR="00667AEC">
        <w:t>multiple</w:t>
      </w:r>
      <w:r w:rsidR="00A80AF9">
        <w:t xml:space="preserve"> continuances </w:t>
      </w:r>
      <w:r w:rsidR="00CF1612">
        <w:t xml:space="preserve">during </w:t>
      </w:r>
      <w:r w:rsidR="00EE4E26">
        <w:t>the pandemic</w:t>
      </w:r>
      <w:r w:rsidR="00CF1612">
        <w:t>,</w:t>
      </w:r>
      <w:r w:rsidR="00043184">
        <w:t xml:space="preserve"> </w:t>
      </w:r>
      <w:r w:rsidR="00EE4E26">
        <w:t xml:space="preserve">the trial court </w:t>
      </w:r>
      <w:r w:rsidR="008C09C9">
        <w:t xml:space="preserve">resentenced Gonzalez on </w:t>
      </w:r>
      <w:r w:rsidR="00B03EC7">
        <w:t xml:space="preserve">April 7, 2023. </w:t>
      </w:r>
      <w:r w:rsidR="00043184">
        <w:t xml:space="preserve"> By that time, the Legislature had enacted</w:t>
      </w:r>
      <w:r w:rsidR="00547263">
        <w:t xml:space="preserve"> </w:t>
      </w:r>
      <w:bookmarkStart w:id="3" w:name="dabmci_1eaf219410274da18fdd7e3d2e923389"/>
      <w:r w:rsidR="00547263">
        <w:t xml:space="preserve">Senate Bill </w:t>
      </w:r>
      <w:r w:rsidR="00131A8F">
        <w:t xml:space="preserve">No. </w:t>
      </w:r>
      <w:r w:rsidR="00547263">
        <w:t>81</w:t>
      </w:r>
      <w:bookmarkEnd w:id="3"/>
      <w:r w:rsidR="00547263">
        <w:t xml:space="preserve">, </w:t>
      </w:r>
      <w:r w:rsidRPr="00943259" w:rsidR="00943259">
        <w:t>effective January 1, 2022</w:t>
      </w:r>
      <w:r w:rsidR="009279D9">
        <w:t xml:space="preserve"> </w:t>
      </w:r>
      <w:r w:rsidRPr="00943259" w:rsidR="009279D9">
        <w:t>(Stats. 2021, ch. 721 §</w:t>
      </w:r>
      <w:r w:rsidR="00D23117">
        <w:t> </w:t>
      </w:r>
      <w:r w:rsidRPr="00943259" w:rsidR="009279D9">
        <w:t>1)</w:t>
      </w:r>
      <w:r w:rsidR="00547263">
        <w:t>, which</w:t>
      </w:r>
      <w:r w:rsidRPr="00943259" w:rsidR="00943259">
        <w:t xml:space="preserve"> amended section 1385 to include subdivision (c).  </w:t>
      </w:r>
      <w:r w:rsidRPr="00F15BFC" w:rsidR="00F15BFC">
        <w:t xml:space="preserve">Under subdivision (c)(1), the court “shall dismiss an enhancement if it is in the furtherance of justice to do so, except if dismissal of that enhancement is prohibited by any initiative statute.”  Under subdivision (c)(2), in exercising its discretion, “the court shall consider and afford great weight to evidence offered by the defendant to prove that any of the mitigating circumstances in subparagraphs (A) to (I) are present.  Proof of the presence of one or more of these circumstances weighs greatly in favor of dismissing the enhancement, </w:t>
      </w:r>
      <w:r w:rsidRPr="00240AEB" w:rsidR="00F15BFC">
        <w:t>unless the court finds that dismissal of the enhancement would endanger public safety</w:t>
      </w:r>
      <w:r w:rsidRPr="00F15BFC" w:rsidR="00F15BFC">
        <w:t xml:space="preserve">.”  </w:t>
      </w:r>
      <w:r w:rsidR="0073633E">
        <w:t>(§ 1385, subd. (c)(</w:t>
      </w:r>
      <w:r w:rsidR="00F637EE">
        <w:t>2</w:t>
      </w:r>
      <w:r w:rsidR="0073633E">
        <w:t>).)</w:t>
      </w:r>
      <w:r>
        <w:rPr>
          <w:rStyle w:val="FootnoteReference"/>
        </w:rPr>
        <w:footnoteReference w:id="7"/>
      </w:r>
      <w:r w:rsidR="00B14897">
        <w:t xml:space="preserve">  The statute specifically provides that “</w:t>
      </w:r>
      <w:r w:rsidR="00A04654">
        <w:t> ‘</w:t>
      </w:r>
      <w:r w:rsidRPr="00B14897" w:rsidR="00B14897">
        <w:t>Endanger public safety</w:t>
      </w:r>
      <w:r w:rsidR="00A04654">
        <w:t>’</w:t>
      </w:r>
      <w:r w:rsidRPr="00B14897" w:rsidR="00B14897">
        <w:t xml:space="preserve"> me</w:t>
      </w:r>
      <w:r w:rsidR="00C16D4E">
        <w:t>ans</w:t>
      </w:r>
      <w:r w:rsidRPr="00B14897" w:rsidR="00B14897">
        <w:t xml:space="preserve"> there is a likelihood that the dismissal of the enhancement would result in physical injury or other serious danger to others.</w:t>
      </w:r>
      <w:r w:rsidR="00A04654">
        <w:t xml:space="preserve">” </w:t>
      </w:r>
      <w:r w:rsidR="0045780A">
        <w:t xml:space="preserve"> </w:t>
      </w:r>
      <w:r w:rsidR="00A04654">
        <w:t>(</w:t>
      </w:r>
      <w:bookmarkStart w:id="6" w:name="dabmci_743e667d8783432698c3f864328e1528"/>
      <w:r w:rsidRPr="00A04654" w:rsidR="00A04654">
        <w:rPr>
          <w:i/>
          <w:iCs/>
        </w:rPr>
        <w:t>Ibid</w:t>
      </w:r>
      <w:r w:rsidR="00A04654">
        <w:t>.</w:t>
      </w:r>
      <w:bookmarkEnd w:id="6"/>
      <w:r w:rsidR="00A04654">
        <w:t>)</w:t>
      </w:r>
    </w:p>
    <w:p w:rsidR="005571D3" w:rsidP="00275D95" w14:paraId="63C36AC3" w14:textId="74393422">
      <w:r>
        <w:tab/>
        <w:t>In advance of the resentencing</w:t>
      </w:r>
      <w:r w:rsidR="00FD17B9">
        <w:t xml:space="preserve"> hearing</w:t>
      </w:r>
      <w:r>
        <w:t xml:space="preserve">, Gonzalez filed a sentencing position memorandum.  </w:t>
      </w:r>
      <w:r w:rsidR="00586780">
        <w:t>Gonzalez</w:t>
      </w:r>
      <w:r>
        <w:t xml:space="preserve"> argued that pursuant to </w:t>
      </w:r>
      <w:r w:rsidR="000F51B7">
        <w:t>section 1385, subdivision (</w:t>
      </w:r>
      <w:r w:rsidR="00E92B30">
        <w:t>c</w:t>
      </w:r>
      <w:r w:rsidR="000F51B7">
        <w:t xml:space="preserve">), </w:t>
      </w:r>
      <w:r>
        <w:t xml:space="preserve">the trial court </w:t>
      </w:r>
      <w:r w:rsidR="000F51B7">
        <w:t xml:space="preserve">should </w:t>
      </w:r>
      <w:r w:rsidR="009C15B8">
        <w:t xml:space="preserve">dismiss </w:t>
      </w:r>
      <w:r w:rsidR="00B37461">
        <w:t>(1)</w:t>
      </w:r>
      <w:r w:rsidR="000F51B7">
        <w:t xml:space="preserve"> </w:t>
      </w:r>
      <w:r w:rsidR="00586780">
        <w:t xml:space="preserve">the five-year enhancement for his prior </w:t>
      </w:r>
      <w:r w:rsidR="009124A6">
        <w:t>serious felony convict</w:t>
      </w:r>
      <w:r w:rsidR="00045397">
        <w:t>i</w:t>
      </w:r>
      <w:r w:rsidR="009124A6">
        <w:t>on</w:t>
      </w:r>
      <w:r w:rsidR="00161E6E">
        <w:t xml:space="preserve"> imposed pursuant to section</w:t>
      </w:r>
      <w:r w:rsidR="00045397">
        <w:t xml:space="preserve"> 667, subdivision (a)</w:t>
      </w:r>
      <w:r w:rsidR="009124A6">
        <w:t>; and (</w:t>
      </w:r>
      <w:r w:rsidR="00B37461">
        <w:t>2</w:t>
      </w:r>
      <w:r w:rsidR="009124A6">
        <w:t xml:space="preserve">) </w:t>
      </w:r>
      <w:r w:rsidR="00B37461">
        <w:t>the 25-year</w:t>
      </w:r>
      <w:r w:rsidR="00B3206E">
        <w:t>s</w:t>
      </w:r>
      <w:r w:rsidR="00B37461">
        <w:t>-to-li</w:t>
      </w:r>
      <w:r w:rsidR="00161E6E">
        <w:t>f</w:t>
      </w:r>
      <w:r w:rsidR="00B37461">
        <w:t xml:space="preserve">e </w:t>
      </w:r>
      <w:r w:rsidR="00161E6E">
        <w:t xml:space="preserve">firearm </w:t>
      </w:r>
      <w:r w:rsidR="00B37461">
        <w:t xml:space="preserve">enhancement </w:t>
      </w:r>
      <w:r w:rsidR="00161E6E">
        <w:t xml:space="preserve">imposed pursuant to section </w:t>
      </w:r>
      <w:r w:rsidRPr="001F4144" w:rsidR="00161E6E">
        <w:t>12022.53, subd</w:t>
      </w:r>
      <w:r w:rsidR="00161E6E">
        <w:t>ivision</w:t>
      </w:r>
      <w:r w:rsidRPr="001F4144" w:rsidR="00161E6E">
        <w:t xml:space="preserve"> (d)</w:t>
      </w:r>
      <w:r w:rsidR="00161E6E">
        <w:t>.</w:t>
      </w:r>
      <w:r>
        <w:t xml:space="preserve">  Gonzalez contended that</w:t>
      </w:r>
      <w:r w:rsidR="00601A8E">
        <w:t xml:space="preserve"> </w:t>
      </w:r>
      <w:r w:rsidR="00E57722">
        <w:t>dismissal of the enhancements w</w:t>
      </w:r>
      <w:r w:rsidR="00DD0777">
        <w:t>as</w:t>
      </w:r>
      <w:r w:rsidR="00E57722">
        <w:t xml:space="preserve"> warranted because </w:t>
      </w:r>
      <w:r w:rsidR="0090726F">
        <w:t xml:space="preserve">(1) </w:t>
      </w:r>
      <w:r w:rsidR="00601A8E">
        <w:t xml:space="preserve">more than one of the mitigating circumstances identified in </w:t>
      </w:r>
      <w:r w:rsidR="003D6CCC">
        <w:t>subparagraphs (A) t</w:t>
      </w:r>
      <w:r w:rsidRPr="00F15BFC" w:rsidR="00601A8E">
        <w:t xml:space="preserve">o (I) </w:t>
      </w:r>
      <w:r w:rsidR="00EF7D7D">
        <w:t xml:space="preserve">of section </w:t>
      </w:r>
      <w:r w:rsidR="000E58EC">
        <w:t>1385, subdivision (c)(</w:t>
      </w:r>
      <w:r w:rsidR="001871E6">
        <w:t>2)</w:t>
      </w:r>
      <w:r w:rsidR="00E063D4">
        <w:t xml:space="preserve"> </w:t>
      </w:r>
      <w:r w:rsidR="00601A8E">
        <w:t>we</w:t>
      </w:r>
      <w:r w:rsidRPr="00F15BFC" w:rsidR="00601A8E">
        <w:t>re present</w:t>
      </w:r>
      <w:r w:rsidR="00E57722">
        <w:t>,</w:t>
      </w:r>
      <w:r>
        <w:rPr>
          <w:rStyle w:val="FootnoteReference"/>
        </w:rPr>
        <w:footnoteReference w:id="8"/>
      </w:r>
      <w:r w:rsidR="00E57722">
        <w:t xml:space="preserve"> and </w:t>
      </w:r>
      <w:r w:rsidR="0090726F">
        <w:t xml:space="preserve">(2) </w:t>
      </w:r>
      <w:r w:rsidR="00DD0777">
        <w:t>dismissal would not “</w:t>
      </w:r>
      <w:r w:rsidR="00E55154">
        <w:t>[</w:t>
      </w:r>
      <w:r w:rsidRPr="00240AEB" w:rsidR="00DD0777">
        <w:t>e</w:t>
      </w:r>
      <w:r w:rsidR="00E55154">
        <w:t>]</w:t>
      </w:r>
      <w:r w:rsidRPr="00240AEB" w:rsidR="00DD0777">
        <w:t>ndanger public safety</w:t>
      </w:r>
      <w:r w:rsidR="00DD0777">
        <w:t>” within the meaning of section</w:t>
      </w:r>
      <w:r w:rsidR="00356DCC">
        <w:t xml:space="preserve"> 1385, subdivision (c)(</w:t>
      </w:r>
      <w:r w:rsidR="005B02E9">
        <w:t>2</w:t>
      </w:r>
      <w:r w:rsidR="00356DCC">
        <w:t>).</w:t>
      </w:r>
      <w:r>
        <w:rPr>
          <w:rStyle w:val="FootnoteReference"/>
        </w:rPr>
        <w:footnoteReference w:id="9"/>
      </w:r>
      <w:r w:rsidR="00601A8E">
        <w:t xml:space="preserve"> </w:t>
      </w:r>
    </w:p>
    <w:p w:rsidR="004D5A23" w:rsidP="004D5A23" w14:paraId="71DE4DC6" w14:textId="5191F8BB">
      <w:r>
        <w:tab/>
        <w:t xml:space="preserve">In arguing that dismissal of the enhancements would not endanger public safety, Gonzalez’s memorandum contained the following </w:t>
      </w:r>
      <w:r w:rsidR="00773DE6">
        <w:t xml:space="preserve">footnote, supported by a citation to </w:t>
      </w:r>
      <w:bookmarkStart w:id="7" w:name="dabmci_4e7d7663befe4e729687b80c492a1d8a"/>
      <w:r w:rsidRPr="006C73CB" w:rsidR="00773DE6">
        <w:rPr>
          <w:i/>
          <w:iCs/>
        </w:rPr>
        <w:t>People v. Williams</w:t>
      </w:r>
      <w:r w:rsidR="00773DE6">
        <w:t xml:space="preserve"> </w:t>
      </w:r>
      <w:r w:rsidRPr="003946A7" w:rsidR="00773DE6">
        <w:t>(2018) 19 Cal.App.5th 1057, 1063</w:t>
      </w:r>
      <w:r w:rsidR="00F56759">
        <w:t>–</w:t>
      </w:r>
      <w:r w:rsidRPr="003946A7" w:rsidR="00773DE6">
        <w:t>1064</w:t>
      </w:r>
      <w:r w:rsidR="00773DE6">
        <w:t xml:space="preserve"> (</w:t>
      </w:r>
      <w:r w:rsidRPr="00773DE6" w:rsidR="00773DE6">
        <w:rPr>
          <w:i/>
          <w:iCs/>
        </w:rPr>
        <w:t>Williams</w:t>
      </w:r>
      <w:r w:rsidR="00773DE6">
        <w:t>)</w:t>
      </w:r>
      <w:bookmarkEnd w:id="7"/>
      <w:r>
        <w:t xml:space="preserve">: </w:t>
      </w:r>
      <w:r w:rsidR="002528EE">
        <w:t xml:space="preserve"> </w:t>
      </w:r>
      <w:r>
        <w:t>“I</w:t>
      </w:r>
      <w:r w:rsidRPr="003946A7">
        <w:t>n re-sentencing a defendant, and in determining whether he poses an</w:t>
      </w:r>
      <w:r w:rsidR="00773DE6">
        <w:t xml:space="preserve"> </w:t>
      </w:r>
      <w:r w:rsidRPr="003946A7">
        <w:t>unreasonable risk of danger, the trial court must look to when he would be released</w:t>
      </w:r>
      <w:r w:rsidRPr="00C004F8">
        <w:t xml:space="preserve"> </w:t>
      </w:r>
      <w:r w:rsidRPr="003946A7">
        <w:t xml:space="preserve">if a modification is granted. </w:t>
      </w:r>
      <w:r w:rsidR="003F4BF5">
        <w:t xml:space="preserve"> </w:t>
      </w:r>
      <w:r w:rsidRPr="003946A7">
        <w:t xml:space="preserve">This applies with even greater force when he is serving a sentence greater than a human life span. </w:t>
      </w:r>
      <w:r w:rsidR="00C004F8">
        <w:t xml:space="preserve"> </w:t>
      </w:r>
      <w:r w:rsidRPr="003946A7">
        <w:t>As such, the court must consider when the</w:t>
      </w:r>
      <w:r>
        <w:t xml:space="preserve"> d</w:t>
      </w:r>
      <w:r w:rsidRPr="003946A7">
        <w:t>efendant might be released if his sentence is modified, and the consideration of</w:t>
      </w:r>
      <w:r>
        <w:t xml:space="preserve"> </w:t>
      </w:r>
      <w:r w:rsidRPr="003946A7">
        <w:t>public safety following his release under the modified sentence.</w:t>
      </w:r>
      <w:r>
        <w:t xml:space="preserve">” </w:t>
      </w:r>
    </w:p>
    <w:p w:rsidR="00DC4CBB" w:rsidP="004D5A23" w14:paraId="5C430677" w14:textId="28BA43FA">
      <w:r>
        <w:tab/>
        <w:t>In the People’s response, they did not attempt to dispute that at least some of mitigating factors in section 1385, subdivision (c)(2) applied</w:t>
      </w:r>
      <w:r w:rsidR="003417E4">
        <w:t>.</w:t>
      </w:r>
      <w:r>
        <w:rPr>
          <w:rStyle w:val="FootnoteReference"/>
        </w:rPr>
        <w:footnoteReference w:id="10"/>
      </w:r>
      <w:r w:rsidR="003417E4">
        <w:t xml:space="preserve">  The People stated, </w:t>
      </w:r>
      <w:r>
        <w:t>“</w:t>
      </w:r>
      <w:r w:rsidR="003417E4">
        <w:t>T</w:t>
      </w:r>
      <w:r w:rsidRPr="005F0CA7">
        <w:t xml:space="preserve">he real issue is whether or not dismissing the enhancement would endanger public safety. </w:t>
      </w:r>
      <w:r w:rsidR="003417E4">
        <w:t xml:space="preserve"> </w:t>
      </w:r>
      <w:r w:rsidRPr="005F0CA7">
        <w:t>Factually, the People would like the court to consider the facts in this case which do indicate that the defendant is a danger to public safety</w:t>
      </w:r>
      <w:r w:rsidR="00502AAE">
        <w:t xml:space="preserve"> . . .”</w:t>
      </w:r>
      <w:r w:rsidR="00ED571F">
        <w:t xml:space="preserve">  </w:t>
      </w:r>
      <w:r w:rsidR="00502AAE">
        <w:t>The People then went on t</w:t>
      </w:r>
      <w:r w:rsidR="00ED571F">
        <w:t>o</w:t>
      </w:r>
      <w:r w:rsidR="00502AAE">
        <w:t xml:space="preserve"> discuss the particular circumstances of the murder and </w:t>
      </w:r>
      <w:r w:rsidR="00ED571F">
        <w:t xml:space="preserve">Gonzalez’s criminal history. </w:t>
      </w:r>
    </w:p>
    <w:p w:rsidR="005D7445" w:rsidP="00ED5B7F" w14:paraId="71D4F278" w14:textId="6E2B39C3">
      <w:r>
        <w:tab/>
        <w:t xml:space="preserve">At the </w:t>
      </w:r>
      <w:r w:rsidR="00D37171">
        <w:t>re</w:t>
      </w:r>
      <w:r>
        <w:t xml:space="preserve">sentencing hearing, </w:t>
      </w:r>
      <w:r w:rsidR="00B6136C">
        <w:t xml:space="preserve">defense counsel </w:t>
      </w:r>
      <w:r w:rsidR="00ED5B7F">
        <w:t>took issue with the People’s focus</w:t>
      </w:r>
      <w:r w:rsidR="007E208D">
        <w:t>, in their memorandum,</w:t>
      </w:r>
      <w:r w:rsidR="00ED5B7F">
        <w:t xml:space="preserve"> on Gonzal</w:t>
      </w:r>
      <w:r w:rsidR="00AC4492">
        <w:t>e</w:t>
      </w:r>
      <w:r w:rsidR="00ED5B7F">
        <w:t xml:space="preserve">z’s criminal history and the circumstances of the murder </w:t>
      </w:r>
      <w:r w:rsidR="000E3193">
        <w:t xml:space="preserve">when </w:t>
      </w:r>
      <w:r w:rsidR="00D60E0B">
        <w:t xml:space="preserve">they </w:t>
      </w:r>
      <w:r w:rsidR="000E3193">
        <w:t>argu</w:t>
      </w:r>
      <w:r w:rsidR="00D60E0B">
        <w:t>ed</w:t>
      </w:r>
      <w:r w:rsidR="000E3193">
        <w:t xml:space="preserve"> that </w:t>
      </w:r>
      <w:r w:rsidR="00ED5B7F">
        <w:t xml:space="preserve">dismissing the enhancements would endanger public safety.  </w:t>
      </w:r>
      <w:r w:rsidR="007E208D">
        <w:t xml:space="preserve">Defense counsel stated, </w:t>
      </w:r>
      <w:r w:rsidR="00ED5B7F">
        <w:t>“</w:t>
      </w:r>
      <w:r w:rsidRPr="001A1DC7" w:rsidR="00ED5B7F">
        <w:t>The other thing that I would like to repoint out is it</w:t>
      </w:r>
      <w:r w:rsidRPr="00926B51" w:rsidR="00ED5B7F">
        <w:t xml:space="preserve"> </w:t>
      </w:r>
      <w:r w:rsidRPr="001A1DC7" w:rsidR="00ED5B7F">
        <w:t>appears as though, in assessing Mr. Gonzalez</w:t>
      </w:r>
      <w:r w:rsidR="00ED5B7F">
        <w:t>’</w:t>
      </w:r>
      <w:r w:rsidRPr="001A1DC7" w:rsidR="00ED5B7F">
        <w:t>s future</w:t>
      </w:r>
      <w:r w:rsidRPr="00926B51" w:rsidR="00ED5B7F">
        <w:t xml:space="preserve"> </w:t>
      </w:r>
      <w:r w:rsidRPr="001A1DC7" w:rsidR="00ED5B7F">
        <w:t>dangerousness, the People are looking backwards at his history,</w:t>
      </w:r>
      <w:r w:rsidR="00ED5B7F">
        <w:t xml:space="preserve"> </w:t>
      </w:r>
      <w:r w:rsidRPr="001A1DC7" w:rsidR="00ED5B7F">
        <w:t xml:space="preserve">which certainly can be done, but as set forth in the </w:t>
      </w:r>
      <w:bookmarkStart w:id="8" w:name="dabmci_1ccf5197d32d4278908cf564ccd44fdd"/>
      <w:r w:rsidRPr="001A1DC7" w:rsidR="00ED5B7F">
        <w:rPr>
          <w:i/>
          <w:iCs/>
        </w:rPr>
        <w:t>Williams</w:t>
      </w:r>
      <w:bookmarkEnd w:id="8"/>
      <w:r w:rsidR="00ED5B7F">
        <w:t xml:space="preserve"> </w:t>
      </w:r>
      <w:r w:rsidRPr="001A1DC7" w:rsidR="00ED5B7F">
        <w:t>case, the court specifically said it</w:t>
      </w:r>
      <w:r w:rsidR="00ED5B7F">
        <w:t>’</w:t>
      </w:r>
      <w:r w:rsidRPr="001A1DC7" w:rsidR="00ED5B7F">
        <w:t>s a forward-looking</w:t>
      </w:r>
      <w:r w:rsidRPr="00926B51" w:rsidR="00ED5B7F">
        <w:t xml:space="preserve"> </w:t>
      </w:r>
      <w:r w:rsidRPr="001A1DC7" w:rsidR="00ED5B7F">
        <w:t>inquiry, especially when the defendant would not be immediately</w:t>
      </w:r>
      <w:r w:rsidRPr="00926B51" w:rsidR="00ED5B7F">
        <w:t xml:space="preserve"> </w:t>
      </w:r>
      <w:r w:rsidRPr="001A1DC7" w:rsidR="00ED5B7F">
        <w:t>released.</w:t>
      </w:r>
      <w:r w:rsidR="00ED5B7F">
        <w:t xml:space="preserve"> </w:t>
      </w:r>
      <w:r w:rsidR="00043993">
        <w:t xml:space="preserve">[¶] </w:t>
      </w:r>
      <w:r w:rsidRPr="001A1DC7" w:rsidR="00ED5B7F">
        <w:t>So Mr.</w:t>
      </w:r>
      <w:r w:rsidR="003514A5">
        <w:t> </w:t>
      </w:r>
      <w:r w:rsidRPr="001A1DC7" w:rsidR="00ED5B7F">
        <w:t>Gonzalez is obviously going to do a minimum of</w:t>
      </w:r>
      <w:r w:rsidRPr="00926B51" w:rsidR="00ED5B7F">
        <w:t xml:space="preserve"> </w:t>
      </w:r>
      <w:r w:rsidRPr="001A1DC7" w:rsidR="00ED5B7F">
        <w:t>25 to life.</w:t>
      </w:r>
      <w:r w:rsidR="00ED5B7F">
        <w:t xml:space="preserve">  </w:t>
      </w:r>
      <w:r w:rsidRPr="001A1DC7" w:rsidR="00ED5B7F">
        <w:t>Regardless of what this Court does, he</w:t>
      </w:r>
      <w:r w:rsidR="00ED5B7F">
        <w:t>’</w:t>
      </w:r>
      <w:r w:rsidRPr="001A1DC7" w:rsidR="00ED5B7F">
        <w:t>s not going</w:t>
      </w:r>
      <w:r w:rsidRPr="00926B51" w:rsidR="00ED5B7F">
        <w:t xml:space="preserve"> </w:t>
      </w:r>
      <w:r w:rsidRPr="001A1DC7" w:rsidR="00ED5B7F">
        <w:t>to be released forthwith or anytime in the near future.</w:t>
      </w:r>
      <w:r w:rsidRPr="00926B51" w:rsidR="00ED5B7F">
        <w:t xml:space="preserve"> </w:t>
      </w:r>
      <w:r w:rsidRPr="001A1DC7" w:rsidR="00ED5B7F">
        <w:t xml:space="preserve"> And if</w:t>
      </w:r>
      <w:r w:rsidRPr="00926B51" w:rsidR="00ED5B7F">
        <w:t xml:space="preserve"> </w:t>
      </w:r>
      <w:r w:rsidRPr="001A1DC7" w:rsidR="00ED5B7F">
        <w:t>he is sentenced to</w:t>
      </w:r>
      <w:r w:rsidR="00043993">
        <w:t>—</w:t>
      </w:r>
      <w:r w:rsidRPr="001A1DC7" w:rsidR="00ED5B7F">
        <w:t>since he is under an indeterminate</w:t>
      </w:r>
      <w:r w:rsidRPr="00926B51" w:rsidR="00ED5B7F">
        <w:t xml:space="preserve"> </w:t>
      </w:r>
      <w:r w:rsidRPr="001A1DC7" w:rsidR="00ED5B7F">
        <w:t>sentence, a parole board is going to be re-reviewing everything</w:t>
      </w:r>
      <w:r w:rsidRPr="00926B51" w:rsidR="00ED5B7F">
        <w:t xml:space="preserve"> else as well as the </w:t>
      </w:r>
      <w:r w:rsidR="00043993">
        <w:t>g</w:t>
      </w:r>
      <w:r w:rsidRPr="00926B51" w:rsidR="00ED5B7F">
        <w:t>overnor.”</w:t>
      </w:r>
      <w:r w:rsidR="00ED5B7F">
        <w:t xml:space="preserve"> </w:t>
      </w:r>
    </w:p>
    <w:p w:rsidR="00E6508A" w:rsidP="00D8332E" w14:paraId="2E73D8B5" w14:textId="77777777">
      <w:pPr>
        <w:ind w:firstLine="720"/>
      </w:pPr>
      <w:r>
        <w:t xml:space="preserve">In </w:t>
      </w:r>
      <w:r w:rsidR="0013024E">
        <w:t>ruling on whether it would dismiss the 25-year</w:t>
      </w:r>
      <w:r w:rsidR="009C6BB0">
        <w:t>s</w:t>
      </w:r>
      <w:r w:rsidR="0013024E">
        <w:t>-to</w:t>
      </w:r>
      <w:r w:rsidR="00435D61">
        <w:t xml:space="preserve">-life firearm enhancement, the trial court first explained that </w:t>
      </w:r>
      <w:r w:rsidR="009924F1">
        <w:t>if section 1385,</w:t>
      </w:r>
      <w:r>
        <w:t> </w:t>
      </w:r>
    </w:p>
    <w:p w:rsidR="00D82409" w:rsidP="00E6508A" w14:paraId="4E355EF0" w14:textId="00428244">
      <w:r>
        <w:t xml:space="preserve">subdivision (c) did not exist, it would not exercise its discretion to dismiss the enhancement.  </w:t>
      </w:r>
      <w:r w:rsidR="00782D01">
        <w:t>“[T]</w:t>
      </w:r>
      <w:r w:rsidRPr="009C46B1">
        <w:t>his is a poster child fact pattern for</w:t>
      </w:r>
      <w:r w:rsidRPr="00532670">
        <w:t xml:space="preserve"> </w:t>
      </w:r>
      <w:r w:rsidRPr="009C46B1">
        <w:t>the imposition of the additional time considered by 12022.53.</w:t>
      </w:r>
      <w:r w:rsidRPr="00532670">
        <w:t xml:space="preserve"> </w:t>
      </w:r>
      <w:r w:rsidR="00782D01">
        <w:t>. . .</w:t>
      </w:r>
      <w:r w:rsidRPr="009C46B1">
        <w:t xml:space="preserve"> He</w:t>
      </w:r>
      <w:r w:rsidRPr="00532670">
        <w:t xml:space="preserve"> </w:t>
      </w:r>
      <w:r w:rsidRPr="009C46B1">
        <w:t>is the person holding the firearm.</w:t>
      </w:r>
      <w:r w:rsidR="00782D01">
        <w:t xml:space="preserve"> </w:t>
      </w:r>
      <w:r w:rsidRPr="009C46B1">
        <w:t xml:space="preserve"> He used it to deadly impact.</w:t>
      </w:r>
      <w:r w:rsidRPr="00532670">
        <w:t xml:space="preserve"> </w:t>
      </w:r>
      <w:r w:rsidR="00782D01">
        <w:t xml:space="preserve"> </w:t>
      </w:r>
      <w:r w:rsidRPr="009C46B1">
        <w:t>So if we</w:t>
      </w:r>
      <w:r w:rsidR="00782D01">
        <w:t>’</w:t>
      </w:r>
      <w:r w:rsidRPr="009C46B1">
        <w:t>re just considering normal 12022.53(h) discretion, I</w:t>
      </w:r>
      <w:r w:rsidRPr="00532670">
        <w:t xml:space="preserve"> </w:t>
      </w:r>
      <w:r w:rsidRPr="009C46B1">
        <w:t>would not exercise my discretion for his benefit.</w:t>
      </w:r>
      <w:r w:rsidR="003035BB">
        <w:t>”</w:t>
      </w:r>
      <w:r w:rsidRPr="00532670" w:rsidR="00017B8F">
        <w:t xml:space="preserve"> </w:t>
      </w:r>
      <w:r w:rsidR="00085670">
        <w:t xml:space="preserve"> However, in light of section 1385, subdivision (c), the trial court stated, </w:t>
      </w:r>
      <w:r w:rsidRPr="00D8332E" w:rsidR="00085670">
        <w:t>“So then the next question is under 1385.  Do I consider him to be a danger to society?”</w:t>
      </w:r>
      <w:r w:rsidR="00D8332E">
        <w:t xml:space="preserve">  T</w:t>
      </w:r>
      <w:r w:rsidR="005A0D5F">
        <w:t xml:space="preserve">he trial court asked </w:t>
      </w:r>
      <w:r w:rsidR="00D8332E">
        <w:t xml:space="preserve">defense counsel </w:t>
      </w:r>
      <w:r w:rsidR="005A0D5F">
        <w:t xml:space="preserve">for clarification about </w:t>
      </w:r>
      <w:r w:rsidR="006B0A18">
        <w:t>how to</w:t>
      </w:r>
      <w:r w:rsidR="00470DF9">
        <w:t xml:space="preserve"> approach that analysis</w:t>
      </w:r>
      <w:r w:rsidR="00B95A99">
        <w:t>, leading to the following exchange:</w:t>
      </w:r>
    </w:p>
    <w:p w:rsidR="00B95A99" w:rsidP="00665B66" w14:paraId="7C1D5802" w14:textId="12BE6431">
      <w:pPr>
        <w:spacing w:line="240" w:lineRule="auto"/>
        <w:ind w:left="720" w:right="720"/>
      </w:pPr>
      <w:r>
        <w:t>“</w:t>
      </w:r>
      <w:r w:rsidRPr="00D85F6D" w:rsidR="002606BE">
        <w:t>THE COURT:</w:t>
      </w:r>
      <w:r w:rsidRPr="00532670" w:rsidR="002606BE">
        <w:t xml:space="preserve"> </w:t>
      </w:r>
      <w:r>
        <w:t xml:space="preserve">. . .  </w:t>
      </w:r>
      <w:r w:rsidRPr="00D85F6D">
        <w:t>And I</w:t>
      </w:r>
      <w:r>
        <w:t>’</w:t>
      </w:r>
      <w:r w:rsidRPr="00D85F6D">
        <w:t xml:space="preserve">m not sure, </w:t>
      </w:r>
      <w:r w:rsidR="00A221D2">
        <w:t>[defense counsel]</w:t>
      </w:r>
      <w:r w:rsidRPr="00D85F6D">
        <w:t>, how exactly to</w:t>
      </w:r>
      <w:r w:rsidR="00B962BF">
        <w:t>—</w:t>
      </w:r>
      <w:r w:rsidRPr="00D85F6D">
        <w:t>I</w:t>
      </w:r>
      <w:r w:rsidRPr="00532670">
        <w:t xml:space="preserve"> </w:t>
      </w:r>
      <w:r w:rsidRPr="00D85F6D">
        <w:t>think</w:t>
      </w:r>
      <w:r w:rsidR="00B962BF">
        <w:t>—</w:t>
      </w:r>
      <w:r w:rsidRPr="00D85F6D">
        <w:t>I</w:t>
      </w:r>
      <w:r w:rsidR="00B92012">
        <w:t>’</w:t>
      </w:r>
      <w:r w:rsidRPr="00D85F6D">
        <w:t>m not sure that when I</w:t>
      </w:r>
      <w:r w:rsidR="00A221D2">
        <w:t>’</w:t>
      </w:r>
      <w:r w:rsidRPr="00D85F6D">
        <w:t>m sentencing and finding</w:t>
      </w:r>
      <w:r w:rsidRPr="00532670">
        <w:t xml:space="preserve"> </w:t>
      </w:r>
      <w:r w:rsidRPr="00D85F6D">
        <w:t>someone is a danger that I have to consider each and every</w:t>
      </w:r>
      <w:r w:rsidRPr="00532670">
        <w:t xml:space="preserve"> </w:t>
      </w:r>
      <w:r w:rsidRPr="00D85F6D">
        <w:t>charge that I</w:t>
      </w:r>
      <w:r w:rsidR="00AC321C">
        <w:t>’</w:t>
      </w:r>
      <w:r w:rsidRPr="00D85F6D">
        <w:t>m sentencing on to say, well, but now it</w:t>
      </w:r>
      <w:r w:rsidR="00AC321C">
        <w:t>’</w:t>
      </w:r>
      <w:r w:rsidRPr="00D85F6D">
        <w:t>s going</w:t>
      </w:r>
      <w:r w:rsidRPr="00532670">
        <w:t xml:space="preserve"> </w:t>
      </w:r>
      <w:r w:rsidRPr="00D85F6D">
        <w:t>to be 75 years before he</w:t>
      </w:r>
      <w:r w:rsidR="00A221D2">
        <w:t>’</w:t>
      </w:r>
      <w:r w:rsidRPr="00D85F6D">
        <w:t>s out, so in 75 years he</w:t>
      </w:r>
      <w:r w:rsidR="00A221D2">
        <w:t>’</w:t>
      </w:r>
      <w:r w:rsidRPr="00D85F6D">
        <w:t>s not going to</w:t>
      </w:r>
      <w:r w:rsidRPr="00532670">
        <w:t xml:space="preserve"> </w:t>
      </w:r>
      <w:r w:rsidRPr="00D85F6D">
        <w:t>be a danger.</w:t>
      </w:r>
      <w:r w:rsidRPr="00E96ABB" w:rsidR="00E96ABB">
        <w:t xml:space="preserve"> </w:t>
      </w:r>
      <w:r w:rsidRPr="00532670" w:rsidR="00E96ABB">
        <w:t>[¶]</w:t>
      </w:r>
      <w:r w:rsidR="00E96ABB">
        <w:t xml:space="preserve"> </w:t>
      </w:r>
      <w:r w:rsidRPr="00D85F6D">
        <w:t>Isn</w:t>
      </w:r>
      <w:r w:rsidR="00E96ABB">
        <w:t>’</w:t>
      </w:r>
      <w:r w:rsidRPr="00D85F6D">
        <w:t>t it</w:t>
      </w:r>
      <w:r w:rsidR="00877EBB">
        <w:t>—</w:t>
      </w:r>
      <w:r w:rsidRPr="00D85F6D">
        <w:t>when you</w:t>
      </w:r>
      <w:r w:rsidR="00D51B4F">
        <w:t>’</w:t>
      </w:r>
      <w:r w:rsidRPr="00D85F6D">
        <w:t>re considering the time of</w:t>
      </w:r>
      <w:r w:rsidRPr="00532670">
        <w:t xml:space="preserve"> </w:t>
      </w:r>
      <w:r w:rsidRPr="00D85F6D">
        <w:t>sentencing, does he currently at the time of sentencing</w:t>
      </w:r>
      <w:r w:rsidRPr="00532670">
        <w:t xml:space="preserve"> </w:t>
      </w:r>
      <w:r w:rsidRPr="00D85F6D">
        <w:t>represent a danger to society?</w:t>
      </w:r>
      <w:r w:rsidR="00417E35">
        <w:t xml:space="preserve"> </w:t>
      </w:r>
      <w:r w:rsidRPr="00D85F6D">
        <w:t xml:space="preserve"> That</w:t>
      </w:r>
      <w:r w:rsidR="00E96ABB">
        <w:t>’</w:t>
      </w:r>
      <w:r w:rsidRPr="00D85F6D">
        <w:t>s how I read the law.</w:t>
      </w:r>
      <w:r w:rsidRPr="00532670">
        <w:t xml:space="preserve"> [¶] </w:t>
      </w:r>
      <w:r w:rsidRPr="00D85F6D">
        <w:t>Do you have a case that says I</w:t>
      </w:r>
      <w:r w:rsidR="00E96ABB">
        <w:t>’</w:t>
      </w:r>
      <w:r w:rsidRPr="00D85F6D">
        <w:t>m wrong about that?</w:t>
      </w:r>
    </w:p>
    <w:p w:rsidR="00270F2E" w:rsidRPr="00532670" w:rsidP="00270F2E" w14:paraId="1BCEFF49" w14:textId="77777777">
      <w:pPr>
        <w:spacing w:line="240" w:lineRule="auto"/>
        <w:ind w:left="720" w:right="720" w:firstLine="720"/>
      </w:pPr>
    </w:p>
    <w:p w:rsidR="00B95A99" w:rsidP="00665B66" w14:paraId="0CC64EBF" w14:textId="4EEA519C">
      <w:pPr>
        <w:spacing w:line="240" w:lineRule="auto"/>
        <w:ind w:left="720" w:right="720"/>
      </w:pPr>
      <w:r>
        <w:t>“</w:t>
      </w:r>
      <w:r w:rsidR="001275E7">
        <w:t>[DEFENSE COUNSEL]</w:t>
      </w:r>
      <w:r w:rsidRPr="00D85F6D">
        <w:t>:</w:t>
      </w:r>
      <w:r>
        <w:t xml:space="preserve">  </w:t>
      </w:r>
      <w:r w:rsidRPr="00D85F6D">
        <w:t xml:space="preserve">Your Honor, I believe the </w:t>
      </w:r>
      <w:bookmarkStart w:id="9" w:name="dabmci_7cabcbf890fa47dfb7263259dbe809d7"/>
      <w:r w:rsidRPr="00D85F6D">
        <w:t>Williams</w:t>
      </w:r>
      <w:bookmarkEnd w:id="9"/>
      <w:r w:rsidRPr="00D85F6D">
        <w:t xml:space="preserve"> case</w:t>
      </w:r>
      <w:r w:rsidR="005A741C">
        <w:t xml:space="preserve"> . . .</w:t>
      </w:r>
      <w:r w:rsidRPr="00D85F6D">
        <w:t xml:space="preserve"> cited in a footnote talks about a forward-looking inquiry</w:t>
      </w:r>
      <w:r w:rsidRPr="00532670">
        <w:t xml:space="preserve"> </w:t>
      </w:r>
      <w:r w:rsidRPr="00D85F6D">
        <w:t>whether he</w:t>
      </w:r>
      <w:r w:rsidR="00B92012">
        <w:t>’</w:t>
      </w:r>
      <w:r w:rsidRPr="00D85F6D">
        <w:t>s a risk of danger.</w:t>
      </w:r>
    </w:p>
    <w:p w:rsidR="00270F2E" w:rsidRPr="00D85F6D" w:rsidP="00270F2E" w14:paraId="7E4790F0" w14:textId="77777777">
      <w:pPr>
        <w:spacing w:line="240" w:lineRule="auto"/>
        <w:ind w:left="720" w:right="720" w:firstLine="720"/>
      </w:pPr>
    </w:p>
    <w:p w:rsidR="00B95A99" w:rsidP="00665B66" w14:paraId="2EC7BF58" w14:textId="66AE9B60">
      <w:pPr>
        <w:spacing w:line="240" w:lineRule="auto"/>
        <w:ind w:left="720" w:right="720"/>
      </w:pPr>
      <w:r>
        <w:t>“</w:t>
      </w:r>
      <w:r w:rsidRPr="00D85F6D">
        <w:t>THE COURT:</w:t>
      </w:r>
      <w:r>
        <w:t xml:space="preserve"> </w:t>
      </w:r>
      <w:r w:rsidRPr="00D85F6D">
        <w:t xml:space="preserve"> And this is forward looking. </w:t>
      </w:r>
      <w:r w:rsidR="00E6508A">
        <w:t>I</w:t>
      </w:r>
      <w:r w:rsidRPr="00D85F6D">
        <w:t>t</w:t>
      </w:r>
      <w:r w:rsidR="00805E2D">
        <w:t>’</w:t>
      </w:r>
      <w:r w:rsidRPr="00D85F6D">
        <w:t>s from</w:t>
      </w:r>
      <w:r w:rsidRPr="00532670">
        <w:t xml:space="preserve"> </w:t>
      </w:r>
      <w:r w:rsidRPr="00D85F6D">
        <w:t>this point forward</w:t>
      </w:r>
      <w:r w:rsidR="00E6508A">
        <w:t>—</w:t>
      </w:r>
    </w:p>
    <w:p w:rsidR="00270F2E" w:rsidRPr="00D85F6D" w:rsidP="00270F2E" w14:paraId="2A54ECFE" w14:textId="77777777">
      <w:pPr>
        <w:spacing w:line="240" w:lineRule="auto"/>
        <w:ind w:left="720" w:right="720" w:firstLine="720"/>
      </w:pPr>
    </w:p>
    <w:p w:rsidR="00B95A99" w:rsidP="00665B66" w14:paraId="40045129" w14:textId="7262A6C0">
      <w:pPr>
        <w:spacing w:line="240" w:lineRule="auto"/>
        <w:ind w:right="720" w:firstLine="720"/>
      </w:pPr>
      <w:r>
        <w:t>“</w:t>
      </w:r>
      <w:r w:rsidR="001275E7">
        <w:t>[DEFENSE COUNSEL]</w:t>
      </w:r>
      <w:r w:rsidRPr="00D85F6D">
        <w:t>:</w:t>
      </w:r>
      <w:r>
        <w:t xml:space="preserve"> </w:t>
      </w:r>
      <w:r w:rsidRPr="00D85F6D">
        <w:t xml:space="preserve"> Right.</w:t>
      </w:r>
    </w:p>
    <w:p w:rsidR="00270F2E" w:rsidRPr="00D85F6D" w:rsidP="00270F2E" w14:paraId="4C70145C" w14:textId="77777777">
      <w:pPr>
        <w:spacing w:line="240" w:lineRule="auto"/>
        <w:ind w:left="720" w:right="720" w:firstLine="720"/>
      </w:pPr>
    </w:p>
    <w:p w:rsidR="00B95A99" w:rsidP="00665B66" w14:paraId="00AA6299" w14:textId="33CD9E6A">
      <w:pPr>
        <w:spacing w:line="240" w:lineRule="auto"/>
        <w:ind w:left="720" w:right="720"/>
      </w:pPr>
      <w:r>
        <w:t>“</w:t>
      </w:r>
      <w:r w:rsidRPr="00D85F6D">
        <w:t>THE COURT:</w:t>
      </w:r>
      <w:r w:rsidR="00043993">
        <w:t>—</w:t>
      </w:r>
      <w:r w:rsidRPr="00D85F6D">
        <w:t>based on what I</w:t>
      </w:r>
      <w:r w:rsidR="00EE6177">
        <w:t>’</w:t>
      </w:r>
      <w:r w:rsidRPr="00D85F6D">
        <w:t xml:space="preserve">ve seen. </w:t>
      </w:r>
      <w:r w:rsidR="00EE6177">
        <w:t xml:space="preserve"> </w:t>
      </w:r>
      <w:r w:rsidRPr="00D85F6D">
        <w:t>And so from</w:t>
      </w:r>
      <w:r w:rsidRPr="00532670">
        <w:t xml:space="preserve"> </w:t>
      </w:r>
      <w:r w:rsidRPr="00D85F6D">
        <w:t>this point forward, I would conclude he is a danger.</w:t>
      </w:r>
      <w:r w:rsidR="00EE6177">
        <w:t xml:space="preserve"> </w:t>
      </w:r>
      <w:r w:rsidRPr="00D85F6D">
        <w:t xml:space="preserve"> What I was</w:t>
      </w:r>
      <w:r w:rsidRPr="00532670">
        <w:t xml:space="preserve"> </w:t>
      </w:r>
      <w:r w:rsidRPr="00D85F6D">
        <w:t>saying is, I</w:t>
      </w:r>
      <w:r w:rsidR="00EE6177">
        <w:t>’</w:t>
      </w:r>
      <w:r w:rsidRPr="00D85F6D">
        <w:t>m not sure that Williams obliges me to say, well,</w:t>
      </w:r>
      <w:r w:rsidRPr="00532670">
        <w:t xml:space="preserve"> </w:t>
      </w:r>
      <w:r w:rsidRPr="00D85F6D">
        <w:t>he</w:t>
      </w:r>
      <w:r w:rsidR="00EE6177">
        <w:t>’</w:t>
      </w:r>
      <w:r w:rsidRPr="00D85F6D">
        <w:t>s already been sentenced to 50 years to life, so the Court</w:t>
      </w:r>
      <w:r w:rsidRPr="00532670">
        <w:t xml:space="preserve"> </w:t>
      </w:r>
      <w:r w:rsidRPr="00D85F6D">
        <w:t>has to say in 50 years he</w:t>
      </w:r>
      <w:r w:rsidR="009814B2">
        <w:t>’</w:t>
      </w:r>
      <w:r w:rsidRPr="00D85F6D">
        <w:t>s still going to be a danger in order</w:t>
      </w:r>
      <w:r w:rsidRPr="00532670">
        <w:t xml:space="preserve"> </w:t>
      </w:r>
      <w:r w:rsidRPr="00D85F6D">
        <w:t>to impose the other enhancements.</w:t>
      </w:r>
      <w:r w:rsidR="009814B2">
        <w:t xml:space="preserve"> </w:t>
      </w:r>
      <w:r w:rsidR="00BD057D">
        <w:t xml:space="preserve"> </w:t>
      </w:r>
      <w:r w:rsidRPr="00D85F6D">
        <w:t>I think it</w:t>
      </w:r>
      <w:r w:rsidR="00270F2E">
        <w:t>’</w:t>
      </w:r>
      <w:r w:rsidRPr="00D85F6D">
        <w:t>s forward looking</w:t>
      </w:r>
      <w:r w:rsidRPr="00532670">
        <w:t xml:space="preserve"> </w:t>
      </w:r>
      <w:r w:rsidRPr="00D85F6D">
        <w:t>from today, not forward looking from 50 years from now.</w:t>
      </w:r>
    </w:p>
    <w:p w:rsidR="00EE0184" w:rsidRPr="00D85F6D" w:rsidP="00270F2E" w14:paraId="10286ECA" w14:textId="77777777">
      <w:pPr>
        <w:spacing w:line="240" w:lineRule="auto"/>
        <w:ind w:left="720" w:right="720" w:firstLine="720"/>
      </w:pPr>
    </w:p>
    <w:p w:rsidR="00B95A99" w:rsidP="00665B66" w14:paraId="0742090A" w14:textId="7652151A">
      <w:pPr>
        <w:spacing w:line="240" w:lineRule="auto"/>
        <w:ind w:left="720" w:right="720"/>
      </w:pPr>
      <w:r>
        <w:t>“</w:t>
      </w:r>
      <w:r w:rsidR="001275E7">
        <w:t>[DEFENSE COUNSEL]</w:t>
      </w:r>
      <w:r w:rsidRPr="00D85F6D">
        <w:t>:</w:t>
      </w:r>
      <w:r w:rsidR="00EE6177">
        <w:t xml:space="preserve"> </w:t>
      </w:r>
      <w:r w:rsidRPr="00D85F6D">
        <w:t xml:space="preserve"> Yes, I agree, because the rest of that</w:t>
      </w:r>
      <w:r w:rsidR="009814B2">
        <w:t xml:space="preserve"> </w:t>
      </w:r>
      <w:r w:rsidRPr="00D85F6D">
        <w:t xml:space="preserve">statement says, </w:t>
      </w:r>
      <w:r w:rsidR="009814B2">
        <w:t>‘</w:t>
      </w:r>
      <w:r w:rsidRPr="00D85F6D">
        <w:t>And when the defendant would be released if the</w:t>
      </w:r>
      <w:r w:rsidRPr="00532670">
        <w:t xml:space="preserve"> </w:t>
      </w:r>
      <w:r w:rsidRPr="00D85F6D">
        <w:t>recommendation is granted and defendant is resentenced,</w:t>
      </w:r>
      <w:r w:rsidR="009814B2">
        <w:t>’</w:t>
      </w:r>
      <w:r w:rsidRPr="00D85F6D">
        <w:t xml:space="preserve"> so it</w:t>
      </w:r>
      <w:r w:rsidR="003E13B8">
        <w:t>’</w:t>
      </w:r>
      <w:r w:rsidRPr="00D85F6D">
        <w:t>s</w:t>
      </w:r>
      <w:r w:rsidR="009814B2">
        <w:t xml:space="preserve"> </w:t>
      </w:r>
      <w:r w:rsidRPr="00532670">
        <w:t xml:space="preserve">would he be released. </w:t>
      </w:r>
    </w:p>
    <w:p w:rsidR="00EE0184" w:rsidRPr="00532670" w:rsidP="00270F2E" w14:paraId="73C53427" w14:textId="77777777">
      <w:pPr>
        <w:spacing w:line="240" w:lineRule="auto"/>
        <w:ind w:left="720" w:right="720" w:firstLine="720"/>
      </w:pPr>
    </w:p>
    <w:p w:rsidR="00B95A99" w:rsidP="00665B66" w14:paraId="36845DAF" w14:textId="128C0CA6">
      <w:pPr>
        <w:spacing w:line="240" w:lineRule="auto"/>
        <w:ind w:left="720" w:right="720"/>
      </w:pPr>
      <w:r>
        <w:t>“</w:t>
      </w:r>
      <w:r w:rsidRPr="00532670">
        <w:t>THE COURT:</w:t>
      </w:r>
      <w:r w:rsidR="008516C6">
        <w:t xml:space="preserve"> </w:t>
      </w:r>
      <w:r w:rsidRPr="00532670">
        <w:t xml:space="preserve"> Okay.</w:t>
      </w:r>
      <w:r w:rsidR="00BA0A71">
        <w:t xml:space="preserve"> </w:t>
      </w:r>
      <w:r w:rsidR="00F4196A">
        <w:t xml:space="preserve"> </w:t>
      </w:r>
      <w:r w:rsidRPr="00532670">
        <w:t>A tougher one, as I said before, I think presently he does represent a danger to society, and for that reason, while I am mindful of the prohibition set forth in 1385, I do think it is appropriate for the Court to impose an additional 25 years to life for the gun use enhancement for what amounts to now a total aggregate term of 75 years to life</w:t>
      </w:r>
      <w:r w:rsidR="00F51EED">
        <w:t xml:space="preserve"> . . . </w:t>
      </w:r>
      <w:r w:rsidRPr="00532670">
        <w:t xml:space="preserve">.” </w:t>
      </w:r>
    </w:p>
    <w:p w:rsidR="003E7642" w:rsidP="003E7642" w14:paraId="7313803E" w14:textId="77777777">
      <w:pPr>
        <w:spacing w:line="240" w:lineRule="auto"/>
        <w:ind w:left="720" w:right="720" w:firstLine="720"/>
      </w:pPr>
    </w:p>
    <w:p w:rsidR="00F81646" w:rsidP="00F81646" w14:paraId="1B956C62" w14:textId="761578F1">
      <w:r>
        <w:tab/>
        <w:t>The trial court therefore declined to exercise its discretion to dismiss the 25-year-to-life firearm enhancement</w:t>
      </w:r>
      <w:r w:rsidR="00C363DC">
        <w:t xml:space="preserve"> based on its finding that Gonzalez “</w:t>
      </w:r>
      <w:r w:rsidRPr="00532670" w:rsidR="00C363DC">
        <w:t>presently</w:t>
      </w:r>
      <w:r w:rsidR="00C363DC">
        <w:t>. . .</w:t>
      </w:r>
      <w:r w:rsidRPr="00532670" w:rsidR="00C363DC">
        <w:t xml:space="preserve"> does represent a danger to society</w:t>
      </w:r>
      <w:r>
        <w:t>.</w:t>
      </w:r>
      <w:r w:rsidR="00C363DC">
        <w:t xml:space="preserve">” </w:t>
      </w:r>
      <w:r>
        <w:t xml:space="preserve"> It </w:t>
      </w:r>
      <w:r w:rsidR="004E5651">
        <w:t xml:space="preserve">then turned to </w:t>
      </w:r>
      <w:r>
        <w:t>the five-year enhancement for Gonzale</w:t>
      </w:r>
      <w:r w:rsidR="004E5651">
        <w:t>z’s prior serious felony conviction, deciding to dismiss that enhancement</w:t>
      </w:r>
      <w:r>
        <w:t xml:space="preserve">.  The trial court explained, </w:t>
      </w:r>
      <w:r w:rsidRPr="00F41109">
        <w:t>“I think that at this point, especially given the 75 years to life that I</w:t>
      </w:r>
      <w:r>
        <w:t>’</w:t>
      </w:r>
      <w:r w:rsidRPr="00F41109">
        <w:t xml:space="preserve">m imposing, that the </w:t>
      </w:r>
      <w:r w:rsidR="00DC44E6">
        <w:t xml:space="preserve">[five-year enhancement] . . . </w:t>
      </w:r>
      <w:r w:rsidRPr="00F41109">
        <w:t xml:space="preserve">serves no useful purpose, because it is highly unlikely that the gentleman will ever be released </w:t>
      </w:r>
      <w:r w:rsidR="00F15C06">
        <w:t>. . . .</w:t>
      </w:r>
      <w:r w:rsidRPr="00F41109">
        <w:t xml:space="preserve">” </w:t>
      </w:r>
    </w:p>
    <w:p w:rsidR="00CA2A09" w:rsidRPr="00F41109" w:rsidP="00F81646" w14:paraId="1AF4C6C5" w14:textId="3517B5CE">
      <w:r>
        <w:tab/>
        <w:t>Gonzalez appeals from the judgment</w:t>
      </w:r>
      <w:r w:rsidR="000D5434">
        <w:t>.</w:t>
      </w:r>
    </w:p>
    <w:p w:rsidR="00C54A2D" w:rsidP="000D5434" w14:paraId="0FF8A2D6" w14:textId="7D8ED280">
      <w:pPr>
        <w:jc w:val="center"/>
      </w:pPr>
      <w:r>
        <w:t>II.</w:t>
      </w:r>
    </w:p>
    <w:p w:rsidR="000D5434" w:rsidP="000D5434" w14:paraId="70A88569" w14:textId="7F3FD97F">
      <w:pPr>
        <w:jc w:val="center"/>
      </w:pPr>
      <w:r>
        <w:t>DISCUSSION</w:t>
      </w:r>
    </w:p>
    <w:p w:rsidR="0070097E" w:rsidP="00F91BEA" w14:paraId="7DD0DF35" w14:textId="30CDA246">
      <w:pPr>
        <w:ind w:firstLine="720"/>
      </w:pPr>
      <w:r>
        <w:t xml:space="preserve">Gonzalez contends that the trial court erred in </w:t>
      </w:r>
      <w:r w:rsidR="00D90D74">
        <w:t>it</w:t>
      </w:r>
      <w:r w:rsidR="00107A01">
        <w:t>s</w:t>
      </w:r>
      <w:r w:rsidR="00D90D74">
        <w:t xml:space="preserve"> analysis of whether </w:t>
      </w:r>
      <w:r>
        <w:t xml:space="preserve">to dismiss the 25-years-to-life firearm enhancement imposed pursuant to section </w:t>
      </w:r>
      <w:r w:rsidRPr="009C46B1" w:rsidR="00F91BEA">
        <w:t>12022.53</w:t>
      </w:r>
      <w:r w:rsidR="00D90D74">
        <w:t xml:space="preserve"> because it misunderstood the inquiry that it was supposed to conduct in de</w:t>
      </w:r>
      <w:r w:rsidR="00506D49">
        <w:t xml:space="preserve">termining </w:t>
      </w:r>
      <w:r w:rsidR="00D90D74">
        <w:t xml:space="preserve">whether </w:t>
      </w:r>
      <w:r w:rsidR="00411D4E">
        <w:t>“</w:t>
      </w:r>
      <w:r w:rsidRPr="00240AEB" w:rsidR="00411D4E">
        <w:t>dismissal of the enhancement would endanger public safet</w:t>
      </w:r>
      <w:r w:rsidR="00506D49">
        <w:t>y</w:t>
      </w:r>
      <w:r w:rsidRPr="00F15BFC" w:rsidR="00411D4E">
        <w:t>”</w:t>
      </w:r>
      <w:r w:rsidR="00506D49">
        <w:t xml:space="preserve"> within the meaning of section 1385, subdivision (c)(2).  </w:t>
      </w:r>
      <w:r w:rsidR="00B305CE">
        <w:t>Gonzalez contends</w:t>
      </w:r>
      <w:r w:rsidR="0021210F">
        <w:t xml:space="preserve"> that the </w:t>
      </w:r>
      <w:r w:rsidR="00B403C8">
        <w:t>trial cou</w:t>
      </w:r>
      <w:r w:rsidR="00620160">
        <w:t>rt</w:t>
      </w:r>
      <w:r w:rsidR="00B403C8">
        <w:t xml:space="preserve"> </w:t>
      </w:r>
      <w:r w:rsidR="00AB4656">
        <w:t xml:space="preserve">erred in focusing on whether he </w:t>
      </w:r>
      <w:r w:rsidR="0042146A">
        <w:t>“</w:t>
      </w:r>
      <w:r w:rsidRPr="00532670" w:rsidR="0042146A">
        <w:t>presently</w:t>
      </w:r>
      <w:r w:rsidR="00AB4656">
        <w:t xml:space="preserve">” </w:t>
      </w:r>
      <w:r w:rsidR="00225DD8">
        <w:t xml:space="preserve">and “currently” </w:t>
      </w:r>
      <w:r w:rsidR="00DF4935">
        <w:t xml:space="preserve">endangered public safety </w:t>
      </w:r>
      <w:r w:rsidR="00AB4656">
        <w:t>rather than assessing whethe</w:t>
      </w:r>
      <w:r w:rsidR="00CD3D10">
        <w:t xml:space="preserve">r, looking forward, public safety would be endangered due to </w:t>
      </w:r>
      <w:r w:rsidR="00BF5038">
        <w:t xml:space="preserve">an earlier release from prison </w:t>
      </w:r>
      <w:r w:rsidR="00BB118A">
        <w:t>(i.e., in 50 years to life</w:t>
      </w:r>
      <w:r w:rsidR="008A016B">
        <w:t xml:space="preserve"> rather than in 75 years to life</w:t>
      </w:r>
      <w:r w:rsidR="00BB118A">
        <w:t xml:space="preserve">) </w:t>
      </w:r>
      <w:r w:rsidR="00AB4656">
        <w:t>i</w:t>
      </w:r>
      <w:r w:rsidR="00BF5038">
        <w:t>f the enhancement was dismissed.</w:t>
      </w:r>
      <w:r w:rsidR="0042146A">
        <w:t xml:space="preserve"> </w:t>
      </w:r>
    </w:p>
    <w:p w:rsidR="00506D49" w:rsidP="00ED16A9" w14:paraId="220D7278" w14:textId="4E8701C5">
      <w:r>
        <w:t>A.</w:t>
      </w:r>
      <w:r>
        <w:tab/>
      </w:r>
      <w:r w:rsidRPr="00ED16A9">
        <w:rPr>
          <w:i/>
          <w:iCs/>
        </w:rPr>
        <w:t>Standard of Review</w:t>
      </w:r>
    </w:p>
    <w:p w:rsidR="009F5091" w:rsidP="00F35061" w14:paraId="46A9DE44" w14:textId="439D7954">
      <w:pPr>
        <w:ind w:firstLine="720"/>
      </w:pPr>
      <w:r>
        <w:t xml:space="preserve">In reviewing the trial court’s determination that </w:t>
      </w:r>
      <w:r w:rsidRPr="001E63E6">
        <w:t xml:space="preserve">dismissal of </w:t>
      </w:r>
      <w:r>
        <w:t xml:space="preserve">Gonzalez’s </w:t>
      </w:r>
      <w:r w:rsidRPr="001E63E6">
        <w:t>firearm enhancement would endanger public safety</w:t>
      </w:r>
      <w:r>
        <w:t>, we apply an abuse of discretion standard of review.  (</w:t>
      </w:r>
      <w:bookmarkStart w:id="10" w:name="dabmci_f65729235ee440df815bcd382aa1c65a"/>
      <w:r w:rsidRPr="001E63E6">
        <w:rPr>
          <w:i/>
          <w:iCs/>
        </w:rPr>
        <w:t>People v. Mendoza</w:t>
      </w:r>
      <w:r w:rsidRPr="001E63E6">
        <w:t xml:space="preserve"> (2023) 88 Cal.App.5th 287, 298</w:t>
      </w:r>
      <w:r w:rsidR="00B76758">
        <w:t xml:space="preserve"> (</w:t>
      </w:r>
      <w:r w:rsidRPr="00B76758" w:rsidR="00B76758">
        <w:rPr>
          <w:i/>
          <w:iCs/>
        </w:rPr>
        <w:t>Mendoza</w:t>
      </w:r>
      <w:r w:rsidR="00B76758">
        <w:t>)</w:t>
      </w:r>
      <w:bookmarkEnd w:id="10"/>
      <w:r>
        <w:t>.)</w:t>
      </w:r>
      <w:r w:rsidR="005C7AD5">
        <w:t xml:space="preserve"> </w:t>
      </w:r>
      <w:r w:rsidRPr="005C7AD5" w:rsidR="005C7AD5">
        <w:t xml:space="preserve"> </w:t>
      </w:r>
      <w:r w:rsidR="003003CD">
        <w:t>As relevant here, “a</w:t>
      </w:r>
      <w:r w:rsidRPr="003003CD" w:rsidR="003003CD">
        <w:t>n abuse of discretion arises if the trial court based its decision on impermissible</w:t>
      </w:r>
      <w:r w:rsidR="00107A01">
        <w:t> </w:t>
      </w:r>
      <w:r w:rsidRPr="003003CD" w:rsidR="003003CD">
        <w:t xml:space="preserve">factors </w:t>
      </w:r>
      <w:r w:rsidR="003003CD">
        <w:t>. . .</w:t>
      </w:r>
      <w:r w:rsidRPr="003003CD" w:rsidR="003003CD">
        <w:t xml:space="preserve"> or on an incorrect legal standard</w:t>
      </w:r>
      <w:r w:rsidR="003003CD">
        <w:t>.”  (</w:t>
      </w:r>
      <w:bookmarkStart w:id="11" w:name="dabmci_111e286bdcef4b5cb57b13f7aca0c790"/>
      <w:r w:rsidRPr="003003CD" w:rsidR="003003CD">
        <w:rPr>
          <w:i/>
          <w:iCs/>
        </w:rPr>
        <w:t>People v. Knoller</w:t>
      </w:r>
      <w:r w:rsidRPr="003003CD" w:rsidR="003003CD">
        <w:t xml:space="preserve"> (2007) 41 Cal.4th 139, 156</w:t>
      </w:r>
      <w:r w:rsidR="00BD1B6E">
        <w:t xml:space="preserve"> (</w:t>
      </w:r>
      <w:r w:rsidRPr="00BD1B6E" w:rsidR="00BD1B6E">
        <w:rPr>
          <w:i/>
          <w:iCs/>
        </w:rPr>
        <w:t>Knoller</w:t>
      </w:r>
      <w:r w:rsidR="00BD1B6E">
        <w:t>)</w:t>
      </w:r>
      <w:bookmarkEnd w:id="11"/>
      <w:r w:rsidR="00010924">
        <w:t xml:space="preserve">; </w:t>
      </w:r>
      <w:r w:rsidRPr="00E266EE" w:rsidR="005C7AD5">
        <w:t xml:space="preserve">see </w:t>
      </w:r>
      <w:r w:rsidR="00196A04">
        <w:t xml:space="preserve">also </w:t>
      </w:r>
      <w:bookmarkStart w:id="12" w:name="dabmci_17fd889f897546a789cb595689db063d"/>
      <w:r w:rsidRPr="001545B7" w:rsidR="001545B7">
        <w:rPr>
          <w:i/>
          <w:iCs/>
        </w:rPr>
        <w:t>Conservatorship of Bower</w:t>
      </w:r>
      <w:r w:rsidRPr="001545B7" w:rsidR="001545B7">
        <w:t xml:space="preserve"> (2016) 247 Cal.App.4th 495, 506</w:t>
      </w:r>
      <w:bookmarkEnd w:id="12"/>
      <w:r w:rsidR="001545B7">
        <w:t xml:space="preserve"> </w:t>
      </w:r>
      <w:r w:rsidR="00CE6F18">
        <w:t>[</w:t>
      </w:r>
      <w:r w:rsidR="001545B7">
        <w:t>“</w:t>
      </w:r>
      <w:r w:rsidRPr="001545B7" w:rsidR="001545B7">
        <w:t>Case law is clear</w:t>
      </w:r>
      <w:r w:rsidR="001545B7">
        <w:t xml:space="preserve"> . . . t</w:t>
      </w:r>
      <w:r w:rsidRPr="001545B7" w:rsidR="001545B7">
        <w:t xml:space="preserve">hat getting the legal standard wrong means that a subsequent decision becomes </w:t>
      </w:r>
      <w:r w:rsidRPr="001545B7" w:rsidR="001545B7">
        <w:rPr>
          <w:i/>
          <w:iCs/>
        </w:rPr>
        <w:t>itself</w:t>
      </w:r>
      <w:r w:rsidRPr="001545B7" w:rsidR="001545B7">
        <w:t xml:space="preserve"> a per se abuse of discretion</w:t>
      </w:r>
      <w:r w:rsidR="00CE6F18">
        <w:t>”].)</w:t>
      </w:r>
    </w:p>
    <w:p w:rsidR="00A85975" w14:paraId="5BC14C46" w14:textId="77777777">
      <w:r>
        <w:br w:type="page"/>
      </w:r>
    </w:p>
    <w:p w:rsidR="003A129C" w:rsidP="009978E3" w14:paraId="473938DC" w14:textId="0E11CBBA">
      <w:pPr>
        <w:spacing w:after="120" w:line="240" w:lineRule="auto"/>
        <w:ind w:left="720" w:hanging="720"/>
      </w:pPr>
      <w:r>
        <w:t>B.</w:t>
      </w:r>
      <w:r>
        <w:tab/>
      </w:r>
      <w:r w:rsidRPr="00B305CE">
        <w:rPr>
          <w:i/>
          <w:iCs/>
        </w:rPr>
        <w:t xml:space="preserve">Gonzalez Did Not Forfeit </w:t>
      </w:r>
      <w:r w:rsidRPr="00B305CE" w:rsidR="00B305CE">
        <w:rPr>
          <w:i/>
          <w:iCs/>
        </w:rPr>
        <w:t xml:space="preserve">His Argument That </w:t>
      </w:r>
      <w:r w:rsidRPr="00B305CE">
        <w:rPr>
          <w:i/>
          <w:iCs/>
        </w:rPr>
        <w:t>the Trial Court</w:t>
      </w:r>
      <w:r w:rsidRPr="00B305CE" w:rsidR="00B305CE">
        <w:rPr>
          <w:i/>
          <w:iCs/>
        </w:rPr>
        <w:t xml:space="preserve"> Applied </w:t>
      </w:r>
      <w:r w:rsidRPr="00B305CE">
        <w:rPr>
          <w:i/>
          <w:iCs/>
        </w:rPr>
        <w:t>an Improper Legal Standard</w:t>
      </w:r>
    </w:p>
    <w:p w:rsidR="00196A04" w:rsidP="00196A04" w14:paraId="12BDE9DB" w14:textId="6F08858A">
      <w:pPr>
        <w:ind w:firstLine="720"/>
      </w:pPr>
      <w:r>
        <w:t>As an initial matte</w:t>
      </w:r>
      <w:r w:rsidR="00F4259E">
        <w:t>r</w:t>
      </w:r>
      <w:r w:rsidR="00680F37">
        <w:t xml:space="preserve">, we must </w:t>
      </w:r>
      <w:r>
        <w:t>address</w:t>
      </w:r>
      <w:r w:rsidR="005E059B">
        <w:t xml:space="preserve"> the People’s argument that </w:t>
      </w:r>
      <w:r w:rsidR="002B7BC2">
        <w:t>Gonzalez</w:t>
      </w:r>
      <w:r w:rsidR="00680F37">
        <w:t xml:space="preserve"> has forfeited his </w:t>
      </w:r>
      <w:r w:rsidR="008D31C0">
        <w:t xml:space="preserve">appellate challenge </w:t>
      </w:r>
      <w:r w:rsidR="00F10522">
        <w:t xml:space="preserve">because </w:t>
      </w:r>
      <w:r w:rsidR="006B6FDB">
        <w:t>defense counsel</w:t>
      </w:r>
      <w:r w:rsidR="00C956DF">
        <w:t>, at the resentencing hearing,</w:t>
      </w:r>
      <w:r w:rsidR="006B6FDB">
        <w:t xml:space="preserve"> purportedly “</w:t>
      </w:r>
      <w:r w:rsidR="008D31C0">
        <w:t xml:space="preserve">agreed with the trial court’s interpretation of section 1385.”   </w:t>
      </w:r>
    </w:p>
    <w:p w:rsidR="005152FA" w:rsidRPr="005D2342" w:rsidP="005152FA" w14:paraId="5D405904" w14:textId="34F7EC87">
      <w:pPr>
        <w:ind w:firstLine="720"/>
      </w:pPr>
      <w:r w:rsidRPr="006D6236">
        <w:t>The applicable forfeiture rule is set forth in</w:t>
      </w:r>
      <w:r>
        <w:rPr>
          <w:i/>
          <w:iCs/>
        </w:rPr>
        <w:t xml:space="preserve"> </w:t>
      </w:r>
      <w:bookmarkStart w:id="13" w:name="dabmci_15b05ee4194c41ce90fed93e13aabf05"/>
      <w:r w:rsidRPr="006D6236">
        <w:rPr>
          <w:i/>
          <w:iCs/>
        </w:rPr>
        <w:t>People v. Scott</w:t>
      </w:r>
      <w:r w:rsidRPr="006D6236">
        <w:t xml:space="preserve"> (1994) 9</w:t>
      </w:r>
      <w:r w:rsidR="00FC3A49">
        <w:t> </w:t>
      </w:r>
      <w:r w:rsidRPr="006D6236">
        <w:t>Cal.4th 331</w:t>
      </w:r>
      <w:bookmarkEnd w:id="13"/>
      <w:r w:rsidRPr="006D6236">
        <w:t xml:space="preserve">, </w:t>
      </w:r>
      <w:r w:rsidR="0082218D">
        <w:t xml:space="preserve">under which </w:t>
      </w:r>
      <w:r w:rsidRPr="005D2342">
        <w:t>“</w:t>
      </w:r>
      <w:r>
        <w:t>c</w:t>
      </w:r>
      <w:r w:rsidRPr="005D2342">
        <w:t>omplaints about the manner in which the trial court exercises its sentencing discretion and articulates its supporting reasons cannot be raised for the first time on appeal.”</w:t>
      </w:r>
      <w:r w:rsidR="00F10522">
        <w:t xml:space="preserve">  </w:t>
      </w:r>
      <w:r w:rsidRPr="005D2342">
        <w:t>(</w:t>
      </w:r>
      <w:bookmarkStart w:id="14" w:name="dabmci_b30a53bdacf64e77a379635779e9a13a"/>
      <w:r w:rsidRPr="005D2342">
        <w:rPr>
          <w:i/>
          <w:iCs/>
        </w:rPr>
        <w:t>Id</w:t>
      </w:r>
      <w:r w:rsidRPr="005D2342">
        <w:t>. at p. 356</w:t>
      </w:r>
      <w:bookmarkEnd w:id="14"/>
      <w:r w:rsidRPr="005D2342">
        <w:t xml:space="preserve">.) </w:t>
      </w:r>
      <w:r w:rsidRPr="005D2342" w:rsidR="0079492F">
        <w:t>“Although the court is required to impose sentence in a lawful manner, counsel is charged with understanding, advocating, and clarifying permissible sentencing choices at the hearing.”  (</w:t>
      </w:r>
      <w:bookmarkStart w:id="15" w:name="dabmci_01899fe5be674578aea83aa1b9f8ff31"/>
      <w:r w:rsidRPr="0079492F" w:rsidR="0079492F">
        <w:rPr>
          <w:i/>
          <w:iCs/>
        </w:rPr>
        <w:t>Id</w:t>
      </w:r>
      <w:r w:rsidR="0079492F">
        <w:t xml:space="preserve">. at p. </w:t>
      </w:r>
      <w:r w:rsidRPr="005D2342" w:rsidR="0079492F">
        <w:t>353</w:t>
      </w:r>
      <w:bookmarkEnd w:id="15"/>
      <w:r w:rsidRPr="005D2342" w:rsidR="0079492F">
        <w:t>.)</w:t>
      </w:r>
      <w:r w:rsidR="00996522">
        <w:t xml:space="preserve">  </w:t>
      </w:r>
      <w:r w:rsidR="003253E1">
        <w:t>Further, a</w:t>
      </w:r>
      <w:r w:rsidR="007A4CEA">
        <w:t xml:space="preserve">lthough </w:t>
      </w:r>
      <w:r w:rsidR="003253E1">
        <w:t xml:space="preserve">not specifically advanced by </w:t>
      </w:r>
      <w:r w:rsidR="007A4CEA">
        <w:t>the People</w:t>
      </w:r>
      <w:r w:rsidR="003253E1">
        <w:t>, t</w:t>
      </w:r>
      <w:r w:rsidR="00AC4CB7">
        <w:t xml:space="preserve">he doctrine of invited error is </w:t>
      </w:r>
      <w:r w:rsidR="00996522">
        <w:t xml:space="preserve">also relevant here, as </w:t>
      </w:r>
      <w:r w:rsidR="00AC4CB7">
        <w:t xml:space="preserve">the People contend that defense counsel </w:t>
      </w:r>
      <w:r w:rsidRPr="00AC4CB7" w:rsidR="00AC4CB7">
        <w:rPr>
          <w:i/>
          <w:iCs/>
        </w:rPr>
        <w:t>agreed</w:t>
      </w:r>
      <w:r w:rsidR="00AC4CB7">
        <w:t xml:space="preserve"> with the </w:t>
      </w:r>
      <w:r w:rsidR="007214A6">
        <w:t xml:space="preserve">trial court’s </w:t>
      </w:r>
      <w:r w:rsidR="00AC4CB7">
        <w:t>interpretation of section 1385, subdivision (</w:t>
      </w:r>
      <w:r w:rsidR="00B161A6">
        <w:t>c</w:t>
      </w:r>
      <w:r w:rsidR="00AC4CB7">
        <w:t>)(2) that Gonzalez now challenge</w:t>
      </w:r>
      <w:r w:rsidR="007214A6">
        <w:t>s</w:t>
      </w:r>
      <w:r w:rsidR="00AC4CB7">
        <w:t xml:space="preserve"> on appeal.  </w:t>
      </w:r>
      <w:r w:rsidRPr="00AC4CB7" w:rsidR="00AC4CB7">
        <w:t>“</w:t>
      </w:r>
      <w:r w:rsidR="00533170">
        <w:t> ‘</w:t>
      </w:r>
      <w:r w:rsidRPr="00AC4CB7" w:rsidR="00AC4CB7">
        <w:t>The doctrine of invited error is designed to prevent an accused from gaining a reversal on appeal because of an error made by the trial court at his behest.</w:t>
      </w:r>
      <w:r w:rsidR="00533170">
        <w:t>’ </w:t>
      </w:r>
      <w:r w:rsidR="00AC4CB7">
        <w:t>”  (</w:t>
      </w:r>
      <w:bookmarkStart w:id="16" w:name="dabmci_0435f5bfe3b641a1b82a7e8f36a8407f"/>
      <w:r w:rsidRPr="00AC4CB7" w:rsidR="00AC4CB7">
        <w:rPr>
          <w:i/>
          <w:iCs/>
        </w:rPr>
        <w:t>People v. Coffman and Marlow</w:t>
      </w:r>
      <w:r w:rsidRPr="00AC4CB7" w:rsidR="00AC4CB7">
        <w:t xml:space="preserve"> (2004) 34 Cal.4th 1, 49</w:t>
      </w:r>
      <w:bookmarkEnd w:id="16"/>
      <w:r w:rsidR="00AC4CB7">
        <w:t>.)  However, for the doctrine to apply, it “</w:t>
      </w:r>
      <w:r w:rsidRPr="00AC4CB7" w:rsidR="00AC4CB7">
        <w:t>must be clear that counsel acted for tactical reasons and not out of ignorance or mistake.”</w:t>
      </w:r>
      <w:r w:rsidR="00AC4CB7">
        <w:t xml:space="preserve">  (</w:t>
      </w:r>
      <w:bookmarkStart w:id="17" w:name="dabmci_ac518ceaf81549f9bae97e152617249c"/>
      <w:r w:rsidRPr="00AC4CB7" w:rsidR="00AC4CB7">
        <w:rPr>
          <w:i/>
          <w:iCs/>
        </w:rPr>
        <w:t>Ibid</w:t>
      </w:r>
      <w:r w:rsidR="00AC4CB7">
        <w:t>.</w:t>
      </w:r>
      <w:bookmarkEnd w:id="17"/>
      <w:r w:rsidR="00AC4CB7">
        <w:t>)</w:t>
      </w:r>
    </w:p>
    <w:p w:rsidR="005C1AB2" w:rsidP="00AF061A" w14:paraId="70C7263F" w14:textId="78B78A9C">
      <w:pPr>
        <w:ind w:firstLine="720"/>
      </w:pPr>
      <w:r>
        <w:t xml:space="preserve">Turning </w:t>
      </w:r>
      <w:r w:rsidR="00FE022F">
        <w:t xml:space="preserve">to </w:t>
      </w:r>
      <w:r>
        <w:t xml:space="preserve">the question of whether Gonzalez has preserved his appellate challenge, </w:t>
      </w:r>
      <w:r w:rsidR="00AF061A">
        <w:t>it is centrally relevant that</w:t>
      </w:r>
      <w:r w:rsidR="009C5DB7">
        <w:t>,</w:t>
      </w:r>
      <w:r w:rsidR="00AF061A">
        <w:t xml:space="preserve"> </w:t>
      </w:r>
      <w:r>
        <w:t xml:space="preserve">both in the sentencing position memorandum and </w:t>
      </w:r>
      <w:r w:rsidR="009C5DB7">
        <w:t xml:space="preserve">during </w:t>
      </w:r>
      <w:r>
        <w:t xml:space="preserve">the resentencing hearing, defense counsel </w:t>
      </w:r>
      <w:r w:rsidR="009C5DB7">
        <w:t xml:space="preserve">advocated </w:t>
      </w:r>
      <w:r w:rsidR="00125161">
        <w:t xml:space="preserve">for </w:t>
      </w:r>
      <w:r>
        <w:t xml:space="preserve">the </w:t>
      </w:r>
      <w:r w:rsidR="009A1257">
        <w:t xml:space="preserve">same </w:t>
      </w:r>
      <w:r>
        <w:t xml:space="preserve">legal standard that </w:t>
      </w:r>
      <w:r w:rsidR="009A1257">
        <w:t>Gonzalez now advances on appeal</w:t>
      </w:r>
      <w:r>
        <w:t xml:space="preserve">.  </w:t>
      </w:r>
      <w:r w:rsidR="009B366E">
        <w:t xml:space="preserve">First, </w:t>
      </w:r>
      <w:r>
        <w:t>the sentencing position memorandum included a footnote, cit</w:t>
      </w:r>
      <w:r w:rsidR="009A1257">
        <w:t>ing</w:t>
      </w:r>
      <w:r w:rsidR="007214A6">
        <w:t xml:space="preserve"> </w:t>
      </w:r>
      <w:bookmarkStart w:id="18" w:name="dabmci_2f9519899ced4687ad08a24ea6023834"/>
      <w:r w:rsidRPr="000511AF" w:rsidR="00BC431A">
        <w:rPr>
          <w:i/>
          <w:iCs/>
        </w:rPr>
        <w:t>Williams</w:t>
      </w:r>
      <w:r w:rsidR="007214A6">
        <w:t xml:space="preserve">, </w:t>
      </w:r>
      <w:r w:rsidRPr="00665B66" w:rsidR="007214A6">
        <w:rPr>
          <w:i/>
          <w:iCs/>
        </w:rPr>
        <w:t>supra</w:t>
      </w:r>
      <w:r w:rsidR="007214A6">
        <w:t xml:space="preserve">, </w:t>
      </w:r>
      <w:r w:rsidRPr="000511AF" w:rsidR="00BC431A">
        <w:t>19 Cal.App.5th 1057</w:t>
      </w:r>
      <w:bookmarkEnd w:id="18"/>
      <w:r w:rsidR="00F6619B">
        <w:t xml:space="preserve">, </w:t>
      </w:r>
      <w:r w:rsidR="00E56C45">
        <w:t xml:space="preserve">which Gonzalez continues to rely </w:t>
      </w:r>
      <w:r w:rsidR="00186D8E">
        <w:t xml:space="preserve">upon </w:t>
      </w:r>
      <w:r w:rsidR="00B257A4">
        <w:t xml:space="preserve">in this </w:t>
      </w:r>
      <w:r w:rsidR="00E56C45">
        <w:t xml:space="preserve">appeal. </w:t>
      </w:r>
      <w:r w:rsidR="009B366E">
        <w:t xml:space="preserve"> Specifically,</w:t>
      </w:r>
      <w:r w:rsidR="00E56C45">
        <w:t xml:space="preserve"> </w:t>
      </w:r>
      <w:r w:rsidR="009B366E">
        <w:t xml:space="preserve">the </w:t>
      </w:r>
      <w:r w:rsidR="00CE630B">
        <w:t xml:space="preserve">memorandum </w:t>
      </w:r>
      <w:r w:rsidR="00E56C45">
        <w:t xml:space="preserve">explained </w:t>
      </w:r>
      <w:r w:rsidR="00CE630B">
        <w:t>that in assessing whether dismissing the enhancements would endanger public safety</w:t>
      </w:r>
      <w:r w:rsidR="00C24BEF">
        <w:t>,</w:t>
      </w:r>
      <w:r w:rsidR="00CE630B">
        <w:t xml:space="preserve"> </w:t>
      </w:r>
      <w:r w:rsidR="00400AE5">
        <w:t>“t</w:t>
      </w:r>
      <w:r w:rsidRPr="00400AE5" w:rsidR="00400AE5">
        <w:t xml:space="preserve">he trial court must look to when </w:t>
      </w:r>
      <w:r w:rsidR="00593230">
        <w:t xml:space="preserve">[Gonzalez] </w:t>
      </w:r>
      <w:r w:rsidRPr="00400AE5" w:rsidR="00400AE5">
        <w:t>would be released</w:t>
      </w:r>
      <w:r w:rsidR="00593230">
        <w:t xml:space="preserve"> i</w:t>
      </w:r>
      <w:r w:rsidRPr="00400AE5" w:rsidR="00400AE5">
        <w:t>f a modification is granted</w:t>
      </w:r>
      <w:r w:rsidR="00593230">
        <w:t>” and focus on the “</w:t>
      </w:r>
      <w:r w:rsidRPr="003946A7">
        <w:t>consideration of</w:t>
      </w:r>
      <w:r>
        <w:t xml:space="preserve"> </w:t>
      </w:r>
      <w:r w:rsidRPr="003946A7">
        <w:t>public safety following his release</w:t>
      </w:r>
      <w:r w:rsidR="00593230">
        <w:t xml:space="preserve">.” </w:t>
      </w:r>
      <w:r w:rsidR="009B366E">
        <w:t xml:space="preserve"> Next, </w:t>
      </w:r>
      <w:r w:rsidR="00623588">
        <w:t xml:space="preserve">at the resentencing hearing defense counsel </w:t>
      </w:r>
      <w:r w:rsidR="007420F1">
        <w:t>cit</w:t>
      </w:r>
      <w:r w:rsidR="00205653">
        <w:t>ed</w:t>
      </w:r>
      <w:r w:rsidRPr="001A1DC7" w:rsidR="007420F1">
        <w:t xml:space="preserve"> </w:t>
      </w:r>
      <w:r w:rsidRPr="001A1DC7" w:rsidR="007420F1">
        <w:rPr>
          <w:i/>
          <w:iCs/>
        </w:rPr>
        <w:t>Williams</w:t>
      </w:r>
      <w:r w:rsidR="00205653">
        <w:t xml:space="preserve"> to explain that “</w:t>
      </w:r>
      <w:r w:rsidRPr="001A1DC7" w:rsidR="007420F1">
        <w:t>it</w:t>
      </w:r>
      <w:r w:rsidR="007420F1">
        <w:t>’</w:t>
      </w:r>
      <w:r w:rsidRPr="001A1DC7" w:rsidR="007420F1">
        <w:t>s a forward-looking</w:t>
      </w:r>
      <w:r w:rsidRPr="00926B51" w:rsidR="007420F1">
        <w:t xml:space="preserve"> </w:t>
      </w:r>
      <w:r w:rsidRPr="001A1DC7" w:rsidR="007420F1">
        <w:t>inquiry, especially when the defendant would not be immediately</w:t>
      </w:r>
      <w:r w:rsidRPr="00926B51" w:rsidR="007420F1">
        <w:t xml:space="preserve"> </w:t>
      </w:r>
      <w:r w:rsidRPr="001A1DC7" w:rsidR="007420F1">
        <w:t>released</w:t>
      </w:r>
      <w:r w:rsidR="00661B06">
        <w:t>.</w:t>
      </w:r>
      <w:r w:rsidR="005A293C">
        <w:t>”</w:t>
      </w:r>
      <w:r w:rsidR="00661B06">
        <w:t xml:space="preserve">  Defense counsel observed that </w:t>
      </w:r>
      <w:r w:rsidRPr="001A1DC7" w:rsidR="007420F1">
        <w:t xml:space="preserve">Gonzalez </w:t>
      </w:r>
      <w:r w:rsidR="005A293C">
        <w:t>“</w:t>
      </w:r>
      <w:r w:rsidRPr="001A1DC7" w:rsidR="007420F1">
        <w:t>is obviously going to do a minimum of</w:t>
      </w:r>
      <w:r w:rsidRPr="00926B51" w:rsidR="007420F1">
        <w:t xml:space="preserve"> </w:t>
      </w:r>
      <w:r w:rsidRPr="001A1DC7" w:rsidR="007420F1">
        <w:t>25 to life</w:t>
      </w:r>
      <w:r w:rsidR="005A293C">
        <w:t xml:space="preserve">,” </w:t>
      </w:r>
      <w:r w:rsidR="00E253A7">
        <w:t xml:space="preserve">so that he </w:t>
      </w:r>
      <w:r w:rsidR="005A293C">
        <w:t>was “</w:t>
      </w:r>
      <w:r w:rsidRPr="001A1DC7" w:rsidR="007420F1">
        <w:t>not going</w:t>
      </w:r>
      <w:r w:rsidRPr="00926B51" w:rsidR="007420F1">
        <w:t xml:space="preserve"> </w:t>
      </w:r>
      <w:r w:rsidRPr="001A1DC7" w:rsidR="007420F1">
        <w:t>to be released forthwith or anytime in the near future</w:t>
      </w:r>
      <w:r w:rsidR="00E253A7">
        <w:t>,</w:t>
      </w:r>
      <w:r w:rsidR="005A293C">
        <w:t xml:space="preserve">” and that, </w:t>
      </w:r>
      <w:r w:rsidR="00B56A29">
        <w:t xml:space="preserve">moreover, </w:t>
      </w:r>
      <w:r w:rsidR="00A221C4">
        <w:t>Gonzalez’</w:t>
      </w:r>
      <w:r w:rsidR="00A44854">
        <w:t>s</w:t>
      </w:r>
      <w:r w:rsidR="00A221C4">
        <w:t xml:space="preserve"> </w:t>
      </w:r>
      <w:r w:rsidR="005A293C">
        <w:t xml:space="preserve">release </w:t>
      </w:r>
      <w:r w:rsidR="00A221C4">
        <w:t xml:space="preserve">would be </w:t>
      </w:r>
      <w:r w:rsidR="00B56A29">
        <w:t xml:space="preserve">contingent on review by </w:t>
      </w:r>
      <w:r w:rsidR="005A293C">
        <w:t xml:space="preserve">the </w:t>
      </w:r>
      <w:r w:rsidR="00D67C4A">
        <w:t>Board of P</w:t>
      </w:r>
      <w:r w:rsidRPr="001A1DC7" w:rsidR="007420F1">
        <w:t xml:space="preserve">arole </w:t>
      </w:r>
      <w:r w:rsidR="00D67C4A">
        <w:t xml:space="preserve">Hearings </w:t>
      </w:r>
      <w:r w:rsidR="005A293C">
        <w:t xml:space="preserve">and </w:t>
      </w:r>
      <w:r w:rsidRPr="00926B51" w:rsidR="007420F1">
        <w:t xml:space="preserve">the </w:t>
      </w:r>
      <w:r w:rsidR="00BD660C">
        <w:t>G</w:t>
      </w:r>
      <w:r w:rsidRPr="00926B51" w:rsidR="007420F1">
        <w:t>overnor.</w:t>
      </w:r>
      <w:r w:rsidR="007420F1">
        <w:t xml:space="preserve"> </w:t>
      </w:r>
      <w:r w:rsidR="00691259">
        <w:t xml:space="preserve"> When</w:t>
      </w:r>
      <w:r w:rsidR="00494F44">
        <w:t>, later in the resentencing hearing,</w:t>
      </w:r>
      <w:r w:rsidR="00691259">
        <w:t xml:space="preserve"> the trial court asked for clarification</w:t>
      </w:r>
      <w:r w:rsidR="002729ED">
        <w:t xml:space="preserve"> </w:t>
      </w:r>
      <w:r w:rsidR="00494F44">
        <w:t xml:space="preserve">about </w:t>
      </w:r>
      <w:r w:rsidR="002729ED">
        <w:t xml:space="preserve">the proper </w:t>
      </w:r>
      <w:r w:rsidR="00A725CC">
        <w:t>analysis</w:t>
      </w:r>
      <w:r w:rsidR="002729ED">
        <w:t xml:space="preserve">, defense counsel referred to the </w:t>
      </w:r>
      <w:r w:rsidR="00E82ADB">
        <w:t xml:space="preserve">sentencing position memorandum’s </w:t>
      </w:r>
      <w:r w:rsidR="002729ED">
        <w:t xml:space="preserve">discussion of </w:t>
      </w:r>
      <w:r w:rsidRPr="0040499F" w:rsidR="002729ED">
        <w:rPr>
          <w:i/>
          <w:iCs/>
        </w:rPr>
        <w:t>Williams</w:t>
      </w:r>
      <w:r w:rsidR="002729ED">
        <w:t xml:space="preserve">, explaining that </w:t>
      </w:r>
      <w:r w:rsidR="0040499F">
        <w:t xml:space="preserve">it is </w:t>
      </w:r>
      <w:r w:rsidRPr="0040499F" w:rsidR="0040499F">
        <w:t>“a forward-looking inquiry.”</w:t>
      </w:r>
      <w:r w:rsidR="0040499F">
        <w:t xml:space="preserve"> </w:t>
      </w:r>
    </w:p>
    <w:p w:rsidR="000F38C7" w:rsidP="00812FE1" w14:paraId="2C88C4C9" w14:textId="58F986F8">
      <w:r>
        <w:tab/>
        <w:t xml:space="preserve">The People’s forfeiture argument depends on the </w:t>
      </w:r>
      <w:r w:rsidR="00494F44">
        <w:t>final</w:t>
      </w:r>
      <w:r>
        <w:t xml:space="preserve"> part of the exchange between </w:t>
      </w:r>
      <w:r w:rsidR="00DD07D5">
        <w:t>the trial court and defense counsel,</w:t>
      </w:r>
      <w:r w:rsidR="00054F82">
        <w:t xml:space="preserve"> which occurred</w:t>
      </w:r>
      <w:r w:rsidR="00DD07D5">
        <w:t xml:space="preserve"> after defense counsel clarified that it is </w:t>
      </w:r>
      <w:r w:rsidRPr="0040499F" w:rsidR="00143478">
        <w:t>“a forward-looking inquiry.”</w:t>
      </w:r>
      <w:r w:rsidR="00143478">
        <w:t xml:space="preserve"> </w:t>
      </w:r>
      <w:r w:rsidR="00A93F10">
        <w:t xml:space="preserve"> </w:t>
      </w:r>
      <w:r w:rsidR="00E93619">
        <w:t xml:space="preserve">Specifically, the trial court </w:t>
      </w:r>
      <w:r w:rsidR="00812FE1">
        <w:t xml:space="preserve">stated, </w:t>
      </w:r>
      <w:r w:rsidR="00DD4E27">
        <w:t>“</w:t>
      </w:r>
      <w:r w:rsidRPr="00812FE1" w:rsidR="00812FE1">
        <w:t>I think it’s forward looking</w:t>
      </w:r>
      <w:r w:rsidR="00DD4E27">
        <w:t xml:space="preserve"> </w:t>
      </w:r>
      <w:r w:rsidRPr="00812FE1" w:rsidR="00812FE1">
        <w:t>from today, not forward looking from 50 years from now,” referring to a date 50 years in the future when Gonzalez might be released from prison</w:t>
      </w:r>
      <w:r w:rsidR="002436BB">
        <w:t xml:space="preserve"> if the enhancements were dismissed</w:t>
      </w:r>
      <w:r w:rsidRPr="00812FE1" w:rsidR="00812FE1">
        <w:t xml:space="preserve">. </w:t>
      </w:r>
      <w:r w:rsidR="00812FE1">
        <w:t xml:space="preserve"> Defense counsel, replied, </w:t>
      </w:r>
      <w:r w:rsidR="00DD4E27">
        <w:t>“Yes, I agree</w:t>
      </w:r>
      <w:r w:rsidRPr="003253E1" w:rsidR="00792BB6">
        <w:t>,</w:t>
      </w:r>
      <w:r w:rsidRPr="00792BB6" w:rsidR="00792BB6">
        <w:rPr>
          <w:b/>
          <w:bCs/>
        </w:rPr>
        <w:t xml:space="preserve"> </w:t>
      </w:r>
      <w:r w:rsidRPr="00792BB6" w:rsidR="00792BB6">
        <w:t xml:space="preserve">because the rest of that statement says, </w:t>
      </w:r>
      <w:r w:rsidR="00792BB6">
        <w:t>‘</w:t>
      </w:r>
      <w:r w:rsidRPr="00792BB6" w:rsidR="00792BB6">
        <w:t>And when the defendant would be released if the recommendation is g</w:t>
      </w:r>
      <w:r w:rsidR="005A107D">
        <w:t>ra</w:t>
      </w:r>
      <w:r w:rsidRPr="00792BB6" w:rsidR="00792BB6">
        <w:t>nted and defendant is resentenced,</w:t>
      </w:r>
      <w:r w:rsidR="00B90934">
        <w:t>’</w:t>
      </w:r>
      <w:r w:rsidRPr="00792BB6" w:rsidR="00792BB6">
        <w:t xml:space="preserve"> so it’s would he be released.”</w:t>
      </w:r>
      <w:r w:rsidR="00792BB6">
        <w:rPr>
          <w:b/>
          <w:bCs/>
        </w:rPr>
        <w:t xml:space="preserve"> </w:t>
      </w:r>
      <w:r w:rsidR="005A107D">
        <w:t xml:space="preserve">  </w:t>
      </w:r>
    </w:p>
    <w:p w:rsidR="00DD4E27" w:rsidP="000F38C7" w14:paraId="2A07A097" w14:textId="4B3A21EE">
      <w:pPr>
        <w:ind w:firstLine="720"/>
      </w:pPr>
      <w:r>
        <w:t xml:space="preserve">Although, as the People point out, during that exchange, defense counsel </w:t>
      </w:r>
      <w:r w:rsidR="00FF476E">
        <w:t>replied</w:t>
      </w:r>
      <w:r w:rsidR="00665B66">
        <w:t>,</w:t>
      </w:r>
      <w:r w:rsidR="00FF476E">
        <w:t xml:space="preserve"> </w:t>
      </w:r>
      <w:r>
        <w:t xml:space="preserve">“Yes, I agree,” when the trial court </w:t>
      </w:r>
      <w:r w:rsidR="000F38C7">
        <w:t xml:space="preserve">stated </w:t>
      </w:r>
      <w:r w:rsidR="002205DC">
        <w:t xml:space="preserve">the inquiry </w:t>
      </w:r>
      <w:r w:rsidR="00B302F4">
        <w:t xml:space="preserve">was “forward looking from today,” </w:t>
      </w:r>
      <w:r>
        <w:t xml:space="preserve">it is evident, based on the </w:t>
      </w:r>
      <w:r w:rsidR="00B00B1F">
        <w:t xml:space="preserve">context of the </w:t>
      </w:r>
      <w:r>
        <w:t xml:space="preserve">entire exchange, </w:t>
      </w:r>
      <w:r w:rsidR="00760024">
        <w:t xml:space="preserve">that </w:t>
      </w:r>
      <w:r>
        <w:t>the trial court and defense counsel</w:t>
      </w:r>
      <w:r w:rsidR="00B302F4">
        <w:t xml:space="preserve"> </w:t>
      </w:r>
      <w:r>
        <w:t xml:space="preserve">misunderstood each other.  </w:t>
      </w:r>
      <w:r w:rsidR="00B302F4">
        <w:t xml:space="preserve">Defense counsel seems </w:t>
      </w:r>
      <w:r w:rsidR="0025366D">
        <w:t xml:space="preserve">not to have understood that the trial court was saying anything different </w:t>
      </w:r>
      <w:r w:rsidR="00BF0785">
        <w:t xml:space="preserve">from what </w:t>
      </w:r>
      <w:r w:rsidR="003508E1">
        <w:t xml:space="preserve">defense </w:t>
      </w:r>
      <w:r w:rsidR="0025366D">
        <w:t xml:space="preserve">counsel had already advocated by citing the </w:t>
      </w:r>
      <w:bookmarkStart w:id="19" w:name="dabmci_58503647b0ac4dc3872d157d3f2708f7"/>
      <w:r w:rsidRPr="0025366D" w:rsidR="0025366D">
        <w:rPr>
          <w:i/>
          <w:iCs/>
        </w:rPr>
        <w:t>Williams</w:t>
      </w:r>
      <w:bookmarkEnd w:id="19"/>
      <w:r w:rsidR="0025366D">
        <w:t xml:space="preserve"> case, namely that the inquiry focuses on danger to the public at the time </w:t>
      </w:r>
      <w:r w:rsidR="00A0616F">
        <w:t xml:space="preserve">of </w:t>
      </w:r>
      <w:r w:rsidR="0025366D">
        <w:t>defendant</w:t>
      </w:r>
      <w:r w:rsidR="00A0616F">
        <w:t>’s eventual release</w:t>
      </w:r>
      <w:r w:rsidR="0025366D">
        <w:t xml:space="preserve">. </w:t>
      </w:r>
      <w:r w:rsidR="006E3158">
        <w:t xml:space="preserve"> This is shown by defense counsel</w:t>
      </w:r>
      <w:r w:rsidR="000C34F0">
        <w:t>’s final explanation to the trial cou</w:t>
      </w:r>
      <w:r w:rsidR="00AF0435">
        <w:t xml:space="preserve">rt, </w:t>
      </w:r>
      <w:r w:rsidRPr="00BB29E8" w:rsidR="00AF0435">
        <w:rPr>
          <w:i/>
          <w:iCs/>
        </w:rPr>
        <w:t>after</w:t>
      </w:r>
      <w:r w:rsidR="00AF0435">
        <w:t xml:space="preserve"> saying </w:t>
      </w:r>
      <w:r w:rsidR="006E3158">
        <w:t xml:space="preserve">“Yes, I agree,” </w:t>
      </w:r>
      <w:r w:rsidR="00AF0435">
        <w:t xml:space="preserve">that </w:t>
      </w:r>
      <w:r w:rsidR="00017538">
        <w:t xml:space="preserve">the </w:t>
      </w:r>
      <w:r w:rsidR="0086329C">
        <w:t xml:space="preserve">focus should be on </w:t>
      </w:r>
      <w:r w:rsidR="00C04A64">
        <w:t>“</w:t>
      </w:r>
      <w:r w:rsidRPr="00792BB6" w:rsidR="00C04A64">
        <w:t>when the defendant would be released</w:t>
      </w:r>
      <w:r w:rsidR="00C04A64">
        <w:t>.”</w:t>
      </w:r>
      <w:r w:rsidR="006E3158">
        <w:t xml:space="preserve"> </w:t>
      </w:r>
    </w:p>
    <w:p w:rsidR="0057008B" w:rsidP="000F38C7" w14:paraId="17F98349" w14:textId="1782D6EC">
      <w:pPr>
        <w:ind w:firstLine="720"/>
      </w:pPr>
      <w:r>
        <w:t>In sum, we conclude that defen</w:t>
      </w:r>
      <w:r w:rsidR="008004A8">
        <w:t xml:space="preserve">se counsel </w:t>
      </w:r>
      <w:r>
        <w:t>simply misunderstood the trial court’s statement rather than agreeing</w:t>
      </w:r>
      <w:r w:rsidR="008B73CD">
        <w:t xml:space="preserve"> with it.  </w:t>
      </w:r>
      <w:r w:rsidR="00BB29E8">
        <w:t xml:space="preserve">We accordingly </w:t>
      </w:r>
      <w:r>
        <w:t xml:space="preserve">reject the People’s </w:t>
      </w:r>
      <w:r w:rsidR="004D43C2">
        <w:t>c</w:t>
      </w:r>
      <w:r w:rsidR="00706D5E">
        <w:t xml:space="preserve">ontention that defense counsel </w:t>
      </w:r>
      <w:r w:rsidRPr="00706D5E" w:rsidR="004D43C2">
        <w:rPr>
          <w:i/>
          <w:iCs/>
        </w:rPr>
        <w:t>agreed</w:t>
      </w:r>
      <w:r w:rsidR="004D43C2">
        <w:t xml:space="preserve"> that the trial court should apply the </w:t>
      </w:r>
      <w:r w:rsidR="00FB2481">
        <w:t xml:space="preserve">interpretation of section 1385, subdivision (c)(2) </w:t>
      </w:r>
      <w:r w:rsidR="004D43C2">
        <w:t xml:space="preserve">that Gonzalez now </w:t>
      </w:r>
      <w:r w:rsidR="00010050">
        <w:t xml:space="preserve">challenges </w:t>
      </w:r>
      <w:r w:rsidR="00FB2481">
        <w:t>on appeal</w:t>
      </w:r>
      <w:r w:rsidR="004D43C2">
        <w:t xml:space="preserve">.  Gonzalez has consistently </w:t>
      </w:r>
      <w:r w:rsidR="00AC5ED8">
        <w:t>taken the position that</w:t>
      </w:r>
      <w:r w:rsidR="009236F3">
        <w:t xml:space="preserve">, in assessing </w:t>
      </w:r>
      <w:r w:rsidR="004D43C2">
        <w:t xml:space="preserve">whether dismissal of the firearm enhancement </w:t>
      </w:r>
      <w:r w:rsidR="009236F3">
        <w:t>would endanger public safety</w:t>
      </w:r>
      <w:r w:rsidR="00706D5E">
        <w:t xml:space="preserve">, the focus must be </w:t>
      </w:r>
      <w:r w:rsidR="009236F3">
        <w:t xml:space="preserve">on whether </w:t>
      </w:r>
      <w:r w:rsidR="00706D5E">
        <w:t xml:space="preserve">an earlier release date </w:t>
      </w:r>
      <w:r w:rsidR="009236F3">
        <w:t>resulting from a dismissal would endanger public</w:t>
      </w:r>
      <w:r w:rsidR="00706D5E">
        <w:t xml:space="preserve"> safety</w:t>
      </w:r>
      <w:r w:rsidR="009236F3">
        <w:t xml:space="preserve">.  </w:t>
      </w:r>
      <w:r w:rsidR="00706D5E">
        <w:t xml:space="preserve">As counsel simply made a mistake in stating, “Yes, I agree,” </w:t>
      </w:r>
      <w:r w:rsidR="009236F3">
        <w:t>the argument is not forfeited</w:t>
      </w:r>
      <w:r w:rsidR="00706D5E">
        <w:t>; n</w:t>
      </w:r>
      <w:r w:rsidR="00386D89">
        <w:t>or does the doctrine of invited error apply.</w:t>
      </w:r>
      <w:r>
        <w:rPr>
          <w:rStyle w:val="FootnoteReference"/>
        </w:rPr>
        <w:footnoteReference w:id="11"/>
      </w:r>
      <w:r>
        <w:t xml:space="preserve">  </w:t>
      </w:r>
    </w:p>
    <w:p w:rsidR="00ED7A4C" w:rsidRPr="00812FE1" w:rsidP="00BD1B6E" w14:paraId="26DB3CD7" w14:textId="10347BE9">
      <w:pPr>
        <w:spacing w:after="120" w:line="240" w:lineRule="auto"/>
        <w:ind w:left="720" w:hanging="720"/>
      </w:pPr>
      <w:r>
        <w:t>C.</w:t>
      </w:r>
      <w:r>
        <w:tab/>
      </w:r>
      <w:r w:rsidRPr="00ED7A4C">
        <w:rPr>
          <w:i/>
          <w:iCs/>
        </w:rPr>
        <w:t xml:space="preserve">The Trial Court </w:t>
      </w:r>
      <w:r w:rsidR="00BD1B6E">
        <w:rPr>
          <w:i/>
          <w:iCs/>
        </w:rPr>
        <w:t xml:space="preserve">Abused Its Discretion </w:t>
      </w:r>
      <w:r w:rsidR="00195E0B">
        <w:rPr>
          <w:i/>
          <w:iCs/>
        </w:rPr>
        <w:t>b</w:t>
      </w:r>
      <w:r w:rsidR="00BD1B6E">
        <w:rPr>
          <w:i/>
          <w:iCs/>
        </w:rPr>
        <w:t xml:space="preserve">y </w:t>
      </w:r>
      <w:r w:rsidRPr="00ED7A4C">
        <w:rPr>
          <w:i/>
          <w:iCs/>
        </w:rPr>
        <w:t>Appl</w:t>
      </w:r>
      <w:r w:rsidR="00BD1B6E">
        <w:rPr>
          <w:i/>
          <w:iCs/>
        </w:rPr>
        <w:t xml:space="preserve">ying </w:t>
      </w:r>
      <w:r w:rsidRPr="00ED7A4C">
        <w:rPr>
          <w:i/>
          <w:iCs/>
        </w:rPr>
        <w:t>an Erroneous Legal Standard</w:t>
      </w:r>
    </w:p>
    <w:p w:rsidR="00B75A5B" w:rsidP="00B76758" w14:paraId="7EEDF08A" w14:textId="56A19276">
      <w:r>
        <w:tab/>
      </w:r>
      <w:r w:rsidR="00B9508E">
        <w:t>T</w:t>
      </w:r>
      <w:r w:rsidR="009353D9">
        <w:t>urn</w:t>
      </w:r>
      <w:r w:rsidR="00B9508E">
        <w:t>ing</w:t>
      </w:r>
      <w:r w:rsidR="009353D9">
        <w:t xml:space="preserve"> to </w:t>
      </w:r>
      <w:r w:rsidR="00DD3A81">
        <w:t xml:space="preserve">Gonzalez’s contention that </w:t>
      </w:r>
      <w:r w:rsidR="009353D9">
        <w:t>the trial court erred in</w:t>
      </w:r>
      <w:r w:rsidR="00B11080">
        <w:t xml:space="preserve"> its analysis of </w:t>
      </w:r>
      <w:r w:rsidR="009353D9">
        <w:t xml:space="preserve">whether </w:t>
      </w:r>
      <w:r w:rsidR="00045D55">
        <w:t xml:space="preserve">dismissing the 25-years-to-life firearm enhancement </w:t>
      </w:r>
      <w:r w:rsidR="009353D9">
        <w:t>would “endanger public safety</w:t>
      </w:r>
      <w:r w:rsidR="00045D55">
        <w:t>,</w:t>
      </w:r>
      <w:r w:rsidR="009353D9">
        <w:t xml:space="preserve">” </w:t>
      </w:r>
      <w:r w:rsidR="00B9508E">
        <w:t xml:space="preserve">we begin </w:t>
      </w:r>
      <w:r w:rsidR="00045D55">
        <w:t xml:space="preserve">with </w:t>
      </w:r>
      <w:r w:rsidR="00B9508E">
        <w:t xml:space="preserve">the </w:t>
      </w:r>
      <w:r w:rsidR="00E62C74">
        <w:t xml:space="preserve">relevant </w:t>
      </w:r>
      <w:r w:rsidR="00B9508E">
        <w:t>statutory language.</w:t>
      </w:r>
      <w:r w:rsidR="00D8519C">
        <w:t xml:space="preserve"> </w:t>
      </w:r>
      <w:r w:rsidR="00B76758">
        <w:t xml:space="preserve"> </w:t>
      </w:r>
      <w:r w:rsidR="00D8519C">
        <w:t>Under section 1385, subdivision (c)(2), the trial court must give great weight to a mitigating circumstance “unless the court finds that dismissal of the enhancement would endanger public safety</w:t>
      </w:r>
      <w:r w:rsidR="00567E7F">
        <w:t>.”</w:t>
      </w:r>
      <w:r w:rsidR="00B161A6">
        <w:t xml:space="preserve">  (§ 1385, subd. (c)(2).)</w:t>
      </w:r>
      <w:r w:rsidR="00567E7F">
        <w:t xml:space="preserve">  The </w:t>
      </w:r>
      <w:r w:rsidR="00733511">
        <w:t>L</w:t>
      </w:r>
      <w:r w:rsidR="00567E7F">
        <w:t xml:space="preserve">egislature </w:t>
      </w:r>
      <w:r w:rsidR="00733511">
        <w:t>specifically defined “</w:t>
      </w:r>
      <w:r w:rsidR="002B7E3C">
        <w:t>[</w:t>
      </w:r>
      <w:r w:rsidR="00986CC0">
        <w:t>e</w:t>
      </w:r>
      <w:r w:rsidR="002B7E3C">
        <w:t>]</w:t>
      </w:r>
      <w:r w:rsidR="00986CC0">
        <w:t>ndanger public safety” to mean “</w:t>
      </w:r>
      <w:r w:rsidRPr="00B14897" w:rsidR="00F64C2D">
        <w:t>there is a likelihood that the dismissal of the enhancement would result in physical injury or other serious danger to others.</w:t>
      </w:r>
      <w:r w:rsidR="00F64C2D">
        <w:t>”</w:t>
      </w:r>
      <w:r w:rsidR="00341E9C">
        <w:t xml:space="preserve"> </w:t>
      </w:r>
      <w:r w:rsidR="00F64C2D">
        <w:t xml:space="preserve"> (</w:t>
      </w:r>
      <w:bookmarkStart w:id="22" w:name="dabmci_650c3a8bcc7543299afbc3ae15258512"/>
      <w:r w:rsidRPr="00A04654" w:rsidR="00F64C2D">
        <w:rPr>
          <w:i/>
          <w:iCs/>
        </w:rPr>
        <w:t>Ibid</w:t>
      </w:r>
      <w:r w:rsidR="00F64C2D">
        <w:t>.</w:t>
      </w:r>
      <w:bookmarkEnd w:id="22"/>
      <w:r w:rsidR="00F64C2D">
        <w:t>)</w:t>
      </w:r>
      <w:r w:rsidR="00E62C74">
        <w:t xml:space="preserve"> </w:t>
      </w:r>
      <w:r w:rsidR="006D6BA4">
        <w:t xml:space="preserve"> </w:t>
      </w:r>
    </w:p>
    <w:p w:rsidR="00F64C2D" w:rsidP="00B75A5B" w14:paraId="4A67E17F" w14:textId="261B46FF">
      <w:pPr>
        <w:ind w:firstLine="720"/>
      </w:pPr>
      <w:r>
        <w:t xml:space="preserve">As one court has observed, </w:t>
      </w:r>
      <w:r w:rsidRPr="00280ED8">
        <w:t>section 1385</w:t>
      </w:r>
      <w:r w:rsidR="001406E1">
        <w:t xml:space="preserve">, subdivision </w:t>
      </w:r>
      <w:r w:rsidRPr="00280ED8">
        <w:t xml:space="preserve">(c)(2) </w:t>
      </w:r>
      <w:r w:rsidR="006B759C">
        <w:t>“</w:t>
      </w:r>
      <w:r w:rsidRPr="00280ED8">
        <w:t xml:space="preserve">does not require the trial court to consider any </w:t>
      </w:r>
      <w:r w:rsidRPr="00B76758">
        <w:rPr>
          <w:i/>
          <w:iCs/>
        </w:rPr>
        <w:t xml:space="preserve">particular </w:t>
      </w:r>
      <w:r w:rsidRPr="00280ED8">
        <w:t xml:space="preserve">factors in determining whether </w:t>
      </w:r>
      <w:r>
        <w:t>‘</w:t>
      </w:r>
      <w:r w:rsidRPr="00280ED8">
        <w:t>there is a likelihood that the dismissal of the enhancement would result in physical injury or other serious danger to others.</w:t>
      </w:r>
      <w:r>
        <w:t xml:space="preserve">’ ” </w:t>
      </w:r>
      <w:r w:rsidR="00721815">
        <w:t xml:space="preserve"> </w:t>
      </w:r>
      <w:r>
        <w:t>(</w:t>
      </w:r>
      <w:bookmarkStart w:id="23" w:name="dabmci_3320b0488e6f4ac0b6f3f42dc3a3304a"/>
      <w:r w:rsidRPr="00280ED8">
        <w:rPr>
          <w:i/>
          <w:iCs/>
        </w:rPr>
        <w:t>Mendoza</w:t>
      </w:r>
      <w:r>
        <w:t xml:space="preserve">, </w:t>
      </w:r>
      <w:r w:rsidRPr="00B76758">
        <w:rPr>
          <w:i/>
          <w:iCs/>
        </w:rPr>
        <w:t>supra</w:t>
      </w:r>
      <w:r>
        <w:t xml:space="preserve">, </w:t>
      </w:r>
      <w:r w:rsidRPr="00280ED8">
        <w:t xml:space="preserve">88 Cal.App.5th </w:t>
      </w:r>
      <w:r>
        <w:t xml:space="preserve">at p. </w:t>
      </w:r>
      <w:r w:rsidRPr="00280ED8">
        <w:t>299</w:t>
      </w:r>
      <w:bookmarkEnd w:id="23"/>
      <w:r w:rsidR="000C07BC">
        <w:t>, italics added</w:t>
      </w:r>
      <w:r>
        <w:t>.)</w:t>
      </w:r>
      <w:r w:rsidR="00B75A5B">
        <w:t xml:space="preserve"> </w:t>
      </w:r>
      <w:r w:rsidR="0038034A">
        <w:t xml:space="preserve"> </w:t>
      </w:r>
      <w:r w:rsidR="006971EA">
        <w:t>The question before us</w:t>
      </w:r>
      <w:r w:rsidR="005360A0">
        <w:t>, however,</w:t>
      </w:r>
      <w:r w:rsidR="006971EA">
        <w:t xml:space="preserve"> is whether</w:t>
      </w:r>
      <w:r w:rsidR="008D1253">
        <w:t xml:space="preserve"> the trial court </w:t>
      </w:r>
      <w:r w:rsidR="005360A0">
        <w:t xml:space="preserve">erred in </w:t>
      </w:r>
      <w:r w:rsidR="008B0565">
        <w:t xml:space="preserve">interpreting the statute </w:t>
      </w:r>
      <w:r w:rsidR="00F75C25">
        <w:t xml:space="preserve">in a </w:t>
      </w:r>
      <w:r w:rsidR="00125110">
        <w:t xml:space="preserve">specific </w:t>
      </w:r>
      <w:r w:rsidR="00F75C25">
        <w:t xml:space="preserve">manner.  </w:t>
      </w:r>
      <w:r w:rsidR="00125110">
        <w:t>T</w:t>
      </w:r>
      <w:r w:rsidR="00F75C25">
        <w:t xml:space="preserve">he trial court </w:t>
      </w:r>
      <w:r w:rsidR="00125110">
        <w:t xml:space="preserve">believed </w:t>
      </w:r>
      <w:r w:rsidR="00F75C25">
        <w:t xml:space="preserve">that it was </w:t>
      </w:r>
      <w:r w:rsidR="008B0565">
        <w:t>require</w:t>
      </w:r>
      <w:r w:rsidR="00F75C25">
        <w:t xml:space="preserve">d to </w:t>
      </w:r>
      <w:r w:rsidR="00627CF8">
        <w:t xml:space="preserve">decide </w:t>
      </w:r>
      <w:r w:rsidR="008B0565">
        <w:t xml:space="preserve">whether </w:t>
      </w:r>
      <w:r w:rsidR="00F75C25">
        <w:t xml:space="preserve">the </w:t>
      </w:r>
      <w:r w:rsidR="008B0565">
        <w:t xml:space="preserve">defendant </w:t>
      </w:r>
      <w:r w:rsidRPr="00022C20" w:rsidR="008B0565">
        <w:t>“</w:t>
      </w:r>
      <w:r w:rsidRPr="00022C20" w:rsidR="006D3A6C">
        <w:t>currently at the time of sentencing represent</w:t>
      </w:r>
      <w:r w:rsidRPr="00022C20" w:rsidR="008B0565">
        <w:t xml:space="preserve">[s] </w:t>
      </w:r>
      <w:r w:rsidRPr="00022C20" w:rsidR="006D3A6C">
        <w:t>a danger to society</w:t>
      </w:r>
      <w:r w:rsidR="00A8589F">
        <w:t>.</w:t>
      </w:r>
      <w:r w:rsidRPr="00022C20" w:rsidR="006D3A6C">
        <w:t>”</w:t>
      </w:r>
      <w:r w:rsidR="00A8589F">
        <w:t xml:space="preserve"> </w:t>
      </w:r>
      <w:r w:rsidRPr="00022C20" w:rsidR="008B0565">
        <w:t xml:space="preserve"> </w:t>
      </w:r>
      <w:r w:rsidR="00A8589F">
        <w:t xml:space="preserve">Premised on </w:t>
      </w:r>
      <w:r w:rsidR="00247667">
        <w:t>it</w:t>
      </w:r>
      <w:r w:rsidR="00FC71BE">
        <w:t>s</w:t>
      </w:r>
      <w:r w:rsidR="00247667">
        <w:t xml:space="preserve"> understanding of the proper inquiry, </w:t>
      </w:r>
      <w:r w:rsidR="00A8589F">
        <w:t xml:space="preserve">the trial court </w:t>
      </w:r>
      <w:r w:rsidR="00B84822">
        <w:t>impose</w:t>
      </w:r>
      <w:r w:rsidR="00581A6D">
        <w:t>d</w:t>
      </w:r>
      <w:r w:rsidR="00B84822">
        <w:t xml:space="preserve"> the </w:t>
      </w:r>
      <w:r w:rsidRPr="00022C20" w:rsidR="00022C20">
        <w:t xml:space="preserve">firearm enhancement </w:t>
      </w:r>
      <w:r w:rsidR="00247667">
        <w:t xml:space="preserve">based on its conclusion that </w:t>
      </w:r>
      <w:r w:rsidRPr="00022C20" w:rsidR="00022C20">
        <w:t>Gonzalez</w:t>
      </w:r>
      <w:r w:rsidR="00022C20">
        <w:rPr>
          <w:b/>
          <w:bCs/>
        </w:rPr>
        <w:t xml:space="preserve"> </w:t>
      </w:r>
      <w:r w:rsidR="006971EA">
        <w:t>“presently</w:t>
      </w:r>
      <w:r w:rsidR="00247667">
        <w:t xml:space="preserve"> </w:t>
      </w:r>
      <w:r w:rsidR="00F9400C">
        <w:t>. . . </w:t>
      </w:r>
      <w:r w:rsidR="00B84822">
        <w:t xml:space="preserve">does </w:t>
      </w:r>
      <w:r w:rsidR="00B55F3D">
        <w:t xml:space="preserve">represent </w:t>
      </w:r>
      <w:r w:rsidR="006971EA">
        <w:t>a danger to society</w:t>
      </w:r>
      <w:r w:rsidR="008D1253">
        <w:t>.</w:t>
      </w:r>
      <w:r w:rsidR="007F0BB9">
        <w:t>”</w:t>
      </w:r>
      <w:r w:rsidR="008D1253">
        <w:t xml:space="preserve"> </w:t>
      </w:r>
      <w:r w:rsidR="006971EA">
        <w:t xml:space="preserve"> </w:t>
      </w:r>
    </w:p>
    <w:p w:rsidR="00662ACC" w:rsidP="00662ACC" w14:paraId="58609AC7" w14:textId="00EBB429">
      <w:r>
        <w:tab/>
      </w:r>
      <w:r w:rsidR="00587FE1">
        <w:t>“</w:t>
      </w:r>
      <w:r w:rsidRPr="00587FE1" w:rsidR="00587FE1">
        <w:t>The proper interpretation of a statute is a question of law we review de novo.</w:t>
      </w:r>
      <w:r w:rsidR="0050711E">
        <w:t>”  (</w:t>
      </w:r>
      <w:bookmarkStart w:id="24" w:name="dabmci_a4c3967c3f594df08ac208d6bd50f0f7"/>
      <w:r w:rsidRPr="00587FE1" w:rsidR="0050711E">
        <w:rPr>
          <w:i/>
          <w:iCs/>
        </w:rPr>
        <w:t>People v. Lewis</w:t>
      </w:r>
      <w:r w:rsidRPr="00587FE1" w:rsidR="0050711E">
        <w:t xml:space="preserve"> (2021) 11 Cal.5th 952, 961</w:t>
      </w:r>
      <w:bookmarkEnd w:id="24"/>
      <w:r w:rsidR="0050711E">
        <w:t>.)</w:t>
      </w:r>
      <w:r w:rsidR="00673F93">
        <w:t xml:space="preserve"> </w:t>
      </w:r>
      <w:r>
        <w:t xml:space="preserve"> </w:t>
      </w:r>
      <w:r w:rsidRPr="00662ACC">
        <w:t>“ ‘ “</w:t>
      </w:r>
      <w:r>
        <w:t xml:space="preserve"> ‘</w:t>
      </w:r>
      <w:r w:rsidRPr="00662ACC">
        <w:t xml:space="preserve">When we interpret a statute, </w:t>
      </w:r>
      <w:r>
        <w:t>“</w:t>
      </w:r>
      <w:r w:rsidRPr="00662ACC">
        <w:t>[o]ur fundamental task</w:t>
      </w:r>
      <w:r>
        <w:t> . . . </w:t>
      </w:r>
      <w:r w:rsidRPr="00662ACC">
        <w:t>is to determine the Legislature</w:t>
      </w:r>
      <w:r w:rsidR="00D76FE0">
        <w:t>’</w:t>
      </w:r>
      <w:r w:rsidRPr="00662ACC">
        <w:t>s intent so as to effectuate the law</w:t>
      </w:r>
      <w:r w:rsidR="00D76FE0">
        <w:t>’</w:t>
      </w:r>
      <w:r w:rsidRPr="00662ACC">
        <w:t xml:space="preserve">s purpose. </w:t>
      </w:r>
      <w:r w:rsidR="00D76FE0">
        <w:t xml:space="preserve"> </w:t>
      </w:r>
      <w:r w:rsidRPr="00662ACC">
        <w:t xml:space="preserve">We first examine the statutory language, giving it a plain and commonsense meaning. </w:t>
      </w:r>
      <w:r w:rsidR="00D76FE0">
        <w:t xml:space="preserve"> </w:t>
      </w:r>
      <w:r w:rsidRPr="00662ACC">
        <w:t xml:space="preserve">We do not examine that language in isolation, but in the context of the statutory framework as a whole in order to determine its scope and purpose and to harmonize the various parts of the enactment. </w:t>
      </w:r>
      <w:r w:rsidR="00D76FE0">
        <w:t xml:space="preserve"> </w:t>
      </w:r>
      <w:r w:rsidRPr="00662ACC">
        <w:t>If the language is clear, courts must generally follow its plain meaning unless a literal interpretation would result in absurd consequences the Legislature did not intend.</w:t>
      </w:r>
      <w:r w:rsidRPr="00090C45" w:rsidR="00090C45">
        <w:t>’ ” ’ ”</w:t>
      </w:r>
      <w:r w:rsidR="00D31C80">
        <w:t xml:space="preserve"> </w:t>
      </w:r>
      <w:r w:rsidR="00FC71BE">
        <w:t xml:space="preserve"> </w:t>
      </w:r>
      <w:r w:rsidR="00D76FE0">
        <w:t>(</w:t>
      </w:r>
      <w:bookmarkStart w:id="25" w:name="dabmci_75cb423c434f4a58b8ee5a43201900e7"/>
      <w:r w:rsidRPr="00662ACC">
        <w:rPr>
          <w:i/>
          <w:iCs/>
        </w:rPr>
        <w:t>Los Angeles Unified School Dist. v. Superior Court</w:t>
      </w:r>
      <w:r w:rsidRPr="00662ACC">
        <w:t xml:space="preserve"> (2023) 14 Cal.5th 758, 767</w:t>
      </w:r>
      <w:r w:rsidR="007734B5">
        <w:t>–</w:t>
      </w:r>
      <w:r w:rsidRPr="00662ACC">
        <w:t>768</w:t>
      </w:r>
      <w:bookmarkEnd w:id="25"/>
      <w:r w:rsidR="00D76FE0">
        <w:t>.)</w:t>
      </w:r>
    </w:p>
    <w:p w:rsidR="00922029" w:rsidP="00922029" w14:paraId="71C0CF5E" w14:textId="55300D84">
      <w:r>
        <w:tab/>
        <w:t xml:space="preserve">The plain words of the statute </w:t>
      </w:r>
      <w:r w:rsidR="0099556A">
        <w:t xml:space="preserve">do not support the trial court’s </w:t>
      </w:r>
      <w:r w:rsidR="008239E2">
        <w:t xml:space="preserve">singular </w:t>
      </w:r>
      <w:r w:rsidR="00250FD5">
        <w:t xml:space="preserve">focus on </w:t>
      </w:r>
      <w:r w:rsidR="000B1FED">
        <w:t xml:space="preserve">whether </w:t>
      </w:r>
      <w:r w:rsidR="0099556A">
        <w:t xml:space="preserve">the defendant </w:t>
      </w:r>
      <w:r w:rsidRPr="000B1FED" w:rsidR="0099556A">
        <w:rPr>
          <w:i/>
          <w:iCs/>
        </w:rPr>
        <w:t>currently</w:t>
      </w:r>
      <w:r w:rsidR="0099556A">
        <w:t xml:space="preserve"> pose</w:t>
      </w:r>
      <w:r w:rsidR="000B1FED">
        <w:t>s</w:t>
      </w:r>
      <w:r w:rsidR="0099556A">
        <w:t xml:space="preserve"> a danger. </w:t>
      </w:r>
      <w:r w:rsidR="000B1FED">
        <w:t xml:space="preserve"> Notably, </w:t>
      </w:r>
      <w:r w:rsidR="00660358">
        <w:t xml:space="preserve">section 1385, subdivision (c)(2) </w:t>
      </w:r>
      <w:r w:rsidR="00E15F23">
        <w:t>focuses on the danger associated with the dismissal of an enhancement</w:t>
      </w:r>
      <w:r w:rsidR="005F2432">
        <w:t xml:space="preserve">, phrasing the inquiry as whether </w:t>
      </w:r>
      <w:r w:rsidR="002C3613">
        <w:t>“</w:t>
      </w:r>
      <w:r w:rsidRPr="002C3613" w:rsidR="002C3613">
        <w:rPr>
          <w:i/>
          <w:iCs/>
        </w:rPr>
        <w:t>dismissal of the enhancement</w:t>
      </w:r>
      <w:r w:rsidR="002C3613">
        <w:t xml:space="preserve"> would endanger public safety,” and whether </w:t>
      </w:r>
      <w:r w:rsidRPr="00BF2896" w:rsidR="005F2432">
        <w:t xml:space="preserve">“there is a likelihood that </w:t>
      </w:r>
      <w:r w:rsidRPr="002C3613" w:rsidR="005F2432">
        <w:rPr>
          <w:i/>
          <w:iCs/>
        </w:rPr>
        <w:t>the dismissal of the enhancement</w:t>
      </w:r>
      <w:r w:rsidRPr="00BF2896" w:rsidR="005F2432">
        <w:t xml:space="preserve"> would result in physical injury</w:t>
      </w:r>
      <w:r w:rsidR="003041D3">
        <w:t xml:space="preserve"> </w:t>
      </w:r>
      <w:r w:rsidRPr="00B14897" w:rsidR="003041D3">
        <w:t>or other serious danger to others</w:t>
      </w:r>
      <w:r w:rsidRPr="00BF2896" w:rsidR="005F2432">
        <w:t xml:space="preserve">.” </w:t>
      </w:r>
      <w:r w:rsidR="00F875B4">
        <w:t xml:space="preserve"> </w:t>
      </w:r>
      <w:r w:rsidRPr="00BF2896" w:rsidR="005F2432">
        <w:t>(§ 1385, subd. (c)(2).)</w:t>
      </w:r>
      <w:r w:rsidRPr="00AA09CA" w:rsidR="00AA09CA">
        <w:t xml:space="preserve"> </w:t>
      </w:r>
      <w:r w:rsidR="00E15F23">
        <w:t xml:space="preserve"> </w:t>
      </w:r>
      <w:r w:rsidR="00250FD5">
        <w:t xml:space="preserve">Although the </w:t>
      </w:r>
      <w:r w:rsidR="005F3A7F">
        <w:t xml:space="preserve">current </w:t>
      </w:r>
      <w:r w:rsidR="00250FD5">
        <w:t xml:space="preserve">dangerousness of the defendant </w:t>
      </w:r>
      <w:r w:rsidR="008239E2">
        <w:t xml:space="preserve">is an appropriate factor to consider, as it </w:t>
      </w:r>
      <w:r w:rsidR="00250FD5">
        <w:t xml:space="preserve">will have some bearing on whether dismissing the enhancement would endanger the public, a </w:t>
      </w:r>
      <w:r w:rsidR="00960E24">
        <w:t xml:space="preserve">crucial part of </w:t>
      </w:r>
      <w:r w:rsidR="00250FD5">
        <w:t xml:space="preserve">the inquiry </w:t>
      </w:r>
      <w:r w:rsidR="00142198">
        <w:t xml:space="preserve">is </w:t>
      </w:r>
      <w:r w:rsidR="005F3A7F">
        <w:t xml:space="preserve">how </w:t>
      </w:r>
      <w:r w:rsidR="001852D7">
        <w:t xml:space="preserve">the </w:t>
      </w:r>
      <w:r w:rsidR="009D4D7F">
        <w:t xml:space="preserve">dismissal of the enhancement will impact the </w:t>
      </w:r>
      <w:r w:rsidR="00AA4CC9">
        <w:t xml:space="preserve">length of the </w:t>
      </w:r>
      <w:r w:rsidR="003041D3">
        <w:t xml:space="preserve">defendant’s sentence. </w:t>
      </w:r>
      <w:r w:rsidR="00250FD5">
        <w:t xml:space="preserve"> A </w:t>
      </w:r>
      <w:r w:rsidR="00CD49E1">
        <w:t>currently</w:t>
      </w:r>
      <w:r w:rsidR="008F500C">
        <w:t xml:space="preserve"> </w:t>
      </w:r>
      <w:r w:rsidR="00E972F1">
        <w:t xml:space="preserve">dangerous defendant </w:t>
      </w:r>
      <w:r w:rsidR="007A54AF">
        <w:t xml:space="preserve">who will be released from </w:t>
      </w:r>
      <w:r w:rsidR="00E972F1">
        <w:t xml:space="preserve">prison within a short time frame </w:t>
      </w:r>
      <w:r w:rsidR="0073773A">
        <w:t>might</w:t>
      </w:r>
      <w:r w:rsidR="009D4D7F">
        <w:t xml:space="preserve"> </w:t>
      </w:r>
      <w:r w:rsidR="00CD49E1">
        <w:t xml:space="preserve">be found </w:t>
      </w:r>
      <w:r w:rsidR="003D5622">
        <w:t xml:space="preserve">by the trial court </w:t>
      </w:r>
      <w:r w:rsidR="00CD49E1">
        <w:t xml:space="preserve">to </w:t>
      </w:r>
      <w:r w:rsidR="007A54AF">
        <w:t xml:space="preserve">pose a </w:t>
      </w:r>
      <w:r w:rsidR="000547DE">
        <w:t>greater danger to the public</w:t>
      </w:r>
      <w:r w:rsidR="00CD49E1">
        <w:t xml:space="preserve"> than a </w:t>
      </w:r>
      <w:r w:rsidR="00A23946">
        <w:t xml:space="preserve">defendant </w:t>
      </w:r>
      <w:r w:rsidR="00CD49E1">
        <w:t xml:space="preserve">who </w:t>
      </w:r>
      <w:r w:rsidR="003D5622">
        <w:t xml:space="preserve">is currently dangerous but who has no </w:t>
      </w:r>
      <w:r w:rsidR="004D117F">
        <w:t>prospect</w:t>
      </w:r>
      <w:r w:rsidR="003D5622">
        <w:t xml:space="preserve"> of release from prison until </w:t>
      </w:r>
      <w:r w:rsidR="00A23946">
        <w:t xml:space="preserve">he is elderly. </w:t>
      </w:r>
      <w:r w:rsidR="00250FD5">
        <w:t xml:space="preserve"> </w:t>
      </w:r>
      <w:r w:rsidR="00434D97">
        <w:t>(</w:t>
      </w:r>
      <w:r w:rsidR="00B46B9D">
        <w:t xml:space="preserve">See </w:t>
      </w:r>
      <w:bookmarkStart w:id="26" w:name="dabmci_d3ef9e1346a44dcbbf6fc2ecd8ff497c"/>
      <w:r w:rsidRPr="00BF2896" w:rsidR="00434D97">
        <w:rPr>
          <w:i/>
          <w:iCs/>
        </w:rPr>
        <w:t>Mendoza, supra</w:t>
      </w:r>
      <w:r w:rsidRPr="00BF2896" w:rsidR="00434D97">
        <w:t xml:space="preserve">, 88 Cal.App.5th </w:t>
      </w:r>
      <w:r w:rsidR="006C26BF">
        <w:t xml:space="preserve">at p. </w:t>
      </w:r>
      <w:r w:rsidRPr="00BF2896" w:rsidR="00434D97">
        <w:t>299</w:t>
      </w:r>
      <w:bookmarkEnd w:id="26"/>
      <w:r w:rsidRPr="00BF2896" w:rsidR="00434D97">
        <w:t xml:space="preserve"> [affirming </w:t>
      </w:r>
      <w:r w:rsidR="00860D17">
        <w:t xml:space="preserve">the trial court’s </w:t>
      </w:r>
      <w:r w:rsidR="00094221">
        <w:t xml:space="preserve">finding of a danger to the public </w:t>
      </w:r>
      <w:r w:rsidRPr="00BF2896" w:rsidR="00434D97">
        <w:t>under §</w:t>
      </w:r>
      <w:r w:rsidR="00A1007D">
        <w:t> </w:t>
      </w:r>
      <w:r w:rsidRPr="00BF2896" w:rsidR="00434D97">
        <w:t>1385</w:t>
      </w:r>
      <w:r w:rsidR="00094221">
        <w:t>, subd</w:t>
      </w:r>
      <w:r w:rsidR="00C24BEF">
        <w:t>.</w:t>
      </w:r>
      <w:r w:rsidR="00094221">
        <w:t xml:space="preserve"> (c)(2)</w:t>
      </w:r>
      <w:r w:rsidR="00AA09CA">
        <w:t xml:space="preserve"> </w:t>
      </w:r>
      <w:r w:rsidRPr="00BF2896" w:rsidR="00434D97">
        <w:t>where “dismissal of the enhancement would result in a sentence of less than six years in prison, which would require [the defendant</w:t>
      </w:r>
      <w:r w:rsidR="00860D17">
        <w:t>’</w:t>
      </w:r>
      <w:r w:rsidRPr="00BF2896" w:rsidR="00434D97">
        <w:t>s] immediate release”].)</w:t>
      </w:r>
      <w:r w:rsidR="00434D97">
        <w:t xml:space="preserve">  </w:t>
      </w:r>
      <w:r w:rsidR="001C010C">
        <w:t xml:space="preserve">Further, an </w:t>
      </w:r>
      <w:r w:rsidR="00200576">
        <w:t xml:space="preserve">inquiry into </w:t>
      </w:r>
      <w:r w:rsidR="006F5A3D">
        <w:t xml:space="preserve">whether </w:t>
      </w:r>
      <w:r w:rsidR="00200576">
        <w:t xml:space="preserve">public safety will be endangered by the </w:t>
      </w:r>
      <w:r w:rsidR="006F5A3D">
        <w:t xml:space="preserve">dismissal of an enhancement for a </w:t>
      </w:r>
      <w:r w:rsidR="004D117F">
        <w:t xml:space="preserve">defendant serving a lengthy indeterminate sentence </w:t>
      </w:r>
      <w:r w:rsidR="00200576">
        <w:t xml:space="preserve">should </w:t>
      </w:r>
      <w:r w:rsidR="006F5A3D">
        <w:t xml:space="preserve">also take into account that the defendant’s release from prison is contingent on </w:t>
      </w:r>
      <w:r w:rsidR="00123DB9">
        <w:t xml:space="preserve">review by </w:t>
      </w:r>
      <w:r w:rsidR="006F5A3D">
        <w:t xml:space="preserve">the </w:t>
      </w:r>
      <w:r w:rsidR="00476A14">
        <w:t>Board of P</w:t>
      </w:r>
      <w:r w:rsidR="006F5A3D">
        <w:t xml:space="preserve">arole </w:t>
      </w:r>
      <w:r w:rsidR="00476A14">
        <w:t>Hearings</w:t>
      </w:r>
      <w:r w:rsidR="00982ED1">
        <w:t xml:space="preserve"> (and for murder convictions, </w:t>
      </w:r>
      <w:r w:rsidR="005F391B">
        <w:t xml:space="preserve">by </w:t>
      </w:r>
      <w:r w:rsidR="00982ED1">
        <w:t>the Governor)</w:t>
      </w:r>
      <w:r w:rsidR="00961ABB">
        <w:t>, wh</w:t>
      </w:r>
      <w:r w:rsidR="00982ED1">
        <w:t>o</w:t>
      </w:r>
      <w:r w:rsidR="00774E20">
        <w:t xml:space="preserve"> </w:t>
      </w:r>
      <w:r w:rsidR="00961ABB">
        <w:t>will have the opportunity to assess the defendant’s dangerousness at that time</w:t>
      </w:r>
      <w:r w:rsidR="006F5A3D">
        <w:t xml:space="preserve">. </w:t>
      </w:r>
      <w:r>
        <w:t xml:space="preserve"> </w:t>
      </w:r>
      <w:r w:rsidRPr="00922029">
        <w:t>(</w:t>
      </w:r>
      <w:r w:rsidRPr="00922029" w:rsidR="00F27D31">
        <w:t>§§</w:t>
      </w:r>
      <w:r w:rsidR="00A921FD">
        <w:t> </w:t>
      </w:r>
      <w:r w:rsidR="00F27D31">
        <w:t xml:space="preserve">3041, </w:t>
      </w:r>
      <w:r w:rsidRPr="00922029" w:rsidR="00F27D31">
        <w:t>3041.2</w:t>
      </w:r>
      <w:r w:rsidR="00F27D31">
        <w:t xml:space="preserve">; </w:t>
      </w:r>
      <w:bookmarkStart w:id="27" w:name="dabmci_91102f5af82b4743a6931607d2d7cf0a"/>
      <w:r w:rsidRPr="00922029">
        <w:t>Cal. Const., art. V, § 8</w:t>
      </w:r>
      <w:bookmarkEnd w:id="27"/>
      <w:r w:rsidR="00F27D31">
        <w:t>.</w:t>
      </w:r>
      <w:r w:rsidRPr="00922029">
        <w:t>)</w:t>
      </w:r>
      <w:r w:rsidR="00123DB9">
        <w:t xml:space="preserve">  </w:t>
      </w:r>
      <w:r w:rsidR="0048670B">
        <w:t>T</w:t>
      </w:r>
      <w:r w:rsidR="00123DB9">
        <w:t xml:space="preserve">hat </w:t>
      </w:r>
      <w:r w:rsidR="004309DC">
        <w:t xml:space="preserve">future </w:t>
      </w:r>
      <w:r w:rsidR="00123DB9">
        <w:t>review will act as a</w:t>
      </w:r>
      <w:r w:rsidR="007377A5">
        <w:t xml:space="preserve"> </w:t>
      </w:r>
      <w:r w:rsidR="004D7585">
        <w:t>safety valve against a release that would endanger</w:t>
      </w:r>
      <w:r w:rsidR="00CA7C2B">
        <w:t xml:space="preserve"> the</w:t>
      </w:r>
      <w:r w:rsidR="004D7585">
        <w:t xml:space="preserve"> public</w:t>
      </w:r>
      <w:r w:rsidR="00C53E28">
        <w:t xml:space="preserve"> and </w:t>
      </w:r>
      <w:r w:rsidR="004070E0">
        <w:t xml:space="preserve">is relevant to a </w:t>
      </w:r>
      <w:r w:rsidR="00C53E28">
        <w:t xml:space="preserve">trial court’s analysis of whether </w:t>
      </w:r>
      <w:r w:rsidR="0048670B">
        <w:t>the</w:t>
      </w:r>
      <w:r w:rsidR="004D7585">
        <w:t xml:space="preserve"> </w:t>
      </w:r>
      <w:r w:rsidR="0048670B">
        <w:t xml:space="preserve">dismissal of an enhancement </w:t>
      </w:r>
      <w:r w:rsidR="004070E0">
        <w:t xml:space="preserve">imposed on </w:t>
      </w:r>
      <w:r w:rsidR="0048670B">
        <w:t xml:space="preserve">a defendant serving an indeterminate </w:t>
      </w:r>
      <w:r w:rsidR="004070E0">
        <w:t xml:space="preserve">prison </w:t>
      </w:r>
      <w:r w:rsidR="0048670B">
        <w:t>term will endanger public safety.</w:t>
      </w:r>
      <w:r>
        <w:rPr>
          <w:rStyle w:val="FootnoteReference"/>
        </w:rPr>
        <w:footnoteReference w:id="12"/>
      </w:r>
    </w:p>
    <w:p w:rsidR="00893218" w:rsidP="00730333" w14:paraId="45EA8F4D" w14:textId="66075323">
      <w:r>
        <w:tab/>
      </w:r>
      <w:r w:rsidR="00654DFF">
        <w:t xml:space="preserve">The analysis in </w:t>
      </w:r>
      <w:bookmarkStart w:id="28" w:name="dabmci_d0cb862adbde41c893aa9db2733cd219"/>
      <w:r w:rsidRPr="00654DFF" w:rsidR="00654DFF">
        <w:rPr>
          <w:i/>
          <w:iCs/>
        </w:rPr>
        <w:t>Williams</w:t>
      </w:r>
      <w:r w:rsidR="00654DFF">
        <w:t xml:space="preserve">, </w:t>
      </w:r>
      <w:r w:rsidRPr="00654DFF" w:rsidR="00654DFF">
        <w:rPr>
          <w:i/>
          <w:iCs/>
        </w:rPr>
        <w:t>supra</w:t>
      </w:r>
      <w:r w:rsidR="00654DFF">
        <w:t xml:space="preserve">, </w:t>
      </w:r>
      <w:r w:rsidRPr="000511AF" w:rsidR="00654DFF">
        <w:t>19 Cal.App.5th 1057</w:t>
      </w:r>
      <w:bookmarkEnd w:id="28"/>
      <w:r w:rsidR="00654DFF">
        <w:t xml:space="preserve">, although arising under a different sentencing statute, </w:t>
      </w:r>
      <w:r w:rsidR="00A44DD3">
        <w:t>supports</w:t>
      </w:r>
      <w:r w:rsidR="000D0591">
        <w:t xml:space="preserve"> our interpretation of the plain meaning of section 1385, subdivision (c)(2)</w:t>
      </w:r>
      <w:r w:rsidR="00654DFF">
        <w:t xml:space="preserve">.  In </w:t>
      </w:r>
      <w:bookmarkStart w:id="29" w:name="dabmci_5e8e3435e34c47bfa22361b7b94976b0"/>
      <w:r w:rsidRPr="00EA04E0" w:rsidR="00654DFF">
        <w:rPr>
          <w:i/>
          <w:iCs/>
        </w:rPr>
        <w:t>Williams</w:t>
      </w:r>
      <w:bookmarkEnd w:id="29"/>
      <w:r w:rsidR="00654DFF">
        <w:t>, the defendant</w:t>
      </w:r>
      <w:r w:rsidR="00264B86">
        <w:t xml:space="preserve">, who was serving a term of </w:t>
      </w:r>
      <w:r w:rsidRPr="00264B86" w:rsidR="00264B86">
        <w:t>193 years to life</w:t>
      </w:r>
      <w:r w:rsidR="00264B86">
        <w:t xml:space="preserve">, </w:t>
      </w:r>
      <w:r w:rsidRPr="00706234" w:rsidR="00654DFF">
        <w:t>filed a section 1170.126 petition for resentencing</w:t>
      </w:r>
      <w:r w:rsidR="00417669">
        <w:t>, which</w:t>
      </w:r>
      <w:r w:rsidR="00F1414F">
        <w:t xml:space="preserve"> directed the trial court to consider “</w:t>
      </w:r>
      <w:r w:rsidRPr="001A6779" w:rsidR="00F1414F">
        <w:t>whether a new sentence would result in an unreasonable risk of danger to public safety</w:t>
      </w:r>
      <w:r w:rsidRPr="006478DD" w:rsidR="00F1414F">
        <w:t>.</w:t>
      </w:r>
      <w:r w:rsidR="00F1414F">
        <w:t xml:space="preserve">” </w:t>
      </w:r>
      <w:r w:rsidR="00794A29">
        <w:t xml:space="preserve"> </w:t>
      </w:r>
      <w:r w:rsidR="00856716">
        <w:t>(</w:t>
      </w:r>
      <w:bookmarkStart w:id="30" w:name="dabmci_d9b53940dde446ab9109fd4aec32319d"/>
      <w:r w:rsidRPr="00264B86" w:rsidR="00856716">
        <w:rPr>
          <w:i/>
          <w:iCs/>
        </w:rPr>
        <w:t>Williams</w:t>
      </w:r>
      <w:r w:rsidR="00856716">
        <w:t xml:space="preserve">, at </w:t>
      </w:r>
      <w:r w:rsidR="00264B86">
        <w:t>p</w:t>
      </w:r>
      <w:r w:rsidR="00856716">
        <w:t xml:space="preserve">p. </w:t>
      </w:r>
      <w:r w:rsidRPr="006478DD" w:rsidR="00BF4D59">
        <w:t>106</w:t>
      </w:r>
      <w:r w:rsidR="00264B86">
        <w:t>0</w:t>
      </w:r>
      <w:r w:rsidR="00C24BEF">
        <w:t>–</w:t>
      </w:r>
      <w:r w:rsidRPr="006478DD" w:rsidR="00BF4D59">
        <w:t>1062</w:t>
      </w:r>
      <w:bookmarkEnd w:id="30"/>
      <w:r w:rsidR="000C27DC">
        <w:t>, quoting § </w:t>
      </w:r>
      <w:r w:rsidRPr="00706234" w:rsidR="000C27DC">
        <w:t>1170.126</w:t>
      </w:r>
      <w:r w:rsidR="000C27DC">
        <w:t>, subd. (f)</w:t>
      </w:r>
      <w:r w:rsidR="00DE296E">
        <w:t xml:space="preserve">.)  The defendant represented </w:t>
      </w:r>
      <w:r w:rsidR="00CA7C2B">
        <w:t xml:space="preserve">to the trial court </w:t>
      </w:r>
      <w:r w:rsidR="00DE296E">
        <w:t>that “</w:t>
      </w:r>
      <w:r w:rsidRPr="00DE296E" w:rsidR="00DE296E">
        <w:t>if his petition was granted the earliest he could be considered for parole would be in 2039, when he would be 77</w:t>
      </w:r>
      <w:r w:rsidR="00DE296E">
        <w:t>.”  (</w:t>
      </w:r>
      <w:bookmarkStart w:id="31" w:name="dabmci_e00b101b20d84bac8855cb0d96fbb5ef"/>
      <w:r w:rsidRPr="00DE296E" w:rsidR="00DE296E">
        <w:rPr>
          <w:i/>
          <w:iCs/>
        </w:rPr>
        <w:t>Id</w:t>
      </w:r>
      <w:r w:rsidR="00DE296E">
        <w:t xml:space="preserve">. at p. </w:t>
      </w:r>
      <w:r w:rsidRPr="00DE296E" w:rsidR="00DE296E">
        <w:t>1060</w:t>
      </w:r>
      <w:bookmarkEnd w:id="31"/>
      <w:r w:rsidR="001A6779">
        <w:t>.</w:t>
      </w:r>
      <w:r w:rsidR="00DE296E">
        <w:t>)</w:t>
      </w:r>
      <w:r w:rsidR="00794A29">
        <w:t xml:space="preserve"> </w:t>
      </w:r>
      <w:r w:rsidR="007B3D57">
        <w:t xml:space="preserve"> The trial court relied on the defendant’s </w:t>
      </w:r>
      <w:r w:rsidRPr="005F0FFF" w:rsidR="007B3D57">
        <w:t>criminal history</w:t>
      </w:r>
      <w:r w:rsidR="00A669A8">
        <w:t xml:space="preserve"> and </w:t>
      </w:r>
      <w:r w:rsidRPr="005F0FFF" w:rsidR="007B3D57">
        <w:t>prison disciplinary record</w:t>
      </w:r>
      <w:r w:rsidR="00A669A8">
        <w:t xml:space="preserve"> to conclude that </w:t>
      </w:r>
      <w:r w:rsidRPr="005F0FFF" w:rsidR="007B3D57">
        <w:t>resentencing</w:t>
      </w:r>
      <w:r w:rsidR="00A44DD3">
        <w:t xml:space="preserve"> the</w:t>
      </w:r>
      <w:r w:rsidRPr="005F0FFF" w:rsidR="007B3D57">
        <w:t xml:space="preserve"> defendant posed an unreasonable risk to public safety</w:t>
      </w:r>
      <w:r w:rsidR="00F66BAE">
        <w:t>,</w:t>
      </w:r>
      <w:r w:rsidRPr="005F0FFF" w:rsidR="007B3D57">
        <w:t xml:space="preserve"> and </w:t>
      </w:r>
      <w:r w:rsidR="00F66BAE">
        <w:t xml:space="preserve">it </w:t>
      </w:r>
      <w:r w:rsidRPr="005F0FFF" w:rsidR="007B3D57">
        <w:t>accordingly denied his petition.</w:t>
      </w:r>
      <w:r w:rsidR="00A669A8">
        <w:t xml:space="preserve">  (</w:t>
      </w:r>
      <w:bookmarkStart w:id="32" w:name="dabmci_eecdd45d743c42ba933c86dcd94329c3"/>
      <w:r w:rsidRPr="00052B90" w:rsidR="00A669A8">
        <w:rPr>
          <w:i/>
          <w:iCs/>
        </w:rPr>
        <w:t>Id</w:t>
      </w:r>
      <w:r w:rsidR="00A669A8">
        <w:t>. at</w:t>
      </w:r>
      <w:r w:rsidR="00052B90">
        <w:t xml:space="preserve"> </w:t>
      </w:r>
      <w:r w:rsidR="00A669A8">
        <w:t>p</w:t>
      </w:r>
      <w:r w:rsidR="00052B90">
        <w:t>. 1061</w:t>
      </w:r>
      <w:bookmarkEnd w:id="32"/>
      <w:r w:rsidR="00052B90">
        <w:t xml:space="preserve">.)  </w:t>
      </w:r>
      <w:r w:rsidR="00730333">
        <w:t>On appeal, the defendant argued that “</w:t>
      </w:r>
      <w:r w:rsidRPr="00730333" w:rsidR="00730333">
        <w:t>resentencing him would not present a danger to public safety because granting the petition would, at best, give him the possibility of obtaining parole when he was 77</w:t>
      </w:r>
      <w:r w:rsidR="00CD7E52">
        <w:t>,</w:t>
      </w:r>
      <w:r w:rsidR="009F59FC">
        <w:t>” and “</w:t>
      </w:r>
      <w:r w:rsidRPr="00730333" w:rsidR="00730333">
        <w:t xml:space="preserve">resentencing him </w:t>
      </w:r>
      <w:r w:rsidR="009F59FC">
        <w:t>‘</w:t>
      </w:r>
      <w:r w:rsidRPr="00730333" w:rsidR="00730333">
        <w:t>would not threaten public safety because he still would remain imprisoned until his reform and rehabilitation showed that he could be safely released,</w:t>
      </w:r>
      <w:r w:rsidR="009F59FC">
        <w:t xml:space="preserve">’ </w:t>
      </w:r>
      <w:r w:rsidRPr="00730333" w:rsidR="00730333">
        <w:t xml:space="preserve">which would happen no sooner than 24 years from now and only if the </w:t>
      </w:r>
      <w:r w:rsidR="009F59FC">
        <w:t>‘</w:t>
      </w:r>
      <w:r w:rsidRPr="00730333" w:rsidR="00730333">
        <w:t>parole board found that his release would not pose an unreasonable risk to public safety.</w:t>
      </w:r>
      <w:r w:rsidR="009F59FC">
        <w:t xml:space="preserve">’ </w:t>
      </w:r>
      <w:r w:rsidRPr="00730333" w:rsidR="00730333">
        <w:t>”</w:t>
      </w:r>
      <w:r w:rsidR="009F59FC">
        <w:t xml:space="preserve">  </w:t>
      </w:r>
      <w:r w:rsidR="001B6B69">
        <w:t>(</w:t>
      </w:r>
      <w:bookmarkStart w:id="33" w:name="dabmci_6051e2fe7ccf4d0e8c42a2819bbe9328"/>
      <w:r w:rsidRPr="00CD7E52" w:rsidR="001B6B69">
        <w:rPr>
          <w:i/>
          <w:iCs/>
        </w:rPr>
        <w:t>Id</w:t>
      </w:r>
      <w:r w:rsidR="001B6B69">
        <w:t xml:space="preserve">. at p. </w:t>
      </w:r>
      <w:r w:rsidR="00CD7E52">
        <w:t>1062</w:t>
      </w:r>
      <w:bookmarkEnd w:id="33"/>
      <w:r w:rsidR="00CD7E52">
        <w:t>.)</w:t>
      </w:r>
      <w:r w:rsidRPr="00AA09CA" w:rsidR="00AA09CA">
        <w:t xml:space="preserve"> </w:t>
      </w:r>
    </w:p>
    <w:p w:rsidR="00F56F3B" w:rsidP="00F56F3B" w14:paraId="4303473F" w14:textId="2AF13E2F">
      <w:r>
        <w:tab/>
      </w:r>
      <w:r w:rsidRPr="00D003C1">
        <w:rPr>
          <w:i/>
          <w:iCs/>
        </w:rPr>
        <w:t>Williams</w:t>
      </w:r>
      <w:r>
        <w:t xml:space="preserve"> held that “[t]</w:t>
      </w:r>
      <w:r w:rsidRPr="00D003C1">
        <w:t>he trial court’s failure to consider when, if ever, defendant would be released if the petition was granted was an abuse of discretion.</w:t>
      </w:r>
      <w:r>
        <w:t>”  (</w:t>
      </w:r>
      <w:bookmarkStart w:id="34" w:name="dabmci_a92174a6b6af42a9a9c0d686441e5364"/>
      <w:r w:rsidRPr="00D003C1">
        <w:rPr>
          <w:i/>
          <w:iCs/>
        </w:rPr>
        <w:t>Williams</w:t>
      </w:r>
      <w:r>
        <w:t xml:space="preserve">, </w:t>
      </w:r>
      <w:r w:rsidRPr="00D003C1">
        <w:rPr>
          <w:i/>
          <w:iCs/>
        </w:rPr>
        <w:t>supra</w:t>
      </w:r>
      <w:r>
        <w:t xml:space="preserve">, </w:t>
      </w:r>
      <w:r w:rsidRPr="00D003C1">
        <w:t xml:space="preserve">19 Cal.App.5th </w:t>
      </w:r>
      <w:r>
        <w:t>at p.</w:t>
      </w:r>
      <w:r w:rsidRPr="00D003C1">
        <w:t xml:space="preserve"> 1064</w:t>
      </w:r>
      <w:bookmarkEnd w:id="34"/>
      <w:r>
        <w:t xml:space="preserve">.) </w:t>
      </w:r>
      <w:r w:rsidR="00F66BAE">
        <w:t xml:space="preserve"> </w:t>
      </w:r>
      <w:r>
        <w:t xml:space="preserve">As </w:t>
      </w:r>
      <w:r w:rsidRPr="005A6EE1">
        <w:rPr>
          <w:i/>
          <w:iCs/>
        </w:rPr>
        <w:t>Williams</w:t>
      </w:r>
      <w:r>
        <w:t xml:space="preserve"> explained, </w:t>
      </w:r>
      <w:r w:rsidR="005B305D">
        <w:t>“</w:t>
      </w:r>
      <w:r>
        <w:t>[d]</w:t>
      </w:r>
      <w:r w:rsidRPr="00893218" w:rsidR="00893218">
        <w:t xml:space="preserve">etermining whether resentencing a defendant poses an unreasonable risk of danger to society is necessarily a forward-looking inquiry. </w:t>
      </w:r>
      <w:r>
        <w:t xml:space="preserve"> </w:t>
      </w:r>
      <w:r w:rsidRPr="00893218" w:rsidR="00893218">
        <w:t xml:space="preserve">When determining whether resentencing poses an unreasonable risk of danger, the trial court must look to when a defendant would be released if the petition is granted and the defendant is resentenced. </w:t>
      </w:r>
      <w:r w:rsidR="00C537A2">
        <w:t xml:space="preserve"> </w:t>
      </w:r>
      <w:r w:rsidRPr="00893218" w:rsidR="00893218">
        <w:t>A defendant who would obtain immediate release if the petition is granted poses a different potential danger to society than a defendant who could be released only in his or her 70’s.</w:t>
      </w:r>
      <w:r w:rsidR="005B305D">
        <w:t>”  (</w:t>
      </w:r>
      <w:bookmarkStart w:id="35" w:name="dabmci_aec1716f434c438b98218d5d82e79f10"/>
      <w:r w:rsidRPr="007D5EBB" w:rsidR="007D5EBB">
        <w:rPr>
          <w:i/>
          <w:iCs/>
        </w:rPr>
        <w:t>Id</w:t>
      </w:r>
      <w:r w:rsidR="007D5EBB">
        <w:t xml:space="preserve">. </w:t>
      </w:r>
      <w:r w:rsidR="005B305D">
        <w:t xml:space="preserve">at p. </w:t>
      </w:r>
      <w:r w:rsidRPr="00893218" w:rsidR="00893218">
        <w:t>1063</w:t>
      </w:r>
      <w:bookmarkEnd w:id="35"/>
      <w:r w:rsidR="005B305D">
        <w:t xml:space="preserve">.)  Further, </w:t>
      </w:r>
      <w:r w:rsidR="00C537A2">
        <w:t xml:space="preserve">pointing out that </w:t>
      </w:r>
      <w:r>
        <w:t>the defendant was serving an indeterminate sentence</w:t>
      </w:r>
      <w:r w:rsidR="00252AC3">
        <w:t xml:space="preserve">, which required the Board of Parole Hearings to approve </w:t>
      </w:r>
      <w:r w:rsidR="006766EB">
        <w:t xml:space="preserve">his </w:t>
      </w:r>
      <w:r w:rsidR="00252AC3">
        <w:t xml:space="preserve">release </w:t>
      </w:r>
      <w:r w:rsidR="006766EB">
        <w:t>from prison</w:t>
      </w:r>
      <w:r w:rsidR="00252AC3">
        <w:t xml:space="preserve">, </w:t>
      </w:r>
      <w:r w:rsidRPr="006766EB" w:rsidR="00252AC3">
        <w:rPr>
          <w:i/>
          <w:iCs/>
        </w:rPr>
        <w:t>Williams</w:t>
      </w:r>
      <w:r w:rsidR="00252AC3">
        <w:t xml:space="preserve"> explained that “[r]</w:t>
      </w:r>
      <w:r w:rsidRPr="00F56F3B">
        <w:t>esentencing poses significantly less danger to society if it is contingent on a finding at some future date that the defendant no longer poses a threat to society.</w:t>
      </w:r>
      <w:r w:rsidR="00252AC3">
        <w:t>”  (</w:t>
      </w:r>
      <w:bookmarkStart w:id="36" w:name="dabmci_7ed23efa1b154118b1459c9be2735cb2"/>
      <w:r w:rsidRPr="006766EB" w:rsidR="00252AC3">
        <w:rPr>
          <w:i/>
          <w:iCs/>
        </w:rPr>
        <w:t>Id</w:t>
      </w:r>
      <w:r w:rsidR="00252AC3">
        <w:t xml:space="preserve">. at pp. </w:t>
      </w:r>
      <w:r w:rsidRPr="00F56F3B">
        <w:t>1063–1064</w:t>
      </w:r>
      <w:bookmarkEnd w:id="36"/>
      <w:r w:rsidR="00D00726">
        <w:t>.)</w:t>
      </w:r>
    </w:p>
    <w:p w:rsidR="00D00726" w:rsidP="00F56F3B" w14:paraId="65A38991" w14:textId="722E4549">
      <w:r>
        <w:tab/>
      </w:r>
      <w:r w:rsidR="00855284">
        <w:t xml:space="preserve">We find </w:t>
      </w:r>
      <w:r w:rsidRPr="008613E0" w:rsidR="00855284">
        <w:rPr>
          <w:i/>
          <w:iCs/>
        </w:rPr>
        <w:t>William</w:t>
      </w:r>
      <w:r w:rsidR="00814718">
        <w:rPr>
          <w:i/>
          <w:iCs/>
        </w:rPr>
        <w:t>s</w:t>
      </w:r>
      <w:r w:rsidR="00855284">
        <w:t xml:space="preserve">’s discussion to be </w:t>
      </w:r>
      <w:r w:rsidR="00D67868">
        <w:t xml:space="preserve">instructive </w:t>
      </w:r>
      <w:r w:rsidR="00855284">
        <w:t>here because t</w:t>
      </w:r>
      <w:r>
        <w:t xml:space="preserve">he relevant language </w:t>
      </w:r>
      <w:r w:rsidR="00D67868">
        <w:t>of</w:t>
      </w:r>
      <w:r>
        <w:t xml:space="preserve"> section </w:t>
      </w:r>
      <w:r w:rsidRPr="00706234" w:rsidR="007B7560">
        <w:t>1170.126</w:t>
      </w:r>
      <w:r w:rsidR="007B7560">
        <w:t>, subdivision (</w:t>
      </w:r>
      <w:r w:rsidR="00855284">
        <w:t xml:space="preserve">f), which focuses on </w:t>
      </w:r>
      <w:r w:rsidR="007B7560">
        <w:t>“</w:t>
      </w:r>
      <w:r w:rsidRPr="001A6779" w:rsidR="007B7560">
        <w:t>whether a new sentence would result in an unreasonable risk of danger to public safety</w:t>
      </w:r>
      <w:r w:rsidR="007B7560">
        <w:t>”</w:t>
      </w:r>
      <w:r w:rsidR="00855284">
        <w:t xml:space="preserve"> is similar </w:t>
      </w:r>
      <w:r w:rsidR="00D67868">
        <w:t xml:space="preserve">in design </w:t>
      </w:r>
      <w:r w:rsidR="00855284">
        <w:t xml:space="preserve">to the language </w:t>
      </w:r>
      <w:r w:rsidR="00D67868">
        <w:t>of</w:t>
      </w:r>
      <w:r w:rsidR="00855284">
        <w:t xml:space="preserve"> section 1385, subdivision (c)(2), which focuses on whether </w:t>
      </w:r>
      <w:r w:rsidR="00802AB8">
        <w:t>“</w:t>
      </w:r>
      <w:r w:rsidRPr="00802AB8" w:rsidR="00802AB8">
        <w:t>dismissal of the enhancement</w:t>
      </w:r>
      <w:r w:rsidR="00802AB8">
        <w:t xml:space="preserve"> would endanger public safety.”</w:t>
      </w:r>
      <w:r w:rsidR="0009444F">
        <w:t xml:space="preserve">  Both provisions </w:t>
      </w:r>
      <w:r w:rsidR="00E215EC">
        <w:t xml:space="preserve">direct the trial court </w:t>
      </w:r>
      <w:r w:rsidR="00CE1076">
        <w:t xml:space="preserve">to </w:t>
      </w:r>
      <w:r w:rsidR="00E215EC">
        <w:t xml:space="preserve">consider </w:t>
      </w:r>
      <w:r w:rsidR="0009444F">
        <w:t xml:space="preserve">the impact </w:t>
      </w:r>
      <w:r w:rsidR="00E215EC">
        <w:t>to public safety if the defendant was granted sentencing</w:t>
      </w:r>
      <w:r w:rsidR="00E9321E">
        <w:t xml:space="preserve"> relief</w:t>
      </w:r>
      <w:r w:rsidR="0009444F">
        <w:t xml:space="preserve">.  As </w:t>
      </w:r>
      <w:r w:rsidRPr="0009444F" w:rsidR="0009444F">
        <w:rPr>
          <w:i/>
          <w:iCs/>
        </w:rPr>
        <w:t>Williams</w:t>
      </w:r>
      <w:r w:rsidR="0009444F">
        <w:t xml:space="preserve"> persuasively explains, such a provision requires the trial court to </w:t>
      </w:r>
      <w:r w:rsidR="000A4941">
        <w:t>consider</w:t>
      </w:r>
      <w:r w:rsidR="00F5287A">
        <w:t>, among other things,</w:t>
      </w:r>
      <w:r w:rsidR="000A4941">
        <w:t xml:space="preserve"> the date on which the defendant </w:t>
      </w:r>
      <w:r w:rsidR="005D7FC7">
        <w:t>would be released</w:t>
      </w:r>
      <w:r w:rsidR="00D32A79">
        <w:t xml:space="preserve"> under the revised sentence</w:t>
      </w:r>
      <w:r w:rsidR="005D7FC7">
        <w:t>, and, in the case of an indeterminate sentence, the safety valve that exists due to the review by the Board of Parole Hearings.</w:t>
      </w:r>
      <w:r w:rsidR="00F5287A">
        <w:t xml:space="preserve"> </w:t>
      </w:r>
    </w:p>
    <w:p w:rsidR="00E03BA4" w:rsidP="002D4C65" w14:paraId="76086F35" w14:textId="0B940820">
      <w:r>
        <w:tab/>
        <w:t xml:space="preserve">The People present </w:t>
      </w:r>
      <w:r w:rsidR="00B80F7A">
        <w:t xml:space="preserve">two </w:t>
      </w:r>
      <w:r w:rsidR="003F6869">
        <w:t xml:space="preserve">unconvincing </w:t>
      </w:r>
      <w:r>
        <w:t xml:space="preserve">arguments in an attempt to defend the trial court’s interpretation of </w:t>
      </w:r>
      <w:r w:rsidR="00B80F7A">
        <w:t>section 1385, subdivision (c)(2), neither of which grapple with the plain language of the statute.</w:t>
      </w:r>
      <w:r>
        <w:t xml:space="preserve">  </w:t>
      </w:r>
    </w:p>
    <w:p w:rsidR="00C069B1" w:rsidP="00E03BA4" w14:paraId="64ADFF37" w14:textId="7424FA87">
      <w:pPr>
        <w:ind w:firstLine="720"/>
      </w:pPr>
      <w:r>
        <w:t xml:space="preserve">First, the People point out that in a death penalty trial, juries </w:t>
      </w:r>
      <w:r w:rsidR="00730432">
        <w:t xml:space="preserve">must not be </w:t>
      </w:r>
      <w:r w:rsidR="00F62472">
        <w:t>in</w:t>
      </w:r>
      <w:r w:rsidR="00B35D41">
        <w:t xml:space="preserve">structed that </w:t>
      </w:r>
      <w:r w:rsidR="00AE565A">
        <w:t>a d</w:t>
      </w:r>
      <w:r w:rsidR="00730432">
        <w:t xml:space="preserve">efendant </w:t>
      </w:r>
      <w:r w:rsidR="00AE565A">
        <w:t xml:space="preserve">serving a life sentence </w:t>
      </w:r>
      <w:r w:rsidR="00730432">
        <w:t>m</w:t>
      </w:r>
      <w:r w:rsidR="00AE565A">
        <w:t xml:space="preserve">ight nevertheless </w:t>
      </w:r>
      <w:r w:rsidR="00730432">
        <w:t xml:space="preserve">be released from prison at some point in the future </w:t>
      </w:r>
      <w:r w:rsidR="004F2741">
        <w:t xml:space="preserve">based on </w:t>
      </w:r>
      <w:r w:rsidR="004D2165">
        <w:t>the</w:t>
      </w:r>
      <w:r w:rsidR="004F2741">
        <w:t xml:space="preserve"> </w:t>
      </w:r>
      <w:r w:rsidR="00BD660C">
        <w:t>G</w:t>
      </w:r>
      <w:r w:rsidR="004F2741">
        <w:t>overnor’s commutation</w:t>
      </w:r>
      <w:r w:rsidR="00B35D41">
        <w:t xml:space="preserve"> because</w:t>
      </w:r>
      <w:r w:rsidR="002D4C65">
        <w:t xml:space="preserve"> “it </w:t>
      </w:r>
      <w:r w:rsidRPr="002D4C65" w:rsidR="002D4C65">
        <w:t>invites the jury to consider speculative and impermissible factors in reaching its decision</w:t>
      </w:r>
      <w:r w:rsidR="002D4C65">
        <w:t xml:space="preserve">.” </w:t>
      </w:r>
      <w:r w:rsidR="00DB799C">
        <w:t xml:space="preserve"> </w:t>
      </w:r>
      <w:r w:rsidR="002D4C65">
        <w:t>(</w:t>
      </w:r>
      <w:bookmarkStart w:id="37" w:name="dabmci_7ff6b0d680e847f69001549715e84bd6"/>
      <w:r w:rsidRPr="002D4C65" w:rsidR="002D4C65">
        <w:rPr>
          <w:i/>
          <w:iCs/>
        </w:rPr>
        <w:t>People v. Ramos</w:t>
      </w:r>
      <w:r w:rsidRPr="002D4C65" w:rsidR="002D4C65">
        <w:t xml:space="preserve"> (1984) 37</w:t>
      </w:r>
      <w:r w:rsidR="00E6483B">
        <w:t> </w:t>
      </w:r>
      <w:r w:rsidRPr="002D4C65" w:rsidR="002D4C65">
        <w:t>Cal.3d 136, 159</w:t>
      </w:r>
      <w:bookmarkEnd w:id="37"/>
      <w:r w:rsidR="002D4C65">
        <w:t xml:space="preserve">.) </w:t>
      </w:r>
      <w:r w:rsidR="004F2741">
        <w:t xml:space="preserve"> </w:t>
      </w:r>
      <w:r w:rsidR="00CC0F96">
        <w:t xml:space="preserve">The </w:t>
      </w:r>
      <w:r w:rsidR="00940E63">
        <w:t xml:space="preserve">People contend that </w:t>
      </w:r>
      <w:r w:rsidR="00CC0F96">
        <w:t xml:space="preserve">if speculation about future events is not permitted in the context presented in </w:t>
      </w:r>
      <w:bookmarkStart w:id="38" w:name="dabmci_9f51178e864842ca9c978be73c9e9110"/>
      <w:r w:rsidRPr="000A1264" w:rsidR="00CC0F96">
        <w:rPr>
          <w:i/>
          <w:iCs/>
        </w:rPr>
        <w:t>Ramos</w:t>
      </w:r>
      <w:bookmarkEnd w:id="38"/>
      <w:r w:rsidR="00CC0F96">
        <w:t xml:space="preserve">, we should not </w:t>
      </w:r>
      <w:r w:rsidR="00210E5F">
        <w:t xml:space="preserve">require the trial court to </w:t>
      </w:r>
      <w:r w:rsidR="00137A38">
        <w:t>speculat</w:t>
      </w:r>
      <w:r w:rsidR="00210E5F">
        <w:t xml:space="preserve">e </w:t>
      </w:r>
      <w:r w:rsidR="00137A38">
        <w:t xml:space="preserve">about </w:t>
      </w:r>
      <w:r w:rsidR="00210E5F">
        <w:t xml:space="preserve">a defendant’s </w:t>
      </w:r>
      <w:r w:rsidR="00137A38">
        <w:t xml:space="preserve">future dangerousness </w:t>
      </w:r>
      <w:r w:rsidR="00210E5F">
        <w:t xml:space="preserve">when applying </w:t>
      </w:r>
      <w:r w:rsidR="00783F71">
        <w:t>section 1385, subdivision (c)(2)</w:t>
      </w:r>
      <w:r w:rsidR="00137A38">
        <w:t xml:space="preserve">. </w:t>
      </w:r>
      <w:r w:rsidR="00210E5F">
        <w:t xml:space="preserve"> </w:t>
      </w:r>
      <w:r w:rsidR="00137A38">
        <w:t>We reject the argument</w:t>
      </w:r>
      <w:r w:rsidR="000A1264">
        <w:t xml:space="preserve">, which is entirely unmoored from the text of the statute.  </w:t>
      </w:r>
      <w:r w:rsidRPr="00CC0F96" w:rsidR="00137A38">
        <w:rPr>
          <w:i/>
          <w:iCs/>
        </w:rPr>
        <w:t>Ramos</w:t>
      </w:r>
      <w:r w:rsidR="00137A38">
        <w:t xml:space="preserve"> has no applicability </w:t>
      </w:r>
      <w:r w:rsidR="00210E5F">
        <w:t xml:space="preserve">here </w:t>
      </w:r>
      <w:r w:rsidR="00137A38">
        <w:t xml:space="preserve">because </w:t>
      </w:r>
      <w:r w:rsidR="00210E5F">
        <w:t xml:space="preserve">we are deciding the very specific </w:t>
      </w:r>
      <w:r w:rsidR="00137A38">
        <w:t xml:space="preserve">question </w:t>
      </w:r>
      <w:r w:rsidR="00210E5F">
        <w:t xml:space="preserve">of </w:t>
      </w:r>
      <w:r w:rsidR="00137A38">
        <w:t xml:space="preserve">what the Legislature intended by including </w:t>
      </w:r>
      <w:r w:rsidR="00210E5F">
        <w:t>particular</w:t>
      </w:r>
      <w:r w:rsidR="00137A38">
        <w:t xml:space="preserve"> statutory language in section 1385, subdivision (c)(</w:t>
      </w:r>
      <w:r w:rsidR="0007590D">
        <w:t>2</w:t>
      </w:r>
      <w:r w:rsidR="00137A38">
        <w:t>)</w:t>
      </w:r>
      <w:r>
        <w:t xml:space="preserve">.  That </w:t>
      </w:r>
      <w:r w:rsidR="00E03BA4">
        <w:t>question has no overlap with the proper scope of issues that a jury may be in</w:t>
      </w:r>
      <w:r w:rsidR="00905176">
        <w:t xml:space="preserve">structed </w:t>
      </w:r>
      <w:r w:rsidR="00E03BA4">
        <w:t xml:space="preserve">to consider when </w:t>
      </w:r>
      <w:r w:rsidR="00137A38">
        <w:t xml:space="preserve">deciding whether to return a death verdict.  </w:t>
      </w:r>
    </w:p>
    <w:p w:rsidR="00EC2888" w:rsidRPr="009C727A" w:rsidP="0007590D" w14:paraId="3CB7986D" w14:textId="17CB3C5C">
      <w:pPr>
        <w:ind w:firstLine="720"/>
        <w:rPr>
          <w:i/>
          <w:iCs/>
        </w:rPr>
      </w:pPr>
      <w:r>
        <w:t xml:space="preserve">Next, the </w:t>
      </w:r>
      <w:r w:rsidR="00E03BA4">
        <w:t xml:space="preserve">People </w:t>
      </w:r>
      <w:r w:rsidR="00D950A4">
        <w:t>argue</w:t>
      </w:r>
      <w:r w:rsidR="007926E9">
        <w:t xml:space="preserve"> that when a defendant like Gonzalez is serving an indeterminate sentence, the Board of Parole Hearings </w:t>
      </w:r>
      <w:r w:rsidR="00D950A4">
        <w:t xml:space="preserve">“is best suited to assess [a defendant’s] dangerousness once he completes his indeterminate term.”  According to the People, the trial court should </w:t>
      </w:r>
      <w:r w:rsidR="00224211">
        <w:t xml:space="preserve">not </w:t>
      </w:r>
      <w:r w:rsidR="00D950A4">
        <w:t>“usurp the [Board of Parole Hearings’] role by guessing 50 years or more into the future.”</w:t>
      </w:r>
      <w:r w:rsidR="00DC3A30">
        <w:t xml:space="preserve">  </w:t>
      </w:r>
      <w:r w:rsidR="00792EB1">
        <w:t>We find no merit to the People’s argument</w:t>
      </w:r>
      <w:r w:rsidR="008C1BB7">
        <w:t>, which once again is unmoored from the statutory language</w:t>
      </w:r>
      <w:r w:rsidR="00792EB1">
        <w:t xml:space="preserve">.  </w:t>
      </w:r>
      <w:r w:rsidR="00C93865">
        <w:t xml:space="preserve">For one thing, </w:t>
      </w:r>
      <w:r w:rsidR="002F4129">
        <w:t xml:space="preserve">the relief afforded by section 1385, subdivision (c)(2) </w:t>
      </w:r>
      <w:r w:rsidR="00B64A1C">
        <w:t xml:space="preserve">is </w:t>
      </w:r>
      <w:r w:rsidR="008C1BB7">
        <w:t xml:space="preserve">also </w:t>
      </w:r>
      <w:r w:rsidR="00B64A1C">
        <w:t xml:space="preserve">available to </w:t>
      </w:r>
      <w:r w:rsidR="002F4129">
        <w:t xml:space="preserve">defendants sentenced to </w:t>
      </w:r>
      <w:r w:rsidR="00B64A1C">
        <w:t xml:space="preserve">determinate terms of imprisonment. </w:t>
      </w:r>
      <w:r w:rsidR="001D5A12">
        <w:t xml:space="preserve"> In those cases, </w:t>
      </w:r>
      <w:r w:rsidR="00B1123A">
        <w:t>there will be no decision by the Board of Parole Hearings to determine a defendant’s future dangerousness</w:t>
      </w:r>
      <w:r w:rsidR="00667A29">
        <w:t xml:space="preserve"> that the trial court could “usurp” by considering future dangerousness as part of </w:t>
      </w:r>
      <w:r w:rsidR="00B26F59">
        <w:t xml:space="preserve">its </w:t>
      </w:r>
      <w:r w:rsidR="00667A29">
        <w:t>section 1385, subdivision (c)(2) analysis</w:t>
      </w:r>
      <w:r w:rsidR="00B1123A">
        <w:t xml:space="preserve">. </w:t>
      </w:r>
      <w:r w:rsidR="004F5936">
        <w:t xml:space="preserve"> More importantly, the People’s argument </w:t>
      </w:r>
      <w:r w:rsidR="00EF4507">
        <w:t xml:space="preserve">overlooks that, for defendants sentenced to indeterminate terms, </w:t>
      </w:r>
      <w:r w:rsidR="00FA0E75">
        <w:t xml:space="preserve">it is easily possible to </w:t>
      </w:r>
      <w:r w:rsidR="00EF4507">
        <w:t>harmoniz</w:t>
      </w:r>
      <w:r w:rsidR="00FA0E75">
        <w:t>e</w:t>
      </w:r>
      <w:r w:rsidR="00EF4507">
        <w:t xml:space="preserve"> the language of section 1385, subdivision (c)(2) with the fact that the Board of Parole Hearings will eventually consider whether </w:t>
      </w:r>
      <w:r w:rsidR="00A46CE4">
        <w:t xml:space="preserve">public safety would be endangered by </w:t>
      </w:r>
      <w:r w:rsidR="007329B5">
        <w:t>defendant</w:t>
      </w:r>
      <w:r w:rsidR="00A46CE4">
        <w:t>’s release</w:t>
      </w:r>
      <w:r w:rsidR="007329B5">
        <w:t xml:space="preserve"> from prison.  Specifically, as </w:t>
      </w:r>
      <w:r w:rsidRPr="00456595" w:rsidR="007329B5">
        <w:rPr>
          <w:i/>
          <w:iCs/>
        </w:rPr>
        <w:t>Williams</w:t>
      </w:r>
      <w:r w:rsidR="007329B5">
        <w:t xml:space="preserve"> </w:t>
      </w:r>
      <w:r w:rsidR="00097685">
        <w:t xml:space="preserve">explains, </w:t>
      </w:r>
      <w:r>
        <w:t xml:space="preserve">the trial court </w:t>
      </w:r>
      <w:r w:rsidR="00D74FBC">
        <w:t xml:space="preserve">should </w:t>
      </w:r>
      <w:r w:rsidR="00456595">
        <w:t xml:space="preserve">acknowledge the role of the Board of Parole Hearings by </w:t>
      </w:r>
      <w:r>
        <w:t>tak</w:t>
      </w:r>
      <w:r w:rsidR="00456595">
        <w:t>ing</w:t>
      </w:r>
      <w:r>
        <w:t xml:space="preserve"> into account that </w:t>
      </w:r>
      <w:r w:rsidR="00D62315">
        <w:t xml:space="preserve">a </w:t>
      </w:r>
      <w:r>
        <w:t xml:space="preserve">reduced sentence </w:t>
      </w:r>
      <w:r w:rsidR="00D62315">
        <w:t xml:space="preserve">will </w:t>
      </w:r>
      <w:r>
        <w:t>“</w:t>
      </w:r>
      <w:r w:rsidRPr="00F56F3B">
        <w:t>pose</w:t>
      </w:r>
      <w:r w:rsidR="00D62315">
        <w:t>[ ]</w:t>
      </w:r>
      <w:r w:rsidRPr="00F56F3B">
        <w:t xml:space="preserve"> significantly less danger to society if it is contingent on a finding at some future date that the defendant no longer poses a threat to society.</w:t>
      </w:r>
      <w:r>
        <w:t>”  (</w:t>
      </w:r>
      <w:bookmarkStart w:id="39" w:name="dabmci_7d0f9cc0e0d4491eba2bef66487420c5"/>
      <w:r w:rsidRPr="009C727A" w:rsidR="00BA7701">
        <w:rPr>
          <w:i/>
          <w:iCs/>
        </w:rPr>
        <w:t>Williams</w:t>
      </w:r>
      <w:r w:rsidR="00BA7701">
        <w:t xml:space="preserve">, </w:t>
      </w:r>
      <w:r w:rsidRPr="009C727A" w:rsidR="00BA7701">
        <w:rPr>
          <w:i/>
          <w:iCs/>
        </w:rPr>
        <w:t>supra</w:t>
      </w:r>
      <w:r w:rsidR="00BA7701">
        <w:t xml:space="preserve">, </w:t>
      </w:r>
      <w:r w:rsidRPr="009C727A" w:rsidR="009C727A">
        <w:t xml:space="preserve">19 Cal.App.5th </w:t>
      </w:r>
      <w:r w:rsidR="009C727A">
        <w:t xml:space="preserve">at pp. </w:t>
      </w:r>
      <w:r w:rsidRPr="009C727A" w:rsidR="009C727A">
        <w:t>1063–1064</w:t>
      </w:r>
      <w:bookmarkEnd w:id="39"/>
      <w:r w:rsidR="009C727A">
        <w:t>.)</w:t>
      </w:r>
    </w:p>
    <w:p w:rsidR="00262BEA" w:rsidP="00565B6F" w14:paraId="05F47B73" w14:textId="6AD75482">
      <w:pPr>
        <w:ind w:firstLine="720"/>
      </w:pPr>
      <w:r>
        <w:t xml:space="preserve">In sum, we conclude that based on the plain language of </w:t>
      </w:r>
      <w:r w:rsidR="0007590D">
        <w:t xml:space="preserve">section 1385, subdivision (c)(2), </w:t>
      </w:r>
      <w:r>
        <w:t xml:space="preserve">the </w:t>
      </w:r>
      <w:r w:rsidR="0007590D">
        <w:t xml:space="preserve">trial court </w:t>
      </w:r>
      <w:r>
        <w:t xml:space="preserve">erred </w:t>
      </w:r>
      <w:r w:rsidR="008E7AA3">
        <w:t xml:space="preserve">because it considered only whether </w:t>
      </w:r>
      <w:r>
        <w:t xml:space="preserve">Gonzalez </w:t>
      </w:r>
      <w:r w:rsidRPr="006F415B">
        <w:rPr>
          <w:i/>
          <w:iCs/>
        </w:rPr>
        <w:t>currently</w:t>
      </w:r>
      <w:r>
        <w:t xml:space="preserve"> posed a danger to the public when assessing </w:t>
      </w:r>
      <w:r w:rsidR="008E7AA3">
        <w:t xml:space="preserve">if </w:t>
      </w:r>
      <w:r>
        <w:t>a dismissal of the firearm enhancement would “endanger public safety.”  (§ 1385, subd.</w:t>
      </w:r>
      <w:r w:rsidR="005A3B3C">
        <w:t> </w:t>
      </w:r>
      <w:r>
        <w:t xml:space="preserve">(c)(2).)  </w:t>
      </w:r>
      <w:r w:rsidR="006F415B">
        <w:t>I</w:t>
      </w:r>
      <w:r>
        <w:t xml:space="preserve">n light of Gonzalez’s sentence of 50 years to life for the murder conviction, the trial court </w:t>
      </w:r>
      <w:r w:rsidR="00B136C4">
        <w:t xml:space="preserve">also </w:t>
      </w:r>
      <w:r w:rsidR="00565B6F">
        <w:t xml:space="preserve">should </w:t>
      </w:r>
      <w:r w:rsidR="00B136C4">
        <w:t xml:space="preserve">have </w:t>
      </w:r>
      <w:r w:rsidR="00565B6F">
        <w:t>considered</w:t>
      </w:r>
      <w:r w:rsidR="00F94B75">
        <w:t xml:space="preserve"> </w:t>
      </w:r>
      <w:r>
        <w:t xml:space="preserve">the date on which Gonzalez </w:t>
      </w:r>
      <w:r w:rsidRPr="00BF2896">
        <w:t xml:space="preserve">could be released if the </w:t>
      </w:r>
      <w:r>
        <w:t xml:space="preserve">firearm </w:t>
      </w:r>
      <w:r w:rsidRPr="00BF2896">
        <w:t>enhancement</w:t>
      </w:r>
      <w:r>
        <w:t xml:space="preserve"> was dismissed and the fact that the release would be subject to a review by the Board of Parole Hearings and the </w:t>
      </w:r>
      <w:r w:rsidR="00562711">
        <w:t>G</w:t>
      </w:r>
      <w:r>
        <w:t>overnor.</w:t>
      </w:r>
      <w:r w:rsidR="0082009B">
        <w:t xml:space="preserve">  The </w:t>
      </w:r>
      <w:r w:rsidR="00565B6F">
        <w:t>trial court</w:t>
      </w:r>
      <w:r w:rsidR="00FD55D2">
        <w:t>’</w:t>
      </w:r>
      <w:r w:rsidR="00565B6F">
        <w:t xml:space="preserve">s </w:t>
      </w:r>
      <w:r w:rsidR="0082009B">
        <w:t xml:space="preserve">application of </w:t>
      </w:r>
      <w:r w:rsidR="00565B6F">
        <w:t>an</w:t>
      </w:r>
      <w:r w:rsidR="0082009B">
        <w:t xml:space="preserve"> </w:t>
      </w:r>
      <w:r w:rsidR="00870486">
        <w:t xml:space="preserve">erroneous </w:t>
      </w:r>
      <w:r w:rsidR="0082009B">
        <w:t>legal standard constitutes an abuse of discretion.</w:t>
      </w:r>
      <w:r>
        <w:t xml:space="preserve"> </w:t>
      </w:r>
      <w:r w:rsidR="00BD1B6E">
        <w:t xml:space="preserve"> (</w:t>
      </w:r>
      <w:bookmarkStart w:id="40" w:name="dabmci_3f867973e5234f93a05230754c112a9e"/>
      <w:r w:rsidRPr="003003CD" w:rsidR="00BD1B6E">
        <w:rPr>
          <w:i/>
          <w:iCs/>
        </w:rPr>
        <w:t>Knoller</w:t>
      </w:r>
      <w:r w:rsidR="00BD1B6E">
        <w:t xml:space="preserve">, </w:t>
      </w:r>
      <w:r w:rsidRPr="00BD1B6E" w:rsidR="00BD1B6E">
        <w:rPr>
          <w:i/>
          <w:iCs/>
        </w:rPr>
        <w:t>supra</w:t>
      </w:r>
      <w:r w:rsidR="00BD1B6E">
        <w:t xml:space="preserve">, </w:t>
      </w:r>
      <w:r w:rsidRPr="003003CD" w:rsidR="00BD1B6E">
        <w:t xml:space="preserve">41 Cal.4th </w:t>
      </w:r>
      <w:r w:rsidR="00BD1B6E">
        <w:t xml:space="preserve">at p. </w:t>
      </w:r>
      <w:r w:rsidRPr="003003CD" w:rsidR="00BD1B6E">
        <w:t>156</w:t>
      </w:r>
      <w:bookmarkEnd w:id="40"/>
      <w:r w:rsidR="00BD1B6E">
        <w:t>.)</w:t>
      </w:r>
    </w:p>
    <w:p w:rsidR="000D668F" w14:paraId="1313196E" w14:textId="77777777">
      <w:r>
        <w:br w:type="page"/>
      </w:r>
    </w:p>
    <w:p w:rsidR="003A48B8" w:rsidP="003A48B8" w14:paraId="1D39F73C" w14:textId="48F8FD1D">
      <w:r>
        <w:t>D.</w:t>
      </w:r>
      <w:r>
        <w:tab/>
      </w:r>
      <w:r w:rsidRPr="003A48B8">
        <w:rPr>
          <w:i/>
          <w:iCs/>
        </w:rPr>
        <w:t>The Error Was Prejudicial</w:t>
      </w:r>
    </w:p>
    <w:p w:rsidR="00262BEA" w:rsidP="00C069B1" w14:paraId="58872606" w14:textId="56583B55">
      <w:pPr>
        <w:ind w:firstLine="720"/>
      </w:pPr>
      <w:r>
        <w:t xml:space="preserve">The People argue that even if the trial court erred in </w:t>
      </w:r>
      <w:r w:rsidR="008F7E68">
        <w:t xml:space="preserve">limiting its analysis to </w:t>
      </w:r>
      <w:r>
        <w:t xml:space="preserve">Gonzalez’s current dangerousness, reversal for resentencing is not warranted because the error was not prejudicial. </w:t>
      </w:r>
    </w:p>
    <w:p w:rsidR="009F03DD" w:rsidRPr="009F03DD" w:rsidP="009F03DD" w14:paraId="06A763CF" w14:textId="7A1EC763">
      <w:pPr>
        <w:ind w:firstLine="720"/>
      </w:pPr>
      <w:r>
        <w:t>The People rely on the principl</w:t>
      </w:r>
      <w:r w:rsidR="00664F17">
        <w:t>e</w:t>
      </w:r>
      <w:r>
        <w:t xml:space="preserve"> that when a trial court misapprehends the scope of its </w:t>
      </w:r>
      <w:r w:rsidR="00D86693">
        <w:t xml:space="preserve">sentencing </w:t>
      </w:r>
      <w:r>
        <w:t>discretion, a remand is not warrant</w:t>
      </w:r>
      <w:r w:rsidR="00936D0E">
        <w:t>ed</w:t>
      </w:r>
      <w:r>
        <w:t xml:space="preserve"> if “</w:t>
      </w:r>
      <w:r w:rsidRPr="009F03DD">
        <w:t xml:space="preserve">the record </w:t>
      </w:r>
      <w:r>
        <w:t>‘</w:t>
      </w:r>
      <w:r w:rsidRPr="009F03DD">
        <w:t>clearly indicate[s]</w:t>
      </w:r>
      <w:r>
        <w:t>’</w:t>
      </w:r>
      <w:r w:rsidRPr="009F03DD">
        <w:t xml:space="preserve"> that the trial court would have reached the same conclusion </w:t>
      </w:r>
      <w:r>
        <w:t>‘</w:t>
      </w:r>
      <w:r w:rsidRPr="009F03DD">
        <w:t>even if it had been aware that it had such discretion.</w:t>
      </w:r>
      <w:r>
        <w:t xml:space="preserve">’ </w:t>
      </w:r>
      <w:r w:rsidRPr="009F03DD">
        <w:t>”</w:t>
      </w:r>
      <w:r>
        <w:t xml:space="preserve">  (</w:t>
      </w:r>
      <w:bookmarkStart w:id="41" w:name="dabmci_74e11d576df041a29ed2d789f650dda9"/>
      <w:r w:rsidRPr="009F03DD">
        <w:rPr>
          <w:i/>
          <w:iCs/>
        </w:rPr>
        <w:t>People v. Gutierrez</w:t>
      </w:r>
      <w:r w:rsidRPr="009F03DD">
        <w:t xml:space="preserve"> (2014) 58 Cal.4th 1354, 1391</w:t>
      </w:r>
      <w:bookmarkEnd w:id="41"/>
      <w:r>
        <w:t>.)</w:t>
      </w:r>
      <w:r w:rsidR="000616FC">
        <w:t xml:space="preserve">  The People contend that “as the trial court would not exercise its discretion differently if [Gonzalez] were sentenced a fourth time, remand would be futile.” </w:t>
      </w:r>
    </w:p>
    <w:p w:rsidR="0023316A" w:rsidP="00C069B1" w14:paraId="2560D3C5" w14:textId="37D8D25B">
      <w:pPr>
        <w:ind w:firstLine="720"/>
      </w:pPr>
      <w:r>
        <w:t>We reject the People’s contention because we find no clear indication in t</w:t>
      </w:r>
      <w:r w:rsidR="00617C25">
        <w:t xml:space="preserve">he </w:t>
      </w:r>
      <w:r w:rsidR="00755B3E">
        <w:t xml:space="preserve">record </w:t>
      </w:r>
      <w:r>
        <w:t xml:space="preserve">that the </w:t>
      </w:r>
      <w:r w:rsidR="00617C25">
        <w:t>trial court would have declined to dismiss the firearm enhancement</w:t>
      </w:r>
      <w:r w:rsidR="006A41AB">
        <w:t xml:space="preserve"> if</w:t>
      </w:r>
      <w:r w:rsidR="00D26DD7">
        <w:t xml:space="preserve">, rather than </w:t>
      </w:r>
      <w:r w:rsidR="00D12F76">
        <w:t xml:space="preserve">limiting its inquiry to </w:t>
      </w:r>
      <w:r w:rsidR="00D26DD7">
        <w:t xml:space="preserve">Gonzalez’s current dangerousness, it had analyzed whether public safety would be endangered by the </w:t>
      </w:r>
      <w:r w:rsidR="00D73F7F">
        <w:t xml:space="preserve">sentence of </w:t>
      </w:r>
      <w:r w:rsidR="005748E5">
        <w:t>50 year</w:t>
      </w:r>
      <w:r w:rsidR="00D73F7F">
        <w:t>s</w:t>
      </w:r>
      <w:r w:rsidR="005748E5">
        <w:t xml:space="preserve"> to life </w:t>
      </w:r>
      <w:r w:rsidR="00D26DD7">
        <w:t>that would result from dismissing the firearm enhancement</w:t>
      </w:r>
      <w:r w:rsidR="006A41AB">
        <w:t xml:space="preserve">.  </w:t>
      </w:r>
    </w:p>
    <w:p w:rsidR="00262BEA" w:rsidP="00C069B1" w14:paraId="11E70A25" w14:textId="09D42C8F">
      <w:pPr>
        <w:ind w:firstLine="720"/>
      </w:pPr>
      <w:r>
        <w:t>In making its ruling, t</w:t>
      </w:r>
      <w:r w:rsidR="00960CD6">
        <w:t>he trial court specifically explained</w:t>
      </w:r>
      <w:r>
        <w:t>, “</w:t>
      </w:r>
      <w:r w:rsidRPr="00532670">
        <w:t xml:space="preserve">I think presently </w:t>
      </w:r>
      <w:r w:rsidR="008C0AFA">
        <w:t xml:space="preserve">[Gonzalez] </w:t>
      </w:r>
      <w:r w:rsidRPr="00532670">
        <w:t xml:space="preserve">does represent a danger to society, </w:t>
      </w:r>
      <w:r w:rsidRPr="003E3785">
        <w:rPr>
          <w:i/>
          <w:iCs/>
        </w:rPr>
        <w:t>and for that reason</w:t>
      </w:r>
      <w:r w:rsidR="0023316A">
        <w:t> . . . </w:t>
      </w:r>
      <w:r w:rsidRPr="00532670">
        <w:t>I do think it is appropriate for the Court to impose an additional 25 years to life for the gun use enhancement</w:t>
      </w:r>
      <w:r w:rsidR="008C0AFA">
        <w:t>.”</w:t>
      </w:r>
      <w:r w:rsidR="003E3785">
        <w:t xml:space="preserve">  (Italics added.)</w:t>
      </w:r>
      <w:r w:rsidR="008C0AFA">
        <w:t xml:space="preserve">  </w:t>
      </w:r>
      <w:r w:rsidR="003E3785">
        <w:t xml:space="preserve">The trial court gave no indication of how it would rule if it </w:t>
      </w:r>
      <w:r w:rsidR="006B4179">
        <w:t xml:space="preserve">did not limit its </w:t>
      </w:r>
      <w:r w:rsidR="00FD2E78">
        <w:t>inquiry</w:t>
      </w:r>
      <w:r w:rsidR="006B4179">
        <w:t xml:space="preserve"> to </w:t>
      </w:r>
      <w:r w:rsidR="003E3785">
        <w:t>Gonzalez’s current dangerousness.  Indeed, because a sentence of 50</w:t>
      </w:r>
      <w:r w:rsidR="001367FF">
        <w:t xml:space="preserve"> </w:t>
      </w:r>
      <w:r w:rsidR="003E3785">
        <w:t>year</w:t>
      </w:r>
      <w:r w:rsidR="001367FF">
        <w:t xml:space="preserve">s to life would result in a potential release from prison far into the future when Gonzalez </w:t>
      </w:r>
      <w:r w:rsidR="00F2410A">
        <w:t>is</w:t>
      </w:r>
      <w:r w:rsidR="001367FF">
        <w:t xml:space="preserve"> elderly, and </w:t>
      </w:r>
      <w:r w:rsidR="003D2180">
        <w:t xml:space="preserve">because </w:t>
      </w:r>
      <w:r w:rsidR="001367FF">
        <w:t xml:space="preserve">a review by the Board of Parole Hearings and the </w:t>
      </w:r>
      <w:r w:rsidR="00562711">
        <w:t>G</w:t>
      </w:r>
      <w:r w:rsidR="001367FF">
        <w:t xml:space="preserve">overnor </w:t>
      </w:r>
      <w:r w:rsidR="003D2180">
        <w:t xml:space="preserve">will take place </w:t>
      </w:r>
      <w:r w:rsidR="001367FF">
        <w:t xml:space="preserve">before Gonzalez </w:t>
      </w:r>
      <w:r w:rsidR="003D2180">
        <w:t xml:space="preserve">is </w:t>
      </w:r>
      <w:r w:rsidR="001367FF">
        <w:t>release</w:t>
      </w:r>
      <w:r w:rsidR="003D2180">
        <w:t>d</w:t>
      </w:r>
      <w:r w:rsidR="001367FF">
        <w:t xml:space="preserve">, it is </w:t>
      </w:r>
      <w:r w:rsidR="00F92F9D">
        <w:t>conceivable that</w:t>
      </w:r>
      <w:r w:rsidR="001D1FD5">
        <w:t>,</w:t>
      </w:r>
      <w:r w:rsidR="00F2410A">
        <w:t xml:space="preserve"> if the trial court holds a new sentencing hearing in which it does not </w:t>
      </w:r>
      <w:r w:rsidR="003E3443">
        <w:t xml:space="preserve">limit its </w:t>
      </w:r>
      <w:r w:rsidR="001D1FD5">
        <w:t>inquiry</w:t>
      </w:r>
      <w:r w:rsidR="003E3443">
        <w:t xml:space="preserve"> to </w:t>
      </w:r>
      <w:r w:rsidR="00F2410A">
        <w:t>Gonzalez’s current dangerousness, it will decide to exercise its discretion under section 1385, subdivision (c)(2) in a different manner.</w:t>
      </w:r>
      <w:r>
        <w:rPr>
          <w:rStyle w:val="FootnoteReference"/>
        </w:rPr>
        <w:footnoteReference w:id="13"/>
      </w:r>
      <w:r w:rsidR="00435DD1">
        <w:t xml:space="preserve"> </w:t>
      </w:r>
    </w:p>
    <w:p w:rsidR="00063A35" w:rsidP="00682F9C" w14:paraId="2ACA57B0" w14:textId="3262EF0B">
      <w:pPr>
        <w:ind w:firstLine="720"/>
      </w:pPr>
      <w:r>
        <w:t xml:space="preserve">We therefore conclude that the </w:t>
      </w:r>
      <w:r w:rsidR="00A62C6A">
        <w:t xml:space="preserve">trial court’s error </w:t>
      </w:r>
      <w:r>
        <w:t xml:space="preserve">was prejudicial and requires a remand for resentencing so that the trial court </w:t>
      </w:r>
      <w:r w:rsidR="00A62C6A">
        <w:t xml:space="preserve">may </w:t>
      </w:r>
      <w:r>
        <w:t xml:space="preserve">apply </w:t>
      </w:r>
      <w:r w:rsidR="00F479EE">
        <w:t>the interpretation of section 1385, subdivision (c)(2)</w:t>
      </w:r>
      <w:r w:rsidR="00945983">
        <w:t xml:space="preserve"> set forth in this opinion</w:t>
      </w:r>
      <w:r w:rsidR="00222F43">
        <w:t xml:space="preserve">.  The trial court shall </w:t>
      </w:r>
      <w:r w:rsidR="008239E2">
        <w:t xml:space="preserve">consider, among other factors it finds relevant, </w:t>
      </w:r>
      <w:r w:rsidR="00920F11">
        <w:t xml:space="preserve">whether the </w:t>
      </w:r>
      <w:r w:rsidR="00EA1665">
        <w:t>reduction of the sentence</w:t>
      </w:r>
      <w:r w:rsidR="008F500C">
        <w:t>,</w:t>
      </w:r>
      <w:r w:rsidR="00EA1665">
        <w:t xml:space="preserve"> from a term of 75 years to life to a term of </w:t>
      </w:r>
      <w:r w:rsidR="00920F11">
        <w:t>50</w:t>
      </w:r>
      <w:r w:rsidR="00EA1665">
        <w:t xml:space="preserve"> </w:t>
      </w:r>
      <w:r w:rsidR="00920F11">
        <w:t>years</w:t>
      </w:r>
      <w:r w:rsidR="00EA1665">
        <w:t xml:space="preserve"> </w:t>
      </w:r>
      <w:r w:rsidR="00920F11">
        <w:t>to</w:t>
      </w:r>
      <w:r w:rsidR="00EA1665">
        <w:t xml:space="preserve"> </w:t>
      </w:r>
      <w:r w:rsidR="00920F11">
        <w:t>life result</w:t>
      </w:r>
      <w:r w:rsidR="00437734">
        <w:t>ing</w:t>
      </w:r>
      <w:r w:rsidR="00920F11">
        <w:t xml:space="preserve"> from </w:t>
      </w:r>
      <w:r w:rsidR="00437734">
        <w:t xml:space="preserve">a dismissal of </w:t>
      </w:r>
      <w:r w:rsidR="00920F11">
        <w:t>the firearm enhancement</w:t>
      </w:r>
      <w:r w:rsidR="008F500C">
        <w:t>,</w:t>
      </w:r>
      <w:r w:rsidR="00920F11">
        <w:t xml:space="preserve"> would endanger public safety</w:t>
      </w:r>
      <w:r w:rsidR="00F479EE">
        <w:t>.</w:t>
      </w:r>
      <w:r w:rsidR="00945983">
        <w:t xml:space="preserve">  We express no view on how the trial court should exercise its discretion on remand.</w:t>
      </w:r>
    </w:p>
    <w:p w:rsidR="007E312C" w:rsidP="00682F9C" w14:paraId="187935B1" w14:textId="7D0D7FB8">
      <w:pPr>
        <w:ind w:firstLine="720"/>
      </w:pPr>
    </w:p>
    <w:p w:rsidR="007E312C" w:rsidP="00682F9C" w14:paraId="09E9AD6F" w14:textId="64AF2AE7">
      <w:pPr>
        <w:ind w:firstLine="720"/>
      </w:pPr>
    </w:p>
    <w:p w:rsidR="007E312C" w:rsidP="00682F9C" w14:paraId="2F0DC6DF" w14:textId="3E932284">
      <w:pPr>
        <w:ind w:firstLine="720"/>
      </w:pPr>
    </w:p>
    <w:p w:rsidR="007E312C" w:rsidP="00682F9C" w14:paraId="2DA00310" w14:textId="6EA23FDF">
      <w:pPr>
        <w:ind w:firstLine="720"/>
      </w:pPr>
    </w:p>
    <w:p w:rsidR="007E312C" w:rsidP="00682F9C" w14:paraId="61793DA7" w14:textId="033F2263">
      <w:pPr>
        <w:ind w:firstLine="720"/>
      </w:pPr>
    </w:p>
    <w:p w:rsidR="007E312C" w:rsidP="00682F9C" w14:paraId="2816E6F7" w14:textId="11A751A6">
      <w:pPr>
        <w:ind w:firstLine="720"/>
      </w:pPr>
    </w:p>
    <w:p w:rsidR="007E312C" w:rsidP="00682F9C" w14:paraId="5AF41576" w14:textId="60E826A2">
      <w:pPr>
        <w:ind w:firstLine="720"/>
      </w:pPr>
    </w:p>
    <w:p w:rsidR="007E312C" w:rsidP="00682F9C" w14:paraId="451EFBBA" w14:textId="50ABF778">
      <w:pPr>
        <w:ind w:firstLine="720"/>
      </w:pPr>
    </w:p>
    <w:p w:rsidR="007E312C" w:rsidP="00682F9C" w14:paraId="70419BD2" w14:textId="2003B057">
      <w:pPr>
        <w:ind w:firstLine="720"/>
      </w:pPr>
    </w:p>
    <w:p w:rsidR="007E312C" w:rsidP="00682F9C" w14:paraId="4890C68E" w14:textId="751E2454">
      <w:pPr>
        <w:ind w:firstLine="720"/>
      </w:pPr>
    </w:p>
    <w:p w:rsidR="007E312C" w:rsidP="00682F9C" w14:paraId="20649631" w14:textId="4DE28A06">
      <w:pPr>
        <w:ind w:firstLine="720"/>
      </w:pPr>
    </w:p>
    <w:p w:rsidR="007E312C" w:rsidP="00682F9C" w14:paraId="06D5F92D" w14:textId="59C4E386">
      <w:pPr>
        <w:ind w:firstLine="720"/>
      </w:pPr>
    </w:p>
    <w:p w:rsidR="007E312C" w:rsidP="00682F9C" w14:paraId="71598403" w14:textId="77777777">
      <w:pPr>
        <w:ind w:firstLine="720"/>
      </w:pPr>
    </w:p>
    <w:p w:rsidR="00F92F9D" w:rsidP="00F92F9D" w14:paraId="54C836F6" w14:textId="4296B5D4">
      <w:pPr>
        <w:jc w:val="center"/>
      </w:pPr>
      <w:r>
        <w:t>DISPOSITION</w:t>
      </w:r>
    </w:p>
    <w:p w:rsidR="008940DE" w:rsidP="004E529A" w14:paraId="6B2C7A31" w14:textId="1C2ABC40">
      <w:r>
        <w:tab/>
        <w:t xml:space="preserve">The sentence is vacated, and this matter is remanded for </w:t>
      </w:r>
      <w:r w:rsidR="00810831">
        <w:t xml:space="preserve">the trial court to conduct </w:t>
      </w:r>
      <w:r>
        <w:t xml:space="preserve">a resentencing </w:t>
      </w:r>
      <w:r w:rsidR="00810831">
        <w:t xml:space="preserve">proceeding </w:t>
      </w:r>
      <w:r>
        <w:t>consistent with this opinion.</w:t>
      </w:r>
    </w:p>
    <w:p w:rsidR="007E312C" w:rsidP="00BD39C5" w14:paraId="7E25CCDF" w14:textId="77777777"/>
    <w:p w:rsidR="005374A4" w:rsidP="008940DE" w14:paraId="51FAD0B1" w14:textId="77777777">
      <w:pPr>
        <w:keepNext/>
        <w:spacing w:line="240" w:lineRule="auto"/>
        <w:jc w:val="right"/>
        <w:rPr>
          <w:u w:val="single"/>
        </w:rPr>
      </w:pPr>
    </w:p>
    <w:p w:rsidR="008940DE" w:rsidP="008940DE" w14:paraId="1B0176FC" w14:textId="09C47CF7">
      <w:pPr>
        <w:keepNext/>
        <w:spacing w:line="240" w:lineRule="auto"/>
        <w:jc w:val="right"/>
      </w:pPr>
      <w:r>
        <w:t>IRION, Acting P. J.</w:t>
      </w:r>
    </w:p>
    <w:p w:rsidR="008940DE" w:rsidP="008940DE" w14:paraId="1EFD1742" w14:textId="6E72015C">
      <w:pPr>
        <w:keepNext/>
        <w:tabs>
          <w:tab w:val="right" w:pos="3600"/>
        </w:tabs>
        <w:spacing w:line="240" w:lineRule="auto"/>
      </w:pPr>
    </w:p>
    <w:p w:rsidR="008940DE" w:rsidP="008940DE" w14:paraId="26AB2414" w14:textId="59C2D016">
      <w:pPr>
        <w:keepNext/>
        <w:tabs>
          <w:tab w:val="right" w:pos="3600"/>
        </w:tabs>
        <w:spacing w:line="240" w:lineRule="auto"/>
      </w:pPr>
      <w:r>
        <w:t>WE CONCUR:</w:t>
      </w:r>
    </w:p>
    <w:p w:rsidR="005374A4" w:rsidP="008940DE" w14:paraId="0CE366CF" w14:textId="77777777">
      <w:pPr>
        <w:keepNext/>
        <w:tabs>
          <w:tab w:val="right" w:pos="3600"/>
        </w:tabs>
        <w:spacing w:line="240" w:lineRule="auto"/>
        <w:rPr>
          <w:u w:val="single"/>
        </w:rPr>
      </w:pPr>
    </w:p>
    <w:p w:rsidR="007E312C" w:rsidP="005374A4" w14:paraId="0545845B" w14:textId="544521FC">
      <w:pPr>
        <w:keepNext/>
        <w:tabs>
          <w:tab w:val="right" w:pos="3600"/>
        </w:tabs>
        <w:spacing w:line="240" w:lineRule="auto"/>
        <w:jc w:val="both"/>
      </w:pPr>
      <w:r>
        <w:t>DO, J.</w:t>
      </w:r>
    </w:p>
    <w:p w:rsidR="005374A4" w:rsidP="008940DE" w14:paraId="14CF6E64" w14:textId="77777777">
      <w:pPr>
        <w:keepNext/>
        <w:tabs>
          <w:tab w:val="right" w:pos="3600"/>
        </w:tabs>
        <w:spacing w:line="240" w:lineRule="auto"/>
        <w:rPr>
          <w:u w:val="single"/>
        </w:rPr>
      </w:pPr>
    </w:p>
    <w:p w:rsidR="008940DE" w:rsidP="008940DE" w14:paraId="1696EB52" w14:textId="1D0B443A">
      <w:pPr>
        <w:keepNext/>
        <w:tabs>
          <w:tab w:val="right" w:pos="3600"/>
        </w:tabs>
        <w:spacing w:line="240" w:lineRule="auto"/>
      </w:pPr>
      <w:r>
        <w:t>KELETY, J.</w:t>
      </w:r>
    </w:p>
    <w:p w:rsidR="008940DE" w:rsidP="008940DE" w14:paraId="48BE8BA3" w14:textId="77777777"/>
    <w:sectPr w:rsidSect="0003284A">
      <w:footerReference w:type="default" r:id="rId6"/>
      <w:footerReference w:type="first" r:id="rId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03284A" w14:paraId="01CA9A4D"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284A" w14:paraId="548E2D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14:paraId="6CBD1C2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4521" w:rsidP="0003284A" w14:paraId="4C849A1C" w14:textId="77777777">
      <w:pPr>
        <w:spacing w:line="240" w:lineRule="auto"/>
      </w:pPr>
      <w:r>
        <w:separator/>
      </w:r>
    </w:p>
  </w:footnote>
  <w:footnote w:type="continuationSeparator" w:id="1">
    <w:p w:rsidR="00554521" w:rsidP="0003284A" w14:paraId="5A4DEE4F" w14:textId="77777777">
      <w:pPr>
        <w:spacing w:line="240" w:lineRule="auto"/>
      </w:pPr>
      <w:r>
        <w:continuationSeparator/>
      </w:r>
    </w:p>
  </w:footnote>
  <w:footnote w:type="continuationNotice" w:id="2">
    <w:p w:rsidR="00554521" w14:paraId="212A7645" w14:textId="77777777">
      <w:pPr>
        <w:spacing w:line="240" w:lineRule="auto"/>
      </w:pPr>
    </w:p>
  </w:footnote>
  <w:footnote w:id="3">
    <w:p w:rsidR="00063A35" w:rsidP="00BD39C5" w14:paraId="6BC95F6B" w14:textId="550071DE">
      <w:pPr>
        <w:pStyle w:val="FootnoteText"/>
        <w:spacing w:after="120"/>
      </w:pPr>
      <w:r>
        <w:rPr>
          <w:rStyle w:val="FootnoteReference"/>
        </w:rPr>
        <w:footnoteRef/>
      </w:r>
      <w:r>
        <w:t xml:space="preserve"> </w:t>
      </w:r>
      <w:r w:rsidR="008B2B81">
        <w:tab/>
      </w:r>
      <w:r w:rsidR="00F902A8">
        <w:t>(</w:t>
      </w:r>
      <w:r w:rsidRPr="00F902A8" w:rsidR="00F902A8">
        <w:rPr>
          <w:i/>
          <w:iCs/>
        </w:rPr>
        <w:t>People v. Lopez</w:t>
      </w:r>
      <w:r w:rsidRPr="00F902A8" w:rsidR="00F902A8">
        <w:t xml:space="preserve"> (Feb</w:t>
      </w:r>
      <w:r>
        <w:t>.</w:t>
      </w:r>
      <w:r w:rsidRPr="00F902A8" w:rsidR="00F902A8">
        <w:t xml:space="preserve"> 21, 2018, D072636) [nonpub. opn</w:t>
      </w:r>
      <w:r w:rsidR="00E90A3C">
        <w:t>.</w:t>
      </w:r>
      <w:r w:rsidRPr="00F902A8" w:rsidR="00F902A8">
        <w:t>]</w:t>
      </w:r>
      <w:r w:rsidR="00F902A8">
        <w:t xml:space="preserve">; </w:t>
      </w:r>
      <w:r w:rsidRPr="00F902A8" w:rsidR="00F902A8">
        <w:rPr>
          <w:i/>
          <w:iCs/>
        </w:rPr>
        <w:t>People v. Gonzalez</w:t>
      </w:r>
      <w:r w:rsidRPr="00F902A8" w:rsidR="00F902A8">
        <w:t xml:space="preserve"> (May 1, 2019, D074726)</w:t>
      </w:r>
      <w:r w:rsidRPr="00DA5CCB" w:rsidR="00DA5CCB">
        <w:t xml:space="preserve"> </w:t>
      </w:r>
      <w:r w:rsidRPr="00F902A8" w:rsidR="00DA5CCB">
        <w:t>[nonpub. opn</w:t>
      </w:r>
      <w:r w:rsidR="00E90A3C">
        <w:t>.</w:t>
      </w:r>
      <w:r w:rsidRPr="00F902A8" w:rsidR="00DA5CCB">
        <w:t>]</w:t>
      </w:r>
      <w:r w:rsidR="00BF695C">
        <w:t>.)</w:t>
      </w:r>
      <w:r w:rsidR="005E692B">
        <w:t xml:space="preserve"> </w:t>
      </w:r>
      <w:r w:rsidR="005D3F0D">
        <w:t xml:space="preserve"> </w:t>
      </w:r>
      <w:r w:rsidR="005E692B">
        <w:t xml:space="preserve">On </w:t>
      </w:r>
      <w:r w:rsidR="008B2B81">
        <w:t>October 9, 2023</w:t>
      </w:r>
      <w:r w:rsidR="005E692B">
        <w:t>, we granted Gonzalez’s request to take judicial notice of our prior opinions.</w:t>
      </w:r>
      <w:r w:rsidR="008B2B81">
        <w:t xml:space="preserve"> </w:t>
      </w:r>
    </w:p>
  </w:footnote>
  <w:footnote w:id="4">
    <w:p w:rsidR="00665B66" w:rsidP="00665B66" w14:paraId="51BFB145" w14:textId="77777777">
      <w:pPr>
        <w:pStyle w:val="FootnoteText"/>
      </w:pPr>
      <w:r>
        <w:rPr>
          <w:rStyle w:val="FootnoteReference"/>
        </w:rPr>
        <w:footnoteRef/>
      </w:r>
      <w:r>
        <w:t xml:space="preserve"> </w:t>
      </w:r>
      <w:r>
        <w:tab/>
        <w:t>All subsequent statutory references are to the Penal Code unless otherwise noted.</w:t>
      </w:r>
    </w:p>
  </w:footnote>
  <w:footnote w:id="5">
    <w:p w:rsidR="000B5D3C" w:rsidP="007432B9" w14:paraId="4CC06067" w14:textId="0329870A">
      <w:pPr>
        <w:pStyle w:val="FootnoteText"/>
        <w:keepLines w:val="0"/>
      </w:pPr>
      <w:r>
        <w:rPr>
          <w:rStyle w:val="FootnoteReference"/>
        </w:rPr>
        <w:footnoteRef/>
      </w:r>
      <w:r>
        <w:t xml:space="preserve"> </w:t>
      </w:r>
      <w:r>
        <w:tab/>
        <w:t xml:space="preserve">The firearm enhancement in section </w:t>
      </w:r>
      <w:r w:rsidRPr="000B5D3C">
        <w:t>12022.53</w:t>
      </w:r>
      <w:r>
        <w:t>, subdivision (d), provides, “</w:t>
      </w:r>
      <w:r w:rsidRPr="000B5D3C">
        <w:t xml:space="preserve">Notwithstanding any other law, </w:t>
      </w:r>
      <w:r w:rsidRPr="001235AC">
        <w:t>a</w:t>
      </w:r>
      <w:r w:rsidRPr="000B5D3C">
        <w:t xml:space="preserve"> person who, in the commission of a felony specified in subdivision (a), Section 246, or subdivision (c) or (d) of Section 26100, personally and intentionally discharges a firearm and proximately causes great bodily injury, as defined in Section 12022.7, or death, to </w:t>
      </w:r>
      <w:r w:rsidRPr="001235AC">
        <w:t>a</w:t>
      </w:r>
      <w:r w:rsidRPr="000B5D3C">
        <w:t xml:space="preserve"> person other than an accomplice, shall be punished by an additional and consecutive term of imprisonment in the state prison for 25 years to life.</w:t>
      </w:r>
      <w:r w:rsidR="00532EC7">
        <w:t>”</w:t>
      </w:r>
    </w:p>
  </w:footnote>
  <w:footnote w:id="6">
    <w:p w:rsidR="0099663B" w:rsidP="00BD39C5" w14:paraId="690BF436" w14:textId="0C523411">
      <w:pPr>
        <w:pStyle w:val="FootnoteText"/>
        <w:keepLines w:val="0"/>
        <w:spacing w:after="120"/>
      </w:pPr>
      <w:r>
        <w:rPr>
          <w:rStyle w:val="FootnoteReference"/>
        </w:rPr>
        <w:footnoteRef/>
      </w:r>
      <w:r w:rsidR="003A0CA6">
        <w:tab/>
      </w:r>
      <w:r w:rsidRPr="0099663B">
        <w:t>Gonzalez</w:t>
      </w:r>
      <w:r w:rsidR="0032728A">
        <w:t xml:space="preserve"> </w:t>
      </w:r>
      <w:r w:rsidRPr="0099663B">
        <w:t>also a</w:t>
      </w:r>
      <w:r w:rsidR="003A0CA6">
        <w:t xml:space="preserve">rgued that </w:t>
      </w:r>
      <w:r w:rsidRPr="0099663B">
        <w:t>the trial court violated his state and federal due process rights by imposing</w:t>
      </w:r>
      <w:r w:rsidR="0011114F">
        <w:t xml:space="preserve"> </w:t>
      </w:r>
      <w:r w:rsidRPr="0099663B">
        <w:t xml:space="preserve">certain fines and assessments </w:t>
      </w:r>
      <w:r w:rsidR="004836CF">
        <w:t xml:space="preserve">without considering his ability to pay.  </w:t>
      </w:r>
      <w:r w:rsidRPr="0099663B">
        <w:t>We decline</w:t>
      </w:r>
      <w:r w:rsidR="004836CF">
        <w:t>d</w:t>
      </w:r>
      <w:r w:rsidRPr="0099663B">
        <w:t xml:space="preserve"> to decide th</w:t>
      </w:r>
      <w:r w:rsidR="004836CF">
        <w:t xml:space="preserve">at </w:t>
      </w:r>
      <w:r w:rsidRPr="0099663B">
        <w:t>issue</w:t>
      </w:r>
      <w:r w:rsidR="003A0CA6">
        <w:t xml:space="preserve">, as Gonzalez </w:t>
      </w:r>
      <w:r w:rsidR="00EE4E26">
        <w:t xml:space="preserve">would be able to </w:t>
      </w:r>
      <w:r w:rsidR="003A0CA6">
        <w:t xml:space="preserve">raise it on </w:t>
      </w:r>
      <w:r w:rsidR="00E62A66">
        <w:t xml:space="preserve">remand. </w:t>
      </w:r>
      <w:r w:rsidR="00FF79F4">
        <w:t xml:space="preserve"> </w:t>
      </w:r>
      <w:r w:rsidR="00EA4BFC">
        <w:t>At the resentencing hearing, t</w:t>
      </w:r>
      <w:r w:rsidR="00FF79F4">
        <w:t>he trial court subsequently granted Gonzalez relief based on his inability to pay.</w:t>
      </w:r>
      <w:r w:rsidRPr="00FF79F4" w:rsidR="00FF79F4">
        <w:t xml:space="preserve"> </w:t>
      </w:r>
    </w:p>
  </w:footnote>
  <w:footnote w:id="7">
    <w:p w:rsidR="003A09A6" w:rsidP="003C4C13" w14:paraId="43130A64" w14:textId="5F8DA319">
      <w:pPr>
        <w:pStyle w:val="FootnoteText"/>
        <w:keepLines w:val="0"/>
      </w:pPr>
      <w:r>
        <w:rPr>
          <w:rStyle w:val="FootnoteReference"/>
        </w:rPr>
        <w:footnoteRef/>
      </w:r>
      <w:r w:rsidR="00173F21">
        <w:tab/>
      </w:r>
      <w:r w:rsidR="00F45819">
        <w:t xml:space="preserve">Case law has </w:t>
      </w:r>
      <w:r>
        <w:t>disagree</w:t>
      </w:r>
      <w:r w:rsidR="00F45819">
        <w:t>d</w:t>
      </w:r>
      <w:r>
        <w:t xml:space="preserve"> on </w:t>
      </w:r>
      <w:r w:rsidR="006A6212">
        <w:t>whether the presence of a mitigating circumstance creates a rebuttable presumption in favor of dismissal</w:t>
      </w:r>
      <w:r w:rsidRPr="003A09A6">
        <w:t xml:space="preserve">, and our Supreme Court </w:t>
      </w:r>
      <w:r w:rsidR="001006DC">
        <w:t xml:space="preserve">has </w:t>
      </w:r>
      <w:r w:rsidRPr="003A09A6">
        <w:t xml:space="preserve">granted review </w:t>
      </w:r>
      <w:r w:rsidR="006B40E1">
        <w:t xml:space="preserve">to resolve </w:t>
      </w:r>
      <w:r w:rsidRPr="003A09A6">
        <w:t>th</w:t>
      </w:r>
      <w:r w:rsidR="001006DC">
        <w:t>e</w:t>
      </w:r>
      <w:r w:rsidRPr="003A09A6">
        <w:t xml:space="preserve"> issue. </w:t>
      </w:r>
      <w:r w:rsidR="001006DC">
        <w:t xml:space="preserve"> </w:t>
      </w:r>
      <w:r w:rsidRPr="003A09A6">
        <w:t xml:space="preserve">(Compare </w:t>
      </w:r>
      <w:bookmarkStart w:id="4" w:name="dabmci_3e435101810b4ac580a24bb08bab6f36"/>
      <w:r w:rsidRPr="003A09A6">
        <w:rPr>
          <w:i/>
          <w:iCs/>
        </w:rPr>
        <w:t>People v. Walker</w:t>
      </w:r>
      <w:r w:rsidRPr="003A09A6">
        <w:t xml:space="preserve"> (2022) 86 Cal.App.5th 386, 398</w:t>
      </w:r>
      <w:r w:rsidR="00644BA5">
        <w:t>–</w:t>
      </w:r>
      <w:r w:rsidRPr="003A09A6">
        <w:t>399</w:t>
      </w:r>
      <w:bookmarkEnd w:id="4"/>
      <w:r w:rsidRPr="003A09A6">
        <w:t xml:space="preserve">, review granted Mar. 22, 2023, S278309 [“the additional phrase ‘great weight’ </w:t>
      </w:r>
      <w:r w:rsidR="003B0055">
        <w:t>. . .</w:t>
      </w:r>
      <w:r w:rsidRPr="003A09A6">
        <w:t xml:space="preserve"> erects a presumption in favor of the dismissal of the enhancement”] with </w:t>
      </w:r>
      <w:bookmarkStart w:id="5" w:name="dabmci_7b889ea691ba474c9d198e2e688304b8"/>
      <w:r w:rsidRPr="003A09A6">
        <w:rPr>
          <w:i/>
          <w:iCs/>
        </w:rPr>
        <w:t>People v. Ortiz</w:t>
      </w:r>
      <w:r w:rsidRPr="003A09A6">
        <w:t xml:space="preserve"> (2023) 87 Cal.App.5th 1087, 1098</w:t>
      </w:r>
      <w:bookmarkEnd w:id="5"/>
      <w:r w:rsidRPr="003A09A6">
        <w:t xml:space="preserve">, review granted Apr. 12, 2023, S278894 [“we respectfully decline to follow </w:t>
      </w:r>
      <w:r w:rsidRPr="003A09A6">
        <w:rPr>
          <w:i/>
          <w:iCs/>
        </w:rPr>
        <w:t>Walker</w:t>
      </w:r>
      <w:r w:rsidRPr="003A09A6">
        <w:t xml:space="preserve"> in its more formalistic reading of the provision”].) </w:t>
      </w:r>
      <w:r w:rsidR="001006DC">
        <w:t xml:space="preserve"> </w:t>
      </w:r>
      <w:r w:rsidRPr="003A09A6">
        <w:t xml:space="preserve">We </w:t>
      </w:r>
      <w:r w:rsidR="001006DC">
        <w:t xml:space="preserve">need not, and </w:t>
      </w:r>
      <w:r w:rsidRPr="003A09A6">
        <w:t>do not</w:t>
      </w:r>
      <w:r w:rsidR="000B08E6">
        <w:t>,</w:t>
      </w:r>
      <w:r w:rsidRPr="003A09A6">
        <w:t xml:space="preserve"> address th</w:t>
      </w:r>
      <w:r w:rsidR="001006DC">
        <w:t>at</w:t>
      </w:r>
      <w:r w:rsidRPr="003A09A6">
        <w:t xml:space="preserve"> issue</w:t>
      </w:r>
      <w:r w:rsidR="000B08E6">
        <w:t xml:space="preserve"> to resolve this appeal</w:t>
      </w:r>
      <w:r w:rsidR="001006DC">
        <w:t>.</w:t>
      </w:r>
    </w:p>
  </w:footnote>
  <w:footnote w:id="8">
    <w:p w:rsidR="0090726F" w:rsidP="00BD39C5" w14:paraId="3CAF68FF" w14:textId="4BC307DA">
      <w:pPr>
        <w:pStyle w:val="FootnoteText"/>
        <w:keepLines w:val="0"/>
        <w:spacing w:after="120"/>
      </w:pPr>
      <w:r>
        <w:rPr>
          <w:rStyle w:val="FootnoteReference"/>
        </w:rPr>
        <w:footnoteRef/>
      </w:r>
      <w:r>
        <w:tab/>
        <w:t xml:space="preserve">Specifically, </w:t>
      </w:r>
      <w:r w:rsidR="00F26782">
        <w:t xml:space="preserve">Gonzalez relied on </w:t>
      </w:r>
      <w:r w:rsidR="00E97F35">
        <w:t xml:space="preserve">the following mitigating circumstances </w:t>
      </w:r>
      <w:r w:rsidR="00994A0B">
        <w:t xml:space="preserve">set forth in </w:t>
      </w:r>
      <w:r w:rsidR="00B83EDE">
        <w:t>the subpar</w:t>
      </w:r>
      <w:r w:rsidR="007C76E9">
        <w:t>agraphs</w:t>
      </w:r>
      <w:r w:rsidR="00B83EDE">
        <w:t xml:space="preserve"> of </w:t>
      </w:r>
      <w:r w:rsidR="00E97F35">
        <w:t>section 1385, su</w:t>
      </w:r>
      <w:r w:rsidR="00994A0B">
        <w:t>bdivision (</w:t>
      </w:r>
      <w:r w:rsidR="006C4A2B">
        <w:t>c</w:t>
      </w:r>
      <w:r w:rsidR="00B83EDE">
        <w:t>)</w:t>
      </w:r>
      <w:r w:rsidR="006C4A2B">
        <w:t xml:space="preserve">(2):  </w:t>
      </w:r>
      <w:r w:rsidR="00865798">
        <w:t>subpar</w:t>
      </w:r>
      <w:r w:rsidR="007C76E9">
        <w:t>agraph</w:t>
      </w:r>
      <w:r w:rsidR="00865798">
        <w:t xml:space="preserve"> </w:t>
      </w:r>
      <w:r w:rsidR="009F1B31">
        <w:t>(</w:t>
      </w:r>
      <w:r w:rsidR="00CE152C">
        <w:t>B</w:t>
      </w:r>
      <w:r w:rsidR="009F1B31">
        <w:t>)</w:t>
      </w:r>
      <w:r w:rsidR="00CE152C">
        <w:t xml:space="preserve"> [“</w:t>
      </w:r>
      <w:r w:rsidRPr="00CE152C" w:rsidR="00CE152C">
        <w:t xml:space="preserve">Multiple enhancements are alleged in a single case. </w:t>
      </w:r>
      <w:r w:rsidR="00CE152C">
        <w:t xml:space="preserve"> </w:t>
      </w:r>
      <w:r w:rsidRPr="00CE152C" w:rsidR="00CE152C">
        <w:t>In this instance, all enhancements beyond a single enhancement shall be dismissed</w:t>
      </w:r>
      <w:r w:rsidR="001540B5">
        <w:t>”</w:t>
      </w:r>
      <w:r w:rsidR="00CE152C">
        <w:t>]</w:t>
      </w:r>
      <w:r w:rsidR="001540B5">
        <w:t xml:space="preserve">; </w:t>
      </w:r>
      <w:r w:rsidR="00D4298D">
        <w:t>subparagraph</w:t>
      </w:r>
      <w:r w:rsidR="00865798">
        <w:t xml:space="preserve"> </w:t>
      </w:r>
      <w:r w:rsidR="002F631E">
        <w:t>(C) [“</w:t>
      </w:r>
      <w:r w:rsidRPr="002F631E" w:rsidR="002F631E">
        <w:t>The application of an enhancement could result in a sentence of over 20 years. In this instance, the enhancement shall be dismissed.</w:t>
      </w:r>
      <w:r w:rsidR="00865798">
        <w:t xml:space="preserve">]”; </w:t>
      </w:r>
      <w:r w:rsidR="00FC7BB6">
        <w:t>subparagraph (E) [“</w:t>
      </w:r>
      <w:r w:rsidRPr="00FC7BB6" w:rsidR="00FC7BB6">
        <w:t>The current offense is connected to prior victimization or childhood trauma</w:t>
      </w:r>
      <w:r w:rsidR="001540B5">
        <w:t xml:space="preserve">.”]; </w:t>
      </w:r>
      <w:r w:rsidR="00AB66B7">
        <w:t>subparagraph (G) [“</w:t>
      </w:r>
      <w:r w:rsidRPr="00AB66B7" w:rsidR="00AB66B7">
        <w:t>The defendant was a juvenile when they committed the current offense or any prior offenses, including criminal convictions and juvenile adjudications, that trigger the enhancement or enhancements applied in the current case.</w:t>
      </w:r>
      <w:r w:rsidR="00AB66B7">
        <w:t xml:space="preserve">”]; </w:t>
      </w:r>
      <w:r w:rsidR="001540B5">
        <w:t xml:space="preserve">and subparagraph </w:t>
      </w:r>
      <w:r w:rsidR="0063173A">
        <w:t>(H) [“</w:t>
      </w:r>
      <w:r w:rsidRPr="0063173A" w:rsidR="0063173A">
        <w:t>The enhancement is based on a prior conviction that is over five years old.</w:t>
      </w:r>
      <w:r w:rsidR="0063173A">
        <w:t>”].</w:t>
      </w:r>
      <w:r w:rsidR="00D4298D">
        <w:t xml:space="preserve"> </w:t>
      </w:r>
    </w:p>
  </w:footnote>
  <w:footnote w:id="9">
    <w:p w:rsidR="00E629B6" w:rsidP="00390CC0" w14:paraId="40446F9D" w14:textId="23B71E3F">
      <w:pPr>
        <w:pStyle w:val="FootnoteText"/>
        <w:keepLines w:val="0"/>
      </w:pPr>
      <w:r>
        <w:rPr>
          <w:rStyle w:val="FootnoteReference"/>
        </w:rPr>
        <w:footnoteRef/>
      </w:r>
      <w:r>
        <w:tab/>
        <w:t xml:space="preserve">In his </w:t>
      </w:r>
      <w:r w:rsidR="00AA00EB">
        <w:t xml:space="preserve">sentencing position memorandum, </w:t>
      </w:r>
      <w:r>
        <w:t>Gonzalez also sought an order striking his prior strike</w:t>
      </w:r>
      <w:r w:rsidR="00AA00EB">
        <w:t>.</w:t>
      </w:r>
      <w:r w:rsidR="00A3097E">
        <w:t xml:space="preserve">  The trial court declined to grant </w:t>
      </w:r>
      <w:r w:rsidR="002528EE">
        <w:t xml:space="preserve">such </w:t>
      </w:r>
      <w:r w:rsidR="00A3097E">
        <w:t xml:space="preserve">relief, and that ruling is not at issue in this appeal. </w:t>
      </w:r>
      <w:r w:rsidR="00C956DF">
        <w:t xml:space="preserve"> As a result of the trial court’s denial of the request to strike the prior strike, the term for the first degree murder conviction remain</w:t>
      </w:r>
      <w:r w:rsidR="002528EE">
        <w:t>s 5</w:t>
      </w:r>
      <w:r w:rsidR="00C956DF">
        <w:t xml:space="preserve">0 years to life.  </w:t>
      </w:r>
    </w:p>
  </w:footnote>
  <w:footnote w:id="10">
    <w:p w:rsidR="00534310" w14:paraId="346AFBD3" w14:textId="2BA47113">
      <w:pPr>
        <w:pStyle w:val="FootnoteText"/>
      </w:pPr>
      <w:r>
        <w:rPr>
          <w:rStyle w:val="FootnoteReference"/>
        </w:rPr>
        <w:footnoteRef/>
      </w:r>
      <w:r>
        <w:t xml:space="preserve"> </w:t>
      </w:r>
      <w:r w:rsidR="00665B66">
        <w:tab/>
      </w:r>
      <w:r w:rsidR="00AA7624">
        <w:t>Although the People did not make the distinction, w</w:t>
      </w:r>
      <w:r>
        <w:t>e note that</w:t>
      </w:r>
      <w:r w:rsidR="00FB6CC7">
        <w:t xml:space="preserve"> some of the mitigating circumstances appear to </w:t>
      </w:r>
      <w:r w:rsidR="004A1303">
        <w:t>be</w:t>
      </w:r>
      <w:r w:rsidR="00FB6CC7">
        <w:t xml:space="preserve"> applicable only to the </w:t>
      </w:r>
      <w:r w:rsidR="00665B66">
        <w:t>e</w:t>
      </w:r>
      <w:r>
        <w:t>nhancement for the prior serious felony</w:t>
      </w:r>
      <w:r w:rsidR="00CE3411">
        <w:t xml:space="preserve"> conviction</w:t>
      </w:r>
      <w:r w:rsidR="00830833">
        <w:t xml:space="preserve">. </w:t>
      </w:r>
      <w:r w:rsidR="00CE3411">
        <w:t xml:space="preserve"> </w:t>
      </w:r>
      <w:r w:rsidR="005E5B02">
        <w:t xml:space="preserve">(§ 1385, subds. (c)(2)(G) </w:t>
      </w:r>
      <w:r w:rsidR="00830833">
        <w:t>[“</w:t>
      </w:r>
      <w:r w:rsidRPr="00AB66B7" w:rsidR="00830833">
        <w:t>The defendant was a juvenile when they committed the current offense or any prior offenses, including criminal convictions and juvenile adjudications, that trigger the enhancement or enhancements applied in the current case.</w:t>
      </w:r>
      <w:r w:rsidR="00830833">
        <w:t xml:space="preserve">”]; </w:t>
      </w:r>
      <w:r w:rsidR="00AA7624">
        <w:t>(c)(2)(</w:t>
      </w:r>
      <w:r w:rsidR="00830833">
        <w:t>H) [“</w:t>
      </w:r>
      <w:r w:rsidRPr="0063173A" w:rsidR="00830833">
        <w:t>The enhancement is based on a prior conviction that is over five years old.</w:t>
      </w:r>
      <w:r w:rsidR="00830833">
        <w:t>”].</w:t>
      </w:r>
      <w:r w:rsidR="00034A0E">
        <w:t>)</w:t>
      </w:r>
    </w:p>
  </w:footnote>
  <w:footnote w:id="11">
    <w:p w:rsidR="008004A8" w:rsidP="008004A8" w14:paraId="07D99B9F" w14:textId="531DBC0F">
      <w:pPr>
        <w:pStyle w:val="FootnoteText"/>
      </w:pPr>
      <w:r>
        <w:rPr>
          <w:rStyle w:val="FootnoteReference"/>
        </w:rPr>
        <w:footnoteRef/>
      </w:r>
      <w:r>
        <w:t xml:space="preserve"> </w:t>
      </w:r>
      <w:r>
        <w:tab/>
      </w:r>
      <w:r w:rsidRPr="00213A37">
        <w:t xml:space="preserve">Even were we to determine </w:t>
      </w:r>
      <w:r w:rsidR="008F26A9">
        <w:t xml:space="preserve">that </w:t>
      </w:r>
      <w:r w:rsidRPr="00213A37">
        <w:t>forfeit</w:t>
      </w:r>
      <w:r>
        <w:t>ure occurred</w:t>
      </w:r>
      <w:r w:rsidRPr="00213A37">
        <w:t xml:space="preserve">, we would nevertheless exercise our discretion to consider </w:t>
      </w:r>
      <w:r>
        <w:t xml:space="preserve">Gonzalez’s appeal.  </w:t>
      </w:r>
      <w:r w:rsidRPr="00213A37">
        <w:t>(</w:t>
      </w:r>
      <w:bookmarkStart w:id="20" w:name="dabmci_cb309f5c6bab40e7a724f51d931e7203"/>
      <w:r w:rsidRPr="00213A37">
        <w:rPr>
          <w:i/>
          <w:iCs/>
        </w:rPr>
        <w:t>In re Sheena K.</w:t>
      </w:r>
      <w:r w:rsidRPr="00213A37">
        <w:t xml:space="preserve"> (2007) 40 Cal.4th 875, 887 fn. 7</w:t>
      </w:r>
      <w:bookmarkEnd w:id="20"/>
      <w:r w:rsidRPr="00213A37">
        <w:t xml:space="preserve"> [“an appellate court may review a forfeited claim—and ‘[w]hether or not it should do so is entrusted to its discretion.’ ”]; </w:t>
      </w:r>
      <w:bookmarkStart w:id="21" w:name="dabmci_dc5543263f5347ce816797e5dbf5dade"/>
      <w:r w:rsidRPr="00D23E75">
        <w:rPr>
          <w:i/>
          <w:iCs/>
        </w:rPr>
        <w:t>People v. Williams</w:t>
      </w:r>
      <w:r w:rsidRPr="00D23E75">
        <w:t xml:space="preserve"> (1998) 17 Cal.4th 148, 161</w:t>
      </w:r>
      <w:r w:rsidRPr="00213A37">
        <w:t xml:space="preserve"> fn. 6</w:t>
      </w:r>
      <w:bookmarkEnd w:id="21"/>
      <w:r w:rsidRPr="00213A37">
        <w:t xml:space="preserve"> [stating in the context of an error in sentencing that “[a]n appellate court is . . . not prohibited from reaching a question that has not been preserved for review by a party” and “[i]ndeed, it has the authority to do so.”].)</w:t>
      </w:r>
    </w:p>
  </w:footnote>
  <w:footnote w:id="12">
    <w:p w:rsidR="008239E2" w14:paraId="1AE69767" w14:textId="7D430106">
      <w:pPr>
        <w:pStyle w:val="FootnoteText"/>
      </w:pPr>
      <w:r>
        <w:rPr>
          <w:rStyle w:val="FootnoteReference"/>
        </w:rPr>
        <w:footnoteRef/>
      </w:r>
      <w:r>
        <w:tab/>
        <w:t xml:space="preserve">We do not suggest that a trial court is permitted to delegate its judgment regarding a defendant’s future threat to public safety to the Board of Parole </w:t>
      </w:r>
      <w:r w:rsidR="001C2E7E">
        <w:t>H</w:t>
      </w:r>
      <w:r>
        <w:t>earings.</w:t>
      </w:r>
    </w:p>
  </w:footnote>
  <w:footnote w:id="13">
    <w:p w:rsidR="00DC5BF5" w14:paraId="46D226A3" w14:textId="59EC5A74">
      <w:pPr>
        <w:pStyle w:val="FootnoteText"/>
      </w:pPr>
      <w:r>
        <w:rPr>
          <w:rStyle w:val="FootnoteReference"/>
        </w:rPr>
        <w:footnoteRef/>
      </w:r>
      <w:r>
        <w:t xml:space="preserve"> </w:t>
      </w:r>
      <w:r>
        <w:tab/>
        <w:t>Because we are reversing and remanding for resentencing, we need not, and do not, consider Gonzalez’s argument that the trial court should have considered imposing a lesser firearm enhancement.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6F"/>
    <w:rsid w:val="00004683"/>
    <w:rsid w:val="00010050"/>
    <w:rsid w:val="00010924"/>
    <w:rsid w:val="00012902"/>
    <w:rsid w:val="0001325D"/>
    <w:rsid w:val="00013CFA"/>
    <w:rsid w:val="00016259"/>
    <w:rsid w:val="00017538"/>
    <w:rsid w:val="00017B8F"/>
    <w:rsid w:val="00022C20"/>
    <w:rsid w:val="0002426D"/>
    <w:rsid w:val="00030BD0"/>
    <w:rsid w:val="0003284A"/>
    <w:rsid w:val="00032A81"/>
    <w:rsid w:val="00034A0E"/>
    <w:rsid w:val="00034F44"/>
    <w:rsid w:val="000372F5"/>
    <w:rsid w:val="00037471"/>
    <w:rsid w:val="00041384"/>
    <w:rsid w:val="00043184"/>
    <w:rsid w:val="00043993"/>
    <w:rsid w:val="00045397"/>
    <w:rsid w:val="00045D55"/>
    <w:rsid w:val="0004652F"/>
    <w:rsid w:val="0004674D"/>
    <w:rsid w:val="00047AA1"/>
    <w:rsid w:val="0005049D"/>
    <w:rsid w:val="00050EDD"/>
    <w:rsid w:val="000511AF"/>
    <w:rsid w:val="00052047"/>
    <w:rsid w:val="00052B90"/>
    <w:rsid w:val="000547DE"/>
    <w:rsid w:val="00054F82"/>
    <w:rsid w:val="00057E7C"/>
    <w:rsid w:val="000614E5"/>
    <w:rsid w:val="000616FC"/>
    <w:rsid w:val="00063A35"/>
    <w:rsid w:val="00064958"/>
    <w:rsid w:val="0007590D"/>
    <w:rsid w:val="0008188B"/>
    <w:rsid w:val="00085670"/>
    <w:rsid w:val="00090C45"/>
    <w:rsid w:val="000923A8"/>
    <w:rsid w:val="00094221"/>
    <w:rsid w:val="0009444F"/>
    <w:rsid w:val="00096619"/>
    <w:rsid w:val="000970B6"/>
    <w:rsid w:val="00097685"/>
    <w:rsid w:val="000A1264"/>
    <w:rsid w:val="000A4941"/>
    <w:rsid w:val="000B08E6"/>
    <w:rsid w:val="000B1FED"/>
    <w:rsid w:val="000B5D3C"/>
    <w:rsid w:val="000C07BC"/>
    <w:rsid w:val="000C27DC"/>
    <w:rsid w:val="000C2AF8"/>
    <w:rsid w:val="000C34F0"/>
    <w:rsid w:val="000C6402"/>
    <w:rsid w:val="000D0591"/>
    <w:rsid w:val="000D0922"/>
    <w:rsid w:val="000D4360"/>
    <w:rsid w:val="000D44F9"/>
    <w:rsid w:val="000D4F22"/>
    <w:rsid w:val="000D5434"/>
    <w:rsid w:val="000D5AA7"/>
    <w:rsid w:val="000D668F"/>
    <w:rsid w:val="000E0558"/>
    <w:rsid w:val="000E1110"/>
    <w:rsid w:val="000E249C"/>
    <w:rsid w:val="000E3193"/>
    <w:rsid w:val="000E58EC"/>
    <w:rsid w:val="000F38C7"/>
    <w:rsid w:val="000F51B7"/>
    <w:rsid w:val="001006DC"/>
    <w:rsid w:val="00101F4D"/>
    <w:rsid w:val="00105B16"/>
    <w:rsid w:val="00107A01"/>
    <w:rsid w:val="001103C3"/>
    <w:rsid w:val="0011114F"/>
    <w:rsid w:val="00113EC9"/>
    <w:rsid w:val="001155DB"/>
    <w:rsid w:val="00116A42"/>
    <w:rsid w:val="00117CFB"/>
    <w:rsid w:val="001235AC"/>
    <w:rsid w:val="00123DB9"/>
    <w:rsid w:val="00125110"/>
    <w:rsid w:val="00125161"/>
    <w:rsid w:val="001275E7"/>
    <w:rsid w:val="0013024E"/>
    <w:rsid w:val="00131A8F"/>
    <w:rsid w:val="001367FF"/>
    <w:rsid w:val="001370E1"/>
    <w:rsid w:val="00137A38"/>
    <w:rsid w:val="001406E1"/>
    <w:rsid w:val="00142198"/>
    <w:rsid w:val="00143478"/>
    <w:rsid w:val="00150896"/>
    <w:rsid w:val="001540B5"/>
    <w:rsid w:val="001545B7"/>
    <w:rsid w:val="00156FD6"/>
    <w:rsid w:val="00161E6E"/>
    <w:rsid w:val="001625AB"/>
    <w:rsid w:val="00165996"/>
    <w:rsid w:val="00165F84"/>
    <w:rsid w:val="001719F4"/>
    <w:rsid w:val="00172210"/>
    <w:rsid w:val="00172275"/>
    <w:rsid w:val="001733C4"/>
    <w:rsid w:val="00173A71"/>
    <w:rsid w:val="00173F21"/>
    <w:rsid w:val="00183CD0"/>
    <w:rsid w:val="001852D7"/>
    <w:rsid w:val="0018599F"/>
    <w:rsid w:val="00186D8E"/>
    <w:rsid w:val="001871E6"/>
    <w:rsid w:val="00195E0B"/>
    <w:rsid w:val="00196A04"/>
    <w:rsid w:val="001A1DC7"/>
    <w:rsid w:val="001A2D01"/>
    <w:rsid w:val="001A6779"/>
    <w:rsid w:val="001B0066"/>
    <w:rsid w:val="001B17F9"/>
    <w:rsid w:val="001B47AC"/>
    <w:rsid w:val="001B6B69"/>
    <w:rsid w:val="001B7CB3"/>
    <w:rsid w:val="001C010C"/>
    <w:rsid w:val="001C1F15"/>
    <w:rsid w:val="001C2E7E"/>
    <w:rsid w:val="001C48DB"/>
    <w:rsid w:val="001C60AD"/>
    <w:rsid w:val="001D1F75"/>
    <w:rsid w:val="001D1FD5"/>
    <w:rsid w:val="001D5A12"/>
    <w:rsid w:val="001E0857"/>
    <w:rsid w:val="001E19FB"/>
    <w:rsid w:val="001E32C8"/>
    <w:rsid w:val="001E63E6"/>
    <w:rsid w:val="001F3947"/>
    <w:rsid w:val="001F4144"/>
    <w:rsid w:val="001F4E24"/>
    <w:rsid w:val="001F6A26"/>
    <w:rsid w:val="002001EB"/>
    <w:rsid w:val="00200576"/>
    <w:rsid w:val="00203BBC"/>
    <w:rsid w:val="00205137"/>
    <w:rsid w:val="00205653"/>
    <w:rsid w:val="00206A28"/>
    <w:rsid w:val="00210E5F"/>
    <w:rsid w:val="0021210F"/>
    <w:rsid w:val="00212BAD"/>
    <w:rsid w:val="00212F25"/>
    <w:rsid w:val="00213A37"/>
    <w:rsid w:val="00215575"/>
    <w:rsid w:val="0021781F"/>
    <w:rsid w:val="002205DC"/>
    <w:rsid w:val="0022136C"/>
    <w:rsid w:val="00222F43"/>
    <w:rsid w:val="00224211"/>
    <w:rsid w:val="00225DD8"/>
    <w:rsid w:val="002276AF"/>
    <w:rsid w:val="0023316A"/>
    <w:rsid w:val="00240AEB"/>
    <w:rsid w:val="002436BB"/>
    <w:rsid w:val="00244C6A"/>
    <w:rsid w:val="00247667"/>
    <w:rsid w:val="00250FD5"/>
    <w:rsid w:val="002528EE"/>
    <w:rsid w:val="00252AC3"/>
    <w:rsid w:val="0025366D"/>
    <w:rsid w:val="002606BE"/>
    <w:rsid w:val="00262BEA"/>
    <w:rsid w:val="00264B86"/>
    <w:rsid w:val="00270F2E"/>
    <w:rsid w:val="002729ED"/>
    <w:rsid w:val="002731EB"/>
    <w:rsid w:val="00275D95"/>
    <w:rsid w:val="00275E03"/>
    <w:rsid w:val="00280ED8"/>
    <w:rsid w:val="00283375"/>
    <w:rsid w:val="00286BF4"/>
    <w:rsid w:val="00291208"/>
    <w:rsid w:val="00294D21"/>
    <w:rsid w:val="00295FEF"/>
    <w:rsid w:val="002A48AC"/>
    <w:rsid w:val="002A64EF"/>
    <w:rsid w:val="002A68EF"/>
    <w:rsid w:val="002B30E2"/>
    <w:rsid w:val="002B3FA7"/>
    <w:rsid w:val="002B7BC2"/>
    <w:rsid w:val="002B7C6B"/>
    <w:rsid w:val="002B7E3C"/>
    <w:rsid w:val="002C2D08"/>
    <w:rsid w:val="002C3613"/>
    <w:rsid w:val="002D0F5F"/>
    <w:rsid w:val="002D1889"/>
    <w:rsid w:val="002D2AC2"/>
    <w:rsid w:val="002D2D65"/>
    <w:rsid w:val="002D4C65"/>
    <w:rsid w:val="002D7968"/>
    <w:rsid w:val="002E03CE"/>
    <w:rsid w:val="002F4129"/>
    <w:rsid w:val="002F631E"/>
    <w:rsid w:val="003003CD"/>
    <w:rsid w:val="003035BB"/>
    <w:rsid w:val="003041D3"/>
    <w:rsid w:val="003047E7"/>
    <w:rsid w:val="0031074B"/>
    <w:rsid w:val="00311CA9"/>
    <w:rsid w:val="00316B24"/>
    <w:rsid w:val="003253E1"/>
    <w:rsid w:val="0032728A"/>
    <w:rsid w:val="0033516D"/>
    <w:rsid w:val="00335893"/>
    <w:rsid w:val="0033706D"/>
    <w:rsid w:val="003417E4"/>
    <w:rsid w:val="00341E9C"/>
    <w:rsid w:val="003439EF"/>
    <w:rsid w:val="00346B08"/>
    <w:rsid w:val="003508E1"/>
    <w:rsid w:val="00350E8E"/>
    <w:rsid w:val="003514A5"/>
    <w:rsid w:val="003567B8"/>
    <w:rsid w:val="00356DCC"/>
    <w:rsid w:val="003605FF"/>
    <w:rsid w:val="00365744"/>
    <w:rsid w:val="00373472"/>
    <w:rsid w:val="00375314"/>
    <w:rsid w:val="003778D6"/>
    <w:rsid w:val="0038034A"/>
    <w:rsid w:val="003848D0"/>
    <w:rsid w:val="00386C62"/>
    <w:rsid w:val="00386D89"/>
    <w:rsid w:val="00390CC0"/>
    <w:rsid w:val="0039442C"/>
    <w:rsid w:val="003946A7"/>
    <w:rsid w:val="003A09A6"/>
    <w:rsid w:val="003A0CA6"/>
    <w:rsid w:val="003A129C"/>
    <w:rsid w:val="003A48B8"/>
    <w:rsid w:val="003B0055"/>
    <w:rsid w:val="003B4EC7"/>
    <w:rsid w:val="003B542E"/>
    <w:rsid w:val="003B6BE4"/>
    <w:rsid w:val="003B738B"/>
    <w:rsid w:val="003C4C13"/>
    <w:rsid w:val="003D2180"/>
    <w:rsid w:val="003D5622"/>
    <w:rsid w:val="003D6739"/>
    <w:rsid w:val="003D6CCC"/>
    <w:rsid w:val="003E13B8"/>
    <w:rsid w:val="003E151A"/>
    <w:rsid w:val="003E3443"/>
    <w:rsid w:val="003E3785"/>
    <w:rsid w:val="003E7642"/>
    <w:rsid w:val="003E7DE6"/>
    <w:rsid w:val="003F0672"/>
    <w:rsid w:val="003F4BF5"/>
    <w:rsid w:val="003F6869"/>
    <w:rsid w:val="00400AE5"/>
    <w:rsid w:val="0040499F"/>
    <w:rsid w:val="004070E0"/>
    <w:rsid w:val="00407A6E"/>
    <w:rsid w:val="0041065D"/>
    <w:rsid w:val="00411697"/>
    <w:rsid w:val="00411D4E"/>
    <w:rsid w:val="00417669"/>
    <w:rsid w:val="00417E35"/>
    <w:rsid w:val="0042146A"/>
    <w:rsid w:val="00426D66"/>
    <w:rsid w:val="00427573"/>
    <w:rsid w:val="004309DC"/>
    <w:rsid w:val="0043342F"/>
    <w:rsid w:val="00434BA0"/>
    <w:rsid w:val="00434D97"/>
    <w:rsid w:val="00435D61"/>
    <w:rsid w:val="00435DD1"/>
    <w:rsid w:val="00437734"/>
    <w:rsid w:val="0044099C"/>
    <w:rsid w:val="004423D0"/>
    <w:rsid w:val="00444727"/>
    <w:rsid w:val="00447CA2"/>
    <w:rsid w:val="0045011E"/>
    <w:rsid w:val="00450B93"/>
    <w:rsid w:val="0045142D"/>
    <w:rsid w:val="00451EDB"/>
    <w:rsid w:val="00452BA0"/>
    <w:rsid w:val="00453C48"/>
    <w:rsid w:val="00456595"/>
    <w:rsid w:val="0045780A"/>
    <w:rsid w:val="00457A32"/>
    <w:rsid w:val="00464F17"/>
    <w:rsid w:val="00470DF9"/>
    <w:rsid w:val="0047325F"/>
    <w:rsid w:val="00473EC5"/>
    <w:rsid w:val="00476A14"/>
    <w:rsid w:val="004819DE"/>
    <w:rsid w:val="00482F60"/>
    <w:rsid w:val="004836CF"/>
    <w:rsid w:val="0048670B"/>
    <w:rsid w:val="0048688C"/>
    <w:rsid w:val="00493F55"/>
    <w:rsid w:val="00494F44"/>
    <w:rsid w:val="004A1303"/>
    <w:rsid w:val="004A56FC"/>
    <w:rsid w:val="004A7695"/>
    <w:rsid w:val="004B25A1"/>
    <w:rsid w:val="004B4B82"/>
    <w:rsid w:val="004B62B1"/>
    <w:rsid w:val="004B6BFC"/>
    <w:rsid w:val="004C1EC6"/>
    <w:rsid w:val="004C6E7C"/>
    <w:rsid w:val="004D117F"/>
    <w:rsid w:val="004D2165"/>
    <w:rsid w:val="004D43C2"/>
    <w:rsid w:val="004D4702"/>
    <w:rsid w:val="004D5A23"/>
    <w:rsid w:val="004D7585"/>
    <w:rsid w:val="004E0922"/>
    <w:rsid w:val="004E13E6"/>
    <w:rsid w:val="004E25ED"/>
    <w:rsid w:val="004E529A"/>
    <w:rsid w:val="004E5651"/>
    <w:rsid w:val="004F2741"/>
    <w:rsid w:val="004F5936"/>
    <w:rsid w:val="004F70B3"/>
    <w:rsid w:val="00502AAE"/>
    <w:rsid w:val="00506D49"/>
    <w:rsid w:val="0050711E"/>
    <w:rsid w:val="0051035F"/>
    <w:rsid w:val="00513117"/>
    <w:rsid w:val="00514113"/>
    <w:rsid w:val="005152FA"/>
    <w:rsid w:val="00522A2C"/>
    <w:rsid w:val="005261BC"/>
    <w:rsid w:val="005304EB"/>
    <w:rsid w:val="00532670"/>
    <w:rsid w:val="00532EC7"/>
    <w:rsid w:val="00533170"/>
    <w:rsid w:val="00534310"/>
    <w:rsid w:val="005360A0"/>
    <w:rsid w:val="005374A4"/>
    <w:rsid w:val="005379C6"/>
    <w:rsid w:val="00540AFD"/>
    <w:rsid w:val="00547263"/>
    <w:rsid w:val="00553697"/>
    <w:rsid w:val="00554521"/>
    <w:rsid w:val="005571D3"/>
    <w:rsid w:val="005576B2"/>
    <w:rsid w:val="005621E4"/>
    <w:rsid w:val="00562711"/>
    <w:rsid w:val="00565B6F"/>
    <w:rsid w:val="00567E7F"/>
    <w:rsid w:val="0057008B"/>
    <w:rsid w:val="00571089"/>
    <w:rsid w:val="005748E5"/>
    <w:rsid w:val="00575CB9"/>
    <w:rsid w:val="00581676"/>
    <w:rsid w:val="00581A6D"/>
    <w:rsid w:val="0058262F"/>
    <w:rsid w:val="00583536"/>
    <w:rsid w:val="00583680"/>
    <w:rsid w:val="00584760"/>
    <w:rsid w:val="00586780"/>
    <w:rsid w:val="00587FE1"/>
    <w:rsid w:val="00593230"/>
    <w:rsid w:val="005A0D5F"/>
    <w:rsid w:val="005A107D"/>
    <w:rsid w:val="005A293C"/>
    <w:rsid w:val="005A3B3C"/>
    <w:rsid w:val="005A4A3D"/>
    <w:rsid w:val="005A6EE1"/>
    <w:rsid w:val="005A741C"/>
    <w:rsid w:val="005B009B"/>
    <w:rsid w:val="005B02E9"/>
    <w:rsid w:val="005B054A"/>
    <w:rsid w:val="005B305D"/>
    <w:rsid w:val="005B56E9"/>
    <w:rsid w:val="005C1AB2"/>
    <w:rsid w:val="005C697D"/>
    <w:rsid w:val="005C7AD5"/>
    <w:rsid w:val="005D2342"/>
    <w:rsid w:val="005D3F0D"/>
    <w:rsid w:val="005D6674"/>
    <w:rsid w:val="005D7445"/>
    <w:rsid w:val="005D7FC7"/>
    <w:rsid w:val="005E059B"/>
    <w:rsid w:val="005E5B02"/>
    <w:rsid w:val="005E6114"/>
    <w:rsid w:val="005E692B"/>
    <w:rsid w:val="005F0339"/>
    <w:rsid w:val="005F0CA7"/>
    <w:rsid w:val="005F0FFF"/>
    <w:rsid w:val="005F2225"/>
    <w:rsid w:val="005F2432"/>
    <w:rsid w:val="005F391B"/>
    <w:rsid w:val="005F3A7F"/>
    <w:rsid w:val="00601A8E"/>
    <w:rsid w:val="00606449"/>
    <w:rsid w:val="0061002B"/>
    <w:rsid w:val="00613C78"/>
    <w:rsid w:val="00614EA3"/>
    <w:rsid w:val="00616AE9"/>
    <w:rsid w:val="00617B5B"/>
    <w:rsid w:val="00617C25"/>
    <w:rsid w:val="00620160"/>
    <w:rsid w:val="0062239E"/>
    <w:rsid w:val="0062241F"/>
    <w:rsid w:val="00623588"/>
    <w:rsid w:val="0062641E"/>
    <w:rsid w:val="00627CF8"/>
    <w:rsid w:val="0063173A"/>
    <w:rsid w:val="00641DC1"/>
    <w:rsid w:val="006421BC"/>
    <w:rsid w:val="00643E31"/>
    <w:rsid w:val="00644BA5"/>
    <w:rsid w:val="00645617"/>
    <w:rsid w:val="006478DD"/>
    <w:rsid w:val="00654DFF"/>
    <w:rsid w:val="0065640F"/>
    <w:rsid w:val="00660358"/>
    <w:rsid w:val="00661B06"/>
    <w:rsid w:val="00662ACC"/>
    <w:rsid w:val="00664F17"/>
    <w:rsid w:val="00665B66"/>
    <w:rsid w:val="00665FBB"/>
    <w:rsid w:val="00667A29"/>
    <w:rsid w:val="00667AEC"/>
    <w:rsid w:val="00671736"/>
    <w:rsid w:val="00672A8D"/>
    <w:rsid w:val="00673F93"/>
    <w:rsid w:val="006766EB"/>
    <w:rsid w:val="006779B2"/>
    <w:rsid w:val="00677B05"/>
    <w:rsid w:val="00680F37"/>
    <w:rsid w:val="006812E9"/>
    <w:rsid w:val="00681621"/>
    <w:rsid w:val="00682F9C"/>
    <w:rsid w:val="00691259"/>
    <w:rsid w:val="0069289B"/>
    <w:rsid w:val="006971EA"/>
    <w:rsid w:val="006A164E"/>
    <w:rsid w:val="006A1F18"/>
    <w:rsid w:val="006A41AB"/>
    <w:rsid w:val="006A6212"/>
    <w:rsid w:val="006A77CE"/>
    <w:rsid w:val="006B0A18"/>
    <w:rsid w:val="006B2EFF"/>
    <w:rsid w:val="006B40E1"/>
    <w:rsid w:val="006B4179"/>
    <w:rsid w:val="006B49D5"/>
    <w:rsid w:val="006B6FDB"/>
    <w:rsid w:val="006B759C"/>
    <w:rsid w:val="006C26BF"/>
    <w:rsid w:val="006C4A2B"/>
    <w:rsid w:val="006C60A1"/>
    <w:rsid w:val="006C73CB"/>
    <w:rsid w:val="006D3A6C"/>
    <w:rsid w:val="006D6236"/>
    <w:rsid w:val="006D6BA4"/>
    <w:rsid w:val="006E1B75"/>
    <w:rsid w:val="006E2534"/>
    <w:rsid w:val="006E3158"/>
    <w:rsid w:val="006E6038"/>
    <w:rsid w:val="006F4055"/>
    <w:rsid w:val="006F415B"/>
    <w:rsid w:val="006F43B0"/>
    <w:rsid w:val="006F4782"/>
    <w:rsid w:val="006F5A3D"/>
    <w:rsid w:val="0070097E"/>
    <w:rsid w:val="00701EE9"/>
    <w:rsid w:val="0070338A"/>
    <w:rsid w:val="00706234"/>
    <w:rsid w:val="00706D5E"/>
    <w:rsid w:val="007105B0"/>
    <w:rsid w:val="00716982"/>
    <w:rsid w:val="00720C64"/>
    <w:rsid w:val="007212AE"/>
    <w:rsid w:val="007214A6"/>
    <w:rsid w:val="00721815"/>
    <w:rsid w:val="00724B8D"/>
    <w:rsid w:val="00730333"/>
    <w:rsid w:val="00730432"/>
    <w:rsid w:val="00731604"/>
    <w:rsid w:val="00731A05"/>
    <w:rsid w:val="007329B5"/>
    <w:rsid w:val="00732D02"/>
    <w:rsid w:val="00733511"/>
    <w:rsid w:val="00735FE8"/>
    <w:rsid w:val="0073633E"/>
    <w:rsid w:val="00736B14"/>
    <w:rsid w:val="0073773A"/>
    <w:rsid w:val="007377A5"/>
    <w:rsid w:val="00737EE9"/>
    <w:rsid w:val="007420F1"/>
    <w:rsid w:val="00742952"/>
    <w:rsid w:val="007432B9"/>
    <w:rsid w:val="00745CEE"/>
    <w:rsid w:val="007479BA"/>
    <w:rsid w:val="0075522A"/>
    <w:rsid w:val="00755421"/>
    <w:rsid w:val="00755B3E"/>
    <w:rsid w:val="00760024"/>
    <w:rsid w:val="00760B62"/>
    <w:rsid w:val="00760FCD"/>
    <w:rsid w:val="0076185B"/>
    <w:rsid w:val="00767A81"/>
    <w:rsid w:val="007734B5"/>
    <w:rsid w:val="00773DE6"/>
    <w:rsid w:val="00774C0A"/>
    <w:rsid w:val="00774E20"/>
    <w:rsid w:val="007763FA"/>
    <w:rsid w:val="00782D01"/>
    <w:rsid w:val="00783F71"/>
    <w:rsid w:val="007926E9"/>
    <w:rsid w:val="00792BB6"/>
    <w:rsid w:val="00792EB1"/>
    <w:rsid w:val="0079492F"/>
    <w:rsid w:val="00794A29"/>
    <w:rsid w:val="0079776C"/>
    <w:rsid w:val="007A101D"/>
    <w:rsid w:val="007A1917"/>
    <w:rsid w:val="007A331A"/>
    <w:rsid w:val="007A4CEA"/>
    <w:rsid w:val="007A54AF"/>
    <w:rsid w:val="007A7B7A"/>
    <w:rsid w:val="007B0AAA"/>
    <w:rsid w:val="007B13C3"/>
    <w:rsid w:val="007B3D57"/>
    <w:rsid w:val="007B5A8D"/>
    <w:rsid w:val="007B7560"/>
    <w:rsid w:val="007C3A61"/>
    <w:rsid w:val="007C76E9"/>
    <w:rsid w:val="007D38EF"/>
    <w:rsid w:val="007D5EBB"/>
    <w:rsid w:val="007E208D"/>
    <w:rsid w:val="007E312C"/>
    <w:rsid w:val="007E3B2D"/>
    <w:rsid w:val="007E4CE3"/>
    <w:rsid w:val="007F0BB9"/>
    <w:rsid w:val="007F64D8"/>
    <w:rsid w:val="008004A8"/>
    <w:rsid w:val="0080120B"/>
    <w:rsid w:val="00802AB8"/>
    <w:rsid w:val="00804104"/>
    <w:rsid w:val="00805E2D"/>
    <w:rsid w:val="00810831"/>
    <w:rsid w:val="00812061"/>
    <w:rsid w:val="00812F68"/>
    <w:rsid w:val="00812FE1"/>
    <w:rsid w:val="00813B60"/>
    <w:rsid w:val="00814718"/>
    <w:rsid w:val="00817AB6"/>
    <w:rsid w:val="0082009B"/>
    <w:rsid w:val="0082218D"/>
    <w:rsid w:val="008239E2"/>
    <w:rsid w:val="00823F9B"/>
    <w:rsid w:val="00825A66"/>
    <w:rsid w:val="0082688E"/>
    <w:rsid w:val="00830833"/>
    <w:rsid w:val="00831CA4"/>
    <w:rsid w:val="00832B49"/>
    <w:rsid w:val="00833901"/>
    <w:rsid w:val="00834AB8"/>
    <w:rsid w:val="00846123"/>
    <w:rsid w:val="00850019"/>
    <w:rsid w:val="008516C6"/>
    <w:rsid w:val="00855284"/>
    <w:rsid w:val="008559E5"/>
    <w:rsid w:val="00856716"/>
    <w:rsid w:val="00860D17"/>
    <w:rsid w:val="008613E0"/>
    <w:rsid w:val="00861EE0"/>
    <w:rsid w:val="00862D9F"/>
    <w:rsid w:val="0086329C"/>
    <w:rsid w:val="00865798"/>
    <w:rsid w:val="00870486"/>
    <w:rsid w:val="008715CD"/>
    <w:rsid w:val="00872F93"/>
    <w:rsid w:val="00874C34"/>
    <w:rsid w:val="00876476"/>
    <w:rsid w:val="00877EBB"/>
    <w:rsid w:val="00885436"/>
    <w:rsid w:val="00890B4E"/>
    <w:rsid w:val="00891DEF"/>
    <w:rsid w:val="00893218"/>
    <w:rsid w:val="00893239"/>
    <w:rsid w:val="008940DE"/>
    <w:rsid w:val="00895A9E"/>
    <w:rsid w:val="008A016B"/>
    <w:rsid w:val="008A129B"/>
    <w:rsid w:val="008B0565"/>
    <w:rsid w:val="008B0672"/>
    <w:rsid w:val="008B2B81"/>
    <w:rsid w:val="008B6011"/>
    <w:rsid w:val="008B73CD"/>
    <w:rsid w:val="008C09C9"/>
    <w:rsid w:val="008C0AFA"/>
    <w:rsid w:val="008C1BB7"/>
    <w:rsid w:val="008C6B85"/>
    <w:rsid w:val="008C710C"/>
    <w:rsid w:val="008C7855"/>
    <w:rsid w:val="008D0D6D"/>
    <w:rsid w:val="008D1253"/>
    <w:rsid w:val="008D31C0"/>
    <w:rsid w:val="008D5C7E"/>
    <w:rsid w:val="008D64F2"/>
    <w:rsid w:val="008E7AA3"/>
    <w:rsid w:val="008F20CE"/>
    <w:rsid w:val="008F26A9"/>
    <w:rsid w:val="008F445C"/>
    <w:rsid w:val="008F500C"/>
    <w:rsid w:val="008F7E3A"/>
    <w:rsid w:val="008F7E68"/>
    <w:rsid w:val="0090034A"/>
    <w:rsid w:val="00905176"/>
    <w:rsid w:val="0090726F"/>
    <w:rsid w:val="009124A6"/>
    <w:rsid w:val="00920E42"/>
    <w:rsid w:val="00920F11"/>
    <w:rsid w:val="00922029"/>
    <w:rsid w:val="009236F3"/>
    <w:rsid w:val="00924C5C"/>
    <w:rsid w:val="009255AD"/>
    <w:rsid w:val="00926B51"/>
    <w:rsid w:val="00927427"/>
    <w:rsid w:val="009279D9"/>
    <w:rsid w:val="00931036"/>
    <w:rsid w:val="009353D9"/>
    <w:rsid w:val="009353F8"/>
    <w:rsid w:val="00936D0E"/>
    <w:rsid w:val="00940E63"/>
    <w:rsid w:val="00940EED"/>
    <w:rsid w:val="00942C7B"/>
    <w:rsid w:val="00943259"/>
    <w:rsid w:val="00945983"/>
    <w:rsid w:val="00946631"/>
    <w:rsid w:val="0094737D"/>
    <w:rsid w:val="00951698"/>
    <w:rsid w:val="00952812"/>
    <w:rsid w:val="00956C8B"/>
    <w:rsid w:val="00960CD6"/>
    <w:rsid w:val="00960E24"/>
    <w:rsid w:val="00961ABB"/>
    <w:rsid w:val="00962048"/>
    <w:rsid w:val="009814B2"/>
    <w:rsid w:val="00982ED1"/>
    <w:rsid w:val="00983953"/>
    <w:rsid w:val="00986CC0"/>
    <w:rsid w:val="009876A2"/>
    <w:rsid w:val="009924F1"/>
    <w:rsid w:val="00993A4E"/>
    <w:rsid w:val="00994A0B"/>
    <w:rsid w:val="0099556A"/>
    <w:rsid w:val="00996522"/>
    <w:rsid w:val="0099663B"/>
    <w:rsid w:val="009966A2"/>
    <w:rsid w:val="009978E3"/>
    <w:rsid w:val="009A1257"/>
    <w:rsid w:val="009A22DD"/>
    <w:rsid w:val="009A45BA"/>
    <w:rsid w:val="009A5692"/>
    <w:rsid w:val="009B22B1"/>
    <w:rsid w:val="009B366E"/>
    <w:rsid w:val="009C15B8"/>
    <w:rsid w:val="009C46B1"/>
    <w:rsid w:val="009C5DB7"/>
    <w:rsid w:val="009C659C"/>
    <w:rsid w:val="009C6BB0"/>
    <w:rsid w:val="009C727A"/>
    <w:rsid w:val="009D4D7F"/>
    <w:rsid w:val="009D6A79"/>
    <w:rsid w:val="009F03DD"/>
    <w:rsid w:val="009F1B31"/>
    <w:rsid w:val="009F4CC7"/>
    <w:rsid w:val="009F5091"/>
    <w:rsid w:val="009F59FC"/>
    <w:rsid w:val="00A04654"/>
    <w:rsid w:val="00A0616F"/>
    <w:rsid w:val="00A1007D"/>
    <w:rsid w:val="00A13808"/>
    <w:rsid w:val="00A15A0D"/>
    <w:rsid w:val="00A1685F"/>
    <w:rsid w:val="00A16C33"/>
    <w:rsid w:val="00A221C4"/>
    <w:rsid w:val="00A221D2"/>
    <w:rsid w:val="00A23946"/>
    <w:rsid w:val="00A2707D"/>
    <w:rsid w:val="00A2750F"/>
    <w:rsid w:val="00A3097E"/>
    <w:rsid w:val="00A3240B"/>
    <w:rsid w:val="00A33628"/>
    <w:rsid w:val="00A44854"/>
    <w:rsid w:val="00A44DD3"/>
    <w:rsid w:val="00A46CE4"/>
    <w:rsid w:val="00A507EE"/>
    <w:rsid w:val="00A53FAE"/>
    <w:rsid w:val="00A568CF"/>
    <w:rsid w:val="00A569FB"/>
    <w:rsid w:val="00A62108"/>
    <w:rsid w:val="00A62C6A"/>
    <w:rsid w:val="00A6416F"/>
    <w:rsid w:val="00A66770"/>
    <w:rsid w:val="00A669A8"/>
    <w:rsid w:val="00A67449"/>
    <w:rsid w:val="00A725CC"/>
    <w:rsid w:val="00A729F0"/>
    <w:rsid w:val="00A80AF9"/>
    <w:rsid w:val="00A84928"/>
    <w:rsid w:val="00A8589F"/>
    <w:rsid w:val="00A85975"/>
    <w:rsid w:val="00A86F0F"/>
    <w:rsid w:val="00A921FD"/>
    <w:rsid w:val="00A93F10"/>
    <w:rsid w:val="00A956D4"/>
    <w:rsid w:val="00A97FA6"/>
    <w:rsid w:val="00AA00EB"/>
    <w:rsid w:val="00AA09CA"/>
    <w:rsid w:val="00AA1CD1"/>
    <w:rsid w:val="00AA2AEE"/>
    <w:rsid w:val="00AA383A"/>
    <w:rsid w:val="00AA4CC9"/>
    <w:rsid w:val="00AA5EC3"/>
    <w:rsid w:val="00AA7624"/>
    <w:rsid w:val="00AB4656"/>
    <w:rsid w:val="00AB4EDB"/>
    <w:rsid w:val="00AB53DE"/>
    <w:rsid w:val="00AB66B7"/>
    <w:rsid w:val="00AC321C"/>
    <w:rsid w:val="00AC439C"/>
    <w:rsid w:val="00AC4492"/>
    <w:rsid w:val="00AC4CB7"/>
    <w:rsid w:val="00AC5ED8"/>
    <w:rsid w:val="00AD1FBE"/>
    <w:rsid w:val="00AE26C0"/>
    <w:rsid w:val="00AE4A12"/>
    <w:rsid w:val="00AE565A"/>
    <w:rsid w:val="00AE5796"/>
    <w:rsid w:val="00AE5804"/>
    <w:rsid w:val="00AE5992"/>
    <w:rsid w:val="00AF0435"/>
    <w:rsid w:val="00AF061A"/>
    <w:rsid w:val="00AF344A"/>
    <w:rsid w:val="00AF60E6"/>
    <w:rsid w:val="00AF72BD"/>
    <w:rsid w:val="00B00B1F"/>
    <w:rsid w:val="00B03EC7"/>
    <w:rsid w:val="00B11080"/>
    <w:rsid w:val="00B1123A"/>
    <w:rsid w:val="00B136C4"/>
    <w:rsid w:val="00B14897"/>
    <w:rsid w:val="00B161A6"/>
    <w:rsid w:val="00B1747F"/>
    <w:rsid w:val="00B257A4"/>
    <w:rsid w:val="00B26F59"/>
    <w:rsid w:val="00B302F4"/>
    <w:rsid w:val="00B305CE"/>
    <w:rsid w:val="00B3206E"/>
    <w:rsid w:val="00B34385"/>
    <w:rsid w:val="00B35D41"/>
    <w:rsid w:val="00B37461"/>
    <w:rsid w:val="00B400C6"/>
    <w:rsid w:val="00B403C8"/>
    <w:rsid w:val="00B4635D"/>
    <w:rsid w:val="00B4637B"/>
    <w:rsid w:val="00B46B9D"/>
    <w:rsid w:val="00B504DD"/>
    <w:rsid w:val="00B55F3D"/>
    <w:rsid w:val="00B56A29"/>
    <w:rsid w:val="00B57DBB"/>
    <w:rsid w:val="00B60FDB"/>
    <w:rsid w:val="00B6136C"/>
    <w:rsid w:val="00B6329B"/>
    <w:rsid w:val="00B64A1C"/>
    <w:rsid w:val="00B7278B"/>
    <w:rsid w:val="00B75A5B"/>
    <w:rsid w:val="00B766DD"/>
    <w:rsid w:val="00B76758"/>
    <w:rsid w:val="00B774FF"/>
    <w:rsid w:val="00B8056C"/>
    <w:rsid w:val="00B80F7A"/>
    <w:rsid w:val="00B828A5"/>
    <w:rsid w:val="00B83EDE"/>
    <w:rsid w:val="00B84822"/>
    <w:rsid w:val="00B84B00"/>
    <w:rsid w:val="00B855C4"/>
    <w:rsid w:val="00B856E8"/>
    <w:rsid w:val="00B87DF3"/>
    <w:rsid w:val="00B90438"/>
    <w:rsid w:val="00B90934"/>
    <w:rsid w:val="00B9117E"/>
    <w:rsid w:val="00B92012"/>
    <w:rsid w:val="00B943C2"/>
    <w:rsid w:val="00B9508E"/>
    <w:rsid w:val="00B95A99"/>
    <w:rsid w:val="00B962BF"/>
    <w:rsid w:val="00BA0454"/>
    <w:rsid w:val="00BA0A71"/>
    <w:rsid w:val="00BA0D56"/>
    <w:rsid w:val="00BA3322"/>
    <w:rsid w:val="00BA5747"/>
    <w:rsid w:val="00BA5777"/>
    <w:rsid w:val="00BA7701"/>
    <w:rsid w:val="00BB118A"/>
    <w:rsid w:val="00BB29E8"/>
    <w:rsid w:val="00BB424B"/>
    <w:rsid w:val="00BB7B67"/>
    <w:rsid w:val="00BC08B5"/>
    <w:rsid w:val="00BC431A"/>
    <w:rsid w:val="00BC4500"/>
    <w:rsid w:val="00BC6A3B"/>
    <w:rsid w:val="00BC7790"/>
    <w:rsid w:val="00BD057D"/>
    <w:rsid w:val="00BD1B6E"/>
    <w:rsid w:val="00BD2B6F"/>
    <w:rsid w:val="00BD39C5"/>
    <w:rsid w:val="00BD660C"/>
    <w:rsid w:val="00BD6E43"/>
    <w:rsid w:val="00BE0EBC"/>
    <w:rsid w:val="00BE10E1"/>
    <w:rsid w:val="00BE270A"/>
    <w:rsid w:val="00BE78B4"/>
    <w:rsid w:val="00BF0785"/>
    <w:rsid w:val="00BF2576"/>
    <w:rsid w:val="00BF2896"/>
    <w:rsid w:val="00BF3E4C"/>
    <w:rsid w:val="00BF4D59"/>
    <w:rsid w:val="00BF5038"/>
    <w:rsid w:val="00BF5466"/>
    <w:rsid w:val="00BF695C"/>
    <w:rsid w:val="00BF7E4D"/>
    <w:rsid w:val="00C004F8"/>
    <w:rsid w:val="00C0272D"/>
    <w:rsid w:val="00C046CC"/>
    <w:rsid w:val="00C04A64"/>
    <w:rsid w:val="00C069B1"/>
    <w:rsid w:val="00C11123"/>
    <w:rsid w:val="00C11478"/>
    <w:rsid w:val="00C158B4"/>
    <w:rsid w:val="00C16D4E"/>
    <w:rsid w:val="00C24BEF"/>
    <w:rsid w:val="00C27547"/>
    <w:rsid w:val="00C332F0"/>
    <w:rsid w:val="00C33666"/>
    <w:rsid w:val="00C34C6A"/>
    <w:rsid w:val="00C363DC"/>
    <w:rsid w:val="00C52870"/>
    <w:rsid w:val="00C537A2"/>
    <w:rsid w:val="00C53E28"/>
    <w:rsid w:val="00C545AE"/>
    <w:rsid w:val="00C54A2D"/>
    <w:rsid w:val="00C56EA9"/>
    <w:rsid w:val="00C61073"/>
    <w:rsid w:val="00C6340E"/>
    <w:rsid w:val="00C65C8F"/>
    <w:rsid w:val="00C70EAD"/>
    <w:rsid w:val="00C71786"/>
    <w:rsid w:val="00C73A7B"/>
    <w:rsid w:val="00C747F0"/>
    <w:rsid w:val="00C77C1D"/>
    <w:rsid w:val="00C8221D"/>
    <w:rsid w:val="00C84905"/>
    <w:rsid w:val="00C84D34"/>
    <w:rsid w:val="00C9027D"/>
    <w:rsid w:val="00C93865"/>
    <w:rsid w:val="00C93A49"/>
    <w:rsid w:val="00C94E00"/>
    <w:rsid w:val="00C956DF"/>
    <w:rsid w:val="00CA072D"/>
    <w:rsid w:val="00CA248F"/>
    <w:rsid w:val="00CA2A09"/>
    <w:rsid w:val="00CA6123"/>
    <w:rsid w:val="00CA7C2B"/>
    <w:rsid w:val="00CB1227"/>
    <w:rsid w:val="00CB7272"/>
    <w:rsid w:val="00CC0F96"/>
    <w:rsid w:val="00CC4263"/>
    <w:rsid w:val="00CD3D10"/>
    <w:rsid w:val="00CD49E1"/>
    <w:rsid w:val="00CD7E52"/>
    <w:rsid w:val="00CE1076"/>
    <w:rsid w:val="00CE152C"/>
    <w:rsid w:val="00CE3411"/>
    <w:rsid w:val="00CE387F"/>
    <w:rsid w:val="00CE4B88"/>
    <w:rsid w:val="00CE6116"/>
    <w:rsid w:val="00CE630B"/>
    <w:rsid w:val="00CE6440"/>
    <w:rsid w:val="00CE6F18"/>
    <w:rsid w:val="00CF108D"/>
    <w:rsid w:val="00CF1612"/>
    <w:rsid w:val="00D003C1"/>
    <w:rsid w:val="00D00726"/>
    <w:rsid w:val="00D00DEF"/>
    <w:rsid w:val="00D1187D"/>
    <w:rsid w:val="00D126A5"/>
    <w:rsid w:val="00D12F76"/>
    <w:rsid w:val="00D133F5"/>
    <w:rsid w:val="00D1562C"/>
    <w:rsid w:val="00D15E51"/>
    <w:rsid w:val="00D17844"/>
    <w:rsid w:val="00D17FE0"/>
    <w:rsid w:val="00D23117"/>
    <w:rsid w:val="00D23E75"/>
    <w:rsid w:val="00D26DD7"/>
    <w:rsid w:val="00D31C80"/>
    <w:rsid w:val="00D32A79"/>
    <w:rsid w:val="00D3427C"/>
    <w:rsid w:val="00D37171"/>
    <w:rsid w:val="00D4171B"/>
    <w:rsid w:val="00D41F88"/>
    <w:rsid w:val="00D4298D"/>
    <w:rsid w:val="00D466D1"/>
    <w:rsid w:val="00D4747B"/>
    <w:rsid w:val="00D507E3"/>
    <w:rsid w:val="00D51B4F"/>
    <w:rsid w:val="00D5357B"/>
    <w:rsid w:val="00D603C9"/>
    <w:rsid w:val="00D60E0B"/>
    <w:rsid w:val="00D62315"/>
    <w:rsid w:val="00D63D56"/>
    <w:rsid w:val="00D67868"/>
    <w:rsid w:val="00D67C4A"/>
    <w:rsid w:val="00D72394"/>
    <w:rsid w:val="00D73F7F"/>
    <w:rsid w:val="00D74FBC"/>
    <w:rsid w:val="00D7612C"/>
    <w:rsid w:val="00D76FE0"/>
    <w:rsid w:val="00D82409"/>
    <w:rsid w:val="00D82881"/>
    <w:rsid w:val="00D8332E"/>
    <w:rsid w:val="00D8411A"/>
    <w:rsid w:val="00D8519C"/>
    <w:rsid w:val="00D85F6D"/>
    <w:rsid w:val="00D86693"/>
    <w:rsid w:val="00D8789D"/>
    <w:rsid w:val="00D87BFC"/>
    <w:rsid w:val="00D9001A"/>
    <w:rsid w:val="00D908CC"/>
    <w:rsid w:val="00D90D74"/>
    <w:rsid w:val="00D91D99"/>
    <w:rsid w:val="00D9371A"/>
    <w:rsid w:val="00D950A4"/>
    <w:rsid w:val="00DA21FB"/>
    <w:rsid w:val="00DA5CCB"/>
    <w:rsid w:val="00DB5222"/>
    <w:rsid w:val="00DB799C"/>
    <w:rsid w:val="00DC3943"/>
    <w:rsid w:val="00DC3A30"/>
    <w:rsid w:val="00DC44E6"/>
    <w:rsid w:val="00DC4CBB"/>
    <w:rsid w:val="00DC5BF5"/>
    <w:rsid w:val="00DD0777"/>
    <w:rsid w:val="00DD07D5"/>
    <w:rsid w:val="00DD0EE0"/>
    <w:rsid w:val="00DD1B6D"/>
    <w:rsid w:val="00DD3A81"/>
    <w:rsid w:val="00DD4E27"/>
    <w:rsid w:val="00DD6085"/>
    <w:rsid w:val="00DE296E"/>
    <w:rsid w:val="00DE4954"/>
    <w:rsid w:val="00DE5325"/>
    <w:rsid w:val="00DE62E4"/>
    <w:rsid w:val="00DF4730"/>
    <w:rsid w:val="00DF4935"/>
    <w:rsid w:val="00E002FF"/>
    <w:rsid w:val="00E004D5"/>
    <w:rsid w:val="00E029E1"/>
    <w:rsid w:val="00E03BA4"/>
    <w:rsid w:val="00E063D4"/>
    <w:rsid w:val="00E146C2"/>
    <w:rsid w:val="00E15F23"/>
    <w:rsid w:val="00E2106E"/>
    <w:rsid w:val="00E215EC"/>
    <w:rsid w:val="00E23645"/>
    <w:rsid w:val="00E253A7"/>
    <w:rsid w:val="00E266EE"/>
    <w:rsid w:val="00E3343F"/>
    <w:rsid w:val="00E44564"/>
    <w:rsid w:val="00E467EE"/>
    <w:rsid w:val="00E55154"/>
    <w:rsid w:val="00E559F9"/>
    <w:rsid w:val="00E56C45"/>
    <w:rsid w:val="00E57722"/>
    <w:rsid w:val="00E61850"/>
    <w:rsid w:val="00E629B6"/>
    <w:rsid w:val="00E62A66"/>
    <w:rsid w:val="00E62C74"/>
    <w:rsid w:val="00E6483B"/>
    <w:rsid w:val="00E6508A"/>
    <w:rsid w:val="00E65556"/>
    <w:rsid w:val="00E672BD"/>
    <w:rsid w:val="00E70E03"/>
    <w:rsid w:val="00E71FDE"/>
    <w:rsid w:val="00E726FC"/>
    <w:rsid w:val="00E738A7"/>
    <w:rsid w:val="00E747FB"/>
    <w:rsid w:val="00E75471"/>
    <w:rsid w:val="00E755D4"/>
    <w:rsid w:val="00E82ADB"/>
    <w:rsid w:val="00E9091C"/>
    <w:rsid w:val="00E90A3C"/>
    <w:rsid w:val="00E92B30"/>
    <w:rsid w:val="00E9321E"/>
    <w:rsid w:val="00E93619"/>
    <w:rsid w:val="00E96ABB"/>
    <w:rsid w:val="00E972F1"/>
    <w:rsid w:val="00E97418"/>
    <w:rsid w:val="00E97F35"/>
    <w:rsid w:val="00EA04E0"/>
    <w:rsid w:val="00EA1665"/>
    <w:rsid w:val="00EA3C6A"/>
    <w:rsid w:val="00EA4BFC"/>
    <w:rsid w:val="00EA7495"/>
    <w:rsid w:val="00EB1866"/>
    <w:rsid w:val="00EB6D33"/>
    <w:rsid w:val="00EC0C5A"/>
    <w:rsid w:val="00EC25F6"/>
    <w:rsid w:val="00EC2888"/>
    <w:rsid w:val="00ED16A9"/>
    <w:rsid w:val="00ED4487"/>
    <w:rsid w:val="00ED5346"/>
    <w:rsid w:val="00ED571F"/>
    <w:rsid w:val="00ED5B7F"/>
    <w:rsid w:val="00ED6433"/>
    <w:rsid w:val="00ED7A4C"/>
    <w:rsid w:val="00EE0184"/>
    <w:rsid w:val="00EE284D"/>
    <w:rsid w:val="00EE4E26"/>
    <w:rsid w:val="00EE6177"/>
    <w:rsid w:val="00EF1806"/>
    <w:rsid w:val="00EF2259"/>
    <w:rsid w:val="00EF4507"/>
    <w:rsid w:val="00EF4631"/>
    <w:rsid w:val="00EF7CC9"/>
    <w:rsid w:val="00EF7D7D"/>
    <w:rsid w:val="00F03322"/>
    <w:rsid w:val="00F07A10"/>
    <w:rsid w:val="00F10522"/>
    <w:rsid w:val="00F119B1"/>
    <w:rsid w:val="00F13C6C"/>
    <w:rsid w:val="00F1414F"/>
    <w:rsid w:val="00F15BFC"/>
    <w:rsid w:val="00F15C06"/>
    <w:rsid w:val="00F200C2"/>
    <w:rsid w:val="00F2410A"/>
    <w:rsid w:val="00F247BA"/>
    <w:rsid w:val="00F258B6"/>
    <w:rsid w:val="00F26782"/>
    <w:rsid w:val="00F27D31"/>
    <w:rsid w:val="00F32197"/>
    <w:rsid w:val="00F35061"/>
    <w:rsid w:val="00F35196"/>
    <w:rsid w:val="00F41109"/>
    <w:rsid w:val="00F4196A"/>
    <w:rsid w:val="00F4259E"/>
    <w:rsid w:val="00F42ED1"/>
    <w:rsid w:val="00F45819"/>
    <w:rsid w:val="00F46442"/>
    <w:rsid w:val="00F46D28"/>
    <w:rsid w:val="00F479EE"/>
    <w:rsid w:val="00F51EED"/>
    <w:rsid w:val="00F5287A"/>
    <w:rsid w:val="00F5488D"/>
    <w:rsid w:val="00F55A1A"/>
    <w:rsid w:val="00F56759"/>
    <w:rsid w:val="00F56F3B"/>
    <w:rsid w:val="00F62472"/>
    <w:rsid w:val="00F637EE"/>
    <w:rsid w:val="00F64C2D"/>
    <w:rsid w:val="00F6619B"/>
    <w:rsid w:val="00F66BAE"/>
    <w:rsid w:val="00F72135"/>
    <w:rsid w:val="00F73007"/>
    <w:rsid w:val="00F74404"/>
    <w:rsid w:val="00F74DB1"/>
    <w:rsid w:val="00F75C25"/>
    <w:rsid w:val="00F76438"/>
    <w:rsid w:val="00F7655C"/>
    <w:rsid w:val="00F81646"/>
    <w:rsid w:val="00F81CB0"/>
    <w:rsid w:val="00F85BCB"/>
    <w:rsid w:val="00F875B4"/>
    <w:rsid w:val="00F902A8"/>
    <w:rsid w:val="00F9181F"/>
    <w:rsid w:val="00F91BEA"/>
    <w:rsid w:val="00F91CDA"/>
    <w:rsid w:val="00F92F9D"/>
    <w:rsid w:val="00F9400C"/>
    <w:rsid w:val="00F94B75"/>
    <w:rsid w:val="00FA0138"/>
    <w:rsid w:val="00FA0E65"/>
    <w:rsid w:val="00FA0E75"/>
    <w:rsid w:val="00FB2481"/>
    <w:rsid w:val="00FB4D85"/>
    <w:rsid w:val="00FB6CC7"/>
    <w:rsid w:val="00FC2600"/>
    <w:rsid w:val="00FC3A49"/>
    <w:rsid w:val="00FC3BF9"/>
    <w:rsid w:val="00FC4558"/>
    <w:rsid w:val="00FC71BE"/>
    <w:rsid w:val="00FC7BB6"/>
    <w:rsid w:val="00FD17B9"/>
    <w:rsid w:val="00FD2E78"/>
    <w:rsid w:val="00FD55D2"/>
    <w:rsid w:val="00FE022F"/>
    <w:rsid w:val="00FE5D20"/>
    <w:rsid w:val="00FF0861"/>
    <w:rsid w:val="00FF476E"/>
    <w:rsid w:val="00FF71C0"/>
    <w:rsid w:val="00FF79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kern w:val="2"/>
        <w:sz w:val="26"/>
        <w:szCs w:val="24"/>
        <w:lang w:val="en-US" w:eastAsia="en-US" w:bidi="en-US"/>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BA"/>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FB4D85"/>
    <w:rPr>
      <w:position w:val="6"/>
      <w:vertAlign w:val="baseline"/>
    </w:rPr>
  </w:style>
  <w:style w:type="paragraph" w:styleId="FootnoteText">
    <w:name w:val="footnote text"/>
    <w:link w:val="FootnoteTextChar"/>
    <w:uiPriority w:val="99"/>
    <w:unhideWhenUsed/>
    <w:rsid w:val="00FB4D85"/>
    <w:pPr>
      <w:keepLines/>
      <w:spacing w:line="240" w:lineRule="auto"/>
    </w:pPr>
    <w:rPr>
      <w:szCs w:val="20"/>
    </w:rPr>
  </w:style>
  <w:style w:type="character" w:customStyle="1" w:styleId="FootnoteTextChar">
    <w:name w:val="Footnote Text Char"/>
    <w:basedOn w:val="DefaultParagraphFont"/>
    <w:link w:val="FootnoteText"/>
    <w:uiPriority w:val="99"/>
    <w:rsid w:val="00FB4D85"/>
    <w:rPr>
      <w:szCs w:val="20"/>
    </w:rPr>
  </w:style>
  <w:style w:type="paragraph" w:styleId="Revision">
    <w:name w:val="Revision"/>
    <w:hidden/>
    <w:uiPriority w:val="99"/>
    <w:semiHidden/>
    <w:rsid w:val="007F64D8"/>
    <w:pPr>
      <w:spacing w:line="240" w:lineRule="auto"/>
    </w:pPr>
  </w:style>
  <w:style w:type="character" w:styleId="CommentReference">
    <w:name w:val="annotation reference"/>
    <w:basedOn w:val="DefaultParagraphFont"/>
    <w:uiPriority w:val="99"/>
    <w:semiHidden/>
    <w:unhideWhenUsed/>
    <w:rsid w:val="00877EBB"/>
    <w:rPr>
      <w:sz w:val="16"/>
      <w:szCs w:val="16"/>
    </w:rPr>
  </w:style>
  <w:style w:type="paragraph" w:styleId="CommentText">
    <w:name w:val="annotation text"/>
    <w:basedOn w:val="Normal"/>
    <w:link w:val="CommentTextChar"/>
    <w:uiPriority w:val="99"/>
    <w:unhideWhenUsed/>
    <w:rsid w:val="00877EBB"/>
    <w:pPr>
      <w:spacing w:line="240" w:lineRule="auto"/>
    </w:pPr>
    <w:rPr>
      <w:sz w:val="20"/>
      <w:szCs w:val="20"/>
    </w:rPr>
  </w:style>
  <w:style w:type="character" w:customStyle="1" w:styleId="CommentTextChar">
    <w:name w:val="Comment Text Char"/>
    <w:basedOn w:val="DefaultParagraphFont"/>
    <w:link w:val="CommentText"/>
    <w:uiPriority w:val="99"/>
    <w:rsid w:val="00877EBB"/>
    <w:rPr>
      <w:sz w:val="20"/>
      <w:szCs w:val="20"/>
    </w:rPr>
  </w:style>
  <w:style w:type="paragraph" w:styleId="CommentSubject">
    <w:name w:val="annotation subject"/>
    <w:basedOn w:val="CommentText"/>
    <w:next w:val="CommentText"/>
    <w:link w:val="CommentSubjectChar"/>
    <w:uiPriority w:val="99"/>
    <w:semiHidden/>
    <w:unhideWhenUsed/>
    <w:rsid w:val="00877EBB"/>
    <w:rPr>
      <w:b/>
      <w:bCs/>
    </w:rPr>
  </w:style>
  <w:style w:type="character" w:customStyle="1" w:styleId="CommentSubjectChar">
    <w:name w:val="Comment Subject Char"/>
    <w:basedOn w:val="CommentTextChar"/>
    <w:link w:val="CommentSubject"/>
    <w:uiPriority w:val="99"/>
    <w:semiHidden/>
    <w:rsid w:val="00877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FEEC-DDC0-4DB8-A961-C8D0B973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4823</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2024-06-27T18:16:54Z</dcterms:created>
  <dcterms:modified xsi:type="dcterms:W3CDTF">2024-06-27T18:16:54Z</dcterms:modified>
</cp:coreProperties>
</file>