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152D27" w:rsidRPr="00E375B9" w:rsidP="00E375B9" w14:paraId="7551D453" w14:textId="2193F159">
      <w:pPr>
        <w:spacing w:line="240" w:lineRule="auto"/>
        <w:rPr>
          <w:sz w:val="20"/>
        </w:rPr>
      </w:pPr>
      <w:r w:rsidRPr="00E375B9">
        <w:rPr>
          <w:sz w:val="20"/>
        </w:rPr>
        <w:t>Filed 6/27/24</w:t>
      </w:r>
    </w:p>
    <w:p w:rsidR="005A4A3D" w:rsidP="00152D27" w14:paraId="6A866918" w14:textId="5F4B709B">
      <w:pPr>
        <w:spacing w:line="240" w:lineRule="auto"/>
        <w:jc w:val="center"/>
      </w:pPr>
      <w:r>
        <w:t>CERTIFIED FOR PUBLICATION</w:t>
      </w:r>
      <w:r w:rsidR="00140A6A">
        <w:t xml:space="preserve"> </w:t>
      </w:r>
    </w:p>
    <w:p w:rsidR="0063190D" w:rsidP="0063190D" w14:paraId="249BF950" w14:textId="77777777">
      <w:pPr>
        <w:spacing w:line="240" w:lineRule="auto"/>
      </w:pPr>
    </w:p>
    <w:p w:rsidR="0063190D" w:rsidP="0063190D" w14:paraId="4DD62F14" w14:textId="77777777">
      <w:pPr>
        <w:spacing w:line="240" w:lineRule="auto"/>
      </w:pPr>
    </w:p>
    <w:p w:rsidR="0063190D" w:rsidP="0063190D" w14:paraId="19F63D39" w14:textId="169783CF">
      <w:pPr>
        <w:spacing w:line="240" w:lineRule="auto"/>
        <w:jc w:val="center"/>
      </w:pPr>
      <w:r>
        <w:t>COURT OF APPEAL, FOURTH APPELLATE DISTRICT</w:t>
      </w:r>
    </w:p>
    <w:p w:rsidR="0063190D" w:rsidP="0063190D" w14:paraId="4E054602" w14:textId="77777777">
      <w:pPr>
        <w:spacing w:line="240" w:lineRule="auto"/>
        <w:jc w:val="center"/>
      </w:pPr>
    </w:p>
    <w:p w:rsidR="0063190D" w:rsidP="0063190D" w14:paraId="45D4D406" w14:textId="10D6D5C8">
      <w:pPr>
        <w:spacing w:line="240" w:lineRule="auto"/>
        <w:jc w:val="center"/>
      </w:pPr>
      <w:r>
        <w:t>DIVISION ONE</w:t>
      </w:r>
    </w:p>
    <w:p w:rsidR="0063190D" w:rsidP="0063190D" w14:paraId="0D172DE4" w14:textId="77777777">
      <w:pPr>
        <w:spacing w:line="240" w:lineRule="auto"/>
        <w:jc w:val="center"/>
      </w:pPr>
    </w:p>
    <w:p w:rsidR="0063190D" w:rsidP="0063190D" w14:paraId="668FBC3B" w14:textId="33350A76">
      <w:pPr>
        <w:spacing w:line="240" w:lineRule="auto"/>
        <w:jc w:val="center"/>
      </w:pPr>
      <w:r>
        <w:t>STATE OF CALIFORNIA</w:t>
      </w:r>
    </w:p>
    <w:p w:rsidR="0063190D" w:rsidP="0063190D" w14:paraId="4F0EE397" w14:textId="77777777">
      <w:pPr>
        <w:spacing w:line="240" w:lineRule="auto"/>
        <w:jc w:val="center"/>
      </w:pPr>
    </w:p>
    <w:p w:rsidR="0063190D" w:rsidP="0063190D" w14:paraId="2AD24FCB" w14:textId="77777777">
      <w:pPr>
        <w:spacing w:line="240" w:lineRule="auto"/>
        <w:jc w:val="center"/>
      </w:pPr>
    </w:p>
    <w:p w:rsidR="0063190D" w:rsidP="0063190D" w14:paraId="356ABF44" w14:textId="77777777">
      <w:pPr>
        <w:spacing w:line="240" w:lineRule="auto"/>
        <w:jc w:val="center"/>
      </w:pPr>
    </w:p>
    <w:tbl>
      <w:tblPr>
        <w:tblW w:w="9360" w:type="dxa"/>
        <w:tblLayout w:type="fixed"/>
        <w:tblLook w:val="0000"/>
      </w:tblPr>
      <w:tblGrid>
        <w:gridCol w:w="5040"/>
        <w:gridCol w:w="4320"/>
      </w:tblGrid>
      <w:tr w14:paraId="50E07127" w14:textId="77777777" w:rsidTr="0063190D">
        <w:tblPrEx>
          <w:tblW w:w="9360" w:type="dxa"/>
          <w:tblLayout w:type="fixed"/>
          <w:tblLook w:val="0000"/>
        </w:tblPrEx>
        <w:tc>
          <w:tcPr>
            <w:tcW w:w="5040" w:type="dxa"/>
            <w:tcBorders>
              <w:bottom w:val="single" w:sz="4" w:space="0" w:color="auto"/>
              <w:right w:val="single" w:sz="4" w:space="0" w:color="auto"/>
            </w:tcBorders>
            <w:shd w:val="clear" w:color="auto" w:fill="auto"/>
          </w:tcPr>
          <w:p w:rsidR="0063190D" w:rsidP="0063190D" w14:paraId="4823190A" w14:textId="54A3686A">
            <w:pPr>
              <w:spacing w:line="240" w:lineRule="auto"/>
            </w:pPr>
            <w:r>
              <w:t>TIMOTHY J. TROTTER,</w:t>
            </w:r>
            <w:r w:rsidR="00FD5EC4">
              <w:t xml:space="preserve"> </w:t>
            </w:r>
            <w:r w:rsidRPr="00FD5EC4" w:rsidR="00FD5EC4">
              <w:t>as Trustee, etc.,</w:t>
            </w:r>
          </w:p>
          <w:p w:rsidR="0063190D" w:rsidP="0063190D" w14:paraId="440D8F73" w14:textId="77777777">
            <w:pPr>
              <w:spacing w:line="240" w:lineRule="auto"/>
            </w:pPr>
          </w:p>
          <w:p w:rsidR="0063190D" w:rsidP="0063190D" w14:paraId="233F52E1" w14:textId="2FCA31A3">
            <w:pPr>
              <w:spacing w:line="240" w:lineRule="auto"/>
            </w:pPr>
            <w:r>
              <w:tab/>
              <w:t>Petitioner</w:t>
            </w:r>
            <w:r w:rsidR="001D49E9">
              <w:t xml:space="preserve"> and Appellant</w:t>
            </w:r>
            <w:r>
              <w:t>,</w:t>
            </w:r>
          </w:p>
          <w:p w:rsidR="0063190D" w:rsidP="0063190D" w14:paraId="7DBB5B1C" w14:textId="77777777">
            <w:pPr>
              <w:spacing w:line="240" w:lineRule="auto"/>
            </w:pPr>
          </w:p>
          <w:p w:rsidR="0063190D" w:rsidP="0063190D" w14:paraId="3EB30C3C" w14:textId="77777777">
            <w:pPr>
              <w:spacing w:line="240" w:lineRule="auto"/>
            </w:pPr>
            <w:r>
              <w:tab/>
              <w:t>v.</w:t>
            </w:r>
          </w:p>
          <w:p w:rsidR="0063190D" w:rsidP="0063190D" w14:paraId="0F65FAC5" w14:textId="77777777">
            <w:pPr>
              <w:spacing w:line="240" w:lineRule="auto"/>
            </w:pPr>
          </w:p>
          <w:p w:rsidR="0063190D" w:rsidP="0063190D" w14:paraId="7F666581" w14:textId="77777777">
            <w:pPr>
              <w:spacing w:line="240" w:lineRule="auto"/>
            </w:pPr>
            <w:r>
              <w:t>WENDY TROTTER VAN DYCK,</w:t>
            </w:r>
          </w:p>
          <w:p w:rsidR="0063190D" w:rsidP="0063190D" w14:paraId="3A351073" w14:textId="77777777">
            <w:pPr>
              <w:spacing w:line="240" w:lineRule="auto"/>
            </w:pPr>
          </w:p>
          <w:p w:rsidR="0063190D" w:rsidP="0063190D" w14:paraId="00BD0428" w14:textId="6082CEA3">
            <w:pPr>
              <w:spacing w:line="240" w:lineRule="auto"/>
            </w:pPr>
            <w:r>
              <w:tab/>
            </w:r>
            <w:r w:rsidR="00FD5EC4">
              <w:t xml:space="preserve">Objector and </w:t>
            </w:r>
            <w:r>
              <w:t>Respondent.</w:t>
            </w:r>
          </w:p>
          <w:p w:rsidR="0063190D" w:rsidP="0063190D" w14:paraId="5C1B284E" w14:textId="20C4CE2B">
            <w:pPr>
              <w:spacing w:line="240" w:lineRule="auto"/>
            </w:pPr>
          </w:p>
        </w:tc>
        <w:tc>
          <w:tcPr>
            <w:tcW w:w="4320" w:type="dxa"/>
            <w:tcBorders>
              <w:left w:val="single" w:sz="4" w:space="0" w:color="auto"/>
            </w:tcBorders>
            <w:shd w:val="clear" w:color="auto" w:fill="auto"/>
          </w:tcPr>
          <w:p w:rsidR="0063190D" w:rsidP="0063190D" w14:paraId="76A0CE19" w14:textId="77777777">
            <w:pPr>
              <w:tabs>
                <w:tab w:val="left" w:pos="144"/>
              </w:tabs>
              <w:spacing w:line="240" w:lineRule="auto"/>
            </w:pPr>
            <w:r>
              <w:t xml:space="preserve">  D081916</w:t>
            </w:r>
          </w:p>
          <w:p w:rsidR="0063190D" w:rsidP="0063190D" w14:paraId="7A240BBF" w14:textId="77777777">
            <w:pPr>
              <w:tabs>
                <w:tab w:val="left" w:pos="144"/>
              </w:tabs>
              <w:spacing w:line="240" w:lineRule="auto"/>
            </w:pPr>
          </w:p>
          <w:p w:rsidR="0063190D" w:rsidP="0063190D" w14:paraId="5A73A4C7" w14:textId="77777777">
            <w:pPr>
              <w:tabs>
                <w:tab w:val="left" w:pos="144"/>
              </w:tabs>
              <w:spacing w:line="240" w:lineRule="auto"/>
            </w:pPr>
          </w:p>
          <w:p w:rsidR="0063190D" w:rsidP="0063190D" w14:paraId="0FE04B31" w14:textId="77777777">
            <w:pPr>
              <w:tabs>
                <w:tab w:val="left" w:pos="144"/>
              </w:tabs>
              <w:spacing w:line="240" w:lineRule="auto"/>
            </w:pPr>
          </w:p>
          <w:p w:rsidR="0063190D" w:rsidP="0063190D" w14:paraId="2483C623" w14:textId="77777777">
            <w:pPr>
              <w:tabs>
                <w:tab w:val="left" w:pos="144"/>
              </w:tabs>
              <w:spacing w:line="240" w:lineRule="auto"/>
            </w:pPr>
            <w:r>
              <w:t xml:space="preserve">  (Super. Ct. No. 37-2022-00031695-PR-TR-CTL)</w:t>
            </w:r>
          </w:p>
          <w:p w:rsidR="0063190D" w:rsidP="0063190D" w14:paraId="18E629DB" w14:textId="2AB1488E">
            <w:pPr>
              <w:tabs>
                <w:tab w:val="left" w:pos="144"/>
              </w:tabs>
              <w:spacing w:line="240" w:lineRule="auto"/>
            </w:pPr>
          </w:p>
        </w:tc>
      </w:tr>
    </w:tbl>
    <w:p w:rsidR="0063190D" w:rsidP="0063190D" w14:paraId="1F4519DE" w14:textId="77777777">
      <w:pPr>
        <w:spacing w:line="240" w:lineRule="auto"/>
      </w:pPr>
    </w:p>
    <w:p w:rsidR="0063190D" w:rsidP="0063190D" w14:paraId="4BE6E9EB" w14:textId="74A8ADD1">
      <w:r>
        <w:tab/>
        <w:t>APPEAL from an order of the Superior Court of San Diego County, Julia C. Kelety, Judge.  Affirmed.</w:t>
      </w:r>
    </w:p>
    <w:p w:rsidR="00624E78" w:rsidP="0063190D" w14:paraId="77511652" w14:textId="77777777">
      <w:r>
        <w:tab/>
      </w:r>
      <w:r w:rsidR="00521677">
        <w:t xml:space="preserve">Yale &amp; Baumgarten and David W. Baumgarten for Appellant. </w:t>
      </w:r>
    </w:p>
    <w:p w:rsidR="00624E78" w:rsidP="0063190D" w14:paraId="5F5A0C26" w14:textId="652DE887">
      <w:r>
        <w:tab/>
        <w:t>The Inheritance Recovery Attorneys and Edward Terzian for Respondent.</w:t>
      </w:r>
    </w:p>
    <w:p w:rsidR="00E549C1" w:rsidP="0063190D" w14:paraId="2C77A4A2" w14:textId="1A8E1612">
      <w:r>
        <w:tab/>
        <w:t>Timothy J. Trotter</w:t>
      </w:r>
      <w:r w:rsidR="003E32D0">
        <w:t xml:space="preserve"> (Timothy)</w:t>
      </w:r>
      <w:r>
        <w:t xml:space="preserve">, successor trustee of the Trotter Family Revocable Trust (Trust), petitioned the </w:t>
      </w:r>
      <w:r w:rsidR="00D43F1F">
        <w:t xml:space="preserve">probate </w:t>
      </w:r>
      <w:r>
        <w:t>court seeking guidance</w:t>
      </w:r>
      <w:r w:rsidR="007317CE">
        <w:t xml:space="preserve"> about whether certain e</w:t>
      </w:r>
      <w:r w:rsidR="005D4756">
        <w:t>-</w:t>
      </w:r>
      <w:r w:rsidR="007317CE">
        <w:t>mails</w:t>
      </w:r>
      <w:r w:rsidR="003E32D0">
        <w:t xml:space="preserve"> from his mother, Mary Trotter (Mary),</w:t>
      </w:r>
      <w:r w:rsidR="007317CE">
        <w:t xml:space="preserve"> constituted a valid amendment to the Trust</w:t>
      </w:r>
      <w:r w:rsidR="003E32D0">
        <w:t>’s beneficiaries</w:t>
      </w:r>
      <w:r w:rsidR="007317CE">
        <w:t xml:space="preserve">.  </w:t>
      </w:r>
      <w:r w:rsidR="003E32D0">
        <w:t xml:space="preserve">The court found that Mary’s </w:t>
      </w:r>
      <w:r w:rsidR="0025098A">
        <w:t>writings</w:t>
      </w:r>
      <w:r w:rsidR="003E32D0">
        <w:t xml:space="preserve"> were insufficient to constitute an amendment to the Trust, and it ordered that the Trust be distributed to </w:t>
      </w:r>
      <w:r w:rsidR="0025098A">
        <w:t>its</w:t>
      </w:r>
      <w:r w:rsidR="003E32D0">
        <w:t xml:space="preserve"> original beneficiaries, including Wendy Trotter Van Dyck (Van Dyck).  </w:t>
      </w:r>
    </w:p>
    <w:p w:rsidR="003E32D0" w:rsidP="00E549C1" w14:paraId="6591D563" w14:textId="4785B673">
      <w:pPr>
        <w:ind w:firstLine="720"/>
      </w:pPr>
      <w:r>
        <w:t xml:space="preserve">Timothy contends on appeal that </w:t>
      </w:r>
      <w:r w:rsidR="00E549C1">
        <w:t xml:space="preserve">each of the </w:t>
      </w:r>
      <w:r w:rsidR="00BC7C5D">
        <w:t>various</w:t>
      </w:r>
      <w:r w:rsidR="00E549C1">
        <w:t xml:space="preserve"> grounds </w:t>
      </w:r>
      <w:r w:rsidR="00CA597B">
        <w:t xml:space="preserve">upon which </w:t>
      </w:r>
      <w:r>
        <w:t xml:space="preserve">the </w:t>
      </w:r>
      <w:r w:rsidR="00D43F1F">
        <w:t>probate</w:t>
      </w:r>
      <w:r w:rsidR="00E549C1">
        <w:t xml:space="preserve"> </w:t>
      </w:r>
      <w:r>
        <w:t>court</w:t>
      </w:r>
      <w:r w:rsidR="00E549C1">
        <w:t xml:space="preserve"> based its order was erroneous.  We conclude that at least two of the grounds the court relied on were proper</w:t>
      </w:r>
      <w:r w:rsidR="00906CC1">
        <w:t>: (1) there was no signed document amending the Trust and</w:t>
      </w:r>
      <w:r w:rsidR="00C6449D">
        <w:t xml:space="preserve"> the</w:t>
      </w:r>
      <w:r w:rsidR="00906CC1">
        <w:t xml:space="preserve"> </w:t>
      </w:r>
      <w:r w:rsidR="00C6449D">
        <w:t xml:space="preserve">electronic signature provision of the </w:t>
      </w:r>
      <w:r w:rsidR="00906CC1">
        <w:t>Uniform Electronics Transaction Act (UETA) do</w:t>
      </w:r>
      <w:r w:rsidR="00C6449D">
        <w:t>es</w:t>
      </w:r>
      <w:r w:rsidR="00906CC1">
        <w:t xml:space="preserve"> not apply because </w:t>
      </w:r>
      <w:r w:rsidR="00C6449D">
        <w:t>a unilateral</w:t>
      </w:r>
      <w:r w:rsidR="00906CC1">
        <w:t xml:space="preserve"> trust amendment d</w:t>
      </w:r>
      <w:r w:rsidR="00C6449D">
        <w:t>oes</w:t>
      </w:r>
      <w:r w:rsidR="00906CC1">
        <w:t xml:space="preserve"> not constitute a “transaction” within the meaning of the statute (Civ. Code,</w:t>
      </w:r>
      <w:r>
        <w:rPr>
          <w:rStyle w:val="FootnoteReference"/>
        </w:rPr>
        <w:footnoteReference w:id="2"/>
      </w:r>
      <w:r w:rsidR="00906CC1">
        <w:t xml:space="preserve"> §</w:t>
      </w:r>
      <w:r w:rsidRPr="00390695" w:rsidR="00906CC1">
        <w:t xml:space="preserve"> 1633.2, subd. (o))</w:t>
      </w:r>
      <w:r w:rsidR="00906CC1">
        <w:t xml:space="preserve">; and (2) Mary’s writings did not adequately express </w:t>
      </w:r>
      <w:r w:rsidR="00C6449D">
        <w:t>an intent to amend the trust by the writings themselves.  Accordingly</w:t>
      </w:r>
      <w:r w:rsidR="00E549C1">
        <w:t>, we affirm the order</w:t>
      </w:r>
      <w:r w:rsidR="00BC7C5D">
        <w:t xml:space="preserve"> without deciding Timothy’s contentions as to the other grounds</w:t>
      </w:r>
      <w:r w:rsidR="00E549C1">
        <w:t xml:space="preserve">. </w:t>
      </w:r>
    </w:p>
    <w:p w:rsidR="00E549C1" w:rsidP="00E549C1" w14:paraId="58D8B865" w14:textId="7ED85973">
      <w:pPr>
        <w:jc w:val="center"/>
      </w:pPr>
      <w:r>
        <w:t>FACTUAL AND PROCEDURAL BACKGROUND</w:t>
      </w:r>
    </w:p>
    <w:p w:rsidR="00E904CB" w:rsidP="00B35C86" w14:paraId="1F467724" w14:textId="5DF369F1">
      <w:pPr>
        <w:ind w:firstLine="720"/>
      </w:pPr>
      <w:r>
        <w:t>Jerry and Mary Trotter</w:t>
      </w:r>
      <w:r>
        <w:t>, who were married,</w:t>
      </w:r>
      <w:r>
        <w:t xml:space="preserve"> established the Trust</w:t>
      </w:r>
      <w:r w:rsidR="00236CE8">
        <w:t xml:space="preserve"> as a revocable trust</w:t>
      </w:r>
      <w:r w:rsidR="00B35C86">
        <w:t xml:space="preserve"> </w:t>
      </w:r>
      <w:r>
        <w:t>in 2011</w:t>
      </w:r>
      <w:r w:rsidR="00236CE8">
        <w:t>,</w:t>
      </w:r>
      <w:r>
        <w:t xml:space="preserve"> and </w:t>
      </w:r>
      <w:r w:rsidR="00942658">
        <w:t>nam</w:t>
      </w:r>
      <w:r>
        <w:t>ed</w:t>
      </w:r>
      <w:r w:rsidR="00942658">
        <w:t xml:space="preserve"> themselves </w:t>
      </w:r>
      <w:r w:rsidR="00B35C86">
        <w:t xml:space="preserve">collectively </w:t>
      </w:r>
      <w:r w:rsidR="00942658">
        <w:t>as</w:t>
      </w:r>
      <w:r w:rsidR="00340977">
        <w:t xml:space="preserve"> both</w:t>
      </w:r>
      <w:r w:rsidR="00B35C86">
        <w:t xml:space="preserve"> </w:t>
      </w:r>
      <w:r w:rsidR="00942658">
        <w:t xml:space="preserve">“Trustee” and “Trustors.”  </w:t>
      </w:r>
      <w:r w:rsidR="009C635B">
        <w:t xml:space="preserve">The Trust names </w:t>
      </w:r>
      <w:r w:rsidR="007031D7">
        <w:t>Timothy</w:t>
      </w:r>
      <w:r>
        <w:t>, their son,</w:t>
      </w:r>
      <w:r w:rsidR="007031D7">
        <w:t xml:space="preserve"> </w:t>
      </w:r>
      <w:r w:rsidR="009C635B">
        <w:t>as</w:t>
      </w:r>
      <w:r w:rsidR="007031D7">
        <w:t xml:space="preserve"> the successor trustee</w:t>
      </w:r>
      <w:r>
        <w:t xml:space="preserve"> in the event neither Jerry nor Mary </w:t>
      </w:r>
      <w:r w:rsidR="00FE6B9D">
        <w:t>can</w:t>
      </w:r>
      <w:r>
        <w:t xml:space="preserve"> act as </w:t>
      </w:r>
      <w:r w:rsidR="00236CE8">
        <w:t xml:space="preserve">a </w:t>
      </w:r>
      <w:r>
        <w:t xml:space="preserve">trustee.  The Trust </w:t>
      </w:r>
      <w:r w:rsidR="00F957D4">
        <w:t xml:space="preserve">also </w:t>
      </w:r>
      <w:r>
        <w:t>provide</w:t>
      </w:r>
      <w:r w:rsidR="00F76012">
        <w:t>s</w:t>
      </w:r>
      <w:r>
        <w:t xml:space="preserve"> that upon the death of </w:t>
      </w:r>
      <w:r w:rsidR="00D42CE4">
        <w:t xml:space="preserve">whichever </w:t>
      </w:r>
      <w:r>
        <w:t>spouse</w:t>
      </w:r>
      <w:r w:rsidR="00D42CE4">
        <w:t xml:space="preserve"> survive</w:t>
      </w:r>
      <w:r w:rsidR="00F957D4">
        <w:t>s</w:t>
      </w:r>
      <w:r w:rsidR="00D42CE4">
        <w:t xml:space="preserve"> the other</w:t>
      </w:r>
      <w:r>
        <w:t xml:space="preserve">, certain stock </w:t>
      </w:r>
      <w:r w:rsidR="00F957D4">
        <w:t>is to</w:t>
      </w:r>
      <w:r>
        <w:t xml:space="preserve"> be distributed to Timothy</w:t>
      </w:r>
      <w:r w:rsidR="00D42CE4">
        <w:t>,</w:t>
      </w:r>
      <w:r>
        <w:t xml:space="preserve"> and the rest of the trust estate </w:t>
      </w:r>
      <w:r w:rsidR="00F957D4">
        <w:t>should</w:t>
      </w:r>
      <w:r>
        <w:t xml:space="preserve"> be distributed in equal shares to each of several children, including</w:t>
      </w:r>
      <w:r w:rsidR="00D42CE4">
        <w:t xml:space="preserve"> Jerry’s daughter from </w:t>
      </w:r>
      <w:r w:rsidR="001F234E">
        <w:t>another</w:t>
      </w:r>
      <w:r w:rsidR="00D42CE4">
        <w:t xml:space="preserve"> marriage, </w:t>
      </w:r>
      <w:r>
        <w:t xml:space="preserve">Van Dyck. </w:t>
      </w:r>
    </w:p>
    <w:p w:rsidR="000E51C6" w:rsidP="00B35C86" w14:paraId="346E3EF2" w14:textId="699BFDEB">
      <w:pPr>
        <w:ind w:firstLine="720"/>
      </w:pPr>
      <w:r>
        <w:t xml:space="preserve">When Jerry </w:t>
      </w:r>
      <w:r w:rsidR="00E63975">
        <w:t>died</w:t>
      </w:r>
      <w:r w:rsidR="00E904CB">
        <w:t xml:space="preserve"> in 2012</w:t>
      </w:r>
      <w:r>
        <w:t>, Mary became the</w:t>
      </w:r>
      <w:r w:rsidR="007031D7">
        <w:t xml:space="preserve"> </w:t>
      </w:r>
      <w:r w:rsidR="00E904CB">
        <w:t>sole</w:t>
      </w:r>
      <w:r w:rsidR="007031D7">
        <w:t xml:space="preserve"> trustee. </w:t>
      </w:r>
      <w:r>
        <w:t xml:space="preserve"> </w:t>
      </w:r>
      <w:r w:rsidR="00D42CE4">
        <w:t xml:space="preserve">According to </w:t>
      </w:r>
      <w:r>
        <w:t>declarations</w:t>
      </w:r>
      <w:r w:rsidR="00EC133E">
        <w:t xml:space="preserve"> in the record</w:t>
      </w:r>
      <w:r>
        <w:t>,</w:t>
      </w:r>
      <w:r w:rsidR="001F234E">
        <w:t xml:space="preserve"> Mary intended to exclude Van Dyck as a beneficiary because Van Dyck </w:t>
      </w:r>
      <w:r w:rsidR="004D0443">
        <w:t xml:space="preserve">had </w:t>
      </w:r>
      <w:r w:rsidR="001F234E">
        <w:t>already inherited from Jerry’s previous wife</w:t>
      </w:r>
      <w:r w:rsidR="00236CE8">
        <w:t>,</w:t>
      </w:r>
      <w:r w:rsidR="00545CAD">
        <w:t xml:space="preserve"> and </w:t>
      </w:r>
      <w:r w:rsidR="00236CE8">
        <w:t xml:space="preserve">Mary believed Van Dyck </w:t>
      </w:r>
      <w:r w:rsidR="00545CAD">
        <w:t>had “been fairly provided for”</w:t>
      </w:r>
      <w:r>
        <w:t xml:space="preserve"> in 2015.</w:t>
      </w:r>
      <w:r w:rsidR="001F234E">
        <w:t xml:space="preserve"> </w:t>
      </w:r>
      <w:r w:rsidR="00545CAD">
        <w:t xml:space="preserve"> </w:t>
      </w:r>
      <w:r w:rsidR="00F76012">
        <w:t>In relevant part, t</w:t>
      </w:r>
      <w:r w:rsidR="00545CAD">
        <w:t xml:space="preserve">he Trust </w:t>
      </w:r>
      <w:r w:rsidR="00F76012">
        <w:t xml:space="preserve">authorized Mary to amend the Trust “by an </w:t>
      </w:r>
      <w:r w:rsidR="00F76012">
        <w:t xml:space="preserve">instrument in writing signed” by </w:t>
      </w:r>
      <w:r w:rsidR="00236CE8">
        <w:t>Mary and</w:t>
      </w:r>
      <w:r w:rsidR="00F76012">
        <w:t xml:space="preserve"> delivered to the “Trustee” – at the time, herself. </w:t>
      </w:r>
      <w:r>
        <w:t xml:space="preserve"> </w:t>
      </w:r>
    </w:p>
    <w:p w:rsidR="00AE393C" w:rsidP="000E51C6" w14:paraId="31661F24" w14:textId="206902C1">
      <w:pPr>
        <w:ind w:firstLine="720"/>
      </w:pPr>
      <w:r>
        <w:t xml:space="preserve">In late June 2020, Mary, Timothy, and </w:t>
      </w:r>
      <w:r w:rsidRPr="00C10C2E">
        <w:t>Matthew Pribyl, Mary’s estate planning attorney</w:t>
      </w:r>
      <w:r>
        <w:t>, exchanged e</w:t>
      </w:r>
      <w:r w:rsidR="005D4756">
        <w:t>-</w:t>
      </w:r>
      <w:r>
        <w:t xml:space="preserve">mails about amending the Trust, excerpted </w:t>
      </w:r>
      <w:r w:rsidR="008163FB">
        <w:t>below</w:t>
      </w:r>
      <w:r>
        <w:t xml:space="preserve">. </w:t>
      </w:r>
      <w:r w:rsidRPr="00C10C2E">
        <w:t xml:space="preserve"> </w:t>
      </w:r>
      <w:r w:rsidR="000E51C6">
        <w:t xml:space="preserve">On June 25, before </w:t>
      </w:r>
      <w:r w:rsidR="00C31A8D">
        <w:t>her</w:t>
      </w:r>
      <w:r w:rsidR="000E51C6">
        <w:t xml:space="preserve"> scheduled surgery on July 1, Mary e</w:t>
      </w:r>
      <w:r w:rsidR="005D4756">
        <w:t>-</w:t>
      </w:r>
      <w:r w:rsidR="000E51C6">
        <w:t xml:space="preserve">mailed Timothy stating:  </w:t>
      </w:r>
    </w:p>
    <w:p w:rsidR="00E8673D" w:rsidP="00146157" w14:paraId="44F253F2" w14:textId="0D947098">
      <w:pPr>
        <w:pStyle w:val="IndentedQuote"/>
      </w:pPr>
      <w:r>
        <w:t xml:space="preserve">“My mind is quite clear now as </w:t>
      </w:r>
      <w:r w:rsidR="00FD5EC4">
        <w:t>[</w:t>
      </w:r>
      <w:r>
        <w:t>to</w:t>
      </w:r>
      <w:r w:rsidR="00FD5EC4">
        <w:t>]</w:t>
      </w:r>
      <w:r>
        <w:t xml:space="preserve"> how to move forward on the house and will. </w:t>
      </w:r>
    </w:p>
    <w:p w:rsidR="00E8673D" w:rsidP="00146157" w14:paraId="3B2770C7" w14:textId="77777777">
      <w:pPr>
        <w:pStyle w:val="IndentedQuote"/>
      </w:pPr>
    </w:p>
    <w:p w:rsidR="00E8673D" w:rsidP="00146157" w14:paraId="0E625560" w14:textId="77777777">
      <w:pPr>
        <w:pStyle w:val="IndentedQuote"/>
      </w:pPr>
      <w:r>
        <w:t>“</w:t>
      </w:r>
      <w:r w:rsidR="000E51C6">
        <w:t>I will write it out and then we need to see that the lawyer gets a copy asap and start redoing the will</w:t>
      </w:r>
      <w:r w:rsidR="00AE393C">
        <w:t xml:space="preserve"> </w:t>
      </w:r>
      <w:r w:rsidR="000E51C6">
        <w:t>and trust.</w:t>
      </w:r>
    </w:p>
    <w:p w:rsidR="00E8673D" w:rsidP="00146157" w14:paraId="48B2234A" w14:textId="77777777">
      <w:pPr>
        <w:pStyle w:val="IndentedQuote"/>
      </w:pPr>
    </w:p>
    <w:p w:rsidR="00E8673D" w:rsidP="00146157" w14:paraId="22D96208" w14:textId="77777777">
      <w:pPr>
        <w:pStyle w:val="IndentedQuote"/>
      </w:pPr>
      <w:r>
        <w:t>“</w:t>
      </w:r>
      <w:r w:rsidR="000E51C6">
        <w:t>1. The house will go to you</w:t>
      </w:r>
    </w:p>
    <w:p w:rsidR="00E8673D" w:rsidP="00146157" w14:paraId="0269E512" w14:textId="77777777">
      <w:pPr>
        <w:pStyle w:val="IndentedQuote"/>
      </w:pPr>
    </w:p>
    <w:p w:rsidR="00E8673D" w:rsidP="00146157" w14:paraId="5D39C231" w14:textId="487C9753">
      <w:pPr>
        <w:pStyle w:val="IndentedQuote"/>
      </w:pPr>
      <w:r>
        <w:t>“</w:t>
      </w:r>
      <w:r w:rsidR="000E51C6">
        <w:t>2. My cash assets will be divided among my five children; nothing to Wendy</w:t>
      </w:r>
      <w:r w:rsidR="00AE393C">
        <w:t xml:space="preserve"> </w:t>
      </w:r>
      <w:r w:rsidR="009D2B20">
        <w:t xml:space="preserve"> </w:t>
      </w:r>
      <w:r w:rsidRPr="009D2B20" w:rsidR="009D2B20">
        <w:t>[¶] . . . [¶]</w:t>
      </w:r>
    </w:p>
    <w:p w:rsidR="00E8673D" w:rsidP="00146157" w14:paraId="08346325" w14:textId="77777777">
      <w:pPr>
        <w:pStyle w:val="IndentedQuote"/>
      </w:pPr>
    </w:p>
    <w:p w:rsidR="000E51C6" w:rsidP="00146157" w14:paraId="5244EE1B" w14:textId="4C2BE647">
      <w:pPr>
        <w:pStyle w:val="IndentedQuote"/>
      </w:pPr>
      <w:r>
        <w:t>“</w:t>
      </w:r>
      <w:r>
        <w:t xml:space="preserve">The rest of selected items will be assigned to different </w:t>
      </w:r>
      <w:r w:rsidR="00E8673D">
        <w:t>c</w:t>
      </w:r>
      <w:r>
        <w:t>hildren/grandchildren and I’m working on that</w:t>
      </w:r>
      <w:r w:rsidR="00E8673D">
        <w:t xml:space="preserve"> </w:t>
      </w:r>
      <w:r>
        <w:t>list.</w:t>
      </w:r>
    </w:p>
    <w:p w:rsidR="00E8673D" w:rsidP="00146157" w14:paraId="429F89EA" w14:textId="77777777">
      <w:pPr>
        <w:pStyle w:val="IndentedQuote"/>
      </w:pPr>
    </w:p>
    <w:p w:rsidR="000E51C6" w:rsidP="00146157" w14:paraId="51EC11C3" w14:textId="779B6C8B">
      <w:pPr>
        <w:pStyle w:val="IndentedQuote"/>
        <w:spacing w:after="240"/>
      </w:pPr>
      <w:r>
        <w:t>“</w:t>
      </w:r>
      <w:r>
        <w:t>Thanks, mom</w:t>
      </w:r>
      <w:r>
        <w:t>”</w:t>
      </w:r>
      <w:r w:rsidR="00FD5EC4">
        <w:t xml:space="preserve"> </w:t>
      </w:r>
    </w:p>
    <w:p w:rsidR="00C31A8D" w:rsidP="00A95455" w14:paraId="23114CB3" w14:textId="381716B9">
      <w:pPr>
        <w:ind w:firstLine="720"/>
      </w:pPr>
      <w:r>
        <w:t>The next day</w:t>
      </w:r>
      <w:r w:rsidR="0026536B">
        <w:t>,</w:t>
      </w:r>
      <w:r>
        <w:t xml:space="preserve"> on June 26</w:t>
      </w:r>
      <w:r w:rsidR="00661722">
        <w:t>,</w:t>
      </w:r>
      <w:r w:rsidR="00077F12">
        <w:t xml:space="preserve"> 2020,</w:t>
      </w:r>
      <w:r w:rsidR="00661722">
        <w:t xml:space="preserve"> </w:t>
      </w:r>
      <w:r>
        <w:t>Timothy e</w:t>
      </w:r>
      <w:r w:rsidR="005D4756">
        <w:t>-</w:t>
      </w:r>
      <w:r>
        <w:t>mailed Pribyl</w:t>
      </w:r>
      <w:r w:rsidR="0026536B">
        <w:t xml:space="preserve"> </w:t>
      </w:r>
      <w:r w:rsidR="00A95455">
        <w:t>and copied Mary</w:t>
      </w:r>
      <w:r>
        <w:t>.  He told Pribyl that Mary “want</w:t>
      </w:r>
      <w:r w:rsidR="00F17EB9">
        <w:t xml:space="preserve"> </w:t>
      </w:r>
      <w:r>
        <w:t>[</w:t>
      </w:r>
      <w:r w:rsidRPr="00146157">
        <w:rPr>
          <w:i/>
          <w:iCs/>
        </w:rPr>
        <w:t>s</w:t>
      </w:r>
      <w:r w:rsidRPr="00146157" w:rsidR="00F17EB9">
        <w:rPr>
          <w:i/>
          <w:iCs/>
        </w:rPr>
        <w:t>ic</w:t>
      </w:r>
      <w:r>
        <w:t>] to make some updates on her personal stuff”</w:t>
      </w:r>
      <w:r w:rsidR="00F17EB9">
        <w:t xml:space="preserve"> and that they were “working on getting</w:t>
      </w:r>
      <w:r>
        <w:t xml:space="preserve"> </w:t>
      </w:r>
      <w:r w:rsidR="00F17EB9">
        <w:t xml:space="preserve">the financials all up to date . . . .”  Timothy </w:t>
      </w:r>
      <w:r>
        <w:t xml:space="preserve">asked whether Pribyl was </w:t>
      </w:r>
      <w:r w:rsidR="00A95455">
        <w:t>“</w:t>
      </w:r>
      <w:r>
        <w:t xml:space="preserve">available </w:t>
      </w:r>
      <w:r w:rsidR="00A95455">
        <w:t xml:space="preserve">to meet on Zoom or phone to discuss.”  </w:t>
      </w:r>
    </w:p>
    <w:p w:rsidR="00E8673D" w:rsidP="00A95455" w14:paraId="6738E8DA" w14:textId="79F73954">
      <w:pPr>
        <w:ind w:firstLine="720"/>
      </w:pPr>
      <w:r>
        <w:t xml:space="preserve">Pribyl </w:t>
      </w:r>
      <w:r w:rsidR="00077F12">
        <w:t>wrote in response: “R</w:t>
      </w:r>
      <w:r>
        <w:t>elative to any updates/amendments Mary wants to make to her Trust and/or companion estate planning documents, maybe we can schedule a phone conference either next week before the July 4th holiday, or that following week.”  Mary replied and told Pribyl</w:t>
      </w:r>
      <w:r w:rsidR="00C31A8D">
        <w:t xml:space="preserve"> </w:t>
      </w:r>
      <w:r>
        <w:t xml:space="preserve">that she would </w:t>
      </w:r>
      <w:r w:rsidR="002D6FF1">
        <w:t xml:space="preserve">“be available to discuss the [Trust] and Will anytime on Monday or </w:t>
      </w:r>
      <w:r w:rsidR="002D6FF1">
        <w:t>Tuesday of next week and then after the</w:t>
      </w:r>
      <w:r w:rsidR="00342384">
        <w:t xml:space="preserve"> [</w:t>
      </w:r>
      <w:r w:rsidRPr="00146157" w:rsidR="00342384">
        <w:rPr>
          <w:i/>
          <w:iCs/>
        </w:rPr>
        <w:t>sic</w:t>
      </w:r>
      <w:r w:rsidR="00342384">
        <w:t>]</w:t>
      </w:r>
      <w:r w:rsidR="002D6FF1">
        <w:t xml:space="preserve"> July 4th. </w:t>
      </w:r>
      <w:r w:rsidR="002D44DD">
        <w:t xml:space="preserve"> </w:t>
      </w:r>
      <w:r w:rsidR="002D6FF1">
        <w:t>[¶]</w:t>
      </w:r>
      <w:r w:rsidR="002D44DD">
        <w:t xml:space="preserve"> </w:t>
      </w:r>
      <w:r w:rsidR="002D6FF1">
        <w:t xml:space="preserve"> If you have questionnaires regarding the changes, please forward to me</w:t>
      </w:r>
      <w:r w:rsidR="00271E52">
        <w:t xml:space="preserve"> . . . </w:t>
      </w:r>
      <w:r w:rsidR="002D6FF1">
        <w:t xml:space="preserve">.” </w:t>
      </w:r>
    </w:p>
    <w:p w:rsidR="00271E52" w:rsidP="00624E78" w14:paraId="4D3ADCCD" w14:textId="36B11FD6">
      <w:pPr>
        <w:keepNext/>
        <w:ind w:firstLine="720"/>
      </w:pPr>
      <w:r>
        <w:t>A few days later on June 29</w:t>
      </w:r>
      <w:r w:rsidR="00661722">
        <w:t>,</w:t>
      </w:r>
      <w:r w:rsidR="00077F12">
        <w:t xml:space="preserve"> 2020,</w:t>
      </w:r>
      <w:r>
        <w:t xml:space="preserve"> Pribyl responded: </w:t>
      </w:r>
    </w:p>
    <w:p w:rsidR="00271E52" w:rsidP="00146157" w14:paraId="22358756" w14:textId="5FBDE063">
      <w:pPr>
        <w:pStyle w:val="IndentedQuote"/>
        <w:keepNext/>
      </w:pPr>
      <w:r>
        <w:t>“Attached to this message is my Questionnaire/Estate Plan Data Sheet that you can use to indicate the changes you want to make to your Trust, Will, Health Care and Asset Powers of Attorney, etc.</w:t>
      </w:r>
    </w:p>
    <w:p w:rsidR="00E10E37" w:rsidP="00146157" w14:paraId="1642FE0B" w14:textId="77777777">
      <w:pPr>
        <w:pStyle w:val="IndentedQuote"/>
      </w:pPr>
    </w:p>
    <w:p w:rsidR="00271E52" w:rsidP="00146157" w14:paraId="7A95B87E" w14:textId="70E41781">
      <w:pPr>
        <w:pStyle w:val="IndentedQuote"/>
      </w:pPr>
      <w:r>
        <w:t>“</w:t>
      </w:r>
      <w:r>
        <w:t xml:space="preserve">And I will have time tomorrow </w:t>
      </w:r>
      <w:r w:rsidR="0022751A">
        <w:t>. . .</w:t>
      </w:r>
      <w:r>
        <w:t xml:space="preserve"> if you want to discuss the changes by phone as well.</w:t>
      </w:r>
    </w:p>
    <w:p w:rsidR="00E10E37" w:rsidP="00146157" w14:paraId="35484A7A" w14:textId="77777777">
      <w:pPr>
        <w:pStyle w:val="IndentedQuote"/>
      </w:pPr>
    </w:p>
    <w:p w:rsidR="00271E52" w:rsidP="00146157" w14:paraId="009445A7" w14:textId="52C8E436">
      <w:pPr>
        <w:pStyle w:val="IndentedQuote"/>
      </w:pPr>
      <w:r>
        <w:t>“</w:t>
      </w:r>
      <w:r>
        <w:t>But if you want to review the Questionnaire in greater detail, and then schedule a time to talk next</w:t>
      </w:r>
      <w:r>
        <w:t xml:space="preserve"> </w:t>
      </w:r>
      <w:r>
        <w:t xml:space="preserve">week, that works for me too. </w:t>
      </w:r>
      <w:r w:rsidR="0022751A">
        <w:t xml:space="preserve"> </w:t>
      </w:r>
      <w:r>
        <w:t>I’ll be in my office every day during the week beginning Monday, July</w:t>
      </w:r>
      <w:r>
        <w:t xml:space="preserve"> </w:t>
      </w:r>
      <w:r>
        <w:t xml:space="preserve">6th, so you can let me know a day and time that would work best for your </w:t>
      </w:r>
      <w:r>
        <w:t>s</w:t>
      </w:r>
      <w:r>
        <w:t>chedule.</w:t>
      </w:r>
      <w:r>
        <w:t>”</w:t>
      </w:r>
    </w:p>
    <w:p w:rsidR="00E10E37" w:rsidP="00E10E37" w14:paraId="6D98D813" w14:textId="77777777">
      <w:pPr>
        <w:spacing w:line="240" w:lineRule="auto"/>
      </w:pPr>
    </w:p>
    <w:p w:rsidR="00E10E37" w:rsidP="00E10E37" w14:paraId="7EEBF606" w14:textId="1C5F3671">
      <w:r>
        <w:t>Mary replied later that day</w:t>
      </w:r>
      <w:r w:rsidR="00661722">
        <w:t>:</w:t>
      </w:r>
      <w:r>
        <w:t xml:space="preserve"> </w:t>
      </w:r>
      <w:r w:rsidR="00661722">
        <w:t>“W</w:t>
      </w:r>
      <w:r>
        <w:t xml:space="preserve">orking on the questionnaire and </w:t>
      </w:r>
      <w:r w:rsidR="00661722">
        <w:t>will</w:t>
      </w:r>
      <w:r>
        <w:t xml:space="preserve"> email tonight or tomorrow morning. </w:t>
      </w:r>
      <w:r w:rsidR="00661722">
        <w:t xml:space="preserve"> </w:t>
      </w:r>
      <w:r>
        <w:t>We can decide then about what</w:t>
      </w:r>
    </w:p>
    <w:p w:rsidR="00E10E37" w:rsidP="00E10E37" w14:paraId="61C65C70" w14:textId="0BB84853">
      <w:r>
        <w:t>we may need to discuss.</w:t>
      </w:r>
      <w:r w:rsidR="00661722">
        <w:t xml:space="preserve">”  </w:t>
      </w:r>
    </w:p>
    <w:p w:rsidR="00661722" w:rsidP="00E10E37" w14:paraId="51A35B27" w14:textId="5C017ABD">
      <w:r>
        <w:tab/>
        <w:t xml:space="preserve">On June 30, </w:t>
      </w:r>
      <w:r w:rsidR="00077F12">
        <w:t xml:space="preserve">2020, </w:t>
      </w:r>
      <w:r w:rsidR="00C10C2E">
        <w:t>Mary sent</w:t>
      </w:r>
      <w:r w:rsidR="00C31A8D">
        <w:t xml:space="preserve"> Pribyl</w:t>
      </w:r>
      <w:r w:rsidR="00C10C2E">
        <w:t xml:space="preserve"> a scanned copy of the questionnaire, which she completed by hand.  Her</w:t>
      </w:r>
      <w:r w:rsidR="00077F12">
        <w:t xml:space="preserve"> cover</w:t>
      </w:r>
      <w:r w:rsidR="00C10C2E">
        <w:t xml:space="preserve"> e</w:t>
      </w:r>
      <w:r w:rsidR="005D4756">
        <w:t>-</w:t>
      </w:r>
      <w:r w:rsidR="00C10C2E">
        <w:t xml:space="preserve">mail said </w:t>
      </w:r>
      <w:r w:rsidR="0022751A">
        <w:t xml:space="preserve">that </w:t>
      </w:r>
      <w:r w:rsidR="00C31A8D">
        <w:t>the “estate planning questionnaire” was attached and “[t]his is something you can review before we talk</w:t>
      </w:r>
      <w:r w:rsidR="00FD5EC4">
        <w:t> . . . .</w:t>
      </w:r>
      <w:r w:rsidR="00C31A8D">
        <w:t xml:space="preserve"> </w:t>
      </w:r>
      <w:r w:rsidR="0022751A">
        <w:t xml:space="preserve"> </w:t>
      </w:r>
      <w:r w:rsidR="00C31A8D">
        <w:t xml:space="preserve">Thanks, Mary[.]”  </w:t>
      </w:r>
      <w:r w:rsidR="00027CF2">
        <w:t>The questionnaire, entitled “Client Estate Plan Data Sheet,” included spaces for biographical information such as address, family members, personal property, bank information, and citizenship.  Under “Dispository Plan</w:t>
      </w:r>
      <w:r w:rsidR="0022751A">
        <w:t>,</w:t>
      </w:r>
      <w:r w:rsidR="00027CF2">
        <w:t>” where the instructions say to “describe in detail” who should inherit her assets when she dies, Mary left that space blank.  On the following page, in the section for listing “</w:t>
      </w:r>
      <w:r w:rsidR="00FD5EC4">
        <w:t>CHILDREN AND GRANDCHILDREN</w:t>
      </w:r>
      <w:r w:rsidR="00027CF2">
        <w:t xml:space="preserve">,” Mary listed </w:t>
      </w:r>
      <w:r w:rsidR="0022751A">
        <w:t>her children’s names</w:t>
      </w:r>
      <w:r w:rsidR="00027CF2">
        <w:t xml:space="preserve"> from present and prior marriages, </w:t>
      </w:r>
      <w:r w:rsidR="0022751A">
        <w:t>including</w:t>
      </w:r>
      <w:r w:rsidR="00027CF2">
        <w:t xml:space="preserve"> Van Dyck.  Mary drew an asterisk next to Van Dyck’s name and</w:t>
      </w:r>
      <w:r w:rsidR="00512B7D">
        <w:t xml:space="preserve"> drew another asterisk </w:t>
      </w:r>
      <w:r w:rsidR="00077F12">
        <w:t>at the bottom of the page</w:t>
      </w:r>
      <w:r w:rsidR="00914883">
        <w:t xml:space="preserve"> with the words</w:t>
      </w:r>
      <w:r w:rsidR="00077F12">
        <w:t>,</w:t>
      </w:r>
      <w:r w:rsidR="00914883">
        <w:t xml:space="preserve"> “</w:t>
      </w:r>
      <w:r w:rsidR="00512B7D">
        <w:t>NO CONTACT</w:t>
      </w:r>
      <w:r w:rsidR="00914883">
        <w:t xml:space="preserve"> – </w:t>
      </w:r>
      <w:r w:rsidR="00512B7D">
        <w:t>WOULD PREFER TO DROP FROM WILL – IF POSSIBLE</w:t>
      </w:r>
      <w:r w:rsidR="00914883">
        <w:t>[.]”</w:t>
      </w:r>
      <w:r w:rsidR="00512B7D">
        <w:t xml:space="preserve">  On the next page, she drew asterisks next to certain lines in the “Stocks and Mutual Funds” section, and noted </w:t>
      </w:r>
      <w:r w:rsidR="00D50FD8">
        <w:t>next to another</w:t>
      </w:r>
      <w:r w:rsidR="00512B7D">
        <w:t xml:space="preserve"> asterisk in the footer: “</w:t>
      </w:r>
      <w:r w:rsidR="00797E48">
        <w:t xml:space="preserve">1 </w:t>
      </w:r>
      <w:r w:rsidR="00512B7D">
        <w:t>SHARE</w:t>
      </w:r>
      <w:r w:rsidR="00797E48">
        <w:t xml:space="preserve"> </w:t>
      </w:r>
      <w:r w:rsidR="00512B7D">
        <w:t xml:space="preserve">APPLE – FOR </w:t>
      </w:r>
      <w:r w:rsidR="00842232">
        <w:t>[</w:t>
      </w:r>
      <w:r w:rsidR="000C73F7">
        <w:t xml:space="preserve">beneficiary </w:t>
      </w:r>
      <w:r w:rsidR="00842232">
        <w:t>J.]</w:t>
      </w:r>
      <w:r w:rsidR="00512B7D">
        <w:t xml:space="preserve"> – DISCUSS ACCT FOR </w:t>
      </w:r>
      <w:r w:rsidR="00842232">
        <w:t>[</w:t>
      </w:r>
      <w:r w:rsidR="00AD55A4">
        <w:t xml:space="preserve">beneficiary </w:t>
      </w:r>
      <w:r w:rsidR="00842232">
        <w:t>J.]</w:t>
      </w:r>
      <w:r w:rsidR="004929CC">
        <w:t> . . . .</w:t>
      </w:r>
      <w:r w:rsidR="00512B7D">
        <w:t>”</w:t>
      </w:r>
      <w:r w:rsidR="00AD55A4">
        <w:t xml:space="preserve"> </w:t>
      </w:r>
    </w:p>
    <w:p w:rsidR="003A4758" w:rsidP="00263E05" w14:paraId="09B652FE" w14:textId="74D32BBB">
      <w:r>
        <w:tab/>
        <w:t>Mary underwent surgery the next day on July 1, 2020</w:t>
      </w:r>
      <w:r w:rsidR="00B35949">
        <w:t>, and contracted an infection while in the hospital.</w:t>
      </w:r>
      <w:r>
        <w:t xml:space="preserve">  </w:t>
      </w:r>
      <w:r w:rsidR="00B35949">
        <w:t>She suffered two heart attacks and passed away a few weeks after her surgery.  Timothy beca</w:t>
      </w:r>
      <w:r w:rsidR="00263E05">
        <w:t>me</w:t>
      </w:r>
      <w:r w:rsidR="00B35949">
        <w:t xml:space="preserve"> the successor trustee, and </w:t>
      </w:r>
      <w:r w:rsidR="00263E05">
        <w:t>when disputes arose about</w:t>
      </w:r>
      <w:r w:rsidR="00B35949">
        <w:t xml:space="preserve"> the administration of the Trust, </w:t>
      </w:r>
      <w:r w:rsidR="00263E05">
        <w:t xml:space="preserve">Timothy petitioned the </w:t>
      </w:r>
      <w:r w:rsidR="00D43F1F">
        <w:t>probate</w:t>
      </w:r>
      <w:r w:rsidR="00263E05">
        <w:t xml:space="preserve"> court for instructions.  He sought, among other things, guidance about “whether under the</w:t>
      </w:r>
      <w:r w:rsidR="003E6932">
        <w:t xml:space="preserve"> </w:t>
      </w:r>
      <w:r w:rsidR="00263E05">
        <w:t>express terms of the Trust, [Van Dyck], by reason of Mary’s writings,</w:t>
      </w:r>
      <w:r w:rsidR="003E6932">
        <w:t xml:space="preserve"> </w:t>
      </w:r>
      <w:r w:rsidR="00263E05">
        <w:t xml:space="preserve">has been removed as a beneficiary of the [Trust].”  </w:t>
      </w:r>
      <w:r w:rsidR="000B455A">
        <w:t xml:space="preserve">Pribyl </w:t>
      </w:r>
      <w:r w:rsidR="00E54693">
        <w:t>signed</w:t>
      </w:r>
      <w:r w:rsidR="000B455A">
        <w:t xml:space="preserve"> a declaration </w:t>
      </w:r>
      <w:r w:rsidR="009E6DEA">
        <w:t xml:space="preserve">included with the petition </w:t>
      </w:r>
      <w:r w:rsidR="00D50FD8">
        <w:t>stating</w:t>
      </w:r>
      <w:r w:rsidR="00575A17">
        <w:t xml:space="preserve"> that </w:t>
      </w:r>
      <w:r w:rsidR="00DE3DD4">
        <w:t>Mary completed his firm’s “standard form client Questionnaire regarding estate planning issues</w:t>
      </w:r>
      <w:r w:rsidR="005F1C38">
        <w:t xml:space="preserve">[,]” but she “was not able to sign a traditional amendment to the Trust.” </w:t>
      </w:r>
    </w:p>
    <w:p w:rsidR="00313754" w:rsidP="003A4758" w14:paraId="3AAEC8BF" w14:textId="4D7DC2C7">
      <w:pPr>
        <w:ind w:firstLine="720"/>
      </w:pPr>
      <w:r>
        <w:t xml:space="preserve">After reviewing </w:t>
      </w:r>
      <w:r w:rsidR="00DC4DB8">
        <w:t>the writings</w:t>
      </w:r>
      <w:r w:rsidR="00BF3540">
        <w:t>, declarations,</w:t>
      </w:r>
      <w:r>
        <w:t xml:space="preserve"> and the parties’ brief</w:t>
      </w:r>
      <w:r w:rsidR="004341B0">
        <w:t>s</w:t>
      </w:r>
      <w:r>
        <w:t xml:space="preserve">, </w:t>
      </w:r>
      <w:r w:rsidR="00DC4DB8">
        <w:t>the court issued an order first finding that Mary’s e</w:t>
      </w:r>
      <w:r w:rsidR="005D4756">
        <w:t>-</w:t>
      </w:r>
      <w:r w:rsidR="00DC4DB8">
        <w:t>mails and the questionnaire were instruments in writing delivered in accordance with section 7.02(b) of the Trust.  The court went on to find, however, that Mary did not “sign” her</w:t>
      </w:r>
      <w:r w:rsidR="003E6932">
        <w:t> </w:t>
      </w:r>
      <w:r w:rsidR="004F04F5">
        <w:t xml:space="preserve">e-mails </w:t>
      </w:r>
      <w:r w:rsidR="00DC4DB8">
        <w:t>as the Trust requires</w:t>
      </w:r>
      <w:r w:rsidR="00E86B78">
        <w:t>, nor did she sign the questionnaire.</w:t>
      </w:r>
      <w:r w:rsidR="00DC4DB8">
        <w:t xml:space="preserve">  The court rejected Timothy’s argument that she electronically signed the e</w:t>
      </w:r>
      <w:r w:rsidR="005D4756">
        <w:t>-</w:t>
      </w:r>
      <w:r w:rsidR="00DC4DB8">
        <w:t xml:space="preserve">mails under the Uniform Electronic Transactions Act, which </w:t>
      </w:r>
      <w:r w:rsidR="00C407B3">
        <w:t xml:space="preserve">provides that </w:t>
      </w:r>
      <w:r w:rsidR="005C7A0B">
        <w:t xml:space="preserve">in certain contexts, </w:t>
      </w:r>
      <w:r w:rsidR="00C407B3">
        <w:t>“[i]</w:t>
      </w:r>
      <w:r w:rsidRPr="00C407B3" w:rsidR="00C407B3">
        <w:t>f a law requires a signature, an electronic signature satisfies the law.</w:t>
      </w:r>
      <w:r w:rsidR="00C407B3">
        <w:t>”  (§ 1633.7, subd. (d).)</w:t>
      </w:r>
      <w:r w:rsidR="005C7A0B">
        <w:t xml:space="preserve">  The court reasoned that the UETA, by its own terms, does not apply to “the creation and execution of wills, codicils, or testamentary trusts,” which the court construed to include revocable living trusts like the Trust.  (§ 1633.3, subd. (b)(1).)  The court </w:t>
      </w:r>
      <w:r w:rsidR="008C2800">
        <w:t>also</w:t>
      </w:r>
      <w:r w:rsidR="005C7A0B">
        <w:t xml:space="preserve"> found the UETA inapplicable because a trust amendment does not constitute a transaction, and </w:t>
      </w:r>
      <w:r w:rsidR="00995021">
        <w:t xml:space="preserve">by its own terms, </w:t>
      </w:r>
      <w:r w:rsidR="005C7A0B">
        <w:t xml:space="preserve">the UETA “applies only to a </w:t>
      </w:r>
      <w:r w:rsidR="005C7A0B">
        <w:rPr>
          <w:i/>
          <w:iCs/>
        </w:rPr>
        <w:t>transaction</w:t>
      </w:r>
      <w:r w:rsidR="005C7A0B">
        <w:t xml:space="preserve"> between parties</w:t>
      </w:r>
      <w:r w:rsidR="00AD55A4">
        <w:t>[</w:t>
      </w:r>
      <w:r w:rsidR="005C7A0B">
        <w:t>,</w:t>
      </w:r>
      <w:r w:rsidR="00AD55A4">
        <w:t>]</w:t>
      </w:r>
      <w:r w:rsidR="005C7A0B">
        <w:t xml:space="preserve"> each of which has agreed to conduct the transaction by electronic means.”  (§ 1633.5</w:t>
      </w:r>
      <w:r w:rsidR="007C0E29">
        <w:t>,</w:t>
      </w:r>
      <w:r w:rsidR="005C7A0B">
        <w:t xml:space="preserve"> italics added.)</w:t>
      </w:r>
      <w:r w:rsidR="008E0860">
        <w:t xml:space="preserve"> </w:t>
      </w:r>
    </w:p>
    <w:p w:rsidR="007754D8" w:rsidP="003A4758" w14:paraId="07A4AB11" w14:textId="0022B56F">
      <w:pPr>
        <w:ind w:firstLine="720"/>
      </w:pPr>
      <w:r>
        <w:t xml:space="preserve">The </w:t>
      </w:r>
      <w:r w:rsidR="00D43F1F">
        <w:t>probate</w:t>
      </w:r>
      <w:r>
        <w:t xml:space="preserve"> court further concluded that </w:t>
      </w:r>
      <w:r w:rsidR="007D713E">
        <w:t>Mary’s writings were “not explicit as to the exclusion” of Van Dyck from the Trust</w:t>
      </w:r>
      <w:r w:rsidR="001C6AEF">
        <w:t xml:space="preserve">, </w:t>
      </w:r>
      <w:r w:rsidR="00475358">
        <w:t>finding</w:t>
      </w:r>
      <w:r w:rsidR="001C6AEF">
        <w:t xml:space="preserve"> that </w:t>
      </w:r>
      <w:r w:rsidR="00903F1C">
        <w:t>Mary’s note in the questionnaire that she</w:t>
      </w:r>
      <w:r w:rsidR="001C6AEF">
        <w:t xml:space="preserve"> “would prefer to drop</w:t>
      </w:r>
      <w:r w:rsidR="00475358">
        <w:t>” Van Dyck</w:t>
      </w:r>
      <w:r w:rsidR="001C6AEF">
        <w:t xml:space="preserve"> </w:t>
      </w:r>
      <w:r w:rsidR="00475358">
        <w:t>“</w:t>
      </w:r>
      <w:r w:rsidR="001C6AEF">
        <w:t>if possible” was insufficient to effect</w:t>
      </w:r>
      <w:r w:rsidR="0052186F">
        <w:t>uate</w:t>
      </w:r>
      <w:r w:rsidR="001C6AEF">
        <w:t xml:space="preserve"> an amendment, even if </w:t>
      </w:r>
      <w:r w:rsidR="00612EF3">
        <w:t xml:space="preserve">the questionnaire had been signed.  </w:t>
      </w:r>
      <w:r w:rsidR="00B74569">
        <w:t xml:space="preserve">The court therefore instructed Timothy </w:t>
      </w:r>
      <w:r w:rsidR="00BD44B7">
        <w:t>to distribute the Trust to the beneficiaries as set forth in the original document</w:t>
      </w:r>
      <w:r w:rsidR="00EB20F9">
        <w:t xml:space="preserve">, which included Van Dyck.  Timothy timely appealed. </w:t>
      </w:r>
    </w:p>
    <w:p w:rsidR="00EB20F9" w:rsidP="00EB20F9" w14:paraId="48086261" w14:textId="0CE1E440">
      <w:pPr>
        <w:jc w:val="center"/>
      </w:pPr>
      <w:r>
        <w:t>DISCUSSION</w:t>
      </w:r>
    </w:p>
    <w:p w:rsidR="00F153AE" w:rsidP="00F153AE" w14:paraId="677B9D10" w14:textId="73666848">
      <w:r>
        <w:tab/>
      </w:r>
      <w:r w:rsidR="00626D3D">
        <w:t>Timothy</w:t>
      </w:r>
      <w:r>
        <w:t xml:space="preserve"> argues on appeal that</w:t>
      </w:r>
      <w:r w:rsidR="00444C75">
        <w:t xml:space="preserve"> the </w:t>
      </w:r>
      <w:r w:rsidR="00D43F1F">
        <w:t>probate</w:t>
      </w:r>
      <w:r w:rsidR="00444C75">
        <w:t xml:space="preserve"> court erred because</w:t>
      </w:r>
      <w:r>
        <w:t xml:space="preserve">: (1) </w:t>
      </w:r>
      <w:r w:rsidR="00444C75">
        <w:t xml:space="preserve">the Trust </w:t>
      </w:r>
      <w:r w:rsidR="00DF4CCF">
        <w:t xml:space="preserve">is not a “testamentary trust” </w:t>
      </w:r>
      <w:r w:rsidR="00F93B82">
        <w:t xml:space="preserve">for purposes of </w:t>
      </w:r>
      <w:r w:rsidR="00CE0850">
        <w:t>the UETA exclusion</w:t>
      </w:r>
      <w:r w:rsidR="00D14D3D">
        <w:t>; (2)</w:t>
      </w:r>
      <w:r w:rsidR="003E6932">
        <w:t> </w:t>
      </w:r>
      <w:r w:rsidR="00391DDC">
        <w:t>amending a trust</w:t>
      </w:r>
      <w:r w:rsidR="001E17D2">
        <w:t xml:space="preserve"> constitutes a “transaction</w:t>
      </w:r>
      <w:r w:rsidR="00864285">
        <w:t>,</w:t>
      </w:r>
      <w:r w:rsidR="001E17D2">
        <w:t>”</w:t>
      </w:r>
      <w:r w:rsidR="00864285">
        <w:t xml:space="preserve"> bring</w:t>
      </w:r>
      <w:r w:rsidR="000D6835">
        <w:t>ing</w:t>
      </w:r>
      <w:r w:rsidR="00864285">
        <w:t xml:space="preserve"> it</w:t>
      </w:r>
      <w:r w:rsidR="001E17D2">
        <w:t xml:space="preserve"> </w:t>
      </w:r>
      <w:r w:rsidR="00391DDC">
        <w:t>within</w:t>
      </w:r>
      <w:r w:rsidR="001E17D2">
        <w:t xml:space="preserve"> the UETA</w:t>
      </w:r>
      <w:r w:rsidR="000D6835">
        <w:t>’s purview</w:t>
      </w:r>
      <w:r w:rsidR="001E17D2">
        <w:t xml:space="preserve">; (3) </w:t>
      </w:r>
      <w:r w:rsidR="00864285">
        <w:t xml:space="preserve">the questionnaire </w:t>
      </w:r>
      <w:r w:rsidR="002C6429">
        <w:t>and Mary’s June 25, 2020 e</w:t>
      </w:r>
      <w:r w:rsidR="005D4756">
        <w:t>-</w:t>
      </w:r>
      <w:r w:rsidR="002C6429">
        <w:t>mail were both</w:t>
      </w:r>
      <w:r w:rsidR="00864285">
        <w:t xml:space="preserve"> </w:t>
      </w:r>
      <w:r w:rsidR="00E2296C">
        <w:t>“signed”</w:t>
      </w:r>
      <w:r w:rsidR="00B13A9F">
        <w:t xml:space="preserve"> under the UETA; </w:t>
      </w:r>
      <w:r w:rsidR="00C32A8F">
        <w:t xml:space="preserve">and </w:t>
      </w:r>
      <w:r w:rsidR="00B13A9F">
        <w:t>(4)</w:t>
      </w:r>
      <w:r w:rsidR="00C32A8F">
        <w:t xml:space="preserve"> Mary’s writings were explicit</w:t>
      </w:r>
      <w:r w:rsidR="006160C7">
        <w:t xml:space="preserve"> enough</w:t>
      </w:r>
      <w:r w:rsidR="00C32A8F">
        <w:t xml:space="preserve"> to convey</w:t>
      </w:r>
      <w:r w:rsidR="00D977CF">
        <w:t xml:space="preserve"> her intent to </w:t>
      </w:r>
      <w:r w:rsidR="00A15207">
        <w:t xml:space="preserve">amend the Trust. </w:t>
      </w:r>
      <w:r w:rsidRPr="006160C7" w:rsidR="006160C7">
        <w:t xml:space="preserve"> </w:t>
      </w:r>
      <w:r w:rsidR="006160C7">
        <w:t xml:space="preserve">We conclude that the court did not err in </w:t>
      </w:r>
      <w:r w:rsidR="00F10200">
        <w:t>finding that the trust amendment was not a transaction</w:t>
      </w:r>
      <w:r w:rsidR="00557D1D">
        <w:t xml:space="preserve"> under the UETA,</w:t>
      </w:r>
      <w:r w:rsidR="00F10200">
        <w:t xml:space="preserve"> and that Mary’s writings did not </w:t>
      </w:r>
      <w:r w:rsidR="00090491">
        <w:t xml:space="preserve">adequately express </w:t>
      </w:r>
      <w:r w:rsidR="00C6449D">
        <w:t>her intent to amend the Trust by the writings themselves</w:t>
      </w:r>
      <w:r w:rsidR="00090491">
        <w:t xml:space="preserve">.  </w:t>
      </w:r>
      <w:r w:rsidR="00176B80">
        <w:t xml:space="preserve">Because each of those grounds </w:t>
      </w:r>
      <w:r w:rsidR="00EB21CF">
        <w:t>forms</w:t>
      </w:r>
      <w:r w:rsidR="00176B80">
        <w:t xml:space="preserve"> a sufficient basis for </w:t>
      </w:r>
      <w:r w:rsidR="003D601E">
        <w:t>affirming</w:t>
      </w:r>
      <w:r w:rsidR="00090491">
        <w:t>,</w:t>
      </w:r>
      <w:r w:rsidR="006160C7">
        <w:t xml:space="preserve"> we </w:t>
      </w:r>
      <w:r w:rsidR="001B5E51">
        <w:t xml:space="preserve">need not and </w:t>
      </w:r>
      <w:r w:rsidR="003D601E">
        <w:t>do not</w:t>
      </w:r>
      <w:r w:rsidR="006160C7">
        <w:t xml:space="preserve"> decid</w:t>
      </w:r>
      <w:r w:rsidR="003D601E">
        <w:t>e</w:t>
      </w:r>
      <w:r w:rsidR="006160C7">
        <w:t xml:space="preserve"> Timothy’s </w:t>
      </w:r>
      <w:r w:rsidR="00090491">
        <w:t xml:space="preserve">other </w:t>
      </w:r>
      <w:r w:rsidR="006160C7">
        <w:t>contentions</w:t>
      </w:r>
      <w:r w:rsidR="00090491">
        <w:t>.</w:t>
      </w:r>
    </w:p>
    <w:p w:rsidR="001B5E51" w:rsidP="00624E78" w14:paraId="627D6424" w14:textId="01A053DD">
      <w:pPr>
        <w:keepNext/>
        <w:jc w:val="center"/>
      </w:pPr>
      <w:r>
        <w:t>I</w:t>
      </w:r>
    </w:p>
    <w:p w:rsidR="00855922" w:rsidP="00624E78" w14:paraId="60BBB749" w14:textId="1EE7FB71">
      <w:pPr>
        <w:keepNext/>
      </w:pPr>
      <w:r>
        <w:tab/>
      </w:r>
      <w:r w:rsidR="00626D3D">
        <w:t xml:space="preserve">We turn first to Timothy’s argument that </w:t>
      </w:r>
      <w:r w:rsidRPr="003A692A" w:rsidR="003A692A">
        <w:t xml:space="preserve">a trust amendment constitutes a transaction, bringing it </w:t>
      </w:r>
      <w:r w:rsidR="002963C9">
        <w:t>within</w:t>
      </w:r>
      <w:r w:rsidRPr="003A692A" w:rsidR="003A692A">
        <w:t xml:space="preserve"> the UETA’s purview</w:t>
      </w:r>
      <w:r w:rsidR="005B5EC8">
        <w:t xml:space="preserve">. </w:t>
      </w:r>
      <w:r w:rsidR="0045176B">
        <w:t xml:space="preserve"> </w:t>
      </w:r>
      <w:r w:rsidR="00703980">
        <w:t xml:space="preserve">We </w:t>
      </w:r>
      <w:r>
        <w:t>consider the issue de novo.</w:t>
      </w:r>
      <w:r w:rsidR="00703980">
        <w:t xml:space="preserve">  </w:t>
      </w:r>
      <w:r w:rsidRPr="00703980" w:rsidR="00703980">
        <w:t>(</w:t>
      </w:r>
      <w:r w:rsidRPr="00703980" w:rsidR="00703980">
        <w:rPr>
          <w:i/>
          <w:iCs/>
        </w:rPr>
        <w:t>B.H. v. County of San Bernardino</w:t>
      </w:r>
      <w:r w:rsidRPr="00703980" w:rsidR="00703980">
        <w:t xml:space="preserve"> (2015) 62 Cal.4th 168, 189 </w:t>
      </w:r>
      <w:r w:rsidR="00703980">
        <w:t>[</w:t>
      </w:r>
      <w:r w:rsidRPr="00703980" w:rsidR="00703980">
        <w:t>“The meaning and construction of a statute is a question of law, which we decide independently.”</w:t>
      </w:r>
      <w:r w:rsidR="00703980">
        <w:t xml:space="preserve">].) </w:t>
      </w:r>
      <w:r w:rsidRPr="00703980" w:rsidR="00703980">
        <w:t xml:space="preserve"> </w:t>
      </w:r>
    </w:p>
    <w:p w:rsidR="00390695" w:rsidP="005150D7" w14:paraId="383A6C97" w14:textId="1A9F4B6D">
      <w:pPr>
        <w:ind w:firstLine="720"/>
      </w:pPr>
      <w:r>
        <w:t xml:space="preserve">The parties do not dispute that unless Mary is deemed to have signed the writings electronically, the writings were not otherwise “signed” as required by the Trust.  </w:t>
      </w:r>
      <w:r w:rsidR="00745ED5">
        <w:t>T</w:t>
      </w:r>
      <w:r w:rsidR="0045176B">
        <w:t>he UETA</w:t>
      </w:r>
      <w:r w:rsidR="00B71D9E">
        <w:t xml:space="preserve"> </w:t>
      </w:r>
      <w:r w:rsidR="004A6194">
        <w:t>provide</w:t>
      </w:r>
      <w:r w:rsidR="00C37DEB">
        <w:t>s</w:t>
      </w:r>
      <w:r w:rsidR="004A6194">
        <w:t xml:space="preserve"> that</w:t>
      </w:r>
      <w:r w:rsidR="003835C9">
        <w:t xml:space="preserve"> in certain contexts,</w:t>
      </w:r>
      <w:r w:rsidR="00D169AD">
        <w:t xml:space="preserve"> an electronic record satisfies the requirement that a record be in writing (§</w:t>
      </w:r>
      <w:r>
        <w:t> </w:t>
      </w:r>
      <w:r w:rsidR="00D169AD">
        <w:t>1633.7, subd. (c)), and an electronic signature satisfies the requirement that the writing be signed (§</w:t>
      </w:r>
      <w:r w:rsidR="00D00B55">
        <w:t> </w:t>
      </w:r>
      <w:r w:rsidR="00D169AD">
        <w:t xml:space="preserve">1633.7, subd. (d)). </w:t>
      </w:r>
      <w:r w:rsidR="002E39EC">
        <w:t xml:space="preserve"> (See </w:t>
      </w:r>
      <w:r w:rsidRPr="002E39EC" w:rsidR="002E39EC">
        <w:rPr>
          <w:i/>
          <w:iCs/>
        </w:rPr>
        <w:t>J.B.B. Investment Partners, Ltd. v. Fair</w:t>
      </w:r>
      <w:r w:rsidR="002E39EC">
        <w:t xml:space="preserve"> (2014) 232 Cal.App.4th 974, 987–988</w:t>
      </w:r>
      <w:r w:rsidR="009C479D">
        <w:t xml:space="preserve">; </w:t>
      </w:r>
      <w:r w:rsidRPr="00DB328A" w:rsidR="009C479D">
        <w:rPr>
          <w:i/>
          <w:iCs/>
        </w:rPr>
        <w:t>Ni v. Slocum</w:t>
      </w:r>
      <w:r w:rsidRPr="009C479D" w:rsidR="009C479D">
        <w:t xml:space="preserve"> (2011) 196 Cal.App.4th 1636, 1647</w:t>
      </w:r>
      <w:r w:rsidR="00F53D98">
        <w:t xml:space="preserve"> </w:t>
      </w:r>
      <w:r w:rsidRPr="009C479D" w:rsidR="009C479D">
        <w:t>[“the Legislature has, through these provisions, expressed general approval of the use of electronic signatures in commercial and governmental transactions”].</w:t>
      </w:r>
      <w:r w:rsidR="002E39EC">
        <w:t xml:space="preserve">)  </w:t>
      </w:r>
      <w:r w:rsidR="003835C9">
        <w:t>Importantly, by its own terms, t</w:t>
      </w:r>
      <w:r w:rsidRPr="003835C9" w:rsidR="003835C9">
        <w:t xml:space="preserve">he UETA only applies “to a </w:t>
      </w:r>
      <w:r w:rsidRPr="00A10A2D" w:rsidR="003835C9">
        <w:t>transaction</w:t>
      </w:r>
      <w:r w:rsidRPr="003835C9" w:rsidR="003835C9">
        <w:t xml:space="preserve"> between parties each of which has agreed to conduct the transaction by electronic means.” </w:t>
      </w:r>
      <w:r w:rsidR="0079105B">
        <w:t xml:space="preserve"> </w:t>
      </w:r>
      <w:r w:rsidRPr="003835C9" w:rsidR="003835C9">
        <w:t>(§</w:t>
      </w:r>
      <w:r w:rsidR="00C37DEB">
        <w:t> </w:t>
      </w:r>
      <w:r w:rsidRPr="003835C9" w:rsidR="003835C9">
        <w:t>1633.5, subd. (b)</w:t>
      </w:r>
      <w:r w:rsidR="00C37DEB">
        <w:t>.)</w:t>
      </w:r>
      <w:r w:rsidR="009124BF">
        <w:t xml:space="preserve">  </w:t>
      </w:r>
      <w:r>
        <w:t>T</w:t>
      </w:r>
      <w:r w:rsidRPr="00390695">
        <w:t xml:space="preserve">he UETA defines </w:t>
      </w:r>
      <w:r>
        <w:t xml:space="preserve">“transaction” </w:t>
      </w:r>
      <w:r w:rsidRPr="00390695">
        <w:t>as “an action or set of actions occurring between two or more persons relating to the conduct of business, commercial, or governmental affairs.”  (</w:t>
      </w:r>
      <w:r>
        <w:t>§</w:t>
      </w:r>
      <w:r w:rsidRPr="00390695">
        <w:t xml:space="preserve"> 1633.2, subd. (o).)  </w:t>
      </w:r>
    </w:p>
    <w:p w:rsidR="00D169AD" w:rsidRPr="001505AE" w:rsidP="005150D7" w14:paraId="6C8DA689" w14:textId="44A5E622">
      <w:pPr>
        <w:ind w:firstLine="720"/>
      </w:pPr>
      <w:r>
        <w:t xml:space="preserve">Even though Mary was both the trustor and trustee when she </w:t>
      </w:r>
      <w:r w:rsidR="00462317">
        <w:t>sought</w:t>
      </w:r>
      <w:r>
        <w:t xml:space="preserve"> to amend the Trust, </w:t>
      </w:r>
      <w:r w:rsidR="009124BF">
        <w:t xml:space="preserve">Timothy argues that </w:t>
      </w:r>
      <w:r w:rsidR="00A21DD3">
        <w:t xml:space="preserve">the amendment </w:t>
      </w:r>
      <w:r w:rsidR="00462317">
        <w:t>was</w:t>
      </w:r>
      <w:r w:rsidR="00A21DD3">
        <w:t xml:space="preserve"> a transaction </w:t>
      </w:r>
      <w:r w:rsidR="00462317">
        <w:t>and</w:t>
      </w:r>
      <w:r w:rsidR="001505AE">
        <w:t xml:space="preserve"> not a unilateral exercise because </w:t>
      </w:r>
      <w:r w:rsidR="00E574C3">
        <w:t>the Trust</w:t>
      </w:r>
      <w:r w:rsidR="001505AE">
        <w:t xml:space="preserve"> requires both execution by the trustor </w:t>
      </w:r>
      <w:r w:rsidRPr="009A1171" w:rsidR="001505AE">
        <w:rPr>
          <w:i/>
          <w:iCs/>
        </w:rPr>
        <w:t>and</w:t>
      </w:r>
      <w:r w:rsidR="001505AE">
        <w:t xml:space="preserve"> </w:t>
      </w:r>
      <w:r w:rsidRPr="00E574C3" w:rsidR="001505AE">
        <w:rPr>
          <w:i/>
          <w:iCs/>
        </w:rPr>
        <w:t>delivery</w:t>
      </w:r>
      <w:r w:rsidR="001505AE">
        <w:t xml:space="preserve"> to the trustee.  (Prob. Code</w:t>
      </w:r>
      <w:r w:rsidR="007C0E29">
        <w:t>,</w:t>
      </w:r>
      <w:r w:rsidR="001505AE">
        <w:t xml:space="preserve"> §§ 15402 &amp; </w:t>
      </w:r>
      <w:r w:rsidR="00222380">
        <w:t xml:space="preserve">15401, subd. (a)(2).) </w:t>
      </w:r>
      <w:r w:rsidR="00EB0899">
        <w:t xml:space="preserve"> We disagree.</w:t>
      </w:r>
    </w:p>
    <w:p w:rsidR="00D169AD" w:rsidP="00EB0899" w14:paraId="113AD8D3" w14:textId="62D6EEF0">
      <w:pPr>
        <w:ind w:firstLine="720"/>
      </w:pPr>
      <w:r>
        <w:t>“</w:t>
      </w:r>
      <w:r w:rsidR="00930E64">
        <w:t xml:space="preserve"> ‘</w:t>
      </w:r>
      <w:r>
        <w:t>The goal of statutory construction is to ascertain and effectuate the intent of the Legislature.</w:t>
      </w:r>
      <w:r w:rsidR="0028678E">
        <w:t xml:space="preserve"> </w:t>
      </w:r>
      <w:r>
        <w:t xml:space="preserve"> </w:t>
      </w:r>
      <w:r w:rsidR="002D13A5">
        <w:t xml:space="preserve">[Citation.]  </w:t>
      </w:r>
      <w:r>
        <w:t xml:space="preserve">Ordinarily, the words of the statute provide the most reliable indication of legislative intent. </w:t>
      </w:r>
      <w:r w:rsidR="0028678E">
        <w:t xml:space="preserve"> </w:t>
      </w:r>
      <w:r w:rsidR="002D13A5">
        <w:t xml:space="preserve">[Citation.]  </w:t>
      </w:r>
      <w:r>
        <w:t xml:space="preserve">When the statutory language is ambiguous, the court may examine the context in which the language appears, adopting the construction that best harmonizes the statute internally and with related statutes. </w:t>
      </w:r>
      <w:r w:rsidR="002D13A5">
        <w:t xml:space="preserve"> [Citations.] </w:t>
      </w:r>
      <w:r w:rsidR="0028678E">
        <w:t xml:space="preserve"> </w:t>
      </w:r>
      <w:r w:rsidR="002D13A5">
        <w:t>“ ‘</w:t>
      </w:r>
      <w:r>
        <w:t>Both the legislative history of the statute and the wider historical circumstances of its enactment may be considered in ascertaining the legislative intent.</w:t>
      </w:r>
      <w:r w:rsidR="002D13A5">
        <w:t>’</w:t>
      </w:r>
      <w:r w:rsidR="00BE7954">
        <w:t xml:space="preserve"> ”</w:t>
      </w:r>
      <w:r w:rsidR="002D13A5">
        <w:t xml:space="preserve"> </w:t>
      </w:r>
      <w:r>
        <w:t xml:space="preserve">’ </w:t>
      </w:r>
      <w:r w:rsidR="00954695">
        <w:t>”  (</w:t>
      </w:r>
      <w:r w:rsidRPr="00954695">
        <w:rPr>
          <w:i/>
          <w:iCs/>
        </w:rPr>
        <w:t>Haggerty v. Thornton</w:t>
      </w:r>
      <w:r>
        <w:t xml:space="preserve"> (2021) 68 Cal.App.5th 1003, 1008</w:t>
      </w:r>
      <w:r w:rsidR="00954695">
        <w:t xml:space="preserve">.) </w:t>
      </w:r>
    </w:p>
    <w:p w:rsidR="00225616" w:rsidP="00EB0899" w14:paraId="3C6E89DD" w14:textId="05BAD6BC">
      <w:pPr>
        <w:ind w:firstLine="720"/>
      </w:pPr>
      <w:r>
        <w:t>A</w:t>
      </w:r>
      <w:r w:rsidR="00450DD3">
        <w:t xml:space="preserve">ssuming </w:t>
      </w:r>
      <w:r w:rsidR="000B629E">
        <w:t xml:space="preserve">for the sake of argument </w:t>
      </w:r>
      <w:r w:rsidR="00450DD3">
        <w:t xml:space="preserve">that </w:t>
      </w:r>
      <w:r w:rsidR="00BB27A2">
        <w:t xml:space="preserve">the phrase </w:t>
      </w:r>
      <w:r w:rsidR="00450DD3">
        <w:t xml:space="preserve">“two or more persons” </w:t>
      </w:r>
      <w:r>
        <w:t xml:space="preserve">can be fairly interpreted to </w:t>
      </w:r>
      <w:r w:rsidR="00475519">
        <w:t>include</w:t>
      </w:r>
      <w:r w:rsidR="000B629E">
        <w:t xml:space="preserve"> one </w:t>
      </w:r>
      <w:r w:rsidR="00475519">
        <w:t>person</w:t>
      </w:r>
      <w:r w:rsidR="006C01FE">
        <w:t xml:space="preserve"> </w:t>
      </w:r>
      <w:r w:rsidR="00BB7A41">
        <w:t>acting in</w:t>
      </w:r>
      <w:r w:rsidR="006C01FE">
        <w:t xml:space="preserve"> two or more separate </w:t>
      </w:r>
      <w:r w:rsidR="00BB7A41">
        <w:t>capacities</w:t>
      </w:r>
      <w:r w:rsidR="006C01FE">
        <w:t xml:space="preserve">, the </w:t>
      </w:r>
      <w:r w:rsidR="000472BE">
        <w:t xml:space="preserve">context in which the language appears </w:t>
      </w:r>
      <w:r w:rsidR="003070F6">
        <w:t xml:space="preserve">leads us to conclude that the </w:t>
      </w:r>
      <w:r w:rsidR="008927DD">
        <w:t xml:space="preserve">purported </w:t>
      </w:r>
      <w:r w:rsidR="003070F6">
        <w:t xml:space="preserve">trust amendment here </w:t>
      </w:r>
      <w:r w:rsidR="008927DD">
        <w:t>would</w:t>
      </w:r>
      <w:r w:rsidR="003070F6">
        <w:t xml:space="preserve"> not</w:t>
      </w:r>
      <w:r w:rsidR="008927DD">
        <w:t xml:space="preserve"> constitute</w:t>
      </w:r>
      <w:r w:rsidR="003070F6">
        <w:t xml:space="preserve"> a transaction under the UETA.</w:t>
      </w:r>
      <w:r w:rsidR="000B629E">
        <w:t xml:space="preserve"> </w:t>
      </w:r>
      <w:r>
        <w:t xml:space="preserve"> </w:t>
      </w:r>
      <w:r w:rsidR="003070F6">
        <w:t>Both</w:t>
      </w:r>
      <w:r w:rsidR="00FF70EF">
        <w:t xml:space="preserve"> </w:t>
      </w:r>
      <w:r w:rsidR="00221C4A">
        <w:t>parties</w:t>
      </w:r>
      <w:r w:rsidR="00272E90">
        <w:t xml:space="preserve"> </w:t>
      </w:r>
      <w:r w:rsidR="00221C4A">
        <w:t>rely on</w:t>
      </w:r>
      <w:r w:rsidR="00F42495">
        <w:t xml:space="preserve"> commentary</w:t>
      </w:r>
      <w:r w:rsidR="00AE7F3B">
        <w:t xml:space="preserve"> to the UETA</w:t>
      </w:r>
      <w:r w:rsidR="00F42495">
        <w:t xml:space="preserve"> from</w:t>
      </w:r>
      <w:r w:rsidR="00221C4A">
        <w:t xml:space="preserve"> </w:t>
      </w:r>
      <w:r w:rsidR="004C1537">
        <w:t xml:space="preserve">the </w:t>
      </w:r>
      <w:r w:rsidRPr="00F42495" w:rsidR="00F42495">
        <w:t>National Conference of Commissioners on Uniform State Laws</w:t>
      </w:r>
      <w:r w:rsidR="00F42495">
        <w:t xml:space="preserve"> (</w:t>
      </w:r>
      <w:r w:rsidR="008A2E8D">
        <w:t xml:space="preserve">also known as Uniform Law Commission or </w:t>
      </w:r>
      <w:r w:rsidR="00F42495">
        <w:t>ULC)</w:t>
      </w:r>
      <w:r w:rsidR="00867FFC">
        <w:t xml:space="preserve">, as did the </w:t>
      </w:r>
      <w:r w:rsidR="00D43F1F">
        <w:t>probate</w:t>
      </w:r>
      <w:r w:rsidR="00867FFC">
        <w:t xml:space="preserve"> court</w:t>
      </w:r>
      <w:r w:rsidR="00AE7F3B">
        <w:t>.</w:t>
      </w:r>
      <w:r w:rsidR="00867FFC">
        <w:t xml:space="preserve"> </w:t>
      </w:r>
      <w:r w:rsidR="00AE7F3B">
        <w:t xml:space="preserve"> W</w:t>
      </w:r>
      <w:r w:rsidR="00E247CE">
        <w:t>e</w:t>
      </w:r>
      <w:r w:rsidR="003070F6">
        <w:t xml:space="preserve"> also</w:t>
      </w:r>
      <w:r w:rsidR="00E247CE">
        <w:t xml:space="preserve"> consider the </w:t>
      </w:r>
      <w:r w:rsidR="00AE7F3B">
        <w:t xml:space="preserve">ULC’s </w:t>
      </w:r>
      <w:r w:rsidR="00E247CE">
        <w:t>comment</w:t>
      </w:r>
      <w:r w:rsidR="00214566">
        <w:t>s</w:t>
      </w:r>
      <w:r w:rsidR="003070F6">
        <w:t xml:space="preserve"> </w:t>
      </w:r>
      <w:r w:rsidRPr="00E247CE" w:rsidR="00E247CE">
        <w:t xml:space="preserve">because </w:t>
      </w:r>
      <w:r w:rsidR="00E247CE">
        <w:t xml:space="preserve">when </w:t>
      </w:r>
      <w:r w:rsidRPr="00E247CE" w:rsidR="00E247CE">
        <w:t xml:space="preserve">California </w:t>
      </w:r>
      <w:r w:rsidR="003070F6">
        <w:t>adopt</w:t>
      </w:r>
      <w:r w:rsidR="001301EE">
        <w:t>ed</w:t>
      </w:r>
      <w:r w:rsidRPr="00E247CE" w:rsidR="00E247CE">
        <w:t xml:space="preserve"> the UETA, the Legislature’s intent was “to make uniform the law with respect to the subject of this title among states enacting it.”  (</w:t>
      </w:r>
      <w:r w:rsidR="00F12D70">
        <w:t>§</w:t>
      </w:r>
      <w:r w:rsidRPr="00E247CE" w:rsidR="00E247CE">
        <w:t xml:space="preserve"> 1633.6(3)</w:t>
      </w:r>
      <w:r w:rsidR="0031048D">
        <w:t xml:space="preserve">.)  </w:t>
      </w:r>
      <w:bookmarkStart w:id="0" w:name="_Hlk170120058"/>
      <w:r w:rsidR="0031048D">
        <w:t>According to th</w:t>
      </w:r>
      <w:r w:rsidR="00AE7F3B">
        <w:t>ose</w:t>
      </w:r>
      <w:r w:rsidR="0031048D">
        <w:t xml:space="preserve"> comments</w:t>
      </w:r>
      <w:r w:rsidR="00F66E47">
        <w:t>, the term “transaction” does not include “unilateral or non-transactional actions.</w:t>
      </w:r>
      <w:r w:rsidR="00027A71">
        <w:t xml:space="preserve">”  (See </w:t>
      </w:r>
      <w:r w:rsidR="0025371C">
        <w:t>Uniform Law Commission</w:t>
      </w:r>
      <w:r w:rsidR="001865E5">
        <w:t>, Electronic Transactions Act</w:t>
      </w:r>
      <w:r w:rsidR="0025371C">
        <w:t xml:space="preserve"> (2021) </w:t>
      </w:r>
      <w:r w:rsidR="00416BE4">
        <w:t>&lt;</w:t>
      </w:r>
      <w:r w:rsidRPr="00AE7B22" w:rsidR="00AE7B22">
        <w:t>https://www.uniformlaws.org/viewdocument/final-act-21?CommunityKey=</w:t>
      </w:r>
      <w:r w:rsidRPr="005460FE" w:rsidR="00AE7B22">
        <w:t>2c04b76c-2b7d-4399-977e</w:t>
      </w:r>
      <w:r w:rsidRPr="00AE7B22" w:rsidR="00AE7B22">
        <w:t>-d5876ba7e034&amp;tab=librarydocuments</w:t>
      </w:r>
      <w:r w:rsidR="00027A71">
        <w:t>&gt;</w:t>
      </w:r>
      <w:r w:rsidR="00AE7B22">
        <w:t xml:space="preserve"> </w:t>
      </w:r>
      <w:r w:rsidR="002353BA">
        <w:t xml:space="preserve">[as of June </w:t>
      </w:r>
      <w:r w:rsidR="00863B97">
        <w:t>24</w:t>
      </w:r>
      <w:r w:rsidR="002353BA">
        <w:t>, 2024]</w:t>
      </w:r>
      <w:r w:rsidR="0025371C">
        <w:t>, archived at &lt;</w:t>
      </w:r>
      <w:r w:rsidRPr="00863B97" w:rsidR="00863B97">
        <w:t>https://perma.cc/F2KD-TGY6</w:t>
      </w:r>
      <w:r w:rsidR="0025371C">
        <w:t>&gt;</w:t>
      </w:r>
      <w:r w:rsidR="001022BE">
        <w:t>,</w:t>
      </w:r>
      <w:r w:rsidR="0025371C">
        <w:t xml:space="preserve"> UETA Final Act</w:t>
      </w:r>
      <w:r w:rsidR="001865E5">
        <w:t xml:space="preserve"> [downloadable PDF file]</w:t>
      </w:r>
      <w:r w:rsidR="0025371C">
        <w:t xml:space="preserve">, </w:t>
      </w:r>
      <w:r w:rsidRPr="0025371C" w:rsidR="0025371C">
        <w:t>Comments to UETA</w:t>
      </w:r>
      <w:r w:rsidR="00A16EF2">
        <w:t>,</w:t>
      </w:r>
      <w:r w:rsidRPr="0025371C" w:rsidR="0025371C">
        <w:t xml:space="preserve"> § 2, pp. 10–11, </w:t>
      </w:r>
      <w:r w:rsidR="0025371C">
        <w:t>archived at &lt;</w:t>
      </w:r>
      <w:r w:rsidRPr="00DE3BE9" w:rsidR="00DE3BE9">
        <w:t>https://perma.cc/U9W9-NVU4</w:t>
      </w:r>
      <w:r w:rsidR="00DE3BE9">
        <w:t>&gt;</w:t>
      </w:r>
      <w:r w:rsidR="002353BA">
        <w:t xml:space="preserve">.) </w:t>
      </w:r>
      <w:r w:rsidR="007230AF">
        <w:t xml:space="preserve"> </w:t>
      </w:r>
      <w:r w:rsidR="00EA0DAB">
        <w:t>Importantly, after</w:t>
      </w:r>
      <w:r w:rsidR="00D013CD">
        <w:t xml:space="preserve"> listing examples of what constitutes a transaction</w:t>
      </w:r>
      <w:r w:rsidR="00502686">
        <w:t>,</w:t>
      </w:r>
      <w:r w:rsidR="00DE401E">
        <w:t xml:space="preserve"> the </w:t>
      </w:r>
      <w:r w:rsidR="00463DB5">
        <w:t>comments state</w:t>
      </w:r>
      <w:r w:rsidR="00DE401E">
        <w:t xml:space="preserve"> that</w:t>
      </w:r>
      <w:r w:rsidR="00502686">
        <w:t xml:space="preserve"> “[a]</w:t>
      </w:r>
      <w:r w:rsidR="00DE401E">
        <w:t xml:space="preserve"> </w:t>
      </w:r>
      <w:r w:rsidRPr="0050766A" w:rsidR="0050766A">
        <w:t xml:space="preserve">transaction must include interaction between two or more persons. </w:t>
      </w:r>
      <w:r w:rsidR="00463DB5">
        <w:t xml:space="preserve"> </w:t>
      </w:r>
      <w:r w:rsidRPr="0050766A" w:rsidR="0050766A">
        <w:t xml:space="preserve">Consequently, to the extent that the execution of a will, </w:t>
      </w:r>
      <w:r w:rsidRPr="00463DB5" w:rsidR="0050766A">
        <w:rPr>
          <w:i/>
          <w:iCs/>
        </w:rPr>
        <w:t>trust</w:t>
      </w:r>
      <w:r w:rsidRPr="0050766A" w:rsidR="0050766A">
        <w:t>, or a health care power of attorney or similar health care designation does not involve another person and is a unilateral act, it would not be covered by this Act</w:t>
      </w:r>
      <w:r w:rsidR="00463DB5">
        <w:t>”</w:t>
      </w:r>
      <w:r w:rsidRPr="0050766A" w:rsidR="0050766A">
        <w:t xml:space="preserve"> because</w:t>
      </w:r>
      <w:r w:rsidR="002F1A86">
        <w:t xml:space="preserve"> it is “</w:t>
      </w:r>
      <w:r w:rsidRPr="0050766A" w:rsidR="0050766A">
        <w:t>not occurring as a part of a transaction as defined in this Act.</w:t>
      </w:r>
      <w:r w:rsidR="002F1A86">
        <w:t>”</w:t>
      </w:r>
      <w:r w:rsidRPr="0050766A" w:rsidR="0050766A">
        <w:t xml:space="preserve"> </w:t>
      </w:r>
      <w:r w:rsidR="002F1A86">
        <w:t xml:space="preserve"> (</w:t>
      </w:r>
      <w:r w:rsidR="00DE3BE9">
        <w:t>UETA Final Act</w:t>
      </w:r>
      <w:r w:rsidR="001865E5">
        <w:t xml:space="preserve"> [downloadable PDF file]</w:t>
      </w:r>
      <w:r w:rsidR="00DE3BE9">
        <w:t xml:space="preserve">, </w:t>
      </w:r>
      <w:r w:rsidRPr="0025371C" w:rsidR="002D13A5">
        <w:t>Comments to UETA</w:t>
      </w:r>
      <w:r w:rsidR="002D13A5">
        <w:t>,</w:t>
      </w:r>
      <w:r w:rsidRPr="0025371C" w:rsidR="002D13A5">
        <w:t xml:space="preserve"> § 2, </w:t>
      </w:r>
      <w:r w:rsidR="00997DB5">
        <w:t>p.</w:t>
      </w:r>
      <w:r w:rsidR="00D9208B">
        <w:t> </w:t>
      </w:r>
      <w:r w:rsidR="00997DB5">
        <w:t>11</w:t>
      </w:r>
      <w:r w:rsidR="007C0E29">
        <w:t>,</w:t>
      </w:r>
      <w:r w:rsidR="00BA5C01">
        <w:t xml:space="preserve"> italics added, archived at &lt;</w:t>
      </w:r>
      <w:r w:rsidRPr="00DE3BE9" w:rsidR="00BA5C01">
        <w:t>https://perma.cc/U9W9-NVU4</w:t>
      </w:r>
      <w:r w:rsidR="00BA5C01">
        <w:t>&gt;</w:t>
      </w:r>
      <w:r w:rsidR="00997DB5">
        <w:t xml:space="preserve">.) </w:t>
      </w:r>
    </w:p>
    <w:bookmarkEnd w:id="0"/>
    <w:p w:rsidR="00DA0CAF" w:rsidRPr="00997DB5" w:rsidP="00EB0899" w14:paraId="777165D5" w14:textId="333BC65F">
      <w:pPr>
        <w:ind w:firstLine="720"/>
      </w:pPr>
      <w:r>
        <w:t>The</w:t>
      </w:r>
      <w:r w:rsidR="00D9208B">
        <w:t xml:space="preserve"> ULC</w:t>
      </w:r>
      <w:r>
        <w:t xml:space="preserve"> comments make clear that t</w:t>
      </w:r>
      <w:r>
        <w:t xml:space="preserve">he </w:t>
      </w:r>
      <w:r w:rsidR="00B726AC">
        <w:t xml:space="preserve">purported </w:t>
      </w:r>
      <w:r w:rsidR="00457BCE">
        <w:t xml:space="preserve">trust </w:t>
      </w:r>
      <w:r w:rsidR="00B726AC">
        <w:t xml:space="preserve">amendment </w:t>
      </w:r>
      <w:r w:rsidR="00457BCE">
        <w:t xml:space="preserve">in this case </w:t>
      </w:r>
      <w:r w:rsidR="00B726AC">
        <w:t xml:space="preserve">falls </w:t>
      </w:r>
      <w:r w:rsidR="00C553C5">
        <w:t>in</w:t>
      </w:r>
      <w:r w:rsidR="00B726AC">
        <w:t xml:space="preserve"> the category of unilateral acts </w:t>
      </w:r>
      <w:r>
        <w:t xml:space="preserve">excluded from the UETA. </w:t>
      </w:r>
      <w:r w:rsidR="00DF47AC">
        <w:t xml:space="preserve"> </w:t>
      </w:r>
      <w:r w:rsidR="00A17FA2">
        <w:t xml:space="preserve">As sole trustor, Mary had a right to amend the Trust by a unilateral act.  The mere delivery of such an amendment to the trustee (herself) would not constitute a “transaction between parties” within the meaning of the UETA.  </w:t>
      </w:r>
      <w:r w:rsidRPr="003835C9" w:rsidR="00A17FA2">
        <w:t>(§</w:t>
      </w:r>
      <w:r w:rsidR="00A17FA2">
        <w:t> </w:t>
      </w:r>
      <w:r w:rsidRPr="003835C9" w:rsidR="00A17FA2">
        <w:t>1633.5</w:t>
      </w:r>
      <w:r w:rsidR="00A17FA2">
        <w:t xml:space="preserve">, subd. (b).)  </w:t>
      </w:r>
      <w:r w:rsidR="00BD3FC2">
        <w:t>E</w:t>
      </w:r>
      <w:r w:rsidR="002963C9">
        <w:t>ven if the trustee were someone other than Mary,</w:t>
      </w:r>
      <w:r w:rsidR="00CE77D5">
        <w:t xml:space="preserve"> transmitting</w:t>
      </w:r>
      <w:r w:rsidR="002963C9">
        <w:t xml:space="preserve"> </w:t>
      </w:r>
      <w:r w:rsidR="00CE77D5">
        <w:t xml:space="preserve">such </w:t>
      </w:r>
      <w:r w:rsidR="002963C9">
        <w:t xml:space="preserve">a unilateral amendment to the </w:t>
      </w:r>
      <w:r w:rsidR="00CE77D5">
        <w:t>trustee</w:t>
      </w:r>
      <w:r w:rsidR="002963C9">
        <w:t xml:space="preserve"> would not constitute a transaction “</w:t>
      </w:r>
      <w:r w:rsidRPr="00390695" w:rsidR="002963C9">
        <w:t>occurring between two or more persons relating to the conduct of business, commercial, or governmental affairs.”  (</w:t>
      </w:r>
      <w:r w:rsidR="002963C9">
        <w:t>§</w:t>
      </w:r>
      <w:r w:rsidRPr="00390695" w:rsidR="002963C9">
        <w:t xml:space="preserve"> 1633.2, subd. (o).)</w:t>
      </w:r>
      <w:r w:rsidR="002963C9">
        <w:t xml:space="preserve">  </w:t>
      </w:r>
      <w:r w:rsidR="00CE77D5">
        <w:t xml:space="preserve">Merely delivering a document to someone is no more of a </w:t>
      </w:r>
      <w:r w:rsidR="00FA239B">
        <w:t>“</w:t>
      </w:r>
      <w:r w:rsidR="00CE77D5">
        <w:t>transaction</w:t>
      </w:r>
      <w:r w:rsidR="00FA239B">
        <w:t>”</w:t>
      </w:r>
      <w:r w:rsidR="00CE77D5">
        <w:t xml:space="preserve"> than sending someone a letter.  </w:t>
      </w:r>
      <w:r>
        <w:t xml:space="preserve">Accordingly, we </w:t>
      </w:r>
      <w:r w:rsidR="00AE6442">
        <w:t>conclude</w:t>
      </w:r>
      <w:r>
        <w:t xml:space="preserve"> that </w:t>
      </w:r>
      <w:r w:rsidR="00B53907">
        <w:t>the UETA’s electronic signature provisions do not apply to Mary’s writings</w:t>
      </w:r>
      <w:r w:rsidR="00AE6442">
        <w:t xml:space="preserve">, and the </w:t>
      </w:r>
      <w:r w:rsidR="00D43F1F">
        <w:t xml:space="preserve">probate </w:t>
      </w:r>
      <w:r w:rsidR="00AE6442">
        <w:t xml:space="preserve">court did not err in finding that </w:t>
      </w:r>
      <w:r w:rsidR="00B7277C">
        <w:t>neither the e</w:t>
      </w:r>
      <w:r w:rsidR="005D4756">
        <w:t>-</w:t>
      </w:r>
      <w:r w:rsidR="00B7277C">
        <w:t>mails nor the</w:t>
      </w:r>
      <w:r w:rsidR="007254A2">
        <w:t xml:space="preserve"> attached</w:t>
      </w:r>
      <w:r w:rsidR="00B7277C">
        <w:t xml:space="preserve"> questionnaire w</w:t>
      </w:r>
      <w:r w:rsidR="00BC4DD1">
        <w:t>as</w:t>
      </w:r>
      <w:r w:rsidR="00B7277C">
        <w:t xml:space="preserve"> properly “signed” to effectuate an amendment to the Trust.</w:t>
      </w:r>
      <w:r>
        <w:rPr>
          <w:rStyle w:val="FootnoteReference"/>
        </w:rPr>
        <w:footnoteReference w:id="3"/>
      </w:r>
    </w:p>
    <w:p w:rsidR="001B5E51" w:rsidP="002B7E5A" w14:paraId="55C9E75F" w14:textId="3CBCB193">
      <w:pPr>
        <w:keepNext/>
        <w:jc w:val="center"/>
      </w:pPr>
      <w:r>
        <w:t>II</w:t>
      </w:r>
    </w:p>
    <w:p w:rsidR="001B5E51" w:rsidP="002B7E5A" w14:paraId="781DEE26" w14:textId="6C9B09DA">
      <w:pPr>
        <w:keepNext/>
      </w:pPr>
      <w:r>
        <w:tab/>
        <w:t xml:space="preserve">Although </w:t>
      </w:r>
      <w:r w:rsidR="009C6B76">
        <w:t xml:space="preserve">the lack of a proper signature is </w:t>
      </w:r>
      <w:r w:rsidR="00A80E93">
        <w:t xml:space="preserve">a </w:t>
      </w:r>
      <w:r w:rsidR="009C6B76">
        <w:t xml:space="preserve">sufficient ground </w:t>
      </w:r>
      <w:r w:rsidR="00E668C7">
        <w:t xml:space="preserve">to </w:t>
      </w:r>
      <w:r w:rsidR="009C6B76">
        <w:t xml:space="preserve">affirm, we also conclude that </w:t>
      </w:r>
      <w:r w:rsidR="00FE42B3">
        <w:t xml:space="preserve">the </w:t>
      </w:r>
      <w:r w:rsidR="00D43F1F">
        <w:t xml:space="preserve">probate </w:t>
      </w:r>
      <w:r w:rsidR="00FE42B3">
        <w:t>court had a</w:t>
      </w:r>
      <w:r w:rsidR="009910B0">
        <w:t>nother</w:t>
      </w:r>
      <w:r w:rsidR="00FE42B3">
        <w:t xml:space="preserve"> </w:t>
      </w:r>
      <w:r w:rsidR="00A17FA2">
        <w:t>valid</w:t>
      </w:r>
      <w:r w:rsidR="00FE42B3">
        <w:t xml:space="preserve"> basis for its order: Mary’s writings did not adequately </w:t>
      </w:r>
      <w:r w:rsidR="00E147A9">
        <w:t xml:space="preserve">express </w:t>
      </w:r>
      <w:r w:rsidR="00906CC1">
        <w:t xml:space="preserve">an intent to </w:t>
      </w:r>
      <w:r w:rsidR="00C6449D">
        <w:t>amend the trust by the writings themselves</w:t>
      </w:r>
      <w:r w:rsidR="00FE42B3">
        <w:t>.</w:t>
      </w:r>
      <w:r w:rsidR="0069408C">
        <w:t xml:space="preserve">  </w:t>
      </w:r>
      <w:r w:rsidRPr="0069408C" w:rsidR="0069408C">
        <w:t xml:space="preserve">“The interpretation of a written instrument, including a </w:t>
      </w:r>
      <w:r w:rsidR="003B384D">
        <w:t>. . .</w:t>
      </w:r>
      <w:r w:rsidRPr="0069408C" w:rsidR="0069408C">
        <w:t xml:space="preserve"> declaration of trust, presents a question of law unless interpretation turns on the competence or credibility of extrinsic evidence or a conflict therein. </w:t>
      </w:r>
      <w:r w:rsidR="009910B0">
        <w:t xml:space="preserve"> </w:t>
      </w:r>
      <w:r w:rsidRPr="0069408C" w:rsidR="0069408C">
        <w:t>Accordingly, a reviewing court is not bound by the lower court</w:t>
      </w:r>
      <w:r w:rsidR="009910B0">
        <w:t>’</w:t>
      </w:r>
      <w:r w:rsidRPr="0069408C" w:rsidR="0069408C">
        <w:t xml:space="preserve">s interpretation but must independently construe the instrument at issue.” </w:t>
      </w:r>
      <w:r w:rsidR="009910B0">
        <w:t xml:space="preserve"> </w:t>
      </w:r>
      <w:r w:rsidRPr="0069408C" w:rsidR="0069408C">
        <w:t>(</w:t>
      </w:r>
      <w:r w:rsidRPr="009910B0" w:rsidR="0069408C">
        <w:rPr>
          <w:i/>
          <w:iCs/>
        </w:rPr>
        <w:t>Poag v. Winston</w:t>
      </w:r>
      <w:r w:rsidRPr="0069408C" w:rsidR="0069408C">
        <w:t xml:space="preserve"> (1987) 195 Cal.App.3d 1161, 1173; see </w:t>
      </w:r>
      <w:r w:rsidRPr="009910B0" w:rsidR="0069408C">
        <w:rPr>
          <w:i/>
          <w:iCs/>
        </w:rPr>
        <w:t>Wells Fargo Bank v. Marshall</w:t>
      </w:r>
      <w:r w:rsidRPr="0069408C" w:rsidR="0069408C">
        <w:t xml:space="preserve"> (1993) 20 Cal.App.4th 447, 452</w:t>
      </w:r>
      <w:r w:rsidR="009910B0">
        <w:t>–</w:t>
      </w:r>
      <w:r w:rsidRPr="0069408C" w:rsidR="0069408C">
        <w:t xml:space="preserve">453.) </w:t>
      </w:r>
      <w:r w:rsidR="00D80A70">
        <w:t xml:space="preserve"> Because</w:t>
      </w:r>
      <w:r w:rsidRPr="0069408C" w:rsidR="0069408C">
        <w:t xml:space="preserve"> the facts of the case are not in dispute, we review </w:t>
      </w:r>
      <w:r w:rsidR="00975F27">
        <w:t>Mary’s writings</w:t>
      </w:r>
      <w:r w:rsidRPr="0069408C" w:rsidR="0069408C">
        <w:t xml:space="preserve"> de novo.</w:t>
      </w:r>
    </w:p>
    <w:p w:rsidR="0050783F" w:rsidRPr="00F1081E" w:rsidP="001B5E51" w14:paraId="289AE623" w14:textId="5712793B">
      <w:r>
        <w:tab/>
      </w:r>
      <w:r w:rsidR="004B7726">
        <w:t xml:space="preserve">Before discerning </w:t>
      </w:r>
      <w:r w:rsidR="00582437">
        <w:t xml:space="preserve">what </w:t>
      </w:r>
      <w:r w:rsidR="001F2D27">
        <w:t>a</w:t>
      </w:r>
      <w:r w:rsidR="00067DBE">
        <w:t xml:space="preserve"> trustor</w:t>
      </w:r>
      <w:r w:rsidR="008B539F">
        <w:t xml:space="preserve"> or testator</w:t>
      </w:r>
      <w:r w:rsidR="00422DDD">
        <w:t xml:space="preserve"> </w:t>
      </w:r>
      <w:r w:rsidR="000F0A83">
        <w:t>intended</w:t>
      </w:r>
      <w:r w:rsidR="00840002">
        <w:t xml:space="preserve"> by</w:t>
      </w:r>
      <w:r w:rsidR="00422DDD">
        <w:t xml:space="preserve"> the</w:t>
      </w:r>
      <w:r w:rsidR="003D2178">
        <w:t xml:space="preserve"> specific</w:t>
      </w:r>
      <w:r w:rsidR="00422DDD">
        <w:t xml:space="preserve"> language </w:t>
      </w:r>
      <w:r w:rsidR="003D2178">
        <w:t>in</w:t>
      </w:r>
      <w:r w:rsidR="00422DDD">
        <w:t xml:space="preserve"> </w:t>
      </w:r>
      <w:r w:rsidR="008B539F">
        <w:t xml:space="preserve">a purported </w:t>
      </w:r>
      <w:r w:rsidR="00435F16">
        <w:t>trust or will</w:t>
      </w:r>
      <w:r w:rsidR="00422DDD">
        <w:t xml:space="preserve"> </w:t>
      </w:r>
      <w:r w:rsidR="006355AC">
        <w:t>document,</w:t>
      </w:r>
      <w:r w:rsidR="00CD1805">
        <w:t xml:space="preserve"> as a general matter</w:t>
      </w:r>
      <w:r w:rsidR="006355AC">
        <w:t xml:space="preserve"> i</w:t>
      </w:r>
      <w:r w:rsidRPr="006355AC" w:rsidR="006355AC">
        <w:t xml:space="preserve">t must </w:t>
      </w:r>
      <w:r w:rsidR="003D2178">
        <w:t>first “</w:t>
      </w:r>
      <w:r w:rsidRPr="006355AC" w:rsidR="006355AC">
        <w:t xml:space="preserve">appear that </w:t>
      </w:r>
      <w:r w:rsidR="003D2178">
        <w:t xml:space="preserve">[the] </w:t>
      </w:r>
      <w:r w:rsidRPr="006355AC" w:rsidR="006355AC">
        <w:t xml:space="preserve">decedent intended to make a testamentary disposition </w:t>
      </w:r>
      <w:r w:rsidRPr="00146157" w:rsidR="006355AC">
        <w:rPr>
          <w:i/>
          <w:iCs/>
        </w:rPr>
        <w:t>by</w:t>
      </w:r>
      <w:r w:rsidRPr="006355AC" w:rsidR="006355AC">
        <w:t xml:space="preserve"> </w:t>
      </w:r>
      <w:r w:rsidRPr="00422DDD" w:rsidR="006355AC">
        <w:rPr>
          <w:i/>
          <w:iCs/>
        </w:rPr>
        <w:t>that particular paper</w:t>
      </w:r>
      <w:r w:rsidRPr="006355AC" w:rsidR="006355AC">
        <w:t xml:space="preserve">, and if this cannot be shown it is immaterial that </w:t>
      </w:r>
      <w:r w:rsidR="0049657C">
        <w:t>[her]</w:t>
      </w:r>
      <w:r w:rsidRPr="006355AC" w:rsidR="006355AC">
        <w:t xml:space="preserve"> testamentary intentions </w:t>
      </w:r>
      <w:r w:rsidRPr="006355AC" w:rsidR="00A8343D">
        <w:t>were</w:t>
      </w:r>
      <w:r w:rsidR="00A8343D">
        <w:t> . . . </w:t>
      </w:r>
      <w:r w:rsidRPr="006355AC" w:rsidR="006355AC">
        <w:t xml:space="preserve">in conformity with it.” </w:t>
      </w:r>
      <w:r w:rsidR="009C296D">
        <w:t xml:space="preserve"> </w:t>
      </w:r>
      <w:r w:rsidRPr="006355AC" w:rsidR="006355AC">
        <w:t>(</w:t>
      </w:r>
      <w:r w:rsidRPr="009C296D" w:rsidR="006355AC">
        <w:rPr>
          <w:i/>
          <w:iCs/>
        </w:rPr>
        <w:t>Estate of Wong</w:t>
      </w:r>
      <w:r w:rsidRPr="006355AC" w:rsidR="006355AC">
        <w:t xml:space="preserve"> (1995) 40 Cal.App.4th 1198, 1205.)</w:t>
      </w:r>
      <w:r w:rsidR="009B241B">
        <w:t xml:space="preserve">  </w:t>
      </w:r>
      <w:r>
        <w:t xml:space="preserve">In other words, </w:t>
      </w:r>
      <w:r w:rsidR="000F0A83">
        <w:t xml:space="preserve">before we examine the meaning of </w:t>
      </w:r>
      <w:r w:rsidR="00C16493">
        <w:t>an</w:t>
      </w:r>
      <w:r w:rsidR="000F0A83">
        <w:t xml:space="preserve"> instrument</w:t>
      </w:r>
      <w:r w:rsidR="00AA636B">
        <w:t xml:space="preserve">, we consider “the intention with which it was executed” or written </w:t>
      </w:r>
      <w:r w:rsidRPr="00AA636B" w:rsidR="00AA636B">
        <w:t>(</w:t>
      </w:r>
      <w:r w:rsidRPr="00AA636B" w:rsidR="00AA636B">
        <w:rPr>
          <w:i/>
          <w:iCs/>
        </w:rPr>
        <w:t>Estate of Sargavak</w:t>
      </w:r>
      <w:r w:rsidRPr="00AA636B" w:rsidR="00AA636B">
        <w:t xml:space="preserve"> (1950) 35 Cal.2d 93, 9</w:t>
      </w:r>
      <w:r w:rsidR="00AD55A4">
        <w:t>6</w:t>
      </w:r>
      <w:r w:rsidRPr="00AA636B" w:rsidR="00AA636B">
        <w:t>)</w:t>
      </w:r>
      <w:r w:rsidR="00EA1706">
        <w:t xml:space="preserve"> to determine </w:t>
      </w:r>
      <w:r w:rsidR="00AC2B1B">
        <w:t>whether the decedent intended th</w:t>
      </w:r>
      <w:r w:rsidR="00F1081E">
        <w:t>at the trust be amended by the</w:t>
      </w:r>
      <w:r w:rsidR="00AC2B1B">
        <w:t xml:space="preserve"> writing </w:t>
      </w:r>
      <w:r w:rsidRPr="00B518CB" w:rsidR="00F1081E">
        <w:rPr>
          <w:i/>
          <w:iCs/>
        </w:rPr>
        <w:t>itself</w:t>
      </w:r>
      <w:r w:rsidR="00416121">
        <w:t>,</w:t>
      </w:r>
      <w:r w:rsidR="00557093">
        <w:t xml:space="preserve"> and not some subsequent document (</w:t>
      </w:r>
      <w:r w:rsidRPr="00CE42CC" w:rsidR="00CE42CC">
        <w:rPr>
          <w:i/>
          <w:iCs/>
        </w:rPr>
        <w:t>Pena v. Dey</w:t>
      </w:r>
      <w:r w:rsidRPr="00CE42CC" w:rsidR="00CE42CC">
        <w:t xml:space="preserve"> (2019) 39 Cal.App.5th 546</w:t>
      </w:r>
      <w:r w:rsidR="00CE42CC">
        <w:t>, 554</w:t>
      </w:r>
      <w:r w:rsidR="005A341A">
        <w:t xml:space="preserve"> (</w:t>
      </w:r>
      <w:r w:rsidR="005A341A">
        <w:rPr>
          <w:i/>
          <w:iCs/>
        </w:rPr>
        <w:t>Pena</w:t>
      </w:r>
      <w:r w:rsidR="005A341A">
        <w:t>)</w:t>
      </w:r>
      <w:r w:rsidR="00B80B83">
        <w:t xml:space="preserve"> [</w:t>
      </w:r>
      <w:r w:rsidR="00CD2822">
        <w:t>no testamentary intent in</w:t>
      </w:r>
      <w:r w:rsidR="00B80B83">
        <w:t xml:space="preserve"> </w:t>
      </w:r>
      <w:r w:rsidR="00B518CB">
        <w:t xml:space="preserve">decedent’s </w:t>
      </w:r>
      <w:r w:rsidR="00536A9D">
        <w:t xml:space="preserve">written </w:t>
      </w:r>
      <w:r w:rsidR="00B80B83">
        <w:t>interlineations</w:t>
      </w:r>
      <w:r w:rsidR="00B518CB">
        <w:t xml:space="preserve"> to trust document</w:t>
      </w:r>
      <w:r w:rsidR="00210EAE">
        <w:t>,</w:t>
      </w:r>
      <w:r w:rsidR="00B80B83">
        <w:t xml:space="preserve"> </w:t>
      </w:r>
      <w:r w:rsidR="006A0577">
        <w:t>or</w:t>
      </w:r>
      <w:r w:rsidR="00210EAE">
        <w:t xml:space="preserve"> in</w:t>
      </w:r>
      <w:r w:rsidR="00536A9D">
        <w:t xml:space="preserve"> an accompanying </w:t>
      </w:r>
      <w:r w:rsidR="0034635B">
        <w:t>sticky</w:t>
      </w:r>
      <w:r w:rsidR="00536A9D">
        <w:t xml:space="preserve"> note</w:t>
      </w:r>
      <w:r w:rsidR="00210EAE">
        <w:t>,</w:t>
      </w:r>
      <w:r w:rsidR="00B518CB">
        <w:t xml:space="preserve"> because they were sent to his attorney with the intent to have the interlineations incorporated into a </w:t>
      </w:r>
      <w:r w:rsidR="00210EAE">
        <w:t xml:space="preserve">subsequent </w:t>
      </w:r>
      <w:r w:rsidR="00B518CB">
        <w:t>formal amendment to the trust]</w:t>
      </w:r>
      <w:r w:rsidR="00741026">
        <w:t>)</w:t>
      </w:r>
      <w:r w:rsidR="00B518CB">
        <w:t>.</w:t>
      </w:r>
      <w:r>
        <w:rPr>
          <w:rStyle w:val="FootnoteReference"/>
        </w:rPr>
        <w:footnoteReference w:id="4"/>
      </w:r>
    </w:p>
    <w:p w:rsidR="00F67E47" w:rsidP="001B5E51" w14:paraId="6ED94823" w14:textId="4A5AF2FF">
      <w:r>
        <w:tab/>
      </w:r>
      <w:r w:rsidR="00CE55A0">
        <w:t xml:space="preserve">Mary’s writings </w:t>
      </w:r>
      <w:r w:rsidR="00984904">
        <w:t>do not</w:t>
      </w:r>
      <w:r w:rsidR="00A03645">
        <w:t xml:space="preserve"> </w:t>
      </w:r>
      <w:r w:rsidR="003D6E8A">
        <w:t>show</w:t>
      </w:r>
      <w:r w:rsidR="00984904">
        <w:t xml:space="preserve"> </w:t>
      </w:r>
      <w:r w:rsidR="00F017DC">
        <w:t>that she intended for her e</w:t>
      </w:r>
      <w:r w:rsidR="005D4756">
        <w:t>-</w:t>
      </w:r>
      <w:r w:rsidR="00F017DC">
        <w:t xml:space="preserve">mails and the questionnaire to </w:t>
      </w:r>
      <w:r w:rsidR="00F017DC">
        <w:rPr>
          <w:i/>
          <w:iCs/>
        </w:rPr>
        <w:t>themselves</w:t>
      </w:r>
      <w:r w:rsidR="00F017DC">
        <w:t xml:space="preserve"> </w:t>
      </w:r>
      <w:r w:rsidR="00F2289E">
        <w:t xml:space="preserve">make a disposition of her property.  </w:t>
      </w:r>
      <w:r w:rsidR="0061453A">
        <w:t>To establish such a</w:t>
      </w:r>
      <w:r w:rsidR="00C6449D">
        <w:t>n</w:t>
      </w:r>
      <w:r w:rsidR="0061453A">
        <w:t xml:space="preserve"> intent, </w:t>
      </w:r>
      <w:r>
        <w:t>“</w:t>
      </w:r>
      <w:r w:rsidR="00AD55A4">
        <w:t xml:space="preserve"> ‘</w:t>
      </w:r>
      <w:r>
        <w:t xml:space="preserve">it must satisfactorily appear that the maker of the instrument intended </w:t>
      </w:r>
      <w:r>
        <w:rPr>
          <w:i/>
          <w:iCs/>
        </w:rPr>
        <w:t>by the very paper itself</w:t>
      </w:r>
      <w:r>
        <w:t xml:space="preserve"> to make a disposition</w:t>
      </w:r>
      <w:r w:rsidR="00AD55A4">
        <w:t xml:space="preserve">’ </w:t>
      </w:r>
      <w:r>
        <w:t>” of her property</w:t>
      </w:r>
      <w:r w:rsidR="000A7E1D">
        <w:t>.</w:t>
      </w:r>
      <w:r>
        <w:t xml:space="preserve"> </w:t>
      </w:r>
      <w:r w:rsidR="000A7E1D">
        <w:t xml:space="preserve"> </w:t>
      </w:r>
      <w:r w:rsidR="0012131B">
        <w:t>(</w:t>
      </w:r>
      <w:r w:rsidR="00763721">
        <w:t xml:space="preserve">See </w:t>
      </w:r>
      <w:r w:rsidR="00AD55A4">
        <w:rPr>
          <w:i/>
          <w:iCs/>
        </w:rPr>
        <w:t xml:space="preserve">Estate of </w:t>
      </w:r>
      <w:r w:rsidRPr="00763721" w:rsidR="00763721">
        <w:rPr>
          <w:i/>
          <w:iCs/>
        </w:rPr>
        <w:t>Beebee</w:t>
      </w:r>
      <w:r w:rsidRPr="00763721" w:rsidR="00763721">
        <w:t xml:space="preserve"> (1953) 118 Cal.App.2d 851, 858</w:t>
      </w:r>
      <w:r w:rsidR="000B3FBF">
        <w:t>.)</w:t>
      </w:r>
      <w:r w:rsidR="003D6E8A">
        <w:t xml:space="preserve">  </w:t>
      </w:r>
      <w:r w:rsidR="00056A0C">
        <w:t>Here, t</w:t>
      </w:r>
      <w:r w:rsidR="002E44B0">
        <w:t xml:space="preserve">he language and context of the </w:t>
      </w:r>
      <w:r w:rsidR="00056A0C">
        <w:t>writings, both individually and considered together,</w:t>
      </w:r>
      <w:r w:rsidR="002E44B0">
        <w:t xml:space="preserve"> </w:t>
      </w:r>
      <w:r w:rsidR="00984904">
        <w:t>demonstrate</w:t>
      </w:r>
      <w:r w:rsidR="002E44B0">
        <w:t xml:space="preserve"> </w:t>
      </w:r>
      <w:r w:rsidR="0050783F">
        <w:t xml:space="preserve">they were drafted in </w:t>
      </w:r>
      <w:r w:rsidR="0050783F">
        <w:rPr>
          <w:i/>
          <w:iCs/>
        </w:rPr>
        <w:t>anticipation</w:t>
      </w:r>
      <w:r w:rsidR="0050783F">
        <w:t xml:space="preserve"> of a f</w:t>
      </w:r>
      <w:r w:rsidR="00694720">
        <w:t>ormal</w:t>
      </w:r>
      <w:r w:rsidR="0050783F">
        <w:t xml:space="preserve"> amendment. </w:t>
      </w:r>
      <w:r w:rsidR="000E2811">
        <w:t xml:space="preserve"> </w:t>
      </w:r>
      <w:r w:rsidR="0012001E">
        <w:t xml:space="preserve">Mary’s </w:t>
      </w:r>
      <w:r w:rsidR="000E2811">
        <w:t>June 25, 2020 e</w:t>
      </w:r>
      <w:r w:rsidR="005D4756">
        <w:t>-</w:t>
      </w:r>
      <w:r w:rsidR="000E2811">
        <w:t>mail</w:t>
      </w:r>
      <w:r w:rsidR="0012001E">
        <w:t xml:space="preserve"> to Timothy </w:t>
      </w:r>
      <w:r w:rsidR="00871260">
        <w:t>stated</w:t>
      </w:r>
      <w:r w:rsidR="0012001E">
        <w:t xml:space="preserve"> that her mind was clear “as to how to </w:t>
      </w:r>
      <w:r w:rsidRPr="00871260" w:rsidR="0012001E">
        <w:rPr>
          <w:i/>
          <w:iCs/>
        </w:rPr>
        <w:t>move</w:t>
      </w:r>
      <w:r w:rsidR="0012001E">
        <w:t xml:space="preserve"> </w:t>
      </w:r>
      <w:r w:rsidR="00C66BB1">
        <w:rPr>
          <w:i/>
          <w:iCs/>
        </w:rPr>
        <w:t>forward</w:t>
      </w:r>
      <w:r w:rsidR="00C66BB1">
        <w:t xml:space="preserve"> on the house and will</w:t>
      </w:r>
      <w:r w:rsidR="002A7322">
        <w:t xml:space="preserve">[,]” that </w:t>
      </w:r>
      <w:r w:rsidR="001D7F7E">
        <w:t>she would write it out</w:t>
      </w:r>
      <w:r w:rsidR="002A7322">
        <w:t>,</w:t>
      </w:r>
      <w:r w:rsidR="001D7F7E">
        <w:t xml:space="preserve"> “and then </w:t>
      </w:r>
      <w:r w:rsidR="00646350">
        <w:t>[they would]</w:t>
      </w:r>
      <w:r w:rsidR="001D7F7E">
        <w:t xml:space="preserve"> need to see that the lawyer gets a copy asap</w:t>
      </w:r>
      <w:r w:rsidR="00646350">
        <w:t xml:space="preserve"> [</w:t>
      </w:r>
      <w:r w:rsidRPr="00146157" w:rsidR="00646350">
        <w:rPr>
          <w:i/>
          <w:iCs/>
        </w:rPr>
        <w:t>sic</w:t>
      </w:r>
      <w:r w:rsidR="00646350">
        <w:t>]</w:t>
      </w:r>
      <w:r w:rsidR="001D7F7E">
        <w:t xml:space="preserve"> and </w:t>
      </w:r>
      <w:r w:rsidR="001D7F7E">
        <w:rPr>
          <w:i/>
          <w:iCs/>
        </w:rPr>
        <w:t>start redoing</w:t>
      </w:r>
      <w:r w:rsidR="001D7F7E">
        <w:t xml:space="preserve"> the will and trust.” </w:t>
      </w:r>
      <w:r w:rsidR="007C0E29">
        <w:t xml:space="preserve"> </w:t>
      </w:r>
      <w:r w:rsidR="002A7322">
        <w:t xml:space="preserve">(Italics added.) </w:t>
      </w:r>
      <w:r w:rsidR="001D7F7E">
        <w:t xml:space="preserve"> She </w:t>
      </w:r>
      <w:r w:rsidR="00646350">
        <w:t xml:space="preserve">also </w:t>
      </w:r>
      <w:r w:rsidR="00634B10">
        <w:t xml:space="preserve">stated that she was still “working” on a list of items to be assigned to different children and grandchildren. </w:t>
      </w:r>
      <w:r w:rsidR="00961FAB">
        <w:t xml:space="preserve"> </w:t>
      </w:r>
      <w:r w:rsidR="00195DCD">
        <w:t xml:space="preserve">Although she expressed her desire to </w:t>
      </w:r>
      <w:r w:rsidR="00536B26">
        <w:t>leave “nothing to [Van Dyck],”</w:t>
      </w:r>
      <w:r w:rsidR="005D4756">
        <w:t xml:space="preserve"> </w:t>
      </w:r>
      <w:r w:rsidR="00536B26">
        <w:t>the e</w:t>
      </w:r>
      <w:r w:rsidR="002D44DD">
        <w:t>-</w:t>
      </w:r>
      <w:r w:rsidR="00536B26">
        <w:t xml:space="preserve">mail as a whole </w:t>
      </w:r>
      <w:r w:rsidR="00420C37">
        <w:t>indicate</w:t>
      </w:r>
      <w:r w:rsidR="00536B26">
        <w:t>s</w:t>
      </w:r>
      <w:r w:rsidR="00420C37">
        <w:t xml:space="preserve"> </w:t>
      </w:r>
      <w:r w:rsidR="00AC12F5">
        <w:t xml:space="preserve">that </w:t>
      </w:r>
      <w:r w:rsidR="00420C37">
        <w:t xml:space="preserve">Mary </w:t>
      </w:r>
      <w:r w:rsidR="00AC12F5">
        <w:t>was</w:t>
      </w:r>
      <w:r w:rsidR="001023BB">
        <w:t xml:space="preserve"> only</w:t>
      </w:r>
      <w:r w:rsidR="00AC12F5">
        <w:t xml:space="preserve"> in the</w:t>
      </w:r>
      <w:r w:rsidR="00420C37">
        <w:t xml:space="preserve"> beginning</w:t>
      </w:r>
      <w:r w:rsidR="00AC12F5">
        <w:t xml:space="preserve"> </w:t>
      </w:r>
      <w:r w:rsidR="00420C37">
        <w:t>stages of</w:t>
      </w:r>
      <w:r w:rsidR="001023BB">
        <w:t xml:space="preserve"> making</w:t>
      </w:r>
      <w:r w:rsidR="00420C37">
        <w:t xml:space="preserve"> </w:t>
      </w:r>
      <w:r w:rsidR="00195DCD">
        <w:t>a formal amendment</w:t>
      </w:r>
      <w:r w:rsidR="00646350">
        <w:t xml:space="preserve"> to the Trust,</w:t>
      </w:r>
      <w:r w:rsidR="00770374">
        <w:t xml:space="preserve"> and that she was </w:t>
      </w:r>
      <w:r w:rsidR="00646350">
        <w:t xml:space="preserve">planning </w:t>
      </w:r>
      <w:r w:rsidR="00166AC0">
        <w:t>to do so</w:t>
      </w:r>
      <w:r w:rsidR="00072136">
        <w:t xml:space="preserve"> with Pribyl’s assistance</w:t>
      </w:r>
      <w:r w:rsidR="00EE020E">
        <w:t xml:space="preserve">. </w:t>
      </w:r>
    </w:p>
    <w:p w:rsidR="008A28BB" w:rsidP="008A28BB" w14:paraId="0E210A6C" w14:textId="2759F242">
      <w:r>
        <w:tab/>
        <w:t>Even Timothy’s e</w:t>
      </w:r>
      <w:r w:rsidR="005D4756">
        <w:t>-</w:t>
      </w:r>
      <w:r>
        <w:t xml:space="preserve">mail to Pribyl the following day on June 26, 2020, </w:t>
      </w:r>
      <w:r w:rsidR="00A40EA7">
        <w:t>reflect</w:t>
      </w:r>
      <w:r w:rsidR="00CF5D0D">
        <w:t>ed</w:t>
      </w:r>
      <w:r w:rsidR="00A40EA7">
        <w:t xml:space="preserve"> the </w:t>
      </w:r>
      <w:r w:rsidR="002D5AAD">
        <w:t xml:space="preserve">anticipatory </w:t>
      </w:r>
      <w:r w:rsidR="00A40EA7">
        <w:t xml:space="preserve">nature of </w:t>
      </w:r>
      <w:r w:rsidR="00633DB7">
        <w:t>Mary’s intent</w:t>
      </w:r>
      <w:r w:rsidR="00A40EA7">
        <w:t>.  He wrote that she “want [</w:t>
      </w:r>
      <w:r w:rsidRPr="00146157" w:rsidR="00A40EA7">
        <w:rPr>
          <w:i/>
          <w:iCs/>
        </w:rPr>
        <w:t>sic</w:t>
      </w:r>
      <w:r w:rsidR="00A40EA7">
        <w:t>] to make some updates on her personal stuff</w:t>
      </w:r>
      <w:r w:rsidR="00C92D85">
        <w:t>[,]</w:t>
      </w:r>
      <w:r w:rsidR="00A40EA7">
        <w:t>”</w:t>
      </w:r>
      <w:r w:rsidR="00C92D85">
        <w:t xml:space="preserve"> noted that they were still “working on getting the financials all up to date[,]” and then asked whether Pribyl was “available to meet on Zoom or phone to discuss.”  </w:t>
      </w:r>
      <w:r w:rsidR="00F053BD">
        <w:t>His e</w:t>
      </w:r>
      <w:r w:rsidR="005D4756">
        <w:t>-</w:t>
      </w:r>
      <w:r w:rsidR="00F053BD">
        <w:t xml:space="preserve">mail </w:t>
      </w:r>
      <w:r w:rsidR="00D201B3">
        <w:t xml:space="preserve">merely </w:t>
      </w:r>
      <w:r w:rsidR="00F053BD">
        <w:t xml:space="preserve">gave notice to Pribyl </w:t>
      </w:r>
      <w:r w:rsidR="00363C6E">
        <w:t xml:space="preserve">of Mary’s </w:t>
      </w:r>
      <w:r w:rsidR="00CF5D0D">
        <w:t>desire</w:t>
      </w:r>
      <w:r w:rsidR="001B2EF8">
        <w:t>s</w:t>
      </w:r>
      <w:r w:rsidR="00363C6E">
        <w:t xml:space="preserve"> and requested further </w:t>
      </w:r>
      <w:r w:rsidR="009C1FF2">
        <w:t>discussion, which contradicts the idea that Mary</w:t>
      </w:r>
      <w:r w:rsidR="00CC3FA0">
        <w:t xml:space="preserve"> intended the</w:t>
      </w:r>
      <w:r w:rsidR="009C1FF2">
        <w:t xml:space="preserve"> June 25</w:t>
      </w:r>
      <w:r w:rsidR="00547C69">
        <w:t>, 2020</w:t>
      </w:r>
      <w:r w:rsidR="009C1FF2">
        <w:t xml:space="preserve"> e</w:t>
      </w:r>
      <w:r w:rsidR="005D4756">
        <w:t>-</w:t>
      </w:r>
      <w:r w:rsidR="009C1FF2">
        <w:t xml:space="preserve">mail </w:t>
      </w:r>
      <w:r w:rsidR="00CC3FA0">
        <w:t>to</w:t>
      </w:r>
      <w:r w:rsidR="009C1FF2">
        <w:t xml:space="preserve"> </w:t>
      </w:r>
      <w:r w:rsidR="00CC3FA0">
        <w:t xml:space="preserve">serve </w:t>
      </w:r>
      <w:r w:rsidR="0030434E">
        <w:t>as an amendment</w:t>
      </w:r>
      <w:r w:rsidR="003E173D">
        <w:t xml:space="preserve"> by itself</w:t>
      </w:r>
      <w:r w:rsidR="0030434E">
        <w:t xml:space="preserve">. </w:t>
      </w:r>
      <w:r w:rsidR="001C7647">
        <w:t xml:space="preserve"> </w:t>
      </w:r>
      <w:r w:rsidR="003C350C">
        <w:t>Pribyl</w:t>
      </w:r>
      <w:r w:rsidR="000039ED">
        <w:t xml:space="preserve"> responded</w:t>
      </w:r>
      <w:r w:rsidR="003C350C">
        <w:t>:</w:t>
      </w:r>
      <w:r w:rsidR="00455019">
        <w:t xml:space="preserve"> “</w:t>
      </w:r>
      <w:r w:rsidR="003C350C">
        <w:t>R</w:t>
      </w:r>
      <w:r w:rsidR="00455019">
        <w:t xml:space="preserve">elative to any updates/amendments Mary </w:t>
      </w:r>
      <w:r w:rsidRPr="008156F6" w:rsidR="00455019">
        <w:t>wants</w:t>
      </w:r>
      <w:r w:rsidR="00455019">
        <w:t xml:space="preserve"> to make to her Trust and/or companion estate planning documents</w:t>
      </w:r>
      <w:r w:rsidR="00061899">
        <w:t>, maybe we can schedule a phone conference</w:t>
      </w:r>
      <w:r w:rsidR="005D4756">
        <w:t> . . . .</w:t>
      </w:r>
      <w:r w:rsidR="00061899">
        <w:t xml:space="preserve">”  </w:t>
      </w:r>
      <w:r w:rsidR="007D3B6B">
        <w:t>Pribyl’s</w:t>
      </w:r>
      <w:r w:rsidR="003C350C">
        <w:t xml:space="preserve"> response </w:t>
      </w:r>
      <w:r w:rsidR="000F1B44">
        <w:t>shows</w:t>
      </w:r>
      <w:r w:rsidR="003C350C">
        <w:t xml:space="preserve"> that he</w:t>
      </w:r>
      <w:r w:rsidR="00907116">
        <w:t>, too,</w:t>
      </w:r>
      <w:r w:rsidR="003C350C">
        <w:t xml:space="preserve"> interpreted Timothy’s e</w:t>
      </w:r>
      <w:r w:rsidR="005D4756">
        <w:t>-</w:t>
      </w:r>
      <w:r w:rsidR="003C350C">
        <w:t>mail as a request for further action</w:t>
      </w:r>
      <w:r w:rsidR="007D3B6B">
        <w:t xml:space="preserve">, and that </w:t>
      </w:r>
      <w:r>
        <w:t xml:space="preserve">additional </w:t>
      </w:r>
      <w:r w:rsidR="004862A0">
        <w:t>discussions</w:t>
      </w:r>
      <w:r w:rsidRPr="00CD20F7">
        <w:t xml:space="preserve"> </w:t>
      </w:r>
      <w:r>
        <w:t>w</w:t>
      </w:r>
      <w:r w:rsidRPr="00CD20F7">
        <w:t xml:space="preserve">ould be necessary to </w:t>
      </w:r>
      <w:r>
        <w:t>formalize</w:t>
      </w:r>
      <w:r w:rsidRPr="00CD20F7">
        <w:t xml:space="preserve"> change</w:t>
      </w:r>
      <w:r>
        <w:t>s</w:t>
      </w:r>
      <w:r w:rsidRPr="00CD20F7">
        <w:t xml:space="preserve"> to the </w:t>
      </w:r>
      <w:r>
        <w:t>T</w:t>
      </w:r>
      <w:r w:rsidRPr="00CD20F7">
        <w:t>rust.</w:t>
      </w:r>
      <w:r>
        <w:t xml:space="preserve"> </w:t>
      </w:r>
    </w:p>
    <w:p w:rsidR="000B35FD" w:rsidRPr="00455019" w:rsidP="001B5E51" w14:paraId="4341694F" w14:textId="40AF98E8">
      <w:r>
        <w:tab/>
        <w:t xml:space="preserve">Importantly, Mary’s response </w:t>
      </w:r>
      <w:r w:rsidR="00383ACD">
        <w:t xml:space="preserve">to Pribyl </w:t>
      </w:r>
      <w:r w:rsidR="003E173D">
        <w:t xml:space="preserve">further </w:t>
      </w:r>
      <w:r w:rsidR="00907116">
        <w:t>confirms this interpretation</w:t>
      </w:r>
      <w:r w:rsidR="00FE5042">
        <w:t xml:space="preserve">.  </w:t>
      </w:r>
      <w:r w:rsidR="00383ACD">
        <w:t xml:space="preserve">She stated she was available both before and after the date of her scheduled surgery, </w:t>
      </w:r>
      <w:r w:rsidR="006F20E7">
        <w:t>then</w:t>
      </w:r>
      <w:r w:rsidR="00A7312A">
        <w:t xml:space="preserve"> wrote</w:t>
      </w:r>
      <w:r w:rsidR="006F20E7">
        <w:t>:</w:t>
      </w:r>
      <w:r w:rsidR="00A7312A">
        <w:t xml:space="preserve"> “If you have questionnaires regarding the changes, please forward to me at</w:t>
      </w:r>
      <w:r w:rsidR="006F20E7">
        <w:t xml:space="preserve"> [Mary’s e</w:t>
      </w:r>
      <w:r w:rsidR="005D4756">
        <w:t>-</w:t>
      </w:r>
      <w:r w:rsidR="006F20E7">
        <w:t xml:space="preserve">mail address].”  </w:t>
      </w:r>
      <w:r w:rsidR="007D20B7">
        <w:t xml:space="preserve">While it is unclear </w:t>
      </w:r>
      <w:r w:rsidR="00171CBD">
        <w:t xml:space="preserve">from the record </w:t>
      </w:r>
      <w:r w:rsidR="007D20B7">
        <w:t xml:space="preserve">whether this was Mary’s first time attempting to amend the Trust, </w:t>
      </w:r>
      <w:r w:rsidR="00B139C1">
        <w:t xml:space="preserve">her request indicates </w:t>
      </w:r>
      <w:r w:rsidR="007D20B7">
        <w:t xml:space="preserve">she </w:t>
      </w:r>
      <w:r w:rsidR="00B139C1">
        <w:t>was</w:t>
      </w:r>
      <w:r w:rsidR="007D20B7">
        <w:t xml:space="preserve"> </w:t>
      </w:r>
      <w:r w:rsidR="00171CBD">
        <w:t>aware of</w:t>
      </w:r>
      <w:r w:rsidR="007D20B7">
        <w:t xml:space="preserve"> </w:t>
      </w:r>
      <w:r w:rsidR="00171CBD">
        <w:t xml:space="preserve">at least one </w:t>
      </w:r>
      <w:r w:rsidR="00206774">
        <w:t xml:space="preserve">intermediate step </w:t>
      </w:r>
      <w:r w:rsidR="00171CBD">
        <w:t xml:space="preserve">before </w:t>
      </w:r>
      <w:r w:rsidR="00206774">
        <w:t>effectuat</w:t>
      </w:r>
      <w:r w:rsidR="00171CBD">
        <w:t>ing</w:t>
      </w:r>
      <w:r w:rsidR="00206774">
        <w:t xml:space="preserve"> a formal amendment</w:t>
      </w:r>
      <w:r w:rsidR="00547C69">
        <w:t>: receiving and returning a questionnaire</w:t>
      </w:r>
      <w:r w:rsidR="00206774">
        <w:t xml:space="preserve">.  </w:t>
      </w:r>
      <w:r w:rsidR="0061453A">
        <w:t>A</w:t>
      </w:r>
      <w:r w:rsidR="005D4F39">
        <w:t>t</w:t>
      </w:r>
      <w:r w:rsidR="00206774">
        <w:t xml:space="preserve"> the very least, Mary </w:t>
      </w:r>
      <w:r w:rsidR="00CA3893">
        <w:t xml:space="preserve">anticipated speaking with Pribyl </w:t>
      </w:r>
      <w:r w:rsidR="004B74CA">
        <w:t xml:space="preserve">further </w:t>
      </w:r>
      <w:r w:rsidR="00CA3893">
        <w:t xml:space="preserve">and providing </w:t>
      </w:r>
      <w:r w:rsidR="00F06B1F">
        <w:t xml:space="preserve">him with </w:t>
      </w:r>
      <w:r w:rsidR="00CA3893">
        <w:t>additional information</w:t>
      </w:r>
      <w:r w:rsidR="00203BD8">
        <w:t xml:space="preserve">, </w:t>
      </w:r>
      <w:r w:rsidR="00EE4BD7">
        <w:t>making it</w:t>
      </w:r>
      <w:r w:rsidR="00171CBD">
        <w:t xml:space="preserve"> unlikely</w:t>
      </w:r>
      <w:r w:rsidR="00203BD8">
        <w:t xml:space="preserve"> that Mary </w:t>
      </w:r>
      <w:r w:rsidR="00B965C4">
        <w:t>believed</w:t>
      </w:r>
      <w:r w:rsidR="00203BD8">
        <w:t xml:space="preserve"> either the June 25</w:t>
      </w:r>
      <w:r w:rsidR="00171CBD">
        <w:t xml:space="preserve">, 2020 </w:t>
      </w:r>
      <w:r w:rsidR="00203BD8">
        <w:t>e</w:t>
      </w:r>
      <w:r w:rsidR="005D4756">
        <w:t>-</w:t>
      </w:r>
      <w:r w:rsidR="00203BD8">
        <w:t>mail or the completed questionnaire</w:t>
      </w:r>
      <w:r w:rsidR="00C50D44">
        <w:t xml:space="preserve"> </w:t>
      </w:r>
      <w:r w:rsidR="003562FA">
        <w:t xml:space="preserve">would </w:t>
      </w:r>
      <w:r w:rsidR="00C50D44">
        <w:t xml:space="preserve">amend the Trust. </w:t>
      </w:r>
    </w:p>
    <w:p w:rsidR="00F67E47" w:rsidP="001B5E51" w14:paraId="4CBE2578" w14:textId="61A77254">
      <w:r>
        <w:tab/>
      </w:r>
      <w:r w:rsidR="002B311C">
        <w:t>When Pribyl sent Mary the questionnaire, he instructed her to “indicate the changes you want to make</w:t>
      </w:r>
      <w:r w:rsidR="00C41A2E">
        <w:t>” and informed her that they could schedule a time to talk “to review the Questionnaire in greater detail” if needed</w:t>
      </w:r>
      <w:r w:rsidR="00B6775D">
        <w:t xml:space="preserve">.  </w:t>
      </w:r>
      <w:r w:rsidR="00235C24">
        <w:t xml:space="preserve">This language also </w:t>
      </w:r>
      <w:r w:rsidR="003562FA">
        <w:t>supports</w:t>
      </w:r>
      <w:r w:rsidR="00235C24">
        <w:t xml:space="preserve"> that</w:t>
      </w:r>
      <w:r w:rsidR="00C46E18">
        <w:t xml:space="preserve"> </w:t>
      </w:r>
      <w:r w:rsidR="00235C24">
        <w:t>the questionnaire was meant to aid in the process of amending the Trust, not to serve as an amendment itself.  Even the questionnaire’s title, “</w:t>
      </w:r>
      <w:r w:rsidR="00D940A9">
        <w:t xml:space="preserve">Client Estate Plan Data Sheet,” </w:t>
      </w:r>
      <w:r w:rsidR="00E53086">
        <w:t>signals</w:t>
      </w:r>
      <w:r w:rsidR="007E3D21">
        <w:t xml:space="preserve"> </w:t>
      </w:r>
      <w:r w:rsidR="00DC570F">
        <w:t>that it</w:t>
      </w:r>
      <w:r w:rsidR="00E53086">
        <w:t xml:space="preserve"> is used </w:t>
      </w:r>
      <w:r w:rsidR="00DC570F">
        <w:t xml:space="preserve">to </w:t>
      </w:r>
      <w:r w:rsidR="00E53086">
        <w:t>communicate</w:t>
      </w:r>
      <w:r w:rsidR="00DC570F">
        <w:t xml:space="preserve"> information from </w:t>
      </w:r>
      <w:r w:rsidR="00E53086">
        <w:t>a</w:t>
      </w:r>
      <w:r w:rsidR="00DC570F">
        <w:t xml:space="preserve"> client to her attorney </w:t>
      </w:r>
      <w:r w:rsidRPr="00DE0646" w:rsidR="007E3D21">
        <w:t>for the purpose</w:t>
      </w:r>
      <w:r w:rsidR="007E3D21">
        <w:t xml:space="preserve"> of estate planning.  </w:t>
      </w:r>
      <w:r w:rsidR="00ED42EB">
        <w:t xml:space="preserve">Mary </w:t>
      </w:r>
      <w:r w:rsidR="006D2BF3">
        <w:t xml:space="preserve">apparently </w:t>
      </w:r>
      <w:r w:rsidR="00ED42EB">
        <w:t xml:space="preserve">viewed </w:t>
      </w:r>
      <w:r w:rsidR="00F939EC">
        <w:t xml:space="preserve">the questionnaire </w:t>
      </w:r>
      <w:r w:rsidR="00E53086">
        <w:t>that way, and</w:t>
      </w:r>
      <w:r w:rsidR="006D2BF3">
        <w:t xml:space="preserve"> not as the final step in the amendment process,</w:t>
      </w:r>
      <w:r w:rsidR="00464AC8">
        <w:t xml:space="preserve"> because she wrote in </w:t>
      </w:r>
      <w:r w:rsidR="00F06E3F">
        <w:t xml:space="preserve">both </w:t>
      </w:r>
      <w:r w:rsidR="00464AC8">
        <w:t>her June 29</w:t>
      </w:r>
      <w:r w:rsidR="00F06E3F">
        <w:t xml:space="preserve"> and June 30, 2020</w:t>
      </w:r>
      <w:r w:rsidR="00464AC8">
        <w:t xml:space="preserve"> e</w:t>
      </w:r>
      <w:r w:rsidR="005D4756">
        <w:t>-</w:t>
      </w:r>
      <w:r w:rsidR="00464AC8">
        <w:t>mail</w:t>
      </w:r>
      <w:r w:rsidR="00F06E3F">
        <w:t>s</w:t>
      </w:r>
      <w:r w:rsidR="00464AC8">
        <w:t xml:space="preserve"> to Pribyl that </w:t>
      </w:r>
      <w:r w:rsidR="00024552">
        <w:t xml:space="preserve">they </w:t>
      </w:r>
      <w:r w:rsidR="00491324">
        <w:t>w</w:t>
      </w:r>
      <w:r w:rsidR="00024552">
        <w:t xml:space="preserve">ould </w:t>
      </w:r>
      <w:r w:rsidR="00F06E3F">
        <w:t xml:space="preserve">have </w:t>
      </w:r>
      <w:r w:rsidR="00AA3A70">
        <w:t>further discussions after the questionnaire was complete</w:t>
      </w:r>
      <w:r w:rsidR="00491324">
        <w:t>d</w:t>
      </w:r>
      <w:r w:rsidR="00AA3A70">
        <w:t>.</w:t>
      </w:r>
      <w:r w:rsidR="00024552">
        <w:t xml:space="preserve">  If she believed that the questionnaire itself effectuated the amendment, there would be no need </w:t>
      </w:r>
      <w:r w:rsidR="00F06E3F">
        <w:t>for further discussion</w:t>
      </w:r>
      <w:r w:rsidR="00AA3A70">
        <w:t>s</w:t>
      </w:r>
      <w:r w:rsidR="00F06E3F">
        <w:t xml:space="preserve">. </w:t>
      </w:r>
    </w:p>
    <w:p w:rsidR="00F41971" w:rsidP="001B5E51" w14:paraId="02BEF509" w14:textId="43C7DCFE">
      <w:r>
        <w:tab/>
      </w:r>
      <w:r w:rsidR="00E53086">
        <w:t>T</w:t>
      </w:r>
      <w:r>
        <w:t>he content of the questionnaire</w:t>
      </w:r>
      <w:r w:rsidR="00E53086">
        <w:t xml:space="preserve"> further</w:t>
      </w:r>
      <w:r>
        <w:t xml:space="preserve"> supports that Mary lacked the intent for it to serve as a </w:t>
      </w:r>
      <w:r w:rsidR="00C6449D">
        <w:t>Trust amendment</w:t>
      </w:r>
      <w:r>
        <w:t xml:space="preserve">.  Under “Dispository Plan” where the client is instructed to “describe in detail” who should inherit her assets when she dies, Mary left that space blank.  </w:t>
      </w:r>
      <w:r w:rsidR="000C73F7">
        <w:t>Her</w:t>
      </w:r>
      <w:r w:rsidR="00457169">
        <w:t xml:space="preserve"> </w:t>
      </w:r>
      <w:r w:rsidR="008C5EB9">
        <w:t xml:space="preserve">handwritten note </w:t>
      </w:r>
      <w:r w:rsidR="005A4AD5">
        <w:t>stating that</w:t>
      </w:r>
      <w:r w:rsidR="00457169">
        <w:t xml:space="preserve"> she would “prefer” to drop </w:t>
      </w:r>
      <w:r w:rsidR="005A4AD5">
        <w:t>Van Dyck</w:t>
      </w:r>
      <w:r w:rsidR="00457169">
        <w:t xml:space="preserve"> from the will</w:t>
      </w:r>
      <w:r w:rsidR="005A4AD5">
        <w:t>,</w:t>
      </w:r>
      <w:r w:rsidR="00457169">
        <w:t xml:space="preserve"> “if possible</w:t>
      </w:r>
      <w:r w:rsidR="00134E1F">
        <w:t xml:space="preserve">,” </w:t>
      </w:r>
      <w:r w:rsidR="008C5EB9">
        <w:t>was written</w:t>
      </w:r>
      <w:r w:rsidR="00134E1F">
        <w:t xml:space="preserve"> in the bottom margin</w:t>
      </w:r>
      <w:r w:rsidR="00CC28A1">
        <w:t xml:space="preserve"> of a page listing her </w:t>
      </w:r>
      <w:r w:rsidR="00EF03EB">
        <w:t>children and grandchildren</w:t>
      </w:r>
      <w:r w:rsidR="006B6431">
        <w:t>—not under “Dispository Plan</w:t>
      </w:r>
      <w:r w:rsidR="00EF03EB">
        <w:t>,</w:t>
      </w:r>
      <w:r w:rsidR="006B6431">
        <w:t xml:space="preserve">” or </w:t>
      </w:r>
      <w:r w:rsidR="005A4AD5">
        <w:t xml:space="preserve">in </w:t>
      </w:r>
      <w:r w:rsidR="00EF03EB">
        <w:t>response to any question about changing the Trust’s beneficiaries</w:t>
      </w:r>
      <w:r w:rsidR="00134E1F">
        <w:t xml:space="preserve">. </w:t>
      </w:r>
      <w:r>
        <w:t xml:space="preserve"> </w:t>
      </w:r>
      <w:r w:rsidR="000F21AB">
        <w:t xml:space="preserve">She wrote a similar note about another beneficiary </w:t>
      </w:r>
      <w:r w:rsidR="00BC46DF">
        <w:t>at the bottom of</w:t>
      </w:r>
      <w:r w:rsidR="000F21AB">
        <w:t xml:space="preserve"> </w:t>
      </w:r>
      <w:r>
        <w:t xml:space="preserve">the </w:t>
      </w:r>
      <w:r w:rsidR="005A4AD5">
        <w:t>following</w:t>
      </w:r>
      <w:r>
        <w:t xml:space="preserve"> page, </w:t>
      </w:r>
      <w:r w:rsidR="00E53086">
        <w:t>writing</w:t>
      </w:r>
      <w:r w:rsidR="000F21AB">
        <w:t xml:space="preserve"> that she wanted to “discuss” an account for </w:t>
      </w:r>
      <w:r w:rsidR="000C73F7">
        <w:t>that beneficiary</w:t>
      </w:r>
      <w:r w:rsidR="00CF0DEF">
        <w:t xml:space="preserve">.  </w:t>
      </w:r>
      <w:r w:rsidR="00E84AF2">
        <w:t>The</w:t>
      </w:r>
      <w:r w:rsidR="007E3234">
        <w:t xml:space="preserve"> precatory nature of </w:t>
      </w:r>
      <w:r w:rsidR="00CF0DEF">
        <w:t xml:space="preserve">these handwritten notes supports the </w:t>
      </w:r>
      <w:r w:rsidR="008A28BB">
        <w:t>conclusion</w:t>
      </w:r>
      <w:r w:rsidR="00CF0DEF">
        <w:t xml:space="preserve"> that </w:t>
      </w:r>
      <w:r w:rsidR="000C73F7">
        <w:t xml:space="preserve">Mary did not intend for </w:t>
      </w:r>
      <w:r w:rsidR="00CF0DEF">
        <w:t xml:space="preserve">the questionnaire to be a final </w:t>
      </w:r>
      <w:r w:rsidR="00C6449D">
        <w:t>amendment of the Trust</w:t>
      </w:r>
      <w:r w:rsidR="00CF0DEF">
        <w:t xml:space="preserve">. </w:t>
      </w:r>
    </w:p>
    <w:p w:rsidR="008F0231" w:rsidP="008F0231" w14:paraId="349A6DB9" w14:textId="6A13B452">
      <w:pPr>
        <w:ind w:firstLine="720"/>
      </w:pPr>
      <w:r>
        <w:t xml:space="preserve">Contrary to what Timothy argues, just because it was “possible” to exclude Van Dyck does not mean </w:t>
      </w:r>
      <w:r w:rsidR="00A26D73">
        <w:t>Mary intended for the questionnaire to serve as the amendment.</w:t>
      </w:r>
      <w:r w:rsidR="00D37355">
        <w:t xml:space="preserve">  And while</w:t>
      </w:r>
      <w:r w:rsidRPr="00D37355" w:rsidR="00D37355">
        <w:t xml:space="preserve"> </w:t>
      </w:r>
      <w:r w:rsidR="008A1D50">
        <w:t xml:space="preserve">Timothy </w:t>
      </w:r>
      <w:r w:rsidR="00B73F0E">
        <w:t>contends that Mary’s inten</w:t>
      </w:r>
      <w:r w:rsidR="00C42BF2">
        <w:t xml:space="preserve">ded </w:t>
      </w:r>
      <w:r w:rsidRPr="00956133" w:rsidR="000F629B">
        <w:t>end</w:t>
      </w:r>
      <w:r w:rsidR="000F629B">
        <w:t xml:space="preserve"> </w:t>
      </w:r>
      <w:r w:rsidRPr="000F629B" w:rsidR="00C42BF2">
        <w:t>result</w:t>
      </w:r>
      <w:r w:rsidR="00B73F0E">
        <w:t xml:space="preserve"> </w:t>
      </w:r>
      <w:r w:rsidR="00956133">
        <w:t>is</w:t>
      </w:r>
      <w:r w:rsidR="00B73F0E">
        <w:t xml:space="preserve"> clear, </w:t>
      </w:r>
      <w:r w:rsidR="00790047">
        <w:t xml:space="preserve">for the reasons discussed, </w:t>
      </w:r>
      <w:r w:rsidR="00B73F0E">
        <w:t>he incorrectly presume</w:t>
      </w:r>
      <w:r w:rsidR="00790047">
        <w:t>s</w:t>
      </w:r>
      <w:r w:rsidR="00E53086">
        <w:t xml:space="preserve"> as a threshold matter</w:t>
      </w:r>
      <w:r w:rsidR="00790047">
        <w:t xml:space="preserve"> that the e</w:t>
      </w:r>
      <w:r w:rsidR="005D4756">
        <w:t>-</w:t>
      </w:r>
      <w:r w:rsidR="00790047">
        <w:t xml:space="preserve">mails and questionnaire </w:t>
      </w:r>
      <w:r w:rsidR="00374830">
        <w:t xml:space="preserve">sufficiently show </w:t>
      </w:r>
      <w:r w:rsidR="001C3F6C">
        <w:t>Mary</w:t>
      </w:r>
      <w:r w:rsidR="00374830">
        <w:t xml:space="preserve"> intended </w:t>
      </w:r>
      <w:r w:rsidR="00B91312">
        <w:t xml:space="preserve">for </w:t>
      </w:r>
      <w:r w:rsidRPr="00B91312" w:rsidR="00374830">
        <w:rPr>
          <w:i/>
          <w:iCs/>
        </w:rPr>
        <w:t>those</w:t>
      </w:r>
      <w:r w:rsidR="00374830">
        <w:t xml:space="preserve"> documents to effectuate</w:t>
      </w:r>
      <w:r w:rsidR="00790047">
        <w:t xml:space="preserve"> </w:t>
      </w:r>
      <w:r w:rsidR="001C3F6C">
        <w:t>the</w:t>
      </w:r>
      <w:r w:rsidR="00790047">
        <w:t xml:space="preserve"> amendment</w:t>
      </w:r>
      <w:r w:rsidR="001634ED">
        <w:t xml:space="preserve">.  </w:t>
      </w:r>
      <w:r w:rsidR="00620A45">
        <w:t>T</w:t>
      </w:r>
      <w:r w:rsidRPr="001634ED" w:rsidR="001634ED">
        <w:t xml:space="preserve">he intent of </w:t>
      </w:r>
      <w:r w:rsidR="00620A45">
        <w:t>a</w:t>
      </w:r>
      <w:r w:rsidRPr="001634ED" w:rsidR="001634ED">
        <w:t xml:space="preserve"> trustor </w:t>
      </w:r>
      <w:r w:rsidR="00620A45">
        <w:t>“</w:t>
      </w:r>
      <w:r w:rsidRPr="001634ED" w:rsidR="001634ED">
        <w:t>must be ascertained from the whole of the trust instrument, not just separate parts of it.</w:t>
      </w:r>
      <w:r w:rsidR="00620A45">
        <w:t>”  (</w:t>
      </w:r>
      <w:r w:rsidRPr="00C42BF2" w:rsidR="00620A45">
        <w:rPr>
          <w:i/>
          <w:iCs/>
        </w:rPr>
        <w:t>S</w:t>
      </w:r>
      <w:r w:rsidRPr="001634ED" w:rsidR="001634ED">
        <w:rPr>
          <w:i/>
          <w:iCs/>
        </w:rPr>
        <w:t>charlin v. Superior Court</w:t>
      </w:r>
      <w:r w:rsidRPr="001634ED" w:rsidR="001634ED">
        <w:t xml:space="preserve"> (1992) 9 Cal.App.4th 162, 168</w:t>
      </w:r>
      <w:r w:rsidR="00620A45">
        <w:t xml:space="preserve">.)  </w:t>
      </w:r>
      <w:r w:rsidR="00C42BF2">
        <w:t xml:space="preserve">When viewed as a whole, </w:t>
      </w:r>
      <w:r w:rsidR="001C3F6C">
        <w:t>Mary’s writing</w:t>
      </w:r>
      <w:r w:rsidR="00B91312">
        <w:t>s</w:t>
      </w:r>
      <w:r w:rsidR="00B92AB1">
        <w:t xml:space="preserve"> </w:t>
      </w:r>
      <w:r w:rsidR="00EA427E">
        <w:t xml:space="preserve">appear to be nothing more than </w:t>
      </w:r>
      <w:r w:rsidR="00A618B7">
        <w:t xml:space="preserve">correspondence </w:t>
      </w:r>
      <w:r w:rsidR="00EA427E">
        <w:t>between a client and her attorney</w:t>
      </w:r>
      <w:r w:rsidR="00A618B7">
        <w:t xml:space="preserve"> about potential changes</w:t>
      </w:r>
      <w:r w:rsidR="00DE1E0F">
        <w:t xml:space="preserve"> to the Trust</w:t>
      </w:r>
      <w:r w:rsidR="004C65D3">
        <w:t>,</w:t>
      </w:r>
      <w:r w:rsidR="00EA427E">
        <w:t xml:space="preserve"> with the </w:t>
      </w:r>
      <w:r w:rsidR="004C65D3">
        <w:t xml:space="preserve">expectation that </w:t>
      </w:r>
      <w:r w:rsidR="00E53086">
        <w:t>her</w:t>
      </w:r>
      <w:r w:rsidR="004C65D3">
        <w:t xml:space="preserve"> attorney would later formalize </w:t>
      </w:r>
      <w:r w:rsidR="001C3F6C">
        <w:t>an</w:t>
      </w:r>
      <w:r w:rsidR="004C65D3">
        <w:t xml:space="preserve"> amendment</w:t>
      </w:r>
      <w:r w:rsidR="00B91312">
        <w:t>.</w:t>
      </w:r>
      <w:r>
        <w:t xml:space="preserve"> </w:t>
      </w:r>
    </w:p>
    <w:p w:rsidR="001B5E51" w:rsidP="008F0231" w14:paraId="32D088A0" w14:textId="0813540F">
      <w:pPr>
        <w:ind w:firstLine="720"/>
      </w:pPr>
      <w:r>
        <w:t>Accordingly, we affirm the order.  Because</w:t>
      </w:r>
      <w:r w:rsidR="00B737FD">
        <w:t xml:space="preserve"> we conclude that</w:t>
      </w:r>
      <w:r>
        <w:t xml:space="preserve"> the </w:t>
      </w:r>
      <w:r w:rsidR="00D43F1F">
        <w:t xml:space="preserve">probate </w:t>
      </w:r>
      <w:r>
        <w:t>court had t</w:t>
      </w:r>
      <w:r w:rsidR="00E82B64">
        <w:t xml:space="preserve">wo independently valid grounds </w:t>
      </w:r>
      <w:r w:rsidR="0039468A">
        <w:t>for</w:t>
      </w:r>
      <w:r w:rsidR="00E82B64">
        <w:t xml:space="preserve"> its order, we need not and do not resolve Timothy’s other arguments. </w:t>
      </w:r>
    </w:p>
    <w:p w:rsidR="00E82B64" w:rsidP="00146157" w14:paraId="51939F7C" w14:textId="7B53317F">
      <w:pPr>
        <w:keepNext/>
        <w:jc w:val="center"/>
      </w:pPr>
      <w:r>
        <w:t>DISPOSITION</w:t>
      </w:r>
    </w:p>
    <w:p w:rsidR="00E82B64" w:rsidP="00146157" w14:paraId="05207FB8" w14:textId="3E1EEC30">
      <w:pPr>
        <w:keepNext/>
      </w:pPr>
      <w:r>
        <w:tab/>
        <w:t xml:space="preserve">The order is affirmed. </w:t>
      </w:r>
      <w:r w:rsidR="00797E48">
        <w:t xml:space="preserve"> Respondent is entitled to recover her costs on appeal.</w:t>
      </w:r>
    </w:p>
    <w:p w:rsidR="005D4756" w:rsidP="002D58C1" w14:paraId="745D5E6E" w14:textId="77777777">
      <w:pPr>
        <w:keepNext/>
        <w:spacing w:line="240" w:lineRule="auto"/>
      </w:pPr>
    </w:p>
    <w:p w:rsidR="00152D27" w:rsidP="002D58C1" w14:paraId="6A2148A9" w14:textId="77777777">
      <w:pPr>
        <w:keepNext/>
        <w:spacing w:line="240" w:lineRule="auto"/>
      </w:pPr>
    </w:p>
    <w:p w:rsidR="002D58C1" w:rsidP="002D58C1" w14:paraId="4E7429A5" w14:textId="77777777">
      <w:pPr>
        <w:keepNext/>
        <w:spacing w:line="240" w:lineRule="auto"/>
      </w:pPr>
    </w:p>
    <w:p w:rsidR="002D58C1" w:rsidP="002D58C1" w14:paraId="169438DC" w14:textId="4F55FADB">
      <w:pPr>
        <w:keepNext/>
        <w:spacing w:line="240" w:lineRule="auto"/>
        <w:jc w:val="right"/>
      </w:pPr>
      <w:r>
        <w:t>BUCHANAN, J.</w:t>
      </w:r>
    </w:p>
    <w:p w:rsidR="002D58C1" w:rsidP="002D58C1" w14:paraId="0C9E5E6D" w14:textId="77777777">
      <w:pPr>
        <w:keepNext/>
        <w:tabs>
          <w:tab w:val="right" w:pos="3600"/>
        </w:tabs>
        <w:spacing w:line="240" w:lineRule="auto"/>
      </w:pPr>
    </w:p>
    <w:p w:rsidR="002D58C1" w:rsidP="002D58C1" w14:paraId="3D0B36E8" w14:textId="72463719">
      <w:pPr>
        <w:keepNext/>
        <w:tabs>
          <w:tab w:val="right" w:pos="3600"/>
        </w:tabs>
        <w:spacing w:line="240" w:lineRule="auto"/>
      </w:pPr>
      <w:r>
        <w:t>WE CONCUR:</w:t>
      </w:r>
    </w:p>
    <w:p w:rsidR="002D58C1" w:rsidP="002D58C1" w14:paraId="030FED9E" w14:textId="77777777">
      <w:pPr>
        <w:keepNext/>
        <w:tabs>
          <w:tab w:val="right" w:pos="3600"/>
        </w:tabs>
        <w:spacing w:line="240" w:lineRule="auto"/>
      </w:pPr>
    </w:p>
    <w:p w:rsidR="002D58C1" w:rsidP="002D58C1" w14:paraId="5B69E92D" w14:textId="77777777">
      <w:pPr>
        <w:keepNext/>
        <w:tabs>
          <w:tab w:val="right" w:pos="3600"/>
        </w:tabs>
        <w:spacing w:line="240" w:lineRule="auto"/>
      </w:pPr>
    </w:p>
    <w:p w:rsidR="002D58C1" w:rsidP="002D58C1" w14:paraId="29481C98" w14:textId="77777777">
      <w:pPr>
        <w:keepNext/>
        <w:tabs>
          <w:tab w:val="right" w:pos="3600"/>
        </w:tabs>
        <w:spacing w:line="240" w:lineRule="auto"/>
      </w:pPr>
    </w:p>
    <w:p w:rsidR="002D58C1" w:rsidP="002D58C1" w14:paraId="6DA51477" w14:textId="502BD7F3">
      <w:pPr>
        <w:keepNext/>
        <w:tabs>
          <w:tab w:val="right" w:pos="3600"/>
        </w:tabs>
        <w:spacing w:line="240" w:lineRule="auto"/>
      </w:pPr>
      <w:r>
        <w:t>DO, Acting P. J.</w:t>
      </w:r>
    </w:p>
    <w:p w:rsidR="002D58C1" w:rsidP="002D58C1" w14:paraId="14BF8E3E" w14:textId="77777777">
      <w:pPr>
        <w:keepNext/>
        <w:tabs>
          <w:tab w:val="right" w:pos="3600"/>
        </w:tabs>
        <w:spacing w:line="240" w:lineRule="auto"/>
      </w:pPr>
    </w:p>
    <w:p w:rsidR="002D58C1" w:rsidP="002D58C1" w14:paraId="5CCCC340" w14:textId="77777777">
      <w:pPr>
        <w:keepNext/>
        <w:tabs>
          <w:tab w:val="right" w:pos="3600"/>
        </w:tabs>
        <w:spacing w:line="240" w:lineRule="auto"/>
      </w:pPr>
    </w:p>
    <w:p w:rsidR="002D58C1" w:rsidP="002D58C1" w14:paraId="4E433A4F" w14:textId="77777777">
      <w:pPr>
        <w:keepNext/>
        <w:tabs>
          <w:tab w:val="right" w:pos="3600"/>
        </w:tabs>
        <w:spacing w:line="240" w:lineRule="auto"/>
      </w:pPr>
    </w:p>
    <w:p w:rsidR="002D58C1" w:rsidRPr="002D58C1" w:rsidP="00146157" w14:paraId="7077ED3D" w14:textId="069483CC">
      <w:pPr>
        <w:keepNext/>
        <w:tabs>
          <w:tab w:val="right" w:pos="3600"/>
        </w:tabs>
        <w:spacing w:line="240" w:lineRule="auto"/>
      </w:pPr>
      <w:r>
        <w:t>CASTILLO, J.</w:t>
      </w:r>
    </w:p>
    <w:sectPr w:rsidSect="00995705">
      <w:footerReference w:type="default" r:id="rId6"/>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14:paraId="70964CAC"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14:paraId="510868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14:paraId="50EDF0B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2E4" w:rsidP="0003284A" w14:paraId="10588385" w14:textId="77777777">
      <w:pPr>
        <w:spacing w:line="240" w:lineRule="auto"/>
      </w:pPr>
      <w:r>
        <w:separator/>
      </w:r>
    </w:p>
  </w:footnote>
  <w:footnote w:type="continuationSeparator" w:id="1">
    <w:p w:rsidR="009162E4" w:rsidP="0003284A" w14:paraId="376CA914" w14:textId="77777777">
      <w:pPr>
        <w:spacing w:line="240" w:lineRule="auto"/>
      </w:pPr>
      <w:r>
        <w:continuationSeparator/>
      </w:r>
    </w:p>
  </w:footnote>
  <w:footnote w:id="2">
    <w:p w:rsidR="00906CC1" w:rsidP="00906CC1" w14:paraId="39CFA82D" w14:textId="77777777">
      <w:pPr>
        <w:pStyle w:val="FootnoteText"/>
      </w:pPr>
      <w:r>
        <w:rPr>
          <w:rStyle w:val="FootnoteReference"/>
        </w:rPr>
        <w:footnoteRef/>
      </w:r>
      <w:r>
        <w:t xml:space="preserve"> </w:t>
      </w:r>
      <w:r>
        <w:tab/>
        <w:t>Unless otherwise noted, further undesignated statutory references are to the Civil Code.</w:t>
      </w:r>
    </w:p>
  </w:footnote>
  <w:footnote w:id="3">
    <w:p w:rsidR="001B1BDC" w:rsidRPr="00CC13A1" w14:paraId="67CAE525" w14:textId="064EE188">
      <w:pPr>
        <w:pStyle w:val="FootnoteText"/>
      </w:pPr>
      <w:r>
        <w:rPr>
          <w:rStyle w:val="FootnoteReference"/>
        </w:rPr>
        <w:footnoteRef/>
      </w:r>
      <w:r>
        <w:t xml:space="preserve"> </w:t>
      </w:r>
      <w:r>
        <w:tab/>
      </w:r>
      <w:r w:rsidR="008B6C7B">
        <w:t>Our</w:t>
      </w:r>
      <w:r w:rsidRPr="008B6C7B" w:rsidR="008B6C7B">
        <w:t xml:space="preserve"> Supreme Court</w:t>
      </w:r>
      <w:r w:rsidR="00E52FEF">
        <w:t xml:space="preserve"> recently decided </w:t>
      </w:r>
      <w:r w:rsidRPr="008B6C7B" w:rsidR="008B6C7B">
        <w:rPr>
          <w:i/>
          <w:iCs/>
        </w:rPr>
        <w:t>Haggerty</w:t>
      </w:r>
      <w:r w:rsidR="008B6C7B">
        <w:rPr>
          <w:i/>
          <w:iCs/>
        </w:rPr>
        <w:t xml:space="preserve"> v. </w:t>
      </w:r>
      <w:r w:rsidRPr="00D43F1F" w:rsidR="008B6C7B">
        <w:rPr>
          <w:i/>
          <w:iCs/>
        </w:rPr>
        <w:t>Thornton</w:t>
      </w:r>
      <w:r w:rsidRPr="00146157" w:rsidR="00D43F1F">
        <w:t xml:space="preserve"> (2024) 15 Cal.5th 729</w:t>
      </w:r>
      <w:r w:rsidR="00D43F1F">
        <w:t xml:space="preserve"> (</w:t>
      </w:r>
      <w:r w:rsidRPr="00146157" w:rsidR="00D43F1F">
        <w:rPr>
          <w:i/>
          <w:iCs/>
        </w:rPr>
        <w:t>Haggerty</w:t>
      </w:r>
      <w:r w:rsidR="00D43F1F">
        <w:t>)</w:t>
      </w:r>
      <w:r w:rsidR="00E52FEF">
        <w:t>,</w:t>
      </w:r>
      <w:r w:rsidRPr="008B6C7B" w:rsidR="008B6C7B">
        <w:t xml:space="preserve"> </w:t>
      </w:r>
      <w:r w:rsidRPr="008B6C7B" w:rsidR="00E52FEF">
        <w:t xml:space="preserve">holding that a trust may be modified using </w:t>
      </w:r>
      <w:r w:rsidR="00E52FEF">
        <w:t>Probate Code section</w:t>
      </w:r>
      <w:r w:rsidRPr="008B6C7B" w:rsidR="00E52FEF">
        <w:t xml:space="preserve"> 15401 procedures for revocation “unless the trust instrument provides a method of modification and explicitly makes it exclusive, or otherwise expressly precludes the use of revocation procedures for modification.”</w:t>
      </w:r>
      <w:r w:rsidR="00E52FEF">
        <w:t xml:space="preserve"> </w:t>
      </w:r>
      <w:r w:rsidR="00CC13A1">
        <w:t xml:space="preserve"> </w:t>
      </w:r>
      <w:r w:rsidRPr="008B6C7B" w:rsidR="00E52FEF">
        <w:t xml:space="preserve">(See </w:t>
      </w:r>
      <w:r w:rsidR="00FD5EC4">
        <w:rPr>
          <w:i/>
          <w:iCs/>
        </w:rPr>
        <w:t>Haggerty</w:t>
      </w:r>
      <w:r w:rsidRPr="00146157" w:rsidR="00FD5EC4">
        <w:t>,</w:t>
      </w:r>
      <w:r w:rsidRPr="00FD5EC4" w:rsidR="00D43F1F">
        <w:t xml:space="preserve"> </w:t>
      </w:r>
      <w:r w:rsidR="00D43F1F">
        <w:t>at p. 733</w:t>
      </w:r>
      <w:r w:rsidR="00CC13A1">
        <w:t>.)</w:t>
      </w:r>
      <w:r w:rsidR="00E52FEF">
        <w:t xml:space="preserve">  </w:t>
      </w:r>
      <w:r w:rsidR="00E52FEF">
        <w:rPr>
          <w:i/>
          <w:iCs/>
        </w:rPr>
        <w:t xml:space="preserve">Haggerty </w:t>
      </w:r>
      <w:r w:rsidRPr="008B6C7B" w:rsidR="008B6C7B">
        <w:t xml:space="preserve">does not alter our conclusion </w:t>
      </w:r>
      <w:r w:rsidR="00A80E93">
        <w:t xml:space="preserve">here </w:t>
      </w:r>
      <w:r w:rsidRPr="008B6C7B" w:rsidR="008B6C7B">
        <w:t xml:space="preserve">because, consistent with section 7.02(b) of the Trust, the statutory method of modifying a trust </w:t>
      </w:r>
      <w:r w:rsidR="00E52FEF">
        <w:t xml:space="preserve">under Probate Code section 15401 </w:t>
      </w:r>
      <w:r w:rsidRPr="008B6C7B" w:rsidR="008B6C7B">
        <w:t xml:space="preserve">also requires a signed writing.  </w:t>
      </w:r>
      <w:r w:rsidR="00CC13A1">
        <w:t xml:space="preserve">(See </w:t>
      </w:r>
      <w:r w:rsidRPr="008B6C7B" w:rsidR="00CC13A1">
        <w:t>Prob. Code</w:t>
      </w:r>
      <w:r w:rsidR="007C0E29">
        <w:t>,</w:t>
      </w:r>
      <w:r w:rsidRPr="008B6C7B" w:rsidR="00CC13A1">
        <w:t xml:space="preserve"> §</w:t>
      </w:r>
      <w:r w:rsidR="00CC13A1">
        <w:t> </w:t>
      </w:r>
      <w:r w:rsidRPr="008B6C7B" w:rsidR="00CC13A1">
        <w:t>15401, subd. (a)(2)</w:t>
      </w:r>
      <w:r w:rsidR="00CC13A1">
        <w:t xml:space="preserve"> [providing that a </w:t>
      </w:r>
      <w:r w:rsidRPr="00393FF4" w:rsidR="00CC13A1">
        <w:t>trust may be revoked by “a writing, other than a will, signed by the settlor or any other person holding the power of revocation and delivered to the trustee during the lifetime of the settlor or the person holding the power of revocation.”</w:t>
      </w:r>
      <w:r w:rsidR="00CC13A1">
        <w:t xml:space="preserve">].) </w:t>
      </w:r>
    </w:p>
  </w:footnote>
  <w:footnote w:id="4">
    <w:p w:rsidR="000F2F2D" w14:paraId="1BA7FBA4" w14:textId="6575E4B9">
      <w:pPr>
        <w:pStyle w:val="FootnoteText"/>
      </w:pPr>
      <w:r>
        <w:rPr>
          <w:rStyle w:val="FootnoteReference"/>
        </w:rPr>
        <w:footnoteRef/>
      </w:r>
      <w:r>
        <w:t xml:space="preserve"> </w:t>
      </w:r>
      <w:r>
        <w:tab/>
        <w:t xml:space="preserve">Although </w:t>
      </w:r>
      <w:r w:rsidRPr="000F2F2D">
        <w:t xml:space="preserve">Timothy asserts that cases </w:t>
      </w:r>
      <w:r w:rsidR="001216B8">
        <w:t>requiring</w:t>
      </w:r>
      <w:r w:rsidRPr="000F2F2D">
        <w:t xml:space="preserve"> testamentary intent in the context of holographic wills are “legally incongruous” in the trust context, </w:t>
      </w:r>
      <w:r w:rsidR="0061453A">
        <w:t xml:space="preserve">the same considerations underlie </w:t>
      </w:r>
      <w:r w:rsidR="00E53086">
        <w:t>the</w:t>
      </w:r>
      <w:r w:rsidRPr="000F2F2D">
        <w:t xml:space="preserve"> requir</w:t>
      </w:r>
      <w:r w:rsidR="00E53086">
        <w:t>ement</w:t>
      </w:r>
      <w:r w:rsidR="001216B8">
        <w:t xml:space="preserve"> </w:t>
      </w:r>
      <w:r w:rsidRPr="000F2F2D">
        <w:t>that a purported trust amendment—especially one which alters the disposition of property to take effect on a trustor’s death—adequately express</w:t>
      </w:r>
      <w:r w:rsidR="0061453A">
        <w:t>es</w:t>
      </w:r>
      <w:r w:rsidRPr="000F2F2D">
        <w:t xml:space="preserve"> testamentary intent. </w:t>
      </w:r>
      <w:r>
        <w:t xml:space="preserve"> </w:t>
      </w:r>
      <w:r w:rsidR="000375EA">
        <w:t>(</w:t>
      </w:r>
      <w:r w:rsidR="00646350">
        <w:t xml:space="preserve">See </w:t>
      </w:r>
      <w:r w:rsidR="000375EA">
        <w:rPr>
          <w:i/>
          <w:iCs/>
        </w:rPr>
        <w:t>Pena, supra</w:t>
      </w:r>
      <w:r w:rsidR="000375EA">
        <w:t>, 39 Cal.App.5th at p. 554 [“</w:t>
      </w:r>
      <w:r w:rsidRPr="000375EA" w:rsidR="000375EA">
        <w:t xml:space="preserve">If </w:t>
      </w:r>
      <w:r w:rsidR="00204BDD">
        <w:t>[decedent]</w:t>
      </w:r>
      <w:r w:rsidRPr="000375EA" w:rsidR="000375EA">
        <w:t xml:space="preserve"> intended the interlineations and signature on the</w:t>
      </w:r>
      <w:r w:rsidR="005D4756">
        <w:t> . . . </w:t>
      </w:r>
      <w:r w:rsidRPr="000375EA" w:rsidR="000375EA">
        <w:t xml:space="preserve">note to amend the trust by themselves, there would have been no need to have </w:t>
      </w:r>
      <w:r w:rsidR="00204BDD">
        <w:t>[his attorney]</w:t>
      </w:r>
      <w:r w:rsidRPr="000375EA" w:rsidR="000375EA">
        <w:t xml:space="preserve"> prepare the amendment for his signature.</w:t>
      </w:r>
      <w:r w:rsidR="00EE6C6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0D"/>
    <w:rsid w:val="000039ED"/>
    <w:rsid w:val="00006DF4"/>
    <w:rsid w:val="00024552"/>
    <w:rsid w:val="00027A71"/>
    <w:rsid w:val="00027CF2"/>
    <w:rsid w:val="0003153B"/>
    <w:rsid w:val="0003284A"/>
    <w:rsid w:val="00035B2B"/>
    <w:rsid w:val="000375EA"/>
    <w:rsid w:val="000472BE"/>
    <w:rsid w:val="00056747"/>
    <w:rsid w:val="00056A0C"/>
    <w:rsid w:val="00061899"/>
    <w:rsid w:val="00067DBE"/>
    <w:rsid w:val="00072136"/>
    <w:rsid w:val="00077F12"/>
    <w:rsid w:val="000830E2"/>
    <w:rsid w:val="00090491"/>
    <w:rsid w:val="000A7E1D"/>
    <w:rsid w:val="000B35FD"/>
    <w:rsid w:val="000B3FBF"/>
    <w:rsid w:val="000B455A"/>
    <w:rsid w:val="000B629E"/>
    <w:rsid w:val="000C73F7"/>
    <w:rsid w:val="000D4877"/>
    <w:rsid w:val="000D6835"/>
    <w:rsid w:val="000E056D"/>
    <w:rsid w:val="000E2811"/>
    <w:rsid w:val="000E51C6"/>
    <w:rsid w:val="000F0A83"/>
    <w:rsid w:val="000F1B44"/>
    <w:rsid w:val="000F21AB"/>
    <w:rsid w:val="000F2F2D"/>
    <w:rsid w:val="000F629B"/>
    <w:rsid w:val="001022BE"/>
    <w:rsid w:val="001023BB"/>
    <w:rsid w:val="0012001E"/>
    <w:rsid w:val="0012131B"/>
    <w:rsid w:val="001216B8"/>
    <w:rsid w:val="00121B49"/>
    <w:rsid w:val="00124559"/>
    <w:rsid w:val="001301EE"/>
    <w:rsid w:val="0013122E"/>
    <w:rsid w:val="001334FE"/>
    <w:rsid w:val="00134D14"/>
    <w:rsid w:val="00134E1F"/>
    <w:rsid w:val="00140A6A"/>
    <w:rsid w:val="00141C27"/>
    <w:rsid w:val="00146157"/>
    <w:rsid w:val="001505AE"/>
    <w:rsid w:val="0015097D"/>
    <w:rsid w:val="00152D27"/>
    <w:rsid w:val="001634ED"/>
    <w:rsid w:val="00166AC0"/>
    <w:rsid w:val="00171CBD"/>
    <w:rsid w:val="00176B80"/>
    <w:rsid w:val="001804D9"/>
    <w:rsid w:val="0018053E"/>
    <w:rsid w:val="00183E62"/>
    <w:rsid w:val="001865E5"/>
    <w:rsid w:val="00195DCD"/>
    <w:rsid w:val="001B1BDC"/>
    <w:rsid w:val="001B2EF8"/>
    <w:rsid w:val="001B5E51"/>
    <w:rsid w:val="001C3F6C"/>
    <w:rsid w:val="001C6AEF"/>
    <w:rsid w:val="001C7647"/>
    <w:rsid w:val="001D49E9"/>
    <w:rsid w:val="001D7F7E"/>
    <w:rsid w:val="001E17D2"/>
    <w:rsid w:val="001E50CE"/>
    <w:rsid w:val="001F234E"/>
    <w:rsid w:val="001F2D27"/>
    <w:rsid w:val="001F75F2"/>
    <w:rsid w:val="00203BD8"/>
    <w:rsid w:val="00204BDD"/>
    <w:rsid w:val="00206774"/>
    <w:rsid w:val="00210EAE"/>
    <w:rsid w:val="00214566"/>
    <w:rsid w:val="00221C4A"/>
    <w:rsid w:val="00222380"/>
    <w:rsid w:val="00225616"/>
    <w:rsid w:val="0022751A"/>
    <w:rsid w:val="002353BA"/>
    <w:rsid w:val="00235C24"/>
    <w:rsid w:val="00236CE8"/>
    <w:rsid w:val="0025098A"/>
    <w:rsid w:val="0025371C"/>
    <w:rsid w:val="002607F3"/>
    <w:rsid w:val="00263E05"/>
    <w:rsid w:val="0026536B"/>
    <w:rsid w:val="00271E52"/>
    <w:rsid w:val="00272E90"/>
    <w:rsid w:val="002771B7"/>
    <w:rsid w:val="0028678E"/>
    <w:rsid w:val="00295DD0"/>
    <w:rsid w:val="002963C9"/>
    <w:rsid w:val="002A7322"/>
    <w:rsid w:val="002B311C"/>
    <w:rsid w:val="002B3BE3"/>
    <w:rsid w:val="002B7E5A"/>
    <w:rsid w:val="002C4913"/>
    <w:rsid w:val="002C6429"/>
    <w:rsid w:val="002D13A5"/>
    <w:rsid w:val="002D44DD"/>
    <w:rsid w:val="002D58C1"/>
    <w:rsid w:val="002D5AAD"/>
    <w:rsid w:val="002D6FF1"/>
    <w:rsid w:val="002E39EC"/>
    <w:rsid w:val="002E44B0"/>
    <w:rsid w:val="002E5185"/>
    <w:rsid w:val="002F1A86"/>
    <w:rsid w:val="0030434E"/>
    <w:rsid w:val="003070F6"/>
    <w:rsid w:val="00307AA1"/>
    <w:rsid w:val="00307F72"/>
    <w:rsid w:val="0031048D"/>
    <w:rsid w:val="00313754"/>
    <w:rsid w:val="00314BAE"/>
    <w:rsid w:val="00321D18"/>
    <w:rsid w:val="00337EC1"/>
    <w:rsid w:val="00340977"/>
    <w:rsid w:val="00342384"/>
    <w:rsid w:val="00343C06"/>
    <w:rsid w:val="0034635B"/>
    <w:rsid w:val="003562FA"/>
    <w:rsid w:val="003637A7"/>
    <w:rsid w:val="00363C6E"/>
    <w:rsid w:val="00367017"/>
    <w:rsid w:val="00374830"/>
    <w:rsid w:val="003758A5"/>
    <w:rsid w:val="003835C9"/>
    <w:rsid w:val="00383ACD"/>
    <w:rsid w:val="00386005"/>
    <w:rsid w:val="00390695"/>
    <w:rsid w:val="00391DDC"/>
    <w:rsid w:val="00393FF4"/>
    <w:rsid w:val="0039468A"/>
    <w:rsid w:val="003A4758"/>
    <w:rsid w:val="003A692A"/>
    <w:rsid w:val="003B384D"/>
    <w:rsid w:val="003C0075"/>
    <w:rsid w:val="003C350C"/>
    <w:rsid w:val="003D2178"/>
    <w:rsid w:val="003D601E"/>
    <w:rsid w:val="003D6E8A"/>
    <w:rsid w:val="003E173D"/>
    <w:rsid w:val="003E32D0"/>
    <w:rsid w:val="003E6932"/>
    <w:rsid w:val="003F04A5"/>
    <w:rsid w:val="003F3F86"/>
    <w:rsid w:val="00402D7A"/>
    <w:rsid w:val="00404CC7"/>
    <w:rsid w:val="0041443C"/>
    <w:rsid w:val="00416121"/>
    <w:rsid w:val="00416BE4"/>
    <w:rsid w:val="00420C37"/>
    <w:rsid w:val="00422DDD"/>
    <w:rsid w:val="00430D8F"/>
    <w:rsid w:val="004341B0"/>
    <w:rsid w:val="00434BA0"/>
    <w:rsid w:val="00435F16"/>
    <w:rsid w:val="004433CB"/>
    <w:rsid w:val="00444C75"/>
    <w:rsid w:val="00450DD3"/>
    <w:rsid w:val="0045176B"/>
    <w:rsid w:val="00455019"/>
    <w:rsid w:val="00457169"/>
    <w:rsid w:val="00457BCE"/>
    <w:rsid w:val="00462317"/>
    <w:rsid w:val="00463DB5"/>
    <w:rsid w:val="00464AC8"/>
    <w:rsid w:val="00475358"/>
    <w:rsid w:val="00475519"/>
    <w:rsid w:val="004862A0"/>
    <w:rsid w:val="00491324"/>
    <w:rsid w:val="004929CC"/>
    <w:rsid w:val="0049657C"/>
    <w:rsid w:val="004A6194"/>
    <w:rsid w:val="004B74CA"/>
    <w:rsid w:val="004B7726"/>
    <w:rsid w:val="004C1537"/>
    <w:rsid w:val="004C4B7E"/>
    <w:rsid w:val="004C65D3"/>
    <w:rsid w:val="004D0443"/>
    <w:rsid w:val="004F04F5"/>
    <w:rsid w:val="004F7944"/>
    <w:rsid w:val="004F7E0A"/>
    <w:rsid w:val="00502686"/>
    <w:rsid w:val="0050766A"/>
    <w:rsid w:val="0050783F"/>
    <w:rsid w:val="00512B7D"/>
    <w:rsid w:val="005150D7"/>
    <w:rsid w:val="00521677"/>
    <w:rsid w:val="0052186F"/>
    <w:rsid w:val="005333FB"/>
    <w:rsid w:val="00536A9D"/>
    <w:rsid w:val="00536B26"/>
    <w:rsid w:val="00545964"/>
    <w:rsid w:val="00545CAD"/>
    <w:rsid w:val="005460FE"/>
    <w:rsid w:val="00547C69"/>
    <w:rsid w:val="00554E0A"/>
    <w:rsid w:val="00557093"/>
    <w:rsid w:val="00557D1D"/>
    <w:rsid w:val="00575A17"/>
    <w:rsid w:val="00582437"/>
    <w:rsid w:val="005A341A"/>
    <w:rsid w:val="005A4A3D"/>
    <w:rsid w:val="005A4AD5"/>
    <w:rsid w:val="005A6545"/>
    <w:rsid w:val="005B5EC8"/>
    <w:rsid w:val="005C3F67"/>
    <w:rsid w:val="005C6F9F"/>
    <w:rsid w:val="005C7A0B"/>
    <w:rsid w:val="005D4756"/>
    <w:rsid w:val="005D4F39"/>
    <w:rsid w:val="005F1C38"/>
    <w:rsid w:val="0060269C"/>
    <w:rsid w:val="0061249E"/>
    <w:rsid w:val="00612EF3"/>
    <w:rsid w:val="0061453A"/>
    <w:rsid w:val="006160C7"/>
    <w:rsid w:val="00620A45"/>
    <w:rsid w:val="00624E78"/>
    <w:rsid w:val="00626D3D"/>
    <w:rsid w:val="0063190D"/>
    <w:rsid w:val="00633DB7"/>
    <w:rsid w:val="00634B10"/>
    <w:rsid w:val="006355AC"/>
    <w:rsid w:val="00641F8B"/>
    <w:rsid w:val="00642D8A"/>
    <w:rsid w:val="00646350"/>
    <w:rsid w:val="0065357B"/>
    <w:rsid w:val="00661722"/>
    <w:rsid w:val="0066348B"/>
    <w:rsid w:val="006801AA"/>
    <w:rsid w:val="00683FE5"/>
    <w:rsid w:val="0069408C"/>
    <w:rsid w:val="00694720"/>
    <w:rsid w:val="006A0577"/>
    <w:rsid w:val="006A4889"/>
    <w:rsid w:val="006B6431"/>
    <w:rsid w:val="006C01FE"/>
    <w:rsid w:val="006C2E94"/>
    <w:rsid w:val="006D2BF3"/>
    <w:rsid w:val="006E3B38"/>
    <w:rsid w:val="006F20E7"/>
    <w:rsid w:val="00701D8C"/>
    <w:rsid w:val="007031D7"/>
    <w:rsid w:val="00703980"/>
    <w:rsid w:val="007114C5"/>
    <w:rsid w:val="00713934"/>
    <w:rsid w:val="00721149"/>
    <w:rsid w:val="00722449"/>
    <w:rsid w:val="007230AF"/>
    <w:rsid w:val="007254A2"/>
    <w:rsid w:val="007317CE"/>
    <w:rsid w:val="00741026"/>
    <w:rsid w:val="00745ED5"/>
    <w:rsid w:val="00754F59"/>
    <w:rsid w:val="00762DF1"/>
    <w:rsid w:val="00763721"/>
    <w:rsid w:val="0076479E"/>
    <w:rsid w:val="00770374"/>
    <w:rsid w:val="007754D8"/>
    <w:rsid w:val="00780706"/>
    <w:rsid w:val="00781ABB"/>
    <w:rsid w:val="00790047"/>
    <w:rsid w:val="0079105B"/>
    <w:rsid w:val="00797E48"/>
    <w:rsid w:val="007C0E29"/>
    <w:rsid w:val="007C4DD7"/>
    <w:rsid w:val="007D20B7"/>
    <w:rsid w:val="007D30B0"/>
    <w:rsid w:val="007D3B6B"/>
    <w:rsid w:val="007D713E"/>
    <w:rsid w:val="007D763B"/>
    <w:rsid w:val="007E3234"/>
    <w:rsid w:val="007E3D21"/>
    <w:rsid w:val="007E4983"/>
    <w:rsid w:val="0080120D"/>
    <w:rsid w:val="008156F6"/>
    <w:rsid w:val="008163FB"/>
    <w:rsid w:val="00822B28"/>
    <w:rsid w:val="00824611"/>
    <w:rsid w:val="00834AB8"/>
    <w:rsid w:val="00840002"/>
    <w:rsid w:val="0084153F"/>
    <w:rsid w:val="00842232"/>
    <w:rsid w:val="00855922"/>
    <w:rsid w:val="00855C0E"/>
    <w:rsid w:val="00862F95"/>
    <w:rsid w:val="00863B97"/>
    <w:rsid w:val="00864285"/>
    <w:rsid w:val="00867FFC"/>
    <w:rsid w:val="00871260"/>
    <w:rsid w:val="008757C5"/>
    <w:rsid w:val="00883C5F"/>
    <w:rsid w:val="00884305"/>
    <w:rsid w:val="008927DD"/>
    <w:rsid w:val="00895425"/>
    <w:rsid w:val="008A07F1"/>
    <w:rsid w:val="008A1468"/>
    <w:rsid w:val="008A1D50"/>
    <w:rsid w:val="008A28BB"/>
    <w:rsid w:val="008A2E8D"/>
    <w:rsid w:val="008A52B0"/>
    <w:rsid w:val="008B2A5E"/>
    <w:rsid w:val="008B47A6"/>
    <w:rsid w:val="008B539F"/>
    <w:rsid w:val="008B6C7B"/>
    <w:rsid w:val="008C2800"/>
    <w:rsid w:val="008C5EB9"/>
    <w:rsid w:val="008D7D70"/>
    <w:rsid w:val="008E0860"/>
    <w:rsid w:val="008F0231"/>
    <w:rsid w:val="008F5279"/>
    <w:rsid w:val="009031C9"/>
    <w:rsid w:val="00903F1C"/>
    <w:rsid w:val="00906CC1"/>
    <w:rsid w:val="00907116"/>
    <w:rsid w:val="009124BF"/>
    <w:rsid w:val="00914883"/>
    <w:rsid w:val="009162E4"/>
    <w:rsid w:val="00930E64"/>
    <w:rsid w:val="00942658"/>
    <w:rsid w:val="00946B7C"/>
    <w:rsid w:val="00954695"/>
    <w:rsid w:val="00954C76"/>
    <w:rsid w:val="00956133"/>
    <w:rsid w:val="00961FAB"/>
    <w:rsid w:val="00975F27"/>
    <w:rsid w:val="00984904"/>
    <w:rsid w:val="0098758D"/>
    <w:rsid w:val="009910B0"/>
    <w:rsid w:val="00995021"/>
    <w:rsid w:val="00995705"/>
    <w:rsid w:val="00997DB5"/>
    <w:rsid w:val="009A1171"/>
    <w:rsid w:val="009A45BA"/>
    <w:rsid w:val="009B241B"/>
    <w:rsid w:val="009C1FF2"/>
    <w:rsid w:val="009C296D"/>
    <w:rsid w:val="009C479D"/>
    <w:rsid w:val="009C635B"/>
    <w:rsid w:val="009C6B76"/>
    <w:rsid w:val="009D2B20"/>
    <w:rsid w:val="009D2EB9"/>
    <w:rsid w:val="009E6DEA"/>
    <w:rsid w:val="009E75CB"/>
    <w:rsid w:val="009F2699"/>
    <w:rsid w:val="009F4430"/>
    <w:rsid w:val="00A03645"/>
    <w:rsid w:val="00A10A2D"/>
    <w:rsid w:val="00A15207"/>
    <w:rsid w:val="00A16EF2"/>
    <w:rsid w:val="00A17FA2"/>
    <w:rsid w:val="00A21DD3"/>
    <w:rsid w:val="00A26D73"/>
    <w:rsid w:val="00A32028"/>
    <w:rsid w:val="00A323FB"/>
    <w:rsid w:val="00A40EA7"/>
    <w:rsid w:val="00A542FA"/>
    <w:rsid w:val="00A618B7"/>
    <w:rsid w:val="00A7312A"/>
    <w:rsid w:val="00A80E93"/>
    <w:rsid w:val="00A8343D"/>
    <w:rsid w:val="00A95455"/>
    <w:rsid w:val="00A962F0"/>
    <w:rsid w:val="00AA3A70"/>
    <w:rsid w:val="00AA636B"/>
    <w:rsid w:val="00AC12F5"/>
    <w:rsid w:val="00AC2B1B"/>
    <w:rsid w:val="00AD55A4"/>
    <w:rsid w:val="00AE393C"/>
    <w:rsid w:val="00AE6442"/>
    <w:rsid w:val="00AE7B22"/>
    <w:rsid w:val="00AE7F3B"/>
    <w:rsid w:val="00AF06C3"/>
    <w:rsid w:val="00AF4C9C"/>
    <w:rsid w:val="00B011C9"/>
    <w:rsid w:val="00B139C1"/>
    <w:rsid w:val="00B13A9F"/>
    <w:rsid w:val="00B3232C"/>
    <w:rsid w:val="00B35949"/>
    <w:rsid w:val="00B35C86"/>
    <w:rsid w:val="00B518CB"/>
    <w:rsid w:val="00B53907"/>
    <w:rsid w:val="00B61DE7"/>
    <w:rsid w:val="00B67191"/>
    <w:rsid w:val="00B6775D"/>
    <w:rsid w:val="00B71D9E"/>
    <w:rsid w:val="00B726AC"/>
    <w:rsid w:val="00B7277C"/>
    <w:rsid w:val="00B737FD"/>
    <w:rsid w:val="00B73F0E"/>
    <w:rsid w:val="00B74569"/>
    <w:rsid w:val="00B80B83"/>
    <w:rsid w:val="00B91312"/>
    <w:rsid w:val="00B92AB1"/>
    <w:rsid w:val="00B965C4"/>
    <w:rsid w:val="00BA5C01"/>
    <w:rsid w:val="00BB27A2"/>
    <w:rsid w:val="00BB7A41"/>
    <w:rsid w:val="00BC46DF"/>
    <w:rsid w:val="00BC4DD1"/>
    <w:rsid w:val="00BC7C5D"/>
    <w:rsid w:val="00BD3FC2"/>
    <w:rsid w:val="00BD44B7"/>
    <w:rsid w:val="00BE7954"/>
    <w:rsid w:val="00BF3540"/>
    <w:rsid w:val="00BF7B01"/>
    <w:rsid w:val="00C10C2E"/>
    <w:rsid w:val="00C16493"/>
    <w:rsid w:val="00C20D44"/>
    <w:rsid w:val="00C31A8D"/>
    <w:rsid w:val="00C32A8F"/>
    <w:rsid w:val="00C37DEB"/>
    <w:rsid w:val="00C407B3"/>
    <w:rsid w:val="00C41A2E"/>
    <w:rsid w:val="00C42BF2"/>
    <w:rsid w:val="00C46E14"/>
    <w:rsid w:val="00C46E18"/>
    <w:rsid w:val="00C50D44"/>
    <w:rsid w:val="00C5194D"/>
    <w:rsid w:val="00C553C5"/>
    <w:rsid w:val="00C6449D"/>
    <w:rsid w:val="00C64BAD"/>
    <w:rsid w:val="00C66BB1"/>
    <w:rsid w:val="00C7058D"/>
    <w:rsid w:val="00C71552"/>
    <w:rsid w:val="00C843F3"/>
    <w:rsid w:val="00C924F2"/>
    <w:rsid w:val="00C92D85"/>
    <w:rsid w:val="00C977AC"/>
    <w:rsid w:val="00CA3893"/>
    <w:rsid w:val="00CA5926"/>
    <w:rsid w:val="00CA597B"/>
    <w:rsid w:val="00CB115A"/>
    <w:rsid w:val="00CC13A1"/>
    <w:rsid w:val="00CC28A1"/>
    <w:rsid w:val="00CC3FA0"/>
    <w:rsid w:val="00CC5ADB"/>
    <w:rsid w:val="00CD1805"/>
    <w:rsid w:val="00CD20F7"/>
    <w:rsid w:val="00CD2822"/>
    <w:rsid w:val="00CE0850"/>
    <w:rsid w:val="00CE42CC"/>
    <w:rsid w:val="00CE55A0"/>
    <w:rsid w:val="00CE6116"/>
    <w:rsid w:val="00CE77D5"/>
    <w:rsid w:val="00CF0DEF"/>
    <w:rsid w:val="00CF5D0D"/>
    <w:rsid w:val="00D00B55"/>
    <w:rsid w:val="00D013CD"/>
    <w:rsid w:val="00D108C3"/>
    <w:rsid w:val="00D14D3D"/>
    <w:rsid w:val="00D169AD"/>
    <w:rsid w:val="00D201B3"/>
    <w:rsid w:val="00D32A67"/>
    <w:rsid w:val="00D37355"/>
    <w:rsid w:val="00D42CE4"/>
    <w:rsid w:val="00D43F1F"/>
    <w:rsid w:val="00D50E7A"/>
    <w:rsid w:val="00D50FD8"/>
    <w:rsid w:val="00D72394"/>
    <w:rsid w:val="00D80A70"/>
    <w:rsid w:val="00D862C5"/>
    <w:rsid w:val="00D9208B"/>
    <w:rsid w:val="00D940A9"/>
    <w:rsid w:val="00D977CF"/>
    <w:rsid w:val="00DA0CAF"/>
    <w:rsid w:val="00DA18EA"/>
    <w:rsid w:val="00DB328A"/>
    <w:rsid w:val="00DC4DB8"/>
    <w:rsid w:val="00DC570F"/>
    <w:rsid w:val="00DD6C22"/>
    <w:rsid w:val="00DE0646"/>
    <w:rsid w:val="00DE1E0F"/>
    <w:rsid w:val="00DE3BE9"/>
    <w:rsid w:val="00DE3DD4"/>
    <w:rsid w:val="00DE401E"/>
    <w:rsid w:val="00DF47AC"/>
    <w:rsid w:val="00DF4CCF"/>
    <w:rsid w:val="00E10E37"/>
    <w:rsid w:val="00E147A9"/>
    <w:rsid w:val="00E2296C"/>
    <w:rsid w:val="00E23817"/>
    <w:rsid w:val="00E247CE"/>
    <w:rsid w:val="00E375B9"/>
    <w:rsid w:val="00E401BC"/>
    <w:rsid w:val="00E4228D"/>
    <w:rsid w:val="00E47961"/>
    <w:rsid w:val="00E47F66"/>
    <w:rsid w:val="00E52FEF"/>
    <w:rsid w:val="00E52FFE"/>
    <w:rsid w:val="00E53086"/>
    <w:rsid w:val="00E54693"/>
    <w:rsid w:val="00E549C1"/>
    <w:rsid w:val="00E574C3"/>
    <w:rsid w:val="00E63975"/>
    <w:rsid w:val="00E64952"/>
    <w:rsid w:val="00E65507"/>
    <w:rsid w:val="00E668C7"/>
    <w:rsid w:val="00E82B64"/>
    <w:rsid w:val="00E84AF2"/>
    <w:rsid w:val="00E858C7"/>
    <w:rsid w:val="00E86090"/>
    <w:rsid w:val="00E8673D"/>
    <w:rsid w:val="00E86B78"/>
    <w:rsid w:val="00E904CB"/>
    <w:rsid w:val="00EA0DAB"/>
    <w:rsid w:val="00EA1706"/>
    <w:rsid w:val="00EA427E"/>
    <w:rsid w:val="00EA56C8"/>
    <w:rsid w:val="00EB0899"/>
    <w:rsid w:val="00EB20F9"/>
    <w:rsid w:val="00EB21CF"/>
    <w:rsid w:val="00EB2A03"/>
    <w:rsid w:val="00EB39D6"/>
    <w:rsid w:val="00EC133E"/>
    <w:rsid w:val="00EC5922"/>
    <w:rsid w:val="00ED4113"/>
    <w:rsid w:val="00ED42EB"/>
    <w:rsid w:val="00EE020E"/>
    <w:rsid w:val="00EE284D"/>
    <w:rsid w:val="00EE4BD7"/>
    <w:rsid w:val="00EE6C6A"/>
    <w:rsid w:val="00EE6CA6"/>
    <w:rsid w:val="00EF03EB"/>
    <w:rsid w:val="00EF7537"/>
    <w:rsid w:val="00F017DC"/>
    <w:rsid w:val="00F053BD"/>
    <w:rsid w:val="00F06B1F"/>
    <w:rsid w:val="00F06E3F"/>
    <w:rsid w:val="00F10200"/>
    <w:rsid w:val="00F1081E"/>
    <w:rsid w:val="00F12D70"/>
    <w:rsid w:val="00F153AE"/>
    <w:rsid w:val="00F17EB9"/>
    <w:rsid w:val="00F2289E"/>
    <w:rsid w:val="00F415A6"/>
    <w:rsid w:val="00F41971"/>
    <w:rsid w:val="00F42495"/>
    <w:rsid w:val="00F53D98"/>
    <w:rsid w:val="00F66E47"/>
    <w:rsid w:val="00F67E47"/>
    <w:rsid w:val="00F76012"/>
    <w:rsid w:val="00F939EC"/>
    <w:rsid w:val="00F93B82"/>
    <w:rsid w:val="00F957D4"/>
    <w:rsid w:val="00FA0138"/>
    <w:rsid w:val="00FA239B"/>
    <w:rsid w:val="00FA4CCC"/>
    <w:rsid w:val="00FD5EC4"/>
    <w:rsid w:val="00FE3AA3"/>
    <w:rsid w:val="00FE42B3"/>
    <w:rsid w:val="00FE5042"/>
    <w:rsid w:val="00FE6B9D"/>
    <w:rsid w:val="00FF70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kern w:val="2"/>
        <w:sz w:val="26"/>
        <w:szCs w:val="26"/>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semiHidden/>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E52FFE"/>
    <w:pPr>
      <w:spacing w:line="240" w:lineRule="auto"/>
    </w:pPr>
    <w:rPr>
      <w:szCs w:val="20"/>
    </w:rPr>
  </w:style>
  <w:style w:type="character" w:customStyle="1" w:styleId="FootnoteTextChar">
    <w:name w:val="Footnote Text Char"/>
    <w:basedOn w:val="DefaultParagraphFont"/>
    <w:link w:val="FootnoteText"/>
    <w:uiPriority w:val="99"/>
    <w:rsid w:val="00E52FFE"/>
    <w:rPr>
      <w:szCs w:val="20"/>
    </w:rPr>
  </w:style>
  <w:style w:type="character" w:styleId="Hyperlink">
    <w:name w:val="Hyperlink"/>
    <w:basedOn w:val="DefaultParagraphFont"/>
    <w:uiPriority w:val="99"/>
    <w:unhideWhenUsed/>
    <w:rsid w:val="00C977AC"/>
    <w:rPr>
      <w:color w:val="0000FF" w:themeColor="hyperlink"/>
      <w:u w:val="single"/>
    </w:rPr>
  </w:style>
  <w:style w:type="character" w:customStyle="1" w:styleId="UnresolvedMention">
    <w:name w:val="Unresolved Mention"/>
    <w:basedOn w:val="DefaultParagraphFont"/>
    <w:uiPriority w:val="99"/>
    <w:semiHidden/>
    <w:unhideWhenUsed/>
    <w:rsid w:val="00C977AC"/>
    <w:rPr>
      <w:color w:val="605E5C"/>
      <w:shd w:val="clear" w:color="auto" w:fill="E1DFDD"/>
    </w:rPr>
  </w:style>
  <w:style w:type="character" w:styleId="Emphasis">
    <w:name w:val="Emphasis"/>
    <w:basedOn w:val="DefaultParagraphFont"/>
    <w:uiPriority w:val="20"/>
    <w:qFormat/>
    <w:rsid w:val="00CD2822"/>
    <w:rPr>
      <w:i/>
      <w:iCs/>
    </w:rPr>
  </w:style>
  <w:style w:type="character" w:customStyle="1" w:styleId="cosearchterm">
    <w:name w:val="co_searchterm"/>
    <w:basedOn w:val="DefaultParagraphFont"/>
    <w:rsid w:val="00CD20F7"/>
  </w:style>
  <w:style w:type="paragraph" w:styleId="Revision">
    <w:name w:val="Revision"/>
    <w:hidden/>
    <w:uiPriority w:val="99"/>
    <w:semiHidden/>
    <w:rsid w:val="00475519"/>
    <w:pPr>
      <w:spacing w:line="240" w:lineRule="auto"/>
    </w:pPr>
  </w:style>
  <w:style w:type="character" w:styleId="CommentReference">
    <w:name w:val="annotation reference"/>
    <w:basedOn w:val="DefaultParagraphFont"/>
    <w:uiPriority w:val="99"/>
    <w:semiHidden/>
    <w:unhideWhenUsed/>
    <w:rsid w:val="00475519"/>
    <w:rPr>
      <w:sz w:val="16"/>
      <w:szCs w:val="16"/>
    </w:rPr>
  </w:style>
  <w:style w:type="paragraph" w:styleId="CommentText">
    <w:name w:val="annotation text"/>
    <w:basedOn w:val="Normal"/>
    <w:link w:val="CommentTextChar"/>
    <w:uiPriority w:val="99"/>
    <w:unhideWhenUsed/>
    <w:rsid w:val="00475519"/>
    <w:pPr>
      <w:spacing w:line="240" w:lineRule="auto"/>
    </w:pPr>
    <w:rPr>
      <w:sz w:val="20"/>
      <w:szCs w:val="20"/>
    </w:rPr>
  </w:style>
  <w:style w:type="character" w:customStyle="1" w:styleId="CommentTextChar">
    <w:name w:val="Comment Text Char"/>
    <w:basedOn w:val="DefaultParagraphFont"/>
    <w:link w:val="CommentText"/>
    <w:uiPriority w:val="99"/>
    <w:rsid w:val="00475519"/>
    <w:rPr>
      <w:sz w:val="20"/>
      <w:szCs w:val="20"/>
    </w:rPr>
  </w:style>
  <w:style w:type="paragraph" w:styleId="CommentSubject">
    <w:name w:val="annotation subject"/>
    <w:basedOn w:val="CommentText"/>
    <w:next w:val="CommentText"/>
    <w:link w:val="CommentSubjectChar"/>
    <w:uiPriority w:val="99"/>
    <w:semiHidden/>
    <w:unhideWhenUsed/>
    <w:rsid w:val="00475519"/>
    <w:rPr>
      <w:b/>
      <w:bCs/>
    </w:rPr>
  </w:style>
  <w:style w:type="character" w:customStyle="1" w:styleId="CommentSubjectChar">
    <w:name w:val="Comment Subject Char"/>
    <w:basedOn w:val="CommentTextChar"/>
    <w:link w:val="CommentSubject"/>
    <w:uiPriority w:val="99"/>
    <w:semiHidden/>
    <w:rsid w:val="00475519"/>
    <w:rPr>
      <w:b/>
      <w:bCs/>
      <w:sz w:val="20"/>
      <w:szCs w:val="20"/>
    </w:rPr>
  </w:style>
  <w:style w:type="paragraph" w:customStyle="1" w:styleId="IndentedQuote">
    <w:name w:val="IndentedQuote"/>
    <w:basedOn w:val="Normal"/>
    <w:link w:val="IndentedQuoteChar"/>
    <w:rsid w:val="00FD5EC4"/>
    <w:pPr>
      <w:spacing w:line="240" w:lineRule="auto"/>
      <w:ind w:left="1080" w:right="1080"/>
    </w:pPr>
  </w:style>
  <w:style w:type="character" w:customStyle="1" w:styleId="IndentedQuoteChar">
    <w:name w:val="IndentedQuote Char"/>
    <w:basedOn w:val="DefaultParagraphFont"/>
    <w:link w:val="IndentedQuote"/>
    <w:rsid w:val="00FD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BDE7-7F26-4011-A70B-4ACBBD70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2024-06-27T19:49:07Z</dcterms:created>
  <dcterms:modified xsi:type="dcterms:W3CDTF">2024-06-27T19:49:07Z</dcterms:modified>
</cp:coreProperties>
</file>