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42397" w:rsidRPr="00075EC5" w:rsidP="00075EC5" w14:paraId="107D5099" w14:textId="1ECBC639">
      <w:pPr>
        <w:spacing w:line="240" w:lineRule="auto"/>
        <w:rPr>
          <w:sz w:val="20"/>
        </w:rPr>
      </w:pPr>
      <w:r w:rsidRPr="00075EC5">
        <w:rPr>
          <w:sz w:val="20"/>
        </w:rPr>
        <w:t>Filed 6/20/24</w:t>
      </w:r>
    </w:p>
    <w:p w:rsidR="00A244E5" w:rsidRPr="00D84307" w:rsidP="009F1338" w14:paraId="13D46DB9" w14:textId="77777777">
      <w:pPr>
        <w:spacing w:line="240" w:lineRule="auto"/>
        <w:jc w:val="center"/>
      </w:pPr>
      <w:r w:rsidRPr="00D84307">
        <w:t>CERTIFIED FOR PUBLICATION</w:t>
      </w:r>
    </w:p>
    <w:p w:rsidR="00FB6F9F" w:rsidRPr="00D84307" w:rsidP="00FB6F9F" w14:paraId="3883AFA0" w14:textId="27B1A64B">
      <w:pPr>
        <w:spacing w:line="240" w:lineRule="auto"/>
      </w:pPr>
    </w:p>
    <w:p w:rsidR="00FB6F9F" w:rsidRPr="00D84307" w:rsidP="00FB6F9F" w14:paraId="2EF56970" w14:textId="22C74F4A">
      <w:pPr>
        <w:spacing w:line="240" w:lineRule="auto"/>
      </w:pPr>
    </w:p>
    <w:p w:rsidR="00FB6F9F" w:rsidRPr="00D84307" w:rsidP="00FB6F9F" w14:paraId="17DABF23" w14:textId="13AE8317">
      <w:pPr>
        <w:spacing w:line="240" w:lineRule="auto"/>
        <w:jc w:val="center"/>
      </w:pPr>
      <w:r w:rsidRPr="00D84307">
        <w:t>COURT OF APPEAL, FOURTH APPELLATE DISTRICT</w:t>
      </w:r>
    </w:p>
    <w:p w:rsidR="00FB6F9F" w:rsidRPr="00D84307" w:rsidP="00FB6F9F" w14:paraId="3DE36633" w14:textId="77777777">
      <w:pPr>
        <w:spacing w:line="240" w:lineRule="auto"/>
        <w:jc w:val="center"/>
      </w:pPr>
    </w:p>
    <w:p w:rsidR="00FB6F9F" w:rsidRPr="00D84307" w:rsidP="00FB6F9F" w14:paraId="57D48D1D" w14:textId="77777777">
      <w:pPr>
        <w:spacing w:line="240" w:lineRule="auto"/>
        <w:jc w:val="center"/>
      </w:pPr>
      <w:r w:rsidRPr="00D84307">
        <w:t>DIVISION ONE</w:t>
      </w:r>
    </w:p>
    <w:p w:rsidR="00FB6F9F" w:rsidRPr="00D84307" w:rsidP="00FB6F9F" w14:paraId="10368288" w14:textId="77777777">
      <w:pPr>
        <w:spacing w:line="240" w:lineRule="auto"/>
        <w:jc w:val="center"/>
      </w:pPr>
    </w:p>
    <w:p w:rsidR="00FB6F9F" w:rsidRPr="00D84307" w:rsidP="00FB6F9F" w14:paraId="163A4B97" w14:textId="77777777">
      <w:pPr>
        <w:spacing w:line="240" w:lineRule="auto"/>
        <w:jc w:val="center"/>
      </w:pPr>
      <w:r w:rsidRPr="00D84307">
        <w:t>STATE OF CALIFORNIA</w:t>
      </w:r>
    </w:p>
    <w:p w:rsidR="00FB6F9F" w:rsidRPr="00D84307" w:rsidP="00FB6F9F" w14:paraId="55728B76" w14:textId="77777777">
      <w:pPr>
        <w:spacing w:line="240" w:lineRule="auto"/>
        <w:jc w:val="center"/>
      </w:pPr>
    </w:p>
    <w:p w:rsidR="00FB6F9F" w:rsidRPr="00D84307" w:rsidP="00FB6F9F" w14:paraId="265D2322" w14:textId="77777777">
      <w:pPr>
        <w:spacing w:line="240" w:lineRule="auto"/>
        <w:jc w:val="center"/>
      </w:pPr>
    </w:p>
    <w:p w:rsidR="00FB6F9F" w:rsidRPr="00D84307" w:rsidP="00FB6F9F" w14:paraId="5E198D17" w14:textId="77777777">
      <w:pPr>
        <w:spacing w:line="240" w:lineRule="auto"/>
        <w:jc w:val="center"/>
      </w:pPr>
    </w:p>
    <w:tbl>
      <w:tblPr>
        <w:tblW w:w="9360" w:type="dxa"/>
        <w:tblLayout w:type="fixed"/>
        <w:tblLook w:val="0000"/>
      </w:tblPr>
      <w:tblGrid>
        <w:gridCol w:w="5040"/>
        <w:gridCol w:w="4320"/>
      </w:tblGrid>
      <w:tr w14:paraId="7F004120" w14:textId="77777777" w:rsidTr="00FB6F9F">
        <w:tblPrEx>
          <w:tblW w:w="9360" w:type="dxa"/>
          <w:tblLayout w:type="fixed"/>
          <w:tblLook w:val="0000"/>
        </w:tblPrEx>
        <w:tc>
          <w:tcPr>
            <w:tcW w:w="5040" w:type="dxa"/>
            <w:tcBorders>
              <w:bottom w:val="single" w:sz="4" w:space="0" w:color="auto"/>
              <w:right w:val="single" w:sz="4" w:space="0" w:color="auto"/>
            </w:tcBorders>
            <w:shd w:val="clear" w:color="auto" w:fill="auto"/>
          </w:tcPr>
          <w:p w:rsidR="00FB6F9F" w:rsidRPr="00D84307" w:rsidP="008D018A" w14:paraId="15469EF9" w14:textId="77777777">
            <w:pPr>
              <w:spacing w:after="240" w:line="240" w:lineRule="auto"/>
            </w:pPr>
            <w:r w:rsidRPr="00D84307">
              <w:t>THE PEOPLE,</w:t>
            </w:r>
          </w:p>
          <w:p w:rsidR="00FB6F9F" w:rsidRPr="00D84307" w:rsidP="008D018A" w14:paraId="23755586" w14:textId="77777777">
            <w:pPr>
              <w:spacing w:after="240" w:line="240" w:lineRule="auto"/>
            </w:pPr>
            <w:r w:rsidRPr="00D84307">
              <w:tab/>
              <w:t>Plaintiff and Respondent,</w:t>
            </w:r>
          </w:p>
          <w:p w:rsidR="00FB6F9F" w:rsidRPr="00D84307" w:rsidP="008D018A" w14:paraId="35DF9174" w14:textId="77777777">
            <w:pPr>
              <w:spacing w:after="240" w:line="240" w:lineRule="auto"/>
            </w:pPr>
            <w:r w:rsidRPr="00D84307">
              <w:tab/>
              <w:t>v.</w:t>
            </w:r>
          </w:p>
          <w:p w:rsidR="00FB6F9F" w:rsidRPr="00D84307" w:rsidP="008D018A" w14:paraId="7ACADF42" w14:textId="77777777">
            <w:pPr>
              <w:spacing w:after="240" w:line="240" w:lineRule="auto"/>
            </w:pPr>
            <w:r w:rsidRPr="00D84307">
              <w:t>PETER J. MENO,</w:t>
            </w:r>
          </w:p>
          <w:p w:rsidR="00FB6F9F" w:rsidRPr="00D84307" w:rsidP="008D018A" w14:paraId="60A3D1A1" w14:textId="235BB9C1">
            <w:pPr>
              <w:spacing w:after="240" w:line="240" w:lineRule="auto"/>
            </w:pPr>
            <w:r w:rsidRPr="00D84307">
              <w:tab/>
              <w:t>Defendant and Appellant.</w:t>
            </w:r>
          </w:p>
        </w:tc>
        <w:tc>
          <w:tcPr>
            <w:tcW w:w="4320" w:type="dxa"/>
            <w:tcBorders>
              <w:left w:val="single" w:sz="4" w:space="0" w:color="auto"/>
            </w:tcBorders>
            <w:shd w:val="clear" w:color="auto" w:fill="auto"/>
          </w:tcPr>
          <w:p w:rsidR="00FB6F9F" w:rsidRPr="00D84307" w:rsidP="00FB6F9F" w14:paraId="07ADFC76" w14:textId="4730BE13">
            <w:pPr>
              <w:tabs>
                <w:tab w:val="left" w:pos="144"/>
              </w:tabs>
              <w:spacing w:line="240" w:lineRule="auto"/>
            </w:pPr>
            <w:r w:rsidRPr="00D84307">
              <w:tab/>
              <w:t>D081878</w:t>
            </w:r>
          </w:p>
          <w:p w:rsidR="00FB6F9F" w:rsidRPr="00D84307" w:rsidP="00FB6F9F" w14:paraId="38BAEEB8" w14:textId="77777777">
            <w:pPr>
              <w:tabs>
                <w:tab w:val="left" w:pos="144"/>
              </w:tabs>
              <w:spacing w:line="240" w:lineRule="auto"/>
            </w:pPr>
          </w:p>
          <w:p w:rsidR="00FB6F9F" w:rsidRPr="00D84307" w:rsidP="00FB6F9F" w14:paraId="7664D6FE" w14:textId="77777777">
            <w:pPr>
              <w:tabs>
                <w:tab w:val="left" w:pos="144"/>
              </w:tabs>
              <w:spacing w:line="240" w:lineRule="auto"/>
            </w:pPr>
          </w:p>
          <w:p w:rsidR="00FB6F9F" w:rsidRPr="00D84307" w:rsidP="00FB6F9F" w14:paraId="1598B96C" w14:textId="77777777">
            <w:pPr>
              <w:tabs>
                <w:tab w:val="left" w:pos="144"/>
              </w:tabs>
              <w:spacing w:line="240" w:lineRule="auto"/>
            </w:pPr>
          </w:p>
          <w:p w:rsidR="00FB6F9F" w:rsidRPr="00D84307" w:rsidP="00FB6F9F" w14:paraId="1F0E347C" w14:textId="3D00BD34">
            <w:pPr>
              <w:tabs>
                <w:tab w:val="left" w:pos="144"/>
              </w:tabs>
              <w:spacing w:line="240" w:lineRule="auto"/>
            </w:pPr>
            <w:r w:rsidRPr="00D84307">
              <w:tab/>
              <w:t>(Super. Ct. No. SCD288239)</w:t>
            </w:r>
          </w:p>
        </w:tc>
      </w:tr>
    </w:tbl>
    <w:p w:rsidR="00FB6F9F" w:rsidRPr="00D84307" w:rsidP="008D018A" w14:paraId="79743017" w14:textId="77777777">
      <w:pPr>
        <w:spacing w:before="360"/>
      </w:pPr>
      <w:r w:rsidRPr="00D84307">
        <w:tab/>
        <w:t>APPEAL from a judgment of the Superior Court of San Diego County, Evan P. Kirvin, Judge.  Affirmed</w:t>
      </w:r>
      <w:r w:rsidRPr="00D84307" w:rsidR="0023550F">
        <w:t xml:space="preserve"> as modified, with directions</w:t>
      </w:r>
      <w:r w:rsidRPr="00D84307">
        <w:t>.</w:t>
      </w:r>
    </w:p>
    <w:p w:rsidR="00FB6F9F" w:rsidRPr="00D84307" w:rsidP="00FB6F9F" w14:paraId="7965D1D8" w14:textId="5E8B616C">
      <w:r w:rsidRPr="00D84307">
        <w:tab/>
        <w:t xml:space="preserve">Laura Vavakin, </w:t>
      </w:r>
      <w:r w:rsidRPr="00D84307" w:rsidR="008D018A">
        <w:t xml:space="preserve">under appointment by the Court of Appeal, for Defendant and Appellant. </w:t>
      </w:r>
    </w:p>
    <w:p w:rsidR="00FB6F9F" w:rsidRPr="00D84307" w:rsidP="00FB6F9F" w14:paraId="52305676" w14:textId="77777777">
      <w:r w:rsidRPr="00D84307">
        <w:tab/>
        <w:t>Rob Bonta, Attorney General, Lance E. Winters, Chief Assistant Attorney General, Charles C. Ragland, Assistant Attorney General, A. Natasha Cortina and Elizabeth M. Renner, Deputy Attorneys General, for Plaintiff and Respondent.</w:t>
      </w:r>
    </w:p>
    <w:p w:rsidR="00FB6F9F" w:rsidRPr="00D84307" w:rsidP="004C60CE" w14:paraId="2371C49C" w14:textId="77777777">
      <w:pPr>
        <w:pStyle w:val="Heading1"/>
      </w:pPr>
      <w:r w:rsidRPr="00D84307">
        <w:t>INTRODUCTION</w:t>
      </w:r>
    </w:p>
    <w:p w:rsidR="00796D47" w:rsidRPr="00D84307" w:rsidP="00DA7FD0" w14:paraId="5E90630C" w14:textId="35DDE61A">
      <w:r w:rsidRPr="00D84307">
        <w:tab/>
      </w:r>
      <w:r w:rsidRPr="00D84307" w:rsidR="00A73219">
        <w:t xml:space="preserve">A jury convicted </w:t>
      </w:r>
      <w:r w:rsidRPr="00D84307">
        <w:t xml:space="preserve">Peter J. Meno </w:t>
      </w:r>
      <w:r w:rsidRPr="00D84307" w:rsidR="00A73219">
        <w:t xml:space="preserve">of </w:t>
      </w:r>
      <w:r w:rsidRPr="00D84307" w:rsidR="008A49E1">
        <w:t xml:space="preserve">two counts each of </w:t>
      </w:r>
      <w:r w:rsidRPr="00D84307" w:rsidR="006568C6">
        <w:t xml:space="preserve">vehicular manslaughter while intoxicated with ordinary negligence </w:t>
      </w:r>
      <w:r w:rsidRPr="00D84307" w:rsidR="00DE476D">
        <w:t>(counts 1 and 2</w:t>
      </w:r>
      <w:r w:rsidRPr="00D84307" w:rsidR="00451DD8">
        <w:t xml:space="preserve">; </w:t>
      </w:r>
      <w:r w:rsidRPr="00D84307" w:rsidR="00451DD8">
        <w:t>Pen. Code §</w:t>
      </w:r>
      <w:r w:rsidRPr="00D84307" w:rsidR="00B431A9">
        <w:t> </w:t>
      </w:r>
      <w:r w:rsidRPr="00D84307" w:rsidR="00451DD8">
        <w:t>191.5, subd. (b)</w:t>
      </w:r>
      <w:r w:rsidRPr="00D84307" w:rsidR="00DE476D">
        <w:t>)</w:t>
      </w:r>
      <w:r w:rsidRPr="00D84307" w:rsidR="00081E3F">
        <w:t>,</w:t>
      </w:r>
      <w:r>
        <w:rPr>
          <w:rStyle w:val="FootnoteReference"/>
        </w:rPr>
        <w:footnoteReference w:id="2"/>
      </w:r>
      <w:r w:rsidRPr="00D84307" w:rsidR="00DE476D">
        <w:t xml:space="preserve"> </w:t>
      </w:r>
      <w:r w:rsidRPr="00D84307" w:rsidR="00081E3F">
        <w:t>one count of</w:t>
      </w:r>
      <w:r w:rsidRPr="00D84307" w:rsidR="006568C6">
        <w:t xml:space="preserve"> driving under the influence </w:t>
      </w:r>
      <w:r w:rsidRPr="00D84307" w:rsidR="00A5743C">
        <w:t>of alcohol</w:t>
      </w:r>
      <w:r w:rsidRPr="00D84307" w:rsidR="00B37605">
        <w:t xml:space="preserve"> (DUI)</w:t>
      </w:r>
      <w:r w:rsidRPr="00D84307" w:rsidR="00A5743C">
        <w:t xml:space="preserve"> </w:t>
      </w:r>
      <w:r w:rsidRPr="00D84307" w:rsidR="006568C6">
        <w:t>causing</w:t>
      </w:r>
      <w:r w:rsidRPr="00D84307" w:rsidR="00A5743C">
        <w:t xml:space="preserve"> bodily</w:t>
      </w:r>
      <w:r w:rsidRPr="00D84307" w:rsidR="006568C6">
        <w:t xml:space="preserve"> injury</w:t>
      </w:r>
      <w:r w:rsidRPr="00D84307" w:rsidR="00DE476D">
        <w:t xml:space="preserve"> (counts 3</w:t>
      </w:r>
      <w:r w:rsidRPr="00D84307" w:rsidR="00451DD8">
        <w:t>; Veh. Code §</w:t>
      </w:r>
      <w:r w:rsidRPr="00D84307" w:rsidR="00B431A9">
        <w:t> </w:t>
      </w:r>
      <w:r w:rsidRPr="00D84307" w:rsidR="00451DD8">
        <w:t>23153, subd. (a)</w:t>
      </w:r>
      <w:r w:rsidRPr="00D84307" w:rsidR="00DE476D">
        <w:t>)</w:t>
      </w:r>
      <w:r w:rsidRPr="00D84307" w:rsidR="00430812">
        <w:t xml:space="preserve">, and one count of driving with a </w:t>
      </w:r>
      <w:r w:rsidRPr="00D84307" w:rsidR="004E2904">
        <w:t>blood alcohol content</w:t>
      </w:r>
      <w:r w:rsidRPr="00D84307" w:rsidR="000F62FA">
        <w:t xml:space="preserve"> (BAC)</w:t>
      </w:r>
      <w:r w:rsidRPr="00D84307" w:rsidR="004E2904">
        <w:t xml:space="preserve"> of 0.08 percent or more causing injury (counts 4; Veh. Code §</w:t>
      </w:r>
      <w:r w:rsidRPr="00D84307" w:rsidR="00B431A9">
        <w:t> </w:t>
      </w:r>
      <w:r w:rsidRPr="00D84307" w:rsidR="004E2904">
        <w:t>23153, subd. (b))</w:t>
      </w:r>
      <w:r w:rsidRPr="00D84307" w:rsidR="00356B7A">
        <w:t xml:space="preserve">.  </w:t>
      </w:r>
      <w:r w:rsidRPr="00D84307" w:rsidR="00E26204">
        <w:t>The jury also found true several associated allegations, including that Meno inflicted</w:t>
      </w:r>
      <w:r w:rsidRPr="00D84307" w:rsidR="00992A48">
        <w:t xml:space="preserve"> great</w:t>
      </w:r>
      <w:r w:rsidRPr="00D84307" w:rsidR="00E26204">
        <w:t xml:space="preserve"> bodily injury </w:t>
      </w:r>
      <w:r w:rsidRPr="00D84307" w:rsidR="00992A48">
        <w:t>up</w:t>
      </w:r>
      <w:r w:rsidRPr="00D84307" w:rsidR="00E26204">
        <w:t>on two separate victims as to</w:t>
      </w:r>
      <w:r w:rsidRPr="00D84307" w:rsidR="00E05A5C">
        <w:t xml:space="preserve"> each of</w:t>
      </w:r>
      <w:r w:rsidRPr="00D84307" w:rsidR="00E26204">
        <w:t xml:space="preserve"> counts 3 and 4.  </w:t>
      </w:r>
      <w:r w:rsidRPr="00D84307" w:rsidR="00A53977">
        <w:t>At sentencing, t</w:t>
      </w:r>
      <w:r w:rsidRPr="00D84307" w:rsidR="00356B7A">
        <w:t xml:space="preserve">he trial court </w:t>
      </w:r>
      <w:r w:rsidRPr="00D84307" w:rsidR="00815C6A">
        <w:t>found</w:t>
      </w:r>
      <w:r w:rsidRPr="00D84307" w:rsidR="00A5743C">
        <w:t xml:space="preserve"> </w:t>
      </w:r>
      <w:r w:rsidRPr="00D84307" w:rsidR="000A421E">
        <w:t xml:space="preserve">that </w:t>
      </w:r>
      <w:r w:rsidRPr="00D84307" w:rsidR="0034161C">
        <w:t xml:space="preserve">the convictions on </w:t>
      </w:r>
      <w:r w:rsidRPr="00D84307" w:rsidR="001B54EC">
        <w:t>counts 3 and 4</w:t>
      </w:r>
      <w:r w:rsidRPr="00D84307" w:rsidR="00A5743C">
        <w:t xml:space="preserve"> </w:t>
      </w:r>
      <w:r w:rsidRPr="00D84307" w:rsidR="000A421E">
        <w:t>were necessarily</w:t>
      </w:r>
      <w:r w:rsidRPr="00D84307" w:rsidR="00A5743C">
        <w:t xml:space="preserve"> included offense</w:t>
      </w:r>
      <w:r w:rsidRPr="00D84307" w:rsidR="001B54EC">
        <w:t>s of</w:t>
      </w:r>
      <w:r w:rsidRPr="00D84307" w:rsidR="00F81A8D">
        <w:t xml:space="preserve"> </w:t>
      </w:r>
      <w:r w:rsidRPr="00D84307" w:rsidR="002067F1">
        <w:t xml:space="preserve">counts 1 and 2.  However, </w:t>
      </w:r>
      <w:r w:rsidRPr="00D84307" w:rsidR="00891FA6">
        <w:t>due to the associated enhancements, the potential sentence for counts 3 and 4 was greater than that for counts 1 and 2</w:t>
      </w:r>
      <w:r w:rsidRPr="00D84307" w:rsidR="00E26BCF">
        <w:t xml:space="preserve">.  </w:t>
      </w:r>
    </w:p>
    <w:p w:rsidR="00B5768E" w:rsidRPr="00D84307" w:rsidP="00E01927" w14:paraId="64349D0C" w14:textId="1CD130BD">
      <w:pPr>
        <w:ind w:firstLine="720"/>
      </w:pPr>
      <w:r w:rsidRPr="00D84307">
        <w:t xml:space="preserve">After hearing argument from the parties, the trial court </w:t>
      </w:r>
      <w:r w:rsidRPr="00D84307" w:rsidR="004B536D">
        <w:t xml:space="preserve">concluded that it had discretion to dismiss either counts 1 and 2 </w:t>
      </w:r>
      <w:r w:rsidRPr="00D84307" w:rsidR="004B536D">
        <w:rPr>
          <w:i/>
          <w:iCs/>
        </w:rPr>
        <w:t xml:space="preserve">or </w:t>
      </w:r>
      <w:r w:rsidRPr="00D84307" w:rsidR="004B536D">
        <w:t>counts 3 and 4</w:t>
      </w:r>
      <w:r w:rsidRPr="00D84307" w:rsidR="00CD515A">
        <w:t xml:space="preserve"> and that it was in the interest of justice to dismiss </w:t>
      </w:r>
      <w:r w:rsidRPr="00D84307" w:rsidR="00891FA6">
        <w:t>counts 1 and 2</w:t>
      </w:r>
      <w:r w:rsidRPr="00D84307" w:rsidR="004B536D">
        <w:t xml:space="preserve">.  </w:t>
      </w:r>
      <w:r w:rsidRPr="00D84307" w:rsidR="00CD515A">
        <w:t>The court</w:t>
      </w:r>
      <w:r w:rsidRPr="00D84307" w:rsidR="00891FA6">
        <w:t xml:space="preserve"> </w:t>
      </w:r>
      <w:r w:rsidRPr="00D84307" w:rsidR="00C901F4">
        <w:t xml:space="preserve">imposed the </w:t>
      </w:r>
      <w:r w:rsidRPr="00D84307" w:rsidR="00F31A58">
        <w:t>two-</w:t>
      </w:r>
      <w:r w:rsidRPr="00D84307" w:rsidR="00C901F4">
        <w:t xml:space="preserve">year middle term on count 3, with an additional </w:t>
      </w:r>
      <w:r w:rsidRPr="00D84307" w:rsidR="00EE06B9">
        <w:t>three</w:t>
      </w:r>
      <w:r w:rsidRPr="00D84307" w:rsidR="00C901F4">
        <w:t xml:space="preserve"> years for each of </w:t>
      </w:r>
      <w:r w:rsidRPr="00D84307" w:rsidR="00EE06B9">
        <w:t xml:space="preserve">the </w:t>
      </w:r>
      <w:r w:rsidRPr="00D84307" w:rsidR="00AC2EF5">
        <w:t>two great</w:t>
      </w:r>
      <w:r w:rsidRPr="00D84307" w:rsidR="00C901F4">
        <w:t xml:space="preserve"> bodily </w:t>
      </w:r>
      <w:r w:rsidRPr="00D84307" w:rsidR="00871E6F">
        <w:t>injury</w:t>
      </w:r>
      <w:r w:rsidRPr="00D84307" w:rsidR="00C901F4">
        <w:t xml:space="preserve"> enhancements, and stayed the punishment for count 4, </w:t>
      </w:r>
      <w:r w:rsidRPr="00D84307" w:rsidR="001B15C4">
        <w:t>for a</w:t>
      </w:r>
      <w:r w:rsidRPr="00D84307" w:rsidR="00C901F4">
        <w:t xml:space="preserve"> </w:t>
      </w:r>
      <w:r w:rsidRPr="00D84307" w:rsidR="001B15C4">
        <w:t xml:space="preserve">combined </w:t>
      </w:r>
      <w:r w:rsidRPr="00D84307" w:rsidR="00C901F4">
        <w:t xml:space="preserve">term of </w:t>
      </w:r>
      <w:r w:rsidRPr="00D84307" w:rsidR="00EE06B9">
        <w:t>eight</w:t>
      </w:r>
      <w:r w:rsidRPr="00D84307" w:rsidR="00C901F4">
        <w:t xml:space="preserve"> years in prison.</w:t>
      </w:r>
      <w:r w:rsidRPr="00D84307" w:rsidR="00DE476D">
        <w:t xml:space="preserve">  Meno asserts </w:t>
      </w:r>
      <w:r w:rsidRPr="00D84307" w:rsidR="00BB636B">
        <w:t xml:space="preserve">this was error and </w:t>
      </w:r>
      <w:r w:rsidRPr="00D84307" w:rsidR="003A0FD0">
        <w:t xml:space="preserve">that </w:t>
      </w:r>
      <w:r w:rsidRPr="00D84307" w:rsidR="00DE476D">
        <w:t xml:space="preserve">the trial court was required to sentence him under </w:t>
      </w:r>
      <w:r w:rsidRPr="00D84307" w:rsidR="00C81DD2">
        <w:t>the</w:t>
      </w:r>
      <w:r w:rsidRPr="00D84307" w:rsidR="00132F33">
        <w:t xml:space="preserve"> more serious, or greater,</w:t>
      </w:r>
      <w:r w:rsidRPr="00D84307" w:rsidR="00C81DD2">
        <w:t xml:space="preserve"> </w:t>
      </w:r>
      <w:r w:rsidRPr="00D84307" w:rsidR="009D3164">
        <w:t>convictions</w:t>
      </w:r>
      <w:r w:rsidRPr="00D84307" w:rsidR="00C81DD2">
        <w:t xml:space="preserve"> in </w:t>
      </w:r>
      <w:r w:rsidRPr="00D84307" w:rsidR="008E173C">
        <w:t>counts 1 and 2</w:t>
      </w:r>
      <w:r w:rsidRPr="00D84307" w:rsidR="00BB636B">
        <w:t>.  He asserts further that,</w:t>
      </w:r>
      <w:r w:rsidRPr="00D84307" w:rsidR="007C3939">
        <w:t xml:space="preserve"> even if</w:t>
      </w:r>
      <w:r w:rsidRPr="00D84307" w:rsidR="00BB636B">
        <w:t xml:space="preserve"> </w:t>
      </w:r>
      <w:r w:rsidRPr="00D84307" w:rsidR="009E2712">
        <w:t xml:space="preserve">the trial court </w:t>
      </w:r>
      <w:r w:rsidRPr="00D84307" w:rsidR="00E01927">
        <w:t>did not err by</w:t>
      </w:r>
      <w:r w:rsidRPr="00D84307" w:rsidR="009E2712">
        <w:t xml:space="preserve"> sentenc</w:t>
      </w:r>
      <w:r w:rsidRPr="00D84307" w:rsidR="00E01927">
        <w:t>ing</w:t>
      </w:r>
      <w:r w:rsidRPr="00D84307" w:rsidR="009E2712">
        <w:t xml:space="preserve"> him on counts 3 and 4</w:t>
      </w:r>
      <w:r w:rsidRPr="00D84307" w:rsidR="00BB636B">
        <w:t>,</w:t>
      </w:r>
      <w:r w:rsidRPr="00D84307" w:rsidR="007C3939">
        <w:t xml:space="preserve"> </w:t>
      </w:r>
      <w:r w:rsidRPr="00D84307" w:rsidR="009E2712">
        <w:t>i</w:t>
      </w:r>
      <w:r w:rsidRPr="00D84307" w:rsidR="00BB636B">
        <w:t>t</w:t>
      </w:r>
      <w:r w:rsidRPr="00D84307" w:rsidR="00132F33">
        <w:t xml:space="preserve"> was required to stay the second </w:t>
      </w:r>
      <w:r w:rsidRPr="00D84307" w:rsidR="00674B77">
        <w:t>great bodily injury</w:t>
      </w:r>
      <w:r w:rsidRPr="00D84307" w:rsidR="00C81DD2">
        <w:t xml:space="preserve"> enhancement</w:t>
      </w:r>
      <w:r w:rsidRPr="00D84307" w:rsidR="00ED6614">
        <w:t xml:space="preserve"> along with the stay</w:t>
      </w:r>
      <w:r w:rsidRPr="00D84307" w:rsidR="00680887">
        <w:t xml:space="preserve"> of</w:t>
      </w:r>
      <w:r w:rsidRPr="00D84307" w:rsidR="00ED6614">
        <w:t xml:space="preserve"> punishment for count 4</w:t>
      </w:r>
      <w:r w:rsidRPr="00D84307" w:rsidR="00C81DD2">
        <w:t>.</w:t>
      </w:r>
      <w:r w:rsidRPr="00D84307" w:rsidR="00A5743C">
        <w:t xml:space="preserve"> </w:t>
      </w:r>
      <w:r w:rsidRPr="00D84307" w:rsidR="007C3939">
        <w:t xml:space="preserve"> We disagree and affirm the judgment. </w:t>
      </w:r>
    </w:p>
    <w:p w:rsidR="00B5768E" w:rsidRPr="00D84307" w:rsidP="009C61D2" w14:paraId="5179BF75" w14:textId="77777777">
      <w:pPr>
        <w:pStyle w:val="Heading1"/>
      </w:pPr>
      <w:r w:rsidRPr="00D84307">
        <w:t>FACTUAL AND PROCEDURAL BACKGROUND</w:t>
      </w:r>
    </w:p>
    <w:p w:rsidR="00FB6F9F" w:rsidRPr="00D84307" w:rsidP="008870D2" w14:paraId="46B2CD23" w14:textId="046FDC65">
      <w:pPr>
        <w:ind w:firstLine="720"/>
      </w:pPr>
      <w:r w:rsidRPr="00D84307">
        <w:t xml:space="preserve">Since the present appeal is limited to issues related to sentencing, </w:t>
      </w:r>
      <w:r w:rsidRPr="00D84307" w:rsidR="002644AB">
        <w:t xml:space="preserve">it is not </w:t>
      </w:r>
      <w:r w:rsidRPr="00D84307">
        <w:t xml:space="preserve">necessary to describe the underlying accident in detail.  Suffice to say, </w:t>
      </w:r>
      <w:r w:rsidRPr="00D84307" w:rsidR="00A73219">
        <w:t xml:space="preserve">Meno </w:t>
      </w:r>
      <w:r w:rsidRPr="00D84307" w:rsidR="00D9318E">
        <w:t xml:space="preserve">was </w:t>
      </w:r>
      <w:r w:rsidRPr="00D84307">
        <w:t xml:space="preserve">driving </w:t>
      </w:r>
      <w:r w:rsidRPr="00D84307" w:rsidR="00107456">
        <w:t xml:space="preserve">under the influence of alcohol </w:t>
      </w:r>
      <w:r w:rsidRPr="00D84307">
        <w:t xml:space="preserve">at a high rate of </w:t>
      </w:r>
      <w:r w:rsidRPr="00D84307" w:rsidR="006961F2">
        <w:t>speed and</w:t>
      </w:r>
      <w:r w:rsidRPr="00D84307" w:rsidR="00D9318E">
        <w:t xml:space="preserve"> hit a</w:t>
      </w:r>
      <w:r w:rsidRPr="00D84307" w:rsidR="001C7FA4">
        <w:t xml:space="preserve"> curb and then</w:t>
      </w:r>
      <w:r w:rsidRPr="00D84307" w:rsidR="006961F2">
        <w:t xml:space="preserve"> a</w:t>
      </w:r>
      <w:r w:rsidRPr="00D84307" w:rsidR="00D9318E">
        <w:t xml:space="preserve"> tree</w:t>
      </w:r>
      <w:r w:rsidRPr="00D84307" w:rsidR="006961F2">
        <w:t>.  T</w:t>
      </w:r>
      <w:r w:rsidRPr="00D84307">
        <w:t xml:space="preserve">wo passengers in </w:t>
      </w:r>
      <w:r w:rsidRPr="00D84307" w:rsidR="00B431A9">
        <w:t>his</w:t>
      </w:r>
      <w:r w:rsidRPr="00D84307">
        <w:t xml:space="preserve"> vehicle </w:t>
      </w:r>
      <w:r w:rsidRPr="00D84307" w:rsidR="003C2798">
        <w:t xml:space="preserve">died as a result. </w:t>
      </w:r>
    </w:p>
    <w:p w:rsidR="00CE7E5C" w:rsidRPr="00D84307" w:rsidP="008870D2" w14:paraId="54748531" w14:textId="1E60536B">
      <w:pPr>
        <w:ind w:firstLine="720"/>
      </w:pPr>
      <w:r w:rsidRPr="00D84307">
        <w:t xml:space="preserve">The People charged Meno </w:t>
      </w:r>
      <w:r w:rsidRPr="00D84307" w:rsidR="00480B51">
        <w:t>with two counts</w:t>
      </w:r>
      <w:r w:rsidRPr="00D84307" w:rsidR="00B82FBE">
        <w:t>—one as to each victim—</w:t>
      </w:r>
      <w:r w:rsidRPr="00D84307" w:rsidR="00480B51">
        <w:t xml:space="preserve">of </w:t>
      </w:r>
      <w:r w:rsidRPr="00D84307">
        <w:t>gross vehicular manslaughter while intoxicated</w:t>
      </w:r>
      <w:r w:rsidRPr="00D84307" w:rsidR="00480B51">
        <w:t xml:space="preserve"> in violation of section 191.5, subdivision (a)</w:t>
      </w:r>
      <w:r w:rsidRPr="00D84307" w:rsidR="0088429F">
        <w:t xml:space="preserve"> (counts 1 and 2)</w:t>
      </w:r>
      <w:r w:rsidRPr="00D84307" w:rsidR="00B82FBE">
        <w:t>;</w:t>
      </w:r>
      <w:r w:rsidRPr="00D84307" w:rsidR="00480B51">
        <w:t xml:space="preserve"> </w:t>
      </w:r>
      <w:r w:rsidRPr="00D84307" w:rsidR="00F92FAB">
        <w:t>one</w:t>
      </w:r>
      <w:r w:rsidRPr="00D84307" w:rsidR="00480B51">
        <w:t xml:space="preserve"> count of</w:t>
      </w:r>
      <w:r w:rsidRPr="00D84307">
        <w:t xml:space="preserve"> </w:t>
      </w:r>
      <w:r w:rsidRPr="00D84307" w:rsidR="00B37605">
        <w:t>DUI</w:t>
      </w:r>
      <w:r w:rsidRPr="00D84307">
        <w:t xml:space="preserve"> causing injury </w:t>
      </w:r>
      <w:r w:rsidRPr="00D84307" w:rsidR="00480B51">
        <w:t xml:space="preserve">in violation of </w:t>
      </w:r>
      <w:r w:rsidRPr="00D84307">
        <w:t>Veh</w:t>
      </w:r>
      <w:r w:rsidRPr="00D84307" w:rsidR="00480B51">
        <w:t>icle</w:t>
      </w:r>
      <w:r w:rsidRPr="00D84307">
        <w:t xml:space="preserve"> Code</w:t>
      </w:r>
      <w:r w:rsidRPr="00D84307" w:rsidR="00480B51">
        <w:t xml:space="preserve"> section</w:t>
      </w:r>
      <w:r w:rsidRPr="00D84307">
        <w:t xml:space="preserve"> 23153, subd</w:t>
      </w:r>
      <w:r w:rsidRPr="00D84307" w:rsidR="00480B51">
        <w:t>ivision</w:t>
      </w:r>
      <w:r w:rsidRPr="00D84307">
        <w:t xml:space="preserve"> (a)</w:t>
      </w:r>
      <w:r w:rsidRPr="00D84307" w:rsidR="0088429F">
        <w:t xml:space="preserve"> (counts 3)</w:t>
      </w:r>
      <w:r w:rsidRPr="00D84307" w:rsidR="00B82FBE">
        <w:t>;</w:t>
      </w:r>
      <w:r w:rsidRPr="00D84307" w:rsidR="008C5F17">
        <w:t xml:space="preserve"> </w:t>
      </w:r>
      <w:r w:rsidRPr="00D84307" w:rsidR="00092A6C">
        <w:t xml:space="preserve">one count of driving with a </w:t>
      </w:r>
      <w:r w:rsidRPr="00D84307" w:rsidR="000F62FA">
        <w:t>BAC</w:t>
      </w:r>
      <w:r w:rsidRPr="00D84307" w:rsidR="00777AEE">
        <w:t xml:space="preserve"> of 0.08 percent or more</w:t>
      </w:r>
      <w:r w:rsidRPr="00D84307" w:rsidR="00092A6C">
        <w:t xml:space="preserve"> causing injury in violation of Vehicle Code section 23153, subdivision (</w:t>
      </w:r>
      <w:r w:rsidRPr="00D84307" w:rsidR="00777AEE">
        <w:t>b</w:t>
      </w:r>
      <w:r w:rsidRPr="00D84307" w:rsidR="00092A6C">
        <w:t xml:space="preserve">) (counts </w:t>
      </w:r>
      <w:r w:rsidRPr="00D84307" w:rsidR="00777AEE">
        <w:t>4</w:t>
      </w:r>
      <w:r w:rsidRPr="00D84307" w:rsidR="00092A6C">
        <w:t>)</w:t>
      </w:r>
      <w:r w:rsidRPr="00D84307" w:rsidR="00B82FBE">
        <w:t>;</w:t>
      </w:r>
      <w:r w:rsidRPr="00D84307" w:rsidR="00092A6C">
        <w:t xml:space="preserve"> </w:t>
      </w:r>
      <w:r w:rsidRPr="00D84307" w:rsidR="008C5F17">
        <w:t>one count of</w:t>
      </w:r>
      <w:r w:rsidRPr="00D84307">
        <w:t xml:space="preserve"> driving under the influence of alcohol/drugs causing injury </w:t>
      </w:r>
      <w:r w:rsidRPr="00D84307" w:rsidR="008C5F17">
        <w:t xml:space="preserve">in violation of Vehicle Code section </w:t>
      </w:r>
      <w:r w:rsidRPr="00D84307">
        <w:t>23153, subd</w:t>
      </w:r>
      <w:r w:rsidRPr="00D84307" w:rsidR="008C5F17">
        <w:t>ivision</w:t>
      </w:r>
      <w:r w:rsidRPr="00D84307">
        <w:t xml:space="preserve"> (g)</w:t>
      </w:r>
      <w:r w:rsidRPr="00D84307" w:rsidR="0088429F">
        <w:t xml:space="preserve"> (count 5)</w:t>
      </w:r>
      <w:r w:rsidRPr="00D84307" w:rsidR="00B82FBE">
        <w:t>;</w:t>
      </w:r>
      <w:r>
        <w:rPr>
          <w:rStyle w:val="FootnoteReference"/>
        </w:rPr>
        <w:footnoteReference w:id="3"/>
      </w:r>
      <w:r w:rsidRPr="00D84307">
        <w:t xml:space="preserve"> and </w:t>
      </w:r>
      <w:r w:rsidRPr="00D84307" w:rsidR="008C5F17">
        <w:t>one</w:t>
      </w:r>
      <w:r w:rsidRPr="00D84307">
        <w:t xml:space="preserve"> count </w:t>
      </w:r>
      <w:r w:rsidRPr="00D84307" w:rsidR="008C5F17">
        <w:t>of</w:t>
      </w:r>
      <w:r w:rsidRPr="00D84307">
        <w:t xml:space="preserve"> driving </w:t>
      </w:r>
      <w:r w:rsidRPr="00D84307" w:rsidR="008C5F17">
        <w:t xml:space="preserve">with a suspended license in violation of </w:t>
      </w:r>
      <w:r w:rsidRPr="00D84307">
        <w:t>Veh</w:t>
      </w:r>
      <w:r w:rsidRPr="00D84307" w:rsidR="008C5F17">
        <w:t>icle</w:t>
      </w:r>
      <w:r w:rsidRPr="00D84307">
        <w:t xml:space="preserve"> Code</w:t>
      </w:r>
      <w:r w:rsidRPr="00D84307" w:rsidR="008C5F17">
        <w:t xml:space="preserve"> section</w:t>
      </w:r>
      <w:r w:rsidRPr="00D84307">
        <w:t xml:space="preserve"> 14601.1, subd</w:t>
      </w:r>
      <w:r w:rsidRPr="00D84307" w:rsidR="008C5F17">
        <w:t>ivision</w:t>
      </w:r>
      <w:r w:rsidRPr="00D84307">
        <w:t xml:space="preserve"> (a)</w:t>
      </w:r>
      <w:r w:rsidRPr="00D84307" w:rsidR="0088429F">
        <w:t xml:space="preserve"> (count 6)</w:t>
      </w:r>
      <w:r w:rsidRPr="00D84307">
        <w:t xml:space="preserve">. </w:t>
      </w:r>
      <w:r w:rsidRPr="00D84307" w:rsidR="008C5F17">
        <w:t xml:space="preserve"> </w:t>
      </w:r>
      <w:r w:rsidRPr="00D84307" w:rsidR="00BD7FFB">
        <w:t>T</w:t>
      </w:r>
      <w:r w:rsidRPr="00D84307" w:rsidR="008C5F17">
        <w:t xml:space="preserve">he </w:t>
      </w:r>
      <w:r w:rsidRPr="00D84307" w:rsidR="00671D30">
        <w:t>amended information</w:t>
      </w:r>
      <w:r w:rsidRPr="00D84307" w:rsidR="00E35D98">
        <w:t xml:space="preserve"> included </w:t>
      </w:r>
      <w:r w:rsidRPr="00D84307" w:rsidR="00140021">
        <w:t xml:space="preserve">special </w:t>
      </w:r>
      <w:r w:rsidRPr="00D84307" w:rsidR="00E35D98">
        <w:t>allegations, among others,</w:t>
      </w:r>
      <w:r w:rsidRPr="00D84307" w:rsidR="00325AC9">
        <w:t xml:space="preserve"> that</w:t>
      </w:r>
      <w:r w:rsidRPr="00D84307" w:rsidR="002D67C3">
        <w:t xml:space="preserve"> Meno </w:t>
      </w:r>
      <w:r w:rsidRPr="00D84307" w:rsidR="007816D1">
        <w:t>personally inflicted</w:t>
      </w:r>
      <w:r w:rsidRPr="00D84307" w:rsidR="002D67C3">
        <w:t xml:space="preserve"> great bodily injury </w:t>
      </w:r>
      <w:r w:rsidRPr="00D84307" w:rsidR="008F00B2">
        <w:t xml:space="preserve">as </w:t>
      </w:r>
      <w:r w:rsidRPr="00D84307" w:rsidR="00325AC9">
        <w:t>to</w:t>
      </w:r>
      <w:r w:rsidRPr="00D84307" w:rsidR="008F00B2">
        <w:t xml:space="preserve"> the deceased</w:t>
      </w:r>
      <w:r w:rsidRPr="00D84307" w:rsidR="002D67C3">
        <w:t xml:space="preserve"> </w:t>
      </w:r>
      <w:r w:rsidRPr="00D84307" w:rsidR="00140021">
        <w:t>victim</w:t>
      </w:r>
      <w:r w:rsidRPr="00D84307" w:rsidR="00E35D98">
        <w:t xml:space="preserve"> named</w:t>
      </w:r>
      <w:r w:rsidRPr="00D84307" w:rsidR="002D67C3">
        <w:t xml:space="preserve"> </w:t>
      </w:r>
      <w:r w:rsidRPr="00D84307" w:rsidR="00325AC9">
        <w:t>in</w:t>
      </w:r>
      <w:r w:rsidRPr="00D84307" w:rsidR="00E35D98">
        <w:t xml:space="preserve"> each of</w:t>
      </w:r>
      <w:r w:rsidRPr="00D84307" w:rsidR="008F00B2">
        <w:t xml:space="preserve"> </w:t>
      </w:r>
      <w:r w:rsidRPr="00D84307" w:rsidR="002E18E1">
        <w:t xml:space="preserve">counts 1 </w:t>
      </w:r>
      <w:r w:rsidRPr="00D84307" w:rsidR="00325AC9">
        <w:t xml:space="preserve">and 2, and as to each of the two victims in counts 3 and </w:t>
      </w:r>
      <w:r w:rsidRPr="00D84307" w:rsidR="002E18E1">
        <w:t>4</w:t>
      </w:r>
      <w:r w:rsidRPr="00D84307" w:rsidR="00671D30">
        <w:t>.</w:t>
      </w:r>
      <w:r w:rsidRPr="00D84307" w:rsidR="00551D30">
        <w:t xml:space="preserve"> </w:t>
      </w:r>
    </w:p>
    <w:p w:rsidR="00CE7E5C" w:rsidRPr="00D84307" w:rsidP="008870D2" w14:paraId="15267B99" w14:textId="3BE239C6">
      <w:pPr>
        <w:ind w:firstLine="720"/>
      </w:pPr>
      <w:r w:rsidRPr="00D84307">
        <w:t>At the conclusion of evidence</w:t>
      </w:r>
      <w:r w:rsidRPr="00D84307" w:rsidR="00867927">
        <w:t>, t</w:t>
      </w:r>
      <w:r w:rsidRPr="00D84307">
        <w:t xml:space="preserve">he jury </w:t>
      </w:r>
      <w:r w:rsidRPr="00D84307" w:rsidR="00C34993">
        <w:t>acquitted</w:t>
      </w:r>
      <w:r w:rsidRPr="00D84307">
        <w:t xml:space="preserve"> Meno o</w:t>
      </w:r>
      <w:r w:rsidRPr="00D84307" w:rsidR="00AA7523">
        <w:t>f</w:t>
      </w:r>
      <w:r w:rsidRPr="00D84307">
        <w:t xml:space="preserve"> </w:t>
      </w:r>
      <w:r w:rsidRPr="00D84307" w:rsidR="00867927">
        <w:t>the charged offense</w:t>
      </w:r>
      <w:r w:rsidRPr="00D84307" w:rsidR="00C34993">
        <w:t>s</w:t>
      </w:r>
      <w:r w:rsidRPr="00D84307" w:rsidR="00867927">
        <w:t xml:space="preserve"> </w:t>
      </w:r>
      <w:r w:rsidRPr="00D84307" w:rsidR="004223A4">
        <w:t>in counts 1 and 2</w:t>
      </w:r>
      <w:r w:rsidRPr="00D84307" w:rsidR="008A43EF">
        <w:t xml:space="preserve">, </w:t>
      </w:r>
      <w:r w:rsidRPr="00D84307" w:rsidR="00867927">
        <w:t xml:space="preserve">but </w:t>
      </w:r>
      <w:r w:rsidRPr="00D84307" w:rsidR="00C34993">
        <w:t xml:space="preserve">found him </w:t>
      </w:r>
      <w:r w:rsidRPr="00D84307" w:rsidR="00867927">
        <w:t>guilty of the lesser included offen</w:t>
      </w:r>
      <w:r w:rsidRPr="00D84307" w:rsidR="00C34993">
        <w:t>s</w:t>
      </w:r>
      <w:r w:rsidRPr="00D84307" w:rsidR="00867927">
        <w:t>e</w:t>
      </w:r>
      <w:r w:rsidRPr="00D84307" w:rsidR="00461BEC">
        <w:t>s</w:t>
      </w:r>
      <w:r w:rsidRPr="00D84307" w:rsidR="00867927">
        <w:t xml:space="preserve"> of vehicular manslaughter while intoxicated with ordinary </w:t>
      </w:r>
      <w:r w:rsidRPr="00D84307" w:rsidR="00970F2F">
        <w:t>negligence</w:t>
      </w:r>
      <w:r w:rsidRPr="00D84307" w:rsidR="00867927">
        <w:t xml:space="preserve"> </w:t>
      </w:r>
      <w:r w:rsidRPr="00D84307" w:rsidR="006C43C9">
        <w:t>under</w:t>
      </w:r>
      <w:r w:rsidRPr="00D84307" w:rsidR="00867927">
        <w:t xml:space="preserve"> section 191.5, </w:t>
      </w:r>
      <w:r w:rsidRPr="00D84307" w:rsidR="00FD09FA">
        <w:t>subdivision</w:t>
      </w:r>
      <w:r w:rsidRPr="00D84307" w:rsidR="00867927">
        <w:t xml:space="preserve"> (b)</w:t>
      </w:r>
      <w:r w:rsidRPr="00D84307" w:rsidR="00D93DFD">
        <w:t xml:space="preserve">. </w:t>
      </w:r>
      <w:r w:rsidRPr="00D84307" w:rsidR="00860C6E">
        <w:t xml:space="preserve"> </w:t>
      </w:r>
      <w:r w:rsidRPr="00D84307" w:rsidR="00A92F75">
        <w:t>In addition</w:t>
      </w:r>
      <w:r w:rsidRPr="00D84307" w:rsidR="00252879">
        <w:t>,</w:t>
      </w:r>
      <w:r w:rsidRPr="00D84307" w:rsidR="003E2E58">
        <w:t xml:space="preserve"> </w:t>
      </w:r>
      <w:r w:rsidRPr="00D84307" w:rsidR="00A92F75">
        <w:t>t</w:t>
      </w:r>
      <w:r w:rsidRPr="00D84307" w:rsidR="00860C6E">
        <w:t>he jury</w:t>
      </w:r>
      <w:r w:rsidRPr="00D84307" w:rsidR="00A92F75">
        <w:t xml:space="preserve"> </w:t>
      </w:r>
      <w:r w:rsidRPr="00D84307" w:rsidR="00FD09FA">
        <w:t xml:space="preserve">found true allegations that </w:t>
      </w:r>
      <w:r w:rsidRPr="00D84307" w:rsidR="003E2E58">
        <w:t>Meno</w:t>
      </w:r>
      <w:r w:rsidRPr="00D84307" w:rsidR="00FD09FA">
        <w:t xml:space="preserve"> </w:t>
      </w:r>
      <w:r w:rsidRPr="00D84307" w:rsidR="00AF0ABE">
        <w:t>was driving at an unsafe speed for the conditions</w:t>
      </w:r>
      <w:r w:rsidRPr="00D84307" w:rsidR="00463969">
        <w:t xml:space="preserve"> and that he personally inflicted great bodily injury in violation of section 1192.7, subdivision (c)(8).</w:t>
      </w:r>
      <w:r>
        <w:rPr>
          <w:rStyle w:val="FootnoteReference"/>
        </w:rPr>
        <w:footnoteReference w:id="4"/>
      </w:r>
      <w:r w:rsidRPr="00D84307" w:rsidR="00463969">
        <w:t xml:space="preserve"> </w:t>
      </w:r>
    </w:p>
    <w:p w:rsidR="00F773A7" w:rsidRPr="00D84307" w:rsidP="00D71961" w14:paraId="00606B69" w14:textId="3201176A">
      <w:pPr>
        <w:ind w:firstLine="720"/>
      </w:pPr>
      <w:r w:rsidRPr="00D84307">
        <w:t xml:space="preserve">As to counts </w:t>
      </w:r>
      <w:r w:rsidRPr="00D84307" w:rsidR="000950C4">
        <w:t>3</w:t>
      </w:r>
      <w:r w:rsidRPr="00D84307">
        <w:t xml:space="preserve"> and </w:t>
      </w:r>
      <w:r w:rsidRPr="00D84307" w:rsidR="000950C4">
        <w:t>4</w:t>
      </w:r>
      <w:r w:rsidRPr="00D84307">
        <w:t>, t</w:t>
      </w:r>
      <w:r w:rsidRPr="00D84307" w:rsidR="00292D25">
        <w:t>he jury</w:t>
      </w:r>
      <w:r w:rsidRPr="00D84307" w:rsidR="00D71961">
        <w:t xml:space="preserve"> </w:t>
      </w:r>
      <w:r w:rsidRPr="00D84307" w:rsidR="00292D25">
        <w:t xml:space="preserve">found Meno guilty of </w:t>
      </w:r>
      <w:r w:rsidRPr="00D84307" w:rsidR="00D62C4C">
        <w:t>DUI</w:t>
      </w:r>
      <w:r w:rsidRPr="00D84307" w:rsidR="00292D25">
        <w:t xml:space="preserve"> causing injury</w:t>
      </w:r>
      <w:r w:rsidRPr="00D84307" w:rsidR="00353AAF">
        <w:t xml:space="preserve"> </w:t>
      </w:r>
      <w:r w:rsidRPr="00D84307" w:rsidR="000F62FA">
        <w:t xml:space="preserve">and driving with a BAC of 0.08 </w:t>
      </w:r>
      <w:r w:rsidRPr="00D84307" w:rsidR="00262D0A">
        <w:t xml:space="preserve">percent </w:t>
      </w:r>
      <w:r w:rsidRPr="00D84307" w:rsidR="000F62FA">
        <w:t xml:space="preserve">or more causing injury </w:t>
      </w:r>
      <w:r w:rsidRPr="00D84307" w:rsidR="00353AAF">
        <w:t>in violation of Vehicle Code section 23153, subdivision</w:t>
      </w:r>
      <w:r w:rsidRPr="00D84307" w:rsidR="00457B7C">
        <w:t>s</w:t>
      </w:r>
      <w:r w:rsidRPr="00D84307" w:rsidR="00353AAF">
        <w:t xml:space="preserve"> (a)</w:t>
      </w:r>
      <w:r w:rsidRPr="00D84307" w:rsidR="00457B7C">
        <w:t xml:space="preserve"> and (b), respectively</w:t>
      </w:r>
      <w:r w:rsidRPr="00D84307" w:rsidR="00353AAF">
        <w:t xml:space="preserve">. </w:t>
      </w:r>
      <w:r w:rsidRPr="00D84307" w:rsidR="00EA268A">
        <w:t xml:space="preserve"> </w:t>
      </w:r>
      <w:r w:rsidRPr="00D84307" w:rsidR="002F01AD">
        <w:t>T</w:t>
      </w:r>
      <w:r w:rsidRPr="00D84307" w:rsidR="00EA268A">
        <w:t>he jury</w:t>
      </w:r>
      <w:r w:rsidRPr="00D84307" w:rsidR="002F01AD">
        <w:t xml:space="preserve"> also</w:t>
      </w:r>
      <w:r w:rsidRPr="00D84307" w:rsidR="004371B3">
        <w:t xml:space="preserve"> found</w:t>
      </w:r>
      <w:r w:rsidRPr="00D84307" w:rsidR="00BB2224">
        <w:t xml:space="preserve"> true</w:t>
      </w:r>
      <w:r w:rsidRPr="00D84307" w:rsidR="00EA268A">
        <w:t xml:space="preserve"> </w:t>
      </w:r>
      <w:r w:rsidRPr="00D84307" w:rsidR="004371B3">
        <w:t xml:space="preserve">allegations that </w:t>
      </w:r>
      <w:r w:rsidRPr="00D84307">
        <w:t>Meno</w:t>
      </w:r>
      <w:r w:rsidRPr="00D84307" w:rsidR="004371B3">
        <w:t xml:space="preserve"> was driving at an unsafe speed for the conditions pursuant to Vehicle Code section 22350, </w:t>
      </w:r>
      <w:r w:rsidRPr="00D84307" w:rsidR="00F410DF">
        <w:t xml:space="preserve">that he violated his duty to exercise ordinary care and proper control of the vehicle, </w:t>
      </w:r>
      <w:r w:rsidRPr="00D84307" w:rsidR="004371B3">
        <w:t xml:space="preserve">and that he personally inflicted great bodily injury </w:t>
      </w:r>
      <w:r w:rsidRPr="00D84307" w:rsidR="00372E8F">
        <w:t xml:space="preserve">on each of the two victims </w:t>
      </w:r>
      <w:r w:rsidRPr="00D84307" w:rsidR="004371B3">
        <w:t>in violation of section</w:t>
      </w:r>
      <w:r w:rsidRPr="00D84307" w:rsidR="00A61586">
        <w:t>s</w:t>
      </w:r>
      <w:r w:rsidRPr="00D84307" w:rsidR="004371B3">
        <w:t xml:space="preserve"> </w:t>
      </w:r>
      <w:r w:rsidRPr="00D84307" w:rsidR="00A61586">
        <w:t>12022.7, subdivision (a)</w:t>
      </w:r>
      <w:r>
        <w:rPr>
          <w:rStyle w:val="FootnoteReference"/>
        </w:rPr>
        <w:footnoteReference w:id="5"/>
      </w:r>
      <w:r w:rsidRPr="00D84307" w:rsidR="00A61586">
        <w:t xml:space="preserve"> and </w:t>
      </w:r>
      <w:r w:rsidRPr="00D84307" w:rsidR="004371B3">
        <w:t xml:space="preserve">1192.7, subdivision (c)(8).  </w:t>
      </w:r>
      <w:r w:rsidRPr="00D84307" w:rsidR="00D71961">
        <w:t>Finally, a</w:t>
      </w:r>
      <w:r w:rsidRPr="00D84307">
        <w:t>s to count 6, the jury found Meno guilty of driving with a suspended license in violation of vehicle code section 14601.1, subdivision (a).</w:t>
      </w:r>
    </w:p>
    <w:p w:rsidR="00FB6F9F" w:rsidRPr="00D84307" w:rsidP="00FB6F9F" w14:paraId="0E0551EC" w14:textId="520D24E8">
      <w:r w:rsidRPr="00D84307">
        <w:tab/>
      </w:r>
      <w:r w:rsidRPr="00D84307" w:rsidR="00393560">
        <w:t>In their sentencing brief, t</w:t>
      </w:r>
      <w:r w:rsidRPr="00D84307" w:rsidR="00F846C3">
        <w:t xml:space="preserve">he People acknowledged that </w:t>
      </w:r>
      <w:r w:rsidRPr="00D84307" w:rsidR="00D62C4C">
        <w:t>DUI</w:t>
      </w:r>
      <w:r w:rsidRPr="00D84307" w:rsidR="00F846C3">
        <w:t xml:space="preserve"> causing injury </w:t>
      </w:r>
      <w:r w:rsidRPr="00D84307" w:rsidR="002D2289">
        <w:t>wa</w:t>
      </w:r>
      <w:r w:rsidRPr="00D84307" w:rsidR="00F846C3">
        <w:t xml:space="preserve">s a </w:t>
      </w:r>
      <w:r w:rsidRPr="00D84307" w:rsidR="00614645">
        <w:t>“</w:t>
      </w:r>
      <w:r w:rsidRPr="00D84307" w:rsidR="002A2A44">
        <w:t>lesser</w:t>
      </w:r>
      <w:r w:rsidRPr="00D84307" w:rsidR="00614645">
        <w:t>”</w:t>
      </w:r>
      <w:r w:rsidRPr="00D84307" w:rsidR="002A2A44">
        <w:t xml:space="preserve"> included offense to </w:t>
      </w:r>
      <w:r w:rsidRPr="00D84307" w:rsidR="00D62C4C">
        <w:t>v</w:t>
      </w:r>
      <w:r w:rsidRPr="00D84307" w:rsidR="00CA7AF9">
        <w:t xml:space="preserve">ehicular </w:t>
      </w:r>
      <w:r w:rsidRPr="00D84307" w:rsidR="00D62C4C">
        <w:t>m</w:t>
      </w:r>
      <w:r w:rsidRPr="00D84307" w:rsidR="00CA7AF9">
        <w:t>anslaughter w</w:t>
      </w:r>
      <w:r w:rsidRPr="00D84307" w:rsidR="00D62C4C">
        <w:t>hil</w:t>
      </w:r>
      <w:r w:rsidRPr="00D84307" w:rsidR="00CA7AF9">
        <w:t xml:space="preserve">e </w:t>
      </w:r>
      <w:r w:rsidRPr="00D84307" w:rsidR="00D62C4C">
        <w:t>i</w:t>
      </w:r>
      <w:r w:rsidRPr="00D84307" w:rsidR="00CA7AF9">
        <w:t>ntoxicated</w:t>
      </w:r>
      <w:r w:rsidRPr="00D84307" w:rsidR="00D62C4C">
        <w:t>,</w:t>
      </w:r>
      <w:r w:rsidRPr="00D84307" w:rsidR="00CA7AF9">
        <w:t xml:space="preserve"> with </w:t>
      </w:r>
      <w:r w:rsidRPr="00D84307" w:rsidR="00D62C4C">
        <w:t>either g</w:t>
      </w:r>
      <w:r w:rsidRPr="00D84307" w:rsidR="00CA7AF9">
        <w:t>ross</w:t>
      </w:r>
      <w:r w:rsidRPr="00D84307" w:rsidR="00D62C4C">
        <w:t xml:space="preserve"> or ordinary</w:t>
      </w:r>
      <w:r w:rsidRPr="00D84307" w:rsidR="00CA7AF9">
        <w:t xml:space="preserve"> </w:t>
      </w:r>
      <w:r w:rsidRPr="00D84307" w:rsidR="00D62C4C">
        <w:t>n</w:t>
      </w:r>
      <w:r w:rsidRPr="00D84307" w:rsidR="00CA7AF9">
        <w:t>egligence</w:t>
      </w:r>
      <w:r w:rsidRPr="00D84307" w:rsidR="00D62C4C">
        <w:t>,</w:t>
      </w:r>
      <w:r w:rsidRPr="00D84307" w:rsidR="007D6121">
        <w:t xml:space="preserve"> </w:t>
      </w:r>
      <w:r w:rsidRPr="00D84307" w:rsidR="001043B4">
        <w:t>and</w:t>
      </w:r>
      <w:r w:rsidRPr="00D84307" w:rsidR="002D2289">
        <w:t xml:space="preserve"> that </w:t>
      </w:r>
      <w:r w:rsidRPr="00D84307" w:rsidR="00657D8D">
        <w:t>the convictions for both could not stand simultaneously.  T</w:t>
      </w:r>
      <w:r w:rsidRPr="00D84307" w:rsidR="002D2289">
        <w:t>he People</w:t>
      </w:r>
      <w:r w:rsidRPr="00D84307" w:rsidR="007D6121">
        <w:t xml:space="preserve"> </w:t>
      </w:r>
      <w:r w:rsidRPr="00D84307" w:rsidR="00F846C3">
        <w:t>asked the trial court to</w:t>
      </w:r>
      <w:r w:rsidRPr="00D84307" w:rsidR="007D6121">
        <w:t xml:space="preserve"> vacate </w:t>
      </w:r>
      <w:r w:rsidRPr="00D84307" w:rsidR="000C0793">
        <w:t>c</w:t>
      </w:r>
      <w:r w:rsidRPr="00D84307" w:rsidR="00D806B5">
        <w:t>ounts 1 and 2 and</w:t>
      </w:r>
      <w:r w:rsidRPr="00D84307" w:rsidR="00F846C3">
        <w:t xml:space="preserve"> sentence Meno</w:t>
      </w:r>
      <w:r w:rsidRPr="00D84307" w:rsidR="00D806B5">
        <w:t xml:space="preserve"> under </w:t>
      </w:r>
      <w:r w:rsidRPr="00D84307" w:rsidR="000C0793">
        <w:t>c</w:t>
      </w:r>
      <w:r w:rsidRPr="00D84307" w:rsidR="00D806B5">
        <w:t>ounts 3 and 4</w:t>
      </w:r>
      <w:r w:rsidRPr="00D84307" w:rsidR="00867029">
        <w:t>, despite counts 3 and 4 being the necessarily included offenses,</w:t>
      </w:r>
      <w:r w:rsidRPr="00D84307" w:rsidR="00D806B5">
        <w:t xml:space="preserve"> because </w:t>
      </w:r>
      <w:r w:rsidRPr="00D84307" w:rsidR="007B2413">
        <w:t>counts 3 and 4 carried</w:t>
      </w:r>
      <w:r w:rsidRPr="00D84307" w:rsidR="00D806B5">
        <w:t xml:space="preserve"> a longer </w:t>
      </w:r>
      <w:r w:rsidRPr="00D84307" w:rsidR="007B2413">
        <w:t xml:space="preserve">potential </w:t>
      </w:r>
      <w:r w:rsidRPr="00D84307" w:rsidR="00D806B5">
        <w:t>sentence</w:t>
      </w:r>
      <w:r w:rsidRPr="00D84307" w:rsidR="00F846C3">
        <w:t xml:space="preserve">.  </w:t>
      </w:r>
      <w:r w:rsidRPr="00D84307">
        <w:t xml:space="preserve">Meno </w:t>
      </w:r>
      <w:r w:rsidRPr="00D84307" w:rsidR="00EF1F5D">
        <w:t xml:space="preserve">asserted that the trial court did not have such discretion and </w:t>
      </w:r>
      <w:r w:rsidRPr="00D84307" w:rsidR="00401F73">
        <w:t>ha</w:t>
      </w:r>
      <w:r w:rsidRPr="00D84307" w:rsidR="00EF1F5D">
        <w:t xml:space="preserve">d to </w:t>
      </w:r>
      <w:r w:rsidRPr="00D84307">
        <w:t>vacate the</w:t>
      </w:r>
      <w:r w:rsidRPr="00D84307" w:rsidR="002655BE">
        <w:t xml:space="preserve"> convictions in counts 3 and 4</w:t>
      </w:r>
      <w:r w:rsidRPr="00D84307" w:rsidR="008309CB">
        <w:t>,</w:t>
      </w:r>
      <w:r w:rsidRPr="00D84307" w:rsidR="002655BE">
        <w:t xml:space="preserve"> </w:t>
      </w:r>
      <w:r w:rsidRPr="00D84307" w:rsidR="005E15F5">
        <w:t>a</w:t>
      </w:r>
      <w:r w:rsidRPr="00D84307" w:rsidR="008309CB">
        <w:t>s well as</w:t>
      </w:r>
      <w:r w:rsidRPr="00D84307" w:rsidR="005E15F5">
        <w:t xml:space="preserve"> </w:t>
      </w:r>
      <w:r w:rsidRPr="00D84307" w:rsidR="00D85F02">
        <w:t>the attached great bodily injury enhancements</w:t>
      </w:r>
      <w:r w:rsidRPr="00D84307" w:rsidR="006A0640">
        <w:t>.</w:t>
      </w:r>
    </w:p>
    <w:p w:rsidR="003E45E0" w:rsidRPr="00D84307" w:rsidP="00FB6F9F" w14:paraId="7D2475BE" w14:textId="0EF544DA">
      <w:r w:rsidRPr="00D84307">
        <w:tab/>
        <w:t xml:space="preserve">The trial court </w:t>
      </w:r>
      <w:r w:rsidRPr="00D84307" w:rsidR="00FA40C3">
        <w:t>agreed with the People.</w:t>
      </w:r>
      <w:r w:rsidRPr="00D84307">
        <w:t xml:space="preserve"> </w:t>
      </w:r>
      <w:r w:rsidRPr="00D84307" w:rsidR="00FA40C3">
        <w:t xml:space="preserve"> I</w:t>
      </w:r>
      <w:r w:rsidRPr="00D84307">
        <w:t>t</w:t>
      </w:r>
      <w:r w:rsidRPr="00D84307" w:rsidR="00FA40C3">
        <w:t xml:space="preserve"> found that it</w:t>
      </w:r>
      <w:r w:rsidRPr="00D84307">
        <w:t xml:space="preserve"> had discretion to dismiss either counts 1 and 2 </w:t>
      </w:r>
      <w:r w:rsidRPr="00D84307" w:rsidR="00FA40C3">
        <w:t>or</w:t>
      </w:r>
      <w:r w:rsidRPr="00D84307">
        <w:rPr>
          <w:i/>
          <w:iCs/>
        </w:rPr>
        <w:t xml:space="preserve"> </w:t>
      </w:r>
      <w:r w:rsidRPr="00D84307">
        <w:t>counts 3 and 4</w:t>
      </w:r>
      <w:r w:rsidRPr="00D84307" w:rsidR="005D1E4D">
        <w:t xml:space="preserve">.  It </w:t>
      </w:r>
      <w:r w:rsidRPr="00D84307" w:rsidR="00FA40C3">
        <w:t>chose to dismiss counts 1 and 2 in the</w:t>
      </w:r>
      <w:r w:rsidRPr="00D84307">
        <w:t xml:space="preserve"> interest of justice.  The court imposed the middle term</w:t>
      </w:r>
      <w:r w:rsidRPr="00D84307" w:rsidR="005D1E4D">
        <w:t xml:space="preserve"> of </w:t>
      </w:r>
      <w:r w:rsidRPr="00D84307" w:rsidR="00EC2771">
        <w:t>two</w:t>
      </w:r>
      <w:r w:rsidRPr="00D84307" w:rsidR="005D1E4D">
        <w:t xml:space="preserve"> years</w:t>
      </w:r>
      <w:r w:rsidRPr="00D84307">
        <w:t xml:space="preserve"> on count 3, with an additional</w:t>
      </w:r>
      <w:r w:rsidRPr="00D84307" w:rsidR="005D1E4D">
        <w:t xml:space="preserve"> term of</w:t>
      </w:r>
      <w:r w:rsidRPr="00D84307">
        <w:t xml:space="preserve"> </w:t>
      </w:r>
      <w:r w:rsidRPr="00D84307" w:rsidR="00EC2771">
        <w:t>three</w:t>
      </w:r>
      <w:r w:rsidRPr="00D84307">
        <w:t xml:space="preserve"> years for each of the </w:t>
      </w:r>
      <w:r w:rsidRPr="00D84307" w:rsidR="00EC2771">
        <w:t>two</w:t>
      </w:r>
      <w:r w:rsidRPr="00D84307" w:rsidR="002349E2">
        <w:t xml:space="preserve"> </w:t>
      </w:r>
      <w:r w:rsidRPr="00D84307" w:rsidR="00871E6F">
        <w:t xml:space="preserve">great </w:t>
      </w:r>
      <w:r w:rsidRPr="00D84307">
        <w:t xml:space="preserve">bodily </w:t>
      </w:r>
      <w:r w:rsidRPr="00D84307" w:rsidR="00871E6F">
        <w:t>injury</w:t>
      </w:r>
      <w:r w:rsidRPr="00D84307">
        <w:t xml:space="preserve"> enhancements</w:t>
      </w:r>
      <w:r w:rsidRPr="00D84307" w:rsidR="002349E2">
        <w:t>.  The court</w:t>
      </w:r>
      <w:r w:rsidRPr="00D84307">
        <w:t xml:space="preserve"> stayed the punishment for count 4</w:t>
      </w:r>
      <w:r w:rsidRPr="00D84307" w:rsidR="002349E2">
        <w:t xml:space="preserve"> and imposed a concurrent sentence of 180 days on count </w:t>
      </w:r>
      <w:r w:rsidRPr="00D84307" w:rsidR="006A3AB2">
        <w:t>6</w:t>
      </w:r>
      <w:r w:rsidRPr="00D84307">
        <w:t xml:space="preserve">, </w:t>
      </w:r>
      <w:r w:rsidRPr="00D84307" w:rsidR="00773BB7">
        <w:t>for</w:t>
      </w:r>
      <w:r w:rsidRPr="00D84307">
        <w:t xml:space="preserve"> a combined term of </w:t>
      </w:r>
      <w:r w:rsidRPr="00D84307" w:rsidR="00EC2771">
        <w:t>eight</w:t>
      </w:r>
      <w:r w:rsidRPr="00D84307">
        <w:t xml:space="preserve"> years in prison.</w:t>
      </w:r>
    </w:p>
    <w:p w:rsidR="00FB6F9F" w:rsidRPr="00D84307" w:rsidP="003D03A0" w14:paraId="7AC5EC44" w14:textId="2D0E9011">
      <w:pPr>
        <w:ind w:firstLine="720"/>
      </w:pPr>
      <w:r w:rsidRPr="00D84307">
        <w:t xml:space="preserve">Meno filed a timely notice of appeal. </w:t>
      </w:r>
    </w:p>
    <w:p w:rsidR="00EA03F6" w:rsidRPr="00D84307" w:rsidP="009C61D2" w14:paraId="1605F4DA" w14:textId="77777777">
      <w:pPr>
        <w:pStyle w:val="Heading1"/>
      </w:pPr>
      <w:r w:rsidRPr="00D84307">
        <w:t>DISCUSSION</w:t>
      </w:r>
    </w:p>
    <w:p w:rsidR="002E54F7" w:rsidRPr="00D84307" w:rsidP="009C61D2" w14:paraId="7D8F0451" w14:textId="22B99952">
      <w:pPr>
        <w:pStyle w:val="Heading2"/>
      </w:pPr>
      <w:r w:rsidRPr="00D84307">
        <w:t>The Trial Court Did Not Err by Dismissing Counts 1 and 2</w:t>
      </w:r>
    </w:p>
    <w:p w:rsidR="00141902" w:rsidRPr="00D84307" w:rsidP="007459FA" w14:paraId="72A58F4F" w14:textId="3FF95B14">
      <w:pPr>
        <w:ind w:firstLine="720"/>
      </w:pPr>
      <w:r w:rsidRPr="00D84307">
        <w:t xml:space="preserve">A defendant may </w:t>
      </w:r>
      <w:r w:rsidRPr="00D84307" w:rsidR="00A26169">
        <w:t>be charged with</w:t>
      </w:r>
      <w:r w:rsidRPr="00D84307" w:rsidR="00F74E94">
        <w:t>—</w:t>
      </w:r>
      <w:r w:rsidRPr="00D84307" w:rsidR="00D059AD">
        <w:t xml:space="preserve">and in some cases convicted </w:t>
      </w:r>
      <w:r w:rsidRPr="00D84307" w:rsidR="002B35EA">
        <w:t>of</w:t>
      </w:r>
      <w:r w:rsidRPr="00D84307" w:rsidR="00F74E94">
        <w:t>—</w:t>
      </w:r>
      <w:r w:rsidRPr="00D84307" w:rsidR="002B35EA">
        <w:t>multiple crimes arising out of the same conduct</w:t>
      </w:r>
      <w:r w:rsidRPr="00D84307">
        <w:t xml:space="preserve">. </w:t>
      </w:r>
      <w:r w:rsidRPr="00D84307" w:rsidR="004A43CE">
        <w:t xml:space="preserve"> </w:t>
      </w:r>
      <w:r w:rsidRPr="00D84307" w:rsidR="003133E1">
        <w:t>(</w:t>
      </w:r>
      <w:r w:rsidRPr="00D84307" w:rsidR="008C0EB6">
        <w:t>§</w:t>
      </w:r>
      <w:r w:rsidRPr="00D84307" w:rsidR="00D059AD">
        <w:t>§</w:t>
      </w:r>
      <w:r w:rsidRPr="00D84307" w:rsidR="00454AF0">
        <w:t> </w:t>
      </w:r>
      <w:r w:rsidRPr="00D84307" w:rsidR="00D059AD">
        <w:t xml:space="preserve">654, </w:t>
      </w:r>
      <w:r w:rsidRPr="00D84307" w:rsidR="008C0EB6">
        <w:t xml:space="preserve">954; </w:t>
      </w:r>
      <w:r w:rsidRPr="00D84307" w:rsidR="00025E58">
        <w:rPr>
          <w:i/>
          <w:iCs/>
        </w:rPr>
        <w:t xml:space="preserve">People v. Reed </w:t>
      </w:r>
      <w:r w:rsidRPr="00D84307" w:rsidR="00025E58">
        <w:t>(2006) 3</w:t>
      </w:r>
      <w:r w:rsidRPr="00D84307" w:rsidR="00656C48">
        <w:t>8</w:t>
      </w:r>
      <w:r w:rsidRPr="00D84307" w:rsidR="00025E58">
        <w:t xml:space="preserve"> Cal.4th </w:t>
      </w:r>
      <w:r w:rsidRPr="00D84307" w:rsidR="00656C48">
        <w:t>1</w:t>
      </w:r>
      <w:r w:rsidRPr="00D84307" w:rsidR="00025E58">
        <w:t>224, 1226−1227</w:t>
      </w:r>
      <w:r w:rsidRPr="00D84307" w:rsidR="008C0EB6">
        <w:t xml:space="preserve"> (</w:t>
      </w:r>
      <w:r w:rsidRPr="00D84307" w:rsidR="008C0EB6">
        <w:rPr>
          <w:i/>
          <w:iCs/>
        </w:rPr>
        <w:t>Reed</w:t>
      </w:r>
      <w:r w:rsidRPr="00D84307" w:rsidR="008C0EB6">
        <w:t>)</w:t>
      </w:r>
      <w:r w:rsidRPr="00D84307" w:rsidR="003133E1">
        <w:t xml:space="preserve">.)  </w:t>
      </w:r>
      <w:r w:rsidRPr="00D84307" w:rsidR="00755369">
        <w:t>“Section 954 generally permits multiple conviction</w:t>
      </w:r>
      <w:r w:rsidRPr="00D84307" w:rsidR="001565D0">
        <w:t>[s]</w:t>
      </w:r>
      <w:r w:rsidRPr="00D84307" w:rsidR="00755369">
        <w:t>.  Section 654 is its counterpart concerning punishment.  It prohibits multiple punishment for the same ‘act or omission.’</w:t>
      </w:r>
      <w:r w:rsidRPr="00D84307" w:rsidR="00727C42">
        <w:t xml:space="preserve"> </w:t>
      </w:r>
      <w:r w:rsidRPr="00D84307" w:rsidR="00C63B39">
        <w:t xml:space="preserve"> </w:t>
      </w:r>
      <w:r w:rsidRPr="00D84307">
        <w:t>When section 954 permits multiple conviction</w:t>
      </w:r>
      <w:r w:rsidRPr="00D84307" w:rsidR="00C63B39">
        <w:t>[s]</w:t>
      </w:r>
      <w:r w:rsidRPr="00D84307">
        <w:t>, but section 654 prohibits multiple punishment</w:t>
      </w:r>
      <w:r w:rsidRPr="00D84307" w:rsidR="00C63B39">
        <w:t>[s]</w:t>
      </w:r>
      <w:r w:rsidRPr="00D84307">
        <w:t>, the trial court must stay execution of sentence on the convictions for which multiple punishment is prohibited.</w:t>
      </w:r>
      <w:r w:rsidRPr="00D84307" w:rsidR="00755369">
        <w:t>”  (</w:t>
      </w:r>
      <w:r w:rsidRPr="00D84307" w:rsidR="00755369">
        <w:rPr>
          <w:i/>
          <w:iCs/>
        </w:rPr>
        <w:t xml:space="preserve">Reed, </w:t>
      </w:r>
      <w:r w:rsidRPr="00D84307" w:rsidR="00755369">
        <w:t xml:space="preserve">at p. 1227.)  </w:t>
      </w:r>
    </w:p>
    <w:p w:rsidR="002E54F7" w:rsidRPr="00D84307" w:rsidP="008C181B" w14:paraId="5477BB84" w14:textId="4578B936">
      <w:pPr>
        <w:ind w:firstLine="720"/>
      </w:pPr>
      <w:r w:rsidRPr="00D84307">
        <w:t xml:space="preserve">However, </w:t>
      </w:r>
      <w:r w:rsidRPr="00D84307" w:rsidR="00755369">
        <w:t>under a judicially created exception</w:t>
      </w:r>
      <w:r w:rsidRPr="00D84307" w:rsidR="00142F59">
        <w:t xml:space="preserve"> to the general rule</w:t>
      </w:r>
      <w:r w:rsidRPr="00D84307" w:rsidR="00755369">
        <w:t xml:space="preserve">, </w:t>
      </w:r>
      <w:r w:rsidRPr="00D84307" w:rsidR="007744C6">
        <w:t xml:space="preserve">a defendant may </w:t>
      </w:r>
      <w:r w:rsidRPr="00D84307" w:rsidR="007744C6">
        <w:rPr>
          <w:i/>
          <w:iCs/>
        </w:rPr>
        <w:t>not</w:t>
      </w:r>
      <w:r w:rsidRPr="00D84307" w:rsidR="007744C6">
        <w:t xml:space="preserve"> be convicted of multiple offenses </w:t>
      </w:r>
      <w:r w:rsidRPr="00D84307" w:rsidR="002E7D90">
        <w:t xml:space="preserve">for the same act </w:t>
      </w:r>
      <w:r w:rsidRPr="00D84307" w:rsidR="007744C6">
        <w:t xml:space="preserve">where </w:t>
      </w:r>
      <w:r w:rsidRPr="00D84307" w:rsidR="004A43CE">
        <w:t xml:space="preserve">one </w:t>
      </w:r>
      <w:r w:rsidRPr="00D84307" w:rsidR="002E7D90">
        <w:t xml:space="preserve">of the offenses </w:t>
      </w:r>
      <w:r w:rsidRPr="00D84307" w:rsidR="004A43CE">
        <w:t>is a necessarily included offense of the other</w:t>
      </w:r>
      <w:r w:rsidRPr="00D84307" w:rsidR="007744C6">
        <w:t>;</w:t>
      </w:r>
      <w:r w:rsidRPr="00D84307" w:rsidR="00CE2666">
        <w:t xml:space="preserve"> rather,</w:t>
      </w:r>
      <w:r w:rsidRPr="00D84307" w:rsidR="00551E33">
        <w:t xml:space="preserve"> </w:t>
      </w:r>
      <w:r w:rsidRPr="00D84307" w:rsidR="0053672E">
        <w:t>the trial court must vacat</w:t>
      </w:r>
      <w:r w:rsidRPr="00D84307" w:rsidR="00053547">
        <w:t>e</w:t>
      </w:r>
      <w:r w:rsidRPr="00D84307" w:rsidR="00377E88">
        <w:t xml:space="preserve"> one of</w:t>
      </w:r>
      <w:r w:rsidRPr="00D84307" w:rsidR="004A43CE">
        <w:t xml:space="preserve"> </w:t>
      </w:r>
      <w:r w:rsidRPr="00D84307">
        <w:t>t</w:t>
      </w:r>
      <w:r w:rsidRPr="00D84307" w:rsidR="00377E88">
        <w:t>wo</w:t>
      </w:r>
      <w:r w:rsidRPr="00D84307">
        <w:t xml:space="preserve"> conviction</w:t>
      </w:r>
      <w:r w:rsidRPr="00D84307" w:rsidR="0053672E">
        <w:t>s before sentencing</w:t>
      </w:r>
      <w:r w:rsidRPr="00D84307">
        <w:t>.  (</w:t>
      </w:r>
      <w:r w:rsidRPr="00D84307" w:rsidR="002E7D90">
        <w:rPr>
          <w:i/>
          <w:iCs/>
        </w:rPr>
        <w:t>Ree</w:t>
      </w:r>
      <w:r w:rsidRPr="00D84307" w:rsidR="007B21D4">
        <w:rPr>
          <w:i/>
          <w:iCs/>
        </w:rPr>
        <w:t>d, supra,</w:t>
      </w:r>
      <w:r w:rsidRPr="00D84307" w:rsidR="007B21D4">
        <w:t xml:space="preserve"> 38 Cal.4th </w:t>
      </w:r>
      <w:r w:rsidRPr="00D84307" w:rsidR="002E7D90">
        <w:t>at p.</w:t>
      </w:r>
      <w:r w:rsidRPr="00D84307" w:rsidR="00454AF0">
        <w:t> </w:t>
      </w:r>
      <w:r w:rsidRPr="00D84307" w:rsidR="00051A11">
        <w:t>1</w:t>
      </w:r>
      <w:r w:rsidRPr="00D84307" w:rsidR="002E7D90">
        <w:t>227</w:t>
      </w:r>
      <w:r w:rsidRPr="00D84307" w:rsidR="00F210CD">
        <w:t xml:space="preserve">; </w:t>
      </w:r>
      <w:r w:rsidRPr="00D84307" w:rsidR="007459FA">
        <w:rPr>
          <w:i/>
          <w:iCs/>
        </w:rPr>
        <w:t xml:space="preserve">People v. Ramirez </w:t>
      </w:r>
      <w:r w:rsidRPr="00D84307" w:rsidR="007459FA">
        <w:t xml:space="preserve">(2009) 45 Cal.4th 980, 984; </w:t>
      </w:r>
      <w:r w:rsidRPr="00D84307" w:rsidR="004A43CE">
        <w:rPr>
          <w:i/>
          <w:iCs/>
        </w:rPr>
        <w:t xml:space="preserve">People v. Vazquez </w:t>
      </w:r>
      <w:r w:rsidRPr="00D84307" w:rsidR="004A43CE">
        <w:t>(2021) 63 Cal.App.5th 107, 114 (</w:t>
      </w:r>
      <w:r w:rsidRPr="00D84307" w:rsidR="004A43CE">
        <w:rPr>
          <w:i/>
          <w:iCs/>
        </w:rPr>
        <w:t>Vazquez</w:t>
      </w:r>
      <w:r w:rsidRPr="00D84307" w:rsidR="004A43CE">
        <w:t>)</w:t>
      </w:r>
      <w:r w:rsidRPr="00D84307">
        <w:t>.)</w:t>
      </w:r>
      <w:r w:rsidRPr="00D84307" w:rsidR="00396EB8">
        <w:t xml:space="preserve"> </w:t>
      </w:r>
      <w:r w:rsidRPr="00D84307">
        <w:t xml:space="preserve"> </w:t>
      </w:r>
      <w:r w:rsidRPr="00D84307" w:rsidR="001676F7">
        <w:t>“ ‘ “The test in this state of a necessarily included offense is simply that where an offense cannot be committed without necessarily committing another offense, the latter is a necessarily included offense.” ’</w:t>
      </w:r>
      <w:r w:rsidRPr="00D84307" w:rsidR="00727C42">
        <w:t> </w:t>
      </w:r>
      <w:r w:rsidRPr="00D84307" w:rsidR="001676F7">
        <w:t xml:space="preserve">” </w:t>
      </w:r>
      <w:r w:rsidRPr="00D84307" w:rsidR="00454AF0">
        <w:t xml:space="preserve"> </w:t>
      </w:r>
      <w:r w:rsidRPr="00D84307">
        <w:t>(</w:t>
      </w:r>
      <w:r w:rsidRPr="00D84307">
        <w:rPr>
          <w:i/>
          <w:iCs/>
        </w:rPr>
        <w:t xml:space="preserve">People v. Miranda </w:t>
      </w:r>
      <w:r w:rsidRPr="00D84307">
        <w:t>(1994) 21 Cal.App.4th 1464, 1467 (</w:t>
      </w:r>
      <w:r w:rsidRPr="00D84307">
        <w:rPr>
          <w:i/>
          <w:iCs/>
        </w:rPr>
        <w:t>Miranda</w:t>
      </w:r>
      <w:r w:rsidRPr="00D84307">
        <w:t xml:space="preserve">).) </w:t>
      </w:r>
      <w:r w:rsidRPr="00D84307" w:rsidR="008C181B">
        <w:t xml:space="preserve"> Or, put another way, “</w:t>
      </w:r>
      <w:r w:rsidRPr="00D84307" w:rsidR="00B2144A">
        <w:t> ‘</w:t>
      </w:r>
      <w:r w:rsidRPr="00D84307" w:rsidR="008C181B">
        <w:t>[</w:t>
      </w:r>
      <w:r w:rsidRPr="00D84307" w:rsidR="00F82317">
        <w:t>I</w:t>
      </w:r>
      <w:r w:rsidRPr="00D84307" w:rsidR="008C181B">
        <w:t>]f a crime cannot be committed without also necessarily committing a lesser offense, the latter is a lesser included offense within the former.</w:t>
      </w:r>
      <w:r w:rsidRPr="00D84307" w:rsidR="00B2144A">
        <w:t>’ </w:t>
      </w:r>
      <w:r w:rsidRPr="00D84307" w:rsidR="008C181B">
        <w:t>”</w:t>
      </w:r>
      <w:r w:rsidRPr="00D84307">
        <w:t xml:space="preserve"> </w:t>
      </w:r>
      <w:r w:rsidRPr="00D84307" w:rsidR="008C181B">
        <w:t xml:space="preserve"> (</w:t>
      </w:r>
      <w:r w:rsidRPr="00D84307" w:rsidR="008C181B">
        <w:rPr>
          <w:i/>
          <w:iCs/>
        </w:rPr>
        <w:t>Reed</w:t>
      </w:r>
      <w:r w:rsidRPr="00D84307" w:rsidR="008C181B">
        <w:t>,</w:t>
      </w:r>
      <w:r w:rsidRPr="00D84307" w:rsidR="008C181B">
        <w:rPr>
          <w:i/>
          <w:iCs/>
        </w:rPr>
        <w:t xml:space="preserve"> </w:t>
      </w:r>
      <w:r w:rsidRPr="00D84307" w:rsidR="008C181B">
        <w:t xml:space="preserve">at p. </w:t>
      </w:r>
      <w:r w:rsidRPr="00D84307" w:rsidR="00C04B13">
        <w:t>1227.)</w:t>
      </w:r>
    </w:p>
    <w:p w:rsidR="004A2D86" w:rsidRPr="00D84307" w:rsidP="002E54F7" w14:paraId="10618D80" w14:textId="795FDE1A">
      <w:pPr>
        <w:ind w:firstLine="720"/>
      </w:pPr>
      <w:r w:rsidRPr="00D84307">
        <w:t>Courts often use the terms “necessarily</w:t>
      </w:r>
      <w:r w:rsidRPr="00D84307" w:rsidR="00727C42">
        <w:t xml:space="preserve"> </w:t>
      </w:r>
      <w:r w:rsidRPr="00D84307">
        <w:t>included</w:t>
      </w:r>
      <w:r w:rsidRPr="00D84307" w:rsidR="00727C42">
        <w:t xml:space="preserve"> </w:t>
      </w:r>
      <w:r w:rsidRPr="00D84307">
        <w:t>offense” and “lesser</w:t>
      </w:r>
      <w:r w:rsidRPr="00D84307" w:rsidR="00727C42">
        <w:t xml:space="preserve"> </w:t>
      </w:r>
      <w:r w:rsidRPr="00D84307">
        <w:t>included</w:t>
      </w:r>
      <w:r w:rsidRPr="00D84307" w:rsidR="00727C42">
        <w:t xml:space="preserve"> </w:t>
      </w:r>
      <w:r w:rsidRPr="00D84307">
        <w:t>offense” interchangeably</w:t>
      </w:r>
      <w:r w:rsidRPr="00D84307" w:rsidR="00727C42">
        <w:t xml:space="preserve"> </w:t>
      </w:r>
      <w:r w:rsidRPr="00D84307" w:rsidR="003C3B39">
        <w:t>“</w:t>
      </w:r>
      <w:r w:rsidRPr="00D84307">
        <w:t>in determining whether the rule against multiple convictions applies in any given case.”  (</w:t>
      </w:r>
      <w:r w:rsidRPr="00D84307">
        <w:rPr>
          <w:i/>
          <w:iCs/>
        </w:rPr>
        <w:t xml:space="preserve">People v. Sloan </w:t>
      </w:r>
      <w:r w:rsidRPr="00D84307">
        <w:t>(2007) 42</w:t>
      </w:r>
      <w:r w:rsidRPr="00D84307" w:rsidR="003C3B39">
        <w:t> </w:t>
      </w:r>
      <w:r w:rsidRPr="00D84307">
        <w:t>Cal.4</w:t>
      </w:r>
      <w:r w:rsidRPr="00D84307" w:rsidR="00DC660A">
        <w:t>th</w:t>
      </w:r>
      <w:r w:rsidRPr="00D84307">
        <w:t xml:space="preserve"> 110, </w:t>
      </w:r>
      <w:r w:rsidRPr="00D84307" w:rsidR="003C3B39">
        <w:t xml:space="preserve">115, </w:t>
      </w:r>
      <w:r w:rsidRPr="00D84307">
        <w:t xml:space="preserve">fn. 2.) </w:t>
      </w:r>
      <w:r w:rsidRPr="00D84307" w:rsidR="00DC660A">
        <w:t xml:space="preserve"> As </w:t>
      </w:r>
      <w:r w:rsidRPr="00D84307" w:rsidR="00277393">
        <w:t>the</w:t>
      </w:r>
      <w:r w:rsidRPr="00D84307" w:rsidR="00DC660A">
        <w:t xml:space="preserve"> court </w:t>
      </w:r>
      <w:r w:rsidRPr="00D84307" w:rsidR="00277393">
        <w:t xml:space="preserve">in </w:t>
      </w:r>
      <w:r w:rsidRPr="00D84307" w:rsidR="00277393">
        <w:rPr>
          <w:i/>
          <w:iCs/>
        </w:rPr>
        <w:t>Vazquez</w:t>
      </w:r>
      <w:r w:rsidRPr="00D84307" w:rsidR="00DC660A">
        <w:t xml:space="preserve"> explained, “the generally understood rule is that appellate court</w:t>
      </w:r>
      <w:r w:rsidRPr="00D84307" w:rsidR="00EC741C">
        <w:t>s</w:t>
      </w:r>
      <w:r w:rsidRPr="00D84307" w:rsidR="00DC660A">
        <w:t xml:space="preserve"> should ‘reverse the conviction for the included offense and direct the entry of a dismissal of the less serious crime,’ ” </w:t>
      </w:r>
      <w:r w:rsidRPr="00D84307" w:rsidR="00072149">
        <w:t>and</w:t>
      </w:r>
      <w:r w:rsidRPr="00D84307" w:rsidR="00DC660A">
        <w:t xml:space="preserve"> that the included offense is also “usually the ‘less serious crime,’ meaning it carries lesser punishment.”  (</w:t>
      </w:r>
      <w:r w:rsidRPr="00D84307" w:rsidR="00277393">
        <w:rPr>
          <w:i/>
          <w:iCs/>
        </w:rPr>
        <w:t>Va</w:t>
      </w:r>
      <w:r w:rsidRPr="00D84307" w:rsidR="00DC16C4">
        <w:rPr>
          <w:i/>
          <w:iCs/>
        </w:rPr>
        <w:t xml:space="preserve">squez, supra, </w:t>
      </w:r>
      <w:r w:rsidRPr="00D84307" w:rsidR="00DC16C4">
        <w:t xml:space="preserve">63 Cal.App.5th </w:t>
      </w:r>
      <w:r w:rsidRPr="00D84307" w:rsidR="00DC660A">
        <w:t>at p.</w:t>
      </w:r>
      <w:r w:rsidRPr="00D84307" w:rsidR="006574F4">
        <w:t> </w:t>
      </w:r>
      <w:r w:rsidRPr="00D84307" w:rsidR="00DC660A">
        <w:t>115.)</w:t>
      </w:r>
      <w:r w:rsidRPr="00D84307" w:rsidR="00B26A29">
        <w:t xml:space="preserve">  But that is not always the case. </w:t>
      </w:r>
    </w:p>
    <w:p w:rsidR="00B01246" w:rsidRPr="00D84307" w:rsidP="00CB1483" w14:paraId="097E131D" w14:textId="06891BF5">
      <w:pPr>
        <w:ind w:firstLine="720"/>
      </w:pPr>
      <w:r w:rsidRPr="00D84307">
        <w:t>This case presents a</w:t>
      </w:r>
      <w:r w:rsidRPr="00D84307" w:rsidR="00161399">
        <w:t xml:space="preserve"> some</w:t>
      </w:r>
      <w:r w:rsidRPr="00D84307" w:rsidR="00532320">
        <w:t>wh</w:t>
      </w:r>
      <w:r w:rsidRPr="00D84307" w:rsidR="00161399">
        <w:t>at</w:t>
      </w:r>
      <w:r w:rsidRPr="00D84307">
        <w:t xml:space="preserve"> unusual scenario in which a jury convicted the defendant under two separate statutes but the arguably less serious of the </w:t>
      </w:r>
      <w:r w:rsidRPr="00D84307" w:rsidR="00BA6A68">
        <w:t>convictions</w:t>
      </w:r>
      <w:r w:rsidRPr="00D84307">
        <w:t>—</w:t>
      </w:r>
      <w:r w:rsidRPr="00D84307" w:rsidR="006A082A">
        <w:t>DUI</w:t>
      </w:r>
      <w:r w:rsidRPr="00D84307">
        <w:t xml:space="preserve"> causing injury—carrie</w:t>
      </w:r>
      <w:r w:rsidRPr="00D84307" w:rsidR="00BA6A68">
        <w:t>d</w:t>
      </w:r>
      <w:r w:rsidRPr="00D84307">
        <w:t xml:space="preserve"> a longer potential sentence.</w:t>
      </w:r>
      <w:r w:rsidRPr="00D84307" w:rsidR="00694350">
        <w:t xml:space="preserve"> </w:t>
      </w:r>
      <w:r w:rsidRPr="00D84307" w:rsidR="00CB1483">
        <w:t xml:space="preserve"> </w:t>
      </w:r>
      <w:r w:rsidRPr="00D84307" w:rsidR="000F735A">
        <w:t xml:space="preserve">Violations of section 191.5, subdivision (b) and Vehicle Code section </w:t>
      </w:r>
      <w:r w:rsidRPr="00D84307" w:rsidR="003F2D68">
        <w:t xml:space="preserve">23153 </w:t>
      </w:r>
      <w:r w:rsidRPr="00D84307" w:rsidR="003E7727">
        <w:t xml:space="preserve">are </w:t>
      </w:r>
      <w:r w:rsidRPr="00D84307" w:rsidR="00CB1483">
        <w:t>punishable under similar triads</w:t>
      </w:r>
      <w:r w:rsidRPr="00D84307" w:rsidR="005C16EE">
        <w:t xml:space="preserve"> </w:t>
      </w:r>
      <w:r w:rsidRPr="00D84307" w:rsidR="003248B9">
        <w:t>of</w:t>
      </w:r>
      <w:r w:rsidRPr="00D84307" w:rsidR="005C16EE">
        <w:t xml:space="preserve"> 16 months for the low term</w:t>
      </w:r>
      <w:r w:rsidRPr="00D84307" w:rsidR="003248B9">
        <w:t xml:space="preserve"> and </w:t>
      </w:r>
      <w:r w:rsidRPr="00D84307" w:rsidR="0058134C">
        <w:t>two</w:t>
      </w:r>
      <w:r w:rsidRPr="00D84307" w:rsidR="005C16EE">
        <w:t xml:space="preserve"> years for the middle term, but</w:t>
      </w:r>
      <w:r w:rsidRPr="00D84307" w:rsidR="00CB1483">
        <w:t xml:space="preserve"> section 191.5, subdivision (b) </w:t>
      </w:r>
      <w:r w:rsidRPr="00D84307" w:rsidR="003248B9">
        <w:t>carries</w:t>
      </w:r>
      <w:r w:rsidRPr="00D84307" w:rsidR="00CB1483">
        <w:t xml:space="preserve"> a slightly higher maximum term of </w:t>
      </w:r>
      <w:r w:rsidRPr="00D84307" w:rsidR="0058134C">
        <w:t>four</w:t>
      </w:r>
      <w:r w:rsidRPr="00D84307" w:rsidR="00CB1483">
        <w:t xml:space="preserve"> years</w:t>
      </w:r>
      <w:r w:rsidRPr="00D84307" w:rsidR="003E7727">
        <w:t xml:space="preserve">, while section </w:t>
      </w:r>
      <w:r w:rsidRPr="00D84307" w:rsidR="003F2D68">
        <w:t xml:space="preserve">23153 </w:t>
      </w:r>
      <w:r w:rsidRPr="00D84307" w:rsidR="003E7727">
        <w:t>falls under the standard triad with a maximum term of</w:t>
      </w:r>
      <w:r w:rsidRPr="00D84307" w:rsidR="00CB1483">
        <w:t xml:space="preserve"> </w:t>
      </w:r>
      <w:r w:rsidRPr="00D84307" w:rsidR="0058134C">
        <w:t>three</w:t>
      </w:r>
      <w:r w:rsidRPr="00D84307" w:rsidR="003E7727">
        <w:t xml:space="preserve"> years</w:t>
      </w:r>
      <w:r w:rsidRPr="00D84307" w:rsidR="00CB1483">
        <w:t>.  (See §</w:t>
      </w:r>
      <w:r w:rsidRPr="00D84307" w:rsidR="006574F4">
        <w:t> </w:t>
      </w:r>
      <w:r w:rsidRPr="00D84307" w:rsidR="00CB1483">
        <w:t xml:space="preserve">191.5, subd. (c)(2) [16 months, 2 years, 4 years]; </w:t>
      </w:r>
      <w:r w:rsidRPr="00D84307" w:rsidR="00F10D78">
        <w:t>Veh. Code §</w:t>
      </w:r>
      <w:r w:rsidRPr="00D84307" w:rsidR="006574F4">
        <w:t> </w:t>
      </w:r>
      <w:r w:rsidRPr="00D84307" w:rsidR="00F10D78">
        <w:t>2</w:t>
      </w:r>
      <w:r w:rsidRPr="00D84307" w:rsidR="003F2D68">
        <w:t>3554</w:t>
      </w:r>
      <w:r w:rsidRPr="00D84307" w:rsidR="00F10D78">
        <w:t xml:space="preserve"> [first offense </w:t>
      </w:r>
      <w:r w:rsidRPr="00D84307" w:rsidR="00E23B74">
        <w:t xml:space="preserve">under 23153 </w:t>
      </w:r>
      <w:r w:rsidRPr="00D84307" w:rsidR="00F10D78">
        <w:t>punishable under standard triad</w:t>
      </w:r>
      <w:r w:rsidRPr="00D84307" w:rsidR="008E3D25">
        <w:t>]</w:t>
      </w:r>
      <w:r w:rsidRPr="00D84307" w:rsidR="008E7741">
        <w:t>;</w:t>
      </w:r>
      <w:r w:rsidRPr="00D84307" w:rsidR="008E3D25">
        <w:t xml:space="preserve"> §</w:t>
      </w:r>
      <w:r w:rsidRPr="00D84307" w:rsidR="006574F4">
        <w:t> </w:t>
      </w:r>
      <w:r w:rsidRPr="00D84307" w:rsidR="008E3D25">
        <w:t>1170, subd. (h)(1) [standard triad</w:t>
      </w:r>
      <w:r w:rsidRPr="00D84307" w:rsidR="00F10D78">
        <w:t xml:space="preserve"> </w:t>
      </w:r>
      <w:r w:rsidRPr="00D84307" w:rsidR="00723829">
        <w:t xml:space="preserve">is </w:t>
      </w:r>
      <w:r w:rsidRPr="00D84307" w:rsidR="00F10D78">
        <w:t xml:space="preserve">16 months, 2 years, 3 years].) </w:t>
      </w:r>
      <w:r w:rsidRPr="00D84307" w:rsidR="00CB1483">
        <w:t xml:space="preserve"> </w:t>
      </w:r>
    </w:p>
    <w:p w:rsidR="00CB1483" w:rsidRPr="00D84307" w:rsidP="00CB1483" w14:paraId="44AFE812" w14:textId="2AFBA467">
      <w:pPr>
        <w:ind w:firstLine="720"/>
      </w:pPr>
      <w:r w:rsidRPr="00D84307">
        <w:t>Here, though</w:t>
      </w:r>
      <w:r w:rsidRPr="00D84307" w:rsidR="00BD5DCD">
        <w:t>,</w:t>
      </w:r>
      <w:r w:rsidRPr="00D84307" w:rsidR="00BA6A68">
        <w:t xml:space="preserve"> </w:t>
      </w:r>
      <w:r w:rsidRPr="00D84307" w:rsidR="00BD5DCD">
        <w:t xml:space="preserve">the associated </w:t>
      </w:r>
      <w:r w:rsidRPr="00D84307" w:rsidR="00101DEB">
        <w:t xml:space="preserve">great bodily injury </w:t>
      </w:r>
      <w:r w:rsidRPr="00D84307" w:rsidR="00BD5DCD">
        <w:t>enhancements</w:t>
      </w:r>
      <w:r w:rsidRPr="00D84307" w:rsidR="00BA6A68">
        <w:t xml:space="preserve"> </w:t>
      </w:r>
      <w:r w:rsidRPr="00D84307" w:rsidR="00467E3D">
        <w:t>resulted in</w:t>
      </w:r>
      <w:r w:rsidRPr="00D84307" w:rsidR="00BA6A68">
        <w:t xml:space="preserve"> a longer potential sentence </w:t>
      </w:r>
      <w:r w:rsidRPr="00D84307" w:rsidR="00101DEB">
        <w:t>a</w:t>
      </w:r>
      <w:r w:rsidRPr="00D84307" w:rsidR="00467E3D">
        <w:t>s to</w:t>
      </w:r>
      <w:r w:rsidRPr="00D84307" w:rsidR="00BA6A68">
        <w:t xml:space="preserve"> count</w:t>
      </w:r>
      <w:r w:rsidRPr="00D84307">
        <w:t>s</w:t>
      </w:r>
      <w:r w:rsidRPr="00D84307" w:rsidR="00BA6A68">
        <w:t xml:space="preserve"> 3 </w:t>
      </w:r>
      <w:r w:rsidRPr="00D84307">
        <w:t>and</w:t>
      </w:r>
      <w:r w:rsidRPr="00D84307" w:rsidR="00BA6A68">
        <w:t xml:space="preserve"> 4. </w:t>
      </w:r>
      <w:r w:rsidRPr="00D84307" w:rsidR="003248B9">
        <w:t xml:space="preserve"> </w:t>
      </w:r>
      <w:r w:rsidRPr="00D84307" w:rsidR="00101DEB">
        <w:t>T</w:t>
      </w:r>
      <w:r w:rsidRPr="00D84307" w:rsidR="00FB286E">
        <w:t>he jury</w:t>
      </w:r>
      <w:r w:rsidRPr="00D84307" w:rsidR="00101DEB">
        <w:t xml:space="preserve"> made similar </w:t>
      </w:r>
      <w:r w:rsidRPr="00D84307" w:rsidR="00263A2D">
        <w:t>factual findings</w:t>
      </w:r>
      <w:r w:rsidRPr="00D84307" w:rsidR="00E93725">
        <w:t xml:space="preserve"> regarding the infliction of great bodily injury</w:t>
      </w:r>
      <w:r w:rsidRPr="00D84307" w:rsidR="00263A2D">
        <w:t xml:space="preserve"> as to each count, </w:t>
      </w:r>
      <w:r w:rsidRPr="00D84307" w:rsidR="00D00E6C">
        <w:t xml:space="preserve">but </w:t>
      </w:r>
      <w:r w:rsidRPr="00D84307" w:rsidR="00263A2D">
        <w:t xml:space="preserve">because of differences in the way that </w:t>
      </w:r>
      <w:r w:rsidRPr="00D84307" w:rsidR="00871176">
        <w:t xml:space="preserve">the different offenses </w:t>
      </w:r>
      <w:r w:rsidRPr="00D84307" w:rsidR="00263A2D">
        <w:t>must be charged</w:t>
      </w:r>
      <w:r w:rsidRPr="00D84307" w:rsidR="00017CF7">
        <w:t xml:space="preserve"> (</w:t>
      </w:r>
      <w:r w:rsidRPr="00D84307" w:rsidR="00263A2D">
        <w:t xml:space="preserve">which we explain in more detail </w:t>
      </w:r>
      <w:r w:rsidRPr="00D84307" w:rsidR="00263A2D">
        <w:rPr>
          <w:i/>
          <w:iCs/>
        </w:rPr>
        <w:t>post</w:t>
      </w:r>
      <w:r w:rsidRPr="00D84307" w:rsidR="00017CF7">
        <w:t>)</w:t>
      </w:r>
      <w:r w:rsidRPr="00D84307" w:rsidR="00B2256F">
        <w:t>,</w:t>
      </w:r>
      <w:r w:rsidRPr="00D84307" w:rsidR="00263A2D">
        <w:t xml:space="preserve"> </w:t>
      </w:r>
      <w:r w:rsidRPr="00D84307" w:rsidR="005C7A7D">
        <w:t>the</w:t>
      </w:r>
      <w:r w:rsidRPr="00D84307" w:rsidR="00B2256F">
        <w:t xml:space="preserve"> jury was presented with</w:t>
      </w:r>
      <w:r w:rsidRPr="00D84307" w:rsidR="005C7A7D">
        <w:t xml:space="preserve"> </w:t>
      </w:r>
      <w:r w:rsidRPr="00D84307" w:rsidR="00D00E6C">
        <w:t xml:space="preserve">slightly different allegations for each.  Counts 1 and 2 alleged </w:t>
      </w:r>
      <w:r w:rsidRPr="00D84307" w:rsidR="005C7A7D">
        <w:t>separate</w:t>
      </w:r>
      <w:r w:rsidRPr="00D84307" w:rsidR="00263A2D">
        <w:t xml:space="preserve"> </w:t>
      </w:r>
      <w:r w:rsidRPr="00D84307" w:rsidR="002C6F42">
        <w:t xml:space="preserve">charges as to each victim </w:t>
      </w:r>
      <w:r w:rsidRPr="00D84307" w:rsidR="00E93725">
        <w:t>with a single great bodily injury allegation</w:t>
      </w:r>
      <w:r w:rsidRPr="00D84307" w:rsidR="002C6F42">
        <w:t xml:space="preserve">, </w:t>
      </w:r>
      <w:r w:rsidRPr="00D84307" w:rsidR="00517AEB">
        <w:t xml:space="preserve">while </w:t>
      </w:r>
      <w:r w:rsidRPr="00D84307" w:rsidR="003E437F">
        <w:t>counts 3 and 4 alleged a single violation of two separate statutes, respectively, as to both victims,</w:t>
      </w:r>
      <w:r w:rsidRPr="00D84307" w:rsidR="002B5C05">
        <w:t xml:space="preserve"> along with two separate great bodily injury allegations</w:t>
      </w:r>
      <w:r w:rsidRPr="00D84307" w:rsidR="00FC2D5F">
        <w:t xml:space="preserve"> each</w:t>
      </w:r>
      <w:r w:rsidRPr="00D84307" w:rsidR="002B5C05">
        <w:t xml:space="preserve">, </w:t>
      </w:r>
      <w:r w:rsidRPr="00D84307" w:rsidR="00363A78">
        <w:t>one for each victim</w:t>
      </w:r>
      <w:r w:rsidRPr="00D84307" w:rsidR="005C7A7D">
        <w:t>.  Further,</w:t>
      </w:r>
      <w:r w:rsidRPr="00D84307" w:rsidR="008324EF">
        <w:t xml:space="preserve"> </w:t>
      </w:r>
      <w:r w:rsidRPr="00D84307" w:rsidR="00FB286E">
        <w:t xml:space="preserve">section 12022.7, subdivision </w:t>
      </w:r>
      <w:r w:rsidRPr="00D84307" w:rsidR="00D23478">
        <w:t>(a)</w:t>
      </w:r>
      <w:r w:rsidRPr="00D84307" w:rsidR="008F131B">
        <w:t>,</w:t>
      </w:r>
      <w:r w:rsidRPr="00D84307" w:rsidR="00D23478">
        <w:t xml:space="preserve"> allow</w:t>
      </w:r>
      <w:r w:rsidRPr="00D84307" w:rsidR="00F147ED">
        <w:t>ed</w:t>
      </w:r>
      <w:r w:rsidRPr="00D84307" w:rsidR="00D23478">
        <w:t xml:space="preserve"> for an additional term of imprisonment of three years</w:t>
      </w:r>
      <w:r w:rsidRPr="00D84307" w:rsidR="008324EF">
        <w:t xml:space="preserve"> for each</w:t>
      </w:r>
      <w:r w:rsidRPr="00D84307" w:rsidR="00517AEB">
        <w:t xml:space="preserve"> of the two</w:t>
      </w:r>
      <w:r w:rsidRPr="00D84307" w:rsidR="008324EF">
        <w:t xml:space="preserve"> enhancement</w:t>
      </w:r>
      <w:r w:rsidRPr="00D84307" w:rsidR="00FE1849">
        <w:t>s</w:t>
      </w:r>
      <w:r w:rsidRPr="00D84307" w:rsidR="008324EF">
        <w:t xml:space="preserve"> a</w:t>
      </w:r>
      <w:r w:rsidRPr="00D84307" w:rsidR="00517AEB">
        <w:t>ttached</w:t>
      </w:r>
      <w:r w:rsidRPr="00D84307" w:rsidR="008324EF">
        <w:t xml:space="preserve"> to counts 3 and 4, </w:t>
      </w:r>
      <w:r w:rsidRPr="00D84307" w:rsidR="00517AEB">
        <w:t xml:space="preserve">while </w:t>
      </w:r>
      <w:r w:rsidRPr="00D84307" w:rsidR="008324EF">
        <w:t xml:space="preserve">the same factual allegation </w:t>
      </w:r>
      <w:r w:rsidRPr="00D84307" w:rsidR="007D50C1">
        <w:t>as to counts 1 and 2 elevated the offense to a serious felony eligible for a strike</w:t>
      </w:r>
      <w:r w:rsidRPr="00D84307" w:rsidR="00F147ED">
        <w:t xml:space="preserve"> but did not </w:t>
      </w:r>
      <w:r w:rsidRPr="00D84307" w:rsidR="00427E1C">
        <w:t>allow the imposition of an additional term</w:t>
      </w:r>
      <w:r w:rsidRPr="00D84307" w:rsidR="00FB286E">
        <w:t>.</w:t>
      </w:r>
      <w:r w:rsidRPr="00D84307" w:rsidR="001E194F">
        <w:t xml:space="preserve"> </w:t>
      </w:r>
      <w:r w:rsidRPr="00D84307" w:rsidR="007D50C1">
        <w:t xml:space="preserve"> </w:t>
      </w:r>
      <w:r w:rsidRPr="00D84307" w:rsidR="001E194F">
        <w:t>(See</w:t>
      </w:r>
      <w:r w:rsidRPr="00D84307" w:rsidR="00FB286E">
        <w:t xml:space="preserve"> </w:t>
      </w:r>
      <w:r w:rsidRPr="00D84307" w:rsidR="001E194F">
        <w:t>§</w:t>
      </w:r>
      <w:r w:rsidRPr="00D84307" w:rsidR="00BC40AE">
        <w:t>§</w:t>
      </w:r>
      <w:r w:rsidRPr="00D84307" w:rsidR="007E04E8">
        <w:t> </w:t>
      </w:r>
      <w:r w:rsidRPr="00D84307" w:rsidR="00BC40AE">
        <w:t>1192.7, subd. (c)(8);</w:t>
      </w:r>
      <w:r w:rsidRPr="00D84307">
        <w:t xml:space="preserve"> 12022.7, subd</w:t>
      </w:r>
      <w:r w:rsidRPr="00D84307" w:rsidR="001E194F">
        <w:t>.</w:t>
      </w:r>
      <w:r w:rsidRPr="00D84307">
        <w:t xml:space="preserve"> (g)</w:t>
      </w:r>
      <w:r w:rsidRPr="00D84307" w:rsidR="001E194F">
        <w:t xml:space="preserve"> [</w:t>
      </w:r>
      <w:r w:rsidRPr="00D84307">
        <w:t>“[t]his section shall not apply to murder or manslaughter”</w:t>
      </w:r>
      <w:r w:rsidRPr="00D84307" w:rsidR="001E194F">
        <w:t>];</w:t>
      </w:r>
      <w:r w:rsidRPr="00D84307">
        <w:t xml:space="preserve"> </w:t>
      </w:r>
      <w:r w:rsidRPr="00D84307">
        <w:rPr>
          <w:i/>
          <w:iCs/>
        </w:rPr>
        <w:t xml:space="preserve">People v. Cook </w:t>
      </w:r>
      <w:r w:rsidRPr="00D84307">
        <w:t>(2015) 60 Cal.4th 922, 925</w:t>
      </w:r>
      <w:r w:rsidRPr="00D84307" w:rsidR="00B01246">
        <w:t xml:space="preserve"> [concluding § 12022.7, subd. (g) “prohibits enhancing a manslaughter or murder conviction”]</w:t>
      </w:r>
      <w:r w:rsidRPr="00D84307">
        <w:t>.)</w:t>
      </w:r>
      <w:r w:rsidRPr="00D84307" w:rsidR="00182A68">
        <w:t xml:space="preserve">  Thus, </w:t>
      </w:r>
      <w:r w:rsidRPr="00D84307" w:rsidR="00B63C06">
        <w:t xml:space="preserve">the trial court could have sentenced </w:t>
      </w:r>
      <w:r w:rsidRPr="00D84307" w:rsidR="00182A68">
        <w:t xml:space="preserve">Meno </w:t>
      </w:r>
      <w:r w:rsidRPr="00D84307" w:rsidR="00B63C06">
        <w:t xml:space="preserve">to </w:t>
      </w:r>
      <w:r w:rsidRPr="00D84307" w:rsidR="00CD0610">
        <w:t xml:space="preserve">a maximum term of </w:t>
      </w:r>
      <w:r w:rsidRPr="00D84307" w:rsidR="00C1240E">
        <w:t>four</w:t>
      </w:r>
      <w:r w:rsidRPr="00D84307" w:rsidR="00B63C06">
        <w:t xml:space="preserve"> years</w:t>
      </w:r>
      <w:r w:rsidRPr="00D84307" w:rsidR="004615AD">
        <w:t xml:space="preserve"> </w:t>
      </w:r>
      <w:r w:rsidRPr="00D84307" w:rsidR="00C1240E">
        <w:t>eight</w:t>
      </w:r>
      <w:r w:rsidRPr="00D84307" w:rsidR="001C6F8D">
        <w:t xml:space="preserve"> months</w:t>
      </w:r>
      <w:r w:rsidRPr="00D84307" w:rsidR="00B63C06">
        <w:t xml:space="preserve"> on counts 1 and 2, or </w:t>
      </w:r>
      <w:r w:rsidRPr="00D84307" w:rsidR="00FE1849">
        <w:t xml:space="preserve">a combined term of </w:t>
      </w:r>
      <w:r w:rsidRPr="00D84307" w:rsidR="00C1240E">
        <w:t>eight</w:t>
      </w:r>
      <w:r w:rsidRPr="00D84307" w:rsidR="00B63C06">
        <w:t xml:space="preserve"> years on counts 3 </w:t>
      </w:r>
      <w:r w:rsidRPr="00D84307" w:rsidR="00FE1849">
        <w:t>and</w:t>
      </w:r>
      <w:r w:rsidRPr="00D84307" w:rsidR="00B63C06">
        <w:t xml:space="preserve"> 4.</w:t>
      </w:r>
      <w:r w:rsidRPr="00D84307" w:rsidR="00317176">
        <w:t xml:space="preserve"> </w:t>
      </w:r>
    </w:p>
    <w:p w:rsidR="00A15586" w:rsidRPr="00D84307" w:rsidP="008871DA" w14:paraId="2B66DEA5" w14:textId="6BE56D5E">
      <w:pPr>
        <w:ind w:firstLine="720"/>
      </w:pPr>
      <w:r w:rsidRPr="00D84307">
        <w:t xml:space="preserve">Meno asserts, as he did in the trial court, that </w:t>
      </w:r>
      <w:r w:rsidRPr="00D84307" w:rsidR="00C001EE">
        <w:t xml:space="preserve">since </w:t>
      </w:r>
      <w:r w:rsidRPr="00D84307">
        <w:t>counts 3 and 4 were necessarily included</w:t>
      </w:r>
      <w:r w:rsidRPr="00D84307" w:rsidR="00A11950">
        <w:t>—</w:t>
      </w:r>
      <w:r w:rsidRPr="00D84307" w:rsidR="00EB2792">
        <w:t>or “lesser”</w:t>
      </w:r>
      <w:r w:rsidRPr="00D84307" w:rsidR="00A11950">
        <w:t>—</w:t>
      </w:r>
      <w:r w:rsidRPr="00D84307">
        <w:t xml:space="preserve">offenses </w:t>
      </w:r>
      <w:r w:rsidRPr="00D84307" w:rsidR="00222C80">
        <w:t xml:space="preserve">of section 191.5, subdivision (b), </w:t>
      </w:r>
      <w:r w:rsidRPr="00D84307" w:rsidR="00966040">
        <w:t xml:space="preserve">the trial court had no choice but to dismiss the convictions for counts 3 and 4.  Switching course on appeal, the People </w:t>
      </w:r>
      <w:r w:rsidRPr="00D84307" w:rsidR="00537C24">
        <w:t>contend</w:t>
      </w:r>
      <w:r w:rsidRPr="00D84307" w:rsidR="00A74843">
        <w:t xml:space="preserve"> that</w:t>
      </w:r>
      <w:r w:rsidRPr="00D84307" w:rsidR="00537C24">
        <w:t xml:space="preserve"> </w:t>
      </w:r>
      <w:r w:rsidRPr="00D84307" w:rsidR="00034690">
        <w:t xml:space="preserve">DUI causing injury is not </w:t>
      </w:r>
      <w:r w:rsidRPr="00D84307" w:rsidR="00537C24">
        <w:t xml:space="preserve">a </w:t>
      </w:r>
      <w:r w:rsidRPr="00D84307" w:rsidR="00966040">
        <w:t>necessarily included offense</w:t>
      </w:r>
      <w:r w:rsidRPr="00D84307" w:rsidR="00D21D92">
        <w:t xml:space="preserve"> </w:t>
      </w:r>
      <w:r w:rsidRPr="00D84307" w:rsidR="00034690">
        <w:t>of</w:t>
      </w:r>
      <w:r w:rsidRPr="00D84307" w:rsidR="00D21D92">
        <w:t xml:space="preserve"> </w:t>
      </w:r>
      <w:r w:rsidRPr="00D84307" w:rsidR="00FC6FF0">
        <w:t xml:space="preserve">vehicular manslaughter while intoxicated, </w:t>
      </w:r>
      <w:r w:rsidRPr="00D84307" w:rsidR="00695841">
        <w:t xml:space="preserve">particularly </w:t>
      </w:r>
      <w:r w:rsidRPr="00D84307" w:rsidR="00034690">
        <w:t>where</w:t>
      </w:r>
      <w:r w:rsidRPr="00D84307" w:rsidR="00FC6FF0">
        <w:t>, as here,</w:t>
      </w:r>
      <w:r w:rsidRPr="00D84307" w:rsidR="00034690">
        <w:t xml:space="preserve"> there are multiple victims</w:t>
      </w:r>
      <w:r w:rsidRPr="00D84307" w:rsidR="00944C8C">
        <w:t>.</w:t>
      </w:r>
      <w:r>
        <w:rPr>
          <w:rStyle w:val="FootnoteReference"/>
        </w:rPr>
        <w:footnoteReference w:id="6"/>
      </w:r>
      <w:r w:rsidRPr="00D84307" w:rsidR="00D21D92">
        <w:t xml:space="preserve"> </w:t>
      </w:r>
      <w:r w:rsidRPr="00D84307" w:rsidR="00944C8C">
        <w:t xml:space="preserve"> They also maintain, as they did in the trial court, that, </w:t>
      </w:r>
      <w:r w:rsidRPr="00D84307" w:rsidR="00D21D92">
        <w:t xml:space="preserve">even if </w:t>
      </w:r>
      <w:r w:rsidRPr="00D84307" w:rsidR="00034690">
        <w:t>it we</w:t>
      </w:r>
      <w:r w:rsidRPr="00D84307" w:rsidR="00D21D92">
        <w:t>re, the trial court had discretion to dismiss either counts 1 and 2 or counts 3 and 4.</w:t>
      </w:r>
    </w:p>
    <w:p w:rsidR="00785AB2" w:rsidRPr="00D84307" w:rsidP="00A15586" w14:paraId="24782D32" w14:textId="1D215463">
      <w:pPr>
        <w:ind w:firstLine="720"/>
      </w:pPr>
      <w:r w:rsidRPr="00D84307">
        <w:t xml:space="preserve">We take the contentions in turn, and first consider whether </w:t>
      </w:r>
      <w:r w:rsidRPr="00D84307" w:rsidR="005009E4">
        <w:t>a conviction for</w:t>
      </w:r>
      <w:r w:rsidRPr="00D84307" w:rsidR="0089537C">
        <w:t xml:space="preserve"> </w:t>
      </w:r>
      <w:r w:rsidRPr="00D84307">
        <w:t xml:space="preserve">DUI causing injury is </w:t>
      </w:r>
      <w:r w:rsidRPr="00D84307" w:rsidR="005009E4">
        <w:t xml:space="preserve">always </w:t>
      </w:r>
      <w:r w:rsidRPr="00D84307">
        <w:t xml:space="preserve">a necessarily included offenses of vehicular manslaughter while intoxicated. </w:t>
      </w:r>
    </w:p>
    <w:p w:rsidR="00BB72D2" w:rsidRPr="00D84307" w:rsidP="009F4E04" w14:paraId="316A950E" w14:textId="7D2D25EE">
      <w:pPr>
        <w:pStyle w:val="Heading3"/>
      </w:pPr>
      <w:r w:rsidRPr="00D84307">
        <w:t>A.</w:t>
      </w:r>
      <w:r w:rsidRPr="00D84307" w:rsidR="009F4E04">
        <w:tab/>
      </w:r>
      <w:r w:rsidRPr="00D84307">
        <w:rPr>
          <w:i/>
          <w:iCs/>
        </w:rPr>
        <w:t xml:space="preserve">DUI Causing Injury </w:t>
      </w:r>
      <w:r w:rsidRPr="00D84307" w:rsidR="009F4E04">
        <w:rPr>
          <w:i/>
          <w:iCs/>
        </w:rPr>
        <w:t>I</w:t>
      </w:r>
      <w:r w:rsidRPr="00D84307">
        <w:rPr>
          <w:i/>
          <w:iCs/>
        </w:rPr>
        <w:t>s a Necessarily Included Offense of Vehicular Manslaughter While Intoxicated</w:t>
      </w:r>
    </w:p>
    <w:p w:rsidR="0056080F" w:rsidRPr="00D84307" w:rsidP="0056080F" w14:paraId="60E51546" w14:textId="28A382DC">
      <w:pPr>
        <w:ind w:firstLine="720"/>
      </w:pPr>
      <w:r w:rsidRPr="00D84307">
        <w:t xml:space="preserve">In </w:t>
      </w:r>
      <w:r w:rsidRPr="00D84307">
        <w:rPr>
          <w:i/>
          <w:iCs/>
        </w:rPr>
        <w:t xml:space="preserve">People v. Sanders </w:t>
      </w:r>
      <w:r w:rsidRPr="00D84307">
        <w:t>(2012) 55 Cal.4th 731</w:t>
      </w:r>
      <w:r w:rsidRPr="00D84307" w:rsidR="00F855CF">
        <w:t xml:space="preserve"> (</w:t>
      </w:r>
      <w:r w:rsidRPr="00D84307" w:rsidR="00F855CF">
        <w:rPr>
          <w:i/>
          <w:iCs/>
        </w:rPr>
        <w:t>Sanders</w:t>
      </w:r>
      <w:r w:rsidRPr="00D84307" w:rsidR="00F855CF">
        <w:t>)</w:t>
      </w:r>
      <w:r w:rsidRPr="00D84307">
        <w:t>, our high court explained: “When a defendant is found guilty of both a greater and a necessarily lesser included offense arising out of the same act or course of conduct, and the evidence supports the verdict on the greater offense, that conviction is controlling, and the conviction of the lesser offense must be reversed.”  (</w:t>
      </w:r>
      <w:r w:rsidRPr="00D84307">
        <w:rPr>
          <w:i/>
          <w:iCs/>
        </w:rPr>
        <w:t>Id</w:t>
      </w:r>
      <w:r w:rsidRPr="00D84307">
        <w:t xml:space="preserve">. at p. 736.)  However, the Court went on to conclude that neither of the two offenses at issue there—offender in possession in violation of former section 12021(a)(1) and violent offender in possession in violation of former section 12021(a)—was necessarily included in the other. </w:t>
      </w:r>
      <w:r w:rsidRPr="00D84307" w:rsidR="001C3FC5">
        <w:t xml:space="preserve"> (</w:t>
      </w:r>
      <w:r w:rsidRPr="00D84307" w:rsidR="00F855CF">
        <w:rPr>
          <w:i/>
          <w:iCs/>
        </w:rPr>
        <w:t>Sanders,</w:t>
      </w:r>
      <w:r w:rsidRPr="00D84307" w:rsidR="00F855CF">
        <w:t xml:space="preserve"> at p. 736.</w:t>
      </w:r>
      <w:r w:rsidRPr="00D84307" w:rsidR="001C3FC5">
        <w:t>)</w:t>
      </w:r>
      <w:r w:rsidRPr="00D84307">
        <w:t xml:space="preserve"> </w:t>
      </w:r>
    </w:p>
    <w:p w:rsidR="0056080F" w:rsidRPr="00D84307" w:rsidP="0056080F" w14:paraId="4F6DFA71" w14:textId="5370E04F">
      <w:pPr>
        <w:ind w:firstLine="720"/>
      </w:pPr>
      <w:r w:rsidRPr="00D84307">
        <w:t>The Court explained</w:t>
      </w:r>
      <w:r w:rsidRPr="00D84307" w:rsidR="00B264DC">
        <w:t xml:space="preserve"> the statutory element test is</w:t>
      </w:r>
      <w:r w:rsidRPr="00D84307">
        <w:t xml:space="preserve"> </w:t>
      </w:r>
      <w:r w:rsidRPr="00D84307" w:rsidR="00B264DC">
        <w:t>used</w:t>
      </w:r>
      <w:r w:rsidRPr="00D84307">
        <w:t xml:space="preserve"> </w:t>
      </w:r>
      <w:r w:rsidRPr="00D84307" w:rsidR="00B264DC">
        <w:t xml:space="preserve">to determine whether one offense is necessarily included in another. </w:t>
      </w:r>
      <w:r w:rsidRPr="00D84307" w:rsidR="00F431BC">
        <w:t xml:space="preserve"> (</w:t>
      </w:r>
      <w:r w:rsidRPr="00D84307" w:rsidR="00F431BC">
        <w:rPr>
          <w:i/>
          <w:iCs/>
        </w:rPr>
        <w:t>Sanders</w:t>
      </w:r>
      <w:r w:rsidRPr="00D84307" w:rsidR="00F431BC">
        <w:t xml:space="preserve">, 55 Cal.4th at p. 737.) </w:t>
      </w:r>
      <w:r w:rsidRPr="00D84307" w:rsidR="00B264DC">
        <w:t xml:space="preserve"> </w:t>
      </w:r>
      <w:r w:rsidRPr="00D84307" w:rsidR="001656AF">
        <w:t>“ ‘</w:t>
      </w:r>
      <w:r w:rsidRPr="00D84307" w:rsidR="00B264DC">
        <w:t>Under th</w:t>
      </w:r>
      <w:r w:rsidRPr="00D84307" w:rsidR="001656AF">
        <w:t xml:space="preserve">e elements test, if </w:t>
      </w:r>
      <w:r w:rsidRPr="00D84307">
        <w:t>the statutory elements of the greater offense include all of the statutory elements of the lesser offense,</w:t>
      </w:r>
      <w:r w:rsidRPr="00D84307" w:rsidR="00D53DCE">
        <w:t xml:space="preserve"> the latter is necessarily included in the former.’</w:t>
      </w:r>
      <w:r w:rsidRPr="00D84307">
        <w:t xml:space="preserve"> ” </w:t>
      </w:r>
      <w:r w:rsidRPr="00D84307" w:rsidR="007E04E8">
        <w:t xml:space="preserve"> </w:t>
      </w:r>
      <w:r w:rsidRPr="00D84307">
        <w:t>(</w:t>
      </w:r>
      <w:r w:rsidRPr="00D84307" w:rsidR="00F431BC">
        <w:rPr>
          <w:i/>
          <w:iCs/>
        </w:rPr>
        <w:t>Ibid</w:t>
      </w:r>
      <w:r w:rsidR="00CF54F6">
        <w:rPr>
          <w:i/>
          <w:iCs/>
        </w:rPr>
        <w:t>.,</w:t>
      </w:r>
      <w:r w:rsidRPr="00D84307">
        <w:t xml:space="preserve"> quoting </w:t>
      </w:r>
      <w:r w:rsidRPr="00D84307">
        <w:rPr>
          <w:i/>
          <w:iCs/>
        </w:rPr>
        <w:t>Reed, supra</w:t>
      </w:r>
      <w:r w:rsidRPr="00D84307">
        <w:t xml:space="preserve">, 38 Cal.4th at pp. 1227, 1229.)  </w:t>
      </w:r>
      <w:r w:rsidRPr="00D84307" w:rsidR="00201681">
        <w:t>The same is true i</w:t>
      </w:r>
      <w:r w:rsidRPr="00D84307" w:rsidR="00ED54CD">
        <w:t>f one cannot commit the former crime without necessarily committing the latter.  (</w:t>
      </w:r>
      <w:r w:rsidRPr="00D84307" w:rsidR="00BB4C8E">
        <w:rPr>
          <w:i/>
          <w:iCs/>
        </w:rPr>
        <w:t xml:space="preserve">Sanders, </w:t>
      </w:r>
      <w:r w:rsidRPr="00D84307" w:rsidR="00BB4C8E">
        <w:t>at p. 737</w:t>
      </w:r>
      <w:r w:rsidRPr="00D84307" w:rsidR="00ED54CD">
        <w:t>.)  T</w:t>
      </w:r>
      <w:r w:rsidRPr="00D84307">
        <w:t xml:space="preserve">he Court </w:t>
      </w:r>
      <w:r w:rsidRPr="00D84307" w:rsidR="00ED54CD">
        <w:t xml:space="preserve">in </w:t>
      </w:r>
      <w:r w:rsidRPr="00D84307" w:rsidR="00ED54CD">
        <w:rPr>
          <w:i/>
          <w:iCs/>
        </w:rPr>
        <w:t>Sanders</w:t>
      </w:r>
      <w:r w:rsidRPr="00D84307" w:rsidR="00ED54CD">
        <w:t xml:space="preserve"> </w:t>
      </w:r>
      <w:r w:rsidRPr="00D84307">
        <w:t xml:space="preserve">found “it was possible to commit either offense without committing the other,” </w:t>
      </w:r>
      <w:r w:rsidRPr="00D84307" w:rsidR="00D469CD">
        <w:t>and therefore</w:t>
      </w:r>
      <w:r w:rsidRPr="00D84307">
        <w:t xml:space="preserve"> concluded that neither was necessarily included in the other.  (</w:t>
      </w:r>
      <w:r w:rsidRPr="00D84307">
        <w:rPr>
          <w:i/>
          <w:iCs/>
        </w:rPr>
        <w:t xml:space="preserve">Sanders, </w:t>
      </w:r>
      <w:r w:rsidRPr="00D84307">
        <w:t xml:space="preserve">at p. 741.)  Accordingly, the </w:t>
      </w:r>
      <w:r w:rsidRPr="00D84307" w:rsidR="00353C33">
        <w:t>convictions for both offenses could stand</w:t>
      </w:r>
      <w:r w:rsidRPr="00D84307" w:rsidR="006F0E16">
        <w:t xml:space="preserve">, but </w:t>
      </w:r>
      <w:r w:rsidRPr="00D84307">
        <w:t xml:space="preserve">under section 654 the defendant could </w:t>
      </w:r>
      <w:r w:rsidRPr="00D84307" w:rsidR="006F0E16">
        <w:t>only</w:t>
      </w:r>
      <w:r w:rsidRPr="00D84307">
        <w:t xml:space="preserve"> be </w:t>
      </w:r>
      <w:r w:rsidRPr="00D84307">
        <w:rPr>
          <w:i/>
          <w:iCs/>
        </w:rPr>
        <w:t>punished</w:t>
      </w:r>
      <w:r w:rsidRPr="00D84307">
        <w:t xml:space="preserve"> for </w:t>
      </w:r>
      <w:r w:rsidRPr="00D84307" w:rsidR="006F0E16">
        <w:t xml:space="preserve">one statutory </w:t>
      </w:r>
      <w:r w:rsidRPr="00D84307">
        <w:t xml:space="preserve">violation based on his possession of </w:t>
      </w:r>
      <w:r w:rsidRPr="00D84307" w:rsidR="006F0E16">
        <w:t>a single</w:t>
      </w:r>
      <w:r w:rsidRPr="00D84307">
        <w:t xml:space="preserve"> firearm.  (</w:t>
      </w:r>
      <w:r w:rsidRPr="00D84307">
        <w:rPr>
          <w:i/>
          <w:iCs/>
        </w:rPr>
        <w:t>Id</w:t>
      </w:r>
      <w:r w:rsidRPr="00D84307">
        <w:t>. at p</w:t>
      </w:r>
      <w:r w:rsidRPr="00D84307" w:rsidR="007E04E8">
        <w:t>p</w:t>
      </w:r>
      <w:r w:rsidRPr="00D84307">
        <w:t>.</w:t>
      </w:r>
      <w:r w:rsidR="00BF5F2E">
        <w:t> </w:t>
      </w:r>
      <w:r w:rsidRPr="00D84307" w:rsidR="006F0E16">
        <w:t xml:space="preserve">741, </w:t>
      </w:r>
      <w:r w:rsidRPr="00D84307">
        <w:t xml:space="preserve">743.)  </w:t>
      </w:r>
    </w:p>
    <w:p w:rsidR="00056D2A" w:rsidRPr="00D84307" w:rsidP="0056080F" w14:paraId="492D9CFD" w14:textId="766DD5AC">
      <w:pPr>
        <w:ind w:firstLine="720"/>
      </w:pPr>
      <w:r w:rsidRPr="00D84307">
        <w:t xml:space="preserve">As relevant here, the court in </w:t>
      </w:r>
      <w:r w:rsidRPr="00D84307">
        <w:rPr>
          <w:i/>
          <w:iCs/>
        </w:rPr>
        <w:t>Miranda</w:t>
      </w:r>
      <w:r w:rsidRPr="00D84307">
        <w:t xml:space="preserve"> </w:t>
      </w:r>
      <w:r w:rsidRPr="00D84307" w:rsidR="0059701F">
        <w:t xml:space="preserve">addressed a similar question in connection with convictions under </w:t>
      </w:r>
      <w:r w:rsidRPr="00D84307">
        <w:t xml:space="preserve">both </w:t>
      </w:r>
      <w:r w:rsidRPr="00D84307" w:rsidR="0038218E">
        <w:t xml:space="preserve">section 191.5, subdivision (a) and </w:t>
      </w:r>
      <w:r w:rsidRPr="00D84307">
        <w:t xml:space="preserve">Vehicle Code section 23153, subdivision (a) </w:t>
      </w:r>
      <w:r w:rsidRPr="00D84307" w:rsidR="00911B17">
        <w:t>arising out of</w:t>
      </w:r>
      <w:r w:rsidRPr="00D84307">
        <w:t xml:space="preserve"> a single accident causing the death of a single victim.  (</w:t>
      </w:r>
      <w:r w:rsidRPr="00D84307">
        <w:rPr>
          <w:i/>
          <w:iCs/>
        </w:rPr>
        <w:t xml:space="preserve">Miranda, supra, </w:t>
      </w:r>
      <w:r w:rsidRPr="00D84307">
        <w:t>21 Cal.App.4th at p.</w:t>
      </w:r>
      <w:r w:rsidRPr="00D84307" w:rsidR="007E04E8">
        <w:t> </w:t>
      </w:r>
      <w:r w:rsidRPr="00D84307">
        <w:t xml:space="preserve">1468.)  </w:t>
      </w:r>
      <w:r w:rsidRPr="00D84307" w:rsidR="0059701F">
        <w:t xml:space="preserve">Although it preceded the decisions in </w:t>
      </w:r>
      <w:r w:rsidRPr="00D84307" w:rsidR="0059701F">
        <w:rPr>
          <w:i/>
          <w:iCs/>
        </w:rPr>
        <w:t xml:space="preserve">Reed </w:t>
      </w:r>
      <w:r w:rsidRPr="00D84307" w:rsidR="0059701F">
        <w:t xml:space="preserve">and </w:t>
      </w:r>
      <w:r w:rsidRPr="00D84307" w:rsidR="0059701F">
        <w:rPr>
          <w:i/>
          <w:iCs/>
        </w:rPr>
        <w:t>Sanders</w:t>
      </w:r>
      <w:r w:rsidRPr="00D84307" w:rsidR="0059701F">
        <w:t xml:space="preserve">, the </w:t>
      </w:r>
      <w:r w:rsidRPr="00D84307" w:rsidR="0059701F">
        <w:rPr>
          <w:i/>
          <w:iCs/>
        </w:rPr>
        <w:t>Miranda</w:t>
      </w:r>
      <w:r w:rsidRPr="00D84307" w:rsidR="0059701F">
        <w:t xml:space="preserve"> court applied similar reasoning to conclude </w:t>
      </w:r>
      <w:r w:rsidRPr="00D84307" w:rsidR="006B30B9">
        <w:t>that</w:t>
      </w:r>
      <w:r w:rsidRPr="00D84307" w:rsidR="0090236D">
        <w:t xml:space="preserve"> </w:t>
      </w:r>
      <w:r w:rsidRPr="00D84307" w:rsidR="006B30B9">
        <w:t xml:space="preserve">a conviction </w:t>
      </w:r>
      <w:r w:rsidRPr="00D84307" w:rsidR="00EE5D83">
        <w:t xml:space="preserve">under Vehicle Code section 23153, subdivision (a) was a necessarily included offense of section 191.5, subdivision (a).  </w:t>
      </w:r>
      <w:r w:rsidRPr="00D84307">
        <w:t>The court explained, a “person who injures [another] person while driving under the influence commits a violation of Vehicle Code section 23153; and if that person dies from that injury—whether immediately or sometime later—a violation of</w:t>
      </w:r>
      <w:r w:rsidRPr="00D84307" w:rsidR="00727C42">
        <w:t> . . . </w:t>
      </w:r>
      <w:r w:rsidRPr="00D84307">
        <w:t>section 191.5 has occurred.”  (</w:t>
      </w:r>
      <w:r w:rsidRPr="00D84307" w:rsidR="00D4188A">
        <w:rPr>
          <w:i/>
          <w:iCs/>
        </w:rPr>
        <w:t>Miranda,</w:t>
      </w:r>
      <w:r w:rsidRPr="00D84307" w:rsidR="00D4188A">
        <w:t xml:space="preserve"> at p. 1468</w:t>
      </w:r>
      <w:r w:rsidRPr="00D84307">
        <w:t>.)  Practically speaking, one cannot be killed without incurring some injury.  (</w:t>
      </w:r>
      <w:r w:rsidRPr="00D84307">
        <w:rPr>
          <w:i/>
          <w:iCs/>
        </w:rPr>
        <w:t>Ibid</w:t>
      </w:r>
      <w:r w:rsidRPr="00D84307">
        <w:t xml:space="preserve">.)  </w:t>
      </w:r>
    </w:p>
    <w:p w:rsidR="00C84BBC" w:rsidRPr="00D84307" w:rsidP="00645F17" w14:paraId="75EC6AE0" w14:textId="02D64560">
      <w:pPr>
        <w:ind w:firstLine="720"/>
      </w:pPr>
      <w:r w:rsidRPr="00D84307">
        <w:t>Here, the jury found Meno guilty of the lesser included offense of</w:t>
      </w:r>
      <w:r w:rsidRPr="00D84307" w:rsidR="009806F4">
        <w:t xml:space="preserve"> vehicular manslaughter while intoxicated</w:t>
      </w:r>
      <w:r w:rsidRPr="00D84307">
        <w:t xml:space="preserve"> </w:t>
      </w:r>
      <w:r w:rsidRPr="00D84307" w:rsidR="009806F4">
        <w:t>with</w:t>
      </w:r>
      <w:r w:rsidRPr="00D84307" w:rsidR="00846B3A">
        <w:t xml:space="preserve"> ordinary</w:t>
      </w:r>
      <w:r w:rsidRPr="00D84307" w:rsidR="009806F4">
        <w:t xml:space="preserve"> negligence, pursuant to section 191.5, subdivision (b)</w:t>
      </w:r>
      <w:r w:rsidRPr="00D84307" w:rsidR="0090236D">
        <w:t>, as opposed to gross negligence under subdivision (a)</w:t>
      </w:r>
      <w:r w:rsidRPr="00D84307" w:rsidR="009806F4">
        <w:t>.</w:t>
      </w:r>
      <w:r>
        <w:rPr>
          <w:rStyle w:val="FootnoteReference"/>
        </w:rPr>
        <w:footnoteReference w:id="7"/>
      </w:r>
      <w:r w:rsidRPr="00D84307" w:rsidR="009806F4">
        <w:t xml:space="preserve"> </w:t>
      </w:r>
      <w:r w:rsidRPr="00D84307" w:rsidR="00393BA5">
        <w:t xml:space="preserve"> But the same reasoning applies.  </w:t>
      </w:r>
      <w:r w:rsidRPr="00D84307" w:rsidR="00B87642">
        <w:t xml:space="preserve">Neither subdivision (a) nor (b) of </w:t>
      </w:r>
      <w:r w:rsidRPr="00D84307" w:rsidR="00393BA5">
        <w:t>Vehicle Code section 23153 require</w:t>
      </w:r>
      <w:r w:rsidRPr="00D84307" w:rsidR="00B87642">
        <w:t>s</w:t>
      </w:r>
      <w:r w:rsidRPr="00D84307" w:rsidR="00393BA5">
        <w:t xml:space="preserve"> gross negligence; </w:t>
      </w:r>
      <w:r w:rsidRPr="00D84307" w:rsidR="00E21F6D">
        <w:t>they</w:t>
      </w:r>
      <w:r w:rsidRPr="00D84307" w:rsidR="00393BA5">
        <w:t xml:space="preserve"> simply require </w:t>
      </w:r>
      <w:r w:rsidRPr="00D84307" w:rsidR="005C75CE">
        <w:t>the driver to “do any act forbidden by law, or neglect any duty imposed by law in driving the vehicle, which act or neglect proximately causes bodily injury to any person other than the driver.”  (Veh. Code §</w:t>
      </w:r>
      <w:r w:rsidRPr="00D84307" w:rsidR="00CF3FD3">
        <w:t> </w:t>
      </w:r>
      <w:r w:rsidRPr="00D84307" w:rsidR="005C75CE">
        <w:t>23153, subd</w:t>
      </w:r>
      <w:r w:rsidRPr="00D84307" w:rsidR="00E21F6D">
        <w:t>s.</w:t>
      </w:r>
      <w:r w:rsidRPr="00D84307" w:rsidR="005C75CE">
        <w:t xml:space="preserve"> (a)</w:t>
      </w:r>
      <w:r w:rsidRPr="00D84307" w:rsidR="00E21F6D">
        <w:t>, (b)</w:t>
      </w:r>
      <w:r w:rsidRPr="00D84307" w:rsidR="005C75CE">
        <w:t xml:space="preserve">.)  </w:t>
      </w:r>
      <w:r w:rsidRPr="00D84307" w:rsidR="00BA6EF0">
        <w:t>T</w:t>
      </w:r>
      <w:r w:rsidRPr="00D84307" w:rsidR="00E719E4">
        <w:t>hus,</w:t>
      </w:r>
      <w:r w:rsidRPr="00D84307" w:rsidR="00314758">
        <w:t xml:space="preserve"> we see no reason to </w:t>
      </w:r>
      <w:r w:rsidRPr="00D84307" w:rsidR="00636538">
        <w:t>reach a different conclusion as to whether</w:t>
      </w:r>
      <w:r w:rsidRPr="00D84307" w:rsidR="000606CE">
        <w:t xml:space="preserve"> a </w:t>
      </w:r>
      <w:r w:rsidRPr="00D84307" w:rsidR="00D35090">
        <w:t>conviction</w:t>
      </w:r>
      <w:r w:rsidRPr="00D84307" w:rsidR="000606CE">
        <w:t xml:space="preserve"> for</w:t>
      </w:r>
      <w:r w:rsidRPr="00D84307" w:rsidR="00636538">
        <w:t xml:space="preserve"> DUI causing injury</w:t>
      </w:r>
      <w:r w:rsidRPr="00D84307" w:rsidR="000606CE">
        <w:t xml:space="preserve"> under </w:t>
      </w:r>
      <w:r w:rsidRPr="00D84307" w:rsidR="00D35090">
        <w:t>subdivision (a) or (b) of Vehicle</w:t>
      </w:r>
      <w:r w:rsidRPr="00D84307" w:rsidR="000606CE">
        <w:t xml:space="preserve"> Code section 2315</w:t>
      </w:r>
      <w:r w:rsidR="008C2955">
        <w:t>3</w:t>
      </w:r>
      <w:r w:rsidRPr="00D84307" w:rsidR="00636538">
        <w:t xml:space="preserve"> is a </w:t>
      </w:r>
      <w:r w:rsidRPr="00D84307" w:rsidR="00111357">
        <w:t>necessarily</w:t>
      </w:r>
      <w:r w:rsidRPr="00D84307" w:rsidR="00614645">
        <w:t xml:space="preserve"> </w:t>
      </w:r>
      <w:r w:rsidRPr="00D84307" w:rsidR="00636538">
        <w:t xml:space="preserve">included offense to either subdivision (a) or (b) of </w:t>
      </w:r>
      <w:r w:rsidRPr="00D84307" w:rsidR="00AC10C7">
        <w:t>section 191.5.  (See</w:t>
      </w:r>
      <w:r w:rsidRPr="00D84307" w:rsidR="00E927A5">
        <w:t xml:space="preserve"> </w:t>
      </w:r>
      <w:r w:rsidRPr="00D84307" w:rsidR="00E927A5">
        <w:rPr>
          <w:i/>
          <w:iCs/>
        </w:rPr>
        <w:t xml:space="preserve">People v. Binkerd </w:t>
      </w:r>
      <w:r w:rsidRPr="00D84307" w:rsidR="00E927A5">
        <w:t>(2007) 155 Cal.App.4th 1143</w:t>
      </w:r>
      <w:r w:rsidRPr="00D84307" w:rsidR="005C4D45">
        <w:t>,</w:t>
      </w:r>
      <w:r w:rsidRPr="00D84307" w:rsidR="004E119F">
        <w:t xml:space="preserve"> 1145, fn. 1,</w:t>
      </w:r>
      <w:r w:rsidRPr="00D84307" w:rsidR="005C4D45">
        <w:t xml:space="preserve"> 1147−1148</w:t>
      </w:r>
      <w:r w:rsidRPr="00D84307" w:rsidR="00104F7F">
        <w:t xml:space="preserve"> (</w:t>
      </w:r>
      <w:r w:rsidRPr="00D84307" w:rsidR="00104F7F">
        <w:rPr>
          <w:i/>
          <w:iCs/>
        </w:rPr>
        <w:t>Binkerd</w:t>
      </w:r>
      <w:r w:rsidRPr="00D84307" w:rsidR="00104F7F">
        <w:t>)</w:t>
      </w:r>
      <w:r w:rsidRPr="00D84307" w:rsidR="005C4D45">
        <w:t xml:space="preserve"> [</w:t>
      </w:r>
      <w:r w:rsidRPr="00D84307" w:rsidR="00AC10C7">
        <w:t xml:space="preserve">relying on </w:t>
      </w:r>
      <w:r w:rsidRPr="00D84307" w:rsidR="00AC10C7">
        <w:rPr>
          <w:i/>
          <w:iCs/>
        </w:rPr>
        <w:t>Miranda</w:t>
      </w:r>
      <w:r w:rsidRPr="00D84307" w:rsidR="00AC10C7">
        <w:t xml:space="preserve"> </w:t>
      </w:r>
      <w:r w:rsidRPr="00D84307" w:rsidR="00A33CDD">
        <w:t xml:space="preserve">to conclude </w:t>
      </w:r>
      <w:r w:rsidRPr="00D84307" w:rsidR="00E927A5">
        <w:t xml:space="preserve">DUI causing injury </w:t>
      </w:r>
      <w:r w:rsidRPr="00D84307" w:rsidR="005C4D45">
        <w:t xml:space="preserve">is a lesser included offense of </w:t>
      </w:r>
      <w:r w:rsidRPr="00D84307" w:rsidR="00E927A5">
        <w:t>section 191.5, subdivision (b)</w:t>
      </w:r>
      <w:r w:rsidRPr="00D84307" w:rsidR="005C4D45">
        <w:t>]</w:t>
      </w:r>
      <w:r w:rsidRPr="00D84307" w:rsidR="005430CE">
        <w:t>)</w:t>
      </w:r>
      <w:r w:rsidRPr="00D84307" w:rsidR="00E927A5">
        <w:t xml:space="preserve">.  </w:t>
      </w:r>
    </w:p>
    <w:p w:rsidR="00132BC1" w:rsidRPr="00D84307" w:rsidP="00005C04" w14:paraId="09CD12D5" w14:textId="7EDA4813">
      <w:pPr>
        <w:ind w:firstLine="720"/>
      </w:pPr>
      <w:r w:rsidRPr="00D84307">
        <w:t xml:space="preserve">The People assert that this is not the case, though, where there are multiple victims.  </w:t>
      </w:r>
      <w:r w:rsidRPr="00D84307" w:rsidR="00B6090F">
        <w:t>As the</w:t>
      </w:r>
      <w:r w:rsidRPr="00D84307" w:rsidR="00383CA3">
        <w:t>y</w:t>
      </w:r>
      <w:r w:rsidRPr="00D84307" w:rsidR="006B6DC6">
        <w:t xml:space="preserve"> </w:t>
      </w:r>
      <w:r w:rsidRPr="00D84307" w:rsidR="00B6090F">
        <w:t xml:space="preserve">explain, </w:t>
      </w:r>
      <w:r w:rsidRPr="00D84307" w:rsidR="00F10CCF">
        <w:t xml:space="preserve">a defendant </w:t>
      </w:r>
      <w:r w:rsidRPr="00D84307" w:rsidR="005D5697">
        <w:t>is</w:t>
      </w:r>
      <w:r w:rsidRPr="00D84307" w:rsidR="00AC7B73">
        <w:t xml:space="preserve"> </w:t>
      </w:r>
      <w:r w:rsidRPr="00D84307" w:rsidR="0057613C">
        <w:t>guilty of</w:t>
      </w:r>
      <w:r w:rsidRPr="00D84307" w:rsidR="00EB79E4">
        <w:t xml:space="preserve"> </w:t>
      </w:r>
      <w:r w:rsidRPr="00D84307" w:rsidR="006C26DA">
        <w:t xml:space="preserve">only one </w:t>
      </w:r>
      <w:r w:rsidRPr="00D84307" w:rsidR="00EB79E4">
        <w:t xml:space="preserve">count of </w:t>
      </w:r>
      <w:r w:rsidRPr="00D84307" w:rsidR="006A082A">
        <w:t xml:space="preserve">DUI </w:t>
      </w:r>
      <w:r w:rsidRPr="00D84307" w:rsidR="00EB79E4">
        <w:t xml:space="preserve">causing injury </w:t>
      </w:r>
      <w:r w:rsidRPr="00D84307" w:rsidR="00AC7B73">
        <w:t>under</w:t>
      </w:r>
      <w:r w:rsidRPr="00D84307" w:rsidR="00BD6B89">
        <w:t xml:space="preserve"> Vehicle Code section 23153</w:t>
      </w:r>
      <w:r w:rsidRPr="00D84307" w:rsidR="00620961">
        <w:t xml:space="preserve">, </w:t>
      </w:r>
      <w:r w:rsidRPr="00D84307" w:rsidR="008E1B6D">
        <w:t>subdivision (a) or (b)</w:t>
      </w:r>
      <w:r w:rsidRPr="00D84307" w:rsidR="007873E7">
        <w:t xml:space="preserve"> for a single instance</w:t>
      </w:r>
      <w:r w:rsidRPr="00D84307" w:rsidR="00665CEE">
        <w:t xml:space="preserve"> of driving</w:t>
      </w:r>
      <w:r w:rsidRPr="00D84307" w:rsidR="008274C1">
        <w:t>,</w:t>
      </w:r>
      <w:r w:rsidRPr="00D84307" w:rsidR="003B244A">
        <w:t xml:space="preserve"> </w:t>
      </w:r>
      <w:r w:rsidRPr="00D84307" w:rsidR="00DE4FAC">
        <w:t>since</w:t>
      </w:r>
      <w:r w:rsidRPr="00D84307" w:rsidR="003B244A">
        <w:t xml:space="preserve"> the gravamen of the offense of DUI causing injury is the act of driving itself</w:t>
      </w:r>
      <w:r w:rsidRPr="00D84307" w:rsidR="007873E7">
        <w:t>.</w:t>
      </w:r>
      <w:r w:rsidRPr="00D84307" w:rsidR="00C33986">
        <w:t xml:space="preserve"> </w:t>
      </w:r>
      <w:r w:rsidRPr="00D84307" w:rsidR="00B6090F">
        <w:t xml:space="preserve"> </w:t>
      </w:r>
      <w:r w:rsidRPr="00D84307" w:rsidR="005C2FBA">
        <w:t>(</w:t>
      </w:r>
      <w:r w:rsidRPr="00D84307" w:rsidR="005C2FBA">
        <w:rPr>
          <w:i/>
          <w:iCs/>
        </w:rPr>
        <w:t xml:space="preserve">Wilkoff v. </w:t>
      </w:r>
      <w:r w:rsidRPr="00D84307" w:rsidR="00087411">
        <w:rPr>
          <w:i/>
          <w:iCs/>
        </w:rPr>
        <w:t xml:space="preserve">Superior Court </w:t>
      </w:r>
      <w:r w:rsidRPr="00D84307" w:rsidR="00087411">
        <w:t xml:space="preserve">(1985) 38 Cal.3d 345, </w:t>
      </w:r>
      <w:r w:rsidRPr="00D84307" w:rsidR="00EC0C60">
        <w:t>349−</w:t>
      </w:r>
      <w:r w:rsidRPr="00D84307" w:rsidR="00087411">
        <w:t>351</w:t>
      </w:r>
      <w:r w:rsidRPr="00D84307" w:rsidR="00F91874">
        <w:t xml:space="preserve"> (</w:t>
      </w:r>
      <w:r w:rsidRPr="00D84307" w:rsidR="00F91874">
        <w:rPr>
          <w:i/>
          <w:iCs/>
        </w:rPr>
        <w:t>Wilkoff</w:t>
      </w:r>
      <w:r w:rsidRPr="00D84307" w:rsidR="00F91874">
        <w:t>)</w:t>
      </w:r>
      <w:r w:rsidRPr="00D84307" w:rsidR="007D211A">
        <w:t>;</w:t>
      </w:r>
      <w:r>
        <w:rPr>
          <w:rStyle w:val="FootnoteReference"/>
        </w:rPr>
        <w:footnoteReference w:id="8"/>
      </w:r>
      <w:r w:rsidRPr="00D84307" w:rsidR="007D211A">
        <w:t xml:space="preserve"> </w:t>
      </w:r>
      <w:r w:rsidRPr="00D84307" w:rsidR="007D211A">
        <w:rPr>
          <w:i/>
          <w:iCs/>
        </w:rPr>
        <w:t xml:space="preserve">People v. Walker </w:t>
      </w:r>
      <w:r w:rsidRPr="00D84307" w:rsidR="007D211A">
        <w:t xml:space="preserve">(2014) 231 Cal.App.4th 1270 [applying </w:t>
      </w:r>
      <w:r w:rsidRPr="00D84307" w:rsidR="007D211A">
        <w:rPr>
          <w:i/>
          <w:iCs/>
        </w:rPr>
        <w:t xml:space="preserve">Wilkoff </w:t>
      </w:r>
      <w:r w:rsidRPr="00D84307" w:rsidR="007D211A">
        <w:t>and requiring dismissal of additional counts</w:t>
      </w:r>
      <w:r w:rsidRPr="00D84307" w:rsidR="00B37605">
        <w:t xml:space="preserve"> of DUI causing injury])</w:t>
      </w:r>
      <w:r w:rsidRPr="00D84307" w:rsidR="005A515E">
        <w:t xml:space="preserve">.  </w:t>
      </w:r>
      <w:r w:rsidRPr="00D84307" w:rsidR="00563AB5">
        <w:t>However,</w:t>
      </w:r>
      <w:r w:rsidRPr="00D84307" w:rsidR="00665CEE">
        <w:t xml:space="preserve"> </w:t>
      </w:r>
      <w:r w:rsidRPr="00D84307" w:rsidR="00B46EDA">
        <w:t xml:space="preserve">a defendant may be convicted of multiple </w:t>
      </w:r>
      <w:r w:rsidRPr="00D84307" w:rsidR="00FC1358">
        <w:t xml:space="preserve">counts of vehicular manslaughter </w:t>
      </w:r>
      <w:r w:rsidRPr="00D84307" w:rsidR="00FE4044">
        <w:t>based on a single incident</w:t>
      </w:r>
      <w:r w:rsidRPr="00D84307" w:rsidR="00724DBE">
        <w:t xml:space="preserve"> that results in the deaths of multiple victims</w:t>
      </w:r>
      <w:r w:rsidRPr="00D84307" w:rsidR="00FE4044">
        <w:t>, because</w:t>
      </w:r>
      <w:r w:rsidRPr="00D84307" w:rsidR="001673C0">
        <w:t xml:space="preserve"> </w:t>
      </w:r>
      <w:r w:rsidRPr="00D84307" w:rsidR="005B62C8">
        <w:t>manslaughter</w:t>
      </w:r>
      <w:r w:rsidRPr="00D84307" w:rsidR="001673C0">
        <w:t xml:space="preserve"> is</w:t>
      </w:r>
      <w:r w:rsidRPr="00D84307" w:rsidR="005B62C8">
        <w:t xml:space="preserve"> based on </w:t>
      </w:r>
      <w:r w:rsidRPr="00D84307" w:rsidR="001673C0">
        <w:t>an act of violence against another</w:t>
      </w:r>
      <w:r w:rsidRPr="00D84307" w:rsidR="00213926">
        <w:t xml:space="preserve">, </w:t>
      </w:r>
      <w:r w:rsidRPr="00D84307" w:rsidR="002D1D0B">
        <w:t>and therefore falls under an</w:t>
      </w:r>
      <w:r w:rsidRPr="00D84307" w:rsidR="00213926">
        <w:t xml:space="preserve"> exception to the general rule that a defendant may only be convicted </w:t>
      </w:r>
      <w:r w:rsidRPr="00D84307" w:rsidR="002D1D0B">
        <w:t>of a single crime for a single criminal act</w:t>
      </w:r>
      <w:r w:rsidRPr="00D84307" w:rsidR="001673C0">
        <w:t>.  (</w:t>
      </w:r>
      <w:r w:rsidRPr="00D84307" w:rsidR="001673C0">
        <w:rPr>
          <w:i/>
          <w:iCs/>
        </w:rPr>
        <w:t>Wilkoff</w:t>
      </w:r>
      <w:r w:rsidRPr="00D84307" w:rsidR="001673C0">
        <w:t xml:space="preserve">, at p. </w:t>
      </w:r>
      <w:r w:rsidRPr="00D84307" w:rsidR="00EC6F86">
        <w:t xml:space="preserve">351.)  </w:t>
      </w:r>
    </w:p>
    <w:p w:rsidR="004B7376" w:rsidRPr="00D84307" w:rsidP="00005C04" w14:paraId="1B5827CF" w14:textId="411CA3A0">
      <w:pPr>
        <w:ind w:firstLine="720"/>
      </w:pPr>
      <w:r w:rsidRPr="00D84307">
        <w:t>Applying these same rules to a case in which there are two or more victims in a single accident and at least one is injured but not killed, a defendant may be convicted of one count of vehicular manslaughter as to a first victim that was killed, and one count of DUI causing injury as to a second victim that was injured but not killed.  (</w:t>
      </w:r>
      <w:r w:rsidRPr="00D84307">
        <w:rPr>
          <w:i/>
          <w:iCs/>
        </w:rPr>
        <w:t xml:space="preserve">Wilkoff, supra, </w:t>
      </w:r>
      <w:r w:rsidRPr="00D84307">
        <w:t>38 Cal.3d</w:t>
      </w:r>
      <w:r w:rsidRPr="00D84307" w:rsidR="009C3C0E">
        <w:rPr>
          <w:i/>
          <w:iCs/>
        </w:rPr>
        <w:t xml:space="preserve"> </w:t>
      </w:r>
      <w:r w:rsidRPr="00D84307" w:rsidR="009C3C0E">
        <w:t>at pp. 353−354</w:t>
      </w:r>
      <w:r w:rsidRPr="00D84307">
        <w:t xml:space="preserve">; accord </w:t>
      </w:r>
      <w:r w:rsidRPr="00D84307">
        <w:rPr>
          <w:i/>
          <w:iCs/>
        </w:rPr>
        <w:t>People v. McFarland</w:t>
      </w:r>
      <w:r w:rsidRPr="00D84307">
        <w:t xml:space="preserve"> (1989) 47 Cal.3d 798, 804−805</w:t>
      </w:r>
      <w:r w:rsidRPr="00D84307" w:rsidR="007A7ECF">
        <w:t xml:space="preserve">; </w:t>
      </w:r>
      <w:r w:rsidRPr="00D84307" w:rsidR="007A7ECF">
        <w:rPr>
          <w:i/>
          <w:iCs/>
        </w:rPr>
        <w:t xml:space="preserve">People v. Machuca </w:t>
      </w:r>
      <w:r w:rsidRPr="00D84307" w:rsidR="007A7ECF">
        <w:t>(2020</w:t>
      </w:r>
      <w:r w:rsidRPr="00D84307" w:rsidR="00944751">
        <w:t>)</w:t>
      </w:r>
      <w:r w:rsidRPr="00D84307" w:rsidR="007A7ECF">
        <w:t xml:space="preserve"> </w:t>
      </w:r>
      <w:r w:rsidRPr="00D84307" w:rsidR="00A41DED">
        <w:t>49 Cal.App.5th 393, 397</w:t>
      </w:r>
      <w:r w:rsidRPr="00D84307" w:rsidR="00E35C03">
        <w:t xml:space="preserve"> (</w:t>
      </w:r>
      <w:r w:rsidRPr="00D84307" w:rsidR="00E35C03">
        <w:rPr>
          <w:i/>
          <w:iCs/>
        </w:rPr>
        <w:t>Machuca</w:t>
      </w:r>
      <w:r w:rsidRPr="00D84307" w:rsidR="00E35C03">
        <w:t>)</w:t>
      </w:r>
      <w:r w:rsidRPr="00D84307" w:rsidR="00031532">
        <w:t xml:space="preserve"> [DUI causing injury </w:t>
      </w:r>
      <w:r w:rsidRPr="00D84307" w:rsidR="00F37CAF">
        <w:t>conviction</w:t>
      </w:r>
      <w:r w:rsidRPr="00D84307" w:rsidR="00031532">
        <w:t xml:space="preserve"> was not lesser </w:t>
      </w:r>
      <w:r w:rsidRPr="00D84307" w:rsidR="00F37CAF">
        <w:t>offense to manslaughter where the charges related to different victims]</w:t>
      </w:r>
      <w:r w:rsidRPr="00D84307">
        <w:t xml:space="preserve">.)  </w:t>
      </w:r>
      <w:r w:rsidRPr="00D84307" w:rsidR="00B50DBB">
        <w:t>However,</w:t>
      </w:r>
      <w:r w:rsidRPr="00D84307" w:rsidR="00953EA5">
        <w:t xml:space="preserve"> regardless of whether the defendant was convicted of manslaughter for the death,</w:t>
      </w:r>
      <w:r w:rsidRPr="00D84307" w:rsidR="00B50DBB">
        <w:t xml:space="preserve"> the defendant could only be convicted of a single count of DUI causing injury</w:t>
      </w:r>
      <w:r w:rsidRPr="00D84307" w:rsidR="00953EA5">
        <w:t xml:space="preserve">.  </w:t>
      </w:r>
      <w:r w:rsidRPr="00D84307" w:rsidR="00A04BA8">
        <w:t>Thus, the People assert tha</w:t>
      </w:r>
      <w:r w:rsidRPr="00D84307" w:rsidR="0098014A">
        <w:t>t</w:t>
      </w:r>
      <w:r w:rsidRPr="00D84307" w:rsidR="00BD6B47">
        <w:t xml:space="preserve"> there are scenarios in which a defendant can be convicted of one offense but not the other, and therefore</w:t>
      </w:r>
      <w:r w:rsidRPr="00D84307" w:rsidR="0098014A">
        <w:t xml:space="preserve"> </w:t>
      </w:r>
      <w:r w:rsidRPr="00D84307" w:rsidR="00697523">
        <w:t xml:space="preserve">DUI causing injury is not always a </w:t>
      </w:r>
      <w:r w:rsidRPr="00D84307" w:rsidR="008274C1">
        <w:t xml:space="preserve">necessarily </w:t>
      </w:r>
      <w:r w:rsidRPr="00D84307" w:rsidR="00697523">
        <w:t xml:space="preserve">included offense to </w:t>
      </w:r>
      <w:r w:rsidR="008C2955">
        <w:t>vehicular</w:t>
      </w:r>
      <w:r w:rsidRPr="00D84307" w:rsidR="008C2955">
        <w:t xml:space="preserve"> </w:t>
      </w:r>
      <w:r w:rsidRPr="00D84307" w:rsidR="00697523">
        <w:t>manslaughter while intoxicated</w:t>
      </w:r>
      <w:r w:rsidRPr="00D84307" w:rsidR="00A04BA8">
        <w:t xml:space="preserve">. </w:t>
      </w:r>
    </w:p>
    <w:p w:rsidR="00901280" w:rsidRPr="00D84307" w:rsidP="00F57E45" w14:paraId="1FFBED0B" w14:textId="18C37550">
      <w:pPr>
        <w:ind w:firstLine="720"/>
      </w:pPr>
      <w:r w:rsidRPr="00D84307">
        <w:t xml:space="preserve">The problem with the People’s argument is that </w:t>
      </w:r>
      <w:r w:rsidRPr="00D84307" w:rsidR="004120F0">
        <w:t xml:space="preserve">it </w:t>
      </w:r>
      <w:r w:rsidRPr="00D84307" w:rsidR="00A6452A">
        <w:t>focuses on the</w:t>
      </w:r>
      <w:r w:rsidRPr="00D84307" w:rsidR="00776655">
        <w:t xml:space="preserve"> number of</w:t>
      </w:r>
      <w:r w:rsidRPr="00D84307" w:rsidR="00D855E8">
        <w:t xml:space="preserve"> </w:t>
      </w:r>
      <w:r w:rsidRPr="00D84307" w:rsidR="00A6452A">
        <w:t xml:space="preserve">counts </w:t>
      </w:r>
      <w:r w:rsidRPr="00D84307" w:rsidR="00776655">
        <w:t xml:space="preserve">available </w:t>
      </w:r>
      <w:r w:rsidRPr="00D84307" w:rsidR="00D855E8">
        <w:t xml:space="preserve">for separate victims, </w:t>
      </w:r>
      <w:r w:rsidRPr="00D84307" w:rsidR="00A6452A">
        <w:t>and not the elements of the underlying crime</w:t>
      </w:r>
      <w:r w:rsidRPr="00D84307" w:rsidR="00D855E8">
        <w:t>s as to each</w:t>
      </w:r>
      <w:r w:rsidRPr="00D84307">
        <w:t xml:space="preserve">. </w:t>
      </w:r>
      <w:r w:rsidRPr="00D84307" w:rsidR="00E35C03">
        <w:t xml:space="preserve"> As the court in </w:t>
      </w:r>
      <w:r w:rsidRPr="00D84307" w:rsidR="00E35C03">
        <w:rPr>
          <w:i/>
          <w:iCs/>
        </w:rPr>
        <w:t>Machuca</w:t>
      </w:r>
      <w:r w:rsidRPr="00D84307" w:rsidR="00E35C03">
        <w:t xml:space="preserve"> explained, </w:t>
      </w:r>
      <w:r w:rsidRPr="00D84307" w:rsidR="00BD5FF0">
        <w:t xml:space="preserve">the reasoning in </w:t>
      </w:r>
      <w:r w:rsidRPr="00D84307" w:rsidR="00BD5FF0">
        <w:rPr>
          <w:i/>
          <w:iCs/>
        </w:rPr>
        <w:t xml:space="preserve">Miranda </w:t>
      </w:r>
      <w:r w:rsidRPr="00D84307" w:rsidR="00BD5FF0">
        <w:t xml:space="preserve">and </w:t>
      </w:r>
      <w:r w:rsidRPr="00D84307" w:rsidR="00BD5FF0">
        <w:rPr>
          <w:i/>
          <w:iCs/>
        </w:rPr>
        <w:t>Binkerd</w:t>
      </w:r>
      <w:r w:rsidRPr="00D84307" w:rsidR="00BD5FF0">
        <w:t xml:space="preserve"> does not support the conclusion that</w:t>
      </w:r>
      <w:r w:rsidRPr="00D84307" w:rsidR="0069157D">
        <w:t xml:space="preserve"> DUI causing injury was a </w:t>
      </w:r>
      <w:r w:rsidRPr="00D84307" w:rsidR="00DD3E11">
        <w:t xml:space="preserve">necessarily </w:t>
      </w:r>
      <w:r w:rsidRPr="00D84307" w:rsidR="0069157D">
        <w:t xml:space="preserve">included offense to </w:t>
      </w:r>
      <w:r w:rsidR="008C2955">
        <w:t>vehicular</w:t>
      </w:r>
      <w:r w:rsidRPr="00D84307" w:rsidR="008C2955">
        <w:t xml:space="preserve"> </w:t>
      </w:r>
      <w:r w:rsidRPr="00D84307" w:rsidR="0069157D">
        <w:t>manslaughter</w:t>
      </w:r>
      <w:r w:rsidRPr="00D84307" w:rsidR="00BD5FF0">
        <w:t xml:space="preserve"> </w:t>
      </w:r>
      <w:r w:rsidRPr="00D84307" w:rsidR="0069157D">
        <w:rPr>
          <w:i/>
          <w:iCs/>
        </w:rPr>
        <w:t>for a second victim</w:t>
      </w:r>
      <w:r w:rsidRPr="00D84307" w:rsidR="008D3C29">
        <w:rPr>
          <w:i/>
          <w:iCs/>
        </w:rPr>
        <w:t xml:space="preserve"> in a case in which one victim was killed and one was not</w:t>
      </w:r>
      <w:r w:rsidRPr="00D84307" w:rsidR="004005B6">
        <w:t>, because the</w:t>
      </w:r>
      <w:r w:rsidRPr="00D84307" w:rsidR="009F3A1B">
        <w:t xml:space="preserve"> death of</w:t>
      </w:r>
      <w:r w:rsidRPr="00D84307" w:rsidR="004005B6">
        <w:t xml:space="preserve"> the first victim</w:t>
      </w:r>
      <w:r w:rsidRPr="00D84307" w:rsidR="00D40992">
        <w:t>—and the related manslaughter charge—</w:t>
      </w:r>
      <w:r w:rsidRPr="00D84307" w:rsidR="004005B6">
        <w:t>ha</w:t>
      </w:r>
      <w:r w:rsidRPr="00D84307" w:rsidR="006B2072">
        <w:t>s</w:t>
      </w:r>
      <w:r w:rsidRPr="00D84307" w:rsidR="004005B6">
        <w:t xml:space="preserve"> no bearing on </w:t>
      </w:r>
      <w:r w:rsidRPr="00D84307" w:rsidR="006B2072">
        <w:t xml:space="preserve">the injury to </w:t>
      </w:r>
      <w:r w:rsidRPr="00D84307" w:rsidR="004005B6">
        <w:t>the second victim</w:t>
      </w:r>
      <w:r w:rsidRPr="00D84307" w:rsidR="0069157D">
        <w:t>.</w:t>
      </w:r>
      <w:r w:rsidRPr="00D84307" w:rsidR="004005B6">
        <w:t xml:space="preserve">  (</w:t>
      </w:r>
      <w:r w:rsidRPr="00D84307" w:rsidR="004005B6">
        <w:rPr>
          <w:i/>
          <w:iCs/>
        </w:rPr>
        <w:t>Machuca, supra,</w:t>
      </w:r>
      <w:r w:rsidRPr="00D84307" w:rsidR="00BC03E4">
        <w:t xml:space="preserve"> 49 Cal.App.5th at pp. 400−401.)</w:t>
      </w:r>
      <w:r w:rsidRPr="00D84307" w:rsidR="004005B6">
        <w:rPr>
          <w:i/>
          <w:iCs/>
        </w:rPr>
        <w:t xml:space="preserve"> </w:t>
      </w:r>
      <w:r w:rsidRPr="00D84307" w:rsidR="00A442E3">
        <w:rPr>
          <w:i/>
          <w:iCs/>
        </w:rPr>
        <w:t xml:space="preserve"> </w:t>
      </w:r>
      <w:r w:rsidRPr="00D84307" w:rsidR="00A442E3">
        <w:t xml:space="preserve">In other words, </w:t>
      </w:r>
      <w:r w:rsidRPr="00D84307" w:rsidR="00A97A24">
        <w:t xml:space="preserve">the defendant </w:t>
      </w:r>
      <w:r w:rsidRPr="00D84307" w:rsidR="00A442E3">
        <w:t xml:space="preserve">could have killed the first victim without </w:t>
      </w:r>
      <w:r w:rsidRPr="00D84307" w:rsidR="008A6309">
        <w:t>injuring</w:t>
      </w:r>
      <w:r w:rsidRPr="00D84307" w:rsidR="00A442E3">
        <w:t xml:space="preserve"> the </w:t>
      </w:r>
      <w:r w:rsidRPr="00D84307" w:rsidR="00A77A7F">
        <w:t>second and</w:t>
      </w:r>
      <w:r w:rsidRPr="00D84307" w:rsidR="00A97A24">
        <w:t xml:space="preserve"> </w:t>
      </w:r>
      <w:r w:rsidRPr="00D84307" w:rsidR="00A77A7F">
        <w:t xml:space="preserve">still </w:t>
      </w:r>
      <w:r w:rsidRPr="00D84307" w:rsidR="00A97A24">
        <w:t>would have been guilty of manslaughter</w:t>
      </w:r>
      <w:r w:rsidRPr="00D84307" w:rsidR="00A442E3">
        <w:t xml:space="preserve">.  </w:t>
      </w:r>
      <w:r w:rsidRPr="00D84307" w:rsidR="00DF0827">
        <w:t xml:space="preserve">Thus, the charge of DUI causing injury </w:t>
      </w:r>
      <w:r w:rsidRPr="00D84307" w:rsidR="00DF0827">
        <w:rPr>
          <w:i/>
          <w:iCs/>
        </w:rPr>
        <w:t xml:space="preserve">as to </w:t>
      </w:r>
      <w:r w:rsidRPr="00D84307" w:rsidR="00BB3F97">
        <w:rPr>
          <w:i/>
          <w:iCs/>
        </w:rPr>
        <w:t>a</w:t>
      </w:r>
      <w:r w:rsidRPr="00D84307" w:rsidR="00DF0827">
        <w:rPr>
          <w:i/>
          <w:iCs/>
        </w:rPr>
        <w:t xml:space="preserve"> second victim</w:t>
      </w:r>
      <w:r w:rsidRPr="00D84307" w:rsidR="00DF0827">
        <w:t xml:space="preserve"> </w:t>
      </w:r>
      <w:r w:rsidRPr="00D84307" w:rsidR="00BB3F97">
        <w:t>i</w:t>
      </w:r>
      <w:r w:rsidRPr="00D84307" w:rsidR="00DF0827">
        <w:t xml:space="preserve">s not necessarily included in the charge of homicide </w:t>
      </w:r>
      <w:r w:rsidRPr="00D84307" w:rsidR="00DF0827">
        <w:rPr>
          <w:i/>
          <w:iCs/>
        </w:rPr>
        <w:t xml:space="preserve">as to </w:t>
      </w:r>
      <w:r w:rsidRPr="00D84307" w:rsidR="006E4AF8">
        <w:rPr>
          <w:i/>
          <w:iCs/>
        </w:rPr>
        <w:t>the</w:t>
      </w:r>
      <w:r w:rsidRPr="00D84307" w:rsidR="00DF0827">
        <w:rPr>
          <w:i/>
          <w:iCs/>
        </w:rPr>
        <w:t xml:space="preserve"> first</w:t>
      </w:r>
      <w:r w:rsidRPr="00D84307" w:rsidR="00DF0827">
        <w:t xml:space="preserve">. </w:t>
      </w:r>
      <w:r w:rsidRPr="00D84307" w:rsidR="0069157D">
        <w:t xml:space="preserve"> </w:t>
      </w:r>
      <w:r w:rsidRPr="00D84307" w:rsidR="00E35C03">
        <w:t xml:space="preserve">However, </w:t>
      </w:r>
      <w:r w:rsidRPr="00D84307" w:rsidR="00DF0827">
        <w:t>the fact</w:t>
      </w:r>
      <w:r w:rsidRPr="00D84307" w:rsidR="00E35C03">
        <w:t xml:space="preserve"> remains </w:t>
      </w:r>
      <w:r w:rsidRPr="00D84307" w:rsidR="00DF0827">
        <w:t xml:space="preserve">that, </w:t>
      </w:r>
      <w:r w:rsidRPr="00D84307" w:rsidR="00E35C03">
        <w:t>as to a single victim, a</w:t>
      </w:r>
      <w:r w:rsidRPr="00D84307">
        <w:t xml:space="preserve"> </w:t>
      </w:r>
      <w:r w:rsidRPr="00D84307" w:rsidR="00EC7272">
        <w:t>person cannot commit vehicular manslaughter while intoxicated without also committing DUI causing injury.</w:t>
      </w:r>
      <w:r w:rsidRPr="00D84307" w:rsidR="00BB3F97">
        <w:t xml:space="preserve">  And here, Meno was charged with </w:t>
      </w:r>
      <w:r w:rsidRPr="00D84307" w:rsidR="00637919">
        <w:t xml:space="preserve">one count of vehicular manslaughter as to </w:t>
      </w:r>
      <w:r w:rsidRPr="00D84307" w:rsidR="00637919">
        <w:rPr>
          <w:i/>
          <w:iCs/>
        </w:rPr>
        <w:t>each</w:t>
      </w:r>
      <w:r w:rsidRPr="00D84307" w:rsidR="00637919">
        <w:t xml:space="preserve"> of the victims. </w:t>
      </w:r>
    </w:p>
    <w:p w:rsidR="00CE6F82" w:rsidRPr="00D84307" w:rsidP="00F57E45" w14:paraId="1EC1855B" w14:textId="2D49DEF1">
      <w:pPr>
        <w:ind w:firstLine="720"/>
      </w:pPr>
      <w:r w:rsidRPr="00D84307">
        <w:t xml:space="preserve">Thus, we </w:t>
      </w:r>
      <w:r w:rsidRPr="00D84307" w:rsidR="00104F7F">
        <w:t>agree with the court</w:t>
      </w:r>
      <w:r w:rsidRPr="00D84307" w:rsidR="004C0F63">
        <w:t>s</w:t>
      </w:r>
      <w:r w:rsidRPr="00D84307" w:rsidR="00104F7F">
        <w:t xml:space="preserve"> in </w:t>
      </w:r>
      <w:r w:rsidRPr="00D84307" w:rsidR="004C0F63">
        <w:rPr>
          <w:i/>
          <w:iCs/>
        </w:rPr>
        <w:t>Miranda</w:t>
      </w:r>
      <w:r w:rsidRPr="00D84307" w:rsidR="004C0F63">
        <w:t xml:space="preserve"> and </w:t>
      </w:r>
      <w:r w:rsidRPr="00D84307" w:rsidR="004C0F63">
        <w:rPr>
          <w:i/>
          <w:iCs/>
        </w:rPr>
        <w:t>Binkerd</w:t>
      </w:r>
      <w:r w:rsidRPr="00D84307" w:rsidR="004C0F63">
        <w:t xml:space="preserve"> that</w:t>
      </w:r>
      <w:r w:rsidRPr="00D84307" w:rsidR="009039F0">
        <w:t xml:space="preserve">, focusing on the language of the statutes themselves, </w:t>
      </w:r>
      <w:r w:rsidRPr="00D84307" w:rsidR="002E6AF0">
        <w:t xml:space="preserve">as to a single victim that died, </w:t>
      </w:r>
      <w:r w:rsidRPr="00D84307" w:rsidR="009039F0">
        <w:t xml:space="preserve">DUI causing injury is a necessarily included offense of </w:t>
      </w:r>
      <w:r w:rsidRPr="00D84307" w:rsidR="004862DD">
        <w:t>vehicular manslaughter while intoxicated</w:t>
      </w:r>
      <w:r w:rsidRPr="00D84307" w:rsidR="002E6AF0">
        <w:t xml:space="preserve">.  The same remains true for two individual counts of </w:t>
      </w:r>
      <w:r w:rsidRPr="00D84307" w:rsidR="00015B45">
        <w:t>vehicular manslaughter while intoxicated as to two separate victims.  A</w:t>
      </w:r>
      <w:r w:rsidRPr="00D84307" w:rsidR="004862DD">
        <w:t xml:space="preserve"> defendant may not be convicted of both </w:t>
      </w:r>
      <w:r w:rsidRPr="00D84307" w:rsidR="00457944">
        <w:t xml:space="preserve">manslaughter and DUI causing </w:t>
      </w:r>
      <w:r w:rsidRPr="00D84307" w:rsidR="00DC4F83">
        <w:t>injury</w:t>
      </w:r>
      <w:r w:rsidRPr="00D84307" w:rsidR="00F865AD">
        <w:t xml:space="preserve"> </w:t>
      </w:r>
      <w:r w:rsidRPr="00D84307" w:rsidR="004862DD">
        <w:t xml:space="preserve">based on </w:t>
      </w:r>
      <w:r w:rsidRPr="00D84307" w:rsidR="00015B45">
        <w:t xml:space="preserve">the death of </w:t>
      </w:r>
      <w:r w:rsidRPr="00D84307" w:rsidR="0078472E">
        <w:t xml:space="preserve">a </w:t>
      </w:r>
      <w:r w:rsidRPr="00D84307" w:rsidR="0078472E">
        <w:rPr>
          <w:i/>
          <w:iCs/>
        </w:rPr>
        <w:t xml:space="preserve">single </w:t>
      </w:r>
      <w:r w:rsidRPr="00D84307" w:rsidR="003B19E5">
        <w:t>individual</w:t>
      </w:r>
      <w:r w:rsidRPr="00D84307" w:rsidR="008E392B">
        <w:t xml:space="preserve"> </w:t>
      </w:r>
      <w:r w:rsidRPr="00D84307" w:rsidR="00015B45">
        <w:t>victim</w:t>
      </w:r>
      <w:r w:rsidRPr="00D84307" w:rsidR="003B19E5">
        <w:t xml:space="preserve"> killed</w:t>
      </w:r>
      <w:r w:rsidRPr="00D84307" w:rsidR="00015B45">
        <w:t xml:space="preserve"> </w:t>
      </w:r>
      <w:r w:rsidRPr="00D84307" w:rsidR="004862DD">
        <w:t xml:space="preserve">during a single act of driving.  </w:t>
      </w:r>
      <w:r w:rsidRPr="00D84307" w:rsidR="00B72E64">
        <w:t>But w</w:t>
      </w:r>
      <w:r w:rsidRPr="00D84307" w:rsidR="00DC59C4">
        <w:t xml:space="preserve">here, as here, a second victim also dies, </w:t>
      </w:r>
      <w:r w:rsidRPr="00D84307" w:rsidR="002870FB">
        <w:t>t</w:t>
      </w:r>
      <w:r w:rsidRPr="00D84307" w:rsidR="00C7267E">
        <w:t>he defendant could</w:t>
      </w:r>
      <w:r w:rsidRPr="00D84307" w:rsidR="002870FB">
        <w:t xml:space="preserve"> be convicted of two counts of vehicular manslaughter while intoxicated</w:t>
      </w:r>
      <w:r w:rsidRPr="00D84307" w:rsidR="00B72E64">
        <w:t>, one as to each victim</w:t>
      </w:r>
      <w:r w:rsidRPr="00D84307" w:rsidR="002870FB">
        <w:t xml:space="preserve">; one count of vehicular manslaughter while intoxicated as to one victim and one count of DUI causing injury as to the other; or </w:t>
      </w:r>
      <w:r w:rsidRPr="00D84307" w:rsidR="002870FB">
        <w:rPr>
          <w:i/>
          <w:iCs/>
        </w:rPr>
        <w:t xml:space="preserve">one </w:t>
      </w:r>
      <w:r w:rsidRPr="00D84307" w:rsidR="002870FB">
        <w:t>count of DUI causing injury as to both victims.</w:t>
      </w:r>
      <w:r>
        <w:rPr>
          <w:rStyle w:val="FootnoteReference"/>
        </w:rPr>
        <w:footnoteReference w:id="9"/>
      </w:r>
      <w:r w:rsidRPr="00D84307" w:rsidR="00FC40BF">
        <w:t xml:space="preserve">  A defendant cannot, however, be convicted of two counts of </w:t>
      </w:r>
      <w:r w:rsidR="008C2955">
        <w:t>vehicular</w:t>
      </w:r>
      <w:r w:rsidRPr="00D84307" w:rsidR="008C2955">
        <w:t xml:space="preserve"> </w:t>
      </w:r>
      <w:r w:rsidRPr="00D84307" w:rsidR="00FC40BF">
        <w:t xml:space="preserve">manslaughter while intoxicated, one as to each victim, </w:t>
      </w:r>
      <w:r w:rsidRPr="00D84307" w:rsidR="00FC40BF">
        <w:rPr>
          <w:i/>
          <w:iCs/>
        </w:rPr>
        <w:t>and</w:t>
      </w:r>
      <w:r w:rsidRPr="00D84307" w:rsidR="00FC40BF">
        <w:t xml:space="preserve"> DUI causing injury.</w:t>
      </w:r>
      <w:r w:rsidRPr="00D84307" w:rsidR="00D70905">
        <w:t xml:space="preserve"> </w:t>
      </w:r>
    </w:p>
    <w:p w:rsidR="00637904" w:rsidRPr="00D84307" w:rsidP="00F57E45" w14:paraId="45DA0A97" w14:textId="219F69C8">
      <w:pPr>
        <w:ind w:firstLine="720"/>
      </w:pPr>
      <w:r w:rsidRPr="00D84307">
        <w:t>The differences in</w:t>
      </w:r>
      <w:r w:rsidRPr="00D84307" w:rsidR="00AB7C43">
        <w:t xml:space="preserve"> how </w:t>
      </w:r>
      <w:r w:rsidRPr="00D84307" w:rsidR="003B5FB9">
        <w:t xml:space="preserve">the two separate offenses must be charged in cases with multiple victims preclude them from being neatly presented as “lesser” included offenses in at least some cases. </w:t>
      </w:r>
      <w:r w:rsidRPr="00D84307">
        <w:t xml:space="preserve"> </w:t>
      </w:r>
      <w:r w:rsidRPr="00D84307" w:rsidR="00361A83">
        <w:t>Here, as noted at oral argument, counts 3 and 4 were charged separately from counts 1 and 2, and the jury was not instructed, as they were for the lesser included offenses in counts 1 and 2, to only consider counts 3 and 4 absent a conviction on counts 1 and 2.</w:t>
      </w:r>
      <w:r>
        <w:rPr>
          <w:rStyle w:val="FootnoteReference"/>
        </w:rPr>
        <w:footnoteReference w:id="10"/>
      </w:r>
      <w:r w:rsidRPr="00D84307" w:rsidR="00361A83">
        <w:t xml:space="preserve">  </w:t>
      </w:r>
      <w:r w:rsidRPr="00D84307" w:rsidR="00AB7C43">
        <w:t>Nevertheless</w:t>
      </w:r>
      <w:r w:rsidRPr="00D84307">
        <w:t xml:space="preserve">, the judicially created rule that a defendant may not be convicted of multiple offenses for the same act </w:t>
      </w:r>
      <w:r w:rsidRPr="00D84307" w:rsidR="00235EC6">
        <w:t xml:space="preserve">applies </w:t>
      </w:r>
      <w:r w:rsidRPr="00D84307">
        <w:t xml:space="preserve">where one of the offenses is a necessarily included offense of the other.  (See </w:t>
      </w:r>
      <w:r w:rsidRPr="00D84307">
        <w:rPr>
          <w:i/>
          <w:iCs/>
        </w:rPr>
        <w:t>Sanders</w:t>
      </w:r>
      <w:r w:rsidRPr="00D84307">
        <w:t>, 55 Cal.4th at p. 737.)</w:t>
      </w:r>
      <w:r w:rsidRPr="00D84307" w:rsidR="007E5AD3">
        <w:t xml:space="preserve">  Where a defendant is convicted of both vehicular manslaughter while intoxicated and DUI causing injury </w:t>
      </w:r>
      <w:r w:rsidRPr="00D84307" w:rsidR="007E5AD3">
        <w:rPr>
          <w:i/>
          <w:iCs/>
        </w:rPr>
        <w:t>for the same victim</w:t>
      </w:r>
      <w:r w:rsidRPr="00D84307" w:rsidR="009A45DF">
        <w:rPr>
          <w:i/>
          <w:iCs/>
        </w:rPr>
        <w:t xml:space="preserve"> or </w:t>
      </w:r>
      <w:r w:rsidRPr="00D84307" w:rsidR="00132DAF">
        <w:rPr>
          <w:i/>
          <w:iCs/>
        </w:rPr>
        <w:t xml:space="preserve">set of </w:t>
      </w:r>
      <w:r w:rsidRPr="00D84307" w:rsidR="009A45DF">
        <w:rPr>
          <w:i/>
          <w:iCs/>
        </w:rPr>
        <w:t>victims</w:t>
      </w:r>
      <w:r w:rsidRPr="00D84307" w:rsidR="007E5AD3">
        <w:t xml:space="preserve">, one of the convictions must </w:t>
      </w:r>
      <w:r w:rsidRPr="00D84307" w:rsidR="001E56E4">
        <w:t>be vacated</w:t>
      </w:r>
      <w:r w:rsidRPr="00D84307" w:rsidR="007E5AD3">
        <w:t xml:space="preserve">. </w:t>
      </w:r>
      <w:r w:rsidRPr="00D84307">
        <w:t xml:space="preserve">  </w:t>
      </w:r>
    </w:p>
    <w:p w:rsidR="00BB72D2" w:rsidRPr="00D84307" w:rsidP="009F4E04" w14:paraId="0125BD0B" w14:textId="0B49BBA8">
      <w:pPr>
        <w:pStyle w:val="Heading3"/>
      </w:pPr>
      <w:r w:rsidRPr="00D84307">
        <w:t>B.</w:t>
      </w:r>
      <w:r w:rsidRPr="00D84307" w:rsidR="009F4E04">
        <w:tab/>
      </w:r>
      <w:r w:rsidRPr="00D84307">
        <w:rPr>
          <w:i/>
          <w:iCs/>
        </w:rPr>
        <w:t xml:space="preserve">The Trial Court Was Not Required to Vacate the Convictions </w:t>
      </w:r>
      <w:r w:rsidRPr="00D84307" w:rsidR="0038493C">
        <w:rPr>
          <w:i/>
          <w:iCs/>
        </w:rPr>
        <w:t xml:space="preserve">in Counts 3 and 4 </w:t>
      </w:r>
      <w:r w:rsidRPr="00D84307">
        <w:rPr>
          <w:i/>
          <w:iCs/>
        </w:rPr>
        <w:t>for DUI Causing Injury</w:t>
      </w:r>
    </w:p>
    <w:p w:rsidR="00624BD6" w:rsidRPr="00D84307" w:rsidP="006D05AD" w14:paraId="1FD1FF54" w14:textId="6B0DF6E3">
      <w:pPr>
        <w:ind w:firstLine="720"/>
      </w:pPr>
      <w:r w:rsidRPr="00D84307">
        <w:t xml:space="preserve">This leads us to the second inquiry raised by the parties; </w:t>
      </w:r>
      <w:r w:rsidRPr="00D84307" w:rsidR="00684DA4">
        <w:t>in a case</w:t>
      </w:r>
      <w:r w:rsidRPr="00D84307" w:rsidR="0038493C">
        <w:t xml:space="preserve"> where there are two </w:t>
      </w:r>
      <w:r w:rsidRPr="00D84307" w:rsidR="00681152">
        <w:t xml:space="preserve">deceased </w:t>
      </w:r>
      <w:r w:rsidRPr="00D84307" w:rsidR="0038493C">
        <w:t>victims</w:t>
      </w:r>
      <w:r w:rsidRPr="00D84307" w:rsidR="00684DA4">
        <w:t>,</w:t>
      </w:r>
      <w:r w:rsidRPr="00D84307" w:rsidR="002A1969">
        <w:t xml:space="preserve"> and two convictions for </w:t>
      </w:r>
      <w:r w:rsidR="008C2955">
        <w:t>vehicular</w:t>
      </w:r>
      <w:r w:rsidRPr="00D84307" w:rsidR="008C2955">
        <w:t xml:space="preserve"> </w:t>
      </w:r>
      <w:r w:rsidRPr="00D84307" w:rsidR="002A1969">
        <w:t>manslaughter,</w:t>
      </w:r>
      <w:r w:rsidRPr="00D84307" w:rsidR="00684DA4">
        <w:t xml:space="preserve"> must the trial court vacate </w:t>
      </w:r>
      <w:r w:rsidRPr="00D84307" w:rsidR="006C0EE8">
        <w:t>a third</w:t>
      </w:r>
      <w:r w:rsidRPr="00D84307" w:rsidR="00684DA4">
        <w:t xml:space="preserve"> conviction for DUI causing injury, as </w:t>
      </w:r>
      <w:r w:rsidRPr="00D84307" w:rsidR="006C0EE8">
        <w:t>a</w:t>
      </w:r>
      <w:r w:rsidRPr="00D84307" w:rsidR="00684DA4">
        <w:t xml:space="preserve"> </w:t>
      </w:r>
      <w:r w:rsidRPr="00D84307" w:rsidR="00681152">
        <w:t>necessarily “</w:t>
      </w:r>
      <w:r w:rsidRPr="00D84307" w:rsidR="00684DA4">
        <w:t>lesser</w:t>
      </w:r>
      <w:r w:rsidRPr="00D84307" w:rsidR="00681152">
        <w:t>”</w:t>
      </w:r>
      <w:r w:rsidRPr="00D84307" w:rsidR="00684DA4">
        <w:t xml:space="preserve"> included offense</w:t>
      </w:r>
      <w:r w:rsidRPr="00D84307" w:rsidR="006C0EE8">
        <w:t xml:space="preserve"> in the two</w:t>
      </w:r>
      <w:r w:rsidRPr="00D84307" w:rsidR="002C1013">
        <w:t xml:space="preserve"> vehicular</w:t>
      </w:r>
      <w:r w:rsidRPr="00D84307" w:rsidR="006C0EE8">
        <w:t xml:space="preserve"> manslaughter convictions</w:t>
      </w:r>
      <w:r w:rsidRPr="00D84307" w:rsidR="00684DA4">
        <w:t xml:space="preserve">, or may it choose to instead vacate the </w:t>
      </w:r>
      <w:r w:rsidRPr="00D84307" w:rsidR="00A30896">
        <w:t xml:space="preserve">vehicular manslaughter </w:t>
      </w:r>
      <w:r w:rsidRPr="00D84307" w:rsidR="006D05AD">
        <w:t>convictions</w:t>
      </w:r>
      <w:r w:rsidRPr="00D84307" w:rsidR="0038493C">
        <w:t>?</w:t>
      </w:r>
      <w:r w:rsidRPr="00D84307" w:rsidR="006D05AD">
        <w:t xml:space="preserve">  </w:t>
      </w:r>
    </w:p>
    <w:p w:rsidR="00A147F0" w:rsidRPr="00D84307" w:rsidP="002A7882" w14:paraId="563CF310" w14:textId="21D80CF5">
      <w:pPr>
        <w:ind w:firstLine="720"/>
      </w:pPr>
      <w:r w:rsidRPr="00D84307">
        <w:t xml:space="preserve">As discussed, </w:t>
      </w:r>
      <w:r w:rsidRPr="00D84307">
        <w:rPr>
          <w:i/>
          <w:iCs/>
        </w:rPr>
        <w:t xml:space="preserve">ante, </w:t>
      </w:r>
      <w:r w:rsidRPr="00D84307" w:rsidR="009248F7">
        <w:t xml:space="preserve">many of </w:t>
      </w:r>
      <w:r w:rsidRPr="00D84307">
        <w:t xml:space="preserve">the </w:t>
      </w:r>
      <w:r w:rsidRPr="00D84307" w:rsidR="009248F7">
        <w:t xml:space="preserve">prior </w:t>
      </w:r>
      <w:r w:rsidRPr="00D84307">
        <w:t xml:space="preserve">cases address slightly different scenarios.  </w:t>
      </w:r>
      <w:r w:rsidRPr="00D84307" w:rsidR="000052CD">
        <w:t xml:space="preserve">In </w:t>
      </w:r>
      <w:r w:rsidRPr="00D84307" w:rsidR="000052CD">
        <w:rPr>
          <w:i/>
          <w:iCs/>
        </w:rPr>
        <w:t>Miranda</w:t>
      </w:r>
      <w:r w:rsidRPr="00D84307" w:rsidR="000052CD">
        <w:t>, the trial court imposed a greater sentence</w:t>
      </w:r>
      <w:r w:rsidRPr="00D84307" w:rsidR="00EE7940">
        <w:t xml:space="preserve"> for the violation of section 191.5, subdivision (a)—</w:t>
      </w:r>
      <w:r w:rsidRPr="00D84307" w:rsidR="0058134C">
        <w:t>seven</w:t>
      </w:r>
      <w:r w:rsidRPr="00D84307" w:rsidR="00EE7940">
        <w:t xml:space="preserve"> years, including a base term of </w:t>
      </w:r>
      <w:r w:rsidRPr="00D84307" w:rsidR="0058134C">
        <w:t>six</w:t>
      </w:r>
      <w:r w:rsidRPr="00D84307" w:rsidR="00EE7940">
        <w:t xml:space="preserve"> years</w:t>
      </w:r>
      <w:r w:rsidRPr="00D84307" w:rsidR="000D6E36">
        <w:t xml:space="preserve">, enhancement by one year for injury to </w:t>
      </w:r>
      <w:r w:rsidRPr="00D84307" w:rsidR="009E4B61">
        <w:t>a second victim</w:t>
      </w:r>
      <w:r w:rsidRPr="00D84307" w:rsidR="00EE7940">
        <w:t xml:space="preserve">—than for </w:t>
      </w:r>
      <w:r w:rsidRPr="00D84307" w:rsidR="00506A96">
        <w:t>Vehicle Code section 23153, subdivision (a)—</w:t>
      </w:r>
      <w:r w:rsidRPr="00D84307" w:rsidR="0058134C">
        <w:t>four</w:t>
      </w:r>
      <w:r w:rsidRPr="00D84307" w:rsidR="00506A96">
        <w:t xml:space="preserve"> years, including a base term of </w:t>
      </w:r>
      <w:r w:rsidRPr="00D84307" w:rsidR="000D6E36">
        <w:t>three years, enhanced by one year.</w:t>
      </w:r>
      <w:r w:rsidRPr="00D84307" w:rsidR="009E4B61">
        <w:t xml:space="preserve">  (</w:t>
      </w:r>
      <w:r w:rsidRPr="00D84307" w:rsidR="009E4B61">
        <w:rPr>
          <w:i/>
          <w:iCs/>
        </w:rPr>
        <w:t xml:space="preserve">Miranda, supra, </w:t>
      </w:r>
      <w:r w:rsidRPr="00D84307" w:rsidR="009E4B61">
        <w:t>21 Cal.App.4th at p.</w:t>
      </w:r>
      <w:r w:rsidRPr="00D84307" w:rsidR="00186A57">
        <w:t> </w:t>
      </w:r>
      <w:r w:rsidRPr="00D84307" w:rsidR="009E4B61">
        <w:t xml:space="preserve">1466.)  </w:t>
      </w:r>
      <w:r w:rsidRPr="00D84307" w:rsidR="000D5778">
        <w:t xml:space="preserve">The appellate court </w:t>
      </w:r>
      <w:r w:rsidRPr="00D84307" w:rsidR="000A1C7E">
        <w:t>reversed the conviction</w:t>
      </w:r>
      <w:r w:rsidRPr="00D84307" w:rsidR="000D5778">
        <w:t xml:space="preserve"> on the latter count</w:t>
      </w:r>
      <w:r w:rsidRPr="00D84307" w:rsidR="00E3190F">
        <w:t>,</w:t>
      </w:r>
      <w:r w:rsidRPr="00D84307" w:rsidR="009B4038">
        <w:t xml:space="preserve"> which carried</w:t>
      </w:r>
      <w:r w:rsidRPr="00D84307" w:rsidR="00E3190F">
        <w:t xml:space="preserve"> the lesser sentence,</w:t>
      </w:r>
      <w:r w:rsidRPr="00D84307" w:rsidR="000D5778">
        <w:t xml:space="preserve"> and, thus, there was no need</w:t>
      </w:r>
      <w:r w:rsidRPr="00D84307" w:rsidR="000A1C7E">
        <w:t xml:space="preserve"> for the court</w:t>
      </w:r>
      <w:r w:rsidRPr="00D84307" w:rsidR="000D5778">
        <w:t xml:space="preserve"> to consider </w:t>
      </w:r>
      <w:r w:rsidRPr="00D84307" w:rsidR="001C51C7">
        <w:t>the issue now before us</w:t>
      </w:r>
      <w:r w:rsidRPr="00D84307" w:rsidR="0095301E">
        <w:t xml:space="preserve">; namely, whether the </w:t>
      </w:r>
      <w:r w:rsidRPr="00D84307" w:rsidR="00D76285">
        <w:t xml:space="preserve">trial </w:t>
      </w:r>
      <w:r w:rsidRPr="00D84307" w:rsidR="0095301E">
        <w:t xml:space="preserve">court may choose to vacate </w:t>
      </w:r>
      <w:r w:rsidRPr="00D84307" w:rsidR="00D76285">
        <w:t xml:space="preserve">the </w:t>
      </w:r>
      <w:r w:rsidRPr="00D84307" w:rsidR="00F705A6">
        <w:t>greater</w:t>
      </w:r>
      <w:r w:rsidRPr="00D84307" w:rsidR="009B4038">
        <w:t xml:space="preserve"> or primary</w:t>
      </w:r>
      <w:r w:rsidRPr="00D84307" w:rsidR="00D76285">
        <w:t xml:space="preserve"> offense, rather than the necessarily included offense, when the latter carries a lengthier sentence</w:t>
      </w:r>
      <w:r w:rsidRPr="00D84307" w:rsidR="000D5778">
        <w:t>.</w:t>
      </w:r>
    </w:p>
    <w:p w:rsidR="009D624F" w:rsidRPr="00D84307" w:rsidP="00FC3E90" w14:paraId="7B457EF8" w14:textId="0AE533E4">
      <w:pPr>
        <w:ind w:firstLine="720"/>
      </w:pPr>
      <w:r w:rsidRPr="00D84307">
        <w:t xml:space="preserve">In </w:t>
      </w:r>
      <w:r w:rsidRPr="00D84307">
        <w:rPr>
          <w:i/>
          <w:iCs/>
        </w:rPr>
        <w:t>Vazquez</w:t>
      </w:r>
      <w:r w:rsidRPr="00D84307">
        <w:t>, t</w:t>
      </w:r>
      <w:r w:rsidRPr="00D84307" w:rsidR="00A2437A">
        <w:t>he court addressed a similar question</w:t>
      </w:r>
      <w:r w:rsidRPr="00D84307" w:rsidR="006C7D8A">
        <w:t xml:space="preserve"> as the one raised here</w:t>
      </w:r>
      <w:r w:rsidRPr="00D84307" w:rsidR="00A2437A">
        <w:t xml:space="preserve"> </w:t>
      </w:r>
      <w:r w:rsidRPr="00D84307" w:rsidR="00BB72D2">
        <w:t xml:space="preserve">but in the context of different </w:t>
      </w:r>
      <w:r w:rsidRPr="00D84307" w:rsidR="00F42E10">
        <w:t xml:space="preserve">underlying </w:t>
      </w:r>
      <w:r w:rsidRPr="00D84307" w:rsidR="00BB72D2">
        <w:t xml:space="preserve">offenses.  (See </w:t>
      </w:r>
      <w:r w:rsidRPr="00D84307" w:rsidR="00BB72D2">
        <w:rPr>
          <w:i/>
          <w:iCs/>
        </w:rPr>
        <w:t>Va</w:t>
      </w:r>
      <w:r w:rsidRPr="00D84307" w:rsidR="00E60224">
        <w:rPr>
          <w:i/>
          <w:iCs/>
        </w:rPr>
        <w:t>zquez</w:t>
      </w:r>
      <w:r w:rsidRPr="00D84307" w:rsidR="00BB72D2">
        <w:rPr>
          <w:i/>
          <w:iCs/>
        </w:rPr>
        <w:t xml:space="preserve">, supra, </w:t>
      </w:r>
      <w:r w:rsidRPr="00D84307" w:rsidR="00033167">
        <w:t>63 Cal.App.5</w:t>
      </w:r>
      <w:r w:rsidRPr="00D84307" w:rsidR="0094493E">
        <w:t>th</w:t>
      </w:r>
      <w:r w:rsidRPr="00D84307" w:rsidR="00BB72D2">
        <w:t xml:space="preserve"> at p. 113.)</w:t>
      </w:r>
      <w:r w:rsidRPr="00D84307" w:rsidR="00A2437A">
        <w:t xml:space="preserve">  Vazquez was convicted of </w:t>
      </w:r>
      <w:r w:rsidRPr="00D84307" w:rsidR="00444201">
        <w:t>both rape and aggravated sexual assault of a minor by means of rape.  (</w:t>
      </w:r>
      <w:r w:rsidRPr="00D84307" w:rsidR="00444201">
        <w:rPr>
          <w:i/>
          <w:iCs/>
        </w:rPr>
        <w:t>I</w:t>
      </w:r>
      <w:r w:rsidRPr="00D84307" w:rsidR="00BB72D2">
        <w:rPr>
          <w:i/>
          <w:iCs/>
        </w:rPr>
        <w:t>bi</w:t>
      </w:r>
      <w:r w:rsidRPr="00D84307" w:rsidR="00444201">
        <w:rPr>
          <w:i/>
          <w:iCs/>
        </w:rPr>
        <w:t>d</w:t>
      </w:r>
      <w:r w:rsidRPr="00D84307" w:rsidR="00444201">
        <w:t>.)</w:t>
      </w:r>
      <w:r w:rsidRPr="00D84307" w:rsidR="00281FD2">
        <w:t xml:space="preserve">  The trial court sentenced </w:t>
      </w:r>
      <w:r w:rsidRPr="00D84307" w:rsidR="00DD07CB">
        <w:t>Vazquez</w:t>
      </w:r>
      <w:r w:rsidRPr="00D84307" w:rsidR="00281FD2">
        <w:t xml:space="preserve"> to a term of 25 years to life on the rape </w:t>
      </w:r>
      <w:r w:rsidRPr="00D84307" w:rsidR="004F432B">
        <w:t>count and</w:t>
      </w:r>
      <w:r w:rsidRPr="00D84307" w:rsidR="00281FD2">
        <w:t xml:space="preserve"> imposed but stayed a term of 15 years to life on the aggravated assault count.  (</w:t>
      </w:r>
      <w:r w:rsidRPr="00D84307" w:rsidR="00281FD2">
        <w:rPr>
          <w:i/>
          <w:iCs/>
        </w:rPr>
        <w:t>Ibid</w:t>
      </w:r>
      <w:r w:rsidRPr="00D84307" w:rsidR="00281FD2">
        <w:t xml:space="preserve">.)  </w:t>
      </w:r>
      <w:r w:rsidRPr="00D84307" w:rsidR="00B56E60">
        <w:t>T</w:t>
      </w:r>
      <w:r w:rsidRPr="00D84307" w:rsidR="00571197">
        <w:t>he</w:t>
      </w:r>
      <w:r w:rsidRPr="00D84307" w:rsidR="009E183E">
        <w:t xml:space="preserve"> parties and the court agreed </w:t>
      </w:r>
      <w:r w:rsidRPr="00D84307" w:rsidR="00F921C7">
        <w:t xml:space="preserve">that </w:t>
      </w:r>
      <w:r w:rsidRPr="00D84307" w:rsidR="004F432B">
        <w:t xml:space="preserve">rape was a necessarily included offense of aggravated sexual assault by means of rape, </w:t>
      </w:r>
      <w:r w:rsidRPr="00D84307" w:rsidR="00F16692">
        <w:t>but</w:t>
      </w:r>
      <w:r w:rsidRPr="00D84307" w:rsidR="00DD6F07">
        <w:t xml:space="preserve"> that </w:t>
      </w:r>
      <w:r w:rsidRPr="00D84307" w:rsidR="00884AF1">
        <w:t>the aggravated sexual assault conviction should be vacated</w:t>
      </w:r>
      <w:r w:rsidRPr="00D84307" w:rsidR="003835B2">
        <w:t xml:space="preserve"> </w:t>
      </w:r>
      <w:r w:rsidRPr="00D84307" w:rsidR="00884AF1">
        <w:t>because the rape conviction carried a longer prison term.  (</w:t>
      </w:r>
      <w:r w:rsidRPr="00D84307" w:rsidR="00884AF1">
        <w:rPr>
          <w:i/>
          <w:iCs/>
        </w:rPr>
        <w:t>Ibid</w:t>
      </w:r>
      <w:r w:rsidRPr="00D84307" w:rsidR="00884AF1">
        <w:t xml:space="preserve">.)  </w:t>
      </w:r>
    </w:p>
    <w:p w:rsidR="001811AF" w:rsidRPr="00D84307" w:rsidP="001B1FF3" w14:paraId="3424E3A2" w14:textId="6096CA12">
      <w:pPr>
        <w:ind w:firstLine="720"/>
      </w:pPr>
      <w:r w:rsidRPr="00D84307">
        <w:t xml:space="preserve">The </w:t>
      </w:r>
      <w:r w:rsidRPr="00D84307" w:rsidR="00C43E33">
        <w:t xml:space="preserve">appellate </w:t>
      </w:r>
      <w:r w:rsidRPr="00D84307">
        <w:t>court explained that</w:t>
      </w:r>
      <w:r w:rsidRPr="00D84307" w:rsidR="00A27B38">
        <w:t xml:space="preserve"> </w:t>
      </w:r>
      <w:r w:rsidRPr="00D84307" w:rsidR="00DA1C5E">
        <w:t>“</w:t>
      </w:r>
      <w:r w:rsidRPr="00D84307" w:rsidR="00544559">
        <w:t>the general</w:t>
      </w:r>
      <w:r w:rsidRPr="00D84307" w:rsidR="00DA1C5E">
        <w:t>ly understood</w:t>
      </w:r>
      <w:r w:rsidRPr="00D84307" w:rsidR="00544559">
        <w:t xml:space="preserve"> rule is that</w:t>
      </w:r>
      <w:r w:rsidRPr="00D84307" w:rsidR="00DA1C5E">
        <w:t xml:space="preserve"> appellate</w:t>
      </w:r>
      <w:r w:rsidRPr="00D84307" w:rsidR="00544559">
        <w:t xml:space="preserve"> court</w:t>
      </w:r>
      <w:r w:rsidRPr="00D84307" w:rsidR="00066B14">
        <w:t>s</w:t>
      </w:r>
      <w:r w:rsidRPr="00D84307" w:rsidR="00544559">
        <w:t xml:space="preserve"> should</w:t>
      </w:r>
      <w:r w:rsidRPr="00D84307" w:rsidR="006748A7">
        <w:t xml:space="preserve"> </w:t>
      </w:r>
      <w:r w:rsidRPr="00D84307" w:rsidR="00FC3E90">
        <w:t>‘reverse the conviction for the included offense and direct the entry of a dismissal of the less serious crime</w:t>
      </w:r>
      <w:r w:rsidRPr="00D84307" w:rsidR="006748A7">
        <w:t>,’ </w:t>
      </w:r>
      <w:r w:rsidRPr="00D84307" w:rsidR="00FC3E90">
        <w:t>”</w:t>
      </w:r>
      <w:r w:rsidRPr="00D84307" w:rsidR="006748A7">
        <w:t xml:space="preserve"> </w:t>
      </w:r>
      <w:r w:rsidRPr="00D84307" w:rsidR="008D223B">
        <w:t xml:space="preserve">but that </w:t>
      </w:r>
      <w:r w:rsidRPr="00D84307" w:rsidR="006748A7">
        <w:t>the</w:t>
      </w:r>
      <w:r w:rsidRPr="00D84307" w:rsidR="008D223B">
        <w:t xml:space="preserve"> </w:t>
      </w:r>
      <w:r w:rsidRPr="00D84307" w:rsidR="006748A7">
        <w:t>included offense is also “usually the ‘less serious crime,’ meaning it carries lesser punishment.</w:t>
      </w:r>
      <w:r w:rsidRPr="00D84307" w:rsidR="00D7313C">
        <w:t>”</w:t>
      </w:r>
      <w:r w:rsidRPr="00D84307" w:rsidR="006748A7">
        <w:t xml:space="preserve">  (</w:t>
      </w:r>
      <w:r w:rsidRPr="00D84307" w:rsidR="00066B14">
        <w:rPr>
          <w:i/>
          <w:iCs/>
        </w:rPr>
        <w:t xml:space="preserve">Vazquez, supra, </w:t>
      </w:r>
      <w:r w:rsidRPr="00D84307" w:rsidR="00066B14">
        <w:t xml:space="preserve">63 Cal.App.5th at p. </w:t>
      </w:r>
      <w:r w:rsidRPr="00D84307" w:rsidR="006748A7">
        <w:t xml:space="preserve">115.)  </w:t>
      </w:r>
      <w:r w:rsidRPr="00D84307" w:rsidR="00D90B22">
        <w:t xml:space="preserve">Because the rape count in </w:t>
      </w:r>
      <w:r w:rsidRPr="00D84307" w:rsidR="00D90B22">
        <w:rPr>
          <w:i/>
          <w:iCs/>
        </w:rPr>
        <w:t>Vazquez</w:t>
      </w:r>
      <w:r w:rsidRPr="00D84307" w:rsidR="00D90B22">
        <w:t xml:space="preserve"> carried a longer sentence, f</w:t>
      </w:r>
      <w:r w:rsidRPr="00D84307" w:rsidR="00175EC9">
        <w:t>ollowing the general rule</w:t>
      </w:r>
      <w:r w:rsidRPr="00D84307" w:rsidR="00D90B22">
        <w:t xml:space="preserve"> there</w:t>
      </w:r>
      <w:r w:rsidRPr="00D84307" w:rsidR="00175EC9">
        <w:rPr>
          <w:i/>
          <w:iCs/>
        </w:rPr>
        <w:t xml:space="preserve"> </w:t>
      </w:r>
      <w:r w:rsidRPr="00D84307" w:rsidR="00C83B7D">
        <w:t>“would result in an anomalous oddity</w:t>
      </w:r>
      <w:r w:rsidRPr="00D84307" w:rsidR="003C6D8C">
        <w:t>.</w:t>
      </w:r>
      <w:r w:rsidRPr="00D84307" w:rsidR="00DC2D54">
        <w:t xml:space="preserve">” </w:t>
      </w:r>
      <w:r w:rsidRPr="00D84307" w:rsidR="00C83B7D">
        <w:t xml:space="preserve"> (</w:t>
      </w:r>
      <w:r w:rsidRPr="00D84307" w:rsidR="009D624F">
        <w:rPr>
          <w:i/>
          <w:iCs/>
        </w:rPr>
        <w:t>Vazquez,</w:t>
      </w:r>
      <w:r w:rsidRPr="00D84307" w:rsidR="00C83B7D">
        <w:t xml:space="preserve"> at p. 11</w:t>
      </w:r>
      <w:r w:rsidRPr="00D84307" w:rsidR="00B13D3D">
        <w:t>4</w:t>
      </w:r>
      <w:r w:rsidRPr="00D84307" w:rsidR="00C83B7D">
        <w:t>.)</w:t>
      </w:r>
      <w:r w:rsidRPr="00D84307" w:rsidR="009D624F">
        <w:t xml:space="preserve">  </w:t>
      </w:r>
      <w:r w:rsidRPr="00D84307" w:rsidR="00722A55">
        <w:t>Wishing to avoid such an anomaly, the court</w:t>
      </w:r>
      <w:r w:rsidRPr="00D84307" w:rsidR="009D624F">
        <w:t xml:space="preserve"> </w:t>
      </w:r>
      <w:r w:rsidRPr="00D84307" w:rsidR="00722A55">
        <w:t xml:space="preserve">concluded that the appropriate remedy would be to vacate the </w:t>
      </w:r>
      <w:r w:rsidRPr="00D84307" w:rsidR="00054E07">
        <w:t>aggravated assault conviction.  (</w:t>
      </w:r>
      <w:r w:rsidRPr="00D84307" w:rsidR="009D624F">
        <w:rPr>
          <w:i/>
          <w:iCs/>
        </w:rPr>
        <w:t>Id</w:t>
      </w:r>
      <w:r w:rsidRPr="00D84307" w:rsidR="009D624F">
        <w:t>.</w:t>
      </w:r>
      <w:r w:rsidRPr="00D84307" w:rsidR="00054E07">
        <w:t xml:space="preserve"> at p. </w:t>
      </w:r>
      <w:r w:rsidRPr="00D84307" w:rsidR="00D15F87">
        <w:t xml:space="preserve">115.)  </w:t>
      </w:r>
    </w:p>
    <w:p w:rsidR="00AD1C0C" w:rsidRPr="00D84307" w:rsidP="001B1FF3" w14:paraId="063D9B4A" w14:textId="13D310A0">
      <w:pPr>
        <w:ind w:firstLine="720"/>
      </w:pPr>
      <w:r w:rsidRPr="00D84307">
        <w:t xml:space="preserve">The court </w:t>
      </w:r>
      <w:r w:rsidRPr="00D84307" w:rsidR="00C92BDA">
        <w:t xml:space="preserve">in </w:t>
      </w:r>
      <w:r w:rsidRPr="00D84307" w:rsidR="00C92BDA">
        <w:rPr>
          <w:i/>
          <w:iCs/>
        </w:rPr>
        <w:t xml:space="preserve">Vazquez </w:t>
      </w:r>
      <w:r w:rsidRPr="00D84307">
        <w:t>relied on “[t]wo basic legal principles combine to justify this remedy</w:t>
      </w:r>
      <w:r w:rsidRPr="00D84307" w:rsidR="009B7703">
        <w:t>.”  (</w:t>
      </w:r>
      <w:r w:rsidRPr="00D84307" w:rsidR="001811AF">
        <w:rPr>
          <w:i/>
          <w:iCs/>
        </w:rPr>
        <w:t xml:space="preserve">Vazquez, supra, </w:t>
      </w:r>
      <w:r w:rsidRPr="00D84307" w:rsidR="001811AF">
        <w:t>63 Cal.App.5th</w:t>
      </w:r>
      <w:r w:rsidRPr="00D84307" w:rsidR="001811AF">
        <w:rPr>
          <w:i/>
          <w:iCs/>
        </w:rPr>
        <w:t>.</w:t>
      </w:r>
      <w:r w:rsidRPr="00D84307" w:rsidR="001811AF">
        <w:t xml:space="preserve"> at p. 115</w:t>
      </w:r>
      <w:r w:rsidRPr="00D84307" w:rsidR="009B7703">
        <w:t>.)  First,</w:t>
      </w:r>
      <w:r w:rsidRPr="00D84307" w:rsidR="00C92BDA">
        <w:t xml:space="preserve"> at the time,</w:t>
      </w:r>
      <w:r w:rsidRPr="00D84307" w:rsidR="009B7703">
        <w:t xml:space="preserve"> section 654 </w:t>
      </w:r>
      <w:r w:rsidRPr="00D84307" w:rsidR="007956B2">
        <w:t xml:space="preserve">provided, </w:t>
      </w:r>
      <w:r w:rsidRPr="00D84307" w:rsidR="003332C9">
        <w:t>“ ‘[a]n act or omission that is punishable in different ways by different provisions of law shall be punished under the provision that provides for the longest potential term of imprisonment.”  (</w:t>
      </w:r>
      <w:r w:rsidRPr="00D84307" w:rsidR="003332C9">
        <w:rPr>
          <w:i/>
          <w:iCs/>
        </w:rPr>
        <w:t>Vazquez,</w:t>
      </w:r>
      <w:r w:rsidRPr="00D84307" w:rsidR="00FD0C70">
        <w:rPr>
          <w:i/>
          <w:iCs/>
        </w:rPr>
        <w:t xml:space="preserve"> </w:t>
      </w:r>
      <w:r w:rsidRPr="00D84307" w:rsidR="003332C9">
        <w:t xml:space="preserve">at p. 115.)  </w:t>
      </w:r>
      <w:r w:rsidRPr="00D84307" w:rsidR="00495A17">
        <w:t xml:space="preserve">Second, </w:t>
      </w:r>
      <w:r w:rsidRPr="00D84307" w:rsidR="006B21DF">
        <w:t>while</w:t>
      </w:r>
      <w:r w:rsidRPr="00D84307" w:rsidR="002F69DE">
        <w:t xml:space="preserve"> the California Supreme Court ha</w:t>
      </w:r>
      <w:r w:rsidRPr="00D84307" w:rsidR="00E73FBD">
        <w:t>d</w:t>
      </w:r>
      <w:r w:rsidRPr="00D84307" w:rsidR="002F69DE">
        <w:t xml:space="preserve"> clearly proscribed allowing </w:t>
      </w:r>
      <w:r w:rsidRPr="00D84307" w:rsidR="0029598E">
        <w:t>convictions</w:t>
      </w:r>
      <w:r w:rsidRPr="00D84307" w:rsidR="00903001">
        <w:t xml:space="preserve"> </w:t>
      </w:r>
      <w:r w:rsidRPr="00D84307" w:rsidR="0029598E">
        <w:t>on both a greater offense and</w:t>
      </w:r>
      <w:r w:rsidRPr="00D84307" w:rsidR="001F2971">
        <w:t xml:space="preserve"> a</w:t>
      </w:r>
      <w:r w:rsidRPr="00D84307" w:rsidR="0029598E">
        <w:t xml:space="preserve"> necessarily included offense</w:t>
      </w:r>
      <w:r w:rsidRPr="00D84307" w:rsidR="002F69DE">
        <w:t>,</w:t>
      </w:r>
      <w:r w:rsidRPr="00D84307" w:rsidR="00E7660A">
        <w:t xml:space="preserve"> </w:t>
      </w:r>
      <w:r w:rsidRPr="00D84307" w:rsidR="00084156">
        <w:t xml:space="preserve">the court could find </w:t>
      </w:r>
      <w:r w:rsidRPr="00D84307" w:rsidR="009C5666">
        <w:t>“no authority requiring that the necessarily included offense must always be the one vacated.”  (</w:t>
      </w:r>
      <w:r w:rsidRPr="00D84307" w:rsidR="009C5666">
        <w:rPr>
          <w:i/>
          <w:iCs/>
        </w:rPr>
        <w:t>Ibid</w:t>
      </w:r>
      <w:r w:rsidRPr="00D84307" w:rsidR="009C5666">
        <w:t>.)</w:t>
      </w:r>
      <w:r w:rsidRPr="00D84307" w:rsidR="001B1FF3">
        <w:t xml:space="preserve">  “Combining these two stated principles, [the court] conclude[d] the appropriate thing to do [was] to</w:t>
      </w:r>
      <w:r w:rsidRPr="00D84307" w:rsidR="001B1FF3">
        <w:rPr>
          <w:b/>
          <w:bCs/>
        </w:rPr>
        <w:t xml:space="preserve"> </w:t>
      </w:r>
      <w:r w:rsidRPr="00D84307" w:rsidR="001B1FF3">
        <w:t>allow the offense that provides for the longer potential prison term to stand.”  (</w:t>
      </w:r>
      <w:r w:rsidRPr="00D84307" w:rsidR="00033603">
        <w:rPr>
          <w:i/>
          <w:iCs/>
        </w:rPr>
        <w:t xml:space="preserve">Vazquez, </w:t>
      </w:r>
      <w:r w:rsidRPr="00D84307" w:rsidR="00033603">
        <w:t>at pp. 115–116</w:t>
      </w:r>
      <w:r w:rsidRPr="00D84307" w:rsidR="005D2454">
        <w:rPr>
          <w:i/>
          <w:iCs/>
        </w:rPr>
        <w:t>.</w:t>
      </w:r>
      <w:r w:rsidRPr="00D84307" w:rsidR="005D2454">
        <w:t>)</w:t>
      </w:r>
      <w:r w:rsidRPr="00D84307" w:rsidR="00444201">
        <w:t xml:space="preserve"> </w:t>
      </w:r>
    </w:p>
    <w:p w:rsidR="008A161F" w:rsidRPr="00D84307" w:rsidP="0042756D" w14:paraId="047B2CC5" w14:textId="45AF47D6">
      <w:r w:rsidRPr="00D84307">
        <w:tab/>
      </w:r>
      <w:r w:rsidRPr="00D84307" w:rsidR="00E73FBD">
        <w:t xml:space="preserve">Meno </w:t>
      </w:r>
      <w:r w:rsidRPr="00D84307" w:rsidR="002D4518">
        <w:t>asserts that</w:t>
      </w:r>
      <w:r w:rsidRPr="00D84307" w:rsidR="00E73FBD">
        <w:t xml:space="preserve"> </w:t>
      </w:r>
      <w:r w:rsidRPr="00D84307" w:rsidR="00C608CF">
        <w:rPr>
          <w:i/>
          <w:iCs/>
        </w:rPr>
        <w:t xml:space="preserve">Vazquez </w:t>
      </w:r>
      <w:r w:rsidRPr="00D84307" w:rsidR="002D4518">
        <w:t xml:space="preserve">is inconsistent with </w:t>
      </w:r>
      <w:r w:rsidRPr="00D84307" w:rsidR="002D4518">
        <w:rPr>
          <w:i/>
          <w:iCs/>
        </w:rPr>
        <w:t xml:space="preserve">Miranda, Reed, </w:t>
      </w:r>
      <w:r w:rsidRPr="00D84307" w:rsidR="000F7A3D">
        <w:t xml:space="preserve">and </w:t>
      </w:r>
      <w:r w:rsidRPr="00D84307" w:rsidR="000F7A3D">
        <w:rPr>
          <w:i/>
          <w:iCs/>
        </w:rPr>
        <w:t>Sanders</w:t>
      </w:r>
      <w:r w:rsidRPr="00D84307" w:rsidR="000F7A3D">
        <w:t>, and that we therefore should not follow it here.  We disagree.</w:t>
      </w:r>
      <w:r w:rsidRPr="00D84307" w:rsidR="00C216A3">
        <w:t xml:space="preserve">  Although </w:t>
      </w:r>
      <w:r w:rsidRPr="00D84307" w:rsidR="003F72CF">
        <w:t xml:space="preserve">the various courts in </w:t>
      </w:r>
      <w:r w:rsidRPr="00D84307" w:rsidR="00C216A3">
        <w:rPr>
          <w:i/>
          <w:iCs/>
        </w:rPr>
        <w:t xml:space="preserve">Miranda, Reed, </w:t>
      </w:r>
      <w:r w:rsidRPr="00D84307" w:rsidR="00C216A3">
        <w:t xml:space="preserve">and </w:t>
      </w:r>
      <w:r w:rsidRPr="00D84307" w:rsidR="00C216A3">
        <w:rPr>
          <w:i/>
          <w:iCs/>
        </w:rPr>
        <w:t>Sanders</w:t>
      </w:r>
      <w:r w:rsidRPr="00D84307" w:rsidR="00C216A3">
        <w:t xml:space="preserve"> each</w:t>
      </w:r>
      <w:r w:rsidRPr="00D84307" w:rsidR="00A2407C">
        <w:t xml:space="preserve"> applied the </w:t>
      </w:r>
      <w:r w:rsidRPr="00D84307" w:rsidR="00703D19">
        <w:t xml:space="preserve">accusatory pleading test to determine that one or more convictions </w:t>
      </w:r>
      <w:r w:rsidRPr="00D84307" w:rsidR="00AD4094">
        <w:t>had to</w:t>
      </w:r>
      <w:r w:rsidRPr="00D84307" w:rsidR="00703D19">
        <w:t xml:space="preserve"> be dismissed as necessarily included offenses</w:t>
      </w:r>
      <w:r w:rsidRPr="00D84307" w:rsidR="002E5B85">
        <w:t xml:space="preserve">, none of them actually considered whether a </w:t>
      </w:r>
      <w:r w:rsidRPr="00D84307" w:rsidR="004A1722">
        <w:t xml:space="preserve">conviction for an allegedly more serious offense must be the “greater” offense or, stated different, whether </w:t>
      </w:r>
      <w:r w:rsidRPr="00D84307" w:rsidR="0091673F">
        <w:t>the</w:t>
      </w:r>
      <w:r w:rsidRPr="00D84307" w:rsidR="004A1722">
        <w:t xml:space="preserve"> trial </w:t>
      </w:r>
      <w:r w:rsidRPr="00D84307" w:rsidR="002E5B85">
        <w:t>court c</w:t>
      </w:r>
      <w:r w:rsidRPr="00D84307" w:rsidR="0091673F">
        <w:t>ould</w:t>
      </w:r>
      <w:r w:rsidRPr="00D84307" w:rsidR="002E5B85">
        <w:t xml:space="preserve"> choose to dismiss the </w:t>
      </w:r>
      <w:r w:rsidRPr="00D84307" w:rsidR="0091673F">
        <w:t xml:space="preserve">presumably </w:t>
      </w:r>
      <w:r w:rsidRPr="00D84307" w:rsidR="002E5B85">
        <w:t xml:space="preserve">“greater” conviction </w:t>
      </w:r>
      <w:r w:rsidRPr="00D84307" w:rsidR="004A1722">
        <w:t xml:space="preserve">when the latter </w:t>
      </w:r>
      <w:r w:rsidRPr="00D84307" w:rsidR="0091673F">
        <w:t xml:space="preserve">actually </w:t>
      </w:r>
      <w:r w:rsidRPr="00D84307" w:rsidR="004A1722">
        <w:t>carries a longer potential sentence.</w:t>
      </w:r>
      <w:r w:rsidRPr="00D84307">
        <w:t xml:space="preserve">  (See </w:t>
      </w:r>
      <w:r w:rsidRPr="00D84307" w:rsidR="00097FDB">
        <w:rPr>
          <w:i/>
          <w:iCs/>
        </w:rPr>
        <w:t>Sanders, supra</w:t>
      </w:r>
      <w:r w:rsidRPr="00D84307" w:rsidR="00B93EA3">
        <w:t>,</w:t>
      </w:r>
      <w:r w:rsidRPr="00D84307" w:rsidR="00097FDB">
        <w:t xml:space="preserve"> 55 Cal.4th at pp. 736−737 [concluding multiple convictions under separate firearm statutes were not barred]; </w:t>
      </w:r>
      <w:r w:rsidRPr="00D84307" w:rsidR="00097FDB">
        <w:rPr>
          <w:i/>
          <w:iCs/>
        </w:rPr>
        <w:t xml:space="preserve">Reed, supra, </w:t>
      </w:r>
      <w:r w:rsidRPr="00D84307" w:rsidR="00097FDB">
        <w:t>38 Cal.4th</w:t>
      </w:r>
      <w:r w:rsidRPr="00D84307" w:rsidR="00097FDB">
        <w:rPr>
          <w:vertAlign w:val="superscript"/>
        </w:rPr>
        <w:t xml:space="preserve"> </w:t>
      </w:r>
      <w:r w:rsidRPr="00D84307" w:rsidR="00097FDB">
        <w:t xml:space="preserve">at p. 1224 [same]; </w:t>
      </w:r>
      <w:r w:rsidRPr="00D84307">
        <w:rPr>
          <w:i/>
          <w:iCs/>
        </w:rPr>
        <w:t xml:space="preserve">Miranda, supra, </w:t>
      </w:r>
      <w:r w:rsidRPr="00D84307">
        <w:t>21</w:t>
      </w:r>
      <w:r w:rsidRPr="00D84307" w:rsidR="00B93EA3">
        <w:t> </w:t>
      </w:r>
      <w:r w:rsidRPr="00D84307">
        <w:t>Cal.App.4</w:t>
      </w:r>
      <w:r w:rsidRPr="00D84307" w:rsidR="009E256A">
        <w:t>th</w:t>
      </w:r>
      <w:r w:rsidRPr="00D84307">
        <w:t xml:space="preserve"> at p</w:t>
      </w:r>
      <w:r w:rsidRPr="00D84307" w:rsidR="005E4712">
        <w:t>p</w:t>
      </w:r>
      <w:r w:rsidRPr="00D84307">
        <w:t xml:space="preserve">. </w:t>
      </w:r>
      <w:r w:rsidRPr="00D84307" w:rsidR="005E4712">
        <w:t xml:space="preserve">1466, </w:t>
      </w:r>
      <w:r w:rsidRPr="00D84307" w:rsidR="009E256A">
        <w:t xml:space="preserve">1468 </w:t>
      </w:r>
      <w:r w:rsidRPr="00D84307">
        <w:t>[</w:t>
      </w:r>
      <w:r w:rsidRPr="00D84307" w:rsidR="009E256A">
        <w:t>addressing charges related to a single victim]</w:t>
      </w:r>
      <w:r w:rsidRPr="00D84307" w:rsidR="000073FA">
        <w:t>.)</w:t>
      </w:r>
      <w:r w:rsidRPr="00D84307" w:rsidR="004A1722">
        <w:t xml:space="preserve"> </w:t>
      </w:r>
      <w:r w:rsidRPr="00D84307" w:rsidR="000F7A3D">
        <w:t xml:space="preserve"> </w:t>
      </w:r>
    </w:p>
    <w:p w:rsidR="0042756D" w:rsidRPr="00D84307" w:rsidP="008A161F" w14:paraId="04712E9A" w14:textId="3C0CE78D">
      <w:pPr>
        <w:ind w:firstLine="720"/>
      </w:pPr>
      <w:r w:rsidRPr="00D84307">
        <w:t xml:space="preserve">In </w:t>
      </w:r>
      <w:r w:rsidRPr="00D84307">
        <w:rPr>
          <w:i/>
          <w:iCs/>
        </w:rPr>
        <w:t xml:space="preserve">People v. Pearson </w:t>
      </w:r>
      <w:r w:rsidRPr="00D84307">
        <w:t xml:space="preserve">(1986) 42 Cal.3d </w:t>
      </w:r>
      <w:r w:rsidRPr="00D84307" w:rsidR="00B93EA3">
        <w:t>3</w:t>
      </w:r>
      <w:r w:rsidRPr="00D84307">
        <w:t>51, the California Supreme Court acknowledge</w:t>
      </w:r>
      <w:r w:rsidRPr="00D84307" w:rsidR="002A65D5">
        <w:t>d</w:t>
      </w:r>
      <w:r w:rsidRPr="00D84307">
        <w:t xml:space="preserve"> </w:t>
      </w:r>
      <w:r w:rsidRPr="00D84307" w:rsidR="00020F05">
        <w:t>“the reason for the rule</w:t>
      </w:r>
      <w:r w:rsidRPr="00D84307" w:rsidR="002A65D5">
        <w:t xml:space="preserve"> [t</w:t>
      </w:r>
      <w:r w:rsidRPr="00D84307" w:rsidR="00535B57">
        <w:t xml:space="preserve">hat multiple convictions may </w:t>
      </w:r>
      <w:r w:rsidRPr="00D84307" w:rsidR="00535B57">
        <w:rPr>
          <w:i/>
          <w:iCs/>
        </w:rPr>
        <w:t xml:space="preserve">not </w:t>
      </w:r>
      <w:r w:rsidRPr="00D84307" w:rsidR="00535B57">
        <w:t>be based on necessarily included offenses]</w:t>
      </w:r>
      <w:r w:rsidRPr="00D84307" w:rsidR="00020F05">
        <w:t xml:space="preserve"> is unclear</w:t>
      </w:r>
      <w:r w:rsidRPr="00D84307" w:rsidR="00535B57">
        <w:t>.</w:t>
      </w:r>
      <w:r w:rsidRPr="00D84307">
        <w:t>”</w:t>
      </w:r>
      <w:r w:rsidRPr="00D84307" w:rsidR="00535B57">
        <w:t xml:space="preserve">  (</w:t>
      </w:r>
      <w:r w:rsidRPr="00D84307" w:rsidR="00535B57">
        <w:rPr>
          <w:i/>
          <w:iCs/>
        </w:rPr>
        <w:t>Id</w:t>
      </w:r>
      <w:r w:rsidRPr="00D84307" w:rsidR="00535B57">
        <w:t xml:space="preserve">. at p. 355.) </w:t>
      </w:r>
      <w:r w:rsidRPr="00D84307" w:rsidR="00AA5312">
        <w:t xml:space="preserve"> This is particularly true of the</w:t>
      </w:r>
      <w:r w:rsidRPr="00D84307" w:rsidR="00AA0BEE">
        <w:t xml:space="preserve"> often stated but </w:t>
      </w:r>
      <w:r w:rsidRPr="00D84307" w:rsidR="001811AF">
        <w:t>infrequently applied general rule</w:t>
      </w:r>
      <w:r w:rsidRPr="00D84307" w:rsidR="00A01416">
        <w:t xml:space="preserve"> </w:t>
      </w:r>
      <w:r w:rsidRPr="00D84307">
        <w:t xml:space="preserve">stated in </w:t>
      </w:r>
      <w:r w:rsidRPr="00D84307">
        <w:rPr>
          <w:i/>
          <w:iCs/>
        </w:rPr>
        <w:t xml:space="preserve">Sanders </w:t>
      </w:r>
      <w:r w:rsidRPr="00D84307" w:rsidR="00A01416">
        <w:t xml:space="preserve">that the conviction on the greater offense controls.  </w:t>
      </w:r>
    </w:p>
    <w:p w:rsidR="009F3929" w:rsidRPr="00D84307" w:rsidP="007950A2" w14:paraId="051583CB" w14:textId="4EAB4578">
      <w:pPr>
        <w:ind w:firstLine="720"/>
      </w:pPr>
      <w:r w:rsidRPr="00D84307">
        <w:rPr>
          <w:i/>
          <w:iCs/>
        </w:rPr>
        <w:t xml:space="preserve">People v. Tideman </w:t>
      </w:r>
      <w:r w:rsidRPr="00D84307">
        <w:t xml:space="preserve">(1962) 57 Cal.2d 574, one of the earlier cases we have found </w:t>
      </w:r>
      <w:r w:rsidRPr="00D84307" w:rsidR="00372829">
        <w:t xml:space="preserve">from which this rule seems to have arisen, </w:t>
      </w:r>
      <w:r w:rsidRPr="00D84307">
        <w:t>discuss</w:t>
      </w:r>
      <w:r w:rsidRPr="00D84307" w:rsidR="00372829">
        <w:t>es</w:t>
      </w:r>
      <w:r w:rsidRPr="00D84307">
        <w:t xml:space="preserve"> the underlying concept</w:t>
      </w:r>
      <w:r w:rsidRPr="00D84307" w:rsidR="0042756D">
        <w:t xml:space="preserve"> to </w:t>
      </w:r>
      <w:r w:rsidRPr="00D84307" w:rsidR="00372829">
        <w:t>some extent</w:t>
      </w:r>
      <w:r w:rsidRPr="00D84307" w:rsidR="007950A2">
        <w:t>.  There</w:t>
      </w:r>
      <w:r w:rsidRPr="00D84307">
        <w:t>, the court explained,</w:t>
      </w:r>
      <w:r w:rsidRPr="00D84307" w:rsidR="00727C42">
        <w:t xml:space="preserve"> </w:t>
      </w:r>
      <w:r w:rsidRPr="00D84307">
        <w:t xml:space="preserve">“if the defendant be convicted of the greater, he should be ‘acquitted’ on any count of the accusatory pleading charging the lesser. </w:t>
      </w:r>
      <w:r w:rsidRPr="00D84307" w:rsidR="003345B7">
        <w:t xml:space="preserve"> </w:t>
      </w:r>
      <w:r w:rsidRPr="00D84307">
        <w:t xml:space="preserve">And certainly such ‘acquittal’ should not operate to vitiate his conviction and sentence for the greater. </w:t>
      </w:r>
      <w:r w:rsidRPr="00D84307" w:rsidR="003345B7">
        <w:t xml:space="preserve"> </w:t>
      </w:r>
      <w:r w:rsidRPr="00D84307">
        <w:t xml:space="preserve">If he has been convicted and separately sentenced for both offenses, and if conviction of the greater is sustained, the defendant still need not be prejudiced by such overlapping sentences; any reviewing court meeting that situation can and should direct that the sentence for the included offense is as a matter of law merged in the sentence for the greater. </w:t>
      </w:r>
      <w:r w:rsidRPr="00D84307" w:rsidR="003345B7">
        <w:t xml:space="preserve"> </w:t>
      </w:r>
      <w:r w:rsidRPr="00D84307">
        <w:t>However, in the circumstance assumed, reversal or vacation of the sentence for the included offense, and dismissal of the count charging that offense, whether by the trial court or an appellate court, would not affect the integrity of the conviction and sentence for the greater.”  (</w:t>
      </w:r>
      <w:r w:rsidRPr="00D84307">
        <w:rPr>
          <w:i/>
          <w:iCs/>
        </w:rPr>
        <w:t>Id</w:t>
      </w:r>
      <w:r w:rsidRPr="00D84307">
        <w:t xml:space="preserve">. at p. 582.)  </w:t>
      </w:r>
    </w:p>
    <w:p w:rsidR="00BC5119" w:rsidRPr="00D84307" w:rsidP="009F0C74" w14:paraId="256DBEEA" w14:textId="3859707F">
      <w:pPr>
        <w:ind w:firstLine="720"/>
      </w:pPr>
      <w:r w:rsidRPr="00D84307">
        <w:t>Thus,</w:t>
      </w:r>
      <w:r w:rsidRPr="00D84307" w:rsidR="00435A46">
        <w:t xml:space="preserve"> as discussed in </w:t>
      </w:r>
      <w:r w:rsidRPr="00D84307" w:rsidR="00435A46">
        <w:rPr>
          <w:i/>
          <w:iCs/>
        </w:rPr>
        <w:t>Vazquez</w:t>
      </w:r>
      <w:r w:rsidRPr="00D84307" w:rsidR="00435A46">
        <w:t>,</w:t>
      </w:r>
      <w:r w:rsidRPr="00D84307">
        <w:t xml:space="preserve"> the rule seems to derive from the </w:t>
      </w:r>
      <w:r w:rsidRPr="00D84307" w:rsidR="009A7EA1">
        <w:t xml:space="preserve">“typical” case in which the greater offense carries the greater sentence. </w:t>
      </w:r>
      <w:r w:rsidRPr="00D84307" w:rsidR="009F3929">
        <w:t xml:space="preserve"> We have </w:t>
      </w:r>
      <w:r w:rsidRPr="00D84307" w:rsidR="00F865AD">
        <w:t xml:space="preserve">not </w:t>
      </w:r>
      <w:r w:rsidRPr="00D84307" w:rsidR="009F3929">
        <w:t xml:space="preserve">found, and neither party has pointed us to, any case in which the court </w:t>
      </w:r>
      <w:r w:rsidRPr="00D84307" w:rsidR="00E35798">
        <w:t xml:space="preserve">provides any other explanation for the basic statement that the </w:t>
      </w:r>
      <w:r w:rsidRPr="00D84307" w:rsidR="008274C1">
        <w:t>“</w:t>
      </w:r>
      <w:r w:rsidRPr="00D84307" w:rsidR="00E35798">
        <w:t>greater</w:t>
      </w:r>
      <w:r w:rsidRPr="00D84307" w:rsidR="008274C1">
        <w:t>”</w:t>
      </w:r>
      <w:r w:rsidRPr="00D84307" w:rsidR="00E35798">
        <w:t xml:space="preserve"> offense is controlling.  Thus, we do not think </w:t>
      </w:r>
      <w:r w:rsidRPr="00D84307" w:rsidR="00F865AD">
        <w:t xml:space="preserve">that by stating the “general rule,” </w:t>
      </w:r>
      <w:r w:rsidRPr="00D84307" w:rsidR="00E42D40">
        <w:t>c</w:t>
      </w:r>
      <w:r w:rsidRPr="00D84307" w:rsidR="00435A46">
        <w:t xml:space="preserve">ourts </w:t>
      </w:r>
      <w:r w:rsidRPr="00D84307" w:rsidR="00DB56C6">
        <w:t xml:space="preserve">intended </w:t>
      </w:r>
      <w:r w:rsidRPr="00D84307" w:rsidR="00435A46">
        <w:t>for the</w:t>
      </w:r>
      <w:r w:rsidRPr="00D84307" w:rsidR="00534994">
        <w:t xml:space="preserve"> opinions </w:t>
      </w:r>
      <w:r w:rsidRPr="00D84307" w:rsidR="00DB56C6">
        <w:t xml:space="preserve">to stand for the proposition that the greater offense is </w:t>
      </w:r>
      <w:r w:rsidRPr="00D84307" w:rsidR="00DB56C6">
        <w:rPr>
          <w:i/>
          <w:iCs/>
        </w:rPr>
        <w:t>always</w:t>
      </w:r>
      <w:r w:rsidRPr="00D84307" w:rsidR="00DB56C6">
        <w:t xml:space="preserve"> the one with one or more additional elements.  Rather, the courts simply chose one of two ways to describe what is typically the “greater” offense.  But where, as here, the necessarily included offense carries the longer potential sentence, we agree with the court in </w:t>
      </w:r>
      <w:r w:rsidRPr="00D84307" w:rsidR="00DB56C6">
        <w:rPr>
          <w:i/>
          <w:iCs/>
        </w:rPr>
        <w:t>Vazquez</w:t>
      </w:r>
      <w:r w:rsidRPr="00D84307" w:rsidR="00604A2D">
        <w:rPr>
          <w:i/>
          <w:iCs/>
        </w:rPr>
        <w:t xml:space="preserve"> </w:t>
      </w:r>
      <w:r w:rsidRPr="00D84307" w:rsidR="00604A2D">
        <w:t xml:space="preserve">that there is no requirement that the trial court vacate the necessarily included offense, so long as the court does not maintain convictions for both offenses.   </w:t>
      </w:r>
    </w:p>
    <w:p w:rsidR="00A050B1" w:rsidRPr="00D84307" w:rsidP="0020200E" w14:paraId="7E41EB60" w14:textId="54E62F19">
      <w:pPr>
        <w:ind w:firstLine="720"/>
      </w:pPr>
      <w:r w:rsidRPr="00D84307">
        <w:t xml:space="preserve">As a final matter, we </w:t>
      </w:r>
      <w:r w:rsidRPr="00D84307" w:rsidR="00263D2F">
        <w:t>acknowledge</w:t>
      </w:r>
      <w:r w:rsidRPr="00D84307">
        <w:t xml:space="preserve"> that</w:t>
      </w:r>
      <w:r w:rsidRPr="00D84307" w:rsidR="00263D2F">
        <w:t xml:space="preserve"> the court reached a different conclusion in </w:t>
      </w:r>
      <w:r w:rsidRPr="00D84307" w:rsidR="00263D2F">
        <w:rPr>
          <w:i/>
          <w:iCs/>
        </w:rPr>
        <w:t>Binkerd</w:t>
      </w:r>
      <w:r w:rsidRPr="00D84307" w:rsidR="00263D2F">
        <w:t>.</w:t>
      </w:r>
      <w:r w:rsidRPr="00D84307">
        <w:t xml:space="preserve"> </w:t>
      </w:r>
      <w:r w:rsidRPr="00D84307" w:rsidR="00263D2F">
        <w:t xml:space="preserve"> </w:t>
      </w:r>
      <w:r w:rsidRPr="00D84307" w:rsidR="00E667A7">
        <w:t>There were two victims i</w:t>
      </w:r>
      <w:r w:rsidRPr="00D84307" w:rsidR="0020200E">
        <w:t xml:space="preserve">n </w:t>
      </w:r>
      <w:r w:rsidRPr="00D84307" w:rsidR="0020200E">
        <w:rPr>
          <w:i/>
          <w:iCs/>
        </w:rPr>
        <w:t>Binkerd</w:t>
      </w:r>
      <w:r w:rsidRPr="00D84307" w:rsidR="00E667A7">
        <w:t xml:space="preserve">; one </w:t>
      </w:r>
      <w:r w:rsidRPr="00D84307" w:rsidR="00C631EF">
        <w:t>that perished and one that did not</w:t>
      </w:r>
      <w:r w:rsidRPr="00D84307" w:rsidR="00E667A7">
        <w:t xml:space="preserve">.  </w:t>
      </w:r>
      <w:r w:rsidRPr="00D84307" w:rsidR="0068369B">
        <w:t>(</w:t>
      </w:r>
      <w:r w:rsidRPr="00D84307" w:rsidR="0068369B">
        <w:rPr>
          <w:i/>
          <w:iCs/>
        </w:rPr>
        <w:t xml:space="preserve">Binkerd, supra, </w:t>
      </w:r>
      <w:r w:rsidRPr="00D84307" w:rsidR="0068369B">
        <w:t>155 Cal.App. 4th at p. 114</w:t>
      </w:r>
      <w:r w:rsidRPr="00D84307" w:rsidR="00F50F0B">
        <w:t>6</w:t>
      </w:r>
      <w:r w:rsidRPr="00D84307" w:rsidR="0068369B">
        <w:t xml:space="preserve">.)  </w:t>
      </w:r>
      <w:r w:rsidRPr="00D84307" w:rsidR="00E667A7">
        <w:t>Like here, the trial court</w:t>
      </w:r>
      <w:r w:rsidRPr="00D84307" w:rsidR="0020200E">
        <w:rPr>
          <w:i/>
          <w:iCs/>
        </w:rPr>
        <w:t xml:space="preserve"> </w:t>
      </w:r>
      <w:r w:rsidRPr="00D84307" w:rsidR="0020200E">
        <w:t>chose to sentence the defendant under the DUI causing injury conviction</w:t>
      </w:r>
      <w:r w:rsidRPr="00D84307">
        <w:t xml:space="preserve"> in</w:t>
      </w:r>
      <w:r w:rsidRPr="00D84307" w:rsidR="0020200E">
        <w:t xml:space="preserve"> count 2, with </w:t>
      </w:r>
      <w:r w:rsidRPr="00D84307" w:rsidR="0068369B">
        <w:t xml:space="preserve">an associated great bodily injury enhancement for each of the two victims. </w:t>
      </w:r>
      <w:r w:rsidRPr="00D84307" w:rsidR="00F50F0B">
        <w:t xml:space="preserve"> </w:t>
      </w:r>
      <w:r w:rsidRPr="00D84307" w:rsidR="0020200E">
        <w:t>(</w:t>
      </w:r>
      <w:r w:rsidRPr="00D84307" w:rsidR="00F50F0B">
        <w:rPr>
          <w:i/>
          <w:iCs/>
        </w:rPr>
        <w:t>Id</w:t>
      </w:r>
      <w:r w:rsidRPr="00D84307" w:rsidR="00F50F0B">
        <w:t>.</w:t>
      </w:r>
      <w:r w:rsidRPr="00D84307" w:rsidR="0020200E">
        <w:t xml:space="preserve"> at p. 1147.) </w:t>
      </w:r>
      <w:r w:rsidRPr="00D84307" w:rsidR="00F50F0B">
        <w:t xml:space="preserve"> However,</w:t>
      </w:r>
      <w:r w:rsidRPr="00D84307">
        <w:t xml:space="preserve"> the court stayed sentencing on the </w:t>
      </w:r>
      <w:r w:rsidR="008C2955">
        <w:t>vehicular</w:t>
      </w:r>
      <w:r w:rsidRPr="00D84307" w:rsidR="008C2955">
        <w:t xml:space="preserve"> </w:t>
      </w:r>
      <w:r w:rsidRPr="00D84307" w:rsidR="00F50F0B">
        <w:t>manslaughter while intoxicated conviction</w:t>
      </w:r>
      <w:r w:rsidRPr="00D84307">
        <w:t xml:space="preserve"> in count 1</w:t>
      </w:r>
      <w:r w:rsidRPr="00D84307" w:rsidR="00F50F0B">
        <w:t>,</w:t>
      </w:r>
      <w:r w:rsidRPr="00D84307">
        <w:t xml:space="preserve"> rather than dismissing the charge all together</w:t>
      </w:r>
      <w:r w:rsidRPr="00D84307" w:rsidR="00F50F0B">
        <w:t xml:space="preserve">.  </w:t>
      </w:r>
      <w:r w:rsidRPr="00D84307">
        <w:t>(</w:t>
      </w:r>
      <w:r w:rsidRPr="00D84307">
        <w:rPr>
          <w:i/>
          <w:iCs/>
        </w:rPr>
        <w:t>Ibid</w:t>
      </w:r>
      <w:r w:rsidRPr="00D84307">
        <w:t xml:space="preserve">.) </w:t>
      </w:r>
      <w:r w:rsidRPr="00D84307" w:rsidR="0020200E">
        <w:t xml:space="preserve"> </w:t>
      </w:r>
      <w:r w:rsidRPr="00D84307">
        <w:t xml:space="preserve">On appeal, </w:t>
      </w:r>
      <w:r w:rsidRPr="00D84307" w:rsidR="0020200E">
        <w:t>Binkerd asserted the trial court erred by convicting her on count 2, and the</w:t>
      </w:r>
      <w:r w:rsidRPr="00D84307" w:rsidR="005B28E6">
        <w:t xml:space="preserve"> appellate</w:t>
      </w:r>
      <w:r w:rsidRPr="00D84307" w:rsidR="0020200E">
        <w:t xml:space="preserve"> court agreed.</w:t>
      </w:r>
      <w:r w:rsidRPr="00D84307">
        <w:t xml:space="preserve">  (</w:t>
      </w:r>
      <w:r w:rsidRPr="00D84307">
        <w:rPr>
          <w:i/>
          <w:iCs/>
        </w:rPr>
        <w:t>Ibid.</w:t>
      </w:r>
      <w:r w:rsidRPr="00D84307">
        <w:t>)</w:t>
      </w:r>
      <w:r w:rsidRPr="00D84307" w:rsidR="0020200E">
        <w:t xml:space="preserve">  </w:t>
      </w:r>
    </w:p>
    <w:p w:rsidR="0020200E" w:rsidRPr="00D84307" w:rsidP="0020200E" w14:paraId="41EFAFF2" w14:textId="012B40F2">
      <w:pPr>
        <w:ind w:firstLine="720"/>
      </w:pPr>
      <w:r w:rsidRPr="00D84307">
        <w:t xml:space="preserve">After dispensing with the People’s other arguments—which related primarily to the assertion that DUI causing injury conviction was not a necessarily included offense </w:t>
      </w:r>
      <w:r w:rsidRPr="00D84307" w:rsidR="00F95ECC">
        <w:t xml:space="preserve">to </w:t>
      </w:r>
      <w:r w:rsidR="008C2955">
        <w:t>vehicular</w:t>
      </w:r>
      <w:r w:rsidRPr="00D84307" w:rsidR="008C2955">
        <w:t xml:space="preserve"> </w:t>
      </w:r>
      <w:r w:rsidRPr="00D84307" w:rsidR="00F95ECC">
        <w:t>manslaughter while intoxicated</w:t>
      </w:r>
      <w:r w:rsidRPr="00D84307">
        <w:t>—the court noted that “the Legislature has provided a specific penalty for a conviction of manslaughter occurring as a result of driving while intoxicated without gross negligence</w:t>
      </w:r>
      <w:r w:rsidRPr="00D84307" w:rsidR="00F95ECC">
        <w:t>.</w:t>
      </w:r>
      <w:r w:rsidRPr="00D84307">
        <w:t xml:space="preserve">” </w:t>
      </w:r>
      <w:r w:rsidRPr="00D84307" w:rsidR="00F95ECC">
        <w:t>(</w:t>
      </w:r>
      <w:bookmarkStart w:id="0" w:name="_Hlk167796912"/>
      <w:r w:rsidRPr="00D84307" w:rsidR="00495B70">
        <w:rPr>
          <w:i/>
          <w:iCs/>
        </w:rPr>
        <w:t>Binkerd</w:t>
      </w:r>
      <w:bookmarkEnd w:id="0"/>
      <w:r w:rsidRPr="00D84307" w:rsidR="00495B70">
        <w:rPr>
          <w:i/>
          <w:iCs/>
        </w:rPr>
        <w:t xml:space="preserve">, supra, </w:t>
      </w:r>
      <w:r w:rsidRPr="00D84307" w:rsidR="00495B70">
        <w:t>155 Cal.App. 4th</w:t>
      </w:r>
      <w:r w:rsidRPr="00D84307" w:rsidR="00495B70">
        <w:rPr>
          <w:i/>
          <w:iCs/>
        </w:rPr>
        <w:t xml:space="preserve"> </w:t>
      </w:r>
      <w:r w:rsidRPr="00D84307" w:rsidR="00F95ECC">
        <w:t>at p. 1149.)  The court continued,</w:t>
      </w:r>
      <w:r w:rsidRPr="00D84307">
        <w:t xml:space="preserve"> “[s]entencing appellant on the lesser included offense of Vehicle Code section 21353, with a great bodily injury enhancement under section 12022.7 as alleged in count 2 for the injuries suffered by the deceased victim [ ] circumvents the statutory scheme for vehicular manslaughter.”  (</w:t>
      </w:r>
      <w:r w:rsidRPr="00D84307" w:rsidR="00495B70">
        <w:rPr>
          <w:i/>
          <w:iCs/>
        </w:rPr>
        <w:t xml:space="preserve">Binkerd, </w:t>
      </w:r>
      <w:r w:rsidRPr="00D84307">
        <w:t xml:space="preserve">at p. 1150.)  </w:t>
      </w:r>
    </w:p>
    <w:p w:rsidR="004B69AB" w:rsidRPr="00D84307" w:rsidP="007E1F02" w14:paraId="47DF3AEA" w14:textId="2A23D30D">
      <w:r w:rsidRPr="00D84307">
        <w:tab/>
        <w:t xml:space="preserve">We </w:t>
      </w:r>
      <w:r w:rsidRPr="00D84307" w:rsidR="00B83DFC">
        <w:t xml:space="preserve">are not persuaded and </w:t>
      </w:r>
      <w:r w:rsidRPr="00D84307">
        <w:t xml:space="preserve">decline to follow </w:t>
      </w:r>
      <w:r w:rsidRPr="00D84307" w:rsidR="00FA0CF2">
        <w:rPr>
          <w:i/>
          <w:iCs/>
        </w:rPr>
        <w:t>Binkerd</w:t>
      </w:r>
      <w:r w:rsidRPr="00D84307" w:rsidR="00FA0CF2">
        <w:t xml:space="preserve"> on this</w:t>
      </w:r>
      <w:r w:rsidRPr="00D84307" w:rsidR="00B83DFC">
        <w:t xml:space="preserve"> last</w:t>
      </w:r>
      <w:r w:rsidRPr="00D84307" w:rsidR="00FA0CF2">
        <w:t xml:space="preserve"> </w:t>
      </w:r>
      <w:r w:rsidRPr="00D84307" w:rsidR="00B83DFC">
        <w:t xml:space="preserve">point.  Even if we accept the proposition that the Legislature intentionally set a specific punishment for </w:t>
      </w:r>
      <w:r w:rsidR="008C2955">
        <w:t>vehicular</w:t>
      </w:r>
      <w:r w:rsidRPr="00D84307" w:rsidR="008C2955">
        <w:t xml:space="preserve"> </w:t>
      </w:r>
      <w:r w:rsidRPr="00D84307" w:rsidR="00B83DFC">
        <w:t xml:space="preserve">manslaughter while intoxicated, the same is true for </w:t>
      </w:r>
      <w:r w:rsidRPr="00D84307" w:rsidR="008C0765">
        <w:t xml:space="preserve">DUI causing injury, and, specifically, </w:t>
      </w:r>
      <w:r w:rsidRPr="00D84307" w:rsidR="00F865AD">
        <w:t xml:space="preserve">the Legislature intentionally provided for </w:t>
      </w:r>
      <w:r w:rsidRPr="00D84307" w:rsidR="008C0765">
        <w:t>the ability to allege two separate</w:t>
      </w:r>
      <w:r w:rsidRPr="00D84307" w:rsidR="00147295">
        <w:t xml:space="preserve"> </w:t>
      </w:r>
      <w:r w:rsidRPr="00D84307" w:rsidR="00550CFC">
        <w:t>three</w:t>
      </w:r>
      <w:r w:rsidRPr="00D84307" w:rsidR="00147295">
        <w:t>-year</w:t>
      </w:r>
      <w:r w:rsidRPr="00D84307" w:rsidR="008C0765">
        <w:t xml:space="preserve"> enhancements for </w:t>
      </w:r>
      <w:r w:rsidRPr="00D84307" w:rsidR="00F865AD">
        <w:t xml:space="preserve">each of </w:t>
      </w:r>
      <w:r w:rsidRPr="00D84307" w:rsidR="008C0765">
        <w:t xml:space="preserve">two separate victims.  </w:t>
      </w:r>
      <w:r w:rsidRPr="00D84307" w:rsidR="00B30EC1">
        <w:t xml:space="preserve">There is nothing in either statute that suggests the Legislature intended for the sentence for two victims that died to be less than that for two victims that were injured. (Cf. </w:t>
      </w:r>
      <w:r w:rsidRPr="00D84307" w:rsidR="00B30EC1">
        <w:rPr>
          <w:i/>
          <w:iCs/>
        </w:rPr>
        <w:t xml:space="preserve">People v. </w:t>
      </w:r>
      <w:r w:rsidRPr="00D84307" w:rsidR="004D0370">
        <w:rPr>
          <w:i/>
          <w:iCs/>
        </w:rPr>
        <w:t xml:space="preserve">Pecci </w:t>
      </w:r>
      <w:r w:rsidRPr="00D84307" w:rsidR="004D0370">
        <w:t>(1999) 72 Cal.App.4th 1500,</w:t>
      </w:r>
      <w:r w:rsidRPr="00D84307" w:rsidR="00804CDD">
        <w:t xml:space="preserve"> 1506 [plausible explanation why </w:t>
      </w:r>
      <w:r w:rsidRPr="00D84307" w:rsidR="0093262C">
        <w:t>apparently “greater” offense carried lesser sentence].)</w:t>
      </w:r>
      <w:r w:rsidRPr="00D84307" w:rsidR="004D0370">
        <w:t xml:space="preserve"> </w:t>
      </w:r>
      <w:r w:rsidRPr="00D84307" w:rsidR="0093262C">
        <w:t xml:space="preserve"> </w:t>
      </w:r>
    </w:p>
    <w:p w:rsidR="000052CD" w:rsidRPr="00D84307" w:rsidP="00D770C4" w14:paraId="233DAA50" w14:textId="07B1B7A7">
      <w:pPr>
        <w:ind w:firstLine="720"/>
      </w:pPr>
      <w:r w:rsidRPr="00D84307">
        <w:t xml:space="preserve">Moreover, by requiring that the trial court dismiss count 2 in </w:t>
      </w:r>
      <w:r w:rsidRPr="00D84307">
        <w:rPr>
          <w:i/>
          <w:iCs/>
        </w:rPr>
        <w:t>Binkerd</w:t>
      </w:r>
      <w:r w:rsidRPr="00D84307">
        <w:t xml:space="preserve">, the appellate court essentially precluded the trial court from </w:t>
      </w:r>
      <w:r w:rsidRPr="00D84307" w:rsidR="004214C0">
        <w:t>imposing punishment for the injury to the second victim (</w:t>
      </w:r>
      <w:r w:rsidRPr="00D84307" w:rsidR="00F865AD">
        <w:t xml:space="preserve">who </w:t>
      </w:r>
      <w:r w:rsidRPr="00D84307" w:rsidR="004214C0">
        <w:t>was not killed).</w:t>
      </w:r>
      <w:r w:rsidRPr="00D84307" w:rsidR="00852779">
        <w:t xml:space="preserve">  Although this was arguably a result of the way in which the prosecution charged the case (</w:t>
      </w:r>
      <w:r w:rsidRPr="00D84307" w:rsidR="00C16FA2">
        <w:t>naming the deceased as the victim in both counts), this result is inconsistent with the general rule that a defendant may be punished for each victim injur</w:t>
      </w:r>
      <w:r w:rsidRPr="00D84307" w:rsidR="006B1D57">
        <w:t>ed</w:t>
      </w:r>
      <w:r w:rsidRPr="00D84307" w:rsidR="00C16FA2">
        <w:t xml:space="preserve"> or killed </w:t>
      </w:r>
      <w:r w:rsidRPr="00D84307" w:rsidR="00BE0D2D">
        <w:t>by</w:t>
      </w:r>
      <w:r w:rsidRPr="00D84307" w:rsidR="00C16FA2">
        <w:t xml:space="preserve"> a single act.</w:t>
      </w:r>
      <w:r w:rsidRPr="00D84307" w:rsidR="00C71DDA">
        <w:t xml:space="preserve">  Here, </w:t>
      </w:r>
      <w:r w:rsidRPr="00D84307" w:rsidR="007E1F02">
        <w:t xml:space="preserve">where </w:t>
      </w:r>
      <w:r w:rsidRPr="00D84307" w:rsidR="00C71DDA">
        <w:t xml:space="preserve">the prosecution charged one count of DUI causing injury </w:t>
      </w:r>
      <w:r w:rsidRPr="00D84307" w:rsidR="009B62CC">
        <w:t>along with two separate great bodily injury enhancements for each victim</w:t>
      </w:r>
      <w:r w:rsidRPr="00D84307" w:rsidR="007E1F02">
        <w:t xml:space="preserve">, we see no reason why the trial court should not have been permitted to sentence the </w:t>
      </w:r>
      <w:r w:rsidRPr="00D84307" w:rsidR="00AC062F">
        <w:t>defendant under those valid convictions while still abiding by the rule against multiple convictions by vacating counts 1 and 2</w:t>
      </w:r>
      <w:r w:rsidRPr="00D84307" w:rsidR="009B62CC">
        <w:t xml:space="preserve">.  </w:t>
      </w:r>
      <w:r w:rsidRPr="00D84307" w:rsidR="00C16FA2">
        <w:t xml:space="preserve"> </w:t>
      </w:r>
      <w:r w:rsidRPr="00D84307" w:rsidR="00C42266">
        <w:t xml:space="preserve"> </w:t>
      </w:r>
      <w:r w:rsidRPr="00D84307" w:rsidR="00C16FA2">
        <w:t xml:space="preserve"> </w:t>
      </w:r>
    </w:p>
    <w:p w:rsidR="00200C42" w:rsidRPr="00D84307" w:rsidP="007E1F02" w14:paraId="0FBB78E9" w14:textId="7710E252">
      <w:r w:rsidRPr="00D84307">
        <w:tab/>
        <w:t xml:space="preserve">Based on the foregoing, </w:t>
      </w:r>
      <w:r w:rsidRPr="00D84307" w:rsidR="001B6833">
        <w:t xml:space="preserve">and considering the specific array of charges at issue in this case, </w:t>
      </w:r>
      <w:r w:rsidRPr="00D84307">
        <w:t xml:space="preserve">we conclude the trial court did not err by </w:t>
      </w:r>
      <w:r w:rsidRPr="00D84307" w:rsidR="00970829">
        <w:t>vacating</w:t>
      </w:r>
      <w:r w:rsidRPr="00D84307">
        <w:t xml:space="preserve"> counts 1 and 2</w:t>
      </w:r>
      <w:r w:rsidRPr="00D84307" w:rsidR="00970829">
        <w:t xml:space="preserve">, sentencing Meno under count 3, and staying the sentence under count 4. </w:t>
      </w:r>
    </w:p>
    <w:p w:rsidR="00660949" w:rsidRPr="00D84307" w:rsidP="009C61D2" w14:paraId="261A3ED0" w14:textId="32D75C3C">
      <w:pPr>
        <w:pStyle w:val="Heading2"/>
        <w:spacing w:after="120" w:line="240" w:lineRule="auto"/>
        <w:contextualSpacing w:val="0"/>
      </w:pPr>
      <w:r w:rsidRPr="00D84307">
        <w:t xml:space="preserve">The Trial Court Did Not Err by </w:t>
      </w:r>
      <w:r w:rsidRPr="00D84307" w:rsidR="00347111">
        <w:t>Including Additional Terms for Two Great Bodily Injury Enhancements on Count 3</w:t>
      </w:r>
    </w:p>
    <w:p w:rsidR="00660949" w:rsidRPr="00D84307" w:rsidP="00A53EFB" w14:paraId="57E885EE" w14:textId="77777777">
      <w:pPr>
        <w:ind w:firstLine="720"/>
      </w:pPr>
      <w:r w:rsidRPr="00D84307">
        <w:t>Meno asserts, even if</w:t>
      </w:r>
      <w:r w:rsidRPr="00D84307" w:rsidR="00E30C09">
        <w:t xml:space="preserve"> </w:t>
      </w:r>
      <w:r w:rsidRPr="00D84307">
        <w:t xml:space="preserve">the trial court did not err by </w:t>
      </w:r>
      <w:r w:rsidRPr="00D84307" w:rsidR="00141EA1">
        <w:t xml:space="preserve">dismissing counts 1 and 2 and sentencing him on counts 3 and 4, the </w:t>
      </w:r>
      <w:r w:rsidRPr="00D84307" w:rsidR="00A53EFB">
        <w:t xml:space="preserve">matter must be remanded for resentencing because the trial court improperly imposed an enhancement on the stayed count 4.  We disagree. </w:t>
      </w:r>
    </w:p>
    <w:p w:rsidR="00710F08" w:rsidRPr="00D84307" w:rsidP="000E3EF0" w14:paraId="0E66E989" w14:textId="13215928">
      <w:pPr>
        <w:ind w:firstLine="720"/>
      </w:pPr>
      <w:r w:rsidRPr="00D84307">
        <w:t xml:space="preserve">The jury convicted Meno </w:t>
      </w:r>
      <w:r w:rsidRPr="00D84307" w:rsidR="00F865AD">
        <w:t xml:space="preserve">of </w:t>
      </w:r>
      <w:r w:rsidRPr="00D84307">
        <w:t xml:space="preserve">DUI causing injury in violation of Vehicle Code section 23153, subdivisions (a) in count 3 and driving with a </w:t>
      </w:r>
      <w:r w:rsidRPr="00D84307" w:rsidR="000F62FA">
        <w:t>BAC</w:t>
      </w:r>
      <w:r w:rsidRPr="00D84307">
        <w:t xml:space="preserve"> of 0.08 percent or more causing injury in violation of Vehicle Code section 23153, subdivision (b) in count 4.  As to </w:t>
      </w:r>
      <w:r w:rsidRPr="00D84307">
        <w:rPr>
          <w:i/>
          <w:iCs/>
        </w:rPr>
        <w:t>each</w:t>
      </w:r>
      <w:r w:rsidRPr="00D84307">
        <w:t xml:space="preserve">, the jury found true allegations that Meno personally inflicted great bodily injury on two separate victims.  </w:t>
      </w:r>
    </w:p>
    <w:p w:rsidR="00794DB3" w:rsidRPr="00D84307" w:rsidP="00C934D3" w14:paraId="1D19D9BB" w14:textId="1F0F88D5">
      <w:pPr>
        <w:ind w:firstLine="720"/>
      </w:pPr>
      <w:r w:rsidRPr="00D84307">
        <w:t>At sentencing the court stated, “</w:t>
      </w:r>
      <w:r w:rsidRPr="00D84307" w:rsidR="002007E6">
        <w:t>Thus, after weighing the circumstances in mitigation and the four circumstances in aggravation, the Court finds the middle term of two years imprisonment as the appropriate term.  The Court adds an additional three years of imprisonment for each of the Penal Code Section 12022.7(a) enhancements for an additional six years resulting in a total term of eight years imprisonment.  This is the term of imprisonment that will be imposed as to both Counts 3 and 4.”</w:t>
      </w:r>
      <w:r w:rsidRPr="00D84307" w:rsidR="00C934D3">
        <w:t xml:space="preserve">  After imposing an additional, concurrent sentence on count 6, the court clarified, “The Court finds that Counts 3 and 4 involve the same conduct and act; thus, punishment as to Count 4 is stayed pursuant to Penal Code Section 654.”</w:t>
      </w:r>
      <w:r w:rsidRPr="00D84307">
        <w:t xml:space="preserve">  </w:t>
      </w:r>
    </w:p>
    <w:p w:rsidR="00DD6D37" w:rsidRPr="00D84307" w:rsidP="00CD6382" w14:paraId="03C28DD0" w14:textId="1F35847C">
      <w:pPr>
        <w:ind w:firstLine="720"/>
      </w:pPr>
      <w:r w:rsidRPr="00D84307">
        <w:t xml:space="preserve">On the abstract of judgment, the court noted the </w:t>
      </w:r>
      <w:r w:rsidRPr="00D84307" w:rsidR="00C1240E">
        <w:t>two</w:t>
      </w:r>
      <w:r w:rsidRPr="00D84307" w:rsidR="0067354D">
        <w:t>-year</w:t>
      </w:r>
      <w:r w:rsidRPr="00D84307">
        <w:t xml:space="preserve"> term for count 3 and an additional stayed </w:t>
      </w:r>
      <w:r w:rsidRPr="00D84307" w:rsidR="00C1240E">
        <w:t>two</w:t>
      </w:r>
      <w:r w:rsidRPr="00D84307" w:rsidR="0067354D">
        <w:t>-year</w:t>
      </w:r>
      <w:r w:rsidRPr="00D84307">
        <w:t xml:space="preserve"> term for count 4.  It then listed two </w:t>
      </w:r>
      <w:r w:rsidRPr="00D84307" w:rsidR="00EF0D71">
        <w:t>additional terms for three years each, pursuant to section 12022.7, subdivision (a) under enhancements</w:t>
      </w:r>
      <w:r w:rsidRPr="00D84307" w:rsidR="00C1240E">
        <w:t>,</w:t>
      </w:r>
      <w:r w:rsidRPr="00D84307" w:rsidR="007D02D4">
        <w:t xml:space="preserve"> </w:t>
      </w:r>
      <w:r w:rsidRPr="00D84307" w:rsidR="00655A35">
        <w:t>with</w:t>
      </w:r>
      <w:r w:rsidRPr="00D84307" w:rsidR="007D02D4">
        <w:t xml:space="preserve"> count 3 </w:t>
      </w:r>
      <w:r w:rsidRPr="00D84307" w:rsidR="000B6C7F">
        <w:t xml:space="preserve">to the left of one and count 4 to the left of the </w:t>
      </w:r>
      <w:r w:rsidRPr="00D84307" w:rsidR="007D02D4">
        <w:t>other</w:t>
      </w:r>
      <w:r w:rsidRPr="00D84307" w:rsidR="00EF0D71">
        <w:t>.</w:t>
      </w:r>
      <w:r w:rsidRPr="00D84307" w:rsidR="00147AEA">
        <w:t xml:space="preserve"> </w:t>
      </w:r>
      <w:r w:rsidRPr="00D84307" w:rsidR="006F5246">
        <w:t xml:space="preserve"> </w:t>
      </w:r>
      <w:r w:rsidRPr="00D84307" w:rsidR="00147AEA">
        <w:t xml:space="preserve">We agree with the People that </w:t>
      </w:r>
      <w:r w:rsidRPr="00D84307" w:rsidR="00655A35">
        <w:t xml:space="preserve">the listing of counts 3 and 4, as opposed to two enhancements tied to count 3, </w:t>
      </w:r>
      <w:r w:rsidRPr="00D84307" w:rsidR="00147AEA">
        <w:t xml:space="preserve">was merely a clerical error.  The oral pronouncement was clear; the trial court intended to impose a </w:t>
      </w:r>
      <w:r w:rsidRPr="00D84307" w:rsidR="00DD0313">
        <w:t xml:space="preserve">combined </w:t>
      </w:r>
      <w:r w:rsidRPr="00D84307" w:rsidR="00147AEA">
        <w:t xml:space="preserve">term of </w:t>
      </w:r>
      <w:r w:rsidRPr="00D84307" w:rsidR="00C1240E">
        <w:t>eight</w:t>
      </w:r>
      <w:r w:rsidRPr="00D84307" w:rsidR="00147AEA">
        <w:t xml:space="preserve"> years on counts 3 and 4, </w:t>
      </w:r>
      <w:r w:rsidRPr="00D84307" w:rsidR="00DD0313">
        <w:t xml:space="preserve">with the punishment </w:t>
      </w:r>
      <w:r w:rsidRPr="00D84307" w:rsidR="00147AEA">
        <w:t>stayed as to</w:t>
      </w:r>
      <w:r w:rsidRPr="00D84307" w:rsidR="00DD0313">
        <w:t xml:space="preserve"> count</w:t>
      </w:r>
      <w:r w:rsidRPr="00D84307" w:rsidR="00147AEA">
        <w:t xml:space="preserve"> 4.  </w:t>
      </w:r>
      <w:r w:rsidRPr="00D84307" w:rsidR="00DD0313">
        <w:t xml:space="preserve">Had the court intended to stay both the base term and the enhancement as to count 4, it would have noted a term of </w:t>
      </w:r>
      <w:r w:rsidRPr="00D84307" w:rsidR="00C1240E">
        <w:t>five</w:t>
      </w:r>
      <w:r w:rsidRPr="00D84307" w:rsidR="00DD0313">
        <w:t xml:space="preserve"> years, not </w:t>
      </w:r>
      <w:r w:rsidRPr="00D84307" w:rsidR="00C1240E">
        <w:t>eight</w:t>
      </w:r>
      <w:r w:rsidRPr="00D84307" w:rsidR="00DD0313">
        <w:t xml:space="preserve">.  </w:t>
      </w:r>
      <w:r w:rsidRPr="00D84307" w:rsidR="001A16F2">
        <w:t>The court’s oral pronouncement constitutes the judgment</w:t>
      </w:r>
      <w:r w:rsidRPr="00D84307" w:rsidR="009F6EB6">
        <w:t xml:space="preserve">, which this court has inherent power to correct.  (See </w:t>
      </w:r>
      <w:r w:rsidRPr="00D84307" w:rsidR="009F6EB6">
        <w:rPr>
          <w:i/>
          <w:iCs/>
        </w:rPr>
        <w:t xml:space="preserve">People v. Mesa </w:t>
      </w:r>
      <w:r w:rsidRPr="00D84307" w:rsidR="009F6EB6">
        <w:t xml:space="preserve">(1975) 14 Cal.3d 466, 471; </w:t>
      </w:r>
      <w:r w:rsidRPr="00D84307" w:rsidR="008E3A47">
        <w:rPr>
          <w:i/>
          <w:iCs/>
        </w:rPr>
        <w:t xml:space="preserve">People v. Mitchell </w:t>
      </w:r>
      <w:r w:rsidRPr="00D84307" w:rsidR="008E3A47">
        <w:t>(2001) 26 Cal.4th 181, 18</w:t>
      </w:r>
      <w:r w:rsidRPr="00D84307" w:rsidR="00CD6382">
        <w:t>5−18</w:t>
      </w:r>
      <w:r w:rsidRPr="00D84307" w:rsidR="008E3A47">
        <w:t xml:space="preserve">6.)  </w:t>
      </w:r>
      <w:r w:rsidRPr="00D84307" w:rsidR="00CD6382">
        <w:t>We will do so here.</w:t>
      </w:r>
    </w:p>
    <w:p w:rsidR="00DD6D37" w:rsidRPr="00D84307" w:rsidP="009C61D2" w14:paraId="59C724DA" w14:textId="77777777">
      <w:pPr>
        <w:pStyle w:val="Heading1"/>
      </w:pPr>
      <w:r w:rsidRPr="00D84307">
        <w:t>DISPOSITION</w:t>
      </w:r>
    </w:p>
    <w:p w:rsidR="00CD6382" w:rsidRPr="00D84307" w:rsidP="00727C42" w14:paraId="47DD9331" w14:textId="0960C0E3">
      <w:pPr>
        <w:keepNext/>
        <w:keepLines/>
      </w:pPr>
      <w:r w:rsidRPr="00D84307">
        <w:tab/>
      </w:r>
      <w:r w:rsidRPr="00D84307" w:rsidR="0036570A">
        <w:t>The</w:t>
      </w:r>
      <w:r w:rsidRPr="00D84307" w:rsidR="00727C42">
        <w:t xml:space="preserve"> </w:t>
      </w:r>
      <w:r w:rsidRPr="00D84307" w:rsidR="0036570A">
        <w:t>judgment</w:t>
      </w:r>
      <w:r w:rsidRPr="00D84307" w:rsidR="00727C42">
        <w:t xml:space="preserve"> </w:t>
      </w:r>
      <w:r w:rsidRPr="00D84307" w:rsidR="0036570A">
        <w:t>is affirmed.</w:t>
      </w:r>
      <w:r w:rsidRPr="00D84307" w:rsidR="00727C42">
        <w:t xml:space="preserve"> </w:t>
      </w:r>
      <w:r w:rsidRPr="00D84307" w:rsidR="0036570A">
        <w:t xml:space="preserve"> The trial court is directed to prepare a new</w:t>
      </w:r>
      <w:r w:rsidRPr="00D84307" w:rsidR="00727C42">
        <w:t xml:space="preserve"> </w:t>
      </w:r>
      <w:r w:rsidRPr="00D84307" w:rsidR="0036570A">
        <w:t>abstract</w:t>
      </w:r>
      <w:r w:rsidRPr="00D84307" w:rsidR="00727C42">
        <w:t xml:space="preserve"> </w:t>
      </w:r>
      <w:r w:rsidRPr="00D84307" w:rsidR="0036570A">
        <w:t>of</w:t>
      </w:r>
      <w:r w:rsidRPr="00D84307" w:rsidR="00727C42">
        <w:t xml:space="preserve"> </w:t>
      </w:r>
      <w:r w:rsidRPr="00D84307" w:rsidR="0036570A">
        <w:t>judgment</w:t>
      </w:r>
      <w:r w:rsidRPr="00D84307" w:rsidR="00727C42">
        <w:t xml:space="preserve"> </w:t>
      </w:r>
      <w:r w:rsidRPr="00D84307" w:rsidR="0036570A">
        <w:t>to reflect</w:t>
      </w:r>
      <w:r w:rsidRPr="00D84307" w:rsidR="00F865AD">
        <w:t xml:space="preserve"> its</w:t>
      </w:r>
      <w:r w:rsidRPr="00D84307" w:rsidR="0036570A">
        <w:t xml:space="preserve"> oral pronouncement of judgment, including </w:t>
      </w:r>
      <w:r w:rsidRPr="00D84307" w:rsidR="00721C8F">
        <w:t>a separate impose</w:t>
      </w:r>
      <w:r w:rsidRPr="00D84307" w:rsidR="00DC766E">
        <w:t>d</w:t>
      </w:r>
      <w:r w:rsidRPr="00D84307" w:rsidR="00721C8F">
        <w:t xml:space="preserve"> term of</w:t>
      </w:r>
      <w:r w:rsidRPr="00D84307" w:rsidR="0036570A">
        <w:t xml:space="preserve"> </w:t>
      </w:r>
      <w:r w:rsidRPr="00D84307" w:rsidR="00C1240E">
        <w:t>three</w:t>
      </w:r>
      <w:r w:rsidRPr="00D84307" w:rsidR="0036570A">
        <w:t xml:space="preserve"> years for each of two enhancements to count 3, and a stayed imposition </w:t>
      </w:r>
      <w:r w:rsidRPr="00D84307" w:rsidR="00721C8F">
        <w:t>of the same</w:t>
      </w:r>
      <w:r w:rsidRPr="00D84307" w:rsidR="0036570A">
        <w:t xml:space="preserve"> enhancements on count 4.</w:t>
      </w:r>
      <w:r w:rsidRPr="00D84307" w:rsidR="00727C42">
        <w:t xml:space="preserve"> </w:t>
      </w:r>
      <w:r w:rsidRPr="00D84307" w:rsidR="0036570A">
        <w:t xml:space="preserve"> The trial court shall forward a certified copy of the corrected</w:t>
      </w:r>
      <w:r w:rsidRPr="00D84307" w:rsidR="00721C8F">
        <w:t xml:space="preserve"> abstract of judgment to </w:t>
      </w:r>
      <w:r w:rsidRPr="00D84307" w:rsidR="0036570A">
        <w:t>the California Department of Corrections and Rehabilitation.</w:t>
      </w:r>
    </w:p>
    <w:p w:rsidR="00A42397" w:rsidRPr="00D84307" w:rsidP="00727C42" w14:paraId="55C52AA6" w14:textId="77777777">
      <w:pPr>
        <w:keepNext/>
        <w:keepLines/>
      </w:pPr>
    </w:p>
    <w:p w:rsidR="00A42397" w:rsidRPr="00D84307" w:rsidP="00727C42" w14:paraId="511E72FF" w14:textId="77777777">
      <w:pPr>
        <w:keepNext/>
        <w:keepLines/>
        <w:spacing w:line="240" w:lineRule="auto"/>
      </w:pPr>
    </w:p>
    <w:p w:rsidR="00A42397" w:rsidRPr="00D84307" w:rsidP="00727C42" w14:paraId="42F81259" w14:textId="41E4A92A">
      <w:pPr>
        <w:keepNext/>
        <w:keepLines/>
        <w:spacing w:line="240" w:lineRule="auto"/>
        <w:jc w:val="right"/>
      </w:pPr>
      <w:r w:rsidRPr="00D84307">
        <w:t>KELETY, J.</w:t>
      </w:r>
    </w:p>
    <w:p w:rsidR="00A42397" w:rsidRPr="00D84307" w:rsidP="00727C42" w14:paraId="6A41503D" w14:textId="77777777">
      <w:pPr>
        <w:keepNext/>
        <w:keepLines/>
        <w:tabs>
          <w:tab w:val="right" w:pos="3600"/>
        </w:tabs>
        <w:spacing w:line="240" w:lineRule="auto"/>
      </w:pPr>
    </w:p>
    <w:p w:rsidR="00A42397" w:rsidRPr="00D84307" w:rsidP="00727C42" w14:paraId="0DDEC79A" w14:textId="369C1FC2">
      <w:pPr>
        <w:keepNext/>
        <w:keepLines/>
        <w:tabs>
          <w:tab w:val="right" w:pos="3600"/>
        </w:tabs>
        <w:spacing w:line="240" w:lineRule="auto"/>
      </w:pPr>
      <w:r w:rsidRPr="00D84307">
        <w:t>WE CONCUR:</w:t>
      </w:r>
    </w:p>
    <w:p w:rsidR="00A42397" w:rsidRPr="00D84307" w:rsidP="00727C42" w14:paraId="77826035" w14:textId="77777777">
      <w:pPr>
        <w:keepNext/>
        <w:keepLines/>
        <w:tabs>
          <w:tab w:val="right" w:pos="3600"/>
        </w:tabs>
        <w:spacing w:line="240" w:lineRule="auto"/>
      </w:pPr>
    </w:p>
    <w:p w:rsidR="00A42397" w:rsidRPr="00D84307" w:rsidP="00727C42" w14:paraId="407E8CB3" w14:textId="77777777">
      <w:pPr>
        <w:keepNext/>
        <w:keepLines/>
        <w:tabs>
          <w:tab w:val="right" w:pos="3600"/>
        </w:tabs>
        <w:spacing w:line="240" w:lineRule="auto"/>
      </w:pPr>
    </w:p>
    <w:p w:rsidR="00A42397" w:rsidRPr="00D84307" w:rsidP="00727C42" w14:paraId="631F0411" w14:textId="77777777">
      <w:pPr>
        <w:keepNext/>
        <w:keepLines/>
        <w:tabs>
          <w:tab w:val="right" w:pos="3600"/>
        </w:tabs>
        <w:spacing w:line="240" w:lineRule="auto"/>
      </w:pPr>
    </w:p>
    <w:p w:rsidR="00A42397" w:rsidRPr="00D84307" w:rsidP="00727C42" w14:paraId="378CE506" w14:textId="59536938">
      <w:pPr>
        <w:keepNext/>
        <w:keepLines/>
        <w:tabs>
          <w:tab w:val="right" w:pos="3600"/>
        </w:tabs>
        <w:spacing w:line="240" w:lineRule="auto"/>
      </w:pPr>
      <w:r w:rsidRPr="00D84307">
        <w:t>M</w:t>
      </w:r>
      <w:r w:rsidRPr="00D84307">
        <w:rPr>
          <w:smallCaps/>
        </w:rPr>
        <w:t>c</w:t>
      </w:r>
      <w:r w:rsidRPr="00D84307">
        <w:t>CONNELL, P. J.</w:t>
      </w:r>
    </w:p>
    <w:p w:rsidR="00A42397" w:rsidRPr="00D84307" w:rsidP="00727C42" w14:paraId="3083CC52" w14:textId="77777777">
      <w:pPr>
        <w:keepNext/>
        <w:keepLines/>
        <w:tabs>
          <w:tab w:val="right" w:pos="3600"/>
        </w:tabs>
        <w:spacing w:line="240" w:lineRule="auto"/>
      </w:pPr>
    </w:p>
    <w:p w:rsidR="00A42397" w:rsidRPr="00D84307" w:rsidP="00727C42" w14:paraId="47EBD106" w14:textId="77777777">
      <w:pPr>
        <w:keepNext/>
        <w:keepLines/>
        <w:tabs>
          <w:tab w:val="right" w:pos="3600"/>
        </w:tabs>
        <w:spacing w:line="240" w:lineRule="auto"/>
      </w:pPr>
    </w:p>
    <w:p w:rsidR="00A42397" w:rsidRPr="00D84307" w:rsidP="00727C42" w14:paraId="776B483B" w14:textId="77777777">
      <w:pPr>
        <w:keepNext/>
        <w:keepLines/>
        <w:tabs>
          <w:tab w:val="right" w:pos="3600"/>
        </w:tabs>
        <w:spacing w:line="240" w:lineRule="auto"/>
      </w:pPr>
    </w:p>
    <w:p w:rsidR="00A42397" w:rsidP="00727C42" w14:paraId="5546AA69" w14:textId="066CF31C">
      <w:pPr>
        <w:keepNext/>
        <w:keepLines/>
        <w:tabs>
          <w:tab w:val="right" w:pos="3600"/>
        </w:tabs>
        <w:spacing w:line="240" w:lineRule="auto"/>
      </w:pPr>
      <w:r w:rsidRPr="00D84307">
        <w:t>RUBIN, J.</w:t>
      </w:r>
    </w:p>
    <w:p w:rsidR="00A42397" w:rsidRPr="00A42397" w:rsidP="00A42397" w14:paraId="2185D2EE" w14:textId="77777777">
      <w:pPr>
        <w:keepNext/>
        <w:tabs>
          <w:tab w:val="right" w:pos="3600"/>
        </w:tabs>
        <w:spacing w:line="240" w:lineRule="auto"/>
      </w:pPr>
    </w:p>
    <w:sectPr w:rsidSect="0099570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4B819161"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345FB0C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DE9" w:rsidP="0003284A" w14:paraId="4E0DF60B" w14:textId="77777777">
      <w:pPr>
        <w:spacing w:line="240" w:lineRule="auto"/>
      </w:pPr>
      <w:r>
        <w:separator/>
      </w:r>
    </w:p>
  </w:footnote>
  <w:footnote w:type="continuationSeparator" w:id="1">
    <w:p w:rsidR="009E6DE9" w:rsidP="0003284A" w14:paraId="36CB38D5" w14:textId="77777777">
      <w:pPr>
        <w:spacing w:line="240" w:lineRule="auto"/>
      </w:pPr>
      <w:r>
        <w:continuationSeparator/>
      </w:r>
    </w:p>
  </w:footnote>
  <w:footnote w:id="2">
    <w:p w:rsidR="00451DD8" w:rsidRPr="00D84307" w:rsidP="00EE06B9" w14:paraId="3ED49485" w14:textId="700FA690">
      <w:pPr>
        <w:pStyle w:val="FootnoteText"/>
        <w:spacing w:after="240"/>
      </w:pPr>
      <w:r w:rsidRPr="00D84307">
        <w:rPr>
          <w:rStyle w:val="FootnoteReference"/>
        </w:rPr>
        <w:footnoteRef/>
      </w:r>
      <w:r w:rsidRPr="00D84307">
        <w:t xml:space="preserve"> </w:t>
      </w:r>
      <w:r w:rsidRPr="00D84307">
        <w:tab/>
        <w:t xml:space="preserve">All further unspecified statutory references are to the Penal Code. </w:t>
      </w:r>
    </w:p>
  </w:footnote>
  <w:footnote w:id="3">
    <w:p w:rsidR="00F5278E" w:rsidRPr="00D84307" w:rsidP="00EE06B9" w14:paraId="054AD28B" w14:textId="13053A9E">
      <w:pPr>
        <w:pStyle w:val="FootnoteText"/>
        <w:spacing w:after="240"/>
      </w:pPr>
      <w:r w:rsidRPr="00D84307">
        <w:rPr>
          <w:rStyle w:val="FootnoteReference"/>
        </w:rPr>
        <w:footnoteRef/>
      </w:r>
      <w:r w:rsidRPr="00D84307">
        <w:t xml:space="preserve"> </w:t>
      </w:r>
      <w:r w:rsidRPr="00D84307">
        <w:tab/>
        <w:t>The trial court</w:t>
      </w:r>
      <w:r w:rsidRPr="00D84307" w:rsidR="00C76E45">
        <w:t xml:space="preserve"> subsequently</w:t>
      </w:r>
      <w:r w:rsidRPr="00D84307">
        <w:t xml:space="preserve"> dismiss</w:t>
      </w:r>
      <w:r w:rsidRPr="00D84307" w:rsidR="000D2EC4">
        <w:t>ed</w:t>
      </w:r>
      <w:r w:rsidRPr="00D84307">
        <w:t xml:space="preserve"> count 5</w:t>
      </w:r>
      <w:r w:rsidRPr="00D84307" w:rsidR="006D4D28">
        <w:t xml:space="preserve">, violation of </w:t>
      </w:r>
      <w:r w:rsidRPr="00D84307" w:rsidR="006D4D28">
        <w:rPr>
          <w:szCs w:val="26"/>
        </w:rPr>
        <w:t>Veh</w:t>
      </w:r>
      <w:r w:rsidRPr="00D84307" w:rsidR="006D4D28">
        <w:t>icle</w:t>
      </w:r>
      <w:r w:rsidRPr="00D84307" w:rsidR="006D4D28">
        <w:rPr>
          <w:szCs w:val="26"/>
        </w:rPr>
        <w:t xml:space="preserve"> Code</w:t>
      </w:r>
      <w:r w:rsidRPr="00D84307" w:rsidR="006D4D28">
        <w:t xml:space="preserve"> section</w:t>
      </w:r>
      <w:r w:rsidRPr="00D84307" w:rsidR="006D4D28">
        <w:rPr>
          <w:szCs w:val="26"/>
        </w:rPr>
        <w:t xml:space="preserve"> 23153, subd</w:t>
      </w:r>
      <w:r w:rsidRPr="00D84307" w:rsidR="006D4D28">
        <w:t>ivision</w:t>
      </w:r>
      <w:r w:rsidRPr="00D84307" w:rsidR="006D4D28">
        <w:rPr>
          <w:szCs w:val="26"/>
        </w:rPr>
        <w:t xml:space="preserve"> (g).</w:t>
      </w:r>
      <w:r w:rsidRPr="00D84307" w:rsidR="006D4D28">
        <w:t xml:space="preserve"> </w:t>
      </w:r>
    </w:p>
  </w:footnote>
  <w:footnote w:id="4">
    <w:p w:rsidR="00F5278E" w:rsidRPr="00D84307" w:rsidP="00EE06B9" w14:paraId="227BDBB7" w14:textId="0730E1C6">
      <w:pPr>
        <w:pStyle w:val="FootnoteText"/>
        <w:spacing w:after="240"/>
      </w:pPr>
      <w:r w:rsidRPr="00D84307">
        <w:rPr>
          <w:rStyle w:val="FootnoteReference"/>
        </w:rPr>
        <w:footnoteRef/>
      </w:r>
      <w:r w:rsidRPr="00D84307">
        <w:t xml:space="preserve"> </w:t>
      </w:r>
      <w:r w:rsidRPr="00D84307">
        <w:tab/>
      </w:r>
      <w:r w:rsidRPr="00D84307" w:rsidR="00FF35FF">
        <w:t>Section 1192.7, subdivision (c)</w:t>
      </w:r>
      <w:r w:rsidRPr="00D84307" w:rsidR="008F0192">
        <w:t>(8)</w:t>
      </w:r>
      <w:r w:rsidRPr="00D84307" w:rsidR="00FF35FF">
        <w:t xml:space="preserve"> define</w:t>
      </w:r>
      <w:r w:rsidRPr="00D84307" w:rsidR="00545EEE">
        <w:t>s</w:t>
      </w:r>
      <w:r w:rsidRPr="00D84307" w:rsidR="00FF35FF">
        <w:t xml:space="preserve"> “ ‘serious felony’ ” </w:t>
      </w:r>
      <w:r w:rsidRPr="00D84307" w:rsidR="00BC0B9E">
        <w:t>to include: “any felony in which the defendant personally inflicts great bodily injury on any person, other than an accomplice.”</w:t>
      </w:r>
    </w:p>
  </w:footnote>
  <w:footnote w:id="5">
    <w:p w:rsidR="00F5278E" w:rsidRPr="00D84307" w:rsidP="00EE06B9" w14:paraId="04A8BE52" w14:textId="3773C709">
      <w:pPr>
        <w:pStyle w:val="FootnoteText"/>
        <w:spacing w:after="240"/>
      </w:pPr>
      <w:r w:rsidRPr="00D84307">
        <w:rPr>
          <w:rStyle w:val="FootnoteReference"/>
        </w:rPr>
        <w:footnoteRef/>
      </w:r>
      <w:r w:rsidRPr="00D84307">
        <w:t xml:space="preserve"> </w:t>
      </w:r>
      <w:r w:rsidRPr="00D84307">
        <w:tab/>
        <w:t> Sections 12022.7, subdivision (a) provides</w:t>
      </w:r>
      <w:r w:rsidRPr="00D84307" w:rsidR="00252879">
        <w:t xml:space="preserve"> an additional </w:t>
      </w:r>
      <w:r w:rsidRPr="00D84307" w:rsidR="00BA7D62">
        <w:t>three</w:t>
      </w:r>
      <w:r w:rsidRPr="00D84307" w:rsidR="00252879">
        <w:t xml:space="preserve"> year term for</w:t>
      </w:r>
      <w:r w:rsidRPr="00D84307">
        <w:t xml:space="preserve"> “</w:t>
      </w:r>
      <w:r w:rsidRPr="00D84307" w:rsidR="00252879">
        <w:t>[a]</w:t>
      </w:r>
      <w:r w:rsidRPr="00D84307">
        <w:t>ny person who personally inflicts great bodily injury on any person other than an accomplice in the commission of a felony.”</w:t>
      </w:r>
    </w:p>
  </w:footnote>
  <w:footnote w:id="6">
    <w:p w:rsidR="008871DA" w:rsidRPr="00D84307" w:rsidP="00EE06B9" w14:paraId="589A042A" w14:textId="7D4002E6">
      <w:pPr>
        <w:pStyle w:val="FootnoteText"/>
        <w:spacing w:after="240"/>
      </w:pPr>
      <w:r w:rsidRPr="00D84307">
        <w:rPr>
          <w:rStyle w:val="FootnoteReference"/>
        </w:rPr>
        <w:footnoteRef/>
      </w:r>
      <w:r w:rsidRPr="00D84307">
        <w:t xml:space="preserve"> </w:t>
      </w:r>
      <w:r w:rsidRPr="00D84307">
        <w:tab/>
        <w:t xml:space="preserve">Meno contends the People forfeited this issue by failing to raise it in the trial court.  Because the issue raises a relevant question of law that we review de novo, we exercise our discretion to reach the merits on appeal.  (See </w:t>
      </w:r>
      <w:r w:rsidRPr="00D84307">
        <w:rPr>
          <w:i/>
          <w:iCs/>
        </w:rPr>
        <w:t>Waller v. Truck Ins. Exchange, Inc.</w:t>
      </w:r>
      <w:r w:rsidRPr="00D84307">
        <w:t xml:space="preserve"> (1995) 11 Cal.4th 1, 24.) </w:t>
      </w:r>
    </w:p>
  </w:footnote>
  <w:footnote w:id="7">
    <w:p w:rsidR="00614645" w:rsidRPr="00D84307" w14:paraId="4BCF57D4" w14:textId="4076A6F7">
      <w:pPr>
        <w:pStyle w:val="FootnoteText"/>
      </w:pPr>
      <w:r w:rsidRPr="00D84307">
        <w:rPr>
          <w:rStyle w:val="FootnoteReference"/>
        </w:rPr>
        <w:footnoteRef/>
      </w:r>
      <w:r w:rsidRPr="00D84307">
        <w:t xml:space="preserve"> </w:t>
      </w:r>
      <w:r w:rsidRPr="00D84307">
        <w:tab/>
      </w:r>
      <w:r w:rsidRPr="00D84307" w:rsidR="000369EC">
        <w:t>T</w:t>
      </w:r>
      <w:r w:rsidRPr="00D84307">
        <w:t>he parties</w:t>
      </w:r>
      <w:r w:rsidRPr="00D84307" w:rsidR="0000640D">
        <w:t xml:space="preserve"> have always</w:t>
      </w:r>
      <w:r w:rsidRPr="00D84307">
        <w:t xml:space="preserve"> </w:t>
      </w:r>
      <w:r w:rsidRPr="00D84307" w:rsidR="0000640D">
        <w:t>agreed</w:t>
      </w:r>
      <w:r w:rsidRPr="00D84307">
        <w:t xml:space="preserve"> that a violation of section 191.5, subdivision (b) is a lesser included offense to a violation of section 191.5, subdivision (a).  The</w:t>
      </w:r>
      <w:r w:rsidRPr="00D84307" w:rsidR="00EC164E">
        <w:t xml:space="preserve"> verdict forms presented to the jury included</w:t>
      </w:r>
      <w:r w:rsidRPr="00D84307">
        <w:t xml:space="preserve"> separate verdict forms of </w:t>
      </w:r>
      <w:r w:rsidRPr="00D84307" w:rsidR="00FD438A">
        <w:t>c</w:t>
      </w:r>
      <w:r w:rsidRPr="00D84307">
        <w:t xml:space="preserve">ounts 1 and 2, one each for section 191.5, subdivision (a), and one each for the stated </w:t>
      </w:r>
      <w:r w:rsidRPr="00D84307" w:rsidR="00894782">
        <w:t>lesser included offense</w:t>
      </w:r>
      <w:r w:rsidRPr="00D84307">
        <w:t xml:space="preserve"> for section 191.5, subdivision (b)</w:t>
      </w:r>
      <w:r w:rsidRPr="00D84307" w:rsidR="00DE3FE9">
        <w:t>, and</w:t>
      </w:r>
      <w:r w:rsidRPr="00D84307" w:rsidR="0000640D">
        <w:t xml:space="preserve"> the trial court</w:t>
      </w:r>
      <w:r w:rsidRPr="00D84307" w:rsidR="00DE3FE9">
        <w:t xml:space="preserve"> instructed </w:t>
      </w:r>
      <w:r w:rsidRPr="00D84307" w:rsidR="00111357">
        <w:t xml:space="preserve">the jury </w:t>
      </w:r>
      <w:r w:rsidRPr="00D84307" w:rsidR="00DE3FE9">
        <w:t xml:space="preserve">to consider the </w:t>
      </w:r>
      <w:r w:rsidRPr="00D84307" w:rsidR="00EC25D1">
        <w:t>latter</w:t>
      </w:r>
      <w:r w:rsidRPr="00D84307" w:rsidR="00DE3FE9">
        <w:t xml:space="preserve"> charges only if they did not find Meno guilty of the </w:t>
      </w:r>
      <w:r w:rsidRPr="00D84307" w:rsidR="00EC25D1">
        <w:t>former</w:t>
      </w:r>
      <w:r w:rsidRPr="00D84307">
        <w:t>.</w:t>
      </w:r>
      <w:r w:rsidRPr="00D84307" w:rsidR="00DE3FE9">
        <w:t xml:space="preserve">  </w:t>
      </w:r>
    </w:p>
  </w:footnote>
  <w:footnote w:id="8">
    <w:p w:rsidR="00E077CB" w:rsidRPr="00D84307" w:rsidP="00E077CB" w14:paraId="7393C0B5" w14:textId="1E8EF6FC">
      <w:pPr>
        <w:pStyle w:val="FootnoteText"/>
        <w:spacing w:after="240"/>
      </w:pPr>
      <w:r w:rsidRPr="00D84307">
        <w:rPr>
          <w:rStyle w:val="FootnoteReference"/>
        </w:rPr>
        <w:footnoteRef/>
      </w:r>
      <w:r w:rsidRPr="00D84307">
        <w:t xml:space="preserve"> </w:t>
      </w:r>
      <w:r w:rsidRPr="00D84307">
        <w:tab/>
        <w:t xml:space="preserve">As relevant here, the </w:t>
      </w:r>
      <w:r w:rsidRPr="00D84307">
        <w:rPr>
          <w:i/>
          <w:iCs/>
        </w:rPr>
        <w:t>punishment</w:t>
      </w:r>
      <w:r w:rsidRPr="00D84307">
        <w:t xml:space="preserve"> for the single offense of DUI causing injury may be increased by adding enhancements, including separate enhancements under section 12022.7 for each injured individual.  (</w:t>
      </w:r>
      <w:r w:rsidRPr="00D84307">
        <w:rPr>
          <w:i/>
          <w:iCs/>
        </w:rPr>
        <w:t>Wilkoff</w:t>
      </w:r>
      <w:r w:rsidRPr="00D84307" w:rsidR="00330EC4">
        <w:rPr>
          <w:i/>
          <w:iCs/>
        </w:rPr>
        <w:t xml:space="preserve">, supra, </w:t>
      </w:r>
      <w:r w:rsidRPr="00D84307" w:rsidR="00330EC4">
        <w:t>38 Cal.3d</w:t>
      </w:r>
      <w:r w:rsidRPr="00D84307" w:rsidR="00330EC4">
        <w:rPr>
          <w:i/>
          <w:iCs/>
        </w:rPr>
        <w:t xml:space="preserve"> </w:t>
      </w:r>
      <w:r w:rsidRPr="00D84307" w:rsidR="00330EC4">
        <w:t>at</w:t>
      </w:r>
      <w:r w:rsidRPr="00D84307">
        <w:t xml:space="preserve"> p. 352; </w:t>
      </w:r>
      <w:r w:rsidRPr="00D84307">
        <w:rPr>
          <w:i/>
          <w:iCs/>
        </w:rPr>
        <w:t xml:space="preserve">People v. Arndt </w:t>
      </w:r>
      <w:r w:rsidRPr="00D84307">
        <w:t xml:space="preserve">(1999) 76 Cal.App.4th 387, 397.)  </w:t>
      </w:r>
    </w:p>
  </w:footnote>
  <w:footnote w:id="9">
    <w:p w:rsidR="00901280" w:rsidRPr="00D84307" w:rsidP="00EE06B9" w14:paraId="0A3347F5" w14:textId="77777777">
      <w:pPr>
        <w:pStyle w:val="FootnoteText"/>
        <w:spacing w:after="240"/>
      </w:pPr>
      <w:r w:rsidRPr="00D84307">
        <w:rPr>
          <w:rStyle w:val="FootnoteReference"/>
        </w:rPr>
        <w:footnoteRef/>
      </w:r>
      <w:r w:rsidRPr="00D84307">
        <w:t xml:space="preserve"> </w:t>
      </w:r>
      <w:r w:rsidRPr="00D84307">
        <w:tab/>
      </w:r>
      <w:r w:rsidRPr="00D84307" w:rsidR="00893A10">
        <w:t>I</w:t>
      </w:r>
      <w:r w:rsidRPr="00D84307">
        <w:t>f the People were correct that DUI causing injury is not a necessarily included offenses of vehicular manslaughter while intoxicated</w:t>
      </w:r>
      <w:r w:rsidRPr="00D84307" w:rsidR="00F92DE7">
        <w:t>,</w:t>
      </w:r>
      <w:r w:rsidRPr="00D84307">
        <w:t xml:space="preserve"> the trial court should </w:t>
      </w:r>
      <w:r w:rsidRPr="00D84307" w:rsidR="001E150D">
        <w:t xml:space="preserve">have stayed the punishment for, rather than </w:t>
      </w:r>
      <w:r w:rsidRPr="00D84307" w:rsidR="00636933">
        <w:t>vacate</w:t>
      </w:r>
      <w:r w:rsidRPr="00D84307" w:rsidR="001E150D">
        <w:t xml:space="preserve"> the convictions for,</w:t>
      </w:r>
      <w:r w:rsidRPr="00D84307">
        <w:t xml:space="preserve"> vehicular manslaughter while intoxicated.  </w:t>
      </w:r>
    </w:p>
  </w:footnote>
  <w:footnote w:id="10">
    <w:p w:rsidR="00295827" w14:paraId="51E4BD1C" w14:textId="0CBF28F5">
      <w:pPr>
        <w:pStyle w:val="FootnoteText"/>
      </w:pPr>
      <w:r w:rsidRPr="00D84307">
        <w:rPr>
          <w:rStyle w:val="FootnoteReference"/>
        </w:rPr>
        <w:footnoteRef/>
      </w:r>
      <w:r w:rsidRPr="00D84307">
        <w:t xml:space="preserve"> </w:t>
      </w:r>
      <w:r w:rsidRPr="00D84307">
        <w:tab/>
        <w:t>Neither party has suggested there was any error in how the charges were presented to the jury</w:t>
      </w:r>
      <w:r w:rsidRPr="00D84307" w:rsidR="00146E0A">
        <w:t xml:space="preserve"> and, thus, we expressly do not consider that issue in the present appeal.</w:t>
      </w:r>
      <w:r w:rsidR="00146E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397" w:rsidP="00A42397" w14:paraId="56DCA14B"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04520"/>
    <w:multiLevelType w:val="hybridMultilevel"/>
    <w:tmpl w:val="F63049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AD69E8"/>
    <w:multiLevelType w:val="hybridMultilevel"/>
    <w:tmpl w:val="0EE85D82"/>
    <w:lvl w:ilvl="0">
      <w:start w:val="1"/>
      <w:numFmt w:val="upperRoman"/>
      <w:pStyle w:val="Heading2"/>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F85000"/>
    <w:multiLevelType w:val="hybridMultilevel"/>
    <w:tmpl w:val="3612CD92"/>
    <w:lvl w:ilvl="0">
      <w:start w:val="1"/>
      <w:numFmt w:val="lowerRoman"/>
      <w:pStyle w:val="Heading5"/>
      <w:lvlText w:val="%1."/>
      <w:lvlJc w:val="righ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1F327073"/>
    <w:multiLevelType w:val="hybridMultilevel"/>
    <w:tmpl w:val="AC4C65E0"/>
    <w:lvl w:ilvl="0">
      <w:start w:val="1"/>
      <w:numFmt w:val="upperLetter"/>
      <w:lvlText w:val="%1."/>
      <w:lvlJc w:val="left"/>
      <w:pPr>
        <w:ind w:left="1080" w:hanging="360"/>
      </w:pPr>
      <w:rPr>
        <w:b/>
        <w:bCs/>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C3773C"/>
    <w:multiLevelType w:val="hybridMultilevel"/>
    <w:tmpl w:val="BF5CAF68"/>
    <w:lvl w:ilvl="0">
      <w:start w:val="1"/>
      <w:numFmt w:val="decimal"/>
      <w:lvlText w:val="%1."/>
      <w:lvlJc w:val="left"/>
      <w:pPr>
        <w:ind w:left="1800" w:hanging="360"/>
      </w:pPr>
      <w:rPr>
        <w:rFonts w:hint="default"/>
      </w:rPr>
    </w:lvl>
    <w:lvl w:ilvl="1">
      <w:start w:val="1"/>
      <w:numFmt w:val="lowerLetter"/>
      <w:pStyle w:val="Heading4"/>
      <w:lvlText w:val="%2."/>
      <w:lvlJc w:val="left"/>
      <w:pPr>
        <w:ind w:left="2520" w:hanging="360"/>
      </w:pPr>
      <w:rPr>
        <w:i w:val="0"/>
        <w:iCs w:val="0"/>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8946EFD"/>
    <w:multiLevelType w:val="hybridMultilevel"/>
    <w:tmpl w:val="AE965AF6"/>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6CD6DB6"/>
    <w:multiLevelType w:val="hybridMultilevel"/>
    <w:tmpl w:val="636C92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9F"/>
    <w:rsid w:val="00000BE3"/>
    <w:rsid w:val="000033E5"/>
    <w:rsid w:val="00004940"/>
    <w:rsid w:val="000052CD"/>
    <w:rsid w:val="000053C2"/>
    <w:rsid w:val="00005C04"/>
    <w:rsid w:val="0000640D"/>
    <w:rsid w:val="000073FA"/>
    <w:rsid w:val="0000777C"/>
    <w:rsid w:val="00013105"/>
    <w:rsid w:val="000156BE"/>
    <w:rsid w:val="00015B45"/>
    <w:rsid w:val="00017CF7"/>
    <w:rsid w:val="00020F05"/>
    <w:rsid w:val="00025C70"/>
    <w:rsid w:val="00025E58"/>
    <w:rsid w:val="00025FC8"/>
    <w:rsid w:val="00031532"/>
    <w:rsid w:val="0003280E"/>
    <w:rsid w:val="0003284A"/>
    <w:rsid w:val="00033167"/>
    <w:rsid w:val="00033603"/>
    <w:rsid w:val="00034690"/>
    <w:rsid w:val="00035158"/>
    <w:rsid w:val="000369EC"/>
    <w:rsid w:val="0004285A"/>
    <w:rsid w:val="00043616"/>
    <w:rsid w:val="00051A11"/>
    <w:rsid w:val="00053547"/>
    <w:rsid w:val="00054124"/>
    <w:rsid w:val="00054E07"/>
    <w:rsid w:val="00055322"/>
    <w:rsid w:val="00056D2A"/>
    <w:rsid w:val="00056F25"/>
    <w:rsid w:val="000606CE"/>
    <w:rsid w:val="00066B14"/>
    <w:rsid w:val="00067A19"/>
    <w:rsid w:val="00072149"/>
    <w:rsid w:val="00075EC5"/>
    <w:rsid w:val="00076BB4"/>
    <w:rsid w:val="00080A4F"/>
    <w:rsid w:val="00081585"/>
    <w:rsid w:val="00081E3F"/>
    <w:rsid w:val="00083D84"/>
    <w:rsid w:val="00084156"/>
    <w:rsid w:val="0008504A"/>
    <w:rsid w:val="000864EC"/>
    <w:rsid w:val="00087411"/>
    <w:rsid w:val="00092A6C"/>
    <w:rsid w:val="000935A4"/>
    <w:rsid w:val="000950C4"/>
    <w:rsid w:val="00097FDB"/>
    <w:rsid w:val="000A1932"/>
    <w:rsid w:val="000A1C7E"/>
    <w:rsid w:val="000A1E99"/>
    <w:rsid w:val="000A421E"/>
    <w:rsid w:val="000A4F97"/>
    <w:rsid w:val="000B6C7F"/>
    <w:rsid w:val="000B72F7"/>
    <w:rsid w:val="000C04AA"/>
    <w:rsid w:val="000C0793"/>
    <w:rsid w:val="000C4725"/>
    <w:rsid w:val="000C7C6A"/>
    <w:rsid w:val="000D0E35"/>
    <w:rsid w:val="000D2EC4"/>
    <w:rsid w:val="000D5778"/>
    <w:rsid w:val="000D6E36"/>
    <w:rsid w:val="000E0178"/>
    <w:rsid w:val="000E2E29"/>
    <w:rsid w:val="000E3EF0"/>
    <w:rsid w:val="000E413D"/>
    <w:rsid w:val="000F2F7B"/>
    <w:rsid w:val="000F62FA"/>
    <w:rsid w:val="000F735A"/>
    <w:rsid w:val="000F7A3D"/>
    <w:rsid w:val="00101DEB"/>
    <w:rsid w:val="001037EF"/>
    <w:rsid w:val="001043B4"/>
    <w:rsid w:val="00104F7F"/>
    <w:rsid w:val="00107456"/>
    <w:rsid w:val="001112D0"/>
    <w:rsid w:val="00111357"/>
    <w:rsid w:val="0011498D"/>
    <w:rsid w:val="00115776"/>
    <w:rsid w:val="001220F3"/>
    <w:rsid w:val="00127A83"/>
    <w:rsid w:val="00130C64"/>
    <w:rsid w:val="00132BC1"/>
    <w:rsid w:val="00132DAF"/>
    <w:rsid w:val="00132F33"/>
    <w:rsid w:val="001377E5"/>
    <w:rsid w:val="00137EBD"/>
    <w:rsid w:val="00140021"/>
    <w:rsid w:val="00141902"/>
    <w:rsid w:val="00141EA1"/>
    <w:rsid w:val="00142F59"/>
    <w:rsid w:val="00146E0A"/>
    <w:rsid w:val="00147295"/>
    <w:rsid w:val="001475DD"/>
    <w:rsid w:val="00147AEA"/>
    <w:rsid w:val="00151F08"/>
    <w:rsid w:val="00152080"/>
    <w:rsid w:val="00155559"/>
    <w:rsid w:val="001565D0"/>
    <w:rsid w:val="001574CE"/>
    <w:rsid w:val="00161399"/>
    <w:rsid w:val="00161418"/>
    <w:rsid w:val="00163C24"/>
    <w:rsid w:val="001656AF"/>
    <w:rsid w:val="001673C0"/>
    <w:rsid w:val="001676F7"/>
    <w:rsid w:val="00175EC9"/>
    <w:rsid w:val="001769AD"/>
    <w:rsid w:val="001811AF"/>
    <w:rsid w:val="001823A1"/>
    <w:rsid w:val="00182A68"/>
    <w:rsid w:val="00186A57"/>
    <w:rsid w:val="001903F3"/>
    <w:rsid w:val="00192214"/>
    <w:rsid w:val="001A16F2"/>
    <w:rsid w:val="001A1F7A"/>
    <w:rsid w:val="001A312D"/>
    <w:rsid w:val="001A567E"/>
    <w:rsid w:val="001B00FC"/>
    <w:rsid w:val="001B033B"/>
    <w:rsid w:val="001B15C4"/>
    <w:rsid w:val="001B1FF3"/>
    <w:rsid w:val="001B2513"/>
    <w:rsid w:val="001B4C5D"/>
    <w:rsid w:val="001B54EC"/>
    <w:rsid w:val="001B6833"/>
    <w:rsid w:val="001C1A1F"/>
    <w:rsid w:val="001C1ADD"/>
    <w:rsid w:val="001C1E43"/>
    <w:rsid w:val="001C2743"/>
    <w:rsid w:val="001C3FC5"/>
    <w:rsid w:val="001C51C7"/>
    <w:rsid w:val="001C6F8D"/>
    <w:rsid w:val="001C7FA4"/>
    <w:rsid w:val="001D21B3"/>
    <w:rsid w:val="001E150D"/>
    <w:rsid w:val="001E194F"/>
    <w:rsid w:val="001E519B"/>
    <w:rsid w:val="001E56E4"/>
    <w:rsid w:val="001E7EB5"/>
    <w:rsid w:val="001F0001"/>
    <w:rsid w:val="001F2971"/>
    <w:rsid w:val="001F44D6"/>
    <w:rsid w:val="002007E6"/>
    <w:rsid w:val="00200C42"/>
    <w:rsid w:val="00201681"/>
    <w:rsid w:val="00201970"/>
    <w:rsid w:val="0020200E"/>
    <w:rsid w:val="002027EE"/>
    <w:rsid w:val="002067F1"/>
    <w:rsid w:val="00206EFA"/>
    <w:rsid w:val="002108AC"/>
    <w:rsid w:val="00213926"/>
    <w:rsid w:val="00217558"/>
    <w:rsid w:val="002200FB"/>
    <w:rsid w:val="00222C80"/>
    <w:rsid w:val="00227653"/>
    <w:rsid w:val="0023115D"/>
    <w:rsid w:val="00231AEA"/>
    <w:rsid w:val="002349E2"/>
    <w:rsid w:val="0023550F"/>
    <w:rsid w:val="00235EC6"/>
    <w:rsid w:val="0024456C"/>
    <w:rsid w:val="002514B8"/>
    <w:rsid w:val="00252879"/>
    <w:rsid w:val="002532AC"/>
    <w:rsid w:val="002545E7"/>
    <w:rsid w:val="002564EE"/>
    <w:rsid w:val="00257DDA"/>
    <w:rsid w:val="00262D0A"/>
    <w:rsid w:val="00263A2D"/>
    <w:rsid w:val="00263D2F"/>
    <w:rsid w:val="002644AB"/>
    <w:rsid w:val="00264F5D"/>
    <w:rsid w:val="002655BE"/>
    <w:rsid w:val="002706DC"/>
    <w:rsid w:val="0027350B"/>
    <w:rsid w:val="00273DAD"/>
    <w:rsid w:val="00277393"/>
    <w:rsid w:val="00280742"/>
    <w:rsid w:val="00281FD2"/>
    <w:rsid w:val="00282BF7"/>
    <w:rsid w:val="002870FB"/>
    <w:rsid w:val="00292D25"/>
    <w:rsid w:val="00295827"/>
    <w:rsid w:val="0029598E"/>
    <w:rsid w:val="00296A9B"/>
    <w:rsid w:val="002A0320"/>
    <w:rsid w:val="002A1969"/>
    <w:rsid w:val="002A2A44"/>
    <w:rsid w:val="002A38BF"/>
    <w:rsid w:val="002A65D5"/>
    <w:rsid w:val="002A6AF8"/>
    <w:rsid w:val="002A7882"/>
    <w:rsid w:val="002B319A"/>
    <w:rsid w:val="002B35EA"/>
    <w:rsid w:val="002B4763"/>
    <w:rsid w:val="002B5C05"/>
    <w:rsid w:val="002B7921"/>
    <w:rsid w:val="002C1013"/>
    <w:rsid w:val="002C319C"/>
    <w:rsid w:val="002C6A63"/>
    <w:rsid w:val="002C6F42"/>
    <w:rsid w:val="002D0CA8"/>
    <w:rsid w:val="002D1D0B"/>
    <w:rsid w:val="002D2289"/>
    <w:rsid w:val="002D4518"/>
    <w:rsid w:val="002D4A6B"/>
    <w:rsid w:val="002D67C3"/>
    <w:rsid w:val="002E18E1"/>
    <w:rsid w:val="002E54F7"/>
    <w:rsid w:val="002E5B85"/>
    <w:rsid w:val="002E6AF0"/>
    <w:rsid w:val="002E7D90"/>
    <w:rsid w:val="002F01AD"/>
    <w:rsid w:val="002F3075"/>
    <w:rsid w:val="002F69DE"/>
    <w:rsid w:val="00300A25"/>
    <w:rsid w:val="003133E1"/>
    <w:rsid w:val="00314758"/>
    <w:rsid w:val="00316B05"/>
    <w:rsid w:val="003170B9"/>
    <w:rsid w:val="00317176"/>
    <w:rsid w:val="00320A2D"/>
    <w:rsid w:val="003248B9"/>
    <w:rsid w:val="00325AC9"/>
    <w:rsid w:val="00326269"/>
    <w:rsid w:val="00330A90"/>
    <w:rsid w:val="00330EC4"/>
    <w:rsid w:val="00331109"/>
    <w:rsid w:val="003332C9"/>
    <w:rsid w:val="003345B7"/>
    <w:rsid w:val="00341385"/>
    <w:rsid w:val="0034161C"/>
    <w:rsid w:val="003467CC"/>
    <w:rsid w:val="00347111"/>
    <w:rsid w:val="00347E6D"/>
    <w:rsid w:val="00353AAF"/>
    <w:rsid w:val="00353C33"/>
    <w:rsid w:val="00354152"/>
    <w:rsid w:val="00356B7A"/>
    <w:rsid w:val="00361A83"/>
    <w:rsid w:val="003626A6"/>
    <w:rsid w:val="0036318C"/>
    <w:rsid w:val="00363A78"/>
    <w:rsid w:val="0036570A"/>
    <w:rsid w:val="00365FDC"/>
    <w:rsid w:val="00372829"/>
    <w:rsid w:val="00372E8F"/>
    <w:rsid w:val="00374A70"/>
    <w:rsid w:val="00377E88"/>
    <w:rsid w:val="00380414"/>
    <w:rsid w:val="0038218E"/>
    <w:rsid w:val="003835B2"/>
    <w:rsid w:val="00383CA3"/>
    <w:rsid w:val="00384142"/>
    <w:rsid w:val="0038493C"/>
    <w:rsid w:val="00390162"/>
    <w:rsid w:val="00391BFF"/>
    <w:rsid w:val="00393469"/>
    <w:rsid w:val="00393560"/>
    <w:rsid w:val="00393BA5"/>
    <w:rsid w:val="00396EB8"/>
    <w:rsid w:val="003A0FD0"/>
    <w:rsid w:val="003A1C6E"/>
    <w:rsid w:val="003A317F"/>
    <w:rsid w:val="003A426E"/>
    <w:rsid w:val="003B111D"/>
    <w:rsid w:val="003B19E5"/>
    <w:rsid w:val="003B244A"/>
    <w:rsid w:val="003B5FB9"/>
    <w:rsid w:val="003B7D56"/>
    <w:rsid w:val="003C13A3"/>
    <w:rsid w:val="003C258B"/>
    <w:rsid w:val="003C2798"/>
    <w:rsid w:val="003C3B39"/>
    <w:rsid w:val="003C55D3"/>
    <w:rsid w:val="003C6D8C"/>
    <w:rsid w:val="003D03A0"/>
    <w:rsid w:val="003D14CD"/>
    <w:rsid w:val="003E0D91"/>
    <w:rsid w:val="003E2E58"/>
    <w:rsid w:val="003E31D7"/>
    <w:rsid w:val="003E437F"/>
    <w:rsid w:val="003E45E0"/>
    <w:rsid w:val="003E7727"/>
    <w:rsid w:val="003F07AD"/>
    <w:rsid w:val="003F2D68"/>
    <w:rsid w:val="003F6371"/>
    <w:rsid w:val="003F72CF"/>
    <w:rsid w:val="004005B6"/>
    <w:rsid w:val="00401F73"/>
    <w:rsid w:val="0040488B"/>
    <w:rsid w:val="004120F0"/>
    <w:rsid w:val="00416393"/>
    <w:rsid w:val="004174E2"/>
    <w:rsid w:val="004214C0"/>
    <w:rsid w:val="004223A4"/>
    <w:rsid w:val="00425627"/>
    <w:rsid w:val="00425B01"/>
    <w:rsid w:val="004270FA"/>
    <w:rsid w:val="0042756D"/>
    <w:rsid w:val="00427E1C"/>
    <w:rsid w:val="00430812"/>
    <w:rsid w:val="00434BA0"/>
    <w:rsid w:val="00435A46"/>
    <w:rsid w:val="004371B3"/>
    <w:rsid w:val="00440993"/>
    <w:rsid w:val="00440B28"/>
    <w:rsid w:val="004433CB"/>
    <w:rsid w:val="00444201"/>
    <w:rsid w:val="00451A7A"/>
    <w:rsid w:val="00451DD8"/>
    <w:rsid w:val="00454AF0"/>
    <w:rsid w:val="0045738B"/>
    <w:rsid w:val="00457944"/>
    <w:rsid w:val="00457B7C"/>
    <w:rsid w:val="00460EC3"/>
    <w:rsid w:val="004615AD"/>
    <w:rsid w:val="00461BEC"/>
    <w:rsid w:val="00463969"/>
    <w:rsid w:val="00467E3D"/>
    <w:rsid w:val="0047129A"/>
    <w:rsid w:val="00480B51"/>
    <w:rsid w:val="004862DD"/>
    <w:rsid w:val="0049153B"/>
    <w:rsid w:val="00495A17"/>
    <w:rsid w:val="00495B70"/>
    <w:rsid w:val="004973F0"/>
    <w:rsid w:val="004A1722"/>
    <w:rsid w:val="004A2D86"/>
    <w:rsid w:val="004A2EE8"/>
    <w:rsid w:val="004A43CE"/>
    <w:rsid w:val="004A6A2C"/>
    <w:rsid w:val="004B0565"/>
    <w:rsid w:val="004B536D"/>
    <w:rsid w:val="004B69AB"/>
    <w:rsid w:val="004B7376"/>
    <w:rsid w:val="004C0F63"/>
    <w:rsid w:val="004C0FF6"/>
    <w:rsid w:val="004C12F5"/>
    <w:rsid w:val="004C60CE"/>
    <w:rsid w:val="004D0370"/>
    <w:rsid w:val="004D4A23"/>
    <w:rsid w:val="004D562B"/>
    <w:rsid w:val="004E119F"/>
    <w:rsid w:val="004E27D9"/>
    <w:rsid w:val="004E2904"/>
    <w:rsid w:val="004E678B"/>
    <w:rsid w:val="004E77D6"/>
    <w:rsid w:val="004F0CBD"/>
    <w:rsid w:val="004F432B"/>
    <w:rsid w:val="004F5E83"/>
    <w:rsid w:val="004F731E"/>
    <w:rsid w:val="005009E4"/>
    <w:rsid w:val="00501DD0"/>
    <w:rsid w:val="00506A96"/>
    <w:rsid w:val="00511139"/>
    <w:rsid w:val="00514C04"/>
    <w:rsid w:val="00517AEB"/>
    <w:rsid w:val="00520DD3"/>
    <w:rsid w:val="005267AF"/>
    <w:rsid w:val="00527B87"/>
    <w:rsid w:val="00532320"/>
    <w:rsid w:val="0053257A"/>
    <w:rsid w:val="00532E1C"/>
    <w:rsid w:val="00533083"/>
    <w:rsid w:val="0053481B"/>
    <w:rsid w:val="00534994"/>
    <w:rsid w:val="00535B57"/>
    <w:rsid w:val="0053672E"/>
    <w:rsid w:val="00537C24"/>
    <w:rsid w:val="005416E1"/>
    <w:rsid w:val="005430CE"/>
    <w:rsid w:val="00544559"/>
    <w:rsid w:val="00545EEE"/>
    <w:rsid w:val="00550CFC"/>
    <w:rsid w:val="00551D30"/>
    <w:rsid w:val="00551E33"/>
    <w:rsid w:val="005531E3"/>
    <w:rsid w:val="0056080F"/>
    <w:rsid w:val="00563AB5"/>
    <w:rsid w:val="0056502A"/>
    <w:rsid w:val="00571197"/>
    <w:rsid w:val="00572233"/>
    <w:rsid w:val="00572A45"/>
    <w:rsid w:val="00573F05"/>
    <w:rsid w:val="0057613C"/>
    <w:rsid w:val="00576DEE"/>
    <w:rsid w:val="0058134C"/>
    <w:rsid w:val="00582D3D"/>
    <w:rsid w:val="00591829"/>
    <w:rsid w:val="005966EC"/>
    <w:rsid w:val="0059701F"/>
    <w:rsid w:val="005A4A3D"/>
    <w:rsid w:val="005A4E4E"/>
    <w:rsid w:val="005A515E"/>
    <w:rsid w:val="005A677B"/>
    <w:rsid w:val="005A6E34"/>
    <w:rsid w:val="005A7494"/>
    <w:rsid w:val="005A7EE3"/>
    <w:rsid w:val="005B02B3"/>
    <w:rsid w:val="005B28E6"/>
    <w:rsid w:val="005B2BE7"/>
    <w:rsid w:val="005B62C8"/>
    <w:rsid w:val="005C0F3B"/>
    <w:rsid w:val="005C16EE"/>
    <w:rsid w:val="005C2500"/>
    <w:rsid w:val="005C2D9C"/>
    <w:rsid w:val="005C2FBA"/>
    <w:rsid w:val="005C4D45"/>
    <w:rsid w:val="005C6B99"/>
    <w:rsid w:val="005C75CE"/>
    <w:rsid w:val="005C7A7D"/>
    <w:rsid w:val="005D0312"/>
    <w:rsid w:val="005D1C7D"/>
    <w:rsid w:val="005D1E4D"/>
    <w:rsid w:val="005D2454"/>
    <w:rsid w:val="005D5697"/>
    <w:rsid w:val="005E051C"/>
    <w:rsid w:val="005E08D3"/>
    <w:rsid w:val="005E15F5"/>
    <w:rsid w:val="005E4712"/>
    <w:rsid w:val="005F0114"/>
    <w:rsid w:val="005F5926"/>
    <w:rsid w:val="00601706"/>
    <w:rsid w:val="00604A2D"/>
    <w:rsid w:val="00607422"/>
    <w:rsid w:val="00614645"/>
    <w:rsid w:val="00614A06"/>
    <w:rsid w:val="00620961"/>
    <w:rsid w:val="00621C7C"/>
    <w:rsid w:val="00624BD6"/>
    <w:rsid w:val="00636538"/>
    <w:rsid w:val="00636933"/>
    <w:rsid w:val="00637904"/>
    <w:rsid w:val="00637919"/>
    <w:rsid w:val="00645F17"/>
    <w:rsid w:val="00655A35"/>
    <w:rsid w:val="006568C6"/>
    <w:rsid w:val="00656C48"/>
    <w:rsid w:val="006574F4"/>
    <w:rsid w:val="00657BCF"/>
    <w:rsid w:val="00657D8D"/>
    <w:rsid w:val="00660473"/>
    <w:rsid w:val="00660949"/>
    <w:rsid w:val="0066454A"/>
    <w:rsid w:val="00665CEE"/>
    <w:rsid w:val="0066674A"/>
    <w:rsid w:val="00666E31"/>
    <w:rsid w:val="00670A64"/>
    <w:rsid w:val="00671253"/>
    <w:rsid w:val="00671D30"/>
    <w:rsid w:val="0067354D"/>
    <w:rsid w:val="006748A7"/>
    <w:rsid w:val="00674B77"/>
    <w:rsid w:val="00680887"/>
    <w:rsid w:val="00681152"/>
    <w:rsid w:val="0068369B"/>
    <w:rsid w:val="00684DA4"/>
    <w:rsid w:val="00690D75"/>
    <w:rsid w:val="0069157D"/>
    <w:rsid w:val="00693528"/>
    <w:rsid w:val="00694350"/>
    <w:rsid w:val="00695841"/>
    <w:rsid w:val="006961F2"/>
    <w:rsid w:val="00697523"/>
    <w:rsid w:val="006A0640"/>
    <w:rsid w:val="006A082A"/>
    <w:rsid w:val="006A20C1"/>
    <w:rsid w:val="006A2289"/>
    <w:rsid w:val="006A3AB2"/>
    <w:rsid w:val="006B1D57"/>
    <w:rsid w:val="006B2072"/>
    <w:rsid w:val="006B21DF"/>
    <w:rsid w:val="006B30B9"/>
    <w:rsid w:val="006B4611"/>
    <w:rsid w:val="006B48A6"/>
    <w:rsid w:val="006B53E4"/>
    <w:rsid w:val="006B6DC6"/>
    <w:rsid w:val="006C0EE8"/>
    <w:rsid w:val="006C26DA"/>
    <w:rsid w:val="006C43C9"/>
    <w:rsid w:val="006C5F5F"/>
    <w:rsid w:val="006C6083"/>
    <w:rsid w:val="006C7D8A"/>
    <w:rsid w:val="006D00F1"/>
    <w:rsid w:val="006D05AD"/>
    <w:rsid w:val="006D4D28"/>
    <w:rsid w:val="006D7C90"/>
    <w:rsid w:val="006E4AF8"/>
    <w:rsid w:val="006E50AF"/>
    <w:rsid w:val="006F0E16"/>
    <w:rsid w:val="006F5246"/>
    <w:rsid w:val="006F5D47"/>
    <w:rsid w:val="00702D9D"/>
    <w:rsid w:val="00703D19"/>
    <w:rsid w:val="00710849"/>
    <w:rsid w:val="0071084B"/>
    <w:rsid w:val="00710F08"/>
    <w:rsid w:val="00713381"/>
    <w:rsid w:val="00716702"/>
    <w:rsid w:val="00717619"/>
    <w:rsid w:val="0072083D"/>
    <w:rsid w:val="00721C8F"/>
    <w:rsid w:val="00721EE0"/>
    <w:rsid w:val="00722A55"/>
    <w:rsid w:val="00723829"/>
    <w:rsid w:val="00724238"/>
    <w:rsid w:val="00724586"/>
    <w:rsid w:val="00724DBE"/>
    <w:rsid w:val="00727C42"/>
    <w:rsid w:val="00734143"/>
    <w:rsid w:val="007341D3"/>
    <w:rsid w:val="00736B38"/>
    <w:rsid w:val="00740189"/>
    <w:rsid w:val="007451BC"/>
    <w:rsid w:val="007459FA"/>
    <w:rsid w:val="00755369"/>
    <w:rsid w:val="00755C04"/>
    <w:rsid w:val="0076434B"/>
    <w:rsid w:val="0076451E"/>
    <w:rsid w:val="0076479E"/>
    <w:rsid w:val="00765F20"/>
    <w:rsid w:val="00767D62"/>
    <w:rsid w:val="00773BB7"/>
    <w:rsid w:val="007744C6"/>
    <w:rsid w:val="00775170"/>
    <w:rsid w:val="00776655"/>
    <w:rsid w:val="00777AEE"/>
    <w:rsid w:val="007816D1"/>
    <w:rsid w:val="0078472E"/>
    <w:rsid w:val="00785AB2"/>
    <w:rsid w:val="007873E7"/>
    <w:rsid w:val="0079189C"/>
    <w:rsid w:val="00793ABE"/>
    <w:rsid w:val="00794DB3"/>
    <w:rsid w:val="007950A2"/>
    <w:rsid w:val="007956B2"/>
    <w:rsid w:val="00796D47"/>
    <w:rsid w:val="007A2CC6"/>
    <w:rsid w:val="007A567F"/>
    <w:rsid w:val="007A7A25"/>
    <w:rsid w:val="007A7ECF"/>
    <w:rsid w:val="007B21D4"/>
    <w:rsid w:val="007B2413"/>
    <w:rsid w:val="007C3939"/>
    <w:rsid w:val="007C700C"/>
    <w:rsid w:val="007D02D4"/>
    <w:rsid w:val="007D211A"/>
    <w:rsid w:val="007D50C1"/>
    <w:rsid w:val="007D5A01"/>
    <w:rsid w:val="007D6121"/>
    <w:rsid w:val="007E04E8"/>
    <w:rsid w:val="007E1F02"/>
    <w:rsid w:val="007E3529"/>
    <w:rsid w:val="007E5AD3"/>
    <w:rsid w:val="007E62AC"/>
    <w:rsid w:val="007F0C5A"/>
    <w:rsid w:val="00804CDD"/>
    <w:rsid w:val="008053E6"/>
    <w:rsid w:val="008064F0"/>
    <w:rsid w:val="00807E17"/>
    <w:rsid w:val="008115F7"/>
    <w:rsid w:val="00812253"/>
    <w:rsid w:val="00812BE2"/>
    <w:rsid w:val="008153EC"/>
    <w:rsid w:val="0081575E"/>
    <w:rsid w:val="00815C6A"/>
    <w:rsid w:val="008244F9"/>
    <w:rsid w:val="008274C1"/>
    <w:rsid w:val="008309CB"/>
    <w:rsid w:val="008324EF"/>
    <w:rsid w:val="00834AB8"/>
    <w:rsid w:val="00845838"/>
    <w:rsid w:val="008466CC"/>
    <w:rsid w:val="00846B3A"/>
    <w:rsid w:val="00852779"/>
    <w:rsid w:val="00860C6E"/>
    <w:rsid w:val="00860CE0"/>
    <w:rsid w:val="00861D0B"/>
    <w:rsid w:val="00864A6D"/>
    <w:rsid w:val="00867029"/>
    <w:rsid w:val="00867927"/>
    <w:rsid w:val="00871176"/>
    <w:rsid w:val="00871E6F"/>
    <w:rsid w:val="0088060C"/>
    <w:rsid w:val="00881380"/>
    <w:rsid w:val="0088188A"/>
    <w:rsid w:val="00881CCA"/>
    <w:rsid w:val="0088429F"/>
    <w:rsid w:val="00884AF1"/>
    <w:rsid w:val="00885AF3"/>
    <w:rsid w:val="008870D2"/>
    <w:rsid w:val="008871DA"/>
    <w:rsid w:val="00891FA6"/>
    <w:rsid w:val="00893A10"/>
    <w:rsid w:val="008941DC"/>
    <w:rsid w:val="00894782"/>
    <w:rsid w:val="0089537C"/>
    <w:rsid w:val="00895D57"/>
    <w:rsid w:val="00896001"/>
    <w:rsid w:val="008A161F"/>
    <w:rsid w:val="008A1855"/>
    <w:rsid w:val="008A3ED8"/>
    <w:rsid w:val="008A43EF"/>
    <w:rsid w:val="008A49E1"/>
    <w:rsid w:val="008A5BA8"/>
    <w:rsid w:val="008A6309"/>
    <w:rsid w:val="008A7A39"/>
    <w:rsid w:val="008B0F2F"/>
    <w:rsid w:val="008B474E"/>
    <w:rsid w:val="008B7633"/>
    <w:rsid w:val="008C0765"/>
    <w:rsid w:val="008C0EB6"/>
    <w:rsid w:val="008C181B"/>
    <w:rsid w:val="008C2955"/>
    <w:rsid w:val="008C4DCF"/>
    <w:rsid w:val="008C5F17"/>
    <w:rsid w:val="008C6A1B"/>
    <w:rsid w:val="008D018A"/>
    <w:rsid w:val="008D223B"/>
    <w:rsid w:val="008D3C29"/>
    <w:rsid w:val="008D41E1"/>
    <w:rsid w:val="008D481E"/>
    <w:rsid w:val="008D64D3"/>
    <w:rsid w:val="008E173C"/>
    <w:rsid w:val="008E1B6D"/>
    <w:rsid w:val="008E392B"/>
    <w:rsid w:val="008E3A47"/>
    <w:rsid w:val="008E3D25"/>
    <w:rsid w:val="008E7741"/>
    <w:rsid w:val="008F00B2"/>
    <w:rsid w:val="008F0192"/>
    <w:rsid w:val="008F131B"/>
    <w:rsid w:val="00901280"/>
    <w:rsid w:val="0090236D"/>
    <w:rsid w:val="00903001"/>
    <w:rsid w:val="009039F0"/>
    <w:rsid w:val="00905F84"/>
    <w:rsid w:val="00911B17"/>
    <w:rsid w:val="00912645"/>
    <w:rsid w:val="00912E62"/>
    <w:rsid w:val="0091673F"/>
    <w:rsid w:val="009220E5"/>
    <w:rsid w:val="00922410"/>
    <w:rsid w:val="009225EE"/>
    <w:rsid w:val="009248F7"/>
    <w:rsid w:val="0093073A"/>
    <w:rsid w:val="0093262C"/>
    <w:rsid w:val="00937BC9"/>
    <w:rsid w:val="00941929"/>
    <w:rsid w:val="00941993"/>
    <w:rsid w:val="009425DE"/>
    <w:rsid w:val="00942E1A"/>
    <w:rsid w:val="00944751"/>
    <w:rsid w:val="0094493E"/>
    <w:rsid w:val="00944C8C"/>
    <w:rsid w:val="0095301E"/>
    <w:rsid w:val="00953EA5"/>
    <w:rsid w:val="009540A8"/>
    <w:rsid w:val="0095541F"/>
    <w:rsid w:val="0095599F"/>
    <w:rsid w:val="00966040"/>
    <w:rsid w:val="00970829"/>
    <w:rsid w:val="00970F2F"/>
    <w:rsid w:val="009755C6"/>
    <w:rsid w:val="0097737F"/>
    <w:rsid w:val="0098014A"/>
    <w:rsid w:val="009806F4"/>
    <w:rsid w:val="00984ADF"/>
    <w:rsid w:val="00985E3E"/>
    <w:rsid w:val="00987161"/>
    <w:rsid w:val="009906ED"/>
    <w:rsid w:val="00990A3C"/>
    <w:rsid w:val="00992A48"/>
    <w:rsid w:val="00994D66"/>
    <w:rsid w:val="0099557B"/>
    <w:rsid w:val="00995705"/>
    <w:rsid w:val="009A45BA"/>
    <w:rsid w:val="009A45DF"/>
    <w:rsid w:val="009A7EA1"/>
    <w:rsid w:val="009B4038"/>
    <w:rsid w:val="009B559B"/>
    <w:rsid w:val="009B62CC"/>
    <w:rsid w:val="009B7644"/>
    <w:rsid w:val="009B7703"/>
    <w:rsid w:val="009B77E6"/>
    <w:rsid w:val="009C2F38"/>
    <w:rsid w:val="009C3C0E"/>
    <w:rsid w:val="009C3DE4"/>
    <w:rsid w:val="009C3E77"/>
    <w:rsid w:val="009C4C80"/>
    <w:rsid w:val="009C5666"/>
    <w:rsid w:val="009C61D2"/>
    <w:rsid w:val="009D146C"/>
    <w:rsid w:val="009D3164"/>
    <w:rsid w:val="009D624F"/>
    <w:rsid w:val="009E183E"/>
    <w:rsid w:val="009E256A"/>
    <w:rsid w:val="009E2712"/>
    <w:rsid w:val="009E4B61"/>
    <w:rsid w:val="009E5D7D"/>
    <w:rsid w:val="009E6BB6"/>
    <w:rsid w:val="009E6DE9"/>
    <w:rsid w:val="009F0C74"/>
    <w:rsid w:val="009F1305"/>
    <w:rsid w:val="009F1338"/>
    <w:rsid w:val="009F237D"/>
    <w:rsid w:val="009F3929"/>
    <w:rsid w:val="009F3A1B"/>
    <w:rsid w:val="009F4E04"/>
    <w:rsid w:val="009F55CD"/>
    <w:rsid w:val="009F6EB6"/>
    <w:rsid w:val="00A01416"/>
    <w:rsid w:val="00A04BA8"/>
    <w:rsid w:val="00A050B1"/>
    <w:rsid w:val="00A05599"/>
    <w:rsid w:val="00A05769"/>
    <w:rsid w:val="00A07913"/>
    <w:rsid w:val="00A11950"/>
    <w:rsid w:val="00A12732"/>
    <w:rsid w:val="00A147F0"/>
    <w:rsid w:val="00A15586"/>
    <w:rsid w:val="00A20D35"/>
    <w:rsid w:val="00A2407C"/>
    <w:rsid w:val="00A2437A"/>
    <w:rsid w:val="00A244E5"/>
    <w:rsid w:val="00A25FC8"/>
    <w:rsid w:val="00A26169"/>
    <w:rsid w:val="00A27B38"/>
    <w:rsid w:val="00A30896"/>
    <w:rsid w:val="00A33CDD"/>
    <w:rsid w:val="00A342C4"/>
    <w:rsid w:val="00A407D3"/>
    <w:rsid w:val="00A41DED"/>
    <w:rsid w:val="00A42397"/>
    <w:rsid w:val="00A433AE"/>
    <w:rsid w:val="00A442E3"/>
    <w:rsid w:val="00A465B2"/>
    <w:rsid w:val="00A53977"/>
    <w:rsid w:val="00A53EFB"/>
    <w:rsid w:val="00A554A4"/>
    <w:rsid w:val="00A5743C"/>
    <w:rsid w:val="00A61586"/>
    <w:rsid w:val="00A6452A"/>
    <w:rsid w:val="00A65CD0"/>
    <w:rsid w:val="00A66CEF"/>
    <w:rsid w:val="00A73219"/>
    <w:rsid w:val="00A74843"/>
    <w:rsid w:val="00A77A7F"/>
    <w:rsid w:val="00A85502"/>
    <w:rsid w:val="00A870E2"/>
    <w:rsid w:val="00A8730F"/>
    <w:rsid w:val="00A90086"/>
    <w:rsid w:val="00A92F75"/>
    <w:rsid w:val="00A97A24"/>
    <w:rsid w:val="00AA0BEE"/>
    <w:rsid w:val="00AA5312"/>
    <w:rsid w:val="00AA7523"/>
    <w:rsid w:val="00AB03E8"/>
    <w:rsid w:val="00AB3F54"/>
    <w:rsid w:val="00AB7C43"/>
    <w:rsid w:val="00AC062F"/>
    <w:rsid w:val="00AC0769"/>
    <w:rsid w:val="00AC10C7"/>
    <w:rsid w:val="00AC2589"/>
    <w:rsid w:val="00AC2EF5"/>
    <w:rsid w:val="00AC7B73"/>
    <w:rsid w:val="00AD1C0C"/>
    <w:rsid w:val="00AD3B96"/>
    <w:rsid w:val="00AD4094"/>
    <w:rsid w:val="00AD5409"/>
    <w:rsid w:val="00AD6083"/>
    <w:rsid w:val="00AD60C5"/>
    <w:rsid w:val="00AF0ABE"/>
    <w:rsid w:val="00AF0D54"/>
    <w:rsid w:val="00AF5BF4"/>
    <w:rsid w:val="00B0006E"/>
    <w:rsid w:val="00B01246"/>
    <w:rsid w:val="00B03F4F"/>
    <w:rsid w:val="00B061FB"/>
    <w:rsid w:val="00B10381"/>
    <w:rsid w:val="00B12C67"/>
    <w:rsid w:val="00B13D3D"/>
    <w:rsid w:val="00B16384"/>
    <w:rsid w:val="00B2144A"/>
    <w:rsid w:val="00B2256F"/>
    <w:rsid w:val="00B22AD1"/>
    <w:rsid w:val="00B232E1"/>
    <w:rsid w:val="00B257E3"/>
    <w:rsid w:val="00B264DC"/>
    <w:rsid w:val="00B26A29"/>
    <w:rsid w:val="00B30EC1"/>
    <w:rsid w:val="00B31F5A"/>
    <w:rsid w:val="00B32FEF"/>
    <w:rsid w:val="00B34E16"/>
    <w:rsid w:val="00B34F7C"/>
    <w:rsid w:val="00B37605"/>
    <w:rsid w:val="00B42E44"/>
    <w:rsid w:val="00B431A9"/>
    <w:rsid w:val="00B43722"/>
    <w:rsid w:val="00B44C6E"/>
    <w:rsid w:val="00B46EDA"/>
    <w:rsid w:val="00B47D73"/>
    <w:rsid w:val="00B50DBB"/>
    <w:rsid w:val="00B51E19"/>
    <w:rsid w:val="00B52530"/>
    <w:rsid w:val="00B5597D"/>
    <w:rsid w:val="00B56E60"/>
    <w:rsid w:val="00B57064"/>
    <w:rsid w:val="00B5753E"/>
    <w:rsid w:val="00B5768E"/>
    <w:rsid w:val="00B6090F"/>
    <w:rsid w:val="00B6145C"/>
    <w:rsid w:val="00B62BA5"/>
    <w:rsid w:val="00B63C06"/>
    <w:rsid w:val="00B6531E"/>
    <w:rsid w:val="00B66DF2"/>
    <w:rsid w:val="00B71583"/>
    <w:rsid w:val="00B72E64"/>
    <w:rsid w:val="00B82FBE"/>
    <w:rsid w:val="00B83720"/>
    <w:rsid w:val="00B83DFC"/>
    <w:rsid w:val="00B87642"/>
    <w:rsid w:val="00B93EA3"/>
    <w:rsid w:val="00BA11C1"/>
    <w:rsid w:val="00BA6A68"/>
    <w:rsid w:val="00BA6EF0"/>
    <w:rsid w:val="00BA7D62"/>
    <w:rsid w:val="00BB2224"/>
    <w:rsid w:val="00BB3F97"/>
    <w:rsid w:val="00BB4C8E"/>
    <w:rsid w:val="00BB636B"/>
    <w:rsid w:val="00BB72D2"/>
    <w:rsid w:val="00BC03E4"/>
    <w:rsid w:val="00BC0950"/>
    <w:rsid w:val="00BC0B9E"/>
    <w:rsid w:val="00BC24C3"/>
    <w:rsid w:val="00BC3A4E"/>
    <w:rsid w:val="00BC40AE"/>
    <w:rsid w:val="00BC5119"/>
    <w:rsid w:val="00BC5D51"/>
    <w:rsid w:val="00BD049F"/>
    <w:rsid w:val="00BD283B"/>
    <w:rsid w:val="00BD5C7D"/>
    <w:rsid w:val="00BD5DCD"/>
    <w:rsid w:val="00BD5FF0"/>
    <w:rsid w:val="00BD692F"/>
    <w:rsid w:val="00BD6B47"/>
    <w:rsid w:val="00BD6B89"/>
    <w:rsid w:val="00BD7FFB"/>
    <w:rsid w:val="00BE0357"/>
    <w:rsid w:val="00BE0D2D"/>
    <w:rsid w:val="00BE158C"/>
    <w:rsid w:val="00BF0C95"/>
    <w:rsid w:val="00BF5F2E"/>
    <w:rsid w:val="00C001EE"/>
    <w:rsid w:val="00C032FC"/>
    <w:rsid w:val="00C04B13"/>
    <w:rsid w:val="00C06A1E"/>
    <w:rsid w:val="00C1240E"/>
    <w:rsid w:val="00C16FA2"/>
    <w:rsid w:val="00C20A8E"/>
    <w:rsid w:val="00C21565"/>
    <w:rsid w:val="00C216A3"/>
    <w:rsid w:val="00C3053A"/>
    <w:rsid w:val="00C33986"/>
    <w:rsid w:val="00C33E97"/>
    <w:rsid w:val="00C34993"/>
    <w:rsid w:val="00C34FED"/>
    <w:rsid w:val="00C37690"/>
    <w:rsid w:val="00C378D5"/>
    <w:rsid w:val="00C421F4"/>
    <w:rsid w:val="00C42266"/>
    <w:rsid w:val="00C430FB"/>
    <w:rsid w:val="00C43E33"/>
    <w:rsid w:val="00C443FE"/>
    <w:rsid w:val="00C52342"/>
    <w:rsid w:val="00C608CF"/>
    <w:rsid w:val="00C60A3C"/>
    <w:rsid w:val="00C631EF"/>
    <w:rsid w:val="00C63B39"/>
    <w:rsid w:val="00C642B9"/>
    <w:rsid w:val="00C71DDA"/>
    <w:rsid w:val="00C7267E"/>
    <w:rsid w:val="00C75EC1"/>
    <w:rsid w:val="00C76E45"/>
    <w:rsid w:val="00C818F7"/>
    <w:rsid w:val="00C81DD2"/>
    <w:rsid w:val="00C83B7D"/>
    <w:rsid w:val="00C846E7"/>
    <w:rsid w:val="00C84BBC"/>
    <w:rsid w:val="00C901F4"/>
    <w:rsid w:val="00C9222D"/>
    <w:rsid w:val="00C92BDA"/>
    <w:rsid w:val="00C934D3"/>
    <w:rsid w:val="00C9389D"/>
    <w:rsid w:val="00CA463C"/>
    <w:rsid w:val="00CA7AF9"/>
    <w:rsid w:val="00CB0D36"/>
    <w:rsid w:val="00CB1483"/>
    <w:rsid w:val="00CC16B2"/>
    <w:rsid w:val="00CC1D79"/>
    <w:rsid w:val="00CC73F4"/>
    <w:rsid w:val="00CD0610"/>
    <w:rsid w:val="00CD1701"/>
    <w:rsid w:val="00CD515A"/>
    <w:rsid w:val="00CD6382"/>
    <w:rsid w:val="00CD68EA"/>
    <w:rsid w:val="00CE2666"/>
    <w:rsid w:val="00CE6116"/>
    <w:rsid w:val="00CE6F82"/>
    <w:rsid w:val="00CE7E5C"/>
    <w:rsid w:val="00CF10C8"/>
    <w:rsid w:val="00CF3FD3"/>
    <w:rsid w:val="00CF54F6"/>
    <w:rsid w:val="00CF76D3"/>
    <w:rsid w:val="00D00E6C"/>
    <w:rsid w:val="00D059AD"/>
    <w:rsid w:val="00D06898"/>
    <w:rsid w:val="00D12864"/>
    <w:rsid w:val="00D15F87"/>
    <w:rsid w:val="00D21D92"/>
    <w:rsid w:val="00D233EA"/>
    <w:rsid w:val="00D23478"/>
    <w:rsid w:val="00D23CA2"/>
    <w:rsid w:val="00D31B0A"/>
    <w:rsid w:val="00D31F38"/>
    <w:rsid w:val="00D35090"/>
    <w:rsid w:val="00D366D4"/>
    <w:rsid w:val="00D369A1"/>
    <w:rsid w:val="00D40992"/>
    <w:rsid w:val="00D4188A"/>
    <w:rsid w:val="00D469CD"/>
    <w:rsid w:val="00D53DCE"/>
    <w:rsid w:val="00D54B87"/>
    <w:rsid w:val="00D613BE"/>
    <w:rsid w:val="00D62C4C"/>
    <w:rsid w:val="00D70905"/>
    <w:rsid w:val="00D712F6"/>
    <w:rsid w:val="00D71961"/>
    <w:rsid w:val="00D72394"/>
    <w:rsid w:val="00D7313C"/>
    <w:rsid w:val="00D76285"/>
    <w:rsid w:val="00D76EE2"/>
    <w:rsid w:val="00D770C4"/>
    <w:rsid w:val="00D806B5"/>
    <w:rsid w:val="00D84307"/>
    <w:rsid w:val="00D855E8"/>
    <w:rsid w:val="00D85F02"/>
    <w:rsid w:val="00D85F79"/>
    <w:rsid w:val="00D90B22"/>
    <w:rsid w:val="00D9318E"/>
    <w:rsid w:val="00D93DFD"/>
    <w:rsid w:val="00D9473D"/>
    <w:rsid w:val="00DA1C5E"/>
    <w:rsid w:val="00DA3F23"/>
    <w:rsid w:val="00DA7FD0"/>
    <w:rsid w:val="00DB1CCE"/>
    <w:rsid w:val="00DB56C6"/>
    <w:rsid w:val="00DC0921"/>
    <w:rsid w:val="00DC16C4"/>
    <w:rsid w:val="00DC2D54"/>
    <w:rsid w:val="00DC3913"/>
    <w:rsid w:val="00DC4F83"/>
    <w:rsid w:val="00DC59C4"/>
    <w:rsid w:val="00DC660A"/>
    <w:rsid w:val="00DC6F0A"/>
    <w:rsid w:val="00DC766E"/>
    <w:rsid w:val="00DD0313"/>
    <w:rsid w:val="00DD07CB"/>
    <w:rsid w:val="00DD0A0D"/>
    <w:rsid w:val="00DD3E11"/>
    <w:rsid w:val="00DD6D37"/>
    <w:rsid w:val="00DD6F07"/>
    <w:rsid w:val="00DE3FE9"/>
    <w:rsid w:val="00DE476D"/>
    <w:rsid w:val="00DE4FAC"/>
    <w:rsid w:val="00DE5DAD"/>
    <w:rsid w:val="00DF0827"/>
    <w:rsid w:val="00DF2C10"/>
    <w:rsid w:val="00DF3F0F"/>
    <w:rsid w:val="00DF6366"/>
    <w:rsid w:val="00E01927"/>
    <w:rsid w:val="00E05A5C"/>
    <w:rsid w:val="00E077CB"/>
    <w:rsid w:val="00E20460"/>
    <w:rsid w:val="00E20CD0"/>
    <w:rsid w:val="00E21F6D"/>
    <w:rsid w:val="00E23593"/>
    <w:rsid w:val="00E23B74"/>
    <w:rsid w:val="00E26204"/>
    <w:rsid w:val="00E26BCF"/>
    <w:rsid w:val="00E30C09"/>
    <w:rsid w:val="00E3190F"/>
    <w:rsid w:val="00E35798"/>
    <w:rsid w:val="00E35C03"/>
    <w:rsid w:val="00E35D98"/>
    <w:rsid w:val="00E379E5"/>
    <w:rsid w:val="00E4110E"/>
    <w:rsid w:val="00E42D40"/>
    <w:rsid w:val="00E47D87"/>
    <w:rsid w:val="00E57C7A"/>
    <w:rsid w:val="00E60224"/>
    <w:rsid w:val="00E62BC1"/>
    <w:rsid w:val="00E62DDA"/>
    <w:rsid w:val="00E64A4C"/>
    <w:rsid w:val="00E667A7"/>
    <w:rsid w:val="00E719E4"/>
    <w:rsid w:val="00E73FBD"/>
    <w:rsid w:val="00E7660A"/>
    <w:rsid w:val="00E80D52"/>
    <w:rsid w:val="00E81F04"/>
    <w:rsid w:val="00E82CBB"/>
    <w:rsid w:val="00E868D1"/>
    <w:rsid w:val="00E87B37"/>
    <w:rsid w:val="00E92100"/>
    <w:rsid w:val="00E927A5"/>
    <w:rsid w:val="00E92E72"/>
    <w:rsid w:val="00E93582"/>
    <w:rsid w:val="00E93725"/>
    <w:rsid w:val="00EA03F6"/>
    <w:rsid w:val="00EA268A"/>
    <w:rsid w:val="00EB2792"/>
    <w:rsid w:val="00EB39D6"/>
    <w:rsid w:val="00EB4B76"/>
    <w:rsid w:val="00EB741C"/>
    <w:rsid w:val="00EB79E4"/>
    <w:rsid w:val="00EC0C60"/>
    <w:rsid w:val="00EC164E"/>
    <w:rsid w:val="00EC25D1"/>
    <w:rsid w:val="00EC2771"/>
    <w:rsid w:val="00EC28E3"/>
    <w:rsid w:val="00EC4EF8"/>
    <w:rsid w:val="00EC6E3F"/>
    <w:rsid w:val="00EC6F86"/>
    <w:rsid w:val="00EC7272"/>
    <w:rsid w:val="00EC741C"/>
    <w:rsid w:val="00ED54CD"/>
    <w:rsid w:val="00ED6614"/>
    <w:rsid w:val="00ED69E4"/>
    <w:rsid w:val="00EE0079"/>
    <w:rsid w:val="00EE06B9"/>
    <w:rsid w:val="00EE0973"/>
    <w:rsid w:val="00EE284D"/>
    <w:rsid w:val="00EE5D83"/>
    <w:rsid w:val="00EE7940"/>
    <w:rsid w:val="00EF0D71"/>
    <w:rsid w:val="00EF1F5D"/>
    <w:rsid w:val="00F01807"/>
    <w:rsid w:val="00F0573F"/>
    <w:rsid w:val="00F06347"/>
    <w:rsid w:val="00F07FC1"/>
    <w:rsid w:val="00F10CCF"/>
    <w:rsid w:val="00F10D78"/>
    <w:rsid w:val="00F147ED"/>
    <w:rsid w:val="00F16692"/>
    <w:rsid w:val="00F1777C"/>
    <w:rsid w:val="00F210CD"/>
    <w:rsid w:val="00F31A58"/>
    <w:rsid w:val="00F31F83"/>
    <w:rsid w:val="00F3247D"/>
    <w:rsid w:val="00F32BDC"/>
    <w:rsid w:val="00F37397"/>
    <w:rsid w:val="00F37CAF"/>
    <w:rsid w:val="00F410DF"/>
    <w:rsid w:val="00F42E10"/>
    <w:rsid w:val="00F431BC"/>
    <w:rsid w:val="00F43445"/>
    <w:rsid w:val="00F43B7C"/>
    <w:rsid w:val="00F47329"/>
    <w:rsid w:val="00F47E8F"/>
    <w:rsid w:val="00F50F0B"/>
    <w:rsid w:val="00F5278E"/>
    <w:rsid w:val="00F5464E"/>
    <w:rsid w:val="00F57E45"/>
    <w:rsid w:val="00F705A6"/>
    <w:rsid w:val="00F737BB"/>
    <w:rsid w:val="00F73A08"/>
    <w:rsid w:val="00F74E94"/>
    <w:rsid w:val="00F773A7"/>
    <w:rsid w:val="00F77909"/>
    <w:rsid w:val="00F81A8D"/>
    <w:rsid w:val="00F82317"/>
    <w:rsid w:val="00F8319B"/>
    <w:rsid w:val="00F846C3"/>
    <w:rsid w:val="00F85426"/>
    <w:rsid w:val="00F855CF"/>
    <w:rsid w:val="00F865AD"/>
    <w:rsid w:val="00F91874"/>
    <w:rsid w:val="00F921C7"/>
    <w:rsid w:val="00F92644"/>
    <w:rsid w:val="00F92DE7"/>
    <w:rsid w:val="00F92FAB"/>
    <w:rsid w:val="00F94FBD"/>
    <w:rsid w:val="00F95ECC"/>
    <w:rsid w:val="00FA0138"/>
    <w:rsid w:val="00FA0CF2"/>
    <w:rsid w:val="00FA40C3"/>
    <w:rsid w:val="00FA54E7"/>
    <w:rsid w:val="00FA58A5"/>
    <w:rsid w:val="00FB286E"/>
    <w:rsid w:val="00FB52CF"/>
    <w:rsid w:val="00FB58FD"/>
    <w:rsid w:val="00FB6873"/>
    <w:rsid w:val="00FB6F9F"/>
    <w:rsid w:val="00FC1358"/>
    <w:rsid w:val="00FC2D5F"/>
    <w:rsid w:val="00FC3E90"/>
    <w:rsid w:val="00FC40BF"/>
    <w:rsid w:val="00FC56C1"/>
    <w:rsid w:val="00FC6FF0"/>
    <w:rsid w:val="00FD09FA"/>
    <w:rsid w:val="00FD0C70"/>
    <w:rsid w:val="00FD12EC"/>
    <w:rsid w:val="00FD438A"/>
    <w:rsid w:val="00FE1849"/>
    <w:rsid w:val="00FE4044"/>
    <w:rsid w:val="00FF35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6"/>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aliases w:val="Heading MAIN"/>
    <w:basedOn w:val="Normal"/>
    <w:next w:val="Normal"/>
    <w:link w:val="Heading1Char"/>
    <w:uiPriority w:val="9"/>
    <w:qFormat/>
    <w:rsid w:val="004C60CE"/>
    <w:pPr>
      <w:keepNext/>
      <w:jc w:val="center"/>
      <w:outlineLvl w:val="0"/>
    </w:pPr>
    <w:rPr>
      <w:b/>
      <w:bCs/>
      <w:caps/>
      <w:color w:val="000000" w:themeColor="text1"/>
      <w:kern w:val="0"/>
      <w14:ligatures w14:val="none"/>
    </w:rPr>
  </w:style>
  <w:style w:type="paragraph" w:styleId="Heading2">
    <w:name w:val="heading 2"/>
    <w:basedOn w:val="ListParagraph"/>
    <w:next w:val="Normal"/>
    <w:link w:val="Heading2Char"/>
    <w:uiPriority w:val="9"/>
    <w:qFormat/>
    <w:rsid w:val="009C61D2"/>
    <w:pPr>
      <w:numPr>
        <w:numId w:val="1"/>
      </w:numPr>
      <w:ind w:left="720"/>
      <w:outlineLvl w:val="1"/>
    </w:pPr>
    <w:rPr>
      <w:b/>
      <w:bCs/>
    </w:rPr>
  </w:style>
  <w:style w:type="paragraph" w:styleId="Heading3">
    <w:name w:val="heading 3"/>
    <w:basedOn w:val="Normal"/>
    <w:next w:val="Normal"/>
    <w:link w:val="Heading3Char"/>
    <w:uiPriority w:val="9"/>
    <w:qFormat/>
    <w:rsid w:val="009F4E04"/>
    <w:pPr>
      <w:keepNext/>
      <w:spacing w:after="120" w:line="240" w:lineRule="auto"/>
      <w:ind w:left="1440" w:hanging="720"/>
      <w:outlineLvl w:val="2"/>
    </w:pPr>
    <w:rPr>
      <w:b/>
      <w:bCs/>
    </w:rPr>
  </w:style>
  <w:style w:type="paragraph" w:styleId="Heading4">
    <w:name w:val="heading 4"/>
    <w:basedOn w:val="ListParagraph"/>
    <w:next w:val="Normal"/>
    <w:link w:val="Heading4Char"/>
    <w:uiPriority w:val="9"/>
    <w:unhideWhenUsed/>
    <w:qFormat/>
    <w:rsid w:val="004C60CE"/>
    <w:pPr>
      <w:keepNext/>
      <w:numPr>
        <w:ilvl w:val="1"/>
        <w:numId w:val="6"/>
      </w:numPr>
      <w:spacing w:after="120" w:line="240" w:lineRule="auto"/>
      <w:contextualSpacing w:val="0"/>
      <w:outlineLvl w:val="3"/>
    </w:pPr>
    <w:rPr>
      <w:b/>
      <w:bCs/>
      <w:i/>
      <w:iCs/>
      <w:color w:val="000000" w:themeColor="text1"/>
      <w:kern w:val="0"/>
      <w14:ligatures w14:val="none"/>
    </w:rPr>
  </w:style>
  <w:style w:type="paragraph" w:styleId="Heading5">
    <w:name w:val="heading 5"/>
    <w:basedOn w:val="ListParagraph"/>
    <w:next w:val="Normal"/>
    <w:link w:val="Heading5Char"/>
    <w:uiPriority w:val="9"/>
    <w:unhideWhenUsed/>
    <w:qFormat/>
    <w:rsid w:val="004C60CE"/>
    <w:pPr>
      <w:keepNext/>
      <w:numPr>
        <w:numId w:val="7"/>
      </w:numPr>
      <w:spacing w:after="120" w:line="240" w:lineRule="auto"/>
      <w:outlineLvl w:val="4"/>
    </w:pPr>
    <w:rPr>
      <w:b/>
      <w:bCs/>
      <w:color w:val="000000" w:themeColor="text1"/>
      <w:kern w:val="0"/>
      <w14:ligatures w14:val="none"/>
    </w:rPr>
  </w:style>
  <w:style w:type="paragraph" w:styleId="Heading6">
    <w:name w:val="heading 6"/>
    <w:basedOn w:val="Normal"/>
    <w:next w:val="Normal"/>
    <w:link w:val="Heading6Char"/>
    <w:uiPriority w:val="9"/>
    <w:semiHidden/>
    <w:unhideWhenUsed/>
    <w:qFormat/>
    <w:rsid w:val="004C60C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4C60CE"/>
    <w:rPr>
      <w:b/>
      <w:bCs/>
      <w:caps/>
      <w:color w:val="000000" w:themeColor="text1"/>
      <w:kern w:val="0"/>
      <w14:ligatures w14:val="none"/>
    </w:rPr>
  </w:style>
  <w:style w:type="character" w:customStyle="1" w:styleId="Heading2Char">
    <w:name w:val="Heading 2 Char"/>
    <w:basedOn w:val="DefaultParagraphFont"/>
    <w:link w:val="Heading2"/>
    <w:uiPriority w:val="9"/>
    <w:rsid w:val="009C61D2"/>
    <w:rPr>
      <w:b/>
      <w:bCs/>
    </w:rPr>
  </w:style>
  <w:style w:type="character" w:customStyle="1" w:styleId="Heading3Char">
    <w:name w:val="Heading 3 Char"/>
    <w:basedOn w:val="DefaultParagraphFont"/>
    <w:link w:val="Heading3"/>
    <w:uiPriority w:val="9"/>
    <w:rsid w:val="009F4E04"/>
    <w:rPr>
      <w:b/>
      <w:bCs/>
    </w:rPr>
  </w:style>
  <w:style w:type="character" w:customStyle="1" w:styleId="Heading6Char">
    <w:name w:val="Heading 6 Char"/>
    <w:basedOn w:val="DefaultParagraphFont"/>
    <w:link w:val="Heading6"/>
    <w:uiPriority w:val="9"/>
    <w:semiHidden/>
    <w:rsid w:val="004C60CE"/>
    <w:rPr>
      <w:rFonts w:eastAsia="Times New Roman"/>
      <w:b/>
      <w:bCs/>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character" w:styleId="Hyperlink">
    <w:name w:val="Hyperlink"/>
    <w:basedOn w:val="DefaultParagraphFont"/>
    <w:uiPriority w:val="99"/>
    <w:unhideWhenUsed/>
    <w:rsid w:val="00AD1C0C"/>
    <w:rPr>
      <w:color w:val="0000FF" w:themeColor="hyperlink"/>
      <w:u w:val="single"/>
    </w:rPr>
  </w:style>
  <w:style w:type="character" w:customStyle="1" w:styleId="UnresolvedMention1">
    <w:name w:val="Unresolved Mention1"/>
    <w:basedOn w:val="DefaultParagraphFont"/>
    <w:uiPriority w:val="99"/>
    <w:semiHidden/>
    <w:unhideWhenUsed/>
    <w:rsid w:val="00AD1C0C"/>
    <w:rPr>
      <w:color w:val="605E5C"/>
      <w:shd w:val="clear" w:color="auto" w:fill="E1DFDD"/>
    </w:rPr>
  </w:style>
  <w:style w:type="paragraph" w:styleId="ListParagraph">
    <w:name w:val="List Paragraph"/>
    <w:basedOn w:val="Normal"/>
    <w:uiPriority w:val="34"/>
    <w:rsid w:val="00660949"/>
    <w:pPr>
      <w:ind w:left="720"/>
      <w:contextualSpacing/>
    </w:pPr>
  </w:style>
  <w:style w:type="character" w:styleId="CommentReference">
    <w:name w:val="annotation reference"/>
    <w:basedOn w:val="DefaultParagraphFont"/>
    <w:uiPriority w:val="99"/>
    <w:semiHidden/>
    <w:unhideWhenUsed/>
    <w:rsid w:val="00895D57"/>
    <w:rPr>
      <w:sz w:val="16"/>
      <w:szCs w:val="16"/>
    </w:rPr>
  </w:style>
  <w:style w:type="paragraph" w:styleId="CommentText">
    <w:name w:val="annotation text"/>
    <w:basedOn w:val="Normal"/>
    <w:link w:val="CommentTextChar"/>
    <w:uiPriority w:val="99"/>
    <w:unhideWhenUsed/>
    <w:rsid w:val="00895D57"/>
    <w:pPr>
      <w:spacing w:line="240" w:lineRule="auto"/>
    </w:pPr>
    <w:rPr>
      <w:sz w:val="20"/>
      <w:szCs w:val="20"/>
    </w:rPr>
  </w:style>
  <w:style w:type="character" w:customStyle="1" w:styleId="CommentTextChar">
    <w:name w:val="Comment Text Char"/>
    <w:basedOn w:val="DefaultParagraphFont"/>
    <w:link w:val="CommentText"/>
    <w:uiPriority w:val="99"/>
    <w:rsid w:val="00895D57"/>
    <w:rPr>
      <w:sz w:val="20"/>
      <w:szCs w:val="20"/>
    </w:rPr>
  </w:style>
  <w:style w:type="paragraph" w:styleId="CommentSubject">
    <w:name w:val="annotation subject"/>
    <w:basedOn w:val="CommentText"/>
    <w:next w:val="CommentText"/>
    <w:link w:val="CommentSubjectChar"/>
    <w:uiPriority w:val="99"/>
    <w:semiHidden/>
    <w:unhideWhenUsed/>
    <w:rsid w:val="00895D57"/>
    <w:rPr>
      <w:b/>
      <w:bCs/>
    </w:rPr>
  </w:style>
  <w:style w:type="character" w:customStyle="1" w:styleId="CommentSubjectChar">
    <w:name w:val="Comment Subject Char"/>
    <w:basedOn w:val="CommentTextChar"/>
    <w:link w:val="CommentSubject"/>
    <w:uiPriority w:val="99"/>
    <w:semiHidden/>
    <w:rsid w:val="00895D57"/>
    <w:rPr>
      <w:b/>
      <w:bCs/>
      <w:sz w:val="20"/>
      <w:szCs w:val="20"/>
    </w:rPr>
  </w:style>
  <w:style w:type="paragraph" w:styleId="Revision">
    <w:name w:val="Revision"/>
    <w:hidden/>
    <w:uiPriority w:val="99"/>
    <w:semiHidden/>
    <w:rsid w:val="00F865AD"/>
    <w:pPr>
      <w:spacing w:line="240" w:lineRule="auto"/>
    </w:pPr>
  </w:style>
  <w:style w:type="character" w:customStyle="1" w:styleId="Heading4Char">
    <w:name w:val="Heading 4 Char"/>
    <w:basedOn w:val="DefaultParagraphFont"/>
    <w:link w:val="Heading4"/>
    <w:uiPriority w:val="9"/>
    <w:rsid w:val="004C60CE"/>
    <w:rPr>
      <w:b/>
      <w:bCs/>
      <w:i/>
      <w:iCs/>
      <w:color w:val="000000" w:themeColor="text1"/>
      <w:kern w:val="0"/>
      <w14:ligatures w14:val="none"/>
    </w:rPr>
  </w:style>
  <w:style w:type="character" w:customStyle="1" w:styleId="Heading5Char">
    <w:name w:val="Heading 5 Char"/>
    <w:basedOn w:val="DefaultParagraphFont"/>
    <w:link w:val="Heading5"/>
    <w:uiPriority w:val="9"/>
    <w:rsid w:val="004C60CE"/>
    <w:rPr>
      <w:b/>
      <w:bCs/>
      <w:color w:val="000000" w:themeColor="tex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2F80-84AB-4AF9-AB7D-7BB8BE91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2024-06-20T19:34:03Z</dcterms:created>
  <dcterms:modified xsi:type="dcterms:W3CDTF">2024-06-20T19:34:03Z</dcterms:modified>
</cp:coreProperties>
</file>